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41.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4EDD1" w14:textId="72A10170" w:rsidR="00A27A1B" w:rsidRPr="003762EB" w:rsidRDefault="00F00355" w:rsidP="009F0CBC">
      <w:pPr>
        <w:pStyle w:val="Title"/>
        <w:spacing w:before="120"/>
        <w:rPr>
          <w:rFonts w:ascii="Open Sans Extrabold" w:hAnsi="Open Sans Extrabold" w:cs="Open Sans Extrabold"/>
          <w:b/>
          <w:bCs/>
          <w:color w:val="1C4373" w:themeColor="background2" w:themeShade="BF"/>
          <w:kern w:val="0"/>
          <w:sz w:val="56"/>
        </w:rPr>
      </w:pPr>
      <w:r w:rsidRPr="003762EB">
        <w:rPr>
          <w:rFonts w:ascii="Open Sans Extrabold" w:hAnsi="Open Sans Extrabold" w:cs="Open Sans Extrabold"/>
          <w:b/>
          <w:bCs/>
          <w:noProof/>
          <w:color w:val="1C4373" w:themeColor="background2" w:themeShade="BF"/>
          <w:sz w:val="56"/>
        </w:rPr>
        <w:drawing>
          <wp:anchor distT="0" distB="0" distL="114300" distR="114300" simplePos="0" relativeHeight="251658241" behindDoc="1" locked="0" layoutInCell="1" allowOverlap="1" wp14:anchorId="0910D689" wp14:editId="69B0E605">
            <wp:simplePos x="0" y="0"/>
            <wp:positionH relativeFrom="page">
              <wp:align>left</wp:align>
            </wp:positionH>
            <wp:positionV relativeFrom="paragraph">
              <wp:posOffset>-1803400</wp:posOffset>
            </wp:positionV>
            <wp:extent cx="7558029" cy="10690955"/>
            <wp:effectExtent l="0" t="0" r="5080" b="0"/>
            <wp:wrapNone/>
            <wp:docPr id="51627828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78280" name="Picture 19">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7558029" cy="10690955"/>
                    </a:xfrm>
                    <a:prstGeom prst="rect">
                      <a:avLst/>
                    </a:prstGeom>
                  </pic:spPr>
                </pic:pic>
              </a:graphicData>
            </a:graphic>
            <wp14:sizeRelH relativeFrom="page">
              <wp14:pctWidth>0</wp14:pctWidth>
            </wp14:sizeRelH>
            <wp14:sizeRelV relativeFrom="page">
              <wp14:pctHeight>0</wp14:pctHeight>
            </wp14:sizeRelV>
          </wp:anchor>
        </w:drawing>
      </w:r>
      <w:r w:rsidR="002D4233" w:rsidRPr="003762EB">
        <w:rPr>
          <w:rFonts w:ascii="Open Sans Extrabold" w:hAnsi="Open Sans Extrabold" w:cs="Open Sans Extrabold"/>
          <w:b/>
          <w:bCs/>
          <w:color w:val="1C4373" w:themeColor="background2" w:themeShade="BF"/>
          <w:kern w:val="0"/>
          <w:sz w:val="56"/>
        </w:rPr>
        <w:t>Delivering quality care more efficiently</w:t>
      </w:r>
    </w:p>
    <w:p w14:paraId="794120EB" w14:textId="6DA09B1F" w:rsidR="00A27A1B" w:rsidRDefault="00A27A1B" w:rsidP="00A27A1B">
      <w:pPr>
        <w:spacing w:before="0" w:after="160" w:line="259" w:lineRule="auto"/>
        <w:rPr>
          <w:rFonts w:ascii="Open Sans" w:hAnsi="Open Sans" w:cs="Open Sans"/>
          <w:color w:val="1C4373" w:themeColor="background2" w:themeShade="BF"/>
          <w:sz w:val="52"/>
          <w:szCs w:val="52"/>
        </w:rPr>
      </w:pPr>
      <w:r w:rsidRPr="008061AF">
        <w:rPr>
          <w:rFonts w:ascii="Open Sans" w:hAnsi="Open Sans" w:cs="Open Sans"/>
          <w:color w:val="1C4373" w:themeColor="background2" w:themeShade="BF"/>
          <w:sz w:val="52"/>
          <w:szCs w:val="52"/>
        </w:rPr>
        <w:t>In</w:t>
      </w:r>
      <w:r w:rsidR="00C36345" w:rsidRPr="008061AF">
        <w:rPr>
          <w:rFonts w:ascii="Open Sans" w:hAnsi="Open Sans" w:cs="Open Sans"/>
          <w:color w:val="1C4373" w:themeColor="background2" w:themeShade="BF"/>
          <w:sz w:val="52"/>
          <w:szCs w:val="52"/>
        </w:rPr>
        <w:t>quiry</w:t>
      </w:r>
      <w:r w:rsidRPr="008061AF">
        <w:rPr>
          <w:rFonts w:ascii="Open Sans" w:hAnsi="Open Sans" w:cs="Open Sans"/>
          <w:color w:val="1C4373" w:themeColor="background2" w:themeShade="BF"/>
          <w:sz w:val="52"/>
          <w:szCs w:val="52"/>
        </w:rPr>
        <w:t xml:space="preserve"> report</w:t>
      </w:r>
    </w:p>
    <w:p w14:paraId="28FA74B6" w14:textId="6407A89E" w:rsidR="009B185B" w:rsidRPr="00683C36" w:rsidRDefault="009B185B" w:rsidP="009B185B">
      <w:pPr>
        <w:spacing w:after="160" w:line="259" w:lineRule="auto"/>
        <w:rPr>
          <w:color w:val="1C4373" w:themeColor="background2" w:themeShade="BF"/>
          <w:sz w:val="36"/>
          <w:szCs w:val="36"/>
        </w:rPr>
      </w:pPr>
      <w:r w:rsidRPr="00683C36">
        <w:rPr>
          <w:color w:val="1C4373" w:themeColor="background2" w:themeShade="BF"/>
          <w:sz w:val="36"/>
          <w:szCs w:val="36"/>
        </w:rPr>
        <w:t>No. 1</w:t>
      </w:r>
      <w:r w:rsidR="00376DB3">
        <w:rPr>
          <w:color w:val="1C4373" w:themeColor="background2" w:themeShade="BF"/>
          <w:sz w:val="36"/>
          <w:szCs w:val="36"/>
        </w:rPr>
        <w:t>12</w:t>
      </w:r>
      <w:r w:rsidRPr="00683C36">
        <w:rPr>
          <w:color w:val="1C4373" w:themeColor="background2" w:themeShade="BF"/>
          <w:sz w:val="36"/>
          <w:szCs w:val="36"/>
        </w:rPr>
        <w:t xml:space="preserve"> | </w:t>
      </w:r>
      <w:r w:rsidR="00683C36">
        <w:rPr>
          <w:color w:val="1C4373" w:themeColor="background2" w:themeShade="BF"/>
          <w:sz w:val="36"/>
          <w:szCs w:val="36"/>
        </w:rPr>
        <w:t xml:space="preserve">10 December </w:t>
      </w:r>
      <w:r w:rsidRPr="00683C36">
        <w:rPr>
          <w:color w:val="1C4373" w:themeColor="background2" w:themeShade="BF"/>
          <w:sz w:val="36"/>
          <w:szCs w:val="36"/>
        </w:rPr>
        <w:t>2025</w:t>
      </w:r>
    </w:p>
    <w:sdt>
      <w:sdtPr>
        <w:rPr>
          <w:color w:val="FFFFFF" w:themeColor="background1"/>
        </w:rPr>
        <w:id w:val="-228914026"/>
        <w:docPartObj>
          <w:docPartGallery w:val="Cover Pages"/>
          <w:docPartUnique/>
        </w:docPartObj>
      </w:sdtPr>
      <w:sdtEndPr>
        <w:rPr>
          <w:color w:val="auto"/>
        </w:rPr>
      </w:sdtEndPr>
      <w:sdtContent>
        <w:p w14:paraId="44F60990" w14:textId="4B579021" w:rsidR="00246212" w:rsidRPr="00A27A1B" w:rsidRDefault="00246212" w:rsidP="00320229">
          <w:pPr>
            <w:pStyle w:val="BodyText"/>
            <w:spacing w:before="1680" w:after="240" w:line="640" w:lineRule="exact"/>
            <w:rPr>
              <w:color w:val="FFFFFF" w:themeColor="background1"/>
            </w:rPr>
          </w:pPr>
        </w:p>
        <w:p w14:paraId="2AD69A32" w14:textId="6C418BD5" w:rsidR="004F7BE2" w:rsidRDefault="004F7BE2" w:rsidP="004F7BE2">
          <w:pPr>
            <w:spacing w:after="160" w:line="259" w:lineRule="auto"/>
            <w:sectPr w:rsidR="004F7BE2" w:rsidSect="00910AD4">
              <w:footerReference w:type="even" r:id="rId15"/>
              <w:footerReference w:type="defaul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blLook w:val="04A0" w:firstRow="1" w:lastRow="0" w:firstColumn="1" w:lastColumn="0" w:noHBand="0" w:noVBand="1"/>
          </w:tblPr>
          <w:tblGrid>
            <w:gridCol w:w="9638"/>
          </w:tblGrid>
          <w:tr w:rsidR="004F7BE2" w:rsidRPr="005D1531" w14:paraId="1E8C917A" w14:textId="77777777" w:rsidTr="005A7BB3">
            <w:trPr>
              <w:trHeight w:hRule="exact" w:val="12586"/>
            </w:trPr>
            <w:tc>
              <w:tcPr>
                <w:tcW w:w="9638" w:type="dxa"/>
                <w:shd w:val="clear" w:color="auto" w:fill="E0F1F7"/>
                <w:tcMar>
                  <w:top w:w="113" w:type="dxa"/>
                </w:tcMar>
                <w:vAlign w:val="top"/>
              </w:tcPr>
              <w:p w14:paraId="397D1F87" w14:textId="2C699DC5" w:rsidR="005A7BB3" w:rsidRPr="005A7BB3" w:rsidRDefault="00355983" w:rsidP="005A7BB3">
                <w:pPr>
                  <w:pStyle w:val="Copyrightpage-Heading"/>
                  <w:spacing w:before="360"/>
                  <w:ind w:right="-284"/>
                  <w:rPr>
                    <w:color w:val="auto"/>
                  </w:rPr>
                </w:pPr>
                <w:r w:rsidRPr="00DB6CAD">
                  <w:rPr>
                    <w:rFonts w:ascii="Arial" w:hAnsi="Arial" w:cs="Arial"/>
                    <w:b/>
                    <w:bCs/>
                    <w:noProof/>
                    <w:color w:val="auto"/>
                    <w:spacing w:val="2"/>
                  </w:rPr>
                  <w:lastRenderedPageBreak/>
                  <w:drawing>
                    <wp:anchor distT="0" distB="0" distL="114300" distR="114300" simplePos="0" relativeHeight="251658240" behindDoc="0" locked="0" layoutInCell="1" allowOverlap="1" wp14:anchorId="191BB936" wp14:editId="64246019">
                      <wp:simplePos x="0" y="0"/>
                      <wp:positionH relativeFrom="column">
                        <wp:posOffset>-473</wp:posOffset>
                      </wp:positionH>
                      <wp:positionV relativeFrom="paragraph">
                        <wp:posOffset>479425</wp:posOffset>
                      </wp:positionV>
                      <wp:extent cx="629920" cy="636905"/>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20" cy="63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7BB3" w:rsidRPr="005A7BB3">
                  <w:rPr>
                    <w:color w:val="auto"/>
                  </w:rPr>
                  <w:t>Acknowledgment of Country</w:t>
                </w:r>
              </w:p>
              <w:p w14:paraId="05E62E95" w14:textId="4F1D26E2" w:rsidR="004F7BE2" w:rsidRPr="00AE7C03" w:rsidRDefault="004F7BE2" w:rsidP="005A7BB3">
                <w:pPr>
                  <w:pStyle w:val="Copyrightpage-BodyBold"/>
                  <w:ind w:right="-284"/>
                  <w:rPr>
                    <w:rFonts w:ascii="Arial" w:hAnsi="Arial" w:cs="Arial"/>
                    <w:b w:val="0"/>
                    <w:color w:val="auto"/>
                    <w:spacing w:val="2"/>
                  </w:rPr>
                </w:pPr>
                <w:r w:rsidRPr="00AE7C03">
                  <w:rPr>
                    <w:rFonts w:ascii="Arial" w:hAnsi="Arial" w:cs="Arial"/>
                    <w:b w:val="0"/>
                    <w:color w:val="auto"/>
                    <w:spacing w:val="2"/>
                  </w:rPr>
                  <w:br w:type="page"/>
                  <w:t xml:space="preserve">The Productivity Commission acknowledges the Traditional Owners of </w:t>
                </w:r>
                <w:r w:rsidRPr="00AE7C03">
                  <w:rPr>
                    <w:rFonts w:ascii="Arial" w:hAnsi="Arial" w:cs="Arial"/>
                    <w:b w:val="0"/>
                    <w:color w:val="auto"/>
                    <w:spacing w:val="2"/>
                  </w:rPr>
                  <w:br/>
                  <w:t xml:space="preserve">Country throughout Australia and their continuing connection to land, </w:t>
                </w:r>
                <w:r w:rsidRPr="00AE7C03">
                  <w:rPr>
                    <w:rFonts w:ascii="Arial" w:hAnsi="Arial" w:cs="Arial"/>
                    <w:b w:val="0"/>
                    <w:color w:val="auto"/>
                    <w:spacing w:val="2"/>
                  </w:rPr>
                  <w:br/>
                  <w:t>waters and community. We pay our respects to their Cultures, Country and Elders past and present.</w:t>
                </w:r>
              </w:p>
              <w:p w14:paraId="6A95C95E" w14:textId="77777777" w:rsidR="004F7BE2" w:rsidRPr="00AE7C03" w:rsidRDefault="004F7BE2" w:rsidP="005A7BB3">
                <w:pPr>
                  <w:pStyle w:val="Copyrightpage-Keylinenotext"/>
                  <w:ind w:right="-284"/>
                  <w:rPr>
                    <w:rFonts w:ascii="Arial" w:hAnsi="Arial" w:cs="Arial"/>
                    <w:color w:val="auto"/>
                    <w:spacing w:val="2"/>
                    <w:szCs w:val="20"/>
                  </w:rPr>
                </w:pPr>
              </w:p>
              <w:p w14:paraId="0F5B00AE" w14:textId="4D2EC480" w:rsidR="004F7BE2" w:rsidRPr="00912755" w:rsidRDefault="00DF1D5C" w:rsidP="005A7BB3">
                <w:pPr>
                  <w:pStyle w:val="Copyrightpage-Heading"/>
                  <w:ind w:right="-284"/>
                  <w:rPr>
                    <w:color w:val="auto"/>
                  </w:rPr>
                </w:pPr>
                <w:r>
                  <w:rPr>
                    <w:color w:val="auto"/>
                  </w:rPr>
                  <w:t>About us</w:t>
                </w:r>
              </w:p>
              <w:p w14:paraId="3135CB69" w14:textId="77777777" w:rsidR="00EB755B" w:rsidRPr="005A7BB3" w:rsidRDefault="00EB755B" w:rsidP="005A7BB3">
                <w:pPr>
                  <w:pStyle w:val="Copyrightpage-BodyBold"/>
                  <w:rPr>
                    <w:rFonts w:ascii="Arial" w:hAnsi="Arial" w:cs="Arial"/>
                    <w:b w:val="0"/>
                    <w:color w:val="auto"/>
                  </w:rPr>
                </w:pPr>
                <w:r w:rsidRPr="005A7BB3">
                  <w:rPr>
                    <w:rFonts w:ascii="Arial" w:hAnsi="Arial" w:cs="Arial"/>
                    <w:b w:val="0"/>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77C93775" w14:textId="77777777" w:rsidR="00EB755B" w:rsidRPr="00AE7C03" w:rsidRDefault="00EB755B" w:rsidP="005A7BB3">
                <w:pPr>
                  <w:pStyle w:val="Copyrightpage-BodyBold"/>
                  <w:rPr>
                    <w:rFonts w:ascii="Arial" w:hAnsi="Arial" w:cs="Arial"/>
                    <w:b w:val="0"/>
                    <w:color w:val="auto"/>
                    <w:spacing w:val="2"/>
                  </w:rPr>
                </w:pPr>
                <w:r w:rsidRPr="00AE7C03">
                  <w:rPr>
                    <w:rFonts w:ascii="Arial" w:hAnsi="Arial" w:cs="Arial"/>
                    <w:b w:val="0"/>
                    <w:color w:val="auto"/>
                    <w:spacing w:val="2"/>
                  </w:rPr>
                  <w:t xml:space="preserve">The PC’s independence is underpinned by an Act of Parliament. Its processes and outputs are open to public scrutiny and are driven by concern for the wellbeing of the </w:t>
                </w:r>
                <w:proofErr w:type="gramStart"/>
                <w:r w:rsidRPr="00AE7C03">
                  <w:rPr>
                    <w:rFonts w:ascii="Arial" w:hAnsi="Arial" w:cs="Arial"/>
                    <w:b w:val="0"/>
                    <w:color w:val="auto"/>
                    <w:spacing w:val="2"/>
                  </w:rPr>
                  <w:t>community as a whole</w:t>
                </w:r>
                <w:proofErr w:type="gramEnd"/>
                <w:r w:rsidRPr="00AE7C03">
                  <w:rPr>
                    <w:rFonts w:ascii="Arial" w:hAnsi="Arial" w:cs="Arial"/>
                    <w:b w:val="0"/>
                    <w:color w:val="auto"/>
                    <w:spacing w:val="2"/>
                  </w:rPr>
                  <w:t>.</w:t>
                </w:r>
              </w:p>
              <w:p w14:paraId="7D618C2B" w14:textId="7226D288" w:rsidR="004F7BE2" w:rsidRPr="00AE7C03" w:rsidRDefault="00EB755B" w:rsidP="005A7BB3">
                <w:pPr>
                  <w:pStyle w:val="Copyrightpage-BodyBold"/>
                  <w:rPr>
                    <w:rFonts w:ascii="Arial" w:hAnsi="Arial" w:cs="Arial"/>
                    <w:b w:val="0"/>
                    <w:color w:val="auto"/>
                    <w:spacing w:val="2"/>
                  </w:rPr>
                </w:pPr>
                <w:r w:rsidRPr="00AE7C03">
                  <w:rPr>
                    <w:rFonts w:ascii="Arial" w:hAnsi="Arial" w:cs="Arial"/>
                    <w:b w:val="0"/>
                    <w:color w:val="auto"/>
                    <w:spacing w:val="2"/>
                  </w:rPr>
                  <w:t xml:space="preserve">For more information, visit the PC’s website: </w:t>
                </w:r>
                <w:hyperlink r:id="rId19" w:history="1">
                  <w:r w:rsidRPr="00AE7C03">
                    <w:rPr>
                      <w:rFonts w:ascii="Arial" w:hAnsi="Arial" w:cs="Arial"/>
                      <w:b w:val="0"/>
                      <w:color w:val="auto"/>
                      <w:spacing w:val="2"/>
                    </w:rPr>
                    <w:t>www.pc.gov.au</w:t>
                  </w:r>
                </w:hyperlink>
              </w:p>
              <w:p w14:paraId="224B59D0" w14:textId="77777777" w:rsidR="004F7BE2" w:rsidRPr="00AE7C03" w:rsidRDefault="004F7BE2" w:rsidP="005A7BB3">
                <w:pPr>
                  <w:pStyle w:val="Copyrightpage-Keylinenotext"/>
                  <w:ind w:right="-284"/>
                  <w:rPr>
                    <w:rFonts w:ascii="Arial" w:hAnsi="Arial" w:cs="Arial"/>
                    <w:color w:val="auto"/>
                    <w:spacing w:val="2"/>
                    <w:szCs w:val="20"/>
                  </w:rPr>
                </w:pPr>
              </w:p>
              <w:p w14:paraId="3FC154B5" w14:textId="37763FCD" w:rsidR="004F7BE2" w:rsidRPr="005A7BB3" w:rsidRDefault="004F7BE2" w:rsidP="005A7BB3">
                <w:pPr>
                  <w:pStyle w:val="Copyrightpage-BodyBold"/>
                  <w:rPr>
                    <w:rFonts w:ascii="Arial" w:hAnsi="Arial" w:cs="Arial"/>
                    <w:bCs/>
                    <w:color w:val="auto"/>
                    <w:spacing w:val="2"/>
                  </w:rPr>
                </w:pPr>
                <w:r w:rsidRPr="005A7BB3">
                  <w:rPr>
                    <w:rFonts w:ascii="Arial" w:hAnsi="Arial" w:cs="Arial"/>
                    <w:bCs/>
                    <w:color w:val="auto"/>
                    <w:spacing w:val="2"/>
                  </w:rPr>
                  <w:t>© Commonwealth of Australia 202</w:t>
                </w:r>
                <w:r w:rsidR="00803A1A" w:rsidRPr="005A7BB3">
                  <w:rPr>
                    <w:rFonts w:ascii="Arial" w:hAnsi="Arial" w:cs="Arial"/>
                    <w:bCs/>
                    <w:color w:val="auto"/>
                    <w:spacing w:val="2"/>
                  </w:rPr>
                  <w:t>5</w:t>
                </w:r>
              </w:p>
              <w:p w14:paraId="76DB7CEA" w14:textId="77777777" w:rsidR="004F7BE2" w:rsidRPr="00AE7C03" w:rsidRDefault="004F7BE2" w:rsidP="005A7BB3">
                <w:pPr>
                  <w:pStyle w:val="Copyrightpage-Heading2"/>
                  <w:spacing w:before="0"/>
                  <w:ind w:right="-284"/>
                  <w:rPr>
                    <w:rFonts w:ascii="Arial" w:hAnsi="Arial" w:cs="Arial"/>
                    <w:b w:val="0"/>
                    <w:color w:val="auto"/>
                    <w:spacing w:val="2"/>
                    <w:szCs w:val="20"/>
                  </w:rPr>
                </w:pPr>
                <w:r w:rsidRPr="00AE7C03">
                  <w:rPr>
                    <w:rFonts w:ascii="Arial" w:hAnsi="Arial" w:cs="Arial"/>
                    <w:b w:val="0"/>
                    <w:noProof/>
                    <w:color w:val="auto"/>
                    <w:spacing w:val="2"/>
                    <w:szCs w:val="20"/>
                  </w:rPr>
                  <w:drawing>
                    <wp:inline distT="0" distB="0" distL="0" distR="0" wp14:anchorId="3E46F5D4" wp14:editId="43519930">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5D54230E" w14:textId="77777777" w:rsidR="004F7BE2" w:rsidRPr="005A7BB3" w:rsidRDefault="004F7BE2" w:rsidP="005A7BB3">
                <w:pPr>
                  <w:pStyle w:val="Copyrightpage-BodyBold"/>
                  <w:ind w:right="-143"/>
                  <w:rPr>
                    <w:rFonts w:ascii="Arial" w:hAnsi="Arial" w:cs="Arial"/>
                    <w:b w:val="0"/>
                    <w:color w:val="auto"/>
                    <w:spacing w:val="-2"/>
                  </w:rPr>
                </w:pPr>
                <w:proofErr w:type="gramStart"/>
                <w:r w:rsidRPr="005A7BB3">
                  <w:rPr>
                    <w:rFonts w:ascii="Arial" w:hAnsi="Arial" w:cs="Arial"/>
                    <w:b w:val="0"/>
                    <w:color w:val="auto"/>
                    <w:spacing w:val="-2"/>
                  </w:rPr>
                  <w:t>With the exception of</w:t>
                </w:r>
                <w:proofErr w:type="gramEnd"/>
                <w:r w:rsidRPr="005A7BB3">
                  <w:rPr>
                    <w:rFonts w:ascii="Arial" w:hAnsi="Arial" w:cs="Arial"/>
                    <w:b w:val="0"/>
                    <w:color w:val="auto"/>
                    <w:spacing w:val="-2"/>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5A7BB3">
                  <w:rPr>
                    <w:rFonts w:ascii="Arial" w:hAnsi="Arial" w:cs="Arial"/>
                    <w:b w:val="0"/>
                    <w:color w:val="auto"/>
                    <w:spacing w:val="-2"/>
                  </w:rPr>
                  <w:t>as long as</w:t>
                </w:r>
                <w:proofErr w:type="gramEnd"/>
                <w:r w:rsidRPr="005A7BB3">
                  <w:rPr>
                    <w:rFonts w:ascii="Arial" w:hAnsi="Arial" w:cs="Arial"/>
                    <w:b w:val="0"/>
                    <w:color w:val="auto"/>
                    <w:spacing w:val="-2"/>
                  </w:rPr>
                  <w:t xml:space="preserve"> you attribute the work to the Productivity Commission (but not in any way that suggests the Commission endorses you or your use) and abide by the other licence terms. The licence can be viewed at: https://creativecommons.org/licenses/by/4.0.</w:t>
                </w:r>
              </w:p>
              <w:p w14:paraId="7FD1A846" w14:textId="77777777" w:rsidR="004F7BE2" w:rsidRPr="00AE7C03" w:rsidRDefault="004F7BE2" w:rsidP="005A7BB3">
                <w:pPr>
                  <w:pStyle w:val="Copyrightpage-BodyBold"/>
                  <w:rPr>
                    <w:rFonts w:ascii="Arial" w:hAnsi="Arial" w:cs="Arial"/>
                    <w:b w:val="0"/>
                    <w:color w:val="auto"/>
                    <w:spacing w:val="2"/>
                  </w:rPr>
                </w:pPr>
                <w:r w:rsidRPr="00AE7C03">
                  <w:rPr>
                    <w:rFonts w:ascii="Arial" w:hAnsi="Arial" w:cs="Arial"/>
                    <w:b w:val="0"/>
                    <w:color w:val="auto"/>
                    <w:spacing w:val="2"/>
                  </w:rPr>
                  <w:t>The terms under which the Coat of Arms can be used are detailed at: www.pmc.gov.au/government/commonwealth-coat-arms.</w:t>
                </w:r>
              </w:p>
              <w:p w14:paraId="29317D9E" w14:textId="77777777" w:rsidR="004F7BE2" w:rsidRPr="005A7BB3" w:rsidRDefault="004F7BE2" w:rsidP="005A7BB3">
                <w:pPr>
                  <w:pStyle w:val="Copyrightpage-BodyBold"/>
                  <w:rPr>
                    <w:rFonts w:ascii="Arial" w:hAnsi="Arial" w:cs="Arial"/>
                    <w:b w:val="0"/>
                    <w:color w:val="auto"/>
                    <w:spacing w:val="-2"/>
                  </w:rPr>
                </w:pPr>
                <w:r w:rsidRPr="005A7BB3">
                  <w:rPr>
                    <w:rFonts w:ascii="Arial" w:hAnsi="Arial" w:cs="Arial"/>
                    <w:b w:val="0"/>
                    <w:color w:val="auto"/>
                    <w:spacing w:val="-2"/>
                  </w:rPr>
                  <w:t>Wherever a third party holds copyright in this material the copyright remains with that party. Their permission may be required to use the material, please contact them directly.</w:t>
                </w:r>
              </w:p>
              <w:p w14:paraId="57AE8CA1" w14:textId="0C0E82FB" w:rsidR="00014BDC" w:rsidRPr="00657B2E" w:rsidRDefault="00014BDC" w:rsidP="00014BDC">
                <w:pPr>
                  <w:pStyle w:val="Copyrightpage-BodyBold"/>
                  <w:rPr>
                    <w:b w:val="0"/>
                    <w:bCs/>
                    <w:color w:val="auto"/>
                  </w:rPr>
                </w:pPr>
                <w:r w:rsidRPr="00657B2E">
                  <w:rPr>
                    <w:b w:val="0"/>
                    <w:bCs/>
                    <w:color w:val="auto"/>
                  </w:rPr>
                  <w:t xml:space="preserve">ISSN </w:t>
                </w:r>
                <w:r w:rsidRPr="001506D1">
                  <w:rPr>
                    <w:b w:val="0"/>
                    <w:bCs/>
                    <w:color w:val="auto"/>
                  </w:rPr>
                  <w:t>1447-1337</w:t>
                </w:r>
                <w:r w:rsidRPr="00657B2E">
                  <w:rPr>
                    <w:b w:val="0"/>
                    <w:bCs/>
                    <w:color w:val="auto"/>
                  </w:rPr>
                  <w:t xml:space="preserve"> (online)</w:t>
                </w:r>
                <w:r w:rsidRPr="00657B2E">
                  <w:rPr>
                    <w:b w:val="0"/>
                    <w:bCs/>
                    <w:color w:val="auto"/>
                  </w:rPr>
                  <w:br/>
                  <w:t xml:space="preserve">ISSN </w:t>
                </w:r>
                <w:r w:rsidRPr="00462AF5">
                  <w:rPr>
                    <w:b w:val="0"/>
                    <w:bCs/>
                    <w:color w:val="auto"/>
                  </w:rPr>
                  <w:t>1447-1329</w:t>
                </w:r>
                <w:r w:rsidRPr="00657B2E">
                  <w:rPr>
                    <w:b w:val="0"/>
                    <w:bCs/>
                    <w:color w:val="auto"/>
                  </w:rPr>
                  <w:t xml:space="preserve"> (print)</w:t>
                </w:r>
                <w:r w:rsidRPr="00657B2E">
                  <w:rPr>
                    <w:b w:val="0"/>
                    <w:bCs/>
                    <w:color w:val="auto"/>
                  </w:rPr>
                  <w:br/>
                  <w:t xml:space="preserve">ISBN </w:t>
                </w:r>
                <w:r w:rsidR="00AC2085" w:rsidRPr="00AC2085">
                  <w:rPr>
                    <w:b w:val="0"/>
                    <w:bCs/>
                    <w:color w:val="auto"/>
                  </w:rPr>
                  <w:t>978-1-74037-829-1</w:t>
                </w:r>
                <w:r w:rsidRPr="00657B2E">
                  <w:rPr>
                    <w:b w:val="0"/>
                    <w:bCs/>
                    <w:color w:val="auto"/>
                  </w:rPr>
                  <w:t xml:space="preserve"> (online)</w:t>
                </w:r>
                <w:r w:rsidRPr="00657B2E">
                  <w:rPr>
                    <w:b w:val="0"/>
                    <w:bCs/>
                    <w:color w:val="auto"/>
                  </w:rPr>
                  <w:br/>
                  <w:t xml:space="preserve">ISBN </w:t>
                </w:r>
                <w:r w:rsidR="00581192" w:rsidRPr="00581192">
                  <w:rPr>
                    <w:b w:val="0"/>
                    <w:bCs/>
                    <w:color w:val="auto"/>
                  </w:rPr>
                  <w:t>978-1-74037-828-4</w:t>
                </w:r>
                <w:r w:rsidRPr="00657B2E">
                  <w:rPr>
                    <w:b w:val="0"/>
                    <w:bCs/>
                    <w:color w:val="auto"/>
                  </w:rPr>
                  <w:t xml:space="preserve"> (print)</w:t>
                </w:r>
              </w:p>
              <w:p w14:paraId="6AACD75C" w14:textId="2D535345" w:rsidR="004F7BE2" w:rsidRPr="00AE7C03" w:rsidRDefault="004F7BE2" w:rsidP="005A7BB3">
                <w:pPr>
                  <w:pStyle w:val="Copyrightpage-BodyBold"/>
                  <w:rPr>
                    <w:rFonts w:ascii="Arial" w:hAnsi="Arial" w:cs="Arial"/>
                    <w:b w:val="0"/>
                    <w:color w:val="auto"/>
                    <w:spacing w:val="2"/>
                  </w:rPr>
                </w:pPr>
                <w:r w:rsidRPr="00AE7C03">
                  <w:rPr>
                    <w:rFonts w:ascii="Arial" w:hAnsi="Arial" w:cs="Arial"/>
                    <w:b w:val="0"/>
                    <w:color w:val="auto"/>
                    <w:spacing w:val="2"/>
                  </w:rPr>
                  <w:t>An appropriate reference for this publication is:</w:t>
                </w:r>
                <w:r w:rsidRPr="00AE7C03">
                  <w:rPr>
                    <w:rFonts w:ascii="Arial" w:hAnsi="Arial" w:cs="Arial"/>
                    <w:b w:val="0"/>
                    <w:color w:val="auto"/>
                    <w:spacing w:val="2"/>
                  </w:rPr>
                  <w:br/>
                  <w:t xml:space="preserve">Productivity Commission </w:t>
                </w:r>
                <w:r w:rsidR="00F15989" w:rsidRPr="00AE7C03">
                  <w:rPr>
                    <w:rFonts w:ascii="Arial" w:hAnsi="Arial" w:cs="Arial"/>
                    <w:b w:val="0"/>
                    <w:color w:val="auto"/>
                    <w:spacing w:val="2"/>
                  </w:rPr>
                  <w:t>202</w:t>
                </w:r>
                <w:r w:rsidR="00803A1A">
                  <w:rPr>
                    <w:rFonts w:ascii="Arial" w:hAnsi="Arial" w:cs="Arial"/>
                    <w:b w:val="0"/>
                    <w:color w:val="auto"/>
                    <w:spacing w:val="2"/>
                  </w:rPr>
                  <w:t>5</w:t>
                </w:r>
                <w:r w:rsidRPr="00AE7C03">
                  <w:rPr>
                    <w:rFonts w:ascii="Arial" w:hAnsi="Arial" w:cs="Arial"/>
                    <w:b w:val="0"/>
                    <w:color w:val="auto"/>
                    <w:spacing w:val="2"/>
                  </w:rPr>
                  <w:t xml:space="preserve">, </w:t>
                </w:r>
                <w:r w:rsidR="002D4233">
                  <w:rPr>
                    <w:rFonts w:ascii="Arial" w:hAnsi="Arial" w:cs="Arial"/>
                    <w:b w:val="0"/>
                    <w:i/>
                    <w:color w:val="auto"/>
                    <w:spacing w:val="2"/>
                  </w:rPr>
                  <w:t>Delivering quality care more efficiently</w:t>
                </w:r>
                <w:r w:rsidRPr="00AE7C03">
                  <w:rPr>
                    <w:rFonts w:ascii="Arial" w:hAnsi="Arial" w:cs="Arial"/>
                    <w:b w:val="0"/>
                    <w:color w:val="auto"/>
                    <w:spacing w:val="2"/>
                  </w:rPr>
                  <w:t xml:space="preserve">, </w:t>
                </w:r>
                <w:r w:rsidR="00340C4D">
                  <w:rPr>
                    <w:rFonts w:ascii="Arial" w:hAnsi="Arial" w:cs="Arial"/>
                    <w:b w:val="0"/>
                    <w:bCs/>
                    <w:color w:val="auto"/>
                    <w:spacing w:val="2"/>
                  </w:rPr>
                  <w:t>Inquiry</w:t>
                </w:r>
                <w:r w:rsidR="002A03D0">
                  <w:rPr>
                    <w:rFonts w:ascii="Arial" w:hAnsi="Arial" w:cs="Arial"/>
                    <w:b w:val="0"/>
                    <w:bCs/>
                    <w:color w:val="auto"/>
                    <w:spacing w:val="2"/>
                  </w:rPr>
                  <w:t xml:space="preserve"> r</w:t>
                </w:r>
                <w:r w:rsidRPr="00AE7C03">
                  <w:rPr>
                    <w:rFonts w:ascii="Arial" w:hAnsi="Arial" w:cs="Arial"/>
                    <w:b w:val="0"/>
                    <w:bCs/>
                    <w:color w:val="auto"/>
                    <w:spacing w:val="2"/>
                  </w:rPr>
                  <w:t>eport</w:t>
                </w:r>
                <w:r w:rsidR="00C30E9E">
                  <w:rPr>
                    <w:rFonts w:ascii="Arial" w:hAnsi="Arial" w:cs="Arial"/>
                    <w:b w:val="0"/>
                    <w:bCs/>
                    <w:color w:val="auto"/>
                    <w:spacing w:val="2"/>
                  </w:rPr>
                  <w:t xml:space="preserve"> no. </w:t>
                </w:r>
                <w:r w:rsidR="000669C3">
                  <w:rPr>
                    <w:rFonts w:ascii="Arial" w:hAnsi="Arial" w:cs="Arial"/>
                    <w:b w:val="0"/>
                    <w:bCs/>
                    <w:color w:val="auto"/>
                    <w:spacing w:val="2"/>
                  </w:rPr>
                  <w:t>112</w:t>
                </w:r>
                <w:r w:rsidRPr="00AE7C03">
                  <w:rPr>
                    <w:rFonts w:ascii="Arial" w:hAnsi="Arial" w:cs="Arial"/>
                    <w:b w:val="0"/>
                    <w:color w:val="auto"/>
                    <w:spacing w:val="2"/>
                  </w:rPr>
                  <w:t>, Canberra</w:t>
                </w:r>
              </w:p>
              <w:p w14:paraId="302BE212" w14:textId="77777777" w:rsidR="004F7BE2" w:rsidRPr="00336F90" w:rsidRDefault="004F7BE2" w:rsidP="005A7BB3">
                <w:pPr>
                  <w:pStyle w:val="Copyrightpage-BodyBold"/>
                  <w:ind w:right="-284"/>
                  <w:rPr>
                    <w:rFonts w:ascii="Arial" w:hAnsi="Arial" w:cs="Arial"/>
                    <w:b w:val="0"/>
                    <w:color w:val="auto"/>
                    <w:spacing w:val="2"/>
                    <w:lang w:val="fr-CA"/>
                  </w:rPr>
                </w:pPr>
                <w:r w:rsidRPr="00336F90">
                  <w:rPr>
                    <w:rFonts w:ascii="Arial" w:hAnsi="Arial" w:cs="Arial"/>
                    <w:b w:val="0"/>
                    <w:color w:val="auto"/>
                    <w:spacing w:val="2"/>
                    <w:lang w:val="fr-CA"/>
                  </w:rPr>
                  <w:t xml:space="preserve">Publication </w:t>
                </w:r>
                <w:proofErr w:type="spellStart"/>
                <w:r w:rsidRPr="00336F90">
                  <w:rPr>
                    <w:rFonts w:ascii="Arial" w:hAnsi="Arial" w:cs="Arial"/>
                    <w:b w:val="0"/>
                    <w:color w:val="auto"/>
                    <w:spacing w:val="2"/>
                    <w:lang w:val="fr-CA"/>
                  </w:rPr>
                  <w:t>enquiries</w:t>
                </w:r>
                <w:proofErr w:type="spellEnd"/>
                <w:r w:rsidRPr="00336F90">
                  <w:rPr>
                    <w:rFonts w:ascii="Arial" w:hAnsi="Arial" w:cs="Arial"/>
                    <w:b w:val="0"/>
                    <w:color w:val="auto"/>
                    <w:spacing w:val="2"/>
                    <w:lang w:val="fr-CA"/>
                  </w:rPr>
                  <w:t xml:space="preserve">: </w:t>
                </w:r>
                <w:r w:rsidRPr="00336F90">
                  <w:rPr>
                    <w:rFonts w:ascii="Arial" w:hAnsi="Arial" w:cs="Arial"/>
                    <w:b w:val="0"/>
                    <w:color w:val="auto"/>
                    <w:spacing w:val="2"/>
                    <w:lang w:val="fr-CA"/>
                  </w:rPr>
                  <w:br/>
                </w:r>
                <w:r w:rsidR="00096878" w:rsidRPr="00336F90">
                  <w:rPr>
                    <w:rFonts w:ascii="Arial" w:hAnsi="Arial" w:cs="Arial"/>
                    <w:b w:val="0"/>
                    <w:color w:val="auto"/>
                    <w:spacing w:val="2"/>
                    <w:lang w:val="fr-CA"/>
                  </w:rPr>
                  <w:t>P</w:t>
                </w:r>
                <w:r w:rsidRPr="00336F90">
                  <w:rPr>
                    <w:rFonts w:ascii="Arial" w:hAnsi="Arial" w:cs="Arial"/>
                    <w:b w:val="0"/>
                    <w:color w:val="auto"/>
                    <w:spacing w:val="2"/>
                    <w:lang w:val="fr-CA"/>
                  </w:rPr>
                  <w:t xml:space="preserve">hone 03 9653 2244 | </w:t>
                </w:r>
                <w:proofErr w:type="gramStart"/>
                <w:r w:rsidR="00096878" w:rsidRPr="00336F90">
                  <w:rPr>
                    <w:rFonts w:ascii="Arial" w:hAnsi="Arial" w:cs="Arial"/>
                    <w:b w:val="0"/>
                    <w:color w:val="auto"/>
                    <w:spacing w:val="2"/>
                    <w:lang w:val="fr-CA"/>
                  </w:rPr>
                  <w:t>E</w:t>
                </w:r>
                <w:r w:rsidRPr="00336F90">
                  <w:rPr>
                    <w:rFonts w:ascii="Arial" w:hAnsi="Arial" w:cs="Arial"/>
                    <w:b w:val="0"/>
                    <w:color w:val="auto"/>
                    <w:spacing w:val="2"/>
                    <w:lang w:val="fr-CA"/>
                  </w:rPr>
                  <w:t>mail</w:t>
                </w:r>
                <w:proofErr w:type="gramEnd"/>
                <w:r w:rsidRPr="00336F90">
                  <w:rPr>
                    <w:rFonts w:ascii="Arial" w:hAnsi="Arial" w:cs="Arial"/>
                    <w:b w:val="0"/>
                    <w:color w:val="auto"/>
                    <w:spacing w:val="2"/>
                    <w:lang w:val="fr-CA"/>
                  </w:rPr>
                  <w:t xml:space="preserve"> publications@pc.gov.au</w:t>
                </w:r>
              </w:p>
            </w:tc>
          </w:tr>
        </w:tbl>
        <w:p w14:paraId="11B5ACFF" w14:textId="77777777" w:rsidR="004F7BE2" w:rsidRPr="00DA3017" w:rsidRDefault="004F7BE2" w:rsidP="004F7BE2">
          <w:pPr>
            <w:spacing w:before="0" w:after="160" w:line="259" w:lineRule="auto"/>
            <w:rPr>
              <w:b/>
              <w:color w:val="FFFFFF" w:themeColor="background1"/>
            </w:rPr>
          </w:pPr>
          <w:r w:rsidRPr="00336F90">
            <w:rPr>
              <w:rStyle w:val="White"/>
              <w:b/>
              <w:lang w:val="fr-CA"/>
            </w:rPr>
            <w:t xml:space="preserve"> </w:t>
          </w:r>
        </w:p>
      </w:sdtContent>
    </w:sdt>
    <w:tbl>
      <w:tblPr>
        <w:tblStyle w:val="NoBorderwithPadding"/>
        <w:tblW w:w="0" w:type="auto"/>
        <w:shd w:val="clear" w:color="auto" w:fill="E6E6E6"/>
        <w:tblLook w:val="04A0" w:firstRow="1" w:lastRow="0" w:firstColumn="1" w:lastColumn="0" w:noHBand="0" w:noVBand="1"/>
      </w:tblPr>
      <w:tblGrid>
        <w:gridCol w:w="9638"/>
      </w:tblGrid>
      <w:tr w:rsidR="00E02460" w14:paraId="4B13B1F0" w14:textId="77777777" w:rsidTr="00F35A31">
        <w:trPr>
          <w:trHeight w:hRule="exact" w:val="12643"/>
        </w:trPr>
        <w:tc>
          <w:tcPr>
            <w:tcW w:w="9638" w:type="dxa"/>
            <w:shd w:val="clear" w:color="auto" w:fill="E6E6E6"/>
          </w:tcPr>
          <w:p w14:paraId="66CF944B" w14:textId="77777777" w:rsidR="00E02460" w:rsidRPr="006A0D6A" w:rsidRDefault="00E02460" w:rsidP="006A0D6A">
            <w:pPr>
              <w:pStyle w:val="Heading1-nobackground"/>
              <w:shd w:val="clear" w:color="auto" w:fill="E6E6E6"/>
              <w:jc w:val="right"/>
              <w:rPr>
                <w:color w:val="E6E6E6"/>
                <w:sz w:val="16"/>
                <w:szCs w:val="16"/>
              </w:rPr>
            </w:pPr>
            <w:bookmarkStart w:id="0" w:name="_Toc87880290"/>
            <w:bookmarkStart w:id="1" w:name="_Toc215671146"/>
            <w:bookmarkStart w:id="2" w:name="_Toc215838110"/>
            <w:r w:rsidRPr="006A0D6A">
              <w:rPr>
                <w:color w:val="E6E6E6"/>
                <w:sz w:val="16"/>
                <w:szCs w:val="16"/>
              </w:rPr>
              <w:lastRenderedPageBreak/>
              <w:t>Transmittal letter</w:t>
            </w:r>
            <w:r w:rsidRPr="00AC4F7C">
              <w:rPr>
                <w:noProof/>
              </w:rPr>
              <w:drawing>
                <wp:inline distT="0" distB="0" distL="0" distR="0" wp14:anchorId="4D9E1C87" wp14:editId="45B946CD">
                  <wp:extent cx="1755352" cy="424673"/>
                  <wp:effectExtent l="0" t="0" r="0" b="0"/>
                  <wp:docPr id="14" name="Graphic 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1797881" cy="434962"/>
                          </a:xfrm>
                          <a:prstGeom prst="rect">
                            <a:avLst/>
                          </a:prstGeom>
                        </pic:spPr>
                      </pic:pic>
                    </a:graphicData>
                  </a:graphic>
                </wp:inline>
              </w:drawing>
            </w:r>
            <w:bookmarkEnd w:id="0"/>
            <w:bookmarkEnd w:id="1"/>
            <w:bookmarkEnd w:id="2"/>
          </w:p>
          <w:p w14:paraId="4478EEB7" w14:textId="77777777" w:rsidR="00E02460" w:rsidRDefault="00E02460" w:rsidP="005630A7">
            <w:pPr>
              <w:pStyle w:val="LetterRight"/>
            </w:pPr>
            <w:r w:rsidRPr="00E61632">
              <w:rPr>
                <w:rStyle w:val="Strong"/>
              </w:rPr>
              <w:t>Canberra Office</w:t>
            </w:r>
            <w:r>
              <w:rPr>
                <w:rStyle w:val="Strong"/>
              </w:rPr>
              <w:br/>
            </w:r>
            <w:r>
              <w:t>4 National Circuit</w:t>
            </w:r>
            <w:r>
              <w:br/>
              <w:t>Barton ACT 2600</w:t>
            </w:r>
          </w:p>
          <w:p w14:paraId="6E6ACAC7" w14:textId="77777777" w:rsidR="00E02460" w:rsidRDefault="00E02460" w:rsidP="00353CE8">
            <w:pPr>
              <w:pStyle w:val="LetterRight"/>
              <w:spacing w:after="0"/>
            </w:pPr>
            <w:r>
              <w:t>GPO Box 1428</w:t>
            </w:r>
            <w:r>
              <w:br/>
              <w:t>Canberra City ACT 2601</w:t>
            </w:r>
          </w:p>
          <w:p w14:paraId="11F22E81" w14:textId="77777777" w:rsidR="00E02460" w:rsidRDefault="00E02460" w:rsidP="00353CE8">
            <w:pPr>
              <w:pStyle w:val="LetterRight"/>
              <w:spacing w:before="60"/>
            </w:pPr>
            <w:r w:rsidRPr="00D15B7C">
              <w:t>Telephone</w:t>
            </w:r>
            <w:r>
              <w:t xml:space="preserve"> 02 6240 3200</w:t>
            </w:r>
          </w:p>
          <w:p w14:paraId="12EEC83C" w14:textId="77777777" w:rsidR="00E02460" w:rsidRDefault="00E02460" w:rsidP="005630A7">
            <w:pPr>
              <w:pStyle w:val="LetterRight"/>
            </w:pPr>
            <w:r w:rsidRPr="00E61632">
              <w:rPr>
                <w:rStyle w:val="Strong"/>
              </w:rPr>
              <w:t>Melbourne Office</w:t>
            </w:r>
            <w:r>
              <w:rPr>
                <w:rStyle w:val="Strong"/>
              </w:rPr>
              <w:br/>
            </w:r>
            <w:r w:rsidRPr="00D15B7C">
              <w:t>Telephone</w:t>
            </w:r>
            <w:r>
              <w:t xml:space="preserve"> 03 9653 2100</w:t>
            </w:r>
          </w:p>
          <w:p w14:paraId="6D845034" w14:textId="641C22AA" w:rsidR="00E02460" w:rsidRDefault="00E02460" w:rsidP="005630A7">
            <w:pPr>
              <w:pStyle w:val="LetterRight-NoSpace"/>
            </w:pPr>
            <w:hyperlink r:id="rId24" w:history="1">
              <w:r w:rsidRPr="00353CE8">
                <w:rPr>
                  <w:rStyle w:val="Hyperlink"/>
                </w:rPr>
                <w:t>www.pc.gov.au</w:t>
              </w:r>
            </w:hyperlink>
          </w:p>
          <w:p w14:paraId="0805D3C1" w14:textId="32C5EB94" w:rsidR="00E02460" w:rsidRPr="00E02460" w:rsidRDefault="00E02460" w:rsidP="005630A7">
            <w:pPr>
              <w:pStyle w:val="Date"/>
            </w:pPr>
            <w:r w:rsidRPr="00E02460">
              <w:t>10 December 2025</w:t>
            </w:r>
          </w:p>
          <w:p w14:paraId="62994623" w14:textId="77777777" w:rsidR="00E02460" w:rsidRPr="00E02460" w:rsidRDefault="00E02460" w:rsidP="005630A7">
            <w:pPr>
              <w:pStyle w:val="BodyText"/>
            </w:pPr>
            <w:r w:rsidRPr="00E02460">
              <w:t>The Hon Dr Jim Chalmers MP</w:t>
            </w:r>
            <w:r w:rsidRPr="00E02460">
              <w:br/>
              <w:t>Treasurer</w:t>
            </w:r>
            <w:r w:rsidRPr="00E02460">
              <w:br/>
              <w:t>Parliament House</w:t>
            </w:r>
            <w:r w:rsidRPr="00E02460">
              <w:br/>
              <w:t>CANBERRA ACT 2600</w:t>
            </w:r>
          </w:p>
          <w:p w14:paraId="2D24A14E" w14:textId="77777777" w:rsidR="00E02460" w:rsidRPr="00E02460" w:rsidRDefault="00E02460" w:rsidP="005630A7">
            <w:pPr>
              <w:pStyle w:val="BodyText"/>
            </w:pPr>
            <w:r w:rsidRPr="00E02460">
              <w:br/>
            </w:r>
          </w:p>
          <w:p w14:paraId="714CF916" w14:textId="77777777" w:rsidR="00E02460" w:rsidRPr="00E02460" w:rsidRDefault="00E02460" w:rsidP="005630A7">
            <w:pPr>
              <w:pStyle w:val="BodyText"/>
            </w:pPr>
            <w:r w:rsidRPr="00E02460">
              <w:t>Dear Treasurer</w:t>
            </w:r>
          </w:p>
          <w:p w14:paraId="30FCB356" w14:textId="1F3A073B" w:rsidR="00E02460" w:rsidRPr="00E02460" w:rsidRDefault="00E02460" w:rsidP="005630A7">
            <w:pPr>
              <w:pStyle w:val="BodyText"/>
            </w:pPr>
            <w:r w:rsidRPr="00E02460">
              <w:t xml:space="preserve">In accordance with section 11 of the </w:t>
            </w:r>
            <w:r w:rsidRPr="00E02460">
              <w:rPr>
                <w:i/>
                <w:iCs/>
              </w:rPr>
              <w:t>Productivity Commission Act 1998</w:t>
            </w:r>
            <w:r w:rsidRPr="00E02460">
              <w:t>, we have pleasure in</w:t>
            </w:r>
            <w:r w:rsidRPr="00E02460">
              <w:br/>
              <w:t xml:space="preserve">submitting to you the </w:t>
            </w:r>
            <w:r w:rsidR="00353CE8">
              <w:t>PC’s</w:t>
            </w:r>
            <w:r w:rsidRPr="00E02460">
              <w:t xml:space="preserve"> final report </w:t>
            </w:r>
            <w:r w:rsidR="00A44711">
              <w:t>for</w:t>
            </w:r>
            <w:r w:rsidRPr="00E02460">
              <w:t xml:space="preserve"> </w:t>
            </w:r>
            <w:r w:rsidR="00D2027B">
              <w:t xml:space="preserve">the </w:t>
            </w:r>
            <w:r w:rsidR="00353CE8" w:rsidRPr="00A44711">
              <w:rPr>
                <w:rFonts w:ascii="Arial" w:hAnsi="Arial" w:cs="Arial"/>
                <w:i/>
                <w:spacing w:val="2"/>
              </w:rPr>
              <w:t>Delivering quality care more efficiently</w:t>
            </w:r>
            <w:r w:rsidR="00016226" w:rsidRPr="00016226">
              <w:rPr>
                <w:rFonts w:ascii="Arial" w:hAnsi="Arial" w:cs="Arial"/>
                <w:iCs/>
                <w:spacing w:val="2"/>
              </w:rPr>
              <w:t xml:space="preserve"> inquiry</w:t>
            </w:r>
            <w:r w:rsidRPr="00E02460">
              <w:t>.</w:t>
            </w:r>
          </w:p>
          <w:p w14:paraId="6978A4E9" w14:textId="77777777" w:rsidR="00E02460" w:rsidRPr="00E02460" w:rsidRDefault="00E02460" w:rsidP="005630A7">
            <w:pPr>
              <w:pStyle w:val="BodyText"/>
            </w:pPr>
            <w:r w:rsidRPr="00E02460">
              <w:t>Yours sincerely</w:t>
            </w:r>
          </w:p>
          <w:tbl>
            <w:tblPr>
              <w:tblStyle w:val="Blank"/>
              <w:tblW w:w="0" w:type="auto"/>
              <w:tblLook w:val="04A0" w:firstRow="1" w:lastRow="0" w:firstColumn="1" w:lastColumn="0" w:noHBand="0" w:noVBand="1"/>
            </w:tblPr>
            <w:tblGrid>
              <w:gridCol w:w="4533"/>
              <w:gridCol w:w="4537"/>
            </w:tblGrid>
            <w:tr w:rsidR="00597E43" w:rsidRPr="00E02460" w14:paraId="7C0623A8" w14:textId="77777777" w:rsidTr="005630A7">
              <w:trPr>
                <w:trHeight w:val="680"/>
              </w:trPr>
              <w:tc>
                <w:tcPr>
                  <w:tcW w:w="4562" w:type="dxa"/>
                  <w:vAlign w:val="bottom"/>
                </w:tcPr>
                <w:p w14:paraId="545B6119" w14:textId="4FDAA103" w:rsidR="00E02460" w:rsidRPr="00E02460" w:rsidRDefault="00ED2681" w:rsidP="005630A7">
                  <w:pPr>
                    <w:pStyle w:val="BodyText"/>
                    <w:rPr>
                      <w:rStyle w:val="Strong"/>
                    </w:rPr>
                  </w:pPr>
                  <w:r>
                    <w:rPr>
                      <w:b/>
                      <w:bCs/>
                      <w:noProof/>
                    </w:rPr>
                    <w:drawing>
                      <wp:inline distT="0" distB="0" distL="0" distR="0" wp14:anchorId="115FE1C2" wp14:editId="22C95713">
                        <wp:extent cx="1440000" cy="472079"/>
                        <wp:effectExtent l="0" t="0" r="0" b="0"/>
                        <wp:docPr id="2127125119"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25119" name="Picture 1" descr="Signa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0000" cy="472079"/>
                                </a:xfrm>
                                <a:prstGeom prst="rect">
                                  <a:avLst/>
                                </a:prstGeom>
                              </pic:spPr>
                            </pic:pic>
                          </a:graphicData>
                        </a:graphic>
                      </wp:inline>
                    </w:drawing>
                  </w:r>
                </w:p>
              </w:tc>
              <w:tc>
                <w:tcPr>
                  <w:tcW w:w="4563" w:type="dxa"/>
                  <w:vAlign w:val="bottom"/>
                </w:tcPr>
                <w:p w14:paraId="50A8EFD8" w14:textId="40EB5639" w:rsidR="00E02460" w:rsidRPr="00E02460" w:rsidRDefault="00ED2681" w:rsidP="005630A7">
                  <w:pPr>
                    <w:pStyle w:val="BodyText"/>
                    <w:rPr>
                      <w:rStyle w:val="Strong"/>
                    </w:rPr>
                  </w:pPr>
                  <w:r>
                    <w:rPr>
                      <w:b/>
                      <w:bCs/>
                      <w:noProof/>
                    </w:rPr>
                    <w:drawing>
                      <wp:inline distT="0" distB="0" distL="0" distR="0" wp14:anchorId="1F579596" wp14:editId="663BE4E7">
                        <wp:extent cx="1618087" cy="707666"/>
                        <wp:effectExtent l="0" t="0" r="0" b="0"/>
                        <wp:docPr id="434188600" name="Pictur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88600" name="Picture 2" descr="Signature"/>
                                <pic:cNvPicPr/>
                              </pic:nvPicPr>
                              <pic:blipFill rotWithShape="1">
                                <a:blip r:embed="rId26" cstate="print">
                                  <a:extLst>
                                    <a:ext uri="{28A0092B-C50C-407E-A947-70E740481C1C}">
                                      <a14:useLocalDpi xmlns:a14="http://schemas.microsoft.com/office/drawing/2010/main" val="0"/>
                                    </a:ext>
                                  </a:extLst>
                                </a:blip>
                                <a:srcRect l="16700" b="5151"/>
                                <a:stretch>
                                  <a:fillRect/>
                                </a:stretch>
                              </pic:blipFill>
                              <pic:spPr bwMode="auto">
                                <a:xfrm>
                                  <a:off x="0" y="0"/>
                                  <a:ext cx="1620724" cy="708819"/>
                                </a:xfrm>
                                <a:prstGeom prst="rect">
                                  <a:avLst/>
                                </a:prstGeom>
                                <a:ln>
                                  <a:noFill/>
                                </a:ln>
                                <a:extLst>
                                  <a:ext uri="{53640926-AAD7-44D8-BBD7-CCE9431645EC}">
                                    <a14:shadowObscured xmlns:a14="http://schemas.microsoft.com/office/drawing/2010/main"/>
                                  </a:ext>
                                </a:extLst>
                              </pic:spPr>
                            </pic:pic>
                          </a:graphicData>
                        </a:graphic>
                      </wp:inline>
                    </w:drawing>
                  </w:r>
                </w:p>
              </w:tc>
            </w:tr>
            <w:tr w:rsidR="00597E43" w:rsidRPr="00E02460" w14:paraId="3122DDEA" w14:textId="77777777" w:rsidTr="005630A7">
              <w:trPr>
                <w:trHeight w:val="567"/>
              </w:trPr>
              <w:tc>
                <w:tcPr>
                  <w:tcW w:w="4562" w:type="dxa"/>
                  <w:vAlign w:val="bottom"/>
                </w:tcPr>
                <w:p w14:paraId="1292DD58" w14:textId="2364E161" w:rsidR="00E02460" w:rsidRPr="00E02460" w:rsidRDefault="00000000" w:rsidP="005630A7">
                  <w:pPr>
                    <w:pStyle w:val="BodyText"/>
                  </w:pPr>
                  <w:sdt>
                    <w:sdtPr>
                      <w:rPr>
                        <w:rStyle w:val="Strong"/>
                      </w:rPr>
                      <w:id w:val="1313600078"/>
                      <w:placeholder>
                        <w:docPart w:val="07BCB2FD39EC4AD898A9FE33105F12D1"/>
                      </w:placeholder>
                      <w15:appearance w15:val="hidden"/>
                      <w:text w:multiLine="1"/>
                    </w:sdtPr>
                    <w:sdtContent>
                      <w:r w:rsidR="00E02460" w:rsidRPr="00E02460">
                        <w:rPr>
                          <w:rStyle w:val="Strong"/>
                        </w:rPr>
                        <w:t>Alison Roberts</w:t>
                      </w:r>
                    </w:sdtContent>
                  </w:sdt>
                  <w:r w:rsidR="00E02460" w:rsidRPr="00E02460">
                    <w:rPr>
                      <w:rStyle w:val="Strong"/>
                    </w:rPr>
                    <w:br/>
                  </w:r>
                  <w:r w:rsidR="00E02460" w:rsidRPr="00E02460">
                    <w:t xml:space="preserve">Commissioner </w:t>
                  </w:r>
                </w:p>
              </w:tc>
              <w:tc>
                <w:tcPr>
                  <w:tcW w:w="4563" w:type="dxa"/>
                  <w:vAlign w:val="bottom"/>
                </w:tcPr>
                <w:p w14:paraId="27422F72" w14:textId="21E38667" w:rsidR="00E02460" w:rsidRPr="00E02460" w:rsidRDefault="00000000" w:rsidP="005630A7">
                  <w:pPr>
                    <w:pStyle w:val="BodyText"/>
                  </w:pPr>
                  <w:sdt>
                    <w:sdtPr>
                      <w:rPr>
                        <w:rStyle w:val="Strong"/>
                      </w:rPr>
                      <w:id w:val="-784740783"/>
                      <w:placeholder>
                        <w:docPart w:val="5925711EEECE4B559CEE1A8511ECFB34"/>
                      </w:placeholder>
                      <w15:appearance w15:val="hidden"/>
                      <w:text w:multiLine="1"/>
                    </w:sdtPr>
                    <w:sdtContent>
                      <w:r w:rsidR="00E02460" w:rsidRPr="00E02460">
                        <w:rPr>
                          <w:rStyle w:val="Strong"/>
                        </w:rPr>
                        <w:t>Angela Jackson</w:t>
                      </w:r>
                    </w:sdtContent>
                  </w:sdt>
                  <w:r w:rsidR="00E02460" w:rsidRPr="00E02460">
                    <w:br/>
                    <w:t>Commissioner</w:t>
                  </w:r>
                </w:p>
              </w:tc>
            </w:tr>
          </w:tbl>
          <w:p w14:paraId="21A82803" w14:textId="77777777" w:rsidR="00E02460" w:rsidRPr="00CD73AA" w:rsidRDefault="00E02460" w:rsidP="005630A7">
            <w:pPr>
              <w:tabs>
                <w:tab w:val="left" w:pos="7754"/>
              </w:tabs>
            </w:pPr>
          </w:p>
        </w:tc>
      </w:tr>
    </w:tbl>
    <w:p w14:paraId="2AFF777D" w14:textId="77777777" w:rsidR="004F7BE2" w:rsidRDefault="004F7BE2" w:rsidP="004F7BE2">
      <w:pPr>
        <w:pStyle w:val="BodyText"/>
        <w:sectPr w:rsidR="004F7BE2" w:rsidSect="00910AD4">
          <w:headerReference w:type="even" r:id="rId27"/>
          <w:headerReference w:type="default" r:id="rId28"/>
          <w:footerReference w:type="even" r:id="rId29"/>
          <w:footerReference w:type="default" r:id="rId30"/>
          <w:headerReference w:type="first" r:id="rId31"/>
          <w:pgSz w:w="11906" w:h="16838" w:code="9"/>
          <w:pgMar w:top="1134" w:right="1134" w:bottom="1134" w:left="1134" w:header="794" w:footer="510" w:gutter="0"/>
          <w:pgNumType w:fmt="lowerRoman" w:start="2"/>
          <w:cols w:space="708"/>
          <w:docGrid w:linePitch="360"/>
        </w:sectPr>
      </w:pPr>
      <w:bookmarkStart w:id="3" w:name="_Toc77943765"/>
    </w:p>
    <w:p w14:paraId="2597B37B" w14:textId="77777777" w:rsidR="004F7BE2" w:rsidRPr="00AA3049" w:rsidRDefault="004F7BE2" w:rsidP="00AA3049">
      <w:pPr>
        <w:pStyle w:val="Heading1-nobackground"/>
      </w:pPr>
      <w:bookmarkStart w:id="4" w:name="_Toc215671147"/>
      <w:bookmarkStart w:id="5" w:name="_Toc215838111"/>
      <w:r w:rsidRPr="00AA3049">
        <w:lastRenderedPageBreak/>
        <w:t>Terms of reference</w:t>
      </w:r>
      <w:bookmarkEnd w:id="3"/>
      <w:bookmarkEnd w:id="4"/>
      <w:bookmarkEnd w:id="5"/>
    </w:p>
    <w:p w14:paraId="16A62DE5" w14:textId="2B35B4E0" w:rsidR="00905136" w:rsidRPr="008F3516" w:rsidRDefault="00905136" w:rsidP="00B10DDB">
      <w:pPr>
        <w:pStyle w:val="BodyText"/>
        <w:rPr>
          <w:spacing w:val="-4"/>
        </w:rPr>
      </w:pPr>
      <w:r w:rsidRPr="008F3516">
        <w:rPr>
          <w:spacing w:val="-4"/>
          <w:lang w:val="en-US"/>
        </w:rPr>
        <w:t xml:space="preserve">I, </w:t>
      </w:r>
      <w:r w:rsidR="001073B7" w:rsidRPr="008F3516">
        <w:rPr>
          <w:spacing w:val="-4"/>
          <w:lang w:val="en-US"/>
        </w:rPr>
        <w:t xml:space="preserve">the Hon </w:t>
      </w:r>
      <w:r w:rsidRPr="008F3516">
        <w:rPr>
          <w:spacing w:val="-4"/>
          <w:lang w:val="en-US"/>
        </w:rPr>
        <w:t>Jim Chalmers</w:t>
      </w:r>
      <w:r w:rsidR="001073B7" w:rsidRPr="008F3516">
        <w:rPr>
          <w:spacing w:val="-4"/>
          <w:lang w:val="en-US"/>
        </w:rPr>
        <w:t xml:space="preserve"> MP</w:t>
      </w:r>
      <w:r w:rsidRPr="008F3516">
        <w:rPr>
          <w:spacing w:val="-4"/>
          <w:lang w:val="en-US"/>
        </w:rPr>
        <w:t xml:space="preserve">, pursuant to Parts 2 and 3 of the </w:t>
      </w:r>
      <w:r w:rsidRPr="008F3516">
        <w:rPr>
          <w:rStyle w:val="HTMLCite"/>
          <w:spacing w:val="-4"/>
          <w:lang w:val="en-US"/>
        </w:rPr>
        <w:t>Productivity Commission Act 1998</w:t>
      </w:r>
      <w:r w:rsidRPr="008F3516">
        <w:rPr>
          <w:spacing w:val="-4"/>
          <w:lang w:val="en-US"/>
        </w:rPr>
        <w:t>, hereby request that the Productivity Commission (</w:t>
      </w:r>
      <w:r w:rsidR="00ED2969" w:rsidRPr="008F3516">
        <w:rPr>
          <w:spacing w:val="-4"/>
          <w:lang w:val="en-US"/>
        </w:rPr>
        <w:t>‘</w:t>
      </w:r>
      <w:r w:rsidRPr="008F3516">
        <w:rPr>
          <w:spacing w:val="-4"/>
          <w:lang w:val="en-US"/>
        </w:rPr>
        <w:t>the Commission</w:t>
      </w:r>
      <w:r w:rsidR="00ED2969" w:rsidRPr="008F3516">
        <w:rPr>
          <w:spacing w:val="-4"/>
          <w:lang w:val="en-US"/>
        </w:rPr>
        <w:t>’</w:t>
      </w:r>
      <w:r w:rsidRPr="008F3516">
        <w:rPr>
          <w:spacing w:val="-4"/>
          <w:lang w:val="en-US"/>
        </w:rPr>
        <w:t>) undertake five inquiries to identify priority reforms under each of the five pillars of the Government’s productivity growth agenda and formulate actionable recommendations to assist governments to make meaningful and measurable productivity-enhancing reforms.</w:t>
      </w:r>
    </w:p>
    <w:p w14:paraId="003B6876" w14:textId="77777777" w:rsidR="00905136" w:rsidRPr="005F76D5" w:rsidRDefault="00905136" w:rsidP="00DC7446">
      <w:pPr>
        <w:pStyle w:val="Heading2"/>
        <w:numPr>
          <w:ilvl w:val="0"/>
          <w:numId w:val="0"/>
        </w:numPr>
        <w:ind w:left="851" w:hanging="851"/>
      </w:pPr>
      <w:bookmarkStart w:id="6" w:name="_Toc215228294"/>
      <w:bookmarkStart w:id="7" w:name="_Toc215671088"/>
      <w:bookmarkStart w:id="8" w:name="_Toc215671148"/>
      <w:bookmarkStart w:id="9" w:name="_Toc215674221"/>
      <w:bookmarkStart w:id="10" w:name="_Toc215838112"/>
      <w:r w:rsidRPr="005F76D5">
        <w:t>Background</w:t>
      </w:r>
      <w:bookmarkEnd w:id="6"/>
      <w:bookmarkEnd w:id="7"/>
      <w:bookmarkEnd w:id="8"/>
      <w:bookmarkEnd w:id="9"/>
      <w:bookmarkEnd w:id="10"/>
    </w:p>
    <w:p w14:paraId="0223282D" w14:textId="77777777" w:rsidR="00905136" w:rsidRPr="005F76D5" w:rsidRDefault="00905136" w:rsidP="00B10DDB">
      <w:pPr>
        <w:pStyle w:val="BodyText"/>
        <w:rPr>
          <w:lang w:val="en-US"/>
        </w:rPr>
      </w:pPr>
      <w:r w:rsidRPr="005F76D5">
        <w:rPr>
          <w:lang w:val="en-US"/>
        </w:rPr>
        <w:t>Productivity growth is the key driver of real wage growth and rising living standards over the long term but has been slowing around the world since the mid-2000s. Australia’s productivity growth in the decade to 2020 was the slowest in 60 years.</w:t>
      </w:r>
      <w:r w:rsidRPr="005F76D5">
        <w:t xml:space="preserve"> </w:t>
      </w:r>
    </w:p>
    <w:p w14:paraId="19C8E765" w14:textId="77777777" w:rsidR="00905136" w:rsidRPr="005F76D5" w:rsidRDefault="00905136" w:rsidP="00B10DDB">
      <w:pPr>
        <w:pStyle w:val="BodyText"/>
        <w:rPr>
          <w:lang w:val="en-US"/>
        </w:rPr>
      </w:pPr>
      <w:r w:rsidRPr="005F76D5">
        <w:rPr>
          <w:lang w:val="en-US"/>
        </w:rPr>
        <w:t>Several long-standing factors have contributed to the productivity slowdown, including reduced dynamism and competitive pressures, and slower diffusion of technological innovations. Australia also faces new and emerging opportunities and challenges from the changing nature of our economy, including population ageing, rising demand for care and support services, technological and digital transformation, climate change and the net zero transformation, and geopolitical risk and fragmentation. How well we position for and respond to these changes will have a significant impact on our future productivity.</w:t>
      </w:r>
    </w:p>
    <w:p w14:paraId="4B61D383" w14:textId="77777777" w:rsidR="00905136" w:rsidRPr="00E66F68" w:rsidRDefault="00905136" w:rsidP="00B10DDB">
      <w:pPr>
        <w:pStyle w:val="BodyText"/>
        <w:rPr>
          <w:spacing w:val="2"/>
          <w:lang w:val="en-US"/>
        </w:rPr>
      </w:pPr>
      <w:r w:rsidRPr="00E66F68">
        <w:rPr>
          <w:spacing w:val="2"/>
          <w:lang w:val="en-US"/>
        </w:rPr>
        <w:t>In 2023, the Government set out five pillars for a broad and ambitious productivity growth agenda, and it has already progressed significant reforms under each pillar of this agenda. It is now tasking the Productivity Commission to identify the highest priority reform areas under each of the five pillars which have potential to materially boost Australia’s productivity growth going forward, and the measurable impact of these reforms where possible.</w:t>
      </w:r>
    </w:p>
    <w:p w14:paraId="02FC2DA2" w14:textId="77777777" w:rsidR="00905136" w:rsidRPr="005F76D5" w:rsidRDefault="00905136" w:rsidP="004F6D5A">
      <w:pPr>
        <w:pStyle w:val="Heading2"/>
        <w:numPr>
          <w:ilvl w:val="0"/>
          <w:numId w:val="0"/>
        </w:numPr>
        <w:rPr>
          <w:lang w:val="en-US"/>
        </w:rPr>
      </w:pPr>
      <w:bookmarkStart w:id="11" w:name="_Toc215228295"/>
      <w:bookmarkStart w:id="12" w:name="_Toc215671089"/>
      <w:bookmarkStart w:id="13" w:name="_Toc215671149"/>
      <w:bookmarkStart w:id="14" w:name="_Toc215674222"/>
      <w:bookmarkStart w:id="15" w:name="_Toc215838113"/>
      <w:r w:rsidRPr="005F76D5">
        <w:t>Scope of the inquiries</w:t>
      </w:r>
      <w:bookmarkEnd w:id="11"/>
      <w:bookmarkEnd w:id="12"/>
      <w:bookmarkEnd w:id="13"/>
      <w:bookmarkEnd w:id="14"/>
      <w:bookmarkEnd w:id="15"/>
    </w:p>
    <w:p w14:paraId="1F6F6457" w14:textId="77777777" w:rsidR="00905136" w:rsidRPr="005F76D5" w:rsidRDefault="00905136" w:rsidP="00B10DDB">
      <w:pPr>
        <w:pStyle w:val="BodyText"/>
        <w:rPr>
          <w:lang w:val="en-US"/>
        </w:rPr>
      </w:pPr>
      <w:r w:rsidRPr="005F76D5">
        <w:rPr>
          <w:lang w:val="en-US"/>
        </w:rPr>
        <w:t>The Commission will conduct five inquiries to identify and report on priority reforms in each of the areas under the Government’s five pillar productivity growth agenda. Specifically, these are priority reforms which enhance productivity through:</w:t>
      </w:r>
    </w:p>
    <w:p w14:paraId="0F6911D6" w14:textId="77777777" w:rsidR="00905136" w:rsidRPr="005F76D5" w:rsidRDefault="00905136" w:rsidP="00B10DDB">
      <w:pPr>
        <w:pStyle w:val="ListAlpha1"/>
        <w:rPr>
          <w:lang w:val="en-US"/>
        </w:rPr>
      </w:pPr>
      <w:r w:rsidRPr="005F76D5">
        <w:rPr>
          <w:lang w:val="en-US"/>
        </w:rPr>
        <w:t>Creating a more dynamic and resilient economy</w:t>
      </w:r>
    </w:p>
    <w:p w14:paraId="4CDDFA03" w14:textId="77777777" w:rsidR="00905136" w:rsidRPr="005F76D5" w:rsidRDefault="00905136" w:rsidP="00B10DDB">
      <w:pPr>
        <w:pStyle w:val="ListAlpha1"/>
        <w:rPr>
          <w:lang w:val="en-US"/>
        </w:rPr>
      </w:pPr>
      <w:r w:rsidRPr="005F76D5">
        <w:rPr>
          <w:lang w:val="en-US"/>
        </w:rPr>
        <w:t>Building a skilled and adaptable workforce</w:t>
      </w:r>
    </w:p>
    <w:p w14:paraId="7ACD1290" w14:textId="77777777" w:rsidR="00905136" w:rsidRPr="005F76D5" w:rsidRDefault="00905136" w:rsidP="00B10DDB">
      <w:pPr>
        <w:pStyle w:val="ListAlpha1"/>
        <w:rPr>
          <w:lang w:val="en-US"/>
        </w:rPr>
      </w:pPr>
      <w:r w:rsidRPr="005F76D5">
        <w:rPr>
          <w:lang w:val="en-US"/>
        </w:rPr>
        <w:t>Harnessing data and digital technology</w:t>
      </w:r>
    </w:p>
    <w:p w14:paraId="284E1779" w14:textId="77777777" w:rsidR="00905136" w:rsidRPr="005F76D5" w:rsidRDefault="00905136" w:rsidP="00B10DDB">
      <w:pPr>
        <w:pStyle w:val="ListAlpha1"/>
        <w:rPr>
          <w:lang w:val="en-US"/>
        </w:rPr>
      </w:pPr>
      <w:r w:rsidRPr="005F76D5">
        <w:rPr>
          <w:lang w:val="en-US"/>
        </w:rPr>
        <w:t>Delivering quality care more efficiently</w:t>
      </w:r>
    </w:p>
    <w:p w14:paraId="56E74BDB" w14:textId="77777777" w:rsidR="00905136" w:rsidRPr="005F76D5" w:rsidRDefault="00905136" w:rsidP="00B10DDB">
      <w:pPr>
        <w:pStyle w:val="ListAlpha1"/>
        <w:rPr>
          <w:lang w:val="en-US"/>
        </w:rPr>
      </w:pPr>
      <w:r w:rsidRPr="005F76D5">
        <w:rPr>
          <w:lang w:val="en-US"/>
        </w:rPr>
        <w:t>Investing in cheaper, cleaner energy and the net zero transformation</w:t>
      </w:r>
    </w:p>
    <w:p w14:paraId="0255F4AB" w14:textId="77777777" w:rsidR="00905136" w:rsidRDefault="00905136" w:rsidP="00B10DDB">
      <w:pPr>
        <w:pStyle w:val="BodyText"/>
        <w:rPr>
          <w:lang w:val="en-US"/>
        </w:rPr>
      </w:pPr>
      <w:r w:rsidRPr="005F76D5">
        <w:rPr>
          <w:lang w:val="en-US"/>
        </w:rPr>
        <w:t>The Commission should have regard to other current and recent reviews of relevance to Australia’s productivity performance including the Treasury Competition Taskforce, the National Competition Review and the House Economics Committee inquiry into promoting economic dynamism, competition and business formation; and the objectives and priorities</w:t>
      </w:r>
      <w:r w:rsidRPr="005F76D5">
        <w:t xml:space="preserve"> outlined in the Intergenerational Report, the Employment White Paper, the Economic and Fiscal Strategy, the Measuring What Matters statement, and the Government’s legislated emissions reduction </w:t>
      </w:r>
      <w:r w:rsidRPr="005F76D5" w:rsidDel="00E63943">
        <w:t>targets</w:t>
      </w:r>
      <w:r w:rsidRPr="005F76D5">
        <w:rPr>
          <w:lang w:val="en-US"/>
        </w:rPr>
        <w:t xml:space="preserve">. </w:t>
      </w:r>
    </w:p>
    <w:p w14:paraId="3697EB03" w14:textId="77777777" w:rsidR="00905136" w:rsidRPr="005F76D5" w:rsidRDefault="00905136" w:rsidP="00B10DDB">
      <w:pPr>
        <w:pStyle w:val="BodyText"/>
        <w:rPr>
          <w:lang w:val="en-US"/>
        </w:rPr>
      </w:pPr>
      <w:r w:rsidRPr="005F76D5">
        <w:rPr>
          <w:lang w:val="en-US"/>
        </w:rPr>
        <w:lastRenderedPageBreak/>
        <w:t xml:space="preserve">The inquiries should identify prospective areas for reform in the coming years, recognising the findings of recent reviews and </w:t>
      </w:r>
      <w:proofErr w:type="gramStart"/>
      <w:r w:rsidRPr="005F76D5">
        <w:rPr>
          <w:lang w:val="en-US"/>
        </w:rPr>
        <w:t>taking into account</w:t>
      </w:r>
      <w:proofErr w:type="gramEnd"/>
      <w:r w:rsidRPr="005F76D5">
        <w:rPr>
          <w:lang w:val="en-US"/>
        </w:rPr>
        <w:t xml:space="preserve"> Government reforms and reform directions.</w:t>
      </w:r>
    </w:p>
    <w:p w14:paraId="7D1F8FFB" w14:textId="77777777" w:rsidR="00905136" w:rsidRPr="005F76D5" w:rsidRDefault="00905136" w:rsidP="004F6D5A">
      <w:pPr>
        <w:pStyle w:val="Heading2"/>
        <w:numPr>
          <w:ilvl w:val="0"/>
          <w:numId w:val="0"/>
        </w:numPr>
        <w:rPr>
          <w:lang w:val="en-US"/>
        </w:rPr>
      </w:pPr>
      <w:bookmarkStart w:id="16" w:name="_Toc215228296"/>
      <w:bookmarkStart w:id="17" w:name="_Toc215671090"/>
      <w:bookmarkStart w:id="18" w:name="_Toc215671150"/>
      <w:bookmarkStart w:id="19" w:name="_Toc215674223"/>
      <w:bookmarkStart w:id="20" w:name="_Toc215838114"/>
      <w:r w:rsidRPr="005F76D5">
        <w:t>Process</w:t>
      </w:r>
      <w:bookmarkEnd w:id="16"/>
      <w:bookmarkEnd w:id="17"/>
      <w:bookmarkEnd w:id="18"/>
      <w:bookmarkEnd w:id="19"/>
      <w:bookmarkEnd w:id="20"/>
    </w:p>
    <w:p w14:paraId="3EE38260" w14:textId="77777777" w:rsidR="00905136" w:rsidRPr="005F76D5" w:rsidRDefault="00905136" w:rsidP="00B10DDB">
      <w:pPr>
        <w:pStyle w:val="BodyText"/>
        <w:rPr>
          <w:lang w:val="en-US"/>
        </w:rPr>
      </w:pPr>
      <w:r w:rsidRPr="005F76D5">
        <w:rPr>
          <w:lang w:val="en-US"/>
        </w:rPr>
        <w:t xml:space="preserve">The Commission should engage widely and undertake appropriate public consultation processes, including inviting public submissions. The Commission should engage actively with Commonwealth, and state and territory governments. </w:t>
      </w:r>
    </w:p>
    <w:p w14:paraId="390D6FD2" w14:textId="77777777" w:rsidR="00905136" w:rsidRPr="00E66F68" w:rsidRDefault="00905136" w:rsidP="00B10DDB">
      <w:pPr>
        <w:pStyle w:val="BodyText"/>
        <w:rPr>
          <w:spacing w:val="-2"/>
          <w:lang w:val="en-US"/>
        </w:rPr>
      </w:pPr>
      <w:r w:rsidRPr="00E66F68">
        <w:rPr>
          <w:spacing w:val="-2"/>
          <w:lang w:val="en-US"/>
        </w:rPr>
        <w:t xml:space="preserve">The Commission’s advice should clearly convey the importance of the reform opportunities identified, including quantitative analysis of the measurable benefits of the priority reforms where possible. This could include the long-run economic impacts on GDP and other measures of economic progress and national prosperity, the benefits accruing to Australian households including distributional impacts where possible, or other outcomes such as improved quality of services or living standards. This analysis should be presented in a way which acknowledges and manages the measurement challenges impacting some important reform areas. </w:t>
      </w:r>
    </w:p>
    <w:p w14:paraId="5387A80D" w14:textId="77777777" w:rsidR="00905136" w:rsidRPr="005F76D5" w:rsidRDefault="00905136" w:rsidP="00B10DDB">
      <w:pPr>
        <w:pStyle w:val="BodyText"/>
        <w:rPr>
          <w:lang w:val="en-US"/>
        </w:rPr>
      </w:pPr>
      <w:r w:rsidRPr="005F76D5">
        <w:rPr>
          <w:lang w:val="en-US"/>
        </w:rPr>
        <w:t xml:space="preserve">The Commission should publish an interim report for each inquiry in the middle of 2025 that includes preliminary actionable recommendations for productivity-enhancing reforms under the relevant pillar. The final reports for these inquiries should include advice on reform implementation, including implementation feasibility and risks, and be provided to Government within 12 months of receipt of this request. </w:t>
      </w:r>
    </w:p>
    <w:p w14:paraId="743641E7" w14:textId="77777777" w:rsidR="00905136" w:rsidRPr="00F84B65" w:rsidRDefault="00905136" w:rsidP="00E66F68">
      <w:pPr>
        <w:pStyle w:val="BodyText"/>
        <w:spacing w:before="480"/>
        <w:rPr>
          <w:b/>
          <w:bCs/>
        </w:rPr>
      </w:pPr>
      <w:r w:rsidRPr="005F76D5">
        <w:rPr>
          <w:b/>
          <w:bCs/>
        </w:rPr>
        <w:t>The Hon Jim Chalmers MP</w:t>
      </w:r>
      <w:r w:rsidRPr="005F76D5">
        <w:rPr>
          <w:b/>
          <w:bCs/>
        </w:rPr>
        <w:br/>
        <w:t>Treasurer</w:t>
      </w:r>
    </w:p>
    <w:p w14:paraId="7B8EF2BA" w14:textId="50973C76" w:rsidR="004F7BE2" w:rsidRPr="003B7DB1" w:rsidRDefault="006B5E5B" w:rsidP="00B10DDB">
      <w:pPr>
        <w:pStyle w:val="BodyText"/>
      </w:pPr>
      <w:r>
        <w:t>[Received 13 December 2024]</w:t>
      </w:r>
    </w:p>
    <w:p w14:paraId="3602B2C5" w14:textId="77777777" w:rsidR="00A70D8C" w:rsidRDefault="00A70D8C" w:rsidP="002736A5">
      <w:pPr>
        <w:pStyle w:val="BodyText"/>
      </w:pPr>
      <w:r>
        <w:br w:type="page"/>
      </w:r>
    </w:p>
    <w:p w14:paraId="20910A4F" w14:textId="77777777" w:rsidR="00A70D8C" w:rsidRPr="007D1569" w:rsidRDefault="00A70D8C" w:rsidP="00A70D8C">
      <w:pPr>
        <w:pStyle w:val="Heading2-nonumber"/>
      </w:pPr>
      <w:bookmarkStart w:id="21" w:name="_Toc87867414"/>
      <w:bookmarkStart w:id="22" w:name="_Toc132456079"/>
      <w:bookmarkStart w:id="23" w:name="_Toc215228297"/>
      <w:bookmarkStart w:id="24" w:name="_Toc215671091"/>
      <w:bookmarkStart w:id="25" w:name="_Toc215671151"/>
      <w:bookmarkStart w:id="26" w:name="_Toc215674224"/>
      <w:bookmarkStart w:id="27" w:name="_Toc215838115"/>
      <w:r w:rsidRPr="007D1569">
        <w:lastRenderedPageBreak/>
        <w:t>Disclosure of interests</w:t>
      </w:r>
      <w:bookmarkEnd w:id="21"/>
      <w:bookmarkEnd w:id="22"/>
      <w:bookmarkEnd w:id="23"/>
      <w:bookmarkEnd w:id="24"/>
      <w:bookmarkEnd w:id="25"/>
      <w:bookmarkEnd w:id="26"/>
      <w:bookmarkEnd w:id="27"/>
    </w:p>
    <w:p w14:paraId="06DF4127" w14:textId="77777777" w:rsidR="00407415" w:rsidRDefault="00407415" w:rsidP="00407415">
      <w:pPr>
        <w:pStyle w:val="BodyText"/>
      </w:pPr>
      <w:r>
        <w:t xml:space="preserve">The </w:t>
      </w:r>
      <w:r w:rsidRPr="00407415">
        <w:rPr>
          <w:i/>
          <w:iCs/>
        </w:rPr>
        <w:t>Productivity Commission Act 1998</w:t>
      </w:r>
      <w:r>
        <w:t xml:space="preserve"> specifies that where Commissioners have or acquire interests, pecuniary or otherwise, that could conflict with the proper performance of their functions they must disclose those interests.</w:t>
      </w:r>
    </w:p>
    <w:p w14:paraId="1A55FC53" w14:textId="5B5FB691" w:rsidR="00D73A0C" w:rsidRPr="004E5196" w:rsidRDefault="73DAB001" w:rsidP="00B10DDB">
      <w:pPr>
        <w:pStyle w:val="BodyText"/>
        <w:rPr>
          <w:lang w:val="en-US"/>
        </w:rPr>
      </w:pPr>
      <w:r w:rsidRPr="67EC9975">
        <w:rPr>
          <w:lang w:val="en-US"/>
        </w:rPr>
        <w:t>Commissioner Dr Angela Jackson is Adjunct Associate Professor at the University of Tasmania and was previously a non-Executive Director of Melbourne Health.</w:t>
      </w:r>
    </w:p>
    <w:p w14:paraId="7562624B" w14:textId="59A12172" w:rsidR="71B2BB82" w:rsidRDefault="7A7E833E" w:rsidP="67EC9975">
      <w:pPr>
        <w:pStyle w:val="BodyText"/>
        <w:rPr>
          <w:lang w:val="en-US"/>
        </w:rPr>
      </w:pPr>
      <w:r w:rsidRPr="1A2CA9A3">
        <w:rPr>
          <w:lang w:val="en-US"/>
        </w:rPr>
        <w:t xml:space="preserve">Commissioner </w:t>
      </w:r>
      <w:r w:rsidR="00E723D0">
        <w:rPr>
          <w:lang w:val="en-US"/>
        </w:rPr>
        <w:t xml:space="preserve">Dr </w:t>
      </w:r>
      <w:r w:rsidRPr="1A2CA9A3">
        <w:rPr>
          <w:lang w:val="en-US"/>
        </w:rPr>
        <w:t>Alison Roberts ha</w:t>
      </w:r>
      <w:r w:rsidR="00BE6C38">
        <w:rPr>
          <w:lang w:val="en-US"/>
        </w:rPr>
        <w:t>s</w:t>
      </w:r>
      <w:r w:rsidRPr="1A2CA9A3">
        <w:rPr>
          <w:lang w:val="en-US"/>
        </w:rPr>
        <w:t xml:space="preserve"> no interests requiring disclosure.</w:t>
      </w:r>
    </w:p>
    <w:p w14:paraId="52026570" w14:textId="77777777" w:rsidR="00D73A0C" w:rsidRPr="007D1569" w:rsidRDefault="00D73A0C" w:rsidP="004E5196">
      <w:pPr>
        <w:pStyle w:val="Heading2"/>
        <w:numPr>
          <w:ilvl w:val="0"/>
          <w:numId w:val="0"/>
        </w:numPr>
      </w:pPr>
      <w:bookmarkStart w:id="28" w:name="_Toc215228298"/>
      <w:bookmarkStart w:id="29" w:name="_Toc215671092"/>
      <w:bookmarkStart w:id="30" w:name="_Toc215671152"/>
      <w:bookmarkStart w:id="31" w:name="_Toc215674225"/>
      <w:bookmarkStart w:id="32" w:name="_Toc215838116"/>
      <w:r w:rsidRPr="007D1569">
        <w:t>Acknowledgments</w:t>
      </w:r>
      <w:bookmarkEnd w:id="28"/>
      <w:bookmarkEnd w:id="29"/>
      <w:bookmarkEnd w:id="30"/>
      <w:bookmarkEnd w:id="31"/>
      <w:bookmarkEnd w:id="32"/>
    </w:p>
    <w:p w14:paraId="40FA4B36" w14:textId="1233036F" w:rsidR="00D73A0C" w:rsidRDefault="00B6454A" w:rsidP="00D73A0C">
      <w:pPr>
        <w:pStyle w:val="BodyText"/>
      </w:pPr>
      <w:r w:rsidRPr="00B6454A">
        <w:t xml:space="preserve">The Commissioners </w:t>
      </w:r>
      <w:r w:rsidR="00AE5735">
        <w:t>acknow</w:t>
      </w:r>
      <w:r w:rsidR="00A177B5">
        <w:t xml:space="preserve">ledge </w:t>
      </w:r>
      <w:r w:rsidR="00715CD8" w:rsidRPr="00715CD8">
        <w:t>the valuable contribution of Commissioner Martin Stokie</w:t>
      </w:r>
      <w:r w:rsidR="000111EF">
        <w:t>, who was part of</w:t>
      </w:r>
      <w:r w:rsidR="004D2F0C">
        <w:t xml:space="preserve"> </w:t>
      </w:r>
      <w:r w:rsidR="00715CD8" w:rsidRPr="00715CD8">
        <w:t xml:space="preserve">the inquiry </w:t>
      </w:r>
      <w:r w:rsidR="00BC6CAD">
        <w:t>until</w:t>
      </w:r>
      <w:r w:rsidR="00BC6CAD" w:rsidRPr="00715CD8">
        <w:t xml:space="preserve"> </w:t>
      </w:r>
      <w:r w:rsidR="00715CD8" w:rsidRPr="00715CD8">
        <w:t>the release of the interim report</w:t>
      </w:r>
      <w:r w:rsidR="00715CD8">
        <w:t xml:space="preserve">. </w:t>
      </w:r>
      <w:r w:rsidR="00E14638">
        <w:t>They also</w:t>
      </w:r>
      <w:r w:rsidRPr="00B6454A">
        <w:t xml:space="preserve"> express their appreciation to the staff who worked on the </w:t>
      </w:r>
      <w:r w:rsidR="004F5C76">
        <w:t>inquiry</w:t>
      </w:r>
      <w:r w:rsidRPr="00B6454A">
        <w:t xml:space="preserve"> – Assistant Commissioner </w:t>
      </w:r>
      <w:r>
        <w:t>Catie Bradbear</w:t>
      </w:r>
      <w:r w:rsidRPr="00B6454A">
        <w:t>, who le</w:t>
      </w:r>
      <w:r w:rsidR="004F5C76">
        <w:t>d</w:t>
      </w:r>
      <w:r w:rsidRPr="00B6454A">
        <w:t xml:space="preserve"> the </w:t>
      </w:r>
      <w:r w:rsidR="00BC6CAD">
        <w:t>i</w:t>
      </w:r>
      <w:r w:rsidRPr="00B6454A">
        <w:t>nquiry, and other team members including</w:t>
      </w:r>
      <w:r w:rsidRPr="00B6454A">
        <w:rPr>
          <w:b/>
          <w:bCs/>
        </w:rPr>
        <w:t xml:space="preserve"> </w:t>
      </w:r>
      <w:r w:rsidR="00900CB2">
        <w:t xml:space="preserve">Archana Subramaniam, Billy Morton, </w:t>
      </w:r>
      <w:r w:rsidR="00523905">
        <w:t xml:space="preserve">Cordelia Buntsma, </w:t>
      </w:r>
      <w:r w:rsidR="00875434">
        <w:t xml:space="preserve">Cristy Alevizos, </w:t>
      </w:r>
      <w:r w:rsidR="00523905">
        <w:t>Daniel McDonald, Imogen Jameson, Luc</w:t>
      </w:r>
      <w:r w:rsidR="009B05D0">
        <w:t> </w:t>
      </w:r>
      <w:r w:rsidR="00523905">
        <w:t xml:space="preserve">Borrowman, </w:t>
      </w:r>
      <w:r w:rsidR="006C0019">
        <w:t xml:space="preserve">Matt Forbes, </w:t>
      </w:r>
      <w:r w:rsidR="00523905">
        <w:t xml:space="preserve">Nicholas Sladden, </w:t>
      </w:r>
      <w:r w:rsidR="006C0019">
        <w:t>Sasha Zegenhagen, Tim Griffin and Vanessa Boltman</w:t>
      </w:r>
      <w:r w:rsidRPr="00B6454A">
        <w:t xml:space="preserve">. Our thanks are also extended to </w:t>
      </w:r>
      <w:r w:rsidR="006E5BC3">
        <w:t xml:space="preserve">Anna Heaney, Paul Gardner, </w:t>
      </w:r>
      <w:r w:rsidR="00C50DF7">
        <w:t xml:space="preserve">Carmela </w:t>
      </w:r>
      <w:r w:rsidR="00DF31B3">
        <w:t xml:space="preserve">Chivers, </w:t>
      </w:r>
      <w:r w:rsidR="00F65C27">
        <w:t>Matt</w:t>
      </w:r>
      <w:r w:rsidR="00F465EA">
        <w:t>hew</w:t>
      </w:r>
      <w:r w:rsidR="00F65C27">
        <w:t xml:space="preserve"> Muir</w:t>
      </w:r>
      <w:r w:rsidR="001D4A3D">
        <w:t xml:space="preserve">, </w:t>
      </w:r>
      <w:r w:rsidRPr="00B6454A">
        <w:t>Yvette Goss and Tracey Horsfall for project support.</w:t>
      </w:r>
    </w:p>
    <w:p w14:paraId="3B7F3E02" w14:textId="03A9C199" w:rsidR="00DF3417" w:rsidRPr="007D1569" w:rsidRDefault="009749DF" w:rsidP="00D73A0C">
      <w:pPr>
        <w:pStyle w:val="BodyText"/>
      </w:pPr>
      <w:r w:rsidRPr="009749DF">
        <w:t>This report was prepared using the assistance of AI tools for the purposes of general research, note-taking, generating alt</w:t>
      </w:r>
      <w:r w:rsidR="00B5191B">
        <w:t>ernative</w:t>
      </w:r>
      <w:r w:rsidR="00753694">
        <w:t xml:space="preserve"> </w:t>
      </w:r>
      <w:r w:rsidRPr="009749DF">
        <w:t>text and support with coding for quantitative work. PC staff reviewed all AI-generated outputs for accuracy and quality.</w:t>
      </w:r>
    </w:p>
    <w:p w14:paraId="10A76D25" w14:textId="77777777" w:rsidR="004F7BE2" w:rsidRDefault="004F7BE2" w:rsidP="004F7BE2">
      <w:pPr>
        <w:sectPr w:rsidR="004F7BE2" w:rsidSect="00F30A2D">
          <w:headerReference w:type="even" r:id="rId32"/>
          <w:headerReference w:type="default" r:id="rId33"/>
          <w:headerReference w:type="first" r:id="rId34"/>
          <w:pgSz w:w="11906" w:h="16838" w:code="9"/>
          <w:pgMar w:top="1134" w:right="1134" w:bottom="1134" w:left="1134" w:header="794" w:footer="510" w:gutter="0"/>
          <w:pgNumType w:fmt="lowerRoman"/>
          <w:cols w:space="708"/>
          <w:docGrid w:linePitch="360"/>
        </w:sectPr>
      </w:pPr>
    </w:p>
    <w:p w14:paraId="0212CCE8" w14:textId="77777777" w:rsidR="00B43AF4" w:rsidRPr="00B43AF4" w:rsidRDefault="00B43AF4" w:rsidP="00ED6125">
      <w:pPr>
        <w:pStyle w:val="Heading1-nobackground"/>
      </w:pPr>
      <w:bookmarkStart w:id="33" w:name="_Toc132456080"/>
      <w:bookmarkStart w:id="34" w:name="_Toc215228299"/>
      <w:bookmarkStart w:id="35" w:name="_Toc215671153"/>
      <w:bookmarkStart w:id="36" w:name="_Toc215674226"/>
      <w:bookmarkStart w:id="37" w:name="_Toc215838117"/>
      <w:r w:rsidRPr="00B43AF4">
        <w:lastRenderedPageBreak/>
        <w:t>Contents</w:t>
      </w:r>
      <w:bookmarkEnd w:id="33"/>
      <w:bookmarkEnd w:id="34"/>
      <w:bookmarkEnd w:id="35"/>
      <w:bookmarkEnd w:id="36"/>
      <w:bookmarkEnd w:id="37"/>
    </w:p>
    <w:p w14:paraId="622B49C9" w14:textId="1A401340" w:rsidR="002413E1" w:rsidRDefault="00B60405">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2413E1" w:rsidRPr="00EB6CA0">
        <w:rPr>
          <w:noProof/>
        </w:rPr>
        <w:t>Transmittal letter</w:t>
      </w:r>
      <w:r w:rsidR="002413E1">
        <w:rPr>
          <w:noProof/>
          <w:webHidden/>
        </w:rPr>
        <w:tab/>
      </w:r>
      <w:r w:rsidR="002413E1">
        <w:rPr>
          <w:noProof/>
          <w:webHidden/>
        </w:rPr>
        <w:fldChar w:fldCharType="begin"/>
      </w:r>
      <w:r w:rsidR="002413E1">
        <w:rPr>
          <w:noProof/>
          <w:webHidden/>
        </w:rPr>
        <w:instrText xml:space="preserve"> PAGEREF _Toc215838110 \h </w:instrText>
      </w:r>
      <w:r w:rsidR="002413E1">
        <w:rPr>
          <w:noProof/>
          <w:webHidden/>
        </w:rPr>
      </w:r>
      <w:r w:rsidR="002413E1">
        <w:rPr>
          <w:noProof/>
          <w:webHidden/>
        </w:rPr>
        <w:fldChar w:fldCharType="separate"/>
      </w:r>
      <w:r w:rsidR="00FB1849">
        <w:rPr>
          <w:noProof/>
          <w:webHidden/>
        </w:rPr>
        <w:t>iii</w:t>
      </w:r>
      <w:r w:rsidR="002413E1">
        <w:rPr>
          <w:noProof/>
          <w:webHidden/>
        </w:rPr>
        <w:fldChar w:fldCharType="end"/>
      </w:r>
    </w:p>
    <w:p w14:paraId="31BA8906" w14:textId="5B9E7B32" w:rsidR="002413E1" w:rsidRDefault="002413E1">
      <w:pPr>
        <w:pStyle w:val="TOC1"/>
        <w:rPr>
          <w:rFonts w:asciiTheme="minorHAnsi" w:eastAsiaTheme="minorEastAsia" w:hAnsiTheme="minorHAnsi"/>
          <w:noProof/>
          <w:color w:val="auto"/>
          <w:kern w:val="2"/>
          <w:sz w:val="24"/>
          <w:szCs w:val="24"/>
          <w:lang w:eastAsia="en-AU"/>
          <w14:ligatures w14:val="standardContextual"/>
        </w:rPr>
      </w:pPr>
      <w:r>
        <w:rPr>
          <w:noProof/>
        </w:rPr>
        <w:t>Terms of reference</w:t>
      </w:r>
      <w:r>
        <w:rPr>
          <w:noProof/>
          <w:webHidden/>
        </w:rPr>
        <w:tab/>
      </w:r>
      <w:r>
        <w:rPr>
          <w:noProof/>
          <w:webHidden/>
        </w:rPr>
        <w:fldChar w:fldCharType="begin"/>
      </w:r>
      <w:r>
        <w:rPr>
          <w:noProof/>
          <w:webHidden/>
        </w:rPr>
        <w:instrText xml:space="preserve"> PAGEREF _Toc215838111 \h </w:instrText>
      </w:r>
      <w:r>
        <w:rPr>
          <w:noProof/>
          <w:webHidden/>
        </w:rPr>
      </w:r>
      <w:r>
        <w:rPr>
          <w:noProof/>
          <w:webHidden/>
        </w:rPr>
        <w:fldChar w:fldCharType="separate"/>
      </w:r>
      <w:r w:rsidR="00FB1849">
        <w:rPr>
          <w:noProof/>
          <w:webHidden/>
        </w:rPr>
        <w:t>iv</w:t>
      </w:r>
      <w:r>
        <w:rPr>
          <w:noProof/>
          <w:webHidden/>
        </w:rPr>
        <w:fldChar w:fldCharType="end"/>
      </w:r>
    </w:p>
    <w:p w14:paraId="46C5C417" w14:textId="2B096B2F" w:rsidR="002413E1" w:rsidRDefault="002413E1">
      <w:pPr>
        <w:pStyle w:val="TOC1"/>
        <w:rPr>
          <w:rFonts w:asciiTheme="minorHAnsi" w:eastAsiaTheme="minorEastAsia" w:hAnsiTheme="minorHAnsi"/>
          <w:noProof/>
          <w:color w:val="auto"/>
          <w:kern w:val="2"/>
          <w:sz w:val="24"/>
          <w:szCs w:val="24"/>
          <w:lang w:eastAsia="en-AU"/>
          <w14:ligatures w14:val="standardContextual"/>
        </w:rPr>
      </w:pPr>
      <w:r>
        <w:rPr>
          <w:noProof/>
        </w:rPr>
        <w:t>Executive summary</w:t>
      </w:r>
      <w:r>
        <w:rPr>
          <w:noProof/>
          <w:webHidden/>
        </w:rPr>
        <w:tab/>
      </w:r>
      <w:r>
        <w:rPr>
          <w:noProof/>
          <w:webHidden/>
        </w:rPr>
        <w:fldChar w:fldCharType="begin"/>
      </w:r>
      <w:r>
        <w:rPr>
          <w:noProof/>
          <w:webHidden/>
        </w:rPr>
        <w:instrText xml:space="preserve"> PAGEREF _Toc215838118 \h </w:instrText>
      </w:r>
      <w:r>
        <w:rPr>
          <w:noProof/>
          <w:webHidden/>
        </w:rPr>
      </w:r>
      <w:r>
        <w:rPr>
          <w:noProof/>
          <w:webHidden/>
        </w:rPr>
        <w:fldChar w:fldCharType="separate"/>
      </w:r>
      <w:r w:rsidR="00FB1849">
        <w:rPr>
          <w:noProof/>
          <w:webHidden/>
        </w:rPr>
        <w:t>1</w:t>
      </w:r>
      <w:r>
        <w:rPr>
          <w:noProof/>
          <w:webHidden/>
        </w:rPr>
        <w:fldChar w:fldCharType="end"/>
      </w:r>
    </w:p>
    <w:p w14:paraId="2C00733C" w14:textId="773E69D8" w:rsidR="002413E1" w:rsidRDefault="002413E1">
      <w:pPr>
        <w:pStyle w:val="TOC1"/>
        <w:rPr>
          <w:rFonts w:asciiTheme="minorHAnsi" w:eastAsiaTheme="minorEastAsia" w:hAnsiTheme="minorHAnsi"/>
          <w:noProof/>
          <w:color w:val="auto"/>
          <w:kern w:val="2"/>
          <w:sz w:val="24"/>
          <w:szCs w:val="24"/>
          <w:lang w:eastAsia="en-AU"/>
          <w14:ligatures w14:val="standardContextual"/>
        </w:rPr>
      </w:pPr>
      <w:r>
        <w:rPr>
          <w:noProof/>
        </w:rPr>
        <w:t>Recommendations</w:t>
      </w:r>
      <w:r>
        <w:rPr>
          <w:noProof/>
          <w:webHidden/>
        </w:rPr>
        <w:tab/>
      </w:r>
      <w:r>
        <w:rPr>
          <w:noProof/>
          <w:webHidden/>
        </w:rPr>
        <w:fldChar w:fldCharType="begin"/>
      </w:r>
      <w:r>
        <w:rPr>
          <w:noProof/>
          <w:webHidden/>
        </w:rPr>
        <w:instrText xml:space="preserve"> PAGEREF _Toc215838119 \h </w:instrText>
      </w:r>
      <w:r>
        <w:rPr>
          <w:noProof/>
          <w:webHidden/>
        </w:rPr>
      </w:r>
      <w:r>
        <w:rPr>
          <w:noProof/>
          <w:webHidden/>
        </w:rPr>
        <w:fldChar w:fldCharType="separate"/>
      </w:r>
      <w:r w:rsidR="00FB1849">
        <w:rPr>
          <w:noProof/>
          <w:webHidden/>
        </w:rPr>
        <w:t>2</w:t>
      </w:r>
      <w:r>
        <w:rPr>
          <w:noProof/>
          <w:webHidden/>
        </w:rPr>
        <w:fldChar w:fldCharType="end"/>
      </w:r>
    </w:p>
    <w:p w14:paraId="14DF8AAF" w14:textId="3DBFB5D3" w:rsidR="002413E1" w:rsidRDefault="002413E1">
      <w:pPr>
        <w:pStyle w:val="TOC1"/>
        <w:rPr>
          <w:rFonts w:asciiTheme="minorHAnsi" w:eastAsiaTheme="minorEastAsia" w:hAnsiTheme="minorHAnsi"/>
          <w:noProof/>
          <w:color w:val="auto"/>
          <w:kern w:val="2"/>
          <w:sz w:val="24"/>
          <w:szCs w:val="24"/>
          <w:lang w:eastAsia="en-AU"/>
          <w14:ligatures w14:val="standardContextual"/>
        </w:rPr>
      </w:pPr>
      <w:r>
        <w:rPr>
          <w:noProof/>
        </w:rPr>
        <w:t>About this inquiry</w:t>
      </w:r>
      <w:r>
        <w:rPr>
          <w:noProof/>
          <w:webHidden/>
        </w:rPr>
        <w:tab/>
      </w:r>
      <w:r>
        <w:rPr>
          <w:noProof/>
          <w:webHidden/>
        </w:rPr>
        <w:fldChar w:fldCharType="begin"/>
      </w:r>
      <w:r>
        <w:rPr>
          <w:noProof/>
          <w:webHidden/>
        </w:rPr>
        <w:instrText xml:space="preserve"> PAGEREF _Toc215838123 \h </w:instrText>
      </w:r>
      <w:r>
        <w:rPr>
          <w:noProof/>
          <w:webHidden/>
        </w:rPr>
      </w:r>
      <w:r>
        <w:rPr>
          <w:noProof/>
          <w:webHidden/>
        </w:rPr>
        <w:fldChar w:fldCharType="separate"/>
      </w:r>
      <w:r w:rsidR="00FB1849">
        <w:rPr>
          <w:noProof/>
          <w:webHidden/>
        </w:rPr>
        <w:t>7</w:t>
      </w:r>
      <w:r>
        <w:rPr>
          <w:noProof/>
          <w:webHidden/>
        </w:rPr>
        <w:fldChar w:fldCharType="end"/>
      </w:r>
    </w:p>
    <w:p w14:paraId="04976EFF" w14:textId="23DB8156" w:rsidR="002413E1" w:rsidRDefault="002413E1">
      <w:pPr>
        <w:pStyle w:val="TOC1"/>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Reform of quality and safety regulation to support a more cohesive</w:t>
      </w:r>
      <w:r w:rsidR="00252EE6">
        <w:rPr>
          <w:noProof/>
        </w:rPr>
        <w:t> </w:t>
      </w:r>
      <w:r>
        <w:rPr>
          <w:noProof/>
        </w:rPr>
        <w:t>care economy</w:t>
      </w:r>
      <w:r>
        <w:rPr>
          <w:noProof/>
          <w:webHidden/>
        </w:rPr>
        <w:tab/>
      </w:r>
      <w:r>
        <w:rPr>
          <w:noProof/>
          <w:webHidden/>
        </w:rPr>
        <w:fldChar w:fldCharType="begin"/>
      </w:r>
      <w:r>
        <w:rPr>
          <w:noProof/>
          <w:webHidden/>
        </w:rPr>
        <w:instrText xml:space="preserve"> PAGEREF _Toc215838128 \h </w:instrText>
      </w:r>
      <w:r>
        <w:rPr>
          <w:noProof/>
          <w:webHidden/>
        </w:rPr>
      </w:r>
      <w:r>
        <w:rPr>
          <w:noProof/>
          <w:webHidden/>
        </w:rPr>
        <w:fldChar w:fldCharType="separate"/>
      </w:r>
      <w:r w:rsidR="00FB1849">
        <w:rPr>
          <w:noProof/>
          <w:webHidden/>
        </w:rPr>
        <w:t>11</w:t>
      </w:r>
      <w:r>
        <w:rPr>
          <w:noProof/>
          <w:webHidden/>
        </w:rPr>
        <w:fldChar w:fldCharType="end"/>
      </w:r>
    </w:p>
    <w:p w14:paraId="4089EF06" w14:textId="34C5E616" w:rsidR="002413E1" w:rsidRDefault="002413E1">
      <w:pPr>
        <w:pStyle w:val="TOC2"/>
        <w:rPr>
          <w:rFonts w:eastAsiaTheme="minorEastAsia"/>
          <w:kern w:val="2"/>
          <w:sz w:val="24"/>
          <w:szCs w:val="24"/>
          <w:lang w:eastAsia="en-AU"/>
          <w14:ligatures w14:val="standardContextual"/>
        </w:rPr>
      </w:pPr>
      <w:r>
        <w:t>A more cohesive regulatory framework would improve the quality and efficiency of</w:t>
      </w:r>
      <w:r w:rsidR="00EB6CA0">
        <w:t> </w:t>
      </w:r>
      <w:r>
        <w:t>care</w:t>
      </w:r>
      <w:r>
        <w:rPr>
          <w:webHidden/>
        </w:rPr>
        <w:tab/>
      </w:r>
      <w:r>
        <w:rPr>
          <w:webHidden/>
        </w:rPr>
        <w:fldChar w:fldCharType="begin"/>
      </w:r>
      <w:r>
        <w:rPr>
          <w:webHidden/>
        </w:rPr>
        <w:instrText xml:space="preserve"> PAGEREF _Toc215838129 \h </w:instrText>
      </w:r>
      <w:r>
        <w:rPr>
          <w:webHidden/>
        </w:rPr>
      </w:r>
      <w:r>
        <w:rPr>
          <w:webHidden/>
        </w:rPr>
        <w:fldChar w:fldCharType="separate"/>
      </w:r>
      <w:r w:rsidR="00FB1849">
        <w:rPr>
          <w:webHidden/>
        </w:rPr>
        <w:t>12</w:t>
      </w:r>
      <w:r>
        <w:rPr>
          <w:webHidden/>
        </w:rPr>
        <w:fldChar w:fldCharType="end"/>
      </w:r>
    </w:p>
    <w:p w14:paraId="06A3907A" w14:textId="76B566B5" w:rsidR="002413E1" w:rsidRDefault="002413E1">
      <w:pPr>
        <w:pStyle w:val="TOC2"/>
        <w:rPr>
          <w:rFonts w:eastAsiaTheme="minorEastAsia"/>
          <w:kern w:val="2"/>
          <w:sz w:val="24"/>
          <w:szCs w:val="24"/>
          <w:lang w:eastAsia="en-AU"/>
          <w14:ligatures w14:val="standardContextual"/>
        </w:rPr>
      </w:pPr>
      <w:r>
        <w:t>Achieving greater regulatory alignment</w:t>
      </w:r>
      <w:r>
        <w:rPr>
          <w:webHidden/>
        </w:rPr>
        <w:tab/>
      </w:r>
      <w:r>
        <w:rPr>
          <w:webHidden/>
        </w:rPr>
        <w:fldChar w:fldCharType="begin"/>
      </w:r>
      <w:r>
        <w:rPr>
          <w:webHidden/>
        </w:rPr>
        <w:instrText xml:space="preserve"> PAGEREF _Toc215838130 \h </w:instrText>
      </w:r>
      <w:r>
        <w:rPr>
          <w:webHidden/>
        </w:rPr>
      </w:r>
      <w:r>
        <w:rPr>
          <w:webHidden/>
        </w:rPr>
        <w:fldChar w:fldCharType="separate"/>
      </w:r>
      <w:r w:rsidR="00FB1849">
        <w:rPr>
          <w:webHidden/>
        </w:rPr>
        <w:t>16</w:t>
      </w:r>
      <w:r>
        <w:rPr>
          <w:webHidden/>
        </w:rPr>
        <w:fldChar w:fldCharType="end"/>
      </w:r>
    </w:p>
    <w:p w14:paraId="4BEA3CE3" w14:textId="26D2307F" w:rsidR="002413E1" w:rsidRDefault="002413E1">
      <w:pPr>
        <w:pStyle w:val="TOC2"/>
        <w:rPr>
          <w:rFonts w:eastAsiaTheme="minorEastAsia"/>
          <w:kern w:val="2"/>
          <w:sz w:val="24"/>
          <w:szCs w:val="24"/>
          <w:lang w:eastAsia="en-AU"/>
          <w14:ligatures w14:val="standardContextual"/>
        </w:rPr>
      </w:pPr>
      <w:r>
        <w:t>Now is an opportune moment to restart alignment efforts</w:t>
      </w:r>
      <w:r>
        <w:rPr>
          <w:webHidden/>
        </w:rPr>
        <w:tab/>
      </w:r>
      <w:r>
        <w:rPr>
          <w:webHidden/>
        </w:rPr>
        <w:fldChar w:fldCharType="begin"/>
      </w:r>
      <w:r>
        <w:rPr>
          <w:webHidden/>
        </w:rPr>
        <w:instrText xml:space="preserve"> PAGEREF _Toc215838131 \h </w:instrText>
      </w:r>
      <w:r>
        <w:rPr>
          <w:webHidden/>
        </w:rPr>
      </w:r>
      <w:r>
        <w:rPr>
          <w:webHidden/>
        </w:rPr>
        <w:fldChar w:fldCharType="separate"/>
      </w:r>
      <w:r w:rsidR="00FB1849">
        <w:rPr>
          <w:webHidden/>
        </w:rPr>
        <w:t>26</w:t>
      </w:r>
      <w:r>
        <w:rPr>
          <w:webHidden/>
        </w:rPr>
        <w:fldChar w:fldCharType="end"/>
      </w:r>
    </w:p>
    <w:p w14:paraId="742E9C84" w14:textId="26493C2A" w:rsidR="002413E1" w:rsidRDefault="002413E1">
      <w:pPr>
        <w:pStyle w:val="TOC1"/>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Pr>
          <w:noProof/>
        </w:rPr>
        <w:t>Embed collaborative commissioning to increase the integration of</w:t>
      </w:r>
      <w:r w:rsidR="00EB6CA0">
        <w:rPr>
          <w:noProof/>
        </w:rPr>
        <w:t> </w:t>
      </w:r>
      <w:r>
        <w:rPr>
          <w:noProof/>
        </w:rPr>
        <w:t>care services</w:t>
      </w:r>
      <w:r>
        <w:rPr>
          <w:noProof/>
          <w:webHidden/>
        </w:rPr>
        <w:tab/>
      </w:r>
      <w:r>
        <w:rPr>
          <w:noProof/>
          <w:webHidden/>
        </w:rPr>
        <w:fldChar w:fldCharType="begin"/>
      </w:r>
      <w:r>
        <w:rPr>
          <w:noProof/>
          <w:webHidden/>
        </w:rPr>
        <w:instrText xml:space="preserve"> PAGEREF _Toc215838132 \h </w:instrText>
      </w:r>
      <w:r>
        <w:rPr>
          <w:noProof/>
          <w:webHidden/>
        </w:rPr>
      </w:r>
      <w:r>
        <w:rPr>
          <w:noProof/>
          <w:webHidden/>
        </w:rPr>
        <w:fldChar w:fldCharType="separate"/>
      </w:r>
      <w:r w:rsidR="00FB1849">
        <w:rPr>
          <w:noProof/>
          <w:webHidden/>
        </w:rPr>
        <w:t>33</w:t>
      </w:r>
      <w:r>
        <w:rPr>
          <w:noProof/>
          <w:webHidden/>
        </w:rPr>
        <w:fldChar w:fldCharType="end"/>
      </w:r>
    </w:p>
    <w:p w14:paraId="3B375BCE" w14:textId="282D78DC" w:rsidR="002413E1" w:rsidRDefault="002413E1">
      <w:pPr>
        <w:pStyle w:val="TOC2"/>
        <w:rPr>
          <w:rFonts w:eastAsiaTheme="minorEastAsia"/>
          <w:kern w:val="2"/>
          <w:sz w:val="24"/>
          <w:szCs w:val="24"/>
          <w:lang w:eastAsia="en-AU"/>
          <w14:ligatures w14:val="standardContextual"/>
        </w:rPr>
      </w:pPr>
      <w:r>
        <w:t>Collaborative commissioning can improve outcomes</w:t>
      </w:r>
      <w:r>
        <w:rPr>
          <w:webHidden/>
        </w:rPr>
        <w:tab/>
      </w:r>
      <w:r>
        <w:rPr>
          <w:webHidden/>
        </w:rPr>
        <w:fldChar w:fldCharType="begin"/>
      </w:r>
      <w:r>
        <w:rPr>
          <w:webHidden/>
        </w:rPr>
        <w:instrText xml:space="preserve"> PAGEREF _Toc215838133 \h </w:instrText>
      </w:r>
      <w:r>
        <w:rPr>
          <w:webHidden/>
        </w:rPr>
      </w:r>
      <w:r>
        <w:rPr>
          <w:webHidden/>
        </w:rPr>
        <w:fldChar w:fldCharType="separate"/>
      </w:r>
      <w:r w:rsidR="00FB1849">
        <w:rPr>
          <w:webHidden/>
        </w:rPr>
        <w:t>34</w:t>
      </w:r>
      <w:r>
        <w:rPr>
          <w:webHidden/>
        </w:rPr>
        <w:fldChar w:fldCharType="end"/>
      </w:r>
    </w:p>
    <w:p w14:paraId="55C9BE62" w14:textId="67D64C6C" w:rsidR="002413E1" w:rsidRDefault="002413E1">
      <w:pPr>
        <w:pStyle w:val="TOC2"/>
        <w:rPr>
          <w:rFonts w:eastAsiaTheme="minorEastAsia"/>
          <w:kern w:val="2"/>
          <w:sz w:val="24"/>
          <w:szCs w:val="24"/>
          <w:lang w:eastAsia="en-AU"/>
          <w14:ligatures w14:val="standardContextual"/>
        </w:rPr>
      </w:pPr>
      <w:r>
        <w:t>Reform of governance and funding to embed collaborative commissioning</w:t>
      </w:r>
      <w:r>
        <w:rPr>
          <w:webHidden/>
        </w:rPr>
        <w:tab/>
      </w:r>
      <w:r>
        <w:rPr>
          <w:webHidden/>
        </w:rPr>
        <w:fldChar w:fldCharType="begin"/>
      </w:r>
      <w:r>
        <w:rPr>
          <w:webHidden/>
        </w:rPr>
        <w:instrText xml:space="preserve"> PAGEREF _Toc215838134 \h </w:instrText>
      </w:r>
      <w:r>
        <w:rPr>
          <w:webHidden/>
        </w:rPr>
      </w:r>
      <w:r>
        <w:rPr>
          <w:webHidden/>
        </w:rPr>
        <w:fldChar w:fldCharType="separate"/>
      </w:r>
      <w:r w:rsidR="00FB1849">
        <w:rPr>
          <w:webHidden/>
        </w:rPr>
        <w:t>41</w:t>
      </w:r>
      <w:r>
        <w:rPr>
          <w:webHidden/>
        </w:rPr>
        <w:fldChar w:fldCharType="end"/>
      </w:r>
    </w:p>
    <w:p w14:paraId="3799998F" w14:textId="38ADF4C7" w:rsidR="002413E1" w:rsidRDefault="002413E1">
      <w:pPr>
        <w:pStyle w:val="TOC2"/>
        <w:rPr>
          <w:rFonts w:eastAsiaTheme="minorEastAsia"/>
          <w:kern w:val="2"/>
          <w:sz w:val="24"/>
          <w:szCs w:val="24"/>
          <w:lang w:eastAsia="en-AU"/>
          <w14:ligatures w14:val="standardContextual"/>
        </w:rPr>
      </w:pPr>
      <w:r>
        <w:t>Effective implementation will require a staged approach</w:t>
      </w:r>
      <w:r>
        <w:rPr>
          <w:webHidden/>
        </w:rPr>
        <w:tab/>
      </w:r>
      <w:r>
        <w:rPr>
          <w:webHidden/>
        </w:rPr>
        <w:fldChar w:fldCharType="begin"/>
      </w:r>
      <w:r>
        <w:rPr>
          <w:webHidden/>
        </w:rPr>
        <w:instrText xml:space="preserve"> PAGEREF _Toc215838135 \h </w:instrText>
      </w:r>
      <w:r>
        <w:rPr>
          <w:webHidden/>
        </w:rPr>
      </w:r>
      <w:r>
        <w:rPr>
          <w:webHidden/>
        </w:rPr>
        <w:fldChar w:fldCharType="separate"/>
      </w:r>
      <w:r w:rsidR="00FB1849">
        <w:rPr>
          <w:webHidden/>
        </w:rPr>
        <w:t>54</w:t>
      </w:r>
      <w:r>
        <w:rPr>
          <w:webHidden/>
        </w:rPr>
        <w:fldChar w:fldCharType="end"/>
      </w:r>
    </w:p>
    <w:p w14:paraId="1AA4C244" w14:textId="477449CD" w:rsidR="002413E1" w:rsidRDefault="002413E1">
      <w:pPr>
        <w:pStyle w:val="TOC1"/>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A national framework to support government investment in prevention and early intervention</w:t>
      </w:r>
      <w:r>
        <w:rPr>
          <w:noProof/>
          <w:webHidden/>
        </w:rPr>
        <w:tab/>
      </w:r>
      <w:r>
        <w:rPr>
          <w:noProof/>
          <w:webHidden/>
        </w:rPr>
        <w:fldChar w:fldCharType="begin"/>
      </w:r>
      <w:r>
        <w:rPr>
          <w:noProof/>
          <w:webHidden/>
        </w:rPr>
        <w:instrText xml:space="preserve"> PAGEREF _Toc215838136 \h </w:instrText>
      </w:r>
      <w:r>
        <w:rPr>
          <w:noProof/>
          <w:webHidden/>
        </w:rPr>
      </w:r>
      <w:r>
        <w:rPr>
          <w:noProof/>
          <w:webHidden/>
        </w:rPr>
        <w:fldChar w:fldCharType="separate"/>
      </w:r>
      <w:r w:rsidR="00FB1849">
        <w:rPr>
          <w:noProof/>
          <w:webHidden/>
        </w:rPr>
        <w:t>57</w:t>
      </w:r>
      <w:r>
        <w:rPr>
          <w:noProof/>
          <w:webHidden/>
        </w:rPr>
        <w:fldChar w:fldCharType="end"/>
      </w:r>
    </w:p>
    <w:p w14:paraId="3DBD70D6" w14:textId="5D552386" w:rsidR="002413E1" w:rsidRDefault="002413E1">
      <w:pPr>
        <w:pStyle w:val="TOC2"/>
        <w:rPr>
          <w:rFonts w:eastAsiaTheme="minorEastAsia"/>
          <w:kern w:val="2"/>
          <w:sz w:val="24"/>
          <w:szCs w:val="24"/>
          <w:lang w:eastAsia="en-AU"/>
          <w14:ligatures w14:val="standardContextual"/>
        </w:rPr>
      </w:pPr>
      <w:r>
        <w:t>Investing in prevention and early intervention can improve outcomes and care</w:t>
      </w:r>
      <w:r w:rsidR="00EB6CA0">
        <w:t> </w:t>
      </w:r>
      <w:r>
        <w:t>sector efficiency</w:t>
      </w:r>
      <w:r>
        <w:rPr>
          <w:webHidden/>
        </w:rPr>
        <w:tab/>
      </w:r>
      <w:r>
        <w:rPr>
          <w:webHidden/>
        </w:rPr>
        <w:fldChar w:fldCharType="begin"/>
      </w:r>
      <w:r>
        <w:rPr>
          <w:webHidden/>
        </w:rPr>
        <w:instrText xml:space="preserve"> PAGEREF _Toc215838137 \h </w:instrText>
      </w:r>
      <w:r>
        <w:rPr>
          <w:webHidden/>
        </w:rPr>
      </w:r>
      <w:r>
        <w:rPr>
          <w:webHidden/>
        </w:rPr>
        <w:fldChar w:fldCharType="separate"/>
      </w:r>
      <w:r w:rsidR="00FB1849">
        <w:rPr>
          <w:webHidden/>
        </w:rPr>
        <w:t>58</w:t>
      </w:r>
      <w:r>
        <w:rPr>
          <w:webHidden/>
        </w:rPr>
        <w:fldChar w:fldCharType="end"/>
      </w:r>
    </w:p>
    <w:p w14:paraId="279E9C2F" w14:textId="1DE339E6" w:rsidR="002413E1" w:rsidRDefault="002413E1">
      <w:pPr>
        <w:pStyle w:val="TOC2"/>
        <w:rPr>
          <w:rFonts w:eastAsiaTheme="minorEastAsia"/>
          <w:kern w:val="2"/>
          <w:sz w:val="24"/>
          <w:szCs w:val="24"/>
          <w:lang w:eastAsia="en-AU"/>
          <w14:ligatures w14:val="standardContextual"/>
        </w:rPr>
      </w:pPr>
      <w:r>
        <w:t>A national framework to support government investment in prevention and early</w:t>
      </w:r>
      <w:r w:rsidR="00252EE6">
        <w:t> </w:t>
      </w:r>
      <w:r>
        <w:t>intervention</w:t>
      </w:r>
      <w:r>
        <w:rPr>
          <w:webHidden/>
        </w:rPr>
        <w:tab/>
      </w:r>
      <w:r>
        <w:rPr>
          <w:webHidden/>
        </w:rPr>
        <w:fldChar w:fldCharType="begin"/>
      </w:r>
      <w:r>
        <w:rPr>
          <w:webHidden/>
        </w:rPr>
        <w:instrText xml:space="preserve"> PAGEREF _Toc215838138 \h </w:instrText>
      </w:r>
      <w:r>
        <w:rPr>
          <w:webHidden/>
        </w:rPr>
      </w:r>
      <w:r>
        <w:rPr>
          <w:webHidden/>
        </w:rPr>
        <w:fldChar w:fldCharType="separate"/>
      </w:r>
      <w:r w:rsidR="00FB1849">
        <w:rPr>
          <w:webHidden/>
        </w:rPr>
        <w:t>67</w:t>
      </w:r>
      <w:r>
        <w:rPr>
          <w:webHidden/>
        </w:rPr>
        <w:fldChar w:fldCharType="end"/>
      </w:r>
    </w:p>
    <w:p w14:paraId="0ADA73C5" w14:textId="3C5CD594" w:rsidR="002413E1" w:rsidRDefault="002413E1">
      <w:pPr>
        <w:pStyle w:val="TOC2"/>
        <w:rPr>
          <w:rFonts w:eastAsiaTheme="minorEastAsia"/>
          <w:kern w:val="2"/>
          <w:sz w:val="24"/>
          <w:szCs w:val="24"/>
          <w:lang w:eastAsia="en-AU"/>
          <w14:ligatures w14:val="standardContextual"/>
        </w:rPr>
      </w:pPr>
      <w:r>
        <w:t>Building blocks of the framework</w:t>
      </w:r>
      <w:r>
        <w:rPr>
          <w:webHidden/>
        </w:rPr>
        <w:tab/>
      </w:r>
      <w:r>
        <w:rPr>
          <w:webHidden/>
        </w:rPr>
        <w:fldChar w:fldCharType="begin"/>
      </w:r>
      <w:r>
        <w:rPr>
          <w:webHidden/>
        </w:rPr>
        <w:instrText xml:space="preserve"> PAGEREF _Toc215838139 \h </w:instrText>
      </w:r>
      <w:r>
        <w:rPr>
          <w:webHidden/>
        </w:rPr>
      </w:r>
      <w:r>
        <w:rPr>
          <w:webHidden/>
        </w:rPr>
        <w:fldChar w:fldCharType="separate"/>
      </w:r>
      <w:r w:rsidR="00FB1849">
        <w:rPr>
          <w:webHidden/>
        </w:rPr>
        <w:t>72</w:t>
      </w:r>
      <w:r>
        <w:rPr>
          <w:webHidden/>
        </w:rPr>
        <w:fldChar w:fldCharType="end"/>
      </w:r>
    </w:p>
    <w:p w14:paraId="14E88A83" w14:textId="0E116B1C" w:rsidR="003075CB" w:rsidRDefault="003075CB">
      <w:pPr>
        <w:pStyle w:val="TOC1"/>
        <w:rPr>
          <w:noProof/>
        </w:rPr>
      </w:pPr>
      <w:r>
        <w:rPr>
          <w:noProof/>
        </w:rPr>
        <w:t>Appendices</w:t>
      </w:r>
      <w:r>
        <w:rPr>
          <w:noProof/>
        </w:rPr>
        <w:tab/>
      </w:r>
      <w:r w:rsidR="00653E73">
        <w:rPr>
          <w:noProof/>
        </w:rPr>
        <w:t>8</w:t>
      </w:r>
      <w:r w:rsidR="005B40F7">
        <w:rPr>
          <w:noProof/>
        </w:rPr>
        <w:t>1</w:t>
      </w:r>
    </w:p>
    <w:p w14:paraId="799804FC" w14:textId="00543348" w:rsidR="002413E1" w:rsidRDefault="002413E1">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Public consultation</w:t>
      </w:r>
      <w:r>
        <w:rPr>
          <w:noProof/>
          <w:webHidden/>
        </w:rPr>
        <w:tab/>
      </w:r>
      <w:r>
        <w:rPr>
          <w:noProof/>
          <w:webHidden/>
        </w:rPr>
        <w:fldChar w:fldCharType="begin"/>
      </w:r>
      <w:r>
        <w:rPr>
          <w:noProof/>
          <w:webHidden/>
        </w:rPr>
        <w:instrText xml:space="preserve"> PAGEREF _Toc215838140 \h </w:instrText>
      </w:r>
      <w:r>
        <w:rPr>
          <w:noProof/>
          <w:webHidden/>
        </w:rPr>
      </w:r>
      <w:r>
        <w:rPr>
          <w:noProof/>
          <w:webHidden/>
        </w:rPr>
        <w:fldChar w:fldCharType="separate"/>
      </w:r>
      <w:r w:rsidR="00FB1849">
        <w:rPr>
          <w:noProof/>
          <w:webHidden/>
        </w:rPr>
        <w:t>83</w:t>
      </w:r>
      <w:r>
        <w:rPr>
          <w:noProof/>
          <w:webHidden/>
        </w:rPr>
        <w:fldChar w:fldCharType="end"/>
      </w:r>
    </w:p>
    <w:p w14:paraId="58042F22" w14:textId="67E78D8F" w:rsidR="002413E1" w:rsidRDefault="002413E1">
      <w:pPr>
        <w:pStyle w:val="TOC1"/>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Technical appendix</w:t>
      </w:r>
      <w:r>
        <w:rPr>
          <w:noProof/>
          <w:webHidden/>
        </w:rPr>
        <w:tab/>
      </w:r>
      <w:r>
        <w:rPr>
          <w:noProof/>
          <w:webHidden/>
        </w:rPr>
        <w:fldChar w:fldCharType="begin"/>
      </w:r>
      <w:r>
        <w:rPr>
          <w:noProof/>
          <w:webHidden/>
        </w:rPr>
        <w:instrText xml:space="preserve"> PAGEREF _Toc215838141 \h </w:instrText>
      </w:r>
      <w:r>
        <w:rPr>
          <w:noProof/>
          <w:webHidden/>
        </w:rPr>
      </w:r>
      <w:r>
        <w:rPr>
          <w:noProof/>
          <w:webHidden/>
        </w:rPr>
        <w:fldChar w:fldCharType="separate"/>
      </w:r>
      <w:r w:rsidR="00FB1849">
        <w:rPr>
          <w:noProof/>
          <w:webHidden/>
        </w:rPr>
        <w:t>99</w:t>
      </w:r>
      <w:r>
        <w:rPr>
          <w:noProof/>
          <w:webHidden/>
        </w:rPr>
        <w:fldChar w:fldCharType="end"/>
      </w:r>
    </w:p>
    <w:p w14:paraId="3391014C" w14:textId="49574850" w:rsidR="002413E1" w:rsidRDefault="002413E1">
      <w:pPr>
        <w:pStyle w:val="TOC1"/>
        <w:rPr>
          <w:rFonts w:asciiTheme="minorHAnsi" w:eastAsiaTheme="minorEastAsia" w:hAnsiTheme="minorHAnsi"/>
          <w:noProof/>
          <w:color w:val="auto"/>
          <w:kern w:val="2"/>
          <w:sz w:val="24"/>
          <w:szCs w:val="24"/>
          <w:lang w:eastAsia="en-AU"/>
          <w14:ligatures w14:val="standardContextual"/>
        </w:rPr>
      </w:pPr>
      <w:r>
        <w:rPr>
          <w:noProof/>
        </w:rPr>
        <w:t>Abbreviations</w:t>
      </w:r>
      <w:r>
        <w:rPr>
          <w:noProof/>
          <w:webHidden/>
        </w:rPr>
        <w:tab/>
      </w:r>
      <w:r>
        <w:rPr>
          <w:noProof/>
          <w:webHidden/>
        </w:rPr>
        <w:fldChar w:fldCharType="begin"/>
      </w:r>
      <w:r>
        <w:rPr>
          <w:noProof/>
          <w:webHidden/>
        </w:rPr>
        <w:instrText xml:space="preserve"> PAGEREF _Toc215838142 \h </w:instrText>
      </w:r>
      <w:r>
        <w:rPr>
          <w:noProof/>
          <w:webHidden/>
        </w:rPr>
      </w:r>
      <w:r>
        <w:rPr>
          <w:noProof/>
          <w:webHidden/>
        </w:rPr>
        <w:fldChar w:fldCharType="separate"/>
      </w:r>
      <w:r w:rsidR="00FB1849">
        <w:rPr>
          <w:noProof/>
          <w:webHidden/>
        </w:rPr>
        <w:t>111</w:t>
      </w:r>
      <w:r>
        <w:rPr>
          <w:noProof/>
          <w:webHidden/>
        </w:rPr>
        <w:fldChar w:fldCharType="end"/>
      </w:r>
    </w:p>
    <w:p w14:paraId="5CEB8132" w14:textId="5F2D46A9" w:rsidR="002413E1" w:rsidRDefault="002413E1">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_Toc215838143 \h </w:instrText>
      </w:r>
      <w:r>
        <w:rPr>
          <w:noProof/>
          <w:webHidden/>
        </w:rPr>
      </w:r>
      <w:r>
        <w:rPr>
          <w:noProof/>
          <w:webHidden/>
        </w:rPr>
        <w:fldChar w:fldCharType="separate"/>
      </w:r>
      <w:r w:rsidR="00FB1849">
        <w:rPr>
          <w:noProof/>
          <w:webHidden/>
        </w:rPr>
        <w:t>113</w:t>
      </w:r>
      <w:r>
        <w:rPr>
          <w:noProof/>
          <w:webHidden/>
        </w:rPr>
        <w:fldChar w:fldCharType="end"/>
      </w:r>
    </w:p>
    <w:p w14:paraId="3BAE9D6D" w14:textId="51C84B08" w:rsidR="0089759E" w:rsidRDefault="00B60405" w:rsidP="00D53019">
      <w:pPr>
        <w:pStyle w:val="BodyText"/>
        <w:rPr>
          <w:sz w:val="18"/>
        </w:rPr>
        <w:sectPr w:rsidR="0089759E" w:rsidSect="00B70AF5">
          <w:headerReference w:type="even" r:id="rId35"/>
          <w:headerReference w:type="default" r:id="rId36"/>
          <w:footerReference w:type="even" r:id="rId37"/>
          <w:footerReference w:type="default" r:id="rId38"/>
          <w:headerReference w:type="first" r:id="rId39"/>
          <w:pgSz w:w="11906" w:h="16838" w:code="9"/>
          <w:pgMar w:top="1134" w:right="1134" w:bottom="1134" w:left="1134" w:header="794" w:footer="510" w:gutter="0"/>
          <w:pgNumType w:fmt="lowerRoman"/>
          <w:cols w:space="708"/>
          <w:docGrid w:linePitch="360"/>
        </w:sectPr>
      </w:pPr>
      <w:r>
        <w:rPr>
          <w:sz w:val="18"/>
        </w:rPr>
        <w:fldChar w:fldCharType="end"/>
      </w:r>
    </w:p>
    <w:p w14:paraId="481C670A" w14:textId="4AD4E4E3" w:rsidR="00B70AF5" w:rsidRDefault="00B70AF5" w:rsidP="00D53019">
      <w:pPr>
        <w:pStyle w:val="BodyText"/>
      </w:pPr>
    </w:p>
    <w:p w14:paraId="708670B9" w14:textId="77777777" w:rsidR="00B60405" w:rsidRDefault="00B60405" w:rsidP="00D53019">
      <w:pPr>
        <w:pStyle w:val="BodyText"/>
      </w:pPr>
    </w:p>
    <w:p w14:paraId="5BFBF8A4" w14:textId="77777777" w:rsidR="00315CAE" w:rsidRDefault="00315CAE" w:rsidP="00D53019">
      <w:pPr>
        <w:pStyle w:val="BodyText"/>
      </w:pPr>
    </w:p>
    <w:p w14:paraId="39498953" w14:textId="77777777" w:rsidR="00315CAE" w:rsidRDefault="00315CAE" w:rsidP="00D53019">
      <w:pPr>
        <w:pStyle w:val="BodyText"/>
        <w:sectPr w:rsidR="00315CAE" w:rsidSect="00B70AF5">
          <w:headerReference w:type="even" r:id="rId40"/>
          <w:pgSz w:w="11906" w:h="16838" w:code="9"/>
          <w:pgMar w:top="1134" w:right="1134" w:bottom="1134" w:left="1134" w:header="794" w:footer="510" w:gutter="0"/>
          <w:pgNumType w:fmt="lowerRoman"/>
          <w:cols w:space="708"/>
          <w:docGrid w:linePitch="360"/>
        </w:sectPr>
      </w:pPr>
    </w:p>
    <w:p w14:paraId="791E0711" w14:textId="79BD20E4" w:rsidR="001440D8" w:rsidRDefault="001440D8" w:rsidP="00F13A7C">
      <w:pPr>
        <w:pStyle w:val="Heading1-nonumber"/>
      </w:pPr>
      <w:bookmarkStart w:id="38" w:name="_Toc215838118"/>
      <w:r>
        <w:lastRenderedPageBreak/>
        <w:t>Executive summary</w:t>
      </w:r>
      <w:bookmarkEnd w:id="38"/>
    </w:p>
    <w:p w14:paraId="10021582" w14:textId="77777777" w:rsidR="001440D8" w:rsidRDefault="001440D8">
      <w:pPr>
        <w:pStyle w:val="BodyText"/>
      </w:pPr>
      <w:r>
        <w:t>Over the course of our lives, most of us will rely on a mix of formal and informal care and support, in ways that are shaped by personal needs, preferences and circumstances. We expect</w:t>
      </w:r>
      <w:r w:rsidDel="008F39B5">
        <w:t xml:space="preserve"> </w:t>
      </w:r>
      <w:r>
        <w:t>formal care to be safe, high quality and accessible. Care services offer more choice, quality and innovative delivery than they did a few decades ago. But as the population and its needs change, the care and support economy is coming under increasing pressure to deliver high</w:t>
      </w:r>
      <w:r>
        <w:noBreakHyphen/>
        <w:t>quality services at a sustainable cost. Without decisive action, future generations will face deeper health inequities and a care system increasingly unable to meet their needs</w:t>
      </w:r>
      <w:r w:rsidRPr="00CB00CA">
        <w:t>.</w:t>
      </w:r>
    </w:p>
    <w:p w14:paraId="3AFFD94B" w14:textId="1D544690" w:rsidR="001440D8" w:rsidRDefault="001440D8">
      <w:pPr>
        <w:pStyle w:val="BodyText"/>
      </w:pPr>
      <w:r>
        <w:t xml:space="preserve">Now is the time for governments to shape the future of the care economy. This report proposes </w:t>
      </w:r>
      <w:r w:rsidDel="00A50B27">
        <w:t xml:space="preserve">reforms </w:t>
      </w:r>
      <w:r>
        <w:t xml:space="preserve">in three areas </w:t>
      </w:r>
      <w:r w:rsidDel="00A50B27">
        <w:t>that</w:t>
      </w:r>
      <w:r>
        <w:t xml:space="preserve"> strengthen</w:t>
      </w:r>
      <w:r w:rsidDel="000A2FE8">
        <w:t xml:space="preserve"> </w:t>
      </w:r>
      <w:r>
        <w:t>connections across sectors and reduce</w:t>
      </w:r>
      <w:r w:rsidDel="00136B35">
        <w:t xml:space="preserve"> </w:t>
      </w:r>
      <w:r>
        <w:t>siloed</w:t>
      </w:r>
      <w:r w:rsidDel="00136B35">
        <w:t xml:space="preserve"> </w:t>
      </w:r>
      <w:r>
        <w:t>decision</w:t>
      </w:r>
      <w:r>
        <w:noBreakHyphen/>
        <w:t>making, improving care quality, making services more efficient and boosting productivity.</w:t>
      </w:r>
    </w:p>
    <w:p w14:paraId="043FED83" w14:textId="77777777" w:rsidR="001440D8" w:rsidRDefault="001440D8">
      <w:pPr>
        <w:pStyle w:val="BodyText"/>
      </w:pPr>
      <w:r>
        <w:t>First, the Australian Government should pursue greater alignment in regulating quality and safety across</w:t>
      </w:r>
      <w:r w:rsidDel="00710B3B">
        <w:t xml:space="preserve"> </w:t>
      </w:r>
      <w:r>
        <w:t>care sectors. It should implement cross</w:t>
      </w:r>
      <w:r>
        <w:noBreakHyphen/>
        <w:t>sectoral provider registration and audits for aged care, veterans’ care and National Disability Insurance Scheme services, with mutual recognition an interim step. Governments should also develop a national worker screening check. Getting these settings right will improve workers’ mobility, better safeguard care users and reduce duplicative paperwork, saving workers and providers about $1.8 billion over 10 years once fully implemented,</w:t>
      </w:r>
      <w:r w:rsidDel="00DA1FF3">
        <w:t xml:space="preserve"> </w:t>
      </w:r>
      <w:r>
        <w:t>equivalent to</w:t>
      </w:r>
      <w:r w:rsidDel="00B86DDE">
        <w:t xml:space="preserve"> </w:t>
      </w:r>
      <w:r>
        <w:t>over 21 million care hours.</w:t>
      </w:r>
      <w:r w:rsidDel="00766C12">
        <w:t xml:space="preserve"> </w:t>
      </w:r>
      <w:r>
        <w:t>A single worker screening check will save care workers – 75% of whom are women – about $88 million a year. This includes the time value of approximately 419,000</w:t>
      </w:r>
      <w:r w:rsidDel="000C1089">
        <w:t xml:space="preserve"> </w:t>
      </w:r>
      <w:r>
        <w:t>hours a year</w:t>
      </w:r>
      <w:r w:rsidRPr="00831979">
        <w:t xml:space="preserve"> </w:t>
      </w:r>
      <w:r>
        <w:t>that workers spend on duplicative paperwork.</w:t>
      </w:r>
    </w:p>
    <w:p w14:paraId="23877735" w14:textId="0D4820ED" w:rsidR="001440D8" w:rsidRPr="00287A9B" w:rsidRDefault="001440D8">
      <w:pPr>
        <w:pStyle w:val="BodyText"/>
        <w:rPr>
          <w:spacing w:val="-4"/>
        </w:rPr>
      </w:pPr>
      <w:r w:rsidRPr="00287A9B">
        <w:rPr>
          <w:spacing w:val="-4"/>
        </w:rPr>
        <w:t>Second, governments should embed collaborative commissioning – the practice of organisations working in partnership to plan, procure and evaluate services for their communities. Collaborative commissioning reduces fragmentation and can bring together the primary and acute parts of the health system. Governments should support collaboration between Local Hospital Networks and Primary Health Networks, in partnership with Aboriginal Community Controlled Health Organisations and other organisations. To achieve this collaboration, governments should strengthen governance arrangements, provide greater funding flexibility, enable access to data, build organisational capability and provide dedicated outcomes</w:t>
      </w:r>
      <w:r w:rsidRPr="00287A9B">
        <w:rPr>
          <w:spacing w:val="-4"/>
        </w:rPr>
        <w:noBreakHyphen/>
        <w:t xml:space="preserve">based funding. These changes would enhance productivity and lower future costs – we estimate they can reduce potentially preventable hospitalisations by 5% and emergency department presentations by 4%, </w:t>
      </w:r>
      <w:r w:rsidR="00FA722D" w:rsidRPr="00287A9B">
        <w:rPr>
          <w:spacing w:val="-4"/>
        </w:rPr>
        <w:t xml:space="preserve">equivalent to </w:t>
      </w:r>
      <w:r w:rsidRPr="00287A9B">
        <w:rPr>
          <w:spacing w:val="-4"/>
        </w:rPr>
        <w:t>$600 million per year.</w:t>
      </w:r>
    </w:p>
    <w:p w14:paraId="25D5AB68" w14:textId="77777777" w:rsidR="00287A9B" w:rsidRDefault="001440D8">
      <w:pPr>
        <w:pStyle w:val="BodyText"/>
        <w:sectPr w:rsidR="00287A9B" w:rsidSect="00976F39">
          <w:headerReference w:type="even" r:id="rId41"/>
          <w:headerReference w:type="default" r:id="rId42"/>
          <w:pgSz w:w="11906" w:h="16838" w:code="9"/>
          <w:pgMar w:top="1134" w:right="1134" w:bottom="1134" w:left="1134" w:header="794" w:footer="510" w:gutter="0"/>
          <w:pgNumType w:start="1"/>
          <w:cols w:space="708"/>
          <w:docGrid w:linePitch="360"/>
        </w:sectPr>
      </w:pPr>
      <w:r>
        <w:t>Finally, Australia needs a new approach to investment in prevention and early intervention, through a National Prevention and Early Intervention Framework. S</w:t>
      </w:r>
      <w:r w:rsidRPr="00AC2117">
        <w:t xml:space="preserve">topping problems from starting or getting worse can lead to better </w:t>
      </w:r>
      <w:r w:rsidRPr="00F53465">
        <w:t>outcomes and reduce demand for more costly services down the track</w:t>
      </w:r>
      <w:r>
        <w:t xml:space="preserve">, helping to slow growth in government expenditure. </w:t>
      </w:r>
      <w:r w:rsidRPr="00AC2117">
        <w:t>Our framework would support a new investment</w:t>
      </w:r>
      <w:r w:rsidRPr="00AF3904">
        <w:t xml:space="preserve"> </w:t>
      </w:r>
      <w:r w:rsidRPr="00AC2117">
        <w:t xml:space="preserve">approach, by recognising that benefits fall </w:t>
      </w:r>
      <w:r>
        <w:t>across sectors, governments, and over extended timeframes.</w:t>
      </w:r>
      <w:r w:rsidRPr="00AC2117">
        <w:t xml:space="preserve"> A national independent advisory board would </w:t>
      </w:r>
      <w:r>
        <w:t>review and recommend</w:t>
      </w:r>
      <w:r w:rsidRPr="00AC2117">
        <w:t xml:space="preserve"> programs, supported by new </w:t>
      </w:r>
      <w:r>
        <w:t>linked</w:t>
      </w:r>
      <w:r w:rsidRPr="00AC2117">
        <w:t xml:space="preserve"> data and modelling infrastructure. </w:t>
      </w:r>
      <w:r>
        <w:t>An investment of $1.5 billion over five years would be expected to save governments $2.7 billion</w:t>
      </w:r>
      <w:r w:rsidRPr="00137567">
        <w:t xml:space="preserve"> </w:t>
      </w:r>
      <w:r w:rsidRPr="000753F5">
        <w:t xml:space="preserve">over ten years. </w:t>
      </w:r>
      <w:r w:rsidRPr="002F1DE9">
        <w:rPr>
          <w:rFonts w:ascii="Arial" w:hAnsi="Arial" w:cs="Arial"/>
        </w:rPr>
        <w:t xml:space="preserve">When broader health, social and economic benefits are included, the net present value of total benefits would be </w:t>
      </w:r>
      <w:r>
        <w:rPr>
          <w:rFonts w:ascii="Arial" w:hAnsi="Arial" w:cs="Arial"/>
        </w:rPr>
        <w:t>about</w:t>
      </w:r>
      <w:r w:rsidRPr="002F1DE9">
        <w:rPr>
          <w:rFonts w:ascii="Arial" w:hAnsi="Arial" w:cs="Arial"/>
        </w:rPr>
        <w:t xml:space="preserve"> $5.4 billion. </w:t>
      </w:r>
      <w:r w:rsidRPr="000753F5">
        <w:t>There is strong cross</w:t>
      </w:r>
      <w:r w:rsidRPr="000753F5">
        <w:noBreakHyphen/>
        <w:t>sector support for embedding a more systematic approach into government decision</w:t>
      </w:r>
      <w:r w:rsidRPr="000753F5">
        <w:noBreakHyphen/>
        <w:t>making</w:t>
      </w:r>
      <w:r w:rsidR="00777949">
        <w:t xml:space="preserve"> and the costs of inaction are high</w:t>
      </w:r>
      <w:r w:rsidRPr="000753F5">
        <w:t>.</w:t>
      </w:r>
      <w:r w:rsidR="00445CD9">
        <w:t xml:space="preserve"> </w:t>
      </w:r>
      <w:r w:rsidR="00445CD9" w:rsidRPr="00445CD9">
        <w:t>Better investment now can improve outcomes and alleviate increasing pressure on the care system and future budgets</w:t>
      </w:r>
      <w:r w:rsidR="00445CD9">
        <w:t>.</w:t>
      </w:r>
      <w:r w:rsidRPr="000753F5">
        <w:t xml:space="preserve"> </w:t>
      </w:r>
    </w:p>
    <w:p w14:paraId="38A9FBE2" w14:textId="77777777" w:rsidR="001440D8" w:rsidRDefault="001440D8" w:rsidP="000C7717">
      <w:pPr>
        <w:pStyle w:val="Heading1-nonumber"/>
        <w:spacing w:after="240"/>
      </w:pPr>
      <w:bookmarkStart w:id="39" w:name="_Toc215671155"/>
      <w:bookmarkStart w:id="40" w:name="_Toc215838119"/>
      <w:r>
        <w:lastRenderedPageBreak/>
        <w:t>Recommendations</w:t>
      </w:r>
      <w:bookmarkEnd w:id="39"/>
      <w:bookmarkEnd w:id="40"/>
    </w:p>
    <w:p w14:paraId="6C30E2AB" w14:textId="367EAB3D" w:rsidR="001440D8" w:rsidRDefault="001440D8" w:rsidP="000C7717">
      <w:pPr>
        <w:pStyle w:val="Heading2-nonumber"/>
        <w:spacing w:before="120"/>
      </w:pPr>
      <w:bookmarkStart w:id="41" w:name="_Toc215228302"/>
      <w:bookmarkStart w:id="42" w:name="_Toc215671096"/>
      <w:bookmarkStart w:id="43" w:name="_Toc215671156"/>
      <w:bookmarkStart w:id="44" w:name="_Toc215674229"/>
      <w:bookmarkStart w:id="45" w:name="_Toc215838120"/>
      <w:r>
        <w:t>Reform of quality and safety regulation to support a more cohesive care economy</w:t>
      </w:r>
      <w:bookmarkEnd w:id="41"/>
      <w:bookmarkEnd w:id="42"/>
      <w:bookmarkEnd w:id="43"/>
      <w:bookmarkEnd w:id="44"/>
      <w:bookmarkEnd w:id="45"/>
    </w:p>
    <w:tbl>
      <w:tblPr>
        <w:tblStyle w:val="Texttable-Paleblue"/>
        <w:tblW w:w="5000" w:type="pct"/>
        <w:tblLook w:val="04A0" w:firstRow="1" w:lastRow="0" w:firstColumn="1" w:lastColumn="0" w:noHBand="0" w:noVBand="1"/>
      </w:tblPr>
      <w:tblGrid>
        <w:gridCol w:w="713"/>
        <w:gridCol w:w="8925"/>
      </w:tblGrid>
      <w:tr w:rsidR="001440D8" w14:paraId="04424650" w14:textId="77777777" w:rsidTr="00336F90">
        <w:trPr>
          <w:tblHeader/>
        </w:trPr>
        <w:tc>
          <w:tcPr>
            <w:tcW w:w="713" w:type="dxa"/>
            <w:shd w:val="clear" w:color="auto" w:fill="E7F6FD"/>
            <w:tcMar>
              <w:top w:w="0" w:type="dxa"/>
              <w:bottom w:w="0" w:type="dxa"/>
            </w:tcMar>
            <w:vAlign w:val="center"/>
          </w:tcPr>
          <w:p w14:paraId="2A74A499" w14:textId="77777777" w:rsidR="001440D8" w:rsidRPr="00283A66" w:rsidRDefault="001440D8">
            <w:pPr>
              <w:keepLines/>
              <w:jc w:val="center"/>
              <w:rPr>
                <w:rFonts w:cstheme="minorHAnsi"/>
              </w:rPr>
            </w:pPr>
            <w:r w:rsidRPr="00283A66">
              <w:rPr>
                <w:rFonts w:cstheme="minorHAnsi"/>
                <w:noProof/>
              </w:rPr>
              <w:drawing>
                <wp:inline distT="0" distB="0" distL="0" distR="0" wp14:anchorId="2A5EB88F" wp14:editId="0EDB11DB">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7DB3967" w14:textId="155C7CD3" w:rsidR="001440D8" w:rsidRPr="00283A66" w:rsidRDefault="001440D8">
            <w:pPr>
              <w:pStyle w:val="TableHeading"/>
              <w:keepLines/>
              <w:spacing w:before="120" w:after="120"/>
              <w:contextualSpacing/>
              <w:rPr>
                <w:rFonts w:cstheme="minorHAnsi"/>
                <w:sz w:val="20"/>
              </w:rPr>
            </w:pPr>
            <w:r w:rsidRPr="00283A66">
              <w:rPr>
                <w:rFonts w:cstheme="minorHAnsi"/>
                <w:sz w:val="20"/>
              </w:rPr>
              <w:t xml:space="preserve">Recommendation </w:t>
            </w:r>
            <w:r w:rsidR="00435667">
              <w:rPr>
                <w:rFonts w:cstheme="minorHAnsi"/>
                <w:sz w:val="20"/>
              </w:rPr>
              <w:t>1</w:t>
            </w:r>
            <w:r w:rsidRPr="00283A66">
              <w:rPr>
                <w:rFonts w:cstheme="minorHAnsi"/>
                <w:sz w:val="20"/>
              </w:rPr>
              <w:t>.</w:t>
            </w:r>
            <w:r w:rsidRPr="00283A66">
              <w:rPr>
                <w:rFonts w:cstheme="minorHAnsi"/>
                <w:sz w:val="20"/>
              </w:rPr>
              <w:fldChar w:fldCharType="begin"/>
            </w:r>
            <w:r w:rsidRPr="00283A66">
              <w:rPr>
                <w:rFonts w:cstheme="minorHAnsi"/>
                <w:sz w:val="20"/>
              </w:rPr>
              <w:instrText xml:space="preserve"> SEQ Recommendation \* ARABIC \s 1 </w:instrText>
            </w:r>
            <w:r w:rsidRPr="00283A66">
              <w:rPr>
                <w:rFonts w:cstheme="minorHAnsi"/>
                <w:sz w:val="20"/>
              </w:rPr>
              <w:fldChar w:fldCharType="separate"/>
            </w:r>
            <w:r w:rsidR="00FB1849">
              <w:rPr>
                <w:rFonts w:cstheme="minorHAnsi"/>
                <w:noProof/>
                <w:sz w:val="20"/>
              </w:rPr>
              <w:t>1</w:t>
            </w:r>
            <w:r w:rsidRPr="00283A66">
              <w:rPr>
                <w:rFonts w:cstheme="minorHAnsi"/>
                <w:sz w:val="20"/>
              </w:rPr>
              <w:fldChar w:fldCharType="end"/>
            </w:r>
          </w:p>
          <w:p w14:paraId="10360AA0" w14:textId="77777777" w:rsidR="001440D8" w:rsidRPr="00283A66" w:rsidRDefault="001440D8">
            <w:pPr>
              <w:pStyle w:val="TableHeading"/>
              <w:keepLines/>
              <w:spacing w:before="120" w:after="120"/>
              <w:contextualSpacing/>
              <w:rPr>
                <w:sz w:val="20"/>
              </w:rPr>
            </w:pPr>
            <w:r w:rsidRPr="2F4CFE2E">
              <w:rPr>
                <w:sz w:val="20"/>
              </w:rPr>
              <w:t xml:space="preserve">Align quality and safety regulation </w:t>
            </w:r>
            <w:r>
              <w:rPr>
                <w:sz w:val="20"/>
              </w:rPr>
              <w:t>of</w:t>
            </w:r>
            <w:r w:rsidRPr="2F4CFE2E">
              <w:rPr>
                <w:sz w:val="20"/>
              </w:rPr>
              <w:t xml:space="preserve"> workers across the care economy</w:t>
            </w:r>
          </w:p>
        </w:tc>
      </w:tr>
      <w:tr w:rsidR="001440D8" w14:paraId="129EC012" w14:textId="77777777" w:rsidTr="00336F90">
        <w:tc>
          <w:tcPr>
            <w:tcW w:w="9638" w:type="dxa"/>
            <w:gridSpan w:val="2"/>
            <w:shd w:val="clear" w:color="auto" w:fill="E7F6FD"/>
            <w:tcMar>
              <w:top w:w="0" w:type="dxa"/>
            </w:tcMar>
          </w:tcPr>
          <w:p w14:paraId="7D9028A6" w14:textId="6266055D" w:rsidR="001440D8" w:rsidRPr="00283A66" w:rsidRDefault="001440D8" w:rsidP="000C7717">
            <w:pPr>
              <w:pStyle w:val="BodyText"/>
              <w:spacing w:line="260" w:lineRule="atLeast"/>
              <w:rPr>
                <w:rFonts w:cstheme="minorHAnsi"/>
              </w:rPr>
            </w:pPr>
            <w:r w:rsidRPr="00283A66">
              <w:rPr>
                <w:rFonts w:cstheme="minorHAnsi"/>
              </w:rPr>
              <w:t>The Australian Government, in collaboration with state and territory governments where required, should:</w:t>
            </w:r>
          </w:p>
          <w:p w14:paraId="1E747459" w14:textId="77777777" w:rsidR="001440D8" w:rsidRPr="00283A66" w:rsidRDefault="001440D8" w:rsidP="000C7717">
            <w:pPr>
              <w:pStyle w:val="ListBullet"/>
              <w:keepLines/>
              <w:spacing w:line="260" w:lineRule="atLeast"/>
              <w:rPr>
                <w:rFonts w:cstheme="minorHAnsi"/>
              </w:rPr>
            </w:pPr>
            <w:r w:rsidRPr="00283A66">
              <w:rPr>
                <w:rFonts w:cstheme="minorHAnsi"/>
              </w:rPr>
              <w:t xml:space="preserve">establish a national worker screening check that combines current aged care, </w:t>
            </w:r>
            <w:r>
              <w:rPr>
                <w:rFonts w:cstheme="minorHAnsi"/>
              </w:rPr>
              <w:t>National Disability Insurance Scheme (</w:t>
            </w:r>
            <w:r w:rsidRPr="00283A66">
              <w:rPr>
                <w:rFonts w:cstheme="minorHAnsi"/>
              </w:rPr>
              <w:t>NDIS</w:t>
            </w:r>
            <w:r>
              <w:rPr>
                <w:rFonts w:cstheme="minorHAnsi"/>
              </w:rPr>
              <w:t>)</w:t>
            </w:r>
            <w:r w:rsidRPr="00283A66">
              <w:rPr>
                <w:rFonts w:cstheme="minorHAnsi"/>
              </w:rPr>
              <w:t>, working with children and working with vulnerable people checks. The check should be supported by a national continuous checking capability that monitors clearance holders’ criminal histories and communicates relevant offences to government agencies in real time</w:t>
            </w:r>
          </w:p>
          <w:p w14:paraId="74A04089" w14:textId="77777777" w:rsidR="001440D8" w:rsidRPr="008177E6" w:rsidRDefault="001440D8" w:rsidP="000C7717">
            <w:pPr>
              <w:pStyle w:val="ListBullet"/>
              <w:keepLines/>
              <w:spacing w:line="260" w:lineRule="atLeast"/>
              <w:rPr>
                <w:rFonts w:cstheme="minorHAnsi"/>
                <w:spacing w:val="-4"/>
              </w:rPr>
            </w:pPr>
            <w:r w:rsidRPr="008177E6">
              <w:rPr>
                <w:rFonts w:cstheme="minorHAnsi"/>
                <w:spacing w:val="-4"/>
              </w:rPr>
              <w:t>design the proposed national worker registration scheme for personal care workers in aged care with sufficient flexibility to allow for any future expansion to the NDIS, the veterans’ care sector or other care professions, should the Australian Government choose to introduce further registration requirements</w:t>
            </w:r>
          </w:p>
          <w:p w14:paraId="42D8CF8A" w14:textId="77777777" w:rsidR="001440D8" w:rsidRPr="00283A66" w:rsidRDefault="001440D8" w:rsidP="000C7717">
            <w:pPr>
              <w:pStyle w:val="ListBullet"/>
              <w:keepLines/>
              <w:spacing w:line="260" w:lineRule="atLeast"/>
              <w:rPr>
                <w:rFonts w:cstheme="minorHAnsi"/>
              </w:rPr>
            </w:pPr>
            <w:r w:rsidRPr="00283A66">
              <w:rPr>
                <w:rFonts w:cstheme="minorHAnsi"/>
              </w:rPr>
              <w:t>develop a single digital worker registration portal to allow workers registered under the proposed registration schemes in aged care and early childhood education and care to manage their registration details in one place. The portal should be designed with sufficient flexibility to enable it to support other worker registration schemes in the care economy if required.</w:t>
            </w:r>
          </w:p>
        </w:tc>
      </w:tr>
    </w:tbl>
    <w:p w14:paraId="5CD9B853" w14:textId="77777777" w:rsidR="001440D8" w:rsidRPr="00701F1D" w:rsidRDefault="001440D8" w:rsidP="00701F1D">
      <w:pPr>
        <w:pStyle w:val="NoSpacing"/>
      </w:pPr>
    </w:p>
    <w:tbl>
      <w:tblPr>
        <w:tblStyle w:val="Texttable-Paleblue"/>
        <w:tblW w:w="5000" w:type="pct"/>
        <w:tblLook w:val="04A0" w:firstRow="1" w:lastRow="0" w:firstColumn="1" w:lastColumn="0" w:noHBand="0" w:noVBand="1"/>
      </w:tblPr>
      <w:tblGrid>
        <w:gridCol w:w="713"/>
        <w:gridCol w:w="8925"/>
      </w:tblGrid>
      <w:tr w:rsidR="001440D8" w14:paraId="30F320F9" w14:textId="77777777">
        <w:trPr>
          <w:tblHeader/>
        </w:trPr>
        <w:tc>
          <w:tcPr>
            <w:tcW w:w="713" w:type="dxa"/>
            <w:shd w:val="clear" w:color="auto" w:fill="E7F6FD"/>
            <w:tcMar>
              <w:top w:w="0" w:type="dxa"/>
              <w:bottom w:w="0" w:type="dxa"/>
            </w:tcMar>
            <w:vAlign w:val="center"/>
          </w:tcPr>
          <w:p w14:paraId="278137F2" w14:textId="77777777" w:rsidR="001440D8" w:rsidRPr="00283A66" w:rsidRDefault="001440D8">
            <w:pPr>
              <w:keepLines/>
              <w:jc w:val="center"/>
              <w:rPr>
                <w:rFonts w:cstheme="minorHAnsi"/>
              </w:rPr>
            </w:pPr>
            <w:r w:rsidRPr="00283A66">
              <w:rPr>
                <w:rFonts w:cstheme="minorHAnsi"/>
                <w:noProof/>
              </w:rPr>
              <w:drawing>
                <wp:inline distT="0" distB="0" distL="0" distR="0" wp14:anchorId="0548B21D" wp14:editId="50E5B4D0">
                  <wp:extent cx="288000" cy="288000"/>
                  <wp:effectExtent l="0" t="0" r="0" b="0"/>
                  <wp:docPr id="1056945451" name="Graphic 1056945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34C190E" w14:textId="59896431" w:rsidR="001440D8" w:rsidRPr="00283A66" w:rsidRDefault="001440D8">
            <w:pPr>
              <w:pStyle w:val="TableHeading"/>
              <w:keepLines/>
              <w:spacing w:before="120" w:after="120"/>
              <w:contextualSpacing/>
              <w:rPr>
                <w:rFonts w:cstheme="minorHAnsi"/>
                <w:sz w:val="20"/>
              </w:rPr>
            </w:pPr>
            <w:r w:rsidRPr="00283A66">
              <w:rPr>
                <w:rFonts w:cstheme="minorHAnsi"/>
                <w:sz w:val="20"/>
              </w:rPr>
              <w:t xml:space="preserve">Recommendation </w:t>
            </w:r>
            <w:r w:rsidR="00435667">
              <w:rPr>
                <w:rFonts w:cstheme="minorHAnsi"/>
                <w:sz w:val="20"/>
              </w:rPr>
              <w:t>1</w:t>
            </w:r>
            <w:r w:rsidRPr="00283A66">
              <w:rPr>
                <w:rFonts w:cstheme="minorHAnsi"/>
                <w:sz w:val="20"/>
              </w:rPr>
              <w:t>.2</w:t>
            </w:r>
          </w:p>
          <w:p w14:paraId="3969F545" w14:textId="77777777" w:rsidR="001440D8" w:rsidRPr="00283A66" w:rsidRDefault="001440D8">
            <w:pPr>
              <w:pStyle w:val="TableHeading"/>
              <w:keepLines/>
              <w:spacing w:before="120" w:after="120"/>
              <w:contextualSpacing/>
              <w:rPr>
                <w:rFonts w:cstheme="minorHAnsi"/>
                <w:sz w:val="20"/>
              </w:rPr>
            </w:pPr>
            <w:r w:rsidRPr="00283A66">
              <w:rPr>
                <w:rFonts w:cstheme="minorHAnsi"/>
                <w:sz w:val="20"/>
              </w:rPr>
              <w:t xml:space="preserve">Align quality and safety regulation </w:t>
            </w:r>
            <w:r>
              <w:rPr>
                <w:rFonts w:cstheme="minorHAnsi"/>
                <w:sz w:val="20"/>
              </w:rPr>
              <w:t xml:space="preserve">of providers and services </w:t>
            </w:r>
            <w:r w:rsidRPr="00283A66">
              <w:rPr>
                <w:rFonts w:cstheme="minorHAnsi"/>
                <w:sz w:val="20"/>
              </w:rPr>
              <w:t>and assess the case for a single regulator</w:t>
            </w:r>
          </w:p>
        </w:tc>
      </w:tr>
      <w:tr w:rsidR="001440D8" w14:paraId="0881AFAC" w14:textId="77777777">
        <w:tc>
          <w:tcPr>
            <w:tcW w:w="9638" w:type="dxa"/>
            <w:gridSpan w:val="2"/>
            <w:shd w:val="clear" w:color="auto" w:fill="E7F6FD"/>
            <w:tcMar>
              <w:top w:w="0" w:type="dxa"/>
            </w:tcMar>
          </w:tcPr>
          <w:p w14:paraId="7A44C02D" w14:textId="7625F19A" w:rsidR="001440D8" w:rsidRPr="00283A66" w:rsidRDefault="001440D8" w:rsidP="000C7717">
            <w:pPr>
              <w:pStyle w:val="BodyText"/>
              <w:keepLines/>
              <w:spacing w:line="260" w:lineRule="atLeast"/>
              <w:rPr>
                <w:rFonts w:cstheme="minorHAnsi"/>
              </w:rPr>
            </w:pPr>
            <w:r w:rsidRPr="00283A66">
              <w:rPr>
                <w:rFonts w:cstheme="minorHAnsi"/>
              </w:rPr>
              <w:t xml:space="preserve">To begin aligning </w:t>
            </w:r>
            <w:r>
              <w:rPr>
                <w:rFonts w:cstheme="minorHAnsi"/>
              </w:rPr>
              <w:t xml:space="preserve">quality and safety regulation of </w:t>
            </w:r>
            <w:r w:rsidRPr="00283A66">
              <w:rPr>
                <w:rFonts w:cstheme="minorHAnsi"/>
              </w:rPr>
              <w:t>provider</w:t>
            </w:r>
            <w:r>
              <w:rPr>
                <w:rFonts w:cstheme="minorHAnsi"/>
              </w:rPr>
              <w:t>s</w:t>
            </w:r>
            <w:r w:rsidRPr="00283A66">
              <w:rPr>
                <w:rFonts w:cstheme="minorHAnsi"/>
              </w:rPr>
              <w:t xml:space="preserve"> and service</w:t>
            </w:r>
            <w:r>
              <w:rPr>
                <w:rFonts w:cstheme="minorHAnsi"/>
              </w:rPr>
              <w:t xml:space="preserve">s </w:t>
            </w:r>
            <w:r w:rsidRPr="00283A66">
              <w:rPr>
                <w:rFonts w:cstheme="minorHAnsi"/>
              </w:rPr>
              <w:t>across the care economy, the Australian Government, in collaboration with state and territory governments where relevant</w:t>
            </w:r>
            <w:r w:rsidR="00315D3A">
              <w:rPr>
                <w:rFonts w:cstheme="minorHAnsi"/>
              </w:rPr>
              <w:t>,</w:t>
            </w:r>
            <w:r w:rsidR="00315D3A" w:rsidRPr="00283A66">
              <w:rPr>
                <w:rFonts w:cstheme="minorHAnsi"/>
              </w:rPr>
              <w:t xml:space="preserve"> should</w:t>
            </w:r>
            <w:r w:rsidRPr="00283A66">
              <w:rPr>
                <w:rFonts w:cstheme="minorHAnsi"/>
              </w:rPr>
              <w:t>:</w:t>
            </w:r>
          </w:p>
          <w:p w14:paraId="3A8D88BE" w14:textId="77777777" w:rsidR="001440D8" w:rsidRPr="00283A66" w:rsidRDefault="001440D8" w:rsidP="000C7717">
            <w:pPr>
              <w:pStyle w:val="ListBullet"/>
              <w:keepLines/>
              <w:spacing w:line="260" w:lineRule="atLeast"/>
              <w:rPr>
                <w:rFonts w:cstheme="minorHAnsi"/>
              </w:rPr>
            </w:pPr>
            <w:r w:rsidRPr="00283A66">
              <w:rPr>
                <w:rFonts w:cstheme="minorHAnsi"/>
              </w:rPr>
              <w:t>develop a common suitability test for providers operating across the aged care, National Disability Insurance Scheme (NDIS), veterans’ care and early childhood education and care (ECEC) sectors</w:t>
            </w:r>
          </w:p>
          <w:p w14:paraId="62C3A761" w14:textId="77777777" w:rsidR="001440D8" w:rsidRPr="00283A66" w:rsidRDefault="001440D8" w:rsidP="000C7717">
            <w:pPr>
              <w:pStyle w:val="ListBullet"/>
              <w:keepLines/>
              <w:spacing w:line="260" w:lineRule="atLeast"/>
              <w:rPr>
                <w:rFonts w:cstheme="minorHAnsi"/>
              </w:rPr>
            </w:pPr>
            <w:r w:rsidRPr="00283A66">
              <w:rPr>
                <w:rFonts w:cstheme="minorHAnsi"/>
              </w:rPr>
              <w:t>establish cross</w:t>
            </w:r>
            <w:r>
              <w:rPr>
                <w:rFonts w:cstheme="minorHAnsi"/>
              </w:rPr>
              <w:noBreakHyphen/>
            </w:r>
            <w:r w:rsidRPr="00283A66">
              <w:rPr>
                <w:rFonts w:cstheme="minorHAnsi"/>
              </w:rPr>
              <w:t>sectoral registration and audits across the aged care, NDIS and veterans’ care sectors, with mutual recognition of registration and audits as an interim step</w:t>
            </w:r>
          </w:p>
          <w:p w14:paraId="06F92396" w14:textId="77777777" w:rsidR="001440D8" w:rsidRPr="00283A66" w:rsidRDefault="001440D8" w:rsidP="000C7717">
            <w:pPr>
              <w:pStyle w:val="ListBullet"/>
              <w:keepLines/>
              <w:spacing w:line="260" w:lineRule="atLeast"/>
              <w:rPr>
                <w:rFonts w:cstheme="minorHAnsi"/>
              </w:rPr>
            </w:pPr>
            <w:r w:rsidRPr="00283A66">
              <w:rPr>
                <w:rFonts w:cstheme="minorHAnsi"/>
              </w:rPr>
              <w:t>create a</w:t>
            </w:r>
            <w:r w:rsidRPr="00283A66" w:rsidDel="005F7989">
              <w:rPr>
                <w:rFonts w:cstheme="minorHAnsi"/>
              </w:rPr>
              <w:t xml:space="preserve"> </w:t>
            </w:r>
            <w:r w:rsidRPr="00283A66">
              <w:rPr>
                <w:rFonts w:cstheme="minorHAnsi"/>
              </w:rPr>
              <w:t>single digital portal for registration, approval and audits in aged care, NDIS and veterans’ care, and for providers approved to administer the Child Care Subsidy in the ECEC sector</w:t>
            </w:r>
          </w:p>
          <w:p w14:paraId="1ED6E1D3" w14:textId="77777777" w:rsidR="001440D8" w:rsidRPr="00781E83" w:rsidRDefault="001440D8" w:rsidP="000C7717">
            <w:pPr>
              <w:pStyle w:val="ListBullet"/>
              <w:keepLines/>
              <w:spacing w:line="260" w:lineRule="atLeast"/>
              <w:rPr>
                <w:rFonts w:cstheme="minorHAnsi"/>
                <w:spacing w:val="-2"/>
              </w:rPr>
            </w:pPr>
            <w:r w:rsidRPr="00781E83">
              <w:rPr>
                <w:rFonts w:cstheme="minorHAnsi"/>
                <w:spacing w:val="-2"/>
              </w:rPr>
              <w:t>establish a combined modular set of practice and quality standards across aged care and NDIS services</w:t>
            </w:r>
          </w:p>
          <w:p w14:paraId="34A21533" w14:textId="77777777" w:rsidR="001440D8" w:rsidRPr="00781E83" w:rsidRDefault="001440D8" w:rsidP="000C7717">
            <w:pPr>
              <w:pStyle w:val="ListBullet"/>
              <w:keepLines/>
              <w:spacing w:line="260" w:lineRule="atLeast"/>
              <w:rPr>
                <w:rFonts w:cstheme="minorHAnsi"/>
                <w:spacing w:val="-2"/>
              </w:rPr>
            </w:pPr>
            <w:r w:rsidRPr="00781E83">
              <w:rPr>
                <w:rFonts w:cstheme="minorHAnsi"/>
                <w:spacing w:val="-2"/>
              </w:rPr>
              <w:t>align the regulation of behaviour support plans and restrictive practices for aged care and NDIS services</w:t>
            </w:r>
          </w:p>
          <w:p w14:paraId="49140C2F" w14:textId="77777777" w:rsidR="001440D8" w:rsidRPr="00283A66" w:rsidRDefault="001440D8" w:rsidP="000C7717">
            <w:pPr>
              <w:pStyle w:val="ListBullet"/>
              <w:keepLines/>
              <w:spacing w:line="260" w:lineRule="atLeast"/>
              <w:rPr>
                <w:rFonts w:cstheme="minorHAnsi"/>
              </w:rPr>
            </w:pPr>
            <w:r w:rsidRPr="00283A66">
              <w:rPr>
                <w:rFonts w:cstheme="minorHAnsi"/>
              </w:rPr>
              <w:t>identify opportunities and apply the principle of ‘report once, use often’ in data reporting across care sectors, initially focusing on the aged care, NDIS and veterans’ care sectors.</w:t>
            </w:r>
          </w:p>
          <w:p w14:paraId="21244BEE" w14:textId="77777777" w:rsidR="001440D8" w:rsidRPr="00283A66" w:rsidRDefault="001440D8" w:rsidP="000C7717">
            <w:pPr>
              <w:pStyle w:val="BodyText"/>
              <w:spacing w:line="260" w:lineRule="atLeast"/>
              <w:rPr>
                <w:rFonts w:cstheme="minorHAnsi"/>
              </w:rPr>
            </w:pPr>
            <w:r w:rsidRPr="00283A66">
              <w:rPr>
                <w:rFonts w:cstheme="minorHAnsi"/>
                <w:color w:val="000000" w:themeColor="text1"/>
              </w:rPr>
              <w:t xml:space="preserve">The Australian Government should also </w:t>
            </w:r>
            <w:r w:rsidRPr="00283A66">
              <w:rPr>
                <w:rFonts w:cstheme="minorHAnsi"/>
              </w:rPr>
              <w:t>assess the case for a single regulator across the aged care, NDIS and veterans’ care sectors. In doing so, it should work closely with care users and providers and weigh the benefits, costs and risks of a single regulator.</w:t>
            </w:r>
          </w:p>
        </w:tc>
      </w:tr>
    </w:tbl>
    <w:p w14:paraId="15A71F0F" w14:textId="77777777" w:rsidR="001440D8" w:rsidRPr="00C873BB" w:rsidRDefault="001440D8" w:rsidP="00701F1D">
      <w:pPr>
        <w:pStyle w:val="BodyText"/>
        <w:spacing w:before="0" w:after="0" w:line="220" w:lineRule="atLeast"/>
        <w:rPr>
          <w:rFonts w:ascii="Arial" w:hAnsi="Arial" w:cs="Arial"/>
          <w:sz w:val="2"/>
          <w:szCs w:val="2"/>
        </w:rPr>
      </w:pPr>
    </w:p>
    <w:tbl>
      <w:tblPr>
        <w:tblStyle w:val="Texttable-Paleblue"/>
        <w:tblW w:w="5000" w:type="pct"/>
        <w:tblLook w:val="04A0" w:firstRow="1" w:lastRow="0" w:firstColumn="1" w:lastColumn="0" w:noHBand="0" w:noVBand="1"/>
      </w:tblPr>
      <w:tblGrid>
        <w:gridCol w:w="713"/>
        <w:gridCol w:w="8925"/>
      </w:tblGrid>
      <w:tr w:rsidR="001440D8" w14:paraId="47EFD33D" w14:textId="77777777">
        <w:trPr>
          <w:tblHeader/>
        </w:trPr>
        <w:tc>
          <w:tcPr>
            <w:tcW w:w="713" w:type="dxa"/>
            <w:shd w:val="clear" w:color="auto" w:fill="E7F6FD"/>
            <w:tcMar>
              <w:top w:w="0" w:type="dxa"/>
              <w:bottom w:w="0" w:type="dxa"/>
            </w:tcMar>
            <w:vAlign w:val="center"/>
          </w:tcPr>
          <w:p w14:paraId="475F30C1" w14:textId="77777777" w:rsidR="001440D8" w:rsidRPr="00283A66" w:rsidRDefault="001440D8">
            <w:pPr>
              <w:keepLines/>
              <w:jc w:val="center"/>
              <w:rPr>
                <w:rFonts w:cstheme="minorHAnsi"/>
              </w:rPr>
            </w:pPr>
            <w:r w:rsidRPr="00283A66">
              <w:rPr>
                <w:rFonts w:cstheme="minorHAnsi"/>
                <w:noProof/>
              </w:rPr>
              <w:drawing>
                <wp:inline distT="0" distB="0" distL="0" distR="0" wp14:anchorId="175664D5" wp14:editId="68670DFA">
                  <wp:extent cx="288000" cy="288000"/>
                  <wp:effectExtent l="0" t="0" r="0" b="0"/>
                  <wp:docPr id="1276680199" name="Graphic 1276680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9DE3FB2" w14:textId="755B5515" w:rsidR="001440D8" w:rsidRPr="00283A66" w:rsidRDefault="001440D8">
            <w:pPr>
              <w:pStyle w:val="TableHeading"/>
              <w:keepLines/>
              <w:spacing w:before="120" w:after="120"/>
              <w:contextualSpacing/>
              <w:rPr>
                <w:rFonts w:cstheme="minorHAnsi"/>
                <w:sz w:val="20"/>
              </w:rPr>
            </w:pPr>
            <w:r w:rsidRPr="00283A66">
              <w:rPr>
                <w:rFonts w:cstheme="minorHAnsi"/>
                <w:sz w:val="20"/>
              </w:rPr>
              <w:t xml:space="preserve">Recommendation </w:t>
            </w:r>
            <w:r w:rsidR="00435667">
              <w:rPr>
                <w:rFonts w:cstheme="minorHAnsi"/>
                <w:sz w:val="20"/>
              </w:rPr>
              <w:t>1</w:t>
            </w:r>
            <w:r w:rsidRPr="00283A66">
              <w:rPr>
                <w:rFonts w:cstheme="minorHAnsi"/>
                <w:sz w:val="20"/>
              </w:rPr>
              <w:t>.3</w:t>
            </w:r>
          </w:p>
          <w:p w14:paraId="4E3E5280" w14:textId="77777777" w:rsidR="001440D8" w:rsidRPr="00283A66" w:rsidRDefault="001440D8">
            <w:pPr>
              <w:pStyle w:val="TableHeading"/>
              <w:keepLines/>
              <w:spacing w:before="120" w:after="120"/>
              <w:contextualSpacing/>
              <w:rPr>
                <w:rFonts w:cstheme="minorHAnsi"/>
                <w:sz w:val="20"/>
              </w:rPr>
            </w:pPr>
            <w:r w:rsidRPr="00283A66">
              <w:rPr>
                <w:rFonts w:cstheme="minorHAnsi"/>
                <w:sz w:val="20"/>
              </w:rPr>
              <w:t xml:space="preserve">Lead the implementation process and provide </w:t>
            </w:r>
            <w:r>
              <w:rPr>
                <w:rFonts w:cstheme="minorHAnsi"/>
                <w:sz w:val="20"/>
              </w:rPr>
              <w:t>relevant</w:t>
            </w:r>
            <w:r w:rsidRPr="00283A66">
              <w:rPr>
                <w:rFonts w:cstheme="minorHAnsi"/>
                <w:sz w:val="20"/>
              </w:rPr>
              <w:t xml:space="preserve"> agencies with direction </w:t>
            </w:r>
          </w:p>
        </w:tc>
      </w:tr>
      <w:tr w:rsidR="001440D8" w14:paraId="07C6B66E" w14:textId="77777777">
        <w:tc>
          <w:tcPr>
            <w:tcW w:w="9638" w:type="dxa"/>
            <w:gridSpan w:val="2"/>
            <w:shd w:val="clear" w:color="auto" w:fill="E7F6FD"/>
            <w:tcMar>
              <w:top w:w="0" w:type="dxa"/>
            </w:tcMar>
          </w:tcPr>
          <w:p w14:paraId="5687A3B9" w14:textId="77777777" w:rsidR="001440D8" w:rsidRPr="00283A66" w:rsidRDefault="001440D8">
            <w:pPr>
              <w:pStyle w:val="BodyText"/>
              <w:rPr>
                <w:rFonts w:cstheme="minorHAnsi"/>
              </w:rPr>
            </w:pPr>
            <w:r w:rsidRPr="00283A66">
              <w:rPr>
                <w:rFonts w:cstheme="minorHAnsi"/>
              </w:rPr>
              <w:t xml:space="preserve">To </w:t>
            </w:r>
            <w:r>
              <w:rPr>
                <w:rFonts w:cstheme="minorHAnsi"/>
              </w:rPr>
              <w:t>enable</w:t>
            </w:r>
            <w:r w:rsidRPr="00283A66">
              <w:rPr>
                <w:rFonts w:cstheme="minorHAnsi"/>
              </w:rPr>
              <w:t xml:space="preserve"> greater alignment</w:t>
            </w:r>
            <w:r>
              <w:rPr>
                <w:rFonts w:cstheme="minorHAnsi"/>
              </w:rPr>
              <w:t xml:space="preserve"> of regulation</w:t>
            </w:r>
            <w:r w:rsidRPr="00283A66">
              <w:rPr>
                <w:rFonts w:cstheme="minorHAnsi"/>
              </w:rPr>
              <w:t>, including by implementing recommendations 1.1 and 1.2, the Australian Government should:</w:t>
            </w:r>
          </w:p>
          <w:p w14:paraId="2CA0E4DF" w14:textId="77777777" w:rsidR="001440D8" w:rsidRPr="00283A66" w:rsidRDefault="001440D8" w:rsidP="00336F90">
            <w:pPr>
              <w:pStyle w:val="ListBullet"/>
              <w:keepLines/>
              <w:rPr>
                <w:rFonts w:cstheme="minorHAnsi"/>
              </w:rPr>
            </w:pPr>
            <w:r w:rsidRPr="00283A66">
              <w:rPr>
                <w:rFonts w:cstheme="minorHAnsi"/>
              </w:rPr>
              <w:t xml:space="preserve">appoint a Minister responsible for alignment </w:t>
            </w:r>
            <w:r>
              <w:rPr>
                <w:rFonts w:cstheme="minorHAnsi"/>
              </w:rPr>
              <w:t xml:space="preserve">of regulation </w:t>
            </w:r>
            <w:r w:rsidRPr="00283A66">
              <w:rPr>
                <w:rFonts w:cstheme="minorHAnsi"/>
              </w:rPr>
              <w:t>across the care economy</w:t>
            </w:r>
          </w:p>
          <w:p w14:paraId="337911BC" w14:textId="77777777" w:rsidR="001440D8" w:rsidRPr="00283A66" w:rsidRDefault="001440D8" w:rsidP="00336F90">
            <w:pPr>
              <w:pStyle w:val="ListBullet"/>
              <w:keepLines/>
              <w:rPr>
                <w:rFonts w:cstheme="minorHAnsi"/>
              </w:rPr>
            </w:pPr>
            <w:r w:rsidRPr="00283A66">
              <w:rPr>
                <w:rFonts w:cstheme="minorHAnsi"/>
              </w:rPr>
              <w:t>appoint lead agencies responsible for implementing each recommendation. Implementing agencies should publicly communicate timeframes, milestones and progress to promote transparency and accountability</w:t>
            </w:r>
          </w:p>
          <w:p w14:paraId="46AA2127" w14:textId="77777777" w:rsidR="001440D8" w:rsidRPr="00283A66" w:rsidRDefault="001440D8" w:rsidP="00336F90">
            <w:pPr>
              <w:pStyle w:val="ListBullet"/>
              <w:keepLines/>
              <w:rPr>
                <w:rFonts w:cstheme="minorHAnsi"/>
              </w:rPr>
            </w:pPr>
            <w:r w:rsidRPr="00283A66">
              <w:rPr>
                <w:rFonts w:cstheme="minorHAnsi"/>
              </w:rPr>
              <w:t xml:space="preserve">issue the National Disability Insurance Scheme Quality and Safeguards Commission and Aged Care Quality and Safety Commission with updated statements of expectations outlining that the two </w:t>
            </w:r>
            <w:r>
              <w:rPr>
                <w:rFonts w:cstheme="minorHAnsi"/>
              </w:rPr>
              <w:t>agencies</w:t>
            </w:r>
            <w:r w:rsidRPr="00283A66">
              <w:rPr>
                <w:rFonts w:cstheme="minorHAnsi"/>
              </w:rPr>
              <w:t xml:space="preserve"> should work together, and with </w:t>
            </w:r>
            <w:r>
              <w:rPr>
                <w:rFonts w:cstheme="minorHAnsi"/>
              </w:rPr>
              <w:t xml:space="preserve">other </w:t>
            </w:r>
            <w:r w:rsidRPr="00283A66">
              <w:rPr>
                <w:rFonts w:cstheme="minorHAnsi"/>
              </w:rPr>
              <w:t xml:space="preserve">relevant government agencies, to align regulation and reduce duplication </w:t>
            </w:r>
            <w:r>
              <w:rPr>
                <w:rFonts w:cstheme="minorHAnsi"/>
              </w:rPr>
              <w:t xml:space="preserve">of regulation </w:t>
            </w:r>
            <w:r w:rsidRPr="00283A66">
              <w:rPr>
                <w:rFonts w:cstheme="minorHAnsi"/>
              </w:rPr>
              <w:t>across care sectors.</w:t>
            </w:r>
          </w:p>
        </w:tc>
      </w:tr>
    </w:tbl>
    <w:p w14:paraId="52F13AB6" w14:textId="77777777" w:rsidR="001440D8" w:rsidRDefault="001440D8">
      <w:pPr>
        <w:pStyle w:val="Heading2-nonumber"/>
      </w:pPr>
      <w:bookmarkStart w:id="46" w:name="_Toc215228303"/>
      <w:bookmarkStart w:id="47" w:name="_Toc215671097"/>
      <w:bookmarkStart w:id="48" w:name="_Toc215671157"/>
      <w:bookmarkStart w:id="49" w:name="_Toc215674230"/>
      <w:bookmarkStart w:id="50" w:name="_Toc215838121"/>
      <w:r>
        <w:t>Embed collaborative commissioning to increase the integration of care services</w:t>
      </w:r>
      <w:bookmarkEnd w:id="46"/>
      <w:bookmarkEnd w:id="47"/>
      <w:bookmarkEnd w:id="48"/>
      <w:bookmarkEnd w:id="49"/>
      <w:bookmarkEnd w:id="50"/>
    </w:p>
    <w:p w14:paraId="240E66BF" w14:textId="77777777" w:rsidR="00D93581" w:rsidRDefault="00D93581" w:rsidP="00D93581">
      <w:pPr>
        <w:pStyle w:val="NoSpacing"/>
      </w:pPr>
    </w:p>
    <w:tbl>
      <w:tblPr>
        <w:tblStyle w:val="Texttable-Paleblue"/>
        <w:tblW w:w="5000" w:type="pct"/>
        <w:tblLook w:val="04A0" w:firstRow="1" w:lastRow="0" w:firstColumn="1" w:lastColumn="0" w:noHBand="0" w:noVBand="1"/>
      </w:tblPr>
      <w:tblGrid>
        <w:gridCol w:w="713"/>
        <w:gridCol w:w="8925"/>
      </w:tblGrid>
      <w:tr w:rsidR="001440D8" w:rsidRPr="00B40479" w14:paraId="274E05F5" w14:textId="77777777">
        <w:trPr>
          <w:tblHeader/>
        </w:trPr>
        <w:tc>
          <w:tcPr>
            <w:tcW w:w="713" w:type="dxa"/>
            <w:shd w:val="clear" w:color="auto" w:fill="E7F6FD"/>
            <w:tcMar>
              <w:top w:w="0" w:type="dxa"/>
              <w:bottom w:w="0" w:type="dxa"/>
            </w:tcMar>
            <w:vAlign w:val="center"/>
          </w:tcPr>
          <w:p w14:paraId="0B6646DD" w14:textId="77777777" w:rsidR="001440D8" w:rsidRPr="00283A66" w:rsidRDefault="001440D8">
            <w:pPr>
              <w:keepLines/>
              <w:jc w:val="center"/>
              <w:rPr>
                <w:rFonts w:cstheme="minorHAnsi"/>
              </w:rPr>
            </w:pPr>
            <w:r w:rsidRPr="00283A66">
              <w:rPr>
                <w:rFonts w:cstheme="minorHAnsi"/>
                <w:noProof/>
              </w:rPr>
              <w:drawing>
                <wp:inline distT="0" distB="0" distL="0" distR="0" wp14:anchorId="54901E6A" wp14:editId="37EBA63E">
                  <wp:extent cx="288000" cy="288000"/>
                  <wp:effectExtent l="0" t="0" r="0" b="0"/>
                  <wp:docPr id="91508854" name="Graphic 91508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DB95197" w14:textId="77777777" w:rsidR="001440D8" w:rsidRPr="00283A66" w:rsidRDefault="001440D8">
            <w:pPr>
              <w:pStyle w:val="TableHeading"/>
              <w:keepLines/>
              <w:spacing w:before="120" w:after="120"/>
              <w:contextualSpacing/>
              <w:rPr>
                <w:rFonts w:cstheme="minorHAnsi"/>
                <w:sz w:val="20"/>
              </w:rPr>
            </w:pPr>
            <w:r w:rsidRPr="00283A66">
              <w:rPr>
                <w:rFonts w:cstheme="minorHAnsi"/>
                <w:sz w:val="20"/>
              </w:rPr>
              <w:t xml:space="preserve">Recommendation </w:t>
            </w:r>
            <w:r>
              <w:rPr>
                <w:rFonts w:cstheme="minorHAnsi"/>
                <w:sz w:val="20"/>
              </w:rPr>
              <w:t>2.1</w:t>
            </w:r>
          </w:p>
          <w:p w14:paraId="797C0EBB" w14:textId="77777777" w:rsidR="001440D8" w:rsidRPr="00283A66" w:rsidRDefault="001440D8">
            <w:pPr>
              <w:pStyle w:val="TableHeading"/>
              <w:keepLines/>
              <w:spacing w:before="120" w:after="120"/>
              <w:contextualSpacing/>
              <w:rPr>
                <w:rFonts w:cstheme="minorHAnsi"/>
                <w:sz w:val="20"/>
              </w:rPr>
            </w:pPr>
            <w:r w:rsidRPr="00283A66">
              <w:rPr>
                <w:rFonts w:cstheme="minorHAnsi"/>
                <w:sz w:val="20"/>
              </w:rPr>
              <w:t>Establish stronger joint governance arrangements</w:t>
            </w:r>
          </w:p>
        </w:tc>
      </w:tr>
      <w:tr w:rsidR="001440D8" w:rsidRPr="00B40479" w14:paraId="18BDC6EF" w14:textId="77777777">
        <w:tc>
          <w:tcPr>
            <w:tcW w:w="9638" w:type="dxa"/>
            <w:gridSpan w:val="2"/>
            <w:shd w:val="clear" w:color="auto" w:fill="E7F6FD"/>
            <w:tcMar>
              <w:top w:w="0" w:type="dxa"/>
            </w:tcMar>
          </w:tcPr>
          <w:p w14:paraId="774762BD" w14:textId="77777777" w:rsidR="001440D8" w:rsidRPr="00283A66" w:rsidRDefault="001440D8">
            <w:pPr>
              <w:pStyle w:val="BodyText"/>
              <w:rPr>
                <w:rFonts w:cstheme="minorHAnsi"/>
              </w:rPr>
            </w:pPr>
            <w:r w:rsidRPr="00283A66">
              <w:rPr>
                <w:rFonts w:cstheme="minorHAnsi"/>
              </w:rPr>
              <w:t xml:space="preserve">Governments should agree to establish stronger joint governance arrangements that support better collaboration between Local Hospital Networks (LHNs) and Primary Health Networks (PHNs), in partnership with Aboriginal Community Controlled Health Organisations (ACCHOs) and other organisations. </w:t>
            </w:r>
          </w:p>
          <w:p w14:paraId="08A3EB98" w14:textId="77777777" w:rsidR="001440D8" w:rsidRPr="00283A66" w:rsidRDefault="001440D8" w:rsidP="00336F90">
            <w:pPr>
              <w:pStyle w:val="ListBullet"/>
              <w:keepLines/>
              <w:rPr>
                <w:rFonts w:cstheme="minorHAnsi"/>
              </w:rPr>
            </w:pPr>
            <w:r w:rsidRPr="00283A66">
              <w:rPr>
                <w:rFonts w:cstheme="minorHAnsi"/>
              </w:rPr>
              <w:t>LHNs and PHNs should be required to plan together to identify areas for collaboration, including joint needs assessments, agreed plans of work and joint monitoring and reporting of outcomes.</w:t>
            </w:r>
          </w:p>
          <w:p w14:paraId="1391CE4F" w14:textId="624E9303" w:rsidR="001440D8" w:rsidRPr="00283A66" w:rsidRDefault="001440D8" w:rsidP="00336F90">
            <w:pPr>
              <w:pStyle w:val="ListBullet"/>
              <w:keepLines/>
              <w:rPr>
                <w:rFonts w:cstheme="minorHAnsi"/>
              </w:rPr>
            </w:pPr>
            <w:r w:rsidRPr="00283A66">
              <w:rPr>
                <w:rFonts w:cstheme="minorHAnsi"/>
              </w:rPr>
              <w:t>LHNs and PHNs should work in partnership with ACCHOs and other organisations to inform planning and shared decision</w:t>
            </w:r>
            <w:r w:rsidR="00FA089D">
              <w:rPr>
                <w:rFonts w:cstheme="minorHAnsi"/>
              </w:rPr>
              <w:t>-</w:t>
            </w:r>
            <w:r w:rsidRPr="00283A66">
              <w:rPr>
                <w:rFonts w:cstheme="minorHAnsi"/>
              </w:rPr>
              <w:t>making. Partnering with ACCHOs should be consistent with the principles set out in the National Agreement on Closing the Gap to ensure relevant needs are appropriately and respectfully assessed and decisions shared.</w:t>
            </w:r>
          </w:p>
          <w:p w14:paraId="5BA466FE" w14:textId="77777777" w:rsidR="001440D8" w:rsidRPr="00283A66" w:rsidRDefault="001440D8" w:rsidP="00336F90">
            <w:pPr>
              <w:pStyle w:val="ListBullet"/>
              <w:keepLines/>
              <w:rPr>
                <w:rFonts w:cstheme="minorHAnsi"/>
              </w:rPr>
            </w:pPr>
            <w:r w:rsidRPr="00283A66">
              <w:rPr>
                <w:rFonts w:cstheme="minorHAnsi"/>
              </w:rPr>
              <w:t xml:space="preserve">Stronger requirements for formal joint committees to provide oversight and accountability for collaboration are needed. </w:t>
            </w:r>
          </w:p>
          <w:p w14:paraId="4D100440" w14:textId="77777777" w:rsidR="001440D8" w:rsidRPr="00283A66" w:rsidRDefault="001440D8">
            <w:pPr>
              <w:pStyle w:val="BodyText"/>
              <w:rPr>
                <w:rFonts w:cstheme="minorHAnsi"/>
              </w:rPr>
            </w:pPr>
            <w:r w:rsidRPr="00283A66">
              <w:rPr>
                <w:rFonts w:cstheme="minorHAnsi"/>
              </w:rPr>
              <w:t xml:space="preserve">The National Health Reform Agreement (NHRA) should be the </w:t>
            </w:r>
            <w:r>
              <w:rPr>
                <w:rFonts w:cstheme="minorHAnsi"/>
              </w:rPr>
              <w:t>main</w:t>
            </w:r>
            <w:r w:rsidRPr="00283A66">
              <w:rPr>
                <w:rFonts w:cstheme="minorHAnsi"/>
              </w:rPr>
              <w:t xml:space="preserve"> lever for moving beyond pilots and embedding these reforms, augmented by additional actions outside the agreement where necessary. </w:t>
            </w:r>
          </w:p>
          <w:p w14:paraId="7A7FED41" w14:textId="77777777" w:rsidR="001440D8" w:rsidRPr="00283A66" w:rsidRDefault="001440D8" w:rsidP="00336F90">
            <w:pPr>
              <w:pStyle w:val="ListBullet"/>
              <w:keepLines/>
              <w:rPr>
                <w:rFonts w:cstheme="minorHAnsi"/>
              </w:rPr>
            </w:pPr>
            <w:r w:rsidRPr="00283A66">
              <w:rPr>
                <w:rFonts w:cstheme="minorHAnsi"/>
              </w:rPr>
              <w:t>If the 2026 addendum to the NHRA is not sufficiently prescriptive, the Australian Government should allocate some initial resourcing, potentially on a matched basis with state and territory governments, to progress the development of joint governance arrangements through bilateral agreements.</w:t>
            </w:r>
          </w:p>
        </w:tc>
      </w:tr>
    </w:tbl>
    <w:p w14:paraId="2F0CB496" w14:textId="77777777" w:rsidR="001440D8" w:rsidRPr="00097886" w:rsidRDefault="001440D8">
      <w:pPr>
        <w:pStyle w:val="BodyText"/>
        <w:rPr>
          <w:rFonts w:ascii="Arial" w:hAnsi="Arial" w:cs="Arial"/>
        </w:rPr>
      </w:pPr>
    </w:p>
    <w:tbl>
      <w:tblPr>
        <w:tblStyle w:val="Texttable-Paleblue"/>
        <w:tblW w:w="5000" w:type="pct"/>
        <w:tblLook w:val="04A0" w:firstRow="1" w:lastRow="0" w:firstColumn="1" w:lastColumn="0" w:noHBand="0" w:noVBand="1"/>
      </w:tblPr>
      <w:tblGrid>
        <w:gridCol w:w="713"/>
        <w:gridCol w:w="8925"/>
      </w:tblGrid>
      <w:tr w:rsidR="001440D8" w:rsidRPr="00B40479" w14:paraId="2DB32836" w14:textId="77777777">
        <w:trPr>
          <w:tblHeader/>
        </w:trPr>
        <w:tc>
          <w:tcPr>
            <w:tcW w:w="713" w:type="dxa"/>
            <w:shd w:val="clear" w:color="auto" w:fill="E7F6FD"/>
            <w:tcMar>
              <w:top w:w="0" w:type="dxa"/>
              <w:bottom w:w="0" w:type="dxa"/>
            </w:tcMar>
            <w:vAlign w:val="center"/>
          </w:tcPr>
          <w:p w14:paraId="1578BC61" w14:textId="77777777" w:rsidR="001440D8" w:rsidRPr="00283A66" w:rsidRDefault="001440D8">
            <w:pPr>
              <w:keepLines/>
              <w:jc w:val="center"/>
              <w:rPr>
                <w:rFonts w:cstheme="minorHAnsi"/>
              </w:rPr>
            </w:pPr>
            <w:r w:rsidRPr="00283A66">
              <w:rPr>
                <w:rFonts w:cstheme="minorHAnsi"/>
                <w:noProof/>
              </w:rPr>
              <w:lastRenderedPageBreak/>
              <w:drawing>
                <wp:inline distT="0" distB="0" distL="0" distR="0" wp14:anchorId="66557B47" wp14:editId="78673C10">
                  <wp:extent cx="288000" cy="288000"/>
                  <wp:effectExtent l="0" t="0" r="0" b="0"/>
                  <wp:docPr id="914818833" name="Graphic 914818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3DF9F91" w14:textId="77777777" w:rsidR="001440D8" w:rsidRPr="00283A66" w:rsidRDefault="001440D8">
            <w:pPr>
              <w:pStyle w:val="TableHeading"/>
              <w:keepLines/>
              <w:spacing w:before="120" w:after="120"/>
              <w:contextualSpacing/>
              <w:rPr>
                <w:rFonts w:cstheme="minorHAnsi"/>
                <w:sz w:val="20"/>
              </w:rPr>
            </w:pPr>
            <w:r w:rsidRPr="00283A66">
              <w:rPr>
                <w:rFonts w:cstheme="minorHAnsi"/>
                <w:sz w:val="20"/>
              </w:rPr>
              <w:t xml:space="preserve">Recommendation </w:t>
            </w:r>
            <w:r>
              <w:rPr>
                <w:rFonts w:cstheme="minorHAnsi"/>
                <w:sz w:val="20"/>
              </w:rPr>
              <w:t>2.2</w:t>
            </w:r>
          </w:p>
          <w:p w14:paraId="44F95EB5" w14:textId="77777777" w:rsidR="001440D8" w:rsidRPr="00283A66" w:rsidRDefault="001440D8">
            <w:pPr>
              <w:pStyle w:val="TableHeading"/>
              <w:keepLines/>
              <w:spacing w:before="120" w:after="120"/>
              <w:contextualSpacing/>
              <w:rPr>
                <w:rFonts w:cstheme="minorHAnsi"/>
                <w:sz w:val="20"/>
              </w:rPr>
            </w:pPr>
            <w:r w:rsidRPr="00283A66">
              <w:rPr>
                <w:rFonts w:cstheme="minorHAnsi"/>
                <w:sz w:val="20"/>
              </w:rPr>
              <w:t>Enable more flexible funding</w:t>
            </w:r>
          </w:p>
        </w:tc>
      </w:tr>
      <w:tr w:rsidR="001440D8" w:rsidRPr="00B40479" w14:paraId="0046EFEE" w14:textId="77777777">
        <w:tc>
          <w:tcPr>
            <w:tcW w:w="9638" w:type="dxa"/>
            <w:gridSpan w:val="2"/>
            <w:shd w:val="clear" w:color="auto" w:fill="E7F6FD"/>
            <w:tcMar>
              <w:top w:w="0" w:type="dxa"/>
            </w:tcMar>
          </w:tcPr>
          <w:p w14:paraId="4D1A6D05" w14:textId="77777777" w:rsidR="001440D8" w:rsidRPr="00283A66" w:rsidRDefault="001440D8">
            <w:pPr>
              <w:pStyle w:val="BodyText"/>
              <w:rPr>
                <w:rFonts w:cstheme="minorHAnsi"/>
              </w:rPr>
            </w:pPr>
            <w:r w:rsidRPr="00283A66">
              <w:rPr>
                <w:rFonts w:cstheme="minorHAnsi"/>
              </w:rPr>
              <w:t>Governments should facilitate collaborative commissioning by making funding more flexible.</w:t>
            </w:r>
          </w:p>
          <w:p w14:paraId="09D524A6" w14:textId="77777777" w:rsidR="001440D8" w:rsidRPr="00283A66" w:rsidRDefault="001440D8" w:rsidP="001440D8">
            <w:pPr>
              <w:pStyle w:val="ListBullet"/>
              <w:keepLines/>
              <w:rPr>
                <w:rFonts w:cstheme="minorHAnsi"/>
              </w:rPr>
            </w:pPr>
            <w:r w:rsidRPr="00283A66">
              <w:rPr>
                <w:rFonts w:cstheme="minorHAnsi"/>
              </w:rPr>
              <w:t xml:space="preserve">The Australian Government should allow Primary Health Networks (PHNs) to have flexibility in how they achieve agreed outcomes. </w:t>
            </w:r>
          </w:p>
          <w:p w14:paraId="50EBA0E3" w14:textId="77777777" w:rsidR="001440D8" w:rsidRPr="00283A66" w:rsidRDefault="001440D8" w:rsidP="001440D8">
            <w:pPr>
              <w:pStyle w:val="ListBullet"/>
              <w:keepLines/>
              <w:rPr>
                <w:rFonts w:cstheme="minorHAnsi"/>
              </w:rPr>
            </w:pPr>
            <w:r w:rsidRPr="00283A66">
              <w:rPr>
                <w:rFonts w:cstheme="minorHAnsi"/>
              </w:rPr>
              <w:t xml:space="preserve">To enable collaboratively commissioned programs, state and territory governments should ensure that service agreements provide flexibility in the services and programs that Local Hospital Networks (LHNs) can fund. </w:t>
            </w:r>
          </w:p>
          <w:p w14:paraId="7A880139" w14:textId="77777777" w:rsidR="001440D8" w:rsidRPr="00283A66" w:rsidRDefault="001440D8" w:rsidP="001440D8">
            <w:pPr>
              <w:pStyle w:val="ListBullet"/>
              <w:keepLines/>
              <w:rPr>
                <w:rFonts w:cstheme="minorHAnsi"/>
              </w:rPr>
            </w:pPr>
            <w:r w:rsidRPr="00283A66">
              <w:rPr>
                <w:rFonts w:cstheme="minorHAnsi"/>
              </w:rPr>
              <w:t xml:space="preserve">Both </w:t>
            </w:r>
            <w:r>
              <w:rPr>
                <w:rFonts w:cstheme="minorHAnsi"/>
              </w:rPr>
              <w:t>LHNs and</w:t>
            </w:r>
            <w:r w:rsidRPr="00283A66">
              <w:rPr>
                <w:rFonts w:cstheme="minorHAnsi"/>
              </w:rPr>
              <w:t xml:space="preserve"> PHNs should be allowed to pool funds </w:t>
            </w:r>
            <w:r>
              <w:rPr>
                <w:rFonts w:cstheme="minorHAnsi"/>
              </w:rPr>
              <w:t>that</w:t>
            </w:r>
            <w:r w:rsidRPr="00283A66">
              <w:rPr>
                <w:rFonts w:cstheme="minorHAnsi"/>
              </w:rPr>
              <w:t xml:space="preserve"> are </w:t>
            </w:r>
            <w:r>
              <w:rPr>
                <w:rFonts w:cstheme="minorHAnsi"/>
              </w:rPr>
              <w:t>being</w:t>
            </w:r>
            <w:r w:rsidRPr="00283A66">
              <w:rPr>
                <w:rFonts w:cstheme="minorHAnsi"/>
              </w:rPr>
              <w:t xml:space="preserve"> used to support collaboration. </w:t>
            </w:r>
          </w:p>
          <w:p w14:paraId="4EA3E2F7" w14:textId="77777777" w:rsidR="001440D8" w:rsidRPr="001F45FC" w:rsidRDefault="001440D8">
            <w:pPr>
              <w:pStyle w:val="BodyText"/>
              <w:rPr>
                <w:rFonts w:cstheme="minorHAnsi"/>
                <w:spacing w:val="-4"/>
              </w:rPr>
            </w:pPr>
            <w:r w:rsidRPr="001F45FC">
              <w:rPr>
                <w:rFonts w:cstheme="minorHAnsi"/>
                <w:spacing w:val="-4"/>
              </w:rPr>
              <w:t>Flexibility should be accompanied by appropriate guardrails to maintain accountability for achieving outcomes.</w:t>
            </w:r>
          </w:p>
        </w:tc>
      </w:tr>
    </w:tbl>
    <w:p w14:paraId="5DE83B27" w14:textId="77777777" w:rsidR="001440D8" w:rsidRPr="00097886" w:rsidRDefault="001440D8">
      <w:pPr>
        <w:pStyle w:val="BodyText"/>
        <w:rPr>
          <w:rFonts w:ascii="Arial" w:hAnsi="Arial" w:cs="Arial"/>
        </w:rPr>
      </w:pPr>
    </w:p>
    <w:tbl>
      <w:tblPr>
        <w:tblStyle w:val="Texttable-Paleblue"/>
        <w:tblW w:w="5000" w:type="pct"/>
        <w:tblLook w:val="04A0" w:firstRow="1" w:lastRow="0" w:firstColumn="1" w:lastColumn="0" w:noHBand="0" w:noVBand="1"/>
      </w:tblPr>
      <w:tblGrid>
        <w:gridCol w:w="713"/>
        <w:gridCol w:w="8925"/>
      </w:tblGrid>
      <w:tr w:rsidR="001440D8" w:rsidRPr="00B40479" w14:paraId="018B2B27" w14:textId="77777777">
        <w:trPr>
          <w:tblHeader/>
        </w:trPr>
        <w:tc>
          <w:tcPr>
            <w:tcW w:w="713" w:type="dxa"/>
            <w:shd w:val="clear" w:color="auto" w:fill="E7F6FD"/>
            <w:tcMar>
              <w:top w:w="0" w:type="dxa"/>
              <w:bottom w:w="0" w:type="dxa"/>
            </w:tcMar>
            <w:vAlign w:val="center"/>
          </w:tcPr>
          <w:p w14:paraId="3132426D" w14:textId="77777777" w:rsidR="001440D8" w:rsidRPr="00283A66" w:rsidRDefault="001440D8">
            <w:pPr>
              <w:keepLines/>
              <w:jc w:val="center"/>
              <w:rPr>
                <w:rFonts w:cstheme="minorHAnsi"/>
              </w:rPr>
            </w:pPr>
            <w:r w:rsidRPr="00283A66">
              <w:rPr>
                <w:rFonts w:cstheme="minorHAnsi"/>
                <w:noProof/>
              </w:rPr>
              <w:drawing>
                <wp:inline distT="0" distB="0" distL="0" distR="0" wp14:anchorId="2B7839E2" wp14:editId="3E51678C">
                  <wp:extent cx="288000" cy="288000"/>
                  <wp:effectExtent l="0" t="0" r="0" b="0"/>
                  <wp:docPr id="2025078777" name="Graphic 20250787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02B21B7" w14:textId="77777777" w:rsidR="001440D8" w:rsidRPr="00283A66" w:rsidRDefault="001440D8">
            <w:pPr>
              <w:pStyle w:val="TableHeading"/>
              <w:keepLines/>
              <w:spacing w:before="120" w:after="120"/>
              <w:contextualSpacing/>
              <w:rPr>
                <w:rFonts w:cstheme="minorHAnsi"/>
                <w:sz w:val="20"/>
              </w:rPr>
            </w:pPr>
            <w:r w:rsidRPr="00283A66">
              <w:rPr>
                <w:rFonts w:cstheme="minorHAnsi"/>
                <w:sz w:val="20"/>
              </w:rPr>
              <w:t xml:space="preserve">Recommendation </w:t>
            </w:r>
            <w:r>
              <w:rPr>
                <w:rFonts w:cstheme="minorHAnsi"/>
                <w:sz w:val="20"/>
              </w:rPr>
              <w:t>2.3</w:t>
            </w:r>
          </w:p>
          <w:p w14:paraId="41B96CAE" w14:textId="77777777" w:rsidR="001440D8" w:rsidRPr="00283A66" w:rsidRDefault="001440D8">
            <w:pPr>
              <w:pStyle w:val="TableHeading"/>
              <w:keepLines/>
              <w:spacing w:before="120" w:after="120"/>
              <w:contextualSpacing/>
              <w:rPr>
                <w:rFonts w:cstheme="minorHAnsi"/>
                <w:sz w:val="20"/>
              </w:rPr>
            </w:pPr>
            <w:r w:rsidRPr="00283A66">
              <w:rPr>
                <w:rFonts w:cstheme="minorHAnsi"/>
                <w:sz w:val="20"/>
              </w:rPr>
              <w:t xml:space="preserve">Provide dedicated funding </w:t>
            </w:r>
            <w:r>
              <w:rPr>
                <w:rFonts w:cstheme="minorHAnsi"/>
                <w:sz w:val="20"/>
              </w:rPr>
              <w:t>based on</w:t>
            </w:r>
            <w:r w:rsidRPr="00283A66">
              <w:rPr>
                <w:rFonts w:cstheme="minorHAnsi"/>
                <w:sz w:val="20"/>
              </w:rPr>
              <w:t xml:space="preserve"> outcomes</w:t>
            </w:r>
          </w:p>
        </w:tc>
      </w:tr>
      <w:tr w:rsidR="001440D8" w:rsidRPr="00B40479" w14:paraId="02668DF1" w14:textId="77777777">
        <w:tc>
          <w:tcPr>
            <w:tcW w:w="9638" w:type="dxa"/>
            <w:gridSpan w:val="2"/>
            <w:shd w:val="clear" w:color="auto" w:fill="E7F6FD"/>
            <w:tcMar>
              <w:top w:w="0" w:type="dxa"/>
            </w:tcMar>
          </w:tcPr>
          <w:p w14:paraId="530325C6" w14:textId="77777777" w:rsidR="001440D8" w:rsidRPr="00283A66" w:rsidRDefault="001440D8">
            <w:pPr>
              <w:pStyle w:val="BodyText"/>
              <w:rPr>
                <w:rFonts w:cstheme="minorHAnsi"/>
              </w:rPr>
            </w:pPr>
            <w:r w:rsidRPr="00283A66">
              <w:rPr>
                <w:rFonts w:cstheme="minorHAnsi"/>
              </w:rPr>
              <w:t xml:space="preserve">Stronger joint governance and increased funding flexibility </w:t>
            </w:r>
            <w:r>
              <w:rPr>
                <w:rFonts w:cstheme="minorHAnsi"/>
              </w:rPr>
              <w:t>are</w:t>
            </w:r>
            <w:r w:rsidRPr="00283A66">
              <w:rPr>
                <w:rFonts w:cstheme="minorHAnsi"/>
              </w:rPr>
              <w:t xml:space="preserve"> unlikely to be enough to embed collaborative commissioning across all regions of Australia; additional impetus is required, given the changes involved.</w:t>
            </w:r>
          </w:p>
          <w:p w14:paraId="3ACCF605" w14:textId="7E1998C2" w:rsidR="001440D8" w:rsidRPr="00283A66" w:rsidRDefault="001440D8">
            <w:pPr>
              <w:pStyle w:val="BodyText"/>
              <w:rPr>
                <w:rFonts w:cstheme="minorHAnsi"/>
              </w:rPr>
            </w:pPr>
            <w:r w:rsidRPr="00283A66">
              <w:rPr>
                <w:rFonts w:cstheme="minorHAnsi"/>
              </w:rPr>
              <w:t>Governments should agree to outcomes</w:t>
            </w:r>
            <w:r>
              <w:rPr>
                <w:rFonts w:cstheme="minorHAnsi"/>
              </w:rPr>
              <w:noBreakHyphen/>
            </w:r>
            <w:r w:rsidRPr="00283A66">
              <w:rPr>
                <w:rFonts w:cstheme="minorHAnsi"/>
              </w:rPr>
              <w:t xml:space="preserve">based dedicated funding arrangements that help Local Hospital Networks (LHNs) and Primary Health Networks (PHNs) to better collaborate, in partnership with Aboriginal Community Controlled Health Organisations and other organisations. </w:t>
            </w:r>
          </w:p>
          <w:p w14:paraId="640701FE" w14:textId="7CA79A79" w:rsidR="001440D8" w:rsidRPr="00283A66" w:rsidRDefault="001440D8" w:rsidP="001440D8">
            <w:pPr>
              <w:pStyle w:val="ListBullet"/>
              <w:keepLines/>
              <w:rPr>
                <w:rFonts w:cstheme="minorHAnsi"/>
              </w:rPr>
            </w:pPr>
            <w:r w:rsidRPr="00283A66">
              <w:rPr>
                <w:rFonts w:cstheme="minorHAnsi"/>
              </w:rPr>
              <w:t xml:space="preserve">Once a joint plan is submitted to the Department of Health, Disability and </w:t>
            </w:r>
            <w:r>
              <w:rPr>
                <w:rFonts w:cstheme="minorHAnsi"/>
              </w:rPr>
              <w:t>Ageing</w:t>
            </w:r>
            <w:r w:rsidRPr="00283A66">
              <w:rPr>
                <w:rFonts w:cstheme="minorHAnsi"/>
              </w:rPr>
              <w:t>, the Australian</w:t>
            </w:r>
            <w:r>
              <w:rPr>
                <w:rFonts w:cstheme="minorHAnsi"/>
              </w:rPr>
              <w:t>,</w:t>
            </w:r>
            <w:r w:rsidRPr="00283A66">
              <w:rPr>
                <w:rFonts w:cstheme="minorHAnsi"/>
              </w:rPr>
              <w:t xml:space="preserve"> state and territory governments should provide LHNs and PHNs with sufficient dedicated funding to embed collaborative commissioning programs. The joint plan should clearly link agreed shared outcomes to enhanced productivity in the form of quality improvements or more services that lower future costs. </w:t>
            </w:r>
          </w:p>
          <w:p w14:paraId="7BE467DA" w14:textId="77777777" w:rsidR="001440D8" w:rsidRPr="00283A66" w:rsidRDefault="001440D8" w:rsidP="001440D8">
            <w:pPr>
              <w:pStyle w:val="ListBullet"/>
              <w:keepLines/>
              <w:rPr>
                <w:rFonts w:cstheme="minorHAnsi"/>
              </w:rPr>
            </w:pPr>
            <w:r w:rsidRPr="00283A66">
              <w:rPr>
                <w:rFonts w:cstheme="minorHAnsi"/>
              </w:rPr>
              <w:t xml:space="preserve">Future funding should be based on the achievement of agreed shared outcomes – such as reduced potentially preventable hospitalisations – at the local level. </w:t>
            </w:r>
          </w:p>
          <w:p w14:paraId="04711CB2" w14:textId="305D73D8" w:rsidR="001440D8" w:rsidRPr="00283A66" w:rsidRDefault="00C328BE">
            <w:pPr>
              <w:pStyle w:val="BodyText"/>
              <w:rPr>
                <w:rFonts w:cstheme="minorHAnsi"/>
              </w:rPr>
            </w:pPr>
            <w:r>
              <w:t>The Independent Health and Aged Care Pricing Authority should be immediately tasked with leading work to design the outcomes</w:t>
            </w:r>
            <w:r>
              <w:noBreakHyphen/>
              <w:t xml:space="preserve">based funding mechanism, to enable this approach to be implemented in the addendum to the National Health Reform Agreement expected to commence in 2031.  </w:t>
            </w:r>
          </w:p>
        </w:tc>
      </w:tr>
    </w:tbl>
    <w:p w14:paraId="2B4F74A3" w14:textId="77777777" w:rsidR="00435667" w:rsidRDefault="00435667">
      <w:pPr>
        <w:spacing w:before="0" w:after="160" w:line="259" w:lineRule="auto"/>
        <w:rPr>
          <w:rFonts w:ascii="Arial" w:hAnsi="Arial" w:cs="Arial"/>
        </w:rPr>
      </w:pPr>
      <w:r>
        <w:rPr>
          <w:rFonts w:ascii="Arial" w:hAnsi="Arial" w:cs="Arial"/>
        </w:rPr>
        <w:br w:type="page"/>
      </w:r>
    </w:p>
    <w:tbl>
      <w:tblPr>
        <w:tblStyle w:val="Texttable-Paleblue"/>
        <w:tblW w:w="5000" w:type="pct"/>
        <w:tblLook w:val="04A0" w:firstRow="1" w:lastRow="0" w:firstColumn="1" w:lastColumn="0" w:noHBand="0" w:noVBand="1"/>
      </w:tblPr>
      <w:tblGrid>
        <w:gridCol w:w="713"/>
        <w:gridCol w:w="8925"/>
      </w:tblGrid>
      <w:tr w:rsidR="001440D8" w:rsidRPr="00B40479" w14:paraId="05B0D0C1" w14:textId="77777777">
        <w:trPr>
          <w:tblHeader/>
        </w:trPr>
        <w:tc>
          <w:tcPr>
            <w:tcW w:w="713" w:type="dxa"/>
            <w:shd w:val="clear" w:color="auto" w:fill="E7F6FD"/>
            <w:tcMar>
              <w:top w:w="0" w:type="dxa"/>
              <w:bottom w:w="0" w:type="dxa"/>
            </w:tcMar>
            <w:vAlign w:val="center"/>
          </w:tcPr>
          <w:p w14:paraId="7175DD3D" w14:textId="77777777" w:rsidR="001440D8" w:rsidRPr="00283A66" w:rsidRDefault="001440D8">
            <w:pPr>
              <w:keepLines/>
              <w:jc w:val="center"/>
              <w:rPr>
                <w:rFonts w:cstheme="minorHAnsi"/>
              </w:rPr>
            </w:pPr>
            <w:r w:rsidRPr="00283A66">
              <w:rPr>
                <w:rFonts w:cstheme="minorHAnsi"/>
                <w:noProof/>
              </w:rPr>
              <w:lastRenderedPageBreak/>
              <w:drawing>
                <wp:inline distT="0" distB="0" distL="0" distR="0" wp14:anchorId="53FE3488" wp14:editId="5A323AF8">
                  <wp:extent cx="288000" cy="288000"/>
                  <wp:effectExtent l="0" t="0" r="0" b="0"/>
                  <wp:docPr id="682596698" name="Graphic 682596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1B56485" w14:textId="77777777" w:rsidR="001440D8" w:rsidRPr="00283A66" w:rsidRDefault="001440D8">
            <w:pPr>
              <w:pStyle w:val="TableHeading"/>
              <w:keepLines/>
              <w:spacing w:before="120" w:after="120"/>
              <w:contextualSpacing/>
              <w:rPr>
                <w:rFonts w:cstheme="minorHAnsi"/>
                <w:sz w:val="20"/>
              </w:rPr>
            </w:pPr>
            <w:r w:rsidRPr="00283A66">
              <w:rPr>
                <w:rFonts w:cstheme="minorHAnsi"/>
                <w:sz w:val="20"/>
              </w:rPr>
              <w:t xml:space="preserve">Recommendation </w:t>
            </w:r>
            <w:r>
              <w:rPr>
                <w:rFonts w:cstheme="minorHAnsi"/>
                <w:sz w:val="20"/>
              </w:rPr>
              <w:t>2.4</w:t>
            </w:r>
          </w:p>
          <w:p w14:paraId="36DE3555" w14:textId="77777777" w:rsidR="001440D8" w:rsidRPr="00283A66" w:rsidRDefault="001440D8">
            <w:pPr>
              <w:pStyle w:val="TableHeading"/>
              <w:keepLines/>
              <w:spacing w:before="120" w:after="120"/>
              <w:contextualSpacing/>
              <w:rPr>
                <w:rFonts w:cstheme="minorHAnsi"/>
                <w:sz w:val="20"/>
              </w:rPr>
            </w:pPr>
            <w:r w:rsidRPr="00283A66">
              <w:rPr>
                <w:rFonts w:cstheme="minorHAnsi"/>
                <w:sz w:val="20"/>
              </w:rPr>
              <w:t xml:space="preserve">Take a strategic leadership role and ensure sufficient capability </w:t>
            </w:r>
          </w:p>
        </w:tc>
      </w:tr>
      <w:tr w:rsidR="001440D8" w:rsidRPr="00B40479" w14:paraId="656BCAD9" w14:textId="77777777">
        <w:tc>
          <w:tcPr>
            <w:tcW w:w="9638" w:type="dxa"/>
            <w:gridSpan w:val="2"/>
            <w:shd w:val="clear" w:color="auto" w:fill="E7F6FD"/>
            <w:tcMar>
              <w:top w:w="0" w:type="dxa"/>
            </w:tcMar>
          </w:tcPr>
          <w:p w14:paraId="6B452B8A" w14:textId="77777777" w:rsidR="001440D8" w:rsidRPr="00283A66" w:rsidRDefault="001440D8">
            <w:pPr>
              <w:pStyle w:val="BodyText"/>
              <w:rPr>
                <w:rFonts w:cstheme="minorHAnsi"/>
              </w:rPr>
            </w:pPr>
            <w:r w:rsidRPr="00283A66">
              <w:rPr>
                <w:rFonts w:cstheme="minorHAnsi"/>
              </w:rPr>
              <w:t>Governments have a strategic leadership role in implementing reforms to embed collaborative commissioning. Australian</w:t>
            </w:r>
            <w:r>
              <w:rPr>
                <w:rFonts w:cstheme="minorHAnsi"/>
              </w:rPr>
              <w:t>,</w:t>
            </w:r>
            <w:r w:rsidRPr="00283A66">
              <w:rPr>
                <w:rFonts w:cstheme="minorHAnsi"/>
              </w:rPr>
              <w:t xml:space="preserve"> state and territory governments should ensure that all relevant departments, agencies and commissioning organisations have the required capability to support collaborative commissioning. </w:t>
            </w:r>
            <w:r>
              <w:rPr>
                <w:rFonts w:cstheme="minorHAnsi"/>
              </w:rPr>
              <w:t>Governments should:</w:t>
            </w:r>
          </w:p>
          <w:p w14:paraId="57A44C83" w14:textId="77777777" w:rsidR="001440D8" w:rsidRDefault="001440D8" w:rsidP="001440D8">
            <w:pPr>
              <w:pStyle w:val="ListBullet"/>
            </w:pPr>
            <w:r>
              <w:t>remove impediments to accessing data to facilitate more streamlined data sharing and linked datasets, and drive a focus on outcomes</w:t>
            </w:r>
          </w:p>
          <w:p w14:paraId="55180F56" w14:textId="77777777" w:rsidR="001440D8" w:rsidRDefault="001440D8" w:rsidP="001440D8">
            <w:pPr>
              <w:pStyle w:val="ListBullet"/>
              <w:keepLines/>
            </w:pPr>
            <w:r>
              <w:t>ensure there is appropriate resourcing and capability to monitor compliance and performance of LHNs and PHNs to support greater autonomy</w:t>
            </w:r>
          </w:p>
          <w:p w14:paraId="1711369A" w14:textId="77777777" w:rsidR="001440D8" w:rsidRDefault="001440D8" w:rsidP="001440D8">
            <w:pPr>
              <w:pStyle w:val="ListBullet"/>
              <w:keepLines/>
            </w:pPr>
            <w:r>
              <w:t>provide training and support programs to LHNs and PHNs in leadership, co</w:t>
            </w:r>
            <w:r>
              <w:noBreakHyphen/>
              <w:t xml:space="preserve">design, cultural safety practices and data capability. </w:t>
            </w:r>
          </w:p>
          <w:p w14:paraId="0A687C0E" w14:textId="77777777" w:rsidR="001440D8" w:rsidRPr="00283A66" w:rsidRDefault="001440D8">
            <w:pPr>
              <w:pStyle w:val="BodyText"/>
              <w:rPr>
                <w:rFonts w:cstheme="minorHAnsi"/>
              </w:rPr>
            </w:pPr>
            <w:r w:rsidRPr="00283A66">
              <w:rPr>
                <w:rFonts w:cstheme="minorHAnsi"/>
              </w:rPr>
              <w:t>Where necessary, bilateral agreements between the Australian and state and territory governments to progress joint governance arrangements (recommendation 2.1) should be harnessed to progress these actions.</w:t>
            </w:r>
          </w:p>
        </w:tc>
      </w:tr>
    </w:tbl>
    <w:p w14:paraId="759BA174" w14:textId="77777777" w:rsidR="001440D8" w:rsidRDefault="001440D8">
      <w:pPr>
        <w:pStyle w:val="Heading2-nonumber"/>
      </w:pPr>
      <w:bookmarkStart w:id="51" w:name="_Toc215228304"/>
      <w:bookmarkStart w:id="52" w:name="_Toc215671098"/>
      <w:bookmarkStart w:id="53" w:name="_Toc215671158"/>
      <w:bookmarkStart w:id="54" w:name="_Toc215674231"/>
      <w:bookmarkStart w:id="55" w:name="_Toc215838122"/>
      <w:r>
        <w:t>A national framework to support government investment in prevention and early intervention</w:t>
      </w:r>
      <w:bookmarkEnd w:id="51"/>
      <w:bookmarkEnd w:id="52"/>
      <w:bookmarkEnd w:id="53"/>
      <w:bookmarkEnd w:id="54"/>
      <w:bookmarkEnd w:id="55"/>
    </w:p>
    <w:p w14:paraId="03116F4A" w14:textId="77777777" w:rsidR="00EB7334" w:rsidRDefault="00EB7334" w:rsidP="00EB7334">
      <w:pPr>
        <w:pStyle w:val="NoSpacing"/>
      </w:pPr>
    </w:p>
    <w:tbl>
      <w:tblPr>
        <w:tblStyle w:val="Texttable-Paleblue"/>
        <w:tblW w:w="5000" w:type="pct"/>
        <w:tblLook w:val="04A0" w:firstRow="1" w:lastRow="0" w:firstColumn="1" w:lastColumn="0" w:noHBand="0" w:noVBand="1"/>
      </w:tblPr>
      <w:tblGrid>
        <w:gridCol w:w="713"/>
        <w:gridCol w:w="8925"/>
      </w:tblGrid>
      <w:tr w:rsidR="001440D8" w14:paraId="0D3A26AF" w14:textId="77777777">
        <w:trPr>
          <w:tblHeader/>
        </w:trPr>
        <w:tc>
          <w:tcPr>
            <w:tcW w:w="713" w:type="dxa"/>
            <w:shd w:val="clear" w:color="auto" w:fill="E7F6FD"/>
            <w:tcMar>
              <w:top w:w="0" w:type="dxa"/>
              <w:bottom w:w="0" w:type="dxa"/>
            </w:tcMar>
            <w:vAlign w:val="center"/>
          </w:tcPr>
          <w:p w14:paraId="6E8DD779" w14:textId="77777777" w:rsidR="001440D8" w:rsidRPr="00283A66" w:rsidRDefault="001440D8">
            <w:pPr>
              <w:keepLines/>
              <w:jc w:val="center"/>
              <w:rPr>
                <w:rFonts w:cstheme="minorHAnsi"/>
              </w:rPr>
            </w:pPr>
            <w:r w:rsidRPr="00283A66">
              <w:rPr>
                <w:rFonts w:cstheme="minorHAnsi"/>
                <w:noProof/>
              </w:rPr>
              <w:drawing>
                <wp:inline distT="0" distB="0" distL="0" distR="0" wp14:anchorId="540D15B5" wp14:editId="1506A3E3">
                  <wp:extent cx="288000" cy="288000"/>
                  <wp:effectExtent l="0" t="0" r="0" b="0"/>
                  <wp:docPr id="1720349660" name="Graphic 17203496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290325E" w14:textId="53980A9E" w:rsidR="001440D8" w:rsidRPr="00283A66" w:rsidRDefault="001440D8">
            <w:pPr>
              <w:pStyle w:val="TableHeading"/>
              <w:keepLines/>
              <w:spacing w:before="120" w:after="120"/>
              <w:ind w:left="0"/>
              <w:contextualSpacing/>
              <w:rPr>
                <w:rFonts w:cstheme="minorHAnsi"/>
                <w:sz w:val="20"/>
              </w:rPr>
            </w:pPr>
            <w:r w:rsidRPr="00283A66">
              <w:rPr>
                <w:rFonts w:cstheme="minorHAnsi"/>
                <w:sz w:val="20"/>
              </w:rPr>
              <w:t xml:space="preserve">Recommendation </w:t>
            </w:r>
            <w:r w:rsidR="003F5C63">
              <w:rPr>
                <w:rFonts w:cstheme="minorHAnsi"/>
                <w:sz w:val="20"/>
              </w:rPr>
              <w:t>3</w:t>
            </w:r>
            <w:r w:rsidRPr="00283A66">
              <w:rPr>
                <w:rFonts w:cstheme="minorHAnsi"/>
                <w:sz w:val="20"/>
              </w:rPr>
              <w:t>.</w:t>
            </w:r>
            <w:r w:rsidR="003F5C63">
              <w:rPr>
                <w:rFonts w:cstheme="minorHAnsi"/>
                <w:sz w:val="20"/>
              </w:rPr>
              <w:t>1</w:t>
            </w:r>
          </w:p>
          <w:p w14:paraId="00E93245" w14:textId="77777777" w:rsidR="001440D8" w:rsidRPr="00283A66" w:rsidRDefault="001440D8">
            <w:pPr>
              <w:pStyle w:val="TableHeading"/>
              <w:keepLines/>
              <w:spacing w:before="120" w:after="120"/>
              <w:ind w:left="0"/>
              <w:contextualSpacing/>
              <w:rPr>
                <w:rFonts w:cstheme="minorHAnsi"/>
                <w:sz w:val="20"/>
              </w:rPr>
            </w:pPr>
            <w:r w:rsidRPr="00283A66">
              <w:rPr>
                <w:rFonts w:cstheme="minorHAnsi"/>
                <w:sz w:val="20"/>
              </w:rPr>
              <w:t xml:space="preserve">Establish a National Prevention and Early Intervention Framework </w:t>
            </w:r>
          </w:p>
        </w:tc>
      </w:tr>
      <w:tr w:rsidR="001440D8" w14:paraId="0BD9FC3F" w14:textId="77777777">
        <w:tc>
          <w:tcPr>
            <w:tcW w:w="9638" w:type="dxa"/>
            <w:gridSpan w:val="2"/>
            <w:shd w:val="clear" w:color="auto" w:fill="E7F6FD"/>
            <w:tcMar>
              <w:top w:w="0" w:type="dxa"/>
            </w:tcMar>
          </w:tcPr>
          <w:p w14:paraId="0AEAC219" w14:textId="30422F78" w:rsidR="001440D8" w:rsidRPr="00283A66" w:rsidRDefault="001440D8">
            <w:pPr>
              <w:pStyle w:val="BodyText"/>
              <w:rPr>
                <w:rFonts w:cstheme="minorHAnsi"/>
              </w:rPr>
            </w:pPr>
            <w:r w:rsidRPr="00283A66">
              <w:rPr>
                <w:rFonts w:cstheme="minorHAnsi"/>
              </w:rPr>
              <w:t xml:space="preserve">The Australian Government should work with state and territory governments to establish a National Prevention and Early Intervention Framework. The framework would recognise prevention and early intervention as a strategic investment for governments and support them to invest in programs that improve outcomes and reduce demand for future </w:t>
            </w:r>
            <w:proofErr w:type="gramStart"/>
            <w:r w:rsidRPr="00283A66">
              <w:rPr>
                <w:rFonts w:cstheme="minorHAnsi"/>
              </w:rPr>
              <w:t>acute</w:t>
            </w:r>
            <w:proofErr w:type="gramEnd"/>
            <w:r w:rsidRPr="00283A66">
              <w:rPr>
                <w:rFonts w:cstheme="minorHAnsi"/>
              </w:rPr>
              <w:t xml:space="preserve"> and crisis care services.</w:t>
            </w:r>
          </w:p>
          <w:p w14:paraId="6B24F2BD" w14:textId="77777777" w:rsidR="001440D8" w:rsidRPr="00283A66" w:rsidRDefault="001440D8">
            <w:pPr>
              <w:pStyle w:val="BodyText"/>
              <w:spacing w:after="0"/>
              <w:rPr>
                <w:rFonts w:cstheme="minorHAnsi"/>
              </w:rPr>
            </w:pPr>
            <w:r w:rsidRPr="00283A66">
              <w:rPr>
                <w:rFonts w:cstheme="minorHAnsi"/>
              </w:rPr>
              <w:t xml:space="preserve">Under the framework, a standardised </w:t>
            </w:r>
            <w:r>
              <w:rPr>
                <w:rFonts w:cstheme="minorHAnsi"/>
              </w:rPr>
              <w:t xml:space="preserve">review and recommendation </w:t>
            </w:r>
            <w:r w:rsidRPr="00283A66">
              <w:rPr>
                <w:rFonts w:cstheme="minorHAnsi"/>
              </w:rPr>
              <w:t>process would assess governments’ prevention and early intervention proposals and evaluate already funded programs by applying clear criteria regarding evidence, timescales, cross</w:t>
            </w:r>
            <w:r w:rsidRPr="00283A66">
              <w:rPr>
                <w:rFonts w:cstheme="minorHAnsi"/>
              </w:rPr>
              <w:noBreakHyphen/>
              <w:t xml:space="preserve">portfolio benefits, equity effects and value for money. </w:t>
            </w:r>
          </w:p>
          <w:p w14:paraId="038120F5" w14:textId="1E53557A" w:rsidR="001440D8" w:rsidRPr="00283A66" w:rsidRDefault="001440D8">
            <w:pPr>
              <w:pStyle w:val="BodyText"/>
              <w:spacing w:after="0"/>
              <w:rPr>
                <w:rFonts w:cstheme="minorHAnsi"/>
              </w:rPr>
            </w:pPr>
            <w:r w:rsidRPr="00283A66">
              <w:rPr>
                <w:rFonts w:cstheme="minorHAnsi"/>
              </w:rPr>
              <w:t>The Australian Government Treasur</w:t>
            </w:r>
            <w:r>
              <w:rPr>
                <w:rFonts w:cstheme="minorHAnsi"/>
              </w:rPr>
              <w:t>y</w:t>
            </w:r>
            <w:r w:rsidRPr="00283A66">
              <w:rPr>
                <w:rFonts w:cstheme="minorHAnsi"/>
              </w:rPr>
              <w:t xml:space="preserve"> should lead</w:t>
            </w:r>
            <w:r>
              <w:rPr>
                <w:rFonts w:cstheme="minorHAnsi"/>
              </w:rPr>
              <w:t xml:space="preserve"> implementation of the framework</w:t>
            </w:r>
            <w:r w:rsidRPr="00283A66">
              <w:rPr>
                <w:rFonts w:cstheme="minorHAnsi"/>
              </w:rPr>
              <w:t xml:space="preserve">, including by implementing recommendations 3.2 and 3.3. In partnership with </w:t>
            </w:r>
            <w:r w:rsidR="00F171BE">
              <w:rPr>
                <w:rFonts w:cstheme="minorHAnsi"/>
              </w:rPr>
              <w:t>state and territory governments</w:t>
            </w:r>
            <w:r w:rsidRPr="00283A66">
              <w:rPr>
                <w:rFonts w:cstheme="minorHAnsi"/>
              </w:rPr>
              <w:t>, the Australian Government should progressively develop the capability, data assets and skills, as well as funding structures and processes, ne</w:t>
            </w:r>
            <w:r>
              <w:rPr>
                <w:rFonts w:cstheme="minorHAnsi"/>
              </w:rPr>
              <w:t>eded</w:t>
            </w:r>
            <w:r w:rsidRPr="00283A66">
              <w:rPr>
                <w:rFonts w:cstheme="minorHAnsi"/>
              </w:rPr>
              <w:t xml:space="preserve"> to embed investment in effective prevention and early intervention within the budget process.</w:t>
            </w:r>
          </w:p>
        </w:tc>
      </w:tr>
    </w:tbl>
    <w:p w14:paraId="5E5D017A" w14:textId="60BC9A98" w:rsidR="003F5C63" w:rsidRDefault="003F5C63">
      <w:pPr>
        <w:pStyle w:val="BodyText"/>
        <w:rPr>
          <w:rFonts w:ascii="Arial" w:hAnsi="Arial" w:cs="Arial"/>
        </w:rPr>
      </w:pPr>
    </w:p>
    <w:p w14:paraId="3E83B108" w14:textId="77777777" w:rsidR="003F5C63" w:rsidRDefault="003F5C63">
      <w:pPr>
        <w:spacing w:before="0" w:after="160" w:line="259" w:lineRule="auto"/>
        <w:rPr>
          <w:rFonts w:ascii="Arial" w:hAnsi="Arial" w:cs="Arial"/>
        </w:rPr>
      </w:pPr>
      <w:r>
        <w:rPr>
          <w:rFonts w:ascii="Arial" w:hAnsi="Arial" w:cs="Arial"/>
        </w:rPr>
        <w:br w:type="page"/>
      </w:r>
    </w:p>
    <w:tbl>
      <w:tblPr>
        <w:tblStyle w:val="Texttable-Paleblue"/>
        <w:tblW w:w="5000" w:type="pct"/>
        <w:tblLook w:val="04A0" w:firstRow="1" w:lastRow="0" w:firstColumn="1" w:lastColumn="0" w:noHBand="0" w:noVBand="1"/>
      </w:tblPr>
      <w:tblGrid>
        <w:gridCol w:w="713"/>
        <w:gridCol w:w="8925"/>
      </w:tblGrid>
      <w:tr w:rsidR="001440D8" w14:paraId="5D854783" w14:textId="77777777">
        <w:trPr>
          <w:tblHeader/>
        </w:trPr>
        <w:tc>
          <w:tcPr>
            <w:tcW w:w="713" w:type="dxa"/>
            <w:shd w:val="clear" w:color="auto" w:fill="E7F6FD"/>
            <w:tcMar>
              <w:top w:w="0" w:type="dxa"/>
              <w:bottom w:w="0" w:type="dxa"/>
            </w:tcMar>
            <w:vAlign w:val="center"/>
          </w:tcPr>
          <w:p w14:paraId="310E8228" w14:textId="77777777" w:rsidR="001440D8" w:rsidRDefault="001440D8">
            <w:pPr>
              <w:keepLines/>
              <w:jc w:val="center"/>
            </w:pPr>
            <w:r w:rsidRPr="00A51374">
              <w:rPr>
                <w:noProof/>
              </w:rPr>
              <w:lastRenderedPageBreak/>
              <w:drawing>
                <wp:inline distT="0" distB="0" distL="0" distR="0" wp14:anchorId="3AC9FADB" wp14:editId="71A970A8">
                  <wp:extent cx="288000" cy="288000"/>
                  <wp:effectExtent l="0" t="0" r="0" b="0"/>
                  <wp:docPr id="1822387437" name="Graphic 18223874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4A41465" w14:textId="201BDC16" w:rsidR="001440D8" w:rsidRPr="00715040" w:rsidRDefault="001440D8" w:rsidP="00AE79C0">
            <w:pPr>
              <w:pStyle w:val="TableHeading"/>
              <w:keepLines/>
              <w:spacing w:before="120" w:after="120"/>
              <w:contextualSpacing/>
              <w:rPr>
                <w:sz w:val="20"/>
              </w:rPr>
            </w:pPr>
            <w:r>
              <w:rPr>
                <w:sz w:val="20"/>
              </w:rPr>
              <w:t>R</w:t>
            </w:r>
            <w:r w:rsidRPr="00715040">
              <w:rPr>
                <w:sz w:val="20"/>
              </w:rPr>
              <w:t xml:space="preserve">ecommendation </w:t>
            </w:r>
            <w:r>
              <w:rPr>
                <w:sz w:val="20"/>
              </w:rPr>
              <w:t>3</w:t>
            </w:r>
            <w:r w:rsidRPr="00715040">
              <w:rPr>
                <w:sz w:val="20"/>
              </w:rPr>
              <w:t>.</w:t>
            </w:r>
            <w:r w:rsidR="003F5C63">
              <w:rPr>
                <w:sz w:val="20"/>
              </w:rPr>
              <w:t>2</w:t>
            </w:r>
          </w:p>
          <w:p w14:paraId="75AF34B0" w14:textId="77777777" w:rsidR="001440D8" w:rsidRPr="00715040" w:rsidRDefault="001440D8" w:rsidP="00AE79C0">
            <w:pPr>
              <w:pStyle w:val="TableHeading"/>
              <w:keepLines/>
              <w:spacing w:before="120" w:after="120"/>
              <w:contextualSpacing/>
              <w:rPr>
                <w:sz w:val="20"/>
              </w:rPr>
            </w:pPr>
            <w:r>
              <w:rPr>
                <w:sz w:val="20"/>
              </w:rPr>
              <w:t xml:space="preserve">Ensure better evaluation of prevention and early intervention </w:t>
            </w:r>
          </w:p>
        </w:tc>
      </w:tr>
      <w:tr w:rsidR="001440D8" w14:paraId="7E383D1E" w14:textId="77777777">
        <w:tc>
          <w:tcPr>
            <w:tcW w:w="9638" w:type="dxa"/>
            <w:gridSpan w:val="2"/>
            <w:shd w:val="clear" w:color="auto" w:fill="E7F6FD"/>
            <w:tcMar>
              <w:top w:w="0" w:type="dxa"/>
            </w:tcMar>
          </w:tcPr>
          <w:p w14:paraId="5D1544EE" w14:textId="4F7CAAB7" w:rsidR="001440D8" w:rsidRPr="00194AA3" w:rsidRDefault="001440D8">
            <w:pPr>
              <w:pStyle w:val="BodyText"/>
            </w:pPr>
            <w:r>
              <w:t>As part of the proposed National Prevention and Early Intervention Framework, the Australian Government should embed better evaluation of prevention and early intervention into government funding processes by building capability in assessing the long</w:t>
            </w:r>
            <w:r>
              <w:noBreakHyphen/>
              <w:t>term and cross</w:t>
            </w:r>
            <w:r>
              <w:noBreakHyphen/>
              <w:t>portfolio impacts of proposals. The Government should:</w:t>
            </w:r>
          </w:p>
          <w:p w14:paraId="14023E39" w14:textId="77777777" w:rsidR="001440D8" w:rsidRPr="00F24B01" w:rsidRDefault="001440D8" w:rsidP="001440D8">
            <w:pPr>
              <w:pStyle w:val="ListBullet"/>
            </w:pPr>
            <w:r>
              <w:t>establish an independent Prevention and Early Intervention Framework Advisory Board that reviews and recommends proposed programs for funding and validates estimates of cross</w:t>
            </w:r>
            <w:r>
              <w:noBreakHyphen/>
              <w:t>portfolio and long</w:t>
            </w:r>
            <w:r>
              <w:noBreakHyphen/>
              <w:t xml:space="preserve">term benefits. The board should publish its advice on policy proposals </w:t>
            </w:r>
          </w:p>
          <w:p w14:paraId="3519C96E" w14:textId="77777777" w:rsidR="001440D8" w:rsidRDefault="001440D8" w:rsidP="001440D8">
            <w:pPr>
              <w:pStyle w:val="ListBullet"/>
            </w:pPr>
            <w:r>
              <w:t>create a prevention and early intervention assessment team within Treasury to build government capability and support the standardised economic assessment of preventive programs</w:t>
            </w:r>
          </w:p>
          <w:p w14:paraId="395147B2" w14:textId="77777777" w:rsidR="001440D8" w:rsidRPr="00767EAE" w:rsidRDefault="001440D8" w:rsidP="001440D8">
            <w:pPr>
              <w:pStyle w:val="ListBullet"/>
            </w:pPr>
            <w:r>
              <w:t>develop</w:t>
            </w:r>
            <w:r w:rsidRPr="00600FAE">
              <w:t xml:space="preserve">, in partnership with </w:t>
            </w:r>
            <w:r>
              <w:t>s</w:t>
            </w:r>
            <w:r w:rsidRPr="00600FAE">
              <w:t xml:space="preserve">tate and </w:t>
            </w:r>
            <w:r>
              <w:t>t</w:t>
            </w:r>
            <w:r w:rsidRPr="00600FAE">
              <w:t>erritory governments</w:t>
            </w:r>
            <w:r>
              <w:t>,</w:t>
            </w:r>
            <w:r w:rsidRPr="00600FAE">
              <w:t xml:space="preserve"> a </w:t>
            </w:r>
            <w:r w:rsidDel="00A46425">
              <w:t>whole</w:t>
            </w:r>
            <w:r w:rsidDel="00A46425">
              <w:noBreakHyphen/>
              <w:t>of</w:t>
            </w:r>
            <w:r w:rsidDel="00A46425">
              <w:noBreakHyphen/>
            </w:r>
            <w:r>
              <w:t xml:space="preserve">government actuarial microsimulation model to identify target cohorts across the population and </w:t>
            </w:r>
            <w:r w:rsidRPr="00600FAE" w:rsidDel="00E14904">
              <w:t xml:space="preserve">project </w:t>
            </w:r>
            <w:r>
              <w:t xml:space="preserve">expected </w:t>
            </w:r>
            <w:r w:rsidRPr="00600FAE">
              <w:t xml:space="preserve">lifetime government </w:t>
            </w:r>
            <w:r>
              <w:t xml:space="preserve">service </w:t>
            </w:r>
            <w:r w:rsidRPr="00600FAE">
              <w:t xml:space="preserve">expenditure </w:t>
            </w:r>
            <w:r>
              <w:t>and key wellbeing outcomes. The Australian Government Actuary should develop the model guided by</w:t>
            </w:r>
            <w:r w:rsidDel="00636115">
              <w:t xml:space="preserve"> </w:t>
            </w:r>
            <w:r>
              <w:t>an intergovernmental working group. Australian, state and territory governments should have access to the model to assess the whole</w:t>
            </w:r>
            <w:r>
              <w:noBreakHyphen/>
              <w:t>of</w:t>
            </w:r>
            <w:r>
              <w:noBreakHyphen/>
              <w:t>community costs and benefits of prevention and early intervention policies.</w:t>
            </w:r>
          </w:p>
        </w:tc>
      </w:tr>
    </w:tbl>
    <w:p w14:paraId="053723B6" w14:textId="77777777" w:rsidR="001440D8" w:rsidRPr="00097886" w:rsidRDefault="001440D8">
      <w:pPr>
        <w:pStyle w:val="BodyText"/>
        <w:rPr>
          <w:rFonts w:ascii="Arial" w:hAnsi="Arial" w:cs="Arial"/>
        </w:rPr>
      </w:pPr>
    </w:p>
    <w:tbl>
      <w:tblPr>
        <w:tblStyle w:val="Texttable-Paleblue"/>
        <w:tblW w:w="5000" w:type="pct"/>
        <w:tblLook w:val="04A0" w:firstRow="1" w:lastRow="0" w:firstColumn="1" w:lastColumn="0" w:noHBand="0" w:noVBand="1"/>
      </w:tblPr>
      <w:tblGrid>
        <w:gridCol w:w="713"/>
        <w:gridCol w:w="8925"/>
      </w:tblGrid>
      <w:tr w:rsidR="001440D8" w:rsidRPr="00715040" w14:paraId="4F5A76B7" w14:textId="77777777">
        <w:trPr>
          <w:tblHeader/>
        </w:trPr>
        <w:tc>
          <w:tcPr>
            <w:tcW w:w="713" w:type="dxa"/>
            <w:shd w:val="clear" w:color="auto" w:fill="E7F6FD"/>
            <w:tcMar>
              <w:top w:w="0" w:type="dxa"/>
              <w:bottom w:w="0" w:type="dxa"/>
            </w:tcMar>
            <w:vAlign w:val="center"/>
          </w:tcPr>
          <w:p w14:paraId="2F61BF6E" w14:textId="77777777" w:rsidR="001440D8" w:rsidRPr="00283A66" w:rsidRDefault="001440D8">
            <w:pPr>
              <w:keepLines/>
              <w:jc w:val="center"/>
              <w:rPr>
                <w:rFonts w:cstheme="minorHAnsi"/>
              </w:rPr>
            </w:pPr>
            <w:r w:rsidRPr="00283A66">
              <w:rPr>
                <w:rFonts w:cstheme="minorHAnsi"/>
                <w:noProof/>
              </w:rPr>
              <w:drawing>
                <wp:inline distT="0" distB="0" distL="0" distR="0" wp14:anchorId="0C53D9B7" wp14:editId="07D3FE8D">
                  <wp:extent cx="288000" cy="288000"/>
                  <wp:effectExtent l="0" t="0" r="0" b="0"/>
                  <wp:docPr id="14906033" name="Graphic 149060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3F9AF48" w14:textId="77777777" w:rsidR="001440D8" w:rsidRPr="00283A66" w:rsidRDefault="001440D8">
            <w:pPr>
              <w:pStyle w:val="TableHeading"/>
              <w:keepLines/>
              <w:spacing w:before="120" w:after="120"/>
              <w:contextualSpacing/>
              <w:rPr>
                <w:rFonts w:cstheme="minorHAnsi"/>
                <w:sz w:val="20"/>
              </w:rPr>
            </w:pPr>
            <w:r w:rsidRPr="00283A66">
              <w:rPr>
                <w:rFonts w:cstheme="minorHAnsi"/>
                <w:sz w:val="20"/>
              </w:rPr>
              <w:t>Recommendation 3.3</w:t>
            </w:r>
          </w:p>
          <w:p w14:paraId="2CC65292" w14:textId="77777777" w:rsidR="001440D8" w:rsidRPr="00283A66" w:rsidRDefault="001440D8">
            <w:pPr>
              <w:pStyle w:val="TableHeading"/>
              <w:keepLines/>
              <w:spacing w:before="120" w:after="120"/>
              <w:contextualSpacing/>
              <w:rPr>
                <w:rFonts w:cstheme="minorHAnsi"/>
                <w:sz w:val="20"/>
              </w:rPr>
            </w:pPr>
            <w:r w:rsidRPr="00283A66">
              <w:rPr>
                <w:rFonts w:cstheme="minorHAnsi"/>
                <w:sz w:val="20"/>
              </w:rPr>
              <w:t>Enable collaboration between Australian, state and territory governments</w:t>
            </w:r>
          </w:p>
        </w:tc>
      </w:tr>
      <w:tr w:rsidR="001440D8" w:rsidRPr="00767EAE" w14:paraId="4C2CCFFD" w14:textId="77777777">
        <w:tc>
          <w:tcPr>
            <w:tcW w:w="9638" w:type="dxa"/>
            <w:gridSpan w:val="2"/>
            <w:shd w:val="clear" w:color="auto" w:fill="E7F6FD"/>
            <w:tcMar>
              <w:top w:w="0" w:type="dxa"/>
            </w:tcMar>
          </w:tcPr>
          <w:p w14:paraId="5C8935DA" w14:textId="77777777" w:rsidR="001440D8" w:rsidRPr="00283A66" w:rsidRDefault="001440D8">
            <w:pPr>
              <w:pStyle w:val="BodyText"/>
              <w:spacing w:after="0"/>
              <w:rPr>
                <w:rFonts w:cstheme="minorHAnsi"/>
              </w:rPr>
            </w:pPr>
            <w:r w:rsidRPr="00283A66">
              <w:rPr>
                <w:rFonts w:cstheme="minorHAnsi"/>
              </w:rPr>
              <w:t xml:space="preserve">Recognising that the benefits and costs of effective prevention and early intervention often fall across different levels of government, the Australian Government should work with state and territory governments to address opportunities to fund programs through the proposed National Prevention and Early Intervention Framework (recommendation 3.1). </w:t>
            </w:r>
          </w:p>
          <w:p w14:paraId="16E3D134" w14:textId="77777777" w:rsidR="001440D8" w:rsidRPr="00283A66" w:rsidRDefault="001440D8">
            <w:pPr>
              <w:pStyle w:val="BodyText"/>
              <w:spacing w:after="0"/>
              <w:rPr>
                <w:rFonts w:cstheme="minorHAnsi"/>
              </w:rPr>
            </w:pPr>
            <w:r w:rsidRPr="00283A66">
              <w:rPr>
                <w:rFonts w:cstheme="minorHAnsi"/>
              </w:rPr>
              <w:t>The Australian Government should lead work to establish a National Prevention and Early Intervention Fund to provide federal funding for state and territory</w:t>
            </w:r>
            <w:r w:rsidRPr="00283A66">
              <w:rPr>
                <w:rFonts w:cstheme="minorHAnsi"/>
              </w:rPr>
              <w:noBreakHyphen/>
              <w:t xml:space="preserve">run programs requiring joint investment. The fund, which should be established within the Treasury portfolio, should involve a commitment of $1.5 billion over </w:t>
            </w:r>
            <w:r>
              <w:rPr>
                <w:rFonts w:cstheme="minorHAnsi"/>
              </w:rPr>
              <w:t>five</w:t>
            </w:r>
            <w:r w:rsidRPr="00283A66">
              <w:rPr>
                <w:rFonts w:cstheme="minorHAnsi"/>
              </w:rPr>
              <w:t xml:space="preserve"> years. States should co</w:t>
            </w:r>
            <w:r w:rsidRPr="00283A66">
              <w:rPr>
                <w:rFonts w:cstheme="minorHAnsi"/>
              </w:rPr>
              <w:noBreakHyphen/>
              <w:t xml:space="preserve">fund programs based on their expected share of benefits, with these requirements outlined in federation funding agreement schedules. </w:t>
            </w:r>
          </w:p>
          <w:p w14:paraId="3CDD65AC" w14:textId="77777777" w:rsidR="001440D8" w:rsidRPr="00283A66" w:rsidRDefault="001440D8">
            <w:pPr>
              <w:pStyle w:val="BodyText"/>
              <w:spacing w:after="0"/>
              <w:rPr>
                <w:rFonts w:cstheme="minorHAnsi"/>
              </w:rPr>
            </w:pPr>
            <w:r w:rsidRPr="00283A66">
              <w:rPr>
                <w:rFonts w:cstheme="minorHAnsi"/>
              </w:rPr>
              <w:t xml:space="preserve">Australian, state and territory governments should establish an intergovernmental agreement outlining the objectives of the framework, institutional, governance and data sharing arrangements, and roles and responsibilities of different parties. </w:t>
            </w:r>
          </w:p>
          <w:p w14:paraId="149250A7" w14:textId="77777777" w:rsidR="001440D8" w:rsidRPr="00283A66" w:rsidRDefault="001440D8">
            <w:pPr>
              <w:pStyle w:val="BodyText"/>
              <w:rPr>
                <w:rFonts w:cstheme="minorHAnsi"/>
              </w:rPr>
            </w:pPr>
            <w:r w:rsidRPr="00283A66">
              <w:rPr>
                <w:rFonts w:cstheme="minorHAnsi"/>
              </w:rPr>
              <w:t xml:space="preserve">In the longer term, </w:t>
            </w:r>
            <w:r>
              <w:rPr>
                <w:rFonts w:cstheme="minorHAnsi"/>
              </w:rPr>
              <w:t xml:space="preserve">the </w:t>
            </w:r>
            <w:r w:rsidRPr="00283A66">
              <w:rPr>
                <w:rFonts w:cstheme="minorHAnsi"/>
              </w:rPr>
              <w:t xml:space="preserve">Australian Government </w:t>
            </w:r>
            <w:r>
              <w:rPr>
                <w:rFonts w:cstheme="minorHAnsi"/>
              </w:rPr>
              <w:t>should</w:t>
            </w:r>
            <w:r w:rsidRPr="00283A66">
              <w:rPr>
                <w:rFonts w:cstheme="minorHAnsi"/>
              </w:rPr>
              <w:t xml:space="preserve"> fund state and territory prevention and early intervention initiatives by modifying existing sector</w:t>
            </w:r>
            <w:r w:rsidRPr="00283A66">
              <w:rPr>
                <w:rFonts w:cstheme="minorHAnsi"/>
              </w:rPr>
              <w:noBreakHyphen/>
              <w:t xml:space="preserve">specific federation funding agreements to allocate a portion of their funding to joint investments in prevention and early intervention on an ongoing basis. This </w:t>
            </w:r>
            <w:r>
              <w:rPr>
                <w:rFonts w:cstheme="minorHAnsi"/>
              </w:rPr>
              <w:t>approach</w:t>
            </w:r>
            <w:r w:rsidRPr="00283A66">
              <w:rPr>
                <w:rFonts w:cstheme="minorHAnsi"/>
              </w:rPr>
              <w:t xml:space="preserve"> would embed the framework into routine practice and expand its funding scale.</w:t>
            </w:r>
          </w:p>
        </w:tc>
      </w:tr>
    </w:tbl>
    <w:p w14:paraId="2838FA2D" w14:textId="77777777" w:rsidR="005F324A" w:rsidRDefault="005F324A" w:rsidP="000C7717">
      <w:pPr>
        <w:pStyle w:val="BodyText"/>
        <w:sectPr w:rsidR="005F324A" w:rsidSect="006B5564">
          <w:pgSz w:w="11906" w:h="16838" w:code="9"/>
          <w:pgMar w:top="1134" w:right="1134" w:bottom="1134" w:left="1134" w:header="794" w:footer="510" w:gutter="0"/>
          <w:cols w:space="708"/>
          <w:docGrid w:linePitch="360"/>
        </w:sectPr>
      </w:pPr>
    </w:p>
    <w:p w14:paraId="1B508C08" w14:textId="77777777" w:rsidR="00724C77" w:rsidRDefault="00724C77">
      <w:pPr>
        <w:pStyle w:val="Heading1"/>
        <w:numPr>
          <w:ilvl w:val="0"/>
          <w:numId w:val="0"/>
        </w:numPr>
        <w:ind w:left="1418" w:hanging="851"/>
      </w:pPr>
      <w:bookmarkStart w:id="56" w:name="_Toc215671159"/>
      <w:bookmarkStart w:id="57" w:name="_Toc215838123"/>
      <w:r>
        <w:lastRenderedPageBreak/>
        <w:t>About this inquiry</w:t>
      </w:r>
      <w:bookmarkEnd w:id="56"/>
      <w:bookmarkEnd w:id="57"/>
    </w:p>
    <w:p w14:paraId="7C18BF3B" w14:textId="77777777" w:rsidR="00724C77" w:rsidRDefault="00724C77">
      <w:pPr>
        <w:pStyle w:val="Heading2-nonumber"/>
      </w:pPr>
      <w:bookmarkStart w:id="58" w:name="_Toc215671160"/>
      <w:bookmarkStart w:id="59" w:name="_Toc215674233"/>
      <w:bookmarkStart w:id="60" w:name="_Toc215838124"/>
      <w:r>
        <w:t>Care is central to our lives and the economy</w:t>
      </w:r>
      <w:bookmarkEnd w:id="58"/>
      <w:bookmarkEnd w:id="59"/>
      <w:bookmarkEnd w:id="60"/>
    </w:p>
    <w:p w14:paraId="5C6D40B4" w14:textId="6D1B2D9C" w:rsidR="00724C77" w:rsidDel="0008092A" w:rsidRDefault="00724C77">
      <w:pPr>
        <w:pStyle w:val="BodyText"/>
      </w:pPr>
      <w:r w:rsidRPr="00955BA2">
        <w:t xml:space="preserve">At its </w:t>
      </w:r>
      <w:r>
        <w:t>heart</w:t>
      </w:r>
      <w:r w:rsidRPr="00955BA2">
        <w:t>, care is a</w:t>
      </w:r>
      <w:r>
        <w:t xml:space="preserve"> human interaction that </w:t>
      </w:r>
      <w:r w:rsidRPr="00955BA2">
        <w:t>support</w:t>
      </w:r>
      <w:r>
        <w:t>s</w:t>
      </w:r>
      <w:r w:rsidRPr="00955BA2">
        <w:t xml:space="preserve"> wellbeing</w:t>
      </w:r>
      <w:r>
        <w:t>, dignity and an active life for all Australians (figure 1).</w:t>
      </w:r>
      <w:r w:rsidRPr="00DD0694">
        <w:t xml:space="preserve"> </w:t>
      </w:r>
      <w:r>
        <w:t xml:space="preserve">Care and support services such as </w:t>
      </w:r>
      <w:r w:rsidRPr="003C15BC">
        <w:t>health</w:t>
      </w:r>
      <w:r>
        <w:t xml:space="preserve"> care</w:t>
      </w:r>
      <w:r w:rsidRPr="003C15BC">
        <w:t xml:space="preserve">, </w:t>
      </w:r>
      <w:r>
        <w:t>early childhood education and care (ECEC)</w:t>
      </w:r>
      <w:r w:rsidRPr="003C15BC">
        <w:t>, aged care, disability support and veterans</w:t>
      </w:r>
      <w:r>
        <w:t>’</w:t>
      </w:r>
      <w:r w:rsidRPr="003C15BC">
        <w:t xml:space="preserve"> care</w:t>
      </w:r>
      <w:r w:rsidRPr="002B0A03">
        <w:rPr>
          <w:rStyle w:val="FootnoteReference"/>
        </w:rPr>
        <w:footnoteReference w:id="2"/>
      </w:r>
      <w:r>
        <w:t xml:space="preserve"> bring many benefits. They </w:t>
      </w:r>
      <w:r w:rsidRPr="00D60A99">
        <w:t xml:space="preserve">can improve </w:t>
      </w:r>
      <w:r>
        <w:t>the</w:t>
      </w:r>
      <w:r w:rsidRPr="00D60A99">
        <w:t xml:space="preserve"> physical and mental health</w:t>
      </w:r>
      <w:r>
        <w:t xml:space="preserve"> of care users, enabling them and their carers to participate more in the community and the economy. For example, access to ECEC and aged care services can boost the workforce participation of parents and care givers. A healthier population has higher labour force participation and productivity,</w:t>
      </w:r>
      <w:r w:rsidDel="00E21D8C">
        <w:t xml:space="preserve"> </w:t>
      </w:r>
      <w:r>
        <w:t xml:space="preserve">and lower unemployment and absenteeism </w:t>
      </w:r>
      <w:r w:rsidR="00B90C41" w:rsidRPr="00B90C41">
        <w:rPr>
          <w:rFonts w:ascii="Arial" w:hAnsi="Arial" w:cs="Arial"/>
        </w:rPr>
        <w:t>(PC 2017c, pp. 14–15)</w:t>
      </w:r>
      <w:r>
        <w:t>. Care services also support vulnerable people, reducing disadvantage and improving health, social inclusion and general wellbeing</w:t>
      </w:r>
      <w:r w:rsidRPr="0017390C">
        <w:t>.</w:t>
      </w:r>
      <w:r>
        <w:t xml:space="preserve"> </w:t>
      </w:r>
    </w:p>
    <w:p w14:paraId="66582669" w14:textId="2E2526AB" w:rsidR="00724C77" w:rsidRPr="00146382" w:rsidRDefault="00724C77">
      <w:pPr>
        <w:pStyle w:val="FigureTableHeading"/>
      </w:pPr>
      <w:r>
        <w:t>Figure </w:t>
      </w:r>
      <w:r w:rsidR="005F324A">
        <w:t>1</w:t>
      </w:r>
      <w:r>
        <w:rPr>
          <w:noProof/>
        </w:rPr>
        <w:t xml:space="preserve"> </w:t>
      </w:r>
      <w:r>
        <w:t xml:space="preserve">– </w:t>
      </w:r>
      <w:r w:rsidRPr="00050E8C">
        <w:t>Many Australians use formal care services</w:t>
      </w:r>
    </w:p>
    <w:p w14:paraId="5EC66EFF" w14:textId="4202EAA6" w:rsidR="00724C77" w:rsidRPr="00146382" w:rsidRDefault="00003053" w:rsidP="00C7596A">
      <w:pPr>
        <w:pStyle w:val="BodyText"/>
      </w:pPr>
      <w:r w:rsidRPr="00003053">
        <w:rPr>
          <w:noProof/>
        </w:rPr>
        <w:drawing>
          <wp:inline distT="0" distB="0" distL="0" distR="0" wp14:anchorId="32DC8670" wp14:editId="46541ED1">
            <wp:extent cx="6120130" cy="1838960"/>
            <wp:effectExtent l="0" t="0" r="0" b="8890"/>
            <wp:docPr id="8812279" name="Picture 1" descr="This  figure shows the number of Australians accessing formal care services across healthcare, aged care and disability support, and early childhood education and care.&#10;22.5 million people accessed Medicare for GP services in 2023-24 and 410,000 people were supported by Aboriginal Community Controlled Health Organisations (ACCHOs) in 2023-24.&#10;Further, there were 835,000 Commonwealth Home Support Programme recipients in 2023 24 and 750,000 people were supported by the National Disability Insurance Scheme as of September 2025. Finally, 1.4 million children received government supported early childhood education and care services as of March 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279" name="Picture 1" descr="This  figure shows the number of Australians accessing formal care services across healthcare, aged care and disability support, and early childhood education and care.&#10;22.5 million people accessed Medicare for GP services in 2023-24 and 410,000 people were supported by Aboriginal Community Controlled Health Organisations (ACCHOs) in 2023-24.&#10;Further, there were 835,000 Commonwealth Home Support Programme recipients in 2023 24 and 750,000 people were supported by the National Disability Insurance Scheme as of September 2025. Finally, 1.4 million children received government supported early childhood education and care services as of March 2024.&#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1838960"/>
                    </a:xfrm>
                    <a:prstGeom prst="rect">
                      <a:avLst/>
                    </a:prstGeom>
                    <a:noFill/>
                    <a:ln>
                      <a:noFill/>
                    </a:ln>
                  </pic:spPr>
                </pic:pic>
              </a:graphicData>
            </a:graphic>
          </wp:inline>
        </w:drawing>
      </w:r>
    </w:p>
    <w:p w14:paraId="7D9D1934" w14:textId="7A339FAD" w:rsidR="00724C77" w:rsidRDefault="00724C77">
      <w:pPr>
        <w:pStyle w:val="Source"/>
      </w:pPr>
      <w:r w:rsidRPr="005D1531">
        <w:t xml:space="preserve">Source: AIHW </w:t>
      </w:r>
      <w:r w:rsidR="00CD75B1" w:rsidRPr="00CD75B1">
        <w:rPr>
          <w:rFonts w:ascii="Arial" w:hAnsi="Arial" w:cs="Arial"/>
        </w:rPr>
        <w:t>(2025b)</w:t>
      </w:r>
      <w:r w:rsidRPr="005D1531">
        <w:t xml:space="preserve">; NACCHO </w:t>
      </w:r>
      <w:r w:rsidRPr="005D1531">
        <w:rPr>
          <w:rFonts w:ascii="Arial" w:hAnsi="Arial" w:cs="Arial"/>
        </w:rPr>
        <w:t>(2025, p. 13)</w:t>
      </w:r>
      <w:r w:rsidRPr="005D1531">
        <w:t xml:space="preserve">; NDIA </w:t>
      </w:r>
      <w:r w:rsidR="0097599A" w:rsidRPr="00DF4CAF">
        <w:rPr>
          <w:rFonts w:ascii="Arial" w:hAnsi="Arial" w:cs="Arial"/>
        </w:rPr>
        <w:t>(2025c)</w:t>
      </w:r>
      <w:r w:rsidRPr="00DF4CAF">
        <w:t xml:space="preserve">; SCRGSP </w:t>
      </w:r>
      <w:r w:rsidRPr="0047051C">
        <w:rPr>
          <w:rFonts w:ascii="Arial" w:hAnsi="Arial" w:cs="Arial"/>
        </w:rPr>
        <w:t>(2025b, 2025a)</w:t>
      </w:r>
      <w:r>
        <w:t>.</w:t>
      </w:r>
    </w:p>
    <w:p w14:paraId="0EDCE7AA" w14:textId="77777777" w:rsidR="00724C77" w:rsidRDefault="00724C77" w:rsidP="00B01A4C">
      <w:pPr>
        <w:pStyle w:val="Heading2-nonumber"/>
      </w:pPr>
      <w:bookmarkStart w:id="61" w:name="_Toc215671161"/>
      <w:bookmarkStart w:id="62" w:name="_Toc215674234"/>
      <w:bookmarkStart w:id="63" w:name="_Toc215838125"/>
      <w:r>
        <w:t>The care economy is large and growing</w:t>
      </w:r>
      <w:bookmarkEnd w:id="61"/>
      <w:bookmarkEnd w:id="62"/>
      <w:bookmarkEnd w:id="63"/>
    </w:p>
    <w:p w14:paraId="4BB01D54" w14:textId="7AAFC4AB" w:rsidR="00724C77" w:rsidRPr="00C73857" w:rsidRDefault="00724C77">
      <w:pPr>
        <w:rPr>
          <w:spacing w:val="-2"/>
        </w:rPr>
      </w:pPr>
      <w:r w:rsidRPr="00C73857">
        <w:rPr>
          <w:spacing w:val="-2"/>
        </w:rPr>
        <w:t>Australia’s care and support system is complex, involving multiple funding systems, quasi</w:t>
      </w:r>
      <w:r w:rsidRPr="00C73857">
        <w:rPr>
          <w:spacing w:val="-2"/>
        </w:rPr>
        <w:noBreakHyphen/>
        <w:t>markets and a mix of government, private and not</w:t>
      </w:r>
      <w:r w:rsidRPr="00C73857">
        <w:rPr>
          <w:spacing w:val="-2"/>
        </w:rPr>
        <w:noBreakHyphen/>
        <w:t>for</w:t>
      </w:r>
      <w:r w:rsidRPr="00C73857">
        <w:rPr>
          <w:spacing w:val="-2"/>
        </w:rPr>
        <w:noBreakHyphen/>
        <w:t>profit providers. It is one of the largest and fastest growing parts of the Australian economy, with more than 2.3 million people employed in care</w:t>
      </w:r>
      <w:r w:rsidRPr="00C73857">
        <w:rPr>
          <w:spacing w:val="-2"/>
        </w:rPr>
        <w:noBreakHyphen/>
        <w:t xml:space="preserve">related roles </w:t>
      </w:r>
      <w:r w:rsidR="0097599A" w:rsidRPr="00C73857">
        <w:rPr>
          <w:rFonts w:cs="Arial"/>
          <w:spacing w:val="-2"/>
        </w:rPr>
        <w:t>(ABS 2025e; PM&amp;C 2023, p. 1)</w:t>
      </w:r>
      <w:r w:rsidRPr="00C73857">
        <w:rPr>
          <w:spacing w:val="-2"/>
        </w:rPr>
        <w:t>. Women comprise 75% of the care and support</w:t>
      </w:r>
      <w:r w:rsidRPr="00C73857" w:rsidDel="00B85ED0">
        <w:rPr>
          <w:spacing w:val="-2"/>
        </w:rPr>
        <w:t xml:space="preserve"> workforce</w:t>
      </w:r>
      <w:r w:rsidRPr="00C73857">
        <w:rPr>
          <w:spacing w:val="-2"/>
        </w:rPr>
        <w:t xml:space="preserve"> </w:t>
      </w:r>
      <w:r w:rsidRPr="00C73857">
        <w:rPr>
          <w:rFonts w:cs="Arial"/>
          <w:spacing w:val="-2"/>
        </w:rPr>
        <w:t>(Jobs and Skills Australia 2025)</w:t>
      </w:r>
      <w:r w:rsidRPr="00C73857">
        <w:rPr>
          <w:spacing w:val="-2"/>
        </w:rPr>
        <w:t xml:space="preserve">.  </w:t>
      </w:r>
    </w:p>
    <w:p w14:paraId="3E61FEAD" w14:textId="5D0F0E00" w:rsidR="00724C77" w:rsidRDefault="00724C77">
      <w:r>
        <w:t xml:space="preserve">Informal carers contribute substantially to people’s care needs. In 2022, among those aged 65 years and over living in their home and needing assistance, 72% received care from family and friends and 58% received support from the formal care sector </w:t>
      </w:r>
      <w:r w:rsidRPr="00D840A3">
        <w:rPr>
          <w:rFonts w:ascii="Arial" w:hAnsi="Arial" w:cs="Arial"/>
        </w:rPr>
        <w:t>(ABS 2022)</w:t>
      </w:r>
      <w:r>
        <w:t xml:space="preserve">. For some </w:t>
      </w:r>
      <w:r w:rsidRPr="00464D62">
        <w:t xml:space="preserve">Aboriginal </w:t>
      </w:r>
      <w:r>
        <w:t xml:space="preserve">and </w:t>
      </w:r>
      <w:r w:rsidRPr="00464D62">
        <w:t xml:space="preserve">Torres Strait Islander </w:t>
      </w:r>
      <w:r>
        <w:t>people</w:t>
      </w:r>
      <w:r w:rsidRPr="00464D62">
        <w:t xml:space="preserve">, </w:t>
      </w:r>
      <w:r>
        <w:t>kin</w:t>
      </w:r>
      <w:r w:rsidRPr="00464D62">
        <w:t xml:space="preserve"> </w:t>
      </w:r>
      <w:r>
        <w:t>and community</w:t>
      </w:r>
      <w:r w:rsidDel="001263E2">
        <w:t xml:space="preserve"> </w:t>
      </w:r>
      <w:r>
        <w:t xml:space="preserve">members undertake care responsibilities </w:t>
      </w:r>
      <w:r w:rsidRPr="006E2318">
        <w:rPr>
          <w:rFonts w:ascii="Arial" w:hAnsi="Arial" w:cs="Arial"/>
        </w:rPr>
        <w:t>(Salmon et al. 2019, pp. 21–22)</w:t>
      </w:r>
      <w:r w:rsidRPr="00054AA7">
        <w:t>.</w:t>
      </w:r>
      <w:r>
        <w:t xml:space="preserve"> As in </w:t>
      </w:r>
      <w:r>
        <w:lastRenderedPageBreak/>
        <w:t>the formal care sector, women perform most of the unpaid care, accounting for two</w:t>
      </w:r>
      <w:r>
        <w:noBreakHyphen/>
        <w:t xml:space="preserve">thirds of primary </w:t>
      </w:r>
      <w:r w:rsidRPr="001B21E4">
        <w:t>care</w:t>
      </w:r>
      <w:r>
        <w:noBreakHyphen/>
        <w:t>givers</w:t>
      </w:r>
      <w:r w:rsidRPr="001B21E4">
        <w:t xml:space="preserve"> </w:t>
      </w:r>
      <w:r w:rsidRPr="00CD30B6">
        <w:rPr>
          <w:rFonts w:ascii="Arial" w:hAnsi="Arial" w:cs="Arial"/>
        </w:rPr>
        <w:t>(ABS 2022)</w:t>
      </w:r>
      <w:r w:rsidRPr="001B21E4">
        <w:t>.</w:t>
      </w:r>
      <w:r>
        <w:t xml:space="preserve"> </w:t>
      </w:r>
    </w:p>
    <w:p w14:paraId="5074008C" w14:textId="0CD11699" w:rsidR="00724C77" w:rsidRDefault="00724C77">
      <w:pPr>
        <w:pStyle w:val="BodyText"/>
      </w:pPr>
      <w:r>
        <w:t>The care economy</w:t>
      </w:r>
      <w:r w:rsidDel="00ED7203">
        <w:t xml:space="preserve"> </w:t>
      </w:r>
      <w:r>
        <w:t xml:space="preserve">is growing fast: its workforce more than doubled </w:t>
      </w:r>
      <w:r w:rsidRPr="00A677B8">
        <w:t>over the 20 years to 2020</w:t>
      </w:r>
      <w:r>
        <w:t xml:space="preserve"> </w:t>
      </w:r>
      <w:r w:rsidRPr="00B42DF6">
        <w:rPr>
          <w:rFonts w:ascii="Arial" w:hAnsi="Arial" w:cs="Arial"/>
        </w:rPr>
        <w:t>(NSC 2021)</w:t>
      </w:r>
      <w:r>
        <w:t>. I</w:t>
      </w:r>
      <w:r w:rsidRPr="00BA1C00">
        <w:t xml:space="preserve">t </w:t>
      </w:r>
      <w:r>
        <w:t>contributed 8%</w:t>
      </w:r>
      <w:r w:rsidRPr="00BA1C00">
        <w:t xml:space="preserve"> of </w:t>
      </w:r>
      <w:r>
        <w:t>Australia’s GDP and an estimated 12% of the workforce in</w:t>
      </w:r>
      <w:r w:rsidRPr="00BA1C00">
        <w:t xml:space="preserve"> 202</w:t>
      </w:r>
      <w:r>
        <w:t>2</w:t>
      </w:r>
      <w:r>
        <w:noBreakHyphen/>
      </w:r>
      <w:r w:rsidRPr="00BA1C00">
        <w:t>2</w:t>
      </w:r>
      <w:r>
        <w:t xml:space="preserve">3 </w:t>
      </w:r>
      <w:r w:rsidRPr="00F70A14">
        <w:rPr>
          <w:rFonts w:ascii="Arial" w:hAnsi="Arial" w:cs="Arial"/>
        </w:rPr>
        <w:t>(Commonwealth of Australia 2023)</w:t>
      </w:r>
      <w:r w:rsidRPr="00BA1C00">
        <w:t>.</w:t>
      </w:r>
      <w:r>
        <w:t xml:space="preserve"> Both shares are expected to grow over the next 40 years (figure 2).</w:t>
      </w:r>
    </w:p>
    <w:p w14:paraId="0D45E290" w14:textId="77777777" w:rsidR="00724C77" w:rsidRPr="00141EFA" w:rsidRDefault="00724C77">
      <w:pPr>
        <w:pStyle w:val="FigureTableHeading"/>
        <w:rPr>
          <w:vertAlign w:val="superscript"/>
        </w:rPr>
      </w:pPr>
      <w:r>
        <w:t>Figure 2</w:t>
      </w:r>
      <w:r w:rsidRPr="0F95CB45">
        <w:rPr>
          <w:noProof/>
        </w:rPr>
        <w:t xml:space="preserve"> </w:t>
      </w:r>
      <w:r>
        <w:t>– The care economy will continue to grow</w:t>
      </w:r>
    </w:p>
    <w:p w14:paraId="4D1170C6" w14:textId="77777777" w:rsidR="00724C77" w:rsidRPr="00146382" w:rsidRDefault="00724C77">
      <w:pPr>
        <w:pStyle w:val="FigureTableSubheading"/>
        <w:keepLines/>
      </w:pPr>
      <w:r>
        <w:t>Care</w:t>
      </w:r>
      <w:r w:rsidDel="00DD4C85">
        <w:t xml:space="preserve"> </w:t>
      </w:r>
      <w:r>
        <w:t xml:space="preserve">and support as a </w:t>
      </w:r>
      <w:r w:rsidDel="008C0F86">
        <w:t>percent</w:t>
      </w:r>
      <w:r>
        <w:t>age</w:t>
      </w:r>
      <w:r w:rsidDel="008C0F86">
        <w:t xml:space="preserve"> </w:t>
      </w:r>
      <w:r>
        <w:t>of GDP and the workforce</w:t>
      </w:r>
    </w:p>
    <w:p w14:paraId="31203A31" w14:textId="77777777" w:rsidR="00724C77" w:rsidRPr="005550A0" w:rsidRDefault="00724C77">
      <w:pPr>
        <w:pStyle w:val="BodyText"/>
      </w:pPr>
      <w:r w:rsidRPr="00E355D6">
        <w:rPr>
          <w:noProof/>
        </w:rPr>
        <w:drawing>
          <wp:inline distT="0" distB="0" distL="0" distR="0" wp14:anchorId="21F52DDB" wp14:editId="55ECE1A1">
            <wp:extent cx="6120130" cy="2869565"/>
            <wp:effectExtent l="0" t="0" r="0" b="0"/>
            <wp:docPr id="31582317" name="Picture 1" descr="This line chart shows the care economy as a percentage of GDP (blue line) and of the workforce (purple line) has increased between 2002-03 and 2022-23.&#10;From 2022-23, both are projected to increase steadily to 2062 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2317" name="Picture 1" descr="This line chart shows the care economy as a percentage of GDP (blue line) and of the workforce (purple line) has increased between 2002-03 and 2022-23.&#10;From 2022-23, both are projected to increase steadily to 2062 63.&#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3C65309C" w14:textId="4B61C588" w:rsidR="00724C77" w:rsidRDefault="00724C77">
      <w:pPr>
        <w:pStyle w:val="Source"/>
        <w:spacing w:after="20"/>
      </w:pPr>
      <w:r>
        <w:t xml:space="preserve">Commonwealth of Australia </w:t>
      </w:r>
      <w:r w:rsidRPr="00063CC7">
        <w:rPr>
          <w:rFonts w:ascii="Arial" w:hAnsi="Arial" w:cs="Arial"/>
        </w:rPr>
        <w:t>(2023)</w:t>
      </w:r>
      <w:r>
        <w:t xml:space="preserve"> data </w:t>
      </w:r>
      <w:r w:rsidRPr="006E4B37">
        <w:t>based on the A</w:t>
      </w:r>
      <w:r>
        <w:t xml:space="preserve">ustralian </w:t>
      </w:r>
      <w:r w:rsidRPr="006E4B37">
        <w:t>B</w:t>
      </w:r>
      <w:r>
        <w:t xml:space="preserve">ureau of </w:t>
      </w:r>
      <w:r w:rsidRPr="006E4B37">
        <w:t>S</w:t>
      </w:r>
      <w:r>
        <w:t>tatistics’</w:t>
      </w:r>
      <w:r w:rsidRPr="006E4B37">
        <w:t xml:space="preserve"> </w:t>
      </w:r>
      <w:r>
        <w:t>Australian and New Zealand Industrial Classification</w:t>
      </w:r>
      <w:r w:rsidRPr="006E4B37">
        <w:t xml:space="preserve"> </w:t>
      </w:r>
      <w:r>
        <w:t xml:space="preserve">for the </w:t>
      </w:r>
      <w:r w:rsidRPr="006E4B37">
        <w:t>Health Care and Social Assistance Division</w:t>
      </w:r>
      <w:r>
        <w:t>, which uses Gross Value Added to represent total output. Nominal wage growth is projected to converge to 3.7% per year and p</w:t>
      </w:r>
      <w:r w:rsidRPr="00F760E3">
        <w:t>ossible technological advancements are not reflected in the estimates</w:t>
      </w:r>
      <w:r>
        <w:t xml:space="preserve"> </w:t>
      </w:r>
      <w:r w:rsidRPr="00B50223">
        <w:rPr>
          <w:rFonts w:ascii="Arial" w:hAnsi="Arial" w:cs="Arial"/>
        </w:rPr>
        <w:t>(Commonwealth of Australia 2023, pp. 231</w:t>
      </w:r>
      <w:r w:rsidR="00B34EB9">
        <w:rPr>
          <w:rFonts w:ascii="Arial" w:hAnsi="Arial" w:cs="Arial"/>
        </w:rPr>
        <w:t>,</w:t>
      </w:r>
      <w:r w:rsidRPr="00B50223">
        <w:rPr>
          <w:rFonts w:ascii="Arial" w:hAnsi="Arial" w:cs="Arial"/>
        </w:rPr>
        <w:t xml:space="preserve"> 248)</w:t>
      </w:r>
      <w:r>
        <w:t xml:space="preserve">. </w:t>
      </w:r>
    </w:p>
    <w:p w14:paraId="11069D1A" w14:textId="738219EC" w:rsidR="00724C77" w:rsidRDefault="00724C77">
      <w:pPr>
        <w:pStyle w:val="Source"/>
      </w:pPr>
      <w:r>
        <w:t xml:space="preserve">Source: Productivity Commission estimates based on Commonwealth of Australia data. </w:t>
      </w:r>
    </w:p>
    <w:p w14:paraId="45C5AC69" w14:textId="22FE872D" w:rsidR="00724C77" w:rsidRPr="00B34EB9" w:rsidRDefault="00724C77">
      <w:pPr>
        <w:rPr>
          <w:spacing w:val="-2"/>
        </w:rPr>
      </w:pPr>
      <w:r w:rsidRPr="00B34EB9">
        <w:rPr>
          <w:spacing w:val="-2"/>
        </w:rPr>
        <w:t xml:space="preserve">This trend – not unique to Australia – is driven by several factors. The proportion of the population living with two or more chronic health conditions has increased (even after adjusting for population age structure changes over time) </w:t>
      </w:r>
      <w:r w:rsidR="00CD75B1" w:rsidRPr="00B34EB9">
        <w:rPr>
          <w:rFonts w:cs="Arial"/>
          <w:spacing w:val="-2"/>
        </w:rPr>
        <w:t>(AIHW 2024)</w:t>
      </w:r>
      <w:r w:rsidRPr="00B34EB9">
        <w:rPr>
          <w:spacing w:val="-2"/>
        </w:rPr>
        <w:t>. An ageing population is exacerbating</w:t>
      </w:r>
      <w:r w:rsidRPr="00B34EB9" w:rsidDel="00A5789C">
        <w:rPr>
          <w:spacing w:val="-2"/>
        </w:rPr>
        <w:t xml:space="preserve"> </w:t>
      </w:r>
      <w:r w:rsidRPr="00B34EB9">
        <w:rPr>
          <w:spacing w:val="-2"/>
        </w:rPr>
        <w:t xml:space="preserve">the rise in chronic illnesses and fuelling demand for health and aged care services </w:t>
      </w:r>
      <w:r w:rsidRPr="00B34EB9">
        <w:rPr>
          <w:rFonts w:cs="Arial"/>
          <w:spacing w:val="-2"/>
        </w:rPr>
        <w:t>(Commonwealth of Australia 2023)</w:t>
      </w:r>
      <w:r w:rsidRPr="00B34EB9">
        <w:rPr>
          <w:spacing w:val="-2"/>
        </w:rPr>
        <w:t>. Further, as societies become wealthier, they tend to spend a larger share of income on services that enhance quality of life. At the same time, changing social norms have led to</w:t>
      </w:r>
      <w:r w:rsidR="00EF6C33" w:rsidRPr="00B34EB9">
        <w:rPr>
          <w:spacing w:val="-2"/>
        </w:rPr>
        <w:t xml:space="preserve"> a shift from</w:t>
      </w:r>
      <w:r w:rsidR="0052545B" w:rsidRPr="00B34EB9">
        <w:rPr>
          <w:spacing w:val="-2"/>
        </w:rPr>
        <w:t xml:space="preserve"> informal to</w:t>
      </w:r>
      <w:r w:rsidRPr="00B34EB9">
        <w:rPr>
          <w:spacing w:val="-2"/>
        </w:rPr>
        <w:t xml:space="preserve"> formal care arrangements </w:t>
      </w:r>
      <w:r w:rsidRPr="00B34EB9" w:rsidDel="008E715C">
        <w:rPr>
          <w:rFonts w:cs="Arial"/>
          <w:spacing w:val="-2"/>
        </w:rPr>
        <w:t>(Commonwealth of Australia 2023, p. 15)</w:t>
      </w:r>
      <w:r w:rsidRPr="00B34EB9">
        <w:rPr>
          <w:spacing w:val="-2"/>
        </w:rPr>
        <w:t>.</w:t>
      </w:r>
      <w:r w:rsidRPr="00B34EB9" w:rsidDel="00C6043C">
        <w:rPr>
          <w:spacing w:val="-2"/>
        </w:rPr>
        <w:t xml:space="preserve"> F</w:t>
      </w:r>
      <w:r w:rsidRPr="00B34EB9">
        <w:rPr>
          <w:spacing w:val="-2"/>
        </w:rPr>
        <w:t>or example, female</w:t>
      </w:r>
      <w:r w:rsidRPr="00B34EB9" w:rsidDel="003E6AFF">
        <w:rPr>
          <w:spacing w:val="-2"/>
        </w:rPr>
        <w:t xml:space="preserve"> </w:t>
      </w:r>
      <w:r w:rsidRPr="00B34EB9">
        <w:rPr>
          <w:spacing w:val="-2"/>
        </w:rPr>
        <w:t xml:space="preserve">labour force participation has increased from about 45% in 1984 to about 63% in 2025 for those aged 15 years and over </w:t>
      </w:r>
      <w:r w:rsidR="0097599A" w:rsidRPr="00B34EB9">
        <w:rPr>
          <w:rFonts w:cs="Arial"/>
          <w:spacing w:val="-2"/>
        </w:rPr>
        <w:t>(ABS 2025d)</w:t>
      </w:r>
      <w:r w:rsidRPr="00B34EB9">
        <w:rPr>
          <w:spacing w:val="-2"/>
        </w:rPr>
        <w:t>. This change has occurred alongside the expansion in ECEC services and the rollout of the National Disability Insurance Scheme.</w:t>
      </w:r>
    </w:p>
    <w:p w14:paraId="4B741A4D" w14:textId="77777777" w:rsidR="00724C77" w:rsidRPr="00A45041" w:rsidRDefault="00724C77" w:rsidP="00B34EB9">
      <w:pPr>
        <w:pStyle w:val="Heading2-nonumber"/>
      </w:pPr>
      <w:bookmarkStart w:id="64" w:name="_Toc215671162"/>
      <w:bookmarkStart w:id="65" w:name="_Toc215674235"/>
      <w:bookmarkStart w:id="66" w:name="_Toc215838126"/>
      <w:r>
        <w:t>The productivity challenge</w:t>
      </w:r>
      <w:bookmarkEnd w:id="64"/>
      <w:bookmarkEnd w:id="65"/>
      <w:bookmarkEnd w:id="66"/>
    </w:p>
    <w:p w14:paraId="4021D3DD" w14:textId="77777777" w:rsidR="00724C77" w:rsidRDefault="00724C77">
      <w:pPr>
        <w:pStyle w:val="BodyText"/>
      </w:pPr>
      <w:r>
        <w:t>Improving productivity in care sectors is challenging because of the fundamental human nature of care. Delivering more services per care giver is difficult without also constraining the personal interactions that are essential for high</w:t>
      </w:r>
      <w:r>
        <w:rPr>
          <w:vertAlign w:val="subscript"/>
        </w:rPr>
        <w:noBreakHyphen/>
      </w:r>
      <w:r>
        <w:t>quality care. Instead, m</w:t>
      </w:r>
      <w:r w:rsidRPr="00BF6DFE">
        <w:t xml:space="preserve">uch </w:t>
      </w:r>
      <w:r>
        <w:t xml:space="preserve">of the </w:t>
      </w:r>
      <w:r w:rsidRPr="00BF6DFE">
        <w:t xml:space="preserve">scope for improved </w:t>
      </w:r>
      <w:r>
        <w:t xml:space="preserve">care sector </w:t>
      </w:r>
      <w:r w:rsidRPr="00BF6DFE">
        <w:t>productivity lies in delivering better quality care</w:t>
      </w:r>
      <w:r>
        <w:t>.</w:t>
      </w:r>
    </w:p>
    <w:p w14:paraId="6CC9A198" w14:textId="18E07933" w:rsidR="00724C77" w:rsidRDefault="00724C77" w:rsidP="00EA6427">
      <w:pPr>
        <w:pStyle w:val="BodyText"/>
        <w:spacing w:line="270" w:lineRule="atLeast"/>
      </w:pPr>
      <w:r>
        <w:lastRenderedPageBreak/>
        <w:t>Quality, however, is not captured</w:t>
      </w:r>
      <w:r w:rsidDel="00B0255B">
        <w:t xml:space="preserve"> in </w:t>
      </w:r>
      <w:r>
        <w:t xml:space="preserve">traditional approaches to measuring productivity. For example, multifactor </w:t>
      </w:r>
      <w:r w:rsidRPr="00E15B7B">
        <w:t>productivity</w:t>
      </w:r>
      <w:r>
        <w:t xml:space="preserve"> in the hospital sector grew on average </w:t>
      </w:r>
      <w:r w:rsidRPr="00874919">
        <w:t>by just 0.</w:t>
      </w:r>
      <w:r>
        <w:t>1</w:t>
      </w:r>
      <w:r w:rsidRPr="00874919">
        <w:t xml:space="preserve">% per </w:t>
      </w:r>
      <w:r>
        <w:t>year</w:t>
      </w:r>
      <w:r w:rsidRPr="00874919">
        <w:t xml:space="preserve"> between </w:t>
      </w:r>
      <w:r>
        <w:t>2008</w:t>
      </w:r>
      <w:r>
        <w:noBreakHyphen/>
        <w:t>09 and 2018</w:t>
      </w:r>
      <w:r>
        <w:noBreakHyphen/>
        <w:t xml:space="preserve">19 </w:t>
      </w:r>
      <w:r w:rsidRPr="00063030">
        <w:rPr>
          <w:rFonts w:ascii="Arial" w:hAnsi="Arial" w:cs="Arial"/>
        </w:rPr>
        <w:t>(ABS 2021)</w:t>
      </w:r>
      <w:r>
        <w:t xml:space="preserve"> – </w:t>
      </w:r>
      <w:r w:rsidRPr="00C1045C">
        <w:t xml:space="preserve">below </w:t>
      </w:r>
      <w:r>
        <w:t xml:space="preserve">the average of 0.7% growth per year in the market sector </w:t>
      </w:r>
      <w:r w:rsidR="0097599A" w:rsidRPr="0097599A">
        <w:rPr>
          <w:rFonts w:ascii="Arial" w:hAnsi="Arial" w:cs="Arial"/>
        </w:rPr>
        <w:t>(PC 2024a, p. 8)</w:t>
      </w:r>
      <w:r w:rsidRPr="00C1045C">
        <w:t>.</w:t>
      </w:r>
      <w:r w:rsidRPr="00CB7CDA">
        <w:t xml:space="preserve"> </w:t>
      </w:r>
      <w:r>
        <w:t>Yet</w:t>
      </w:r>
      <w:r w:rsidRPr="002F0C4D">
        <w:t xml:space="preserve"> </w:t>
      </w:r>
      <w:r>
        <w:t xml:space="preserve">the </w:t>
      </w:r>
      <w:r w:rsidRPr="002F0C4D">
        <w:t xml:space="preserve">quality of </w:t>
      </w:r>
      <w:r>
        <w:t>some care</w:t>
      </w:r>
      <w:r w:rsidRPr="002F0C4D">
        <w:t xml:space="preserve"> and </w:t>
      </w:r>
      <w:r>
        <w:t xml:space="preserve">associated patient </w:t>
      </w:r>
      <w:r w:rsidRPr="002F0C4D">
        <w:t xml:space="preserve">outcomes has improved </w:t>
      </w:r>
      <w:r w:rsidRPr="00494A29">
        <w:t>significantly</w:t>
      </w:r>
      <w:r>
        <w:t xml:space="preserve"> over time</w:t>
      </w:r>
      <w:r w:rsidRPr="002F0C4D">
        <w:t xml:space="preserve">. </w:t>
      </w:r>
      <w:r>
        <w:t xml:space="preserve">For example, cancer treatments are far more effective today than in previous decades </w:t>
      </w:r>
      <w:r w:rsidR="0097599A" w:rsidRPr="0097599A">
        <w:rPr>
          <w:rFonts w:ascii="Arial" w:hAnsi="Arial" w:cs="Arial"/>
        </w:rPr>
        <w:t>(PC 2024a, pp. 15–17)</w:t>
      </w:r>
      <w:r>
        <w:t xml:space="preserve">. </w:t>
      </w:r>
    </w:p>
    <w:p w14:paraId="0E493C08" w14:textId="7C212900" w:rsidR="00724C77" w:rsidRDefault="00724C77" w:rsidP="00EA6427">
      <w:pPr>
        <w:pStyle w:val="BodyText"/>
        <w:spacing w:line="270" w:lineRule="atLeast"/>
      </w:pPr>
      <w:r>
        <w:t xml:space="preserve">When quality is considered, productivity growth can look quite different. For example, when adjusted for quality, productivity growth for a subset of the healthcare sector – accounting for about a third of healthcare spending – </w:t>
      </w:r>
      <w:proofErr w:type="gramStart"/>
      <w:r>
        <w:t>actually outpaced</w:t>
      </w:r>
      <w:proofErr w:type="gramEnd"/>
      <w:r>
        <w:t xml:space="preserve"> the broader economy, growing by about 3% per year between 2011</w:t>
      </w:r>
      <w:r>
        <w:noBreakHyphen/>
        <w:t>12 and 2017</w:t>
      </w:r>
      <w:r>
        <w:noBreakHyphen/>
        <w:t xml:space="preserve">18 </w:t>
      </w:r>
      <w:r w:rsidR="0097599A" w:rsidRPr="0097599A">
        <w:rPr>
          <w:rFonts w:ascii="Arial" w:hAnsi="Arial" w:cs="Arial"/>
        </w:rPr>
        <w:t>(PC 2024a, p. 2)</w:t>
      </w:r>
      <w:r>
        <w:t xml:space="preserve">. </w:t>
      </w:r>
    </w:p>
    <w:p w14:paraId="2A90C378" w14:textId="77777777" w:rsidR="00724C77" w:rsidRPr="00AB254A" w:rsidRDefault="00724C77" w:rsidP="00EA6427">
      <w:pPr>
        <w:pStyle w:val="BodyText"/>
        <w:spacing w:line="270" w:lineRule="atLeast"/>
      </w:pPr>
      <w:r>
        <w:t xml:space="preserve">Yet while improved productivity might be evident </w:t>
      </w:r>
      <w:r w:rsidRPr="00AB254A">
        <w:t xml:space="preserve">in the form of better outcomes, the care </w:t>
      </w:r>
      <w:r w:rsidDel="00DD4C85">
        <w:t>economy</w:t>
      </w:r>
      <w:r w:rsidRPr="00AB254A" w:rsidDel="00DD4C85">
        <w:t xml:space="preserve"> </w:t>
      </w:r>
      <w:r w:rsidRPr="00AB254A">
        <w:t xml:space="preserve">continues to grapple with rising costs. </w:t>
      </w:r>
      <w:r>
        <w:t>I</w:t>
      </w:r>
      <w:r w:rsidRPr="00AB254A">
        <w:t>n other sectors</w:t>
      </w:r>
      <w:r>
        <w:t>,</w:t>
      </w:r>
      <w:r w:rsidRPr="00AB254A">
        <w:t xml:space="preserve"> productivity </w:t>
      </w:r>
      <w:r>
        <w:t>gains</w:t>
      </w:r>
      <w:r w:rsidRPr="00AB254A">
        <w:t xml:space="preserve"> </w:t>
      </w:r>
      <w:r>
        <w:t>can</w:t>
      </w:r>
      <w:r w:rsidRPr="00AB254A">
        <w:t xml:space="preserve"> reduce the cost of producing goods or services, support</w:t>
      </w:r>
      <w:r>
        <w:t>ing</w:t>
      </w:r>
      <w:r w:rsidRPr="00AB254A">
        <w:t xml:space="preserve"> higher wages. </w:t>
      </w:r>
      <w:r>
        <w:t xml:space="preserve">In care sectors, wages must </w:t>
      </w:r>
      <w:r w:rsidRPr="00AB254A">
        <w:t>rise to attract and retain workers</w:t>
      </w:r>
      <w:r>
        <w:t>,</w:t>
      </w:r>
      <w:r w:rsidRPr="00AB254A">
        <w:t xml:space="preserve"> </w:t>
      </w:r>
      <w:r>
        <w:t>but these sectors do</w:t>
      </w:r>
      <w:r w:rsidRPr="00AB254A">
        <w:t xml:space="preserve"> not experience the same reduction in costs from higher productivity. </w:t>
      </w:r>
      <w:r>
        <w:t>H</w:t>
      </w:r>
      <w:r w:rsidRPr="00AB254A">
        <w:t xml:space="preserve">igher wages and the </w:t>
      </w:r>
      <w:r>
        <w:t>labour</w:t>
      </w:r>
      <w:r>
        <w:noBreakHyphen/>
        <w:t xml:space="preserve">intensive nature of delivering </w:t>
      </w:r>
      <w:r w:rsidRPr="00AB254A">
        <w:t xml:space="preserve">care </w:t>
      </w:r>
      <w:r>
        <w:t xml:space="preserve">means that </w:t>
      </w:r>
      <w:r w:rsidRPr="00AB254A">
        <w:t>costs</w:t>
      </w:r>
      <w:r>
        <w:t xml:space="preserve"> </w:t>
      </w:r>
      <w:r w:rsidRPr="00AB254A">
        <w:t xml:space="preserve">rise faster </w:t>
      </w:r>
      <w:r>
        <w:t xml:space="preserve">in care sectors </w:t>
      </w:r>
      <w:r w:rsidRPr="00AB254A">
        <w:t>than in other sectors, a phenomenon known as Baumol’s cost disease.</w:t>
      </w:r>
      <w:r>
        <w:t xml:space="preserve"> </w:t>
      </w:r>
      <w:r w:rsidRPr="00AB254A">
        <w:t>Simply put, Australians are getting better outcomes but not necessarily more care services per dollar spent.</w:t>
      </w:r>
    </w:p>
    <w:p w14:paraId="0EA78DCA" w14:textId="31615E69" w:rsidR="00724C77" w:rsidRPr="005A03AE" w:rsidRDefault="00724C77" w:rsidP="00EA6427">
      <w:pPr>
        <w:spacing w:line="270" w:lineRule="atLeast"/>
        <w:rPr>
          <w:rFonts w:eastAsia="Arial" w:cs="Arial"/>
        </w:rPr>
      </w:pPr>
      <w:r w:rsidRPr="007B14DC">
        <w:rPr>
          <w:rFonts w:eastAsia="Arial" w:cs="Arial"/>
        </w:rPr>
        <w:t>New technologies offer</w:t>
      </w:r>
      <w:r>
        <w:rPr>
          <w:rFonts w:eastAsia="Arial" w:cs="Arial"/>
        </w:rPr>
        <w:t xml:space="preserve"> scope to deliver large labour productivity gains while also improving care </w:t>
      </w:r>
      <w:r w:rsidRPr="007B14DC">
        <w:rPr>
          <w:rFonts w:eastAsia="Arial" w:cs="Arial"/>
        </w:rPr>
        <w:t>quality</w:t>
      </w:r>
      <w:r>
        <w:rPr>
          <w:rFonts w:eastAsia="Arial" w:cs="Arial"/>
        </w:rPr>
        <w:t xml:space="preserve"> and lowering costs</w:t>
      </w:r>
      <w:r w:rsidRPr="007B14DC">
        <w:rPr>
          <w:rFonts w:eastAsia="Arial" w:cs="Arial"/>
        </w:rPr>
        <w:t xml:space="preserve">. </w:t>
      </w:r>
      <w:r>
        <w:rPr>
          <w:rFonts w:eastAsia="Arial" w:cs="Arial"/>
        </w:rPr>
        <w:t xml:space="preserve">AI </w:t>
      </w:r>
      <w:r w:rsidRPr="007B14DC">
        <w:rPr>
          <w:rFonts w:eastAsia="Arial" w:cs="Arial"/>
        </w:rPr>
        <w:t>scribes</w:t>
      </w:r>
      <w:r>
        <w:rPr>
          <w:rFonts w:eastAsia="Arial" w:cs="Arial"/>
        </w:rPr>
        <w:t xml:space="preserve"> can</w:t>
      </w:r>
      <w:r w:rsidRPr="007B14DC">
        <w:rPr>
          <w:rFonts w:eastAsia="Arial" w:cs="Arial"/>
        </w:rPr>
        <w:t xml:space="preserve"> reduce</w:t>
      </w:r>
      <w:r>
        <w:rPr>
          <w:rFonts w:eastAsia="Arial" w:cs="Arial"/>
        </w:rPr>
        <w:t xml:space="preserve"> the</w:t>
      </w:r>
      <w:r w:rsidRPr="007B14DC">
        <w:rPr>
          <w:rFonts w:eastAsia="Arial" w:cs="Arial"/>
        </w:rPr>
        <w:t xml:space="preserve"> time spen</w:t>
      </w:r>
      <w:r w:rsidR="00477264">
        <w:rPr>
          <w:rFonts w:eastAsia="Arial" w:cs="Arial"/>
        </w:rPr>
        <w:t>t</w:t>
      </w:r>
      <w:r w:rsidRPr="007B14DC">
        <w:rPr>
          <w:rFonts w:eastAsia="Arial" w:cs="Arial"/>
        </w:rPr>
        <w:t xml:space="preserve"> on reporting</w:t>
      </w:r>
      <w:r>
        <w:rPr>
          <w:rFonts w:eastAsia="Arial" w:cs="Arial"/>
        </w:rPr>
        <w:t>,</w:t>
      </w:r>
      <w:r w:rsidRPr="007B14DC">
        <w:rPr>
          <w:rFonts w:eastAsia="Arial" w:cs="Arial"/>
        </w:rPr>
        <w:t xml:space="preserve"> while </w:t>
      </w:r>
      <w:r>
        <w:rPr>
          <w:rFonts w:eastAsia="Arial" w:cs="Arial"/>
        </w:rPr>
        <w:t>voice</w:t>
      </w:r>
      <w:r>
        <w:rPr>
          <w:rFonts w:eastAsia="Arial" w:cs="Arial"/>
        </w:rPr>
        <w:noBreakHyphen/>
        <w:t>activated AI platforms can provide personalised care reminders and notify caregivers when medication has been taken (Accenture, sub. 200, p. 15)</w:t>
      </w:r>
      <w:r w:rsidRPr="007B14DC">
        <w:rPr>
          <w:rFonts w:eastAsia="Arial" w:cs="Arial"/>
        </w:rPr>
        <w:t xml:space="preserve">. </w:t>
      </w:r>
      <w:r w:rsidR="001E15E3">
        <w:rPr>
          <w:rFonts w:eastAsia="Arial" w:cs="Arial"/>
        </w:rPr>
        <w:t xml:space="preserve">Some residential aged care facilities in Australia have trialled </w:t>
      </w:r>
      <w:r w:rsidR="0014696D">
        <w:rPr>
          <w:rFonts w:eastAsia="Arial" w:cs="Arial"/>
        </w:rPr>
        <w:t>the use of</w:t>
      </w:r>
      <w:r w:rsidR="001E15E3">
        <w:rPr>
          <w:rFonts w:eastAsia="Arial" w:cs="Arial"/>
        </w:rPr>
        <w:t xml:space="preserve"> r</w:t>
      </w:r>
      <w:r w:rsidR="000D39D7">
        <w:rPr>
          <w:rFonts w:eastAsia="Arial" w:cs="Arial"/>
        </w:rPr>
        <w:t xml:space="preserve">obots to help with </w:t>
      </w:r>
      <w:r w:rsidR="00B96144">
        <w:rPr>
          <w:rFonts w:eastAsia="Arial" w:cs="Arial"/>
        </w:rPr>
        <w:t>tasks</w:t>
      </w:r>
      <w:r w:rsidR="000D39D7">
        <w:rPr>
          <w:rFonts w:eastAsia="Arial" w:cs="Arial"/>
        </w:rPr>
        <w:t xml:space="preserve"> such as transporting l</w:t>
      </w:r>
      <w:r w:rsidR="001F32C7">
        <w:rPr>
          <w:rFonts w:eastAsia="Arial" w:cs="Arial"/>
        </w:rPr>
        <w:t>inen</w:t>
      </w:r>
      <w:r w:rsidR="003647C4">
        <w:rPr>
          <w:rFonts w:eastAsia="Arial" w:cs="Arial"/>
        </w:rPr>
        <w:t xml:space="preserve"> and meals</w:t>
      </w:r>
      <w:r w:rsidR="00AF5CAD">
        <w:rPr>
          <w:rFonts w:eastAsia="Arial" w:cs="Arial"/>
        </w:rPr>
        <w:t xml:space="preserve"> </w:t>
      </w:r>
      <w:r w:rsidR="00CD75B1" w:rsidRPr="00CD75B1">
        <w:rPr>
          <w:rFonts w:ascii="Arial" w:hAnsi="Arial" w:cs="Arial"/>
        </w:rPr>
        <w:t>(</w:t>
      </w:r>
      <w:proofErr w:type="spellStart"/>
      <w:r w:rsidR="00CD75B1" w:rsidRPr="00CD75B1">
        <w:rPr>
          <w:rFonts w:ascii="Arial" w:hAnsi="Arial" w:cs="Arial"/>
        </w:rPr>
        <w:t>Macalupu</w:t>
      </w:r>
      <w:proofErr w:type="spellEnd"/>
      <w:r w:rsidR="00CD75B1" w:rsidRPr="00CD75B1">
        <w:rPr>
          <w:rFonts w:ascii="Arial" w:hAnsi="Arial" w:cs="Arial"/>
        </w:rPr>
        <w:t xml:space="preserve"> et al. 2024)</w:t>
      </w:r>
      <w:r w:rsidR="000D39D7">
        <w:rPr>
          <w:rFonts w:eastAsia="Arial" w:cs="Arial"/>
        </w:rPr>
        <w:t xml:space="preserve">. </w:t>
      </w:r>
      <w:r>
        <w:rPr>
          <w:rFonts w:eastAsia="Arial" w:cs="Arial"/>
        </w:rPr>
        <w:t xml:space="preserve">Making the most of these technologies </w:t>
      </w:r>
      <w:r w:rsidRPr="007B14DC">
        <w:rPr>
          <w:rFonts w:eastAsia="Arial" w:cs="Arial"/>
        </w:rPr>
        <w:t>could free workers to focus more on high</w:t>
      </w:r>
      <w:r>
        <w:rPr>
          <w:rFonts w:eastAsia="Arial" w:cs="Arial"/>
        </w:rPr>
        <w:noBreakHyphen/>
      </w:r>
      <w:r w:rsidRPr="007B14DC">
        <w:rPr>
          <w:rFonts w:eastAsia="Arial" w:cs="Arial"/>
        </w:rPr>
        <w:t>value, face</w:t>
      </w:r>
      <w:r>
        <w:rPr>
          <w:rFonts w:eastAsia="Arial" w:cs="Arial"/>
        </w:rPr>
        <w:noBreakHyphen/>
      </w:r>
      <w:r w:rsidRPr="007B14DC">
        <w:rPr>
          <w:rFonts w:eastAsia="Arial" w:cs="Arial"/>
        </w:rPr>
        <w:t>to</w:t>
      </w:r>
      <w:r>
        <w:rPr>
          <w:rFonts w:eastAsia="Arial" w:cs="Arial"/>
        </w:rPr>
        <w:noBreakHyphen/>
      </w:r>
      <w:r w:rsidRPr="007B14DC">
        <w:rPr>
          <w:rFonts w:eastAsia="Arial" w:cs="Arial"/>
        </w:rPr>
        <w:t>face care.</w:t>
      </w:r>
      <w:r>
        <w:rPr>
          <w:rFonts w:eastAsia="Arial" w:cs="Arial"/>
        </w:rPr>
        <w:t xml:space="preserve"> </w:t>
      </w:r>
      <w:r>
        <w:t xml:space="preserve">But harnessing these opportunities will require regulatory settings to support innovation while managing its risks. </w:t>
      </w:r>
    </w:p>
    <w:p w14:paraId="4CF744E4" w14:textId="77777777" w:rsidR="00724C77" w:rsidRPr="00A45041" w:rsidRDefault="00724C77" w:rsidP="00950501">
      <w:pPr>
        <w:pStyle w:val="Heading2-nonumber"/>
      </w:pPr>
      <w:bookmarkStart w:id="67" w:name="_Toc215671163"/>
      <w:bookmarkStart w:id="68" w:name="_Toc215674236"/>
      <w:bookmarkStart w:id="69" w:name="_Toc215838127"/>
      <w:r>
        <w:t>The focus</w:t>
      </w:r>
      <w:r w:rsidRPr="00FD2CF7">
        <w:t xml:space="preserve"> of this </w:t>
      </w:r>
      <w:r>
        <w:t>inquiry</w:t>
      </w:r>
      <w:bookmarkEnd w:id="67"/>
      <w:bookmarkEnd w:id="68"/>
      <w:bookmarkEnd w:id="69"/>
    </w:p>
    <w:p w14:paraId="451AB5BF" w14:textId="785C9951" w:rsidR="00724C77" w:rsidRDefault="00724C77">
      <w:pPr>
        <w:pStyle w:val="BodyText"/>
      </w:pPr>
      <w:r>
        <w:t xml:space="preserve">Inquiry participants shared a wide range of ideas for improving productivity in the care economy </w:t>
      </w:r>
      <w:r w:rsidR="00CD75B1" w:rsidRPr="00CD75B1">
        <w:rPr>
          <w:rFonts w:ascii="Arial" w:hAnsi="Arial" w:cs="Arial"/>
        </w:rPr>
        <w:t>(PC 2025c)</w:t>
      </w:r>
      <w:r>
        <w:t>. This inquiry could not tackle all these suggestions. In some cases, other work is underway, and we are mindful that this inquiry comes at a time of significant change in some care sectors.</w:t>
      </w:r>
    </w:p>
    <w:p w14:paraId="2CBB2ED7" w14:textId="3780C397" w:rsidR="00724C77" w:rsidRDefault="00724C77">
      <w:pPr>
        <w:pStyle w:val="BodyText"/>
      </w:pPr>
      <w:r>
        <w:t>We have</w:t>
      </w:r>
      <w:r w:rsidDel="00501A32">
        <w:t xml:space="preserve"> </w:t>
      </w:r>
      <w:r>
        <w:t>focused on reforms that would strengthen the connections between care sectors, mitigate the fragmented nature of the care economy, and break through the current siloed approach to government decision</w:t>
      </w:r>
      <w:r>
        <w:noBreakHyphen/>
        <w:t>making</w:t>
      </w:r>
      <w:r w:rsidDel="00484FF8">
        <w:t xml:space="preserve">. </w:t>
      </w:r>
      <w:r>
        <w:t xml:space="preserve">Our care and support system must be able to respond to increasingly complex and overlapping needs that often span multiple sectors. To move toward this goal, we have identified three reform opportunities that target the micro, </w:t>
      </w:r>
      <w:proofErr w:type="spellStart"/>
      <w:r>
        <w:t>meso</w:t>
      </w:r>
      <w:proofErr w:type="spellEnd"/>
      <w:r>
        <w:t xml:space="preserve"> and macro levels of the system. Governments should: </w:t>
      </w:r>
    </w:p>
    <w:p w14:paraId="2400A867" w14:textId="77777777" w:rsidR="00724C77" w:rsidRDefault="00724C77" w:rsidP="00724C77">
      <w:pPr>
        <w:pStyle w:val="ListBullet"/>
      </w:pPr>
      <w:r>
        <w:t>reform quality and safety regulation to support a more cohesive care economy (micro</w:t>
      </w:r>
      <w:r>
        <w:noBreakHyphen/>
        <w:t xml:space="preserve">level) (chapter 1) </w:t>
      </w:r>
    </w:p>
    <w:p w14:paraId="48493708" w14:textId="77777777" w:rsidR="00724C77" w:rsidRDefault="00724C77" w:rsidP="00724C77">
      <w:pPr>
        <w:pStyle w:val="ListBullet"/>
      </w:pPr>
      <w:r>
        <w:t>embed collaborative commissioning to increase the integration of care services (meso</w:t>
      </w:r>
      <w:r>
        <w:noBreakHyphen/>
        <w:t>level) (chapter 2)</w:t>
      </w:r>
    </w:p>
    <w:p w14:paraId="3BD10FEA" w14:textId="77777777" w:rsidR="00724C77" w:rsidRDefault="00724C77" w:rsidP="00724C77">
      <w:pPr>
        <w:pStyle w:val="ListBullet"/>
      </w:pPr>
      <w:r>
        <w:t>establish a national framework to support investment in prevention and early intervention (macro</w:t>
      </w:r>
      <w:r>
        <w:noBreakHyphen/>
        <w:t>level) (chapter 3).</w:t>
      </w:r>
    </w:p>
    <w:p w14:paraId="7FCFFE18" w14:textId="77777777" w:rsidR="00C158EA" w:rsidRDefault="00724C77">
      <w:pPr>
        <w:pStyle w:val="BodyText"/>
        <w:sectPr w:rsidR="00C158EA" w:rsidSect="007301EF">
          <w:headerReference w:type="even" r:id="rId47"/>
          <w:headerReference w:type="default" r:id="rId48"/>
          <w:footerReference w:type="even" r:id="rId49"/>
          <w:footerReference w:type="default" r:id="rId50"/>
          <w:headerReference w:type="first" r:id="rId51"/>
          <w:type w:val="oddPage"/>
          <w:pgSz w:w="11906" w:h="16838" w:code="9"/>
          <w:pgMar w:top="1134" w:right="1134" w:bottom="1134" w:left="1134" w:header="794" w:footer="510" w:gutter="0"/>
          <w:cols w:space="708"/>
          <w:docGrid w:linePitch="360"/>
        </w:sectPr>
      </w:pPr>
      <w:r>
        <w:t xml:space="preserve">These reforms have been shaped by the diverse perspectives of those who have engaged with this inquiry. They include care users, providers, workforce representatives, Aboriginal Community Controlled Organisations, industry groups, government agencies and academic and research organisations </w:t>
      </w:r>
      <w:r w:rsidR="00CD75B1" w:rsidRPr="00CD75B1">
        <w:rPr>
          <w:rFonts w:ascii="Arial" w:hAnsi="Arial" w:cs="Arial"/>
        </w:rPr>
        <w:t>(PC 2025c)</w:t>
      </w:r>
      <w:r>
        <w:t>. Across these groups we found broad in</w:t>
      </w:r>
      <w:r>
        <w:noBreakHyphen/>
      </w:r>
      <w:proofErr w:type="gramStart"/>
      <w:r>
        <w:t>principle</w:t>
      </w:r>
      <w:proofErr w:type="gramEnd"/>
      <w:r>
        <w:t xml:space="preserve"> support for our proposed reforms and have received valuable input that has helped us define practical pathways for implementation. What is needed now is government resolve. The reforms we outline are</w:t>
      </w:r>
      <w:r w:rsidDel="00DC3FC4">
        <w:t xml:space="preserve"> </w:t>
      </w:r>
      <w:r>
        <w:t>not a cure</w:t>
      </w:r>
      <w:r>
        <w:noBreakHyphen/>
        <w:t>all, but they are a significant step towards</w:t>
      </w:r>
      <w:r w:rsidDel="00A751D4">
        <w:t xml:space="preserve"> </w:t>
      </w:r>
      <w:r>
        <w:t>a care and support system that is more efficient and delivers better quality services for all.</w:t>
      </w:r>
    </w:p>
    <w:p w14:paraId="5E5C4DF6" w14:textId="06F76C6D" w:rsidR="00724C77" w:rsidRDefault="00724C77">
      <w:pPr>
        <w:pStyle w:val="BodyText"/>
      </w:pPr>
    </w:p>
    <w:p w14:paraId="56EC4AF2" w14:textId="77777777" w:rsidR="00C158EA" w:rsidRPr="00862A83" w:rsidRDefault="00C158EA">
      <w:pPr>
        <w:pStyle w:val="BodyText"/>
      </w:pPr>
    </w:p>
    <w:p w14:paraId="41DE80DB" w14:textId="77777777" w:rsidR="00EE577B" w:rsidRDefault="00EE577B" w:rsidP="00A4030B">
      <w:pPr>
        <w:pStyle w:val="DraftingNote"/>
        <w:rPr>
          <w:noProof/>
        </w:rPr>
        <w:sectPr w:rsidR="00EE577B" w:rsidSect="00C158EA">
          <w:headerReference w:type="even" r:id="rId52"/>
          <w:pgSz w:w="11906" w:h="16838" w:code="9"/>
          <w:pgMar w:top="1134" w:right="1134" w:bottom="1134" w:left="1134" w:header="794" w:footer="510" w:gutter="0"/>
          <w:cols w:space="708"/>
          <w:docGrid w:linePitch="360"/>
        </w:sectPr>
      </w:pPr>
    </w:p>
    <w:p w14:paraId="34B09CB8" w14:textId="77777777" w:rsidR="00EE577B" w:rsidRPr="00231938" w:rsidRDefault="00EE577B">
      <w:pPr>
        <w:pStyle w:val="Heading1"/>
      </w:pPr>
      <w:bookmarkStart w:id="70" w:name="_Toc215671164"/>
      <w:bookmarkStart w:id="71" w:name="_Toc215838128"/>
      <w:r w:rsidRPr="00231938">
        <w:lastRenderedPageBreak/>
        <w:t>Reform of quality and safety regulation to support a more cohesive care economy</w:t>
      </w:r>
      <w:bookmarkEnd w:id="70"/>
      <w:bookmarkEnd w:id="71"/>
    </w:p>
    <w:tbl>
      <w:tblPr>
        <w:tblStyle w:val="Texttable-Paleblue"/>
        <w:tblW w:w="5000" w:type="pct"/>
        <w:shd w:val="clear" w:color="auto" w:fill="E7F6FD"/>
        <w:tblLook w:val="04A0" w:firstRow="1" w:lastRow="0" w:firstColumn="1" w:lastColumn="0" w:noHBand="0" w:noVBand="1"/>
      </w:tblPr>
      <w:tblGrid>
        <w:gridCol w:w="577"/>
        <w:gridCol w:w="9061"/>
      </w:tblGrid>
      <w:tr w:rsidR="00EE577B" w:rsidRPr="002F759A" w14:paraId="1BDD83F8" w14:textId="77777777">
        <w:tc>
          <w:tcPr>
            <w:tcW w:w="9638" w:type="dxa"/>
            <w:gridSpan w:val="2"/>
            <w:shd w:val="clear" w:color="auto" w:fill="E7F6FD"/>
            <w:tcMar>
              <w:left w:w="170" w:type="dxa"/>
            </w:tcMar>
          </w:tcPr>
          <w:p w14:paraId="767905B9" w14:textId="5B27E558" w:rsidR="00EE577B" w:rsidRPr="00231938" w:rsidRDefault="00354D8E">
            <w:pPr>
              <w:pStyle w:val="Keypoints-heading"/>
            </w:pPr>
            <w:r>
              <w:t>Summary</w:t>
            </w:r>
          </w:p>
        </w:tc>
      </w:tr>
      <w:tr w:rsidR="00EE577B" w14:paraId="48D1701A" w14:textId="77777777">
        <w:tc>
          <w:tcPr>
            <w:tcW w:w="577" w:type="dxa"/>
            <w:shd w:val="clear" w:color="auto" w:fill="E7F6FD"/>
            <w:tcMar>
              <w:top w:w="0" w:type="dxa"/>
              <w:bottom w:w="0" w:type="dxa"/>
              <w:right w:w="113" w:type="dxa"/>
            </w:tcMar>
          </w:tcPr>
          <w:p w14:paraId="1C1C7B04" w14:textId="77777777" w:rsidR="00EE577B" w:rsidRPr="00231938" w:rsidRDefault="00EE577B" w:rsidP="000C6B77">
            <w:pPr>
              <w:pStyle w:val="KeyPointsicon"/>
            </w:pPr>
            <w:r w:rsidRPr="00231938">
              <w:rPr>
                <w:noProof/>
              </w:rPr>
              <w:drawing>
                <wp:inline distT="0" distB="0" distL="0" distR="0" wp14:anchorId="64ED40E5" wp14:editId="7CDF719F">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BA80B98" w14:textId="77777777" w:rsidR="00EE577B" w:rsidRPr="00231938" w:rsidRDefault="00EE577B">
            <w:pPr>
              <w:pStyle w:val="KeyPoints-Bold"/>
            </w:pPr>
            <w:r w:rsidRPr="00231938">
              <w:t>Regulation is an essential part of the care economy, protecting against unsafe and poor</w:t>
            </w:r>
            <w:r w:rsidRPr="00231938">
              <w:noBreakHyphen/>
              <w:t>quality care and providing valuable indicators of service quality. However, fragmented and misaligned regulation across different care sectors creates unnecessary burden and costs for care users, workers, providers</w:t>
            </w:r>
            <w:r w:rsidRPr="00231938" w:rsidDel="004D32EB">
              <w:t xml:space="preserve"> </w:t>
            </w:r>
            <w:r w:rsidRPr="00231938">
              <w:t>and government, reducing care quality and productivity. R</w:t>
            </w:r>
            <w:r w:rsidRPr="00231938">
              <w:rPr>
                <w:rFonts w:cstheme="minorHAnsi"/>
              </w:rPr>
              <w:t>emoving</w:t>
            </w:r>
            <w:r w:rsidRPr="00231938">
              <w:t xml:space="preserve"> unnecessary complexities and duplication can</w:t>
            </w:r>
            <w:r>
              <w:t xml:space="preserve"> make it easier to</w:t>
            </w:r>
            <w:r w:rsidRPr="00231938">
              <w:t xml:space="preserve"> protect the rights and safety of care users and improve efficiency.</w:t>
            </w:r>
          </w:p>
        </w:tc>
      </w:tr>
      <w:tr w:rsidR="00EE577B" w14:paraId="68E5921F" w14:textId="77777777">
        <w:tc>
          <w:tcPr>
            <w:tcW w:w="577" w:type="dxa"/>
            <w:shd w:val="clear" w:color="auto" w:fill="E7F6FD"/>
            <w:tcMar>
              <w:top w:w="0" w:type="dxa"/>
              <w:bottom w:w="0" w:type="dxa"/>
              <w:right w:w="113" w:type="dxa"/>
            </w:tcMar>
          </w:tcPr>
          <w:p w14:paraId="25C683E4" w14:textId="77777777" w:rsidR="00EE577B" w:rsidRPr="00231938" w:rsidRDefault="00EE577B" w:rsidP="000C6B77">
            <w:pPr>
              <w:pStyle w:val="KeyPointsicon"/>
            </w:pPr>
            <w:r w:rsidRPr="00231938">
              <w:rPr>
                <w:noProof/>
              </w:rPr>
              <w:drawing>
                <wp:inline distT="0" distB="0" distL="0" distR="0" wp14:anchorId="2316D833" wp14:editId="3E70E4AF">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BBE91A0" w14:textId="77777777" w:rsidR="00EE577B" w:rsidRPr="00231938" w:rsidRDefault="00EE577B" w:rsidP="00610627">
            <w:pPr>
              <w:pStyle w:val="KeyPoints-Bold"/>
            </w:pPr>
            <w:r w:rsidRPr="00231938">
              <w:t xml:space="preserve">Similarities between the aged care, National Disability Insurance Scheme and veterans’ care sectors provide scope </w:t>
            </w:r>
            <w:r>
              <w:t>to</w:t>
            </w:r>
            <w:r w:rsidRPr="00231938">
              <w:t xml:space="preserve"> better align quality and safety regulation. But these sectors are not </w:t>
            </w:r>
            <w:proofErr w:type="gramStart"/>
            <w:r w:rsidRPr="00231938">
              <w:t>homogenous</w:t>
            </w:r>
            <w:proofErr w:type="gramEnd"/>
            <w:r w:rsidRPr="00231938">
              <w:t xml:space="preserve"> and regulation must continue to have flexibility to meet sector</w:t>
            </w:r>
            <w:r>
              <w:noBreakHyphen/>
            </w:r>
            <w:r w:rsidRPr="00231938">
              <w:t>specific needs. The P</w:t>
            </w:r>
            <w:r>
              <w:t xml:space="preserve">roductivity </w:t>
            </w:r>
            <w:r w:rsidRPr="00231938">
              <w:t>C</w:t>
            </w:r>
            <w:r>
              <w:t>ommission</w:t>
            </w:r>
            <w:r w:rsidRPr="00231938">
              <w:t xml:space="preserve"> advocates for a system that consolidates regulation where there are commonalities while allowing for different approaches where needed.</w:t>
            </w:r>
          </w:p>
        </w:tc>
      </w:tr>
      <w:tr w:rsidR="00EE577B" w14:paraId="26E59740" w14:textId="77777777">
        <w:tc>
          <w:tcPr>
            <w:tcW w:w="577" w:type="dxa"/>
            <w:shd w:val="clear" w:color="auto" w:fill="E7F6FD"/>
            <w:tcMar>
              <w:top w:w="0" w:type="dxa"/>
              <w:bottom w:w="0" w:type="dxa"/>
              <w:right w:w="113" w:type="dxa"/>
            </w:tcMar>
          </w:tcPr>
          <w:p w14:paraId="4A2397C9" w14:textId="77777777" w:rsidR="00EE577B" w:rsidRPr="00231938" w:rsidRDefault="00EE577B" w:rsidP="000C6B77">
            <w:pPr>
              <w:pStyle w:val="KeyPointsicon"/>
            </w:pPr>
            <w:r w:rsidRPr="00231938">
              <w:rPr>
                <w:noProof/>
              </w:rPr>
              <w:drawing>
                <wp:inline distT="0" distB="0" distL="0" distR="0" wp14:anchorId="0C01E458" wp14:editId="3FA1C47B">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282E2C5" w14:textId="09BE5E07" w:rsidR="00EE577B" w:rsidRPr="00231938" w:rsidRDefault="00EE577B" w:rsidP="00610627">
            <w:pPr>
              <w:pStyle w:val="KeyPoints-Bold"/>
              <w:rPr>
                <w:bCs/>
              </w:rPr>
            </w:pPr>
            <w:r w:rsidRPr="00231938">
              <w:rPr>
                <w:bCs/>
              </w:rPr>
              <w:t>The Australian Government, in collaboration with state and territory governments where required, should build on efforts underway and pursue a suite of worker</w:t>
            </w:r>
            <w:r>
              <w:rPr>
                <w:bCs/>
              </w:rPr>
              <w:noBreakHyphen/>
            </w:r>
            <w:r w:rsidRPr="00231938">
              <w:rPr>
                <w:bCs/>
              </w:rPr>
              <w:t>, provider</w:t>
            </w:r>
            <w:r>
              <w:rPr>
                <w:bCs/>
              </w:rPr>
              <w:noBreakHyphen/>
            </w:r>
            <w:r w:rsidRPr="00231938">
              <w:rPr>
                <w:bCs/>
              </w:rPr>
              <w:t xml:space="preserve"> and service</w:t>
            </w:r>
            <w:r>
              <w:rPr>
                <w:bCs/>
              </w:rPr>
              <w:noBreakHyphen/>
            </w:r>
            <w:r w:rsidRPr="00231938">
              <w:rPr>
                <w:bCs/>
              </w:rPr>
              <w:t>related regulatory reforms</w:t>
            </w:r>
            <w:r w:rsidRPr="00231938" w:rsidDel="00EC281E">
              <w:rPr>
                <w:bCs/>
              </w:rPr>
              <w:t xml:space="preserve"> to</w:t>
            </w:r>
            <w:r w:rsidRPr="00231938" w:rsidDel="00E41827">
              <w:rPr>
                <w:bCs/>
              </w:rPr>
              <w:t xml:space="preserve"> </w:t>
            </w:r>
            <w:r w:rsidRPr="00231938">
              <w:rPr>
                <w:bCs/>
              </w:rPr>
              <w:t>align quality and safety regulation in the care economy and improve efficiency and outcomes for care users. We estimate</w:t>
            </w:r>
            <w:r>
              <w:rPr>
                <w:bCs/>
              </w:rPr>
              <w:t xml:space="preserve"> that</w:t>
            </w:r>
            <w:r w:rsidRPr="00231938">
              <w:rPr>
                <w:bCs/>
              </w:rPr>
              <w:t xml:space="preserve"> our recommendations will deliver $1.8 billion </w:t>
            </w:r>
            <w:r w:rsidR="00265148">
              <w:rPr>
                <w:bCs/>
              </w:rPr>
              <w:t xml:space="preserve">in </w:t>
            </w:r>
            <w:r w:rsidRPr="00231938">
              <w:rPr>
                <w:bCs/>
              </w:rPr>
              <w:t xml:space="preserve">savings in nominal terms across ten years, equivalent to </w:t>
            </w:r>
            <w:r>
              <w:rPr>
                <w:bCs/>
              </w:rPr>
              <w:t xml:space="preserve">over </w:t>
            </w:r>
            <w:r w:rsidRPr="00231938">
              <w:rPr>
                <w:bCs/>
              </w:rPr>
              <w:t xml:space="preserve">21 million additional care hours. </w:t>
            </w:r>
          </w:p>
          <w:p w14:paraId="024276DD" w14:textId="77777777" w:rsidR="00EE577B" w:rsidRPr="00231938" w:rsidRDefault="00EE577B" w:rsidP="00EE577B">
            <w:pPr>
              <w:pStyle w:val="KeyPoints-Bullet"/>
              <w:rPr>
                <w:szCs w:val="18"/>
              </w:rPr>
            </w:pPr>
            <w:r w:rsidRPr="00231938">
              <w:rPr>
                <w:szCs w:val="18"/>
              </w:rPr>
              <w:t>A national worker screening check will reduce the risk of harmful workers moving between care sectors and jurisdictions. It will save workers approximately $88 million per year</w:t>
            </w:r>
            <w:r>
              <w:rPr>
                <w:szCs w:val="18"/>
              </w:rPr>
              <w:t xml:space="preserve">, </w:t>
            </w:r>
            <w:r w:rsidRPr="00231938">
              <w:rPr>
                <w:szCs w:val="18"/>
              </w:rPr>
              <w:t>improve labour mobility, and will particularly benefit women, who comprise 7</w:t>
            </w:r>
            <w:r>
              <w:rPr>
                <w:szCs w:val="18"/>
              </w:rPr>
              <w:t>5</w:t>
            </w:r>
            <w:r w:rsidRPr="00231938">
              <w:rPr>
                <w:szCs w:val="18"/>
              </w:rPr>
              <w:t>% of the care workforce.</w:t>
            </w:r>
          </w:p>
          <w:p w14:paraId="4AD6A0DA" w14:textId="77777777" w:rsidR="00EE577B" w:rsidRPr="00231938" w:rsidRDefault="00EE577B" w:rsidP="00EE577B">
            <w:pPr>
              <w:pStyle w:val="KeyPoints-Bullet"/>
              <w:rPr>
                <w:szCs w:val="18"/>
              </w:rPr>
            </w:pPr>
            <w:r w:rsidRPr="00231938">
              <w:rPr>
                <w:szCs w:val="18"/>
              </w:rPr>
              <w:t>Provider</w:t>
            </w:r>
            <w:r>
              <w:rPr>
                <w:szCs w:val="18"/>
              </w:rPr>
              <w:noBreakHyphen/>
            </w:r>
            <w:r w:rsidRPr="00231938">
              <w:rPr>
                <w:szCs w:val="18"/>
              </w:rPr>
              <w:t xml:space="preserve"> and service</w:t>
            </w:r>
            <w:r>
              <w:rPr>
                <w:szCs w:val="18"/>
              </w:rPr>
              <w:noBreakHyphen/>
            </w:r>
            <w:r w:rsidRPr="00231938">
              <w:rPr>
                <w:szCs w:val="18"/>
              </w:rPr>
              <w:t>related reforms will streamline processes and reduce duplication for providers, to a total saving of $91 million per year. A simpler system that upholds quality and safety standards will also allow providers to focus more on delivering quality care.</w:t>
            </w:r>
          </w:p>
        </w:tc>
      </w:tr>
      <w:tr w:rsidR="00EE577B" w14:paraId="539AD3E6" w14:textId="77777777">
        <w:tc>
          <w:tcPr>
            <w:tcW w:w="577" w:type="dxa"/>
            <w:shd w:val="clear" w:color="auto" w:fill="E7F6FD"/>
            <w:tcMar>
              <w:top w:w="0" w:type="dxa"/>
              <w:bottom w:w="0" w:type="dxa"/>
              <w:right w:w="113" w:type="dxa"/>
            </w:tcMar>
          </w:tcPr>
          <w:p w14:paraId="50E84ABD" w14:textId="77777777" w:rsidR="00EE577B" w:rsidRPr="00231938" w:rsidRDefault="00EE577B" w:rsidP="000C6B77">
            <w:pPr>
              <w:pStyle w:val="KeyPointsicon"/>
            </w:pPr>
            <w:r w:rsidRPr="00231938">
              <w:rPr>
                <w:noProof/>
              </w:rPr>
              <w:drawing>
                <wp:inline distT="0" distB="0" distL="0" distR="0" wp14:anchorId="3BFB8B95" wp14:editId="3C26B85C">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A88225A" w14:textId="77777777" w:rsidR="00EE577B" w:rsidRPr="00231938" w:rsidRDefault="00EE577B">
            <w:pPr>
              <w:pStyle w:val="KeyPoints-Bold"/>
            </w:pPr>
            <w:r w:rsidRPr="00231938">
              <w:t xml:space="preserve">Recent developments </w:t>
            </w:r>
            <w:r>
              <w:t>create</w:t>
            </w:r>
            <w:r w:rsidRPr="00231938">
              <w:t xml:space="preserve"> an opportune </w:t>
            </w:r>
            <w:r>
              <w:t>moment</w:t>
            </w:r>
            <w:r w:rsidRPr="00231938">
              <w:t xml:space="preserve"> to reinvigorate a reform agenda </w:t>
            </w:r>
            <w:r>
              <w:t>and</w:t>
            </w:r>
            <w:r w:rsidRPr="00231938">
              <w:t xml:space="preserve"> align regulation in the care economy. To seize this opportunity and successfully implement our recommendations, the Australian Government should immediately establish the necessary policy infrastructure and </w:t>
            </w:r>
            <w:r>
              <w:t xml:space="preserve">begin </w:t>
            </w:r>
            <w:r w:rsidRPr="00231938">
              <w:t>implement</w:t>
            </w:r>
            <w:r>
              <w:t>ing</w:t>
            </w:r>
            <w:r w:rsidRPr="00231938">
              <w:t xml:space="preserve"> reforms. </w:t>
            </w:r>
          </w:p>
        </w:tc>
      </w:tr>
    </w:tbl>
    <w:p w14:paraId="75C00C79" w14:textId="3BC6DAD6" w:rsidR="00EE577B" w:rsidRPr="00231938" w:rsidRDefault="00EE577B">
      <w:pPr>
        <w:pStyle w:val="NoSpacing"/>
      </w:pPr>
    </w:p>
    <w:p w14:paraId="63AB69B4" w14:textId="77777777" w:rsidR="00EE577B" w:rsidRPr="00231938" w:rsidRDefault="00EE577B">
      <w:pPr>
        <w:pStyle w:val="Heading2-nonumber"/>
      </w:pPr>
      <w:bookmarkStart w:id="72" w:name="_Toc215671165"/>
      <w:bookmarkStart w:id="73" w:name="_Toc215838129"/>
      <w:r w:rsidRPr="00231938">
        <w:lastRenderedPageBreak/>
        <w:t>A more cohesive regulatory framework would improve the quality and efficiency of care</w:t>
      </w:r>
      <w:bookmarkEnd w:id="72"/>
      <w:bookmarkEnd w:id="73"/>
    </w:p>
    <w:p w14:paraId="42030006" w14:textId="77777777" w:rsidR="00EE577B" w:rsidRPr="00231938" w:rsidRDefault="00EE577B">
      <w:pPr>
        <w:pStyle w:val="Heading3"/>
      </w:pPr>
      <w:r w:rsidRPr="00231938">
        <w:t>Quality and safety regulation is fragmented</w:t>
      </w:r>
    </w:p>
    <w:p w14:paraId="0824B3A9" w14:textId="77777777" w:rsidR="00EE577B" w:rsidRPr="00231938" w:rsidRDefault="00EE577B">
      <w:pPr>
        <w:pStyle w:val="BodyText"/>
      </w:pPr>
      <w:r w:rsidRPr="00231938">
        <w:t>Quality and safety regulation is a vital foundation of the care economy, making providers accountable, reducing harm, improving outcomes, and setting minimum standards so care users are treated with dignity, fairness</w:t>
      </w:r>
      <w:r w:rsidRPr="00231938" w:rsidDel="00075FAA">
        <w:t xml:space="preserve"> </w:t>
      </w:r>
      <w:r w:rsidRPr="00231938">
        <w:t xml:space="preserve">and respect. Because care users may not always be able to advocate for themselves or assess the quality of services they receive, strong regulatory oversight is vital to protect their rights, enable </w:t>
      </w:r>
      <w:r>
        <w:t>them</w:t>
      </w:r>
      <w:r w:rsidRPr="00231938">
        <w:t xml:space="preserve"> to participate in decisions affecting their care, and safeguard against neglect, abuse and poor</w:t>
      </w:r>
      <w:r w:rsidRPr="00231938">
        <w:noBreakHyphen/>
        <w:t>quality care. Information gathered through regulatory activities also provides valuable indicators of service quality, helping care users make informed choices and rewarding providers that offer high</w:t>
      </w:r>
      <w:r w:rsidRPr="00231938">
        <w:noBreakHyphen/>
        <w:t>quality services.</w:t>
      </w:r>
    </w:p>
    <w:p w14:paraId="030D06D5" w14:textId="77777777" w:rsidR="00EE577B" w:rsidRPr="00231938" w:rsidRDefault="00EE577B">
      <w:pPr>
        <w:pStyle w:val="BodyText"/>
      </w:pPr>
      <w:r w:rsidRPr="00231938">
        <w:t>However, current arrangements for quality and safety regulation are fragmented. Different legislative frameworks, standards or regulatory processes can apply across sectors, even when services</w:t>
      </w:r>
      <w:r w:rsidRPr="00231938" w:rsidDel="00BC53B2">
        <w:t xml:space="preserve"> </w:t>
      </w:r>
      <w:r w:rsidRPr="00231938">
        <w:t>are substantially similar. Significant sector</w:t>
      </w:r>
      <w:r w:rsidRPr="00231938">
        <w:noBreakHyphen/>
        <w:t xml:space="preserve">specific regulatory reforms introduced in recent years in response to </w:t>
      </w:r>
      <w:r>
        <w:t>r</w:t>
      </w:r>
      <w:r w:rsidRPr="00231938">
        <w:t xml:space="preserve">oyal </w:t>
      </w:r>
      <w:r>
        <w:t>c</w:t>
      </w:r>
      <w:r w:rsidRPr="00231938">
        <w:t>ommissions and reviews, while aiming</w:t>
      </w:r>
      <w:r w:rsidRPr="00231938" w:rsidDel="002376D3">
        <w:t xml:space="preserve"> to </w:t>
      </w:r>
      <w:r w:rsidRPr="00231938">
        <w:t xml:space="preserve">address serious harms and risks, have also often been developed in isolation or misaligned with other sectors. </w:t>
      </w:r>
    </w:p>
    <w:p w14:paraId="25CBC1D8" w14:textId="77777777" w:rsidR="00EE577B" w:rsidRPr="00231938" w:rsidRDefault="00EE577B">
      <w:pPr>
        <w:pStyle w:val="Heading3"/>
      </w:pPr>
      <w:r w:rsidRPr="00231938">
        <w:t>Workers face increased paperwork and may miss employment opportunities</w:t>
      </w:r>
    </w:p>
    <w:p w14:paraId="14D8323F" w14:textId="483ED2DC" w:rsidR="00EE577B" w:rsidRPr="00231938" w:rsidRDefault="00EE577B">
      <w:pPr>
        <w:pStyle w:val="BodyText"/>
      </w:pPr>
      <w:r w:rsidRPr="00231938">
        <w:t xml:space="preserve">Workers face costs from a fragmented regulatory system in the form of duplicative screening checks. For example, </w:t>
      </w:r>
      <w:r>
        <w:t>National Disability Services</w:t>
      </w:r>
      <w:r w:rsidRPr="00231938">
        <w:t xml:space="preserve"> (sub.</w:t>
      </w:r>
      <w:r>
        <w:t> </w:t>
      </w:r>
      <w:r w:rsidRPr="00231938">
        <w:t>241, p. 20) stated that workers can face up to three separate screening processes depending on sector and jurisdiction. The P</w:t>
      </w:r>
      <w:r>
        <w:t xml:space="preserve">roductivity </w:t>
      </w:r>
      <w:r w:rsidRPr="00231938">
        <w:t>C</w:t>
      </w:r>
      <w:r>
        <w:t>ommission</w:t>
      </w:r>
      <w:r w:rsidRPr="00231938">
        <w:t xml:space="preserve"> is not suggesting standards be lowered: effective worker screening is needed to protect the most vulnerable in our community. However, multiple substantially similar checks across sectors or jurisdictions impose unnecessary time and financial costs on care workers – most of whom are women – potentially causing them to delay or miss out on employment opportunities. When multiple agencies across sectors or jurisdictions conduct checks without effective information</w:t>
      </w:r>
      <w:r w:rsidRPr="00231938">
        <w:noBreakHyphen/>
        <w:t xml:space="preserve">sharing arrangements, unsafe workers can also slip through the cracks unnoticed, lowering protection for care users </w:t>
      </w:r>
      <w:r>
        <w:t>compared to</w:t>
      </w:r>
      <w:r w:rsidRPr="00231938">
        <w:t xml:space="preserve"> a more cohesive </w:t>
      </w:r>
      <w:r>
        <w:rPr>
          <w:rFonts w:ascii="Arial" w:hAnsi="Arial" w:cs="Arial"/>
        </w:rPr>
        <w:t>s</w:t>
      </w:r>
      <w:r w:rsidRPr="00231938">
        <w:t xml:space="preserve">ystem. </w:t>
      </w:r>
    </w:p>
    <w:p w14:paraId="450C5CE6" w14:textId="77777777" w:rsidR="00EE577B" w:rsidRPr="00231938" w:rsidRDefault="00EE577B">
      <w:pPr>
        <w:pStyle w:val="Heading3"/>
      </w:pPr>
      <w:r w:rsidRPr="00231938">
        <w:t>Providers face increased compliance costs</w:t>
      </w:r>
    </w:p>
    <w:p w14:paraId="0654BE5F" w14:textId="77777777" w:rsidR="00EE577B" w:rsidRPr="00231938" w:rsidRDefault="00EE577B">
      <w:pPr>
        <w:pStyle w:val="BodyText"/>
      </w:pPr>
      <w:r w:rsidRPr="00231938">
        <w:t xml:space="preserve">Providers told us </w:t>
      </w:r>
      <w:r>
        <w:t>that</w:t>
      </w:r>
      <w:r w:rsidRPr="00231938">
        <w:t xml:space="preserve"> fragmented and misaligned regulations </w:t>
      </w:r>
      <w:r>
        <w:t>create</w:t>
      </w:r>
      <w:r w:rsidRPr="00231938">
        <w:t xml:space="preserve"> significant </w:t>
      </w:r>
      <w:r>
        <w:t>costs</w:t>
      </w:r>
      <w:r w:rsidRPr="00231938">
        <w:t xml:space="preserve"> (figure</w:t>
      </w:r>
      <w:r>
        <w:t> </w:t>
      </w:r>
      <w:r w:rsidRPr="00231938">
        <w:t>1.1).</w:t>
      </w:r>
      <w:r w:rsidRPr="00231938" w:rsidDel="00905E60">
        <w:t xml:space="preserve"> </w:t>
      </w:r>
      <w:r w:rsidRPr="00231938">
        <w:t xml:space="preserve">For example, the Benevolent Society said: </w:t>
      </w:r>
    </w:p>
    <w:p w14:paraId="7C17FBAE" w14:textId="77777777" w:rsidR="00EE577B" w:rsidRPr="00231938" w:rsidRDefault="00EE577B">
      <w:pPr>
        <w:pStyle w:val="Quote"/>
      </w:pPr>
      <w:r w:rsidRPr="00231938">
        <w:t>Programs subject to mandatory accreditation must undergo audits every 18 months, placing a considerable burden on frontline and managerial staff who are often in a near</w:t>
      </w:r>
      <w:r w:rsidRPr="00231938">
        <w:noBreakHyphen/>
        <w:t>constant state of audit preparation. (qr. 73, p. 1)</w:t>
      </w:r>
    </w:p>
    <w:p w14:paraId="3F1F32C1" w14:textId="77777777" w:rsidR="00EE577B" w:rsidRPr="00231938" w:rsidRDefault="00EE577B">
      <w:pPr>
        <w:pStyle w:val="BodyText"/>
      </w:pPr>
      <w:r w:rsidRPr="00231938">
        <w:t>The extent of compliance requirements has led Mission Australia (sub.</w:t>
      </w:r>
      <w:r>
        <w:t> </w:t>
      </w:r>
      <w:r w:rsidRPr="00231938">
        <w:t>153, p. 16) to increase its dedicated risk and assurance team from seven to 10 full</w:t>
      </w:r>
      <w:r>
        <w:noBreakHyphen/>
      </w:r>
      <w:r w:rsidRPr="00231938">
        <w:t>time equivalent staff in the past three years, in addition to regularly outsourcing work to boost its internal auditing capacity. Echoing Mission Australia, other providers also said they often needed to employ specialised compliance personnel or direct frontline staff away from service delivery towards these administrative tasks, creating risks to qualit</w:t>
      </w:r>
      <w:r>
        <w:t>y</w:t>
      </w:r>
      <w:r w:rsidRPr="00231938">
        <w:t xml:space="preserve"> and access (CHA, sub.</w:t>
      </w:r>
      <w:r>
        <w:t> </w:t>
      </w:r>
      <w:r w:rsidRPr="00231938">
        <w:t>165, p. 17</w:t>
      </w:r>
      <w:r>
        <w:t>;</w:t>
      </w:r>
      <w:r w:rsidRPr="00231938">
        <w:t xml:space="preserve"> </w:t>
      </w:r>
      <w:proofErr w:type="spellStart"/>
      <w:r w:rsidRPr="00231938">
        <w:t>HealthWISE</w:t>
      </w:r>
      <w:proofErr w:type="spellEnd"/>
      <w:r w:rsidRPr="00231938">
        <w:t xml:space="preserve">, sub. 111, p. 1). </w:t>
      </w:r>
    </w:p>
    <w:p w14:paraId="2AEAE95C" w14:textId="77777777" w:rsidR="00EE577B" w:rsidRPr="00231938" w:rsidRDefault="00EE577B">
      <w:pPr>
        <w:pStyle w:val="FigureTableHeading"/>
      </w:pPr>
      <w:r w:rsidRPr="00231938" w:rsidDel="00CF296E">
        <w:lastRenderedPageBreak/>
        <w:t>Figure</w:t>
      </w:r>
      <w:r>
        <w:t> </w:t>
      </w:r>
      <w:r w:rsidRPr="00231938" w:rsidDel="00CF296E">
        <w:t>1</w:t>
      </w:r>
      <w:r w:rsidRPr="00231938">
        <w:t>.1 – Providers’ experiences of regulatory burden</w:t>
      </w:r>
    </w:p>
    <w:p w14:paraId="110740B2" w14:textId="1FE4586F" w:rsidR="00EE577B" w:rsidRPr="002141E1" w:rsidRDefault="00D535C8" w:rsidP="002141E1">
      <w:pPr>
        <w:pStyle w:val="BodyText"/>
      </w:pPr>
      <w:r w:rsidRPr="00D535C8">
        <w:rPr>
          <w:noProof/>
        </w:rPr>
        <w:drawing>
          <wp:inline distT="0" distB="0" distL="0" distR="0" wp14:anchorId="1CD42FF4" wp14:editId="06FE168D">
            <wp:extent cx="6120130" cy="2251710"/>
            <wp:effectExtent l="0" t="0" r="0" b="0"/>
            <wp:docPr id="619360652" name="Picture 2" descr="Providers told us they were subject to multiple accreditation requirements, including 7 accreditation and audit processes requiring similar evidence, costing $150,000 to $200,000 per year (Better Health Network, pers. comm.); and 13 accreditation standards (Mission Australia, sub. 153, p. 16)&#10;&#10;…and multiple legislative requirements, including being accountable to over 350 pieces of legislation and regulation, and at least 16 program audits every three years (The Benevolent Society, qr 73, p. 1); and being subject to 9 auditing bodies and compliant with over 300 pieces of legislation and regulations (Mission Australia, sub. 153, p.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60652" name="Picture 2" descr="Providers told us they were subject to multiple accreditation requirements, including 7 accreditation and audit processes requiring similar evidence, costing $150,000 to $200,000 per year (Better Health Network, pers. comm.); and 13 accreditation standards (Mission Australia, sub. 153, p. 16)&#10;&#10;…and multiple legislative requirements, including being accountable to over 350 pieces of legislation and regulation, and at least 16 program audits every three years (The Benevolent Society, qr 73, p. 1); and being subject to 9 auditing bodies and compliant with over 300 pieces of legislation and regulations (Mission Australia, sub. 153, p. 16).&#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2251710"/>
                    </a:xfrm>
                    <a:prstGeom prst="rect">
                      <a:avLst/>
                    </a:prstGeom>
                    <a:noFill/>
                    <a:ln>
                      <a:noFill/>
                    </a:ln>
                  </pic:spPr>
                </pic:pic>
              </a:graphicData>
            </a:graphic>
          </wp:inline>
        </w:drawing>
      </w:r>
    </w:p>
    <w:p w14:paraId="5E49B112" w14:textId="77777777" w:rsidR="00EE577B" w:rsidRPr="00231938" w:rsidRDefault="00EE577B">
      <w:pPr>
        <w:pStyle w:val="Heading3"/>
      </w:pPr>
      <w:r w:rsidRPr="00231938">
        <w:t>Governments must manage a more complex system</w:t>
      </w:r>
    </w:p>
    <w:p w14:paraId="4C1AF986" w14:textId="77777777" w:rsidR="00EE577B" w:rsidRPr="00231938" w:rsidRDefault="00EE577B">
      <w:pPr>
        <w:pStyle w:val="BodyText"/>
      </w:pPr>
      <w:r w:rsidRPr="00231938">
        <w:t>A disjointed regulatory system costs more to administer and makes it more difficult for governments to gain a bird’s</w:t>
      </w:r>
      <w:r>
        <w:noBreakHyphen/>
      </w:r>
      <w:r w:rsidRPr="00231938">
        <w:t xml:space="preserve">eye view of the care economy. This is because governments must operate and maintain multiple regulatory regimes and agencies, each with their own systems and processes, with information about regulated entities spread across different </w:t>
      </w:r>
      <w:r w:rsidRPr="00231938" w:rsidDel="0035013A">
        <w:t xml:space="preserve">government </w:t>
      </w:r>
      <w:r w:rsidRPr="00231938">
        <w:t>agencies. Higher costs to run the system mean that governments’ care budgets cannot stretch as far (all else equal), and those who need care must wait longer, miss out or receive a lower</w:t>
      </w:r>
      <w:r w:rsidRPr="00231938">
        <w:noBreakHyphen/>
        <w:t>quality service.</w:t>
      </w:r>
    </w:p>
    <w:p w14:paraId="41E3586E" w14:textId="77777777" w:rsidR="00EE577B" w:rsidRPr="00231938" w:rsidRDefault="00EE577B">
      <w:pPr>
        <w:pStyle w:val="Heading3"/>
      </w:pPr>
      <w:r w:rsidRPr="00231938">
        <w:t xml:space="preserve">Care users </w:t>
      </w:r>
      <w:r>
        <w:t xml:space="preserve">and carers </w:t>
      </w:r>
      <w:r w:rsidRPr="00231938">
        <w:t>ultimately pay the price</w:t>
      </w:r>
    </w:p>
    <w:p w14:paraId="49C44A21" w14:textId="77777777" w:rsidR="00EE577B" w:rsidRPr="00231938" w:rsidRDefault="00EE577B">
      <w:pPr>
        <w:pStyle w:val="BodyText"/>
      </w:pPr>
      <w:r w:rsidRPr="00231938">
        <w:t>The impacts on providers, workers and governments described above all affect care users</w:t>
      </w:r>
      <w:r>
        <w:t xml:space="preserve">, and, consequently, their </w:t>
      </w:r>
      <w:proofErr w:type="spellStart"/>
      <w:r>
        <w:t>carers</w:t>
      </w:r>
      <w:proofErr w:type="spellEnd"/>
      <w:r w:rsidRPr="00231938">
        <w:t>. For example, providers and workers may withdraw (or not expand) services across sectors, reducing care users’ access to services. Time spent waiting for worker screening clearances can similarly delay users’ access to care, especially where worker shortages</w:t>
      </w:r>
      <w:r>
        <w:t xml:space="preserve"> already exist</w:t>
      </w:r>
      <w:r w:rsidRPr="00231938">
        <w:t>. Providers spending excessive time on regulatory compliance can divert attention away from providing care, reducing the quantity and potentially the quality of care that users receive. Finally, a</w:t>
      </w:r>
      <w:r w:rsidRPr="00231938" w:rsidDel="0012309C">
        <w:t xml:space="preserve"> fragmented system </w:t>
      </w:r>
      <w:r w:rsidRPr="00231938">
        <w:t>that allows</w:t>
      </w:r>
      <w:r w:rsidRPr="00231938" w:rsidDel="0012309C">
        <w:t xml:space="preserve"> unsafe actors</w:t>
      </w:r>
      <w:r w:rsidRPr="00231938">
        <w:t xml:space="preserve"> to</w:t>
      </w:r>
      <w:r w:rsidRPr="00231938" w:rsidDel="0012309C">
        <w:t xml:space="preserve"> move unnoticed</w:t>
      </w:r>
      <w:r w:rsidRPr="00231938">
        <w:t xml:space="preserve"> </w:t>
      </w:r>
      <w:r w:rsidRPr="00231938" w:rsidDel="0012309C">
        <w:t xml:space="preserve">across sectors </w:t>
      </w:r>
      <w:r w:rsidRPr="00231938">
        <w:t>can result in</w:t>
      </w:r>
      <w:r w:rsidRPr="00231938" w:rsidDel="0012309C">
        <w:t xml:space="preserve"> care users </w:t>
      </w:r>
      <w:r w:rsidRPr="00231938">
        <w:t>unknowingly interacting with unsuitable workers and bearing the associated risks.</w:t>
      </w:r>
    </w:p>
    <w:p w14:paraId="0A5CA97C" w14:textId="7AA064CC" w:rsidR="00EE577B" w:rsidRPr="00231938" w:rsidRDefault="00EE577B">
      <w:pPr>
        <w:pStyle w:val="BodyText"/>
        <w:keepNext/>
      </w:pPr>
      <w:r w:rsidRPr="00231938">
        <w:t>As well as these flow</w:t>
      </w:r>
      <w:r>
        <w:noBreakHyphen/>
      </w:r>
      <w:r w:rsidRPr="00231938">
        <w:t xml:space="preserve">on effects, care users </w:t>
      </w:r>
      <w:r>
        <w:t>and their carers</w:t>
      </w:r>
      <w:r w:rsidRPr="00231938">
        <w:t xml:space="preserve"> may also </w:t>
      </w:r>
      <w:r w:rsidRPr="00231938" w:rsidDel="007070CD">
        <w:t xml:space="preserve">experience confusion and difficulty </w:t>
      </w:r>
      <w:r w:rsidRPr="00231938">
        <w:t xml:space="preserve">when navigating a complex and fragmented regulatory system, </w:t>
      </w:r>
      <w:r w:rsidR="002D4934">
        <w:t>affecting</w:t>
      </w:r>
      <w:r w:rsidR="002D4934" w:rsidRPr="00231938">
        <w:t xml:space="preserve"> </w:t>
      </w:r>
      <w:r w:rsidRPr="00231938">
        <w:t>the</w:t>
      </w:r>
      <w:r w:rsidR="00597E29">
        <w:t>ir ability</w:t>
      </w:r>
      <w:r w:rsidRPr="00231938">
        <w:t xml:space="preserve"> </w:t>
      </w:r>
      <w:r w:rsidR="00C507EC">
        <w:t>to participate in decision-making</w:t>
      </w:r>
      <w:r w:rsidRPr="00231938">
        <w:t xml:space="preserve"> about care</w:t>
      </w:r>
      <w:r w:rsidR="00C507EC">
        <w:t xml:space="preserve"> arrangements</w:t>
      </w:r>
      <w:r w:rsidRPr="00231938">
        <w:t xml:space="preserve">. </w:t>
      </w:r>
      <w:r w:rsidR="00AC7E18">
        <w:t>CHA said:</w:t>
      </w:r>
    </w:p>
    <w:p w14:paraId="1FDEB731" w14:textId="45530DB6" w:rsidR="00EE577B" w:rsidRPr="00231938" w:rsidRDefault="00EE577B">
      <w:pPr>
        <w:pStyle w:val="Quote"/>
      </w:pPr>
      <w:r w:rsidRPr="00231938">
        <w:t>Patients with complex or chronic conditions often find themselves navigating a fragmented system, where differences in regulatory frameworks hinder coordination and integration of services. (qr. 65, p. 1)</w:t>
      </w:r>
    </w:p>
    <w:p w14:paraId="065EE189" w14:textId="36C3B78B" w:rsidR="00BF7C3B" w:rsidRDefault="00BF7C3B" w:rsidP="00A54521">
      <w:pPr>
        <w:pStyle w:val="BodyText"/>
      </w:pPr>
      <w:r>
        <w:t>Margo Linn Ba</w:t>
      </w:r>
      <w:r w:rsidR="008F5866">
        <w:t>r</w:t>
      </w:r>
      <w:r>
        <w:t>r said:</w:t>
      </w:r>
    </w:p>
    <w:p w14:paraId="3E268EAB" w14:textId="10D3B3EC" w:rsidR="00EE577B" w:rsidRPr="00231938" w:rsidRDefault="00EE577B">
      <w:pPr>
        <w:pStyle w:val="Quote"/>
      </w:pPr>
      <w:r w:rsidRPr="00231938">
        <w:t xml:space="preserve">For people needing support from multiple systems </w:t>
      </w:r>
      <w:r w:rsidRPr="00231938">
        <w:rPr>
          <w:rFonts w:cstheme="minorHAnsi"/>
        </w:rPr>
        <w:t>–</w:t>
      </w:r>
      <w:r w:rsidRPr="00231938">
        <w:t xml:space="preserve"> such as aged care, disability, and health </w:t>
      </w:r>
      <w:r w:rsidRPr="00231938">
        <w:rPr>
          <w:rFonts w:cstheme="minorHAnsi"/>
        </w:rPr>
        <w:t>–</w:t>
      </w:r>
      <w:r w:rsidRPr="00231938">
        <w:t>these regulatory inconsistencies can lead to confusion, delays, and fragmented care. (qr. 35, p. 2)</w:t>
      </w:r>
    </w:p>
    <w:p w14:paraId="54AE5684" w14:textId="029BDDE1" w:rsidR="00BF7C3B" w:rsidRDefault="00BF7C3B" w:rsidP="00A54521">
      <w:pPr>
        <w:pStyle w:val="BodyText"/>
        <w:keepNext/>
      </w:pPr>
      <w:r>
        <w:lastRenderedPageBreak/>
        <w:t>And ACU said</w:t>
      </w:r>
      <w:r w:rsidR="000B333E">
        <w:t>:</w:t>
      </w:r>
    </w:p>
    <w:p w14:paraId="683C14FA" w14:textId="6503CB07" w:rsidR="00EE577B" w:rsidRPr="00231938" w:rsidRDefault="00EE577B">
      <w:pPr>
        <w:pStyle w:val="Quote"/>
      </w:pPr>
      <w:r w:rsidRPr="00231938">
        <w:t>For veterans,</w:t>
      </w:r>
      <w:r>
        <w:t xml:space="preserve"> these</w:t>
      </w:r>
      <w:r w:rsidRPr="00231938">
        <w:t xml:space="preserve"> regulatory inconsistencies can result in gaps in care, duplication of processes, and confusion about service entitlements </w:t>
      </w:r>
      <w:r w:rsidRPr="00231938">
        <w:rPr>
          <w:rFonts w:cstheme="minorHAnsi"/>
        </w:rPr>
        <w:t>–</w:t>
      </w:r>
      <w:r w:rsidRPr="00231938">
        <w:t xml:space="preserve"> making it more complex and costly to access timely, coordinated care. (qr. 40, p. 2)</w:t>
      </w:r>
    </w:p>
    <w:p w14:paraId="63FDB95F" w14:textId="77777777" w:rsidR="00EE577B" w:rsidRPr="00231938" w:rsidRDefault="00EE577B">
      <w:pPr>
        <w:pStyle w:val="BodyText"/>
      </w:pPr>
      <w:r w:rsidRPr="00231938">
        <w:t>Care users are diverse, and fragmented regulation can adversely affect some cohorts of care users more severely or differently to others. For example, regulatory fragmentation can particularly pose barriers to Aboriginal and Torres Strait Islander people accessing culturally safe care (box</w:t>
      </w:r>
      <w:r>
        <w:t> </w:t>
      </w:r>
      <w:r w:rsidRPr="00231938">
        <w:t>1.1).</w:t>
      </w:r>
    </w:p>
    <w:p w14:paraId="17BD69B3" w14:textId="1928C25F" w:rsidR="00EE577B" w:rsidRPr="00231938" w:rsidRDefault="00EE577B">
      <w:pPr>
        <w:pStyle w:val="NoSpacing"/>
      </w:pPr>
    </w:p>
    <w:tbl>
      <w:tblPr>
        <w:tblStyle w:val="Boxtable"/>
        <w:tblW w:w="5000" w:type="pct"/>
        <w:tblLook w:val="04A0" w:firstRow="1" w:lastRow="0" w:firstColumn="1" w:lastColumn="0" w:noHBand="0" w:noVBand="1"/>
      </w:tblPr>
      <w:tblGrid>
        <w:gridCol w:w="9638"/>
      </w:tblGrid>
      <w:tr w:rsidR="00EE577B" w14:paraId="29A1AE42" w14:textId="77777777">
        <w:trPr>
          <w:tblHeader/>
        </w:trPr>
        <w:tc>
          <w:tcPr>
            <w:tcW w:w="9638" w:type="dxa"/>
            <w:shd w:val="clear" w:color="auto" w:fill="EBEBEB"/>
            <w:tcMar>
              <w:top w:w="170" w:type="dxa"/>
              <w:left w:w="170" w:type="dxa"/>
              <w:bottom w:w="113" w:type="dxa"/>
              <w:right w:w="170" w:type="dxa"/>
            </w:tcMar>
            <w:hideMark/>
          </w:tcPr>
          <w:p w14:paraId="588CB8FD" w14:textId="3C83A54D" w:rsidR="00EE577B" w:rsidRPr="00231938" w:rsidRDefault="00EE577B">
            <w:pPr>
              <w:pStyle w:val="BoxHeading1"/>
            </w:pPr>
            <w:r w:rsidRPr="00231938">
              <w:t>Box</w:t>
            </w:r>
            <w:r>
              <w:t> </w:t>
            </w:r>
            <w:r w:rsidR="00B30234">
              <w:fldChar w:fldCharType="begin"/>
            </w:r>
            <w:r w:rsidR="00B30234">
              <w:instrText xml:space="preserve"> STYLEREF 1 \s </w:instrText>
            </w:r>
            <w:r w:rsidR="00B30234">
              <w:fldChar w:fldCharType="separate"/>
            </w:r>
            <w:r w:rsidR="00FB1849">
              <w:rPr>
                <w:noProof/>
              </w:rPr>
              <w:t>1</w:t>
            </w:r>
            <w:r w:rsidR="00B30234">
              <w:rPr>
                <w:noProof/>
              </w:rPr>
              <w:fldChar w:fldCharType="end"/>
            </w:r>
            <w:r w:rsidRPr="00231938">
              <w:t>.</w:t>
            </w:r>
            <w:r w:rsidR="00B30234">
              <w:fldChar w:fldCharType="begin"/>
            </w:r>
            <w:r w:rsidR="00B30234">
              <w:instrText xml:space="preserve"> SEQ Box \* ARABIC \s 1 </w:instrText>
            </w:r>
            <w:r w:rsidR="00B30234">
              <w:fldChar w:fldCharType="separate"/>
            </w:r>
            <w:r w:rsidR="00FB1849">
              <w:rPr>
                <w:noProof/>
              </w:rPr>
              <w:t>1</w:t>
            </w:r>
            <w:r w:rsidR="00B30234">
              <w:rPr>
                <w:noProof/>
              </w:rPr>
              <w:fldChar w:fldCharType="end"/>
            </w:r>
            <w:r w:rsidRPr="00231938">
              <w:t xml:space="preserve"> – </w:t>
            </w:r>
            <w:r w:rsidRPr="00231938" w:rsidDel="00652BB2">
              <w:t>Regulatory fragmentation affects Aboriginal and Torres Strait Islander people’s access to culturally safe care</w:t>
            </w:r>
          </w:p>
        </w:tc>
      </w:tr>
      <w:tr w:rsidR="00EE577B" w14:paraId="0BEEDFF2" w14:textId="77777777">
        <w:tc>
          <w:tcPr>
            <w:tcW w:w="9638" w:type="dxa"/>
            <w:shd w:val="clear" w:color="auto" w:fill="EBEBEB"/>
            <w:tcMar>
              <w:top w:w="28" w:type="dxa"/>
              <w:left w:w="170" w:type="dxa"/>
              <w:bottom w:w="170" w:type="dxa"/>
              <w:right w:w="170" w:type="dxa"/>
            </w:tcMar>
            <w:hideMark/>
          </w:tcPr>
          <w:p w14:paraId="3AA6E67B" w14:textId="77777777" w:rsidR="00EE577B" w:rsidRPr="00231938" w:rsidRDefault="00EE577B">
            <w:pPr>
              <w:pStyle w:val="BodyText"/>
            </w:pPr>
            <w:r w:rsidRPr="00231938" w:rsidDel="00E449B5">
              <w:t xml:space="preserve">Within Aboriginal and Torres Strait Islander communities, caring for family members is deeply rooted in cultural practices and kinship systems. However, colonisation disrupted these traditional structures, </w:t>
            </w:r>
            <w:r w:rsidRPr="00231938">
              <w:t>creating</w:t>
            </w:r>
            <w:r w:rsidRPr="00231938" w:rsidDel="00E449B5">
              <w:t xml:space="preserve"> challenges in </w:t>
            </w:r>
            <w:r w:rsidRPr="00231938">
              <w:t>Aboriginal and Torres Strait Islander people being able to access</w:t>
            </w:r>
            <w:r w:rsidRPr="00231938" w:rsidDel="00E449B5">
              <w:t xml:space="preserve"> care</w:t>
            </w:r>
            <w:r w:rsidRPr="00231938">
              <w:t xml:space="preserve"> in a manner that is culturally safe. </w:t>
            </w:r>
          </w:p>
          <w:p w14:paraId="2FE4C19E" w14:textId="77777777" w:rsidR="00EE577B" w:rsidRPr="00231938" w:rsidDel="00652BB2" w:rsidRDefault="00EE577B">
            <w:pPr>
              <w:pStyle w:val="BodyText"/>
            </w:pPr>
            <w:r w:rsidRPr="00231938" w:rsidDel="00652BB2">
              <w:t>For Aboriginal and Torres Strait Islander people, cultural safe</w:t>
            </w:r>
            <w:r w:rsidRPr="00231938">
              <w:t xml:space="preserve">ty is an important component of </w:t>
            </w:r>
            <w:r w:rsidRPr="00231938" w:rsidDel="00652BB2">
              <w:t xml:space="preserve">safe, </w:t>
            </w:r>
            <w:r w:rsidRPr="00231938">
              <w:t>high</w:t>
            </w:r>
            <w:r w:rsidRPr="00231938">
              <w:noBreakHyphen/>
            </w:r>
            <w:r w:rsidRPr="00231938" w:rsidDel="00652BB2">
              <w:t xml:space="preserve">quality care. </w:t>
            </w:r>
            <w:r w:rsidRPr="00231938">
              <w:t xml:space="preserve">As </w:t>
            </w:r>
            <w:proofErr w:type="spellStart"/>
            <w:r w:rsidRPr="00231938">
              <w:t>Gayaa</w:t>
            </w:r>
            <w:proofErr w:type="spellEnd"/>
            <w:r w:rsidRPr="00231938">
              <w:t xml:space="preserve"> </w:t>
            </w:r>
            <w:proofErr w:type="spellStart"/>
            <w:r w:rsidRPr="00231938">
              <w:t>Dhuwi</w:t>
            </w:r>
            <w:proofErr w:type="spellEnd"/>
            <w:r w:rsidRPr="00231938">
              <w:t xml:space="preserve"> said:</w:t>
            </w:r>
          </w:p>
          <w:p w14:paraId="75E4A86E" w14:textId="77777777" w:rsidR="00EE577B" w:rsidRPr="00231938" w:rsidDel="00652BB2" w:rsidRDefault="00EE577B">
            <w:pPr>
              <w:pStyle w:val="Quote"/>
            </w:pPr>
            <w:r w:rsidRPr="00231938" w:rsidDel="00652BB2">
              <w:t xml:space="preserve">For Aboriginal and Torres Strait Islander Peoples, </w:t>
            </w:r>
            <w:r>
              <w:t>‘</w:t>
            </w:r>
            <w:r w:rsidRPr="00231938" w:rsidDel="00652BB2">
              <w:t>quality</w:t>
            </w:r>
            <w:r>
              <w:t>’</w:t>
            </w:r>
            <w:r w:rsidRPr="00231938" w:rsidDel="00652BB2">
              <w:t xml:space="preserve"> and </w:t>
            </w:r>
            <w:r>
              <w:t>‘</w:t>
            </w:r>
            <w:r w:rsidRPr="00231938" w:rsidDel="00652BB2">
              <w:t>safety</w:t>
            </w:r>
            <w:r>
              <w:t>’</w:t>
            </w:r>
            <w:r w:rsidRPr="00231938" w:rsidDel="00652BB2">
              <w:t xml:space="preserve"> are defined by the presence of cultural safety. (sub. </w:t>
            </w:r>
            <w:r w:rsidRPr="00231938">
              <w:t>167</w:t>
            </w:r>
            <w:r w:rsidRPr="00231938" w:rsidDel="00652BB2">
              <w:t xml:space="preserve">, </w:t>
            </w:r>
            <w:r w:rsidRPr="00231938">
              <w:t>p</w:t>
            </w:r>
            <w:r w:rsidRPr="00231938" w:rsidDel="00652BB2">
              <w:t>. 3)</w:t>
            </w:r>
          </w:p>
          <w:p w14:paraId="601E8297" w14:textId="429E4788" w:rsidR="00EE577B" w:rsidRPr="00231938" w:rsidRDefault="00EE577B">
            <w:pPr>
              <w:pStyle w:val="BodyText"/>
              <w:keepNext/>
            </w:pPr>
            <w:r w:rsidRPr="00231938" w:rsidDel="00652BB2">
              <w:t xml:space="preserve">Care </w:t>
            </w:r>
            <w:r w:rsidRPr="00231938" w:rsidDel="007C4B36">
              <w:t xml:space="preserve">for Aboriginal and Torres Strait Islander people </w:t>
            </w:r>
            <w:r w:rsidRPr="00231938" w:rsidDel="00652BB2">
              <w:t>is most likely to be culturally safe</w:t>
            </w:r>
            <w:r w:rsidRPr="00231938">
              <w:t xml:space="preserve"> </w:t>
            </w:r>
            <w:r w:rsidRPr="00231938" w:rsidDel="00652BB2">
              <w:t>when delivered by an Aboriginal or Torres Strait Islander worker or Aboriginal Community Controlled Organisation (ACCO)</w:t>
            </w:r>
            <w:r>
              <w:t>.</w:t>
            </w:r>
            <w:r w:rsidRPr="00231938">
              <w:t xml:space="preserve"> Aboriginal and Torres Strait Islander people</w:t>
            </w:r>
            <w:r>
              <w:t xml:space="preserve"> also</w:t>
            </w:r>
            <w:r w:rsidRPr="00231938">
              <w:t xml:space="preserve"> often prefer to access care from ACCOs </w:t>
            </w:r>
            <w:r w:rsidRPr="00D30A74">
              <w:rPr>
                <w:rFonts w:ascii="Arial" w:hAnsi="Arial" w:cs="Arial"/>
              </w:rPr>
              <w:t>(Kelly 2024, pp. 7, 53)</w:t>
            </w:r>
            <w:r w:rsidRPr="00231938" w:rsidDel="00652BB2">
              <w:rPr>
                <w:color w:val="000000" w:themeColor="text1"/>
              </w:rPr>
              <w:t xml:space="preserve">. </w:t>
            </w:r>
            <w:r w:rsidRPr="00231938">
              <w:rPr>
                <w:color w:val="000000" w:themeColor="text1"/>
              </w:rPr>
              <w:t xml:space="preserve">However, </w:t>
            </w:r>
            <w:r w:rsidRPr="00231938">
              <w:t>misaligned systems of regulation can make it difficult for Aboriginal and Torres Strait Islander people to access care from ACCOs.</w:t>
            </w:r>
            <w:r w:rsidRPr="00231938" w:rsidDel="00652BB2">
              <w:t xml:space="preserve"> </w:t>
            </w:r>
            <w:r w:rsidRPr="00231938">
              <w:t>For example, NACCHO said that:</w:t>
            </w:r>
          </w:p>
          <w:p w14:paraId="0D84B3CC" w14:textId="77777777" w:rsidR="00EE577B" w:rsidRPr="00231938" w:rsidRDefault="00EE577B">
            <w:pPr>
              <w:pStyle w:val="Quote"/>
            </w:pPr>
            <w:r w:rsidRPr="00231938">
              <w:t>due to the poor alignment of regulatory systems between disability, aged care and primary healthcare, many [Aboriginal Community Controlled Health Organisations] are overburdened with maintaining regulatory requirements … This is a large barrier to ACCHOs delivering care services in addition to primary healthcare. (sub.</w:t>
            </w:r>
            <w:r>
              <w:t> </w:t>
            </w:r>
            <w:r w:rsidRPr="00231938">
              <w:t>215, pp.</w:t>
            </w:r>
            <w:r>
              <w:t> </w:t>
            </w:r>
            <w:r w:rsidRPr="00231938">
              <w:t>15</w:t>
            </w:r>
            <w:r>
              <w:t>–</w:t>
            </w:r>
            <w:r w:rsidRPr="00231938">
              <w:t>16)</w:t>
            </w:r>
          </w:p>
          <w:p w14:paraId="36F263E4" w14:textId="0C2C5432" w:rsidR="00EE577B" w:rsidRPr="00231938" w:rsidRDefault="00EE577B">
            <w:pPr>
              <w:pStyle w:val="BodyText"/>
            </w:pPr>
            <w:r w:rsidRPr="00231938">
              <w:rPr>
                <w:color w:val="000000" w:themeColor="text1"/>
              </w:rPr>
              <w:t xml:space="preserve">The Interim First Nations Aged Care Commissioner </w:t>
            </w:r>
            <w:r>
              <w:rPr>
                <w:color w:val="000000" w:themeColor="text1"/>
              </w:rPr>
              <w:t xml:space="preserve">also </w:t>
            </w:r>
            <w:r w:rsidRPr="00231938">
              <w:rPr>
                <w:color w:val="000000" w:themeColor="text1"/>
              </w:rPr>
              <w:t>noted that e</w:t>
            </w:r>
            <w:r w:rsidRPr="00231938" w:rsidDel="00652BB2">
              <w:t>xisting quality and safety regulation</w:t>
            </w:r>
            <w:r w:rsidRPr="00231938">
              <w:t xml:space="preserve">, </w:t>
            </w:r>
            <w:r w:rsidRPr="00231938" w:rsidDel="00652BB2">
              <w:t>such as the financial and time cost</w:t>
            </w:r>
            <w:r w:rsidRPr="00231938">
              <w:t>s</w:t>
            </w:r>
            <w:r w:rsidRPr="00231938" w:rsidDel="00652BB2">
              <w:t xml:space="preserve"> of accreditation</w:t>
            </w:r>
            <w:r w:rsidRPr="00231938">
              <w:t>,</w:t>
            </w:r>
            <w:r w:rsidRPr="00231938" w:rsidDel="00652BB2">
              <w:t xml:space="preserve"> creates barriers to ACCOs expanding into </w:t>
            </w:r>
            <w:r w:rsidRPr="00231938">
              <w:t xml:space="preserve">new care sectors </w:t>
            </w:r>
            <w:r w:rsidRPr="00CC004A">
              <w:rPr>
                <w:rFonts w:ascii="Arial" w:hAnsi="Arial" w:cs="Arial"/>
              </w:rPr>
              <w:t>(Kelly 2024, p. 55)</w:t>
            </w:r>
            <w:r w:rsidRPr="00231938" w:rsidDel="00652BB2">
              <w:t xml:space="preserve">. </w:t>
            </w:r>
            <w:r w:rsidRPr="00231938">
              <w:t>Aligned regulation that makes it easier for ACCOs to operate across sectors would therefore be one step towards improving Aboriginal and Torres Strait Islander people’s access to culturally safe, holistic care.</w:t>
            </w:r>
          </w:p>
        </w:tc>
      </w:tr>
      <w:tr w:rsidR="00EE577B" w14:paraId="5E155997" w14:textId="77777777">
        <w:tc>
          <w:tcPr>
            <w:tcW w:w="9638" w:type="dxa"/>
            <w:shd w:val="clear" w:color="auto" w:fill="FFFFFF" w:themeFill="background1"/>
            <w:tcMar>
              <w:top w:w="0" w:type="dxa"/>
              <w:left w:w="170" w:type="dxa"/>
              <w:bottom w:w="0" w:type="dxa"/>
              <w:right w:w="170" w:type="dxa"/>
            </w:tcMar>
          </w:tcPr>
          <w:p w14:paraId="661210A4" w14:textId="13CF4851" w:rsidR="00EE577B" w:rsidRPr="00DC7445" w:rsidRDefault="00EE577B">
            <w:pPr>
              <w:pStyle w:val="NoSpacing"/>
            </w:pPr>
          </w:p>
        </w:tc>
      </w:tr>
    </w:tbl>
    <w:p w14:paraId="741AD2EA" w14:textId="77777777" w:rsidR="00EE577B" w:rsidRPr="00231938" w:rsidRDefault="00EE577B">
      <w:pPr>
        <w:pStyle w:val="Heading3"/>
      </w:pPr>
      <w:r w:rsidRPr="00231938">
        <w:t>Regulation needs to be better aligned</w:t>
      </w:r>
    </w:p>
    <w:p w14:paraId="441A4BC6" w14:textId="77777777" w:rsidR="00EE577B" w:rsidRPr="00231938" w:rsidRDefault="00EE577B">
      <w:pPr>
        <w:pStyle w:val="BodyText"/>
      </w:pPr>
      <w:r w:rsidRPr="00231938">
        <w:t>There is significant scope for greater alignment in quality and safety regulation across the care economy to improve outcomes and reduce unnecessary administrative burden. While this is true across the care economy in general, it is particularly true for the aged care, National Disability Insurance Scheme (NDIS) and veterans’ care sectors, and, to some extent, the early childhood education and care (ECEC) sector. For this reason, the PC’s recommendations focus on these sectors.</w:t>
      </w:r>
    </w:p>
    <w:p w14:paraId="3FD9D301" w14:textId="77777777" w:rsidR="00EE577B" w:rsidRPr="00783B88" w:rsidRDefault="00EE577B">
      <w:pPr>
        <w:pStyle w:val="BodyText"/>
      </w:pPr>
      <w:r w:rsidRPr="00231938">
        <w:lastRenderedPageBreak/>
        <w:t>We recognise that these sectors are not identical, and we are not advocating for full harmonisation, but rather greater consistency. As</w:t>
      </w:r>
      <w:r w:rsidRPr="00231938" w:rsidDel="0082568E">
        <w:t xml:space="preserve"> </w:t>
      </w:r>
      <w:r w:rsidRPr="00231938">
        <w:t>many inquiry participants noted, differences can exist across sectors in the characteristics, needs and preferences of care users, the skills required of workers and the contexts in which care is delivered.</w:t>
      </w:r>
      <w:r w:rsidRPr="002B0A03">
        <w:rPr>
          <w:rStyle w:val="FootnoteReference"/>
        </w:rPr>
        <w:footnoteReference w:id="3"/>
      </w:r>
      <w:r w:rsidRPr="00783B88">
        <w:t xml:space="preserve"> Accordingly, tailored regulatory approaches </w:t>
      </w:r>
      <w:r>
        <w:t>can be</w:t>
      </w:r>
      <w:r w:rsidRPr="00783B88">
        <w:t xml:space="preserve"> necessary, and regulation must allow for these differences to ensure that care users receive the care they need. </w:t>
      </w:r>
    </w:p>
    <w:p w14:paraId="2280B2AB" w14:textId="77777777" w:rsidR="00EE577B" w:rsidRDefault="00EE577B">
      <w:pPr>
        <w:pStyle w:val="BodyText"/>
        <w:keepNext/>
      </w:pPr>
      <w:r w:rsidRPr="00783B88">
        <w:t>Nevertheless, there remain substantial similarities between these sectors (box</w:t>
      </w:r>
      <w:r>
        <w:t> </w:t>
      </w:r>
      <w:r w:rsidRPr="00783B88">
        <w:t xml:space="preserve">1.2), creating scope for more aligned regulation. The aim should be to consolidate regulation where there are commonalities, while allowing for different approaches where needed. </w:t>
      </w:r>
      <w:r>
        <w:t>As the NDIS Commission said:</w:t>
      </w:r>
    </w:p>
    <w:p w14:paraId="3E5313C7" w14:textId="77777777" w:rsidR="00EE577B" w:rsidRPr="00783B88" w:rsidRDefault="00EE577B">
      <w:pPr>
        <w:pStyle w:val="Quote"/>
      </w:pPr>
      <w:r w:rsidRPr="00095BAF">
        <w:t>Regulatory alignment can be achieved in a way that does not limit the ability for consumers to</w:t>
      </w:r>
      <w:r>
        <w:t xml:space="preserve"> </w:t>
      </w:r>
      <w:r w:rsidRPr="00095BAF">
        <w:t>access services that meet their individual needs.</w:t>
      </w:r>
      <w:r>
        <w:t xml:space="preserve"> (sub. 258, p. 7)</w:t>
      </w:r>
    </w:p>
    <w:p w14:paraId="142A81FA" w14:textId="77777777" w:rsidR="00EE577B" w:rsidRDefault="00EE577B">
      <w:pPr>
        <w:pStyle w:val="BodyText"/>
        <w:keepNext/>
      </w:pPr>
      <w:r w:rsidRPr="00783B88" w:rsidDel="001616B6">
        <w:t xml:space="preserve">The goal is to </w:t>
      </w:r>
      <w:r w:rsidRPr="00783B88" w:rsidDel="001616B6">
        <w:rPr>
          <w:i/>
          <w:iCs/>
        </w:rPr>
        <w:t>improve</w:t>
      </w:r>
      <w:r w:rsidRPr="00783B88" w:rsidDel="001616B6">
        <w:t xml:space="preserve"> outcomes for care users while reducing costs. However, at the very least, care quality must not be diminished in the pursuit of regulatory alignment.</w:t>
      </w:r>
    </w:p>
    <w:p w14:paraId="3DC90EA4" w14:textId="77777777" w:rsidR="00EE577B" w:rsidRPr="00783B88" w:rsidRDefault="00EE577B">
      <w:pPr>
        <w:pStyle w:val="NoSpacing"/>
      </w:pPr>
    </w:p>
    <w:tbl>
      <w:tblPr>
        <w:tblStyle w:val="Boxtable"/>
        <w:tblW w:w="5000" w:type="pct"/>
        <w:tblLook w:val="04A0" w:firstRow="1" w:lastRow="0" w:firstColumn="1" w:lastColumn="0" w:noHBand="0" w:noVBand="1"/>
      </w:tblPr>
      <w:tblGrid>
        <w:gridCol w:w="9638"/>
      </w:tblGrid>
      <w:tr w:rsidR="00EE577B" w14:paraId="67B6ECD4" w14:textId="77777777">
        <w:trPr>
          <w:tblHeader/>
        </w:trPr>
        <w:tc>
          <w:tcPr>
            <w:tcW w:w="9638" w:type="dxa"/>
            <w:shd w:val="clear" w:color="auto" w:fill="EBEBEB"/>
            <w:tcMar>
              <w:top w:w="170" w:type="dxa"/>
              <w:left w:w="170" w:type="dxa"/>
              <w:bottom w:w="113" w:type="dxa"/>
              <w:right w:w="170" w:type="dxa"/>
            </w:tcMar>
            <w:hideMark/>
          </w:tcPr>
          <w:p w14:paraId="6543739B" w14:textId="5F97305D" w:rsidR="00EE577B" w:rsidRPr="00783B88" w:rsidRDefault="00EE577B">
            <w:pPr>
              <w:pStyle w:val="BoxHeading1"/>
            </w:pPr>
            <w:r w:rsidRPr="00783B88">
              <w:t>Box</w:t>
            </w:r>
            <w:r>
              <w:t> </w:t>
            </w:r>
            <w:r w:rsidR="00B30234">
              <w:fldChar w:fldCharType="begin"/>
            </w:r>
            <w:r w:rsidR="00B30234">
              <w:instrText xml:space="preserve"> STYLEREF 1 \s </w:instrText>
            </w:r>
            <w:r w:rsidR="00B30234">
              <w:fldChar w:fldCharType="separate"/>
            </w:r>
            <w:r w:rsidR="00FB1849">
              <w:rPr>
                <w:noProof/>
              </w:rPr>
              <w:t>1</w:t>
            </w:r>
            <w:r w:rsidR="00B30234">
              <w:rPr>
                <w:noProof/>
              </w:rPr>
              <w:fldChar w:fldCharType="end"/>
            </w:r>
            <w:r w:rsidRPr="00783B88">
              <w:t>.2 – Similarities across sectors form the basis for regulatory alignment</w:t>
            </w:r>
          </w:p>
        </w:tc>
      </w:tr>
      <w:tr w:rsidR="00EE577B" w14:paraId="70F4D6FE" w14:textId="77777777">
        <w:tc>
          <w:tcPr>
            <w:tcW w:w="9638" w:type="dxa"/>
            <w:shd w:val="clear" w:color="auto" w:fill="EBEBEB"/>
            <w:tcMar>
              <w:top w:w="28" w:type="dxa"/>
              <w:left w:w="170" w:type="dxa"/>
              <w:bottom w:w="170" w:type="dxa"/>
              <w:right w:w="170" w:type="dxa"/>
            </w:tcMar>
            <w:hideMark/>
          </w:tcPr>
          <w:p w14:paraId="6FA873F4" w14:textId="77777777" w:rsidR="00EE577B" w:rsidRPr="00783B88" w:rsidRDefault="00EE577B">
            <w:pPr>
              <w:pStyle w:val="BodyText"/>
            </w:pPr>
            <w:r w:rsidRPr="00783B88">
              <w:t>Similarities across the aged care, NDIS, veterans’ care, and in some cases ECEC sectors include that:</w:t>
            </w:r>
          </w:p>
          <w:p w14:paraId="2C7549E8" w14:textId="37BD1E6D" w:rsidR="00EE577B" w:rsidRPr="00783B88" w:rsidRDefault="00EE577B" w:rsidP="00EE577B">
            <w:pPr>
              <w:pStyle w:val="ListBullet"/>
            </w:pPr>
            <w:r w:rsidRPr="00783B88">
              <w:rPr>
                <w:b/>
              </w:rPr>
              <w:t>the regulation of these sectors is rooted in the human rights of care users.</w:t>
            </w:r>
            <w:r w:rsidRPr="00783B88">
              <w:t xml:space="preserve"> The need for care sector regulation to reflect human rights was a recurrent theme expressed by participants (for example, AHRC, sub. 235</w:t>
            </w:r>
            <w:r>
              <w:t>, p. 10; NDIS Commission, sub. 257, p. 10</w:t>
            </w:r>
            <w:r w:rsidRPr="00783B88">
              <w:t>). While the aged care system does not have an equivalent basis in international law as the National Disability Insurance Scheme (Relationships Australia, sub. 65, p.</w:t>
            </w:r>
            <w:r>
              <w:t> </w:t>
            </w:r>
            <w:r w:rsidRPr="00783B88">
              <w:t xml:space="preserve">9), the need to uphold human rights in the delivery and regulation of services is nevertheless a unifying theme across sectors. For example, the new </w:t>
            </w:r>
            <w:r w:rsidRPr="00783B88">
              <w:rPr>
                <w:i/>
                <w:iCs/>
              </w:rPr>
              <w:t>Aged Care Act 2024</w:t>
            </w:r>
            <w:r w:rsidRPr="00783B88">
              <w:t xml:space="preserve"> (</w:t>
            </w:r>
            <w:proofErr w:type="spellStart"/>
            <w:r w:rsidRPr="00783B88">
              <w:t>Cth</w:t>
            </w:r>
            <w:proofErr w:type="spellEnd"/>
            <w:r w:rsidRPr="00783B88">
              <w:t>), which came into force on 1 November 2025, embeds a rights</w:t>
            </w:r>
            <w:r w:rsidRPr="00783B88">
              <w:noBreakHyphen/>
              <w:t xml:space="preserve">based approach and includes a Statement of Rights that emphasises independence, choice and control </w:t>
            </w:r>
            <w:r w:rsidRPr="002215A5">
              <w:rPr>
                <w:rFonts w:ascii="Arial" w:hAnsi="Arial" w:cs="Arial"/>
              </w:rPr>
              <w:t>(</w:t>
            </w:r>
            <w:proofErr w:type="spellStart"/>
            <w:r w:rsidRPr="002215A5">
              <w:rPr>
                <w:rFonts w:ascii="Arial" w:hAnsi="Arial" w:cs="Arial"/>
              </w:rPr>
              <w:t>DoHAC</w:t>
            </w:r>
            <w:proofErr w:type="spellEnd"/>
            <w:r w:rsidRPr="002215A5">
              <w:rPr>
                <w:rFonts w:ascii="Arial" w:hAnsi="Arial" w:cs="Arial"/>
              </w:rPr>
              <w:t> 2025)</w:t>
            </w:r>
            <w:r w:rsidRPr="00783B88">
              <w:t xml:space="preserve">. The human rights implications of the new Aged Care Act include the right to an adequate standard of living and the right to the protection of a person’s physical and mental integrity </w:t>
            </w:r>
            <w:r w:rsidRPr="002215A5">
              <w:rPr>
                <w:rFonts w:ascii="Arial" w:hAnsi="Arial" w:cs="Arial"/>
              </w:rPr>
              <w:t>(Parliament of the Commonwealth of Australia </w:t>
            </w:r>
            <w:proofErr w:type="spellStart"/>
            <w:r w:rsidRPr="002215A5">
              <w:rPr>
                <w:rFonts w:ascii="Arial" w:hAnsi="Arial" w:cs="Arial"/>
              </w:rPr>
              <w:t>nd</w:t>
            </w:r>
            <w:proofErr w:type="spellEnd"/>
            <w:r w:rsidRPr="002215A5">
              <w:rPr>
                <w:rFonts w:ascii="Arial" w:hAnsi="Arial" w:cs="Arial"/>
              </w:rPr>
              <w:t>, p. 9)</w:t>
            </w:r>
            <w:r w:rsidRPr="00783B88">
              <w:t xml:space="preserve">. </w:t>
            </w:r>
          </w:p>
          <w:p w14:paraId="2AA12346" w14:textId="77777777" w:rsidR="00EE577B" w:rsidRPr="00783B88" w:rsidRDefault="00EE577B" w:rsidP="00EE577B">
            <w:pPr>
              <w:pStyle w:val="ListBullet"/>
            </w:pPr>
            <w:r w:rsidRPr="00783B88">
              <w:rPr>
                <w:b/>
              </w:rPr>
              <w:t xml:space="preserve">many providers operate across multiple sectors </w:t>
            </w:r>
            <w:r w:rsidRPr="00783B88">
              <w:t>(figure</w:t>
            </w:r>
            <w:r>
              <w:t> </w:t>
            </w:r>
            <w:r w:rsidRPr="00783B88">
              <w:t>1.2)</w:t>
            </w:r>
            <w:r w:rsidRPr="00983E40">
              <w:rPr>
                <w:bCs/>
              </w:rPr>
              <w:t>.</w:t>
            </w:r>
            <w:r w:rsidRPr="00783B88">
              <w:t xml:space="preserve"> For example, more than 42% of the approximately 2,132 aged care providers are also registered NDIS providers. Since these are generally the larger providers of aged care services, they constitute an even greater proportion of services delivered. Eighty</w:t>
            </w:r>
            <w:r>
              <w:noBreakHyphen/>
            </w:r>
            <w:r w:rsidRPr="00783B88">
              <w:t>two per cent of veterans’ care providers also offer services in aged care and/or the NDIS.</w:t>
            </w:r>
          </w:p>
          <w:p w14:paraId="02D2EDAE" w14:textId="77777777" w:rsidR="00EE577B" w:rsidRPr="00783B88" w:rsidRDefault="00EE577B" w:rsidP="00EE577B">
            <w:pPr>
              <w:pStyle w:val="ListBullet"/>
            </w:pPr>
            <w:r w:rsidRPr="00783B88">
              <w:rPr>
                <w:b/>
              </w:rPr>
              <w:t>the types of services provided are similar.</w:t>
            </w:r>
            <w:r w:rsidRPr="00783B88">
              <w:t xml:space="preserve"> The types of services provided across the aged care, NDIS and veterans’ care sectors include assistance with daily living, personal care, social supports, allied health and therapy services and/or clinical care. While different care approaches can be required to tailor services to a person’s needs, services across sectors are often similar at their core and require similar skills to deliver. </w:t>
            </w:r>
          </w:p>
        </w:tc>
      </w:tr>
    </w:tbl>
    <w:p w14:paraId="7BE8C39C" w14:textId="77777777" w:rsidR="00EE577B" w:rsidRPr="00783B88" w:rsidRDefault="00EE577B">
      <w:pPr>
        <w:pStyle w:val="FigureTableHeading"/>
      </w:pPr>
      <w:r w:rsidRPr="00783B88">
        <w:lastRenderedPageBreak/>
        <w:t>Figure 1.2</w:t>
      </w:r>
      <w:r w:rsidRPr="00783B88">
        <w:rPr>
          <w:noProof/>
        </w:rPr>
        <w:t xml:space="preserve"> </w:t>
      </w:r>
      <w:r w:rsidRPr="00783B88">
        <w:t>– Many aged care, NDIS and veterans’ care providers operate across sectors</w:t>
      </w:r>
    </w:p>
    <w:p w14:paraId="2BA539D3" w14:textId="50E17AB8" w:rsidR="00EE577B" w:rsidRPr="00783B88" w:rsidRDefault="00EE577B">
      <w:pPr>
        <w:pStyle w:val="FigureTableSubheading"/>
        <w:rPr>
          <w:noProof/>
        </w:rPr>
      </w:pPr>
      <w:r w:rsidRPr="00783B88">
        <w:rPr>
          <w:noProof/>
        </w:rPr>
        <w:t>Proportion of providers in each sector that operate across different sectors</w:t>
      </w:r>
    </w:p>
    <w:p w14:paraId="7CA81AC2" w14:textId="3A8BA225" w:rsidR="00EE577B" w:rsidRPr="008D4B07" w:rsidRDefault="00FA4D16" w:rsidP="00C32313">
      <w:pPr>
        <w:pStyle w:val="BodyText"/>
        <w:spacing w:after="0"/>
      </w:pPr>
      <w:r w:rsidRPr="00FA4D16">
        <w:rPr>
          <w:noProof/>
        </w:rPr>
        <w:drawing>
          <wp:inline distT="0" distB="0" distL="0" distR="0" wp14:anchorId="34FC8722" wp14:editId="39612DDF">
            <wp:extent cx="6098540" cy="2830665"/>
            <wp:effectExtent l="0" t="0" r="0" b="8255"/>
            <wp:docPr id="1296321057" name="Picture 4" descr="This figure shows a stacked column chart of the proportion of aged care, NDIS and veterans’ care service providers that operate across the different sectors. Data for NDIS providers are for registered providers only.&#10;Of aged care providers: 53.5% operate only in the aged care sector, 35.6% operate across the NDIS and aged care sectors, 4.4% operate across the aged care and veterans’ sectors and 6.6% operate across all three sectors.&#10;Of registered NDIS providers: 95.6% operate only in the NDIS sector and 3.4% operate across the NDIS and aged care sectors. &#10;Of veterans’ care providers: 17.6% operate only in the veterans’ care sector, 19.2% operate in the NDIS and veterans’ care sectors, 25.2% operate in the aged care and veterans’ care sectors, and 37.9% operate in all th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21057" name="Picture 4" descr="This figure shows a stacked column chart of the proportion of aged care, NDIS and veterans’ care service providers that operate across the different sectors. Data for NDIS providers are for registered providers only.&#10;Of aged care providers: 53.5% operate only in the aged care sector, 35.6% operate across the NDIS and aged care sectors, 4.4% operate across the aged care and veterans’ sectors and 6.6% operate across all three sectors.&#10;Of registered NDIS providers: 95.6% operate only in the NDIS sector and 3.4% operate across the NDIS and aged care sectors. &#10;Of veterans’ care providers: 17.6% operate only in the veterans’ care sector, 19.2% operate in the NDIS and veterans’ care sectors, 25.2% operate in the aged care and veterans’ care sectors, and 37.9% operate in all three.&#10;"/>
                    <pic:cNvPicPr>
                      <a:picLocks noChangeAspect="1" noChangeArrowheads="1"/>
                    </pic:cNvPicPr>
                  </pic:nvPicPr>
                  <pic:blipFill rotWithShape="1">
                    <a:blip r:embed="rId56">
                      <a:extLst>
                        <a:ext uri="{28A0092B-C50C-407E-A947-70E740481C1C}">
                          <a14:useLocalDpi xmlns:a14="http://schemas.microsoft.com/office/drawing/2010/main" val="0"/>
                        </a:ext>
                      </a:extLst>
                    </a:blip>
                    <a:srcRect b="2456"/>
                    <a:stretch>
                      <a:fillRect/>
                    </a:stretch>
                  </pic:blipFill>
                  <pic:spPr bwMode="auto">
                    <a:xfrm>
                      <a:off x="0" y="0"/>
                      <a:ext cx="6098540" cy="2830665"/>
                    </a:xfrm>
                    <a:prstGeom prst="rect">
                      <a:avLst/>
                    </a:prstGeom>
                    <a:noFill/>
                    <a:ln>
                      <a:noFill/>
                    </a:ln>
                    <a:extLst>
                      <a:ext uri="{53640926-AAD7-44D8-BBD7-CCE9431645EC}">
                        <a14:shadowObscured xmlns:a14="http://schemas.microsoft.com/office/drawing/2010/main"/>
                      </a:ext>
                    </a:extLst>
                  </pic:spPr>
                </pic:pic>
              </a:graphicData>
            </a:graphic>
          </wp:inline>
        </w:drawing>
      </w:r>
    </w:p>
    <w:p w14:paraId="58176CC7" w14:textId="24499D9A" w:rsidR="00EE577B" w:rsidRPr="00983E40" w:rsidRDefault="00EE577B" w:rsidP="00C32313">
      <w:pPr>
        <w:pStyle w:val="Note"/>
        <w:keepLines/>
        <w:rPr>
          <w:b/>
          <w:bCs/>
        </w:rPr>
      </w:pPr>
      <w:r w:rsidRPr="00783B88">
        <w:t>Data for NDIS providers is for registered providers only. The large proportion of providers operating only in the NDIS reflects the relatively large number of registered providers in the scheme (approximately 22,000 compared to approximately 2100 in aged care and 370 in veterans’ care). ECEC providers have been excluded. Of ECEC providers, 96.6% operate only in ECEC, 1.7% operate across at least ECEC and NDIS, 2.5% operate across at least ECEC and aged care and 0.2% operate across at least ECEC and veterans’ care.</w:t>
      </w:r>
    </w:p>
    <w:p w14:paraId="15B4E224" w14:textId="567410FD" w:rsidR="00EE577B" w:rsidRPr="00783B88" w:rsidRDefault="00EE577B">
      <w:pPr>
        <w:pStyle w:val="Source"/>
      </w:pPr>
      <w:r w:rsidRPr="00783B88">
        <w:t xml:space="preserve">Source: PC estimates using NDIS (2025a), </w:t>
      </w:r>
      <w:proofErr w:type="spellStart"/>
      <w:r w:rsidRPr="00783B88">
        <w:t>DoHAC</w:t>
      </w:r>
      <w:proofErr w:type="spellEnd"/>
      <w:r w:rsidRPr="00783B88">
        <w:t xml:space="preserve"> </w:t>
      </w:r>
      <w:r w:rsidR="0005708A">
        <w:t>(</w:t>
      </w:r>
      <w:r w:rsidRPr="00783B88">
        <w:t>unpublished data</w:t>
      </w:r>
      <w:r w:rsidR="0005708A">
        <w:t>)</w:t>
      </w:r>
      <w:r w:rsidRPr="00783B88">
        <w:t xml:space="preserve"> and DVA </w:t>
      </w:r>
      <w:r w:rsidR="0005708A">
        <w:t>(</w:t>
      </w:r>
      <w:r w:rsidRPr="00783B88">
        <w:t>unpublished data</w:t>
      </w:r>
      <w:r w:rsidR="0005708A">
        <w:t>)</w:t>
      </w:r>
      <w:r w:rsidRPr="00783B88">
        <w:t>.</w:t>
      </w:r>
    </w:p>
    <w:p w14:paraId="57543C5E" w14:textId="77777777" w:rsidR="00EE577B" w:rsidRPr="00783B88" w:rsidRDefault="00EE577B">
      <w:pPr>
        <w:pStyle w:val="Heading2-nonumber"/>
      </w:pPr>
      <w:bookmarkStart w:id="74" w:name="_Toc215671166"/>
      <w:bookmarkStart w:id="75" w:name="_Toc215838130"/>
      <w:r w:rsidRPr="00783B88">
        <w:t>Achieving greater regulatory alignment</w:t>
      </w:r>
      <w:bookmarkEnd w:id="74"/>
      <w:bookmarkEnd w:id="75"/>
    </w:p>
    <w:p w14:paraId="559CD251" w14:textId="72BDF3D8" w:rsidR="00EE577B" w:rsidRPr="00783B88" w:rsidRDefault="00EE577B">
      <w:pPr>
        <w:pStyle w:val="BodyText"/>
      </w:pPr>
      <w:r w:rsidRPr="00783B88">
        <w:t xml:space="preserve">The PC envisages a </w:t>
      </w:r>
      <w:r w:rsidR="00CC6224">
        <w:t>system of</w:t>
      </w:r>
      <w:r w:rsidRPr="00783B88">
        <w:t xml:space="preserve"> quality and safety regulat</w:t>
      </w:r>
      <w:r w:rsidR="00CC6224">
        <w:t>ion</w:t>
      </w:r>
      <w:r w:rsidRPr="00783B88">
        <w:t xml:space="preserve"> that is aligned across all care sectors, levels of government and forms of regulation, consistent with principles of leading</w:t>
      </w:r>
      <w:r w:rsidRPr="00783B88">
        <w:noBreakHyphen/>
        <w:t xml:space="preserve">practice regulation </w:t>
      </w:r>
      <w:r w:rsidR="0097599A" w:rsidRPr="0097599A">
        <w:rPr>
          <w:rFonts w:ascii="Arial" w:hAnsi="Arial" w:cs="Arial"/>
        </w:rPr>
        <w:t>(PC 2020b)</w:t>
      </w:r>
      <w:r w:rsidRPr="00783B88">
        <w:t>. Achieving such a system will be a long</w:t>
      </w:r>
      <w:r w:rsidRPr="00783B88">
        <w:noBreakHyphen/>
        <w:t xml:space="preserve">haul journey involving multiple interrelated pieces of work across different care sectors, aspects of regulation and parts of government. </w:t>
      </w:r>
    </w:p>
    <w:p w14:paraId="7C3D440A" w14:textId="77777777" w:rsidR="00EE577B" w:rsidRDefault="00EE577B">
      <w:pPr>
        <w:pStyle w:val="BodyText"/>
      </w:pPr>
      <w:r w:rsidRPr="00783B88">
        <w:t>To begin, the Australian Government should, in collaboration with state and territory governments where relevant, implement a series of actions focused on aligning worker, provider and service regulation in the aged care, NDIS and veterans’ care sectors</w:t>
      </w:r>
      <w:r>
        <w:t>. It should also</w:t>
      </w:r>
      <w:r w:rsidRPr="00783B88">
        <w:t xml:space="preserve"> assess the case for a single regulator across these three sectors. This section discusses these proposals and their benefits. </w:t>
      </w:r>
    </w:p>
    <w:p w14:paraId="556832EF" w14:textId="77777777" w:rsidR="00EE577B" w:rsidRPr="006140C6" w:rsidRDefault="00EE577B">
      <w:pPr>
        <w:pStyle w:val="BodyText"/>
        <w:keepNext/>
        <w:rPr>
          <w:spacing w:val="-2"/>
        </w:rPr>
      </w:pPr>
      <w:r w:rsidRPr="006140C6">
        <w:rPr>
          <w:spacing w:val="-2"/>
        </w:rPr>
        <w:t>Those who engaged with this inquiry widely supported greater alignment, although many also highlighted risks or other matters that would need to be addressed, such as ensuring sector</w:t>
      </w:r>
      <w:r w:rsidRPr="006140C6">
        <w:rPr>
          <w:spacing w:val="-2"/>
        </w:rPr>
        <w:noBreakHyphen/>
        <w:t>specific expertise was retained and balancing new reforms with those already underway (for example, Inclusion Australia, sub. 117, p. 1</w:t>
      </w:r>
      <w:r w:rsidRPr="006140C6" w:rsidDel="002C69DE">
        <w:rPr>
          <w:spacing w:val="-2"/>
        </w:rPr>
        <w:t xml:space="preserve">; </w:t>
      </w:r>
      <w:r w:rsidRPr="006140C6">
        <w:rPr>
          <w:spacing w:val="-2"/>
        </w:rPr>
        <w:t>UnitingCare Australia, sub. 123, p. 5). In supporting greater regulatory alignment, Uniting NSW.ACT said that:</w:t>
      </w:r>
    </w:p>
    <w:p w14:paraId="1976EC0B" w14:textId="77777777" w:rsidR="00EE577B" w:rsidRPr="00536E75" w:rsidRDefault="00EE577B">
      <w:pPr>
        <w:pStyle w:val="Quote"/>
      </w:pPr>
      <w:r w:rsidRPr="00783B88">
        <w:t>Overall, greater consistency across the care economy would benefit families, children and communities who often engage with multiple services. For Uniting, this would also help create a more joined</w:t>
      </w:r>
      <w:r>
        <w:noBreakHyphen/>
      </w:r>
      <w:r w:rsidRPr="00783B88">
        <w:t>up experience across our service areas, while ensuring that workforce and governance expectations are clear, fair and consistent. Further, streamlining regulations and minimising administrative burdens on providers will lift productivity by allowing providers to redirect resourcing and capacity to improve outcom</w:t>
      </w:r>
      <w:r>
        <w:rPr>
          <w:rFonts w:ascii="Arial" w:hAnsi="Arial" w:cs="Arial"/>
        </w:rPr>
        <w:t>e</w:t>
      </w:r>
      <w:r w:rsidRPr="00536E75">
        <w:t xml:space="preserve">s for care recipients. This includes reducing </w:t>
      </w:r>
      <w:r w:rsidRPr="00536E75">
        <w:lastRenderedPageBreak/>
        <w:t>the administrative burden on frontline staff and enabling more contact hours, investing in innovative ways of delivering care and facilitating more relational ways of working. (sub.</w:t>
      </w:r>
      <w:r>
        <w:t> </w:t>
      </w:r>
      <w:r w:rsidRPr="00536E75">
        <w:t>114, p. </w:t>
      </w:r>
      <w:r>
        <w:t>6</w:t>
      </w:r>
      <w:r w:rsidRPr="00536E75">
        <w:t>)</w:t>
      </w:r>
    </w:p>
    <w:p w14:paraId="024A2716" w14:textId="77777777" w:rsidR="00EE577B" w:rsidRPr="00536E75" w:rsidRDefault="00EE577B">
      <w:pPr>
        <w:pStyle w:val="BodyText"/>
      </w:pPr>
      <w:r w:rsidRPr="00536E75">
        <w:t>While our proposals focus on the aged care, NDIS and veterans’ care sectors</w:t>
      </w:r>
      <w:r>
        <w:t>, and in some cases include the ECEC sector</w:t>
      </w:r>
      <w:r w:rsidRPr="00536E75">
        <w:t>, many of the solutions we identify could be extended to other care sectors over time. We highlight these below where relevant.</w:t>
      </w:r>
    </w:p>
    <w:p w14:paraId="71CA163C" w14:textId="77777777" w:rsidR="00EE577B" w:rsidRPr="00536E75" w:rsidRDefault="00EE577B">
      <w:pPr>
        <w:pStyle w:val="Heading3"/>
      </w:pPr>
      <w:r w:rsidRPr="00536E75">
        <w:t>Improving alignment in care worker regulation</w:t>
      </w:r>
    </w:p>
    <w:p w14:paraId="70C3F22F" w14:textId="77777777" w:rsidR="00EE577B" w:rsidRPr="00536E75" w:rsidRDefault="00EE577B">
      <w:pPr>
        <w:pStyle w:val="BodyText"/>
      </w:pPr>
      <w:r w:rsidRPr="00536E75">
        <w:t>We propose three reforms to care worker regulation that build on work currently underway across governments</w:t>
      </w:r>
      <w:r>
        <w:t>.</w:t>
      </w:r>
      <w:r w:rsidRPr="00536E75">
        <w:t xml:space="preserve"> </w:t>
      </w:r>
      <w:r>
        <w:t>These are:</w:t>
      </w:r>
    </w:p>
    <w:p w14:paraId="282EE5B1" w14:textId="77777777" w:rsidR="00EE577B" w:rsidRPr="00536E75" w:rsidRDefault="00EE577B" w:rsidP="00EE577B">
      <w:pPr>
        <w:pStyle w:val="ListBullet"/>
      </w:pPr>
      <w:r w:rsidRPr="00536E75">
        <w:t>establish a national worker screening clearance</w:t>
      </w:r>
    </w:p>
    <w:p w14:paraId="2A2E9171" w14:textId="77777777" w:rsidR="00EE577B" w:rsidRPr="00536E75" w:rsidRDefault="00EE577B" w:rsidP="00EE577B">
      <w:pPr>
        <w:pStyle w:val="ListBullet"/>
      </w:pPr>
      <w:r w:rsidRPr="00536E75">
        <w:t xml:space="preserve">design the proposed aged care worker registration scheme in a way that would enable additional sectors to be included </w:t>
      </w:r>
      <w:r w:rsidRPr="00536E75" w:rsidDel="002C59B8">
        <w:t xml:space="preserve">in </w:t>
      </w:r>
      <w:r w:rsidRPr="00536E75">
        <w:t>future</w:t>
      </w:r>
    </w:p>
    <w:p w14:paraId="578E633B" w14:textId="77777777" w:rsidR="00EE577B" w:rsidRPr="00536E75" w:rsidRDefault="00EE577B" w:rsidP="00EE577B">
      <w:pPr>
        <w:pStyle w:val="ListBullet"/>
      </w:pPr>
      <w:r w:rsidRPr="00536E75">
        <w:t>establish a single digital portal to support the worker registration systems in the aged care and ECEC sectors</w:t>
      </w:r>
      <w:r w:rsidRPr="009920DE">
        <w:t xml:space="preserve"> </w:t>
      </w:r>
      <w:r w:rsidRPr="00536E75">
        <w:t>proposed</w:t>
      </w:r>
      <w:r>
        <w:t xml:space="preserve"> by the Australian Government</w:t>
      </w:r>
      <w:r w:rsidRPr="00536E75">
        <w:t xml:space="preserve">. </w:t>
      </w:r>
    </w:p>
    <w:p w14:paraId="0C81BDB5" w14:textId="77777777" w:rsidR="00EE577B" w:rsidRPr="00536E75" w:rsidRDefault="00EE577B">
      <w:pPr>
        <w:pStyle w:val="BodyText"/>
      </w:pPr>
      <w:r w:rsidRPr="00536E75">
        <w:t>Inquiry participants overwhelmingly supported aligning care worker regulation to strengthen oversight, improve safety and facilitate workforce mobility.</w:t>
      </w:r>
      <w:r w:rsidRPr="002B0A03">
        <w:rPr>
          <w:rStyle w:val="FootnoteReference"/>
        </w:rPr>
        <w:footnoteReference w:id="4"/>
      </w:r>
      <w:r w:rsidRPr="00536E75">
        <w:t xml:space="preserve"> </w:t>
      </w:r>
    </w:p>
    <w:p w14:paraId="6857721D" w14:textId="1BE4F546" w:rsidR="00EE577B" w:rsidRPr="00536E75" w:rsidRDefault="00EE577B">
      <w:pPr>
        <w:pStyle w:val="BodyText"/>
      </w:pPr>
      <w:r w:rsidRPr="00536E75">
        <w:t>These reforms will lead to less time and money being spent completing duplicative worker</w:t>
      </w:r>
      <w:r w:rsidRPr="00536E75">
        <w:noBreakHyphen/>
        <w:t>related checks and registration. A single worker screening check will save care workers about $88 million per year</w:t>
      </w:r>
      <w:r w:rsidR="00D43FEB">
        <w:t xml:space="preserve"> </w:t>
      </w:r>
      <w:r w:rsidRPr="00536E75">
        <w:t>(figure</w:t>
      </w:r>
      <w:r>
        <w:t> </w:t>
      </w:r>
      <w:r w:rsidRPr="00536E75">
        <w:t>1.3, appendix</w:t>
      </w:r>
      <w:r>
        <w:t> B</w:t>
      </w:r>
      <w:r w:rsidRPr="00536E75">
        <w:t>). This includes the time value of approximately 4</w:t>
      </w:r>
      <w:r>
        <w:t>19</w:t>
      </w:r>
      <w:r w:rsidRPr="00536E75">
        <w:t>,000 hours</w:t>
      </w:r>
      <w:r w:rsidRPr="00536E75" w:rsidDel="00831979">
        <w:t xml:space="preserve"> </w:t>
      </w:r>
      <w:r w:rsidRPr="00536E75">
        <w:t>per year workers spend filling out duplicative paperwork, which could instead be spent working (paid or unpaid) or on leisure.</w:t>
      </w:r>
      <w:r>
        <w:t xml:space="preserve"> Women would disproportionately benefit, given they comprise 75% of care workers.</w:t>
      </w:r>
    </w:p>
    <w:p w14:paraId="7DC1A690" w14:textId="77777777" w:rsidR="00EE577B" w:rsidRPr="0056506A" w:rsidRDefault="00EE577B">
      <w:pPr>
        <w:pStyle w:val="FigureTableHeading"/>
        <w:tabs>
          <w:tab w:val="left" w:pos="5405"/>
        </w:tabs>
        <w:rPr>
          <w:spacing w:val="-4"/>
        </w:rPr>
      </w:pPr>
      <w:r w:rsidRPr="0056506A">
        <w:rPr>
          <w:spacing w:val="-4"/>
        </w:rPr>
        <w:t>Figure 1.3 – A national worker screening check will save care workers $88 million a year</w:t>
      </w:r>
    </w:p>
    <w:p w14:paraId="091FCEF6" w14:textId="000C8014" w:rsidR="00EE577B" w:rsidRPr="00536E75" w:rsidRDefault="00C31EB3" w:rsidP="0056506A">
      <w:pPr>
        <w:pStyle w:val="BodyText"/>
      </w:pPr>
      <w:r w:rsidRPr="00C31EB3">
        <w:rPr>
          <w:noProof/>
        </w:rPr>
        <w:drawing>
          <wp:inline distT="0" distB="0" distL="0" distR="0" wp14:anchorId="741B37F0" wp14:editId="47F96B84">
            <wp:extent cx="6120130" cy="1107440"/>
            <wp:effectExtent l="0" t="0" r="0" b="0"/>
            <wp:docPr id="480505277" name="Picture 3" descr="Time: 419,000 hours saved on average a year from less duplicative screening checks&#10;Plus&#10;Money: $60 million in immediate savings from fewer screening check fees&#10;Equals&#10;Total benefit: $88 million per year in nominal te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05277" name="Picture 3" descr="Time: 419,000 hours saved on average a year from less duplicative screening checks&#10;Plus&#10;Money: $60 million in immediate savings from fewer screening check fees&#10;Equals&#10;Total benefit: $88 million per year in nominal terms&#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1107440"/>
                    </a:xfrm>
                    <a:prstGeom prst="rect">
                      <a:avLst/>
                    </a:prstGeom>
                    <a:noFill/>
                    <a:ln>
                      <a:noFill/>
                    </a:ln>
                  </pic:spPr>
                </pic:pic>
              </a:graphicData>
            </a:graphic>
          </wp:inline>
        </w:drawing>
      </w:r>
      <w:r w:rsidRPr="00C31EB3">
        <w:t xml:space="preserve"> </w:t>
      </w:r>
    </w:p>
    <w:p w14:paraId="24537588" w14:textId="667AB691" w:rsidR="00EE577B" w:rsidRPr="00536E75" w:rsidRDefault="00EE577B" w:rsidP="007B1338">
      <w:pPr>
        <w:pStyle w:val="Note"/>
        <w:spacing w:after="240"/>
      </w:pPr>
      <w:r w:rsidRPr="00536E75">
        <w:t xml:space="preserve">The Department of Finance has also estimated the benefits of a national worker screening check </w:t>
      </w:r>
      <w:r w:rsidR="001C6143" w:rsidRPr="007B1338">
        <w:t>(Commonwealth of Australia 2025)</w:t>
      </w:r>
      <w:r w:rsidRPr="00536E75">
        <w:t>. Differences between the PC’s and D</w:t>
      </w:r>
      <w:r>
        <w:t xml:space="preserve">epartment </w:t>
      </w:r>
      <w:r w:rsidRPr="00536E75">
        <w:t>o</w:t>
      </w:r>
      <w:r>
        <w:t xml:space="preserve">f </w:t>
      </w:r>
      <w:r w:rsidRPr="00536E75">
        <w:t>F</w:t>
      </w:r>
      <w:r>
        <w:t>inance</w:t>
      </w:r>
      <w:r w:rsidRPr="00536E75">
        <w:t>’s approaches to estimating the savings are explained in appendix</w:t>
      </w:r>
      <w:r>
        <w:t> B</w:t>
      </w:r>
      <w:r w:rsidRPr="00536E75">
        <w:t>.</w:t>
      </w:r>
      <w:r>
        <w:t xml:space="preserve"> </w:t>
      </w:r>
    </w:p>
    <w:p w14:paraId="30D0A4CB" w14:textId="77777777" w:rsidR="00EE577B" w:rsidRPr="00536E75" w:rsidRDefault="00EE577B">
      <w:pPr>
        <w:pStyle w:val="BodyText"/>
        <w:keepNext/>
      </w:pPr>
      <w:r w:rsidRPr="00536E75">
        <w:t>These numbers do not account for other benefits that would arise, such as improved safety for care users and the potential for care workers to start paid work in new care sectors and jurisdictions sooner. The latter is especially important given delays to starting work could lead to workers moving to other industries, which would exacerbate worker shortages and diminish the accessibility of care services.</w:t>
      </w:r>
    </w:p>
    <w:p w14:paraId="4F4ED709" w14:textId="7CA6CAD4" w:rsidR="00EE577B" w:rsidRPr="00C42189" w:rsidRDefault="00EE577B">
      <w:pPr>
        <w:pStyle w:val="Quote"/>
        <w:rPr>
          <w:spacing w:val="-2"/>
        </w:rPr>
      </w:pPr>
      <w:r w:rsidRPr="00C42189">
        <w:rPr>
          <w:spacing w:val="-2"/>
        </w:rPr>
        <w:t>Anecdotal feedback from some care sector providers indicates it can take on average 28 days for a worker’s clearance to be processed. During this period, many workers cannot afford to ‘wait’ and may seek employment in other industries with an immediate start. (EY Australia, sub. 147, p.</w:t>
      </w:r>
      <w:r w:rsidR="00D43FEB" w:rsidRPr="00D43FEB">
        <w:rPr>
          <w:spacing w:val="-2"/>
        </w:rPr>
        <w:t> </w:t>
      </w:r>
      <w:r w:rsidRPr="00C42189">
        <w:rPr>
          <w:spacing w:val="-2"/>
        </w:rPr>
        <w:t>7)</w:t>
      </w:r>
    </w:p>
    <w:p w14:paraId="1E9C6590" w14:textId="77777777" w:rsidR="00EE577B" w:rsidRPr="00536E75" w:rsidDel="00E0097B" w:rsidRDefault="00EE577B">
      <w:pPr>
        <w:pStyle w:val="BodyText"/>
      </w:pPr>
      <w:r w:rsidRPr="00536E75" w:rsidDel="00E0097B">
        <w:lastRenderedPageBreak/>
        <w:t xml:space="preserve">These broader benefits, not captured in our estimates, will </w:t>
      </w:r>
      <w:r w:rsidDel="00E0097B">
        <w:t>also</w:t>
      </w:r>
      <w:r w:rsidRPr="00536E75" w:rsidDel="00E0097B">
        <w:t xml:space="preserve"> have a greater impact on women, since they comprise </w:t>
      </w:r>
      <w:proofErr w:type="gramStart"/>
      <w:r w:rsidRPr="00536E75" w:rsidDel="00E0097B">
        <w:t>the majority of</w:t>
      </w:r>
      <w:proofErr w:type="gramEnd"/>
      <w:r w:rsidRPr="00536E75" w:rsidDel="00E0097B">
        <w:t xml:space="preserve"> the care workforce.</w:t>
      </w:r>
    </w:p>
    <w:p w14:paraId="70F1115D" w14:textId="77777777" w:rsidR="00EE577B" w:rsidRPr="00536E75" w:rsidRDefault="00EE577B">
      <w:pPr>
        <w:pStyle w:val="Heading4"/>
      </w:pPr>
      <w:r w:rsidRPr="00536E75">
        <w:t>Establish a national worker screening clearance</w:t>
      </w:r>
    </w:p>
    <w:p w14:paraId="6B3404A2" w14:textId="43AAF198" w:rsidR="00EE577B" w:rsidRPr="00536E75" w:rsidRDefault="00EE577B">
      <w:pPr>
        <w:pStyle w:val="BodyText"/>
      </w:pPr>
      <w:r w:rsidRPr="00536E75">
        <w:t xml:space="preserve">The Australian, state and territory governments should establish a single national worker screening clearance that replaces existing clearances, such as NDIS worker screening checks, aged care worker screening checks (which have now been aligned with NDIS checks) and working with children/vulnerable people checks. The idea of a national worker screening check is not new – it was listed as a possible output on the reform agenda of the new National Competition Policy agreed by governments in November 2024 </w:t>
      </w:r>
      <w:r w:rsidRPr="004A41F6">
        <w:rPr>
          <w:rFonts w:ascii="Arial" w:hAnsi="Arial" w:cs="Arial"/>
        </w:rPr>
        <w:t>(Treasury 2024, p. 21)</w:t>
      </w:r>
      <w:r w:rsidRPr="00536E75">
        <w:t xml:space="preserve"> and was outlined as the second of two options in the September 2025 consultation paper on a </w:t>
      </w:r>
      <w:r>
        <w:t>n</w:t>
      </w:r>
      <w:r w:rsidRPr="00983E40">
        <w:t>ational approach to worker screening in the care and support economy</w:t>
      </w:r>
      <w:r w:rsidRPr="00536E75">
        <w:t xml:space="preserve"> </w:t>
      </w:r>
      <w:r w:rsidR="00CD75B1" w:rsidRPr="00CD75B1">
        <w:rPr>
          <w:rFonts w:ascii="Arial" w:hAnsi="Arial" w:cs="Arial"/>
        </w:rPr>
        <w:t>(Commonwealth of Australia 2025, pp. 6–7)</w:t>
      </w:r>
      <w:r w:rsidRPr="00536E75">
        <w:t>.</w:t>
      </w:r>
    </w:p>
    <w:p w14:paraId="45A2B1C3" w14:textId="23ED29F8" w:rsidR="00EE577B" w:rsidRPr="00F36C53" w:rsidRDefault="00EE577B">
      <w:pPr>
        <w:pStyle w:val="BodyText"/>
        <w:rPr>
          <w:rFonts w:ascii="Arial" w:hAnsi="Arial"/>
          <w:spacing w:val="-4"/>
        </w:rPr>
      </w:pPr>
      <w:r w:rsidRPr="00F36C53">
        <w:rPr>
          <w:rFonts w:ascii="Arial" w:hAnsi="Arial" w:cs="Arial"/>
          <w:spacing w:val="-4"/>
        </w:rPr>
        <w:t xml:space="preserve">A national worker screening clearance would enable workers to apply for a clearance to work across all care sectors and jurisdictions through a single process, with checking automated to the greatest extent possible and supported by effective information sharing between regulators. </w:t>
      </w:r>
      <w:r w:rsidRPr="00F36C53">
        <w:rPr>
          <w:rFonts w:ascii="Arial" w:hAnsi="Arial"/>
          <w:spacing w:val="-4"/>
        </w:rPr>
        <w:t>Point</w:t>
      </w:r>
      <w:r w:rsidRPr="00F36C53">
        <w:rPr>
          <w:rFonts w:ascii="Arial" w:hAnsi="Arial"/>
          <w:spacing w:val="-4"/>
        </w:rPr>
        <w:noBreakHyphen/>
        <w:t>in</w:t>
      </w:r>
      <w:r w:rsidRPr="00F36C53">
        <w:rPr>
          <w:rFonts w:ascii="Arial" w:hAnsi="Arial"/>
          <w:spacing w:val="-4"/>
        </w:rPr>
        <w:noBreakHyphen/>
        <w:t>time checks to gain or renew clearances should be supported by a national continuous checking capability that monitors clearance holders’ criminal histories in real time and notifies governments of any relevant offences. This will enable prompt action to be taken if a worker engages in inappropriate behaviour. Real</w:t>
      </w:r>
      <w:r w:rsidRPr="00F36C53">
        <w:rPr>
          <w:rFonts w:ascii="Arial" w:hAnsi="Arial"/>
          <w:spacing w:val="-4"/>
        </w:rPr>
        <w:noBreakHyphen/>
        <w:t>time continuous monitoring could build on work</w:t>
      </w:r>
      <w:r w:rsidRPr="00F36C53" w:rsidDel="00A30F01">
        <w:rPr>
          <w:rFonts w:ascii="Arial" w:hAnsi="Arial"/>
          <w:spacing w:val="-4"/>
        </w:rPr>
        <w:t xml:space="preserve"> </w:t>
      </w:r>
      <w:r w:rsidRPr="00F36C53">
        <w:rPr>
          <w:rFonts w:ascii="Arial" w:hAnsi="Arial"/>
          <w:spacing w:val="-4"/>
        </w:rPr>
        <w:t xml:space="preserve">by the Australian Criminal Intelligence Commission to scope, design and pilot a national continuous checking capability for working with children checks and NDIS worker screening checks </w:t>
      </w:r>
      <w:r w:rsidRPr="00F36C53">
        <w:rPr>
          <w:rFonts w:ascii="Arial" w:hAnsi="Arial" w:cs="Arial"/>
          <w:spacing w:val="-4"/>
        </w:rPr>
        <w:t>(ACIC 2025; Long 2025)</w:t>
      </w:r>
      <w:r w:rsidRPr="00F36C53">
        <w:rPr>
          <w:rFonts w:ascii="Arial" w:hAnsi="Arial"/>
          <w:spacing w:val="-4"/>
        </w:rPr>
        <w:t>.</w:t>
      </w:r>
    </w:p>
    <w:p w14:paraId="0D8A69DF" w14:textId="77777777" w:rsidR="00EE577B" w:rsidRPr="00536E75" w:rsidRDefault="00EE577B">
      <w:pPr>
        <w:pStyle w:val="BodyText"/>
      </w:pPr>
      <w:r w:rsidRPr="00536E75">
        <w:t>A single national clearance would remove the need for workers to undergo multiple screening processes, reducing administrative burden and application costs. It would also lead to more efficient checking processes and shorten wait times for clearances (both from more efficient checks and from avoiding the need to wait for multiple checks). Most importantly</w:t>
      </w:r>
      <w:r>
        <w:t>,</w:t>
      </w:r>
      <w:r w:rsidRPr="00536E75">
        <w:t xml:space="preserve"> by bringing together information from disparate databases across sectors and jurisdictions, it would enable regulators to respond more swiftly and effectively to workers who engage in inappropriate behaviour.</w:t>
      </w:r>
    </w:p>
    <w:p w14:paraId="120C564C" w14:textId="77777777" w:rsidR="00EE577B" w:rsidRPr="00536E75" w:rsidRDefault="00EE577B">
      <w:pPr>
        <w:pStyle w:val="Heading4"/>
      </w:pPr>
      <w:r w:rsidRPr="00536E75">
        <w:t>Design the aged care worker registration scheme with sufficient flexibility to encompass multiple care sectors</w:t>
      </w:r>
    </w:p>
    <w:p w14:paraId="7E57639E" w14:textId="0E1671F6" w:rsidR="00EE577B" w:rsidRPr="00536E75" w:rsidRDefault="00EE577B">
      <w:pPr>
        <w:pStyle w:val="BodyText"/>
        <w:keepNext/>
      </w:pPr>
      <w:r w:rsidRPr="00536E75">
        <w:t>The Australian Government should ensure that the design of its proposed national registration scheme for personal care workers</w:t>
      </w:r>
      <w:r>
        <w:t xml:space="preserve"> in the</w:t>
      </w:r>
      <w:r w:rsidRPr="0099522D">
        <w:t xml:space="preserve"> </w:t>
      </w:r>
      <w:r w:rsidRPr="00536E75">
        <w:t>aged care</w:t>
      </w:r>
      <w:r>
        <w:t xml:space="preserve"> sector</w:t>
      </w:r>
      <w:r w:rsidRPr="00536E75">
        <w:t>, which is being implemented in response to recommendation 77 of the Royal Commission into Aged Care Quality and Safety, is flexible enough to be capable of expansion to NDIS and veterans’ care personal care workers. This approach will avoid a potential proliferation of registration schemes and the need to bring disparate schemes into alignment in future, should the government mandate further requirements for the registration of personal care workers in the NDIS and veterans</w:t>
      </w:r>
      <w:r w:rsidR="00BE65FE">
        <w:t>’</w:t>
      </w:r>
      <w:r w:rsidRPr="00536E75">
        <w:t xml:space="preserve"> care sectors.</w:t>
      </w:r>
    </w:p>
    <w:p w14:paraId="7995A592" w14:textId="04489FBC" w:rsidR="00EE577B" w:rsidRPr="00536E75" w:rsidRDefault="00EE577B">
      <w:pPr>
        <w:pStyle w:val="BodyText"/>
        <w:keepNext/>
      </w:pPr>
      <w:r w:rsidRPr="00536E75">
        <w:t>One way to ensure sufficient flexibility would be to design requirements for aged care personal care workers in a way that distinguishes between core and specialised skills and qualifications. Doing so would pave the way for a cross</w:t>
      </w:r>
      <w:r w:rsidRPr="00536E75">
        <w:noBreakHyphen/>
        <w:t>sectoral personal care worker registration system, where workers who meet the conditions of registration would be able to register once and work across the three sectors (within their registration category). Specifying entry requirements in this way may require a redesign and broadening of training programs, so that workers can provide person</w:t>
      </w:r>
      <w:r w:rsidRPr="00536E75">
        <w:noBreakHyphen/>
        <w:t xml:space="preserve">centred care to people with a range of needs. The PC’s </w:t>
      </w:r>
      <w:r w:rsidRPr="00536E75">
        <w:lastRenderedPageBreak/>
        <w:t xml:space="preserve">inquiry into </w:t>
      </w:r>
      <w:r w:rsidRPr="00536E75">
        <w:rPr>
          <w:i/>
          <w:iCs/>
        </w:rPr>
        <w:t>Building a skilled and adaptable workforce</w:t>
      </w:r>
      <w:r w:rsidRPr="00536E75">
        <w:t xml:space="preserve"> discusses targeting qualification requirements to risk and adopting more flexible frameworks, including </w:t>
      </w:r>
      <w:proofErr w:type="gramStart"/>
      <w:r w:rsidRPr="00536E75">
        <w:t>through the use of</w:t>
      </w:r>
      <w:proofErr w:type="gramEnd"/>
      <w:r w:rsidRPr="00536E75">
        <w:t xml:space="preserve"> micro</w:t>
      </w:r>
      <w:r>
        <w:noBreakHyphen/>
      </w:r>
      <w:r w:rsidRPr="00536E75">
        <w:t>credentials</w:t>
      </w:r>
      <w:r w:rsidR="006054A4">
        <w:t xml:space="preserve"> </w:t>
      </w:r>
      <w:r w:rsidR="00CD75B1" w:rsidRPr="00CD75B1">
        <w:rPr>
          <w:rFonts w:ascii="Arial" w:hAnsi="Arial" w:cs="Arial"/>
        </w:rPr>
        <w:t>(PC 2025a)</w:t>
      </w:r>
      <w:r w:rsidRPr="00536E75">
        <w:rPr>
          <w:i/>
          <w:iCs/>
        </w:rPr>
        <w:t>.</w:t>
      </w:r>
      <w:r w:rsidRPr="00536E75">
        <w:t xml:space="preserve"> </w:t>
      </w:r>
    </w:p>
    <w:p w14:paraId="7CFDD7EF" w14:textId="162A5057" w:rsidR="00EE577B" w:rsidRPr="00536E75" w:rsidRDefault="00EE577B">
      <w:pPr>
        <w:pStyle w:val="BodyText"/>
        <w:keepNext/>
      </w:pPr>
      <w:r w:rsidRPr="00536E75">
        <w:t xml:space="preserve">As well as allowing for the potential expansion of worker registration to NDIS and veterans’ care personal care workers, the Australian Government should incorporate design elements that </w:t>
      </w:r>
      <w:r>
        <w:t xml:space="preserve">would </w:t>
      </w:r>
      <w:r w:rsidRPr="00536E75">
        <w:t xml:space="preserve">allow for registration to be expanded to other types of workers in these three care sectors. Designing the system in this way now would minimise costs to future affected workers and avoid barriers to future worker mobility. </w:t>
      </w:r>
    </w:p>
    <w:p w14:paraId="3151DC71" w14:textId="77777777" w:rsidR="00EE577B" w:rsidRDefault="00EE577B">
      <w:pPr>
        <w:pStyle w:val="BodyText"/>
        <w:keepNext/>
      </w:pPr>
      <w:r w:rsidRPr="00536E75">
        <w:t>While we envisage a system in which personal care and potentially other types of care workers are registered under a single scheme, we have not addressed the question of which types of workers should be required to be registered. Mandatory registration was an issue raised by many inquiry participants, particularly in relation to the NDIS (box</w:t>
      </w:r>
      <w:r>
        <w:t> </w:t>
      </w:r>
      <w:r w:rsidRPr="00536E75">
        <w:t>1.3).</w:t>
      </w:r>
      <w:r>
        <w:t xml:space="preserve"> </w:t>
      </w:r>
    </w:p>
    <w:p w14:paraId="2C82B531" w14:textId="77777777" w:rsidR="00EE577B" w:rsidRPr="00536E75" w:rsidRDefault="00EE577B">
      <w:pPr>
        <w:pStyle w:val="Heading4"/>
      </w:pPr>
      <w:r w:rsidRPr="00536E75">
        <w:t>Develop a single digital worker registration portal</w:t>
      </w:r>
    </w:p>
    <w:p w14:paraId="2D6DDFFC" w14:textId="5A8AFC84" w:rsidR="00EE577B" w:rsidRDefault="00EE577B" w:rsidP="00F36C53">
      <w:pPr>
        <w:pStyle w:val="BodyText"/>
      </w:pPr>
      <w:r w:rsidRPr="00536E75">
        <w:t>Concurrent</w:t>
      </w:r>
      <w:r w:rsidRPr="00536E75" w:rsidDel="00412380">
        <w:t xml:space="preserve"> </w:t>
      </w:r>
      <w:r w:rsidRPr="00536E75">
        <w:t xml:space="preserve">with the aged care worker registration scheme, the Australian Government, in collaboration with state and territory governments, is developing a national educator register in the ECEC sector, which is intended to be further developed into a national educator registration scheme </w:t>
      </w:r>
      <w:r w:rsidRPr="0039451F">
        <w:rPr>
          <w:rFonts w:ascii="Arial" w:hAnsi="Arial" w:cs="Arial"/>
        </w:rPr>
        <w:t>(DoE 2025)</w:t>
      </w:r>
      <w:r w:rsidRPr="00536E75">
        <w:t>. While registration in aged care and ECEC should remain separate given the distinct focus of the sectors, the Australian Government should develop a single digital portal to support both registration systems. The</w:t>
      </w:r>
      <w:r w:rsidRPr="00536E75" w:rsidDel="00862A93">
        <w:t xml:space="preserve"> </w:t>
      </w:r>
      <w:r w:rsidRPr="00536E75">
        <w:t>portal should provide a single ‘front door’ for workers, allowing them to apply for, view, renew or update their registrations in one place and reduc</w:t>
      </w:r>
      <w:r>
        <w:t>e</w:t>
      </w:r>
      <w:r w:rsidRPr="00536E75">
        <w:t xml:space="preserve"> the administrative complexity of managing multiple registrations. While initially created for the two registration schemes </w:t>
      </w:r>
      <w:r>
        <w:t>under</w:t>
      </w:r>
      <w:r w:rsidRPr="00536E75">
        <w:t xml:space="preserve"> develop</w:t>
      </w:r>
      <w:r>
        <w:t>ment</w:t>
      </w:r>
      <w:r w:rsidRPr="00536E75">
        <w:t xml:space="preserve">, it could </w:t>
      </w:r>
      <w:r>
        <w:t>be expanded to</w:t>
      </w:r>
      <w:r w:rsidRPr="00536E75">
        <w:t xml:space="preserve"> worker</w:t>
      </w:r>
      <w:r>
        <w:t>s across the care economy</w:t>
      </w:r>
      <w:r w:rsidRPr="00536E75">
        <w:t xml:space="preserve"> in future, should additional registration schemes be introduced.</w:t>
      </w:r>
    </w:p>
    <w:p w14:paraId="6B368F73" w14:textId="2C764049" w:rsidR="00EE577B" w:rsidRPr="00F36C53" w:rsidRDefault="00EE577B" w:rsidP="00F36C53">
      <w:pPr>
        <w:pStyle w:val="NoSpacing"/>
      </w:pPr>
    </w:p>
    <w:tbl>
      <w:tblPr>
        <w:tblStyle w:val="Boxtable"/>
        <w:tblW w:w="5000" w:type="pct"/>
        <w:tblLook w:val="04A0" w:firstRow="1" w:lastRow="0" w:firstColumn="1" w:lastColumn="0" w:noHBand="0" w:noVBand="1"/>
      </w:tblPr>
      <w:tblGrid>
        <w:gridCol w:w="9638"/>
      </w:tblGrid>
      <w:tr w:rsidR="00EE577B" w14:paraId="16D51651" w14:textId="77777777">
        <w:trPr>
          <w:tblHeader/>
        </w:trPr>
        <w:tc>
          <w:tcPr>
            <w:tcW w:w="9638" w:type="dxa"/>
            <w:shd w:val="clear" w:color="auto" w:fill="EBEBEB"/>
            <w:tcMar>
              <w:top w:w="170" w:type="dxa"/>
              <w:left w:w="170" w:type="dxa"/>
              <w:bottom w:w="113" w:type="dxa"/>
              <w:right w:w="170" w:type="dxa"/>
            </w:tcMar>
            <w:hideMark/>
          </w:tcPr>
          <w:p w14:paraId="272A24DE" w14:textId="6D0DBBF0" w:rsidR="00EE577B" w:rsidRDefault="00EE577B">
            <w:pPr>
              <w:pStyle w:val="BoxHeading1"/>
            </w:pPr>
            <w:r w:rsidRPr="00536E75">
              <w:t>Box </w:t>
            </w:r>
            <w:r>
              <w:fldChar w:fldCharType="begin"/>
            </w:r>
            <w:r>
              <w:instrText xml:space="preserve"> STYLEREF 1 \s </w:instrText>
            </w:r>
            <w:r>
              <w:fldChar w:fldCharType="separate"/>
            </w:r>
            <w:r w:rsidR="00FB1849">
              <w:rPr>
                <w:noProof/>
              </w:rPr>
              <w:t>1</w:t>
            </w:r>
            <w:r>
              <w:fldChar w:fldCharType="end"/>
            </w:r>
            <w:r w:rsidRPr="00536E75">
              <w:t xml:space="preserve">.3 – </w:t>
            </w:r>
            <w:r>
              <w:t>Participants repeatedly raised m</w:t>
            </w:r>
            <w:r w:rsidRPr="00536E75">
              <w:t>andatory worker and provider registration</w:t>
            </w:r>
          </w:p>
        </w:tc>
      </w:tr>
      <w:tr w:rsidR="00EE577B" w14:paraId="30242C40" w14:textId="77777777">
        <w:tc>
          <w:tcPr>
            <w:tcW w:w="9638" w:type="dxa"/>
            <w:shd w:val="clear" w:color="auto" w:fill="EBEBEB"/>
            <w:tcMar>
              <w:top w:w="28" w:type="dxa"/>
              <w:left w:w="170" w:type="dxa"/>
              <w:bottom w:w="170" w:type="dxa"/>
              <w:right w:w="170" w:type="dxa"/>
            </w:tcMar>
            <w:hideMark/>
          </w:tcPr>
          <w:p w14:paraId="07C5E7B6" w14:textId="77777777" w:rsidR="00EE577B" w:rsidRPr="00536E75" w:rsidRDefault="00EE577B">
            <w:pPr>
              <w:pStyle w:val="BodyText"/>
            </w:pPr>
            <w:r w:rsidRPr="00536E75">
              <w:t>Worker and provider registration in the care economy is a topical issue, particularly in the NDIS where most workers and providers are not required to be registered. Many participants raised the issue of worker and provider registration in submissions, highlighting the quality and safety benefits of registration or noting that the PC’s draft recommendations to streamline registration and audit processes (and their associated benefits) would apply only to those requiring or choosing to be registered.</w:t>
            </w:r>
            <w:r w:rsidRPr="00536E75" w:rsidDel="00FC27B9">
              <w:t xml:space="preserve"> </w:t>
            </w:r>
            <w:r w:rsidRPr="00536E75">
              <w:t>For example:</w:t>
            </w:r>
          </w:p>
          <w:p w14:paraId="4E56F321" w14:textId="77777777" w:rsidR="00EE577B" w:rsidRPr="00F36C53" w:rsidRDefault="00EE577B">
            <w:pPr>
              <w:pStyle w:val="Quote"/>
              <w:rPr>
                <w:spacing w:val="-2"/>
              </w:rPr>
            </w:pPr>
            <w:r w:rsidRPr="00F36C53">
              <w:rPr>
                <w:spacing w:val="-2"/>
              </w:rPr>
              <w:t xml:space="preserve">Registration of services and individual support workers is particularly important for people with an intellectual </w:t>
            </w:r>
            <w:proofErr w:type="gramStart"/>
            <w:r w:rsidRPr="00F36C53">
              <w:rPr>
                <w:spacing w:val="-2"/>
              </w:rPr>
              <w:t>disability,</w:t>
            </w:r>
            <w:proofErr w:type="gramEnd"/>
            <w:r w:rsidRPr="00F36C53">
              <w:rPr>
                <w:spacing w:val="-2"/>
              </w:rPr>
              <w:t xml:space="preserve"> many of whom rely on workers they have not chosen themselves and may not know well. For people who do not have strong informal supports or family involvement, a worker register can provide a critical safeguard. (Inclusion Australia, sub. 117, p. 2)</w:t>
            </w:r>
          </w:p>
          <w:p w14:paraId="78BA13CC" w14:textId="77777777" w:rsidR="00EE577B" w:rsidRPr="00536E75" w:rsidRDefault="00EE577B">
            <w:pPr>
              <w:pStyle w:val="Quote"/>
            </w:pPr>
            <w:r w:rsidRPr="00536E75">
              <w:t>There remains an inherent and pervasive risk that providers who are subject to sanctions in one system can establish themselves as unregistered NDIS providers and therefore continue to deliver care services to vulnerable people. We echo our previous call for the implementation of mandatory NDIS registration as recommended by the NDIS Review which would address this loophole and ensure the effectiveness of cross sector registration and screening. (Uniting NSW.ACT, sub.</w:t>
            </w:r>
            <w:r>
              <w:t> </w:t>
            </w:r>
            <w:r w:rsidRPr="00536E75">
              <w:t>114, p.</w:t>
            </w:r>
            <w:r>
              <w:t> 5</w:t>
            </w:r>
            <w:r w:rsidRPr="00536E75">
              <w:t>)</w:t>
            </w:r>
          </w:p>
          <w:p w14:paraId="15967F02" w14:textId="77777777" w:rsidR="00EE577B" w:rsidRPr="00536E75" w:rsidRDefault="00EE577B">
            <w:pPr>
              <w:pStyle w:val="Quote"/>
            </w:pPr>
            <w:proofErr w:type="gramStart"/>
            <w:r w:rsidRPr="00536E75">
              <w:t>The vast majority of</w:t>
            </w:r>
            <w:proofErr w:type="gramEnd"/>
            <w:r w:rsidRPr="00536E75">
              <w:t xml:space="preserve"> providers are not required to demonstrate suitability to provide disability services, conduct worker screening, or comply with the NDIS Practice Standards. Such disparities undermine efforts to safeguard quality and safety across the entire sector. For </w:t>
            </w:r>
            <w:r w:rsidRPr="00536E75">
              <w:lastRenderedPageBreak/>
              <w:t>reforms to have genuine impact, they must be extended to all organisations delivering NDIS supports — not just a select subset. (NDS, sub.</w:t>
            </w:r>
            <w:r>
              <w:t> </w:t>
            </w:r>
            <w:r w:rsidRPr="00536E75">
              <w:t>241, p.</w:t>
            </w:r>
            <w:r>
              <w:t> </w:t>
            </w:r>
            <w:r w:rsidRPr="00536E75">
              <w:t>7)</w:t>
            </w:r>
          </w:p>
          <w:p w14:paraId="499339FB" w14:textId="2414D1DA" w:rsidR="00EE577B" w:rsidRPr="00E20894" w:rsidRDefault="00D95B72">
            <w:pPr>
              <w:pStyle w:val="BodyText"/>
              <w:rPr>
                <w:spacing w:val="-2"/>
              </w:rPr>
            </w:pPr>
            <w:r w:rsidRPr="00E20894">
              <w:rPr>
                <w:spacing w:val="-2"/>
              </w:rPr>
              <w:t>W</w:t>
            </w:r>
            <w:r w:rsidR="00731DF1" w:rsidRPr="00E20894">
              <w:rPr>
                <w:spacing w:val="-2"/>
              </w:rPr>
              <w:t>e</w:t>
            </w:r>
            <w:r w:rsidR="0067285D" w:rsidRPr="00E20894">
              <w:rPr>
                <w:spacing w:val="-2"/>
              </w:rPr>
              <w:t xml:space="preserve"> </w:t>
            </w:r>
            <w:r w:rsidR="008E217E" w:rsidRPr="00E20894">
              <w:rPr>
                <w:spacing w:val="-2"/>
              </w:rPr>
              <w:t>acknowledge</w:t>
            </w:r>
            <w:r w:rsidR="00BB5DD3" w:rsidRPr="00E20894">
              <w:rPr>
                <w:spacing w:val="-2"/>
              </w:rPr>
              <w:t xml:space="preserve"> that m</w:t>
            </w:r>
            <w:r w:rsidR="00EE577B" w:rsidRPr="00E20894">
              <w:rPr>
                <w:spacing w:val="-2"/>
              </w:rPr>
              <w:t>andatory worker and provider registration has the potential to enable better oversight of those operating across care sectors</w:t>
            </w:r>
            <w:r w:rsidR="00BB5DD3" w:rsidRPr="00E20894">
              <w:rPr>
                <w:spacing w:val="-2"/>
              </w:rPr>
              <w:t xml:space="preserve">. </w:t>
            </w:r>
            <w:r w:rsidR="00EE577B" w:rsidRPr="00E20894">
              <w:rPr>
                <w:spacing w:val="-2"/>
              </w:rPr>
              <w:t xml:space="preserve">We </w:t>
            </w:r>
            <w:r w:rsidR="00BB5DD3" w:rsidRPr="00E20894">
              <w:rPr>
                <w:spacing w:val="-2"/>
              </w:rPr>
              <w:t>also</w:t>
            </w:r>
            <w:r w:rsidR="00EE577B" w:rsidRPr="00E20894">
              <w:rPr>
                <w:spacing w:val="-2"/>
              </w:rPr>
              <w:t xml:space="preserve"> note the recommendations of the NDIS Review and NDIS Provider and Worker Registration Taskforce and acknowledge the strong views (both ways) of many stakeholders on mandatory registration in the NDIS. In addition, the policy landscape is evolving, with proposed reforms to introduce mandatory registration for supported independent living, support coordination and platform providers in the NDIS </w:t>
            </w:r>
            <w:r w:rsidR="00EE577B" w:rsidRPr="00E20894">
              <w:rPr>
                <w:rFonts w:cs="Arial"/>
                <w:spacing w:val="-2"/>
              </w:rPr>
              <w:t>(NDIS Quality and Safeguards Commission 2025b)</w:t>
            </w:r>
            <w:r w:rsidR="00EE577B" w:rsidRPr="00E20894">
              <w:rPr>
                <w:spacing w:val="-2"/>
              </w:rPr>
              <w:t>. Improved communication from the Australian Government on its intentions regarding mandatory universal worker and provider registration would provide clarity to NDIS providers and care users.</w:t>
            </w:r>
          </w:p>
        </w:tc>
      </w:tr>
      <w:tr w:rsidR="00EE577B" w14:paraId="1808C942" w14:textId="77777777">
        <w:tc>
          <w:tcPr>
            <w:tcW w:w="9638" w:type="dxa"/>
            <w:shd w:val="clear" w:color="auto" w:fill="auto"/>
            <w:tcMar>
              <w:top w:w="0" w:type="dxa"/>
              <w:left w:w="170" w:type="dxa"/>
              <w:bottom w:w="0" w:type="dxa"/>
              <w:right w:w="170" w:type="dxa"/>
            </w:tcMar>
          </w:tcPr>
          <w:p w14:paraId="76C25376" w14:textId="77777777" w:rsidR="00EE577B" w:rsidRPr="00786881" w:rsidRDefault="00EE577B">
            <w:pPr>
              <w:pStyle w:val="NoSpacing"/>
            </w:pPr>
          </w:p>
        </w:tc>
      </w:tr>
    </w:tbl>
    <w:p w14:paraId="241DB854" w14:textId="197D5C7F" w:rsidR="00EE577B" w:rsidRDefault="00EE577B">
      <w:pPr>
        <w:pStyle w:val="NoSpacing"/>
      </w:pPr>
    </w:p>
    <w:tbl>
      <w:tblPr>
        <w:tblStyle w:val="Texttable-Paleblue"/>
        <w:tblW w:w="5000" w:type="pct"/>
        <w:tblLook w:val="04A0" w:firstRow="1" w:lastRow="0" w:firstColumn="1" w:lastColumn="0" w:noHBand="0" w:noVBand="1"/>
      </w:tblPr>
      <w:tblGrid>
        <w:gridCol w:w="713"/>
        <w:gridCol w:w="8925"/>
      </w:tblGrid>
      <w:tr w:rsidR="00EE577B" w14:paraId="50ACAAAB" w14:textId="77777777">
        <w:trPr>
          <w:tblHeader/>
        </w:trPr>
        <w:tc>
          <w:tcPr>
            <w:tcW w:w="709" w:type="dxa"/>
            <w:shd w:val="clear" w:color="auto" w:fill="E7F6FD"/>
            <w:tcMar>
              <w:top w:w="0" w:type="dxa"/>
              <w:bottom w:w="0" w:type="dxa"/>
            </w:tcMar>
            <w:vAlign w:val="center"/>
          </w:tcPr>
          <w:p w14:paraId="23352FB5" w14:textId="77777777" w:rsidR="00EE577B" w:rsidRDefault="00EE577B">
            <w:pPr>
              <w:keepLines/>
              <w:jc w:val="center"/>
            </w:pPr>
            <w:r w:rsidRPr="00A51374">
              <w:rPr>
                <w:noProof/>
              </w:rPr>
              <w:drawing>
                <wp:inline distT="0" distB="0" distL="0" distR="0" wp14:anchorId="7DCB9222" wp14:editId="05B21D8A">
                  <wp:extent cx="288000" cy="288000"/>
                  <wp:effectExtent l="0" t="0" r="0" b="0"/>
                  <wp:docPr id="388933460" name="Graphic 388933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A73E747" w14:textId="43A5795A" w:rsidR="00EE577B" w:rsidRPr="00715040" w:rsidRDefault="00EE577B">
            <w:pPr>
              <w:pStyle w:val="TableHeading"/>
              <w:keepLines/>
              <w:spacing w:before="120" w:after="120"/>
              <w:contextualSpacing/>
              <w:rPr>
                <w:sz w:val="20"/>
              </w:rPr>
            </w:pPr>
            <w:r w:rsidRPr="00715040">
              <w:rPr>
                <w:sz w:val="20"/>
              </w:rPr>
              <w:t xml:space="preserve">Recommendation </w:t>
            </w:r>
            <w:r w:rsidRPr="00715040">
              <w:rPr>
                <w:sz w:val="20"/>
              </w:rPr>
              <w:fldChar w:fldCharType="begin"/>
            </w:r>
            <w:r w:rsidRPr="00715040">
              <w:rPr>
                <w:sz w:val="20"/>
              </w:rPr>
              <w:instrText xml:space="preserve"> STYLEREF 1 \s </w:instrText>
            </w:r>
            <w:r w:rsidRPr="00715040">
              <w:rPr>
                <w:sz w:val="20"/>
              </w:rPr>
              <w:fldChar w:fldCharType="separate"/>
            </w:r>
            <w:r w:rsidR="00FB1849">
              <w:rPr>
                <w:noProof/>
                <w:sz w:val="20"/>
              </w:rPr>
              <w:t>1</w:t>
            </w:r>
            <w:r w:rsidRPr="00715040">
              <w:rPr>
                <w:sz w:val="20"/>
              </w:rPr>
              <w:fldChar w:fldCharType="end"/>
            </w:r>
            <w:r w:rsidRPr="00715040">
              <w:rPr>
                <w:sz w:val="20"/>
              </w:rPr>
              <w:t>.</w:t>
            </w:r>
            <w:r w:rsidRPr="00715040">
              <w:rPr>
                <w:sz w:val="20"/>
              </w:rPr>
              <w:fldChar w:fldCharType="begin"/>
            </w:r>
            <w:r w:rsidRPr="00715040">
              <w:rPr>
                <w:sz w:val="20"/>
              </w:rPr>
              <w:instrText xml:space="preserve"> SEQ Recommendation \* ARABIC \s 1 </w:instrText>
            </w:r>
            <w:r w:rsidRPr="00715040">
              <w:rPr>
                <w:sz w:val="20"/>
              </w:rPr>
              <w:fldChar w:fldCharType="separate"/>
            </w:r>
            <w:r w:rsidR="00FB1849">
              <w:rPr>
                <w:noProof/>
                <w:sz w:val="20"/>
              </w:rPr>
              <w:t>1</w:t>
            </w:r>
            <w:r w:rsidRPr="00715040">
              <w:rPr>
                <w:sz w:val="20"/>
              </w:rPr>
              <w:fldChar w:fldCharType="end"/>
            </w:r>
          </w:p>
          <w:p w14:paraId="5B7C754B" w14:textId="77777777" w:rsidR="00EE577B" w:rsidRPr="00715040" w:rsidRDefault="00EE577B">
            <w:pPr>
              <w:pStyle w:val="TableHeading"/>
              <w:keepLines/>
              <w:spacing w:before="120" w:after="120"/>
              <w:contextualSpacing/>
              <w:rPr>
                <w:sz w:val="20"/>
              </w:rPr>
            </w:pPr>
            <w:r w:rsidRPr="000C30E9">
              <w:rPr>
                <w:sz w:val="20"/>
                <w:szCs w:val="22"/>
              </w:rPr>
              <w:t>Align quality and safety regulation of workers across the care economy</w:t>
            </w:r>
          </w:p>
        </w:tc>
      </w:tr>
      <w:tr w:rsidR="00EE577B" w14:paraId="64D9BA2B" w14:textId="77777777">
        <w:tc>
          <w:tcPr>
            <w:tcW w:w="9583" w:type="dxa"/>
            <w:gridSpan w:val="2"/>
            <w:shd w:val="clear" w:color="auto" w:fill="E7F6FD"/>
            <w:tcMar>
              <w:top w:w="0" w:type="dxa"/>
            </w:tcMar>
          </w:tcPr>
          <w:p w14:paraId="0B1C3598" w14:textId="08F8E5F7" w:rsidR="00EE577B" w:rsidRPr="00536E75" w:rsidRDefault="00EE577B">
            <w:pPr>
              <w:pStyle w:val="BodyText"/>
              <w:keepNext/>
            </w:pPr>
            <w:r w:rsidRPr="00536E75">
              <w:t>The Australian Government, in collaboration with state and territory governments where required, should:</w:t>
            </w:r>
          </w:p>
          <w:p w14:paraId="5440C908" w14:textId="77777777" w:rsidR="00EE577B" w:rsidRPr="00536E75" w:rsidRDefault="00EE577B" w:rsidP="00EE577B">
            <w:pPr>
              <w:pStyle w:val="ListBullet"/>
            </w:pPr>
            <w:r w:rsidRPr="00536E75">
              <w:t xml:space="preserve">establish a national worker screening check that combines current aged care, </w:t>
            </w:r>
            <w:r>
              <w:t>National Disability Insurance Scheme (</w:t>
            </w:r>
            <w:r w:rsidRPr="00536E75">
              <w:t>NDIS</w:t>
            </w:r>
            <w:r>
              <w:t>)</w:t>
            </w:r>
            <w:r w:rsidRPr="00536E75">
              <w:t xml:space="preserve">, working with children and working with vulnerable people checks. The check should be supported by a national continuous checking capability that monitors clearance holders’ criminal histories and communicates relevant offences to government agencies in real time </w:t>
            </w:r>
          </w:p>
          <w:p w14:paraId="546D1651" w14:textId="77777777" w:rsidR="00EE577B" w:rsidRPr="00536E75" w:rsidRDefault="00EE577B" w:rsidP="00EE577B">
            <w:pPr>
              <w:pStyle w:val="ListBullet"/>
            </w:pPr>
            <w:r w:rsidRPr="00536E75">
              <w:t xml:space="preserve">design the proposed national worker registration scheme for personal care workers </w:t>
            </w:r>
            <w:r>
              <w:t xml:space="preserve">in </w:t>
            </w:r>
            <w:r w:rsidRPr="00536E75">
              <w:t xml:space="preserve">aged care with sufficient flexibility to allow for any future expansion to the </w:t>
            </w:r>
            <w:r>
              <w:t>NDIS</w:t>
            </w:r>
            <w:r w:rsidRPr="00536E75">
              <w:t>,</w:t>
            </w:r>
            <w:r w:rsidRPr="00536E75" w:rsidDel="00065426">
              <w:t xml:space="preserve"> </w:t>
            </w:r>
            <w:r w:rsidRPr="00536E75">
              <w:t>the veterans’ care sector or other care professions, should the Australian Government choose to introduce further registration requirements</w:t>
            </w:r>
          </w:p>
          <w:p w14:paraId="77FDF62B" w14:textId="77777777" w:rsidR="00EE577B" w:rsidRPr="00767EAE" w:rsidRDefault="00EE577B" w:rsidP="00EE577B">
            <w:pPr>
              <w:pStyle w:val="ListBullet"/>
            </w:pPr>
            <w:r w:rsidRPr="00536E75">
              <w:t>develop a single digital worker registration portal to allow workers registered under the proposed registration schemes in aged care and early childhood education and care</w:t>
            </w:r>
            <w:r w:rsidRPr="00536E75" w:rsidDel="005A2662">
              <w:t xml:space="preserve"> </w:t>
            </w:r>
            <w:r w:rsidRPr="00536E75">
              <w:t>to manage their registration details in one place. The portal should be designed with sufficient flexibility to enable it to support other worker registration schemes in the care economy if required.</w:t>
            </w:r>
          </w:p>
        </w:tc>
      </w:tr>
      <w:tr w:rsidR="00EE577B" w14:paraId="033CB5E3" w14:textId="77777777">
        <w:tc>
          <w:tcPr>
            <w:tcW w:w="9583" w:type="dxa"/>
            <w:gridSpan w:val="2"/>
            <w:shd w:val="clear" w:color="auto" w:fill="auto"/>
            <w:tcMar>
              <w:top w:w="0" w:type="dxa"/>
              <w:bottom w:w="0" w:type="dxa"/>
            </w:tcMar>
          </w:tcPr>
          <w:p w14:paraId="0FC7E8DA" w14:textId="22769F0E" w:rsidR="00EE577B" w:rsidRPr="007E0EA8" w:rsidRDefault="00EE577B">
            <w:pPr>
              <w:pStyle w:val="NoSpacing"/>
              <w:spacing w:line="200" w:lineRule="exact"/>
            </w:pPr>
          </w:p>
        </w:tc>
      </w:tr>
    </w:tbl>
    <w:p w14:paraId="4B1A6BE7" w14:textId="77777777" w:rsidR="00EE577B" w:rsidRPr="00536E75" w:rsidRDefault="00EE577B">
      <w:pPr>
        <w:pStyle w:val="Heading3"/>
      </w:pPr>
      <w:r w:rsidRPr="00536E75">
        <w:t>Improving alignment in provider and service regulation</w:t>
      </w:r>
    </w:p>
    <w:p w14:paraId="4FAA5DBA" w14:textId="77777777" w:rsidR="00EE577B" w:rsidRPr="00536E75" w:rsidRDefault="00EE577B">
      <w:pPr>
        <w:pStyle w:val="BodyText"/>
      </w:pPr>
      <w:r w:rsidRPr="00536E75">
        <w:t>The Australian, state and territory governments should undertake a suite of provider</w:t>
      </w:r>
      <w:r>
        <w:noBreakHyphen/>
      </w:r>
      <w:r w:rsidRPr="00536E75">
        <w:t xml:space="preserve"> and service</w:t>
      </w:r>
      <w:r>
        <w:noBreakHyphen/>
      </w:r>
      <w:r w:rsidRPr="00536E75">
        <w:t xml:space="preserve">related actions to </w:t>
      </w:r>
      <w:r>
        <w:t>better</w:t>
      </w:r>
      <w:r w:rsidRPr="00536E75">
        <w:t xml:space="preserve"> align quality and safety regulation. In addition, the Australian Government should assess the case for combining the aged care and NDIS regulators into a single entity that would also perform quality and safety regulatory functions in veterans’ care services. These reforms aim to streamline processes and requirements for care providers without lowering standards, with flow</w:t>
      </w:r>
      <w:r>
        <w:noBreakHyphen/>
      </w:r>
      <w:r w:rsidRPr="00536E75">
        <w:t>on benefits for care users. We estimate that</w:t>
      </w:r>
      <w:r w:rsidRPr="00536E75" w:rsidDel="00EF3214">
        <w:t xml:space="preserve"> </w:t>
      </w:r>
      <w:r w:rsidRPr="00536E75">
        <w:t>aligned suitability, audits and registration processes, once fully implemented, will deliver time and cost savings to providers of $91 million per year (figure</w:t>
      </w:r>
      <w:r>
        <w:t> </w:t>
      </w:r>
      <w:r w:rsidRPr="00536E75">
        <w:t>1.4, appendix</w:t>
      </w:r>
      <w:r>
        <w:t> B</w:t>
      </w:r>
      <w:r w:rsidRPr="00536E75">
        <w:t xml:space="preserve">). </w:t>
      </w:r>
    </w:p>
    <w:p w14:paraId="55DA8D20" w14:textId="77777777" w:rsidR="00EE577B" w:rsidRPr="00536E75" w:rsidRDefault="00EE577B">
      <w:pPr>
        <w:pStyle w:val="FigureTableHeading"/>
      </w:pPr>
      <w:r w:rsidRPr="00536E75">
        <w:lastRenderedPageBreak/>
        <w:t>Figure</w:t>
      </w:r>
      <w:r>
        <w:t> </w:t>
      </w:r>
      <w:r w:rsidRPr="00536E75">
        <w:t>1.4 – Aligned suitability, audit and registration processes will save providers $91 million per year</w:t>
      </w:r>
    </w:p>
    <w:p w14:paraId="3C64D553" w14:textId="7C53F35C" w:rsidR="00EE577B" w:rsidRPr="00536E75" w:rsidRDefault="006D2D2F" w:rsidP="006D2D2F">
      <w:pPr>
        <w:pStyle w:val="BodyText"/>
        <w:spacing w:after="240"/>
      </w:pPr>
      <w:r w:rsidRPr="006D2D2F">
        <w:rPr>
          <w:noProof/>
        </w:rPr>
        <w:drawing>
          <wp:inline distT="0" distB="0" distL="0" distR="0" wp14:anchorId="3E2972EB" wp14:editId="6542BA51">
            <wp:extent cx="6120130" cy="1109980"/>
            <wp:effectExtent l="0" t="0" r="0" b="0"/>
            <wp:docPr id="1461451894" name="Picture 3" descr="Time: 182,000 hours saved each year from completing less duplicative paperwork&#10;Plus&#10;Money: $68 million in savings each year from fewer audit and registration fees&#10;Equals&#10;Total benefit: $91 million per year in nominal te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51894" name="Picture 3" descr="Time: 182,000 hours saved each year from completing less duplicative paperwork&#10;Plus&#10;Money: $68 million in savings each year from fewer audit and registration fees&#10;Equals&#10;Total benefit: $91 million per year in nominal terms&#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1109980"/>
                    </a:xfrm>
                    <a:prstGeom prst="rect">
                      <a:avLst/>
                    </a:prstGeom>
                    <a:noFill/>
                    <a:ln>
                      <a:noFill/>
                    </a:ln>
                  </pic:spPr>
                </pic:pic>
              </a:graphicData>
            </a:graphic>
          </wp:inline>
        </w:drawing>
      </w:r>
    </w:p>
    <w:p w14:paraId="03589CAF" w14:textId="199722A0" w:rsidR="00EE577B" w:rsidRPr="00536E75" w:rsidRDefault="00EE577B">
      <w:pPr>
        <w:pStyle w:val="BodyText"/>
      </w:pPr>
      <w:r w:rsidRPr="00536E75">
        <w:t>Importantly, these reforms are expected to improve outcomes for care users. We estimate our recommendations free up the equivalent of 1.1 million care hours each year</w:t>
      </w:r>
      <w:r>
        <w:t>,</w:t>
      </w:r>
      <w:r w:rsidRPr="002B0A03">
        <w:rPr>
          <w:rStyle w:val="FootnoteReference"/>
        </w:rPr>
        <w:footnoteReference w:id="5"/>
      </w:r>
      <w:r w:rsidRPr="00536E75">
        <w:t xml:space="preserve"> which could be </w:t>
      </w:r>
      <w:r w:rsidR="00590B3E">
        <w:t>used</w:t>
      </w:r>
      <w:r w:rsidR="00590B3E" w:rsidRPr="00536E75">
        <w:t xml:space="preserve"> </w:t>
      </w:r>
      <w:r w:rsidRPr="00536E75">
        <w:t>to provid</w:t>
      </w:r>
      <w:r w:rsidR="00FD2413">
        <w:t>e care to more people</w:t>
      </w:r>
      <w:r w:rsidR="00296890">
        <w:t xml:space="preserve"> or invested</w:t>
      </w:r>
      <w:r w:rsidR="0085350C">
        <w:t xml:space="preserve"> </w:t>
      </w:r>
      <w:r w:rsidR="00117F20">
        <w:t>in</w:t>
      </w:r>
      <w:r w:rsidRPr="00536E75">
        <w:t xml:space="preserve"> improving systems.</w:t>
      </w:r>
      <w:r w:rsidRPr="00536E75" w:rsidDel="00077EAA">
        <w:t xml:space="preserve"> </w:t>
      </w:r>
      <w:r w:rsidR="00077EAA">
        <w:t>Our proposed</w:t>
      </w:r>
      <w:r w:rsidRPr="00536E75">
        <w:t xml:space="preserve"> actions will also better safeguard care users against unscrupulous providers and support a more outcome</w:t>
      </w:r>
      <w:r w:rsidRPr="00536E75">
        <w:noBreakHyphen/>
        <w:t>focused and joined</w:t>
      </w:r>
      <w:r w:rsidRPr="00536E75">
        <w:noBreakHyphen/>
        <w:t>up care experience.</w:t>
      </w:r>
    </w:p>
    <w:p w14:paraId="797F9CA5" w14:textId="77777777" w:rsidR="00EE577B" w:rsidRPr="00536E75" w:rsidDel="00D14B3C" w:rsidRDefault="00EE577B">
      <w:pPr>
        <w:pStyle w:val="Quote"/>
      </w:pPr>
      <w:r w:rsidRPr="00536E75">
        <w:t>Families we work with have consistently raised deep concerns that poor</w:t>
      </w:r>
      <w:r>
        <w:noBreakHyphen/>
      </w:r>
      <w:r w:rsidRPr="00536E75">
        <w:t>quality and unsuitable providers are able to move unchecked between systems</w:t>
      </w:r>
      <w:r>
        <w:t xml:space="preserve">. </w:t>
      </w:r>
      <w:r w:rsidRPr="00536E75">
        <w:t>These reforms are vital safeguards to prevent unfit workers and providers from exploiting regulatory gaps between systems. (ACD, sub. 78, p.</w:t>
      </w:r>
      <w:r>
        <w:t> </w:t>
      </w:r>
      <w:r w:rsidRPr="00536E75">
        <w:t>2)</w:t>
      </w:r>
    </w:p>
    <w:p w14:paraId="2FA95330" w14:textId="77777777" w:rsidR="00EE577B" w:rsidRPr="00F36C53" w:rsidDel="00D14B3C" w:rsidRDefault="00EE577B">
      <w:pPr>
        <w:pStyle w:val="Quote"/>
        <w:rPr>
          <w:spacing w:val="-2"/>
        </w:rPr>
      </w:pPr>
      <w:r w:rsidRPr="00F36C53">
        <w:rPr>
          <w:spacing w:val="-2"/>
        </w:rPr>
        <w:t>Reducing compliance burden through alignment of regulation across the care economy is one way to foster innovation, as it will lead to cost savings that can be reinvested by the provider into other areas. This could include data and digital solutions that promote increased efficiency, while delivering quality care. There are providers already leading in this space – for example, we are aware of providers using artificial intelligence to monitor for falls. (Ageing Australia, sub. 20, pp. 4–5)</w:t>
      </w:r>
    </w:p>
    <w:p w14:paraId="0DE92BFC" w14:textId="77777777" w:rsidR="00EE577B" w:rsidRPr="00706E88" w:rsidRDefault="00EE577B">
      <w:pPr>
        <w:pStyle w:val="Heading4"/>
        <w:rPr>
          <w:spacing w:val="-6"/>
        </w:rPr>
      </w:pPr>
      <w:r w:rsidRPr="00706E88">
        <w:rPr>
          <w:spacing w:val="-6"/>
        </w:rPr>
        <w:t>Develop a common suitability test across aged care, NDIS, veterans’ care and ECEC</w:t>
      </w:r>
    </w:p>
    <w:p w14:paraId="45492A54" w14:textId="77777777" w:rsidR="00EE577B" w:rsidRPr="00536E75" w:rsidRDefault="00EE577B">
      <w:pPr>
        <w:pStyle w:val="BodyText"/>
      </w:pPr>
      <w:r w:rsidRPr="00536E75">
        <w:t xml:space="preserve">The Australian Government should develop a common suitability test that providers complete once to operate across the aged care, NDIS, veterans’ care and ECEC sectors. Currently, providers must demonstrate </w:t>
      </w:r>
      <w:r>
        <w:t xml:space="preserve">their </w:t>
      </w:r>
      <w:r w:rsidRPr="00536E75">
        <w:t>suitability for each sector separately, although the assessments are often similar and can require the same types of supporting documentation. A single suitability test would remove this duplication.</w:t>
      </w:r>
    </w:p>
    <w:p w14:paraId="22E9B2CE" w14:textId="77777777" w:rsidR="00EE577B" w:rsidRPr="00536E75" w:rsidRDefault="00EE577B">
      <w:pPr>
        <w:pStyle w:val="BodyText"/>
      </w:pPr>
      <w:r w:rsidRPr="00536E75">
        <w:t>Where suitability criteria relate to experience or competency in a specific sector, as they do in aged care, a modular approach could be employed. This would mean that providers expanding into a new sector would only need to satisfy any ‘top</w:t>
      </w:r>
      <w:r w:rsidRPr="00536E75">
        <w:noBreakHyphen/>
        <w:t>up’ suitability criteria specific to that sector.</w:t>
      </w:r>
    </w:p>
    <w:p w14:paraId="7A7D5DF4" w14:textId="77777777" w:rsidR="00EE577B" w:rsidRPr="00536E75" w:rsidRDefault="00EE577B">
      <w:pPr>
        <w:pStyle w:val="BodyText"/>
      </w:pPr>
      <w:r w:rsidRPr="00536E75">
        <w:t xml:space="preserve">Over time, a common suitability assessment could be extended to other </w:t>
      </w:r>
      <w:r w:rsidRPr="00536E75" w:rsidDel="00C14996">
        <w:t xml:space="preserve">care sectors </w:t>
      </w:r>
      <w:r w:rsidRPr="00536E75">
        <w:t xml:space="preserve">where suitability tests are </w:t>
      </w:r>
      <w:r w:rsidRPr="00536E75" w:rsidDel="003B46BF">
        <w:t>undertaken</w:t>
      </w:r>
      <w:r w:rsidRPr="00536E75">
        <w:t xml:space="preserve">, </w:t>
      </w:r>
      <w:r w:rsidRPr="00536E75" w:rsidDel="00556438">
        <w:t>further reducing duplication</w:t>
      </w:r>
      <w:r w:rsidRPr="00536E75">
        <w:t>.</w:t>
      </w:r>
    </w:p>
    <w:p w14:paraId="368A40AB" w14:textId="77777777" w:rsidR="00EE577B" w:rsidRPr="00536E75" w:rsidRDefault="00EE577B">
      <w:pPr>
        <w:pStyle w:val="BodyText"/>
      </w:pPr>
      <w:r w:rsidRPr="00536E75">
        <w:t>A common suitability test could be facilitated by a single digital portal for provider registration, approvals and audits, given that suitability tests are generally conducted as part of registration or approval processes.</w:t>
      </w:r>
    </w:p>
    <w:p w14:paraId="70DFB0AB" w14:textId="77777777" w:rsidR="00EE577B" w:rsidRPr="00536E75" w:rsidRDefault="00EE577B">
      <w:pPr>
        <w:pStyle w:val="Heading4"/>
      </w:pPr>
      <w:r w:rsidRPr="00536E75">
        <w:t xml:space="preserve">Create a single digital portal for provider registration, approval and audits </w:t>
      </w:r>
    </w:p>
    <w:p w14:paraId="50897413" w14:textId="77777777" w:rsidR="00EE577B" w:rsidRPr="00536E75" w:rsidRDefault="00EE577B">
      <w:pPr>
        <w:pStyle w:val="BodyText"/>
        <w:keepNext/>
      </w:pPr>
      <w:r w:rsidRPr="00536E75">
        <w:t>To reduce the number of contact points that cross</w:t>
      </w:r>
      <w:r>
        <w:noBreakHyphen/>
      </w:r>
      <w:r w:rsidRPr="00536E75">
        <w:t xml:space="preserve">sector providers have with regulators and centralise information about their registrations, approvals and audits, a single provider portal should be developed for </w:t>
      </w:r>
      <w:r w:rsidRPr="00536E75">
        <w:lastRenderedPageBreak/>
        <w:t>providers in the aged care, NDIS and veterans’ care sectors and those approved to administer the Child Care Subsidy</w:t>
      </w:r>
      <w:r w:rsidRPr="00536E75" w:rsidDel="007B08FE">
        <w:t xml:space="preserve"> </w:t>
      </w:r>
      <w:r w:rsidRPr="00536E75">
        <w:t>in the ECEC sector. This portal would:</w:t>
      </w:r>
    </w:p>
    <w:p w14:paraId="4436E2BB" w14:textId="77777777" w:rsidR="00EE577B" w:rsidRPr="00536E75" w:rsidRDefault="00EE577B" w:rsidP="00EE577B">
      <w:pPr>
        <w:pStyle w:val="ListBullet"/>
      </w:pPr>
      <w:r w:rsidRPr="00536E75">
        <w:t>store and present information about a provider’s registrations, approvals and audits in the three sectors (as relevant), allowing providers to view and manage these details in one place</w:t>
      </w:r>
    </w:p>
    <w:p w14:paraId="08A4F402" w14:textId="77777777" w:rsidR="00EE577B" w:rsidRPr="00536E75" w:rsidRDefault="00EE577B" w:rsidP="00EE577B">
      <w:pPr>
        <w:pStyle w:val="ListBullet"/>
      </w:pPr>
      <w:r w:rsidRPr="00536E75">
        <w:t>allow providers to upload documents and other evidence related to registration, approvals and audits, which would be accessible to all relevant regulators as necessary, reducing the need for providers to submit the same or similar information multiple times to different regulators</w:t>
      </w:r>
    </w:p>
    <w:p w14:paraId="3B319C8F" w14:textId="77777777" w:rsidR="00EE577B" w:rsidRPr="00536E75" w:rsidRDefault="00EE577B" w:rsidP="00EE577B">
      <w:pPr>
        <w:pStyle w:val="ListBullet"/>
      </w:pPr>
      <w:r w:rsidRPr="00536E75">
        <w:t xml:space="preserve">contain a provider’s audit compliance history, which could be used to support mutual recognition of audits across the three sectors. </w:t>
      </w:r>
    </w:p>
    <w:p w14:paraId="794FFDC0" w14:textId="77777777" w:rsidR="00EE577B" w:rsidRPr="00536E75" w:rsidRDefault="00EE577B">
      <w:pPr>
        <w:pStyle w:val="BodyText"/>
      </w:pPr>
      <w:r w:rsidRPr="00536E75">
        <w:t>Appropriate security protocols must be in place to protect data stored on the portal. The consequences of any data breach to a centralised portal would be graver than for sector</w:t>
      </w:r>
      <w:r>
        <w:noBreakHyphen/>
      </w:r>
      <w:r w:rsidRPr="00536E75">
        <w:t>specific portals, given the breadth of information it would contain. The Australian Government must therefore adopt sufficient protections to mitigate against this risk.</w:t>
      </w:r>
    </w:p>
    <w:p w14:paraId="0CC6ACDC" w14:textId="3EC22D5F" w:rsidR="00EE577B" w:rsidRPr="00536E75" w:rsidRDefault="00EE577B">
      <w:pPr>
        <w:pStyle w:val="BodyText"/>
      </w:pPr>
      <w:r w:rsidRPr="00536E75">
        <w:t>Over time, the portal could be further extended to other sectors or services where registration, approval</w:t>
      </w:r>
      <w:r w:rsidR="00CC59F5">
        <w:t>s</w:t>
      </w:r>
      <w:r w:rsidRPr="00536E75">
        <w:t xml:space="preserve"> and/or audits are required.</w:t>
      </w:r>
    </w:p>
    <w:p w14:paraId="3CE21C02" w14:textId="5E84A857" w:rsidR="00EE577B" w:rsidRPr="00536E75" w:rsidRDefault="00EE577B">
      <w:pPr>
        <w:pStyle w:val="BodyText"/>
      </w:pPr>
      <w:r w:rsidRPr="00536E75">
        <w:t xml:space="preserve">A single portal could reduce the burden of compliance for providers operating across sectors even if regulatory requirements and processes differ, since many of the underlying standards or types of supporting evidence overlap. </w:t>
      </w:r>
      <w:r w:rsidR="00A7592B">
        <w:t>T</w:t>
      </w:r>
      <w:r w:rsidRPr="00536E75">
        <w:t xml:space="preserve">he portal </w:t>
      </w:r>
      <w:r w:rsidRPr="00536E75" w:rsidDel="00537356">
        <w:t>w</w:t>
      </w:r>
      <w:r w:rsidRPr="00536E75">
        <w:t>ould also be a stepping stone towards cross</w:t>
      </w:r>
      <w:r w:rsidRPr="00536E75">
        <w:noBreakHyphen/>
        <w:t xml:space="preserve">sectoral provider registration and audits across the aged care, NDIS and disability sectors, as </w:t>
      </w:r>
      <w:r w:rsidRPr="00536E75" w:rsidDel="0074570A">
        <w:t xml:space="preserve">proposed </w:t>
      </w:r>
      <w:r w:rsidRPr="00536E75">
        <w:t>below.</w:t>
      </w:r>
    </w:p>
    <w:p w14:paraId="49595962" w14:textId="77777777" w:rsidR="00EE577B" w:rsidRPr="00536E75" w:rsidRDefault="00EE577B">
      <w:pPr>
        <w:pStyle w:val="BodyText"/>
      </w:pPr>
      <w:r w:rsidRPr="00536E75">
        <w:t>The single digital portal should allow providers to view and manage their registration and audits across sectors in a genuinely integrated way, rather than merely providing a common ‘front door’ beyond which digital systems remain siloed. Failing to truly integrate the functions of the portal would reduce its benefits and represent a wasted opportunity to streamline regulatory processes.</w:t>
      </w:r>
    </w:p>
    <w:p w14:paraId="03C6EA95" w14:textId="77777777" w:rsidR="00EE577B" w:rsidRPr="007B50FB" w:rsidRDefault="00EE577B">
      <w:pPr>
        <w:pStyle w:val="Heading4"/>
      </w:pPr>
      <w:r w:rsidRPr="00536E75">
        <w:rPr>
          <w:iCs w:val="0"/>
        </w:rPr>
        <w:t>Establish cross</w:t>
      </w:r>
      <w:r>
        <w:rPr>
          <w:iCs w:val="0"/>
        </w:rPr>
        <w:noBreakHyphen/>
      </w:r>
      <w:r w:rsidRPr="00536E75">
        <w:rPr>
          <w:iCs w:val="0"/>
        </w:rPr>
        <w:t>sectoral registration and audits for providers in aged care, NDIS and veterans’ care, with mutual recogn</w:t>
      </w:r>
      <w:r>
        <w:rPr>
          <w:rFonts w:ascii="Arial" w:hAnsi="Arial" w:cs="Arial"/>
        </w:rPr>
        <w:t>i</w:t>
      </w:r>
      <w:r w:rsidRPr="007B50FB">
        <w:t>tion as an interim step</w:t>
      </w:r>
    </w:p>
    <w:p w14:paraId="012211C7" w14:textId="020C717F" w:rsidR="00EE577B" w:rsidRPr="007B50FB" w:rsidRDefault="00EE577B">
      <w:pPr>
        <w:pStyle w:val="BodyText"/>
        <w:rPr>
          <w:color w:val="000000" w:themeColor="text1"/>
        </w:rPr>
      </w:pPr>
      <w:r w:rsidRPr="007B50FB">
        <w:rPr>
          <w:color w:val="000000" w:themeColor="text1"/>
        </w:rPr>
        <w:t>Further to developing a common suitability test, the Australian Government should develop cross</w:t>
      </w:r>
      <w:r>
        <w:rPr>
          <w:color w:val="000000" w:themeColor="text1"/>
        </w:rPr>
        <w:noBreakHyphen/>
      </w:r>
      <w:r w:rsidRPr="007B50FB">
        <w:rPr>
          <w:color w:val="000000" w:themeColor="text1"/>
        </w:rPr>
        <w:t xml:space="preserve">sectoral provider registration and audit arrangements for the aged care, NDIS and veterans’ care sectors. These arrangements would apply only to registered and audited providers. </w:t>
      </w:r>
    </w:p>
    <w:p w14:paraId="1310A2E3" w14:textId="77777777" w:rsidR="00EE577B" w:rsidRPr="007B50FB" w:rsidRDefault="00EE577B">
      <w:pPr>
        <w:pStyle w:val="BodyText"/>
        <w:rPr>
          <w:color w:val="000000" w:themeColor="text1"/>
        </w:rPr>
      </w:pPr>
      <w:r w:rsidRPr="007B50FB">
        <w:rPr>
          <w:color w:val="000000" w:themeColor="text1"/>
        </w:rPr>
        <w:t>Under a cross</w:t>
      </w:r>
      <w:r>
        <w:rPr>
          <w:color w:val="000000" w:themeColor="text1"/>
        </w:rPr>
        <w:noBreakHyphen/>
      </w:r>
      <w:r w:rsidRPr="007B50FB">
        <w:rPr>
          <w:color w:val="000000" w:themeColor="text1"/>
        </w:rPr>
        <w:t>sectoral registration system, providers across sectors would undergo a single process to be registered and</w:t>
      </w:r>
      <w:r>
        <w:rPr>
          <w:color w:val="000000" w:themeColor="text1"/>
        </w:rPr>
        <w:t xml:space="preserve"> would</w:t>
      </w:r>
      <w:r w:rsidRPr="007B50FB">
        <w:rPr>
          <w:color w:val="000000" w:themeColor="text1"/>
        </w:rPr>
        <w:t xml:space="preserve"> subsequently be able to work across the different sectors within their registration category (for example, household tasks). </w:t>
      </w:r>
      <w:r w:rsidRPr="007B50FB" w:rsidDel="00FD502F">
        <w:rPr>
          <w:color w:val="000000" w:themeColor="text1"/>
        </w:rPr>
        <w:t xml:space="preserve">Registration </w:t>
      </w:r>
      <w:r w:rsidRPr="007B50FB">
        <w:rPr>
          <w:color w:val="000000" w:themeColor="text1"/>
        </w:rPr>
        <w:t xml:space="preserve">categories would be the same across sectors </w:t>
      </w:r>
      <w:r>
        <w:rPr>
          <w:color w:val="000000" w:themeColor="text1"/>
        </w:rPr>
        <w:t xml:space="preserve">– </w:t>
      </w:r>
      <w:r w:rsidRPr="007B50FB">
        <w:rPr>
          <w:color w:val="000000" w:themeColor="text1"/>
        </w:rPr>
        <w:t>except potentially in a small number of cases where specialised categories are required</w:t>
      </w:r>
      <w:r>
        <w:rPr>
          <w:color w:val="000000" w:themeColor="text1"/>
        </w:rPr>
        <w:t xml:space="preserve"> –</w:t>
      </w:r>
      <w:r w:rsidRPr="007B50FB">
        <w:rPr>
          <w:color w:val="000000" w:themeColor="text1"/>
        </w:rPr>
        <w:t xml:space="preserve"> and have corresponding audit requirements. Such an arrangement would reduce the time and costs associated with multiple registration processes and could encourage providers to offer their services across multiple sectors, increasing the availability of services for care users.</w:t>
      </w:r>
    </w:p>
    <w:p w14:paraId="00459CA9" w14:textId="77777777" w:rsidR="00EE577B" w:rsidRDefault="00EE577B">
      <w:pPr>
        <w:pStyle w:val="BodyText"/>
        <w:rPr>
          <w:color w:val="000000" w:themeColor="text1"/>
        </w:rPr>
      </w:pPr>
      <w:r w:rsidRPr="007B50FB">
        <w:rPr>
          <w:color w:val="000000" w:themeColor="text1"/>
        </w:rPr>
        <w:t xml:space="preserve">We envisage a staged approach </w:t>
      </w:r>
      <w:r>
        <w:rPr>
          <w:color w:val="000000" w:themeColor="text1"/>
        </w:rPr>
        <w:t>to the introduction of</w:t>
      </w:r>
      <w:r w:rsidRPr="007B50FB">
        <w:rPr>
          <w:color w:val="000000" w:themeColor="text1"/>
        </w:rPr>
        <w:t xml:space="preserve"> cross</w:t>
      </w:r>
      <w:r>
        <w:rPr>
          <w:color w:val="000000" w:themeColor="text1"/>
        </w:rPr>
        <w:noBreakHyphen/>
      </w:r>
      <w:r w:rsidRPr="007B50FB">
        <w:rPr>
          <w:color w:val="000000" w:themeColor="text1"/>
        </w:rPr>
        <w:t>sectoral registration and audits. First, the Australian Government should introduce mutual recognition of registration and audits</w:t>
      </w:r>
      <w:r>
        <w:rPr>
          <w:color w:val="000000" w:themeColor="text1"/>
        </w:rPr>
        <w:t>.</w:t>
      </w:r>
      <w:r w:rsidRPr="00D77B7E">
        <w:rPr>
          <w:color w:val="000000" w:themeColor="text1"/>
        </w:rPr>
        <w:t xml:space="preserve"> </w:t>
      </w:r>
      <w:r w:rsidRPr="007B50FB">
        <w:rPr>
          <w:color w:val="000000" w:themeColor="text1"/>
        </w:rPr>
        <w:t>Mutual recognition would mean that registration in one sector would be enough to gain registration in the other</w:t>
      </w:r>
      <w:r>
        <w:rPr>
          <w:color w:val="000000" w:themeColor="text1"/>
        </w:rPr>
        <w:t>s</w:t>
      </w:r>
      <w:r w:rsidRPr="007B50FB">
        <w:rPr>
          <w:color w:val="000000" w:themeColor="text1"/>
        </w:rPr>
        <w:t>, and compliance with one sector’s standards would be accepted as evidence of compliance with equivalent or less onerous standards in the other</w:t>
      </w:r>
      <w:r>
        <w:rPr>
          <w:color w:val="000000" w:themeColor="text1"/>
        </w:rPr>
        <w:t>s</w:t>
      </w:r>
      <w:r w:rsidRPr="007B50FB">
        <w:rPr>
          <w:color w:val="000000" w:themeColor="text1"/>
        </w:rPr>
        <w:t xml:space="preserve">. </w:t>
      </w:r>
    </w:p>
    <w:p w14:paraId="0997B53C" w14:textId="77777777" w:rsidR="00EE577B" w:rsidRPr="007B50FB" w:rsidRDefault="00EE577B">
      <w:pPr>
        <w:pStyle w:val="BodyText"/>
        <w:rPr>
          <w:color w:val="000000" w:themeColor="text1"/>
        </w:rPr>
      </w:pPr>
      <w:r w:rsidRPr="007B50FB">
        <w:rPr>
          <w:color w:val="000000" w:themeColor="text1"/>
        </w:rPr>
        <w:t xml:space="preserve">To implement mutual recognition, the Australian Government would need to undertake an exercise to map and verify the equivalence of standards across aged care and the NDIS, building on work already </w:t>
      </w:r>
      <w:r w:rsidRPr="007B50FB">
        <w:rPr>
          <w:color w:val="000000" w:themeColor="text1"/>
        </w:rPr>
        <w:lastRenderedPageBreak/>
        <w:t>undertaken within the Department of Health, Disability and Ageing (ACQSC, pers. comm., 3 November 2025). This exercise should be informed by a practical understanding of how standards translate into the delivery of care across different settings, drawing on the input of care users, workers and providers. Standards should not be deemed equivalent unless they translate to equivalent forms of care in practice. The mapping process will also assist in identifying gaps or standards that are sector or context</w:t>
      </w:r>
      <w:r w:rsidRPr="007B50FB">
        <w:rPr>
          <w:color w:val="000000" w:themeColor="text1"/>
        </w:rPr>
        <w:noBreakHyphen/>
        <w:t xml:space="preserve">specific and would require a supplementary module in the combined set of standards. </w:t>
      </w:r>
    </w:p>
    <w:p w14:paraId="1C10729D" w14:textId="77777777" w:rsidR="00EE577B" w:rsidRPr="007B50FB" w:rsidRDefault="00EE577B">
      <w:pPr>
        <w:pStyle w:val="BodyText"/>
      </w:pPr>
      <w:r>
        <w:rPr>
          <w:color w:val="000000" w:themeColor="text1"/>
        </w:rPr>
        <w:t>Once mutual recognition of registration and audits has been introduced, the Australian Government should develop the</w:t>
      </w:r>
      <w:r w:rsidRPr="007B50FB" w:rsidDel="001F2A2C">
        <w:rPr>
          <w:color w:val="000000" w:themeColor="text1"/>
        </w:rPr>
        <w:t xml:space="preserve"> </w:t>
      </w:r>
      <w:r w:rsidRPr="007B50FB">
        <w:rPr>
          <w:color w:val="000000" w:themeColor="text1"/>
        </w:rPr>
        <w:t>combined modular set of practice and quality standards</w:t>
      </w:r>
      <w:r>
        <w:rPr>
          <w:color w:val="000000" w:themeColor="text1"/>
        </w:rPr>
        <w:t>, which will support a cross</w:t>
      </w:r>
      <w:r>
        <w:rPr>
          <w:color w:val="000000" w:themeColor="text1"/>
        </w:rPr>
        <w:noBreakHyphen/>
        <w:t>sectoral system</w:t>
      </w:r>
      <w:r w:rsidRPr="007B50FB">
        <w:rPr>
          <w:color w:val="000000" w:themeColor="text1"/>
        </w:rPr>
        <w:t xml:space="preserve">. </w:t>
      </w:r>
      <w:r>
        <w:t>T</w:t>
      </w:r>
      <w:r w:rsidRPr="007B50FB">
        <w:t>he cross</w:t>
      </w:r>
      <w:r w:rsidRPr="007B50FB">
        <w:noBreakHyphen/>
        <w:t>sectoral registration and audit system should</w:t>
      </w:r>
      <w:r>
        <w:t xml:space="preserve"> </w:t>
      </w:r>
      <w:r w:rsidRPr="007B50FB">
        <w:t>commence</w:t>
      </w:r>
      <w:r>
        <w:t xml:space="preserve"> o</w:t>
      </w:r>
      <w:r w:rsidRPr="007B50FB">
        <w:t xml:space="preserve">nce the combined set of practice and quality standards </w:t>
      </w:r>
      <w:r>
        <w:t>has been established and</w:t>
      </w:r>
      <w:r w:rsidRPr="007B50FB">
        <w:t xml:space="preserve"> all other necessary work to combine registration and audits under a single framework</w:t>
      </w:r>
      <w:r w:rsidRPr="007C0132">
        <w:t xml:space="preserve"> </w:t>
      </w:r>
      <w:r>
        <w:t xml:space="preserve">has been </w:t>
      </w:r>
      <w:r w:rsidRPr="007B50FB">
        <w:t>undertaken</w:t>
      </w:r>
      <w:r>
        <w:t>.</w:t>
      </w:r>
      <w:r w:rsidRPr="007B50FB">
        <w:t xml:space="preserve"> </w:t>
      </w:r>
    </w:p>
    <w:p w14:paraId="3E09B6E6" w14:textId="77777777" w:rsidR="00EE577B" w:rsidRPr="007B50FB" w:rsidRDefault="00EE577B">
      <w:pPr>
        <w:pStyle w:val="BodyText"/>
      </w:pPr>
      <w:r w:rsidRPr="007B50FB">
        <w:t xml:space="preserve">We note the </w:t>
      </w:r>
      <w:r>
        <w:rPr>
          <w:rFonts w:ascii="Arial" w:hAnsi="Arial" w:cs="Arial"/>
        </w:rPr>
        <w:t>Aged Care Quality and Safety Commission’s (</w:t>
      </w:r>
      <w:r w:rsidRPr="007B50FB">
        <w:t>ACQSC</w:t>
      </w:r>
      <w:r>
        <w:rPr>
          <w:rFonts w:ascii="Arial" w:hAnsi="Arial" w:cs="Arial"/>
        </w:rPr>
        <w:t>)</w:t>
      </w:r>
      <w:r w:rsidRPr="007B50FB">
        <w:t xml:space="preserve"> view that a substantial alignment of standards is a pre</w:t>
      </w:r>
      <w:r>
        <w:noBreakHyphen/>
      </w:r>
      <w:r w:rsidRPr="007B50FB">
        <w:t>requisite to the general adoption of mutual recognition arrangements (sub.</w:t>
      </w:r>
      <w:r>
        <w:t> </w:t>
      </w:r>
      <w:r w:rsidRPr="007B50FB">
        <w:t>256, p</w:t>
      </w:r>
      <w:r>
        <w:t>p</w:t>
      </w:r>
      <w:r w:rsidRPr="007B50FB">
        <w:t>.</w:t>
      </w:r>
      <w:r>
        <w:t> </w:t>
      </w:r>
      <w:r w:rsidRPr="007B50FB">
        <w:t>8</w:t>
      </w:r>
      <w:r>
        <w:t>–9</w:t>
      </w:r>
      <w:r w:rsidRPr="007B50FB">
        <w:t xml:space="preserve">). We acknowledge that, in recommending mutual recognition occurs first, there may be fewer instances of equivalence than if standards were first aligned. Nevertheless, mutual recognition would allow some benefits to be realised sooner. The current NDIS practice standards review also offers an opportunity to bring standards into closer alignment prior to developing the combined set of practice and quality standards. </w:t>
      </w:r>
    </w:p>
    <w:p w14:paraId="15BA5B8A" w14:textId="77777777" w:rsidR="00EE577B" w:rsidRPr="007B50FB" w:rsidRDefault="00EE577B">
      <w:pPr>
        <w:pStyle w:val="BodyText"/>
      </w:pPr>
      <w:r w:rsidRPr="007B50FB">
        <w:t>Several practical issues will need to be worked through in implementing a cross</w:t>
      </w:r>
      <w:r>
        <w:noBreakHyphen/>
      </w:r>
      <w:r w:rsidRPr="007B50FB">
        <w:t>sectoral provider registration and audit system. For example, differences in how ‘providers’ are defined in the aged care and NDIS regulatory frameworks may need to be reconciled.</w:t>
      </w:r>
      <w:r w:rsidRPr="002B0A03">
        <w:rPr>
          <w:rStyle w:val="FootnoteReference"/>
        </w:rPr>
        <w:footnoteReference w:id="6"/>
      </w:r>
      <w:r w:rsidRPr="007B50FB">
        <w:t xml:space="preserve"> Similarly, cross</w:t>
      </w:r>
      <w:r>
        <w:noBreakHyphen/>
      </w:r>
      <w:r w:rsidRPr="007B50FB">
        <w:t xml:space="preserve">sectoral arrangements may need to account for differences in who conducts audits across sectors – at present, audits in the aged care sector are conducted by the </w:t>
      </w:r>
      <w:r>
        <w:rPr>
          <w:rFonts w:ascii="Arial" w:hAnsi="Arial" w:cs="Arial"/>
        </w:rPr>
        <w:t>ACQSC</w:t>
      </w:r>
      <w:r w:rsidRPr="007B50FB">
        <w:t>, whereas in the NDIS they are undertaken by private Approved Quality Auditors. The government agency responsible for leading this reform – likely the Department of Health, Disability and Ageing – should address such issues in the design and implementation phase of the reforms.</w:t>
      </w:r>
    </w:p>
    <w:p w14:paraId="295689A3" w14:textId="77777777" w:rsidR="00EE577B" w:rsidRPr="007B50FB" w:rsidRDefault="00EE577B">
      <w:pPr>
        <w:pStyle w:val="Heading4"/>
      </w:pPr>
      <w:r w:rsidRPr="007B50FB">
        <w:t>Establish a combined set of modular practice and quality standards across aged care and the NDIS</w:t>
      </w:r>
    </w:p>
    <w:p w14:paraId="77EAF725" w14:textId="77777777" w:rsidR="00EE577B" w:rsidRPr="007B50FB" w:rsidRDefault="00EE577B">
      <w:pPr>
        <w:pStyle w:val="BodyText"/>
        <w:rPr>
          <w:color w:val="000000" w:themeColor="text1"/>
        </w:rPr>
      </w:pPr>
      <w:r w:rsidRPr="007B50FB">
        <w:rPr>
          <w:color w:val="000000" w:themeColor="text1"/>
        </w:rPr>
        <w:t>To support cross</w:t>
      </w:r>
      <w:r>
        <w:rPr>
          <w:color w:val="000000" w:themeColor="text1"/>
        </w:rPr>
        <w:noBreakHyphen/>
      </w:r>
      <w:r w:rsidRPr="007B50FB">
        <w:rPr>
          <w:color w:val="000000" w:themeColor="text1"/>
        </w:rPr>
        <w:t>sectoral audits, the Australian Government should combine the strengthened aged care quality standards and NDIS practice standards into a single set of modular quality and practice standards. The combined standards would apply to registered aged care and NDIS providers, as well as veterans’ care providers that are required to adhere to aged care standards through their service agreements.</w:t>
      </w:r>
    </w:p>
    <w:p w14:paraId="0C184AD8" w14:textId="77777777" w:rsidR="00EE577B" w:rsidRPr="007B50FB" w:rsidRDefault="00EE577B">
      <w:pPr>
        <w:pStyle w:val="BodyText"/>
        <w:rPr>
          <w:color w:val="000000" w:themeColor="text1"/>
        </w:rPr>
      </w:pPr>
      <w:r w:rsidRPr="007B50FB">
        <w:rPr>
          <w:color w:val="000000" w:themeColor="text1"/>
        </w:rPr>
        <w:t xml:space="preserve">The combined standards should have core modules that apply to most or all providers, </w:t>
      </w:r>
      <w:r>
        <w:rPr>
          <w:color w:val="000000" w:themeColor="text1"/>
        </w:rPr>
        <w:t>along with</w:t>
      </w:r>
      <w:r w:rsidRPr="007B50FB">
        <w:rPr>
          <w:color w:val="000000" w:themeColor="text1"/>
        </w:rPr>
        <w:t xml:space="preserve"> supplementary modules that apply depending on the type of services delivered. The unified standards should establish common standards for similar types of services across sectors – that is, audit modules should not be sector</w:t>
      </w:r>
      <w:r w:rsidRPr="007B50FB">
        <w:rPr>
          <w:color w:val="000000" w:themeColor="text1"/>
        </w:rPr>
        <w:noBreakHyphen/>
        <w:t xml:space="preserve">specific unless there are clear differences in risks that justify this. Standards should be developed to uphold and not dilute quality and be appropriate for all care settings. </w:t>
      </w:r>
    </w:p>
    <w:p w14:paraId="1AFBF273" w14:textId="77777777" w:rsidR="00EE577B" w:rsidRPr="007B50FB" w:rsidRDefault="00EE577B">
      <w:pPr>
        <w:pStyle w:val="Heading4"/>
      </w:pPr>
      <w:r w:rsidRPr="007B50FB">
        <w:lastRenderedPageBreak/>
        <w:t>Assess the case for a single regulator</w:t>
      </w:r>
      <w:r>
        <w:t xml:space="preserve"> and implement resulting actions</w:t>
      </w:r>
    </w:p>
    <w:p w14:paraId="4E90DF2C" w14:textId="77777777" w:rsidR="00EE577B" w:rsidRPr="007B50FB" w:rsidRDefault="00EE577B">
      <w:pPr>
        <w:pStyle w:val="BodyText"/>
      </w:pPr>
      <w:r w:rsidRPr="007B50FB">
        <w:t xml:space="preserve">The Australian Government should assess the case for a single quality and safety regulator that combines the </w:t>
      </w:r>
      <w:r>
        <w:rPr>
          <w:rFonts w:ascii="Arial" w:hAnsi="Arial" w:cs="Arial"/>
        </w:rPr>
        <w:t>ACQSC</w:t>
      </w:r>
      <w:r w:rsidRPr="007B50FB">
        <w:t>, the NDIS Quality and Safeguards Commission</w:t>
      </w:r>
      <w:r>
        <w:rPr>
          <w:rFonts w:ascii="Arial" w:hAnsi="Arial" w:cs="Arial"/>
        </w:rPr>
        <w:t xml:space="preserve"> (NDIS Commission)</w:t>
      </w:r>
      <w:r w:rsidRPr="007B50FB">
        <w:t xml:space="preserve"> and the regulatory functions of the Department of Veterans’ Affairs into a single statutory agency.</w:t>
      </w:r>
      <w:r>
        <w:t xml:space="preserve"> </w:t>
      </w:r>
    </w:p>
    <w:p w14:paraId="26CE7A12" w14:textId="3716552E" w:rsidR="00EE577B" w:rsidRPr="0092719E" w:rsidRDefault="00EE577B">
      <w:pPr>
        <w:pStyle w:val="BodyText"/>
      </w:pPr>
      <w:r w:rsidRPr="007B50FB">
        <w:t xml:space="preserve">A single regulator would streamline oversight across sectors, replace fragmented responsibilities with a more coordinated, consistent and efficient </w:t>
      </w:r>
      <w:r w:rsidR="00C31F82">
        <w:t>approach</w:t>
      </w:r>
      <w:r w:rsidRPr="007B50FB">
        <w:t>, reduce confusion for providers and care users about roles and responsibilities (for example, who to make complaints to) and eliminate duplication in functions such as compliance monitoring and enforcement. </w:t>
      </w:r>
      <w:r>
        <w:t xml:space="preserve">It would </w:t>
      </w:r>
      <w:r w:rsidRPr="007B50FB">
        <w:t xml:space="preserve">be a natural extension of a single set of standards, and common registration and audit requirements. </w:t>
      </w:r>
      <w:r>
        <w:t>Further,</w:t>
      </w:r>
      <w:r w:rsidRPr="007B50FB">
        <w:t xml:space="preserve"> </w:t>
      </w:r>
      <w:r>
        <w:t>a</w:t>
      </w:r>
      <w:r w:rsidRPr="007B50FB">
        <w:t xml:space="preserve"> single regulator would be well placed to report on quality and safety across the care sector and to support benchmarking and innovation. This would lift the overall standard of care in these sectors and </w:t>
      </w:r>
      <w:r>
        <w:rPr>
          <w:rFonts w:ascii="Arial" w:hAnsi="Arial" w:cs="Arial"/>
        </w:rPr>
        <w:t>i</w:t>
      </w:r>
      <w:r w:rsidRPr="0092719E">
        <w:t>mprove trust and confidence in the system. </w:t>
      </w:r>
    </w:p>
    <w:p w14:paraId="5A2DCB45" w14:textId="77777777" w:rsidR="00EE577B" w:rsidRPr="00096DC3" w:rsidRDefault="00EE577B">
      <w:pPr>
        <w:pStyle w:val="BodyText"/>
        <w:rPr>
          <w:spacing w:val="-2"/>
        </w:rPr>
      </w:pPr>
      <w:r w:rsidRPr="00096DC3">
        <w:rPr>
          <w:spacing w:val="-2"/>
        </w:rPr>
        <w:t>However, moving to a single regulator also brings costs and risks. For example, many participants highlighted the risk of a single regulator losing sector</w:t>
      </w:r>
      <w:r w:rsidRPr="00096DC3">
        <w:rPr>
          <w:spacing w:val="-2"/>
        </w:rPr>
        <w:noBreakHyphen/>
        <w:t>specific expertise or overlooking sector</w:t>
      </w:r>
      <w:r w:rsidRPr="00096DC3">
        <w:rPr>
          <w:spacing w:val="-2"/>
        </w:rPr>
        <w:noBreakHyphen/>
        <w:t>specific needs and nuances.</w:t>
      </w:r>
      <w:r w:rsidRPr="00096DC3">
        <w:rPr>
          <w:rStyle w:val="FootnoteReference"/>
          <w:spacing w:val="-2"/>
        </w:rPr>
        <w:footnoteReference w:id="7"/>
      </w:r>
      <w:r w:rsidRPr="00096DC3">
        <w:rPr>
          <w:spacing w:val="-2"/>
        </w:rPr>
        <w:t xml:space="preserve"> Some also pointed to the high costs of transitioning to a single regulator or a lack of readiness in some sectors for such an arrangement.</w:t>
      </w:r>
      <w:r w:rsidRPr="00096DC3">
        <w:rPr>
          <w:rStyle w:val="FootnoteReference"/>
          <w:spacing w:val="-2"/>
        </w:rPr>
        <w:footnoteReference w:id="8"/>
      </w:r>
      <w:r w:rsidRPr="00096DC3">
        <w:rPr>
          <w:spacing w:val="-2"/>
        </w:rPr>
        <w:t xml:space="preserve"> In general, participants were mixed in their support for a single regulator.</w:t>
      </w:r>
    </w:p>
    <w:p w14:paraId="29DC01E4" w14:textId="7D90B24C" w:rsidR="00EE577B" w:rsidRPr="0092719E" w:rsidRDefault="00EE577B">
      <w:pPr>
        <w:pStyle w:val="BodyText"/>
      </w:pPr>
      <w:r w:rsidRPr="0092719E">
        <w:t xml:space="preserve">In assessing the case for a single regulator, the benefits should be weighed against the costs to determine whether it is in the interests of care users and the community. The Australian Government should explore different models that could be applied to manage costs and risks, and work in close collaboration with care users and providers, </w:t>
      </w:r>
      <w:r w:rsidR="006A073B">
        <w:t xml:space="preserve">consulting </w:t>
      </w:r>
      <w:r w:rsidR="000808E3">
        <w:t>in a way that enables all to participate</w:t>
      </w:r>
      <w:r w:rsidRPr="0092719E">
        <w:t>. If, after assessing the case, the</w:t>
      </w:r>
      <w:r>
        <w:t xml:space="preserve"> Australian</w:t>
      </w:r>
      <w:r w:rsidRPr="0092719E">
        <w:t xml:space="preserve"> Government decides to pursue a single regulator, it should undertake the necessary preparations for its commencement, including any further consultation and legislative change. </w:t>
      </w:r>
    </w:p>
    <w:p w14:paraId="784149E9" w14:textId="77777777" w:rsidR="00EE577B" w:rsidRPr="0092719E" w:rsidRDefault="00EE577B">
      <w:pPr>
        <w:pStyle w:val="Heading4"/>
      </w:pPr>
      <w:r w:rsidRPr="0092719E">
        <w:t>Align the regulation of behaviour support plans and restrictive practices and work towards the reduction and elimination of restrictive practices</w:t>
      </w:r>
    </w:p>
    <w:p w14:paraId="7BBD77C9" w14:textId="77777777" w:rsidR="00EE577B" w:rsidRPr="0092719E" w:rsidRDefault="00EE577B">
      <w:pPr>
        <w:pStyle w:val="BodyText"/>
        <w:rPr>
          <w:color w:val="000000" w:themeColor="text1"/>
        </w:rPr>
      </w:pPr>
      <w:r w:rsidRPr="0092719E">
        <w:t xml:space="preserve">The </w:t>
      </w:r>
      <w:r w:rsidRPr="0092719E">
        <w:rPr>
          <w:color w:val="000000" w:themeColor="text1"/>
        </w:rPr>
        <w:t>Australian Government should, in collaboration with state and territory governments, take actions to align the regulation of behaviour support plans and restrictive practices in aged care and NDIS services.</w:t>
      </w:r>
      <w:r w:rsidRPr="002B0A03">
        <w:rPr>
          <w:rStyle w:val="FootnoteReference"/>
        </w:rPr>
        <w:footnoteReference w:id="9"/>
      </w:r>
      <w:r w:rsidRPr="0092719E">
        <w:rPr>
          <w:color w:val="000000" w:themeColor="text1"/>
        </w:rPr>
        <w:t xml:space="preserve"> Regulation in these areas is highly complex, with implications that go beyond aged care and the NDIS. Nevertheless, better alignment has the potential to vastly improve outcomes and experiences for the most vulnerable care users across aged care, the NDIS and beyond. For example, minimising inconsistency can empower care users to assert their rights, including through making complaints (ACQSC, sub.</w:t>
      </w:r>
      <w:r>
        <w:rPr>
          <w:color w:val="000000" w:themeColor="text1"/>
        </w:rPr>
        <w:t> </w:t>
      </w:r>
      <w:r w:rsidRPr="0092719E">
        <w:rPr>
          <w:color w:val="000000" w:themeColor="text1"/>
        </w:rPr>
        <w:t>256, p.</w:t>
      </w:r>
      <w:r>
        <w:rPr>
          <w:color w:val="000000" w:themeColor="text1"/>
        </w:rPr>
        <w:t> </w:t>
      </w:r>
      <w:r w:rsidRPr="0092719E">
        <w:rPr>
          <w:color w:val="000000" w:themeColor="text1"/>
        </w:rPr>
        <w:t>12). Similarly, it can avert confusion on the part of workers about their roles and responsibilities – which can differ under current frameworks – leading to more timely, appropriate, consistent and effective care (Ageing Australia, sub.</w:t>
      </w:r>
      <w:r>
        <w:rPr>
          <w:color w:val="000000" w:themeColor="text1"/>
        </w:rPr>
        <w:t> </w:t>
      </w:r>
      <w:r w:rsidRPr="0092719E">
        <w:rPr>
          <w:color w:val="000000" w:themeColor="text1"/>
        </w:rPr>
        <w:t>20, pp.</w:t>
      </w:r>
      <w:r>
        <w:rPr>
          <w:color w:val="000000" w:themeColor="text1"/>
        </w:rPr>
        <w:t> </w:t>
      </w:r>
      <w:r w:rsidRPr="0092719E">
        <w:rPr>
          <w:color w:val="000000" w:themeColor="text1"/>
        </w:rPr>
        <w:t>2</w:t>
      </w:r>
      <w:r>
        <w:t>–</w:t>
      </w:r>
      <w:r w:rsidRPr="0092719E">
        <w:rPr>
          <w:color w:val="000000" w:themeColor="text1"/>
        </w:rPr>
        <w:t xml:space="preserve">3; </w:t>
      </w:r>
      <w:r>
        <w:rPr>
          <w:color w:val="000000" w:themeColor="text1"/>
        </w:rPr>
        <w:t>ANMF</w:t>
      </w:r>
      <w:r w:rsidRPr="0092719E">
        <w:rPr>
          <w:color w:val="000000" w:themeColor="text1"/>
        </w:rPr>
        <w:t>, sub.</w:t>
      </w:r>
      <w:r>
        <w:rPr>
          <w:color w:val="000000" w:themeColor="text1"/>
        </w:rPr>
        <w:t> </w:t>
      </w:r>
      <w:r w:rsidRPr="0092719E">
        <w:rPr>
          <w:color w:val="000000" w:themeColor="text1"/>
        </w:rPr>
        <w:t>87, p.</w:t>
      </w:r>
      <w:r>
        <w:rPr>
          <w:color w:val="000000" w:themeColor="text1"/>
        </w:rPr>
        <w:t> </w:t>
      </w:r>
      <w:r w:rsidRPr="0092719E">
        <w:rPr>
          <w:color w:val="000000" w:themeColor="text1"/>
        </w:rPr>
        <w:t>12; KPMG</w:t>
      </w:r>
      <w:r>
        <w:rPr>
          <w:color w:val="000000" w:themeColor="text1"/>
        </w:rPr>
        <w:t xml:space="preserve"> Australia</w:t>
      </w:r>
      <w:r w:rsidRPr="0092719E">
        <w:rPr>
          <w:color w:val="000000" w:themeColor="text1"/>
        </w:rPr>
        <w:t>, sub.</w:t>
      </w:r>
      <w:r>
        <w:rPr>
          <w:color w:val="000000" w:themeColor="text1"/>
        </w:rPr>
        <w:t> </w:t>
      </w:r>
      <w:r w:rsidRPr="0092719E">
        <w:rPr>
          <w:color w:val="000000" w:themeColor="text1"/>
        </w:rPr>
        <w:t>115, p. 2). Many inquiry participants supported greater alignment of the regulation of behaviour support plans and restrictive practices.</w:t>
      </w:r>
      <w:r w:rsidRPr="002B0A03">
        <w:rPr>
          <w:rStyle w:val="FootnoteReference"/>
        </w:rPr>
        <w:footnoteReference w:id="10"/>
      </w:r>
    </w:p>
    <w:p w14:paraId="2EA95BDF" w14:textId="71121F8F" w:rsidR="00EE577B" w:rsidRPr="0092719E" w:rsidRDefault="00EE577B">
      <w:pPr>
        <w:pStyle w:val="BodyText"/>
        <w:rPr>
          <w:color w:val="000000" w:themeColor="text1"/>
        </w:rPr>
      </w:pPr>
      <w:r>
        <w:lastRenderedPageBreak/>
        <w:t>At the sa</w:t>
      </w:r>
      <w:r>
        <w:rPr>
          <w:color w:val="000000" w:themeColor="text1"/>
        </w:rPr>
        <w:t>me time as seeking to align regulation</w:t>
      </w:r>
      <w:r w:rsidRPr="0092719E">
        <w:rPr>
          <w:color w:val="000000" w:themeColor="text1"/>
        </w:rPr>
        <w:t>, governments should also look to reduce and eliminate the use of restrictive practices</w:t>
      </w:r>
      <w:r>
        <w:rPr>
          <w:color w:val="000000" w:themeColor="text1"/>
        </w:rPr>
        <w:t xml:space="preserve"> over time</w:t>
      </w:r>
      <w:r w:rsidRPr="0092719E">
        <w:rPr>
          <w:color w:val="000000" w:themeColor="text1"/>
        </w:rPr>
        <w:t xml:space="preserve">, consistent with the United Nations </w:t>
      </w:r>
      <w:r w:rsidRPr="0092719E">
        <w:rPr>
          <w:i/>
          <w:iCs/>
          <w:color w:val="000000" w:themeColor="text1"/>
        </w:rPr>
        <w:t>Convention on the Rights of Persons with Disabilities</w:t>
      </w:r>
      <w:r w:rsidRPr="0092719E">
        <w:rPr>
          <w:color w:val="000000" w:themeColor="text1"/>
        </w:rPr>
        <w:t xml:space="preserve"> and the National Framework for Eliminating the Use of Restrictive Practices in the Disability Service Sector. Previous work could provide guidance in this regard </w:t>
      </w:r>
      <w:r w:rsidRPr="00102984">
        <w:rPr>
          <w:rFonts w:ascii="Arial" w:hAnsi="Arial" w:cs="Arial"/>
        </w:rPr>
        <w:t>(for example, The University of Melbourne et al. 2023)</w:t>
      </w:r>
      <w:r w:rsidRPr="0092719E">
        <w:rPr>
          <w:color w:val="000000" w:themeColor="text1"/>
        </w:rPr>
        <w:t>.</w:t>
      </w:r>
      <w:r w:rsidRPr="0092719E" w:rsidDel="00C50095">
        <w:rPr>
          <w:color w:val="000000" w:themeColor="text1"/>
        </w:rPr>
        <w:t xml:space="preserve"> </w:t>
      </w:r>
      <w:r w:rsidRPr="0092719E">
        <w:rPr>
          <w:color w:val="000000" w:themeColor="text1"/>
        </w:rPr>
        <w:t>Reducing and eliminating the use of restrictive practices was strongly supported by inquiry participants.</w:t>
      </w:r>
      <w:r w:rsidRPr="002B0A03">
        <w:rPr>
          <w:rStyle w:val="FootnoteReference"/>
        </w:rPr>
        <w:footnoteReference w:id="11"/>
      </w:r>
      <w:r w:rsidRPr="0092719E">
        <w:rPr>
          <w:color w:val="000000" w:themeColor="text1"/>
        </w:rPr>
        <w:t xml:space="preserve"> </w:t>
      </w:r>
    </w:p>
    <w:p w14:paraId="32364B9C" w14:textId="77777777" w:rsidR="00EE577B" w:rsidRPr="0092719E" w:rsidRDefault="00EE577B">
      <w:pPr>
        <w:pStyle w:val="BodyText"/>
        <w:keepNext/>
      </w:pPr>
      <w:r>
        <w:t>S</w:t>
      </w:r>
      <w:r w:rsidRPr="0092719E">
        <w:t>pecific actions governments could take</w:t>
      </w:r>
      <w:r>
        <w:t xml:space="preserve"> to </w:t>
      </w:r>
      <w:r>
        <w:rPr>
          <w:color w:val="000000" w:themeColor="text1"/>
        </w:rPr>
        <w:t xml:space="preserve">align the regulation of behaviour support plans and restrictive practices (while aiming to </w:t>
      </w:r>
      <w:r w:rsidRPr="0092719E">
        <w:t>reduc</w:t>
      </w:r>
      <w:r>
        <w:t>e</w:t>
      </w:r>
      <w:r w:rsidRPr="0092719E">
        <w:t xml:space="preserve"> and eliminat</w:t>
      </w:r>
      <w:r>
        <w:t>e</w:t>
      </w:r>
      <w:r w:rsidRPr="0092719E">
        <w:t xml:space="preserve"> the use of restrictive practices</w:t>
      </w:r>
      <w:r>
        <w:t xml:space="preserve"> over time) could</w:t>
      </w:r>
      <w:r w:rsidRPr="0092719E">
        <w:t xml:space="preserve"> include:</w:t>
      </w:r>
    </w:p>
    <w:p w14:paraId="67FF7217" w14:textId="77777777" w:rsidR="00EE577B" w:rsidRPr="0092719E" w:rsidRDefault="00EE577B" w:rsidP="00EE577B">
      <w:pPr>
        <w:pStyle w:val="ListBullet"/>
      </w:pPr>
      <w:r w:rsidRPr="0092719E">
        <w:t>aligning definitions of restrictive practices across care sectors and states and territories</w:t>
      </w:r>
    </w:p>
    <w:p w14:paraId="4DC8D510" w14:textId="77777777" w:rsidR="00EE577B" w:rsidRPr="0092719E" w:rsidRDefault="00EE577B" w:rsidP="00EE577B">
      <w:pPr>
        <w:pStyle w:val="ListBullet"/>
      </w:pPr>
      <w:r w:rsidRPr="0092719E">
        <w:t>better aligning processes for the authorisation of restrictive practices across states and territories</w:t>
      </w:r>
    </w:p>
    <w:p w14:paraId="2CA2B88E" w14:textId="77777777" w:rsidR="00EE577B" w:rsidRPr="0092719E" w:rsidRDefault="00EE577B" w:rsidP="00EE577B">
      <w:pPr>
        <w:pStyle w:val="ListBullet"/>
      </w:pPr>
      <w:r w:rsidRPr="0092719E">
        <w:t>streamlining reporting requirements on the use of restrictive practices across different sectors and levels of government.</w:t>
      </w:r>
    </w:p>
    <w:p w14:paraId="798EEF15" w14:textId="77777777" w:rsidR="00EE577B" w:rsidRPr="0092719E" w:rsidRDefault="00EE577B">
      <w:pPr>
        <w:pStyle w:val="Heading4"/>
      </w:pPr>
      <w:r w:rsidRPr="0092719E">
        <w:t>Identify opportunities and apply the principle of ‘report once, use often’ in data reporting across sectors</w:t>
      </w:r>
    </w:p>
    <w:p w14:paraId="7B76EE1D" w14:textId="2BAB1588" w:rsidR="00EE577B" w:rsidRDefault="00EE577B">
      <w:pPr>
        <w:pStyle w:val="BodyText"/>
        <w:keepNext/>
      </w:pPr>
      <w:r w:rsidRPr="0092719E">
        <w:t xml:space="preserve">In collaboration with state and territory governments where relevant, the Australian Government should identify and implement actions that apply the principle of ‘report once, use often’ for data reporting, focusing on the aged care, NDIS and veterans’ care sectors in the first instance. </w:t>
      </w:r>
      <w:r>
        <w:t xml:space="preserve">This would be consistent with the ‘tell us once’ principle that the PC, in its inquiry into </w:t>
      </w:r>
      <w:r w:rsidRPr="00983E40">
        <w:rPr>
          <w:i/>
          <w:iCs/>
        </w:rPr>
        <w:t>Creating a more dynamic and resilient economy</w:t>
      </w:r>
      <w:r>
        <w:t xml:space="preserve">, has recommended be part of a whole-of-government statement on regulation </w:t>
      </w:r>
      <w:r w:rsidR="00CD75B1" w:rsidRPr="00CD75B1">
        <w:rPr>
          <w:rFonts w:ascii="Arial" w:hAnsi="Arial" w:cs="Arial"/>
        </w:rPr>
        <w:t>(PC 2025b)</w:t>
      </w:r>
      <w:r>
        <w:t>.</w:t>
      </w:r>
    </w:p>
    <w:p w14:paraId="1C99C78C" w14:textId="77777777" w:rsidR="00EE577B" w:rsidRPr="0092719E" w:rsidRDefault="00EE577B">
      <w:pPr>
        <w:pStyle w:val="BodyText"/>
        <w:keepNext/>
      </w:pPr>
      <w:r w:rsidRPr="0092719E">
        <w:t>The aim of these actions should be to reduce duplicative reporting obligations on providers, as well as to publish service performance information that facilitates care user choice and service improvement. In keeping with</w:t>
      </w:r>
      <w:r w:rsidRPr="0092719E" w:rsidDel="00D44F40">
        <w:t xml:space="preserve"> </w:t>
      </w:r>
      <w:r w:rsidRPr="0092719E">
        <w:t xml:space="preserve">our other proposals, actions to reduce the burden of reporting should initially focus on the aged care, NDIS and veterans’ care sectors, with governments looking further afield over time. </w:t>
      </w:r>
    </w:p>
    <w:p w14:paraId="528906D2" w14:textId="77777777" w:rsidR="00EE577B" w:rsidRPr="0092719E" w:rsidRDefault="00EE577B">
      <w:pPr>
        <w:pStyle w:val="BodyText"/>
        <w:keepNext/>
      </w:pPr>
      <w:r w:rsidRPr="0092719E">
        <w:t>Governments should explore developing a standardised quality, safety and/or performance data framework as part of this work. Any such framework should, in addition to having published indicators at an aggregate level to inform care users about safety, quality and performance, enable providers to understand their performance relative to other similar providers.</w:t>
      </w:r>
      <w:r w:rsidRPr="0092719E" w:rsidDel="001541E5">
        <w:t xml:space="preserve"> </w:t>
      </w:r>
    </w:p>
    <w:p w14:paraId="6DD792A2" w14:textId="77777777" w:rsidR="00EE577B" w:rsidRPr="0092719E" w:rsidRDefault="00EE577B">
      <w:pPr>
        <w:pStyle w:val="BodyText"/>
        <w:keepNext/>
      </w:pPr>
      <w:r w:rsidRPr="0092719E">
        <w:t>Additional potential actions could include:</w:t>
      </w:r>
    </w:p>
    <w:p w14:paraId="022143B9" w14:textId="77777777" w:rsidR="00EE577B" w:rsidRPr="0092719E" w:rsidRDefault="00EE577B" w:rsidP="00EE577B">
      <w:pPr>
        <w:pStyle w:val="ListBullet"/>
      </w:pPr>
      <w:r w:rsidRPr="0092719E">
        <w:t>streamlining reporting requirements on the use of restrictive practices, as discussed above</w:t>
      </w:r>
    </w:p>
    <w:p w14:paraId="512FAEDA" w14:textId="77777777" w:rsidR="00EE577B" w:rsidRPr="0092719E" w:rsidRDefault="00EE577B" w:rsidP="00EE577B">
      <w:pPr>
        <w:pStyle w:val="ListBullet"/>
      </w:pPr>
      <w:r w:rsidRPr="0092719E">
        <w:t>streamlining incident reporting requirements</w:t>
      </w:r>
    </w:p>
    <w:p w14:paraId="2D53C634" w14:textId="3109E74B" w:rsidR="00EE577B" w:rsidRPr="0092719E" w:rsidRDefault="00EE577B" w:rsidP="00EE577B">
      <w:pPr>
        <w:pStyle w:val="ListBullet"/>
      </w:pPr>
      <w:r w:rsidRPr="0092719E">
        <w:t xml:space="preserve">streamlining reporting requirements relating to key personnel or responsible persons – although, to the extent that these reporting obligations arise </w:t>
      </w:r>
      <w:proofErr w:type="gramStart"/>
      <w:r w:rsidRPr="0092719E">
        <w:t>as a result of</w:t>
      </w:r>
      <w:proofErr w:type="gramEnd"/>
      <w:r w:rsidRPr="0092719E">
        <w:t xml:space="preserve"> registration conditions, the single digital portal for registration and audits proposed above may partially address this issue.</w:t>
      </w:r>
    </w:p>
    <w:tbl>
      <w:tblPr>
        <w:tblStyle w:val="Texttable-Paleblue"/>
        <w:tblW w:w="5000" w:type="pct"/>
        <w:tblLook w:val="04A0" w:firstRow="1" w:lastRow="0" w:firstColumn="1" w:lastColumn="0" w:noHBand="0" w:noVBand="1"/>
      </w:tblPr>
      <w:tblGrid>
        <w:gridCol w:w="713"/>
        <w:gridCol w:w="8925"/>
      </w:tblGrid>
      <w:tr w:rsidR="00EE577B" w14:paraId="543267F9" w14:textId="77777777">
        <w:trPr>
          <w:tblHeader/>
        </w:trPr>
        <w:tc>
          <w:tcPr>
            <w:tcW w:w="713" w:type="dxa"/>
            <w:shd w:val="clear" w:color="auto" w:fill="E7F6FD"/>
            <w:tcMar>
              <w:top w:w="0" w:type="dxa"/>
              <w:bottom w:w="0" w:type="dxa"/>
            </w:tcMar>
            <w:vAlign w:val="center"/>
          </w:tcPr>
          <w:p w14:paraId="28CD25F3" w14:textId="77777777" w:rsidR="00EE577B" w:rsidRPr="00C66282" w:rsidRDefault="00EE577B">
            <w:pPr>
              <w:keepLines/>
              <w:jc w:val="center"/>
            </w:pPr>
            <w:r w:rsidRPr="00C66282">
              <w:rPr>
                <w:noProof/>
              </w:rPr>
              <w:lastRenderedPageBreak/>
              <w:drawing>
                <wp:inline distT="0" distB="0" distL="0" distR="0" wp14:anchorId="63B7DAC9" wp14:editId="1F5148E8">
                  <wp:extent cx="288000" cy="288000"/>
                  <wp:effectExtent l="0" t="0" r="0" b="0"/>
                  <wp:docPr id="593286895" name="Graphic 5932868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135956C" w14:textId="6D389B99" w:rsidR="00EE577B" w:rsidRPr="00C66282" w:rsidRDefault="00EE577B">
            <w:pPr>
              <w:pStyle w:val="TableHeading"/>
              <w:keepLines/>
              <w:spacing w:before="120" w:after="120"/>
              <w:contextualSpacing/>
              <w:rPr>
                <w:sz w:val="20"/>
              </w:rPr>
            </w:pPr>
            <w:r w:rsidRPr="00C66282">
              <w:rPr>
                <w:sz w:val="20"/>
              </w:rPr>
              <w:t xml:space="preserve">Recommendation </w:t>
            </w:r>
            <w:r w:rsidRPr="00C66282">
              <w:rPr>
                <w:sz w:val="20"/>
              </w:rPr>
              <w:fldChar w:fldCharType="begin"/>
            </w:r>
            <w:r w:rsidRPr="00C66282">
              <w:rPr>
                <w:sz w:val="20"/>
              </w:rPr>
              <w:instrText xml:space="preserve"> STYLEREF 1 \s </w:instrText>
            </w:r>
            <w:r w:rsidRPr="00C66282">
              <w:rPr>
                <w:sz w:val="20"/>
              </w:rPr>
              <w:fldChar w:fldCharType="separate"/>
            </w:r>
            <w:r w:rsidR="00FB1849">
              <w:rPr>
                <w:noProof/>
                <w:sz w:val="20"/>
              </w:rPr>
              <w:t>1</w:t>
            </w:r>
            <w:r w:rsidRPr="00C66282">
              <w:rPr>
                <w:sz w:val="20"/>
              </w:rPr>
              <w:fldChar w:fldCharType="end"/>
            </w:r>
            <w:r w:rsidRPr="00C66282">
              <w:rPr>
                <w:sz w:val="20"/>
              </w:rPr>
              <w:t>.2</w:t>
            </w:r>
          </w:p>
          <w:p w14:paraId="5FB23F47" w14:textId="77777777" w:rsidR="00EE577B" w:rsidRPr="00C66282" w:rsidRDefault="00EE577B">
            <w:pPr>
              <w:pStyle w:val="TableHeading"/>
              <w:keepLines/>
              <w:spacing w:before="120" w:after="120"/>
              <w:contextualSpacing/>
              <w:rPr>
                <w:sz w:val="20"/>
              </w:rPr>
            </w:pPr>
            <w:r w:rsidRPr="00C66282">
              <w:rPr>
                <w:sz w:val="20"/>
              </w:rPr>
              <w:t>Align quality and safety regulation</w:t>
            </w:r>
            <w:r>
              <w:rPr>
                <w:sz w:val="20"/>
              </w:rPr>
              <w:t xml:space="preserve"> of providers and services</w:t>
            </w:r>
            <w:r w:rsidRPr="00C66282">
              <w:rPr>
                <w:sz w:val="20"/>
              </w:rPr>
              <w:t xml:space="preserve"> and assess the case for a single regulator</w:t>
            </w:r>
          </w:p>
        </w:tc>
      </w:tr>
      <w:tr w:rsidR="00EE577B" w14:paraId="20B1FA5F" w14:textId="77777777">
        <w:tc>
          <w:tcPr>
            <w:tcW w:w="9638" w:type="dxa"/>
            <w:gridSpan w:val="2"/>
            <w:shd w:val="clear" w:color="auto" w:fill="E7F6FD"/>
            <w:tcMar>
              <w:top w:w="0" w:type="dxa"/>
            </w:tcMar>
          </w:tcPr>
          <w:p w14:paraId="2CCBABDA" w14:textId="39AB007B" w:rsidR="00EE577B" w:rsidRPr="00C66282" w:rsidRDefault="00EE577B">
            <w:pPr>
              <w:pStyle w:val="BodyText"/>
              <w:keepLines/>
            </w:pPr>
            <w:r w:rsidRPr="00C66282">
              <w:t>To begin aligning</w:t>
            </w:r>
            <w:r>
              <w:t xml:space="preserve"> quality and safety regulation of</w:t>
            </w:r>
            <w:r w:rsidRPr="00C66282">
              <w:t xml:space="preserve"> provider</w:t>
            </w:r>
            <w:r>
              <w:t>s</w:t>
            </w:r>
            <w:r w:rsidRPr="00C66282">
              <w:t xml:space="preserve"> and service</w:t>
            </w:r>
            <w:r>
              <w:t>s</w:t>
            </w:r>
            <w:r w:rsidRPr="00C66282">
              <w:t xml:space="preserve"> across the care economy, the Australian Government, in collaboration with state and territory governments where relevant</w:t>
            </w:r>
            <w:r w:rsidR="00B01C22">
              <w:t>,</w:t>
            </w:r>
            <w:r w:rsidR="00B01C22" w:rsidRPr="00C66282">
              <w:t xml:space="preserve"> should</w:t>
            </w:r>
            <w:r w:rsidRPr="00C66282">
              <w:t>:</w:t>
            </w:r>
          </w:p>
          <w:p w14:paraId="1C8C8F5B" w14:textId="77777777" w:rsidR="00EE577B" w:rsidRPr="00C66282" w:rsidRDefault="00EE577B" w:rsidP="00EE577B">
            <w:pPr>
              <w:pStyle w:val="ListBullet"/>
            </w:pPr>
            <w:r w:rsidRPr="00C66282">
              <w:t>develop a common suitability test for providers operating across the aged care, National Disability Insurance Scheme (NDIS), veterans’ care and early childhood education and care (ECEC) sectors</w:t>
            </w:r>
          </w:p>
          <w:p w14:paraId="576462A2" w14:textId="77777777" w:rsidR="00EE577B" w:rsidRPr="00C66282" w:rsidRDefault="00EE577B" w:rsidP="00EE577B">
            <w:pPr>
              <w:pStyle w:val="ListBullet"/>
            </w:pPr>
            <w:r w:rsidRPr="00C66282">
              <w:t>establish cross</w:t>
            </w:r>
            <w:r>
              <w:noBreakHyphen/>
            </w:r>
            <w:r w:rsidRPr="00C66282">
              <w:t>sectoral registration and audits across the aged care, NDIS and veterans’ care sectors, with mutual recognition of registration and audits as an interim step</w:t>
            </w:r>
          </w:p>
          <w:p w14:paraId="4128D31E" w14:textId="77777777" w:rsidR="00EE577B" w:rsidRPr="00C66282" w:rsidRDefault="00EE577B" w:rsidP="00EE577B">
            <w:pPr>
              <w:pStyle w:val="ListBullet"/>
            </w:pPr>
            <w:r w:rsidRPr="00C66282">
              <w:t>create a single digital portal for registration, approval and audits in aged care, NDIS and veterans’ care, and for providers approved to administer the Child Care Subsidy in the ECEC sector</w:t>
            </w:r>
          </w:p>
          <w:p w14:paraId="5637FFD0" w14:textId="77777777" w:rsidR="00EE577B" w:rsidRPr="00246E9B" w:rsidRDefault="00EE577B" w:rsidP="00EE577B">
            <w:pPr>
              <w:pStyle w:val="ListBullet"/>
              <w:rPr>
                <w:spacing w:val="-2"/>
              </w:rPr>
            </w:pPr>
            <w:r w:rsidRPr="00246E9B">
              <w:rPr>
                <w:spacing w:val="-2"/>
              </w:rPr>
              <w:t>establish a combined modular set of practice and quality standards across aged care and NDIS services</w:t>
            </w:r>
          </w:p>
          <w:p w14:paraId="3D5DA734" w14:textId="77777777" w:rsidR="00EE577B" w:rsidRPr="00246E9B" w:rsidRDefault="00EE577B" w:rsidP="00EE577B">
            <w:pPr>
              <w:pStyle w:val="ListBullet"/>
              <w:rPr>
                <w:spacing w:val="-2"/>
              </w:rPr>
            </w:pPr>
            <w:r w:rsidRPr="00246E9B">
              <w:rPr>
                <w:spacing w:val="-2"/>
              </w:rPr>
              <w:t>align the regulation of behaviour support plans and restrictive practices for aged care and NDIS services</w:t>
            </w:r>
          </w:p>
          <w:p w14:paraId="4CE44B29" w14:textId="77777777" w:rsidR="00EE577B" w:rsidRPr="00C66282" w:rsidRDefault="00EE577B" w:rsidP="00EE577B">
            <w:pPr>
              <w:pStyle w:val="ListBullet"/>
            </w:pPr>
            <w:r w:rsidRPr="00C66282">
              <w:t>identify opportunities and apply the principle of ‘report once, use often’ in data reporting across care sectors, initially focusing on the aged care, NDIS and veterans’ care sectors.</w:t>
            </w:r>
          </w:p>
          <w:p w14:paraId="6D24327E" w14:textId="77777777" w:rsidR="00EE577B" w:rsidRPr="00C66282" w:rsidRDefault="00EE577B">
            <w:pPr>
              <w:pStyle w:val="BodyText"/>
            </w:pPr>
            <w:r w:rsidRPr="00C66282">
              <w:rPr>
                <w:color w:val="000000" w:themeColor="text1"/>
              </w:rPr>
              <w:t xml:space="preserve">The Australian Government should also </w:t>
            </w:r>
            <w:r w:rsidRPr="00C66282">
              <w:t>assess the case for a single regulator across the aged care, NDIS and veterans’ care sectors. In doing so, it should work closely with care users and providers and weigh the benefits, costs and risks of a single regulator.</w:t>
            </w:r>
          </w:p>
        </w:tc>
      </w:tr>
      <w:tr w:rsidR="00EE577B" w14:paraId="0B5A51DC" w14:textId="77777777">
        <w:tc>
          <w:tcPr>
            <w:tcW w:w="9638" w:type="dxa"/>
            <w:gridSpan w:val="2"/>
            <w:shd w:val="clear" w:color="auto" w:fill="FFFFFF" w:themeFill="background1"/>
            <w:tcMar>
              <w:top w:w="0" w:type="dxa"/>
              <w:bottom w:w="0" w:type="dxa"/>
            </w:tcMar>
          </w:tcPr>
          <w:p w14:paraId="66DEC5E2" w14:textId="59BCF563" w:rsidR="00EE577B" w:rsidRPr="00C66282" w:rsidRDefault="00EE577B">
            <w:pPr>
              <w:pStyle w:val="NoSpacing"/>
              <w:spacing w:line="200" w:lineRule="exact"/>
            </w:pPr>
          </w:p>
        </w:tc>
      </w:tr>
    </w:tbl>
    <w:p w14:paraId="230327D6" w14:textId="77777777" w:rsidR="00EE577B" w:rsidRPr="00C66282" w:rsidRDefault="00EE577B">
      <w:pPr>
        <w:pStyle w:val="Heading2-nonumber"/>
      </w:pPr>
      <w:bookmarkStart w:id="76" w:name="_Toc215671167"/>
      <w:bookmarkStart w:id="77" w:name="_Toc215838131"/>
      <w:r w:rsidRPr="00C66282">
        <w:t>Now is an opportune moment to restart alignment efforts</w:t>
      </w:r>
      <w:bookmarkEnd w:id="76"/>
      <w:bookmarkEnd w:id="77"/>
    </w:p>
    <w:p w14:paraId="4B1BF816" w14:textId="552E5D8D" w:rsidR="00EE577B" w:rsidRPr="00C66282" w:rsidRDefault="00EE577B">
      <w:pPr>
        <w:pStyle w:val="BodyText"/>
      </w:pPr>
      <w:r w:rsidRPr="00C66282">
        <w:t>The need for greater regulatory alignment in the care economy has long been recognised. Several efforts have been made to align regulation in recent years (box 1.4) but have largely lost momentum. However, recent developments present a renewed opportunity to pursue and persist with reform. For example:</w:t>
      </w:r>
    </w:p>
    <w:p w14:paraId="0B093871" w14:textId="337F7D5A" w:rsidR="00EE577B" w:rsidRPr="00C66282" w:rsidRDefault="00EE577B" w:rsidP="00EE577B">
      <w:pPr>
        <w:pStyle w:val="ListBullet"/>
      </w:pPr>
      <w:r w:rsidRPr="00C66282">
        <w:t xml:space="preserve">in May 2025, the Australian Government Minister for Health and Ageing was appointed Minister for Disability and the NDIS, while </w:t>
      </w:r>
      <w:r>
        <w:t xml:space="preserve">Australian Government </w:t>
      </w:r>
      <w:r w:rsidRPr="00C66282">
        <w:t xml:space="preserve">disability policy was moved into the newly created Department of Health, Disability and Ageing </w:t>
      </w:r>
      <w:r w:rsidR="00CD75B1" w:rsidRPr="00CD75B1">
        <w:rPr>
          <w:rFonts w:ascii="Arial" w:hAnsi="Arial" w:cs="Arial"/>
        </w:rPr>
        <w:t>(Butler 2025; PM&amp;C 2025)</w:t>
      </w:r>
      <w:r w:rsidRPr="00C66282">
        <w:t>. These changes reduce</w:t>
      </w:r>
      <w:r w:rsidRPr="00C66282" w:rsidDel="00C95652">
        <w:t xml:space="preserve"> </w:t>
      </w:r>
      <w:r w:rsidRPr="00C66282">
        <w:t>fragmentation of responsibility for the care economy across portfolios and create clearer responsibility for aligning aged care and NDIS regulation</w:t>
      </w:r>
    </w:p>
    <w:p w14:paraId="7BC6EF5C" w14:textId="77777777" w:rsidR="00EE577B" w:rsidRPr="00C66282" w:rsidRDefault="00EE577B" w:rsidP="00EE577B">
      <w:pPr>
        <w:pStyle w:val="ListBullet"/>
      </w:pPr>
      <w:r w:rsidRPr="00C66282">
        <w:t xml:space="preserve">all relevant reviews and royal commissions over the past few years have now reported, giving the Australian Government an opportunity to take stock and identify opportunities for more consistent regulation across sectors </w:t>
      </w:r>
    </w:p>
    <w:p w14:paraId="19D991FD" w14:textId="77777777" w:rsidR="00EE577B" w:rsidRPr="00C66282" w:rsidRDefault="00EE577B" w:rsidP="00EE577B">
      <w:pPr>
        <w:pStyle w:val="ListBullet"/>
      </w:pPr>
      <w:r w:rsidRPr="00C66282">
        <w:t xml:space="preserve">the introduction of the </w:t>
      </w:r>
      <w:r w:rsidRPr="00C66282">
        <w:rPr>
          <w:i/>
          <w:iCs/>
        </w:rPr>
        <w:t xml:space="preserve">Aged Care Act 2024 </w:t>
      </w:r>
      <w:r w:rsidRPr="00C66282">
        <w:t>involved aligning some regulatory actions (for example, provider registration is now more aligned with NDIS requirements than previously), demonstrating new ways of working across care sectors</w:t>
      </w:r>
    </w:p>
    <w:p w14:paraId="4AC24A3C" w14:textId="01BD9C5D" w:rsidR="00EE577B" w:rsidRPr="00C66282" w:rsidRDefault="00EE577B" w:rsidP="00EE577B">
      <w:pPr>
        <w:pStyle w:val="ListBullet"/>
      </w:pPr>
      <w:r w:rsidRPr="00C66282">
        <w:t>worker registration and worker screening policy reforms in the care economy are underway, providing opportunities for these to be designed and implemented in a way that supports regulatory alignment.</w:t>
      </w:r>
      <w:r w:rsidRPr="002B0A03">
        <w:rPr>
          <w:rStyle w:val="FootnoteReference"/>
        </w:rPr>
        <w:footnoteReference w:id="12"/>
      </w:r>
    </w:p>
    <w:p w14:paraId="1AA6C9E6" w14:textId="06BD7A01" w:rsidR="00EE577B" w:rsidRPr="00C66282" w:rsidRDefault="00EE577B">
      <w:pPr>
        <w:pStyle w:val="BodyText"/>
      </w:pPr>
      <w:r w:rsidRPr="00C66282">
        <w:lastRenderedPageBreak/>
        <w:t xml:space="preserve">To take advantage of the opportunity for renewed action on regulatory alignment and to drive reform, the Australian Government should take the following actions relating to policy governance. </w:t>
      </w:r>
    </w:p>
    <w:p w14:paraId="0B9C37D4" w14:textId="77777777" w:rsidR="00EE577B" w:rsidRPr="00C66282" w:rsidRDefault="00EE577B">
      <w:pPr>
        <w:pStyle w:val="NoSpacing"/>
      </w:pPr>
    </w:p>
    <w:tbl>
      <w:tblPr>
        <w:tblStyle w:val="Boxtable"/>
        <w:tblW w:w="5000" w:type="pct"/>
        <w:tblLook w:val="04A0" w:firstRow="1" w:lastRow="0" w:firstColumn="1" w:lastColumn="0" w:noHBand="0" w:noVBand="1"/>
      </w:tblPr>
      <w:tblGrid>
        <w:gridCol w:w="9638"/>
      </w:tblGrid>
      <w:tr w:rsidR="00EE577B" w14:paraId="0D7F2FCA" w14:textId="77777777">
        <w:trPr>
          <w:tblHeader/>
        </w:trPr>
        <w:tc>
          <w:tcPr>
            <w:tcW w:w="9638" w:type="dxa"/>
            <w:shd w:val="clear" w:color="auto" w:fill="EBEBEB"/>
            <w:tcMar>
              <w:top w:w="170" w:type="dxa"/>
              <w:left w:w="170" w:type="dxa"/>
              <w:bottom w:w="113" w:type="dxa"/>
              <w:right w:w="170" w:type="dxa"/>
            </w:tcMar>
            <w:hideMark/>
          </w:tcPr>
          <w:p w14:paraId="03166722" w14:textId="47C37200" w:rsidR="00EE577B" w:rsidRPr="00C66282" w:rsidRDefault="00EE577B">
            <w:pPr>
              <w:pStyle w:val="BoxHeading1"/>
            </w:pPr>
            <w:r w:rsidRPr="00C66282">
              <w:t>Box </w:t>
            </w:r>
            <w:r w:rsidR="007200D9">
              <w:t>1</w:t>
            </w:r>
            <w:r w:rsidRPr="00C66282">
              <w:t>.4</w:t>
            </w:r>
            <w:r w:rsidRPr="00C66282">
              <w:rPr>
                <w:noProof/>
              </w:rPr>
              <w:t xml:space="preserve"> </w:t>
            </w:r>
            <w:r w:rsidRPr="00C66282">
              <w:t>– Previous efforts have been made to align regulation in the care economy</w:t>
            </w:r>
          </w:p>
        </w:tc>
      </w:tr>
      <w:tr w:rsidR="00EE577B" w14:paraId="6AA7F2FA" w14:textId="77777777">
        <w:tc>
          <w:tcPr>
            <w:tcW w:w="9638" w:type="dxa"/>
            <w:shd w:val="clear" w:color="auto" w:fill="EBEBEB"/>
            <w:tcMar>
              <w:top w:w="28" w:type="dxa"/>
              <w:left w:w="170" w:type="dxa"/>
              <w:bottom w:w="170" w:type="dxa"/>
              <w:right w:w="170" w:type="dxa"/>
            </w:tcMar>
            <w:hideMark/>
          </w:tcPr>
          <w:p w14:paraId="635900D8" w14:textId="3ED60E77" w:rsidR="00EE577B" w:rsidRPr="00042E24" w:rsidRDefault="00EE577B">
            <w:pPr>
              <w:pStyle w:val="BodyText"/>
            </w:pPr>
            <w:r w:rsidRPr="00042E24">
              <w:t>In 2021, a regulatory alignment taskforce was established within the Department of Health (now the Department of Health, Disability and Ageing). The</w:t>
            </w:r>
            <w:r w:rsidR="00C42E3B">
              <w:t xml:space="preserve"> 2021–22</w:t>
            </w:r>
            <w:r w:rsidRPr="00042E24">
              <w:t xml:space="preserve"> Budget provided $12.3 million over two years to increase information sharing between regulators, align auditing arrangements and compliance and enforcement powers, review the NDIS Quality and Safeguards Framework and consult with the sector about options for further reform to align regulation and safeguards </w:t>
            </w:r>
            <w:r w:rsidRPr="00AB51B7">
              <w:rPr>
                <w:rFonts w:ascii="Arial" w:hAnsi="Arial" w:cs="Arial"/>
              </w:rPr>
              <w:t>(Commonwealth of Australia 2021, p. 178)</w:t>
            </w:r>
            <w:r w:rsidRPr="00042E24">
              <w:t xml:space="preserve">. The taskforce published several background and consultation papers on regulatory alignment, consulted with stakeholders and summarised their views </w:t>
            </w:r>
            <w:r w:rsidR="00C36B44" w:rsidRPr="00C36B44">
              <w:rPr>
                <w:rFonts w:ascii="Arial" w:hAnsi="Arial" w:cs="Arial"/>
                <w:szCs w:val="24"/>
                <w:lang w:val="en-GB"/>
              </w:rPr>
              <w:t>(</w:t>
            </w:r>
            <w:proofErr w:type="spellStart"/>
            <w:r w:rsidR="00C36B44" w:rsidRPr="00C36B44">
              <w:rPr>
                <w:rFonts w:ascii="Arial" w:hAnsi="Arial" w:cs="Arial"/>
                <w:szCs w:val="24"/>
                <w:lang w:val="en-GB"/>
              </w:rPr>
              <w:t>DoH</w:t>
            </w:r>
            <w:proofErr w:type="spellEnd"/>
            <w:r w:rsidR="00C36B44" w:rsidRPr="00C36B44">
              <w:rPr>
                <w:rFonts w:ascii="Arial" w:hAnsi="Arial" w:cs="Arial"/>
                <w:szCs w:val="24"/>
                <w:lang w:val="en-GB"/>
              </w:rPr>
              <w:t> 2021b, 2021a, 2022)</w:t>
            </w:r>
            <w:r w:rsidRPr="00042E24">
              <w:t xml:space="preserve"> and developed an aged care code of conduct. </w:t>
            </w:r>
          </w:p>
          <w:p w14:paraId="6882529B" w14:textId="0E9A2FA5" w:rsidR="00EE577B" w:rsidRPr="00042E24" w:rsidRDefault="00EE577B">
            <w:pPr>
              <w:pStyle w:val="BodyText"/>
            </w:pPr>
            <w:r w:rsidRPr="00042E24">
              <w:t>In late 2022, a care and support economy taskforce was established within the Department of the Prime Minister and Cabinet. The taskforce developed a draft Care and Support Economy Strategy, which included addressing regulatory duplication, burden and rigidity, and reducing the burden of reporting</w:t>
            </w:r>
            <w:r>
              <w:t> </w:t>
            </w:r>
            <w:r w:rsidRPr="00D3251A">
              <w:rPr>
                <w:rFonts w:ascii="Arial" w:hAnsi="Arial" w:cs="Arial"/>
              </w:rPr>
              <w:t>(PM&amp;C 2023)</w:t>
            </w:r>
            <w:r w:rsidRPr="00042E24">
              <w:t xml:space="preserve">. After the taskforce concluded in June 2024, the Care and Support Reform Unit was created in the department to support, track and advise on the alignment of reforms across the care and support economy </w:t>
            </w:r>
            <w:r w:rsidRPr="00D3251A">
              <w:rPr>
                <w:rFonts w:ascii="Arial" w:hAnsi="Arial" w:cs="Arial"/>
              </w:rPr>
              <w:t>(PM&amp;C 2024)</w:t>
            </w:r>
            <w:r w:rsidRPr="00042E24">
              <w:t xml:space="preserve">. </w:t>
            </w:r>
          </w:p>
        </w:tc>
      </w:tr>
    </w:tbl>
    <w:p w14:paraId="48214586" w14:textId="77777777" w:rsidR="00EE577B" w:rsidRPr="00042E24" w:rsidRDefault="00EE577B">
      <w:pPr>
        <w:pStyle w:val="Space"/>
      </w:pPr>
    </w:p>
    <w:p w14:paraId="3F750451" w14:textId="77777777" w:rsidR="00EE577B" w:rsidRPr="00042E24" w:rsidRDefault="00EE577B">
      <w:pPr>
        <w:pStyle w:val="Heading4"/>
      </w:pPr>
      <w:r w:rsidRPr="00042E24">
        <w:t xml:space="preserve">Appoint a </w:t>
      </w:r>
      <w:proofErr w:type="gramStart"/>
      <w:r w:rsidRPr="00042E24">
        <w:t>lead Minister</w:t>
      </w:r>
      <w:proofErr w:type="gramEnd"/>
      <w:r w:rsidRPr="00042E24">
        <w:t xml:space="preserve"> to drive alignment </w:t>
      </w:r>
    </w:p>
    <w:p w14:paraId="07335AB7" w14:textId="77777777" w:rsidR="00EE577B" w:rsidRPr="00042E24" w:rsidRDefault="00EE577B">
      <w:pPr>
        <w:pStyle w:val="BodyText"/>
      </w:pPr>
      <w:r w:rsidRPr="00042E24">
        <w:t xml:space="preserve">A key factor in the success of any regulatory alignment agenda will be sufficient leadership and direction from a relevant Minister to drive action. To create the focus and impetus needed to successfully implement the reform program, the Australian Government should appoint a Minister with responsibility for regulatory alignment across the care economy. </w:t>
      </w:r>
    </w:p>
    <w:p w14:paraId="582BD64D" w14:textId="60CAD25D" w:rsidR="00EE577B" w:rsidRDefault="00EE577B">
      <w:pPr>
        <w:pStyle w:val="BodyText"/>
      </w:pPr>
      <w:r w:rsidRPr="00042E24">
        <w:t xml:space="preserve">The appointed Minister should set a clear vision for regulatory alignment </w:t>
      </w:r>
      <w:r>
        <w:t xml:space="preserve">in the care economy </w:t>
      </w:r>
      <w:r w:rsidRPr="00042E24">
        <w:t xml:space="preserve">and regularly and consistently communicate this vision to the care system and public. </w:t>
      </w:r>
      <w:r>
        <w:t xml:space="preserve">This vision could form part of the Australian Government’s overall statement on regulation, as recommended in the PC’s inquiry into </w:t>
      </w:r>
      <w:r w:rsidRPr="00983E40">
        <w:rPr>
          <w:i/>
          <w:iCs/>
        </w:rPr>
        <w:t>Creating a more dynamic and resilient economy</w:t>
      </w:r>
      <w:r>
        <w:t xml:space="preserve"> </w:t>
      </w:r>
      <w:r w:rsidR="00CD75B1" w:rsidRPr="00CD75B1">
        <w:rPr>
          <w:rFonts w:ascii="Arial" w:hAnsi="Arial" w:cs="Arial"/>
        </w:rPr>
        <w:t>(PC 2025b)</w:t>
      </w:r>
      <w:r>
        <w:t>.</w:t>
      </w:r>
    </w:p>
    <w:p w14:paraId="24C92E2D" w14:textId="48A1C86E" w:rsidR="00EE577B" w:rsidRPr="00042E24" w:rsidRDefault="00EE577B">
      <w:pPr>
        <w:pStyle w:val="BodyText"/>
      </w:pPr>
      <w:r w:rsidRPr="00042E24">
        <w:t>Given the cross</w:t>
      </w:r>
      <w:r>
        <w:noBreakHyphen/>
      </w:r>
      <w:r w:rsidRPr="00042E24">
        <w:t>portfolio nature of the care economy, the Minister will need to work with other relevant Ministers and</w:t>
      </w:r>
      <w:r w:rsidRPr="00042E24" w:rsidDel="007025B9">
        <w:t xml:space="preserve"> </w:t>
      </w:r>
      <w:r w:rsidRPr="00042E24">
        <w:t>bring together multiple agencies for collaboration. While individual Ministers and agencies will be responsible for progressing specific regulatory alignment activities within the</w:t>
      </w:r>
      <w:r w:rsidR="00B50DBB">
        <w:t>ir</w:t>
      </w:r>
      <w:r w:rsidRPr="00042E24">
        <w:t xml:space="preserve"> remit, the </w:t>
      </w:r>
      <w:proofErr w:type="gramStart"/>
      <w:r w:rsidRPr="00042E24">
        <w:t>lead Minister</w:t>
      </w:r>
      <w:proofErr w:type="gramEnd"/>
      <w:r w:rsidRPr="00042E24">
        <w:t xml:space="preserve"> would be accountable for the progress and implementation of the regulatory alignment </w:t>
      </w:r>
      <w:proofErr w:type="gramStart"/>
      <w:r w:rsidRPr="00042E24">
        <w:t>agenda as a whole</w:t>
      </w:r>
      <w:proofErr w:type="gramEnd"/>
      <w:r w:rsidRPr="00042E24">
        <w:t>.</w:t>
      </w:r>
    </w:p>
    <w:p w14:paraId="54FD44E5" w14:textId="77777777" w:rsidR="00EE577B" w:rsidRPr="00042E24" w:rsidRDefault="00EE577B">
      <w:pPr>
        <w:pStyle w:val="Heading4"/>
      </w:pPr>
      <w:r w:rsidRPr="00042E24">
        <w:t>Appoint lead agencies to steward reforms</w:t>
      </w:r>
    </w:p>
    <w:p w14:paraId="1348E926" w14:textId="71D00138" w:rsidR="00EE577B" w:rsidRPr="00042E24" w:rsidRDefault="00EE577B">
      <w:pPr>
        <w:pStyle w:val="BodyText"/>
      </w:pPr>
      <w:r w:rsidRPr="00042E24">
        <w:t>To progress implementation of the regulatory alignment agenda, each action should be allocated to a lead agency. As noted above, the regulatory alignment agenda will span multiple portfolios and agencies. Individual actions may also require collaboration across agencies and/or governments. Nevertheless, having a lead agency responsible for each reform will ensure clear accountability for driving progress.</w:t>
      </w:r>
    </w:p>
    <w:p w14:paraId="6F25161E" w14:textId="77777777" w:rsidR="00EE577B" w:rsidRPr="00042E24" w:rsidRDefault="00EE577B">
      <w:pPr>
        <w:pStyle w:val="BodyText"/>
      </w:pPr>
      <w:r w:rsidRPr="00042E24">
        <w:t xml:space="preserve">Lead agencies should have the expertise to implement their assigned actions and could use existing care economy working groups and forums where relevant. Existing state and territory forums could also be </w:t>
      </w:r>
      <w:r w:rsidRPr="00042E24">
        <w:lastRenderedPageBreak/>
        <w:t>leveraged to deliver actions that require intergovernmental cooperation. To ensure accountability and transparency, lead agencies should publicly issue timelines and regular progress updates.</w:t>
      </w:r>
    </w:p>
    <w:p w14:paraId="7CCE6964" w14:textId="77777777" w:rsidR="00EE577B" w:rsidRPr="00042E24" w:rsidRDefault="00EE577B">
      <w:pPr>
        <w:pStyle w:val="Heading4"/>
      </w:pPr>
      <w:r w:rsidRPr="00042E24">
        <w:t>Issue statements of expectations to embed collaboration between regulators</w:t>
      </w:r>
    </w:p>
    <w:p w14:paraId="15AE2222" w14:textId="3AE7F12B" w:rsidR="00EE577B" w:rsidRPr="00196C93" w:rsidRDefault="00EE577B">
      <w:pPr>
        <w:pStyle w:val="BodyText"/>
        <w:rPr>
          <w:spacing w:val="-2"/>
        </w:rPr>
      </w:pPr>
      <w:r w:rsidRPr="00196C93">
        <w:rPr>
          <w:spacing w:val="-2"/>
        </w:rPr>
        <w:t>While government agencies are responsible for implementing government policy, the ACQSC and NDIS Commission will be responsible for overseeing adherence to any newly aligned regulatory frameworks. Their role is therefore critical to the success of the proposed reforms. To reflect this, the Minister for Health, Disability and Ageing should issue the ACQSC and NDIS Commission with updated statements of expectations (</w:t>
      </w:r>
      <w:proofErr w:type="spellStart"/>
      <w:r w:rsidRPr="00196C93">
        <w:rPr>
          <w:spacing w:val="-2"/>
        </w:rPr>
        <w:t>SoEs</w:t>
      </w:r>
      <w:proofErr w:type="spellEnd"/>
      <w:r w:rsidRPr="00196C93">
        <w:rPr>
          <w:spacing w:val="-2"/>
        </w:rPr>
        <w:t xml:space="preserve">) that aim to embed collaboration between the regulators and further break down care sector </w:t>
      </w:r>
      <w:r w:rsidR="00937245" w:rsidRPr="00196C93">
        <w:rPr>
          <w:spacing w:val="-2"/>
        </w:rPr>
        <w:t>silos</w:t>
      </w:r>
      <w:r w:rsidRPr="00196C93">
        <w:rPr>
          <w:spacing w:val="-2"/>
        </w:rPr>
        <w:t>.</w:t>
      </w:r>
    </w:p>
    <w:p w14:paraId="54602F1E" w14:textId="19266BCD" w:rsidR="00EE577B" w:rsidRPr="00CB3698" w:rsidRDefault="00EE577B">
      <w:pPr>
        <w:pStyle w:val="BodyText"/>
      </w:pPr>
      <w:r w:rsidRPr="00042E24">
        <w:t xml:space="preserve">Updated </w:t>
      </w:r>
      <w:proofErr w:type="spellStart"/>
      <w:r w:rsidRPr="00042E24">
        <w:t>SoEs</w:t>
      </w:r>
      <w:proofErr w:type="spellEnd"/>
      <w:r w:rsidRPr="00042E24">
        <w:t xml:space="preserve"> for the ACQSC and NDIS Commission should include the expectation these regulators work together and with relevant departments toward greater regulatory alignment and to reduce regulatory duplication and fragmentation between the aged care and NDIS sectors. This is consistent with the Australian Government’s recently set objective for Commonwealth regulators to better balance risk mitigation with efficiency, growth and dynamism, and its agreement for new </w:t>
      </w:r>
      <w:proofErr w:type="spellStart"/>
      <w:r w:rsidRPr="00042E24">
        <w:t>SoEs</w:t>
      </w:r>
      <w:proofErr w:type="spellEnd"/>
      <w:r w:rsidRPr="00042E24">
        <w:t xml:space="preserve"> to reflect this objective</w:t>
      </w:r>
      <w:r>
        <w:t xml:space="preserve"> </w:t>
      </w:r>
      <w:r w:rsidRPr="00CB25A1">
        <w:rPr>
          <w:rFonts w:ascii="Arial" w:hAnsi="Arial" w:cs="Arial"/>
        </w:rPr>
        <w:t>(Finance 2025a)</w:t>
      </w:r>
      <w:r w:rsidRPr="00CB3698">
        <w:t>. The regulators</w:t>
      </w:r>
      <w:r>
        <w:t xml:space="preserve"> </w:t>
      </w:r>
      <w:r w:rsidRPr="00CB3698">
        <w:t xml:space="preserve">should outline their responses in statements of intent. Further discussion on </w:t>
      </w:r>
      <w:r w:rsidR="006E30BE">
        <w:t>the</w:t>
      </w:r>
      <w:r w:rsidRPr="00CB3698">
        <w:t xml:space="preserve"> role of </w:t>
      </w:r>
      <w:proofErr w:type="spellStart"/>
      <w:r w:rsidRPr="00CB3698">
        <w:t>SoEs</w:t>
      </w:r>
      <w:proofErr w:type="spellEnd"/>
      <w:r w:rsidRPr="00CB3698">
        <w:t xml:space="preserve"> in strengthening regulatory practice can be found in the PC’s inquiry into </w:t>
      </w:r>
      <w:r w:rsidRPr="00CB3698">
        <w:rPr>
          <w:i/>
          <w:iCs/>
        </w:rPr>
        <w:t>Creating a more dynamic and resilient economy</w:t>
      </w:r>
      <w:r w:rsidR="007828C4">
        <w:rPr>
          <w:i/>
          <w:iCs/>
        </w:rPr>
        <w:t xml:space="preserve"> </w:t>
      </w:r>
      <w:r w:rsidR="00CD75B1" w:rsidRPr="00CD75B1">
        <w:rPr>
          <w:rFonts w:ascii="Arial" w:hAnsi="Arial" w:cs="Arial"/>
        </w:rPr>
        <w:t>(PC 2025b)</w:t>
      </w:r>
      <w:r w:rsidRPr="00CB3698">
        <w:t>.</w:t>
      </w:r>
    </w:p>
    <w:p w14:paraId="08FC77A8" w14:textId="77777777" w:rsidR="00EE577B" w:rsidRPr="00CB3698" w:rsidRDefault="00EE577B">
      <w:pPr>
        <w:pStyle w:val="Space"/>
      </w:pPr>
    </w:p>
    <w:tbl>
      <w:tblPr>
        <w:tblStyle w:val="Texttable-Paleblue"/>
        <w:tblW w:w="5000" w:type="pct"/>
        <w:tblLook w:val="04A0" w:firstRow="1" w:lastRow="0" w:firstColumn="1" w:lastColumn="0" w:noHBand="0" w:noVBand="1"/>
      </w:tblPr>
      <w:tblGrid>
        <w:gridCol w:w="713"/>
        <w:gridCol w:w="8925"/>
      </w:tblGrid>
      <w:tr w:rsidR="00EE577B" w14:paraId="31C712AC" w14:textId="77777777">
        <w:trPr>
          <w:tblHeader/>
        </w:trPr>
        <w:tc>
          <w:tcPr>
            <w:tcW w:w="713" w:type="dxa"/>
            <w:shd w:val="clear" w:color="auto" w:fill="E7F6FD"/>
            <w:tcMar>
              <w:top w:w="0" w:type="dxa"/>
              <w:bottom w:w="0" w:type="dxa"/>
            </w:tcMar>
            <w:vAlign w:val="center"/>
          </w:tcPr>
          <w:p w14:paraId="58870EC5" w14:textId="77777777" w:rsidR="00EE577B" w:rsidRPr="00CB3698" w:rsidRDefault="00EE577B">
            <w:pPr>
              <w:keepLines/>
              <w:jc w:val="center"/>
            </w:pPr>
            <w:r w:rsidRPr="00CB3698">
              <w:rPr>
                <w:noProof/>
              </w:rPr>
              <w:drawing>
                <wp:inline distT="0" distB="0" distL="0" distR="0" wp14:anchorId="0C66B7BD" wp14:editId="5BA37DC3">
                  <wp:extent cx="288000" cy="288000"/>
                  <wp:effectExtent l="0" t="0" r="0" b="0"/>
                  <wp:docPr id="1917202046" name="Graphic 1917202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04E71E2" w14:textId="7D779A7D" w:rsidR="00EE577B" w:rsidRPr="00CB3698" w:rsidRDefault="00EE577B">
            <w:pPr>
              <w:pStyle w:val="TableHeading"/>
              <w:keepLines/>
              <w:spacing w:before="120" w:after="120"/>
              <w:contextualSpacing/>
              <w:rPr>
                <w:sz w:val="20"/>
              </w:rPr>
            </w:pPr>
            <w:r w:rsidRPr="00CB3698">
              <w:rPr>
                <w:sz w:val="20"/>
              </w:rPr>
              <w:t xml:space="preserve">Recommendation </w:t>
            </w:r>
            <w:r w:rsidRPr="00CB3698">
              <w:rPr>
                <w:sz w:val="20"/>
              </w:rPr>
              <w:fldChar w:fldCharType="begin"/>
            </w:r>
            <w:r w:rsidRPr="00CB3698">
              <w:rPr>
                <w:sz w:val="20"/>
              </w:rPr>
              <w:instrText xml:space="preserve"> STYLEREF 1 \s </w:instrText>
            </w:r>
            <w:r w:rsidRPr="00CB3698">
              <w:rPr>
                <w:sz w:val="20"/>
              </w:rPr>
              <w:fldChar w:fldCharType="separate"/>
            </w:r>
            <w:r w:rsidR="00FB1849">
              <w:rPr>
                <w:noProof/>
                <w:sz w:val="20"/>
              </w:rPr>
              <w:t>1</w:t>
            </w:r>
            <w:r w:rsidRPr="00CB3698">
              <w:rPr>
                <w:sz w:val="20"/>
              </w:rPr>
              <w:fldChar w:fldCharType="end"/>
            </w:r>
            <w:r w:rsidRPr="00CB3698">
              <w:rPr>
                <w:sz w:val="20"/>
              </w:rPr>
              <w:t>.3</w:t>
            </w:r>
          </w:p>
          <w:p w14:paraId="6C73CE87" w14:textId="77777777" w:rsidR="00EE577B" w:rsidRPr="00CB3698" w:rsidRDefault="00EE577B">
            <w:pPr>
              <w:pStyle w:val="TableHeading"/>
              <w:keepLines/>
              <w:spacing w:before="120" w:after="120"/>
              <w:contextualSpacing/>
              <w:rPr>
                <w:sz w:val="20"/>
              </w:rPr>
            </w:pPr>
            <w:r w:rsidRPr="00CB3698">
              <w:rPr>
                <w:sz w:val="20"/>
              </w:rPr>
              <w:t xml:space="preserve">Lead the implementation process and provide </w:t>
            </w:r>
            <w:r>
              <w:rPr>
                <w:sz w:val="20"/>
              </w:rPr>
              <w:t>relevant</w:t>
            </w:r>
            <w:r w:rsidRPr="00CB3698">
              <w:rPr>
                <w:sz w:val="20"/>
              </w:rPr>
              <w:t xml:space="preserve"> agencies with direction</w:t>
            </w:r>
          </w:p>
        </w:tc>
      </w:tr>
      <w:tr w:rsidR="00EE577B" w14:paraId="47FBD64A" w14:textId="77777777">
        <w:tc>
          <w:tcPr>
            <w:tcW w:w="9638" w:type="dxa"/>
            <w:gridSpan w:val="2"/>
            <w:shd w:val="clear" w:color="auto" w:fill="E7F6FD"/>
            <w:tcMar>
              <w:top w:w="0" w:type="dxa"/>
            </w:tcMar>
          </w:tcPr>
          <w:p w14:paraId="3D240D40" w14:textId="77777777" w:rsidR="00EE577B" w:rsidRPr="00CB3698" w:rsidRDefault="00EE577B">
            <w:pPr>
              <w:pStyle w:val="BodyText"/>
            </w:pPr>
            <w:r w:rsidRPr="00CB3698">
              <w:t xml:space="preserve">To </w:t>
            </w:r>
            <w:r>
              <w:t>enable</w:t>
            </w:r>
            <w:r w:rsidRPr="00CB3698">
              <w:t xml:space="preserve"> greater alignment</w:t>
            </w:r>
            <w:r>
              <w:t xml:space="preserve"> of regulation</w:t>
            </w:r>
            <w:r w:rsidRPr="00CB3698">
              <w:t>, including by implementing recommendations 1.1 and 1.2, the Australian Government should:</w:t>
            </w:r>
          </w:p>
          <w:p w14:paraId="2B1D3601" w14:textId="77777777" w:rsidR="00EE577B" w:rsidRPr="00CB3698" w:rsidRDefault="00EE577B" w:rsidP="00EE577B">
            <w:pPr>
              <w:pStyle w:val="ListBullet"/>
            </w:pPr>
            <w:r w:rsidRPr="00CB3698">
              <w:t>appoint a Minister responsible for alignment</w:t>
            </w:r>
            <w:r>
              <w:t xml:space="preserve"> of regulation</w:t>
            </w:r>
            <w:r w:rsidRPr="00CB3698">
              <w:t xml:space="preserve"> across the care economy</w:t>
            </w:r>
          </w:p>
          <w:p w14:paraId="1AAD9178" w14:textId="77777777" w:rsidR="00EE577B" w:rsidRPr="00D224B6" w:rsidRDefault="00EE577B" w:rsidP="00EE577B">
            <w:pPr>
              <w:pStyle w:val="ListBullet"/>
              <w:rPr>
                <w:spacing w:val="-4"/>
              </w:rPr>
            </w:pPr>
            <w:r w:rsidRPr="00D224B6">
              <w:rPr>
                <w:spacing w:val="-4"/>
              </w:rPr>
              <w:t>appoint lead agencies responsible for implementing each recommendation. Implementing agencies should publicly communicate timeframes, milestones and progress to promote transparency and accountability</w:t>
            </w:r>
          </w:p>
          <w:p w14:paraId="0FB2588D" w14:textId="77777777" w:rsidR="00EE577B" w:rsidRPr="00CB3698" w:rsidRDefault="00EE577B" w:rsidP="00EE577B">
            <w:pPr>
              <w:pStyle w:val="ListBullet"/>
            </w:pPr>
            <w:r w:rsidRPr="00CB3698">
              <w:t xml:space="preserve">issue the National Disability Insurance Scheme Quality and Safeguards Commission and Aged Care Quality and Safety Commission with updated statements of expectations outlining that the two </w:t>
            </w:r>
            <w:r>
              <w:t>agencies</w:t>
            </w:r>
            <w:r w:rsidRPr="00CB3698">
              <w:t xml:space="preserve"> should work together, and with </w:t>
            </w:r>
            <w:r>
              <w:t>other</w:t>
            </w:r>
            <w:r w:rsidRPr="00CB3698">
              <w:t xml:space="preserve"> relevant government agencies, to align regulation and reduce duplication</w:t>
            </w:r>
            <w:r>
              <w:t xml:space="preserve"> of regulation</w:t>
            </w:r>
            <w:r w:rsidRPr="00CB3698">
              <w:t xml:space="preserve"> across care sectors.</w:t>
            </w:r>
          </w:p>
        </w:tc>
      </w:tr>
      <w:tr w:rsidR="00EE577B" w14:paraId="1C6A5E6D" w14:textId="77777777" w:rsidTr="00196C93">
        <w:trPr>
          <w:trHeight w:val="153"/>
        </w:trPr>
        <w:tc>
          <w:tcPr>
            <w:tcW w:w="9638" w:type="dxa"/>
            <w:gridSpan w:val="2"/>
            <w:shd w:val="clear" w:color="auto" w:fill="FFFFFF" w:themeFill="background1"/>
            <w:tcMar>
              <w:top w:w="0" w:type="dxa"/>
              <w:bottom w:w="0" w:type="dxa"/>
            </w:tcMar>
          </w:tcPr>
          <w:p w14:paraId="2358B026" w14:textId="460B8736" w:rsidR="00EE577B" w:rsidRPr="00CB3698" w:rsidRDefault="00EE577B">
            <w:pPr>
              <w:pStyle w:val="NoSpacing"/>
              <w:spacing w:line="200" w:lineRule="exact"/>
            </w:pPr>
          </w:p>
        </w:tc>
      </w:tr>
    </w:tbl>
    <w:p w14:paraId="37B52D0D" w14:textId="77777777" w:rsidR="00EE577B" w:rsidRPr="00CB3698" w:rsidRDefault="00EE577B">
      <w:pPr>
        <w:pStyle w:val="Heading3"/>
      </w:pPr>
      <w:r>
        <w:t>Sequencing i</w:t>
      </w:r>
      <w:r w:rsidRPr="00CB3698">
        <w:t>mplement</w:t>
      </w:r>
      <w:r>
        <w:t>ation of</w:t>
      </w:r>
      <w:r w:rsidRPr="00CB3698">
        <w:t xml:space="preserve"> reforms</w:t>
      </w:r>
    </w:p>
    <w:p w14:paraId="3C8E2111" w14:textId="77777777" w:rsidR="00EE577B" w:rsidRDefault="00EE577B">
      <w:pPr>
        <w:pStyle w:val="BodyText"/>
      </w:pPr>
      <w:r w:rsidRPr="00CB3698">
        <w:t>We propose that governments implement our recommendations over an eight</w:t>
      </w:r>
      <w:r w:rsidRPr="00CB3698">
        <w:noBreakHyphen/>
        <w:t>year timeframe</w:t>
      </w:r>
      <w:r>
        <w:t xml:space="preserve">, with the majority completed by 2030 </w:t>
      </w:r>
      <w:r w:rsidRPr="00CB3698">
        <w:t>(figure</w:t>
      </w:r>
      <w:r>
        <w:t> </w:t>
      </w:r>
      <w:r w:rsidRPr="00CB3698">
        <w:t>1.5)</w:t>
      </w:r>
      <w:r>
        <w:t>.</w:t>
      </w:r>
      <w:r w:rsidRPr="00CB3698">
        <w:t xml:space="preserve"> </w:t>
      </w:r>
      <w:r>
        <w:t xml:space="preserve">Reforms relating to digital solutions could </w:t>
      </w:r>
      <w:r w:rsidRPr="00CB3698">
        <w:t>be implemented sooner</w:t>
      </w:r>
      <w:r>
        <w:t xml:space="preserve"> than envisaged, given </w:t>
      </w:r>
      <w:r w:rsidRPr="00CB3698">
        <w:t xml:space="preserve">the fast pace at which digital capabilities and innovations are advancing. </w:t>
      </w:r>
    </w:p>
    <w:p w14:paraId="09A33457" w14:textId="77777777" w:rsidR="00405F15" w:rsidRDefault="00405F15" w:rsidP="00405F15">
      <w:pPr>
        <w:pStyle w:val="BodyText"/>
      </w:pPr>
      <w:r w:rsidRPr="00CB3698">
        <w:t>Th</w:t>
      </w:r>
      <w:r>
        <w:t>e proposed</w:t>
      </w:r>
      <w:r w:rsidRPr="00CB3698">
        <w:t xml:space="preserve"> timeframe</w:t>
      </w:r>
      <w:r>
        <w:t>s</w:t>
      </w:r>
      <w:r w:rsidRPr="00CB3698">
        <w:t xml:space="preserve"> reflect the need to be ambitious, while recognising the significant changes to regulation that ha</w:t>
      </w:r>
      <w:r>
        <w:t>ve</w:t>
      </w:r>
      <w:r w:rsidRPr="00CB3698">
        <w:t xml:space="preserve"> occurred in the care economy in recent years, particularly in aged care and </w:t>
      </w:r>
      <w:r>
        <w:t>disability support</w:t>
      </w:r>
      <w:r w:rsidRPr="00CB3698">
        <w:t>. Inquiry participants, while generally supportive of the recommendations, noted that providers are experiencing reform fatigue and will have different levels of capacity for further change.</w:t>
      </w:r>
      <w:r w:rsidRPr="002B0A03">
        <w:rPr>
          <w:rStyle w:val="FootnoteReference"/>
        </w:rPr>
        <w:footnoteReference w:id="13"/>
      </w:r>
      <w:r w:rsidRPr="00CB3698">
        <w:t xml:space="preserve"> Implementation of </w:t>
      </w:r>
      <w:r w:rsidRPr="00CB3698">
        <w:lastRenderedPageBreak/>
        <w:t xml:space="preserve">our recommendations should also continue alongside, and not interrupt or delay, the progress of other policy initiatives in the care </w:t>
      </w:r>
      <w:r>
        <w:t>economy</w:t>
      </w:r>
      <w:r w:rsidRPr="00CB3698">
        <w:t xml:space="preserve"> (Anonymous, sub. 210, p</w:t>
      </w:r>
      <w:r>
        <w:t>p</w:t>
      </w:r>
      <w:r w:rsidRPr="00CB3698">
        <w:t>. 1</w:t>
      </w:r>
      <w:r>
        <w:t>, 6</w:t>
      </w:r>
      <w:r w:rsidRPr="00CB3698">
        <w:t xml:space="preserve">; </w:t>
      </w:r>
      <w:r>
        <w:t>BSL</w:t>
      </w:r>
      <w:r w:rsidRPr="00CB3698">
        <w:t>, sub.</w:t>
      </w:r>
      <w:r>
        <w:t> </w:t>
      </w:r>
      <w:r w:rsidRPr="00CB3698">
        <w:t>180, p.</w:t>
      </w:r>
      <w:r>
        <w:t> </w:t>
      </w:r>
      <w:r w:rsidRPr="00CB3698">
        <w:t xml:space="preserve">2). </w:t>
      </w:r>
    </w:p>
    <w:p w14:paraId="0DEB9F71" w14:textId="35C85CB2" w:rsidR="00B52AE6" w:rsidRDefault="00B52AE6" w:rsidP="00405F15">
      <w:pPr>
        <w:pStyle w:val="BodyText"/>
      </w:pPr>
      <w:r w:rsidRPr="00CB3698">
        <w:t>Implementation of worker</w:t>
      </w:r>
      <w:r w:rsidRPr="00CB3698">
        <w:noBreakHyphen/>
        <w:t>related recommendations should begin immediately</w:t>
      </w:r>
      <w:r>
        <w:t>, with the national worker screening clearance established</w:t>
      </w:r>
      <w:r w:rsidRPr="00CB3698" w:rsidDel="00A86F76">
        <w:t xml:space="preserve"> </w:t>
      </w:r>
      <w:r w:rsidRPr="00CB3698">
        <w:t>within four years</w:t>
      </w:r>
      <w:r>
        <w:t xml:space="preserve"> and the remaining worker</w:t>
      </w:r>
      <w:r>
        <w:noBreakHyphen/>
        <w:t>related actions completed within two years</w:t>
      </w:r>
      <w:r w:rsidRPr="00CB3698">
        <w:t>. The four</w:t>
      </w:r>
      <w:r w:rsidRPr="00CB3698">
        <w:noBreakHyphen/>
        <w:t xml:space="preserve">year timeframe </w:t>
      </w:r>
      <w:r>
        <w:t xml:space="preserve">for the worker screening clearance </w:t>
      </w:r>
      <w:r w:rsidRPr="00CB3698">
        <w:t xml:space="preserve">allows for the complexity of implementing </w:t>
      </w:r>
      <w:r>
        <w:t>the clearance</w:t>
      </w:r>
      <w:r w:rsidRPr="00CB3698">
        <w:t xml:space="preserve"> across four</w:t>
      </w:r>
      <w:r>
        <w:t xml:space="preserve"> different</w:t>
      </w:r>
      <w:r w:rsidRPr="00CB3698">
        <w:t xml:space="preserve"> care sectors</w:t>
      </w:r>
      <w:r>
        <w:t>,</w:t>
      </w:r>
      <w:r w:rsidRPr="00CB3698">
        <w:t xml:space="preserve"> and the need </w:t>
      </w:r>
      <w:r>
        <w:t xml:space="preserve">for the Australian Government </w:t>
      </w:r>
      <w:r w:rsidRPr="00CB3698">
        <w:t>to collaborate with state and territor</w:t>
      </w:r>
      <w:r>
        <w:t>y governments</w:t>
      </w:r>
      <w:r w:rsidRPr="00CB3698">
        <w:t xml:space="preserve">. </w:t>
      </w:r>
    </w:p>
    <w:p w14:paraId="33975EBF" w14:textId="07EED5E8" w:rsidR="00EE577B" w:rsidRDefault="00EE577B">
      <w:pPr>
        <w:pStyle w:val="FigureTableHeading"/>
      </w:pPr>
      <w:r w:rsidRPr="00CB3698">
        <w:t>Figure 1.5</w:t>
      </w:r>
      <w:r w:rsidRPr="00CB3698">
        <w:rPr>
          <w:noProof/>
        </w:rPr>
        <w:t xml:space="preserve"> </w:t>
      </w:r>
      <w:r w:rsidRPr="00CB3698">
        <w:t>– An implementation plan towards greater regulatory alignment</w:t>
      </w:r>
    </w:p>
    <w:p w14:paraId="49529B5D" w14:textId="6BE2F395" w:rsidR="00B821CA" w:rsidRDefault="00356DA1" w:rsidP="00491544">
      <w:pPr>
        <w:pStyle w:val="BodyText"/>
        <w:spacing w:after="360"/>
      </w:pPr>
      <w:r w:rsidRPr="00356DA1">
        <w:rPr>
          <w:noProof/>
        </w:rPr>
        <w:drawing>
          <wp:inline distT="0" distB="0" distL="0" distR="0" wp14:anchorId="11BB1C2D" wp14:editId="147A135C">
            <wp:extent cx="6120130" cy="5260340"/>
            <wp:effectExtent l="0" t="0" r="0" b="0"/>
            <wp:docPr id="1504916924" name="Picture 9" descr="Worker regulation (recommendation 1.1)&#10;- Establish a national worker screening clearance: start 2026, finish 2029&#10;- Design aged care worker registration scheme with flexibility: start 2026, finish 2027&#10;- Develop single digital worker registration portal: start 2026, finish 2027&#10;Provider and service regulation (recommendation 1.2)&#10;- Develop common suitability test: start 2026, finish 2027&#10;- Create a single digital portal for provider registration and audits: start 2026, finish 2027&#10;- Establish mutual recognition of provider registration and audits: start 2026, finish mid-way through 2028&#10;- Establish combined modular practice and quality standards: start mid-way through 2028, finish 2030&#10;- Establish cross-sectoral provider registration and audits: start 2031, finish 2033&#10;- Assess the case for a single regulator and implement actions: start 2031, finish 2033&#10;- Align regulation of behaviour support plans and restrictive practices and work towards reduction and elimination of restrictive practices: start 2026, finish 2028, with actions taking longer to implement completed in future years &#10;- Identify opportunities and apply the principle of ‘report once, use often’: start 2026, finish 2027, with actions taking longer to implement completed in future years &#10;- &#10;Policy governance (recommendation 1.3)&#10;- Appoint a lead Minister to drive alignment: start and finish in 2026&#10;- Appoint lead agencies to steward reforms: start and finish in 2026&#10;- Issue statements of expectations to embed collaboration: start and finish i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16924" name="Picture 9" descr="Worker regulation (recommendation 1.1)&#10;- Establish a national worker screening clearance: start 2026, finish 2029&#10;- Design aged care worker registration scheme with flexibility: start 2026, finish 2027&#10;- Develop single digital worker registration portal: start 2026, finish 2027&#10;Provider and service regulation (recommendation 1.2)&#10;- Develop common suitability test: start 2026, finish 2027&#10;- Create a single digital portal for provider registration and audits: start 2026, finish 2027&#10;- Establish mutual recognition of provider registration and audits: start 2026, finish mid-way through 2028&#10;- Establish combined modular practice and quality standards: start mid-way through 2028, finish 2030&#10;- Establish cross-sectoral provider registration and audits: start 2031, finish 2033&#10;- Assess the case for a single regulator and implement actions: start 2031, finish 2033&#10;- Align regulation of behaviour support plans and restrictive practices and work towards reduction and elimination of restrictive practices: start 2026, finish 2028, with actions taking longer to implement completed in future years &#10;- Identify opportunities and apply the principle of ‘report once, use often’: start 2026, finish 2027, with actions taking longer to implement completed in future years &#10;- &#10;Policy governance (recommendation 1.3)&#10;- Appoint a lead Minister to drive alignment: start and finish in 2026&#10;- Appoint lead agencies to steward reforms: start and finish in 2026&#10;- Issue statements of expectations to embed collaboration: start and finish in 20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5260340"/>
                    </a:xfrm>
                    <a:prstGeom prst="rect">
                      <a:avLst/>
                    </a:prstGeom>
                    <a:noFill/>
                    <a:ln>
                      <a:noFill/>
                    </a:ln>
                  </pic:spPr>
                </pic:pic>
              </a:graphicData>
            </a:graphic>
          </wp:inline>
        </w:drawing>
      </w:r>
    </w:p>
    <w:p w14:paraId="511A897F" w14:textId="569C681A" w:rsidR="00B821CA" w:rsidRDefault="00B821CA" w:rsidP="00491544">
      <w:pPr>
        <w:pStyle w:val="BodyText"/>
        <w:spacing w:after="360"/>
      </w:pPr>
      <w:r>
        <w:br w:type="page"/>
      </w:r>
    </w:p>
    <w:p w14:paraId="7072CCEE" w14:textId="4F33E358" w:rsidR="00EE577B" w:rsidRPr="00CB3698" w:rsidRDefault="00EE577B">
      <w:pPr>
        <w:pStyle w:val="BodyText"/>
      </w:pPr>
      <w:r w:rsidRPr="00CB3698">
        <w:lastRenderedPageBreak/>
        <w:t>Provider</w:t>
      </w:r>
      <w:r w:rsidRPr="00CB3698">
        <w:noBreakHyphen/>
        <w:t xml:space="preserve"> and service</w:t>
      </w:r>
      <w:r>
        <w:noBreakHyphen/>
      </w:r>
      <w:r w:rsidRPr="00CB3698">
        <w:t>related recommendations should be implemented in a more sequential manner – starting immediately with the common suitability test,</w:t>
      </w:r>
      <w:r w:rsidRPr="00CB3698" w:rsidDel="001C5333">
        <w:t xml:space="preserve"> </w:t>
      </w:r>
      <w:r w:rsidRPr="00CB3698">
        <w:t>the single digital registration and audit portal and mutual recognition of registration and audits. Work to develop a combined set of practice and quality standards should then begin once mutual recognition is in place, with cross</w:t>
      </w:r>
      <w:r w:rsidRPr="00CB3698">
        <w:noBreakHyphen/>
        <w:t xml:space="preserve">sectoral provider registration and audits implemented once the standards are developed. Concurrently, the Australian Government should also assess the case for a single regulator and implement any resulting actions. A </w:t>
      </w:r>
      <w:r w:rsidR="00D762F0">
        <w:t>staged</w:t>
      </w:r>
      <w:r w:rsidRPr="00CB3698">
        <w:t xml:space="preserve"> approach reflects the interrelated nature of these reforms, and, to some extent, their natural sequencing (although, as noted above, the ACQSC (sub.</w:t>
      </w:r>
      <w:r>
        <w:t> </w:t>
      </w:r>
      <w:r w:rsidRPr="00CB3698">
        <w:t>256, p</w:t>
      </w:r>
      <w:r>
        <w:t>p</w:t>
      </w:r>
      <w:r w:rsidRPr="00CB3698">
        <w:t>.</w:t>
      </w:r>
      <w:r>
        <w:t> </w:t>
      </w:r>
      <w:r w:rsidRPr="00CB3698">
        <w:t>8</w:t>
      </w:r>
      <w:r>
        <w:t>–9</w:t>
      </w:r>
      <w:r w:rsidRPr="00CB3698">
        <w:t xml:space="preserve">) proposed a different sequence). In addition, it allows government agencies to ‘learn by doing’ as they embark on the journey of reform. </w:t>
      </w:r>
    </w:p>
    <w:p w14:paraId="7F2CC10A" w14:textId="77777777" w:rsidR="00EE577B" w:rsidRPr="00CB3698" w:rsidRDefault="00EE577B">
      <w:pPr>
        <w:pStyle w:val="BodyText"/>
      </w:pPr>
      <w:r w:rsidRPr="00CB3698">
        <w:t xml:space="preserve">The </w:t>
      </w:r>
      <w:r>
        <w:t>reforms</w:t>
      </w:r>
      <w:r w:rsidRPr="00CB3698">
        <w:t xml:space="preserve"> on aligning the regulation of behaviour support plans and restrictive practices, and applying ‘report once, use often’ in data reporting, should commence immediately</w:t>
      </w:r>
      <w:r>
        <w:t xml:space="preserve"> and have an active work program over the next three and two years respectively, although some actions may</w:t>
      </w:r>
      <w:r w:rsidRPr="00CB3698">
        <w:t xml:space="preserve"> require longer to complete</w:t>
      </w:r>
      <w:r w:rsidRPr="00CB3698">
        <w:rPr>
          <w:shd w:val="clear" w:color="auto" w:fill="F2F2F2" w:themeFill="background1" w:themeFillShade="F2"/>
        </w:rPr>
        <w:t>.</w:t>
      </w:r>
      <w:r w:rsidRPr="00CB3698">
        <w:t xml:space="preserve"> Recommendation</w:t>
      </w:r>
      <w:r>
        <w:t> </w:t>
      </w:r>
      <w:r w:rsidRPr="00CB3698">
        <w:t>1.3 should also be enacted immediately</w:t>
      </w:r>
      <w:r>
        <w:t xml:space="preserve"> and be completed within one year</w:t>
      </w:r>
      <w:r w:rsidRPr="00CB3698">
        <w:t>, since it sets the preconditions for successfully delivering all other recommendations.</w:t>
      </w:r>
    </w:p>
    <w:p w14:paraId="72F6A320" w14:textId="77777777" w:rsidR="00EE577B" w:rsidRPr="00CB3698" w:rsidRDefault="00EE577B">
      <w:pPr>
        <w:pStyle w:val="Heading3"/>
      </w:pPr>
      <w:r w:rsidRPr="00CB3698">
        <w:t>Implementation should be guided by leading</w:t>
      </w:r>
      <w:r>
        <w:noBreakHyphen/>
      </w:r>
      <w:r w:rsidRPr="00CB3698">
        <w:t>practice principles</w:t>
      </w:r>
    </w:p>
    <w:p w14:paraId="7ADD049F" w14:textId="534439EB" w:rsidR="00EE577B" w:rsidRPr="00CB3698" w:rsidRDefault="00EE577B">
      <w:pPr>
        <w:pStyle w:val="BodyText"/>
      </w:pPr>
      <w:r w:rsidRPr="00CB3698">
        <w:t>In implementing the PC’s recommendations, governments will need to design the details of the specific measures proposed. This design process must adhere to leading</w:t>
      </w:r>
      <w:r>
        <w:noBreakHyphen/>
      </w:r>
      <w:r w:rsidRPr="00CB3698">
        <w:t>practice regulatory design principles, which include that the objectives of regulation are clearly defined, consultation during regulation</w:t>
      </w:r>
      <w:r>
        <w:noBreakHyphen/>
      </w:r>
      <w:r w:rsidRPr="00CB3698">
        <w:t xml:space="preserve">making is sufficient and regulation is not overly complex or excessively prescriptive </w:t>
      </w:r>
      <w:r w:rsidR="0097599A" w:rsidRPr="0097599A">
        <w:rPr>
          <w:rFonts w:ascii="Arial" w:hAnsi="Arial" w:cs="Arial"/>
        </w:rPr>
        <w:t>(PC 2020b, p. 99)</w:t>
      </w:r>
      <w:r w:rsidRPr="00CB3698">
        <w:t>. In the context of the care economy, these principles mean that reforms must be co</w:t>
      </w:r>
      <w:r w:rsidRPr="00CB3698">
        <w:noBreakHyphen/>
        <w:t xml:space="preserve">designed with care users, governments must partner with Aboriginal and Torres Strait Islander people and regulation must take a broad view of the care economy (table 1.1). </w:t>
      </w:r>
    </w:p>
    <w:p w14:paraId="0C074DA9" w14:textId="77777777" w:rsidR="00EE577B" w:rsidRPr="00CB3698" w:rsidRDefault="00EE577B">
      <w:pPr>
        <w:pStyle w:val="Heading3"/>
        <w:spacing w:before="45" w:after="45"/>
        <w:ind w:right="108"/>
      </w:pPr>
      <w:r w:rsidRPr="00CB3698">
        <w:t>Ensuring alignment of regulation going forward</w:t>
      </w:r>
    </w:p>
    <w:p w14:paraId="0F3B16A7" w14:textId="77777777" w:rsidR="00EE577B" w:rsidRDefault="00EE577B">
      <w:pPr>
        <w:pStyle w:val="BodyText"/>
      </w:pPr>
      <w:r w:rsidRPr="00CB3698">
        <w:t>This chapter has identified and provided implementation advice on the specific set of actions set out in our recommendations. Beyond these actions, governments also have a broader role in pursuing regulatory alignment in the care economy now and into the future and should make decisions with the goal of alignment in mind. The PC provides the following advice in this respect.</w:t>
      </w:r>
    </w:p>
    <w:p w14:paraId="68E0B85E" w14:textId="54DB1BF6" w:rsidR="00EE577B" w:rsidRPr="00CB3698" w:rsidRDefault="00EE577B">
      <w:pPr>
        <w:pStyle w:val="Heading4"/>
      </w:pPr>
      <w:r w:rsidRPr="00CB3698">
        <w:t xml:space="preserve">Governments must not further entrench </w:t>
      </w:r>
      <w:r w:rsidR="003D3439">
        <w:t>silos</w:t>
      </w:r>
    </w:p>
    <w:p w14:paraId="100DD4BB" w14:textId="76B3CFE1" w:rsidR="00EE577B" w:rsidRPr="00CB3698" w:rsidRDefault="00EE577B">
      <w:pPr>
        <w:pStyle w:val="BodyText"/>
      </w:pPr>
      <w:r w:rsidRPr="00CB3698">
        <w:t xml:space="preserve">A first step is for governments to avoid introducing measures that create or further entrench </w:t>
      </w:r>
      <w:r w:rsidR="003D3439">
        <w:t>silos</w:t>
      </w:r>
      <w:r w:rsidRPr="00CB3698">
        <w:t xml:space="preserve"> between care sectors. Two examples are particularly pertinent in the current policy landscape.</w:t>
      </w:r>
    </w:p>
    <w:p w14:paraId="7DA6B098" w14:textId="6C01928E" w:rsidR="00EE577B" w:rsidRPr="00CB3698" w:rsidRDefault="00EE577B">
      <w:pPr>
        <w:pStyle w:val="BodyText"/>
      </w:pPr>
      <w:r w:rsidRPr="00CB3698">
        <w:t>First, as outlined above, the Australian Government is currently grappling with worker registration issues in multiple care sectors. Any registration requirements that are introduced or contemplated must therefore consider the potential for further requirements to be introduced in the future – new requirements that are not designed well could result in duplication, unnecessary regulatory burdens or restrictions on worker mobility. Designing the proposed aged care registration scheme flexibly (as proposed above) is one way to avoid these consequences. However, the</w:t>
      </w:r>
      <w:r>
        <w:t xml:space="preserve"> Australian</w:t>
      </w:r>
      <w:r w:rsidRPr="00CB3698">
        <w:t xml:space="preserve"> Government should also design any other worker registration schemes it plans to introduce in a way that preserves the cohesiveness of worker registration schemes across the care economy.</w:t>
      </w:r>
    </w:p>
    <w:p w14:paraId="4CE40E16" w14:textId="5542E908" w:rsidR="00EE577B" w:rsidRPr="00CB3698" w:rsidRDefault="00EE577B" w:rsidP="00651308">
      <w:pPr>
        <w:pStyle w:val="FigureTableHeading"/>
      </w:pPr>
      <w:r w:rsidRPr="00CB3698">
        <w:lastRenderedPageBreak/>
        <w:t>Table</w:t>
      </w:r>
      <w:r>
        <w:t> </w:t>
      </w:r>
      <w:r w:rsidRPr="00CB3698">
        <w:t>1.1</w:t>
      </w:r>
      <w:r w:rsidR="00651308">
        <w:t xml:space="preserve"> – </w:t>
      </w:r>
      <w:r w:rsidRPr="00CB3698">
        <w:t>Leading</w:t>
      </w:r>
      <w:r>
        <w:noBreakHyphen/>
      </w:r>
      <w:r w:rsidRPr="00CB3698">
        <w:t>practice regulatory design principles for the care economy</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7937"/>
      </w:tblGrid>
      <w:tr w:rsidR="00EE577B" w:rsidRPr="00F872F7" w14:paraId="1F74744E" w14:textId="77777777">
        <w:trPr>
          <w:tblHeader/>
        </w:trPr>
        <w:tc>
          <w:tcPr>
            <w:tcW w:w="1701" w:type="dxa"/>
            <w:tcBorders>
              <w:bottom w:val="single" w:sz="4" w:space="0" w:color="B3B3B3"/>
            </w:tcBorders>
            <w:shd w:val="clear" w:color="000000" w:fill="auto"/>
            <w:vAlign w:val="bottom"/>
          </w:tcPr>
          <w:p w14:paraId="63FD43EC" w14:textId="77777777" w:rsidR="00EE577B" w:rsidRPr="00CB3698" w:rsidRDefault="00EE577B">
            <w:pPr>
              <w:pStyle w:val="BodyText"/>
              <w:spacing w:before="45" w:after="45"/>
              <w:ind w:left="57" w:right="108"/>
              <w:rPr>
                <w:rFonts w:ascii="Arial (Body)" w:hAnsi="Arial (Body)"/>
                <w:b/>
                <w:color w:val="265A9A"/>
                <w:sz w:val="18"/>
              </w:rPr>
            </w:pPr>
            <w:r w:rsidRPr="00CB3698">
              <w:rPr>
                <w:rFonts w:ascii="Arial (Body)" w:hAnsi="Arial (Body)"/>
                <w:b/>
                <w:color w:val="265A9A"/>
                <w:sz w:val="18"/>
              </w:rPr>
              <w:t>Principle</w:t>
            </w:r>
          </w:p>
        </w:tc>
        <w:tc>
          <w:tcPr>
            <w:tcW w:w="7937" w:type="dxa"/>
            <w:tcBorders>
              <w:bottom w:val="single" w:sz="4" w:space="0" w:color="B3B3B3"/>
            </w:tcBorders>
            <w:shd w:val="clear" w:color="000000" w:fill="auto"/>
            <w:vAlign w:val="bottom"/>
          </w:tcPr>
          <w:p w14:paraId="06239E16" w14:textId="77777777" w:rsidR="00EE577B" w:rsidRPr="00CB3698" w:rsidRDefault="00EE577B">
            <w:pPr>
              <w:pStyle w:val="BodyText"/>
              <w:spacing w:before="45" w:after="45"/>
              <w:ind w:left="57" w:right="108"/>
              <w:rPr>
                <w:rFonts w:ascii="Arial (Body)" w:hAnsi="Arial (Body)"/>
                <w:b/>
                <w:color w:val="265A9A"/>
                <w:sz w:val="18"/>
              </w:rPr>
            </w:pPr>
            <w:r w:rsidRPr="00CB3698">
              <w:rPr>
                <w:rFonts w:ascii="Arial (Body)" w:hAnsi="Arial (Body)"/>
                <w:b/>
                <w:color w:val="265A9A"/>
                <w:sz w:val="18"/>
              </w:rPr>
              <w:t>Rationale and description</w:t>
            </w:r>
          </w:p>
        </w:tc>
      </w:tr>
      <w:tr w:rsidR="00EE577B" w:rsidRPr="00F872F7" w14:paraId="31A6FF18" w14:textId="77777777" w:rsidTr="00F35A31">
        <w:tc>
          <w:tcPr>
            <w:tcW w:w="1701" w:type="dxa"/>
            <w:tcBorders>
              <w:top w:val="single" w:sz="4" w:space="0" w:color="B3B3B3"/>
              <w:bottom w:val="nil"/>
            </w:tcBorders>
            <w:shd w:val="clear" w:color="auto" w:fill="E6E6E6"/>
          </w:tcPr>
          <w:p w14:paraId="519EA4A9" w14:textId="77777777" w:rsidR="00EE577B" w:rsidRPr="00876ED9" w:rsidRDefault="00EE577B" w:rsidP="00651308">
            <w:pPr>
              <w:pStyle w:val="BodyText"/>
              <w:spacing w:before="46" w:after="46"/>
              <w:ind w:left="57" w:right="108"/>
              <w:rPr>
                <w:rFonts w:ascii="Arial (Body)" w:hAnsi="Arial (Body)"/>
                <w:b/>
                <w:color w:val="265A9A"/>
                <w:sz w:val="18"/>
              </w:rPr>
            </w:pPr>
            <w:r w:rsidRPr="00876ED9">
              <w:rPr>
                <w:rFonts w:ascii="Arial (Body)" w:hAnsi="Arial (Body)"/>
                <w:b/>
                <w:color w:val="265A9A"/>
                <w:sz w:val="18"/>
              </w:rPr>
              <w:t>Co</w:t>
            </w:r>
            <w:r w:rsidRPr="00876ED9">
              <w:rPr>
                <w:rFonts w:ascii="Arial (Body)" w:hAnsi="Arial (Body)"/>
                <w:b/>
                <w:color w:val="265A9A"/>
                <w:sz w:val="18"/>
              </w:rPr>
              <w:noBreakHyphen/>
              <w:t>design reforms with care users</w:t>
            </w:r>
          </w:p>
        </w:tc>
        <w:tc>
          <w:tcPr>
            <w:tcW w:w="7937" w:type="dxa"/>
            <w:tcBorders>
              <w:top w:val="single" w:sz="4" w:space="0" w:color="B3B3B3"/>
              <w:bottom w:val="nil"/>
            </w:tcBorders>
            <w:shd w:val="clear" w:color="auto" w:fill="E6E6E6"/>
          </w:tcPr>
          <w:p w14:paraId="4E1FB671" w14:textId="77777777" w:rsidR="00EE577B" w:rsidRPr="00876ED9" w:rsidRDefault="00EE577B" w:rsidP="00651308">
            <w:pPr>
              <w:pStyle w:val="BodyText"/>
              <w:spacing w:before="46" w:after="46"/>
              <w:ind w:left="57" w:right="108"/>
              <w:rPr>
                <w:rFonts w:ascii="Arial (Body)" w:hAnsi="Arial (Body)"/>
                <w:color w:val="000000"/>
                <w:sz w:val="18"/>
              </w:rPr>
            </w:pPr>
            <w:r w:rsidRPr="00876ED9">
              <w:rPr>
                <w:rFonts w:ascii="Arial (Body)" w:hAnsi="Arial (Body)"/>
                <w:color w:val="000000"/>
                <w:sz w:val="18"/>
              </w:rPr>
              <w:t>Care users should be involved in decisions that affect their lives. The design and implementation of reform to align regulation</w:t>
            </w:r>
            <w:r w:rsidRPr="00876ED9" w:rsidDel="001B2B16">
              <w:rPr>
                <w:rFonts w:ascii="Arial (Body)" w:hAnsi="Arial (Body)"/>
                <w:color w:val="000000"/>
                <w:sz w:val="18"/>
              </w:rPr>
              <w:t xml:space="preserve"> </w:t>
            </w:r>
            <w:r w:rsidRPr="00876ED9">
              <w:rPr>
                <w:rFonts w:ascii="Arial (Body)" w:hAnsi="Arial (Body)"/>
                <w:color w:val="000000"/>
                <w:sz w:val="18"/>
              </w:rPr>
              <w:t>should be informed by input from care users to support rights</w:t>
            </w:r>
            <w:r w:rsidRPr="00876ED9">
              <w:rPr>
                <w:rFonts w:ascii="Arial (Body)" w:hAnsi="Arial (Body)"/>
                <w:color w:val="000000"/>
                <w:sz w:val="18"/>
              </w:rPr>
              <w:noBreakHyphen/>
              <w:t>based approaches and shared decision</w:t>
            </w:r>
            <w:r w:rsidRPr="00876ED9">
              <w:rPr>
                <w:rFonts w:ascii="Arial (Body)" w:hAnsi="Arial (Body)"/>
                <w:color w:val="000000"/>
                <w:sz w:val="18"/>
              </w:rPr>
              <w:noBreakHyphen/>
              <w:t xml:space="preserve">making. Incorporating lived experience requires inclusive engagement, ensuring diversity across and within care sectors. Intersectionality must also be considered </w:t>
            </w:r>
            <w:r>
              <w:rPr>
                <w:rFonts w:ascii="Arial (Body)" w:hAnsi="Arial (Body)"/>
                <w:color w:val="000000"/>
              </w:rPr>
              <w:t>–</w:t>
            </w:r>
            <w:r w:rsidRPr="00876ED9">
              <w:rPr>
                <w:rFonts w:ascii="Arial (Body)" w:hAnsi="Arial (Body)"/>
                <w:color w:val="000000"/>
                <w:sz w:val="18"/>
              </w:rPr>
              <w:t xml:space="preserve"> for example, the PC heard that multicultural women</w:t>
            </w:r>
            <w:r>
              <w:rPr>
                <w:rFonts w:ascii="Arial (Body)" w:hAnsi="Arial (Body)"/>
                <w:color w:val="000000"/>
                <w:sz w:val="18"/>
              </w:rPr>
              <w:t>’</w:t>
            </w:r>
            <w:r w:rsidRPr="00876ED9">
              <w:rPr>
                <w:rFonts w:ascii="Arial (Body)" w:hAnsi="Arial (Body)"/>
                <w:color w:val="000000"/>
                <w:sz w:val="18"/>
              </w:rPr>
              <w:t>s networks are often sidelined in consultation (</w:t>
            </w:r>
            <w:proofErr w:type="spellStart"/>
            <w:r w:rsidRPr="00876ED9">
              <w:rPr>
                <w:rFonts w:ascii="Arial (Body)" w:hAnsi="Arial (Body)"/>
                <w:color w:val="000000"/>
                <w:sz w:val="18"/>
              </w:rPr>
              <w:t>W</w:t>
            </w:r>
            <w:r>
              <w:rPr>
                <w:rFonts w:ascii="Arial (Body)" w:hAnsi="Arial (Body)"/>
                <w:color w:val="000000"/>
                <w:sz w:val="18"/>
              </w:rPr>
              <w:t>w</w:t>
            </w:r>
            <w:r w:rsidRPr="00876ED9">
              <w:rPr>
                <w:rFonts w:ascii="Arial (Body)" w:hAnsi="Arial (Body)"/>
                <w:color w:val="000000"/>
                <w:sz w:val="18"/>
              </w:rPr>
              <w:t>WA</w:t>
            </w:r>
            <w:proofErr w:type="spellEnd"/>
            <w:r>
              <w:rPr>
                <w:rFonts w:ascii="Arial (Body)" w:hAnsi="Arial (Body)"/>
                <w:color w:val="000000"/>
                <w:sz w:val="18"/>
              </w:rPr>
              <w:t>,</w:t>
            </w:r>
            <w:r w:rsidRPr="00876ED9">
              <w:rPr>
                <w:rFonts w:ascii="Arial (Body)" w:hAnsi="Arial (Body)"/>
                <w:color w:val="000000"/>
                <w:sz w:val="18"/>
              </w:rPr>
              <w:t xml:space="preserve"> W</w:t>
            </w:r>
            <w:r>
              <w:rPr>
                <w:rFonts w:ascii="Arial (Body)" w:hAnsi="Arial (Body)"/>
                <w:color w:val="000000"/>
                <w:sz w:val="18"/>
              </w:rPr>
              <w:t>W</w:t>
            </w:r>
            <w:r w:rsidRPr="00876ED9">
              <w:rPr>
                <w:rFonts w:ascii="Arial (Body)" w:hAnsi="Arial (Body)"/>
                <w:color w:val="000000"/>
                <w:sz w:val="18"/>
              </w:rPr>
              <w:t>DA, AMWA and NATSIWA, sub.</w:t>
            </w:r>
            <w:r w:rsidRPr="00876ED9">
              <w:rPr>
                <w:rFonts w:ascii="Arial (Body)" w:hAnsi="Arial (Body)" w:hint="eastAsia"/>
                <w:color w:val="000000"/>
                <w:sz w:val="18"/>
              </w:rPr>
              <w:t> </w:t>
            </w:r>
            <w:r w:rsidRPr="00876ED9">
              <w:rPr>
                <w:rFonts w:ascii="Arial (Body)" w:hAnsi="Arial (Body)"/>
                <w:color w:val="000000"/>
                <w:sz w:val="18"/>
              </w:rPr>
              <w:t>126,</w:t>
            </w:r>
            <w:r w:rsidRPr="00876ED9">
              <w:rPr>
                <w:rFonts w:ascii="Arial (Body)" w:hAnsi="Arial (Body)" w:hint="eastAsia"/>
                <w:color w:val="000000"/>
                <w:sz w:val="18"/>
              </w:rPr>
              <w:t> </w:t>
            </w:r>
            <w:r w:rsidRPr="00876ED9">
              <w:rPr>
                <w:rFonts w:ascii="Arial (Body)" w:hAnsi="Arial (Body)"/>
                <w:color w:val="000000"/>
                <w:sz w:val="18"/>
              </w:rPr>
              <w:t>p.</w:t>
            </w:r>
            <w:r w:rsidRPr="00876ED9">
              <w:rPr>
                <w:rFonts w:ascii="Arial (Body)" w:hAnsi="Arial (Body)" w:hint="eastAsia"/>
                <w:color w:val="000000"/>
                <w:sz w:val="18"/>
              </w:rPr>
              <w:t> </w:t>
            </w:r>
            <w:r w:rsidRPr="00876ED9">
              <w:rPr>
                <w:rFonts w:ascii="Arial (Body)" w:hAnsi="Arial (Body)"/>
                <w:color w:val="000000"/>
                <w:sz w:val="18"/>
              </w:rPr>
              <w:t xml:space="preserve">12). </w:t>
            </w:r>
          </w:p>
        </w:tc>
      </w:tr>
      <w:tr w:rsidR="00EE577B" w:rsidRPr="00F872F7" w14:paraId="105B4667" w14:textId="77777777">
        <w:tc>
          <w:tcPr>
            <w:tcW w:w="1701" w:type="dxa"/>
            <w:tcBorders>
              <w:top w:val="nil"/>
              <w:bottom w:val="nil"/>
            </w:tcBorders>
            <w:shd w:val="clear" w:color="000000" w:fill="auto"/>
          </w:tcPr>
          <w:p w14:paraId="6E9500BA" w14:textId="77777777" w:rsidR="00EE577B" w:rsidRPr="00876ED9" w:rsidRDefault="00EE577B" w:rsidP="00651308">
            <w:pPr>
              <w:pStyle w:val="BodyText"/>
              <w:spacing w:before="46" w:after="46"/>
              <w:ind w:left="57" w:right="108"/>
              <w:rPr>
                <w:rFonts w:ascii="Arial (Body)" w:hAnsi="Arial (Body)"/>
                <w:b/>
                <w:color w:val="265A9A"/>
                <w:sz w:val="18"/>
                <w:szCs w:val="18"/>
              </w:rPr>
            </w:pPr>
            <w:r w:rsidRPr="00876ED9">
              <w:rPr>
                <w:rFonts w:ascii="Arial (Body)" w:hAnsi="Arial (Body)"/>
                <w:b/>
                <w:color w:val="265A9A"/>
                <w:sz w:val="18"/>
              </w:rPr>
              <w:t>Partner with Aboriginal and Torres Strait Islander people</w:t>
            </w:r>
          </w:p>
        </w:tc>
        <w:tc>
          <w:tcPr>
            <w:tcW w:w="7937" w:type="dxa"/>
            <w:tcBorders>
              <w:top w:val="nil"/>
              <w:bottom w:val="nil"/>
            </w:tcBorders>
            <w:shd w:val="clear" w:color="000000" w:fill="auto"/>
          </w:tcPr>
          <w:p w14:paraId="5A070F8C" w14:textId="4936F00B" w:rsidR="00EE577B" w:rsidRPr="00376336" w:rsidRDefault="00EE577B" w:rsidP="00651308">
            <w:pPr>
              <w:pStyle w:val="BodyText"/>
              <w:spacing w:before="46" w:after="46"/>
              <w:ind w:left="57" w:right="108"/>
              <w:rPr>
                <w:rFonts w:ascii="Arial (Body)" w:hAnsi="Arial (Body)"/>
                <w:color w:val="000000"/>
              </w:rPr>
            </w:pPr>
            <w:r w:rsidRPr="00876ED9">
              <w:rPr>
                <w:rFonts w:ascii="Arial (Body)" w:hAnsi="Arial (Body)"/>
                <w:color w:val="000000"/>
                <w:sz w:val="18"/>
              </w:rPr>
              <w:t xml:space="preserve">Consistent with the National Agreement on Closing the Gap, governments should partner with Aboriginal and Torres Strait Islander people in designing and implementing the proposed reforms. </w:t>
            </w:r>
            <w:r w:rsidR="00BB29D1">
              <w:rPr>
                <w:rFonts w:ascii="Arial (Body)" w:hAnsi="Arial (Body)"/>
                <w:color w:val="000000"/>
                <w:sz w:val="18"/>
              </w:rPr>
              <w:t xml:space="preserve"> </w:t>
            </w:r>
            <w:r w:rsidR="005E7F22">
              <w:rPr>
                <w:rFonts w:ascii="Arial (Body)" w:hAnsi="Arial (Body)"/>
                <w:color w:val="000000"/>
                <w:sz w:val="18"/>
              </w:rPr>
              <w:t>This will ensure the</w:t>
            </w:r>
            <w:r w:rsidRPr="008D030B">
              <w:rPr>
                <w:rFonts w:ascii="Arial (Body)" w:hAnsi="Arial (Body)"/>
                <w:color w:val="000000"/>
                <w:sz w:val="18"/>
              </w:rPr>
              <w:t xml:space="preserve"> benefit</w:t>
            </w:r>
            <w:r w:rsidR="007149C2">
              <w:rPr>
                <w:rFonts w:ascii="Arial (Body)" w:hAnsi="Arial (Body)"/>
                <w:color w:val="000000"/>
                <w:sz w:val="18"/>
              </w:rPr>
              <w:t>s for</w:t>
            </w:r>
            <w:r w:rsidRPr="008D030B">
              <w:rPr>
                <w:rFonts w:ascii="Arial (Body)" w:hAnsi="Arial (Body)"/>
                <w:color w:val="000000"/>
                <w:sz w:val="18"/>
              </w:rPr>
              <w:t xml:space="preserve"> Aboriginal and Torres Strait Islander people</w:t>
            </w:r>
            <w:r w:rsidR="00954BAC">
              <w:rPr>
                <w:rFonts w:ascii="Arial (Body)" w:hAnsi="Arial (Body)"/>
                <w:color w:val="000000"/>
                <w:sz w:val="18"/>
              </w:rPr>
              <w:t xml:space="preserve"> are realised in practice</w:t>
            </w:r>
            <w:r w:rsidRPr="008D030B">
              <w:rPr>
                <w:rFonts w:ascii="Arial (Body)" w:hAnsi="Arial (Body)"/>
                <w:color w:val="000000"/>
                <w:sz w:val="18"/>
              </w:rPr>
              <w:t xml:space="preserve">. For example, reducing the burden of regulation for providers (recommendation 1.2) should lower barriers to entry for ACCOs wishing to expand into new care sectors. A national worker screening check should also enable care workers to more easily move between care sectors, increasing the supply of culturally safe workers. </w:t>
            </w:r>
          </w:p>
          <w:p w14:paraId="5BEC4706" w14:textId="35BDB682" w:rsidR="00EE577B" w:rsidRPr="008977B2" w:rsidRDefault="0028106A" w:rsidP="008977B2">
            <w:pPr>
              <w:pStyle w:val="BodyText"/>
              <w:spacing w:before="46" w:after="46"/>
              <w:ind w:left="57" w:right="108"/>
              <w:rPr>
                <w:spacing w:val="-4"/>
                <w:szCs w:val="18"/>
              </w:rPr>
            </w:pPr>
            <w:r w:rsidRPr="0028106A">
              <w:rPr>
                <w:spacing w:val="-4"/>
                <w:sz w:val="18"/>
                <w:szCs w:val="18"/>
              </w:rPr>
              <w:t xml:space="preserve">Partnering will also prevent any unintended </w:t>
            </w:r>
            <w:r w:rsidR="00F20A73" w:rsidRPr="008977B2">
              <w:rPr>
                <w:spacing w:val="-4"/>
                <w:sz w:val="18"/>
                <w:szCs w:val="18"/>
              </w:rPr>
              <w:t xml:space="preserve">adverse </w:t>
            </w:r>
            <w:r w:rsidR="00EE577B" w:rsidRPr="008977B2">
              <w:rPr>
                <w:spacing w:val="-4"/>
                <w:sz w:val="18"/>
                <w:szCs w:val="18"/>
              </w:rPr>
              <w:t xml:space="preserve">consequences for Aboriginal and Torres Strait </w:t>
            </w:r>
            <w:r w:rsidR="00EE577B" w:rsidRPr="008977B2">
              <w:rPr>
                <w:rFonts w:ascii="Arial (Body)" w:hAnsi="Arial (Body)"/>
                <w:color w:val="000000"/>
                <w:spacing w:val="-4"/>
                <w:sz w:val="18"/>
              </w:rPr>
              <w:t>Islander</w:t>
            </w:r>
            <w:r w:rsidR="00EE577B" w:rsidRPr="008977B2">
              <w:rPr>
                <w:spacing w:val="-4"/>
                <w:sz w:val="18"/>
                <w:szCs w:val="18"/>
              </w:rPr>
              <w:t xml:space="preserve"> people</w:t>
            </w:r>
            <w:r w:rsidR="00F115C3" w:rsidRPr="008977B2">
              <w:rPr>
                <w:spacing w:val="-4"/>
                <w:sz w:val="18"/>
                <w:szCs w:val="18"/>
              </w:rPr>
              <w:t xml:space="preserve"> from the reform</w:t>
            </w:r>
            <w:r w:rsidR="00F20A73" w:rsidRPr="008977B2">
              <w:rPr>
                <w:spacing w:val="-4"/>
                <w:sz w:val="18"/>
                <w:szCs w:val="18"/>
              </w:rPr>
              <w:t>s</w:t>
            </w:r>
            <w:r w:rsidR="00EE577B" w:rsidRPr="008977B2">
              <w:rPr>
                <w:spacing w:val="-4"/>
                <w:sz w:val="18"/>
                <w:szCs w:val="18"/>
              </w:rPr>
              <w:t>. For example, Australia’s Interim First Nations Aged Care Commissioner reported that Aboriginal and Torres Strait Islander people and communities raised concern that a nationally consistent worker screening check could remove providers’ discretion to employ workers with low</w:t>
            </w:r>
            <w:r w:rsidR="00EE577B" w:rsidRPr="008977B2">
              <w:rPr>
                <w:spacing w:val="-4"/>
                <w:sz w:val="18"/>
                <w:szCs w:val="18"/>
              </w:rPr>
              <w:noBreakHyphen/>
              <w:t xml:space="preserve">grade criminal convictions </w:t>
            </w:r>
            <w:r w:rsidR="00EE577B" w:rsidRPr="008977B2">
              <w:rPr>
                <w:rFonts w:cs="Arial"/>
                <w:spacing w:val="-4"/>
                <w:sz w:val="18"/>
                <w:szCs w:val="18"/>
              </w:rPr>
              <w:t>(Kelly</w:t>
            </w:r>
            <w:r w:rsidR="00EE577B" w:rsidRPr="008977B2">
              <w:rPr>
                <w:rFonts w:cs="Arial" w:hint="eastAsia"/>
                <w:spacing w:val="-4"/>
                <w:sz w:val="18"/>
                <w:szCs w:val="18"/>
              </w:rPr>
              <w:t> </w:t>
            </w:r>
            <w:r w:rsidR="00EE577B" w:rsidRPr="008977B2">
              <w:rPr>
                <w:rFonts w:cs="Arial"/>
                <w:spacing w:val="-4"/>
                <w:sz w:val="18"/>
                <w:szCs w:val="18"/>
              </w:rPr>
              <w:t>2024, p.</w:t>
            </w:r>
            <w:r w:rsidR="00EE577B" w:rsidRPr="008977B2">
              <w:rPr>
                <w:rFonts w:cs="Arial" w:hint="eastAsia"/>
                <w:spacing w:val="-4"/>
                <w:sz w:val="18"/>
                <w:szCs w:val="18"/>
              </w:rPr>
              <w:t> </w:t>
            </w:r>
            <w:r w:rsidR="00EE577B" w:rsidRPr="008977B2">
              <w:rPr>
                <w:rFonts w:cs="Arial"/>
                <w:spacing w:val="-4"/>
                <w:sz w:val="18"/>
                <w:szCs w:val="18"/>
              </w:rPr>
              <w:t>53)</w:t>
            </w:r>
            <w:r w:rsidR="00EE577B" w:rsidRPr="008977B2">
              <w:rPr>
                <w:spacing w:val="-4"/>
                <w:sz w:val="18"/>
                <w:szCs w:val="18"/>
              </w:rPr>
              <w:t xml:space="preserve">. Given the overrepresentation of Aboriginal and Torres Strait Islander people in the criminal justice system, this may have a disproportionate effect on Aboriginal and Torres Strait Islander care workers and providers. </w:t>
            </w:r>
          </w:p>
          <w:p w14:paraId="126D90DE" w14:textId="607D6052" w:rsidR="00EE577B" w:rsidRPr="00E93EE3" w:rsidRDefault="00EE577B" w:rsidP="008977B2">
            <w:pPr>
              <w:pStyle w:val="BodyText"/>
              <w:spacing w:before="46" w:after="46"/>
              <w:ind w:left="57" w:right="108"/>
              <w:rPr>
                <w:sz w:val="18"/>
                <w:szCs w:val="18"/>
              </w:rPr>
            </w:pPr>
            <w:r w:rsidRPr="00E93EE3">
              <w:rPr>
                <w:sz w:val="18"/>
                <w:szCs w:val="18"/>
              </w:rPr>
              <w:t xml:space="preserve">In partnering with Aboriginal and Torres Strait Islander people, engagement must be culturally safe and conducted </w:t>
            </w:r>
            <w:r w:rsidRPr="008977B2">
              <w:rPr>
                <w:rFonts w:ascii="Arial (Body)" w:hAnsi="Arial (Body)"/>
                <w:color w:val="000000"/>
                <w:sz w:val="18"/>
              </w:rPr>
              <w:t>in</w:t>
            </w:r>
            <w:r w:rsidRPr="00E93EE3">
              <w:rPr>
                <w:sz w:val="18"/>
                <w:szCs w:val="18"/>
              </w:rPr>
              <w:t xml:space="preserve"> a manner consistent with </w:t>
            </w:r>
            <w:r w:rsidR="006A7592" w:rsidRPr="00E93EE3">
              <w:rPr>
                <w:sz w:val="18"/>
                <w:szCs w:val="18"/>
              </w:rPr>
              <w:t>g</w:t>
            </w:r>
            <w:r w:rsidRPr="00E93EE3">
              <w:rPr>
                <w:sz w:val="18"/>
                <w:szCs w:val="18"/>
              </w:rPr>
              <w:t>overnments</w:t>
            </w:r>
            <w:r w:rsidR="00E17C08">
              <w:rPr>
                <w:sz w:val="18"/>
                <w:szCs w:val="18"/>
              </w:rPr>
              <w:t>’</w:t>
            </w:r>
            <w:r>
              <w:rPr>
                <w:sz w:val="18"/>
                <w:szCs w:val="18"/>
              </w:rPr>
              <w:t xml:space="preserve"> </w:t>
            </w:r>
            <w:r w:rsidRPr="00E93EE3">
              <w:rPr>
                <w:sz w:val="18"/>
                <w:szCs w:val="18"/>
              </w:rPr>
              <w:t xml:space="preserve">commitments under the National Agreement on Closing the Gap. </w:t>
            </w:r>
          </w:p>
        </w:tc>
      </w:tr>
      <w:tr w:rsidR="00EE577B" w:rsidRPr="00F872F7" w14:paraId="1ED36F90" w14:textId="77777777" w:rsidTr="00F35A31">
        <w:tc>
          <w:tcPr>
            <w:tcW w:w="1701" w:type="dxa"/>
            <w:tcBorders>
              <w:bottom w:val="single" w:sz="4" w:space="0" w:color="B3B3B3"/>
            </w:tcBorders>
            <w:shd w:val="clear" w:color="auto" w:fill="E6E6E6"/>
          </w:tcPr>
          <w:p w14:paraId="18A8A846" w14:textId="77777777" w:rsidR="00EE577B" w:rsidRPr="00876ED9" w:rsidRDefault="00EE577B" w:rsidP="00651308">
            <w:pPr>
              <w:pStyle w:val="BodyText"/>
              <w:spacing w:before="46" w:after="46"/>
              <w:ind w:left="57" w:right="108"/>
              <w:rPr>
                <w:rFonts w:ascii="Arial (Body)" w:hAnsi="Arial (Body)"/>
                <w:b/>
                <w:color w:val="265A9A"/>
                <w:sz w:val="18"/>
              </w:rPr>
            </w:pPr>
            <w:r w:rsidRPr="00876ED9">
              <w:rPr>
                <w:rFonts w:ascii="Arial (Body)" w:hAnsi="Arial (Body)"/>
                <w:b/>
                <w:bCs/>
                <w:color w:val="265A9A"/>
                <w:sz w:val="18"/>
              </w:rPr>
              <w:t>Take a broad perspective of the care economy</w:t>
            </w:r>
          </w:p>
        </w:tc>
        <w:tc>
          <w:tcPr>
            <w:tcW w:w="7937" w:type="dxa"/>
            <w:tcBorders>
              <w:bottom w:val="single" w:sz="4" w:space="0" w:color="B3B3B3"/>
            </w:tcBorders>
            <w:shd w:val="clear" w:color="auto" w:fill="E6E6E6"/>
          </w:tcPr>
          <w:p w14:paraId="194C4A84" w14:textId="7CE10B9E" w:rsidR="00EE577B" w:rsidRPr="00F27C2D" w:rsidRDefault="00EE577B" w:rsidP="008977B2">
            <w:pPr>
              <w:pStyle w:val="BodyText"/>
              <w:spacing w:before="46" w:after="46"/>
              <w:ind w:left="57" w:right="108"/>
              <w:rPr>
                <w:rFonts w:ascii="Arial (Body)" w:hAnsi="Arial (Body)"/>
                <w:color w:val="000000"/>
                <w:sz w:val="18"/>
              </w:rPr>
            </w:pPr>
            <w:r w:rsidRPr="00E93EE3">
              <w:rPr>
                <w:sz w:val="18"/>
                <w:szCs w:val="18"/>
              </w:rPr>
              <w:t>As noted throughout this chapter, the care economy is highly interconnected, despite often being funded or regulated as distinct sectors. While this inquiry has focused on aged care, the NDIS and veterans</w:t>
            </w:r>
            <w:r w:rsidR="005C4CC0">
              <w:rPr>
                <w:sz w:val="18"/>
                <w:szCs w:val="18"/>
              </w:rPr>
              <w:t xml:space="preserve">’ </w:t>
            </w:r>
            <w:r w:rsidRPr="00E93EE3">
              <w:rPr>
                <w:sz w:val="18"/>
                <w:szCs w:val="18"/>
              </w:rPr>
              <w:t xml:space="preserve">care, and in some instances, ECEC, governments should not forget that these sectors are part of a broader care economy spanning sectors such as health, mental health and family services, and must design reforms accordingly. </w:t>
            </w:r>
            <w:r w:rsidRPr="00E93EE3" w:rsidDel="0075347A">
              <w:rPr>
                <w:sz w:val="18"/>
                <w:szCs w:val="18"/>
              </w:rPr>
              <w:t xml:space="preserve">Inquiry participants suggested there may be future opportunities to continue regulatory alignment in other parts of the care economy, including healthcare (Carers NSW, </w:t>
            </w:r>
            <w:r w:rsidRPr="00E93EE3">
              <w:rPr>
                <w:sz w:val="18"/>
                <w:szCs w:val="18"/>
              </w:rPr>
              <w:t>sub.</w:t>
            </w:r>
            <w:r w:rsidRPr="00E93EE3">
              <w:rPr>
                <w:rFonts w:hint="eastAsia"/>
                <w:sz w:val="18"/>
                <w:szCs w:val="18"/>
              </w:rPr>
              <w:t> </w:t>
            </w:r>
            <w:r w:rsidRPr="00E93EE3">
              <w:rPr>
                <w:sz w:val="18"/>
                <w:szCs w:val="18"/>
              </w:rPr>
              <w:t>121, p.</w:t>
            </w:r>
            <w:r w:rsidRPr="00E93EE3">
              <w:rPr>
                <w:rFonts w:hint="eastAsia"/>
                <w:sz w:val="18"/>
                <w:szCs w:val="18"/>
              </w:rPr>
              <w:t> </w:t>
            </w:r>
            <w:r w:rsidRPr="00E93EE3">
              <w:rPr>
                <w:sz w:val="18"/>
                <w:szCs w:val="18"/>
              </w:rPr>
              <w:t>1</w:t>
            </w:r>
            <w:r w:rsidRPr="00E93EE3" w:rsidDel="0075347A">
              <w:rPr>
                <w:sz w:val="18"/>
                <w:szCs w:val="18"/>
              </w:rPr>
              <w:t>) and mental health services (A</w:t>
            </w:r>
            <w:r w:rsidRPr="00E93EE3">
              <w:rPr>
                <w:sz w:val="18"/>
                <w:szCs w:val="18"/>
              </w:rPr>
              <w:t>PA</w:t>
            </w:r>
            <w:r w:rsidRPr="00E93EE3" w:rsidDel="0075347A">
              <w:rPr>
                <w:sz w:val="18"/>
                <w:szCs w:val="18"/>
              </w:rPr>
              <w:t>, sub.</w:t>
            </w:r>
            <w:r w:rsidRPr="00E93EE3" w:rsidDel="0075347A">
              <w:rPr>
                <w:rFonts w:hint="eastAsia"/>
                <w:sz w:val="18"/>
                <w:szCs w:val="18"/>
              </w:rPr>
              <w:t> </w:t>
            </w:r>
            <w:r w:rsidRPr="00E93EE3">
              <w:rPr>
                <w:sz w:val="18"/>
                <w:szCs w:val="18"/>
              </w:rPr>
              <w:t>112</w:t>
            </w:r>
            <w:r w:rsidRPr="00E93EE3" w:rsidDel="0075347A">
              <w:rPr>
                <w:sz w:val="18"/>
                <w:szCs w:val="18"/>
              </w:rPr>
              <w:t>, p.</w:t>
            </w:r>
            <w:r w:rsidRPr="00E93EE3" w:rsidDel="0075347A">
              <w:rPr>
                <w:rFonts w:hint="eastAsia"/>
                <w:sz w:val="18"/>
                <w:szCs w:val="18"/>
              </w:rPr>
              <w:t> </w:t>
            </w:r>
            <w:r w:rsidRPr="00E93EE3" w:rsidDel="0075347A">
              <w:rPr>
                <w:sz w:val="18"/>
                <w:szCs w:val="18"/>
              </w:rPr>
              <w:t>3; NDS, sub.</w:t>
            </w:r>
            <w:r w:rsidRPr="00E93EE3" w:rsidDel="0075347A">
              <w:rPr>
                <w:rFonts w:hint="eastAsia"/>
                <w:sz w:val="18"/>
                <w:szCs w:val="18"/>
              </w:rPr>
              <w:t> </w:t>
            </w:r>
            <w:r w:rsidRPr="00E93EE3">
              <w:rPr>
                <w:sz w:val="18"/>
                <w:szCs w:val="18"/>
              </w:rPr>
              <w:t>241</w:t>
            </w:r>
            <w:r w:rsidRPr="00E93EE3" w:rsidDel="0075347A">
              <w:rPr>
                <w:sz w:val="18"/>
                <w:szCs w:val="18"/>
              </w:rPr>
              <w:t>, p.</w:t>
            </w:r>
            <w:r w:rsidRPr="00E93EE3" w:rsidDel="0075347A">
              <w:rPr>
                <w:rFonts w:hint="eastAsia"/>
                <w:sz w:val="18"/>
                <w:szCs w:val="18"/>
              </w:rPr>
              <w:t> </w:t>
            </w:r>
            <w:r w:rsidRPr="00E93EE3" w:rsidDel="0075347A">
              <w:rPr>
                <w:sz w:val="18"/>
                <w:szCs w:val="18"/>
              </w:rPr>
              <w:t xml:space="preserve">8; </w:t>
            </w:r>
            <w:r w:rsidRPr="00E93EE3">
              <w:rPr>
                <w:sz w:val="18"/>
                <w:szCs w:val="18"/>
              </w:rPr>
              <w:t>QAMH</w:t>
            </w:r>
            <w:r w:rsidRPr="00E93EE3" w:rsidDel="0075347A">
              <w:rPr>
                <w:sz w:val="18"/>
                <w:szCs w:val="18"/>
              </w:rPr>
              <w:t>, sub.</w:t>
            </w:r>
            <w:r w:rsidRPr="00E93EE3" w:rsidDel="0075347A">
              <w:rPr>
                <w:rFonts w:hint="eastAsia"/>
                <w:sz w:val="18"/>
                <w:szCs w:val="18"/>
              </w:rPr>
              <w:t> </w:t>
            </w:r>
            <w:r w:rsidRPr="00E93EE3">
              <w:rPr>
                <w:sz w:val="18"/>
                <w:szCs w:val="18"/>
              </w:rPr>
              <w:t>172</w:t>
            </w:r>
            <w:r w:rsidRPr="00E93EE3" w:rsidDel="0075347A">
              <w:rPr>
                <w:sz w:val="18"/>
                <w:szCs w:val="18"/>
              </w:rPr>
              <w:t>, p.</w:t>
            </w:r>
            <w:r w:rsidRPr="00E93EE3" w:rsidDel="0075347A">
              <w:rPr>
                <w:rFonts w:hint="eastAsia"/>
                <w:sz w:val="18"/>
                <w:szCs w:val="18"/>
              </w:rPr>
              <w:t> </w:t>
            </w:r>
            <w:r w:rsidRPr="00E93EE3" w:rsidDel="0075347A">
              <w:rPr>
                <w:sz w:val="18"/>
                <w:szCs w:val="18"/>
              </w:rPr>
              <w:t>5).</w:t>
            </w:r>
          </w:p>
        </w:tc>
      </w:tr>
    </w:tbl>
    <w:p w14:paraId="306BB756" w14:textId="77777777" w:rsidR="00EE577B" w:rsidRDefault="00EE577B">
      <w:pPr>
        <w:pStyle w:val="Space"/>
      </w:pPr>
    </w:p>
    <w:p w14:paraId="7B3B3421" w14:textId="77777777" w:rsidR="00D94B4E" w:rsidRPr="00CB3698" w:rsidRDefault="00D94B4E" w:rsidP="00D94B4E">
      <w:pPr>
        <w:pStyle w:val="BodyText"/>
      </w:pPr>
      <w:r w:rsidRPr="00CB3698">
        <w:t>Second, governments should ensure they adopt consistent approaches to the regulation of artificial intelligence (AI) across the care economy, which would support its uptake. Consistent approaches do not necessarily mean a bespoke regulatory framework – for example, regulators could instead adopt consistent regulatory practices under their respective legislation. Given that AI is a relatively new technology, governments should take the opportunity to ensure a cohesive approach to regulation from the outset, rather than allowing sector</w:t>
      </w:r>
      <w:r w:rsidRPr="00CB3698">
        <w:noBreakHyphen/>
        <w:t>specific approaches to develop</w:t>
      </w:r>
      <w:r>
        <w:t>,</w:t>
      </w:r>
      <w:r w:rsidRPr="00CB3698">
        <w:t xml:space="preserve"> which create complexity and inconsistency. This consistency should also extend to the frameworks governing how regulators themselves may use AI in performing their regulatory functions.</w:t>
      </w:r>
    </w:p>
    <w:p w14:paraId="2F6537C8" w14:textId="4997F61B" w:rsidR="00EE577B" w:rsidRPr="00F27C2D" w:rsidRDefault="00EE577B">
      <w:pPr>
        <w:pStyle w:val="ListBullet2"/>
        <w:numPr>
          <w:ilvl w:val="0"/>
          <w:numId w:val="0"/>
        </w:numPr>
      </w:pPr>
      <w:r w:rsidRPr="00F27C2D">
        <w:t xml:space="preserve">In keeping with the PC’s previous publications and its inquiry into </w:t>
      </w:r>
      <w:r w:rsidRPr="00F27C2D">
        <w:rPr>
          <w:i/>
          <w:iCs/>
        </w:rPr>
        <w:t>Harnessing data and digital technology</w:t>
      </w:r>
      <w:r w:rsidRPr="00F27C2D">
        <w:t>, regulators should use an outcomes</w:t>
      </w:r>
      <w:r w:rsidRPr="00F27C2D">
        <w:noBreakHyphen/>
        <w:t>focused, stepped approach to consider how existing regulation can be applied and extended to AI, prior to developing new AI</w:t>
      </w:r>
      <w:r w:rsidRPr="00F27C2D">
        <w:noBreakHyphen/>
        <w:t>specific regulation</w:t>
      </w:r>
      <w:r>
        <w:t xml:space="preserve"> </w:t>
      </w:r>
      <w:r w:rsidR="00CD75B1" w:rsidRPr="00CD75B1">
        <w:rPr>
          <w:rFonts w:ascii="Arial" w:hAnsi="Arial" w:cs="Arial"/>
        </w:rPr>
        <w:t xml:space="preserve">(BCA 2025; PC 2024c, pp. 5–8, </w:t>
      </w:r>
      <w:r w:rsidR="00CD75B1" w:rsidRPr="00CD75B1">
        <w:rPr>
          <w:rFonts w:ascii="Arial" w:hAnsi="Arial" w:cs="Arial"/>
        </w:rPr>
        <w:lastRenderedPageBreak/>
        <w:t>2025d)</w:t>
      </w:r>
      <w:r>
        <w:t>.</w:t>
      </w:r>
      <w:r w:rsidRPr="00F27C2D">
        <w:t xml:space="preserve"> Part of this consideration is balancing sufficient regulatory protection with enabling the adoption of new technologies, which can lift quality of care. If new regulation is required, it should be risk</w:t>
      </w:r>
      <w:r w:rsidRPr="00F27C2D">
        <w:noBreakHyphen/>
        <w:t>based and technology neutral to support adaptation to rapid technological change. AI</w:t>
      </w:r>
      <w:r>
        <w:noBreakHyphen/>
      </w:r>
      <w:r w:rsidRPr="00F27C2D">
        <w:t>specific regulation can be considered as a last resort if technology</w:t>
      </w:r>
      <w:r>
        <w:noBreakHyphen/>
      </w:r>
      <w:r w:rsidRPr="00F27C2D">
        <w:t xml:space="preserve">neutral regulation is not feasible or adequate to mitigate the risk of harm. Regulators should also be cognisant of international regulation and the risk of AI suppliers bypassing Australia if Australian standards depart from global norms </w:t>
      </w:r>
      <w:r w:rsidR="0097599A" w:rsidRPr="0097599A">
        <w:rPr>
          <w:rFonts w:ascii="Arial" w:hAnsi="Arial" w:cs="Arial"/>
        </w:rPr>
        <w:t>(PC 2024c, pp. 9–11)</w:t>
      </w:r>
      <w:r w:rsidRPr="00F27C2D">
        <w:t>.</w:t>
      </w:r>
    </w:p>
    <w:p w14:paraId="5919CFD1" w14:textId="77777777" w:rsidR="00EE577B" w:rsidRPr="00F27C2D" w:rsidRDefault="00EE577B">
      <w:pPr>
        <w:pStyle w:val="Heading4"/>
      </w:pPr>
      <w:r w:rsidRPr="00F27C2D">
        <w:t>Lack of alignment alone should not be a barrier to pursuing worthwhile reforms</w:t>
      </w:r>
    </w:p>
    <w:p w14:paraId="4E466ECD" w14:textId="2513EA16" w:rsidR="00EE577B" w:rsidRPr="00F27C2D" w:rsidRDefault="00EE577B">
      <w:pPr>
        <w:pStyle w:val="BodyText"/>
      </w:pPr>
      <w:r w:rsidRPr="00F27C2D">
        <w:t xml:space="preserve">The previous section cautioned against introducing reforms that would create or further entrench </w:t>
      </w:r>
      <w:r w:rsidR="003D3439">
        <w:t>silos</w:t>
      </w:r>
      <w:r w:rsidRPr="00F27C2D">
        <w:t>. At the same time, where sector</w:t>
      </w:r>
      <w:r>
        <w:noBreakHyphen/>
      </w:r>
      <w:r w:rsidRPr="00F27C2D">
        <w:t>specific regulation would bring net benefits to care users and the community, a lack of corresponding arrangements in other care sectors should not be a barrier to introducing it. The key is to ensure that governments consider the potential need for corresponding regulation in other sectors, and that the regulation is designed in a way that would allow for alignment if further regulation were introduced. This could involve, for example, ensuring that standards can be generalised or modularised to encompass the needs of multiple sectors.</w:t>
      </w:r>
    </w:p>
    <w:p w14:paraId="7F157B32" w14:textId="77777777" w:rsidR="00EE577B" w:rsidRPr="00F27C2D" w:rsidRDefault="00EE577B">
      <w:pPr>
        <w:pStyle w:val="Heading4"/>
      </w:pPr>
      <w:r w:rsidRPr="00F27C2D">
        <w:t>Regulatory alignment is an ongoing process</w:t>
      </w:r>
    </w:p>
    <w:p w14:paraId="76242D5D" w14:textId="77777777" w:rsidR="00EE577B" w:rsidRPr="00F27C2D" w:rsidRDefault="00EE577B">
      <w:pPr>
        <w:pStyle w:val="BodyText"/>
      </w:pPr>
      <w:r w:rsidRPr="00F27C2D">
        <w:t>Finally,</w:t>
      </w:r>
      <w:r w:rsidRPr="00F27C2D" w:rsidDel="00A66633">
        <w:t xml:space="preserve"> </w:t>
      </w:r>
      <w:r w:rsidRPr="00F27C2D">
        <w:t>reform of regulation will never be a ‘set and forget’ task. It must continue to evolve alongside the care system and broader economy and keep pace with the opportunities available from new technologies, including AI. And, as noted above, the reforms proposed in this chapter are only a first step towards the PC’s overarching vision for a quality and safety regulatory system that is aligned across all care sectors, levels of government and forms of regulation. At the end of the eight</w:t>
      </w:r>
      <w:r w:rsidRPr="00F27C2D">
        <w:noBreakHyphen/>
        <w:t>year timeframe – or once our proposed actions have been completed – governments will need to review and revise its regulatory alignment agenda, so that reform can continue to improve the quality, efficiency and outcomes of services in the care economy to the benefit of care users.</w:t>
      </w:r>
    </w:p>
    <w:p w14:paraId="7A2B32DC" w14:textId="77777777" w:rsidR="00A0602C" w:rsidRDefault="00A0602C" w:rsidP="00A4030B">
      <w:pPr>
        <w:pStyle w:val="DraftingNote"/>
        <w:rPr>
          <w:noProof/>
        </w:rPr>
        <w:sectPr w:rsidR="00A0602C" w:rsidSect="009C6092">
          <w:headerReference w:type="even" r:id="rId60"/>
          <w:headerReference w:type="default" r:id="rId61"/>
          <w:footerReference w:type="even" r:id="rId62"/>
          <w:footerReference w:type="default" r:id="rId63"/>
          <w:headerReference w:type="first" r:id="rId64"/>
          <w:type w:val="oddPage"/>
          <w:pgSz w:w="11906" w:h="16838" w:code="9"/>
          <w:pgMar w:top="1134" w:right="1134" w:bottom="1134" w:left="1134" w:header="794" w:footer="510" w:gutter="0"/>
          <w:cols w:space="708"/>
          <w:docGrid w:linePitch="360"/>
        </w:sectPr>
      </w:pPr>
    </w:p>
    <w:p w14:paraId="208768C8" w14:textId="77777777" w:rsidR="00A0602C" w:rsidRPr="00B40479" w:rsidRDefault="00A0602C">
      <w:pPr>
        <w:pStyle w:val="Heading1"/>
      </w:pPr>
      <w:bookmarkStart w:id="78" w:name="_Toc215671168"/>
      <w:bookmarkStart w:id="79" w:name="_Toc215838132"/>
      <w:r w:rsidRPr="00B40479">
        <w:lastRenderedPageBreak/>
        <w:t>Embed collaborative commissioning to increase the integration of care services</w:t>
      </w:r>
      <w:bookmarkEnd w:id="78"/>
      <w:bookmarkEnd w:id="79"/>
    </w:p>
    <w:tbl>
      <w:tblPr>
        <w:tblStyle w:val="Texttable-Paleblue"/>
        <w:tblW w:w="9638" w:type="dxa"/>
        <w:shd w:val="clear" w:color="auto" w:fill="E7F6FD"/>
        <w:tblLook w:val="04A0" w:firstRow="1" w:lastRow="0" w:firstColumn="1" w:lastColumn="0" w:noHBand="0" w:noVBand="1"/>
      </w:tblPr>
      <w:tblGrid>
        <w:gridCol w:w="570"/>
        <w:gridCol w:w="9068"/>
      </w:tblGrid>
      <w:tr w:rsidR="00A0602C" w:rsidRPr="00B40479" w14:paraId="6A0D8431" w14:textId="77777777">
        <w:trPr>
          <w:trHeight w:val="300"/>
        </w:trPr>
        <w:tc>
          <w:tcPr>
            <w:tcW w:w="9638" w:type="dxa"/>
            <w:gridSpan w:val="2"/>
            <w:shd w:val="clear" w:color="auto" w:fill="E7F6FD"/>
            <w:tcMar>
              <w:left w:w="170" w:type="dxa"/>
            </w:tcMar>
          </w:tcPr>
          <w:p w14:paraId="05CB79D5" w14:textId="77777777" w:rsidR="00A0602C" w:rsidRPr="00B40479" w:rsidRDefault="00A0602C">
            <w:pPr>
              <w:pStyle w:val="Keypoints-heading"/>
            </w:pPr>
            <w:r w:rsidRPr="00B40479">
              <w:t>Summary</w:t>
            </w:r>
          </w:p>
        </w:tc>
      </w:tr>
      <w:tr w:rsidR="00A0602C" w:rsidRPr="00B40479" w14:paraId="7427BC7F" w14:textId="77777777">
        <w:trPr>
          <w:trHeight w:val="300"/>
        </w:trPr>
        <w:tc>
          <w:tcPr>
            <w:tcW w:w="570" w:type="dxa"/>
            <w:shd w:val="clear" w:color="auto" w:fill="E7F6FD"/>
            <w:tcMar>
              <w:top w:w="0" w:type="dxa"/>
              <w:bottom w:w="0" w:type="dxa"/>
              <w:right w:w="113" w:type="dxa"/>
            </w:tcMar>
          </w:tcPr>
          <w:p w14:paraId="23954543" w14:textId="77777777" w:rsidR="00A0602C" w:rsidRPr="00B40479" w:rsidRDefault="00A0602C">
            <w:pPr>
              <w:pStyle w:val="KeyPointsicon"/>
            </w:pPr>
            <w:r w:rsidRPr="002776E8">
              <w:rPr>
                <w:noProof/>
              </w:rPr>
              <w:drawing>
                <wp:inline distT="0" distB="0" distL="0" distR="0" wp14:anchorId="6F7D5BCA" wp14:editId="373756FC">
                  <wp:extent cx="180000" cy="180000"/>
                  <wp:effectExtent l="0" t="0" r="0" b="0"/>
                  <wp:docPr id="1082896641" name="Graphic 1082896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8" w:type="dxa"/>
            <w:shd w:val="clear" w:color="auto" w:fill="E7F6FD"/>
            <w:tcMar>
              <w:top w:w="28" w:type="dxa"/>
              <w:left w:w="28" w:type="dxa"/>
            </w:tcMar>
          </w:tcPr>
          <w:p w14:paraId="308EDFAD" w14:textId="77777777" w:rsidR="00A0602C" w:rsidRPr="00B40479" w:rsidRDefault="00A0602C">
            <w:pPr>
              <w:pStyle w:val="KeyPoints-Bold"/>
            </w:pPr>
            <w:r>
              <w:t>Australia’s care system is fragmented, with responsibility shared across multiple organisations working under different levels of government. Fragmentation creates duplication and gaps between parts of the care sector, reducing the productivity of care services and worsening outcomes for care users.</w:t>
            </w:r>
          </w:p>
        </w:tc>
      </w:tr>
      <w:tr w:rsidR="00A0602C" w:rsidRPr="00B40479" w14:paraId="68244817" w14:textId="77777777">
        <w:trPr>
          <w:trHeight w:val="300"/>
        </w:trPr>
        <w:tc>
          <w:tcPr>
            <w:tcW w:w="570" w:type="dxa"/>
            <w:shd w:val="clear" w:color="auto" w:fill="E7F6FD"/>
            <w:tcMar>
              <w:top w:w="0" w:type="dxa"/>
              <w:bottom w:w="0" w:type="dxa"/>
              <w:right w:w="113" w:type="dxa"/>
            </w:tcMar>
          </w:tcPr>
          <w:p w14:paraId="33774D5F" w14:textId="77777777" w:rsidR="00A0602C" w:rsidRPr="002776E8" w:rsidRDefault="00A0602C">
            <w:pPr>
              <w:pStyle w:val="KeyPointsicon"/>
              <w:rPr>
                <w:noProof/>
              </w:rPr>
            </w:pPr>
            <w:r w:rsidRPr="002776E8">
              <w:rPr>
                <w:noProof/>
              </w:rPr>
              <w:drawing>
                <wp:inline distT="0" distB="0" distL="0" distR="0" wp14:anchorId="6110CC19" wp14:editId="5C72D105">
                  <wp:extent cx="180000" cy="180000"/>
                  <wp:effectExtent l="0" t="0" r="0" b="0"/>
                  <wp:docPr id="1644209181" name="Graphic 1644209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8" w:type="dxa"/>
            <w:shd w:val="clear" w:color="auto" w:fill="E7F6FD"/>
            <w:tcMar>
              <w:top w:w="28" w:type="dxa"/>
              <w:left w:w="28" w:type="dxa"/>
            </w:tcMar>
          </w:tcPr>
          <w:p w14:paraId="02E00B75" w14:textId="77777777" w:rsidR="00A0602C" w:rsidRPr="00B40479" w:rsidRDefault="00A0602C">
            <w:pPr>
              <w:pStyle w:val="KeyPoints-Bold"/>
            </w:pPr>
            <w:r>
              <w:t>Collaborative and place</w:t>
            </w:r>
            <w:r>
              <w:noBreakHyphen/>
              <w:t>based approaches – where organisations work in partnership to plan, procure and evaluate services – promote local autonomy and accountability that can focus services on local needs, reduce fragmentation across the health care system and</w:t>
            </w:r>
            <w:r w:rsidDel="002C4C7B">
              <w:t xml:space="preserve"> </w:t>
            </w:r>
            <w:r>
              <w:t xml:space="preserve">foster innovative models of care. </w:t>
            </w:r>
          </w:p>
        </w:tc>
      </w:tr>
      <w:tr w:rsidR="00A0602C" w:rsidRPr="00B40479" w14:paraId="64E7A89F" w14:textId="77777777">
        <w:trPr>
          <w:trHeight w:val="300"/>
        </w:trPr>
        <w:tc>
          <w:tcPr>
            <w:tcW w:w="570" w:type="dxa"/>
            <w:shd w:val="clear" w:color="auto" w:fill="E7F6FD"/>
            <w:tcMar>
              <w:top w:w="0" w:type="dxa"/>
              <w:bottom w:w="0" w:type="dxa"/>
              <w:right w:w="113" w:type="dxa"/>
            </w:tcMar>
          </w:tcPr>
          <w:p w14:paraId="52EE8A3A" w14:textId="77777777" w:rsidR="00A0602C" w:rsidRPr="00B40479" w:rsidRDefault="00A0602C">
            <w:pPr>
              <w:pStyle w:val="KeyPointsicon"/>
            </w:pPr>
            <w:r w:rsidRPr="002776E8">
              <w:rPr>
                <w:noProof/>
              </w:rPr>
              <w:drawing>
                <wp:inline distT="0" distB="0" distL="0" distR="0" wp14:anchorId="3BC982E9" wp14:editId="3CAFF32B">
                  <wp:extent cx="180000" cy="180000"/>
                  <wp:effectExtent l="0" t="0" r="0" b="0"/>
                  <wp:docPr id="2089239239" name="Graphic 2089239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8" w:type="dxa"/>
            <w:shd w:val="clear" w:color="auto" w:fill="E7F6FD"/>
            <w:tcMar>
              <w:top w:w="28" w:type="dxa"/>
              <w:left w:w="28" w:type="dxa"/>
            </w:tcMar>
          </w:tcPr>
          <w:p w14:paraId="2439A4D2" w14:textId="7063EE30" w:rsidR="00A0602C" w:rsidRDefault="00A0602C">
            <w:pPr>
              <w:pStyle w:val="KeyPoints-Bold"/>
            </w:pPr>
            <w:r>
              <w:t xml:space="preserve">Governments should embed collaborative commissioning between Local Hospital Networks (LHNs) and Primary Health Networks (PHNs). Governments have already recognised the benefits of collaboration between these interdependent organisations, but blurred responsibilities and misaligned incentives have hampered its adoption across the system. Even when new </w:t>
            </w:r>
            <w:r w:rsidR="00D53AA0">
              <w:t xml:space="preserve">collaborative </w:t>
            </w:r>
            <w:r>
              <w:t>models of care deliver positive outcomes, the current system does not allow them to be scaled or sustained.</w:t>
            </w:r>
          </w:p>
          <w:p w14:paraId="5274C648" w14:textId="68F8439E" w:rsidR="00A0602C" w:rsidRPr="00B40479" w:rsidRDefault="00A0602C" w:rsidP="00A0602C">
            <w:pPr>
              <w:pStyle w:val="KeyPoints-Bullet"/>
            </w:pPr>
            <w:r>
              <w:t>The benefits of embedding system</w:t>
            </w:r>
            <w:r>
              <w:noBreakHyphen/>
              <w:t>wide collaborative commissioning will vary across regions depending on the initiatives implemented, but we estimate</w:t>
            </w:r>
            <w:r w:rsidDel="00770622">
              <w:t xml:space="preserve"> </w:t>
            </w:r>
            <w:r>
              <w:t xml:space="preserve">this reform can reduce potentially preventable hospitalisations by 5% and emergency department presentations by 4%, </w:t>
            </w:r>
            <w:r w:rsidR="00C11EE5">
              <w:t>equivalent</w:t>
            </w:r>
            <w:r w:rsidR="002C44CF">
              <w:t xml:space="preserve"> to </w:t>
            </w:r>
            <w:r>
              <w:t>$600 million per year.</w:t>
            </w:r>
          </w:p>
        </w:tc>
      </w:tr>
      <w:tr w:rsidR="00A0602C" w:rsidRPr="00B40479" w14:paraId="271AD4E4" w14:textId="77777777">
        <w:trPr>
          <w:trHeight w:val="300"/>
        </w:trPr>
        <w:tc>
          <w:tcPr>
            <w:tcW w:w="570" w:type="dxa"/>
            <w:shd w:val="clear" w:color="auto" w:fill="E7F6FD"/>
            <w:tcMar>
              <w:top w:w="0" w:type="dxa"/>
              <w:bottom w:w="0" w:type="dxa"/>
              <w:right w:w="113" w:type="dxa"/>
            </w:tcMar>
          </w:tcPr>
          <w:p w14:paraId="263CCE41" w14:textId="77777777" w:rsidR="00A0602C" w:rsidRPr="00B40479" w:rsidRDefault="00A0602C">
            <w:pPr>
              <w:pStyle w:val="KeyPointsicon"/>
            </w:pPr>
            <w:r w:rsidRPr="002776E8">
              <w:rPr>
                <w:noProof/>
              </w:rPr>
              <w:drawing>
                <wp:inline distT="0" distB="0" distL="0" distR="0" wp14:anchorId="4510A03F" wp14:editId="29E072BF">
                  <wp:extent cx="180000" cy="180000"/>
                  <wp:effectExtent l="0" t="0" r="0" b="0"/>
                  <wp:docPr id="1349489737" name="Graphic 13494897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8" w:type="dxa"/>
            <w:shd w:val="clear" w:color="auto" w:fill="E7F6FD"/>
            <w:tcMar>
              <w:top w:w="28" w:type="dxa"/>
              <w:left w:w="28" w:type="dxa"/>
            </w:tcMar>
          </w:tcPr>
          <w:p w14:paraId="05C15C13" w14:textId="77777777" w:rsidR="00A0602C" w:rsidRPr="00B40479" w:rsidRDefault="00A0602C">
            <w:pPr>
              <w:pStyle w:val="KeyPoints-Bold"/>
            </w:pPr>
            <w:r>
              <w:t xml:space="preserve">Strengthening </w:t>
            </w:r>
            <w:r w:rsidRPr="00B40479">
              <w:t>collaboration</w:t>
            </w:r>
            <w:r>
              <w:t xml:space="preserve"> requires</w:t>
            </w:r>
            <w:r w:rsidRPr="00B40479">
              <w:t xml:space="preserve"> reforms to joint governance arrangements and funding. The National Health Reform Agreement</w:t>
            </w:r>
            <w:r>
              <w:t xml:space="preserve"> (NHRA)</w:t>
            </w:r>
            <w:r w:rsidRPr="00B40479">
              <w:t xml:space="preserve"> </w:t>
            </w:r>
            <w:r>
              <w:t xml:space="preserve">should be </w:t>
            </w:r>
            <w:r w:rsidRPr="00B40479">
              <w:t xml:space="preserve">the </w:t>
            </w:r>
            <w:r>
              <w:t>main</w:t>
            </w:r>
            <w:r w:rsidRPr="00B40479">
              <w:t xml:space="preserve"> lever for embedding these reforms.</w:t>
            </w:r>
          </w:p>
          <w:p w14:paraId="65F5EAD0" w14:textId="77777777" w:rsidR="00A0602C" w:rsidRPr="00B40479" w:rsidRDefault="00A0602C" w:rsidP="00A0602C">
            <w:pPr>
              <w:pStyle w:val="KeyPoints-Bullet"/>
            </w:pPr>
            <w:r>
              <w:t>LHNs and PHNs should jointly assess local needs, develop programs of work, monitor progress and report on outcomes using a nationally consistent framework,</w:t>
            </w:r>
            <w:r w:rsidRPr="00145FBC">
              <w:t xml:space="preserve"> </w:t>
            </w:r>
            <w:r>
              <w:t>in partnership with ACCHOs and other organisations.</w:t>
            </w:r>
          </w:p>
          <w:p w14:paraId="263E2A52" w14:textId="77777777" w:rsidR="00A0602C" w:rsidRDefault="00A0602C" w:rsidP="00A0602C">
            <w:pPr>
              <w:pStyle w:val="KeyPoints-Bullet"/>
            </w:pPr>
            <w:r>
              <w:t xml:space="preserve">More funding flexibility is required to </w:t>
            </w:r>
            <w:r w:rsidDel="007276FF">
              <w:t>enable</w:t>
            </w:r>
            <w:r w:rsidDel="000E1905">
              <w:t xml:space="preserve"> </w:t>
            </w:r>
            <w:r w:rsidRPr="00145FBC">
              <w:t>greater collaboration</w:t>
            </w:r>
            <w:r>
              <w:t xml:space="preserve"> that addresses local needs. </w:t>
            </w:r>
          </w:p>
          <w:p w14:paraId="39EA4FD3" w14:textId="77777777" w:rsidR="00A0602C" w:rsidRPr="00B40479" w:rsidRDefault="00A0602C" w:rsidP="00A0602C">
            <w:pPr>
              <w:pStyle w:val="KeyPoints-Bullet"/>
            </w:pPr>
            <w:r>
              <w:t xml:space="preserve">Dedicated funding for collaborative programs to address local gaps in care is required. Funding based on the achievement of agreed shared outcomes would incentivise successful programs. </w:t>
            </w:r>
          </w:p>
          <w:p w14:paraId="78FFCEDA" w14:textId="4BF4CD4F" w:rsidR="00FF04B4" w:rsidRPr="00B40479" w:rsidRDefault="00FF04B4" w:rsidP="00A0602C">
            <w:pPr>
              <w:pStyle w:val="KeyPoints-Bullet"/>
            </w:pPr>
            <w:r>
              <w:t xml:space="preserve">Governments </w:t>
            </w:r>
            <w:r w:rsidRPr="00145FBC">
              <w:t>should</w:t>
            </w:r>
            <w:r>
              <w:t xml:space="preserve"> undertake supporting actions to enable access to data and build organisational capability to track outcomes and drive improvements.</w:t>
            </w:r>
          </w:p>
          <w:p w14:paraId="6D0528CB" w14:textId="5EB5D280" w:rsidR="00A0602C" w:rsidRDefault="00936243" w:rsidP="00A0602C">
            <w:pPr>
              <w:pStyle w:val="KeyPoints-Bullet"/>
            </w:pPr>
            <w:r w:rsidRPr="00B40479">
              <w:t xml:space="preserve">Effective implementation </w:t>
            </w:r>
            <w:r w:rsidR="0094072B">
              <w:t xml:space="preserve">of the full suite of reforms </w:t>
            </w:r>
            <w:r w:rsidRPr="00B40479">
              <w:t>will require a staged approach</w:t>
            </w:r>
            <w:r w:rsidR="00C45C6B">
              <w:t xml:space="preserve">. Most actions should be </w:t>
            </w:r>
            <w:r w:rsidR="00F42D0D">
              <w:t>commenced</w:t>
            </w:r>
            <w:r w:rsidR="005509F3">
              <w:t xml:space="preserve"> quickly, but</w:t>
            </w:r>
            <w:r w:rsidR="007D695D">
              <w:t xml:space="preserve"> further work is required to develop </w:t>
            </w:r>
            <w:r w:rsidR="00DB1639">
              <w:t>dedicated outcomes-based funding</w:t>
            </w:r>
            <w:r w:rsidR="00097744">
              <w:t>.</w:t>
            </w:r>
            <w:r w:rsidR="00A0602C" w:rsidRPr="00B40479" w:rsidDel="00097744">
              <w:t xml:space="preserve"> </w:t>
            </w:r>
          </w:p>
          <w:p w14:paraId="79FAD719" w14:textId="77777777" w:rsidR="00A0602C" w:rsidRPr="00B40479" w:rsidRDefault="00A0602C" w:rsidP="00A0602C">
            <w:pPr>
              <w:pStyle w:val="KeyPoints-Bullet"/>
            </w:pPr>
            <w:r w:rsidRPr="00116E1B">
              <w:t xml:space="preserve">These reforms </w:t>
            </w:r>
            <w:r>
              <w:t>are expected</w:t>
            </w:r>
            <w:r w:rsidRPr="00116E1B">
              <w:t xml:space="preserve"> to </w:t>
            </w:r>
            <w:r>
              <w:t>produce higher quality and more efficient care</w:t>
            </w:r>
            <w:r w:rsidRPr="00116E1B">
              <w:t xml:space="preserve"> and improve productivity by developing an ecosystem of collaboration t</w:t>
            </w:r>
            <w:r>
              <w:t>hat</w:t>
            </w:r>
            <w:r w:rsidRPr="00116E1B">
              <w:t xml:space="preserve"> enable</w:t>
            </w:r>
            <w:r>
              <w:t>s</w:t>
            </w:r>
            <w:r w:rsidRPr="00116E1B">
              <w:t xml:space="preserve"> greater uptake of effective interventions</w:t>
            </w:r>
            <w:r>
              <w:t>.</w:t>
            </w:r>
            <w:r w:rsidRPr="00116E1B" w:rsidDel="00904F0A">
              <w:t xml:space="preserve"> </w:t>
            </w:r>
          </w:p>
        </w:tc>
      </w:tr>
    </w:tbl>
    <w:p w14:paraId="4B65FD94" w14:textId="77777777" w:rsidR="00A0602C" w:rsidRPr="00B40479" w:rsidRDefault="00A0602C">
      <w:pPr>
        <w:pStyle w:val="Heading2-nonumber"/>
      </w:pPr>
      <w:bookmarkStart w:id="80" w:name="_Toc215671169"/>
      <w:bookmarkStart w:id="81" w:name="_Toc215838133"/>
      <w:r>
        <w:lastRenderedPageBreak/>
        <w:t>Collaborative commissioning can improve outcomes</w:t>
      </w:r>
      <w:bookmarkEnd w:id="80"/>
      <w:bookmarkEnd w:id="81"/>
      <w:r>
        <w:t xml:space="preserve"> </w:t>
      </w:r>
    </w:p>
    <w:p w14:paraId="22BDECEF" w14:textId="77777777" w:rsidR="00A0602C" w:rsidRPr="00B40479" w:rsidRDefault="00A0602C">
      <w:pPr>
        <w:pStyle w:val="Heading3"/>
      </w:pPr>
      <w:r w:rsidRPr="00B40479">
        <w:t xml:space="preserve">Poorly integrated care </w:t>
      </w:r>
      <w:r>
        <w:t>worsens</w:t>
      </w:r>
      <w:r w:rsidRPr="00B40479">
        <w:t xml:space="preserve"> outcomes for care users</w:t>
      </w:r>
    </w:p>
    <w:p w14:paraId="6B376251" w14:textId="3577FAA7" w:rsidR="00A0602C" w:rsidRPr="00B40479" w:rsidRDefault="00A0602C">
      <w:pPr>
        <w:pStyle w:val="BodyText"/>
      </w:pPr>
      <w:r>
        <w:t xml:space="preserve">Australia’s care system is fragmented. Due in part to our federal system of government, multiple organisations work under different levels of government to provide services across different types of care. The siloed structure of care services – characterised by complex governance and fragmented funding arrangements – leads to inefficiencies and cost </w:t>
      </w:r>
      <w:proofErr w:type="gramStart"/>
      <w:r>
        <w:t>shifting, and</w:t>
      </w:r>
      <w:proofErr w:type="gramEnd"/>
      <w:r>
        <w:t xml:space="preserve"> makes it difficult for people to access comprehensive and coordinated support </w:t>
      </w:r>
      <w:r w:rsidRPr="061C6266">
        <w:rPr>
          <w:rFonts w:ascii="Arial" w:hAnsi="Arial" w:cs="Arial"/>
        </w:rPr>
        <w:t>(Peiris et al. 2024)</w:t>
      </w:r>
      <w:r>
        <w:t xml:space="preserve">. The National Rural Health Alliance submitted: </w:t>
      </w:r>
    </w:p>
    <w:p w14:paraId="46C3A0EE" w14:textId="77777777" w:rsidR="00A0602C" w:rsidRPr="00EF6A83" w:rsidRDefault="00A0602C">
      <w:pPr>
        <w:pStyle w:val="Quote"/>
        <w:rPr>
          <w:spacing w:val="-2"/>
        </w:rPr>
      </w:pPr>
      <w:r w:rsidRPr="00EF6A83">
        <w:rPr>
          <w:spacing w:val="-2"/>
        </w:rPr>
        <w:t>The split funding model, where the Commonwealth subsidises Medicare services while states and territories fund hospitals and community health services, creates gaps, duplication and fragmentation in healthcare. Fragmented health care delivery is a barrier to improving health system performance and fosters silos, with one sector often offloading care and costs to another, rather than collaborating to improve efficiency and outcomes across the continuum of care. (sub. 178, p. 2)</w:t>
      </w:r>
    </w:p>
    <w:p w14:paraId="5A01ACB1" w14:textId="77777777" w:rsidR="00A0602C" w:rsidRPr="00B40479" w:rsidRDefault="00A0602C">
      <w:pPr>
        <w:pStyle w:val="BodyText"/>
      </w:pPr>
      <w:r w:rsidRPr="00B40479">
        <w:t xml:space="preserve">Gaps in care </w:t>
      </w:r>
      <w:r>
        <w:t>often emerge</w:t>
      </w:r>
      <w:r w:rsidRPr="00B40479">
        <w:t xml:space="preserve"> at the interfaces between different parts of the </w:t>
      </w:r>
      <w:r>
        <w:t>system</w:t>
      </w:r>
      <w:r w:rsidRPr="00B40479">
        <w:t xml:space="preserve">, such as acute, primary, disability and aged care. While fragmentation </w:t>
      </w:r>
      <w:r>
        <w:t>occurs</w:t>
      </w:r>
      <w:r w:rsidRPr="00B40479">
        <w:t xml:space="preserve"> across the care economy, </w:t>
      </w:r>
      <w:r>
        <w:t>it</w:t>
      </w:r>
      <w:r w:rsidRPr="00B40479">
        <w:t xml:space="preserve"> is especially </w:t>
      </w:r>
      <w:r>
        <w:t>prevalent</w:t>
      </w:r>
      <w:r w:rsidRPr="00B40479">
        <w:t xml:space="preserve"> </w:t>
      </w:r>
      <w:r>
        <w:t>within</w:t>
      </w:r>
      <w:r w:rsidRPr="00B40479">
        <w:t xml:space="preserve"> the health sector and </w:t>
      </w:r>
      <w:r>
        <w:t xml:space="preserve">at </w:t>
      </w:r>
      <w:r w:rsidRPr="00B40479">
        <w:t>the interface between primary and acute care</w:t>
      </w:r>
      <w:r w:rsidRPr="00B40479" w:rsidDel="009F2506">
        <w:t>. This reflects</w:t>
      </w:r>
      <w:r w:rsidRPr="00B40479">
        <w:t xml:space="preserve"> several system design characteristics, including:</w:t>
      </w:r>
    </w:p>
    <w:p w14:paraId="0D4AE12A" w14:textId="77777777" w:rsidR="00A0602C" w:rsidRPr="00B40479" w:rsidRDefault="00A0602C" w:rsidP="00A0602C">
      <w:pPr>
        <w:pStyle w:val="ListBullet"/>
      </w:pPr>
      <w:r>
        <w:t xml:space="preserve">the </w:t>
      </w:r>
      <w:r w:rsidRPr="00B40479">
        <w:t>strong interdependency</w:t>
      </w:r>
      <w:r>
        <w:t xml:space="preserve"> of the health sector</w:t>
      </w:r>
      <w:r w:rsidRPr="00B40479">
        <w:t>, with</w:t>
      </w:r>
      <w:r w:rsidRPr="00B40479" w:rsidDel="00E81E66">
        <w:t xml:space="preserve"> activities in one part </w:t>
      </w:r>
      <w:r>
        <w:t>often</w:t>
      </w:r>
      <w:r w:rsidRPr="00B40479">
        <w:t xml:space="preserve"> having</w:t>
      </w:r>
      <w:r w:rsidRPr="00B40479" w:rsidDel="00E81E66">
        <w:t xml:space="preserve"> substantial </w:t>
      </w:r>
      <w:r w:rsidRPr="00B40479">
        <w:t xml:space="preserve">effects on </w:t>
      </w:r>
      <w:r w:rsidRPr="00B40479" w:rsidDel="00E81E66">
        <w:t>demands on other parts</w:t>
      </w:r>
      <w:r w:rsidRPr="00B40479" w:rsidDel="00000463">
        <w:t xml:space="preserve"> </w:t>
      </w:r>
    </w:p>
    <w:p w14:paraId="0CACBA17" w14:textId="77777777" w:rsidR="00A0602C" w:rsidRPr="00B40479" w:rsidRDefault="00A0602C" w:rsidP="00A0602C">
      <w:pPr>
        <w:pStyle w:val="ListBullet"/>
      </w:pPr>
      <w:r w:rsidRPr="00B40479">
        <w:t>blurred</w:t>
      </w:r>
      <w:r w:rsidRPr="00B40479" w:rsidDel="00E81E66">
        <w:t xml:space="preserve"> responsibilities</w:t>
      </w:r>
      <w:r>
        <w:t>,</w:t>
      </w:r>
      <w:r w:rsidRPr="00B40479" w:rsidDel="00E81E66">
        <w:t xml:space="preserve"> </w:t>
      </w:r>
      <w:r w:rsidRPr="00B40479">
        <w:t xml:space="preserve">overlap and substitution between the services provided by different parts of the sector – such as </w:t>
      </w:r>
      <w:r w:rsidRPr="00B40479" w:rsidDel="00E81E66">
        <w:t>hospital emergency departments substitut</w:t>
      </w:r>
      <w:r>
        <w:t>ing</w:t>
      </w:r>
      <w:r w:rsidRPr="00B40479" w:rsidDel="00E81E66">
        <w:t xml:space="preserve"> for services provided by GPs</w:t>
      </w:r>
      <w:r w:rsidRPr="00B40479">
        <w:t xml:space="preserve"> </w:t>
      </w:r>
    </w:p>
    <w:p w14:paraId="596BAFD0" w14:textId="77777777" w:rsidR="00A0602C" w:rsidRPr="00B40479" w:rsidRDefault="00A0602C" w:rsidP="00A0602C">
      <w:pPr>
        <w:pStyle w:val="ListBullet"/>
      </w:pPr>
      <w:r w:rsidRPr="00B40479">
        <w:t xml:space="preserve">split funding arrangements </w:t>
      </w:r>
      <w:r w:rsidRPr="00B40479" w:rsidDel="00E81E66">
        <w:t xml:space="preserve">between the Australian and state and territory governments, which misaligns incentives and </w:t>
      </w:r>
      <w:r w:rsidRPr="00B40479">
        <w:t>discourages</w:t>
      </w:r>
      <w:r w:rsidRPr="00B40479" w:rsidDel="00E81E66">
        <w:t xml:space="preserve"> collaborat</w:t>
      </w:r>
      <w:r w:rsidRPr="00B40479">
        <w:t>ion.</w:t>
      </w:r>
    </w:p>
    <w:p w14:paraId="1344A5E4" w14:textId="572E9116" w:rsidR="00A0602C" w:rsidRDefault="00A0602C">
      <w:pPr>
        <w:pStyle w:val="BodyText"/>
      </w:pPr>
      <w:r w:rsidRPr="00CB7901">
        <w:t xml:space="preserve">These systemic issues are </w:t>
      </w:r>
      <w:r>
        <w:t>hard</w:t>
      </w:r>
      <w:r w:rsidRPr="00CB7901">
        <w:t xml:space="preserve"> to shift</w:t>
      </w:r>
      <w:r>
        <w:t>, but maintaining the status quo has serious consequences. T</w:t>
      </w:r>
      <w:r w:rsidRPr="00CB7901">
        <w:t xml:space="preserve">he burden of chronic disease in Australia is </w:t>
      </w:r>
      <w:r>
        <w:t>substantial</w:t>
      </w:r>
      <w:r w:rsidRPr="00CB7901">
        <w:t xml:space="preserve"> and growing – </w:t>
      </w:r>
      <w:r>
        <w:t xml:space="preserve">one in five </w:t>
      </w:r>
      <w:r w:rsidRPr="00CB7901">
        <w:t xml:space="preserve">Australians live with </w:t>
      </w:r>
      <w:r>
        <w:t>two or more</w:t>
      </w:r>
      <w:r w:rsidRPr="00CB7901">
        <w:t xml:space="preserve"> chronic condition</w:t>
      </w:r>
      <w:r>
        <w:t>s</w:t>
      </w:r>
      <w:r w:rsidRPr="00CB7901">
        <w:t xml:space="preserve">; and </w:t>
      </w:r>
      <w:r>
        <w:t xml:space="preserve">this proportion has increased (even after adjusting for population age structure changes over time) </w:t>
      </w:r>
      <w:r w:rsidR="00CD75B1" w:rsidRPr="00CD75B1">
        <w:rPr>
          <w:rFonts w:ascii="Arial" w:hAnsi="Arial" w:cs="Arial"/>
        </w:rPr>
        <w:t>(AIHW 2024)</w:t>
      </w:r>
      <w:r>
        <w:t>. F</w:t>
      </w:r>
      <w:r w:rsidRPr="00595912">
        <w:t xml:space="preserve">ragmented care </w:t>
      </w:r>
      <w:r>
        <w:t>poses</w:t>
      </w:r>
      <w:r w:rsidRPr="00595912">
        <w:t xml:space="preserve"> </w:t>
      </w:r>
      <w:r>
        <w:t xml:space="preserve">significant risks </w:t>
      </w:r>
      <w:r w:rsidRPr="00595912">
        <w:t xml:space="preserve">for people with complex health needs </w:t>
      </w:r>
      <w:r>
        <w:t>who must navigate</w:t>
      </w:r>
      <w:r w:rsidRPr="00595912">
        <w:t xml:space="preserve"> multiple </w:t>
      </w:r>
      <w:r>
        <w:t xml:space="preserve">healthcare </w:t>
      </w:r>
      <w:r w:rsidRPr="00595912">
        <w:t>setting</w:t>
      </w:r>
      <w:r>
        <w:t>s. It also reduces efficiency and drives up costs for governments due to duplication and reduced ability to direct care users to more cost</w:t>
      </w:r>
      <w:r>
        <w:noBreakHyphen/>
        <w:t>effective pathways</w:t>
      </w:r>
      <w:r w:rsidRPr="00CB7901">
        <w:t>.</w:t>
      </w:r>
    </w:p>
    <w:p w14:paraId="4B9CE1D0" w14:textId="77777777" w:rsidR="00A0602C" w:rsidRPr="00B40479" w:rsidRDefault="00A0602C">
      <w:pPr>
        <w:pStyle w:val="BodyText"/>
      </w:pPr>
      <w:r>
        <w:t>The Australian, state and territory governments have a long</w:t>
      </w:r>
      <w:r>
        <w:noBreakHyphen/>
        <w:t>standing ambition to improve integration within the health care system. The National Health Reform Agreement (NHRA), Primary Health Network (PHN) strategy and the National Mental Health and Suicide Prevention Agreement (which the Productivity Commission recently reviewed) all set out this objective.</w:t>
      </w:r>
    </w:p>
    <w:p w14:paraId="5C8FB510" w14:textId="2DB98021" w:rsidR="00A0602C" w:rsidRDefault="00A0602C">
      <w:pPr>
        <w:pStyle w:val="BodyText"/>
      </w:pPr>
      <w:r>
        <w:t>In the absence of wholesale funding reform and realigned responsibilities within the federation, embedding collaborative commissioning is a practical reform to reduce fragmentation and bring the primary and acute parts of the health care system together. The reform builds on p</w:t>
      </w:r>
      <w:r w:rsidDel="00E81E66">
        <w:t>revious</w:t>
      </w:r>
      <w:r w:rsidRPr="00B40479" w:rsidDel="00E81E66">
        <w:t xml:space="preserve"> reviews</w:t>
      </w:r>
      <w:r>
        <w:t xml:space="preserve"> which have stressed the need for governments to do more. T</w:t>
      </w:r>
      <w:r w:rsidRPr="00B40479" w:rsidDel="00E81E66">
        <w:t>he</w:t>
      </w:r>
      <w:r>
        <w:t xml:space="preserve"> 2022</w:t>
      </w:r>
      <w:r w:rsidRPr="00B40479" w:rsidDel="00E81E66">
        <w:t xml:space="preserve"> </w:t>
      </w:r>
      <w:r w:rsidRPr="17D2F2EA" w:rsidDel="00E81E66">
        <w:rPr>
          <w:i/>
          <w:iCs/>
        </w:rPr>
        <w:t>Strengthening Medicare Taskforce Report</w:t>
      </w:r>
      <w:r w:rsidRPr="00B40479" w:rsidDel="00E81E66">
        <w:t xml:space="preserve"> and the </w:t>
      </w:r>
      <w:r w:rsidRPr="17D2F2EA" w:rsidDel="00E81E66">
        <w:rPr>
          <w:i/>
          <w:iCs/>
        </w:rPr>
        <w:t>Mid</w:t>
      </w:r>
      <w:r>
        <w:rPr>
          <w:i/>
          <w:iCs/>
        </w:rPr>
        <w:noBreakHyphen/>
      </w:r>
      <w:r w:rsidRPr="17D2F2EA" w:rsidDel="00E81E66">
        <w:rPr>
          <w:i/>
          <w:iCs/>
        </w:rPr>
        <w:t xml:space="preserve">Term Review of the National Health Reform Agreement Addendum 2020–2025 </w:t>
      </w:r>
      <w:r>
        <w:t>both</w:t>
      </w:r>
      <w:r w:rsidRPr="00B40479" w:rsidDel="00E81E66">
        <w:t xml:space="preserve"> recommended that PHNs work with </w:t>
      </w:r>
      <w:r>
        <w:t>Local Hospital Networks (</w:t>
      </w:r>
      <w:r w:rsidRPr="00B40479" w:rsidDel="00E81E66">
        <w:t>LHNs</w:t>
      </w:r>
      <w:r>
        <w:t>)</w:t>
      </w:r>
      <w:r w:rsidRPr="002B0A03">
        <w:rPr>
          <w:rStyle w:val="FootnoteReference"/>
        </w:rPr>
        <w:footnoteReference w:id="14"/>
      </w:r>
      <w:r w:rsidRPr="00B40479" w:rsidDel="00E81E66">
        <w:t xml:space="preserve"> and </w:t>
      </w:r>
      <w:r>
        <w:t>Aboriginal Community Controlled Health Organisations (</w:t>
      </w:r>
      <w:r w:rsidRPr="00B40479" w:rsidDel="00E81E66">
        <w:t>ACCHOs</w:t>
      </w:r>
      <w:r>
        <w:t>)</w:t>
      </w:r>
      <w:r w:rsidRPr="00B40479" w:rsidDel="00E81E66">
        <w:t xml:space="preserve">, among others, to strengthen collaboration and integration </w:t>
      </w:r>
      <w:r w:rsidRPr="00B40479" w:rsidDel="00E81E66">
        <w:rPr>
          <w:rFonts w:ascii="Arial" w:hAnsi="Arial" w:cs="Arial"/>
        </w:rPr>
        <w:t xml:space="preserve">(Australian Government 2023, p. 7; </w:t>
      </w:r>
      <w:r w:rsidRPr="00B40479" w:rsidDel="00E81E66">
        <w:rPr>
          <w:rFonts w:ascii="Arial" w:hAnsi="Arial" w:cs="Arial"/>
        </w:rPr>
        <w:lastRenderedPageBreak/>
        <w:t>Huxtable 2023, p. 69)</w:t>
      </w:r>
      <w:r w:rsidRPr="00B40479" w:rsidDel="00E81E66">
        <w:t>. The PC has previously reached similar conclusions</w:t>
      </w:r>
      <w:r>
        <w:t xml:space="preserve"> about the need for LHNs and PHNs to collaborate more</w:t>
      </w:r>
      <w:r w:rsidRPr="00B40479" w:rsidDel="00E81E66">
        <w:t xml:space="preserve"> </w:t>
      </w:r>
      <w:r>
        <w:t>closely</w:t>
      </w:r>
      <w:r w:rsidRPr="00B40479" w:rsidDel="00E81E66">
        <w:t xml:space="preserve"> </w:t>
      </w:r>
      <w:r w:rsidR="00CD75B1" w:rsidRPr="00CD75B1">
        <w:rPr>
          <w:rFonts w:ascii="Arial" w:hAnsi="Arial" w:cs="Arial"/>
        </w:rPr>
        <w:t>(2017b, p. 9, 2020a, p. 1134, 2025e, pp. 191–211)</w:t>
      </w:r>
      <w:r w:rsidRPr="00B40479" w:rsidDel="00E81E66">
        <w:t xml:space="preserve">. </w:t>
      </w:r>
    </w:p>
    <w:p w14:paraId="1022121D" w14:textId="77777777" w:rsidR="00A0602C" w:rsidRPr="00B40479" w:rsidRDefault="00A0602C">
      <w:pPr>
        <w:pStyle w:val="BodyText"/>
      </w:pPr>
      <w:r>
        <w:t>This chapter outlines tangible steps governments can take to remove system</w:t>
      </w:r>
      <w:r>
        <w:noBreakHyphen/>
        <w:t xml:space="preserve">wide barriers and increase collaboration between LHNs and PHNs in partnership with ACCHOs and other organisations. </w:t>
      </w:r>
    </w:p>
    <w:p w14:paraId="061D9A36" w14:textId="0B4064B6" w:rsidR="00A0602C" w:rsidRPr="00B40479" w:rsidRDefault="00A0602C">
      <w:pPr>
        <w:pStyle w:val="Heading3"/>
      </w:pPr>
      <w:r w:rsidRPr="00B40479">
        <w:t>Place</w:t>
      </w:r>
      <w:r w:rsidR="00F66068">
        <w:t>-</w:t>
      </w:r>
      <w:r w:rsidRPr="00B40479">
        <w:t>based collaborative commissioning can improve outcomes and save money</w:t>
      </w:r>
    </w:p>
    <w:p w14:paraId="38B1BB85" w14:textId="77777777" w:rsidR="00A0602C" w:rsidRPr="00B40479" w:rsidRDefault="00A0602C">
      <w:pPr>
        <w:pStyle w:val="BodyText"/>
      </w:pPr>
      <w:r w:rsidDel="00A3505E">
        <w:t>C</w:t>
      </w:r>
      <w:r>
        <w:t xml:space="preserve">ollaborative commissioning describes organisations working in partnership to identify needs, design solutions, procure services and evaluate outcomes (figure 2.1). Collaborative commissioning is a more holistic approach than simply procurement: it is a continuous cycle that involves planning, design and evaluation of outcomes to inform future planning and refinement of service design. </w:t>
      </w:r>
    </w:p>
    <w:p w14:paraId="1573B61C" w14:textId="77777777" w:rsidR="00A0602C" w:rsidRPr="00B40479" w:rsidRDefault="00A0602C">
      <w:pPr>
        <w:pStyle w:val="BodyText"/>
      </w:pPr>
      <w:r w:rsidRPr="00B40479">
        <w:t xml:space="preserve">Embedding collaborative commissioning </w:t>
      </w:r>
      <w:r>
        <w:t xml:space="preserve">in </w:t>
      </w:r>
      <w:r w:rsidRPr="00B40479">
        <w:t xml:space="preserve">health care </w:t>
      </w:r>
      <w:r>
        <w:t>would</w:t>
      </w:r>
      <w:r w:rsidRPr="00B40479">
        <w:t xml:space="preserve"> support value</w:t>
      </w:r>
      <w:r>
        <w:noBreakHyphen/>
      </w:r>
      <w:r w:rsidRPr="00B40479">
        <w:t>based care, generat</w:t>
      </w:r>
      <w:r>
        <w:t>e</w:t>
      </w:r>
      <w:r w:rsidRPr="00B40479">
        <w:t xml:space="preserve"> savings</w:t>
      </w:r>
      <w:r>
        <w:t>,</w:t>
      </w:r>
      <w:r w:rsidRPr="00B40479" w:rsidDel="00EC7BDC">
        <w:t xml:space="preserve"> </w:t>
      </w:r>
      <w:r w:rsidRPr="00B40479">
        <w:t>foster innovation</w:t>
      </w:r>
      <w:r>
        <w:t xml:space="preserve"> and improve health outcomes</w:t>
      </w:r>
      <w:r w:rsidRPr="00B40479">
        <w:t>.</w:t>
      </w:r>
      <w:r w:rsidRPr="00B40479" w:rsidDel="00EC7BDC">
        <w:t xml:space="preserve"> </w:t>
      </w:r>
    </w:p>
    <w:p w14:paraId="131E0D04" w14:textId="22BDAB88" w:rsidR="00A0602C" w:rsidRDefault="00A0602C">
      <w:pPr>
        <w:pStyle w:val="FigureTableHeading"/>
      </w:pPr>
      <w:r>
        <w:t xml:space="preserve">Figure </w:t>
      </w:r>
      <w:r w:rsidRPr="53201024">
        <w:fldChar w:fldCharType="begin"/>
      </w:r>
      <w:r>
        <w:instrText xml:space="preserve"> STYLEREF 1 \s </w:instrText>
      </w:r>
      <w:r w:rsidRPr="53201024">
        <w:fldChar w:fldCharType="separate"/>
      </w:r>
      <w:r w:rsidR="00FB1849">
        <w:rPr>
          <w:noProof/>
        </w:rPr>
        <w:t>2</w:t>
      </w:r>
      <w:r w:rsidRPr="53201024">
        <w:rPr>
          <w:noProof/>
        </w:rPr>
        <w:fldChar w:fldCharType="end"/>
      </w:r>
      <w:r>
        <w:t>.</w:t>
      </w:r>
      <w:r w:rsidRPr="53201024">
        <w:fldChar w:fldCharType="begin"/>
      </w:r>
      <w:r>
        <w:instrText xml:space="preserve"> SEQ Figure \* ARABIC \s 1 </w:instrText>
      </w:r>
      <w:r w:rsidRPr="53201024">
        <w:fldChar w:fldCharType="separate"/>
      </w:r>
      <w:r w:rsidR="00FB1849">
        <w:rPr>
          <w:noProof/>
        </w:rPr>
        <w:t>1</w:t>
      </w:r>
      <w:r w:rsidRPr="53201024">
        <w:rPr>
          <w:noProof/>
        </w:rPr>
        <w:fldChar w:fldCharType="end"/>
      </w:r>
      <w:r w:rsidRPr="53201024">
        <w:rPr>
          <w:noProof/>
        </w:rPr>
        <w:t xml:space="preserve"> </w:t>
      </w:r>
      <w:r>
        <w:t xml:space="preserve">– Collaborative commissioning involves organisations working together in a continuous cycle </w:t>
      </w:r>
    </w:p>
    <w:p w14:paraId="02E618D1" w14:textId="2B377B04" w:rsidR="00A0602C" w:rsidRPr="0097035D" w:rsidRDefault="00980FE8" w:rsidP="004D5B99">
      <w:pPr>
        <w:pStyle w:val="BodyText"/>
        <w:spacing w:after="240"/>
      </w:pPr>
      <w:r w:rsidRPr="0097035D">
        <w:rPr>
          <w:noProof/>
        </w:rPr>
        <w:drawing>
          <wp:inline distT="0" distB="0" distL="0" distR="0" wp14:anchorId="21421DC3" wp14:editId="0FDB1D50">
            <wp:extent cx="6120130" cy="2729230"/>
            <wp:effectExtent l="0" t="0" r="0" b="0"/>
            <wp:docPr id="18600343" name="Picture 1" descr="This figure shows a circular flowchart with five steps surrounding a central circle. &#10;Above the circle and steps is an overarching box with the statement: ‘Increased autonomy for local place-based decision making to increase the efficiency and effectiveness of allocated resourcing. &#10;The central circle reads ’Working in partnership to support local care needs.’ The five steps are:&#10;1. Joint needs assessment to identify priority needs&#10;2. Joint planning to coordinate how needs are addressed&#10;3. Procuring and delivering services, informed by co-design&#10;4. Joint monitoring and reporting of outcomes with a clear and robust outcomes framework&#10;5. Evaluation to support accountability and inform changes&#10;At the bottom of the figure is a final box on outcomes, which states: ‘Improved outcomes for care users and local communi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343" name="Picture 1" descr="This figure shows a circular flowchart with five steps surrounding a central circle. &#10;Above the circle and steps is an overarching box with the statement: ‘Increased autonomy for local place-based decision making to increase the efficiency and effectiveness of allocated resourcing. &#10;The central circle reads ’Working in partnership to support local care needs.’ The five steps are:&#10;1. Joint needs assessment to identify priority needs&#10;2. Joint planning to coordinate how needs are addressed&#10;3. Procuring and delivering services, informed by co-design&#10;4. Joint monitoring and reporting of outcomes with a clear and robust outcomes framework&#10;5. Evaluation to support accountability and inform changes&#10;At the bottom of the figure is a final box on outcomes, which states: ‘Improved outcomes for care users and local communities’.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130" cy="2729230"/>
                    </a:xfrm>
                    <a:prstGeom prst="rect">
                      <a:avLst/>
                    </a:prstGeom>
                    <a:noFill/>
                    <a:ln>
                      <a:noFill/>
                    </a:ln>
                  </pic:spPr>
                </pic:pic>
              </a:graphicData>
            </a:graphic>
          </wp:inline>
        </w:drawing>
      </w:r>
    </w:p>
    <w:p w14:paraId="5052AC8B" w14:textId="77777777" w:rsidR="00A0602C" w:rsidRPr="00B40479" w:rsidRDefault="00A0602C">
      <w:pPr>
        <w:pStyle w:val="Heading4"/>
      </w:pPr>
      <w:r>
        <w:t>Place</w:t>
      </w:r>
      <w:r>
        <w:noBreakHyphen/>
        <w:t>based collaborative commissioning can improve outcomes for care users</w:t>
      </w:r>
    </w:p>
    <w:p w14:paraId="0EB22732" w14:textId="172BE023" w:rsidR="00A0602C" w:rsidRPr="00B40479" w:rsidRDefault="00A0602C">
      <w:pPr>
        <w:pStyle w:val="BodyText"/>
        <w:keepNext/>
      </w:pPr>
      <w:r w:rsidRPr="00B40479">
        <w:t xml:space="preserve">Collaborative commissioning can support better health outcomes through </w:t>
      </w:r>
      <w:r>
        <w:t xml:space="preserve">enabling </w:t>
      </w:r>
      <w:r w:rsidRPr="00B40479">
        <w:t>more integrated care</w:t>
      </w:r>
      <w:r w:rsidRPr="00273111">
        <w:t>, address</w:t>
      </w:r>
      <w:r>
        <w:t>ing</w:t>
      </w:r>
      <w:r w:rsidRPr="00273111">
        <w:t xml:space="preserve"> service gaps and tailor</w:t>
      </w:r>
      <w:r>
        <w:t>ing</w:t>
      </w:r>
      <w:r w:rsidRPr="00273111">
        <w:t xml:space="preserve"> care services to local needs</w:t>
      </w:r>
      <w:r>
        <w:t xml:space="preserve">. By bringing care systems together, it can </w:t>
      </w:r>
      <w:r w:rsidRPr="00B40479">
        <w:t xml:space="preserve">break down silos between organisations and types of </w:t>
      </w:r>
      <w:proofErr w:type="gramStart"/>
      <w:r w:rsidRPr="00B40479">
        <w:t>care</w:t>
      </w:r>
      <w:r>
        <w:t>, and</w:t>
      </w:r>
      <w:proofErr w:type="gramEnd"/>
      <w:r>
        <w:t xml:space="preserve"> contribute</w:t>
      </w:r>
      <w:r w:rsidRPr="00B40479">
        <w:t xml:space="preserve"> to a more seamless experience for care users, particularly people with chronic or complex conditions. </w:t>
      </w:r>
      <w:r>
        <w:t>Participants in the inquiry</w:t>
      </w:r>
      <w:r w:rsidRPr="00B40479">
        <w:t xml:space="preserve"> highlighted </w:t>
      </w:r>
      <w:r>
        <w:t xml:space="preserve">these benefits </w:t>
      </w:r>
      <w:r w:rsidR="00CD75B1" w:rsidRPr="00CD75B1">
        <w:rPr>
          <w:rFonts w:ascii="Arial" w:hAnsi="Arial" w:cs="Arial"/>
        </w:rPr>
        <w:t>(PC 2025c, pp. 14–15)</w:t>
      </w:r>
      <w:r w:rsidRPr="00B40479">
        <w:t>.</w:t>
      </w:r>
      <w:r w:rsidRPr="002B0A03">
        <w:rPr>
          <w:rStyle w:val="FootnoteReference"/>
        </w:rPr>
        <w:footnoteReference w:id="15"/>
      </w:r>
      <w:r w:rsidRPr="00B40479">
        <w:t xml:space="preserve"> </w:t>
      </w:r>
      <w:r>
        <w:t>The Grattan Institute said</w:t>
      </w:r>
      <w:r w:rsidRPr="00B40479">
        <w:t>:</w:t>
      </w:r>
    </w:p>
    <w:p w14:paraId="63965359" w14:textId="77777777" w:rsidR="00A0602C" w:rsidRPr="00B40479" w:rsidRDefault="00A0602C">
      <w:pPr>
        <w:pStyle w:val="Quote"/>
      </w:pPr>
      <w:proofErr w:type="gramStart"/>
      <w:r w:rsidRPr="00B40479">
        <w:t>Well</w:t>
      </w:r>
      <w:proofErr w:type="gramEnd"/>
      <w:r w:rsidRPr="00B40479">
        <w:noBreakHyphen/>
        <w:t>executed collaborative commissioning could help solve some of Australia’s toughest health</w:t>
      </w:r>
      <w:r w:rsidRPr="00B40479">
        <w:noBreakHyphen/>
        <w:t>system problems, including fragmentation, inequity, a focus on volume instead of value, and weak consumer voice in service planning and design. (qr. 56, pp. 1–2)</w:t>
      </w:r>
    </w:p>
    <w:p w14:paraId="1908614A" w14:textId="3DCF1B7A" w:rsidR="00A0602C" w:rsidRDefault="00A0602C">
      <w:pPr>
        <w:pStyle w:val="BodyText"/>
      </w:pPr>
      <w:r w:rsidRPr="00B40479">
        <w:lastRenderedPageBreak/>
        <w:t>A key feature of collaborative commissioning is that it can take a place</w:t>
      </w:r>
      <w:r w:rsidRPr="00B40479">
        <w:noBreakHyphen/>
        <w:t>based approach to care services</w:t>
      </w:r>
      <w:r>
        <w:t>. Place</w:t>
      </w:r>
      <w:r>
        <w:noBreakHyphen/>
        <w:t>based approaches</w:t>
      </w:r>
      <w:r w:rsidRPr="00B40479">
        <w:t xml:space="preserve">, </w:t>
      </w:r>
      <w:r>
        <w:t>which are</w:t>
      </w:r>
      <w:r w:rsidDel="00D7065A">
        <w:t xml:space="preserve"> </w:t>
      </w:r>
      <w:r w:rsidRPr="00B40479">
        <w:t>increasingly adopted around the globe</w:t>
      </w:r>
      <w:r>
        <w:t>,</w:t>
      </w:r>
      <w:r w:rsidRPr="002B0A03">
        <w:rPr>
          <w:rStyle w:val="FootnoteReference"/>
        </w:rPr>
        <w:footnoteReference w:id="16"/>
      </w:r>
      <w:r w:rsidRPr="00B40479">
        <w:t xml:space="preserve"> </w:t>
      </w:r>
      <w:r>
        <w:t>enable services to be coordinated</w:t>
      </w:r>
      <w:r w:rsidRPr="00B40479">
        <w:t xml:space="preserve"> and </w:t>
      </w:r>
      <w:r>
        <w:t>tailored</w:t>
      </w:r>
      <w:r w:rsidRPr="00B40479">
        <w:t xml:space="preserve"> to local needs, reducing the gaps in available services and making it easier for people to access them. </w:t>
      </w:r>
      <w:r>
        <w:t>A</w:t>
      </w:r>
      <w:r w:rsidDel="00167EDC">
        <w:t xml:space="preserve"> place</w:t>
      </w:r>
      <w:r>
        <w:noBreakHyphen/>
      </w:r>
      <w:r w:rsidDel="00167EDC">
        <w:t>based approach</w:t>
      </w:r>
      <w:r>
        <w:t xml:space="preserve"> can also</w:t>
      </w:r>
      <w:r w:rsidRPr="00B40479">
        <w:t xml:space="preserve"> empower local communities through reallocating decision</w:t>
      </w:r>
      <w:r>
        <w:noBreakHyphen/>
      </w:r>
      <w:r w:rsidRPr="00B40479">
        <w:t xml:space="preserve">making and accountability for achieving outcomes. </w:t>
      </w:r>
    </w:p>
    <w:p w14:paraId="71891332" w14:textId="5F8E10C2" w:rsidR="00A0602C" w:rsidRPr="00B40479" w:rsidRDefault="00A0602C">
      <w:pPr>
        <w:pStyle w:val="BodyText"/>
      </w:pPr>
      <w:r w:rsidRPr="00B40479">
        <w:t>ACCHOs embody a</w:t>
      </w:r>
      <w:r>
        <w:t>n</w:t>
      </w:r>
      <w:r w:rsidRPr="00B40479">
        <w:t xml:space="preserve"> integrated place</w:t>
      </w:r>
      <w:r w:rsidRPr="00B40479">
        <w:noBreakHyphen/>
        <w:t>based approach that embeds a flexible and responsive approach to care, and seeks to influence the social determinants of health:</w:t>
      </w:r>
    </w:p>
    <w:p w14:paraId="32B251A9" w14:textId="77777777" w:rsidR="00A0602C" w:rsidRPr="00B40479" w:rsidRDefault="00A0602C">
      <w:pPr>
        <w:pStyle w:val="Quote"/>
      </w:pPr>
      <w:r w:rsidRPr="00B40479">
        <w:t xml:space="preserve">ACCHOs are an excellent and longstanding example of ‘integrated commissioning’. They deliver primary health care services to communities as well as preventive and population health activities, justice health initiatives, aged care and disability services, mental health, allied health, childcare and many other services. … programs commissioned by </w:t>
      </w:r>
      <w:proofErr w:type="gramStart"/>
      <w:r w:rsidRPr="00B40479">
        <w:t>community controlled</w:t>
      </w:r>
      <w:proofErr w:type="gramEnd"/>
      <w:r w:rsidRPr="00B40479">
        <w:t xml:space="preserve"> peak bodies such as NACCHO understand the needs and challenges of the </w:t>
      </w:r>
      <w:proofErr w:type="gramStart"/>
      <w:r w:rsidRPr="00B40479">
        <w:t>sector, and</w:t>
      </w:r>
      <w:proofErr w:type="gramEnd"/>
      <w:r w:rsidRPr="00B40479">
        <w:t xml:space="preserve"> support flexible local level decision making to optimise service delivery and outcomes for Aboriginal and Torres Strait Islander people and communities. (NACCHO, sub. 32, p. 10)</w:t>
      </w:r>
    </w:p>
    <w:p w14:paraId="7DF39AD4" w14:textId="77777777" w:rsidR="00A0602C" w:rsidRDefault="00A0602C">
      <w:pPr>
        <w:pStyle w:val="BodyText"/>
        <w:keepNext/>
      </w:pPr>
      <w:r w:rsidRPr="00B40479">
        <w:t xml:space="preserve">Case studies of collaborative commissioning initiatives </w:t>
      </w:r>
      <w:r>
        <w:t>show that</w:t>
      </w:r>
      <w:r w:rsidRPr="00B40479">
        <w:t xml:space="preserve"> better integrated care at the local level</w:t>
      </w:r>
      <w:r>
        <w:t xml:space="preserve"> can produce substantial gains. For example, it can</w:t>
      </w:r>
      <w:r w:rsidRPr="00B40479">
        <w:t xml:space="preserve"> improve patient outcomes </w:t>
      </w:r>
      <w:r>
        <w:t>by</w:t>
      </w:r>
      <w:r w:rsidRPr="00B40479">
        <w:t xml:space="preserve"> reducing hospitalisations</w:t>
      </w:r>
      <w:r>
        <w:t>.</w:t>
      </w:r>
      <w:r w:rsidRPr="00B40479">
        <w:t xml:space="preserve"> </w:t>
      </w:r>
      <w:r>
        <w:t>Programs</w:t>
      </w:r>
      <w:r w:rsidDel="004F168C">
        <w:t xml:space="preserve"> </w:t>
      </w:r>
      <w:r>
        <w:rPr>
          <w:lang w:val="en-US"/>
        </w:rPr>
        <w:t xml:space="preserve">that </w:t>
      </w:r>
      <w:r w:rsidRPr="002776E8">
        <w:rPr>
          <w:lang w:val="en-US"/>
        </w:rPr>
        <w:t>have reduced the need for hospital presentation or admission</w:t>
      </w:r>
      <w:r>
        <w:rPr>
          <w:lang w:val="en-US"/>
        </w:rPr>
        <w:t xml:space="preserve"> </w:t>
      </w:r>
      <w:r w:rsidRPr="002776E8">
        <w:rPr>
          <w:lang w:val="en-US"/>
        </w:rPr>
        <w:t>includ</w:t>
      </w:r>
      <w:r>
        <w:rPr>
          <w:lang w:val="en-US"/>
        </w:rPr>
        <w:t>e</w:t>
      </w:r>
      <w:r w:rsidRPr="002776E8">
        <w:rPr>
          <w:lang w:val="en-US"/>
        </w:rPr>
        <w:t xml:space="preserve"> </w:t>
      </w:r>
      <w:r>
        <w:rPr>
          <w:lang w:val="en-US"/>
        </w:rPr>
        <w:t>a</w:t>
      </w:r>
      <w:r w:rsidRPr="002776E8">
        <w:rPr>
          <w:lang w:val="en-US"/>
        </w:rPr>
        <w:t xml:space="preserve"> </w:t>
      </w:r>
      <w:r w:rsidRPr="00B40479">
        <w:t>program for frail and older people in Northern Sydney (box 2.</w:t>
      </w:r>
      <w:r>
        <w:t>1</w:t>
      </w:r>
      <w:r w:rsidRPr="00B40479">
        <w:t>)</w:t>
      </w:r>
      <w:r>
        <w:t>,</w:t>
      </w:r>
      <w:r w:rsidRPr="00B40479" w:rsidDel="008F42F7">
        <w:t xml:space="preserve"> </w:t>
      </w:r>
      <w:r w:rsidRPr="00B40479">
        <w:t xml:space="preserve">the Care Collective program between Metro North Health and Brisbane North PHN, and </w:t>
      </w:r>
      <w:r>
        <w:t xml:space="preserve">the </w:t>
      </w:r>
      <w:r w:rsidRPr="00B40479">
        <w:t>Aged Care Emergency Service program in the Hunter New England region.</w:t>
      </w:r>
    </w:p>
    <w:p w14:paraId="0587C070" w14:textId="3EB3E69C" w:rsidR="00A0602C" w:rsidRPr="00B40479" w:rsidRDefault="00A0602C">
      <w:pPr>
        <w:pStyle w:val="NoSpacing"/>
      </w:pPr>
    </w:p>
    <w:tbl>
      <w:tblPr>
        <w:tblStyle w:val="Boxtable"/>
        <w:tblW w:w="5000" w:type="pct"/>
        <w:tblLook w:val="04A0" w:firstRow="1" w:lastRow="0" w:firstColumn="1" w:lastColumn="0" w:noHBand="0" w:noVBand="1"/>
      </w:tblPr>
      <w:tblGrid>
        <w:gridCol w:w="9638"/>
      </w:tblGrid>
      <w:tr w:rsidR="00A0602C" w:rsidRPr="00B40479" w14:paraId="264A6023" w14:textId="77777777">
        <w:trPr>
          <w:tblHeader/>
        </w:trPr>
        <w:tc>
          <w:tcPr>
            <w:tcW w:w="9638" w:type="dxa"/>
            <w:shd w:val="clear" w:color="auto" w:fill="EBEBEB"/>
            <w:tcMar>
              <w:top w:w="170" w:type="dxa"/>
              <w:left w:w="170" w:type="dxa"/>
              <w:bottom w:w="113" w:type="dxa"/>
              <w:right w:w="170" w:type="dxa"/>
            </w:tcMar>
            <w:hideMark/>
          </w:tcPr>
          <w:p w14:paraId="43EE4142" w14:textId="5EC55DDD" w:rsidR="00A0602C" w:rsidRPr="00B40479" w:rsidRDefault="00A0602C">
            <w:pPr>
              <w:pStyle w:val="BoxHeading1"/>
            </w:pPr>
            <w:r w:rsidRPr="00B40479">
              <w:t xml:space="preserve">Box </w:t>
            </w:r>
            <w:r w:rsidRPr="00B40479">
              <w:rPr>
                <w:iCs w:val="0"/>
              </w:rPr>
              <w:fldChar w:fldCharType="begin"/>
            </w:r>
            <w:r w:rsidRPr="00B40479">
              <w:instrText>STYLEREF 1 \s</w:instrText>
            </w:r>
            <w:r w:rsidRPr="00B40479">
              <w:rPr>
                <w:iCs w:val="0"/>
              </w:rPr>
              <w:fldChar w:fldCharType="separate"/>
            </w:r>
            <w:r w:rsidR="00FB1849">
              <w:rPr>
                <w:iCs w:val="0"/>
                <w:noProof/>
              </w:rPr>
              <w:t>2</w:t>
            </w:r>
            <w:r w:rsidRPr="00B40479">
              <w:rPr>
                <w:iCs w:val="0"/>
              </w:rPr>
              <w:fldChar w:fldCharType="end"/>
            </w:r>
            <w:r w:rsidRPr="00B40479">
              <w:t>.</w:t>
            </w:r>
            <w:r w:rsidRPr="00B40479">
              <w:rPr>
                <w:iCs w:val="0"/>
              </w:rPr>
              <w:fldChar w:fldCharType="begin"/>
            </w:r>
            <w:r w:rsidRPr="00B40479">
              <w:instrText>SEQ Box \* ARABIC \s 1</w:instrText>
            </w:r>
            <w:r w:rsidRPr="00B40479">
              <w:rPr>
                <w:iCs w:val="0"/>
              </w:rPr>
              <w:fldChar w:fldCharType="separate"/>
            </w:r>
            <w:r w:rsidR="00FB1849">
              <w:rPr>
                <w:iCs w:val="0"/>
                <w:noProof/>
              </w:rPr>
              <w:t>1</w:t>
            </w:r>
            <w:r w:rsidRPr="00B40479">
              <w:rPr>
                <w:iCs w:val="0"/>
              </w:rPr>
              <w:fldChar w:fldCharType="end"/>
            </w:r>
            <w:r w:rsidRPr="00B40479">
              <w:t xml:space="preserve"> – Collaborative commissioning </w:t>
            </w:r>
            <w:r>
              <w:t xml:space="preserve">can target priority populations, improve outcomes and save money: evidence from a program </w:t>
            </w:r>
            <w:r w:rsidRPr="00B40479">
              <w:t xml:space="preserve">for frail and older people in Northern Sydney </w:t>
            </w:r>
          </w:p>
        </w:tc>
      </w:tr>
      <w:tr w:rsidR="00A0602C" w:rsidRPr="00B40479" w14:paraId="0DB91D70" w14:textId="77777777">
        <w:tc>
          <w:tcPr>
            <w:tcW w:w="9638" w:type="dxa"/>
            <w:shd w:val="clear" w:color="auto" w:fill="EBEBEB"/>
            <w:tcMar>
              <w:top w:w="28" w:type="dxa"/>
              <w:left w:w="170" w:type="dxa"/>
              <w:bottom w:w="170" w:type="dxa"/>
              <w:right w:w="170" w:type="dxa"/>
            </w:tcMar>
            <w:hideMark/>
          </w:tcPr>
          <w:p w14:paraId="0E56EC6B" w14:textId="77777777" w:rsidR="00A0602C" w:rsidRPr="00B40479" w:rsidRDefault="00A0602C">
            <w:pPr>
              <w:pStyle w:val="BodyText"/>
            </w:pPr>
            <w:r w:rsidRPr="00B40479">
              <w:t xml:space="preserve">The Northern Sydney </w:t>
            </w:r>
            <w:r>
              <w:t>Local Health District (</w:t>
            </w:r>
            <w:r w:rsidRPr="00B40479">
              <w:t>LHD</w:t>
            </w:r>
            <w:r>
              <w:t>)</w:t>
            </w:r>
            <w:r w:rsidRPr="00B40479">
              <w:t xml:space="preserve"> and PHN co</w:t>
            </w:r>
            <w:r w:rsidRPr="00B40479">
              <w:noBreakHyphen/>
              <w:t>designed a program</w:t>
            </w:r>
            <w:r>
              <w:t xml:space="preserve"> to improve the</w:t>
            </w:r>
            <w:r w:rsidRPr="00B40479">
              <w:t xml:space="preserve"> manag</w:t>
            </w:r>
            <w:r>
              <w:t>ement of</w:t>
            </w:r>
            <w:r w:rsidRPr="00B40479">
              <w:t xml:space="preserve"> frail and elderly people</w:t>
            </w:r>
            <w:r>
              <w:t>, aiming to enhance</w:t>
            </w:r>
            <w:r w:rsidRPr="00B40479">
              <w:t xml:space="preserve"> patient outcomes and reduce </w:t>
            </w:r>
            <w:r>
              <w:t>demand on</w:t>
            </w:r>
            <w:r w:rsidRPr="00B40479">
              <w:t xml:space="preserve"> emergency department</w:t>
            </w:r>
            <w:r>
              <w:t>s</w:t>
            </w:r>
            <w:r w:rsidRPr="00B40479">
              <w:t>.</w:t>
            </w:r>
            <w:r>
              <w:t xml:space="preserve"> Funding came through</w:t>
            </w:r>
            <w:r w:rsidRPr="00B40479">
              <w:t xml:space="preserve"> NSW Health’s Collaborative Commissioning program</w:t>
            </w:r>
            <w:r>
              <w:t>.</w:t>
            </w:r>
          </w:p>
          <w:p w14:paraId="37B88636" w14:textId="77777777" w:rsidR="00A0602C" w:rsidRPr="00B40479" w:rsidRDefault="00A0602C">
            <w:pPr>
              <w:pStyle w:val="BodyText"/>
            </w:pPr>
            <w:r w:rsidRPr="00B40479">
              <w:t xml:space="preserve">The LHD and PHN </w:t>
            </w:r>
            <w:r>
              <w:t>undertook</w:t>
            </w:r>
            <w:r w:rsidRPr="00B40479">
              <w:t xml:space="preserve"> </w:t>
            </w:r>
            <w:r>
              <w:t>a</w:t>
            </w:r>
            <w:r w:rsidRPr="00B40479">
              <w:t xml:space="preserve"> needs assessment</w:t>
            </w:r>
            <w:r>
              <w:t xml:space="preserve"> that</w:t>
            </w:r>
            <w:r w:rsidRPr="00B40479">
              <w:t xml:space="preserve"> identified </w:t>
            </w:r>
            <w:r>
              <w:t>older</w:t>
            </w:r>
            <w:r w:rsidRPr="00B40479">
              <w:t xml:space="preserve"> people as a priority cohort, finding a 12.5% increase in the number of people aged 75 and older using the emergency department between 2014 and 2019, far outpacing the population growth rate of 4.4%. It also found that the priority cohort could be better managed in the community through embedding</w:t>
            </w:r>
            <w:r w:rsidRPr="00B40479" w:rsidDel="006C3F62">
              <w:t xml:space="preserve"> </w:t>
            </w:r>
            <w:r w:rsidRPr="00B40479">
              <w:t xml:space="preserve">existing LHD Hospital in the Home and Rapid Response programs in primary care. </w:t>
            </w:r>
          </w:p>
          <w:p w14:paraId="3D018814" w14:textId="77777777" w:rsidR="00A0602C" w:rsidRDefault="00A0602C">
            <w:pPr>
              <w:pStyle w:val="BoxHeading2"/>
            </w:pPr>
            <w:r>
              <w:t>How collaboration happened and why it worked</w:t>
            </w:r>
          </w:p>
          <w:p w14:paraId="7ECE4586" w14:textId="77777777" w:rsidR="00A0602C" w:rsidRDefault="00A0602C">
            <w:pPr>
              <w:pStyle w:val="BodyText"/>
            </w:pPr>
            <w:r>
              <w:t xml:space="preserve">Collaboration enabled </w:t>
            </w:r>
            <w:r w:rsidRPr="00B40479">
              <w:t xml:space="preserve">primary care </w:t>
            </w:r>
            <w:r>
              <w:t xml:space="preserve">providers </w:t>
            </w:r>
            <w:r w:rsidRPr="00B40479">
              <w:t>and hospitals</w:t>
            </w:r>
            <w:r>
              <w:t xml:space="preserve"> to better align their services. T</w:t>
            </w:r>
            <w:r w:rsidRPr="00B40479">
              <w:t>he PHN effectively engag</w:t>
            </w:r>
            <w:r>
              <w:t>ed</w:t>
            </w:r>
            <w:r w:rsidRPr="00B40479">
              <w:t xml:space="preserve"> GPs to monitor </w:t>
            </w:r>
            <w:r>
              <w:t>high</w:t>
            </w:r>
            <w:r>
              <w:noBreakHyphen/>
              <w:t>risk</w:t>
            </w:r>
            <w:r w:rsidRPr="00B40479">
              <w:t xml:space="preserve"> hospital patients in the community and </w:t>
            </w:r>
            <w:r>
              <w:t xml:space="preserve">to </w:t>
            </w:r>
            <w:r w:rsidRPr="00B40479">
              <w:t>integrat</w:t>
            </w:r>
            <w:r>
              <w:t>e</w:t>
            </w:r>
            <w:r w:rsidRPr="00B40479">
              <w:t xml:space="preserve"> with LHD services. </w:t>
            </w:r>
            <w:r>
              <w:t>Integration</w:t>
            </w:r>
            <w:r w:rsidRPr="00B40479">
              <w:t xml:space="preserve"> was supported by</w:t>
            </w:r>
            <w:r>
              <w:t xml:space="preserve"> </w:t>
            </w:r>
            <w:r w:rsidRPr="00B40479">
              <w:t>financial incentives to GPs</w:t>
            </w:r>
            <w:r>
              <w:t xml:space="preserve">, </w:t>
            </w:r>
            <w:r w:rsidRPr="00B40479">
              <w:t>streamlined communication across services</w:t>
            </w:r>
            <w:r>
              <w:t xml:space="preserve"> and </w:t>
            </w:r>
            <w:r w:rsidRPr="00B40479">
              <w:t xml:space="preserve">the identification of </w:t>
            </w:r>
            <w:r>
              <w:t>high</w:t>
            </w:r>
            <w:r>
              <w:noBreakHyphen/>
              <w:t>risk</w:t>
            </w:r>
            <w:r w:rsidRPr="00B40479">
              <w:t xml:space="preserve"> patients through shared data. </w:t>
            </w:r>
          </w:p>
          <w:p w14:paraId="4A4E12DA" w14:textId="77777777" w:rsidR="00A0602C" w:rsidRDefault="00A0602C" w:rsidP="00515472">
            <w:pPr>
              <w:pStyle w:val="BoxHeading2"/>
            </w:pPr>
            <w:r>
              <w:lastRenderedPageBreak/>
              <w:t xml:space="preserve">Outcomes of </w:t>
            </w:r>
            <w:r w:rsidRPr="00515472">
              <w:t>the</w:t>
            </w:r>
            <w:r>
              <w:t xml:space="preserve"> collaboration </w:t>
            </w:r>
          </w:p>
          <w:p w14:paraId="303601B3" w14:textId="5CBBDDC8" w:rsidR="00A0602C" w:rsidRDefault="00A0602C">
            <w:pPr>
              <w:pStyle w:val="BodyText"/>
            </w:pPr>
            <w:r w:rsidRPr="00B40479">
              <w:t xml:space="preserve">This integrated approach to care </w:t>
            </w:r>
            <w:r>
              <w:t>meant that of</w:t>
            </w:r>
            <w:r w:rsidRPr="00B40479">
              <w:t xml:space="preserve"> 14,619 referrals to the LHD’s Geriatric Rapid Response service between 2022 and 2024, 80% of patients </w:t>
            </w:r>
            <w:r>
              <w:t>were</w:t>
            </w:r>
            <w:r w:rsidRPr="00B40479">
              <w:t xml:space="preserve"> managed in the community without an emergency presentation within the week </w:t>
            </w:r>
            <w:r w:rsidRPr="00B40479">
              <w:rPr>
                <w:rFonts w:ascii="Arial" w:hAnsi="Arial" w:cs="Arial"/>
              </w:rPr>
              <w:t>(Inglis et al. 2025)</w:t>
            </w:r>
            <w:r w:rsidRPr="00B40479">
              <w:t xml:space="preserve">. </w:t>
            </w:r>
          </w:p>
          <w:p w14:paraId="22EBF4F7" w14:textId="1B811EC6" w:rsidR="00A0602C" w:rsidRPr="00681F54" w:rsidRDefault="0047084E" w:rsidP="00681F54">
            <w:pPr>
              <w:pStyle w:val="BodyText"/>
              <w:spacing w:after="0"/>
            </w:pPr>
            <w:r w:rsidRPr="0047084E">
              <w:rPr>
                <w:noProof/>
              </w:rPr>
              <w:drawing>
                <wp:inline distT="0" distB="0" distL="0" distR="0" wp14:anchorId="78497FCC" wp14:editId="1A068F18">
                  <wp:extent cx="5940000" cy="897283"/>
                  <wp:effectExtent l="0" t="0" r="3810" b="0"/>
                  <wp:docPr id="748814423" name="Picture 6" descr="This figure illustrates that in 2023, through the Northern Sydney program there was a:&#10;• 51% reduction in emergency department visits and unplanned hospital admissions&#10;• saving of $10.9 m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14423" name="Picture 6" descr="This figure illustrates that in 2023, through the Northern Sydney program there was a:&#10;• 51% reduction in emergency department visits and unplanned hospital admissions&#10;• saving of $10.9 million&#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000" cy="897283"/>
                          </a:xfrm>
                          <a:prstGeom prst="rect">
                            <a:avLst/>
                          </a:prstGeom>
                          <a:noFill/>
                          <a:ln>
                            <a:noFill/>
                          </a:ln>
                        </pic:spPr>
                      </pic:pic>
                    </a:graphicData>
                  </a:graphic>
                </wp:inline>
              </w:drawing>
            </w:r>
            <w:r w:rsidR="00681F54" w:rsidRPr="00681F54">
              <w:t xml:space="preserve"> </w:t>
            </w:r>
          </w:p>
          <w:p w14:paraId="51215F67" w14:textId="246E0647" w:rsidR="00A0602C" w:rsidRPr="00490138" w:rsidRDefault="00A0602C" w:rsidP="006D02F5">
            <w:pPr>
              <w:pStyle w:val="Source"/>
              <w:spacing w:before="0"/>
            </w:pPr>
            <w:r>
              <w:t xml:space="preserve">Source: AHHA </w:t>
            </w:r>
            <w:r w:rsidRPr="00A5003B">
              <w:rPr>
                <w:rFonts w:ascii="Arial" w:hAnsi="Arial" w:cs="Arial"/>
              </w:rPr>
              <w:t>(2024)</w:t>
            </w:r>
            <w:r w:rsidRPr="00490138">
              <w:t>.</w:t>
            </w:r>
          </w:p>
          <w:p w14:paraId="0855CAB0" w14:textId="77777777" w:rsidR="00A0602C" w:rsidRDefault="00A0602C">
            <w:pPr>
              <w:pStyle w:val="BoxHeading2"/>
            </w:pPr>
            <w:r>
              <w:t>Key success factors</w:t>
            </w:r>
          </w:p>
          <w:p w14:paraId="5E4D745D" w14:textId="77777777" w:rsidR="00A0602C" w:rsidRDefault="00A0602C">
            <w:pPr>
              <w:pStyle w:val="BodyText"/>
            </w:pPr>
            <w:r w:rsidRPr="00B40479">
              <w:t>The program’s success was attributed to</w:t>
            </w:r>
            <w:r>
              <w:t>:</w:t>
            </w:r>
            <w:r w:rsidRPr="00B40479">
              <w:t xml:space="preserve"> </w:t>
            </w:r>
          </w:p>
          <w:p w14:paraId="5C75F6FD" w14:textId="77777777" w:rsidR="00A0602C" w:rsidRDefault="00A0602C" w:rsidP="00A0602C">
            <w:pPr>
              <w:pStyle w:val="ListBullet"/>
            </w:pPr>
            <w:r w:rsidRPr="00B40479">
              <w:t>the time the LHD and PHN invested in forming their partnership</w:t>
            </w:r>
          </w:p>
          <w:p w14:paraId="349134A2" w14:textId="77777777" w:rsidR="00A0602C" w:rsidRDefault="00A0602C" w:rsidP="00A0602C">
            <w:pPr>
              <w:pStyle w:val="ListBullet"/>
            </w:pPr>
            <w:r w:rsidRPr="00B40479">
              <w:t>seed funding that enabled joint planning</w:t>
            </w:r>
          </w:p>
          <w:p w14:paraId="419CF3D5" w14:textId="77777777" w:rsidR="00A0602C" w:rsidRDefault="00A0602C" w:rsidP="00A0602C">
            <w:pPr>
              <w:pStyle w:val="ListBullet"/>
            </w:pPr>
            <w:r w:rsidRPr="00B40479">
              <w:t xml:space="preserve">an iterative and </w:t>
            </w:r>
            <w:r>
              <w:t>data</w:t>
            </w:r>
            <w:r>
              <w:noBreakHyphen/>
              <w:t>led</w:t>
            </w:r>
            <w:r w:rsidRPr="00B40479">
              <w:t xml:space="preserve"> approach to service implementation</w:t>
            </w:r>
          </w:p>
          <w:p w14:paraId="3D430912" w14:textId="77777777" w:rsidR="00A0602C" w:rsidRPr="00B40479" w:rsidRDefault="00A0602C" w:rsidP="00A0602C">
            <w:pPr>
              <w:pStyle w:val="ListBullet"/>
            </w:pPr>
            <w:r w:rsidRPr="00B40479">
              <w:t xml:space="preserve">change management support </w:t>
            </w:r>
            <w:r>
              <w:t>provided</w:t>
            </w:r>
            <w:r w:rsidRPr="00B40479">
              <w:t xml:space="preserve"> by the PHN.</w:t>
            </w:r>
          </w:p>
          <w:p w14:paraId="4FBFD772" w14:textId="7549E228" w:rsidR="00A0602C" w:rsidRPr="00B40479" w:rsidRDefault="00A0602C" w:rsidP="0087773B">
            <w:pPr>
              <w:pStyle w:val="Source"/>
            </w:pPr>
            <w:r w:rsidRPr="00717B93">
              <w:t>Source</w:t>
            </w:r>
            <w:r w:rsidRPr="00B40479">
              <w:t xml:space="preserve">: </w:t>
            </w:r>
            <w:proofErr w:type="spellStart"/>
            <w:r w:rsidRPr="00B40479">
              <w:t>Hanfy</w:t>
            </w:r>
            <w:proofErr w:type="spellEnd"/>
            <w:r w:rsidRPr="00B40479">
              <w:t xml:space="preserve"> and Barnard </w:t>
            </w:r>
            <w:r w:rsidRPr="00B40479">
              <w:rPr>
                <w:rFonts w:ascii="Arial" w:hAnsi="Arial" w:cs="Arial"/>
              </w:rPr>
              <w:t>(2023)</w:t>
            </w:r>
            <w:r w:rsidRPr="00B40479">
              <w:t xml:space="preserve">; Peiris et al. </w:t>
            </w:r>
            <w:r w:rsidRPr="00B40479">
              <w:rPr>
                <w:rFonts w:ascii="Arial" w:hAnsi="Arial" w:cs="Arial"/>
              </w:rPr>
              <w:t>(2024, pp. 4–7)</w:t>
            </w:r>
            <w:r w:rsidRPr="00B40479">
              <w:t>.</w:t>
            </w:r>
          </w:p>
        </w:tc>
      </w:tr>
      <w:tr w:rsidR="00A0602C" w:rsidRPr="00B40479" w14:paraId="6A987AEB" w14:textId="77777777">
        <w:tc>
          <w:tcPr>
            <w:tcW w:w="9638" w:type="dxa"/>
            <w:shd w:val="clear" w:color="auto" w:fill="auto"/>
            <w:tcMar>
              <w:top w:w="0" w:type="dxa"/>
              <w:left w:w="170" w:type="dxa"/>
              <w:bottom w:w="0" w:type="dxa"/>
              <w:right w:w="170" w:type="dxa"/>
            </w:tcMar>
          </w:tcPr>
          <w:p w14:paraId="11AB102E" w14:textId="77777777" w:rsidR="00A0602C" w:rsidRPr="00B40479" w:rsidRDefault="00A0602C">
            <w:pPr>
              <w:pStyle w:val="NoSpacing"/>
            </w:pPr>
          </w:p>
        </w:tc>
      </w:tr>
    </w:tbl>
    <w:p w14:paraId="76B06AC6" w14:textId="77777777" w:rsidR="00A0602C" w:rsidRDefault="00A0602C">
      <w:pPr>
        <w:pStyle w:val="BodyText"/>
      </w:pPr>
      <w:r>
        <w:t>Collaboration can also enable Aboriginal and Torres Strait Islander people to</w:t>
      </w:r>
      <w:r w:rsidRPr="00B40479">
        <w:t xml:space="preserve"> access more culturally appropriate care. </w:t>
      </w:r>
      <w:r>
        <w:t>For example</w:t>
      </w:r>
      <w:r w:rsidRPr="00B40479">
        <w:t xml:space="preserve">, </w:t>
      </w:r>
      <w:r>
        <w:t xml:space="preserve">collaboration through </w:t>
      </w:r>
      <w:r w:rsidRPr="00B40479">
        <w:t xml:space="preserve">the Institute for Urban </w:t>
      </w:r>
      <w:r>
        <w:t xml:space="preserve">Indigenous </w:t>
      </w:r>
      <w:r w:rsidRPr="00B40479">
        <w:t>Health (IUIH) Birthing in Our Communities program has led to better health outcomes for Aboriginal and Torres Strait Islander people (box 2.</w:t>
      </w:r>
      <w:r>
        <w:t>2</w:t>
      </w:r>
      <w:r w:rsidRPr="00B40479">
        <w:t xml:space="preserve">). </w:t>
      </w:r>
    </w:p>
    <w:p w14:paraId="4DF6B44A" w14:textId="77777777" w:rsidR="00182F1E" w:rsidRPr="006F138D" w:rsidDel="00927142" w:rsidRDefault="00182F1E" w:rsidP="00FF6B3E">
      <w:pPr>
        <w:pStyle w:val="BodyText"/>
        <w:keepNext/>
        <w:spacing w:before="240"/>
      </w:pPr>
      <w:r w:rsidDel="00927142">
        <w:t>The Birthing in Our Communities program incorporates the experiences of Aboriginal and Torres Strait Islander women in its design. Collaborative approaches like these can support the delivery of care that meets the diverse needs of women:</w:t>
      </w:r>
    </w:p>
    <w:p w14:paraId="0C6F54E0" w14:textId="2EC7E2F4" w:rsidR="00182F1E" w:rsidRDefault="00182F1E" w:rsidP="00182F1E">
      <w:pPr>
        <w:pStyle w:val="Quote"/>
      </w:pPr>
      <w:r w:rsidDel="00927142">
        <w:t>Women face distinct and compounding barriers when it comes to accessing quality health care, shaped by location, culture, socioeconomic status, disability, and gender norms. … Place</w:t>
      </w:r>
      <w:r w:rsidDel="00927142">
        <w:noBreakHyphen/>
        <w:t>based approaches, designed with and by communities, ensure that services meet the diverse needs of women. (</w:t>
      </w:r>
      <w:proofErr w:type="spellStart"/>
      <w:r w:rsidRPr="0046116D" w:rsidDel="00927142">
        <w:t>WwWA</w:t>
      </w:r>
      <w:proofErr w:type="spellEnd"/>
      <w:r w:rsidRPr="0046116D" w:rsidDel="00927142">
        <w:t>, WWDA, AMWA, and NATSIWA</w:t>
      </w:r>
      <w:r w:rsidDel="00927142">
        <w:t>, sub. 126, pp. 14–15)</w:t>
      </w:r>
    </w:p>
    <w:p w14:paraId="086A4AD2" w14:textId="77777777" w:rsidR="00182F1E" w:rsidRDefault="00182F1E">
      <w:pPr>
        <w:spacing w:before="0" w:after="160" w:line="259" w:lineRule="auto"/>
        <w:rPr>
          <w:color w:val="58585B"/>
        </w:rPr>
      </w:pPr>
      <w:r>
        <w:br w:type="page"/>
      </w:r>
    </w:p>
    <w:tbl>
      <w:tblPr>
        <w:tblStyle w:val="Boxtable"/>
        <w:tblW w:w="5000" w:type="pct"/>
        <w:tblLook w:val="04A0" w:firstRow="1" w:lastRow="0" w:firstColumn="1" w:lastColumn="0" w:noHBand="0" w:noVBand="1"/>
      </w:tblPr>
      <w:tblGrid>
        <w:gridCol w:w="9638"/>
      </w:tblGrid>
      <w:tr w:rsidR="00A0602C" w:rsidRPr="00B40479" w14:paraId="0FC1E002" w14:textId="77777777">
        <w:trPr>
          <w:tblHeader/>
        </w:trPr>
        <w:tc>
          <w:tcPr>
            <w:tcW w:w="9638" w:type="dxa"/>
            <w:shd w:val="clear" w:color="auto" w:fill="EBEBEB"/>
            <w:tcMar>
              <w:top w:w="170" w:type="dxa"/>
              <w:left w:w="170" w:type="dxa"/>
              <w:bottom w:w="113" w:type="dxa"/>
              <w:right w:w="170" w:type="dxa"/>
            </w:tcMar>
            <w:hideMark/>
          </w:tcPr>
          <w:p w14:paraId="54A3174E" w14:textId="1188EE41" w:rsidR="00A0602C" w:rsidRPr="00B40479" w:rsidRDefault="00A0602C">
            <w:pPr>
              <w:pStyle w:val="BoxHeading1"/>
            </w:pPr>
            <w:r w:rsidRPr="00B40479">
              <w:lastRenderedPageBreak/>
              <w:t xml:space="preserve">Box </w:t>
            </w:r>
            <w:r>
              <w:fldChar w:fldCharType="begin"/>
            </w:r>
            <w:r>
              <w:instrText>STYLEREF 1 \s</w:instrText>
            </w:r>
            <w:r>
              <w:fldChar w:fldCharType="separate"/>
            </w:r>
            <w:r w:rsidR="00FB1849">
              <w:rPr>
                <w:noProof/>
              </w:rPr>
              <w:t>2</w:t>
            </w:r>
            <w:r>
              <w:fldChar w:fldCharType="end"/>
            </w:r>
            <w:r w:rsidRPr="00B40479">
              <w:t>.</w:t>
            </w:r>
            <w:r>
              <w:fldChar w:fldCharType="begin"/>
            </w:r>
            <w:r>
              <w:instrText>SEQ Box \* ARABIC \s 1</w:instrText>
            </w:r>
            <w:r>
              <w:fldChar w:fldCharType="separate"/>
            </w:r>
            <w:r w:rsidR="00FB1849">
              <w:rPr>
                <w:noProof/>
              </w:rPr>
              <w:t>2</w:t>
            </w:r>
            <w:r>
              <w:fldChar w:fldCharType="end"/>
            </w:r>
            <w:r w:rsidRPr="00B40479">
              <w:t xml:space="preserve"> – </w:t>
            </w:r>
            <w:r>
              <w:t xml:space="preserve">Collaborative commissioning can deliver better, more culturally appropriate care: the </w:t>
            </w:r>
            <w:r w:rsidRPr="00B40479">
              <w:t>Birthing in Our Communities</w:t>
            </w:r>
            <w:r>
              <w:t xml:space="preserve"> program</w:t>
            </w:r>
          </w:p>
        </w:tc>
      </w:tr>
      <w:tr w:rsidR="00A0602C" w:rsidRPr="005D1531" w14:paraId="16D1FBE4" w14:textId="77777777">
        <w:tc>
          <w:tcPr>
            <w:tcW w:w="9638" w:type="dxa"/>
            <w:shd w:val="clear" w:color="auto" w:fill="EBEBEB"/>
            <w:tcMar>
              <w:top w:w="28" w:type="dxa"/>
              <w:left w:w="170" w:type="dxa"/>
              <w:bottom w:w="170" w:type="dxa"/>
              <w:right w:w="170" w:type="dxa"/>
            </w:tcMar>
            <w:hideMark/>
          </w:tcPr>
          <w:p w14:paraId="1BBB69F2" w14:textId="01C7B0EE" w:rsidR="00A0602C" w:rsidRDefault="00A0602C">
            <w:pPr>
              <w:pStyle w:val="BodyText"/>
            </w:pPr>
            <w:r w:rsidRPr="00B40479">
              <w:t>Culturally safe and appropriate antenatal health services are paramount to ensuring Aboriginal and Torres Strait Islander children are born healthy and strong</w:t>
            </w:r>
            <w:r>
              <w:t xml:space="preserve"> </w:t>
            </w:r>
            <w:r w:rsidR="0097599A" w:rsidRPr="0097599A">
              <w:rPr>
                <w:rFonts w:ascii="Arial" w:hAnsi="Arial" w:cs="Arial"/>
              </w:rPr>
              <w:t>(PC 2024b, p. 24)</w:t>
            </w:r>
            <w:r w:rsidRPr="00B40479">
              <w:t>. The</w:t>
            </w:r>
            <w:r w:rsidRPr="00B40479" w:rsidDel="002A15B2">
              <w:t xml:space="preserve"> </w:t>
            </w:r>
            <w:r w:rsidRPr="00B40479">
              <w:t>Birthing in Our Communities (</w:t>
            </w:r>
            <w:proofErr w:type="spellStart"/>
            <w:r w:rsidRPr="00B40479">
              <w:t>BiOC</w:t>
            </w:r>
            <w:proofErr w:type="spellEnd"/>
            <w:r w:rsidRPr="00B40479">
              <w:t xml:space="preserve">) program is a unique model of </w:t>
            </w:r>
            <w:r>
              <w:t>Indigenous</w:t>
            </w:r>
            <w:r>
              <w:noBreakHyphen/>
              <w:t>led</w:t>
            </w:r>
            <w:r w:rsidRPr="00B40479">
              <w:t xml:space="preserve"> maternity care that provides culturally informed maternal and infant health services for Aboriginal and Torres Strait Islander families</w:t>
            </w:r>
            <w:r>
              <w:t>. IUIH partners with</w:t>
            </w:r>
            <w:r w:rsidRPr="00B40479">
              <w:t xml:space="preserve"> </w:t>
            </w:r>
            <w:r>
              <w:t xml:space="preserve">Mater Health Services and </w:t>
            </w:r>
            <w:r w:rsidRPr="00B40479">
              <w:t>Metro South H</w:t>
            </w:r>
            <w:r>
              <w:t xml:space="preserve">ospital and </w:t>
            </w:r>
            <w:r w:rsidRPr="00B40479">
              <w:t>H</w:t>
            </w:r>
            <w:r>
              <w:t xml:space="preserve">ealth </w:t>
            </w:r>
            <w:r w:rsidRPr="00B40479">
              <w:t>S</w:t>
            </w:r>
            <w:r>
              <w:t>ervice to deliver the program.</w:t>
            </w:r>
          </w:p>
          <w:p w14:paraId="7FDC2BBF" w14:textId="77777777" w:rsidR="00A0602C" w:rsidRDefault="00A0602C">
            <w:pPr>
              <w:pStyle w:val="BoxHeading2"/>
            </w:pPr>
            <w:r>
              <w:t>Enablers of the collaboration</w:t>
            </w:r>
          </w:p>
          <w:p w14:paraId="3C873F7D" w14:textId="6348E634" w:rsidR="00A0602C" w:rsidRPr="00B40479" w:rsidRDefault="00A0602C">
            <w:pPr>
              <w:pStyle w:val="BodyText"/>
            </w:pPr>
            <w:r>
              <w:t xml:space="preserve">The program involves Aboriginal and Torres Strait Islander governance and oversight through a steering committee and integrated service delivery with public and private health services. </w:t>
            </w:r>
            <w:proofErr w:type="spellStart"/>
            <w:r>
              <w:t>BiOC</w:t>
            </w:r>
            <w:proofErr w:type="spellEnd"/>
            <w:r>
              <w:t xml:space="preserve"> is</w:t>
            </w:r>
            <w:r w:rsidDel="00CF60D4">
              <w:t xml:space="preserve"> </w:t>
            </w:r>
            <w:r>
              <w:t>part of IUIH’s System of Care, which facilitates an integrated approach across local, system and community levels, providing regionally</w:t>
            </w:r>
            <w:r>
              <w:noBreakHyphen/>
              <w:t xml:space="preserve">managed but locally accessible programs </w:t>
            </w:r>
            <w:r w:rsidRPr="162C74A9">
              <w:rPr>
                <w:rFonts w:ascii="Arial" w:hAnsi="Arial" w:cs="Arial"/>
              </w:rPr>
              <w:t>(Turner et al. 2019, p. 426)</w:t>
            </w:r>
            <w:r>
              <w:t xml:space="preserve">. </w:t>
            </w:r>
          </w:p>
          <w:p w14:paraId="2B9B770D" w14:textId="7199183F" w:rsidR="00A0602C" w:rsidRDefault="00A0602C">
            <w:pPr>
              <w:pStyle w:val="BodyText"/>
            </w:pPr>
            <w:r>
              <w:t xml:space="preserve">In a 2012 evaluation of antenatal services for Aboriginal and Torres Strait Islander women, women reported low satisfaction during and after birth and some women reported not feeling culturally safe </w:t>
            </w:r>
            <w:r w:rsidRPr="00932246">
              <w:rPr>
                <w:rFonts w:ascii="Arial" w:hAnsi="Arial" w:cs="Arial"/>
              </w:rPr>
              <w:t>(Kildea et al. 2021, p. 652)</w:t>
            </w:r>
            <w:r>
              <w:t>. Through a co</w:t>
            </w:r>
            <w:r>
              <w:noBreakHyphen/>
              <w:t xml:space="preserve">design process, including an engagement workshop, the program was able to respond to the experiences and concerns raised, including through providing midwifery care up </w:t>
            </w:r>
            <w:r w:rsidRPr="00546FB3">
              <w:t xml:space="preserve">to six weeks </w:t>
            </w:r>
            <w:r>
              <w:t xml:space="preserve">after birth </w:t>
            </w:r>
            <w:r w:rsidRPr="00E31E30">
              <w:rPr>
                <w:rFonts w:ascii="Arial" w:hAnsi="Arial" w:cs="Arial"/>
              </w:rPr>
              <w:t>(Kildea et al. 2017, p. 231)</w:t>
            </w:r>
            <w:r>
              <w:t>.</w:t>
            </w:r>
          </w:p>
          <w:p w14:paraId="063302FF" w14:textId="77777777" w:rsidR="00A0602C" w:rsidRDefault="00A0602C">
            <w:pPr>
              <w:pStyle w:val="BoxHeading2"/>
            </w:pPr>
            <w:r>
              <w:t>The program has improved outcomes and contributed to progress on Closing the Gap</w:t>
            </w:r>
          </w:p>
          <w:p w14:paraId="6E0698DF" w14:textId="73955DF4" w:rsidR="00A0602C" w:rsidRDefault="00390F1B" w:rsidP="0025271B">
            <w:pPr>
              <w:pStyle w:val="BodyText"/>
            </w:pPr>
            <w:r w:rsidRPr="00B40479">
              <w:t>The program contributes to progress toward Outcome 2</w:t>
            </w:r>
            <w:r w:rsidR="00C41505" w:rsidRPr="00B40479">
              <w:t xml:space="preserve"> under the National Agreement on Closing the Gap</w:t>
            </w:r>
            <w:r w:rsidRPr="00B40479">
              <w:t>: Aboriginal and Torres Strait Islander children are born healthy and strong.</w:t>
            </w:r>
            <w:r>
              <w:t xml:space="preserve"> </w:t>
            </w:r>
            <w:proofErr w:type="gramStart"/>
            <w:r>
              <w:t xml:space="preserve">In particular, </w:t>
            </w:r>
            <w:proofErr w:type="spellStart"/>
            <w:r w:rsidR="00A0602C" w:rsidRPr="00B40479">
              <w:t>BiOC</w:t>
            </w:r>
            <w:proofErr w:type="spellEnd"/>
            <w:proofErr w:type="gramEnd"/>
            <w:r w:rsidR="00A0602C" w:rsidRPr="00B40479">
              <w:t xml:space="preserve"> has proven to perform better than standard care on a range of national maternity indicators and has closed the gap in preterm births and birth weights</w:t>
            </w:r>
            <w:r w:rsidR="00A0602C">
              <w:t>.</w:t>
            </w:r>
          </w:p>
          <w:p w14:paraId="7BB9FC54" w14:textId="1083C30C" w:rsidR="00D4472A" w:rsidRDefault="00CA3F9A">
            <w:pPr>
              <w:pStyle w:val="BodyText"/>
            </w:pPr>
            <w:r w:rsidRPr="00CA3F9A">
              <w:rPr>
                <w:noProof/>
              </w:rPr>
              <w:drawing>
                <wp:inline distT="0" distB="0" distL="0" distR="0" wp14:anchorId="7F0A2AD3" wp14:editId="5AFC2EB2">
                  <wp:extent cx="5949315" cy="854710"/>
                  <wp:effectExtent l="0" t="0" r="0" b="2540"/>
                  <wp:docPr id="472088938" name="Picture 5" descr="This figure illustrates that it is estimated that through the BiOC program, relative to standard care, there has been a:&#10;• 5.3 percentage point reduction in preterm births for Aboriginal and Torres Strait Islander families&#10;• saving of $4,810 per mother baby 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88938" name="Picture 5" descr="This figure illustrates that it is estimated that through the BiOC program, relative to standard care, there has been a:&#10;• 5.3 percentage point reduction in preterm births for Aboriginal and Torres Strait Islander families&#10;• saving of $4,810 per mother baby pai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9315" cy="854710"/>
                          </a:xfrm>
                          <a:prstGeom prst="rect">
                            <a:avLst/>
                          </a:prstGeom>
                          <a:noFill/>
                          <a:ln>
                            <a:noFill/>
                          </a:ln>
                        </pic:spPr>
                      </pic:pic>
                    </a:graphicData>
                  </a:graphic>
                </wp:inline>
              </w:drawing>
            </w:r>
            <w:r w:rsidRPr="00CA3F9A">
              <w:t xml:space="preserve"> </w:t>
            </w:r>
            <w:r w:rsidR="00284769" w:rsidRPr="00284769">
              <w:t xml:space="preserve"> </w:t>
            </w:r>
          </w:p>
          <w:p w14:paraId="5DB519C0" w14:textId="78008F30" w:rsidR="00A0602C" w:rsidRPr="00BD1DCB" w:rsidRDefault="00A0602C" w:rsidP="00BD1DCB">
            <w:pPr>
              <w:pStyle w:val="BodyText"/>
            </w:pPr>
            <w:r w:rsidRPr="00BD1DCB">
              <w:t>This program also contributes to progress toward Outcome 12: Aboriginal and Torres Strait Islander children are not overrepresented in the child protection system. The continued overrepresentation of Aboriginal and Torres Strait Islander children in the child protection system stems from the impacts of colonisation and dispossession including intergenerational trauma, systemic racism</w:t>
            </w:r>
            <w:r w:rsidRPr="00BD1DCB" w:rsidDel="00B761F6">
              <w:t xml:space="preserve"> and</w:t>
            </w:r>
            <w:r w:rsidRPr="00BD1DCB">
              <w:t xml:space="preserve"> inequality across social determinants of child wellbeing (Darwin et al. 2023; QFCC 2021; SNAICC 2023). The period of pregnancy and childbirth provides an opportunity to break such cycles of trauma (Chamberlain et al. 2019, p. 3). The </w:t>
            </w:r>
            <w:proofErr w:type="spellStart"/>
            <w:r w:rsidRPr="00BD1DCB">
              <w:t>BiOC</w:t>
            </w:r>
            <w:proofErr w:type="spellEnd"/>
            <w:r w:rsidRPr="00BD1DCB">
              <w:t xml:space="preserve"> program recognises the strengths of Aboriginal and Torres Strait Islander culture, community and kinship in supporting mothers and in the health and development of children. Babies of mothers that received </w:t>
            </w:r>
            <w:proofErr w:type="spellStart"/>
            <w:r w:rsidRPr="00BD1DCB">
              <w:t>BiOC</w:t>
            </w:r>
            <w:proofErr w:type="spellEnd"/>
            <w:r w:rsidRPr="00BD1DCB">
              <w:t xml:space="preserve"> care were three times less likely to be in out</w:t>
            </w:r>
            <w:r w:rsidRPr="00BD1DCB">
              <w:noBreakHyphen/>
              <w:t>of</w:t>
            </w:r>
            <w:r w:rsidRPr="00BD1DCB">
              <w:noBreakHyphen/>
              <w:t>home care from birth compared with those that received standard care, demonstrating the value of culturally appropriate programs (IUIH 2024; O’Dea et al. 2024).</w:t>
            </w:r>
          </w:p>
          <w:p w14:paraId="07A9C407" w14:textId="3F725BBE" w:rsidR="00A0602C" w:rsidRPr="00336F90" w:rsidRDefault="00A0602C" w:rsidP="00355F57">
            <w:pPr>
              <w:pStyle w:val="Source"/>
              <w:rPr>
                <w:lang w:val="fr-CA"/>
              </w:rPr>
            </w:pPr>
            <w:r w:rsidRPr="005D1531">
              <w:rPr>
                <w:lang w:val="fr-CA"/>
              </w:rPr>
              <w:t>Source</w:t>
            </w:r>
            <w:r w:rsidRPr="00336F90">
              <w:rPr>
                <w:lang w:val="fr-CA"/>
              </w:rPr>
              <w:t xml:space="preserve">: Gao et al. </w:t>
            </w:r>
            <w:r w:rsidRPr="00336F90">
              <w:rPr>
                <w:rFonts w:ascii="Arial" w:hAnsi="Arial" w:cs="Arial"/>
                <w:lang w:val="fr-CA"/>
              </w:rPr>
              <w:t>(2023)</w:t>
            </w:r>
            <w:r w:rsidRPr="00336F90">
              <w:rPr>
                <w:lang w:val="fr-CA"/>
              </w:rPr>
              <w:t xml:space="preserve">; IUIH </w:t>
            </w:r>
            <w:r w:rsidRPr="00336F90">
              <w:rPr>
                <w:rFonts w:ascii="Arial" w:hAnsi="Arial" w:cs="Arial"/>
                <w:lang w:val="fr-CA"/>
              </w:rPr>
              <w:t>(2023, p. 15)</w:t>
            </w:r>
            <w:r w:rsidRPr="00336F90">
              <w:rPr>
                <w:lang w:val="fr-CA"/>
              </w:rPr>
              <w:t>.</w:t>
            </w:r>
          </w:p>
        </w:tc>
      </w:tr>
    </w:tbl>
    <w:p w14:paraId="0556CCFE" w14:textId="77777777" w:rsidR="00A0602C" w:rsidRPr="00B40479" w:rsidRDefault="00A0602C">
      <w:pPr>
        <w:pStyle w:val="Heading4"/>
      </w:pPr>
      <w:r w:rsidRPr="00B40479">
        <w:lastRenderedPageBreak/>
        <w:t>Collaborative commissioning can improve efficiency and productivity</w:t>
      </w:r>
    </w:p>
    <w:p w14:paraId="6E02DF86" w14:textId="77777777" w:rsidR="00A0602C" w:rsidRPr="00B40479" w:rsidRDefault="00A0602C">
      <w:pPr>
        <w:pStyle w:val="BodyText"/>
        <w:keepNext/>
      </w:pPr>
      <w:r w:rsidRPr="00B40479">
        <w:t>Collaborative commissioning can also improve productivity through more efficient use of government funding. It can reduce both inefficient duplication and the need for costly services such as hospitalisations. For example:</w:t>
      </w:r>
    </w:p>
    <w:p w14:paraId="7F45FACE" w14:textId="77777777" w:rsidR="00A0602C" w:rsidRPr="00B40479" w:rsidRDefault="00A0602C">
      <w:pPr>
        <w:pStyle w:val="Quote"/>
      </w:pPr>
      <w:r w:rsidRPr="00B40479">
        <w:t>We see this particularly in patients who would be well served by seeing</w:t>
      </w:r>
      <w:r>
        <w:t xml:space="preserve"> a</w:t>
      </w:r>
      <w:r w:rsidRPr="00B40479">
        <w:t xml:space="preserve"> GP but have instead presented to an emergency department either because they were unable to get an appointment with a GP, couldn’t afford the upfront and/or out of pocket costs, or because the GP is closed. (Health Consumers’ Council WA, qr. 48, pp. 2–3)</w:t>
      </w:r>
    </w:p>
    <w:p w14:paraId="3AB3BD07" w14:textId="77777777" w:rsidR="00A0602C" w:rsidRPr="00B40479" w:rsidRDefault="00A0602C">
      <w:pPr>
        <w:pStyle w:val="BodyText"/>
        <w:keepNext/>
      </w:pPr>
      <w:r w:rsidRPr="00B40479">
        <w:t xml:space="preserve">Examples of effective collaborative commissioning initiatives point to </w:t>
      </w:r>
      <w:r>
        <w:t>the efficiency benefits.</w:t>
      </w:r>
    </w:p>
    <w:p w14:paraId="1C6789B1" w14:textId="5E25D9A2" w:rsidR="00A0602C" w:rsidRPr="00B40479" w:rsidRDefault="00A0602C" w:rsidP="00A0602C">
      <w:pPr>
        <w:pStyle w:val="ListBullet"/>
      </w:pPr>
      <w:r w:rsidRPr="00B40479">
        <w:t xml:space="preserve">The Health Alliance, a partnership between Metro North Health and the Brisbane North PHN, identified a cohort of complex patients and placed a Complex Care Coordinator within GP practices </w:t>
      </w:r>
      <w:r>
        <w:t>to s</w:t>
      </w:r>
      <w:r w:rsidRPr="00B40479">
        <w:t xml:space="preserve">upport </w:t>
      </w:r>
      <w:r>
        <w:t xml:space="preserve">them </w:t>
      </w:r>
      <w:r w:rsidRPr="00B40479">
        <w:t xml:space="preserve">and avoid emergency department presentations. Evaluation of the program has shown reduced emergency department presentations and savings </w:t>
      </w:r>
      <w:r w:rsidRPr="00B40479">
        <w:rPr>
          <w:rFonts w:ascii="Arial" w:hAnsi="Arial" w:cs="Arial"/>
        </w:rPr>
        <w:t>(Huxtable 2023, p. 69)</w:t>
      </w:r>
      <w:r w:rsidRPr="00B40479">
        <w:t xml:space="preserve">. </w:t>
      </w:r>
    </w:p>
    <w:p w14:paraId="4B19FE1A" w14:textId="37567E60" w:rsidR="00A0602C" w:rsidRPr="00B40479" w:rsidRDefault="00A0602C" w:rsidP="00A0602C">
      <w:pPr>
        <w:pStyle w:val="ListBullet"/>
      </w:pPr>
      <w:r>
        <w:t>After it became clear that a high number of aged care residents were frequently presenting to hospital emergency departments, the Hunter New England Local Health District (LHD), Hunter New England Central Coast PHN and Hunter Primary Care jointly developed the Aged Care Emergency Service program, a nurse</w:t>
      </w:r>
      <w:r>
        <w:noBreakHyphen/>
        <w:t>led initiative. The program, which pooled financial and in</w:t>
      </w:r>
      <w:r>
        <w:noBreakHyphen/>
        <w:t xml:space="preserve">kind resources from aged care providers, the LHD and PHN, has better integrated hospitals and aged care facilities. It achieved this through streamlined nurse communication and support, contributing to reduced emergency department presentations and hospital admissions </w:t>
      </w:r>
      <w:r w:rsidRPr="006E0F83">
        <w:rPr>
          <w:rFonts w:ascii="Arial" w:hAnsi="Arial" w:cs="Arial"/>
        </w:rPr>
        <w:t xml:space="preserve">(Conway et al. 2015; </w:t>
      </w:r>
      <w:proofErr w:type="spellStart"/>
      <w:r w:rsidRPr="006E0F83">
        <w:rPr>
          <w:rFonts w:ascii="Arial" w:hAnsi="Arial" w:cs="Arial"/>
        </w:rPr>
        <w:t>Hullick</w:t>
      </w:r>
      <w:proofErr w:type="spellEnd"/>
      <w:r w:rsidRPr="006E0F83">
        <w:rPr>
          <w:rFonts w:ascii="Arial" w:hAnsi="Arial" w:cs="Arial"/>
        </w:rPr>
        <w:t xml:space="preserve"> et al. 2021)</w:t>
      </w:r>
      <w:r>
        <w:t xml:space="preserve">. </w:t>
      </w:r>
    </w:p>
    <w:p w14:paraId="3F360B21" w14:textId="77777777" w:rsidR="00A0602C" w:rsidRDefault="00A0602C">
      <w:pPr>
        <w:pStyle w:val="BodyText"/>
        <w:keepNext/>
      </w:pPr>
      <w:r w:rsidRPr="00B40479">
        <w:t xml:space="preserve">The efficiency benefits of collaboration can be especially valuable in regions </w:t>
      </w:r>
      <w:r>
        <w:t>that face</w:t>
      </w:r>
      <w:r w:rsidRPr="00B40479">
        <w:t xml:space="preserve"> workforce shortages and other ‘thin market’ issues. </w:t>
      </w:r>
      <w:r>
        <w:t>For instance, the PHN Cooperative submitted:</w:t>
      </w:r>
    </w:p>
    <w:p w14:paraId="1755C91B" w14:textId="77777777" w:rsidR="00A0602C" w:rsidRDefault="00A0602C">
      <w:pPr>
        <w:pStyle w:val="Quote"/>
      </w:pPr>
      <w:r w:rsidRPr="007E3FA4">
        <w:t>More optimal use of a maldistributed health workforce can be achieved through collaborative commissioning, particularly in rural and remote areas or other places experiencing thin markets</w:t>
      </w:r>
      <w:r>
        <w:t>. (sub. 104, p. 5)</w:t>
      </w:r>
    </w:p>
    <w:p w14:paraId="5110DBA9" w14:textId="2F7C6233" w:rsidR="00A0602C" w:rsidRPr="00B40479" w:rsidRDefault="00A0602C">
      <w:pPr>
        <w:pStyle w:val="BodyText"/>
      </w:pPr>
      <w:r>
        <w:t>C</w:t>
      </w:r>
      <w:r w:rsidRPr="00B40479">
        <w:t xml:space="preserve">ollaborative commissioning can yield benefits beyond the freeing up of resources in the health system. </w:t>
      </w:r>
      <w:r>
        <w:t>For example, a</w:t>
      </w:r>
      <w:r w:rsidRPr="00B40479">
        <w:t xml:space="preserve"> healthier population will lead to increased workforce participation and labour productivity for both patients </w:t>
      </w:r>
      <w:r w:rsidRPr="00B40479">
        <w:rPr>
          <w:rFonts w:ascii="Arial" w:hAnsi="Arial" w:cs="Arial"/>
        </w:rPr>
        <w:t>(</w:t>
      </w:r>
      <w:proofErr w:type="spellStart"/>
      <w:r w:rsidRPr="00B40479">
        <w:rPr>
          <w:rFonts w:ascii="Arial" w:hAnsi="Arial" w:cs="Arial"/>
        </w:rPr>
        <w:t>Verikios</w:t>
      </w:r>
      <w:proofErr w:type="spellEnd"/>
      <w:r w:rsidRPr="00B40479">
        <w:rPr>
          <w:rFonts w:ascii="Arial" w:hAnsi="Arial" w:cs="Arial"/>
        </w:rPr>
        <w:t xml:space="preserve"> et al. 2015)</w:t>
      </w:r>
      <w:r w:rsidRPr="00B40479">
        <w:t xml:space="preserve"> and carers.</w:t>
      </w:r>
    </w:p>
    <w:p w14:paraId="0EC7CDD8" w14:textId="77777777" w:rsidR="00A0602C" w:rsidRPr="00B40479" w:rsidRDefault="00A0602C">
      <w:pPr>
        <w:pStyle w:val="Heading4"/>
      </w:pPr>
      <w:r w:rsidRPr="00B40479">
        <w:t xml:space="preserve">Reform can expand the benefits of collaborative commissioning </w:t>
      </w:r>
      <w:r>
        <w:t>…</w:t>
      </w:r>
    </w:p>
    <w:p w14:paraId="22309D14" w14:textId="1111B8FF" w:rsidR="00A0602C" w:rsidRPr="00BD1DCB" w:rsidRDefault="00A0602C">
      <w:pPr>
        <w:pStyle w:val="BodyText"/>
        <w:rPr>
          <w:spacing w:val="-2"/>
        </w:rPr>
      </w:pPr>
      <w:r w:rsidRPr="00BD1DCB">
        <w:rPr>
          <w:spacing w:val="-2"/>
        </w:rPr>
        <w:t>The</w:t>
      </w:r>
      <w:r w:rsidRPr="00BD1DCB" w:rsidDel="002466B8">
        <w:rPr>
          <w:spacing w:val="-2"/>
        </w:rPr>
        <w:t xml:space="preserve"> </w:t>
      </w:r>
      <w:r w:rsidRPr="00BD1DCB">
        <w:rPr>
          <w:spacing w:val="-2"/>
        </w:rPr>
        <w:t>benefits of widespread adoption of collaborative commissioning are hard to quantify since they</w:t>
      </w:r>
      <w:r w:rsidRPr="00BD1DCB" w:rsidDel="00D4088C">
        <w:rPr>
          <w:spacing w:val="-2"/>
        </w:rPr>
        <w:t xml:space="preserve"> </w:t>
      </w:r>
      <w:r w:rsidRPr="00BD1DCB">
        <w:rPr>
          <w:spacing w:val="-2"/>
        </w:rPr>
        <w:t xml:space="preserve">depend on the specific </w:t>
      </w:r>
      <w:r w:rsidRPr="00BD1DCB" w:rsidDel="00CF2A9D">
        <w:rPr>
          <w:spacing w:val="-2"/>
        </w:rPr>
        <w:t xml:space="preserve">initiatives </w:t>
      </w:r>
      <w:r w:rsidRPr="00BD1DCB">
        <w:rPr>
          <w:spacing w:val="-2"/>
        </w:rPr>
        <w:t xml:space="preserve">adopted by LHNs and PHNs. However, the PC estimates </w:t>
      </w:r>
      <w:r w:rsidR="00075A07" w:rsidRPr="00BD1DCB">
        <w:rPr>
          <w:spacing w:val="-2"/>
        </w:rPr>
        <w:t xml:space="preserve">that </w:t>
      </w:r>
      <w:r w:rsidR="004B3325" w:rsidRPr="00BD1DCB">
        <w:rPr>
          <w:spacing w:val="-2"/>
        </w:rPr>
        <w:t xml:space="preserve">our reforms can reduce </w:t>
      </w:r>
      <w:r w:rsidR="00D534B8" w:rsidRPr="00BD1DCB">
        <w:rPr>
          <w:spacing w:val="-2"/>
        </w:rPr>
        <w:t xml:space="preserve">PPHs </w:t>
      </w:r>
      <w:r w:rsidR="004B3325" w:rsidRPr="00BD1DCB">
        <w:rPr>
          <w:spacing w:val="-2"/>
        </w:rPr>
        <w:t xml:space="preserve">by 5% and ED presentations by 4%, equivalent to </w:t>
      </w:r>
      <w:r w:rsidRPr="00BD1DCB">
        <w:rPr>
          <w:spacing w:val="-2"/>
        </w:rPr>
        <w:t xml:space="preserve">$600 million </w:t>
      </w:r>
      <w:r w:rsidR="004B3325" w:rsidRPr="00BD1DCB">
        <w:rPr>
          <w:spacing w:val="-2"/>
        </w:rPr>
        <w:t>per year</w:t>
      </w:r>
      <w:r w:rsidRPr="00BD1DCB">
        <w:rPr>
          <w:spacing w:val="-2"/>
        </w:rPr>
        <w:t xml:space="preserve"> (figure 2.2). </w:t>
      </w:r>
      <w:r w:rsidR="005604F6" w:rsidRPr="00BD1DCB">
        <w:rPr>
          <w:spacing w:val="-2"/>
        </w:rPr>
        <w:t>This estimate does not consider the cost to the health care system of the programs required to avoid PPHs and ED presentations.</w:t>
      </w:r>
    </w:p>
    <w:p w14:paraId="3E7E9320" w14:textId="227343FE" w:rsidR="00F04C6E" w:rsidRDefault="00A0602C" w:rsidP="00BD1DCB">
      <w:pPr>
        <w:pStyle w:val="FigureTableHeading"/>
      </w:pPr>
      <w:r>
        <w:lastRenderedPageBreak/>
        <w:t>Figure 2.</w:t>
      </w:r>
      <w:r>
        <w:fldChar w:fldCharType="begin"/>
      </w:r>
      <w:r>
        <w:instrText xml:space="preserve"> SEQ Figure \* ARABIC \s 1 </w:instrText>
      </w:r>
      <w:r>
        <w:fldChar w:fldCharType="separate"/>
      </w:r>
      <w:r w:rsidR="00FB1849">
        <w:rPr>
          <w:noProof/>
        </w:rPr>
        <w:t>2</w:t>
      </w:r>
      <w:r>
        <w:rPr>
          <w:noProof/>
        </w:rPr>
        <w:fldChar w:fldCharType="end"/>
      </w:r>
      <w:r>
        <w:rPr>
          <w:noProof/>
        </w:rPr>
        <w:t xml:space="preserve"> </w:t>
      </w:r>
      <w:r>
        <w:t xml:space="preserve">– Collaborative commissioning can save </w:t>
      </w:r>
      <w:r w:rsidDel="00697F6C">
        <w:t>the health system</w:t>
      </w:r>
      <w:r>
        <w:t xml:space="preserve"> through fewer emergency department presentations and potentially preventable hospitalisations</w:t>
      </w:r>
    </w:p>
    <w:p w14:paraId="3E06D84A" w14:textId="2BE93D37" w:rsidR="00A0602C" w:rsidRDefault="008542A1" w:rsidP="00BD1DCB">
      <w:pPr>
        <w:pStyle w:val="BodyText"/>
        <w:keepNext/>
      </w:pPr>
      <w:r w:rsidRPr="008542A1">
        <w:rPr>
          <w:noProof/>
        </w:rPr>
        <w:drawing>
          <wp:inline distT="0" distB="0" distL="0" distR="0" wp14:anchorId="1D9E1568" wp14:editId="553D5658">
            <wp:extent cx="6120130" cy="1116965"/>
            <wp:effectExtent l="0" t="0" r="0" b="6985"/>
            <wp:docPr id="948687157" name="Picture 10" descr="This figure illustrates PC estimates of the annual savings from collaborative commissioning. The estimate is of a 4% reduction in emergency department presentations plus a 5% reduction in potentially preventable hospitalisations, which is equivalent to $600 million per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87157" name="Picture 10" descr="This figure illustrates PC estimates of the annual savings from collaborative commissioning. The estimate is of a 4% reduction in emergency department presentations plus a 5% reduction in potentially preventable hospitalisations, which is equivalent to $600 million per yea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1116965"/>
                    </a:xfrm>
                    <a:prstGeom prst="rect">
                      <a:avLst/>
                    </a:prstGeom>
                    <a:noFill/>
                    <a:ln>
                      <a:noFill/>
                    </a:ln>
                  </pic:spPr>
                </pic:pic>
              </a:graphicData>
            </a:graphic>
          </wp:inline>
        </w:drawing>
      </w:r>
      <w:r w:rsidR="006E5A2B" w:rsidRPr="006E5A2B" w:rsidDel="00071568">
        <w:t xml:space="preserve"> </w:t>
      </w:r>
    </w:p>
    <w:p w14:paraId="27A4686D" w14:textId="77777777" w:rsidR="00A0602C" w:rsidRDefault="00A0602C" w:rsidP="00BD1DCB">
      <w:pPr>
        <w:pStyle w:val="Source"/>
        <w:keepNext/>
      </w:pPr>
      <w:r w:rsidRPr="00696447">
        <w:t xml:space="preserve">Source: </w:t>
      </w:r>
      <w:r>
        <w:t xml:space="preserve">PC estimates (calculations in appendix B). </w:t>
      </w:r>
    </w:p>
    <w:p w14:paraId="6946D365" w14:textId="77777777" w:rsidR="00A0602C" w:rsidRDefault="00A0602C">
      <w:pPr>
        <w:pStyle w:val="BodyText"/>
      </w:pPr>
      <w:r>
        <w:t>This estimate does not include other benefits from a more integrated care system</w:t>
      </w:r>
      <w:r w:rsidDel="00104ABF">
        <w:t>, such as</w:t>
      </w:r>
      <w:r>
        <w:t xml:space="preserve"> reduced length of hospital stay, fewer readmissions and ambulance arrivals,</w:t>
      </w:r>
      <w:r w:rsidRPr="00095B60">
        <w:t xml:space="preserve"> </w:t>
      </w:r>
      <w:r>
        <w:t xml:space="preserve">and </w:t>
      </w:r>
      <w:r w:rsidRPr="00B40479">
        <w:t xml:space="preserve">better outcomes for patients </w:t>
      </w:r>
      <w:r>
        <w:t>from</w:t>
      </w:r>
      <w:r w:rsidRPr="00B40479">
        <w:t xml:space="preserve"> </w:t>
      </w:r>
      <w:r>
        <w:t>less</w:t>
      </w:r>
      <w:r w:rsidRPr="00B40479">
        <w:t xml:space="preserve"> time spent unwell or in hospital</w:t>
      </w:r>
      <w:r>
        <w:t>.</w:t>
      </w:r>
    </w:p>
    <w:p w14:paraId="5D28B390" w14:textId="77777777" w:rsidR="00A0602C" w:rsidRPr="00B40479" w:rsidRDefault="00A0602C">
      <w:pPr>
        <w:pStyle w:val="BodyText"/>
      </w:pPr>
      <w:r>
        <w:t>However</w:t>
      </w:r>
      <w:r w:rsidDel="00505E29">
        <w:t xml:space="preserve">, </w:t>
      </w:r>
      <w:r>
        <w:t xml:space="preserve">realising the full extent of these benefits will require all LHNs and PHNs to work together with their counterparts in a similar manner to the successful cases explored in this chapter. It will also take time to realise the benefits, as experiences in the case studies show. Nevertheless, the benefits are likely to grow over time, producing greater savings as costs in the health system, such as the cost of bed days, increase. </w:t>
      </w:r>
    </w:p>
    <w:p w14:paraId="7D7D8E66" w14:textId="77777777" w:rsidR="00A0602C" w:rsidRPr="00B40479" w:rsidRDefault="00A0602C">
      <w:pPr>
        <w:pStyle w:val="Heading4"/>
      </w:pPr>
      <w:r>
        <w:t xml:space="preserve">… but it </w:t>
      </w:r>
      <w:r w:rsidRPr="00B40479">
        <w:t>must overcome persistent barriers to collaboration</w:t>
      </w:r>
    </w:p>
    <w:p w14:paraId="54CCDF42" w14:textId="13F52FAD" w:rsidR="00A0602C" w:rsidRPr="00CB51C4" w:rsidRDefault="00A0602C">
      <w:pPr>
        <w:pStyle w:val="BodyText"/>
        <w:keepNext/>
        <w:rPr>
          <w:spacing w:val="2"/>
        </w:rPr>
      </w:pPr>
      <w:r w:rsidRPr="00CB51C4">
        <w:rPr>
          <w:spacing w:val="2"/>
        </w:rPr>
        <w:t xml:space="preserve">While individual initiatives show encouraging signs, progress towards a consistent, national approach to collaborative commissioning remains limited. Systemic barriers can frustrate rather than foster collaborative approaches. The barriers identified by participants often interplay and overlap </w:t>
      </w:r>
      <w:r w:rsidR="00CD75B1" w:rsidRPr="00CB51C4">
        <w:rPr>
          <w:rFonts w:cs="Arial"/>
          <w:spacing w:val="2"/>
        </w:rPr>
        <w:t>(PC 2025c, pp. 16–17)</w:t>
      </w:r>
      <w:r w:rsidRPr="00CB51C4">
        <w:rPr>
          <w:spacing w:val="2"/>
        </w:rPr>
        <w:t>. They include:</w:t>
      </w:r>
    </w:p>
    <w:p w14:paraId="529DB8B9" w14:textId="2206C221" w:rsidR="00A0602C" w:rsidRPr="00B40479" w:rsidRDefault="00A0602C" w:rsidP="00A0602C">
      <w:pPr>
        <w:pStyle w:val="ListBullet"/>
      </w:pPr>
      <w:r w:rsidRPr="00B40479">
        <w:rPr>
          <w:b/>
        </w:rPr>
        <w:t>Difficulty moving beyond trials</w:t>
      </w:r>
      <w:r w:rsidR="006C473F" w:rsidRPr="006C473F">
        <w:t>:</w:t>
      </w:r>
      <w:r w:rsidRPr="00B40479">
        <w:t xml:space="preserve"> Resources allocated to try new approaches </w:t>
      </w:r>
      <w:r>
        <w:t>tend to be for</w:t>
      </w:r>
      <w:r w:rsidRPr="00B40479">
        <w:t xml:space="preserve"> relatively </w:t>
      </w:r>
      <w:r>
        <w:t>small</w:t>
      </w:r>
      <w:r>
        <w:noBreakHyphen/>
        <w:t>scale</w:t>
      </w:r>
      <w:r w:rsidRPr="00B40479">
        <w:t xml:space="preserve"> trials or pilots with limited time frames. Secure and stable </w:t>
      </w:r>
      <w:r>
        <w:t>long</w:t>
      </w:r>
      <w:r>
        <w:noBreakHyphen/>
        <w:t>term</w:t>
      </w:r>
      <w:r w:rsidRPr="00B40479">
        <w:t xml:space="preserve"> support for proven effective programs is inadequate.</w:t>
      </w:r>
    </w:p>
    <w:p w14:paraId="07C47192" w14:textId="1B994FFF" w:rsidR="00A0602C" w:rsidRPr="00CB51C4" w:rsidRDefault="00A0602C" w:rsidP="00A0602C">
      <w:pPr>
        <w:pStyle w:val="ListBullet"/>
        <w:rPr>
          <w:spacing w:val="-2"/>
        </w:rPr>
      </w:pPr>
      <w:r w:rsidRPr="00CB51C4">
        <w:rPr>
          <w:b/>
          <w:spacing w:val="-2"/>
        </w:rPr>
        <w:t xml:space="preserve">Rigid and </w:t>
      </w:r>
      <w:r w:rsidRPr="00CB51C4">
        <w:rPr>
          <w:b/>
          <w:bCs/>
          <w:spacing w:val="-2"/>
        </w:rPr>
        <w:t>short</w:t>
      </w:r>
      <w:r w:rsidRPr="00CB51C4">
        <w:rPr>
          <w:b/>
          <w:bCs/>
          <w:spacing w:val="-2"/>
        </w:rPr>
        <w:noBreakHyphen/>
        <w:t>term</w:t>
      </w:r>
      <w:r w:rsidRPr="00CB51C4">
        <w:rPr>
          <w:b/>
          <w:spacing w:val="-2"/>
        </w:rPr>
        <w:t xml:space="preserve"> funding</w:t>
      </w:r>
      <w:r w:rsidR="006C473F">
        <w:rPr>
          <w:spacing w:val="-2"/>
        </w:rPr>
        <w:t>:</w:t>
      </w:r>
      <w:r w:rsidRPr="00CB51C4">
        <w:rPr>
          <w:spacing w:val="-2"/>
        </w:rPr>
        <w:t xml:space="preserve"> Funding processes do not suit the objectives of regional bodies such as PHNs and ACCHOs because they</w:t>
      </w:r>
      <w:r w:rsidRPr="00CB51C4" w:rsidDel="009B1798">
        <w:rPr>
          <w:spacing w:val="-2"/>
        </w:rPr>
        <w:t xml:space="preserve"> </w:t>
      </w:r>
      <w:r w:rsidRPr="00CB51C4">
        <w:rPr>
          <w:spacing w:val="-2"/>
        </w:rPr>
        <w:t xml:space="preserve">offer little flexibility to address local needs or certainty to sustain effective programs </w:t>
      </w:r>
      <w:r w:rsidRPr="00CB51C4">
        <w:rPr>
          <w:rFonts w:cs="Arial"/>
          <w:spacing w:val="-2"/>
        </w:rPr>
        <w:t>(Health Alliance, qr. 70, p. 3; Uniting NSW.ACT, qr. 53, p. 3; VACCHO 2024, pp. 51–53)</w:t>
      </w:r>
      <w:r w:rsidRPr="00CB51C4">
        <w:rPr>
          <w:spacing w:val="-2"/>
        </w:rPr>
        <w:t>.</w:t>
      </w:r>
    </w:p>
    <w:p w14:paraId="164591C8" w14:textId="23AB1347" w:rsidR="00A0602C" w:rsidRPr="00B40479" w:rsidRDefault="00A0602C" w:rsidP="00A0602C">
      <w:pPr>
        <w:pStyle w:val="ListBullet"/>
      </w:pPr>
      <w:r w:rsidRPr="00B40479">
        <w:rPr>
          <w:b/>
        </w:rPr>
        <w:t>Capability constraints</w:t>
      </w:r>
      <w:r w:rsidR="006C473F">
        <w:t>:</w:t>
      </w:r>
      <w:r w:rsidRPr="00B40479">
        <w:t xml:space="preserve"> Prescriptive requirements and small budgets can limit the capacity of organisations to meet their objectives and prevent them from attracting, </w:t>
      </w:r>
      <w:r>
        <w:t xml:space="preserve">training and </w:t>
      </w:r>
      <w:r w:rsidRPr="00B40479">
        <w:t>retaining staff. These constraints can affect the capacity of organisations to engage in collaborative commissioning.</w:t>
      </w:r>
    </w:p>
    <w:p w14:paraId="05F671CA" w14:textId="3B95ADE7" w:rsidR="00A0602C" w:rsidRPr="00B40479" w:rsidRDefault="00A0602C" w:rsidP="00A0602C">
      <w:pPr>
        <w:pStyle w:val="ListBullet"/>
      </w:pPr>
      <w:r w:rsidRPr="00B40479">
        <w:rPr>
          <w:b/>
        </w:rPr>
        <w:t>The lack of formal joint governance architecture</w:t>
      </w:r>
      <w:r w:rsidR="006C473F">
        <w:t>:</w:t>
      </w:r>
      <w:r w:rsidRPr="00B40479">
        <w:t xml:space="preserve"> There is no authorising environment that makes collaborative approaches the default. Instead, collaborati</w:t>
      </w:r>
      <w:r>
        <w:t>on</w:t>
      </w:r>
      <w:r w:rsidRPr="00B40479">
        <w:t xml:space="preserve"> occur</w:t>
      </w:r>
      <w:r>
        <w:t>s</w:t>
      </w:r>
      <w:r w:rsidRPr="00B40479">
        <w:t xml:space="preserve"> despite the system, and success relies on the motivation and goodwill of individuals. When these individuals leave, initiatives can cease.</w:t>
      </w:r>
    </w:p>
    <w:p w14:paraId="5A77F479" w14:textId="26ADF21D" w:rsidR="00A0602C" w:rsidRPr="00B40479" w:rsidRDefault="00A0602C" w:rsidP="00A0602C">
      <w:pPr>
        <w:pStyle w:val="ListBullet"/>
      </w:pPr>
      <w:r w:rsidRPr="00B40479">
        <w:rPr>
          <w:b/>
          <w:bCs/>
        </w:rPr>
        <w:t>Misaligned incentives</w:t>
      </w:r>
      <w:r w:rsidR="006C473F">
        <w:t>:</w:t>
      </w:r>
      <w:r w:rsidRPr="00B40479">
        <w:t xml:space="preserve"> </w:t>
      </w:r>
      <w:r>
        <w:t>Collaboration</w:t>
      </w:r>
      <w:r w:rsidRPr="00B40479">
        <w:t xml:space="preserve"> </w:t>
      </w:r>
      <w:r>
        <w:t>can be inhibited by</w:t>
      </w:r>
      <w:r w:rsidRPr="00B40479">
        <w:t xml:space="preserve"> silo</w:t>
      </w:r>
      <w:r>
        <w:t>ed</w:t>
      </w:r>
      <w:r w:rsidRPr="00B40479">
        <w:t xml:space="preserve"> organisations and funding arrangements (</w:t>
      </w:r>
      <w:proofErr w:type="spellStart"/>
      <w:r w:rsidRPr="00B40479">
        <w:t>AdPha</w:t>
      </w:r>
      <w:proofErr w:type="spellEnd"/>
      <w:r w:rsidRPr="00B40479">
        <w:t>, qr. 60, p. 4; CHA, qr. 65, p. 7)</w:t>
      </w:r>
      <w:r>
        <w:t>, and by m</w:t>
      </w:r>
      <w:r w:rsidRPr="00B40479">
        <w:t>isaligned areas of geographical responsibility</w:t>
      </w:r>
      <w:r>
        <w:t>,</w:t>
      </w:r>
      <w:r w:rsidRPr="00B40479" w:rsidDel="001502AF">
        <w:t xml:space="preserve"> </w:t>
      </w:r>
      <w:r w:rsidRPr="00B40479">
        <w:t>such as boundary mis</w:t>
      </w:r>
      <w:r>
        <w:t>matches</w:t>
      </w:r>
      <w:r w:rsidRPr="00B40479">
        <w:t xml:space="preserve"> between </w:t>
      </w:r>
      <w:r>
        <w:t xml:space="preserve">some </w:t>
      </w:r>
      <w:r w:rsidRPr="00B40479">
        <w:t>LHNs and PHNs.</w:t>
      </w:r>
    </w:p>
    <w:p w14:paraId="46EAB899" w14:textId="24C99396" w:rsidR="00A0602C" w:rsidRDefault="00A0602C" w:rsidP="00A0602C">
      <w:pPr>
        <w:pStyle w:val="ListBullet"/>
      </w:pPr>
      <w:r w:rsidRPr="00B40479">
        <w:rPr>
          <w:b/>
          <w:bCs/>
        </w:rPr>
        <w:t>Data and evaluation constraints</w:t>
      </w:r>
      <w:r w:rsidR="003D3A4E">
        <w:t>:</w:t>
      </w:r>
      <w:r w:rsidRPr="00B40479">
        <w:t xml:space="preserve"> Data</w:t>
      </w:r>
      <w:r>
        <w:noBreakHyphen/>
      </w:r>
      <w:r w:rsidRPr="00B40479">
        <w:t>sharing arrangements can be difficult and time consuming to establish, frustrating opportunities to collaborate (Fixing the NDIS research team, Centre for Disability Research and Policy, The University of Sydney, qr. 31, p. 5; CHA, qr. 65, pp. 7–8).</w:t>
      </w:r>
    </w:p>
    <w:p w14:paraId="35B89BFA" w14:textId="77777777" w:rsidR="00A0602C" w:rsidRPr="00B40479" w:rsidRDefault="00A0602C">
      <w:pPr>
        <w:pStyle w:val="Heading2-nonumber"/>
      </w:pPr>
      <w:bookmarkStart w:id="82" w:name="_Toc215671170"/>
      <w:bookmarkStart w:id="83" w:name="_Toc215838134"/>
      <w:r w:rsidRPr="00B40479">
        <w:lastRenderedPageBreak/>
        <w:t>Reform of governance and funding to embed collaborative commissioning</w:t>
      </w:r>
      <w:bookmarkEnd w:id="82"/>
      <w:bookmarkEnd w:id="83"/>
    </w:p>
    <w:p w14:paraId="064489DC" w14:textId="77777777" w:rsidR="00A0602C" w:rsidRPr="006B14AC" w:rsidRDefault="00A0602C">
      <w:pPr>
        <w:pStyle w:val="BodyText"/>
        <w:keepNext/>
        <w:rPr>
          <w:spacing w:val="-2"/>
        </w:rPr>
      </w:pPr>
      <w:r w:rsidRPr="006B14AC">
        <w:rPr>
          <w:spacing w:val="-2"/>
        </w:rPr>
        <w:t>Embedding systemwide use of collaborative commissioning requires a comprehensive approach. To overcome systemic barriers that impede the broad adoption of collaborative practices, governments need to:</w:t>
      </w:r>
    </w:p>
    <w:p w14:paraId="0E696DB4" w14:textId="77777777" w:rsidR="00A0602C" w:rsidRPr="00B40479" w:rsidRDefault="00A0602C">
      <w:pPr>
        <w:pStyle w:val="ListNumber"/>
      </w:pPr>
      <w:r>
        <w:t xml:space="preserve">provide </w:t>
      </w:r>
      <w:r w:rsidRPr="00B40479">
        <w:t xml:space="preserve">a more consistent </w:t>
      </w:r>
      <w:r>
        <w:t xml:space="preserve">and prescriptive </w:t>
      </w:r>
      <w:r w:rsidRPr="00B40479">
        <w:t>approach to joint regional governance</w:t>
      </w:r>
    </w:p>
    <w:p w14:paraId="7DA24F61" w14:textId="77777777" w:rsidR="00A0602C" w:rsidRPr="00B40479" w:rsidRDefault="00A0602C">
      <w:pPr>
        <w:pStyle w:val="ListNumber"/>
      </w:pPr>
      <w:r w:rsidRPr="00B40479">
        <w:t>increas</w:t>
      </w:r>
      <w:r>
        <w:t>e the flexibility and</w:t>
      </w:r>
      <w:r w:rsidRPr="00B40479">
        <w:t xml:space="preserve"> certainty of funding</w:t>
      </w:r>
    </w:p>
    <w:p w14:paraId="56CC36E5" w14:textId="77777777" w:rsidR="00A0602C" w:rsidRPr="00B40479" w:rsidRDefault="00A0602C">
      <w:pPr>
        <w:pStyle w:val="ListNumber"/>
      </w:pPr>
      <w:r>
        <w:t xml:space="preserve">provide </w:t>
      </w:r>
      <w:r w:rsidRPr="00B40479">
        <w:t>dedicated funding that incentivises collaboration</w:t>
      </w:r>
    </w:p>
    <w:p w14:paraId="7362D65D" w14:textId="77777777" w:rsidR="00A0602C" w:rsidRPr="00B40479" w:rsidRDefault="00A0602C">
      <w:pPr>
        <w:pStyle w:val="ListNumber"/>
      </w:pPr>
      <w:r>
        <w:t xml:space="preserve">undertake </w:t>
      </w:r>
      <w:r w:rsidRPr="00B40479">
        <w:t>supporting actions to provide strategic direction and guidance and enabl</w:t>
      </w:r>
      <w:r>
        <w:t>e</w:t>
      </w:r>
      <w:r w:rsidRPr="00B40479">
        <w:t xml:space="preserve"> access to data.</w:t>
      </w:r>
    </w:p>
    <w:p w14:paraId="31C6B28F" w14:textId="77777777" w:rsidR="00A0602C" w:rsidRPr="00B40479" w:rsidRDefault="00A0602C">
      <w:pPr>
        <w:pStyle w:val="Heading3"/>
      </w:pPr>
      <w:r w:rsidRPr="00B40479">
        <w:t xml:space="preserve">A consistent joint governance framework </w:t>
      </w:r>
      <w:r>
        <w:t>is needed</w:t>
      </w:r>
      <w:r w:rsidRPr="00B40479">
        <w:t xml:space="preserve"> </w:t>
      </w:r>
    </w:p>
    <w:p w14:paraId="2EBCECB2" w14:textId="0D6BFF96" w:rsidR="00A0602C" w:rsidRDefault="00A0602C">
      <w:pPr>
        <w:pStyle w:val="BodyText"/>
      </w:pPr>
      <w:r>
        <w:t>To expand successful collaborative commissioning, g</w:t>
      </w:r>
      <w:r w:rsidRPr="00B40479">
        <w:t>overnments should strengthen the joint</w:t>
      </w:r>
      <w:r>
        <w:t xml:space="preserve"> </w:t>
      </w:r>
      <w:r w:rsidRPr="00B40479">
        <w:t xml:space="preserve">governance requirements </w:t>
      </w:r>
      <w:r>
        <w:t xml:space="preserve">they place </w:t>
      </w:r>
      <w:r w:rsidRPr="00B40479">
        <w:t>on LHNs and PHNs</w:t>
      </w:r>
      <w:r>
        <w:t>. As the George Institute for Global Health submitted, ‘r</w:t>
      </w:r>
      <w:r w:rsidRPr="00C40596">
        <w:t>eliance on goodwill alone is insufficient in an environment where there are competing priorities that can divert resources and attentio</w:t>
      </w:r>
      <w:r>
        <w:t>n’ (sub. 154, p. 3).</w:t>
      </w:r>
      <w:r w:rsidRPr="00957E50">
        <w:t xml:space="preserve"> </w:t>
      </w:r>
      <w:r>
        <w:t>Participants expressed broad support for more formal joint governance requirements (for example</w:t>
      </w:r>
      <w:r w:rsidR="00037E27">
        <w:t>,</w:t>
      </w:r>
      <w:r>
        <w:rPr>
          <w:lang w:val="en-US"/>
        </w:rPr>
        <w:t xml:space="preserve"> </w:t>
      </w:r>
      <w:r w:rsidR="00037E27">
        <w:rPr>
          <w:lang w:val="en-US"/>
        </w:rPr>
        <w:t>T</w:t>
      </w:r>
      <w:r>
        <w:rPr>
          <w:lang w:val="en-US"/>
        </w:rPr>
        <w:t xml:space="preserve">he Health Alliance, sub. 84, p. 5; PHN Cooperative, sub. 104, pp. 6–7; </w:t>
      </w:r>
      <w:r w:rsidR="00AB0889">
        <w:rPr>
          <w:lang w:val="en-US"/>
        </w:rPr>
        <w:t>T</w:t>
      </w:r>
      <w:r>
        <w:rPr>
          <w:lang w:val="en-US"/>
        </w:rPr>
        <w:t>he George Institute for Global Health, sub. 154, p. 3)</w:t>
      </w:r>
      <w:r>
        <w:t>.</w:t>
      </w:r>
    </w:p>
    <w:p w14:paraId="20D12CDA" w14:textId="77777777" w:rsidR="00A0602C" w:rsidRDefault="00A0602C">
      <w:pPr>
        <w:pStyle w:val="BodyText"/>
      </w:pPr>
      <w:r>
        <w:t xml:space="preserve">The National Health Reform Agreement (NHRA) should be the main lever for embedding collaborative commissioning between LHNs and PHNs and strengthened joint governance arrangements should be included in the 2026 addendum. The NHRA provides a mechanism for Australian, state and territory governments to provide overarching strategic direction and creates an authorising environment that embeds collaboration as standard operating practice. </w:t>
      </w:r>
    </w:p>
    <w:p w14:paraId="13B265EA" w14:textId="77777777" w:rsidR="00A0602C" w:rsidRDefault="00A0602C">
      <w:pPr>
        <w:pStyle w:val="BodyText"/>
      </w:pPr>
      <w:r>
        <w:t xml:space="preserve">Strengthened joint governance requirements </w:t>
      </w:r>
      <w:r w:rsidRPr="00B40479">
        <w:t xml:space="preserve">are consistent with the intent and ambition of the NHRA as it stands, but the </w:t>
      </w:r>
      <w:r>
        <w:t>2020–2025</w:t>
      </w:r>
      <w:r w:rsidRPr="00B40479">
        <w:t xml:space="preserve"> agreement falls short because it is aspirational, with insufficient detail and accountability to achieve tangible progress on collaboration between different parts of the health sector.</w:t>
      </w:r>
    </w:p>
    <w:p w14:paraId="3DFC76C2" w14:textId="5D7A059C" w:rsidR="00A0602C" w:rsidRPr="00B40479" w:rsidRDefault="00A0602C">
      <w:pPr>
        <w:pStyle w:val="BodyText"/>
      </w:pPr>
      <w:r w:rsidRPr="00B40479">
        <w:t xml:space="preserve">The </w:t>
      </w:r>
      <w:r>
        <w:t>midterm</w:t>
      </w:r>
      <w:r w:rsidRPr="00B40479">
        <w:t xml:space="preserve"> review of the NHRA recommended </w:t>
      </w:r>
      <w:r w:rsidRPr="00B40479" w:rsidDel="00E81E66">
        <w:t>developing a nationally consistent governance framework to drive and enforce integration between PHNs, LHNs and ACCHOs</w:t>
      </w:r>
      <w:r>
        <w:t>. It also proposed</w:t>
      </w:r>
      <w:r w:rsidRPr="00B40479" w:rsidDel="00E81E66">
        <w:t xml:space="preserve"> minimum requirements for local planning and </w:t>
      </w:r>
      <w:r>
        <w:t>co</w:t>
      </w:r>
      <w:r>
        <w:noBreakHyphen/>
        <w:t>commissioning</w:t>
      </w:r>
      <w:r w:rsidRPr="00B40479" w:rsidDel="00E81E66">
        <w:t>, shared and linked datasets, agreed programs of work and shared reporting and accountability outcomes</w:t>
      </w:r>
      <w:r>
        <w:t xml:space="preserve"> </w:t>
      </w:r>
      <w:r w:rsidRPr="00E31E30">
        <w:rPr>
          <w:rFonts w:ascii="Arial" w:hAnsi="Arial" w:cs="Arial"/>
        </w:rPr>
        <w:t>(Huxtable 2023, recommendation 7)</w:t>
      </w:r>
      <w:r w:rsidRPr="00B40479" w:rsidDel="00E81E66">
        <w:t>.</w:t>
      </w:r>
      <w:r w:rsidRPr="00B40479">
        <w:t xml:space="preserve"> </w:t>
      </w:r>
      <w:r w:rsidRPr="00284995">
        <w:t>The PC’s reform proposal, detailed below, is broadly consistent with that recommendation and builds on it.</w:t>
      </w:r>
      <w:r w:rsidRPr="00B40479">
        <w:t xml:space="preserve"> </w:t>
      </w:r>
    </w:p>
    <w:p w14:paraId="1964C586" w14:textId="77777777" w:rsidR="00A0602C" w:rsidRPr="006B14AC" w:rsidRDefault="00A0602C">
      <w:pPr>
        <w:pStyle w:val="BodyText"/>
        <w:rPr>
          <w:spacing w:val="-2"/>
        </w:rPr>
      </w:pPr>
      <w:r w:rsidRPr="006B14AC">
        <w:rPr>
          <w:spacing w:val="-2"/>
        </w:rPr>
        <w:t>If the 2026 addendum to the NHRA does not go as far as the reforms proposed below, governments should increase efforts through bilateral arrangements and provide some interim resourcing, to support stronger joint governance and ensure that progress does not stall. Arrangements such as the Queensland</w:t>
      </w:r>
      <w:r w:rsidRPr="006B14AC">
        <w:rPr>
          <w:spacing w:val="-2"/>
        </w:rPr>
        <w:noBreakHyphen/>
        <w:t>Commonwealth Partnership (QCP) (box 2.4) demonstrate the scope for governments to do more to facilitate collaboration under the current settings. To embed a consistent national approach to collaboration, however, the ambition should remain to make the NHRA more prescriptive in the next addendum.</w:t>
      </w:r>
    </w:p>
    <w:p w14:paraId="49FA5F60" w14:textId="77777777" w:rsidR="00A0602C" w:rsidRPr="00B40479" w:rsidRDefault="00A0602C">
      <w:pPr>
        <w:pStyle w:val="Heading4"/>
      </w:pPr>
      <w:r w:rsidRPr="00B40479">
        <w:t>Joint committee arrangements</w:t>
      </w:r>
      <w:r>
        <w:t xml:space="preserve"> are needed to strengthen collaboration</w:t>
      </w:r>
    </w:p>
    <w:p w14:paraId="2529BA79" w14:textId="77777777" w:rsidR="00A0602C" w:rsidRPr="00B40479" w:rsidRDefault="00A0602C">
      <w:pPr>
        <w:pStyle w:val="BodyText"/>
      </w:pPr>
      <w:r>
        <w:t>F</w:t>
      </w:r>
      <w:r w:rsidRPr="00B40479">
        <w:t>ormal</w:t>
      </w:r>
      <w:r>
        <w:t>ised</w:t>
      </w:r>
      <w:r w:rsidRPr="00B40479">
        <w:t xml:space="preserve"> engagement processes </w:t>
      </w:r>
      <w:r>
        <w:t>should underpin</w:t>
      </w:r>
      <w:r w:rsidRPr="00B40479">
        <w:t xml:space="preserve"> </w:t>
      </w:r>
      <w:r>
        <w:t>s</w:t>
      </w:r>
      <w:r w:rsidRPr="00B40479">
        <w:t xml:space="preserve">tronger collaborative arrangements. Under the </w:t>
      </w:r>
      <w:r>
        <w:t>NHRA</w:t>
      </w:r>
      <w:r w:rsidRPr="00B40479">
        <w:t>, LHNs and PHNs are expected to have overlapping board composition and establish formal engagement protocols, but these expectations are not</w:t>
      </w:r>
      <w:r w:rsidRPr="00B40479" w:rsidDel="00E76CE5">
        <w:t xml:space="preserve"> </w:t>
      </w:r>
      <w:r w:rsidRPr="00B40479">
        <w:t>having enough effect</w:t>
      </w:r>
      <w:r>
        <w:t xml:space="preserve"> and collaboration varies as a result</w:t>
      </w:r>
      <w:r w:rsidRPr="00B40479">
        <w:t xml:space="preserve">. </w:t>
      </w:r>
    </w:p>
    <w:p w14:paraId="4CE36A34" w14:textId="395B04B5" w:rsidR="00A0602C" w:rsidRPr="00B40479" w:rsidRDefault="00A0602C">
      <w:pPr>
        <w:pStyle w:val="BodyText"/>
        <w:keepNext/>
      </w:pPr>
      <w:r w:rsidRPr="00B40479">
        <w:t xml:space="preserve">Joint committees or boards have </w:t>
      </w:r>
      <w:r>
        <w:t>been critical in</w:t>
      </w:r>
      <w:r w:rsidRPr="00B40479">
        <w:t xml:space="preserve"> previous instances of collaborative commissioning. </w:t>
      </w:r>
      <w:r>
        <w:t>T</w:t>
      </w:r>
      <w:r w:rsidRPr="00B40479">
        <w:t>he Patient Centred Co</w:t>
      </w:r>
      <w:r w:rsidRPr="00B40479">
        <w:noBreakHyphen/>
        <w:t xml:space="preserve">commissioning Groups </w:t>
      </w:r>
      <w:r>
        <w:t xml:space="preserve">formed under the </w:t>
      </w:r>
      <w:r w:rsidRPr="00B40479">
        <w:t>NSW Collaborative Commissioning initiative</w:t>
      </w:r>
      <w:r>
        <w:t xml:space="preserve"> is </w:t>
      </w:r>
      <w:r>
        <w:lastRenderedPageBreak/>
        <w:t xml:space="preserve">one example </w:t>
      </w:r>
      <w:r w:rsidRPr="00B40479">
        <w:rPr>
          <w:rFonts w:ascii="Arial" w:hAnsi="Arial" w:cs="Arial"/>
        </w:rPr>
        <w:t>(NSW Health 2024b)</w:t>
      </w:r>
      <w:r w:rsidRPr="00B40479">
        <w:t>. Similarly</w:t>
      </w:r>
      <w:r w:rsidRPr="00B40479" w:rsidDel="003C74EA">
        <w:t xml:space="preserve">, </w:t>
      </w:r>
      <w:r>
        <w:t>the Health Alliance</w:t>
      </w:r>
      <w:r w:rsidDel="00A9616D">
        <w:t>, a joint initiative</w:t>
      </w:r>
      <w:r w:rsidRPr="00B40479" w:rsidDel="00A9616D">
        <w:t xml:space="preserve"> between Brisbane North PHN and Metro North Health</w:t>
      </w:r>
      <w:r>
        <w:t>,</w:t>
      </w:r>
      <w:r w:rsidRPr="00B40479">
        <w:t xml:space="preserve"> is governed by a joint board committee</w:t>
      </w:r>
      <w:r>
        <w:t xml:space="preserve"> that includes</w:t>
      </w:r>
      <w:r w:rsidRPr="00B40479">
        <w:t xml:space="preserve"> </w:t>
      </w:r>
      <w:r>
        <w:t xml:space="preserve">the </w:t>
      </w:r>
      <w:r w:rsidRPr="00B40479">
        <w:t xml:space="preserve">board chairs and chief executives of both organisations </w:t>
      </w:r>
      <w:r w:rsidRPr="00E31E30">
        <w:rPr>
          <w:rFonts w:ascii="Arial" w:hAnsi="Arial" w:cs="Arial"/>
        </w:rPr>
        <w:t>(The Health Alliance 2025)</w:t>
      </w:r>
      <w:r w:rsidRPr="00B40479">
        <w:t>.</w:t>
      </w:r>
    </w:p>
    <w:p w14:paraId="4B6E3A36" w14:textId="77777777" w:rsidR="00A0602C" w:rsidRDefault="00A0602C">
      <w:pPr>
        <w:pStyle w:val="BodyText"/>
      </w:pPr>
      <w:r w:rsidDel="006D2926">
        <w:t>LHNs and PHNs need to form j</w:t>
      </w:r>
      <w:r w:rsidRPr="00B40479" w:rsidDel="006D2926">
        <w:t>oint committees to oversee collaborative commissioning activities</w:t>
      </w:r>
      <w:r>
        <w:t xml:space="preserve"> (figure 2.3)</w:t>
      </w:r>
      <w:r w:rsidRPr="00B40479">
        <w:t>.</w:t>
      </w:r>
      <w:r w:rsidRPr="00737198">
        <w:t xml:space="preserve"> </w:t>
      </w:r>
    </w:p>
    <w:p w14:paraId="5EBC03FB" w14:textId="68A1441A" w:rsidR="00A0602C" w:rsidRDefault="00A0602C">
      <w:pPr>
        <w:pStyle w:val="FigureTableHeading"/>
      </w:pPr>
      <w:r>
        <w:t xml:space="preserve">Figure </w:t>
      </w:r>
      <w:r>
        <w:fldChar w:fldCharType="begin"/>
      </w:r>
      <w:r>
        <w:instrText xml:space="preserve"> STYLEREF 1 \s </w:instrText>
      </w:r>
      <w:r>
        <w:fldChar w:fldCharType="separate"/>
      </w:r>
      <w:r w:rsidR="00FB1849">
        <w:rPr>
          <w:noProof/>
        </w:rPr>
        <w:t>2</w:t>
      </w:r>
      <w:r>
        <w:rPr>
          <w:noProof/>
        </w:rPr>
        <w:fldChar w:fldCharType="end"/>
      </w:r>
      <w:r>
        <w:t>.</w:t>
      </w:r>
      <w:r>
        <w:fldChar w:fldCharType="begin"/>
      </w:r>
      <w:r>
        <w:instrText xml:space="preserve"> SEQ Figure \* ARABIC \s 1 </w:instrText>
      </w:r>
      <w:r>
        <w:fldChar w:fldCharType="separate"/>
      </w:r>
      <w:r w:rsidR="00FB1849">
        <w:rPr>
          <w:noProof/>
        </w:rPr>
        <w:t>3</w:t>
      </w:r>
      <w:r>
        <w:rPr>
          <w:noProof/>
        </w:rPr>
        <w:fldChar w:fldCharType="end"/>
      </w:r>
      <w:r>
        <w:rPr>
          <w:noProof/>
        </w:rPr>
        <w:t xml:space="preserve"> </w:t>
      </w:r>
      <w:r>
        <w:t>– Joint committees should have the following scope</w:t>
      </w:r>
    </w:p>
    <w:p w14:paraId="6DF19045" w14:textId="307BC077" w:rsidR="00A0602C" w:rsidRPr="00D065C2" w:rsidRDefault="004D626D" w:rsidP="00910156">
      <w:pPr>
        <w:pStyle w:val="BodyText"/>
        <w:spacing w:after="240"/>
        <w:rPr>
          <w:color w:val="000000" w:themeColor="text1"/>
        </w:rPr>
      </w:pPr>
      <w:r w:rsidRPr="004D626D">
        <w:rPr>
          <w:noProof/>
        </w:rPr>
        <w:drawing>
          <wp:inline distT="0" distB="0" distL="0" distR="0" wp14:anchorId="647FE980" wp14:editId="1A3D8F9F">
            <wp:extent cx="6120130" cy="1158875"/>
            <wp:effectExtent l="0" t="0" r="0" b="3175"/>
            <wp:docPr id="1495786104" name="Picture 8" descr="This figure contains four text elements on the scope of joint committees, which are:&#10;• Setting the guiding principles and strategic direction for the collaborating organisations&#10;• Responsibility for overseeing joint needs assessments and planning&#10;• Oversight, coordination and monitoring of collaboratively commissioned programs&#10;• Sharing accountability for program outcomes, including evaluating outcomes and refining approach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86104" name="Picture 8" descr="This figure contains four text elements on the scope of joint committees, which are:&#10;• Setting the guiding principles and strategic direction for the collaborating organisations&#10;• Responsibility for overseeing joint needs assessments and planning&#10;• Oversight, coordination and monitoring of collaboratively commissioned programs&#10;• Sharing accountability for program outcomes, including evaluating outcomes and refining approaches&#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1158875"/>
                    </a:xfrm>
                    <a:prstGeom prst="rect">
                      <a:avLst/>
                    </a:prstGeom>
                    <a:noFill/>
                    <a:ln>
                      <a:noFill/>
                    </a:ln>
                  </pic:spPr>
                </pic:pic>
              </a:graphicData>
            </a:graphic>
          </wp:inline>
        </w:drawing>
      </w:r>
    </w:p>
    <w:p w14:paraId="673889F8" w14:textId="77777777" w:rsidR="00A0602C" w:rsidRPr="00B40479" w:rsidRDefault="00A0602C">
      <w:pPr>
        <w:pStyle w:val="BodyText"/>
      </w:pPr>
      <w:r>
        <w:t>Joint</w:t>
      </w:r>
      <w:r w:rsidRPr="00B40479">
        <w:t xml:space="preserve"> committees should meet regularly and have a chain of accountability that encourages </w:t>
      </w:r>
      <w:r>
        <w:t xml:space="preserve">all levels of the organisations to </w:t>
      </w:r>
      <w:r w:rsidRPr="00B40479">
        <w:t>collaborat</w:t>
      </w:r>
      <w:r>
        <w:t>e</w:t>
      </w:r>
      <w:r w:rsidRPr="00B40479">
        <w:t>.</w:t>
      </w:r>
      <w:r>
        <w:t xml:space="preserve"> This could include boards </w:t>
      </w:r>
      <w:r w:rsidRPr="00B40479">
        <w:t>compris</w:t>
      </w:r>
      <w:r>
        <w:t>ing</w:t>
      </w:r>
      <w:r w:rsidRPr="00B40479">
        <w:t xml:space="preserve"> the </w:t>
      </w:r>
      <w:r>
        <w:t>senior management</w:t>
      </w:r>
      <w:r w:rsidRPr="00B40479">
        <w:t xml:space="preserve"> of collaborating parties</w:t>
      </w:r>
      <w:r>
        <w:t xml:space="preserve"> and</w:t>
      </w:r>
      <w:r w:rsidRPr="00B40479">
        <w:t xml:space="preserve"> joint working groups that </w:t>
      </w:r>
      <w:r>
        <w:t>focus on</w:t>
      </w:r>
      <w:r w:rsidRPr="00B40479">
        <w:t xml:space="preserve"> specific activities. </w:t>
      </w:r>
    </w:p>
    <w:p w14:paraId="7F11E64D" w14:textId="77777777" w:rsidR="00A0602C" w:rsidRPr="00B40479" w:rsidRDefault="00A0602C">
      <w:pPr>
        <w:pStyle w:val="BodyText"/>
        <w:keepNext/>
      </w:pPr>
      <w:r w:rsidRPr="00B40479">
        <w:t>In addition to LHN and PHN members, these committees should include representatives of ACCHOs, other care sectors, service providers and relevant independent experts, where practicable. When forming these committees, the organisations’ other consultative committees and arrangements</w:t>
      </w:r>
      <w:r w:rsidRPr="00B40479" w:rsidDel="00841DB3">
        <w:t xml:space="preserve"> </w:t>
      </w:r>
      <w:r w:rsidRPr="00B40479">
        <w:t>should also be considered.</w:t>
      </w:r>
    </w:p>
    <w:p w14:paraId="6CBD17CC" w14:textId="77777777" w:rsidR="00A0602C" w:rsidRPr="00B40479" w:rsidRDefault="00A0602C">
      <w:pPr>
        <w:pStyle w:val="BodyText"/>
        <w:keepNext/>
      </w:pPr>
      <w:r>
        <w:t>To i</w:t>
      </w:r>
      <w:r w:rsidRPr="00B40479">
        <w:t>mprov</w:t>
      </w:r>
      <w:r>
        <w:t>e</w:t>
      </w:r>
      <w:r w:rsidRPr="00B40479">
        <w:t xml:space="preserve"> health outcomes for Aboriginal and Torres Strait Islander people and </w:t>
      </w:r>
      <w:r>
        <w:t xml:space="preserve">achieve </w:t>
      </w:r>
      <w:r w:rsidRPr="00B40479">
        <w:t xml:space="preserve">progress towards </w:t>
      </w:r>
      <w:r>
        <w:t>the</w:t>
      </w:r>
      <w:r w:rsidRPr="00B40479">
        <w:t xml:space="preserve"> targets in the National Agreement on Closing the Gap</w:t>
      </w:r>
      <w:r>
        <w:t>,</w:t>
      </w:r>
      <w:r w:rsidRPr="00B40479" w:rsidDel="00066A51">
        <w:t xml:space="preserve"> </w:t>
      </w:r>
      <w:r>
        <w:t xml:space="preserve">growth in </w:t>
      </w:r>
      <w:r w:rsidRPr="00B40479">
        <w:t>the ACCHO sector</w:t>
      </w:r>
      <w:r>
        <w:t xml:space="preserve"> is needed</w:t>
      </w:r>
      <w:r w:rsidRPr="00B40479">
        <w:t xml:space="preserve"> (NACCHO</w:t>
      </w:r>
      <w:r>
        <w:t xml:space="preserve">, </w:t>
      </w:r>
      <w:r w:rsidRPr="00B40479">
        <w:t>sub</w:t>
      </w:r>
      <w:r>
        <w:t>. 215, pp. 16–17</w:t>
      </w:r>
      <w:r w:rsidRPr="00B40479">
        <w:t>)</w:t>
      </w:r>
      <w:r>
        <w:t>. Such expansion</w:t>
      </w:r>
      <w:r w:rsidRPr="00B40479">
        <w:t xml:space="preserve"> could reduce the role of mainstream organisations (such as PHNs) in commissioning or delivering services for Aboriginal and Torres Strait Islander people</w:t>
      </w:r>
      <w:r>
        <w:t>. However</w:t>
      </w:r>
      <w:r w:rsidRPr="00B40479">
        <w:t xml:space="preserve">, </w:t>
      </w:r>
      <w:r>
        <w:t xml:space="preserve">hospitals and other </w:t>
      </w:r>
      <w:r w:rsidRPr="00B40479">
        <w:t xml:space="preserve">mainstream organisations </w:t>
      </w:r>
      <w:r>
        <w:t xml:space="preserve">still need </w:t>
      </w:r>
      <w:r w:rsidRPr="00B40479">
        <w:t xml:space="preserve">to partner in the provision of services for Aboriginal and Torres Strait Islander people. </w:t>
      </w:r>
    </w:p>
    <w:p w14:paraId="2D46E8D1" w14:textId="005FE9BF" w:rsidR="00A0602C" w:rsidRPr="00B40479" w:rsidRDefault="00A0602C">
      <w:pPr>
        <w:pStyle w:val="BodyText"/>
        <w:keepNext/>
      </w:pPr>
      <w:r>
        <w:t>These partnerships already occur to varying extents, but partnerships between LHNs, PHNs and ACCHOs should be formalised in a way consistent with Priority Reform Three under the National Agreement on Closing the Gap</w:t>
      </w:r>
      <w:r w:rsidDel="00D10DFF">
        <w:t xml:space="preserve"> </w:t>
      </w:r>
      <w:r>
        <w:t>that reflects the role of ACCHOs as essential partners in program and service design and implementation and enables shared decision</w:t>
      </w:r>
      <w:r w:rsidR="0055514C">
        <w:t>-</w:t>
      </w:r>
      <w:r>
        <w:t xml:space="preserve">making. </w:t>
      </w:r>
      <w:r w:rsidR="00C51ABC">
        <w:t>These f</w:t>
      </w:r>
      <w:r w:rsidR="00AD5FAB">
        <w:t xml:space="preserve">ormal partnership requirements </w:t>
      </w:r>
      <w:r w:rsidR="004F41E9">
        <w:t xml:space="preserve">will </w:t>
      </w:r>
      <w:r w:rsidR="00AD5FAB">
        <w:t>need to allow</w:t>
      </w:r>
      <w:r w:rsidR="00CE22FF">
        <w:t xml:space="preserve"> for</w:t>
      </w:r>
      <w:r>
        <w:t xml:space="preserve"> flexible approaches to account for local preferences and capability. For example, the </w:t>
      </w:r>
      <w:proofErr w:type="gramStart"/>
      <w:r>
        <w:t>South West</w:t>
      </w:r>
      <w:proofErr w:type="gramEnd"/>
      <w:r>
        <w:t xml:space="preserve"> Queensland Primary Health Care Alliance Leadership Team includes representatives from a wide range of partners in the region (box 2.5). </w:t>
      </w:r>
    </w:p>
    <w:p w14:paraId="145E6F92" w14:textId="77777777" w:rsidR="00A0602C" w:rsidRPr="00B40479" w:rsidRDefault="00A0602C">
      <w:pPr>
        <w:pStyle w:val="Heading4"/>
      </w:pPr>
      <w:r w:rsidRPr="00B40479">
        <w:t>Joint planning to guide collaboration</w:t>
      </w:r>
    </w:p>
    <w:p w14:paraId="05EAFF1F" w14:textId="77777777" w:rsidR="00A0602C" w:rsidRPr="00B40479" w:rsidRDefault="00A0602C">
      <w:pPr>
        <w:pStyle w:val="BodyText"/>
      </w:pPr>
      <w:r>
        <w:t>Stronger</w:t>
      </w:r>
      <w:r w:rsidRPr="00B40479">
        <w:t xml:space="preserve"> joint planning processes would enable LHNs and PHNs to understand the priority needs of their population</w:t>
      </w:r>
      <w:r>
        <w:t>s</w:t>
      </w:r>
      <w:r w:rsidRPr="00B40479">
        <w:t xml:space="preserve">, plan </w:t>
      </w:r>
      <w:r>
        <w:t>how they will</w:t>
      </w:r>
      <w:r w:rsidRPr="00B40479">
        <w:t xml:space="preserve"> collaborate and evaluate </w:t>
      </w:r>
      <w:r>
        <w:t xml:space="preserve">whether </w:t>
      </w:r>
      <w:r w:rsidRPr="00B40479">
        <w:t>intended care outcomes</w:t>
      </w:r>
      <w:r>
        <w:t xml:space="preserve"> are achieved</w:t>
      </w:r>
      <w:r w:rsidRPr="00B40479">
        <w:t xml:space="preserve">. </w:t>
      </w:r>
    </w:p>
    <w:p w14:paraId="2349FBE4" w14:textId="48A52A04" w:rsidR="00A0602C" w:rsidRPr="00932EB7" w:rsidRDefault="00A0602C">
      <w:pPr>
        <w:pStyle w:val="BodyText"/>
        <w:rPr>
          <w:spacing w:val="-2"/>
        </w:rPr>
      </w:pPr>
      <w:r w:rsidRPr="00932EB7">
        <w:rPr>
          <w:spacing w:val="-2"/>
        </w:rPr>
        <w:t xml:space="preserve">To varying extents, LHNs and PHNs already undertake joint regional planning for mental health and suicide prevention services under the National Mental Health and Suicide Prevention Agreement. But approaches to this planning have been inconsistent. In its review of the Agreement, the PC </w:t>
      </w:r>
      <w:r w:rsidR="00CD75B1" w:rsidRPr="00932EB7">
        <w:rPr>
          <w:rFonts w:cs="Arial"/>
          <w:spacing w:val="-2"/>
        </w:rPr>
        <w:t>(2025e, pp. 99–101)</w:t>
      </w:r>
      <w:r w:rsidRPr="00932EB7">
        <w:rPr>
          <w:spacing w:val="-2"/>
        </w:rPr>
        <w:t xml:space="preserve"> recommended that national guidelines on regional commissioning and planning be released before June 2026. Joint planning processes </w:t>
      </w:r>
      <w:r w:rsidR="00CF5C00" w:rsidRPr="00932EB7">
        <w:rPr>
          <w:spacing w:val="-2"/>
        </w:rPr>
        <w:t>sh</w:t>
      </w:r>
      <w:r w:rsidRPr="00932EB7">
        <w:rPr>
          <w:spacing w:val="-2"/>
        </w:rPr>
        <w:t>ould be extended to all areas of mutual interest between LHNs and PHNs.</w:t>
      </w:r>
    </w:p>
    <w:p w14:paraId="68511312" w14:textId="77777777" w:rsidR="00A0602C" w:rsidRPr="00B40479" w:rsidRDefault="00A0602C">
      <w:pPr>
        <w:pStyle w:val="Heading5"/>
      </w:pPr>
      <w:r w:rsidRPr="00B40479">
        <w:lastRenderedPageBreak/>
        <w:t xml:space="preserve">A joint needs assessment to identify priority needs </w:t>
      </w:r>
    </w:p>
    <w:p w14:paraId="0955910E" w14:textId="39969807" w:rsidR="00A0602C" w:rsidRPr="00DE3E04" w:rsidRDefault="00A0602C">
      <w:pPr>
        <w:pStyle w:val="BodyText"/>
        <w:rPr>
          <w:spacing w:val="-2"/>
        </w:rPr>
      </w:pPr>
      <w:r w:rsidRPr="00DE3E04">
        <w:rPr>
          <w:spacing w:val="-2"/>
        </w:rPr>
        <w:t>LHNs and PHNs, in partnership with ACCHOs and other relevant organisations, such as local government, should undertake joint needs assessments to identify the health needs of their region and how they vary from national averages. For example, a particular region might have a relatively high population of older and frail residents, high rates of smoking, low rates of vaccination, and/or a significant population with a specific chronic disease. Assessments must consider whether the health needs of the population are being met and if there are service gaps preventing people from receiving appropriate, timely and efficient care (boxes</w:t>
      </w:r>
      <w:r w:rsidRPr="00DE3E04" w:rsidDel="00C44B68">
        <w:rPr>
          <w:spacing w:val="-2"/>
        </w:rPr>
        <w:t> </w:t>
      </w:r>
      <w:r w:rsidRPr="00DE3E04">
        <w:rPr>
          <w:spacing w:val="-2"/>
        </w:rPr>
        <w:t>2.1 and 2.5 illustrate priority areas identified through needs assessments). Partnership with ACCHOs could include ACCHOs leading regional needs assessments for Aboriginal and Torres Strait Islander people (box 2.3).</w:t>
      </w:r>
    </w:p>
    <w:p w14:paraId="32AA6EB3" w14:textId="2E37A23F" w:rsidR="00A0602C" w:rsidRPr="00B40479" w:rsidRDefault="00A0602C">
      <w:pPr>
        <w:pStyle w:val="NoSpacing"/>
      </w:pPr>
    </w:p>
    <w:tbl>
      <w:tblPr>
        <w:tblStyle w:val="Boxtable"/>
        <w:tblW w:w="5000" w:type="pct"/>
        <w:tblLook w:val="04A0" w:firstRow="1" w:lastRow="0" w:firstColumn="1" w:lastColumn="0" w:noHBand="0" w:noVBand="1"/>
      </w:tblPr>
      <w:tblGrid>
        <w:gridCol w:w="9638"/>
      </w:tblGrid>
      <w:tr w:rsidR="00A0602C" w:rsidRPr="00B40479" w14:paraId="05FB54CB" w14:textId="77777777">
        <w:trPr>
          <w:tblHeader/>
        </w:trPr>
        <w:tc>
          <w:tcPr>
            <w:tcW w:w="9638" w:type="dxa"/>
            <w:shd w:val="clear" w:color="auto" w:fill="EBEBEB"/>
            <w:tcMar>
              <w:top w:w="170" w:type="dxa"/>
              <w:left w:w="170" w:type="dxa"/>
              <w:bottom w:w="113" w:type="dxa"/>
              <w:right w:w="170" w:type="dxa"/>
            </w:tcMar>
            <w:hideMark/>
          </w:tcPr>
          <w:p w14:paraId="4F658DBC" w14:textId="7DACE48D" w:rsidR="00A0602C" w:rsidRPr="00B40479" w:rsidRDefault="00A0602C">
            <w:pPr>
              <w:pStyle w:val="BoxHeading1"/>
            </w:pPr>
            <w:r w:rsidRPr="00B40479">
              <w:t xml:space="preserve">Box </w:t>
            </w:r>
            <w:r w:rsidRPr="00B40479">
              <w:fldChar w:fldCharType="begin"/>
            </w:r>
            <w:r w:rsidRPr="00B40479">
              <w:instrText>STYLEREF 1 \s</w:instrText>
            </w:r>
            <w:r w:rsidRPr="00B40479">
              <w:fldChar w:fldCharType="separate"/>
            </w:r>
            <w:r w:rsidR="00FB1849">
              <w:rPr>
                <w:noProof/>
              </w:rPr>
              <w:t>2</w:t>
            </w:r>
            <w:r w:rsidRPr="00B40479">
              <w:fldChar w:fldCharType="end"/>
            </w:r>
            <w:r w:rsidRPr="00B40479">
              <w:t>.</w:t>
            </w:r>
            <w:r w:rsidRPr="00B40479">
              <w:fldChar w:fldCharType="begin"/>
            </w:r>
            <w:r w:rsidRPr="00B40479">
              <w:instrText>SEQ Box \* ARABIC \s 1</w:instrText>
            </w:r>
            <w:r w:rsidRPr="00B40479">
              <w:fldChar w:fldCharType="separate"/>
            </w:r>
            <w:r w:rsidR="00FB1849">
              <w:rPr>
                <w:noProof/>
              </w:rPr>
              <w:t>3</w:t>
            </w:r>
            <w:r w:rsidRPr="00B40479">
              <w:fldChar w:fldCharType="end"/>
            </w:r>
            <w:r w:rsidRPr="00B40479">
              <w:t xml:space="preserve"> – LHNs and PHNs need to partner with ACCHOs and other organisations </w:t>
            </w:r>
          </w:p>
        </w:tc>
      </w:tr>
      <w:tr w:rsidR="00A0602C" w:rsidRPr="00B40479" w14:paraId="718EA45E" w14:textId="77777777">
        <w:tc>
          <w:tcPr>
            <w:tcW w:w="9638" w:type="dxa"/>
            <w:shd w:val="clear" w:color="auto" w:fill="EBEBEB"/>
            <w:tcMar>
              <w:top w:w="28" w:type="dxa"/>
              <w:left w:w="170" w:type="dxa"/>
              <w:bottom w:w="170" w:type="dxa"/>
              <w:right w:w="170" w:type="dxa"/>
            </w:tcMar>
            <w:hideMark/>
          </w:tcPr>
          <w:p w14:paraId="15F0AE04" w14:textId="77777777" w:rsidR="00A0602C" w:rsidRPr="00B40479" w:rsidRDefault="00A0602C">
            <w:pPr>
              <w:pStyle w:val="BodyText"/>
            </w:pPr>
            <w:r w:rsidRPr="00B40479">
              <w:t>Under the National Agreement on Closing the Gap, governments committed to four priority reforms: formal partnerships and shared decision</w:t>
            </w:r>
            <w:r>
              <w:noBreakHyphen/>
            </w:r>
            <w:r w:rsidRPr="00B40479">
              <w:t>making; building the community</w:t>
            </w:r>
            <w:r w:rsidRPr="00B40479">
              <w:noBreakHyphen/>
              <w:t>controlled sector; transforming government organisations; and shared access to data and information at a regional level. Governments, LHNs and PHNs have an obligation to engage with ACCHOs as genuine partners in collaborative commissioning and to work alongside them to advance progress towards the priority reforms.</w:t>
            </w:r>
          </w:p>
          <w:p w14:paraId="4D5080C1" w14:textId="727B297D" w:rsidR="00A0602C" w:rsidRPr="003261DE" w:rsidRDefault="00A0602C">
            <w:pPr>
              <w:pStyle w:val="BodyText"/>
              <w:rPr>
                <w:spacing w:val="-2"/>
              </w:rPr>
            </w:pPr>
            <w:r w:rsidRPr="003261DE">
              <w:rPr>
                <w:spacing w:val="-2"/>
              </w:rPr>
              <w:t xml:space="preserve">The Institute for Urban Indigenous Health </w:t>
            </w:r>
            <w:r w:rsidRPr="003261DE">
              <w:rPr>
                <w:rFonts w:cs="Arial"/>
                <w:spacing w:val="-2"/>
              </w:rPr>
              <w:t>(IUIH 2023, p. 19)</w:t>
            </w:r>
            <w:r w:rsidRPr="003261DE">
              <w:rPr>
                <w:spacing w:val="-2"/>
              </w:rPr>
              <w:t xml:space="preserve"> previously proposed that governments contract ACCHOs to conduct needs assessments, separate from existing service delivery contracts, and that governments provide sufficiently disaggregated data</w:t>
            </w:r>
            <w:r w:rsidRPr="003261DE" w:rsidDel="009876B3">
              <w:rPr>
                <w:spacing w:val="-2"/>
              </w:rPr>
              <w:t xml:space="preserve"> </w:t>
            </w:r>
            <w:r w:rsidRPr="003261DE">
              <w:rPr>
                <w:spacing w:val="-2"/>
              </w:rPr>
              <w:t>to support this work. IUIH identified ACCHOs as best placed to lead this work, since needs assessments by LHNs and PHNs lack meaningful community engagement, and subsume Aboriginal and Torres Strait Islander needs within broader priorities.</w:t>
            </w:r>
          </w:p>
          <w:p w14:paraId="246859E3" w14:textId="77777777" w:rsidR="00A0602C" w:rsidRPr="00B40479" w:rsidRDefault="00A0602C">
            <w:pPr>
              <w:pStyle w:val="BodyText"/>
            </w:pPr>
            <w:r>
              <w:t>A f</w:t>
            </w:r>
            <w:r w:rsidRPr="00B40479">
              <w:t>ormalis</w:t>
            </w:r>
            <w:r>
              <w:t>ed</w:t>
            </w:r>
            <w:r w:rsidRPr="00B40479">
              <w:t xml:space="preserve"> role </w:t>
            </w:r>
            <w:r>
              <w:t>for</w:t>
            </w:r>
            <w:r w:rsidRPr="00B40479">
              <w:t xml:space="preserve"> ACCHOs in leading regional needs assessments should support the objective of increasing the </w:t>
            </w:r>
            <w:r>
              <w:t>share</w:t>
            </w:r>
            <w:r w:rsidRPr="00B40479">
              <w:t xml:space="preserve"> of services delivered by Aboriginal and Torres Strait Islander organisations. These assessments could then inform the community</w:t>
            </w:r>
            <w:r w:rsidRPr="00B40479">
              <w:noBreakHyphen/>
              <w:t xml:space="preserve">wide joint assessments undertaken by LHNs and PHNs. </w:t>
            </w:r>
          </w:p>
          <w:p w14:paraId="524D10E9" w14:textId="77777777" w:rsidR="00A0602C" w:rsidRPr="00B40479" w:rsidRDefault="00A0602C" w:rsidP="00355F57">
            <w:pPr>
              <w:pStyle w:val="BodyText"/>
              <w:spacing w:after="240"/>
            </w:pPr>
            <w:r w:rsidRPr="00B40479">
              <w:t xml:space="preserve">ACCHOs </w:t>
            </w:r>
            <w:r>
              <w:t xml:space="preserve">will need to </w:t>
            </w:r>
            <w:r w:rsidRPr="00B40479">
              <w:t>have the capacity to undertake these assessments. ACCHOs vary in size, scope and geographical coverage</w:t>
            </w:r>
            <w:r>
              <w:t xml:space="preserve">, so a flexible approach that is </w:t>
            </w:r>
            <w:r w:rsidRPr="00B40479">
              <w:t>responsive to the capacity and preferences of local organisations and communities</w:t>
            </w:r>
            <w:r>
              <w:t xml:space="preserve"> will be needed</w:t>
            </w:r>
            <w:r w:rsidRPr="00B40479">
              <w:t xml:space="preserve">. In some instances, coordination at a </w:t>
            </w:r>
            <w:r>
              <w:t xml:space="preserve">regional or </w:t>
            </w:r>
            <w:r w:rsidRPr="00B40479">
              <w:t>state and territory level may be the preferred approach.</w:t>
            </w:r>
          </w:p>
        </w:tc>
      </w:tr>
      <w:tr w:rsidR="00A0602C" w:rsidRPr="00B40479" w14:paraId="493A5F34" w14:textId="77777777">
        <w:tc>
          <w:tcPr>
            <w:tcW w:w="9638" w:type="dxa"/>
            <w:shd w:val="clear" w:color="auto" w:fill="auto"/>
            <w:tcMar>
              <w:top w:w="0" w:type="dxa"/>
              <w:left w:w="170" w:type="dxa"/>
              <w:bottom w:w="0" w:type="dxa"/>
              <w:right w:w="170" w:type="dxa"/>
            </w:tcMar>
          </w:tcPr>
          <w:p w14:paraId="08448F4E" w14:textId="77777777" w:rsidR="00A0602C" w:rsidRPr="00B40479" w:rsidRDefault="00A0602C">
            <w:pPr>
              <w:pStyle w:val="NoSpacing"/>
            </w:pPr>
          </w:p>
        </w:tc>
      </w:tr>
    </w:tbl>
    <w:p w14:paraId="5F632CC0" w14:textId="7800A99C" w:rsidR="00A0602C" w:rsidRPr="00B40479" w:rsidRDefault="00A0602C">
      <w:pPr>
        <w:pStyle w:val="BodyText"/>
      </w:pPr>
      <w:r w:rsidRPr="00B40479">
        <w:t>LHNs and</w:t>
      </w:r>
      <w:r w:rsidRPr="00B40479" w:rsidDel="00A64A8A">
        <w:t xml:space="preserve"> </w:t>
      </w:r>
      <w:r w:rsidRPr="00B40479">
        <w:t xml:space="preserve">PHNs </w:t>
      </w:r>
      <w:r>
        <w:t>typically</w:t>
      </w:r>
      <w:r w:rsidRPr="00B40479">
        <w:t xml:space="preserve"> undertake their own needs assessment </w:t>
      </w:r>
      <w:r>
        <w:t>(</w:t>
      </w:r>
      <w:r w:rsidRPr="00B40479">
        <w:t>or equivalent process</w:t>
      </w:r>
      <w:r>
        <w:t>)</w:t>
      </w:r>
      <w:r w:rsidRPr="00B40479">
        <w:t xml:space="preserve">, often for the same or overlapping areas. </w:t>
      </w:r>
      <w:r>
        <w:t xml:space="preserve">This duplicates effort and makes assessments less comprehensive than they could be. </w:t>
      </w:r>
      <w:r w:rsidRPr="00B40479">
        <w:t xml:space="preserve">While each organisation’s planning responsibilities extend beyond the scope of collaboration, joint </w:t>
      </w:r>
      <w:r>
        <w:t xml:space="preserve">assessments </w:t>
      </w:r>
      <w:r w:rsidRPr="00B40479">
        <w:t>that a</w:t>
      </w:r>
      <w:r>
        <w:t>d</w:t>
      </w:r>
      <w:r w:rsidRPr="00B40479">
        <w:t>dress</w:t>
      </w:r>
      <w:r>
        <w:t xml:space="preserve"> </w:t>
      </w:r>
      <w:r w:rsidRPr="00B40479">
        <w:t>areas of mutual interest ha</w:t>
      </w:r>
      <w:r>
        <w:t>ve</w:t>
      </w:r>
      <w:r w:rsidRPr="00B40479">
        <w:t xml:space="preserve"> </w:t>
      </w:r>
      <w:r>
        <w:t>proven effective in</w:t>
      </w:r>
      <w:r w:rsidRPr="00B40479">
        <w:t xml:space="preserve"> support</w:t>
      </w:r>
      <w:r>
        <w:t>ing</w:t>
      </w:r>
      <w:r w:rsidRPr="00B40479">
        <w:t xml:space="preserve"> a place</w:t>
      </w:r>
      <w:r w:rsidRPr="00B40479">
        <w:noBreakHyphen/>
        <w:t xml:space="preserve">based and targeted approach to service delivery </w:t>
      </w:r>
      <w:r w:rsidRPr="00B40479">
        <w:rPr>
          <w:rFonts w:ascii="Arial" w:hAnsi="Arial" w:cs="Arial"/>
        </w:rPr>
        <w:t>(Quigley et al. 2024)</w:t>
      </w:r>
      <w:r w:rsidRPr="00B40479">
        <w:t>.</w:t>
      </w:r>
      <w:r w:rsidRPr="002B0A03">
        <w:rPr>
          <w:rStyle w:val="FootnoteReference"/>
        </w:rPr>
        <w:footnoteReference w:id="17"/>
      </w:r>
    </w:p>
    <w:p w14:paraId="7AB899F0" w14:textId="77777777" w:rsidR="00A0602C" w:rsidRPr="00B40479" w:rsidRDefault="00A0602C">
      <w:pPr>
        <w:pStyle w:val="BodyText"/>
      </w:pPr>
      <w:r w:rsidRPr="00B40479">
        <w:t>One complication in establishing collaborative commissioning is that the boundaries between LHNs and PHNs</w:t>
      </w:r>
      <w:r w:rsidRPr="00B40479" w:rsidDel="00BA26A9">
        <w:t xml:space="preserve"> </w:t>
      </w:r>
      <w:r w:rsidRPr="00B40479">
        <w:t xml:space="preserve">do not </w:t>
      </w:r>
      <w:r>
        <w:t xml:space="preserve">always </w:t>
      </w:r>
      <w:r w:rsidRPr="00B40479">
        <w:t xml:space="preserve">align, despite the </w:t>
      </w:r>
      <w:r>
        <w:t>long</w:t>
      </w:r>
      <w:r>
        <w:noBreakHyphen/>
        <w:t xml:space="preserve">standing </w:t>
      </w:r>
      <w:r w:rsidRPr="00B40479">
        <w:t xml:space="preserve">intent spelled out in the NHRA. There is also </w:t>
      </w:r>
      <w:r>
        <w:t xml:space="preserve">boundary </w:t>
      </w:r>
      <w:r w:rsidRPr="00B40479">
        <w:t>misalignment with other organisations, including ACCHOs</w:t>
      </w:r>
      <w:r>
        <w:t xml:space="preserve">, adding to complexity. In the longer term, there </w:t>
      </w:r>
      <w:r>
        <w:lastRenderedPageBreak/>
        <w:t xml:space="preserve">could be benefits from greater alignment of boundaries between LHNs and PHNs, but the current misalignment does not preclude establishing </w:t>
      </w:r>
      <w:r w:rsidRPr="00B40479">
        <w:t>collaborative arrangements with multiple different parties.</w:t>
      </w:r>
    </w:p>
    <w:p w14:paraId="16F68460" w14:textId="77777777" w:rsidR="00A0602C" w:rsidRPr="00B40479" w:rsidRDefault="00A0602C">
      <w:pPr>
        <w:pStyle w:val="BodyText"/>
      </w:pPr>
      <w:r>
        <w:t xml:space="preserve">Examples of </w:t>
      </w:r>
      <w:r w:rsidDel="00724AD7">
        <w:t>o</w:t>
      </w:r>
      <w:r w:rsidRPr="00B40479">
        <w:t>rganisations</w:t>
      </w:r>
      <w:r>
        <w:t xml:space="preserve"> </w:t>
      </w:r>
      <w:r w:rsidRPr="00B40479">
        <w:t>adopt</w:t>
      </w:r>
      <w:r>
        <w:t>ing</w:t>
      </w:r>
      <w:r w:rsidRPr="00B40479">
        <w:t xml:space="preserve"> a joint needs assessment approach includ</w:t>
      </w:r>
      <w:r>
        <w:t>e</w:t>
      </w:r>
      <w:r w:rsidRPr="00B40479">
        <w:t xml:space="preserve"> </w:t>
      </w:r>
      <w:r>
        <w:t xml:space="preserve">those </w:t>
      </w:r>
      <w:r w:rsidRPr="00B40479">
        <w:t>under the QCP (box 2.4) and the NSW Collaborative Commissioning program (box 2.1).</w:t>
      </w:r>
      <w:r w:rsidRPr="002B0A03">
        <w:rPr>
          <w:rStyle w:val="FootnoteReference"/>
        </w:rPr>
        <w:footnoteReference w:id="18"/>
      </w:r>
      <w:r w:rsidRPr="00B40479">
        <w:t xml:space="preserve"> </w:t>
      </w:r>
    </w:p>
    <w:p w14:paraId="0A4117D7" w14:textId="6A1A0685" w:rsidR="00A0602C" w:rsidRPr="00B40479" w:rsidRDefault="00A0602C">
      <w:pPr>
        <w:pStyle w:val="NoSpacing"/>
        <w:keepNext/>
      </w:pPr>
    </w:p>
    <w:tbl>
      <w:tblPr>
        <w:tblStyle w:val="Boxtable"/>
        <w:tblW w:w="5000" w:type="pct"/>
        <w:tblLook w:val="04A0" w:firstRow="1" w:lastRow="0" w:firstColumn="1" w:lastColumn="0" w:noHBand="0" w:noVBand="1"/>
      </w:tblPr>
      <w:tblGrid>
        <w:gridCol w:w="9638"/>
      </w:tblGrid>
      <w:tr w:rsidR="00A0602C" w:rsidRPr="00B40479" w14:paraId="6C3293DB" w14:textId="77777777">
        <w:trPr>
          <w:tblHeader/>
        </w:trPr>
        <w:tc>
          <w:tcPr>
            <w:tcW w:w="9638" w:type="dxa"/>
            <w:shd w:val="clear" w:color="auto" w:fill="EBEBEB"/>
            <w:tcMar>
              <w:top w:w="170" w:type="dxa"/>
              <w:left w:w="170" w:type="dxa"/>
              <w:bottom w:w="113" w:type="dxa"/>
              <w:right w:w="170" w:type="dxa"/>
            </w:tcMar>
            <w:hideMark/>
          </w:tcPr>
          <w:p w14:paraId="7E3C5916" w14:textId="3CD6976F" w:rsidR="00A0602C" w:rsidRPr="00B40479" w:rsidRDefault="00A0602C">
            <w:pPr>
              <w:pStyle w:val="BoxHeading1"/>
            </w:pPr>
            <w:r w:rsidRPr="00B40479">
              <w:t xml:space="preserve">Box </w:t>
            </w:r>
            <w:r w:rsidRPr="00B40479">
              <w:fldChar w:fldCharType="begin"/>
            </w:r>
            <w:r w:rsidRPr="00B40479">
              <w:instrText>STYLEREF 1 \s</w:instrText>
            </w:r>
            <w:r w:rsidRPr="00B40479">
              <w:fldChar w:fldCharType="separate"/>
            </w:r>
            <w:r w:rsidR="00FB1849">
              <w:rPr>
                <w:noProof/>
              </w:rPr>
              <w:t>2</w:t>
            </w:r>
            <w:r w:rsidRPr="00B40479">
              <w:fldChar w:fldCharType="end"/>
            </w:r>
            <w:r w:rsidRPr="00B40479">
              <w:t>.</w:t>
            </w:r>
            <w:r w:rsidRPr="00B40479">
              <w:fldChar w:fldCharType="begin"/>
            </w:r>
            <w:r w:rsidRPr="00B40479">
              <w:instrText>SEQ Box \* ARABIC \s 1</w:instrText>
            </w:r>
            <w:r w:rsidRPr="00B40479">
              <w:fldChar w:fldCharType="separate"/>
            </w:r>
            <w:r w:rsidR="00FB1849">
              <w:rPr>
                <w:noProof/>
              </w:rPr>
              <w:t>4</w:t>
            </w:r>
            <w:r w:rsidRPr="00B40479">
              <w:fldChar w:fldCharType="end"/>
            </w:r>
            <w:r w:rsidRPr="00B40479">
              <w:t xml:space="preserve"> – </w:t>
            </w:r>
            <w:r>
              <w:t>Governance arrangements that support joint planning: t</w:t>
            </w:r>
            <w:r w:rsidRPr="00B40479">
              <w:t>he Queensland</w:t>
            </w:r>
            <w:r w:rsidRPr="00B40479">
              <w:noBreakHyphen/>
              <w:t>Commonwealth Partnership</w:t>
            </w:r>
          </w:p>
        </w:tc>
      </w:tr>
      <w:tr w:rsidR="00A0602C" w:rsidRPr="00B40479" w14:paraId="0CD0B689" w14:textId="77777777">
        <w:tc>
          <w:tcPr>
            <w:tcW w:w="9638" w:type="dxa"/>
            <w:shd w:val="clear" w:color="auto" w:fill="EBEBEB"/>
            <w:tcMar>
              <w:top w:w="28" w:type="dxa"/>
              <w:left w:w="170" w:type="dxa"/>
              <w:bottom w:w="170" w:type="dxa"/>
              <w:right w:w="170" w:type="dxa"/>
            </w:tcMar>
            <w:hideMark/>
          </w:tcPr>
          <w:p w14:paraId="6B5F23EE" w14:textId="77777777" w:rsidR="00A0602C" w:rsidRPr="003261DE" w:rsidRDefault="00A0602C">
            <w:pPr>
              <w:pStyle w:val="BodyText"/>
              <w:rPr>
                <w:spacing w:val="-4"/>
              </w:rPr>
            </w:pPr>
            <w:r w:rsidRPr="003261DE">
              <w:rPr>
                <w:spacing w:val="-4"/>
              </w:rPr>
              <w:t>The QCP is a shared commitment from partners across Queensland to move towards an integrated, patient</w:t>
            </w:r>
            <w:r w:rsidRPr="003261DE">
              <w:rPr>
                <w:spacing w:val="-4"/>
              </w:rPr>
              <w:noBreakHyphen/>
              <w:t xml:space="preserve">centred and equitable health system. The partnership involves </w:t>
            </w:r>
            <w:r w:rsidRPr="003261DE" w:rsidDel="005A0893">
              <w:rPr>
                <w:spacing w:val="-4"/>
              </w:rPr>
              <w:t>Hospital and Health Services (</w:t>
            </w:r>
            <w:r w:rsidRPr="003261DE">
              <w:rPr>
                <w:spacing w:val="-4"/>
              </w:rPr>
              <w:t>HHSs), PHNs, ACCHOs</w:t>
            </w:r>
            <w:r w:rsidRPr="003261DE" w:rsidDel="00606D05">
              <w:rPr>
                <w:spacing w:val="-4"/>
              </w:rPr>
              <w:t xml:space="preserve"> </w:t>
            </w:r>
            <w:r w:rsidRPr="003261DE">
              <w:rPr>
                <w:spacing w:val="-4"/>
              </w:rPr>
              <w:t>and inter</w:t>
            </w:r>
            <w:r w:rsidRPr="003261DE">
              <w:rPr>
                <w:spacing w:val="-4"/>
              </w:rPr>
              <w:noBreakHyphen/>
              <w:t xml:space="preserve">jurisdictional government partners: the Queensland Department of Health and the Australian Government Department of Health, Disability and Ageing. It features joint regional needs assessments, shared data requirements, joint planning and an accountable governance framework. </w:t>
            </w:r>
          </w:p>
          <w:p w14:paraId="3BF2468A" w14:textId="77777777" w:rsidR="00A0602C" w:rsidRPr="003261DE" w:rsidRDefault="00A0602C">
            <w:pPr>
              <w:pStyle w:val="BodyText"/>
              <w:rPr>
                <w:spacing w:val="-2"/>
              </w:rPr>
            </w:pPr>
            <w:r w:rsidRPr="003261DE">
              <w:rPr>
                <w:spacing w:val="-2"/>
              </w:rPr>
              <w:t xml:space="preserve">Legislative reform has recognised the Queensland Aboriginal and Islander Health Council, the Institute for Urban Indigenous Health and Queensland PHNs as prescribed entities governing Queensland Health data. </w:t>
            </w:r>
          </w:p>
          <w:p w14:paraId="5888F752" w14:textId="77777777" w:rsidR="00A0602C" w:rsidRPr="003261DE" w:rsidRDefault="00A0602C">
            <w:pPr>
              <w:pStyle w:val="BodyText"/>
              <w:rPr>
                <w:spacing w:val="-4"/>
              </w:rPr>
            </w:pPr>
            <w:r w:rsidRPr="003261DE">
              <w:rPr>
                <w:spacing w:val="-4"/>
              </w:rPr>
              <w:t>The QCP has replaced individual HHS and PHN needs assessments with joint regional needs assessments. A co</w:t>
            </w:r>
            <w:r w:rsidRPr="003261DE">
              <w:rPr>
                <w:spacing w:val="-4"/>
              </w:rPr>
              <w:noBreakHyphen/>
              <w:t>designed framework provides a basis to identify shared priorities and inform opportunities for collaborative commissioning. Regions have flexibility to select outcomes relevant to their areas.</w:t>
            </w:r>
          </w:p>
          <w:p w14:paraId="1984E0CE" w14:textId="77777777" w:rsidR="00A0602C" w:rsidRDefault="00A0602C">
            <w:pPr>
              <w:pStyle w:val="BoxHeading2"/>
            </w:pPr>
            <w:r>
              <w:t>Key phases and features of the QCP approach</w:t>
            </w:r>
          </w:p>
          <w:p w14:paraId="19B0F46A" w14:textId="77777777" w:rsidR="00A0602C" w:rsidRDefault="00A0602C">
            <w:pPr>
              <w:pStyle w:val="BodyText"/>
              <w:keepNext/>
            </w:pPr>
            <w:r w:rsidRPr="00B40479">
              <w:t xml:space="preserve">The framework sets out four common phases: </w:t>
            </w:r>
          </w:p>
          <w:p w14:paraId="349D351D" w14:textId="77777777" w:rsidR="00A0602C" w:rsidRDefault="00A0602C" w:rsidP="00A0602C">
            <w:pPr>
              <w:pStyle w:val="ListBullet"/>
            </w:pPr>
            <w:r w:rsidRPr="00B40479">
              <w:t>establish the geographic region, governance and engagement plans</w:t>
            </w:r>
          </w:p>
          <w:p w14:paraId="0E0B72A1" w14:textId="77777777" w:rsidR="00A0602C" w:rsidRDefault="00A0602C" w:rsidP="00A0602C">
            <w:pPr>
              <w:pStyle w:val="ListBullet"/>
            </w:pPr>
            <w:r w:rsidRPr="00B40479">
              <w:t>collect and analys</w:t>
            </w:r>
            <w:r>
              <w:t>e</w:t>
            </w:r>
            <w:r w:rsidRPr="00B40479">
              <w:t xml:space="preserve"> data and conduct engagement</w:t>
            </w:r>
          </w:p>
          <w:p w14:paraId="68393CD7" w14:textId="77777777" w:rsidR="00A0602C" w:rsidRDefault="00A0602C" w:rsidP="00A0602C">
            <w:pPr>
              <w:pStyle w:val="ListBullet"/>
            </w:pPr>
            <w:r w:rsidRPr="00B40479">
              <w:t>validat</w:t>
            </w:r>
            <w:r>
              <w:t>e</w:t>
            </w:r>
            <w:r w:rsidRPr="00B40479">
              <w:t xml:space="preserve"> and triangulat</w:t>
            </w:r>
            <w:r>
              <w:t>e</w:t>
            </w:r>
            <w:r w:rsidRPr="00B40479">
              <w:t xml:space="preserve"> data</w:t>
            </w:r>
          </w:p>
          <w:p w14:paraId="76DFE057" w14:textId="77777777" w:rsidR="00A0602C" w:rsidRDefault="00A0602C" w:rsidP="007C4A94">
            <w:pPr>
              <w:pStyle w:val="ListBullet"/>
            </w:pPr>
            <w:r w:rsidRPr="007C4A94">
              <w:t>prioritise</w:t>
            </w:r>
            <w:r w:rsidRPr="00B40479">
              <w:t xml:space="preserve"> health and service needs and assign lead agencies. </w:t>
            </w:r>
          </w:p>
          <w:p w14:paraId="05AE5A74" w14:textId="6F1A0637" w:rsidR="00A0602C" w:rsidRPr="00B40479" w:rsidRDefault="00A0602C" w:rsidP="00355F57">
            <w:pPr>
              <w:pStyle w:val="Source"/>
            </w:pPr>
            <w:r w:rsidRPr="00355F57">
              <w:t>Source</w:t>
            </w:r>
            <w:r w:rsidRPr="00B40479">
              <w:t xml:space="preserve">: Impact Co. and QCP </w:t>
            </w:r>
            <w:r w:rsidRPr="00B40479">
              <w:rPr>
                <w:rFonts w:ascii="Arial" w:hAnsi="Arial" w:cs="Arial"/>
              </w:rPr>
              <w:t>(2024a, p. 16)</w:t>
            </w:r>
            <w:r w:rsidRPr="00B40479">
              <w:t xml:space="preserve">; QCP </w:t>
            </w:r>
            <w:r w:rsidRPr="00B40479">
              <w:rPr>
                <w:rFonts w:ascii="Arial" w:hAnsi="Arial" w:cs="Arial"/>
              </w:rPr>
              <w:t>(2024)</w:t>
            </w:r>
            <w:r w:rsidRPr="00B40479">
              <w:t xml:space="preserve">; Queensland Health </w:t>
            </w:r>
            <w:r w:rsidRPr="00340668">
              <w:rPr>
                <w:rFonts w:ascii="Arial" w:hAnsi="Arial" w:cs="Arial"/>
              </w:rPr>
              <w:t>(2024)</w:t>
            </w:r>
            <w:r>
              <w:t>.</w:t>
            </w:r>
          </w:p>
        </w:tc>
      </w:tr>
      <w:tr w:rsidR="00A0602C" w:rsidRPr="00B40479" w14:paraId="574C9EDB" w14:textId="77777777">
        <w:tc>
          <w:tcPr>
            <w:tcW w:w="9638" w:type="dxa"/>
            <w:shd w:val="clear" w:color="auto" w:fill="auto"/>
            <w:tcMar>
              <w:top w:w="0" w:type="dxa"/>
              <w:left w:w="170" w:type="dxa"/>
              <w:bottom w:w="0" w:type="dxa"/>
              <w:right w:w="170" w:type="dxa"/>
            </w:tcMar>
          </w:tcPr>
          <w:p w14:paraId="3DF7678F" w14:textId="77777777" w:rsidR="00A0602C" w:rsidRPr="00B40479" w:rsidRDefault="00A0602C">
            <w:pPr>
              <w:pStyle w:val="NoSpacing"/>
            </w:pPr>
          </w:p>
        </w:tc>
      </w:tr>
    </w:tbl>
    <w:p w14:paraId="31772375" w14:textId="77777777" w:rsidR="00A0602C" w:rsidRDefault="00A0602C">
      <w:pPr>
        <w:pStyle w:val="BodyText"/>
      </w:pPr>
      <w:r w:rsidRPr="00B40479">
        <w:t xml:space="preserve">The </w:t>
      </w:r>
      <w:r>
        <w:t>QCP</w:t>
      </w:r>
      <w:r w:rsidRPr="00B40479">
        <w:t xml:space="preserve"> approach</w:t>
      </w:r>
      <w:r w:rsidRPr="00B40479" w:rsidDel="001A5843">
        <w:t xml:space="preserve"> </w:t>
      </w:r>
      <w:r w:rsidRPr="00B40479">
        <w:t>provide</w:t>
      </w:r>
      <w:r>
        <w:t>s</w:t>
      </w:r>
      <w:r w:rsidRPr="00B40479">
        <w:t xml:space="preserve"> a good model that could be extended to all states and territories, </w:t>
      </w:r>
      <w:r>
        <w:t>although</w:t>
      </w:r>
      <w:r w:rsidRPr="00B40479">
        <w:t xml:space="preserve"> flexibility will be required </w:t>
      </w:r>
      <w:r>
        <w:t xml:space="preserve">to account for different </w:t>
      </w:r>
      <w:r w:rsidRPr="00B40479">
        <w:t>LHN and PHN</w:t>
      </w:r>
      <w:r>
        <w:t xml:space="preserve"> boundary </w:t>
      </w:r>
      <w:r w:rsidRPr="00B40479">
        <w:t>align</w:t>
      </w:r>
      <w:r>
        <w:t>ment</w:t>
      </w:r>
      <w:r w:rsidRPr="00B40479">
        <w:t xml:space="preserve"> across jurisdictions. </w:t>
      </w:r>
    </w:p>
    <w:p w14:paraId="4298088F" w14:textId="77777777" w:rsidR="00A0602C" w:rsidRDefault="00A0602C">
      <w:pPr>
        <w:pStyle w:val="BodyText"/>
      </w:pPr>
      <w:r>
        <w:t>Under the proposed arrangements, jo</w:t>
      </w:r>
      <w:r w:rsidRPr="00B40479">
        <w:t>int needs assessments should incorporate the features</w:t>
      </w:r>
      <w:r>
        <w:t xml:space="preserve"> outlined in figure </w:t>
      </w:r>
      <w:r>
        <w:rPr>
          <w:lang w:val="en-US"/>
        </w:rPr>
        <w:t>2.4.</w:t>
      </w:r>
    </w:p>
    <w:p w14:paraId="5D8D339C" w14:textId="3DEDD894" w:rsidR="00A0602C" w:rsidRDefault="00A0602C">
      <w:pPr>
        <w:pStyle w:val="FigureTableHeading"/>
      </w:pPr>
      <w:r>
        <w:lastRenderedPageBreak/>
        <w:t xml:space="preserve">Figure </w:t>
      </w:r>
      <w:r>
        <w:fldChar w:fldCharType="begin"/>
      </w:r>
      <w:r>
        <w:instrText xml:space="preserve"> STYLEREF 1 \s </w:instrText>
      </w:r>
      <w:r>
        <w:fldChar w:fldCharType="separate"/>
      </w:r>
      <w:r w:rsidR="00FB1849">
        <w:rPr>
          <w:noProof/>
        </w:rPr>
        <w:t>2</w:t>
      </w:r>
      <w:r>
        <w:rPr>
          <w:noProof/>
        </w:rPr>
        <w:fldChar w:fldCharType="end"/>
      </w:r>
      <w:r>
        <w:t>.</w:t>
      </w:r>
      <w:r>
        <w:fldChar w:fldCharType="begin"/>
      </w:r>
      <w:r>
        <w:instrText xml:space="preserve"> SEQ Figure \* ARABIC \s 1 </w:instrText>
      </w:r>
      <w:r>
        <w:fldChar w:fldCharType="separate"/>
      </w:r>
      <w:r w:rsidR="00FB1849">
        <w:rPr>
          <w:noProof/>
        </w:rPr>
        <w:t>4</w:t>
      </w:r>
      <w:r>
        <w:rPr>
          <w:noProof/>
        </w:rPr>
        <w:fldChar w:fldCharType="end"/>
      </w:r>
      <w:r>
        <w:rPr>
          <w:noProof/>
        </w:rPr>
        <w:t xml:space="preserve"> </w:t>
      </w:r>
      <w:r>
        <w:t>– Joint needs assessments should incorporate these features</w:t>
      </w:r>
    </w:p>
    <w:p w14:paraId="0D01C376" w14:textId="7F047274" w:rsidR="00A0602C" w:rsidRPr="007B05DC" w:rsidRDefault="00B644AA" w:rsidP="00661E10">
      <w:pPr>
        <w:pStyle w:val="BodyText"/>
        <w:spacing w:after="360"/>
      </w:pPr>
      <w:r w:rsidRPr="00B644AA">
        <w:rPr>
          <w:noProof/>
        </w:rPr>
        <w:drawing>
          <wp:inline distT="0" distB="0" distL="0" distR="0" wp14:anchorId="0568DAD3" wp14:editId="7D9208F8">
            <wp:extent cx="6120130" cy="2336165"/>
            <wp:effectExtent l="0" t="0" r="0" b="6985"/>
            <wp:docPr id="1290796462" name="Picture 9" descr="This figure contains text elements describing the features of joint needs assessments. The first set describes how LHNs and PHNs should work together on joint needs assessments. The three text boxes are:&#10;• Identify and prioritise areas of need, clarify responsibilities, and identify which agencies may be best placed to act in each area&#10;• Highlight areas of overlapping or shared responsibility, creating opportunity for more coordinated planning and reduced duplication&#10;• Form a single document between the commissioning organisations&#10;The second set outline how joint needs assessments should provide accountability and be transparent. The two text boxes are:&#10;• Submit joint needs assessments to the relevant state and territory jurisdiction and the Australian Government Department of Health, Disability and Ageing, providing accountability&#10;• Make joint needs assessments publicly available in a timely manner, supporting transparenc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96462" name="Picture 9" descr="This figure contains text elements describing the features of joint needs assessments. The first set describes how LHNs and PHNs should work together on joint needs assessments. The three text boxes are:&#10;• Identify and prioritise areas of need, clarify responsibilities, and identify which agencies may be best placed to act in each area&#10;• Highlight areas of overlapping or shared responsibility, creating opportunity for more coordinated planning and reduced duplication&#10;• Form a single document between the commissioning organisations&#10;The second set outline how joint needs assessments should provide accountability and be transparent. The two text boxes are:&#10;• Submit joint needs assessments to the relevant state and territory jurisdiction and the Australian Government Department of Health, Disability and Ageing, providing accountability&#10;• Make joint needs assessments publicly available in a timely manner, supporting transparency&#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2336165"/>
                    </a:xfrm>
                    <a:prstGeom prst="rect">
                      <a:avLst/>
                    </a:prstGeom>
                    <a:noFill/>
                    <a:ln>
                      <a:noFill/>
                    </a:ln>
                  </pic:spPr>
                </pic:pic>
              </a:graphicData>
            </a:graphic>
          </wp:inline>
        </w:drawing>
      </w:r>
      <w:r w:rsidRPr="00B644AA">
        <w:t xml:space="preserve"> </w:t>
      </w:r>
    </w:p>
    <w:p w14:paraId="17B44CE7" w14:textId="77777777" w:rsidR="00A0602C" w:rsidRPr="00B40479" w:rsidRDefault="00A0602C">
      <w:pPr>
        <w:pStyle w:val="Heading5"/>
      </w:pPr>
      <w:r w:rsidRPr="00B40479">
        <w:t>Developing an agreed program of work</w:t>
      </w:r>
    </w:p>
    <w:p w14:paraId="7AF6F4E2" w14:textId="77777777" w:rsidR="00A0602C" w:rsidRPr="00661E10" w:rsidRDefault="00A0602C">
      <w:pPr>
        <w:pStyle w:val="BodyText"/>
        <w:rPr>
          <w:spacing w:val="-4"/>
        </w:rPr>
      </w:pPr>
      <w:r w:rsidRPr="00661E10">
        <w:rPr>
          <w:spacing w:val="-4"/>
        </w:rPr>
        <w:t xml:space="preserve">While joint needs assessments identify priority areas for focus, addressing them requires LHNs and PHNs to jointly develop an agreed program of work. At present, work plans are often developed independently, risking duplication or a lack of strategic cooperation. A coordinated approach can improve accountability and outcomes. </w:t>
      </w:r>
    </w:p>
    <w:p w14:paraId="6F1D806E" w14:textId="77777777" w:rsidR="00A0602C" w:rsidRDefault="00A0602C">
      <w:pPr>
        <w:pStyle w:val="BodyText"/>
      </w:pPr>
      <w:r w:rsidRPr="00B40479">
        <w:t xml:space="preserve">The </w:t>
      </w:r>
      <w:r>
        <w:t xml:space="preserve">agreed </w:t>
      </w:r>
      <w:r w:rsidRPr="00B40479">
        <w:t xml:space="preserve">program </w:t>
      </w:r>
      <w:r>
        <w:t>of work sh</w:t>
      </w:r>
      <w:r w:rsidRPr="00B40479">
        <w:t>ould reflect local needs</w:t>
      </w:r>
      <w:r>
        <w:t>,</w:t>
      </w:r>
      <w:r w:rsidRPr="00B40479">
        <w:t xml:space="preserve"> priorities</w:t>
      </w:r>
      <w:r>
        <w:t xml:space="preserve"> and constraints (as demonstrated in </w:t>
      </w:r>
      <w:r w:rsidRPr="00B40479">
        <w:t>boxes 2.1, 2.2 and 2.5</w:t>
      </w:r>
      <w:r>
        <w:t xml:space="preserve">). It should outline the roles and responsibilities of relevant organisations, procurement processes and funding sources – including how funds are to be pooled, where relevant. The program of work should also establish the </w:t>
      </w:r>
      <w:r w:rsidRPr="00B40479">
        <w:t>outcomes to be targeted</w:t>
      </w:r>
      <w:r>
        <w:t xml:space="preserve">. </w:t>
      </w:r>
    </w:p>
    <w:p w14:paraId="59D4DF64" w14:textId="77777777" w:rsidR="00A0602C" w:rsidRPr="00B40479" w:rsidRDefault="00A0602C">
      <w:pPr>
        <w:pStyle w:val="BodyText"/>
      </w:pPr>
      <w:r>
        <w:t xml:space="preserve">The program should be </w:t>
      </w:r>
      <w:r w:rsidRPr="00B40479">
        <w:t>developed in partnership with the community, service providers and other relevant organisations</w:t>
      </w:r>
      <w:r>
        <w:t xml:space="preserve">, including </w:t>
      </w:r>
      <w:r w:rsidRPr="00B40479">
        <w:t xml:space="preserve">ACCHOs. </w:t>
      </w:r>
      <w:r>
        <w:t>T</w:t>
      </w:r>
      <w:r w:rsidRPr="00B40479">
        <w:t xml:space="preserve">he </w:t>
      </w:r>
      <w:proofErr w:type="gramStart"/>
      <w:r w:rsidRPr="00B40479">
        <w:t>South West</w:t>
      </w:r>
      <w:proofErr w:type="gramEnd"/>
      <w:r w:rsidRPr="00B40479">
        <w:t xml:space="preserve"> Primary Health Care Alliance</w:t>
      </w:r>
      <w:r>
        <w:t xml:space="preserve"> is</w:t>
      </w:r>
      <w:r w:rsidRPr="00B40479">
        <w:t xml:space="preserve"> </w:t>
      </w:r>
      <w:r>
        <w:t>a</w:t>
      </w:r>
      <w:r w:rsidRPr="00B40479">
        <w:t>n example of this whole</w:t>
      </w:r>
      <w:r w:rsidRPr="00B40479">
        <w:noBreakHyphen/>
        <w:t>of</w:t>
      </w:r>
      <w:r w:rsidRPr="00B40479">
        <w:noBreakHyphen/>
        <w:t>system approach to planning (box 2.5).</w:t>
      </w:r>
    </w:p>
    <w:p w14:paraId="568ADAAA" w14:textId="6A491FD6" w:rsidR="00A0602C" w:rsidRPr="00B40479" w:rsidRDefault="00A0602C">
      <w:pPr>
        <w:pStyle w:val="NoSpacing"/>
      </w:pPr>
    </w:p>
    <w:tbl>
      <w:tblPr>
        <w:tblStyle w:val="Boxtable"/>
        <w:tblW w:w="5000" w:type="pct"/>
        <w:tblLook w:val="04A0" w:firstRow="1" w:lastRow="0" w:firstColumn="1" w:lastColumn="0" w:noHBand="0" w:noVBand="1"/>
      </w:tblPr>
      <w:tblGrid>
        <w:gridCol w:w="9638"/>
      </w:tblGrid>
      <w:tr w:rsidR="00A0602C" w:rsidRPr="00B40479" w14:paraId="46C31473" w14:textId="77777777">
        <w:trPr>
          <w:tblHeader/>
        </w:trPr>
        <w:tc>
          <w:tcPr>
            <w:tcW w:w="9638" w:type="dxa"/>
            <w:shd w:val="clear" w:color="auto" w:fill="EBEBEB"/>
            <w:tcMar>
              <w:top w:w="170" w:type="dxa"/>
              <w:left w:w="170" w:type="dxa"/>
              <w:bottom w:w="113" w:type="dxa"/>
              <w:right w:w="170" w:type="dxa"/>
            </w:tcMar>
            <w:hideMark/>
          </w:tcPr>
          <w:p w14:paraId="27F395B5" w14:textId="288A0325" w:rsidR="00A0602C" w:rsidRPr="00B40479" w:rsidRDefault="00A0602C">
            <w:pPr>
              <w:pStyle w:val="BoxHeading1"/>
            </w:pPr>
            <w:r w:rsidRPr="00B40479">
              <w:t>Box 2.</w:t>
            </w:r>
            <w:r w:rsidRPr="00B40479">
              <w:fldChar w:fldCharType="begin"/>
            </w:r>
            <w:r w:rsidRPr="00B40479">
              <w:instrText>SEQ Box \* ARABIC \s 1</w:instrText>
            </w:r>
            <w:r w:rsidRPr="00B40479">
              <w:fldChar w:fldCharType="separate"/>
            </w:r>
            <w:r w:rsidR="00FB1849">
              <w:rPr>
                <w:noProof/>
              </w:rPr>
              <w:t>5</w:t>
            </w:r>
            <w:r w:rsidRPr="00B40479">
              <w:fldChar w:fldCharType="end"/>
            </w:r>
            <w:r w:rsidRPr="00B40479">
              <w:t xml:space="preserve"> – </w:t>
            </w:r>
            <w:r>
              <w:t>Governance arrangements that enable pooled funding and integration: the</w:t>
            </w:r>
            <w:r w:rsidR="00661E10">
              <w:t> </w:t>
            </w:r>
            <w:proofErr w:type="gramStart"/>
            <w:r w:rsidRPr="00B40479">
              <w:t>South West</w:t>
            </w:r>
            <w:proofErr w:type="gramEnd"/>
            <w:r w:rsidRPr="00B40479">
              <w:t xml:space="preserve"> Primary Health Care Alliance</w:t>
            </w:r>
          </w:p>
        </w:tc>
      </w:tr>
      <w:tr w:rsidR="00A0602C" w:rsidRPr="00B40479" w14:paraId="7B5B6834" w14:textId="77777777">
        <w:tc>
          <w:tcPr>
            <w:tcW w:w="9638" w:type="dxa"/>
            <w:shd w:val="clear" w:color="auto" w:fill="EBEBEB"/>
            <w:tcMar>
              <w:top w:w="28" w:type="dxa"/>
              <w:left w:w="170" w:type="dxa"/>
              <w:bottom w:w="170" w:type="dxa"/>
              <w:right w:w="170" w:type="dxa"/>
            </w:tcMar>
            <w:hideMark/>
          </w:tcPr>
          <w:p w14:paraId="44F4557F" w14:textId="77777777" w:rsidR="00A0602C" w:rsidRDefault="00A0602C">
            <w:pPr>
              <w:pStyle w:val="BodyText"/>
            </w:pPr>
            <w:r w:rsidRPr="00B40479">
              <w:t xml:space="preserve">The </w:t>
            </w:r>
            <w:proofErr w:type="gramStart"/>
            <w:r w:rsidRPr="00B40479">
              <w:t>South West</w:t>
            </w:r>
            <w:proofErr w:type="gramEnd"/>
            <w:r w:rsidRPr="00B40479">
              <w:t xml:space="preserve"> Primary Health Care Alliance seeks to </w:t>
            </w:r>
            <w:r>
              <w:t>provide</w:t>
            </w:r>
            <w:r w:rsidRPr="00B40479">
              <w:t xml:space="preserve"> whole</w:t>
            </w:r>
            <w:r w:rsidRPr="00B40479">
              <w:noBreakHyphen/>
              <w:t>of</w:t>
            </w:r>
            <w:r w:rsidRPr="00B40479">
              <w:noBreakHyphen/>
              <w:t xml:space="preserve">system governance for integrated primary care throughout </w:t>
            </w:r>
            <w:proofErr w:type="gramStart"/>
            <w:r w:rsidRPr="00B40479">
              <w:t>South West</w:t>
            </w:r>
            <w:proofErr w:type="gramEnd"/>
            <w:r w:rsidRPr="00B40479">
              <w:t xml:space="preserve"> Queensland. It is a partnership between the Western Queensland PHN, </w:t>
            </w:r>
            <w:proofErr w:type="gramStart"/>
            <w:r w:rsidRPr="00B40479">
              <w:t>South West</w:t>
            </w:r>
            <w:proofErr w:type="gramEnd"/>
            <w:r w:rsidRPr="00B40479">
              <w:t xml:space="preserve"> Hospital and Health Service (HHS), Cunnamulla Aboriginal Corporation for Health, Charleville &amp; Western Areas Aboriginal &amp; Torres Strait Islanders Community Health, </w:t>
            </w:r>
            <w:proofErr w:type="spellStart"/>
            <w:r w:rsidRPr="00B40479">
              <w:t>Goondir</w:t>
            </w:r>
            <w:proofErr w:type="spellEnd"/>
            <w:r w:rsidRPr="00B40479">
              <w:t xml:space="preserve"> Health Services and other regional partners. </w:t>
            </w:r>
          </w:p>
          <w:p w14:paraId="6C80BB2E" w14:textId="77777777" w:rsidR="00A0602C" w:rsidRPr="00B40479" w:rsidRDefault="00A0602C">
            <w:pPr>
              <w:pStyle w:val="BodyText"/>
            </w:pPr>
            <w:r w:rsidRPr="00B40479">
              <w:t xml:space="preserve">The partnership </w:t>
            </w:r>
            <w:r>
              <w:t>involves</w:t>
            </w:r>
            <w:r w:rsidRPr="00B40479">
              <w:t xml:space="preserve"> clear roles and responsibilities, whole</w:t>
            </w:r>
            <w:r w:rsidRPr="00B40479">
              <w:noBreakHyphen/>
              <w:t>of</w:t>
            </w:r>
            <w:r w:rsidRPr="00B40479">
              <w:noBreakHyphen/>
              <w:t xml:space="preserve">system planning and pooled funding. An Alliance Leadership Team with representatives from member organisations decides upon joint objectives, scope and work plans. </w:t>
            </w:r>
          </w:p>
          <w:p w14:paraId="2199CFF2" w14:textId="77777777" w:rsidR="00A0602C" w:rsidRDefault="00A0602C">
            <w:pPr>
              <w:pStyle w:val="BoxHeading2"/>
            </w:pPr>
            <w:r>
              <w:t>Progress to date</w:t>
            </w:r>
          </w:p>
          <w:p w14:paraId="24CB30B0" w14:textId="1D97D00F" w:rsidR="00A0602C" w:rsidRPr="00B40479" w:rsidRDefault="00A0602C">
            <w:pPr>
              <w:pStyle w:val="BodyText"/>
            </w:pPr>
            <w:r>
              <w:t xml:space="preserve">The Alliance has </w:t>
            </w:r>
            <w:r w:rsidRPr="00B40479">
              <w:t xml:space="preserve">supported </w:t>
            </w:r>
            <w:r>
              <w:t>collaborative</w:t>
            </w:r>
            <w:r w:rsidRPr="00B40479">
              <w:t xml:space="preserve"> partnerships, including the </w:t>
            </w:r>
            <w:proofErr w:type="spellStart"/>
            <w:r w:rsidRPr="00B40479">
              <w:t>Nukal</w:t>
            </w:r>
            <w:proofErr w:type="spellEnd"/>
            <w:r w:rsidRPr="00B40479">
              <w:t xml:space="preserve"> Murra Alliance, between four ACCHOs and </w:t>
            </w:r>
            <w:r w:rsidR="00C647C8">
              <w:t xml:space="preserve">the </w:t>
            </w:r>
            <w:r w:rsidRPr="00B40479">
              <w:t>Western Queensland PHN, and the preparation of</w:t>
            </w:r>
            <w:r w:rsidRPr="00B40479" w:rsidDel="00A54376">
              <w:t xml:space="preserve"> </w:t>
            </w:r>
            <w:r>
              <w:t>j</w:t>
            </w:r>
            <w:r w:rsidRPr="00B40479">
              <w:t xml:space="preserve">oint </w:t>
            </w:r>
            <w:r>
              <w:t>r</w:t>
            </w:r>
            <w:r w:rsidRPr="00B40479">
              <w:t xml:space="preserve">egional </w:t>
            </w:r>
            <w:r>
              <w:t>n</w:t>
            </w:r>
            <w:r w:rsidRPr="00B40479">
              <w:t xml:space="preserve">eeds </w:t>
            </w:r>
            <w:r>
              <w:t>a</w:t>
            </w:r>
            <w:r w:rsidRPr="00B40479">
              <w:t xml:space="preserve">ssessments </w:t>
            </w:r>
            <w:r>
              <w:lastRenderedPageBreak/>
              <w:t>by</w:t>
            </w:r>
            <w:r w:rsidRPr="00B40479">
              <w:t xml:space="preserve"> </w:t>
            </w:r>
            <w:r>
              <w:t xml:space="preserve">the </w:t>
            </w:r>
            <w:r w:rsidRPr="00B40479">
              <w:t>Western Queensland PHN and constituent HHSs</w:t>
            </w:r>
            <w:r>
              <w:t xml:space="preserve"> in 2024</w:t>
            </w:r>
            <w:r w:rsidRPr="00B40479">
              <w:t xml:space="preserve">. The </w:t>
            </w:r>
            <w:r>
              <w:t>j</w:t>
            </w:r>
            <w:r w:rsidRPr="00B40479">
              <w:t xml:space="preserve">oint </w:t>
            </w:r>
            <w:r>
              <w:t>r</w:t>
            </w:r>
            <w:r w:rsidRPr="00B40479">
              <w:t xml:space="preserve">egional </w:t>
            </w:r>
            <w:r>
              <w:t>n</w:t>
            </w:r>
            <w:r w:rsidRPr="00B40479">
              <w:t xml:space="preserve">eeds </w:t>
            </w:r>
            <w:r>
              <w:t>a</w:t>
            </w:r>
            <w:r w:rsidRPr="00B40479">
              <w:t>ssessments follow the QCP framework</w:t>
            </w:r>
            <w:r>
              <w:t>. For</w:t>
            </w:r>
            <w:r w:rsidRPr="00B40479">
              <w:t xml:space="preserve"> example, </w:t>
            </w:r>
            <w:proofErr w:type="gramStart"/>
            <w:r w:rsidRPr="00B40479">
              <w:t>South West</w:t>
            </w:r>
            <w:proofErr w:type="gramEnd"/>
            <w:r w:rsidRPr="00B40479">
              <w:t xml:space="preserve"> HHS and </w:t>
            </w:r>
            <w:r w:rsidR="00211155">
              <w:t>the</w:t>
            </w:r>
            <w:r w:rsidRPr="00B40479">
              <w:t xml:space="preserve"> Western Queensland PHN identified 14 health and 38 service needs for their local community. </w:t>
            </w:r>
            <w:r>
              <w:t xml:space="preserve">Identifying these needs, </w:t>
            </w:r>
            <w:r w:rsidRPr="00B40479">
              <w:t xml:space="preserve">including healthcare needs for an ageing population and culturally appropriate child and maternal services, </w:t>
            </w:r>
            <w:r>
              <w:t>was made easier by</w:t>
            </w:r>
            <w:r w:rsidRPr="00B40479">
              <w:t xml:space="preserve"> whole</w:t>
            </w:r>
            <w:r w:rsidRPr="00B40479">
              <w:noBreakHyphen/>
              <w:t>of</w:t>
            </w:r>
            <w:r w:rsidRPr="00B40479">
              <w:noBreakHyphen/>
              <w:t>system planning and the delivery of integrated care.</w:t>
            </w:r>
            <w:r>
              <w:t xml:space="preserve"> </w:t>
            </w:r>
            <w:r w:rsidRPr="00B40479">
              <w:t xml:space="preserve">The Alliance </w:t>
            </w:r>
            <w:r>
              <w:t xml:space="preserve">has also </w:t>
            </w:r>
            <w:r w:rsidRPr="00B40479">
              <w:t xml:space="preserve">developed a Workforce Implementation Plan Strategy to reverse the decline in the region’s permanent GP workforce, identify gaps in primary care services and enable digital interoperability. </w:t>
            </w:r>
          </w:p>
          <w:p w14:paraId="22178524" w14:textId="5A90762A" w:rsidR="00A0602C" w:rsidRPr="00B40479" w:rsidRDefault="00A0602C" w:rsidP="00562DDC">
            <w:pPr>
              <w:pStyle w:val="Source"/>
            </w:pPr>
            <w:r w:rsidRPr="00B40479">
              <w:t xml:space="preserve">Source: </w:t>
            </w:r>
            <w:proofErr w:type="gramStart"/>
            <w:r w:rsidRPr="00B40479">
              <w:t>South West</w:t>
            </w:r>
            <w:proofErr w:type="gramEnd"/>
            <w:r w:rsidRPr="00B40479">
              <w:t xml:space="preserve"> Hospital and Health Service </w:t>
            </w:r>
            <w:r w:rsidRPr="00B40479">
              <w:rPr>
                <w:rFonts w:ascii="Arial" w:hAnsi="Arial" w:cs="Arial"/>
              </w:rPr>
              <w:t>(2025)</w:t>
            </w:r>
            <w:r w:rsidRPr="00B40479">
              <w:t xml:space="preserve">; </w:t>
            </w:r>
            <w:proofErr w:type="gramStart"/>
            <w:r w:rsidRPr="00B40479">
              <w:t>South West</w:t>
            </w:r>
            <w:proofErr w:type="gramEnd"/>
            <w:r w:rsidRPr="00B40479">
              <w:t xml:space="preserve"> Queensland Primary Health Care Alliance </w:t>
            </w:r>
            <w:r w:rsidRPr="00B40479">
              <w:rPr>
                <w:rFonts w:ascii="Arial" w:hAnsi="Arial" w:cs="Arial"/>
              </w:rPr>
              <w:t>(2024)</w:t>
            </w:r>
            <w:r w:rsidRPr="00B40479">
              <w:t xml:space="preserve">; Western Queensland PHN </w:t>
            </w:r>
            <w:r w:rsidRPr="00B40479">
              <w:rPr>
                <w:rFonts w:ascii="Arial" w:hAnsi="Arial" w:cs="Arial"/>
              </w:rPr>
              <w:t xml:space="preserve">(2025a, </w:t>
            </w:r>
            <w:r w:rsidRPr="00562DDC">
              <w:t>2025b</w:t>
            </w:r>
            <w:r w:rsidRPr="00B40479">
              <w:rPr>
                <w:rFonts w:ascii="Arial" w:hAnsi="Arial" w:cs="Arial"/>
              </w:rPr>
              <w:t>, p. 5)</w:t>
            </w:r>
            <w:r w:rsidRPr="00B40479">
              <w:t>.</w:t>
            </w:r>
          </w:p>
        </w:tc>
      </w:tr>
      <w:tr w:rsidR="00A0602C" w:rsidRPr="00B40479" w14:paraId="7386D155" w14:textId="77777777">
        <w:tc>
          <w:tcPr>
            <w:tcW w:w="9638" w:type="dxa"/>
            <w:shd w:val="clear" w:color="auto" w:fill="auto"/>
            <w:tcMar>
              <w:top w:w="0" w:type="dxa"/>
              <w:left w:w="170" w:type="dxa"/>
              <w:bottom w:w="0" w:type="dxa"/>
              <w:right w:w="170" w:type="dxa"/>
            </w:tcMar>
          </w:tcPr>
          <w:p w14:paraId="7CB98095" w14:textId="77777777" w:rsidR="00A0602C" w:rsidRPr="00B40479" w:rsidRDefault="00A0602C">
            <w:pPr>
              <w:pStyle w:val="NoSpacing"/>
            </w:pPr>
          </w:p>
        </w:tc>
      </w:tr>
    </w:tbl>
    <w:p w14:paraId="161997CD" w14:textId="77777777" w:rsidR="00A0602C" w:rsidRPr="00B40479" w:rsidRDefault="00A0602C">
      <w:pPr>
        <w:pStyle w:val="Heading4"/>
      </w:pPr>
      <w:r w:rsidRPr="00B40479">
        <w:t>Joint monitoring and reporting of outcomes</w:t>
      </w:r>
    </w:p>
    <w:p w14:paraId="6EE158EE" w14:textId="77777777" w:rsidR="00A0602C" w:rsidRDefault="00A0602C">
      <w:pPr>
        <w:pStyle w:val="BodyText"/>
      </w:pPr>
      <w:r>
        <w:t>J</w:t>
      </w:r>
      <w:r w:rsidRPr="00B40479">
        <w:t>oint monitor</w:t>
      </w:r>
      <w:r>
        <w:t>ing</w:t>
      </w:r>
      <w:r w:rsidRPr="00B40479">
        <w:t xml:space="preserve"> and report</w:t>
      </w:r>
      <w:r>
        <w:t>ing</w:t>
      </w:r>
      <w:r w:rsidRPr="00B40479">
        <w:t xml:space="preserve"> </w:t>
      </w:r>
      <w:r>
        <w:t>of</w:t>
      </w:r>
      <w:r w:rsidRPr="00B40479">
        <w:t xml:space="preserve"> </w:t>
      </w:r>
      <w:r>
        <w:t>o</w:t>
      </w:r>
      <w:r w:rsidRPr="00B40479">
        <w:t xml:space="preserve">utcomes </w:t>
      </w:r>
      <w:r>
        <w:t xml:space="preserve">is necessary to </w:t>
      </w:r>
      <w:r w:rsidRPr="00B40479">
        <w:t>evaluate the success of initiatives</w:t>
      </w:r>
      <w:r>
        <w:t xml:space="preserve"> undertaken by LHNs and PHNs. Joint monitoring and reporting also</w:t>
      </w:r>
      <w:r w:rsidDel="00B40D6C">
        <w:t xml:space="preserve"> </w:t>
      </w:r>
      <w:r>
        <w:t>ensures local decision makers are accountable, which underpins the autonomy they need to realise the benefits of place</w:t>
      </w:r>
      <w:r>
        <w:noBreakHyphen/>
        <w:t>based collaborative commissioning.</w:t>
      </w:r>
    </w:p>
    <w:p w14:paraId="561D8AE9" w14:textId="35C6DEE9" w:rsidR="00A0602C" w:rsidRPr="00B40479" w:rsidRDefault="00A0602C">
      <w:pPr>
        <w:pStyle w:val="BodyText"/>
      </w:pPr>
      <w:r w:rsidRPr="00B40479">
        <w:t>E</w:t>
      </w:r>
      <w:r w:rsidRPr="00B40479" w:rsidDel="00DB31E4">
        <w:t xml:space="preserve">valuating joint regional health systems and </w:t>
      </w:r>
      <w:r w:rsidRPr="00B40479">
        <w:t xml:space="preserve">integrated </w:t>
      </w:r>
      <w:r w:rsidRPr="00B40479" w:rsidDel="00DB31E4">
        <w:t xml:space="preserve">initiatives </w:t>
      </w:r>
      <w:r w:rsidRPr="00B40479">
        <w:t>is highly complex</w:t>
      </w:r>
      <w:r w:rsidRPr="00B40479" w:rsidDel="00DB31E4">
        <w:t xml:space="preserve"> </w:t>
      </w:r>
      <w:r w:rsidRPr="00B40479">
        <w:rPr>
          <w:rFonts w:ascii="Arial" w:hAnsi="Arial" w:cs="Arial"/>
        </w:rPr>
        <w:t>(Crocker et al. 2020, p. 7; Impact Co. and QCP 2024b, p. 79)</w:t>
      </w:r>
      <w:r w:rsidRPr="00B40479">
        <w:t xml:space="preserve">. </w:t>
      </w:r>
      <w:r>
        <w:t>Yet</w:t>
      </w:r>
      <w:r w:rsidRPr="00B40479">
        <w:t xml:space="preserve"> </w:t>
      </w:r>
      <w:r>
        <w:t>experience from other</w:t>
      </w:r>
      <w:r w:rsidRPr="00B40479">
        <w:t xml:space="preserve"> jurisdictions</w:t>
      </w:r>
      <w:r>
        <w:t>, such as the United Kingdom,</w:t>
      </w:r>
      <w:r w:rsidRPr="00B40479">
        <w:t xml:space="preserve"> </w:t>
      </w:r>
      <w:r>
        <w:t>indicates</w:t>
      </w:r>
      <w:r w:rsidRPr="00B40479">
        <w:t xml:space="preserve"> that a joint outcomes framework</w:t>
      </w:r>
      <w:r>
        <w:t xml:space="preserve"> can strengthen oversight and accountability while supporting better health outcomes through local decision</w:t>
      </w:r>
      <w:r w:rsidR="00B33E30">
        <w:t>-</w:t>
      </w:r>
      <w:r>
        <w:t>making</w:t>
      </w:r>
      <w:r w:rsidRPr="00B40479">
        <w:t>.</w:t>
      </w:r>
      <w:r w:rsidRPr="002B0A03">
        <w:rPr>
          <w:rStyle w:val="FootnoteReference"/>
        </w:rPr>
        <w:footnoteReference w:id="19"/>
      </w:r>
      <w:r w:rsidRPr="00B40479">
        <w:t xml:space="preserve"> </w:t>
      </w:r>
    </w:p>
    <w:p w14:paraId="4666EE93" w14:textId="4D9F681D" w:rsidR="00A0602C" w:rsidRPr="00D65A0A" w:rsidRDefault="00A0602C">
      <w:pPr>
        <w:pStyle w:val="BodyText"/>
        <w:rPr>
          <w:spacing w:val="-4"/>
        </w:rPr>
      </w:pPr>
      <w:r w:rsidRPr="00D65A0A">
        <w:rPr>
          <w:spacing w:val="-4"/>
        </w:rPr>
        <w:t>A nationally consistent outcomes framework is needed to calibrate the reporting obligations for commissioning organisations. It should draw on national reporting frameworks, including the Australian Health Performance Framework</w:t>
      </w:r>
      <w:r w:rsidRPr="00D65A0A">
        <w:rPr>
          <w:rStyle w:val="FootnoteReference"/>
          <w:spacing w:val="-4"/>
        </w:rPr>
        <w:footnoteReference w:id="20"/>
      </w:r>
      <w:r w:rsidRPr="00D65A0A">
        <w:rPr>
          <w:spacing w:val="-4"/>
        </w:rPr>
        <w:t>, which is designed to support system</w:t>
      </w:r>
      <w:r w:rsidRPr="00D65A0A">
        <w:rPr>
          <w:spacing w:val="-4"/>
        </w:rPr>
        <w:noBreakHyphen/>
        <w:t>wide reporting of health and health care performance, and the Aboriginal and Torres Strait Islander Health Performance Framework</w:t>
      </w:r>
      <w:r w:rsidRPr="00D65A0A" w:rsidDel="00101DE6">
        <w:rPr>
          <w:spacing w:val="-4"/>
        </w:rPr>
        <w:t>.</w:t>
      </w:r>
      <w:r w:rsidRPr="00D65A0A">
        <w:rPr>
          <w:spacing w:val="-4"/>
        </w:rPr>
        <w:t xml:space="preserve"> It could also be aligned with the Quintuple Aim, which health organisations already use widely (</w:t>
      </w:r>
      <w:r w:rsidR="00811002" w:rsidRPr="00D65A0A">
        <w:rPr>
          <w:spacing w:val="-4"/>
        </w:rPr>
        <w:t>T</w:t>
      </w:r>
      <w:r w:rsidRPr="00D65A0A">
        <w:rPr>
          <w:spacing w:val="-4"/>
        </w:rPr>
        <w:t>he Health Alliance, sub. 84, p. 6).</w:t>
      </w:r>
    </w:p>
    <w:p w14:paraId="75DB66C0" w14:textId="77777777" w:rsidR="00A0602C" w:rsidRPr="00B40479" w:rsidRDefault="00A0602C">
      <w:pPr>
        <w:pStyle w:val="BodyText"/>
      </w:pPr>
      <w:r w:rsidRPr="00B40479">
        <w:t>To the extent that current performance measures and reporting obligations placed on commissioning organisations are inconsistent with these national outcomes and indicators, relevant governments should revise the</w:t>
      </w:r>
      <w:r>
        <w:t>m and</w:t>
      </w:r>
      <w:r w:rsidRPr="00B40479">
        <w:t xml:space="preserve"> adopt common metrics.</w:t>
      </w:r>
    </w:p>
    <w:p w14:paraId="7D01BC6C" w14:textId="75DEA103" w:rsidR="00A0602C" w:rsidRPr="00B40479" w:rsidRDefault="00A0602C">
      <w:pPr>
        <w:pStyle w:val="BodyText"/>
      </w:pPr>
      <w:r w:rsidRPr="00B40479">
        <w:t>While collaborative approaches and programs will vary, reporting should enable nationally consistent comparisons</w:t>
      </w:r>
      <w:r>
        <w:t xml:space="preserve"> so that</w:t>
      </w:r>
      <w:r w:rsidRPr="00B40479">
        <w:t xml:space="preserve"> successful new initiatives </w:t>
      </w:r>
      <w:r>
        <w:t>can</w:t>
      </w:r>
      <w:r w:rsidRPr="00B40479">
        <w:t xml:space="preserve"> be identified. </w:t>
      </w:r>
      <w:r>
        <w:t>Reporting</w:t>
      </w:r>
      <w:r w:rsidRPr="00B40479">
        <w:t xml:space="preserve"> will also be essential to inform the outcomes</w:t>
      </w:r>
      <w:r>
        <w:noBreakHyphen/>
      </w:r>
      <w:r w:rsidRPr="00B40479">
        <w:t xml:space="preserve">based funding proposed below. </w:t>
      </w:r>
      <w:r w:rsidR="00380302">
        <w:t>However, i</w:t>
      </w:r>
      <w:r>
        <w:t xml:space="preserve">t should </w:t>
      </w:r>
      <w:r w:rsidRPr="00267B3A">
        <w:t>not duplicate or unduly increase the reporting burden on commissioning organisations.</w:t>
      </w:r>
    </w:p>
    <w:p w14:paraId="46A671FF" w14:textId="77777777" w:rsidR="00A0602C" w:rsidRPr="00B40479" w:rsidRDefault="00A0602C">
      <w:pPr>
        <w:pStyle w:val="Heading4"/>
      </w:pPr>
      <w:r>
        <w:lastRenderedPageBreak/>
        <w:t>Interim resourcing may be needed to progress j</w:t>
      </w:r>
      <w:r w:rsidRPr="00B40479">
        <w:t>oint governance</w:t>
      </w:r>
    </w:p>
    <w:p w14:paraId="7A7019BA" w14:textId="77777777" w:rsidR="00A0602C" w:rsidRDefault="00A0602C">
      <w:pPr>
        <w:pStyle w:val="BodyText"/>
      </w:pPr>
      <w:r>
        <w:t xml:space="preserve">The joint governance arrangements outlined should ideally be established in the NHRA, as noted above. If the strengthened joint governance arrangements are not included in the 2026 addendum to the NHRA, however, progress towards implementation should not be delayed. The Australian Government should provide some initial resourcing, potentially on a matched basis with state and territory governments, to ensure that LHNs and PHNs have sufficient resourcing to participate in the joint governance arrangements outlined in this report. </w:t>
      </w:r>
    </w:p>
    <w:p w14:paraId="3997E976" w14:textId="77777777" w:rsidR="00A0602C" w:rsidRDefault="00A0602C">
      <w:pPr>
        <w:pStyle w:val="BodyText"/>
      </w:pPr>
      <w:r>
        <w:t>These additional interim resourcing requirements are not expected to be substantial. In some cases, the proposed</w:t>
      </w:r>
      <w:r w:rsidRPr="00B40479">
        <w:t xml:space="preserve"> joint governance arrangements will formalise or replace practices already resourced by LHNs and PHNs</w:t>
      </w:r>
      <w:r>
        <w:t>. In other cases, a move to joint governance arrangements may be more resource intensive, particularly where collaboration is more complicated, such as through boundary misalignment</w:t>
      </w:r>
      <w:r w:rsidRPr="00B40479">
        <w:t xml:space="preserve">. </w:t>
      </w:r>
      <w:r>
        <w:t>The PHN Cooperative reinforced this point:</w:t>
      </w:r>
    </w:p>
    <w:p w14:paraId="13E41522" w14:textId="77777777" w:rsidR="00A0602C" w:rsidRPr="00B40479" w:rsidRDefault="00A0602C">
      <w:pPr>
        <w:pStyle w:val="Quote"/>
      </w:pPr>
      <w:r w:rsidRPr="00B96A83">
        <w:t>The levels of resourcing required to support enhanced joint governance requirements</w:t>
      </w:r>
      <w:r>
        <w:t xml:space="preserve"> </w:t>
      </w:r>
      <w:r w:rsidRPr="00B96A83">
        <w:t>is likely to vary from region to region, particularly for PHNs. A critical factor for the level of PHN</w:t>
      </w:r>
      <w:r>
        <w:t xml:space="preserve"> </w:t>
      </w:r>
      <w:r w:rsidRPr="00B96A83">
        <w:t>governance funding will be the number of LHNs with whom the PHN needs to collaborate.</w:t>
      </w:r>
      <w:r>
        <w:t xml:space="preserve"> (sub. 104, p. 8)</w:t>
      </w:r>
    </w:p>
    <w:p w14:paraId="300B74D9" w14:textId="77777777" w:rsidR="00A0602C" w:rsidRDefault="00A0602C">
      <w:pPr>
        <w:pStyle w:val="BodyText"/>
      </w:pPr>
      <w:r w:rsidRPr="00B40479">
        <w:t xml:space="preserve">Similarly, </w:t>
      </w:r>
      <w:r>
        <w:t xml:space="preserve">sufficient resourcing and time will be required for </w:t>
      </w:r>
      <w:r w:rsidRPr="00B40479">
        <w:t xml:space="preserve">ACCHOs and other organisations to participate as genuine partners in this process. </w:t>
      </w:r>
      <w:r>
        <w:t>Additional resourcing</w:t>
      </w:r>
      <w:r w:rsidRPr="00B40479">
        <w:t xml:space="preserve"> may </w:t>
      </w:r>
      <w:r>
        <w:t xml:space="preserve">also </w:t>
      </w:r>
      <w:r w:rsidRPr="00B40479">
        <w:t>be need</w:t>
      </w:r>
      <w:r>
        <w:t>ed</w:t>
      </w:r>
      <w:r w:rsidRPr="00B40479">
        <w:t xml:space="preserve"> to improve data access and capability (discussed </w:t>
      </w:r>
      <w:r>
        <w:t>below</w:t>
      </w:r>
      <w:r w:rsidRPr="00B40479">
        <w:t xml:space="preserve">). </w:t>
      </w:r>
      <w:r w:rsidRPr="00B40479" w:rsidDel="00801FC9">
        <w:t xml:space="preserve">The </w:t>
      </w:r>
      <w:r w:rsidRPr="00B40479">
        <w:t xml:space="preserve">resourcing </w:t>
      </w:r>
      <w:r>
        <w:t>for governance arrangements discussed here is</w:t>
      </w:r>
      <w:r w:rsidRPr="00B40479">
        <w:t xml:space="preserve"> separate </w:t>
      </w:r>
      <w:r>
        <w:t xml:space="preserve">to the proposed dedicated </w:t>
      </w:r>
      <w:r w:rsidRPr="00B40479">
        <w:t>funding for commissioned services</w:t>
      </w:r>
      <w:r>
        <w:t xml:space="preserve"> (</w:t>
      </w:r>
      <w:r w:rsidRPr="00B40479">
        <w:t>discussed below</w:t>
      </w:r>
      <w:r>
        <w:t>)</w:t>
      </w:r>
      <w:r w:rsidRPr="00B40479">
        <w:t>.</w:t>
      </w:r>
    </w:p>
    <w:p w14:paraId="428E64DA" w14:textId="09F0A4E2" w:rsidR="00A0602C" w:rsidRPr="00B40479" w:rsidRDefault="00A0602C">
      <w:pPr>
        <w:pStyle w:val="NoSpacing"/>
      </w:pPr>
    </w:p>
    <w:tbl>
      <w:tblPr>
        <w:tblStyle w:val="Texttable-Paleblue"/>
        <w:tblW w:w="5000" w:type="pct"/>
        <w:tblLook w:val="04A0" w:firstRow="1" w:lastRow="0" w:firstColumn="1" w:lastColumn="0" w:noHBand="0" w:noVBand="1"/>
      </w:tblPr>
      <w:tblGrid>
        <w:gridCol w:w="713"/>
        <w:gridCol w:w="8925"/>
      </w:tblGrid>
      <w:tr w:rsidR="00A0602C" w:rsidRPr="00B40479" w14:paraId="4AB43C21" w14:textId="77777777">
        <w:trPr>
          <w:tblHeader/>
        </w:trPr>
        <w:tc>
          <w:tcPr>
            <w:tcW w:w="713" w:type="dxa"/>
            <w:shd w:val="clear" w:color="auto" w:fill="E7F6FD"/>
            <w:tcMar>
              <w:top w:w="0" w:type="dxa"/>
              <w:bottom w:w="0" w:type="dxa"/>
            </w:tcMar>
            <w:vAlign w:val="center"/>
          </w:tcPr>
          <w:p w14:paraId="6BBFC5A0" w14:textId="77777777" w:rsidR="00A0602C" w:rsidRPr="00B40479" w:rsidRDefault="00A0602C">
            <w:pPr>
              <w:keepLines/>
              <w:jc w:val="center"/>
            </w:pPr>
            <w:r w:rsidRPr="002776E8">
              <w:rPr>
                <w:noProof/>
              </w:rPr>
              <w:drawing>
                <wp:inline distT="0" distB="0" distL="0" distR="0" wp14:anchorId="3055125D" wp14:editId="4AAE4131">
                  <wp:extent cx="288000" cy="288000"/>
                  <wp:effectExtent l="0" t="0" r="0" b="0"/>
                  <wp:docPr id="1423934436" name="Graphic 142393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70D8170" w14:textId="0235AD51" w:rsidR="00A0602C" w:rsidRPr="00B40479" w:rsidRDefault="00A0602C">
            <w:pPr>
              <w:pStyle w:val="TableHeading"/>
              <w:keepLines/>
              <w:spacing w:before="120" w:after="120"/>
              <w:contextualSpacing/>
              <w:rPr>
                <w:sz w:val="20"/>
              </w:rPr>
            </w:pPr>
            <w:r w:rsidRPr="00B40479">
              <w:rPr>
                <w:sz w:val="20"/>
              </w:rPr>
              <w:t xml:space="preserve">Recommendation </w:t>
            </w:r>
            <w:r w:rsidRPr="00B40479">
              <w:rPr>
                <w:sz w:val="20"/>
              </w:rPr>
              <w:fldChar w:fldCharType="begin"/>
            </w:r>
            <w:r w:rsidRPr="00B40479">
              <w:rPr>
                <w:sz w:val="20"/>
              </w:rPr>
              <w:instrText xml:space="preserve"> STYLEREF 1 \s </w:instrText>
            </w:r>
            <w:r w:rsidRPr="00B40479">
              <w:rPr>
                <w:sz w:val="20"/>
              </w:rPr>
              <w:fldChar w:fldCharType="separate"/>
            </w:r>
            <w:r w:rsidR="00FB1849">
              <w:rPr>
                <w:noProof/>
                <w:sz w:val="20"/>
              </w:rPr>
              <w:t>2</w:t>
            </w:r>
            <w:r w:rsidRPr="00B40479">
              <w:rPr>
                <w:sz w:val="20"/>
              </w:rPr>
              <w:fldChar w:fldCharType="end"/>
            </w:r>
            <w:r w:rsidRPr="00B40479">
              <w:rPr>
                <w:sz w:val="20"/>
              </w:rPr>
              <w:t>.</w:t>
            </w:r>
            <w:r w:rsidRPr="00B40479">
              <w:rPr>
                <w:sz w:val="20"/>
              </w:rPr>
              <w:fldChar w:fldCharType="begin"/>
            </w:r>
            <w:r w:rsidRPr="00B40479">
              <w:rPr>
                <w:sz w:val="20"/>
              </w:rPr>
              <w:instrText xml:space="preserve"> SEQ Recommendation \* ARABIC \s 1 </w:instrText>
            </w:r>
            <w:r w:rsidRPr="00B40479">
              <w:rPr>
                <w:sz w:val="20"/>
              </w:rPr>
              <w:fldChar w:fldCharType="separate"/>
            </w:r>
            <w:r w:rsidR="00FB1849">
              <w:rPr>
                <w:noProof/>
                <w:sz w:val="20"/>
              </w:rPr>
              <w:t>1</w:t>
            </w:r>
            <w:r w:rsidRPr="00B40479">
              <w:rPr>
                <w:sz w:val="20"/>
              </w:rPr>
              <w:fldChar w:fldCharType="end"/>
            </w:r>
          </w:p>
          <w:p w14:paraId="1C2B7856" w14:textId="77777777" w:rsidR="00A0602C" w:rsidRPr="00B40479" w:rsidRDefault="00A0602C">
            <w:pPr>
              <w:pStyle w:val="TableHeading"/>
              <w:keepLines/>
              <w:spacing w:before="120" w:after="120"/>
              <w:contextualSpacing/>
              <w:rPr>
                <w:sz w:val="20"/>
              </w:rPr>
            </w:pPr>
            <w:r>
              <w:rPr>
                <w:sz w:val="20"/>
              </w:rPr>
              <w:t>Establish stronger joint governance arrangements</w:t>
            </w:r>
          </w:p>
        </w:tc>
      </w:tr>
      <w:tr w:rsidR="00A0602C" w:rsidRPr="00B40479" w14:paraId="67409AE7" w14:textId="77777777">
        <w:tc>
          <w:tcPr>
            <w:tcW w:w="9638" w:type="dxa"/>
            <w:gridSpan w:val="2"/>
            <w:shd w:val="clear" w:color="auto" w:fill="E7F6FD"/>
            <w:tcMar>
              <w:top w:w="0" w:type="dxa"/>
            </w:tcMar>
          </w:tcPr>
          <w:p w14:paraId="7F73A35D" w14:textId="77777777" w:rsidR="00A0602C" w:rsidRPr="00856FD1" w:rsidRDefault="00A0602C">
            <w:pPr>
              <w:pStyle w:val="BodyText"/>
              <w:rPr>
                <w:spacing w:val="-2"/>
              </w:rPr>
            </w:pPr>
            <w:r w:rsidRPr="00856FD1">
              <w:rPr>
                <w:spacing w:val="-2"/>
              </w:rPr>
              <w:t xml:space="preserve">Governments should agree to establish stronger joint governance arrangements that support better collaboration between Local Hospital Networks (LHNs) and Primary Health Networks (PHNs), in partnership with Aboriginal Community Controlled Health Organisations (ACCHOs) and other organisations. </w:t>
            </w:r>
          </w:p>
          <w:p w14:paraId="124F1DC6" w14:textId="77777777" w:rsidR="00A0602C" w:rsidRPr="00B40479" w:rsidRDefault="00A0602C" w:rsidP="00A0602C">
            <w:pPr>
              <w:pStyle w:val="ListBullet"/>
              <w:keepLines/>
            </w:pPr>
            <w:r w:rsidRPr="00B40479">
              <w:t>LHNs and PHNs should be required to plan together to identify areas for collaboration, including joint needs assessments, agreed plans of work and joint monitoring and reporting of outcomes.</w:t>
            </w:r>
          </w:p>
          <w:p w14:paraId="0035F97E" w14:textId="5C8543CA" w:rsidR="00A0602C" w:rsidRPr="00B40479" w:rsidRDefault="00A0602C" w:rsidP="00A0602C">
            <w:pPr>
              <w:pStyle w:val="ListBullet"/>
              <w:keepLines/>
            </w:pPr>
            <w:r>
              <w:t>LHNs and PHNs should work in partnership with ACCHOs and other organisations to inform planning and shared decision</w:t>
            </w:r>
            <w:r w:rsidR="00B33E30">
              <w:t>-</w:t>
            </w:r>
            <w:r>
              <w:t>making. Partnering with ACCHOs should be consistent with the principles set out in the National Agreement on Closing the Gap to ensure relevant needs are appropriately and respectfully assessed and decisions shared.</w:t>
            </w:r>
          </w:p>
          <w:p w14:paraId="31B111F8" w14:textId="77777777" w:rsidR="00A0602C" w:rsidRDefault="00A0602C" w:rsidP="00A0602C">
            <w:pPr>
              <w:pStyle w:val="ListBullet"/>
              <w:keepLines/>
            </w:pPr>
            <w:r>
              <w:t xml:space="preserve">Stronger requirements for formal joint committees to provide oversight and accountability for collaboration are needed. </w:t>
            </w:r>
          </w:p>
          <w:p w14:paraId="710B1D9A" w14:textId="77777777" w:rsidR="00A0602C" w:rsidRDefault="00A0602C">
            <w:pPr>
              <w:pStyle w:val="BodyText"/>
            </w:pPr>
            <w:r>
              <w:t xml:space="preserve">The National Health Reform Agreement (NHRA) should be the main lever for moving beyond pilots and embedding these reforms, augmented by additional actions outside the agreement where necessary. </w:t>
            </w:r>
          </w:p>
          <w:p w14:paraId="527B823F" w14:textId="77777777" w:rsidR="00A0602C" w:rsidRPr="00B40479" w:rsidRDefault="00A0602C" w:rsidP="00A0602C">
            <w:pPr>
              <w:pStyle w:val="ListBullet"/>
            </w:pPr>
            <w:r>
              <w:t>If the 2026 addendum to the NHRA is not sufficiently prescriptive, the Australian Government should allocate some initial resourcing, potentially on a matched basis with state and territory governments, to progress the development of joint governance arrangements through bilateral agreements.</w:t>
            </w:r>
          </w:p>
        </w:tc>
      </w:tr>
      <w:tr w:rsidR="00A0602C" w:rsidRPr="00B40479" w14:paraId="33AA848D" w14:textId="77777777">
        <w:trPr>
          <w:trHeight w:val="95"/>
        </w:trPr>
        <w:tc>
          <w:tcPr>
            <w:tcW w:w="9638" w:type="dxa"/>
            <w:gridSpan w:val="2"/>
            <w:shd w:val="clear" w:color="auto" w:fill="auto"/>
            <w:tcMar>
              <w:top w:w="0" w:type="dxa"/>
              <w:bottom w:w="0" w:type="dxa"/>
            </w:tcMar>
          </w:tcPr>
          <w:p w14:paraId="34837EF6" w14:textId="0C83323F" w:rsidR="00A0602C" w:rsidRPr="00B40479" w:rsidRDefault="00A0602C">
            <w:pPr>
              <w:pStyle w:val="NoSpacing"/>
              <w:spacing w:line="200" w:lineRule="exact"/>
            </w:pPr>
          </w:p>
        </w:tc>
      </w:tr>
    </w:tbl>
    <w:p w14:paraId="2FABDF41" w14:textId="77777777" w:rsidR="00A0602C" w:rsidRPr="00B40479" w:rsidRDefault="00A0602C">
      <w:pPr>
        <w:pStyle w:val="Heading3"/>
      </w:pPr>
      <w:r w:rsidRPr="00B40479">
        <w:lastRenderedPageBreak/>
        <w:t xml:space="preserve">Funding should provide certainty and flexibility </w:t>
      </w:r>
    </w:p>
    <w:p w14:paraId="6FA085C5" w14:textId="77777777" w:rsidR="00A0602C" w:rsidRPr="00B40479" w:rsidRDefault="00A0602C">
      <w:pPr>
        <w:pStyle w:val="Heading4"/>
      </w:pPr>
      <w:r w:rsidRPr="00B40479">
        <w:t>F</w:t>
      </w:r>
      <w:r w:rsidRPr="00B40479" w:rsidDel="001764BD">
        <w:t xml:space="preserve">unding should be </w:t>
      </w:r>
      <w:r w:rsidRPr="00B40479">
        <w:t>flexible to allow for more collaborative commissioning</w:t>
      </w:r>
    </w:p>
    <w:p w14:paraId="7C38C981" w14:textId="1B6CE17B" w:rsidR="00A0602C" w:rsidRPr="00B40479" w:rsidRDefault="00A0602C">
      <w:pPr>
        <w:pStyle w:val="BodyText"/>
        <w:keepNext/>
      </w:pPr>
      <w:r>
        <w:t>LHNs and PHNs</w:t>
      </w:r>
      <w:r w:rsidDel="00296842">
        <w:t xml:space="preserve"> </w:t>
      </w:r>
      <w:r>
        <w:t xml:space="preserve">require flexibility to collaboratively commission services that meet local needs, but current funding arrangements often limit what they can do </w:t>
      </w:r>
      <w:r w:rsidRPr="3FDF87CF">
        <w:rPr>
          <w:rFonts w:ascii="Arial" w:hAnsi="Arial" w:cs="Arial"/>
        </w:rPr>
        <w:t>(NSW Health 2025)</w:t>
      </w:r>
      <w:r>
        <w:t xml:space="preserve">. For example, under the current approach, a large proportion of PHN funding is earmarked for specific initiatives, leaving PHNs with limited scope to tailor services to local needs and constraining collaboration with LHNs or ACCHOs. </w:t>
      </w:r>
    </w:p>
    <w:p w14:paraId="29974C48" w14:textId="7A8D98C9" w:rsidR="00A0602C" w:rsidRDefault="00A0602C">
      <w:pPr>
        <w:pStyle w:val="BodyText"/>
      </w:pPr>
      <w:r>
        <w:t xml:space="preserve">Funding to </w:t>
      </w:r>
      <w:r w:rsidRPr="00B40479">
        <w:t xml:space="preserve">PHNs </w:t>
      </w:r>
      <w:r>
        <w:t xml:space="preserve">– be it new funding (discussed below) or existing categories where appropriate, such as funding for mental health and suicide prevention </w:t>
      </w:r>
      <w:r w:rsidR="00CD75B1" w:rsidRPr="00CD75B1">
        <w:rPr>
          <w:rFonts w:ascii="Arial" w:hAnsi="Arial" w:cs="Arial"/>
        </w:rPr>
        <w:t>(PC 2025e, p. 195)</w:t>
      </w:r>
      <w:r>
        <w:t xml:space="preserve"> or chronic disease – should be flexible enough to support the</w:t>
      </w:r>
      <w:r w:rsidRPr="00B40479" w:rsidDel="00A84B12">
        <w:t xml:space="preserve"> </w:t>
      </w:r>
      <w:r w:rsidRPr="00B40479">
        <w:t>commission</w:t>
      </w:r>
      <w:r>
        <w:t>ing of</w:t>
      </w:r>
      <w:r w:rsidRPr="00B40479">
        <w:t xml:space="preserve"> services </w:t>
      </w:r>
      <w:r>
        <w:t>that respond to</w:t>
      </w:r>
      <w:r w:rsidRPr="00B40479">
        <w:t xml:space="preserve"> local priorities </w:t>
      </w:r>
      <w:r>
        <w:t>identified through joint</w:t>
      </w:r>
      <w:r w:rsidRPr="00B40479">
        <w:t xml:space="preserve"> needs assessment</w:t>
      </w:r>
      <w:r>
        <w:t>s. National consistency may be warranted for some PHN programs but should be the exception and only whe</w:t>
      </w:r>
      <w:r w:rsidR="00113352">
        <w:t>n</w:t>
      </w:r>
      <w:r>
        <w:t xml:space="preserve"> informed by rigorous evaluation. PHNs should also have flexibility to collaborate with local organisations that are best placed to address local </w:t>
      </w:r>
      <w:proofErr w:type="gramStart"/>
      <w:r>
        <w:t>needs;</w:t>
      </w:r>
      <w:proofErr w:type="gramEnd"/>
      <w:r>
        <w:t xml:space="preserve"> </w:t>
      </w:r>
      <w:r w:rsidR="00736178">
        <w:t>whether it be</w:t>
      </w:r>
      <w:r>
        <w:t xml:space="preserve"> GPs, ACCHOs, and</w:t>
      </w:r>
      <w:r w:rsidR="00736178">
        <w:t>/or</w:t>
      </w:r>
      <w:r>
        <w:t xml:space="preserve"> alcohol and other drug treatment services.</w:t>
      </w:r>
    </w:p>
    <w:p w14:paraId="2C5627B8" w14:textId="353D6E9E" w:rsidR="00A0602C" w:rsidRDefault="00A0602C">
      <w:pPr>
        <w:pStyle w:val="BodyText"/>
      </w:pPr>
      <w:r>
        <w:t xml:space="preserve">Greater flexibility has been widely supported by inquiry participants and others </w:t>
      </w:r>
      <w:r w:rsidR="00CD75B1" w:rsidRPr="00CD75B1">
        <w:rPr>
          <w:rFonts w:ascii="Arial" w:hAnsi="Arial" w:cs="Arial"/>
        </w:rPr>
        <w:t>(Breadon et al. 2022, pp. 4, 61; PC 2025c, p. 20)</w:t>
      </w:r>
      <w:r>
        <w:t xml:space="preserve">. </w:t>
      </w:r>
    </w:p>
    <w:p w14:paraId="003E9537" w14:textId="2298BFE1" w:rsidR="00A0602C" w:rsidRDefault="00A0602C">
      <w:pPr>
        <w:pStyle w:val="BodyText"/>
      </w:pPr>
      <w:r>
        <w:t>G</w:t>
      </w:r>
      <w:r w:rsidRPr="00B40479">
        <w:t xml:space="preserve">uardrails </w:t>
      </w:r>
      <w:r>
        <w:t xml:space="preserve">around more flexible </w:t>
      </w:r>
      <w:r w:rsidRPr="00B40479">
        <w:t xml:space="preserve">funding </w:t>
      </w:r>
      <w:proofErr w:type="gramStart"/>
      <w:r>
        <w:t>are</w:t>
      </w:r>
      <w:proofErr w:type="gramEnd"/>
      <w:r>
        <w:t xml:space="preserve"> needed to support local decision</w:t>
      </w:r>
      <w:r w:rsidR="00B33E30">
        <w:t>-</w:t>
      </w:r>
      <w:r>
        <w:t>making and</w:t>
      </w:r>
      <w:r w:rsidRPr="00B40479">
        <w:t xml:space="preserve"> </w:t>
      </w:r>
      <w:r>
        <w:t>ensure that PHNs are accountable for delivering outcomes as specified by the Department of Health, Disability and Ageing.</w:t>
      </w:r>
      <w:r w:rsidRPr="00B40479">
        <w:t xml:space="preserve"> </w:t>
      </w:r>
      <w:r>
        <w:t xml:space="preserve">These guardrails include the governance arrangements outlined above: joint committees, joint planning and strengthened monitoring and reporting of outcomes. </w:t>
      </w:r>
    </w:p>
    <w:p w14:paraId="7BEF0A83" w14:textId="04322EF7" w:rsidR="00A0602C" w:rsidRPr="00DC01AB" w:rsidRDefault="00A0602C">
      <w:pPr>
        <w:pStyle w:val="BodyText"/>
        <w:rPr>
          <w:spacing w:val="-4"/>
        </w:rPr>
      </w:pPr>
      <w:r w:rsidRPr="00DC01AB">
        <w:rPr>
          <w:spacing w:val="-4"/>
        </w:rPr>
        <w:t xml:space="preserve">LHN funding should also be flexible enough to support collaboration. Service agreements with state and territory governments should not unduly constrain LHN activities, and legislative barriers should be removed so that they can fund collaboratively commissioned services. For example, LHNs should be able to fund collaboratively commissioned services in primary care, including prevention activities and the management of patients with chronic conditions. At present, LHNs are effectively precluded from funding or commissioning GPs as Medicare payments are not available to services delivered by a state agency such as an LHN </w:t>
      </w:r>
      <w:r w:rsidRPr="00DC01AB">
        <w:rPr>
          <w:rFonts w:cs="Arial"/>
          <w:spacing w:val="-4"/>
        </w:rPr>
        <w:t>(PC 2017a, p. 63)</w:t>
      </w:r>
      <w:r w:rsidRPr="00DC01AB">
        <w:rPr>
          <w:spacing w:val="-4"/>
        </w:rPr>
        <w:t xml:space="preserve">. </w:t>
      </w:r>
    </w:p>
    <w:p w14:paraId="1C7331E3" w14:textId="77777777" w:rsidR="00A0602C" w:rsidRPr="00B40479" w:rsidRDefault="00A0602C">
      <w:pPr>
        <w:pStyle w:val="Heading4"/>
      </w:pPr>
      <w:r>
        <w:t>Funding</w:t>
      </w:r>
      <w:r w:rsidDel="008532FE">
        <w:t xml:space="preserve"> </w:t>
      </w:r>
      <w:r>
        <w:t>should support longer</w:t>
      </w:r>
      <w:r>
        <w:noBreakHyphen/>
        <w:t xml:space="preserve">term programs </w:t>
      </w:r>
    </w:p>
    <w:p w14:paraId="0A4DA1B7" w14:textId="77777777" w:rsidR="00A0602C" w:rsidRDefault="00A0602C">
      <w:pPr>
        <w:pStyle w:val="BodyText"/>
      </w:pPr>
      <w:r>
        <w:t>To embed collaborative commissioning</w:t>
      </w:r>
      <w:r w:rsidRPr="00B40479">
        <w:t>, PHNs require secure, longer</w:t>
      </w:r>
      <w:r w:rsidRPr="00B40479">
        <w:noBreakHyphen/>
        <w:t>term funding</w:t>
      </w:r>
      <w:r>
        <w:t xml:space="preserve"> that is</w:t>
      </w:r>
      <w:r w:rsidRPr="00B40479" w:rsidDel="005C5D62">
        <w:t xml:space="preserve"> </w:t>
      </w:r>
      <w:r w:rsidRPr="00B40479">
        <w:t>periodic</w:t>
      </w:r>
      <w:r>
        <w:t>ally</w:t>
      </w:r>
      <w:r w:rsidRPr="00B40479">
        <w:t xml:space="preserve"> review</w:t>
      </w:r>
      <w:r>
        <w:t>ed</w:t>
      </w:r>
      <w:r w:rsidRPr="00B40479">
        <w:t>.</w:t>
      </w:r>
      <w:r w:rsidRPr="00B40479" w:rsidDel="00A523AB">
        <w:t xml:space="preserve"> </w:t>
      </w:r>
      <w:r w:rsidRPr="00B40479">
        <w:t>The Salvation Army</w:t>
      </w:r>
      <w:r>
        <w:t xml:space="preserve"> Australia</w:t>
      </w:r>
      <w:r w:rsidRPr="00B40479">
        <w:t xml:space="preserve"> (qr. 24, p. 3)</w:t>
      </w:r>
      <w:r w:rsidRPr="00B40479" w:rsidDel="00A523AB">
        <w:t xml:space="preserve"> </w:t>
      </w:r>
      <w:r w:rsidRPr="00B40479">
        <w:t>submitted that ‘short</w:t>
      </w:r>
      <w:r w:rsidRPr="00B40479">
        <w:noBreakHyphen/>
        <w:t xml:space="preserve">term funding agreements and design periods are not conducive to developing robust service delivery frameworks which provide the most effective assistance’. </w:t>
      </w:r>
    </w:p>
    <w:p w14:paraId="5F41B18F" w14:textId="16783DF1" w:rsidR="00A0602C" w:rsidRPr="00B40479" w:rsidRDefault="00A0602C">
      <w:pPr>
        <w:pStyle w:val="BodyText"/>
      </w:pPr>
      <w:r>
        <w:t>F</w:t>
      </w:r>
      <w:r w:rsidRPr="00B40479">
        <w:t>unding cycles should allow some carry over of unspent funds, to reduce the potential for wasteful spending.</w:t>
      </w:r>
      <w:r>
        <w:t xml:space="preserve"> They</w:t>
      </w:r>
      <w:r w:rsidRPr="00B40479">
        <w:t xml:space="preserve"> should also be long enough to allow program evaluation. The Royal Australian College of General Practitioners </w:t>
      </w:r>
      <w:r w:rsidRPr="00B40479">
        <w:rPr>
          <w:rFonts w:ascii="Arial" w:hAnsi="Arial" w:cs="Arial"/>
        </w:rPr>
        <w:t>(2025, p. 8)</w:t>
      </w:r>
      <w:r w:rsidRPr="00B40479">
        <w:t xml:space="preserve"> noted that ‘short</w:t>
      </w:r>
      <w:r w:rsidRPr="00B40479">
        <w:noBreakHyphen/>
        <w:t>term funding, coupled with the need for project/program evaluations within these short timeframes, limits the kind of programs that can be run to those that can demonstrate measurable results quickly.’ Short</w:t>
      </w:r>
      <w:r w:rsidRPr="00B40479">
        <w:noBreakHyphen/>
        <w:t>term funding is a key barrier to PHNs investing in longer</w:t>
      </w:r>
      <w:r w:rsidRPr="00B40479">
        <w:noBreakHyphen/>
        <w:t>term programs. An anonymous PHN noted that:</w:t>
      </w:r>
    </w:p>
    <w:p w14:paraId="7645B11C" w14:textId="562BC324" w:rsidR="00A0602C" w:rsidRDefault="00A0602C">
      <w:pPr>
        <w:pStyle w:val="Quote"/>
      </w:pPr>
      <w:r w:rsidRPr="00B40479">
        <w:t>when there’s less than 6</w:t>
      </w:r>
      <w:r w:rsidRPr="00B40479">
        <w:noBreakHyphen/>
        <w:t>months left [on the contract] … staff start to leave. … The longer you leave it, the more they start leaving, the bigger the dip [in service delivery] is. … as you re</w:t>
      </w:r>
      <w:r w:rsidRPr="00B40479">
        <w:noBreakHyphen/>
        <w:t>fund them, it takes probably an equal time plus about 50% to get back up to where you were before</w:t>
      </w:r>
      <w:r>
        <w:t>.</w:t>
      </w:r>
      <w:r w:rsidRPr="00B40479">
        <w:t xml:space="preserve"> </w:t>
      </w:r>
      <w:r w:rsidRPr="00B40479">
        <w:rPr>
          <w:rFonts w:ascii="Arial" w:hAnsi="Arial" w:cs="Arial"/>
        </w:rPr>
        <w:t>(Bates et al. 2022, p. 588)</w:t>
      </w:r>
    </w:p>
    <w:p w14:paraId="6AA86A2B" w14:textId="2E9EB913" w:rsidR="00A0602C" w:rsidRPr="00B40479" w:rsidRDefault="00A0602C">
      <w:pPr>
        <w:pStyle w:val="NoSpacing"/>
      </w:pPr>
    </w:p>
    <w:tbl>
      <w:tblPr>
        <w:tblStyle w:val="Texttable-Paleblue"/>
        <w:tblW w:w="5000" w:type="pct"/>
        <w:tblLook w:val="04A0" w:firstRow="1" w:lastRow="0" w:firstColumn="1" w:lastColumn="0" w:noHBand="0" w:noVBand="1"/>
      </w:tblPr>
      <w:tblGrid>
        <w:gridCol w:w="713"/>
        <w:gridCol w:w="8925"/>
      </w:tblGrid>
      <w:tr w:rsidR="00A0602C" w:rsidRPr="00B40479" w14:paraId="4755D6B9" w14:textId="77777777">
        <w:trPr>
          <w:tblHeader/>
        </w:trPr>
        <w:tc>
          <w:tcPr>
            <w:tcW w:w="713" w:type="dxa"/>
            <w:shd w:val="clear" w:color="auto" w:fill="E7F6FD"/>
            <w:tcMar>
              <w:top w:w="0" w:type="dxa"/>
              <w:bottom w:w="0" w:type="dxa"/>
            </w:tcMar>
            <w:vAlign w:val="center"/>
          </w:tcPr>
          <w:p w14:paraId="59FDDC25" w14:textId="77777777" w:rsidR="00A0602C" w:rsidRPr="00B40479" w:rsidRDefault="00A0602C">
            <w:pPr>
              <w:keepLines/>
              <w:jc w:val="center"/>
            </w:pPr>
            <w:r w:rsidRPr="002776E8">
              <w:rPr>
                <w:noProof/>
              </w:rPr>
              <w:lastRenderedPageBreak/>
              <w:drawing>
                <wp:inline distT="0" distB="0" distL="0" distR="0" wp14:anchorId="1A07D29D" wp14:editId="39279465">
                  <wp:extent cx="288000" cy="288000"/>
                  <wp:effectExtent l="0" t="0" r="0" b="0"/>
                  <wp:docPr id="1114191005" name="Graphic 1114191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AF36030" w14:textId="37A9B448" w:rsidR="00A0602C" w:rsidRPr="00B40479" w:rsidRDefault="00A0602C">
            <w:pPr>
              <w:pStyle w:val="TableHeading"/>
              <w:keepLines/>
              <w:spacing w:before="120" w:after="120"/>
              <w:contextualSpacing/>
              <w:rPr>
                <w:sz w:val="20"/>
              </w:rPr>
            </w:pPr>
            <w:r w:rsidRPr="00B40479">
              <w:rPr>
                <w:sz w:val="20"/>
              </w:rPr>
              <w:t xml:space="preserve">Recommendation </w:t>
            </w:r>
            <w:r w:rsidRPr="00B40479">
              <w:rPr>
                <w:sz w:val="20"/>
              </w:rPr>
              <w:fldChar w:fldCharType="begin"/>
            </w:r>
            <w:r w:rsidRPr="00B40479">
              <w:rPr>
                <w:sz w:val="20"/>
              </w:rPr>
              <w:instrText xml:space="preserve"> STYLEREF 1 \s </w:instrText>
            </w:r>
            <w:r w:rsidRPr="00B40479">
              <w:rPr>
                <w:sz w:val="20"/>
              </w:rPr>
              <w:fldChar w:fldCharType="separate"/>
            </w:r>
            <w:r w:rsidR="00FB1849">
              <w:rPr>
                <w:noProof/>
                <w:sz w:val="20"/>
              </w:rPr>
              <w:t>2</w:t>
            </w:r>
            <w:r w:rsidRPr="00B40479">
              <w:rPr>
                <w:sz w:val="20"/>
              </w:rPr>
              <w:fldChar w:fldCharType="end"/>
            </w:r>
            <w:r w:rsidRPr="00B40479">
              <w:rPr>
                <w:sz w:val="20"/>
              </w:rPr>
              <w:t>.</w:t>
            </w:r>
            <w:r w:rsidRPr="00B40479">
              <w:rPr>
                <w:sz w:val="20"/>
              </w:rPr>
              <w:fldChar w:fldCharType="begin"/>
            </w:r>
            <w:r w:rsidRPr="00B40479">
              <w:rPr>
                <w:sz w:val="20"/>
              </w:rPr>
              <w:instrText xml:space="preserve"> SEQ Recommendation \* ARABIC \s 1 </w:instrText>
            </w:r>
            <w:r w:rsidRPr="00B40479">
              <w:rPr>
                <w:sz w:val="20"/>
              </w:rPr>
              <w:fldChar w:fldCharType="separate"/>
            </w:r>
            <w:r w:rsidR="00FB1849">
              <w:rPr>
                <w:noProof/>
                <w:sz w:val="20"/>
              </w:rPr>
              <w:t>2</w:t>
            </w:r>
            <w:r w:rsidRPr="00B40479">
              <w:rPr>
                <w:sz w:val="20"/>
              </w:rPr>
              <w:fldChar w:fldCharType="end"/>
            </w:r>
          </w:p>
          <w:p w14:paraId="65BE0F17" w14:textId="77777777" w:rsidR="00A0602C" w:rsidRPr="00B40479" w:rsidRDefault="00A0602C">
            <w:pPr>
              <w:pStyle w:val="TableHeading"/>
              <w:keepLines/>
              <w:spacing w:before="120" w:after="120"/>
              <w:contextualSpacing/>
              <w:rPr>
                <w:sz w:val="20"/>
              </w:rPr>
            </w:pPr>
            <w:r>
              <w:rPr>
                <w:sz w:val="20"/>
              </w:rPr>
              <w:t>Enable more flexible funding</w:t>
            </w:r>
          </w:p>
        </w:tc>
      </w:tr>
      <w:tr w:rsidR="00A0602C" w:rsidRPr="00B40479" w14:paraId="72F904A0" w14:textId="77777777">
        <w:tc>
          <w:tcPr>
            <w:tcW w:w="9638" w:type="dxa"/>
            <w:gridSpan w:val="2"/>
            <w:shd w:val="clear" w:color="auto" w:fill="E7F6FD"/>
            <w:tcMar>
              <w:top w:w="0" w:type="dxa"/>
            </w:tcMar>
          </w:tcPr>
          <w:p w14:paraId="431B4A3A" w14:textId="77777777" w:rsidR="00A0602C" w:rsidRDefault="00A0602C">
            <w:pPr>
              <w:pStyle w:val="BodyText"/>
            </w:pPr>
            <w:r>
              <w:t>Governments should facilitate collaborative commissioning by making funding more flexible.</w:t>
            </w:r>
          </w:p>
          <w:p w14:paraId="08FB76CE" w14:textId="77777777" w:rsidR="00A0602C" w:rsidRDefault="00A0602C" w:rsidP="00A0602C">
            <w:pPr>
              <w:pStyle w:val="ListBullet"/>
            </w:pPr>
            <w:r>
              <w:t xml:space="preserve">The Australian Government should allow Primary Health Networks (PHNs) to have flexibility in how they achieve agreed outcomes. </w:t>
            </w:r>
          </w:p>
          <w:p w14:paraId="3209673F" w14:textId="77777777" w:rsidR="00A0602C" w:rsidRDefault="00A0602C" w:rsidP="00A0602C">
            <w:pPr>
              <w:pStyle w:val="ListBullet"/>
              <w:keepLines/>
            </w:pPr>
            <w:r>
              <w:t xml:space="preserve">To enable collaboratively commissioned programs, state and territory governments should ensure that service agreements provide flexibility in the services and programs that Local Hospital Networks (LHNs) can fund. </w:t>
            </w:r>
          </w:p>
          <w:p w14:paraId="2DCAAE62" w14:textId="77777777" w:rsidR="00A0602C" w:rsidRDefault="00A0602C" w:rsidP="00A0602C">
            <w:pPr>
              <w:pStyle w:val="ListBullet"/>
              <w:keepLines/>
            </w:pPr>
            <w:r>
              <w:t xml:space="preserve">Both LHNs and PHNs should be allowed to pool funds that are being used to support collaboration. </w:t>
            </w:r>
          </w:p>
          <w:p w14:paraId="5390BEEA" w14:textId="77777777" w:rsidR="00A0602C" w:rsidRPr="00DC01AB" w:rsidRDefault="00A0602C">
            <w:pPr>
              <w:pStyle w:val="BodyText"/>
              <w:rPr>
                <w:spacing w:val="-4"/>
              </w:rPr>
            </w:pPr>
            <w:r w:rsidRPr="00DC01AB">
              <w:rPr>
                <w:spacing w:val="-4"/>
              </w:rPr>
              <w:t>Flexibility should be accompanied by appropriate guardrails to maintain accountability for achieving outcomes.</w:t>
            </w:r>
          </w:p>
        </w:tc>
      </w:tr>
      <w:tr w:rsidR="00A0602C" w:rsidRPr="00B40479" w14:paraId="0C9E0F8B" w14:textId="77777777">
        <w:tc>
          <w:tcPr>
            <w:tcW w:w="9638" w:type="dxa"/>
            <w:gridSpan w:val="2"/>
            <w:shd w:val="clear" w:color="auto" w:fill="auto"/>
            <w:tcMar>
              <w:top w:w="0" w:type="dxa"/>
              <w:bottom w:w="0" w:type="dxa"/>
            </w:tcMar>
          </w:tcPr>
          <w:p w14:paraId="5633645C" w14:textId="051582B4" w:rsidR="00A0602C" w:rsidRPr="00B40479" w:rsidRDefault="00A0602C">
            <w:pPr>
              <w:pStyle w:val="NoSpacing"/>
              <w:spacing w:line="200" w:lineRule="exact"/>
            </w:pPr>
          </w:p>
        </w:tc>
      </w:tr>
    </w:tbl>
    <w:p w14:paraId="26C6ED1D" w14:textId="77777777" w:rsidR="00A0602C" w:rsidRPr="00B40479" w:rsidRDefault="00A0602C">
      <w:pPr>
        <w:pStyle w:val="Heading3"/>
      </w:pPr>
      <w:r w:rsidRPr="00B40479">
        <w:t>Dedicated funding for collaborative commissioning is required</w:t>
      </w:r>
    </w:p>
    <w:p w14:paraId="38832C0E" w14:textId="37192A6B" w:rsidR="00A0602C" w:rsidRPr="00DC01AB" w:rsidRDefault="00A0602C">
      <w:pPr>
        <w:pStyle w:val="BodyText"/>
        <w:rPr>
          <w:spacing w:val="-2"/>
        </w:rPr>
      </w:pPr>
      <w:r w:rsidRPr="00DC01AB">
        <w:rPr>
          <w:spacing w:val="-2"/>
        </w:rPr>
        <w:t>In addition to more flexible and longer</w:t>
      </w:r>
      <w:r w:rsidRPr="00DC01AB">
        <w:rPr>
          <w:spacing w:val="-2"/>
        </w:rPr>
        <w:noBreakHyphen/>
        <w:t xml:space="preserve">term grants for existing activities, dedicated funding for collaborative commissioning is required. Appropriately designing this funding will require some consideration, and it should therefore be embedded in the NHRA expected to commence in 2031. Nevertheless, given collaborative commissioning programs can provide significant value, governments should look for opportunities to fund them in the interim. </w:t>
      </w:r>
      <w:proofErr w:type="gramStart"/>
      <w:r w:rsidRPr="00DC01AB">
        <w:rPr>
          <w:spacing w:val="-2"/>
        </w:rPr>
        <w:t>In particular,</w:t>
      </w:r>
      <w:r w:rsidRPr="00DC01AB" w:rsidDel="008A3326">
        <w:rPr>
          <w:spacing w:val="-2"/>
        </w:rPr>
        <w:t xml:space="preserve"> </w:t>
      </w:r>
      <w:r w:rsidRPr="00DC01AB">
        <w:rPr>
          <w:spacing w:val="-2"/>
        </w:rPr>
        <w:t>changes</w:t>
      </w:r>
      <w:proofErr w:type="gramEnd"/>
      <w:r w:rsidRPr="00DC01AB">
        <w:rPr>
          <w:spacing w:val="-2"/>
        </w:rPr>
        <w:t xml:space="preserve"> to governance and funding flexibility (recommendations 2.1 and 2.2) will create valuable opportunities to identify new and innovative ways of addressing local needs. Governments should fund such programs </w:t>
      </w:r>
      <w:r w:rsidR="00FC7AAB" w:rsidRPr="00DC01AB">
        <w:rPr>
          <w:spacing w:val="-2"/>
        </w:rPr>
        <w:t>based on their merit</w:t>
      </w:r>
      <w:r w:rsidRPr="00DC01AB">
        <w:rPr>
          <w:spacing w:val="-2"/>
        </w:rPr>
        <w:t xml:space="preserve"> through existing processes</w:t>
      </w:r>
      <w:r w:rsidRPr="00DC01AB" w:rsidDel="005E4F4A">
        <w:rPr>
          <w:spacing w:val="-2"/>
        </w:rPr>
        <w:t>.</w:t>
      </w:r>
      <w:r w:rsidRPr="00DC01AB">
        <w:rPr>
          <w:spacing w:val="-2"/>
        </w:rPr>
        <w:t xml:space="preserve"> </w:t>
      </w:r>
    </w:p>
    <w:p w14:paraId="1B3DE99C" w14:textId="77777777" w:rsidR="00A0602C" w:rsidRDefault="00A0602C">
      <w:pPr>
        <w:pStyle w:val="Heading4"/>
      </w:pPr>
      <w:r>
        <w:t>The next addendum to the NHRA should include dedicated funding for collaborative commissioning</w:t>
      </w:r>
    </w:p>
    <w:p w14:paraId="3137B4F4" w14:textId="77777777" w:rsidR="00A0602C" w:rsidRPr="00DC01AB" w:rsidRDefault="00A0602C">
      <w:pPr>
        <w:pStyle w:val="BodyText"/>
        <w:rPr>
          <w:spacing w:val="-2"/>
        </w:rPr>
      </w:pPr>
      <w:r w:rsidRPr="00DC01AB">
        <w:rPr>
          <w:spacing w:val="-2"/>
        </w:rPr>
        <w:t>In the longer term, dedicated funding for collaborative commissioning should be included as part of the next NHRA expected to commence in 2031. The level of dedicated funding could be modest. Depending on the specific programs undertaken, the PC estimates that</w:t>
      </w:r>
      <w:r w:rsidRPr="00DC01AB" w:rsidDel="00981919">
        <w:rPr>
          <w:spacing w:val="-2"/>
        </w:rPr>
        <w:t xml:space="preserve"> </w:t>
      </w:r>
      <w:r w:rsidRPr="00DC01AB">
        <w:rPr>
          <w:spacing w:val="-2"/>
        </w:rPr>
        <w:t>funding of about $150 to $200 million per year would be enough to undertake at least one ongoing program in each catchment across the country. The funding could be new or reallocated from other activities within existing LHN and PHN budgets. Some areas could deliver more than one program: T</w:t>
      </w:r>
      <w:r w:rsidRPr="00DC01AB" w:rsidDel="00BC2634">
        <w:rPr>
          <w:spacing w:val="-2"/>
        </w:rPr>
        <w:t>he Health Alliance (sub. 84, p. 7) submitt</w:t>
      </w:r>
      <w:r w:rsidRPr="00DC01AB">
        <w:rPr>
          <w:spacing w:val="-2"/>
        </w:rPr>
        <w:t xml:space="preserve">ed </w:t>
      </w:r>
      <w:r w:rsidRPr="00DC01AB" w:rsidDel="00BC2634">
        <w:rPr>
          <w:spacing w:val="-2"/>
        </w:rPr>
        <w:t>that funding of $5</w:t>
      </w:r>
      <w:r w:rsidRPr="00DC01AB">
        <w:rPr>
          <w:spacing w:val="-2"/>
        </w:rPr>
        <w:t> </w:t>
      </w:r>
      <w:r w:rsidRPr="00DC01AB" w:rsidDel="00BC2634">
        <w:rPr>
          <w:spacing w:val="-2"/>
        </w:rPr>
        <w:t>million to the Brisbane North PHN – which equates to approximately $120 million Australia</w:t>
      </w:r>
      <w:r w:rsidRPr="00DC01AB">
        <w:rPr>
          <w:spacing w:val="-2"/>
        </w:rPr>
        <w:noBreakHyphen/>
      </w:r>
      <w:r w:rsidRPr="00DC01AB" w:rsidDel="00BC2634">
        <w:rPr>
          <w:spacing w:val="-2"/>
        </w:rPr>
        <w:t>wide – would ‘allow for 2</w:t>
      </w:r>
      <w:r w:rsidRPr="00DC01AB">
        <w:rPr>
          <w:spacing w:val="-2"/>
        </w:rPr>
        <w:noBreakHyphen/>
      </w:r>
      <w:r w:rsidRPr="00DC01AB" w:rsidDel="00BC2634">
        <w:rPr>
          <w:spacing w:val="-2"/>
        </w:rPr>
        <w:t xml:space="preserve">3 service delivery programs at a reasonable scale’. </w:t>
      </w:r>
      <w:r w:rsidRPr="00DC01AB">
        <w:rPr>
          <w:spacing w:val="-2"/>
        </w:rPr>
        <w:t>Funding should be distributed to regions on a risk</w:t>
      </w:r>
      <w:r w:rsidRPr="00DC01AB">
        <w:rPr>
          <w:spacing w:val="-2"/>
        </w:rPr>
        <w:noBreakHyphen/>
        <w:t>based capitation basis, which acknowledges that health needs vary across Australia. The PHN Cooperative’s submission (sub. 104, p. 8) noted that current funding to PHNs is already subject to a formula that considers differing needs.</w:t>
      </w:r>
    </w:p>
    <w:p w14:paraId="4125BFB8" w14:textId="77777777" w:rsidR="00A0602C" w:rsidRPr="00DC01AB" w:rsidRDefault="00A0602C">
      <w:pPr>
        <w:pStyle w:val="BodyText"/>
        <w:rPr>
          <w:spacing w:val="-2"/>
        </w:rPr>
      </w:pPr>
      <w:r w:rsidRPr="00DC01AB">
        <w:rPr>
          <w:spacing w:val="-2"/>
        </w:rPr>
        <w:t>LHNs and PHNs should be able to access this dedicated funding by submitting their joint needs assessment and agreed program of work – including shared outcomes – to the Department of Health, Disability and Ageing. Outcomes should clearly link to reducing future costs, such as reduced potentially preventable hospitalisations. LHNs and PHNs</w:t>
      </w:r>
      <w:r w:rsidRPr="00DC01AB" w:rsidDel="00E37E31">
        <w:rPr>
          <w:spacing w:val="-2"/>
        </w:rPr>
        <w:t xml:space="preserve"> </w:t>
      </w:r>
      <w:r w:rsidRPr="00DC01AB">
        <w:rPr>
          <w:spacing w:val="-2"/>
        </w:rPr>
        <w:t>would have flexibility in how they use this funding, but it should be directed towards collaborative programs that improve agreed joint outcomes. The</w:t>
      </w:r>
      <w:r w:rsidRPr="00DC01AB" w:rsidDel="00FD62EB">
        <w:rPr>
          <w:spacing w:val="-2"/>
        </w:rPr>
        <w:t xml:space="preserve"> </w:t>
      </w:r>
      <w:r w:rsidRPr="00DC01AB">
        <w:rPr>
          <w:spacing w:val="-2"/>
        </w:rPr>
        <w:t xml:space="preserve">dedicated funding should be divided between LHNs and PHNs in a ratio that reflects the division of responsibility outlined in their agreed program of work. </w:t>
      </w:r>
    </w:p>
    <w:p w14:paraId="6038CFD5" w14:textId="77777777" w:rsidR="00A0602C" w:rsidRDefault="00A0602C">
      <w:pPr>
        <w:pStyle w:val="Heading5"/>
      </w:pPr>
      <w:r>
        <w:t>Outcomes</w:t>
      </w:r>
      <w:r>
        <w:noBreakHyphen/>
        <w:t>based funding is key to longer</w:t>
      </w:r>
      <w:r>
        <w:noBreakHyphen/>
        <w:t>term success</w:t>
      </w:r>
    </w:p>
    <w:p w14:paraId="7E89FDFC" w14:textId="77777777" w:rsidR="00A0602C" w:rsidRDefault="00A0602C">
      <w:pPr>
        <w:pStyle w:val="BodyText"/>
      </w:pPr>
      <w:r w:rsidDel="003C1794">
        <w:t xml:space="preserve">The </w:t>
      </w:r>
      <w:r>
        <w:t>amount</w:t>
      </w:r>
      <w:r w:rsidRPr="006B3441">
        <w:t xml:space="preserve"> of dedicated funding </w:t>
      </w:r>
      <w:r>
        <w:t xml:space="preserve">available for LHNs and PHNs </w:t>
      </w:r>
      <w:r w:rsidRPr="006B3441">
        <w:t xml:space="preserve">should be adjusted based on the success of the collaborating organisations in meeting their shared outcomes. This approach would incentivise effective </w:t>
      </w:r>
      <w:r w:rsidRPr="006B3441">
        <w:lastRenderedPageBreak/>
        <w:t>collaboration and enable ongoing funding for successful programs, while also providing an accountability mechanism that encourages innovative local approaches and curtail</w:t>
      </w:r>
      <w:r>
        <w:t>s</w:t>
      </w:r>
      <w:r w:rsidRPr="006B3441">
        <w:t xml:space="preserve"> </w:t>
      </w:r>
      <w:r>
        <w:t xml:space="preserve">spending </w:t>
      </w:r>
      <w:r w:rsidRPr="006B3441">
        <w:t>on ineffective programs.</w:t>
      </w:r>
      <w:r>
        <w:t xml:space="preserve"> The Australian Healthcare and Hospitals Association (sub. 26, p. 11) submitted that partnerships backed by ‘funding models that incentivise outcomes … create a culture of joint accountability across the system’.</w:t>
      </w:r>
    </w:p>
    <w:p w14:paraId="0EE1A410" w14:textId="77777777" w:rsidR="00A0602C" w:rsidRPr="00DC01AB" w:rsidRDefault="00A0602C">
      <w:pPr>
        <w:pStyle w:val="BodyText"/>
        <w:rPr>
          <w:spacing w:val="-2"/>
        </w:rPr>
      </w:pPr>
      <w:r w:rsidRPr="00DC01AB">
        <w:rPr>
          <w:spacing w:val="-2"/>
        </w:rPr>
        <w:t>Designing outcomes</w:t>
      </w:r>
      <w:r w:rsidRPr="00DC01AB">
        <w:rPr>
          <w:spacing w:val="-2"/>
        </w:rPr>
        <w:noBreakHyphen/>
        <w:t>based funding that accurately targets performance will be challenging, not least because LHNs and PHNs share responsibility for health outcomes in their local areas. The shared outcomes framework will be central to the funding, enabling benchmarks to be set and determining whether they are met.</w:t>
      </w:r>
    </w:p>
    <w:p w14:paraId="015FA281" w14:textId="7ADE636E" w:rsidR="00A0602C" w:rsidRPr="00B40479" w:rsidRDefault="00A0602C">
      <w:pPr>
        <w:pStyle w:val="BodyText"/>
      </w:pPr>
      <w:r w:rsidRPr="00B40479">
        <w:t xml:space="preserve">We propose that </w:t>
      </w:r>
      <w:r>
        <w:t xml:space="preserve">the </w:t>
      </w:r>
      <w:r w:rsidRPr="00B40479">
        <w:t>I</w:t>
      </w:r>
      <w:r>
        <w:t xml:space="preserve">ndependent </w:t>
      </w:r>
      <w:r w:rsidRPr="00B40479">
        <w:t>H</w:t>
      </w:r>
      <w:r>
        <w:t xml:space="preserve">ealth and </w:t>
      </w:r>
      <w:r w:rsidRPr="00B40479">
        <w:t>A</w:t>
      </w:r>
      <w:r>
        <w:t xml:space="preserve">ged </w:t>
      </w:r>
      <w:r w:rsidRPr="00B40479">
        <w:t>C</w:t>
      </w:r>
      <w:r>
        <w:t xml:space="preserve">are </w:t>
      </w:r>
      <w:r w:rsidRPr="00B40479">
        <w:t>P</w:t>
      </w:r>
      <w:r>
        <w:t xml:space="preserve">ricing </w:t>
      </w:r>
      <w:r w:rsidRPr="00B40479">
        <w:t>A</w:t>
      </w:r>
      <w:r>
        <w:t>uthority (IHACPA)</w:t>
      </w:r>
      <w:r w:rsidRPr="00B40479">
        <w:t xml:space="preserve"> work with governments to design outcome</w:t>
      </w:r>
      <w:r w:rsidR="00130571">
        <w:t>s</w:t>
      </w:r>
      <w:r>
        <w:noBreakHyphen/>
      </w:r>
      <w:r w:rsidRPr="00B40479">
        <w:t>based funding for collaborative commissioning</w:t>
      </w:r>
      <w:r>
        <w:t>.</w:t>
      </w:r>
      <w:r w:rsidRPr="00B40479">
        <w:t xml:space="preserve"> </w:t>
      </w:r>
      <w:r>
        <w:t>The funding</w:t>
      </w:r>
      <w:r w:rsidRPr="00B40479">
        <w:t xml:space="preserve"> should be agreed as part of the next NHRA</w:t>
      </w:r>
      <w:r>
        <w:t>, expected to commence in 2031</w:t>
      </w:r>
      <w:r w:rsidRPr="00B40479">
        <w:t xml:space="preserve">. In doing so, IHACPA should consider the </w:t>
      </w:r>
      <w:r>
        <w:t>principles outlined in figure 2.5.</w:t>
      </w:r>
      <w:r w:rsidRPr="004D2322">
        <w:t xml:space="preserve"> </w:t>
      </w:r>
    </w:p>
    <w:p w14:paraId="4CE9D42D" w14:textId="12249ADA" w:rsidR="00A0602C" w:rsidRPr="00146382" w:rsidRDefault="00A0602C">
      <w:pPr>
        <w:pStyle w:val="FigureTableHeading"/>
      </w:pPr>
      <w:r>
        <w:t xml:space="preserve">Figure </w:t>
      </w:r>
      <w:r w:rsidRPr="22BBF186">
        <w:fldChar w:fldCharType="begin"/>
      </w:r>
      <w:r>
        <w:instrText xml:space="preserve"> STYLEREF 1 \s </w:instrText>
      </w:r>
      <w:r w:rsidRPr="22BBF186">
        <w:fldChar w:fldCharType="separate"/>
      </w:r>
      <w:r w:rsidR="00FB1849">
        <w:rPr>
          <w:noProof/>
        </w:rPr>
        <w:t>2</w:t>
      </w:r>
      <w:r w:rsidRPr="22BBF186">
        <w:rPr>
          <w:noProof/>
        </w:rPr>
        <w:fldChar w:fldCharType="end"/>
      </w:r>
      <w:r>
        <w:t>.</w:t>
      </w:r>
      <w:r w:rsidRPr="22BBF186">
        <w:fldChar w:fldCharType="begin"/>
      </w:r>
      <w:r>
        <w:instrText xml:space="preserve"> SEQ Figure \* ARABIC \s 1 </w:instrText>
      </w:r>
      <w:r w:rsidRPr="22BBF186">
        <w:fldChar w:fldCharType="separate"/>
      </w:r>
      <w:r w:rsidR="00FB1849">
        <w:rPr>
          <w:noProof/>
        </w:rPr>
        <w:t>5</w:t>
      </w:r>
      <w:r w:rsidRPr="22BBF186">
        <w:rPr>
          <w:noProof/>
        </w:rPr>
        <w:fldChar w:fldCharType="end"/>
      </w:r>
      <w:r w:rsidRPr="22BBF186">
        <w:rPr>
          <w:noProof/>
        </w:rPr>
        <w:t xml:space="preserve"> </w:t>
      </w:r>
      <w:r>
        <w:t>– Four principles to guide effective outcomes</w:t>
      </w:r>
      <w:r>
        <w:noBreakHyphen/>
        <w:t>based funding</w:t>
      </w:r>
    </w:p>
    <w:p w14:paraId="417DADB9" w14:textId="57A8430E" w:rsidR="00A0602C" w:rsidRDefault="001B3E64" w:rsidP="001B3E64">
      <w:pPr>
        <w:pStyle w:val="BodyText"/>
        <w:spacing w:after="360"/>
        <w:rPr>
          <w:b/>
          <w:bCs/>
        </w:rPr>
      </w:pPr>
      <w:r w:rsidRPr="001B3E64">
        <w:rPr>
          <w:noProof/>
        </w:rPr>
        <w:drawing>
          <wp:inline distT="0" distB="0" distL="0" distR="0" wp14:anchorId="47314C19" wp14:editId="156BDAB9">
            <wp:extent cx="6120130" cy="2925445"/>
            <wp:effectExtent l="0" t="0" r="0" b="8255"/>
            <wp:docPr id="2017521348" name="Picture 10" descr="This figure depicts the four principles to guide effective outcomes-based funding. &#10;Outcomes-based. The funding should be based on a range of outcomes to create benchmarks for PHNs and LHNs. PPHs should be a consideration given their cost to the health system, but should be considered alongside other outcomes within the control of LHNs and PHNs. &#10;Equitable. The funding should support equity. Those living in catchments of poor LHN or PHN performance should not be penalised with lower service quality. As such, the level of funding that can be adjusted should be bound.  &#10;Risk-based. The funding should acknowledge that all PHNs and LHNs begin from a different starting point, with different demographic and socioeconomic factors. Funding should account for these differences so LHNs and PHNs are not penalised or rewarded based on the risk profile or needs of their population.&#10;Local. The funding should support decision making at a local level - with decisions around spending to be made by LHNs and PHNs according to the needs that they have identifi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21348" name="Picture 10" descr="This figure depicts the four principles to guide effective outcomes-based funding. &#10;Outcomes-based. The funding should be based on a range of outcomes to create benchmarks for PHNs and LHNs. PPHs should be a consideration given their cost to the health system, but should be considered alongside other outcomes within the control of LHNs and PHNs. &#10;Equitable. The funding should support equity. Those living in catchments of poor LHN or PHN performance should not be penalised with lower service quality. As such, the level of funding that can be adjusted should be bound.  &#10;Risk-based. The funding should acknowledge that all PHNs and LHNs begin from a different starting point, with different demographic and socioeconomic factors. Funding should account for these differences so LHNs and PHNs are not penalised or rewarded based on the risk profile or needs of their population.&#10;Local. The funding should support decision making at a local level - with decisions around spending to be made by LHNs and PHNs according to the needs that they have identified.&#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2925445"/>
                    </a:xfrm>
                    <a:prstGeom prst="rect">
                      <a:avLst/>
                    </a:prstGeom>
                    <a:noFill/>
                    <a:ln>
                      <a:noFill/>
                    </a:ln>
                  </pic:spPr>
                </pic:pic>
              </a:graphicData>
            </a:graphic>
          </wp:inline>
        </w:drawing>
      </w:r>
      <w:r w:rsidRPr="001B3E64">
        <w:t xml:space="preserve"> </w:t>
      </w:r>
    </w:p>
    <w:p w14:paraId="0D7E5C51" w14:textId="34C7BD31" w:rsidR="00A0602C" w:rsidRDefault="00A0602C">
      <w:pPr>
        <w:pStyle w:val="BodyText"/>
      </w:pPr>
      <w:r w:rsidRPr="00B40479" w:rsidDel="002A45A3">
        <w:t xml:space="preserve">Financial incentives of this nature have precedents. The review of the NHRA recommended that it should ‘prioritise the development of optimal models of care, using agreed innovative financing mechanisms’ </w:t>
      </w:r>
      <w:r w:rsidRPr="00B40479" w:rsidDel="002A45A3">
        <w:rPr>
          <w:rFonts w:ascii="Arial" w:hAnsi="Arial" w:cs="Arial"/>
        </w:rPr>
        <w:t>(Huxtable 2023, p. 78)</w:t>
      </w:r>
      <w:r>
        <w:t xml:space="preserve"> </w:t>
      </w:r>
      <w:r w:rsidRPr="00B40479" w:rsidDel="002A45A3">
        <w:t xml:space="preserve">to shape demand for health services, such as </w:t>
      </w:r>
      <w:r>
        <w:t>potentially preventable hospitalisations</w:t>
      </w:r>
      <w:r w:rsidRPr="00B40479" w:rsidDel="002A45A3">
        <w:t>. And recent funding and pricing reforms have introduced incentives for public hospitals to reduce hospital acquired complications</w:t>
      </w:r>
      <w:r>
        <w:t xml:space="preserve">, avoidable hospital readmissions and sentinel events </w:t>
      </w:r>
      <w:r w:rsidRPr="00AF4DD9">
        <w:rPr>
          <w:rFonts w:ascii="Arial" w:hAnsi="Arial" w:cs="Arial"/>
        </w:rPr>
        <w:t>(IHACPA 2025)</w:t>
      </w:r>
      <w:r w:rsidRPr="00B40479" w:rsidDel="002A45A3">
        <w:t>.</w:t>
      </w:r>
    </w:p>
    <w:p w14:paraId="43A83531" w14:textId="475B29A2" w:rsidR="00A0602C" w:rsidRPr="00B40479" w:rsidRDefault="00A0602C">
      <w:pPr>
        <w:pStyle w:val="NoSpacing"/>
      </w:pPr>
    </w:p>
    <w:tbl>
      <w:tblPr>
        <w:tblStyle w:val="Texttable-Paleblue"/>
        <w:tblW w:w="5000" w:type="pct"/>
        <w:tblLook w:val="04A0" w:firstRow="1" w:lastRow="0" w:firstColumn="1" w:lastColumn="0" w:noHBand="0" w:noVBand="1"/>
      </w:tblPr>
      <w:tblGrid>
        <w:gridCol w:w="713"/>
        <w:gridCol w:w="8925"/>
      </w:tblGrid>
      <w:tr w:rsidR="00A0602C" w:rsidRPr="00B40479" w14:paraId="4B03E9C3" w14:textId="77777777">
        <w:trPr>
          <w:tblHeader/>
        </w:trPr>
        <w:tc>
          <w:tcPr>
            <w:tcW w:w="713" w:type="dxa"/>
            <w:shd w:val="clear" w:color="auto" w:fill="E7F6FD"/>
            <w:tcMar>
              <w:top w:w="0" w:type="dxa"/>
              <w:bottom w:w="0" w:type="dxa"/>
            </w:tcMar>
            <w:vAlign w:val="center"/>
          </w:tcPr>
          <w:p w14:paraId="270D6142" w14:textId="77777777" w:rsidR="00A0602C" w:rsidRPr="00B40479" w:rsidRDefault="00A0602C" w:rsidP="001B3E64">
            <w:pPr>
              <w:keepNext/>
              <w:keepLines/>
              <w:jc w:val="center"/>
            </w:pPr>
            <w:r w:rsidRPr="002776E8">
              <w:rPr>
                <w:noProof/>
              </w:rPr>
              <w:lastRenderedPageBreak/>
              <w:drawing>
                <wp:inline distT="0" distB="0" distL="0" distR="0" wp14:anchorId="6AA49525" wp14:editId="46FA8CE0">
                  <wp:extent cx="288000" cy="288000"/>
                  <wp:effectExtent l="0" t="0" r="0" b="0"/>
                  <wp:docPr id="665390332" name="Graphic 665390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758ED41" w14:textId="27CBF3D9" w:rsidR="00A0602C" w:rsidRPr="00B40479" w:rsidRDefault="00A0602C" w:rsidP="001B3E64">
            <w:pPr>
              <w:pStyle w:val="TableHeading"/>
              <w:keepNext/>
              <w:keepLines/>
              <w:spacing w:before="120" w:after="120"/>
              <w:contextualSpacing/>
              <w:rPr>
                <w:sz w:val="20"/>
              </w:rPr>
            </w:pPr>
            <w:r w:rsidRPr="00B40479">
              <w:rPr>
                <w:sz w:val="20"/>
              </w:rPr>
              <w:t xml:space="preserve">Recommendation </w:t>
            </w:r>
            <w:r w:rsidRPr="00B40479">
              <w:rPr>
                <w:sz w:val="20"/>
              </w:rPr>
              <w:fldChar w:fldCharType="begin"/>
            </w:r>
            <w:r w:rsidRPr="00B40479">
              <w:rPr>
                <w:sz w:val="20"/>
              </w:rPr>
              <w:instrText xml:space="preserve"> STYLEREF 1 \s </w:instrText>
            </w:r>
            <w:r w:rsidRPr="00B40479">
              <w:rPr>
                <w:sz w:val="20"/>
              </w:rPr>
              <w:fldChar w:fldCharType="separate"/>
            </w:r>
            <w:r w:rsidR="00FB1849">
              <w:rPr>
                <w:noProof/>
                <w:sz w:val="20"/>
              </w:rPr>
              <w:t>2</w:t>
            </w:r>
            <w:r w:rsidRPr="00B40479">
              <w:rPr>
                <w:sz w:val="20"/>
              </w:rPr>
              <w:fldChar w:fldCharType="end"/>
            </w:r>
            <w:r w:rsidRPr="00B40479">
              <w:rPr>
                <w:sz w:val="20"/>
              </w:rPr>
              <w:t>.</w:t>
            </w:r>
            <w:r w:rsidRPr="00B40479">
              <w:rPr>
                <w:sz w:val="20"/>
              </w:rPr>
              <w:fldChar w:fldCharType="begin"/>
            </w:r>
            <w:r w:rsidRPr="00B40479">
              <w:rPr>
                <w:sz w:val="20"/>
              </w:rPr>
              <w:instrText xml:space="preserve"> SEQ Recommendation \* ARABIC \s 1 </w:instrText>
            </w:r>
            <w:r w:rsidRPr="00B40479">
              <w:rPr>
                <w:sz w:val="20"/>
              </w:rPr>
              <w:fldChar w:fldCharType="separate"/>
            </w:r>
            <w:r w:rsidR="00FB1849">
              <w:rPr>
                <w:noProof/>
                <w:sz w:val="20"/>
              </w:rPr>
              <w:t>3</w:t>
            </w:r>
            <w:r w:rsidRPr="00B40479">
              <w:rPr>
                <w:sz w:val="20"/>
              </w:rPr>
              <w:fldChar w:fldCharType="end"/>
            </w:r>
          </w:p>
          <w:p w14:paraId="3992AD02" w14:textId="77777777" w:rsidR="00A0602C" w:rsidRPr="00B40479" w:rsidRDefault="00A0602C" w:rsidP="001B3E64">
            <w:pPr>
              <w:pStyle w:val="TableHeading"/>
              <w:keepNext/>
              <w:keepLines/>
              <w:spacing w:before="120" w:after="120"/>
              <w:contextualSpacing/>
              <w:rPr>
                <w:sz w:val="20"/>
              </w:rPr>
            </w:pPr>
            <w:r>
              <w:rPr>
                <w:sz w:val="20"/>
              </w:rPr>
              <w:t>Provide dedicated funding based on outcomes</w:t>
            </w:r>
          </w:p>
        </w:tc>
      </w:tr>
      <w:tr w:rsidR="00A0602C" w:rsidRPr="00B40479" w14:paraId="2F3400DE" w14:textId="77777777">
        <w:tc>
          <w:tcPr>
            <w:tcW w:w="9638" w:type="dxa"/>
            <w:gridSpan w:val="2"/>
            <w:shd w:val="clear" w:color="auto" w:fill="E7F6FD"/>
            <w:tcMar>
              <w:top w:w="0" w:type="dxa"/>
            </w:tcMar>
          </w:tcPr>
          <w:p w14:paraId="702BB4FB" w14:textId="77777777" w:rsidR="00A0602C" w:rsidRPr="001B3E64" w:rsidRDefault="00A0602C" w:rsidP="001B3E64">
            <w:pPr>
              <w:pStyle w:val="BodyText"/>
              <w:keepNext/>
              <w:keepLines/>
              <w:rPr>
                <w:spacing w:val="-4"/>
              </w:rPr>
            </w:pPr>
            <w:r w:rsidRPr="001B3E64">
              <w:rPr>
                <w:spacing w:val="-4"/>
              </w:rPr>
              <w:t>Stronger joint governance and increased funding flexibility are unlikely to be enough to embed collaborative commissioning across all regions of Australia; additional impetus is required, given the changes involved.</w:t>
            </w:r>
          </w:p>
          <w:p w14:paraId="57CAE48A" w14:textId="6439A68B" w:rsidR="00A0602C" w:rsidRPr="00B40479" w:rsidRDefault="00A0602C" w:rsidP="001B3E64">
            <w:pPr>
              <w:pStyle w:val="BodyText"/>
              <w:keepNext/>
              <w:keepLines/>
            </w:pPr>
            <w:r>
              <w:t xml:space="preserve">Governments should agree to </w:t>
            </w:r>
            <w:r w:rsidR="00267147">
              <w:t>o</w:t>
            </w:r>
            <w:r>
              <w:t>utcomes</w:t>
            </w:r>
            <w:r>
              <w:noBreakHyphen/>
              <w:t xml:space="preserve">based dedicated funding arrangements that help Local Hospital Networks (LHNs) and Primary Health Networks (PHNs) to better collaborate, in partnership with Aboriginal Community Controlled Health Organisations and other organisations. </w:t>
            </w:r>
          </w:p>
          <w:p w14:paraId="1DAE5694" w14:textId="5ADACC6E" w:rsidR="00A0602C" w:rsidRDefault="00A0602C" w:rsidP="001B3E64">
            <w:pPr>
              <w:pStyle w:val="ListBullet"/>
              <w:keepNext/>
              <w:keepLines/>
            </w:pPr>
            <w:r>
              <w:t xml:space="preserve">Once a joint plan is submitted to the Department of Health, Disability and Ageing, the </w:t>
            </w:r>
            <w:r w:rsidRPr="00B40479">
              <w:t>Australian</w:t>
            </w:r>
            <w:r>
              <w:t>, state and territory</w:t>
            </w:r>
            <w:r w:rsidRPr="00B40479">
              <w:t xml:space="preserve"> </w:t>
            </w:r>
            <w:r>
              <w:t>g</w:t>
            </w:r>
            <w:r w:rsidRPr="00B40479">
              <w:t>overnment</w:t>
            </w:r>
            <w:r>
              <w:t>s</w:t>
            </w:r>
            <w:r w:rsidRPr="00B40479">
              <w:t xml:space="preserve"> should provide LHNs and PHNs with sufficient dedicated funding to embed collaborative commissioning programs. The joint plan should clearly link agreed shared outcomes to enhanced productivity in the form of quality improvements or more services that lower future costs. </w:t>
            </w:r>
          </w:p>
          <w:p w14:paraId="443C3A71" w14:textId="77777777" w:rsidR="00A0602C" w:rsidRDefault="00A0602C" w:rsidP="001B3E64">
            <w:pPr>
              <w:pStyle w:val="ListBullet"/>
              <w:keepNext/>
              <w:keepLines/>
            </w:pPr>
            <w:r w:rsidRPr="00B40479">
              <w:t xml:space="preserve">Future funding should be based on </w:t>
            </w:r>
            <w:r>
              <w:t>the achievement of</w:t>
            </w:r>
            <w:r w:rsidRPr="00B40479">
              <w:t xml:space="preserve"> agreed shared outcomes </w:t>
            </w:r>
            <w:r>
              <w:t xml:space="preserve">– such as reduced potentially preventable hospitalisations – </w:t>
            </w:r>
            <w:r w:rsidRPr="00B40479">
              <w:t>at the local level.</w:t>
            </w:r>
            <w:r>
              <w:t xml:space="preserve"> </w:t>
            </w:r>
          </w:p>
          <w:p w14:paraId="559AD040" w14:textId="35F831EF" w:rsidR="00A0602C" w:rsidRPr="00B40479" w:rsidRDefault="00A0602C" w:rsidP="001B3E64">
            <w:pPr>
              <w:pStyle w:val="BodyText"/>
              <w:keepNext/>
              <w:keepLines/>
            </w:pPr>
            <w:r>
              <w:t>The Independent Health and Aged Care Pricing Authority should be immediately tasked with leading work to design the outcomes</w:t>
            </w:r>
            <w:r>
              <w:noBreakHyphen/>
              <w:t>based funding mechanism, to enable this approach to be implemented in the addendum to the National Health Reform Agreement expected to commence in 2031.</w:t>
            </w:r>
          </w:p>
        </w:tc>
      </w:tr>
      <w:tr w:rsidR="00A0602C" w:rsidRPr="00B40479" w14:paraId="42CD2543" w14:textId="77777777">
        <w:tc>
          <w:tcPr>
            <w:tcW w:w="9638" w:type="dxa"/>
            <w:gridSpan w:val="2"/>
            <w:shd w:val="clear" w:color="auto" w:fill="auto"/>
            <w:tcMar>
              <w:top w:w="0" w:type="dxa"/>
              <w:bottom w:w="0" w:type="dxa"/>
            </w:tcMar>
          </w:tcPr>
          <w:p w14:paraId="7912016A" w14:textId="0407D3F8" w:rsidR="00A0602C" w:rsidRPr="00B40479" w:rsidRDefault="00A0602C" w:rsidP="001B3E64">
            <w:pPr>
              <w:pStyle w:val="NoSpacing"/>
              <w:keepNext/>
              <w:keepLines/>
              <w:spacing w:line="200" w:lineRule="exact"/>
            </w:pPr>
          </w:p>
        </w:tc>
      </w:tr>
    </w:tbl>
    <w:p w14:paraId="531B4897" w14:textId="77777777" w:rsidR="00A0602C" w:rsidRPr="00B40479" w:rsidRDefault="00A0602C">
      <w:pPr>
        <w:pStyle w:val="Heading3"/>
      </w:pPr>
      <w:r w:rsidDel="008910EF">
        <w:t>Governments need to</w:t>
      </w:r>
      <w:r>
        <w:t xml:space="preserve"> provide guidance, enable data reform and strengthen organisational capability</w:t>
      </w:r>
    </w:p>
    <w:p w14:paraId="58BCAD1C" w14:textId="3E3944CE" w:rsidR="00A0602C" w:rsidRPr="00B40479" w:rsidRDefault="00A0602C">
      <w:pPr>
        <w:pStyle w:val="BodyText"/>
      </w:pPr>
      <w:r w:rsidRPr="00B40479">
        <w:t xml:space="preserve">While the NHRA should be more detailed and prescriptive, governments </w:t>
      </w:r>
      <w:r>
        <w:t>will also</w:t>
      </w:r>
      <w:r w:rsidRPr="00B40479">
        <w:t xml:space="preserve"> need to provide additional guidance </w:t>
      </w:r>
      <w:r>
        <w:t>on</w:t>
      </w:r>
      <w:r w:rsidRPr="00B40479">
        <w:t xml:space="preserve"> how collaborative arrangements would work in practice</w:t>
      </w:r>
      <w:r>
        <w:t xml:space="preserve"> and lead reform to enable data sharing and the strengthening of organisational capability</w:t>
      </w:r>
      <w:r w:rsidRPr="00B40479">
        <w:t xml:space="preserve">. </w:t>
      </w:r>
      <w:r w:rsidR="000462F7">
        <w:t>In doing so, governments</w:t>
      </w:r>
      <w:r w:rsidR="007C62AB" w:rsidDel="0050566C">
        <w:t xml:space="preserve"> need to build on the lessons</w:t>
      </w:r>
      <w:r w:rsidR="007C62AB" w:rsidDel="004839B1">
        <w:t xml:space="preserve"> from </w:t>
      </w:r>
      <w:r w:rsidR="007C62AB" w:rsidDel="00747867">
        <w:t>initiatives</w:t>
      </w:r>
      <w:r w:rsidR="007C62AB" w:rsidDel="00DF767A">
        <w:t xml:space="preserve"> to date</w:t>
      </w:r>
      <w:r w:rsidR="007C62AB">
        <w:t>,</w:t>
      </w:r>
      <w:r w:rsidR="007C62AB" w:rsidDel="0050566C">
        <w:t xml:space="preserve"> </w:t>
      </w:r>
      <w:r w:rsidR="007C62AB" w:rsidDel="00F4241C">
        <w:t xml:space="preserve">such as </w:t>
      </w:r>
      <w:r w:rsidR="007C62AB" w:rsidDel="00747867">
        <w:t>the NSW Collaborative Commissioning progra</w:t>
      </w:r>
      <w:r w:rsidR="007C62AB" w:rsidDel="00F4241C">
        <w:t>m</w:t>
      </w:r>
      <w:r w:rsidR="007C62AB" w:rsidDel="00AC535B">
        <w:t xml:space="preserve"> and the QCP</w:t>
      </w:r>
      <w:r w:rsidR="007C62AB">
        <w:t>,</w:t>
      </w:r>
      <w:r w:rsidR="007C62AB" w:rsidDel="00857CF8">
        <w:t xml:space="preserve"> </w:t>
      </w:r>
      <w:r w:rsidR="007C62AB" w:rsidDel="00CB0143">
        <w:t>to embed</w:t>
      </w:r>
      <w:r w:rsidR="007C62AB" w:rsidDel="00046CC7">
        <w:t xml:space="preserve"> collaboration</w:t>
      </w:r>
      <w:r w:rsidR="007C62AB" w:rsidDel="00F91AB6">
        <w:t xml:space="preserve"> between </w:t>
      </w:r>
      <w:r w:rsidR="007C62AB">
        <w:t>organisations</w:t>
      </w:r>
      <w:r w:rsidR="007C62AB" w:rsidDel="00FA164C">
        <w:t xml:space="preserve"> </w:t>
      </w:r>
      <w:r w:rsidR="007C62AB" w:rsidDel="00407782">
        <w:t xml:space="preserve">and with </w:t>
      </w:r>
      <w:r w:rsidR="007C62AB" w:rsidDel="009530FA">
        <w:t>local place</w:t>
      </w:r>
      <w:r w:rsidR="007C62AB" w:rsidRPr="00B40479">
        <w:noBreakHyphen/>
      </w:r>
      <w:r w:rsidR="007C62AB" w:rsidDel="009530FA">
        <w:t xml:space="preserve">based </w:t>
      </w:r>
      <w:r w:rsidR="007C62AB" w:rsidDel="009A0789">
        <w:t>decision makers</w:t>
      </w:r>
      <w:r w:rsidR="007C62AB" w:rsidDel="000F4C7B">
        <w:t>.</w:t>
      </w:r>
    </w:p>
    <w:p w14:paraId="5949E65C" w14:textId="77777777" w:rsidR="00A0602C" w:rsidRPr="00B40479" w:rsidRDefault="00A0602C">
      <w:pPr>
        <w:pStyle w:val="Heading4"/>
      </w:pPr>
      <w:r w:rsidRPr="00B40479">
        <w:t>National guidelines and strategic direction by states and territories</w:t>
      </w:r>
    </w:p>
    <w:p w14:paraId="03173370" w14:textId="3F10BC29" w:rsidR="00A0602C" w:rsidRDefault="00A0602C">
      <w:pPr>
        <w:pStyle w:val="BodyText"/>
      </w:pPr>
      <w:r>
        <w:t>Stronger national guidelines and tailored state and territory</w:t>
      </w:r>
      <w:r>
        <w:noBreakHyphen/>
        <w:t xml:space="preserve">based partnerships would help broaden </w:t>
      </w:r>
      <w:r w:rsidRPr="00B40479">
        <w:t xml:space="preserve">collaborative commissioning. National guidelines for health regional commissioning, focusing on LHNs, PHNs and ACCHOs, would provide clarity and consistency to enable more effective commissioning capability. This guidance could expand on the approach in the National Mental Health and Suicide Prevention Agreement, where governments agreed to develop national guidelines on regional commissioning and planning </w:t>
      </w:r>
      <w:r w:rsidR="00CD75B1" w:rsidRPr="00CD75B1">
        <w:rPr>
          <w:rFonts w:ascii="Arial" w:hAnsi="Arial" w:cs="Arial"/>
        </w:rPr>
        <w:t>(PC 2025e, pp. 99–101)</w:t>
      </w:r>
      <w:r w:rsidRPr="00B40479">
        <w:t xml:space="preserve">. </w:t>
      </w:r>
    </w:p>
    <w:p w14:paraId="2C1D0543" w14:textId="77777777" w:rsidR="00A0602C" w:rsidRPr="001B3E64" w:rsidRDefault="00A0602C">
      <w:pPr>
        <w:pStyle w:val="BodyText"/>
        <w:rPr>
          <w:spacing w:val="-2"/>
        </w:rPr>
      </w:pPr>
      <w:r w:rsidRPr="001B3E64">
        <w:rPr>
          <w:spacing w:val="-2"/>
        </w:rPr>
        <w:t>Partnerships between the Australian, and state and territory governments that identify joint strategic priorities and form shared commitments may also be needed. The QCP, for example, has provided a mechanism that supports the implementation of data sharing reform and joint regional needs assessments. Approaches across jurisdictions will need to be tailored to reflect different arrangements, strategic priorities and current initiatives.</w:t>
      </w:r>
    </w:p>
    <w:p w14:paraId="705FB04F" w14:textId="4F65D247" w:rsidR="00A0602C" w:rsidRPr="00143F91" w:rsidRDefault="00A0602C">
      <w:pPr>
        <w:pStyle w:val="BodyText"/>
      </w:pPr>
      <w:r w:rsidDel="00907E78">
        <w:t xml:space="preserve">State and territory </w:t>
      </w:r>
      <w:r w:rsidDel="00EA0159">
        <w:t>health departments</w:t>
      </w:r>
      <w:r w:rsidDel="00907E78">
        <w:t xml:space="preserve"> </w:t>
      </w:r>
      <w:r w:rsidDel="00146033">
        <w:t>will play a</w:t>
      </w:r>
      <w:r w:rsidDel="00085515">
        <w:t xml:space="preserve"> key role in </w:t>
      </w:r>
      <w:r w:rsidDel="007F0D67">
        <w:t xml:space="preserve">leading </w:t>
      </w:r>
      <w:r w:rsidDel="00256BC0">
        <w:t xml:space="preserve">change. </w:t>
      </w:r>
      <w:r w:rsidDel="0038284E">
        <w:t xml:space="preserve">They </w:t>
      </w:r>
      <w:r w:rsidDel="00BB7298">
        <w:t>should</w:t>
      </w:r>
      <w:r w:rsidDel="0043547D">
        <w:t xml:space="preserve"> provide </w:t>
      </w:r>
      <w:r w:rsidDel="00AD4E3E">
        <w:t>direction and leadership</w:t>
      </w:r>
      <w:r w:rsidDel="0043547D">
        <w:t xml:space="preserve"> to</w:t>
      </w:r>
      <w:r w:rsidDel="0038284E">
        <w:t xml:space="preserve"> </w:t>
      </w:r>
      <w:r w:rsidDel="0096204D">
        <w:t>LHNs</w:t>
      </w:r>
      <w:r w:rsidDel="00A06DD9">
        <w:t xml:space="preserve"> to </w:t>
      </w:r>
      <w:r w:rsidDel="00F92C50">
        <w:t xml:space="preserve">embed </w:t>
      </w:r>
      <w:r w:rsidDel="00660232">
        <w:t>collaborat</w:t>
      </w:r>
      <w:r w:rsidDel="00F92C50">
        <w:t>ion</w:t>
      </w:r>
      <w:r w:rsidDel="00660232">
        <w:t xml:space="preserve"> with PHNs, ACCHOs and other key partners</w:t>
      </w:r>
      <w:r>
        <w:t xml:space="preserve">. </w:t>
      </w:r>
      <w:r w:rsidR="00D705D5">
        <w:t>This</w:t>
      </w:r>
      <w:r>
        <w:t xml:space="preserve"> should</w:t>
      </w:r>
      <w:r w:rsidDel="007A5634">
        <w:t xml:space="preserve"> </w:t>
      </w:r>
      <w:r w:rsidR="00D705D5">
        <w:t>include</w:t>
      </w:r>
      <w:r w:rsidR="00053AC7">
        <w:t xml:space="preserve"> </w:t>
      </w:r>
      <w:r w:rsidDel="00694C9A">
        <w:t>support</w:t>
      </w:r>
      <w:r w:rsidR="00053AC7">
        <w:t>ing</w:t>
      </w:r>
      <w:r w:rsidDel="00053AC7">
        <w:t xml:space="preserve"> </w:t>
      </w:r>
      <w:r w:rsidDel="00694C9A">
        <w:t>the rollout of joint regional needs assessments</w:t>
      </w:r>
      <w:r w:rsidDel="00271E03">
        <w:t xml:space="preserve"> and</w:t>
      </w:r>
      <w:r w:rsidDel="00694C9A">
        <w:t xml:space="preserve"> </w:t>
      </w:r>
      <w:r w:rsidDel="00FD4E19">
        <w:t>provid</w:t>
      </w:r>
      <w:r w:rsidR="00EC051E">
        <w:t>ing</w:t>
      </w:r>
      <w:r w:rsidDel="00FD4E19">
        <w:t xml:space="preserve"> an environment </w:t>
      </w:r>
      <w:r w:rsidDel="00690F4E">
        <w:t xml:space="preserve">for LHNs </w:t>
      </w:r>
      <w:r w:rsidDel="00FD4E19">
        <w:t xml:space="preserve">to </w:t>
      </w:r>
      <w:r w:rsidDel="00052416">
        <w:t xml:space="preserve">engage in </w:t>
      </w:r>
      <w:r w:rsidDel="004A3132">
        <w:t xml:space="preserve">new </w:t>
      </w:r>
      <w:r w:rsidDel="00052416">
        <w:t>j</w:t>
      </w:r>
      <w:r w:rsidDel="00CD2811">
        <w:t>oint commissioning</w:t>
      </w:r>
      <w:r w:rsidDel="00FD4E19">
        <w:t xml:space="preserve"> </w:t>
      </w:r>
      <w:r w:rsidDel="004A3132">
        <w:t xml:space="preserve">models. </w:t>
      </w:r>
    </w:p>
    <w:p w14:paraId="21FBB6CB" w14:textId="77777777" w:rsidR="00A0602C" w:rsidRPr="00B40479" w:rsidRDefault="00A0602C">
      <w:pPr>
        <w:pStyle w:val="Heading4"/>
      </w:pPr>
      <w:r>
        <w:lastRenderedPageBreak/>
        <w:t>Streamlined data sharing and linked datasets</w:t>
      </w:r>
    </w:p>
    <w:p w14:paraId="50A05965" w14:textId="66FD08D2" w:rsidR="00A0602C" w:rsidRPr="00B40479" w:rsidRDefault="00A0602C">
      <w:pPr>
        <w:pStyle w:val="BodyText"/>
      </w:pPr>
      <w:r>
        <w:t xml:space="preserve">Data sharing between commissioning organisations is essential to support the development of joint needs assessments, identify appropriate outcome measures, assess the effectiveness of commissioned programs, and undertake many collaboratively commissioned services. But current data sharing is inconsistent, and where it does occur, takes significant time and resources to establish. The PC heard </w:t>
      </w:r>
      <w:r w:rsidR="00057458">
        <w:t>that organisations face</w:t>
      </w:r>
      <w:r>
        <w:t xml:space="preserve"> substantial barriers </w:t>
      </w:r>
      <w:r w:rsidR="00057458">
        <w:t>to</w:t>
      </w:r>
      <w:r>
        <w:t xml:space="preserve"> sharing and accessing data, even within an organisation and when retrieving </w:t>
      </w:r>
      <w:proofErr w:type="gramStart"/>
      <w:r>
        <w:t>data</w:t>
      </w:r>
      <w:proofErr w:type="gramEnd"/>
      <w:r>
        <w:t xml:space="preserve"> they initially collected and provided. Those barriers were attributed to a range of technical and legal constraints, and privacy and other concerns. For example, the PHN Cooperative (sub. 104, p. 7) reported significant delays in the release of patient data to inform evaluations and </w:t>
      </w:r>
      <w:r w:rsidR="00AF6D6C">
        <w:t xml:space="preserve">claimed </w:t>
      </w:r>
      <w:r>
        <w:t>that systems have not supported monitoring patient outcomes in a way that enables timely collaboration. KPMG Australia highlighted the need for timely data to ‘</w:t>
      </w:r>
      <w:r w:rsidRPr="008D6607">
        <w:t>not only support retrospective performance reporting but also real</w:t>
      </w:r>
      <w:r>
        <w:noBreakHyphen/>
      </w:r>
      <w:r w:rsidRPr="008D6607">
        <w:t>time decision</w:t>
      </w:r>
      <w:r>
        <w:noBreakHyphen/>
      </w:r>
      <w:r w:rsidRPr="008D6607">
        <w:t>making and adaptive funding</w:t>
      </w:r>
      <w:r>
        <w:t>’ (sub. 115, p. 6).</w:t>
      </w:r>
    </w:p>
    <w:p w14:paraId="329254C1" w14:textId="0EA4723A" w:rsidR="00A0602C" w:rsidRPr="00B40479" w:rsidRDefault="00A0602C">
      <w:pPr>
        <w:pStyle w:val="BodyText"/>
      </w:pPr>
      <w:r w:rsidRPr="00B40479">
        <w:t xml:space="preserve">The importance of data sharing in successful collaborative commissioning has been evident through </w:t>
      </w:r>
      <w:r>
        <w:t xml:space="preserve">both </w:t>
      </w:r>
      <w:r w:rsidRPr="00B40479">
        <w:t>the QCP (box 2.</w:t>
      </w:r>
      <w:r>
        <w:t>4</w:t>
      </w:r>
      <w:r w:rsidRPr="00B40479">
        <w:t xml:space="preserve">) and the NSW Collaborative Commissioning initiative. For example, </w:t>
      </w:r>
      <w:r w:rsidR="008C1C7A">
        <w:t>under the NSW Collaborative Commissioning ini</w:t>
      </w:r>
      <w:r w:rsidR="00801E1C">
        <w:t xml:space="preserve">tiative, </w:t>
      </w:r>
      <w:r w:rsidRPr="00B40479">
        <w:t>data analytics supported by the Lumos program links de</w:t>
      </w:r>
      <w:r w:rsidRPr="00B40479">
        <w:noBreakHyphen/>
        <w:t xml:space="preserve">identified data from general practices with other health service data to build an evidence base about patient pathways </w:t>
      </w:r>
      <w:r w:rsidRPr="00B40479">
        <w:rPr>
          <w:rFonts w:ascii="Arial" w:hAnsi="Arial" w:cs="Arial"/>
        </w:rPr>
        <w:t>(NSW Health 2024a)</w:t>
      </w:r>
      <w:r w:rsidRPr="00B40479">
        <w:t>.</w:t>
      </w:r>
    </w:p>
    <w:p w14:paraId="32CA3A85" w14:textId="5273C0B6" w:rsidR="00A0602C" w:rsidRDefault="00A0602C">
      <w:pPr>
        <w:pStyle w:val="BodyText"/>
      </w:pPr>
      <w:r w:rsidRPr="00B40479">
        <w:t>The recommendations of the NHRA mid</w:t>
      </w:r>
      <w:r w:rsidRPr="00B40479">
        <w:noBreakHyphen/>
        <w:t xml:space="preserve">term review identified the need for data sharing, including linked datasets on population and service utilisation at the local level, where possible </w:t>
      </w:r>
      <w:r w:rsidRPr="00B40479">
        <w:rPr>
          <w:rFonts w:ascii="Arial" w:hAnsi="Arial" w:cs="Arial"/>
        </w:rPr>
        <w:t>(Huxtable 2023, p. 69)</w:t>
      </w:r>
      <w:r>
        <w:t>. The PC agrees with this recommendation. To achieve this goal:</w:t>
      </w:r>
    </w:p>
    <w:p w14:paraId="1333C1F5" w14:textId="77777777" w:rsidR="00A0602C" w:rsidRDefault="00A0602C" w:rsidP="00A0602C">
      <w:pPr>
        <w:pStyle w:val="ListBullet"/>
      </w:pPr>
      <w:r>
        <w:t>t</w:t>
      </w:r>
      <w:r w:rsidRPr="00B40479">
        <w:t>he NHRA needs to provide an authorising environment for consistent data collection and sharing that supports the outcomes and indicators in the national health performance frameworks</w:t>
      </w:r>
    </w:p>
    <w:p w14:paraId="43A48BFA" w14:textId="3C6F3F3C" w:rsidR="00A0602C" w:rsidRPr="00B40479" w:rsidRDefault="00A0602C" w:rsidP="00A0602C">
      <w:pPr>
        <w:pStyle w:val="ListBullet"/>
      </w:pPr>
      <w:r w:rsidRPr="00B40479">
        <w:t>Australian</w:t>
      </w:r>
      <w:r>
        <w:t>,</w:t>
      </w:r>
      <w:r w:rsidRPr="00B40479">
        <w:t xml:space="preserve"> state and territory governments need to remove impediments to accessing data across agencies and organisations</w:t>
      </w:r>
      <w:r>
        <w:t>, while maintaining appropriate guardrails around privacy</w:t>
      </w:r>
      <w:r w:rsidR="00920603">
        <w:t xml:space="preserve"> and following </w:t>
      </w:r>
      <w:r w:rsidR="00DF08CE">
        <w:t>Indigenous Data Sovereignty principles</w:t>
      </w:r>
      <w:r>
        <w:t>,</w:t>
      </w:r>
      <w:r w:rsidRPr="00B40479">
        <w:t xml:space="preserve"> to facilitate more streamlined data sharing</w:t>
      </w:r>
      <w:r>
        <w:t xml:space="preserve"> and linked datasets</w:t>
      </w:r>
      <w:r w:rsidRPr="00B40479">
        <w:t>.</w:t>
      </w:r>
    </w:p>
    <w:p w14:paraId="1A9AC399" w14:textId="77777777" w:rsidR="00A0602C" w:rsidRDefault="00A0602C">
      <w:pPr>
        <w:pStyle w:val="BodyText"/>
      </w:pPr>
      <w:r>
        <w:t>Providing better access to data, including by removing any legislative impediments, will be important to enable more collaborative commissioning and integration across the care sector. It would also improve the general capability of organisations and strengthen innovation in the delivery of care.</w:t>
      </w:r>
    </w:p>
    <w:p w14:paraId="3E4E8CE3" w14:textId="77777777" w:rsidR="00A0602C" w:rsidRDefault="00A0602C">
      <w:pPr>
        <w:pStyle w:val="Heading4"/>
      </w:pPr>
      <w:r>
        <w:t>Strengthened departmental capability</w:t>
      </w:r>
    </w:p>
    <w:p w14:paraId="667FC52B" w14:textId="77777777" w:rsidR="00A0602C" w:rsidRDefault="00A0602C">
      <w:pPr>
        <w:pStyle w:val="BodyText"/>
      </w:pPr>
      <w:r>
        <w:t>To drive change and effectively monitor compliance and performance, Australian, state and territory governments must strengthen their capabilities. The opportunity for stronger commissioning capability was highlighted by the Grattan Institute (sub. 71, pp. 3–4), which recommended that federal and state departments and PHNs adopt a systematic program to build commissioning capability.</w:t>
      </w:r>
    </w:p>
    <w:p w14:paraId="4EBBE141" w14:textId="4ABC0598" w:rsidR="00A0602C" w:rsidRDefault="00A0602C">
      <w:pPr>
        <w:pStyle w:val="BodyText"/>
      </w:pPr>
      <w:r>
        <w:t>To fulfil its coordination and leadership role, the Department of Health, Disability and Ageing must ensure its own systems are appropriately resourced and fit</w:t>
      </w:r>
      <w:r>
        <w:noBreakHyphen/>
        <w:t>for</w:t>
      </w:r>
      <w:r>
        <w:noBreakHyphen/>
        <w:t xml:space="preserve">purpose. The Australian National Audit Office’s performance audit report, </w:t>
      </w:r>
      <w:r w:rsidRPr="00474D71">
        <w:rPr>
          <w:i/>
          <w:iCs/>
        </w:rPr>
        <w:t>Effectiveness of</w:t>
      </w:r>
      <w:r>
        <w:rPr>
          <w:i/>
          <w:iCs/>
        </w:rPr>
        <w:t xml:space="preserve"> the Department of Health and Aged Care’s Performance Management of Primary Health Networks </w:t>
      </w:r>
      <w:r w:rsidRPr="00A5003B">
        <w:rPr>
          <w:rFonts w:ascii="Arial" w:hAnsi="Arial" w:cs="Arial"/>
        </w:rPr>
        <w:t>(ANAO 2024)</w:t>
      </w:r>
      <w:r>
        <w:rPr>
          <w:i/>
          <w:iCs/>
        </w:rPr>
        <w:t xml:space="preserve">, </w:t>
      </w:r>
      <w:r>
        <w:t xml:space="preserve">highlighted the changes needed to ensure appropriate monitoring of the compliance and performance of PHNs and that the PHN delivery model is meeting its objectives. Recommendations included the implementation of </w:t>
      </w:r>
      <w:r w:rsidRPr="00BE7759">
        <w:t>a fit</w:t>
      </w:r>
      <w:r>
        <w:noBreakHyphen/>
      </w:r>
      <w:r w:rsidRPr="00BE7759">
        <w:t>for</w:t>
      </w:r>
      <w:r>
        <w:noBreakHyphen/>
      </w:r>
      <w:r w:rsidRPr="00BE7759">
        <w:t xml:space="preserve">purpose IT system for administering </w:t>
      </w:r>
      <w:r>
        <w:t>PHNs (recommendation 7) and the</w:t>
      </w:r>
      <w:r w:rsidRPr="008838F6">
        <w:rPr>
          <w:rFonts w:ascii="Roboto" w:hAnsi="Roboto"/>
          <w:color w:val="3B3B3B"/>
          <w:shd w:val="clear" w:color="auto" w:fill="FFFFFF"/>
        </w:rPr>
        <w:t xml:space="preserve"> </w:t>
      </w:r>
      <w:r w:rsidRPr="008838F6">
        <w:t>evaluat</w:t>
      </w:r>
      <w:r>
        <w:t xml:space="preserve">ion of </w:t>
      </w:r>
      <w:r w:rsidRPr="008838F6">
        <w:t xml:space="preserve">the </w:t>
      </w:r>
      <w:r>
        <w:t xml:space="preserve">PHN </w:t>
      </w:r>
      <w:r w:rsidRPr="008838F6">
        <w:t>delivery model to determine whether it is achieving its objective</w:t>
      </w:r>
      <w:r>
        <w:t xml:space="preserve"> (recommendation 8). The subsequent </w:t>
      </w:r>
      <w:r w:rsidRPr="00764A50">
        <w:rPr>
          <w:i/>
        </w:rPr>
        <w:t>Review of Primary Health Network Business Model and Mental Health Flexible Funding Model</w:t>
      </w:r>
      <w:r>
        <w:rPr>
          <w:i/>
          <w:iCs/>
        </w:rPr>
        <w:t xml:space="preserve"> </w:t>
      </w:r>
      <w:r>
        <w:t xml:space="preserve">should be used to inform changes that ensure PHNs are structured to achieve their objectives. </w:t>
      </w:r>
    </w:p>
    <w:p w14:paraId="18BD6444" w14:textId="77777777" w:rsidR="00A0602C" w:rsidRPr="00B621DD" w:rsidRDefault="00A0602C">
      <w:pPr>
        <w:pStyle w:val="Heading4"/>
      </w:pPr>
      <w:r>
        <w:lastRenderedPageBreak/>
        <w:t>Training and support programs for LHNs and PHNs</w:t>
      </w:r>
    </w:p>
    <w:p w14:paraId="34BC3C87" w14:textId="77777777" w:rsidR="00A0602C" w:rsidRPr="00B40479" w:rsidRDefault="00A0602C">
      <w:pPr>
        <w:pStyle w:val="BodyText"/>
      </w:pPr>
      <w:r>
        <w:t>Australian, state and territory governments need to implement training and support programs to upskill LHN and PHN staff in leadership, codesign practices and data capability. These programs will strengthen the commissioning capability of LHNs and PHNs and help them collaborate with other organisations and the community. In setting appropriate resourcing for commissioning organisations, governments should consider the need to build capability in best practice commissioning.</w:t>
      </w:r>
    </w:p>
    <w:p w14:paraId="346AC6E2" w14:textId="77777777" w:rsidR="00A0602C" w:rsidRPr="00B40479" w:rsidRDefault="00A0602C">
      <w:pPr>
        <w:pStyle w:val="BodyText"/>
      </w:pPr>
      <w:r>
        <w:t>Approaches from other jurisdictions, such as the United Kingdom,</w:t>
      </w:r>
      <w:r w:rsidRPr="00B40479">
        <w:t xml:space="preserve"> may </w:t>
      </w:r>
      <w:r>
        <w:t>be useful reference points for</w:t>
      </w:r>
      <w:r w:rsidRPr="00B40479">
        <w:t xml:space="preserve"> strengthen</w:t>
      </w:r>
      <w:r>
        <w:t>ing</w:t>
      </w:r>
      <w:r w:rsidRPr="00B40479">
        <w:t xml:space="preserve"> capability</w:t>
      </w:r>
      <w:r>
        <w:t xml:space="preserve"> (Grattan Institute, sub. 71, p. 4)</w:t>
      </w:r>
      <w:r w:rsidRPr="00B40479">
        <w:t>.</w:t>
      </w:r>
      <w:r w:rsidRPr="002B0A03">
        <w:rPr>
          <w:rStyle w:val="FootnoteReference"/>
        </w:rPr>
        <w:footnoteReference w:id="21"/>
      </w:r>
      <w:r w:rsidRPr="00B40479">
        <w:t xml:space="preserve"> Support through standardised approaches, such as automated data outputs for joint needs </w:t>
      </w:r>
      <w:r>
        <w:t xml:space="preserve">assessments </w:t>
      </w:r>
      <w:r w:rsidRPr="00B40479">
        <w:t>and national guidelines for health regional commissioning and planning, would complement training p</w:t>
      </w:r>
      <w:r>
        <w:t>rograms</w:t>
      </w:r>
      <w:r w:rsidRPr="00B40479">
        <w:t xml:space="preserve"> to </w:t>
      </w:r>
      <w:r>
        <w:t>lift</w:t>
      </w:r>
      <w:r w:rsidDel="00083248">
        <w:t xml:space="preserve"> </w:t>
      </w:r>
      <w:r w:rsidRPr="00B40479">
        <w:t>capability across commissioning bodies.</w:t>
      </w:r>
      <w:r>
        <w:t xml:space="preserve"> Greater use of relational contracting practices in commissioning would also increase collaboration with service providers and communities (CPD, sub. 244, p. 7) and prioritise flexibility to achieve</w:t>
      </w:r>
      <w:r w:rsidDel="00083248">
        <w:t xml:space="preserve"> </w:t>
      </w:r>
      <w:r>
        <w:t>outcomes (Melbourne Disability Institute, Australian Welfare and Work Lab – University of Melbourne, sub. 107, p. 3).</w:t>
      </w:r>
    </w:p>
    <w:p w14:paraId="7F5C9CA5" w14:textId="77777777" w:rsidR="00A0602C" w:rsidRDefault="00A0602C">
      <w:pPr>
        <w:pStyle w:val="BodyText"/>
      </w:pPr>
      <w:r>
        <w:t xml:space="preserve">LHNs and PHNs also need to change the way they work with Aboriginal and Torres Strait Islander people, consistent with Priority Reform Three of the National Agreement on Closing the Gap. They need to ensure that their organisations and the services they fund </w:t>
      </w:r>
      <w:r w:rsidRPr="00F65964">
        <w:t>are</w:t>
      </w:r>
      <w:r>
        <w:t xml:space="preserve"> </w:t>
      </w:r>
      <w:r w:rsidRPr="00962D7C">
        <w:t>culturally safe and responsive to the needs of Aboriginal and Torres Strait Islander people.</w:t>
      </w:r>
      <w:r>
        <w:t xml:space="preserve"> The National Aboriginal Community Controlled Health Organisation (sub. 32, p. 10) has called for the PHN Guiding Principles for working with ACCHOs, which were established in March 2016, to be updated to align with the National Agreement on Closing the Gap.</w:t>
      </w:r>
    </w:p>
    <w:p w14:paraId="1EF27043" w14:textId="76FEE556" w:rsidR="00A0602C" w:rsidRPr="00B40479" w:rsidRDefault="00A0602C">
      <w:pPr>
        <w:pStyle w:val="NoSpacing"/>
      </w:pPr>
    </w:p>
    <w:tbl>
      <w:tblPr>
        <w:tblStyle w:val="Texttable-Paleblue"/>
        <w:tblW w:w="5000" w:type="pct"/>
        <w:tblLook w:val="04A0" w:firstRow="1" w:lastRow="0" w:firstColumn="1" w:lastColumn="0" w:noHBand="0" w:noVBand="1"/>
      </w:tblPr>
      <w:tblGrid>
        <w:gridCol w:w="713"/>
        <w:gridCol w:w="8925"/>
      </w:tblGrid>
      <w:tr w:rsidR="00A0602C" w:rsidRPr="00B40479" w14:paraId="3FDCC920" w14:textId="77777777">
        <w:trPr>
          <w:tblHeader/>
        </w:trPr>
        <w:tc>
          <w:tcPr>
            <w:tcW w:w="713" w:type="dxa"/>
            <w:shd w:val="clear" w:color="auto" w:fill="E7F6FD"/>
            <w:tcMar>
              <w:top w:w="0" w:type="dxa"/>
              <w:bottom w:w="0" w:type="dxa"/>
            </w:tcMar>
            <w:vAlign w:val="center"/>
          </w:tcPr>
          <w:p w14:paraId="55C979CE" w14:textId="77777777" w:rsidR="00A0602C" w:rsidRPr="00B40479" w:rsidRDefault="00A0602C">
            <w:pPr>
              <w:keepLines/>
              <w:jc w:val="center"/>
            </w:pPr>
            <w:r w:rsidRPr="002776E8">
              <w:rPr>
                <w:noProof/>
              </w:rPr>
              <w:drawing>
                <wp:inline distT="0" distB="0" distL="0" distR="0" wp14:anchorId="14FB3E73" wp14:editId="059789CA">
                  <wp:extent cx="288000" cy="288000"/>
                  <wp:effectExtent l="0" t="0" r="0" b="0"/>
                  <wp:docPr id="1057460482" name="Graphic 1057460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D52A7E8" w14:textId="43C22834" w:rsidR="00A0602C" w:rsidRPr="00B40479" w:rsidRDefault="00A0602C">
            <w:pPr>
              <w:pStyle w:val="TableHeading"/>
              <w:keepLines/>
              <w:spacing w:before="120" w:after="120"/>
              <w:contextualSpacing/>
              <w:rPr>
                <w:sz w:val="20"/>
              </w:rPr>
            </w:pPr>
            <w:r w:rsidRPr="00B40479">
              <w:rPr>
                <w:sz w:val="20"/>
              </w:rPr>
              <w:t xml:space="preserve">Recommendation </w:t>
            </w:r>
            <w:r w:rsidRPr="00B40479">
              <w:rPr>
                <w:sz w:val="20"/>
              </w:rPr>
              <w:fldChar w:fldCharType="begin"/>
            </w:r>
            <w:r w:rsidRPr="00B40479">
              <w:rPr>
                <w:sz w:val="20"/>
              </w:rPr>
              <w:instrText xml:space="preserve"> STYLEREF 1 \s </w:instrText>
            </w:r>
            <w:r w:rsidRPr="00B40479">
              <w:rPr>
                <w:sz w:val="20"/>
              </w:rPr>
              <w:fldChar w:fldCharType="separate"/>
            </w:r>
            <w:r w:rsidR="00FB1849">
              <w:rPr>
                <w:noProof/>
                <w:sz w:val="20"/>
              </w:rPr>
              <w:t>2</w:t>
            </w:r>
            <w:r w:rsidRPr="00B40479">
              <w:rPr>
                <w:sz w:val="20"/>
              </w:rPr>
              <w:fldChar w:fldCharType="end"/>
            </w:r>
            <w:r w:rsidRPr="00B40479">
              <w:rPr>
                <w:sz w:val="20"/>
              </w:rPr>
              <w:t>.</w:t>
            </w:r>
            <w:r w:rsidRPr="00B40479">
              <w:rPr>
                <w:sz w:val="20"/>
              </w:rPr>
              <w:fldChar w:fldCharType="begin"/>
            </w:r>
            <w:r w:rsidRPr="00B40479">
              <w:rPr>
                <w:sz w:val="20"/>
              </w:rPr>
              <w:instrText xml:space="preserve"> SEQ Recommendation \* ARABIC \s 1 </w:instrText>
            </w:r>
            <w:r w:rsidRPr="00B40479">
              <w:rPr>
                <w:sz w:val="20"/>
              </w:rPr>
              <w:fldChar w:fldCharType="separate"/>
            </w:r>
            <w:r w:rsidR="00FB1849">
              <w:rPr>
                <w:noProof/>
                <w:sz w:val="20"/>
              </w:rPr>
              <w:t>4</w:t>
            </w:r>
            <w:r w:rsidRPr="00B40479">
              <w:rPr>
                <w:sz w:val="20"/>
              </w:rPr>
              <w:fldChar w:fldCharType="end"/>
            </w:r>
          </w:p>
          <w:p w14:paraId="5700417A" w14:textId="77777777" w:rsidR="00A0602C" w:rsidRPr="00B40479" w:rsidRDefault="00A0602C">
            <w:pPr>
              <w:pStyle w:val="TableHeading"/>
              <w:keepLines/>
              <w:spacing w:before="120" w:after="120"/>
              <w:contextualSpacing/>
              <w:rPr>
                <w:sz w:val="20"/>
              </w:rPr>
            </w:pPr>
            <w:r>
              <w:rPr>
                <w:sz w:val="20"/>
              </w:rPr>
              <w:t>Take a strategic leadership role and ensure sufficient capability</w:t>
            </w:r>
          </w:p>
        </w:tc>
      </w:tr>
      <w:tr w:rsidR="00A0602C" w:rsidRPr="00B40479" w14:paraId="31C7D7CB" w14:textId="77777777">
        <w:tc>
          <w:tcPr>
            <w:tcW w:w="9638" w:type="dxa"/>
            <w:gridSpan w:val="2"/>
            <w:shd w:val="clear" w:color="auto" w:fill="E7F6FD"/>
            <w:tcMar>
              <w:top w:w="0" w:type="dxa"/>
            </w:tcMar>
          </w:tcPr>
          <w:p w14:paraId="141CA85E" w14:textId="77777777" w:rsidR="00A0602C" w:rsidRDefault="00A0602C">
            <w:pPr>
              <w:pStyle w:val="BodyText"/>
            </w:pPr>
            <w:r>
              <w:t>Governments have a strategic leadership role in implementing reforms to embed collaborative commissioning.</w:t>
            </w:r>
            <w:r w:rsidDel="00EE2166">
              <w:t xml:space="preserve"> </w:t>
            </w:r>
            <w:r>
              <w:t>Australian, state and territory governments should ensure that all relevant departments, agencies and commissioning organisations</w:t>
            </w:r>
            <w:r w:rsidDel="00A731C4">
              <w:t xml:space="preserve"> </w:t>
            </w:r>
            <w:r>
              <w:t>have the required capability to support collaborative commissioning. Governments should:</w:t>
            </w:r>
          </w:p>
          <w:p w14:paraId="2A73EC86" w14:textId="77777777" w:rsidR="00A0602C" w:rsidRDefault="00A0602C" w:rsidP="00A0602C">
            <w:pPr>
              <w:pStyle w:val="ListBullet"/>
            </w:pPr>
            <w:r>
              <w:t>remove impediments to accessing data to facilitate more streamlined data sharing and linked datasets, and drive a focus on outcomes</w:t>
            </w:r>
          </w:p>
          <w:p w14:paraId="3C45AA5F" w14:textId="77777777" w:rsidR="00A0602C" w:rsidRDefault="00A0602C" w:rsidP="00A0602C">
            <w:pPr>
              <w:pStyle w:val="ListBullet"/>
              <w:keepLines/>
            </w:pPr>
            <w:r>
              <w:t>ensure there is appropriate resourcing and capability to monitor compliance and performance of LHNs and PHNs to support greater autonomy</w:t>
            </w:r>
          </w:p>
          <w:p w14:paraId="57A5C23F" w14:textId="77777777" w:rsidR="00A0602C" w:rsidRDefault="00A0602C" w:rsidP="00A0602C">
            <w:pPr>
              <w:pStyle w:val="ListBullet"/>
              <w:keepLines/>
            </w:pPr>
            <w:r>
              <w:t>provide training and support programs to LHNs and PHNs in leadership, co</w:t>
            </w:r>
            <w:r>
              <w:noBreakHyphen/>
              <w:t xml:space="preserve">design, cultural safety practices and data capability. </w:t>
            </w:r>
          </w:p>
          <w:p w14:paraId="0D19CC86" w14:textId="77777777" w:rsidR="00A0602C" w:rsidRPr="00EE77BE" w:rsidRDefault="00A0602C">
            <w:pPr>
              <w:pStyle w:val="BodyText"/>
              <w:rPr>
                <w:spacing w:val="-4"/>
              </w:rPr>
            </w:pPr>
            <w:r w:rsidRPr="00EE77BE">
              <w:rPr>
                <w:spacing w:val="-4"/>
              </w:rPr>
              <w:t>Where necessary, bilateral agreements between the Australian and state and territory governments to progress joint governance arrangements (recommendation 2.1) should be harnessed to progress these actions.</w:t>
            </w:r>
          </w:p>
        </w:tc>
      </w:tr>
      <w:tr w:rsidR="00A0602C" w:rsidRPr="00B40479" w14:paraId="6DADF851" w14:textId="77777777">
        <w:tc>
          <w:tcPr>
            <w:tcW w:w="9638" w:type="dxa"/>
            <w:gridSpan w:val="2"/>
            <w:shd w:val="clear" w:color="auto" w:fill="auto"/>
            <w:tcMar>
              <w:top w:w="0" w:type="dxa"/>
              <w:bottom w:w="0" w:type="dxa"/>
            </w:tcMar>
          </w:tcPr>
          <w:p w14:paraId="5AAE598A" w14:textId="2A96CA51" w:rsidR="00A0602C" w:rsidRPr="00B40479" w:rsidRDefault="00A0602C">
            <w:pPr>
              <w:pStyle w:val="NoSpacing"/>
              <w:spacing w:line="200" w:lineRule="exact"/>
            </w:pPr>
          </w:p>
        </w:tc>
      </w:tr>
    </w:tbl>
    <w:p w14:paraId="461C3EED" w14:textId="77777777" w:rsidR="00A0602C" w:rsidRPr="00B40479" w:rsidRDefault="00A0602C">
      <w:pPr>
        <w:pStyle w:val="Heading2-nonumber"/>
      </w:pPr>
      <w:bookmarkStart w:id="84" w:name="_Toc215671171"/>
      <w:bookmarkStart w:id="85" w:name="_Toc215838135"/>
      <w:r w:rsidRPr="00B40479">
        <w:lastRenderedPageBreak/>
        <w:t>Effective implementation will require a staged approach</w:t>
      </w:r>
      <w:bookmarkEnd w:id="84"/>
      <w:bookmarkEnd w:id="85"/>
    </w:p>
    <w:p w14:paraId="44A6DB8B" w14:textId="77777777" w:rsidR="00A0602C" w:rsidRPr="00B40479" w:rsidRDefault="00A0602C">
      <w:pPr>
        <w:pStyle w:val="BodyText"/>
      </w:pPr>
      <w:r w:rsidRPr="00B40479">
        <w:t xml:space="preserve">Effectively embedding collaborative commissioning will require </w:t>
      </w:r>
      <w:r>
        <w:t xml:space="preserve">implementation to be </w:t>
      </w:r>
      <w:r w:rsidRPr="00B40479">
        <w:t>staged (figure 2.</w:t>
      </w:r>
      <w:r>
        <w:t>6</w:t>
      </w:r>
      <w:r w:rsidRPr="00B40479">
        <w:t xml:space="preserve">). </w:t>
      </w:r>
    </w:p>
    <w:p w14:paraId="50414E58" w14:textId="195CDD8D" w:rsidR="00A0602C" w:rsidRDefault="00A0602C">
      <w:pPr>
        <w:pStyle w:val="FigureTableHeading"/>
      </w:pPr>
      <w:r>
        <w:t xml:space="preserve">Figure </w:t>
      </w:r>
      <w:r>
        <w:fldChar w:fldCharType="begin"/>
      </w:r>
      <w:r>
        <w:instrText xml:space="preserve"> STYLEREF 1 \s </w:instrText>
      </w:r>
      <w:r>
        <w:fldChar w:fldCharType="separate"/>
      </w:r>
      <w:r w:rsidR="00FB1849">
        <w:rPr>
          <w:noProof/>
        </w:rPr>
        <w:t>2</w:t>
      </w:r>
      <w:r>
        <w:rPr>
          <w:noProof/>
        </w:rPr>
        <w:fldChar w:fldCharType="end"/>
      </w:r>
      <w:r>
        <w:t>.</w:t>
      </w:r>
      <w:r>
        <w:fldChar w:fldCharType="begin"/>
      </w:r>
      <w:r>
        <w:instrText xml:space="preserve"> SEQ Figure \* ARABIC \s 1 </w:instrText>
      </w:r>
      <w:r>
        <w:fldChar w:fldCharType="separate"/>
      </w:r>
      <w:r w:rsidR="00FB1849">
        <w:rPr>
          <w:noProof/>
        </w:rPr>
        <w:t>6</w:t>
      </w:r>
      <w:r>
        <w:rPr>
          <w:noProof/>
        </w:rPr>
        <w:fldChar w:fldCharType="end"/>
      </w:r>
      <w:r>
        <w:rPr>
          <w:noProof/>
        </w:rPr>
        <w:t xml:space="preserve"> </w:t>
      </w:r>
      <w:r>
        <w:t>– A staged approach to implementing the reforms</w:t>
      </w:r>
    </w:p>
    <w:p w14:paraId="7467608E" w14:textId="77777777" w:rsidR="00A0602C" w:rsidRDefault="00A0602C" w:rsidP="00EE77BE">
      <w:pPr>
        <w:pStyle w:val="Source"/>
        <w:spacing w:after="360"/>
      </w:pPr>
      <w:r w:rsidRPr="00CF35F2">
        <w:rPr>
          <w:noProof/>
        </w:rPr>
        <w:drawing>
          <wp:inline distT="0" distB="0" distL="0" distR="0" wp14:anchorId="218DACDA" wp14:editId="532CEFF3">
            <wp:extent cx="6120130" cy="4023995"/>
            <wp:effectExtent l="0" t="0" r="0" b="0"/>
            <wp:docPr id="1868729629" name="Picture 1" descr="This figure shows the timing for implementation of actions under each of the recommendations.&#10;Joint governance arrangements (Recommendation 2.1)&#10;Implement in context of 2026 addendum: largely complete between 2026 and 2028&#10;Review need for further strengthening: undertake in 2029 and 2030&#10;Bolster as identified in next addendum: implement from 2031 onwards&#10;Funding flexibility (Recommendation 2.2)&#10;Increase flexibility: undertake from 2026 onwards&#10;Increase certainty: undertake from 2026 onwards&#10;Dedicated funding (Recommendation 2.3)&#10;Fund collaborative programs where suited: undertake from 2026 to 2030&#10;Further work on adjustment mechanism: undertake from 2026 to 2030&#10;New dedicated outcomes-based funding: implement from 2031 onwards&#10;Supporting actions (Recommendation 2.4)&#10;Build commissioning capability: largely complete between 2026 and 2027&#10;Provide guidance: largely complete between 2026 and 2027&#10;Enable data access: largely complete between 2026 and 2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729629" name="Picture 1" descr="This figure shows the timing for implementation of actions under each of the recommendations.&#10;Joint governance arrangements (Recommendation 2.1)&#10;Implement in context of 2026 addendum: largely complete between 2026 and 2028&#10;Review need for further strengthening: undertake in 2029 and 2030&#10;Bolster as identified in next addendum: implement from 2031 onwards&#10;Funding flexibility (Recommendation 2.2)&#10;Increase flexibility: undertake from 2026 onwards&#10;Increase certainty: undertake from 2026 onwards&#10;Dedicated funding (Recommendation 2.3)&#10;Fund collaborative programs where suited: undertake from 2026 to 2030&#10;Further work on adjustment mechanism: undertake from 2026 to 2030&#10;New dedicated outcomes-based funding: implement from 2031 onwards&#10;Supporting actions (Recommendation 2.4)&#10;Build commissioning capability: largely complete between 2026 and 2027&#10;Provide guidance: largely complete between 2026 and 2027&#10;Enable data access: largely complete between 2026 and 2030&#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4023995"/>
                    </a:xfrm>
                    <a:prstGeom prst="rect">
                      <a:avLst/>
                    </a:prstGeom>
                    <a:noFill/>
                    <a:ln>
                      <a:noFill/>
                    </a:ln>
                  </pic:spPr>
                </pic:pic>
              </a:graphicData>
            </a:graphic>
          </wp:inline>
        </w:drawing>
      </w:r>
    </w:p>
    <w:p w14:paraId="3CF01894" w14:textId="4BC1C531" w:rsidR="00A0602C" w:rsidRPr="00EE77BE" w:rsidRDefault="00A0602C">
      <w:pPr>
        <w:pStyle w:val="BodyText"/>
        <w:rPr>
          <w:spacing w:val="-2"/>
        </w:rPr>
      </w:pPr>
      <w:r w:rsidRPr="00EE77BE">
        <w:rPr>
          <w:spacing w:val="-2"/>
        </w:rPr>
        <w:t>Some of these proposed actions can be taken immediately, with the Department of Health, Disability and Ageing coordinating and stewarding the reform. Governments must first embed the joint governance arrangements. If</w:t>
      </w:r>
      <w:r w:rsidRPr="00EE77BE" w:rsidDel="00007145">
        <w:rPr>
          <w:spacing w:val="-2"/>
        </w:rPr>
        <w:t xml:space="preserve"> the </w:t>
      </w:r>
      <w:r w:rsidRPr="00EE77BE">
        <w:rPr>
          <w:spacing w:val="-2"/>
        </w:rPr>
        <w:t xml:space="preserve">2026 addendum to the NHRA currently under negotiation is less prescriptive than proposed here, then the supporting guidance and bilateral Commonwealth and state and territory partnerships will need to incorporate the governance reforms in the short term so that progress does not stall. Further assessment will then be necessary to determine what needs to be strengthened or added in future addenda. </w:t>
      </w:r>
    </w:p>
    <w:p w14:paraId="61EBBC4E" w14:textId="77777777" w:rsidR="00A0602C" w:rsidRPr="00B40479" w:rsidRDefault="00A0602C">
      <w:pPr>
        <w:pStyle w:val="BodyText"/>
      </w:pPr>
      <w:r w:rsidRPr="00B40479">
        <w:t>Reforms to ensure certainty and flexibility of funding</w:t>
      </w:r>
      <w:r>
        <w:t xml:space="preserve"> and other supporting actions to enable data sharing and lift capability </w:t>
      </w:r>
      <w:r w:rsidRPr="00B40479">
        <w:t xml:space="preserve">can also be progressed immediately. </w:t>
      </w:r>
    </w:p>
    <w:p w14:paraId="2BA3F4AC" w14:textId="77777777" w:rsidR="00A0602C" w:rsidRPr="00B40479" w:rsidRDefault="00A0602C">
      <w:pPr>
        <w:pStyle w:val="BodyText"/>
      </w:pPr>
      <w:r w:rsidRPr="00B40479">
        <w:t>The dedicated outcomes</w:t>
      </w:r>
      <w:r>
        <w:noBreakHyphen/>
      </w:r>
      <w:r w:rsidRPr="00B40479">
        <w:t xml:space="preserve">based funding should be implemented in the second stage of reform and included in the </w:t>
      </w:r>
      <w:r>
        <w:t>next</w:t>
      </w:r>
      <w:r w:rsidRPr="00B40479">
        <w:t xml:space="preserve"> addendum to the NHRA</w:t>
      </w:r>
      <w:r>
        <w:t>, expected to commence in 2031</w:t>
      </w:r>
      <w:r w:rsidRPr="00B40479">
        <w:t>. To support this, IHACPA needs to begin de</w:t>
      </w:r>
      <w:r>
        <w:t xml:space="preserve">signing </w:t>
      </w:r>
      <w:r w:rsidRPr="00B40479">
        <w:t xml:space="preserve">the </w:t>
      </w:r>
      <w:r>
        <w:t>outcomes</w:t>
      </w:r>
      <w:r>
        <w:noBreakHyphen/>
        <w:t xml:space="preserve">based funding mechanism </w:t>
      </w:r>
      <w:r w:rsidRPr="00B40479">
        <w:t xml:space="preserve">in the near term. </w:t>
      </w:r>
    </w:p>
    <w:p w14:paraId="4BEE3962" w14:textId="77777777" w:rsidR="00A0602C" w:rsidRPr="00B40479" w:rsidRDefault="00A0602C">
      <w:pPr>
        <w:pStyle w:val="BodyText"/>
      </w:pPr>
      <w:r w:rsidRPr="00B40479">
        <w:t xml:space="preserve">Staging the reform in this way acknowledges that collaborative relationships and supporting arrangements are at different stages in different places. For LHNs and PHNs that are ready, the increased funding certainty and flexibility will enable them to implement collaboratively commissioned programs in the near term. </w:t>
      </w:r>
      <w:r>
        <w:t>It will also give</w:t>
      </w:r>
      <w:r w:rsidRPr="00B40479">
        <w:t xml:space="preserve"> other LHNs and PHNs time to build relationships with their counterparts, develop partnerships with ACCHOs and other organisations, and put in place the required supporting infrastructure, such as data sharing or other capability improvements. </w:t>
      </w:r>
    </w:p>
    <w:p w14:paraId="0D1C48B6" w14:textId="77777777" w:rsidR="00A0602C" w:rsidRPr="00B40479" w:rsidRDefault="00A0602C">
      <w:pPr>
        <w:pStyle w:val="Heading3"/>
      </w:pPr>
      <w:r w:rsidRPr="00B40479">
        <w:lastRenderedPageBreak/>
        <w:t xml:space="preserve">Collaborative commissioning is a key piece of the reform puzzle </w:t>
      </w:r>
    </w:p>
    <w:p w14:paraId="111E1502" w14:textId="77777777" w:rsidR="00A0602C" w:rsidRDefault="00A0602C">
      <w:pPr>
        <w:pStyle w:val="BodyText"/>
      </w:pPr>
      <w:r w:rsidRPr="00B40479">
        <w:t>Our proposed reform has potential to deliver better outcomes</w:t>
      </w:r>
      <w:r>
        <w:t>,</w:t>
      </w:r>
      <w:r w:rsidRPr="00B40479" w:rsidDel="00A617FB">
        <w:t xml:space="preserve"> </w:t>
      </w:r>
      <w:r w:rsidRPr="00B40479">
        <w:t>more efficient care</w:t>
      </w:r>
      <w:r>
        <w:t xml:space="preserve"> and improve productivity by developing an ecosystem of collaboration that enables greater uptake of effective interventions across the country.</w:t>
      </w:r>
      <w:r w:rsidRPr="00B40479">
        <w:t xml:space="preserve"> That said, collaborative commissioning between LHNs and PHNs is just one part of the broader reform puzzle</w:t>
      </w:r>
      <w:r>
        <w:t>. Across the care economy,</w:t>
      </w:r>
      <w:r w:rsidRPr="00B40479">
        <w:t xml:space="preserve"> there is scope for more integrated care and collaborative place</w:t>
      </w:r>
      <w:r w:rsidRPr="00B40479">
        <w:noBreakHyphen/>
        <w:t xml:space="preserve">based </w:t>
      </w:r>
      <w:r>
        <w:t>decision</w:t>
      </w:r>
      <w:r>
        <w:noBreakHyphen/>
      </w:r>
      <w:r w:rsidRPr="00B40479">
        <w:t>making</w:t>
      </w:r>
      <w:r>
        <w:t>, including</w:t>
      </w:r>
      <w:r w:rsidRPr="00B40479">
        <w:t xml:space="preserve"> </w:t>
      </w:r>
      <w:r>
        <w:t xml:space="preserve">through formal relational contracting and expanding the collaboration to include local providers (as recommended by: </w:t>
      </w:r>
      <w:r w:rsidRPr="0081352C">
        <w:t>BSL, sub.</w:t>
      </w:r>
      <w:r>
        <w:t> </w:t>
      </w:r>
      <w:r w:rsidRPr="0081352C">
        <w:t>180, p.</w:t>
      </w:r>
      <w:r>
        <w:t> </w:t>
      </w:r>
      <w:r w:rsidRPr="0081352C">
        <w:t>5</w:t>
      </w:r>
      <w:r>
        <w:t>; CPD, sub. 244, p. 7; Melbourne Disability Institute, Australian Welfare and Work Lab – University of Melbourne, sub. 107, p. 3</w:t>
      </w:r>
      <w:r w:rsidRPr="0081352C">
        <w:t>)</w:t>
      </w:r>
      <w:r>
        <w:t xml:space="preserve">. </w:t>
      </w:r>
    </w:p>
    <w:p w14:paraId="4A18AB9E" w14:textId="77777777" w:rsidR="00A0602C" w:rsidRDefault="00A0602C">
      <w:pPr>
        <w:pStyle w:val="BodyText"/>
      </w:pPr>
      <w:r>
        <w:t xml:space="preserve">The reforms can also be expanded to encompass </w:t>
      </w:r>
      <w:r w:rsidRPr="00B40479">
        <w:t xml:space="preserve">greater integration with </w:t>
      </w:r>
      <w:r>
        <w:t>the</w:t>
      </w:r>
      <w:r w:rsidRPr="00B40479">
        <w:t xml:space="preserve"> disability and aged care</w:t>
      </w:r>
      <w:r>
        <w:t xml:space="preserve"> sectors</w:t>
      </w:r>
      <w:r w:rsidRPr="00B40479">
        <w:t xml:space="preserve">, as well as </w:t>
      </w:r>
      <w:r>
        <w:t>other</w:t>
      </w:r>
      <w:r w:rsidRPr="00B40479">
        <w:t xml:space="preserve"> social services. </w:t>
      </w:r>
      <w:r>
        <w:t>Such reforms are likely to be particularly beneficial in places where thin markets and workforce issues increase the need to coordinate the use of resources.</w:t>
      </w:r>
    </w:p>
    <w:p w14:paraId="2F7CA796" w14:textId="77777777" w:rsidR="00A0602C" w:rsidRPr="00B40479" w:rsidRDefault="00A0602C">
      <w:pPr>
        <w:pStyle w:val="BodyText"/>
        <w:keepNext/>
      </w:pPr>
      <w:r>
        <w:t>The PHN Cooperative highlighted the opportunity:</w:t>
      </w:r>
    </w:p>
    <w:p w14:paraId="5C360181" w14:textId="77777777" w:rsidR="00A0602C" w:rsidRPr="00B40479" w:rsidRDefault="00A0602C">
      <w:pPr>
        <w:pStyle w:val="Quote"/>
      </w:pPr>
      <w:r w:rsidRPr="00D35899">
        <w:t>There is enormous potential, if genuine collaborative commissioning arrangements are embedded at a regional level to jointly address other health challenges through an integrated one system approach</w:t>
      </w:r>
      <w:r>
        <w:t>. … M</w:t>
      </w:r>
      <w:r w:rsidRPr="00C85181">
        <w:t xml:space="preserve">ore broadly robust governance structures established through this process could also support liaison between PHNs, LHNs and other care sectors, particularly aged care and disability services to achieve whole of government outcomes for </w:t>
      </w:r>
      <w:proofErr w:type="gramStart"/>
      <w:r w:rsidRPr="00C85181">
        <w:t>particular underserved</w:t>
      </w:r>
      <w:proofErr w:type="gramEnd"/>
      <w:r w:rsidRPr="00C85181">
        <w:t xml:space="preserve"> priority populations.</w:t>
      </w:r>
      <w:r>
        <w:t xml:space="preserve"> (sub. 104, p. 9)</w:t>
      </w:r>
    </w:p>
    <w:p w14:paraId="4120C671" w14:textId="28B56FB0" w:rsidR="00A0602C" w:rsidRDefault="00A0602C">
      <w:pPr>
        <w:pStyle w:val="BodyText"/>
      </w:pPr>
      <w:r>
        <w:t>O</w:t>
      </w:r>
      <w:r w:rsidRPr="00B40479">
        <w:t xml:space="preserve">ther reforms – such as changes to funding models </w:t>
      </w:r>
      <w:r>
        <w:t>that</w:t>
      </w:r>
      <w:r w:rsidRPr="00B40479">
        <w:t xml:space="preserve"> </w:t>
      </w:r>
      <w:r>
        <w:t xml:space="preserve">focus on </w:t>
      </w:r>
      <w:r w:rsidRPr="00B40479">
        <w:t>outcome</w:t>
      </w:r>
      <w:r>
        <w:t>s</w:t>
      </w:r>
      <w:r w:rsidRPr="00B40479">
        <w:t xml:space="preserve"> rather than activity</w:t>
      </w:r>
      <w:r>
        <w:t xml:space="preserve"> </w:t>
      </w:r>
      <w:r w:rsidR="00CD75B1" w:rsidRPr="00CD75B1">
        <w:rPr>
          <w:rFonts w:ascii="Arial" w:hAnsi="Arial" w:cs="Arial"/>
        </w:rPr>
        <w:t>(PC 2025c, p. 31)</w:t>
      </w:r>
      <w:r w:rsidRPr="00B40479">
        <w:t xml:space="preserve">, or </w:t>
      </w:r>
      <w:r>
        <w:t>changes</w:t>
      </w:r>
      <w:r w:rsidRPr="00B40479">
        <w:t xml:space="preserve"> to the way sectors of the care economy are administered – will be required to fully realise the benefits of collaborative commissioning and </w:t>
      </w:r>
      <w:r>
        <w:t>to</w:t>
      </w:r>
      <w:r w:rsidRPr="00B40479">
        <w:t xml:space="preserve"> </w:t>
      </w:r>
      <w:r>
        <w:t>expand their use</w:t>
      </w:r>
      <w:r w:rsidRPr="00B40479">
        <w:t xml:space="preserve">. However, the PC’s proposed reforms for increased collaboration between LHNs and PHNs, in partnership with ACCHOs and other organisations </w:t>
      </w:r>
      <w:r>
        <w:t>should be pursued irrespective of progress in these other areas</w:t>
      </w:r>
      <w:r w:rsidRPr="00B40479">
        <w:t>. The</w:t>
      </w:r>
      <w:r>
        <w:t xml:space="preserve"> reforms will produce</w:t>
      </w:r>
      <w:r w:rsidRPr="00B40479">
        <w:t xml:space="preserve"> substantial gains through both greater efficiency and better outcomes for </w:t>
      </w:r>
      <w:proofErr w:type="gramStart"/>
      <w:r w:rsidRPr="00B40479">
        <w:t>people, and</w:t>
      </w:r>
      <w:proofErr w:type="gramEnd"/>
      <w:r w:rsidRPr="00B40479">
        <w:t xml:space="preserve"> provide a demonstrable foundation for expanding collaboration and integration over time. </w:t>
      </w:r>
    </w:p>
    <w:p w14:paraId="5DA28DFC" w14:textId="77777777" w:rsidR="00C158EA" w:rsidRDefault="00C158EA">
      <w:pPr>
        <w:pStyle w:val="BodyText"/>
        <w:sectPr w:rsidR="00C158EA" w:rsidSect="009C6092">
          <w:headerReference w:type="even" r:id="rId73"/>
          <w:headerReference w:type="default" r:id="rId74"/>
          <w:footerReference w:type="even" r:id="rId75"/>
          <w:footerReference w:type="default" r:id="rId76"/>
          <w:headerReference w:type="first" r:id="rId77"/>
          <w:type w:val="oddPage"/>
          <w:pgSz w:w="11906" w:h="16838" w:code="9"/>
          <w:pgMar w:top="1134" w:right="1134" w:bottom="1134" w:left="1134" w:header="794" w:footer="510" w:gutter="0"/>
          <w:cols w:space="708"/>
          <w:docGrid w:linePitch="360"/>
        </w:sectPr>
      </w:pPr>
    </w:p>
    <w:p w14:paraId="7BD21942" w14:textId="77777777" w:rsidR="00C158EA" w:rsidRDefault="00C158EA">
      <w:pPr>
        <w:pStyle w:val="BodyText"/>
      </w:pPr>
    </w:p>
    <w:p w14:paraId="1813C7C4" w14:textId="77777777" w:rsidR="00C158EA" w:rsidRPr="00A91551" w:rsidRDefault="00C158EA">
      <w:pPr>
        <w:pStyle w:val="BodyText"/>
      </w:pPr>
    </w:p>
    <w:p w14:paraId="0F566DC2" w14:textId="77777777" w:rsidR="00B220FC" w:rsidRDefault="00B220FC" w:rsidP="00A4030B">
      <w:pPr>
        <w:pStyle w:val="DraftingNote"/>
        <w:rPr>
          <w:noProof/>
        </w:rPr>
        <w:sectPr w:rsidR="00B220FC" w:rsidSect="00C158EA">
          <w:headerReference w:type="even" r:id="rId78"/>
          <w:pgSz w:w="11906" w:h="16838" w:code="9"/>
          <w:pgMar w:top="1134" w:right="1134" w:bottom="1134" w:left="1134" w:header="794" w:footer="510" w:gutter="0"/>
          <w:cols w:space="708"/>
          <w:docGrid w:linePitch="360"/>
        </w:sectPr>
      </w:pPr>
    </w:p>
    <w:p w14:paraId="5AC693CF" w14:textId="77777777" w:rsidR="00B809D1" w:rsidRDefault="00B809D1">
      <w:pPr>
        <w:pStyle w:val="Heading1"/>
      </w:pPr>
      <w:bookmarkStart w:id="86" w:name="_Toc215671172"/>
      <w:bookmarkStart w:id="87" w:name="_Toc215838136"/>
      <w:r>
        <w:lastRenderedPageBreak/>
        <w:t>A national framework to support government investment in prevention and early intervention</w:t>
      </w:r>
      <w:bookmarkEnd w:id="86"/>
      <w:bookmarkEnd w:id="87"/>
    </w:p>
    <w:tbl>
      <w:tblPr>
        <w:tblStyle w:val="Texttable-Paleblue"/>
        <w:tblW w:w="5000" w:type="pct"/>
        <w:shd w:val="clear" w:color="auto" w:fill="E7F6FD"/>
        <w:tblCellMar>
          <w:top w:w="28" w:type="dxa"/>
          <w:bottom w:w="28" w:type="dxa"/>
        </w:tblCellMar>
        <w:tblLook w:val="04A0" w:firstRow="1" w:lastRow="0" w:firstColumn="1" w:lastColumn="0" w:noHBand="0" w:noVBand="1"/>
      </w:tblPr>
      <w:tblGrid>
        <w:gridCol w:w="577"/>
        <w:gridCol w:w="9061"/>
      </w:tblGrid>
      <w:tr w:rsidR="00B809D1" w:rsidRPr="002F759A" w14:paraId="0C5D4A3A" w14:textId="77777777" w:rsidTr="00336F90">
        <w:tc>
          <w:tcPr>
            <w:tcW w:w="9638" w:type="dxa"/>
            <w:gridSpan w:val="2"/>
            <w:shd w:val="clear" w:color="auto" w:fill="E7F6FD"/>
            <w:tcMar>
              <w:left w:w="170" w:type="dxa"/>
            </w:tcMar>
          </w:tcPr>
          <w:p w14:paraId="0F215241" w14:textId="667C2FFC" w:rsidR="00B809D1" w:rsidRPr="002F759A" w:rsidRDefault="00581AF9">
            <w:pPr>
              <w:pStyle w:val="Keypoints-heading"/>
            </w:pPr>
            <w:r>
              <w:t>Summary</w:t>
            </w:r>
          </w:p>
        </w:tc>
      </w:tr>
      <w:tr w:rsidR="00B809D1" w14:paraId="4C55A415" w14:textId="77777777" w:rsidTr="00336F90">
        <w:tc>
          <w:tcPr>
            <w:tcW w:w="577" w:type="dxa"/>
            <w:shd w:val="clear" w:color="auto" w:fill="E7F6FD"/>
            <w:tcMar>
              <w:top w:w="0" w:type="dxa"/>
              <w:bottom w:w="0" w:type="dxa"/>
              <w:right w:w="113" w:type="dxa"/>
            </w:tcMar>
          </w:tcPr>
          <w:p w14:paraId="71F558E7" w14:textId="77777777" w:rsidR="00B809D1" w:rsidRDefault="00B809D1">
            <w:pPr>
              <w:pStyle w:val="KeyPointsicon"/>
            </w:pPr>
            <w:r w:rsidRPr="00A51374">
              <w:rPr>
                <w:noProof/>
              </w:rPr>
              <w:drawing>
                <wp:inline distT="0" distB="0" distL="0" distR="0" wp14:anchorId="7AD2D278" wp14:editId="04E140B4">
                  <wp:extent cx="180000" cy="180000"/>
                  <wp:effectExtent l="0" t="0" r="0" b="0"/>
                  <wp:docPr id="408705877" name="Graphic 4087058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C607AD8" w14:textId="2A8EA433" w:rsidR="00B809D1" w:rsidRDefault="00B809D1">
            <w:pPr>
              <w:pStyle w:val="KeyPoints-Bold"/>
            </w:pPr>
            <w:r>
              <w:t>Investment in prevention and early intervention can produce significant benefits to individuals, government and the community. These investments</w:t>
            </w:r>
            <w:r w:rsidRPr="0094481F">
              <w:t xml:space="preserve"> can slow the growth in government care expenditure</w:t>
            </w:r>
            <w:r>
              <w:t xml:space="preserve"> while simultaneously improving care outcomes.</w:t>
            </w:r>
          </w:p>
        </w:tc>
      </w:tr>
      <w:tr w:rsidR="00B809D1" w14:paraId="37D5D6C9" w14:textId="77777777" w:rsidTr="00336F90">
        <w:tc>
          <w:tcPr>
            <w:tcW w:w="577" w:type="dxa"/>
            <w:shd w:val="clear" w:color="auto" w:fill="E7F6FD"/>
            <w:tcMar>
              <w:top w:w="0" w:type="dxa"/>
              <w:bottom w:w="0" w:type="dxa"/>
              <w:right w:w="113" w:type="dxa"/>
            </w:tcMar>
          </w:tcPr>
          <w:p w14:paraId="0C849DF6" w14:textId="77777777" w:rsidR="00B809D1" w:rsidRPr="00A51374" w:rsidRDefault="00B809D1">
            <w:pPr>
              <w:pStyle w:val="KeyPointsicon"/>
            </w:pPr>
            <w:r w:rsidRPr="00F31E73">
              <w:rPr>
                <w:noProof/>
              </w:rPr>
              <w:drawing>
                <wp:inline distT="0" distB="0" distL="0" distR="0" wp14:anchorId="507BFDA6" wp14:editId="3FBEB55A">
                  <wp:extent cx="180000" cy="180000"/>
                  <wp:effectExtent l="0" t="0" r="0" b="0"/>
                  <wp:docPr id="590894997" name="Graphic 590894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6ACA229" w14:textId="0B782101" w:rsidR="00B809D1" w:rsidRPr="00610627" w:rsidRDefault="00B809D1">
            <w:pPr>
              <w:pStyle w:val="KeyPoints-Bold"/>
            </w:pPr>
            <w:r>
              <w:t xml:space="preserve">Australian, state and territory governments have recognised the need for greater prevention and early intervention efforts. But </w:t>
            </w:r>
            <w:r w:rsidR="00937245">
              <w:t>silos</w:t>
            </w:r>
            <w:r w:rsidRPr="00822A81">
              <w:t xml:space="preserve"> within government, short</w:t>
            </w:r>
            <w:r>
              <w:noBreakHyphen/>
            </w:r>
            <w:r w:rsidRPr="00822A81">
              <w:t xml:space="preserve">term budget cycles, </w:t>
            </w:r>
            <w:r>
              <w:t>limited evaluations and scepticism that</w:t>
            </w:r>
            <w:r w:rsidRPr="00822A81">
              <w:t xml:space="preserve"> </w:t>
            </w:r>
            <w:r>
              <w:t xml:space="preserve">programs will deliver fiscal savings pose barriers to sufficient government investment. </w:t>
            </w:r>
          </w:p>
        </w:tc>
      </w:tr>
      <w:tr w:rsidR="00B809D1" w14:paraId="4AE4DF7C" w14:textId="77777777" w:rsidTr="00336F90">
        <w:tc>
          <w:tcPr>
            <w:tcW w:w="577" w:type="dxa"/>
            <w:shd w:val="clear" w:color="auto" w:fill="E7F6FD"/>
            <w:tcMar>
              <w:top w:w="0" w:type="dxa"/>
              <w:bottom w:w="0" w:type="dxa"/>
              <w:right w:w="113" w:type="dxa"/>
            </w:tcMar>
          </w:tcPr>
          <w:p w14:paraId="219DB955" w14:textId="77777777" w:rsidR="00B809D1" w:rsidRPr="00A51374" w:rsidRDefault="00B809D1">
            <w:pPr>
              <w:pStyle w:val="KeyPointsicon"/>
            </w:pPr>
            <w:r w:rsidRPr="00F31E73">
              <w:rPr>
                <w:noProof/>
              </w:rPr>
              <w:drawing>
                <wp:inline distT="0" distB="0" distL="0" distR="0" wp14:anchorId="124014B1" wp14:editId="3F66795B">
                  <wp:extent cx="180000" cy="180000"/>
                  <wp:effectExtent l="0" t="0" r="0" b="0"/>
                  <wp:docPr id="111210825" name="Graphic 111210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ADBC354" w14:textId="770C6123" w:rsidR="00B809D1" w:rsidRDefault="00B809D1">
            <w:pPr>
              <w:pStyle w:val="KeyPoints-Bold"/>
            </w:pPr>
            <w:r>
              <w:t>A National Prevention and Early Intervention Framework would support government investment in effective prevention and early intervention programs</w:t>
            </w:r>
            <w:r w:rsidR="004747D2">
              <w:t>,</w:t>
            </w:r>
            <w:r>
              <w:t xml:space="preserve"> improv</w:t>
            </w:r>
            <w:r w:rsidR="004747D2">
              <w:t>ing</w:t>
            </w:r>
            <w:r>
              <w:t xml:space="preserve"> outcomes for individuals, benefit</w:t>
            </w:r>
            <w:r w:rsidR="004747D2">
              <w:t>ing</w:t>
            </w:r>
            <w:r>
              <w:t xml:space="preserve"> the wider community and reduc</w:t>
            </w:r>
            <w:r w:rsidR="00FD6D41">
              <w:t>ing</w:t>
            </w:r>
            <w:r>
              <w:t xml:space="preserve"> future demand for services. The framework would:</w:t>
            </w:r>
          </w:p>
          <w:p w14:paraId="1BE13201" w14:textId="77777777" w:rsidR="00B809D1" w:rsidRDefault="00B809D1" w:rsidP="00B809D1">
            <w:pPr>
              <w:pStyle w:val="KeyPoints-Bullet"/>
            </w:pPr>
            <w:r>
              <w:t xml:space="preserve">recognise that the benefits of prevention and early intervention can take a long time to materialise and may not align with budget cycles, government departments or tiers of government </w:t>
            </w:r>
          </w:p>
          <w:p w14:paraId="29480497" w14:textId="675C41D3" w:rsidR="00B809D1" w:rsidRPr="00610627" w:rsidRDefault="00AF1822" w:rsidP="00B809D1">
            <w:pPr>
              <w:pStyle w:val="KeyPoints-Bullet"/>
            </w:pPr>
            <w:r>
              <w:t>establish</w:t>
            </w:r>
            <w:r w:rsidR="00B809D1">
              <w:t xml:space="preserve"> a robust assessment and evaluation process to ensure investment is in effective programs that deliver long</w:t>
            </w:r>
            <w:r w:rsidR="00B809D1">
              <w:noBreakHyphen/>
              <w:t>term benefits.</w:t>
            </w:r>
          </w:p>
        </w:tc>
      </w:tr>
      <w:tr w:rsidR="00B809D1" w14:paraId="79F5707C" w14:textId="77777777" w:rsidTr="00336F90">
        <w:tc>
          <w:tcPr>
            <w:tcW w:w="577" w:type="dxa"/>
            <w:shd w:val="clear" w:color="auto" w:fill="E7F6FD"/>
            <w:tcMar>
              <w:top w:w="0" w:type="dxa"/>
              <w:bottom w:w="0" w:type="dxa"/>
              <w:right w:w="113" w:type="dxa"/>
            </w:tcMar>
          </w:tcPr>
          <w:p w14:paraId="495E6E97" w14:textId="77777777" w:rsidR="00B809D1" w:rsidRPr="00A51374" w:rsidRDefault="00B809D1">
            <w:pPr>
              <w:pStyle w:val="KeyPointsicon"/>
            </w:pPr>
            <w:r w:rsidRPr="00F31E73">
              <w:rPr>
                <w:noProof/>
              </w:rPr>
              <w:drawing>
                <wp:inline distT="0" distB="0" distL="0" distR="0" wp14:anchorId="594A7498" wp14:editId="1867D193">
                  <wp:extent cx="180000" cy="180000"/>
                  <wp:effectExtent l="0" t="0" r="0" b="0"/>
                  <wp:docPr id="558550021" name="Graphic 5585500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6C568D4" w14:textId="77777777" w:rsidR="00B809D1" w:rsidRDefault="00B809D1">
            <w:pPr>
              <w:pStyle w:val="KeyPoints-Bold"/>
            </w:pPr>
            <w:r>
              <w:t>The</w:t>
            </w:r>
            <w:r w:rsidRPr="00405CDD">
              <w:t xml:space="preserve"> </w:t>
            </w:r>
            <w:r w:rsidRPr="00405CDD" w:rsidDel="00204D39">
              <w:t xml:space="preserve">National Prevention </w:t>
            </w:r>
            <w:r>
              <w:t>and Early Intervention Framework</w:t>
            </w:r>
            <w:r w:rsidRPr="00405CDD">
              <w:t xml:space="preserve"> would </w:t>
            </w:r>
            <w:r>
              <w:t>be supported by</w:t>
            </w:r>
            <w:r w:rsidRPr="00405CDD">
              <w:t>:</w:t>
            </w:r>
          </w:p>
          <w:p w14:paraId="1E535BEB" w14:textId="77777777" w:rsidR="00B809D1" w:rsidRPr="00526E34" w:rsidRDefault="00B809D1" w:rsidP="00B809D1">
            <w:pPr>
              <w:pStyle w:val="KeyPoints-Bullet"/>
            </w:pPr>
            <w:r>
              <w:t>an independent advisory Board that reviews and recommends proposed prevention and early intervention programs for funding and advises on estimates of future benefits</w:t>
            </w:r>
          </w:p>
          <w:p w14:paraId="7EFA041C" w14:textId="77777777" w:rsidR="00B809D1" w:rsidRPr="00526E34" w:rsidRDefault="00B809D1" w:rsidP="00B809D1">
            <w:pPr>
              <w:pStyle w:val="KeyPoints-Bullet"/>
            </w:pPr>
            <w:r>
              <w:t xml:space="preserve">a prevention and early intervention assessment team to build government capability and support the standardised economic evaluation of prevention and early intervention programs and policies </w:t>
            </w:r>
          </w:p>
          <w:p w14:paraId="587C99C9" w14:textId="77777777" w:rsidR="00B809D1" w:rsidRPr="00526E34" w:rsidRDefault="00B809D1" w:rsidP="00B809D1">
            <w:pPr>
              <w:pStyle w:val="KeyPoints-Bullet"/>
            </w:pPr>
            <w:r w:rsidRPr="00526E34">
              <w:t>a whole</w:t>
            </w:r>
            <w:r>
              <w:noBreakHyphen/>
            </w:r>
            <w:r w:rsidRPr="00526E34">
              <w:t>of</w:t>
            </w:r>
            <w:r>
              <w:noBreakHyphen/>
            </w:r>
            <w:r w:rsidRPr="00526E34">
              <w:t>government actuarial microsimulation model to identify priority cohorts, estimate the long</w:t>
            </w:r>
            <w:r>
              <w:noBreakHyphen/>
            </w:r>
            <w:r w:rsidRPr="00526E34">
              <w:t>term fiscal and wellbeing impacts of preventi</w:t>
            </w:r>
            <w:r>
              <w:t xml:space="preserve">on and early </w:t>
            </w:r>
            <w:r w:rsidRPr="00526E34">
              <w:t xml:space="preserve">intervention, and monitor and evaluate interventions </w:t>
            </w:r>
          </w:p>
          <w:p w14:paraId="3F249859" w14:textId="77777777" w:rsidR="00B809D1" w:rsidRPr="00610627" w:rsidRDefault="00B809D1" w:rsidP="00B809D1">
            <w:pPr>
              <w:pStyle w:val="KeyPoints-Bullet"/>
            </w:pPr>
            <w:r w:rsidRPr="00526E34">
              <w:t xml:space="preserve">a dedicated prevention </w:t>
            </w:r>
            <w:r>
              <w:t xml:space="preserve">and early intervention </w:t>
            </w:r>
            <w:r w:rsidRPr="00526E34">
              <w:t xml:space="preserve">fund, supported by </w:t>
            </w:r>
            <w:r>
              <w:t>agreements with jurisdictions, for programs requiring joint investment from the Australian, state and territory governments</w:t>
            </w:r>
            <w:r w:rsidRPr="00526E34">
              <w:t>.</w:t>
            </w:r>
            <w:r>
              <w:t xml:space="preserve"> </w:t>
            </w:r>
          </w:p>
        </w:tc>
      </w:tr>
      <w:tr w:rsidR="00B809D1" w14:paraId="4BB84AD6" w14:textId="77777777" w:rsidTr="00336F90">
        <w:tc>
          <w:tcPr>
            <w:tcW w:w="577" w:type="dxa"/>
            <w:shd w:val="clear" w:color="auto" w:fill="E7F6FD"/>
            <w:tcMar>
              <w:top w:w="0" w:type="dxa"/>
              <w:bottom w:w="0" w:type="dxa"/>
              <w:right w:w="113" w:type="dxa"/>
            </w:tcMar>
          </w:tcPr>
          <w:p w14:paraId="57E9434D" w14:textId="77777777" w:rsidR="00B809D1" w:rsidRPr="00F31E73" w:rsidRDefault="00B809D1">
            <w:pPr>
              <w:pStyle w:val="KeyPointsicon"/>
              <w:rPr>
                <w:noProof/>
              </w:rPr>
            </w:pPr>
            <w:r w:rsidRPr="00F31E73">
              <w:rPr>
                <w:noProof/>
              </w:rPr>
              <w:drawing>
                <wp:inline distT="0" distB="0" distL="0" distR="0" wp14:anchorId="61DFAC86" wp14:editId="5CEA6C64">
                  <wp:extent cx="180000" cy="180000"/>
                  <wp:effectExtent l="0" t="0" r="0" b="0"/>
                  <wp:docPr id="1995213067" name="Graphic 1995213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AC7BD5C" w14:textId="77777777" w:rsidR="00B809D1" w:rsidRDefault="00B809D1">
            <w:pPr>
              <w:pStyle w:val="KeyPoints-Bold"/>
            </w:pPr>
            <w:r>
              <w:t>An investment of $1.5 billion over five years could save governments $2.7 billion over ten years. When broader health, social and economic benefits are included, the</w:t>
            </w:r>
            <w:r w:rsidRPr="00BA1F49">
              <w:t xml:space="preserve"> net present value of total </w:t>
            </w:r>
            <w:r>
              <w:t xml:space="preserve">expected </w:t>
            </w:r>
            <w:r w:rsidRPr="00491FAC">
              <w:t>benefit</w:t>
            </w:r>
            <w:r>
              <w:t xml:space="preserve">s would be around $5.4 billion over the same period. </w:t>
            </w:r>
          </w:p>
        </w:tc>
      </w:tr>
      <w:tr w:rsidR="00B809D1" w14:paraId="0CEA1D36" w14:textId="77777777" w:rsidTr="00336F90">
        <w:tc>
          <w:tcPr>
            <w:tcW w:w="577" w:type="dxa"/>
            <w:shd w:val="clear" w:color="auto" w:fill="E7F6FD"/>
            <w:tcMar>
              <w:top w:w="0" w:type="dxa"/>
              <w:bottom w:w="113" w:type="dxa"/>
              <w:right w:w="113" w:type="dxa"/>
            </w:tcMar>
          </w:tcPr>
          <w:p w14:paraId="781BDA77" w14:textId="77777777" w:rsidR="00B809D1" w:rsidRPr="00A51374" w:rsidRDefault="00B809D1">
            <w:pPr>
              <w:pStyle w:val="KeyPointsicon"/>
            </w:pPr>
            <w:r w:rsidRPr="00F31E73">
              <w:rPr>
                <w:noProof/>
              </w:rPr>
              <w:drawing>
                <wp:inline distT="0" distB="0" distL="0" distR="0" wp14:anchorId="284D1EC2" wp14:editId="31A1B791">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bottom w:w="113" w:type="dxa"/>
            </w:tcMar>
          </w:tcPr>
          <w:p w14:paraId="5F99088E" w14:textId="010855E7" w:rsidR="00B809D1" w:rsidRPr="00610627" w:rsidRDefault="00B809D1">
            <w:pPr>
              <w:pStyle w:val="KeyPoints-Bold"/>
            </w:pPr>
            <w:r>
              <w:t xml:space="preserve">The PC recommends a </w:t>
            </w:r>
            <w:r w:rsidR="00F37DD8">
              <w:t>staged</w:t>
            </w:r>
            <w:r>
              <w:t xml:space="preserve"> implementation approach that would first build institutional capability for data, modelling and assessing interventions, set up a fund to support intergovernmental collaboration and </w:t>
            </w:r>
            <w:r w:rsidR="00F001C0">
              <w:t xml:space="preserve">then </w:t>
            </w:r>
            <w:r>
              <w:t xml:space="preserve">change funding arrangements to support sustained investment. </w:t>
            </w:r>
          </w:p>
        </w:tc>
      </w:tr>
    </w:tbl>
    <w:p w14:paraId="247B9F98" w14:textId="77777777" w:rsidR="00B809D1" w:rsidRDefault="00B809D1">
      <w:pPr>
        <w:pStyle w:val="Heading2-nonumber"/>
      </w:pPr>
      <w:bookmarkStart w:id="88" w:name="_Toc215671173"/>
      <w:bookmarkStart w:id="89" w:name="_Toc215838137"/>
      <w:r>
        <w:lastRenderedPageBreak/>
        <w:t>Investing in prevention and early intervention can improve outcomes and care sector efficiency</w:t>
      </w:r>
      <w:bookmarkEnd w:id="88"/>
      <w:bookmarkEnd w:id="89"/>
    </w:p>
    <w:p w14:paraId="35A64843" w14:textId="77777777" w:rsidR="00B809D1" w:rsidRDefault="00B809D1">
      <w:pPr>
        <w:pStyle w:val="Heading3-noTOC"/>
      </w:pPr>
      <w:r>
        <w:t xml:space="preserve">Future wellbeing and fiscal sustainability depend on today’s prevention and early intervention efforts </w:t>
      </w:r>
    </w:p>
    <w:p w14:paraId="472EF51A" w14:textId="178B6B91" w:rsidR="00B809D1" w:rsidRDefault="00B809D1">
      <w:pPr>
        <w:pStyle w:val="BodyText"/>
      </w:pPr>
      <w:r>
        <w:t>Over the past 25 years, real spending on care and care-related expenses has increased by about 1</w:t>
      </w:r>
      <w:r w:rsidR="00B729E6">
        <w:t>36</w:t>
      </w:r>
      <w:r>
        <w:t>% (figure 3.1), from $2</w:t>
      </w:r>
      <w:r w:rsidR="00B729E6">
        <w:t>01</w:t>
      </w:r>
      <w:r w:rsidR="009119FD">
        <w:t>.3</w:t>
      </w:r>
      <w:r>
        <w:t xml:space="preserve"> billion to $</w:t>
      </w:r>
      <w:r w:rsidR="009119FD">
        <w:t>475.</w:t>
      </w:r>
      <w:r>
        <w:t>5 billion (PC estimates based on ABS GFS 2023</w:t>
      </w:r>
      <w:r>
        <w:noBreakHyphen/>
        <w:t xml:space="preserve">24). The </w:t>
      </w:r>
      <w:r w:rsidRPr="2E877A09">
        <w:rPr>
          <w:i/>
          <w:iCs/>
        </w:rPr>
        <w:t xml:space="preserve">Intergenerational </w:t>
      </w:r>
      <w:r w:rsidRPr="00FC6ABF">
        <w:rPr>
          <w:i/>
          <w:iCs/>
        </w:rPr>
        <w:t>Report</w:t>
      </w:r>
      <w:r w:rsidRPr="00BB1D43">
        <w:rPr>
          <w:i/>
          <w:iCs/>
        </w:rPr>
        <w:t xml:space="preserve"> 2023</w:t>
      </w:r>
      <w:r>
        <w:t xml:space="preserve"> anticipates this trend will continue, with Australian Government spending on key areas of the care sector – health care, the National Disability Insurance Scheme, and aged care –</w:t>
      </w:r>
      <w:r w:rsidR="009707F3">
        <w:t xml:space="preserve">projected </w:t>
      </w:r>
      <w:r>
        <w:t>to rise from 6.2% of GDP in 2022</w:t>
      </w:r>
      <w:r>
        <w:noBreakHyphen/>
        <w:t>23 to around 10.8% in 2062</w:t>
      </w:r>
      <w:r>
        <w:noBreakHyphen/>
        <w:t xml:space="preserve">63 </w:t>
      </w:r>
      <w:r w:rsidRPr="000F0271">
        <w:rPr>
          <w:rFonts w:ascii="Arial" w:hAnsi="Arial" w:cs="Arial"/>
        </w:rPr>
        <w:t>(Commonwealth of Australia 2023, pp. 150–160)</w:t>
      </w:r>
      <w:r>
        <w:t>.</w:t>
      </w:r>
    </w:p>
    <w:p w14:paraId="6F7DBA36" w14:textId="51A34FEA" w:rsidR="00B809D1" w:rsidRDefault="00B809D1">
      <w:pPr>
        <w:pStyle w:val="FigureTableHeading"/>
      </w:pPr>
      <w:r>
        <w:t>Figure 3.1 – The upward trend of care and care</w:t>
      </w:r>
      <w:r>
        <w:noBreakHyphen/>
        <w:t xml:space="preserve">related expenses continues </w:t>
      </w:r>
    </w:p>
    <w:p w14:paraId="548C1BF1" w14:textId="2A99354F" w:rsidR="00977B0A" w:rsidRDefault="00B809D1">
      <w:pPr>
        <w:pStyle w:val="FigureTableSubheading"/>
      </w:pPr>
      <w:r>
        <w:t>Real care and care</w:t>
      </w:r>
      <w:r>
        <w:noBreakHyphen/>
        <w:t>related expenses for all levels of government from 1998</w:t>
      </w:r>
      <w:r w:rsidR="00435548">
        <w:t xml:space="preserve"> to </w:t>
      </w:r>
      <w:r>
        <w:t>2024</w:t>
      </w:r>
    </w:p>
    <w:p w14:paraId="6A2C82AC" w14:textId="27AF5782" w:rsidR="00F06289" w:rsidRPr="004A2A84" w:rsidRDefault="00C90DA7" w:rsidP="004A2A84">
      <w:pPr>
        <w:pStyle w:val="BodyText"/>
      </w:pPr>
      <w:r w:rsidRPr="00C90DA7">
        <w:rPr>
          <w:noProof/>
        </w:rPr>
        <w:drawing>
          <wp:inline distT="0" distB="0" distL="0" distR="0" wp14:anchorId="19CC477F" wp14:editId="02E112A9">
            <wp:extent cx="6120130" cy="2879725"/>
            <wp:effectExtent l="0" t="0" r="0" b="0"/>
            <wp:docPr id="1794884217" name="Picture 2" descr="This figure shows a line chart of care and care-related expenses between 1998–99 and 2023–24. Over the period, real spending on care and care related expenses rose from $201.3 billion to $475.5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84217" name="Picture 2" descr="This figure shows a line chart of care and care-related expenses between 1998–99 and 2023–24. Over the period, real spending on care and care related expenses rose from $201.3 billion to $475.5 billion.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2879725"/>
                    </a:xfrm>
                    <a:prstGeom prst="rect">
                      <a:avLst/>
                    </a:prstGeom>
                    <a:noFill/>
                    <a:ln>
                      <a:noFill/>
                    </a:ln>
                  </pic:spPr>
                </pic:pic>
              </a:graphicData>
            </a:graphic>
          </wp:inline>
        </w:drawing>
      </w:r>
    </w:p>
    <w:p w14:paraId="195DEE4D" w14:textId="1F92F8B3" w:rsidR="00B809D1" w:rsidRDefault="00B809D1" w:rsidP="004A2A84">
      <w:pPr>
        <w:pStyle w:val="Note"/>
        <w:rPr>
          <w:rFonts w:ascii="Arial" w:eastAsia="Arial" w:hAnsi="Arial" w:cs="Times New Roman"/>
        </w:rPr>
      </w:pPr>
      <w:r w:rsidRPr="00BB3FA4">
        <w:rPr>
          <w:rFonts w:ascii="Arial" w:eastAsia="Arial" w:hAnsi="Arial" w:cs="Times New Roman"/>
        </w:rPr>
        <w:t>Care and care</w:t>
      </w:r>
      <w:r w:rsidRPr="00BB3FA4">
        <w:rPr>
          <w:rFonts w:ascii="Arial" w:eastAsia="Arial" w:hAnsi="Arial" w:cs="Times New Roman"/>
        </w:rPr>
        <w:noBreakHyphen/>
        <w:t>related expenses include</w:t>
      </w:r>
      <w:r w:rsidRPr="00BB3FA4">
        <w:t xml:space="preserve"> social protection</w:t>
      </w:r>
      <w:r w:rsidR="00977B0A" w:rsidRPr="00BB3FA4">
        <w:t xml:space="preserve"> and </w:t>
      </w:r>
      <w:r w:rsidRPr="00BB3FA4">
        <w:t>total health expenses.</w:t>
      </w:r>
      <w:r w:rsidR="004A2A84">
        <w:t xml:space="preserve"> </w:t>
      </w:r>
      <w:r>
        <w:rPr>
          <w:rFonts w:ascii="Arial" w:eastAsia="Arial" w:hAnsi="Arial" w:cs="Times New Roman"/>
        </w:rPr>
        <w:t xml:space="preserve">All levels of government is an ABS classification which includes expenses of Australian, state and territory, and local governments. </w:t>
      </w:r>
    </w:p>
    <w:p w14:paraId="438BB95E" w14:textId="6CEC6528" w:rsidR="00B809D1" w:rsidRDefault="00B809D1">
      <w:pPr>
        <w:pStyle w:val="Source"/>
      </w:pPr>
      <w:r>
        <w:t xml:space="preserve">Source: PC estimates using ABS </w:t>
      </w:r>
      <w:r w:rsidRPr="00193A8D">
        <w:rPr>
          <w:rFonts w:ascii="Arial" w:hAnsi="Arial" w:cs="Arial"/>
        </w:rPr>
        <w:t>(2025b, 2025a)</w:t>
      </w:r>
      <w:r>
        <w:t>.</w:t>
      </w:r>
    </w:p>
    <w:p w14:paraId="62532A3B" w14:textId="48EE3A4C" w:rsidR="00B809D1" w:rsidRPr="00267D02" w:rsidRDefault="00B809D1">
      <w:pPr>
        <w:pStyle w:val="BodyText"/>
      </w:pPr>
      <w:r>
        <w:t xml:space="preserve">Government spending – driven largely by </w:t>
      </w:r>
      <w:r w:rsidRPr="00267D02">
        <w:t>care</w:t>
      </w:r>
      <w:r>
        <w:noBreakHyphen/>
      </w:r>
      <w:r w:rsidRPr="00267D02">
        <w:t xml:space="preserve">related </w:t>
      </w:r>
      <w:r>
        <w:t>expenditures –</w:t>
      </w:r>
      <w:r w:rsidRPr="00267D02">
        <w:t xml:space="preserve"> is expected to outpace government revenue, posing a major fiscal challenge</w:t>
      </w:r>
      <w:r>
        <w:t xml:space="preserve"> </w:t>
      </w:r>
      <w:r w:rsidRPr="00983B1F">
        <w:rPr>
          <w:rFonts w:ascii="Arial" w:hAnsi="Arial" w:cs="Arial"/>
        </w:rPr>
        <w:t>(Commonwealth of Australia 2023)</w:t>
      </w:r>
      <w:r w:rsidRPr="00267D02">
        <w:t xml:space="preserve">. </w:t>
      </w:r>
      <w:r>
        <w:t>Without decisive action, future generations will face deeper health inequities and a care system increasingly unable to meet their needs</w:t>
      </w:r>
      <w:r w:rsidRPr="00CB00CA">
        <w:t>.</w:t>
      </w:r>
      <w:r>
        <w:t xml:space="preserve"> </w:t>
      </w:r>
      <w:r w:rsidRPr="00267D02">
        <w:t xml:space="preserve">Governments face choices: </w:t>
      </w:r>
      <w:r>
        <w:t>they can pay for the additional costs by</w:t>
      </w:r>
      <w:r w:rsidRPr="00267D02">
        <w:t xml:space="preserve"> increasing taxes</w:t>
      </w:r>
      <w:r>
        <w:t xml:space="preserve"> or </w:t>
      </w:r>
      <w:proofErr w:type="gramStart"/>
      <w:r>
        <w:t>copayments</w:t>
      </w:r>
      <w:r w:rsidR="00887911">
        <w:t>,</w:t>
      </w:r>
      <w:r>
        <w:t xml:space="preserve"> or</w:t>
      </w:r>
      <w:proofErr w:type="gramEnd"/>
      <w:r>
        <w:t xml:space="preserve"> </w:t>
      </w:r>
      <w:r w:rsidRPr="00267D02">
        <w:t>reduc</w:t>
      </w:r>
      <w:r>
        <w:t>e</w:t>
      </w:r>
      <w:r w:rsidRPr="00267D02">
        <w:t xml:space="preserve"> </w:t>
      </w:r>
      <w:r>
        <w:t>costs by</w:t>
      </w:r>
      <w:r w:rsidDel="009707F3">
        <w:t xml:space="preserve"> </w:t>
      </w:r>
      <w:r>
        <w:t>limit</w:t>
      </w:r>
      <w:r w:rsidDel="00FE4A01">
        <w:t>ing</w:t>
      </w:r>
      <w:r>
        <w:t xml:space="preserve"> access to </w:t>
      </w:r>
      <w:r w:rsidRPr="00267D02">
        <w:t>care service</w:t>
      </w:r>
      <w:r>
        <w:t xml:space="preserve">s. An alternative to these is to reduce future demand for services by investing today in </w:t>
      </w:r>
      <w:r w:rsidR="00D50C87">
        <w:t xml:space="preserve">evidence-based </w:t>
      </w:r>
      <w:r w:rsidRPr="00267D02">
        <w:t>prevention and early intervention.</w:t>
      </w:r>
      <w:r>
        <w:t xml:space="preserve"> Greater investment in prevention and early intervention can simultaneously improve outcomes and reduce </w:t>
      </w:r>
      <w:proofErr w:type="gramStart"/>
      <w:r>
        <w:t>costs, and</w:t>
      </w:r>
      <w:proofErr w:type="gramEnd"/>
      <w:r>
        <w:t xml:space="preserve"> represents an effective path for increasing productivity in the care sector.</w:t>
      </w:r>
    </w:p>
    <w:p w14:paraId="2B880688" w14:textId="77777777" w:rsidR="00B809D1" w:rsidRDefault="00B809D1">
      <w:pPr>
        <w:pStyle w:val="BodyText"/>
      </w:pPr>
      <w:r>
        <w:t>Supporting such investment</w:t>
      </w:r>
      <w:r w:rsidRPr="00394423">
        <w:t xml:space="preserve"> </w:t>
      </w:r>
      <w:r>
        <w:t>at adequate levels</w:t>
      </w:r>
      <w:r w:rsidRPr="00394423">
        <w:t xml:space="preserve"> will involve significant change in how governments </w:t>
      </w:r>
      <w:r>
        <w:t>plan and allocate spending</w:t>
      </w:r>
      <w:r w:rsidRPr="00394423">
        <w:t xml:space="preserve">. </w:t>
      </w:r>
      <w:r>
        <w:t>But i</w:t>
      </w:r>
      <w:r w:rsidRPr="00E07631">
        <w:t>nternational and domestic examples indicate that a well</w:t>
      </w:r>
      <w:r>
        <w:noBreakHyphen/>
      </w:r>
      <w:r w:rsidRPr="00E07631">
        <w:t xml:space="preserve">planned, incremental </w:t>
      </w:r>
      <w:r w:rsidRPr="00E07631">
        <w:lastRenderedPageBreak/>
        <w:t>approach</w:t>
      </w:r>
      <w:r w:rsidRPr="0035175A">
        <w:t xml:space="preserve"> </w:t>
      </w:r>
      <w:r>
        <w:t xml:space="preserve">can achieve </w:t>
      </w:r>
      <w:r w:rsidRPr="00E07631">
        <w:t>the</w:t>
      </w:r>
      <w:r>
        <w:t xml:space="preserve">se </w:t>
      </w:r>
      <w:r w:rsidRPr="00E07631">
        <w:t>aims.</w:t>
      </w:r>
      <w:r w:rsidRPr="00394423">
        <w:t xml:space="preserve"> </w:t>
      </w:r>
      <w:r w:rsidRPr="00E07631">
        <w:t xml:space="preserve">There is strong </w:t>
      </w:r>
      <w:r>
        <w:t>cross</w:t>
      </w:r>
      <w:r>
        <w:noBreakHyphen/>
        <w:t xml:space="preserve">sector </w:t>
      </w:r>
      <w:r w:rsidRPr="00E07631">
        <w:t>support</w:t>
      </w:r>
      <w:r>
        <w:t xml:space="preserve"> </w:t>
      </w:r>
      <w:r w:rsidRPr="00E07631">
        <w:t xml:space="preserve">– </w:t>
      </w:r>
      <w:r>
        <w:t>from</w:t>
      </w:r>
      <w:r w:rsidRPr="00E07631">
        <w:t xml:space="preserve"> health, social services, and economic policy – for embedding </w:t>
      </w:r>
      <w:r>
        <w:t xml:space="preserve">a more systematic approach to </w:t>
      </w:r>
      <w:r w:rsidRPr="00E07631">
        <w:t>prevention</w:t>
      </w:r>
      <w:r>
        <w:t xml:space="preserve"> and early intervention</w:t>
      </w:r>
      <w:r w:rsidRPr="00E07631">
        <w:t xml:space="preserve"> into government decision</w:t>
      </w:r>
      <w:r>
        <w:noBreakHyphen/>
      </w:r>
      <w:r w:rsidRPr="00E07631">
        <w:t xml:space="preserve">making. </w:t>
      </w:r>
      <w:r w:rsidRPr="00830085">
        <w:t xml:space="preserve">And </w:t>
      </w:r>
      <w:r w:rsidRPr="00267D02">
        <w:t xml:space="preserve">the costs of </w:t>
      </w:r>
      <w:r>
        <w:t>inaction</w:t>
      </w:r>
      <w:r w:rsidRPr="00267D02">
        <w:t xml:space="preserve"> are high – poorer outcomes, greater pressures on the care system and rapidly rising care</w:t>
      </w:r>
      <w:r>
        <w:noBreakHyphen/>
        <w:t>related</w:t>
      </w:r>
      <w:r w:rsidRPr="00267D02">
        <w:t xml:space="preserve"> expenditure over the next few decades.</w:t>
      </w:r>
    </w:p>
    <w:p w14:paraId="1C6F54DE" w14:textId="77777777" w:rsidR="00B809D1" w:rsidRDefault="00B809D1">
      <w:pPr>
        <w:pStyle w:val="Heading3"/>
      </w:pPr>
      <w:r>
        <w:t>Prevention</w:t>
      </w:r>
      <w:r w:rsidDel="0040436E">
        <w:t xml:space="preserve"> and </w:t>
      </w:r>
      <w:r>
        <w:t>early intervention reduce the risk of future problems or slow their development</w:t>
      </w:r>
    </w:p>
    <w:p w14:paraId="76178ABB" w14:textId="77777777" w:rsidR="00B809D1" w:rsidRDefault="00B809D1">
      <w:pPr>
        <w:pStyle w:val="BodyText"/>
      </w:pPr>
      <w:r>
        <w:t>Prevention and early intervention involve acting early to stop problems from starting or getting worse. Examples</w:t>
      </w:r>
      <w:r w:rsidRPr="00FC0431">
        <w:t xml:space="preserve"> include promoting healthy lifestyles to prevent illness, supporting young people to stay out of the criminal justice system </w:t>
      </w:r>
      <w:r>
        <w:t>and</w:t>
      </w:r>
      <w:r w:rsidRPr="00FC0431">
        <w:t xml:space="preserve"> helping people to avoid substance abuse. </w:t>
      </w:r>
      <w:r>
        <w:t>P</w:t>
      </w:r>
      <w:r w:rsidRPr="00FC0431">
        <w:t xml:space="preserve">revention </w:t>
      </w:r>
      <w:r>
        <w:t>and early intervention</w:t>
      </w:r>
      <w:r w:rsidRPr="00FC0431">
        <w:t xml:space="preserve"> </w:t>
      </w:r>
      <w:r>
        <w:t xml:space="preserve">are </w:t>
      </w:r>
      <w:r w:rsidRPr="00FC0431">
        <w:t xml:space="preserve">broader </w:t>
      </w:r>
      <w:r>
        <w:t>than population health</w:t>
      </w:r>
      <w:r w:rsidRPr="00FC0431">
        <w:t>, and</w:t>
      </w:r>
      <w:r w:rsidRPr="00FC0431" w:rsidDel="004C25A0">
        <w:t xml:space="preserve"> </w:t>
      </w:r>
      <w:r w:rsidRPr="00FC0431">
        <w:t xml:space="preserve">include interventions in areas </w:t>
      </w:r>
      <w:r>
        <w:t>such as</w:t>
      </w:r>
      <w:r w:rsidRPr="00FC0431">
        <w:t xml:space="preserve"> housing, education, </w:t>
      </w:r>
      <w:r>
        <w:t xml:space="preserve">justice </w:t>
      </w:r>
      <w:r w:rsidRPr="00FC0431">
        <w:t>and family support services, recognising that actions in one policy area may have benefits in others.</w:t>
      </w:r>
      <w:r>
        <w:t xml:space="preserve"> </w:t>
      </w:r>
    </w:p>
    <w:p w14:paraId="00323015" w14:textId="1964FBB0" w:rsidR="00B809D1" w:rsidRPr="00FC0431" w:rsidRDefault="00B809D1">
      <w:pPr>
        <w:pStyle w:val="BodyText"/>
      </w:pPr>
      <w:r>
        <w:t>Prevention</w:t>
      </w:r>
      <w:r w:rsidRPr="00FC0431">
        <w:t xml:space="preserve"> activities </w:t>
      </w:r>
      <w:r w:rsidR="00022F3D">
        <w:t>can</w:t>
      </w:r>
      <w:r w:rsidRPr="00FC0431">
        <w:t xml:space="preserve"> </w:t>
      </w:r>
      <w:r>
        <w:t xml:space="preserve">address wider determinants of health and wellbeing including environmental, social and economic factors (primordial prevention). They can also </w:t>
      </w:r>
      <w:r w:rsidRPr="00FC0431">
        <w:t>reduce risk factors before problems arise (primary prevention)</w:t>
      </w:r>
      <w:r>
        <w:t xml:space="preserve">. Early interventions </w:t>
      </w:r>
      <w:r w:rsidR="00546278">
        <w:t>can</w:t>
      </w:r>
      <w:r>
        <w:t xml:space="preserve"> </w:t>
      </w:r>
      <w:r w:rsidRPr="00FC0431">
        <w:t>help detect issues early</w:t>
      </w:r>
      <w:r w:rsidRPr="00FC0431" w:rsidDel="004D3E95">
        <w:t xml:space="preserve"> </w:t>
      </w:r>
      <w:r>
        <w:t xml:space="preserve">or </w:t>
      </w:r>
      <w:r w:rsidRPr="00FC0431">
        <w:t>slow the progression</w:t>
      </w:r>
      <w:r>
        <w:t xml:space="preserve"> of a problem</w:t>
      </w:r>
      <w:r w:rsidRPr="00FC0431">
        <w:t xml:space="preserve"> during initial stages</w:t>
      </w:r>
      <w:r w:rsidRPr="002B0A03">
        <w:rPr>
          <w:rStyle w:val="FootnoteReference"/>
        </w:rPr>
        <w:footnoteReference w:id="22"/>
      </w:r>
      <w:r w:rsidRPr="00FC0431">
        <w:t xml:space="preserve"> </w:t>
      </w:r>
      <w:r w:rsidRPr="00FC0431" w:rsidDel="004D3E95">
        <w:t>(</w:t>
      </w:r>
      <w:r w:rsidRPr="00FC0431">
        <w:t>figure</w:t>
      </w:r>
      <w:r>
        <w:t> 3.2</w:t>
      </w:r>
      <w:r w:rsidRPr="00FC0431">
        <w:t>).</w:t>
      </w:r>
      <w:r>
        <w:t xml:space="preserve"> Acute or crisis services, on the other hand, respond to problems after they have intensified and require urgent actions that are often costly and can be associated with worse outcomes, such as treating people at emergency departments or</w:t>
      </w:r>
      <w:r w:rsidDel="00911ED0">
        <w:t xml:space="preserve"> </w:t>
      </w:r>
      <w:r>
        <w:t xml:space="preserve">detaining them in prisons. </w:t>
      </w:r>
    </w:p>
    <w:p w14:paraId="206B4AC1" w14:textId="4F7BBB0D" w:rsidR="00B809D1" w:rsidRPr="00507AF4" w:rsidRDefault="00B809D1">
      <w:pPr>
        <w:keepNext/>
        <w:spacing w:before="240" w:after="40"/>
        <w:rPr>
          <w:rFonts w:ascii="Arial Black" w:eastAsia="Arial" w:hAnsi="Arial Black" w:cs="Times New Roman"/>
          <w:color w:val="000000" w:themeColor="text1"/>
        </w:rPr>
      </w:pPr>
      <w:r w:rsidRPr="7E024DA6">
        <w:rPr>
          <w:rFonts w:ascii="Arial Black" w:eastAsia="Arial" w:hAnsi="Arial Black" w:cs="Times New Roman"/>
          <w:color w:val="000000" w:themeColor="text1"/>
        </w:rPr>
        <w:t>Figure </w:t>
      </w:r>
      <w:bookmarkStart w:id="90" w:name="OLE_LINK1"/>
      <w:r w:rsidRPr="7E024DA6">
        <w:rPr>
          <w:rFonts w:ascii="Arial Black" w:eastAsia="Arial" w:hAnsi="Arial Black" w:cs="Times New Roman"/>
          <w:color w:val="000000" w:themeColor="text1"/>
        </w:rPr>
        <w:t>3</w:t>
      </w:r>
      <w:bookmarkEnd w:id="90"/>
      <w:r w:rsidRPr="7E024DA6">
        <w:rPr>
          <w:rFonts w:ascii="Arial Black" w:eastAsia="Arial" w:hAnsi="Arial Black" w:cs="Times New Roman"/>
          <w:color w:val="000000" w:themeColor="text1"/>
        </w:rPr>
        <w:t>.2</w:t>
      </w:r>
      <w:r w:rsidRPr="7E024DA6">
        <w:rPr>
          <w:rFonts w:ascii="Arial Black" w:eastAsia="Arial" w:hAnsi="Arial Black" w:cs="Times New Roman"/>
          <w:noProof/>
          <w:color w:val="000000" w:themeColor="text1"/>
        </w:rPr>
        <w:t xml:space="preserve"> </w:t>
      </w:r>
      <w:r w:rsidRPr="7E024DA6">
        <w:rPr>
          <w:rFonts w:ascii="Arial Black" w:eastAsia="Arial" w:hAnsi="Arial Black" w:cs="Times New Roman"/>
          <w:color w:val="000000" w:themeColor="text1"/>
        </w:rPr>
        <w:t>– Prevention, early intervention and acute care lie on a spectrum</w:t>
      </w:r>
    </w:p>
    <w:p w14:paraId="0B3C0A0F" w14:textId="7A8F3270" w:rsidR="00B809D1" w:rsidRPr="00507AF4" w:rsidRDefault="00B809D1" w:rsidP="009F0380">
      <w:pPr>
        <w:pStyle w:val="BodyText"/>
        <w:rPr>
          <w:rFonts w:ascii="Arial" w:eastAsia="Arial" w:hAnsi="Arial" w:cs="Times New Roman"/>
          <w:sz w:val="18"/>
        </w:rPr>
      </w:pPr>
      <w:r w:rsidRPr="00CB05E5">
        <w:rPr>
          <w:noProof/>
        </w:rPr>
        <w:drawing>
          <wp:inline distT="0" distB="0" distL="0" distR="0" wp14:anchorId="45FCC6CB" wp14:editId="0D63432C">
            <wp:extent cx="6120130" cy="2900045"/>
            <wp:effectExtent l="0" t="0" r="0" b="0"/>
            <wp:docPr id="776947745" name="Picture 2" descr="This figure shows the spectrum of different types of prevention policy interventions. There are four prevention categories identified: primordial prevention, primary prevention, early intervention and acute care. Primordial prevention addresses the wider determinants of wellbeing (for example, urban planning). Primary prevention reduces risk factors before the problem arises (for example, parenting education for high-risk families). Early intervention refers to early detection of a problem (for example, training staff to identify child maltreatment) and reducing the progression of a problem (for example, intensive family preservation services). Acute action refers to critical, interventionist and urgent care (for example, crisis accommodation or emergency hospit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47745" name="Picture 2" descr="This figure shows the spectrum of different types of prevention policy interventions. There are four prevention categories identified: primordial prevention, primary prevention, early intervention and acute care. Primordial prevention addresses the wider determinants of wellbeing (for example, urban planning). Primary prevention reduces risk factors before the problem arises (for example, parenting education for high-risk families). Early intervention refers to early detection of a problem (for example, training staff to identify child maltreatment) and reducing the progression of a problem (for example, intensive family preservation services). Acute action refers to critical, interventionist and urgent care (for example, crisis accommodation or emergency hospitalisati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2900045"/>
                    </a:xfrm>
                    <a:prstGeom prst="rect">
                      <a:avLst/>
                    </a:prstGeom>
                    <a:noFill/>
                    <a:ln>
                      <a:noFill/>
                    </a:ln>
                  </pic:spPr>
                </pic:pic>
              </a:graphicData>
            </a:graphic>
          </wp:inline>
        </w:drawing>
      </w:r>
    </w:p>
    <w:p w14:paraId="195A8CC3" w14:textId="1C3FA216" w:rsidR="00B809D1" w:rsidRDefault="009F0380" w:rsidP="001505EE">
      <w:pPr>
        <w:pStyle w:val="Note"/>
      </w:pPr>
      <w:r w:rsidRPr="009F0380">
        <w:t>S</w:t>
      </w:r>
      <w:r w:rsidR="00B809D1" w:rsidRPr="7E024DA6">
        <w:t xml:space="preserve">ome publications use the phrase ‘early interventions’ to refer to interventions targeted towards children and/or adolescents specifically. We take a broader definition and include interventions that are targeted towards adults, early in the stage of a problem’s development. </w:t>
      </w:r>
    </w:p>
    <w:p w14:paraId="41D6C7DE" w14:textId="77777777" w:rsidR="00B809D1" w:rsidRPr="00507AF4" w:rsidRDefault="00B809D1">
      <w:pPr>
        <w:pStyle w:val="Heading3-noTOC"/>
      </w:pPr>
      <w:r>
        <w:lastRenderedPageBreak/>
        <w:t xml:space="preserve">Prevention and early intervention improve quality of care and lead to better outcomes </w:t>
      </w:r>
    </w:p>
    <w:p w14:paraId="67BE5DDF" w14:textId="77777777" w:rsidR="00B809D1" w:rsidRDefault="00B809D1">
      <w:pPr>
        <w:pStyle w:val="BodyText"/>
        <w:rPr>
          <w:lang w:val="en-US"/>
        </w:rPr>
      </w:pPr>
      <w:r>
        <w:t>Prevention</w:t>
      </w:r>
      <w:r w:rsidRPr="492D049A">
        <w:t xml:space="preserve"> </w:t>
      </w:r>
      <w:r>
        <w:t xml:space="preserve">and early intervention </w:t>
      </w:r>
      <w:r w:rsidRPr="492D049A">
        <w:t xml:space="preserve">can improve wellbeing and support healthier and more </w:t>
      </w:r>
      <w:r>
        <w:t>productive</w:t>
      </w:r>
      <w:r w:rsidRPr="492D049A">
        <w:t xml:space="preserve"> lives. </w:t>
      </w:r>
      <w:r w:rsidRPr="492D049A" w:rsidDel="008062AF">
        <w:t>Depending on the intervention, b</w:t>
      </w:r>
      <w:r w:rsidRPr="492D049A" w:rsidDel="00671A84">
        <w:t xml:space="preserve">enefits </w:t>
      </w:r>
      <w:r>
        <w:rPr>
          <w:lang w:val="en-US"/>
        </w:rPr>
        <w:t>can</w:t>
      </w:r>
      <w:r w:rsidDel="00671A84">
        <w:rPr>
          <w:lang w:val="en-US"/>
        </w:rPr>
        <w:t xml:space="preserve"> </w:t>
      </w:r>
      <w:r w:rsidRPr="492D049A" w:rsidDel="00671A84">
        <w:rPr>
          <w:lang w:val="en-US"/>
        </w:rPr>
        <w:t xml:space="preserve">include better </w:t>
      </w:r>
      <w:r>
        <w:rPr>
          <w:lang w:val="en-US"/>
        </w:rPr>
        <w:t xml:space="preserve">overall </w:t>
      </w:r>
      <w:r w:rsidRPr="492D049A" w:rsidDel="00671A84">
        <w:rPr>
          <w:lang w:val="en-US"/>
        </w:rPr>
        <w:t>health (longer life expectancy and reduced incidence and severity of disease), improved mental health, better educational outcomes, improved employment prospects, higher income and greater quality of life.</w:t>
      </w:r>
      <w:r w:rsidRPr="492D049A">
        <w:rPr>
          <w:lang w:val="en-US"/>
        </w:rPr>
        <w:t xml:space="preserve"> </w:t>
      </w:r>
    </w:p>
    <w:p w14:paraId="0D242622" w14:textId="63A16DD9" w:rsidR="00B809D1" w:rsidRPr="00425A7D" w:rsidRDefault="00B809D1">
      <w:pPr>
        <w:pStyle w:val="BodyText"/>
        <w:rPr>
          <w:spacing w:val="-4"/>
        </w:rPr>
      </w:pPr>
      <w:r w:rsidRPr="00425A7D">
        <w:rPr>
          <w:spacing w:val="-4"/>
          <w:lang w:val="en-US"/>
        </w:rPr>
        <w:t>Programs in Australia and overseas have demonstrated that investment in</w:t>
      </w:r>
      <w:r w:rsidRPr="00425A7D" w:rsidDel="000E7A54">
        <w:rPr>
          <w:spacing w:val="-4"/>
          <w:lang w:val="en-US"/>
        </w:rPr>
        <w:t xml:space="preserve"> </w:t>
      </w:r>
      <w:r w:rsidRPr="00425A7D">
        <w:rPr>
          <w:spacing w:val="-4"/>
          <w:lang w:val="en-US"/>
        </w:rPr>
        <w:t xml:space="preserve">prevention and early intervention has improved a range of individual outcomes. </w:t>
      </w:r>
      <w:r w:rsidR="008468BE" w:rsidRPr="00425A7D">
        <w:rPr>
          <w:spacing w:val="-4"/>
          <w:lang w:val="en-US"/>
        </w:rPr>
        <w:t>For example, programs</w:t>
      </w:r>
      <w:r w:rsidR="00923589" w:rsidRPr="00425A7D">
        <w:rPr>
          <w:spacing w:val="-4"/>
          <w:lang w:val="en-US"/>
        </w:rPr>
        <w:t xml:space="preserve"> have</w:t>
      </w:r>
      <w:r w:rsidRPr="00425A7D">
        <w:rPr>
          <w:spacing w:val="-4"/>
          <w:lang w:val="en-US"/>
        </w:rPr>
        <w:t xml:space="preserve"> helped people at risk of homelessness </w:t>
      </w:r>
      <w:r w:rsidRPr="00425A7D">
        <w:rPr>
          <w:spacing w:val="-6"/>
          <w:lang w:val="en-US"/>
        </w:rPr>
        <w:t xml:space="preserve">achieve greater stability </w:t>
      </w:r>
      <w:r w:rsidRPr="00425A7D">
        <w:rPr>
          <w:rFonts w:cs="Arial"/>
          <w:spacing w:val="-6"/>
        </w:rPr>
        <w:t>(Roggenbuck 2022, p. 1)</w:t>
      </w:r>
      <w:r w:rsidRPr="00425A7D">
        <w:rPr>
          <w:spacing w:val="-6"/>
          <w:lang w:val="en-US"/>
        </w:rPr>
        <w:t>, reduced cancer rates and cancer</w:t>
      </w:r>
      <w:r w:rsidRPr="00425A7D">
        <w:rPr>
          <w:spacing w:val="-6"/>
          <w:lang w:val="en-US"/>
        </w:rPr>
        <w:noBreakHyphen/>
        <w:t xml:space="preserve">related deaths </w:t>
      </w:r>
      <w:r w:rsidRPr="00425A7D">
        <w:rPr>
          <w:rFonts w:cs="Arial"/>
          <w:spacing w:val="-6"/>
        </w:rPr>
        <w:t>(Luo et al. 2019</w:t>
      </w:r>
      <w:r w:rsidRPr="00425A7D">
        <w:rPr>
          <w:rFonts w:cs="Arial"/>
          <w:spacing w:val="-4"/>
        </w:rPr>
        <w:t>; Shih et al. 2017)</w:t>
      </w:r>
      <w:r w:rsidRPr="00425A7D">
        <w:rPr>
          <w:spacing w:val="-4"/>
          <w:lang w:val="en-US"/>
        </w:rPr>
        <w:t xml:space="preserve">, reduced child maltreatment </w:t>
      </w:r>
      <w:r w:rsidR="0097599A" w:rsidRPr="00425A7D">
        <w:rPr>
          <w:rFonts w:cs="Arial"/>
          <w:spacing w:val="-4"/>
        </w:rPr>
        <w:t>(Dalziel and Segal 2012; Quinlivan et al. 2003; Stout et al. 2022; WSIPP 2024a)</w:t>
      </w:r>
      <w:r w:rsidRPr="00425A7D">
        <w:rPr>
          <w:spacing w:val="-4"/>
        </w:rPr>
        <w:t xml:space="preserve"> </w:t>
      </w:r>
      <w:r w:rsidRPr="00425A7D">
        <w:rPr>
          <w:spacing w:val="-4"/>
          <w:lang w:val="en-US"/>
        </w:rPr>
        <w:t xml:space="preserve">and reduced risk factors for childhood obesity </w:t>
      </w:r>
      <w:r w:rsidRPr="00425A7D">
        <w:rPr>
          <w:rFonts w:cs="Arial"/>
          <w:spacing w:val="-4"/>
        </w:rPr>
        <w:t>(</w:t>
      </w:r>
      <w:proofErr w:type="spellStart"/>
      <w:r w:rsidRPr="00425A7D">
        <w:rPr>
          <w:rFonts w:cs="Arial"/>
          <w:spacing w:val="-4"/>
        </w:rPr>
        <w:t>Ananthapavan</w:t>
      </w:r>
      <w:proofErr w:type="spellEnd"/>
      <w:r w:rsidRPr="00425A7D">
        <w:rPr>
          <w:rFonts w:cs="Arial"/>
          <w:spacing w:val="-4"/>
        </w:rPr>
        <w:t xml:space="preserve"> et al. 2020; Salmon et al. 2023)</w:t>
      </w:r>
      <w:r w:rsidRPr="00425A7D">
        <w:rPr>
          <w:spacing w:val="-4"/>
          <w:lang w:val="en-US"/>
        </w:rPr>
        <w:t xml:space="preserve">. </w:t>
      </w:r>
    </w:p>
    <w:p w14:paraId="3ED78BF7" w14:textId="26048688" w:rsidR="00B809D1" w:rsidRPr="00DB3CBE" w:rsidRDefault="00B809D1">
      <w:pPr>
        <w:pStyle w:val="BodyText"/>
        <w:rPr>
          <w:spacing w:val="-2"/>
        </w:rPr>
      </w:pPr>
      <w:r w:rsidRPr="00DB3CBE">
        <w:rPr>
          <w:spacing w:val="-2"/>
        </w:rPr>
        <w:t>Prevention and early intervention often produce benefits that spill over to</w:t>
      </w:r>
      <w:r w:rsidRPr="00DB3CBE" w:rsidDel="0073350D">
        <w:rPr>
          <w:spacing w:val="-2"/>
        </w:rPr>
        <w:t xml:space="preserve"> </w:t>
      </w:r>
      <w:r w:rsidRPr="00DB3CBE">
        <w:rPr>
          <w:spacing w:val="-2"/>
        </w:rPr>
        <w:t>the wider community through reduced future service and support needs, reduced crime, improved labour productivity, higher employment, and greater social cohesion. They can also address systemic inequities in care access and quality, as targeted programs can provide greater benefits to priority populations such as Aboriginal and Torres Strait Islander people (box 3.1), women or people of low socioeconomic status. For example, the Early Years Education Program</w:t>
      </w:r>
      <w:r w:rsidRPr="00DB3CBE" w:rsidDel="00FE6E84">
        <w:rPr>
          <w:spacing w:val="-2"/>
        </w:rPr>
        <w:t xml:space="preserve"> </w:t>
      </w:r>
      <w:r w:rsidRPr="00DB3CBE">
        <w:rPr>
          <w:spacing w:val="-2"/>
        </w:rPr>
        <w:t xml:space="preserve">led to improved IQ and language development among socially disadvantaged Australian children, with participants reaching developmental parity with peers within three years </w:t>
      </w:r>
      <w:r w:rsidRPr="00DB3CBE">
        <w:rPr>
          <w:rFonts w:cs="Arial"/>
          <w:spacing w:val="-2"/>
        </w:rPr>
        <w:t>(Tseng et al. 2022, p. 5)</w:t>
      </w:r>
      <w:r w:rsidRPr="00DB3CBE">
        <w:rPr>
          <w:spacing w:val="-2"/>
        </w:rPr>
        <w:t>.</w:t>
      </w:r>
      <w:r w:rsidRPr="00DB3CBE" w:rsidDel="00A50D3A">
        <w:rPr>
          <w:spacing w:val="-2"/>
        </w:rPr>
        <w:t xml:space="preserve"> </w:t>
      </w:r>
      <w:r w:rsidRPr="00DB3CBE">
        <w:rPr>
          <w:spacing w:val="-2"/>
        </w:rPr>
        <w:t xml:space="preserve">Evaluations of similar initiatives in the United States, suggest that program benefits can persist well into adulthood and even intergenerationally </w:t>
      </w:r>
      <w:r w:rsidRPr="00DB3CBE">
        <w:rPr>
          <w:rFonts w:cs="Arial"/>
          <w:spacing w:val="-2"/>
        </w:rPr>
        <w:t>(García et al. 2023)</w:t>
      </w:r>
      <w:r w:rsidRPr="00DB3CBE">
        <w:rPr>
          <w:spacing w:val="-2"/>
        </w:rPr>
        <w:t xml:space="preserve"> through improved lifetime education attainment </w:t>
      </w:r>
      <w:r w:rsidRPr="00DB3CBE">
        <w:rPr>
          <w:rFonts w:cs="Arial"/>
          <w:spacing w:val="-2"/>
        </w:rPr>
        <w:t>(Campbell et al. 2012)</w:t>
      </w:r>
      <w:r w:rsidRPr="00DB3CBE">
        <w:rPr>
          <w:spacing w:val="-2"/>
        </w:rPr>
        <w:t xml:space="preserve">, employment and health, and reduced criminal behaviour </w:t>
      </w:r>
      <w:r w:rsidRPr="00DB3CBE">
        <w:rPr>
          <w:rFonts w:cs="Arial"/>
          <w:spacing w:val="-2"/>
        </w:rPr>
        <w:t>(García et al. 2021, 2023)</w:t>
      </w:r>
      <w:r w:rsidRPr="00DB3CBE">
        <w:rPr>
          <w:spacing w:val="-2"/>
        </w:rPr>
        <w:t>.</w:t>
      </w:r>
    </w:p>
    <w:p w14:paraId="6E21639C" w14:textId="77777777" w:rsidR="00B809D1" w:rsidRPr="00F82BD9" w:rsidRDefault="00B809D1">
      <w:pPr>
        <w:pStyle w:val="NoSpacing"/>
      </w:pPr>
    </w:p>
    <w:tbl>
      <w:tblPr>
        <w:tblStyle w:val="Boxtable"/>
        <w:tblW w:w="5000" w:type="pct"/>
        <w:tblLook w:val="04A0" w:firstRow="1" w:lastRow="0" w:firstColumn="1" w:lastColumn="0" w:noHBand="0" w:noVBand="1"/>
      </w:tblPr>
      <w:tblGrid>
        <w:gridCol w:w="9638"/>
      </w:tblGrid>
      <w:tr w:rsidR="00B809D1" w14:paraId="5826E73A" w14:textId="77777777">
        <w:trPr>
          <w:tblHeader/>
        </w:trPr>
        <w:tc>
          <w:tcPr>
            <w:tcW w:w="9638" w:type="dxa"/>
            <w:shd w:val="clear" w:color="auto" w:fill="EBEBEB"/>
            <w:tcMar>
              <w:top w:w="170" w:type="dxa"/>
              <w:left w:w="170" w:type="dxa"/>
              <w:bottom w:w="113" w:type="dxa"/>
              <w:right w:w="170" w:type="dxa"/>
            </w:tcMar>
            <w:hideMark/>
          </w:tcPr>
          <w:p w14:paraId="11F7528F" w14:textId="0FF514BF" w:rsidR="00B809D1" w:rsidRDefault="00B809D1">
            <w:pPr>
              <w:pStyle w:val="BoxHeading1"/>
            </w:pPr>
            <w:r>
              <w:t>Box 3.</w:t>
            </w:r>
            <w:r>
              <w:fldChar w:fldCharType="begin"/>
            </w:r>
            <w:r>
              <w:instrText>SEQ Box \* ARABIC \s 1</w:instrText>
            </w:r>
            <w:r>
              <w:fldChar w:fldCharType="separate"/>
            </w:r>
            <w:r w:rsidR="00FB1849">
              <w:rPr>
                <w:noProof/>
              </w:rPr>
              <w:t>1</w:t>
            </w:r>
            <w:r>
              <w:fldChar w:fldCharType="end"/>
            </w:r>
            <w:r>
              <w:t xml:space="preserve"> – Prevention and early intervention can ‘accelerate improvements in the lives of Aboriginal and Torres Strait Islander </w:t>
            </w:r>
            <w:proofErr w:type="spellStart"/>
            <w:r>
              <w:t>people’</w:t>
            </w:r>
            <w:r w:rsidRPr="00A27213">
              <w:rPr>
                <w:vertAlign w:val="superscript"/>
              </w:rPr>
              <w:t>a</w:t>
            </w:r>
            <w:proofErr w:type="spellEnd"/>
          </w:p>
        </w:tc>
      </w:tr>
      <w:tr w:rsidR="00B809D1" w14:paraId="25FF8D3E" w14:textId="77777777">
        <w:tc>
          <w:tcPr>
            <w:tcW w:w="9638" w:type="dxa"/>
            <w:shd w:val="clear" w:color="auto" w:fill="EBEBEB"/>
            <w:tcMar>
              <w:top w:w="28" w:type="dxa"/>
              <w:left w:w="170" w:type="dxa"/>
              <w:bottom w:w="170" w:type="dxa"/>
              <w:right w:w="170" w:type="dxa"/>
            </w:tcMar>
            <w:hideMark/>
          </w:tcPr>
          <w:p w14:paraId="67818D82" w14:textId="5650F4B7" w:rsidR="00B809D1" w:rsidRDefault="00B809D1">
            <w:pPr>
              <w:pStyle w:val="BodyText"/>
            </w:pPr>
            <w:r>
              <w:t>Submissions to this inquiry reflect the importance of prevention and early intervention</w:t>
            </w:r>
            <w:r w:rsidR="00CE4B54">
              <w:t xml:space="preserve"> for Aboriginal and Torres Strait Islander people</w:t>
            </w:r>
            <w:r>
              <w:t xml:space="preserve">: </w:t>
            </w:r>
          </w:p>
          <w:p w14:paraId="701EB493" w14:textId="77777777" w:rsidR="00B809D1" w:rsidRDefault="00B809D1">
            <w:pPr>
              <w:pStyle w:val="Quote"/>
            </w:pPr>
            <w:r>
              <w:t>p</w:t>
            </w:r>
            <w:r w:rsidRPr="00D52BF7">
              <w:t>revention is fundamental to the Aboriginal and Torres Strait Islander concept of social and emotional wellbeing … It is about strengthening the cultural and social determinants of health. These are the protective factors that build resilience and create thriving communities</w:t>
            </w:r>
            <w:r>
              <w:t>.</w:t>
            </w:r>
            <w:r w:rsidRPr="00D52BF7">
              <w:t xml:space="preserve"> (</w:t>
            </w:r>
            <w:proofErr w:type="spellStart"/>
            <w:r w:rsidRPr="00D52BF7">
              <w:t>Gayaa</w:t>
            </w:r>
            <w:proofErr w:type="spellEnd"/>
            <w:r w:rsidRPr="00D52BF7">
              <w:t xml:space="preserve"> </w:t>
            </w:r>
            <w:proofErr w:type="spellStart"/>
            <w:r w:rsidRPr="00D52BF7">
              <w:t>Dhuwi</w:t>
            </w:r>
            <w:proofErr w:type="spellEnd"/>
            <w:r w:rsidRPr="00D52BF7">
              <w:t>, sub. 167</w:t>
            </w:r>
            <w:r>
              <w:t>, p. 4</w:t>
            </w:r>
            <w:r w:rsidRPr="00D52BF7">
              <w:t>)</w:t>
            </w:r>
          </w:p>
          <w:p w14:paraId="6502715F" w14:textId="77777777" w:rsidR="00B809D1" w:rsidRDefault="00B809D1">
            <w:pPr>
              <w:pStyle w:val="BodyText"/>
            </w:pPr>
            <w:r>
              <w:t>However,</w:t>
            </w:r>
            <w:r w:rsidRPr="00880801">
              <w:t xml:space="preserve"> submissions stress</w:t>
            </w:r>
            <w:r>
              <w:t>ed</w:t>
            </w:r>
            <w:r w:rsidRPr="00880801">
              <w:t xml:space="preserve"> the need for prevention and early intervention </w:t>
            </w:r>
            <w:r>
              <w:t xml:space="preserve">to be culturally safe, free from racism, and </w:t>
            </w:r>
            <w:r w:rsidRPr="00880801">
              <w:t>designed by and directed towards the needs of Aboriginal and Torres Strait Islander people</w:t>
            </w:r>
            <w:r>
              <w:t xml:space="preserve"> (for example, IAHA, sub. 155, p. 5; RACGP, sub. 211, pp. 6,12; Tobacco Free Program, </w:t>
            </w:r>
            <w:proofErr w:type="spellStart"/>
            <w:r>
              <w:t>Yardhuna</w:t>
            </w:r>
            <w:proofErr w:type="spellEnd"/>
            <w:r>
              <w:t xml:space="preserve"> Walani, Australian National University, sub. 208, p. 6). Participants urged governments to consider the benefits of prevention and early intervention across the whole</w:t>
            </w:r>
            <w:r>
              <w:noBreakHyphen/>
              <w:t>of</w:t>
            </w:r>
            <w:r>
              <w:noBreakHyphen/>
              <w:t xml:space="preserve">government. For example: </w:t>
            </w:r>
          </w:p>
          <w:p w14:paraId="29C44106" w14:textId="77777777" w:rsidR="00B809D1" w:rsidRDefault="00B809D1">
            <w:pPr>
              <w:pStyle w:val="Quote"/>
            </w:pPr>
            <w:r w:rsidRPr="00D52BF7">
              <w:t>Action to improve housing conditions would see benefits for health and social outcomes, education and employment as well as mental health and wellbeing and could contribute to significant progress toward Closing the Gap targets. (NACCHO, sub. </w:t>
            </w:r>
            <w:r>
              <w:t>21</w:t>
            </w:r>
            <w:r w:rsidRPr="00D52BF7">
              <w:t>, p. </w:t>
            </w:r>
            <w:r>
              <w:t>6</w:t>
            </w:r>
            <w:r w:rsidRPr="00D52BF7">
              <w:t>)</w:t>
            </w:r>
          </w:p>
          <w:p w14:paraId="68FF5227" w14:textId="3FE58283" w:rsidR="00B809D1" w:rsidRPr="000113FF" w:rsidRDefault="00B809D1">
            <w:pPr>
              <w:pStyle w:val="BodyText"/>
              <w:spacing w:after="0"/>
            </w:pPr>
            <w:r>
              <w:t xml:space="preserve">Justice reinvestment and antenatal care are </w:t>
            </w:r>
            <w:r w:rsidR="0041229E">
              <w:t xml:space="preserve">two </w:t>
            </w:r>
            <w:r>
              <w:t>examples of effective prevention and early intervention that can enhance the lives of Aboriginal and Torres Strait Islander people across wellbeing domains.</w:t>
            </w:r>
          </w:p>
        </w:tc>
      </w:tr>
      <w:tr w:rsidR="00B809D1" w14:paraId="168ED95A" w14:textId="77777777">
        <w:tc>
          <w:tcPr>
            <w:tcW w:w="9638" w:type="dxa"/>
            <w:shd w:val="clear" w:color="auto" w:fill="EBEBEB"/>
            <w:tcMar>
              <w:top w:w="28" w:type="dxa"/>
              <w:left w:w="170" w:type="dxa"/>
              <w:bottom w:w="170" w:type="dxa"/>
              <w:right w:w="170" w:type="dxa"/>
            </w:tcMar>
          </w:tcPr>
          <w:p w14:paraId="57DA4CA7" w14:textId="57F634E6" w:rsidR="00B809D1" w:rsidRDefault="004E78EA" w:rsidP="00A15728">
            <w:pPr>
              <w:pStyle w:val="BodyText"/>
            </w:pPr>
            <w:r w:rsidRPr="004E78EA">
              <w:rPr>
                <w:noProof/>
              </w:rPr>
              <w:lastRenderedPageBreak/>
              <w:drawing>
                <wp:inline distT="0" distB="0" distL="0" distR="0" wp14:anchorId="44E7E196" wp14:editId="5A37CAB8">
                  <wp:extent cx="5932805" cy="2637155"/>
                  <wp:effectExtent l="0" t="0" r="0" b="0"/>
                  <wp:docPr id="657484261" name="Picture 3" descr="Infographic comparing two community-led initiatives: &quot;Supporting vulnerable youth&quot; and &quot;Improving antenatal care.&quot; The left section highlights justice reinvestment in Bourke, NSW, showing reductions in domestic violence (23%), custody days (42%), and increased Year 12 retention (31%), with $3.1 million saved and $0.6 million in costs. The right section features the Birthing in Our Community model for Aboriginal and Torres Strait Islander mothers, showing a 5.3 percentage point drop in preterm births and $4,810 in net savings per mother-child 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84261" name="Picture 3" descr="Infographic comparing two community-led initiatives: &quot;Supporting vulnerable youth&quot; and &quot;Improving antenatal care.&quot; The left section highlights justice reinvestment in Bourke, NSW, showing reductions in domestic violence (23%), custody days (42%), and increased Year 12 retention (31%), with $3.1 million saved and $0.6 million in costs. The right section features the Birthing in Our Community model for Aboriginal and Torres Strait Islander mothers, showing a 5.3 percentage point drop in preterm births and $4,810 in net savings per mother-child pai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2805" cy="2637155"/>
                          </a:xfrm>
                          <a:prstGeom prst="rect">
                            <a:avLst/>
                          </a:prstGeom>
                          <a:noFill/>
                          <a:ln>
                            <a:noFill/>
                          </a:ln>
                        </pic:spPr>
                      </pic:pic>
                    </a:graphicData>
                  </a:graphic>
                </wp:inline>
              </w:drawing>
            </w:r>
            <w:r w:rsidR="00091265" w:rsidRPr="00091265">
              <w:t xml:space="preserve"> </w:t>
            </w:r>
          </w:p>
          <w:p w14:paraId="6CBB874B" w14:textId="77777777" w:rsidR="00B809D1" w:rsidRPr="001B1294" w:rsidRDefault="00B809D1" w:rsidP="00091265">
            <w:pPr>
              <w:pStyle w:val="Note"/>
              <w:spacing w:before="0"/>
            </w:pPr>
            <w:r w:rsidRPr="00CA5BF2">
              <w:rPr>
                <w:b/>
                <w:bCs/>
              </w:rPr>
              <w:t>a.</w:t>
            </w:r>
            <w:r w:rsidRPr="00070848">
              <w:t xml:space="preserve"> </w:t>
            </w:r>
            <w:r>
              <w:t>Clause 25 of the National Agreement on Closing the Gap.</w:t>
            </w:r>
          </w:p>
          <w:p w14:paraId="71424646" w14:textId="7CA9B5A7" w:rsidR="00B809D1" w:rsidRPr="00D52BF7" w:rsidDel="006D0C00" w:rsidRDefault="00B809D1" w:rsidP="00CA5BF2">
            <w:pPr>
              <w:pStyle w:val="Source"/>
            </w:pPr>
            <w:r w:rsidRPr="00336F90">
              <w:rPr>
                <w:lang w:val="fr-CA"/>
              </w:rPr>
              <w:t xml:space="preserve">Source: ALRC (2017); Gao et al. </w:t>
            </w:r>
            <w:r w:rsidRPr="00DB4414">
              <w:t>(2023)</w:t>
            </w:r>
            <w:r w:rsidRPr="00FD5FDA">
              <w:t xml:space="preserve">; KPMG </w:t>
            </w:r>
            <w:r w:rsidRPr="00DB4414">
              <w:t>(2018, p. 22)</w:t>
            </w:r>
            <w:r w:rsidRPr="00FD5FDA">
              <w:t>.</w:t>
            </w:r>
          </w:p>
        </w:tc>
      </w:tr>
    </w:tbl>
    <w:p w14:paraId="071E5E2F" w14:textId="77777777" w:rsidR="00B809D1" w:rsidRDefault="00B809D1" w:rsidP="00091265">
      <w:pPr>
        <w:pStyle w:val="Heading3"/>
        <w:spacing w:before="480"/>
      </w:pPr>
      <w:r>
        <w:t>Prevention and early intervention can improve efficiency</w:t>
      </w:r>
    </w:p>
    <w:p w14:paraId="330FF1BD" w14:textId="381417F7" w:rsidR="00B809D1" w:rsidRDefault="00B809D1">
      <w:pPr>
        <w:pStyle w:val="BodyText"/>
      </w:pPr>
      <w:r>
        <w:t xml:space="preserve">In many cases, preventing a problem from developing is a more efficient use of resources than addressing it after it emerges. Prevention programs can deliver more value than their total cost (positive net benefits). They can reduce the need for higher cost acute and intensive services while achieving the same results (more </w:t>
      </w:r>
      <w:r w:rsidR="004010F1">
        <w:t>cost</w:t>
      </w:r>
      <w:r w:rsidR="0071512B">
        <w:t>-</w:t>
      </w:r>
      <w:r>
        <w:t>effective), and, in the best cases, can achieve better outcomes while reducing costs in the long run (cost</w:t>
      </w:r>
      <w:r w:rsidR="0071512B">
        <w:t>-</w:t>
      </w:r>
      <w:r>
        <w:t xml:space="preserve">saving) (box 3.2, figure 3.3) </w:t>
      </w:r>
      <w:r w:rsidR="0097599A" w:rsidRPr="0097599A">
        <w:rPr>
          <w:rFonts w:ascii="Arial" w:hAnsi="Arial" w:cs="Arial"/>
        </w:rPr>
        <w:t>(Vos et al. 2010; WSIPP 2024a)</w:t>
      </w:r>
      <w:r>
        <w:t>. Directing resources to cost</w:t>
      </w:r>
      <w:r>
        <w:noBreakHyphen/>
        <w:t xml:space="preserve">saving prevention not only improves outcomes but also frees up funds for other uses, increasing the overall benefits for society from a given set of resources. </w:t>
      </w:r>
    </w:p>
    <w:p w14:paraId="487F338A" w14:textId="77777777" w:rsidR="00934FAE" w:rsidRPr="00F96E43" w:rsidRDefault="00934FAE" w:rsidP="00934FAE">
      <w:pPr>
        <w:pStyle w:val="NoSpacing"/>
      </w:pPr>
    </w:p>
    <w:tbl>
      <w:tblPr>
        <w:tblStyle w:val="Boxtable"/>
        <w:tblW w:w="5000" w:type="pct"/>
        <w:tblLook w:val="04A0" w:firstRow="1" w:lastRow="0" w:firstColumn="1" w:lastColumn="0" w:noHBand="0" w:noVBand="1"/>
      </w:tblPr>
      <w:tblGrid>
        <w:gridCol w:w="9638"/>
      </w:tblGrid>
      <w:tr w:rsidR="00934FAE" w14:paraId="54F85536" w14:textId="77777777" w:rsidTr="00A278B4">
        <w:trPr>
          <w:tblHeader/>
        </w:trPr>
        <w:tc>
          <w:tcPr>
            <w:tcW w:w="9638" w:type="dxa"/>
            <w:shd w:val="clear" w:color="auto" w:fill="EBEBEB"/>
            <w:tcMar>
              <w:top w:w="170" w:type="dxa"/>
              <w:left w:w="170" w:type="dxa"/>
              <w:bottom w:w="113" w:type="dxa"/>
              <w:right w:w="170" w:type="dxa"/>
            </w:tcMar>
            <w:hideMark/>
          </w:tcPr>
          <w:p w14:paraId="52E92334" w14:textId="77777777" w:rsidR="00934FAE" w:rsidRDefault="00934FAE" w:rsidP="00A278B4">
            <w:pPr>
              <w:pStyle w:val="BoxHeading1"/>
            </w:pPr>
            <w:r>
              <w:t>Box 3.2 – Efficiency, cost</w:t>
            </w:r>
            <w:r>
              <w:noBreakHyphen/>
              <w:t>benefit, cost</w:t>
            </w:r>
            <w:r>
              <w:noBreakHyphen/>
              <w:t>effectiveness, and savings</w:t>
            </w:r>
          </w:p>
        </w:tc>
      </w:tr>
      <w:tr w:rsidR="00934FAE" w14:paraId="47282C00" w14:textId="77777777" w:rsidTr="00A278B4">
        <w:tc>
          <w:tcPr>
            <w:tcW w:w="9638" w:type="dxa"/>
            <w:shd w:val="clear" w:color="auto" w:fill="EBEBEB"/>
            <w:tcMar>
              <w:top w:w="28" w:type="dxa"/>
              <w:left w:w="170" w:type="dxa"/>
              <w:bottom w:w="170" w:type="dxa"/>
              <w:right w:w="170" w:type="dxa"/>
            </w:tcMar>
            <w:hideMark/>
          </w:tcPr>
          <w:p w14:paraId="55E9D1DB" w14:textId="77777777" w:rsidR="00934FAE" w:rsidRDefault="00934FAE" w:rsidP="00A278B4">
            <w:pPr>
              <w:pStyle w:val="BodyText"/>
            </w:pPr>
            <w:r w:rsidRPr="00706515">
              <w:t>Improving</w:t>
            </w:r>
            <w:r w:rsidRPr="00AC538D">
              <w:t xml:space="preserve"> efficiency </w:t>
            </w:r>
            <w:r>
              <w:t xml:space="preserve">involves </w:t>
            </w:r>
            <w:r w:rsidRPr="00AC538D">
              <w:t xml:space="preserve">making the most of limited resources to boost overall wellbeing. </w:t>
            </w:r>
            <w:r>
              <w:t xml:space="preserve">Removing barriers to </w:t>
            </w:r>
            <w:r w:rsidRPr="001B46AE">
              <w:t>government</w:t>
            </w:r>
            <w:r>
              <w:t xml:space="preserve"> investment in prevention and early intervention can:</w:t>
            </w:r>
          </w:p>
          <w:p w14:paraId="0624A537" w14:textId="77777777" w:rsidR="00934FAE" w:rsidRPr="00425A7D" w:rsidRDefault="00934FAE" w:rsidP="00934FAE">
            <w:pPr>
              <w:pStyle w:val="ListBullet"/>
              <w:rPr>
                <w:bCs/>
                <w:spacing w:val="-4"/>
              </w:rPr>
            </w:pPr>
            <w:r w:rsidRPr="00425A7D">
              <w:rPr>
                <w:bCs/>
                <w:spacing w:val="-4"/>
              </w:rPr>
              <w:t>improve allocative efficiency by redirecting funding toward programs that deliver greater value for money</w:t>
            </w:r>
          </w:p>
          <w:p w14:paraId="46E2DC9D" w14:textId="77777777" w:rsidR="00934FAE" w:rsidRPr="00D40478" w:rsidRDefault="00934FAE" w:rsidP="00934FAE">
            <w:pPr>
              <w:pStyle w:val="ListBullet"/>
              <w:rPr>
                <w:bCs/>
              </w:rPr>
            </w:pPr>
            <w:r w:rsidRPr="00D40478">
              <w:rPr>
                <w:bCs/>
              </w:rPr>
              <w:t>enhance dynamic efficiency by supporting long</w:t>
            </w:r>
            <w:r w:rsidRPr="00D40478">
              <w:rPr>
                <w:bCs/>
              </w:rPr>
              <w:noBreakHyphen/>
              <w:t>term investments that reduce future demand for high</w:t>
            </w:r>
            <w:r w:rsidRPr="00D40478">
              <w:rPr>
                <w:bCs/>
              </w:rPr>
              <w:noBreakHyphen/>
              <w:t>cost services and supports. The relative dynamic efficiency benefits from a suite of interventions can be assessed by economic methods such as cost</w:t>
            </w:r>
            <w:r w:rsidRPr="00D40478">
              <w:rPr>
                <w:bCs/>
              </w:rPr>
              <w:noBreakHyphen/>
              <w:t>effectiveness and cost</w:t>
            </w:r>
            <w:r w:rsidRPr="00D40478">
              <w:rPr>
                <w:bCs/>
              </w:rPr>
              <w:noBreakHyphen/>
              <w:t xml:space="preserve">benefit analysis. </w:t>
            </w:r>
          </w:p>
          <w:p w14:paraId="08363E44" w14:textId="77777777" w:rsidR="00934FAE" w:rsidRDefault="00934FAE" w:rsidP="00A278B4">
            <w:pPr>
              <w:pStyle w:val="BodyText"/>
              <w:rPr>
                <w:bCs/>
              </w:rPr>
            </w:pPr>
            <w:r w:rsidRPr="00986796">
              <w:rPr>
                <w:b/>
              </w:rPr>
              <w:lastRenderedPageBreak/>
              <w:t>Cost</w:t>
            </w:r>
            <w:r w:rsidRPr="00986796">
              <w:rPr>
                <w:b/>
              </w:rPr>
              <w:noBreakHyphen/>
              <w:t>effectiveness analysis</w:t>
            </w:r>
            <w:r w:rsidRPr="00AC538D">
              <w:t xml:space="preserve"> compares programs </w:t>
            </w:r>
            <w:r>
              <w:t>seeking the</w:t>
            </w:r>
            <w:r w:rsidRPr="00AC538D">
              <w:t xml:space="preserve"> same </w:t>
            </w:r>
            <w:r>
              <w:t>outcome</w:t>
            </w:r>
            <w:r w:rsidRPr="00AC538D">
              <w:t xml:space="preserve"> </w:t>
            </w:r>
            <w:r>
              <w:t xml:space="preserve">to identify which program </w:t>
            </w:r>
            <w:r w:rsidRPr="00AC538D">
              <w:t xml:space="preserve">can deliver </w:t>
            </w:r>
            <w:r>
              <w:t xml:space="preserve">that outcome for the </w:t>
            </w:r>
            <w:r w:rsidRPr="00AC538D">
              <w:t>lowest cost. This approach helps distinguish between:</w:t>
            </w:r>
            <w:r>
              <w:rPr>
                <w:bCs/>
              </w:rPr>
              <w:t xml:space="preserve"> </w:t>
            </w:r>
          </w:p>
          <w:p w14:paraId="23FF7844" w14:textId="77777777" w:rsidR="00934FAE" w:rsidRDefault="00934FAE" w:rsidP="00934FAE">
            <w:pPr>
              <w:pStyle w:val="ListBullet"/>
              <w:rPr>
                <w:bCs/>
              </w:rPr>
            </w:pPr>
            <w:r w:rsidRPr="00801785">
              <w:t>cost</w:t>
            </w:r>
            <w:r w:rsidRPr="00801785">
              <w:noBreakHyphen/>
              <w:t xml:space="preserve">effective programs </w:t>
            </w:r>
            <w:r w:rsidRPr="00D935B2">
              <w:rPr>
                <w:bCs/>
              </w:rPr>
              <w:t>that achieve the desired outcome at an acceptable cost, even if it means spending more overall. Simply implementing a new cost</w:t>
            </w:r>
            <w:r w:rsidRPr="00D935B2">
              <w:rPr>
                <w:bCs/>
              </w:rPr>
              <w:noBreakHyphen/>
              <w:t>effective program might not save money but will still offer good value for the community. Replacing a less cost</w:t>
            </w:r>
            <w:r w:rsidRPr="00D935B2">
              <w:rPr>
                <w:bCs/>
              </w:rPr>
              <w:noBreakHyphen/>
              <w:t>effective program with a more cost</w:t>
            </w:r>
            <w:r w:rsidRPr="00D935B2">
              <w:rPr>
                <w:bCs/>
              </w:rPr>
              <w:noBreakHyphen/>
              <w:t>effective program can still lower overall spending</w:t>
            </w:r>
          </w:p>
          <w:p w14:paraId="1AB5A012" w14:textId="77777777" w:rsidR="00934FAE" w:rsidRPr="00D935B2" w:rsidRDefault="00934FAE" w:rsidP="00934FAE">
            <w:pPr>
              <w:pStyle w:val="ListBullet"/>
              <w:rPr>
                <w:bCs/>
              </w:rPr>
            </w:pPr>
            <w:r w:rsidRPr="00801785">
              <w:t>cost</w:t>
            </w:r>
            <w:r w:rsidRPr="00801785">
              <w:noBreakHyphen/>
              <w:t>saving programs</w:t>
            </w:r>
            <w:r w:rsidRPr="00D935B2">
              <w:rPr>
                <w:bCs/>
              </w:rPr>
              <w:t>,</w:t>
            </w:r>
            <w:r w:rsidRPr="00D935B2" w:rsidDel="00C87557">
              <w:rPr>
                <w:bCs/>
              </w:rPr>
              <w:t xml:space="preserve"> </w:t>
            </w:r>
            <w:r w:rsidRPr="00D935B2">
              <w:rPr>
                <w:bCs/>
              </w:rPr>
              <w:t>that</w:t>
            </w:r>
            <w:r w:rsidRPr="00801785">
              <w:t xml:space="preserve"> </w:t>
            </w:r>
            <w:r w:rsidRPr="00D935B2">
              <w:rPr>
                <w:bCs/>
              </w:rPr>
              <w:t>improve</w:t>
            </w:r>
            <w:r>
              <w:rPr>
                <w:bCs/>
              </w:rPr>
              <w:t xml:space="preserve"> or maintain</w:t>
            </w:r>
            <w:r w:rsidRPr="00D935B2">
              <w:rPr>
                <w:bCs/>
              </w:rPr>
              <w:t xml:space="preserve"> outcomes and reduce overall spending. Cost savings can happen at </w:t>
            </w:r>
            <w:r>
              <w:rPr>
                <w:bCs/>
              </w:rPr>
              <w:t>an</w:t>
            </w:r>
            <w:r w:rsidRPr="00D935B2">
              <w:rPr>
                <w:bCs/>
              </w:rPr>
              <w:t xml:space="preserve"> individual level (</w:t>
            </w:r>
            <w:r>
              <w:rPr>
                <w:bCs/>
              </w:rPr>
              <w:t xml:space="preserve">where </w:t>
            </w:r>
            <w:r w:rsidRPr="00D935B2">
              <w:rPr>
                <w:bCs/>
              </w:rPr>
              <w:t>a person needs less care in the future) or system level (the government spends less overall on services and supports)</w:t>
            </w:r>
            <w:r w:rsidRPr="00CF52B1">
              <w:rPr>
                <w:bCs/>
              </w:rPr>
              <w:t>.</w:t>
            </w:r>
          </w:p>
          <w:p w14:paraId="44CAA470" w14:textId="77777777" w:rsidR="00934FAE" w:rsidRDefault="00934FAE" w:rsidP="00A278B4">
            <w:pPr>
              <w:pStyle w:val="BodyText"/>
            </w:pPr>
            <w:r w:rsidRPr="009B17D0">
              <w:rPr>
                <w:b/>
              </w:rPr>
              <w:t>Cost</w:t>
            </w:r>
            <w:r w:rsidRPr="009B17D0">
              <w:rPr>
                <w:b/>
              </w:rPr>
              <w:noBreakHyphen/>
              <w:t>benefit analysis</w:t>
            </w:r>
            <w:r>
              <w:t xml:space="preserve"> places a monetary value on all outcomes and inputs involved in a particular program (including non-monetary benefits) and tallies them up.</w:t>
            </w:r>
            <w:r w:rsidRPr="00AC538D">
              <w:t xml:space="preserve"> </w:t>
            </w:r>
            <w:r>
              <w:t>This method is especially useful for valuing programs with broader effects across a range of outcomes. If a program’s total benefits are greater than its costs, it is said to have a positive net benefit.</w:t>
            </w:r>
          </w:p>
          <w:p w14:paraId="2D13249F" w14:textId="77777777" w:rsidR="00934FAE" w:rsidRPr="008C192B" w:rsidRDefault="00934FAE" w:rsidP="00A278B4">
            <w:pPr>
              <w:pStyle w:val="BoxHeading1"/>
            </w:pPr>
            <w:r w:rsidRPr="00C17E56">
              <w:t>D</w:t>
            </w:r>
            <w:r w:rsidRPr="008C192B">
              <w:t>istinguishing between savings and avoided costs</w:t>
            </w:r>
          </w:p>
          <w:p w14:paraId="5270A99F" w14:textId="77777777" w:rsidR="00934FAE" w:rsidRPr="00B400BC" w:rsidRDefault="00934FAE" w:rsidP="00A278B4">
            <w:r w:rsidRPr="00F23297">
              <w:t xml:space="preserve">Prevention and early intervention programs </w:t>
            </w:r>
            <w:r>
              <w:t xml:space="preserve">can be expected to save money when they reduce overall demand for services </w:t>
            </w:r>
            <w:r w:rsidRPr="005E1A4C">
              <w:rPr>
                <w:rFonts w:ascii="Arial" w:hAnsi="Arial" w:cs="Arial"/>
              </w:rPr>
              <w:t>(UK HM Treasury 2023)</w:t>
            </w:r>
            <w:r w:rsidRPr="00F23297">
              <w:t xml:space="preserve">. </w:t>
            </w:r>
            <w:r>
              <w:t>This will only occur without ‘excess demand’, where preventing one person’s need for a service does not lead to another taking their place. Where demand for publicly</w:t>
            </w:r>
            <w:r>
              <w:noBreakHyphen/>
              <w:t>provided services exceeds supply – as is often the case with public hospital waiting lists – and access is managed by urgency of need, prevention may lead to future avoided treatment costs at an individual level. At a system</w:t>
            </w:r>
            <w:r>
              <w:noBreakHyphen/>
              <w:t>level, overall outcomes would improve, indicating an improvement in efficiency, although measurable savings may take longer to realise.</w:t>
            </w:r>
          </w:p>
        </w:tc>
      </w:tr>
      <w:tr w:rsidR="00934FAE" w14:paraId="342B12B9" w14:textId="77777777" w:rsidTr="00A278B4">
        <w:tc>
          <w:tcPr>
            <w:tcW w:w="9638" w:type="dxa"/>
            <w:shd w:val="clear" w:color="auto" w:fill="auto"/>
            <w:tcMar>
              <w:top w:w="0" w:type="dxa"/>
              <w:left w:w="170" w:type="dxa"/>
              <w:bottom w:w="0" w:type="dxa"/>
              <w:right w:w="170" w:type="dxa"/>
            </w:tcMar>
          </w:tcPr>
          <w:p w14:paraId="6B2CE3C6" w14:textId="77777777" w:rsidR="00934FAE" w:rsidRPr="00465191" w:rsidRDefault="00934FAE" w:rsidP="00A278B4">
            <w:pPr>
              <w:pStyle w:val="NoSpacing"/>
            </w:pPr>
          </w:p>
        </w:tc>
      </w:tr>
    </w:tbl>
    <w:p w14:paraId="05B9B023" w14:textId="77777777" w:rsidR="00B809D1" w:rsidRPr="00091265" w:rsidRDefault="00B809D1">
      <w:pPr>
        <w:pStyle w:val="FigureTableHeading"/>
        <w:rPr>
          <w:spacing w:val="-4"/>
        </w:rPr>
      </w:pPr>
      <w:r w:rsidRPr="00091265">
        <w:rPr>
          <w:spacing w:val="-4"/>
        </w:rPr>
        <w:t>Figure 3.3</w:t>
      </w:r>
      <w:r w:rsidRPr="00091265">
        <w:rPr>
          <w:noProof/>
          <w:spacing w:val="-4"/>
        </w:rPr>
        <w:t xml:space="preserve"> </w:t>
      </w:r>
      <w:r w:rsidRPr="00091265">
        <w:rPr>
          <w:spacing w:val="-4"/>
        </w:rPr>
        <w:t>– Prevention and early intervention can alter the current trajectory of care costs</w:t>
      </w:r>
    </w:p>
    <w:p w14:paraId="3FA6E557" w14:textId="77777777" w:rsidR="00B809D1" w:rsidRDefault="00B809D1" w:rsidP="00F96E43">
      <w:pPr>
        <w:pStyle w:val="Note"/>
        <w:spacing w:after="360"/>
        <w:rPr>
          <w:rFonts w:ascii="Arial" w:eastAsia="Arial" w:hAnsi="Arial" w:cs="Times New Roman"/>
        </w:rPr>
      </w:pPr>
      <w:r w:rsidRPr="00BB348C">
        <w:rPr>
          <w:noProof/>
        </w:rPr>
        <w:drawing>
          <wp:inline distT="0" distB="0" distL="0" distR="0" wp14:anchorId="540D97B4" wp14:editId="2881C2E9">
            <wp:extent cx="6120130" cy="2912110"/>
            <wp:effectExtent l="0" t="0" r="0" b="0"/>
            <wp:docPr id="1578879129" name="Picture 4" descr="Flowchart showing a five-step process for program assessment and approval. Step 1: Departments submit applications to the assessment team. Step 2: The assessment team approves initial assessment using PICOT framework (population, intervention, comparison, outcome and timeframe). Step 3: Applicants prepare assessment of proposal which includes cost-benefit analysis. Supported by assessment team and actuarial model. Step 4: PEIFAB reviews assessment report and recommends programs for funding. Step 5: Proposals will require sign-offs from relevant minister(s), ERC and Cabinet. The chart shows a stylised depiction of the care spending trajectory over time (this is illustrative and not based on actual data). Prevention is shown to increase upfront costs but dampen the trajectory of costs over time. In this illustrative example, avoided future costs are greater than the upfront costs of preven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79129" name="Picture 4" descr="Flowchart showing a five-step process for program assessment and approval. Step 1: Departments submit applications to the assessment team. Step 2: The assessment team approves initial assessment using PICOT framework (population, intervention, comparison, outcome and timeframe). Step 3: Applicants prepare assessment of proposal which includes cost-benefit analysis. Supported by assessment team and actuarial model. Step 4: PEIFAB reviews assessment report and recommends programs for funding. Step 5: Proposals will require sign-offs from relevant minister(s), ERC and Cabinet. The chart shows a stylised depiction of the care spending trajectory over time (this is illustrative and not based on actual data). Prevention is shown to increase upfront costs but dampen the trajectory of costs over time. In this illustrative example, avoided future costs are greater than the upfront costs of prevention.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2912110"/>
                    </a:xfrm>
                    <a:prstGeom prst="rect">
                      <a:avLst/>
                    </a:prstGeom>
                    <a:noFill/>
                    <a:ln>
                      <a:noFill/>
                    </a:ln>
                  </pic:spPr>
                </pic:pic>
              </a:graphicData>
            </a:graphic>
          </wp:inline>
        </w:drawing>
      </w:r>
      <w:r>
        <w:rPr>
          <w:rFonts w:ascii="Arial" w:eastAsia="Arial" w:hAnsi="Arial" w:cs="Times New Roman"/>
        </w:rPr>
        <w:t>This figure is illustrative and does not use actual costs.</w:t>
      </w:r>
    </w:p>
    <w:p w14:paraId="00B8FE0C" w14:textId="49CF80E8" w:rsidR="00B809D1" w:rsidRDefault="00B809D1">
      <w:pPr>
        <w:pStyle w:val="BodyText"/>
      </w:pPr>
      <w:r>
        <w:lastRenderedPageBreak/>
        <w:t>Numerous studies have demonstrated that well</w:t>
      </w:r>
      <w:r>
        <w:noBreakHyphen/>
        <w:t xml:space="preserve">designed prevention and early intervention programs can deliver substantial savings (figure 3.4). For example, most obesity prevention interventions assessed by </w:t>
      </w:r>
      <w:proofErr w:type="spellStart"/>
      <w:r>
        <w:t>Ananthapavan</w:t>
      </w:r>
      <w:proofErr w:type="spellEnd"/>
      <w:r>
        <w:t xml:space="preserve"> et al. </w:t>
      </w:r>
      <w:r w:rsidRPr="00385A55">
        <w:rPr>
          <w:rFonts w:ascii="Arial" w:hAnsi="Arial" w:cs="Arial"/>
        </w:rPr>
        <w:t>(2020)</w:t>
      </w:r>
      <w:r w:rsidRPr="00791970">
        <w:t xml:space="preserve"> </w:t>
      </w:r>
      <w:r>
        <w:t>were found to improve health outcomes while producing long</w:t>
      </w:r>
      <w:r>
        <w:noBreakHyphen/>
        <w:t xml:space="preserve">term savings. Moreover, the Australian </w:t>
      </w:r>
      <w:r w:rsidRPr="47E47C45">
        <w:rPr>
          <w:i/>
          <w:iCs/>
        </w:rPr>
        <w:t>Assessing Cost</w:t>
      </w:r>
      <w:r>
        <w:rPr>
          <w:i/>
          <w:iCs/>
        </w:rPr>
        <w:noBreakHyphen/>
      </w:r>
      <w:r w:rsidRPr="47E47C45">
        <w:rPr>
          <w:i/>
          <w:iCs/>
        </w:rPr>
        <w:t>Effectiveness in Prevention</w:t>
      </w:r>
      <w:r>
        <w:t xml:space="preserve"> report</w:t>
      </w:r>
      <w:r w:rsidRPr="005A5C9C">
        <w:t xml:space="preserve"> identified </w:t>
      </w:r>
      <w:r>
        <w:t xml:space="preserve">a range of preventive interventions in health care that – for a total cost of $7.3 billion – delivered </w:t>
      </w:r>
      <w:r w:rsidRPr="005A5C9C">
        <w:t xml:space="preserve">significant health gains </w:t>
      </w:r>
      <w:r>
        <w:t>and were estimated to generate</w:t>
      </w:r>
      <w:r w:rsidRPr="005A5C9C">
        <w:t xml:space="preserve"> $1</w:t>
      </w:r>
      <w:r>
        <w:t>7.6 </w:t>
      </w:r>
      <w:r w:rsidRPr="005A5C9C">
        <w:t xml:space="preserve">billion </w:t>
      </w:r>
      <w:r>
        <w:t>(2023</w:t>
      </w:r>
      <w:r>
        <w:noBreakHyphen/>
        <w:t>24 dollars) in avoided healthcare costs</w:t>
      </w:r>
      <w:r w:rsidRPr="005A5C9C">
        <w:t xml:space="preserve"> </w:t>
      </w:r>
      <w:r>
        <w:t>over the lifetime of the 2003 population</w:t>
      </w:r>
      <w:r w:rsidRPr="005A5C9C">
        <w:t xml:space="preserve"> </w:t>
      </w:r>
      <w:r w:rsidRPr="007246B7">
        <w:rPr>
          <w:rFonts w:ascii="Arial" w:hAnsi="Arial" w:cs="Arial"/>
        </w:rPr>
        <w:t>(Vos et al. 2010, p. 47)</w:t>
      </w:r>
      <w:r w:rsidRPr="005A5C9C">
        <w:t>.</w:t>
      </w:r>
      <w:r>
        <w:t xml:space="preserve"> </w:t>
      </w:r>
    </w:p>
    <w:p w14:paraId="53F6B1C1" w14:textId="2214D8DA" w:rsidR="00B809D1" w:rsidRDefault="00B809D1">
      <w:pPr>
        <w:pStyle w:val="BodyText"/>
      </w:pPr>
      <w:r w:rsidRPr="00ED1218">
        <w:t xml:space="preserve">The development of data assets linking Australian Government and state and territory </w:t>
      </w:r>
      <w:r w:rsidR="00CF52B1">
        <w:t>government</w:t>
      </w:r>
      <w:r w:rsidRPr="00ED1218">
        <w:t xml:space="preserve"> data, coupled with machine learning and AI tools, could further increase gains from prevention and early intervention by enabling better targeting of </w:t>
      </w:r>
      <w:r w:rsidR="00BD1A7D">
        <w:t>priority</w:t>
      </w:r>
      <w:r w:rsidR="00BD1A7D" w:rsidRPr="00ED1218">
        <w:t xml:space="preserve"> </w:t>
      </w:r>
      <w:r w:rsidRPr="00ED1218">
        <w:t>cohorts (explored further below). In the U</w:t>
      </w:r>
      <w:r>
        <w:t>nited Kingdom</w:t>
      </w:r>
      <w:r w:rsidRPr="00ED1218">
        <w:t>, prediction tools have been used to identify elderly patients in community care at high risk of falls, leading to a 20% reduction in fall incidents, lowering hospitalisation numbers and costs while improving the quality of life of the people involved (Heger et al. 2024).</w:t>
      </w:r>
    </w:p>
    <w:p w14:paraId="7ABE855B" w14:textId="77777777" w:rsidR="00F96E43" w:rsidRDefault="00B809D1">
      <w:pPr>
        <w:pStyle w:val="FigureTableHeading"/>
      </w:pPr>
      <w:r>
        <w:t>Figure 3.4</w:t>
      </w:r>
      <w:r>
        <w:rPr>
          <w:noProof/>
        </w:rPr>
        <w:t xml:space="preserve"> </w:t>
      </w:r>
      <w:r>
        <w:t>– Examples of cost</w:t>
      </w:r>
      <w:r>
        <w:noBreakHyphen/>
        <w:t>saving prevention and early intervention</w:t>
      </w:r>
    </w:p>
    <w:p w14:paraId="3A0E1713" w14:textId="18AB8149" w:rsidR="00B809D1" w:rsidRPr="005D1531" w:rsidRDefault="00A52182" w:rsidP="002A225C">
      <w:pPr>
        <w:pStyle w:val="BodyText"/>
        <w:spacing w:before="0"/>
        <w:rPr>
          <w:lang w:val="fr-CA"/>
        </w:rPr>
      </w:pPr>
      <w:r w:rsidRPr="00A52182">
        <w:rPr>
          <w:noProof/>
        </w:rPr>
        <w:drawing>
          <wp:inline distT="0" distB="0" distL="0" distR="0" wp14:anchorId="7336F31E" wp14:editId="4452233F">
            <wp:extent cx="6120130" cy="3357880"/>
            <wp:effectExtent l="0" t="0" r="0" b="0"/>
            <wp:docPr id="1788552898" name="Picture 12" descr="This figure shows four different examples of cost-saving prevention and early intervention. &#10;The first example is Housing First approaches to homelessness. This involves providing immediate, permanent housing with wrap-around supports for people experiencing homelessness. Studies suggest that it is highly effective in helping participants sustain housing, with a success rate of 66-90%. In South Australia, the Aspire program which adopted a housing-first approach led to avoided service costs of $13.4 million over four years. &#10;&#10;The second example is an Australian home-visiting program for high-risk teenage mothers to improve infant health outcomes and reduce child maltreatment. The program has been linked to reduced rates of infant death, severe non-accidental injury of the infant and non-voluntary foster care. It is estimated to produce lifetime cost savings of $295,000 per family. &#10;&#10;The third example is a lifestyle intervention for gestational diabetes. It involves providing people at risk of gestational diabetes with diet and physical activity interventions. The program is cost-saving over the lifetime of program participants, returning $1.22 per dollar invested. &#10;&#10;The last example is the SunSmart campaign for skin cancer awareness, which involves community programs and mass media campaigns to promote sun-safe behaviour. The program is estimated to have prevented more than 43,000 skin cancers in Victoria between 1988-2010. In Western Australia, the return to government was estimated to be $8.70 for every $1 invest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52898" name="Picture 12" descr="This figure shows four different examples of cost-saving prevention and early intervention. &#10;The first example is Housing First approaches to homelessness. This involves providing immediate, permanent housing with wrap-around supports for people experiencing homelessness. Studies suggest that it is highly effective in helping participants sustain housing, with a success rate of 66-90%. In South Australia, the Aspire program which adopted a housing-first approach led to avoided service costs of $13.4 million over four years. &#10;&#10;The second example is an Australian home-visiting program for high-risk teenage mothers to improve infant health outcomes and reduce child maltreatment. The program has been linked to reduced rates of infant death, severe non-accidental injury of the infant and non-voluntary foster care. It is estimated to produce lifetime cost savings of $295,000 per family. &#10;&#10;The third example is a lifestyle intervention for gestational diabetes. It involves providing people at risk of gestational diabetes with diet and physical activity interventions. The program is cost-saving over the lifetime of program participants, returning $1.22 per dollar invested. &#10;&#10;The last example is the SunSmart campaign for skin cancer awareness, which involves community programs and mass media campaigns to promote sun-safe behaviour. The program is estimated to have prevented more than 43,000 skin cancers in Victoria between 1988-2010. In Western Australia, the return to government was estimated to be $8.70 for every $1 invested.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130" cy="3357880"/>
                    </a:xfrm>
                    <a:prstGeom prst="rect">
                      <a:avLst/>
                    </a:prstGeom>
                    <a:noFill/>
                    <a:ln>
                      <a:noFill/>
                    </a:ln>
                  </pic:spPr>
                </pic:pic>
              </a:graphicData>
            </a:graphic>
          </wp:inline>
        </w:drawing>
      </w:r>
      <w:r w:rsidRPr="005D1531">
        <w:rPr>
          <w:lang w:val="fr-CA"/>
        </w:rPr>
        <w:t xml:space="preserve"> </w:t>
      </w:r>
    </w:p>
    <w:p w14:paraId="499810AA" w14:textId="02814909" w:rsidR="00B809D1" w:rsidRPr="005D1531" w:rsidRDefault="00B809D1" w:rsidP="00F96E43">
      <w:pPr>
        <w:pStyle w:val="Source"/>
      </w:pPr>
      <w:r w:rsidRPr="5CE753EB">
        <w:rPr>
          <w:lang w:val="fr-CA"/>
        </w:rPr>
        <w:t>Source:</w:t>
      </w:r>
      <w:r>
        <w:rPr>
          <w:lang w:val="fr-CA"/>
        </w:rPr>
        <w:t xml:space="preserve"> Brown et al. </w:t>
      </w:r>
      <w:r w:rsidRPr="0086564A">
        <w:rPr>
          <w:rFonts w:ascii="Arial" w:hAnsi="Arial" w:cs="Arial"/>
          <w:lang w:val="fr-CA"/>
        </w:rPr>
        <w:t>(2024)</w:t>
      </w:r>
      <w:r>
        <w:rPr>
          <w:lang w:val="fr-CA"/>
        </w:rPr>
        <w:t xml:space="preserve">; Collins et al. </w:t>
      </w:r>
      <w:r w:rsidRPr="005D1531">
        <w:rPr>
          <w:rFonts w:ascii="Arial" w:hAnsi="Arial" w:cs="Arial"/>
          <w:lang w:val="fr-CA"/>
        </w:rPr>
        <w:t>(2024)</w:t>
      </w:r>
      <w:r w:rsidRPr="005D1531">
        <w:rPr>
          <w:lang w:val="fr-CA"/>
        </w:rPr>
        <w:t xml:space="preserve">; Coram et al. </w:t>
      </w:r>
      <w:r w:rsidRPr="005D1531">
        <w:rPr>
          <w:rFonts w:ascii="Arial" w:hAnsi="Arial" w:cs="Arial"/>
          <w:lang w:val="fr-CA"/>
        </w:rPr>
        <w:t>(2022)</w:t>
      </w:r>
      <w:r w:rsidRPr="005D1531">
        <w:rPr>
          <w:lang w:val="fr-CA"/>
        </w:rPr>
        <w:t xml:space="preserve">; Dalziel and Segal </w:t>
      </w:r>
      <w:r w:rsidRPr="005D1531">
        <w:rPr>
          <w:rFonts w:ascii="Arial" w:hAnsi="Arial" w:cs="Arial"/>
          <w:lang w:val="fr-CA"/>
        </w:rPr>
        <w:t>(2012)</w:t>
      </w:r>
      <w:r w:rsidRPr="005D1531">
        <w:rPr>
          <w:lang w:val="fr-CA"/>
        </w:rPr>
        <w:t xml:space="preserve">; Lloyd et al. </w:t>
      </w:r>
      <w:r w:rsidRPr="00C64CAE">
        <w:rPr>
          <w:rFonts w:ascii="Arial" w:hAnsi="Arial" w:cs="Arial"/>
        </w:rPr>
        <w:t>(2023)</w:t>
      </w:r>
      <w:r w:rsidRPr="0086564A">
        <w:t xml:space="preserve">; Quinlivan et al. </w:t>
      </w:r>
      <w:r w:rsidRPr="00236C46">
        <w:rPr>
          <w:rFonts w:ascii="Arial" w:hAnsi="Arial" w:cs="Arial"/>
        </w:rPr>
        <w:t>(2003)</w:t>
      </w:r>
      <w:r w:rsidRPr="005D1531">
        <w:t xml:space="preserve">; Roggenbuck </w:t>
      </w:r>
      <w:r w:rsidRPr="00B072A3">
        <w:rPr>
          <w:rFonts w:ascii="Arial" w:hAnsi="Arial" w:cs="Arial"/>
        </w:rPr>
        <w:t>(2022)</w:t>
      </w:r>
      <w:r w:rsidRPr="005D1531">
        <w:t xml:space="preserve">; Shih et al. </w:t>
      </w:r>
      <w:r w:rsidRPr="00EE3D6D">
        <w:rPr>
          <w:rFonts w:ascii="Arial" w:hAnsi="Arial" w:cs="Arial"/>
        </w:rPr>
        <w:t>(2017)</w:t>
      </w:r>
      <w:r w:rsidRPr="005D1531">
        <w:t>.</w:t>
      </w:r>
    </w:p>
    <w:p w14:paraId="1F269784" w14:textId="73379763" w:rsidR="00B809D1" w:rsidRDefault="00F031DD">
      <w:pPr>
        <w:pStyle w:val="Heading4"/>
      </w:pPr>
      <w:r>
        <w:t>T</w:t>
      </w:r>
      <w:r w:rsidR="00B809D1">
        <w:t>he potential gains are large</w:t>
      </w:r>
    </w:p>
    <w:p w14:paraId="268F6E8F" w14:textId="15990D9F" w:rsidR="00B809D1" w:rsidRDefault="00B809D1">
      <w:pPr>
        <w:pStyle w:val="BodyText"/>
      </w:pPr>
      <w:r>
        <w:t xml:space="preserve">Benefits from prevention and early intervention can be substantial, both for governments and the people that benefit directly. But they can accrue over a longer timeframe than governments usually budget for. For example, lifestyle interventions to prevent gestational diabetes can confer health benefits for women over the remainder of their life </w:t>
      </w:r>
      <w:r w:rsidRPr="00385A55">
        <w:rPr>
          <w:rFonts w:ascii="Arial" w:hAnsi="Arial" w:cs="Arial"/>
        </w:rPr>
        <w:t>(Lloyd et al. 2023)</w:t>
      </w:r>
      <w:r>
        <w:t xml:space="preserve">. The timeframe within which there is a return (the monetary value of the total net benefits relative to the cost of the intervention) on investment will depend on the intervention and the rate at which future benefits are </w:t>
      </w:r>
      <w:r w:rsidR="004C0FBA">
        <w:t>‘</w:t>
      </w:r>
      <w:r>
        <w:t>discounted</w:t>
      </w:r>
      <w:r w:rsidR="004C0FBA">
        <w:t>’</w:t>
      </w:r>
      <w:r>
        <w:t>.</w:t>
      </w:r>
    </w:p>
    <w:p w14:paraId="679121FD" w14:textId="77777777" w:rsidR="00B809D1" w:rsidRDefault="00B809D1">
      <w:r>
        <w:t xml:space="preserve">Estimating the expected net benefits from a suite of prevention and early intervention actions is complex. It depends on the amount of investment, the expected return and the timeframe over which that return is </w:t>
      </w:r>
      <w:r>
        <w:lastRenderedPageBreak/>
        <w:t>realised. For example, a bundle of evidence</w:t>
      </w:r>
      <w:r>
        <w:noBreakHyphen/>
        <w:t>based prevention and early intervention programs could be expected to return a net benefit to taxpayers after about five years. Spending $1 would be expected to return around $2.09 in fiscal benefits to the taxpayer within a 10</w:t>
      </w:r>
      <w:r>
        <w:noBreakHyphen/>
        <w:t>year period.</w:t>
      </w:r>
      <w:r w:rsidRPr="002B0A03">
        <w:rPr>
          <w:rStyle w:val="FootnoteReference"/>
        </w:rPr>
        <w:footnoteReference w:id="23"/>
      </w:r>
      <w:r>
        <w:t xml:space="preserve"> In addition, </w:t>
      </w:r>
      <w:r w:rsidRPr="006C41D2">
        <w:t xml:space="preserve">health, social and economic </w:t>
      </w:r>
      <w:r>
        <w:t>benefits worth $3.96 would accrue to participants and community.</w:t>
      </w:r>
    </w:p>
    <w:p w14:paraId="45D1D009" w14:textId="77777777" w:rsidR="00B809D1" w:rsidRPr="005A5C9C" w:rsidRDefault="00B809D1">
      <w:pPr>
        <w:pStyle w:val="Heading3"/>
      </w:pPr>
      <w:r>
        <w:t xml:space="preserve">There are persistent barriers to investment </w:t>
      </w:r>
    </w:p>
    <w:p w14:paraId="1D26BD0B" w14:textId="51BC84A5" w:rsidR="00B809D1" w:rsidRDefault="00B809D1">
      <w:pPr>
        <w:pStyle w:val="BodyText"/>
        <w:rPr>
          <w:rFonts w:eastAsia="Arial"/>
        </w:rPr>
      </w:pPr>
      <w:r w:rsidRPr="005A5C9C">
        <w:rPr>
          <w:rFonts w:eastAsia="Arial"/>
        </w:rPr>
        <w:t>Despite the benefits</w:t>
      </w:r>
      <w:r>
        <w:rPr>
          <w:rFonts w:eastAsia="Arial"/>
        </w:rPr>
        <w:t>,</w:t>
      </w:r>
      <w:r w:rsidRPr="005A5C9C">
        <w:rPr>
          <w:rFonts w:eastAsia="Arial"/>
        </w:rPr>
        <w:t xml:space="preserve"> governments </w:t>
      </w:r>
      <w:r>
        <w:rPr>
          <w:rFonts w:eastAsia="Arial"/>
        </w:rPr>
        <w:t>tend to</w:t>
      </w:r>
      <w:r w:rsidRPr="005A5C9C">
        <w:rPr>
          <w:rFonts w:eastAsia="Arial"/>
        </w:rPr>
        <w:t xml:space="preserve"> underinvest in </w:t>
      </w:r>
      <w:r>
        <w:rPr>
          <w:rFonts w:eastAsia="Arial"/>
        </w:rPr>
        <w:t xml:space="preserve">early intervention and </w:t>
      </w:r>
      <w:r w:rsidRPr="005A5C9C">
        <w:rPr>
          <w:rFonts w:eastAsia="Arial"/>
        </w:rPr>
        <w:t>prevention</w:t>
      </w:r>
      <w:r>
        <w:rPr>
          <w:rFonts w:eastAsia="Arial"/>
        </w:rPr>
        <w:t>, favouring care expenditure that may deliver more immediate returns</w:t>
      </w:r>
      <w:r w:rsidRPr="005A5C9C">
        <w:rPr>
          <w:rFonts w:eastAsia="Arial"/>
        </w:rPr>
        <w:t xml:space="preserve">. </w:t>
      </w:r>
      <w:r>
        <w:rPr>
          <w:rFonts w:eastAsia="Arial"/>
        </w:rPr>
        <w:t>In health care alone,</w:t>
      </w:r>
      <w:r w:rsidRPr="005A5C9C">
        <w:rPr>
          <w:rFonts w:eastAsia="Arial"/>
        </w:rPr>
        <w:t xml:space="preserve"> Australia ranked 2</w:t>
      </w:r>
      <w:r>
        <w:rPr>
          <w:rFonts w:eastAsia="Arial"/>
        </w:rPr>
        <w:t>7</w:t>
      </w:r>
      <w:r w:rsidRPr="005A5C9C">
        <w:rPr>
          <w:rFonts w:eastAsia="Arial"/>
          <w:vertAlign w:val="superscript"/>
        </w:rPr>
        <w:t>th</w:t>
      </w:r>
      <w:r w:rsidRPr="005A5C9C">
        <w:rPr>
          <w:rFonts w:eastAsia="Arial"/>
        </w:rPr>
        <w:t xml:space="preserve"> out of </w:t>
      </w:r>
      <w:r>
        <w:rPr>
          <w:rFonts w:eastAsia="Arial"/>
        </w:rPr>
        <w:t xml:space="preserve">the </w:t>
      </w:r>
      <w:r w:rsidRPr="005A5C9C">
        <w:rPr>
          <w:rFonts w:eastAsia="Arial"/>
        </w:rPr>
        <w:t>3</w:t>
      </w:r>
      <w:r>
        <w:rPr>
          <w:rFonts w:eastAsia="Arial"/>
        </w:rPr>
        <w:t>6</w:t>
      </w:r>
      <w:r w:rsidRPr="005A5C9C">
        <w:rPr>
          <w:rFonts w:eastAsia="Arial"/>
        </w:rPr>
        <w:t xml:space="preserve"> OECD countries</w:t>
      </w:r>
      <w:r>
        <w:rPr>
          <w:rFonts w:eastAsia="Arial"/>
        </w:rPr>
        <w:t xml:space="preserve"> that reported their </w:t>
      </w:r>
      <w:r w:rsidRPr="005A5C9C">
        <w:rPr>
          <w:rFonts w:eastAsia="Arial"/>
        </w:rPr>
        <w:t>proportion of health spending on prevention in 201</w:t>
      </w:r>
      <w:r>
        <w:rPr>
          <w:rFonts w:eastAsia="Arial"/>
        </w:rPr>
        <w:t>9</w:t>
      </w:r>
      <w:r w:rsidRPr="005A5C9C">
        <w:rPr>
          <w:rFonts w:eastAsia="Arial"/>
        </w:rPr>
        <w:t xml:space="preserve"> </w:t>
      </w:r>
      <w:r w:rsidR="00CD75B1" w:rsidRPr="00CD75B1">
        <w:rPr>
          <w:rFonts w:ascii="Arial" w:hAnsi="Arial" w:cs="Arial"/>
        </w:rPr>
        <w:t>(OECD 2025)</w:t>
      </w:r>
      <w:r w:rsidRPr="005A5C9C">
        <w:rPr>
          <w:rFonts w:eastAsia="Arial"/>
        </w:rPr>
        <w:t>. In 201</w:t>
      </w:r>
      <w:r>
        <w:rPr>
          <w:rFonts w:eastAsia="Arial"/>
        </w:rPr>
        <w:t>9</w:t>
      </w:r>
      <w:r w:rsidRPr="005A5C9C">
        <w:rPr>
          <w:rFonts w:eastAsia="Arial"/>
        </w:rPr>
        <w:t xml:space="preserve">, </w:t>
      </w:r>
      <w:r>
        <w:rPr>
          <w:rFonts w:eastAsia="Arial"/>
        </w:rPr>
        <w:t xml:space="preserve">Australia </w:t>
      </w:r>
      <w:r w:rsidRPr="005A5C9C">
        <w:rPr>
          <w:rFonts w:eastAsia="Arial"/>
        </w:rPr>
        <w:t xml:space="preserve">allocated </w:t>
      </w:r>
      <w:r>
        <w:rPr>
          <w:rFonts w:eastAsia="Arial"/>
        </w:rPr>
        <w:t>2</w:t>
      </w:r>
      <w:r w:rsidRPr="005A5C9C">
        <w:rPr>
          <w:rFonts w:eastAsia="Arial"/>
        </w:rPr>
        <w:t>% of health spending</w:t>
      </w:r>
      <w:r>
        <w:rPr>
          <w:rFonts w:eastAsia="Arial"/>
        </w:rPr>
        <w:t xml:space="preserve"> – roughly 0.2% of GDP –</w:t>
      </w:r>
      <w:r w:rsidRPr="005A5C9C">
        <w:rPr>
          <w:rFonts w:eastAsia="Arial"/>
        </w:rPr>
        <w:t xml:space="preserve"> to prevention </w:t>
      </w:r>
      <w:r w:rsidR="00CD75B1" w:rsidRPr="00CD75B1">
        <w:rPr>
          <w:rFonts w:ascii="Arial" w:hAnsi="Arial" w:cs="Arial"/>
        </w:rPr>
        <w:t>(OECD 2025)</w:t>
      </w:r>
      <w:r w:rsidRPr="005A5C9C">
        <w:rPr>
          <w:rFonts w:eastAsia="Arial"/>
        </w:rPr>
        <w:t xml:space="preserve">. </w:t>
      </w:r>
    </w:p>
    <w:p w14:paraId="722F0551" w14:textId="405BDAF3" w:rsidR="00B809D1" w:rsidRDefault="00B809D1">
      <w:pPr>
        <w:pStyle w:val="BodyText"/>
        <w:rPr>
          <w:rFonts w:eastAsia="Arial"/>
        </w:rPr>
      </w:pPr>
      <w:r>
        <w:rPr>
          <w:rFonts w:eastAsia="Arial"/>
        </w:rPr>
        <w:t xml:space="preserve">The </w:t>
      </w:r>
      <w:r w:rsidRPr="005A5C9C">
        <w:rPr>
          <w:rFonts w:eastAsia="Arial"/>
        </w:rPr>
        <w:t xml:space="preserve">Australian Government’s National </w:t>
      </w:r>
      <w:r>
        <w:rPr>
          <w:rFonts w:eastAsia="Arial"/>
        </w:rPr>
        <w:t>Preventive</w:t>
      </w:r>
      <w:r w:rsidRPr="005A5C9C">
        <w:rPr>
          <w:rFonts w:eastAsia="Arial"/>
        </w:rPr>
        <w:t xml:space="preserve"> Health Strategy</w:t>
      </w:r>
      <w:r>
        <w:rPr>
          <w:rFonts w:eastAsia="Arial"/>
        </w:rPr>
        <w:t xml:space="preserve"> acknowledges this </w:t>
      </w:r>
      <w:proofErr w:type="gramStart"/>
      <w:r>
        <w:rPr>
          <w:rFonts w:eastAsia="Arial"/>
        </w:rPr>
        <w:t>shortfall, and</w:t>
      </w:r>
      <w:proofErr w:type="gramEnd"/>
      <w:r>
        <w:rPr>
          <w:rFonts w:eastAsia="Arial"/>
        </w:rPr>
        <w:t xml:space="preserve"> </w:t>
      </w:r>
      <w:r w:rsidRPr="005A5C9C">
        <w:rPr>
          <w:rFonts w:eastAsia="Arial"/>
        </w:rPr>
        <w:t xml:space="preserve">sets a target of 5% for the share of total </w:t>
      </w:r>
      <w:r>
        <w:rPr>
          <w:rFonts w:eastAsia="Arial"/>
        </w:rPr>
        <w:t xml:space="preserve">government </w:t>
      </w:r>
      <w:r w:rsidRPr="005A5C9C">
        <w:rPr>
          <w:rFonts w:eastAsia="Arial"/>
        </w:rPr>
        <w:t>health expenditure going into prevention</w:t>
      </w:r>
      <w:r>
        <w:rPr>
          <w:rFonts w:eastAsia="Arial"/>
        </w:rPr>
        <w:t xml:space="preserve"> by 2030 </w:t>
      </w:r>
      <w:r w:rsidR="00C36B44" w:rsidRPr="00C36B44">
        <w:rPr>
          <w:rFonts w:ascii="Arial" w:hAnsi="Arial" w:cs="Arial"/>
          <w:szCs w:val="24"/>
          <w:lang w:val="en-GB"/>
        </w:rPr>
        <w:t>(</w:t>
      </w:r>
      <w:proofErr w:type="spellStart"/>
      <w:r w:rsidR="00C36B44" w:rsidRPr="00C36B44">
        <w:rPr>
          <w:rFonts w:ascii="Arial" w:hAnsi="Arial" w:cs="Arial"/>
          <w:szCs w:val="24"/>
          <w:lang w:val="en-GB"/>
        </w:rPr>
        <w:t>DoH</w:t>
      </w:r>
      <w:proofErr w:type="spellEnd"/>
      <w:r w:rsidR="00C36B44" w:rsidRPr="00C36B44">
        <w:rPr>
          <w:rFonts w:ascii="Arial" w:hAnsi="Arial" w:cs="Arial"/>
          <w:szCs w:val="24"/>
          <w:lang w:val="en-GB"/>
        </w:rPr>
        <w:t> 2021c)</w:t>
      </w:r>
      <w:r w:rsidRPr="005A5C9C">
        <w:rPr>
          <w:rFonts w:eastAsia="Arial"/>
        </w:rPr>
        <w:t>. While this target is</w:t>
      </w:r>
      <w:r>
        <w:rPr>
          <w:rFonts w:eastAsia="Arial"/>
        </w:rPr>
        <w:t xml:space="preserve"> somewhat</w:t>
      </w:r>
      <w:r w:rsidRPr="005A5C9C">
        <w:rPr>
          <w:rFonts w:eastAsia="Arial"/>
        </w:rPr>
        <w:t xml:space="preserve"> arbitrary, it </w:t>
      </w:r>
      <w:r>
        <w:rPr>
          <w:rFonts w:eastAsia="Arial"/>
        </w:rPr>
        <w:t>reflects the reality that the scale of funding needs to be large enough to make a meaningful difference</w:t>
      </w:r>
      <w:r w:rsidRPr="005A5C9C">
        <w:rPr>
          <w:rFonts w:eastAsia="Arial"/>
        </w:rPr>
        <w:t>.</w:t>
      </w:r>
      <w:r>
        <w:rPr>
          <w:rFonts w:eastAsia="Arial"/>
        </w:rPr>
        <w:t xml:space="preserve"> E</w:t>
      </w:r>
      <w:r w:rsidRPr="005A5C9C">
        <w:rPr>
          <w:rFonts w:eastAsia="Arial"/>
        </w:rPr>
        <w:t xml:space="preserve">vidence from Canada suggests that </w:t>
      </w:r>
      <w:r>
        <w:rPr>
          <w:rFonts w:eastAsia="Arial"/>
        </w:rPr>
        <w:t>higher public health</w:t>
      </w:r>
      <w:r w:rsidRPr="005A5C9C">
        <w:rPr>
          <w:rFonts w:eastAsia="Arial"/>
        </w:rPr>
        <w:t xml:space="preserve"> expenditure </w:t>
      </w:r>
      <w:r>
        <w:rPr>
          <w:rFonts w:eastAsia="Arial"/>
        </w:rPr>
        <w:t>is associated with</w:t>
      </w:r>
      <w:r w:rsidRPr="005A5C9C">
        <w:rPr>
          <w:rFonts w:eastAsia="Arial"/>
        </w:rPr>
        <w:t xml:space="preserve"> </w:t>
      </w:r>
      <w:r>
        <w:rPr>
          <w:rFonts w:eastAsia="Arial"/>
        </w:rPr>
        <w:t>a</w:t>
      </w:r>
      <w:r w:rsidRPr="005A5C9C">
        <w:rPr>
          <w:rFonts w:eastAsia="Arial"/>
        </w:rPr>
        <w:t xml:space="preserve"> </w:t>
      </w:r>
      <w:r>
        <w:rPr>
          <w:rFonts w:eastAsia="Arial"/>
        </w:rPr>
        <w:t>long</w:t>
      </w:r>
      <w:r>
        <w:rPr>
          <w:rFonts w:eastAsia="Arial"/>
        </w:rPr>
        <w:noBreakHyphen/>
        <w:t xml:space="preserve">run </w:t>
      </w:r>
      <w:r w:rsidRPr="005A5C9C">
        <w:rPr>
          <w:rFonts w:eastAsia="Arial"/>
        </w:rPr>
        <w:t>decrease in preventable mortality</w:t>
      </w:r>
      <w:r>
        <w:rPr>
          <w:rFonts w:eastAsia="Arial"/>
        </w:rPr>
        <w:t xml:space="preserve"> and that failure to fund prevention adequately may harm populations over time </w:t>
      </w:r>
      <w:r w:rsidRPr="00385A55">
        <w:rPr>
          <w:rFonts w:cs="Arial"/>
        </w:rPr>
        <w:t>(Ammi et al. 2024)</w:t>
      </w:r>
      <w:r w:rsidRPr="005A5C9C">
        <w:rPr>
          <w:rFonts w:eastAsia="Arial"/>
        </w:rPr>
        <w:t>.</w:t>
      </w:r>
    </w:p>
    <w:p w14:paraId="10EBE8B8" w14:textId="77777777" w:rsidR="00B809D1" w:rsidRPr="00986796" w:rsidRDefault="00B809D1">
      <w:pPr>
        <w:pStyle w:val="BodyText"/>
      </w:pPr>
      <w:r>
        <w:t xml:space="preserve">Underinvestment in prevention and early intervention is commonly attributed to systematic issues in the way government agencies and departments work together to solve issues, allocate funding and measure the impact of policies. </w:t>
      </w:r>
    </w:p>
    <w:p w14:paraId="454B8AB9" w14:textId="36A69091" w:rsidR="00B809D1" w:rsidRPr="0030698E" w:rsidRDefault="00B809D1" w:rsidP="00B809D1">
      <w:pPr>
        <w:pStyle w:val="ListBullet"/>
      </w:pPr>
      <w:r w:rsidRPr="00986796">
        <w:rPr>
          <w:b/>
        </w:rPr>
        <w:t>Misalignment between who benefits and who funds</w:t>
      </w:r>
      <w:r w:rsidRPr="0030698E">
        <w:t xml:space="preserve">: </w:t>
      </w:r>
      <w:r>
        <w:t>P</w:t>
      </w:r>
      <w:r w:rsidRPr="0030698E">
        <w:t xml:space="preserve">revention </w:t>
      </w:r>
      <w:r>
        <w:t xml:space="preserve">and early intervention </w:t>
      </w:r>
      <w:r w:rsidRPr="0030698E">
        <w:t>deliver cross</w:t>
      </w:r>
      <w:r>
        <w:noBreakHyphen/>
        <w:t>portfolio</w:t>
      </w:r>
      <w:r w:rsidRPr="0030698E">
        <w:t xml:space="preserve"> benefits but the agency and level of government that funds a program is not always the same as those that benefit (through future avoided costs). Budget processes rarely support collaboration, leading agencies to prioritise their own objectives and undervalue the shared gains of prevention </w:t>
      </w:r>
      <w:r w:rsidRPr="00385A55">
        <w:rPr>
          <w:rFonts w:ascii="Arial" w:hAnsi="Arial" w:cs="Arial"/>
        </w:rPr>
        <w:t>(ANZSOG 2022, p. 5)</w:t>
      </w:r>
      <w:r w:rsidRPr="0030698E">
        <w:t xml:space="preserve">. </w:t>
      </w:r>
    </w:p>
    <w:p w14:paraId="7E15B7AA" w14:textId="77777777" w:rsidR="00B809D1" w:rsidRPr="0030698E" w:rsidRDefault="00B809D1" w:rsidP="00B809D1">
      <w:pPr>
        <w:pStyle w:val="ListBullet"/>
      </w:pPr>
      <w:r w:rsidRPr="14F61490">
        <w:rPr>
          <w:b/>
          <w:bCs/>
        </w:rPr>
        <w:t>Short</w:t>
      </w:r>
      <w:r>
        <w:rPr>
          <w:b/>
          <w:bCs/>
        </w:rPr>
        <w:noBreakHyphen/>
      </w:r>
      <w:r w:rsidRPr="14F61490">
        <w:rPr>
          <w:b/>
          <w:bCs/>
        </w:rPr>
        <w:t>term thinking</w:t>
      </w:r>
      <w:r w:rsidRPr="0030698E">
        <w:t xml:space="preserve">: </w:t>
      </w:r>
      <w:r>
        <w:t>U</w:t>
      </w:r>
      <w:r w:rsidRPr="00986796">
        <w:t>ncertainty and delayed returns over long timeframes</w:t>
      </w:r>
      <w:r>
        <w:t xml:space="preserve"> often discourage g</w:t>
      </w:r>
      <w:r w:rsidRPr="00986796">
        <w:t xml:space="preserve">overnments </w:t>
      </w:r>
      <w:r>
        <w:t>from</w:t>
      </w:r>
      <w:r w:rsidRPr="00986796">
        <w:t xml:space="preserve"> invest</w:t>
      </w:r>
      <w:r>
        <w:t>ing</w:t>
      </w:r>
      <w:r w:rsidRPr="00986796">
        <w:t xml:space="preserve"> in prevention </w:t>
      </w:r>
      <w:r>
        <w:t>and early intervention</w:t>
      </w:r>
      <w:r w:rsidRPr="00986796">
        <w:t xml:space="preserve">. Unlike acute care, prevention </w:t>
      </w:r>
      <w:r>
        <w:t xml:space="preserve">and early intervention </w:t>
      </w:r>
      <w:r w:rsidRPr="00986796">
        <w:t xml:space="preserve">require upfront investment based on </w:t>
      </w:r>
      <w:r>
        <w:t xml:space="preserve">the </w:t>
      </w:r>
      <w:r w:rsidRPr="00986796">
        <w:t xml:space="preserve">expectation of </w:t>
      </w:r>
      <w:r>
        <w:t>long</w:t>
      </w:r>
      <w:r>
        <w:noBreakHyphen/>
        <w:t>term</w:t>
      </w:r>
      <w:r w:rsidRPr="00986796">
        <w:t xml:space="preserve"> benefits that often manifest beyond the four</w:t>
      </w:r>
      <w:r>
        <w:noBreakHyphen/>
      </w:r>
      <w:r w:rsidRPr="00986796">
        <w:t xml:space="preserve">year budget cycle. While evaluations can </w:t>
      </w:r>
      <w:r>
        <w:t>help build</w:t>
      </w:r>
      <w:r w:rsidRPr="00986796">
        <w:t xml:space="preserve"> confidence in specific interventions, they take time and resources.</w:t>
      </w:r>
    </w:p>
    <w:p w14:paraId="2233FA82" w14:textId="4613730A" w:rsidR="00B809D1" w:rsidRPr="00752CF7" w:rsidRDefault="00B809D1" w:rsidP="00B809D1">
      <w:pPr>
        <w:pStyle w:val="ListBullet"/>
      </w:pPr>
      <w:r w:rsidRPr="00986796">
        <w:rPr>
          <w:b/>
        </w:rPr>
        <w:t>Budgeting rules</w:t>
      </w:r>
      <w:r>
        <w:t xml:space="preserve">: </w:t>
      </w:r>
      <w:r w:rsidDel="0030698E">
        <w:t>B</w:t>
      </w:r>
      <w:r>
        <w:t>udgeting rules can limit the ability of decision</w:t>
      </w:r>
      <w:r>
        <w:noBreakHyphen/>
        <w:t>makers to consider the flow</w:t>
      </w:r>
      <w:r>
        <w:noBreakHyphen/>
        <w:t>on effects of policy proposals including savings that accrue due to decreased demand for government services across different portfolios and savings that occur over longer timeframes</w:t>
      </w:r>
      <w:r w:rsidDel="006C69CA">
        <w:fldChar w:fldCharType="begin"/>
      </w:r>
      <w:r w:rsidDel="006C69CA">
        <w:fldChar w:fldCharType="separate"/>
      </w:r>
      <w:r w:rsidRPr="0030698E" w:rsidDel="006C69CA">
        <w:rPr>
          <w:rFonts w:ascii="Arial" w:hAnsi="Arial" w:cs="Arial"/>
        </w:rPr>
        <w:t>(Bowles et al. 2025; CPD 2025; Gaukroger and Phillips 2024)</w:t>
      </w:r>
      <w:r w:rsidDel="006C69CA">
        <w:fldChar w:fldCharType="end"/>
      </w:r>
      <w:r>
        <w:t>. While Treasury and/or Finance could in principle consider these effects in decision</w:t>
      </w:r>
      <w:r>
        <w:noBreakHyphen/>
        <w:t>making, and have done so in limited circumstances, policy costings generally only consider the immediate direct effects of a policy change (box </w:t>
      </w:r>
      <w:r w:rsidR="00E81004">
        <w:t>3.3</w:t>
      </w:r>
      <w:r>
        <w:t xml:space="preserve">). </w:t>
      </w:r>
      <w:r w:rsidR="009018FD">
        <w:t>R</w:t>
      </w:r>
      <w:r w:rsidR="00D24852">
        <w:t xml:space="preserve">estrictions on </w:t>
      </w:r>
      <w:r w:rsidR="009018FD">
        <w:t>including</w:t>
      </w:r>
      <w:r w:rsidR="00D24852">
        <w:t xml:space="preserve"> flow-on effects </w:t>
      </w:r>
      <w:r w:rsidR="00A92893">
        <w:t>ensure</w:t>
      </w:r>
      <w:r w:rsidR="00D24852">
        <w:t xml:space="preserve"> </w:t>
      </w:r>
      <w:r w:rsidR="00A92893">
        <w:t xml:space="preserve">that </w:t>
      </w:r>
      <w:r w:rsidR="00016C5B">
        <w:t>benefits that can</w:t>
      </w:r>
      <w:r w:rsidR="009018FD">
        <w:t>not</w:t>
      </w:r>
      <w:r w:rsidR="00016C5B">
        <w:t xml:space="preserve"> be </w:t>
      </w:r>
      <w:r w:rsidR="005A639F">
        <w:t>directly</w:t>
      </w:r>
      <w:r w:rsidR="00016C5B">
        <w:t xml:space="preserve"> estimated are excluded from formal</w:t>
      </w:r>
      <w:r w:rsidR="009814F3">
        <w:t xml:space="preserve"> costings. </w:t>
      </w:r>
      <w:r w:rsidR="009018FD">
        <w:t>However</w:t>
      </w:r>
      <w:r w:rsidR="009814F3">
        <w:t>, i</w:t>
      </w:r>
      <w:r>
        <w:t>nquiry participants have argued that increased recognition of flow</w:t>
      </w:r>
      <w:r>
        <w:noBreakHyphen/>
        <w:t>on effects of proposals across different portfolios and longer timeframes (especially when fiscal effects can be quantified with greater accuracy) would promote investment in prevention and early intervention.</w:t>
      </w:r>
      <w:r w:rsidRPr="002B0A03">
        <w:rPr>
          <w:rStyle w:val="FootnoteReference"/>
        </w:rPr>
        <w:footnoteReference w:id="24"/>
      </w:r>
      <w:r>
        <w:t xml:space="preserve"> </w:t>
      </w:r>
    </w:p>
    <w:p w14:paraId="3F1E098B" w14:textId="0EFD8327" w:rsidR="00B809D1" w:rsidRDefault="00B809D1" w:rsidP="00B809D1">
      <w:pPr>
        <w:pStyle w:val="ListBullet"/>
      </w:pPr>
      <w:r>
        <w:rPr>
          <w:b/>
        </w:rPr>
        <w:t>Evidence on effectiveness and long term benefits</w:t>
      </w:r>
      <w:r>
        <w:t xml:space="preserve">: </w:t>
      </w:r>
      <w:r w:rsidDel="00A26F82">
        <w:t>I</w:t>
      </w:r>
      <w:r>
        <w:t xml:space="preserve">nquiry participants reported that difficulties in accurately measuring and attributing the full economic and social value of prevention – and in particular, the extent to which prevention programs can deliver fiscal savings – leads to scepticism of the benefits of </w:t>
      </w:r>
      <w:r>
        <w:lastRenderedPageBreak/>
        <w:t>programs and presents a significant barrier to funding.</w:t>
      </w:r>
      <w:r w:rsidRPr="002B0A03">
        <w:rPr>
          <w:rStyle w:val="FootnoteReference"/>
        </w:rPr>
        <w:footnoteReference w:id="25"/>
      </w:r>
      <w:r>
        <w:t xml:space="preserve"> </w:t>
      </w:r>
      <w:r w:rsidRPr="005A5C9C">
        <w:t xml:space="preserve">Multiple reports have recognised </w:t>
      </w:r>
      <w:r>
        <w:t>the need for more</w:t>
      </w:r>
      <w:r w:rsidRPr="005A5C9C">
        <w:t xml:space="preserve"> high</w:t>
      </w:r>
      <w:r>
        <w:noBreakHyphen/>
      </w:r>
      <w:r w:rsidRPr="005A5C9C">
        <w:t>quality</w:t>
      </w:r>
      <w:r>
        <w:t>,</w:t>
      </w:r>
      <w:r w:rsidRPr="005A5C9C">
        <w:t xml:space="preserve"> publicly available evaluations</w:t>
      </w:r>
      <w:r>
        <w:t xml:space="preserve"> </w:t>
      </w:r>
      <w:r w:rsidRPr="00385A55">
        <w:rPr>
          <w:rFonts w:ascii="Arial" w:hAnsi="Arial" w:cs="Arial"/>
        </w:rPr>
        <w:t>(</w:t>
      </w:r>
      <w:proofErr w:type="spellStart"/>
      <w:r w:rsidRPr="00385A55">
        <w:rPr>
          <w:rFonts w:ascii="Arial" w:hAnsi="Arial" w:cs="Arial"/>
        </w:rPr>
        <w:t>Ananthapavan</w:t>
      </w:r>
      <w:proofErr w:type="spellEnd"/>
      <w:r w:rsidRPr="00385A55">
        <w:rPr>
          <w:rFonts w:ascii="Arial" w:hAnsi="Arial" w:cs="Arial"/>
        </w:rPr>
        <w:t xml:space="preserve"> et al. 2024, pp. 28–29; PC 2021, p. 29; Wise et al. 2005, p. 48)</w:t>
      </w:r>
      <w:r>
        <w:t xml:space="preserve"> but such evaluations</w:t>
      </w:r>
      <w:r w:rsidRPr="005A5C9C">
        <w:t xml:space="preserve"> </w:t>
      </w:r>
      <w:r>
        <w:rPr>
          <w:rFonts w:ascii="Arial" w:eastAsia="Arial" w:hAnsi="Arial" w:cs="Times New Roman"/>
        </w:rPr>
        <w:t>are</w:t>
      </w:r>
      <w:r w:rsidRPr="005A5C9C">
        <w:rPr>
          <w:rFonts w:ascii="Arial" w:eastAsia="Arial" w:hAnsi="Arial" w:cs="Times New Roman"/>
        </w:rPr>
        <w:t xml:space="preserve"> </w:t>
      </w:r>
      <w:r>
        <w:rPr>
          <w:rFonts w:ascii="Arial" w:eastAsia="Arial" w:hAnsi="Arial" w:cs="Times New Roman"/>
        </w:rPr>
        <w:t>difficult</w:t>
      </w:r>
      <w:r w:rsidRPr="005A5C9C">
        <w:rPr>
          <w:rFonts w:ascii="Arial" w:eastAsia="Arial" w:hAnsi="Arial" w:cs="Times New Roman"/>
        </w:rPr>
        <w:t xml:space="preserve"> </w:t>
      </w:r>
      <w:r>
        <w:rPr>
          <w:rFonts w:ascii="Arial" w:eastAsia="Arial" w:hAnsi="Arial" w:cs="Times New Roman"/>
        </w:rPr>
        <w:t>to conduct due to the lack of accessible high</w:t>
      </w:r>
      <w:r>
        <w:rPr>
          <w:rFonts w:ascii="Arial" w:eastAsia="Arial" w:hAnsi="Arial" w:cs="Times New Roman"/>
        </w:rPr>
        <w:noBreakHyphen/>
        <w:t xml:space="preserve">quality data to track outcomes, the long timeframes that are needed to track outcomes and a lack of dedicated funding for evaluation </w:t>
      </w:r>
      <w:r w:rsidRPr="00385A55">
        <w:rPr>
          <w:rFonts w:ascii="Arial" w:hAnsi="Arial" w:cs="Arial"/>
        </w:rPr>
        <w:t>(Francis and Smith 2015; Schwarzman et al. 2018)</w:t>
      </w:r>
      <w:r>
        <w:rPr>
          <w:rFonts w:ascii="Arial" w:eastAsia="Arial" w:hAnsi="Arial" w:cs="Times New Roman"/>
        </w:rPr>
        <w:t xml:space="preserve">. </w:t>
      </w:r>
      <w:r w:rsidRPr="00735322">
        <w:t xml:space="preserve">Even in cases where </w:t>
      </w:r>
      <w:r>
        <w:t>conclusive</w:t>
      </w:r>
      <w:r w:rsidRPr="00735322">
        <w:t xml:space="preserve"> evidence exist</w:t>
      </w:r>
      <w:r>
        <w:t>s</w:t>
      </w:r>
      <w:r w:rsidRPr="00735322">
        <w:t xml:space="preserve">, government agencies may lack the </w:t>
      </w:r>
      <w:r>
        <w:t>capacity and</w:t>
      </w:r>
      <w:r w:rsidRPr="00735322">
        <w:t xml:space="preserve"> </w:t>
      </w:r>
      <w:r>
        <w:t>resources</w:t>
      </w:r>
      <w:r w:rsidRPr="00735322">
        <w:t xml:space="preserve"> to understand and assess different </w:t>
      </w:r>
      <w:r>
        <w:t>approaches to</w:t>
      </w:r>
      <w:r w:rsidRPr="00735322">
        <w:t xml:space="preserve"> </w:t>
      </w:r>
      <w:r>
        <w:t xml:space="preserve">prevention </w:t>
      </w:r>
      <w:r w:rsidRPr="00735322">
        <w:t>modelling</w:t>
      </w:r>
      <w:r>
        <w:t>,</w:t>
      </w:r>
      <w:r w:rsidRPr="00735322">
        <w:t xml:space="preserve"> </w:t>
      </w:r>
      <w:r>
        <w:t xml:space="preserve">which reduces their influence on funding decisions </w:t>
      </w:r>
      <w:r w:rsidRPr="001B0581">
        <w:rPr>
          <w:rFonts w:ascii="Arial" w:hAnsi="Arial" w:cs="Arial"/>
        </w:rPr>
        <w:t>(</w:t>
      </w:r>
      <w:proofErr w:type="spellStart"/>
      <w:r w:rsidRPr="001B0581">
        <w:rPr>
          <w:rFonts w:ascii="Arial" w:hAnsi="Arial" w:cs="Arial"/>
        </w:rPr>
        <w:t>Ananthapavan</w:t>
      </w:r>
      <w:proofErr w:type="spellEnd"/>
      <w:r w:rsidRPr="001B0581">
        <w:rPr>
          <w:rFonts w:ascii="Arial" w:hAnsi="Arial" w:cs="Arial"/>
        </w:rPr>
        <w:t xml:space="preserve"> et al. 2024, p. 31; Francis and Smith 2015)</w:t>
      </w:r>
      <w:r>
        <w:t>.</w:t>
      </w:r>
    </w:p>
    <w:p w14:paraId="7E60FBCC" w14:textId="48C6176D" w:rsidR="00B809D1" w:rsidRDefault="00B809D1">
      <w:pPr>
        <w:pStyle w:val="BodyText"/>
      </w:pPr>
      <w:r w:rsidRPr="000C0CC1" w:rsidDel="00E23B8C">
        <w:t xml:space="preserve">Even when funding is allocated to early intervention and prevention, it is not always </w:t>
      </w:r>
      <w:r w:rsidRPr="000C0CC1" w:rsidDel="00D30EC5">
        <w:t xml:space="preserve">directed to programs that produce </w:t>
      </w:r>
      <w:r w:rsidRPr="000C0CC1" w:rsidDel="00E17E55">
        <w:t>the greatest</w:t>
      </w:r>
      <w:r w:rsidRPr="000C0CC1" w:rsidDel="00D30EC5">
        <w:t xml:space="preserve"> improvements in individual and societal outcomes</w:t>
      </w:r>
      <w:r>
        <w:t xml:space="preserve"> – which can fuel scepticism</w:t>
      </w:r>
      <w:r w:rsidRPr="000C0CC1">
        <w:t>.</w:t>
      </w:r>
      <w:r w:rsidRPr="000C0CC1" w:rsidDel="00D30EC5">
        <w:t xml:space="preserve"> </w:t>
      </w:r>
      <w:r w:rsidRPr="000C0CC1">
        <w:t xml:space="preserve">For example, government investment in drug and alcohol programs has not consistently </w:t>
      </w:r>
      <w:r>
        <w:t>aligned with evidence on what works</w:t>
      </w:r>
      <w:r w:rsidRPr="000C0CC1">
        <w:t xml:space="preserve"> </w:t>
      </w:r>
      <w:r w:rsidRPr="00415BCA">
        <w:t>(Alcohol and Drug Foundation 2019, p. 4; Newton and Lee 2019)</w:t>
      </w:r>
      <w:r w:rsidRPr="000C0CC1">
        <w:t xml:space="preserve">. In addition, obesity funding has been split across close to 200 programs of varying effectiveness </w:t>
      </w:r>
      <w:r w:rsidRPr="00415BCA">
        <w:t>(Tran et al. 2024)</w:t>
      </w:r>
      <w:r w:rsidRPr="000C0CC1">
        <w:t>, with only some producing substantial health and economic gains (</w:t>
      </w:r>
      <w:proofErr w:type="spellStart"/>
      <w:r w:rsidRPr="000C0CC1">
        <w:t>Ananthapavan</w:t>
      </w:r>
      <w:proofErr w:type="spellEnd"/>
      <w:r w:rsidRPr="000C0CC1">
        <w:t xml:space="preserve"> et al. 2020).</w:t>
      </w:r>
    </w:p>
    <w:p w14:paraId="0BD8D71F" w14:textId="29D48979" w:rsidR="00B809D1" w:rsidRDefault="00B809D1">
      <w:pPr>
        <w:pStyle w:val="BodyText"/>
      </w:pPr>
      <w:r>
        <w:t xml:space="preserve">While many programs have been shown to deliver substantial benefits, the existence of ineffective programs can reinforce broader doubts about prevention and early intervention. </w:t>
      </w:r>
      <w:r w:rsidR="00DF1D53">
        <w:t xml:space="preserve">These doubts </w:t>
      </w:r>
      <w:r w:rsidR="00457E54">
        <w:t xml:space="preserve">can </w:t>
      </w:r>
      <w:r w:rsidR="001F6C9B">
        <w:t xml:space="preserve">further </w:t>
      </w:r>
      <w:r w:rsidR="00DF1D53">
        <w:t xml:space="preserve">grow when </w:t>
      </w:r>
      <w:r w:rsidR="00C616BD">
        <w:t>program</w:t>
      </w:r>
      <w:r w:rsidR="007B2E27">
        <w:t xml:space="preserve"> proposal</w:t>
      </w:r>
      <w:r w:rsidR="00C616BD">
        <w:t xml:space="preserve">s </w:t>
      </w:r>
      <w:r w:rsidR="000276CE">
        <w:t>make</w:t>
      </w:r>
      <w:r w:rsidR="00B914ED">
        <w:t xml:space="preserve"> claims of </w:t>
      </w:r>
      <w:r w:rsidR="00463E2B">
        <w:t xml:space="preserve">long-term </w:t>
      </w:r>
      <w:r w:rsidR="00B914ED">
        <w:t xml:space="preserve">benefits </w:t>
      </w:r>
      <w:r w:rsidR="000276CE">
        <w:t xml:space="preserve">and savings </w:t>
      </w:r>
      <w:r w:rsidR="00C616BD">
        <w:t>that fail to materialise</w:t>
      </w:r>
      <w:r w:rsidR="000276CE">
        <w:t xml:space="preserve">. </w:t>
      </w:r>
      <w:r>
        <w:t>T</w:t>
      </w:r>
      <w:r w:rsidRPr="009B1149">
        <w:t xml:space="preserve">he underlying </w:t>
      </w:r>
      <w:r>
        <w:t>challenge</w:t>
      </w:r>
      <w:r w:rsidRPr="009B1149">
        <w:t xml:space="preserve"> is not the availability of effective programs, but the absence of robust processes </w:t>
      </w:r>
      <w:r>
        <w:t>to</w:t>
      </w:r>
      <w:r w:rsidRPr="009B1149">
        <w:t xml:space="preserve"> </w:t>
      </w:r>
      <w:r>
        <w:t>support</w:t>
      </w:r>
      <w:r w:rsidRPr="009B1149">
        <w:t xml:space="preserve"> governments to systematically identify, evaluate and fund evidence-based interventions</w:t>
      </w:r>
      <w:r w:rsidR="00385763">
        <w:t>.</w:t>
      </w:r>
      <w:r w:rsidRPr="009B1149">
        <w:t xml:space="preserve"> </w:t>
      </w:r>
      <w:r w:rsidR="00DE46E9" w:rsidRPr="00DE46E9">
        <w:t>Better processes for identifying evidence-ba</w:t>
      </w:r>
      <w:r w:rsidR="009371D5">
        <w:t>sed</w:t>
      </w:r>
      <w:r w:rsidR="00DE46E9" w:rsidRPr="00DE46E9">
        <w:t xml:space="preserve"> </w:t>
      </w:r>
      <w:r w:rsidR="009371D5">
        <w:t>prevention and</w:t>
      </w:r>
      <w:r w:rsidR="00DE46E9" w:rsidRPr="00DE46E9">
        <w:t xml:space="preserve"> early interventions could also help identify existing spending or programs that are not delivering value for money</w:t>
      </w:r>
      <w:r w:rsidR="00385763">
        <w:t>.</w:t>
      </w:r>
    </w:p>
    <w:p w14:paraId="3497C7C7" w14:textId="77777777" w:rsidR="009673EF" w:rsidRPr="00F82BD9" w:rsidRDefault="009673EF" w:rsidP="009673EF">
      <w:pPr>
        <w:pStyle w:val="NoSpacing"/>
      </w:pPr>
    </w:p>
    <w:tbl>
      <w:tblPr>
        <w:tblStyle w:val="Boxtable"/>
        <w:tblW w:w="5000" w:type="pct"/>
        <w:tblLook w:val="04A0" w:firstRow="1" w:lastRow="0" w:firstColumn="1" w:lastColumn="0" w:noHBand="0" w:noVBand="1"/>
      </w:tblPr>
      <w:tblGrid>
        <w:gridCol w:w="9638"/>
      </w:tblGrid>
      <w:tr w:rsidR="00B809D1" w14:paraId="50680C7F" w14:textId="77777777">
        <w:trPr>
          <w:tblHeader/>
        </w:trPr>
        <w:tc>
          <w:tcPr>
            <w:tcW w:w="9638" w:type="dxa"/>
            <w:shd w:val="clear" w:color="auto" w:fill="EBEBEB"/>
            <w:tcMar>
              <w:top w:w="170" w:type="dxa"/>
              <w:left w:w="170" w:type="dxa"/>
              <w:bottom w:w="113" w:type="dxa"/>
              <w:right w:w="170" w:type="dxa"/>
            </w:tcMar>
            <w:hideMark/>
          </w:tcPr>
          <w:p w14:paraId="18C17311" w14:textId="7E2BB25A" w:rsidR="00B809D1" w:rsidRDefault="00B809D1">
            <w:pPr>
              <w:pStyle w:val="BoxHeading1"/>
            </w:pPr>
            <w:bookmarkStart w:id="91" w:name="_Ref78902111"/>
            <w:r>
              <w:t>Box </w:t>
            </w:r>
            <w:bookmarkStart w:id="92" w:name="OLE_LINK2"/>
            <w:r>
              <w:fldChar w:fldCharType="begin"/>
            </w:r>
            <w:r>
              <w:instrText xml:space="preserve"> STYLEREF 1 \s </w:instrText>
            </w:r>
            <w:r>
              <w:fldChar w:fldCharType="separate"/>
            </w:r>
            <w:r w:rsidR="00FB1849">
              <w:rPr>
                <w:noProof/>
              </w:rPr>
              <w:t>3</w:t>
            </w:r>
            <w:r>
              <w:rPr>
                <w:noProof/>
              </w:rPr>
              <w:fldChar w:fldCharType="end"/>
            </w:r>
            <w:bookmarkEnd w:id="92"/>
            <w:r>
              <w:t>.</w:t>
            </w:r>
            <w:r w:rsidR="00E81004">
              <w:t>3</w:t>
            </w:r>
            <w:r>
              <w:t xml:space="preserve"> – </w:t>
            </w:r>
            <w:bookmarkEnd w:id="91"/>
            <w:r>
              <w:t>Policy costings can undervalue prevention and early intervention</w:t>
            </w:r>
          </w:p>
        </w:tc>
      </w:tr>
      <w:tr w:rsidR="00B809D1" w14:paraId="1AC3C5B1" w14:textId="77777777">
        <w:tc>
          <w:tcPr>
            <w:tcW w:w="9638" w:type="dxa"/>
            <w:shd w:val="clear" w:color="auto" w:fill="EBEBEB"/>
            <w:tcMar>
              <w:top w:w="28" w:type="dxa"/>
              <w:left w:w="170" w:type="dxa"/>
              <w:bottom w:w="170" w:type="dxa"/>
              <w:right w:w="170" w:type="dxa"/>
            </w:tcMar>
            <w:hideMark/>
          </w:tcPr>
          <w:p w14:paraId="42B43C41" w14:textId="77777777" w:rsidR="00B809D1" w:rsidRDefault="00B809D1">
            <w:pPr>
              <w:pStyle w:val="BodyText"/>
            </w:pPr>
            <w:r>
              <w:t>Policy costings are estimates of the expected impact of proposed policies on the Australian budget and are included in all budget proposals. But the approach to developing costings can systematically understate the benefits associated with prevention and early intervention, by focusing decision makers only on the direct effects within the four</w:t>
            </w:r>
            <w:r>
              <w:noBreakHyphen/>
              <w:t>year budget period and paying less attention to the longer</w:t>
            </w:r>
            <w:r>
              <w:noBreakHyphen/>
              <w:t>term, cross</w:t>
            </w:r>
            <w:r>
              <w:noBreakHyphen/>
              <w:t>portfolio ‘flow</w:t>
            </w:r>
            <w:r>
              <w:noBreakHyphen/>
              <w:t xml:space="preserve">on’ effects. </w:t>
            </w:r>
            <w:r w:rsidRPr="00123211">
              <w:t xml:space="preserve">Conceptually, the budget impacts of a policy proposal </w:t>
            </w:r>
            <w:r>
              <w:t>can</w:t>
            </w:r>
            <w:r w:rsidRPr="00123211">
              <w:t xml:space="preserve"> be divided into three broad components:</w:t>
            </w:r>
          </w:p>
          <w:p w14:paraId="17785478" w14:textId="77777777" w:rsidR="00B809D1" w:rsidRPr="007A6754" w:rsidRDefault="00B809D1" w:rsidP="00B809D1">
            <w:pPr>
              <w:pStyle w:val="ListBullet"/>
              <w:rPr>
                <w:bCs/>
              </w:rPr>
            </w:pPr>
            <w:r w:rsidRPr="00415BCA">
              <w:rPr>
                <w:b/>
              </w:rPr>
              <w:t>D</w:t>
            </w:r>
            <w:r w:rsidRPr="00E233FF">
              <w:rPr>
                <w:b/>
              </w:rPr>
              <w:t>i</w:t>
            </w:r>
            <w:r w:rsidRPr="00A755F1">
              <w:rPr>
                <w:b/>
              </w:rPr>
              <w:t>rect static impact</w:t>
            </w:r>
            <w:r>
              <w:rPr>
                <w:b/>
              </w:rPr>
              <w:t xml:space="preserve"> </w:t>
            </w:r>
            <w:r>
              <w:rPr>
                <w:bCs/>
              </w:rPr>
              <w:t>– all costing analyses contain a ‘</w:t>
            </w:r>
            <w:r w:rsidRPr="007A6754">
              <w:rPr>
                <w:bCs/>
              </w:rPr>
              <w:t>day after</w:t>
            </w:r>
            <w:r>
              <w:rPr>
                <w:bCs/>
              </w:rPr>
              <w:t>’</w:t>
            </w:r>
            <w:r w:rsidRPr="007A6754">
              <w:rPr>
                <w:bCs/>
              </w:rPr>
              <w:t xml:space="preserve"> impact</w:t>
            </w:r>
            <w:r>
              <w:rPr>
                <w:bCs/>
              </w:rPr>
              <w:t>, which</w:t>
            </w:r>
            <w:r w:rsidRPr="007A6754">
              <w:rPr>
                <w:bCs/>
              </w:rPr>
              <w:t xml:space="preserve"> assumes no </w:t>
            </w:r>
            <w:r>
              <w:rPr>
                <w:bCs/>
              </w:rPr>
              <w:t>change in behaviour</w:t>
            </w:r>
            <w:r w:rsidRPr="007A6754">
              <w:rPr>
                <w:bCs/>
              </w:rPr>
              <w:t xml:space="preserve"> </w:t>
            </w:r>
            <w:r>
              <w:rPr>
                <w:bCs/>
              </w:rPr>
              <w:t>by</w:t>
            </w:r>
            <w:r w:rsidRPr="007A6754">
              <w:rPr>
                <w:bCs/>
              </w:rPr>
              <w:t xml:space="preserve"> </w:t>
            </w:r>
            <w:r>
              <w:rPr>
                <w:bCs/>
              </w:rPr>
              <w:t>the affected groups</w:t>
            </w:r>
            <w:r w:rsidRPr="007A6754">
              <w:rPr>
                <w:bCs/>
              </w:rPr>
              <w:t>.</w:t>
            </w:r>
            <w:r>
              <w:rPr>
                <w:bCs/>
              </w:rPr>
              <w:t xml:space="preserve"> This includes the costs of providing a program, but ignores any changes in service demand </w:t>
            </w:r>
          </w:p>
          <w:p w14:paraId="7E4D44AD" w14:textId="77777777" w:rsidR="00B809D1" w:rsidRPr="007A6754" w:rsidRDefault="00B809D1" w:rsidP="00B809D1">
            <w:pPr>
              <w:pStyle w:val="ListBullet"/>
              <w:rPr>
                <w:bCs/>
              </w:rPr>
            </w:pPr>
            <w:r w:rsidRPr="00415BCA">
              <w:rPr>
                <w:b/>
              </w:rPr>
              <w:t>D</w:t>
            </w:r>
            <w:r w:rsidRPr="00A755F1">
              <w:rPr>
                <w:b/>
              </w:rPr>
              <w:t>irect behavioural impacts</w:t>
            </w:r>
            <w:r>
              <w:rPr>
                <w:bCs/>
              </w:rPr>
              <w:t xml:space="preserve"> – t</w:t>
            </w:r>
            <w:r w:rsidRPr="007A6754">
              <w:rPr>
                <w:bCs/>
              </w:rPr>
              <w:t>ake account of changes in behaviour by individual</w:t>
            </w:r>
            <w:r>
              <w:rPr>
                <w:bCs/>
              </w:rPr>
              <w:t xml:space="preserve">s </w:t>
            </w:r>
            <w:r w:rsidRPr="007A6754">
              <w:rPr>
                <w:bCs/>
              </w:rPr>
              <w:t xml:space="preserve">or organisations directly affected by </w:t>
            </w:r>
            <w:r>
              <w:rPr>
                <w:bCs/>
              </w:rPr>
              <w:t>a</w:t>
            </w:r>
            <w:r w:rsidRPr="007A6754">
              <w:rPr>
                <w:bCs/>
              </w:rPr>
              <w:t xml:space="preserve"> proposal and include</w:t>
            </w:r>
            <w:r>
              <w:rPr>
                <w:bCs/>
              </w:rPr>
              <w:t xml:space="preserve"> the</w:t>
            </w:r>
            <w:r w:rsidRPr="007A6754">
              <w:rPr>
                <w:bCs/>
              </w:rPr>
              <w:t xml:space="preserve"> impacts on closely</w:t>
            </w:r>
            <w:r>
              <w:rPr>
                <w:bCs/>
              </w:rPr>
              <w:noBreakHyphen/>
            </w:r>
            <w:r w:rsidRPr="007A6754">
              <w:rPr>
                <w:bCs/>
              </w:rPr>
              <w:t>related industries</w:t>
            </w:r>
          </w:p>
          <w:p w14:paraId="75508CD1" w14:textId="7DB16132" w:rsidR="00B809D1" w:rsidRDefault="00B809D1" w:rsidP="00B809D1">
            <w:pPr>
              <w:pStyle w:val="ListBullet"/>
              <w:rPr>
                <w:bCs/>
              </w:rPr>
            </w:pPr>
            <w:r w:rsidRPr="00A755F1">
              <w:rPr>
                <w:b/>
              </w:rPr>
              <w:t>Broader economic impacts</w:t>
            </w:r>
            <w:r w:rsidRPr="00A27213">
              <w:rPr>
                <w:bCs/>
              </w:rPr>
              <w:t xml:space="preserve"> (</w:t>
            </w:r>
            <w:r w:rsidRPr="00434935">
              <w:rPr>
                <w:bCs/>
              </w:rPr>
              <w:t>als</w:t>
            </w:r>
            <w:r>
              <w:rPr>
                <w:bCs/>
              </w:rPr>
              <w:t>o ‘</w:t>
            </w:r>
            <w:r w:rsidRPr="007A6754">
              <w:rPr>
                <w:bCs/>
              </w:rPr>
              <w:t>second</w:t>
            </w:r>
            <w:r>
              <w:rPr>
                <w:bCs/>
              </w:rPr>
              <w:noBreakHyphen/>
            </w:r>
            <w:r w:rsidRPr="007A6754">
              <w:rPr>
                <w:bCs/>
              </w:rPr>
              <w:t>round</w:t>
            </w:r>
            <w:r>
              <w:rPr>
                <w:bCs/>
              </w:rPr>
              <w:t>’ or ‘flow</w:t>
            </w:r>
            <w:r>
              <w:rPr>
                <w:bCs/>
              </w:rPr>
              <w:noBreakHyphen/>
              <w:t xml:space="preserve">on’ </w:t>
            </w:r>
            <w:r w:rsidRPr="007A6754">
              <w:rPr>
                <w:bCs/>
              </w:rPr>
              <w:t>effects</w:t>
            </w:r>
            <w:r>
              <w:rPr>
                <w:bCs/>
              </w:rPr>
              <w:t>) – the broader impacts on ‘the aggregate economy, or flow</w:t>
            </w:r>
            <w:r>
              <w:rPr>
                <w:bCs/>
              </w:rPr>
              <w:noBreakHyphen/>
              <w:t xml:space="preserve">on effects to other program outcomes’ </w:t>
            </w:r>
            <w:r w:rsidRPr="008756F9">
              <w:rPr>
                <w:rFonts w:ascii="Arial" w:hAnsi="Arial" w:cs="Arial"/>
              </w:rPr>
              <w:t>(Treasury and Finance 2024, p. 6)</w:t>
            </w:r>
            <w:r>
              <w:rPr>
                <w:bCs/>
              </w:rPr>
              <w:t xml:space="preserve"> through </w:t>
            </w:r>
            <w:r w:rsidRPr="007A6754">
              <w:rPr>
                <w:bCs/>
              </w:rPr>
              <w:t>changes in prices, wages</w:t>
            </w:r>
            <w:r>
              <w:rPr>
                <w:bCs/>
              </w:rPr>
              <w:t xml:space="preserve">, </w:t>
            </w:r>
            <w:r w:rsidRPr="007A6754">
              <w:rPr>
                <w:bCs/>
              </w:rPr>
              <w:t>employment</w:t>
            </w:r>
            <w:r>
              <w:rPr>
                <w:bCs/>
              </w:rPr>
              <w:t xml:space="preserve">, the costs of care and the demand for other services, programs and government payments. These could include impacts occurring over long periods or affecting different portfolios or governments. </w:t>
            </w:r>
          </w:p>
          <w:p w14:paraId="7B615A9C" w14:textId="34A717A8" w:rsidR="00106C84" w:rsidRDefault="00B809D1">
            <w:pPr>
              <w:pStyle w:val="BodyText"/>
            </w:pPr>
            <w:r>
              <w:lastRenderedPageBreak/>
              <w:t>Although potentially significant, flow</w:t>
            </w:r>
            <w:r>
              <w:noBreakHyphen/>
              <w:t xml:space="preserve">on effects can </w:t>
            </w:r>
            <w:r w:rsidR="00965CD2">
              <w:t xml:space="preserve">take a long time to manifest, can </w:t>
            </w:r>
            <w:r>
              <w:t xml:space="preserve">be difficult to estimate, </w:t>
            </w:r>
            <w:r w:rsidDel="00965CD2">
              <w:t xml:space="preserve">may </w:t>
            </w:r>
            <w:r>
              <w:t>be subject to high levels of uncertainty</w:t>
            </w:r>
            <w:r w:rsidR="00965CD2">
              <w:t xml:space="preserve"> and are more likely to be contested</w:t>
            </w:r>
            <w:r>
              <w:t xml:space="preserve">. As a result, there are fiscal risks of including them in the budget forward estimates. Longer term benefits are also affected by the rate at which they are </w:t>
            </w:r>
            <w:proofErr w:type="spellStart"/>
            <w:proofErr w:type="gramStart"/>
            <w:r>
              <w:t>discounted.</w:t>
            </w:r>
            <w:r w:rsidRPr="009673EF">
              <w:rPr>
                <w:b/>
                <w:bCs/>
                <w:vertAlign w:val="superscript"/>
              </w:rPr>
              <w:t>a</w:t>
            </w:r>
            <w:proofErr w:type="spellEnd"/>
            <w:proofErr w:type="gramEnd"/>
            <w:r>
              <w:t xml:space="preserve"> </w:t>
            </w:r>
          </w:p>
          <w:p w14:paraId="147BCA8D" w14:textId="51426674" w:rsidR="00B809D1" w:rsidRDefault="00B809D1">
            <w:pPr>
              <w:pStyle w:val="BodyText"/>
            </w:pPr>
            <w:r>
              <w:t>The distinction between direct behavioural impact and flow</w:t>
            </w:r>
            <w:r>
              <w:noBreakHyphen/>
              <w:t>on effects can be unclear and may vary according to the stated goal of a policy. The ambiguity can lead to the exclusion of direct behavioural impacts as well as second</w:t>
            </w:r>
            <w:r>
              <w:noBreakHyphen/>
              <w:t>round effects from policy impact assessments, which in turn may prevent these impacts from being considered in the budget process (DSS, sub. 254, pp. 1</w:t>
            </w:r>
            <w:r>
              <w:noBreakHyphen/>
              <w:t>2).</w:t>
            </w:r>
          </w:p>
          <w:p w14:paraId="6C163BDE" w14:textId="77777777" w:rsidR="00B809D1" w:rsidRDefault="00B809D1">
            <w:pPr>
              <w:pStyle w:val="BodyText"/>
            </w:pPr>
            <w:r>
              <w:t>The Budget Process Operational Rules (rules endorsed by Cabinet for managing Budget processes) and the Charter of Budget Honesty (guidelines for how election commitments should be costed) show that the flow</w:t>
            </w:r>
            <w:r>
              <w:noBreakHyphen/>
              <w:t xml:space="preserve">on effects are often excluded from policy costings and forward estimates: </w:t>
            </w:r>
          </w:p>
          <w:p w14:paraId="2C0399C7" w14:textId="4CEA03E9" w:rsidR="00B809D1" w:rsidRPr="009673EF" w:rsidRDefault="00B809D1">
            <w:pPr>
              <w:pStyle w:val="Quote"/>
              <w:rPr>
                <w:spacing w:val="-2"/>
              </w:rPr>
            </w:pPr>
            <w:r w:rsidRPr="009673EF">
              <w:rPr>
                <w:spacing w:val="-2"/>
              </w:rPr>
              <w:t xml:space="preserve">In almost all cases, only first round effects will be considered in costings. </w:t>
            </w:r>
            <w:r w:rsidRPr="009673EF">
              <w:rPr>
                <w:rFonts w:cs="Arial"/>
                <w:spacing w:val="-2"/>
              </w:rPr>
              <w:t>(Finance 2023, p. 16)</w:t>
            </w:r>
            <w:r w:rsidRPr="009673EF">
              <w:rPr>
                <w:spacing w:val="-2"/>
              </w:rPr>
              <w:t xml:space="preserve"> </w:t>
            </w:r>
          </w:p>
          <w:p w14:paraId="212F30F3" w14:textId="649C854E" w:rsidR="00B809D1" w:rsidRDefault="00B809D1">
            <w:pPr>
              <w:pStyle w:val="Quote"/>
            </w:pPr>
            <w:r w:rsidRPr="002D6F4E">
              <w:t>Second</w:t>
            </w:r>
            <w:r>
              <w:noBreakHyphen/>
            </w:r>
            <w:r w:rsidRPr="002D6F4E">
              <w:t xml:space="preserve">round effects are generally not included in costings for a range of reasons, including uncertainty in estimating the magnitude and timing of the effects and their net aggregate fiscal impact across Government systems. </w:t>
            </w:r>
            <w:r w:rsidRPr="008756F9">
              <w:rPr>
                <w:rFonts w:ascii="Arial" w:hAnsi="Arial" w:cs="Arial"/>
              </w:rPr>
              <w:t>(Treasury and Finance 2024, p. 7)</w:t>
            </w:r>
          </w:p>
          <w:p w14:paraId="2A75A2F6" w14:textId="77777777" w:rsidR="00B809D1" w:rsidRDefault="00B809D1">
            <w:pPr>
              <w:pStyle w:val="BodyText"/>
              <w:rPr>
                <w:rStyle w:val="BodyTextChar"/>
              </w:rPr>
            </w:pPr>
            <w:r>
              <w:t>While this approach manages fiscal risks, it affects the comparative assessment of longer</w:t>
            </w:r>
            <w:r>
              <w:noBreakHyphen/>
              <w:t>term initiatives that are likely to have effects across portfolios or governments. Without second</w:t>
            </w:r>
            <w:r>
              <w:noBreakHyphen/>
              <w:t>round impacts:</w:t>
            </w:r>
          </w:p>
          <w:p w14:paraId="7DF9722F" w14:textId="77777777" w:rsidR="00B809D1" w:rsidRPr="009673EF" w:rsidRDefault="00B809D1">
            <w:pPr>
              <w:pStyle w:val="Quote"/>
              <w:rPr>
                <w:rStyle w:val="BodyTextChar"/>
                <w:color w:val="auto"/>
                <w:spacing w:val="-4"/>
              </w:rPr>
            </w:pPr>
            <w:r w:rsidRPr="009673EF">
              <w:rPr>
                <w:rStyle w:val="BodyTextChar"/>
                <w:spacing w:val="-4"/>
              </w:rPr>
              <w:t xml:space="preserve">the benefits of preventative initiatives are not correctly </w:t>
            </w:r>
            <w:proofErr w:type="gramStart"/>
            <w:r w:rsidRPr="009673EF">
              <w:rPr>
                <w:rStyle w:val="BodyTextChar"/>
                <w:spacing w:val="-4"/>
              </w:rPr>
              <w:t>measured</w:t>
            </w:r>
            <w:proofErr w:type="gramEnd"/>
            <w:r w:rsidRPr="009673EF">
              <w:rPr>
                <w:rStyle w:val="BodyTextChar"/>
                <w:spacing w:val="-4"/>
              </w:rPr>
              <w:t xml:space="preserve"> and the cost of reforms may be overstated … lead[</w:t>
            </w:r>
            <w:proofErr w:type="spellStart"/>
            <w:r w:rsidRPr="009673EF">
              <w:rPr>
                <w:rStyle w:val="BodyTextChar"/>
                <w:spacing w:val="-4"/>
              </w:rPr>
              <w:t>ing</w:t>
            </w:r>
            <w:proofErr w:type="spellEnd"/>
            <w:r w:rsidRPr="009673EF">
              <w:rPr>
                <w:rStyle w:val="BodyTextChar"/>
                <w:spacing w:val="-4"/>
              </w:rPr>
              <w:t>] to less informed policy decisions and an under</w:t>
            </w:r>
            <w:r w:rsidRPr="009673EF">
              <w:rPr>
                <w:rStyle w:val="BodyTextChar"/>
                <w:spacing w:val="-4"/>
              </w:rPr>
              <w:noBreakHyphen/>
              <w:t>investment in preventative measures, thereby leading to costly acute supports and interventions later (DSS, sub. 254, p. 2).</w:t>
            </w:r>
          </w:p>
          <w:p w14:paraId="659E6577" w14:textId="77777777" w:rsidR="00B809D1" w:rsidRPr="009673EF" w:rsidRDefault="00B809D1">
            <w:pPr>
              <w:pStyle w:val="Note"/>
              <w:rPr>
                <w:spacing w:val="-4"/>
              </w:rPr>
            </w:pPr>
            <w:r w:rsidRPr="00BA1F49">
              <w:rPr>
                <w:b/>
                <w:bCs/>
              </w:rPr>
              <w:t>a</w:t>
            </w:r>
            <w:r w:rsidRPr="00E30E85">
              <w:t xml:space="preserve">. </w:t>
            </w:r>
            <w:r w:rsidRPr="009673EF">
              <w:rPr>
                <w:spacing w:val="-4"/>
              </w:rPr>
              <w:t>A higher discount rate places greater value on more immediate benefits by discounting the value of future benefits by a greater amount. The Australian Government’s Office of Impact Analysis requires the calculation of net present values at an annual real discount rate of 7%, higher than the rate used for the Pharmaceutical Benefits Scheme (5%) and Medicare (5%), as well as the social policy discount rates used for cost-benefit analysis in NSW (5%) and Victoria (4%).</w:t>
            </w:r>
          </w:p>
          <w:p w14:paraId="08A771C2" w14:textId="3462236A" w:rsidR="00B809D1" w:rsidRPr="006C1C31" w:rsidRDefault="00B809D1">
            <w:pPr>
              <w:pStyle w:val="Source"/>
            </w:pPr>
            <w:r w:rsidRPr="00BA1F49">
              <w:t>Source</w:t>
            </w:r>
            <w:r w:rsidRPr="006C1C31">
              <w:t xml:space="preserve">: PBO (2017), Finance (2023) and </w:t>
            </w:r>
            <w:r>
              <w:t>t</w:t>
            </w:r>
            <w:r w:rsidRPr="006C1C31">
              <w:t>he Treasury and Department of Finance (2024).</w:t>
            </w:r>
          </w:p>
        </w:tc>
      </w:tr>
      <w:tr w:rsidR="00B809D1" w14:paraId="55B01BCE" w14:textId="77777777" w:rsidTr="009673EF">
        <w:trPr>
          <w:hidden/>
        </w:trPr>
        <w:tc>
          <w:tcPr>
            <w:tcW w:w="9638" w:type="dxa"/>
            <w:shd w:val="clear" w:color="auto" w:fill="auto"/>
            <w:tcMar>
              <w:top w:w="0" w:type="dxa"/>
              <w:left w:w="170" w:type="dxa"/>
              <w:bottom w:w="0" w:type="dxa"/>
              <w:right w:w="170" w:type="dxa"/>
            </w:tcMar>
          </w:tcPr>
          <w:p w14:paraId="6383E334" w14:textId="77777777" w:rsidR="00B809D1" w:rsidRPr="00465191" w:rsidRDefault="00B809D1">
            <w:pPr>
              <w:pStyle w:val="BodyText"/>
              <w:spacing w:before="0" w:after="0" w:line="80" w:lineRule="atLeast"/>
              <w:rPr>
                <w:smallCaps/>
                <w:vanish/>
              </w:rPr>
            </w:pPr>
          </w:p>
        </w:tc>
      </w:tr>
    </w:tbl>
    <w:p w14:paraId="60278679" w14:textId="3066CB03" w:rsidR="00B809D1" w:rsidRDefault="00B809D1">
      <w:pPr>
        <w:pStyle w:val="BodyText"/>
      </w:pPr>
      <w:r>
        <w:t xml:space="preserve">These barriers have hampered current and past </w:t>
      </w:r>
      <w:r w:rsidRPr="00F712B0" w:rsidDel="00F34A9F">
        <w:t>s</w:t>
      </w:r>
      <w:r w:rsidRPr="00F712B0">
        <w:t xml:space="preserve">trategies </w:t>
      </w:r>
      <w:r>
        <w:t>to increase investment in prevention and early intervention.</w:t>
      </w:r>
      <w:r w:rsidR="00BA1EDE" w:rsidRPr="002B0A03">
        <w:rPr>
          <w:rStyle w:val="FootnoteReference"/>
        </w:rPr>
        <w:footnoteReference w:id="26"/>
      </w:r>
      <w:r w:rsidRPr="00F712B0" w:rsidDel="00792104">
        <w:t xml:space="preserve"> </w:t>
      </w:r>
      <w:r>
        <w:t>The Victorian Early Intervention Investment Framework (box 3.</w:t>
      </w:r>
      <w:r w:rsidR="00E81004">
        <w:t>4</w:t>
      </w:r>
      <w:r>
        <w:t>) shows a different and promising approach as it seeks to recognise the cross</w:t>
      </w:r>
      <w:r>
        <w:noBreakHyphen/>
        <w:t>portfolio benefits and long</w:t>
      </w:r>
      <w:r>
        <w:noBreakHyphen/>
        <w:t>term returns from prevention and early intervention. While there are legitimate concerns about including these benefits in the budget forward estimates,</w:t>
      </w:r>
      <w:r w:rsidDel="000D469B">
        <w:t xml:space="preserve"> </w:t>
      </w:r>
      <w:r w:rsidR="000C5619">
        <w:t>a robust framework and strong governance arrangements</w:t>
      </w:r>
      <w:r>
        <w:t xml:space="preserve"> </w:t>
      </w:r>
      <w:r w:rsidR="000C5619">
        <w:t xml:space="preserve">can </w:t>
      </w:r>
      <w:r w:rsidR="005C18E1">
        <w:t xml:space="preserve">still </w:t>
      </w:r>
      <w:r>
        <w:t>ensure these benefits are considered in decision-making processes</w:t>
      </w:r>
      <w:r w:rsidR="005C18E1">
        <w:t xml:space="preserve">, </w:t>
      </w:r>
      <w:r w:rsidR="008966F6">
        <w:t xml:space="preserve">even if excluded from </w:t>
      </w:r>
      <w:r w:rsidR="005C18E1">
        <w:t>formal estimates</w:t>
      </w:r>
      <w:r>
        <w:t>.</w:t>
      </w:r>
    </w:p>
    <w:p w14:paraId="675ECB96" w14:textId="5849AD8F" w:rsidR="00B809D1" w:rsidRDefault="00433461">
      <w:pPr>
        <w:pStyle w:val="BodyText"/>
      </w:pPr>
      <w:r>
        <w:t xml:space="preserve">We propose a new nation-wide approach to help overcome the </w:t>
      </w:r>
      <w:r w:rsidR="00B809D1">
        <w:t xml:space="preserve">structural </w:t>
      </w:r>
      <w:r w:rsidR="00FF3209">
        <w:t xml:space="preserve">impediments </w:t>
      </w:r>
      <w:r w:rsidR="00A91950">
        <w:t xml:space="preserve">to funding for evidence-based </w:t>
      </w:r>
      <w:r w:rsidR="00B809D1">
        <w:t xml:space="preserve">prevention and early intervention initiatives. </w:t>
      </w:r>
    </w:p>
    <w:p w14:paraId="3AB52E75" w14:textId="77777777" w:rsidR="00B809D1" w:rsidRPr="00F82BD9" w:rsidRDefault="00B809D1">
      <w:pPr>
        <w:pStyle w:val="NoSpacing"/>
      </w:pPr>
      <w:r w:rsidRPr="00FD36BD">
        <w:rPr>
          <w:color w:val="FFFFFF" w:themeColor="background1"/>
        </w:rPr>
        <w:t>[</w:t>
      </w:r>
    </w:p>
    <w:tbl>
      <w:tblPr>
        <w:tblStyle w:val="Boxtable"/>
        <w:tblW w:w="5000" w:type="pct"/>
        <w:tblLook w:val="04A0" w:firstRow="1" w:lastRow="0" w:firstColumn="1" w:lastColumn="0" w:noHBand="0" w:noVBand="1"/>
      </w:tblPr>
      <w:tblGrid>
        <w:gridCol w:w="9638"/>
      </w:tblGrid>
      <w:tr w:rsidR="00B809D1" w14:paraId="22433809" w14:textId="77777777">
        <w:trPr>
          <w:tblHeader/>
        </w:trPr>
        <w:tc>
          <w:tcPr>
            <w:tcW w:w="9638" w:type="dxa"/>
            <w:shd w:val="clear" w:color="auto" w:fill="EBEBEB"/>
            <w:tcMar>
              <w:top w:w="170" w:type="dxa"/>
              <w:left w:w="170" w:type="dxa"/>
              <w:bottom w:w="113" w:type="dxa"/>
              <w:right w:w="170" w:type="dxa"/>
            </w:tcMar>
            <w:hideMark/>
          </w:tcPr>
          <w:p w14:paraId="53C406BC" w14:textId="59FF0C1D" w:rsidR="00B809D1" w:rsidRDefault="00B809D1">
            <w:pPr>
              <w:pStyle w:val="BoxHeading1"/>
            </w:pPr>
            <w:r>
              <w:lastRenderedPageBreak/>
              <w:t>Box 3.</w:t>
            </w:r>
            <w:r w:rsidR="00E81004">
              <w:t>4</w:t>
            </w:r>
            <w:r>
              <w:t xml:space="preserve"> – The Victorian Early Intervention Investment Framework </w:t>
            </w:r>
          </w:p>
        </w:tc>
      </w:tr>
      <w:tr w:rsidR="00B809D1" w14:paraId="5239615A" w14:textId="77777777">
        <w:tc>
          <w:tcPr>
            <w:tcW w:w="9638" w:type="dxa"/>
            <w:shd w:val="clear" w:color="auto" w:fill="EBEBEB"/>
            <w:tcMar>
              <w:top w:w="28" w:type="dxa"/>
              <w:left w:w="170" w:type="dxa"/>
              <w:bottom w:w="170" w:type="dxa"/>
              <w:right w:w="170" w:type="dxa"/>
            </w:tcMar>
            <w:hideMark/>
          </w:tcPr>
          <w:p w14:paraId="07C96DAA" w14:textId="171A5C48" w:rsidR="00B809D1" w:rsidRPr="009673EF" w:rsidRDefault="00B809D1">
            <w:pPr>
              <w:pStyle w:val="BodyText"/>
              <w:rPr>
                <w:spacing w:val="-2"/>
              </w:rPr>
            </w:pPr>
            <w:r w:rsidRPr="009673EF">
              <w:rPr>
                <w:spacing w:val="-2"/>
              </w:rPr>
              <w:t>The Victorian Early Intervention Investment Framework is used to fund early intervention programs in education, social services, health and justice systems. Since its inception, funding has expanded from $324 million in 2021</w:t>
            </w:r>
            <w:r w:rsidRPr="009673EF">
              <w:rPr>
                <w:spacing w:val="-2"/>
              </w:rPr>
              <w:noBreakHyphen/>
              <w:t xml:space="preserve">22 </w:t>
            </w:r>
            <w:r w:rsidRPr="009673EF">
              <w:rPr>
                <w:rFonts w:cs="Arial"/>
                <w:spacing w:val="-2"/>
              </w:rPr>
              <w:t>(ANZSOG 2022, p. 19)</w:t>
            </w:r>
            <w:r w:rsidRPr="009673EF">
              <w:rPr>
                <w:spacing w:val="-2"/>
              </w:rPr>
              <w:t xml:space="preserve"> to a budget commitment of $1.1 billion in 2024</w:t>
            </w:r>
            <w:r w:rsidRPr="009673EF">
              <w:rPr>
                <w:spacing w:val="-2"/>
              </w:rPr>
              <w:noBreakHyphen/>
              <w:t xml:space="preserve">25 </w:t>
            </w:r>
            <w:r w:rsidRPr="009673EF">
              <w:rPr>
                <w:rFonts w:cs="Arial"/>
                <w:spacing w:val="-2"/>
              </w:rPr>
              <w:t>(Victorian DTF 2024)</w:t>
            </w:r>
            <w:r w:rsidRPr="009673EF">
              <w:rPr>
                <w:spacing w:val="-2"/>
              </w:rPr>
              <w:t>. Programs funded under the framework</w:t>
            </w:r>
            <w:r w:rsidRPr="009673EF" w:rsidDel="00ED62F5">
              <w:rPr>
                <w:spacing w:val="-2"/>
              </w:rPr>
              <w:t xml:space="preserve"> </w:t>
            </w:r>
            <w:r w:rsidRPr="009673EF">
              <w:rPr>
                <w:spacing w:val="-2"/>
              </w:rPr>
              <w:t>through the 2024</w:t>
            </w:r>
            <w:r w:rsidRPr="009673EF">
              <w:rPr>
                <w:spacing w:val="-2"/>
              </w:rPr>
              <w:noBreakHyphen/>
              <w:t xml:space="preserve">25 budget are estimated to generate total benefits of $1–1.3 billion over the next ten years, including $655–770 million from reduced government service use and $360–560 million in broader economic benefits such as reduced welfare payments </w:t>
            </w:r>
            <w:r w:rsidRPr="009673EF">
              <w:rPr>
                <w:rFonts w:cs="Arial"/>
                <w:spacing w:val="-2"/>
              </w:rPr>
              <w:t>(Victorian DTF 2024)</w:t>
            </w:r>
            <w:r w:rsidRPr="009673EF">
              <w:rPr>
                <w:spacing w:val="-2"/>
              </w:rPr>
              <w:t>.</w:t>
            </w:r>
            <w:r w:rsidRPr="009673EF" w:rsidDel="00B02BFF">
              <w:rPr>
                <w:spacing w:val="-2"/>
              </w:rPr>
              <w:t xml:space="preserve"> </w:t>
            </w:r>
            <w:r w:rsidRPr="009673EF">
              <w:rPr>
                <w:spacing w:val="-2"/>
              </w:rPr>
              <w:t>The focus of the framework is on benefits for Victorian taxpayers.</w:t>
            </w:r>
          </w:p>
          <w:p w14:paraId="5580D5AB" w14:textId="77777777" w:rsidR="00B809D1" w:rsidRDefault="00B809D1">
            <w:pPr>
              <w:pStyle w:val="BoxHeading2"/>
            </w:pPr>
            <w:r>
              <w:t>Advantages of the framework</w:t>
            </w:r>
          </w:p>
          <w:p w14:paraId="4A91E2D4" w14:textId="6B8786B7" w:rsidR="00B809D1" w:rsidRPr="00E73A79" w:rsidRDefault="00B809D1">
            <w:pPr>
              <w:pStyle w:val="BodyText"/>
            </w:pPr>
            <w:r>
              <w:t>The framework’s</w:t>
            </w:r>
            <w:r w:rsidRPr="00E73A79">
              <w:t xml:space="preserve"> cross</w:t>
            </w:r>
            <w:r>
              <w:noBreakHyphen/>
              <w:t>portfolio</w:t>
            </w:r>
            <w:r w:rsidRPr="00E73A79">
              <w:t xml:space="preserve"> approach </w:t>
            </w:r>
            <w:r>
              <w:t>streamlines</w:t>
            </w:r>
            <w:r w:rsidRPr="00E73A79">
              <w:t xml:space="preserve"> funding proposal processes</w:t>
            </w:r>
            <w:r>
              <w:t xml:space="preserve"> and improves inter</w:t>
            </w:r>
            <w:r>
              <w:noBreakHyphen/>
              <w:t>agency collaboration by considering benefits and savings across multiple portfolios</w:t>
            </w:r>
            <w:r w:rsidRPr="00E73A79">
              <w:t>.</w:t>
            </w:r>
            <w:r>
              <w:t xml:space="preserve"> The framework also considers </w:t>
            </w:r>
            <w:r w:rsidRPr="00B148EB">
              <w:t>long</w:t>
            </w:r>
            <w:r>
              <w:noBreakHyphen/>
            </w:r>
            <w:r w:rsidRPr="00B148EB">
              <w:t>term priorities</w:t>
            </w:r>
            <w:r>
              <w:t xml:space="preserve">, requiring </w:t>
            </w:r>
            <w:r w:rsidRPr="00B148EB">
              <w:t xml:space="preserve">budget proposals </w:t>
            </w:r>
            <w:r>
              <w:t>to project</w:t>
            </w:r>
            <w:r w:rsidRPr="00B148EB">
              <w:t xml:space="preserve"> program outcomes, costs</w:t>
            </w:r>
            <w:r>
              <w:t xml:space="preserve"> and </w:t>
            </w:r>
            <w:r w:rsidRPr="00B148EB">
              <w:t xml:space="preserve">benefits over </w:t>
            </w:r>
            <w:r>
              <w:t>ten</w:t>
            </w:r>
            <w:r w:rsidRPr="00B148EB">
              <w:t xml:space="preserve"> years.</w:t>
            </w:r>
            <w:r>
              <w:t xml:space="preserve"> </w:t>
            </w:r>
            <w:r w:rsidRPr="00426FE0">
              <w:t>If a department runs a program that generates avoided costs for other</w:t>
            </w:r>
            <w:r>
              <w:t xml:space="preserve"> departments</w:t>
            </w:r>
            <w:r w:rsidRPr="00426FE0">
              <w:t>, half of those savings are returned to it for reinvestment in early intervention</w:t>
            </w:r>
            <w:r>
              <w:t>.</w:t>
            </w:r>
            <w:r w:rsidRPr="00426FE0">
              <w:t xml:space="preserve"> </w:t>
            </w:r>
            <w:r>
              <w:t>R</w:t>
            </w:r>
            <w:r w:rsidRPr="00426FE0">
              <w:t>eturning half rather than the full avoided costs accounts for uncertainty in estimation of avoided costs and gives departments more flexibility to accommodate emerging needs</w:t>
            </w:r>
            <w:r w:rsidRPr="00B148EB" w:rsidDel="00426FE0">
              <w:t>.</w:t>
            </w:r>
            <w:r w:rsidDel="00426FE0">
              <w:t xml:space="preserve"> </w:t>
            </w:r>
            <w:r w:rsidRPr="00404FC8">
              <w:t>Repayment of these savings begins in the program’s third year and is completed by the tenth year.</w:t>
            </w:r>
            <w:r>
              <w:t xml:space="preserve"> Annual</w:t>
            </w:r>
            <w:r w:rsidRPr="00B148EB">
              <w:t xml:space="preserve"> </w:t>
            </w:r>
            <w:r>
              <w:t>e</w:t>
            </w:r>
            <w:r w:rsidRPr="00B148EB">
              <w:t xml:space="preserve">valuation </w:t>
            </w:r>
            <w:r>
              <w:t>is compulsory,</w:t>
            </w:r>
            <w:r w:rsidRPr="00B148EB">
              <w:t xml:space="preserve"> timely</w:t>
            </w:r>
            <w:r>
              <w:t xml:space="preserve"> and </w:t>
            </w:r>
            <w:r w:rsidRPr="00B148EB">
              <w:t>consistent</w:t>
            </w:r>
            <w:r>
              <w:t xml:space="preserve"> </w:t>
            </w:r>
            <w:r w:rsidRPr="00385A55">
              <w:rPr>
                <w:rFonts w:ascii="Arial" w:hAnsi="Arial" w:cs="Arial"/>
              </w:rPr>
              <w:t>(Rose et al. 2023, p. 9,12)</w:t>
            </w:r>
            <w:r>
              <w:t>. Funding is allocated based on benefit estimation modelling, evaluation and observed outcomes</w:t>
            </w:r>
            <w:r w:rsidRPr="00B148EB">
              <w:t xml:space="preserve">. </w:t>
            </w:r>
          </w:p>
          <w:p w14:paraId="59B7B375" w14:textId="77777777" w:rsidR="00B809D1" w:rsidRPr="00E4633A" w:rsidRDefault="00B809D1">
            <w:pPr>
              <w:pStyle w:val="BoxHeading2"/>
            </w:pPr>
            <w:r>
              <w:t>Questions around the framework remain</w:t>
            </w:r>
          </w:p>
          <w:p w14:paraId="776C848A" w14:textId="77777777" w:rsidR="00B809D1" w:rsidRDefault="00B809D1">
            <w:pPr>
              <w:pStyle w:val="BodyText"/>
            </w:pPr>
            <w:r>
              <w:t>The robustness of the framework’s cost</w:t>
            </w:r>
            <w:r>
              <w:noBreakHyphen/>
              <w:t xml:space="preserve">benefit analysis and evaluation is uncertain as modelling methodology and outcomes data are not made public. </w:t>
            </w:r>
            <w:r w:rsidRPr="00496D87">
              <w:t>As</w:t>
            </w:r>
            <w:r w:rsidRPr="00993552">
              <w:t xml:space="preserve"> the </w:t>
            </w:r>
            <w:r>
              <w:t>framework</w:t>
            </w:r>
            <w:r w:rsidRPr="00993552">
              <w:t xml:space="preserve"> operates entirely within the </w:t>
            </w:r>
            <w:r>
              <w:t>Victorian</w:t>
            </w:r>
            <w:r w:rsidRPr="00993552">
              <w:t xml:space="preserve"> Department of Treasury and Finance</w:t>
            </w:r>
            <w:r w:rsidRPr="00496D87">
              <w:t>, its structure</w:t>
            </w:r>
            <w:r>
              <w:t xml:space="preserve"> may </w:t>
            </w:r>
            <w:r w:rsidRPr="00496D87">
              <w:t>create</w:t>
            </w:r>
            <w:r w:rsidRPr="00993552">
              <w:t xml:space="preserve"> incentives</w:t>
            </w:r>
            <w:r w:rsidRPr="00496D87">
              <w:t xml:space="preserve"> that distort</w:t>
            </w:r>
            <w:r>
              <w:t>s</w:t>
            </w:r>
            <w:r w:rsidRPr="00496D87">
              <w:t xml:space="preserve"> decision</w:t>
            </w:r>
            <w:r>
              <w:noBreakHyphen/>
            </w:r>
            <w:r w:rsidRPr="00496D87">
              <w:t>making.</w:t>
            </w:r>
            <w:r w:rsidRPr="00993552">
              <w:t xml:space="preserve"> </w:t>
            </w:r>
            <w:proofErr w:type="gramStart"/>
            <w:r w:rsidRPr="00993552">
              <w:t>In particular, it</w:t>
            </w:r>
            <w:proofErr w:type="gramEnd"/>
            <w:r w:rsidRPr="00993552">
              <w:t xml:space="preserve"> </w:t>
            </w:r>
            <w:r w:rsidRPr="00496D87">
              <w:t>may favour</w:t>
            </w:r>
            <w:r w:rsidRPr="00993552">
              <w:t xml:space="preserve"> </w:t>
            </w:r>
            <w:r>
              <w:t xml:space="preserve">programs with </w:t>
            </w:r>
            <w:r w:rsidRPr="00993552">
              <w:t xml:space="preserve">higher </w:t>
            </w:r>
            <w:r w:rsidRPr="00496D87">
              <w:t>estimated</w:t>
            </w:r>
            <w:r w:rsidRPr="00993552">
              <w:t xml:space="preserve"> avoided costs over </w:t>
            </w:r>
            <w:r w:rsidRPr="00496D87">
              <w:t>those demonstrating</w:t>
            </w:r>
            <w:r w:rsidRPr="00993552">
              <w:t xml:space="preserve"> </w:t>
            </w:r>
            <w:r>
              <w:t xml:space="preserve">real </w:t>
            </w:r>
            <w:r w:rsidRPr="00993552">
              <w:t xml:space="preserve">effectiveness or </w:t>
            </w:r>
            <w:r w:rsidRPr="00496D87">
              <w:t>delivering</w:t>
            </w:r>
            <w:r w:rsidRPr="00993552">
              <w:t xml:space="preserve"> non</w:t>
            </w:r>
            <w:r>
              <w:noBreakHyphen/>
            </w:r>
            <w:r w:rsidRPr="00993552">
              <w:t>fiscal benefits.</w:t>
            </w:r>
            <w:r>
              <w:t xml:space="preserve"> Programs that </w:t>
            </w:r>
            <w:r w:rsidRPr="00496D87">
              <w:t>generate</w:t>
            </w:r>
            <w:r>
              <w:t xml:space="preserve"> savings outside </w:t>
            </w:r>
            <w:r w:rsidRPr="00496D87">
              <w:t>the</w:t>
            </w:r>
            <w:r>
              <w:t xml:space="preserve"> portfolio are especially </w:t>
            </w:r>
            <w:r w:rsidRPr="00496D87">
              <w:t xml:space="preserve">prone to </w:t>
            </w:r>
            <w:r>
              <w:t>overestimation</w:t>
            </w:r>
            <w:r w:rsidRPr="00496D87">
              <w:t>, as limited</w:t>
            </w:r>
            <w:r>
              <w:t xml:space="preserve"> accountability </w:t>
            </w:r>
            <w:r w:rsidRPr="00496D87">
              <w:t xml:space="preserve">exists </w:t>
            </w:r>
            <w:r>
              <w:t xml:space="preserve">for </w:t>
            </w:r>
            <w:r w:rsidRPr="00496D87">
              <w:t xml:space="preserve">verifying </w:t>
            </w:r>
            <w:r>
              <w:t xml:space="preserve">their claims. The inclusion of such savings in the budget forward estimates can also increase fiscal risks. </w:t>
            </w:r>
          </w:p>
          <w:p w14:paraId="192597B3" w14:textId="77777777" w:rsidR="00B809D1" w:rsidRDefault="00B809D1">
            <w:pPr>
              <w:pStyle w:val="BodyText"/>
            </w:pPr>
            <w:r>
              <w:t>Increased transparency would allow greater confidence in the framework’s longer</w:t>
            </w:r>
            <w:r>
              <w:noBreakHyphen/>
              <w:t>term effectiveness, particularly as five to six years of actual data now exists.</w:t>
            </w:r>
          </w:p>
        </w:tc>
      </w:tr>
      <w:tr w:rsidR="00B809D1" w:rsidRPr="00465191" w14:paraId="29908461" w14:textId="77777777" w:rsidTr="00EA2B6E">
        <w:tc>
          <w:tcPr>
            <w:tcW w:w="9638" w:type="dxa"/>
            <w:shd w:val="clear" w:color="auto" w:fill="auto"/>
            <w:tcMar>
              <w:top w:w="0" w:type="dxa"/>
              <w:left w:w="170" w:type="dxa"/>
              <w:bottom w:w="0" w:type="dxa"/>
              <w:right w:w="170" w:type="dxa"/>
            </w:tcMar>
          </w:tcPr>
          <w:p w14:paraId="7E58A3CA" w14:textId="77777777" w:rsidR="00B809D1" w:rsidRPr="00465191" w:rsidRDefault="00B809D1" w:rsidP="001E7897">
            <w:pPr>
              <w:pStyle w:val="NoSpacing"/>
            </w:pPr>
          </w:p>
        </w:tc>
      </w:tr>
    </w:tbl>
    <w:p w14:paraId="28334ACA" w14:textId="77777777" w:rsidR="00B809D1" w:rsidRDefault="00B809D1">
      <w:pPr>
        <w:pStyle w:val="Heading2-nonumber"/>
      </w:pPr>
      <w:bookmarkStart w:id="93" w:name="_Toc215671174"/>
      <w:bookmarkStart w:id="94" w:name="_Toc215838138"/>
      <w:r>
        <w:t>A national framework to support government investment in prevention and early intervention</w:t>
      </w:r>
      <w:bookmarkEnd w:id="93"/>
      <w:bookmarkEnd w:id="94"/>
      <w:r>
        <w:t xml:space="preserve"> </w:t>
      </w:r>
    </w:p>
    <w:p w14:paraId="52C90125" w14:textId="77777777" w:rsidR="00B809D1" w:rsidRDefault="00B809D1">
      <w:pPr>
        <w:pStyle w:val="BodyText"/>
      </w:pPr>
      <w:r>
        <w:t xml:space="preserve">The way governments think about and invest in prevention and early intervention needs to change. The Australian Government should establish a </w:t>
      </w:r>
      <w:r w:rsidDel="00204D39">
        <w:t xml:space="preserve">National Prevention </w:t>
      </w:r>
      <w:r>
        <w:t xml:space="preserve">and Early Intervention Framework (the framework) to support government investment in programs that improve outcomes and reduce demand for future services. The framework seeks to reposition prevention and early intervention as strategic investments for governments. It is not defined by a single component but includes multiple reforms to governance, funding and policy assessment processes. </w:t>
      </w:r>
    </w:p>
    <w:p w14:paraId="043DD983" w14:textId="6ED400AC" w:rsidR="00B809D1" w:rsidRPr="002D67C9" w:rsidRDefault="00B809D1">
      <w:pPr>
        <w:pStyle w:val="BodyText"/>
      </w:pPr>
      <w:r>
        <w:lastRenderedPageBreak/>
        <w:t>The framework takes an evidence</w:t>
      </w:r>
      <w:r>
        <w:noBreakHyphen/>
        <w:t>based approach and recognises the long</w:t>
      </w:r>
      <w:r>
        <w:noBreakHyphen/>
        <w:t>term and cross</w:t>
      </w:r>
      <w:r>
        <w:noBreakHyphen/>
        <w:t xml:space="preserve">portfolio benefits of prevention and early intervention </w:t>
      </w:r>
      <w:r w:rsidRPr="002D67C9">
        <w:t>program</w:t>
      </w:r>
      <w:r>
        <w:t>s. Decision</w:t>
      </w:r>
      <w:r>
        <w:noBreakHyphen/>
        <w:t>makers should be informed about both the direct and flow</w:t>
      </w:r>
      <w:r>
        <w:noBreakHyphen/>
        <w:t xml:space="preserve">on effects of a policy, including those that accrue to other sectors and over longer timeframes – particularly benefits that accrue due to changes in future ‘downstream’ service use. </w:t>
      </w:r>
      <w:r w:rsidRPr="00F77710">
        <w:t xml:space="preserve">The framework provides policymakers </w:t>
      </w:r>
      <w:r>
        <w:t xml:space="preserve">with </w:t>
      </w:r>
      <w:r w:rsidRPr="00F77710">
        <w:t>better estimates of these wider benefits</w:t>
      </w:r>
      <w:r>
        <w:t xml:space="preserve"> to inform their </w:t>
      </w:r>
      <w:proofErr w:type="gramStart"/>
      <w:r>
        <w:t xml:space="preserve">decisions, </w:t>
      </w:r>
      <w:r w:rsidRPr="00F77710">
        <w:t>but</w:t>
      </w:r>
      <w:proofErr w:type="gramEnd"/>
      <w:r w:rsidRPr="00F77710">
        <w:t xml:space="preserve"> </w:t>
      </w:r>
      <w:r>
        <w:t>does not require these benefits to be included in budget forward estimates,</w:t>
      </w:r>
      <w:r w:rsidRPr="002B0A03">
        <w:rPr>
          <w:rStyle w:val="FootnoteReference"/>
        </w:rPr>
        <w:footnoteReference w:id="27"/>
      </w:r>
      <w:r>
        <w:t xml:space="preserve"> leaving that</w:t>
      </w:r>
      <w:r w:rsidRPr="00F77710">
        <w:t xml:space="preserve"> decision </w:t>
      </w:r>
      <w:r>
        <w:t>to</w:t>
      </w:r>
      <w:r w:rsidRPr="00F77710">
        <w:t xml:space="preserve"> the Australian Government Treasury and Department of </w:t>
      </w:r>
      <w:r>
        <w:t>Finance. This will minimise the fiscal risks associated with the framework – and, indeed, by providing extra rigour around assessment of program proposals, will substantially diminish the existing risks associated with prevention and early intervention programs.</w:t>
      </w:r>
    </w:p>
    <w:p w14:paraId="53CE2DBC" w14:textId="79D3D001" w:rsidR="00B809D1" w:rsidRDefault="00B809D1">
      <w:pPr>
        <w:pStyle w:val="BodyText"/>
      </w:pPr>
      <w:r>
        <w:t xml:space="preserve">The framework’s consistent approach to assessing interventions would improve coordination and collaboration across portfolios and jurisdictions. It would give governments confidence that they are investing in effective programs. </w:t>
      </w:r>
    </w:p>
    <w:p w14:paraId="27BD7983" w14:textId="5C7BCDCC" w:rsidR="00B809D1" w:rsidRDefault="00B809D1">
      <w:pPr>
        <w:pStyle w:val="NoSpacing"/>
        <w:rPr>
          <w:rFonts w:ascii="Arial" w:eastAsia="Arial" w:hAnsi="Arial" w:cs="Times New Roman"/>
        </w:rPr>
      </w:pPr>
      <w:r>
        <w:t xml:space="preserve">The framework </w:t>
      </w:r>
      <w:r w:rsidDel="002240C7">
        <w:t xml:space="preserve">draws on </w:t>
      </w:r>
      <w:r>
        <w:t>lessons</w:t>
      </w:r>
      <w:r w:rsidDel="002240C7">
        <w:t xml:space="preserve"> </w:t>
      </w:r>
      <w:r w:rsidRPr="00C23984" w:rsidDel="002240C7">
        <w:t>from</w:t>
      </w:r>
      <w:r w:rsidRPr="00C23984">
        <w:t xml:space="preserve"> established social investment models</w:t>
      </w:r>
      <w:r>
        <w:t>,</w:t>
      </w:r>
      <w:r w:rsidRPr="002B0A03">
        <w:rPr>
          <w:rStyle w:val="FootnoteReference"/>
        </w:rPr>
        <w:footnoteReference w:id="28"/>
      </w:r>
      <w:r w:rsidRPr="00C23984">
        <w:t xml:space="preserve"> notably</w:t>
      </w:r>
      <w:r>
        <w:t xml:space="preserve"> the Victorian Early Intervention Investment Framework, while introducing more transparent processes and additional fiscal safeguards</w:t>
      </w:r>
      <w:r w:rsidRPr="00C23984">
        <w:t xml:space="preserve">. </w:t>
      </w:r>
      <w:r>
        <w:t>I</w:t>
      </w:r>
      <w:r w:rsidRPr="00C23984">
        <w:t xml:space="preserve">t </w:t>
      </w:r>
      <w:r>
        <w:t xml:space="preserve">shares some similarities with the </w:t>
      </w:r>
      <w:r w:rsidRPr="00C23984">
        <w:t xml:space="preserve">Department of Social Services’ Commonwealth Outcomes </w:t>
      </w:r>
      <w:proofErr w:type="gramStart"/>
      <w:r w:rsidRPr="00C23984">
        <w:t>Fund</w:t>
      </w:r>
      <w:proofErr w:type="gramEnd"/>
      <w:r w:rsidRPr="00C23984">
        <w:t xml:space="preserve"> </w:t>
      </w:r>
      <w:r>
        <w:t>but it</w:t>
      </w:r>
      <w:r w:rsidRPr="00C23984">
        <w:t xml:space="preserve"> adopt</w:t>
      </w:r>
      <w:r>
        <w:t>s</w:t>
      </w:r>
      <w:r w:rsidRPr="00C23984">
        <w:t xml:space="preserve"> a broader cross</w:t>
      </w:r>
      <w:r>
        <w:noBreakHyphen/>
        <w:t>portfolio</w:t>
      </w:r>
      <w:r w:rsidRPr="00C23984">
        <w:t xml:space="preserve"> lens, expanding the scale of investment, </w:t>
      </w:r>
      <w:r>
        <w:t>strengthening</w:t>
      </w:r>
      <w:r w:rsidRPr="00C23984">
        <w:t xml:space="preserve"> the involvement of central agencies, </w:t>
      </w:r>
      <w:r>
        <w:t xml:space="preserve">and building capability within government to </w:t>
      </w:r>
      <w:r w:rsidRPr="00C23984">
        <w:t xml:space="preserve">embed stronger valuation of prevention and early intervention into routine </w:t>
      </w:r>
      <w:r>
        <w:t>decision</w:t>
      </w:r>
      <w:r>
        <w:noBreakHyphen/>
        <w:t>making</w:t>
      </w:r>
      <w:r w:rsidRPr="00C23984">
        <w:t xml:space="preserve"> processes.</w:t>
      </w:r>
      <w:r w:rsidRPr="003210A6">
        <w:rPr>
          <w:rFonts w:ascii="Arial" w:eastAsia="Arial" w:hAnsi="Arial" w:cs="Times New Roman"/>
        </w:rPr>
        <w:t xml:space="preserve"> </w:t>
      </w:r>
      <w:r w:rsidRPr="003D0AD3">
        <w:rPr>
          <w:rFonts w:ascii="Arial" w:eastAsia="Arial" w:hAnsi="Arial" w:cs="Times New Roman"/>
        </w:rPr>
        <w:t>Many features of the framework</w:t>
      </w:r>
      <w:r>
        <w:rPr>
          <w:rFonts w:ascii="Arial" w:eastAsia="Arial" w:hAnsi="Arial" w:cs="Times New Roman"/>
        </w:rPr>
        <w:t xml:space="preserve"> </w:t>
      </w:r>
      <w:r w:rsidRPr="003D0AD3">
        <w:rPr>
          <w:rFonts w:ascii="Arial" w:eastAsia="Arial" w:hAnsi="Arial" w:cs="Times New Roman"/>
        </w:rPr>
        <w:t xml:space="preserve">align with international examples of </w:t>
      </w:r>
      <w:r>
        <w:rPr>
          <w:rFonts w:ascii="Arial" w:eastAsia="Arial" w:hAnsi="Arial" w:cs="Times New Roman"/>
        </w:rPr>
        <w:t>outcomes</w:t>
      </w:r>
      <w:r>
        <w:rPr>
          <w:rFonts w:ascii="Arial" w:eastAsia="Arial" w:hAnsi="Arial" w:cs="Times New Roman"/>
        </w:rPr>
        <w:noBreakHyphen/>
      </w:r>
      <w:r w:rsidRPr="003D0AD3">
        <w:rPr>
          <w:rFonts w:ascii="Arial" w:eastAsia="Arial" w:hAnsi="Arial" w:cs="Times New Roman"/>
        </w:rPr>
        <w:t>based budgeting, which use actuarial microsimulation modelling to inform and prioritise budget allocations while accounting for the broader impacts of policies within the budget process</w:t>
      </w:r>
      <w:r>
        <w:rPr>
          <w:rFonts w:ascii="Arial" w:eastAsia="Arial" w:hAnsi="Arial" w:cs="Times New Roman"/>
        </w:rPr>
        <w:t xml:space="preserve"> </w:t>
      </w:r>
      <w:r w:rsidRPr="00385A55">
        <w:rPr>
          <w:rFonts w:ascii="Arial" w:hAnsi="Arial" w:cs="Arial"/>
        </w:rPr>
        <w:t>(OECD/KIPF 2024)</w:t>
      </w:r>
      <w:r>
        <w:rPr>
          <w:rFonts w:ascii="Arial" w:eastAsia="Arial" w:hAnsi="Arial" w:cs="Times New Roman"/>
        </w:rPr>
        <w:t>.</w:t>
      </w:r>
      <w:r w:rsidDel="00DC5884">
        <w:rPr>
          <w:rFonts w:ascii="Arial" w:eastAsia="Arial" w:hAnsi="Arial" w:cs="Times New Roman"/>
        </w:rPr>
        <w:t xml:space="preserve"> </w:t>
      </w:r>
    </w:p>
    <w:p w14:paraId="2AEB65DE" w14:textId="33BE5007" w:rsidR="00B809D1" w:rsidRPr="00267D02" w:rsidRDefault="00B809D1">
      <w:pPr>
        <w:pStyle w:val="BodyText"/>
      </w:pPr>
      <w:r>
        <w:t>The framework offers a practical way to put into operation the Australian Government’s Measuring What Matters Framework</w:t>
      </w:r>
      <w:r w:rsidR="00593392">
        <w:t>.</w:t>
      </w:r>
      <w:r w:rsidRPr="002B0A03">
        <w:rPr>
          <w:rStyle w:val="FootnoteReference"/>
        </w:rPr>
        <w:footnoteReference w:id="29"/>
      </w:r>
      <w:r>
        <w:t xml:space="preserve"> By directing funding towards outcomes and tracking progress against them, it can embed Measuring What Matters within the policy process. </w:t>
      </w:r>
    </w:p>
    <w:p w14:paraId="23AFAFDF" w14:textId="77777777" w:rsidR="00B809D1" w:rsidRDefault="00B809D1">
      <w:pPr>
        <w:pStyle w:val="BodyText"/>
      </w:pPr>
      <w:r>
        <w:t xml:space="preserve">The framework would require governance reform, new funding arrangements and improved technical capability to support investment in prevention and early intervention. </w:t>
      </w:r>
      <w:r w:rsidRPr="52A9B15F">
        <w:rPr>
          <w:rFonts w:ascii="Arial" w:eastAsia="Arial" w:hAnsi="Arial" w:cs="Times New Roman"/>
        </w:rPr>
        <w:t xml:space="preserve">These elements </w:t>
      </w:r>
      <w:r>
        <w:rPr>
          <w:rFonts w:ascii="Arial" w:eastAsia="Arial" w:hAnsi="Arial" w:cs="Times New Roman"/>
        </w:rPr>
        <w:t>would</w:t>
      </w:r>
      <w:r w:rsidRPr="52A9B15F">
        <w:rPr>
          <w:rFonts w:ascii="Arial" w:eastAsia="Arial" w:hAnsi="Arial" w:cs="Times New Roman"/>
        </w:rPr>
        <w:t xml:space="preserve"> combine to enable a consistent and transparent process for identifying and recommending cost</w:t>
      </w:r>
      <w:r>
        <w:rPr>
          <w:rFonts w:ascii="Arial" w:eastAsia="Arial" w:hAnsi="Arial" w:cs="Times New Roman"/>
        </w:rPr>
        <w:noBreakHyphen/>
      </w:r>
      <w:r w:rsidRPr="52A9B15F">
        <w:rPr>
          <w:rFonts w:ascii="Arial" w:eastAsia="Arial" w:hAnsi="Arial" w:cs="Times New Roman"/>
        </w:rPr>
        <w:t>effective prevention</w:t>
      </w:r>
      <w:r>
        <w:rPr>
          <w:rFonts w:ascii="Arial" w:eastAsia="Arial" w:hAnsi="Arial" w:cs="Times New Roman"/>
        </w:rPr>
        <w:t xml:space="preserve"> and early intervention programs</w:t>
      </w:r>
      <w:r w:rsidRPr="52A9B15F">
        <w:rPr>
          <w:rFonts w:ascii="Arial" w:eastAsia="Arial" w:hAnsi="Arial" w:cs="Times New Roman"/>
        </w:rPr>
        <w:t xml:space="preserve"> and unlock potentially significant long</w:t>
      </w:r>
      <w:r>
        <w:rPr>
          <w:rFonts w:ascii="Arial" w:eastAsia="Arial" w:hAnsi="Arial" w:cs="Times New Roman"/>
        </w:rPr>
        <w:noBreakHyphen/>
      </w:r>
      <w:r w:rsidRPr="52A9B15F">
        <w:rPr>
          <w:rFonts w:ascii="Arial" w:eastAsia="Arial" w:hAnsi="Arial" w:cs="Times New Roman"/>
        </w:rPr>
        <w:t xml:space="preserve">term benefits for the Australian community and government finances. </w:t>
      </w:r>
      <w:r>
        <w:t xml:space="preserve">Elements of the framework include: </w:t>
      </w:r>
    </w:p>
    <w:p w14:paraId="25FAB6A9" w14:textId="77777777" w:rsidR="00B809D1" w:rsidRPr="001E7897" w:rsidRDefault="00B809D1" w:rsidP="00B809D1">
      <w:pPr>
        <w:pStyle w:val="ListBullet"/>
        <w:rPr>
          <w:spacing w:val="-4"/>
        </w:rPr>
      </w:pPr>
      <w:r w:rsidRPr="001E7897">
        <w:rPr>
          <w:b/>
          <w:bCs/>
          <w:spacing w:val="-4"/>
        </w:rPr>
        <w:t>an independent expert</w:t>
      </w:r>
      <w:r w:rsidRPr="001E7897">
        <w:rPr>
          <w:b/>
          <w:bCs/>
          <w:spacing w:val="-4"/>
        </w:rPr>
        <w:noBreakHyphen/>
        <w:t>led Prevention and Early Intervention Framework Advisory Board</w:t>
      </w:r>
      <w:r w:rsidRPr="001E7897">
        <w:rPr>
          <w:spacing w:val="-4"/>
        </w:rPr>
        <w:t xml:space="preserve"> (PEIFAB) to review and recommend proposed programs</w:t>
      </w:r>
      <w:r w:rsidRPr="001E7897" w:rsidDel="002B442D">
        <w:rPr>
          <w:spacing w:val="-4"/>
        </w:rPr>
        <w:t xml:space="preserve"> and </w:t>
      </w:r>
      <w:r w:rsidRPr="001E7897">
        <w:rPr>
          <w:spacing w:val="-4"/>
        </w:rPr>
        <w:t>validate estimates of cross</w:t>
      </w:r>
      <w:r w:rsidRPr="001E7897">
        <w:rPr>
          <w:spacing w:val="-4"/>
        </w:rPr>
        <w:noBreakHyphen/>
        <w:t>portfolio and long</w:t>
      </w:r>
      <w:r w:rsidRPr="001E7897">
        <w:rPr>
          <w:spacing w:val="-4"/>
        </w:rPr>
        <w:noBreakHyphen/>
        <w:t>term benefits</w:t>
      </w:r>
    </w:p>
    <w:p w14:paraId="1E3E3129" w14:textId="77777777" w:rsidR="00B809D1" w:rsidRDefault="00B809D1" w:rsidP="00B809D1">
      <w:pPr>
        <w:pStyle w:val="ListBullet"/>
      </w:pPr>
      <w:r w:rsidRPr="00880801">
        <w:rPr>
          <w:b/>
          <w:bCs/>
        </w:rPr>
        <w:t>a prevention and early intervention assessment team</w:t>
      </w:r>
      <w:r>
        <w:t xml:space="preserve"> (the assessment team) to build government capability and support standardised and rigorous economic evaluation of prevention and early intervention programs, including </w:t>
      </w:r>
      <w:proofErr w:type="gramStart"/>
      <w:r>
        <w:t>through the use of</w:t>
      </w:r>
      <w:proofErr w:type="gramEnd"/>
      <w:r>
        <w:t xml:space="preserve"> an actuarial microsimulation model</w:t>
      </w:r>
    </w:p>
    <w:p w14:paraId="52F0BB79" w14:textId="77777777" w:rsidR="00B809D1" w:rsidRDefault="00B809D1" w:rsidP="00B809D1">
      <w:pPr>
        <w:pStyle w:val="ListBullet"/>
      </w:pPr>
      <w:r w:rsidRPr="00880801">
        <w:rPr>
          <w:b/>
          <w:bCs/>
        </w:rPr>
        <w:lastRenderedPageBreak/>
        <w:t>a whole</w:t>
      </w:r>
      <w:r>
        <w:rPr>
          <w:b/>
          <w:bCs/>
        </w:rPr>
        <w:noBreakHyphen/>
      </w:r>
      <w:r w:rsidRPr="00880801">
        <w:rPr>
          <w:b/>
          <w:bCs/>
        </w:rPr>
        <w:t>of</w:t>
      </w:r>
      <w:r>
        <w:rPr>
          <w:b/>
          <w:bCs/>
        </w:rPr>
        <w:noBreakHyphen/>
      </w:r>
      <w:r w:rsidRPr="00880801">
        <w:rPr>
          <w:b/>
          <w:bCs/>
        </w:rPr>
        <w:t>population actuarial microsimulation model</w:t>
      </w:r>
      <w:r>
        <w:t xml:space="preserve"> to identify lifetime costs and priority cohorts, estimate the long</w:t>
      </w:r>
      <w:r>
        <w:noBreakHyphen/>
        <w:t>term fiscal and wellbeing impacts of interventions (including second</w:t>
      </w:r>
      <w:r>
        <w:noBreakHyphen/>
        <w:t xml:space="preserve">round effects), and monitor and evaluate interventions on an ongoing basis </w:t>
      </w:r>
    </w:p>
    <w:p w14:paraId="7854F908" w14:textId="77777777" w:rsidR="00B809D1" w:rsidRDefault="00B809D1" w:rsidP="00B809D1">
      <w:pPr>
        <w:pStyle w:val="ListBullet"/>
      </w:pPr>
      <w:r w:rsidRPr="00880801">
        <w:rPr>
          <w:b/>
          <w:bCs/>
        </w:rPr>
        <w:t xml:space="preserve">a National </w:t>
      </w:r>
      <w:r w:rsidRPr="00880801" w:rsidDel="000E7A54">
        <w:rPr>
          <w:b/>
          <w:bCs/>
        </w:rPr>
        <w:t xml:space="preserve">Prevention </w:t>
      </w:r>
      <w:r w:rsidRPr="00880801">
        <w:rPr>
          <w:b/>
          <w:bCs/>
        </w:rPr>
        <w:t xml:space="preserve">and Early Intervention Investment Fund, </w:t>
      </w:r>
      <w:r>
        <w:t>supported by agreements between Australian, state and territory governments</w:t>
      </w:r>
      <w:r w:rsidDel="00C52BDF">
        <w:t xml:space="preserve"> </w:t>
      </w:r>
      <w:r>
        <w:t>to support jointly funded programs. In the longer term, this fund would be replaced by modifying existing sector</w:t>
      </w:r>
      <w:r>
        <w:noBreakHyphen/>
        <w:t>specific federation funding agreements to allocate a portion of their funding to jointly</w:t>
      </w:r>
      <w:r>
        <w:noBreakHyphen/>
        <w:t xml:space="preserve">funded programs. </w:t>
      </w:r>
    </w:p>
    <w:p w14:paraId="6EE28D35" w14:textId="77777777" w:rsidR="00B809D1" w:rsidRDefault="00B809D1">
      <w:pPr>
        <w:pStyle w:val="Heading3"/>
      </w:pPr>
      <w:r>
        <w:t xml:space="preserve">A robust assessment </w:t>
      </w:r>
      <w:r w:rsidDel="008B6EF9">
        <w:t xml:space="preserve">and evaluation </w:t>
      </w:r>
      <w:r>
        <w:t xml:space="preserve">process to support confidence, consistency and rigour </w:t>
      </w:r>
    </w:p>
    <w:p w14:paraId="04501A47" w14:textId="2E266B04" w:rsidR="00B809D1" w:rsidRPr="001E7897" w:rsidRDefault="00B809D1">
      <w:pPr>
        <w:pStyle w:val="BodyText"/>
        <w:rPr>
          <w:spacing w:val="-2"/>
        </w:rPr>
      </w:pPr>
      <w:r w:rsidRPr="001E7897">
        <w:rPr>
          <w:spacing w:val="-2"/>
        </w:rPr>
        <w:t xml:space="preserve">A standardised process would ensure prevention and early intervention initiatives are assessed and evaluated with rigour and consistency (figure 3.5). This process would support consistent and transparent funding decisions, like the Medical Services Advisory Committee </w:t>
      </w:r>
      <w:r w:rsidR="00A6459C" w:rsidRPr="001E7897">
        <w:rPr>
          <w:spacing w:val="-2"/>
        </w:rPr>
        <w:t xml:space="preserve">and Pharmaceutical Benefits </w:t>
      </w:r>
      <w:r w:rsidR="00FF5705" w:rsidRPr="001E7897">
        <w:rPr>
          <w:spacing w:val="-2"/>
        </w:rPr>
        <w:t xml:space="preserve">Advisory Committee </w:t>
      </w:r>
      <w:r w:rsidRPr="001E7897">
        <w:rPr>
          <w:spacing w:val="-2"/>
        </w:rPr>
        <w:t>process</w:t>
      </w:r>
      <w:r w:rsidR="00FF5705" w:rsidRPr="001E7897">
        <w:rPr>
          <w:spacing w:val="-2"/>
        </w:rPr>
        <w:t>es</w:t>
      </w:r>
      <w:r w:rsidRPr="001E7897">
        <w:rPr>
          <w:spacing w:val="-2"/>
        </w:rPr>
        <w:t>.</w:t>
      </w:r>
      <w:r w:rsidRPr="001E7897">
        <w:rPr>
          <w:rStyle w:val="FootnoteReference"/>
          <w:spacing w:val="-2"/>
        </w:rPr>
        <w:footnoteReference w:id="30"/>
      </w:r>
      <w:r w:rsidRPr="001E7897">
        <w:rPr>
          <w:spacing w:val="-2"/>
        </w:rPr>
        <w:t xml:space="preserve"> It would also serve as a guardrail to ensure that genuine and effective early interventions and prevention programs are funded, while filtering out programs that better fit into acute/crisis care, are ineffective, or offer lower value for money. This will be critical for building confidence in the approach. </w:t>
      </w:r>
    </w:p>
    <w:p w14:paraId="100CB830" w14:textId="77777777" w:rsidR="00B809D1" w:rsidRDefault="00B809D1">
      <w:pPr>
        <w:pStyle w:val="BodyText"/>
      </w:pPr>
      <w:r>
        <w:t>All Australian, state and territory government departments and agencies applying for funding through the framework should pass through the process, with variations in the final approval and funding stage depending on the source of funding.</w:t>
      </w:r>
    </w:p>
    <w:p w14:paraId="5302CB39" w14:textId="77777777" w:rsidR="00B809D1" w:rsidRDefault="00B809D1" w:rsidP="00B809D1">
      <w:pPr>
        <w:pStyle w:val="ListBullet"/>
      </w:pPr>
      <w:r w:rsidRPr="002F23B6">
        <w:rPr>
          <w:b/>
        </w:rPr>
        <w:t>Pre</w:t>
      </w:r>
      <w:r>
        <w:rPr>
          <w:b/>
        </w:rPr>
        <w:noBreakHyphen/>
      </w:r>
      <w:r w:rsidRPr="002F23B6">
        <w:rPr>
          <w:b/>
        </w:rPr>
        <w:t>assessment</w:t>
      </w:r>
      <w:r>
        <w:t>: Australian, state and territory government agencies and departments submit a</w:t>
      </w:r>
      <w:r w:rsidDel="00AA16A5">
        <w:t xml:space="preserve"> </w:t>
      </w:r>
      <w:r>
        <w:t xml:space="preserve">preassessment, to be approved by the assessment team established in Treasury. The preassessment should require identification of the intervention’s target population, the main intervention being considered, an alternative intervention or control group that can be used as a comparator, expected outcomes due to the intervention, and the timeframe of expected effects. The preassessment would help ensure that proposals are in scope and suitable for review and funding through the framework. </w:t>
      </w:r>
    </w:p>
    <w:p w14:paraId="2D3B35FB" w14:textId="77777777" w:rsidR="00B809D1" w:rsidRDefault="00B809D1" w:rsidP="00B809D1">
      <w:pPr>
        <w:pStyle w:val="ListBullet"/>
      </w:pPr>
      <w:r w:rsidRPr="53225C29">
        <w:rPr>
          <w:b/>
          <w:bCs/>
        </w:rPr>
        <w:t>Assessment</w:t>
      </w:r>
      <w:r>
        <w:t xml:space="preserve">: Once the preassessment is verified, departments and agencies prepare a report addressing assessment criteria set out by PEIFAB, with support from the assessment team. </w:t>
      </w:r>
      <w:r w:rsidRPr="009C75DF">
        <w:t xml:space="preserve">The assessment report should </w:t>
      </w:r>
      <w:r>
        <w:t xml:space="preserve">include a </w:t>
      </w:r>
      <w:r w:rsidRPr="009C75DF">
        <w:t xml:space="preserve">review </w:t>
      </w:r>
      <w:r>
        <w:t xml:space="preserve">of </w:t>
      </w:r>
      <w:r w:rsidRPr="009C75DF">
        <w:t>the evidence for the proposed intervention, cost</w:t>
      </w:r>
      <w:r>
        <w:noBreakHyphen/>
      </w:r>
      <w:r w:rsidRPr="009C75DF">
        <w:t xml:space="preserve">benefit analysis </w:t>
      </w:r>
      <w:r>
        <w:t>(accounting for cross</w:t>
      </w:r>
      <w:r>
        <w:noBreakHyphen/>
        <w:t>portfolio and long</w:t>
      </w:r>
      <w:r>
        <w:noBreakHyphen/>
        <w:t>term benefits where appropriate)</w:t>
      </w:r>
      <w:r w:rsidRPr="009C75DF">
        <w:t xml:space="preserve"> and </w:t>
      </w:r>
      <w:r>
        <w:t>equity analysis</w:t>
      </w:r>
      <w:r w:rsidRPr="009C75DF">
        <w:t>.</w:t>
      </w:r>
      <w:r>
        <w:t xml:space="preserve"> </w:t>
      </w:r>
    </w:p>
    <w:p w14:paraId="5392A3B7" w14:textId="77777777" w:rsidR="00B809D1" w:rsidRDefault="00B809D1" w:rsidP="00B809D1">
      <w:pPr>
        <w:pStyle w:val="ListBullet"/>
      </w:pPr>
      <w:r w:rsidRPr="002F23B6">
        <w:rPr>
          <w:b/>
          <w:bCs/>
        </w:rPr>
        <w:t>Independent review and recommendation</w:t>
      </w:r>
      <w:r>
        <w:t>: PEIFAB reviews the assessment reports based on a prioritisation framework and recommends programs to relevant Ministers.</w:t>
      </w:r>
    </w:p>
    <w:p w14:paraId="3B9F92E6" w14:textId="65242B1B" w:rsidR="00B809D1" w:rsidRDefault="00B809D1" w:rsidP="00B809D1">
      <w:pPr>
        <w:pStyle w:val="ListBullet"/>
      </w:pPr>
      <w:r w:rsidRPr="00D011D8">
        <w:rPr>
          <w:b/>
          <w:bCs/>
        </w:rPr>
        <w:t>Approval and funding of proposals</w:t>
      </w:r>
      <w:r w:rsidRPr="00986796">
        <w:t>:</w:t>
      </w:r>
      <w:r>
        <w:t xml:space="preserve"> After PEIFAB’s recommendation, final pathways for funding approval would depend on whether the program required federal investment alone or joint investment with state and territory governments (detailed later in the chapter). While all proposals seeking Australian Government funding would require approval from the Expenditure Review Committee and Cabinet, programs that also require joint contributions from state or territory governments would require agreement from relevant state and territory ministers</w:t>
      </w:r>
      <w:r w:rsidDel="00B33442">
        <w:t>.</w:t>
      </w:r>
      <w:r>
        <w:t xml:space="preserve"> </w:t>
      </w:r>
      <w:r w:rsidRPr="00D011D8">
        <w:t>Any agreements</w:t>
      </w:r>
      <w:r w:rsidRPr="00D011D8" w:rsidDel="005436FC">
        <w:t xml:space="preserve"> </w:t>
      </w:r>
      <w:r w:rsidR="005436FC">
        <w:t>specif</w:t>
      </w:r>
      <w:r w:rsidR="00F11BD3">
        <w:t>ying</w:t>
      </w:r>
      <w:r w:rsidRPr="00D011D8">
        <w:t xml:space="preserve"> joint funding </w:t>
      </w:r>
      <w:r>
        <w:t>would</w:t>
      </w:r>
      <w:r w:rsidRPr="00D011D8">
        <w:t xml:space="preserve"> follow approvals and outline each government</w:t>
      </w:r>
      <w:r>
        <w:t>’</w:t>
      </w:r>
      <w:r w:rsidRPr="00D011D8">
        <w:t>s contribution based on expected benefit shares.</w:t>
      </w:r>
    </w:p>
    <w:p w14:paraId="73D35F36" w14:textId="4DDFB285" w:rsidR="00B809D1" w:rsidRDefault="00B809D1" w:rsidP="00B809D1">
      <w:pPr>
        <w:pStyle w:val="ListBullet"/>
      </w:pPr>
      <w:r w:rsidRPr="00D011D8">
        <w:rPr>
          <w:b/>
          <w:bCs/>
        </w:rPr>
        <w:lastRenderedPageBreak/>
        <w:t>Evaluation</w:t>
      </w:r>
      <w:r>
        <w:t xml:space="preserve">: Regular evaluations of programs funded through the framework would enable potential improvements to be identified </w:t>
      </w:r>
      <w:r w:rsidDel="00EC09C8">
        <w:t xml:space="preserve">and </w:t>
      </w:r>
      <w:r>
        <w:t>ineffective programs defunded.</w:t>
      </w:r>
      <w:r w:rsidRPr="002B0A03">
        <w:rPr>
          <w:rStyle w:val="FootnoteReference"/>
        </w:rPr>
        <w:footnoteReference w:id="31"/>
      </w:r>
      <w:r>
        <w:t xml:space="preserve"> Evaluations could be run by departments and agencies with the support of the Australian Centre for Evaluation, consultants or academics. PEIFAB would</w:t>
      </w:r>
      <w:r w:rsidDel="00EC09C8">
        <w:t xml:space="preserve"> </w:t>
      </w:r>
      <w:r>
        <w:t xml:space="preserve">recommend timelines for review and assess results from evaluations to advise governments on whether the program should receive ongoing funding, with this advice made public. </w:t>
      </w:r>
    </w:p>
    <w:p w14:paraId="0EF89CC5" w14:textId="77777777" w:rsidR="00B809D1" w:rsidRDefault="00B809D1">
      <w:pPr>
        <w:pStyle w:val="FigureTableHeading"/>
      </w:pPr>
      <w:r>
        <w:t>Figure 3.5</w:t>
      </w:r>
      <w:r>
        <w:rPr>
          <w:noProof/>
        </w:rPr>
        <w:t xml:space="preserve"> </w:t>
      </w:r>
      <w:r>
        <w:t>– Prevention and early intervention program approval process</w:t>
      </w:r>
    </w:p>
    <w:p w14:paraId="712AC6C8" w14:textId="6D567891" w:rsidR="00B809D1" w:rsidRPr="005550A0" w:rsidRDefault="00AD03AD" w:rsidP="005D6592">
      <w:pPr>
        <w:pStyle w:val="BodyText"/>
        <w:spacing w:after="360"/>
      </w:pPr>
      <w:r w:rsidRPr="00AD03AD">
        <w:rPr>
          <w:noProof/>
        </w:rPr>
        <w:drawing>
          <wp:inline distT="0" distB="0" distL="0" distR="0" wp14:anchorId="60C363CF" wp14:editId="3C6B5094">
            <wp:extent cx="6120130" cy="2877185"/>
            <wp:effectExtent l="0" t="0" r="0" b="0"/>
            <wp:docPr id="1906953280" name="Picture 13" descr="Flowchart showing a five-step process for program assessment and approval. Step 1: Departments submit applications to the assessment team. Step 2: The assessment team approves initial assessment using PICOT framework (population, intervention, comparison, outcome and timeframe). Step 3: Applicants prepare assessment of proposal which includes cost-benefit analysis. Supported by assessment team and actuarial model. Step 4: PEIFAB reviews assessment report and recommends programs for funding. Step 5: Proposals will require sign-offs from relevant minister(s), ERC and Cabi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53280" name="Picture 13" descr="Flowchart showing a five-step process for program assessment and approval. Step 1: Departments submit applications to the assessment team. Step 2: The assessment team approves initial assessment using PICOT framework (population, intervention, comparison, outcome and timeframe). Step 3: Applicants prepare assessment of proposal which includes cost-benefit analysis. Supported by assessment team and actuarial model. Step 4: PEIFAB reviews assessment report and recommends programs for funding. Step 5: Proposals will require sign-offs from relevant minister(s), ERC and Cabinet.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2877185"/>
                    </a:xfrm>
                    <a:prstGeom prst="rect">
                      <a:avLst/>
                    </a:prstGeom>
                    <a:noFill/>
                    <a:ln>
                      <a:noFill/>
                    </a:ln>
                  </pic:spPr>
                </pic:pic>
              </a:graphicData>
            </a:graphic>
          </wp:inline>
        </w:drawing>
      </w:r>
    </w:p>
    <w:p w14:paraId="1118E0DE" w14:textId="77777777" w:rsidR="00B809D1" w:rsidRDefault="00B809D1">
      <w:pPr>
        <w:pStyle w:val="Heading3"/>
      </w:pPr>
      <w:r>
        <w:t xml:space="preserve">What programs would be in scope? </w:t>
      </w:r>
    </w:p>
    <w:p w14:paraId="02776205" w14:textId="4750EC57" w:rsidR="00B809D1" w:rsidRDefault="00B809D1">
      <w:pPr>
        <w:pStyle w:val="BodyText"/>
      </w:pPr>
      <w:r>
        <w:t xml:space="preserve">Broadly speaking, the framework should support programs that </w:t>
      </w:r>
      <w:r w:rsidRPr="002C7239">
        <w:t xml:space="preserve">improve </w:t>
      </w:r>
      <w:r>
        <w:t>care</w:t>
      </w:r>
      <w:r>
        <w:noBreakHyphen/>
        <w:t xml:space="preserve">related outcomes for individuals and the wider community, while at the same time allowing governments to </w:t>
      </w:r>
      <w:r w:rsidR="0018303A">
        <w:t>reduce spending on</w:t>
      </w:r>
      <w:r>
        <w:t xml:space="preserve"> future acute services</w:t>
      </w:r>
      <w:r w:rsidRPr="002C7239">
        <w:t>.</w:t>
      </w:r>
      <w:r w:rsidRPr="00F51B41" w:rsidDel="003F22C8">
        <w:rPr>
          <w:rStyle w:val="FootnoteReference"/>
        </w:rPr>
        <w:t xml:space="preserve"> </w:t>
      </w:r>
      <w:r>
        <w:t>The framework should have a broad cross</w:t>
      </w:r>
      <w:r>
        <w:noBreakHyphen/>
        <w:t xml:space="preserve">portfolio scope – supporting prevention and early intervention across sectors such as health, aged care, housing, education, child protection and justice. Medical and pharmaceutical early interventions that are assessed by the Medical Services Advisory Committee and Pharmaceutical Benefits Advisory Committee would be out of scope. </w:t>
      </w:r>
    </w:p>
    <w:p w14:paraId="38F8043A" w14:textId="77777777" w:rsidR="00B809D1" w:rsidRDefault="00B809D1">
      <w:pPr>
        <w:pStyle w:val="BodyText"/>
      </w:pPr>
      <w:r w:rsidRPr="00B56612">
        <w:t>Pilot trials aimed at generating new evidence should not be eligible for funding under the framework. Funding should be directed toward programs with a well</w:t>
      </w:r>
      <w:r>
        <w:noBreakHyphen/>
      </w:r>
      <w:r w:rsidRPr="00B56612">
        <w:t>established evidence base.</w:t>
      </w:r>
    </w:p>
    <w:p w14:paraId="5A863362" w14:textId="77777777" w:rsidR="00637A91" w:rsidRDefault="00B809D1">
      <w:pPr>
        <w:pStyle w:val="BodyText"/>
        <w:rPr>
          <w:rFonts w:ascii="Arial" w:hAnsi="Arial" w:cs="Arial"/>
          <w:color w:val="000000"/>
        </w:rPr>
      </w:pPr>
      <w:r w:rsidRPr="00BC0712">
        <w:rPr>
          <w:rFonts w:ascii="Arial" w:hAnsi="Arial" w:cs="Arial"/>
          <w:color w:val="000000"/>
        </w:rPr>
        <w:t>While the framework is intended to eventually cover a wide range of polic</w:t>
      </w:r>
      <w:r>
        <w:rPr>
          <w:rFonts w:ascii="Arial" w:hAnsi="Arial" w:cs="Arial"/>
          <w:color w:val="000000"/>
        </w:rPr>
        <w:t>y contexts</w:t>
      </w:r>
      <w:r w:rsidRPr="00BC0712">
        <w:rPr>
          <w:rFonts w:ascii="Arial" w:hAnsi="Arial" w:cs="Arial"/>
          <w:color w:val="000000"/>
        </w:rPr>
        <w:t xml:space="preserve">, governments may initially focus on </w:t>
      </w:r>
      <w:r>
        <w:rPr>
          <w:rFonts w:ascii="Arial" w:hAnsi="Arial" w:cs="Arial"/>
          <w:color w:val="000000"/>
        </w:rPr>
        <w:t xml:space="preserve">one </w:t>
      </w:r>
      <w:r w:rsidRPr="00BC0712">
        <w:rPr>
          <w:rFonts w:ascii="Arial" w:hAnsi="Arial" w:cs="Arial"/>
          <w:color w:val="000000"/>
        </w:rPr>
        <w:t>policy area</w:t>
      </w:r>
      <w:r>
        <w:rPr>
          <w:rFonts w:ascii="Arial" w:hAnsi="Arial" w:cs="Arial"/>
          <w:color w:val="000000"/>
        </w:rPr>
        <w:t xml:space="preserve">, as a proof of concept, that has interventions backed by evidence of </w:t>
      </w:r>
      <w:r w:rsidRPr="00BC0712">
        <w:rPr>
          <w:rFonts w:ascii="Arial" w:hAnsi="Arial" w:cs="Arial"/>
          <w:color w:val="000000"/>
        </w:rPr>
        <w:t>short</w:t>
      </w:r>
      <w:r>
        <w:rPr>
          <w:rFonts w:ascii="Arial" w:hAnsi="Arial" w:cs="Arial"/>
          <w:color w:val="000000"/>
        </w:rPr>
        <w:noBreakHyphen/>
      </w:r>
      <w:r w:rsidRPr="00BC0712">
        <w:rPr>
          <w:rFonts w:ascii="Arial" w:hAnsi="Arial" w:cs="Arial"/>
          <w:color w:val="000000"/>
        </w:rPr>
        <w:t xml:space="preserve"> to medium</w:t>
      </w:r>
      <w:r>
        <w:rPr>
          <w:rFonts w:ascii="Arial" w:hAnsi="Arial" w:cs="Arial"/>
          <w:color w:val="000000"/>
        </w:rPr>
        <w:noBreakHyphen/>
      </w:r>
      <w:r w:rsidRPr="00BC0712">
        <w:rPr>
          <w:rFonts w:ascii="Arial" w:hAnsi="Arial" w:cs="Arial"/>
          <w:color w:val="000000"/>
        </w:rPr>
        <w:t xml:space="preserve">term </w:t>
      </w:r>
      <w:r>
        <w:rPr>
          <w:rFonts w:ascii="Arial" w:hAnsi="Arial" w:cs="Arial"/>
          <w:color w:val="000000"/>
        </w:rPr>
        <w:t>payoffs</w:t>
      </w:r>
      <w:r w:rsidRPr="00BC0712">
        <w:rPr>
          <w:rFonts w:ascii="Arial" w:hAnsi="Arial" w:cs="Arial"/>
          <w:color w:val="000000"/>
        </w:rPr>
        <w:t xml:space="preserve">. One example for early reform could be efforts to reduce </w:t>
      </w:r>
      <w:r>
        <w:rPr>
          <w:rFonts w:ascii="Arial" w:hAnsi="Arial" w:cs="Arial"/>
          <w:color w:val="000000"/>
        </w:rPr>
        <w:t>the need for</w:t>
      </w:r>
      <w:r w:rsidRPr="00BC0712">
        <w:rPr>
          <w:rFonts w:ascii="Arial" w:hAnsi="Arial" w:cs="Arial"/>
          <w:color w:val="000000"/>
        </w:rPr>
        <w:t xml:space="preserve"> out</w:t>
      </w:r>
      <w:r>
        <w:rPr>
          <w:rFonts w:ascii="Arial" w:hAnsi="Arial" w:cs="Arial"/>
          <w:color w:val="000000"/>
        </w:rPr>
        <w:noBreakHyphen/>
      </w:r>
      <w:r w:rsidRPr="00BC0712">
        <w:rPr>
          <w:rFonts w:ascii="Arial" w:hAnsi="Arial" w:cs="Arial"/>
          <w:color w:val="000000"/>
        </w:rPr>
        <w:t>of</w:t>
      </w:r>
      <w:r>
        <w:rPr>
          <w:rFonts w:ascii="Arial" w:hAnsi="Arial" w:cs="Arial"/>
          <w:color w:val="000000"/>
        </w:rPr>
        <w:noBreakHyphen/>
      </w:r>
      <w:r w:rsidRPr="00BC0712">
        <w:rPr>
          <w:rFonts w:ascii="Arial" w:hAnsi="Arial" w:cs="Arial"/>
          <w:color w:val="000000"/>
        </w:rPr>
        <w:t>home care (OOHC) through family</w:t>
      </w:r>
      <w:r>
        <w:rPr>
          <w:rFonts w:ascii="Arial" w:hAnsi="Arial" w:cs="Arial"/>
          <w:color w:val="000000"/>
        </w:rPr>
        <w:noBreakHyphen/>
      </w:r>
      <w:r w:rsidRPr="00BC0712">
        <w:rPr>
          <w:rFonts w:ascii="Arial" w:hAnsi="Arial" w:cs="Arial"/>
          <w:color w:val="000000"/>
        </w:rPr>
        <w:t>preservation programs (box</w:t>
      </w:r>
      <w:r>
        <w:rPr>
          <w:rFonts w:ascii="Arial" w:hAnsi="Arial" w:cs="Arial"/>
          <w:color w:val="000000"/>
        </w:rPr>
        <w:t> </w:t>
      </w:r>
      <w:r w:rsidRPr="00BC0712">
        <w:rPr>
          <w:rFonts w:ascii="Arial" w:hAnsi="Arial" w:cs="Arial"/>
          <w:color w:val="000000"/>
        </w:rPr>
        <w:t>3.</w:t>
      </w:r>
      <w:r>
        <w:rPr>
          <w:rFonts w:ascii="Arial" w:hAnsi="Arial" w:cs="Arial"/>
          <w:color w:val="000000"/>
        </w:rPr>
        <w:t>5</w:t>
      </w:r>
      <w:r w:rsidRPr="00BC0712">
        <w:rPr>
          <w:rFonts w:ascii="Arial" w:hAnsi="Arial" w:cs="Arial"/>
          <w:color w:val="000000"/>
        </w:rPr>
        <w:t>).</w:t>
      </w:r>
      <w:r>
        <w:rPr>
          <w:rFonts w:ascii="Arial" w:hAnsi="Arial" w:cs="Arial"/>
          <w:color w:val="000000"/>
        </w:rPr>
        <w:t xml:space="preserve"> </w:t>
      </w:r>
    </w:p>
    <w:p w14:paraId="1DC6F792" w14:textId="250F6443" w:rsidR="00B809D1" w:rsidRDefault="00B809D1">
      <w:pPr>
        <w:pStyle w:val="BodyText"/>
      </w:pPr>
      <w:r>
        <w:t>The framework could also ensure a focus on improving equity in existing priority areas,</w:t>
      </w:r>
      <w:r w:rsidRPr="002B0A03">
        <w:rPr>
          <w:rStyle w:val="FootnoteReference"/>
        </w:rPr>
        <w:footnoteReference w:id="32"/>
      </w:r>
      <w:r>
        <w:t xml:space="preserve"> including in the National Agreement on Closing the Gap, </w:t>
      </w:r>
      <w:r w:rsidR="008677E7">
        <w:t>t</w:t>
      </w:r>
      <w:r>
        <w:t xml:space="preserve">he National Plan to End Violence Against Women and Children </w:t>
      </w:r>
      <w:r>
        <w:lastRenderedPageBreak/>
        <w:t>2022–</w:t>
      </w:r>
      <w:proofErr w:type="gramStart"/>
      <w:r>
        <w:t>2032, and</w:t>
      </w:r>
      <w:proofErr w:type="gramEnd"/>
      <w:r>
        <w:t xml:space="preserve"> Working for Women: A Strategy for Gender Equality. It could also direct efforts towards priority cohorts identified in the National Preventive Health Strategy 2021–2030 </w:t>
      </w:r>
      <w:r w:rsidR="00C36B44" w:rsidRPr="00C36B44">
        <w:rPr>
          <w:rFonts w:ascii="Arial" w:hAnsi="Arial" w:cs="Arial"/>
          <w:szCs w:val="24"/>
          <w:lang w:val="en-GB"/>
        </w:rPr>
        <w:t>(</w:t>
      </w:r>
      <w:proofErr w:type="spellStart"/>
      <w:r w:rsidR="00C36B44" w:rsidRPr="00C36B44">
        <w:rPr>
          <w:rFonts w:ascii="Arial" w:hAnsi="Arial" w:cs="Arial"/>
          <w:szCs w:val="24"/>
          <w:lang w:val="en-GB"/>
        </w:rPr>
        <w:t>DoH</w:t>
      </w:r>
      <w:proofErr w:type="spellEnd"/>
      <w:r w:rsidR="00C36B44" w:rsidRPr="00C36B44">
        <w:rPr>
          <w:rFonts w:ascii="Arial" w:hAnsi="Arial" w:cs="Arial"/>
          <w:szCs w:val="24"/>
          <w:lang w:val="en-GB"/>
        </w:rPr>
        <w:t> 2021c)</w:t>
      </w:r>
      <w:r>
        <w:t xml:space="preserve">. </w:t>
      </w:r>
    </w:p>
    <w:p w14:paraId="751465FE" w14:textId="77777777" w:rsidR="00B809D1" w:rsidRDefault="00B809D1">
      <w:pPr>
        <w:pStyle w:val="NoSpacing"/>
      </w:pPr>
    </w:p>
    <w:tbl>
      <w:tblPr>
        <w:tblStyle w:val="Boxtable"/>
        <w:tblW w:w="5000" w:type="pct"/>
        <w:tblLook w:val="04A0" w:firstRow="1" w:lastRow="0" w:firstColumn="1" w:lastColumn="0" w:noHBand="0" w:noVBand="1"/>
      </w:tblPr>
      <w:tblGrid>
        <w:gridCol w:w="9638"/>
      </w:tblGrid>
      <w:tr w:rsidR="00B809D1" w14:paraId="56D2F219" w14:textId="77777777">
        <w:trPr>
          <w:tblHeader/>
        </w:trPr>
        <w:tc>
          <w:tcPr>
            <w:tcW w:w="9638" w:type="dxa"/>
            <w:shd w:val="clear" w:color="auto" w:fill="EBEBEB"/>
            <w:tcMar>
              <w:top w:w="170" w:type="dxa"/>
              <w:left w:w="170" w:type="dxa"/>
              <w:bottom w:w="113" w:type="dxa"/>
              <w:right w:w="170" w:type="dxa"/>
            </w:tcMar>
            <w:hideMark/>
          </w:tcPr>
          <w:p w14:paraId="2A99A5D4" w14:textId="77777777" w:rsidR="00B809D1" w:rsidRDefault="00B809D1">
            <w:pPr>
              <w:pStyle w:val="BoxHeading1"/>
            </w:pPr>
            <w:r>
              <w:t>Box 3.5 – Example program: the value of preventing the need for out</w:t>
            </w:r>
            <w:r>
              <w:noBreakHyphen/>
              <w:t>of</w:t>
            </w:r>
            <w:r>
              <w:noBreakHyphen/>
              <w:t>home care</w:t>
            </w:r>
          </w:p>
          <w:p w14:paraId="637B86DD" w14:textId="5D98BC08" w:rsidR="00B809D1" w:rsidRDefault="00B809D1">
            <w:pPr>
              <w:pStyle w:val="BodyText"/>
            </w:pPr>
            <w:r>
              <w:t>Out</w:t>
            </w:r>
            <w:r>
              <w:noBreakHyphen/>
              <w:t>of</w:t>
            </w:r>
            <w:r>
              <w:noBreakHyphen/>
              <w:t>home care (OOHC) is a temporary, medium</w:t>
            </w:r>
            <w:r>
              <w:noBreakHyphen/>
              <w:t xml:space="preserve"> or long</w:t>
            </w:r>
            <w:r>
              <w:noBreakHyphen/>
              <w:t xml:space="preserve">term living arrangement for children who cannot live with their families. OOHC can significantly impact individuals and society </w:t>
            </w:r>
            <w:r w:rsidRPr="00F252EE">
              <w:rPr>
                <w:rFonts w:ascii="Arial" w:hAnsi="Arial" w:cs="Arial"/>
              </w:rPr>
              <w:t>(Doyle 2007)</w:t>
            </w:r>
            <w:r>
              <w:t xml:space="preserve">. By preventing entry into OOHC, Australian governments can deliver better outcomes for children and reduce the need for future government interventions. </w:t>
            </w:r>
          </w:p>
          <w:p w14:paraId="14F1A5C1" w14:textId="29F387DA" w:rsidR="00B809D1" w:rsidRPr="00A27213" w:rsidRDefault="00B809D1">
            <w:pPr>
              <w:pStyle w:val="BodyText"/>
            </w:pPr>
            <w:r>
              <w:t xml:space="preserve">Children in OOHC often experience poor outcomes over the longer term. They are overrepresented in justice, health and social services, which incurs considerable personal and fiscal costs </w:t>
            </w:r>
            <w:r w:rsidRPr="000D1A3A">
              <w:rPr>
                <w:rFonts w:ascii="Arial" w:hAnsi="Arial" w:cs="Arial"/>
              </w:rPr>
              <w:t>(Doyle 2007)</w:t>
            </w:r>
            <w:r>
              <w:t xml:space="preserve">. OOHC is also associated with cycles of disadvantage: </w:t>
            </w:r>
            <w:r w:rsidRPr="00A27213">
              <w:t xml:space="preserve">one study showed that 24% of children whose mothers had been in OOHC also enter care </w:t>
            </w:r>
            <w:r>
              <w:t xml:space="preserve">themselves </w:t>
            </w:r>
            <w:r w:rsidRPr="00A27213">
              <w:t>(Lima et al. 2018).</w:t>
            </w:r>
          </w:p>
          <w:p w14:paraId="15708BF2" w14:textId="5FD1EA52" w:rsidR="00B809D1" w:rsidRPr="001C1076" w:rsidRDefault="00B809D1">
            <w:pPr>
              <w:pStyle w:val="BodyText"/>
              <w:rPr>
                <w:spacing w:val="-2"/>
              </w:rPr>
            </w:pPr>
            <w:r w:rsidRPr="001C1076">
              <w:rPr>
                <w:spacing w:val="-2"/>
              </w:rPr>
              <w:t xml:space="preserve">Preventing the need for OOHC is of particular importance for the wellbeing of Aboriginal and Torres Strait Islander children who make up around 41% of children in OOHC </w:t>
            </w:r>
            <w:r w:rsidR="0097599A" w:rsidRPr="001C1076">
              <w:rPr>
                <w:rFonts w:cs="Arial"/>
                <w:spacing w:val="-2"/>
              </w:rPr>
              <w:t>(SCRGSP 2025b)</w:t>
            </w:r>
            <w:r w:rsidRPr="001C1076">
              <w:rPr>
                <w:spacing w:val="-2"/>
              </w:rPr>
              <w:t xml:space="preserve">. The removal of Aboriginal and Torres Strait Islander children from their families contributes to worse outcomes in health, education, housing, employment and justice </w:t>
            </w:r>
            <w:r w:rsidRPr="001C1076">
              <w:rPr>
                <w:rFonts w:cs="Arial"/>
                <w:spacing w:val="-2"/>
              </w:rPr>
              <w:t>(AIHW 2018; ALRC 2017; Healing Foundation 2013)</w:t>
            </w:r>
            <w:r w:rsidRPr="001C1076">
              <w:rPr>
                <w:spacing w:val="-2"/>
              </w:rPr>
              <w:t xml:space="preserve">. </w:t>
            </w:r>
            <w:r w:rsidRPr="001C1076">
              <w:rPr>
                <w:rFonts w:cs="Arial"/>
                <w:color w:val="000000"/>
                <w:spacing w:val="-2"/>
              </w:rPr>
              <w:t>Th</w:t>
            </w:r>
            <w:r w:rsidR="0045449E" w:rsidRPr="001C1076">
              <w:rPr>
                <w:rFonts w:cs="Arial"/>
                <w:color w:val="000000"/>
                <w:spacing w:val="-2"/>
              </w:rPr>
              <w:t>e</w:t>
            </w:r>
            <w:r w:rsidRPr="001C1076">
              <w:rPr>
                <w:rFonts w:cs="Arial"/>
                <w:color w:val="000000"/>
                <w:spacing w:val="-2"/>
              </w:rPr>
              <w:t xml:space="preserve"> continued overrepresentation of Aboriginal and Torres Strait Islander children in the child protection system stems from several historical, ongoing and interrelated factors, including intergenerational trauma arising from colonisation, systemic racism, inequality across social determinants of child wellbeing, and discriminatory laws, policies and practices </w:t>
            </w:r>
            <w:r w:rsidRPr="001C1076">
              <w:rPr>
                <w:rFonts w:cs="Arial"/>
                <w:spacing w:val="-2"/>
              </w:rPr>
              <w:t>(Darwin et al. 2023; QFCC 2021; SNAICC 2023)</w:t>
            </w:r>
            <w:r w:rsidRPr="001C1076">
              <w:rPr>
                <w:rFonts w:cs="Arial"/>
                <w:color w:val="000000"/>
                <w:spacing w:val="-2"/>
              </w:rPr>
              <w:t>. Efforts to prevent entry into OOHC are critical to ensuring governments meet their commitments under the National Agreement on Closing the Gap and reduce the number of Aboriginal and Torres Strait Islander children in OOHC. To be effective, prevention programs should enable self</w:t>
            </w:r>
            <w:r w:rsidRPr="001C1076">
              <w:rPr>
                <w:rFonts w:cs="Arial"/>
                <w:color w:val="000000"/>
                <w:spacing w:val="-2"/>
              </w:rPr>
              <w:noBreakHyphen/>
              <w:t>determination through Aboriginal and Torres Strait Islander</w:t>
            </w:r>
            <w:r w:rsidRPr="001C1076">
              <w:rPr>
                <w:rFonts w:cs="Arial"/>
                <w:color w:val="000000"/>
                <w:spacing w:val="-2"/>
              </w:rPr>
              <w:noBreakHyphen/>
              <w:t>led service provision and provide access to culturally</w:t>
            </w:r>
            <w:r w:rsidRPr="001C1076">
              <w:rPr>
                <w:rFonts w:cs="Arial"/>
                <w:color w:val="000000"/>
                <w:spacing w:val="-2"/>
              </w:rPr>
              <w:noBreakHyphen/>
              <w:t xml:space="preserve">responsive secondary services (such as counselling) </w:t>
            </w:r>
            <w:r w:rsidR="00CD75B1" w:rsidRPr="001C1076">
              <w:rPr>
                <w:rFonts w:cs="Arial"/>
                <w:spacing w:val="-2"/>
              </w:rPr>
              <w:t>(Creamer et al. 2022; Darwin et al. 2023)</w:t>
            </w:r>
            <w:r w:rsidRPr="001C1076">
              <w:rPr>
                <w:rFonts w:cs="Arial"/>
                <w:color w:val="000000"/>
                <w:spacing w:val="-2"/>
              </w:rPr>
              <w:t xml:space="preserve">. </w:t>
            </w:r>
          </w:p>
          <w:p w14:paraId="19B58A8C" w14:textId="078E3368" w:rsidR="00B809D1" w:rsidRDefault="00B809D1">
            <w:pPr>
              <w:pStyle w:val="BodyText"/>
            </w:pPr>
            <w:r>
              <w:t xml:space="preserve">As of </w:t>
            </w:r>
            <w:proofErr w:type="gramStart"/>
            <w:r>
              <w:t>June 2023</w:t>
            </w:r>
            <w:proofErr w:type="gramEnd"/>
            <w:r>
              <w:noBreakHyphen/>
              <w:t xml:space="preserve">24, more than 44,000 children were in OOHC, with total annual care services costing an average of $144,000 per child and up to $1.22 million in certain jurisdictions </w:t>
            </w:r>
            <w:r w:rsidR="0097599A" w:rsidRPr="0097599A">
              <w:rPr>
                <w:rFonts w:ascii="Arial" w:hAnsi="Arial" w:cs="Arial"/>
              </w:rPr>
              <w:t>(SCRGSP 2025b)</w:t>
            </w:r>
            <w:r>
              <w:t xml:space="preserve">. Costs per child have increased at an average annual rate of 7.7% in the </w:t>
            </w:r>
            <w:r w:rsidR="002C38D3">
              <w:t>p</w:t>
            </w:r>
            <w:r>
              <w:t>ast five years, with total costs at around $6.5 billion in 2023</w:t>
            </w:r>
            <w:r>
              <w:noBreakHyphen/>
              <w:t>24.</w:t>
            </w:r>
          </w:p>
          <w:p w14:paraId="6490E936" w14:textId="3F9594A5" w:rsidR="00B809D1" w:rsidRDefault="00B809D1">
            <w:pPr>
              <w:pStyle w:val="BodyText"/>
            </w:pPr>
            <w:r>
              <w:t>Evidence shows that family</w:t>
            </w:r>
            <w:r>
              <w:noBreakHyphen/>
              <w:t>preservation programs can reduce both entry and re</w:t>
            </w:r>
            <w:r>
              <w:noBreakHyphen/>
              <w:t>entry to care, improving outcomes for families and delivering near</w:t>
            </w:r>
            <w:r>
              <w:noBreakHyphen/>
              <w:t xml:space="preserve">term fiscal benefits. Modelling suggests </w:t>
            </w:r>
            <w:r w:rsidRPr="00CA117B">
              <w:t xml:space="preserve">these programs </w:t>
            </w:r>
            <w:r>
              <w:t xml:space="preserve">typically breakeven after five years and </w:t>
            </w:r>
            <w:r w:rsidRPr="00CA117B">
              <w:t xml:space="preserve">can have a </w:t>
            </w:r>
            <w:r>
              <w:t>benefit</w:t>
            </w:r>
            <w:r>
              <w:noBreakHyphen/>
              <w:t xml:space="preserve">cost ratio of </w:t>
            </w:r>
            <w:r w:rsidRPr="00CA117B">
              <w:t xml:space="preserve">approximately </w:t>
            </w:r>
            <w:r>
              <w:t>1.9 within child</w:t>
            </w:r>
            <w:r>
              <w:noBreakHyphen/>
              <w:t xml:space="preserve">protection portfolios over ten years </w:t>
            </w:r>
            <w:r w:rsidRPr="00F270A0">
              <w:rPr>
                <w:rFonts w:ascii="Arial" w:hAnsi="Arial" w:cs="Arial"/>
              </w:rPr>
              <w:t>(SVA 2019)</w:t>
            </w:r>
            <w:r>
              <w:t>.</w:t>
            </w:r>
          </w:p>
          <w:p w14:paraId="264F99FB" w14:textId="732E8E6F" w:rsidR="00B809D1" w:rsidRPr="00677C40" w:rsidRDefault="00B809D1">
            <w:pPr>
              <w:rPr>
                <w:rFonts w:cs="Arial"/>
                <w:color w:val="000000"/>
              </w:rPr>
            </w:pPr>
            <w:r w:rsidRPr="001C4295">
              <w:t>The investment proposition strengthens when considered over longer timeframes and across portfolios and governments. State and territor</w:t>
            </w:r>
            <w:r w:rsidR="007C3F3D">
              <w:t>y governments</w:t>
            </w:r>
            <w:r w:rsidRPr="001C4295">
              <w:t xml:space="preserve"> make long</w:t>
            </w:r>
            <w:r w:rsidRPr="001C4295">
              <w:noBreakHyphen/>
              <w:t xml:space="preserve">term savings through reduced need for </w:t>
            </w:r>
            <w:r>
              <w:t xml:space="preserve">healthcare, </w:t>
            </w:r>
            <w:r w:rsidRPr="001C4295">
              <w:t>housing support, justice</w:t>
            </w:r>
            <w:r>
              <w:t xml:space="preserve"> </w:t>
            </w:r>
            <w:r w:rsidRPr="001C4295">
              <w:t xml:space="preserve">and </w:t>
            </w:r>
            <w:r>
              <w:t>next generation OOHC</w:t>
            </w:r>
            <w:r w:rsidRPr="001C4295">
              <w:t xml:space="preserve">. The </w:t>
            </w:r>
            <w:r>
              <w:t>Australian Government</w:t>
            </w:r>
            <w:r w:rsidRPr="001C4295">
              <w:t xml:space="preserve"> saves on healthcare and income</w:t>
            </w:r>
            <w:r w:rsidRPr="001C4295">
              <w:noBreakHyphen/>
              <w:t>support</w:t>
            </w:r>
            <w:r>
              <w:t xml:space="preserve"> </w:t>
            </w:r>
            <w:r w:rsidRPr="003E3285">
              <w:rPr>
                <w:rFonts w:ascii="Arial" w:hAnsi="Arial" w:cs="Arial"/>
              </w:rPr>
              <w:t>(NSW Stronger Communities Actuary 2022)</w:t>
            </w:r>
            <w:r>
              <w:t xml:space="preserve">. </w:t>
            </w:r>
          </w:p>
        </w:tc>
      </w:tr>
    </w:tbl>
    <w:p w14:paraId="759E8098" w14:textId="77777777" w:rsidR="00B809D1" w:rsidRPr="001C1076" w:rsidRDefault="00B809D1" w:rsidP="00573F5B">
      <w:pPr>
        <w:pStyle w:val="NoSpacing"/>
        <w:spacing w:after="120"/>
      </w:pPr>
    </w:p>
    <w:p w14:paraId="5CB84D6A" w14:textId="77777777" w:rsidR="00B809D1" w:rsidRDefault="00B809D1">
      <w:pPr>
        <w:pStyle w:val="BodyText"/>
      </w:pPr>
      <w:r>
        <w:t xml:space="preserve">While the framework will focus on prevention and early intervention programs, it could also support assessments of broader policy initiatives such as taxes or regulation by applying elements </w:t>
      </w:r>
      <w:r w:rsidRPr="000C0FE9">
        <w:t>like the actuarial model to estimate long</w:t>
      </w:r>
      <w:r>
        <w:noBreakHyphen/>
      </w:r>
      <w:r w:rsidRPr="000C0FE9">
        <w:t>term, cross</w:t>
      </w:r>
      <w:r>
        <w:noBreakHyphen/>
      </w:r>
      <w:r w:rsidRPr="000C0FE9">
        <w:t>portfolio benefits</w:t>
      </w:r>
      <w:r>
        <w:t>,</w:t>
      </w:r>
      <w:r w:rsidRPr="000C0FE9">
        <w:t xml:space="preserve"> </w:t>
      </w:r>
      <w:r>
        <w:t>followed by</w:t>
      </w:r>
      <w:r w:rsidRPr="000C0FE9">
        <w:t xml:space="preserve"> PEIFAB </w:t>
      </w:r>
      <w:r>
        <w:t>validation</w:t>
      </w:r>
      <w:r w:rsidRPr="000C0FE9">
        <w:t xml:space="preserve"> of those estimates</w:t>
      </w:r>
      <w:r>
        <w:t xml:space="preserve">. </w:t>
      </w:r>
    </w:p>
    <w:tbl>
      <w:tblPr>
        <w:tblStyle w:val="Texttable-Paleblue"/>
        <w:tblW w:w="5000" w:type="pct"/>
        <w:tblLook w:val="04A0" w:firstRow="1" w:lastRow="0" w:firstColumn="1" w:lastColumn="0" w:noHBand="0" w:noVBand="1"/>
      </w:tblPr>
      <w:tblGrid>
        <w:gridCol w:w="713"/>
        <w:gridCol w:w="8925"/>
      </w:tblGrid>
      <w:tr w:rsidR="00B809D1" w14:paraId="5092AF97" w14:textId="77777777">
        <w:trPr>
          <w:tblHeader/>
        </w:trPr>
        <w:tc>
          <w:tcPr>
            <w:tcW w:w="709" w:type="dxa"/>
            <w:shd w:val="clear" w:color="auto" w:fill="E7F6FD"/>
            <w:tcMar>
              <w:top w:w="0" w:type="dxa"/>
              <w:bottom w:w="0" w:type="dxa"/>
            </w:tcMar>
            <w:vAlign w:val="center"/>
          </w:tcPr>
          <w:p w14:paraId="257EC1A3" w14:textId="77777777" w:rsidR="00B809D1" w:rsidRDefault="00B809D1">
            <w:pPr>
              <w:keepLines/>
              <w:jc w:val="center"/>
            </w:pPr>
            <w:r w:rsidRPr="00A51374">
              <w:rPr>
                <w:noProof/>
              </w:rPr>
              <w:lastRenderedPageBreak/>
              <w:drawing>
                <wp:inline distT="0" distB="0" distL="0" distR="0" wp14:anchorId="0EB7B7CF" wp14:editId="391326CA">
                  <wp:extent cx="288000" cy="288000"/>
                  <wp:effectExtent l="0" t="0" r="0" b="0"/>
                  <wp:docPr id="1958979619" name="Graphic 1958979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AD753CC" w14:textId="7585651D" w:rsidR="00B809D1" w:rsidRPr="00715040" w:rsidRDefault="00B809D1">
            <w:pPr>
              <w:pStyle w:val="TableHeading"/>
              <w:keepLines/>
              <w:spacing w:before="120" w:after="120"/>
              <w:ind w:left="0"/>
              <w:contextualSpacing/>
              <w:rPr>
                <w:sz w:val="20"/>
              </w:rPr>
            </w:pPr>
            <w:r>
              <w:rPr>
                <w:sz w:val="20"/>
              </w:rPr>
              <w:t>R</w:t>
            </w:r>
            <w:r w:rsidRPr="00715040">
              <w:rPr>
                <w:sz w:val="20"/>
              </w:rPr>
              <w:t xml:space="preserve">ecommendation </w:t>
            </w:r>
            <w:r>
              <w:rPr>
                <w:sz w:val="20"/>
              </w:rPr>
              <w:t>3</w:t>
            </w:r>
            <w:r w:rsidRPr="00715040">
              <w:rPr>
                <w:sz w:val="20"/>
              </w:rPr>
              <w:t>.</w:t>
            </w:r>
            <w:r w:rsidRPr="00715040">
              <w:rPr>
                <w:sz w:val="20"/>
              </w:rPr>
              <w:fldChar w:fldCharType="begin"/>
            </w:r>
            <w:r w:rsidRPr="00715040">
              <w:rPr>
                <w:sz w:val="20"/>
              </w:rPr>
              <w:instrText xml:space="preserve"> SEQ Recommendation \* ARABIC \s 1 </w:instrText>
            </w:r>
            <w:r w:rsidRPr="00715040">
              <w:rPr>
                <w:sz w:val="20"/>
              </w:rPr>
              <w:fldChar w:fldCharType="separate"/>
            </w:r>
            <w:r w:rsidR="00FB1849">
              <w:rPr>
                <w:noProof/>
                <w:sz w:val="20"/>
              </w:rPr>
              <w:t>1</w:t>
            </w:r>
            <w:r w:rsidRPr="00715040">
              <w:rPr>
                <w:sz w:val="20"/>
              </w:rPr>
              <w:fldChar w:fldCharType="end"/>
            </w:r>
          </w:p>
          <w:p w14:paraId="01B67AD3" w14:textId="77777777" w:rsidR="00B809D1" w:rsidRPr="00715040" w:rsidRDefault="00B809D1">
            <w:pPr>
              <w:pStyle w:val="TableHeading"/>
              <w:keepLines/>
              <w:spacing w:before="120" w:after="120"/>
              <w:ind w:left="0"/>
              <w:contextualSpacing/>
              <w:rPr>
                <w:sz w:val="20"/>
              </w:rPr>
            </w:pPr>
            <w:r>
              <w:rPr>
                <w:sz w:val="20"/>
              </w:rPr>
              <w:t xml:space="preserve">Establish a National Prevention and Early Intervention Framework </w:t>
            </w:r>
          </w:p>
        </w:tc>
      </w:tr>
      <w:tr w:rsidR="00B809D1" w14:paraId="49474887" w14:textId="77777777">
        <w:tc>
          <w:tcPr>
            <w:tcW w:w="9583" w:type="dxa"/>
            <w:gridSpan w:val="2"/>
            <w:shd w:val="clear" w:color="auto" w:fill="E7F6FD"/>
            <w:tcMar>
              <w:top w:w="0" w:type="dxa"/>
            </w:tcMar>
          </w:tcPr>
          <w:p w14:paraId="266723E1" w14:textId="2B40D07D" w:rsidR="00B809D1" w:rsidRDefault="00B809D1">
            <w:pPr>
              <w:pStyle w:val="BodyText"/>
            </w:pPr>
            <w:r>
              <w:t xml:space="preserve">The Australian Government should work with state and territory governments to establish a National Prevention and Early Intervention Framework. The framework would recognise prevention and early intervention as a strategic investment for governments and support them to invest in programs that improve outcomes and reduce demand for future </w:t>
            </w:r>
            <w:proofErr w:type="gramStart"/>
            <w:r>
              <w:t>acute</w:t>
            </w:r>
            <w:proofErr w:type="gramEnd"/>
            <w:r>
              <w:t xml:space="preserve"> and crisis care services. </w:t>
            </w:r>
          </w:p>
          <w:p w14:paraId="5DD8280F" w14:textId="77777777" w:rsidR="00B809D1" w:rsidRDefault="00B809D1">
            <w:pPr>
              <w:pStyle w:val="BodyText"/>
              <w:spacing w:after="0"/>
            </w:pPr>
            <w:r>
              <w:t>Under the framework, a standardised review and recommendation process would assess governments’ prevention and early intervention proposals and evaluate already funded programs by applying clear criteria regarding evidence, timescales, cross</w:t>
            </w:r>
            <w:r>
              <w:noBreakHyphen/>
              <w:t xml:space="preserve">portfolio benefits, equity effects and value for money. </w:t>
            </w:r>
          </w:p>
          <w:p w14:paraId="48859F91" w14:textId="078BBA5F" w:rsidR="00B809D1" w:rsidRPr="00767EAE" w:rsidRDefault="00B809D1">
            <w:pPr>
              <w:pStyle w:val="BodyText"/>
              <w:spacing w:after="0"/>
            </w:pPr>
            <w:r>
              <w:t xml:space="preserve">The Australian Government Treasury should lead implementation of the framework, including by implementing recommendations 3.2 and 3.3. In partnership with </w:t>
            </w:r>
            <w:r w:rsidR="00F171BE">
              <w:rPr>
                <w:rFonts w:cstheme="minorHAnsi"/>
              </w:rPr>
              <w:t>state and territory governments</w:t>
            </w:r>
            <w:r>
              <w:t>, the Australian Government should progressively develop the capability, data assets and skills, as well as funding structures and processes, needed to embed investment in effective prevention and early intervention within the budget process.</w:t>
            </w:r>
          </w:p>
        </w:tc>
      </w:tr>
      <w:tr w:rsidR="00B809D1" w14:paraId="42EDFD62" w14:textId="77777777" w:rsidTr="001C1076">
        <w:tc>
          <w:tcPr>
            <w:tcW w:w="9583" w:type="dxa"/>
            <w:gridSpan w:val="2"/>
            <w:shd w:val="clear" w:color="auto" w:fill="auto"/>
            <w:tcMar>
              <w:top w:w="0" w:type="dxa"/>
              <w:bottom w:w="0" w:type="dxa"/>
            </w:tcMar>
          </w:tcPr>
          <w:p w14:paraId="4EB64E7D" w14:textId="77777777" w:rsidR="00B809D1" w:rsidRPr="007E0EA8" w:rsidRDefault="00B809D1">
            <w:pPr>
              <w:pStyle w:val="NoSpacing"/>
              <w:spacing w:line="200" w:lineRule="exact"/>
            </w:pPr>
          </w:p>
        </w:tc>
      </w:tr>
    </w:tbl>
    <w:p w14:paraId="3F1E68A0" w14:textId="77777777" w:rsidR="00B809D1" w:rsidRDefault="00B809D1">
      <w:pPr>
        <w:pStyle w:val="Heading2-nonumber"/>
      </w:pPr>
      <w:bookmarkStart w:id="95" w:name="_Toc215671175"/>
      <w:bookmarkStart w:id="96" w:name="_Toc215838139"/>
      <w:r>
        <w:t>Building blocks of the framework</w:t>
      </w:r>
      <w:bookmarkEnd w:id="95"/>
      <w:bookmarkEnd w:id="96"/>
      <w:r>
        <w:t xml:space="preserve"> </w:t>
      </w:r>
    </w:p>
    <w:p w14:paraId="0CA09BAB" w14:textId="77777777" w:rsidR="00B809D1" w:rsidRDefault="00B809D1">
      <w:pPr>
        <w:pStyle w:val="Heading3"/>
      </w:pPr>
      <w:r>
        <w:t xml:space="preserve">Better valuation of prevention and early intervention in government funding processes </w:t>
      </w:r>
    </w:p>
    <w:p w14:paraId="0880A4EC" w14:textId="77777777" w:rsidR="00B809D1" w:rsidRPr="00B60AED" w:rsidRDefault="00B809D1">
      <w:pPr>
        <w:pStyle w:val="Heading4"/>
      </w:pPr>
      <w:r w:rsidRPr="00B60AED">
        <w:t>An expert</w:t>
      </w:r>
      <w:r>
        <w:noBreakHyphen/>
      </w:r>
      <w:r w:rsidRPr="00B60AED">
        <w:t xml:space="preserve">led board to provide independent advice </w:t>
      </w:r>
    </w:p>
    <w:p w14:paraId="4A43B53F" w14:textId="5175599A" w:rsidR="00B809D1" w:rsidRDefault="00B809D1">
      <w:pPr>
        <w:pStyle w:val="BodyText"/>
      </w:pPr>
      <w:r>
        <w:t>A</w:t>
      </w:r>
      <w:r w:rsidDel="00455718">
        <w:t xml:space="preserve"> </w:t>
      </w:r>
      <w:r>
        <w:t>Prevention and Early Intervention Framework Advisory Board (PEIFAB)</w:t>
      </w:r>
      <w:r w:rsidRPr="002B0A03">
        <w:rPr>
          <w:rStyle w:val="FootnoteReference"/>
        </w:rPr>
        <w:footnoteReference w:id="33"/>
      </w:r>
      <w:r>
        <w:t xml:space="preserve"> should be established to</w:t>
      </w:r>
      <w:r w:rsidRPr="00C74198">
        <w:t xml:space="preserve"> provide </w:t>
      </w:r>
      <w:r>
        <w:t xml:space="preserve">independent </w:t>
      </w:r>
      <w:r w:rsidRPr="00C74198">
        <w:t xml:space="preserve">advice on </w:t>
      </w:r>
      <w:r>
        <w:t>proposals and to</w:t>
      </w:r>
      <w:r w:rsidRPr="00CE4797" w:rsidDel="002847E2">
        <w:t xml:space="preserve"> </w:t>
      </w:r>
      <w:r w:rsidRPr="00CE4797">
        <w:t xml:space="preserve">scrutinise </w:t>
      </w:r>
      <w:r>
        <w:t xml:space="preserve">and </w:t>
      </w:r>
      <w:r w:rsidRPr="00CE4797">
        <w:t>validate</w:t>
      </w:r>
      <w:r>
        <w:t xml:space="preserve"> claims of their benefits.</w:t>
      </w:r>
      <w:r w:rsidDel="00F223B8">
        <w:t xml:space="preserve"> </w:t>
      </w:r>
      <w:r>
        <w:t xml:space="preserve">Such a board would </w:t>
      </w:r>
      <w:r w:rsidRPr="00CE4797">
        <w:t>provid</w:t>
      </w:r>
      <w:r>
        <w:t>e</w:t>
      </w:r>
      <w:r w:rsidRPr="00CE4797">
        <w:t xml:space="preserve"> confidence to decision</w:t>
      </w:r>
      <w:r>
        <w:noBreakHyphen/>
      </w:r>
      <w:r w:rsidRPr="00CE4797">
        <w:t xml:space="preserve">makers and the public </w:t>
      </w:r>
      <w:r>
        <w:t xml:space="preserve">on </w:t>
      </w:r>
      <w:r w:rsidRPr="00CE4797">
        <w:t>the effectiveness of spending.</w:t>
      </w:r>
      <w:r>
        <w:t xml:space="preserve"> Its independence would add credibility to its assessment of proposals. PEIFAB</w:t>
      </w:r>
      <w:r w:rsidDel="00153C35">
        <w:t xml:space="preserve"> </w:t>
      </w:r>
      <w:r>
        <w:t xml:space="preserve">should be federally funded and some of its functions should be based </w:t>
      </w:r>
      <w:r w:rsidRPr="00C74198">
        <w:t>on</w:t>
      </w:r>
      <w:r>
        <w:t xml:space="preserve"> the Medical Services Advisory Committee as well as international institutions that provide independent economic analysis of policies (for example, </w:t>
      </w:r>
      <w:r w:rsidRPr="002A25AF">
        <w:t>Netherland’s Bureau for Economic Policy Analysis</w:t>
      </w:r>
      <w:r>
        <w:t xml:space="preserve">). The key functions of the board are as follows. </w:t>
      </w:r>
    </w:p>
    <w:p w14:paraId="228CFE9E" w14:textId="761273CD" w:rsidR="00B809D1" w:rsidRDefault="00B809D1" w:rsidP="00B809D1">
      <w:pPr>
        <w:pStyle w:val="ListBullet"/>
      </w:pPr>
      <w:r>
        <w:rPr>
          <w:b/>
          <w:bCs/>
        </w:rPr>
        <w:t>A standardised and transparent</w:t>
      </w:r>
      <w:r w:rsidRPr="008F41E1">
        <w:rPr>
          <w:b/>
          <w:bCs/>
        </w:rPr>
        <w:t xml:space="preserve"> </w:t>
      </w:r>
      <w:r>
        <w:rPr>
          <w:b/>
          <w:bCs/>
        </w:rPr>
        <w:t xml:space="preserve">process to assess proposals </w:t>
      </w:r>
      <w:r w:rsidRPr="008F41E1">
        <w:rPr>
          <w:b/>
          <w:bCs/>
        </w:rPr>
        <w:t xml:space="preserve">and </w:t>
      </w:r>
      <w:r>
        <w:rPr>
          <w:b/>
          <w:bCs/>
        </w:rPr>
        <w:t xml:space="preserve">make </w:t>
      </w:r>
      <w:r w:rsidRPr="008F41E1">
        <w:rPr>
          <w:b/>
          <w:bCs/>
        </w:rPr>
        <w:t>recommend</w:t>
      </w:r>
      <w:r>
        <w:rPr>
          <w:b/>
          <w:bCs/>
        </w:rPr>
        <w:t>ations</w:t>
      </w:r>
      <w:r>
        <w:t>: To gain funding under the framework, all proposals would require a PEIFAB assessment and recommendation, with relevant ministers responsible for the final decision on funding through the budget process. PEIFAB’s recommendations should be based on weighted assessment criteria (including strength of evidence, feasibility, equity effects and value for money (including long</w:t>
      </w:r>
      <w:r>
        <w:noBreakHyphen/>
        <w:t>term, cross</w:t>
      </w:r>
      <w:r>
        <w:noBreakHyphen/>
        <w:t>portfolio benefits).</w:t>
      </w:r>
      <w:r w:rsidRPr="002B0A03">
        <w:rPr>
          <w:rStyle w:val="FootnoteReference"/>
        </w:rPr>
        <w:footnoteReference w:id="34"/>
      </w:r>
      <w:r>
        <w:t xml:space="preserve"> Assessments of proposals should be released publicly to ensure transparency. </w:t>
      </w:r>
    </w:p>
    <w:p w14:paraId="1610A6E1" w14:textId="573BCED7" w:rsidR="00B809D1" w:rsidRDefault="00B809D1" w:rsidP="00B809D1">
      <w:pPr>
        <w:pStyle w:val="ListBullet"/>
      </w:pPr>
      <w:r>
        <w:rPr>
          <w:b/>
          <w:bCs/>
        </w:rPr>
        <w:t>Validation of flow</w:t>
      </w:r>
      <w:r>
        <w:rPr>
          <w:b/>
          <w:bCs/>
        </w:rPr>
        <w:noBreakHyphen/>
        <w:t>on</w:t>
      </w:r>
      <w:r w:rsidRPr="008F41E1">
        <w:rPr>
          <w:b/>
          <w:bCs/>
        </w:rPr>
        <w:t xml:space="preserve"> effects</w:t>
      </w:r>
      <w:r>
        <w:t>: PEIFAB should verify estimates of the flow</w:t>
      </w:r>
      <w:r>
        <w:noBreakHyphen/>
        <w:t xml:space="preserve">on effects of prevention and early intervention proposals, particularly </w:t>
      </w:r>
      <w:r w:rsidRPr="00BF17A5">
        <w:t>the projected</w:t>
      </w:r>
      <w:r>
        <w:t xml:space="preserve"> long</w:t>
      </w:r>
      <w:r>
        <w:noBreakHyphen/>
        <w:t xml:space="preserve">term savings </w:t>
      </w:r>
      <w:r w:rsidRPr="00BF17A5">
        <w:t>from reduced</w:t>
      </w:r>
      <w:r>
        <w:t xml:space="preserve"> service demand </w:t>
      </w:r>
      <w:r>
        <w:lastRenderedPageBreak/>
        <w:t>across portfolios</w:t>
      </w:r>
      <w:r w:rsidRPr="00BF17A5">
        <w:t>.</w:t>
      </w:r>
      <w:r>
        <w:t xml:space="preserve"> This approach should encourage confidence and consistency in estimating the cross</w:t>
      </w:r>
      <w:r>
        <w:noBreakHyphen/>
        <w:t>portfolio and long</w:t>
      </w:r>
      <w:r>
        <w:noBreakHyphen/>
        <w:t xml:space="preserve">term benefits of prevention and early </w:t>
      </w:r>
      <w:proofErr w:type="gramStart"/>
      <w:r>
        <w:t>intervention, and</w:t>
      </w:r>
      <w:proofErr w:type="gramEnd"/>
      <w:r>
        <w:t xml:space="preserve"> help ensure they are considered in funding decisions. </w:t>
      </w:r>
    </w:p>
    <w:p w14:paraId="17DEB10D" w14:textId="77777777" w:rsidR="00B809D1" w:rsidRPr="000E15EA" w:rsidRDefault="00B809D1" w:rsidP="00B809D1">
      <w:pPr>
        <w:pStyle w:val="ListBullet"/>
      </w:pPr>
      <w:r w:rsidRPr="008F41E1">
        <w:rPr>
          <w:b/>
          <w:bCs/>
        </w:rPr>
        <w:t xml:space="preserve">Review </w:t>
      </w:r>
      <w:r>
        <w:rPr>
          <w:b/>
          <w:bCs/>
        </w:rPr>
        <w:t>programs for continued funding</w:t>
      </w:r>
      <w:r>
        <w:t xml:space="preserve">: PEIFAB should regularly review programs funded through the framework, examining early indicators of change and the outcomes of evaluations. After reviewing evidence, PEIFAB should recommend whether programs should receive </w:t>
      </w:r>
      <w:r w:rsidRPr="000E15EA">
        <w:t xml:space="preserve">ongoing funding, </w:t>
      </w:r>
      <w:r>
        <w:t xml:space="preserve">be </w:t>
      </w:r>
      <w:r w:rsidRPr="000E15EA">
        <w:t>scal</w:t>
      </w:r>
      <w:r>
        <w:t>ed</w:t>
      </w:r>
      <w:r w:rsidRPr="000E15EA">
        <w:t xml:space="preserve"> up</w:t>
      </w:r>
      <w:r>
        <w:t xml:space="preserve"> or </w:t>
      </w:r>
      <w:r w:rsidRPr="000E15EA">
        <w:t>down or defund</w:t>
      </w:r>
      <w:r>
        <w:t>ed.</w:t>
      </w:r>
      <w:r w:rsidRPr="000E15EA">
        <w:t xml:space="preserve"> </w:t>
      </w:r>
      <w:r>
        <w:t>It</w:t>
      </w:r>
      <w:r w:rsidRPr="000E15EA">
        <w:t xml:space="preserve"> </w:t>
      </w:r>
      <w:r>
        <w:t>should</w:t>
      </w:r>
      <w:r w:rsidRPr="000E15EA">
        <w:t xml:space="preserve"> also pass on advice for potential improvements to programs.</w:t>
      </w:r>
      <w:r>
        <w:t xml:space="preserve"> </w:t>
      </w:r>
    </w:p>
    <w:p w14:paraId="553AF2BF" w14:textId="77777777" w:rsidR="00B809D1" w:rsidRDefault="00B809D1" w:rsidP="00B809D1">
      <w:pPr>
        <w:pStyle w:val="ListBullet"/>
      </w:pPr>
      <w:r w:rsidRPr="000E15EA">
        <w:rPr>
          <w:b/>
          <w:bCs/>
        </w:rPr>
        <w:t>Cabinet submission advice:</w:t>
      </w:r>
      <w:r w:rsidRPr="000E15EA">
        <w:t xml:space="preserve"> At the request</w:t>
      </w:r>
      <w:r w:rsidRPr="000E1C6C">
        <w:t xml:space="preserve"> of Cabinet, the </w:t>
      </w:r>
      <w:r>
        <w:t>PEIFAB</w:t>
      </w:r>
      <w:r w:rsidRPr="000E1C6C">
        <w:t xml:space="preserve"> could provide independent, confidential advice on Cabinet submissions and specific budget bids identified as </w:t>
      </w:r>
      <w:r>
        <w:t>being for prevention or early intervention.</w:t>
      </w:r>
      <w:r w:rsidRPr="000E1C6C">
        <w:t xml:space="preserve"> </w:t>
      </w:r>
      <w:r>
        <w:t>This function would enable PEIFAB to advise on policy or regulation changes that do not require significant additional funding but may create ‘downstream’ savings for government.</w:t>
      </w:r>
    </w:p>
    <w:p w14:paraId="517F7DF9" w14:textId="77777777" w:rsidR="00B809D1" w:rsidRPr="00146980" w:rsidRDefault="00B809D1">
      <w:pPr>
        <w:pStyle w:val="BodyText"/>
        <w:rPr>
          <w:spacing w:val="-4"/>
        </w:rPr>
      </w:pPr>
      <w:r w:rsidRPr="00146980">
        <w:rPr>
          <w:spacing w:val="-4"/>
        </w:rPr>
        <w:t>PEIFAB’s members should be subject matter experts from different social policy and care</w:t>
      </w:r>
      <w:r w:rsidRPr="00146980">
        <w:rPr>
          <w:spacing w:val="-4"/>
        </w:rPr>
        <w:noBreakHyphen/>
        <w:t>related sectors, economists to verify cost</w:t>
      </w:r>
      <w:r w:rsidRPr="00146980">
        <w:rPr>
          <w:spacing w:val="-4"/>
        </w:rPr>
        <w:noBreakHyphen/>
        <w:t xml:space="preserve">benefit analysis and actuaries to provide assessments of projected fiscal risks and impacts. Such a range of experts would be able to support a diversity of </w:t>
      </w:r>
      <w:r w:rsidRPr="00146980" w:rsidDel="009E5A8F">
        <w:rPr>
          <w:spacing w:val="-4"/>
        </w:rPr>
        <w:t xml:space="preserve">investment across </w:t>
      </w:r>
      <w:r w:rsidRPr="00146980">
        <w:rPr>
          <w:spacing w:val="-4"/>
        </w:rPr>
        <w:t>cohorts</w:t>
      </w:r>
      <w:r w:rsidRPr="00146980" w:rsidDel="009E5A8F">
        <w:rPr>
          <w:spacing w:val="-4"/>
        </w:rPr>
        <w:t>, risk factors</w:t>
      </w:r>
      <w:r w:rsidRPr="00146980">
        <w:rPr>
          <w:spacing w:val="-4"/>
        </w:rPr>
        <w:t xml:space="preserve"> </w:t>
      </w:r>
      <w:r w:rsidRPr="00146980" w:rsidDel="009E5A8F">
        <w:rPr>
          <w:spacing w:val="-4"/>
        </w:rPr>
        <w:t>and sectors</w:t>
      </w:r>
      <w:r w:rsidRPr="00146980">
        <w:rPr>
          <w:spacing w:val="-4"/>
        </w:rPr>
        <w:t>, while also</w:t>
      </w:r>
      <w:r w:rsidRPr="00146980" w:rsidDel="009E5A8F">
        <w:rPr>
          <w:spacing w:val="-4"/>
        </w:rPr>
        <w:t xml:space="preserve"> </w:t>
      </w:r>
      <w:r w:rsidRPr="00146980">
        <w:rPr>
          <w:spacing w:val="-4"/>
        </w:rPr>
        <w:t>balancing investments between short</w:t>
      </w:r>
      <w:r w:rsidRPr="00146980">
        <w:rPr>
          <w:spacing w:val="-4"/>
        </w:rPr>
        <w:noBreakHyphen/>
        <w:t>term ‘quick wins’ and long</w:t>
      </w:r>
      <w:r w:rsidRPr="00146980">
        <w:rPr>
          <w:spacing w:val="-4"/>
        </w:rPr>
        <w:noBreakHyphen/>
        <w:t>term high</w:t>
      </w:r>
      <w:r w:rsidRPr="00146980">
        <w:rPr>
          <w:spacing w:val="-4"/>
        </w:rPr>
        <w:noBreakHyphen/>
        <w:t>rewards.</w:t>
      </w:r>
    </w:p>
    <w:p w14:paraId="2310AB93" w14:textId="3409392A" w:rsidR="00B809D1" w:rsidRDefault="00B809D1">
      <w:pPr>
        <w:pStyle w:val="BodyText"/>
      </w:pPr>
      <w:r>
        <w:t>PEIFAB membership and processes should also engage relevant stakeholders and support shared decision</w:t>
      </w:r>
      <w:r>
        <w:noBreakHyphen/>
        <w:t xml:space="preserve">making with Aboriginal and Torres Strait Islander people </w:t>
      </w:r>
      <w:r w:rsidR="0097599A" w:rsidRPr="0097599A">
        <w:rPr>
          <w:rFonts w:ascii="Arial" w:hAnsi="Arial" w:cs="Arial"/>
        </w:rPr>
        <w:t>(PC 2024d, p. 39)</w:t>
      </w:r>
      <w:r>
        <w:t>. A</w:t>
      </w:r>
      <w:r w:rsidRPr="00F868F3">
        <w:t xml:space="preserve"> cultural safety framework </w:t>
      </w:r>
      <w:r>
        <w:t>should set</w:t>
      </w:r>
      <w:r w:rsidRPr="00F868F3">
        <w:t xml:space="preserve"> out how </w:t>
      </w:r>
      <w:r>
        <w:t>PEIFAB</w:t>
      </w:r>
      <w:r w:rsidRPr="00F868F3">
        <w:t xml:space="preserve"> should partner with Aboriginal and Torres Strait Islander </w:t>
      </w:r>
      <w:r>
        <w:t xml:space="preserve">people </w:t>
      </w:r>
      <w:r w:rsidRPr="00F868F3">
        <w:t>and incorporate Aboriginal and Torres Strait Islander data and outcomes into the framework.</w:t>
      </w:r>
    </w:p>
    <w:p w14:paraId="5192F261" w14:textId="77777777" w:rsidR="00B809D1" w:rsidRDefault="00B809D1">
      <w:pPr>
        <w:pStyle w:val="BodyText"/>
      </w:pPr>
      <w:r>
        <w:t>Inquiry participants strongly supported PEIFAB’s proposed governance role and emphasised the need for institutional independence and the involvement of relevant stakeholders and diverse perspectives in membership and engagement. For example:</w:t>
      </w:r>
    </w:p>
    <w:p w14:paraId="0D695420" w14:textId="77777777" w:rsidR="00B809D1" w:rsidRDefault="00B809D1">
      <w:pPr>
        <w:pStyle w:val="Quote1"/>
        <w:rPr>
          <w:lang w:val="en-US"/>
        </w:rPr>
      </w:pPr>
      <w:r w:rsidRPr="00F261A3">
        <w:rPr>
          <w:lang w:val="en-US"/>
        </w:rPr>
        <w:t>The Prevention Framework Advisory Board (P</w:t>
      </w:r>
      <w:r>
        <w:rPr>
          <w:lang w:val="en-US"/>
        </w:rPr>
        <w:t>[EI]</w:t>
      </w:r>
      <w:r w:rsidRPr="00F261A3">
        <w:rPr>
          <w:lang w:val="en-US"/>
        </w:rPr>
        <w:t>FAB), with diverse representation in membership, should oversee portfolio composition, monitor balance, and recommend adjustments. The P</w:t>
      </w:r>
      <w:r>
        <w:rPr>
          <w:lang w:val="en-US"/>
        </w:rPr>
        <w:t>[EI]</w:t>
      </w:r>
      <w:r w:rsidRPr="00F261A3">
        <w:rPr>
          <w:lang w:val="en-US"/>
        </w:rPr>
        <w:t xml:space="preserve">FAB must be independent and not </w:t>
      </w:r>
      <w:proofErr w:type="gramStart"/>
      <w:r w:rsidRPr="00F261A3">
        <w:rPr>
          <w:lang w:val="en-US"/>
        </w:rPr>
        <w:t>made</w:t>
      </w:r>
      <w:proofErr w:type="gramEnd"/>
      <w:r w:rsidRPr="00F261A3">
        <w:rPr>
          <w:lang w:val="en-US"/>
        </w:rPr>
        <w:t xml:space="preserve"> reliant on any single term of government for continuation. (</w:t>
      </w:r>
      <w:r>
        <w:rPr>
          <w:lang w:val="en-US"/>
        </w:rPr>
        <w:t>AMA</w:t>
      </w:r>
      <w:r w:rsidRPr="00F261A3">
        <w:rPr>
          <w:lang w:val="en-US"/>
        </w:rPr>
        <w:t>, sub.</w:t>
      </w:r>
      <w:r>
        <w:rPr>
          <w:lang w:val="en-US"/>
        </w:rPr>
        <w:t> </w:t>
      </w:r>
      <w:r w:rsidRPr="00F261A3">
        <w:rPr>
          <w:lang w:val="en-US"/>
        </w:rPr>
        <w:t>94, p.</w:t>
      </w:r>
      <w:r>
        <w:rPr>
          <w:lang w:val="en-US"/>
        </w:rPr>
        <w:t> </w:t>
      </w:r>
      <w:r w:rsidRPr="00F261A3">
        <w:rPr>
          <w:lang w:val="en-US"/>
        </w:rPr>
        <w:t xml:space="preserve">7) </w:t>
      </w:r>
    </w:p>
    <w:p w14:paraId="1CCCFDC9" w14:textId="33CBCF23" w:rsidR="00B809D1" w:rsidRDefault="00B809D1">
      <w:pPr>
        <w:pStyle w:val="BodyText"/>
      </w:pPr>
      <w:r>
        <w:t xml:space="preserve">Further examples of the value participants placed on independence are included in the accompanying </w:t>
      </w:r>
      <w:r w:rsidRPr="00267D02">
        <w:rPr>
          <w:i/>
        </w:rPr>
        <w:t xml:space="preserve">What we heard </w:t>
      </w:r>
      <w:r w:rsidRPr="006C41D2">
        <w:t>paper</w:t>
      </w:r>
      <w:r>
        <w:t xml:space="preserve"> </w:t>
      </w:r>
      <w:r w:rsidR="00CD75B1" w:rsidRPr="00CD75B1">
        <w:rPr>
          <w:rFonts w:ascii="Arial" w:hAnsi="Arial" w:cs="Arial"/>
        </w:rPr>
        <w:t>(PC 2025c)</w:t>
      </w:r>
      <w:r>
        <w:t xml:space="preserve">. </w:t>
      </w:r>
    </w:p>
    <w:p w14:paraId="7F30B74C" w14:textId="444FDE06" w:rsidR="00B809D1" w:rsidRDefault="00B809D1">
      <w:pPr>
        <w:pStyle w:val="BodyText"/>
      </w:pPr>
      <w:r w:rsidRPr="3EEDC626">
        <w:rPr>
          <w:lang w:val="en-US"/>
        </w:rPr>
        <w:t>Some</w:t>
      </w:r>
      <w:r>
        <w:t xml:space="preserve"> participants suggested that the Australian Centre for Disease Control could perform a similar role to PEIFAB. However, the Centre lacks a focus on prevention beyond communicable diseases. If its remit were to be expanded, as has been proposed </w:t>
      </w:r>
      <w:r w:rsidRPr="008756F9">
        <w:rPr>
          <w:rFonts w:ascii="Arial" w:hAnsi="Arial" w:cs="Arial"/>
        </w:rPr>
        <w:t>(Scamps 2025)</w:t>
      </w:r>
      <w:r>
        <w:t xml:space="preserve">, the Australian Government could explore potential synergies between PEIFAB and the Centre for Disease Control. </w:t>
      </w:r>
    </w:p>
    <w:p w14:paraId="0AF4D00E" w14:textId="77777777" w:rsidR="00B809D1" w:rsidRPr="00B60AED" w:rsidRDefault="00B809D1">
      <w:pPr>
        <w:pStyle w:val="Heading4"/>
      </w:pPr>
      <w:r w:rsidRPr="00B60AED">
        <w:t xml:space="preserve">An assessment team to support rigorous economic evaluation of prevention and early intervention </w:t>
      </w:r>
    </w:p>
    <w:p w14:paraId="6CDE5CDC" w14:textId="6C2D2CA9" w:rsidR="00B809D1" w:rsidRDefault="00B809D1">
      <w:pPr>
        <w:pStyle w:val="BodyText"/>
      </w:pPr>
      <w:r>
        <w:t>A prevention and early intervention assessment team should be established within the Treasury to support Australian, state and territory governments in producing standardised economic analysis of prevention and early intervention programs. The assessment team</w:t>
      </w:r>
      <w:r w:rsidDel="002802DC">
        <w:t xml:space="preserve"> </w:t>
      </w:r>
      <w:r>
        <w:t xml:space="preserve">would be broadly </w:t>
      </w:r>
      <w:proofErr w:type="gramStart"/>
      <w:r>
        <w:t>similar to</w:t>
      </w:r>
      <w:proofErr w:type="gramEnd"/>
      <w:r>
        <w:t xml:space="preserve"> the idea of an Avoidable Cost Unit </w:t>
      </w:r>
      <w:r w:rsidRPr="00385A55">
        <w:rPr>
          <w:rFonts w:ascii="Arial" w:hAnsi="Arial" w:cs="Arial"/>
        </w:rPr>
        <w:t>(Bowles et al. 2025)</w:t>
      </w:r>
      <w:r>
        <w:t xml:space="preserve"> put forward by the Centre for Policy Development (sub. 244, pp. 8–9). The assessment team</w:t>
      </w:r>
      <w:r w:rsidDel="00966E2A">
        <w:t xml:space="preserve"> </w:t>
      </w:r>
      <w:r>
        <w:t xml:space="preserve">should: </w:t>
      </w:r>
    </w:p>
    <w:p w14:paraId="299D5178" w14:textId="77777777" w:rsidR="00B809D1" w:rsidRDefault="00B809D1" w:rsidP="00B809D1">
      <w:pPr>
        <w:pStyle w:val="ListBullet"/>
      </w:pPr>
      <w:r>
        <w:t>verify initial pre</w:t>
      </w:r>
      <w:r>
        <w:noBreakHyphen/>
        <w:t xml:space="preserve">assessment of prevention and early intervention proposals </w:t>
      </w:r>
    </w:p>
    <w:p w14:paraId="134B31A7" w14:textId="77777777" w:rsidR="00B809D1" w:rsidRPr="00596C60" w:rsidRDefault="00B809D1" w:rsidP="00B809D1">
      <w:pPr>
        <w:pStyle w:val="ListBullet"/>
        <w:rPr>
          <w:spacing w:val="-4"/>
        </w:rPr>
      </w:pPr>
      <w:r w:rsidRPr="00596C60">
        <w:rPr>
          <w:spacing w:val="-6"/>
        </w:rPr>
        <w:t>support departments and agencies to develop assessment reports for prevention and early intervention proposals</w:t>
      </w:r>
      <w:r w:rsidRPr="00596C60">
        <w:rPr>
          <w:spacing w:val="-4"/>
        </w:rPr>
        <w:t xml:space="preserve"> according to PEIFAB’s assessment criteria, and help improve program design if these criteria are not met </w:t>
      </w:r>
    </w:p>
    <w:p w14:paraId="46BC8AF7" w14:textId="77777777" w:rsidR="00B809D1" w:rsidRDefault="00B809D1" w:rsidP="00B809D1">
      <w:pPr>
        <w:pStyle w:val="ListBullet"/>
      </w:pPr>
      <w:r>
        <w:lastRenderedPageBreak/>
        <w:t>manage the actuarial microsimulation model (see below) once it is developed and support its use to produce credible and standardised estimates of long</w:t>
      </w:r>
      <w:r>
        <w:noBreakHyphen/>
        <w:t>term and cross</w:t>
      </w:r>
      <w:r>
        <w:noBreakHyphen/>
        <w:t xml:space="preserve">portfolio benefits of prevention and early intervention. </w:t>
      </w:r>
    </w:p>
    <w:p w14:paraId="4A2C0184" w14:textId="703BF95F" w:rsidR="00B809D1" w:rsidRDefault="00B809D1">
      <w:pPr>
        <w:pStyle w:val="BodyText"/>
      </w:pPr>
      <w:r w:rsidRPr="008E2471">
        <w:t>Th</w:t>
      </w:r>
      <w:r>
        <w:t>e</w:t>
      </w:r>
      <w:r w:rsidRPr="008E2471">
        <w:t xml:space="preserve"> team should </w:t>
      </w:r>
      <w:r>
        <w:t xml:space="preserve">include </w:t>
      </w:r>
      <w:r w:rsidRPr="008E2471">
        <w:t>staff</w:t>
      </w:r>
      <w:r w:rsidRPr="008E2471" w:rsidDel="00E24E2A">
        <w:t xml:space="preserve"> </w:t>
      </w:r>
      <w:r w:rsidRPr="008E2471">
        <w:t>experience</w:t>
      </w:r>
      <w:r>
        <w:t>d</w:t>
      </w:r>
      <w:r w:rsidRPr="008E2471">
        <w:t xml:space="preserve"> in </w:t>
      </w:r>
      <w:r>
        <w:t xml:space="preserve">benefit </w:t>
      </w:r>
      <w:r w:rsidRPr="008E2471">
        <w:t xml:space="preserve">modelling and </w:t>
      </w:r>
      <w:r>
        <w:t xml:space="preserve">budget and </w:t>
      </w:r>
      <w:r w:rsidR="00C42646">
        <w:t xml:space="preserve">Cabinet </w:t>
      </w:r>
      <w:r w:rsidRPr="008E2471">
        <w:t>process</w:t>
      </w:r>
      <w:r>
        <w:t>es</w:t>
      </w:r>
      <w:r w:rsidRPr="008E2471">
        <w:t xml:space="preserve">. </w:t>
      </w:r>
      <w:r>
        <w:t>I</w:t>
      </w:r>
      <w:r w:rsidRPr="008E2471">
        <w:t xml:space="preserve">ts place within </w:t>
      </w:r>
      <w:r>
        <w:t>Treasury</w:t>
      </w:r>
      <w:r w:rsidRPr="008E2471">
        <w:t xml:space="preserve"> </w:t>
      </w:r>
      <w:r>
        <w:t>would</w:t>
      </w:r>
      <w:r w:rsidRPr="008E2471">
        <w:t xml:space="preserve"> </w:t>
      </w:r>
      <w:r>
        <w:t>allow for a whole</w:t>
      </w:r>
      <w:r>
        <w:noBreakHyphen/>
        <w:t>of</w:t>
      </w:r>
      <w:r>
        <w:noBreakHyphen/>
        <w:t xml:space="preserve">government view, help build confidence in assessments and drive cultural change across government. </w:t>
      </w:r>
    </w:p>
    <w:p w14:paraId="1543125A" w14:textId="77777777" w:rsidR="00B809D1" w:rsidRPr="003162EE" w:rsidRDefault="00B809D1">
      <w:pPr>
        <w:pStyle w:val="Heading4"/>
      </w:pPr>
      <w:r w:rsidRPr="003162EE">
        <w:t xml:space="preserve">An actuarial microsimulation model to inform investment </w:t>
      </w:r>
    </w:p>
    <w:p w14:paraId="4923C1AA" w14:textId="77777777" w:rsidR="00B809D1" w:rsidRDefault="00B809D1">
      <w:pPr>
        <w:pStyle w:val="BodyText"/>
        <w:rPr>
          <w:rStyle w:val="BodyTextChar"/>
        </w:rPr>
      </w:pPr>
      <w:r>
        <w:t>The evidence and analytical base of</w:t>
      </w:r>
      <w:r w:rsidRPr="00600FAE">
        <w:t xml:space="preserve"> the </w:t>
      </w:r>
      <w:r w:rsidRPr="00600FAE" w:rsidDel="00204D39">
        <w:t xml:space="preserve">National Prevention </w:t>
      </w:r>
      <w:r>
        <w:t>and Early Intervention Framework</w:t>
      </w:r>
      <w:r>
        <w:rPr>
          <w:rStyle w:val="BodyTextChar"/>
        </w:rPr>
        <w:t xml:space="preserve"> should be underpinned by an actuarial microsimulation model</w:t>
      </w:r>
      <w:r w:rsidDel="00761D45">
        <w:rPr>
          <w:rStyle w:val="BodyTextChar"/>
        </w:rPr>
        <w:t xml:space="preserve"> </w:t>
      </w:r>
      <w:r>
        <w:rPr>
          <w:rStyle w:val="BodyTextChar"/>
        </w:rPr>
        <w:t>that can predict</w:t>
      </w:r>
      <w:r w:rsidDel="002B77FF">
        <w:rPr>
          <w:rStyle w:val="BodyTextChar"/>
        </w:rPr>
        <w:t xml:space="preserve"> </w:t>
      </w:r>
      <w:r>
        <w:rPr>
          <w:rStyle w:val="BodyTextChar"/>
        </w:rPr>
        <w:t>how much individuals will use services in the future and assess the fiscal effect of investment proposals.</w:t>
      </w:r>
    </w:p>
    <w:p w14:paraId="7BC96EB8" w14:textId="77777777" w:rsidR="00B809D1" w:rsidRPr="009C6F9A" w:rsidRDefault="00B809D1">
      <w:pPr>
        <w:pStyle w:val="BodyText"/>
        <w:rPr>
          <w:rStyle w:val="BodyTextChar"/>
        </w:rPr>
      </w:pPr>
      <w:r w:rsidRPr="009C6F9A">
        <w:t>This model would use historical service</w:t>
      </w:r>
      <w:r>
        <w:noBreakHyphen/>
      </w:r>
      <w:r w:rsidRPr="009C6F9A">
        <w:t xml:space="preserve">use data and population projections to forecast future outcomes. It would identify factors, such as life events or use of acute services, that affect people and expenses over time and calculate expected costs under scenarios, such as before and after preventive interventions. </w:t>
      </w:r>
    </w:p>
    <w:p w14:paraId="79A9927C" w14:textId="77777777" w:rsidR="00B809D1" w:rsidRPr="00630AD9" w:rsidRDefault="00B809D1">
      <w:pPr>
        <w:pStyle w:val="BodyText"/>
      </w:pPr>
      <w:r w:rsidRPr="00600FAE">
        <w:t xml:space="preserve">The </w:t>
      </w:r>
      <w:r>
        <w:t xml:space="preserve">model should project </w:t>
      </w:r>
      <w:r w:rsidRPr="00600FAE">
        <w:t xml:space="preserve">lifetime government expenditure per individual across </w:t>
      </w:r>
      <w:r>
        <w:t xml:space="preserve">all </w:t>
      </w:r>
      <w:r w:rsidRPr="00600FAE">
        <w:t xml:space="preserve">major </w:t>
      </w:r>
      <w:r>
        <w:t xml:space="preserve">government </w:t>
      </w:r>
      <w:r w:rsidRPr="00600FAE">
        <w:t>service domains</w:t>
      </w:r>
      <w:r>
        <w:t xml:space="preserve">. It should also project </w:t>
      </w:r>
      <w:r w:rsidRPr="00630AD9">
        <w:t>social</w:t>
      </w:r>
      <w:r w:rsidRPr="00630AD9" w:rsidDel="00DC316D">
        <w:t xml:space="preserve"> </w:t>
      </w:r>
      <w:r>
        <w:t>and</w:t>
      </w:r>
      <w:r w:rsidRPr="00630AD9">
        <w:t xml:space="preserve"> wellbeing outcomes </w:t>
      </w:r>
      <w:r>
        <w:t xml:space="preserve">such as </w:t>
      </w:r>
      <w:r w:rsidRPr="00630AD9">
        <w:t>educational, housing and employment status</w:t>
      </w:r>
      <w:r>
        <w:t xml:space="preserve"> that are</w:t>
      </w:r>
      <w:r w:rsidRPr="00630AD9">
        <w:t xml:space="preserve"> </w:t>
      </w:r>
      <w:r>
        <w:t>aligned with the Measuring What Matters framework. In supporting different stages of program and policy development, the model can help to:</w:t>
      </w:r>
    </w:p>
    <w:p w14:paraId="796592CF" w14:textId="77777777" w:rsidR="00B809D1" w:rsidRPr="00600FAE" w:rsidRDefault="00B809D1" w:rsidP="00B809D1">
      <w:pPr>
        <w:pStyle w:val="ListBullet"/>
      </w:pPr>
      <w:r>
        <w:t>i</w:t>
      </w:r>
      <w:r w:rsidRPr="00600FAE">
        <w:t>dent</w:t>
      </w:r>
      <w:r>
        <w:t>ify</w:t>
      </w:r>
      <w:r w:rsidRPr="00600FAE">
        <w:t xml:space="preserve"> </w:t>
      </w:r>
      <w:r>
        <w:t>target cohorts based on</w:t>
      </w:r>
      <w:r w:rsidRPr="00600FAE">
        <w:t xml:space="preserve"> </w:t>
      </w:r>
      <w:r>
        <w:t xml:space="preserve">service use costs and/or poor outcomes </w:t>
      </w:r>
    </w:p>
    <w:p w14:paraId="48BE0177" w14:textId="77777777" w:rsidR="00B809D1" w:rsidRPr="00600FAE" w:rsidRDefault="00B809D1" w:rsidP="00B809D1">
      <w:pPr>
        <w:pStyle w:val="ListBullet"/>
      </w:pPr>
      <w:r>
        <w:t>estimate long</w:t>
      </w:r>
      <w:r>
        <w:noBreakHyphen/>
        <w:t xml:space="preserve">term fiscal and wellbeing impacts of interventions </w:t>
      </w:r>
    </w:p>
    <w:p w14:paraId="3C4B0C38" w14:textId="77777777" w:rsidR="00B809D1" w:rsidRDefault="00B809D1" w:rsidP="00B809D1">
      <w:pPr>
        <w:pStyle w:val="ListBullet"/>
        <w:rPr>
          <w:rStyle w:val="BodyTextChar"/>
        </w:rPr>
      </w:pPr>
      <w:r>
        <w:t xml:space="preserve">monitor and evaluate interventions going forward. </w:t>
      </w:r>
    </w:p>
    <w:p w14:paraId="26209FF4" w14:textId="1F2DAC0E" w:rsidR="00B809D1" w:rsidRDefault="00B809D1">
      <w:pPr>
        <w:pStyle w:val="BodyText"/>
      </w:pPr>
      <w:r>
        <w:t>Such a model would provide a rigorous, systematic and</w:t>
      </w:r>
      <w:r w:rsidRPr="00600FAE">
        <w:t xml:space="preserve"> </w:t>
      </w:r>
      <w:r>
        <w:t xml:space="preserve">widely accessible platform for the design and assessment of </w:t>
      </w:r>
      <w:r w:rsidRPr="00600FAE">
        <w:t xml:space="preserve">prevention </w:t>
      </w:r>
      <w:r w:rsidR="00EB72A2">
        <w:t xml:space="preserve">and early intervention </w:t>
      </w:r>
      <w:r w:rsidRPr="00600FAE">
        <w:t>proposals.</w:t>
      </w:r>
      <w:r>
        <w:t xml:space="preserve"> </w:t>
      </w:r>
    </w:p>
    <w:p w14:paraId="4CA524CA" w14:textId="77777777" w:rsidR="00B809D1" w:rsidRPr="00986796" w:rsidRDefault="00B809D1">
      <w:pPr>
        <w:pStyle w:val="BodyText"/>
        <w:rPr>
          <w:rStyle w:val="BodyTextChar"/>
        </w:rPr>
      </w:pPr>
      <w:r>
        <w:rPr>
          <w:rStyle w:val="BodyTextChar"/>
        </w:rPr>
        <w:t>Multiple i</w:t>
      </w:r>
      <w:r w:rsidRPr="00340C10">
        <w:rPr>
          <w:rStyle w:val="BodyTextChar"/>
        </w:rPr>
        <w:t xml:space="preserve">nquiry </w:t>
      </w:r>
      <w:r>
        <w:rPr>
          <w:rStyle w:val="BodyTextChar"/>
        </w:rPr>
        <w:t>participants recognised the opportunity from using an actuarial</w:t>
      </w:r>
      <w:r w:rsidRPr="00340C10">
        <w:rPr>
          <w:rStyle w:val="BodyTextChar"/>
        </w:rPr>
        <w:t xml:space="preserve"> </w:t>
      </w:r>
      <w:r>
        <w:rPr>
          <w:rStyle w:val="BodyTextChar"/>
        </w:rPr>
        <w:t xml:space="preserve">modelling </w:t>
      </w:r>
      <w:r w:rsidRPr="00340C10">
        <w:rPr>
          <w:rStyle w:val="BodyTextChar"/>
        </w:rPr>
        <w:t xml:space="preserve">approach </w:t>
      </w:r>
      <w:r>
        <w:rPr>
          <w:rStyle w:val="BodyTextChar"/>
        </w:rPr>
        <w:t>to</w:t>
      </w:r>
      <w:r w:rsidRPr="00340C10">
        <w:rPr>
          <w:rStyle w:val="BodyTextChar"/>
        </w:rPr>
        <w:t xml:space="preserve"> inform </w:t>
      </w:r>
      <w:r>
        <w:rPr>
          <w:rStyle w:val="BodyTextChar"/>
        </w:rPr>
        <w:t>prevention and early intervention</w:t>
      </w:r>
      <w:r w:rsidRPr="00340C10">
        <w:rPr>
          <w:rStyle w:val="BodyTextChar"/>
        </w:rPr>
        <w:t xml:space="preserve"> investments</w:t>
      </w:r>
      <w:r>
        <w:rPr>
          <w:rStyle w:val="BodyTextChar"/>
        </w:rPr>
        <w:t>.</w:t>
      </w:r>
      <w:r w:rsidRPr="002B0A03">
        <w:rPr>
          <w:rStyle w:val="FootnoteReference"/>
        </w:rPr>
        <w:footnoteReference w:id="35"/>
      </w:r>
      <w:r w:rsidRPr="00340C10">
        <w:rPr>
          <w:rStyle w:val="BodyTextChar"/>
        </w:rPr>
        <w:t xml:space="preserve"> </w:t>
      </w:r>
    </w:p>
    <w:p w14:paraId="7681285B" w14:textId="77777777" w:rsidR="00B809D1" w:rsidRDefault="00B809D1">
      <w:pPr>
        <w:pStyle w:val="BodyText"/>
        <w:rPr>
          <w:rStyle w:val="BodyTextChar"/>
        </w:rPr>
      </w:pPr>
      <w:r>
        <w:rPr>
          <w:rStyle w:val="BodyTextChar"/>
        </w:rPr>
        <w:t>The Australian Government currently lacks a comprehensive model to forecast individuals’ service use and expenses, or a standardised model to assess the fiscal effects of social policy. However, actuarial microsimulation modelling is used as an input to some initiatives. For example, the Department of Social Services</w:t>
      </w:r>
      <w:r w:rsidDel="00262456">
        <w:rPr>
          <w:rStyle w:val="BodyTextChar"/>
        </w:rPr>
        <w:t xml:space="preserve"> </w:t>
      </w:r>
      <w:r>
        <w:rPr>
          <w:rStyle w:val="BodyTextChar"/>
        </w:rPr>
        <w:t>is using the Australian Priority Investment Approach to Welfare, Victoria has a Social Investment Model and New South Wales has its Forecasting Future Outcomes model. While these models provide a good analytical base, they lack a whole</w:t>
      </w:r>
      <w:r>
        <w:rPr>
          <w:rStyle w:val="BodyTextChar"/>
        </w:rPr>
        <w:noBreakHyphen/>
        <w:t>of</w:t>
      </w:r>
      <w:r>
        <w:rPr>
          <w:rStyle w:val="BodyTextChar"/>
        </w:rPr>
        <w:noBreakHyphen/>
        <w:t>government view and are not commonly incorporated into the decision</w:t>
      </w:r>
      <w:r>
        <w:rPr>
          <w:rStyle w:val="BodyTextChar"/>
        </w:rPr>
        <w:noBreakHyphen/>
        <w:t xml:space="preserve">making process. </w:t>
      </w:r>
    </w:p>
    <w:p w14:paraId="53F61621" w14:textId="77777777" w:rsidR="00B809D1" w:rsidRPr="005A32A5" w:rsidRDefault="00B809D1">
      <w:pPr>
        <w:pStyle w:val="Heading5"/>
        <w:rPr>
          <w:rStyle w:val="BodyTextChar"/>
          <w:rFonts w:eastAsiaTheme="minorHAnsi" w:cstheme="minorBidi"/>
          <w:color w:val="58585B"/>
          <w:sz w:val="22"/>
          <w:szCs w:val="29"/>
        </w:rPr>
      </w:pPr>
      <w:r w:rsidRPr="005A32A5">
        <w:rPr>
          <w:rStyle w:val="BodyTextChar"/>
          <w:sz w:val="22"/>
          <w:szCs w:val="29"/>
        </w:rPr>
        <w:t xml:space="preserve">Combining existing actuarial modelling efforts </w:t>
      </w:r>
    </w:p>
    <w:p w14:paraId="22BBDF8F" w14:textId="77777777" w:rsidR="00B809D1" w:rsidRDefault="00B809D1">
      <w:pPr>
        <w:pStyle w:val="BodyText"/>
      </w:pPr>
      <w:r>
        <w:t>The Australian Government, in partnership with state and territory governments, should consolidate and combine existing data and modelling efforts, and invest in developing</w:t>
      </w:r>
      <w:r w:rsidDel="00E4666F">
        <w:t xml:space="preserve"> </w:t>
      </w:r>
      <w:r>
        <w:t>a whole</w:t>
      </w:r>
      <w:r>
        <w:noBreakHyphen/>
        <w:t>of</w:t>
      </w:r>
      <w:r>
        <w:noBreakHyphen/>
        <w:t>population, whole</w:t>
      </w:r>
      <w:r>
        <w:noBreakHyphen/>
        <w:t>of</w:t>
      </w:r>
      <w:r>
        <w:noBreakHyphen/>
        <w:t xml:space="preserve">government actuarial microsimulation model. Combining existing modelling efforts would avoid duplication, allow for a consistent methodology, and ensure the most effective use of scarce analytical resources. Funding could be sourced by redirecting existing departmental modelling resources into a consolidated national capability. </w:t>
      </w:r>
    </w:p>
    <w:p w14:paraId="1C7C362F" w14:textId="77777777" w:rsidR="00B809D1" w:rsidRDefault="00B809D1">
      <w:pPr>
        <w:pStyle w:val="Heading5"/>
      </w:pPr>
      <w:r>
        <w:lastRenderedPageBreak/>
        <w:t xml:space="preserve">State and territories’ data is required to support the framework </w:t>
      </w:r>
    </w:p>
    <w:p w14:paraId="64377C9E" w14:textId="77777777" w:rsidR="00B809D1" w:rsidRPr="00FA5964" w:rsidRDefault="00B809D1" w:rsidP="00596C60">
      <w:pPr>
        <w:spacing w:line="270" w:lineRule="atLeast"/>
        <w:rPr>
          <w:spacing w:val="-4"/>
        </w:rPr>
      </w:pPr>
      <w:r w:rsidRPr="00FA5964">
        <w:rPr>
          <w:spacing w:val="-4"/>
        </w:rPr>
        <w:t>Before developing a national model, administrative data from Australian, state and territory governments would need to be linked. This</w:t>
      </w:r>
      <w:r w:rsidRPr="00FA5964" w:rsidDel="005E744F">
        <w:rPr>
          <w:spacing w:val="-4"/>
        </w:rPr>
        <w:t xml:space="preserve"> </w:t>
      </w:r>
      <w:r w:rsidRPr="00FA5964">
        <w:rPr>
          <w:spacing w:val="-4"/>
        </w:rPr>
        <w:t xml:space="preserve">would enable coverage across different levels of government and across sectors such as health, social protection, education, justice, human services and housing. Current integrated resources, such as the Person Level Integrated Data Asset, the NSW Human Services Dataset and the Victorian Social Investment Integrated Data Resource, do not contain the requisite data to estimate benefits across all of government. </w:t>
      </w:r>
    </w:p>
    <w:p w14:paraId="3FB4A78B" w14:textId="6131826A" w:rsidR="00B809D1" w:rsidRPr="00600FAE" w:rsidRDefault="00B809D1" w:rsidP="00596C60">
      <w:pPr>
        <w:spacing w:line="270" w:lineRule="atLeast"/>
      </w:pPr>
      <w:r w:rsidRPr="00115242">
        <w:t xml:space="preserve">Existing efforts to integrate Australian, state and territory government data should be </w:t>
      </w:r>
      <w:r>
        <w:t>accelerated</w:t>
      </w:r>
      <w:r w:rsidRPr="00115242">
        <w:t>,</w:t>
      </w:r>
      <w:r w:rsidRPr="00115242" w:rsidDel="000769D6">
        <w:t xml:space="preserve"> </w:t>
      </w:r>
      <w:r>
        <w:t>with</w:t>
      </w:r>
      <w:r w:rsidRPr="00115242">
        <w:t xml:space="preserve"> states and territories required to provide data as a condition of signing up to funding arrangements.</w:t>
      </w:r>
      <w:r>
        <w:t xml:space="preserve"> Contributing states and territories should be able to access the microsimulation </w:t>
      </w:r>
      <w:r w:rsidRPr="00600FAE">
        <w:t>model to inform their own prevention strategies and budget processes</w:t>
      </w:r>
      <w:r>
        <w:t xml:space="preserve">, providing benefits to those jurisdictions. </w:t>
      </w:r>
    </w:p>
    <w:p w14:paraId="108C59CA" w14:textId="77777777" w:rsidR="00B809D1" w:rsidRDefault="00B809D1">
      <w:pPr>
        <w:pStyle w:val="Heading5"/>
      </w:pPr>
      <w:r>
        <w:t xml:space="preserve">Development should be incremental and overseen by an intergovernmental working group </w:t>
      </w:r>
    </w:p>
    <w:p w14:paraId="735D4923" w14:textId="77777777" w:rsidR="00B809D1" w:rsidRDefault="00B809D1" w:rsidP="00FA5964">
      <w:pPr>
        <w:spacing w:line="260" w:lineRule="atLeast"/>
      </w:pPr>
      <w:r>
        <w:t>The Australian Government Actuary, overseen by a working group consisting of Commonwealth, state and territory representatives with appropriate expertise, should develop the model. This would ensure rigour and national coordination, while embedding the perspectives of those who deliver prevention programs and bear a substantial share of their cost. The working group could draw on expertise from across the Australian government and other state modelling</w:t>
      </w:r>
      <w:r>
        <w:noBreakHyphen/>
        <w:t xml:space="preserve">focused teams for technical guidance, central agencies for budgetary alignment, and prevention experts to inform scenario modelling assumptions. </w:t>
      </w:r>
    </w:p>
    <w:p w14:paraId="5CCBAABD" w14:textId="77777777" w:rsidR="00B809D1" w:rsidRDefault="00B809D1" w:rsidP="00FA5964">
      <w:pPr>
        <w:spacing w:line="260" w:lineRule="atLeast"/>
      </w:pPr>
      <w:r w:rsidRPr="00604F08">
        <w:t xml:space="preserve">The model </w:t>
      </w:r>
      <w:r>
        <w:t xml:space="preserve">should initially </w:t>
      </w:r>
      <w:r w:rsidRPr="00604F08">
        <w:t>project a limited set of outcomes (such as specific service use costs) and certain priority cohorts</w:t>
      </w:r>
      <w:r>
        <w:t xml:space="preserve">, then expand its scope over </w:t>
      </w:r>
      <w:r w:rsidRPr="00604F08">
        <w:t>time</w:t>
      </w:r>
      <w:r w:rsidRPr="00604F08" w:rsidDel="00FF7BF6">
        <w:t xml:space="preserve"> </w:t>
      </w:r>
      <w:r w:rsidRPr="00604F08">
        <w:t xml:space="preserve">to include </w:t>
      </w:r>
      <w:r>
        <w:t xml:space="preserve">additional outcomes and </w:t>
      </w:r>
      <w:r w:rsidRPr="00604F08">
        <w:t xml:space="preserve">the </w:t>
      </w:r>
      <w:r>
        <w:t>broader</w:t>
      </w:r>
      <w:r w:rsidRPr="00604F08">
        <w:t xml:space="preserve"> population (Taylor Fry, sub.</w:t>
      </w:r>
      <w:r>
        <w:t> </w:t>
      </w:r>
      <w:r w:rsidRPr="00604F08">
        <w:t>184</w:t>
      </w:r>
      <w:r>
        <w:t>, p. 4</w:t>
      </w:r>
      <w:r w:rsidRPr="00604F08">
        <w:t>). </w:t>
      </w:r>
      <w:r>
        <w:t>Since states and territories</w:t>
      </w:r>
      <w:r w:rsidRPr="00570FE2">
        <w:t xml:space="preserve"> vary in their </w:t>
      </w:r>
      <w:r>
        <w:t>capability to use</w:t>
      </w:r>
      <w:r w:rsidRPr="00570FE2">
        <w:t xml:space="preserve"> administrative data and actuarial modelling in policy development, the model could first integrate data from the Australian Government and select jurisdictions, with a view to eventually </w:t>
      </w:r>
      <w:r>
        <w:t>include</w:t>
      </w:r>
      <w:r w:rsidRPr="00570FE2">
        <w:t xml:space="preserve"> all jurisdictions</w:t>
      </w:r>
      <w:r>
        <w:t>.</w:t>
      </w:r>
    </w:p>
    <w:p w14:paraId="0C620B93" w14:textId="77777777" w:rsidR="00B809D1" w:rsidRDefault="00B809D1" w:rsidP="00FA5964">
      <w:pPr>
        <w:spacing w:line="260" w:lineRule="atLeast"/>
      </w:pPr>
      <w:r>
        <w:t xml:space="preserve">Once developed, the model should be managed by the assessment team within Treasury. </w:t>
      </w:r>
      <w:r w:rsidRPr="00FF1B08">
        <w:rPr>
          <w:rFonts w:ascii="Arial" w:hAnsi="Arial" w:cs="Arial"/>
          <w:color w:val="000000"/>
        </w:rPr>
        <w:t xml:space="preserve">Australian Government agencies and contributing </w:t>
      </w:r>
      <w:r>
        <w:rPr>
          <w:rFonts w:ascii="Arial" w:hAnsi="Arial" w:cs="Arial"/>
          <w:color w:val="000000"/>
        </w:rPr>
        <w:t>jurisdictions</w:t>
      </w:r>
      <w:r w:rsidRPr="00FF1B08">
        <w:rPr>
          <w:rFonts w:ascii="Arial" w:hAnsi="Arial" w:cs="Arial"/>
          <w:color w:val="000000"/>
        </w:rPr>
        <w:t xml:space="preserve"> should have access, with potential access for non</w:t>
      </w:r>
      <w:r>
        <w:rPr>
          <w:rFonts w:ascii="Arial" w:hAnsi="Arial" w:cs="Arial"/>
          <w:color w:val="000000"/>
        </w:rPr>
        <w:noBreakHyphen/>
      </w:r>
      <w:r w:rsidRPr="00FF1B08">
        <w:rPr>
          <w:rFonts w:ascii="Arial" w:hAnsi="Arial" w:cs="Arial"/>
          <w:color w:val="000000"/>
        </w:rPr>
        <w:t>government entities considered in the medium term.</w:t>
      </w:r>
    </w:p>
    <w:p w14:paraId="2862C3FF" w14:textId="77777777" w:rsidR="00B809D1" w:rsidRDefault="00B809D1">
      <w:pPr>
        <w:pStyle w:val="NoSpacing"/>
      </w:pPr>
    </w:p>
    <w:tbl>
      <w:tblPr>
        <w:tblStyle w:val="Texttable-Paleblue"/>
        <w:tblW w:w="5000" w:type="pct"/>
        <w:tblLook w:val="04A0" w:firstRow="1" w:lastRow="0" w:firstColumn="1" w:lastColumn="0" w:noHBand="0" w:noVBand="1"/>
      </w:tblPr>
      <w:tblGrid>
        <w:gridCol w:w="713"/>
        <w:gridCol w:w="8925"/>
      </w:tblGrid>
      <w:tr w:rsidR="00B809D1" w14:paraId="15292935" w14:textId="77777777">
        <w:trPr>
          <w:tblHeader/>
        </w:trPr>
        <w:tc>
          <w:tcPr>
            <w:tcW w:w="713" w:type="dxa"/>
            <w:shd w:val="clear" w:color="auto" w:fill="E7F6FD"/>
            <w:tcMar>
              <w:top w:w="0" w:type="dxa"/>
              <w:bottom w:w="0" w:type="dxa"/>
            </w:tcMar>
            <w:vAlign w:val="center"/>
          </w:tcPr>
          <w:p w14:paraId="7005CCF3" w14:textId="77777777" w:rsidR="00B809D1" w:rsidRDefault="00B809D1">
            <w:pPr>
              <w:keepLines/>
              <w:jc w:val="center"/>
            </w:pPr>
            <w:r w:rsidRPr="00A51374">
              <w:rPr>
                <w:noProof/>
              </w:rPr>
              <w:drawing>
                <wp:inline distT="0" distB="0" distL="0" distR="0" wp14:anchorId="2EC3DBC4" wp14:editId="2AD2B383">
                  <wp:extent cx="288000" cy="288000"/>
                  <wp:effectExtent l="0" t="0" r="0" b="0"/>
                  <wp:docPr id="579517156" name="Graphic 579517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99472C6" w14:textId="3B86CBB4" w:rsidR="00B809D1" w:rsidRPr="00715040" w:rsidRDefault="00B809D1" w:rsidP="007B7BED">
            <w:pPr>
              <w:pStyle w:val="TableHeading"/>
              <w:keepLines/>
              <w:spacing w:before="120" w:after="120"/>
              <w:contextualSpacing/>
              <w:rPr>
                <w:sz w:val="20"/>
              </w:rPr>
            </w:pPr>
            <w:r>
              <w:rPr>
                <w:sz w:val="20"/>
              </w:rPr>
              <w:t>R</w:t>
            </w:r>
            <w:r w:rsidRPr="00715040">
              <w:rPr>
                <w:sz w:val="20"/>
              </w:rPr>
              <w:t xml:space="preserve">ecommendation </w:t>
            </w:r>
            <w:r>
              <w:rPr>
                <w:sz w:val="20"/>
              </w:rPr>
              <w:t>3</w:t>
            </w:r>
            <w:r w:rsidRPr="00715040">
              <w:rPr>
                <w:sz w:val="20"/>
              </w:rPr>
              <w:t>.</w:t>
            </w:r>
            <w:r w:rsidRPr="00715040">
              <w:rPr>
                <w:sz w:val="20"/>
              </w:rPr>
              <w:fldChar w:fldCharType="begin"/>
            </w:r>
            <w:r w:rsidRPr="00715040">
              <w:rPr>
                <w:sz w:val="20"/>
              </w:rPr>
              <w:instrText xml:space="preserve"> SEQ Recommendation \* ARABIC \s 1 </w:instrText>
            </w:r>
            <w:r w:rsidRPr="00715040">
              <w:rPr>
                <w:sz w:val="20"/>
              </w:rPr>
              <w:fldChar w:fldCharType="separate"/>
            </w:r>
            <w:r w:rsidR="00FB1849">
              <w:rPr>
                <w:noProof/>
                <w:sz w:val="20"/>
              </w:rPr>
              <w:t>2</w:t>
            </w:r>
            <w:r w:rsidRPr="00715040">
              <w:rPr>
                <w:sz w:val="20"/>
              </w:rPr>
              <w:fldChar w:fldCharType="end"/>
            </w:r>
          </w:p>
          <w:p w14:paraId="3F03F05E" w14:textId="77777777" w:rsidR="00B809D1" w:rsidRPr="00715040" w:rsidRDefault="00B809D1" w:rsidP="007B7BED">
            <w:pPr>
              <w:pStyle w:val="TableHeading"/>
              <w:keepLines/>
              <w:spacing w:before="120" w:after="120"/>
              <w:contextualSpacing/>
              <w:rPr>
                <w:sz w:val="20"/>
              </w:rPr>
            </w:pPr>
            <w:r>
              <w:rPr>
                <w:sz w:val="20"/>
              </w:rPr>
              <w:t xml:space="preserve">Ensure better evaluation of prevention and early intervention </w:t>
            </w:r>
          </w:p>
        </w:tc>
      </w:tr>
      <w:tr w:rsidR="00B809D1" w14:paraId="6C0483B8" w14:textId="77777777">
        <w:tc>
          <w:tcPr>
            <w:tcW w:w="9638" w:type="dxa"/>
            <w:gridSpan w:val="2"/>
            <w:shd w:val="clear" w:color="auto" w:fill="E7F6FD"/>
            <w:tcMar>
              <w:top w:w="0" w:type="dxa"/>
            </w:tcMar>
          </w:tcPr>
          <w:p w14:paraId="671E8EAC" w14:textId="3DBA952C" w:rsidR="00B809D1" w:rsidRPr="00194AA3" w:rsidRDefault="00B809D1">
            <w:pPr>
              <w:pStyle w:val="BodyText"/>
            </w:pPr>
            <w:r>
              <w:t>As part of the proposed National Prevention and Early Intervention Framework, the Australian Government should embed better evaluation of prevention and early intervention into government funding processes by building capability in assessing the long</w:t>
            </w:r>
            <w:r>
              <w:noBreakHyphen/>
              <w:t>term and cross</w:t>
            </w:r>
            <w:r>
              <w:noBreakHyphen/>
              <w:t>portfolio impacts of proposals. The Government should:</w:t>
            </w:r>
          </w:p>
          <w:p w14:paraId="1A545413" w14:textId="77777777" w:rsidR="00B809D1" w:rsidRPr="00F24B01" w:rsidRDefault="00B809D1" w:rsidP="00B809D1">
            <w:pPr>
              <w:pStyle w:val="ListBullet"/>
            </w:pPr>
            <w:r>
              <w:t>establish an independent Prevention and Early Intervention Framework Advisory Board that reviews and recommends proposed programs for funding and validates estimates of cross</w:t>
            </w:r>
            <w:r>
              <w:noBreakHyphen/>
              <w:t>portfolio and long</w:t>
            </w:r>
            <w:r>
              <w:noBreakHyphen/>
              <w:t xml:space="preserve">term benefits. The board should publish its advice on policy proposals </w:t>
            </w:r>
          </w:p>
          <w:p w14:paraId="302A0C7C" w14:textId="77777777" w:rsidR="00B809D1" w:rsidRDefault="00B809D1" w:rsidP="00B809D1">
            <w:pPr>
              <w:pStyle w:val="ListBullet"/>
            </w:pPr>
            <w:r>
              <w:t>create a prevention and early intervention assessment team within Treasury to build government capability and support the standardised economic assessment of preventive programs</w:t>
            </w:r>
          </w:p>
          <w:p w14:paraId="582DB1A2" w14:textId="77777777" w:rsidR="00B809D1" w:rsidRPr="00767EAE" w:rsidRDefault="00B809D1" w:rsidP="00B809D1">
            <w:pPr>
              <w:pStyle w:val="ListBullet"/>
            </w:pPr>
            <w:r>
              <w:t>develop</w:t>
            </w:r>
            <w:r w:rsidRPr="00600FAE">
              <w:t xml:space="preserve">, in partnership with </w:t>
            </w:r>
            <w:r>
              <w:t>s</w:t>
            </w:r>
            <w:r w:rsidRPr="00600FAE">
              <w:t xml:space="preserve">tate and </w:t>
            </w:r>
            <w:r>
              <w:t>t</w:t>
            </w:r>
            <w:r w:rsidRPr="00600FAE">
              <w:t>erritory governments</w:t>
            </w:r>
            <w:r>
              <w:t>,</w:t>
            </w:r>
            <w:r w:rsidRPr="00600FAE">
              <w:t xml:space="preserve"> a </w:t>
            </w:r>
            <w:r w:rsidDel="00A46425">
              <w:t>whole</w:t>
            </w:r>
            <w:r w:rsidDel="00A46425">
              <w:noBreakHyphen/>
              <w:t>of</w:t>
            </w:r>
            <w:r w:rsidDel="00A46425">
              <w:noBreakHyphen/>
            </w:r>
            <w:r>
              <w:t xml:space="preserve">government actuarial microsimulation model to identify target cohorts across the population and </w:t>
            </w:r>
            <w:r w:rsidRPr="00600FAE" w:rsidDel="00E14904">
              <w:t xml:space="preserve">project </w:t>
            </w:r>
            <w:r>
              <w:t xml:space="preserve">expected </w:t>
            </w:r>
            <w:r w:rsidRPr="00600FAE">
              <w:t xml:space="preserve">lifetime government </w:t>
            </w:r>
            <w:r>
              <w:t xml:space="preserve">service </w:t>
            </w:r>
            <w:r w:rsidRPr="00600FAE">
              <w:t xml:space="preserve">expenditure </w:t>
            </w:r>
            <w:r>
              <w:t>and key wellbeing outcomes. The Australian Government Actuary should develop the model guided by</w:t>
            </w:r>
            <w:r w:rsidDel="00636115">
              <w:t xml:space="preserve"> </w:t>
            </w:r>
            <w:r>
              <w:t>an intergovernmental working group. Australian, state and territory governments should have access to the model to assess the whole</w:t>
            </w:r>
            <w:r>
              <w:noBreakHyphen/>
              <w:t>of</w:t>
            </w:r>
            <w:r>
              <w:noBreakHyphen/>
              <w:t>community costs and benefits of prevention and early intervention policies.</w:t>
            </w:r>
          </w:p>
        </w:tc>
      </w:tr>
    </w:tbl>
    <w:p w14:paraId="043E0AF4" w14:textId="77777777" w:rsidR="00B809D1" w:rsidRPr="008E2471" w:rsidRDefault="00B809D1">
      <w:pPr>
        <w:pStyle w:val="Heading3"/>
      </w:pPr>
      <w:r>
        <w:lastRenderedPageBreak/>
        <w:t xml:space="preserve">Collaboration between Australian, state and territory governments </w:t>
      </w:r>
    </w:p>
    <w:p w14:paraId="5B36F5B3" w14:textId="165D038D" w:rsidR="00B809D1" w:rsidRDefault="00B809D1" w:rsidP="00206BDC">
      <w:pPr>
        <w:pStyle w:val="BodyText"/>
        <w:spacing w:line="290" w:lineRule="atLeast"/>
      </w:pPr>
      <w:r>
        <w:t>The success of the framework will depend on developing collaborative relationships with state and territor</w:t>
      </w:r>
      <w:r w:rsidR="00A160CE">
        <w:t>y governments</w:t>
      </w:r>
      <w:r>
        <w:t xml:space="preserve"> and putting the infrastructure in place to support their engagement. The framework should facilitate intergovernmental collaboration in prevention and early intervention and establish a whole</w:t>
      </w:r>
      <w:r>
        <w:noBreakHyphen/>
        <w:t>of</w:t>
      </w:r>
      <w:r>
        <w:noBreakHyphen/>
        <w:t xml:space="preserve">government perspective on assessing and implementing programs. </w:t>
      </w:r>
    </w:p>
    <w:p w14:paraId="667CC3AB" w14:textId="14611FB6" w:rsidR="00B809D1" w:rsidRDefault="00B809D1">
      <w:pPr>
        <w:pStyle w:val="Heading4"/>
      </w:pPr>
      <w:r>
        <w:t xml:space="preserve">A </w:t>
      </w:r>
      <w:r w:rsidDel="00405F33">
        <w:t>f</w:t>
      </w:r>
      <w:r>
        <w:t>und to support initial collaboration with states and territories</w:t>
      </w:r>
    </w:p>
    <w:p w14:paraId="5B6B69AF" w14:textId="77777777" w:rsidR="00B809D1" w:rsidRDefault="00B809D1" w:rsidP="00206BDC">
      <w:pPr>
        <w:pStyle w:val="BodyText"/>
        <w:spacing w:line="290" w:lineRule="atLeast"/>
      </w:pPr>
      <w:r>
        <w:t>To support programs requiring joint investment with state and territory governments and to grow overall government investment in prevention and early intervention, the Australian Government should establish a National Prevention and Early Intervention</w:t>
      </w:r>
      <w:r w:rsidRPr="008E2471">
        <w:t xml:space="preserve"> </w:t>
      </w:r>
      <w:r>
        <w:t xml:space="preserve">Investment Fund, </w:t>
      </w:r>
      <w:proofErr w:type="gramStart"/>
      <w:r>
        <w:t>similar to</w:t>
      </w:r>
      <w:proofErr w:type="gramEnd"/>
      <w:r>
        <w:t xml:space="preserve"> the National Productivity Fund and </w:t>
      </w:r>
      <w:r w:rsidRPr="008E2471">
        <w:t>the</w:t>
      </w:r>
      <w:r w:rsidRPr="00DD361D">
        <w:t xml:space="preserve"> </w:t>
      </w:r>
      <w:r>
        <w:t>Commonwealth Outcomes Fund</w:t>
      </w:r>
      <w:r w:rsidRPr="00DD361D">
        <w:t>.</w:t>
      </w:r>
    </w:p>
    <w:p w14:paraId="42C2545D" w14:textId="77777777" w:rsidR="00B809D1" w:rsidRDefault="00B809D1" w:rsidP="00206BDC">
      <w:pPr>
        <w:pStyle w:val="BodyText"/>
        <w:spacing w:line="290" w:lineRule="atLeast"/>
      </w:pPr>
      <w:r>
        <w:t>The fund would provide a pool of funding to support state and territory government bids for prevention and early intervention programs. These bids should initially be for programs that allow a gradual building of expertise within governments, including in the usage of the actuarial models, and the development of intermediate and longer</w:t>
      </w:r>
      <w:r>
        <w:noBreakHyphen/>
        <w:t xml:space="preserve">term indicators of program success. </w:t>
      </w:r>
    </w:p>
    <w:p w14:paraId="342B3BF1" w14:textId="5C49A10C" w:rsidR="00B809D1" w:rsidRDefault="00B809D1" w:rsidP="00206BDC">
      <w:pPr>
        <w:pStyle w:val="BodyText"/>
        <w:spacing w:line="290" w:lineRule="atLeast"/>
      </w:pPr>
      <w:r w:rsidRPr="00263247">
        <w:t xml:space="preserve">The Australian Government should commit $1.5 billion over five years, with states and territories </w:t>
      </w:r>
      <w:r>
        <w:t xml:space="preserve">to </w:t>
      </w:r>
      <w:r w:rsidRPr="00263247">
        <w:t>add their own co</w:t>
      </w:r>
      <w:r>
        <w:noBreakHyphen/>
      </w:r>
      <w:r w:rsidRPr="00263247">
        <w:t xml:space="preserve">contributions </w:t>
      </w:r>
      <w:r>
        <w:t>for specific programs</w:t>
      </w:r>
      <w:r w:rsidRPr="00263247">
        <w:t xml:space="preserve"> </w:t>
      </w:r>
      <w:r>
        <w:t>based on expected benefits</w:t>
      </w:r>
      <w:r w:rsidRPr="00263247">
        <w:t>.</w:t>
      </w:r>
      <w:r w:rsidDel="00263247">
        <w:t xml:space="preserve"> </w:t>
      </w:r>
      <w:r>
        <w:t xml:space="preserve">This is expected to support at least three or four bids each year and enable the framework to proceed carefully while expertise and capacity is developed across all levels of government. As the expertise and infrastructure to support prevention and early intervention investments develops and initial programs begin to show the value of prevention and early intervention, funding </w:t>
      </w:r>
      <w:r w:rsidR="00D53589">
        <w:t>would be</w:t>
      </w:r>
      <w:r>
        <w:t xml:space="preserve"> expected to grow. </w:t>
      </w:r>
      <w:r w:rsidR="00C34040">
        <w:t>R</w:t>
      </w:r>
      <w:r>
        <w:t>eturns to government will depend on the type and implementation of the programs funded</w:t>
      </w:r>
      <w:r w:rsidR="00112265">
        <w:t xml:space="preserve">. However, </w:t>
      </w:r>
      <w:r w:rsidR="00181BAA">
        <w:t>experiences from</w:t>
      </w:r>
      <w:r w:rsidR="009E525E">
        <w:t xml:space="preserve"> </w:t>
      </w:r>
      <w:r w:rsidR="006564CC">
        <w:t xml:space="preserve">cost-saving </w:t>
      </w:r>
      <w:r w:rsidR="009E525E">
        <w:t xml:space="preserve">prevention and early intervention </w:t>
      </w:r>
      <w:r w:rsidR="002B166E">
        <w:t xml:space="preserve">programs </w:t>
      </w:r>
      <w:r w:rsidR="00CA3B55">
        <w:t>in the United States</w:t>
      </w:r>
      <w:r w:rsidR="002B166E">
        <w:t xml:space="preserve"> suggest</w:t>
      </w:r>
      <w:r>
        <w:t xml:space="preserve"> </w:t>
      </w:r>
      <w:r w:rsidR="003D3D5C">
        <w:t>savings to government of</w:t>
      </w:r>
      <w:r>
        <w:t xml:space="preserve"> around 2.1 times the initial</w:t>
      </w:r>
      <w:r w:rsidR="005D2576">
        <w:t>, one-off</w:t>
      </w:r>
      <w:r>
        <w:t xml:space="preserve"> investment could be expected over a ten</w:t>
      </w:r>
      <w:r>
        <w:noBreakHyphen/>
        <w:t>year period</w:t>
      </w:r>
      <w:r w:rsidR="00B22A77">
        <w:t xml:space="preserve"> (appendix B)</w:t>
      </w:r>
      <w:r>
        <w:t>.</w:t>
      </w:r>
    </w:p>
    <w:p w14:paraId="79A76351" w14:textId="3F3B668C" w:rsidR="00B809D1" w:rsidRDefault="00B809D1" w:rsidP="00206BDC">
      <w:pPr>
        <w:spacing w:line="290" w:lineRule="atLeast"/>
      </w:pPr>
      <w:r>
        <w:t>An investment of $1.5 billion spread over five years could</w:t>
      </w:r>
      <w:r w:rsidRPr="00B63EF3">
        <w:t xml:space="preserve"> </w:t>
      </w:r>
      <w:r>
        <w:t>save government</w:t>
      </w:r>
      <w:r w:rsidRPr="00B63EF3">
        <w:t xml:space="preserve"> around $</w:t>
      </w:r>
      <w:r>
        <w:t>2</w:t>
      </w:r>
      <w:r w:rsidRPr="00ED1218">
        <w:t>.</w:t>
      </w:r>
      <w:r>
        <w:t>7</w:t>
      </w:r>
      <w:r w:rsidRPr="00B63EF3">
        <w:t xml:space="preserve"> billion</w:t>
      </w:r>
      <w:r>
        <w:t xml:space="preserve"> in the ten years after the initial investment. </w:t>
      </w:r>
      <w:r w:rsidRPr="006C41D2">
        <w:t xml:space="preserve">When the broader </w:t>
      </w:r>
      <w:r w:rsidRPr="00847DCC">
        <w:t xml:space="preserve">health, social and economic benefits </w:t>
      </w:r>
      <w:r w:rsidRPr="006C41D2">
        <w:t xml:space="preserve">are included with potential fiscal benefits the total benefits are likely to be </w:t>
      </w:r>
      <w:r w:rsidR="009D4D55">
        <w:t>about</w:t>
      </w:r>
      <w:r w:rsidRPr="006C41D2">
        <w:t xml:space="preserve"> </w:t>
      </w:r>
      <w:proofErr w:type="gramStart"/>
      <w:r>
        <w:t>$5.4 billion</w:t>
      </w:r>
      <w:r w:rsidRPr="006C41D2">
        <w:t>, and</w:t>
      </w:r>
      <w:proofErr w:type="gramEnd"/>
      <w:r w:rsidRPr="006C41D2">
        <w:t xml:space="preserve"> will continue to accrue over time</w:t>
      </w:r>
      <w:r>
        <w:t>.</w:t>
      </w:r>
      <w:r w:rsidRPr="002B0A03">
        <w:rPr>
          <w:rStyle w:val="FootnoteReference"/>
        </w:rPr>
        <w:footnoteReference w:id="36"/>
      </w:r>
      <w:r>
        <w:rPr>
          <w:rStyle w:val="FootnoteReference"/>
        </w:rPr>
        <w:t xml:space="preserve"> </w:t>
      </w:r>
      <w:r>
        <w:t>These estimates are more conservative than many of the examples raised in submissions, suggesting that potential benefits could be greater.</w:t>
      </w:r>
      <w:r w:rsidRPr="002B0A03">
        <w:rPr>
          <w:rStyle w:val="FootnoteReference"/>
        </w:rPr>
        <w:footnoteReference w:id="37"/>
      </w:r>
    </w:p>
    <w:p w14:paraId="259A014E" w14:textId="77777777" w:rsidR="00B809D1" w:rsidRDefault="00B809D1" w:rsidP="00206BDC">
      <w:pPr>
        <w:pStyle w:val="BodyText"/>
        <w:spacing w:line="290" w:lineRule="atLeast"/>
      </w:pPr>
      <w:r>
        <w:t>Redirecting funding from existing budget items, especially those that are ineffective or duplicative, may offset some of the initial costs of greater investment in prevention and early intervention. But improving outcomes while limiting growth in future care expenditure will ultimately require new investment. Multiple submissions to this inquiry have stressed this point.</w:t>
      </w:r>
      <w:r w:rsidRPr="002B0A03">
        <w:rPr>
          <w:rStyle w:val="FootnoteReference"/>
        </w:rPr>
        <w:footnoteReference w:id="38"/>
      </w:r>
      <w:r>
        <w:t xml:space="preserve"> </w:t>
      </w:r>
    </w:p>
    <w:p w14:paraId="2030CFF3" w14:textId="77777777" w:rsidR="00B809D1" w:rsidRDefault="00B809D1" w:rsidP="00206BDC">
      <w:pPr>
        <w:pStyle w:val="BodyText"/>
        <w:spacing w:line="290" w:lineRule="atLeast"/>
      </w:pPr>
      <w:r>
        <w:lastRenderedPageBreak/>
        <w:t>Ultimately, the amount to be spent under the framework would rely on funded programs demonstrating value. However, under the National Preventive Health Strategy, governments have committed to spending 5% of all health funding on prevention activity (around $8.9 billion per year in 2022</w:t>
      </w:r>
      <w:r>
        <w:noBreakHyphen/>
        <w:t>23). This fund would support progress towards meeting that target.</w:t>
      </w:r>
    </w:p>
    <w:p w14:paraId="0BA6631D" w14:textId="77777777" w:rsidR="00B809D1" w:rsidRPr="007D35D4" w:rsidRDefault="00B809D1">
      <w:pPr>
        <w:pStyle w:val="Heading5"/>
      </w:pPr>
      <w:r w:rsidRPr="007D35D4">
        <w:t xml:space="preserve">Funding schedules </w:t>
      </w:r>
    </w:p>
    <w:p w14:paraId="09350E1B" w14:textId="56BDF4C5" w:rsidR="00B809D1" w:rsidRDefault="00B809D1" w:rsidP="00206BDC">
      <w:pPr>
        <w:pStyle w:val="BodyText"/>
        <w:spacing w:line="290" w:lineRule="atLeast"/>
      </w:pPr>
      <w:r>
        <w:t>Payments from the fund should be facilitated through federation funding agreement schedules</w:t>
      </w:r>
      <w:r w:rsidR="00FB13C0">
        <w:t>,</w:t>
      </w:r>
      <w:r w:rsidRPr="002B0A03">
        <w:rPr>
          <w:rStyle w:val="FootnoteReference"/>
        </w:rPr>
        <w:footnoteReference w:id="39"/>
      </w:r>
      <w:r>
        <w:t xml:space="preserve"> which outline </w:t>
      </w:r>
      <w:r w:rsidRPr="00D438E4">
        <w:t>Australian Government payments and state or territory co</w:t>
      </w:r>
      <w:r>
        <w:noBreakHyphen/>
      </w:r>
      <w:r w:rsidRPr="00D438E4">
        <w:t xml:space="preserve">contributions based on expected benefit shares for </w:t>
      </w:r>
      <w:r>
        <w:t>each funding round</w:t>
      </w:r>
      <w:r w:rsidRPr="00D438E4">
        <w:t>.</w:t>
      </w:r>
      <w:r>
        <w:t xml:space="preserve"> The funding schedules should also specify requirements for </w:t>
      </w:r>
      <w:r w:rsidDel="00D438E4">
        <w:t>state and territor</w:t>
      </w:r>
      <w:r w:rsidR="005B4186">
        <w:t>y governments</w:t>
      </w:r>
      <w:r w:rsidDel="00D438E4">
        <w:t xml:space="preserve"> </w:t>
      </w:r>
      <w:r>
        <w:t>to report outcomes and savings, as well as</w:t>
      </w:r>
      <w:r w:rsidDel="00DA5EC4">
        <w:t xml:space="preserve"> </w:t>
      </w:r>
      <w:r>
        <w:t>maintain funding for existing effective programs. Funding schedules could also include conditional payments linked to pre</w:t>
      </w:r>
      <w:r>
        <w:noBreakHyphen/>
        <w:t>agreed outcomes.</w:t>
      </w:r>
    </w:p>
    <w:p w14:paraId="536AC89F" w14:textId="77777777" w:rsidR="00B809D1" w:rsidRDefault="00B809D1">
      <w:pPr>
        <w:pStyle w:val="Heading4"/>
      </w:pPr>
      <w:r>
        <w:t xml:space="preserve">An Intergovernmental agreement on the National Prevention and Early Intervention Framework </w:t>
      </w:r>
    </w:p>
    <w:p w14:paraId="429F590C" w14:textId="77777777" w:rsidR="00B809D1" w:rsidRDefault="00B809D1" w:rsidP="00206BDC">
      <w:pPr>
        <w:pStyle w:val="BodyText"/>
        <w:spacing w:line="290" w:lineRule="atLeast"/>
      </w:pPr>
      <w:r>
        <w:t xml:space="preserve">Australian, state and territory governments should agree on the objectives of the framework, institutional, governance and data sharing arrangements, and roles and responsibilities of different parties. This agreement would be similar in some ways to the intergovernmental agreement that underpins the revitalised National Competition Policy reforms. </w:t>
      </w:r>
    </w:p>
    <w:p w14:paraId="762800AA" w14:textId="77777777" w:rsidR="00B809D1" w:rsidRDefault="00B809D1" w:rsidP="00206BDC">
      <w:pPr>
        <w:pStyle w:val="BodyText"/>
        <w:spacing w:line="290" w:lineRule="atLeast"/>
      </w:pPr>
      <w:r>
        <w:t>This agreement would lay the foundations for joint investment by Australian state and territory governments in prevention and early intervention. It would not provide details of the exact financial contributions of signatories but would instead set up the necessary governance structures for implementation of the framework. The agreement would be accompanied by the funding schedules discussed above.</w:t>
      </w:r>
    </w:p>
    <w:p w14:paraId="77AE7BC1" w14:textId="77777777" w:rsidR="00B809D1" w:rsidRDefault="00B809D1">
      <w:pPr>
        <w:pStyle w:val="Heading4"/>
      </w:pPr>
      <w:r>
        <w:t>Amending sectoral federation funding agreements in the longer term</w:t>
      </w:r>
    </w:p>
    <w:p w14:paraId="7BCEA102" w14:textId="77777777" w:rsidR="00B809D1" w:rsidRDefault="00B809D1" w:rsidP="00206BDC">
      <w:pPr>
        <w:pStyle w:val="BodyText"/>
        <w:spacing w:line="290" w:lineRule="atLeast"/>
      </w:pPr>
      <w:r w:rsidRPr="00146E7F">
        <w:t xml:space="preserve">In the </w:t>
      </w:r>
      <w:r>
        <w:t>longer term</w:t>
      </w:r>
      <w:r w:rsidRPr="00146E7F">
        <w:t>,</w:t>
      </w:r>
      <w:r w:rsidRPr="00146E7F" w:rsidDel="009C0F7B">
        <w:t xml:space="preserve"> </w:t>
      </w:r>
      <w:r w:rsidRPr="00146E7F">
        <w:t xml:space="preserve">Australian Government funding </w:t>
      </w:r>
      <w:r>
        <w:t>for state and territory prevention and early intervention initiatives should</w:t>
      </w:r>
      <w:r w:rsidRPr="00146E7F">
        <w:t xml:space="preserve"> be provided </w:t>
      </w:r>
      <w:r>
        <w:t>by modifying</w:t>
      </w:r>
      <w:r w:rsidRPr="00146E7F">
        <w:t xml:space="preserve"> existing</w:t>
      </w:r>
      <w:r>
        <w:t>,</w:t>
      </w:r>
      <w:r w:rsidRPr="00146E7F">
        <w:t xml:space="preserve"> sector</w:t>
      </w:r>
      <w:r>
        <w:noBreakHyphen/>
      </w:r>
      <w:r w:rsidRPr="00146E7F">
        <w:t xml:space="preserve">specific </w:t>
      </w:r>
      <w:r>
        <w:t>federation funding agreements (FFA)</w:t>
      </w:r>
      <w:r w:rsidRPr="00146E7F">
        <w:t xml:space="preserve">. </w:t>
      </w:r>
      <w:r>
        <w:t xml:space="preserve">These FFAs – overarching agreements covering </w:t>
      </w:r>
      <w:r w:rsidRPr="0034733E">
        <w:t>Health, Infrastructure, Environment, Education and Skills, and Affordable Housing, Community Services and Other</w:t>
      </w:r>
      <w:r>
        <w:t xml:space="preserve"> sectors – enable the Australian Government to provide significant funding to state and territory governments for programs. FFAs should be adjusted to allocate a portion of funding to the framework on an ongoing basis, helping embed the framework into routine practice and expand its funding scale.</w:t>
      </w:r>
    </w:p>
    <w:p w14:paraId="4103BA58" w14:textId="77777777" w:rsidR="00B809D1" w:rsidRDefault="00B809D1">
      <w:pPr>
        <w:pStyle w:val="NoSpacing"/>
      </w:pPr>
    </w:p>
    <w:tbl>
      <w:tblPr>
        <w:tblStyle w:val="Texttable-Paleblue"/>
        <w:tblW w:w="5000" w:type="pct"/>
        <w:tblLook w:val="04A0" w:firstRow="1" w:lastRow="0" w:firstColumn="1" w:lastColumn="0" w:noHBand="0" w:noVBand="1"/>
      </w:tblPr>
      <w:tblGrid>
        <w:gridCol w:w="713"/>
        <w:gridCol w:w="8925"/>
      </w:tblGrid>
      <w:tr w:rsidR="00B809D1" w:rsidRPr="00715040" w14:paraId="60083F74" w14:textId="77777777">
        <w:trPr>
          <w:tblHeader/>
        </w:trPr>
        <w:tc>
          <w:tcPr>
            <w:tcW w:w="709" w:type="dxa"/>
            <w:shd w:val="clear" w:color="auto" w:fill="E7F6FD"/>
            <w:tcMar>
              <w:top w:w="0" w:type="dxa"/>
              <w:bottom w:w="0" w:type="dxa"/>
            </w:tcMar>
            <w:vAlign w:val="center"/>
          </w:tcPr>
          <w:p w14:paraId="47109C1B" w14:textId="77777777" w:rsidR="00B809D1" w:rsidRDefault="00B809D1" w:rsidP="005D1042">
            <w:pPr>
              <w:keepNext/>
              <w:keepLines/>
              <w:jc w:val="center"/>
            </w:pPr>
            <w:r w:rsidRPr="00A51374">
              <w:rPr>
                <w:noProof/>
              </w:rPr>
              <w:lastRenderedPageBreak/>
              <w:drawing>
                <wp:inline distT="0" distB="0" distL="0" distR="0" wp14:anchorId="703D831A" wp14:editId="02DB6679">
                  <wp:extent cx="288000" cy="288000"/>
                  <wp:effectExtent l="0" t="0" r="0" b="0"/>
                  <wp:docPr id="626390238" name="Graphic 626390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341A55A" w14:textId="77777777" w:rsidR="00B809D1" w:rsidRPr="00715040" w:rsidRDefault="00B809D1" w:rsidP="005D1042">
            <w:pPr>
              <w:pStyle w:val="TableHeading"/>
              <w:keepNext/>
              <w:keepLines/>
              <w:spacing w:before="120" w:after="120"/>
              <w:contextualSpacing/>
              <w:rPr>
                <w:sz w:val="20"/>
              </w:rPr>
            </w:pPr>
            <w:r w:rsidRPr="00715040">
              <w:rPr>
                <w:sz w:val="20"/>
              </w:rPr>
              <w:t xml:space="preserve">Recommendation </w:t>
            </w:r>
            <w:r>
              <w:rPr>
                <w:sz w:val="20"/>
              </w:rPr>
              <w:t>3</w:t>
            </w:r>
            <w:r w:rsidRPr="00715040">
              <w:rPr>
                <w:sz w:val="20"/>
              </w:rPr>
              <w:t>.</w:t>
            </w:r>
            <w:r>
              <w:rPr>
                <w:sz w:val="20"/>
              </w:rPr>
              <w:t>3</w:t>
            </w:r>
          </w:p>
          <w:p w14:paraId="68715CF6" w14:textId="77777777" w:rsidR="00B809D1" w:rsidRPr="00715040" w:rsidRDefault="00B809D1" w:rsidP="005D1042">
            <w:pPr>
              <w:pStyle w:val="TableHeading"/>
              <w:keepNext/>
              <w:keepLines/>
              <w:spacing w:before="120" w:after="120"/>
              <w:contextualSpacing/>
              <w:rPr>
                <w:sz w:val="20"/>
              </w:rPr>
            </w:pPr>
            <w:r>
              <w:rPr>
                <w:sz w:val="20"/>
              </w:rPr>
              <w:t>Enable collaboration between Australian, state and territory governments</w:t>
            </w:r>
          </w:p>
        </w:tc>
      </w:tr>
      <w:tr w:rsidR="00B809D1" w:rsidRPr="00767EAE" w14:paraId="4060E0BF" w14:textId="77777777">
        <w:tc>
          <w:tcPr>
            <w:tcW w:w="9583" w:type="dxa"/>
            <w:gridSpan w:val="2"/>
            <w:shd w:val="clear" w:color="auto" w:fill="E7F6FD"/>
            <w:tcMar>
              <w:top w:w="0" w:type="dxa"/>
            </w:tcMar>
          </w:tcPr>
          <w:p w14:paraId="3777292C" w14:textId="77777777" w:rsidR="00B809D1" w:rsidRDefault="00B809D1" w:rsidP="005D1042">
            <w:pPr>
              <w:pStyle w:val="BodyText"/>
              <w:keepNext/>
              <w:keepLines/>
              <w:spacing w:after="0"/>
            </w:pPr>
            <w:r>
              <w:t xml:space="preserve">Recognising that the benefits and costs of effective prevention and early intervention often fall across different levels of government, the Australian Government should work with state and territory governments to address opportunities to fund programs through the proposed National Prevention and Early Intervention Framework (recommendation 3.1). </w:t>
            </w:r>
          </w:p>
          <w:p w14:paraId="71734344" w14:textId="77777777" w:rsidR="00B809D1" w:rsidRDefault="00B809D1" w:rsidP="005D1042">
            <w:pPr>
              <w:pStyle w:val="BodyText"/>
              <w:keepNext/>
              <w:keepLines/>
              <w:spacing w:after="0"/>
            </w:pPr>
            <w:r>
              <w:t>The Australian Government should lead work to establish a National Prevention and Early Intervention Fund to provide federal funding for state and territory</w:t>
            </w:r>
            <w:r>
              <w:noBreakHyphen/>
              <w:t>run programs requiring joint investment</w:t>
            </w:r>
            <w:r w:rsidRPr="00526E34">
              <w:t>.</w:t>
            </w:r>
            <w:r>
              <w:t xml:space="preserve"> The fund, which should be established within the Treasury portfolio, should involve a commitment of $1.5 billion over five years. States should co</w:t>
            </w:r>
            <w:r>
              <w:noBreakHyphen/>
              <w:t xml:space="preserve">fund programs based on their expected share of benefits, with these requirements outlined in federation funding agreement schedules. </w:t>
            </w:r>
          </w:p>
          <w:p w14:paraId="6DE87013" w14:textId="77777777" w:rsidR="00B809D1" w:rsidRDefault="00B809D1" w:rsidP="005D1042">
            <w:pPr>
              <w:pStyle w:val="BodyText"/>
              <w:keepNext/>
              <w:keepLines/>
              <w:spacing w:after="0"/>
            </w:pPr>
            <w:r w:rsidRPr="008434C3">
              <w:t>Australian, state and territory governments</w:t>
            </w:r>
            <w:r>
              <w:t xml:space="preserve"> should establish an intergovernmental agreement</w:t>
            </w:r>
            <w:r w:rsidRPr="008434C3">
              <w:t xml:space="preserve"> </w:t>
            </w:r>
            <w:r>
              <w:t>outlining</w:t>
            </w:r>
            <w:r w:rsidRPr="008434C3">
              <w:t xml:space="preserve"> the objectives of the framework, institutional, governance and data sharing arrangements, and roles and responsibilities of different parties.</w:t>
            </w:r>
            <w:r>
              <w:t xml:space="preserve"> </w:t>
            </w:r>
          </w:p>
          <w:p w14:paraId="09208A28" w14:textId="77777777" w:rsidR="00B809D1" w:rsidRPr="00767EAE" w:rsidRDefault="00B809D1" w:rsidP="005D1042">
            <w:pPr>
              <w:pStyle w:val="BodyText"/>
              <w:keepNext/>
              <w:keepLines/>
            </w:pPr>
            <w:r w:rsidRPr="00B14DC7">
              <w:t xml:space="preserve">In the longer term, </w:t>
            </w:r>
            <w:r>
              <w:t xml:space="preserve">the </w:t>
            </w:r>
            <w:r w:rsidRPr="00B14DC7">
              <w:t xml:space="preserve">Australian Government </w:t>
            </w:r>
            <w:r>
              <w:t xml:space="preserve">should </w:t>
            </w:r>
            <w:r w:rsidRPr="00B14DC7">
              <w:t>fund state and territory prevention and early intervention initiatives by modifying existing sector</w:t>
            </w:r>
            <w:r>
              <w:noBreakHyphen/>
            </w:r>
            <w:r w:rsidRPr="00B14DC7">
              <w:t xml:space="preserve">specific federation funding agreements to allocate a portion of their funding to joint investments in prevention and early intervention on an ongoing basis. This </w:t>
            </w:r>
            <w:r>
              <w:t>approach</w:t>
            </w:r>
            <w:r w:rsidRPr="00B14DC7">
              <w:t xml:space="preserve"> would embed the framework into routine practice and expand its funding scale.</w:t>
            </w:r>
          </w:p>
        </w:tc>
      </w:tr>
      <w:tr w:rsidR="00B809D1" w:rsidRPr="007E0EA8" w14:paraId="50A0CDDB" w14:textId="77777777" w:rsidTr="005B47A5">
        <w:tc>
          <w:tcPr>
            <w:tcW w:w="9583" w:type="dxa"/>
            <w:gridSpan w:val="2"/>
            <w:shd w:val="clear" w:color="auto" w:fill="auto"/>
            <w:tcMar>
              <w:top w:w="0" w:type="dxa"/>
              <w:bottom w:w="0" w:type="dxa"/>
            </w:tcMar>
          </w:tcPr>
          <w:p w14:paraId="5F9ACC69" w14:textId="77777777" w:rsidR="00B809D1" w:rsidRPr="007E0EA8" w:rsidRDefault="00B809D1" w:rsidP="005D1042">
            <w:pPr>
              <w:pStyle w:val="NoSpacing"/>
              <w:keepNext/>
              <w:keepLines/>
              <w:spacing w:line="200" w:lineRule="exact"/>
            </w:pPr>
          </w:p>
        </w:tc>
      </w:tr>
    </w:tbl>
    <w:p w14:paraId="4406321C" w14:textId="5FB9ACDB" w:rsidR="00B809D1" w:rsidRDefault="00B809D1">
      <w:pPr>
        <w:pStyle w:val="Heading3-noTOC"/>
      </w:pPr>
      <w:r>
        <w:t xml:space="preserve">A </w:t>
      </w:r>
      <w:r w:rsidR="00520EC7">
        <w:t>staged</w:t>
      </w:r>
      <w:r>
        <w:t xml:space="preserve"> approach to implementation </w:t>
      </w:r>
    </w:p>
    <w:p w14:paraId="3CBD370F" w14:textId="61919933" w:rsidR="00B809D1" w:rsidRDefault="00B809D1">
      <w:pPr>
        <w:pStyle w:val="BodyText"/>
      </w:pPr>
      <w:r>
        <w:t xml:space="preserve">A </w:t>
      </w:r>
      <w:r w:rsidR="00520EC7">
        <w:t>staged</w:t>
      </w:r>
      <w:r>
        <w:t xml:space="preserve"> approach to implementation (figure 3.6), led by the Australian Treasury, should begin with efforts to enhance data modelling and governance capability and new funding arrangements to support intergovernmental collaboration. This would be followed ultimately by changes to federation funding agreements to support the framework on a long</w:t>
      </w:r>
      <w:r>
        <w:noBreakHyphen/>
        <w:t>term basis. While full rollout may take time, the framework could start with one or two jurisdictions partnering with the Australian government on a single priority project to establish proof</w:t>
      </w:r>
      <w:r>
        <w:noBreakHyphen/>
        <w:t>of</w:t>
      </w:r>
      <w:r>
        <w:noBreakHyphen/>
        <w:t xml:space="preserve">concept. </w:t>
      </w:r>
      <w:r w:rsidR="008D033B">
        <w:t xml:space="preserve">We would expect </w:t>
      </w:r>
      <w:r w:rsidR="0053021C">
        <w:t xml:space="preserve">the </w:t>
      </w:r>
      <w:r w:rsidR="002D0159">
        <w:t xml:space="preserve">initial </w:t>
      </w:r>
      <w:r w:rsidR="00274D8F">
        <w:t>pr</w:t>
      </w:r>
      <w:r w:rsidR="00F0197D">
        <w:t>iority</w:t>
      </w:r>
      <w:r w:rsidR="002D0159">
        <w:t xml:space="preserve"> project(s)</w:t>
      </w:r>
      <w:r w:rsidR="008D033B">
        <w:t xml:space="preserve"> to</w:t>
      </w:r>
      <w:r w:rsidR="0053021C">
        <w:t xml:space="preserve"> be funded in the 2027-28 budget.</w:t>
      </w:r>
      <w:r w:rsidR="0092190C">
        <w:t xml:space="preserve"> </w:t>
      </w:r>
      <w:r>
        <w:t>It could then expand to a small set of relatively high</w:t>
      </w:r>
      <w:r>
        <w:noBreakHyphen/>
        <w:t>reward and low</w:t>
      </w:r>
      <w:r>
        <w:noBreakHyphen/>
        <w:t>risk projects. Taking this gradual approach would build confidence in the potential of prevention and early intervention.</w:t>
      </w:r>
      <w:r w:rsidR="00DD3727">
        <w:t xml:space="preserve"> </w:t>
      </w:r>
    </w:p>
    <w:p w14:paraId="41F620F4" w14:textId="2F34CBCF" w:rsidR="00B809D1" w:rsidRDefault="00B809D1">
      <w:pPr>
        <w:pStyle w:val="FigureTableHeading"/>
      </w:pPr>
      <w:r>
        <w:lastRenderedPageBreak/>
        <w:t>Figure 3.6</w:t>
      </w:r>
      <w:r>
        <w:rPr>
          <w:noProof/>
        </w:rPr>
        <w:t xml:space="preserve"> </w:t>
      </w:r>
      <w:r>
        <w:t>– Implementation plan over short, medium and long term</w:t>
      </w:r>
      <w:r w:rsidDel="00B35ACB">
        <w:rPr>
          <w:rStyle w:val="CommentReference"/>
          <w:sz w:val="20"/>
          <w:szCs w:val="18"/>
        </w:rPr>
        <w:t xml:space="preserve"> </w:t>
      </w:r>
    </w:p>
    <w:p w14:paraId="1A5AF6B4" w14:textId="28C49A74" w:rsidR="00B809D1" w:rsidRDefault="00C91CB3" w:rsidP="005B47A5">
      <w:pPr>
        <w:pStyle w:val="BodyText"/>
      </w:pPr>
      <w:r w:rsidRPr="00C91CB3">
        <w:rPr>
          <w:noProof/>
        </w:rPr>
        <w:drawing>
          <wp:inline distT="0" distB="0" distL="0" distR="0" wp14:anchorId="168523CB" wp14:editId="783B8647">
            <wp:extent cx="6120130" cy="6686550"/>
            <wp:effectExtent l="0" t="0" r="0" b="0"/>
            <wp:docPr id="364743120" name="Picture 2" descr="The implementation plan has four aims: &#10;1. Set up data and modelling infrastructure to enable assessment and evaluation of prevention and early intervention &#10;2. Improve capability within government to assess prevention and early intervention&#10;3. Set up Prevention and Early Intervention Framework Advisory Board and supporting frameworks&#10;4. Establish funding arrangements to support joint intergovernmental investment &#10;&#10;The first aim involves three steps: &#10;1. Integrate administrative data from Australian, state and territory governments. Lead agency is Australian Government Actuary. This should be done in the short term (2026-27). &#10;2. Develop actuarial microsimulation model to project selected service use costs for priority populations at the federal and state level. Lead agency should be Australian Government Actuary and should be done in the short term (2028-30). &#10;3. Extend actuarial microsimulation model to whole-of-population and project lifetime government expenditure and key outcomes across major service domains. Lead agency should be Australian Government Actuary and should be done in the medium term (2028-30). &#10;&#10;Second aim involves the following steps. &#10;1. Establish a prevention and early intervention assessment team within Treasury. Lead agency should be Treasury and should be done in the short term (2026-37).&#10;2. Develop standardised guidelines for the cost benefit analysis of prevention and early intervention. Lead agency should be the prevention and early intervention assessment team. Should be done in the short term (2026-27). &#10;3. Develop a cultural safety framework that sets out how agencies should partner with and incorporate Aboriginal and Torres Strait Islander data and outcomes. Lead agency should be Treasury. Should be done in the short term (2026-27).&#10;&#10;The third aim involves the following steps. &#10;1. Establish Prevention Framework Advisory Board (PEIFAB) to develop framework and then commence reviewing proposals. Lead agency should be Treasury. Should be done in the short term (2026-27).&#10;2. Develop a prevention and early intervention prioritisation framework. Lead agency should be PEIFAB. Should be done in the short term (2026-27).&#10;&#10;The fourth aim involves the following steps. &#10;1. Develop and agree to an overarching intergovernmental agreement with states and territories. Lead agency should be Treasury. Should be done in the short term (2026-27).&#10;2. Establish a National Prevention and Early Intervention Fund for joint Commonwealth state investments. Start with a few jurisdictions and high return programs. Lead agency should be Treasury. Should be done in the short term (2026-27). &#10;3. Negotiate funding schedules to support payments from fund and determine state co contribution requirements. Lead agency should be Treasury. Should be done in the short term (2026-27). &#10;4. Expand size of fund over time to include more jurisdictions and programs. Lead agency should be Treasury. Should be done in the medium term (2028-30).&#10;5. Modify existing FFAs to allocate a portion of funds to prevention and early intervention on an ongoing basis. Lead agency should be Treasury. Should be done in the longer term (2031-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43120" name="Picture 2" descr="The implementation plan has four aims: &#10;1. Set up data and modelling infrastructure to enable assessment and evaluation of prevention and early intervention &#10;2. Improve capability within government to assess prevention and early intervention&#10;3. Set up Prevention and Early Intervention Framework Advisory Board and supporting frameworks&#10;4. Establish funding arrangements to support joint intergovernmental investment &#10;&#10;The first aim involves three steps: &#10;1. Integrate administrative data from Australian, state and territory governments. Lead agency is Australian Government Actuary. This should be done in the short term (2026-27). &#10;2. Develop actuarial microsimulation model to project selected service use costs for priority populations at the federal and state level. Lead agency should be Australian Government Actuary and should be done in the short term (2028-30). &#10;3. Extend actuarial microsimulation model to whole-of-population and project lifetime government expenditure and key outcomes across major service domains. Lead agency should be Australian Government Actuary and should be done in the medium term (2028-30). &#10;&#10;Second aim involves the following steps. &#10;1. Establish a prevention and early intervention assessment team within Treasury. Lead agency should be Treasury and should be done in the short term (2026-37).&#10;2. Develop standardised guidelines for the cost benefit analysis of prevention and early intervention. Lead agency should be the prevention and early intervention assessment team. Should be done in the short term (2026-27). &#10;3. Develop a cultural safety framework that sets out how agencies should partner with and incorporate Aboriginal and Torres Strait Islander data and outcomes. Lead agency should be Treasury. Should be done in the short term (2026-27).&#10;&#10;The third aim involves the following steps. &#10;1. Establish Prevention Framework Advisory Board (PEIFAB) to develop framework and then commence reviewing proposals. Lead agency should be Treasury. Should be done in the short term (2026-27).&#10;2. Develop a prevention and early intervention prioritisation framework. Lead agency should be PEIFAB. Should be done in the short term (2026-27).&#10;&#10;The fourth aim involves the following steps. &#10;1. Develop and agree to an overarching intergovernmental agreement with states and territories. Lead agency should be Treasury. Should be done in the short term (2026-27).&#10;2. Establish a National Prevention and Early Intervention Fund for joint Commonwealth state investments. Start with a few jurisdictions and high return programs. Lead agency should be Treasury. Should be done in the short term (2026-27). &#10;3. Negotiate funding schedules to support payments from fund and determine state co contribution requirements. Lead agency should be Treasury. Should be done in the short term (2026-27). &#10;4. Expand size of fund over time to include more jurisdictions and programs. Lead agency should be Treasury. Should be done in the medium term (2028-30).&#10;5. Modify existing FFAs to allocate a portion of funds to prevention and early intervention on an ongoing basis. Lead agency should be Treasury. Should be done in the longer term (2031-32).&#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6686550"/>
                    </a:xfrm>
                    <a:prstGeom prst="rect">
                      <a:avLst/>
                    </a:prstGeom>
                    <a:noFill/>
                    <a:ln>
                      <a:noFill/>
                    </a:ln>
                  </pic:spPr>
                </pic:pic>
              </a:graphicData>
            </a:graphic>
          </wp:inline>
        </w:drawing>
      </w:r>
    </w:p>
    <w:p w14:paraId="2EB70480" w14:textId="0CF6F3C3" w:rsidR="00B809D1" w:rsidRDefault="00B809D1">
      <w:pPr>
        <w:pStyle w:val="Note"/>
        <w:keepLines/>
      </w:pPr>
      <w:r w:rsidRPr="007B3F9F">
        <w:t>While the</w:t>
      </w:r>
      <w:r w:rsidRPr="007B3F9F" w:rsidDel="00A32305">
        <w:t xml:space="preserve"> </w:t>
      </w:r>
      <w:r w:rsidR="00A32305">
        <w:t>figure</w:t>
      </w:r>
      <w:r w:rsidRPr="007B3F9F">
        <w:t xml:space="preserve"> lists a single lead agency for these steps, many of these actions will require engagement with other parts and levels of governments, as well as community and sector specific stakeholders.</w:t>
      </w:r>
      <w:r>
        <w:t xml:space="preserve"> </w:t>
      </w:r>
    </w:p>
    <w:p w14:paraId="455E46D9" w14:textId="77777777" w:rsidR="003631EC" w:rsidRDefault="003631EC">
      <w:pPr>
        <w:spacing w:before="0" w:after="160" w:line="259" w:lineRule="auto"/>
        <w:sectPr w:rsidR="003631EC" w:rsidSect="009C5CAD">
          <w:headerReference w:type="even" r:id="rId86"/>
          <w:headerReference w:type="default" r:id="rId87"/>
          <w:footerReference w:type="even" r:id="rId88"/>
          <w:footerReference w:type="default" r:id="rId89"/>
          <w:headerReference w:type="first" r:id="rId90"/>
          <w:type w:val="oddPage"/>
          <w:pgSz w:w="11906" w:h="16838" w:code="9"/>
          <w:pgMar w:top="1134" w:right="1134" w:bottom="1134" w:left="1134" w:header="794" w:footer="510" w:gutter="0"/>
          <w:cols w:space="708"/>
          <w:docGrid w:linePitch="360"/>
        </w:sectPr>
      </w:pPr>
    </w:p>
    <w:p w14:paraId="3E346350" w14:textId="77777777" w:rsidR="00B809D1" w:rsidRDefault="00B809D1">
      <w:pPr>
        <w:spacing w:before="0" w:after="160" w:line="259" w:lineRule="auto"/>
      </w:pPr>
    </w:p>
    <w:p w14:paraId="28D0FA22" w14:textId="77777777" w:rsidR="003631EC" w:rsidRPr="00E031BB" w:rsidRDefault="003631EC">
      <w:pPr>
        <w:spacing w:before="0" w:after="160" w:line="259" w:lineRule="auto"/>
      </w:pPr>
    </w:p>
    <w:p w14:paraId="3E14237B" w14:textId="77777777" w:rsidR="005A697A" w:rsidRDefault="005A697A" w:rsidP="00A4030B">
      <w:pPr>
        <w:pStyle w:val="DraftingNote"/>
        <w:rPr>
          <w:noProof/>
        </w:rPr>
        <w:sectPr w:rsidR="005A697A" w:rsidSect="003631EC">
          <w:headerReference w:type="even" r:id="rId91"/>
          <w:pgSz w:w="11906" w:h="16838" w:code="9"/>
          <w:pgMar w:top="1134" w:right="1134" w:bottom="1134" w:left="1134" w:header="794" w:footer="510" w:gutter="0"/>
          <w:cols w:space="708"/>
          <w:docGrid w:linePitch="360"/>
        </w:sectPr>
      </w:pPr>
    </w:p>
    <w:p w14:paraId="77626B47" w14:textId="44207EA4" w:rsidR="000D1768" w:rsidRDefault="00E82ED9" w:rsidP="00E82ED9">
      <w:pPr>
        <w:pStyle w:val="Title"/>
        <w:spacing w:before="1680"/>
        <w:rPr>
          <w:rFonts w:ascii="Open Sans Extrabold" w:hAnsi="Open Sans Extrabold" w:cs="Open Sans Extrabold"/>
          <w:b/>
          <w:bCs/>
          <w:color w:val="1C4373" w:themeColor="background2" w:themeShade="BF"/>
          <w:kern w:val="0"/>
          <w:sz w:val="56"/>
        </w:rPr>
      </w:pPr>
      <w:bookmarkStart w:id="97" w:name="_Hlk216122145"/>
      <w:r w:rsidRPr="000D1768">
        <w:rPr>
          <w:rFonts w:ascii="Open Sans Extrabold" w:hAnsi="Open Sans Extrabold" w:cs="Open Sans Extrabold"/>
          <w:b/>
          <w:bCs/>
          <w:color w:val="1C4373" w:themeColor="background2" w:themeShade="BF"/>
          <w:kern w:val="0"/>
          <w:sz w:val="56"/>
        </w:rPr>
        <w:lastRenderedPageBreak/>
        <w:t>Appendi</w:t>
      </w:r>
      <w:r>
        <w:rPr>
          <w:rFonts w:ascii="Open Sans Extrabold" w:hAnsi="Open Sans Extrabold" w:cs="Open Sans Extrabold"/>
          <w:b/>
          <w:bCs/>
          <w:color w:val="1C4373" w:themeColor="background2" w:themeShade="BF"/>
          <w:kern w:val="0"/>
          <w:sz w:val="56"/>
        </w:rPr>
        <w:t>ces</w:t>
      </w:r>
    </w:p>
    <w:p w14:paraId="16C8F637" w14:textId="77777777" w:rsidR="00C87D7F" w:rsidRDefault="00C87D7F" w:rsidP="00C87D7F">
      <w:pPr>
        <w:sectPr w:rsidR="00C87D7F" w:rsidSect="000D1768">
          <w:headerReference w:type="even" r:id="rId92"/>
          <w:headerReference w:type="default" r:id="rId93"/>
          <w:pgSz w:w="11906" w:h="16838" w:code="9"/>
          <w:pgMar w:top="1134" w:right="1134" w:bottom="1134" w:left="1134" w:header="794" w:footer="510" w:gutter="0"/>
          <w:cols w:space="708"/>
          <w:docGrid w:linePitch="360"/>
        </w:sectPr>
      </w:pPr>
    </w:p>
    <w:p w14:paraId="6887CC95" w14:textId="77777777" w:rsidR="00C87D7F" w:rsidRDefault="00C87D7F" w:rsidP="00C87D7F"/>
    <w:p w14:paraId="3A6383ED" w14:textId="77777777" w:rsidR="00C87D7F" w:rsidRPr="00C87D7F" w:rsidRDefault="00C87D7F" w:rsidP="00C87D7F"/>
    <w:p w14:paraId="15BA7B95" w14:textId="77777777" w:rsidR="000D1768" w:rsidRDefault="000D1768" w:rsidP="000D1768">
      <w:pPr>
        <w:pStyle w:val="BodyText"/>
        <w:rPr>
          <w:noProof/>
        </w:rPr>
        <w:sectPr w:rsidR="000D1768" w:rsidSect="000D1768">
          <w:headerReference w:type="even" r:id="rId94"/>
          <w:pgSz w:w="11906" w:h="16838" w:code="9"/>
          <w:pgMar w:top="1134" w:right="1134" w:bottom="1134" w:left="1134" w:header="794" w:footer="510" w:gutter="0"/>
          <w:cols w:space="708"/>
          <w:docGrid w:linePitch="360"/>
        </w:sectPr>
      </w:pPr>
    </w:p>
    <w:p w14:paraId="59419D42" w14:textId="3E1E8A85" w:rsidR="005A697A" w:rsidRDefault="005A697A" w:rsidP="0059008E">
      <w:pPr>
        <w:pStyle w:val="Heading-Appendix"/>
      </w:pPr>
      <w:bookmarkStart w:id="98" w:name="_Toc215671177"/>
      <w:bookmarkStart w:id="99" w:name="_Toc215838140"/>
      <w:bookmarkEnd w:id="97"/>
      <w:r>
        <w:lastRenderedPageBreak/>
        <w:t xml:space="preserve">Public </w:t>
      </w:r>
      <w:r w:rsidR="00F53787">
        <w:t>c</w:t>
      </w:r>
      <w:r>
        <w:t>onsultation</w:t>
      </w:r>
      <w:bookmarkEnd w:id="98"/>
      <w:bookmarkEnd w:id="99"/>
    </w:p>
    <w:p w14:paraId="453AE037" w14:textId="2C903DC2" w:rsidR="005A697A" w:rsidRPr="00B249EF" w:rsidRDefault="005A697A">
      <w:pPr>
        <w:pStyle w:val="BodyText"/>
        <w:rPr>
          <w:spacing w:val="2"/>
        </w:rPr>
      </w:pPr>
      <w:r w:rsidRPr="00B249EF">
        <w:rPr>
          <w:spacing w:val="2"/>
        </w:rPr>
        <w:t>This appendix outlines the consultation process and lists the organisations and individuals who participated in the inquiry. The PC received the terms of reference for this inquiry on 13 December 2024. We held 111</w:t>
      </w:r>
      <w:r w:rsidR="00B249EF" w:rsidRPr="00B249EF">
        <w:rPr>
          <w:spacing w:val="2"/>
        </w:rPr>
        <w:t> </w:t>
      </w:r>
      <w:r w:rsidRPr="00B249EF">
        <w:rPr>
          <w:spacing w:val="2"/>
        </w:rPr>
        <w:t xml:space="preserve">meetings with 82 individual organisations (table A.1) and held three roundtables (table A.2). A consultation questionnaire was released on 19 May 2025 seeking feedback on specific aspects of our policy reform areas. The interim report was released on 13 August 2025, with feedback invited via a call for submissions. In total, 257 submissions (table A.3) and 96 questionnaire responses (table A.4) were received. </w:t>
      </w:r>
      <w:hyperlink r:id="rId95" w:history="1">
        <w:r w:rsidRPr="00B249EF">
          <w:rPr>
            <w:rStyle w:val="Hyperlink"/>
            <w:spacing w:val="2"/>
          </w:rPr>
          <w:t>Read submissions and questionnaire responses</w:t>
        </w:r>
      </w:hyperlink>
      <w:r w:rsidR="00B249EF" w:rsidRPr="00B249EF">
        <w:rPr>
          <w:spacing w:val="2"/>
        </w:rPr>
        <w:t>.</w:t>
      </w:r>
    </w:p>
    <w:p w14:paraId="7EB885C1" w14:textId="77777777" w:rsidR="005A697A" w:rsidRDefault="005A697A">
      <w:pPr>
        <w:pStyle w:val="BodyText"/>
      </w:pPr>
      <w:r w:rsidRPr="00377893">
        <w:t xml:space="preserve">The </w:t>
      </w:r>
      <w:r>
        <w:t xml:space="preserve">PC </w:t>
      </w:r>
      <w:r w:rsidRPr="00377893">
        <w:t xml:space="preserve">would like to thank everyone who </w:t>
      </w:r>
      <w:r>
        <w:t xml:space="preserve">has </w:t>
      </w:r>
      <w:r w:rsidRPr="00377893">
        <w:t>participated in this inquiry</w:t>
      </w:r>
      <w:r>
        <w:t>.</w:t>
      </w:r>
    </w:p>
    <w:p w14:paraId="07F02CE9" w14:textId="77777777" w:rsidR="005A697A" w:rsidRDefault="005A697A">
      <w:pPr>
        <w:pStyle w:val="FigureTableHeading"/>
        <w:rPr>
          <w:bCs/>
          <w:color w:val="auto"/>
        </w:rPr>
      </w:pPr>
      <w:r>
        <w:rPr>
          <w:bCs/>
          <w:color w:val="auto"/>
        </w:rPr>
        <w:t>Table A.1 – Consultations</w:t>
      </w:r>
    </w:p>
    <w:tbl>
      <w:tblPr>
        <w:tblW w:w="0" w:type="auto"/>
        <w:tblBorders>
          <w:bottom w:val="single" w:sz="4" w:space="0" w:color="D9D9D9" w:themeColor="background1" w:themeShade="D9"/>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5A697A" w:rsidRPr="00BC1697" w14:paraId="6CEBE86A" w14:textId="77777777">
        <w:trPr>
          <w:tblHeader/>
        </w:trPr>
        <w:tc>
          <w:tcPr>
            <w:tcW w:w="9638" w:type="dxa"/>
            <w:tcBorders>
              <w:bottom w:val="single" w:sz="4" w:space="0" w:color="BFBFBF" w:themeColor="background1" w:themeShade="BF"/>
            </w:tcBorders>
            <w:shd w:val="clear" w:color="000000" w:fill="auto"/>
            <w:vAlign w:val="bottom"/>
          </w:tcPr>
          <w:p w14:paraId="23F79A6C" w14:textId="77777777" w:rsidR="005A697A" w:rsidRPr="00BC1697" w:rsidRDefault="005A697A">
            <w:pPr>
              <w:pStyle w:val="FigureTableHeading"/>
              <w:spacing w:before="45" w:after="45"/>
              <w:ind w:left="57" w:right="108"/>
              <w:rPr>
                <w:rFonts w:ascii="Arial (Body)" w:hAnsi="Arial (Body)"/>
                <w:b/>
                <w:bCs/>
                <w:color w:val="265A9A"/>
                <w:sz w:val="18"/>
              </w:rPr>
            </w:pPr>
            <w:r w:rsidRPr="00BC1697">
              <w:rPr>
                <w:rFonts w:ascii="Arial (Body)" w:hAnsi="Arial (Body)"/>
                <w:b/>
                <w:bCs/>
                <w:color w:val="265A9A"/>
                <w:sz w:val="18"/>
              </w:rPr>
              <w:t>Participants</w:t>
            </w:r>
          </w:p>
        </w:tc>
      </w:tr>
      <w:tr w:rsidR="005A697A" w:rsidRPr="00BC1697" w14:paraId="0329B718" w14:textId="77777777" w:rsidTr="003D6472">
        <w:trPr>
          <w:tblHeader/>
        </w:trPr>
        <w:tc>
          <w:tcPr>
            <w:tcW w:w="9638" w:type="dxa"/>
            <w:tcBorders>
              <w:top w:val="single" w:sz="4" w:space="0" w:color="BFBFBF" w:themeColor="background1" w:themeShade="BF"/>
            </w:tcBorders>
            <w:shd w:val="clear" w:color="auto" w:fill="E6E6E6"/>
            <w:vAlign w:val="bottom"/>
          </w:tcPr>
          <w:p w14:paraId="314019C7"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Aged Care Quality and Safety Commission (ACQSC)</w:t>
            </w:r>
          </w:p>
        </w:tc>
      </w:tr>
      <w:tr w:rsidR="005A697A" w:rsidRPr="00BC1697" w14:paraId="2EB5DD39" w14:textId="77777777">
        <w:trPr>
          <w:tblHeader/>
        </w:trPr>
        <w:tc>
          <w:tcPr>
            <w:tcW w:w="9638" w:type="dxa"/>
            <w:shd w:val="clear" w:color="000000" w:fill="auto"/>
            <w:vAlign w:val="bottom"/>
          </w:tcPr>
          <w:p w14:paraId="7261D85A"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Ageing Australia</w:t>
            </w:r>
          </w:p>
        </w:tc>
      </w:tr>
      <w:tr w:rsidR="005A697A" w:rsidRPr="00BC1697" w14:paraId="72A1664E" w14:textId="77777777" w:rsidTr="003D6472">
        <w:trPr>
          <w:tblHeader/>
        </w:trPr>
        <w:tc>
          <w:tcPr>
            <w:tcW w:w="9638" w:type="dxa"/>
            <w:shd w:val="clear" w:color="auto" w:fill="E6E6E6"/>
            <w:vAlign w:val="bottom"/>
          </w:tcPr>
          <w:p w14:paraId="11F4AD1A"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Australian Council of Social Service (ACOSS)</w:t>
            </w:r>
          </w:p>
        </w:tc>
      </w:tr>
      <w:tr w:rsidR="005A697A" w:rsidRPr="00BC1697" w14:paraId="5E241E31" w14:textId="77777777">
        <w:trPr>
          <w:tblHeader/>
        </w:trPr>
        <w:tc>
          <w:tcPr>
            <w:tcW w:w="9638" w:type="dxa"/>
            <w:shd w:val="clear" w:color="000000" w:fill="auto"/>
            <w:vAlign w:val="bottom"/>
          </w:tcPr>
          <w:p w14:paraId="34DEB074"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Australian Council of Trade Unions (ACTU)</w:t>
            </w:r>
          </w:p>
        </w:tc>
      </w:tr>
      <w:tr w:rsidR="005A697A" w:rsidRPr="00BC1697" w14:paraId="695C4810" w14:textId="77777777" w:rsidTr="003D6472">
        <w:trPr>
          <w:tblHeader/>
        </w:trPr>
        <w:tc>
          <w:tcPr>
            <w:tcW w:w="9638" w:type="dxa"/>
            <w:shd w:val="clear" w:color="auto" w:fill="E6E6E6"/>
            <w:vAlign w:val="bottom"/>
          </w:tcPr>
          <w:p w14:paraId="2AA725A7" w14:textId="77777777" w:rsidR="005A697A" w:rsidRPr="00BC1697" w:rsidRDefault="005A697A">
            <w:pPr>
              <w:pStyle w:val="TableHeading"/>
              <w:spacing w:before="45" w:after="45"/>
              <w:ind w:right="108"/>
              <w:rPr>
                <w:rFonts w:ascii="Arial (Body)" w:hAnsi="Arial (Body)"/>
                <w:b w:val="0"/>
                <w:bCs/>
                <w:color w:val="auto"/>
              </w:rPr>
            </w:pPr>
            <w:r>
              <w:rPr>
                <w:rFonts w:ascii="Arial (Body)" w:hAnsi="Arial (Body)"/>
                <w:b w:val="0"/>
                <w:bCs/>
                <w:color w:val="auto"/>
              </w:rPr>
              <w:t>Australian Government Actuary</w:t>
            </w:r>
          </w:p>
        </w:tc>
      </w:tr>
      <w:tr w:rsidR="005A697A" w:rsidRPr="00BC1697" w14:paraId="4AD367B8" w14:textId="77777777">
        <w:trPr>
          <w:tblHeader/>
        </w:trPr>
        <w:tc>
          <w:tcPr>
            <w:tcW w:w="9638" w:type="dxa"/>
            <w:shd w:val="clear" w:color="000000" w:fill="auto"/>
            <w:vAlign w:val="bottom"/>
          </w:tcPr>
          <w:p w14:paraId="14458A32"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Australian Government Aged Care Quality and Safety Commission</w:t>
            </w:r>
          </w:p>
        </w:tc>
      </w:tr>
      <w:tr w:rsidR="005A697A" w:rsidRPr="00BC1697" w14:paraId="27942757" w14:textId="77777777" w:rsidTr="003D6472">
        <w:trPr>
          <w:tblHeader/>
        </w:trPr>
        <w:tc>
          <w:tcPr>
            <w:tcW w:w="9638" w:type="dxa"/>
            <w:shd w:val="clear" w:color="auto" w:fill="E6E6E6"/>
            <w:vAlign w:val="bottom"/>
          </w:tcPr>
          <w:p w14:paraId="2B3EE998" w14:textId="77777777" w:rsidR="005A697A" w:rsidRPr="005C34EE" w:rsidRDefault="005A697A">
            <w:pPr>
              <w:pStyle w:val="TableHeading"/>
              <w:spacing w:before="45" w:after="45"/>
              <w:ind w:right="108"/>
              <w:rPr>
                <w:rFonts w:ascii="Arial (Body)" w:hAnsi="Arial (Body)"/>
                <w:b w:val="0"/>
                <w:bCs/>
                <w:color w:val="auto"/>
              </w:rPr>
            </w:pPr>
            <w:r>
              <w:rPr>
                <w:rFonts w:ascii="Arial (Body)" w:hAnsi="Arial (Body)"/>
                <w:b w:val="0"/>
                <w:bCs/>
                <w:color w:val="auto"/>
              </w:rPr>
              <w:t xml:space="preserve">Australian Government </w:t>
            </w:r>
            <w:r w:rsidRPr="005C34EE">
              <w:rPr>
                <w:rFonts w:ascii="Arial (Body)" w:hAnsi="Arial (Body)"/>
                <w:b w:val="0"/>
                <w:bCs/>
                <w:color w:val="auto"/>
              </w:rPr>
              <w:t>Attorney General's Department</w:t>
            </w:r>
          </w:p>
        </w:tc>
      </w:tr>
      <w:tr w:rsidR="005A697A" w:rsidRPr="00BC1697" w14:paraId="54640A7A" w14:textId="77777777">
        <w:trPr>
          <w:tblHeader/>
        </w:trPr>
        <w:tc>
          <w:tcPr>
            <w:tcW w:w="9638" w:type="dxa"/>
            <w:shd w:val="clear" w:color="000000" w:fill="auto"/>
            <w:vAlign w:val="bottom"/>
          </w:tcPr>
          <w:p w14:paraId="79B5F424"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Australian Government Department of Education</w:t>
            </w:r>
          </w:p>
        </w:tc>
      </w:tr>
      <w:tr w:rsidR="005A697A" w:rsidRPr="00BC1697" w14:paraId="2C5B7C87" w14:textId="77777777" w:rsidTr="003D6472">
        <w:trPr>
          <w:tblHeader/>
        </w:trPr>
        <w:tc>
          <w:tcPr>
            <w:tcW w:w="9638" w:type="dxa"/>
            <w:shd w:val="clear" w:color="auto" w:fill="E6E6E6"/>
            <w:vAlign w:val="bottom"/>
          </w:tcPr>
          <w:p w14:paraId="1CF2DED6"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Australian Government Department of Finance</w:t>
            </w:r>
          </w:p>
        </w:tc>
      </w:tr>
      <w:tr w:rsidR="005A697A" w:rsidRPr="00BC1697" w14:paraId="4015A096" w14:textId="77777777">
        <w:trPr>
          <w:tblHeader/>
        </w:trPr>
        <w:tc>
          <w:tcPr>
            <w:tcW w:w="9638" w:type="dxa"/>
            <w:shd w:val="clear" w:color="000000" w:fill="auto"/>
            <w:vAlign w:val="bottom"/>
          </w:tcPr>
          <w:p w14:paraId="4CC51724"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Australian Government Department of Health, Disability and Ageing</w:t>
            </w:r>
          </w:p>
        </w:tc>
      </w:tr>
      <w:tr w:rsidR="005A697A" w:rsidRPr="00BC1697" w14:paraId="5D3CB5A7" w14:textId="77777777" w:rsidTr="003D6472">
        <w:trPr>
          <w:tblHeader/>
        </w:trPr>
        <w:tc>
          <w:tcPr>
            <w:tcW w:w="9638" w:type="dxa"/>
            <w:shd w:val="clear" w:color="auto" w:fill="E6E6E6"/>
            <w:vAlign w:val="bottom"/>
          </w:tcPr>
          <w:p w14:paraId="18BE7289"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Australian Government Department of Social Services (DSS)</w:t>
            </w:r>
          </w:p>
        </w:tc>
      </w:tr>
      <w:tr w:rsidR="005A697A" w:rsidRPr="00BC1697" w14:paraId="2BAF6465" w14:textId="77777777">
        <w:trPr>
          <w:tblHeader/>
        </w:trPr>
        <w:tc>
          <w:tcPr>
            <w:tcW w:w="9638" w:type="dxa"/>
            <w:shd w:val="clear" w:color="000000" w:fill="auto"/>
            <w:vAlign w:val="bottom"/>
          </w:tcPr>
          <w:p w14:paraId="7D11B73C" w14:textId="03C4C606"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 xml:space="preserve">Australian Government Department of the Prime Minister </w:t>
            </w:r>
            <w:r w:rsidR="0000226A">
              <w:rPr>
                <w:rFonts w:ascii="Arial (Body)" w:hAnsi="Arial (Body)"/>
                <w:b w:val="0"/>
                <w:bCs/>
                <w:color w:val="auto"/>
              </w:rPr>
              <w:t>and</w:t>
            </w:r>
            <w:r w:rsidRPr="005C34EE">
              <w:rPr>
                <w:rFonts w:ascii="Arial (Body)" w:hAnsi="Arial (Body)"/>
                <w:b w:val="0"/>
                <w:bCs/>
                <w:color w:val="auto"/>
              </w:rPr>
              <w:t xml:space="preserve"> Cabinet (PM&amp;C)</w:t>
            </w:r>
          </w:p>
        </w:tc>
      </w:tr>
      <w:tr w:rsidR="005A697A" w:rsidRPr="00BC1697" w14:paraId="004BCDF2" w14:textId="77777777" w:rsidTr="003D6472">
        <w:trPr>
          <w:tblHeader/>
        </w:trPr>
        <w:tc>
          <w:tcPr>
            <w:tcW w:w="9638" w:type="dxa"/>
            <w:shd w:val="clear" w:color="auto" w:fill="E6E6E6"/>
            <w:vAlign w:val="bottom"/>
          </w:tcPr>
          <w:p w14:paraId="02AB4A3E" w14:textId="5C3C7754"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Australian Government Department of Veterans</w:t>
            </w:r>
            <w:r w:rsidR="000963C1">
              <w:rPr>
                <w:rFonts w:ascii="Arial (Body)" w:hAnsi="Arial (Body)"/>
                <w:b w:val="0"/>
                <w:bCs/>
                <w:color w:val="auto"/>
              </w:rPr>
              <w:t>’</w:t>
            </w:r>
            <w:r w:rsidRPr="005C34EE">
              <w:rPr>
                <w:rFonts w:ascii="Arial (Body)" w:hAnsi="Arial (Body)"/>
                <w:b w:val="0"/>
                <w:bCs/>
                <w:color w:val="auto"/>
              </w:rPr>
              <w:t xml:space="preserve"> Affairs (DVA)</w:t>
            </w:r>
          </w:p>
        </w:tc>
      </w:tr>
      <w:tr w:rsidR="005A697A" w:rsidRPr="00BC1697" w14:paraId="657DD438" w14:textId="77777777">
        <w:trPr>
          <w:tblHeader/>
        </w:trPr>
        <w:tc>
          <w:tcPr>
            <w:tcW w:w="9638" w:type="dxa"/>
            <w:shd w:val="clear" w:color="000000" w:fill="auto"/>
            <w:vAlign w:val="bottom"/>
          </w:tcPr>
          <w:p w14:paraId="772870D7"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Australian Government Treasury</w:t>
            </w:r>
          </w:p>
        </w:tc>
      </w:tr>
      <w:tr w:rsidR="005A697A" w:rsidRPr="00BC1697" w14:paraId="5E42A939" w14:textId="77777777" w:rsidTr="003D6472">
        <w:trPr>
          <w:tblHeader/>
        </w:trPr>
        <w:tc>
          <w:tcPr>
            <w:tcW w:w="9638" w:type="dxa"/>
            <w:shd w:val="clear" w:color="auto" w:fill="E6E6E6"/>
            <w:vAlign w:val="bottom"/>
          </w:tcPr>
          <w:p w14:paraId="27435C8F"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Australian Healthcare &amp; Hospitals Association (AHHA)</w:t>
            </w:r>
          </w:p>
        </w:tc>
      </w:tr>
      <w:tr w:rsidR="005A697A" w:rsidRPr="00BC1697" w14:paraId="6FDD85E4" w14:textId="77777777">
        <w:trPr>
          <w:tblHeader/>
        </w:trPr>
        <w:tc>
          <w:tcPr>
            <w:tcW w:w="9638" w:type="dxa"/>
            <w:tcBorders>
              <w:bottom w:val="nil"/>
            </w:tcBorders>
            <w:shd w:val="clear" w:color="000000" w:fill="auto"/>
            <w:vAlign w:val="bottom"/>
          </w:tcPr>
          <w:p w14:paraId="3E62D04A"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Australian Human Rights Commission (AHRC)</w:t>
            </w:r>
          </w:p>
        </w:tc>
      </w:tr>
      <w:tr w:rsidR="005A697A" w:rsidRPr="00BC1697" w14:paraId="12C8BDA9" w14:textId="77777777" w:rsidTr="003D6472">
        <w:trPr>
          <w:tblHeader/>
        </w:trPr>
        <w:tc>
          <w:tcPr>
            <w:tcW w:w="9638" w:type="dxa"/>
            <w:tcBorders>
              <w:bottom w:val="single" w:sz="4" w:space="0" w:color="BFBFBF" w:themeColor="background1" w:themeShade="BF"/>
            </w:tcBorders>
            <w:shd w:val="clear" w:color="auto" w:fill="E6E6E6"/>
            <w:vAlign w:val="bottom"/>
          </w:tcPr>
          <w:p w14:paraId="206661F5" w14:textId="77777777" w:rsidR="005A697A" w:rsidRPr="005C34EE"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Australian Institute of Health and Welfare (AIHW)</w:t>
            </w:r>
          </w:p>
        </w:tc>
      </w:tr>
    </w:tbl>
    <w:p w14:paraId="3A20C513" w14:textId="77777777" w:rsidR="005A697A" w:rsidRPr="00EB637B" w:rsidRDefault="005A697A">
      <w:pPr>
        <w:pStyle w:val="BodyText"/>
      </w:pP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5A697A" w:rsidRPr="00786300" w14:paraId="158E5506" w14:textId="77777777">
        <w:trPr>
          <w:tblHeader/>
        </w:trPr>
        <w:tc>
          <w:tcPr>
            <w:tcW w:w="9638" w:type="dxa"/>
            <w:tcBorders>
              <w:bottom w:val="single" w:sz="4" w:space="0" w:color="B3B3B3"/>
            </w:tcBorders>
            <w:shd w:val="clear" w:color="000000" w:fill="auto"/>
            <w:vAlign w:val="bottom"/>
          </w:tcPr>
          <w:p w14:paraId="16354B16" w14:textId="77777777" w:rsidR="005A697A" w:rsidRPr="00786300" w:rsidRDefault="005A697A">
            <w:pPr>
              <w:pStyle w:val="FigureTableHeading"/>
              <w:spacing w:before="45" w:after="45"/>
              <w:ind w:left="57" w:right="108"/>
              <w:rPr>
                <w:rFonts w:ascii="Arial (Body)" w:hAnsi="Arial (Body)"/>
                <w:b/>
                <w:bCs/>
                <w:color w:val="265A9A"/>
                <w:sz w:val="18"/>
              </w:rPr>
            </w:pPr>
            <w:r w:rsidRPr="00786300">
              <w:rPr>
                <w:rFonts w:ascii="Arial (Body)" w:hAnsi="Arial (Body)"/>
                <w:b/>
                <w:bCs/>
                <w:color w:val="265A9A"/>
                <w:sz w:val="18"/>
              </w:rPr>
              <w:lastRenderedPageBreak/>
              <w:t>Participants</w:t>
            </w:r>
          </w:p>
        </w:tc>
      </w:tr>
      <w:tr w:rsidR="005A697A" w:rsidRPr="00BC1697" w14:paraId="62F4B22E" w14:textId="77777777" w:rsidTr="003D6472">
        <w:trPr>
          <w:tblHeader/>
        </w:trPr>
        <w:tc>
          <w:tcPr>
            <w:tcW w:w="9638" w:type="dxa"/>
            <w:tcBorders>
              <w:top w:val="single" w:sz="4" w:space="0" w:color="B3B3B3"/>
              <w:bottom w:val="nil"/>
            </w:tcBorders>
            <w:shd w:val="clear" w:color="auto" w:fill="E6E6E6"/>
            <w:vAlign w:val="bottom"/>
          </w:tcPr>
          <w:p w14:paraId="10608C57" w14:textId="77777777" w:rsidR="005A697A" w:rsidRPr="00BC1697" w:rsidRDefault="005A697A">
            <w:pPr>
              <w:pStyle w:val="TableHeading"/>
              <w:spacing w:before="45" w:after="45"/>
              <w:ind w:right="108"/>
              <w:rPr>
                <w:rFonts w:ascii="Arial (Body)" w:hAnsi="Arial (Body)"/>
                <w:b w:val="0"/>
                <w:bCs/>
                <w:color w:val="auto"/>
              </w:rPr>
            </w:pPr>
            <w:r>
              <w:rPr>
                <w:rFonts w:ascii="Arial (Body)" w:hAnsi="Arial (Body)"/>
                <w:b w:val="0"/>
                <w:bCs/>
                <w:color w:val="auto"/>
              </w:rPr>
              <w:t>Assoc. Prof.</w:t>
            </w:r>
            <w:r w:rsidRPr="005C34EE">
              <w:rPr>
                <w:rFonts w:ascii="Arial (Body)" w:hAnsi="Arial (Body)"/>
                <w:b w:val="0"/>
                <w:bCs/>
                <w:color w:val="auto"/>
              </w:rPr>
              <w:t xml:space="preserve"> Ben Spies-Butcher</w:t>
            </w:r>
            <w:r>
              <w:rPr>
                <w:rFonts w:ascii="Arial (Body)" w:hAnsi="Arial (Body)"/>
                <w:b w:val="0"/>
                <w:bCs/>
                <w:color w:val="auto"/>
              </w:rPr>
              <w:t xml:space="preserve"> </w:t>
            </w:r>
            <w:r w:rsidRPr="005C34EE">
              <w:rPr>
                <w:rFonts w:ascii="Arial (Body)" w:hAnsi="Arial (Body)"/>
                <w:b w:val="0"/>
                <w:bCs/>
                <w:color w:val="auto"/>
              </w:rPr>
              <w:t>(Macquarie University)</w:t>
            </w:r>
          </w:p>
        </w:tc>
      </w:tr>
      <w:tr w:rsidR="005A697A" w:rsidRPr="00BC1697" w14:paraId="0AB4D0BD" w14:textId="77777777">
        <w:trPr>
          <w:tblHeader/>
        </w:trPr>
        <w:tc>
          <w:tcPr>
            <w:tcW w:w="9638" w:type="dxa"/>
            <w:tcBorders>
              <w:top w:val="nil"/>
              <w:bottom w:val="nil"/>
            </w:tcBorders>
            <w:shd w:val="clear" w:color="000000" w:fill="auto"/>
            <w:vAlign w:val="bottom"/>
          </w:tcPr>
          <w:p w14:paraId="606480FA" w14:textId="77777777" w:rsidR="005A697A" w:rsidRPr="005C34EE"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Better Health Network (BHN)</w:t>
            </w:r>
          </w:p>
        </w:tc>
      </w:tr>
      <w:tr w:rsidR="005A697A" w:rsidRPr="00BC1697" w14:paraId="25369075" w14:textId="77777777" w:rsidTr="003D6472">
        <w:trPr>
          <w:tblHeader/>
        </w:trPr>
        <w:tc>
          <w:tcPr>
            <w:tcW w:w="9638" w:type="dxa"/>
            <w:tcBorders>
              <w:bottom w:val="nil"/>
            </w:tcBorders>
            <w:shd w:val="clear" w:color="auto" w:fill="E6E6E6"/>
            <w:vAlign w:val="bottom"/>
          </w:tcPr>
          <w:p w14:paraId="55B894F0"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Boston Consulting Group (BCG)</w:t>
            </w:r>
          </w:p>
        </w:tc>
      </w:tr>
      <w:tr w:rsidR="005A697A" w:rsidRPr="00BC1697" w14:paraId="66277F0A" w14:textId="77777777">
        <w:trPr>
          <w:tblHeader/>
        </w:trPr>
        <w:tc>
          <w:tcPr>
            <w:tcW w:w="9638" w:type="dxa"/>
            <w:tcBorders>
              <w:top w:val="nil"/>
              <w:bottom w:val="nil"/>
            </w:tcBorders>
            <w:shd w:val="clear" w:color="000000" w:fill="auto"/>
            <w:vAlign w:val="bottom"/>
          </w:tcPr>
          <w:p w14:paraId="3950A71B" w14:textId="77777777" w:rsidR="005A697A" w:rsidRPr="00BC1697" w:rsidRDefault="005A697A">
            <w:pPr>
              <w:pStyle w:val="TableHeading"/>
              <w:spacing w:before="45" w:after="45"/>
              <w:ind w:right="108"/>
              <w:rPr>
                <w:rFonts w:ascii="Arial (Body)" w:hAnsi="Arial (Body)"/>
                <w:b w:val="0"/>
                <w:bCs/>
                <w:color w:val="auto"/>
              </w:rPr>
            </w:pPr>
            <w:r>
              <w:rPr>
                <w:rFonts w:ascii="Arial (Body)" w:hAnsi="Arial (Body)"/>
                <w:b w:val="0"/>
                <w:bCs/>
                <w:color w:val="auto"/>
              </w:rPr>
              <w:t xml:space="preserve">Prof. </w:t>
            </w:r>
            <w:r w:rsidRPr="005C34EE">
              <w:rPr>
                <w:rFonts w:ascii="Arial (Body)" w:hAnsi="Arial (Body)"/>
                <w:b w:val="0"/>
                <w:bCs/>
                <w:color w:val="auto"/>
              </w:rPr>
              <w:t>Bruce Bonyhady</w:t>
            </w:r>
            <w:r>
              <w:rPr>
                <w:rFonts w:ascii="Arial (Body)" w:hAnsi="Arial (Body)"/>
                <w:b w:val="0"/>
                <w:bCs/>
                <w:color w:val="auto"/>
              </w:rPr>
              <w:t xml:space="preserve"> (The University of Melbourne)</w:t>
            </w:r>
          </w:p>
        </w:tc>
      </w:tr>
      <w:tr w:rsidR="005A697A" w:rsidRPr="00BC1697" w14:paraId="2FE678E8" w14:textId="77777777" w:rsidTr="003D6472">
        <w:trPr>
          <w:tblHeader/>
        </w:trPr>
        <w:tc>
          <w:tcPr>
            <w:tcW w:w="9638" w:type="dxa"/>
            <w:tcBorders>
              <w:bottom w:val="nil"/>
            </w:tcBorders>
            <w:shd w:val="clear" w:color="auto" w:fill="E6E6E6"/>
            <w:vAlign w:val="bottom"/>
          </w:tcPr>
          <w:p w14:paraId="1441805F"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Burnet Institute</w:t>
            </w:r>
          </w:p>
        </w:tc>
      </w:tr>
      <w:tr w:rsidR="005A697A" w:rsidRPr="00BC1697" w14:paraId="53EE7C82" w14:textId="77777777">
        <w:trPr>
          <w:tblHeader/>
        </w:trPr>
        <w:tc>
          <w:tcPr>
            <w:tcW w:w="9638" w:type="dxa"/>
            <w:tcBorders>
              <w:top w:val="nil"/>
              <w:bottom w:val="nil"/>
            </w:tcBorders>
            <w:shd w:val="clear" w:color="000000" w:fill="auto"/>
            <w:vAlign w:val="bottom"/>
          </w:tcPr>
          <w:p w14:paraId="37B91F31"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 xml:space="preserve">Business Council of Australia (BCA) </w:t>
            </w:r>
          </w:p>
        </w:tc>
      </w:tr>
      <w:tr w:rsidR="005A697A" w:rsidRPr="00BC1697" w14:paraId="3D68A429" w14:textId="77777777" w:rsidTr="003D6472">
        <w:trPr>
          <w:tblHeader/>
        </w:trPr>
        <w:tc>
          <w:tcPr>
            <w:tcW w:w="9638" w:type="dxa"/>
            <w:tcBorders>
              <w:bottom w:val="nil"/>
            </w:tcBorders>
            <w:shd w:val="clear" w:color="auto" w:fill="E6E6E6"/>
            <w:vAlign w:val="bottom"/>
          </w:tcPr>
          <w:p w14:paraId="7F2B5BAB"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Care Economy CRC</w:t>
            </w:r>
            <w:r>
              <w:rPr>
                <w:rFonts w:ascii="Arial (Body)" w:hAnsi="Arial (Body)"/>
                <w:b w:val="0"/>
                <w:bCs/>
                <w:color w:val="auto"/>
              </w:rPr>
              <w:t xml:space="preserve"> (CE CRC)</w:t>
            </w:r>
          </w:p>
        </w:tc>
      </w:tr>
      <w:tr w:rsidR="005A697A" w:rsidRPr="00BC1697" w14:paraId="156D9A14" w14:textId="77777777">
        <w:trPr>
          <w:tblHeader/>
        </w:trPr>
        <w:tc>
          <w:tcPr>
            <w:tcW w:w="9638" w:type="dxa"/>
            <w:tcBorders>
              <w:top w:val="nil"/>
              <w:bottom w:val="nil"/>
            </w:tcBorders>
            <w:shd w:val="clear" w:color="000000" w:fill="auto"/>
            <w:vAlign w:val="bottom"/>
          </w:tcPr>
          <w:p w14:paraId="726E883E"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Central and Eastern Sydney Primary Health Network (CESPHN)</w:t>
            </w:r>
          </w:p>
        </w:tc>
      </w:tr>
      <w:tr w:rsidR="005A697A" w:rsidRPr="00BC1697" w14:paraId="6836DCA0" w14:textId="77777777" w:rsidTr="003D6472">
        <w:trPr>
          <w:tblHeader/>
        </w:trPr>
        <w:tc>
          <w:tcPr>
            <w:tcW w:w="9638" w:type="dxa"/>
            <w:tcBorders>
              <w:bottom w:val="nil"/>
            </w:tcBorders>
            <w:shd w:val="clear" w:color="auto" w:fill="E6E6E6"/>
            <w:vAlign w:val="bottom"/>
          </w:tcPr>
          <w:p w14:paraId="28BCA5F1"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Centre for Policy Development (CPD)</w:t>
            </w:r>
          </w:p>
        </w:tc>
      </w:tr>
      <w:tr w:rsidR="005A697A" w:rsidRPr="00BC1697" w14:paraId="67EFE68E" w14:textId="77777777">
        <w:trPr>
          <w:tblHeader/>
        </w:trPr>
        <w:tc>
          <w:tcPr>
            <w:tcW w:w="9638" w:type="dxa"/>
            <w:tcBorders>
              <w:top w:val="nil"/>
              <w:bottom w:val="nil"/>
            </w:tcBorders>
            <w:shd w:val="clear" w:color="000000" w:fill="auto"/>
            <w:vAlign w:val="bottom"/>
          </w:tcPr>
          <w:p w14:paraId="1BBACA4F"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Coalition of Aboriginal and Torres Strait Islander Peak Organisations (the Coalition of Peaks)</w:t>
            </w:r>
          </w:p>
        </w:tc>
      </w:tr>
      <w:tr w:rsidR="005A697A" w:rsidRPr="00BC1697" w14:paraId="5A842F68" w14:textId="77777777" w:rsidTr="003D6472">
        <w:trPr>
          <w:tblHeader/>
        </w:trPr>
        <w:tc>
          <w:tcPr>
            <w:tcW w:w="9638" w:type="dxa"/>
            <w:tcBorders>
              <w:bottom w:val="nil"/>
            </w:tcBorders>
            <w:shd w:val="clear" w:color="auto" w:fill="E6E6E6"/>
            <w:vAlign w:val="bottom"/>
          </w:tcPr>
          <w:p w14:paraId="796CB5B7"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Dr David Cullen</w:t>
            </w:r>
          </w:p>
        </w:tc>
      </w:tr>
      <w:tr w:rsidR="005A697A" w:rsidRPr="00BC1697" w14:paraId="6640E180" w14:textId="77777777">
        <w:trPr>
          <w:tblHeader/>
        </w:trPr>
        <w:tc>
          <w:tcPr>
            <w:tcW w:w="9638" w:type="dxa"/>
            <w:tcBorders>
              <w:top w:val="nil"/>
              <w:bottom w:val="nil"/>
            </w:tcBorders>
            <w:shd w:val="clear" w:color="000000" w:fill="auto"/>
            <w:vAlign w:val="bottom"/>
          </w:tcPr>
          <w:p w14:paraId="1C1B816D"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Diabetes Australia</w:t>
            </w:r>
          </w:p>
        </w:tc>
      </w:tr>
      <w:tr w:rsidR="005A697A" w:rsidRPr="00BC1697" w14:paraId="490AFD76" w14:textId="77777777" w:rsidTr="003D6472">
        <w:trPr>
          <w:tblHeader/>
        </w:trPr>
        <w:tc>
          <w:tcPr>
            <w:tcW w:w="9638" w:type="dxa"/>
            <w:tcBorders>
              <w:bottom w:val="nil"/>
            </w:tcBorders>
            <w:shd w:val="clear" w:color="auto" w:fill="E6E6E6"/>
            <w:vAlign w:val="bottom"/>
          </w:tcPr>
          <w:p w14:paraId="6217E076"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Disability Advocacy Network Australia (DANA)</w:t>
            </w:r>
          </w:p>
        </w:tc>
      </w:tr>
      <w:tr w:rsidR="005A697A" w:rsidRPr="00BC1697" w14:paraId="376E77B4" w14:textId="77777777">
        <w:trPr>
          <w:tblHeader/>
        </w:trPr>
        <w:tc>
          <w:tcPr>
            <w:tcW w:w="9638" w:type="dxa"/>
            <w:tcBorders>
              <w:top w:val="nil"/>
              <w:bottom w:val="nil"/>
            </w:tcBorders>
            <w:shd w:val="clear" w:color="000000" w:fill="auto"/>
            <w:vAlign w:val="bottom"/>
          </w:tcPr>
          <w:p w14:paraId="45AA759A" w14:textId="77777777" w:rsidR="005A697A" w:rsidRPr="00BC1697" w:rsidRDefault="005A697A">
            <w:pPr>
              <w:pStyle w:val="TableHeading"/>
              <w:spacing w:before="45" w:after="45"/>
              <w:ind w:right="108"/>
              <w:rPr>
                <w:rFonts w:ascii="Arial (Body)" w:hAnsi="Arial (Body)"/>
                <w:b w:val="0"/>
                <w:bCs/>
                <w:color w:val="auto"/>
              </w:rPr>
            </w:pPr>
            <w:r>
              <w:rPr>
                <w:rFonts w:ascii="Arial (Body)" w:hAnsi="Arial (Body)"/>
                <w:b w:val="0"/>
                <w:bCs/>
                <w:color w:val="auto"/>
              </w:rPr>
              <w:t>e61</w:t>
            </w:r>
          </w:p>
        </w:tc>
      </w:tr>
      <w:tr w:rsidR="005A697A" w:rsidRPr="00BC1697" w14:paraId="3B0626AE" w14:textId="77777777" w:rsidTr="003D6472">
        <w:trPr>
          <w:tblHeader/>
        </w:trPr>
        <w:tc>
          <w:tcPr>
            <w:tcW w:w="9638" w:type="dxa"/>
            <w:tcBorders>
              <w:bottom w:val="nil"/>
            </w:tcBorders>
            <w:shd w:val="clear" w:color="auto" w:fill="E6E6E6"/>
            <w:vAlign w:val="bottom"/>
          </w:tcPr>
          <w:p w14:paraId="23F2F74E" w14:textId="77777777" w:rsidR="005A697A" w:rsidRPr="005C34EE"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Eastern Melbourne Primary Health Network (EMPHN)</w:t>
            </w:r>
          </w:p>
        </w:tc>
      </w:tr>
      <w:tr w:rsidR="005A697A" w:rsidRPr="00BC1697" w14:paraId="7A73BCB4" w14:textId="77777777">
        <w:trPr>
          <w:tblHeader/>
        </w:trPr>
        <w:tc>
          <w:tcPr>
            <w:tcW w:w="9638" w:type="dxa"/>
            <w:tcBorders>
              <w:top w:val="nil"/>
              <w:bottom w:val="nil"/>
            </w:tcBorders>
            <w:shd w:val="clear" w:color="000000" w:fill="auto"/>
            <w:vAlign w:val="bottom"/>
          </w:tcPr>
          <w:p w14:paraId="7606B5A7" w14:textId="77777777" w:rsidR="005A697A" w:rsidRPr="005C34EE" w:rsidRDefault="005A697A">
            <w:pPr>
              <w:pStyle w:val="TableHeading"/>
              <w:spacing w:before="45" w:after="45"/>
              <w:ind w:right="108"/>
              <w:rPr>
                <w:rFonts w:ascii="Arial (Body)" w:hAnsi="Arial (Body)"/>
                <w:b w:val="0"/>
                <w:bCs/>
                <w:color w:val="auto"/>
              </w:rPr>
            </w:pPr>
            <w:r w:rsidRPr="00E63076">
              <w:rPr>
                <w:rFonts w:ascii="Arial (Body)" w:hAnsi="Arial (Body)"/>
                <w:b w:val="0"/>
                <w:bCs/>
                <w:color w:val="auto"/>
              </w:rPr>
              <w:t>Financial Counselling Victoria</w:t>
            </w:r>
            <w:r>
              <w:rPr>
                <w:rFonts w:ascii="Arial (Body)" w:hAnsi="Arial (Body)"/>
                <w:b w:val="0"/>
                <w:bCs/>
                <w:color w:val="auto"/>
              </w:rPr>
              <w:t xml:space="preserve"> (</w:t>
            </w:r>
            <w:proofErr w:type="spellStart"/>
            <w:r>
              <w:rPr>
                <w:rFonts w:ascii="Arial (Body)" w:hAnsi="Arial (Body)"/>
                <w:b w:val="0"/>
                <w:bCs/>
                <w:color w:val="auto"/>
              </w:rPr>
              <w:t>FCVic</w:t>
            </w:r>
            <w:proofErr w:type="spellEnd"/>
            <w:r>
              <w:rPr>
                <w:rFonts w:ascii="Arial (Body)" w:hAnsi="Arial (Body)"/>
                <w:b w:val="0"/>
                <w:bCs/>
                <w:color w:val="auto"/>
              </w:rPr>
              <w:t>)</w:t>
            </w:r>
          </w:p>
        </w:tc>
      </w:tr>
      <w:tr w:rsidR="005A697A" w:rsidRPr="00BC1697" w14:paraId="40B73C12" w14:textId="77777777" w:rsidTr="003D6472">
        <w:trPr>
          <w:tblHeader/>
        </w:trPr>
        <w:tc>
          <w:tcPr>
            <w:tcW w:w="9638" w:type="dxa"/>
            <w:tcBorders>
              <w:bottom w:val="nil"/>
            </w:tcBorders>
            <w:shd w:val="clear" w:color="auto" w:fill="E6E6E6"/>
            <w:vAlign w:val="bottom"/>
          </w:tcPr>
          <w:p w14:paraId="451B3B1A" w14:textId="77777777" w:rsidR="005A697A" w:rsidRPr="00BC1697" w:rsidRDefault="005A697A">
            <w:pPr>
              <w:pStyle w:val="TableHeading"/>
              <w:spacing w:before="45" w:after="45"/>
              <w:ind w:right="108"/>
              <w:rPr>
                <w:rFonts w:ascii="Arial (Body)" w:hAnsi="Arial (Body)"/>
                <w:b w:val="0"/>
                <w:bCs/>
                <w:color w:val="auto"/>
              </w:rPr>
            </w:pPr>
            <w:r>
              <w:rPr>
                <w:rFonts w:ascii="Arial (Body)" w:hAnsi="Arial (Body)"/>
                <w:b w:val="0"/>
                <w:bCs/>
                <w:color w:val="auto"/>
              </w:rPr>
              <w:t>Assoc. Prof.</w:t>
            </w:r>
            <w:r w:rsidRPr="005C34EE">
              <w:rPr>
                <w:rFonts w:ascii="Arial (Body)" w:hAnsi="Arial (Body)"/>
                <w:b w:val="0"/>
                <w:bCs/>
                <w:color w:val="auto"/>
              </w:rPr>
              <w:t xml:space="preserve"> Gareth Bryant</w:t>
            </w:r>
            <w:r>
              <w:rPr>
                <w:rFonts w:ascii="Arial (Body)" w:hAnsi="Arial (Body)"/>
                <w:b w:val="0"/>
                <w:bCs/>
                <w:color w:val="auto"/>
              </w:rPr>
              <w:t xml:space="preserve"> </w:t>
            </w:r>
            <w:r w:rsidRPr="005C34EE">
              <w:rPr>
                <w:rFonts w:ascii="Arial (Body)" w:hAnsi="Arial (Body)"/>
                <w:b w:val="0"/>
                <w:bCs/>
                <w:color w:val="auto"/>
              </w:rPr>
              <w:t>(University of Sydney)</w:t>
            </w:r>
          </w:p>
        </w:tc>
      </w:tr>
      <w:tr w:rsidR="005A697A" w:rsidRPr="00BC1697" w14:paraId="1AE6E513" w14:textId="77777777">
        <w:trPr>
          <w:tblHeader/>
        </w:trPr>
        <w:tc>
          <w:tcPr>
            <w:tcW w:w="9638" w:type="dxa"/>
            <w:tcBorders>
              <w:top w:val="nil"/>
              <w:bottom w:val="nil"/>
            </w:tcBorders>
            <w:shd w:val="clear" w:color="000000" w:fill="auto"/>
            <w:vAlign w:val="bottom"/>
          </w:tcPr>
          <w:p w14:paraId="50886065"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 xml:space="preserve">Gippsland Primary Health Network  </w:t>
            </w:r>
          </w:p>
        </w:tc>
      </w:tr>
      <w:tr w:rsidR="005A697A" w:rsidRPr="00BC1697" w14:paraId="32BB4331" w14:textId="77777777" w:rsidTr="003D6472">
        <w:trPr>
          <w:tblHeader/>
        </w:trPr>
        <w:tc>
          <w:tcPr>
            <w:tcW w:w="9638" w:type="dxa"/>
            <w:tcBorders>
              <w:bottom w:val="nil"/>
            </w:tcBorders>
            <w:shd w:val="clear" w:color="auto" w:fill="E6E6E6"/>
            <w:vAlign w:val="bottom"/>
          </w:tcPr>
          <w:p w14:paraId="26EED056"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Gold Coast Health</w:t>
            </w:r>
          </w:p>
        </w:tc>
      </w:tr>
      <w:tr w:rsidR="005A697A" w:rsidRPr="00BC1697" w14:paraId="0228F9CC" w14:textId="77777777">
        <w:trPr>
          <w:tblHeader/>
        </w:trPr>
        <w:tc>
          <w:tcPr>
            <w:tcW w:w="9638" w:type="dxa"/>
            <w:tcBorders>
              <w:top w:val="nil"/>
              <w:bottom w:val="nil"/>
            </w:tcBorders>
            <w:shd w:val="clear" w:color="000000" w:fill="auto"/>
            <w:vAlign w:val="bottom"/>
          </w:tcPr>
          <w:p w14:paraId="550D815F"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Grattan Institute</w:t>
            </w:r>
          </w:p>
        </w:tc>
      </w:tr>
      <w:tr w:rsidR="005A697A" w:rsidRPr="00BC1697" w14:paraId="2172A324" w14:textId="77777777" w:rsidTr="003D6472">
        <w:trPr>
          <w:tblHeader/>
        </w:trPr>
        <w:tc>
          <w:tcPr>
            <w:tcW w:w="9638" w:type="dxa"/>
            <w:tcBorders>
              <w:bottom w:val="nil"/>
            </w:tcBorders>
            <w:shd w:val="clear" w:color="auto" w:fill="E6E6E6"/>
            <w:vAlign w:val="bottom"/>
          </w:tcPr>
          <w:p w14:paraId="7903CA3E"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Health Services Union (HSU)</w:t>
            </w:r>
          </w:p>
        </w:tc>
      </w:tr>
      <w:tr w:rsidR="005A697A" w:rsidRPr="00BC1697" w14:paraId="23670335" w14:textId="77777777">
        <w:trPr>
          <w:tblHeader/>
        </w:trPr>
        <w:tc>
          <w:tcPr>
            <w:tcW w:w="9638" w:type="dxa"/>
            <w:tcBorders>
              <w:top w:val="nil"/>
              <w:bottom w:val="nil"/>
            </w:tcBorders>
            <w:shd w:val="clear" w:color="000000" w:fill="auto"/>
            <w:vAlign w:val="bottom"/>
          </w:tcPr>
          <w:p w14:paraId="45E954CC" w14:textId="77777777" w:rsidR="005A697A" w:rsidRPr="00BC1697" w:rsidRDefault="005A697A">
            <w:pPr>
              <w:pStyle w:val="TableHeading"/>
              <w:spacing w:before="45" w:after="45"/>
              <w:ind w:right="108"/>
              <w:rPr>
                <w:rFonts w:ascii="Arial (Body)" w:hAnsi="Arial (Body)"/>
                <w:b w:val="0"/>
                <w:bCs/>
                <w:color w:val="auto"/>
              </w:rPr>
            </w:pPr>
            <w:proofErr w:type="spellStart"/>
            <w:r w:rsidRPr="005C34EE">
              <w:rPr>
                <w:rFonts w:ascii="Arial (Body)" w:hAnsi="Arial (Body)"/>
                <w:b w:val="0"/>
                <w:bCs/>
                <w:color w:val="auto"/>
              </w:rPr>
              <w:t>Holstep</w:t>
            </w:r>
            <w:proofErr w:type="spellEnd"/>
            <w:r w:rsidRPr="005C34EE">
              <w:rPr>
                <w:rFonts w:ascii="Arial (Body)" w:hAnsi="Arial (Body)"/>
                <w:b w:val="0"/>
                <w:bCs/>
                <w:color w:val="auto"/>
              </w:rPr>
              <w:t xml:space="preserve"> Health</w:t>
            </w:r>
          </w:p>
        </w:tc>
      </w:tr>
      <w:tr w:rsidR="005A697A" w:rsidRPr="00BC1697" w14:paraId="1ACAA792" w14:textId="77777777" w:rsidTr="003D6472">
        <w:trPr>
          <w:tblHeader/>
        </w:trPr>
        <w:tc>
          <w:tcPr>
            <w:tcW w:w="9638" w:type="dxa"/>
            <w:tcBorders>
              <w:bottom w:val="nil"/>
            </w:tcBorders>
            <w:shd w:val="clear" w:color="auto" w:fill="E6E6E6"/>
            <w:vAlign w:val="bottom"/>
          </w:tcPr>
          <w:p w14:paraId="41F2CDB6" w14:textId="77777777" w:rsidR="005A697A" w:rsidRPr="00BC1697" w:rsidRDefault="005A697A">
            <w:pPr>
              <w:pStyle w:val="TableHeading"/>
              <w:spacing w:before="45" w:after="45"/>
              <w:ind w:right="108"/>
              <w:rPr>
                <w:rFonts w:ascii="Arial (Body)" w:hAnsi="Arial (Body)"/>
                <w:b w:val="0"/>
                <w:bCs/>
                <w:color w:val="auto"/>
              </w:rPr>
            </w:pPr>
            <w:proofErr w:type="spellStart"/>
            <w:r w:rsidRPr="005C34EE">
              <w:rPr>
                <w:rFonts w:ascii="Arial (Body)" w:hAnsi="Arial (Body)"/>
                <w:b w:val="0"/>
                <w:bCs/>
                <w:color w:val="auto"/>
              </w:rPr>
              <w:t>HumanAbility</w:t>
            </w:r>
            <w:proofErr w:type="spellEnd"/>
          </w:p>
        </w:tc>
      </w:tr>
      <w:tr w:rsidR="005A697A" w:rsidRPr="00BC1697" w14:paraId="59412EEA" w14:textId="77777777">
        <w:trPr>
          <w:tblHeader/>
        </w:trPr>
        <w:tc>
          <w:tcPr>
            <w:tcW w:w="9638" w:type="dxa"/>
            <w:tcBorders>
              <w:top w:val="nil"/>
              <w:bottom w:val="nil"/>
            </w:tcBorders>
            <w:shd w:val="clear" w:color="000000" w:fill="auto"/>
            <w:vAlign w:val="bottom"/>
          </w:tcPr>
          <w:p w14:paraId="6B8B4774" w14:textId="77777777" w:rsidR="005A697A" w:rsidRPr="005C34EE"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Inclusion Australia</w:t>
            </w:r>
          </w:p>
        </w:tc>
      </w:tr>
      <w:tr w:rsidR="005A697A" w:rsidRPr="00BC1697" w14:paraId="20E9CEAC" w14:textId="77777777" w:rsidTr="003D6472">
        <w:trPr>
          <w:tblHeader/>
        </w:trPr>
        <w:tc>
          <w:tcPr>
            <w:tcW w:w="9638" w:type="dxa"/>
            <w:tcBorders>
              <w:top w:val="nil"/>
              <w:bottom w:val="nil"/>
            </w:tcBorders>
            <w:shd w:val="clear" w:color="auto" w:fill="E6E6E6"/>
            <w:vAlign w:val="bottom"/>
          </w:tcPr>
          <w:p w14:paraId="34B1B7ED"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Independent Health and Aged Care Pricing Authority (IHACPA)</w:t>
            </w:r>
          </w:p>
        </w:tc>
      </w:tr>
      <w:tr w:rsidR="005A697A" w:rsidRPr="00BC1697" w14:paraId="59FA664A" w14:textId="77777777">
        <w:trPr>
          <w:tblHeader/>
        </w:trPr>
        <w:tc>
          <w:tcPr>
            <w:tcW w:w="9638" w:type="dxa"/>
            <w:tcBorders>
              <w:top w:val="nil"/>
              <w:bottom w:val="nil"/>
            </w:tcBorders>
            <w:shd w:val="clear" w:color="000000" w:fill="auto"/>
            <w:vAlign w:val="bottom"/>
          </w:tcPr>
          <w:p w14:paraId="44AA7294" w14:textId="77777777" w:rsidR="005A697A" w:rsidRPr="005C34EE"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Indigenous Allied Health Australia Ltd (IAHA)</w:t>
            </w:r>
          </w:p>
        </w:tc>
      </w:tr>
      <w:tr w:rsidR="005A697A" w:rsidRPr="00BC1697" w14:paraId="1F73B916" w14:textId="77777777" w:rsidTr="003D6472">
        <w:trPr>
          <w:tblHeader/>
        </w:trPr>
        <w:tc>
          <w:tcPr>
            <w:tcW w:w="9638" w:type="dxa"/>
            <w:tcBorders>
              <w:top w:val="nil"/>
              <w:bottom w:val="nil"/>
            </w:tcBorders>
            <w:shd w:val="clear" w:color="auto" w:fill="E6E6E6"/>
            <w:vAlign w:val="bottom"/>
          </w:tcPr>
          <w:p w14:paraId="76330C81" w14:textId="77777777" w:rsidR="005A697A" w:rsidRPr="005C34EE"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Institute for Urban Indigenous Health</w:t>
            </w:r>
          </w:p>
        </w:tc>
      </w:tr>
      <w:tr w:rsidR="005A697A" w:rsidRPr="00BC1697" w14:paraId="79872243" w14:textId="77777777">
        <w:trPr>
          <w:tblHeader/>
        </w:trPr>
        <w:tc>
          <w:tcPr>
            <w:tcW w:w="9638" w:type="dxa"/>
            <w:tcBorders>
              <w:bottom w:val="nil"/>
            </w:tcBorders>
            <w:shd w:val="clear" w:color="000000" w:fill="auto"/>
            <w:vAlign w:val="bottom"/>
          </w:tcPr>
          <w:p w14:paraId="35903D29" w14:textId="77777777" w:rsidR="005A697A" w:rsidRPr="005C34EE" w:rsidRDefault="005A697A">
            <w:pPr>
              <w:pStyle w:val="TableHeading"/>
              <w:spacing w:before="45" w:after="45"/>
              <w:ind w:right="108"/>
              <w:rPr>
                <w:rFonts w:ascii="Arial (Body)" w:hAnsi="Arial (Body)"/>
                <w:b w:val="0"/>
                <w:bCs/>
                <w:color w:val="auto"/>
              </w:rPr>
            </w:pPr>
            <w:r>
              <w:rPr>
                <w:rFonts w:ascii="Arial (Body)" w:hAnsi="Arial (Body)"/>
                <w:b w:val="0"/>
                <w:bCs/>
                <w:color w:val="auto"/>
              </w:rPr>
              <w:t xml:space="preserve">Interim </w:t>
            </w:r>
            <w:r w:rsidRPr="005C34EE">
              <w:rPr>
                <w:rFonts w:ascii="Arial (Body)" w:hAnsi="Arial (Body)"/>
                <w:b w:val="0"/>
                <w:bCs/>
                <w:color w:val="auto"/>
              </w:rPr>
              <w:t>First Nations Aged Care Commissioner</w:t>
            </w:r>
          </w:p>
        </w:tc>
      </w:tr>
      <w:tr w:rsidR="005A697A" w:rsidRPr="00BC1697" w14:paraId="6878598A" w14:textId="77777777" w:rsidTr="003D6472">
        <w:trPr>
          <w:tblHeader/>
        </w:trPr>
        <w:tc>
          <w:tcPr>
            <w:tcW w:w="9638" w:type="dxa"/>
            <w:tcBorders>
              <w:bottom w:val="nil"/>
            </w:tcBorders>
            <w:shd w:val="clear" w:color="auto" w:fill="E6E6E6"/>
            <w:vAlign w:val="bottom"/>
          </w:tcPr>
          <w:p w14:paraId="503A5269" w14:textId="77777777" w:rsidR="005A697A" w:rsidRPr="00BC1697" w:rsidRDefault="005A697A">
            <w:pPr>
              <w:pStyle w:val="TableHeading"/>
              <w:spacing w:before="45" w:after="45"/>
              <w:ind w:right="108"/>
              <w:rPr>
                <w:rFonts w:ascii="Arial (Body)" w:hAnsi="Arial (Body)"/>
                <w:b w:val="0"/>
                <w:bCs/>
                <w:color w:val="auto"/>
              </w:rPr>
            </w:pPr>
            <w:r>
              <w:rPr>
                <w:rFonts w:ascii="Arial (Body)" w:hAnsi="Arial (Body)"/>
                <w:b w:val="0"/>
                <w:bCs/>
                <w:color w:val="auto"/>
              </w:rPr>
              <w:t>Jane Tiller (</w:t>
            </w:r>
            <w:r w:rsidRPr="005C34EE">
              <w:rPr>
                <w:rFonts w:ascii="Arial (Body)" w:hAnsi="Arial (Body)"/>
                <w:b w:val="0"/>
                <w:bCs/>
                <w:color w:val="auto"/>
              </w:rPr>
              <w:t>Monash University</w:t>
            </w:r>
            <w:r>
              <w:rPr>
                <w:rFonts w:ascii="Arial (Body)" w:hAnsi="Arial (Body)"/>
                <w:b w:val="0"/>
                <w:bCs/>
                <w:color w:val="auto"/>
              </w:rPr>
              <w:t>)</w:t>
            </w:r>
          </w:p>
        </w:tc>
      </w:tr>
      <w:tr w:rsidR="005A697A" w:rsidRPr="00BC1697" w14:paraId="38916323" w14:textId="77777777">
        <w:trPr>
          <w:tblHeader/>
        </w:trPr>
        <w:tc>
          <w:tcPr>
            <w:tcW w:w="9638" w:type="dxa"/>
            <w:tcBorders>
              <w:top w:val="nil"/>
              <w:bottom w:val="nil"/>
            </w:tcBorders>
            <w:shd w:val="clear" w:color="000000" w:fill="auto"/>
            <w:vAlign w:val="bottom"/>
          </w:tcPr>
          <w:p w14:paraId="6C0FE357" w14:textId="77777777" w:rsidR="005A697A" w:rsidRPr="00BC1697" w:rsidRDefault="005A697A">
            <w:pPr>
              <w:pStyle w:val="TableHeading"/>
              <w:spacing w:before="45" w:after="45"/>
              <w:ind w:right="108"/>
              <w:rPr>
                <w:rFonts w:ascii="Arial (Body)" w:hAnsi="Arial (Body)"/>
                <w:b w:val="0"/>
                <w:bCs/>
                <w:color w:val="auto"/>
              </w:rPr>
            </w:pPr>
            <w:r>
              <w:rPr>
                <w:rFonts w:ascii="Arial (Body)" w:hAnsi="Arial (Body)"/>
                <w:b w:val="0"/>
                <w:bCs/>
                <w:color w:val="auto"/>
              </w:rPr>
              <w:t xml:space="preserve">Prof. </w:t>
            </w:r>
            <w:r w:rsidRPr="005C34EE">
              <w:rPr>
                <w:rFonts w:ascii="Arial (Body)" w:hAnsi="Arial (Body)"/>
                <w:b w:val="0"/>
                <w:bCs/>
                <w:color w:val="auto"/>
              </w:rPr>
              <w:t>Mark Considine</w:t>
            </w:r>
            <w:r>
              <w:rPr>
                <w:rFonts w:ascii="Arial (Body)" w:hAnsi="Arial (Body)"/>
                <w:b w:val="0"/>
                <w:bCs/>
                <w:color w:val="auto"/>
              </w:rPr>
              <w:t xml:space="preserve"> (The University of Melbourne)</w:t>
            </w:r>
          </w:p>
        </w:tc>
      </w:tr>
      <w:tr w:rsidR="005A697A" w:rsidRPr="00BC1697" w14:paraId="3CB39592" w14:textId="77777777" w:rsidTr="003D6472">
        <w:trPr>
          <w:tblHeader/>
        </w:trPr>
        <w:tc>
          <w:tcPr>
            <w:tcW w:w="9638" w:type="dxa"/>
            <w:tcBorders>
              <w:bottom w:val="nil"/>
            </w:tcBorders>
            <w:shd w:val="clear" w:color="auto" w:fill="E6E6E6"/>
            <w:vAlign w:val="bottom"/>
          </w:tcPr>
          <w:p w14:paraId="3C950A29" w14:textId="77777777" w:rsidR="005A697A" w:rsidRPr="00BC1697" w:rsidRDefault="005A697A">
            <w:pPr>
              <w:pStyle w:val="TableHeading"/>
              <w:spacing w:before="45" w:after="45"/>
              <w:ind w:right="108"/>
              <w:rPr>
                <w:rFonts w:ascii="Arial (Body)" w:hAnsi="Arial (Body)"/>
                <w:b w:val="0"/>
                <w:bCs/>
                <w:color w:val="auto"/>
              </w:rPr>
            </w:pPr>
            <w:r>
              <w:rPr>
                <w:rFonts w:ascii="Arial (Body)" w:hAnsi="Arial (Body)"/>
                <w:b w:val="0"/>
                <w:bCs/>
                <w:color w:val="auto"/>
              </w:rPr>
              <w:t>McKinnon</w:t>
            </w:r>
          </w:p>
        </w:tc>
      </w:tr>
      <w:tr w:rsidR="005A697A" w:rsidRPr="00BC1697" w14:paraId="05D0EAC7" w14:textId="77777777">
        <w:trPr>
          <w:tblHeader/>
        </w:trPr>
        <w:tc>
          <w:tcPr>
            <w:tcW w:w="9638" w:type="dxa"/>
            <w:tcBorders>
              <w:top w:val="nil"/>
              <w:bottom w:val="nil"/>
            </w:tcBorders>
            <w:shd w:val="clear" w:color="000000" w:fill="auto"/>
            <w:vAlign w:val="bottom"/>
          </w:tcPr>
          <w:p w14:paraId="507DD13D"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Medical Software Industry Association (MSIA)</w:t>
            </w:r>
          </w:p>
        </w:tc>
      </w:tr>
      <w:tr w:rsidR="005A697A" w:rsidRPr="00BC1697" w14:paraId="2E88D234" w14:textId="77777777" w:rsidTr="003D6472">
        <w:trPr>
          <w:tblHeader/>
        </w:trPr>
        <w:tc>
          <w:tcPr>
            <w:tcW w:w="9638" w:type="dxa"/>
            <w:tcBorders>
              <w:bottom w:val="nil"/>
            </w:tcBorders>
            <w:shd w:val="clear" w:color="auto" w:fill="E6E6E6"/>
            <w:vAlign w:val="bottom"/>
          </w:tcPr>
          <w:p w14:paraId="3ACB910F"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Murray Primary Health Network</w:t>
            </w:r>
          </w:p>
        </w:tc>
      </w:tr>
      <w:tr w:rsidR="005A697A" w:rsidRPr="00BC1697" w14:paraId="3A8EA397" w14:textId="77777777">
        <w:trPr>
          <w:tblHeader/>
        </w:trPr>
        <w:tc>
          <w:tcPr>
            <w:tcW w:w="9638" w:type="dxa"/>
            <w:tcBorders>
              <w:bottom w:val="single" w:sz="4" w:space="0" w:color="BFBFBF" w:themeColor="background1" w:themeShade="BF"/>
            </w:tcBorders>
            <w:shd w:val="clear" w:color="000000" w:fill="FFFFFF" w:themeFill="background1"/>
            <w:vAlign w:val="bottom"/>
          </w:tcPr>
          <w:p w14:paraId="51F4E1FE" w14:textId="77777777" w:rsidR="005A697A" w:rsidRPr="005C34EE"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 xml:space="preserve">Murrumbidgee Local Health District </w:t>
            </w:r>
          </w:p>
        </w:tc>
      </w:tr>
    </w:tbl>
    <w:p w14:paraId="0D26BB4A" w14:textId="77777777" w:rsidR="005A697A" w:rsidRPr="00FC2B1D" w:rsidRDefault="005A697A">
      <w:pPr>
        <w:pStyle w:val="BodyText"/>
      </w:pP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5A697A" w:rsidRPr="00BC1697" w14:paraId="6B696DA2" w14:textId="77777777">
        <w:trPr>
          <w:tblHeader/>
        </w:trPr>
        <w:tc>
          <w:tcPr>
            <w:tcW w:w="9638" w:type="dxa"/>
            <w:tcBorders>
              <w:bottom w:val="single" w:sz="4" w:space="0" w:color="B3B3B3"/>
            </w:tcBorders>
            <w:shd w:val="clear" w:color="000000" w:fill="auto"/>
            <w:vAlign w:val="bottom"/>
          </w:tcPr>
          <w:p w14:paraId="21EBBAC9" w14:textId="77777777" w:rsidR="005A697A" w:rsidRPr="00BC1697" w:rsidRDefault="005A697A">
            <w:pPr>
              <w:pStyle w:val="FigureTableHeading"/>
              <w:spacing w:before="45" w:after="45"/>
              <w:ind w:left="57" w:right="108"/>
              <w:rPr>
                <w:rFonts w:ascii="Arial (Body)" w:hAnsi="Arial (Body)"/>
                <w:b/>
                <w:bCs/>
                <w:color w:val="265A9A"/>
                <w:sz w:val="18"/>
              </w:rPr>
            </w:pPr>
            <w:r w:rsidRPr="00BC1697">
              <w:rPr>
                <w:rFonts w:ascii="Arial (Body)" w:hAnsi="Arial (Body)"/>
                <w:b/>
                <w:bCs/>
                <w:color w:val="265A9A"/>
                <w:sz w:val="18"/>
              </w:rPr>
              <w:lastRenderedPageBreak/>
              <w:t>Participants</w:t>
            </w:r>
          </w:p>
        </w:tc>
      </w:tr>
      <w:tr w:rsidR="005A697A" w:rsidRPr="00BC1697" w14:paraId="7E15AE3F" w14:textId="77777777" w:rsidTr="003D6472">
        <w:trPr>
          <w:tblHeader/>
        </w:trPr>
        <w:tc>
          <w:tcPr>
            <w:tcW w:w="9638" w:type="dxa"/>
            <w:tcBorders>
              <w:top w:val="single" w:sz="4" w:space="0" w:color="B3B3B3"/>
              <w:bottom w:val="nil"/>
            </w:tcBorders>
            <w:shd w:val="clear" w:color="auto" w:fill="E6E6E6"/>
            <w:vAlign w:val="bottom"/>
          </w:tcPr>
          <w:p w14:paraId="469FDE08"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National Aboriginal Community Controlled Health Organisation (NACCHO)</w:t>
            </w:r>
          </w:p>
        </w:tc>
      </w:tr>
      <w:tr w:rsidR="005A697A" w:rsidRPr="00BC1697" w14:paraId="18D5168D" w14:textId="77777777">
        <w:trPr>
          <w:tblHeader/>
        </w:trPr>
        <w:tc>
          <w:tcPr>
            <w:tcW w:w="9638" w:type="dxa"/>
            <w:tcBorders>
              <w:top w:val="nil"/>
              <w:bottom w:val="nil"/>
            </w:tcBorders>
            <w:shd w:val="clear" w:color="000000" w:fill="auto"/>
            <w:vAlign w:val="bottom"/>
          </w:tcPr>
          <w:p w14:paraId="20CAA2D2"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National Disability Services (NDS)</w:t>
            </w:r>
          </w:p>
        </w:tc>
      </w:tr>
      <w:tr w:rsidR="005A697A" w:rsidRPr="00BC1697" w14:paraId="39306F46" w14:textId="77777777" w:rsidTr="003D6472">
        <w:trPr>
          <w:tblHeader/>
        </w:trPr>
        <w:tc>
          <w:tcPr>
            <w:tcW w:w="9638" w:type="dxa"/>
            <w:tcBorders>
              <w:bottom w:val="nil"/>
            </w:tcBorders>
            <w:shd w:val="clear" w:color="auto" w:fill="E6E6E6"/>
            <w:vAlign w:val="bottom"/>
          </w:tcPr>
          <w:p w14:paraId="41CEE4E8"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National Women's Alliances</w:t>
            </w:r>
          </w:p>
        </w:tc>
      </w:tr>
      <w:tr w:rsidR="005A697A" w:rsidRPr="00BC1697" w14:paraId="62CC525E" w14:textId="77777777">
        <w:trPr>
          <w:tblHeader/>
        </w:trPr>
        <w:tc>
          <w:tcPr>
            <w:tcW w:w="9638" w:type="dxa"/>
            <w:tcBorders>
              <w:top w:val="nil"/>
              <w:bottom w:val="nil"/>
            </w:tcBorders>
            <w:shd w:val="clear" w:color="000000" w:fill="auto"/>
            <w:vAlign w:val="bottom"/>
          </w:tcPr>
          <w:p w14:paraId="1229A5DA" w14:textId="77777777" w:rsidR="005A697A" w:rsidRPr="005C34EE"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NDIS Quality and Safeguards Commission (NDIS Commission)</w:t>
            </w:r>
          </w:p>
        </w:tc>
      </w:tr>
      <w:tr w:rsidR="005A697A" w:rsidRPr="00BC1697" w14:paraId="0E4BFAFD" w14:textId="77777777" w:rsidTr="003D6472">
        <w:trPr>
          <w:tblHeader/>
        </w:trPr>
        <w:tc>
          <w:tcPr>
            <w:tcW w:w="9638" w:type="dxa"/>
            <w:tcBorders>
              <w:bottom w:val="nil"/>
            </w:tcBorders>
            <w:shd w:val="clear" w:color="auto" w:fill="E6E6E6"/>
            <w:vAlign w:val="bottom"/>
          </w:tcPr>
          <w:p w14:paraId="5380C680"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New South Wales Health</w:t>
            </w:r>
          </w:p>
        </w:tc>
      </w:tr>
      <w:tr w:rsidR="005A697A" w:rsidRPr="00BC1697" w14:paraId="574DD767" w14:textId="77777777">
        <w:trPr>
          <w:tblHeader/>
        </w:trPr>
        <w:tc>
          <w:tcPr>
            <w:tcW w:w="9638" w:type="dxa"/>
            <w:tcBorders>
              <w:top w:val="nil"/>
              <w:bottom w:val="nil"/>
            </w:tcBorders>
            <w:shd w:val="clear" w:color="000000" w:fill="auto"/>
            <w:vAlign w:val="bottom"/>
          </w:tcPr>
          <w:p w14:paraId="13E87143"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New Zealand Social Investment Agency</w:t>
            </w:r>
          </w:p>
        </w:tc>
      </w:tr>
      <w:tr w:rsidR="005A697A" w:rsidRPr="00BC1697" w14:paraId="15C9959B" w14:textId="77777777" w:rsidTr="003D6472">
        <w:trPr>
          <w:tblHeader/>
        </w:trPr>
        <w:tc>
          <w:tcPr>
            <w:tcW w:w="9638" w:type="dxa"/>
            <w:tcBorders>
              <w:bottom w:val="nil"/>
            </w:tcBorders>
            <w:shd w:val="clear" w:color="auto" w:fill="E6E6E6"/>
          </w:tcPr>
          <w:p w14:paraId="604D6FDF" w14:textId="77777777" w:rsidR="005A697A" w:rsidRPr="005C34EE" w:rsidRDefault="005A697A">
            <w:pPr>
              <w:pStyle w:val="TableHeading"/>
              <w:spacing w:before="45" w:after="45"/>
              <w:ind w:right="108"/>
              <w:rPr>
                <w:rFonts w:ascii="Arial (Body)" w:hAnsi="Arial (Body)"/>
                <w:b w:val="0"/>
                <w:bCs/>
                <w:color w:val="auto"/>
              </w:rPr>
            </w:pPr>
            <w:proofErr w:type="spellStart"/>
            <w:r w:rsidRPr="009D2F27">
              <w:rPr>
                <w:rFonts w:ascii="Arial (Body)" w:hAnsi="Arial (Body)"/>
                <w:b w:val="0"/>
                <w:bCs/>
                <w:color w:val="auto"/>
              </w:rPr>
              <w:t>Ngaweeyan</w:t>
            </w:r>
            <w:proofErr w:type="spellEnd"/>
            <w:r w:rsidRPr="009D2F27">
              <w:rPr>
                <w:rFonts w:ascii="Arial (Body)" w:hAnsi="Arial (Body)"/>
                <w:b w:val="0"/>
                <w:bCs/>
                <w:color w:val="auto"/>
              </w:rPr>
              <w:t xml:space="preserve"> Maar-</w:t>
            </w:r>
            <w:proofErr w:type="spellStart"/>
            <w:r w:rsidRPr="009D2F27">
              <w:rPr>
                <w:rFonts w:ascii="Arial (Body)" w:hAnsi="Arial (Body)"/>
                <w:b w:val="0"/>
                <w:bCs/>
                <w:color w:val="auto"/>
              </w:rPr>
              <w:t>oo</w:t>
            </w:r>
            <w:proofErr w:type="spellEnd"/>
          </w:p>
        </w:tc>
      </w:tr>
      <w:tr w:rsidR="005A697A" w:rsidRPr="00BC1697" w14:paraId="679E5051" w14:textId="77777777">
        <w:trPr>
          <w:tblHeader/>
        </w:trPr>
        <w:tc>
          <w:tcPr>
            <w:tcW w:w="9638" w:type="dxa"/>
            <w:tcBorders>
              <w:top w:val="nil"/>
              <w:bottom w:val="nil"/>
            </w:tcBorders>
            <w:shd w:val="clear" w:color="000000" w:fill="auto"/>
          </w:tcPr>
          <w:p w14:paraId="717D1BBF" w14:textId="77777777" w:rsidR="005A697A" w:rsidRPr="00BC1697" w:rsidRDefault="005A697A">
            <w:pPr>
              <w:pStyle w:val="TableHeading"/>
              <w:spacing w:before="45" w:after="45"/>
              <w:ind w:right="108"/>
              <w:rPr>
                <w:rFonts w:ascii="Arial (Body)" w:hAnsi="Arial (Body)"/>
                <w:b w:val="0"/>
                <w:bCs/>
                <w:color w:val="auto"/>
              </w:rPr>
            </w:pPr>
            <w:proofErr w:type="gramStart"/>
            <w:r w:rsidRPr="005C34EE">
              <w:rPr>
                <w:rFonts w:ascii="Arial (Body)" w:hAnsi="Arial (Body)"/>
                <w:b w:val="0"/>
                <w:bCs/>
                <w:color w:val="auto"/>
              </w:rPr>
              <w:t>North Western</w:t>
            </w:r>
            <w:proofErr w:type="gramEnd"/>
            <w:r w:rsidRPr="005C34EE">
              <w:rPr>
                <w:rFonts w:ascii="Arial (Body)" w:hAnsi="Arial (Body)"/>
                <w:b w:val="0"/>
                <w:bCs/>
                <w:color w:val="auto"/>
              </w:rPr>
              <w:t xml:space="preserve"> Melbourne Primary Health Network (NWMPHN)</w:t>
            </w:r>
          </w:p>
        </w:tc>
      </w:tr>
      <w:tr w:rsidR="005A697A" w:rsidRPr="00BC1697" w14:paraId="176BA07A" w14:textId="77777777" w:rsidTr="003D6472">
        <w:trPr>
          <w:tblHeader/>
        </w:trPr>
        <w:tc>
          <w:tcPr>
            <w:tcW w:w="9638" w:type="dxa"/>
            <w:tcBorders>
              <w:bottom w:val="nil"/>
            </w:tcBorders>
            <w:shd w:val="clear" w:color="auto" w:fill="E6E6E6"/>
            <w:vAlign w:val="bottom"/>
          </w:tcPr>
          <w:p w14:paraId="3F7C1CDA"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 xml:space="preserve">Northern Sydney Local Health District </w:t>
            </w:r>
          </w:p>
        </w:tc>
      </w:tr>
      <w:tr w:rsidR="005A697A" w:rsidRPr="00BC1697" w14:paraId="4B03C81A" w14:textId="77777777">
        <w:trPr>
          <w:tblHeader/>
        </w:trPr>
        <w:tc>
          <w:tcPr>
            <w:tcW w:w="9638" w:type="dxa"/>
            <w:tcBorders>
              <w:top w:val="nil"/>
              <w:bottom w:val="nil"/>
            </w:tcBorders>
            <w:shd w:val="clear" w:color="000000" w:fill="auto"/>
            <w:vAlign w:val="bottom"/>
          </w:tcPr>
          <w:p w14:paraId="16F83486" w14:textId="77777777" w:rsidR="005A697A" w:rsidRPr="00BC1697" w:rsidRDefault="005A697A">
            <w:pPr>
              <w:pStyle w:val="TableHeading"/>
              <w:spacing w:before="45" w:after="45"/>
              <w:ind w:right="108"/>
              <w:rPr>
                <w:rFonts w:ascii="Arial (Body)" w:hAnsi="Arial (Body)"/>
                <w:b w:val="0"/>
                <w:bCs/>
                <w:color w:val="auto"/>
              </w:rPr>
            </w:pPr>
            <w:r>
              <w:rPr>
                <w:rFonts w:ascii="Arial (Body)" w:hAnsi="Arial (Body)"/>
                <w:b w:val="0"/>
                <w:bCs/>
                <w:color w:val="auto"/>
              </w:rPr>
              <w:t>Pathology Technology Australia</w:t>
            </w:r>
          </w:p>
        </w:tc>
      </w:tr>
      <w:tr w:rsidR="005A697A" w:rsidRPr="00BC1697" w14:paraId="5840897F" w14:textId="77777777" w:rsidTr="003D6472">
        <w:trPr>
          <w:tblHeader/>
        </w:trPr>
        <w:tc>
          <w:tcPr>
            <w:tcW w:w="9638" w:type="dxa"/>
            <w:tcBorders>
              <w:bottom w:val="nil"/>
            </w:tcBorders>
            <w:shd w:val="clear" w:color="auto" w:fill="E6E6E6"/>
            <w:vAlign w:val="bottom"/>
          </w:tcPr>
          <w:p w14:paraId="6B207BF6" w14:textId="77777777" w:rsidR="005A697A" w:rsidRPr="005C34EE"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Primary Health Tasmania</w:t>
            </w:r>
          </w:p>
        </w:tc>
      </w:tr>
      <w:tr w:rsidR="005A697A" w:rsidRPr="00BC1697" w14:paraId="59F77FBB" w14:textId="77777777">
        <w:trPr>
          <w:tblHeader/>
        </w:trPr>
        <w:tc>
          <w:tcPr>
            <w:tcW w:w="9638" w:type="dxa"/>
            <w:tcBorders>
              <w:top w:val="nil"/>
              <w:bottom w:val="nil"/>
            </w:tcBorders>
            <w:shd w:val="clear" w:color="000000" w:fill="auto"/>
            <w:vAlign w:val="bottom"/>
          </w:tcPr>
          <w:p w14:paraId="3EE7B42A"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Public Health Association of Australia (PHAA)</w:t>
            </w:r>
          </w:p>
        </w:tc>
      </w:tr>
      <w:tr w:rsidR="005A697A" w:rsidRPr="00BC1697" w14:paraId="27ABF22C" w14:textId="77777777" w:rsidTr="003D6472">
        <w:trPr>
          <w:tblHeader/>
        </w:trPr>
        <w:tc>
          <w:tcPr>
            <w:tcW w:w="9638" w:type="dxa"/>
            <w:tcBorders>
              <w:bottom w:val="nil"/>
            </w:tcBorders>
            <w:shd w:val="clear" w:color="auto" w:fill="E6E6E6"/>
            <w:vAlign w:val="bottom"/>
          </w:tcPr>
          <w:p w14:paraId="06EC05EC"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 xml:space="preserve">Queensland Health </w:t>
            </w:r>
          </w:p>
        </w:tc>
      </w:tr>
      <w:tr w:rsidR="005A697A" w:rsidRPr="00BC1697" w14:paraId="76AB21FB" w14:textId="77777777">
        <w:trPr>
          <w:tblHeader/>
        </w:trPr>
        <w:tc>
          <w:tcPr>
            <w:tcW w:w="9638" w:type="dxa"/>
            <w:tcBorders>
              <w:top w:val="nil"/>
              <w:bottom w:val="nil"/>
            </w:tcBorders>
            <w:shd w:val="clear" w:color="000000" w:fill="auto"/>
            <w:vAlign w:val="bottom"/>
          </w:tcPr>
          <w:p w14:paraId="0A7647BF"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Ralph Lattimore</w:t>
            </w:r>
          </w:p>
        </w:tc>
      </w:tr>
      <w:tr w:rsidR="005A697A" w:rsidRPr="00BC1697" w14:paraId="213EE875" w14:textId="77777777" w:rsidTr="003D6472">
        <w:trPr>
          <w:tblHeader/>
        </w:trPr>
        <w:tc>
          <w:tcPr>
            <w:tcW w:w="9638" w:type="dxa"/>
            <w:tcBorders>
              <w:bottom w:val="nil"/>
            </w:tcBorders>
            <w:shd w:val="clear" w:color="auto" w:fill="E6E6E6"/>
            <w:vAlign w:val="bottom"/>
          </w:tcPr>
          <w:p w14:paraId="1E4391D9" w14:textId="77777777" w:rsidR="005A697A" w:rsidRPr="00BC1697" w:rsidRDefault="005A697A">
            <w:pPr>
              <w:pStyle w:val="TableHeading"/>
              <w:spacing w:before="45" w:after="45"/>
              <w:ind w:right="108"/>
              <w:rPr>
                <w:rFonts w:ascii="Arial (Body)" w:hAnsi="Arial (Body)"/>
                <w:b w:val="0"/>
                <w:bCs/>
                <w:color w:val="auto"/>
              </w:rPr>
            </w:pPr>
            <w:proofErr w:type="spellStart"/>
            <w:r w:rsidRPr="005C34EE">
              <w:rPr>
                <w:rFonts w:ascii="Arial (Body)" w:hAnsi="Arial (Body)"/>
                <w:b w:val="0"/>
                <w:bCs/>
                <w:color w:val="auto"/>
              </w:rPr>
              <w:t>Rebbeck</w:t>
            </w:r>
            <w:proofErr w:type="spellEnd"/>
          </w:p>
        </w:tc>
      </w:tr>
      <w:tr w:rsidR="005A697A" w:rsidRPr="00BC1697" w14:paraId="18004A50" w14:textId="77777777">
        <w:trPr>
          <w:tblHeader/>
        </w:trPr>
        <w:tc>
          <w:tcPr>
            <w:tcW w:w="9638" w:type="dxa"/>
            <w:tcBorders>
              <w:top w:val="nil"/>
              <w:bottom w:val="nil"/>
            </w:tcBorders>
            <w:shd w:val="clear" w:color="000000" w:fill="auto"/>
            <w:vAlign w:val="bottom"/>
          </w:tcPr>
          <w:p w14:paraId="056893F1" w14:textId="77777777" w:rsidR="005A697A" w:rsidRPr="00BC1697" w:rsidRDefault="005A697A">
            <w:pPr>
              <w:pStyle w:val="TableHeading"/>
              <w:spacing w:before="45" w:after="45"/>
              <w:ind w:right="108"/>
              <w:rPr>
                <w:rFonts w:ascii="Arial (Body)" w:hAnsi="Arial (Body)"/>
                <w:b w:val="0"/>
                <w:bCs/>
                <w:color w:val="auto"/>
              </w:rPr>
            </w:pPr>
            <w:r>
              <w:rPr>
                <w:rFonts w:ascii="Arial (Body)" w:hAnsi="Arial (Body)"/>
                <w:b w:val="0"/>
                <w:bCs/>
                <w:color w:val="auto"/>
              </w:rPr>
              <w:t>SA Ambulance</w:t>
            </w:r>
          </w:p>
        </w:tc>
      </w:tr>
      <w:tr w:rsidR="005A697A" w:rsidRPr="00BC1697" w14:paraId="62B3A2B1" w14:textId="77777777" w:rsidTr="003D6472">
        <w:trPr>
          <w:tblHeader/>
        </w:trPr>
        <w:tc>
          <w:tcPr>
            <w:tcW w:w="9638" w:type="dxa"/>
            <w:tcBorders>
              <w:bottom w:val="nil"/>
            </w:tcBorders>
            <w:shd w:val="clear" w:color="auto" w:fill="E6E6E6"/>
            <w:vAlign w:val="bottom"/>
          </w:tcPr>
          <w:p w14:paraId="5E2F96A8"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SEED Futures</w:t>
            </w:r>
          </w:p>
        </w:tc>
      </w:tr>
      <w:tr w:rsidR="005A697A" w:rsidRPr="00BC1697" w14:paraId="4CBA2372" w14:textId="77777777">
        <w:trPr>
          <w:tblHeader/>
        </w:trPr>
        <w:tc>
          <w:tcPr>
            <w:tcW w:w="9638" w:type="dxa"/>
            <w:tcBorders>
              <w:top w:val="nil"/>
              <w:bottom w:val="nil"/>
            </w:tcBorders>
            <w:shd w:val="clear" w:color="000000" w:fill="auto"/>
            <w:vAlign w:val="bottom"/>
          </w:tcPr>
          <w:p w14:paraId="20753D37"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Social Ventures Australia (SVA)</w:t>
            </w:r>
          </w:p>
        </w:tc>
      </w:tr>
      <w:tr w:rsidR="005A697A" w:rsidRPr="00BC1697" w14:paraId="30C8569E" w14:textId="77777777" w:rsidTr="003D6472">
        <w:trPr>
          <w:tblHeader/>
        </w:trPr>
        <w:tc>
          <w:tcPr>
            <w:tcW w:w="9638" w:type="dxa"/>
            <w:tcBorders>
              <w:bottom w:val="nil"/>
            </w:tcBorders>
            <w:shd w:val="clear" w:color="auto" w:fill="E6E6E6"/>
            <w:vAlign w:val="bottom"/>
          </w:tcPr>
          <w:p w14:paraId="1BEEBCA9" w14:textId="77777777" w:rsidR="005A697A" w:rsidRPr="00BC1697" w:rsidRDefault="005A697A">
            <w:pPr>
              <w:pStyle w:val="TableHeading"/>
              <w:spacing w:before="45" w:after="45"/>
              <w:ind w:right="108"/>
              <w:rPr>
                <w:rFonts w:ascii="Arial (Body)" w:hAnsi="Arial (Body)"/>
                <w:b w:val="0"/>
                <w:bCs/>
                <w:color w:val="auto"/>
              </w:rPr>
            </w:pPr>
            <w:proofErr w:type="gramStart"/>
            <w:r w:rsidRPr="005C34EE">
              <w:rPr>
                <w:rFonts w:ascii="Arial (Body)" w:hAnsi="Arial (Body)"/>
                <w:b w:val="0"/>
                <w:bCs/>
                <w:color w:val="auto"/>
              </w:rPr>
              <w:t>South Eastern</w:t>
            </w:r>
            <w:proofErr w:type="gramEnd"/>
            <w:r w:rsidRPr="005C34EE">
              <w:rPr>
                <w:rFonts w:ascii="Arial (Body)" w:hAnsi="Arial (Body)"/>
                <w:b w:val="0"/>
                <w:bCs/>
                <w:color w:val="auto"/>
              </w:rPr>
              <w:t xml:space="preserve"> Melbourne Primary Health Network (SEMPHN)</w:t>
            </w:r>
          </w:p>
        </w:tc>
      </w:tr>
      <w:tr w:rsidR="005A697A" w:rsidRPr="00BC1697" w14:paraId="416DEF7F" w14:textId="77777777">
        <w:trPr>
          <w:tblHeader/>
        </w:trPr>
        <w:tc>
          <w:tcPr>
            <w:tcW w:w="9638" w:type="dxa"/>
            <w:tcBorders>
              <w:top w:val="nil"/>
              <w:bottom w:val="nil"/>
            </w:tcBorders>
            <w:shd w:val="clear" w:color="000000" w:fill="auto"/>
            <w:vAlign w:val="bottom"/>
          </w:tcPr>
          <w:p w14:paraId="10AFC038" w14:textId="77777777" w:rsidR="005A697A" w:rsidRPr="00BC1697" w:rsidRDefault="005A697A">
            <w:pPr>
              <w:pStyle w:val="TableHeading"/>
              <w:spacing w:before="45" w:after="45"/>
              <w:ind w:right="108"/>
              <w:rPr>
                <w:rFonts w:ascii="Arial (Body)" w:hAnsi="Arial (Body)"/>
                <w:b w:val="0"/>
                <w:bCs/>
                <w:color w:val="auto"/>
              </w:rPr>
            </w:pPr>
            <w:proofErr w:type="gramStart"/>
            <w:r w:rsidRPr="005C34EE">
              <w:rPr>
                <w:rFonts w:ascii="Arial (Body)" w:hAnsi="Arial (Body)"/>
                <w:b w:val="0"/>
                <w:bCs/>
                <w:color w:val="auto"/>
              </w:rPr>
              <w:t>South Western</w:t>
            </w:r>
            <w:proofErr w:type="gramEnd"/>
            <w:r w:rsidRPr="005C34EE">
              <w:rPr>
                <w:rFonts w:ascii="Arial (Body)" w:hAnsi="Arial (Body)"/>
                <w:b w:val="0"/>
                <w:bCs/>
                <w:color w:val="auto"/>
              </w:rPr>
              <w:t xml:space="preserve"> Sydney Primary Health Network (SWSPHN)</w:t>
            </w:r>
          </w:p>
        </w:tc>
      </w:tr>
      <w:tr w:rsidR="005A697A" w:rsidRPr="00BC1697" w14:paraId="0C01C036" w14:textId="77777777" w:rsidTr="003D6472">
        <w:trPr>
          <w:tblHeader/>
        </w:trPr>
        <w:tc>
          <w:tcPr>
            <w:tcW w:w="9638" w:type="dxa"/>
            <w:tcBorders>
              <w:bottom w:val="nil"/>
            </w:tcBorders>
            <w:shd w:val="clear" w:color="auto" w:fill="E6E6E6"/>
            <w:vAlign w:val="bottom"/>
          </w:tcPr>
          <w:p w14:paraId="3189BC18"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Sydney North Health Network</w:t>
            </w:r>
          </w:p>
        </w:tc>
      </w:tr>
      <w:tr w:rsidR="005A697A" w:rsidRPr="00BC1697" w14:paraId="7EA0D7BE" w14:textId="77777777">
        <w:trPr>
          <w:tblHeader/>
        </w:trPr>
        <w:tc>
          <w:tcPr>
            <w:tcW w:w="9638" w:type="dxa"/>
            <w:tcBorders>
              <w:top w:val="nil"/>
              <w:bottom w:val="nil"/>
            </w:tcBorders>
            <w:shd w:val="clear" w:color="000000" w:fill="auto"/>
            <w:vAlign w:val="bottom"/>
          </w:tcPr>
          <w:p w14:paraId="3A3782C7"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Taylor Fry</w:t>
            </w:r>
          </w:p>
        </w:tc>
      </w:tr>
      <w:tr w:rsidR="005A697A" w:rsidRPr="00BC1697" w14:paraId="349EECB6" w14:textId="77777777" w:rsidTr="003D6472">
        <w:trPr>
          <w:tblHeader/>
        </w:trPr>
        <w:tc>
          <w:tcPr>
            <w:tcW w:w="9638" w:type="dxa"/>
            <w:tcBorders>
              <w:bottom w:val="nil"/>
            </w:tcBorders>
            <w:shd w:val="clear" w:color="auto" w:fill="E6E6E6"/>
            <w:vAlign w:val="bottom"/>
          </w:tcPr>
          <w:p w14:paraId="7B8190DA"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The Front Project</w:t>
            </w:r>
          </w:p>
        </w:tc>
      </w:tr>
      <w:tr w:rsidR="005A697A" w:rsidRPr="00BC1697" w14:paraId="27760B43" w14:textId="77777777">
        <w:trPr>
          <w:tblHeader/>
        </w:trPr>
        <w:tc>
          <w:tcPr>
            <w:tcW w:w="9638" w:type="dxa"/>
            <w:tcBorders>
              <w:top w:val="nil"/>
              <w:bottom w:val="nil"/>
            </w:tcBorders>
            <w:shd w:val="clear" w:color="000000" w:fill="auto"/>
            <w:vAlign w:val="bottom"/>
          </w:tcPr>
          <w:p w14:paraId="4FEBE326" w14:textId="77777777" w:rsidR="005A697A" w:rsidRPr="00BC1697" w:rsidRDefault="005A697A">
            <w:pPr>
              <w:pStyle w:val="TableHeading"/>
              <w:spacing w:before="45" w:after="45"/>
              <w:ind w:right="108"/>
              <w:rPr>
                <w:rFonts w:ascii="Arial (Body)" w:hAnsi="Arial (Body)"/>
                <w:b w:val="0"/>
                <w:bCs/>
                <w:color w:val="auto"/>
              </w:rPr>
            </w:pPr>
            <w:r>
              <w:rPr>
                <w:rFonts w:ascii="Arial (Body)" w:hAnsi="Arial (Body)"/>
                <w:b w:val="0"/>
                <w:bCs/>
                <w:color w:val="auto"/>
              </w:rPr>
              <w:t>The George Institute for Global Health</w:t>
            </w:r>
          </w:p>
        </w:tc>
      </w:tr>
      <w:tr w:rsidR="005A697A" w:rsidRPr="00BC1697" w14:paraId="2D2D02DA" w14:textId="77777777" w:rsidTr="003D6472">
        <w:trPr>
          <w:tblHeader/>
        </w:trPr>
        <w:tc>
          <w:tcPr>
            <w:tcW w:w="9638" w:type="dxa"/>
            <w:tcBorders>
              <w:bottom w:val="nil"/>
            </w:tcBorders>
            <w:shd w:val="clear" w:color="auto" w:fill="E6E6E6"/>
            <w:vAlign w:val="bottom"/>
          </w:tcPr>
          <w:p w14:paraId="769AD6BD" w14:textId="77777777" w:rsidR="005A697A" w:rsidRPr="00BC1697"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The Safer Air Project</w:t>
            </w:r>
          </w:p>
        </w:tc>
      </w:tr>
      <w:tr w:rsidR="005A697A" w:rsidRPr="00BC1697" w14:paraId="6C1D99D6" w14:textId="77777777">
        <w:trPr>
          <w:tblHeader/>
        </w:trPr>
        <w:tc>
          <w:tcPr>
            <w:tcW w:w="9638" w:type="dxa"/>
            <w:tcBorders>
              <w:bottom w:val="nil"/>
            </w:tcBorders>
            <w:shd w:val="clear" w:color="000000" w:fill="auto"/>
            <w:vAlign w:val="bottom"/>
          </w:tcPr>
          <w:p w14:paraId="32D33824" w14:textId="77777777" w:rsidR="005A697A" w:rsidRPr="005C34EE" w:rsidRDefault="005A697A">
            <w:pPr>
              <w:pStyle w:val="TableHeading"/>
              <w:spacing w:before="45" w:after="45"/>
              <w:ind w:right="108"/>
              <w:rPr>
                <w:rFonts w:ascii="Arial (Body)" w:hAnsi="Arial (Body)"/>
                <w:b w:val="0"/>
                <w:bCs/>
                <w:color w:val="auto"/>
              </w:rPr>
            </w:pPr>
            <w:r w:rsidRPr="00AA5778">
              <w:rPr>
                <w:rFonts w:ascii="Arial (Body)" w:hAnsi="Arial (Body)"/>
                <w:b w:val="0"/>
                <w:bCs/>
                <w:color w:val="auto"/>
              </w:rPr>
              <w:t>Victorian Health Promotion Foundation (VicHealth)</w:t>
            </w:r>
          </w:p>
        </w:tc>
      </w:tr>
      <w:tr w:rsidR="005A697A" w:rsidRPr="00BC1697" w14:paraId="0E8AAC33" w14:textId="77777777" w:rsidTr="003D6472">
        <w:trPr>
          <w:tblHeader/>
        </w:trPr>
        <w:tc>
          <w:tcPr>
            <w:tcW w:w="9638" w:type="dxa"/>
            <w:tcBorders>
              <w:bottom w:val="nil"/>
            </w:tcBorders>
            <w:shd w:val="clear" w:color="auto" w:fill="E6E6E6"/>
            <w:vAlign w:val="bottom"/>
          </w:tcPr>
          <w:p w14:paraId="46A3A200" w14:textId="77777777" w:rsidR="005A697A" w:rsidRPr="005C34EE"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Victorian Aboriginal Community Controlled Health Organisation (VACCHO)</w:t>
            </w:r>
          </w:p>
        </w:tc>
      </w:tr>
      <w:tr w:rsidR="005A697A" w:rsidRPr="00BC1697" w14:paraId="17DC4AD6" w14:textId="77777777">
        <w:trPr>
          <w:tblHeader/>
        </w:trPr>
        <w:tc>
          <w:tcPr>
            <w:tcW w:w="9638" w:type="dxa"/>
            <w:tcBorders>
              <w:top w:val="nil"/>
              <w:bottom w:val="nil"/>
            </w:tcBorders>
            <w:shd w:val="clear" w:color="000000" w:fill="auto"/>
            <w:vAlign w:val="bottom"/>
          </w:tcPr>
          <w:p w14:paraId="78FCDDF7" w14:textId="77777777" w:rsidR="005A697A" w:rsidRPr="005C34EE"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Victorian Department of Treasury and Finance</w:t>
            </w:r>
          </w:p>
        </w:tc>
      </w:tr>
      <w:tr w:rsidR="005A697A" w:rsidRPr="00BC1697" w14:paraId="3839B276" w14:textId="77777777" w:rsidTr="003D6472">
        <w:trPr>
          <w:tblHeader/>
        </w:trPr>
        <w:tc>
          <w:tcPr>
            <w:tcW w:w="9638" w:type="dxa"/>
            <w:tcBorders>
              <w:top w:val="nil"/>
              <w:bottom w:val="nil"/>
            </w:tcBorders>
            <w:shd w:val="clear" w:color="auto" w:fill="E6E6E6"/>
            <w:vAlign w:val="bottom"/>
          </w:tcPr>
          <w:p w14:paraId="792FC230" w14:textId="77777777" w:rsidR="005A697A" w:rsidRPr="005C34EE"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WA Primary Health Alliance</w:t>
            </w:r>
          </w:p>
        </w:tc>
      </w:tr>
      <w:tr w:rsidR="005A697A" w:rsidRPr="00BC1697" w14:paraId="053DC86F" w14:textId="77777777">
        <w:trPr>
          <w:tblHeader/>
        </w:trPr>
        <w:tc>
          <w:tcPr>
            <w:tcW w:w="9638" w:type="dxa"/>
            <w:tcBorders>
              <w:top w:val="nil"/>
              <w:bottom w:val="nil"/>
            </w:tcBorders>
            <w:shd w:val="clear" w:color="000000" w:fill="auto"/>
            <w:vAlign w:val="bottom"/>
          </w:tcPr>
          <w:p w14:paraId="188018A2" w14:textId="77777777" w:rsidR="005A697A" w:rsidRPr="005C34EE"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Western Sydney Primary Health Network (</w:t>
            </w:r>
            <w:proofErr w:type="spellStart"/>
            <w:r w:rsidRPr="005C34EE">
              <w:rPr>
                <w:rFonts w:ascii="Arial (Body)" w:hAnsi="Arial (Body)"/>
                <w:b w:val="0"/>
                <w:bCs/>
                <w:color w:val="auto"/>
              </w:rPr>
              <w:t>WentWest</w:t>
            </w:r>
            <w:proofErr w:type="spellEnd"/>
            <w:r w:rsidRPr="005C34EE">
              <w:rPr>
                <w:rFonts w:ascii="Arial (Body)" w:hAnsi="Arial (Body)"/>
                <w:b w:val="0"/>
                <w:bCs/>
                <w:color w:val="auto"/>
              </w:rPr>
              <w:t>)</w:t>
            </w:r>
          </w:p>
        </w:tc>
      </w:tr>
      <w:tr w:rsidR="005A697A" w:rsidRPr="00BC1697" w14:paraId="43BD9A93" w14:textId="77777777" w:rsidTr="003D6472">
        <w:trPr>
          <w:tblHeader/>
        </w:trPr>
        <w:tc>
          <w:tcPr>
            <w:tcW w:w="9638" w:type="dxa"/>
            <w:tcBorders>
              <w:top w:val="nil"/>
              <w:bottom w:val="single" w:sz="4" w:space="0" w:color="BFBFBF" w:themeColor="background1" w:themeShade="BF"/>
            </w:tcBorders>
            <w:shd w:val="clear" w:color="auto" w:fill="E6E6E6"/>
            <w:vAlign w:val="bottom"/>
          </w:tcPr>
          <w:p w14:paraId="2E3F0C0A" w14:textId="77777777" w:rsidR="005A697A" w:rsidRPr="005C34EE" w:rsidRDefault="005A697A">
            <w:pPr>
              <w:pStyle w:val="TableHeading"/>
              <w:spacing w:before="45" w:after="45"/>
              <w:ind w:right="108"/>
              <w:rPr>
                <w:rFonts w:ascii="Arial (Body)" w:hAnsi="Arial (Body)"/>
                <w:b w:val="0"/>
                <w:bCs/>
                <w:color w:val="auto"/>
              </w:rPr>
            </w:pPr>
            <w:r w:rsidRPr="005C34EE">
              <w:rPr>
                <w:rFonts w:ascii="Arial (Body)" w:hAnsi="Arial (Body)"/>
                <w:b w:val="0"/>
                <w:bCs/>
                <w:color w:val="auto"/>
              </w:rPr>
              <w:t>Western Victoria Primary Health Network</w:t>
            </w:r>
          </w:p>
        </w:tc>
      </w:tr>
    </w:tbl>
    <w:p w14:paraId="5BDFC30E" w14:textId="77777777" w:rsidR="005A697A" w:rsidRPr="0000226A" w:rsidRDefault="005A697A" w:rsidP="0000226A">
      <w:pPr>
        <w:pStyle w:val="BodyText"/>
      </w:pPr>
    </w:p>
    <w:p w14:paraId="324ADF21" w14:textId="77777777" w:rsidR="005A697A" w:rsidRPr="0000226A" w:rsidRDefault="005A697A" w:rsidP="0000226A">
      <w:pPr>
        <w:pStyle w:val="BodyText"/>
      </w:pPr>
      <w:r w:rsidRPr="0000226A">
        <w:br w:type="page"/>
      </w:r>
    </w:p>
    <w:p w14:paraId="7D5ED62B" w14:textId="77777777" w:rsidR="005A697A" w:rsidRPr="00F64876" w:rsidRDefault="005A697A">
      <w:pPr>
        <w:pStyle w:val="BodyText"/>
        <w:rPr>
          <w:rFonts w:asciiTheme="majorHAnsi" w:hAnsiTheme="majorHAnsi"/>
        </w:rPr>
      </w:pPr>
      <w:r>
        <w:rPr>
          <w:rFonts w:asciiTheme="majorHAnsi" w:hAnsiTheme="majorHAnsi"/>
        </w:rPr>
        <w:lastRenderedPageBreak/>
        <w:t xml:space="preserve">Table A.2 – Roundtables </w:t>
      </w:r>
    </w:p>
    <w:tbl>
      <w:tblPr>
        <w:tblW w:w="9639" w:type="dxa"/>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9"/>
      </w:tblGrid>
      <w:tr w:rsidR="005A697A" w:rsidRPr="00C204D4" w14:paraId="6F17FE9C" w14:textId="77777777">
        <w:trPr>
          <w:tblHeader/>
        </w:trPr>
        <w:tc>
          <w:tcPr>
            <w:tcW w:w="9639" w:type="dxa"/>
            <w:tcBorders>
              <w:bottom w:val="single" w:sz="4" w:space="0" w:color="B3B3B3"/>
            </w:tcBorders>
            <w:vAlign w:val="bottom"/>
          </w:tcPr>
          <w:p w14:paraId="3A4B2004" w14:textId="77777777" w:rsidR="005A697A" w:rsidRDefault="005A697A">
            <w:pPr>
              <w:spacing w:before="45" w:after="45"/>
              <w:ind w:left="57" w:right="108"/>
              <w:rPr>
                <w:rFonts w:ascii="Arial (Body)" w:hAnsi="Arial (Body)"/>
                <w:b/>
                <w:color w:val="265A9A"/>
                <w:sz w:val="18"/>
              </w:rPr>
            </w:pPr>
            <w:r>
              <w:rPr>
                <w:rFonts w:ascii="Arial (Body)" w:hAnsi="Arial (Body)"/>
                <w:b/>
                <w:color w:val="265A9A"/>
                <w:sz w:val="18"/>
              </w:rPr>
              <w:t>10</w:t>
            </w:r>
            <w:r w:rsidRPr="00F64876">
              <w:rPr>
                <w:rFonts w:ascii="Arial (Body)" w:hAnsi="Arial (Body)"/>
                <w:b/>
                <w:color w:val="265A9A"/>
                <w:sz w:val="18"/>
              </w:rPr>
              <w:t xml:space="preserve"> </w:t>
            </w:r>
            <w:r>
              <w:rPr>
                <w:rFonts w:ascii="Arial (Body)" w:hAnsi="Arial (Body)"/>
                <w:b/>
                <w:color w:val="265A9A"/>
                <w:sz w:val="18"/>
              </w:rPr>
              <w:t>September 2025 – Collaborative commissioning roundtable</w:t>
            </w:r>
          </w:p>
        </w:tc>
      </w:tr>
      <w:tr w:rsidR="005A697A" w:rsidRPr="00C204D4" w14:paraId="4E04E816" w14:textId="77777777">
        <w:trPr>
          <w:tblHeader/>
        </w:trPr>
        <w:tc>
          <w:tcPr>
            <w:tcW w:w="9639" w:type="dxa"/>
            <w:tcBorders>
              <w:bottom w:val="single" w:sz="4" w:space="0" w:color="B3B3B3"/>
            </w:tcBorders>
            <w:vAlign w:val="bottom"/>
          </w:tcPr>
          <w:p w14:paraId="068F999E" w14:textId="5504CCE5" w:rsidR="005A697A" w:rsidRPr="00C204D4" w:rsidRDefault="005A697A">
            <w:pPr>
              <w:spacing w:before="45" w:after="45"/>
              <w:ind w:left="57" w:right="108"/>
              <w:rPr>
                <w:rFonts w:ascii="Arial (Body)" w:hAnsi="Arial (Body)"/>
                <w:b/>
                <w:color w:val="265A9A"/>
                <w:sz w:val="18"/>
              </w:rPr>
            </w:pPr>
            <w:r>
              <w:rPr>
                <w:rFonts w:ascii="Arial (Body)" w:hAnsi="Arial (Body)"/>
                <w:b/>
                <w:color w:val="265A9A"/>
                <w:sz w:val="18"/>
              </w:rPr>
              <w:t>Participant</w:t>
            </w:r>
            <w:r w:rsidR="0000226A">
              <w:rPr>
                <w:rFonts w:ascii="Arial (Body)" w:hAnsi="Arial (Body)"/>
                <w:b/>
                <w:color w:val="265A9A"/>
                <w:sz w:val="18"/>
              </w:rPr>
              <w:t>s</w:t>
            </w:r>
          </w:p>
        </w:tc>
      </w:tr>
      <w:tr w:rsidR="005A697A" w:rsidRPr="00C204D4" w14:paraId="50C3DDDE" w14:textId="77777777" w:rsidTr="003D6472">
        <w:tc>
          <w:tcPr>
            <w:tcW w:w="9639" w:type="dxa"/>
            <w:tcBorders>
              <w:top w:val="single" w:sz="4" w:space="0" w:color="B3B3B3"/>
              <w:bottom w:val="nil"/>
            </w:tcBorders>
            <w:shd w:val="clear" w:color="auto" w:fill="E6E6E6"/>
          </w:tcPr>
          <w:p w14:paraId="2D487BD8" w14:textId="77777777" w:rsidR="005A697A" w:rsidRPr="00C204D4" w:rsidRDefault="005A697A">
            <w:pPr>
              <w:spacing w:before="45" w:after="45"/>
              <w:ind w:left="57" w:right="108"/>
              <w:rPr>
                <w:rFonts w:ascii="Arial (Body)" w:hAnsi="Arial (Body)"/>
                <w:color w:val="000000"/>
                <w:sz w:val="18"/>
              </w:rPr>
            </w:pPr>
            <w:r>
              <w:rPr>
                <w:rFonts w:ascii="Arial (Body)" w:hAnsi="Arial (Body)"/>
                <w:color w:val="000000"/>
                <w:sz w:val="18"/>
              </w:rPr>
              <w:t>Adelaide Primary Health Network</w:t>
            </w:r>
          </w:p>
        </w:tc>
      </w:tr>
      <w:tr w:rsidR="005A697A" w:rsidRPr="00C204D4" w14:paraId="39B35EAE" w14:textId="77777777">
        <w:tc>
          <w:tcPr>
            <w:tcW w:w="9639" w:type="dxa"/>
            <w:tcBorders>
              <w:top w:val="nil"/>
              <w:bottom w:val="nil"/>
            </w:tcBorders>
          </w:tcPr>
          <w:p w14:paraId="052363AC" w14:textId="77777777" w:rsidR="005A697A" w:rsidRPr="00C204D4" w:rsidRDefault="005A697A">
            <w:pPr>
              <w:spacing w:before="45" w:after="45"/>
              <w:ind w:left="57" w:right="108"/>
              <w:rPr>
                <w:rFonts w:ascii="Arial (Body)" w:hAnsi="Arial (Body)"/>
                <w:color w:val="000000"/>
                <w:sz w:val="18"/>
              </w:rPr>
            </w:pPr>
            <w:r>
              <w:rPr>
                <w:rFonts w:ascii="Arial (Body)" w:hAnsi="Arial (Body)"/>
                <w:color w:val="000000"/>
                <w:sz w:val="18"/>
              </w:rPr>
              <w:t>Brisbane North Primary Health Network</w:t>
            </w:r>
          </w:p>
        </w:tc>
      </w:tr>
      <w:tr w:rsidR="005A697A" w:rsidRPr="00C204D4" w14:paraId="188AEEB4" w14:textId="77777777" w:rsidTr="003D6472">
        <w:tc>
          <w:tcPr>
            <w:tcW w:w="9639" w:type="dxa"/>
            <w:tcBorders>
              <w:top w:val="nil"/>
              <w:bottom w:val="nil"/>
            </w:tcBorders>
            <w:shd w:val="clear" w:color="auto" w:fill="E6E6E6"/>
          </w:tcPr>
          <w:p w14:paraId="3143FE99" w14:textId="77777777" w:rsidR="005A697A" w:rsidRPr="00C204D4" w:rsidRDefault="005A697A">
            <w:pPr>
              <w:spacing w:before="45" w:after="45"/>
              <w:ind w:left="57" w:right="108"/>
              <w:rPr>
                <w:rFonts w:ascii="Arial (Body)" w:hAnsi="Arial (Body)"/>
                <w:color w:val="000000"/>
                <w:sz w:val="18"/>
              </w:rPr>
            </w:pPr>
            <w:r>
              <w:rPr>
                <w:rFonts w:ascii="Arial (Body)" w:hAnsi="Arial (Body)"/>
                <w:color w:val="000000"/>
                <w:sz w:val="18"/>
              </w:rPr>
              <w:t>Gold Coast Health</w:t>
            </w:r>
          </w:p>
        </w:tc>
      </w:tr>
      <w:tr w:rsidR="005A697A" w:rsidRPr="00C204D4" w14:paraId="46B93B80" w14:textId="77777777">
        <w:tc>
          <w:tcPr>
            <w:tcW w:w="9639" w:type="dxa"/>
            <w:tcBorders>
              <w:top w:val="nil"/>
              <w:bottom w:val="nil"/>
            </w:tcBorders>
          </w:tcPr>
          <w:p w14:paraId="24F42EEF" w14:textId="77777777" w:rsidR="005A697A" w:rsidRPr="00C204D4" w:rsidRDefault="005A697A">
            <w:pPr>
              <w:spacing w:before="45" w:after="45"/>
              <w:ind w:left="57" w:right="108"/>
              <w:rPr>
                <w:rFonts w:ascii="Arial (Body)" w:hAnsi="Arial (Body)"/>
                <w:color w:val="000000"/>
                <w:sz w:val="18"/>
              </w:rPr>
            </w:pPr>
            <w:r>
              <w:rPr>
                <w:rFonts w:ascii="Arial (Body)" w:hAnsi="Arial (Body)"/>
                <w:color w:val="000000"/>
                <w:sz w:val="18"/>
              </w:rPr>
              <w:t>Hunter New England Local Health District</w:t>
            </w:r>
          </w:p>
        </w:tc>
      </w:tr>
      <w:tr w:rsidR="005A697A" w:rsidRPr="00C204D4" w14:paraId="0227CA96" w14:textId="77777777" w:rsidTr="003D6472">
        <w:tc>
          <w:tcPr>
            <w:tcW w:w="9639" w:type="dxa"/>
            <w:tcBorders>
              <w:top w:val="nil"/>
              <w:bottom w:val="nil"/>
            </w:tcBorders>
            <w:shd w:val="clear" w:color="auto" w:fill="E6E6E6"/>
          </w:tcPr>
          <w:p w14:paraId="4B2C6B93" w14:textId="77777777" w:rsidR="005A697A" w:rsidRPr="00C204D4" w:rsidRDefault="005A697A">
            <w:pPr>
              <w:spacing w:before="45" w:after="45"/>
              <w:ind w:left="57" w:right="108"/>
              <w:rPr>
                <w:rFonts w:ascii="Arial (Body)" w:hAnsi="Arial (Body)"/>
                <w:color w:val="000000"/>
                <w:sz w:val="18"/>
              </w:rPr>
            </w:pPr>
            <w:r>
              <w:rPr>
                <w:rFonts w:ascii="Arial (Body)" w:hAnsi="Arial (Body)"/>
                <w:color w:val="000000"/>
                <w:sz w:val="18"/>
              </w:rPr>
              <w:t>Metro North Hospital and Health Service</w:t>
            </w:r>
          </w:p>
        </w:tc>
      </w:tr>
      <w:tr w:rsidR="005A697A" w:rsidRPr="00C204D4" w14:paraId="762F5877" w14:textId="77777777">
        <w:tc>
          <w:tcPr>
            <w:tcW w:w="9639" w:type="dxa"/>
            <w:tcBorders>
              <w:top w:val="nil"/>
              <w:bottom w:val="nil"/>
            </w:tcBorders>
          </w:tcPr>
          <w:p w14:paraId="4B938A59" w14:textId="77777777" w:rsidR="005A697A" w:rsidRPr="00C204D4" w:rsidRDefault="005A697A">
            <w:pPr>
              <w:spacing w:before="45" w:after="45"/>
              <w:ind w:left="57" w:right="108"/>
              <w:rPr>
                <w:rFonts w:ascii="Arial (Body)" w:hAnsi="Arial (Body)"/>
                <w:color w:val="000000"/>
                <w:sz w:val="18"/>
              </w:rPr>
            </w:pPr>
            <w:proofErr w:type="gramStart"/>
            <w:r>
              <w:rPr>
                <w:rFonts w:ascii="Arial (Body)" w:hAnsi="Arial (Body)"/>
                <w:color w:val="000000"/>
                <w:sz w:val="18"/>
              </w:rPr>
              <w:t>North Western</w:t>
            </w:r>
            <w:proofErr w:type="gramEnd"/>
            <w:r>
              <w:rPr>
                <w:rFonts w:ascii="Arial (Body)" w:hAnsi="Arial (Body)"/>
                <w:color w:val="000000"/>
                <w:sz w:val="18"/>
              </w:rPr>
              <w:t xml:space="preserve"> Melbourne Primary Health Network</w:t>
            </w:r>
          </w:p>
        </w:tc>
      </w:tr>
      <w:tr w:rsidR="005A697A" w:rsidRPr="00C204D4" w14:paraId="6E07C49B" w14:textId="77777777" w:rsidTr="003D6472">
        <w:tc>
          <w:tcPr>
            <w:tcW w:w="9639" w:type="dxa"/>
            <w:tcBorders>
              <w:top w:val="nil"/>
              <w:bottom w:val="nil"/>
            </w:tcBorders>
            <w:shd w:val="clear" w:color="auto" w:fill="E6E6E6"/>
          </w:tcPr>
          <w:p w14:paraId="1161BFCD" w14:textId="77777777" w:rsidR="005A697A" w:rsidRPr="00C204D4" w:rsidRDefault="005A697A">
            <w:pPr>
              <w:spacing w:before="45" w:after="45"/>
              <w:ind w:left="57" w:right="108"/>
              <w:rPr>
                <w:rFonts w:ascii="Arial (Body)" w:hAnsi="Arial (Body)"/>
                <w:color w:val="000000"/>
                <w:sz w:val="18"/>
              </w:rPr>
            </w:pPr>
            <w:r>
              <w:rPr>
                <w:rFonts w:ascii="Arial (Body)" w:hAnsi="Arial (Body)"/>
                <w:color w:val="000000"/>
                <w:sz w:val="18"/>
              </w:rPr>
              <w:t>North Adelaide Local Health Network</w:t>
            </w:r>
          </w:p>
        </w:tc>
      </w:tr>
      <w:tr w:rsidR="005A697A" w:rsidRPr="00C204D4" w14:paraId="32175BC2" w14:textId="77777777">
        <w:tc>
          <w:tcPr>
            <w:tcW w:w="9639" w:type="dxa"/>
            <w:tcBorders>
              <w:top w:val="nil"/>
              <w:bottom w:val="nil"/>
            </w:tcBorders>
          </w:tcPr>
          <w:p w14:paraId="3B0E63CC" w14:textId="77777777" w:rsidR="005A697A" w:rsidRPr="00C204D4" w:rsidRDefault="005A697A">
            <w:pPr>
              <w:spacing w:before="45" w:after="45"/>
              <w:ind w:left="57" w:right="108"/>
              <w:rPr>
                <w:rFonts w:ascii="Arial (Body)" w:hAnsi="Arial (Body)"/>
                <w:color w:val="000000"/>
                <w:sz w:val="18"/>
              </w:rPr>
            </w:pPr>
            <w:r>
              <w:rPr>
                <w:rFonts w:ascii="Arial (Body)" w:hAnsi="Arial (Body)"/>
                <w:color w:val="000000"/>
                <w:sz w:val="18"/>
              </w:rPr>
              <w:t>Northern Sydney Local Health District</w:t>
            </w:r>
          </w:p>
        </w:tc>
      </w:tr>
      <w:tr w:rsidR="005A697A" w:rsidRPr="00C204D4" w14:paraId="2623EF2A" w14:textId="77777777" w:rsidTr="003D6472">
        <w:tc>
          <w:tcPr>
            <w:tcW w:w="9639" w:type="dxa"/>
            <w:tcBorders>
              <w:top w:val="nil"/>
              <w:bottom w:val="nil"/>
            </w:tcBorders>
            <w:shd w:val="clear" w:color="auto" w:fill="E6E6E6"/>
          </w:tcPr>
          <w:p w14:paraId="4527E25D" w14:textId="77777777" w:rsidR="005A697A" w:rsidRPr="00C204D4" w:rsidRDefault="005A697A">
            <w:pPr>
              <w:spacing w:before="45" w:after="45"/>
              <w:ind w:left="57" w:right="108"/>
              <w:rPr>
                <w:rFonts w:ascii="Arial (Body)" w:hAnsi="Arial (Body)"/>
                <w:color w:val="000000"/>
                <w:sz w:val="18"/>
              </w:rPr>
            </w:pPr>
            <w:r>
              <w:rPr>
                <w:rFonts w:ascii="Arial (Body)" w:hAnsi="Arial (Body)"/>
                <w:color w:val="000000"/>
                <w:sz w:val="18"/>
              </w:rPr>
              <w:t>Northern Sydney Primary Health Network</w:t>
            </w:r>
          </w:p>
        </w:tc>
      </w:tr>
      <w:tr w:rsidR="005A697A" w:rsidRPr="00C204D4" w14:paraId="11CB18AA" w14:textId="77777777">
        <w:tc>
          <w:tcPr>
            <w:tcW w:w="9639" w:type="dxa"/>
            <w:tcBorders>
              <w:top w:val="nil"/>
              <w:bottom w:val="single" w:sz="4" w:space="0" w:color="BFBFBF" w:themeColor="background1" w:themeShade="BF"/>
            </w:tcBorders>
          </w:tcPr>
          <w:p w14:paraId="4B9AEEE1" w14:textId="77777777" w:rsidR="005A697A" w:rsidRPr="00C204D4" w:rsidRDefault="005A697A">
            <w:pPr>
              <w:spacing w:before="45" w:after="45"/>
              <w:ind w:left="57" w:right="108"/>
              <w:rPr>
                <w:rFonts w:ascii="Arial (Body)" w:hAnsi="Arial (Body)"/>
                <w:color w:val="000000"/>
                <w:sz w:val="18"/>
              </w:rPr>
            </w:pPr>
            <w:r>
              <w:rPr>
                <w:rFonts w:ascii="Arial (Body)" w:hAnsi="Arial (Body)"/>
                <w:color w:val="000000"/>
                <w:sz w:val="18"/>
              </w:rPr>
              <w:t>Northern Territory Health</w:t>
            </w:r>
          </w:p>
        </w:tc>
      </w:tr>
    </w:tbl>
    <w:p w14:paraId="377DECF4" w14:textId="77777777" w:rsidR="005A697A" w:rsidRDefault="005A697A">
      <w:pPr>
        <w:pStyle w:val="BodyText"/>
      </w:pPr>
    </w:p>
    <w:tbl>
      <w:tblPr>
        <w:tblW w:w="9639" w:type="dxa"/>
        <w:tblBorders>
          <w:bottom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9639"/>
      </w:tblGrid>
      <w:tr w:rsidR="005A697A" w14:paraId="6C036FB8" w14:textId="77777777">
        <w:trPr>
          <w:tblHeader/>
        </w:trPr>
        <w:tc>
          <w:tcPr>
            <w:tcW w:w="9639" w:type="dxa"/>
            <w:tcBorders>
              <w:bottom w:val="single" w:sz="4" w:space="0" w:color="BFBFBF" w:themeColor="background1" w:themeShade="BF"/>
            </w:tcBorders>
            <w:vAlign w:val="bottom"/>
          </w:tcPr>
          <w:p w14:paraId="74F81325" w14:textId="77777777" w:rsidR="005A697A" w:rsidRDefault="005A697A">
            <w:pPr>
              <w:spacing w:before="45" w:after="45"/>
              <w:ind w:left="57" w:right="108"/>
              <w:rPr>
                <w:rFonts w:ascii="Arial (Body)" w:hAnsi="Arial (Body)"/>
                <w:b/>
                <w:color w:val="265A9A"/>
                <w:sz w:val="18"/>
              </w:rPr>
            </w:pPr>
            <w:r>
              <w:rPr>
                <w:rFonts w:ascii="Arial (Body)" w:hAnsi="Arial (Body)"/>
                <w:b/>
                <w:color w:val="265A9A"/>
                <w:sz w:val="18"/>
              </w:rPr>
              <w:t>17 September 2025 – Regulation reform workshop</w:t>
            </w:r>
          </w:p>
        </w:tc>
      </w:tr>
      <w:tr w:rsidR="005A697A" w:rsidRPr="00C204D4" w14:paraId="258E3FC4" w14:textId="77777777">
        <w:trPr>
          <w:tblHeader/>
        </w:trPr>
        <w:tc>
          <w:tcPr>
            <w:tcW w:w="9639" w:type="dxa"/>
            <w:tcBorders>
              <w:top w:val="single" w:sz="4" w:space="0" w:color="BFBFBF" w:themeColor="background1" w:themeShade="BF"/>
              <w:bottom w:val="single" w:sz="4" w:space="0" w:color="BFBFBF" w:themeColor="background1" w:themeShade="BF"/>
            </w:tcBorders>
            <w:vAlign w:val="bottom"/>
          </w:tcPr>
          <w:p w14:paraId="5AE1DAA8" w14:textId="72EE5945" w:rsidR="005A697A" w:rsidRPr="00C204D4" w:rsidRDefault="005A697A">
            <w:pPr>
              <w:spacing w:before="45" w:after="45"/>
              <w:ind w:left="57" w:right="108"/>
              <w:rPr>
                <w:rFonts w:ascii="Arial (Body)" w:hAnsi="Arial (Body)"/>
                <w:b/>
                <w:color w:val="265A9A"/>
                <w:sz w:val="18"/>
              </w:rPr>
            </w:pPr>
            <w:r>
              <w:rPr>
                <w:rFonts w:ascii="Arial (Body)" w:hAnsi="Arial (Body)"/>
                <w:b/>
                <w:color w:val="265A9A"/>
                <w:sz w:val="18"/>
              </w:rPr>
              <w:t>Participant</w:t>
            </w:r>
            <w:r w:rsidR="0000226A">
              <w:rPr>
                <w:rFonts w:ascii="Arial (Body)" w:hAnsi="Arial (Body)"/>
                <w:b/>
                <w:color w:val="265A9A"/>
                <w:sz w:val="18"/>
              </w:rPr>
              <w:t>s</w:t>
            </w:r>
          </w:p>
        </w:tc>
      </w:tr>
      <w:tr w:rsidR="005A697A" w:rsidRPr="00C204D4" w14:paraId="3D2AE4E8" w14:textId="77777777" w:rsidTr="003D6472">
        <w:tc>
          <w:tcPr>
            <w:tcW w:w="9639" w:type="dxa"/>
            <w:tcBorders>
              <w:top w:val="single" w:sz="4" w:space="0" w:color="BFBFBF" w:themeColor="background1" w:themeShade="BF"/>
            </w:tcBorders>
            <w:shd w:val="clear" w:color="auto" w:fill="E6E6E6"/>
          </w:tcPr>
          <w:p w14:paraId="5D3108C9" w14:textId="77777777" w:rsidR="005A697A" w:rsidRPr="00C204D4" w:rsidRDefault="005A697A">
            <w:pPr>
              <w:spacing w:before="45" w:after="45"/>
              <w:ind w:left="57" w:right="108"/>
              <w:rPr>
                <w:rFonts w:ascii="Arial (Body)" w:hAnsi="Arial (Body)"/>
                <w:color w:val="000000"/>
                <w:sz w:val="18"/>
              </w:rPr>
            </w:pPr>
            <w:r w:rsidRPr="00052FE4">
              <w:rPr>
                <w:rFonts w:ascii="Arial (Body)" w:hAnsi="Arial (Body)"/>
                <w:color w:val="000000"/>
                <w:sz w:val="18"/>
              </w:rPr>
              <w:t>The Benevolent Society</w:t>
            </w:r>
          </w:p>
        </w:tc>
      </w:tr>
      <w:tr w:rsidR="005A697A" w:rsidRPr="00C204D4" w14:paraId="577FDBB4" w14:textId="77777777">
        <w:tc>
          <w:tcPr>
            <w:tcW w:w="9639" w:type="dxa"/>
          </w:tcPr>
          <w:p w14:paraId="319C629C" w14:textId="77777777" w:rsidR="005A697A" w:rsidRPr="00C204D4" w:rsidRDefault="005A697A">
            <w:pPr>
              <w:spacing w:before="45" w:after="45"/>
              <w:ind w:left="57" w:right="108"/>
              <w:rPr>
                <w:rFonts w:ascii="Arial (Body)" w:hAnsi="Arial (Body)"/>
                <w:color w:val="000000"/>
                <w:sz w:val="18"/>
              </w:rPr>
            </w:pPr>
            <w:r w:rsidRPr="00052FE4">
              <w:rPr>
                <w:rFonts w:ascii="Arial (Body)" w:hAnsi="Arial (Body)"/>
                <w:color w:val="000000"/>
                <w:sz w:val="18"/>
              </w:rPr>
              <w:t>Uniting NSW</w:t>
            </w:r>
            <w:r>
              <w:rPr>
                <w:rFonts w:ascii="Arial (Body)" w:hAnsi="Arial (Body)"/>
                <w:color w:val="000000"/>
                <w:sz w:val="18"/>
              </w:rPr>
              <w:t>.</w:t>
            </w:r>
            <w:r w:rsidRPr="00052FE4">
              <w:rPr>
                <w:rFonts w:ascii="Arial (Body)" w:hAnsi="Arial (Body)"/>
                <w:color w:val="000000"/>
                <w:sz w:val="18"/>
              </w:rPr>
              <w:t>ACT</w:t>
            </w:r>
          </w:p>
        </w:tc>
      </w:tr>
      <w:tr w:rsidR="005A697A" w:rsidRPr="00C204D4" w14:paraId="603BD43B" w14:textId="77777777" w:rsidTr="003D6472">
        <w:tc>
          <w:tcPr>
            <w:tcW w:w="9639" w:type="dxa"/>
            <w:shd w:val="clear" w:color="auto" w:fill="E6E6E6"/>
          </w:tcPr>
          <w:p w14:paraId="5F1C6AD8" w14:textId="77777777" w:rsidR="005A697A" w:rsidRPr="00C204D4" w:rsidRDefault="005A697A">
            <w:pPr>
              <w:spacing w:before="45" w:after="45"/>
              <w:ind w:left="57" w:right="108"/>
              <w:rPr>
                <w:rFonts w:ascii="Arial (Body)" w:hAnsi="Arial (Body)"/>
                <w:color w:val="000000"/>
                <w:sz w:val="18"/>
              </w:rPr>
            </w:pPr>
            <w:r w:rsidRPr="00052FE4">
              <w:rPr>
                <w:rFonts w:ascii="Arial (Body)" w:hAnsi="Arial (Body)"/>
                <w:color w:val="000000"/>
                <w:sz w:val="18"/>
              </w:rPr>
              <w:t>Brotherhood of St</w:t>
            </w:r>
            <w:r>
              <w:rPr>
                <w:rFonts w:ascii="Arial (Body)" w:hAnsi="Arial (Body)"/>
                <w:color w:val="000000"/>
                <w:sz w:val="18"/>
              </w:rPr>
              <w:t>.</w:t>
            </w:r>
            <w:r w:rsidRPr="00052FE4">
              <w:rPr>
                <w:rFonts w:ascii="Arial (Body)" w:hAnsi="Arial (Body)"/>
                <w:color w:val="000000"/>
                <w:sz w:val="18"/>
              </w:rPr>
              <w:t xml:space="preserve"> Laurence (BSL)</w:t>
            </w:r>
          </w:p>
        </w:tc>
      </w:tr>
      <w:tr w:rsidR="005A697A" w:rsidRPr="00C204D4" w14:paraId="14624613" w14:textId="77777777">
        <w:tc>
          <w:tcPr>
            <w:tcW w:w="9639" w:type="dxa"/>
          </w:tcPr>
          <w:p w14:paraId="7249CD9F" w14:textId="77777777" w:rsidR="005A697A" w:rsidRPr="00C204D4" w:rsidRDefault="005A697A">
            <w:pPr>
              <w:spacing w:before="45" w:after="45"/>
              <w:ind w:left="57" w:right="108"/>
              <w:rPr>
                <w:rFonts w:ascii="Arial (Body)" w:hAnsi="Arial (Body)"/>
                <w:color w:val="000000"/>
                <w:sz w:val="18"/>
              </w:rPr>
            </w:pPr>
            <w:r w:rsidRPr="00FF07C6">
              <w:rPr>
                <w:rFonts w:ascii="Arial (Body)" w:hAnsi="Arial (Body)"/>
                <w:color w:val="000000"/>
                <w:sz w:val="18"/>
              </w:rPr>
              <w:t>VIVA Mutual</w:t>
            </w:r>
          </w:p>
        </w:tc>
      </w:tr>
      <w:tr w:rsidR="005A697A" w:rsidRPr="00C204D4" w14:paraId="07D327BE" w14:textId="77777777" w:rsidTr="003D6472">
        <w:tc>
          <w:tcPr>
            <w:tcW w:w="9639" w:type="dxa"/>
            <w:shd w:val="clear" w:color="auto" w:fill="E6E6E6"/>
          </w:tcPr>
          <w:p w14:paraId="1926FD61" w14:textId="77777777" w:rsidR="005A697A" w:rsidRPr="00C204D4" w:rsidRDefault="005A697A">
            <w:pPr>
              <w:spacing w:before="45" w:after="45"/>
              <w:ind w:left="57" w:right="108"/>
              <w:rPr>
                <w:rFonts w:ascii="Arial (Body)" w:hAnsi="Arial (Body)"/>
                <w:color w:val="000000"/>
                <w:sz w:val="18"/>
              </w:rPr>
            </w:pPr>
            <w:r w:rsidRPr="00FF07C6">
              <w:rPr>
                <w:rFonts w:ascii="Arial (Body)" w:hAnsi="Arial (Body)"/>
                <w:color w:val="000000"/>
                <w:sz w:val="18"/>
              </w:rPr>
              <w:t>SDN Children’s Services</w:t>
            </w:r>
          </w:p>
        </w:tc>
      </w:tr>
      <w:tr w:rsidR="005A697A" w:rsidRPr="00C204D4" w14:paraId="356B6F9B" w14:textId="77777777">
        <w:tc>
          <w:tcPr>
            <w:tcW w:w="9639" w:type="dxa"/>
          </w:tcPr>
          <w:p w14:paraId="4AA84BA9" w14:textId="77777777" w:rsidR="005A697A" w:rsidRPr="00C204D4" w:rsidRDefault="005A697A">
            <w:pPr>
              <w:spacing w:before="45" w:after="45"/>
              <w:ind w:left="57" w:right="108"/>
              <w:rPr>
                <w:rFonts w:ascii="Arial (Body)" w:hAnsi="Arial (Body)"/>
                <w:color w:val="000000"/>
                <w:sz w:val="18"/>
              </w:rPr>
            </w:pPr>
            <w:r w:rsidRPr="00FF07C6">
              <w:rPr>
                <w:rFonts w:ascii="Arial (Body)" w:hAnsi="Arial (Body)"/>
                <w:color w:val="000000"/>
                <w:sz w:val="18"/>
              </w:rPr>
              <w:t>Life Without Barriers</w:t>
            </w:r>
          </w:p>
        </w:tc>
      </w:tr>
    </w:tbl>
    <w:p w14:paraId="75A565A5" w14:textId="77777777" w:rsidR="005A697A" w:rsidRDefault="005A697A">
      <w:pPr>
        <w:pStyle w:val="BodyText"/>
      </w:pPr>
    </w:p>
    <w:tbl>
      <w:tblPr>
        <w:tblW w:w="9639" w:type="dxa"/>
        <w:tblBorders>
          <w:bottom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9639"/>
      </w:tblGrid>
      <w:tr w:rsidR="005A697A" w14:paraId="67B3520B" w14:textId="77777777" w:rsidTr="00077B26">
        <w:trPr>
          <w:tblHeader/>
        </w:trPr>
        <w:tc>
          <w:tcPr>
            <w:tcW w:w="9639" w:type="dxa"/>
            <w:tcBorders>
              <w:bottom w:val="single" w:sz="4" w:space="0" w:color="BFBFBF" w:themeColor="background1" w:themeShade="BF"/>
            </w:tcBorders>
            <w:vAlign w:val="bottom"/>
          </w:tcPr>
          <w:p w14:paraId="65397110" w14:textId="77777777" w:rsidR="005A697A" w:rsidRDefault="005A697A">
            <w:pPr>
              <w:spacing w:before="45" w:after="45"/>
              <w:ind w:left="57" w:right="108"/>
              <w:rPr>
                <w:rFonts w:ascii="Arial (Body)" w:hAnsi="Arial (Body)"/>
                <w:b/>
                <w:color w:val="265A9A"/>
                <w:sz w:val="18"/>
              </w:rPr>
            </w:pPr>
            <w:r>
              <w:rPr>
                <w:rFonts w:ascii="Arial (Body)" w:hAnsi="Arial (Body)"/>
                <w:b/>
                <w:color w:val="265A9A"/>
                <w:sz w:val="18"/>
              </w:rPr>
              <w:t>30 September 2025 – Regulation reform roundtable</w:t>
            </w:r>
          </w:p>
        </w:tc>
      </w:tr>
      <w:tr w:rsidR="005A697A" w:rsidRPr="00C204D4" w14:paraId="1899CF20" w14:textId="77777777" w:rsidTr="00077B26">
        <w:trPr>
          <w:tblHeader/>
        </w:trPr>
        <w:tc>
          <w:tcPr>
            <w:tcW w:w="9639" w:type="dxa"/>
            <w:tcBorders>
              <w:top w:val="single" w:sz="4" w:space="0" w:color="BFBFBF" w:themeColor="background1" w:themeShade="BF"/>
              <w:bottom w:val="single" w:sz="4" w:space="0" w:color="BFBFBF" w:themeColor="background1" w:themeShade="BF"/>
            </w:tcBorders>
            <w:vAlign w:val="bottom"/>
          </w:tcPr>
          <w:p w14:paraId="655F6B07" w14:textId="0B5298C4" w:rsidR="005A697A" w:rsidRPr="00C204D4" w:rsidRDefault="005A697A">
            <w:pPr>
              <w:spacing w:before="45" w:after="45"/>
              <w:ind w:left="57" w:right="108"/>
              <w:rPr>
                <w:rFonts w:ascii="Arial (Body)" w:hAnsi="Arial (Body)"/>
                <w:b/>
                <w:color w:val="265A9A"/>
                <w:sz w:val="18"/>
              </w:rPr>
            </w:pPr>
            <w:r>
              <w:rPr>
                <w:rFonts w:ascii="Arial (Body)" w:hAnsi="Arial (Body)"/>
                <w:b/>
                <w:color w:val="265A9A"/>
                <w:sz w:val="18"/>
              </w:rPr>
              <w:t>Participant</w:t>
            </w:r>
            <w:r w:rsidR="0000226A">
              <w:rPr>
                <w:rFonts w:ascii="Arial (Body)" w:hAnsi="Arial (Body)"/>
                <w:b/>
                <w:color w:val="265A9A"/>
                <w:sz w:val="18"/>
              </w:rPr>
              <w:t>s</w:t>
            </w:r>
          </w:p>
        </w:tc>
      </w:tr>
      <w:tr w:rsidR="005A697A" w:rsidRPr="00C204D4" w14:paraId="5B29A69B" w14:textId="77777777" w:rsidTr="003D6472">
        <w:tc>
          <w:tcPr>
            <w:tcW w:w="9639" w:type="dxa"/>
            <w:tcBorders>
              <w:top w:val="single" w:sz="4" w:space="0" w:color="BFBFBF" w:themeColor="background1" w:themeShade="BF"/>
            </w:tcBorders>
            <w:shd w:val="clear" w:color="auto" w:fill="E6E6E6"/>
          </w:tcPr>
          <w:p w14:paraId="5FABC176" w14:textId="77777777" w:rsidR="005A697A" w:rsidRPr="00C204D4" w:rsidRDefault="005A697A">
            <w:pPr>
              <w:spacing w:before="45" w:after="45"/>
              <w:ind w:left="57" w:right="108"/>
              <w:rPr>
                <w:rFonts w:ascii="Arial (Body)" w:hAnsi="Arial (Body)"/>
                <w:color w:val="000000"/>
                <w:sz w:val="18"/>
              </w:rPr>
            </w:pPr>
            <w:r w:rsidRPr="004360DF">
              <w:rPr>
                <w:rFonts w:ascii="Arial (Body)" w:hAnsi="Arial (Body)"/>
                <w:color w:val="000000"/>
                <w:sz w:val="18"/>
              </w:rPr>
              <w:t>Ageing Australia</w:t>
            </w:r>
          </w:p>
        </w:tc>
      </w:tr>
      <w:tr w:rsidR="005A697A" w:rsidRPr="00C204D4" w14:paraId="7F363FAC" w14:textId="77777777">
        <w:tc>
          <w:tcPr>
            <w:tcW w:w="9639" w:type="dxa"/>
          </w:tcPr>
          <w:p w14:paraId="67E960DF" w14:textId="77777777" w:rsidR="005A697A" w:rsidRPr="00C204D4" w:rsidRDefault="005A697A">
            <w:pPr>
              <w:spacing w:before="45" w:after="45"/>
              <w:ind w:left="57" w:right="108"/>
              <w:rPr>
                <w:rFonts w:ascii="Arial (Body)" w:hAnsi="Arial (Body)"/>
                <w:color w:val="000000"/>
                <w:sz w:val="18"/>
              </w:rPr>
            </w:pPr>
            <w:r w:rsidRPr="00154E44">
              <w:rPr>
                <w:rFonts w:ascii="Arial (Body)" w:hAnsi="Arial (Body)"/>
                <w:color w:val="000000"/>
                <w:sz w:val="18"/>
              </w:rPr>
              <w:t>National Disability Services (NDS)</w:t>
            </w:r>
          </w:p>
        </w:tc>
      </w:tr>
      <w:tr w:rsidR="005A697A" w:rsidRPr="00C204D4" w14:paraId="27AA82E6" w14:textId="77777777" w:rsidTr="003D6472">
        <w:tc>
          <w:tcPr>
            <w:tcW w:w="9639" w:type="dxa"/>
            <w:shd w:val="clear" w:color="auto" w:fill="E6E6E6"/>
          </w:tcPr>
          <w:p w14:paraId="5F35A291" w14:textId="77777777" w:rsidR="005A697A" w:rsidRPr="00C204D4" w:rsidRDefault="005A697A">
            <w:pPr>
              <w:spacing w:before="45" w:after="45"/>
              <w:ind w:left="57" w:right="108"/>
              <w:rPr>
                <w:rFonts w:ascii="Arial (Body)" w:hAnsi="Arial (Body)"/>
                <w:color w:val="000000"/>
                <w:sz w:val="18"/>
              </w:rPr>
            </w:pPr>
            <w:r w:rsidRPr="005C6B75">
              <w:rPr>
                <w:rFonts w:ascii="Arial (Body)" w:hAnsi="Arial (Body)"/>
                <w:color w:val="000000"/>
                <w:sz w:val="18"/>
              </w:rPr>
              <w:t>Council on the Ageing Australia (COTA)</w:t>
            </w:r>
          </w:p>
        </w:tc>
      </w:tr>
      <w:tr w:rsidR="005A697A" w:rsidRPr="00C204D4" w14:paraId="018948C7" w14:textId="77777777">
        <w:tc>
          <w:tcPr>
            <w:tcW w:w="9639" w:type="dxa"/>
          </w:tcPr>
          <w:p w14:paraId="536C6C73" w14:textId="77777777" w:rsidR="005A697A" w:rsidRPr="00C204D4" w:rsidRDefault="005A697A">
            <w:pPr>
              <w:spacing w:before="45" w:after="45"/>
              <w:ind w:left="57" w:right="108"/>
              <w:rPr>
                <w:rFonts w:ascii="Arial (Body)" w:hAnsi="Arial (Body)"/>
                <w:color w:val="000000"/>
                <w:sz w:val="18"/>
              </w:rPr>
            </w:pPr>
            <w:r w:rsidRPr="00572580">
              <w:rPr>
                <w:rFonts w:ascii="Arial (Body)" w:hAnsi="Arial (Body)"/>
                <w:color w:val="000000"/>
                <w:sz w:val="18"/>
              </w:rPr>
              <w:t>People with Disability Australia (PWDA)</w:t>
            </w:r>
          </w:p>
        </w:tc>
      </w:tr>
      <w:tr w:rsidR="005A697A" w:rsidRPr="00C204D4" w14:paraId="125478D6" w14:textId="77777777" w:rsidTr="003D6472">
        <w:tc>
          <w:tcPr>
            <w:tcW w:w="9639" w:type="dxa"/>
            <w:shd w:val="clear" w:color="auto" w:fill="E6E6E6"/>
          </w:tcPr>
          <w:p w14:paraId="0AB9BB56" w14:textId="77777777" w:rsidR="005A697A" w:rsidRPr="00C204D4" w:rsidRDefault="005A697A">
            <w:pPr>
              <w:spacing w:before="45" w:after="45"/>
              <w:ind w:left="57" w:right="108"/>
              <w:rPr>
                <w:rFonts w:ascii="Arial (Body)" w:hAnsi="Arial (Body)"/>
                <w:color w:val="000000"/>
                <w:sz w:val="18"/>
              </w:rPr>
            </w:pPr>
            <w:r w:rsidRPr="000D568A">
              <w:rPr>
                <w:rFonts w:ascii="Arial (Body)" w:hAnsi="Arial (Body)"/>
                <w:color w:val="000000"/>
                <w:sz w:val="18"/>
              </w:rPr>
              <w:t>Private Healthcare Australia (PVA)</w:t>
            </w:r>
          </w:p>
        </w:tc>
      </w:tr>
      <w:tr w:rsidR="005A697A" w:rsidRPr="00C204D4" w14:paraId="679C794B" w14:textId="77777777">
        <w:tc>
          <w:tcPr>
            <w:tcW w:w="9639" w:type="dxa"/>
          </w:tcPr>
          <w:p w14:paraId="4DAC5743" w14:textId="77777777" w:rsidR="005A697A" w:rsidRPr="00C204D4" w:rsidRDefault="005A697A">
            <w:pPr>
              <w:spacing w:before="45" w:after="45"/>
              <w:ind w:left="57" w:right="108"/>
              <w:rPr>
                <w:rFonts w:ascii="Arial (Body)" w:hAnsi="Arial (Body)"/>
                <w:color w:val="000000"/>
                <w:sz w:val="18"/>
              </w:rPr>
            </w:pPr>
            <w:r w:rsidRPr="00B270AB">
              <w:rPr>
                <w:rFonts w:ascii="Arial (Body)" w:hAnsi="Arial (Body)"/>
                <w:color w:val="000000"/>
                <w:sz w:val="18"/>
              </w:rPr>
              <w:t>Australian Industry Group</w:t>
            </w:r>
          </w:p>
        </w:tc>
      </w:tr>
      <w:tr w:rsidR="005A697A" w:rsidRPr="00C204D4" w14:paraId="32555583" w14:textId="77777777" w:rsidTr="003D6472">
        <w:tc>
          <w:tcPr>
            <w:tcW w:w="9639" w:type="dxa"/>
            <w:shd w:val="clear" w:color="auto" w:fill="E6E6E6"/>
          </w:tcPr>
          <w:p w14:paraId="78E63392" w14:textId="77777777" w:rsidR="005A697A" w:rsidRPr="00C204D4" w:rsidRDefault="005A697A">
            <w:pPr>
              <w:spacing w:before="45" w:after="45"/>
              <w:ind w:left="57" w:right="108"/>
              <w:rPr>
                <w:rFonts w:ascii="Arial (Body)" w:hAnsi="Arial (Body)"/>
                <w:color w:val="000000"/>
                <w:sz w:val="18"/>
              </w:rPr>
            </w:pPr>
            <w:r w:rsidRPr="003249F3">
              <w:rPr>
                <w:rFonts w:ascii="Arial (Body)" w:hAnsi="Arial (Body)"/>
                <w:color w:val="000000"/>
                <w:sz w:val="18"/>
              </w:rPr>
              <w:t>UnitingCare Australia</w:t>
            </w:r>
          </w:p>
        </w:tc>
      </w:tr>
    </w:tbl>
    <w:p w14:paraId="0EBE449B" w14:textId="77777777" w:rsidR="005A697A" w:rsidRDefault="005A697A">
      <w:pPr>
        <w:pStyle w:val="BodyText"/>
      </w:pPr>
    </w:p>
    <w:p w14:paraId="345AA2C2" w14:textId="77777777" w:rsidR="005A697A" w:rsidRDefault="005A697A" w:rsidP="006767CA">
      <w:pPr>
        <w:pStyle w:val="BodyText"/>
      </w:pPr>
      <w:r>
        <w:br w:type="page"/>
      </w:r>
    </w:p>
    <w:p w14:paraId="1422CC03" w14:textId="77777777" w:rsidR="005A697A" w:rsidRDefault="005A697A">
      <w:pPr>
        <w:pStyle w:val="BodyText"/>
        <w:rPr>
          <w:rFonts w:asciiTheme="majorHAnsi" w:hAnsiTheme="majorHAnsi"/>
        </w:rPr>
      </w:pPr>
      <w:r>
        <w:rPr>
          <w:rFonts w:asciiTheme="majorHAnsi" w:hAnsiTheme="majorHAnsi"/>
        </w:rPr>
        <w:lastRenderedPageBreak/>
        <w:t xml:space="preserve">Table A.3 – Submissions </w:t>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5A697A" w:rsidRPr="00A40063" w14:paraId="21353298" w14:textId="77777777">
        <w:trPr>
          <w:tblHeader/>
        </w:trPr>
        <w:tc>
          <w:tcPr>
            <w:tcW w:w="8789" w:type="dxa"/>
            <w:tcBorders>
              <w:bottom w:val="single" w:sz="4" w:space="0" w:color="B3B3B3"/>
            </w:tcBorders>
            <w:shd w:val="clear" w:color="000000" w:fill="auto"/>
            <w:vAlign w:val="bottom"/>
          </w:tcPr>
          <w:p w14:paraId="15F95946" w14:textId="77777777" w:rsidR="005A697A" w:rsidRPr="00A40063" w:rsidRDefault="005A697A">
            <w:pPr>
              <w:pStyle w:val="TableHeading"/>
              <w:spacing w:before="45" w:after="45"/>
              <w:ind w:right="108"/>
              <w:rPr>
                <w:rFonts w:ascii="Arial (Body)" w:hAnsi="Arial (Body)"/>
                <w:color w:val="265A9A"/>
              </w:rPr>
            </w:pPr>
            <w:r w:rsidRPr="00A40063">
              <w:rPr>
                <w:rFonts w:ascii="Arial (Body)" w:hAnsi="Arial (Body)"/>
                <w:color w:val="265A9A"/>
              </w:rPr>
              <w:t>Participants</w:t>
            </w:r>
          </w:p>
        </w:tc>
        <w:tc>
          <w:tcPr>
            <w:tcW w:w="992" w:type="dxa"/>
            <w:tcBorders>
              <w:bottom w:val="single" w:sz="4" w:space="0" w:color="B3B3B3"/>
            </w:tcBorders>
            <w:shd w:val="clear" w:color="000000" w:fill="auto"/>
            <w:vAlign w:val="bottom"/>
          </w:tcPr>
          <w:p w14:paraId="19E27F2A" w14:textId="77777777" w:rsidR="005A697A" w:rsidRPr="00A40063" w:rsidRDefault="005A697A" w:rsidP="00BB0501">
            <w:pPr>
              <w:pStyle w:val="TableHeading"/>
              <w:spacing w:before="45" w:after="45"/>
              <w:ind w:right="108"/>
              <w:jc w:val="right"/>
              <w:rPr>
                <w:rFonts w:ascii="Arial (Body)" w:hAnsi="Arial (Body)"/>
                <w:color w:val="265A9A"/>
              </w:rPr>
            </w:pPr>
            <w:r w:rsidRPr="00A40063">
              <w:rPr>
                <w:rFonts w:ascii="Arial (Body)" w:hAnsi="Arial (Body)"/>
                <w:color w:val="265A9A"/>
              </w:rPr>
              <w:t>Sub no.</w:t>
            </w:r>
          </w:p>
        </w:tc>
      </w:tr>
      <w:tr w:rsidR="005A697A" w:rsidRPr="00A40063" w14:paraId="029841E6" w14:textId="77777777" w:rsidTr="00215BA1">
        <w:trPr>
          <w:tblHeader/>
        </w:trPr>
        <w:tc>
          <w:tcPr>
            <w:tcW w:w="8789" w:type="dxa"/>
            <w:tcBorders>
              <w:top w:val="single" w:sz="4" w:space="0" w:color="B3B3B3"/>
              <w:bottom w:val="nil"/>
            </w:tcBorders>
            <w:shd w:val="clear" w:color="auto" w:fill="E6E6E6"/>
            <w:vAlign w:val="bottom"/>
          </w:tcPr>
          <w:p w14:paraId="10E2BDE0"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Accenture</w:t>
            </w:r>
          </w:p>
        </w:tc>
        <w:tc>
          <w:tcPr>
            <w:tcW w:w="992" w:type="dxa"/>
            <w:tcBorders>
              <w:top w:val="single" w:sz="4" w:space="0" w:color="B3B3B3"/>
              <w:bottom w:val="nil"/>
            </w:tcBorders>
            <w:shd w:val="clear" w:color="auto" w:fill="E6E6E6"/>
            <w:vAlign w:val="bottom"/>
          </w:tcPr>
          <w:p w14:paraId="659AE6E1"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200</w:t>
            </w:r>
          </w:p>
        </w:tc>
      </w:tr>
      <w:tr w:rsidR="005A697A" w:rsidRPr="00A40063" w14:paraId="19550D5D" w14:textId="77777777">
        <w:trPr>
          <w:tblHeader/>
        </w:trPr>
        <w:tc>
          <w:tcPr>
            <w:tcW w:w="8789" w:type="dxa"/>
            <w:tcBorders>
              <w:top w:val="nil"/>
              <w:bottom w:val="nil"/>
            </w:tcBorders>
            <w:shd w:val="clear" w:color="000000" w:fill="auto"/>
            <w:vAlign w:val="bottom"/>
          </w:tcPr>
          <w:p w14:paraId="2624C735"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ACD</w:t>
            </w:r>
          </w:p>
        </w:tc>
        <w:tc>
          <w:tcPr>
            <w:tcW w:w="992" w:type="dxa"/>
            <w:tcBorders>
              <w:top w:val="nil"/>
              <w:bottom w:val="nil"/>
            </w:tcBorders>
            <w:shd w:val="clear" w:color="000000" w:fill="auto"/>
            <w:vAlign w:val="bottom"/>
          </w:tcPr>
          <w:p w14:paraId="6BFB0E00"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78</w:t>
            </w:r>
          </w:p>
        </w:tc>
      </w:tr>
      <w:tr w:rsidR="005A697A" w:rsidRPr="00A40063" w14:paraId="7424BC94" w14:textId="77777777" w:rsidTr="00215BA1">
        <w:trPr>
          <w:tblHeader/>
        </w:trPr>
        <w:tc>
          <w:tcPr>
            <w:tcW w:w="8789" w:type="dxa"/>
            <w:tcBorders>
              <w:bottom w:val="nil"/>
            </w:tcBorders>
            <w:shd w:val="clear" w:color="auto" w:fill="E6E6E6"/>
            <w:vAlign w:val="bottom"/>
          </w:tcPr>
          <w:p w14:paraId="6EEE69E5"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Adam Johnston</w:t>
            </w:r>
          </w:p>
        </w:tc>
        <w:tc>
          <w:tcPr>
            <w:tcW w:w="992" w:type="dxa"/>
            <w:tcBorders>
              <w:bottom w:val="nil"/>
            </w:tcBorders>
            <w:shd w:val="clear" w:color="auto" w:fill="E6E6E6"/>
            <w:vAlign w:val="bottom"/>
          </w:tcPr>
          <w:p w14:paraId="4B617079"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102</w:t>
            </w:r>
          </w:p>
        </w:tc>
      </w:tr>
      <w:tr w:rsidR="005A697A" w:rsidRPr="00A40063" w14:paraId="4D0BE3BF" w14:textId="77777777">
        <w:trPr>
          <w:tblHeader/>
        </w:trPr>
        <w:tc>
          <w:tcPr>
            <w:tcW w:w="8789" w:type="dxa"/>
            <w:tcBorders>
              <w:top w:val="nil"/>
              <w:bottom w:val="nil"/>
            </w:tcBorders>
            <w:shd w:val="clear" w:color="000000" w:fill="auto"/>
            <w:vAlign w:val="bottom"/>
          </w:tcPr>
          <w:p w14:paraId="406365D0"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Adelina Tabila</w:t>
            </w:r>
          </w:p>
        </w:tc>
        <w:tc>
          <w:tcPr>
            <w:tcW w:w="992" w:type="dxa"/>
            <w:tcBorders>
              <w:top w:val="nil"/>
              <w:bottom w:val="nil"/>
            </w:tcBorders>
            <w:shd w:val="clear" w:color="000000" w:fill="auto"/>
            <w:vAlign w:val="bottom"/>
          </w:tcPr>
          <w:p w14:paraId="4045B3B4"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40, 4</w:t>
            </w:r>
            <w:r>
              <w:rPr>
                <w:rFonts w:ascii="Arial (Body)" w:hAnsi="Arial (Body)"/>
                <w:b w:val="0"/>
                <w:bCs/>
                <w:color w:val="auto"/>
              </w:rPr>
              <w:t>3</w:t>
            </w:r>
          </w:p>
        </w:tc>
      </w:tr>
      <w:tr w:rsidR="005A697A" w:rsidRPr="00A40063" w14:paraId="5F636081" w14:textId="77777777" w:rsidTr="00215BA1">
        <w:trPr>
          <w:tblHeader/>
        </w:trPr>
        <w:tc>
          <w:tcPr>
            <w:tcW w:w="8789" w:type="dxa"/>
            <w:tcBorders>
              <w:bottom w:val="nil"/>
            </w:tcBorders>
            <w:shd w:val="clear" w:color="auto" w:fill="E6E6E6"/>
            <w:vAlign w:val="bottom"/>
          </w:tcPr>
          <w:p w14:paraId="5C2CEAAE"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Advanced Pharmacy Australia (</w:t>
            </w:r>
            <w:proofErr w:type="spellStart"/>
            <w:r w:rsidRPr="00C57F74">
              <w:rPr>
                <w:rFonts w:ascii="Arial (Body)" w:hAnsi="Arial (Body)"/>
                <w:b w:val="0"/>
                <w:bCs/>
                <w:color w:val="auto"/>
              </w:rPr>
              <w:t>AdPha</w:t>
            </w:r>
            <w:proofErr w:type="spellEnd"/>
            <w:r w:rsidRPr="00C57F74">
              <w:rPr>
                <w:rFonts w:ascii="Arial (Body)" w:hAnsi="Arial (Body)"/>
                <w:b w:val="0"/>
                <w:bCs/>
                <w:color w:val="auto"/>
              </w:rPr>
              <w:t>)</w:t>
            </w:r>
          </w:p>
        </w:tc>
        <w:tc>
          <w:tcPr>
            <w:tcW w:w="992" w:type="dxa"/>
            <w:tcBorders>
              <w:bottom w:val="nil"/>
            </w:tcBorders>
            <w:shd w:val="clear" w:color="auto" w:fill="E6E6E6"/>
            <w:vAlign w:val="bottom"/>
          </w:tcPr>
          <w:p w14:paraId="4233FC50"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190</w:t>
            </w:r>
          </w:p>
        </w:tc>
      </w:tr>
      <w:tr w:rsidR="005A697A" w:rsidRPr="00A40063" w14:paraId="473D9BA0" w14:textId="77777777">
        <w:trPr>
          <w:tblHeader/>
        </w:trPr>
        <w:tc>
          <w:tcPr>
            <w:tcW w:w="8789" w:type="dxa"/>
            <w:tcBorders>
              <w:top w:val="nil"/>
              <w:bottom w:val="nil"/>
            </w:tcBorders>
            <w:shd w:val="clear" w:color="000000" w:fill="auto"/>
            <w:vAlign w:val="bottom"/>
          </w:tcPr>
          <w:p w14:paraId="027A0DBB"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Aged Care Quality and Safety Commission (ACQSC)</w:t>
            </w:r>
          </w:p>
        </w:tc>
        <w:tc>
          <w:tcPr>
            <w:tcW w:w="992" w:type="dxa"/>
            <w:tcBorders>
              <w:top w:val="nil"/>
              <w:bottom w:val="nil"/>
            </w:tcBorders>
            <w:shd w:val="clear" w:color="000000" w:fill="auto"/>
            <w:vAlign w:val="bottom"/>
          </w:tcPr>
          <w:p w14:paraId="1F6D82BF"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256</w:t>
            </w:r>
          </w:p>
        </w:tc>
      </w:tr>
      <w:tr w:rsidR="005A697A" w:rsidRPr="00A40063" w14:paraId="0EBF584C" w14:textId="77777777" w:rsidTr="00215BA1">
        <w:trPr>
          <w:tblHeader/>
        </w:trPr>
        <w:tc>
          <w:tcPr>
            <w:tcW w:w="8789" w:type="dxa"/>
            <w:tcBorders>
              <w:bottom w:val="nil"/>
            </w:tcBorders>
            <w:shd w:val="clear" w:color="auto" w:fill="E6E6E6"/>
            <w:vAlign w:val="bottom"/>
          </w:tcPr>
          <w:p w14:paraId="2188297C"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Aged Care Research &amp; Industry Innovation Australia (ARIIA)</w:t>
            </w:r>
          </w:p>
        </w:tc>
        <w:tc>
          <w:tcPr>
            <w:tcW w:w="992" w:type="dxa"/>
            <w:tcBorders>
              <w:bottom w:val="nil"/>
            </w:tcBorders>
            <w:shd w:val="clear" w:color="auto" w:fill="E6E6E6"/>
            <w:vAlign w:val="bottom"/>
          </w:tcPr>
          <w:p w14:paraId="7FAC4426"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122</w:t>
            </w:r>
          </w:p>
        </w:tc>
      </w:tr>
      <w:tr w:rsidR="005A697A" w:rsidRPr="00A40063" w14:paraId="77B47488" w14:textId="77777777">
        <w:trPr>
          <w:tblHeader/>
        </w:trPr>
        <w:tc>
          <w:tcPr>
            <w:tcW w:w="8789" w:type="dxa"/>
            <w:tcBorders>
              <w:top w:val="nil"/>
              <w:bottom w:val="nil"/>
            </w:tcBorders>
            <w:shd w:val="clear" w:color="000000" w:fill="auto"/>
            <w:vAlign w:val="bottom"/>
          </w:tcPr>
          <w:p w14:paraId="5DAB2410"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Aged Care Workforce Remote Accord (Remote Accord)</w:t>
            </w:r>
          </w:p>
        </w:tc>
        <w:tc>
          <w:tcPr>
            <w:tcW w:w="992" w:type="dxa"/>
            <w:tcBorders>
              <w:top w:val="nil"/>
              <w:bottom w:val="nil"/>
            </w:tcBorders>
            <w:shd w:val="clear" w:color="000000" w:fill="auto"/>
            <w:vAlign w:val="bottom"/>
          </w:tcPr>
          <w:p w14:paraId="09936C75"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109</w:t>
            </w:r>
          </w:p>
        </w:tc>
      </w:tr>
      <w:tr w:rsidR="005A697A" w:rsidRPr="00A40063" w14:paraId="3A9A422D" w14:textId="77777777" w:rsidTr="00215BA1">
        <w:trPr>
          <w:tblHeader/>
        </w:trPr>
        <w:tc>
          <w:tcPr>
            <w:tcW w:w="8789" w:type="dxa"/>
            <w:tcBorders>
              <w:bottom w:val="nil"/>
            </w:tcBorders>
            <w:shd w:val="clear" w:color="auto" w:fill="E6E6E6"/>
            <w:vAlign w:val="bottom"/>
          </w:tcPr>
          <w:p w14:paraId="60E76FCE"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Ageing Australia</w:t>
            </w:r>
          </w:p>
        </w:tc>
        <w:tc>
          <w:tcPr>
            <w:tcW w:w="992" w:type="dxa"/>
            <w:tcBorders>
              <w:bottom w:val="nil"/>
            </w:tcBorders>
            <w:shd w:val="clear" w:color="auto" w:fill="E6E6E6"/>
            <w:vAlign w:val="bottom"/>
          </w:tcPr>
          <w:p w14:paraId="29B908FB"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20, 161</w:t>
            </w:r>
          </w:p>
        </w:tc>
      </w:tr>
      <w:tr w:rsidR="005A697A" w:rsidRPr="00A40063" w14:paraId="399B28A7" w14:textId="77777777">
        <w:trPr>
          <w:tblHeader/>
        </w:trPr>
        <w:tc>
          <w:tcPr>
            <w:tcW w:w="8789" w:type="dxa"/>
            <w:tcBorders>
              <w:top w:val="nil"/>
              <w:bottom w:val="nil"/>
            </w:tcBorders>
            <w:shd w:val="clear" w:color="000000" w:fill="auto"/>
            <w:vAlign w:val="bottom"/>
          </w:tcPr>
          <w:p w14:paraId="4AE98CA4"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Alan Shiell</w:t>
            </w:r>
          </w:p>
        </w:tc>
        <w:tc>
          <w:tcPr>
            <w:tcW w:w="992" w:type="dxa"/>
            <w:tcBorders>
              <w:top w:val="nil"/>
              <w:bottom w:val="nil"/>
            </w:tcBorders>
            <w:shd w:val="clear" w:color="000000" w:fill="auto"/>
            <w:vAlign w:val="bottom"/>
          </w:tcPr>
          <w:p w14:paraId="7CC556AD"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219</w:t>
            </w:r>
          </w:p>
        </w:tc>
      </w:tr>
      <w:tr w:rsidR="005A697A" w:rsidRPr="00A40063" w14:paraId="4C4A9E41" w14:textId="77777777" w:rsidTr="00215BA1">
        <w:trPr>
          <w:tblHeader/>
        </w:trPr>
        <w:tc>
          <w:tcPr>
            <w:tcW w:w="8789" w:type="dxa"/>
            <w:tcBorders>
              <w:bottom w:val="nil"/>
            </w:tcBorders>
            <w:shd w:val="clear" w:color="auto" w:fill="E6E6E6"/>
            <w:vAlign w:val="bottom"/>
          </w:tcPr>
          <w:p w14:paraId="1073679C" w14:textId="77777777" w:rsidR="005A697A" w:rsidRPr="002409DC" w:rsidRDefault="005A697A">
            <w:pPr>
              <w:pStyle w:val="TableHeading"/>
              <w:spacing w:before="45" w:after="45"/>
              <w:ind w:right="108"/>
              <w:rPr>
                <w:rFonts w:ascii="Arial (Body)" w:hAnsi="Arial (Body)"/>
                <w:b w:val="0"/>
                <w:bCs/>
                <w:color w:val="auto"/>
              </w:rPr>
            </w:pPr>
            <w:proofErr w:type="spellStart"/>
            <w:r w:rsidRPr="00C57F74">
              <w:rPr>
                <w:rFonts w:ascii="Arial (Body)" w:hAnsi="Arial (Body)"/>
                <w:b w:val="0"/>
                <w:bCs/>
                <w:color w:val="auto"/>
              </w:rPr>
              <w:t>Alethux</w:t>
            </w:r>
            <w:proofErr w:type="spellEnd"/>
          </w:p>
        </w:tc>
        <w:tc>
          <w:tcPr>
            <w:tcW w:w="992" w:type="dxa"/>
            <w:tcBorders>
              <w:bottom w:val="nil"/>
            </w:tcBorders>
            <w:shd w:val="clear" w:color="auto" w:fill="E6E6E6"/>
            <w:vAlign w:val="bottom"/>
          </w:tcPr>
          <w:p w14:paraId="365A9674"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226</w:t>
            </w:r>
          </w:p>
        </w:tc>
      </w:tr>
      <w:tr w:rsidR="005A697A" w:rsidRPr="00A40063" w14:paraId="7E840A7A" w14:textId="77777777">
        <w:trPr>
          <w:tblHeader/>
        </w:trPr>
        <w:tc>
          <w:tcPr>
            <w:tcW w:w="8789" w:type="dxa"/>
            <w:tcBorders>
              <w:top w:val="nil"/>
              <w:bottom w:val="nil"/>
            </w:tcBorders>
            <w:shd w:val="clear" w:color="000000" w:fill="auto"/>
            <w:vAlign w:val="bottom"/>
          </w:tcPr>
          <w:p w14:paraId="65A613B4"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Alliance 20 Quality and Safeguarding Peer Network (A20 Quality and Safeguarding Peer Network)</w:t>
            </w:r>
          </w:p>
        </w:tc>
        <w:tc>
          <w:tcPr>
            <w:tcW w:w="992" w:type="dxa"/>
            <w:tcBorders>
              <w:top w:val="nil"/>
              <w:bottom w:val="nil"/>
            </w:tcBorders>
            <w:shd w:val="clear" w:color="000000" w:fill="auto"/>
            <w:vAlign w:val="bottom"/>
          </w:tcPr>
          <w:p w14:paraId="2F4ED667"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158</w:t>
            </w:r>
          </w:p>
        </w:tc>
      </w:tr>
      <w:tr w:rsidR="005A697A" w:rsidRPr="00A40063" w14:paraId="15A7487B" w14:textId="77777777" w:rsidTr="00215BA1">
        <w:trPr>
          <w:tblHeader/>
        </w:trPr>
        <w:tc>
          <w:tcPr>
            <w:tcW w:w="8789" w:type="dxa"/>
            <w:tcBorders>
              <w:bottom w:val="nil"/>
            </w:tcBorders>
            <w:shd w:val="clear" w:color="auto" w:fill="E6E6E6"/>
            <w:vAlign w:val="bottom"/>
          </w:tcPr>
          <w:p w14:paraId="2A92DB17"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Allied Health Assistants</w:t>
            </w:r>
            <w:r>
              <w:rPr>
                <w:rFonts w:ascii="Arial (Body)" w:hAnsi="Arial (Body)"/>
                <w:b w:val="0"/>
                <w:bCs/>
                <w:color w:val="auto"/>
              </w:rPr>
              <w:t>’</w:t>
            </w:r>
            <w:r w:rsidRPr="00C57F74">
              <w:rPr>
                <w:rFonts w:ascii="Arial (Body)" w:hAnsi="Arial (Body)"/>
                <w:b w:val="0"/>
                <w:bCs/>
                <w:color w:val="auto"/>
              </w:rPr>
              <w:t xml:space="preserve"> National Association (AHANA)</w:t>
            </w:r>
          </w:p>
        </w:tc>
        <w:tc>
          <w:tcPr>
            <w:tcW w:w="992" w:type="dxa"/>
            <w:tcBorders>
              <w:bottom w:val="nil"/>
            </w:tcBorders>
            <w:shd w:val="clear" w:color="auto" w:fill="E6E6E6"/>
            <w:vAlign w:val="bottom"/>
          </w:tcPr>
          <w:p w14:paraId="5EEBC311"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128</w:t>
            </w:r>
          </w:p>
        </w:tc>
      </w:tr>
      <w:tr w:rsidR="005A697A" w:rsidRPr="00A40063" w14:paraId="5D047BB3" w14:textId="77777777">
        <w:trPr>
          <w:tblHeader/>
        </w:trPr>
        <w:tc>
          <w:tcPr>
            <w:tcW w:w="8789" w:type="dxa"/>
            <w:tcBorders>
              <w:top w:val="nil"/>
              <w:bottom w:val="nil"/>
            </w:tcBorders>
            <w:shd w:val="clear" w:color="000000" w:fill="auto"/>
            <w:vAlign w:val="bottom"/>
          </w:tcPr>
          <w:p w14:paraId="4D946056"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Amanda Stafford</w:t>
            </w:r>
          </w:p>
        </w:tc>
        <w:tc>
          <w:tcPr>
            <w:tcW w:w="992" w:type="dxa"/>
            <w:tcBorders>
              <w:top w:val="nil"/>
              <w:bottom w:val="nil"/>
            </w:tcBorders>
            <w:shd w:val="clear" w:color="000000" w:fill="auto"/>
            <w:vAlign w:val="bottom"/>
          </w:tcPr>
          <w:p w14:paraId="5040B249"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39</w:t>
            </w:r>
          </w:p>
        </w:tc>
      </w:tr>
      <w:tr w:rsidR="005A697A" w:rsidRPr="00A40063" w14:paraId="1D361545" w14:textId="77777777" w:rsidTr="00215BA1">
        <w:trPr>
          <w:tblHeader/>
        </w:trPr>
        <w:tc>
          <w:tcPr>
            <w:tcW w:w="8789" w:type="dxa"/>
            <w:tcBorders>
              <w:bottom w:val="nil"/>
            </w:tcBorders>
            <w:shd w:val="clear" w:color="auto" w:fill="E6E6E6"/>
            <w:vAlign w:val="bottom"/>
          </w:tcPr>
          <w:p w14:paraId="100A726C" w14:textId="77777777" w:rsidR="005A697A" w:rsidRPr="002409DC" w:rsidRDefault="005A697A">
            <w:pPr>
              <w:pStyle w:val="TableHeading"/>
              <w:spacing w:before="45" w:after="45"/>
              <w:ind w:right="108"/>
              <w:rPr>
                <w:rFonts w:ascii="Arial (Body)" w:hAnsi="Arial (Body)"/>
                <w:b w:val="0"/>
                <w:bCs/>
                <w:color w:val="auto"/>
              </w:rPr>
            </w:pPr>
            <w:proofErr w:type="spellStart"/>
            <w:r w:rsidRPr="00C57F74">
              <w:rPr>
                <w:rFonts w:ascii="Arial (Body)" w:hAnsi="Arial (Body)"/>
                <w:b w:val="0"/>
                <w:bCs/>
                <w:color w:val="auto"/>
              </w:rPr>
              <w:t>ANDHealth</w:t>
            </w:r>
            <w:proofErr w:type="spellEnd"/>
          </w:p>
        </w:tc>
        <w:tc>
          <w:tcPr>
            <w:tcW w:w="992" w:type="dxa"/>
            <w:tcBorders>
              <w:bottom w:val="nil"/>
            </w:tcBorders>
            <w:shd w:val="clear" w:color="auto" w:fill="E6E6E6"/>
            <w:vAlign w:val="bottom"/>
          </w:tcPr>
          <w:p w14:paraId="7BD45E64"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46</w:t>
            </w:r>
          </w:p>
        </w:tc>
      </w:tr>
      <w:tr w:rsidR="005A697A" w:rsidRPr="00A40063" w14:paraId="1E178827" w14:textId="77777777">
        <w:trPr>
          <w:tblHeader/>
        </w:trPr>
        <w:tc>
          <w:tcPr>
            <w:tcW w:w="8789" w:type="dxa"/>
            <w:tcBorders>
              <w:top w:val="nil"/>
              <w:bottom w:val="nil"/>
            </w:tcBorders>
            <w:shd w:val="clear" w:color="000000" w:fill="auto"/>
            <w:vAlign w:val="bottom"/>
          </w:tcPr>
          <w:p w14:paraId="3EDAC41E"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Anglicare Sydney</w:t>
            </w:r>
          </w:p>
        </w:tc>
        <w:tc>
          <w:tcPr>
            <w:tcW w:w="992" w:type="dxa"/>
            <w:tcBorders>
              <w:top w:val="nil"/>
              <w:bottom w:val="nil"/>
            </w:tcBorders>
            <w:shd w:val="clear" w:color="000000" w:fill="auto"/>
            <w:vAlign w:val="bottom"/>
          </w:tcPr>
          <w:p w14:paraId="69A29ABF"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138</w:t>
            </w:r>
          </w:p>
        </w:tc>
      </w:tr>
      <w:tr w:rsidR="005A697A" w:rsidRPr="00A40063" w14:paraId="4A469200" w14:textId="77777777" w:rsidTr="00215BA1">
        <w:trPr>
          <w:tblHeader/>
        </w:trPr>
        <w:tc>
          <w:tcPr>
            <w:tcW w:w="8789" w:type="dxa"/>
            <w:tcBorders>
              <w:bottom w:val="nil"/>
            </w:tcBorders>
            <w:shd w:val="clear" w:color="auto" w:fill="E6E6E6"/>
            <w:vAlign w:val="bottom"/>
          </w:tcPr>
          <w:p w14:paraId="07CEEFD3"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 xml:space="preserve">Attain </w:t>
            </w:r>
            <w:proofErr w:type="spellStart"/>
            <w:r w:rsidRPr="00C57F74">
              <w:rPr>
                <w:rFonts w:ascii="Arial (Body)" w:hAnsi="Arial (Body)"/>
                <w:b w:val="0"/>
                <w:bCs/>
                <w:color w:val="auto"/>
              </w:rPr>
              <w:t>Healthtech</w:t>
            </w:r>
            <w:proofErr w:type="spellEnd"/>
            <w:r w:rsidRPr="00C57F74">
              <w:rPr>
                <w:rFonts w:ascii="Arial (Body)" w:hAnsi="Arial (Body)"/>
                <w:b w:val="0"/>
                <w:bCs/>
                <w:color w:val="auto"/>
              </w:rPr>
              <w:t xml:space="preserve"> (Attain)</w:t>
            </w:r>
          </w:p>
        </w:tc>
        <w:tc>
          <w:tcPr>
            <w:tcW w:w="992" w:type="dxa"/>
            <w:tcBorders>
              <w:bottom w:val="nil"/>
            </w:tcBorders>
            <w:shd w:val="clear" w:color="auto" w:fill="E6E6E6"/>
            <w:vAlign w:val="bottom"/>
          </w:tcPr>
          <w:p w14:paraId="28D33936"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124</w:t>
            </w:r>
          </w:p>
        </w:tc>
      </w:tr>
      <w:tr w:rsidR="005A697A" w:rsidRPr="00A40063" w14:paraId="25A75C88" w14:textId="77777777">
        <w:trPr>
          <w:tblHeader/>
        </w:trPr>
        <w:tc>
          <w:tcPr>
            <w:tcW w:w="8789" w:type="dxa"/>
            <w:tcBorders>
              <w:top w:val="nil"/>
              <w:bottom w:val="nil"/>
            </w:tcBorders>
            <w:shd w:val="clear" w:color="000000" w:fill="auto"/>
            <w:vAlign w:val="bottom"/>
          </w:tcPr>
          <w:p w14:paraId="105BEB7C"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Australasian Institute of Digital Health (AIDH)</w:t>
            </w:r>
          </w:p>
        </w:tc>
        <w:tc>
          <w:tcPr>
            <w:tcW w:w="992" w:type="dxa"/>
            <w:tcBorders>
              <w:top w:val="nil"/>
              <w:bottom w:val="nil"/>
            </w:tcBorders>
            <w:shd w:val="clear" w:color="000000" w:fill="auto"/>
            <w:vAlign w:val="bottom"/>
          </w:tcPr>
          <w:p w14:paraId="3165B396"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195</w:t>
            </w:r>
          </w:p>
        </w:tc>
      </w:tr>
      <w:tr w:rsidR="005A697A" w:rsidRPr="00A40063" w14:paraId="49A06F81" w14:textId="77777777" w:rsidTr="00215BA1">
        <w:trPr>
          <w:tblHeader/>
        </w:trPr>
        <w:tc>
          <w:tcPr>
            <w:tcW w:w="8789" w:type="dxa"/>
            <w:tcBorders>
              <w:bottom w:val="nil"/>
            </w:tcBorders>
            <w:shd w:val="clear" w:color="auto" w:fill="E6E6E6"/>
            <w:vAlign w:val="bottom"/>
          </w:tcPr>
          <w:p w14:paraId="20959B7C"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Australasian Society for Intellectual Disability (ASID)</w:t>
            </w:r>
          </w:p>
        </w:tc>
        <w:tc>
          <w:tcPr>
            <w:tcW w:w="992" w:type="dxa"/>
            <w:tcBorders>
              <w:bottom w:val="nil"/>
            </w:tcBorders>
            <w:shd w:val="clear" w:color="auto" w:fill="E6E6E6"/>
            <w:vAlign w:val="bottom"/>
          </w:tcPr>
          <w:p w14:paraId="267AA1DD"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58</w:t>
            </w:r>
          </w:p>
        </w:tc>
      </w:tr>
      <w:tr w:rsidR="005A697A" w:rsidRPr="00A40063" w14:paraId="33D50605" w14:textId="77777777">
        <w:trPr>
          <w:tblHeader/>
        </w:trPr>
        <w:tc>
          <w:tcPr>
            <w:tcW w:w="8789" w:type="dxa"/>
            <w:tcBorders>
              <w:top w:val="nil"/>
              <w:bottom w:val="nil"/>
            </w:tcBorders>
            <w:shd w:val="clear" w:color="000000" w:fill="auto"/>
            <w:vAlign w:val="bottom"/>
          </w:tcPr>
          <w:p w14:paraId="2AE287FF"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Academy of Science (AAS)</w:t>
            </w:r>
          </w:p>
        </w:tc>
        <w:tc>
          <w:tcPr>
            <w:tcW w:w="992" w:type="dxa"/>
            <w:tcBorders>
              <w:top w:val="nil"/>
              <w:bottom w:val="nil"/>
            </w:tcBorders>
            <w:shd w:val="clear" w:color="000000" w:fill="auto"/>
            <w:vAlign w:val="bottom"/>
          </w:tcPr>
          <w:p w14:paraId="4F881D33"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27, 233</w:t>
            </w:r>
          </w:p>
        </w:tc>
      </w:tr>
      <w:tr w:rsidR="005A697A" w:rsidRPr="00A40063" w14:paraId="06342CCA" w14:textId="77777777" w:rsidTr="00215BA1">
        <w:trPr>
          <w:tblHeader/>
        </w:trPr>
        <w:tc>
          <w:tcPr>
            <w:tcW w:w="8789" w:type="dxa"/>
            <w:tcBorders>
              <w:bottom w:val="nil"/>
            </w:tcBorders>
            <w:shd w:val="clear" w:color="auto" w:fill="E6E6E6"/>
            <w:vAlign w:val="bottom"/>
          </w:tcPr>
          <w:p w14:paraId="0E54B527"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and New Zealand Society for Geriatric Medicine (ANZSGM)</w:t>
            </w:r>
          </w:p>
        </w:tc>
        <w:tc>
          <w:tcPr>
            <w:tcW w:w="992" w:type="dxa"/>
            <w:tcBorders>
              <w:bottom w:val="nil"/>
            </w:tcBorders>
            <w:shd w:val="clear" w:color="auto" w:fill="E6E6E6"/>
            <w:vAlign w:val="bottom"/>
          </w:tcPr>
          <w:p w14:paraId="62B649A5"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90</w:t>
            </w:r>
          </w:p>
        </w:tc>
      </w:tr>
      <w:tr w:rsidR="005A697A" w:rsidRPr="00A40063" w14:paraId="65FD9DA5" w14:textId="77777777">
        <w:trPr>
          <w:tblHeader/>
        </w:trPr>
        <w:tc>
          <w:tcPr>
            <w:tcW w:w="8789" w:type="dxa"/>
            <w:tcBorders>
              <w:top w:val="nil"/>
              <w:bottom w:val="nil"/>
            </w:tcBorders>
            <w:shd w:val="clear" w:color="000000" w:fill="auto"/>
            <w:vAlign w:val="bottom"/>
          </w:tcPr>
          <w:p w14:paraId="1AA6FFCD"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Association of Gerontology</w:t>
            </w:r>
          </w:p>
        </w:tc>
        <w:tc>
          <w:tcPr>
            <w:tcW w:w="992" w:type="dxa"/>
            <w:tcBorders>
              <w:top w:val="nil"/>
              <w:bottom w:val="nil"/>
            </w:tcBorders>
            <w:shd w:val="clear" w:color="000000" w:fill="auto"/>
            <w:vAlign w:val="bottom"/>
          </w:tcPr>
          <w:p w14:paraId="13B01AB7"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134</w:t>
            </w:r>
          </w:p>
        </w:tc>
      </w:tr>
      <w:tr w:rsidR="005A697A" w:rsidRPr="00A40063" w14:paraId="39985D04" w14:textId="77777777" w:rsidTr="00215BA1">
        <w:trPr>
          <w:tblHeader/>
        </w:trPr>
        <w:tc>
          <w:tcPr>
            <w:tcW w:w="8789" w:type="dxa"/>
            <w:tcBorders>
              <w:bottom w:val="nil"/>
            </w:tcBorders>
            <w:shd w:val="clear" w:color="auto" w:fill="E6E6E6"/>
            <w:vAlign w:val="bottom"/>
          </w:tcPr>
          <w:p w14:paraId="4D95A180"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Catholic University (ACU)</w:t>
            </w:r>
          </w:p>
        </w:tc>
        <w:tc>
          <w:tcPr>
            <w:tcW w:w="992" w:type="dxa"/>
            <w:tcBorders>
              <w:bottom w:val="nil"/>
            </w:tcBorders>
            <w:shd w:val="clear" w:color="auto" w:fill="E6E6E6"/>
            <w:vAlign w:val="bottom"/>
          </w:tcPr>
          <w:p w14:paraId="00618E2F"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193</w:t>
            </w:r>
          </w:p>
        </w:tc>
      </w:tr>
      <w:tr w:rsidR="005A697A" w:rsidRPr="00A40063" w14:paraId="3B435870" w14:textId="77777777">
        <w:trPr>
          <w:tblHeader/>
        </w:trPr>
        <w:tc>
          <w:tcPr>
            <w:tcW w:w="8789" w:type="dxa"/>
            <w:tcBorders>
              <w:top w:val="nil"/>
              <w:bottom w:val="nil"/>
            </w:tcBorders>
            <w:shd w:val="clear" w:color="000000" w:fill="auto"/>
            <w:vAlign w:val="bottom"/>
          </w:tcPr>
          <w:p w14:paraId="25354849"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College of Nursing (ACN)</w:t>
            </w:r>
          </w:p>
        </w:tc>
        <w:tc>
          <w:tcPr>
            <w:tcW w:w="992" w:type="dxa"/>
            <w:tcBorders>
              <w:top w:val="nil"/>
              <w:bottom w:val="nil"/>
            </w:tcBorders>
            <w:shd w:val="clear" w:color="000000" w:fill="auto"/>
            <w:vAlign w:val="bottom"/>
          </w:tcPr>
          <w:p w14:paraId="0822D49E"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220</w:t>
            </w:r>
          </w:p>
        </w:tc>
      </w:tr>
      <w:tr w:rsidR="005A697A" w:rsidRPr="00A40063" w14:paraId="26713251" w14:textId="77777777" w:rsidTr="00215BA1">
        <w:trPr>
          <w:tblHeader/>
        </w:trPr>
        <w:tc>
          <w:tcPr>
            <w:tcW w:w="8789" w:type="dxa"/>
            <w:tcBorders>
              <w:bottom w:val="nil"/>
            </w:tcBorders>
            <w:shd w:val="clear" w:color="auto" w:fill="E6E6E6"/>
            <w:vAlign w:val="bottom"/>
          </w:tcPr>
          <w:p w14:paraId="21A48C84"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College of Weight Management &amp; Allied Health</w:t>
            </w:r>
          </w:p>
        </w:tc>
        <w:tc>
          <w:tcPr>
            <w:tcW w:w="992" w:type="dxa"/>
            <w:tcBorders>
              <w:bottom w:val="nil"/>
            </w:tcBorders>
            <w:shd w:val="clear" w:color="auto" w:fill="E6E6E6"/>
            <w:vAlign w:val="bottom"/>
          </w:tcPr>
          <w:p w14:paraId="40AF76E6"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47</w:t>
            </w:r>
          </w:p>
        </w:tc>
      </w:tr>
      <w:tr w:rsidR="005A697A" w:rsidRPr="00A40063" w14:paraId="5049487B" w14:textId="77777777">
        <w:trPr>
          <w:tblHeader/>
        </w:trPr>
        <w:tc>
          <w:tcPr>
            <w:tcW w:w="8789" w:type="dxa"/>
            <w:tcBorders>
              <w:top w:val="nil"/>
              <w:bottom w:val="nil"/>
            </w:tcBorders>
            <w:shd w:val="clear" w:color="000000" w:fill="auto"/>
            <w:vAlign w:val="bottom"/>
          </w:tcPr>
          <w:p w14:paraId="5FA42251"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Commission on Safety and Quality in Health Care (ACSQHC)</w:t>
            </w:r>
          </w:p>
        </w:tc>
        <w:tc>
          <w:tcPr>
            <w:tcW w:w="992" w:type="dxa"/>
            <w:tcBorders>
              <w:top w:val="nil"/>
              <w:bottom w:val="nil"/>
            </w:tcBorders>
            <w:shd w:val="clear" w:color="000000" w:fill="auto"/>
            <w:vAlign w:val="bottom"/>
          </w:tcPr>
          <w:p w14:paraId="36C575E9"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29</w:t>
            </w:r>
          </w:p>
        </w:tc>
      </w:tr>
      <w:tr w:rsidR="005A697A" w:rsidRPr="00A40063" w14:paraId="3F04FF22" w14:textId="77777777" w:rsidTr="00215BA1">
        <w:trPr>
          <w:tblHeader/>
        </w:trPr>
        <w:tc>
          <w:tcPr>
            <w:tcW w:w="8789" w:type="dxa"/>
            <w:tcBorders>
              <w:bottom w:val="nil"/>
            </w:tcBorders>
            <w:shd w:val="clear" w:color="auto" w:fill="E6E6E6"/>
            <w:vAlign w:val="bottom"/>
          </w:tcPr>
          <w:p w14:paraId="266E728C"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Council of Social Service (ACOSS)</w:t>
            </w:r>
          </w:p>
        </w:tc>
        <w:tc>
          <w:tcPr>
            <w:tcW w:w="992" w:type="dxa"/>
            <w:tcBorders>
              <w:bottom w:val="nil"/>
            </w:tcBorders>
            <w:shd w:val="clear" w:color="auto" w:fill="E6E6E6"/>
            <w:vAlign w:val="bottom"/>
          </w:tcPr>
          <w:p w14:paraId="762D32DB"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14</w:t>
            </w:r>
          </w:p>
        </w:tc>
      </w:tr>
      <w:tr w:rsidR="005A697A" w:rsidRPr="00A40063" w14:paraId="30199789" w14:textId="77777777">
        <w:trPr>
          <w:tblHeader/>
        </w:trPr>
        <w:tc>
          <w:tcPr>
            <w:tcW w:w="8789" w:type="dxa"/>
            <w:tcBorders>
              <w:top w:val="nil"/>
              <w:bottom w:val="nil"/>
            </w:tcBorders>
            <w:shd w:val="clear" w:color="000000" w:fill="auto"/>
            <w:vAlign w:val="bottom"/>
          </w:tcPr>
          <w:p w14:paraId="3DBC93B1"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Council of Trade Union</w:t>
            </w:r>
            <w:r>
              <w:rPr>
                <w:rFonts w:ascii="Arial (Body)" w:hAnsi="Arial (Body)"/>
                <w:b w:val="0"/>
                <w:bCs/>
                <w:color w:val="auto"/>
              </w:rPr>
              <w:t>s</w:t>
            </w:r>
            <w:r w:rsidRPr="00C57F74">
              <w:rPr>
                <w:rFonts w:ascii="Arial (Body)" w:hAnsi="Arial (Body)"/>
                <w:b w:val="0"/>
                <w:bCs/>
                <w:color w:val="auto"/>
              </w:rPr>
              <w:t xml:space="preserve"> (ACTU)</w:t>
            </w:r>
          </w:p>
        </w:tc>
        <w:tc>
          <w:tcPr>
            <w:tcW w:w="992" w:type="dxa"/>
            <w:tcBorders>
              <w:top w:val="nil"/>
              <w:bottom w:val="nil"/>
            </w:tcBorders>
            <w:shd w:val="clear" w:color="000000" w:fill="auto"/>
            <w:vAlign w:val="bottom"/>
          </w:tcPr>
          <w:p w14:paraId="067ACD10"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23</w:t>
            </w:r>
          </w:p>
        </w:tc>
      </w:tr>
      <w:tr w:rsidR="005A697A" w:rsidRPr="00A40063" w14:paraId="32D2D53D" w14:textId="77777777" w:rsidTr="00215BA1">
        <w:trPr>
          <w:tblHeader/>
        </w:trPr>
        <w:tc>
          <w:tcPr>
            <w:tcW w:w="8789" w:type="dxa"/>
            <w:tcBorders>
              <w:bottom w:val="nil"/>
            </w:tcBorders>
            <w:shd w:val="clear" w:color="auto" w:fill="E6E6E6"/>
            <w:vAlign w:val="bottom"/>
          </w:tcPr>
          <w:p w14:paraId="60D72980"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Dairy Products Federation (ADPF)</w:t>
            </w:r>
          </w:p>
        </w:tc>
        <w:tc>
          <w:tcPr>
            <w:tcW w:w="992" w:type="dxa"/>
            <w:tcBorders>
              <w:bottom w:val="nil"/>
            </w:tcBorders>
            <w:shd w:val="clear" w:color="auto" w:fill="E6E6E6"/>
            <w:vAlign w:val="bottom"/>
          </w:tcPr>
          <w:p w14:paraId="395FFF53"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17</w:t>
            </w:r>
          </w:p>
        </w:tc>
      </w:tr>
      <w:tr w:rsidR="005A697A" w:rsidRPr="00A40063" w14:paraId="454CFC49" w14:textId="77777777">
        <w:trPr>
          <w:tblHeader/>
        </w:trPr>
        <w:tc>
          <w:tcPr>
            <w:tcW w:w="8789" w:type="dxa"/>
            <w:tcBorders>
              <w:top w:val="nil"/>
              <w:bottom w:val="nil"/>
            </w:tcBorders>
            <w:shd w:val="clear" w:color="000000" w:fill="auto"/>
            <w:vAlign w:val="bottom"/>
          </w:tcPr>
          <w:p w14:paraId="5D4B66F1" w14:textId="77777777" w:rsidR="005A697A" w:rsidRPr="002409DC"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Digital Health Agency (ADHA)</w:t>
            </w:r>
          </w:p>
        </w:tc>
        <w:tc>
          <w:tcPr>
            <w:tcW w:w="992" w:type="dxa"/>
            <w:tcBorders>
              <w:top w:val="nil"/>
              <w:bottom w:val="nil"/>
            </w:tcBorders>
            <w:shd w:val="clear" w:color="000000" w:fill="auto"/>
            <w:vAlign w:val="bottom"/>
          </w:tcPr>
          <w:p w14:paraId="30B906F7" w14:textId="77777777" w:rsidR="005A697A" w:rsidRPr="002409DC"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176</w:t>
            </w:r>
          </w:p>
        </w:tc>
      </w:tr>
      <w:tr w:rsidR="005A697A" w:rsidRPr="00A40063" w14:paraId="223E9C17" w14:textId="77777777" w:rsidTr="00215BA1">
        <w:trPr>
          <w:tblHeader/>
        </w:trPr>
        <w:tc>
          <w:tcPr>
            <w:tcW w:w="8789" w:type="dxa"/>
            <w:tcBorders>
              <w:top w:val="nil"/>
              <w:bottom w:val="single" w:sz="4" w:space="0" w:color="BFBFBF" w:themeColor="background1" w:themeShade="BF"/>
            </w:tcBorders>
            <w:shd w:val="clear" w:color="auto" w:fill="E6E6E6"/>
            <w:vAlign w:val="bottom"/>
          </w:tcPr>
          <w:p w14:paraId="35774C18" w14:textId="77777777" w:rsidR="005A697A" w:rsidRPr="00C57F74"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Health Promotion Association (AHPA)</w:t>
            </w:r>
          </w:p>
        </w:tc>
        <w:tc>
          <w:tcPr>
            <w:tcW w:w="992" w:type="dxa"/>
            <w:tcBorders>
              <w:top w:val="nil"/>
              <w:bottom w:val="single" w:sz="4" w:space="0" w:color="BFBFBF" w:themeColor="background1" w:themeShade="BF"/>
            </w:tcBorders>
            <w:shd w:val="clear" w:color="auto" w:fill="E6E6E6"/>
            <w:vAlign w:val="bottom"/>
          </w:tcPr>
          <w:p w14:paraId="3CAF0AD0" w14:textId="77777777" w:rsidR="005A697A" w:rsidRPr="00C57F74"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125</w:t>
            </w:r>
          </w:p>
        </w:tc>
      </w:tr>
    </w:tbl>
    <w:p w14:paraId="56F6DF9E" w14:textId="77777777" w:rsidR="005A697A" w:rsidRPr="00BB0501" w:rsidRDefault="005A697A" w:rsidP="00BB0501">
      <w:pPr>
        <w:pStyle w:val="BodyText"/>
      </w:pP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5A697A" w:rsidRPr="00AA3DCF" w14:paraId="2A566212" w14:textId="77777777">
        <w:trPr>
          <w:tblHeader/>
        </w:trPr>
        <w:tc>
          <w:tcPr>
            <w:tcW w:w="8789" w:type="dxa"/>
            <w:tcBorders>
              <w:bottom w:val="single" w:sz="4" w:space="0" w:color="B3B3B3"/>
            </w:tcBorders>
            <w:shd w:val="clear" w:color="000000" w:fill="auto"/>
            <w:vAlign w:val="bottom"/>
          </w:tcPr>
          <w:p w14:paraId="57ED9241" w14:textId="77777777" w:rsidR="005A697A" w:rsidRPr="00AA3DCF" w:rsidRDefault="005A697A">
            <w:pPr>
              <w:pStyle w:val="TableHeading"/>
              <w:spacing w:before="45" w:after="45"/>
              <w:ind w:right="108"/>
              <w:rPr>
                <w:rFonts w:ascii="Arial (Body)" w:hAnsi="Arial (Body)"/>
                <w:color w:val="265A9A"/>
              </w:rPr>
            </w:pPr>
            <w:r w:rsidRPr="00AA3DCF">
              <w:rPr>
                <w:rFonts w:ascii="Arial (Body)" w:hAnsi="Arial (Body)"/>
                <w:color w:val="265A9A"/>
              </w:rPr>
              <w:lastRenderedPageBreak/>
              <w:t>Participants</w:t>
            </w:r>
          </w:p>
        </w:tc>
        <w:tc>
          <w:tcPr>
            <w:tcW w:w="992" w:type="dxa"/>
            <w:tcBorders>
              <w:bottom w:val="single" w:sz="4" w:space="0" w:color="B3B3B3"/>
            </w:tcBorders>
            <w:shd w:val="clear" w:color="000000" w:fill="auto"/>
            <w:vAlign w:val="bottom"/>
          </w:tcPr>
          <w:p w14:paraId="5010A9FE" w14:textId="77777777" w:rsidR="005A697A" w:rsidRPr="00AA3DCF" w:rsidRDefault="005A697A" w:rsidP="003923B0">
            <w:pPr>
              <w:pStyle w:val="TableHeading"/>
              <w:spacing w:before="45" w:after="45"/>
              <w:ind w:right="108"/>
              <w:jc w:val="right"/>
              <w:rPr>
                <w:rFonts w:ascii="Arial (Body)" w:hAnsi="Arial (Body)"/>
                <w:color w:val="265A9A"/>
              </w:rPr>
            </w:pPr>
            <w:r w:rsidRPr="00AA3DCF">
              <w:rPr>
                <w:rFonts w:ascii="Arial (Body)" w:hAnsi="Arial (Body)"/>
                <w:color w:val="265A9A"/>
              </w:rPr>
              <w:t>Sub no.</w:t>
            </w:r>
          </w:p>
        </w:tc>
      </w:tr>
      <w:tr w:rsidR="005A697A" w:rsidRPr="00AA3DCF" w14:paraId="6AFDB277" w14:textId="77777777" w:rsidTr="00215BA1">
        <w:trPr>
          <w:tblHeader/>
        </w:trPr>
        <w:tc>
          <w:tcPr>
            <w:tcW w:w="8789" w:type="dxa"/>
            <w:tcBorders>
              <w:top w:val="single" w:sz="4" w:space="0" w:color="B3B3B3"/>
              <w:bottom w:val="nil"/>
            </w:tcBorders>
            <w:shd w:val="clear" w:color="auto" w:fill="E6E6E6"/>
            <w:vAlign w:val="bottom"/>
          </w:tcPr>
          <w:p w14:paraId="4EFD1C7D"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Healthcare and Hospitals Association (AHHA)</w:t>
            </w:r>
          </w:p>
        </w:tc>
        <w:tc>
          <w:tcPr>
            <w:tcW w:w="992" w:type="dxa"/>
            <w:tcBorders>
              <w:top w:val="single" w:sz="4" w:space="0" w:color="B3B3B3"/>
              <w:bottom w:val="nil"/>
            </w:tcBorders>
            <w:shd w:val="clear" w:color="auto" w:fill="E6E6E6"/>
            <w:vAlign w:val="bottom"/>
          </w:tcPr>
          <w:p w14:paraId="5F3AB9FB"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26</w:t>
            </w:r>
          </w:p>
        </w:tc>
      </w:tr>
      <w:tr w:rsidR="005A697A" w:rsidRPr="00AA3DCF" w14:paraId="481B3928" w14:textId="77777777">
        <w:trPr>
          <w:tblHeader/>
        </w:trPr>
        <w:tc>
          <w:tcPr>
            <w:tcW w:w="8789" w:type="dxa"/>
            <w:tcBorders>
              <w:top w:val="nil"/>
              <w:bottom w:val="nil"/>
            </w:tcBorders>
            <w:shd w:val="clear" w:color="000000" w:fill="auto"/>
            <w:vAlign w:val="bottom"/>
          </w:tcPr>
          <w:p w14:paraId="21B468BB"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Human Rights Commission (AHRC)</w:t>
            </w:r>
          </w:p>
        </w:tc>
        <w:tc>
          <w:tcPr>
            <w:tcW w:w="992" w:type="dxa"/>
            <w:tcBorders>
              <w:top w:val="nil"/>
              <w:bottom w:val="nil"/>
            </w:tcBorders>
            <w:shd w:val="clear" w:color="000000" w:fill="auto"/>
            <w:vAlign w:val="bottom"/>
          </w:tcPr>
          <w:p w14:paraId="21229E2F"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235</w:t>
            </w:r>
          </w:p>
        </w:tc>
      </w:tr>
      <w:tr w:rsidR="005A697A" w:rsidRPr="00AA3DCF" w14:paraId="3A74421E" w14:textId="77777777" w:rsidTr="00215BA1">
        <w:trPr>
          <w:tblHeader/>
        </w:trPr>
        <w:tc>
          <w:tcPr>
            <w:tcW w:w="8789" w:type="dxa"/>
            <w:tcBorders>
              <w:bottom w:val="nil"/>
            </w:tcBorders>
            <w:shd w:val="clear" w:color="auto" w:fill="E6E6E6"/>
            <w:vAlign w:val="bottom"/>
          </w:tcPr>
          <w:p w14:paraId="576C8354"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Institute of Company Directors (AICD)</w:t>
            </w:r>
          </w:p>
        </w:tc>
        <w:tc>
          <w:tcPr>
            <w:tcW w:w="992" w:type="dxa"/>
            <w:tcBorders>
              <w:bottom w:val="nil"/>
            </w:tcBorders>
            <w:shd w:val="clear" w:color="auto" w:fill="E6E6E6"/>
            <w:vAlign w:val="bottom"/>
          </w:tcPr>
          <w:p w14:paraId="78F71883"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8, 228</w:t>
            </w:r>
          </w:p>
        </w:tc>
      </w:tr>
      <w:tr w:rsidR="005A697A" w:rsidRPr="00AA3DCF" w14:paraId="42FDFE62" w14:textId="77777777">
        <w:trPr>
          <w:tblHeader/>
        </w:trPr>
        <w:tc>
          <w:tcPr>
            <w:tcW w:w="8789" w:type="dxa"/>
            <w:tcBorders>
              <w:top w:val="nil"/>
              <w:bottom w:val="nil"/>
            </w:tcBorders>
            <w:shd w:val="clear" w:color="000000" w:fill="auto"/>
            <w:vAlign w:val="bottom"/>
          </w:tcPr>
          <w:p w14:paraId="19193B5D"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Institute of Health Innovation (AIHI)</w:t>
            </w:r>
          </w:p>
        </w:tc>
        <w:tc>
          <w:tcPr>
            <w:tcW w:w="992" w:type="dxa"/>
            <w:tcBorders>
              <w:top w:val="nil"/>
              <w:bottom w:val="nil"/>
            </w:tcBorders>
            <w:shd w:val="clear" w:color="000000" w:fill="auto"/>
            <w:vAlign w:val="bottom"/>
          </w:tcPr>
          <w:p w14:paraId="780716AE"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249</w:t>
            </w:r>
          </w:p>
        </w:tc>
      </w:tr>
      <w:tr w:rsidR="005A697A" w:rsidRPr="00AA3DCF" w14:paraId="1DAB3910" w14:textId="77777777" w:rsidTr="00215BA1">
        <w:trPr>
          <w:tblHeader/>
        </w:trPr>
        <w:tc>
          <w:tcPr>
            <w:tcW w:w="8789" w:type="dxa"/>
            <w:tcBorders>
              <w:bottom w:val="nil"/>
            </w:tcBorders>
            <w:shd w:val="clear" w:color="auto" w:fill="E6E6E6"/>
            <w:vAlign w:val="bottom"/>
          </w:tcPr>
          <w:p w14:paraId="2514C21B"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Institute of Refrigeration, Air Conditioning and Heating (AIRAH)</w:t>
            </w:r>
          </w:p>
        </w:tc>
        <w:tc>
          <w:tcPr>
            <w:tcW w:w="992" w:type="dxa"/>
            <w:tcBorders>
              <w:bottom w:val="nil"/>
            </w:tcBorders>
            <w:shd w:val="clear" w:color="auto" w:fill="E6E6E6"/>
            <w:vAlign w:val="bottom"/>
          </w:tcPr>
          <w:p w14:paraId="28674ABF" w14:textId="77777777" w:rsidR="005A697A" w:rsidRPr="00E72915" w:rsidRDefault="005A697A">
            <w:pPr>
              <w:pStyle w:val="TableHeading"/>
              <w:spacing w:before="45" w:after="45"/>
              <w:ind w:right="108"/>
              <w:jc w:val="right"/>
              <w:rPr>
                <w:rFonts w:ascii="Arial (Body)" w:hAnsi="Arial (Body)"/>
                <w:b w:val="0"/>
                <w:bCs/>
                <w:color w:val="auto"/>
              </w:rPr>
            </w:pPr>
            <w:r>
              <w:rPr>
                <w:rFonts w:ascii="Arial (Body)" w:hAnsi="Arial (Body)"/>
                <w:b w:val="0"/>
                <w:bCs/>
                <w:color w:val="auto"/>
              </w:rPr>
              <w:t xml:space="preserve">31, </w:t>
            </w:r>
            <w:r w:rsidRPr="00C57F74">
              <w:rPr>
                <w:rFonts w:ascii="Arial (Body)" w:hAnsi="Arial (Body)"/>
                <w:b w:val="0"/>
                <w:bCs/>
                <w:color w:val="auto"/>
              </w:rPr>
              <w:t>148</w:t>
            </w:r>
          </w:p>
        </w:tc>
      </w:tr>
      <w:tr w:rsidR="005A697A" w:rsidRPr="00AA3DCF" w14:paraId="52AA7745" w14:textId="77777777">
        <w:trPr>
          <w:tblHeader/>
        </w:trPr>
        <w:tc>
          <w:tcPr>
            <w:tcW w:w="8789" w:type="dxa"/>
            <w:tcBorders>
              <w:top w:val="nil"/>
              <w:bottom w:val="nil"/>
            </w:tcBorders>
            <w:shd w:val="clear" w:color="000000" w:fill="auto"/>
            <w:vAlign w:val="bottom"/>
          </w:tcPr>
          <w:p w14:paraId="4CB8CCB7"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Medical Association (AMA)</w:t>
            </w:r>
          </w:p>
        </w:tc>
        <w:tc>
          <w:tcPr>
            <w:tcW w:w="992" w:type="dxa"/>
            <w:tcBorders>
              <w:top w:val="nil"/>
              <w:bottom w:val="nil"/>
            </w:tcBorders>
            <w:shd w:val="clear" w:color="000000" w:fill="auto"/>
            <w:vAlign w:val="bottom"/>
          </w:tcPr>
          <w:p w14:paraId="68926145"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94</w:t>
            </w:r>
          </w:p>
        </w:tc>
      </w:tr>
      <w:tr w:rsidR="005A697A" w:rsidRPr="00AA3DCF" w14:paraId="2BD9CAA1" w14:textId="77777777" w:rsidTr="00215BA1">
        <w:trPr>
          <w:tblHeader/>
        </w:trPr>
        <w:tc>
          <w:tcPr>
            <w:tcW w:w="8789" w:type="dxa"/>
            <w:tcBorders>
              <w:bottom w:val="nil"/>
            </w:tcBorders>
            <w:shd w:val="clear" w:color="auto" w:fill="E6E6E6"/>
            <w:vAlign w:val="bottom"/>
          </w:tcPr>
          <w:p w14:paraId="70AE7EC9"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Multicultural Health Collaborative</w:t>
            </w:r>
          </w:p>
        </w:tc>
        <w:tc>
          <w:tcPr>
            <w:tcW w:w="992" w:type="dxa"/>
            <w:tcBorders>
              <w:bottom w:val="nil"/>
            </w:tcBorders>
            <w:shd w:val="clear" w:color="auto" w:fill="E6E6E6"/>
            <w:vAlign w:val="bottom"/>
          </w:tcPr>
          <w:p w14:paraId="7142D45C"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156</w:t>
            </w:r>
          </w:p>
        </w:tc>
      </w:tr>
      <w:tr w:rsidR="005A697A" w:rsidRPr="00AA3DCF" w14:paraId="3F4D2181" w14:textId="77777777">
        <w:trPr>
          <w:tblHeader/>
        </w:trPr>
        <w:tc>
          <w:tcPr>
            <w:tcW w:w="8789" w:type="dxa"/>
            <w:tcBorders>
              <w:top w:val="nil"/>
              <w:bottom w:val="nil"/>
            </w:tcBorders>
            <w:shd w:val="clear" w:color="000000" w:fill="auto"/>
            <w:vAlign w:val="bottom"/>
          </w:tcPr>
          <w:p w14:paraId="5D3F4A0B"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Nursing and Midwifery Federation (ANMF)</w:t>
            </w:r>
          </w:p>
        </w:tc>
        <w:tc>
          <w:tcPr>
            <w:tcW w:w="992" w:type="dxa"/>
            <w:tcBorders>
              <w:top w:val="nil"/>
              <w:bottom w:val="nil"/>
            </w:tcBorders>
            <w:shd w:val="clear" w:color="000000" w:fill="auto"/>
            <w:vAlign w:val="bottom"/>
          </w:tcPr>
          <w:p w14:paraId="600873BE"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87</w:t>
            </w:r>
          </w:p>
        </w:tc>
      </w:tr>
      <w:tr w:rsidR="005A697A" w:rsidRPr="00AA3DCF" w14:paraId="4C725999" w14:textId="77777777" w:rsidTr="00215BA1">
        <w:trPr>
          <w:tblHeader/>
        </w:trPr>
        <w:tc>
          <w:tcPr>
            <w:tcW w:w="8789" w:type="dxa"/>
            <w:tcBorders>
              <w:bottom w:val="nil"/>
            </w:tcBorders>
            <w:shd w:val="clear" w:color="auto" w:fill="E6E6E6"/>
            <w:vAlign w:val="bottom"/>
          </w:tcPr>
          <w:p w14:paraId="0D0B37C5"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Psychological Society (APS)</w:t>
            </w:r>
          </w:p>
        </w:tc>
        <w:tc>
          <w:tcPr>
            <w:tcW w:w="992" w:type="dxa"/>
            <w:tcBorders>
              <w:bottom w:val="nil"/>
            </w:tcBorders>
            <w:shd w:val="clear" w:color="auto" w:fill="E6E6E6"/>
            <w:vAlign w:val="bottom"/>
          </w:tcPr>
          <w:p w14:paraId="0267353F"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224</w:t>
            </w:r>
          </w:p>
        </w:tc>
      </w:tr>
      <w:tr w:rsidR="005A697A" w:rsidRPr="00AA3DCF" w14:paraId="18E626E2" w14:textId="77777777">
        <w:trPr>
          <w:tblHeader/>
        </w:trPr>
        <w:tc>
          <w:tcPr>
            <w:tcW w:w="8789" w:type="dxa"/>
            <w:tcBorders>
              <w:top w:val="nil"/>
              <w:bottom w:val="nil"/>
            </w:tcBorders>
            <w:shd w:val="clear" w:color="000000" w:fill="auto"/>
            <w:vAlign w:val="bottom"/>
          </w:tcPr>
          <w:p w14:paraId="59E426C3"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Psychosocial Alliance (APA)</w:t>
            </w:r>
          </w:p>
        </w:tc>
        <w:tc>
          <w:tcPr>
            <w:tcW w:w="992" w:type="dxa"/>
            <w:tcBorders>
              <w:top w:val="nil"/>
              <w:bottom w:val="nil"/>
            </w:tcBorders>
            <w:shd w:val="clear" w:color="000000" w:fill="auto"/>
            <w:vAlign w:val="bottom"/>
          </w:tcPr>
          <w:p w14:paraId="20AFF211"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112</w:t>
            </w:r>
          </w:p>
        </w:tc>
      </w:tr>
      <w:tr w:rsidR="005A697A" w:rsidRPr="00AA3DCF" w14:paraId="51D3EC5C" w14:textId="77777777" w:rsidTr="00215BA1">
        <w:trPr>
          <w:tblHeader/>
        </w:trPr>
        <w:tc>
          <w:tcPr>
            <w:tcW w:w="8789" w:type="dxa"/>
            <w:tcBorders>
              <w:bottom w:val="nil"/>
            </w:tcBorders>
            <w:shd w:val="clear" w:color="auto" w:fill="E6E6E6"/>
            <w:vAlign w:val="bottom"/>
          </w:tcPr>
          <w:p w14:paraId="506E6220"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Services Union (ASU)</w:t>
            </w:r>
          </w:p>
        </w:tc>
        <w:tc>
          <w:tcPr>
            <w:tcW w:w="992" w:type="dxa"/>
            <w:tcBorders>
              <w:bottom w:val="nil"/>
            </w:tcBorders>
            <w:shd w:val="clear" w:color="auto" w:fill="E6E6E6"/>
            <w:vAlign w:val="bottom"/>
          </w:tcPr>
          <w:p w14:paraId="35B73E0B"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6</w:t>
            </w:r>
          </w:p>
        </w:tc>
      </w:tr>
      <w:tr w:rsidR="005A697A" w:rsidRPr="00AA3DCF" w14:paraId="09E803D8" w14:textId="77777777">
        <w:trPr>
          <w:tblHeader/>
        </w:trPr>
        <w:tc>
          <w:tcPr>
            <w:tcW w:w="8789" w:type="dxa"/>
            <w:tcBorders>
              <w:top w:val="nil"/>
              <w:bottom w:val="nil"/>
            </w:tcBorders>
            <w:shd w:val="clear" w:color="000000" w:fill="auto"/>
            <w:vAlign w:val="bottom"/>
          </w:tcPr>
          <w:p w14:paraId="4A1F6062"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Australian Small Business and Family Enterprise Ombudsman (ASBFEO)</w:t>
            </w:r>
          </w:p>
        </w:tc>
        <w:tc>
          <w:tcPr>
            <w:tcW w:w="992" w:type="dxa"/>
            <w:tcBorders>
              <w:top w:val="nil"/>
              <w:bottom w:val="nil"/>
            </w:tcBorders>
            <w:shd w:val="clear" w:color="000000" w:fill="auto"/>
            <w:vAlign w:val="bottom"/>
          </w:tcPr>
          <w:p w14:paraId="30C17D13"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231</w:t>
            </w:r>
          </w:p>
        </w:tc>
      </w:tr>
      <w:tr w:rsidR="005A697A" w:rsidRPr="00AA3DCF" w14:paraId="06E445A2" w14:textId="77777777" w:rsidTr="00215BA1">
        <w:trPr>
          <w:tblHeader/>
        </w:trPr>
        <w:tc>
          <w:tcPr>
            <w:tcW w:w="8789" w:type="dxa"/>
            <w:tcBorders>
              <w:bottom w:val="nil"/>
            </w:tcBorders>
            <w:shd w:val="clear" w:color="auto" w:fill="E6E6E6"/>
            <w:vAlign w:val="bottom"/>
          </w:tcPr>
          <w:p w14:paraId="24E822F4" w14:textId="77777777" w:rsidR="005A697A" w:rsidRPr="00E72915" w:rsidRDefault="005A697A">
            <w:pPr>
              <w:pStyle w:val="TableHeading"/>
              <w:spacing w:before="45" w:after="45"/>
              <w:ind w:right="108"/>
              <w:rPr>
                <w:rFonts w:ascii="Arial (Body)" w:hAnsi="Arial (Body)"/>
                <w:b w:val="0"/>
                <w:bCs/>
                <w:color w:val="auto"/>
              </w:rPr>
            </w:pPr>
            <w:proofErr w:type="spellStart"/>
            <w:r w:rsidRPr="00C57F74">
              <w:rPr>
                <w:rFonts w:ascii="Arial (Body)" w:hAnsi="Arial (Body)"/>
                <w:b w:val="0"/>
                <w:bCs/>
                <w:color w:val="auto"/>
              </w:rPr>
              <w:t>AXiLe</w:t>
            </w:r>
            <w:proofErr w:type="spellEnd"/>
            <w:r w:rsidRPr="00C57F74">
              <w:rPr>
                <w:rFonts w:ascii="Arial (Body)" w:hAnsi="Arial (Body)"/>
                <w:b w:val="0"/>
                <w:bCs/>
                <w:color w:val="auto"/>
              </w:rPr>
              <w:t xml:space="preserve"> Informatics</w:t>
            </w:r>
          </w:p>
        </w:tc>
        <w:tc>
          <w:tcPr>
            <w:tcW w:w="992" w:type="dxa"/>
            <w:tcBorders>
              <w:bottom w:val="nil"/>
            </w:tcBorders>
            <w:shd w:val="clear" w:color="auto" w:fill="E6E6E6"/>
            <w:vAlign w:val="bottom"/>
          </w:tcPr>
          <w:p w14:paraId="7891A7EE"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229</w:t>
            </w:r>
          </w:p>
        </w:tc>
      </w:tr>
      <w:tr w:rsidR="005A697A" w:rsidRPr="00AA3DCF" w14:paraId="1B29166C" w14:textId="77777777">
        <w:trPr>
          <w:tblHeader/>
        </w:trPr>
        <w:tc>
          <w:tcPr>
            <w:tcW w:w="8789" w:type="dxa"/>
            <w:tcBorders>
              <w:top w:val="nil"/>
              <w:bottom w:val="nil"/>
            </w:tcBorders>
            <w:shd w:val="clear" w:color="000000" w:fill="auto"/>
            <w:vAlign w:val="bottom"/>
          </w:tcPr>
          <w:p w14:paraId="7E50082D"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Beyond Blue</w:t>
            </w:r>
          </w:p>
        </w:tc>
        <w:tc>
          <w:tcPr>
            <w:tcW w:w="992" w:type="dxa"/>
            <w:tcBorders>
              <w:top w:val="nil"/>
              <w:bottom w:val="nil"/>
            </w:tcBorders>
            <w:shd w:val="clear" w:color="000000" w:fill="auto"/>
            <w:vAlign w:val="bottom"/>
          </w:tcPr>
          <w:p w14:paraId="5F56AC9E"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162</w:t>
            </w:r>
          </w:p>
        </w:tc>
      </w:tr>
      <w:tr w:rsidR="005A697A" w:rsidRPr="00AA3DCF" w14:paraId="3C1927B3" w14:textId="77777777" w:rsidTr="00215BA1">
        <w:trPr>
          <w:tblHeader/>
        </w:trPr>
        <w:tc>
          <w:tcPr>
            <w:tcW w:w="8789" w:type="dxa"/>
            <w:tcBorders>
              <w:bottom w:val="nil"/>
            </w:tcBorders>
            <w:shd w:val="clear" w:color="auto" w:fill="E6E6E6"/>
            <w:vAlign w:val="bottom"/>
          </w:tcPr>
          <w:p w14:paraId="124DEBBA"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Bolton Clarke</w:t>
            </w:r>
          </w:p>
        </w:tc>
        <w:tc>
          <w:tcPr>
            <w:tcW w:w="992" w:type="dxa"/>
            <w:tcBorders>
              <w:bottom w:val="nil"/>
            </w:tcBorders>
            <w:shd w:val="clear" w:color="auto" w:fill="E6E6E6"/>
            <w:vAlign w:val="bottom"/>
          </w:tcPr>
          <w:p w14:paraId="525904C7"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79</w:t>
            </w:r>
          </w:p>
        </w:tc>
      </w:tr>
      <w:tr w:rsidR="005A697A" w:rsidRPr="00AA3DCF" w14:paraId="04E710BF" w14:textId="77777777">
        <w:trPr>
          <w:tblHeader/>
        </w:trPr>
        <w:tc>
          <w:tcPr>
            <w:tcW w:w="8789" w:type="dxa"/>
            <w:tcBorders>
              <w:top w:val="nil"/>
              <w:bottom w:val="nil"/>
            </w:tcBorders>
            <w:shd w:val="clear" w:color="000000" w:fill="auto"/>
            <w:vAlign w:val="bottom"/>
          </w:tcPr>
          <w:p w14:paraId="2C14DCF7"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Brotherhood of St. Laurence (BSL)</w:t>
            </w:r>
          </w:p>
        </w:tc>
        <w:tc>
          <w:tcPr>
            <w:tcW w:w="992" w:type="dxa"/>
            <w:tcBorders>
              <w:top w:val="nil"/>
              <w:bottom w:val="nil"/>
            </w:tcBorders>
            <w:shd w:val="clear" w:color="000000" w:fill="auto"/>
            <w:vAlign w:val="bottom"/>
          </w:tcPr>
          <w:p w14:paraId="376DA887"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180</w:t>
            </w:r>
          </w:p>
        </w:tc>
      </w:tr>
      <w:tr w:rsidR="005A697A" w:rsidRPr="00AA3DCF" w14:paraId="4D3C9B2A" w14:textId="77777777" w:rsidTr="00215BA1">
        <w:trPr>
          <w:tblHeader/>
        </w:trPr>
        <w:tc>
          <w:tcPr>
            <w:tcW w:w="8789" w:type="dxa"/>
            <w:tcBorders>
              <w:bottom w:val="nil"/>
            </w:tcBorders>
            <w:shd w:val="clear" w:color="auto" w:fill="E6E6E6"/>
            <w:vAlign w:val="bottom"/>
          </w:tcPr>
          <w:p w14:paraId="2F7A30BA"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Bupa Asia Pacific</w:t>
            </w:r>
          </w:p>
        </w:tc>
        <w:tc>
          <w:tcPr>
            <w:tcW w:w="992" w:type="dxa"/>
            <w:tcBorders>
              <w:bottom w:val="nil"/>
            </w:tcBorders>
            <w:shd w:val="clear" w:color="auto" w:fill="E6E6E6"/>
            <w:vAlign w:val="bottom"/>
          </w:tcPr>
          <w:p w14:paraId="7DAC1207"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10</w:t>
            </w:r>
          </w:p>
        </w:tc>
      </w:tr>
      <w:tr w:rsidR="005A697A" w:rsidRPr="00AA3DCF" w14:paraId="00B1B514" w14:textId="77777777">
        <w:trPr>
          <w:tblHeader/>
        </w:trPr>
        <w:tc>
          <w:tcPr>
            <w:tcW w:w="8789" w:type="dxa"/>
            <w:tcBorders>
              <w:top w:val="nil"/>
              <w:bottom w:val="nil"/>
            </w:tcBorders>
            <w:shd w:val="clear" w:color="000000" w:fill="auto"/>
            <w:vAlign w:val="bottom"/>
          </w:tcPr>
          <w:p w14:paraId="29198794"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Burnet Institute</w:t>
            </w:r>
          </w:p>
        </w:tc>
        <w:tc>
          <w:tcPr>
            <w:tcW w:w="992" w:type="dxa"/>
            <w:tcBorders>
              <w:top w:val="nil"/>
              <w:bottom w:val="nil"/>
            </w:tcBorders>
            <w:shd w:val="clear" w:color="000000" w:fill="auto"/>
            <w:vAlign w:val="bottom"/>
          </w:tcPr>
          <w:p w14:paraId="53731321"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144</w:t>
            </w:r>
          </w:p>
        </w:tc>
      </w:tr>
      <w:tr w:rsidR="005A697A" w:rsidRPr="00AA3DCF" w14:paraId="6508CB49" w14:textId="77777777" w:rsidTr="00215BA1">
        <w:trPr>
          <w:tblHeader/>
        </w:trPr>
        <w:tc>
          <w:tcPr>
            <w:tcW w:w="8789" w:type="dxa"/>
            <w:tcBorders>
              <w:bottom w:val="nil"/>
            </w:tcBorders>
            <w:shd w:val="clear" w:color="auto" w:fill="E6E6E6"/>
            <w:vAlign w:val="bottom"/>
          </w:tcPr>
          <w:p w14:paraId="3C7C7CCF"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Business Council of Australia (BCA)</w:t>
            </w:r>
          </w:p>
        </w:tc>
        <w:tc>
          <w:tcPr>
            <w:tcW w:w="992" w:type="dxa"/>
            <w:tcBorders>
              <w:bottom w:val="nil"/>
            </w:tcBorders>
            <w:shd w:val="clear" w:color="auto" w:fill="E6E6E6"/>
            <w:vAlign w:val="bottom"/>
          </w:tcPr>
          <w:p w14:paraId="0ECCE20D"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7, 70</w:t>
            </w:r>
          </w:p>
        </w:tc>
      </w:tr>
      <w:tr w:rsidR="005A697A" w:rsidRPr="00AA3DCF" w14:paraId="5BA8329B" w14:textId="77777777">
        <w:trPr>
          <w:tblHeader/>
        </w:trPr>
        <w:tc>
          <w:tcPr>
            <w:tcW w:w="8789" w:type="dxa"/>
            <w:tcBorders>
              <w:top w:val="nil"/>
              <w:bottom w:val="nil"/>
            </w:tcBorders>
            <w:shd w:val="clear" w:color="000000" w:fill="auto"/>
            <w:vAlign w:val="bottom"/>
          </w:tcPr>
          <w:p w14:paraId="1D6BA310"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Business Council of Co</w:t>
            </w:r>
            <w:r>
              <w:rPr>
                <w:rFonts w:ascii="Arial (Body)" w:hAnsi="Arial (Body)"/>
                <w:b w:val="0"/>
                <w:bCs/>
                <w:color w:val="auto"/>
              </w:rPr>
              <w:noBreakHyphen/>
            </w:r>
            <w:r w:rsidRPr="00C57F74">
              <w:rPr>
                <w:rFonts w:ascii="Arial (Body)" w:hAnsi="Arial (Body)"/>
                <w:b w:val="0"/>
                <w:bCs/>
                <w:color w:val="auto"/>
              </w:rPr>
              <w:t>operatives &amp; Mutuals (BCCM)</w:t>
            </w:r>
          </w:p>
        </w:tc>
        <w:tc>
          <w:tcPr>
            <w:tcW w:w="992" w:type="dxa"/>
            <w:tcBorders>
              <w:top w:val="nil"/>
              <w:bottom w:val="nil"/>
            </w:tcBorders>
            <w:shd w:val="clear" w:color="000000" w:fill="auto"/>
            <w:vAlign w:val="bottom"/>
          </w:tcPr>
          <w:p w14:paraId="455B53BC"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142</w:t>
            </w:r>
          </w:p>
        </w:tc>
      </w:tr>
      <w:tr w:rsidR="005A697A" w:rsidRPr="00AA3DCF" w14:paraId="4C555416" w14:textId="77777777" w:rsidTr="00215BA1">
        <w:trPr>
          <w:tblHeader/>
        </w:trPr>
        <w:tc>
          <w:tcPr>
            <w:tcW w:w="8789" w:type="dxa"/>
            <w:tcBorders>
              <w:bottom w:val="nil"/>
            </w:tcBorders>
            <w:shd w:val="clear" w:color="auto" w:fill="E6E6E6"/>
            <w:vAlign w:val="bottom"/>
          </w:tcPr>
          <w:p w14:paraId="5EAA3FF2"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Cancer Council Australia</w:t>
            </w:r>
          </w:p>
        </w:tc>
        <w:tc>
          <w:tcPr>
            <w:tcW w:w="992" w:type="dxa"/>
            <w:tcBorders>
              <w:bottom w:val="nil"/>
            </w:tcBorders>
            <w:shd w:val="clear" w:color="auto" w:fill="E6E6E6"/>
            <w:vAlign w:val="bottom"/>
          </w:tcPr>
          <w:p w14:paraId="4464065F"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127</w:t>
            </w:r>
          </w:p>
        </w:tc>
      </w:tr>
      <w:tr w:rsidR="005A697A" w:rsidRPr="00AA3DCF" w14:paraId="3405ABF1" w14:textId="77777777">
        <w:trPr>
          <w:tblHeader/>
        </w:trPr>
        <w:tc>
          <w:tcPr>
            <w:tcW w:w="8789" w:type="dxa"/>
            <w:tcBorders>
              <w:top w:val="nil"/>
              <w:bottom w:val="nil"/>
            </w:tcBorders>
            <w:shd w:val="clear" w:color="000000" w:fill="auto"/>
            <w:vAlign w:val="bottom"/>
          </w:tcPr>
          <w:p w14:paraId="0087A737"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Cancer Council Western Australia (CCWA)</w:t>
            </w:r>
          </w:p>
        </w:tc>
        <w:tc>
          <w:tcPr>
            <w:tcW w:w="992" w:type="dxa"/>
            <w:tcBorders>
              <w:top w:val="nil"/>
              <w:bottom w:val="nil"/>
            </w:tcBorders>
            <w:shd w:val="clear" w:color="000000" w:fill="auto"/>
            <w:vAlign w:val="bottom"/>
          </w:tcPr>
          <w:p w14:paraId="6F268693"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198</w:t>
            </w:r>
          </w:p>
        </w:tc>
      </w:tr>
      <w:tr w:rsidR="005A697A" w:rsidRPr="00AA3DCF" w14:paraId="6FD328A1" w14:textId="77777777" w:rsidTr="00215BA1">
        <w:trPr>
          <w:tblHeader/>
        </w:trPr>
        <w:tc>
          <w:tcPr>
            <w:tcW w:w="8789" w:type="dxa"/>
            <w:tcBorders>
              <w:bottom w:val="nil"/>
            </w:tcBorders>
            <w:shd w:val="clear" w:color="auto" w:fill="E6E6E6"/>
            <w:vAlign w:val="bottom"/>
          </w:tcPr>
          <w:p w14:paraId="58A20934"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Care Economy CRC (CE CRC)</w:t>
            </w:r>
          </w:p>
        </w:tc>
        <w:tc>
          <w:tcPr>
            <w:tcW w:w="992" w:type="dxa"/>
            <w:tcBorders>
              <w:bottom w:val="nil"/>
            </w:tcBorders>
            <w:shd w:val="clear" w:color="auto" w:fill="E6E6E6"/>
            <w:vAlign w:val="bottom"/>
          </w:tcPr>
          <w:p w14:paraId="5B47E2C3"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232</w:t>
            </w:r>
          </w:p>
        </w:tc>
      </w:tr>
      <w:tr w:rsidR="005A697A" w:rsidRPr="00AA3DCF" w14:paraId="4986200D" w14:textId="77777777">
        <w:trPr>
          <w:tblHeader/>
        </w:trPr>
        <w:tc>
          <w:tcPr>
            <w:tcW w:w="8789" w:type="dxa"/>
            <w:tcBorders>
              <w:top w:val="nil"/>
              <w:bottom w:val="nil"/>
            </w:tcBorders>
            <w:shd w:val="clear" w:color="000000" w:fill="auto"/>
            <w:vAlign w:val="bottom"/>
          </w:tcPr>
          <w:p w14:paraId="12CAA7DF"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Carers Australia</w:t>
            </w:r>
          </w:p>
        </w:tc>
        <w:tc>
          <w:tcPr>
            <w:tcW w:w="992" w:type="dxa"/>
            <w:tcBorders>
              <w:top w:val="nil"/>
              <w:bottom w:val="nil"/>
            </w:tcBorders>
            <w:shd w:val="clear" w:color="000000" w:fill="auto"/>
            <w:vAlign w:val="bottom"/>
          </w:tcPr>
          <w:p w14:paraId="0396C166"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143</w:t>
            </w:r>
          </w:p>
        </w:tc>
      </w:tr>
      <w:tr w:rsidR="005A697A" w:rsidRPr="00AA3DCF" w14:paraId="13C53CE6" w14:textId="77777777" w:rsidTr="00215BA1">
        <w:trPr>
          <w:tblHeader/>
        </w:trPr>
        <w:tc>
          <w:tcPr>
            <w:tcW w:w="8789" w:type="dxa"/>
            <w:tcBorders>
              <w:bottom w:val="nil"/>
            </w:tcBorders>
            <w:shd w:val="clear" w:color="auto" w:fill="E6E6E6"/>
            <w:vAlign w:val="bottom"/>
          </w:tcPr>
          <w:p w14:paraId="39885CD4"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Carers NSW</w:t>
            </w:r>
          </w:p>
        </w:tc>
        <w:tc>
          <w:tcPr>
            <w:tcW w:w="992" w:type="dxa"/>
            <w:tcBorders>
              <w:bottom w:val="nil"/>
            </w:tcBorders>
            <w:shd w:val="clear" w:color="auto" w:fill="E6E6E6"/>
            <w:vAlign w:val="bottom"/>
          </w:tcPr>
          <w:p w14:paraId="3F5DFD25"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121</w:t>
            </w:r>
          </w:p>
        </w:tc>
      </w:tr>
      <w:tr w:rsidR="005A697A" w:rsidRPr="00F959B9" w14:paraId="465F53F7" w14:textId="77777777">
        <w:trPr>
          <w:tblHeader/>
        </w:trPr>
        <w:tc>
          <w:tcPr>
            <w:tcW w:w="8789" w:type="dxa"/>
            <w:tcBorders>
              <w:top w:val="nil"/>
              <w:bottom w:val="nil"/>
            </w:tcBorders>
            <w:shd w:val="clear" w:color="000000" w:fill="auto"/>
            <w:vAlign w:val="bottom"/>
          </w:tcPr>
          <w:p w14:paraId="10BE0FD6"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Carers Tasmania</w:t>
            </w:r>
          </w:p>
        </w:tc>
        <w:tc>
          <w:tcPr>
            <w:tcW w:w="992" w:type="dxa"/>
            <w:tcBorders>
              <w:top w:val="nil"/>
              <w:bottom w:val="nil"/>
            </w:tcBorders>
            <w:shd w:val="clear" w:color="000000" w:fill="auto"/>
            <w:vAlign w:val="bottom"/>
          </w:tcPr>
          <w:p w14:paraId="667234C5"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92</w:t>
            </w:r>
          </w:p>
        </w:tc>
      </w:tr>
      <w:tr w:rsidR="005A697A" w:rsidRPr="00AA3DCF" w14:paraId="6A4C0971" w14:textId="77777777" w:rsidTr="00215BA1">
        <w:trPr>
          <w:tblHeader/>
        </w:trPr>
        <w:tc>
          <w:tcPr>
            <w:tcW w:w="8789" w:type="dxa"/>
            <w:tcBorders>
              <w:bottom w:val="nil"/>
            </w:tcBorders>
            <w:shd w:val="clear" w:color="auto" w:fill="E6E6E6"/>
            <w:vAlign w:val="bottom"/>
          </w:tcPr>
          <w:p w14:paraId="522501DF"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Carla Treloar</w:t>
            </w:r>
          </w:p>
        </w:tc>
        <w:tc>
          <w:tcPr>
            <w:tcW w:w="992" w:type="dxa"/>
            <w:tcBorders>
              <w:bottom w:val="nil"/>
            </w:tcBorders>
            <w:shd w:val="clear" w:color="auto" w:fill="E6E6E6"/>
            <w:vAlign w:val="bottom"/>
          </w:tcPr>
          <w:p w14:paraId="70C5AB5D"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236</w:t>
            </w:r>
          </w:p>
        </w:tc>
      </w:tr>
      <w:tr w:rsidR="005A697A" w:rsidRPr="00AA3DCF" w14:paraId="061D696F" w14:textId="77777777">
        <w:trPr>
          <w:tblHeader/>
        </w:trPr>
        <w:tc>
          <w:tcPr>
            <w:tcW w:w="8789" w:type="dxa"/>
            <w:tcBorders>
              <w:top w:val="nil"/>
              <w:bottom w:val="nil"/>
            </w:tcBorders>
            <w:shd w:val="clear" w:color="000000" w:fill="auto"/>
            <w:vAlign w:val="bottom"/>
          </w:tcPr>
          <w:p w14:paraId="02131B3B"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Catholic Health Australia (CHA)</w:t>
            </w:r>
          </w:p>
        </w:tc>
        <w:tc>
          <w:tcPr>
            <w:tcW w:w="992" w:type="dxa"/>
            <w:tcBorders>
              <w:top w:val="nil"/>
              <w:bottom w:val="nil"/>
            </w:tcBorders>
            <w:shd w:val="clear" w:color="000000" w:fill="auto"/>
            <w:vAlign w:val="bottom"/>
          </w:tcPr>
          <w:p w14:paraId="32085E7B"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165</w:t>
            </w:r>
          </w:p>
        </w:tc>
      </w:tr>
      <w:tr w:rsidR="005A697A" w:rsidRPr="00AA3DCF" w14:paraId="31B6C2DD" w14:textId="77777777" w:rsidTr="00215BA1">
        <w:trPr>
          <w:tblHeader/>
        </w:trPr>
        <w:tc>
          <w:tcPr>
            <w:tcW w:w="8789" w:type="dxa"/>
            <w:tcBorders>
              <w:bottom w:val="nil"/>
            </w:tcBorders>
            <w:shd w:val="clear" w:color="auto" w:fill="E6E6E6"/>
            <w:vAlign w:val="bottom"/>
          </w:tcPr>
          <w:p w14:paraId="31627C26"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Centre for Community Child Health, Murdoch Children</w:t>
            </w:r>
            <w:r>
              <w:rPr>
                <w:rFonts w:ascii="Arial (Body)" w:hAnsi="Arial (Body)"/>
                <w:b w:val="0"/>
                <w:bCs/>
                <w:color w:val="auto"/>
              </w:rPr>
              <w:t>’</w:t>
            </w:r>
            <w:r w:rsidRPr="00C57F74">
              <w:rPr>
                <w:rFonts w:ascii="Arial (Body)" w:hAnsi="Arial (Body)"/>
                <w:b w:val="0"/>
                <w:bCs/>
                <w:color w:val="auto"/>
              </w:rPr>
              <w:t>s Research Institute (CCCH)</w:t>
            </w:r>
          </w:p>
        </w:tc>
        <w:tc>
          <w:tcPr>
            <w:tcW w:w="992" w:type="dxa"/>
            <w:tcBorders>
              <w:bottom w:val="nil"/>
            </w:tcBorders>
            <w:shd w:val="clear" w:color="auto" w:fill="E6E6E6"/>
            <w:vAlign w:val="bottom"/>
          </w:tcPr>
          <w:p w14:paraId="2A4199D1"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201</w:t>
            </w:r>
          </w:p>
        </w:tc>
      </w:tr>
      <w:tr w:rsidR="005A697A" w:rsidRPr="00AA3DCF" w14:paraId="033CE51C" w14:textId="77777777">
        <w:trPr>
          <w:tblHeader/>
        </w:trPr>
        <w:tc>
          <w:tcPr>
            <w:tcW w:w="8789" w:type="dxa"/>
            <w:tcBorders>
              <w:top w:val="nil"/>
              <w:bottom w:val="nil"/>
            </w:tcBorders>
            <w:shd w:val="clear" w:color="000000" w:fill="auto"/>
            <w:vAlign w:val="bottom"/>
          </w:tcPr>
          <w:p w14:paraId="4B5E6D41"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Centre for Digital Transformation of Health (CDTH)</w:t>
            </w:r>
          </w:p>
        </w:tc>
        <w:tc>
          <w:tcPr>
            <w:tcW w:w="992" w:type="dxa"/>
            <w:tcBorders>
              <w:top w:val="nil"/>
              <w:bottom w:val="nil"/>
            </w:tcBorders>
            <w:shd w:val="clear" w:color="000000" w:fill="auto"/>
            <w:vAlign w:val="bottom"/>
          </w:tcPr>
          <w:p w14:paraId="00922FB5"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135</w:t>
            </w:r>
          </w:p>
        </w:tc>
      </w:tr>
      <w:tr w:rsidR="005A697A" w:rsidRPr="00AA3DCF" w14:paraId="511D44E5" w14:textId="77777777" w:rsidTr="00215BA1">
        <w:trPr>
          <w:tblHeader/>
        </w:trPr>
        <w:tc>
          <w:tcPr>
            <w:tcW w:w="8789" w:type="dxa"/>
            <w:tcBorders>
              <w:bottom w:val="nil"/>
            </w:tcBorders>
            <w:shd w:val="clear" w:color="auto" w:fill="E6E6E6"/>
            <w:vAlign w:val="bottom"/>
          </w:tcPr>
          <w:p w14:paraId="522E190C"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Centre for Policy Development (CPD)</w:t>
            </w:r>
          </w:p>
        </w:tc>
        <w:tc>
          <w:tcPr>
            <w:tcW w:w="992" w:type="dxa"/>
            <w:tcBorders>
              <w:bottom w:val="nil"/>
            </w:tcBorders>
            <w:shd w:val="clear" w:color="auto" w:fill="E6E6E6"/>
            <w:vAlign w:val="bottom"/>
          </w:tcPr>
          <w:p w14:paraId="4D83B756"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33, 244</w:t>
            </w:r>
          </w:p>
        </w:tc>
      </w:tr>
      <w:tr w:rsidR="005A697A" w:rsidRPr="00AA3DCF" w14:paraId="28D84EAF" w14:textId="77777777">
        <w:trPr>
          <w:tblHeader/>
        </w:trPr>
        <w:tc>
          <w:tcPr>
            <w:tcW w:w="8789" w:type="dxa"/>
            <w:tcBorders>
              <w:bottom w:val="nil"/>
            </w:tcBorders>
            <w:shd w:val="clear" w:color="000000" w:fill="auto"/>
            <w:vAlign w:val="bottom"/>
          </w:tcPr>
          <w:p w14:paraId="6AE8D92F" w14:textId="77777777" w:rsidR="005A697A" w:rsidRPr="00E72915" w:rsidRDefault="005A697A">
            <w:pPr>
              <w:pStyle w:val="TableHeading"/>
              <w:spacing w:before="45" w:after="45"/>
              <w:ind w:right="108"/>
              <w:rPr>
                <w:rFonts w:ascii="Arial (Body)" w:hAnsi="Arial (Body)"/>
                <w:b w:val="0"/>
                <w:bCs/>
                <w:color w:val="auto"/>
              </w:rPr>
            </w:pPr>
            <w:r w:rsidRPr="00C57F74">
              <w:rPr>
                <w:rFonts w:ascii="Arial (Body)" w:hAnsi="Arial (Body)"/>
                <w:b w:val="0"/>
                <w:bCs/>
                <w:color w:val="auto"/>
              </w:rPr>
              <w:t>Chamber of Commerce and Industry Western Australia (CCIWA)</w:t>
            </w:r>
          </w:p>
        </w:tc>
        <w:tc>
          <w:tcPr>
            <w:tcW w:w="992" w:type="dxa"/>
            <w:tcBorders>
              <w:bottom w:val="nil"/>
            </w:tcBorders>
            <w:shd w:val="clear" w:color="000000" w:fill="auto"/>
            <w:vAlign w:val="bottom"/>
          </w:tcPr>
          <w:p w14:paraId="01E0D1AB"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13</w:t>
            </w:r>
          </w:p>
        </w:tc>
      </w:tr>
      <w:tr w:rsidR="005A697A" w:rsidRPr="00AA3DCF" w14:paraId="6E766501" w14:textId="77777777" w:rsidTr="00215BA1">
        <w:trPr>
          <w:tblHeader/>
        </w:trPr>
        <w:tc>
          <w:tcPr>
            <w:tcW w:w="8789" w:type="dxa"/>
            <w:tcBorders>
              <w:top w:val="nil"/>
              <w:bottom w:val="single" w:sz="4" w:space="0" w:color="B3B3B3"/>
            </w:tcBorders>
            <w:shd w:val="clear" w:color="auto" w:fill="E6E6E6"/>
            <w:vAlign w:val="bottom"/>
          </w:tcPr>
          <w:p w14:paraId="0D4F66F2" w14:textId="77777777" w:rsidR="005A697A" w:rsidRPr="00E72915" w:rsidRDefault="005A697A">
            <w:pPr>
              <w:pStyle w:val="TableHeading"/>
              <w:spacing w:before="45" w:after="45"/>
              <w:ind w:right="108"/>
              <w:rPr>
                <w:rFonts w:ascii="Arial (Body)" w:hAnsi="Arial (Body)"/>
                <w:b w:val="0"/>
                <w:bCs/>
                <w:color w:val="auto"/>
              </w:rPr>
            </w:pPr>
            <w:proofErr w:type="spellStart"/>
            <w:r w:rsidRPr="00C57F74">
              <w:rPr>
                <w:rFonts w:ascii="Arial (Body)" w:hAnsi="Arial (Body)"/>
                <w:b w:val="0"/>
                <w:bCs/>
                <w:color w:val="auto"/>
              </w:rPr>
              <w:t>CheckUP</w:t>
            </w:r>
            <w:proofErr w:type="spellEnd"/>
            <w:r w:rsidRPr="00C57F74">
              <w:rPr>
                <w:rFonts w:ascii="Arial (Body)" w:hAnsi="Arial (Body)"/>
                <w:b w:val="0"/>
                <w:bCs/>
                <w:color w:val="auto"/>
              </w:rPr>
              <w:t xml:space="preserve"> Australia</w:t>
            </w:r>
          </w:p>
        </w:tc>
        <w:tc>
          <w:tcPr>
            <w:tcW w:w="992" w:type="dxa"/>
            <w:tcBorders>
              <w:top w:val="nil"/>
              <w:bottom w:val="single" w:sz="4" w:space="0" w:color="B3B3B3"/>
            </w:tcBorders>
            <w:shd w:val="clear" w:color="auto" w:fill="E6E6E6"/>
            <w:vAlign w:val="bottom"/>
          </w:tcPr>
          <w:p w14:paraId="3A2D1473" w14:textId="77777777" w:rsidR="005A697A" w:rsidRPr="00E72915" w:rsidRDefault="005A697A">
            <w:pPr>
              <w:pStyle w:val="TableHeading"/>
              <w:spacing w:before="45" w:after="45"/>
              <w:ind w:right="108"/>
              <w:jc w:val="right"/>
              <w:rPr>
                <w:rFonts w:ascii="Arial (Body)" w:hAnsi="Arial (Body)"/>
                <w:b w:val="0"/>
                <w:bCs/>
                <w:color w:val="auto"/>
              </w:rPr>
            </w:pPr>
            <w:r w:rsidRPr="00C57F74">
              <w:rPr>
                <w:rFonts w:ascii="Arial (Body)" w:hAnsi="Arial (Body)"/>
                <w:b w:val="0"/>
                <w:bCs/>
                <w:color w:val="auto"/>
              </w:rPr>
              <w:t>150</w:t>
            </w:r>
          </w:p>
        </w:tc>
      </w:tr>
    </w:tbl>
    <w:p w14:paraId="4F0DC06A" w14:textId="77777777" w:rsidR="005A697A" w:rsidRDefault="005A697A">
      <w:r>
        <w:rPr>
          <w:b/>
        </w:rPr>
        <w:br w:type="page"/>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5A697A" w:rsidRPr="00145873" w14:paraId="0BCEBE90" w14:textId="77777777">
        <w:trPr>
          <w:tblHeader/>
        </w:trPr>
        <w:tc>
          <w:tcPr>
            <w:tcW w:w="8789" w:type="dxa"/>
            <w:tcBorders>
              <w:bottom w:val="single" w:sz="4" w:space="0" w:color="B3B3B3"/>
            </w:tcBorders>
            <w:shd w:val="clear" w:color="000000" w:fill="auto"/>
            <w:vAlign w:val="bottom"/>
          </w:tcPr>
          <w:p w14:paraId="5D9B6F75" w14:textId="77777777" w:rsidR="005A697A" w:rsidRPr="00145873" w:rsidRDefault="005A697A">
            <w:pPr>
              <w:pStyle w:val="TableHeading"/>
              <w:spacing w:before="45" w:after="45"/>
              <w:ind w:right="108"/>
              <w:rPr>
                <w:rFonts w:ascii="Arial (Body)" w:hAnsi="Arial (Body)"/>
                <w:color w:val="265A9A"/>
              </w:rPr>
            </w:pPr>
            <w:r w:rsidRPr="00145873">
              <w:rPr>
                <w:rFonts w:ascii="Arial (Body)" w:hAnsi="Arial (Body)"/>
                <w:color w:val="265A9A"/>
              </w:rPr>
              <w:lastRenderedPageBreak/>
              <w:br w:type="page"/>
            </w:r>
            <w:r w:rsidRPr="00145873">
              <w:rPr>
                <w:rFonts w:ascii="Arial (Body)" w:hAnsi="Arial (Body)"/>
                <w:color w:val="265A9A"/>
              </w:rPr>
              <w:br w:type="page"/>
              <w:t>Participants</w:t>
            </w:r>
          </w:p>
        </w:tc>
        <w:tc>
          <w:tcPr>
            <w:tcW w:w="992" w:type="dxa"/>
            <w:tcBorders>
              <w:bottom w:val="single" w:sz="4" w:space="0" w:color="B3B3B3"/>
            </w:tcBorders>
            <w:shd w:val="clear" w:color="000000" w:fill="auto"/>
            <w:vAlign w:val="bottom"/>
          </w:tcPr>
          <w:p w14:paraId="2F0FCA40" w14:textId="77777777" w:rsidR="005A697A" w:rsidRPr="00145873" w:rsidRDefault="005A697A" w:rsidP="003923B0">
            <w:pPr>
              <w:pStyle w:val="TableHeading"/>
              <w:spacing w:before="45" w:after="45"/>
              <w:ind w:right="108"/>
              <w:jc w:val="right"/>
              <w:rPr>
                <w:rFonts w:ascii="Arial (Body)" w:hAnsi="Arial (Body)"/>
                <w:color w:val="265A9A"/>
              </w:rPr>
            </w:pPr>
            <w:r w:rsidRPr="00145873">
              <w:rPr>
                <w:rFonts w:ascii="Arial (Body)" w:hAnsi="Arial (Body)"/>
                <w:color w:val="265A9A"/>
              </w:rPr>
              <w:t>Sub no.</w:t>
            </w:r>
          </w:p>
        </w:tc>
      </w:tr>
      <w:tr w:rsidR="005A697A" w:rsidRPr="00145873" w14:paraId="2E687B7E" w14:textId="77777777" w:rsidTr="00215BA1">
        <w:trPr>
          <w:tblHeader/>
        </w:trPr>
        <w:tc>
          <w:tcPr>
            <w:tcW w:w="8789" w:type="dxa"/>
            <w:tcBorders>
              <w:top w:val="single" w:sz="4" w:space="0" w:color="B3B3B3"/>
              <w:bottom w:val="nil"/>
            </w:tcBorders>
            <w:shd w:val="clear" w:color="auto" w:fill="E6E6E6"/>
            <w:vAlign w:val="bottom"/>
          </w:tcPr>
          <w:p w14:paraId="15714E77"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Children</w:t>
            </w:r>
            <w:r>
              <w:rPr>
                <w:rFonts w:ascii="Arial (Body)" w:hAnsi="Arial (Body)"/>
                <w:b w:val="0"/>
                <w:bCs/>
                <w:color w:val="auto"/>
              </w:rPr>
              <w:t>’</w:t>
            </w:r>
            <w:r w:rsidRPr="00E63076">
              <w:rPr>
                <w:rFonts w:ascii="Arial (Body)" w:hAnsi="Arial (Body)"/>
                <w:b w:val="0"/>
                <w:bCs/>
                <w:color w:val="auto"/>
              </w:rPr>
              <w:t>s Cancer Institute (CCI)</w:t>
            </w:r>
          </w:p>
        </w:tc>
        <w:tc>
          <w:tcPr>
            <w:tcW w:w="992" w:type="dxa"/>
            <w:tcBorders>
              <w:top w:val="single" w:sz="4" w:space="0" w:color="B3B3B3"/>
              <w:bottom w:val="nil"/>
            </w:tcBorders>
            <w:shd w:val="clear" w:color="auto" w:fill="E6E6E6"/>
            <w:vAlign w:val="bottom"/>
          </w:tcPr>
          <w:p w14:paraId="36DBEEE4"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51</w:t>
            </w:r>
          </w:p>
        </w:tc>
      </w:tr>
      <w:tr w:rsidR="005A697A" w:rsidRPr="00145873" w14:paraId="2145AB2C" w14:textId="77777777">
        <w:trPr>
          <w:tblHeader/>
        </w:trPr>
        <w:tc>
          <w:tcPr>
            <w:tcW w:w="8789" w:type="dxa"/>
            <w:tcBorders>
              <w:top w:val="nil"/>
              <w:bottom w:val="nil"/>
            </w:tcBorders>
            <w:shd w:val="clear" w:color="000000" w:fill="auto"/>
            <w:vAlign w:val="bottom"/>
          </w:tcPr>
          <w:p w14:paraId="7956625E"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Churches of Christ Life Care Ltd (Life Care)</w:t>
            </w:r>
          </w:p>
        </w:tc>
        <w:tc>
          <w:tcPr>
            <w:tcW w:w="992" w:type="dxa"/>
            <w:tcBorders>
              <w:top w:val="nil"/>
              <w:bottom w:val="nil"/>
            </w:tcBorders>
            <w:shd w:val="clear" w:color="000000" w:fill="auto"/>
            <w:vAlign w:val="bottom"/>
          </w:tcPr>
          <w:p w14:paraId="0208A8F0"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77</w:t>
            </w:r>
          </w:p>
        </w:tc>
      </w:tr>
      <w:tr w:rsidR="005A697A" w:rsidRPr="00145873" w14:paraId="63DFACF0" w14:textId="77777777" w:rsidTr="00215BA1">
        <w:trPr>
          <w:tblHeader/>
        </w:trPr>
        <w:tc>
          <w:tcPr>
            <w:tcW w:w="8789" w:type="dxa"/>
            <w:tcBorders>
              <w:bottom w:val="nil"/>
            </w:tcBorders>
            <w:shd w:val="clear" w:color="auto" w:fill="E6E6E6"/>
            <w:vAlign w:val="bottom"/>
          </w:tcPr>
          <w:p w14:paraId="08C4825E"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Cleaner Air Collective</w:t>
            </w:r>
          </w:p>
        </w:tc>
        <w:tc>
          <w:tcPr>
            <w:tcW w:w="992" w:type="dxa"/>
            <w:tcBorders>
              <w:bottom w:val="nil"/>
            </w:tcBorders>
            <w:shd w:val="clear" w:color="auto" w:fill="E6E6E6"/>
            <w:vAlign w:val="bottom"/>
          </w:tcPr>
          <w:p w14:paraId="75CA1049"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113</w:t>
            </w:r>
          </w:p>
        </w:tc>
      </w:tr>
      <w:tr w:rsidR="005A697A" w:rsidRPr="00145873" w14:paraId="242B3B93" w14:textId="77777777">
        <w:trPr>
          <w:tblHeader/>
        </w:trPr>
        <w:tc>
          <w:tcPr>
            <w:tcW w:w="8789" w:type="dxa"/>
            <w:tcBorders>
              <w:top w:val="nil"/>
              <w:bottom w:val="nil"/>
            </w:tcBorders>
            <w:shd w:val="clear" w:color="000000" w:fill="auto"/>
            <w:vAlign w:val="bottom"/>
          </w:tcPr>
          <w:p w14:paraId="16FA6D19"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Committee for Sydney</w:t>
            </w:r>
          </w:p>
        </w:tc>
        <w:tc>
          <w:tcPr>
            <w:tcW w:w="992" w:type="dxa"/>
            <w:tcBorders>
              <w:top w:val="nil"/>
              <w:bottom w:val="nil"/>
            </w:tcBorders>
            <w:shd w:val="clear" w:color="000000" w:fill="auto"/>
            <w:vAlign w:val="bottom"/>
          </w:tcPr>
          <w:p w14:paraId="20381FDE"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152</w:t>
            </w:r>
          </w:p>
        </w:tc>
      </w:tr>
      <w:tr w:rsidR="005A697A" w:rsidRPr="00145873" w14:paraId="20604472" w14:textId="77777777" w:rsidTr="00215BA1">
        <w:trPr>
          <w:tblHeader/>
        </w:trPr>
        <w:tc>
          <w:tcPr>
            <w:tcW w:w="8789" w:type="dxa"/>
            <w:tcBorders>
              <w:bottom w:val="nil"/>
            </w:tcBorders>
            <w:shd w:val="clear" w:color="auto" w:fill="E6E6E6"/>
            <w:vAlign w:val="bottom"/>
          </w:tcPr>
          <w:p w14:paraId="29994B86"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Commonwealth Bank of Australia (CBA)</w:t>
            </w:r>
          </w:p>
        </w:tc>
        <w:tc>
          <w:tcPr>
            <w:tcW w:w="992" w:type="dxa"/>
            <w:tcBorders>
              <w:bottom w:val="nil"/>
            </w:tcBorders>
            <w:shd w:val="clear" w:color="auto" w:fill="E6E6E6"/>
            <w:vAlign w:val="bottom"/>
          </w:tcPr>
          <w:p w14:paraId="78F31457"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24</w:t>
            </w:r>
          </w:p>
        </w:tc>
      </w:tr>
      <w:tr w:rsidR="005A697A" w:rsidRPr="00145873" w14:paraId="4ABF2314" w14:textId="77777777">
        <w:trPr>
          <w:tblHeader/>
        </w:trPr>
        <w:tc>
          <w:tcPr>
            <w:tcW w:w="8789" w:type="dxa"/>
            <w:tcBorders>
              <w:top w:val="nil"/>
              <w:bottom w:val="nil"/>
            </w:tcBorders>
            <w:shd w:val="clear" w:color="000000" w:fill="auto"/>
            <w:vAlign w:val="bottom"/>
          </w:tcPr>
          <w:p w14:paraId="282E8030"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Community and Public Sector Union (PSU Group) (CPSU)</w:t>
            </w:r>
          </w:p>
        </w:tc>
        <w:tc>
          <w:tcPr>
            <w:tcW w:w="992" w:type="dxa"/>
            <w:tcBorders>
              <w:top w:val="nil"/>
              <w:bottom w:val="nil"/>
            </w:tcBorders>
            <w:shd w:val="clear" w:color="000000" w:fill="auto"/>
            <w:vAlign w:val="bottom"/>
          </w:tcPr>
          <w:p w14:paraId="1AF882D0"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75</w:t>
            </w:r>
          </w:p>
        </w:tc>
      </w:tr>
      <w:tr w:rsidR="005A697A" w:rsidRPr="00145873" w14:paraId="6CA883F7" w14:textId="77777777" w:rsidTr="00215BA1">
        <w:trPr>
          <w:tblHeader/>
        </w:trPr>
        <w:tc>
          <w:tcPr>
            <w:tcW w:w="8789" w:type="dxa"/>
            <w:tcBorders>
              <w:bottom w:val="nil"/>
            </w:tcBorders>
            <w:shd w:val="clear" w:color="auto" w:fill="E6E6E6"/>
            <w:vAlign w:val="bottom"/>
          </w:tcPr>
          <w:p w14:paraId="21B194FA"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Community Flower Studio</w:t>
            </w:r>
          </w:p>
        </w:tc>
        <w:tc>
          <w:tcPr>
            <w:tcW w:w="992" w:type="dxa"/>
            <w:tcBorders>
              <w:bottom w:val="nil"/>
            </w:tcBorders>
            <w:shd w:val="clear" w:color="auto" w:fill="E6E6E6"/>
            <w:vAlign w:val="bottom"/>
          </w:tcPr>
          <w:p w14:paraId="34AD0513"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1</w:t>
            </w:r>
          </w:p>
        </w:tc>
      </w:tr>
      <w:tr w:rsidR="005A697A" w:rsidRPr="00145873" w14:paraId="23E60ECB" w14:textId="77777777">
        <w:trPr>
          <w:tblHeader/>
        </w:trPr>
        <w:tc>
          <w:tcPr>
            <w:tcW w:w="8789" w:type="dxa"/>
            <w:tcBorders>
              <w:top w:val="nil"/>
              <w:bottom w:val="nil"/>
            </w:tcBorders>
            <w:shd w:val="clear" w:color="000000" w:fill="auto"/>
            <w:vAlign w:val="bottom"/>
          </w:tcPr>
          <w:p w14:paraId="17DB814F"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Community Mental Health Australia (CMHA)</w:t>
            </w:r>
          </w:p>
        </w:tc>
        <w:tc>
          <w:tcPr>
            <w:tcW w:w="992" w:type="dxa"/>
            <w:tcBorders>
              <w:top w:val="nil"/>
              <w:bottom w:val="nil"/>
            </w:tcBorders>
            <w:shd w:val="clear" w:color="000000" w:fill="auto"/>
            <w:vAlign w:val="bottom"/>
          </w:tcPr>
          <w:p w14:paraId="5AFC80CD"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159</w:t>
            </w:r>
          </w:p>
        </w:tc>
      </w:tr>
      <w:tr w:rsidR="005A697A" w:rsidRPr="00145873" w14:paraId="04E75DA3" w14:textId="77777777" w:rsidTr="00215BA1">
        <w:trPr>
          <w:tblHeader/>
        </w:trPr>
        <w:tc>
          <w:tcPr>
            <w:tcW w:w="8789" w:type="dxa"/>
            <w:tcBorders>
              <w:bottom w:val="nil"/>
            </w:tcBorders>
            <w:shd w:val="clear" w:color="auto" w:fill="E6E6E6"/>
            <w:vAlign w:val="bottom"/>
          </w:tcPr>
          <w:p w14:paraId="4BD23ED0"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Complementary Medicines Australia (CMA)</w:t>
            </w:r>
          </w:p>
        </w:tc>
        <w:tc>
          <w:tcPr>
            <w:tcW w:w="992" w:type="dxa"/>
            <w:tcBorders>
              <w:bottom w:val="nil"/>
            </w:tcBorders>
            <w:shd w:val="clear" w:color="auto" w:fill="E6E6E6"/>
            <w:vAlign w:val="bottom"/>
          </w:tcPr>
          <w:p w14:paraId="5BC08CD3"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151</w:t>
            </w:r>
          </w:p>
        </w:tc>
      </w:tr>
      <w:tr w:rsidR="005A697A" w:rsidRPr="00145873" w14:paraId="46EC8ACC" w14:textId="77777777">
        <w:trPr>
          <w:tblHeader/>
        </w:trPr>
        <w:tc>
          <w:tcPr>
            <w:tcW w:w="8789" w:type="dxa"/>
            <w:tcBorders>
              <w:top w:val="nil"/>
              <w:bottom w:val="nil"/>
            </w:tcBorders>
            <w:shd w:val="clear" w:color="000000" w:fill="auto"/>
            <w:vAlign w:val="bottom"/>
          </w:tcPr>
          <w:p w14:paraId="3AFFE7AB"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Consumer Healthcare Products Australia (CHP Australia)</w:t>
            </w:r>
          </w:p>
        </w:tc>
        <w:tc>
          <w:tcPr>
            <w:tcW w:w="992" w:type="dxa"/>
            <w:tcBorders>
              <w:top w:val="nil"/>
              <w:bottom w:val="nil"/>
            </w:tcBorders>
            <w:shd w:val="clear" w:color="000000" w:fill="auto"/>
            <w:vAlign w:val="bottom"/>
          </w:tcPr>
          <w:p w14:paraId="06676078"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252</w:t>
            </w:r>
          </w:p>
        </w:tc>
      </w:tr>
      <w:tr w:rsidR="005A697A" w:rsidRPr="00145873" w14:paraId="106A3B66" w14:textId="77777777" w:rsidTr="00215BA1">
        <w:trPr>
          <w:tblHeader/>
        </w:trPr>
        <w:tc>
          <w:tcPr>
            <w:tcW w:w="8789" w:type="dxa"/>
            <w:tcBorders>
              <w:bottom w:val="nil"/>
            </w:tcBorders>
            <w:shd w:val="clear" w:color="auto" w:fill="E6E6E6"/>
            <w:vAlign w:val="bottom"/>
          </w:tcPr>
          <w:p w14:paraId="7B959E94"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Council of Small Business Organisations of Australia (COSBOA)</w:t>
            </w:r>
          </w:p>
        </w:tc>
        <w:tc>
          <w:tcPr>
            <w:tcW w:w="992" w:type="dxa"/>
            <w:tcBorders>
              <w:bottom w:val="nil"/>
            </w:tcBorders>
            <w:shd w:val="clear" w:color="auto" w:fill="E6E6E6"/>
            <w:vAlign w:val="bottom"/>
          </w:tcPr>
          <w:p w14:paraId="35F1983D"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22, 197</w:t>
            </w:r>
          </w:p>
        </w:tc>
      </w:tr>
      <w:tr w:rsidR="005A697A" w:rsidRPr="00145873" w14:paraId="11E6D834" w14:textId="77777777">
        <w:trPr>
          <w:tblHeader/>
        </w:trPr>
        <w:tc>
          <w:tcPr>
            <w:tcW w:w="8789" w:type="dxa"/>
            <w:tcBorders>
              <w:top w:val="nil"/>
              <w:bottom w:val="nil"/>
            </w:tcBorders>
            <w:shd w:val="clear" w:color="000000" w:fill="auto"/>
            <w:vAlign w:val="bottom"/>
          </w:tcPr>
          <w:p w14:paraId="5675665C"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Creative Australia</w:t>
            </w:r>
          </w:p>
        </w:tc>
        <w:tc>
          <w:tcPr>
            <w:tcW w:w="992" w:type="dxa"/>
            <w:tcBorders>
              <w:top w:val="nil"/>
              <w:bottom w:val="nil"/>
            </w:tcBorders>
            <w:shd w:val="clear" w:color="000000" w:fill="auto"/>
            <w:vAlign w:val="bottom"/>
          </w:tcPr>
          <w:p w14:paraId="70E4BB00"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257</w:t>
            </w:r>
          </w:p>
        </w:tc>
      </w:tr>
      <w:tr w:rsidR="005A697A" w:rsidRPr="00145873" w14:paraId="3DE8595E" w14:textId="77777777" w:rsidTr="00215BA1">
        <w:trPr>
          <w:tblHeader/>
        </w:trPr>
        <w:tc>
          <w:tcPr>
            <w:tcW w:w="8789" w:type="dxa"/>
            <w:tcBorders>
              <w:bottom w:val="nil"/>
            </w:tcBorders>
            <w:shd w:val="clear" w:color="auto" w:fill="E6E6E6"/>
            <w:vAlign w:val="bottom"/>
          </w:tcPr>
          <w:p w14:paraId="6000F744"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Crohn</w:t>
            </w:r>
            <w:r>
              <w:rPr>
                <w:rFonts w:ascii="Arial (Body)" w:hAnsi="Arial (Body)"/>
                <w:b w:val="0"/>
                <w:bCs/>
                <w:color w:val="auto"/>
              </w:rPr>
              <w:t>’</w:t>
            </w:r>
            <w:r w:rsidRPr="00E63076">
              <w:rPr>
                <w:rFonts w:ascii="Arial (Body)" w:hAnsi="Arial (Body)"/>
                <w:b w:val="0"/>
                <w:bCs/>
                <w:color w:val="auto"/>
              </w:rPr>
              <w:t>s &amp; Colitis Australia (CCA)</w:t>
            </w:r>
          </w:p>
        </w:tc>
        <w:tc>
          <w:tcPr>
            <w:tcW w:w="992" w:type="dxa"/>
            <w:tcBorders>
              <w:bottom w:val="nil"/>
            </w:tcBorders>
            <w:shd w:val="clear" w:color="auto" w:fill="E6E6E6"/>
            <w:vAlign w:val="bottom"/>
          </w:tcPr>
          <w:p w14:paraId="201AC445"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67</w:t>
            </w:r>
          </w:p>
        </w:tc>
      </w:tr>
      <w:tr w:rsidR="005A697A" w:rsidRPr="00145873" w14:paraId="29DC34E8" w14:textId="77777777">
        <w:trPr>
          <w:tblHeader/>
        </w:trPr>
        <w:tc>
          <w:tcPr>
            <w:tcW w:w="8789" w:type="dxa"/>
            <w:tcBorders>
              <w:top w:val="nil"/>
              <w:bottom w:val="nil"/>
            </w:tcBorders>
            <w:shd w:val="clear" w:color="000000" w:fill="auto"/>
            <w:vAlign w:val="bottom"/>
          </w:tcPr>
          <w:p w14:paraId="15B93DDF"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Dairy Australia</w:t>
            </w:r>
          </w:p>
        </w:tc>
        <w:tc>
          <w:tcPr>
            <w:tcW w:w="992" w:type="dxa"/>
            <w:tcBorders>
              <w:top w:val="nil"/>
              <w:bottom w:val="nil"/>
            </w:tcBorders>
            <w:shd w:val="clear" w:color="000000" w:fill="auto"/>
            <w:vAlign w:val="bottom"/>
          </w:tcPr>
          <w:p w14:paraId="7E875BDD"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234</w:t>
            </w:r>
          </w:p>
        </w:tc>
      </w:tr>
      <w:tr w:rsidR="005A697A" w:rsidRPr="00145873" w14:paraId="281A9F0C" w14:textId="77777777" w:rsidTr="00215BA1">
        <w:trPr>
          <w:tblHeader/>
        </w:trPr>
        <w:tc>
          <w:tcPr>
            <w:tcW w:w="8789" w:type="dxa"/>
            <w:tcBorders>
              <w:bottom w:val="nil"/>
            </w:tcBorders>
            <w:shd w:val="clear" w:color="auto" w:fill="E6E6E6"/>
            <w:vAlign w:val="bottom"/>
          </w:tcPr>
          <w:p w14:paraId="7FE6796D"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David Lee</w:t>
            </w:r>
          </w:p>
        </w:tc>
        <w:tc>
          <w:tcPr>
            <w:tcW w:w="992" w:type="dxa"/>
            <w:tcBorders>
              <w:bottom w:val="nil"/>
            </w:tcBorders>
            <w:shd w:val="clear" w:color="auto" w:fill="E6E6E6"/>
            <w:vAlign w:val="bottom"/>
          </w:tcPr>
          <w:p w14:paraId="47CD3FEF"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42</w:t>
            </w:r>
          </w:p>
        </w:tc>
      </w:tr>
      <w:tr w:rsidR="005A697A" w:rsidRPr="00145873" w14:paraId="15A57EF7" w14:textId="77777777">
        <w:trPr>
          <w:tblHeader/>
        </w:trPr>
        <w:tc>
          <w:tcPr>
            <w:tcW w:w="8789" w:type="dxa"/>
            <w:tcBorders>
              <w:top w:val="nil"/>
              <w:bottom w:val="nil"/>
            </w:tcBorders>
            <w:shd w:val="clear" w:color="000000" w:fill="auto"/>
            <w:vAlign w:val="bottom"/>
          </w:tcPr>
          <w:p w14:paraId="2054666E"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Deafness Forum Australia</w:t>
            </w:r>
          </w:p>
        </w:tc>
        <w:tc>
          <w:tcPr>
            <w:tcW w:w="992" w:type="dxa"/>
            <w:tcBorders>
              <w:top w:val="nil"/>
              <w:bottom w:val="nil"/>
            </w:tcBorders>
            <w:shd w:val="clear" w:color="000000" w:fill="auto"/>
            <w:vAlign w:val="bottom"/>
          </w:tcPr>
          <w:p w14:paraId="60EA3FFC"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52</w:t>
            </w:r>
          </w:p>
        </w:tc>
      </w:tr>
      <w:tr w:rsidR="005A697A" w:rsidRPr="00145873" w14:paraId="45A521AE" w14:textId="77777777" w:rsidTr="00215BA1">
        <w:trPr>
          <w:tblHeader/>
        </w:trPr>
        <w:tc>
          <w:tcPr>
            <w:tcW w:w="8789" w:type="dxa"/>
            <w:tcBorders>
              <w:bottom w:val="nil"/>
            </w:tcBorders>
            <w:shd w:val="clear" w:color="auto" w:fill="E6E6E6"/>
            <w:vAlign w:val="bottom"/>
          </w:tcPr>
          <w:p w14:paraId="09048A19"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Deakin Health Economics, Deakin University (DHE)</w:t>
            </w:r>
          </w:p>
        </w:tc>
        <w:tc>
          <w:tcPr>
            <w:tcW w:w="992" w:type="dxa"/>
            <w:tcBorders>
              <w:bottom w:val="nil"/>
            </w:tcBorders>
            <w:shd w:val="clear" w:color="auto" w:fill="E6E6E6"/>
            <w:vAlign w:val="bottom"/>
          </w:tcPr>
          <w:p w14:paraId="0E3295AF"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61</w:t>
            </w:r>
          </w:p>
        </w:tc>
      </w:tr>
      <w:tr w:rsidR="005A697A" w:rsidRPr="00145873" w14:paraId="3631BF0E" w14:textId="77777777">
        <w:trPr>
          <w:tblHeader/>
        </w:trPr>
        <w:tc>
          <w:tcPr>
            <w:tcW w:w="8789" w:type="dxa"/>
            <w:tcBorders>
              <w:top w:val="nil"/>
              <w:bottom w:val="nil"/>
            </w:tcBorders>
            <w:shd w:val="clear" w:color="000000" w:fill="auto"/>
            <w:vAlign w:val="bottom"/>
          </w:tcPr>
          <w:p w14:paraId="6B09F882"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Dementia Australia</w:t>
            </w:r>
          </w:p>
        </w:tc>
        <w:tc>
          <w:tcPr>
            <w:tcW w:w="992" w:type="dxa"/>
            <w:tcBorders>
              <w:top w:val="nil"/>
              <w:bottom w:val="nil"/>
            </w:tcBorders>
            <w:shd w:val="clear" w:color="000000" w:fill="auto"/>
            <w:vAlign w:val="bottom"/>
          </w:tcPr>
          <w:p w14:paraId="788F8D6E"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2</w:t>
            </w:r>
          </w:p>
        </w:tc>
      </w:tr>
      <w:tr w:rsidR="005A697A" w:rsidRPr="00145873" w14:paraId="25EC5A14" w14:textId="77777777" w:rsidTr="00215BA1">
        <w:trPr>
          <w:tblHeader/>
        </w:trPr>
        <w:tc>
          <w:tcPr>
            <w:tcW w:w="8789" w:type="dxa"/>
            <w:tcBorders>
              <w:bottom w:val="nil"/>
            </w:tcBorders>
            <w:shd w:val="clear" w:color="auto" w:fill="E6E6E6"/>
            <w:vAlign w:val="bottom"/>
          </w:tcPr>
          <w:p w14:paraId="2D7B4CEF"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Department of Social Services (DSS)</w:t>
            </w:r>
          </w:p>
        </w:tc>
        <w:tc>
          <w:tcPr>
            <w:tcW w:w="992" w:type="dxa"/>
            <w:tcBorders>
              <w:bottom w:val="nil"/>
            </w:tcBorders>
            <w:shd w:val="clear" w:color="auto" w:fill="E6E6E6"/>
            <w:vAlign w:val="bottom"/>
          </w:tcPr>
          <w:p w14:paraId="6E434649"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254</w:t>
            </w:r>
          </w:p>
        </w:tc>
      </w:tr>
      <w:tr w:rsidR="005A697A" w:rsidRPr="00145873" w14:paraId="1E119A89" w14:textId="77777777">
        <w:trPr>
          <w:tblHeader/>
        </w:trPr>
        <w:tc>
          <w:tcPr>
            <w:tcW w:w="8789" w:type="dxa"/>
            <w:tcBorders>
              <w:top w:val="nil"/>
              <w:bottom w:val="nil"/>
            </w:tcBorders>
            <w:shd w:val="clear" w:color="000000" w:fill="auto"/>
            <w:vAlign w:val="bottom"/>
          </w:tcPr>
          <w:p w14:paraId="774878F8"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 xml:space="preserve">Diabetes Australia </w:t>
            </w:r>
          </w:p>
        </w:tc>
        <w:tc>
          <w:tcPr>
            <w:tcW w:w="992" w:type="dxa"/>
            <w:tcBorders>
              <w:top w:val="nil"/>
              <w:bottom w:val="nil"/>
            </w:tcBorders>
            <w:shd w:val="clear" w:color="000000" w:fill="auto"/>
            <w:vAlign w:val="bottom"/>
          </w:tcPr>
          <w:p w14:paraId="3255BBC7"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164</w:t>
            </w:r>
          </w:p>
        </w:tc>
      </w:tr>
      <w:tr w:rsidR="005A697A" w:rsidRPr="00145873" w14:paraId="085B51A5" w14:textId="77777777" w:rsidTr="00215BA1">
        <w:trPr>
          <w:tblHeader/>
        </w:trPr>
        <w:tc>
          <w:tcPr>
            <w:tcW w:w="8789" w:type="dxa"/>
            <w:tcBorders>
              <w:bottom w:val="nil"/>
            </w:tcBorders>
            <w:shd w:val="clear" w:color="auto" w:fill="E6E6E6"/>
            <w:vAlign w:val="bottom"/>
          </w:tcPr>
          <w:p w14:paraId="24623A0F"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Diabetes Victoria</w:t>
            </w:r>
          </w:p>
        </w:tc>
        <w:tc>
          <w:tcPr>
            <w:tcW w:w="992" w:type="dxa"/>
            <w:tcBorders>
              <w:bottom w:val="nil"/>
            </w:tcBorders>
            <w:shd w:val="clear" w:color="auto" w:fill="E6E6E6"/>
            <w:vAlign w:val="bottom"/>
          </w:tcPr>
          <w:p w14:paraId="675A2571"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132</w:t>
            </w:r>
          </w:p>
        </w:tc>
      </w:tr>
      <w:tr w:rsidR="005A697A" w:rsidRPr="00145873" w14:paraId="419ACD55" w14:textId="77777777">
        <w:trPr>
          <w:tblHeader/>
        </w:trPr>
        <w:tc>
          <w:tcPr>
            <w:tcW w:w="8789" w:type="dxa"/>
            <w:tcBorders>
              <w:top w:val="nil"/>
              <w:bottom w:val="nil"/>
            </w:tcBorders>
            <w:shd w:val="clear" w:color="000000" w:fill="auto"/>
            <w:vAlign w:val="bottom"/>
          </w:tcPr>
          <w:p w14:paraId="3257E881"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Dietitians Australia</w:t>
            </w:r>
          </w:p>
        </w:tc>
        <w:tc>
          <w:tcPr>
            <w:tcW w:w="992" w:type="dxa"/>
            <w:tcBorders>
              <w:top w:val="nil"/>
              <w:bottom w:val="nil"/>
            </w:tcBorders>
            <w:shd w:val="clear" w:color="000000" w:fill="auto"/>
            <w:vAlign w:val="bottom"/>
          </w:tcPr>
          <w:p w14:paraId="717F743A"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140</w:t>
            </w:r>
          </w:p>
        </w:tc>
      </w:tr>
      <w:tr w:rsidR="005A697A" w:rsidRPr="00145873" w14:paraId="36314A5E" w14:textId="77777777" w:rsidTr="00215BA1">
        <w:trPr>
          <w:tblHeader/>
        </w:trPr>
        <w:tc>
          <w:tcPr>
            <w:tcW w:w="8789" w:type="dxa"/>
            <w:tcBorders>
              <w:bottom w:val="nil"/>
            </w:tcBorders>
            <w:shd w:val="clear" w:color="auto" w:fill="E6E6E6"/>
            <w:vAlign w:val="bottom"/>
          </w:tcPr>
          <w:p w14:paraId="6AC3FDE2"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Digital Health Cooperative Research Centre (DHCRC)</w:t>
            </w:r>
          </w:p>
        </w:tc>
        <w:tc>
          <w:tcPr>
            <w:tcW w:w="992" w:type="dxa"/>
            <w:tcBorders>
              <w:bottom w:val="nil"/>
            </w:tcBorders>
            <w:shd w:val="clear" w:color="auto" w:fill="E6E6E6"/>
            <w:vAlign w:val="bottom"/>
          </w:tcPr>
          <w:p w14:paraId="7BEFB64B"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247</w:t>
            </w:r>
          </w:p>
        </w:tc>
      </w:tr>
      <w:tr w:rsidR="005A697A" w:rsidRPr="00145873" w14:paraId="36ADD882" w14:textId="77777777">
        <w:trPr>
          <w:tblHeader/>
        </w:trPr>
        <w:tc>
          <w:tcPr>
            <w:tcW w:w="8789" w:type="dxa"/>
            <w:tcBorders>
              <w:top w:val="nil"/>
              <w:bottom w:val="nil"/>
            </w:tcBorders>
            <w:shd w:val="clear" w:color="000000" w:fill="auto"/>
            <w:vAlign w:val="bottom"/>
          </w:tcPr>
          <w:p w14:paraId="1BFEBA03"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Disability Employment Australia (DEA)</w:t>
            </w:r>
          </w:p>
        </w:tc>
        <w:tc>
          <w:tcPr>
            <w:tcW w:w="992" w:type="dxa"/>
            <w:tcBorders>
              <w:top w:val="nil"/>
              <w:bottom w:val="nil"/>
            </w:tcBorders>
            <w:shd w:val="clear" w:color="000000" w:fill="auto"/>
            <w:vAlign w:val="bottom"/>
          </w:tcPr>
          <w:p w14:paraId="1632D1F8"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157</w:t>
            </w:r>
          </w:p>
        </w:tc>
      </w:tr>
      <w:tr w:rsidR="005A697A" w:rsidRPr="00145873" w14:paraId="619C862A" w14:textId="77777777" w:rsidTr="00215BA1">
        <w:trPr>
          <w:tblHeader/>
        </w:trPr>
        <w:tc>
          <w:tcPr>
            <w:tcW w:w="8789" w:type="dxa"/>
            <w:tcBorders>
              <w:bottom w:val="nil"/>
            </w:tcBorders>
            <w:shd w:val="clear" w:color="auto" w:fill="E6E6E6"/>
            <w:vAlign w:val="bottom"/>
          </w:tcPr>
          <w:p w14:paraId="4657BCA8"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Emerge Women and Children</w:t>
            </w:r>
            <w:r>
              <w:rPr>
                <w:rFonts w:ascii="Arial (Body)" w:hAnsi="Arial (Body)"/>
                <w:b w:val="0"/>
                <w:bCs/>
                <w:color w:val="auto"/>
              </w:rPr>
              <w:t>’</w:t>
            </w:r>
            <w:r w:rsidRPr="00E63076">
              <w:rPr>
                <w:rFonts w:ascii="Arial (Body)" w:hAnsi="Arial (Body)"/>
                <w:b w:val="0"/>
                <w:bCs/>
                <w:color w:val="auto"/>
              </w:rPr>
              <w:t>s Support Network</w:t>
            </w:r>
          </w:p>
        </w:tc>
        <w:tc>
          <w:tcPr>
            <w:tcW w:w="992" w:type="dxa"/>
            <w:tcBorders>
              <w:bottom w:val="nil"/>
            </w:tcBorders>
            <w:shd w:val="clear" w:color="auto" w:fill="E6E6E6"/>
            <w:vAlign w:val="bottom"/>
          </w:tcPr>
          <w:p w14:paraId="2EED532C"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168</w:t>
            </w:r>
          </w:p>
        </w:tc>
      </w:tr>
      <w:tr w:rsidR="005A697A" w:rsidRPr="00145873" w14:paraId="3A500D3C" w14:textId="77777777">
        <w:trPr>
          <w:tblHeader/>
        </w:trPr>
        <w:tc>
          <w:tcPr>
            <w:tcW w:w="8789" w:type="dxa"/>
            <w:tcBorders>
              <w:top w:val="nil"/>
              <w:bottom w:val="nil"/>
            </w:tcBorders>
            <w:shd w:val="clear" w:color="000000" w:fill="auto"/>
            <w:vAlign w:val="bottom"/>
          </w:tcPr>
          <w:p w14:paraId="4CD3E887"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Employee Ownership Australia (EOA)</w:t>
            </w:r>
          </w:p>
        </w:tc>
        <w:tc>
          <w:tcPr>
            <w:tcW w:w="992" w:type="dxa"/>
            <w:tcBorders>
              <w:top w:val="nil"/>
              <w:bottom w:val="nil"/>
            </w:tcBorders>
            <w:shd w:val="clear" w:color="000000" w:fill="auto"/>
            <w:vAlign w:val="bottom"/>
          </w:tcPr>
          <w:p w14:paraId="788C52C3"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41</w:t>
            </w:r>
          </w:p>
        </w:tc>
      </w:tr>
      <w:tr w:rsidR="005A697A" w:rsidRPr="00145873" w14:paraId="30FFE848" w14:textId="77777777" w:rsidTr="00215BA1">
        <w:trPr>
          <w:tblHeader/>
        </w:trPr>
        <w:tc>
          <w:tcPr>
            <w:tcW w:w="8789" w:type="dxa"/>
            <w:tcBorders>
              <w:bottom w:val="nil"/>
            </w:tcBorders>
            <w:shd w:val="clear" w:color="auto" w:fill="E6E6E6"/>
            <w:vAlign w:val="bottom"/>
          </w:tcPr>
          <w:p w14:paraId="2C187D28" w14:textId="77777777" w:rsidR="005A697A" w:rsidRPr="008B53BB" w:rsidRDefault="005A697A">
            <w:pPr>
              <w:pStyle w:val="TableHeading"/>
              <w:spacing w:before="45" w:after="45"/>
              <w:ind w:right="108"/>
              <w:rPr>
                <w:rFonts w:ascii="Arial (Body)" w:hAnsi="Arial (Body)" w:cs="Arial"/>
                <w:b w:val="0"/>
                <w:color w:val="auto"/>
              </w:rPr>
            </w:pPr>
            <w:proofErr w:type="spellStart"/>
            <w:r w:rsidRPr="00E63076">
              <w:rPr>
                <w:rFonts w:ascii="Arial (Body)" w:hAnsi="Arial (Body)"/>
                <w:b w:val="0"/>
                <w:bCs/>
                <w:color w:val="auto"/>
              </w:rPr>
              <w:t>Eolas</w:t>
            </w:r>
            <w:proofErr w:type="spellEnd"/>
            <w:r w:rsidRPr="00E63076">
              <w:rPr>
                <w:rFonts w:ascii="Arial (Body)" w:hAnsi="Arial (Body)"/>
                <w:b w:val="0"/>
                <w:bCs/>
                <w:color w:val="auto"/>
              </w:rPr>
              <w:t xml:space="preserve"> Medical</w:t>
            </w:r>
          </w:p>
        </w:tc>
        <w:tc>
          <w:tcPr>
            <w:tcW w:w="992" w:type="dxa"/>
            <w:tcBorders>
              <w:bottom w:val="nil"/>
            </w:tcBorders>
            <w:shd w:val="clear" w:color="auto" w:fill="E6E6E6"/>
            <w:vAlign w:val="bottom"/>
          </w:tcPr>
          <w:p w14:paraId="42863083"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59</w:t>
            </w:r>
          </w:p>
        </w:tc>
      </w:tr>
      <w:tr w:rsidR="005A697A" w:rsidRPr="00145873" w14:paraId="643F9C3B" w14:textId="77777777">
        <w:trPr>
          <w:tblHeader/>
        </w:trPr>
        <w:tc>
          <w:tcPr>
            <w:tcW w:w="8789" w:type="dxa"/>
            <w:tcBorders>
              <w:top w:val="nil"/>
              <w:bottom w:val="nil"/>
            </w:tcBorders>
            <w:shd w:val="clear" w:color="000000" w:fill="auto"/>
            <w:vAlign w:val="bottom"/>
          </w:tcPr>
          <w:p w14:paraId="647EF210"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 xml:space="preserve">Ethnic Communities Council </w:t>
            </w:r>
            <w:r>
              <w:rPr>
                <w:rFonts w:ascii="Arial (Body)" w:hAnsi="Arial (Body)"/>
                <w:b w:val="0"/>
                <w:bCs/>
                <w:color w:val="auto"/>
              </w:rPr>
              <w:t>o</w:t>
            </w:r>
            <w:r w:rsidRPr="00E63076">
              <w:rPr>
                <w:rFonts w:ascii="Arial (Body)" w:hAnsi="Arial (Body)"/>
                <w:b w:val="0"/>
                <w:bCs/>
                <w:color w:val="auto"/>
              </w:rPr>
              <w:t>f Queensland (ECCQ)</w:t>
            </w:r>
          </w:p>
        </w:tc>
        <w:tc>
          <w:tcPr>
            <w:tcW w:w="992" w:type="dxa"/>
            <w:tcBorders>
              <w:top w:val="nil"/>
              <w:bottom w:val="nil"/>
            </w:tcBorders>
            <w:shd w:val="clear" w:color="000000" w:fill="auto"/>
            <w:vAlign w:val="bottom"/>
          </w:tcPr>
          <w:p w14:paraId="75193CD5"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55</w:t>
            </w:r>
          </w:p>
        </w:tc>
      </w:tr>
      <w:tr w:rsidR="005A697A" w:rsidRPr="00145873" w14:paraId="0765B36F" w14:textId="77777777" w:rsidTr="00215BA1">
        <w:trPr>
          <w:tblHeader/>
        </w:trPr>
        <w:tc>
          <w:tcPr>
            <w:tcW w:w="8789" w:type="dxa"/>
            <w:tcBorders>
              <w:bottom w:val="nil"/>
            </w:tcBorders>
            <w:shd w:val="clear" w:color="auto" w:fill="E6E6E6"/>
            <w:vAlign w:val="bottom"/>
          </w:tcPr>
          <w:p w14:paraId="77597027"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Exercise and Sports Science Australia (ESSA)</w:t>
            </w:r>
          </w:p>
        </w:tc>
        <w:tc>
          <w:tcPr>
            <w:tcW w:w="992" w:type="dxa"/>
            <w:tcBorders>
              <w:bottom w:val="nil"/>
            </w:tcBorders>
            <w:shd w:val="clear" w:color="auto" w:fill="E6E6E6"/>
            <w:vAlign w:val="bottom"/>
          </w:tcPr>
          <w:p w14:paraId="3D307783"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119</w:t>
            </w:r>
          </w:p>
        </w:tc>
      </w:tr>
      <w:tr w:rsidR="005A697A" w:rsidRPr="00145873" w14:paraId="726D33A3" w14:textId="77777777">
        <w:trPr>
          <w:tblHeader/>
        </w:trPr>
        <w:tc>
          <w:tcPr>
            <w:tcW w:w="8789" w:type="dxa"/>
            <w:tcBorders>
              <w:top w:val="nil"/>
              <w:bottom w:val="nil"/>
            </w:tcBorders>
            <w:shd w:val="clear" w:color="000000" w:fill="auto"/>
            <w:vAlign w:val="bottom"/>
          </w:tcPr>
          <w:p w14:paraId="63A170CE"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 xml:space="preserve">EY Australia </w:t>
            </w:r>
          </w:p>
        </w:tc>
        <w:tc>
          <w:tcPr>
            <w:tcW w:w="992" w:type="dxa"/>
            <w:tcBorders>
              <w:top w:val="nil"/>
              <w:bottom w:val="nil"/>
            </w:tcBorders>
            <w:shd w:val="clear" w:color="000000" w:fill="auto"/>
            <w:vAlign w:val="bottom"/>
          </w:tcPr>
          <w:p w14:paraId="4371739D"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147</w:t>
            </w:r>
          </w:p>
        </w:tc>
      </w:tr>
      <w:tr w:rsidR="005A697A" w:rsidRPr="00145873" w14:paraId="3CE612AE" w14:textId="77777777" w:rsidTr="00215BA1">
        <w:trPr>
          <w:tblHeader/>
        </w:trPr>
        <w:tc>
          <w:tcPr>
            <w:tcW w:w="8789" w:type="dxa"/>
            <w:tcBorders>
              <w:top w:val="nil"/>
              <w:bottom w:val="nil"/>
            </w:tcBorders>
            <w:shd w:val="clear" w:color="auto" w:fill="E6E6E6"/>
            <w:vAlign w:val="bottom"/>
          </w:tcPr>
          <w:p w14:paraId="6262D9BE"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Financial Counselling Victoria (</w:t>
            </w:r>
            <w:proofErr w:type="spellStart"/>
            <w:r w:rsidRPr="00E63076">
              <w:rPr>
                <w:rFonts w:ascii="Arial (Body)" w:hAnsi="Arial (Body)"/>
                <w:b w:val="0"/>
                <w:bCs/>
                <w:color w:val="auto"/>
              </w:rPr>
              <w:t>FCVic</w:t>
            </w:r>
            <w:proofErr w:type="spellEnd"/>
            <w:r w:rsidRPr="00E63076">
              <w:rPr>
                <w:rFonts w:ascii="Arial (Body)" w:hAnsi="Arial (Body)"/>
                <w:b w:val="0"/>
                <w:bCs/>
                <w:color w:val="auto"/>
              </w:rPr>
              <w:t>)</w:t>
            </w:r>
          </w:p>
        </w:tc>
        <w:tc>
          <w:tcPr>
            <w:tcW w:w="992" w:type="dxa"/>
            <w:tcBorders>
              <w:top w:val="nil"/>
              <w:bottom w:val="nil"/>
            </w:tcBorders>
            <w:shd w:val="clear" w:color="auto" w:fill="E6E6E6"/>
            <w:vAlign w:val="bottom"/>
          </w:tcPr>
          <w:p w14:paraId="05482CA9"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64</w:t>
            </w:r>
          </w:p>
        </w:tc>
      </w:tr>
      <w:tr w:rsidR="005A697A" w:rsidRPr="00145873" w14:paraId="429C9CBD" w14:textId="77777777">
        <w:trPr>
          <w:tblHeader/>
        </w:trPr>
        <w:tc>
          <w:tcPr>
            <w:tcW w:w="8789" w:type="dxa"/>
            <w:tcBorders>
              <w:top w:val="nil"/>
              <w:bottom w:val="nil"/>
            </w:tcBorders>
            <w:shd w:val="clear" w:color="000000" w:fill="auto"/>
            <w:vAlign w:val="bottom"/>
          </w:tcPr>
          <w:p w14:paraId="61677B65"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Food for Health Alliance</w:t>
            </w:r>
          </w:p>
        </w:tc>
        <w:tc>
          <w:tcPr>
            <w:tcW w:w="992" w:type="dxa"/>
            <w:tcBorders>
              <w:top w:val="nil"/>
              <w:bottom w:val="nil"/>
            </w:tcBorders>
            <w:shd w:val="clear" w:color="000000" w:fill="auto"/>
            <w:vAlign w:val="bottom"/>
          </w:tcPr>
          <w:p w14:paraId="59F5B7E4"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141</w:t>
            </w:r>
          </w:p>
        </w:tc>
      </w:tr>
      <w:tr w:rsidR="005A697A" w:rsidRPr="00145873" w14:paraId="2493E09E" w14:textId="77777777" w:rsidTr="00215BA1">
        <w:trPr>
          <w:tblHeader/>
        </w:trPr>
        <w:tc>
          <w:tcPr>
            <w:tcW w:w="8789" w:type="dxa"/>
            <w:tcBorders>
              <w:top w:val="nil"/>
              <w:bottom w:val="single" w:sz="4" w:space="0" w:color="B3B3B3"/>
            </w:tcBorders>
            <w:shd w:val="clear" w:color="auto" w:fill="E6E6E6"/>
            <w:vAlign w:val="bottom"/>
          </w:tcPr>
          <w:p w14:paraId="0D35E29E" w14:textId="77777777" w:rsidR="005A697A" w:rsidRPr="008B53BB" w:rsidRDefault="005A697A">
            <w:pPr>
              <w:pStyle w:val="TableHeading"/>
              <w:spacing w:before="45" w:after="45"/>
              <w:ind w:right="108"/>
              <w:rPr>
                <w:rFonts w:ascii="Arial (Body)" w:hAnsi="Arial (Body)" w:cs="Arial"/>
                <w:b w:val="0"/>
                <w:color w:val="auto"/>
              </w:rPr>
            </w:pPr>
            <w:r w:rsidRPr="00E63076">
              <w:rPr>
                <w:rFonts w:ascii="Arial (Body)" w:hAnsi="Arial (Body)"/>
                <w:b w:val="0"/>
                <w:bCs/>
                <w:color w:val="auto"/>
              </w:rPr>
              <w:t>Fortinet</w:t>
            </w:r>
          </w:p>
        </w:tc>
        <w:tc>
          <w:tcPr>
            <w:tcW w:w="992" w:type="dxa"/>
            <w:tcBorders>
              <w:top w:val="nil"/>
              <w:bottom w:val="single" w:sz="4" w:space="0" w:color="B3B3B3"/>
            </w:tcBorders>
            <w:shd w:val="clear" w:color="auto" w:fill="E6E6E6"/>
            <w:vAlign w:val="bottom"/>
          </w:tcPr>
          <w:p w14:paraId="674386B6" w14:textId="77777777" w:rsidR="005A697A" w:rsidRPr="00DE4711" w:rsidRDefault="005A697A">
            <w:pPr>
              <w:pStyle w:val="TableHeading"/>
              <w:spacing w:before="45" w:after="45"/>
              <w:ind w:right="108"/>
              <w:jc w:val="right"/>
              <w:rPr>
                <w:rFonts w:ascii="Arial (Body)" w:hAnsi="Arial (Body)"/>
                <w:b w:val="0"/>
                <w:bCs/>
                <w:color w:val="auto"/>
              </w:rPr>
            </w:pPr>
            <w:r w:rsidRPr="00E63076">
              <w:rPr>
                <w:rFonts w:ascii="Arial (Body)" w:hAnsi="Arial (Body)"/>
                <w:b w:val="0"/>
                <w:bCs/>
                <w:color w:val="auto"/>
              </w:rPr>
              <w:t>227</w:t>
            </w:r>
          </w:p>
        </w:tc>
      </w:tr>
    </w:tbl>
    <w:p w14:paraId="581CC179" w14:textId="77777777" w:rsidR="005A697A" w:rsidRDefault="005A697A" w:rsidP="00BB0501">
      <w:pPr>
        <w:pStyle w:val="BodyText"/>
      </w:pPr>
      <w:r>
        <w:br w:type="page"/>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5A697A" w:rsidRPr="002C4011" w14:paraId="186E819A" w14:textId="77777777">
        <w:trPr>
          <w:tblHeader/>
        </w:trPr>
        <w:tc>
          <w:tcPr>
            <w:tcW w:w="8789" w:type="dxa"/>
            <w:tcBorders>
              <w:bottom w:val="single" w:sz="4" w:space="0" w:color="B3B3B3"/>
            </w:tcBorders>
            <w:shd w:val="clear" w:color="000000" w:fill="auto"/>
            <w:vAlign w:val="bottom"/>
          </w:tcPr>
          <w:p w14:paraId="62372203" w14:textId="77777777" w:rsidR="005A697A" w:rsidRPr="002C4011" w:rsidRDefault="005A697A">
            <w:pPr>
              <w:pStyle w:val="TableHeading"/>
              <w:spacing w:before="45" w:after="45"/>
              <w:ind w:right="108"/>
              <w:rPr>
                <w:rFonts w:ascii="Arial (Body)" w:hAnsi="Arial (Body)"/>
                <w:color w:val="265A9A"/>
              </w:rPr>
            </w:pPr>
            <w:r w:rsidRPr="002C4011">
              <w:rPr>
                <w:rFonts w:ascii="Arial (Body)" w:hAnsi="Arial (Body)"/>
                <w:color w:val="265A9A"/>
              </w:rPr>
              <w:lastRenderedPageBreak/>
              <w:t>Participants</w:t>
            </w:r>
          </w:p>
        </w:tc>
        <w:tc>
          <w:tcPr>
            <w:tcW w:w="992" w:type="dxa"/>
            <w:tcBorders>
              <w:bottom w:val="single" w:sz="4" w:space="0" w:color="B3B3B3"/>
            </w:tcBorders>
            <w:shd w:val="clear" w:color="000000" w:fill="auto"/>
            <w:vAlign w:val="bottom"/>
          </w:tcPr>
          <w:p w14:paraId="7820ABDF" w14:textId="77777777" w:rsidR="005A697A" w:rsidRPr="002C4011" w:rsidRDefault="005A697A" w:rsidP="003923B0">
            <w:pPr>
              <w:pStyle w:val="TableHeading"/>
              <w:spacing w:before="45" w:after="45"/>
              <w:ind w:right="108"/>
              <w:jc w:val="right"/>
              <w:rPr>
                <w:rFonts w:ascii="Arial (Body)" w:hAnsi="Arial (Body)"/>
                <w:color w:val="265A9A"/>
              </w:rPr>
            </w:pPr>
            <w:r w:rsidRPr="002C4011">
              <w:rPr>
                <w:rFonts w:ascii="Arial (Body)" w:hAnsi="Arial (Body)"/>
                <w:color w:val="265A9A"/>
              </w:rPr>
              <w:t>Sub no.</w:t>
            </w:r>
          </w:p>
        </w:tc>
      </w:tr>
      <w:tr w:rsidR="005A697A" w:rsidRPr="002C4011" w14:paraId="305DDF5C" w14:textId="77777777" w:rsidTr="00215BA1">
        <w:trPr>
          <w:tblHeader/>
        </w:trPr>
        <w:tc>
          <w:tcPr>
            <w:tcW w:w="8789" w:type="dxa"/>
            <w:tcBorders>
              <w:top w:val="single" w:sz="4" w:space="0" w:color="B3B3B3"/>
              <w:bottom w:val="nil"/>
            </w:tcBorders>
            <w:shd w:val="clear" w:color="auto" w:fill="E6E6E6"/>
            <w:vAlign w:val="bottom"/>
          </w:tcPr>
          <w:p w14:paraId="626EA086"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Frances Barraclough</w:t>
            </w:r>
          </w:p>
        </w:tc>
        <w:tc>
          <w:tcPr>
            <w:tcW w:w="992" w:type="dxa"/>
            <w:tcBorders>
              <w:top w:val="single" w:sz="4" w:space="0" w:color="B3B3B3"/>
              <w:bottom w:val="nil"/>
            </w:tcBorders>
            <w:shd w:val="clear" w:color="auto" w:fill="E6E6E6"/>
            <w:vAlign w:val="bottom"/>
          </w:tcPr>
          <w:p w14:paraId="49111BA2"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63</w:t>
            </w:r>
          </w:p>
        </w:tc>
      </w:tr>
      <w:tr w:rsidR="005A697A" w:rsidRPr="002C4011" w14:paraId="372BE5DB" w14:textId="77777777">
        <w:trPr>
          <w:tblHeader/>
        </w:trPr>
        <w:tc>
          <w:tcPr>
            <w:tcW w:w="8789" w:type="dxa"/>
            <w:tcBorders>
              <w:top w:val="nil"/>
              <w:bottom w:val="nil"/>
            </w:tcBorders>
            <w:shd w:val="clear" w:color="000000" w:fill="auto"/>
            <w:vAlign w:val="bottom"/>
          </w:tcPr>
          <w:p w14:paraId="1C4E872B"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Friends of Really Excellent Dentistry (FRED)</w:t>
            </w:r>
          </w:p>
        </w:tc>
        <w:tc>
          <w:tcPr>
            <w:tcW w:w="992" w:type="dxa"/>
            <w:tcBorders>
              <w:top w:val="nil"/>
              <w:bottom w:val="nil"/>
            </w:tcBorders>
            <w:shd w:val="clear" w:color="000000" w:fill="auto"/>
            <w:vAlign w:val="bottom"/>
          </w:tcPr>
          <w:p w14:paraId="0BA43FAF"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98</w:t>
            </w:r>
          </w:p>
        </w:tc>
      </w:tr>
      <w:tr w:rsidR="005A697A" w:rsidRPr="002C4011" w14:paraId="7B089EDB" w14:textId="77777777" w:rsidTr="00215BA1">
        <w:trPr>
          <w:tblHeader/>
        </w:trPr>
        <w:tc>
          <w:tcPr>
            <w:tcW w:w="8789" w:type="dxa"/>
            <w:tcBorders>
              <w:bottom w:val="nil"/>
            </w:tcBorders>
            <w:shd w:val="clear" w:color="auto" w:fill="E6E6E6"/>
            <w:vAlign w:val="bottom"/>
          </w:tcPr>
          <w:p w14:paraId="2A1DCEC3"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Future Smart Strategies</w:t>
            </w:r>
          </w:p>
        </w:tc>
        <w:tc>
          <w:tcPr>
            <w:tcW w:w="992" w:type="dxa"/>
            <w:tcBorders>
              <w:bottom w:val="nil"/>
            </w:tcBorders>
            <w:shd w:val="clear" w:color="auto" w:fill="E6E6E6"/>
            <w:vAlign w:val="bottom"/>
          </w:tcPr>
          <w:p w14:paraId="5491DE43"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50</w:t>
            </w:r>
          </w:p>
        </w:tc>
      </w:tr>
      <w:tr w:rsidR="005A697A" w:rsidRPr="002C4011" w14:paraId="03821635" w14:textId="77777777">
        <w:trPr>
          <w:tblHeader/>
        </w:trPr>
        <w:tc>
          <w:tcPr>
            <w:tcW w:w="8789" w:type="dxa"/>
            <w:tcBorders>
              <w:top w:val="nil"/>
              <w:bottom w:val="nil"/>
            </w:tcBorders>
            <w:shd w:val="clear" w:color="000000" w:fill="auto"/>
            <w:vAlign w:val="bottom"/>
          </w:tcPr>
          <w:p w14:paraId="14C334B1" w14:textId="77777777" w:rsidR="005A697A" w:rsidRPr="008F4233" w:rsidRDefault="005A697A">
            <w:pPr>
              <w:pStyle w:val="TableHeading"/>
              <w:spacing w:before="45" w:after="45"/>
              <w:ind w:right="108"/>
              <w:rPr>
                <w:rFonts w:ascii="Arial (Body)" w:hAnsi="Arial (Body)"/>
                <w:b w:val="0"/>
                <w:color w:val="auto"/>
                <w:lang w:val="fr-CA"/>
              </w:rPr>
            </w:pPr>
            <w:proofErr w:type="spellStart"/>
            <w:r w:rsidRPr="008F4233">
              <w:rPr>
                <w:rFonts w:ascii="Arial (Body)" w:hAnsi="Arial (Body)"/>
                <w:b w:val="0"/>
                <w:color w:val="auto"/>
                <w:lang w:val="fr-CA"/>
              </w:rPr>
              <w:t>Gayaa</w:t>
            </w:r>
            <w:proofErr w:type="spellEnd"/>
            <w:r w:rsidRPr="008F4233">
              <w:rPr>
                <w:rFonts w:ascii="Arial (Body)" w:hAnsi="Arial (Body)"/>
                <w:b w:val="0"/>
                <w:color w:val="auto"/>
                <w:lang w:val="fr-CA"/>
              </w:rPr>
              <w:t xml:space="preserve"> </w:t>
            </w:r>
            <w:proofErr w:type="spellStart"/>
            <w:r w:rsidRPr="008F4233">
              <w:rPr>
                <w:rFonts w:ascii="Arial (Body)" w:hAnsi="Arial (Body)"/>
                <w:b w:val="0"/>
                <w:color w:val="auto"/>
                <w:lang w:val="fr-CA"/>
              </w:rPr>
              <w:t>Dhuwi</w:t>
            </w:r>
            <w:proofErr w:type="spellEnd"/>
            <w:r w:rsidRPr="008F4233">
              <w:rPr>
                <w:rFonts w:ascii="Arial (Body)" w:hAnsi="Arial (Body)"/>
                <w:b w:val="0"/>
                <w:color w:val="auto"/>
                <w:lang w:val="fr-CA"/>
              </w:rPr>
              <w:t xml:space="preserve"> (</w:t>
            </w:r>
            <w:proofErr w:type="spellStart"/>
            <w:r w:rsidRPr="008F4233">
              <w:rPr>
                <w:rFonts w:ascii="Arial (Body)" w:hAnsi="Arial (Body)"/>
                <w:b w:val="0"/>
                <w:color w:val="auto"/>
                <w:lang w:val="fr-CA"/>
              </w:rPr>
              <w:t>Proud</w:t>
            </w:r>
            <w:proofErr w:type="spellEnd"/>
            <w:r w:rsidRPr="008F4233">
              <w:rPr>
                <w:rFonts w:ascii="Arial (Body)" w:hAnsi="Arial (Body)"/>
                <w:b w:val="0"/>
                <w:color w:val="auto"/>
                <w:lang w:val="fr-CA"/>
              </w:rPr>
              <w:t xml:space="preserve"> Spirit) </w:t>
            </w:r>
            <w:proofErr w:type="spellStart"/>
            <w:r w:rsidRPr="008F4233">
              <w:rPr>
                <w:rFonts w:ascii="Arial (Body)" w:hAnsi="Arial (Body)"/>
                <w:b w:val="0"/>
                <w:color w:val="auto"/>
                <w:lang w:val="fr-CA"/>
              </w:rPr>
              <w:t>Australia</w:t>
            </w:r>
            <w:proofErr w:type="spellEnd"/>
            <w:r w:rsidRPr="008F4233">
              <w:rPr>
                <w:rFonts w:ascii="Arial (Body)" w:hAnsi="Arial (Body)"/>
                <w:b w:val="0"/>
                <w:color w:val="auto"/>
                <w:lang w:val="fr-CA"/>
              </w:rPr>
              <w:t xml:space="preserve"> (</w:t>
            </w:r>
            <w:proofErr w:type="spellStart"/>
            <w:r w:rsidRPr="008F4233">
              <w:rPr>
                <w:rFonts w:ascii="Arial (Body)" w:hAnsi="Arial (Body)"/>
                <w:b w:val="0"/>
                <w:color w:val="auto"/>
                <w:lang w:val="fr-CA"/>
              </w:rPr>
              <w:t>Gayaa</w:t>
            </w:r>
            <w:proofErr w:type="spellEnd"/>
            <w:r w:rsidRPr="008F4233">
              <w:rPr>
                <w:rFonts w:ascii="Arial (Body)" w:hAnsi="Arial (Body)"/>
                <w:b w:val="0"/>
                <w:color w:val="auto"/>
                <w:lang w:val="fr-CA"/>
              </w:rPr>
              <w:t xml:space="preserve"> </w:t>
            </w:r>
            <w:proofErr w:type="spellStart"/>
            <w:r w:rsidRPr="008F4233">
              <w:rPr>
                <w:rFonts w:ascii="Arial (Body)" w:hAnsi="Arial (Body)"/>
                <w:b w:val="0"/>
                <w:color w:val="auto"/>
                <w:lang w:val="fr-CA"/>
              </w:rPr>
              <w:t>Dhuwi</w:t>
            </w:r>
            <w:proofErr w:type="spellEnd"/>
            <w:r w:rsidRPr="008F4233">
              <w:rPr>
                <w:rFonts w:ascii="Arial (Body)" w:hAnsi="Arial (Body)"/>
                <w:b w:val="0"/>
                <w:color w:val="auto"/>
                <w:lang w:val="fr-CA"/>
              </w:rPr>
              <w:t>)</w:t>
            </w:r>
          </w:p>
        </w:tc>
        <w:tc>
          <w:tcPr>
            <w:tcW w:w="992" w:type="dxa"/>
            <w:tcBorders>
              <w:top w:val="nil"/>
              <w:bottom w:val="nil"/>
            </w:tcBorders>
            <w:shd w:val="clear" w:color="000000" w:fill="auto"/>
            <w:vAlign w:val="bottom"/>
          </w:tcPr>
          <w:p w14:paraId="1FC92AF7"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167</w:t>
            </w:r>
          </w:p>
        </w:tc>
      </w:tr>
      <w:tr w:rsidR="005A697A" w:rsidRPr="002C4011" w14:paraId="5174C01B" w14:textId="77777777" w:rsidTr="00215BA1">
        <w:trPr>
          <w:tblHeader/>
        </w:trPr>
        <w:tc>
          <w:tcPr>
            <w:tcW w:w="8789" w:type="dxa"/>
            <w:tcBorders>
              <w:bottom w:val="nil"/>
            </w:tcBorders>
            <w:shd w:val="clear" w:color="auto" w:fill="E6E6E6"/>
            <w:vAlign w:val="bottom"/>
          </w:tcPr>
          <w:p w14:paraId="309AA5E1"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GlaxoSmithKline Australia (GSK)</w:t>
            </w:r>
          </w:p>
        </w:tc>
        <w:tc>
          <w:tcPr>
            <w:tcW w:w="992" w:type="dxa"/>
            <w:tcBorders>
              <w:bottom w:val="nil"/>
            </w:tcBorders>
            <w:shd w:val="clear" w:color="auto" w:fill="E6E6E6"/>
            <w:vAlign w:val="bottom"/>
          </w:tcPr>
          <w:p w14:paraId="37DA6C2D"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139</w:t>
            </w:r>
          </w:p>
        </w:tc>
      </w:tr>
      <w:tr w:rsidR="005A697A" w:rsidRPr="002C4011" w14:paraId="62E6EA32" w14:textId="77777777">
        <w:trPr>
          <w:tblHeader/>
        </w:trPr>
        <w:tc>
          <w:tcPr>
            <w:tcW w:w="8789" w:type="dxa"/>
            <w:tcBorders>
              <w:top w:val="nil"/>
              <w:bottom w:val="nil"/>
            </w:tcBorders>
            <w:shd w:val="clear" w:color="000000" w:fill="auto"/>
            <w:vAlign w:val="bottom"/>
          </w:tcPr>
          <w:p w14:paraId="06FAA9C6"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Grattan Institute</w:t>
            </w:r>
          </w:p>
        </w:tc>
        <w:tc>
          <w:tcPr>
            <w:tcW w:w="992" w:type="dxa"/>
            <w:tcBorders>
              <w:top w:val="nil"/>
              <w:bottom w:val="nil"/>
            </w:tcBorders>
            <w:shd w:val="clear" w:color="000000" w:fill="auto"/>
            <w:vAlign w:val="bottom"/>
          </w:tcPr>
          <w:p w14:paraId="594FBBDD"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71</w:t>
            </w:r>
          </w:p>
        </w:tc>
      </w:tr>
      <w:tr w:rsidR="005A697A" w:rsidRPr="002C4011" w14:paraId="2FD9978A" w14:textId="77777777" w:rsidTr="00215BA1">
        <w:trPr>
          <w:tblHeader/>
        </w:trPr>
        <w:tc>
          <w:tcPr>
            <w:tcW w:w="8789" w:type="dxa"/>
            <w:tcBorders>
              <w:bottom w:val="nil"/>
            </w:tcBorders>
            <w:shd w:val="clear" w:color="auto" w:fill="E6E6E6"/>
            <w:vAlign w:val="bottom"/>
          </w:tcPr>
          <w:p w14:paraId="4FB362FE" w14:textId="77777777" w:rsidR="005A697A" w:rsidRPr="00764C5C"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Group of Eight (Go8)</w:t>
            </w:r>
          </w:p>
        </w:tc>
        <w:tc>
          <w:tcPr>
            <w:tcW w:w="992" w:type="dxa"/>
            <w:tcBorders>
              <w:bottom w:val="nil"/>
            </w:tcBorders>
            <w:shd w:val="clear" w:color="auto" w:fill="E6E6E6"/>
            <w:vAlign w:val="bottom"/>
          </w:tcPr>
          <w:p w14:paraId="2FE99A84" w14:textId="77777777" w:rsidR="005A697A" w:rsidRPr="00764C5C"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30</w:t>
            </w:r>
          </w:p>
        </w:tc>
      </w:tr>
      <w:tr w:rsidR="005A697A" w:rsidRPr="002C4011" w14:paraId="3A1C60B4" w14:textId="77777777">
        <w:trPr>
          <w:tblHeader/>
        </w:trPr>
        <w:tc>
          <w:tcPr>
            <w:tcW w:w="8789" w:type="dxa"/>
            <w:tcBorders>
              <w:top w:val="nil"/>
              <w:bottom w:val="nil"/>
            </w:tcBorders>
            <w:shd w:val="clear" w:color="000000" w:fill="auto"/>
            <w:vAlign w:val="bottom"/>
          </w:tcPr>
          <w:p w14:paraId="49975DF4" w14:textId="77777777" w:rsidR="005A697A" w:rsidRPr="00764C5C" w:rsidRDefault="005A697A">
            <w:pPr>
              <w:pStyle w:val="TableHeading"/>
              <w:spacing w:before="45" w:after="45"/>
              <w:ind w:right="108"/>
              <w:rPr>
                <w:rFonts w:ascii="Arial (Body)" w:hAnsi="Arial (Body)"/>
                <w:b w:val="0"/>
                <w:bCs/>
                <w:color w:val="auto"/>
              </w:rPr>
            </w:pPr>
            <w:proofErr w:type="spellStart"/>
            <w:r w:rsidRPr="000C1848">
              <w:rPr>
                <w:rFonts w:ascii="Arial (Body)" w:hAnsi="Arial (Body)"/>
                <w:b w:val="0"/>
                <w:bCs/>
                <w:color w:val="auto"/>
              </w:rPr>
              <w:t>HammondCare</w:t>
            </w:r>
            <w:proofErr w:type="spellEnd"/>
          </w:p>
        </w:tc>
        <w:tc>
          <w:tcPr>
            <w:tcW w:w="992" w:type="dxa"/>
            <w:tcBorders>
              <w:top w:val="nil"/>
              <w:bottom w:val="nil"/>
            </w:tcBorders>
            <w:shd w:val="clear" w:color="000000" w:fill="auto"/>
            <w:vAlign w:val="bottom"/>
          </w:tcPr>
          <w:p w14:paraId="4EFC24CB"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133</w:t>
            </w:r>
          </w:p>
        </w:tc>
      </w:tr>
      <w:tr w:rsidR="005A697A" w:rsidRPr="002C4011" w14:paraId="36ABEECB" w14:textId="77777777" w:rsidTr="00215BA1">
        <w:trPr>
          <w:tblHeader/>
        </w:trPr>
        <w:tc>
          <w:tcPr>
            <w:tcW w:w="8789" w:type="dxa"/>
            <w:tcBorders>
              <w:bottom w:val="nil"/>
            </w:tcBorders>
            <w:shd w:val="clear" w:color="auto" w:fill="E6E6E6"/>
            <w:vAlign w:val="bottom"/>
          </w:tcPr>
          <w:p w14:paraId="6DB6B4E0"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Health Consumers</w:t>
            </w:r>
            <w:r>
              <w:rPr>
                <w:rFonts w:ascii="Arial (Body)" w:hAnsi="Arial (Body)"/>
                <w:b w:val="0"/>
                <w:bCs/>
                <w:color w:val="auto"/>
              </w:rPr>
              <w:t>’</w:t>
            </w:r>
            <w:r w:rsidRPr="000C1848">
              <w:rPr>
                <w:rFonts w:ascii="Arial (Body)" w:hAnsi="Arial (Body)"/>
                <w:b w:val="0"/>
                <w:bCs/>
                <w:color w:val="auto"/>
              </w:rPr>
              <w:t xml:space="preserve"> Council WA (HCCWA)</w:t>
            </w:r>
          </w:p>
        </w:tc>
        <w:tc>
          <w:tcPr>
            <w:tcW w:w="992" w:type="dxa"/>
            <w:tcBorders>
              <w:bottom w:val="nil"/>
            </w:tcBorders>
            <w:shd w:val="clear" w:color="auto" w:fill="E6E6E6"/>
            <w:vAlign w:val="bottom"/>
          </w:tcPr>
          <w:p w14:paraId="1545ED43"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110</w:t>
            </w:r>
          </w:p>
        </w:tc>
      </w:tr>
      <w:tr w:rsidR="005A697A" w:rsidRPr="002C4011" w14:paraId="2102F6A5" w14:textId="77777777" w:rsidTr="003923B0">
        <w:trPr>
          <w:tblHeader/>
        </w:trPr>
        <w:tc>
          <w:tcPr>
            <w:tcW w:w="8789" w:type="dxa"/>
            <w:tcBorders>
              <w:top w:val="nil"/>
              <w:bottom w:val="nil"/>
            </w:tcBorders>
            <w:shd w:val="clear" w:color="000000" w:fill="auto"/>
            <w:vAlign w:val="bottom"/>
          </w:tcPr>
          <w:p w14:paraId="7CF4B836"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Health Economics and Policy Evaluation Research (HEPER) group, Centre for Medicine Use and Safety, Faculty of Pharmacy and Pharmaceutical Sciences, Monash University (HEPER group, Faculty of Pharmacy and Pharmaceutical Sciences, Monash University)</w:t>
            </w:r>
          </w:p>
        </w:tc>
        <w:tc>
          <w:tcPr>
            <w:tcW w:w="992" w:type="dxa"/>
            <w:tcBorders>
              <w:top w:val="nil"/>
              <w:bottom w:val="nil"/>
            </w:tcBorders>
            <w:shd w:val="clear" w:color="000000" w:fill="auto"/>
          </w:tcPr>
          <w:p w14:paraId="534BE0FC" w14:textId="77777777" w:rsidR="005A697A" w:rsidRPr="00764C5C" w:rsidRDefault="005A697A" w:rsidP="003923B0">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174</w:t>
            </w:r>
          </w:p>
        </w:tc>
      </w:tr>
      <w:tr w:rsidR="005A697A" w:rsidRPr="002C4011" w14:paraId="24F65449" w14:textId="77777777" w:rsidTr="00215BA1">
        <w:trPr>
          <w:tblHeader/>
        </w:trPr>
        <w:tc>
          <w:tcPr>
            <w:tcW w:w="8789" w:type="dxa"/>
            <w:tcBorders>
              <w:bottom w:val="nil"/>
            </w:tcBorders>
            <w:shd w:val="clear" w:color="auto" w:fill="E6E6E6"/>
            <w:vAlign w:val="bottom"/>
          </w:tcPr>
          <w:p w14:paraId="09BCDC48"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Health Economics Collaboration</w:t>
            </w:r>
          </w:p>
        </w:tc>
        <w:tc>
          <w:tcPr>
            <w:tcW w:w="992" w:type="dxa"/>
            <w:tcBorders>
              <w:bottom w:val="nil"/>
            </w:tcBorders>
            <w:shd w:val="clear" w:color="auto" w:fill="E6E6E6"/>
          </w:tcPr>
          <w:p w14:paraId="2D5B5C72" w14:textId="77777777" w:rsidR="005A697A" w:rsidRPr="00764C5C" w:rsidRDefault="005A697A" w:rsidP="003923B0">
            <w:pPr>
              <w:pStyle w:val="TableHeading"/>
              <w:spacing w:before="45" w:after="45"/>
              <w:ind w:right="108"/>
              <w:jc w:val="right"/>
              <w:rPr>
                <w:rFonts w:ascii="Arial (Body)" w:hAnsi="Arial (Body)"/>
                <w:b w:val="0"/>
                <w:bCs/>
                <w:color w:val="auto"/>
              </w:rPr>
            </w:pPr>
            <w:r w:rsidRPr="00E04760">
              <w:rPr>
                <w:rFonts w:ascii="Arial (Body)" w:hAnsi="Arial (Body)"/>
                <w:b w:val="0"/>
                <w:bCs/>
                <w:color w:val="auto"/>
              </w:rPr>
              <w:t>250</w:t>
            </w:r>
          </w:p>
        </w:tc>
      </w:tr>
      <w:tr w:rsidR="005A697A" w:rsidRPr="002C4011" w14:paraId="1621A904" w14:textId="77777777" w:rsidTr="003923B0">
        <w:trPr>
          <w:tblHeader/>
        </w:trPr>
        <w:tc>
          <w:tcPr>
            <w:tcW w:w="8789" w:type="dxa"/>
            <w:tcBorders>
              <w:top w:val="nil"/>
              <w:bottom w:val="nil"/>
            </w:tcBorders>
            <w:shd w:val="clear" w:color="000000" w:fill="auto"/>
            <w:vAlign w:val="bottom"/>
          </w:tcPr>
          <w:p w14:paraId="190C4A51"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Health Economics Group, School of Public Health and Preventive Medicine, Monash University (HEG)</w:t>
            </w:r>
          </w:p>
        </w:tc>
        <w:tc>
          <w:tcPr>
            <w:tcW w:w="992" w:type="dxa"/>
            <w:tcBorders>
              <w:top w:val="nil"/>
              <w:bottom w:val="nil"/>
            </w:tcBorders>
            <w:shd w:val="clear" w:color="000000" w:fill="auto"/>
          </w:tcPr>
          <w:p w14:paraId="078BB815" w14:textId="77777777" w:rsidR="005A697A" w:rsidRPr="00764C5C" w:rsidRDefault="005A697A" w:rsidP="003923B0">
            <w:pPr>
              <w:pStyle w:val="TableHeading"/>
              <w:spacing w:before="45" w:after="45"/>
              <w:ind w:right="108"/>
              <w:jc w:val="right"/>
              <w:rPr>
                <w:rFonts w:ascii="Arial (Body)" w:hAnsi="Arial (Body)"/>
                <w:b w:val="0"/>
                <w:bCs/>
                <w:color w:val="auto"/>
              </w:rPr>
            </w:pPr>
            <w:r w:rsidRPr="00E04760">
              <w:rPr>
                <w:rFonts w:ascii="Arial (Body)" w:hAnsi="Arial (Body)"/>
                <w:b w:val="0"/>
                <w:bCs/>
                <w:color w:val="auto"/>
              </w:rPr>
              <w:t>243</w:t>
            </w:r>
          </w:p>
        </w:tc>
      </w:tr>
      <w:tr w:rsidR="005A697A" w:rsidRPr="002C4011" w14:paraId="7041F33A" w14:textId="77777777" w:rsidTr="00215BA1">
        <w:trPr>
          <w:tblHeader/>
        </w:trPr>
        <w:tc>
          <w:tcPr>
            <w:tcW w:w="8789" w:type="dxa"/>
            <w:tcBorders>
              <w:bottom w:val="nil"/>
            </w:tcBorders>
            <w:shd w:val="clear" w:color="auto" w:fill="E6E6E6"/>
            <w:vAlign w:val="bottom"/>
          </w:tcPr>
          <w:p w14:paraId="245DB873"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Health Justice Australia (HJA)</w:t>
            </w:r>
          </w:p>
        </w:tc>
        <w:tc>
          <w:tcPr>
            <w:tcW w:w="992" w:type="dxa"/>
            <w:tcBorders>
              <w:bottom w:val="nil"/>
            </w:tcBorders>
            <w:shd w:val="clear" w:color="auto" w:fill="E6E6E6"/>
          </w:tcPr>
          <w:p w14:paraId="3A79DDE2" w14:textId="77777777" w:rsidR="005A697A" w:rsidRPr="00764C5C" w:rsidRDefault="005A697A" w:rsidP="003923B0">
            <w:pPr>
              <w:pStyle w:val="TableHeading"/>
              <w:spacing w:before="45" w:after="45"/>
              <w:ind w:right="108"/>
              <w:jc w:val="right"/>
              <w:rPr>
                <w:rFonts w:ascii="Arial (Body)" w:hAnsi="Arial (Body)"/>
                <w:b w:val="0"/>
                <w:bCs/>
                <w:color w:val="auto"/>
              </w:rPr>
            </w:pPr>
            <w:r w:rsidRPr="00E04760">
              <w:rPr>
                <w:rFonts w:ascii="Arial (Body)" w:hAnsi="Arial (Body)"/>
                <w:b w:val="0"/>
                <w:bCs/>
                <w:color w:val="auto"/>
              </w:rPr>
              <w:t>86</w:t>
            </w:r>
          </w:p>
        </w:tc>
      </w:tr>
      <w:tr w:rsidR="005A697A" w:rsidRPr="002C4011" w14:paraId="4F4C1312" w14:textId="77777777" w:rsidTr="003923B0">
        <w:trPr>
          <w:tblHeader/>
        </w:trPr>
        <w:tc>
          <w:tcPr>
            <w:tcW w:w="8789" w:type="dxa"/>
            <w:tcBorders>
              <w:top w:val="nil"/>
              <w:bottom w:val="nil"/>
            </w:tcBorders>
            <w:shd w:val="clear" w:color="000000" w:fill="auto"/>
            <w:vAlign w:val="bottom"/>
          </w:tcPr>
          <w:p w14:paraId="2D1CE6E4" w14:textId="77777777" w:rsidR="005A697A" w:rsidRPr="00764C5C" w:rsidRDefault="005A697A">
            <w:pPr>
              <w:pStyle w:val="TableHeading"/>
              <w:spacing w:before="45" w:after="45"/>
              <w:ind w:right="108"/>
              <w:rPr>
                <w:rFonts w:ascii="Arial (Body)" w:hAnsi="Arial (Body)"/>
                <w:b w:val="0"/>
                <w:bCs/>
                <w:color w:val="auto"/>
              </w:rPr>
            </w:pPr>
            <w:proofErr w:type="spellStart"/>
            <w:r w:rsidRPr="000C1848">
              <w:rPr>
                <w:rFonts w:ascii="Arial (Body)" w:hAnsi="Arial (Body)"/>
                <w:b w:val="0"/>
                <w:bCs/>
                <w:color w:val="auto"/>
              </w:rPr>
              <w:t>HealthWISE</w:t>
            </w:r>
            <w:proofErr w:type="spellEnd"/>
          </w:p>
        </w:tc>
        <w:tc>
          <w:tcPr>
            <w:tcW w:w="992" w:type="dxa"/>
            <w:tcBorders>
              <w:top w:val="nil"/>
              <w:bottom w:val="nil"/>
            </w:tcBorders>
            <w:shd w:val="clear" w:color="000000" w:fill="auto"/>
          </w:tcPr>
          <w:p w14:paraId="48D2852E" w14:textId="77777777" w:rsidR="005A697A" w:rsidRPr="00764C5C" w:rsidRDefault="005A697A" w:rsidP="003923B0">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111</w:t>
            </w:r>
          </w:p>
        </w:tc>
      </w:tr>
      <w:tr w:rsidR="005A697A" w:rsidRPr="002C4011" w14:paraId="57096AE2" w14:textId="77777777" w:rsidTr="00215BA1">
        <w:trPr>
          <w:tblHeader/>
        </w:trPr>
        <w:tc>
          <w:tcPr>
            <w:tcW w:w="8789" w:type="dxa"/>
            <w:tcBorders>
              <w:bottom w:val="nil"/>
            </w:tcBorders>
            <w:shd w:val="clear" w:color="auto" w:fill="E6E6E6"/>
            <w:vAlign w:val="bottom"/>
          </w:tcPr>
          <w:p w14:paraId="34847FD1"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HMS Community Homecare and Clinic</w:t>
            </w:r>
          </w:p>
        </w:tc>
        <w:tc>
          <w:tcPr>
            <w:tcW w:w="992" w:type="dxa"/>
            <w:tcBorders>
              <w:bottom w:val="nil"/>
            </w:tcBorders>
            <w:shd w:val="clear" w:color="auto" w:fill="E6E6E6"/>
          </w:tcPr>
          <w:p w14:paraId="5A284C71" w14:textId="77777777" w:rsidR="005A697A" w:rsidRPr="00764C5C" w:rsidRDefault="005A697A" w:rsidP="003923B0">
            <w:pPr>
              <w:pStyle w:val="TableHeading"/>
              <w:spacing w:before="45" w:after="45"/>
              <w:ind w:right="108"/>
              <w:jc w:val="right"/>
              <w:rPr>
                <w:rFonts w:ascii="Arial (Body)" w:hAnsi="Arial (Body)"/>
                <w:b w:val="0"/>
                <w:bCs/>
                <w:color w:val="auto"/>
              </w:rPr>
            </w:pPr>
            <w:r w:rsidRPr="00E04760">
              <w:rPr>
                <w:rFonts w:ascii="Arial (Body)" w:hAnsi="Arial (Body)"/>
                <w:b w:val="0"/>
                <w:bCs/>
                <w:color w:val="auto"/>
              </w:rPr>
              <w:t>81</w:t>
            </w:r>
          </w:p>
        </w:tc>
      </w:tr>
      <w:tr w:rsidR="005A697A" w:rsidRPr="002C4011" w14:paraId="3FF36446" w14:textId="77777777" w:rsidTr="003923B0">
        <w:trPr>
          <w:tblHeader/>
        </w:trPr>
        <w:tc>
          <w:tcPr>
            <w:tcW w:w="8789" w:type="dxa"/>
            <w:tcBorders>
              <w:top w:val="nil"/>
              <w:bottom w:val="nil"/>
            </w:tcBorders>
            <w:shd w:val="clear" w:color="000000" w:fill="auto"/>
            <w:vAlign w:val="bottom"/>
          </w:tcPr>
          <w:p w14:paraId="1F564628" w14:textId="77777777" w:rsidR="005A697A" w:rsidRPr="00764C5C" w:rsidRDefault="005A697A">
            <w:pPr>
              <w:pStyle w:val="TableHeading"/>
              <w:spacing w:before="45" w:after="45"/>
              <w:ind w:right="108"/>
              <w:rPr>
                <w:rFonts w:ascii="Arial (Body)" w:hAnsi="Arial (Body)"/>
                <w:b w:val="0"/>
                <w:bCs/>
                <w:color w:val="auto"/>
              </w:rPr>
            </w:pPr>
            <w:proofErr w:type="spellStart"/>
            <w:r w:rsidRPr="000C1848">
              <w:rPr>
                <w:rFonts w:ascii="Arial (Body)" w:hAnsi="Arial (Body)"/>
                <w:b w:val="0"/>
                <w:bCs/>
                <w:color w:val="auto"/>
              </w:rPr>
              <w:t>HumanAbility</w:t>
            </w:r>
            <w:proofErr w:type="spellEnd"/>
          </w:p>
        </w:tc>
        <w:tc>
          <w:tcPr>
            <w:tcW w:w="992" w:type="dxa"/>
            <w:tcBorders>
              <w:top w:val="nil"/>
              <w:bottom w:val="nil"/>
            </w:tcBorders>
            <w:shd w:val="clear" w:color="000000" w:fill="auto"/>
          </w:tcPr>
          <w:p w14:paraId="4BCE2F24" w14:textId="77777777" w:rsidR="005A697A" w:rsidRPr="00764C5C" w:rsidRDefault="005A697A" w:rsidP="003923B0">
            <w:pPr>
              <w:pStyle w:val="TableHeading"/>
              <w:spacing w:before="45" w:after="45"/>
              <w:ind w:right="108"/>
              <w:jc w:val="right"/>
              <w:rPr>
                <w:rFonts w:ascii="Arial (Body)" w:hAnsi="Arial (Body)"/>
                <w:b w:val="0"/>
                <w:bCs/>
                <w:color w:val="auto"/>
              </w:rPr>
            </w:pPr>
            <w:r w:rsidRPr="00E04760">
              <w:rPr>
                <w:rFonts w:ascii="Arial (Body)" w:hAnsi="Arial (Body)"/>
                <w:b w:val="0"/>
                <w:bCs/>
                <w:color w:val="auto"/>
              </w:rPr>
              <w:t>3, 191</w:t>
            </w:r>
          </w:p>
        </w:tc>
      </w:tr>
      <w:tr w:rsidR="005A697A" w:rsidRPr="002C4011" w14:paraId="5EA72F04" w14:textId="77777777" w:rsidTr="00215BA1">
        <w:trPr>
          <w:tblHeader/>
        </w:trPr>
        <w:tc>
          <w:tcPr>
            <w:tcW w:w="8789" w:type="dxa"/>
            <w:tcBorders>
              <w:bottom w:val="nil"/>
            </w:tcBorders>
            <w:shd w:val="clear" w:color="auto" w:fill="E6E6E6"/>
            <w:vAlign w:val="bottom"/>
          </w:tcPr>
          <w:p w14:paraId="775AB65B"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Impact Obesity and Australian and New Zealand Metabolic and Obesity Surgery Society (Impact Obesity and ANZMOSS)</w:t>
            </w:r>
          </w:p>
        </w:tc>
        <w:tc>
          <w:tcPr>
            <w:tcW w:w="992" w:type="dxa"/>
            <w:tcBorders>
              <w:bottom w:val="nil"/>
            </w:tcBorders>
            <w:shd w:val="clear" w:color="auto" w:fill="E6E6E6"/>
          </w:tcPr>
          <w:p w14:paraId="6E12B498" w14:textId="77777777" w:rsidR="005A697A" w:rsidRPr="00764C5C" w:rsidRDefault="005A697A" w:rsidP="003923B0">
            <w:pPr>
              <w:pStyle w:val="TableHeading"/>
              <w:spacing w:before="45" w:after="45"/>
              <w:ind w:right="108"/>
              <w:jc w:val="right"/>
              <w:rPr>
                <w:rFonts w:ascii="Arial (Body)" w:hAnsi="Arial (Body)"/>
                <w:b w:val="0"/>
                <w:bCs/>
                <w:color w:val="auto"/>
              </w:rPr>
            </w:pPr>
            <w:r w:rsidRPr="00E04760">
              <w:rPr>
                <w:rFonts w:ascii="Arial (Body)" w:hAnsi="Arial (Body)"/>
                <w:b w:val="0"/>
                <w:bCs/>
                <w:color w:val="auto"/>
              </w:rPr>
              <w:t>82</w:t>
            </w:r>
          </w:p>
        </w:tc>
      </w:tr>
      <w:tr w:rsidR="005A697A" w:rsidRPr="002C4011" w14:paraId="2FF6E856" w14:textId="77777777">
        <w:trPr>
          <w:tblHeader/>
        </w:trPr>
        <w:tc>
          <w:tcPr>
            <w:tcW w:w="8789" w:type="dxa"/>
            <w:tcBorders>
              <w:top w:val="nil"/>
              <w:bottom w:val="nil"/>
            </w:tcBorders>
            <w:shd w:val="clear" w:color="000000" w:fill="auto"/>
            <w:vAlign w:val="bottom"/>
          </w:tcPr>
          <w:p w14:paraId="4EC399C6"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Inclusion Australia</w:t>
            </w:r>
          </w:p>
        </w:tc>
        <w:tc>
          <w:tcPr>
            <w:tcW w:w="992" w:type="dxa"/>
            <w:tcBorders>
              <w:top w:val="nil"/>
              <w:bottom w:val="nil"/>
            </w:tcBorders>
            <w:shd w:val="clear" w:color="000000" w:fill="auto"/>
            <w:vAlign w:val="bottom"/>
          </w:tcPr>
          <w:p w14:paraId="40EF1B4B"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117</w:t>
            </w:r>
          </w:p>
        </w:tc>
      </w:tr>
      <w:tr w:rsidR="005A697A" w:rsidRPr="002C4011" w14:paraId="38D4501D" w14:textId="77777777" w:rsidTr="00215BA1">
        <w:trPr>
          <w:tblHeader/>
        </w:trPr>
        <w:tc>
          <w:tcPr>
            <w:tcW w:w="8789" w:type="dxa"/>
            <w:tcBorders>
              <w:bottom w:val="nil"/>
            </w:tcBorders>
            <w:shd w:val="clear" w:color="auto" w:fill="E6E6E6"/>
            <w:vAlign w:val="bottom"/>
          </w:tcPr>
          <w:p w14:paraId="2E3BE7C9"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Independent Schools Australia (ISA)</w:t>
            </w:r>
          </w:p>
        </w:tc>
        <w:tc>
          <w:tcPr>
            <w:tcW w:w="992" w:type="dxa"/>
            <w:tcBorders>
              <w:bottom w:val="nil"/>
            </w:tcBorders>
            <w:shd w:val="clear" w:color="auto" w:fill="E6E6E6"/>
            <w:vAlign w:val="bottom"/>
          </w:tcPr>
          <w:p w14:paraId="4B37DADE"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255</w:t>
            </w:r>
          </w:p>
        </w:tc>
      </w:tr>
      <w:tr w:rsidR="005A697A" w:rsidRPr="002C4011" w14:paraId="73BDE506" w14:textId="77777777">
        <w:trPr>
          <w:tblHeader/>
        </w:trPr>
        <w:tc>
          <w:tcPr>
            <w:tcW w:w="8789" w:type="dxa"/>
            <w:tcBorders>
              <w:top w:val="nil"/>
              <w:bottom w:val="nil"/>
            </w:tcBorders>
            <w:shd w:val="clear" w:color="000000" w:fill="auto"/>
            <w:vAlign w:val="bottom"/>
          </w:tcPr>
          <w:p w14:paraId="44123DBB"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Indigenous Allied Health Australia Ltd (IAHA)</w:t>
            </w:r>
          </w:p>
        </w:tc>
        <w:tc>
          <w:tcPr>
            <w:tcW w:w="992" w:type="dxa"/>
            <w:tcBorders>
              <w:top w:val="nil"/>
              <w:bottom w:val="nil"/>
            </w:tcBorders>
            <w:shd w:val="clear" w:color="000000" w:fill="auto"/>
            <w:vAlign w:val="bottom"/>
          </w:tcPr>
          <w:p w14:paraId="0AD6F692"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155</w:t>
            </w:r>
          </w:p>
        </w:tc>
      </w:tr>
      <w:tr w:rsidR="005A697A" w:rsidRPr="002C4011" w14:paraId="3F83736C" w14:textId="77777777" w:rsidTr="00215BA1">
        <w:trPr>
          <w:tblHeader/>
        </w:trPr>
        <w:tc>
          <w:tcPr>
            <w:tcW w:w="8789" w:type="dxa"/>
            <w:tcBorders>
              <w:bottom w:val="nil"/>
            </w:tcBorders>
            <w:shd w:val="clear" w:color="auto" w:fill="E6E6E6"/>
            <w:vAlign w:val="bottom"/>
          </w:tcPr>
          <w:p w14:paraId="57081AE7"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Infrastructure Victoria</w:t>
            </w:r>
          </w:p>
        </w:tc>
        <w:tc>
          <w:tcPr>
            <w:tcW w:w="992" w:type="dxa"/>
            <w:tcBorders>
              <w:bottom w:val="nil"/>
            </w:tcBorders>
            <w:shd w:val="clear" w:color="auto" w:fill="E6E6E6"/>
            <w:vAlign w:val="bottom"/>
          </w:tcPr>
          <w:p w14:paraId="6CFCF658"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89</w:t>
            </w:r>
          </w:p>
        </w:tc>
      </w:tr>
      <w:tr w:rsidR="005A697A" w:rsidRPr="002C4011" w14:paraId="5C365DDA" w14:textId="77777777">
        <w:trPr>
          <w:tblHeader/>
        </w:trPr>
        <w:tc>
          <w:tcPr>
            <w:tcW w:w="8789" w:type="dxa"/>
            <w:tcBorders>
              <w:top w:val="nil"/>
              <w:bottom w:val="nil"/>
            </w:tcBorders>
            <w:shd w:val="clear" w:color="000000" w:fill="auto"/>
            <w:vAlign w:val="bottom"/>
          </w:tcPr>
          <w:p w14:paraId="30EFCDFA"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Injury Matters</w:t>
            </w:r>
          </w:p>
        </w:tc>
        <w:tc>
          <w:tcPr>
            <w:tcW w:w="992" w:type="dxa"/>
            <w:tcBorders>
              <w:top w:val="nil"/>
              <w:bottom w:val="nil"/>
            </w:tcBorders>
            <w:shd w:val="clear" w:color="000000" w:fill="auto"/>
            <w:vAlign w:val="bottom"/>
          </w:tcPr>
          <w:p w14:paraId="7ABDBE31"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54</w:t>
            </w:r>
          </w:p>
        </w:tc>
      </w:tr>
      <w:tr w:rsidR="005A697A" w:rsidRPr="002C4011" w14:paraId="0B2EA31C" w14:textId="77777777" w:rsidTr="00215BA1">
        <w:trPr>
          <w:tblHeader/>
        </w:trPr>
        <w:tc>
          <w:tcPr>
            <w:tcW w:w="8789" w:type="dxa"/>
            <w:tcBorders>
              <w:bottom w:val="nil"/>
            </w:tcBorders>
            <w:shd w:val="clear" w:color="auto" w:fill="E6E6E6"/>
            <w:vAlign w:val="bottom"/>
          </w:tcPr>
          <w:p w14:paraId="2CBB5E5F"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Insurance Council of Australia (ICA)</w:t>
            </w:r>
          </w:p>
        </w:tc>
        <w:tc>
          <w:tcPr>
            <w:tcW w:w="992" w:type="dxa"/>
            <w:tcBorders>
              <w:bottom w:val="nil"/>
            </w:tcBorders>
            <w:shd w:val="clear" w:color="auto" w:fill="E6E6E6"/>
            <w:vAlign w:val="bottom"/>
          </w:tcPr>
          <w:p w14:paraId="2B2024C0"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106</w:t>
            </w:r>
          </w:p>
        </w:tc>
      </w:tr>
      <w:tr w:rsidR="005A697A" w:rsidRPr="002C4011" w14:paraId="4E44C8F1" w14:textId="77777777">
        <w:trPr>
          <w:tblHeader/>
        </w:trPr>
        <w:tc>
          <w:tcPr>
            <w:tcW w:w="8789" w:type="dxa"/>
            <w:tcBorders>
              <w:top w:val="nil"/>
              <w:bottom w:val="nil"/>
            </w:tcBorders>
            <w:shd w:val="clear" w:color="000000" w:fill="auto"/>
            <w:vAlign w:val="bottom"/>
          </w:tcPr>
          <w:p w14:paraId="173415FB"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IQVIA Australia</w:t>
            </w:r>
          </w:p>
        </w:tc>
        <w:tc>
          <w:tcPr>
            <w:tcW w:w="992" w:type="dxa"/>
            <w:tcBorders>
              <w:top w:val="nil"/>
              <w:bottom w:val="nil"/>
            </w:tcBorders>
            <w:shd w:val="clear" w:color="000000" w:fill="auto"/>
            <w:vAlign w:val="bottom"/>
          </w:tcPr>
          <w:p w14:paraId="443C097D"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85</w:t>
            </w:r>
          </w:p>
        </w:tc>
      </w:tr>
      <w:tr w:rsidR="005A697A" w:rsidRPr="002C4011" w14:paraId="10EB2004" w14:textId="77777777" w:rsidTr="00215BA1">
        <w:trPr>
          <w:tblHeader/>
        </w:trPr>
        <w:tc>
          <w:tcPr>
            <w:tcW w:w="8789" w:type="dxa"/>
            <w:tcBorders>
              <w:bottom w:val="nil"/>
            </w:tcBorders>
            <w:shd w:val="clear" w:color="auto" w:fill="E6E6E6"/>
            <w:vAlign w:val="bottom"/>
          </w:tcPr>
          <w:p w14:paraId="3FDD98CC"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James Trevelyan</w:t>
            </w:r>
          </w:p>
        </w:tc>
        <w:tc>
          <w:tcPr>
            <w:tcW w:w="992" w:type="dxa"/>
            <w:tcBorders>
              <w:bottom w:val="nil"/>
            </w:tcBorders>
            <w:shd w:val="clear" w:color="auto" w:fill="E6E6E6"/>
            <w:vAlign w:val="bottom"/>
          </w:tcPr>
          <w:p w14:paraId="333B9C62"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44</w:t>
            </w:r>
          </w:p>
        </w:tc>
      </w:tr>
      <w:tr w:rsidR="005A697A" w:rsidRPr="002C4011" w14:paraId="1566F4D2" w14:textId="77777777">
        <w:trPr>
          <w:tblHeader/>
        </w:trPr>
        <w:tc>
          <w:tcPr>
            <w:tcW w:w="8789" w:type="dxa"/>
            <w:tcBorders>
              <w:top w:val="nil"/>
              <w:bottom w:val="nil"/>
            </w:tcBorders>
            <w:shd w:val="clear" w:color="000000" w:fill="auto"/>
            <w:vAlign w:val="bottom"/>
          </w:tcPr>
          <w:p w14:paraId="2737E6B6"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JFA Purple Orange</w:t>
            </w:r>
          </w:p>
        </w:tc>
        <w:tc>
          <w:tcPr>
            <w:tcW w:w="992" w:type="dxa"/>
            <w:tcBorders>
              <w:top w:val="nil"/>
              <w:bottom w:val="nil"/>
            </w:tcBorders>
            <w:shd w:val="clear" w:color="000000" w:fill="auto"/>
            <w:vAlign w:val="bottom"/>
          </w:tcPr>
          <w:p w14:paraId="269AA2DE"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237</w:t>
            </w:r>
          </w:p>
        </w:tc>
      </w:tr>
      <w:tr w:rsidR="005A697A" w:rsidRPr="002C4011" w14:paraId="3CBD641B" w14:textId="77777777" w:rsidTr="00215BA1">
        <w:trPr>
          <w:tblHeader/>
        </w:trPr>
        <w:tc>
          <w:tcPr>
            <w:tcW w:w="8789" w:type="dxa"/>
            <w:tcBorders>
              <w:bottom w:val="nil"/>
            </w:tcBorders>
            <w:shd w:val="clear" w:color="auto" w:fill="E6E6E6"/>
            <w:vAlign w:val="bottom"/>
          </w:tcPr>
          <w:p w14:paraId="29CACB6C"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Joan Ozanne</w:t>
            </w:r>
            <w:r>
              <w:rPr>
                <w:rFonts w:ascii="Arial (Body)" w:hAnsi="Arial (Body)"/>
                <w:b w:val="0"/>
                <w:bCs/>
                <w:color w:val="auto"/>
              </w:rPr>
              <w:noBreakHyphen/>
            </w:r>
            <w:r w:rsidRPr="000C1848">
              <w:rPr>
                <w:rFonts w:ascii="Arial (Body)" w:hAnsi="Arial (Body)"/>
                <w:b w:val="0"/>
                <w:bCs/>
                <w:color w:val="auto"/>
              </w:rPr>
              <w:t>Smith</w:t>
            </w:r>
          </w:p>
        </w:tc>
        <w:tc>
          <w:tcPr>
            <w:tcW w:w="992" w:type="dxa"/>
            <w:tcBorders>
              <w:bottom w:val="nil"/>
            </w:tcBorders>
            <w:shd w:val="clear" w:color="auto" w:fill="E6E6E6"/>
            <w:vAlign w:val="bottom"/>
          </w:tcPr>
          <w:p w14:paraId="63EAAB60"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146</w:t>
            </w:r>
          </w:p>
        </w:tc>
      </w:tr>
      <w:tr w:rsidR="005A697A" w:rsidRPr="002C4011" w14:paraId="12BF14E3" w14:textId="77777777">
        <w:trPr>
          <w:tblHeader/>
        </w:trPr>
        <w:tc>
          <w:tcPr>
            <w:tcW w:w="8789" w:type="dxa"/>
            <w:tcBorders>
              <w:top w:val="nil"/>
              <w:bottom w:val="nil"/>
            </w:tcBorders>
            <w:shd w:val="clear" w:color="000000" w:fill="auto"/>
            <w:vAlign w:val="bottom"/>
          </w:tcPr>
          <w:p w14:paraId="48B63EAB" w14:textId="77777777" w:rsidR="005A697A" w:rsidRPr="00764C5C" w:rsidRDefault="005A697A">
            <w:pPr>
              <w:pStyle w:val="TableHeading"/>
              <w:spacing w:before="45" w:after="45"/>
              <w:ind w:right="108"/>
              <w:rPr>
                <w:rFonts w:ascii="Arial (Body)" w:hAnsi="Arial (Body)"/>
                <w:b w:val="0"/>
                <w:bCs/>
                <w:color w:val="auto"/>
              </w:rPr>
            </w:pPr>
            <w:proofErr w:type="spellStart"/>
            <w:r w:rsidRPr="000C1848">
              <w:rPr>
                <w:rFonts w:ascii="Arial (Body)" w:hAnsi="Arial (Body)"/>
                <w:b w:val="0"/>
                <w:bCs/>
                <w:color w:val="auto"/>
              </w:rPr>
              <w:t>Kernl</w:t>
            </w:r>
            <w:proofErr w:type="spellEnd"/>
          </w:p>
        </w:tc>
        <w:tc>
          <w:tcPr>
            <w:tcW w:w="992" w:type="dxa"/>
            <w:tcBorders>
              <w:top w:val="nil"/>
              <w:bottom w:val="nil"/>
            </w:tcBorders>
            <w:shd w:val="clear" w:color="000000" w:fill="auto"/>
            <w:vAlign w:val="bottom"/>
          </w:tcPr>
          <w:p w14:paraId="128EFE51"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185</w:t>
            </w:r>
          </w:p>
        </w:tc>
      </w:tr>
      <w:tr w:rsidR="005A697A" w:rsidRPr="002C4011" w14:paraId="47FCBE6A" w14:textId="77777777" w:rsidTr="00215BA1">
        <w:trPr>
          <w:tblHeader/>
        </w:trPr>
        <w:tc>
          <w:tcPr>
            <w:tcW w:w="8789" w:type="dxa"/>
            <w:tcBorders>
              <w:bottom w:val="nil"/>
            </w:tcBorders>
            <w:shd w:val="clear" w:color="auto" w:fill="E6E6E6"/>
            <w:vAlign w:val="bottom"/>
          </w:tcPr>
          <w:p w14:paraId="4791096D"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KPMG Australia</w:t>
            </w:r>
          </w:p>
        </w:tc>
        <w:tc>
          <w:tcPr>
            <w:tcW w:w="992" w:type="dxa"/>
            <w:tcBorders>
              <w:bottom w:val="nil"/>
            </w:tcBorders>
            <w:shd w:val="clear" w:color="auto" w:fill="E6E6E6"/>
            <w:vAlign w:val="bottom"/>
          </w:tcPr>
          <w:p w14:paraId="222386F2" w14:textId="77777777" w:rsidR="005A697A" w:rsidRPr="00764C5C" w:rsidRDefault="005A697A">
            <w:pPr>
              <w:pStyle w:val="TableHeading"/>
              <w:spacing w:before="45" w:after="45"/>
              <w:ind w:right="108"/>
              <w:jc w:val="right"/>
              <w:rPr>
                <w:rFonts w:ascii="Arial (Body)" w:hAnsi="Arial (Body)"/>
                <w:b w:val="0"/>
                <w:bCs/>
                <w:color w:val="auto"/>
              </w:rPr>
            </w:pPr>
            <w:r>
              <w:rPr>
                <w:rFonts w:ascii="Arial (Body)" w:hAnsi="Arial (Body)"/>
                <w:b w:val="0"/>
                <w:bCs/>
                <w:color w:val="auto"/>
              </w:rPr>
              <w:t xml:space="preserve">25, </w:t>
            </w:r>
            <w:r w:rsidRPr="00E04760">
              <w:rPr>
                <w:rFonts w:ascii="Arial (Body)" w:hAnsi="Arial (Body)"/>
                <w:b w:val="0"/>
                <w:bCs/>
                <w:color w:val="auto"/>
              </w:rPr>
              <w:t>115</w:t>
            </w:r>
          </w:p>
        </w:tc>
      </w:tr>
      <w:tr w:rsidR="005A697A" w:rsidRPr="002C4011" w14:paraId="6E4F3A46" w14:textId="77777777">
        <w:trPr>
          <w:tblHeader/>
        </w:trPr>
        <w:tc>
          <w:tcPr>
            <w:tcW w:w="8789" w:type="dxa"/>
            <w:tcBorders>
              <w:top w:val="nil"/>
              <w:bottom w:val="nil"/>
            </w:tcBorders>
            <w:shd w:val="clear" w:color="000000" w:fill="auto"/>
            <w:vAlign w:val="bottom"/>
          </w:tcPr>
          <w:p w14:paraId="4621D3CE"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KU Children</w:t>
            </w:r>
            <w:r>
              <w:rPr>
                <w:rFonts w:ascii="Arial (Body)" w:hAnsi="Arial (Body)"/>
                <w:b w:val="0"/>
                <w:bCs/>
                <w:color w:val="auto"/>
              </w:rPr>
              <w:t>’</w:t>
            </w:r>
            <w:r w:rsidRPr="000C1848">
              <w:rPr>
                <w:rFonts w:ascii="Arial (Body)" w:hAnsi="Arial (Body)"/>
                <w:b w:val="0"/>
                <w:bCs/>
                <w:color w:val="auto"/>
              </w:rPr>
              <w:t>s Services</w:t>
            </w:r>
          </w:p>
        </w:tc>
        <w:tc>
          <w:tcPr>
            <w:tcW w:w="992" w:type="dxa"/>
            <w:tcBorders>
              <w:top w:val="nil"/>
              <w:bottom w:val="nil"/>
            </w:tcBorders>
            <w:shd w:val="clear" w:color="000000" w:fill="auto"/>
            <w:vAlign w:val="bottom"/>
          </w:tcPr>
          <w:p w14:paraId="1AC763E0"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196</w:t>
            </w:r>
          </w:p>
        </w:tc>
      </w:tr>
      <w:tr w:rsidR="005A697A" w:rsidRPr="002C4011" w14:paraId="2BEA028C" w14:textId="77777777" w:rsidTr="00215BA1">
        <w:trPr>
          <w:tblHeader/>
        </w:trPr>
        <w:tc>
          <w:tcPr>
            <w:tcW w:w="8789" w:type="dxa"/>
            <w:tcBorders>
              <w:bottom w:val="single" w:sz="4" w:space="0" w:color="BFBFBF" w:themeColor="background1" w:themeShade="BF"/>
            </w:tcBorders>
            <w:shd w:val="clear" w:color="auto" w:fill="E6E6E6"/>
            <w:vAlign w:val="bottom"/>
          </w:tcPr>
          <w:p w14:paraId="707B8E95" w14:textId="77777777" w:rsidR="005A697A" w:rsidRPr="00764C5C"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La Trobe University</w:t>
            </w:r>
          </w:p>
        </w:tc>
        <w:tc>
          <w:tcPr>
            <w:tcW w:w="992" w:type="dxa"/>
            <w:tcBorders>
              <w:bottom w:val="single" w:sz="4" w:space="0" w:color="BFBFBF" w:themeColor="background1" w:themeShade="BF"/>
            </w:tcBorders>
            <w:shd w:val="clear" w:color="auto" w:fill="E6E6E6"/>
            <w:vAlign w:val="bottom"/>
          </w:tcPr>
          <w:p w14:paraId="4F19CD69" w14:textId="77777777" w:rsidR="005A697A" w:rsidRPr="00764C5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216</w:t>
            </w:r>
          </w:p>
        </w:tc>
      </w:tr>
    </w:tbl>
    <w:p w14:paraId="4B7080B0" w14:textId="77777777" w:rsidR="005A697A" w:rsidRDefault="005A697A" w:rsidP="003923B0">
      <w:pPr>
        <w:pStyle w:val="BodyText"/>
      </w:pPr>
      <w:r>
        <w:br w:type="page"/>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05"/>
        <w:gridCol w:w="1276"/>
      </w:tblGrid>
      <w:tr w:rsidR="005A697A" w:rsidRPr="0020519C" w14:paraId="57A6472E" w14:textId="77777777" w:rsidTr="003923B0">
        <w:trPr>
          <w:tblHeader/>
        </w:trPr>
        <w:tc>
          <w:tcPr>
            <w:tcW w:w="8505" w:type="dxa"/>
            <w:tcBorders>
              <w:bottom w:val="single" w:sz="4" w:space="0" w:color="B3B3B3"/>
            </w:tcBorders>
            <w:shd w:val="clear" w:color="000000" w:fill="auto"/>
            <w:vAlign w:val="bottom"/>
          </w:tcPr>
          <w:p w14:paraId="3605B2E2" w14:textId="77777777" w:rsidR="005A697A" w:rsidRPr="0020519C" w:rsidRDefault="005A697A">
            <w:pPr>
              <w:pStyle w:val="TableHeading"/>
              <w:spacing w:before="45" w:after="45"/>
              <w:ind w:right="108"/>
              <w:rPr>
                <w:rFonts w:ascii="Arial (Body)" w:hAnsi="Arial (Body)"/>
                <w:color w:val="265A9A"/>
              </w:rPr>
            </w:pPr>
            <w:r w:rsidRPr="0020519C">
              <w:rPr>
                <w:rFonts w:ascii="Arial (Body)" w:hAnsi="Arial (Body)"/>
                <w:color w:val="265A9A"/>
              </w:rPr>
              <w:lastRenderedPageBreak/>
              <w:t>Participants</w:t>
            </w:r>
          </w:p>
        </w:tc>
        <w:tc>
          <w:tcPr>
            <w:tcW w:w="1276" w:type="dxa"/>
            <w:tcBorders>
              <w:bottom w:val="single" w:sz="4" w:space="0" w:color="B3B3B3"/>
            </w:tcBorders>
            <w:shd w:val="clear" w:color="000000" w:fill="auto"/>
            <w:vAlign w:val="bottom"/>
          </w:tcPr>
          <w:p w14:paraId="13AC64DE" w14:textId="77777777" w:rsidR="005A697A" w:rsidRPr="0020519C" w:rsidRDefault="005A697A" w:rsidP="003923B0">
            <w:pPr>
              <w:pStyle w:val="TableHeading"/>
              <w:spacing w:before="45" w:after="45"/>
              <w:ind w:right="108"/>
              <w:jc w:val="right"/>
              <w:rPr>
                <w:rFonts w:ascii="Arial (Body)" w:hAnsi="Arial (Body)"/>
                <w:color w:val="265A9A"/>
              </w:rPr>
            </w:pPr>
            <w:r w:rsidRPr="0020519C">
              <w:rPr>
                <w:rFonts w:ascii="Arial (Body)" w:hAnsi="Arial (Body)"/>
                <w:color w:val="265A9A"/>
              </w:rPr>
              <w:t>Sub no.</w:t>
            </w:r>
          </w:p>
        </w:tc>
      </w:tr>
      <w:tr w:rsidR="005A697A" w:rsidRPr="0020519C" w14:paraId="5C990AD7" w14:textId="77777777" w:rsidTr="00215BA1">
        <w:trPr>
          <w:tblHeader/>
        </w:trPr>
        <w:tc>
          <w:tcPr>
            <w:tcW w:w="8505" w:type="dxa"/>
            <w:tcBorders>
              <w:top w:val="single" w:sz="4" w:space="0" w:color="B3B3B3"/>
              <w:bottom w:val="nil"/>
            </w:tcBorders>
            <w:shd w:val="clear" w:color="auto" w:fill="E6E6E6"/>
            <w:vAlign w:val="bottom"/>
          </w:tcPr>
          <w:p w14:paraId="210581D6" w14:textId="77777777" w:rsidR="005A697A" w:rsidRPr="008B53BB" w:rsidRDefault="005A697A">
            <w:pPr>
              <w:pStyle w:val="TableHeading"/>
              <w:spacing w:before="45" w:after="45"/>
              <w:ind w:right="108"/>
              <w:rPr>
                <w:rFonts w:ascii="Arial (Body)" w:hAnsi="Arial (Body)" w:cs="Arial"/>
                <w:b w:val="0"/>
                <w:bCs/>
                <w:color w:val="auto"/>
              </w:rPr>
            </w:pPr>
            <w:r w:rsidRPr="000C1848">
              <w:rPr>
                <w:rFonts w:ascii="Arial (Body)" w:hAnsi="Arial (Body)"/>
                <w:b w:val="0"/>
                <w:bCs/>
                <w:color w:val="auto"/>
              </w:rPr>
              <w:t>Lite n Easy</w:t>
            </w:r>
          </w:p>
        </w:tc>
        <w:tc>
          <w:tcPr>
            <w:tcW w:w="1276" w:type="dxa"/>
            <w:tcBorders>
              <w:top w:val="single" w:sz="4" w:space="0" w:color="B3B3B3"/>
              <w:bottom w:val="nil"/>
            </w:tcBorders>
            <w:shd w:val="clear" w:color="auto" w:fill="E6E6E6"/>
            <w:vAlign w:val="bottom"/>
          </w:tcPr>
          <w:p w14:paraId="6B52A536" w14:textId="77777777" w:rsidR="005A697A" w:rsidRPr="0020519C" w:rsidRDefault="005A697A">
            <w:pPr>
              <w:pStyle w:val="TableHeading"/>
              <w:spacing w:before="45" w:after="45"/>
              <w:ind w:right="108"/>
              <w:jc w:val="right"/>
              <w:rPr>
                <w:rFonts w:ascii="Arial (Body)" w:hAnsi="Arial (Body)" w:cs="Arial"/>
                <w:b w:val="0"/>
                <w:color w:val="000000"/>
              </w:rPr>
            </w:pPr>
            <w:r w:rsidRPr="00E04760">
              <w:rPr>
                <w:rFonts w:ascii="Arial (Body)" w:hAnsi="Arial (Body)"/>
                <w:b w:val="0"/>
                <w:bCs/>
                <w:color w:val="auto"/>
              </w:rPr>
              <w:t>4</w:t>
            </w:r>
          </w:p>
        </w:tc>
      </w:tr>
      <w:tr w:rsidR="005A697A" w:rsidRPr="0020519C" w14:paraId="06BDC11D" w14:textId="77777777" w:rsidTr="003923B0">
        <w:trPr>
          <w:tblHeader/>
        </w:trPr>
        <w:tc>
          <w:tcPr>
            <w:tcW w:w="8505" w:type="dxa"/>
            <w:tcBorders>
              <w:top w:val="nil"/>
              <w:bottom w:val="nil"/>
            </w:tcBorders>
            <w:shd w:val="clear" w:color="000000" w:fill="auto"/>
            <w:vAlign w:val="bottom"/>
          </w:tcPr>
          <w:p w14:paraId="7641CE9E" w14:textId="77777777" w:rsidR="005A697A" w:rsidRPr="008B53BB" w:rsidRDefault="005A697A">
            <w:pPr>
              <w:pStyle w:val="TableHeading"/>
              <w:spacing w:before="45" w:after="45"/>
              <w:ind w:right="108"/>
              <w:rPr>
                <w:rFonts w:ascii="Arial (Body)" w:hAnsi="Arial (Body)" w:cs="Arial"/>
                <w:b w:val="0"/>
                <w:bCs/>
                <w:color w:val="auto"/>
              </w:rPr>
            </w:pPr>
            <w:r w:rsidRPr="000C1848">
              <w:rPr>
                <w:rFonts w:ascii="Arial (Body)" w:hAnsi="Arial (Body)"/>
                <w:b w:val="0"/>
                <w:bCs/>
                <w:color w:val="auto"/>
              </w:rPr>
              <w:t>Logan Child Friendly Community Limited (Logan Together)</w:t>
            </w:r>
          </w:p>
        </w:tc>
        <w:tc>
          <w:tcPr>
            <w:tcW w:w="1276" w:type="dxa"/>
            <w:tcBorders>
              <w:top w:val="nil"/>
              <w:bottom w:val="nil"/>
            </w:tcBorders>
            <w:shd w:val="clear" w:color="000000" w:fill="auto"/>
            <w:vAlign w:val="bottom"/>
          </w:tcPr>
          <w:p w14:paraId="55A06E8B" w14:textId="77777777" w:rsidR="005A697A" w:rsidRPr="0020519C" w:rsidRDefault="005A697A">
            <w:pPr>
              <w:pStyle w:val="TableHeading"/>
              <w:spacing w:before="45" w:after="45"/>
              <w:ind w:right="108"/>
              <w:jc w:val="right"/>
              <w:rPr>
                <w:rFonts w:ascii="Arial (Body)" w:hAnsi="Arial (Body)" w:cs="Arial"/>
                <w:b w:val="0"/>
                <w:color w:val="000000"/>
              </w:rPr>
            </w:pPr>
            <w:r w:rsidRPr="00E04760">
              <w:rPr>
                <w:rFonts w:ascii="Arial (Body)" w:hAnsi="Arial (Body)"/>
                <w:b w:val="0"/>
                <w:bCs/>
                <w:color w:val="auto"/>
              </w:rPr>
              <w:t>136</w:t>
            </w:r>
          </w:p>
        </w:tc>
      </w:tr>
      <w:tr w:rsidR="005A697A" w:rsidRPr="0020519C" w14:paraId="0D9EEF25" w14:textId="77777777" w:rsidTr="00215BA1">
        <w:trPr>
          <w:tblHeader/>
        </w:trPr>
        <w:tc>
          <w:tcPr>
            <w:tcW w:w="8505" w:type="dxa"/>
            <w:tcBorders>
              <w:bottom w:val="nil"/>
            </w:tcBorders>
            <w:shd w:val="clear" w:color="auto" w:fill="E6E6E6"/>
            <w:vAlign w:val="bottom"/>
          </w:tcPr>
          <w:p w14:paraId="38A61741" w14:textId="77777777" w:rsidR="005A697A" w:rsidRPr="00F96886" w:rsidRDefault="005A697A">
            <w:pPr>
              <w:pStyle w:val="TableHeading"/>
              <w:spacing w:before="45" w:after="45"/>
              <w:ind w:right="108"/>
              <w:rPr>
                <w:rFonts w:ascii="Arial (Body)" w:hAnsi="Arial (Body)"/>
                <w:b w:val="0"/>
                <w:bCs/>
                <w:color w:val="auto"/>
              </w:rPr>
            </w:pPr>
            <w:r w:rsidRPr="000C1848">
              <w:rPr>
                <w:rFonts w:ascii="Arial (Body)" w:hAnsi="Arial (Body)"/>
                <w:b w:val="0"/>
                <w:bCs/>
                <w:color w:val="auto"/>
              </w:rPr>
              <w:t>Lung Foundation Australia</w:t>
            </w:r>
          </w:p>
        </w:tc>
        <w:tc>
          <w:tcPr>
            <w:tcW w:w="1276" w:type="dxa"/>
            <w:tcBorders>
              <w:bottom w:val="nil"/>
            </w:tcBorders>
            <w:shd w:val="clear" w:color="auto" w:fill="E6E6E6"/>
            <w:vAlign w:val="bottom"/>
          </w:tcPr>
          <w:p w14:paraId="56D6E869"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120</w:t>
            </w:r>
          </w:p>
        </w:tc>
      </w:tr>
      <w:tr w:rsidR="005A697A" w:rsidRPr="0020519C" w14:paraId="71AC2FF4" w14:textId="77777777" w:rsidTr="003923B0">
        <w:trPr>
          <w:tblHeader/>
        </w:trPr>
        <w:tc>
          <w:tcPr>
            <w:tcW w:w="8505" w:type="dxa"/>
            <w:tcBorders>
              <w:top w:val="nil"/>
              <w:bottom w:val="nil"/>
            </w:tcBorders>
            <w:shd w:val="clear" w:color="000000" w:fill="auto"/>
            <w:vAlign w:val="bottom"/>
          </w:tcPr>
          <w:p w14:paraId="2549209B"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M2M North Shore</w:t>
            </w:r>
          </w:p>
        </w:tc>
        <w:tc>
          <w:tcPr>
            <w:tcW w:w="1276" w:type="dxa"/>
            <w:tcBorders>
              <w:top w:val="nil"/>
              <w:bottom w:val="nil"/>
            </w:tcBorders>
            <w:shd w:val="clear" w:color="000000" w:fill="auto"/>
            <w:vAlign w:val="bottom"/>
          </w:tcPr>
          <w:p w14:paraId="01749CB3"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57</w:t>
            </w:r>
          </w:p>
        </w:tc>
      </w:tr>
      <w:tr w:rsidR="005A697A" w:rsidRPr="0020519C" w14:paraId="53EA0562" w14:textId="77777777" w:rsidTr="00215BA1">
        <w:trPr>
          <w:tblHeader/>
        </w:trPr>
        <w:tc>
          <w:tcPr>
            <w:tcW w:w="8505" w:type="dxa"/>
            <w:tcBorders>
              <w:bottom w:val="nil"/>
            </w:tcBorders>
            <w:shd w:val="clear" w:color="auto" w:fill="E6E6E6"/>
            <w:vAlign w:val="bottom"/>
          </w:tcPr>
          <w:p w14:paraId="75B894EE"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Mallee Family Care (MFC)</w:t>
            </w:r>
          </w:p>
        </w:tc>
        <w:tc>
          <w:tcPr>
            <w:tcW w:w="1276" w:type="dxa"/>
            <w:tcBorders>
              <w:bottom w:val="nil"/>
            </w:tcBorders>
            <w:shd w:val="clear" w:color="auto" w:fill="E6E6E6"/>
            <w:vAlign w:val="bottom"/>
          </w:tcPr>
          <w:p w14:paraId="45366C6A"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73</w:t>
            </w:r>
          </w:p>
        </w:tc>
      </w:tr>
      <w:tr w:rsidR="005A697A" w:rsidRPr="0020519C" w14:paraId="5EFE209E" w14:textId="77777777" w:rsidTr="003923B0">
        <w:trPr>
          <w:tblHeader/>
        </w:trPr>
        <w:tc>
          <w:tcPr>
            <w:tcW w:w="8505" w:type="dxa"/>
            <w:tcBorders>
              <w:top w:val="nil"/>
              <w:bottom w:val="nil"/>
            </w:tcBorders>
            <w:shd w:val="clear" w:color="000000" w:fill="auto"/>
            <w:vAlign w:val="bottom"/>
          </w:tcPr>
          <w:p w14:paraId="53DD6980"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Massage &amp; Myotherapy Australia</w:t>
            </w:r>
          </w:p>
        </w:tc>
        <w:tc>
          <w:tcPr>
            <w:tcW w:w="1276" w:type="dxa"/>
            <w:tcBorders>
              <w:top w:val="nil"/>
              <w:bottom w:val="nil"/>
            </w:tcBorders>
            <w:shd w:val="clear" w:color="000000" w:fill="auto"/>
            <w:vAlign w:val="bottom"/>
          </w:tcPr>
          <w:p w14:paraId="702538BA"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11, 91</w:t>
            </w:r>
          </w:p>
        </w:tc>
      </w:tr>
      <w:tr w:rsidR="005A697A" w:rsidRPr="0020519C" w14:paraId="6E590797" w14:textId="77777777" w:rsidTr="00215BA1">
        <w:trPr>
          <w:tblHeader/>
        </w:trPr>
        <w:tc>
          <w:tcPr>
            <w:tcW w:w="8505" w:type="dxa"/>
            <w:tcBorders>
              <w:bottom w:val="nil"/>
            </w:tcBorders>
            <w:shd w:val="clear" w:color="auto" w:fill="E6E6E6"/>
            <w:vAlign w:val="bottom"/>
          </w:tcPr>
          <w:p w14:paraId="563640B6"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Max Vardanega</w:t>
            </w:r>
          </w:p>
        </w:tc>
        <w:tc>
          <w:tcPr>
            <w:tcW w:w="1276" w:type="dxa"/>
            <w:tcBorders>
              <w:bottom w:val="nil"/>
            </w:tcBorders>
            <w:shd w:val="clear" w:color="auto" w:fill="E6E6E6"/>
            <w:vAlign w:val="bottom"/>
          </w:tcPr>
          <w:p w14:paraId="7A5D74DC"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242</w:t>
            </w:r>
          </w:p>
        </w:tc>
      </w:tr>
      <w:tr w:rsidR="005A697A" w:rsidRPr="0020519C" w14:paraId="30DF3A6E" w14:textId="77777777" w:rsidTr="003923B0">
        <w:trPr>
          <w:tblHeader/>
        </w:trPr>
        <w:tc>
          <w:tcPr>
            <w:tcW w:w="8505" w:type="dxa"/>
            <w:tcBorders>
              <w:top w:val="nil"/>
              <w:bottom w:val="nil"/>
            </w:tcBorders>
            <w:shd w:val="clear" w:color="000000" w:fill="auto"/>
            <w:vAlign w:val="bottom"/>
          </w:tcPr>
          <w:p w14:paraId="68852CCE"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Medibank Private (Medibank)</w:t>
            </w:r>
          </w:p>
        </w:tc>
        <w:tc>
          <w:tcPr>
            <w:tcW w:w="1276" w:type="dxa"/>
            <w:tcBorders>
              <w:top w:val="nil"/>
              <w:bottom w:val="nil"/>
            </w:tcBorders>
            <w:shd w:val="clear" w:color="000000" w:fill="auto"/>
            <w:vAlign w:val="bottom"/>
          </w:tcPr>
          <w:p w14:paraId="5814CBE7"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137</w:t>
            </w:r>
          </w:p>
        </w:tc>
      </w:tr>
      <w:tr w:rsidR="005A697A" w:rsidRPr="0020519C" w14:paraId="08D2377A" w14:textId="77777777" w:rsidTr="00215BA1">
        <w:trPr>
          <w:tblHeader/>
        </w:trPr>
        <w:tc>
          <w:tcPr>
            <w:tcW w:w="8505" w:type="dxa"/>
            <w:tcBorders>
              <w:bottom w:val="nil"/>
            </w:tcBorders>
            <w:shd w:val="clear" w:color="auto" w:fill="E6E6E6"/>
            <w:vAlign w:val="bottom"/>
          </w:tcPr>
          <w:p w14:paraId="7ED15BCF"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Medical Software Industry Association (MSIA)</w:t>
            </w:r>
          </w:p>
        </w:tc>
        <w:tc>
          <w:tcPr>
            <w:tcW w:w="1276" w:type="dxa"/>
            <w:tcBorders>
              <w:bottom w:val="nil"/>
            </w:tcBorders>
            <w:shd w:val="clear" w:color="auto" w:fill="E6E6E6"/>
            <w:vAlign w:val="bottom"/>
          </w:tcPr>
          <w:p w14:paraId="40BC09D6"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213</w:t>
            </w:r>
          </w:p>
        </w:tc>
      </w:tr>
      <w:tr w:rsidR="005A697A" w:rsidRPr="0020519C" w14:paraId="6E78692A" w14:textId="77777777" w:rsidTr="003923B0">
        <w:trPr>
          <w:tblHeader/>
        </w:trPr>
        <w:tc>
          <w:tcPr>
            <w:tcW w:w="8505" w:type="dxa"/>
            <w:tcBorders>
              <w:top w:val="nil"/>
              <w:bottom w:val="nil"/>
            </w:tcBorders>
            <w:shd w:val="clear" w:color="000000" w:fill="auto"/>
            <w:vAlign w:val="bottom"/>
          </w:tcPr>
          <w:p w14:paraId="03A709E8"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Medical Technology Association of Australia (MTAA)</w:t>
            </w:r>
          </w:p>
        </w:tc>
        <w:tc>
          <w:tcPr>
            <w:tcW w:w="1276" w:type="dxa"/>
            <w:tcBorders>
              <w:top w:val="nil"/>
              <w:bottom w:val="nil"/>
            </w:tcBorders>
            <w:shd w:val="clear" w:color="000000" w:fill="auto"/>
            <w:vAlign w:val="bottom"/>
          </w:tcPr>
          <w:p w14:paraId="3A33C0CE"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212</w:t>
            </w:r>
          </w:p>
        </w:tc>
      </w:tr>
      <w:tr w:rsidR="005A697A" w:rsidRPr="0020519C" w14:paraId="04B3C4E2" w14:textId="77777777" w:rsidTr="00215BA1">
        <w:trPr>
          <w:tblHeader/>
        </w:trPr>
        <w:tc>
          <w:tcPr>
            <w:tcW w:w="8505" w:type="dxa"/>
            <w:tcBorders>
              <w:bottom w:val="nil"/>
            </w:tcBorders>
            <w:shd w:val="clear" w:color="auto" w:fill="E6E6E6"/>
            <w:vAlign w:val="bottom"/>
          </w:tcPr>
          <w:p w14:paraId="1C67514B"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Medicines Australia</w:t>
            </w:r>
          </w:p>
        </w:tc>
        <w:tc>
          <w:tcPr>
            <w:tcW w:w="1276" w:type="dxa"/>
            <w:tcBorders>
              <w:bottom w:val="nil"/>
            </w:tcBorders>
            <w:shd w:val="clear" w:color="auto" w:fill="E6E6E6"/>
            <w:vAlign w:val="bottom"/>
          </w:tcPr>
          <w:p w14:paraId="42A6666A"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248</w:t>
            </w:r>
          </w:p>
        </w:tc>
      </w:tr>
      <w:tr w:rsidR="005A697A" w:rsidRPr="0020519C" w14:paraId="665DD889" w14:textId="77777777" w:rsidTr="003923B0">
        <w:trPr>
          <w:tblHeader/>
        </w:trPr>
        <w:tc>
          <w:tcPr>
            <w:tcW w:w="8505" w:type="dxa"/>
            <w:tcBorders>
              <w:top w:val="nil"/>
              <w:bottom w:val="nil"/>
            </w:tcBorders>
            <w:shd w:val="clear" w:color="000000" w:fill="auto"/>
            <w:vAlign w:val="bottom"/>
          </w:tcPr>
          <w:p w14:paraId="7F94B371"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Melbourne Disability Institute, Australian Welfare and Work Lab - University of Melbourne</w:t>
            </w:r>
          </w:p>
        </w:tc>
        <w:tc>
          <w:tcPr>
            <w:tcW w:w="1276" w:type="dxa"/>
            <w:tcBorders>
              <w:top w:val="nil"/>
              <w:bottom w:val="nil"/>
            </w:tcBorders>
            <w:shd w:val="clear" w:color="000000" w:fill="auto"/>
            <w:vAlign w:val="bottom"/>
          </w:tcPr>
          <w:p w14:paraId="06B4EFBD"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107</w:t>
            </w:r>
          </w:p>
        </w:tc>
      </w:tr>
      <w:tr w:rsidR="005A697A" w:rsidRPr="0020519C" w14:paraId="291C4FAA" w14:textId="77777777" w:rsidTr="00215BA1">
        <w:trPr>
          <w:tblHeader/>
        </w:trPr>
        <w:tc>
          <w:tcPr>
            <w:tcW w:w="8505" w:type="dxa"/>
            <w:tcBorders>
              <w:bottom w:val="nil"/>
            </w:tcBorders>
            <w:shd w:val="clear" w:color="auto" w:fill="E6E6E6"/>
            <w:vAlign w:val="bottom"/>
          </w:tcPr>
          <w:p w14:paraId="3948E66C"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Members Health Fund Alliance (Members Health)</w:t>
            </w:r>
          </w:p>
        </w:tc>
        <w:tc>
          <w:tcPr>
            <w:tcW w:w="1276" w:type="dxa"/>
            <w:tcBorders>
              <w:bottom w:val="nil"/>
            </w:tcBorders>
            <w:shd w:val="clear" w:color="auto" w:fill="E6E6E6"/>
            <w:vAlign w:val="bottom"/>
          </w:tcPr>
          <w:p w14:paraId="3CBC913B"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214</w:t>
            </w:r>
          </w:p>
        </w:tc>
      </w:tr>
      <w:tr w:rsidR="005A697A" w:rsidRPr="0020519C" w14:paraId="45F2AB6E" w14:textId="77777777" w:rsidTr="003923B0">
        <w:trPr>
          <w:tblHeader/>
        </w:trPr>
        <w:tc>
          <w:tcPr>
            <w:tcW w:w="8505" w:type="dxa"/>
            <w:tcBorders>
              <w:top w:val="nil"/>
              <w:bottom w:val="nil"/>
            </w:tcBorders>
            <w:shd w:val="clear" w:color="000000" w:fill="auto"/>
            <w:vAlign w:val="bottom"/>
          </w:tcPr>
          <w:p w14:paraId="3E28EE52"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Mental Health Victoria</w:t>
            </w:r>
          </w:p>
        </w:tc>
        <w:tc>
          <w:tcPr>
            <w:tcW w:w="1276" w:type="dxa"/>
            <w:tcBorders>
              <w:top w:val="nil"/>
              <w:bottom w:val="nil"/>
            </w:tcBorders>
            <w:shd w:val="clear" w:color="000000" w:fill="auto"/>
            <w:vAlign w:val="bottom"/>
          </w:tcPr>
          <w:p w14:paraId="434B9728"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253</w:t>
            </w:r>
          </w:p>
        </w:tc>
      </w:tr>
      <w:tr w:rsidR="005A697A" w:rsidRPr="0020519C" w14:paraId="3DC0BEF6" w14:textId="77777777" w:rsidTr="00215BA1">
        <w:trPr>
          <w:tblHeader/>
        </w:trPr>
        <w:tc>
          <w:tcPr>
            <w:tcW w:w="8505" w:type="dxa"/>
            <w:tcBorders>
              <w:bottom w:val="nil"/>
            </w:tcBorders>
            <w:shd w:val="clear" w:color="auto" w:fill="E6E6E6"/>
            <w:vAlign w:val="bottom"/>
          </w:tcPr>
          <w:p w14:paraId="09A762E5"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Michele Lemmens</w:t>
            </w:r>
          </w:p>
        </w:tc>
        <w:tc>
          <w:tcPr>
            <w:tcW w:w="1276" w:type="dxa"/>
            <w:tcBorders>
              <w:bottom w:val="nil"/>
            </w:tcBorders>
            <w:shd w:val="clear" w:color="auto" w:fill="E6E6E6"/>
            <w:vAlign w:val="bottom"/>
          </w:tcPr>
          <w:p w14:paraId="7589AD0D"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187</w:t>
            </w:r>
          </w:p>
        </w:tc>
      </w:tr>
      <w:tr w:rsidR="005A697A" w:rsidRPr="0020519C" w14:paraId="7C93FFEE" w14:textId="77777777" w:rsidTr="003923B0">
        <w:trPr>
          <w:tblHeader/>
        </w:trPr>
        <w:tc>
          <w:tcPr>
            <w:tcW w:w="8505" w:type="dxa"/>
            <w:tcBorders>
              <w:top w:val="nil"/>
              <w:bottom w:val="nil"/>
            </w:tcBorders>
            <w:shd w:val="clear" w:color="000000" w:fill="auto"/>
            <w:vAlign w:val="bottom"/>
          </w:tcPr>
          <w:p w14:paraId="266ACB4B"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Microsoft</w:t>
            </w:r>
          </w:p>
        </w:tc>
        <w:tc>
          <w:tcPr>
            <w:tcW w:w="1276" w:type="dxa"/>
            <w:tcBorders>
              <w:top w:val="nil"/>
              <w:bottom w:val="nil"/>
            </w:tcBorders>
            <w:shd w:val="clear" w:color="000000" w:fill="auto"/>
            <w:vAlign w:val="bottom"/>
          </w:tcPr>
          <w:p w14:paraId="6A05D39C"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230</w:t>
            </w:r>
          </w:p>
        </w:tc>
      </w:tr>
      <w:tr w:rsidR="005A697A" w:rsidRPr="0020519C" w14:paraId="0B3F2D7C" w14:textId="77777777" w:rsidTr="00215BA1">
        <w:trPr>
          <w:tblHeader/>
        </w:trPr>
        <w:tc>
          <w:tcPr>
            <w:tcW w:w="8505" w:type="dxa"/>
            <w:tcBorders>
              <w:bottom w:val="nil"/>
            </w:tcBorders>
            <w:shd w:val="clear" w:color="auto" w:fill="E6E6E6"/>
            <w:vAlign w:val="bottom"/>
          </w:tcPr>
          <w:p w14:paraId="54CE3BC1"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Military and Emergency Services Health Australia (MESHA)</w:t>
            </w:r>
          </w:p>
        </w:tc>
        <w:tc>
          <w:tcPr>
            <w:tcW w:w="1276" w:type="dxa"/>
            <w:tcBorders>
              <w:bottom w:val="nil"/>
            </w:tcBorders>
            <w:shd w:val="clear" w:color="auto" w:fill="E6E6E6"/>
            <w:vAlign w:val="bottom"/>
          </w:tcPr>
          <w:p w14:paraId="06D74358"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99</w:t>
            </w:r>
          </w:p>
        </w:tc>
      </w:tr>
      <w:tr w:rsidR="005A697A" w:rsidRPr="0020519C" w14:paraId="3D763CC0" w14:textId="77777777" w:rsidTr="003923B0">
        <w:trPr>
          <w:tblHeader/>
        </w:trPr>
        <w:tc>
          <w:tcPr>
            <w:tcW w:w="8505" w:type="dxa"/>
            <w:tcBorders>
              <w:top w:val="nil"/>
              <w:bottom w:val="nil"/>
            </w:tcBorders>
            <w:shd w:val="clear" w:color="000000" w:fill="auto"/>
            <w:vAlign w:val="bottom"/>
          </w:tcPr>
          <w:p w14:paraId="11C0AF76"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Minderoo Foundation, Thrive by Five</w:t>
            </w:r>
          </w:p>
        </w:tc>
        <w:tc>
          <w:tcPr>
            <w:tcW w:w="1276" w:type="dxa"/>
            <w:tcBorders>
              <w:top w:val="nil"/>
              <w:bottom w:val="nil"/>
            </w:tcBorders>
            <w:shd w:val="clear" w:color="000000" w:fill="auto"/>
            <w:vAlign w:val="bottom"/>
          </w:tcPr>
          <w:p w14:paraId="28180B4C"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145</w:t>
            </w:r>
          </w:p>
        </w:tc>
      </w:tr>
      <w:tr w:rsidR="005A697A" w:rsidRPr="0020519C" w14:paraId="2CB082BC" w14:textId="77777777" w:rsidTr="00215BA1">
        <w:trPr>
          <w:tblHeader/>
        </w:trPr>
        <w:tc>
          <w:tcPr>
            <w:tcW w:w="8505" w:type="dxa"/>
            <w:tcBorders>
              <w:bottom w:val="nil"/>
            </w:tcBorders>
            <w:shd w:val="clear" w:color="auto" w:fill="E6E6E6"/>
            <w:vAlign w:val="bottom"/>
          </w:tcPr>
          <w:p w14:paraId="7C0558EE"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Mission Australia</w:t>
            </w:r>
          </w:p>
        </w:tc>
        <w:tc>
          <w:tcPr>
            <w:tcW w:w="1276" w:type="dxa"/>
            <w:tcBorders>
              <w:bottom w:val="nil"/>
            </w:tcBorders>
            <w:shd w:val="clear" w:color="auto" w:fill="E6E6E6"/>
            <w:vAlign w:val="bottom"/>
          </w:tcPr>
          <w:p w14:paraId="743191BA"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153</w:t>
            </w:r>
          </w:p>
        </w:tc>
      </w:tr>
      <w:tr w:rsidR="005A697A" w:rsidRPr="0020519C" w14:paraId="27211A30" w14:textId="77777777" w:rsidTr="003923B0">
        <w:trPr>
          <w:tblHeader/>
        </w:trPr>
        <w:tc>
          <w:tcPr>
            <w:tcW w:w="8505" w:type="dxa"/>
            <w:tcBorders>
              <w:top w:val="nil"/>
              <w:bottom w:val="nil"/>
            </w:tcBorders>
            <w:shd w:val="clear" w:color="000000" w:fill="auto"/>
            <w:vAlign w:val="bottom"/>
          </w:tcPr>
          <w:p w14:paraId="0A942B02"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Murrumbidgee Local Health District and Murrumbidgee Primary Health Network (MLHD/MPHN)</w:t>
            </w:r>
          </w:p>
        </w:tc>
        <w:tc>
          <w:tcPr>
            <w:tcW w:w="1276" w:type="dxa"/>
            <w:tcBorders>
              <w:top w:val="nil"/>
              <w:bottom w:val="nil"/>
            </w:tcBorders>
            <w:shd w:val="clear" w:color="000000" w:fill="auto"/>
            <w:vAlign w:val="bottom"/>
          </w:tcPr>
          <w:p w14:paraId="7142B4DB"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240</w:t>
            </w:r>
          </w:p>
        </w:tc>
      </w:tr>
      <w:tr w:rsidR="005A697A" w:rsidRPr="0020519C" w14:paraId="301FBFAF" w14:textId="77777777" w:rsidTr="00215BA1">
        <w:trPr>
          <w:tblHeader/>
        </w:trPr>
        <w:tc>
          <w:tcPr>
            <w:tcW w:w="8505" w:type="dxa"/>
            <w:tcBorders>
              <w:bottom w:val="nil"/>
            </w:tcBorders>
            <w:shd w:val="clear" w:color="auto" w:fill="E6E6E6"/>
            <w:vAlign w:val="bottom"/>
          </w:tcPr>
          <w:p w14:paraId="3BF67B2E" w14:textId="77777777" w:rsidR="005A697A" w:rsidRPr="00F96886" w:rsidRDefault="005A697A">
            <w:pPr>
              <w:pStyle w:val="TableHeading"/>
              <w:spacing w:before="45" w:after="45"/>
              <w:ind w:right="108"/>
              <w:rPr>
                <w:rFonts w:ascii="Arial (Body)" w:hAnsi="Arial (Body)"/>
                <w:b w:val="0"/>
                <w:bCs/>
                <w:color w:val="auto"/>
              </w:rPr>
            </w:pPr>
            <w:proofErr w:type="spellStart"/>
            <w:r w:rsidRPr="00E04760">
              <w:rPr>
                <w:rFonts w:ascii="Arial (Body)" w:hAnsi="Arial (Body)"/>
                <w:b w:val="0"/>
                <w:bCs/>
                <w:color w:val="auto"/>
              </w:rPr>
              <w:t>MYSKILLSmanager</w:t>
            </w:r>
            <w:proofErr w:type="spellEnd"/>
          </w:p>
        </w:tc>
        <w:tc>
          <w:tcPr>
            <w:tcW w:w="1276" w:type="dxa"/>
            <w:tcBorders>
              <w:bottom w:val="nil"/>
            </w:tcBorders>
            <w:shd w:val="clear" w:color="auto" w:fill="E6E6E6"/>
            <w:vAlign w:val="bottom"/>
          </w:tcPr>
          <w:p w14:paraId="79E06215"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192</w:t>
            </w:r>
          </w:p>
        </w:tc>
      </w:tr>
      <w:tr w:rsidR="005A697A" w:rsidRPr="0020519C" w14:paraId="14E72C40" w14:textId="77777777" w:rsidTr="003923B0">
        <w:trPr>
          <w:tblHeader/>
        </w:trPr>
        <w:tc>
          <w:tcPr>
            <w:tcW w:w="8505" w:type="dxa"/>
            <w:tcBorders>
              <w:top w:val="nil"/>
              <w:bottom w:val="nil"/>
            </w:tcBorders>
            <w:shd w:val="clear" w:color="000000" w:fill="auto"/>
            <w:vAlign w:val="bottom"/>
          </w:tcPr>
          <w:p w14:paraId="4D096062"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Natalie Winter</w:t>
            </w:r>
          </w:p>
        </w:tc>
        <w:tc>
          <w:tcPr>
            <w:tcW w:w="1276" w:type="dxa"/>
            <w:tcBorders>
              <w:top w:val="nil"/>
              <w:bottom w:val="nil"/>
            </w:tcBorders>
            <w:shd w:val="clear" w:color="000000" w:fill="auto"/>
            <w:vAlign w:val="bottom"/>
          </w:tcPr>
          <w:p w14:paraId="7BC37833"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189</w:t>
            </w:r>
          </w:p>
        </w:tc>
      </w:tr>
      <w:tr w:rsidR="005A697A" w:rsidRPr="0020519C" w14:paraId="50F60089" w14:textId="77777777" w:rsidTr="00215BA1">
        <w:trPr>
          <w:tblHeader/>
        </w:trPr>
        <w:tc>
          <w:tcPr>
            <w:tcW w:w="8505" w:type="dxa"/>
            <w:tcBorders>
              <w:bottom w:val="nil"/>
            </w:tcBorders>
            <w:shd w:val="clear" w:color="auto" w:fill="E6E6E6"/>
            <w:vAlign w:val="bottom"/>
          </w:tcPr>
          <w:p w14:paraId="03994023"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National Aboriginal Community Controlled Health Organisation (NACCHO)</w:t>
            </w:r>
          </w:p>
        </w:tc>
        <w:tc>
          <w:tcPr>
            <w:tcW w:w="1276" w:type="dxa"/>
            <w:tcBorders>
              <w:bottom w:val="nil"/>
            </w:tcBorders>
            <w:shd w:val="clear" w:color="auto" w:fill="E6E6E6"/>
            <w:vAlign w:val="bottom"/>
          </w:tcPr>
          <w:p w14:paraId="293E2AA0"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32, 215</w:t>
            </w:r>
          </w:p>
        </w:tc>
      </w:tr>
      <w:tr w:rsidR="005A697A" w:rsidRPr="0020519C" w14:paraId="2B78076F" w14:textId="77777777" w:rsidTr="003923B0">
        <w:trPr>
          <w:tblHeader/>
        </w:trPr>
        <w:tc>
          <w:tcPr>
            <w:tcW w:w="8505" w:type="dxa"/>
            <w:tcBorders>
              <w:top w:val="nil"/>
              <w:bottom w:val="nil"/>
            </w:tcBorders>
            <w:shd w:val="clear" w:color="000000" w:fill="auto"/>
            <w:vAlign w:val="bottom"/>
          </w:tcPr>
          <w:p w14:paraId="087F5B65"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National Disability Services (NDS)</w:t>
            </w:r>
          </w:p>
        </w:tc>
        <w:tc>
          <w:tcPr>
            <w:tcW w:w="1276" w:type="dxa"/>
            <w:tcBorders>
              <w:top w:val="nil"/>
              <w:bottom w:val="nil"/>
            </w:tcBorders>
            <w:shd w:val="clear" w:color="000000" w:fill="auto"/>
            <w:vAlign w:val="bottom"/>
          </w:tcPr>
          <w:p w14:paraId="18E1DA15"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241</w:t>
            </w:r>
          </w:p>
        </w:tc>
      </w:tr>
      <w:tr w:rsidR="005A697A" w:rsidRPr="0020519C" w14:paraId="41D83131" w14:textId="77777777" w:rsidTr="00215BA1">
        <w:trPr>
          <w:tblHeader/>
        </w:trPr>
        <w:tc>
          <w:tcPr>
            <w:tcW w:w="8505" w:type="dxa"/>
            <w:tcBorders>
              <w:bottom w:val="nil"/>
            </w:tcBorders>
            <w:shd w:val="clear" w:color="auto" w:fill="E6E6E6"/>
            <w:vAlign w:val="bottom"/>
          </w:tcPr>
          <w:p w14:paraId="36C202D1"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National Eating Disorders Collaboration (NEDC)</w:t>
            </w:r>
          </w:p>
        </w:tc>
        <w:tc>
          <w:tcPr>
            <w:tcW w:w="1276" w:type="dxa"/>
            <w:tcBorders>
              <w:bottom w:val="nil"/>
            </w:tcBorders>
            <w:shd w:val="clear" w:color="auto" w:fill="E6E6E6"/>
            <w:vAlign w:val="bottom"/>
          </w:tcPr>
          <w:p w14:paraId="4BF2EF6E"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66</w:t>
            </w:r>
          </w:p>
        </w:tc>
      </w:tr>
      <w:tr w:rsidR="005A697A" w:rsidRPr="0020519C" w14:paraId="2DA04651" w14:textId="77777777" w:rsidTr="003923B0">
        <w:trPr>
          <w:tblHeader/>
        </w:trPr>
        <w:tc>
          <w:tcPr>
            <w:tcW w:w="8505" w:type="dxa"/>
            <w:tcBorders>
              <w:top w:val="nil"/>
              <w:bottom w:val="nil"/>
            </w:tcBorders>
            <w:shd w:val="clear" w:color="000000" w:fill="auto"/>
            <w:vAlign w:val="bottom"/>
          </w:tcPr>
          <w:p w14:paraId="1DE403AA"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National Growth Areas Alliance (NGAA)</w:t>
            </w:r>
          </w:p>
        </w:tc>
        <w:tc>
          <w:tcPr>
            <w:tcW w:w="1276" w:type="dxa"/>
            <w:tcBorders>
              <w:top w:val="nil"/>
              <w:bottom w:val="nil"/>
            </w:tcBorders>
            <w:shd w:val="clear" w:color="000000" w:fill="auto"/>
            <w:vAlign w:val="bottom"/>
          </w:tcPr>
          <w:p w14:paraId="4F6D4296"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222</w:t>
            </w:r>
          </w:p>
        </w:tc>
      </w:tr>
      <w:tr w:rsidR="005A697A" w:rsidRPr="0020519C" w14:paraId="22AAA5B7" w14:textId="77777777" w:rsidTr="00215BA1">
        <w:trPr>
          <w:tblHeader/>
        </w:trPr>
        <w:tc>
          <w:tcPr>
            <w:tcW w:w="8505" w:type="dxa"/>
            <w:tcBorders>
              <w:bottom w:val="nil"/>
            </w:tcBorders>
            <w:shd w:val="clear" w:color="auto" w:fill="E6E6E6"/>
            <w:vAlign w:val="bottom"/>
          </w:tcPr>
          <w:p w14:paraId="78B65263"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National Rural Health Alliance (NRHA)</w:t>
            </w:r>
          </w:p>
        </w:tc>
        <w:tc>
          <w:tcPr>
            <w:tcW w:w="1276" w:type="dxa"/>
            <w:tcBorders>
              <w:bottom w:val="nil"/>
            </w:tcBorders>
            <w:shd w:val="clear" w:color="auto" w:fill="E6E6E6"/>
            <w:vAlign w:val="bottom"/>
          </w:tcPr>
          <w:p w14:paraId="05838C51"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178</w:t>
            </w:r>
          </w:p>
        </w:tc>
      </w:tr>
      <w:tr w:rsidR="005A697A" w:rsidRPr="0020519C" w14:paraId="63350E6C" w14:textId="77777777" w:rsidTr="003923B0">
        <w:trPr>
          <w:tblHeader/>
        </w:trPr>
        <w:tc>
          <w:tcPr>
            <w:tcW w:w="8505" w:type="dxa"/>
            <w:tcBorders>
              <w:top w:val="nil"/>
              <w:bottom w:val="nil"/>
            </w:tcBorders>
            <w:shd w:val="clear" w:color="000000" w:fill="auto"/>
            <w:vAlign w:val="bottom"/>
          </w:tcPr>
          <w:p w14:paraId="07A4305B" w14:textId="77777777" w:rsidR="005A697A" w:rsidRPr="00F96886" w:rsidRDefault="005A697A">
            <w:pPr>
              <w:pStyle w:val="TableHeading"/>
              <w:spacing w:before="45" w:after="45"/>
              <w:ind w:right="108"/>
              <w:rPr>
                <w:rFonts w:ascii="Arial (Body)" w:hAnsi="Arial (Body)"/>
                <w:b w:val="0"/>
                <w:bCs/>
                <w:color w:val="auto"/>
              </w:rPr>
            </w:pPr>
            <w:r>
              <w:rPr>
                <w:rFonts w:ascii="Arial (Body)" w:hAnsi="Arial (Body)"/>
                <w:b w:val="0"/>
                <w:bCs/>
                <w:color w:val="auto"/>
              </w:rPr>
              <w:t>NDIS Quality and Safeguards Commission (NDIS Commission)</w:t>
            </w:r>
          </w:p>
        </w:tc>
        <w:tc>
          <w:tcPr>
            <w:tcW w:w="1276" w:type="dxa"/>
            <w:tcBorders>
              <w:top w:val="nil"/>
              <w:bottom w:val="nil"/>
            </w:tcBorders>
            <w:shd w:val="clear" w:color="000000" w:fill="auto"/>
            <w:vAlign w:val="bottom"/>
          </w:tcPr>
          <w:p w14:paraId="40DFC27D" w14:textId="77777777" w:rsidR="005A697A" w:rsidRPr="00F96886" w:rsidRDefault="005A697A">
            <w:pPr>
              <w:pStyle w:val="TableHeading"/>
              <w:spacing w:before="45" w:after="45"/>
              <w:ind w:right="108"/>
              <w:jc w:val="right"/>
              <w:rPr>
                <w:rFonts w:ascii="Arial (Body)" w:hAnsi="Arial (Body)"/>
                <w:b w:val="0"/>
                <w:bCs/>
                <w:color w:val="auto"/>
              </w:rPr>
            </w:pPr>
            <w:r>
              <w:rPr>
                <w:rFonts w:ascii="Arial (Body)" w:hAnsi="Arial (Body)"/>
                <w:b w:val="0"/>
                <w:bCs/>
                <w:color w:val="auto"/>
              </w:rPr>
              <w:t>258</w:t>
            </w:r>
          </w:p>
        </w:tc>
      </w:tr>
      <w:tr w:rsidR="005A697A" w:rsidRPr="0020519C" w14:paraId="2799159F" w14:textId="77777777" w:rsidTr="00215BA1">
        <w:trPr>
          <w:tblHeader/>
        </w:trPr>
        <w:tc>
          <w:tcPr>
            <w:tcW w:w="8505" w:type="dxa"/>
            <w:tcBorders>
              <w:bottom w:val="nil"/>
            </w:tcBorders>
            <w:shd w:val="clear" w:color="auto" w:fill="E6E6E6"/>
            <w:vAlign w:val="bottom"/>
          </w:tcPr>
          <w:p w14:paraId="05773D59" w14:textId="77777777" w:rsidR="005A697A" w:rsidRPr="00F96886" w:rsidRDefault="005A697A">
            <w:pPr>
              <w:pStyle w:val="TableHeading"/>
              <w:spacing w:before="45" w:after="45"/>
              <w:ind w:right="108"/>
              <w:rPr>
                <w:rFonts w:ascii="Arial (Body)" w:hAnsi="Arial (Body)"/>
                <w:b w:val="0"/>
                <w:bCs/>
                <w:color w:val="auto"/>
              </w:rPr>
            </w:pPr>
            <w:proofErr w:type="spellStart"/>
            <w:r w:rsidRPr="00E04760">
              <w:rPr>
                <w:rFonts w:ascii="Arial (Body)" w:hAnsi="Arial (Body)"/>
                <w:b w:val="0"/>
                <w:bCs/>
                <w:color w:val="auto"/>
              </w:rPr>
              <w:t>NewDirection</w:t>
            </w:r>
            <w:proofErr w:type="spellEnd"/>
            <w:r w:rsidRPr="00E04760">
              <w:rPr>
                <w:rFonts w:ascii="Arial (Body)" w:hAnsi="Arial (Body)"/>
                <w:b w:val="0"/>
                <w:bCs/>
                <w:color w:val="auto"/>
              </w:rPr>
              <w:t xml:space="preserve"> Care </w:t>
            </w:r>
          </w:p>
        </w:tc>
        <w:tc>
          <w:tcPr>
            <w:tcW w:w="1276" w:type="dxa"/>
            <w:tcBorders>
              <w:bottom w:val="nil"/>
            </w:tcBorders>
            <w:shd w:val="clear" w:color="auto" w:fill="E6E6E6"/>
            <w:vAlign w:val="bottom"/>
          </w:tcPr>
          <w:p w14:paraId="4A793954"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9</w:t>
            </w:r>
          </w:p>
        </w:tc>
      </w:tr>
      <w:tr w:rsidR="005A697A" w:rsidRPr="0020519C" w14:paraId="1AC143CD" w14:textId="77777777" w:rsidTr="003923B0">
        <w:trPr>
          <w:tblHeader/>
        </w:trPr>
        <w:tc>
          <w:tcPr>
            <w:tcW w:w="8505" w:type="dxa"/>
            <w:tcBorders>
              <w:top w:val="nil"/>
              <w:bottom w:val="nil"/>
            </w:tcBorders>
            <w:shd w:val="clear" w:color="000000" w:fill="auto"/>
            <w:vAlign w:val="bottom"/>
          </w:tcPr>
          <w:p w14:paraId="36DF40E4"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NSW Council of Social Service &amp; Australian Council of Social Service (NCOSS &amp; ACOSS)</w:t>
            </w:r>
          </w:p>
        </w:tc>
        <w:tc>
          <w:tcPr>
            <w:tcW w:w="1276" w:type="dxa"/>
            <w:tcBorders>
              <w:top w:val="nil"/>
              <w:bottom w:val="nil"/>
            </w:tcBorders>
            <w:shd w:val="clear" w:color="000000" w:fill="auto"/>
            <w:vAlign w:val="bottom"/>
          </w:tcPr>
          <w:p w14:paraId="2DC93349"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169</w:t>
            </w:r>
          </w:p>
        </w:tc>
      </w:tr>
      <w:tr w:rsidR="005A697A" w:rsidRPr="0020519C" w14:paraId="6D62FDB2" w14:textId="77777777" w:rsidTr="00215BA1">
        <w:trPr>
          <w:tblHeader/>
        </w:trPr>
        <w:tc>
          <w:tcPr>
            <w:tcW w:w="8505" w:type="dxa"/>
            <w:tcBorders>
              <w:bottom w:val="nil"/>
            </w:tcBorders>
            <w:shd w:val="clear" w:color="auto" w:fill="E6E6E6"/>
            <w:vAlign w:val="bottom"/>
          </w:tcPr>
          <w:p w14:paraId="0352BF81"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Palliative Care Australia</w:t>
            </w:r>
          </w:p>
        </w:tc>
        <w:tc>
          <w:tcPr>
            <w:tcW w:w="1276" w:type="dxa"/>
            <w:tcBorders>
              <w:bottom w:val="nil"/>
            </w:tcBorders>
            <w:shd w:val="clear" w:color="auto" w:fill="E6E6E6"/>
            <w:vAlign w:val="bottom"/>
          </w:tcPr>
          <w:p w14:paraId="18897BE7"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72</w:t>
            </w:r>
          </w:p>
        </w:tc>
      </w:tr>
      <w:tr w:rsidR="005A697A" w:rsidRPr="0020519C" w14:paraId="2862BA94" w14:textId="77777777" w:rsidTr="003923B0">
        <w:trPr>
          <w:tblHeader/>
        </w:trPr>
        <w:tc>
          <w:tcPr>
            <w:tcW w:w="8505" w:type="dxa"/>
            <w:tcBorders>
              <w:top w:val="nil"/>
              <w:bottom w:val="nil"/>
            </w:tcBorders>
            <w:shd w:val="clear" w:color="000000" w:fill="auto"/>
            <w:vAlign w:val="bottom"/>
          </w:tcPr>
          <w:p w14:paraId="09AB9007"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Penelope and Ben Clark</w:t>
            </w:r>
          </w:p>
        </w:tc>
        <w:tc>
          <w:tcPr>
            <w:tcW w:w="1276" w:type="dxa"/>
            <w:tcBorders>
              <w:top w:val="nil"/>
              <w:bottom w:val="nil"/>
            </w:tcBorders>
            <w:shd w:val="clear" w:color="000000" w:fill="auto"/>
            <w:vAlign w:val="bottom"/>
          </w:tcPr>
          <w:p w14:paraId="15C1017C"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101</w:t>
            </w:r>
          </w:p>
        </w:tc>
      </w:tr>
      <w:tr w:rsidR="005A697A" w:rsidRPr="0020519C" w14:paraId="05A13059" w14:textId="77777777" w:rsidTr="00215BA1">
        <w:trPr>
          <w:tblHeader/>
        </w:trPr>
        <w:tc>
          <w:tcPr>
            <w:tcW w:w="8505" w:type="dxa"/>
            <w:tcBorders>
              <w:bottom w:val="nil"/>
            </w:tcBorders>
            <w:shd w:val="clear" w:color="auto" w:fill="E6E6E6"/>
            <w:vAlign w:val="bottom"/>
          </w:tcPr>
          <w:p w14:paraId="6E9C9302" w14:textId="77777777" w:rsidR="005A697A" w:rsidRPr="00F96886"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People with Disability Australia (PWDA)</w:t>
            </w:r>
          </w:p>
        </w:tc>
        <w:tc>
          <w:tcPr>
            <w:tcW w:w="1276" w:type="dxa"/>
            <w:tcBorders>
              <w:bottom w:val="nil"/>
            </w:tcBorders>
            <w:shd w:val="clear" w:color="auto" w:fill="E6E6E6"/>
            <w:vAlign w:val="bottom"/>
          </w:tcPr>
          <w:p w14:paraId="07C0AC5D" w14:textId="77777777" w:rsidR="005A697A" w:rsidRPr="00F96886"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93</w:t>
            </w:r>
          </w:p>
        </w:tc>
      </w:tr>
      <w:tr w:rsidR="005A697A" w:rsidRPr="0020519C" w14:paraId="2AEF9E24" w14:textId="77777777" w:rsidTr="003923B0">
        <w:trPr>
          <w:tblHeader/>
        </w:trPr>
        <w:tc>
          <w:tcPr>
            <w:tcW w:w="8505" w:type="dxa"/>
            <w:tcBorders>
              <w:bottom w:val="single" w:sz="4" w:space="0" w:color="BFBFBF" w:themeColor="background1" w:themeShade="BF"/>
            </w:tcBorders>
            <w:shd w:val="clear" w:color="000000" w:fill="FFFFFF" w:themeFill="background1"/>
            <w:vAlign w:val="bottom"/>
          </w:tcPr>
          <w:p w14:paraId="13C88187" w14:textId="77777777" w:rsidR="005A697A" w:rsidRPr="00E04760"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Pfizer Australia and New Zealand</w:t>
            </w:r>
          </w:p>
        </w:tc>
        <w:tc>
          <w:tcPr>
            <w:tcW w:w="1276" w:type="dxa"/>
            <w:tcBorders>
              <w:bottom w:val="single" w:sz="4" w:space="0" w:color="BFBFBF" w:themeColor="background1" w:themeShade="BF"/>
            </w:tcBorders>
            <w:shd w:val="clear" w:color="000000" w:fill="FFFFFF" w:themeFill="background1"/>
            <w:vAlign w:val="bottom"/>
          </w:tcPr>
          <w:p w14:paraId="0E1DDE8E" w14:textId="77777777" w:rsidR="005A697A" w:rsidRPr="00E04760"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194</w:t>
            </w:r>
          </w:p>
        </w:tc>
      </w:tr>
    </w:tbl>
    <w:p w14:paraId="45929987" w14:textId="77777777" w:rsidR="005A697A" w:rsidRPr="003923B0" w:rsidRDefault="005A697A" w:rsidP="003923B0">
      <w:pPr>
        <w:pStyle w:val="BodyText"/>
      </w:pP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364"/>
        <w:gridCol w:w="1417"/>
      </w:tblGrid>
      <w:tr w:rsidR="005A697A" w:rsidRPr="005D7EA5" w14:paraId="3F436D5F" w14:textId="77777777" w:rsidTr="003923B0">
        <w:trPr>
          <w:tblHeader/>
        </w:trPr>
        <w:tc>
          <w:tcPr>
            <w:tcW w:w="8364" w:type="dxa"/>
            <w:tcBorders>
              <w:bottom w:val="single" w:sz="4" w:space="0" w:color="B3B3B3"/>
            </w:tcBorders>
            <w:shd w:val="clear" w:color="000000" w:fill="auto"/>
            <w:vAlign w:val="bottom"/>
          </w:tcPr>
          <w:p w14:paraId="2418B0B4" w14:textId="77777777" w:rsidR="005A697A" w:rsidRPr="005D7EA5" w:rsidRDefault="005A697A">
            <w:pPr>
              <w:pStyle w:val="TableHeading"/>
              <w:spacing w:before="45" w:after="45"/>
              <w:ind w:right="108"/>
              <w:rPr>
                <w:rFonts w:ascii="Arial (Body)" w:hAnsi="Arial (Body)"/>
                <w:color w:val="265A9A"/>
              </w:rPr>
            </w:pPr>
            <w:r w:rsidRPr="005D7EA5">
              <w:rPr>
                <w:rFonts w:ascii="Arial (Body)" w:hAnsi="Arial (Body)"/>
                <w:color w:val="265A9A"/>
              </w:rPr>
              <w:lastRenderedPageBreak/>
              <w:t>Participants</w:t>
            </w:r>
          </w:p>
        </w:tc>
        <w:tc>
          <w:tcPr>
            <w:tcW w:w="1417" w:type="dxa"/>
            <w:tcBorders>
              <w:bottom w:val="single" w:sz="4" w:space="0" w:color="B3B3B3"/>
            </w:tcBorders>
            <w:shd w:val="clear" w:color="000000" w:fill="auto"/>
            <w:vAlign w:val="bottom"/>
          </w:tcPr>
          <w:p w14:paraId="623FA901" w14:textId="77777777" w:rsidR="005A697A" w:rsidRPr="005D7EA5" w:rsidRDefault="005A697A" w:rsidP="003923B0">
            <w:pPr>
              <w:pStyle w:val="TableHeading"/>
              <w:spacing w:before="45" w:after="45"/>
              <w:ind w:right="108"/>
              <w:jc w:val="right"/>
              <w:rPr>
                <w:rFonts w:ascii="Arial (Body)" w:hAnsi="Arial (Body)"/>
                <w:color w:val="265A9A"/>
              </w:rPr>
            </w:pPr>
            <w:r w:rsidRPr="005D7EA5">
              <w:rPr>
                <w:rFonts w:ascii="Arial (Body)" w:hAnsi="Arial (Body)"/>
                <w:color w:val="265A9A"/>
              </w:rPr>
              <w:t>Sub no.</w:t>
            </w:r>
          </w:p>
        </w:tc>
      </w:tr>
      <w:tr w:rsidR="005A697A" w:rsidRPr="005D7EA5" w14:paraId="7AE8FBB7" w14:textId="77777777" w:rsidTr="00215BA1">
        <w:trPr>
          <w:tblHeader/>
        </w:trPr>
        <w:tc>
          <w:tcPr>
            <w:tcW w:w="8364" w:type="dxa"/>
            <w:tcBorders>
              <w:top w:val="single" w:sz="4" w:space="0" w:color="B3B3B3"/>
              <w:bottom w:val="nil"/>
            </w:tcBorders>
            <w:shd w:val="clear" w:color="auto" w:fill="E6E6E6"/>
            <w:vAlign w:val="bottom"/>
          </w:tcPr>
          <w:p w14:paraId="18C79F78"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Planetary Health Equity Hothouse (ANU)</w:t>
            </w:r>
          </w:p>
        </w:tc>
        <w:tc>
          <w:tcPr>
            <w:tcW w:w="1417" w:type="dxa"/>
            <w:tcBorders>
              <w:top w:val="single" w:sz="4" w:space="0" w:color="B3B3B3"/>
              <w:bottom w:val="nil"/>
            </w:tcBorders>
            <w:shd w:val="clear" w:color="auto" w:fill="E6E6E6"/>
            <w:vAlign w:val="bottom"/>
          </w:tcPr>
          <w:p w14:paraId="3D3D7CC9"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118</w:t>
            </w:r>
          </w:p>
        </w:tc>
      </w:tr>
      <w:tr w:rsidR="005A697A" w:rsidRPr="005D7EA5" w14:paraId="077BFB2A" w14:textId="77777777" w:rsidTr="003923B0">
        <w:trPr>
          <w:tblHeader/>
        </w:trPr>
        <w:tc>
          <w:tcPr>
            <w:tcW w:w="8364" w:type="dxa"/>
            <w:tcBorders>
              <w:top w:val="nil"/>
              <w:bottom w:val="nil"/>
            </w:tcBorders>
            <w:shd w:val="clear" w:color="000000" w:fill="auto"/>
            <w:vAlign w:val="bottom"/>
          </w:tcPr>
          <w:p w14:paraId="570D8D5F"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Playgroup Australia</w:t>
            </w:r>
          </w:p>
        </w:tc>
        <w:tc>
          <w:tcPr>
            <w:tcW w:w="1417" w:type="dxa"/>
            <w:tcBorders>
              <w:top w:val="nil"/>
              <w:bottom w:val="nil"/>
            </w:tcBorders>
            <w:shd w:val="clear" w:color="000000" w:fill="auto"/>
            <w:vAlign w:val="bottom"/>
          </w:tcPr>
          <w:p w14:paraId="3DF552F3"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96</w:t>
            </w:r>
          </w:p>
        </w:tc>
      </w:tr>
      <w:tr w:rsidR="005A697A" w:rsidRPr="005D7EA5" w14:paraId="2EEFAEE3" w14:textId="77777777" w:rsidTr="00215BA1">
        <w:trPr>
          <w:tblHeader/>
        </w:trPr>
        <w:tc>
          <w:tcPr>
            <w:tcW w:w="8364" w:type="dxa"/>
            <w:tcBorders>
              <w:bottom w:val="nil"/>
            </w:tcBorders>
            <w:shd w:val="clear" w:color="auto" w:fill="E6E6E6"/>
            <w:vAlign w:val="bottom"/>
          </w:tcPr>
          <w:p w14:paraId="3A5F274A" w14:textId="77777777" w:rsidR="005A697A" w:rsidRPr="00702C6C" w:rsidRDefault="005A697A">
            <w:pPr>
              <w:pStyle w:val="TableHeading"/>
              <w:spacing w:before="45" w:after="45"/>
              <w:ind w:right="108"/>
              <w:rPr>
                <w:rFonts w:ascii="Arial (Body)" w:hAnsi="Arial (Body)"/>
                <w:b w:val="0"/>
                <w:bCs/>
                <w:color w:val="auto"/>
              </w:rPr>
            </w:pPr>
            <w:r>
              <w:rPr>
                <w:rFonts w:ascii="Arial (Body)" w:hAnsi="Arial (Body)"/>
                <w:b w:val="0"/>
                <w:bCs/>
                <w:color w:val="auto"/>
              </w:rPr>
              <w:t>P</w:t>
            </w:r>
            <w:r w:rsidRPr="001071F6">
              <w:rPr>
                <w:rFonts w:ascii="Arial (Body)" w:hAnsi="Arial (Body)"/>
                <w:b w:val="0"/>
                <w:bCs/>
                <w:color w:val="auto"/>
              </w:rPr>
              <w:t>HN Cooperative</w:t>
            </w:r>
          </w:p>
        </w:tc>
        <w:tc>
          <w:tcPr>
            <w:tcW w:w="1417" w:type="dxa"/>
            <w:tcBorders>
              <w:bottom w:val="nil"/>
            </w:tcBorders>
            <w:shd w:val="clear" w:color="auto" w:fill="E6E6E6"/>
            <w:vAlign w:val="bottom"/>
          </w:tcPr>
          <w:p w14:paraId="6F732217"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104</w:t>
            </w:r>
          </w:p>
        </w:tc>
      </w:tr>
      <w:tr w:rsidR="005A697A" w:rsidRPr="005D7EA5" w14:paraId="3AC34BFD" w14:textId="77777777" w:rsidTr="003923B0">
        <w:trPr>
          <w:tblHeader/>
        </w:trPr>
        <w:tc>
          <w:tcPr>
            <w:tcW w:w="8364" w:type="dxa"/>
            <w:tcBorders>
              <w:top w:val="nil"/>
              <w:bottom w:val="nil"/>
            </w:tcBorders>
            <w:shd w:val="clear" w:color="000000" w:fill="auto"/>
            <w:vAlign w:val="bottom"/>
          </w:tcPr>
          <w:p w14:paraId="3C150EE9"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Private Healthcare Australia (PHA)</w:t>
            </w:r>
          </w:p>
        </w:tc>
        <w:tc>
          <w:tcPr>
            <w:tcW w:w="1417" w:type="dxa"/>
            <w:tcBorders>
              <w:top w:val="nil"/>
              <w:bottom w:val="nil"/>
            </w:tcBorders>
            <w:shd w:val="clear" w:color="000000" w:fill="auto"/>
            <w:vAlign w:val="bottom"/>
          </w:tcPr>
          <w:p w14:paraId="0EE9CF53"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18</w:t>
            </w:r>
          </w:p>
        </w:tc>
      </w:tr>
      <w:tr w:rsidR="005A697A" w:rsidRPr="005D7EA5" w14:paraId="360A3807" w14:textId="77777777" w:rsidTr="00215BA1">
        <w:trPr>
          <w:tblHeader/>
        </w:trPr>
        <w:tc>
          <w:tcPr>
            <w:tcW w:w="8364" w:type="dxa"/>
            <w:tcBorders>
              <w:bottom w:val="nil"/>
            </w:tcBorders>
            <w:shd w:val="clear" w:color="auto" w:fill="E6E6E6"/>
            <w:vAlign w:val="bottom"/>
          </w:tcPr>
          <w:p w14:paraId="71470286"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Proactive Ageing Pty Ltd</w:t>
            </w:r>
          </w:p>
        </w:tc>
        <w:tc>
          <w:tcPr>
            <w:tcW w:w="1417" w:type="dxa"/>
            <w:tcBorders>
              <w:bottom w:val="nil"/>
            </w:tcBorders>
            <w:shd w:val="clear" w:color="auto" w:fill="E6E6E6"/>
            <w:vAlign w:val="bottom"/>
          </w:tcPr>
          <w:p w14:paraId="4C38B1CF"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38</w:t>
            </w:r>
          </w:p>
        </w:tc>
      </w:tr>
      <w:tr w:rsidR="005A697A" w:rsidRPr="005D7EA5" w14:paraId="2AB8083D" w14:textId="77777777" w:rsidTr="003923B0">
        <w:trPr>
          <w:tblHeader/>
        </w:trPr>
        <w:tc>
          <w:tcPr>
            <w:tcW w:w="8364" w:type="dxa"/>
            <w:tcBorders>
              <w:top w:val="nil"/>
              <w:bottom w:val="nil"/>
            </w:tcBorders>
            <w:shd w:val="clear" w:color="000000" w:fill="auto"/>
            <w:vAlign w:val="bottom"/>
          </w:tcPr>
          <w:p w14:paraId="4114389D"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Public Health Association of Australia (PHAA)</w:t>
            </w:r>
          </w:p>
        </w:tc>
        <w:tc>
          <w:tcPr>
            <w:tcW w:w="1417" w:type="dxa"/>
            <w:tcBorders>
              <w:top w:val="nil"/>
              <w:bottom w:val="nil"/>
            </w:tcBorders>
            <w:shd w:val="clear" w:color="000000" w:fill="auto"/>
            <w:vAlign w:val="bottom"/>
          </w:tcPr>
          <w:p w14:paraId="3FCCB13B"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16, 97</w:t>
            </w:r>
          </w:p>
        </w:tc>
      </w:tr>
      <w:tr w:rsidR="005A697A" w:rsidRPr="005D7EA5" w14:paraId="7CC38E15" w14:textId="77777777" w:rsidTr="00215BA1">
        <w:trPr>
          <w:tblHeader/>
        </w:trPr>
        <w:tc>
          <w:tcPr>
            <w:tcW w:w="8364" w:type="dxa"/>
            <w:tcBorders>
              <w:bottom w:val="nil"/>
            </w:tcBorders>
            <w:shd w:val="clear" w:color="auto" w:fill="E6E6E6"/>
            <w:vAlign w:val="bottom"/>
          </w:tcPr>
          <w:p w14:paraId="7120E3E6"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Public Health Genomics, Monash University</w:t>
            </w:r>
          </w:p>
        </w:tc>
        <w:tc>
          <w:tcPr>
            <w:tcW w:w="1417" w:type="dxa"/>
            <w:tcBorders>
              <w:bottom w:val="nil"/>
            </w:tcBorders>
            <w:shd w:val="clear" w:color="auto" w:fill="E6E6E6"/>
            <w:vAlign w:val="bottom"/>
          </w:tcPr>
          <w:p w14:paraId="15D3E34C"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246</w:t>
            </w:r>
          </w:p>
        </w:tc>
      </w:tr>
      <w:tr w:rsidR="005A697A" w:rsidRPr="005D7EA5" w14:paraId="3127F1D9" w14:textId="77777777" w:rsidTr="003923B0">
        <w:trPr>
          <w:tblHeader/>
        </w:trPr>
        <w:tc>
          <w:tcPr>
            <w:tcW w:w="8364" w:type="dxa"/>
            <w:tcBorders>
              <w:top w:val="nil"/>
              <w:bottom w:val="nil"/>
            </w:tcBorders>
            <w:shd w:val="clear" w:color="000000" w:fill="auto"/>
            <w:vAlign w:val="bottom"/>
          </w:tcPr>
          <w:p w14:paraId="752EB3A9"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Quality for Outcomes (</w:t>
            </w:r>
            <w:proofErr w:type="spellStart"/>
            <w:r w:rsidRPr="00E04760">
              <w:rPr>
                <w:rFonts w:ascii="Arial (Body)" w:hAnsi="Arial (Body)"/>
                <w:b w:val="0"/>
                <w:bCs/>
                <w:color w:val="auto"/>
              </w:rPr>
              <w:t>QfO</w:t>
            </w:r>
            <w:proofErr w:type="spellEnd"/>
            <w:r w:rsidRPr="00E04760">
              <w:rPr>
                <w:rFonts w:ascii="Arial (Body)" w:hAnsi="Arial (Body)"/>
                <w:b w:val="0"/>
                <w:bCs/>
                <w:color w:val="auto"/>
              </w:rPr>
              <w:t>)</w:t>
            </w:r>
          </w:p>
        </w:tc>
        <w:tc>
          <w:tcPr>
            <w:tcW w:w="1417" w:type="dxa"/>
            <w:tcBorders>
              <w:top w:val="nil"/>
              <w:bottom w:val="nil"/>
            </w:tcBorders>
            <w:shd w:val="clear" w:color="000000" w:fill="auto"/>
            <w:vAlign w:val="bottom"/>
          </w:tcPr>
          <w:p w14:paraId="1BAF5A4D"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62</w:t>
            </w:r>
          </w:p>
        </w:tc>
      </w:tr>
      <w:tr w:rsidR="005A697A" w:rsidRPr="005D7EA5" w14:paraId="2859C756" w14:textId="77777777" w:rsidTr="00215BA1">
        <w:trPr>
          <w:tblHeader/>
        </w:trPr>
        <w:tc>
          <w:tcPr>
            <w:tcW w:w="8364" w:type="dxa"/>
            <w:tcBorders>
              <w:bottom w:val="nil"/>
            </w:tcBorders>
            <w:shd w:val="clear" w:color="auto" w:fill="E6E6E6"/>
            <w:vAlign w:val="bottom"/>
          </w:tcPr>
          <w:p w14:paraId="6475DC4F"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Queensland Alliance for Mental Health (QAMH)</w:t>
            </w:r>
          </w:p>
        </w:tc>
        <w:tc>
          <w:tcPr>
            <w:tcW w:w="1417" w:type="dxa"/>
            <w:tcBorders>
              <w:bottom w:val="nil"/>
            </w:tcBorders>
            <w:shd w:val="clear" w:color="auto" w:fill="E6E6E6"/>
            <w:vAlign w:val="bottom"/>
          </w:tcPr>
          <w:p w14:paraId="1891B1AC"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172</w:t>
            </w:r>
          </w:p>
        </w:tc>
      </w:tr>
      <w:tr w:rsidR="005A697A" w:rsidRPr="005D7EA5" w14:paraId="589DDF6B" w14:textId="77777777" w:rsidTr="003923B0">
        <w:trPr>
          <w:tblHeader/>
        </w:trPr>
        <w:tc>
          <w:tcPr>
            <w:tcW w:w="8364" w:type="dxa"/>
            <w:tcBorders>
              <w:top w:val="nil"/>
              <w:bottom w:val="nil"/>
            </w:tcBorders>
            <w:shd w:val="clear" w:color="000000" w:fill="auto"/>
            <w:vAlign w:val="bottom"/>
          </w:tcPr>
          <w:p w14:paraId="1740FC65"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Queensland Health</w:t>
            </w:r>
          </w:p>
        </w:tc>
        <w:tc>
          <w:tcPr>
            <w:tcW w:w="1417" w:type="dxa"/>
            <w:tcBorders>
              <w:top w:val="nil"/>
              <w:bottom w:val="nil"/>
            </w:tcBorders>
            <w:shd w:val="clear" w:color="000000" w:fill="auto"/>
            <w:vAlign w:val="bottom"/>
          </w:tcPr>
          <w:p w14:paraId="331F737A"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116</w:t>
            </w:r>
          </w:p>
        </w:tc>
      </w:tr>
      <w:tr w:rsidR="005A697A" w:rsidRPr="005D7EA5" w14:paraId="5B75170A" w14:textId="77777777" w:rsidTr="00215BA1">
        <w:trPr>
          <w:tblHeader/>
        </w:trPr>
        <w:tc>
          <w:tcPr>
            <w:tcW w:w="8364" w:type="dxa"/>
            <w:tcBorders>
              <w:bottom w:val="nil"/>
            </w:tcBorders>
            <w:shd w:val="clear" w:color="auto" w:fill="E6E6E6"/>
            <w:vAlign w:val="bottom"/>
          </w:tcPr>
          <w:p w14:paraId="3B90EC61"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Queenslanders With Disability Network (QDN)</w:t>
            </w:r>
          </w:p>
        </w:tc>
        <w:tc>
          <w:tcPr>
            <w:tcW w:w="1417" w:type="dxa"/>
            <w:tcBorders>
              <w:bottom w:val="nil"/>
            </w:tcBorders>
            <w:shd w:val="clear" w:color="auto" w:fill="E6E6E6"/>
            <w:vAlign w:val="bottom"/>
          </w:tcPr>
          <w:p w14:paraId="41C91D47"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149</w:t>
            </w:r>
          </w:p>
        </w:tc>
      </w:tr>
      <w:tr w:rsidR="005A697A" w:rsidRPr="005D7EA5" w14:paraId="6E73892B" w14:textId="77777777" w:rsidTr="003923B0">
        <w:trPr>
          <w:tblHeader/>
        </w:trPr>
        <w:tc>
          <w:tcPr>
            <w:tcW w:w="8364" w:type="dxa"/>
            <w:tcBorders>
              <w:top w:val="nil"/>
              <w:bottom w:val="nil"/>
            </w:tcBorders>
            <w:shd w:val="clear" w:color="000000" w:fill="auto"/>
            <w:vAlign w:val="bottom"/>
          </w:tcPr>
          <w:p w14:paraId="3601CA34"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Raymond Bange</w:t>
            </w:r>
          </w:p>
        </w:tc>
        <w:tc>
          <w:tcPr>
            <w:tcW w:w="1417" w:type="dxa"/>
            <w:tcBorders>
              <w:top w:val="nil"/>
              <w:bottom w:val="nil"/>
            </w:tcBorders>
            <w:shd w:val="clear" w:color="000000" w:fill="auto"/>
            <w:vAlign w:val="bottom"/>
          </w:tcPr>
          <w:p w14:paraId="7DB6F21F"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160</w:t>
            </w:r>
          </w:p>
        </w:tc>
      </w:tr>
      <w:tr w:rsidR="005A697A" w:rsidRPr="005D7EA5" w14:paraId="72D7F9A7" w14:textId="77777777" w:rsidTr="00215BA1">
        <w:trPr>
          <w:tblHeader/>
        </w:trPr>
        <w:tc>
          <w:tcPr>
            <w:tcW w:w="8364" w:type="dxa"/>
            <w:tcBorders>
              <w:bottom w:val="nil"/>
            </w:tcBorders>
            <w:shd w:val="clear" w:color="auto" w:fill="E6E6E6"/>
            <w:vAlign w:val="bottom"/>
          </w:tcPr>
          <w:p w14:paraId="616224D7" w14:textId="77777777" w:rsidR="005A697A" w:rsidRPr="00702C6C" w:rsidRDefault="005A697A">
            <w:pPr>
              <w:pStyle w:val="TableHeading"/>
              <w:spacing w:before="45" w:after="45"/>
              <w:ind w:right="108"/>
              <w:rPr>
                <w:rFonts w:ascii="Arial (Body)" w:hAnsi="Arial (Body)"/>
                <w:b w:val="0"/>
                <w:bCs/>
                <w:color w:val="auto"/>
              </w:rPr>
            </w:pPr>
            <w:proofErr w:type="spellStart"/>
            <w:r w:rsidRPr="00E04760">
              <w:rPr>
                <w:rFonts w:ascii="Arial (Body)" w:hAnsi="Arial (Body)"/>
                <w:b w:val="0"/>
                <w:bCs/>
                <w:color w:val="auto"/>
              </w:rPr>
              <w:t>Redkite</w:t>
            </w:r>
            <w:proofErr w:type="spellEnd"/>
          </w:p>
        </w:tc>
        <w:tc>
          <w:tcPr>
            <w:tcW w:w="1417" w:type="dxa"/>
            <w:tcBorders>
              <w:bottom w:val="nil"/>
            </w:tcBorders>
            <w:shd w:val="clear" w:color="auto" w:fill="E6E6E6"/>
            <w:vAlign w:val="bottom"/>
          </w:tcPr>
          <w:p w14:paraId="0D2C2D71"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130</w:t>
            </w:r>
          </w:p>
        </w:tc>
      </w:tr>
      <w:tr w:rsidR="005A697A" w:rsidRPr="005D7EA5" w14:paraId="22BAA80A" w14:textId="77777777" w:rsidTr="003923B0">
        <w:trPr>
          <w:tblHeader/>
        </w:trPr>
        <w:tc>
          <w:tcPr>
            <w:tcW w:w="8364" w:type="dxa"/>
            <w:tcBorders>
              <w:top w:val="nil"/>
              <w:bottom w:val="nil"/>
            </w:tcBorders>
            <w:shd w:val="clear" w:color="000000" w:fill="auto"/>
            <w:vAlign w:val="bottom"/>
          </w:tcPr>
          <w:p w14:paraId="62915EF2"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Regional Australia Institute (RAI)</w:t>
            </w:r>
          </w:p>
        </w:tc>
        <w:tc>
          <w:tcPr>
            <w:tcW w:w="1417" w:type="dxa"/>
            <w:tcBorders>
              <w:top w:val="nil"/>
              <w:bottom w:val="nil"/>
            </w:tcBorders>
            <w:shd w:val="clear" w:color="000000" w:fill="auto"/>
            <w:vAlign w:val="bottom"/>
          </w:tcPr>
          <w:p w14:paraId="7DF45DAD"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5, 223</w:t>
            </w:r>
          </w:p>
        </w:tc>
      </w:tr>
      <w:tr w:rsidR="005A697A" w:rsidRPr="005D7EA5" w14:paraId="22055C17" w14:textId="77777777" w:rsidTr="00215BA1">
        <w:trPr>
          <w:tblHeader/>
        </w:trPr>
        <w:tc>
          <w:tcPr>
            <w:tcW w:w="8364" w:type="dxa"/>
            <w:tcBorders>
              <w:bottom w:val="nil"/>
            </w:tcBorders>
            <w:shd w:val="clear" w:color="auto" w:fill="E6E6E6"/>
            <w:vAlign w:val="bottom"/>
          </w:tcPr>
          <w:p w14:paraId="6DCD5A93"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Relationships Australia</w:t>
            </w:r>
          </w:p>
        </w:tc>
        <w:tc>
          <w:tcPr>
            <w:tcW w:w="1417" w:type="dxa"/>
            <w:tcBorders>
              <w:bottom w:val="nil"/>
            </w:tcBorders>
            <w:shd w:val="clear" w:color="auto" w:fill="E6E6E6"/>
            <w:vAlign w:val="bottom"/>
          </w:tcPr>
          <w:p w14:paraId="7A18BC86"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65</w:t>
            </w:r>
          </w:p>
        </w:tc>
      </w:tr>
      <w:tr w:rsidR="005A697A" w:rsidRPr="005D7EA5" w14:paraId="41710CEE" w14:textId="77777777" w:rsidTr="003923B0">
        <w:trPr>
          <w:tblHeader/>
        </w:trPr>
        <w:tc>
          <w:tcPr>
            <w:tcW w:w="8364" w:type="dxa"/>
            <w:tcBorders>
              <w:top w:val="nil"/>
              <w:bottom w:val="nil"/>
            </w:tcBorders>
            <w:shd w:val="clear" w:color="000000" w:fill="auto"/>
            <w:vAlign w:val="bottom"/>
          </w:tcPr>
          <w:p w14:paraId="42AA9820"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Research Australia</w:t>
            </w:r>
          </w:p>
        </w:tc>
        <w:tc>
          <w:tcPr>
            <w:tcW w:w="1417" w:type="dxa"/>
            <w:tcBorders>
              <w:top w:val="nil"/>
              <w:bottom w:val="nil"/>
            </w:tcBorders>
            <w:shd w:val="clear" w:color="000000" w:fill="auto"/>
            <w:vAlign w:val="bottom"/>
          </w:tcPr>
          <w:p w14:paraId="259ADF30"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202, 203, 205</w:t>
            </w:r>
          </w:p>
        </w:tc>
      </w:tr>
      <w:tr w:rsidR="005A697A" w:rsidRPr="005D7EA5" w14:paraId="4DB15756" w14:textId="77777777" w:rsidTr="00215BA1">
        <w:trPr>
          <w:tblHeader/>
        </w:trPr>
        <w:tc>
          <w:tcPr>
            <w:tcW w:w="8364" w:type="dxa"/>
            <w:tcBorders>
              <w:bottom w:val="nil"/>
            </w:tcBorders>
            <w:shd w:val="clear" w:color="auto" w:fill="E6E6E6"/>
            <w:vAlign w:val="bottom"/>
          </w:tcPr>
          <w:p w14:paraId="2909CDCB"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Roche Products</w:t>
            </w:r>
          </w:p>
        </w:tc>
        <w:tc>
          <w:tcPr>
            <w:tcW w:w="1417" w:type="dxa"/>
            <w:tcBorders>
              <w:bottom w:val="nil"/>
            </w:tcBorders>
            <w:shd w:val="clear" w:color="auto" w:fill="E6E6E6"/>
            <w:vAlign w:val="bottom"/>
          </w:tcPr>
          <w:p w14:paraId="7828BB96"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183</w:t>
            </w:r>
          </w:p>
        </w:tc>
      </w:tr>
      <w:tr w:rsidR="005A697A" w:rsidRPr="005D7EA5" w14:paraId="1F716E2F" w14:textId="77777777" w:rsidTr="003923B0">
        <w:trPr>
          <w:tblHeader/>
        </w:trPr>
        <w:tc>
          <w:tcPr>
            <w:tcW w:w="8364" w:type="dxa"/>
            <w:tcBorders>
              <w:top w:val="nil"/>
              <w:bottom w:val="nil"/>
            </w:tcBorders>
            <w:shd w:val="clear" w:color="000000" w:fill="auto"/>
            <w:vAlign w:val="bottom"/>
          </w:tcPr>
          <w:p w14:paraId="2770632C"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Royal Australasian College of Physicians (RACP)</w:t>
            </w:r>
          </w:p>
        </w:tc>
        <w:tc>
          <w:tcPr>
            <w:tcW w:w="1417" w:type="dxa"/>
            <w:tcBorders>
              <w:top w:val="nil"/>
              <w:bottom w:val="nil"/>
            </w:tcBorders>
            <w:shd w:val="clear" w:color="000000" w:fill="auto"/>
            <w:vAlign w:val="bottom"/>
          </w:tcPr>
          <w:p w14:paraId="1D995C2A"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69</w:t>
            </w:r>
          </w:p>
        </w:tc>
      </w:tr>
      <w:tr w:rsidR="005A697A" w:rsidRPr="005D7EA5" w14:paraId="6F719A99" w14:textId="77777777" w:rsidTr="00215BA1">
        <w:trPr>
          <w:tblHeader/>
        </w:trPr>
        <w:tc>
          <w:tcPr>
            <w:tcW w:w="8364" w:type="dxa"/>
            <w:tcBorders>
              <w:bottom w:val="nil"/>
            </w:tcBorders>
            <w:shd w:val="clear" w:color="auto" w:fill="E6E6E6"/>
            <w:vAlign w:val="bottom"/>
          </w:tcPr>
          <w:p w14:paraId="5D9CBA05" w14:textId="77777777" w:rsidR="005A697A" w:rsidRPr="00702C6C"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Royal Australian College of General Practitioners (RACGP)</w:t>
            </w:r>
          </w:p>
        </w:tc>
        <w:tc>
          <w:tcPr>
            <w:tcW w:w="1417" w:type="dxa"/>
            <w:tcBorders>
              <w:bottom w:val="nil"/>
            </w:tcBorders>
            <w:shd w:val="clear" w:color="auto" w:fill="E6E6E6"/>
            <w:vAlign w:val="bottom"/>
          </w:tcPr>
          <w:p w14:paraId="60992D74" w14:textId="77777777" w:rsidR="005A697A" w:rsidRPr="00702C6C"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28, 211</w:t>
            </w:r>
          </w:p>
        </w:tc>
      </w:tr>
      <w:tr w:rsidR="005A697A" w:rsidRPr="005D7EA5" w14:paraId="46089BA8" w14:textId="77777777" w:rsidTr="003923B0">
        <w:trPr>
          <w:tblHeader/>
        </w:trPr>
        <w:tc>
          <w:tcPr>
            <w:tcW w:w="8364" w:type="dxa"/>
            <w:tcBorders>
              <w:top w:val="nil"/>
              <w:bottom w:val="nil"/>
            </w:tcBorders>
            <w:shd w:val="clear" w:color="000000" w:fill="auto"/>
            <w:vAlign w:val="bottom"/>
          </w:tcPr>
          <w:p w14:paraId="7444C927"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Sarah Moon</w:t>
            </w:r>
          </w:p>
        </w:tc>
        <w:tc>
          <w:tcPr>
            <w:tcW w:w="1417" w:type="dxa"/>
            <w:tcBorders>
              <w:top w:val="nil"/>
              <w:bottom w:val="nil"/>
            </w:tcBorders>
            <w:shd w:val="clear" w:color="000000" w:fill="auto"/>
            <w:vAlign w:val="bottom"/>
          </w:tcPr>
          <w:p w14:paraId="0DE5DAD3"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80</w:t>
            </w:r>
          </w:p>
        </w:tc>
      </w:tr>
      <w:tr w:rsidR="005A697A" w:rsidRPr="005D7EA5" w14:paraId="5A5EF7E9" w14:textId="77777777" w:rsidTr="00215BA1">
        <w:trPr>
          <w:tblHeader/>
        </w:trPr>
        <w:tc>
          <w:tcPr>
            <w:tcW w:w="8364" w:type="dxa"/>
            <w:tcBorders>
              <w:bottom w:val="nil"/>
            </w:tcBorders>
            <w:shd w:val="clear" w:color="auto" w:fill="E6E6E6"/>
            <w:vAlign w:val="bottom"/>
          </w:tcPr>
          <w:p w14:paraId="53484F0D"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Scalable Health Intervention Evaluation program, University of Melbourne (SHINE)</w:t>
            </w:r>
          </w:p>
        </w:tc>
        <w:tc>
          <w:tcPr>
            <w:tcW w:w="1417" w:type="dxa"/>
            <w:tcBorders>
              <w:bottom w:val="nil"/>
            </w:tcBorders>
            <w:shd w:val="clear" w:color="auto" w:fill="E6E6E6"/>
            <w:vAlign w:val="bottom"/>
          </w:tcPr>
          <w:p w14:paraId="180D8974"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56</w:t>
            </w:r>
          </w:p>
        </w:tc>
      </w:tr>
      <w:tr w:rsidR="005A697A" w:rsidRPr="005D7EA5" w14:paraId="569B6FF7" w14:textId="77777777" w:rsidTr="003923B0">
        <w:trPr>
          <w:tblHeader/>
        </w:trPr>
        <w:tc>
          <w:tcPr>
            <w:tcW w:w="8364" w:type="dxa"/>
            <w:tcBorders>
              <w:top w:val="nil"/>
              <w:bottom w:val="nil"/>
            </w:tcBorders>
            <w:shd w:val="clear" w:color="000000" w:fill="auto"/>
            <w:vAlign w:val="bottom"/>
          </w:tcPr>
          <w:p w14:paraId="08599E82"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Science &amp; Technology Australia</w:t>
            </w:r>
          </w:p>
        </w:tc>
        <w:tc>
          <w:tcPr>
            <w:tcW w:w="1417" w:type="dxa"/>
            <w:tcBorders>
              <w:top w:val="nil"/>
              <w:bottom w:val="nil"/>
            </w:tcBorders>
            <w:shd w:val="clear" w:color="000000" w:fill="auto"/>
            <w:vAlign w:val="bottom"/>
          </w:tcPr>
          <w:p w14:paraId="7122942D"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225</w:t>
            </w:r>
          </w:p>
        </w:tc>
      </w:tr>
      <w:tr w:rsidR="005A697A" w:rsidRPr="005D7EA5" w14:paraId="77C4A7F5" w14:textId="77777777" w:rsidTr="00215BA1">
        <w:trPr>
          <w:tblHeader/>
        </w:trPr>
        <w:tc>
          <w:tcPr>
            <w:tcW w:w="8364" w:type="dxa"/>
            <w:tcBorders>
              <w:bottom w:val="nil"/>
            </w:tcBorders>
            <w:shd w:val="clear" w:color="auto" w:fill="E6E6E6"/>
            <w:vAlign w:val="bottom"/>
          </w:tcPr>
          <w:p w14:paraId="24234D0B"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SEED Futures</w:t>
            </w:r>
          </w:p>
        </w:tc>
        <w:tc>
          <w:tcPr>
            <w:tcW w:w="1417" w:type="dxa"/>
            <w:tcBorders>
              <w:bottom w:val="nil"/>
            </w:tcBorders>
            <w:shd w:val="clear" w:color="auto" w:fill="E6E6E6"/>
            <w:vAlign w:val="bottom"/>
          </w:tcPr>
          <w:p w14:paraId="794F7190"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170</w:t>
            </w:r>
          </w:p>
        </w:tc>
      </w:tr>
      <w:tr w:rsidR="005A697A" w:rsidRPr="005D7EA5" w14:paraId="24EBBE61" w14:textId="77777777" w:rsidTr="003923B0">
        <w:trPr>
          <w:tblHeader/>
        </w:trPr>
        <w:tc>
          <w:tcPr>
            <w:tcW w:w="8364" w:type="dxa"/>
            <w:tcBorders>
              <w:top w:val="nil"/>
              <w:bottom w:val="nil"/>
            </w:tcBorders>
            <w:shd w:val="clear" w:color="000000" w:fill="auto"/>
            <w:vAlign w:val="bottom"/>
          </w:tcPr>
          <w:p w14:paraId="4E6C4B94"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Seer Data &amp; Analytics</w:t>
            </w:r>
          </w:p>
        </w:tc>
        <w:tc>
          <w:tcPr>
            <w:tcW w:w="1417" w:type="dxa"/>
            <w:tcBorders>
              <w:top w:val="nil"/>
              <w:bottom w:val="nil"/>
            </w:tcBorders>
            <w:shd w:val="clear" w:color="000000" w:fill="auto"/>
            <w:vAlign w:val="bottom"/>
          </w:tcPr>
          <w:p w14:paraId="2B9C440F"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53</w:t>
            </w:r>
          </w:p>
        </w:tc>
      </w:tr>
      <w:tr w:rsidR="005A697A" w:rsidRPr="005D7EA5" w14:paraId="62D5B5B2" w14:textId="77777777" w:rsidTr="00215BA1">
        <w:trPr>
          <w:tblHeader/>
        </w:trPr>
        <w:tc>
          <w:tcPr>
            <w:tcW w:w="8364" w:type="dxa"/>
            <w:tcBorders>
              <w:bottom w:val="nil"/>
            </w:tcBorders>
            <w:shd w:val="clear" w:color="auto" w:fill="E6E6E6"/>
            <w:vAlign w:val="bottom"/>
          </w:tcPr>
          <w:p w14:paraId="02F35B4B"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Services for Australian Rural and Remote Allied Health (SARRAH)</w:t>
            </w:r>
          </w:p>
        </w:tc>
        <w:tc>
          <w:tcPr>
            <w:tcW w:w="1417" w:type="dxa"/>
            <w:tcBorders>
              <w:bottom w:val="nil"/>
            </w:tcBorders>
            <w:shd w:val="clear" w:color="auto" w:fill="E6E6E6"/>
            <w:vAlign w:val="bottom"/>
          </w:tcPr>
          <w:p w14:paraId="4D020DBC"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177</w:t>
            </w:r>
          </w:p>
        </w:tc>
      </w:tr>
      <w:tr w:rsidR="005A697A" w:rsidRPr="005D7EA5" w14:paraId="0E67D22C" w14:textId="77777777" w:rsidTr="003923B0">
        <w:trPr>
          <w:tblHeader/>
        </w:trPr>
        <w:tc>
          <w:tcPr>
            <w:tcW w:w="8364" w:type="dxa"/>
            <w:tcBorders>
              <w:top w:val="nil"/>
              <w:bottom w:val="nil"/>
            </w:tcBorders>
            <w:shd w:val="clear" w:color="000000" w:fill="auto"/>
            <w:vAlign w:val="bottom"/>
          </w:tcPr>
          <w:p w14:paraId="3BA85AAF"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Shona Bates</w:t>
            </w:r>
          </w:p>
        </w:tc>
        <w:tc>
          <w:tcPr>
            <w:tcW w:w="1417" w:type="dxa"/>
            <w:tcBorders>
              <w:top w:val="nil"/>
              <w:bottom w:val="nil"/>
            </w:tcBorders>
            <w:shd w:val="clear" w:color="000000" w:fill="auto"/>
            <w:vAlign w:val="bottom"/>
          </w:tcPr>
          <w:p w14:paraId="44ABD06E"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45</w:t>
            </w:r>
          </w:p>
        </w:tc>
      </w:tr>
      <w:tr w:rsidR="005A697A" w:rsidRPr="005D7EA5" w14:paraId="6D99CB7A" w14:textId="77777777" w:rsidTr="00215BA1">
        <w:trPr>
          <w:tblHeader/>
        </w:trPr>
        <w:tc>
          <w:tcPr>
            <w:tcW w:w="8364" w:type="dxa"/>
            <w:tcBorders>
              <w:bottom w:val="nil"/>
            </w:tcBorders>
            <w:shd w:val="clear" w:color="auto" w:fill="E6E6E6"/>
            <w:vAlign w:val="bottom"/>
          </w:tcPr>
          <w:p w14:paraId="3FF69D07" w14:textId="77777777" w:rsidR="005A697A" w:rsidRPr="00702C6C" w:rsidRDefault="005A697A">
            <w:pPr>
              <w:pStyle w:val="TableHeading"/>
              <w:spacing w:before="45" w:after="45"/>
              <w:ind w:right="108"/>
              <w:rPr>
                <w:rFonts w:ascii="Arial (Body)" w:hAnsi="Arial (Body)"/>
                <w:b w:val="0"/>
                <w:bCs/>
                <w:color w:val="auto"/>
              </w:rPr>
            </w:pPr>
            <w:proofErr w:type="spellStart"/>
            <w:r w:rsidRPr="00E04760">
              <w:rPr>
                <w:rFonts w:ascii="Arial (Body)" w:hAnsi="Arial (Body)"/>
                <w:b w:val="0"/>
                <w:bCs/>
                <w:color w:val="auto"/>
              </w:rPr>
              <w:t>Silverchain</w:t>
            </w:r>
            <w:proofErr w:type="spellEnd"/>
            <w:r w:rsidRPr="00E04760">
              <w:rPr>
                <w:rFonts w:ascii="Arial (Body)" w:hAnsi="Arial (Body)"/>
                <w:b w:val="0"/>
                <w:bCs/>
                <w:color w:val="auto"/>
              </w:rPr>
              <w:t xml:space="preserve"> Group (</w:t>
            </w:r>
            <w:proofErr w:type="spellStart"/>
            <w:r w:rsidRPr="00E04760">
              <w:rPr>
                <w:rFonts w:ascii="Arial (Body)" w:hAnsi="Arial (Body)"/>
                <w:b w:val="0"/>
                <w:bCs/>
                <w:color w:val="auto"/>
              </w:rPr>
              <w:t>Silverchain</w:t>
            </w:r>
            <w:proofErr w:type="spellEnd"/>
            <w:r w:rsidRPr="00E04760">
              <w:rPr>
                <w:rFonts w:ascii="Arial (Body)" w:hAnsi="Arial (Body)"/>
                <w:b w:val="0"/>
                <w:bCs/>
                <w:color w:val="auto"/>
              </w:rPr>
              <w:t>)</w:t>
            </w:r>
          </w:p>
        </w:tc>
        <w:tc>
          <w:tcPr>
            <w:tcW w:w="1417" w:type="dxa"/>
            <w:tcBorders>
              <w:bottom w:val="nil"/>
            </w:tcBorders>
            <w:shd w:val="clear" w:color="auto" w:fill="E6E6E6"/>
            <w:vAlign w:val="bottom"/>
          </w:tcPr>
          <w:p w14:paraId="72F2F479"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15</w:t>
            </w:r>
            <w:r>
              <w:rPr>
                <w:rFonts w:ascii="Arial (Body)" w:hAnsi="Arial (Body)"/>
                <w:b w:val="0"/>
                <w:bCs/>
                <w:color w:val="auto"/>
              </w:rPr>
              <w:t xml:space="preserve">, </w:t>
            </w:r>
            <w:r w:rsidRPr="00E04760">
              <w:rPr>
                <w:rFonts w:ascii="Arial (Body)" w:hAnsi="Arial (Body)"/>
                <w:b w:val="0"/>
                <w:bCs/>
                <w:color w:val="auto"/>
              </w:rPr>
              <w:t>204</w:t>
            </w:r>
          </w:p>
        </w:tc>
      </w:tr>
      <w:tr w:rsidR="005A697A" w:rsidRPr="005D7EA5" w14:paraId="23831474" w14:textId="77777777" w:rsidTr="003923B0">
        <w:trPr>
          <w:tblHeader/>
        </w:trPr>
        <w:tc>
          <w:tcPr>
            <w:tcW w:w="8364" w:type="dxa"/>
            <w:tcBorders>
              <w:top w:val="nil"/>
              <w:bottom w:val="nil"/>
            </w:tcBorders>
            <w:shd w:val="clear" w:color="000000" w:fill="auto"/>
            <w:vAlign w:val="bottom"/>
          </w:tcPr>
          <w:p w14:paraId="401FFB89"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Social Ventures Australia (SVA)</w:t>
            </w:r>
          </w:p>
        </w:tc>
        <w:tc>
          <w:tcPr>
            <w:tcW w:w="1417" w:type="dxa"/>
            <w:tcBorders>
              <w:top w:val="nil"/>
              <w:bottom w:val="nil"/>
            </w:tcBorders>
            <w:shd w:val="clear" w:color="000000" w:fill="auto"/>
            <w:vAlign w:val="bottom"/>
          </w:tcPr>
          <w:p w14:paraId="2601861F"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163</w:t>
            </w:r>
          </w:p>
        </w:tc>
      </w:tr>
      <w:tr w:rsidR="005A697A" w:rsidRPr="005D7EA5" w14:paraId="2A545A66" w14:textId="77777777" w:rsidTr="00215BA1">
        <w:trPr>
          <w:tblHeader/>
        </w:trPr>
        <w:tc>
          <w:tcPr>
            <w:tcW w:w="8364" w:type="dxa"/>
            <w:tcBorders>
              <w:bottom w:val="nil"/>
            </w:tcBorders>
            <w:shd w:val="clear" w:color="auto" w:fill="E6E6E6"/>
            <w:vAlign w:val="bottom"/>
          </w:tcPr>
          <w:p w14:paraId="76B45AAA"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Speech Pathology Australia</w:t>
            </w:r>
          </w:p>
        </w:tc>
        <w:tc>
          <w:tcPr>
            <w:tcW w:w="1417" w:type="dxa"/>
            <w:tcBorders>
              <w:bottom w:val="nil"/>
            </w:tcBorders>
            <w:shd w:val="clear" w:color="auto" w:fill="E6E6E6"/>
            <w:vAlign w:val="bottom"/>
          </w:tcPr>
          <w:p w14:paraId="00071244"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173</w:t>
            </w:r>
          </w:p>
        </w:tc>
      </w:tr>
      <w:tr w:rsidR="005A697A" w:rsidRPr="005D7EA5" w14:paraId="3329C56F" w14:textId="77777777" w:rsidTr="003923B0">
        <w:trPr>
          <w:tblHeader/>
        </w:trPr>
        <w:tc>
          <w:tcPr>
            <w:tcW w:w="8364" w:type="dxa"/>
            <w:tcBorders>
              <w:top w:val="nil"/>
              <w:bottom w:val="nil"/>
            </w:tcBorders>
            <w:shd w:val="clear" w:color="000000" w:fill="auto"/>
            <w:vAlign w:val="bottom"/>
          </w:tcPr>
          <w:p w14:paraId="011CCE88"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St Luke</w:t>
            </w:r>
            <w:r>
              <w:rPr>
                <w:rFonts w:ascii="Arial (Body)" w:hAnsi="Arial (Body)"/>
                <w:b w:val="0"/>
                <w:bCs/>
                <w:color w:val="auto"/>
              </w:rPr>
              <w:t>’</w:t>
            </w:r>
            <w:r w:rsidRPr="00E04760">
              <w:rPr>
                <w:rFonts w:ascii="Arial (Body)" w:hAnsi="Arial (Body)"/>
                <w:b w:val="0"/>
                <w:bCs/>
                <w:color w:val="auto"/>
              </w:rPr>
              <w:t>s Medical and Hospital Benefits Association Ltd (St Lukes Health)</w:t>
            </w:r>
          </w:p>
        </w:tc>
        <w:tc>
          <w:tcPr>
            <w:tcW w:w="1417" w:type="dxa"/>
            <w:tcBorders>
              <w:top w:val="nil"/>
              <w:bottom w:val="nil"/>
            </w:tcBorders>
            <w:shd w:val="clear" w:color="000000" w:fill="auto"/>
            <w:vAlign w:val="bottom"/>
          </w:tcPr>
          <w:p w14:paraId="492BDF7E"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238</w:t>
            </w:r>
          </w:p>
        </w:tc>
      </w:tr>
      <w:tr w:rsidR="005A697A" w:rsidRPr="005D7EA5" w14:paraId="7E856863" w14:textId="77777777" w:rsidTr="00215BA1">
        <w:trPr>
          <w:tblHeader/>
        </w:trPr>
        <w:tc>
          <w:tcPr>
            <w:tcW w:w="8364" w:type="dxa"/>
            <w:tcBorders>
              <w:bottom w:val="nil"/>
            </w:tcBorders>
            <w:shd w:val="clear" w:color="auto" w:fill="E6E6E6"/>
            <w:vAlign w:val="bottom"/>
          </w:tcPr>
          <w:p w14:paraId="6487FE67"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Stephen Carbone</w:t>
            </w:r>
          </w:p>
        </w:tc>
        <w:tc>
          <w:tcPr>
            <w:tcW w:w="1417" w:type="dxa"/>
            <w:tcBorders>
              <w:bottom w:val="nil"/>
            </w:tcBorders>
            <w:shd w:val="clear" w:color="auto" w:fill="E6E6E6"/>
            <w:vAlign w:val="bottom"/>
          </w:tcPr>
          <w:p w14:paraId="50378F68"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166</w:t>
            </w:r>
          </w:p>
        </w:tc>
      </w:tr>
      <w:tr w:rsidR="005A697A" w:rsidRPr="005D7EA5" w14:paraId="3ED86031" w14:textId="77777777" w:rsidTr="003923B0">
        <w:trPr>
          <w:tblHeader/>
        </w:trPr>
        <w:tc>
          <w:tcPr>
            <w:tcW w:w="8364" w:type="dxa"/>
            <w:tcBorders>
              <w:top w:val="nil"/>
              <w:bottom w:val="single" w:sz="4" w:space="0" w:color="BFBFBF" w:themeColor="background1" w:themeShade="BF"/>
            </w:tcBorders>
            <w:shd w:val="clear" w:color="000000" w:fill="auto"/>
            <w:vAlign w:val="bottom"/>
          </w:tcPr>
          <w:p w14:paraId="5F029579" w14:textId="77777777" w:rsidR="005A697A" w:rsidRPr="00702C6C"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Stephen Duckett</w:t>
            </w:r>
          </w:p>
        </w:tc>
        <w:tc>
          <w:tcPr>
            <w:tcW w:w="1417" w:type="dxa"/>
            <w:tcBorders>
              <w:top w:val="nil"/>
              <w:bottom w:val="single" w:sz="4" w:space="0" w:color="BFBFBF" w:themeColor="background1" w:themeShade="BF"/>
            </w:tcBorders>
            <w:shd w:val="clear" w:color="000000" w:fill="auto"/>
            <w:vAlign w:val="bottom"/>
          </w:tcPr>
          <w:p w14:paraId="012D3860" w14:textId="77777777" w:rsidR="005A697A" w:rsidRPr="00702C6C" w:rsidRDefault="005A697A">
            <w:pPr>
              <w:pStyle w:val="TableHeading"/>
              <w:spacing w:before="45" w:after="45"/>
              <w:ind w:right="108"/>
              <w:jc w:val="right"/>
              <w:rPr>
                <w:rFonts w:ascii="Arial (Body)" w:hAnsi="Arial (Body)"/>
                <w:b w:val="0"/>
                <w:bCs/>
                <w:color w:val="auto"/>
              </w:rPr>
            </w:pPr>
            <w:r w:rsidRPr="00E04760">
              <w:rPr>
                <w:rFonts w:ascii="Arial (Body)" w:hAnsi="Arial (Body)"/>
                <w:b w:val="0"/>
                <w:bCs/>
                <w:color w:val="auto"/>
              </w:rPr>
              <w:t>35</w:t>
            </w:r>
          </w:p>
        </w:tc>
      </w:tr>
    </w:tbl>
    <w:p w14:paraId="0DEEFCD0" w14:textId="77777777" w:rsidR="005A697A" w:rsidRDefault="005A697A" w:rsidP="00F4322A">
      <w:pPr>
        <w:pStyle w:val="BodyText"/>
      </w:pPr>
      <w:r>
        <w:br w:type="page"/>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47"/>
        <w:gridCol w:w="1134"/>
      </w:tblGrid>
      <w:tr w:rsidR="005A697A" w:rsidRPr="00EB7CE7" w14:paraId="6F02E4B4" w14:textId="77777777" w:rsidTr="003923B0">
        <w:trPr>
          <w:tblHeader/>
        </w:trPr>
        <w:tc>
          <w:tcPr>
            <w:tcW w:w="8647" w:type="dxa"/>
            <w:tcBorders>
              <w:bottom w:val="single" w:sz="4" w:space="0" w:color="B3B3B3"/>
            </w:tcBorders>
            <w:shd w:val="clear" w:color="000000" w:fill="auto"/>
            <w:vAlign w:val="bottom"/>
          </w:tcPr>
          <w:p w14:paraId="246581AB" w14:textId="77777777" w:rsidR="005A697A" w:rsidRPr="00EB7CE7" w:rsidRDefault="005A697A">
            <w:pPr>
              <w:pStyle w:val="TableHeading"/>
              <w:spacing w:before="45" w:after="45"/>
              <w:ind w:right="108"/>
              <w:rPr>
                <w:rFonts w:ascii="Arial (Body)" w:hAnsi="Arial (Body)"/>
                <w:color w:val="265A9A"/>
              </w:rPr>
            </w:pPr>
            <w:r w:rsidRPr="00EB7CE7">
              <w:rPr>
                <w:rFonts w:ascii="Arial (Body)" w:hAnsi="Arial (Body)"/>
                <w:color w:val="265A9A"/>
              </w:rPr>
              <w:lastRenderedPageBreak/>
              <w:t>Participants</w:t>
            </w:r>
          </w:p>
        </w:tc>
        <w:tc>
          <w:tcPr>
            <w:tcW w:w="1134" w:type="dxa"/>
            <w:tcBorders>
              <w:bottom w:val="single" w:sz="4" w:space="0" w:color="B3B3B3"/>
            </w:tcBorders>
            <w:shd w:val="clear" w:color="000000" w:fill="auto"/>
            <w:vAlign w:val="bottom"/>
          </w:tcPr>
          <w:p w14:paraId="652C493F" w14:textId="77777777" w:rsidR="005A697A" w:rsidRPr="00EB7CE7" w:rsidRDefault="005A697A" w:rsidP="003923B0">
            <w:pPr>
              <w:pStyle w:val="TableHeading"/>
              <w:spacing w:before="45" w:after="45"/>
              <w:ind w:right="108"/>
              <w:jc w:val="right"/>
              <w:rPr>
                <w:rFonts w:ascii="Arial (Body)" w:hAnsi="Arial (Body)"/>
                <w:color w:val="265A9A"/>
              </w:rPr>
            </w:pPr>
            <w:r w:rsidRPr="00EB7CE7">
              <w:rPr>
                <w:rFonts w:ascii="Arial (Body)" w:hAnsi="Arial (Body)"/>
                <w:color w:val="265A9A"/>
              </w:rPr>
              <w:t>Sub no.</w:t>
            </w:r>
          </w:p>
        </w:tc>
      </w:tr>
      <w:tr w:rsidR="005A697A" w:rsidRPr="00EB7CE7" w14:paraId="3D5012C0" w14:textId="77777777" w:rsidTr="00215BA1">
        <w:trPr>
          <w:tblHeader/>
        </w:trPr>
        <w:tc>
          <w:tcPr>
            <w:tcW w:w="8647" w:type="dxa"/>
            <w:tcBorders>
              <w:top w:val="single" w:sz="4" w:space="0" w:color="B3B3B3"/>
              <w:bottom w:val="nil"/>
            </w:tcBorders>
            <w:shd w:val="clear" w:color="auto" w:fill="E6E6E6"/>
            <w:vAlign w:val="bottom"/>
          </w:tcPr>
          <w:p w14:paraId="5D0CC008" w14:textId="77777777" w:rsidR="005A697A" w:rsidRPr="00917197" w:rsidRDefault="005A697A">
            <w:pPr>
              <w:pStyle w:val="TableHeading"/>
              <w:spacing w:before="45" w:after="45"/>
              <w:ind w:right="108"/>
              <w:rPr>
                <w:rFonts w:ascii="Arial (Body)" w:hAnsi="Arial (Body)" w:cs="Arial"/>
                <w:b w:val="0"/>
                <w:bCs/>
                <w:color w:val="auto"/>
              </w:rPr>
            </w:pPr>
            <w:r w:rsidRPr="00E04760">
              <w:rPr>
                <w:rFonts w:ascii="Arial (Body)" w:hAnsi="Arial (Body)"/>
                <w:b w:val="0"/>
                <w:bCs/>
                <w:color w:val="auto"/>
              </w:rPr>
              <w:t>Streets People Love Hobart Inc (SPLH)</w:t>
            </w:r>
          </w:p>
        </w:tc>
        <w:tc>
          <w:tcPr>
            <w:tcW w:w="1134" w:type="dxa"/>
            <w:tcBorders>
              <w:top w:val="single" w:sz="4" w:space="0" w:color="B3B3B3"/>
              <w:bottom w:val="nil"/>
            </w:tcBorders>
            <w:shd w:val="clear" w:color="auto" w:fill="E6E6E6"/>
            <w:vAlign w:val="bottom"/>
          </w:tcPr>
          <w:p w14:paraId="4D2FC973" w14:textId="77777777" w:rsidR="005A697A" w:rsidRPr="00917197" w:rsidRDefault="005A697A">
            <w:pPr>
              <w:pStyle w:val="TableHeading"/>
              <w:spacing w:before="45" w:after="45"/>
              <w:ind w:right="108"/>
              <w:jc w:val="right"/>
              <w:rPr>
                <w:rFonts w:ascii="Arial (Body)" w:hAnsi="Arial (Body)" w:cs="Arial"/>
                <w:b w:val="0"/>
                <w:bCs/>
                <w:color w:val="auto"/>
              </w:rPr>
            </w:pPr>
            <w:r w:rsidRPr="00E04760">
              <w:rPr>
                <w:rFonts w:ascii="Arial (Body)" w:hAnsi="Arial (Body)"/>
                <w:b w:val="0"/>
                <w:bCs/>
                <w:color w:val="auto"/>
              </w:rPr>
              <w:t>95</w:t>
            </w:r>
          </w:p>
        </w:tc>
      </w:tr>
      <w:tr w:rsidR="005A697A" w:rsidRPr="00EB7CE7" w14:paraId="1B764B66" w14:textId="77777777" w:rsidTr="003923B0">
        <w:trPr>
          <w:tblHeader/>
        </w:trPr>
        <w:tc>
          <w:tcPr>
            <w:tcW w:w="8647" w:type="dxa"/>
            <w:tcBorders>
              <w:top w:val="nil"/>
              <w:bottom w:val="nil"/>
            </w:tcBorders>
            <w:shd w:val="clear" w:color="000000" w:fill="auto"/>
            <w:vAlign w:val="bottom"/>
          </w:tcPr>
          <w:p w14:paraId="43EC1EA6" w14:textId="77777777" w:rsidR="005A697A" w:rsidRPr="00253288" w:rsidRDefault="005A697A">
            <w:pPr>
              <w:pStyle w:val="TableHeading"/>
              <w:spacing w:before="45" w:after="45"/>
              <w:ind w:right="108"/>
              <w:rPr>
                <w:rFonts w:ascii="Arial (Body)" w:hAnsi="Arial (Body)" w:cs="Arial"/>
                <w:b w:val="0"/>
                <w:bCs/>
                <w:color w:val="auto"/>
              </w:rPr>
            </w:pPr>
            <w:r w:rsidRPr="00E04760">
              <w:rPr>
                <w:rFonts w:ascii="Arial (Body)" w:hAnsi="Arial (Body)"/>
                <w:b w:val="0"/>
                <w:bCs/>
                <w:color w:val="auto"/>
              </w:rPr>
              <w:t>Stroke Foundation</w:t>
            </w:r>
          </w:p>
        </w:tc>
        <w:tc>
          <w:tcPr>
            <w:tcW w:w="1134" w:type="dxa"/>
            <w:tcBorders>
              <w:top w:val="nil"/>
              <w:bottom w:val="nil"/>
            </w:tcBorders>
            <w:shd w:val="clear" w:color="000000" w:fill="auto"/>
            <w:vAlign w:val="bottom"/>
          </w:tcPr>
          <w:p w14:paraId="5460AA68" w14:textId="77777777" w:rsidR="005A697A" w:rsidRPr="00917197" w:rsidRDefault="005A697A">
            <w:pPr>
              <w:pStyle w:val="TableHeading"/>
              <w:spacing w:before="45" w:after="45"/>
              <w:ind w:right="108"/>
              <w:jc w:val="right"/>
              <w:rPr>
                <w:rFonts w:ascii="Arial (Body)" w:hAnsi="Arial (Body)" w:cs="Arial"/>
                <w:b w:val="0"/>
                <w:bCs/>
                <w:color w:val="auto"/>
              </w:rPr>
            </w:pPr>
            <w:r w:rsidRPr="00E04760">
              <w:rPr>
                <w:rFonts w:ascii="Arial (Body)" w:hAnsi="Arial (Body)"/>
                <w:b w:val="0"/>
                <w:bCs/>
                <w:color w:val="auto"/>
              </w:rPr>
              <w:t>182</w:t>
            </w:r>
          </w:p>
        </w:tc>
      </w:tr>
      <w:tr w:rsidR="005A697A" w:rsidRPr="00EB7CE7" w14:paraId="7ED93174" w14:textId="77777777" w:rsidTr="00215BA1">
        <w:trPr>
          <w:tblHeader/>
        </w:trPr>
        <w:tc>
          <w:tcPr>
            <w:tcW w:w="8647" w:type="dxa"/>
            <w:tcBorders>
              <w:bottom w:val="nil"/>
            </w:tcBorders>
            <w:shd w:val="clear" w:color="auto" w:fill="E6E6E6"/>
            <w:vAlign w:val="bottom"/>
          </w:tcPr>
          <w:p w14:paraId="243745F3" w14:textId="77777777" w:rsidR="005A697A" w:rsidRPr="00DE78B4"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 xml:space="preserve">Susan J. Méndez, </w:t>
            </w:r>
            <w:proofErr w:type="spellStart"/>
            <w:r w:rsidRPr="00E04760">
              <w:rPr>
                <w:rFonts w:ascii="Arial (Body)" w:hAnsi="Arial (Body)"/>
                <w:b w:val="0"/>
                <w:bCs/>
                <w:color w:val="auto"/>
              </w:rPr>
              <w:t>Jongsay</w:t>
            </w:r>
            <w:proofErr w:type="spellEnd"/>
            <w:r w:rsidRPr="00E04760">
              <w:rPr>
                <w:rFonts w:ascii="Arial (Body)" w:hAnsi="Arial (Body)"/>
                <w:b w:val="0"/>
                <w:bCs/>
                <w:color w:val="auto"/>
              </w:rPr>
              <w:t xml:space="preserve"> Yong and Yuting Zhang, Melbourne Institute of Applied Economic and Social Research, University of Melbourne (Melbourne Institute, University of Melbourne)</w:t>
            </w:r>
          </w:p>
        </w:tc>
        <w:tc>
          <w:tcPr>
            <w:tcW w:w="1134" w:type="dxa"/>
            <w:tcBorders>
              <w:bottom w:val="nil"/>
            </w:tcBorders>
            <w:shd w:val="clear" w:color="auto" w:fill="E6E6E6"/>
          </w:tcPr>
          <w:p w14:paraId="77833019" w14:textId="77777777" w:rsidR="005A697A" w:rsidRPr="00DE78B4" w:rsidRDefault="005A697A" w:rsidP="003923B0">
            <w:pPr>
              <w:pStyle w:val="TableHeading"/>
              <w:spacing w:before="45" w:after="45"/>
              <w:ind w:right="108"/>
              <w:jc w:val="right"/>
              <w:rPr>
                <w:rFonts w:ascii="Arial (Body)" w:hAnsi="Arial (Body)"/>
                <w:b w:val="0"/>
                <w:bCs/>
                <w:color w:val="auto"/>
              </w:rPr>
            </w:pPr>
            <w:r w:rsidRPr="00E04760">
              <w:rPr>
                <w:rFonts w:ascii="Arial (Body)" w:hAnsi="Arial (Body)" w:cs="Arial"/>
                <w:b w:val="0"/>
                <w:bCs/>
                <w:color w:val="auto"/>
              </w:rPr>
              <w:t>100</w:t>
            </w:r>
          </w:p>
        </w:tc>
      </w:tr>
      <w:tr w:rsidR="005A697A" w:rsidRPr="00EB7CE7" w14:paraId="422F25DA" w14:textId="77777777" w:rsidTr="003923B0">
        <w:trPr>
          <w:tblHeader/>
        </w:trPr>
        <w:tc>
          <w:tcPr>
            <w:tcW w:w="8647" w:type="dxa"/>
            <w:tcBorders>
              <w:top w:val="nil"/>
              <w:bottom w:val="nil"/>
            </w:tcBorders>
            <w:shd w:val="clear" w:color="000000" w:fill="auto"/>
            <w:vAlign w:val="bottom"/>
          </w:tcPr>
          <w:p w14:paraId="6D4B3170" w14:textId="77777777" w:rsidR="005A697A" w:rsidRPr="00DE78B4" w:rsidRDefault="005A697A">
            <w:pPr>
              <w:pStyle w:val="TableHeading"/>
              <w:spacing w:before="45" w:after="45"/>
              <w:ind w:right="108"/>
              <w:rPr>
                <w:rFonts w:ascii="Arial (Body)" w:hAnsi="Arial (Body)"/>
                <w:b w:val="0"/>
                <w:bCs/>
                <w:color w:val="auto"/>
              </w:rPr>
            </w:pPr>
            <w:r w:rsidRPr="00E04760">
              <w:rPr>
                <w:rFonts w:ascii="Arial (Body)" w:hAnsi="Arial (Body)"/>
                <w:b w:val="0"/>
                <w:bCs/>
                <w:color w:val="auto"/>
              </w:rPr>
              <w:t>Sydney Policy Lab, The University of Sydney</w:t>
            </w:r>
          </w:p>
        </w:tc>
        <w:tc>
          <w:tcPr>
            <w:tcW w:w="1134" w:type="dxa"/>
            <w:tcBorders>
              <w:top w:val="nil"/>
              <w:bottom w:val="nil"/>
            </w:tcBorders>
            <w:shd w:val="clear" w:color="000000" w:fill="auto"/>
            <w:vAlign w:val="bottom"/>
          </w:tcPr>
          <w:p w14:paraId="78B49117" w14:textId="77777777" w:rsidR="005A697A" w:rsidRPr="00DE78B4" w:rsidRDefault="005A697A">
            <w:pPr>
              <w:pStyle w:val="TableHeading"/>
              <w:spacing w:before="45" w:after="45"/>
              <w:ind w:right="108"/>
              <w:jc w:val="right"/>
              <w:rPr>
                <w:rFonts w:ascii="Arial (Body)" w:hAnsi="Arial (Body)"/>
                <w:b w:val="0"/>
                <w:bCs/>
                <w:color w:val="auto"/>
              </w:rPr>
            </w:pPr>
            <w:r w:rsidRPr="00E04760">
              <w:rPr>
                <w:rFonts w:ascii="Arial (Body)" w:hAnsi="Arial (Body)" w:cs="Arial"/>
                <w:b w:val="0"/>
                <w:bCs/>
                <w:color w:val="auto"/>
              </w:rPr>
              <w:t>76</w:t>
            </w:r>
          </w:p>
        </w:tc>
      </w:tr>
      <w:tr w:rsidR="005A697A" w:rsidRPr="00EB7CE7" w14:paraId="2BEE4C51" w14:textId="77777777" w:rsidTr="00215BA1">
        <w:trPr>
          <w:tblHeader/>
        </w:trPr>
        <w:tc>
          <w:tcPr>
            <w:tcW w:w="8647" w:type="dxa"/>
            <w:tcBorders>
              <w:bottom w:val="nil"/>
            </w:tcBorders>
            <w:shd w:val="clear" w:color="auto" w:fill="E6E6E6"/>
            <w:vAlign w:val="bottom"/>
          </w:tcPr>
          <w:p w14:paraId="25CBF7D6"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Tan Nguyen</w:t>
            </w:r>
          </w:p>
        </w:tc>
        <w:tc>
          <w:tcPr>
            <w:tcW w:w="1134" w:type="dxa"/>
            <w:tcBorders>
              <w:bottom w:val="nil"/>
            </w:tcBorders>
            <w:shd w:val="clear" w:color="auto" w:fill="E6E6E6"/>
            <w:vAlign w:val="bottom"/>
          </w:tcPr>
          <w:p w14:paraId="1CEF85D7"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68</w:t>
            </w:r>
          </w:p>
        </w:tc>
      </w:tr>
      <w:tr w:rsidR="005A697A" w:rsidRPr="00EB7CE7" w14:paraId="70919D2A" w14:textId="77777777" w:rsidTr="003923B0">
        <w:trPr>
          <w:tblHeader/>
        </w:trPr>
        <w:tc>
          <w:tcPr>
            <w:tcW w:w="8647" w:type="dxa"/>
            <w:tcBorders>
              <w:top w:val="nil"/>
              <w:bottom w:val="nil"/>
            </w:tcBorders>
            <w:shd w:val="clear" w:color="000000" w:fill="auto"/>
            <w:vAlign w:val="bottom"/>
          </w:tcPr>
          <w:p w14:paraId="6FF296A4"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Taylor Fry</w:t>
            </w:r>
          </w:p>
        </w:tc>
        <w:tc>
          <w:tcPr>
            <w:tcW w:w="1134" w:type="dxa"/>
            <w:tcBorders>
              <w:top w:val="nil"/>
              <w:bottom w:val="nil"/>
            </w:tcBorders>
            <w:shd w:val="clear" w:color="000000" w:fill="auto"/>
            <w:vAlign w:val="bottom"/>
          </w:tcPr>
          <w:p w14:paraId="4889FBE7"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184</w:t>
            </w:r>
          </w:p>
        </w:tc>
      </w:tr>
      <w:tr w:rsidR="005A697A" w:rsidRPr="00EB7CE7" w14:paraId="3710B32D" w14:textId="77777777" w:rsidTr="00215BA1">
        <w:trPr>
          <w:tblHeader/>
        </w:trPr>
        <w:tc>
          <w:tcPr>
            <w:tcW w:w="8647" w:type="dxa"/>
            <w:tcBorders>
              <w:bottom w:val="nil"/>
            </w:tcBorders>
            <w:shd w:val="clear" w:color="auto" w:fill="E6E6E6"/>
            <w:vAlign w:val="bottom"/>
          </w:tcPr>
          <w:p w14:paraId="1D4742B4"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The Australian Prevention Partnership Centre (Prevention Centre)</w:t>
            </w:r>
          </w:p>
        </w:tc>
        <w:tc>
          <w:tcPr>
            <w:tcW w:w="1134" w:type="dxa"/>
            <w:tcBorders>
              <w:bottom w:val="nil"/>
            </w:tcBorders>
            <w:shd w:val="clear" w:color="auto" w:fill="E6E6E6"/>
            <w:vAlign w:val="bottom"/>
          </w:tcPr>
          <w:p w14:paraId="51D6C357"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129</w:t>
            </w:r>
          </w:p>
        </w:tc>
      </w:tr>
      <w:tr w:rsidR="005A697A" w:rsidRPr="00EB7CE7" w14:paraId="3F358C29" w14:textId="77777777" w:rsidTr="003923B0">
        <w:trPr>
          <w:tblHeader/>
        </w:trPr>
        <w:tc>
          <w:tcPr>
            <w:tcW w:w="8647" w:type="dxa"/>
            <w:tcBorders>
              <w:top w:val="nil"/>
              <w:bottom w:val="nil"/>
            </w:tcBorders>
            <w:shd w:val="clear" w:color="000000" w:fill="auto"/>
            <w:vAlign w:val="bottom"/>
          </w:tcPr>
          <w:p w14:paraId="16B6A5A2"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The Centre for Future Work at the Australia Institute</w:t>
            </w:r>
          </w:p>
        </w:tc>
        <w:tc>
          <w:tcPr>
            <w:tcW w:w="1134" w:type="dxa"/>
            <w:tcBorders>
              <w:top w:val="nil"/>
              <w:bottom w:val="nil"/>
            </w:tcBorders>
            <w:shd w:val="clear" w:color="000000" w:fill="auto"/>
            <w:vAlign w:val="bottom"/>
          </w:tcPr>
          <w:p w14:paraId="77FCFAFC"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12</w:t>
            </w:r>
          </w:p>
        </w:tc>
      </w:tr>
      <w:tr w:rsidR="005A697A" w:rsidRPr="00EB7CE7" w14:paraId="2495784A" w14:textId="77777777" w:rsidTr="00215BA1">
        <w:trPr>
          <w:tblHeader/>
        </w:trPr>
        <w:tc>
          <w:tcPr>
            <w:tcW w:w="8647" w:type="dxa"/>
            <w:tcBorders>
              <w:bottom w:val="nil"/>
            </w:tcBorders>
            <w:shd w:val="clear" w:color="auto" w:fill="E6E6E6"/>
            <w:vAlign w:val="bottom"/>
          </w:tcPr>
          <w:p w14:paraId="044EC90E"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The George Institute for Global Health</w:t>
            </w:r>
          </w:p>
        </w:tc>
        <w:tc>
          <w:tcPr>
            <w:tcW w:w="1134" w:type="dxa"/>
            <w:tcBorders>
              <w:bottom w:val="nil"/>
            </w:tcBorders>
            <w:shd w:val="clear" w:color="auto" w:fill="E6E6E6"/>
            <w:vAlign w:val="bottom"/>
          </w:tcPr>
          <w:p w14:paraId="5D83CE7D"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154</w:t>
            </w:r>
          </w:p>
        </w:tc>
      </w:tr>
      <w:tr w:rsidR="005A697A" w:rsidRPr="00EB7CE7" w14:paraId="6C80D721" w14:textId="77777777" w:rsidTr="003923B0">
        <w:trPr>
          <w:tblHeader/>
        </w:trPr>
        <w:tc>
          <w:tcPr>
            <w:tcW w:w="8647" w:type="dxa"/>
            <w:tcBorders>
              <w:top w:val="nil"/>
              <w:bottom w:val="nil"/>
            </w:tcBorders>
            <w:shd w:val="clear" w:color="000000" w:fill="auto"/>
            <w:vAlign w:val="bottom"/>
          </w:tcPr>
          <w:p w14:paraId="1534716C"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The Health Alliance (a joint initiative of Metro North Health and Brisbane North PHN) (The Health Alliance)</w:t>
            </w:r>
          </w:p>
        </w:tc>
        <w:tc>
          <w:tcPr>
            <w:tcW w:w="1134" w:type="dxa"/>
            <w:tcBorders>
              <w:top w:val="nil"/>
              <w:bottom w:val="nil"/>
            </w:tcBorders>
            <w:shd w:val="clear" w:color="000000" w:fill="auto"/>
            <w:vAlign w:val="bottom"/>
          </w:tcPr>
          <w:p w14:paraId="17EFFB1A"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84</w:t>
            </w:r>
          </w:p>
        </w:tc>
      </w:tr>
      <w:tr w:rsidR="005A697A" w:rsidRPr="00EB7CE7" w14:paraId="05EBFC3F" w14:textId="77777777" w:rsidTr="00215BA1">
        <w:trPr>
          <w:tblHeader/>
        </w:trPr>
        <w:tc>
          <w:tcPr>
            <w:tcW w:w="8647" w:type="dxa"/>
            <w:tcBorders>
              <w:bottom w:val="nil"/>
            </w:tcBorders>
            <w:shd w:val="clear" w:color="auto" w:fill="E6E6E6"/>
            <w:vAlign w:val="bottom"/>
          </w:tcPr>
          <w:p w14:paraId="25CA0028"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The Pharmacy Guild of Australia</w:t>
            </w:r>
          </w:p>
        </w:tc>
        <w:tc>
          <w:tcPr>
            <w:tcW w:w="1134" w:type="dxa"/>
            <w:tcBorders>
              <w:bottom w:val="nil"/>
            </w:tcBorders>
            <w:shd w:val="clear" w:color="auto" w:fill="E6E6E6"/>
            <w:vAlign w:val="bottom"/>
          </w:tcPr>
          <w:p w14:paraId="5174B90D"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21</w:t>
            </w:r>
          </w:p>
        </w:tc>
      </w:tr>
      <w:tr w:rsidR="005A697A" w:rsidRPr="00EB7CE7" w14:paraId="74878503" w14:textId="77777777" w:rsidTr="003923B0">
        <w:trPr>
          <w:tblHeader/>
        </w:trPr>
        <w:tc>
          <w:tcPr>
            <w:tcW w:w="8647" w:type="dxa"/>
            <w:tcBorders>
              <w:top w:val="nil"/>
              <w:bottom w:val="nil"/>
            </w:tcBorders>
            <w:shd w:val="clear" w:color="000000" w:fill="auto"/>
            <w:vAlign w:val="bottom"/>
          </w:tcPr>
          <w:p w14:paraId="4938AC2B"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The Prevention Research Collaboration and The Charles Perkins Centre, The University of Sydney</w:t>
            </w:r>
          </w:p>
        </w:tc>
        <w:tc>
          <w:tcPr>
            <w:tcW w:w="1134" w:type="dxa"/>
            <w:tcBorders>
              <w:top w:val="nil"/>
              <w:bottom w:val="nil"/>
            </w:tcBorders>
            <w:shd w:val="clear" w:color="000000" w:fill="auto"/>
            <w:vAlign w:val="bottom"/>
          </w:tcPr>
          <w:p w14:paraId="1E31B8B4"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239</w:t>
            </w:r>
          </w:p>
        </w:tc>
      </w:tr>
      <w:tr w:rsidR="005A697A" w:rsidRPr="00EB7CE7" w14:paraId="6E32E457" w14:textId="77777777" w:rsidTr="00215BA1">
        <w:trPr>
          <w:tblHeader/>
        </w:trPr>
        <w:tc>
          <w:tcPr>
            <w:tcW w:w="8647" w:type="dxa"/>
            <w:tcBorders>
              <w:bottom w:val="nil"/>
            </w:tcBorders>
            <w:shd w:val="clear" w:color="auto" w:fill="E6E6E6"/>
            <w:vAlign w:val="bottom"/>
          </w:tcPr>
          <w:p w14:paraId="0E06CA11"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The Public Good</w:t>
            </w:r>
          </w:p>
        </w:tc>
        <w:tc>
          <w:tcPr>
            <w:tcW w:w="1134" w:type="dxa"/>
            <w:tcBorders>
              <w:bottom w:val="nil"/>
            </w:tcBorders>
            <w:shd w:val="clear" w:color="auto" w:fill="E6E6E6"/>
            <w:vAlign w:val="bottom"/>
          </w:tcPr>
          <w:p w14:paraId="358298F6"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60</w:t>
            </w:r>
          </w:p>
        </w:tc>
      </w:tr>
      <w:tr w:rsidR="005A697A" w:rsidRPr="00EB7CE7" w14:paraId="0E85C21C" w14:textId="77777777" w:rsidTr="003923B0">
        <w:trPr>
          <w:tblHeader/>
        </w:trPr>
        <w:tc>
          <w:tcPr>
            <w:tcW w:w="8647" w:type="dxa"/>
            <w:tcBorders>
              <w:top w:val="nil"/>
              <w:bottom w:val="nil"/>
            </w:tcBorders>
            <w:shd w:val="clear" w:color="000000" w:fill="auto"/>
            <w:vAlign w:val="bottom"/>
          </w:tcPr>
          <w:p w14:paraId="316EC8AE"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The Safer Air Project</w:t>
            </w:r>
          </w:p>
        </w:tc>
        <w:tc>
          <w:tcPr>
            <w:tcW w:w="1134" w:type="dxa"/>
            <w:tcBorders>
              <w:top w:val="nil"/>
              <w:bottom w:val="nil"/>
            </w:tcBorders>
            <w:shd w:val="clear" w:color="000000" w:fill="auto"/>
            <w:vAlign w:val="bottom"/>
          </w:tcPr>
          <w:p w14:paraId="0215846C"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131</w:t>
            </w:r>
          </w:p>
        </w:tc>
      </w:tr>
      <w:tr w:rsidR="005A697A" w:rsidRPr="00EB7CE7" w14:paraId="2702EDB1" w14:textId="77777777" w:rsidTr="00215BA1">
        <w:trPr>
          <w:tblHeader/>
        </w:trPr>
        <w:tc>
          <w:tcPr>
            <w:tcW w:w="8647" w:type="dxa"/>
            <w:tcBorders>
              <w:bottom w:val="nil"/>
            </w:tcBorders>
            <w:shd w:val="clear" w:color="auto" w:fill="E6E6E6"/>
            <w:vAlign w:val="bottom"/>
          </w:tcPr>
          <w:p w14:paraId="3C74595B"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Thomas Haskell</w:t>
            </w:r>
          </w:p>
        </w:tc>
        <w:tc>
          <w:tcPr>
            <w:tcW w:w="1134" w:type="dxa"/>
            <w:tcBorders>
              <w:bottom w:val="nil"/>
            </w:tcBorders>
            <w:shd w:val="clear" w:color="auto" w:fill="E6E6E6"/>
            <w:vAlign w:val="bottom"/>
          </w:tcPr>
          <w:p w14:paraId="5694D6D8"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83</w:t>
            </w:r>
          </w:p>
        </w:tc>
      </w:tr>
      <w:tr w:rsidR="005A697A" w:rsidRPr="00EB7CE7" w14:paraId="257EBBD4" w14:textId="77777777" w:rsidTr="003923B0">
        <w:trPr>
          <w:tblHeader/>
        </w:trPr>
        <w:tc>
          <w:tcPr>
            <w:tcW w:w="8647" w:type="dxa"/>
            <w:tcBorders>
              <w:top w:val="nil"/>
              <w:bottom w:val="nil"/>
            </w:tcBorders>
            <w:shd w:val="clear" w:color="000000" w:fill="auto"/>
            <w:vAlign w:val="bottom"/>
          </w:tcPr>
          <w:p w14:paraId="3665753F"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Thriving Queensland Kids Partnership, ARACY (TQKP)</w:t>
            </w:r>
          </w:p>
        </w:tc>
        <w:tc>
          <w:tcPr>
            <w:tcW w:w="1134" w:type="dxa"/>
            <w:tcBorders>
              <w:top w:val="nil"/>
              <w:bottom w:val="nil"/>
            </w:tcBorders>
            <w:shd w:val="clear" w:color="000000" w:fill="auto"/>
            <w:vAlign w:val="bottom"/>
          </w:tcPr>
          <w:p w14:paraId="6D4FB279"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34</w:t>
            </w:r>
          </w:p>
        </w:tc>
      </w:tr>
      <w:tr w:rsidR="005A697A" w:rsidRPr="00EB7CE7" w14:paraId="723C5E16" w14:textId="77777777" w:rsidTr="00215BA1">
        <w:trPr>
          <w:tblHeader/>
        </w:trPr>
        <w:tc>
          <w:tcPr>
            <w:tcW w:w="8647" w:type="dxa"/>
            <w:tcBorders>
              <w:bottom w:val="nil"/>
            </w:tcBorders>
            <w:shd w:val="clear" w:color="auto" w:fill="E6E6E6"/>
            <w:vAlign w:val="bottom"/>
          </w:tcPr>
          <w:p w14:paraId="09F86ED7"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 xml:space="preserve">Tobacco Free Program, </w:t>
            </w:r>
            <w:proofErr w:type="spellStart"/>
            <w:r w:rsidRPr="0046533F">
              <w:rPr>
                <w:rFonts w:ascii="Arial (Body)" w:hAnsi="Arial (Body)"/>
                <w:b w:val="0"/>
                <w:bCs/>
                <w:color w:val="auto"/>
              </w:rPr>
              <w:t>Yardhura</w:t>
            </w:r>
            <w:proofErr w:type="spellEnd"/>
            <w:r w:rsidRPr="0046533F">
              <w:rPr>
                <w:rFonts w:ascii="Arial (Body)" w:hAnsi="Arial (Body)"/>
                <w:b w:val="0"/>
                <w:bCs/>
                <w:color w:val="auto"/>
              </w:rPr>
              <w:t xml:space="preserve"> </w:t>
            </w:r>
            <w:proofErr w:type="spellStart"/>
            <w:r w:rsidRPr="0046533F">
              <w:rPr>
                <w:rFonts w:ascii="Arial (Body)" w:hAnsi="Arial (Body)"/>
                <w:b w:val="0"/>
                <w:bCs/>
                <w:color w:val="auto"/>
              </w:rPr>
              <w:t>Walani</w:t>
            </w:r>
            <w:proofErr w:type="spellEnd"/>
            <w:r w:rsidRPr="0046533F">
              <w:rPr>
                <w:rFonts w:ascii="Arial (Body)" w:hAnsi="Arial (Body)"/>
                <w:b w:val="0"/>
                <w:bCs/>
                <w:color w:val="auto"/>
              </w:rPr>
              <w:t xml:space="preserve">, National Centre for Aboriginal and Torres Strait Islander Wellbeing Research, The Australian National University (Tobacco Free Program, </w:t>
            </w:r>
            <w:proofErr w:type="spellStart"/>
            <w:r w:rsidRPr="0046533F">
              <w:rPr>
                <w:rFonts w:ascii="Arial (Body)" w:hAnsi="Arial (Body)"/>
                <w:b w:val="0"/>
                <w:bCs/>
                <w:color w:val="auto"/>
              </w:rPr>
              <w:t>Yardhura</w:t>
            </w:r>
            <w:proofErr w:type="spellEnd"/>
            <w:r w:rsidRPr="0046533F">
              <w:rPr>
                <w:rFonts w:ascii="Arial (Body)" w:hAnsi="Arial (Body)"/>
                <w:b w:val="0"/>
                <w:bCs/>
                <w:color w:val="auto"/>
              </w:rPr>
              <w:t xml:space="preserve"> Walani, Australian National University)</w:t>
            </w:r>
          </w:p>
        </w:tc>
        <w:tc>
          <w:tcPr>
            <w:tcW w:w="1134" w:type="dxa"/>
            <w:tcBorders>
              <w:bottom w:val="nil"/>
            </w:tcBorders>
            <w:shd w:val="clear" w:color="auto" w:fill="E6E6E6"/>
          </w:tcPr>
          <w:p w14:paraId="1AC0D1C6" w14:textId="77777777" w:rsidR="005A697A" w:rsidRPr="00DE78B4" w:rsidRDefault="005A697A" w:rsidP="003923B0">
            <w:pPr>
              <w:pStyle w:val="TableHeading"/>
              <w:spacing w:before="45" w:after="45"/>
              <w:ind w:right="108"/>
              <w:jc w:val="right"/>
              <w:rPr>
                <w:rFonts w:ascii="Arial (Body)" w:hAnsi="Arial (Body)"/>
                <w:b w:val="0"/>
                <w:bCs/>
                <w:color w:val="auto"/>
              </w:rPr>
            </w:pPr>
            <w:r w:rsidRPr="0046533F">
              <w:rPr>
                <w:rFonts w:ascii="Arial (Body)" w:hAnsi="Arial (Body)"/>
                <w:b w:val="0"/>
                <w:bCs/>
                <w:color w:val="auto"/>
              </w:rPr>
              <w:t>208</w:t>
            </w:r>
          </w:p>
        </w:tc>
      </w:tr>
      <w:tr w:rsidR="005A697A" w:rsidRPr="00EB7CE7" w14:paraId="1123A93B" w14:textId="77777777" w:rsidTr="003923B0">
        <w:trPr>
          <w:tblHeader/>
        </w:trPr>
        <w:tc>
          <w:tcPr>
            <w:tcW w:w="8647" w:type="dxa"/>
            <w:tcBorders>
              <w:top w:val="nil"/>
              <w:bottom w:val="nil"/>
            </w:tcBorders>
            <w:shd w:val="clear" w:color="000000" w:fill="auto"/>
            <w:vAlign w:val="bottom"/>
          </w:tcPr>
          <w:p w14:paraId="10F264EF"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UNICEF Australia</w:t>
            </w:r>
          </w:p>
        </w:tc>
        <w:tc>
          <w:tcPr>
            <w:tcW w:w="1134" w:type="dxa"/>
            <w:tcBorders>
              <w:top w:val="nil"/>
              <w:bottom w:val="nil"/>
            </w:tcBorders>
            <w:shd w:val="clear" w:color="000000" w:fill="auto"/>
            <w:vAlign w:val="bottom"/>
          </w:tcPr>
          <w:p w14:paraId="3E16F0E0"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74</w:t>
            </w:r>
          </w:p>
        </w:tc>
      </w:tr>
      <w:tr w:rsidR="005A697A" w:rsidRPr="00EB7CE7" w14:paraId="6835D197" w14:textId="77777777" w:rsidTr="00215BA1">
        <w:trPr>
          <w:tblHeader/>
        </w:trPr>
        <w:tc>
          <w:tcPr>
            <w:tcW w:w="8647" w:type="dxa"/>
            <w:tcBorders>
              <w:bottom w:val="nil"/>
            </w:tcBorders>
            <w:shd w:val="clear" w:color="auto" w:fill="E6E6E6"/>
            <w:vAlign w:val="bottom"/>
          </w:tcPr>
          <w:p w14:paraId="201FE678"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United Workers Union (UWU)</w:t>
            </w:r>
          </w:p>
        </w:tc>
        <w:tc>
          <w:tcPr>
            <w:tcW w:w="1134" w:type="dxa"/>
            <w:tcBorders>
              <w:bottom w:val="nil"/>
            </w:tcBorders>
            <w:shd w:val="clear" w:color="auto" w:fill="E6E6E6"/>
            <w:vAlign w:val="bottom"/>
          </w:tcPr>
          <w:p w14:paraId="02D95F9E"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199</w:t>
            </w:r>
          </w:p>
        </w:tc>
      </w:tr>
      <w:tr w:rsidR="005A697A" w:rsidRPr="00EB7CE7" w14:paraId="2997B5CC" w14:textId="77777777" w:rsidTr="003923B0">
        <w:trPr>
          <w:tblHeader/>
        </w:trPr>
        <w:tc>
          <w:tcPr>
            <w:tcW w:w="8647" w:type="dxa"/>
            <w:tcBorders>
              <w:top w:val="nil"/>
              <w:bottom w:val="nil"/>
            </w:tcBorders>
            <w:shd w:val="clear" w:color="000000" w:fill="auto"/>
            <w:vAlign w:val="bottom"/>
          </w:tcPr>
          <w:p w14:paraId="73B6799A"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Uniting NSW.ACT</w:t>
            </w:r>
          </w:p>
        </w:tc>
        <w:tc>
          <w:tcPr>
            <w:tcW w:w="1134" w:type="dxa"/>
            <w:tcBorders>
              <w:top w:val="nil"/>
              <w:bottom w:val="nil"/>
            </w:tcBorders>
            <w:shd w:val="clear" w:color="000000" w:fill="auto"/>
            <w:vAlign w:val="bottom"/>
          </w:tcPr>
          <w:p w14:paraId="3A64016E"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114</w:t>
            </w:r>
          </w:p>
        </w:tc>
      </w:tr>
      <w:tr w:rsidR="005A697A" w:rsidRPr="00EB7CE7" w14:paraId="28B769B7" w14:textId="77777777" w:rsidTr="00215BA1">
        <w:trPr>
          <w:tblHeader/>
        </w:trPr>
        <w:tc>
          <w:tcPr>
            <w:tcW w:w="8647" w:type="dxa"/>
            <w:tcBorders>
              <w:bottom w:val="nil"/>
            </w:tcBorders>
            <w:shd w:val="clear" w:color="auto" w:fill="E6E6E6"/>
            <w:vAlign w:val="bottom"/>
          </w:tcPr>
          <w:p w14:paraId="3C262EF9"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UnitingCare Australia</w:t>
            </w:r>
          </w:p>
        </w:tc>
        <w:tc>
          <w:tcPr>
            <w:tcW w:w="1134" w:type="dxa"/>
            <w:tcBorders>
              <w:bottom w:val="nil"/>
            </w:tcBorders>
            <w:shd w:val="clear" w:color="auto" w:fill="E6E6E6"/>
            <w:vAlign w:val="bottom"/>
          </w:tcPr>
          <w:p w14:paraId="1FE4D476"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123</w:t>
            </w:r>
          </w:p>
        </w:tc>
      </w:tr>
      <w:tr w:rsidR="005A697A" w:rsidRPr="00EB7CE7" w14:paraId="78A91471" w14:textId="77777777" w:rsidTr="003923B0">
        <w:trPr>
          <w:tblHeader/>
        </w:trPr>
        <w:tc>
          <w:tcPr>
            <w:tcW w:w="8647" w:type="dxa"/>
            <w:tcBorders>
              <w:top w:val="nil"/>
              <w:bottom w:val="nil"/>
            </w:tcBorders>
            <w:shd w:val="clear" w:color="000000" w:fill="auto"/>
            <w:vAlign w:val="bottom"/>
          </w:tcPr>
          <w:p w14:paraId="1F5F69D3"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Universities Australia (UA)</w:t>
            </w:r>
          </w:p>
        </w:tc>
        <w:tc>
          <w:tcPr>
            <w:tcW w:w="1134" w:type="dxa"/>
            <w:tcBorders>
              <w:top w:val="nil"/>
              <w:bottom w:val="nil"/>
            </w:tcBorders>
            <w:shd w:val="clear" w:color="000000" w:fill="auto"/>
            <w:vAlign w:val="bottom"/>
          </w:tcPr>
          <w:p w14:paraId="2A6B7D0D"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186</w:t>
            </w:r>
          </w:p>
        </w:tc>
      </w:tr>
      <w:tr w:rsidR="005A697A" w:rsidRPr="00EB7CE7" w14:paraId="17414DCB" w14:textId="77777777" w:rsidTr="00215BA1">
        <w:trPr>
          <w:tblHeader/>
        </w:trPr>
        <w:tc>
          <w:tcPr>
            <w:tcW w:w="8647" w:type="dxa"/>
            <w:tcBorders>
              <w:bottom w:val="nil"/>
            </w:tcBorders>
            <w:shd w:val="clear" w:color="auto" w:fill="E6E6E6"/>
            <w:vAlign w:val="bottom"/>
          </w:tcPr>
          <w:p w14:paraId="09822026"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University of New South Wales (UNSW)</w:t>
            </w:r>
          </w:p>
        </w:tc>
        <w:tc>
          <w:tcPr>
            <w:tcW w:w="1134" w:type="dxa"/>
            <w:tcBorders>
              <w:bottom w:val="nil"/>
            </w:tcBorders>
            <w:shd w:val="clear" w:color="auto" w:fill="E6E6E6"/>
            <w:vAlign w:val="bottom"/>
          </w:tcPr>
          <w:p w14:paraId="60181743"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251</w:t>
            </w:r>
          </w:p>
        </w:tc>
      </w:tr>
      <w:tr w:rsidR="005A697A" w:rsidRPr="00EB7CE7" w14:paraId="01DA7F0B" w14:textId="77777777" w:rsidTr="003923B0">
        <w:trPr>
          <w:tblHeader/>
        </w:trPr>
        <w:tc>
          <w:tcPr>
            <w:tcW w:w="8647" w:type="dxa"/>
            <w:tcBorders>
              <w:top w:val="nil"/>
              <w:bottom w:val="nil"/>
            </w:tcBorders>
            <w:shd w:val="clear" w:color="000000" w:fill="auto"/>
            <w:vAlign w:val="bottom"/>
          </w:tcPr>
          <w:p w14:paraId="3F52202A"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UNSW Ageing Futures Institute</w:t>
            </w:r>
          </w:p>
        </w:tc>
        <w:tc>
          <w:tcPr>
            <w:tcW w:w="1134" w:type="dxa"/>
            <w:tcBorders>
              <w:top w:val="nil"/>
              <w:bottom w:val="nil"/>
            </w:tcBorders>
            <w:shd w:val="clear" w:color="000000" w:fill="auto"/>
            <w:vAlign w:val="bottom"/>
          </w:tcPr>
          <w:p w14:paraId="4CA8C6AB"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108</w:t>
            </w:r>
          </w:p>
        </w:tc>
      </w:tr>
      <w:tr w:rsidR="005A697A" w:rsidRPr="00EB7CE7" w14:paraId="303C08DC" w14:textId="77777777" w:rsidTr="00215BA1">
        <w:trPr>
          <w:tblHeader/>
        </w:trPr>
        <w:tc>
          <w:tcPr>
            <w:tcW w:w="8647" w:type="dxa"/>
            <w:tcBorders>
              <w:bottom w:val="nil"/>
            </w:tcBorders>
            <w:shd w:val="clear" w:color="auto" w:fill="E6E6E6"/>
            <w:vAlign w:val="bottom"/>
          </w:tcPr>
          <w:p w14:paraId="36487235"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Valeriy Ogienko</w:t>
            </w:r>
          </w:p>
        </w:tc>
        <w:tc>
          <w:tcPr>
            <w:tcW w:w="1134" w:type="dxa"/>
            <w:tcBorders>
              <w:bottom w:val="nil"/>
            </w:tcBorders>
            <w:shd w:val="clear" w:color="auto" w:fill="E6E6E6"/>
            <w:vAlign w:val="bottom"/>
          </w:tcPr>
          <w:p w14:paraId="1452315A"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36</w:t>
            </w:r>
          </w:p>
        </w:tc>
      </w:tr>
      <w:tr w:rsidR="005A697A" w:rsidRPr="00EB7CE7" w14:paraId="62E86D17" w14:textId="77777777" w:rsidTr="003923B0">
        <w:trPr>
          <w:tblHeader/>
        </w:trPr>
        <w:tc>
          <w:tcPr>
            <w:tcW w:w="8647" w:type="dxa"/>
            <w:tcBorders>
              <w:top w:val="nil"/>
              <w:bottom w:val="nil"/>
            </w:tcBorders>
            <w:shd w:val="clear" w:color="000000" w:fill="auto"/>
            <w:vAlign w:val="bottom"/>
          </w:tcPr>
          <w:p w14:paraId="0A2CBE7C"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Victorian Disability Worker Commission (VDWC)</w:t>
            </w:r>
          </w:p>
        </w:tc>
        <w:tc>
          <w:tcPr>
            <w:tcW w:w="1134" w:type="dxa"/>
            <w:tcBorders>
              <w:top w:val="nil"/>
              <w:bottom w:val="nil"/>
            </w:tcBorders>
            <w:shd w:val="clear" w:color="000000" w:fill="auto"/>
            <w:vAlign w:val="bottom"/>
          </w:tcPr>
          <w:p w14:paraId="7194575D"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175</w:t>
            </w:r>
          </w:p>
        </w:tc>
      </w:tr>
      <w:tr w:rsidR="005A697A" w:rsidRPr="00EB7CE7" w14:paraId="37E399A3" w14:textId="77777777" w:rsidTr="00215BA1">
        <w:trPr>
          <w:tblHeader/>
        </w:trPr>
        <w:tc>
          <w:tcPr>
            <w:tcW w:w="8647" w:type="dxa"/>
            <w:tcBorders>
              <w:bottom w:val="nil"/>
            </w:tcBorders>
            <w:shd w:val="clear" w:color="auto" w:fill="E6E6E6"/>
            <w:vAlign w:val="bottom"/>
          </w:tcPr>
          <w:p w14:paraId="09ADF130"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Victorian Health Promotion Foundation (VicHealth)</w:t>
            </w:r>
          </w:p>
        </w:tc>
        <w:tc>
          <w:tcPr>
            <w:tcW w:w="1134" w:type="dxa"/>
            <w:tcBorders>
              <w:bottom w:val="nil"/>
            </w:tcBorders>
            <w:shd w:val="clear" w:color="auto" w:fill="E6E6E6"/>
            <w:vAlign w:val="bottom"/>
          </w:tcPr>
          <w:p w14:paraId="710A6C24" w14:textId="77777777" w:rsidR="005A697A" w:rsidRPr="00DE78B4" w:rsidRDefault="005A697A">
            <w:pPr>
              <w:pStyle w:val="TableHeading"/>
              <w:spacing w:before="45" w:after="45"/>
              <w:ind w:right="108"/>
              <w:jc w:val="right"/>
              <w:rPr>
                <w:rFonts w:ascii="Arial (Body)" w:hAnsi="Arial (Body)"/>
                <w:b w:val="0"/>
                <w:bCs/>
                <w:color w:val="auto"/>
              </w:rPr>
            </w:pPr>
            <w:r>
              <w:rPr>
                <w:rFonts w:ascii="Arial (Body)" w:hAnsi="Arial (Body)"/>
                <w:b w:val="0"/>
                <w:bCs/>
                <w:color w:val="auto"/>
              </w:rPr>
              <w:t xml:space="preserve">19, </w:t>
            </w:r>
            <w:r w:rsidRPr="0046533F">
              <w:rPr>
                <w:rFonts w:ascii="Arial (Body)" w:hAnsi="Arial (Body)"/>
                <w:b w:val="0"/>
                <w:bCs/>
                <w:color w:val="auto"/>
              </w:rPr>
              <w:t>103</w:t>
            </w:r>
          </w:p>
        </w:tc>
      </w:tr>
      <w:tr w:rsidR="005A697A" w:rsidRPr="00EB7CE7" w14:paraId="2FD61737" w14:textId="77777777" w:rsidTr="003923B0">
        <w:trPr>
          <w:tblHeader/>
        </w:trPr>
        <w:tc>
          <w:tcPr>
            <w:tcW w:w="8647" w:type="dxa"/>
            <w:tcBorders>
              <w:top w:val="nil"/>
              <w:bottom w:val="nil"/>
            </w:tcBorders>
            <w:shd w:val="clear" w:color="000000" w:fill="auto"/>
            <w:vAlign w:val="bottom"/>
          </w:tcPr>
          <w:p w14:paraId="3189E618"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Victorian Healthcare Assoc</w:t>
            </w:r>
            <w:r>
              <w:rPr>
                <w:rFonts w:ascii="Arial (Body)" w:hAnsi="Arial (Body)"/>
                <w:b w:val="0"/>
                <w:bCs/>
                <w:color w:val="auto"/>
              </w:rPr>
              <w:t>i</w:t>
            </w:r>
            <w:r w:rsidRPr="0046533F">
              <w:rPr>
                <w:rFonts w:ascii="Arial (Body)" w:hAnsi="Arial (Body)"/>
                <w:b w:val="0"/>
                <w:bCs/>
                <w:color w:val="auto"/>
              </w:rPr>
              <w:t>ation</w:t>
            </w:r>
          </w:p>
        </w:tc>
        <w:tc>
          <w:tcPr>
            <w:tcW w:w="1134" w:type="dxa"/>
            <w:tcBorders>
              <w:top w:val="nil"/>
              <w:bottom w:val="nil"/>
            </w:tcBorders>
            <w:shd w:val="clear" w:color="000000" w:fill="auto"/>
            <w:vAlign w:val="bottom"/>
          </w:tcPr>
          <w:p w14:paraId="124D056E"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245</w:t>
            </w:r>
          </w:p>
        </w:tc>
      </w:tr>
      <w:tr w:rsidR="005A697A" w:rsidRPr="00EB7CE7" w14:paraId="7CA1FB6D" w14:textId="77777777" w:rsidTr="00215BA1">
        <w:trPr>
          <w:tblHeader/>
        </w:trPr>
        <w:tc>
          <w:tcPr>
            <w:tcW w:w="8647" w:type="dxa"/>
            <w:tcBorders>
              <w:bottom w:val="nil"/>
            </w:tcBorders>
            <w:shd w:val="clear" w:color="auto" w:fill="E6E6E6"/>
            <w:vAlign w:val="bottom"/>
          </w:tcPr>
          <w:p w14:paraId="4345730B" w14:textId="77777777" w:rsidR="005A697A" w:rsidRPr="00DE78B4"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Volunteering Australia</w:t>
            </w:r>
          </w:p>
        </w:tc>
        <w:tc>
          <w:tcPr>
            <w:tcW w:w="1134" w:type="dxa"/>
            <w:tcBorders>
              <w:bottom w:val="nil"/>
            </w:tcBorders>
            <w:shd w:val="clear" w:color="auto" w:fill="E6E6E6"/>
            <w:vAlign w:val="bottom"/>
          </w:tcPr>
          <w:p w14:paraId="5A5B5392" w14:textId="77777777" w:rsidR="005A697A" w:rsidRPr="00DE78B4"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171</w:t>
            </w:r>
          </w:p>
        </w:tc>
      </w:tr>
      <w:tr w:rsidR="005A697A" w:rsidRPr="00EB7CE7" w14:paraId="5AEB2215" w14:textId="77777777" w:rsidTr="003923B0">
        <w:trPr>
          <w:tblHeader/>
        </w:trPr>
        <w:tc>
          <w:tcPr>
            <w:tcW w:w="8647" w:type="dxa"/>
            <w:tcBorders>
              <w:bottom w:val="single" w:sz="4" w:space="0" w:color="BFBFBF" w:themeColor="background1" w:themeShade="BF"/>
            </w:tcBorders>
            <w:shd w:val="clear" w:color="000000" w:fill="FFFFFF" w:themeFill="background1"/>
            <w:vAlign w:val="bottom"/>
          </w:tcPr>
          <w:p w14:paraId="6D377A4F" w14:textId="77777777" w:rsidR="005A697A" w:rsidRPr="0046533F"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Wellbeing and Prevention Coalition in Mental Health</w:t>
            </w:r>
          </w:p>
        </w:tc>
        <w:tc>
          <w:tcPr>
            <w:tcW w:w="1134" w:type="dxa"/>
            <w:tcBorders>
              <w:bottom w:val="single" w:sz="4" w:space="0" w:color="BFBFBF" w:themeColor="background1" w:themeShade="BF"/>
            </w:tcBorders>
            <w:shd w:val="clear" w:color="000000" w:fill="FFFFFF" w:themeFill="background1"/>
            <w:vAlign w:val="bottom"/>
          </w:tcPr>
          <w:p w14:paraId="045C1054" w14:textId="77777777" w:rsidR="005A697A" w:rsidRPr="0046533F"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105</w:t>
            </w:r>
          </w:p>
        </w:tc>
      </w:tr>
    </w:tbl>
    <w:p w14:paraId="098768FB" w14:textId="77777777" w:rsidR="005A697A" w:rsidRPr="00F4322A" w:rsidRDefault="005A697A" w:rsidP="00F4322A">
      <w:pPr>
        <w:pStyle w:val="BodyText"/>
      </w:pP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505"/>
        <w:gridCol w:w="1276"/>
      </w:tblGrid>
      <w:tr w:rsidR="005A697A" w:rsidRPr="0085190D" w14:paraId="4C5494EB" w14:textId="77777777" w:rsidTr="003923B0">
        <w:trPr>
          <w:tblHeader/>
        </w:trPr>
        <w:tc>
          <w:tcPr>
            <w:tcW w:w="8505" w:type="dxa"/>
            <w:tcBorders>
              <w:bottom w:val="single" w:sz="4" w:space="0" w:color="B3B3B3"/>
            </w:tcBorders>
            <w:shd w:val="clear" w:color="000000" w:fill="auto"/>
            <w:vAlign w:val="bottom"/>
          </w:tcPr>
          <w:p w14:paraId="2AD3277F" w14:textId="77777777" w:rsidR="005A697A" w:rsidRPr="0085190D" w:rsidRDefault="005A697A">
            <w:pPr>
              <w:pStyle w:val="TableHeading"/>
              <w:spacing w:before="45" w:after="45"/>
              <w:ind w:right="108"/>
              <w:rPr>
                <w:rFonts w:ascii="Arial (Body)" w:hAnsi="Arial (Body)"/>
                <w:color w:val="265A9A"/>
              </w:rPr>
            </w:pPr>
            <w:r w:rsidRPr="0085190D">
              <w:rPr>
                <w:rFonts w:ascii="Arial (Body)" w:hAnsi="Arial (Body)"/>
                <w:color w:val="265A9A"/>
              </w:rPr>
              <w:lastRenderedPageBreak/>
              <w:br w:type="page"/>
              <w:t>Participants</w:t>
            </w:r>
          </w:p>
        </w:tc>
        <w:tc>
          <w:tcPr>
            <w:tcW w:w="1276" w:type="dxa"/>
            <w:tcBorders>
              <w:bottom w:val="single" w:sz="4" w:space="0" w:color="B3B3B3"/>
            </w:tcBorders>
            <w:shd w:val="clear" w:color="000000" w:fill="auto"/>
            <w:vAlign w:val="bottom"/>
          </w:tcPr>
          <w:p w14:paraId="019F0377" w14:textId="77777777" w:rsidR="005A697A" w:rsidRPr="0085190D" w:rsidRDefault="005A697A" w:rsidP="003923B0">
            <w:pPr>
              <w:pStyle w:val="TableHeading"/>
              <w:spacing w:before="45" w:after="45"/>
              <w:ind w:right="108"/>
              <w:jc w:val="right"/>
              <w:rPr>
                <w:rFonts w:ascii="Arial (Body)" w:hAnsi="Arial (Body)"/>
                <w:color w:val="265A9A"/>
              </w:rPr>
            </w:pPr>
            <w:r w:rsidRPr="0085190D">
              <w:rPr>
                <w:rFonts w:ascii="Arial (Body)" w:hAnsi="Arial (Body)"/>
                <w:color w:val="265A9A"/>
              </w:rPr>
              <w:t>Sub no.</w:t>
            </w:r>
          </w:p>
        </w:tc>
      </w:tr>
      <w:tr w:rsidR="005A697A" w:rsidRPr="0085190D" w14:paraId="35937127" w14:textId="77777777" w:rsidTr="00215BA1">
        <w:trPr>
          <w:tblHeader/>
        </w:trPr>
        <w:tc>
          <w:tcPr>
            <w:tcW w:w="8505" w:type="dxa"/>
            <w:tcBorders>
              <w:top w:val="single" w:sz="4" w:space="0" w:color="B3B3B3"/>
              <w:bottom w:val="nil"/>
            </w:tcBorders>
            <w:shd w:val="clear" w:color="auto" w:fill="E6E6E6"/>
            <w:vAlign w:val="bottom"/>
          </w:tcPr>
          <w:p w14:paraId="63E1C70C" w14:textId="77777777" w:rsidR="005A697A" w:rsidRPr="00253288"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Wes Morris</w:t>
            </w:r>
          </w:p>
        </w:tc>
        <w:tc>
          <w:tcPr>
            <w:tcW w:w="1276" w:type="dxa"/>
            <w:tcBorders>
              <w:top w:val="single" w:sz="4" w:space="0" w:color="B3B3B3"/>
              <w:bottom w:val="nil"/>
            </w:tcBorders>
            <w:shd w:val="clear" w:color="auto" w:fill="E6E6E6"/>
            <w:vAlign w:val="bottom"/>
          </w:tcPr>
          <w:p w14:paraId="679E0E32" w14:textId="77777777" w:rsidR="005A697A" w:rsidRPr="000661F1"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179, 217, 218</w:t>
            </w:r>
          </w:p>
        </w:tc>
      </w:tr>
      <w:tr w:rsidR="005A697A" w:rsidRPr="0085190D" w14:paraId="51575236" w14:textId="77777777" w:rsidTr="003923B0">
        <w:trPr>
          <w:tblHeader/>
        </w:trPr>
        <w:tc>
          <w:tcPr>
            <w:tcW w:w="8505" w:type="dxa"/>
            <w:tcBorders>
              <w:top w:val="nil"/>
              <w:bottom w:val="nil"/>
            </w:tcBorders>
            <w:shd w:val="clear" w:color="000000" w:fill="auto"/>
            <w:vAlign w:val="bottom"/>
          </w:tcPr>
          <w:p w14:paraId="7468A89A" w14:textId="77777777" w:rsidR="005A697A" w:rsidRPr="000661F1"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Western Australian AI Hub (WA AI Hub)</w:t>
            </w:r>
          </w:p>
        </w:tc>
        <w:tc>
          <w:tcPr>
            <w:tcW w:w="1276" w:type="dxa"/>
            <w:tcBorders>
              <w:top w:val="nil"/>
              <w:bottom w:val="nil"/>
            </w:tcBorders>
            <w:shd w:val="clear" w:color="000000" w:fill="auto"/>
            <w:vAlign w:val="bottom"/>
          </w:tcPr>
          <w:p w14:paraId="6E190810" w14:textId="77777777" w:rsidR="005A697A" w:rsidRPr="000661F1"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221</w:t>
            </w:r>
          </w:p>
        </w:tc>
      </w:tr>
      <w:tr w:rsidR="005A697A" w:rsidRPr="0085190D" w14:paraId="4618D6EC" w14:textId="77777777" w:rsidTr="00215BA1">
        <w:trPr>
          <w:tblHeader/>
        </w:trPr>
        <w:tc>
          <w:tcPr>
            <w:tcW w:w="8505" w:type="dxa"/>
            <w:tcBorders>
              <w:bottom w:val="nil"/>
            </w:tcBorders>
            <w:shd w:val="clear" w:color="auto" w:fill="E6E6E6"/>
            <w:vAlign w:val="bottom"/>
          </w:tcPr>
          <w:p w14:paraId="1DF9B9F6" w14:textId="77777777" w:rsidR="005A697A" w:rsidRPr="000661F1"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Western Australian Health Promotion Foundation (</w:t>
            </w:r>
            <w:proofErr w:type="spellStart"/>
            <w:r w:rsidRPr="0046533F">
              <w:rPr>
                <w:rFonts w:ascii="Arial (Body)" w:hAnsi="Arial (Body)"/>
                <w:b w:val="0"/>
                <w:bCs/>
                <w:color w:val="auto"/>
              </w:rPr>
              <w:t>Healthway</w:t>
            </w:r>
            <w:proofErr w:type="spellEnd"/>
            <w:r w:rsidRPr="0046533F">
              <w:rPr>
                <w:rFonts w:ascii="Arial (Body)" w:hAnsi="Arial (Body)"/>
                <w:b w:val="0"/>
                <w:bCs/>
                <w:color w:val="auto"/>
              </w:rPr>
              <w:t>)</w:t>
            </w:r>
          </w:p>
        </w:tc>
        <w:tc>
          <w:tcPr>
            <w:tcW w:w="1276" w:type="dxa"/>
            <w:tcBorders>
              <w:bottom w:val="nil"/>
            </w:tcBorders>
            <w:shd w:val="clear" w:color="auto" w:fill="E6E6E6"/>
            <w:vAlign w:val="bottom"/>
          </w:tcPr>
          <w:p w14:paraId="105FCBC4" w14:textId="77777777" w:rsidR="005A697A" w:rsidRPr="000661F1"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207</w:t>
            </w:r>
          </w:p>
        </w:tc>
      </w:tr>
      <w:tr w:rsidR="005A697A" w:rsidRPr="0085190D" w14:paraId="79C13230" w14:textId="77777777" w:rsidTr="003923B0">
        <w:trPr>
          <w:tblHeader/>
        </w:trPr>
        <w:tc>
          <w:tcPr>
            <w:tcW w:w="8505" w:type="dxa"/>
            <w:tcBorders>
              <w:top w:val="nil"/>
              <w:bottom w:val="nil"/>
            </w:tcBorders>
            <w:shd w:val="clear" w:color="000000" w:fill="auto"/>
            <w:vAlign w:val="bottom"/>
          </w:tcPr>
          <w:p w14:paraId="41FA08D5" w14:textId="77777777" w:rsidR="005A697A" w:rsidRPr="000661F1"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Women With Disabilities Australia (WWDA)</w:t>
            </w:r>
          </w:p>
        </w:tc>
        <w:tc>
          <w:tcPr>
            <w:tcW w:w="1276" w:type="dxa"/>
            <w:tcBorders>
              <w:top w:val="nil"/>
              <w:bottom w:val="nil"/>
            </w:tcBorders>
            <w:shd w:val="clear" w:color="000000" w:fill="auto"/>
            <w:vAlign w:val="bottom"/>
          </w:tcPr>
          <w:p w14:paraId="303198D7" w14:textId="77777777" w:rsidR="005A697A" w:rsidRPr="000661F1"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188</w:t>
            </w:r>
          </w:p>
        </w:tc>
      </w:tr>
      <w:tr w:rsidR="005A697A" w:rsidRPr="0085190D" w14:paraId="6DB24CEB" w14:textId="77777777" w:rsidTr="00215BA1">
        <w:trPr>
          <w:tblHeader/>
        </w:trPr>
        <w:tc>
          <w:tcPr>
            <w:tcW w:w="8505" w:type="dxa"/>
            <w:tcBorders>
              <w:bottom w:val="nil"/>
            </w:tcBorders>
            <w:shd w:val="clear" w:color="auto" w:fill="E6E6E6"/>
            <w:vAlign w:val="bottom"/>
          </w:tcPr>
          <w:p w14:paraId="03AF6396" w14:textId="77777777" w:rsidR="005A697A" w:rsidRPr="000661F1"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 xml:space="preserve">Working with Women Alliance, Women </w:t>
            </w:r>
            <w:proofErr w:type="gramStart"/>
            <w:r w:rsidRPr="0046533F">
              <w:rPr>
                <w:rFonts w:ascii="Arial (Body)" w:hAnsi="Arial (Body)"/>
                <w:b w:val="0"/>
                <w:bCs/>
                <w:color w:val="auto"/>
              </w:rPr>
              <w:t>With</w:t>
            </w:r>
            <w:proofErr w:type="gramEnd"/>
            <w:r w:rsidRPr="0046533F">
              <w:rPr>
                <w:rFonts w:ascii="Arial (Body)" w:hAnsi="Arial (Body)"/>
                <w:b w:val="0"/>
                <w:bCs/>
                <w:color w:val="auto"/>
              </w:rPr>
              <w:t xml:space="preserve"> Disabilities Australia, Australian Multicultural Women</w:t>
            </w:r>
            <w:r>
              <w:rPr>
                <w:rFonts w:ascii="Arial (Body)" w:hAnsi="Arial (Body)"/>
                <w:b w:val="0"/>
                <w:bCs/>
                <w:color w:val="auto"/>
              </w:rPr>
              <w:t>’</w:t>
            </w:r>
            <w:r w:rsidRPr="0046533F">
              <w:rPr>
                <w:rFonts w:ascii="Arial (Body)" w:hAnsi="Arial (Body)"/>
                <w:b w:val="0"/>
                <w:bCs/>
                <w:color w:val="auto"/>
              </w:rPr>
              <w:t>s Alliance, and National Aboriginal and Torres Strait Islander Women</w:t>
            </w:r>
            <w:r>
              <w:rPr>
                <w:rFonts w:ascii="Arial (Body)" w:hAnsi="Arial (Body)"/>
                <w:b w:val="0"/>
                <w:bCs/>
                <w:color w:val="auto"/>
              </w:rPr>
              <w:t>’</w:t>
            </w:r>
            <w:r w:rsidRPr="0046533F">
              <w:rPr>
                <w:rFonts w:ascii="Arial (Body)" w:hAnsi="Arial (Body)"/>
                <w:b w:val="0"/>
                <w:bCs/>
                <w:color w:val="auto"/>
              </w:rPr>
              <w:t>s Alliance (</w:t>
            </w:r>
            <w:proofErr w:type="spellStart"/>
            <w:r w:rsidRPr="0046533F">
              <w:rPr>
                <w:rFonts w:ascii="Arial (Body)" w:hAnsi="Arial (Body)"/>
                <w:b w:val="0"/>
                <w:bCs/>
                <w:color w:val="auto"/>
              </w:rPr>
              <w:t>WwWA</w:t>
            </w:r>
            <w:proofErr w:type="spellEnd"/>
            <w:r w:rsidRPr="0046533F">
              <w:rPr>
                <w:rFonts w:ascii="Arial (Body)" w:hAnsi="Arial (Body)"/>
                <w:b w:val="0"/>
                <w:bCs/>
                <w:color w:val="auto"/>
              </w:rPr>
              <w:t>, WWDA, AMWA, and NATSIWA)</w:t>
            </w:r>
          </w:p>
        </w:tc>
        <w:tc>
          <w:tcPr>
            <w:tcW w:w="1276" w:type="dxa"/>
            <w:tcBorders>
              <w:bottom w:val="nil"/>
            </w:tcBorders>
            <w:shd w:val="clear" w:color="auto" w:fill="E6E6E6"/>
          </w:tcPr>
          <w:p w14:paraId="7A8C269D" w14:textId="77777777" w:rsidR="005A697A" w:rsidRPr="000661F1" w:rsidRDefault="005A697A" w:rsidP="003923B0">
            <w:pPr>
              <w:pStyle w:val="TableHeading"/>
              <w:spacing w:before="45" w:after="45"/>
              <w:ind w:right="108"/>
              <w:jc w:val="right"/>
              <w:rPr>
                <w:rFonts w:ascii="Arial (Body)" w:hAnsi="Arial (Body)"/>
                <w:b w:val="0"/>
                <w:bCs/>
                <w:color w:val="auto"/>
              </w:rPr>
            </w:pPr>
            <w:r w:rsidRPr="0046533F">
              <w:rPr>
                <w:rFonts w:ascii="Arial (Body)" w:hAnsi="Arial (Body)"/>
                <w:b w:val="0"/>
                <w:bCs/>
                <w:color w:val="auto"/>
              </w:rPr>
              <w:t>126</w:t>
            </w:r>
          </w:p>
        </w:tc>
      </w:tr>
      <w:tr w:rsidR="005A697A" w:rsidRPr="0085190D" w14:paraId="7C73A73A" w14:textId="77777777" w:rsidTr="003923B0">
        <w:trPr>
          <w:tblHeader/>
        </w:trPr>
        <w:tc>
          <w:tcPr>
            <w:tcW w:w="8505" w:type="dxa"/>
            <w:tcBorders>
              <w:top w:val="nil"/>
              <w:bottom w:val="nil"/>
            </w:tcBorders>
            <w:shd w:val="clear" w:color="000000" w:fill="auto"/>
            <w:vAlign w:val="bottom"/>
          </w:tcPr>
          <w:p w14:paraId="6C3DC52F" w14:textId="77777777" w:rsidR="005A697A" w:rsidRPr="000661F1"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 xml:space="preserve">Young People </w:t>
            </w:r>
            <w:proofErr w:type="gramStart"/>
            <w:r w:rsidRPr="0046533F">
              <w:rPr>
                <w:rFonts w:ascii="Arial (Body)" w:hAnsi="Arial (Body)"/>
                <w:b w:val="0"/>
                <w:bCs/>
                <w:color w:val="auto"/>
              </w:rPr>
              <w:t>In</w:t>
            </w:r>
            <w:proofErr w:type="gramEnd"/>
            <w:r w:rsidRPr="0046533F">
              <w:rPr>
                <w:rFonts w:ascii="Arial (Body)" w:hAnsi="Arial (Body)"/>
                <w:b w:val="0"/>
                <w:bCs/>
                <w:color w:val="auto"/>
              </w:rPr>
              <w:t xml:space="preserve"> Nursing Home National Alliance (YPINH National Alliance)</w:t>
            </w:r>
          </w:p>
        </w:tc>
        <w:tc>
          <w:tcPr>
            <w:tcW w:w="1276" w:type="dxa"/>
            <w:tcBorders>
              <w:top w:val="nil"/>
              <w:bottom w:val="nil"/>
            </w:tcBorders>
            <w:shd w:val="clear" w:color="000000" w:fill="auto"/>
            <w:vAlign w:val="bottom"/>
          </w:tcPr>
          <w:p w14:paraId="18C298FB" w14:textId="77777777" w:rsidR="005A697A" w:rsidRPr="000661F1"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206</w:t>
            </w:r>
          </w:p>
        </w:tc>
      </w:tr>
      <w:tr w:rsidR="005A697A" w:rsidRPr="0085190D" w14:paraId="58238172" w14:textId="77777777" w:rsidTr="00215BA1">
        <w:trPr>
          <w:tblHeader/>
        </w:trPr>
        <w:tc>
          <w:tcPr>
            <w:tcW w:w="8505" w:type="dxa"/>
            <w:tcBorders>
              <w:bottom w:val="nil"/>
            </w:tcBorders>
            <w:shd w:val="clear" w:color="auto" w:fill="E6E6E6"/>
            <w:vAlign w:val="bottom"/>
          </w:tcPr>
          <w:p w14:paraId="7BE3584C" w14:textId="77777777" w:rsidR="005A697A" w:rsidRPr="000661F1"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Anonymous</w:t>
            </w:r>
          </w:p>
        </w:tc>
        <w:tc>
          <w:tcPr>
            <w:tcW w:w="1276" w:type="dxa"/>
            <w:tcBorders>
              <w:bottom w:val="nil"/>
            </w:tcBorders>
            <w:shd w:val="clear" w:color="auto" w:fill="E6E6E6"/>
            <w:vAlign w:val="bottom"/>
          </w:tcPr>
          <w:p w14:paraId="5BBF621B" w14:textId="77777777" w:rsidR="005A697A" w:rsidRPr="000661F1"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37</w:t>
            </w:r>
          </w:p>
        </w:tc>
      </w:tr>
      <w:tr w:rsidR="005A697A" w:rsidRPr="0085190D" w14:paraId="1791EEB6" w14:textId="77777777" w:rsidTr="003923B0">
        <w:trPr>
          <w:tblHeader/>
        </w:trPr>
        <w:tc>
          <w:tcPr>
            <w:tcW w:w="8505" w:type="dxa"/>
            <w:tcBorders>
              <w:top w:val="nil"/>
              <w:bottom w:val="nil"/>
            </w:tcBorders>
            <w:shd w:val="clear" w:color="000000" w:fill="auto"/>
            <w:vAlign w:val="bottom"/>
          </w:tcPr>
          <w:p w14:paraId="6529D1DF" w14:textId="77777777" w:rsidR="005A697A" w:rsidRPr="000661F1"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Anonymous</w:t>
            </w:r>
          </w:p>
        </w:tc>
        <w:tc>
          <w:tcPr>
            <w:tcW w:w="1276" w:type="dxa"/>
            <w:tcBorders>
              <w:top w:val="nil"/>
              <w:bottom w:val="nil"/>
            </w:tcBorders>
            <w:shd w:val="clear" w:color="000000" w:fill="auto"/>
            <w:vAlign w:val="bottom"/>
          </w:tcPr>
          <w:p w14:paraId="10654197" w14:textId="77777777" w:rsidR="005A697A" w:rsidRPr="000661F1"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48</w:t>
            </w:r>
          </w:p>
        </w:tc>
      </w:tr>
      <w:tr w:rsidR="005A697A" w:rsidRPr="0085190D" w14:paraId="4231632A" w14:textId="77777777" w:rsidTr="00215BA1">
        <w:trPr>
          <w:tblHeader/>
        </w:trPr>
        <w:tc>
          <w:tcPr>
            <w:tcW w:w="8505" w:type="dxa"/>
            <w:tcBorders>
              <w:bottom w:val="nil"/>
            </w:tcBorders>
            <w:shd w:val="clear" w:color="auto" w:fill="E6E6E6"/>
            <w:vAlign w:val="bottom"/>
          </w:tcPr>
          <w:p w14:paraId="547F8014" w14:textId="77777777" w:rsidR="005A697A" w:rsidRPr="000661F1"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Anonymous</w:t>
            </w:r>
          </w:p>
        </w:tc>
        <w:tc>
          <w:tcPr>
            <w:tcW w:w="1276" w:type="dxa"/>
            <w:tcBorders>
              <w:bottom w:val="nil"/>
            </w:tcBorders>
            <w:shd w:val="clear" w:color="auto" w:fill="E6E6E6"/>
            <w:vAlign w:val="bottom"/>
          </w:tcPr>
          <w:p w14:paraId="3A614F71" w14:textId="77777777" w:rsidR="005A697A" w:rsidRPr="000661F1"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49</w:t>
            </w:r>
          </w:p>
        </w:tc>
      </w:tr>
      <w:tr w:rsidR="005A697A" w:rsidRPr="0085190D" w14:paraId="567B6437" w14:textId="77777777" w:rsidTr="003923B0">
        <w:trPr>
          <w:tblHeader/>
        </w:trPr>
        <w:tc>
          <w:tcPr>
            <w:tcW w:w="8505" w:type="dxa"/>
            <w:tcBorders>
              <w:top w:val="nil"/>
              <w:bottom w:val="nil"/>
            </w:tcBorders>
            <w:shd w:val="clear" w:color="000000" w:fill="auto"/>
            <w:vAlign w:val="bottom"/>
          </w:tcPr>
          <w:p w14:paraId="7BB6162D" w14:textId="77777777" w:rsidR="005A697A" w:rsidRPr="000661F1"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Anonymous</w:t>
            </w:r>
          </w:p>
        </w:tc>
        <w:tc>
          <w:tcPr>
            <w:tcW w:w="1276" w:type="dxa"/>
            <w:tcBorders>
              <w:top w:val="nil"/>
              <w:bottom w:val="nil"/>
            </w:tcBorders>
            <w:shd w:val="clear" w:color="000000" w:fill="auto"/>
            <w:vAlign w:val="bottom"/>
          </w:tcPr>
          <w:p w14:paraId="137DA6F9" w14:textId="77777777" w:rsidR="005A697A" w:rsidRPr="000661F1"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88</w:t>
            </w:r>
          </w:p>
        </w:tc>
      </w:tr>
      <w:tr w:rsidR="005A697A" w:rsidRPr="0085190D" w14:paraId="3F51FEBE" w14:textId="77777777" w:rsidTr="00215BA1">
        <w:trPr>
          <w:tblHeader/>
        </w:trPr>
        <w:tc>
          <w:tcPr>
            <w:tcW w:w="8505" w:type="dxa"/>
            <w:tcBorders>
              <w:bottom w:val="nil"/>
            </w:tcBorders>
            <w:shd w:val="clear" w:color="auto" w:fill="E6E6E6"/>
            <w:vAlign w:val="bottom"/>
          </w:tcPr>
          <w:p w14:paraId="56C06FF1" w14:textId="77777777" w:rsidR="005A697A" w:rsidRPr="000661F1"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Anonymous</w:t>
            </w:r>
          </w:p>
        </w:tc>
        <w:tc>
          <w:tcPr>
            <w:tcW w:w="1276" w:type="dxa"/>
            <w:tcBorders>
              <w:bottom w:val="nil"/>
            </w:tcBorders>
            <w:shd w:val="clear" w:color="auto" w:fill="E6E6E6"/>
            <w:vAlign w:val="bottom"/>
          </w:tcPr>
          <w:p w14:paraId="2F9341D9" w14:textId="77777777" w:rsidR="005A697A" w:rsidRPr="000661F1"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181</w:t>
            </w:r>
          </w:p>
        </w:tc>
      </w:tr>
      <w:tr w:rsidR="005A697A" w:rsidRPr="0085190D" w14:paraId="25625E46" w14:textId="77777777" w:rsidTr="003923B0">
        <w:trPr>
          <w:tblHeader/>
        </w:trPr>
        <w:tc>
          <w:tcPr>
            <w:tcW w:w="8505" w:type="dxa"/>
            <w:tcBorders>
              <w:bottom w:val="single" w:sz="4" w:space="0" w:color="BFBFBF" w:themeColor="background1" w:themeShade="BF"/>
            </w:tcBorders>
            <w:shd w:val="clear" w:color="000000" w:fill="auto"/>
            <w:vAlign w:val="bottom"/>
          </w:tcPr>
          <w:p w14:paraId="47A6A1DB" w14:textId="77777777" w:rsidR="005A697A" w:rsidRPr="0046533F" w:rsidRDefault="005A697A">
            <w:pPr>
              <w:pStyle w:val="TableHeading"/>
              <w:spacing w:before="45" w:after="45"/>
              <w:ind w:right="108"/>
              <w:rPr>
                <w:rFonts w:ascii="Arial (Body)" w:hAnsi="Arial (Body)"/>
                <w:b w:val="0"/>
                <w:bCs/>
                <w:color w:val="auto"/>
              </w:rPr>
            </w:pPr>
            <w:r w:rsidRPr="0046533F">
              <w:rPr>
                <w:rFonts w:ascii="Arial (Body)" w:hAnsi="Arial (Body)"/>
                <w:b w:val="0"/>
                <w:bCs/>
                <w:color w:val="auto"/>
              </w:rPr>
              <w:t>Anonymous</w:t>
            </w:r>
          </w:p>
        </w:tc>
        <w:tc>
          <w:tcPr>
            <w:tcW w:w="1276" w:type="dxa"/>
            <w:tcBorders>
              <w:bottom w:val="single" w:sz="4" w:space="0" w:color="BFBFBF" w:themeColor="background1" w:themeShade="BF"/>
            </w:tcBorders>
            <w:shd w:val="clear" w:color="000000" w:fill="auto"/>
            <w:vAlign w:val="bottom"/>
          </w:tcPr>
          <w:p w14:paraId="5E9C1870" w14:textId="77777777" w:rsidR="005A697A" w:rsidRPr="0046533F" w:rsidRDefault="005A697A">
            <w:pPr>
              <w:pStyle w:val="TableHeading"/>
              <w:spacing w:before="45" w:after="45"/>
              <w:ind w:right="108"/>
              <w:jc w:val="right"/>
              <w:rPr>
                <w:rFonts w:ascii="Arial (Body)" w:hAnsi="Arial (Body)"/>
                <w:b w:val="0"/>
                <w:bCs/>
                <w:color w:val="auto"/>
              </w:rPr>
            </w:pPr>
            <w:r w:rsidRPr="0046533F">
              <w:rPr>
                <w:rFonts w:ascii="Arial (Body)" w:hAnsi="Arial (Body)"/>
                <w:b w:val="0"/>
                <w:bCs/>
                <w:color w:val="auto"/>
              </w:rPr>
              <w:t>210</w:t>
            </w:r>
          </w:p>
        </w:tc>
      </w:tr>
    </w:tbl>
    <w:p w14:paraId="49C77840" w14:textId="77777777" w:rsidR="005A697A" w:rsidRPr="003923B0" w:rsidRDefault="005A697A" w:rsidP="003923B0">
      <w:pPr>
        <w:pStyle w:val="BodyText"/>
      </w:pPr>
    </w:p>
    <w:p w14:paraId="045CFA68" w14:textId="77777777" w:rsidR="005A697A" w:rsidRDefault="005A697A">
      <w:pPr>
        <w:pStyle w:val="BodyText"/>
        <w:rPr>
          <w:rFonts w:asciiTheme="majorHAnsi" w:hAnsiTheme="majorHAnsi"/>
        </w:rPr>
      </w:pPr>
      <w:r>
        <w:rPr>
          <w:rFonts w:asciiTheme="majorHAnsi" w:hAnsiTheme="majorHAnsi"/>
        </w:rPr>
        <w:t>Table A.4 – Questionnaire responses</w:t>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5A697A" w:rsidRPr="00D5030D" w14:paraId="269FF962" w14:textId="77777777">
        <w:trPr>
          <w:tblHeader/>
        </w:trPr>
        <w:tc>
          <w:tcPr>
            <w:tcW w:w="8789" w:type="dxa"/>
            <w:tcBorders>
              <w:bottom w:val="single" w:sz="4" w:space="0" w:color="B3B3B3"/>
            </w:tcBorders>
            <w:shd w:val="clear" w:color="000000" w:fill="auto"/>
            <w:vAlign w:val="bottom"/>
          </w:tcPr>
          <w:p w14:paraId="7DFF225F" w14:textId="77777777" w:rsidR="005A697A" w:rsidRPr="00D5030D" w:rsidRDefault="005A697A">
            <w:pPr>
              <w:pStyle w:val="TableHeading"/>
              <w:spacing w:before="45" w:after="45"/>
              <w:ind w:right="108"/>
              <w:rPr>
                <w:rFonts w:ascii="Arial (Body)" w:hAnsi="Arial (Body)"/>
                <w:color w:val="265A9A"/>
              </w:rPr>
            </w:pPr>
            <w:r w:rsidRPr="00D5030D">
              <w:rPr>
                <w:rFonts w:ascii="Arial (Body)" w:hAnsi="Arial (Body)"/>
                <w:color w:val="265A9A"/>
              </w:rPr>
              <w:br w:type="page"/>
            </w:r>
            <w:r w:rsidRPr="00D5030D">
              <w:rPr>
                <w:rFonts w:ascii="Arial (Body)" w:hAnsi="Arial (Body)"/>
                <w:color w:val="265A9A"/>
              </w:rPr>
              <w:br w:type="page"/>
              <w:t>Participants</w:t>
            </w:r>
          </w:p>
        </w:tc>
        <w:tc>
          <w:tcPr>
            <w:tcW w:w="992" w:type="dxa"/>
            <w:tcBorders>
              <w:bottom w:val="single" w:sz="4" w:space="0" w:color="B3B3B3"/>
            </w:tcBorders>
            <w:shd w:val="clear" w:color="000000" w:fill="auto"/>
            <w:vAlign w:val="bottom"/>
          </w:tcPr>
          <w:p w14:paraId="3FD6985D" w14:textId="77777777" w:rsidR="005A697A" w:rsidRPr="00D5030D" w:rsidRDefault="005A697A">
            <w:pPr>
              <w:pStyle w:val="TableHeading"/>
              <w:spacing w:before="45" w:after="45"/>
              <w:ind w:right="108"/>
              <w:jc w:val="right"/>
              <w:rPr>
                <w:rFonts w:ascii="Arial (Body)" w:hAnsi="Arial (Body)"/>
                <w:color w:val="265A9A"/>
              </w:rPr>
            </w:pPr>
            <w:proofErr w:type="spellStart"/>
            <w:r>
              <w:rPr>
                <w:rFonts w:ascii="Arial (Body)" w:hAnsi="Arial (Body)"/>
                <w:color w:val="265A9A"/>
              </w:rPr>
              <w:t>qr</w:t>
            </w:r>
            <w:proofErr w:type="spellEnd"/>
            <w:r>
              <w:rPr>
                <w:rFonts w:ascii="Arial (Body)" w:hAnsi="Arial (Body)"/>
                <w:color w:val="265A9A"/>
              </w:rPr>
              <w:t xml:space="preserve"> no.</w:t>
            </w:r>
          </w:p>
        </w:tc>
      </w:tr>
      <w:tr w:rsidR="005A697A" w:rsidRPr="00D5030D" w14:paraId="04A7CD6D" w14:textId="77777777" w:rsidTr="00215BA1">
        <w:trPr>
          <w:tblHeader/>
        </w:trPr>
        <w:tc>
          <w:tcPr>
            <w:tcW w:w="8789" w:type="dxa"/>
            <w:tcBorders>
              <w:top w:val="single" w:sz="4" w:space="0" w:color="B3B3B3"/>
              <w:bottom w:val="nil"/>
            </w:tcBorders>
            <w:shd w:val="clear" w:color="auto" w:fill="E6E6E6"/>
            <w:vAlign w:val="bottom"/>
          </w:tcPr>
          <w:p w14:paraId="622EF705" w14:textId="77777777" w:rsidR="005A697A" w:rsidRPr="00347BB1" w:rsidRDefault="005A697A">
            <w:pPr>
              <w:pStyle w:val="TableHeading"/>
              <w:spacing w:before="45" w:after="45"/>
              <w:ind w:right="108"/>
              <w:rPr>
                <w:rFonts w:ascii="Arial (Body)" w:hAnsi="Arial (Body)"/>
                <w:b w:val="0"/>
                <w:bCs/>
                <w:color w:val="auto"/>
              </w:rPr>
            </w:pPr>
            <w:r w:rsidRPr="002F7BC2">
              <w:rPr>
                <w:rFonts w:ascii="Arial (Body)" w:hAnsi="Arial (Body)"/>
                <w:b w:val="0"/>
                <w:bCs/>
                <w:color w:val="auto"/>
              </w:rPr>
              <w:t>Advanced Pharmacy Australia (</w:t>
            </w:r>
            <w:proofErr w:type="spellStart"/>
            <w:r w:rsidRPr="002F7BC2">
              <w:rPr>
                <w:rFonts w:ascii="Arial (Body)" w:hAnsi="Arial (Body)"/>
                <w:b w:val="0"/>
                <w:bCs/>
                <w:color w:val="auto"/>
              </w:rPr>
              <w:t>AdPha</w:t>
            </w:r>
            <w:proofErr w:type="spellEnd"/>
            <w:r w:rsidRPr="002F7BC2">
              <w:rPr>
                <w:rFonts w:ascii="Arial (Body)" w:hAnsi="Arial (Body)"/>
                <w:b w:val="0"/>
                <w:bCs/>
                <w:color w:val="auto"/>
              </w:rPr>
              <w:t>)</w:t>
            </w:r>
          </w:p>
        </w:tc>
        <w:tc>
          <w:tcPr>
            <w:tcW w:w="992" w:type="dxa"/>
            <w:tcBorders>
              <w:top w:val="single" w:sz="4" w:space="0" w:color="B3B3B3"/>
              <w:bottom w:val="nil"/>
            </w:tcBorders>
            <w:shd w:val="clear" w:color="auto" w:fill="E6E6E6"/>
            <w:vAlign w:val="bottom"/>
          </w:tcPr>
          <w:p w14:paraId="3EC77387" w14:textId="77777777" w:rsidR="005A697A" w:rsidRPr="00347BB1" w:rsidRDefault="005A697A">
            <w:pPr>
              <w:pStyle w:val="TableHeading"/>
              <w:spacing w:before="45" w:after="45"/>
              <w:ind w:right="108"/>
              <w:jc w:val="right"/>
              <w:rPr>
                <w:rFonts w:ascii="Arial (Body)" w:hAnsi="Arial (Body)"/>
                <w:b w:val="0"/>
                <w:bCs/>
                <w:color w:val="auto"/>
              </w:rPr>
            </w:pPr>
            <w:r w:rsidRPr="002F7BC2">
              <w:rPr>
                <w:rFonts w:ascii="Arial (Body)" w:hAnsi="Arial (Body)"/>
                <w:b w:val="0"/>
                <w:bCs/>
                <w:color w:val="auto"/>
              </w:rPr>
              <w:t>60</w:t>
            </w:r>
          </w:p>
        </w:tc>
      </w:tr>
      <w:tr w:rsidR="005A697A" w:rsidRPr="00D5030D" w14:paraId="67FA9FE1" w14:textId="77777777">
        <w:trPr>
          <w:tblHeader/>
        </w:trPr>
        <w:tc>
          <w:tcPr>
            <w:tcW w:w="8789" w:type="dxa"/>
            <w:tcBorders>
              <w:top w:val="nil"/>
              <w:bottom w:val="nil"/>
            </w:tcBorders>
            <w:shd w:val="clear" w:color="000000" w:fill="auto"/>
            <w:vAlign w:val="bottom"/>
          </w:tcPr>
          <w:p w14:paraId="348077BC" w14:textId="77777777" w:rsidR="005A697A" w:rsidRPr="00347BB1" w:rsidRDefault="005A697A">
            <w:pPr>
              <w:pStyle w:val="TableHeading"/>
              <w:spacing w:before="45" w:after="45"/>
              <w:ind w:right="108"/>
              <w:rPr>
                <w:rFonts w:ascii="Arial (Body)" w:hAnsi="Arial (Body)"/>
                <w:b w:val="0"/>
                <w:bCs/>
                <w:color w:val="auto"/>
              </w:rPr>
            </w:pPr>
            <w:r w:rsidRPr="002F7BC2">
              <w:rPr>
                <w:rFonts w:ascii="Arial (Body)" w:hAnsi="Arial (Body)"/>
                <w:b w:val="0"/>
                <w:bCs/>
                <w:color w:val="auto"/>
              </w:rPr>
              <w:t>Anita Franklin</w:t>
            </w:r>
          </w:p>
        </w:tc>
        <w:tc>
          <w:tcPr>
            <w:tcW w:w="992" w:type="dxa"/>
            <w:tcBorders>
              <w:top w:val="nil"/>
              <w:bottom w:val="nil"/>
            </w:tcBorders>
            <w:shd w:val="clear" w:color="000000" w:fill="auto"/>
            <w:vAlign w:val="bottom"/>
          </w:tcPr>
          <w:p w14:paraId="3F7E366C" w14:textId="77777777" w:rsidR="005A697A" w:rsidRPr="00347BB1" w:rsidRDefault="005A697A">
            <w:pPr>
              <w:pStyle w:val="TableHeading"/>
              <w:spacing w:before="45" w:after="45"/>
              <w:ind w:right="108"/>
              <w:jc w:val="right"/>
              <w:rPr>
                <w:rFonts w:ascii="Arial (Body)" w:hAnsi="Arial (Body)"/>
                <w:b w:val="0"/>
                <w:bCs/>
                <w:color w:val="auto"/>
              </w:rPr>
            </w:pPr>
            <w:r w:rsidRPr="002F7BC2">
              <w:rPr>
                <w:rFonts w:ascii="Arial (Body)" w:hAnsi="Arial (Body)"/>
                <w:b w:val="0"/>
                <w:bCs/>
                <w:color w:val="auto"/>
              </w:rPr>
              <w:t>4</w:t>
            </w:r>
          </w:p>
        </w:tc>
      </w:tr>
      <w:tr w:rsidR="005A697A" w:rsidRPr="00D5030D" w14:paraId="0CA44382" w14:textId="77777777" w:rsidTr="00215BA1">
        <w:trPr>
          <w:tblHeader/>
        </w:trPr>
        <w:tc>
          <w:tcPr>
            <w:tcW w:w="8789" w:type="dxa"/>
            <w:tcBorders>
              <w:bottom w:val="nil"/>
            </w:tcBorders>
            <w:shd w:val="clear" w:color="auto" w:fill="E6E6E6"/>
            <w:vAlign w:val="bottom"/>
          </w:tcPr>
          <w:p w14:paraId="14D461FE" w14:textId="77777777" w:rsidR="005A697A" w:rsidRPr="00347BB1" w:rsidRDefault="005A697A">
            <w:pPr>
              <w:pStyle w:val="TableHeading"/>
              <w:spacing w:before="45" w:after="45"/>
              <w:ind w:right="108"/>
              <w:rPr>
                <w:rFonts w:ascii="Arial (Body)" w:hAnsi="Arial (Body)"/>
                <w:b w:val="0"/>
                <w:bCs/>
                <w:color w:val="auto"/>
              </w:rPr>
            </w:pPr>
            <w:r w:rsidRPr="002F7BC2">
              <w:rPr>
                <w:rFonts w:ascii="Arial (Body)" w:hAnsi="Arial (Body)"/>
                <w:b w:val="0"/>
                <w:bCs/>
                <w:color w:val="auto"/>
              </w:rPr>
              <w:t>Australian Catholic University</w:t>
            </w:r>
            <w:r>
              <w:rPr>
                <w:rFonts w:ascii="Arial (Body)" w:hAnsi="Arial (Body)"/>
                <w:b w:val="0"/>
                <w:bCs/>
                <w:color w:val="auto"/>
              </w:rPr>
              <w:t xml:space="preserve"> (ACU)</w:t>
            </w:r>
          </w:p>
        </w:tc>
        <w:tc>
          <w:tcPr>
            <w:tcW w:w="992" w:type="dxa"/>
            <w:tcBorders>
              <w:bottom w:val="nil"/>
            </w:tcBorders>
            <w:shd w:val="clear" w:color="auto" w:fill="E6E6E6"/>
            <w:vAlign w:val="bottom"/>
          </w:tcPr>
          <w:p w14:paraId="32C00C4A" w14:textId="77777777" w:rsidR="005A697A" w:rsidRPr="00347BB1" w:rsidRDefault="005A697A">
            <w:pPr>
              <w:pStyle w:val="TableHeading"/>
              <w:spacing w:before="45" w:after="45"/>
              <w:ind w:right="108"/>
              <w:jc w:val="right"/>
              <w:rPr>
                <w:rFonts w:ascii="Arial (Body)" w:hAnsi="Arial (Body)"/>
                <w:b w:val="0"/>
                <w:bCs/>
                <w:color w:val="auto"/>
              </w:rPr>
            </w:pPr>
            <w:r w:rsidRPr="002F7BC2">
              <w:rPr>
                <w:rFonts w:ascii="Arial (Body)" w:hAnsi="Arial (Body)"/>
                <w:b w:val="0"/>
                <w:bCs/>
                <w:color w:val="auto"/>
              </w:rPr>
              <w:t>40</w:t>
            </w:r>
          </w:p>
        </w:tc>
      </w:tr>
      <w:tr w:rsidR="005A697A" w:rsidRPr="00D5030D" w14:paraId="4423BA46" w14:textId="77777777">
        <w:trPr>
          <w:tblHeader/>
        </w:trPr>
        <w:tc>
          <w:tcPr>
            <w:tcW w:w="8789" w:type="dxa"/>
            <w:tcBorders>
              <w:top w:val="nil"/>
              <w:bottom w:val="nil"/>
            </w:tcBorders>
            <w:shd w:val="clear" w:color="000000" w:fill="auto"/>
            <w:vAlign w:val="bottom"/>
          </w:tcPr>
          <w:p w14:paraId="14BE96CA" w14:textId="77777777" w:rsidR="005A697A" w:rsidRPr="00347BB1" w:rsidRDefault="005A697A">
            <w:pPr>
              <w:pStyle w:val="TableHeading"/>
              <w:spacing w:before="45" w:after="45"/>
              <w:ind w:right="108"/>
              <w:rPr>
                <w:rFonts w:ascii="Arial (Body)" w:hAnsi="Arial (Body)"/>
                <w:b w:val="0"/>
                <w:bCs/>
                <w:color w:val="auto"/>
              </w:rPr>
            </w:pPr>
            <w:r w:rsidRPr="002F7BC2">
              <w:rPr>
                <w:rFonts w:ascii="Arial (Body)" w:hAnsi="Arial (Body)"/>
                <w:b w:val="0"/>
                <w:bCs/>
                <w:color w:val="auto"/>
              </w:rPr>
              <w:t>Australian Health Promotion Association (AHPA)</w:t>
            </w:r>
          </w:p>
        </w:tc>
        <w:tc>
          <w:tcPr>
            <w:tcW w:w="992" w:type="dxa"/>
            <w:tcBorders>
              <w:top w:val="nil"/>
              <w:bottom w:val="nil"/>
            </w:tcBorders>
            <w:shd w:val="clear" w:color="000000" w:fill="auto"/>
            <w:vAlign w:val="bottom"/>
          </w:tcPr>
          <w:p w14:paraId="6EAB7E93" w14:textId="77777777" w:rsidR="005A697A" w:rsidRPr="00347BB1" w:rsidRDefault="005A697A">
            <w:pPr>
              <w:pStyle w:val="TableHeading"/>
              <w:spacing w:before="45" w:after="45"/>
              <w:ind w:right="108"/>
              <w:jc w:val="right"/>
              <w:rPr>
                <w:rFonts w:ascii="Arial (Body)" w:hAnsi="Arial (Body)"/>
                <w:b w:val="0"/>
                <w:bCs/>
                <w:color w:val="auto"/>
              </w:rPr>
            </w:pPr>
            <w:r w:rsidRPr="002F7BC2">
              <w:rPr>
                <w:rFonts w:ascii="Arial (Body)" w:hAnsi="Arial (Body)"/>
                <w:b w:val="0"/>
                <w:bCs/>
                <w:color w:val="auto"/>
              </w:rPr>
              <w:t>76</w:t>
            </w:r>
          </w:p>
        </w:tc>
      </w:tr>
      <w:tr w:rsidR="005A697A" w:rsidRPr="00D5030D" w14:paraId="799FED34" w14:textId="77777777" w:rsidTr="00215BA1">
        <w:trPr>
          <w:tblHeader/>
        </w:trPr>
        <w:tc>
          <w:tcPr>
            <w:tcW w:w="8789" w:type="dxa"/>
            <w:tcBorders>
              <w:bottom w:val="nil"/>
            </w:tcBorders>
            <w:shd w:val="clear" w:color="auto" w:fill="E6E6E6"/>
            <w:vAlign w:val="bottom"/>
          </w:tcPr>
          <w:p w14:paraId="29ADE66C" w14:textId="77777777" w:rsidR="005A697A" w:rsidRPr="00347BB1" w:rsidRDefault="005A697A">
            <w:pPr>
              <w:pStyle w:val="TableHeading"/>
              <w:spacing w:before="45" w:after="45"/>
              <w:ind w:right="108"/>
              <w:rPr>
                <w:rFonts w:ascii="Arial (Body)" w:hAnsi="Arial (Body)"/>
                <w:b w:val="0"/>
                <w:bCs/>
                <w:color w:val="auto"/>
              </w:rPr>
            </w:pPr>
            <w:r w:rsidRPr="002F7BC2">
              <w:rPr>
                <w:rFonts w:ascii="Arial (Body)" w:hAnsi="Arial (Body)"/>
                <w:b w:val="0"/>
                <w:bCs/>
                <w:color w:val="auto"/>
              </w:rPr>
              <w:t>Australian Industry Group (Ai Group)</w:t>
            </w:r>
          </w:p>
        </w:tc>
        <w:tc>
          <w:tcPr>
            <w:tcW w:w="992" w:type="dxa"/>
            <w:tcBorders>
              <w:bottom w:val="nil"/>
            </w:tcBorders>
            <w:shd w:val="clear" w:color="auto" w:fill="E6E6E6"/>
            <w:vAlign w:val="bottom"/>
          </w:tcPr>
          <w:p w14:paraId="0F6D92A8" w14:textId="77777777" w:rsidR="005A697A" w:rsidRPr="00347BB1" w:rsidRDefault="005A697A">
            <w:pPr>
              <w:pStyle w:val="TableHeading"/>
              <w:spacing w:before="45" w:after="45"/>
              <w:ind w:right="108"/>
              <w:jc w:val="right"/>
              <w:rPr>
                <w:rFonts w:ascii="Arial (Body)" w:hAnsi="Arial (Body)"/>
                <w:b w:val="0"/>
                <w:bCs/>
                <w:color w:val="auto"/>
              </w:rPr>
            </w:pPr>
            <w:r w:rsidRPr="002F7BC2">
              <w:rPr>
                <w:rFonts w:ascii="Arial (Body)" w:hAnsi="Arial (Body)"/>
                <w:b w:val="0"/>
                <w:bCs/>
                <w:color w:val="auto"/>
              </w:rPr>
              <w:t>50</w:t>
            </w:r>
          </w:p>
        </w:tc>
      </w:tr>
      <w:tr w:rsidR="005A697A" w:rsidRPr="00D5030D" w14:paraId="7D69672D" w14:textId="77777777">
        <w:trPr>
          <w:tblHeader/>
        </w:trPr>
        <w:tc>
          <w:tcPr>
            <w:tcW w:w="8789" w:type="dxa"/>
            <w:tcBorders>
              <w:top w:val="nil"/>
              <w:bottom w:val="nil"/>
            </w:tcBorders>
            <w:shd w:val="clear" w:color="000000" w:fill="auto"/>
            <w:vAlign w:val="bottom"/>
          </w:tcPr>
          <w:p w14:paraId="075BCA3F" w14:textId="77777777" w:rsidR="005A697A" w:rsidRPr="00347BB1" w:rsidRDefault="005A697A">
            <w:pPr>
              <w:pStyle w:val="TableHeading"/>
              <w:spacing w:before="45" w:after="45"/>
              <w:ind w:right="108"/>
              <w:rPr>
                <w:rFonts w:ascii="Arial (Body)" w:hAnsi="Arial (Body)"/>
                <w:b w:val="0"/>
                <w:bCs/>
                <w:color w:val="auto"/>
              </w:rPr>
            </w:pPr>
            <w:r w:rsidRPr="002F7BC2">
              <w:rPr>
                <w:rFonts w:ascii="Arial (Body)" w:hAnsi="Arial (Body)"/>
                <w:b w:val="0"/>
                <w:bCs/>
                <w:color w:val="auto"/>
              </w:rPr>
              <w:t>Belinda</w:t>
            </w:r>
          </w:p>
        </w:tc>
        <w:tc>
          <w:tcPr>
            <w:tcW w:w="992" w:type="dxa"/>
            <w:tcBorders>
              <w:top w:val="nil"/>
              <w:bottom w:val="nil"/>
            </w:tcBorders>
            <w:shd w:val="clear" w:color="000000" w:fill="auto"/>
            <w:vAlign w:val="bottom"/>
          </w:tcPr>
          <w:p w14:paraId="676A8B28" w14:textId="77777777" w:rsidR="005A697A" w:rsidRPr="00347BB1" w:rsidRDefault="005A697A">
            <w:pPr>
              <w:pStyle w:val="TableHeading"/>
              <w:spacing w:before="45" w:after="45"/>
              <w:ind w:right="108"/>
              <w:jc w:val="right"/>
              <w:rPr>
                <w:rFonts w:ascii="Arial (Body)" w:hAnsi="Arial (Body)"/>
                <w:b w:val="0"/>
                <w:bCs/>
                <w:color w:val="auto"/>
              </w:rPr>
            </w:pPr>
            <w:r w:rsidRPr="002F7BC2">
              <w:rPr>
                <w:rFonts w:ascii="Arial (Body)" w:hAnsi="Arial (Body)"/>
                <w:b w:val="0"/>
                <w:bCs/>
                <w:color w:val="auto"/>
              </w:rPr>
              <w:t>7</w:t>
            </w:r>
          </w:p>
        </w:tc>
      </w:tr>
      <w:tr w:rsidR="005A697A" w:rsidRPr="00D5030D" w14:paraId="44B4231C" w14:textId="77777777" w:rsidTr="00215BA1">
        <w:trPr>
          <w:tblHeader/>
        </w:trPr>
        <w:tc>
          <w:tcPr>
            <w:tcW w:w="8789" w:type="dxa"/>
            <w:tcBorders>
              <w:bottom w:val="nil"/>
            </w:tcBorders>
            <w:shd w:val="clear" w:color="auto" w:fill="E6E6E6"/>
            <w:vAlign w:val="bottom"/>
          </w:tcPr>
          <w:p w14:paraId="4FA82DE5" w14:textId="77777777" w:rsidR="005A697A" w:rsidRPr="00347BB1" w:rsidRDefault="005A697A">
            <w:pPr>
              <w:pStyle w:val="TableHeading"/>
              <w:spacing w:before="45" w:after="45"/>
              <w:ind w:right="108"/>
              <w:rPr>
                <w:rFonts w:ascii="Arial (Body)" w:hAnsi="Arial (Body)"/>
                <w:b w:val="0"/>
                <w:bCs/>
                <w:color w:val="auto"/>
              </w:rPr>
            </w:pPr>
            <w:r w:rsidRPr="002F7BC2">
              <w:rPr>
                <w:rFonts w:ascii="Arial (Body)" w:hAnsi="Arial (Body)"/>
                <w:b w:val="0"/>
                <w:bCs/>
                <w:color w:val="auto"/>
              </w:rPr>
              <w:t>Bronwen Mary Dalton</w:t>
            </w:r>
          </w:p>
        </w:tc>
        <w:tc>
          <w:tcPr>
            <w:tcW w:w="992" w:type="dxa"/>
            <w:tcBorders>
              <w:bottom w:val="nil"/>
            </w:tcBorders>
            <w:shd w:val="clear" w:color="auto" w:fill="E6E6E6"/>
            <w:vAlign w:val="bottom"/>
          </w:tcPr>
          <w:p w14:paraId="01F59079" w14:textId="77777777" w:rsidR="005A697A" w:rsidRPr="00347BB1" w:rsidRDefault="005A697A">
            <w:pPr>
              <w:pStyle w:val="TableHeading"/>
              <w:spacing w:before="45" w:after="45"/>
              <w:ind w:right="108"/>
              <w:jc w:val="right"/>
              <w:rPr>
                <w:rFonts w:ascii="Arial (Body)" w:hAnsi="Arial (Body)"/>
                <w:b w:val="0"/>
                <w:bCs/>
                <w:color w:val="auto"/>
              </w:rPr>
            </w:pPr>
            <w:r w:rsidRPr="002F7BC2">
              <w:rPr>
                <w:rFonts w:ascii="Arial (Body)" w:hAnsi="Arial (Body)"/>
                <w:b w:val="0"/>
                <w:bCs/>
                <w:color w:val="auto"/>
              </w:rPr>
              <w:t>19</w:t>
            </w:r>
          </w:p>
        </w:tc>
      </w:tr>
      <w:tr w:rsidR="005A697A" w:rsidRPr="00D5030D" w14:paraId="16A270C8" w14:textId="77777777">
        <w:trPr>
          <w:tblHeader/>
        </w:trPr>
        <w:tc>
          <w:tcPr>
            <w:tcW w:w="8789" w:type="dxa"/>
            <w:tcBorders>
              <w:top w:val="nil"/>
              <w:bottom w:val="nil"/>
            </w:tcBorders>
            <w:shd w:val="clear" w:color="000000" w:fill="auto"/>
            <w:vAlign w:val="bottom"/>
          </w:tcPr>
          <w:p w14:paraId="4DB3C902" w14:textId="77777777" w:rsidR="005A697A" w:rsidRPr="00347BB1" w:rsidRDefault="005A697A">
            <w:pPr>
              <w:pStyle w:val="TableHeading"/>
              <w:spacing w:before="45" w:after="45"/>
              <w:ind w:right="108"/>
              <w:rPr>
                <w:rFonts w:ascii="Arial (Body)" w:hAnsi="Arial (Body)"/>
                <w:b w:val="0"/>
                <w:bCs/>
                <w:color w:val="auto"/>
              </w:rPr>
            </w:pPr>
            <w:r w:rsidRPr="002F7BC2">
              <w:rPr>
                <w:rFonts w:ascii="Arial (Body)" w:hAnsi="Arial (Body)"/>
                <w:b w:val="0"/>
                <w:bCs/>
                <w:color w:val="auto"/>
              </w:rPr>
              <w:t>Business Council of Co</w:t>
            </w:r>
            <w:r>
              <w:rPr>
                <w:rFonts w:ascii="Arial (Body)" w:hAnsi="Arial (Body)"/>
                <w:b w:val="0"/>
                <w:bCs/>
                <w:color w:val="auto"/>
              </w:rPr>
              <w:noBreakHyphen/>
            </w:r>
            <w:r w:rsidRPr="002F7BC2">
              <w:rPr>
                <w:rFonts w:ascii="Arial (Body)" w:hAnsi="Arial (Body)"/>
                <w:b w:val="0"/>
                <w:bCs/>
                <w:color w:val="auto"/>
              </w:rPr>
              <w:t>op</w:t>
            </w:r>
            <w:r>
              <w:rPr>
                <w:rFonts w:ascii="Arial (Body)" w:hAnsi="Arial (Body)"/>
                <w:b w:val="0"/>
                <w:bCs/>
                <w:color w:val="auto"/>
              </w:rPr>
              <w:t>e</w:t>
            </w:r>
            <w:r w:rsidRPr="002F7BC2">
              <w:rPr>
                <w:rFonts w:ascii="Arial (Body)" w:hAnsi="Arial (Body)"/>
                <w:b w:val="0"/>
                <w:bCs/>
                <w:color w:val="auto"/>
              </w:rPr>
              <w:t>ratives and Mutuals (BCCM)</w:t>
            </w:r>
          </w:p>
        </w:tc>
        <w:tc>
          <w:tcPr>
            <w:tcW w:w="992" w:type="dxa"/>
            <w:tcBorders>
              <w:top w:val="nil"/>
              <w:bottom w:val="nil"/>
            </w:tcBorders>
            <w:shd w:val="clear" w:color="000000" w:fill="auto"/>
            <w:vAlign w:val="bottom"/>
          </w:tcPr>
          <w:p w14:paraId="0533286C" w14:textId="77777777" w:rsidR="005A697A" w:rsidRPr="00347BB1" w:rsidRDefault="005A697A">
            <w:pPr>
              <w:pStyle w:val="TableHeading"/>
              <w:spacing w:before="45" w:after="45"/>
              <w:ind w:right="108"/>
              <w:jc w:val="right"/>
              <w:rPr>
                <w:rFonts w:ascii="Arial (Body)" w:hAnsi="Arial (Body)"/>
                <w:b w:val="0"/>
                <w:bCs/>
                <w:color w:val="auto"/>
              </w:rPr>
            </w:pPr>
            <w:r w:rsidRPr="002F7BC2">
              <w:rPr>
                <w:rFonts w:ascii="Arial (Body)" w:hAnsi="Arial (Body)"/>
                <w:b w:val="0"/>
                <w:bCs/>
                <w:color w:val="auto"/>
              </w:rPr>
              <w:t>52</w:t>
            </w:r>
          </w:p>
        </w:tc>
      </w:tr>
      <w:tr w:rsidR="005A697A" w:rsidRPr="00D5030D" w14:paraId="31DEE1BB" w14:textId="77777777" w:rsidTr="00215BA1">
        <w:trPr>
          <w:tblHeader/>
        </w:trPr>
        <w:tc>
          <w:tcPr>
            <w:tcW w:w="8789" w:type="dxa"/>
            <w:tcBorders>
              <w:bottom w:val="nil"/>
            </w:tcBorders>
            <w:shd w:val="clear" w:color="auto" w:fill="E6E6E6"/>
            <w:vAlign w:val="bottom"/>
          </w:tcPr>
          <w:p w14:paraId="70CD6F50" w14:textId="77777777" w:rsidR="005A697A" w:rsidRPr="00347BB1" w:rsidRDefault="005A697A">
            <w:pPr>
              <w:pStyle w:val="TableHeading"/>
              <w:spacing w:before="45" w:after="45"/>
              <w:ind w:right="108"/>
              <w:rPr>
                <w:rFonts w:ascii="Arial (Body)" w:hAnsi="Arial (Body)"/>
                <w:b w:val="0"/>
                <w:bCs/>
                <w:color w:val="auto"/>
              </w:rPr>
            </w:pPr>
            <w:r w:rsidRPr="002F7BC2">
              <w:rPr>
                <w:rFonts w:ascii="Arial (Body)" w:hAnsi="Arial (Body)"/>
                <w:b w:val="0"/>
                <w:bCs/>
                <w:color w:val="auto"/>
              </w:rPr>
              <w:t>Cancer Council Australia</w:t>
            </w:r>
          </w:p>
        </w:tc>
        <w:tc>
          <w:tcPr>
            <w:tcW w:w="992" w:type="dxa"/>
            <w:tcBorders>
              <w:bottom w:val="nil"/>
            </w:tcBorders>
            <w:shd w:val="clear" w:color="auto" w:fill="E6E6E6"/>
            <w:vAlign w:val="bottom"/>
          </w:tcPr>
          <w:p w14:paraId="143434EB" w14:textId="77777777" w:rsidR="005A697A" w:rsidRPr="00347BB1" w:rsidRDefault="005A697A">
            <w:pPr>
              <w:pStyle w:val="TableHeading"/>
              <w:spacing w:before="45" w:after="45"/>
              <w:ind w:right="108"/>
              <w:jc w:val="right"/>
              <w:rPr>
                <w:rFonts w:ascii="Arial (Body)" w:hAnsi="Arial (Body)"/>
                <w:b w:val="0"/>
                <w:bCs/>
                <w:color w:val="auto"/>
              </w:rPr>
            </w:pPr>
            <w:r w:rsidRPr="002F7BC2">
              <w:rPr>
                <w:rFonts w:ascii="Arial (Body)" w:hAnsi="Arial (Body)"/>
                <w:b w:val="0"/>
                <w:bCs/>
                <w:color w:val="auto"/>
              </w:rPr>
              <w:t>28</w:t>
            </w:r>
          </w:p>
        </w:tc>
      </w:tr>
      <w:tr w:rsidR="005A697A" w:rsidRPr="00D5030D" w14:paraId="491AC0EF" w14:textId="77777777">
        <w:trPr>
          <w:tblHeader/>
        </w:trPr>
        <w:tc>
          <w:tcPr>
            <w:tcW w:w="8789" w:type="dxa"/>
            <w:tcBorders>
              <w:bottom w:val="nil"/>
            </w:tcBorders>
            <w:shd w:val="clear" w:color="000000" w:fill="auto"/>
            <w:vAlign w:val="bottom"/>
          </w:tcPr>
          <w:p w14:paraId="4E868BEA" w14:textId="77777777" w:rsidR="005A697A" w:rsidRPr="00347BB1" w:rsidRDefault="005A697A">
            <w:pPr>
              <w:pStyle w:val="TableHeading"/>
              <w:spacing w:before="45" w:after="45"/>
              <w:ind w:right="108"/>
              <w:rPr>
                <w:rFonts w:ascii="Arial (Body)" w:hAnsi="Arial (Body)"/>
                <w:b w:val="0"/>
                <w:bCs/>
                <w:color w:val="auto"/>
              </w:rPr>
            </w:pPr>
            <w:r w:rsidRPr="002F7BC2">
              <w:rPr>
                <w:rFonts w:ascii="Arial (Body)" w:hAnsi="Arial (Body)"/>
                <w:b w:val="0"/>
                <w:bCs/>
                <w:color w:val="auto"/>
              </w:rPr>
              <w:t>Care Economy CRC</w:t>
            </w:r>
            <w:r>
              <w:rPr>
                <w:rFonts w:ascii="Arial (Body)" w:hAnsi="Arial (Body)"/>
                <w:b w:val="0"/>
                <w:bCs/>
                <w:color w:val="auto"/>
              </w:rPr>
              <w:t xml:space="preserve"> (CE CRC)</w:t>
            </w:r>
          </w:p>
        </w:tc>
        <w:tc>
          <w:tcPr>
            <w:tcW w:w="992" w:type="dxa"/>
            <w:tcBorders>
              <w:bottom w:val="nil"/>
            </w:tcBorders>
            <w:shd w:val="clear" w:color="000000" w:fill="auto"/>
            <w:vAlign w:val="bottom"/>
          </w:tcPr>
          <w:p w14:paraId="1AB266B4" w14:textId="77777777" w:rsidR="005A697A" w:rsidRPr="00347BB1" w:rsidRDefault="005A697A">
            <w:pPr>
              <w:pStyle w:val="TableHeading"/>
              <w:spacing w:before="45" w:after="45"/>
              <w:ind w:right="108"/>
              <w:jc w:val="right"/>
              <w:rPr>
                <w:rFonts w:ascii="Arial (Body)" w:hAnsi="Arial (Body)"/>
                <w:b w:val="0"/>
                <w:bCs/>
                <w:color w:val="auto"/>
              </w:rPr>
            </w:pPr>
            <w:r w:rsidRPr="002F7BC2">
              <w:rPr>
                <w:rFonts w:ascii="Arial (Body)" w:hAnsi="Arial (Body)"/>
                <w:b w:val="0"/>
                <w:bCs/>
                <w:color w:val="auto"/>
              </w:rPr>
              <w:t>51</w:t>
            </w:r>
          </w:p>
        </w:tc>
      </w:tr>
      <w:tr w:rsidR="005A697A" w:rsidRPr="00D5030D" w14:paraId="1DCFB25D" w14:textId="77777777" w:rsidTr="00215BA1">
        <w:trPr>
          <w:tblHeader/>
        </w:trPr>
        <w:tc>
          <w:tcPr>
            <w:tcW w:w="8789" w:type="dxa"/>
            <w:tcBorders>
              <w:bottom w:val="nil"/>
            </w:tcBorders>
            <w:shd w:val="clear" w:color="auto" w:fill="E6E6E6"/>
            <w:vAlign w:val="bottom"/>
          </w:tcPr>
          <w:p w14:paraId="22687DD9" w14:textId="77777777" w:rsidR="005A697A" w:rsidRPr="00347BB1" w:rsidRDefault="005A697A">
            <w:pPr>
              <w:pStyle w:val="TableHeading"/>
              <w:spacing w:before="45" w:after="45"/>
              <w:ind w:right="108"/>
              <w:rPr>
                <w:rFonts w:ascii="Arial (Body)" w:hAnsi="Arial (Body)"/>
                <w:b w:val="0"/>
                <w:bCs/>
                <w:color w:val="auto"/>
              </w:rPr>
            </w:pPr>
            <w:r w:rsidRPr="002F7BC2">
              <w:rPr>
                <w:rFonts w:ascii="Arial (Body)" w:hAnsi="Arial (Body)"/>
                <w:b w:val="0"/>
                <w:bCs/>
                <w:color w:val="auto"/>
              </w:rPr>
              <w:t>Carers NSW</w:t>
            </w:r>
          </w:p>
        </w:tc>
        <w:tc>
          <w:tcPr>
            <w:tcW w:w="992" w:type="dxa"/>
            <w:tcBorders>
              <w:bottom w:val="nil"/>
            </w:tcBorders>
            <w:shd w:val="clear" w:color="auto" w:fill="E6E6E6"/>
            <w:vAlign w:val="bottom"/>
          </w:tcPr>
          <w:p w14:paraId="1DB0AC53" w14:textId="77777777" w:rsidR="005A697A" w:rsidRPr="00347BB1" w:rsidRDefault="005A697A">
            <w:pPr>
              <w:pStyle w:val="TableHeading"/>
              <w:spacing w:before="45" w:after="45"/>
              <w:ind w:right="108"/>
              <w:jc w:val="right"/>
              <w:rPr>
                <w:rFonts w:ascii="Arial (Body)" w:hAnsi="Arial (Body)"/>
                <w:b w:val="0"/>
                <w:bCs/>
                <w:color w:val="auto"/>
              </w:rPr>
            </w:pPr>
            <w:r w:rsidRPr="002F7BC2">
              <w:rPr>
                <w:rFonts w:ascii="Arial (Body)" w:hAnsi="Arial (Body)"/>
                <w:b w:val="0"/>
                <w:bCs/>
                <w:color w:val="auto"/>
              </w:rPr>
              <w:t>78</w:t>
            </w:r>
          </w:p>
        </w:tc>
      </w:tr>
      <w:tr w:rsidR="005A697A" w:rsidRPr="00D5030D" w14:paraId="762A746F" w14:textId="77777777">
        <w:trPr>
          <w:tblHeader/>
        </w:trPr>
        <w:tc>
          <w:tcPr>
            <w:tcW w:w="8789" w:type="dxa"/>
            <w:tcBorders>
              <w:bottom w:val="nil"/>
            </w:tcBorders>
            <w:shd w:val="clear" w:color="000000" w:fill="FFFFFF" w:themeFill="background1"/>
            <w:vAlign w:val="bottom"/>
          </w:tcPr>
          <w:p w14:paraId="43FA54D4" w14:textId="77777777" w:rsidR="005A697A" w:rsidRPr="00347BB1" w:rsidRDefault="005A697A">
            <w:pPr>
              <w:pStyle w:val="TableHeading"/>
              <w:spacing w:before="45" w:after="45"/>
              <w:ind w:right="108"/>
              <w:rPr>
                <w:rFonts w:ascii="Arial (Body)" w:hAnsi="Arial (Body)"/>
                <w:b w:val="0"/>
                <w:bCs/>
                <w:color w:val="auto"/>
              </w:rPr>
            </w:pPr>
            <w:r w:rsidRPr="002F7BC2">
              <w:rPr>
                <w:rFonts w:ascii="Arial (Body)" w:hAnsi="Arial (Body)"/>
                <w:b w:val="0"/>
                <w:bCs/>
                <w:color w:val="auto"/>
              </w:rPr>
              <w:t>Caroline Robinson</w:t>
            </w:r>
          </w:p>
        </w:tc>
        <w:tc>
          <w:tcPr>
            <w:tcW w:w="992" w:type="dxa"/>
            <w:tcBorders>
              <w:bottom w:val="nil"/>
            </w:tcBorders>
            <w:shd w:val="clear" w:color="000000" w:fill="FFFFFF" w:themeFill="background1"/>
            <w:vAlign w:val="bottom"/>
          </w:tcPr>
          <w:p w14:paraId="759527F2" w14:textId="77777777" w:rsidR="005A697A" w:rsidRPr="00347BB1" w:rsidRDefault="005A697A">
            <w:pPr>
              <w:pStyle w:val="TableHeading"/>
              <w:spacing w:before="45" w:after="45"/>
              <w:ind w:right="108"/>
              <w:jc w:val="right"/>
              <w:rPr>
                <w:rFonts w:ascii="Arial (Body)" w:hAnsi="Arial (Body)"/>
                <w:b w:val="0"/>
                <w:bCs/>
                <w:color w:val="auto"/>
              </w:rPr>
            </w:pPr>
            <w:r w:rsidRPr="002F7BC2">
              <w:rPr>
                <w:rFonts w:ascii="Arial (Body)" w:hAnsi="Arial (Body)"/>
                <w:b w:val="0"/>
                <w:bCs/>
                <w:color w:val="auto"/>
              </w:rPr>
              <w:t>75</w:t>
            </w:r>
          </w:p>
        </w:tc>
      </w:tr>
      <w:tr w:rsidR="005A697A" w:rsidRPr="00D5030D" w14:paraId="1044C93D" w14:textId="77777777" w:rsidTr="00215BA1">
        <w:trPr>
          <w:tblHeader/>
        </w:trPr>
        <w:tc>
          <w:tcPr>
            <w:tcW w:w="8789" w:type="dxa"/>
            <w:tcBorders>
              <w:top w:val="nil"/>
              <w:bottom w:val="single" w:sz="4" w:space="0" w:color="B3B3B3"/>
            </w:tcBorders>
            <w:shd w:val="clear" w:color="auto" w:fill="E6E6E6"/>
            <w:vAlign w:val="bottom"/>
          </w:tcPr>
          <w:p w14:paraId="55C1BA89" w14:textId="77777777" w:rsidR="005A697A" w:rsidRPr="00347BB1" w:rsidRDefault="005A697A">
            <w:pPr>
              <w:pStyle w:val="TableHeading"/>
              <w:spacing w:before="45" w:after="45"/>
              <w:ind w:right="108"/>
              <w:rPr>
                <w:rFonts w:ascii="Arial (Body)" w:hAnsi="Arial (Body)"/>
                <w:b w:val="0"/>
                <w:bCs/>
                <w:color w:val="auto"/>
              </w:rPr>
            </w:pPr>
            <w:r w:rsidRPr="002F7BC2">
              <w:rPr>
                <w:rFonts w:ascii="Arial (Body)" w:hAnsi="Arial (Body)"/>
                <w:b w:val="0"/>
                <w:bCs/>
                <w:color w:val="auto"/>
              </w:rPr>
              <w:t>Catholic Health Australia (CHA)</w:t>
            </w:r>
          </w:p>
        </w:tc>
        <w:tc>
          <w:tcPr>
            <w:tcW w:w="992" w:type="dxa"/>
            <w:tcBorders>
              <w:top w:val="nil"/>
              <w:bottom w:val="single" w:sz="4" w:space="0" w:color="B3B3B3"/>
            </w:tcBorders>
            <w:shd w:val="clear" w:color="auto" w:fill="E6E6E6"/>
            <w:vAlign w:val="bottom"/>
          </w:tcPr>
          <w:p w14:paraId="041E0F7C" w14:textId="77777777" w:rsidR="005A697A" w:rsidRPr="00347BB1" w:rsidRDefault="005A697A">
            <w:pPr>
              <w:pStyle w:val="TableHeading"/>
              <w:spacing w:before="45" w:after="45"/>
              <w:ind w:right="108"/>
              <w:jc w:val="right"/>
              <w:rPr>
                <w:rFonts w:ascii="Arial (Body)" w:hAnsi="Arial (Body)"/>
                <w:b w:val="0"/>
                <w:bCs/>
                <w:color w:val="auto"/>
              </w:rPr>
            </w:pPr>
            <w:r w:rsidRPr="002F7BC2">
              <w:rPr>
                <w:rFonts w:ascii="Arial (Body)" w:hAnsi="Arial (Body)"/>
                <w:b w:val="0"/>
                <w:bCs/>
                <w:color w:val="auto"/>
              </w:rPr>
              <w:t>65</w:t>
            </w:r>
          </w:p>
        </w:tc>
      </w:tr>
    </w:tbl>
    <w:p w14:paraId="39E8DDB0" w14:textId="77777777" w:rsidR="005A697A" w:rsidRDefault="005A697A" w:rsidP="003923B0">
      <w:pPr>
        <w:pStyle w:val="BodyText"/>
      </w:pPr>
      <w:r>
        <w:br w:type="page"/>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5A697A" w:rsidRPr="00A17008" w14:paraId="109E45A0" w14:textId="77777777">
        <w:trPr>
          <w:tblHeader/>
        </w:trPr>
        <w:tc>
          <w:tcPr>
            <w:tcW w:w="8789" w:type="dxa"/>
            <w:tcBorders>
              <w:bottom w:val="single" w:sz="4" w:space="0" w:color="B3B3B3"/>
            </w:tcBorders>
            <w:shd w:val="clear" w:color="000000" w:fill="auto"/>
            <w:vAlign w:val="bottom"/>
          </w:tcPr>
          <w:p w14:paraId="358D6914" w14:textId="77777777" w:rsidR="005A697A" w:rsidRPr="00A17008" w:rsidRDefault="005A697A">
            <w:pPr>
              <w:pStyle w:val="TableHeading"/>
              <w:spacing w:before="45" w:after="45"/>
              <w:ind w:right="108"/>
              <w:rPr>
                <w:rFonts w:ascii="Arial (Body)" w:hAnsi="Arial (Body)"/>
                <w:color w:val="265A9A"/>
              </w:rPr>
            </w:pPr>
            <w:r w:rsidRPr="00A17008">
              <w:rPr>
                <w:rFonts w:ascii="Arial (Body)" w:hAnsi="Arial (Body)"/>
                <w:color w:val="265A9A"/>
              </w:rPr>
              <w:lastRenderedPageBreak/>
              <w:br w:type="page"/>
            </w:r>
            <w:r w:rsidRPr="00A17008">
              <w:rPr>
                <w:rFonts w:ascii="Arial (Body)" w:hAnsi="Arial (Body)"/>
                <w:color w:val="265A9A"/>
              </w:rPr>
              <w:br w:type="page"/>
              <w:t>Participants</w:t>
            </w:r>
          </w:p>
        </w:tc>
        <w:tc>
          <w:tcPr>
            <w:tcW w:w="992" w:type="dxa"/>
            <w:tcBorders>
              <w:bottom w:val="single" w:sz="4" w:space="0" w:color="B3B3B3"/>
            </w:tcBorders>
            <w:shd w:val="clear" w:color="000000" w:fill="auto"/>
            <w:vAlign w:val="bottom"/>
          </w:tcPr>
          <w:p w14:paraId="0D04EA54" w14:textId="77777777" w:rsidR="005A697A" w:rsidRPr="00A17008" w:rsidRDefault="005A697A">
            <w:pPr>
              <w:pStyle w:val="TableHeading"/>
              <w:spacing w:before="45" w:after="45"/>
              <w:ind w:right="108"/>
              <w:jc w:val="right"/>
              <w:rPr>
                <w:rFonts w:ascii="Arial (Body)" w:hAnsi="Arial (Body)"/>
                <w:color w:val="265A9A"/>
              </w:rPr>
            </w:pPr>
            <w:proofErr w:type="spellStart"/>
            <w:r>
              <w:rPr>
                <w:rFonts w:ascii="Arial (Body)" w:hAnsi="Arial (Body)"/>
                <w:color w:val="265A9A"/>
              </w:rPr>
              <w:t>qr</w:t>
            </w:r>
            <w:proofErr w:type="spellEnd"/>
            <w:r>
              <w:rPr>
                <w:rFonts w:ascii="Arial (Body)" w:hAnsi="Arial (Body)"/>
                <w:color w:val="265A9A"/>
              </w:rPr>
              <w:t xml:space="preserve"> no.</w:t>
            </w:r>
          </w:p>
        </w:tc>
      </w:tr>
      <w:tr w:rsidR="005A697A" w:rsidRPr="00A17008" w14:paraId="46A68653" w14:textId="77777777" w:rsidTr="00215BA1">
        <w:trPr>
          <w:tblHeader/>
        </w:trPr>
        <w:tc>
          <w:tcPr>
            <w:tcW w:w="8789" w:type="dxa"/>
            <w:tcBorders>
              <w:top w:val="single" w:sz="4" w:space="0" w:color="B3B3B3"/>
              <w:bottom w:val="nil"/>
            </w:tcBorders>
            <w:shd w:val="clear" w:color="auto" w:fill="E6E6E6"/>
            <w:vAlign w:val="bottom"/>
          </w:tcPr>
          <w:p w14:paraId="22E1CBF1"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Centre for Community Child Health, Murdoch Children</w:t>
            </w:r>
            <w:r>
              <w:rPr>
                <w:rFonts w:ascii="Arial (Body)" w:hAnsi="Arial (Body)"/>
                <w:b w:val="0"/>
                <w:bCs/>
                <w:color w:val="auto"/>
              </w:rPr>
              <w:t>’</w:t>
            </w:r>
            <w:r w:rsidRPr="00E60BC5">
              <w:rPr>
                <w:rFonts w:ascii="Arial (Body)" w:hAnsi="Arial (Body)"/>
                <w:b w:val="0"/>
                <w:bCs/>
                <w:color w:val="auto"/>
              </w:rPr>
              <w:t>s Research Institute</w:t>
            </w:r>
            <w:r>
              <w:rPr>
                <w:rFonts w:ascii="Arial (Body)" w:hAnsi="Arial (Body)"/>
                <w:b w:val="0"/>
                <w:bCs/>
                <w:color w:val="auto"/>
              </w:rPr>
              <w:t xml:space="preserve"> </w:t>
            </w:r>
            <w:r w:rsidRPr="00E60BC5">
              <w:rPr>
                <w:rFonts w:ascii="Arial (Body)" w:hAnsi="Arial (Body)"/>
                <w:b w:val="0"/>
                <w:bCs/>
                <w:color w:val="auto"/>
              </w:rPr>
              <w:t>(CCCH)</w:t>
            </w:r>
          </w:p>
        </w:tc>
        <w:tc>
          <w:tcPr>
            <w:tcW w:w="992" w:type="dxa"/>
            <w:tcBorders>
              <w:top w:val="single" w:sz="4" w:space="0" w:color="B3B3B3"/>
              <w:bottom w:val="nil"/>
            </w:tcBorders>
            <w:shd w:val="clear" w:color="auto" w:fill="E6E6E6"/>
            <w:vAlign w:val="bottom"/>
          </w:tcPr>
          <w:p w14:paraId="4B599499"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93</w:t>
            </w:r>
          </w:p>
        </w:tc>
      </w:tr>
      <w:tr w:rsidR="005A697A" w:rsidRPr="00A17008" w14:paraId="6E1906FE" w14:textId="77777777">
        <w:trPr>
          <w:tblHeader/>
        </w:trPr>
        <w:tc>
          <w:tcPr>
            <w:tcW w:w="8789" w:type="dxa"/>
            <w:tcBorders>
              <w:top w:val="nil"/>
              <w:bottom w:val="nil"/>
            </w:tcBorders>
            <w:shd w:val="clear" w:color="000000" w:fill="auto"/>
            <w:vAlign w:val="bottom"/>
          </w:tcPr>
          <w:p w14:paraId="7D7C08B2"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Centre for Policy Development (CPD)</w:t>
            </w:r>
          </w:p>
        </w:tc>
        <w:tc>
          <w:tcPr>
            <w:tcW w:w="992" w:type="dxa"/>
            <w:tcBorders>
              <w:top w:val="nil"/>
              <w:bottom w:val="nil"/>
            </w:tcBorders>
            <w:shd w:val="clear" w:color="000000" w:fill="auto"/>
            <w:vAlign w:val="bottom"/>
          </w:tcPr>
          <w:p w14:paraId="1A66A01C"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96</w:t>
            </w:r>
          </w:p>
        </w:tc>
      </w:tr>
      <w:tr w:rsidR="005A697A" w:rsidRPr="00A17008" w14:paraId="3443AB7E" w14:textId="77777777" w:rsidTr="00215BA1">
        <w:trPr>
          <w:tblHeader/>
        </w:trPr>
        <w:tc>
          <w:tcPr>
            <w:tcW w:w="8789" w:type="dxa"/>
            <w:tcBorders>
              <w:bottom w:val="nil"/>
            </w:tcBorders>
            <w:shd w:val="clear" w:color="auto" w:fill="E6E6E6"/>
            <w:vAlign w:val="bottom"/>
          </w:tcPr>
          <w:p w14:paraId="512E40A6"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Co-Chairs Prof. Alta Schutte and Prof. Markus Schlaich, on behalf of the National Hypertension Taskforce</w:t>
            </w:r>
          </w:p>
        </w:tc>
        <w:tc>
          <w:tcPr>
            <w:tcW w:w="992" w:type="dxa"/>
            <w:tcBorders>
              <w:bottom w:val="nil"/>
            </w:tcBorders>
            <w:shd w:val="clear" w:color="auto" w:fill="E6E6E6"/>
            <w:vAlign w:val="bottom"/>
          </w:tcPr>
          <w:p w14:paraId="7672FC3D"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42</w:t>
            </w:r>
          </w:p>
        </w:tc>
      </w:tr>
      <w:tr w:rsidR="005A697A" w:rsidRPr="00A17008" w14:paraId="7C1BCC04" w14:textId="77777777">
        <w:trPr>
          <w:tblHeader/>
        </w:trPr>
        <w:tc>
          <w:tcPr>
            <w:tcW w:w="8789" w:type="dxa"/>
            <w:tcBorders>
              <w:top w:val="nil"/>
              <w:bottom w:val="nil"/>
            </w:tcBorders>
            <w:shd w:val="clear" w:color="000000" w:fill="auto"/>
            <w:vAlign w:val="bottom"/>
          </w:tcPr>
          <w:p w14:paraId="2316DA04"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Community Council for Australia (CCA)</w:t>
            </w:r>
          </w:p>
        </w:tc>
        <w:tc>
          <w:tcPr>
            <w:tcW w:w="992" w:type="dxa"/>
            <w:tcBorders>
              <w:top w:val="nil"/>
              <w:bottom w:val="nil"/>
            </w:tcBorders>
            <w:shd w:val="clear" w:color="000000" w:fill="auto"/>
            <w:vAlign w:val="bottom"/>
          </w:tcPr>
          <w:p w14:paraId="3EB68BBE"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32</w:t>
            </w:r>
          </w:p>
        </w:tc>
      </w:tr>
      <w:tr w:rsidR="005A697A" w:rsidRPr="00A17008" w14:paraId="52938D1A" w14:textId="77777777" w:rsidTr="00215BA1">
        <w:trPr>
          <w:tblHeader/>
        </w:trPr>
        <w:tc>
          <w:tcPr>
            <w:tcW w:w="8789" w:type="dxa"/>
            <w:tcBorders>
              <w:bottom w:val="nil"/>
            </w:tcBorders>
            <w:shd w:val="clear" w:color="auto" w:fill="E6E6E6"/>
            <w:vAlign w:val="bottom"/>
          </w:tcPr>
          <w:p w14:paraId="516EA70B"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Deafness Forum Australia</w:t>
            </w:r>
          </w:p>
        </w:tc>
        <w:tc>
          <w:tcPr>
            <w:tcW w:w="992" w:type="dxa"/>
            <w:tcBorders>
              <w:bottom w:val="nil"/>
            </w:tcBorders>
            <w:shd w:val="clear" w:color="auto" w:fill="E6E6E6"/>
            <w:vAlign w:val="bottom"/>
          </w:tcPr>
          <w:p w14:paraId="1D0B38ED"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34</w:t>
            </w:r>
          </w:p>
        </w:tc>
      </w:tr>
      <w:tr w:rsidR="005A697A" w:rsidRPr="00A17008" w14:paraId="088C8AC9" w14:textId="77777777">
        <w:trPr>
          <w:tblHeader/>
        </w:trPr>
        <w:tc>
          <w:tcPr>
            <w:tcW w:w="8789" w:type="dxa"/>
            <w:tcBorders>
              <w:top w:val="nil"/>
              <w:bottom w:val="nil"/>
            </w:tcBorders>
            <w:shd w:val="clear" w:color="000000" w:fill="auto"/>
            <w:vAlign w:val="bottom"/>
          </w:tcPr>
          <w:p w14:paraId="0198F059"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Deakin University’s Faculty of Health; Institute for Physical Activity and Nutrition (IPAN); Institute for Health Transformation (IHT); SEED Centre for Lifespan Research</w:t>
            </w:r>
          </w:p>
        </w:tc>
        <w:tc>
          <w:tcPr>
            <w:tcW w:w="992" w:type="dxa"/>
            <w:tcBorders>
              <w:top w:val="nil"/>
              <w:bottom w:val="nil"/>
            </w:tcBorders>
            <w:shd w:val="clear" w:color="000000" w:fill="auto"/>
            <w:vAlign w:val="bottom"/>
          </w:tcPr>
          <w:p w14:paraId="634927E6"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69</w:t>
            </w:r>
          </w:p>
        </w:tc>
      </w:tr>
      <w:tr w:rsidR="005A697A" w:rsidRPr="00A17008" w14:paraId="66AB01C6" w14:textId="77777777" w:rsidTr="00215BA1">
        <w:trPr>
          <w:tblHeader/>
        </w:trPr>
        <w:tc>
          <w:tcPr>
            <w:tcW w:w="8789" w:type="dxa"/>
            <w:tcBorders>
              <w:bottom w:val="nil"/>
            </w:tcBorders>
            <w:shd w:val="clear" w:color="auto" w:fill="E6E6E6"/>
            <w:vAlign w:val="bottom"/>
          </w:tcPr>
          <w:p w14:paraId="12B4F300"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Dental Health Services Victoria (DHSV)</w:t>
            </w:r>
          </w:p>
        </w:tc>
        <w:tc>
          <w:tcPr>
            <w:tcW w:w="992" w:type="dxa"/>
            <w:tcBorders>
              <w:bottom w:val="nil"/>
            </w:tcBorders>
            <w:shd w:val="clear" w:color="auto" w:fill="E6E6E6"/>
            <w:vAlign w:val="bottom"/>
          </w:tcPr>
          <w:p w14:paraId="42DB0065"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38</w:t>
            </w:r>
          </w:p>
        </w:tc>
      </w:tr>
      <w:tr w:rsidR="005A697A" w:rsidRPr="00A17008" w14:paraId="57C45873" w14:textId="77777777">
        <w:trPr>
          <w:tblHeader/>
        </w:trPr>
        <w:tc>
          <w:tcPr>
            <w:tcW w:w="8789" w:type="dxa"/>
            <w:tcBorders>
              <w:top w:val="nil"/>
              <w:bottom w:val="nil"/>
            </w:tcBorders>
            <w:shd w:val="clear" w:color="000000" w:fill="auto"/>
            <w:vAlign w:val="bottom"/>
          </w:tcPr>
          <w:p w14:paraId="496FF606"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Diabetes Australia</w:t>
            </w:r>
          </w:p>
        </w:tc>
        <w:tc>
          <w:tcPr>
            <w:tcW w:w="992" w:type="dxa"/>
            <w:tcBorders>
              <w:top w:val="nil"/>
              <w:bottom w:val="nil"/>
            </w:tcBorders>
            <w:shd w:val="clear" w:color="000000" w:fill="auto"/>
            <w:vAlign w:val="bottom"/>
          </w:tcPr>
          <w:p w14:paraId="673E3000"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45</w:t>
            </w:r>
          </w:p>
        </w:tc>
      </w:tr>
      <w:tr w:rsidR="005A697A" w:rsidRPr="00A17008" w14:paraId="5A08BC56" w14:textId="77777777" w:rsidTr="00215BA1">
        <w:trPr>
          <w:tblHeader/>
        </w:trPr>
        <w:tc>
          <w:tcPr>
            <w:tcW w:w="8789" w:type="dxa"/>
            <w:tcBorders>
              <w:bottom w:val="nil"/>
            </w:tcBorders>
            <w:shd w:val="clear" w:color="auto" w:fill="E6E6E6"/>
            <w:vAlign w:val="bottom"/>
          </w:tcPr>
          <w:p w14:paraId="22821590"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Each</w:t>
            </w:r>
          </w:p>
        </w:tc>
        <w:tc>
          <w:tcPr>
            <w:tcW w:w="992" w:type="dxa"/>
            <w:tcBorders>
              <w:bottom w:val="nil"/>
            </w:tcBorders>
            <w:shd w:val="clear" w:color="auto" w:fill="E6E6E6"/>
            <w:vAlign w:val="bottom"/>
          </w:tcPr>
          <w:p w14:paraId="7381EA5C"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37</w:t>
            </w:r>
          </w:p>
        </w:tc>
      </w:tr>
      <w:tr w:rsidR="005A697A" w:rsidRPr="00A17008" w14:paraId="19C4B641" w14:textId="77777777">
        <w:trPr>
          <w:tblHeader/>
        </w:trPr>
        <w:tc>
          <w:tcPr>
            <w:tcW w:w="8789" w:type="dxa"/>
            <w:tcBorders>
              <w:top w:val="nil"/>
              <w:bottom w:val="nil"/>
            </w:tcBorders>
            <w:shd w:val="clear" w:color="000000" w:fill="auto"/>
            <w:vAlign w:val="bottom"/>
          </w:tcPr>
          <w:p w14:paraId="1C2E2542"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Fixing the NDIS research team, Centre for Disability Research and Policy, The University of Sydney</w:t>
            </w:r>
          </w:p>
        </w:tc>
        <w:tc>
          <w:tcPr>
            <w:tcW w:w="992" w:type="dxa"/>
            <w:tcBorders>
              <w:top w:val="nil"/>
              <w:bottom w:val="nil"/>
            </w:tcBorders>
            <w:shd w:val="clear" w:color="000000" w:fill="auto"/>
            <w:vAlign w:val="bottom"/>
          </w:tcPr>
          <w:p w14:paraId="31580BAD"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31</w:t>
            </w:r>
          </w:p>
        </w:tc>
      </w:tr>
      <w:tr w:rsidR="005A697A" w:rsidRPr="00A17008" w14:paraId="1A1E0E45" w14:textId="77777777" w:rsidTr="00215BA1">
        <w:trPr>
          <w:tblHeader/>
        </w:trPr>
        <w:tc>
          <w:tcPr>
            <w:tcW w:w="8789" w:type="dxa"/>
            <w:tcBorders>
              <w:bottom w:val="nil"/>
            </w:tcBorders>
            <w:shd w:val="clear" w:color="auto" w:fill="E6E6E6"/>
            <w:vAlign w:val="bottom"/>
          </w:tcPr>
          <w:p w14:paraId="2A909D41"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Flinders University</w:t>
            </w:r>
          </w:p>
        </w:tc>
        <w:tc>
          <w:tcPr>
            <w:tcW w:w="992" w:type="dxa"/>
            <w:tcBorders>
              <w:bottom w:val="nil"/>
            </w:tcBorders>
            <w:shd w:val="clear" w:color="auto" w:fill="E6E6E6"/>
            <w:vAlign w:val="bottom"/>
          </w:tcPr>
          <w:p w14:paraId="08ED7E97"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87</w:t>
            </w:r>
          </w:p>
        </w:tc>
      </w:tr>
      <w:tr w:rsidR="005A697A" w:rsidRPr="00A17008" w14:paraId="7A66B69D" w14:textId="77777777">
        <w:trPr>
          <w:tblHeader/>
        </w:trPr>
        <w:tc>
          <w:tcPr>
            <w:tcW w:w="8789" w:type="dxa"/>
            <w:tcBorders>
              <w:top w:val="nil"/>
              <w:bottom w:val="nil"/>
            </w:tcBorders>
            <w:shd w:val="clear" w:color="000000" w:fill="auto"/>
            <w:vAlign w:val="bottom"/>
          </w:tcPr>
          <w:p w14:paraId="0E163560"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Gotcha4Life Foundation</w:t>
            </w:r>
          </w:p>
        </w:tc>
        <w:tc>
          <w:tcPr>
            <w:tcW w:w="992" w:type="dxa"/>
            <w:tcBorders>
              <w:top w:val="nil"/>
              <w:bottom w:val="nil"/>
            </w:tcBorders>
            <w:shd w:val="clear" w:color="000000" w:fill="auto"/>
            <w:vAlign w:val="bottom"/>
          </w:tcPr>
          <w:p w14:paraId="050A6238"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21</w:t>
            </w:r>
          </w:p>
        </w:tc>
      </w:tr>
      <w:tr w:rsidR="005A697A" w:rsidRPr="00A17008" w14:paraId="304A916C" w14:textId="77777777" w:rsidTr="00215BA1">
        <w:trPr>
          <w:tblHeader/>
        </w:trPr>
        <w:tc>
          <w:tcPr>
            <w:tcW w:w="8789" w:type="dxa"/>
            <w:tcBorders>
              <w:bottom w:val="nil"/>
            </w:tcBorders>
            <w:shd w:val="clear" w:color="auto" w:fill="E6E6E6"/>
            <w:vAlign w:val="bottom"/>
          </w:tcPr>
          <w:p w14:paraId="51788EAF"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Grattan Institute</w:t>
            </w:r>
          </w:p>
        </w:tc>
        <w:tc>
          <w:tcPr>
            <w:tcW w:w="992" w:type="dxa"/>
            <w:tcBorders>
              <w:bottom w:val="nil"/>
            </w:tcBorders>
            <w:shd w:val="clear" w:color="auto" w:fill="E6E6E6"/>
            <w:vAlign w:val="bottom"/>
          </w:tcPr>
          <w:p w14:paraId="1906ADE9"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56</w:t>
            </w:r>
          </w:p>
        </w:tc>
      </w:tr>
      <w:tr w:rsidR="005A697A" w:rsidRPr="00A17008" w14:paraId="1CE0BE61" w14:textId="77777777">
        <w:trPr>
          <w:tblHeader/>
        </w:trPr>
        <w:tc>
          <w:tcPr>
            <w:tcW w:w="8789" w:type="dxa"/>
            <w:tcBorders>
              <w:top w:val="nil"/>
              <w:bottom w:val="nil"/>
            </w:tcBorders>
            <w:shd w:val="clear" w:color="000000" w:fill="auto"/>
            <w:vAlign w:val="bottom"/>
          </w:tcPr>
          <w:p w14:paraId="37B9A48A"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GSK Australia</w:t>
            </w:r>
          </w:p>
        </w:tc>
        <w:tc>
          <w:tcPr>
            <w:tcW w:w="992" w:type="dxa"/>
            <w:tcBorders>
              <w:top w:val="nil"/>
              <w:bottom w:val="nil"/>
            </w:tcBorders>
            <w:shd w:val="clear" w:color="000000" w:fill="auto"/>
            <w:vAlign w:val="bottom"/>
          </w:tcPr>
          <w:p w14:paraId="67EA26D6"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66</w:t>
            </w:r>
          </w:p>
        </w:tc>
      </w:tr>
      <w:tr w:rsidR="005A697A" w:rsidRPr="00A17008" w14:paraId="3C705090" w14:textId="77777777" w:rsidTr="00215BA1">
        <w:trPr>
          <w:tblHeader/>
        </w:trPr>
        <w:tc>
          <w:tcPr>
            <w:tcW w:w="8789" w:type="dxa"/>
            <w:tcBorders>
              <w:bottom w:val="nil"/>
            </w:tcBorders>
            <w:shd w:val="clear" w:color="auto" w:fill="E6E6E6"/>
            <w:vAlign w:val="bottom"/>
          </w:tcPr>
          <w:p w14:paraId="74F45285"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Harbison Residential Care Limited t/as Harbison</w:t>
            </w:r>
          </w:p>
        </w:tc>
        <w:tc>
          <w:tcPr>
            <w:tcW w:w="992" w:type="dxa"/>
            <w:tcBorders>
              <w:bottom w:val="nil"/>
            </w:tcBorders>
            <w:shd w:val="clear" w:color="auto" w:fill="E6E6E6"/>
            <w:vAlign w:val="bottom"/>
          </w:tcPr>
          <w:p w14:paraId="5C0EBCDD"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43</w:t>
            </w:r>
          </w:p>
        </w:tc>
      </w:tr>
      <w:tr w:rsidR="005A697A" w:rsidRPr="00A17008" w14:paraId="037391E3" w14:textId="77777777">
        <w:trPr>
          <w:tblHeader/>
        </w:trPr>
        <w:tc>
          <w:tcPr>
            <w:tcW w:w="8789" w:type="dxa"/>
            <w:tcBorders>
              <w:top w:val="nil"/>
              <w:bottom w:val="nil"/>
            </w:tcBorders>
            <w:shd w:val="clear" w:color="000000" w:fill="auto"/>
            <w:vAlign w:val="bottom"/>
          </w:tcPr>
          <w:p w14:paraId="3BCF7BD4"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Health Consumers</w:t>
            </w:r>
            <w:r>
              <w:rPr>
                <w:rFonts w:ascii="Arial (Body)" w:hAnsi="Arial (Body)"/>
                <w:b w:val="0"/>
                <w:bCs/>
                <w:color w:val="auto"/>
              </w:rPr>
              <w:t>’</w:t>
            </w:r>
            <w:r w:rsidRPr="00E60BC5">
              <w:rPr>
                <w:rFonts w:ascii="Arial (Body)" w:hAnsi="Arial (Body)"/>
                <w:b w:val="0"/>
                <w:bCs/>
                <w:color w:val="auto"/>
              </w:rPr>
              <w:t xml:space="preserve"> Council WA</w:t>
            </w:r>
          </w:p>
        </w:tc>
        <w:tc>
          <w:tcPr>
            <w:tcW w:w="992" w:type="dxa"/>
            <w:tcBorders>
              <w:top w:val="nil"/>
              <w:bottom w:val="nil"/>
            </w:tcBorders>
            <w:shd w:val="clear" w:color="000000" w:fill="auto"/>
            <w:vAlign w:val="bottom"/>
          </w:tcPr>
          <w:p w14:paraId="21CE53DA"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48</w:t>
            </w:r>
          </w:p>
        </w:tc>
      </w:tr>
      <w:tr w:rsidR="005A697A" w:rsidRPr="00A17008" w14:paraId="7E384902" w14:textId="77777777" w:rsidTr="00215BA1">
        <w:trPr>
          <w:tblHeader/>
        </w:trPr>
        <w:tc>
          <w:tcPr>
            <w:tcW w:w="8789" w:type="dxa"/>
            <w:tcBorders>
              <w:bottom w:val="nil"/>
            </w:tcBorders>
            <w:shd w:val="clear" w:color="auto" w:fill="E6E6E6"/>
            <w:vAlign w:val="bottom"/>
          </w:tcPr>
          <w:p w14:paraId="03B07415"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Injury Matters</w:t>
            </w:r>
          </w:p>
        </w:tc>
        <w:tc>
          <w:tcPr>
            <w:tcW w:w="992" w:type="dxa"/>
            <w:tcBorders>
              <w:bottom w:val="nil"/>
            </w:tcBorders>
            <w:shd w:val="clear" w:color="auto" w:fill="E6E6E6"/>
            <w:vAlign w:val="bottom"/>
          </w:tcPr>
          <w:p w14:paraId="2361E91A"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20</w:t>
            </w:r>
          </w:p>
        </w:tc>
      </w:tr>
      <w:tr w:rsidR="005A697A" w:rsidRPr="00A17008" w14:paraId="3F4EEEF6" w14:textId="77777777">
        <w:trPr>
          <w:tblHeader/>
        </w:trPr>
        <w:tc>
          <w:tcPr>
            <w:tcW w:w="8789" w:type="dxa"/>
            <w:tcBorders>
              <w:top w:val="nil"/>
              <w:bottom w:val="nil"/>
            </w:tcBorders>
            <w:shd w:val="clear" w:color="000000" w:fill="auto"/>
            <w:vAlign w:val="bottom"/>
          </w:tcPr>
          <w:p w14:paraId="5055C544"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International Centre for Future Health Systems &amp; Centre for Social Research in Health UNSW</w:t>
            </w:r>
          </w:p>
        </w:tc>
        <w:tc>
          <w:tcPr>
            <w:tcW w:w="992" w:type="dxa"/>
            <w:tcBorders>
              <w:top w:val="nil"/>
              <w:bottom w:val="nil"/>
            </w:tcBorders>
            <w:shd w:val="clear" w:color="000000" w:fill="auto"/>
            <w:vAlign w:val="bottom"/>
          </w:tcPr>
          <w:p w14:paraId="057D9F25"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23</w:t>
            </w:r>
          </w:p>
        </w:tc>
      </w:tr>
      <w:tr w:rsidR="005A697A" w:rsidRPr="00A17008" w14:paraId="227D99E4" w14:textId="77777777" w:rsidTr="00215BA1">
        <w:trPr>
          <w:tblHeader/>
        </w:trPr>
        <w:tc>
          <w:tcPr>
            <w:tcW w:w="8789" w:type="dxa"/>
            <w:tcBorders>
              <w:bottom w:val="nil"/>
            </w:tcBorders>
            <w:shd w:val="clear" w:color="auto" w:fill="E6E6E6"/>
            <w:vAlign w:val="bottom"/>
          </w:tcPr>
          <w:p w14:paraId="523226C3" w14:textId="77777777" w:rsidR="005A697A" w:rsidRPr="00924385" w:rsidRDefault="005A697A">
            <w:pPr>
              <w:pStyle w:val="TableHeading"/>
              <w:spacing w:before="45" w:after="45"/>
              <w:ind w:right="108"/>
              <w:rPr>
                <w:rFonts w:ascii="Arial (Body)" w:hAnsi="Arial (Body)"/>
                <w:b w:val="0"/>
                <w:bCs/>
                <w:color w:val="auto"/>
              </w:rPr>
            </w:pPr>
            <w:proofErr w:type="spellStart"/>
            <w:r w:rsidRPr="00E60BC5">
              <w:rPr>
                <w:rFonts w:ascii="Arial (Body)" w:hAnsi="Arial (Body)"/>
                <w:b w:val="0"/>
                <w:bCs/>
                <w:color w:val="auto"/>
              </w:rPr>
              <w:t>Jaithri</w:t>
            </w:r>
            <w:proofErr w:type="spellEnd"/>
            <w:r w:rsidRPr="00E60BC5">
              <w:rPr>
                <w:rFonts w:ascii="Arial (Body)" w:hAnsi="Arial (Body)"/>
                <w:b w:val="0"/>
                <w:bCs/>
                <w:color w:val="auto"/>
              </w:rPr>
              <w:t xml:space="preserve"> </w:t>
            </w:r>
            <w:proofErr w:type="spellStart"/>
            <w:r w:rsidRPr="00E60BC5">
              <w:rPr>
                <w:rFonts w:ascii="Arial (Body)" w:hAnsi="Arial (Body)"/>
                <w:b w:val="0"/>
                <w:bCs/>
                <w:color w:val="auto"/>
              </w:rPr>
              <w:t>Ananthapavan</w:t>
            </w:r>
            <w:proofErr w:type="spellEnd"/>
          </w:p>
        </w:tc>
        <w:tc>
          <w:tcPr>
            <w:tcW w:w="992" w:type="dxa"/>
            <w:tcBorders>
              <w:bottom w:val="nil"/>
            </w:tcBorders>
            <w:shd w:val="clear" w:color="auto" w:fill="E6E6E6"/>
            <w:vAlign w:val="bottom"/>
          </w:tcPr>
          <w:p w14:paraId="6905E70C"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33</w:t>
            </w:r>
          </w:p>
        </w:tc>
      </w:tr>
      <w:tr w:rsidR="005A697A" w:rsidRPr="00A17008" w14:paraId="2BAE411E" w14:textId="77777777">
        <w:trPr>
          <w:tblHeader/>
        </w:trPr>
        <w:tc>
          <w:tcPr>
            <w:tcW w:w="8789" w:type="dxa"/>
            <w:tcBorders>
              <w:top w:val="nil"/>
              <w:bottom w:val="nil"/>
            </w:tcBorders>
            <w:shd w:val="clear" w:color="000000" w:fill="auto"/>
            <w:vAlign w:val="bottom"/>
          </w:tcPr>
          <w:p w14:paraId="47859432"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Kaarin Jane Anstey</w:t>
            </w:r>
          </w:p>
        </w:tc>
        <w:tc>
          <w:tcPr>
            <w:tcW w:w="992" w:type="dxa"/>
            <w:tcBorders>
              <w:top w:val="nil"/>
              <w:bottom w:val="nil"/>
            </w:tcBorders>
            <w:shd w:val="clear" w:color="000000" w:fill="auto"/>
            <w:vAlign w:val="bottom"/>
          </w:tcPr>
          <w:p w14:paraId="6A93303B"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94</w:t>
            </w:r>
          </w:p>
        </w:tc>
      </w:tr>
      <w:tr w:rsidR="005A697A" w:rsidRPr="00A17008" w14:paraId="68F5B824" w14:textId="77777777" w:rsidTr="00215BA1">
        <w:trPr>
          <w:tblHeader/>
        </w:trPr>
        <w:tc>
          <w:tcPr>
            <w:tcW w:w="8789" w:type="dxa"/>
            <w:tcBorders>
              <w:bottom w:val="nil"/>
            </w:tcBorders>
            <w:shd w:val="clear" w:color="auto" w:fill="E6E6E6"/>
            <w:vAlign w:val="bottom"/>
          </w:tcPr>
          <w:p w14:paraId="5704F523"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Lauren Hutton</w:t>
            </w:r>
          </w:p>
        </w:tc>
        <w:tc>
          <w:tcPr>
            <w:tcW w:w="992" w:type="dxa"/>
            <w:tcBorders>
              <w:bottom w:val="nil"/>
            </w:tcBorders>
            <w:shd w:val="clear" w:color="auto" w:fill="E6E6E6"/>
            <w:vAlign w:val="bottom"/>
          </w:tcPr>
          <w:p w14:paraId="743D265D"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5</w:t>
            </w:r>
          </w:p>
        </w:tc>
      </w:tr>
      <w:tr w:rsidR="005A697A" w:rsidRPr="00A17008" w14:paraId="3FF4939E" w14:textId="77777777">
        <w:trPr>
          <w:tblHeader/>
        </w:trPr>
        <w:tc>
          <w:tcPr>
            <w:tcW w:w="8789" w:type="dxa"/>
            <w:tcBorders>
              <w:top w:val="nil"/>
              <w:bottom w:val="nil"/>
            </w:tcBorders>
            <w:shd w:val="clear" w:color="000000" w:fill="auto"/>
            <w:vAlign w:val="bottom"/>
          </w:tcPr>
          <w:p w14:paraId="35A62EBF"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Liz Keen</w:t>
            </w:r>
          </w:p>
        </w:tc>
        <w:tc>
          <w:tcPr>
            <w:tcW w:w="992" w:type="dxa"/>
            <w:tcBorders>
              <w:top w:val="nil"/>
              <w:bottom w:val="nil"/>
            </w:tcBorders>
            <w:shd w:val="clear" w:color="000000" w:fill="auto"/>
            <w:vAlign w:val="bottom"/>
          </w:tcPr>
          <w:p w14:paraId="435C1DEB"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13</w:t>
            </w:r>
          </w:p>
        </w:tc>
      </w:tr>
      <w:tr w:rsidR="005A697A" w:rsidRPr="00A17008" w14:paraId="2EB4DCD0" w14:textId="77777777" w:rsidTr="00215BA1">
        <w:trPr>
          <w:tblHeader/>
        </w:trPr>
        <w:tc>
          <w:tcPr>
            <w:tcW w:w="8789" w:type="dxa"/>
            <w:tcBorders>
              <w:bottom w:val="nil"/>
            </w:tcBorders>
            <w:shd w:val="clear" w:color="auto" w:fill="E6E6E6"/>
            <w:vAlign w:val="bottom"/>
          </w:tcPr>
          <w:p w14:paraId="24CFE6AC"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Margo Linn Barr</w:t>
            </w:r>
          </w:p>
        </w:tc>
        <w:tc>
          <w:tcPr>
            <w:tcW w:w="992" w:type="dxa"/>
            <w:tcBorders>
              <w:bottom w:val="nil"/>
            </w:tcBorders>
            <w:shd w:val="clear" w:color="auto" w:fill="E6E6E6"/>
            <w:vAlign w:val="bottom"/>
          </w:tcPr>
          <w:p w14:paraId="56D118E5"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35</w:t>
            </w:r>
          </w:p>
        </w:tc>
      </w:tr>
      <w:tr w:rsidR="005A697A" w:rsidRPr="00A17008" w14:paraId="7EEDEA13" w14:textId="77777777">
        <w:trPr>
          <w:tblHeader/>
        </w:trPr>
        <w:tc>
          <w:tcPr>
            <w:tcW w:w="8789" w:type="dxa"/>
            <w:tcBorders>
              <w:top w:val="nil"/>
              <w:bottom w:val="nil"/>
            </w:tcBorders>
            <w:shd w:val="clear" w:color="000000" w:fill="auto"/>
            <w:vAlign w:val="bottom"/>
          </w:tcPr>
          <w:p w14:paraId="6B87E64F"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Medical Software Industry Association (MSIA)</w:t>
            </w:r>
          </w:p>
        </w:tc>
        <w:tc>
          <w:tcPr>
            <w:tcW w:w="992" w:type="dxa"/>
            <w:tcBorders>
              <w:top w:val="nil"/>
              <w:bottom w:val="nil"/>
            </w:tcBorders>
            <w:shd w:val="clear" w:color="000000" w:fill="auto"/>
            <w:vAlign w:val="bottom"/>
          </w:tcPr>
          <w:p w14:paraId="579B613B"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77</w:t>
            </w:r>
          </w:p>
        </w:tc>
      </w:tr>
      <w:tr w:rsidR="005A697A" w:rsidRPr="00A17008" w14:paraId="25FFC75B" w14:textId="77777777" w:rsidTr="00215BA1">
        <w:trPr>
          <w:tblHeader/>
        </w:trPr>
        <w:tc>
          <w:tcPr>
            <w:tcW w:w="8789" w:type="dxa"/>
            <w:tcBorders>
              <w:bottom w:val="nil"/>
            </w:tcBorders>
            <w:shd w:val="clear" w:color="auto" w:fill="E6E6E6"/>
            <w:vAlign w:val="bottom"/>
          </w:tcPr>
          <w:p w14:paraId="0839CC59"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Medical Technology Association of Australia (MTAA)</w:t>
            </w:r>
          </w:p>
        </w:tc>
        <w:tc>
          <w:tcPr>
            <w:tcW w:w="992" w:type="dxa"/>
            <w:tcBorders>
              <w:bottom w:val="nil"/>
            </w:tcBorders>
            <w:shd w:val="clear" w:color="auto" w:fill="E6E6E6"/>
            <w:vAlign w:val="bottom"/>
          </w:tcPr>
          <w:p w14:paraId="2C61261C"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47, 63</w:t>
            </w:r>
          </w:p>
        </w:tc>
      </w:tr>
      <w:tr w:rsidR="005A697A" w:rsidRPr="00A17008" w14:paraId="15BDD32C" w14:textId="77777777">
        <w:trPr>
          <w:tblHeader/>
        </w:trPr>
        <w:tc>
          <w:tcPr>
            <w:tcW w:w="8789" w:type="dxa"/>
            <w:tcBorders>
              <w:top w:val="nil"/>
              <w:bottom w:val="nil"/>
            </w:tcBorders>
            <w:shd w:val="clear" w:color="000000" w:fill="auto"/>
            <w:vAlign w:val="bottom"/>
          </w:tcPr>
          <w:p w14:paraId="608FB6F6"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Medicines Australia</w:t>
            </w:r>
          </w:p>
        </w:tc>
        <w:tc>
          <w:tcPr>
            <w:tcW w:w="992" w:type="dxa"/>
            <w:tcBorders>
              <w:top w:val="nil"/>
              <w:bottom w:val="nil"/>
            </w:tcBorders>
            <w:shd w:val="clear" w:color="000000" w:fill="auto"/>
            <w:vAlign w:val="bottom"/>
          </w:tcPr>
          <w:p w14:paraId="046AF175"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81</w:t>
            </w:r>
          </w:p>
        </w:tc>
      </w:tr>
      <w:tr w:rsidR="005A697A" w:rsidRPr="00A17008" w14:paraId="3351DC14" w14:textId="77777777" w:rsidTr="00215BA1">
        <w:trPr>
          <w:tblHeader/>
        </w:trPr>
        <w:tc>
          <w:tcPr>
            <w:tcW w:w="8789" w:type="dxa"/>
            <w:tcBorders>
              <w:bottom w:val="nil"/>
            </w:tcBorders>
            <w:shd w:val="clear" w:color="auto" w:fill="E6E6E6"/>
            <w:vAlign w:val="bottom"/>
          </w:tcPr>
          <w:p w14:paraId="2E5B0545"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Minda Incorporated</w:t>
            </w:r>
          </w:p>
        </w:tc>
        <w:tc>
          <w:tcPr>
            <w:tcW w:w="992" w:type="dxa"/>
            <w:tcBorders>
              <w:bottom w:val="nil"/>
            </w:tcBorders>
            <w:shd w:val="clear" w:color="auto" w:fill="E6E6E6"/>
            <w:vAlign w:val="bottom"/>
          </w:tcPr>
          <w:p w14:paraId="74E5EA13"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8</w:t>
            </w:r>
          </w:p>
        </w:tc>
      </w:tr>
      <w:tr w:rsidR="005A697A" w:rsidRPr="00A17008" w14:paraId="5014ADC3" w14:textId="77777777">
        <w:trPr>
          <w:tblHeader/>
        </w:trPr>
        <w:tc>
          <w:tcPr>
            <w:tcW w:w="8789" w:type="dxa"/>
            <w:tcBorders>
              <w:top w:val="nil"/>
              <w:bottom w:val="nil"/>
            </w:tcBorders>
            <w:shd w:val="clear" w:color="000000" w:fill="auto"/>
            <w:vAlign w:val="bottom"/>
          </w:tcPr>
          <w:p w14:paraId="6674CACC"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Mission Australia</w:t>
            </w:r>
          </w:p>
        </w:tc>
        <w:tc>
          <w:tcPr>
            <w:tcW w:w="992" w:type="dxa"/>
            <w:tcBorders>
              <w:top w:val="nil"/>
              <w:bottom w:val="nil"/>
            </w:tcBorders>
            <w:shd w:val="clear" w:color="000000" w:fill="auto"/>
            <w:vAlign w:val="bottom"/>
          </w:tcPr>
          <w:p w14:paraId="2994E4A7"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62</w:t>
            </w:r>
          </w:p>
        </w:tc>
      </w:tr>
      <w:tr w:rsidR="005A697A" w:rsidRPr="00A17008" w14:paraId="49EC1FE4" w14:textId="77777777" w:rsidTr="00215BA1">
        <w:trPr>
          <w:tblHeader/>
        </w:trPr>
        <w:tc>
          <w:tcPr>
            <w:tcW w:w="8789" w:type="dxa"/>
            <w:tcBorders>
              <w:bottom w:val="nil"/>
            </w:tcBorders>
            <w:shd w:val="clear" w:color="auto" w:fill="E6E6E6"/>
            <w:vAlign w:val="bottom"/>
          </w:tcPr>
          <w:p w14:paraId="445AFC8A"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Montu Group Pty Ltd</w:t>
            </w:r>
          </w:p>
        </w:tc>
        <w:tc>
          <w:tcPr>
            <w:tcW w:w="992" w:type="dxa"/>
            <w:tcBorders>
              <w:bottom w:val="nil"/>
            </w:tcBorders>
            <w:shd w:val="clear" w:color="auto" w:fill="E6E6E6"/>
            <w:vAlign w:val="bottom"/>
          </w:tcPr>
          <w:p w14:paraId="719706C8"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84</w:t>
            </w:r>
          </w:p>
        </w:tc>
      </w:tr>
      <w:tr w:rsidR="005A697A" w:rsidRPr="00A17008" w14:paraId="474D8ED3" w14:textId="77777777">
        <w:trPr>
          <w:tblHeader/>
        </w:trPr>
        <w:tc>
          <w:tcPr>
            <w:tcW w:w="8789" w:type="dxa"/>
            <w:tcBorders>
              <w:top w:val="nil"/>
              <w:bottom w:val="nil"/>
            </w:tcBorders>
            <w:shd w:val="clear" w:color="000000" w:fill="auto"/>
            <w:vAlign w:val="bottom"/>
          </w:tcPr>
          <w:p w14:paraId="029043C6"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Mudgee Region Health Alliance</w:t>
            </w:r>
          </w:p>
        </w:tc>
        <w:tc>
          <w:tcPr>
            <w:tcW w:w="992" w:type="dxa"/>
            <w:tcBorders>
              <w:top w:val="nil"/>
              <w:bottom w:val="nil"/>
            </w:tcBorders>
            <w:shd w:val="clear" w:color="000000" w:fill="auto"/>
            <w:vAlign w:val="bottom"/>
          </w:tcPr>
          <w:p w14:paraId="7384C384"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83</w:t>
            </w:r>
          </w:p>
        </w:tc>
      </w:tr>
      <w:tr w:rsidR="005A697A" w:rsidRPr="00A17008" w14:paraId="5C75479C" w14:textId="77777777" w:rsidTr="00215BA1">
        <w:trPr>
          <w:tblHeader/>
        </w:trPr>
        <w:tc>
          <w:tcPr>
            <w:tcW w:w="8789" w:type="dxa"/>
            <w:tcBorders>
              <w:bottom w:val="nil"/>
            </w:tcBorders>
            <w:shd w:val="clear" w:color="auto" w:fill="E6E6E6"/>
            <w:vAlign w:val="bottom"/>
          </w:tcPr>
          <w:p w14:paraId="056D0667"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Municipal Association of Victoria (MAV)</w:t>
            </w:r>
          </w:p>
        </w:tc>
        <w:tc>
          <w:tcPr>
            <w:tcW w:w="992" w:type="dxa"/>
            <w:tcBorders>
              <w:bottom w:val="nil"/>
            </w:tcBorders>
            <w:shd w:val="clear" w:color="auto" w:fill="E6E6E6"/>
            <w:vAlign w:val="bottom"/>
          </w:tcPr>
          <w:p w14:paraId="429B576A"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44</w:t>
            </w:r>
          </w:p>
        </w:tc>
      </w:tr>
      <w:tr w:rsidR="005A697A" w:rsidRPr="00A17008" w14:paraId="4676ADC2" w14:textId="77777777" w:rsidTr="00B44E2A">
        <w:trPr>
          <w:tblHeader/>
        </w:trPr>
        <w:tc>
          <w:tcPr>
            <w:tcW w:w="8789" w:type="dxa"/>
            <w:tcBorders>
              <w:top w:val="nil"/>
              <w:bottom w:val="nil"/>
            </w:tcBorders>
            <w:shd w:val="clear" w:color="000000" w:fill="auto"/>
            <w:vAlign w:val="bottom"/>
          </w:tcPr>
          <w:p w14:paraId="1A491E2A"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Murrumbidgee Primary Health Network (MPHN)</w:t>
            </w:r>
          </w:p>
        </w:tc>
        <w:tc>
          <w:tcPr>
            <w:tcW w:w="992" w:type="dxa"/>
            <w:tcBorders>
              <w:top w:val="nil"/>
              <w:bottom w:val="nil"/>
            </w:tcBorders>
            <w:shd w:val="clear" w:color="000000" w:fill="auto"/>
            <w:vAlign w:val="bottom"/>
          </w:tcPr>
          <w:p w14:paraId="0216F9B8"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89</w:t>
            </w:r>
          </w:p>
        </w:tc>
      </w:tr>
      <w:tr w:rsidR="005A697A" w:rsidRPr="00A17008" w14:paraId="63EAB7CC" w14:textId="77777777" w:rsidTr="00215BA1">
        <w:trPr>
          <w:tblHeader/>
        </w:trPr>
        <w:tc>
          <w:tcPr>
            <w:tcW w:w="8789" w:type="dxa"/>
            <w:tcBorders>
              <w:bottom w:val="single" w:sz="4" w:space="0" w:color="BFBFBF" w:themeColor="background1" w:themeShade="BF"/>
            </w:tcBorders>
            <w:shd w:val="clear" w:color="auto" w:fill="E6E6E6"/>
            <w:vAlign w:val="bottom"/>
          </w:tcPr>
          <w:p w14:paraId="51F4C1DF" w14:textId="77777777" w:rsidR="005A697A" w:rsidRPr="0092438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National Centre of Excellence in Intellectual Disability Health (NCEIDH)</w:t>
            </w:r>
          </w:p>
        </w:tc>
        <w:tc>
          <w:tcPr>
            <w:tcW w:w="992" w:type="dxa"/>
            <w:tcBorders>
              <w:bottom w:val="single" w:sz="4" w:space="0" w:color="BFBFBF" w:themeColor="background1" w:themeShade="BF"/>
            </w:tcBorders>
            <w:shd w:val="clear" w:color="auto" w:fill="E6E6E6"/>
            <w:vAlign w:val="bottom"/>
          </w:tcPr>
          <w:p w14:paraId="35BE630D" w14:textId="77777777" w:rsidR="005A697A" w:rsidRPr="0092438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80</w:t>
            </w:r>
          </w:p>
        </w:tc>
      </w:tr>
    </w:tbl>
    <w:p w14:paraId="3E99F14A" w14:textId="77777777" w:rsidR="005A697A" w:rsidRDefault="005A697A" w:rsidP="003923B0">
      <w:pPr>
        <w:pStyle w:val="BodyText"/>
      </w:pPr>
      <w:r>
        <w:br w:type="page"/>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5A697A" w:rsidRPr="00A17008" w14:paraId="5108D254" w14:textId="77777777">
        <w:trPr>
          <w:tblHeader/>
        </w:trPr>
        <w:tc>
          <w:tcPr>
            <w:tcW w:w="8789" w:type="dxa"/>
            <w:tcBorders>
              <w:bottom w:val="single" w:sz="4" w:space="0" w:color="B3B3B3"/>
            </w:tcBorders>
            <w:shd w:val="clear" w:color="000000" w:fill="auto"/>
            <w:vAlign w:val="bottom"/>
          </w:tcPr>
          <w:p w14:paraId="32CA781A" w14:textId="77777777" w:rsidR="005A697A" w:rsidRPr="00A17008" w:rsidRDefault="005A697A">
            <w:pPr>
              <w:pStyle w:val="TableHeading"/>
              <w:spacing w:before="45" w:after="45"/>
              <w:ind w:right="108"/>
              <w:rPr>
                <w:rFonts w:ascii="Arial (Body)" w:hAnsi="Arial (Body)"/>
                <w:color w:val="265A9A"/>
              </w:rPr>
            </w:pPr>
            <w:r w:rsidRPr="00A17008">
              <w:rPr>
                <w:rFonts w:ascii="Arial (Body)" w:hAnsi="Arial (Body)"/>
                <w:color w:val="265A9A"/>
              </w:rPr>
              <w:lastRenderedPageBreak/>
              <w:br w:type="page"/>
            </w:r>
            <w:r w:rsidRPr="00A17008">
              <w:rPr>
                <w:rFonts w:ascii="Arial (Body)" w:hAnsi="Arial (Body)"/>
                <w:color w:val="265A9A"/>
              </w:rPr>
              <w:br w:type="page"/>
              <w:t>Participants</w:t>
            </w:r>
          </w:p>
        </w:tc>
        <w:tc>
          <w:tcPr>
            <w:tcW w:w="992" w:type="dxa"/>
            <w:tcBorders>
              <w:bottom w:val="single" w:sz="4" w:space="0" w:color="B3B3B3"/>
            </w:tcBorders>
            <w:shd w:val="clear" w:color="000000" w:fill="auto"/>
            <w:vAlign w:val="bottom"/>
          </w:tcPr>
          <w:p w14:paraId="1C6E5D95" w14:textId="77777777" w:rsidR="005A697A" w:rsidRPr="00A17008" w:rsidRDefault="005A697A">
            <w:pPr>
              <w:pStyle w:val="TableHeading"/>
              <w:spacing w:before="45" w:after="45"/>
              <w:ind w:right="108"/>
              <w:jc w:val="right"/>
              <w:rPr>
                <w:rFonts w:ascii="Arial (Body)" w:hAnsi="Arial (Body)"/>
                <w:color w:val="265A9A"/>
              </w:rPr>
            </w:pPr>
            <w:proofErr w:type="spellStart"/>
            <w:r>
              <w:rPr>
                <w:rFonts w:ascii="Arial (Body)" w:hAnsi="Arial (Body)"/>
                <w:color w:val="265A9A"/>
              </w:rPr>
              <w:t>qr</w:t>
            </w:r>
            <w:proofErr w:type="spellEnd"/>
            <w:r>
              <w:rPr>
                <w:rFonts w:ascii="Arial (Body)" w:hAnsi="Arial (Body)"/>
                <w:color w:val="265A9A"/>
              </w:rPr>
              <w:t xml:space="preserve"> no.</w:t>
            </w:r>
          </w:p>
        </w:tc>
      </w:tr>
      <w:tr w:rsidR="005A697A" w:rsidRPr="00A17008" w14:paraId="4DEE9B4A" w14:textId="77777777" w:rsidTr="00215BA1">
        <w:trPr>
          <w:tblHeader/>
        </w:trPr>
        <w:tc>
          <w:tcPr>
            <w:tcW w:w="8789" w:type="dxa"/>
            <w:tcBorders>
              <w:top w:val="single" w:sz="4" w:space="0" w:color="B3B3B3"/>
              <w:bottom w:val="nil"/>
            </w:tcBorders>
            <w:shd w:val="clear" w:color="auto" w:fill="E6E6E6"/>
            <w:vAlign w:val="bottom"/>
          </w:tcPr>
          <w:p w14:paraId="5A79B901" w14:textId="77777777" w:rsidR="005A697A" w:rsidRPr="00A17008" w:rsidRDefault="005A697A">
            <w:pPr>
              <w:pStyle w:val="TableHeading"/>
              <w:spacing w:before="45" w:after="45"/>
              <w:ind w:right="108"/>
              <w:rPr>
                <w:rFonts w:ascii="Arial (Body)" w:hAnsi="Arial (Body)" w:cs="Arial"/>
                <w:b w:val="0"/>
                <w:bCs/>
                <w:color w:val="auto"/>
              </w:rPr>
            </w:pPr>
            <w:r w:rsidRPr="00E60BC5">
              <w:rPr>
                <w:rFonts w:ascii="Arial (Body)" w:hAnsi="Arial (Body)"/>
                <w:b w:val="0"/>
                <w:bCs/>
                <w:color w:val="auto"/>
              </w:rPr>
              <w:t>National Disability Services (NDS)</w:t>
            </w:r>
          </w:p>
        </w:tc>
        <w:tc>
          <w:tcPr>
            <w:tcW w:w="992" w:type="dxa"/>
            <w:tcBorders>
              <w:top w:val="single" w:sz="4" w:space="0" w:color="B3B3B3"/>
              <w:bottom w:val="nil"/>
            </w:tcBorders>
            <w:shd w:val="clear" w:color="auto" w:fill="E6E6E6"/>
            <w:vAlign w:val="bottom"/>
          </w:tcPr>
          <w:p w14:paraId="0ABB4910" w14:textId="77777777" w:rsidR="005A697A" w:rsidRPr="00A17008" w:rsidRDefault="005A697A">
            <w:pPr>
              <w:pStyle w:val="TableHeading"/>
              <w:spacing w:before="45" w:after="45"/>
              <w:ind w:right="108"/>
              <w:jc w:val="right"/>
              <w:rPr>
                <w:rFonts w:ascii="Arial (Body)" w:hAnsi="Arial (Body)" w:cs="Arial"/>
                <w:b w:val="0"/>
                <w:bCs/>
                <w:color w:val="auto"/>
              </w:rPr>
            </w:pPr>
            <w:r w:rsidRPr="00E60BC5">
              <w:rPr>
                <w:rFonts w:ascii="Arial (Body)" w:hAnsi="Arial (Body)"/>
                <w:b w:val="0"/>
                <w:bCs/>
                <w:color w:val="auto"/>
              </w:rPr>
              <w:t>85</w:t>
            </w:r>
          </w:p>
        </w:tc>
      </w:tr>
      <w:tr w:rsidR="005A697A" w:rsidRPr="00A17008" w14:paraId="32919AF0" w14:textId="77777777">
        <w:trPr>
          <w:tblHeader/>
        </w:trPr>
        <w:tc>
          <w:tcPr>
            <w:tcW w:w="8789" w:type="dxa"/>
            <w:tcBorders>
              <w:top w:val="nil"/>
              <w:bottom w:val="nil"/>
            </w:tcBorders>
            <w:shd w:val="clear" w:color="000000" w:fill="auto"/>
            <w:vAlign w:val="bottom"/>
          </w:tcPr>
          <w:p w14:paraId="55C853BA"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National Eating Disorders Collaboration (NEDC)</w:t>
            </w:r>
          </w:p>
        </w:tc>
        <w:tc>
          <w:tcPr>
            <w:tcW w:w="992" w:type="dxa"/>
            <w:tcBorders>
              <w:top w:val="nil"/>
              <w:bottom w:val="nil"/>
            </w:tcBorders>
            <w:shd w:val="clear" w:color="000000" w:fill="auto"/>
            <w:vAlign w:val="bottom"/>
          </w:tcPr>
          <w:p w14:paraId="0140EB5A"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54</w:t>
            </w:r>
          </w:p>
        </w:tc>
      </w:tr>
      <w:tr w:rsidR="005A697A" w:rsidRPr="00A17008" w14:paraId="23A9D372" w14:textId="77777777" w:rsidTr="00215BA1">
        <w:trPr>
          <w:tblHeader/>
        </w:trPr>
        <w:tc>
          <w:tcPr>
            <w:tcW w:w="8789" w:type="dxa"/>
            <w:tcBorders>
              <w:bottom w:val="nil"/>
            </w:tcBorders>
            <w:shd w:val="clear" w:color="auto" w:fill="E6E6E6"/>
            <w:vAlign w:val="bottom"/>
          </w:tcPr>
          <w:p w14:paraId="16F1A85B"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National Rural Health Alliance</w:t>
            </w:r>
          </w:p>
        </w:tc>
        <w:tc>
          <w:tcPr>
            <w:tcW w:w="992" w:type="dxa"/>
            <w:tcBorders>
              <w:bottom w:val="nil"/>
            </w:tcBorders>
            <w:shd w:val="clear" w:color="auto" w:fill="E6E6E6"/>
            <w:vAlign w:val="bottom"/>
          </w:tcPr>
          <w:p w14:paraId="4FD46EC1"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97</w:t>
            </w:r>
          </w:p>
        </w:tc>
      </w:tr>
      <w:tr w:rsidR="005A697A" w:rsidRPr="00A17008" w14:paraId="7E87F3E0" w14:textId="77777777">
        <w:trPr>
          <w:tblHeader/>
        </w:trPr>
        <w:tc>
          <w:tcPr>
            <w:tcW w:w="8789" w:type="dxa"/>
            <w:tcBorders>
              <w:top w:val="nil"/>
              <w:bottom w:val="nil"/>
            </w:tcBorders>
            <w:shd w:val="clear" w:color="000000" w:fill="auto"/>
            <w:vAlign w:val="bottom"/>
          </w:tcPr>
          <w:p w14:paraId="452178CE"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Novo Nordisk (Oceania)</w:t>
            </w:r>
          </w:p>
        </w:tc>
        <w:tc>
          <w:tcPr>
            <w:tcW w:w="992" w:type="dxa"/>
            <w:tcBorders>
              <w:top w:val="nil"/>
              <w:bottom w:val="nil"/>
            </w:tcBorders>
            <w:shd w:val="clear" w:color="000000" w:fill="auto"/>
            <w:vAlign w:val="bottom"/>
          </w:tcPr>
          <w:p w14:paraId="3024601D"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55</w:t>
            </w:r>
          </w:p>
        </w:tc>
      </w:tr>
      <w:tr w:rsidR="005A697A" w:rsidRPr="00A17008" w14:paraId="03FFF4D3" w14:textId="77777777" w:rsidTr="00215BA1">
        <w:trPr>
          <w:tblHeader/>
        </w:trPr>
        <w:tc>
          <w:tcPr>
            <w:tcW w:w="8789" w:type="dxa"/>
            <w:tcBorders>
              <w:bottom w:val="nil"/>
            </w:tcBorders>
            <w:shd w:val="clear" w:color="auto" w:fill="E6E6E6"/>
            <w:vAlign w:val="bottom"/>
          </w:tcPr>
          <w:p w14:paraId="40A3D32F"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Pfizer Australia</w:t>
            </w:r>
          </w:p>
        </w:tc>
        <w:tc>
          <w:tcPr>
            <w:tcW w:w="992" w:type="dxa"/>
            <w:tcBorders>
              <w:bottom w:val="nil"/>
            </w:tcBorders>
            <w:shd w:val="clear" w:color="auto" w:fill="E6E6E6"/>
            <w:vAlign w:val="bottom"/>
          </w:tcPr>
          <w:p w14:paraId="67E980D2"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71</w:t>
            </w:r>
          </w:p>
        </w:tc>
      </w:tr>
      <w:tr w:rsidR="005A697A" w:rsidRPr="00A17008" w14:paraId="7A8E2C1F" w14:textId="77777777">
        <w:trPr>
          <w:tblHeader/>
        </w:trPr>
        <w:tc>
          <w:tcPr>
            <w:tcW w:w="8789" w:type="dxa"/>
            <w:tcBorders>
              <w:top w:val="nil"/>
              <w:bottom w:val="nil"/>
            </w:tcBorders>
            <w:shd w:val="clear" w:color="000000" w:fill="auto"/>
            <w:vAlign w:val="bottom"/>
          </w:tcPr>
          <w:p w14:paraId="0D5FF1C9"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Playgroup Australia</w:t>
            </w:r>
          </w:p>
        </w:tc>
        <w:tc>
          <w:tcPr>
            <w:tcW w:w="992" w:type="dxa"/>
            <w:tcBorders>
              <w:top w:val="nil"/>
              <w:bottom w:val="nil"/>
            </w:tcBorders>
            <w:shd w:val="clear" w:color="000000" w:fill="auto"/>
            <w:vAlign w:val="bottom"/>
          </w:tcPr>
          <w:p w14:paraId="34CB6929"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22</w:t>
            </w:r>
          </w:p>
        </w:tc>
      </w:tr>
      <w:tr w:rsidR="005A697A" w:rsidRPr="00A17008" w14:paraId="7C3BA4B8" w14:textId="77777777" w:rsidTr="00215BA1">
        <w:trPr>
          <w:tblHeader/>
        </w:trPr>
        <w:tc>
          <w:tcPr>
            <w:tcW w:w="8789" w:type="dxa"/>
            <w:tcBorders>
              <w:bottom w:val="nil"/>
            </w:tcBorders>
            <w:shd w:val="clear" w:color="auto" w:fill="E6E6E6"/>
            <w:vAlign w:val="bottom"/>
          </w:tcPr>
          <w:p w14:paraId="3B3FA67C"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Rebecca Cannon</w:t>
            </w:r>
          </w:p>
        </w:tc>
        <w:tc>
          <w:tcPr>
            <w:tcW w:w="992" w:type="dxa"/>
            <w:tcBorders>
              <w:bottom w:val="nil"/>
            </w:tcBorders>
            <w:shd w:val="clear" w:color="auto" w:fill="E6E6E6"/>
            <w:vAlign w:val="bottom"/>
          </w:tcPr>
          <w:p w14:paraId="13E2BB64"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30</w:t>
            </w:r>
          </w:p>
        </w:tc>
      </w:tr>
      <w:tr w:rsidR="005A697A" w:rsidRPr="00A17008" w14:paraId="67C1E583" w14:textId="77777777">
        <w:trPr>
          <w:tblHeader/>
        </w:trPr>
        <w:tc>
          <w:tcPr>
            <w:tcW w:w="8789" w:type="dxa"/>
            <w:tcBorders>
              <w:top w:val="nil"/>
              <w:bottom w:val="nil"/>
            </w:tcBorders>
            <w:shd w:val="clear" w:color="000000" w:fill="auto"/>
            <w:vAlign w:val="bottom"/>
          </w:tcPr>
          <w:p w14:paraId="172B2C4B"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Rehabilitation Medicine Society of Australia and New Zealand (RMSANZ)</w:t>
            </w:r>
          </w:p>
        </w:tc>
        <w:tc>
          <w:tcPr>
            <w:tcW w:w="992" w:type="dxa"/>
            <w:tcBorders>
              <w:top w:val="nil"/>
              <w:bottom w:val="nil"/>
            </w:tcBorders>
            <w:shd w:val="clear" w:color="000000" w:fill="auto"/>
            <w:vAlign w:val="bottom"/>
          </w:tcPr>
          <w:p w14:paraId="6E4F000D"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82</w:t>
            </w:r>
          </w:p>
        </w:tc>
      </w:tr>
      <w:tr w:rsidR="005A697A" w:rsidRPr="00A17008" w14:paraId="69BB0DEE" w14:textId="77777777" w:rsidTr="00215BA1">
        <w:trPr>
          <w:tblHeader/>
        </w:trPr>
        <w:tc>
          <w:tcPr>
            <w:tcW w:w="8789" w:type="dxa"/>
            <w:tcBorders>
              <w:bottom w:val="nil"/>
            </w:tcBorders>
            <w:shd w:val="clear" w:color="auto" w:fill="E6E6E6"/>
            <w:vAlign w:val="bottom"/>
          </w:tcPr>
          <w:p w14:paraId="148EB6EC"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Royal Australasian College of Physicians (RACP)</w:t>
            </w:r>
          </w:p>
        </w:tc>
        <w:tc>
          <w:tcPr>
            <w:tcW w:w="992" w:type="dxa"/>
            <w:tcBorders>
              <w:bottom w:val="nil"/>
            </w:tcBorders>
            <w:shd w:val="clear" w:color="auto" w:fill="E6E6E6"/>
            <w:vAlign w:val="bottom"/>
          </w:tcPr>
          <w:p w14:paraId="420C3787"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64</w:t>
            </w:r>
          </w:p>
        </w:tc>
      </w:tr>
      <w:tr w:rsidR="005A697A" w:rsidRPr="00A17008" w14:paraId="64C2F5BE" w14:textId="77777777">
        <w:trPr>
          <w:tblHeader/>
        </w:trPr>
        <w:tc>
          <w:tcPr>
            <w:tcW w:w="8789" w:type="dxa"/>
            <w:tcBorders>
              <w:bottom w:val="nil"/>
            </w:tcBorders>
            <w:shd w:val="clear" w:color="000000" w:fill="auto"/>
            <w:vAlign w:val="bottom"/>
          </w:tcPr>
          <w:p w14:paraId="48126623"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Scleroderma Australia</w:t>
            </w:r>
          </w:p>
        </w:tc>
        <w:tc>
          <w:tcPr>
            <w:tcW w:w="992" w:type="dxa"/>
            <w:tcBorders>
              <w:bottom w:val="nil"/>
            </w:tcBorders>
            <w:shd w:val="clear" w:color="000000" w:fill="auto"/>
            <w:vAlign w:val="bottom"/>
          </w:tcPr>
          <w:p w14:paraId="04E51E2A"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67</w:t>
            </w:r>
          </w:p>
        </w:tc>
      </w:tr>
      <w:tr w:rsidR="005A697A" w:rsidRPr="00A17008" w14:paraId="544DB14D" w14:textId="77777777" w:rsidTr="00215BA1">
        <w:trPr>
          <w:tblHeader/>
        </w:trPr>
        <w:tc>
          <w:tcPr>
            <w:tcW w:w="8789" w:type="dxa"/>
            <w:tcBorders>
              <w:bottom w:val="nil"/>
            </w:tcBorders>
            <w:shd w:val="clear" w:color="auto" w:fill="E6E6E6"/>
            <w:vAlign w:val="bottom"/>
          </w:tcPr>
          <w:p w14:paraId="265A549D"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Scope (Aust) Ltd</w:t>
            </w:r>
          </w:p>
        </w:tc>
        <w:tc>
          <w:tcPr>
            <w:tcW w:w="992" w:type="dxa"/>
            <w:tcBorders>
              <w:bottom w:val="nil"/>
            </w:tcBorders>
            <w:shd w:val="clear" w:color="auto" w:fill="E6E6E6"/>
            <w:vAlign w:val="bottom"/>
          </w:tcPr>
          <w:p w14:paraId="726CD5A9"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27</w:t>
            </w:r>
          </w:p>
        </w:tc>
      </w:tr>
      <w:tr w:rsidR="005A697A" w:rsidRPr="00A17008" w14:paraId="140CEB8F" w14:textId="77777777">
        <w:trPr>
          <w:tblHeader/>
        </w:trPr>
        <w:tc>
          <w:tcPr>
            <w:tcW w:w="8789" w:type="dxa"/>
            <w:tcBorders>
              <w:bottom w:val="nil"/>
            </w:tcBorders>
            <w:shd w:val="clear" w:color="000000" w:fill="auto"/>
            <w:vAlign w:val="bottom"/>
          </w:tcPr>
          <w:p w14:paraId="4397A905"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Stella Perkins</w:t>
            </w:r>
          </w:p>
        </w:tc>
        <w:tc>
          <w:tcPr>
            <w:tcW w:w="992" w:type="dxa"/>
            <w:tcBorders>
              <w:bottom w:val="nil"/>
            </w:tcBorders>
            <w:shd w:val="clear" w:color="000000" w:fill="auto"/>
            <w:vAlign w:val="bottom"/>
          </w:tcPr>
          <w:p w14:paraId="2C3BFAB0"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16</w:t>
            </w:r>
          </w:p>
        </w:tc>
      </w:tr>
      <w:tr w:rsidR="005A697A" w:rsidRPr="00A17008" w14:paraId="6A78374C" w14:textId="77777777" w:rsidTr="00215BA1">
        <w:trPr>
          <w:tblHeader/>
        </w:trPr>
        <w:tc>
          <w:tcPr>
            <w:tcW w:w="8789" w:type="dxa"/>
            <w:tcBorders>
              <w:bottom w:val="nil"/>
            </w:tcBorders>
            <w:shd w:val="clear" w:color="auto" w:fill="E6E6E6"/>
            <w:vAlign w:val="bottom"/>
          </w:tcPr>
          <w:p w14:paraId="4EB59A93"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Dr Stephen Alomes</w:t>
            </w:r>
          </w:p>
        </w:tc>
        <w:tc>
          <w:tcPr>
            <w:tcW w:w="992" w:type="dxa"/>
            <w:tcBorders>
              <w:bottom w:val="nil"/>
            </w:tcBorders>
            <w:shd w:val="clear" w:color="auto" w:fill="E6E6E6"/>
            <w:vAlign w:val="bottom"/>
          </w:tcPr>
          <w:p w14:paraId="27F7DA23"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59</w:t>
            </w:r>
          </w:p>
        </w:tc>
      </w:tr>
      <w:tr w:rsidR="005A697A" w:rsidRPr="00A17008" w14:paraId="30331C44" w14:textId="77777777">
        <w:trPr>
          <w:tblHeader/>
        </w:trPr>
        <w:tc>
          <w:tcPr>
            <w:tcW w:w="8789" w:type="dxa"/>
            <w:tcBorders>
              <w:bottom w:val="nil"/>
            </w:tcBorders>
            <w:shd w:val="clear" w:color="000000" w:fill="auto"/>
            <w:vAlign w:val="bottom"/>
          </w:tcPr>
          <w:p w14:paraId="20EE3C7F"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Susan Mendez</w:t>
            </w:r>
          </w:p>
        </w:tc>
        <w:tc>
          <w:tcPr>
            <w:tcW w:w="992" w:type="dxa"/>
            <w:tcBorders>
              <w:bottom w:val="nil"/>
            </w:tcBorders>
            <w:shd w:val="clear" w:color="000000" w:fill="auto"/>
            <w:vAlign w:val="bottom"/>
          </w:tcPr>
          <w:p w14:paraId="6E939E77"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36</w:t>
            </w:r>
          </w:p>
        </w:tc>
      </w:tr>
      <w:tr w:rsidR="005A697A" w:rsidRPr="00A17008" w14:paraId="105D3250" w14:textId="77777777" w:rsidTr="00215BA1">
        <w:trPr>
          <w:tblHeader/>
        </w:trPr>
        <w:tc>
          <w:tcPr>
            <w:tcW w:w="8789" w:type="dxa"/>
            <w:tcBorders>
              <w:bottom w:val="nil"/>
            </w:tcBorders>
            <w:shd w:val="clear" w:color="auto" w:fill="E6E6E6"/>
            <w:vAlign w:val="bottom"/>
          </w:tcPr>
          <w:p w14:paraId="33D018DF"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Sydney Policy Lab at the University of Sydney</w:t>
            </w:r>
          </w:p>
        </w:tc>
        <w:tc>
          <w:tcPr>
            <w:tcW w:w="992" w:type="dxa"/>
            <w:tcBorders>
              <w:bottom w:val="nil"/>
            </w:tcBorders>
            <w:shd w:val="clear" w:color="auto" w:fill="E6E6E6"/>
            <w:vAlign w:val="bottom"/>
          </w:tcPr>
          <w:p w14:paraId="5156F761"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61</w:t>
            </w:r>
          </w:p>
        </w:tc>
      </w:tr>
      <w:tr w:rsidR="005A697A" w:rsidRPr="00A17008" w14:paraId="1C7708BD" w14:textId="77777777">
        <w:trPr>
          <w:tblHeader/>
        </w:trPr>
        <w:tc>
          <w:tcPr>
            <w:tcW w:w="8789" w:type="dxa"/>
            <w:tcBorders>
              <w:bottom w:val="nil"/>
            </w:tcBorders>
            <w:shd w:val="clear" w:color="000000" w:fill="auto"/>
            <w:vAlign w:val="bottom"/>
          </w:tcPr>
          <w:p w14:paraId="625FD405"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The Australian Prevention Partnership Centre</w:t>
            </w:r>
          </w:p>
        </w:tc>
        <w:tc>
          <w:tcPr>
            <w:tcW w:w="992" w:type="dxa"/>
            <w:tcBorders>
              <w:bottom w:val="nil"/>
            </w:tcBorders>
            <w:shd w:val="clear" w:color="000000" w:fill="auto"/>
            <w:vAlign w:val="bottom"/>
          </w:tcPr>
          <w:p w14:paraId="11559D0F"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86</w:t>
            </w:r>
          </w:p>
        </w:tc>
      </w:tr>
      <w:tr w:rsidR="005A697A" w:rsidRPr="00A17008" w14:paraId="4DA1E1E7" w14:textId="77777777" w:rsidTr="00215BA1">
        <w:trPr>
          <w:tblHeader/>
        </w:trPr>
        <w:tc>
          <w:tcPr>
            <w:tcW w:w="8789" w:type="dxa"/>
            <w:tcBorders>
              <w:bottom w:val="nil"/>
            </w:tcBorders>
            <w:shd w:val="clear" w:color="auto" w:fill="E6E6E6"/>
            <w:vAlign w:val="bottom"/>
          </w:tcPr>
          <w:p w14:paraId="1D970EA8"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The Benevolent Society</w:t>
            </w:r>
          </w:p>
        </w:tc>
        <w:tc>
          <w:tcPr>
            <w:tcW w:w="992" w:type="dxa"/>
            <w:tcBorders>
              <w:bottom w:val="nil"/>
            </w:tcBorders>
            <w:shd w:val="clear" w:color="auto" w:fill="E6E6E6"/>
            <w:vAlign w:val="bottom"/>
          </w:tcPr>
          <w:p w14:paraId="471A0E42"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73</w:t>
            </w:r>
          </w:p>
        </w:tc>
      </w:tr>
      <w:tr w:rsidR="005A697A" w:rsidRPr="00A17008" w14:paraId="151F8CCE" w14:textId="77777777">
        <w:trPr>
          <w:tblHeader/>
        </w:trPr>
        <w:tc>
          <w:tcPr>
            <w:tcW w:w="8789" w:type="dxa"/>
            <w:tcBorders>
              <w:bottom w:val="nil"/>
            </w:tcBorders>
            <w:shd w:val="clear" w:color="000000" w:fill="auto"/>
            <w:vAlign w:val="bottom"/>
          </w:tcPr>
          <w:p w14:paraId="56643249"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The George Institute</w:t>
            </w:r>
            <w:r>
              <w:rPr>
                <w:rFonts w:ascii="Arial (Body)" w:hAnsi="Arial (Body)"/>
                <w:b w:val="0"/>
                <w:bCs/>
                <w:color w:val="auto"/>
              </w:rPr>
              <w:t xml:space="preserve"> for Global Health</w:t>
            </w:r>
          </w:p>
        </w:tc>
        <w:tc>
          <w:tcPr>
            <w:tcW w:w="992" w:type="dxa"/>
            <w:tcBorders>
              <w:bottom w:val="nil"/>
            </w:tcBorders>
            <w:shd w:val="clear" w:color="000000" w:fill="auto"/>
            <w:vAlign w:val="bottom"/>
          </w:tcPr>
          <w:p w14:paraId="5CE9EC6A"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68</w:t>
            </w:r>
          </w:p>
        </w:tc>
      </w:tr>
      <w:tr w:rsidR="005A697A" w:rsidRPr="00A17008" w14:paraId="378CA4D8" w14:textId="77777777" w:rsidTr="00215BA1">
        <w:trPr>
          <w:tblHeader/>
        </w:trPr>
        <w:tc>
          <w:tcPr>
            <w:tcW w:w="8789" w:type="dxa"/>
            <w:tcBorders>
              <w:bottom w:val="nil"/>
            </w:tcBorders>
            <w:shd w:val="clear" w:color="auto" w:fill="E6E6E6"/>
            <w:vAlign w:val="bottom"/>
          </w:tcPr>
          <w:p w14:paraId="76697CB2"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The George Institute for Global Health and The Leeder Centre for Health Policy, Economics and Data</w:t>
            </w:r>
          </w:p>
        </w:tc>
        <w:tc>
          <w:tcPr>
            <w:tcW w:w="992" w:type="dxa"/>
            <w:tcBorders>
              <w:bottom w:val="nil"/>
            </w:tcBorders>
            <w:shd w:val="clear" w:color="auto" w:fill="E6E6E6"/>
            <w:vAlign w:val="bottom"/>
          </w:tcPr>
          <w:p w14:paraId="47E1ABE7"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72</w:t>
            </w:r>
          </w:p>
        </w:tc>
      </w:tr>
      <w:tr w:rsidR="005A697A" w:rsidRPr="00A17008" w14:paraId="07A4A383" w14:textId="77777777">
        <w:trPr>
          <w:tblHeader/>
        </w:trPr>
        <w:tc>
          <w:tcPr>
            <w:tcW w:w="8789" w:type="dxa"/>
            <w:tcBorders>
              <w:top w:val="nil"/>
              <w:bottom w:val="nil"/>
            </w:tcBorders>
            <w:shd w:val="clear" w:color="000000" w:fill="auto"/>
            <w:vAlign w:val="bottom"/>
          </w:tcPr>
          <w:p w14:paraId="299CC9D6"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The Health Alliance, a joint initiative of Metro North Health and Brisbane North PHN</w:t>
            </w:r>
            <w:r>
              <w:rPr>
                <w:rFonts w:ascii="Arial (Body)" w:hAnsi="Arial (Body)"/>
                <w:b w:val="0"/>
                <w:bCs/>
                <w:color w:val="auto"/>
              </w:rPr>
              <w:t xml:space="preserve"> </w:t>
            </w:r>
            <w:r w:rsidRPr="0046533F">
              <w:rPr>
                <w:rFonts w:ascii="Arial (Body)" w:hAnsi="Arial (Body)"/>
                <w:b w:val="0"/>
                <w:bCs/>
                <w:color w:val="auto"/>
              </w:rPr>
              <w:t>(The Health Alliance)</w:t>
            </w:r>
          </w:p>
        </w:tc>
        <w:tc>
          <w:tcPr>
            <w:tcW w:w="992" w:type="dxa"/>
            <w:tcBorders>
              <w:top w:val="nil"/>
              <w:bottom w:val="nil"/>
            </w:tcBorders>
            <w:shd w:val="clear" w:color="000000" w:fill="auto"/>
            <w:vAlign w:val="bottom"/>
          </w:tcPr>
          <w:p w14:paraId="7EF7E8A3"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70</w:t>
            </w:r>
          </w:p>
        </w:tc>
      </w:tr>
      <w:tr w:rsidR="005A697A" w:rsidRPr="00A17008" w14:paraId="21127E3B" w14:textId="77777777" w:rsidTr="00215BA1">
        <w:trPr>
          <w:tblHeader/>
        </w:trPr>
        <w:tc>
          <w:tcPr>
            <w:tcW w:w="8789" w:type="dxa"/>
            <w:tcBorders>
              <w:top w:val="nil"/>
              <w:bottom w:val="nil"/>
            </w:tcBorders>
            <w:shd w:val="clear" w:color="auto" w:fill="E6E6E6"/>
            <w:vAlign w:val="bottom"/>
          </w:tcPr>
          <w:p w14:paraId="52219A73"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The Retirement Living Council (RLC)</w:t>
            </w:r>
          </w:p>
        </w:tc>
        <w:tc>
          <w:tcPr>
            <w:tcW w:w="992" w:type="dxa"/>
            <w:tcBorders>
              <w:top w:val="nil"/>
              <w:bottom w:val="nil"/>
            </w:tcBorders>
            <w:shd w:val="clear" w:color="auto" w:fill="E6E6E6"/>
            <w:vAlign w:val="bottom"/>
          </w:tcPr>
          <w:p w14:paraId="6E2F2104"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98</w:t>
            </w:r>
          </w:p>
        </w:tc>
      </w:tr>
      <w:tr w:rsidR="005A697A" w:rsidRPr="00A17008" w14:paraId="48CDB4AC" w14:textId="77777777">
        <w:trPr>
          <w:tblHeader/>
        </w:trPr>
        <w:tc>
          <w:tcPr>
            <w:tcW w:w="8789" w:type="dxa"/>
            <w:tcBorders>
              <w:top w:val="nil"/>
              <w:bottom w:val="nil"/>
            </w:tcBorders>
            <w:shd w:val="clear" w:color="000000" w:fill="auto"/>
            <w:vAlign w:val="bottom"/>
          </w:tcPr>
          <w:p w14:paraId="5D8166F0"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The Safer Air Project</w:t>
            </w:r>
          </w:p>
        </w:tc>
        <w:tc>
          <w:tcPr>
            <w:tcW w:w="992" w:type="dxa"/>
            <w:tcBorders>
              <w:top w:val="nil"/>
              <w:bottom w:val="nil"/>
            </w:tcBorders>
            <w:shd w:val="clear" w:color="000000" w:fill="auto"/>
            <w:vAlign w:val="bottom"/>
          </w:tcPr>
          <w:p w14:paraId="4856E64B"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57</w:t>
            </w:r>
          </w:p>
        </w:tc>
      </w:tr>
      <w:tr w:rsidR="005A697A" w:rsidRPr="00A17008" w14:paraId="324DCF35" w14:textId="77777777" w:rsidTr="00215BA1">
        <w:trPr>
          <w:tblHeader/>
        </w:trPr>
        <w:tc>
          <w:tcPr>
            <w:tcW w:w="8789" w:type="dxa"/>
            <w:tcBorders>
              <w:top w:val="nil"/>
              <w:bottom w:val="nil"/>
            </w:tcBorders>
            <w:shd w:val="clear" w:color="auto" w:fill="E6E6E6"/>
            <w:vAlign w:val="bottom"/>
          </w:tcPr>
          <w:p w14:paraId="1698F3C4"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The Salvation Army Australia</w:t>
            </w:r>
          </w:p>
        </w:tc>
        <w:tc>
          <w:tcPr>
            <w:tcW w:w="992" w:type="dxa"/>
            <w:tcBorders>
              <w:top w:val="nil"/>
              <w:bottom w:val="nil"/>
            </w:tcBorders>
            <w:shd w:val="clear" w:color="auto" w:fill="E6E6E6"/>
            <w:vAlign w:val="bottom"/>
          </w:tcPr>
          <w:p w14:paraId="04CC7269"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24</w:t>
            </w:r>
          </w:p>
        </w:tc>
      </w:tr>
      <w:tr w:rsidR="005A697A" w:rsidRPr="00A17008" w14:paraId="2B5427AC" w14:textId="77777777">
        <w:trPr>
          <w:tblHeader/>
        </w:trPr>
        <w:tc>
          <w:tcPr>
            <w:tcW w:w="8789" w:type="dxa"/>
            <w:tcBorders>
              <w:top w:val="nil"/>
              <w:bottom w:val="nil"/>
            </w:tcBorders>
            <w:shd w:val="clear" w:color="000000" w:fill="auto"/>
            <w:vAlign w:val="bottom"/>
          </w:tcPr>
          <w:p w14:paraId="6E12EC68"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The Tech Council of Australia (TCA)</w:t>
            </w:r>
          </w:p>
        </w:tc>
        <w:tc>
          <w:tcPr>
            <w:tcW w:w="992" w:type="dxa"/>
            <w:tcBorders>
              <w:top w:val="nil"/>
              <w:bottom w:val="nil"/>
            </w:tcBorders>
            <w:shd w:val="clear" w:color="000000" w:fill="auto"/>
            <w:vAlign w:val="bottom"/>
          </w:tcPr>
          <w:p w14:paraId="67044EE9"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88</w:t>
            </w:r>
          </w:p>
        </w:tc>
      </w:tr>
      <w:tr w:rsidR="005A697A" w:rsidRPr="00A17008" w14:paraId="4C2DC3B5" w14:textId="77777777" w:rsidTr="00215BA1">
        <w:trPr>
          <w:tblHeader/>
        </w:trPr>
        <w:tc>
          <w:tcPr>
            <w:tcW w:w="8789" w:type="dxa"/>
            <w:tcBorders>
              <w:top w:val="nil"/>
              <w:bottom w:val="nil"/>
            </w:tcBorders>
            <w:shd w:val="clear" w:color="auto" w:fill="E6E6E6"/>
            <w:vAlign w:val="bottom"/>
          </w:tcPr>
          <w:p w14:paraId="5682C1F5"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United Way Australia</w:t>
            </w:r>
          </w:p>
        </w:tc>
        <w:tc>
          <w:tcPr>
            <w:tcW w:w="992" w:type="dxa"/>
            <w:tcBorders>
              <w:top w:val="nil"/>
              <w:bottom w:val="nil"/>
            </w:tcBorders>
            <w:shd w:val="clear" w:color="auto" w:fill="E6E6E6"/>
            <w:vAlign w:val="bottom"/>
          </w:tcPr>
          <w:p w14:paraId="7157B0FD"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58</w:t>
            </w:r>
          </w:p>
        </w:tc>
      </w:tr>
      <w:tr w:rsidR="005A697A" w:rsidRPr="00A17008" w14:paraId="6D3E7989" w14:textId="77777777">
        <w:trPr>
          <w:tblHeader/>
        </w:trPr>
        <w:tc>
          <w:tcPr>
            <w:tcW w:w="8789" w:type="dxa"/>
            <w:tcBorders>
              <w:top w:val="nil"/>
              <w:bottom w:val="nil"/>
            </w:tcBorders>
            <w:shd w:val="clear" w:color="000000" w:fill="auto"/>
            <w:vAlign w:val="bottom"/>
          </w:tcPr>
          <w:p w14:paraId="12B9E2E1"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Uniting Church in Australia Queensland Synod</w:t>
            </w:r>
          </w:p>
        </w:tc>
        <w:tc>
          <w:tcPr>
            <w:tcW w:w="992" w:type="dxa"/>
            <w:tcBorders>
              <w:top w:val="nil"/>
              <w:bottom w:val="nil"/>
            </w:tcBorders>
            <w:shd w:val="clear" w:color="000000" w:fill="auto"/>
            <w:vAlign w:val="bottom"/>
          </w:tcPr>
          <w:p w14:paraId="00418957"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26</w:t>
            </w:r>
          </w:p>
        </w:tc>
      </w:tr>
      <w:tr w:rsidR="005A697A" w:rsidRPr="00A17008" w14:paraId="0B815E11" w14:textId="77777777" w:rsidTr="00215BA1">
        <w:trPr>
          <w:tblHeader/>
        </w:trPr>
        <w:tc>
          <w:tcPr>
            <w:tcW w:w="8789" w:type="dxa"/>
            <w:tcBorders>
              <w:top w:val="nil"/>
              <w:bottom w:val="nil"/>
            </w:tcBorders>
            <w:shd w:val="clear" w:color="auto" w:fill="E6E6E6"/>
            <w:vAlign w:val="bottom"/>
          </w:tcPr>
          <w:p w14:paraId="10C9800C"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Uniting NSW.ACT</w:t>
            </w:r>
          </w:p>
        </w:tc>
        <w:tc>
          <w:tcPr>
            <w:tcW w:w="992" w:type="dxa"/>
            <w:tcBorders>
              <w:top w:val="nil"/>
              <w:bottom w:val="nil"/>
            </w:tcBorders>
            <w:shd w:val="clear" w:color="auto" w:fill="E6E6E6"/>
            <w:vAlign w:val="bottom"/>
          </w:tcPr>
          <w:p w14:paraId="1D421737"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53</w:t>
            </w:r>
          </w:p>
        </w:tc>
      </w:tr>
      <w:tr w:rsidR="005A697A" w:rsidRPr="00A17008" w14:paraId="1AEBC18A" w14:textId="77777777">
        <w:trPr>
          <w:tblHeader/>
        </w:trPr>
        <w:tc>
          <w:tcPr>
            <w:tcW w:w="8789" w:type="dxa"/>
            <w:tcBorders>
              <w:top w:val="nil"/>
              <w:bottom w:val="nil"/>
            </w:tcBorders>
            <w:shd w:val="clear" w:color="000000" w:fill="auto"/>
            <w:vAlign w:val="bottom"/>
          </w:tcPr>
          <w:p w14:paraId="7D0277C8"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UnitingCare Australia</w:t>
            </w:r>
          </w:p>
        </w:tc>
        <w:tc>
          <w:tcPr>
            <w:tcW w:w="992" w:type="dxa"/>
            <w:tcBorders>
              <w:top w:val="nil"/>
              <w:bottom w:val="nil"/>
            </w:tcBorders>
            <w:shd w:val="clear" w:color="000000" w:fill="auto"/>
            <w:vAlign w:val="bottom"/>
          </w:tcPr>
          <w:p w14:paraId="62BA2A0B"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95</w:t>
            </w:r>
          </w:p>
        </w:tc>
      </w:tr>
      <w:tr w:rsidR="005A697A" w:rsidRPr="00A17008" w14:paraId="4A67F3F8" w14:textId="77777777" w:rsidTr="00215BA1">
        <w:trPr>
          <w:tblHeader/>
        </w:trPr>
        <w:tc>
          <w:tcPr>
            <w:tcW w:w="8789" w:type="dxa"/>
            <w:tcBorders>
              <w:top w:val="nil"/>
              <w:bottom w:val="nil"/>
            </w:tcBorders>
            <w:shd w:val="clear" w:color="auto" w:fill="E6E6E6"/>
            <w:vAlign w:val="bottom"/>
          </w:tcPr>
          <w:p w14:paraId="616C80EE"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Dr Vicki Brown</w:t>
            </w:r>
          </w:p>
        </w:tc>
        <w:tc>
          <w:tcPr>
            <w:tcW w:w="992" w:type="dxa"/>
            <w:tcBorders>
              <w:top w:val="nil"/>
              <w:bottom w:val="nil"/>
            </w:tcBorders>
            <w:shd w:val="clear" w:color="auto" w:fill="E6E6E6"/>
            <w:vAlign w:val="bottom"/>
          </w:tcPr>
          <w:p w14:paraId="1A9B1456"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39</w:t>
            </w:r>
          </w:p>
        </w:tc>
      </w:tr>
      <w:tr w:rsidR="005A697A" w:rsidRPr="00A17008" w14:paraId="2A31D587" w14:textId="77777777">
        <w:trPr>
          <w:tblHeader/>
        </w:trPr>
        <w:tc>
          <w:tcPr>
            <w:tcW w:w="8789" w:type="dxa"/>
            <w:tcBorders>
              <w:top w:val="nil"/>
              <w:bottom w:val="nil"/>
            </w:tcBorders>
            <w:shd w:val="clear" w:color="000000" w:fill="auto"/>
            <w:vAlign w:val="bottom"/>
          </w:tcPr>
          <w:p w14:paraId="11074AF0"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Vicki Winfield</w:t>
            </w:r>
          </w:p>
        </w:tc>
        <w:tc>
          <w:tcPr>
            <w:tcW w:w="992" w:type="dxa"/>
            <w:tcBorders>
              <w:top w:val="nil"/>
              <w:bottom w:val="nil"/>
            </w:tcBorders>
            <w:shd w:val="clear" w:color="000000" w:fill="auto"/>
            <w:vAlign w:val="bottom"/>
          </w:tcPr>
          <w:p w14:paraId="5FD2847F"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14</w:t>
            </w:r>
          </w:p>
        </w:tc>
      </w:tr>
      <w:tr w:rsidR="005A697A" w:rsidRPr="00A17008" w14:paraId="1995D845" w14:textId="77777777" w:rsidTr="00215BA1">
        <w:trPr>
          <w:tblHeader/>
        </w:trPr>
        <w:tc>
          <w:tcPr>
            <w:tcW w:w="8789" w:type="dxa"/>
            <w:tcBorders>
              <w:top w:val="nil"/>
              <w:bottom w:val="nil"/>
            </w:tcBorders>
            <w:shd w:val="clear" w:color="auto" w:fill="E6E6E6"/>
            <w:vAlign w:val="bottom"/>
          </w:tcPr>
          <w:p w14:paraId="54D96A44"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 xml:space="preserve">Victoria Department </w:t>
            </w:r>
            <w:r>
              <w:rPr>
                <w:rFonts w:ascii="Arial (Body)" w:hAnsi="Arial (Body)"/>
                <w:b w:val="0"/>
                <w:bCs/>
                <w:color w:val="auto"/>
              </w:rPr>
              <w:t>o</w:t>
            </w:r>
            <w:r w:rsidRPr="00E60BC5">
              <w:rPr>
                <w:rFonts w:ascii="Arial (Body)" w:hAnsi="Arial (Body)"/>
                <w:b w:val="0"/>
                <w:bCs/>
                <w:color w:val="auto"/>
              </w:rPr>
              <w:t>f Health</w:t>
            </w:r>
          </w:p>
        </w:tc>
        <w:tc>
          <w:tcPr>
            <w:tcW w:w="992" w:type="dxa"/>
            <w:tcBorders>
              <w:top w:val="nil"/>
              <w:bottom w:val="nil"/>
            </w:tcBorders>
            <w:shd w:val="clear" w:color="auto" w:fill="E6E6E6"/>
            <w:vAlign w:val="bottom"/>
          </w:tcPr>
          <w:p w14:paraId="33CEA4D2"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46</w:t>
            </w:r>
          </w:p>
        </w:tc>
      </w:tr>
      <w:tr w:rsidR="005A697A" w:rsidRPr="00A17008" w14:paraId="48F18CBC" w14:textId="77777777">
        <w:trPr>
          <w:tblHeader/>
        </w:trPr>
        <w:tc>
          <w:tcPr>
            <w:tcW w:w="8789" w:type="dxa"/>
            <w:tcBorders>
              <w:top w:val="nil"/>
              <w:bottom w:val="nil"/>
            </w:tcBorders>
            <w:shd w:val="clear" w:color="000000" w:fill="auto"/>
            <w:vAlign w:val="bottom"/>
          </w:tcPr>
          <w:p w14:paraId="24968996"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Wellbeing and Prevention Coalition in Mental Health</w:t>
            </w:r>
          </w:p>
        </w:tc>
        <w:tc>
          <w:tcPr>
            <w:tcW w:w="992" w:type="dxa"/>
            <w:tcBorders>
              <w:top w:val="nil"/>
              <w:bottom w:val="nil"/>
            </w:tcBorders>
            <w:shd w:val="clear" w:color="000000" w:fill="auto"/>
            <w:vAlign w:val="bottom"/>
          </w:tcPr>
          <w:p w14:paraId="3E291403"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74</w:t>
            </w:r>
          </w:p>
        </w:tc>
      </w:tr>
      <w:tr w:rsidR="005A697A" w:rsidRPr="00A17008" w14:paraId="5F9774F8" w14:textId="77777777" w:rsidTr="00215BA1">
        <w:trPr>
          <w:tblHeader/>
        </w:trPr>
        <w:tc>
          <w:tcPr>
            <w:tcW w:w="8789" w:type="dxa"/>
            <w:tcBorders>
              <w:top w:val="nil"/>
              <w:bottom w:val="nil"/>
            </w:tcBorders>
            <w:shd w:val="clear" w:color="auto" w:fill="E6E6E6"/>
            <w:vAlign w:val="bottom"/>
          </w:tcPr>
          <w:p w14:paraId="75B0D35F"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Wes Morris</w:t>
            </w:r>
          </w:p>
        </w:tc>
        <w:tc>
          <w:tcPr>
            <w:tcW w:w="992" w:type="dxa"/>
            <w:tcBorders>
              <w:top w:val="nil"/>
              <w:bottom w:val="nil"/>
            </w:tcBorders>
            <w:shd w:val="clear" w:color="auto" w:fill="E6E6E6"/>
            <w:vAlign w:val="bottom"/>
          </w:tcPr>
          <w:p w14:paraId="1BA9E3DE"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91</w:t>
            </w:r>
          </w:p>
        </w:tc>
      </w:tr>
      <w:tr w:rsidR="005A697A" w:rsidRPr="00A17008" w14:paraId="1B93D70B" w14:textId="77777777">
        <w:trPr>
          <w:tblHeader/>
        </w:trPr>
        <w:tc>
          <w:tcPr>
            <w:tcW w:w="8789" w:type="dxa"/>
            <w:tcBorders>
              <w:top w:val="nil"/>
              <w:bottom w:val="single" w:sz="4" w:space="0" w:color="BFBFBF" w:themeColor="background1" w:themeShade="BF"/>
            </w:tcBorders>
            <w:shd w:val="clear" w:color="000000" w:fill="auto"/>
            <w:vAlign w:val="bottom"/>
          </w:tcPr>
          <w:p w14:paraId="506F2635" w14:textId="77777777" w:rsidR="005A697A" w:rsidRPr="00E60BC5"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Working with Women Alliance, Australian Multicultural Women</w:t>
            </w:r>
            <w:r>
              <w:rPr>
                <w:rFonts w:ascii="Arial (Body)" w:hAnsi="Arial (Body)"/>
                <w:b w:val="0"/>
                <w:bCs/>
                <w:color w:val="auto"/>
              </w:rPr>
              <w:t>’</w:t>
            </w:r>
            <w:r w:rsidRPr="00E60BC5">
              <w:rPr>
                <w:rFonts w:ascii="Arial (Body)" w:hAnsi="Arial (Body)"/>
                <w:b w:val="0"/>
                <w:bCs/>
                <w:color w:val="auto"/>
              </w:rPr>
              <w:t>s Alliance (</w:t>
            </w:r>
            <w:proofErr w:type="spellStart"/>
            <w:r w:rsidRPr="00E60BC5">
              <w:rPr>
                <w:rFonts w:ascii="Arial (Body)" w:hAnsi="Arial (Body)"/>
                <w:b w:val="0"/>
                <w:bCs/>
                <w:color w:val="auto"/>
              </w:rPr>
              <w:t>WwWA</w:t>
            </w:r>
            <w:proofErr w:type="spellEnd"/>
            <w:r w:rsidRPr="00E60BC5">
              <w:rPr>
                <w:rFonts w:ascii="Arial (Body)" w:hAnsi="Arial (Body)"/>
                <w:b w:val="0"/>
                <w:bCs/>
                <w:color w:val="auto"/>
              </w:rPr>
              <w:t xml:space="preserve"> and AMWA)</w:t>
            </w:r>
          </w:p>
        </w:tc>
        <w:tc>
          <w:tcPr>
            <w:tcW w:w="992" w:type="dxa"/>
            <w:tcBorders>
              <w:top w:val="nil"/>
              <w:bottom w:val="single" w:sz="4" w:space="0" w:color="BFBFBF" w:themeColor="background1" w:themeShade="BF"/>
            </w:tcBorders>
            <w:shd w:val="clear" w:color="000000" w:fill="auto"/>
            <w:vAlign w:val="bottom"/>
          </w:tcPr>
          <w:p w14:paraId="5319B078" w14:textId="77777777" w:rsidR="005A697A" w:rsidRPr="00E60BC5"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92</w:t>
            </w:r>
          </w:p>
        </w:tc>
      </w:tr>
    </w:tbl>
    <w:p w14:paraId="11AD869C" w14:textId="77777777" w:rsidR="005A697A" w:rsidRDefault="005A697A" w:rsidP="003923B0">
      <w:pPr>
        <w:pStyle w:val="BodyText"/>
      </w:pP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8789"/>
        <w:gridCol w:w="992"/>
      </w:tblGrid>
      <w:tr w:rsidR="005A697A" w:rsidRPr="00A17008" w14:paraId="7B6DDB08" w14:textId="77777777">
        <w:trPr>
          <w:tblHeader/>
        </w:trPr>
        <w:tc>
          <w:tcPr>
            <w:tcW w:w="8789" w:type="dxa"/>
            <w:tcBorders>
              <w:bottom w:val="single" w:sz="4" w:space="0" w:color="B3B3B3"/>
            </w:tcBorders>
            <w:shd w:val="clear" w:color="000000" w:fill="auto"/>
            <w:vAlign w:val="bottom"/>
          </w:tcPr>
          <w:p w14:paraId="4911B855" w14:textId="77777777" w:rsidR="005A697A" w:rsidRPr="00A17008" w:rsidRDefault="005A697A">
            <w:pPr>
              <w:pStyle w:val="TableHeading"/>
              <w:spacing w:before="45" w:after="45"/>
              <w:ind w:right="108"/>
              <w:rPr>
                <w:rFonts w:ascii="Arial (Body)" w:hAnsi="Arial (Body)"/>
                <w:color w:val="265A9A"/>
              </w:rPr>
            </w:pPr>
            <w:r w:rsidRPr="00A17008">
              <w:rPr>
                <w:rFonts w:ascii="Arial (Body)" w:hAnsi="Arial (Body)"/>
                <w:color w:val="265A9A"/>
              </w:rPr>
              <w:lastRenderedPageBreak/>
              <w:br w:type="page"/>
            </w:r>
            <w:r w:rsidRPr="00A17008">
              <w:rPr>
                <w:rFonts w:ascii="Arial (Body)" w:hAnsi="Arial (Body)"/>
                <w:color w:val="265A9A"/>
              </w:rPr>
              <w:br w:type="page"/>
              <w:t>Participants</w:t>
            </w:r>
          </w:p>
        </w:tc>
        <w:tc>
          <w:tcPr>
            <w:tcW w:w="992" w:type="dxa"/>
            <w:tcBorders>
              <w:bottom w:val="single" w:sz="4" w:space="0" w:color="B3B3B3"/>
            </w:tcBorders>
            <w:shd w:val="clear" w:color="000000" w:fill="auto"/>
            <w:vAlign w:val="bottom"/>
          </w:tcPr>
          <w:p w14:paraId="47D96E6B" w14:textId="77777777" w:rsidR="005A697A" w:rsidRPr="00A17008" w:rsidRDefault="005A697A">
            <w:pPr>
              <w:pStyle w:val="TableHeading"/>
              <w:spacing w:before="45" w:after="45"/>
              <w:ind w:right="108"/>
              <w:jc w:val="right"/>
              <w:rPr>
                <w:rFonts w:ascii="Arial (Body)" w:hAnsi="Arial (Body)"/>
                <w:color w:val="265A9A"/>
              </w:rPr>
            </w:pPr>
            <w:proofErr w:type="spellStart"/>
            <w:r>
              <w:rPr>
                <w:rFonts w:ascii="Arial (Body)" w:hAnsi="Arial (Body)"/>
                <w:color w:val="265A9A"/>
              </w:rPr>
              <w:t>qr</w:t>
            </w:r>
            <w:proofErr w:type="spellEnd"/>
            <w:r>
              <w:rPr>
                <w:rFonts w:ascii="Arial (Body)" w:hAnsi="Arial (Body)"/>
                <w:color w:val="265A9A"/>
              </w:rPr>
              <w:t xml:space="preserve"> no.</w:t>
            </w:r>
          </w:p>
        </w:tc>
      </w:tr>
      <w:tr w:rsidR="005A697A" w:rsidRPr="00A17008" w14:paraId="1CE33D50" w14:textId="77777777" w:rsidTr="00215BA1">
        <w:trPr>
          <w:tblHeader/>
        </w:trPr>
        <w:tc>
          <w:tcPr>
            <w:tcW w:w="8789" w:type="dxa"/>
            <w:tcBorders>
              <w:top w:val="single" w:sz="4" w:space="0" w:color="B3B3B3"/>
              <w:bottom w:val="nil"/>
            </w:tcBorders>
            <w:shd w:val="clear" w:color="auto" w:fill="E6E6E6"/>
            <w:vAlign w:val="bottom"/>
          </w:tcPr>
          <w:p w14:paraId="4078ABC8" w14:textId="77777777" w:rsidR="005A697A" w:rsidRPr="00A006FE"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Anonymous</w:t>
            </w:r>
          </w:p>
        </w:tc>
        <w:tc>
          <w:tcPr>
            <w:tcW w:w="992" w:type="dxa"/>
            <w:tcBorders>
              <w:top w:val="single" w:sz="4" w:space="0" w:color="B3B3B3"/>
              <w:bottom w:val="nil"/>
            </w:tcBorders>
            <w:shd w:val="clear" w:color="auto" w:fill="E6E6E6"/>
            <w:vAlign w:val="bottom"/>
          </w:tcPr>
          <w:p w14:paraId="7062E475" w14:textId="77777777" w:rsidR="005A697A" w:rsidRPr="00A006FE"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1</w:t>
            </w:r>
          </w:p>
        </w:tc>
      </w:tr>
      <w:tr w:rsidR="005A697A" w:rsidRPr="00AF609A" w14:paraId="06532E2E" w14:textId="77777777">
        <w:trPr>
          <w:tblHeader/>
        </w:trPr>
        <w:tc>
          <w:tcPr>
            <w:tcW w:w="8789" w:type="dxa"/>
            <w:tcBorders>
              <w:top w:val="nil"/>
              <w:bottom w:val="nil"/>
            </w:tcBorders>
            <w:shd w:val="clear" w:color="000000" w:fill="auto"/>
            <w:vAlign w:val="bottom"/>
          </w:tcPr>
          <w:p w14:paraId="54B3F39D"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Anonymous</w:t>
            </w:r>
          </w:p>
        </w:tc>
        <w:tc>
          <w:tcPr>
            <w:tcW w:w="992" w:type="dxa"/>
            <w:tcBorders>
              <w:top w:val="nil"/>
              <w:bottom w:val="nil"/>
            </w:tcBorders>
            <w:shd w:val="clear" w:color="000000" w:fill="auto"/>
            <w:vAlign w:val="bottom"/>
          </w:tcPr>
          <w:p w14:paraId="1695A7CD"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2</w:t>
            </w:r>
          </w:p>
        </w:tc>
      </w:tr>
      <w:tr w:rsidR="005A697A" w:rsidRPr="00AF609A" w14:paraId="2C6CA535" w14:textId="77777777" w:rsidTr="00215BA1">
        <w:trPr>
          <w:tblHeader/>
        </w:trPr>
        <w:tc>
          <w:tcPr>
            <w:tcW w:w="8789" w:type="dxa"/>
            <w:tcBorders>
              <w:bottom w:val="nil"/>
            </w:tcBorders>
            <w:shd w:val="clear" w:color="auto" w:fill="E6E6E6"/>
            <w:vAlign w:val="bottom"/>
          </w:tcPr>
          <w:p w14:paraId="401F51DC"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Anonymous</w:t>
            </w:r>
          </w:p>
        </w:tc>
        <w:tc>
          <w:tcPr>
            <w:tcW w:w="992" w:type="dxa"/>
            <w:tcBorders>
              <w:bottom w:val="nil"/>
            </w:tcBorders>
            <w:shd w:val="clear" w:color="auto" w:fill="E6E6E6"/>
            <w:vAlign w:val="bottom"/>
          </w:tcPr>
          <w:p w14:paraId="0C9432C7"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3</w:t>
            </w:r>
          </w:p>
        </w:tc>
      </w:tr>
      <w:tr w:rsidR="005A697A" w:rsidRPr="00AF609A" w14:paraId="67F565DB" w14:textId="77777777">
        <w:trPr>
          <w:tblHeader/>
        </w:trPr>
        <w:tc>
          <w:tcPr>
            <w:tcW w:w="8789" w:type="dxa"/>
            <w:tcBorders>
              <w:top w:val="nil"/>
              <w:bottom w:val="nil"/>
            </w:tcBorders>
            <w:shd w:val="clear" w:color="000000" w:fill="auto"/>
            <w:vAlign w:val="bottom"/>
          </w:tcPr>
          <w:p w14:paraId="5F0A9C79"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Anonymous</w:t>
            </w:r>
          </w:p>
        </w:tc>
        <w:tc>
          <w:tcPr>
            <w:tcW w:w="992" w:type="dxa"/>
            <w:tcBorders>
              <w:top w:val="nil"/>
              <w:bottom w:val="nil"/>
            </w:tcBorders>
            <w:shd w:val="clear" w:color="000000" w:fill="auto"/>
            <w:vAlign w:val="bottom"/>
          </w:tcPr>
          <w:p w14:paraId="3521ACF8"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6</w:t>
            </w:r>
          </w:p>
        </w:tc>
      </w:tr>
      <w:tr w:rsidR="005A697A" w:rsidRPr="00AF609A" w14:paraId="542B6CB4" w14:textId="77777777" w:rsidTr="00215BA1">
        <w:trPr>
          <w:tblHeader/>
        </w:trPr>
        <w:tc>
          <w:tcPr>
            <w:tcW w:w="8789" w:type="dxa"/>
            <w:tcBorders>
              <w:bottom w:val="nil"/>
            </w:tcBorders>
            <w:shd w:val="clear" w:color="auto" w:fill="E6E6E6"/>
            <w:vAlign w:val="bottom"/>
          </w:tcPr>
          <w:p w14:paraId="4C517280"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Anonymous</w:t>
            </w:r>
          </w:p>
        </w:tc>
        <w:tc>
          <w:tcPr>
            <w:tcW w:w="992" w:type="dxa"/>
            <w:tcBorders>
              <w:bottom w:val="nil"/>
            </w:tcBorders>
            <w:shd w:val="clear" w:color="auto" w:fill="E6E6E6"/>
            <w:vAlign w:val="bottom"/>
          </w:tcPr>
          <w:p w14:paraId="6BA28093"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9</w:t>
            </w:r>
          </w:p>
        </w:tc>
      </w:tr>
      <w:tr w:rsidR="005A697A" w:rsidRPr="00AF609A" w14:paraId="65B480D5" w14:textId="77777777">
        <w:trPr>
          <w:tblHeader/>
        </w:trPr>
        <w:tc>
          <w:tcPr>
            <w:tcW w:w="8789" w:type="dxa"/>
            <w:tcBorders>
              <w:top w:val="nil"/>
              <w:bottom w:val="nil"/>
            </w:tcBorders>
            <w:shd w:val="clear" w:color="000000" w:fill="auto"/>
            <w:vAlign w:val="bottom"/>
          </w:tcPr>
          <w:p w14:paraId="20F62569"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Anonymous</w:t>
            </w:r>
          </w:p>
        </w:tc>
        <w:tc>
          <w:tcPr>
            <w:tcW w:w="992" w:type="dxa"/>
            <w:tcBorders>
              <w:top w:val="nil"/>
              <w:bottom w:val="nil"/>
            </w:tcBorders>
            <w:shd w:val="clear" w:color="000000" w:fill="auto"/>
            <w:vAlign w:val="bottom"/>
          </w:tcPr>
          <w:p w14:paraId="1E05F5D4"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10</w:t>
            </w:r>
          </w:p>
        </w:tc>
      </w:tr>
      <w:tr w:rsidR="005A697A" w:rsidRPr="00AF609A" w14:paraId="1FAEBEEF" w14:textId="77777777" w:rsidTr="00215BA1">
        <w:trPr>
          <w:tblHeader/>
        </w:trPr>
        <w:tc>
          <w:tcPr>
            <w:tcW w:w="8789" w:type="dxa"/>
            <w:tcBorders>
              <w:bottom w:val="nil"/>
            </w:tcBorders>
            <w:shd w:val="clear" w:color="auto" w:fill="E6E6E6"/>
            <w:vAlign w:val="bottom"/>
          </w:tcPr>
          <w:p w14:paraId="58BF5BC5"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Anonymous</w:t>
            </w:r>
          </w:p>
        </w:tc>
        <w:tc>
          <w:tcPr>
            <w:tcW w:w="992" w:type="dxa"/>
            <w:tcBorders>
              <w:bottom w:val="nil"/>
            </w:tcBorders>
            <w:shd w:val="clear" w:color="auto" w:fill="E6E6E6"/>
            <w:vAlign w:val="bottom"/>
          </w:tcPr>
          <w:p w14:paraId="40308017"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11</w:t>
            </w:r>
          </w:p>
        </w:tc>
      </w:tr>
      <w:tr w:rsidR="005A697A" w:rsidRPr="00AF609A" w14:paraId="6190D4AF" w14:textId="77777777">
        <w:trPr>
          <w:tblHeader/>
        </w:trPr>
        <w:tc>
          <w:tcPr>
            <w:tcW w:w="8789" w:type="dxa"/>
            <w:tcBorders>
              <w:top w:val="nil"/>
              <w:bottom w:val="nil"/>
            </w:tcBorders>
            <w:shd w:val="clear" w:color="000000" w:fill="auto"/>
            <w:vAlign w:val="bottom"/>
          </w:tcPr>
          <w:p w14:paraId="0DDFA2BB"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Anonymous</w:t>
            </w:r>
          </w:p>
        </w:tc>
        <w:tc>
          <w:tcPr>
            <w:tcW w:w="992" w:type="dxa"/>
            <w:tcBorders>
              <w:top w:val="nil"/>
              <w:bottom w:val="nil"/>
            </w:tcBorders>
            <w:shd w:val="clear" w:color="000000" w:fill="auto"/>
            <w:vAlign w:val="bottom"/>
          </w:tcPr>
          <w:p w14:paraId="5772937C"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12</w:t>
            </w:r>
          </w:p>
        </w:tc>
      </w:tr>
      <w:tr w:rsidR="005A697A" w:rsidRPr="00AF609A" w14:paraId="1E6EBDCB" w14:textId="77777777" w:rsidTr="00215BA1">
        <w:trPr>
          <w:tblHeader/>
        </w:trPr>
        <w:tc>
          <w:tcPr>
            <w:tcW w:w="8789" w:type="dxa"/>
            <w:tcBorders>
              <w:bottom w:val="nil"/>
            </w:tcBorders>
            <w:shd w:val="clear" w:color="auto" w:fill="E6E6E6"/>
            <w:vAlign w:val="bottom"/>
          </w:tcPr>
          <w:p w14:paraId="0C3C3936"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Anonymous</w:t>
            </w:r>
          </w:p>
        </w:tc>
        <w:tc>
          <w:tcPr>
            <w:tcW w:w="992" w:type="dxa"/>
            <w:tcBorders>
              <w:bottom w:val="nil"/>
            </w:tcBorders>
            <w:shd w:val="clear" w:color="auto" w:fill="E6E6E6"/>
            <w:vAlign w:val="bottom"/>
          </w:tcPr>
          <w:p w14:paraId="7D6B74DA"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15</w:t>
            </w:r>
          </w:p>
        </w:tc>
      </w:tr>
      <w:tr w:rsidR="005A697A" w:rsidRPr="00AF609A" w14:paraId="326358F2" w14:textId="77777777">
        <w:trPr>
          <w:tblHeader/>
        </w:trPr>
        <w:tc>
          <w:tcPr>
            <w:tcW w:w="8789" w:type="dxa"/>
            <w:tcBorders>
              <w:bottom w:val="nil"/>
            </w:tcBorders>
            <w:shd w:val="clear" w:color="000000" w:fill="auto"/>
            <w:vAlign w:val="bottom"/>
          </w:tcPr>
          <w:p w14:paraId="1973CC1F"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Anonymous</w:t>
            </w:r>
          </w:p>
        </w:tc>
        <w:tc>
          <w:tcPr>
            <w:tcW w:w="992" w:type="dxa"/>
            <w:tcBorders>
              <w:bottom w:val="nil"/>
            </w:tcBorders>
            <w:shd w:val="clear" w:color="000000" w:fill="auto"/>
            <w:vAlign w:val="bottom"/>
          </w:tcPr>
          <w:p w14:paraId="0A6A7DA8"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17</w:t>
            </w:r>
          </w:p>
        </w:tc>
      </w:tr>
      <w:tr w:rsidR="005A697A" w:rsidRPr="00AF609A" w14:paraId="3919C4E9" w14:textId="77777777" w:rsidTr="00215BA1">
        <w:trPr>
          <w:tblHeader/>
        </w:trPr>
        <w:tc>
          <w:tcPr>
            <w:tcW w:w="8789" w:type="dxa"/>
            <w:tcBorders>
              <w:bottom w:val="nil"/>
            </w:tcBorders>
            <w:shd w:val="clear" w:color="auto" w:fill="E6E6E6"/>
            <w:vAlign w:val="bottom"/>
          </w:tcPr>
          <w:p w14:paraId="2857F742"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Anonymous</w:t>
            </w:r>
          </w:p>
        </w:tc>
        <w:tc>
          <w:tcPr>
            <w:tcW w:w="992" w:type="dxa"/>
            <w:tcBorders>
              <w:bottom w:val="nil"/>
            </w:tcBorders>
            <w:shd w:val="clear" w:color="auto" w:fill="E6E6E6"/>
            <w:vAlign w:val="bottom"/>
          </w:tcPr>
          <w:p w14:paraId="51B5736C"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25</w:t>
            </w:r>
          </w:p>
        </w:tc>
      </w:tr>
      <w:tr w:rsidR="005A697A" w:rsidRPr="00AF609A" w14:paraId="167B75C3" w14:textId="77777777">
        <w:trPr>
          <w:tblHeader/>
        </w:trPr>
        <w:tc>
          <w:tcPr>
            <w:tcW w:w="8789" w:type="dxa"/>
            <w:tcBorders>
              <w:bottom w:val="nil"/>
            </w:tcBorders>
            <w:shd w:val="clear" w:color="000000" w:fill="auto"/>
            <w:vAlign w:val="bottom"/>
          </w:tcPr>
          <w:p w14:paraId="2CA3EDD8"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Anonymous</w:t>
            </w:r>
          </w:p>
        </w:tc>
        <w:tc>
          <w:tcPr>
            <w:tcW w:w="992" w:type="dxa"/>
            <w:tcBorders>
              <w:bottom w:val="nil"/>
            </w:tcBorders>
            <w:shd w:val="clear" w:color="000000" w:fill="auto"/>
            <w:vAlign w:val="bottom"/>
          </w:tcPr>
          <w:p w14:paraId="27E85116"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29</w:t>
            </w:r>
          </w:p>
        </w:tc>
      </w:tr>
      <w:tr w:rsidR="005A697A" w:rsidRPr="00AF609A" w14:paraId="5332F316" w14:textId="77777777" w:rsidTr="00215BA1">
        <w:trPr>
          <w:tblHeader/>
        </w:trPr>
        <w:tc>
          <w:tcPr>
            <w:tcW w:w="8789" w:type="dxa"/>
            <w:tcBorders>
              <w:bottom w:val="nil"/>
            </w:tcBorders>
            <w:shd w:val="clear" w:color="auto" w:fill="E6E6E6"/>
            <w:vAlign w:val="bottom"/>
          </w:tcPr>
          <w:p w14:paraId="1961793B"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Anonymous</w:t>
            </w:r>
          </w:p>
        </w:tc>
        <w:tc>
          <w:tcPr>
            <w:tcW w:w="992" w:type="dxa"/>
            <w:tcBorders>
              <w:bottom w:val="nil"/>
            </w:tcBorders>
            <w:shd w:val="clear" w:color="auto" w:fill="E6E6E6"/>
            <w:vAlign w:val="bottom"/>
          </w:tcPr>
          <w:p w14:paraId="4B749989"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41</w:t>
            </w:r>
          </w:p>
        </w:tc>
      </w:tr>
      <w:tr w:rsidR="005A697A" w:rsidRPr="00AF609A" w14:paraId="3E67331E" w14:textId="77777777">
        <w:trPr>
          <w:tblHeader/>
        </w:trPr>
        <w:tc>
          <w:tcPr>
            <w:tcW w:w="8789" w:type="dxa"/>
            <w:tcBorders>
              <w:bottom w:val="nil"/>
            </w:tcBorders>
            <w:shd w:val="clear" w:color="000000" w:fill="auto"/>
            <w:vAlign w:val="bottom"/>
          </w:tcPr>
          <w:p w14:paraId="64A4766C"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Anonymous</w:t>
            </w:r>
          </w:p>
        </w:tc>
        <w:tc>
          <w:tcPr>
            <w:tcW w:w="992" w:type="dxa"/>
            <w:tcBorders>
              <w:bottom w:val="nil"/>
            </w:tcBorders>
            <w:shd w:val="clear" w:color="000000" w:fill="auto"/>
            <w:vAlign w:val="bottom"/>
          </w:tcPr>
          <w:p w14:paraId="145FE880"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79</w:t>
            </w:r>
          </w:p>
        </w:tc>
      </w:tr>
      <w:tr w:rsidR="005A697A" w:rsidRPr="00AF609A" w14:paraId="0A689639" w14:textId="77777777" w:rsidTr="00215BA1">
        <w:trPr>
          <w:tblHeader/>
        </w:trPr>
        <w:tc>
          <w:tcPr>
            <w:tcW w:w="8789" w:type="dxa"/>
            <w:tcBorders>
              <w:bottom w:val="single" w:sz="4" w:space="0" w:color="BFBFBF" w:themeColor="background1" w:themeShade="BF"/>
            </w:tcBorders>
            <w:shd w:val="clear" w:color="auto" w:fill="E6E6E6"/>
            <w:vAlign w:val="bottom"/>
          </w:tcPr>
          <w:p w14:paraId="1820DDB8" w14:textId="77777777" w:rsidR="005A697A" w:rsidRPr="00AF609A" w:rsidRDefault="005A697A">
            <w:pPr>
              <w:pStyle w:val="TableHeading"/>
              <w:spacing w:before="45" w:after="45"/>
              <w:ind w:right="108"/>
              <w:rPr>
                <w:rFonts w:ascii="Arial (Body)" w:hAnsi="Arial (Body)"/>
                <w:b w:val="0"/>
                <w:bCs/>
                <w:color w:val="auto"/>
              </w:rPr>
            </w:pPr>
            <w:r w:rsidRPr="00E60BC5">
              <w:rPr>
                <w:rFonts w:ascii="Arial (Body)" w:hAnsi="Arial (Body)"/>
                <w:b w:val="0"/>
                <w:bCs/>
                <w:color w:val="auto"/>
              </w:rPr>
              <w:t>Anonymous</w:t>
            </w:r>
          </w:p>
        </w:tc>
        <w:tc>
          <w:tcPr>
            <w:tcW w:w="992" w:type="dxa"/>
            <w:tcBorders>
              <w:bottom w:val="single" w:sz="4" w:space="0" w:color="BFBFBF" w:themeColor="background1" w:themeShade="BF"/>
            </w:tcBorders>
            <w:shd w:val="clear" w:color="auto" w:fill="E6E6E6"/>
            <w:vAlign w:val="bottom"/>
          </w:tcPr>
          <w:p w14:paraId="3FE68AD3" w14:textId="77777777" w:rsidR="005A697A" w:rsidRPr="00AF609A" w:rsidRDefault="005A697A">
            <w:pPr>
              <w:pStyle w:val="TableHeading"/>
              <w:spacing w:before="45" w:after="45"/>
              <w:ind w:right="108"/>
              <w:jc w:val="right"/>
              <w:rPr>
                <w:rFonts w:ascii="Arial (Body)" w:hAnsi="Arial (Body)"/>
                <w:b w:val="0"/>
                <w:bCs/>
                <w:color w:val="auto"/>
              </w:rPr>
            </w:pPr>
            <w:r w:rsidRPr="00E60BC5">
              <w:rPr>
                <w:rFonts w:ascii="Arial (Body)" w:hAnsi="Arial (Body)"/>
                <w:b w:val="0"/>
                <w:bCs/>
                <w:color w:val="auto"/>
              </w:rPr>
              <w:t>90</w:t>
            </w:r>
          </w:p>
        </w:tc>
      </w:tr>
    </w:tbl>
    <w:p w14:paraId="0242870B" w14:textId="77777777" w:rsidR="002E60EC" w:rsidRDefault="002E60EC" w:rsidP="003923B0">
      <w:pPr>
        <w:pStyle w:val="BodyText"/>
        <w:sectPr w:rsidR="002E60EC" w:rsidSect="009C5CAD">
          <w:headerReference w:type="even" r:id="rId96"/>
          <w:headerReference w:type="default" r:id="rId97"/>
          <w:type w:val="oddPage"/>
          <w:pgSz w:w="11906" w:h="16838" w:code="9"/>
          <w:pgMar w:top="1134" w:right="1134" w:bottom="1134" w:left="1134" w:header="794" w:footer="510" w:gutter="0"/>
          <w:cols w:space="708"/>
          <w:docGrid w:linePitch="360"/>
        </w:sectPr>
      </w:pPr>
    </w:p>
    <w:p w14:paraId="2650BBD4" w14:textId="77777777" w:rsidR="002E60EC" w:rsidRDefault="002E60EC" w:rsidP="003923B0">
      <w:pPr>
        <w:pStyle w:val="BodyText"/>
      </w:pPr>
    </w:p>
    <w:p w14:paraId="6C7C8DF3" w14:textId="77777777" w:rsidR="002E60EC" w:rsidRDefault="002E60EC" w:rsidP="003923B0">
      <w:pPr>
        <w:pStyle w:val="BodyText"/>
      </w:pPr>
    </w:p>
    <w:p w14:paraId="41574BDA" w14:textId="77777777" w:rsidR="005A697A" w:rsidRDefault="005A697A" w:rsidP="003923B0">
      <w:pPr>
        <w:pStyle w:val="BodyText"/>
        <w:sectPr w:rsidR="005A697A" w:rsidSect="002E60EC">
          <w:headerReference w:type="even" r:id="rId98"/>
          <w:pgSz w:w="11906" w:h="16838" w:code="9"/>
          <w:pgMar w:top="1134" w:right="1134" w:bottom="1134" w:left="1134" w:header="794" w:footer="510" w:gutter="0"/>
          <w:cols w:space="708"/>
          <w:docGrid w:linePitch="360"/>
        </w:sectPr>
      </w:pPr>
    </w:p>
    <w:p w14:paraId="28273B94" w14:textId="77777777" w:rsidR="00D94B88" w:rsidRDefault="00D94B88">
      <w:pPr>
        <w:pStyle w:val="Heading-Appendix"/>
      </w:pPr>
      <w:bookmarkStart w:id="100" w:name="_Toc215671178"/>
      <w:bookmarkStart w:id="101" w:name="_Toc215838141"/>
      <w:r>
        <w:lastRenderedPageBreak/>
        <w:t>Technical appendix</w:t>
      </w:r>
      <w:bookmarkEnd w:id="100"/>
      <w:bookmarkEnd w:id="101"/>
    </w:p>
    <w:p w14:paraId="04255F9B" w14:textId="3C3FAB00" w:rsidR="00D94B88" w:rsidRPr="00A328CD" w:rsidRDefault="00D94B88">
      <w:pPr>
        <w:pStyle w:val="BodyText"/>
      </w:pPr>
      <w:r>
        <w:t>This appendix provides information on how we calculated the benefits of reforms recommended in the inquiry into</w:t>
      </w:r>
      <w:r>
        <w:rPr>
          <w:i/>
          <w:iCs/>
        </w:rPr>
        <w:t xml:space="preserve"> Delivering quality care more efficiently</w:t>
      </w:r>
      <w:r>
        <w:t xml:space="preserve">. </w:t>
      </w:r>
    </w:p>
    <w:p w14:paraId="28D171AF" w14:textId="77777777" w:rsidR="00D94B88" w:rsidRDefault="00D94B88">
      <w:pPr>
        <w:pStyle w:val="Heading3"/>
      </w:pPr>
      <w:r>
        <w:t>Reform of quality and safety regulation to support a more cohesive care economy</w:t>
      </w:r>
    </w:p>
    <w:p w14:paraId="511C4F21" w14:textId="77777777" w:rsidR="00B01A4C" w:rsidRDefault="00B01A4C" w:rsidP="00B01A4C">
      <w:pPr>
        <w:pStyle w:val="Heading4"/>
      </w:pPr>
      <w:r>
        <w:t>Our approach</w:t>
      </w:r>
    </w:p>
    <w:p w14:paraId="46148100" w14:textId="77777777" w:rsidR="00B01A4C" w:rsidRPr="009D2017" w:rsidRDefault="00B01A4C" w:rsidP="00B01A4C">
      <w:pPr>
        <w:pStyle w:val="BodyText"/>
      </w:pPr>
      <w:r>
        <w:t>Chapter 1 of this report makes recommendations to align quality and safety regulation across the care economy, initially commencing with aged care, the National Disability Insurance Scheme (NDIS) and veterans’ care, and in some instances, early childhood education and care (ECEC). Here, we outline t</w:t>
      </w:r>
      <w:r w:rsidRPr="009D2017">
        <w:t xml:space="preserve">he modelling approach and key assumptions used to estimate the benefits arising from the regulatory reforms proposed in </w:t>
      </w:r>
      <w:r>
        <w:t>that</w:t>
      </w:r>
      <w:r w:rsidRPr="009D2017">
        <w:t xml:space="preserve"> chapter</w:t>
      </w:r>
      <w:r>
        <w:t xml:space="preserve">. </w:t>
      </w:r>
    </w:p>
    <w:p w14:paraId="1BA5B8F1" w14:textId="77777777" w:rsidR="00B01A4C" w:rsidRPr="009D2017" w:rsidRDefault="00B01A4C" w:rsidP="00B01A4C">
      <w:pPr>
        <w:pStyle w:val="BodyText"/>
      </w:pPr>
      <w:r w:rsidRPr="009D2017">
        <w:t>The objective of</w:t>
      </w:r>
      <w:r>
        <w:t xml:space="preserve"> the</w:t>
      </w:r>
      <w:r w:rsidRPr="009D2017">
        <w:t xml:space="preserve"> modelling is to provide insight into </w:t>
      </w:r>
      <w:r w:rsidRPr="006830FC">
        <w:t xml:space="preserve">the expected </w:t>
      </w:r>
      <w:r w:rsidRPr="009D2017">
        <w:t>savings resulting from the proposed </w:t>
      </w:r>
      <w:r w:rsidRPr="006830FC">
        <w:t>r</w:t>
      </w:r>
      <w:r w:rsidRPr="009D2017">
        <w:t>eforms.</w:t>
      </w:r>
      <w:r w:rsidRPr="006830FC">
        <w:t xml:space="preserve"> E</w:t>
      </w:r>
      <w:r w:rsidRPr="009D2017">
        <w:t>stimates are based on</w:t>
      </w:r>
      <w:r w:rsidRPr="006830FC">
        <w:t xml:space="preserve"> </w:t>
      </w:r>
      <w:r w:rsidRPr="009D2017">
        <w:t xml:space="preserve">evidence </w:t>
      </w:r>
      <w:r w:rsidRPr="006830FC">
        <w:noBreakHyphen/>
      </w:r>
      <w:r w:rsidRPr="009D2017">
        <w:t>informed assumptions and should be interpreted as </w:t>
      </w:r>
      <w:r>
        <w:t>indicative</w:t>
      </w:r>
      <w:r w:rsidRPr="009D2017">
        <w:t xml:space="preserve"> rather than precise point estimates. </w:t>
      </w:r>
      <w:r w:rsidRPr="006830FC">
        <w:t>M</w:t>
      </w:r>
      <w:r w:rsidRPr="009D2017">
        <w:t xml:space="preserve">odelling </w:t>
      </w:r>
      <w:r>
        <w:t xml:space="preserve">has </w:t>
      </w:r>
      <w:r w:rsidRPr="009D2017">
        <w:t>focuse</w:t>
      </w:r>
      <w:r>
        <w:t>d</w:t>
      </w:r>
      <w:r w:rsidRPr="009D2017">
        <w:t xml:space="preserve"> on direct, quantifiable savings to providers and workers, and does not attempt to capture quality improvements, service accessibility gains, or long</w:t>
      </w:r>
      <w:r>
        <w:noBreakHyphen/>
      </w:r>
      <w:r w:rsidRPr="009D2017">
        <w:t>term productivity effects that may also result from reform. </w:t>
      </w:r>
      <w:r w:rsidRPr="006830FC">
        <w:t xml:space="preserve">Specifically, we have modelled the </w:t>
      </w:r>
      <w:r>
        <w:t>benefits of</w:t>
      </w:r>
      <w:r w:rsidRPr="006830FC">
        <w:t xml:space="preserve"> the following recommendations:</w:t>
      </w:r>
    </w:p>
    <w:p w14:paraId="3FB4A428" w14:textId="77777777" w:rsidR="00B01A4C" w:rsidRDefault="00B01A4C" w:rsidP="00B01A4C">
      <w:pPr>
        <w:pStyle w:val="ListBullet"/>
      </w:pPr>
      <w:r>
        <w:t>in relation to workers – a national worker screening check (part of recommendation 1.1)</w:t>
      </w:r>
    </w:p>
    <w:p w14:paraId="100A6BA0" w14:textId="77777777" w:rsidR="00B01A4C" w:rsidRDefault="00B01A4C" w:rsidP="00B01A4C">
      <w:pPr>
        <w:pStyle w:val="ListBullet"/>
      </w:pPr>
      <w:r>
        <w:t>in relation to providers – aligning provider suitability tests and audit and registration requirements (part of recommendation 1.2).</w:t>
      </w:r>
    </w:p>
    <w:p w14:paraId="7ACF8B79" w14:textId="77777777" w:rsidR="00B01A4C" w:rsidRDefault="00B01A4C" w:rsidP="00B01A4C">
      <w:pPr>
        <w:pStyle w:val="BodyText"/>
      </w:pPr>
      <w:r>
        <w:t xml:space="preserve">Other recommendations were not modelled because sufficient data to estimate the proposed reforms was not available. </w:t>
      </w:r>
    </w:p>
    <w:p w14:paraId="6F288FF8" w14:textId="77777777" w:rsidR="00D94B88" w:rsidRDefault="00D94B88">
      <w:pPr>
        <w:pStyle w:val="Heading4"/>
      </w:pPr>
      <w:r>
        <w:t xml:space="preserve">Methodology and data sources </w:t>
      </w:r>
    </w:p>
    <w:p w14:paraId="0228106A" w14:textId="77777777" w:rsidR="00D94B88" w:rsidRPr="008D3B69" w:rsidRDefault="00D94B88">
      <w:pPr>
        <w:pStyle w:val="BodyText"/>
      </w:pPr>
      <w:r w:rsidRPr="008D3B69">
        <w:t xml:space="preserve">The direct benefits of the regulatory reforms for workers and providers were calculated by estimating the time and cost savings </w:t>
      </w:r>
      <w:r>
        <w:t>of</w:t>
      </w:r>
      <w:r w:rsidRPr="008D3B69">
        <w:t xml:space="preserve"> </w:t>
      </w:r>
      <w:r>
        <w:t>individual</w:t>
      </w:r>
      <w:r w:rsidRPr="008D3B69">
        <w:t> reforms and represent</w:t>
      </w:r>
      <w:r>
        <w:t xml:space="preserve">ing these in </w:t>
      </w:r>
      <w:r w:rsidRPr="008D3B69">
        <w:t>dollar</w:t>
      </w:r>
      <w:r>
        <w:t xml:space="preserve"> terms</w:t>
      </w:r>
      <w:r w:rsidRPr="008D3B69">
        <w:t xml:space="preserve">. This approach directly links the </w:t>
      </w:r>
      <w:r>
        <w:t xml:space="preserve">estimated </w:t>
      </w:r>
      <w:r w:rsidRPr="008D3B69">
        <w:t>benefits</w:t>
      </w:r>
      <w:r>
        <w:t xml:space="preserve"> to</w:t>
      </w:r>
      <w:r w:rsidRPr="008D3B69">
        <w:t xml:space="preserve"> </w:t>
      </w:r>
      <w:r>
        <w:t>the change resulting</w:t>
      </w:r>
      <w:r w:rsidRPr="008D3B69">
        <w:t xml:space="preserve"> from r</w:t>
      </w:r>
      <w:r>
        <w:t>eforms</w:t>
      </w:r>
      <w:r w:rsidRPr="008D3B69">
        <w:t xml:space="preserve">. The following steps were taken </w:t>
      </w:r>
      <w:r>
        <w:t>to estimate</w:t>
      </w:r>
      <w:r w:rsidRPr="008D3B69">
        <w:t xml:space="preserve"> benefits </w:t>
      </w:r>
      <w:r>
        <w:t>for</w:t>
      </w:r>
      <w:r w:rsidRPr="008D3B69">
        <w:t> both </w:t>
      </w:r>
      <w:r>
        <w:t xml:space="preserve">the </w:t>
      </w:r>
      <w:r w:rsidRPr="008D3B69">
        <w:t>provider</w:t>
      </w:r>
      <w:r>
        <w:noBreakHyphen/>
      </w:r>
      <w:r w:rsidRPr="008D3B69">
        <w:t xml:space="preserve"> and worker</w:t>
      </w:r>
      <w:r>
        <w:noBreakHyphen/>
        <w:t>related reforms.</w:t>
      </w:r>
      <w:r w:rsidRPr="008D3B69">
        <w:t> </w:t>
      </w:r>
    </w:p>
    <w:p w14:paraId="560A5499" w14:textId="77777777" w:rsidR="00D94B88" w:rsidRPr="008D3B69" w:rsidRDefault="00D94B88" w:rsidP="00C62578">
      <w:pPr>
        <w:pStyle w:val="ListNumber"/>
        <w:numPr>
          <w:ilvl w:val="0"/>
          <w:numId w:val="37"/>
        </w:numPr>
      </w:pPr>
      <w:r>
        <w:rPr>
          <w:b/>
          <w:bCs/>
        </w:rPr>
        <w:t>I</w:t>
      </w:r>
      <w:r w:rsidRPr="008D3B69">
        <w:rPr>
          <w:b/>
          <w:bCs/>
        </w:rPr>
        <w:t>dentify the quantifiable reforms: </w:t>
      </w:r>
      <w:r>
        <w:t>identify</w:t>
      </w:r>
      <w:r w:rsidRPr="008D3B69">
        <w:t xml:space="preserve"> activities </w:t>
      </w:r>
      <w:r>
        <w:t>that</w:t>
      </w:r>
      <w:r w:rsidRPr="008D3B69">
        <w:t xml:space="preserve"> </w:t>
      </w:r>
      <w:r>
        <w:t>would</w:t>
      </w:r>
      <w:r w:rsidRPr="008D3B69">
        <w:t xml:space="preserve"> be impacted by reforms and are quantifiable with available data</w:t>
      </w:r>
      <w:r>
        <w:t>.</w:t>
      </w:r>
    </w:p>
    <w:p w14:paraId="655C6439" w14:textId="63A2D51C" w:rsidR="00D94B88" w:rsidRPr="008D3B69" w:rsidRDefault="00D94B88">
      <w:pPr>
        <w:pStyle w:val="ListNumber"/>
      </w:pPr>
      <w:r>
        <w:rPr>
          <w:b/>
          <w:bCs/>
        </w:rPr>
        <w:t>D</w:t>
      </w:r>
      <w:r w:rsidRPr="008D3B69">
        <w:rPr>
          <w:b/>
          <w:bCs/>
        </w:rPr>
        <w:t>efine the target population:</w:t>
      </w:r>
      <w:r w:rsidRPr="008D3B69">
        <w:t> identify the number of providers or workers affected by the regulation or reform annually</w:t>
      </w:r>
      <w:r>
        <w:t xml:space="preserve"> across the care sectors</w:t>
      </w:r>
      <w:r w:rsidR="005D2E33" w:rsidRPr="005D2E33">
        <w:t xml:space="preserve"> </w:t>
      </w:r>
      <w:r w:rsidR="005D2E33">
        <w:t>in scope</w:t>
      </w:r>
      <w:r>
        <w:t xml:space="preserve">. </w:t>
      </w:r>
    </w:p>
    <w:p w14:paraId="247DCC1B" w14:textId="77777777" w:rsidR="00D94B88" w:rsidRPr="008D3B69" w:rsidRDefault="00D94B88">
      <w:pPr>
        <w:pStyle w:val="ListNumber"/>
      </w:pPr>
      <w:r>
        <w:rPr>
          <w:b/>
          <w:bCs/>
        </w:rPr>
        <w:t>D</w:t>
      </w:r>
      <w:r w:rsidRPr="008D3B69">
        <w:rPr>
          <w:b/>
          <w:bCs/>
        </w:rPr>
        <w:t>efine the base case:</w:t>
      </w:r>
      <w:r w:rsidRPr="008D3B69">
        <w:t xml:space="preserve"> identify the current compliance activities being undertaken that would be </w:t>
      </w:r>
      <w:r>
        <w:t>reduced</w:t>
      </w:r>
      <w:r w:rsidRPr="008D3B69">
        <w:t xml:space="preserve"> by the reforms</w:t>
      </w:r>
      <w:r>
        <w:t>.</w:t>
      </w:r>
    </w:p>
    <w:p w14:paraId="090BE2C8" w14:textId="77777777" w:rsidR="00D94B88" w:rsidRPr="008D3B69" w:rsidRDefault="00D94B88">
      <w:pPr>
        <w:pStyle w:val="ListNumber"/>
      </w:pPr>
      <w:r>
        <w:rPr>
          <w:b/>
          <w:bCs/>
        </w:rPr>
        <w:lastRenderedPageBreak/>
        <w:t>I</w:t>
      </w:r>
      <w:r w:rsidRPr="008D3B69">
        <w:rPr>
          <w:b/>
          <w:bCs/>
        </w:rPr>
        <w:t>dentify changes under the reforms:</w:t>
      </w:r>
      <w:r w:rsidRPr="008D3B69">
        <w:t> </w:t>
      </w:r>
      <w:r>
        <w:t>s</w:t>
      </w:r>
      <w:r w:rsidRPr="008D3B69">
        <w:t>pecify how the regulatory compliance activities would change under the proposed reform (for example, reduced frequency)</w:t>
      </w:r>
      <w:r>
        <w:t>.</w:t>
      </w:r>
    </w:p>
    <w:p w14:paraId="2807C443" w14:textId="77777777" w:rsidR="00D94B88" w:rsidRPr="008D3B69" w:rsidRDefault="00D94B88">
      <w:pPr>
        <w:pStyle w:val="ListNumber"/>
      </w:pPr>
      <w:r>
        <w:rPr>
          <w:b/>
          <w:bCs/>
        </w:rPr>
        <w:t>E</w:t>
      </w:r>
      <w:r w:rsidRPr="008D3B69">
        <w:rPr>
          <w:b/>
          <w:bCs/>
        </w:rPr>
        <w:t>stimate the unit cost per activity:</w:t>
      </w:r>
      <w:r w:rsidRPr="008D3B69">
        <w:t> </w:t>
      </w:r>
      <w:r>
        <w:t>q</w:t>
      </w:r>
      <w:r w:rsidRPr="008D3B69">
        <w:t>uantify the cost of each activity, including time, labour and fees</w:t>
      </w:r>
      <w:r>
        <w:t>.</w:t>
      </w:r>
    </w:p>
    <w:p w14:paraId="4D00FB42" w14:textId="77777777" w:rsidR="00D94B88" w:rsidRPr="008D3B69" w:rsidRDefault="00D94B88">
      <w:pPr>
        <w:pStyle w:val="ListNumber"/>
      </w:pPr>
      <w:r>
        <w:rPr>
          <w:b/>
          <w:bCs/>
        </w:rPr>
        <w:t>Identify expected growth to</w:t>
      </w:r>
      <w:r w:rsidRPr="008D3B69">
        <w:rPr>
          <w:b/>
          <w:bCs/>
        </w:rPr>
        <w:t> relevant components: </w:t>
      </w:r>
      <w:r>
        <w:t xml:space="preserve">apply growth rates to </w:t>
      </w:r>
      <w:r w:rsidRPr="008D3B69">
        <w:t>unit costs, and the number of providers and workers</w:t>
      </w:r>
      <w:r>
        <w:t>.</w:t>
      </w:r>
    </w:p>
    <w:p w14:paraId="39B3E04E" w14:textId="77777777" w:rsidR="00D94B88" w:rsidRPr="008D3B69" w:rsidRDefault="00D94B88">
      <w:pPr>
        <w:pStyle w:val="ListNumber"/>
      </w:pPr>
      <w:r>
        <w:rPr>
          <w:b/>
          <w:bCs/>
        </w:rPr>
        <w:t>C</w:t>
      </w:r>
      <w:r w:rsidRPr="008D3B69">
        <w:rPr>
          <w:b/>
          <w:bCs/>
        </w:rPr>
        <w:t>alculate the total effect:</w:t>
      </w:r>
      <w:r w:rsidRPr="008D3B69">
        <w:t xml:space="preserve"> estimate total benefits as</w:t>
      </w:r>
      <w:r>
        <w:t xml:space="preserve"> the</w:t>
      </w:r>
      <w:r w:rsidRPr="008D3B69">
        <w:t> </w:t>
      </w:r>
      <w:r w:rsidRPr="008D3B69">
        <w:rPr>
          <w:i/>
          <w:iCs/>
        </w:rPr>
        <w:t>change in activity × unit cost × number of affected entities × growth</w:t>
      </w:r>
      <w:r>
        <w:rPr>
          <w:i/>
          <w:iCs/>
        </w:rPr>
        <w:t xml:space="preserve"> rates</w:t>
      </w:r>
      <w:r>
        <w:t xml:space="preserve">. </w:t>
      </w:r>
      <w:r w:rsidRPr="008D3B69">
        <w:t>Total effects are discounted to 2025 dollars whe</w:t>
      </w:r>
      <w:r>
        <w:t>re</w:t>
      </w:r>
      <w:r w:rsidRPr="008D3B69">
        <w:t xml:space="preserve"> relevant. </w:t>
      </w:r>
    </w:p>
    <w:p w14:paraId="44B0D532" w14:textId="77777777" w:rsidR="00D94B88" w:rsidRDefault="00D94B88">
      <w:pPr>
        <w:pStyle w:val="ListNumber"/>
      </w:pPr>
      <w:r>
        <w:rPr>
          <w:b/>
          <w:bCs/>
        </w:rPr>
        <w:t>C</w:t>
      </w:r>
      <w:r w:rsidRPr="008D3B69">
        <w:rPr>
          <w:b/>
          <w:bCs/>
        </w:rPr>
        <w:t>alculate equivalent care hours:</w:t>
      </w:r>
      <w:r w:rsidRPr="008D3B69">
        <w:t xml:space="preserve"> divide the total effect by the average care worker </w:t>
      </w:r>
      <w:r>
        <w:t>w</w:t>
      </w:r>
      <w:r w:rsidRPr="008D3B69">
        <w:t>age</w:t>
      </w:r>
      <w:r>
        <w:t xml:space="preserve"> plus overhead costs.</w:t>
      </w:r>
    </w:p>
    <w:p w14:paraId="4EEFB63B" w14:textId="77777777" w:rsidR="00D94B88" w:rsidRDefault="00D94B88">
      <w:pPr>
        <w:pStyle w:val="BodyText"/>
      </w:pPr>
      <w:r>
        <w:t xml:space="preserve">Table B.1 shows the application of these eight steps to the proposed reforms. Table B.2 outlines the assumptions used as inputs to estimate the benefits. </w:t>
      </w:r>
    </w:p>
    <w:p w14:paraId="5D2ED1D2" w14:textId="2F9F8EE3" w:rsidR="00D94B88" w:rsidRPr="00FE381B" w:rsidRDefault="00D94B88">
      <w:pPr>
        <w:pStyle w:val="FigureTableHeading"/>
      </w:pPr>
      <w:r w:rsidRPr="008D3B69">
        <w:t xml:space="preserve">Table </w:t>
      </w:r>
      <w:r>
        <w:t>B</w:t>
      </w:r>
      <w:r w:rsidRPr="008D3B69">
        <w:t>.</w:t>
      </w:r>
      <w:r>
        <w:t>1</w:t>
      </w:r>
      <w:r w:rsidRPr="008D3B69">
        <w:t> – Benefit estimation approaches</w:t>
      </w:r>
    </w:p>
    <w:tbl>
      <w:tblPr>
        <w:tblW w:w="9330"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3672"/>
        <w:gridCol w:w="3673"/>
      </w:tblGrid>
      <w:tr w:rsidR="00D94B88" w:rsidRPr="008D3B69" w14:paraId="060D4B65" w14:textId="77777777">
        <w:trPr>
          <w:trHeight w:val="300"/>
          <w:tblHeader/>
        </w:trPr>
        <w:tc>
          <w:tcPr>
            <w:tcW w:w="1985" w:type="dxa"/>
            <w:tcBorders>
              <w:bottom w:val="single" w:sz="4" w:space="0" w:color="B3B3B3"/>
            </w:tcBorders>
            <w:vAlign w:val="bottom"/>
            <w:hideMark/>
          </w:tcPr>
          <w:p w14:paraId="68343DB4" w14:textId="77777777" w:rsidR="00D94B88" w:rsidRPr="008D3B69" w:rsidRDefault="00D94B88">
            <w:pPr>
              <w:pStyle w:val="BodyText"/>
              <w:spacing w:before="45" w:after="45"/>
              <w:ind w:left="57" w:right="108"/>
              <w:rPr>
                <w:rFonts w:ascii="Arial (Body)" w:hAnsi="Arial (Body)"/>
                <w:b/>
                <w:color w:val="265A9A"/>
                <w:sz w:val="18"/>
              </w:rPr>
            </w:pPr>
            <w:r w:rsidRPr="008D3B69">
              <w:rPr>
                <w:rFonts w:ascii="Arial (Body)" w:hAnsi="Arial (Body)"/>
                <w:b/>
                <w:bCs/>
                <w:color w:val="265A9A"/>
                <w:sz w:val="18"/>
              </w:rPr>
              <w:t>Step</w:t>
            </w:r>
            <w:r w:rsidRPr="008D3B69">
              <w:rPr>
                <w:rFonts w:ascii="Arial (Body)" w:hAnsi="Arial (Body)"/>
                <w:b/>
                <w:color w:val="265A9A"/>
                <w:sz w:val="18"/>
              </w:rPr>
              <w:t> </w:t>
            </w:r>
          </w:p>
        </w:tc>
        <w:tc>
          <w:tcPr>
            <w:tcW w:w="3672" w:type="dxa"/>
            <w:tcBorders>
              <w:bottom w:val="single" w:sz="4" w:space="0" w:color="B3B3B3"/>
            </w:tcBorders>
            <w:vAlign w:val="bottom"/>
          </w:tcPr>
          <w:p w14:paraId="3730091E" w14:textId="77777777" w:rsidR="00D94B88" w:rsidRPr="008D3B69" w:rsidRDefault="00D94B88">
            <w:pPr>
              <w:pStyle w:val="BodyText"/>
              <w:spacing w:before="45" w:after="45"/>
              <w:ind w:left="57" w:right="108"/>
              <w:rPr>
                <w:rFonts w:ascii="Arial (Body)" w:hAnsi="Arial (Body)"/>
                <w:b/>
                <w:bCs/>
                <w:color w:val="265A9A"/>
                <w:sz w:val="18"/>
              </w:rPr>
            </w:pPr>
            <w:r w:rsidRPr="00F53998" w:rsidDel="00112DE1">
              <w:rPr>
                <w:rFonts w:ascii="Arial (Body)" w:hAnsi="Arial (Body)"/>
                <w:b/>
                <w:bCs/>
                <w:color w:val="265A9A"/>
                <w:sz w:val="18"/>
              </w:rPr>
              <w:t>Worker</w:t>
            </w:r>
            <w:r>
              <w:rPr>
                <w:rFonts w:ascii="Arial (Body)" w:hAnsi="Arial (Body)"/>
                <w:b/>
                <w:bCs/>
                <w:color w:val="265A9A"/>
                <w:sz w:val="18"/>
              </w:rPr>
              <w:noBreakHyphen/>
              <w:t>related reforms (recommendation 1.1)</w:t>
            </w:r>
          </w:p>
        </w:tc>
        <w:tc>
          <w:tcPr>
            <w:tcW w:w="3673" w:type="dxa"/>
            <w:tcBorders>
              <w:bottom w:val="single" w:sz="4" w:space="0" w:color="B3B3B3"/>
            </w:tcBorders>
            <w:vAlign w:val="bottom"/>
            <w:hideMark/>
          </w:tcPr>
          <w:p w14:paraId="48DA9EDC" w14:textId="77777777" w:rsidR="00D94B88" w:rsidRPr="008D3B69" w:rsidRDefault="00D94B88">
            <w:pPr>
              <w:pStyle w:val="BodyText"/>
              <w:spacing w:before="45" w:after="45"/>
              <w:ind w:left="57" w:right="108"/>
              <w:rPr>
                <w:rFonts w:ascii="Arial (Body)" w:hAnsi="Arial (Body)"/>
                <w:b/>
                <w:color w:val="265A9A"/>
                <w:sz w:val="18"/>
              </w:rPr>
            </w:pPr>
            <w:r>
              <w:rPr>
                <w:rFonts w:ascii="Arial (Body)" w:hAnsi="Arial (Body)"/>
                <w:b/>
                <w:bCs/>
                <w:color w:val="265A9A"/>
                <w:sz w:val="18"/>
              </w:rPr>
              <w:t>Provider</w:t>
            </w:r>
            <w:r>
              <w:rPr>
                <w:rFonts w:ascii="Arial (Body)" w:hAnsi="Arial (Body)"/>
                <w:b/>
                <w:bCs/>
                <w:color w:val="265A9A"/>
                <w:sz w:val="18"/>
              </w:rPr>
              <w:noBreakHyphen/>
              <w:t>related reforms (recommendation 1.2)</w:t>
            </w:r>
          </w:p>
        </w:tc>
      </w:tr>
      <w:tr w:rsidR="00D94B88" w:rsidRPr="008D3B69" w14:paraId="2EBE4205" w14:textId="77777777" w:rsidTr="00215BA1">
        <w:trPr>
          <w:trHeight w:val="300"/>
        </w:trPr>
        <w:tc>
          <w:tcPr>
            <w:tcW w:w="1985" w:type="dxa"/>
            <w:tcBorders>
              <w:top w:val="single" w:sz="4" w:space="0" w:color="B3B3B3"/>
              <w:bottom w:val="nil"/>
            </w:tcBorders>
            <w:shd w:val="clear" w:color="auto" w:fill="E6E6E6"/>
            <w:hideMark/>
          </w:tcPr>
          <w:p w14:paraId="471223A1" w14:textId="77777777" w:rsidR="00D94B88" w:rsidRPr="008D3B69" w:rsidRDefault="00D94B88">
            <w:pPr>
              <w:pStyle w:val="BodyText"/>
              <w:spacing w:before="45" w:after="45"/>
              <w:ind w:left="57" w:right="108"/>
              <w:rPr>
                <w:rFonts w:ascii="Arial (Body)" w:hAnsi="Arial (Body)"/>
                <w:b/>
                <w:bCs/>
                <w:sz w:val="18"/>
              </w:rPr>
            </w:pPr>
            <w:r w:rsidRPr="00E42EC7">
              <w:rPr>
                <w:rFonts w:ascii="Arial (Body)" w:hAnsi="Arial (Body)"/>
                <w:b/>
                <w:bCs/>
                <w:sz w:val="18"/>
              </w:rPr>
              <w:t xml:space="preserve">1. </w:t>
            </w:r>
            <w:r>
              <w:rPr>
                <w:rFonts w:ascii="Arial (Body)" w:hAnsi="Arial (Body)"/>
                <w:b/>
                <w:bCs/>
                <w:sz w:val="18"/>
              </w:rPr>
              <w:t>Quantifiable reforms</w:t>
            </w:r>
          </w:p>
        </w:tc>
        <w:tc>
          <w:tcPr>
            <w:tcW w:w="3672" w:type="dxa"/>
            <w:tcBorders>
              <w:top w:val="single" w:sz="4" w:space="0" w:color="B3B3B3"/>
              <w:bottom w:val="nil"/>
            </w:tcBorders>
            <w:shd w:val="clear" w:color="auto" w:fill="E6E6E6"/>
          </w:tcPr>
          <w:p w14:paraId="1DEDAB56" w14:textId="77777777" w:rsidR="00D94B88" w:rsidRPr="008D3B69" w:rsidRDefault="00D94B88">
            <w:pPr>
              <w:pStyle w:val="BodyText"/>
              <w:spacing w:before="45" w:after="45"/>
              <w:ind w:left="57" w:right="108"/>
              <w:rPr>
                <w:rFonts w:ascii="Arial (Body)" w:hAnsi="Arial (Body)"/>
                <w:color w:val="000000"/>
                <w:sz w:val="18"/>
                <w:szCs w:val="18"/>
              </w:rPr>
            </w:pPr>
            <w:r w:rsidRPr="75972D04">
              <w:rPr>
                <w:rFonts w:ascii="Arial (Body)" w:hAnsi="Arial (Body)"/>
                <w:color w:val="000000" w:themeColor="text1"/>
                <w:sz w:val="18"/>
                <w:szCs w:val="18"/>
              </w:rPr>
              <w:t>National worker screening check.</w:t>
            </w:r>
          </w:p>
        </w:tc>
        <w:tc>
          <w:tcPr>
            <w:tcW w:w="3673" w:type="dxa"/>
            <w:tcBorders>
              <w:top w:val="single" w:sz="4" w:space="0" w:color="B3B3B3"/>
              <w:bottom w:val="nil"/>
            </w:tcBorders>
            <w:shd w:val="clear" w:color="auto" w:fill="E6E6E6"/>
          </w:tcPr>
          <w:p w14:paraId="41D2BF89" w14:textId="77777777" w:rsidR="00D94B88" w:rsidRPr="001D7CB8" w:rsidRDefault="00D94B88" w:rsidP="003C2CA6">
            <w:pPr>
              <w:pStyle w:val="TableListBullet"/>
              <w:rPr>
                <w:color w:val="000000"/>
              </w:rPr>
            </w:pPr>
            <w:r w:rsidRPr="00481893">
              <w:t>Common suitability test.</w:t>
            </w:r>
          </w:p>
          <w:p w14:paraId="4D0AB493" w14:textId="77777777" w:rsidR="00D94B88" w:rsidRPr="00F53998" w:rsidRDefault="00D94B88" w:rsidP="003C2CA6">
            <w:pPr>
              <w:pStyle w:val="TableListBullet"/>
              <w:rPr>
                <w:color w:val="000000"/>
              </w:rPr>
            </w:pPr>
            <w:r w:rsidRPr="00481893">
              <w:t>Cross sectoral registration and audits.</w:t>
            </w:r>
          </w:p>
        </w:tc>
      </w:tr>
      <w:tr w:rsidR="00D94B88" w:rsidRPr="008D3B69" w14:paraId="51429B73" w14:textId="77777777">
        <w:trPr>
          <w:trHeight w:val="300"/>
        </w:trPr>
        <w:tc>
          <w:tcPr>
            <w:tcW w:w="1985" w:type="dxa"/>
            <w:tcBorders>
              <w:top w:val="nil"/>
              <w:bottom w:val="nil"/>
            </w:tcBorders>
            <w:hideMark/>
          </w:tcPr>
          <w:p w14:paraId="53F792C1" w14:textId="77777777" w:rsidR="00D94B88" w:rsidRPr="008D3B69" w:rsidRDefault="00D94B88">
            <w:pPr>
              <w:pStyle w:val="BodyText"/>
              <w:spacing w:before="45" w:after="45"/>
              <w:ind w:left="57" w:right="108"/>
              <w:rPr>
                <w:rFonts w:ascii="Arial (Body)" w:hAnsi="Arial (Body)"/>
                <w:b/>
                <w:bCs/>
                <w:sz w:val="18"/>
              </w:rPr>
            </w:pPr>
            <w:r w:rsidRPr="00E42EC7">
              <w:rPr>
                <w:rFonts w:ascii="Arial (Body)" w:hAnsi="Arial (Body)"/>
                <w:b/>
                <w:bCs/>
                <w:sz w:val="18"/>
              </w:rPr>
              <w:t>2. T</w:t>
            </w:r>
            <w:r w:rsidRPr="008D3B69">
              <w:rPr>
                <w:rFonts w:ascii="Arial (Body)" w:hAnsi="Arial (Body)"/>
                <w:b/>
                <w:bCs/>
                <w:sz w:val="18"/>
              </w:rPr>
              <w:t>arget population </w:t>
            </w:r>
          </w:p>
        </w:tc>
        <w:tc>
          <w:tcPr>
            <w:tcW w:w="3672" w:type="dxa"/>
            <w:tcBorders>
              <w:top w:val="nil"/>
              <w:bottom w:val="nil"/>
            </w:tcBorders>
          </w:tcPr>
          <w:p w14:paraId="5BC5E741" w14:textId="77777777" w:rsidR="00D94B88" w:rsidRPr="008D3B69" w:rsidRDefault="00D94B88">
            <w:pPr>
              <w:pStyle w:val="BodyText"/>
              <w:spacing w:before="45" w:after="45"/>
              <w:ind w:left="57" w:right="108"/>
              <w:rPr>
                <w:rFonts w:ascii="Arial (Body)" w:hAnsi="Arial (Body)"/>
                <w:color w:val="000000"/>
                <w:sz w:val="18"/>
                <w:szCs w:val="18"/>
              </w:rPr>
            </w:pPr>
            <w:r w:rsidRPr="75972D04">
              <w:rPr>
                <w:rFonts w:ascii="Arial (Body)" w:hAnsi="Arial (Body)"/>
                <w:color w:val="000000" w:themeColor="text1"/>
                <w:sz w:val="18"/>
                <w:szCs w:val="18"/>
              </w:rPr>
              <w:t>Workers currently required to hold both </w:t>
            </w:r>
            <w:proofErr w:type="gramStart"/>
            <w:r w:rsidRPr="75972D04">
              <w:rPr>
                <w:rFonts w:ascii="Arial (Body)" w:hAnsi="Arial (Body)"/>
                <w:color w:val="000000" w:themeColor="text1"/>
                <w:sz w:val="18"/>
                <w:szCs w:val="18"/>
              </w:rPr>
              <w:t>an</w:t>
            </w:r>
            <w:proofErr w:type="gramEnd"/>
            <w:r w:rsidRPr="75972D04">
              <w:rPr>
                <w:rFonts w:ascii="Arial (Body)" w:hAnsi="Arial (Body)"/>
                <w:color w:val="000000" w:themeColor="text1"/>
                <w:sz w:val="18"/>
                <w:szCs w:val="18"/>
              </w:rPr>
              <w:t> NDIS worker screening check and a working with children check (WWCC) or working with vulnerable people check. </w:t>
            </w:r>
          </w:p>
        </w:tc>
        <w:tc>
          <w:tcPr>
            <w:tcW w:w="3673" w:type="dxa"/>
            <w:tcBorders>
              <w:top w:val="nil"/>
              <w:bottom w:val="nil"/>
            </w:tcBorders>
          </w:tcPr>
          <w:p w14:paraId="52458D17" w14:textId="77777777" w:rsidR="00D94B88" w:rsidRPr="008D3B69" w:rsidRDefault="00D94B88">
            <w:pPr>
              <w:pStyle w:val="BodyText"/>
              <w:spacing w:before="45" w:after="45"/>
              <w:ind w:left="57" w:right="108"/>
              <w:rPr>
                <w:rFonts w:ascii="Arial (Body)" w:hAnsi="Arial (Body)"/>
                <w:color w:val="000000"/>
                <w:sz w:val="18"/>
                <w:szCs w:val="18"/>
              </w:rPr>
            </w:pPr>
            <w:r w:rsidRPr="4582018A">
              <w:rPr>
                <w:rFonts w:ascii="Arial (Body)" w:hAnsi="Arial (Body)"/>
                <w:color w:val="000000" w:themeColor="text1"/>
                <w:sz w:val="18"/>
                <w:szCs w:val="18"/>
              </w:rPr>
              <w:t>Providers operating in two or more of the NDIS, aged care and veterans’ care sectors (and ECEC for suitability tests).</w:t>
            </w:r>
          </w:p>
        </w:tc>
      </w:tr>
      <w:tr w:rsidR="00D94B88" w:rsidRPr="008D3B69" w14:paraId="5B141E1A" w14:textId="77777777" w:rsidTr="00215BA1">
        <w:trPr>
          <w:trHeight w:val="300"/>
        </w:trPr>
        <w:tc>
          <w:tcPr>
            <w:tcW w:w="1985" w:type="dxa"/>
            <w:tcBorders>
              <w:bottom w:val="nil"/>
            </w:tcBorders>
            <w:shd w:val="clear" w:color="auto" w:fill="E6E6E6"/>
            <w:hideMark/>
          </w:tcPr>
          <w:p w14:paraId="03525A6E" w14:textId="77777777" w:rsidR="00D94B88" w:rsidRPr="008D3B69" w:rsidRDefault="00D94B88">
            <w:pPr>
              <w:pStyle w:val="BodyText"/>
              <w:spacing w:before="45" w:after="45"/>
              <w:ind w:left="57" w:right="108"/>
              <w:rPr>
                <w:rFonts w:ascii="Arial (Body)" w:hAnsi="Arial (Body)"/>
                <w:b/>
                <w:bCs/>
                <w:sz w:val="18"/>
              </w:rPr>
            </w:pPr>
            <w:r w:rsidRPr="00E42EC7">
              <w:rPr>
                <w:rFonts w:ascii="Arial (Body)" w:hAnsi="Arial (Body)"/>
                <w:b/>
                <w:bCs/>
                <w:sz w:val="18"/>
              </w:rPr>
              <w:t>3. Base case</w:t>
            </w:r>
            <w:r w:rsidRPr="008D3B69">
              <w:rPr>
                <w:rFonts w:ascii="Arial (Body)" w:hAnsi="Arial (Body)"/>
                <w:b/>
                <w:bCs/>
                <w:sz w:val="18"/>
              </w:rPr>
              <w:t> </w:t>
            </w:r>
          </w:p>
        </w:tc>
        <w:tc>
          <w:tcPr>
            <w:tcW w:w="3672" w:type="dxa"/>
            <w:tcBorders>
              <w:bottom w:val="nil"/>
            </w:tcBorders>
            <w:shd w:val="clear" w:color="auto" w:fill="E6E6E6"/>
          </w:tcPr>
          <w:p w14:paraId="0963E4AA" w14:textId="77777777" w:rsidR="00D94B88" w:rsidRPr="008D3B69" w:rsidRDefault="00D94B88">
            <w:pPr>
              <w:pStyle w:val="BodyText"/>
              <w:spacing w:before="45" w:after="45"/>
              <w:ind w:left="57" w:right="108"/>
              <w:rPr>
                <w:rFonts w:ascii="Arial (Body)" w:hAnsi="Arial (Body)"/>
                <w:color w:val="000000"/>
                <w:sz w:val="18"/>
                <w:szCs w:val="18"/>
              </w:rPr>
            </w:pPr>
            <w:r w:rsidRPr="05EDAAAD">
              <w:rPr>
                <w:rFonts w:ascii="Arial (Body)" w:hAnsi="Arial (Body)"/>
                <w:color w:val="000000" w:themeColor="text1"/>
                <w:sz w:val="18"/>
                <w:szCs w:val="18"/>
              </w:rPr>
              <w:t>Workers currently complete two screening checks.</w:t>
            </w:r>
          </w:p>
        </w:tc>
        <w:tc>
          <w:tcPr>
            <w:tcW w:w="3673" w:type="dxa"/>
            <w:tcBorders>
              <w:bottom w:val="nil"/>
            </w:tcBorders>
            <w:shd w:val="clear" w:color="auto" w:fill="E6E6E6"/>
          </w:tcPr>
          <w:p w14:paraId="5847F1CD" w14:textId="77777777" w:rsidR="00D94B88" w:rsidRPr="008D3B69" w:rsidRDefault="00D94B88">
            <w:pPr>
              <w:pStyle w:val="BodyText"/>
              <w:spacing w:before="45" w:after="45"/>
              <w:ind w:left="57" w:right="108"/>
              <w:rPr>
                <w:rFonts w:ascii="Arial (Body)" w:hAnsi="Arial (Body)"/>
                <w:color w:val="000000"/>
                <w:sz w:val="18"/>
              </w:rPr>
            </w:pPr>
            <w:r w:rsidRPr="008D3B69">
              <w:rPr>
                <w:rFonts w:ascii="Arial (Body)" w:hAnsi="Arial (Body)"/>
                <w:color w:val="000000"/>
                <w:sz w:val="18"/>
              </w:rPr>
              <w:t>Every three years, providers undertake registration, auditing, and suitability activities for each sector of operation. NDIS providers also undertake a mid</w:t>
            </w:r>
            <w:r w:rsidRPr="00F53998">
              <w:rPr>
                <w:rFonts w:ascii="Arial (Body)" w:hAnsi="Arial (Body)"/>
                <w:color w:val="000000"/>
                <w:sz w:val="18"/>
              </w:rPr>
              <w:noBreakHyphen/>
            </w:r>
            <w:r w:rsidRPr="008D3B69">
              <w:rPr>
                <w:rFonts w:ascii="Arial (Body)" w:hAnsi="Arial (Body)"/>
                <w:color w:val="000000"/>
                <w:sz w:val="18"/>
              </w:rPr>
              <w:t>term audit at 18 months</w:t>
            </w:r>
            <w:r>
              <w:rPr>
                <w:rFonts w:ascii="Arial (Body)" w:hAnsi="Arial (Body)"/>
                <w:color w:val="000000"/>
                <w:sz w:val="18"/>
              </w:rPr>
              <w:t xml:space="preserve"> after registration (or renewal)</w:t>
            </w:r>
            <w:r w:rsidRPr="008D3B69">
              <w:rPr>
                <w:rFonts w:ascii="Arial (Body)" w:hAnsi="Arial (Body)"/>
                <w:color w:val="000000"/>
                <w:sz w:val="18"/>
              </w:rPr>
              <w:t>. </w:t>
            </w:r>
          </w:p>
        </w:tc>
      </w:tr>
      <w:tr w:rsidR="00D94B88" w:rsidRPr="008D3B69" w14:paraId="6A3CE01B" w14:textId="77777777">
        <w:trPr>
          <w:trHeight w:val="300"/>
        </w:trPr>
        <w:tc>
          <w:tcPr>
            <w:tcW w:w="1985" w:type="dxa"/>
            <w:tcBorders>
              <w:top w:val="nil"/>
              <w:bottom w:val="nil"/>
            </w:tcBorders>
            <w:hideMark/>
          </w:tcPr>
          <w:p w14:paraId="2DD3B7CB" w14:textId="77777777" w:rsidR="00D94B88" w:rsidRPr="008D3B69" w:rsidRDefault="00D94B88">
            <w:pPr>
              <w:pStyle w:val="BodyText"/>
              <w:spacing w:before="45" w:after="45"/>
              <w:ind w:left="57" w:right="108"/>
              <w:rPr>
                <w:rFonts w:ascii="Arial (Body)" w:hAnsi="Arial (Body)"/>
                <w:b/>
                <w:bCs/>
                <w:sz w:val="18"/>
              </w:rPr>
            </w:pPr>
            <w:r w:rsidRPr="00E42EC7">
              <w:rPr>
                <w:rFonts w:ascii="Arial (Body)" w:hAnsi="Arial (Body)"/>
                <w:b/>
                <w:bCs/>
                <w:sz w:val="18"/>
              </w:rPr>
              <w:t>4. Reform change</w:t>
            </w:r>
            <w:r w:rsidRPr="008D3B69">
              <w:rPr>
                <w:rFonts w:ascii="Arial (Body)" w:hAnsi="Arial (Body)"/>
                <w:b/>
                <w:bCs/>
                <w:sz w:val="18"/>
              </w:rPr>
              <w:t> </w:t>
            </w:r>
          </w:p>
        </w:tc>
        <w:tc>
          <w:tcPr>
            <w:tcW w:w="3672" w:type="dxa"/>
            <w:tcBorders>
              <w:top w:val="nil"/>
              <w:bottom w:val="nil"/>
            </w:tcBorders>
          </w:tcPr>
          <w:p w14:paraId="2E3EB340" w14:textId="77777777" w:rsidR="00D94B88" w:rsidRPr="008D3B69" w:rsidRDefault="00D94B88">
            <w:pPr>
              <w:pStyle w:val="BodyText"/>
              <w:spacing w:before="45" w:after="45"/>
              <w:ind w:left="57" w:right="108"/>
              <w:rPr>
                <w:rFonts w:ascii="Arial (Body)" w:hAnsi="Arial (Body)"/>
                <w:color w:val="000000"/>
                <w:sz w:val="18"/>
                <w:szCs w:val="18"/>
              </w:rPr>
            </w:pPr>
            <w:r w:rsidRPr="4582018A">
              <w:rPr>
                <w:rFonts w:ascii="Arial (Body)" w:hAnsi="Arial (Body)"/>
                <w:color w:val="000000" w:themeColor="text1"/>
                <w:sz w:val="18"/>
                <w:szCs w:val="18"/>
              </w:rPr>
              <w:t>Reduction from two to one screening check per worker.</w:t>
            </w:r>
          </w:p>
        </w:tc>
        <w:tc>
          <w:tcPr>
            <w:tcW w:w="3673" w:type="dxa"/>
            <w:tcBorders>
              <w:top w:val="nil"/>
              <w:bottom w:val="nil"/>
            </w:tcBorders>
          </w:tcPr>
          <w:p w14:paraId="366F632F" w14:textId="77777777" w:rsidR="00D94B88" w:rsidRPr="008D3B69" w:rsidRDefault="00D94B88">
            <w:pPr>
              <w:pStyle w:val="BodyText"/>
              <w:spacing w:before="45" w:after="45"/>
              <w:ind w:left="57" w:right="108"/>
              <w:rPr>
                <w:rFonts w:ascii="Arial (Body)" w:hAnsi="Arial (Body)"/>
                <w:color w:val="000000"/>
                <w:sz w:val="18"/>
              </w:rPr>
            </w:pPr>
            <w:r w:rsidRPr="008D3B69">
              <w:rPr>
                <w:rFonts w:ascii="Arial (Body)" w:hAnsi="Arial (Body)"/>
                <w:color w:val="000000"/>
                <w:sz w:val="18"/>
              </w:rPr>
              <w:t>Consolidation from multiple regulatory activities into a single, cross</w:t>
            </w:r>
            <w:r>
              <w:rPr>
                <w:rFonts w:ascii="Arial (Body)" w:hAnsi="Arial (Body)"/>
                <w:color w:val="000000"/>
                <w:sz w:val="18"/>
              </w:rPr>
              <w:noBreakHyphen/>
            </w:r>
            <w:r w:rsidRPr="008D3B69">
              <w:rPr>
                <w:rFonts w:ascii="Arial (Body)" w:hAnsi="Arial (Body)"/>
                <w:color w:val="000000"/>
                <w:sz w:val="18"/>
              </w:rPr>
              <w:t>sector process. </w:t>
            </w:r>
          </w:p>
        </w:tc>
      </w:tr>
      <w:tr w:rsidR="00D94B88" w:rsidRPr="008D3B69" w14:paraId="2DEE1B67" w14:textId="77777777" w:rsidTr="00215BA1">
        <w:trPr>
          <w:trHeight w:val="300"/>
        </w:trPr>
        <w:tc>
          <w:tcPr>
            <w:tcW w:w="1985" w:type="dxa"/>
            <w:tcBorders>
              <w:bottom w:val="nil"/>
            </w:tcBorders>
            <w:shd w:val="clear" w:color="auto" w:fill="E6E6E6"/>
            <w:hideMark/>
          </w:tcPr>
          <w:p w14:paraId="3C6E6A70" w14:textId="77777777" w:rsidR="00D94B88" w:rsidRPr="008D3B69" w:rsidRDefault="00D94B88">
            <w:pPr>
              <w:pStyle w:val="BodyText"/>
              <w:spacing w:before="45" w:after="45"/>
              <w:ind w:left="57" w:right="108"/>
              <w:rPr>
                <w:rFonts w:ascii="Arial (Body)" w:hAnsi="Arial (Body)"/>
                <w:b/>
                <w:bCs/>
                <w:sz w:val="18"/>
              </w:rPr>
            </w:pPr>
            <w:r w:rsidRPr="00E42EC7">
              <w:rPr>
                <w:rFonts w:ascii="Arial (Body)" w:hAnsi="Arial (Body)"/>
                <w:b/>
                <w:bCs/>
                <w:sz w:val="18"/>
              </w:rPr>
              <w:t xml:space="preserve">5. </w:t>
            </w:r>
            <w:r w:rsidRPr="008D3B69">
              <w:rPr>
                <w:rFonts w:ascii="Arial (Body)" w:hAnsi="Arial (Body)"/>
                <w:b/>
                <w:bCs/>
                <w:sz w:val="18"/>
              </w:rPr>
              <w:t>Cost per activity </w:t>
            </w:r>
          </w:p>
        </w:tc>
        <w:tc>
          <w:tcPr>
            <w:tcW w:w="3672" w:type="dxa"/>
            <w:tcBorders>
              <w:bottom w:val="nil"/>
            </w:tcBorders>
            <w:shd w:val="clear" w:color="auto" w:fill="E6E6E6"/>
          </w:tcPr>
          <w:p w14:paraId="72F6237A" w14:textId="77777777" w:rsidR="00D94B88" w:rsidRPr="008D3B69" w:rsidRDefault="00D94B88">
            <w:pPr>
              <w:pStyle w:val="BodyText"/>
              <w:spacing w:before="45" w:after="45"/>
              <w:ind w:left="57" w:right="108"/>
              <w:rPr>
                <w:rFonts w:ascii="Arial (Body)" w:hAnsi="Arial (Body)"/>
                <w:color w:val="000000"/>
                <w:sz w:val="18"/>
              </w:rPr>
            </w:pPr>
            <w:r w:rsidRPr="008D3B69">
              <w:rPr>
                <w:rFonts w:ascii="Arial (Body)" w:hAnsi="Arial (Body)"/>
                <w:color w:val="000000"/>
                <w:sz w:val="18"/>
              </w:rPr>
              <w:t>Activity cost = (worker time × wage rate) + screening</w:t>
            </w:r>
            <w:r w:rsidRPr="00F53998">
              <w:rPr>
                <w:rFonts w:ascii="Arial (Body)" w:hAnsi="Arial (Body)"/>
                <w:color w:val="000000"/>
                <w:sz w:val="18"/>
              </w:rPr>
              <w:t xml:space="preserve"> check</w:t>
            </w:r>
            <w:r w:rsidRPr="008D3B69">
              <w:rPr>
                <w:rFonts w:ascii="Arial (Body)" w:hAnsi="Arial (Body)"/>
                <w:color w:val="000000"/>
                <w:sz w:val="18"/>
              </w:rPr>
              <w:t xml:space="preserve"> fee</w:t>
            </w:r>
            <w:r>
              <w:rPr>
                <w:rFonts w:ascii="Arial (Body)" w:hAnsi="Arial (Body)"/>
                <w:color w:val="000000"/>
                <w:sz w:val="18"/>
              </w:rPr>
              <w:t>.</w:t>
            </w:r>
          </w:p>
        </w:tc>
        <w:tc>
          <w:tcPr>
            <w:tcW w:w="3673" w:type="dxa"/>
            <w:tcBorders>
              <w:bottom w:val="nil"/>
            </w:tcBorders>
            <w:shd w:val="clear" w:color="auto" w:fill="E6E6E6"/>
          </w:tcPr>
          <w:p w14:paraId="67BBE286" w14:textId="77777777" w:rsidR="00D94B88" w:rsidRPr="008D3B69" w:rsidRDefault="00D94B88">
            <w:pPr>
              <w:pStyle w:val="BodyText"/>
              <w:spacing w:before="45" w:after="45"/>
              <w:ind w:left="57" w:right="108"/>
              <w:rPr>
                <w:rFonts w:ascii="Arial (Body)" w:hAnsi="Arial (Body)"/>
                <w:color w:val="000000"/>
                <w:sz w:val="18"/>
              </w:rPr>
            </w:pPr>
            <w:r w:rsidRPr="008D3B69">
              <w:rPr>
                <w:rFonts w:ascii="Arial (Body)" w:hAnsi="Arial (Body)"/>
                <w:color w:val="000000"/>
                <w:sz w:val="18"/>
              </w:rPr>
              <w:t>Activity cost = (staff time × wage rate) + regulatory fees</w:t>
            </w:r>
            <w:r>
              <w:rPr>
                <w:rFonts w:ascii="Arial (Body)" w:hAnsi="Arial (Body)"/>
                <w:color w:val="000000"/>
                <w:sz w:val="18"/>
              </w:rPr>
              <w:t>.</w:t>
            </w:r>
          </w:p>
        </w:tc>
      </w:tr>
      <w:tr w:rsidR="00D94B88" w:rsidRPr="008D3B69" w14:paraId="20841429" w14:textId="77777777">
        <w:trPr>
          <w:trHeight w:val="300"/>
        </w:trPr>
        <w:tc>
          <w:tcPr>
            <w:tcW w:w="1985" w:type="dxa"/>
            <w:tcBorders>
              <w:top w:val="nil"/>
              <w:bottom w:val="nil"/>
            </w:tcBorders>
            <w:hideMark/>
          </w:tcPr>
          <w:p w14:paraId="229E0766" w14:textId="77777777" w:rsidR="00D94B88" w:rsidRPr="008D3B69" w:rsidRDefault="00D94B88">
            <w:pPr>
              <w:pStyle w:val="BodyText"/>
              <w:spacing w:before="45" w:after="45"/>
              <w:ind w:left="57" w:right="108"/>
              <w:rPr>
                <w:rFonts w:ascii="Arial (Body)" w:hAnsi="Arial (Body)"/>
                <w:b/>
                <w:bCs/>
                <w:sz w:val="18"/>
              </w:rPr>
            </w:pPr>
            <w:r w:rsidRPr="00E42EC7">
              <w:rPr>
                <w:rFonts w:ascii="Arial (Body)" w:hAnsi="Arial (Body)"/>
                <w:b/>
                <w:bCs/>
                <w:sz w:val="18"/>
              </w:rPr>
              <w:t xml:space="preserve">6. </w:t>
            </w:r>
            <w:r w:rsidRPr="008D3B69">
              <w:rPr>
                <w:rFonts w:ascii="Arial (Body)" w:hAnsi="Arial (Body)"/>
                <w:b/>
                <w:bCs/>
                <w:sz w:val="18"/>
              </w:rPr>
              <w:t>Growth </w:t>
            </w:r>
          </w:p>
        </w:tc>
        <w:tc>
          <w:tcPr>
            <w:tcW w:w="3672" w:type="dxa"/>
            <w:tcBorders>
              <w:top w:val="nil"/>
              <w:bottom w:val="nil"/>
            </w:tcBorders>
          </w:tcPr>
          <w:p w14:paraId="238EAAC0" w14:textId="77777777" w:rsidR="00D94B88" w:rsidRPr="003C2CA6" w:rsidRDefault="00D94B88" w:rsidP="003C2CA6">
            <w:pPr>
              <w:pStyle w:val="TableListBullet"/>
            </w:pPr>
            <w:r w:rsidRPr="003C2CA6">
              <w:t>NDIS workers grow by expected NDIS participant growth of 4.4%.</w:t>
            </w:r>
          </w:p>
          <w:p w14:paraId="3339414C" w14:textId="77777777" w:rsidR="00D94B88" w:rsidRPr="00481893" w:rsidRDefault="00D94B88" w:rsidP="003C2CA6">
            <w:pPr>
              <w:pStyle w:val="TableListBullet"/>
            </w:pPr>
            <w:r w:rsidRPr="003C2CA6">
              <w:t>Wage rate and screening fees grow by 3.5%, as per</w:t>
            </w:r>
            <w:r>
              <w:t xml:space="preserve"> </w:t>
            </w:r>
            <w:r w:rsidRPr="00481893">
              <w:t>wage price index</w:t>
            </w:r>
            <w:r w:rsidRPr="00A856C9">
              <w:t>. </w:t>
            </w:r>
          </w:p>
        </w:tc>
        <w:tc>
          <w:tcPr>
            <w:tcW w:w="3673" w:type="dxa"/>
            <w:tcBorders>
              <w:top w:val="nil"/>
              <w:bottom w:val="nil"/>
            </w:tcBorders>
          </w:tcPr>
          <w:p w14:paraId="368AC745" w14:textId="77777777" w:rsidR="00D94B88" w:rsidRPr="003C2CA6" w:rsidRDefault="00D94B88" w:rsidP="003C2CA6">
            <w:pPr>
              <w:pStyle w:val="TableListBullet"/>
            </w:pPr>
            <w:r w:rsidRPr="003C2CA6">
              <w:t>Providers grow by 5% as per PC assumption based on predicted NDIS and aged care provider growth.</w:t>
            </w:r>
          </w:p>
          <w:p w14:paraId="050B608F" w14:textId="77777777" w:rsidR="00D94B88" w:rsidRPr="00A856C9" w:rsidRDefault="00D94B88" w:rsidP="003C2CA6">
            <w:pPr>
              <w:pStyle w:val="TableListBullet"/>
            </w:pPr>
            <w:r w:rsidRPr="003C2CA6">
              <w:t>Wage rate and regulatory fees grow by 3.</w:t>
            </w:r>
            <w:r w:rsidRPr="00A75678">
              <w:t>5%</w:t>
            </w:r>
            <w:r>
              <w:t xml:space="preserve">, as per </w:t>
            </w:r>
            <w:r w:rsidRPr="0071454D">
              <w:t>wage price index. </w:t>
            </w:r>
          </w:p>
        </w:tc>
      </w:tr>
      <w:tr w:rsidR="00D94B88" w:rsidRPr="008D3B69" w14:paraId="5DDEA5EF" w14:textId="77777777" w:rsidTr="00215BA1">
        <w:trPr>
          <w:trHeight w:val="300"/>
        </w:trPr>
        <w:tc>
          <w:tcPr>
            <w:tcW w:w="1985" w:type="dxa"/>
            <w:tcBorders>
              <w:bottom w:val="nil"/>
            </w:tcBorders>
            <w:shd w:val="clear" w:color="auto" w:fill="E6E6E6"/>
            <w:hideMark/>
          </w:tcPr>
          <w:p w14:paraId="060623F1" w14:textId="77777777" w:rsidR="00D94B88" w:rsidRPr="008D3B69" w:rsidRDefault="00D94B88">
            <w:pPr>
              <w:pStyle w:val="BodyText"/>
              <w:spacing w:before="45" w:after="45"/>
              <w:ind w:left="57" w:right="108"/>
              <w:rPr>
                <w:rFonts w:ascii="Arial (Body)" w:hAnsi="Arial (Body)"/>
                <w:b/>
                <w:bCs/>
                <w:sz w:val="18"/>
              </w:rPr>
            </w:pPr>
            <w:r w:rsidRPr="00E42EC7">
              <w:rPr>
                <w:rFonts w:ascii="Arial (Body)" w:hAnsi="Arial (Body)"/>
                <w:b/>
                <w:bCs/>
                <w:sz w:val="18"/>
              </w:rPr>
              <w:t>7. T</w:t>
            </w:r>
            <w:r w:rsidRPr="008D3B69">
              <w:rPr>
                <w:rFonts w:ascii="Arial (Body)" w:hAnsi="Arial (Body)"/>
                <w:b/>
                <w:bCs/>
                <w:sz w:val="18"/>
              </w:rPr>
              <w:t>otal benefit </w:t>
            </w:r>
          </w:p>
        </w:tc>
        <w:tc>
          <w:tcPr>
            <w:tcW w:w="3672" w:type="dxa"/>
            <w:tcBorders>
              <w:bottom w:val="nil"/>
            </w:tcBorders>
            <w:shd w:val="clear" w:color="auto" w:fill="E6E6E6"/>
          </w:tcPr>
          <w:p w14:paraId="349D8D1F" w14:textId="77777777" w:rsidR="00D94B88" w:rsidRPr="008D3B69" w:rsidRDefault="00D94B88">
            <w:pPr>
              <w:pStyle w:val="BodyText"/>
              <w:spacing w:before="45" w:after="45"/>
              <w:ind w:left="57" w:right="108"/>
              <w:rPr>
                <w:rFonts w:ascii="Arial (Body)" w:hAnsi="Arial (Body)"/>
                <w:color w:val="000000"/>
                <w:sz w:val="18"/>
              </w:rPr>
            </w:pPr>
            <w:r w:rsidRPr="008D3B69">
              <w:rPr>
                <w:rFonts w:ascii="Arial (Body)" w:hAnsi="Arial (Body)"/>
                <w:color w:val="000000"/>
                <w:sz w:val="18"/>
              </w:rPr>
              <w:t>Workers × change in screening requirements × activity cost × growth. </w:t>
            </w:r>
          </w:p>
        </w:tc>
        <w:tc>
          <w:tcPr>
            <w:tcW w:w="3673" w:type="dxa"/>
            <w:tcBorders>
              <w:bottom w:val="nil"/>
            </w:tcBorders>
            <w:shd w:val="clear" w:color="auto" w:fill="E6E6E6"/>
          </w:tcPr>
          <w:p w14:paraId="1B3BBD6C" w14:textId="77777777" w:rsidR="00D94B88" w:rsidRPr="008D3B69" w:rsidRDefault="00D94B88">
            <w:pPr>
              <w:pStyle w:val="BodyText"/>
              <w:spacing w:before="45" w:after="45"/>
              <w:ind w:left="57" w:right="108"/>
              <w:rPr>
                <w:rFonts w:ascii="Arial (Body)" w:hAnsi="Arial (Body)"/>
                <w:color w:val="000000"/>
                <w:sz w:val="18"/>
              </w:rPr>
            </w:pPr>
            <w:r w:rsidRPr="008D3B69">
              <w:rPr>
                <w:rFonts w:ascii="Arial (Body)" w:hAnsi="Arial (Body)"/>
                <w:color w:val="000000"/>
                <w:sz w:val="18"/>
              </w:rPr>
              <w:t>Providers × change in activity × activity cost × growth. </w:t>
            </w:r>
          </w:p>
        </w:tc>
      </w:tr>
      <w:tr w:rsidR="00D94B88" w:rsidRPr="008D3B69" w14:paraId="3A03CD20" w14:textId="77777777">
        <w:trPr>
          <w:trHeight w:val="300"/>
        </w:trPr>
        <w:tc>
          <w:tcPr>
            <w:tcW w:w="1985" w:type="dxa"/>
            <w:tcBorders>
              <w:top w:val="nil"/>
            </w:tcBorders>
            <w:hideMark/>
          </w:tcPr>
          <w:p w14:paraId="4190A986" w14:textId="77777777" w:rsidR="00D94B88" w:rsidRPr="00E42EC7" w:rsidRDefault="00D94B88">
            <w:pPr>
              <w:pStyle w:val="BodyText"/>
              <w:spacing w:before="45" w:after="45"/>
              <w:ind w:left="57" w:right="108"/>
              <w:rPr>
                <w:rFonts w:ascii="Arial (Body)" w:hAnsi="Arial (Body)"/>
                <w:b/>
                <w:bCs/>
                <w:sz w:val="18"/>
              </w:rPr>
            </w:pPr>
            <w:r w:rsidRPr="00E42EC7">
              <w:rPr>
                <w:rFonts w:ascii="Arial (Body)" w:hAnsi="Arial (Body)"/>
                <w:b/>
                <w:bCs/>
                <w:sz w:val="18"/>
              </w:rPr>
              <w:t>8. Equivalent care hours </w:t>
            </w:r>
          </w:p>
        </w:tc>
        <w:tc>
          <w:tcPr>
            <w:tcW w:w="7345" w:type="dxa"/>
            <w:gridSpan w:val="2"/>
            <w:tcBorders>
              <w:top w:val="nil"/>
            </w:tcBorders>
            <w:hideMark/>
          </w:tcPr>
          <w:p w14:paraId="65C46281" w14:textId="77777777" w:rsidR="00D94B88" w:rsidRPr="008D3B69" w:rsidRDefault="00D94B88">
            <w:pPr>
              <w:pStyle w:val="BodyText"/>
              <w:spacing w:before="45" w:after="45"/>
              <w:ind w:left="57" w:right="108"/>
              <w:jc w:val="center"/>
              <w:rPr>
                <w:rFonts w:ascii="Arial (Body)" w:hAnsi="Arial (Body)"/>
                <w:color w:val="000000"/>
                <w:sz w:val="18"/>
              </w:rPr>
            </w:pPr>
            <w:r w:rsidRPr="008D3B69">
              <w:rPr>
                <w:rFonts w:ascii="Arial (Body)" w:hAnsi="Arial (Body)"/>
                <w:color w:val="000000"/>
                <w:sz w:val="18"/>
              </w:rPr>
              <w:t>Total benefit ÷ </w:t>
            </w:r>
            <w:r>
              <w:rPr>
                <w:rFonts w:ascii="Arial (Body)" w:hAnsi="Arial (Body)"/>
                <w:color w:val="000000"/>
                <w:sz w:val="18"/>
              </w:rPr>
              <w:t>(</w:t>
            </w:r>
            <w:r w:rsidRPr="00F53998">
              <w:rPr>
                <w:rFonts w:ascii="Arial (Body)" w:hAnsi="Arial (Body)"/>
                <w:color w:val="000000"/>
                <w:sz w:val="18"/>
              </w:rPr>
              <w:t>a</w:t>
            </w:r>
            <w:r w:rsidRPr="008D3B69">
              <w:rPr>
                <w:rFonts w:ascii="Arial (Body)" w:hAnsi="Arial (Body)"/>
                <w:color w:val="000000"/>
                <w:sz w:val="18"/>
              </w:rPr>
              <w:t xml:space="preserve">verage </w:t>
            </w:r>
            <w:r w:rsidRPr="00F53998">
              <w:rPr>
                <w:rFonts w:ascii="Arial (Body)" w:hAnsi="Arial (Body)"/>
                <w:color w:val="000000"/>
                <w:sz w:val="18"/>
              </w:rPr>
              <w:t>w</w:t>
            </w:r>
            <w:r w:rsidRPr="008D3B69">
              <w:rPr>
                <w:rFonts w:ascii="Arial (Body)" w:hAnsi="Arial (Body)"/>
                <w:color w:val="000000"/>
                <w:sz w:val="18"/>
              </w:rPr>
              <w:t xml:space="preserve">age of </w:t>
            </w:r>
            <w:r w:rsidRPr="00F53998">
              <w:rPr>
                <w:rFonts w:ascii="Arial (Body)" w:hAnsi="Arial (Body)"/>
                <w:color w:val="000000"/>
                <w:sz w:val="18"/>
              </w:rPr>
              <w:t>c</w:t>
            </w:r>
            <w:r w:rsidRPr="008D3B69">
              <w:rPr>
                <w:rFonts w:ascii="Arial (Body)" w:hAnsi="Arial (Body)"/>
                <w:color w:val="000000"/>
                <w:sz w:val="18"/>
              </w:rPr>
              <w:t xml:space="preserve">are </w:t>
            </w:r>
            <w:r w:rsidRPr="00F53998">
              <w:rPr>
                <w:rFonts w:ascii="Arial (Body)" w:hAnsi="Arial (Body)"/>
                <w:color w:val="000000"/>
                <w:sz w:val="18"/>
              </w:rPr>
              <w:t>w</w:t>
            </w:r>
            <w:r w:rsidRPr="008D3B69">
              <w:rPr>
                <w:rFonts w:ascii="Arial (Body)" w:hAnsi="Arial (Body)"/>
                <w:color w:val="000000"/>
                <w:sz w:val="18"/>
              </w:rPr>
              <w:t>orkers </w:t>
            </w:r>
            <w:r>
              <w:rPr>
                <w:rFonts w:ascii="Arial (Body)" w:hAnsi="Arial (Body)"/>
                <w:color w:val="000000"/>
                <w:sz w:val="18"/>
              </w:rPr>
              <w:t>x overhead multiplier).</w:t>
            </w:r>
          </w:p>
        </w:tc>
      </w:tr>
    </w:tbl>
    <w:p w14:paraId="3EE10B6F" w14:textId="77777777" w:rsidR="00D94B88" w:rsidRDefault="00D94B88" w:rsidP="005337E7">
      <w:pPr>
        <w:pStyle w:val="BodyText"/>
      </w:pPr>
    </w:p>
    <w:p w14:paraId="5A806DC0" w14:textId="5C691E47" w:rsidR="00D94B88" w:rsidRPr="004338A8" w:rsidRDefault="00D94B88">
      <w:pPr>
        <w:pStyle w:val="FigureTableHeading"/>
      </w:pPr>
      <w:r w:rsidRPr="008D3B69">
        <w:lastRenderedPageBreak/>
        <w:t xml:space="preserve">Table </w:t>
      </w:r>
      <w:r>
        <w:t>B</w:t>
      </w:r>
      <w:r w:rsidRPr="008D3B69">
        <w:t>.</w:t>
      </w:r>
      <w:r>
        <w:t>2</w:t>
      </w:r>
      <w:r w:rsidRPr="008D3B69">
        <w:t> – </w:t>
      </w:r>
      <w:r>
        <w:t>Model inputs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98"/>
        <w:gridCol w:w="1037"/>
        <w:gridCol w:w="4195"/>
        <w:gridCol w:w="2778"/>
      </w:tblGrid>
      <w:tr w:rsidR="00D94B88" w:rsidRPr="0076183A" w14:paraId="41CC0AA3" w14:textId="77777777">
        <w:trPr>
          <w:trHeight w:val="300"/>
          <w:tblHeader/>
        </w:trPr>
        <w:tc>
          <w:tcPr>
            <w:tcW w:w="1598" w:type="dxa"/>
            <w:tcBorders>
              <w:bottom w:val="single" w:sz="4" w:space="0" w:color="B3B3B3"/>
            </w:tcBorders>
            <w:vAlign w:val="bottom"/>
            <w:hideMark/>
          </w:tcPr>
          <w:p w14:paraId="0BFF4315" w14:textId="10E193DE" w:rsidR="00D94B88" w:rsidRPr="00E80AC3" w:rsidRDefault="00D94B88">
            <w:pPr>
              <w:pStyle w:val="BodyText"/>
              <w:spacing w:before="45" w:after="45"/>
              <w:ind w:left="57" w:right="108"/>
              <w:rPr>
                <w:rFonts w:ascii="Arial (Body)" w:hAnsi="Arial (Body)"/>
                <w:b/>
                <w:color w:val="265A9A"/>
                <w:sz w:val="18"/>
              </w:rPr>
            </w:pPr>
            <w:r w:rsidRPr="004338A8">
              <w:rPr>
                <w:rFonts w:ascii="Arial (Body)" w:hAnsi="Arial (Body)"/>
                <w:b/>
                <w:bCs/>
                <w:color w:val="265A9A"/>
                <w:sz w:val="18"/>
              </w:rPr>
              <w:t>Parameter</w:t>
            </w:r>
          </w:p>
        </w:tc>
        <w:tc>
          <w:tcPr>
            <w:tcW w:w="1037" w:type="dxa"/>
            <w:tcBorders>
              <w:bottom w:val="single" w:sz="4" w:space="0" w:color="B3B3B3"/>
            </w:tcBorders>
            <w:vAlign w:val="bottom"/>
            <w:hideMark/>
          </w:tcPr>
          <w:p w14:paraId="5ABD386C" w14:textId="08A3D9A7" w:rsidR="00D94B88" w:rsidRPr="004338A8" w:rsidRDefault="00D94B88">
            <w:pPr>
              <w:pStyle w:val="BodyText"/>
              <w:spacing w:before="45" w:after="45"/>
              <w:ind w:left="57" w:right="108"/>
              <w:rPr>
                <w:rFonts w:ascii="Arial (Body)" w:hAnsi="Arial (Body)"/>
                <w:b/>
                <w:color w:val="265A9A"/>
                <w:sz w:val="18"/>
              </w:rPr>
            </w:pPr>
            <w:r w:rsidRPr="004338A8">
              <w:rPr>
                <w:rFonts w:ascii="Arial (Body)" w:hAnsi="Arial (Body)"/>
                <w:b/>
                <w:bCs/>
                <w:color w:val="265A9A"/>
                <w:sz w:val="18"/>
              </w:rPr>
              <w:t>Value</w:t>
            </w:r>
          </w:p>
        </w:tc>
        <w:tc>
          <w:tcPr>
            <w:tcW w:w="4195" w:type="dxa"/>
            <w:tcBorders>
              <w:bottom w:val="single" w:sz="4" w:space="0" w:color="B3B3B3"/>
            </w:tcBorders>
            <w:vAlign w:val="bottom"/>
            <w:hideMark/>
          </w:tcPr>
          <w:p w14:paraId="282A5F21" w14:textId="4E7564AB" w:rsidR="00D94B88" w:rsidRPr="004338A8" w:rsidRDefault="00D94B88">
            <w:pPr>
              <w:pStyle w:val="BodyText"/>
              <w:spacing w:before="45" w:after="45"/>
              <w:ind w:left="57" w:right="108"/>
              <w:rPr>
                <w:rFonts w:ascii="Arial (Body)" w:hAnsi="Arial (Body)"/>
                <w:b/>
                <w:color w:val="265A9A"/>
                <w:sz w:val="18"/>
              </w:rPr>
            </w:pPr>
            <w:r w:rsidRPr="004338A8">
              <w:rPr>
                <w:rFonts w:ascii="Arial (Body)" w:hAnsi="Arial (Body)"/>
                <w:b/>
                <w:bCs/>
                <w:color w:val="265A9A"/>
                <w:sz w:val="18"/>
              </w:rPr>
              <w:t>Rationale</w:t>
            </w:r>
          </w:p>
        </w:tc>
        <w:tc>
          <w:tcPr>
            <w:tcW w:w="2778" w:type="dxa"/>
            <w:tcBorders>
              <w:bottom w:val="single" w:sz="4" w:space="0" w:color="B3B3B3"/>
            </w:tcBorders>
            <w:vAlign w:val="bottom"/>
          </w:tcPr>
          <w:p w14:paraId="7C902AEF" w14:textId="767A5756" w:rsidR="00D94B88" w:rsidRPr="00EE0640" w:rsidRDefault="00D94B88">
            <w:pPr>
              <w:pStyle w:val="BodyText"/>
              <w:spacing w:before="45" w:after="45"/>
              <w:ind w:left="57" w:right="108"/>
              <w:rPr>
                <w:rFonts w:ascii="Arial (Body)" w:hAnsi="Arial (Body)"/>
                <w:b/>
                <w:bCs/>
                <w:color w:val="265A9A"/>
                <w:sz w:val="18"/>
              </w:rPr>
            </w:pPr>
            <w:r w:rsidRPr="00EE0640">
              <w:rPr>
                <w:rFonts w:ascii="Arial (Body)" w:hAnsi="Arial (Body)"/>
                <w:b/>
                <w:bCs/>
                <w:color w:val="265A9A"/>
                <w:sz w:val="18"/>
              </w:rPr>
              <w:t>Source</w:t>
            </w:r>
          </w:p>
        </w:tc>
      </w:tr>
      <w:tr w:rsidR="00D94B88" w:rsidRPr="0076183A" w14:paraId="34E84855" w14:textId="77777777" w:rsidTr="00215BA1">
        <w:trPr>
          <w:trHeight w:val="300"/>
        </w:trPr>
        <w:tc>
          <w:tcPr>
            <w:tcW w:w="1598" w:type="dxa"/>
            <w:tcBorders>
              <w:top w:val="single" w:sz="4" w:space="0" w:color="B3B3B3"/>
              <w:bottom w:val="nil"/>
            </w:tcBorders>
            <w:shd w:val="clear" w:color="auto" w:fill="E6E6E6"/>
            <w:hideMark/>
          </w:tcPr>
          <w:p w14:paraId="4BC0D3C6" w14:textId="468B5109" w:rsidR="00D94B88" w:rsidRPr="00E80AC3" w:rsidRDefault="00D94B88">
            <w:pPr>
              <w:pStyle w:val="BodyText"/>
              <w:spacing w:before="45" w:after="45"/>
              <w:ind w:left="57" w:right="108"/>
              <w:rPr>
                <w:rFonts w:ascii="Arial (Body)" w:hAnsi="Arial (Body)"/>
                <w:b/>
                <w:color w:val="265A9A"/>
                <w:sz w:val="18"/>
              </w:rPr>
            </w:pPr>
            <w:r w:rsidRPr="00E80AC3">
              <w:rPr>
                <w:rFonts w:ascii="Arial (Body)" w:hAnsi="Arial (Body)"/>
                <w:b/>
                <w:color w:val="265A9A"/>
                <w:sz w:val="18"/>
              </w:rPr>
              <w:t>Start year</w:t>
            </w:r>
          </w:p>
        </w:tc>
        <w:tc>
          <w:tcPr>
            <w:tcW w:w="1037" w:type="dxa"/>
            <w:tcBorders>
              <w:top w:val="single" w:sz="4" w:space="0" w:color="B3B3B3"/>
              <w:bottom w:val="nil"/>
            </w:tcBorders>
            <w:shd w:val="clear" w:color="auto" w:fill="E6E6E6"/>
            <w:hideMark/>
          </w:tcPr>
          <w:p w14:paraId="3F89347D" w14:textId="77777777" w:rsidR="00D94B88" w:rsidRPr="004338A8" w:rsidRDefault="00D94B88">
            <w:pPr>
              <w:pStyle w:val="BodyText"/>
              <w:spacing w:before="45" w:after="45"/>
              <w:ind w:left="57" w:right="108"/>
              <w:rPr>
                <w:rFonts w:ascii="Arial (Body)" w:hAnsi="Arial (Body)"/>
                <w:color w:val="000000"/>
                <w:sz w:val="18"/>
              </w:rPr>
            </w:pPr>
            <w:r w:rsidRPr="004338A8">
              <w:rPr>
                <w:rFonts w:ascii="Arial (Body)" w:hAnsi="Arial (Body)"/>
                <w:color w:val="000000"/>
                <w:sz w:val="18"/>
              </w:rPr>
              <w:t>2034 </w:t>
            </w:r>
          </w:p>
        </w:tc>
        <w:tc>
          <w:tcPr>
            <w:tcW w:w="4195" w:type="dxa"/>
            <w:tcBorders>
              <w:top w:val="single" w:sz="4" w:space="0" w:color="B3B3B3"/>
              <w:bottom w:val="nil"/>
            </w:tcBorders>
            <w:shd w:val="clear" w:color="auto" w:fill="E6E6E6"/>
            <w:hideMark/>
          </w:tcPr>
          <w:p w14:paraId="0DAF65EC" w14:textId="77777777" w:rsidR="00D94B88" w:rsidRPr="004338A8" w:rsidRDefault="00D94B88">
            <w:pPr>
              <w:pStyle w:val="BodyText"/>
              <w:spacing w:before="45" w:after="45"/>
              <w:ind w:left="57" w:right="108"/>
              <w:rPr>
                <w:rFonts w:ascii="Arial (Body)" w:hAnsi="Arial (Body)"/>
                <w:color w:val="000000"/>
                <w:sz w:val="18"/>
              </w:rPr>
            </w:pPr>
            <w:r w:rsidRPr="004338A8">
              <w:rPr>
                <w:rFonts w:ascii="Arial (Body)" w:hAnsi="Arial (Body)"/>
                <w:color w:val="000000"/>
                <w:sz w:val="18"/>
              </w:rPr>
              <w:t>Year reforms assumed to be fully implemented</w:t>
            </w:r>
            <w:r>
              <w:rPr>
                <w:rFonts w:ascii="Arial (Body)" w:hAnsi="Arial (Body)"/>
                <w:color w:val="000000"/>
                <w:sz w:val="18"/>
              </w:rPr>
              <w:t>.</w:t>
            </w:r>
            <w:r w:rsidRPr="004338A8">
              <w:rPr>
                <w:rFonts w:ascii="Arial (Body)" w:hAnsi="Arial (Body)"/>
                <w:color w:val="000000"/>
                <w:sz w:val="18"/>
              </w:rPr>
              <w:t> </w:t>
            </w:r>
          </w:p>
        </w:tc>
        <w:tc>
          <w:tcPr>
            <w:tcW w:w="2778" w:type="dxa"/>
            <w:tcBorders>
              <w:top w:val="single" w:sz="4" w:space="0" w:color="B3B3B3"/>
              <w:bottom w:val="nil"/>
            </w:tcBorders>
            <w:shd w:val="clear" w:color="auto" w:fill="E6E6E6"/>
          </w:tcPr>
          <w:p w14:paraId="1CE5BF4A" w14:textId="4D50E57D" w:rsidR="00D94B88" w:rsidRPr="00EE0640" w:rsidRDefault="00767148">
            <w:pPr>
              <w:pStyle w:val="BodyText"/>
              <w:spacing w:before="45" w:after="45"/>
              <w:ind w:left="57" w:right="108"/>
              <w:rPr>
                <w:rFonts w:ascii="Arial (Body)" w:hAnsi="Arial (Body)"/>
                <w:color w:val="000000"/>
                <w:sz w:val="18"/>
              </w:rPr>
            </w:pPr>
            <w:r>
              <w:rPr>
                <w:rFonts w:ascii="Arial (Body)" w:hAnsi="Arial (Body)"/>
                <w:color w:val="000000"/>
                <w:sz w:val="18"/>
              </w:rPr>
              <w:t>PC’</w:t>
            </w:r>
            <w:r w:rsidR="00D94B88">
              <w:rPr>
                <w:rFonts w:ascii="Arial (Body)" w:hAnsi="Arial (Body)"/>
                <w:color w:val="000000"/>
                <w:sz w:val="18"/>
              </w:rPr>
              <w:t xml:space="preserve">s proposed reform implementation plan </w:t>
            </w:r>
          </w:p>
        </w:tc>
      </w:tr>
      <w:tr w:rsidR="00D94B88" w:rsidRPr="0076183A" w14:paraId="684446D2" w14:textId="77777777">
        <w:trPr>
          <w:trHeight w:val="300"/>
        </w:trPr>
        <w:tc>
          <w:tcPr>
            <w:tcW w:w="1598" w:type="dxa"/>
            <w:tcBorders>
              <w:top w:val="nil"/>
              <w:bottom w:val="nil"/>
            </w:tcBorders>
            <w:hideMark/>
          </w:tcPr>
          <w:p w14:paraId="4E2BC589" w14:textId="38F267F7" w:rsidR="00D94B88" w:rsidRPr="00E80AC3" w:rsidRDefault="00D94B88">
            <w:pPr>
              <w:pStyle w:val="BodyText"/>
              <w:spacing w:before="45" w:after="45"/>
              <w:ind w:left="57" w:right="108"/>
              <w:rPr>
                <w:rFonts w:ascii="Arial (Body)" w:hAnsi="Arial (Body)"/>
                <w:b/>
                <w:color w:val="265A9A"/>
                <w:sz w:val="18"/>
              </w:rPr>
            </w:pPr>
            <w:r w:rsidRPr="00E80AC3">
              <w:rPr>
                <w:rFonts w:ascii="Arial (Body)" w:hAnsi="Arial (Body)"/>
                <w:b/>
                <w:color w:val="265A9A"/>
                <w:sz w:val="18"/>
              </w:rPr>
              <w:t>Modelling horizon</w:t>
            </w:r>
          </w:p>
        </w:tc>
        <w:tc>
          <w:tcPr>
            <w:tcW w:w="1037" w:type="dxa"/>
            <w:tcBorders>
              <w:top w:val="nil"/>
              <w:bottom w:val="nil"/>
            </w:tcBorders>
            <w:hideMark/>
          </w:tcPr>
          <w:p w14:paraId="0045FEC0" w14:textId="77777777" w:rsidR="00D94B88" w:rsidRPr="004338A8" w:rsidRDefault="00D94B88">
            <w:pPr>
              <w:pStyle w:val="BodyText"/>
              <w:spacing w:before="45" w:after="45"/>
              <w:ind w:left="57" w:right="108"/>
              <w:rPr>
                <w:rFonts w:ascii="Arial (Body)" w:hAnsi="Arial (Body)"/>
                <w:color w:val="000000"/>
                <w:sz w:val="18"/>
              </w:rPr>
            </w:pPr>
            <w:r w:rsidRPr="004338A8">
              <w:rPr>
                <w:rFonts w:ascii="Arial (Body)" w:hAnsi="Arial (Body)"/>
                <w:color w:val="000000"/>
                <w:sz w:val="18"/>
              </w:rPr>
              <w:t>10 years </w:t>
            </w:r>
          </w:p>
        </w:tc>
        <w:tc>
          <w:tcPr>
            <w:tcW w:w="4195" w:type="dxa"/>
            <w:tcBorders>
              <w:top w:val="nil"/>
              <w:bottom w:val="nil"/>
            </w:tcBorders>
            <w:hideMark/>
          </w:tcPr>
          <w:p w14:paraId="184AC765" w14:textId="77777777" w:rsidR="00D94B88" w:rsidRDefault="00D94B88">
            <w:pPr>
              <w:pStyle w:val="BodyText"/>
              <w:spacing w:before="45" w:after="45"/>
              <w:ind w:left="57" w:right="108"/>
              <w:rPr>
                <w:rFonts w:ascii="Arial (Body)" w:hAnsi="Arial (Body)"/>
                <w:color w:val="000000"/>
                <w:sz w:val="18"/>
              </w:rPr>
            </w:pPr>
            <w:r w:rsidRPr="004338A8">
              <w:rPr>
                <w:rFonts w:ascii="Arial (Body)" w:hAnsi="Arial (Body)"/>
                <w:color w:val="000000"/>
                <w:sz w:val="18"/>
              </w:rPr>
              <w:t>Aligns with</w:t>
            </w:r>
            <w:r>
              <w:rPr>
                <w:rFonts w:ascii="Arial (Body)" w:hAnsi="Arial (Body)"/>
                <w:color w:val="000000"/>
                <w:sz w:val="18"/>
              </w:rPr>
              <w:t>:</w:t>
            </w:r>
          </w:p>
          <w:p w14:paraId="07D037A7" w14:textId="77777777" w:rsidR="00D94B88" w:rsidRPr="005337E7" w:rsidRDefault="00D94B88" w:rsidP="005337E7">
            <w:pPr>
              <w:pStyle w:val="TableListBullet"/>
            </w:pPr>
            <w:r w:rsidRPr="005337E7">
              <w:t xml:space="preserve">standard approaches for similar modelling exercises </w:t>
            </w:r>
          </w:p>
          <w:p w14:paraId="59F3A7DD" w14:textId="77777777" w:rsidR="00D94B88" w:rsidRPr="004338A8" w:rsidRDefault="00D94B88" w:rsidP="005337E7">
            <w:pPr>
              <w:pStyle w:val="TableListBullet"/>
            </w:pPr>
            <w:r w:rsidRPr="005337E7">
              <w:t>regulatory burden measurement framework guidance on costing annual impact for policy proposals.</w:t>
            </w:r>
          </w:p>
        </w:tc>
        <w:tc>
          <w:tcPr>
            <w:tcW w:w="2778" w:type="dxa"/>
            <w:tcBorders>
              <w:top w:val="nil"/>
              <w:bottom w:val="nil"/>
            </w:tcBorders>
          </w:tcPr>
          <w:p w14:paraId="737B9D09" w14:textId="796F2B19" w:rsidR="00D94B88" w:rsidRPr="00EE0640" w:rsidRDefault="00D94B88">
            <w:pPr>
              <w:pStyle w:val="BodyText"/>
              <w:spacing w:before="45" w:after="45"/>
              <w:ind w:left="57" w:right="108"/>
              <w:rPr>
                <w:rFonts w:ascii="Arial (Body)" w:hAnsi="Arial (Body)"/>
                <w:color w:val="000000"/>
                <w:sz w:val="18"/>
              </w:rPr>
            </w:pPr>
            <w:r w:rsidRPr="00256286">
              <w:rPr>
                <w:rFonts w:ascii="Arial (Body)" w:hAnsi="Arial (Body)"/>
                <w:color w:val="000000"/>
                <w:sz w:val="18"/>
              </w:rPr>
              <w:t xml:space="preserve">OIA </w:t>
            </w:r>
            <w:r w:rsidRPr="00942322">
              <w:rPr>
                <w:rFonts w:ascii="Arial (Body)" w:hAnsi="Arial (Body)"/>
                <w:color w:val="000000"/>
                <w:sz w:val="18"/>
              </w:rPr>
              <w:t>(2024)</w:t>
            </w:r>
          </w:p>
        </w:tc>
      </w:tr>
      <w:tr w:rsidR="00D94B88" w:rsidRPr="0076183A" w14:paraId="76153948" w14:textId="77777777" w:rsidTr="00215BA1">
        <w:trPr>
          <w:trHeight w:val="300"/>
        </w:trPr>
        <w:tc>
          <w:tcPr>
            <w:tcW w:w="1598" w:type="dxa"/>
            <w:tcBorders>
              <w:bottom w:val="nil"/>
            </w:tcBorders>
            <w:shd w:val="clear" w:color="auto" w:fill="E6E6E6"/>
            <w:hideMark/>
          </w:tcPr>
          <w:p w14:paraId="1E5DDD81" w14:textId="77777777" w:rsidR="00D94B88" w:rsidRPr="00E80AC3" w:rsidRDefault="00D94B88">
            <w:pPr>
              <w:pStyle w:val="BodyText"/>
              <w:spacing w:before="45" w:after="45"/>
              <w:ind w:left="57" w:right="108"/>
              <w:rPr>
                <w:rFonts w:ascii="Arial (Body)" w:hAnsi="Arial (Body)"/>
                <w:b/>
                <w:color w:val="265A9A"/>
                <w:sz w:val="18"/>
              </w:rPr>
            </w:pPr>
            <w:r w:rsidRPr="00E80AC3">
              <w:rPr>
                <w:rFonts w:ascii="Arial (Body)" w:hAnsi="Arial (Body)"/>
                <w:b/>
                <w:color w:val="265A9A"/>
                <w:sz w:val="18"/>
              </w:rPr>
              <w:t>Price base year </w:t>
            </w:r>
          </w:p>
        </w:tc>
        <w:tc>
          <w:tcPr>
            <w:tcW w:w="1037" w:type="dxa"/>
            <w:tcBorders>
              <w:bottom w:val="nil"/>
            </w:tcBorders>
            <w:shd w:val="clear" w:color="auto" w:fill="E6E6E6"/>
            <w:hideMark/>
          </w:tcPr>
          <w:p w14:paraId="120750F8" w14:textId="77777777" w:rsidR="00D94B88" w:rsidRPr="004338A8" w:rsidRDefault="00D94B88">
            <w:pPr>
              <w:pStyle w:val="BodyText"/>
              <w:spacing w:before="45" w:after="45"/>
              <w:ind w:left="57" w:right="108"/>
              <w:rPr>
                <w:rFonts w:ascii="Arial (Body)" w:hAnsi="Arial (Body)"/>
                <w:color w:val="000000"/>
                <w:sz w:val="18"/>
              </w:rPr>
            </w:pPr>
            <w:r w:rsidRPr="004338A8">
              <w:rPr>
                <w:rFonts w:ascii="Arial (Body)" w:hAnsi="Arial (Body)"/>
                <w:color w:val="000000"/>
                <w:sz w:val="18"/>
              </w:rPr>
              <w:t>2025 </w:t>
            </w:r>
          </w:p>
        </w:tc>
        <w:tc>
          <w:tcPr>
            <w:tcW w:w="4195" w:type="dxa"/>
            <w:tcBorders>
              <w:bottom w:val="nil"/>
            </w:tcBorders>
            <w:shd w:val="clear" w:color="auto" w:fill="E6E6E6"/>
            <w:hideMark/>
          </w:tcPr>
          <w:p w14:paraId="3DB9E8ED" w14:textId="77777777" w:rsidR="00D94B88" w:rsidRPr="004338A8" w:rsidRDefault="00D94B88">
            <w:pPr>
              <w:pStyle w:val="BodyText"/>
              <w:spacing w:before="45" w:after="45"/>
              <w:ind w:left="57" w:right="108"/>
              <w:rPr>
                <w:rFonts w:ascii="Arial (Body)" w:hAnsi="Arial (Body)"/>
                <w:color w:val="000000"/>
                <w:sz w:val="18"/>
              </w:rPr>
            </w:pPr>
            <w:r w:rsidRPr="004338A8">
              <w:rPr>
                <w:rFonts w:ascii="Arial (Body)" w:hAnsi="Arial (Body)"/>
                <w:color w:val="000000"/>
                <w:sz w:val="18"/>
              </w:rPr>
              <w:t>Benefits discounted to current year</w:t>
            </w:r>
            <w:r>
              <w:rPr>
                <w:rFonts w:ascii="Arial (Body)" w:hAnsi="Arial (Body)"/>
                <w:color w:val="000000"/>
                <w:sz w:val="18"/>
              </w:rPr>
              <w:t>.</w:t>
            </w:r>
          </w:p>
        </w:tc>
        <w:tc>
          <w:tcPr>
            <w:tcW w:w="2778" w:type="dxa"/>
            <w:tcBorders>
              <w:bottom w:val="nil"/>
            </w:tcBorders>
            <w:shd w:val="clear" w:color="auto" w:fill="E6E6E6"/>
          </w:tcPr>
          <w:p w14:paraId="202993BB" w14:textId="77777777" w:rsidR="00D94B88" w:rsidRPr="00EE0640" w:rsidRDefault="00D94B88">
            <w:pPr>
              <w:pStyle w:val="BodyText"/>
              <w:spacing w:before="45" w:after="45"/>
              <w:ind w:left="57" w:right="108"/>
              <w:rPr>
                <w:rFonts w:ascii="Arial (Body)" w:hAnsi="Arial (Body)"/>
                <w:color w:val="000000"/>
                <w:sz w:val="18"/>
              </w:rPr>
            </w:pPr>
            <w:r>
              <w:rPr>
                <w:rFonts w:ascii="Arial (Body)" w:hAnsi="Arial (Body)"/>
                <w:color w:val="000000"/>
                <w:sz w:val="18"/>
              </w:rPr>
              <w:noBreakHyphen/>
            </w:r>
            <w:r w:rsidRPr="00EE0640">
              <w:rPr>
                <w:rFonts w:ascii="Arial (Body)" w:hAnsi="Arial (Body)"/>
                <w:color w:val="000000"/>
                <w:sz w:val="18"/>
              </w:rPr>
              <w:t> </w:t>
            </w:r>
          </w:p>
        </w:tc>
      </w:tr>
      <w:tr w:rsidR="00D94B88" w:rsidRPr="0076183A" w14:paraId="4E4D778E" w14:textId="77777777">
        <w:trPr>
          <w:trHeight w:val="300"/>
        </w:trPr>
        <w:tc>
          <w:tcPr>
            <w:tcW w:w="1598" w:type="dxa"/>
            <w:tcBorders>
              <w:top w:val="nil"/>
              <w:bottom w:val="nil"/>
            </w:tcBorders>
            <w:hideMark/>
          </w:tcPr>
          <w:p w14:paraId="274382E2" w14:textId="77777777" w:rsidR="00D94B88" w:rsidRPr="00E80AC3" w:rsidRDefault="00D94B88">
            <w:pPr>
              <w:pStyle w:val="BodyText"/>
              <w:spacing w:before="45" w:after="45"/>
              <w:ind w:left="57" w:right="108"/>
              <w:rPr>
                <w:rFonts w:ascii="Arial (Body)" w:hAnsi="Arial (Body)"/>
                <w:b/>
                <w:color w:val="265A9A"/>
                <w:sz w:val="18"/>
              </w:rPr>
            </w:pPr>
            <w:r w:rsidRPr="00E80AC3">
              <w:rPr>
                <w:rFonts w:ascii="Arial (Body)" w:hAnsi="Arial (Body)"/>
                <w:b/>
                <w:color w:val="265A9A"/>
                <w:sz w:val="18"/>
              </w:rPr>
              <w:t>Discount rate </w:t>
            </w:r>
          </w:p>
        </w:tc>
        <w:tc>
          <w:tcPr>
            <w:tcW w:w="1037" w:type="dxa"/>
            <w:tcBorders>
              <w:top w:val="nil"/>
              <w:bottom w:val="nil"/>
            </w:tcBorders>
            <w:hideMark/>
          </w:tcPr>
          <w:p w14:paraId="6400D82A" w14:textId="77777777" w:rsidR="00D94B88" w:rsidRPr="004338A8" w:rsidRDefault="00D94B88">
            <w:pPr>
              <w:pStyle w:val="BodyText"/>
              <w:spacing w:before="45" w:after="45"/>
              <w:ind w:left="57" w:right="108"/>
              <w:rPr>
                <w:rFonts w:ascii="Arial (Body)" w:hAnsi="Arial (Body)"/>
                <w:color w:val="000000"/>
                <w:sz w:val="18"/>
              </w:rPr>
            </w:pPr>
            <w:r w:rsidRPr="004338A8">
              <w:rPr>
                <w:rFonts w:ascii="Arial (Body)" w:hAnsi="Arial (Body)"/>
                <w:color w:val="000000"/>
                <w:sz w:val="18"/>
              </w:rPr>
              <w:t>7%</w:t>
            </w:r>
          </w:p>
        </w:tc>
        <w:tc>
          <w:tcPr>
            <w:tcW w:w="4195" w:type="dxa"/>
            <w:tcBorders>
              <w:top w:val="nil"/>
              <w:bottom w:val="nil"/>
            </w:tcBorders>
            <w:hideMark/>
          </w:tcPr>
          <w:p w14:paraId="0F71A8B7" w14:textId="77777777" w:rsidR="00D94B88" w:rsidRPr="004338A8" w:rsidRDefault="00D94B88">
            <w:pPr>
              <w:pStyle w:val="BodyText"/>
              <w:spacing w:before="45" w:after="45"/>
              <w:ind w:left="57" w:right="108"/>
              <w:rPr>
                <w:rFonts w:ascii="Arial (Body)" w:hAnsi="Arial (Body)"/>
                <w:color w:val="000000"/>
                <w:sz w:val="18"/>
              </w:rPr>
            </w:pPr>
            <w:r>
              <w:rPr>
                <w:rFonts w:ascii="Arial (Body)" w:hAnsi="Arial (Body)"/>
                <w:color w:val="000000"/>
                <w:sz w:val="18"/>
              </w:rPr>
              <w:t xml:space="preserve">Discount rate required by the Office of Impact </w:t>
            </w:r>
            <w:r w:rsidRPr="1A8A6C70">
              <w:rPr>
                <w:rFonts w:ascii="Arial (Body)" w:hAnsi="Arial (Body)"/>
                <w:color w:val="000000" w:themeColor="text1"/>
                <w:sz w:val="18"/>
                <w:szCs w:val="18"/>
              </w:rPr>
              <w:t xml:space="preserve">Analysis (OIA) </w:t>
            </w:r>
            <w:r>
              <w:rPr>
                <w:rFonts w:ascii="Arial (Body)" w:hAnsi="Arial (Body)"/>
                <w:color w:val="000000"/>
                <w:sz w:val="18"/>
              </w:rPr>
              <w:t>for cost</w:t>
            </w:r>
            <w:r w:rsidRPr="1A8A6C70">
              <w:rPr>
                <w:rFonts w:ascii="Arial (Body)" w:hAnsi="Arial (Body)"/>
                <w:color w:val="000000" w:themeColor="text1"/>
                <w:sz w:val="18"/>
                <w:szCs w:val="18"/>
              </w:rPr>
              <w:t>–</w:t>
            </w:r>
            <w:r>
              <w:rPr>
                <w:rFonts w:ascii="Arial (Body)" w:hAnsi="Arial (Body)"/>
                <w:color w:val="000000"/>
                <w:sz w:val="18"/>
              </w:rPr>
              <w:t>benefit analys</w:t>
            </w:r>
            <w:r w:rsidRPr="1A8A6C70">
              <w:rPr>
                <w:rFonts w:ascii="Arial (Body)" w:hAnsi="Arial (Body)"/>
                <w:color w:val="000000" w:themeColor="text1"/>
                <w:sz w:val="18"/>
                <w:szCs w:val="18"/>
              </w:rPr>
              <w:t>e</w:t>
            </w:r>
            <w:r>
              <w:rPr>
                <w:rFonts w:ascii="Arial (Body)" w:hAnsi="Arial (Body)"/>
                <w:color w:val="000000"/>
                <w:sz w:val="18"/>
              </w:rPr>
              <w:t>s.</w:t>
            </w:r>
            <w:r w:rsidRPr="1A8A6C70">
              <w:rPr>
                <w:rFonts w:ascii="Arial (Body)" w:hAnsi="Arial (Body)"/>
                <w:color w:val="000000" w:themeColor="text1"/>
                <w:sz w:val="18"/>
                <w:szCs w:val="18"/>
              </w:rPr>
              <w:t xml:space="preserve"> Sensitivity testing conducted at 3% and </w:t>
            </w:r>
            <w:r>
              <w:rPr>
                <w:rFonts w:ascii="Arial (Body)" w:hAnsi="Arial (Body)"/>
                <w:color w:val="000000" w:themeColor="text1"/>
                <w:sz w:val="18"/>
                <w:szCs w:val="18"/>
              </w:rPr>
              <w:t>10</w:t>
            </w:r>
            <w:r w:rsidRPr="1A8A6C70">
              <w:rPr>
                <w:rFonts w:ascii="Arial (Body)" w:hAnsi="Arial (Body)"/>
                <w:color w:val="000000" w:themeColor="text1"/>
                <w:sz w:val="18"/>
                <w:szCs w:val="18"/>
              </w:rPr>
              <w:t>%.</w:t>
            </w:r>
            <w:r>
              <w:rPr>
                <w:rFonts w:ascii="Arial (Body)" w:hAnsi="Arial (Body)"/>
                <w:color w:val="000000"/>
                <w:sz w:val="18"/>
              </w:rPr>
              <w:t xml:space="preserve"> </w:t>
            </w:r>
            <w:r w:rsidRPr="1A8A6C70">
              <w:rPr>
                <w:rFonts w:ascii="Arial (Body)" w:hAnsi="Arial (Body)"/>
                <w:color w:val="000000" w:themeColor="text1"/>
                <w:sz w:val="18"/>
                <w:szCs w:val="18"/>
              </w:rPr>
              <w:t xml:space="preserve"> </w:t>
            </w:r>
          </w:p>
        </w:tc>
        <w:tc>
          <w:tcPr>
            <w:tcW w:w="2778" w:type="dxa"/>
            <w:tcBorders>
              <w:top w:val="nil"/>
              <w:bottom w:val="nil"/>
            </w:tcBorders>
          </w:tcPr>
          <w:p w14:paraId="166225B6" w14:textId="0CE41E4D" w:rsidR="00D94B88" w:rsidRPr="00EE0640" w:rsidRDefault="00D94B88">
            <w:pPr>
              <w:pStyle w:val="BodyText"/>
              <w:spacing w:before="45" w:after="45"/>
              <w:ind w:left="57" w:right="108"/>
              <w:rPr>
                <w:rFonts w:ascii="Arial (Body)" w:hAnsi="Arial (Body)"/>
                <w:color w:val="000000"/>
                <w:sz w:val="18"/>
              </w:rPr>
            </w:pPr>
            <w:r w:rsidRPr="00256286">
              <w:rPr>
                <w:rFonts w:ascii="Arial (Body)" w:hAnsi="Arial (Body)"/>
                <w:color w:val="000000"/>
                <w:sz w:val="18"/>
              </w:rPr>
              <w:t>ACE </w:t>
            </w:r>
            <w:r w:rsidRPr="00942322">
              <w:rPr>
                <w:rFonts w:ascii="Arial (Body)" w:hAnsi="Arial (Body)"/>
                <w:color w:val="000000"/>
                <w:sz w:val="18"/>
              </w:rPr>
              <w:t>(2025)</w:t>
            </w:r>
          </w:p>
        </w:tc>
      </w:tr>
      <w:tr w:rsidR="00D94B88" w:rsidRPr="0076183A" w14:paraId="2DBD5A69" w14:textId="77777777" w:rsidTr="00215BA1">
        <w:trPr>
          <w:trHeight w:val="300"/>
        </w:trPr>
        <w:tc>
          <w:tcPr>
            <w:tcW w:w="1598" w:type="dxa"/>
            <w:tcBorders>
              <w:bottom w:val="nil"/>
            </w:tcBorders>
            <w:shd w:val="clear" w:color="auto" w:fill="E6E6E6"/>
            <w:hideMark/>
          </w:tcPr>
          <w:p w14:paraId="0CF06485" w14:textId="77777777" w:rsidR="00D94B88" w:rsidRPr="00E80AC3" w:rsidRDefault="00D94B88">
            <w:pPr>
              <w:pStyle w:val="BodyText"/>
              <w:spacing w:before="45" w:after="45"/>
              <w:ind w:left="57" w:right="108"/>
              <w:rPr>
                <w:rFonts w:ascii="Arial (Body)" w:hAnsi="Arial (Body)"/>
                <w:b/>
                <w:color w:val="265A9A"/>
                <w:sz w:val="18"/>
              </w:rPr>
            </w:pPr>
            <w:r w:rsidRPr="00E80AC3">
              <w:rPr>
                <w:rFonts w:ascii="Arial (Body)" w:hAnsi="Arial (Body)"/>
                <w:b/>
                <w:color w:val="265A9A"/>
                <w:sz w:val="18"/>
              </w:rPr>
              <w:t>Inflation </w:t>
            </w:r>
          </w:p>
        </w:tc>
        <w:tc>
          <w:tcPr>
            <w:tcW w:w="1037" w:type="dxa"/>
            <w:tcBorders>
              <w:bottom w:val="nil"/>
            </w:tcBorders>
            <w:shd w:val="clear" w:color="auto" w:fill="E6E6E6"/>
            <w:hideMark/>
          </w:tcPr>
          <w:p w14:paraId="7D4D054D" w14:textId="77777777" w:rsidR="00D94B88" w:rsidRPr="004338A8" w:rsidRDefault="00D94B88">
            <w:pPr>
              <w:pStyle w:val="BodyText"/>
              <w:spacing w:before="45" w:after="45"/>
              <w:ind w:left="57" w:right="108"/>
              <w:rPr>
                <w:rFonts w:ascii="Arial (Body)" w:hAnsi="Arial (Body)"/>
                <w:color w:val="000000"/>
                <w:sz w:val="18"/>
              </w:rPr>
            </w:pPr>
            <w:r w:rsidRPr="004338A8">
              <w:rPr>
                <w:rFonts w:ascii="Arial (Body)" w:hAnsi="Arial (Body)"/>
                <w:color w:val="000000"/>
                <w:sz w:val="18"/>
              </w:rPr>
              <w:t>3.5% </w:t>
            </w:r>
          </w:p>
        </w:tc>
        <w:tc>
          <w:tcPr>
            <w:tcW w:w="4195" w:type="dxa"/>
            <w:tcBorders>
              <w:bottom w:val="nil"/>
            </w:tcBorders>
            <w:shd w:val="clear" w:color="auto" w:fill="E6E6E6"/>
            <w:hideMark/>
          </w:tcPr>
          <w:p w14:paraId="0ED143A7" w14:textId="77777777" w:rsidR="00D94B88" w:rsidRPr="004338A8" w:rsidRDefault="00D94B88">
            <w:pPr>
              <w:pStyle w:val="BodyText"/>
              <w:spacing w:before="45" w:after="45"/>
              <w:ind w:left="57" w:right="108"/>
              <w:rPr>
                <w:rFonts w:ascii="Arial (Body)" w:hAnsi="Arial (Body)"/>
                <w:color w:val="000000"/>
                <w:sz w:val="18"/>
              </w:rPr>
            </w:pPr>
            <w:r w:rsidRPr="008305D2">
              <w:rPr>
                <w:rFonts w:ascii="Arial (Body)" w:hAnsi="Arial (Body)"/>
                <w:color w:val="000000"/>
                <w:sz w:val="18"/>
              </w:rPr>
              <w:t>Percentage increase in total hourly wages in the health and social services sector between June 2024 and June 2025</w:t>
            </w:r>
            <w:r>
              <w:rPr>
                <w:rFonts w:ascii="Arial (Body)" w:hAnsi="Arial (Body)"/>
                <w:color w:val="000000"/>
                <w:sz w:val="18"/>
              </w:rPr>
              <w:t>.</w:t>
            </w:r>
          </w:p>
        </w:tc>
        <w:tc>
          <w:tcPr>
            <w:tcW w:w="2778" w:type="dxa"/>
            <w:tcBorders>
              <w:bottom w:val="nil"/>
            </w:tcBorders>
            <w:shd w:val="clear" w:color="auto" w:fill="E6E6E6"/>
          </w:tcPr>
          <w:p w14:paraId="0D1D07B5" w14:textId="5E965292" w:rsidR="00D94B88" w:rsidRPr="00EE0640" w:rsidRDefault="00D94B88">
            <w:pPr>
              <w:pStyle w:val="BodyText"/>
              <w:spacing w:before="45" w:after="45"/>
              <w:ind w:left="57" w:right="108"/>
              <w:rPr>
                <w:rFonts w:ascii="Arial (Body)" w:hAnsi="Arial (Body)"/>
                <w:color w:val="000000"/>
                <w:sz w:val="18"/>
              </w:rPr>
            </w:pPr>
            <w:r w:rsidRPr="00256286">
              <w:rPr>
                <w:rFonts w:ascii="Arial (Body)" w:hAnsi="Arial (Body)"/>
                <w:color w:val="000000"/>
                <w:sz w:val="18"/>
              </w:rPr>
              <w:t>ABS </w:t>
            </w:r>
            <w:r w:rsidR="0097599A" w:rsidRPr="0097599A">
              <w:rPr>
                <w:rFonts w:ascii="Arial (Body)" w:hAnsi="Arial (Body)"/>
                <w:sz w:val="18"/>
              </w:rPr>
              <w:t>(2025f)</w:t>
            </w:r>
          </w:p>
        </w:tc>
      </w:tr>
      <w:tr w:rsidR="00D94B88" w:rsidRPr="0076183A" w14:paraId="619A3165" w14:textId="77777777">
        <w:trPr>
          <w:trHeight w:val="300"/>
        </w:trPr>
        <w:tc>
          <w:tcPr>
            <w:tcW w:w="1598" w:type="dxa"/>
            <w:tcBorders>
              <w:top w:val="nil"/>
              <w:bottom w:val="nil"/>
            </w:tcBorders>
            <w:hideMark/>
          </w:tcPr>
          <w:p w14:paraId="544235B3" w14:textId="77777777" w:rsidR="00D94B88" w:rsidRPr="00E80AC3" w:rsidRDefault="00D94B88">
            <w:pPr>
              <w:pStyle w:val="BodyText"/>
              <w:spacing w:before="45" w:after="45"/>
              <w:ind w:left="57" w:right="108"/>
              <w:rPr>
                <w:rFonts w:ascii="Arial (Body)" w:hAnsi="Arial (Body)"/>
                <w:b/>
                <w:color w:val="265A9A"/>
                <w:sz w:val="18"/>
              </w:rPr>
            </w:pPr>
            <w:r w:rsidRPr="00E80AC3">
              <w:rPr>
                <w:rFonts w:ascii="Arial (Body)" w:hAnsi="Arial (Body)"/>
                <w:b/>
                <w:color w:val="265A9A"/>
                <w:sz w:val="18"/>
              </w:rPr>
              <w:t>Average wage (with overheads) </w:t>
            </w:r>
          </w:p>
        </w:tc>
        <w:tc>
          <w:tcPr>
            <w:tcW w:w="1037" w:type="dxa"/>
            <w:tcBorders>
              <w:top w:val="nil"/>
              <w:bottom w:val="nil"/>
            </w:tcBorders>
            <w:hideMark/>
          </w:tcPr>
          <w:p w14:paraId="0B12FFC7" w14:textId="77777777" w:rsidR="00D94B88" w:rsidRPr="004338A8" w:rsidRDefault="00D94B88">
            <w:pPr>
              <w:pStyle w:val="BodyText"/>
              <w:spacing w:before="45" w:after="45"/>
              <w:ind w:left="57" w:right="108"/>
              <w:rPr>
                <w:rFonts w:ascii="Arial (Body)" w:hAnsi="Arial (Body)"/>
                <w:color w:val="000000"/>
                <w:sz w:val="18"/>
              </w:rPr>
            </w:pPr>
            <w:r w:rsidRPr="004338A8">
              <w:rPr>
                <w:rFonts w:ascii="Arial (Body)" w:hAnsi="Arial (Body)"/>
                <w:color w:val="000000"/>
                <w:sz w:val="18"/>
              </w:rPr>
              <w:t>$79.60 </w:t>
            </w:r>
          </w:p>
        </w:tc>
        <w:tc>
          <w:tcPr>
            <w:tcW w:w="4195" w:type="dxa"/>
            <w:tcBorders>
              <w:top w:val="nil"/>
              <w:bottom w:val="nil"/>
            </w:tcBorders>
            <w:hideMark/>
          </w:tcPr>
          <w:p w14:paraId="72EB3069" w14:textId="77777777" w:rsidR="00D94B88" w:rsidRPr="004338A8" w:rsidRDefault="00D94B88">
            <w:pPr>
              <w:pStyle w:val="BodyText"/>
              <w:spacing w:before="45" w:after="45"/>
              <w:ind w:left="57" w:right="108"/>
              <w:rPr>
                <w:rFonts w:ascii="Arial (Body)" w:hAnsi="Arial (Body)"/>
                <w:color w:val="000000"/>
                <w:sz w:val="18"/>
              </w:rPr>
            </w:pPr>
            <w:r w:rsidRPr="008305D2">
              <w:rPr>
                <w:rFonts w:ascii="Arial (Body)" w:hAnsi="Arial (Body)"/>
                <w:color w:val="000000"/>
                <w:sz w:val="18"/>
              </w:rPr>
              <w:t>Salary assumption underpinning the impact analysis for the Aged Care Bill 2024</w:t>
            </w:r>
            <w:r>
              <w:rPr>
                <w:rFonts w:ascii="Arial (Body)" w:hAnsi="Arial (Body)"/>
                <w:color w:val="000000"/>
                <w:sz w:val="18"/>
              </w:rPr>
              <w:t>.</w:t>
            </w:r>
          </w:p>
        </w:tc>
        <w:tc>
          <w:tcPr>
            <w:tcW w:w="2778" w:type="dxa"/>
            <w:tcBorders>
              <w:top w:val="nil"/>
              <w:bottom w:val="nil"/>
            </w:tcBorders>
          </w:tcPr>
          <w:p w14:paraId="43AD120C" w14:textId="46B0ADB3" w:rsidR="00D94B88" w:rsidRPr="00EE0640" w:rsidRDefault="00D94B88">
            <w:pPr>
              <w:pStyle w:val="BodyText"/>
              <w:spacing w:before="45" w:after="45"/>
              <w:ind w:left="57" w:right="108"/>
              <w:rPr>
                <w:rFonts w:ascii="Arial (Body)" w:hAnsi="Arial (Body)"/>
                <w:color w:val="000000"/>
                <w:sz w:val="18"/>
              </w:rPr>
            </w:pPr>
            <w:proofErr w:type="spellStart"/>
            <w:r w:rsidRPr="00256286">
              <w:rPr>
                <w:rFonts w:ascii="Arial (Body)" w:hAnsi="Arial (Body)"/>
                <w:color w:val="000000"/>
                <w:sz w:val="18"/>
              </w:rPr>
              <w:t>DoHAC</w:t>
            </w:r>
            <w:proofErr w:type="spellEnd"/>
            <w:r w:rsidRPr="00256286">
              <w:rPr>
                <w:rFonts w:ascii="Arial (Body)" w:hAnsi="Arial (Body)"/>
                <w:iCs/>
                <w:color w:val="000000"/>
                <w:sz w:val="18"/>
              </w:rPr>
              <w:t xml:space="preserve"> </w:t>
            </w:r>
            <w:r w:rsidRPr="00942322">
              <w:rPr>
                <w:rFonts w:ascii="Arial (Body)" w:hAnsi="Arial (Body)"/>
                <w:color w:val="000000"/>
                <w:sz w:val="18"/>
              </w:rPr>
              <w:t>(2024)</w:t>
            </w:r>
          </w:p>
        </w:tc>
      </w:tr>
      <w:tr w:rsidR="00D94B88" w:rsidRPr="0076183A" w14:paraId="1ED4A09E" w14:textId="77777777" w:rsidTr="00215BA1">
        <w:trPr>
          <w:trHeight w:val="300"/>
        </w:trPr>
        <w:tc>
          <w:tcPr>
            <w:tcW w:w="1598" w:type="dxa"/>
            <w:tcBorders>
              <w:bottom w:val="nil"/>
            </w:tcBorders>
            <w:shd w:val="clear" w:color="auto" w:fill="E6E6E6"/>
            <w:hideMark/>
          </w:tcPr>
          <w:p w14:paraId="7365E421" w14:textId="77777777" w:rsidR="00D94B88" w:rsidRPr="00E80AC3" w:rsidRDefault="00D94B88">
            <w:pPr>
              <w:pStyle w:val="BodyText"/>
              <w:spacing w:before="45" w:after="45"/>
              <w:ind w:left="57" w:right="108"/>
              <w:rPr>
                <w:rFonts w:ascii="Arial (Body)" w:hAnsi="Arial (Body)"/>
                <w:b/>
                <w:color w:val="265A9A"/>
                <w:sz w:val="18"/>
              </w:rPr>
            </w:pPr>
            <w:r w:rsidRPr="00E80AC3">
              <w:rPr>
                <w:rFonts w:ascii="Arial (Body)" w:hAnsi="Arial (Body)"/>
                <w:b/>
                <w:color w:val="265A9A"/>
                <w:sz w:val="18"/>
              </w:rPr>
              <w:t>Average sector wage (without overheads) </w:t>
            </w:r>
          </w:p>
        </w:tc>
        <w:tc>
          <w:tcPr>
            <w:tcW w:w="1037" w:type="dxa"/>
            <w:tcBorders>
              <w:bottom w:val="nil"/>
            </w:tcBorders>
            <w:shd w:val="clear" w:color="auto" w:fill="E6E6E6"/>
            <w:hideMark/>
          </w:tcPr>
          <w:p w14:paraId="26EDAA2B" w14:textId="77777777" w:rsidR="00D94B88" w:rsidRPr="004338A8" w:rsidRDefault="00D94B88">
            <w:pPr>
              <w:pStyle w:val="BodyText"/>
              <w:spacing w:before="45" w:after="45"/>
              <w:ind w:left="57" w:right="108"/>
              <w:rPr>
                <w:rFonts w:ascii="Arial (Body)" w:hAnsi="Arial (Body)"/>
                <w:color w:val="000000"/>
                <w:sz w:val="18"/>
              </w:rPr>
            </w:pPr>
            <w:r w:rsidRPr="004338A8">
              <w:rPr>
                <w:rFonts w:ascii="Arial (Body)" w:hAnsi="Arial (Body)"/>
                <w:color w:val="000000"/>
                <w:sz w:val="18"/>
              </w:rPr>
              <w:t>$41.54 </w:t>
            </w:r>
          </w:p>
        </w:tc>
        <w:tc>
          <w:tcPr>
            <w:tcW w:w="4195" w:type="dxa"/>
            <w:tcBorders>
              <w:bottom w:val="nil"/>
            </w:tcBorders>
            <w:shd w:val="clear" w:color="auto" w:fill="E6E6E6"/>
            <w:hideMark/>
          </w:tcPr>
          <w:p w14:paraId="06A607EB" w14:textId="77777777" w:rsidR="00D94B88" w:rsidRPr="001156AB" w:rsidRDefault="00D94B88">
            <w:pPr>
              <w:spacing w:before="45" w:after="45"/>
              <w:ind w:left="57" w:right="108"/>
              <w:rPr>
                <w:rFonts w:ascii="Arial (Body)" w:hAnsi="Arial (Body)"/>
                <w:color w:val="000000"/>
                <w:sz w:val="18"/>
              </w:rPr>
            </w:pPr>
            <w:r>
              <w:rPr>
                <w:rFonts w:ascii="Arial (Body)" w:hAnsi="Arial (Body)"/>
                <w:color w:val="000000"/>
                <w:sz w:val="18"/>
              </w:rPr>
              <w:t>A</w:t>
            </w:r>
            <w:r w:rsidRPr="00EE0640">
              <w:rPr>
                <w:rFonts w:ascii="Arial (Body)" w:hAnsi="Arial (Body)"/>
                <w:color w:val="000000"/>
                <w:sz w:val="18"/>
              </w:rPr>
              <w:t xml:space="preserve">verage </w:t>
            </w:r>
            <w:r>
              <w:rPr>
                <w:rFonts w:ascii="Arial (Body)" w:hAnsi="Arial (Body)"/>
                <w:color w:val="000000"/>
                <w:sz w:val="18"/>
              </w:rPr>
              <w:t xml:space="preserve">wage </w:t>
            </w:r>
            <w:r w:rsidRPr="00EE0640">
              <w:rPr>
                <w:rFonts w:ascii="Arial (Body)" w:hAnsi="Arial (Body)"/>
                <w:color w:val="000000"/>
                <w:sz w:val="18"/>
              </w:rPr>
              <w:t xml:space="preserve">across </w:t>
            </w:r>
            <w:r>
              <w:rPr>
                <w:rFonts w:ascii="Arial (Body)" w:hAnsi="Arial (Body)"/>
                <w:color w:val="000000"/>
                <w:sz w:val="18"/>
              </w:rPr>
              <w:t>the</w:t>
            </w:r>
            <w:r w:rsidRPr="00EE0640">
              <w:rPr>
                <w:rFonts w:ascii="Arial (Body)" w:hAnsi="Arial (Body)"/>
                <w:color w:val="000000"/>
                <w:sz w:val="18"/>
              </w:rPr>
              <w:t xml:space="preserve"> </w:t>
            </w:r>
            <w:r>
              <w:rPr>
                <w:rFonts w:ascii="Arial (Body)" w:hAnsi="Arial (Body)"/>
                <w:color w:val="000000"/>
                <w:sz w:val="18"/>
              </w:rPr>
              <w:t xml:space="preserve">health and social care assistance </w:t>
            </w:r>
            <w:r w:rsidRPr="00EE0640">
              <w:rPr>
                <w:rFonts w:ascii="Arial (Body)" w:hAnsi="Arial (Body)"/>
                <w:color w:val="000000"/>
                <w:sz w:val="18"/>
              </w:rPr>
              <w:t>sector</w:t>
            </w:r>
            <w:r>
              <w:rPr>
                <w:rFonts w:ascii="Arial (Body)" w:hAnsi="Arial (Body)"/>
                <w:color w:val="000000"/>
                <w:sz w:val="18"/>
              </w:rPr>
              <w:t>. We</w:t>
            </w:r>
            <w:r w:rsidRPr="00EE0640">
              <w:rPr>
                <w:rFonts w:ascii="Arial (Body)" w:hAnsi="Arial (Body)"/>
                <w:color w:val="000000"/>
                <w:sz w:val="18"/>
              </w:rPr>
              <w:t xml:space="preserve"> assum</w:t>
            </w:r>
            <w:r>
              <w:rPr>
                <w:rFonts w:ascii="Arial (Body)" w:hAnsi="Arial (Body)"/>
                <w:color w:val="000000"/>
                <w:sz w:val="18"/>
              </w:rPr>
              <w:t>e</w:t>
            </w:r>
            <w:r w:rsidRPr="00EE0640">
              <w:rPr>
                <w:rFonts w:ascii="Arial (Body)" w:hAnsi="Arial (Body)"/>
                <w:color w:val="000000"/>
                <w:sz w:val="18"/>
              </w:rPr>
              <w:t xml:space="preserve"> that most workers </w:t>
            </w:r>
            <w:r>
              <w:rPr>
                <w:rFonts w:ascii="Arial (Body)" w:hAnsi="Arial (Body)"/>
                <w:color w:val="000000"/>
                <w:sz w:val="18"/>
              </w:rPr>
              <w:t>in the care sector</w:t>
            </w:r>
            <w:r w:rsidRPr="00EE0640">
              <w:rPr>
                <w:rFonts w:ascii="Arial (Body)" w:hAnsi="Arial (Body)"/>
                <w:color w:val="000000"/>
                <w:sz w:val="18"/>
              </w:rPr>
              <w:t xml:space="preserve"> are required to undertake </w:t>
            </w:r>
            <w:r w:rsidRPr="00256286">
              <w:rPr>
                <w:rFonts w:ascii="Arial (Body)" w:hAnsi="Arial (Body)"/>
                <w:color w:val="000000"/>
                <w:sz w:val="18"/>
              </w:rPr>
              <w:t>WWCCs.</w:t>
            </w:r>
            <w:r w:rsidRPr="00EE0640">
              <w:rPr>
                <w:rFonts w:ascii="Arial (Body)" w:hAnsi="Arial (Body)"/>
                <w:color w:val="000000"/>
                <w:sz w:val="18"/>
              </w:rPr>
              <w:t xml:space="preserve"> </w:t>
            </w:r>
            <w:r>
              <w:rPr>
                <w:rFonts w:ascii="Arial (Body)" w:hAnsi="Arial (Body)"/>
                <w:color w:val="000000"/>
                <w:sz w:val="18"/>
              </w:rPr>
              <w:t>This variable is a</w:t>
            </w:r>
            <w:r w:rsidRPr="00E80AC3">
              <w:rPr>
                <w:rFonts w:ascii="Arial (Body)" w:hAnsi="Arial (Body)"/>
                <w:color w:val="000000"/>
                <w:sz w:val="18"/>
              </w:rPr>
              <w:t xml:space="preserve">pplied when overheads should not be included, such as </w:t>
            </w:r>
            <w:r>
              <w:rPr>
                <w:rFonts w:ascii="Arial (Body)" w:hAnsi="Arial (Body)"/>
                <w:color w:val="000000"/>
                <w:sz w:val="18"/>
              </w:rPr>
              <w:t xml:space="preserve">when </w:t>
            </w:r>
            <w:r w:rsidRPr="00E80AC3">
              <w:rPr>
                <w:rFonts w:ascii="Arial (Body)" w:hAnsi="Arial (Body)"/>
                <w:color w:val="000000"/>
                <w:sz w:val="18"/>
              </w:rPr>
              <w:t>calculating the wage value of saved worker time.</w:t>
            </w:r>
            <w:r>
              <w:rPr>
                <w:rFonts w:ascii="Arial (Body)" w:hAnsi="Arial (Body)"/>
                <w:color w:val="000000"/>
                <w:sz w:val="18"/>
              </w:rPr>
              <w:t xml:space="preserve"> </w:t>
            </w:r>
          </w:p>
        </w:tc>
        <w:tc>
          <w:tcPr>
            <w:tcW w:w="2778" w:type="dxa"/>
            <w:tcBorders>
              <w:bottom w:val="nil"/>
            </w:tcBorders>
            <w:shd w:val="clear" w:color="auto" w:fill="E6E6E6"/>
          </w:tcPr>
          <w:p w14:paraId="2A8A831C" w14:textId="1B2D9B24" w:rsidR="00D94B88" w:rsidRPr="004605A8" w:rsidRDefault="00D94B88">
            <w:pPr>
              <w:spacing w:before="45" w:after="45" w:line="240" w:lineRule="auto"/>
              <w:ind w:left="57" w:right="108"/>
              <w:rPr>
                <w:rFonts w:ascii="Arial (Body)" w:hAnsi="Arial (Body)" w:cs="Arial"/>
                <w:color w:val="000000"/>
                <w:sz w:val="18"/>
              </w:rPr>
            </w:pPr>
            <w:r w:rsidRPr="00EA2711">
              <w:rPr>
                <w:rFonts w:ascii="Arial (Body)" w:hAnsi="Arial (Body)"/>
                <w:color w:val="000000"/>
                <w:sz w:val="18"/>
              </w:rPr>
              <w:t xml:space="preserve">ABS </w:t>
            </w:r>
            <w:r w:rsidRPr="003C5A6B">
              <w:rPr>
                <w:rFonts w:ascii="Arial (Body)" w:hAnsi="Arial (Body)"/>
                <w:sz w:val="18"/>
              </w:rPr>
              <w:t>(2024)</w:t>
            </w:r>
          </w:p>
        </w:tc>
      </w:tr>
      <w:tr w:rsidR="00D94B88" w:rsidRPr="00327139" w14:paraId="122EB5C7" w14:textId="77777777">
        <w:trPr>
          <w:trHeight w:val="300"/>
        </w:trPr>
        <w:tc>
          <w:tcPr>
            <w:tcW w:w="1598" w:type="dxa"/>
            <w:tcBorders>
              <w:top w:val="nil"/>
              <w:bottom w:val="nil"/>
            </w:tcBorders>
          </w:tcPr>
          <w:p w14:paraId="5E227FE6" w14:textId="77777777" w:rsidR="00D94B88" w:rsidRPr="00EE0640" w:rsidRDefault="00D94B88">
            <w:pPr>
              <w:pStyle w:val="BodyText"/>
              <w:spacing w:before="45" w:after="45"/>
              <w:ind w:left="57" w:right="108"/>
              <w:rPr>
                <w:rFonts w:ascii="Arial (Body)" w:hAnsi="Arial (Body)"/>
                <w:b/>
                <w:color w:val="265A9A"/>
                <w:sz w:val="18"/>
              </w:rPr>
            </w:pPr>
            <w:r w:rsidRPr="00EE0640">
              <w:rPr>
                <w:rFonts w:ascii="Arial (Body)" w:hAnsi="Arial (Body)"/>
                <w:b/>
                <w:color w:val="265A9A"/>
                <w:sz w:val="18"/>
              </w:rPr>
              <w:t>Average frontline staff wage (without overheads)</w:t>
            </w:r>
          </w:p>
        </w:tc>
        <w:tc>
          <w:tcPr>
            <w:tcW w:w="1037" w:type="dxa"/>
            <w:tcBorders>
              <w:top w:val="nil"/>
              <w:bottom w:val="nil"/>
            </w:tcBorders>
          </w:tcPr>
          <w:p w14:paraId="6C9184BA" w14:textId="77777777" w:rsidR="00D94B88" w:rsidRPr="00EE0640" w:rsidRDefault="00D94B88">
            <w:pPr>
              <w:pStyle w:val="BodyText"/>
              <w:spacing w:before="45" w:after="45"/>
              <w:ind w:left="57" w:right="108"/>
              <w:rPr>
                <w:rFonts w:ascii="Arial (Body)" w:hAnsi="Arial (Body)"/>
                <w:color w:val="000000"/>
                <w:sz w:val="18"/>
              </w:rPr>
            </w:pPr>
            <w:r w:rsidRPr="00EE0640">
              <w:rPr>
                <w:rFonts w:ascii="Arial (Body)" w:hAnsi="Arial (Body)"/>
                <w:color w:val="000000"/>
                <w:sz w:val="18"/>
              </w:rPr>
              <w:t>$28.96 </w:t>
            </w:r>
          </w:p>
        </w:tc>
        <w:tc>
          <w:tcPr>
            <w:tcW w:w="4195" w:type="dxa"/>
            <w:tcBorders>
              <w:top w:val="nil"/>
              <w:bottom w:val="nil"/>
            </w:tcBorders>
          </w:tcPr>
          <w:p w14:paraId="259DBC2C" w14:textId="77777777" w:rsidR="00D94B88" w:rsidRPr="00765840" w:rsidRDefault="00D94B88">
            <w:pPr>
              <w:spacing w:before="45" w:after="45"/>
              <w:ind w:left="57" w:right="108"/>
              <w:rPr>
                <w:rFonts w:ascii="Arial (Body)" w:hAnsi="Arial (Body)"/>
                <w:color w:val="000000"/>
                <w:spacing w:val="-2"/>
                <w:sz w:val="18"/>
              </w:rPr>
            </w:pPr>
            <w:r w:rsidRPr="00765840">
              <w:rPr>
                <w:rFonts w:ascii="Arial (Body)" w:hAnsi="Arial (Body)"/>
                <w:color w:val="000000"/>
                <w:spacing w:val="-2"/>
                <w:sz w:val="18"/>
              </w:rPr>
              <w:t>Hourly wage of a full</w:t>
            </w:r>
            <w:r w:rsidRPr="00765840">
              <w:rPr>
                <w:rFonts w:ascii="Arial (Body)" w:hAnsi="Arial (Body)"/>
                <w:color w:val="000000"/>
                <w:spacing w:val="-2"/>
                <w:sz w:val="18"/>
              </w:rPr>
              <w:noBreakHyphen/>
              <w:t>time level 4 aged care worker, representing the average frontline care worker.</w:t>
            </w:r>
          </w:p>
        </w:tc>
        <w:tc>
          <w:tcPr>
            <w:tcW w:w="2778" w:type="dxa"/>
            <w:tcBorders>
              <w:top w:val="nil"/>
              <w:bottom w:val="nil"/>
            </w:tcBorders>
          </w:tcPr>
          <w:p w14:paraId="2F48AD57" w14:textId="37EED18A" w:rsidR="00D94B88" w:rsidRPr="00EE0640" w:rsidRDefault="00D94B88">
            <w:pPr>
              <w:spacing w:before="45" w:after="45" w:line="240" w:lineRule="auto"/>
              <w:ind w:left="57" w:right="108"/>
              <w:rPr>
                <w:rFonts w:ascii="Arial (Body)" w:hAnsi="Arial (Body)" w:cs="Arial"/>
                <w:color w:val="000000"/>
                <w:sz w:val="18"/>
              </w:rPr>
            </w:pPr>
            <w:r w:rsidRPr="00256286">
              <w:rPr>
                <w:rFonts w:ascii="Arial (Body)" w:hAnsi="Arial (Body)"/>
                <w:color w:val="000000"/>
                <w:sz w:val="18"/>
              </w:rPr>
              <w:t xml:space="preserve">FWO </w:t>
            </w:r>
            <w:r w:rsidRPr="00942322">
              <w:rPr>
                <w:rFonts w:ascii="Arial (Body)" w:hAnsi="Arial (Body)"/>
                <w:color w:val="000000"/>
                <w:sz w:val="18"/>
              </w:rPr>
              <w:t>(2025)</w:t>
            </w:r>
          </w:p>
        </w:tc>
      </w:tr>
      <w:tr w:rsidR="00D94B88" w:rsidRPr="0076183A" w14:paraId="60F2DFDE" w14:textId="77777777" w:rsidTr="00215BA1">
        <w:trPr>
          <w:trHeight w:val="300"/>
        </w:trPr>
        <w:tc>
          <w:tcPr>
            <w:tcW w:w="1598" w:type="dxa"/>
            <w:tcBorders>
              <w:bottom w:val="nil"/>
            </w:tcBorders>
            <w:shd w:val="clear" w:color="auto" w:fill="E6E6E6"/>
            <w:hideMark/>
          </w:tcPr>
          <w:p w14:paraId="25005E99" w14:textId="77777777" w:rsidR="00D94B88" w:rsidRPr="00E80AC3" w:rsidRDefault="00D94B88">
            <w:pPr>
              <w:pStyle w:val="BodyText"/>
              <w:spacing w:before="45" w:after="45"/>
              <w:ind w:left="57" w:right="108"/>
              <w:rPr>
                <w:rFonts w:ascii="Arial (Body)" w:hAnsi="Arial (Body)"/>
                <w:b/>
                <w:color w:val="265A9A"/>
                <w:sz w:val="18"/>
              </w:rPr>
            </w:pPr>
            <w:r w:rsidRPr="00E80AC3">
              <w:rPr>
                <w:rFonts w:ascii="Arial (Body)" w:hAnsi="Arial (Body)"/>
                <w:b/>
                <w:color w:val="265A9A"/>
                <w:sz w:val="18"/>
              </w:rPr>
              <w:t>Provider growth </w:t>
            </w:r>
          </w:p>
        </w:tc>
        <w:tc>
          <w:tcPr>
            <w:tcW w:w="1037" w:type="dxa"/>
            <w:tcBorders>
              <w:bottom w:val="nil"/>
            </w:tcBorders>
            <w:shd w:val="clear" w:color="auto" w:fill="E6E6E6"/>
            <w:hideMark/>
          </w:tcPr>
          <w:p w14:paraId="1A39DC1E" w14:textId="77777777" w:rsidR="00D94B88" w:rsidRPr="004338A8" w:rsidRDefault="00D94B88">
            <w:pPr>
              <w:pStyle w:val="BodyText"/>
              <w:spacing w:before="45" w:after="45"/>
              <w:ind w:left="57" w:right="108"/>
              <w:rPr>
                <w:rFonts w:ascii="Arial (Body)" w:hAnsi="Arial (Body)"/>
                <w:color w:val="000000"/>
                <w:sz w:val="18"/>
              </w:rPr>
            </w:pPr>
            <w:r w:rsidRPr="004338A8">
              <w:rPr>
                <w:rFonts w:ascii="Arial (Body)" w:hAnsi="Arial (Body)"/>
                <w:color w:val="000000"/>
                <w:sz w:val="18"/>
              </w:rPr>
              <w:t>5.0% </w:t>
            </w:r>
          </w:p>
        </w:tc>
        <w:tc>
          <w:tcPr>
            <w:tcW w:w="4195" w:type="dxa"/>
            <w:tcBorders>
              <w:bottom w:val="nil"/>
            </w:tcBorders>
            <w:shd w:val="clear" w:color="auto" w:fill="E6E6E6"/>
            <w:hideMark/>
          </w:tcPr>
          <w:p w14:paraId="38BE17C8" w14:textId="124FCB33" w:rsidR="00D94B88" w:rsidRPr="004338A8" w:rsidRDefault="00D94B88">
            <w:pPr>
              <w:pStyle w:val="BodyText"/>
              <w:spacing w:before="45" w:after="45"/>
              <w:ind w:left="57" w:right="108"/>
              <w:rPr>
                <w:rFonts w:ascii="Arial (Body)" w:hAnsi="Arial (Body)"/>
                <w:color w:val="000000"/>
                <w:sz w:val="18"/>
              </w:rPr>
            </w:pPr>
            <w:r>
              <w:rPr>
                <w:rFonts w:ascii="Arial (Body)" w:hAnsi="Arial (Body)"/>
                <w:color w:val="000000"/>
                <w:sz w:val="18"/>
              </w:rPr>
              <w:t>PC assumption informed by</w:t>
            </w:r>
            <w:r w:rsidRPr="004338A8">
              <w:rPr>
                <w:rFonts w:ascii="Arial (Body)" w:hAnsi="Arial (Body)"/>
                <w:color w:val="000000"/>
                <w:sz w:val="18"/>
              </w:rPr>
              <w:t xml:space="preserve"> forecast </w:t>
            </w:r>
            <w:r>
              <w:rPr>
                <w:rFonts w:ascii="Arial (Body)" w:hAnsi="Arial (Body)"/>
                <w:color w:val="000000"/>
                <w:sz w:val="18"/>
              </w:rPr>
              <w:t xml:space="preserve">growth in the number of </w:t>
            </w:r>
            <w:r w:rsidRPr="004338A8">
              <w:rPr>
                <w:rFonts w:ascii="Arial (Body)" w:hAnsi="Arial (Body)"/>
                <w:color w:val="000000"/>
                <w:sz w:val="18"/>
              </w:rPr>
              <w:t xml:space="preserve">NDIS </w:t>
            </w:r>
            <w:r>
              <w:rPr>
                <w:rFonts w:ascii="Arial (Body)" w:hAnsi="Arial (Body)"/>
                <w:color w:val="000000"/>
                <w:sz w:val="18"/>
              </w:rPr>
              <w:t xml:space="preserve">and aged care </w:t>
            </w:r>
            <w:r w:rsidRPr="004338A8">
              <w:rPr>
                <w:rFonts w:ascii="Arial (Body)" w:hAnsi="Arial (Body)"/>
                <w:color w:val="000000"/>
                <w:sz w:val="18"/>
              </w:rPr>
              <w:t>provider</w:t>
            </w:r>
            <w:r>
              <w:rPr>
                <w:rFonts w:ascii="Arial (Body)" w:hAnsi="Arial (Body)"/>
                <w:color w:val="000000"/>
                <w:sz w:val="18"/>
              </w:rPr>
              <w:t>s</w:t>
            </w:r>
            <w:r w:rsidRPr="00256286">
              <w:rPr>
                <w:rFonts w:ascii="Arial (Body)" w:hAnsi="Arial (Body)"/>
                <w:color w:val="000000"/>
                <w:sz w:val="18"/>
              </w:rPr>
              <w:t xml:space="preserve"> </w:t>
            </w:r>
            <w:r w:rsidR="0097599A" w:rsidRPr="0097599A">
              <w:rPr>
                <w:rFonts w:ascii="Arial (Body)" w:hAnsi="Arial (Body)" w:cs="Times New Roman"/>
                <w:sz w:val="18"/>
              </w:rPr>
              <w:t>(NDIS Quality and Safeguards Commission 2025c; ACQSC, pers. comm., 27 October 2025)</w:t>
            </w:r>
            <w:r>
              <w:rPr>
                <w:rFonts w:ascii="Arial (Body)" w:hAnsi="Arial (Body)"/>
                <w:color w:val="000000"/>
                <w:sz w:val="18"/>
              </w:rPr>
              <w:t>.</w:t>
            </w:r>
          </w:p>
        </w:tc>
        <w:tc>
          <w:tcPr>
            <w:tcW w:w="2778" w:type="dxa"/>
            <w:tcBorders>
              <w:bottom w:val="nil"/>
            </w:tcBorders>
            <w:shd w:val="clear" w:color="auto" w:fill="E6E6E6"/>
          </w:tcPr>
          <w:p w14:paraId="6FA325ED" w14:textId="77777777" w:rsidR="00D94B88" w:rsidRPr="00EE0640" w:rsidRDefault="00D94B88">
            <w:pPr>
              <w:pStyle w:val="BodyText"/>
              <w:spacing w:before="45" w:after="45"/>
              <w:ind w:left="57" w:right="108"/>
              <w:rPr>
                <w:rFonts w:ascii="Arial (Body)" w:hAnsi="Arial (Body)"/>
                <w:color w:val="000000"/>
                <w:sz w:val="18"/>
              </w:rPr>
            </w:pPr>
            <w:r w:rsidRPr="00256286">
              <w:rPr>
                <w:rFonts w:ascii="Arial (Body)" w:hAnsi="Arial (Body)"/>
                <w:color w:val="000000"/>
                <w:sz w:val="18"/>
              </w:rPr>
              <w:t>PC assumption</w:t>
            </w:r>
          </w:p>
        </w:tc>
      </w:tr>
      <w:tr w:rsidR="00D94B88" w:rsidRPr="0076183A" w14:paraId="7625B16A" w14:textId="77777777">
        <w:trPr>
          <w:trHeight w:val="300"/>
        </w:trPr>
        <w:tc>
          <w:tcPr>
            <w:tcW w:w="1598" w:type="dxa"/>
            <w:tcBorders>
              <w:top w:val="nil"/>
              <w:bottom w:val="nil"/>
            </w:tcBorders>
            <w:hideMark/>
          </w:tcPr>
          <w:p w14:paraId="608341B4" w14:textId="77777777" w:rsidR="00D94B88" w:rsidRPr="00E80AC3" w:rsidRDefault="00D94B88">
            <w:pPr>
              <w:pStyle w:val="BodyText"/>
              <w:spacing w:before="45" w:after="45"/>
              <w:ind w:left="57" w:right="108"/>
              <w:rPr>
                <w:rFonts w:ascii="Arial (Body)" w:hAnsi="Arial (Body)"/>
                <w:b/>
                <w:color w:val="265A9A"/>
                <w:sz w:val="18"/>
              </w:rPr>
            </w:pPr>
            <w:r>
              <w:rPr>
                <w:rFonts w:ascii="Arial (Body)" w:hAnsi="Arial (Body)"/>
                <w:b/>
                <w:color w:val="265A9A"/>
                <w:sz w:val="18"/>
              </w:rPr>
              <w:t>Provider time per audit cycle</w:t>
            </w:r>
            <w:r w:rsidRPr="00E80AC3">
              <w:rPr>
                <w:rFonts w:ascii="Arial (Body)" w:hAnsi="Arial (Body)"/>
                <w:b/>
                <w:color w:val="265A9A"/>
                <w:sz w:val="18"/>
              </w:rPr>
              <w:t> </w:t>
            </w:r>
          </w:p>
        </w:tc>
        <w:tc>
          <w:tcPr>
            <w:tcW w:w="1037" w:type="dxa"/>
            <w:tcBorders>
              <w:top w:val="nil"/>
              <w:bottom w:val="nil"/>
            </w:tcBorders>
            <w:hideMark/>
          </w:tcPr>
          <w:p w14:paraId="267C9279" w14:textId="77777777" w:rsidR="00D94B88" w:rsidRPr="004338A8" w:rsidRDefault="00D94B88">
            <w:pPr>
              <w:pStyle w:val="BodyText"/>
              <w:spacing w:before="45" w:after="45"/>
              <w:ind w:left="57" w:right="108"/>
              <w:rPr>
                <w:rFonts w:ascii="Arial (Body)" w:hAnsi="Arial (Body)"/>
                <w:color w:val="000000"/>
                <w:sz w:val="18"/>
              </w:rPr>
            </w:pPr>
            <w:r w:rsidRPr="004338A8">
              <w:rPr>
                <w:rFonts w:ascii="Arial (Body)" w:hAnsi="Arial (Body)"/>
                <w:color w:val="000000"/>
                <w:sz w:val="18"/>
              </w:rPr>
              <w:t>155 hours </w:t>
            </w:r>
          </w:p>
        </w:tc>
        <w:tc>
          <w:tcPr>
            <w:tcW w:w="4195" w:type="dxa"/>
            <w:tcBorders>
              <w:top w:val="nil"/>
              <w:bottom w:val="nil"/>
            </w:tcBorders>
            <w:hideMark/>
          </w:tcPr>
          <w:p w14:paraId="140BFE02" w14:textId="77777777" w:rsidR="00D94B88" w:rsidRPr="001156AB" w:rsidRDefault="00D94B88">
            <w:pPr>
              <w:spacing w:before="45" w:after="45"/>
              <w:ind w:left="57" w:right="108"/>
              <w:rPr>
                <w:rFonts w:ascii="Arial (Body)" w:hAnsi="Arial (Body)"/>
                <w:color w:val="000000"/>
                <w:sz w:val="18"/>
              </w:rPr>
            </w:pPr>
            <w:r>
              <w:rPr>
                <w:rFonts w:ascii="Arial (Body)" w:hAnsi="Arial (Body)"/>
                <w:color w:val="000000"/>
                <w:sz w:val="18"/>
              </w:rPr>
              <w:t>Based on average end</w:t>
            </w:r>
            <w:r>
              <w:rPr>
                <w:rFonts w:ascii="Arial (Body)" w:hAnsi="Arial (Body)"/>
                <w:color w:val="000000"/>
                <w:sz w:val="18"/>
              </w:rPr>
              <w:noBreakHyphen/>
              <w:t>to</w:t>
            </w:r>
            <w:r>
              <w:rPr>
                <w:rFonts w:ascii="Arial (Body)" w:hAnsi="Arial (Body)"/>
                <w:color w:val="000000"/>
                <w:sz w:val="18"/>
              </w:rPr>
              <w:noBreakHyphen/>
              <w:t>end audit time for category four and five aged care providers. We have used this parameter to r</w:t>
            </w:r>
            <w:r w:rsidRPr="008305D2">
              <w:rPr>
                <w:rFonts w:ascii="Arial (Body)" w:hAnsi="Arial (Body)"/>
                <w:color w:val="000000"/>
                <w:sz w:val="18"/>
              </w:rPr>
              <w:t>epresent the time taken for suitability checks</w:t>
            </w:r>
            <w:r>
              <w:rPr>
                <w:rFonts w:ascii="Arial (Body)" w:hAnsi="Arial (Body)"/>
                <w:color w:val="000000"/>
                <w:sz w:val="18"/>
              </w:rPr>
              <w:t>,</w:t>
            </w:r>
            <w:r w:rsidRPr="008305D2">
              <w:rPr>
                <w:rFonts w:ascii="Arial (Body)" w:hAnsi="Arial (Body)"/>
                <w:color w:val="000000"/>
                <w:sz w:val="18"/>
              </w:rPr>
              <w:t xml:space="preserve"> registration and audit processes</w:t>
            </w:r>
            <w:r>
              <w:rPr>
                <w:rFonts w:ascii="Arial (Body)" w:hAnsi="Arial (Body)"/>
                <w:color w:val="000000"/>
                <w:sz w:val="18"/>
              </w:rPr>
              <w:t>, since t</w:t>
            </w:r>
            <w:r w:rsidRPr="00E80AC3">
              <w:rPr>
                <w:rFonts w:ascii="Arial (Body)" w:hAnsi="Arial (Body)"/>
                <w:color w:val="000000"/>
                <w:sz w:val="18"/>
              </w:rPr>
              <w:t xml:space="preserve">hese </w:t>
            </w:r>
            <w:r w:rsidRPr="002D5179">
              <w:rPr>
                <w:rFonts w:ascii="Arial (Body)" w:hAnsi="Arial (Body)"/>
                <w:color w:val="000000"/>
                <w:sz w:val="18"/>
              </w:rPr>
              <w:t xml:space="preserve">activities </w:t>
            </w:r>
            <w:r w:rsidRPr="00E80AC3">
              <w:rPr>
                <w:rFonts w:ascii="Arial (Body)" w:hAnsi="Arial (Body)"/>
                <w:color w:val="000000"/>
                <w:sz w:val="18"/>
              </w:rPr>
              <w:t>are</w:t>
            </w:r>
            <w:r w:rsidRPr="002D5179">
              <w:rPr>
                <w:rFonts w:ascii="Arial (Body)" w:hAnsi="Arial (Body)"/>
                <w:color w:val="000000"/>
                <w:sz w:val="18"/>
              </w:rPr>
              <w:t xml:space="preserve"> </w:t>
            </w:r>
            <w:r>
              <w:rPr>
                <w:rFonts w:ascii="Arial (Body)" w:hAnsi="Arial (Body)"/>
                <w:color w:val="000000"/>
                <w:sz w:val="18"/>
              </w:rPr>
              <w:t xml:space="preserve">intertwined </w:t>
            </w:r>
            <w:r w:rsidRPr="00E80AC3">
              <w:rPr>
                <w:rFonts w:ascii="Arial (Body)" w:hAnsi="Arial (Body)"/>
                <w:color w:val="000000"/>
                <w:sz w:val="18"/>
              </w:rPr>
              <w:t>within the</w:t>
            </w:r>
            <w:r w:rsidRPr="002D5179">
              <w:rPr>
                <w:rFonts w:ascii="Arial (Body)" w:hAnsi="Arial (Body)"/>
                <w:color w:val="000000"/>
                <w:sz w:val="18"/>
              </w:rPr>
              <w:t xml:space="preserve"> regulatory compliance cycle.</w:t>
            </w:r>
            <w:r>
              <w:rPr>
                <w:rFonts w:ascii="Arial (Body)" w:hAnsi="Arial (Body)"/>
                <w:color w:val="000000"/>
                <w:sz w:val="18"/>
              </w:rPr>
              <w:t xml:space="preserve"> </w:t>
            </w:r>
          </w:p>
        </w:tc>
        <w:tc>
          <w:tcPr>
            <w:tcW w:w="2778" w:type="dxa"/>
            <w:tcBorders>
              <w:top w:val="nil"/>
              <w:bottom w:val="nil"/>
            </w:tcBorders>
          </w:tcPr>
          <w:p w14:paraId="2B1C423C" w14:textId="70B2F019" w:rsidR="00D94B88" w:rsidRPr="00EE0640" w:rsidRDefault="00D94B88">
            <w:pPr>
              <w:spacing w:before="45" w:after="45"/>
              <w:ind w:left="57" w:right="108"/>
              <w:rPr>
                <w:rFonts w:ascii="Arial (Body)" w:hAnsi="Arial (Body)"/>
                <w:color w:val="000000"/>
                <w:sz w:val="18"/>
              </w:rPr>
            </w:pPr>
            <w:proofErr w:type="spellStart"/>
            <w:r w:rsidRPr="00256286">
              <w:rPr>
                <w:rFonts w:ascii="Arial (Body)" w:hAnsi="Arial (Body)"/>
                <w:color w:val="000000"/>
                <w:sz w:val="18"/>
              </w:rPr>
              <w:t>DoHAC</w:t>
            </w:r>
            <w:proofErr w:type="spellEnd"/>
            <w:r w:rsidRPr="00256286">
              <w:rPr>
                <w:rFonts w:ascii="Arial (Body)" w:hAnsi="Arial (Body)"/>
                <w:iCs/>
                <w:color w:val="000000"/>
                <w:sz w:val="18"/>
              </w:rPr>
              <w:t xml:space="preserve"> </w:t>
            </w:r>
            <w:r w:rsidRPr="00942322">
              <w:rPr>
                <w:rFonts w:ascii="Arial (Body)" w:hAnsi="Arial (Body)"/>
                <w:color w:val="000000"/>
                <w:sz w:val="18"/>
              </w:rPr>
              <w:t>(2024)</w:t>
            </w:r>
          </w:p>
        </w:tc>
      </w:tr>
      <w:tr w:rsidR="00D94B88" w:rsidRPr="0076183A" w14:paraId="00AD2EC0" w14:textId="77777777" w:rsidTr="00215BA1">
        <w:trPr>
          <w:trHeight w:val="300"/>
        </w:trPr>
        <w:tc>
          <w:tcPr>
            <w:tcW w:w="1598" w:type="dxa"/>
            <w:tcBorders>
              <w:bottom w:val="nil"/>
            </w:tcBorders>
            <w:shd w:val="clear" w:color="auto" w:fill="E6E6E6"/>
            <w:hideMark/>
          </w:tcPr>
          <w:p w14:paraId="1F142380" w14:textId="77777777" w:rsidR="00D94B88" w:rsidRPr="00E80AC3" w:rsidRDefault="00D94B88">
            <w:pPr>
              <w:pStyle w:val="BodyText"/>
              <w:spacing w:before="45" w:after="45"/>
              <w:ind w:left="57" w:right="108"/>
              <w:rPr>
                <w:rFonts w:ascii="Arial (Body)" w:hAnsi="Arial (Body)"/>
                <w:b/>
                <w:color w:val="265A9A"/>
                <w:sz w:val="18"/>
              </w:rPr>
            </w:pPr>
            <w:r w:rsidRPr="00256286">
              <w:rPr>
                <w:rFonts w:ascii="Arial (Body)" w:hAnsi="Arial (Body)"/>
                <w:b/>
                <w:color w:val="265A9A"/>
                <w:sz w:val="18"/>
              </w:rPr>
              <w:t>Fee</w:t>
            </w:r>
            <w:r>
              <w:rPr>
                <w:rFonts w:ascii="Arial (Body)" w:hAnsi="Arial (Body)"/>
                <w:b/>
                <w:color w:val="265A9A"/>
                <w:sz w:val="18"/>
              </w:rPr>
              <w:t>s paid by providers</w:t>
            </w:r>
            <w:r w:rsidRPr="00E80AC3">
              <w:rPr>
                <w:rFonts w:ascii="Arial (Body)" w:hAnsi="Arial (Body)"/>
                <w:b/>
                <w:color w:val="265A9A"/>
                <w:sz w:val="18"/>
              </w:rPr>
              <w:t xml:space="preserve"> per </w:t>
            </w:r>
            <w:r>
              <w:rPr>
                <w:rFonts w:ascii="Arial (Body)" w:hAnsi="Arial (Body)"/>
                <w:b/>
                <w:color w:val="265A9A"/>
                <w:sz w:val="18"/>
              </w:rPr>
              <w:t>audit cycle</w:t>
            </w:r>
            <w:r w:rsidRPr="00E80AC3">
              <w:rPr>
                <w:rFonts w:ascii="Arial (Body)" w:hAnsi="Arial (Body)"/>
                <w:b/>
                <w:color w:val="265A9A"/>
                <w:sz w:val="18"/>
              </w:rPr>
              <w:t> </w:t>
            </w:r>
          </w:p>
        </w:tc>
        <w:tc>
          <w:tcPr>
            <w:tcW w:w="1037" w:type="dxa"/>
            <w:tcBorders>
              <w:bottom w:val="nil"/>
            </w:tcBorders>
            <w:shd w:val="clear" w:color="auto" w:fill="E6E6E6"/>
            <w:hideMark/>
          </w:tcPr>
          <w:p w14:paraId="62A29FDE" w14:textId="77777777" w:rsidR="00D94B88" w:rsidRPr="004338A8" w:rsidRDefault="00D94B88">
            <w:pPr>
              <w:pStyle w:val="BodyText"/>
              <w:spacing w:before="45" w:after="45"/>
              <w:ind w:left="57" w:right="108"/>
              <w:rPr>
                <w:rFonts w:ascii="Arial (Body)" w:hAnsi="Arial (Body)"/>
                <w:color w:val="000000"/>
                <w:sz w:val="18"/>
              </w:rPr>
            </w:pPr>
            <w:r w:rsidRPr="004338A8">
              <w:rPr>
                <w:rFonts w:ascii="Arial (Body)" w:hAnsi="Arial (Body)"/>
                <w:color w:val="000000"/>
                <w:sz w:val="18"/>
              </w:rPr>
              <w:t>$35,655 </w:t>
            </w:r>
          </w:p>
        </w:tc>
        <w:tc>
          <w:tcPr>
            <w:tcW w:w="4195" w:type="dxa"/>
            <w:tcBorders>
              <w:bottom w:val="nil"/>
            </w:tcBorders>
            <w:shd w:val="clear" w:color="auto" w:fill="E6E6E6"/>
            <w:hideMark/>
          </w:tcPr>
          <w:p w14:paraId="7843491A" w14:textId="3EEFF143" w:rsidR="00D94B88" w:rsidRPr="004338A8" w:rsidRDefault="00D94B88" w:rsidP="008414B9">
            <w:pPr>
              <w:spacing w:before="45" w:after="45"/>
              <w:ind w:left="57" w:right="108"/>
              <w:rPr>
                <w:rFonts w:ascii="Arial (Body)" w:hAnsi="Arial (Body)"/>
                <w:color w:val="000000"/>
                <w:sz w:val="18"/>
              </w:rPr>
            </w:pPr>
            <w:r>
              <w:rPr>
                <w:rFonts w:ascii="Arial (Body)" w:hAnsi="Arial (Body)"/>
                <w:color w:val="000000"/>
                <w:sz w:val="18"/>
              </w:rPr>
              <w:t>B</w:t>
            </w:r>
            <w:r w:rsidRPr="00E80AC3">
              <w:rPr>
                <w:rFonts w:ascii="Arial (Body)" w:hAnsi="Arial (Body)"/>
                <w:color w:val="000000"/>
                <w:sz w:val="18"/>
              </w:rPr>
              <w:t xml:space="preserve">ased on a weighted average of </w:t>
            </w:r>
            <w:r>
              <w:rPr>
                <w:rFonts w:ascii="Arial (Body)" w:hAnsi="Arial (Body)"/>
                <w:color w:val="000000"/>
                <w:sz w:val="18"/>
              </w:rPr>
              <w:t xml:space="preserve">cost recovery fees </w:t>
            </w:r>
            <w:r w:rsidRPr="00E80AC3">
              <w:rPr>
                <w:rFonts w:ascii="Arial (Body)" w:hAnsi="Arial (Body)"/>
                <w:color w:val="000000"/>
                <w:sz w:val="18"/>
              </w:rPr>
              <w:t>according to</w:t>
            </w:r>
            <w:r>
              <w:rPr>
                <w:rFonts w:ascii="Arial (Body)" w:hAnsi="Arial (Body)"/>
                <w:color w:val="000000"/>
                <w:sz w:val="18"/>
              </w:rPr>
              <w:t xml:space="preserve"> the </w:t>
            </w:r>
            <w:r w:rsidRPr="00E80AC3">
              <w:rPr>
                <w:rFonts w:ascii="Arial (Body)" w:hAnsi="Arial (Body)"/>
                <w:color w:val="000000"/>
                <w:sz w:val="18"/>
              </w:rPr>
              <w:t xml:space="preserve">typical </w:t>
            </w:r>
            <w:r>
              <w:rPr>
                <w:rFonts w:ascii="Arial (Body)" w:hAnsi="Arial (Body)"/>
                <w:color w:val="000000"/>
                <w:sz w:val="18"/>
              </w:rPr>
              <w:t xml:space="preserve">service profile of </w:t>
            </w:r>
            <w:r>
              <w:rPr>
                <w:rFonts w:ascii="Arial (Body)" w:hAnsi="Arial (Body)"/>
                <w:color w:val="000000"/>
                <w:sz w:val="18"/>
              </w:rPr>
              <w:lastRenderedPageBreak/>
              <w:t xml:space="preserve">aged care </w:t>
            </w:r>
            <w:r w:rsidRPr="00E80AC3">
              <w:rPr>
                <w:rFonts w:ascii="Arial (Body)" w:hAnsi="Arial (Body)"/>
                <w:color w:val="000000"/>
                <w:sz w:val="18"/>
              </w:rPr>
              <w:t>providers</w:t>
            </w:r>
            <w:r>
              <w:rPr>
                <w:rFonts w:ascii="Arial (Body)" w:hAnsi="Arial (Body)"/>
                <w:color w:val="000000"/>
                <w:sz w:val="18"/>
              </w:rPr>
              <w:t xml:space="preserve"> in the </w:t>
            </w:r>
            <w:r w:rsidR="00B52604" w:rsidRPr="00B52604">
              <w:rPr>
                <w:rFonts w:ascii="Arial (Body)" w:hAnsi="Arial (Body)"/>
                <w:color w:val="000000"/>
                <w:sz w:val="18"/>
              </w:rPr>
              <w:t xml:space="preserve">target group, and the audit fee provided by </w:t>
            </w:r>
            <w:proofErr w:type="gramStart"/>
            <w:r w:rsidR="00B52604" w:rsidRPr="00B52604">
              <w:rPr>
                <w:rFonts w:ascii="Arial (Body)" w:hAnsi="Arial (Body)"/>
                <w:color w:val="000000"/>
                <w:sz w:val="18"/>
              </w:rPr>
              <w:t>an</w:t>
            </w:r>
            <w:proofErr w:type="gramEnd"/>
            <w:r w:rsidR="00B52604" w:rsidRPr="00B52604">
              <w:rPr>
                <w:rFonts w:ascii="Arial (Body)" w:hAnsi="Arial (Body)"/>
                <w:color w:val="000000"/>
                <w:sz w:val="18"/>
              </w:rPr>
              <w:t xml:space="preserve"> NDIS provider</w:t>
            </w:r>
            <w:r w:rsidRPr="00E80AC3">
              <w:rPr>
                <w:rFonts w:ascii="Arial (Body)" w:hAnsi="Arial (Body)"/>
                <w:color w:val="000000"/>
                <w:sz w:val="18"/>
              </w:rPr>
              <w:t>.</w:t>
            </w:r>
          </w:p>
        </w:tc>
        <w:tc>
          <w:tcPr>
            <w:tcW w:w="2778" w:type="dxa"/>
            <w:tcBorders>
              <w:bottom w:val="nil"/>
            </w:tcBorders>
            <w:shd w:val="clear" w:color="auto" w:fill="E6E6E6"/>
          </w:tcPr>
          <w:p w14:paraId="48585B23" w14:textId="0B08A1F3" w:rsidR="00D94B88" w:rsidRPr="008414B9" w:rsidRDefault="00D94B88" w:rsidP="008414B9">
            <w:pPr>
              <w:spacing w:before="45" w:after="45"/>
              <w:ind w:left="57"/>
              <w:rPr>
                <w:rFonts w:ascii="Arial (Body)" w:hAnsi="Arial (Body)"/>
                <w:color w:val="000000"/>
                <w:spacing w:val="-4"/>
                <w:sz w:val="18"/>
              </w:rPr>
            </w:pPr>
            <w:r w:rsidRPr="008414B9">
              <w:rPr>
                <w:rFonts w:ascii="Arial (Body)" w:hAnsi="Arial (Body)"/>
                <w:color w:val="000000"/>
                <w:spacing w:val="-4"/>
                <w:sz w:val="18"/>
              </w:rPr>
              <w:lastRenderedPageBreak/>
              <w:t>PC estimate based on ACQSC</w:t>
            </w:r>
            <w:r w:rsidRPr="008414B9">
              <w:rPr>
                <w:rFonts w:ascii="Arial (Body)" w:hAnsi="Arial (Body)" w:hint="eastAsia"/>
                <w:color w:val="000000"/>
                <w:spacing w:val="-4"/>
                <w:sz w:val="18"/>
              </w:rPr>
              <w:t> </w:t>
            </w:r>
            <w:r w:rsidRPr="008414B9">
              <w:rPr>
                <w:rFonts w:ascii="Arial (Body)" w:hAnsi="Arial (Body)"/>
                <w:spacing w:val="-4"/>
                <w:sz w:val="18"/>
              </w:rPr>
              <w:t>(2025a)</w:t>
            </w:r>
            <w:r w:rsidRPr="008414B9">
              <w:rPr>
                <w:rFonts w:ascii="Arial (Body)" w:hAnsi="Arial (Body)"/>
                <w:color w:val="000000"/>
                <w:spacing w:val="-4"/>
                <w:sz w:val="18"/>
              </w:rPr>
              <w:t xml:space="preserve"> and data provided </w:t>
            </w:r>
            <w:r w:rsidRPr="008414B9">
              <w:rPr>
                <w:rFonts w:ascii="Arial (Body)" w:hAnsi="Arial (Body)"/>
                <w:color w:val="000000"/>
                <w:spacing w:val="-4"/>
                <w:sz w:val="18"/>
              </w:rPr>
              <w:lastRenderedPageBreak/>
              <w:t xml:space="preserve">by </w:t>
            </w:r>
            <w:proofErr w:type="gramStart"/>
            <w:r w:rsidRPr="008414B9">
              <w:rPr>
                <w:rFonts w:ascii="Arial (Body)" w:hAnsi="Arial (Body)"/>
                <w:color w:val="000000"/>
                <w:spacing w:val="-4"/>
                <w:sz w:val="18"/>
              </w:rPr>
              <w:t>a</w:t>
            </w:r>
            <w:r w:rsidR="0025382D" w:rsidRPr="008414B9">
              <w:rPr>
                <w:rFonts w:ascii="Arial (Body)" w:hAnsi="Arial (Body)"/>
                <w:color w:val="000000"/>
                <w:spacing w:val="-4"/>
                <w:sz w:val="18"/>
              </w:rPr>
              <w:t>n</w:t>
            </w:r>
            <w:proofErr w:type="gramEnd"/>
            <w:r w:rsidR="0025382D" w:rsidRPr="008414B9">
              <w:rPr>
                <w:rFonts w:ascii="Arial (Body)" w:hAnsi="Arial (Body)"/>
                <w:color w:val="000000"/>
                <w:spacing w:val="-4"/>
                <w:sz w:val="18"/>
              </w:rPr>
              <w:t xml:space="preserve"> NDIS</w:t>
            </w:r>
            <w:r w:rsidRPr="008414B9">
              <w:rPr>
                <w:rFonts w:ascii="Arial (Body)" w:hAnsi="Arial (Body)"/>
                <w:color w:val="000000"/>
                <w:spacing w:val="-4"/>
                <w:sz w:val="18"/>
              </w:rPr>
              <w:t xml:space="preserve"> provider </w:t>
            </w:r>
            <w:r w:rsidR="002E34D6" w:rsidRPr="008414B9">
              <w:rPr>
                <w:rFonts w:ascii="Arial (Body)" w:hAnsi="Arial (Body)"/>
                <w:color w:val="000000"/>
                <w:spacing w:val="-4"/>
                <w:sz w:val="18"/>
              </w:rPr>
              <w:t>(</w:t>
            </w:r>
            <w:r w:rsidRPr="008414B9">
              <w:rPr>
                <w:rFonts w:ascii="Arial (Body)" w:hAnsi="Arial (Body)"/>
                <w:color w:val="000000"/>
                <w:spacing w:val="-4"/>
                <w:sz w:val="18"/>
              </w:rPr>
              <w:t>pers. comm</w:t>
            </w:r>
            <w:r w:rsidR="002E34D6" w:rsidRPr="008414B9">
              <w:rPr>
                <w:rFonts w:ascii="Arial (Body)" w:hAnsi="Arial (Body)"/>
                <w:color w:val="000000"/>
                <w:spacing w:val="-4"/>
                <w:sz w:val="18"/>
              </w:rPr>
              <w:t xml:space="preserve">., </w:t>
            </w:r>
            <w:r w:rsidR="0025382D" w:rsidRPr="008414B9">
              <w:rPr>
                <w:rFonts w:ascii="Arial (Body)" w:hAnsi="Arial (Body)"/>
                <w:color w:val="000000"/>
                <w:spacing w:val="-4"/>
                <w:sz w:val="18"/>
              </w:rPr>
              <w:t>26 September</w:t>
            </w:r>
            <w:r w:rsidR="002E34D6" w:rsidRPr="008414B9">
              <w:rPr>
                <w:rFonts w:ascii="Arial (Body)" w:hAnsi="Arial (Body)"/>
                <w:color w:val="000000"/>
                <w:spacing w:val="-4"/>
                <w:sz w:val="18"/>
              </w:rPr>
              <w:t xml:space="preserve"> 20</w:t>
            </w:r>
            <w:r w:rsidR="00743159" w:rsidRPr="008414B9">
              <w:rPr>
                <w:rFonts w:ascii="Arial (Body)" w:hAnsi="Arial (Body)"/>
                <w:color w:val="000000"/>
                <w:spacing w:val="-4"/>
                <w:sz w:val="18"/>
              </w:rPr>
              <w:t>2</w:t>
            </w:r>
            <w:r w:rsidR="002E34D6" w:rsidRPr="008414B9">
              <w:rPr>
                <w:rFonts w:ascii="Arial (Body)" w:hAnsi="Arial (Body)"/>
                <w:color w:val="000000"/>
                <w:spacing w:val="-4"/>
                <w:sz w:val="18"/>
              </w:rPr>
              <w:t>5)</w:t>
            </w:r>
            <w:r w:rsidRPr="008414B9">
              <w:rPr>
                <w:rFonts w:ascii="Arial (Body)" w:hAnsi="Arial (Body)"/>
                <w:color w:val="000000"/>
                <w:spacing w:val="-4"/>
                <w:sz w:val="18"/>
              </w:rPr>
              <w:t>.</w:t>
            </w:r>
          </w:p>
        </w:tc>
      </w:tr>
      <w:tr w:rsidR="00D94B88" w:rsidRPr="0076183A" w14:paraId="5CCA00C4" w14:textId="77777777">
        <w:trPr>
          <w:trHeight w:val="300"/>
        </w:trPr>
        <w:tc>
          <w:tcPr>
            <w:tcW w:w="1598" w:type="dxa"/>
            <w:tcBorders>
              <w:top w:val="nil"/>
              <w:bottom w:val="nil"/>
            </w:tcBorders>
            <w:hideMark/>
          </w:tcPr>
          <w:p w14:paraId="0EE737D9" w14:textId="77777777" w:rsidR="00D94B88" w:rsidRPr="00E80AC3" w:rsidRDefault="00D94B88">
            <w:pPr>
              <w:pStyle w:val="BodyText"/>
              <w:spacing w:before="45" w:after="45"/>
              <w:ind w:left="57" w:right="108"/>
              <w:rPr>
                <w:rFonts w:ascii="Arial (Body)" w:hAnsi="Arial (Body)"/>
                <w:b/>
                <w:color w:val="265A9A"/>
                <w:sz w:val="18"/>
              </w:rPr>
            </w:pPr>
            <w:r w:rsidRPr="00E80AC3">
              <w:rPr>
                <w:rFonts w:ascii="Arial (Body)" w:hAnsi="Arial (Body)"/>
                <w:b/>
                <w:color w:val="265A9A"/>
                <w:sz w:val="18"/>
              </w:rPr>
              <w:lastRenderedPageBreak/>
              <w:t>NDIS workers </w:t>
            </w:r>
          </w:p>
        </w:tc>
        <w:tc>
          <w:tcPr>
            <w:tcW w:w="1037" w:type="dxa"/>
            <w:tcBorders>
              <w:top w:val="nil"/>
              <w:bottom w:val="nil"/>
            </w:tcBorders>
            <w:hideMark/>
          </w:tcPr>
          <w:p w14:paraId="575626DF" w14:textId="77777777" w:rsidR="00D94B88" w:rsidRPr="004338A8" w:rsidRDefault="00D94B88">
            <w:pPr>
              <w:pStyle w:val="BodyText"/>
              <w:spacing w:before="45" w:after="45"/>
              <w:ind w:left="57" w:right="108"/>
              <w:rPr>
                <w:rFonts w:ascii="Arial (Body)" w:hAnsi="Arial (Body)"/>
                <w:color w:val="000000"/>
                <w:sz w:val="18"/>
              </w:rPr>
            </w:pPr>
            <w:r w:rsidRPr="004338A8">
              <w:rPr>
                <w:rFonts w:ascii="Arial (Body)" w:hAnsi="Arial (Body)"/>
                <w:color w:val="000000"/>
                <w:sz w:val="18"/>
              </w:rPr>
              <w:t>1,354,714 </w:t>
            </w:r>
          </w:p>
        </w:tc>
        <w:tc>
          <w:tcPr>
            <w:tcW w:w="4195" w:type="dxa"/>
            <w:tcBorders>
              <w:top w:val="nil"/>
              <w:bottom w:val="nil"/>
            </w:tcBorders>
            <w:hideMark/>
          </w:tcPr>
          <w:p w14:paraId="1F1E1058" w14:textId="77777777" w:rsidR="00D94B88" w:rsidRPr="004338A8" w:rsidRDefault="00D94B88">
            <w:pPr>
              <w:pStyle w:val="BodyText"/>
              <w:spacing w:before="45" w:after="45"/>
              <w:ind w:left="57" w:right="108"/>
              <w:rPr>
                <w:rFonts w:ascii="Arial (Body)" w:hAnsi="Arial (Body)"/>
                <w:color w:val="000000"/>
                <w:sz w:val="18"/>
              </w:rPr>
            </w:pPr>
            <w:r w:rsidRPr="00EE0640">
              <w:rPr>
                <w:rFonts w:ascii="Arial (Body)" w:hAnsi="Arial (Body)"/>
                <w:color w:val="000000"/>
                <w:sz w:val="18"/>
              </w:rPr>
              <w:t xml:space="preserve">Count of individuals who have submitted </w:t>
            </w:r>
            <w:proofErr w:type="gramStart"/>
            <w:r w:rsidRPr="00EE0640">
              <w:rPr>
                <w:rFonts w:ascii="Arial (Body)" w:hAnsi="Arial (Body)"/>
                <w:color w:val="000000"/>
                <w:sz w:val="18"/>
              </w:rPr>
              <w:t>a</w:t>
            </w:r>
            <w:r>
              <w:rPr>
                <w:rFonts w:ascii="Arial (Body)" w:hAnsi="Arial (Body)"/>
                <w:color w:val="000000"/>
                <w:sz w:val="18"/>
              </w:rPr>
              <w:t>n</w:t>
            </w:r>
            <w:proofErr w:type="gramEnd"/>
            <w:r w:rsidRPr="00EE0640">
              <w:rPr>
                <w:rFonts w:ascii="Arial (Body)" w:hAnsi="Arial (Body)"/>
                <w:color w:val="000000"/>
                <w:sz w:val="18"/>
              </w:rPr>
              <w:t xml:space="preserve"> NDIS </w:t>
            </w:r>
            <w:r>
              <w:rPr>
                <w:rFonts w:ascii="Arial (Body)" w:hAnsi="Arial (Body)"/>
                <w:color w:val="000000"/>
                <w:sz w:val="18"/>
              </w:rPr>
              <w:t>w</w:t>
            </w:r>
            <w:r w:rsidRPr="00EE0640">
              <w:rPr>
                <w:rFonts w:ascii="Arial (Body)" w:hAnsi="Arial (Body)"/>
                <w:color w:val="000000"/>
                <w:sz w:val="18"/>
              </w:rPr>
              <w:t xml:space="preserve">orker </w:t>
            </w:r>
            <w:r>
              <w:rPr>
                <w:rFonts w:ascii="Arial (Body)" w:hAnsi="Arial (Body)"/>
                <w:color w:val="000000"/>
                <w:sz w:val="18"/>
              </w:rPr>
              <w:t>s</w:t>
            </w:r>
            <w:r w:rsidRPr="00EE0640">
              <w:rPr>
                <w:rFonts w:ascii="Arial (Body)" w:hAnsi="Arial (Body)"/>
                <w:color w:val="000000"/>
                <w:sz w:val="18"/>
              </w:rPr>
              <w:t xml:space="preserve">creening </w:t>
            </w:r>
            <w:r>
              <w:rPr>
                <w:rFonts w:ascii="Arial (Body)" w:hAnsi="Arial (Body)"/>
                <w:color w:val="000000"/>
                <w:sz w:val="18"/>
              </w:rPr>
              <w:t>c</w:t>
            </w:r>
            <w:r w:rsidRPr="00EE0640">
              <w:rPr>
                <w:rFonts w:ascii="Arial (Body)" w:hAnsi="Arial (Body)"/>
                <w:color w:val="000000"/>
                <w:sz w:val="18"/>
              </w:rPr>
              <w:t>heck application to a state or territory worker screening unit</w:t>
            </w:r>
            <w:r>
              <w:rPr>
                <w:rFonts w:ascii="Arial (Body)" w:hAnsi="Arial (Body)"/>
                <w:color w:val="000000"/>
                <w:sz w:val="18"/>
              </w:rPr>
              <w:t xml:space="preserve"> since February 2021 (when checks were made mandatory), as </w:t>
            </w:r>
            <w:proofErr w:type="gramStart"/>
            <w:r>
              <w:rPr>
                <w:rFonts w:ascii="Arial (Body)" w:hAnsi="Arial (Body)"/>
                <w:color w:val="000000"/>
                <w:sz w:val="18"/>
              </w:rPr>
              <w:t>at</w:t>
            </w:r>
            <w:proofErr w:type="gramEnd"/>
            <w:r>
              <w:rPr>
                <w:rFonts w:ascii="Arial (Body)" w:hAnsi="Arial (Body)"/>
                <w:color w:val="000000"/>
                <w:sz w:val="18"/>
              </w:rPr>
              <w:t xml:space="preserve"> June 2025</w:t>
            </w:r>
            <w:r w:rsidRPr="00256286">
              <w:rPr>
                <w:rFonts w:ascii="Arial (Body)" w:hAnsi="Arial (Body)"/>
                <w:color w:val="000000"/>
                <w:sz w:val="18"/>
              </w:rPr>
              <w:t>.</w:t>
            </w:r>
          </w:p>
        </w:tc>
        <w:tc>
          <w:tcPr>
            <w:tcW w:w="2778" w:type="dxa"/>
            <w:tcBorders>
              <w:top w:val="nil"/>
              <w:bottom w:val="nil"/>
            </w:tcBorders>
          </w:tcPr>
          <w:p w14:paraId="5F65BB29" w14:textId="666B9640" w:rsidR="00D94B88" w:rsidRPr="00EE0640" w:rsidRDefault="00D94B88">
            <w:pPr>
              <w:pStyle w:val="BodyText"/>
              <w:spacing w:before="45" w:after="45"/>
              <w:ind w:left="57" w:right="108"/>
              <w:rPr>
                <w:rFonts w:ascii="Arial (Body)" w:hAnsi="Arial (Body)"/>
                <w:color w:val="000000"/>
                <w:sz w:val="18"/>
              </w:rPr>
            </w:pPr>
            <w:r w:rsidRPr="00256286">
              <w:rPr>
                <w:rFonts w:ascii="Arial (Body)" w:hAnsi="Arial (Body)"/>
                <w:color w:val="000000"/>
                <w:sz w:val="18"/>
              </w:rPr>
              <w:t xml:space="preserve">NDIS Quality and Safeguards Commission </w:t>
            </w:r>
            <w:r w:rsidR="0097599A" w:rsidRPr="0097599A">
              <w:rPr>
                <w:rFonts w:ascii="Arial (Body)" w:hAnsi="Arial (Body)"/>
                <w:sz w:val="18"/>
              </w:rPr>
              <w:t>(2025c)</w:t>
            </w:r>
            <w:r w:rsidRPr="00256286" w:rsidDel="002569D1">
              <w:rPr>
                <w:rFonts w:ascii="Arial (Body)" w:hAnsi="Arial (Body)"/>
                <w:color w:val="000000"/>
                <w:sz w:val="18"/>
              </w:rPr>
              <w:t xml:space="preserve"> </w:t>
            </w:r>
          </w:p>
        </w:tc>
      </w:tr>
      <w:tr w:rsidR="00D94B88" w:rsidRPr="00327139" w14:paraId="36217E5D" w14:textId="77777777" w:rsidTr="00215BA1">
        <w:trPr>
          <w:trHeight w:val="300"/>
        </w:trPr>
        <w:tc>
          <w:tcPr>
            <w:tcW w:w="1598" w:type="dxa"/>
            <w:tcBorders>
              <w:bottom w:val="nil"/>
            </w:tcBorders>
            <w:shd w:val="clear" w:color="auto" w:fill="E6E6E6"/>
          </w:tcPr>
          <w:p w14:paraId="4C8C361F" w14:textId="77777777" w:rsidR="00D94B88" w:rsidRPr="00E80AC3" w:rsidRDefault="00D94B88">
            <w:pPr>
              <w:pStyle w:val="BodyText"/>
              <w:spacing w:before="45" w:after="45"/>
              <w:ind w:left="57" w:right="108"/>
              <w:rPr>
                <w:rFonts w:ascii="Arial (Body)" w:hAnsi="Arial (Body)"/>
                <w:b/>
                <w:color w:val="265A9A"/>
                <w:sz w:val="18"/>
              </w:rPr>
            </w:pPr>
            <w:r w:rsidRPr="00E80AC3">
              <w:rPr>
                <w:rFonts w:ascii="Arial (Body)" w:hAnsi="Arial (Body)"/>
                <w:b/>
                <w:color w:val="265A9A"/>
                <w:sz w:val="18"/>
              </w:rPr>
              <w:t>Proportion of NDIS workers requiring working with children check</w:t>
            </w:r>
          </w:p>
        </w:tc>
        <w:tc>
          <w:tcPr>
            <w:tcW w:w="1037" w:type="dxa"/>
            <w:tcBorders>
              <w:bottom w:val="nil"/>
            </w:tcBorders>
            <w:shd w:val="clear" w:color="auto" w:fill="E6E6E6"/>
          </w:tcPr>
          <w:p w14:paraId="3A0511B6" w14:textId="77777777" w:rsidR="00D94B88" w:rsidRPr="00EE0640" w:rsidRDefault="00D94B88">
            <w:pPr>
              <w:pStyle w:val="BodyText"/>
              <w:spacing w:before="45" w:after="45"/>
              <w:ind w:left="57" w:right="108"/>
              <w:rPr>
                <w:rFonts w:ascii="Arial (Body)" w:hAnsi="Arial (Body)"/>
                <w:color w:val="000000"/>
                <w:sz w:val="18"/>
              </w:rPr>
            </w:pPr>
            <w:r w:rsidRPr="00EE0640">
              <w:rPr>
                <w:rFonts w:ascii="Arial (Body)" w:hAnsi="Arial (Body)"/>
                <w:color w:val="000000"/>
                <w:sz w:val="18"/>
              </w:rPr>
              <w:t>52.9%</w:t>
            </w:r>
          </w:p>
        </w:tc>
        <w:tc>
          <w:tcPr>
            <w:tcW w:w="4195" w:type="dxa"/>
            <w:tcBorders>
              <w:bottom w:val="nil"/>
            </w:tcBorders>
            <w:shd w:val="clear" w:color="auto" w:fill="E6E6E6"/>
          </w:tcPr>
          <w:p w14:paraId="6F8553C6" w14:textId="7371A73E" w:rsidR="00D94B88" w:rsidRPr="00EE0640" w:rsidRDefault="00D94B88">
            <w:pPr>
              <w:pStyle w:val="BodyText"/>
              <w:spacing w:before="45" w:after="45"/>
              <w:ind w:left="57" w:right="108"/>
              <w:rPr>
                <w:rFonts w:ascii="Arial (Body)" w:hAnsi="Arial (Body)"/>
                <w:color w:val="000000"/>
                <w:sz w:val="18"/>
              </w:rPr>
            </w:pPr>
            <w:r>
              <w:rPr>
                <w:rFonts w:ascii="Arial (Body)" w:hAnsi="Arial (Body)"/>
                <w:color w:val="000000"/>
                <w:sz w:val="18"/>
              </w:rPr>
              <w:t>PC assumption based on t</w:t>
            </w:r>
            <w:r w:rsidRPr="00EE0640">
              <w:rPr>
                <w:rFonts w:ascii="Arial (Body)" w:hAnsi="Arial (Body)"/>
                <w:color w:val="000000"/>
                <w:sz w:val="18"/>
              </w:rPr>
              <w:t>he p</w:t>
            </w:r>
            <w:r>
              <w:rPr>
                <w:rFonts w:ascii="Arial (Body)" w:hAnsi="Arial (Body)"/>
                <w:color w:val="000000"/>
                <w:sz w:val="18"/>
              </w:rPr>
              <w:t>r</w:t>
            </w:r>
            <w:r w:rsidRPr="00EE0640">
              <w:rPr>
                <w:rFonts w:ascii="Arial (Body)" w:hAnsi="Arial (Body)"/>
                <w:color w:val="000000"/>
                <w:sz w:val="18"/>
              </w:rPr>
              <w:t>o</w:t>
            </w:r>
            <w:r>
              <w:rPr>
                <w:rFonts w:ascii="Arial (Body)" w:hAnsi="Arial (Body)"/>
                <w:color w:val="000000"/>
                <w:sz w:val="18"/>
              </w:rPr>
              <w:t>po</w:t>
            </w:r>
            <w:r w:rsidRPr="00EE0640">
              <w:rPr>
                <w:rFonts w:ascii="Arial (Body)" w:hAnsi="Arial (Body)"/>
                <w:color w:val="000000"/>
                <w:sz w:val="18"/>
              </w:rPr>
              <w:t xml:space="preserve">rtion of active </w:t>
            </w:r>
            <w:r>
              <w:rPr>
                <w:rFonts w:ascii="Arial (Body)" w:hAnsi="Arial (Body)"/>
                <w:color w:val="000000"/>
                <w:sz w:val="18"/>
              </w:rPr>
              <w:t xml:space="preserve">NDIS </w:t>
            </w:r>
            <w:r w:rsidRPr="00EE0640">
              <w:rPr>
                <w:rFonts w:ascii="Arial (Body)" w:hAnsi="Arial (Body)"/>
                <w:color w:val="000000"/>
                <w:sz w:val="18"/>
              </w:rPr>
              <w:t>participants who were under 18 years of age at the end of Q4</w:t>
            </w:r>
            <w:r>
              <w:rPr>
                <w:rFonts w:ascii="Arial (Body)" w:hAnsi="Arial (Body)" w:hint="eastAsia"/>
                <w:color w:val="000000"/>
                <w:sz w:val="18"/>
              </w:rPr>
              <w:t> </w:t>
            </w:r>
            <w:r w:rsidRPr="00EE0640">
              <w:rPr>
                <w:rFonts w:ascii="Arial (Body)" w:hAnsi="Arial (Body)"/>
                <w:color w:val="000000"/>
                <w:sz w:val="18"/>
              </w:rPr>
              <w:t>2024</w:t>
            </w:r>
            <w:r>
              <w:rPr>
                <w:rFonts w:ascii="Arial (Body)" w:hAnsi="Arial (Body)"/>
                <w:color w:val="000000"/>
                <w:sz w:val="18"/>
              </w:rPr>
              <w:t>–</w:t>
            </w:r>
            <w:r w:rsidRPr="00EE0640">
              <w:rPr>
                <w:rFonts w:ascii="Arial (Body)" w:hAnsi="Arial (Body)"/>
                <w:color w:val="000000"/>
                <w:sz w:val="18"/>
              </w:rPr>
              <w:t>25</w:t>
            </w:r>
            <w:r>
              <w:rPr>
                <w:rFonts w:ascii="Arial (Body)" w:hAnsi="Arial (Body)"/>
                <w:color w:val="000000"/>
                <w:sz w:val="18"/>
              </w:rPr>
              <w:t xml:space="preserve"> </w:t>
            </w:r>
            <w:r w:rsidR="0097599A" w:rsidRPr="0097599A">
              <w:rPr>
                <w:rFonts w:ascii="Arial (Body)" w:hAnsi="Arial (Body)" w:cs="Times New Roman"/>
                <w:sz w:val="18"/>
              </w:rPr>
              <w:t>(NDIA 2025a)</w:t>
            </w:r>
            <w:r w:rsidRPr="00EE0640">
              <w:rPr>
                <w:rFonts w:ascii="Arial (Body)" w:hAnsi="Arial (Body)"/>
                <w:color w:val="000000"/>
                <w:sz w:val="18"/>
              </w:rPr>
              <w:t xml:space="preserve">. </w:t>
            </w:r>
            <w:r>
              <w:rPr>
                <w:rFonts w:ascii="Arial (Body)" w:hAnsi="Arial (Body)"/>
                <w:color w:val="000000"/>
                <w:sz w:val="18"/>
              </w:rPr>
              <w:t>We a</w:t>
            </w:r>
            <w:r w:rsidRPr="00EE0640">
              <w:rPr>
                <w:rFonts w:ascii="Arial (Body)" w:hAnsi="Arial (Body)"/>
                <w:color w:val="000000"/>
                <w:sz w:val="18"/>
              </w:rPr>
              <w:t>ssume</w:t>
            </w:r>
            <w:r>
              <w:rPr>
                <w:rFonts w:ascii="Arial (Body)" w:hAnsi="Arial (Body)"/>
                <w:color w:val="000000"/>
                <w:sz w:val="18"/>
              </w:rPr>
              <w:t xml:space="preserve"> that</w:t>
            </w:r>
            <w:r w:rsidRPr="00EE0640">
              <w:rPr>
                <w:rFonts w:ascii="Arial (Body)" w:hAnsi="Arial (Body)"/>
                <w:color w:val="000000"/>
                <w:sz w:val="18"/>
              </w:rPr>
              <w:t xml:space="preserve"> </w:t>
            </w:r>
            <w:r>
              <w:rPr>
                <w:rFonts w:ascii="Arial (Body)" w:hAnsi="Arial (Body)"/>
                <w:color w:val="000000"/>
                <w:sz w:val="18"/>
              </w:rPr>
              <w:t>the proportion</w:t>
            </w:r>
            <w:r w:rsidRPr="00EE0640">
              <w:rPr>
                <w:rFonts w:ascii="Arial (Body)" w:hAnsi="Arial (Body)"/>
                <w:color w:val="000000"/>
                <w:sz w:val="18"/>
              </w:rPr>
              <w:t xml:space="preserve"> of </w:t>
            </w:r>
            <w:r>
              <w:rPr>
                <w:rFonts w:ascii="Arial (Body)" w:hAnsi="Arial (Body)"/>
                <w:color w:val="000000"/>
                <w:sz w:val="18"/>
              </w:rPr>
              <w:t xml:space="preserve">NDIS </w:t>
            </w:r>
            <w:r w:rsidRPr="00EE0640">
              <w:rPr>
                <w:rFonts w:ascii="Arial (Body)" w:hAnsi="Arial (Body)"/>
                <w:color w:val="000000"/>
                <w:sz w:val="18"/>
              </w:rPr>
              <w:t>workers</w:t>
            </w:r>
            <w:r>
              <w:rPr>
                <w:rFonts w:ascii="Arial (Body)" w:hAnsi="Arial (Body)"/>
                <w:color w:val="000000"/>
                <w:sz w:val="18"/>
              </w:rPr>
              <w:t xml:space="preserve"> that</w:t>
            </w:r>
            <w:r w:rsidRPr="00EE0640">
              <w:rPr>
                <w:rFonts w:ascii="Arial (Body)" w:hAnsi="Arial (Body)"/>
                <w:color w:val="000000"/>
                <w:sz w:val="18"/>
              </w:rPr>
              <w:t xml:space="preserve"> </w:t>
            </w:r>
            <w:r>
              <w:rPr>
                <w:rFonts w:ascii="Arial (Body)" w:hAnsi="Arial (Body)"/>
                <w:color w:val="000000"/>
                <w:sz w:val="18"/>
              </w:rPr>
              <w:t>work with</w:t>
            </w:r>
            <w:r w:rsidRPr="00EE0640">
              <w:rPr>
                <w:rFonts w:ascii="Arial (Body)" w:hAnsi="Arial (Body)"/>
                <w:color w:val="000000"/>
                <w:sz w:val="18"/>
              </w:rPr>
              <w:t xml:space="preserve"> children</w:t>
            </w:r>
            <w:r>
              <w:rPr>
                <w:rFonts w:ascii="Arial (Body)" w:hAnsi="Arial (Body)"/>
                <w:color w:val="000000"/>
                <w:sz w:val="18"/>
              </w:rPr>
              <w:t xml:space="preserve"> is commensurate with the proportion of NDIS participants under 18</w:t>
            </w:r>
            <w:r w:rsidRPr="00EE0640">
              <w:rPr>
                <w:rFonts w:ascii="Arial (Body)" w:hAnsi="Arial (Body)"/>
                <w:color w:val="000000"/>
                <w:sz w:val="18"/>
              </w:rPr>
              <w:t>.</w:t>
            </w:r>
          </w:p>
        </w:tc>
        <w:tc>
          <w:tcPr>
            <w:tcW w:w="2778" w:type="dxa"/>
            <w:tcBorders>
              <w:bottom w:val="nil"/>
            </w:tcBorders>
            <w:shd w:val="clear" w:color="auto" w:fill="E6E6E6"/>
          </w:tcPr>
          <w:p w14:paraId="68EBB8E8" w14:textId="77777777" w:rsidR="00D94B88" w:rsidRPr="00EE0640" w:rsidDel="00CB6A6F" w:rsidRDefault="00D94B88">
            <w:pPr>
              <w:pStyle w:val="BodyText"/>
              <w:spacing w:before="45" w:after="45"/>
              <w:ind w:left="57" w:right="108"/>
              <w:rPr>
                <w:rFonts w:ascii="Arial (Body)" w:hAnsi="Arial (Body)"/>
                <w:color w:val="000000"/>
                <w:sz w:val="18"/>
              </w:rPr>
            </w:pPr>
            <w:r>
              <w:rPr>
                <w:rFonts w:ascii="Arial (Body)" w:hAnsi="Arial (Body)"/>
                <w:color w:val="000000"/>
                <w:sz w:val="18"/>
              </w:rPr>
              <w:t>PC assumption</w:t>
            </w:r>
          </w:p>
        </w:tc>
      </w:tr>
      <w:tr w:rsidR="00D94B88" w:rsidRPr="0076183A" w14:paraId="5117D369" w14:textId="77777777">
        <w:trPr>
          <w:trHeight w:val="300"/>
        </w:trPr>
        <w:tc>
          <w:tcPr>
            <w:tcW w:w="1598" w:type="dxa"/>
            <w:tcBorders>
              <w:top w:val="nil"/>
              <w:bottom w:val="nil"/>
            </w:tcBorders>
            <w:hideMark/>
          </w:tcPr>
          <w:p w14:paraId="3DF986B5" w14:textId="77777777" w:rsidR="00D94B88" w:rsidRPr="00E80AC3" w:rsidRDefault="00D94B88">
            <w:pPr>
              <w:pStyle w:val="BodyText"/>
              <w:spacing w:before="45" w:after="45"/>
              <w:ind w:left="57" w:right="108"/>
              <w:rPr>
                <w:rFonts w:ascii="Arial (Body)" w:hAnsi="Arial (Body)"/>
                <w:b/>
                <w:color w:val="265A9A"/>
                <w:sz w:val="18"/>
              </w:rPr>
            </w:pPr>
            <w:r w:rsidRPr="00E80AC3">
              <w:rPr>
                <w:rFonts w:ascii="Arial (Body)" w:hAnsi="Arial (Body)"/>
                <w:b/>
                <w:color w:val="265A9A"/>
                <w:sz w:val="18"/>
              </w:rPr>
              <w:t>Screening frequency </w:t>
            </w:r>
          </w:p>
        </w:tc>
        <w:tc>
          <w:tcPr>
            <w:tcW w:w="1037" w:type="dxa"/>
            <w:tcBorders>
              <w:top w:val="nil"/>
              <w:bottom w:val="nil"/>
            </w:tcBorders>
            <w:hideMark/>
          </w:tcPr>
          <w:p w14:paraId="28B1AE30" w14:textId="77777777" w:rsidR="00D94B88" w:rsidRPr="004338A8" w:rsidRDefault="00D94B88">
            <w:pPr>
              <w:pStyle w:val="BodyText"/>
              <w:spacing w:before="45" w:after="45"/>
              <w:ind w:left="57" w:right="108"/>
              <w:rPr>
                <w:rFonts w:ascii="Arial (Body)" w:hAnsi="Arial (Body)"/>
                <w:color w:val="000000"/>
                <w:sz w:val="18"/>
              </w:rPr>
            </w:pPr>
            <w:r w:rsidRPr="004338A8">
              <w:rPr>
                <w:rFonts w:ascii="Arial (Body)" w:hAnsi="Arial (Body)"/>
                <w:color w:val="000000"/>
                <w:sz w:val="18"/>
              </w:rPr>
              <w:t xml:space="preserve">Every </w:t>
            </w:r>
            <w:r>
              <w:rPr>
                <w:rFonts w:ascii="Arial (Body)" w:hAnsi="Arial (Body)"/>
                <w:color w:val="000000"/>
                <w:sz w:val="18"/>
              </w:rPr>
              <w:t>five</w:t>
            </w:r>
            <w:r w:rsidRPr="004338A8">
              <w:rPr>
                <w:rFonts w:ascii="Arial (Body)" w:hAnsi="Arial (Body)"/>
                <w:color w:val="000000"/>
                <w:sz w:val="18"/>
              </w:rPr>
              <w:t xml:space="preserve"> years </w:t>
            </w:r>
          </w:p>
        </w:tc>
        <w:tc>
          <w:tcPr>
            <w:tcW w:w="4195" w:type="dxa"/>
            <w:tcBorders>
              <w:top w:val="nil"/>
              <w:bottom w:val="nil"/>
            </w:tcBorders>
            <w:hideMark/>
          </w:tcPr>
          <w:p w14:paraId="43743883" w14:textId="1F445251" w:rsidR="00D94B88" w:rsidRPr="004338A8" w:rsidRDefault="00D94B88">
            <w:pPr>
              <w:pStyle w:val="BodyText"/>
              <w:spacing w:before="45" w:after="45"/>
              <w:ind w:left="57" w:right="108"/>
              <w:rPr>
                <w:rFonts w:ascii="Arial (Body)" w:hAnsi="Arial (Body)"/>
                <w:color w:val="000000"/>
                <w:sz w:val="18"/>
              </w:rPr>
            </w:pPr>
            <w:r>
              <w:rPr>
                <w:rFonts w:ascii="Arial (Body)" w:hAnsi="Arial (Body)"/>
                <w:color w:val="000000"/>
                <w:sz w:val="18"/>
              </w:rPr>
              <w:t xml:space="preserve">PC assumption based on length of validity of worker screening checks. </w:t>
            </w:r>
            <w:r w:rsidRPr="008D3634">
              <w:rPr>
                <w:rFonts w:ascii="Arial (Body)" w:hAnsi="Arial (Body)"/>
                <w:color w:val="000000"/>
                <w:sz w:val="18"/>
              </w:rPr>
              <w:t xml:space="preserve">NDIS and aged care worker screening checks are valid for up to </w:t>
            </w:r>
            <w:r>
              <w:rPr>
                <w:rFonts w:ascii="Arial (Body)" w:hAnsi="Arial (Body)"/>
                <w:color w:val="000000"/>
                <w:sz w:val="18"/>
              </w:rPr>
              <w:t>five</w:t>
            </w:r>
            <w:r w:rsidRPr="008D3634">
              <w:rPr>
                <w:rFonts w:ascii="Arial (Body)" w:hAnsi="Arial (Body)"/>
                <w:color w:val="000000"/>
                <w:sz w:val="18"/>
              </w:rPr>
              <w:t xml:space="preserve"> years</w:t>
            </w:r>
            <w:r>
              <w:rPr>
                <w:rFonts w:ascii="Arial (Body)" w:hAnsi="Arial (Body)"/>
                <w:color w:val="000000"/>
                <w:sz w:val="18"/>
              </w:rPr>
              <w:t xml:space="preserve"> </w:t>
            </w:r>
            <w:r w:rsidR="0097599A" w:rsidRPr="0097599A">
              <w:rPr>
                <w:rFonts w:ascii="Arial (Body)" w:hAnsi="Arial (Body)" w:cs="Times New Roman"/>
                <w:sz w:val="18"/>
              </w:rPr>
              <w:t>(NDIS Quality and Safeguards Commission 2025d)</w:t>
            </w:r>
            <w:r>
              <w:rPr>
                <w:rFonts w:ascii="Arial (Body)" w:hAnsi="Arial (Body)"/>
                <w:color w:val="000000"/>
                <w:sz w:val="18"/>
              </w:rPr>
              <w:t>, while</w:t>
            </w:r>
            <w:r w:rsidRPr="008D3634">
              <w:rPr>
                <w:rFonts w:ascii="Arial (Body)" w:hAnsi="Arial (Body)"/>
                <w:color w:val="000000"/>
                <w:sz w:val="18"/>
              </w:rPr>
              <w:t xml:space="preserve"> WWCCs are valid for </w:t>
            </w:r>
            <w:r>
              <w:rPr>
                <w:rFonts w:ascii="Arial (Body)" w:hAnsi="Arial (Body)"/>
                <w:color w:val="000000"/>
                <w:sz w:val="18"/>
              </w:rPr>
              <w:t>two</w:t>
            </w:r>
            <w:r w:rsidRPr="008D3634">
              <w:rPr>
                <w:rFonts w:ascii="Arial (Body)" w:hAnsi="Arial (Body)"/>
                <w:color w:val="000000"/>
                <w:sz w:val="18"/>
              </w:rPr>
              <w:t xml:space="preserve">, </w:t>
            </w:r>
            <w:r>
              <w:rPr>
                <w:rFonts w:ascii="Arial (Body)" w:hAnsi="Arial (Body)"/>
                <w:color w:val="000000"/>
                <w:sz w:val="18"/>
              </w:rPr>
              <w:t>three</w:t>
            </w:r>
            <w:r w:rsidRPr="008D3634">
              <w:rPr>
                <w:rFonts w:ascii="Arial (Body)" w:hAnsi="Arial (Body)"/>
                <w:color w:val="000000"/>
                <w:sz w:val="18"/>
              </w:rPr>
              <w:t xml:space="preserve">, or </w:t>
            </w:r>
            <w:r>
              <w:rPr>
                <w:rFonts w:ascii="Arial (Body)" w:hAnsi="Arial (Body)"/>
                <w:color w:val="000000"/>
                <w:sz w:val="18"/>
              </w:rPr>
              <w:t>five</w:t>
            </w:r>
            <w:r w:rsidRPr="008D3634">
              <w:rPr>
                <w:rFonts w:ascii="Arial (Body)" w:hAnsi="Arial (Body)"/>
                <w:color w:val="000000"/>
                <w:sz w:val="18"/>
              </w:rPr>
              <w:t xml:space="preserve"> years depending on jurisdiction</w:t>
            </w:r>
            <w:r>
              <w:rPr>
                <w:rFonts w:ascii="Arial (Body)" w:hAnsi="Arial (Body)"/>
                <w:color w:val="000000"/>
                <w:sz w:val="18"/>
              </w:rPr>
              <w:t xml:space="preserve"> </w:t>
            </w:r>
            <w:r w:rsidR="00CD75B1" w:rsidRPr="00CD75B1">
              <w:rPr>
                <w:rFonts w:ascii="Arial (Body)" w:hAnsi="Arial (Body)" w:cs="Times New Roman"/>
                <w:sz w:val="18"/>
              </w:rPr>
              <w:t>(NT Police, Fire &amp; Emergency Services 2025; Service NSW 2025; WA DoE 2025</w:t>
            </w:r>
            <w:r>
              <w:rPr>
                <w:rFonts w:ascii="Arial (Body)" w:hAnsi="Arial (Body)"/>
                <w:color w:val="000000"/>
                <w:sz w:val="18"/>
              </w:rPr>
              <w:t>). The</w:t>
            </w:r>
            <w:r w:rsidRPr="008D3634">
              <w:rPr>
                <w:rFonts w:ascii="Arial (Body)" w:hAnsi="Arial (Body)"/>
                <w:color w:val="000000"/>
                <w:sz w:val="18"/>
              </w:rPr>
              <w:t xml:space="preserve"> assumption is therefore conservative</w:t>
            </w:r>
            <w:r>
              <w:rPr>
                <w:rFonts w:ascii="Arial (Body)" w:hAnsi="Arial (Body)"/>
                <w:color w:val="000000"/>
                <w:sz w:val="18"/>
              </w:rPr>
              <w:t>.</w:t>
            </w:r>
          </w:p>
        </w:tc>
        <w:tc>
          <w:tcPr>
            <w:tcW w:w="2778" w:type="dxa"/>
            <w:tcBorders>
              <w:top w:val="nil"/>
              <w:bottom w:val="nil"/>
            </w:tcBorders>
          </w:tcPr>
          <w:p w14:paraId="5CA8C198" w14:textId="77777777" w:rsidR="00D94B88" w:rsidRPr="00EE0640" w:rsidRDefault="00D94B88">
            <w:pPr>
              <w:pStyle w:val="BodyText"/>
              <w:spacing w:before="45" w:after="45"/>
              <w:ind w:left="57" w:right="108"/>
              <w:rPr>
                <w:rFonts w:ascii="Arial (Body)" w:hAnsi="Arial (Body)"/>
                <w:color w:val="000000"/>
                <w:sz w:val="18"/>
              </w:rPr>
            </w:pPr>
            <w:r>
              <w:rPr>
                <w:rFonts w:ascii="Arial (Body)" w:hAnsi="Arial (Body)"/>
                <w:color w:val="000000"/>
                <w:sz w:val="18"/>
              </w:rPr>
              <w:t xml:space="preserve">PC assumption </w:t>
            </w:r>
          </w:p>
        </w:tc>
      </w:tr>
      <w:tr w:rsidR="00D94B88" w:rsidRPr="0076183A" w14:paraId="76F46939" w14:textId="77777777" w:rsidTr="00215BA1">
        <w:trPr>
          <w:trHeight w:val="300"/>
        </w:trPr>
        <w:tc>
          <w:tcPr>
            <w:tcW w:w="1598" w:type="dxa"/>
            <w:tcBorders>
              <w:bottom w:val="nil"/>
            </w:tcBorders>
            <w:shd w:val="clear" w:color="auto" w:fill="E6E6E6"/>
            <w:hideMark/>
          </w:tcPr>
          <w:p w14:paraId="1A165244" w14:textId="77777777" w:rsidR="00D94B88" w:rsidRPr="00E80AC3" w:rsidRDefault="00D94B88">
            <w:pPr>
              <w:pStyle w:val="BodyText"/>
              <w:spacing w:before="45" w:after="45"/>
              <w:ind w:left="57" w:right="108"/>
              <w:rPr>
                <w:rFonts w:ascii="Arial (Body)" w:hAnsi="Arial (Body)"/>
                <w:b/>
                <w:color w:val="265A9A"/>
                <w:sz w:val="18"/>
              </w:rPr>
            </w:pPr>
            <w:r w:rsidRPr="00E80AC3">
              <w:rPr>
                <w:rFonts w:ascii="Arial (Body)" w:hAnsi="Arial (Body)"/>
                <w:b/>
                <w:color w:val="265A9A"/>
                <w:sz w:val="18"/>
              </w:rPr>
              <w:t>Worker screening fee </w:t>
            </w:r>
          </w:p>
        </w:tc>
        <w:tc>
          <w:tcPr>
            <w:tcW w:w="1037" w:type="dxa"/>
            <w:tcBorders>
              <w:bottom w:val="nil"/>
            </w:tcBorders>
            <w:shd w:val="clear" w:color="auto" w:fill="E6E6E6"/>
            <w:hideMark/>
          </w:tcPr>
          <w:p w14:paraId="655EBC7D" w14:textId="77777777" w:rsidR="00D94B88" w:rsidRPr="004338A8" w:rsidRDefault="00D94B88">
            <w:pPr>
              <w:pStyle w:val="BodyText"/>
              <w:spacing w:before="45" w:after="45"/>
              <w:ind w:left="57" w:right="108"/>
              <w:rPr>
                <w:rFonts w:ascii="Arial (Body)" w:hAnsi="Arial (Body)"/>
                <w:color w:val="000000"/>
                <w:sz w:val="18"/>
              </w:rPr>
            </w:pPr>
            <w:r w:rsidRPr="004338A8">
              <w:rPr>
                <w:rFonts w:ascii="Arial (Body)" w:hAnsi="Arial (Body)"/>
                <w:color w:val="000000"/>
                <w:sz w:val="18"/>
              </w:rPr>
              <w:t>$133 </w:t>
            </w:r>
          </w:p>
        </w:tc>
        <w:tc>
          <w:tcPr>
            <w:tcW w:w="4195" w:type="dxa"/>
            <w:tcBorders>
              <w:bottom w:val="nil"/>
            </w:tcBorders>
            <w:shd w:val="clear" w:color="auto" w:fill="E6E6E6"/>
            <w:hideMark/>
          </w:tcPr>
          <w:p w14:paraId="7E71F3AE" w14:textId="77777777" w:rsidR="00D94B88" w:rsidRPr="004338A8" w:rsidRDefault="00D94B88">
            <w:pPr>
              <w:pStyle w:val="BodyText"/>
              <w:spacing w:before="45" w:after="45"/>
              <w:ind w:left="57" w:right="108"/>
              <w:rPr>
                <w:rFonts w:ascii="Arial (Body)" w:hAnsi="Arial (Body)"/>
                <w:color w:val="000000"/>
                <w:sz w:val="18"/>
              </w:rPr>
            </w:pPr>
            <w:r>
              <w:rPr>
                <w:rFonts w:ascii="Arial (Body)" w:hAnsi="Arial (Body)"/>
                <w:color w:val="000000"/>
                <w:sz w:val="18"/>
              </w:rPr>
              <w:t>Estimated a</w:t>
            </w:r>
            <w:r w:rsidRPr="00EE0640">
              <w:rPr>
                <w:rFonts w:ascii="Arial (Body)" w:hAnsi="Arial (Body)"/>
                <w:color w:val="000000"/>
                <w:sz w:val="18"/>
              </w:rPr>
              <w:t xml:space="preserve">verage fee derived from state and territory WWCC and NDIS worker screening fees, weighted by state populations.  </w:t>
            </w:r>
          </w:p>
        </w:tc>
        <w:tc>
          <w:tcPr>
            <w:tcW w:w="2778" w:type="dxa"/>
            <w:tcBorders>
              <w:bottom w:val="nil"/>
            </w:tcBorders>
            <w:shd w:val="clear" w:color="auto" w:fill="E6E6E6"/>
          </w:tcPr>
          <w:p w14:paraId="749E461B" w14:textId="20CF51F4" w:rsidR="00D94B88" w:rsidRPr="00EE0640" w:rsidRDefault="00D94B88">
            <w:pPr>
              <w:pStyle w:val="BodyText"/>
              <w:spacing w:before="45" w:after="45"/>
              <w:ind w:left="57" w:right="108"/>
              <w:rPr>
                <w:rFonts w:ascii="Arial (Body)" w:hAnsi="Arial (Body)"/>
                <w:color w:val="000000"/>
                <w:sz w:val="18"/>
              </w:rPr>
            </w:pPr>
            <w:r w:rsidRPr="00256286">
              <w:rPr>
                <w:rFonts w:ascii="Arial (Body)" w:hAnsi="Arial (Body)"/>
                <w:color w:val="000000"/>
                <w:sz w:val="18"/>
              </w:rPr>
              <w:t>PC estimate </w:t>
            </w:r>
            <w:r>
              <w:rPr>
                <w:rFonts w:ascii="Arial (Body)" w:hAnsi="Arial (Body)"/>
                <w:color w:val="000000"/>
                <w:sz w:val="18"/>
              </w:rPr>
              <w:t xml:space="preserve">derived from government websites and ABS population data </w:t>
            </w:r>
            <w:r w:rsidR="0097599A" w:rsidRPr="0097599A">
              <w:rPr>
                <w:rFonts w:ascii="Arial (Body)" w:hAnsi="Arial (Body)" w:cs="Times New Roman"/>
                <w:sz w:val="18"/>
              </w:rPr>
              <w:t>(ABS 2025c)</w:t>
            </w:r>
          </w:p>
        </w:tc>
      </w:tr>
      <w:tr w:rsidR="00D94B88" w:rsidRPr="0076183A" w14:paraId="68C7BA4F" w14:textId="77777777">
        <w:trPr>
          <w:trHeight w:val="300"/>
        </w:trPr>
        <w:tc>
          <w:tcPr>
            <w:tcW w:w="1598" w:type="dxa"/>
            <w:tcBorders>
              <w:top w:val="nil"/>
              <w:bottom w:val="nil"/>
            </w:tcBorders>
            <w:hideMark/>
          </w:tcPr>
          <w:p w14:paraId="1975B3CF" w14:textId="77777777" w:rsidR="00D94B88" w:rsidRPr="00E80AC3" w:rsidRDefault="00D94B88">
            <w:pPr>
              <w:pStyle w:val="BodyText"/>
              <w:spacing w:before="45" w:after="45"/>
              <w:ind w:left="57" w:right="108"/>
              <w:rPr>
                <w:rFonts w:ascii="Arial (Body)" w:hAnsi="Arial (Body)"/>
                <w:b/>
                <w:color w:val="265A9A"/>
                <w:sz w:val="18"/>
              </w:rPr>
            </w:pPr>
            <w:r w:rsidRPr="00E80AC3">
              <w:rPr>
                <w:rFonts w:ascii="Arial (Body)" w:hAnsi="Arial (Body)"/>
                <w:b/>
                <w:color w:val="265A9A"/>
                <w:sz w:val="18"/>
              </w:rPr>
              <w:t>Worker time per screening </w:t>
            </w:r>
          </w:p>
        </w:tc>
        <w:tc>
          <w:tcPr>
            <w:tcW w:w="1037" w:type="dxa"/>
            <w:tcBorders>
              <w:top w:val="nil"/>
              <w:bottom w:val="nil"/>
            </w:tcBorders>
            <w:hideMark/>
          </w:tcPr>
          <w:p w14:paraId="537FC8AA" w14:textId="77777777" w:rsidR="00D94B88" w:rsidRPr="004338A8" w:rsidRDefault="00D94B88">
            <w:pPr>
              <w:pStyle w:val="BodyText"/>
              <w:spacing w:before="45" w:after="45"/>
              <w:ind w:left="57" w:right="108"/>
              <w:rPr>
                <w:rFonts w:ascii="Arial (Body)" w:hAnsi="Arial (Body)"/>
                <w:color w:val="000000"/>
                <w:sz w:val="18"/>
              </w:rPr>
            </w:pPr>
            <w:r w:rsidRPr="004338A8">
              <w:rPr>
                <w:rFonts w:ascii="Arial (Body)" w:hAnsi="Arial (Body)"/>
                <w:color w:val="000000"/>
                <w:sz w:val="18"/>
              </w:rPr>
              <w:t>1.5 hours </w:t>
            </w:r>
          </w:p>
        </w:tc>
        <w:tc>
          <w:tcPr>
            <w:tcW w:w="4195" w:type="dxa"/>
            <w:tcBorders>
              <w:top w:val="nil"/>
              <w:bottom w:val="nil"/>
            </w:tcBorders>
            <w:vAlign w:val="center"/>
            <w:hideMark/>
          </w:tcPr>
          <w:p w14:paraId="68421200" w14:textId="7D683FA0" w:rsidR="00D94B88" w:rsidRPr="004338A8" w:rsidRDefault="00D94B88">
            <w:pPr>
              <w:pStyle w:val="BodyText"/>
              <w:spacing w:before="45" w:after="45"/>
              <w:ind w:left="57" w:right="108"/>
              <w:rPr>
                <w:rFonts w:ascii="Arial (Body)" w:hAnsi="Arial (Body)"/>
                <w:color w:val="000000"/>
                <w:sz w:val="18"/>
              </w:rPr>
            </w:pPr>
            <w:r>
              <w:rPr>
                <w:rFonts w:ascii="Arial (Body)" w:hAnsi="Arial (Body)"/>
                <w:color w:val="000000"/>
                <w:sz w:val="18"/>
              </w:rPr>
              <w:t>PC assumption informed by</w:t>
            </w:r>
            <w:r w:rsidRPr="006C10E8">
              <w:rPr>
                <w:rFonts w:ascii="Arial (Body)" w:hAnsi="Arial (Body)"/>
                <w:color w:val="000000"/>
                <w:sz w:val="18"/>
              </w:rPr>
              <w:t xml:space="preserve"> the Department of Finance’s</w:t>
            </w:r>
            <w:r>
              <w:rPr>
                <w:rFonts w:ascii="Arial (Body)" w:hAnsi="Arial (Body)"/>
                <w:color w:val="000000"/>
                <w:sz w:val="18"/>
              </w:rPr>
              <w:t xml:space="preserve"> modelling </w:t>
            </w:r>
            <w:r w:rsidR="00D02345">
              <w:rPr>
                <w:rFonts w:ascii="Arial (Body)" w:hAnsi="Arial (Body)"/>
                <w:color w:val="000000"/>
                <w:sz w:val="18"/>
              </w:rPr>
              <w:t>(</w:t>
            </w:r>
            <w:r w:rsidRPr="008524DC">
              <w:rPr>
                <w:rFonts w:ascii="Arial (Body)" w:hAnsi="Arial (Body)"/>
                <w:color w:val="000000"/>
                <w:sz w:val="18"/>
              </w:rPr>
              <w:t>pers. comm</w:t>
            </w:r>
            <w:r w:rsidR="00D02345">
              <w:rPr>
                <w:rFonts w:ascii="Arial (Body)" w:hAnsi="Arial (Body)"/>
                <w:color w:val="000000"/>
                <w:sz w:val="18"/>
              </w:rPr>
              <w:t xml:space="preserve">., </w:t>
            </w:r>
            <w:r w:rsidR="0014782B">
              <w:rPr>
                <w:rFonts w:ascii="Arial (Body)" w:hAnsi="Arial (Body)"/>
                <w:color w:val="000000"/>
                <w:sz w:val="18"/>
              </w:rPr>
              <w:t>21 Octo</w:t>
            </w:r>
            <w:r w:rsidR="00D02345">
              <w:rPr>
                <w:rFonts w:ascii="Arial (Body)" w:hAnsi="Arial (Body)"/>
                <w:color w:val="000000"/>
                <w:sz w:val="18"/>
              </w:rPr>
              <w:t>ber 2025)</w:t>
            </w:r>
            <w:r w:rsidRPr="008524DC">
              <w:rPr>
                <w:rFonts w:ascii="Arial (Body)" w:hAnsi="Arial (Body)"/>
                <w:color w:val="000000"/>
                <w:sz w:val="18"/>
              </w:rPr>
              <w:t>.</w:t>
            </w:r>
          </w:p>
        </w:tc>
        <w:tc>
          <w:tcPr>
            <w:tcW w:w="2778" w:type="dxa"/>
            <w:tcBorders>
              <w:top w:val="nil"/>
              <w:bottom w:val="nil"/>
            </w:tcBorders>
          </w:tcPr>
          <w:p w14:paraId="49B96796" w14:textId="77777777" w:rsidR="00D94B88" w:rsidRPr="00EE0640" w:rsidRDefault="00D94B88">
            <w:pPr>
              <w:pStyle w:val="BodyText"/>
              <w:spacing w:before="45" w:after="45"/>
              <w:ind w:left="57" w:right="108"/>
              <w:rPr>
                <w:rFonts w:ascii="Arial (Body)" w:hAnsi="Arial (Body)"/>
                <w:color w:val="000000"/>
                <w:sz w:val="18"/>
              </w:rPr>
            </w:pPr>
            <w:r>
              <w:rPr>
                <w:rFonts w:ascii="Arial (Body)" w:hAnsi="Arial (Body)"/>
                <w:color w:val="000000"/>
                <w:sz w:val="18"/>
              </w:rPr>
              <w:t>PC assumption</w:t>
            </w:r>
            <w:r w:rsidRPr="00256286">
              <w:rPr>
                <w:rFonts w:ascii="Arial (Body)" w:hAnsi="Arial (Body)"/>
                <w:color w:val="000000"/>
                <w:sz w:val="18"/>
              </w:rPr>
              <w:t xml:space="preserve"> </w:t>
            </w:r>
          </w:p>
        </w:tc>
      </w:tr>
      <w:tr w:rsidR="00D94B88" w:rsidRPr="0076183A" w14:paraId="3CCCFFF7" w14:textId="77777777" w:rsidTr="00215BA1">
        <w:trPr>
          <w:trHeight w:val="227"/>
        </w:trPr>
        <w:tc>
          <w:tcPr>
            <w:tcW w:w="1598" w:type="dxa"/>
            <w:tcBorders>
              <w:bottom w:val="nil"/>
            </w:tcBorders>
            <w:shd w:val="clear" w:color="auto" w:fill="E6E6E6"/>
            <w:hideMark/>
          </w:tcPr>
          <w:p w14:paraId="51435A37" w14:textId="77777777" w:rsidR="00D94B88" w:rsidRPr="00E80AC3" w:rsidRDefault="00D94B88">
            <w:pPr>
              <w:pStyle w:val="BodyText"/>
              <w:spacing w:before="45" w:after="45"/>
              <w:ind w:left="57" w:right="108"/>
              <w:rPr>
                <w:rFonts w:ascii="Arial (Body)" w:hAnsi="Arial (Body)"/>
                <w:b/>
                <w:color w:val="265A9A"/>
                <w:sz w:val="18"/>
              </w:rPr>
            </w:pPr>
            <w:r w:rsidRPr="00E80AC3">
              <w:rPr>
                <w:rFonts w:ascii="Arial (Body)" w:hAnsi="Arial (Body)"/>
                <w:b/>
                <w:color w:val="265A9A"/>
                <w:sz w:val="18"/>
              </w:rPr>
              <w:t>NDIS worker growth </w:t>
            </w:r>
          </w:p>
        </w:tc>
        <w:tc>
          <w:tcPr>
            <w:tcW w:w="1037" w:type="dxa"/>
            <w:tcBorders>
              <w:bottom w:val="nil"/>
            </w:tcBorders>
            <w:shd w:val="clear" w:color="auto" w:fill="E6E6E6"/>
            <w:hideMark/>
          </w:tcPr>
          <w:p w14:paraId="1FE8D0F1" w14:textId="77777777" w:rsidR="00D94B88" w:rsidRPr="004338A8" w:rsidRDefault="00D94B88">
            <w:pPr>
              <w:pStyle w:val="BodyText"/>
              <w:spacing w:before="45" w:after="45"/>
              <w:ind w:left="57" w:right="108"/>
              <w:rPr>
                <w:rFonts w:ascii="Arial (Body)" w:hAnsi="Arial (Body)"/>
                <w:color w:val="000000"/>
                <w:sz w:val="18"/>
              </w:rPr>
            </w:pPr>
            <w:r w:rsidRPr="004338A8">
              <w:rPr>
                <w:rFonts w:ascii="Arial (Body)" w:hAnsi="Arial (Body)"/>
                <w:color w:val="000000"/>
                <w:sz w:val="18"/>
              </w:rPr>
              <w:t>4.4% </w:t>
            </w:r>
          </w:p>
        </w:tc>
        <w:tc>
          <w:tcPr>
            <w:tcW w:w="4195" w:type="dxa"/>
            <w:tcBorders>
              <w:bottom w:val="nil"/>
            </w:tcBorders>
            <w:shd w:val="clear" w:color="auto" w:fill="E6E6E6"/>
            <w:hideMark/>
          </w:tcPr>
          <w:p w14:paraId="41A462AD" w14:textId="6B23AB64" w:rsidR="00D94B88" w:rsidRPr="00B57F10" w:rsidRDefault="00D94B88">
            <w:pPr>
              <w:pStyle w:val="BodyText"/>
              <w:spacing w:before="45" w:after="45"/>
              <w:ind w:left="57" w:right="108"/>
              <w:rPr>
                <w:rFonts w:ascii="Arial (Body)" w:hAnsi="Arial (Body)"/>
                <w:color w:val="000000"/>
                <w:sz w:val="18"/>
              </w:rPr>
            </w:pPr>
            <w:r>
              <w:rPr>
                <w:rFonts w:ascii="Arial (Body)" w:hAnsi="Arial (Body)"/>
                <w:color w:val="000000"/>
                <w:sz w:val="18"/>
              </w:rPr>
              <w:t>PC assumption based on p</w:t>
            </w:r>
            <w:r w:rsidRPr="00A21F89">
              <w:rPr>
                <w:rFonts w:ascii="Arial (Body)" w:hAnsi="Arial (Body)"/>
                <w:color w:val="000000"/>
                <w:sz w:val="18"/>
              </w:rPr>
              <w:t>rojected annualised percent</w:t>
            </w:r>
            <w:r>
              <w:rPr>
                <w:rFonts w:ascii="Arial (Body)" w:hAnsi="Arial (Body)"/>
                <w:color w:val="000000"/>
                <w:sz w:val="18"/>
              </w:rPr>
              <w:t>age</w:t>
            </w:r>
            <w:r w:rsidRPr="00A21F89">
              <w:rPr>
                <w:rFonts w:ascii="Arial (Body)" w:hAnsi="Arial (Body)"/>
                <w:color w:val="000000"/>
                <w:sz w:val="18"/>
              </w:rPr>
              <w:t xml:space="preserve"> growth </w:t>
            </w:r>
            <w:r>
              <w:rPr>
                <w:rFonts w:ascii="Arial (Body)" w:hAnsi="Arial (Body)"/>
                <w:color w:val="000000"/>
                <w:sz w:val="18"/>
              </w:rPr>
              <w:t xml:space="preserve">in NDIS </w:t>
            </w:r>
            <w:r w:rsidRPr="00A21F89">
              <w:rPr>
                <w:rFonts w:ascii="Arial (Body)" w:hAnsi="Arial (Body)"/>
                <w:color w:val="000000"/>
                <w:sz w:val="18"/>
              </w:rPr>
              <w:t>participant</w:t>
            </w:r>
            <w:r>
              <w:rPr>
                <w:rFonts w:ascii="Arial (Body)" w:hAnsi="Arial (Body)"/>
                <w:color w:val="000000"/>
                <w:sz w:val="18"/>
              </w:rPr>
              <w:t xml:space="preserve">s </w:t>
            </w:r>
            <w:r w:rsidR="0097599A" w:rsidRPr="0097599A">
              <w:rPr>
                <w:rFonts w:ascii="Arial (Body)" w:hAnsi="Arial (Body)" w:cs="Times New Roman"/>
                <w:sz w:val="18"/>
              </w:rPr>
              <w:t>(NDIA 2024a)</w:t>
            </w:r>
            <w:r>
              <w:rPr>
                <w:rFonts w:ascii="Arial (Body)" w:hAnsi="Arial (Body)"/>
                <w:color w:val="000000"/>
                <w:sz w:val="18"/>
              </w:rPr>
              <w:t>. W</w:t>
            </w:r>
            <w:r w:rsidRPr="00A21F89">
              <w:rPr>
                <w:rFonts w:ascii="Arial (Body)" w:hAnsi="Arial (Body)"/>
                <w:color w:val="000000"/>
                <w:sz w:val="18"/>
              </w:rPr>
              <w:t xml:space="preserve">orker growth rate projections </w:t>
            </w:r>
            <w:r>
              <w:rPr>
                <w:rFonts w:ascii="Arial (Body)" w:hAnsi="Arial (Body)"/>
                <w:color w:val="000000"/>
                <w:sz w:val="18"/>
              </w:rPr>
              <w:t>were unavailable; growth in NDIS participants</w:t>
            </w:r>
            <w:r w:rsidRPr="00A21F89">
              <w:rPr>
                <w:rFonts w:ascii="Arial (Body)" w:hAnsi="Arial (Body)"/>
                <w:color w:val="000000"/>
                <w:sz w:val="18"/>
              </w:rPr>
              <w:t xml:space="preserve"> </w:t>
            </w:r>
            <w:r>
              <w:rPr>
                <w:rFonts w:ascii="Arial (Body)" w:hAnsi="Arial (Body)"/>
                <w:color w:val="000000"/>
                <w:sz w:val="18"/>
              </w:rPr>
              <w:t xml:space="preserve">was therefore used </w:t>
            </w:r>
            <w:r w:rsidRPr="00A21F89">
              <w:rPr>
                <w:rFonts w:ascii="Arial (Body)" w:hAnsi="Arial (Body)"/>
                <w:color w:val="000000"/>
                <w:sz w:val="18"/>
              </w:rPr>
              <w:t xml:space="preserve">as </w:t>
            </w:r>
            <w:r>
              <w:rPr>
                <w:rFonts w:ascii="Arial (Body)" w:hAnsi="Arial (Body)"/>
                <w:color w:val="000000"/>
                <w:sz w:val="18"/>
              </w:rPr>
              <w:t>a proxy</w:t>
            </w:r>
            <w:r w:rsidRPr="00A21F89">
              <w:rPr>
                <w:rFonts w:ascii="Arial (Body)" w:hAnsi="Arial (Body)"/>
                <w:color w:val="000000"/>
                <w:sz w:val="18"/>
              </w:rPr>
              <w:t>.</w:t>
            </w:r>
          </w:p>
        </w:tc>
        <w:tc>
          <w:tcPr>
            <w:tcW w:w="2778" w:type="dxa"/>
            <w:tcBorders>
              <w:bottom w:val="nil"/>
            </w:tcBorders>
            <w:shd w:val="clear" w:color="auto" w:fill="E6E6E6"/>
          </w:tcPr>
          <w:p w14:paraId="5A6A585E" w14:textId="77777777" w:rsidR="00D94B88" w:rsidRPr="00EE0640" w:rsidRDefault="00D94B88">
            <w:pPr>
              <w:pStyle w:val="BodyText"/>
              <w:spacing w:before="45" w:after="45"/>
              <w:ind w:left="57" w:right="108"/>
              <w:rPr>
                <w:rFonts w:ascii="Arial (Body)" w:hAnsi="Arial (Body)"/>
                <w:color w:val="000000"/>
                <w:sz w:val="18"/>
              </w:rPr>
            </w:pPr>
            <w:r>
              <w:rPr>
                <w:rFonts w:ascii="Arial (Body)" w:hAnsi="Arial (Body)"/>
                <w:color w:val="000000"/>
                <w:sz w:val="18"/>
              </w:rPr>
              <w:t xml:space="preserve">PC assumption </w:t>
            </w:r>
          </w:p>
        </w:tc>
      </w:tr>
      <w:tr w:rsidR="00D94B88" w:rsidRPr="00327139" w14:paraId="0C36284B" w14:textId="77777777">
        <w:trPr>
          <w:trHeight w:val="300"/>
        </w:trPr>
        <w:tc>
          <w:tcPr>
            <w:tcW w:w="1598" w:type="dxa"/>
            <w:tcBorders>
              <w:top w:val="nil"/>
              <w:bottom w:val="nil"/>
            </w:tcBorders>
          </w:tcPr>
          <w:p w14:paraId="1F847D33" w14:textId="77777777" w:rsidR="00D94B88" w:rsidRPr="00E80AC3" w:rsidRDefault="00D94B88">
            <w:pPr>
              <w:pStyle w:val="BodyText"/>
              <w:spacing w:before="45" w:after="45"/>
              <w:ind w:left="57" w:right="108"/>
              <w:rPr>
                <w:rFonts w:ascii="Arial (Body)" w:hAnsi="Arial (Body)"/>
                <w:b/>
                <w:color w:val="265A9A"/>
                <w:sz w:val="18"/>
              </w:rPr>
            </w:pPr>
            <w:r w:rsidRPr="00E80AC3">
              <w:rPr>
                <w:rFonts w:ascii="Arial (Body)" w:hAnsi="Arial (Body)"/>
                <w:b/>
                <w:color w:val="265A9A"/>
                <w:sz w:val="18"/>
              </w:rPr>
              <w:t>Overhead multiplier</w:t>
            </w:r>
          </w:p>
        </w:tc>
        <w:tc>
          <w:tcPr>
            <w:tcW w:w="1037" w:type="dxa"/>
            <w:tcBorders>
              <w:top w:val="nil"/>
              <w:bottom w:val="nil"/>
            </w:tcBorders>
          </w:tcPr>
          <w:p w14:paraId="38C3D888" w14:textId="77777777" w:rsidR="00D94B88" w:rsidRPr="00EE0640" w:rsidRDefault="00D94B88">
            <w:pPr>
              <w:pStyle w:val="BodyText"/>
              <w:spacing w:before="45" w:after="45"/>
              <w:ind w:left="57" w:right="108"/>
              <w:rPr>
                <w:rFonts w:ascii="Arial (Body)" w:hAnsi="Arial (Body)"/>
                <w:color w:val="000000"/>
                <w:sz w:val="18"/>
              </w:rPr>
            </w:pPr>
            <w:r w:rsidRPr="00EE0640">
              <w:rPr>
                <w:rFonts w:ascii="Arial (Body)" w:hAnsi="Arial (Body)"/>
                <w:color w:val="000000"/>
                <w:sz w:val="18"/>
              </w:rPr>
              <w:t>1.75</w:t>
            </w:r>
          </w:p>
        </w:tc>
        <w:tc>
          <w:tcPr>
            <w:tcW w:w="4195" w:type="dxa"/>
            <w:tcBorders>
              <w:top w:val="nil"/>
              <w:bottom w:val="nil"/>
            </w:tcBorders>
          </w:tcPr>
          <w:p w14:paraId="4C56AC6D" w14:textId="77777777" w:rsidR="00D94B88" w:rsidRPr="00EE0640" w:rsidRDefault="00D94B88">
            <w:pPr>
              <w:pStyle w:val="BodyText"/>
              <w:spacing w:before="45" w:after="45"/>
              <w:ind w:left="57" w:right="108"/>
              <w:rPr>
                <w:rFonts w:ascii="Arial (Body)" w:hAnsi="Arial (Body)"/>
                <w:color w:val="000000"/>
                <w:sz w:val="18"/>
              </w:rPr>
            </w:pPr>
            <w:r w:rsidRPr="00EE0640">
              <w:rPr>
                <w:rFonts w:ascii="Arial (Body)" w:hAnsi="Arial (Body)"/>
                <w:color w:val="000000"/>
                <w:sz w:val="18"/>
              </w:rPr>
              <w:t>Established OIA methodology for scaling wages to account for the non</w:t>
            </w:r>
            <w:r>
              <w:rPr>
                <w:rFonts w:ascii="Arial (Body)" w:hAnsi="Arial (Body)"/>
                <w:color w:val="000000"/>
                <w:sz w:val="18"/>
              </w:rPr>
              <w:noBreakHyphen/>
            </w:r>
            <w:r w:rsidRPr="00EE0640">
              <w:rPr>
                <w:rFonts w:ascii="Arial (Body)" w:hAnsi="Arial (Body)"/>
                <w:color w:val="000000"/>
                <w:sz w:val="18"/>
              </w:rPr>
              <w:t>wage labour on</w:t>
            </w:r>
            <w:r>
              <w:rPr>
                <w:rFonts w:ascii="Arial (Body)" w:hAnsi="Arial (Body)"/>
                <w:color w:val="000000"/>
                <w:sz w:val="18"/>
              </w:rPr>
              <w:noBreakHyphen/>
            </w:r>
            <w:r w:rsidRPr="00EE0640">
              <w:rPr>
                <w:rFonts w:ascii="Arial (Body)" w:hAnsi="Arial (Body)"/>
                <w:color w:val="000000"/>
                <w:sz w:val="18"/>
              </w:rPr>
              <w:t>costs and overhead costs.</w:t>
            </w:r>
          </w:p>
        </w:tc>
        <w:tc>
          <w:tcPr>
            <w:tcW w:w="2778" w:type="dxa"/>
            <w:tcBorders>
              <w:top w:val="nil"/>
              <w:bottom w:val="nil"/>
            </w:tcBorders>
          </w:tcPr>
          <w:p w14:paraId="3421B554" w14:textId="1BD1C807" w:rsidR="00D94B88" w:rsidRPr="00EE0640" w:rsidRDefault="00D94B88">
            <w:pPr>
              <w:pStyle w:val="BodyText"/>
              <w:spacing w:before="45" w:after="45"/>
              <w:ind w:left="57" w:right="108"/>
              <w:rPr>
                <w:rFonts w:ascii="Arial (Body)" w:hAnsi="Arial (Body)"/>
                <w:color w:val="000000"/>
                <w:sz w:val="18"/>
              </w:rPr>
            </w:pPr>
            <w:r w:rsidRPr="00256286">
              <w:rPr>
                <w:rFonts w:ascii="Arial (Body)" w:hAnsi="Arial (Body)"/>
                <w:color w:val="000000"/>
                <w:sz w:val="18"/>
              </w:rPr>
              <w:t xml:space="preserve">OIA </w:t>
            </w:r>
            <w:r w:rsidRPr="00942322">
              <w:rPr>
                <w:rFonts w:ascii="Arial (Body)" w:hAnsi="Arial (Body)"/>
                <w:color w:val="000000"/>
                <w:sz w:val="18"/>
              </w:rPr>
              <w:t>(2024)</w:t>
            </w:r>
          </w:p>
        </w:tc>
      </w:tr>
      <w:tr w:rsidR="00D94B88" w:rsidRPr="0076183A" w14:paraId="664ADA92" w14:textId="77777777" w:rsidTr="00215BA1">
        <w:trPr>
          <w:trHeight w:val="300"/>
        </w:trPr>
        <w:tc>
          <w:tcPr>
            <w:tcW w:w="1598" w:type="dxa"/>
            <w:tcBorders>
              <w:bottom w:val="single" w:sz="4" w:space="0" w:color="B3B3B3"/>
            </w:tcBorders>
            <w:shd w:val="clear" w:color="auto" w:fill="E6E6E6"/>
            <w:hideMark/>
          </w:tcPr>
          <w:p w14:paraId="14B47162" w14:textId="77777777" w:rsidR="00D94B88" w:rsidRPr="00E80AC3" w:rsidRDefault="00D94B88">
            <w:pPr>
              <w:pStyle w:val="BodyText"/>
              <w:spacing w:before="45" w:after="45"/>
              <w:ind w:left="57" w:right="108"/>
              <w:rPr>
                <w:rFonts w:ascii="Arial (Body)" w:hAnsi="Arial (Body)"/>
                <w:b/>
                <w:color w:val="265A9A"/>
                <w:sz w:val="18"/>
              </w:rPr>
            </w:pPr>
            <w:r w:rsidRPr="00E80AC3">
              <w:rPr>
                <w:rFonts w:ascii="Arial (Body)" w:hAnsi="Arial (Body)"/>
                <w:b/>
                <w:color w:val="265A9A"/>
                <w:sz w:val="18"/>
              </w:rPr>
              <w:t>Female share of paid care workforce </w:t>
            </w:r>
          </w:p>
        </w:tc>
        <w:tc>
          <w:tcPr>
            <w:tcW w:w="1037" w:type="dxa"/>
            <w:tcBorders>
              <w:bottom w:val="single" w:sz="4" w:space="0" w:color="B3B3B3"/>
            </w:tcBorders>
            <w:shd w:val="clear" w:color="auto" w:fill="E6E6E6"/>
            <w:hideMark/>
          </w:tcPr>
          <w:p w14:paraId="696E6F8D" w14:textId="77777777" w:rsidR="00D94B88" w:rsidRPr="004338A8" w:rsidRDefault="00D94B88">
            <w:pPr>
              <w:pStyle w:val="BodyText"/>
              <w:spacing w:before="45" w:after="45"/>
              <w:ind w:left="57" w:right="108"/>
              <w:rPr>
                <w:rFonts w:ascii="Arial (Body)" w:hAnsi="Arial (Body)"/>
                <w:color w:val="000000"/>
                <w:sz w:val="18"/>
              </w:rPr>
            </w:pPr>
            <w:r w:rsidRPr="00256286">
              <w:rPr>
                <w:rFonts w:ascii="Arial (Body)" w:hAnsi="Arial (Body)"/>
                <w:color w:val="000000"/>
                <w:sz w:val="18"/>
              </w:rPr>
              <w:t>7</w:t>
            </w:r>
            <w:r>
              <w:rPr>
                <w:rFonts w:ascii="Arial (Body)" w:hAnsi="Arial (Body)"/>
                <w:color w:val="000000"/>
                <w:sz w:val="18"/>
              </w:rPr>
              <w:t>5</w:t>
            </w:r>
            <w:r w:rsidRPr="004338A8">
              <w:rPr>
                <w:rFonts w:ascii="Arial (Body)" w:hAnsi="Arial (Body)"/>
                <w:color w:val="000000"/>
                <w:sz w:val="18"/>
              </w:rPr>
              <w:t>% </w:t>
            </w:r>
          </w:p>
        </w:tc>
        <w:tc>
          <w:tcPr>
            <w:tcW w:w="4195" w:type="dxa"/>
            <w:tcBorders>
              <w:bottom w:val="single" w:sz="4" w:space="0" w:color="B3B3B3"/>
            </w:tcBorders>
            <w:shd w:val="clear" w:color="auto" w:fill="E6E6E6"/>
            <w:hideMark/>
          </w:tcPr>
          <w:p w14:paraId="4CBA61D8" w14:textId="77777777" w:rsidR="00D94B88" w:rsidRPr="004338A8" w:rsidRDefault="00D94B88">
            <w:pPr>
              <w:pStyle w:val="BodyText"/>
              <w:spacing w:before="45" w:after="45"/>
              <w:ind w:left="57" w:right="108"/>
              <w:rPr>
                <w:rFonts w:ascii="Arial (Body)" w:hAnsi="Arial (Body)"/>
                <w:color w:val="000000"/>
                <w:sz w:val="18"/>
              </w:rPr>
            </w:pPr>
            <w:r w:rsidRPr="004338A8">
              <w:rPr>
                <w:rFonts w:ascii="Arial (Body)" w:hAnsi="Arial (Body)"/>
                <w:color w:val="000000"/>
                <w:sz w:val="18"/>
              </w:rPr>
              <w:t>Aligns with national labour statistics</w:t>
            </w:r>
            <w:r w:rsidRPr="00EE0640">
              <w:rPr>
                <w:rFonts w:ascii="Arial (Body)" w:hAnsi="Arial (Body)"/>
                <w:color w:val="000000"/>
                <w:sz w:val="18"/>
              </w:rPr>
              <w:t>.</w:t>
            </w:r>
          </w:p>
        </w:tc>
        <w:tc>
          <w:tcPr>
            <w:tcW w:w="2778" w:type="dxa"/>
            <w:tcBorders>
              <w:bottom w:val="single" w:sz="4" w:space="0" w:color="B3B3B3"/>
            </w:tcBorders>
            <w:shd w:val="clear" w:color="auto" w:fill="E6E6E6"/>
          </w:tcPr>
          <w:p w14:paraId="25486B58" w14:textId="39BDDEE4" w:rsidR="00D94B88" w:rsidRPr="00EE0640" w:rsidRDefault="00D94B88">
            <w:pPr>
              <w:pStyle w:val="BodyText"/>
              <w:spacing w:before="45" w:after="45"/>
              <w:ind w:left="57" w:right="108"/>
              <w:rPr>
                <w:rFonts w:ascii="Arial (Body)" w:hAnsi="Arial (Body)"/>
                <w:color w:val="000000"/>
                <w:sz w:val="18"/>
              </w:rPr>
            </w:pPr>
            <w:r>
              <w:rPr>
                <w:rFonts w:ascii="Arial (Body)" w:hAnsi="Arial (Body)"/>
                <w:color w:val="000000"/>
                <w:sz w:val="18"/>
              </w:rPr>
              <w:t xml:space="preserve">Jobs and Skills Australia </w:t>
            </w:r>
            <w:r w:rsidRPr="003D53C6">
              <w:rPr>
                <w:rFonts w:ascii="Arial (Body)" w:hAnsi="Arial (Body)"/>
                <w:sz w:val="18"/>
              </w:rPr>
              <w:t>(2025)</w:t>
            </w:r>
          </w:p>
        </w:tc>
      </w:tr>
    </w:tbl>
    <w:p w14:paraId="60AFF771" w14:textId="60616B25" w:rsidR="00D94B88" w:rsidRPr="004338A8" w:rsidRDefault="00D94B88" w:rsidP="00F35A31">
      <w:pPr>
        <w:pStyle w:val="Heading4"/>
      </w:pPr>
      <w:r>
        <w:lastRenderedPageBreak/>
        <w:t>A</w:t>
      </w:r>
      <w:r w:rsidRPr="004338A8">
        <w:t>ssumptions and limitations</w:t>
      </w:r>
    </w:p>
    <w:p w14:paraId="59B4932D" w14:textId="77777777" w:rsidR="00D94B88" w:rsidRDefault="00D94B88" w:rsidP="00F35A31">
      <w:pPr>
        <w:pStyle w:val="BodyText"/>
        <w:keepNext/>
        <w:keepLines/>
      </w:pPr>
      <w:r>
        <w:t xml:space="preserve">The modelling makes the following assumptions. </w:t>
      </w:r>
    </w:p>
    <w:p w14:paraId="7F7EF91D" w14:textId="77777777" w:rsidR="00D94B88" w:rsidRPr="00A32BFA" w:rsidRDefault="00D94B88" w:rsidP="00D94B88">
      <w:pPr>
        <w:pStyle w:val="ListBullet"/>
      </w:pPr>
      <w:r>
        <w:t>The timing and cost of v</w:t>
      </w:r>
      <w:r w:rsidRPr="004338A8">
        <w:t>eterans’ care </w:t>
      </w:r>
      <w:r>
        <w:t xml:space="preserve">regulatory activities </w:t>
      </w:r>
      <w:r w:rsidRPr="004338A8">
        <w:t>are treated as equivalent to aged care services</w:t>
      </w:r>
      <w:r>
        <w:t xml:space="preserve">. This assumption has been made due to limited data on the costs associated with complying with veterans’ care </w:t>
      </w:r>
      <w:r w:rsidRPr="00A32BFA">
        <w:t>requirements</w:t>
      </w:r>
      <w:r>
        <w:t xml:space="preserve">. </w:t>
      </w:r>
    </w:p>
    <w:p w14:paraId="4527D096" w14:textId="77777777" w:rsidR="00D94B88" w:rsidRPr="00B650C0" w:rsidRDefault="00D94B88" w:rsidP="00D94B88">
      <w:pPr>
        <w:pStyle w:val="ListBullet"/>
        <w:rPr>
          <w:spacing w:val="-4"/>
        </w:rPr>
      </w:pPr>
      <w:r w:rsidRPr="00B650C0">
        <w:rPr>
          <w:spacing w:val="-4"/>
        </w:rPr>
        <w:t>All aged care providers in the target group are assumed to be registered in category four or above, to simplify cost assumptions.</w:t>
      </w:r>
      <w:r w:rsidRPr="00B650C0">
        <w:rPr>
          <w:rStyle w:val="FootnoteReference"/>
          <w:spacing w:val="-4"/>
        </w:rPr>
        <w:footnoteReference w:id="40"/>
      </w:r>
      <w:r w:rsidRPr="00B650C0">
        <w:rPr>
          <w:spacing w:val="-4"/>
        </w:rPr>
        <w:t xml:space="preserve"> While this may overestimate cost savings, providers operating across multiple care sectors tend to be larger meaning they may be more likely to conduct category four and above care activities.</w:t>
      </w:r>
    </w:p>
    <w:p w14:paraId="2379D87F" w14:textId="77777777" w:rsidR="00D94B88" w:rsidRDefault="00D94B88" w:rsidP="00D94B88">
      <w:pPr>
        <w:pStyle w:val="ListBullet"/>
      </w:pPr>
      <w:r>
        <w:t>Provider audit and registration fees are based on a weighted average of aged care and NDIS audit fees to ensure consistency, given the limited data on actual NDIS audit fees.</w:t>
      </w:r>
    </w:p>
    <w:p w14:paraId="147336FD" w14:textId="77777777" w:rsidR="00D94B88" w:rsidRDefault="00D94B88" w:rsidP="00D94B88">
      <w:pPr>
        <w:pStyle w:val="ListBullet"/>
      </w:pPr>
      <w:r>
        <w:t>Veterans’ care and aged care workers are excluded from worker screening check estimates as they are assumed not to work with children and therefore not require multiple screening checks.</w:t>
      </w:r>
    </w:p>
    <w:p w14:paraId="231139E4" w14:textId="77777777" w:rsidR="00D94B88" w:rsidRPr="00E80AC3" w:rsidRDefault="00D94B88" w:rsidP="00D94B88">
      <w:pPr>
        <w:pStyle w:val="ListBullet"/>
        <w:rPr>
          <w:rFonts w:ascii="Arial" w:hAnsi="Arial" w:cs="Arial"/>
          <w:color w:val="000000"/>
        </w:rPr>
      </w:pPr>
      <w:r>
        <w:rPr>
          <w:rFonts w:ascii="Arial" w:hAnsi="Arial" w:cs="Arial"/>
          <w:color w:val="000000"/>
        </w:rPr>
        <w:t>Al</w:t>
      </w:r>
      <w:r w:rsidRPr="00E80AC3">
        <w:rPr>
          <w:rFonts w:ascii="Arial" w:hAnsi="Arial" w:cs="Arial"/>
          <w:color w:val="000000"/>
        </w:rPr>
        <w:t xml:space="preserve">l providers in the target group </w:t>
      </w:r>
      <w:r>
        <w:rPr>
          <w:rFonts w:ascii="Arial" w:hAnsi="Arial" w:cs="Arial"/>
          <w:color w:val="000000"/>
        </w:rPr>
        <w:t xml:space="preserve">face </w:t>
      </w:r>
      <w:r w:rsidRPr="00E80AC3">
        <w:rPr>
          <w:rFonts w:ascii="Arial" w:hAnsi="Arial" w:cs="Arial"/>
          <w:color w:val="000000"/>
        </w:rPr>
        <w:t>the same costs for regulatory compliance activities. This approach is used to simplify calculations and reflects the limited availability of more detailed data. This issue is particularly relevant in the NDIS sector, where public information regarding auditing fees is currently limited. As a result, variations among providers are not represented.</w:t>
      </w:r>
    </w:p>
    <w:p w14:paraId="66E69939" w14:textId="77777777" w:rsidR="00D94B88" w:rsidRDefault="00D94B88" w:rsidP="00D94B88">
      <w:pPr>
        <w:pStyle w:val="ListBullet"/>
      </w:pPr>
      <w:r>
        <w:t>There are</w:t>
      </w:r>
      <w:r w:rsidRPr="004338A8">
        <w:t xml:space="preserve"> no behavioural changes or additional market entry beyond normal provider growth, assumed to be 5% per year</w:t>
      </w:r>
      <w:r>
        <w:t>.</w:t>
      </w:r>
    </w:p>
    <w:p w14:paraId="3790FECB" w14:textId="77777777" w:rsidR="00D94B88" w:rsidRDefault="00D94B88" w:rsidP="00D94B88">
      <w:pPr>
        <w:pStyle w:val="ListBullet"/>
      </w:pPr>
      <w:r>
        <w:t xml:space="preserve">The proportion of NDIS participants aged 18 years and under remains constant at 53% (i.e. no growth). While the current portion of new participants aged 18 and under is higher than this, the recent announcement of Thriving Kids may affect the number of children entering the NDIS in future. While we are unsure of the magnitude of this change, we expect it to slow growth in new NDIS participants who are children and as such have made a conservative estimate of no future growth in the proportion of young people aged 18 years and under. </w:t>
      </w:r>
    </w:p>
    <w:p w14:paraId="508B787A" w14:textId="77777777" w:rsidR="00D94B88" w:rsidRDefault="00D94B88" w:rsidP="00D94B88">
      <w:pPr>
        <w:pStyle w:val="ListBullet"/>
      </w:pPr>
      <w:r>
        <w:t xml:space="preserve">The proportion of the NDIS workforce requiring a national screening check does not consider worker churn. The estimates assume the stock of NDIS workers grows at 4.4% each year with a fixed proportion needing a WWCC every five years. It does not make any assumptions regarding the proportion of the growth in NDIS workers who will also require a check upon commencement as </w:t>
      </w:r>
      <w:proofErr w:type="gramStart"/>
      <w:r>
        <w:t>an</w:t>
      </w:r>
      <w:proofErr w:type="gramEnd"/>
      <w:r>
        <w:t xml:space="preserve"> NDIS worker. </w:t>
      </w:r>
    </w:p>
    <w:p w14:paraId="1199CC25" w14:textId="6D740A10" w:rsidR="00D94B88" w:rsidRPr="00682443" w:rsidRDefault="00D94B88" w:rsidP="00D94B88">
      <w:pPr>
        <w:pStyle w:val="ListBullet"/>
      </w:pPr>
      <w:r>
        <w:t>T</w:t>
      </w:r>
      <w:r w:rsidRPr="004338A8">
        <w:t>he status quo policy environment </w:t>
      </w:r>
      <w:r>
        <w:t xml:space="preserve">remains consistent over the estimated timeframe and therefore only includes benefits for currently registered providers. </w:t>
      </w:r>
      <w:r w:rsidRPr="004338A8">
        <w:t>Any future changes that would require more workers and providers to become registered would likely result in additional savings.</w:t>
      </w:r>
    </w:p>
    <w:p w14:paraId="54396987" w14:textId="77777777" w:rsidR="00D94B88" w:rsidRPr="004338A8" w:rsidRDefault="00D94B88">
      <w:pPr>
        <w:pStyle w:val="BodyText"/>
        <w:keepNext/>
      </w:pPr>
      <w:r>
        <w:t>The modelling includes the following limitations.</w:t>
      </w:r>
    </w:p>
    <w:p w14:paraId="399241D3" w14:textId="77777777" w:rsidR="00D94B88" w:rsidRPr="004338A8" w:rsidRDefault="00D94B88" w:rsidP="00D94B88">
      <w:pPr>
        <w:pStyle w:val="ListBullet"/>
      </w:pPr>
      <w:r>
        <w:t>T</w:t>
      </w:r>
      <w:r w:rsidRPr="00032ED7">
        <w:t>he</w:t>
      </w:r>
      <w:r w:rsidRPr="004338A8">
        <w:t> analysis is limited to quantifiable compliance cost savings. It does not capture broader effects such as quality improvements, consumer welfare gains, or efficiency changes within care sectors</w:t>
      </w:r>
      <w:r>
        <w:t>.</w:t>
      </w:r>
    </w:p>
    <w:p w14:paraId="3AF41711" w14:textId="77777777" w:rsidR="00D94B88" w:rsidRPr="00DA4C7D" w:rsidRDefault="00D94B88" w:rsidP="00D94B88">
      <w:pPr>
        <w:pStyle w:val="ListBullet"/>
      </w:pPr>
      <w:r>
        <w:t>I</w:t>
      </w:r>
      <w:r w:rsidRPr="00DA4C7D">
        <w:t>mplementation and transition costs are excluded, including one</w:t>
      </w:r>
      <w:r>
        <w:noBreakHyphen/>
      </w:r>
      <w:r w:rsidRPr="00DA4C7D">
        <w:t>off costs associated with system integration, staff training or IT upgrades</w:t>
      </w:r>
      <w:r>
        <w:t>.</w:t>
      </w:r>
    </w:p>
    <w:p w14:paraId="4125B1BB" w14:textId="77777777" w:rsidR="00D94B88" w:rsidRPr="00DA4C7D" w:rsidRDefault="00D94B88" w:rsidP="00D94B88">
      <w:pPr>
        <w:pStyle w:val="ListBullet"/>
      </w:pPr>
      <w:r>
        <w:t>The benefits relate to time savings and direct cost savings from fewer fees associated with worker checks and provider suitability, registrations and audits only. There may be other benefits, such as reduced processing times or staff training requirements that have not been included due to lack of data to inform assumptions.</w:t>
      </w:r>
    </w:p>
    <w:p w14:paraId="5E202282" w14:textId="77777777" w:rsidR="00D94B88" w:rsidRDefault="00D94B88" w:rsidP="00D94B88">
      <w:pPr>
        <w:pStyle w:val="ListBullet"/>
      </w:pPr>
      <w:r>
        <w:lastRenderedPageBreak/>
        <w:t>E</w:t>
      </w:r>
      <w:r w:rsidRPr="004338A8">
        <w:t>stimates are based on average unit costs and proxy data where detailed sector</w:t>
      </w:r>
      <w:r>
        <w:noBreakHyphen/>
      </w:r>
      <w:r w:rsidRPr="004338A8">
        <w:t>level information was unavailable. Differences across provider size, region, and sector are therefore not fully reflected.</w:t>
      </w:r>
    </w:p>
    <w:p w14:paraId="11D8AB53" w14:textId="3D4CEF61" w:rsidR="00D94B88" w:rsidRPr="00C72A9F" w:rsidRDefault="00D94B88">
      <w:pPr>
        <w:pStyle w:val="BodyText"/>
        <w:rPr>
          <w:spacing w:val="-4"/>
        </w:rPr>
      </w:pPr>
      <w:r w:rsidRPr="00C72A9F">
        <w:rPr>
          <w:spacing w:val="-4"/>
        </w:rPr>
        <w:t xml:space="preserve">The Department of Finance’s estimates of the benefits of a national worker screening differ to the </w:t>
      </w:r>
      <w:proofErr w:type="gramStart"/>
      <w:r w:rsidRPr="00C72A9F">
        <w:rPr>
          <w:spacing w:val="-4"/>
        </w:rPr>
        <w:t>PC’s</w:t>
      </w:r>
      <w:proofErr w:type="gramEnd"/>
      <w:r w:rsidRPr="00C72A9F">
        <w:rPr>
          <w:spacing w:val="-4"/>
        </w:rPr>
        <w:t xml:space="preserve"> due to differences in the scope of the policy recommendation being measured. Despite these differences, both approaches demonstrate the significant cost savings that will accrue to workers from reduced application and compliance costs. In addition, the Department of Finance estimates that improved </w:t>
      </w:r>
      <w:r w:rsidR="005E6453" w:rsidRPr="00C72A9F">
        <w:rPr>
          <w:spacing w:val="-4"/>
        </w:rPr>
        <w:t xml:space="preserve">identity </w:t>
      </w:r>
      <w:r w:rsidRPr="00C72A9F">
        <w:rPr>
          <w:spacing w:val="-4"/>
        </w:rPr>
        <w:t>verification processes (which have not been included in the PC’s analysis) would reduce compliance burdens by $122 million annually</w:t>
      </w:r>
      <w:r w:rsidR="00414AF9" w:rsidRPr="00C72A9F">
        <w:rPr>
          <w:spacing w:val="-4"/>
        </w:rPr>
        <w:t>. Similarly, the Department of Finance estimates that reduced delays from automating the screening process for simple cases (which have not been included in the PC’s analysis) would deliver a potential national benefit of $143 million annually from commencement</w:t>
      </w:r>
      <w:r w:rsidRPr="00C72A9F">
        <w:rPr>
          <w:spacing w:val="-4"/>
        </w:rPr>
        <w:t xml:space="preserve"> </w:t>
      </w:r>
      <w:r w:rsidR="00CD75B1" w:rsidRPr="00C72A9F">
        <w:rPr>
          <w:rFonts w:cs="Arial"/>
          <w:spacing w:val="-4"/>
        </w:rPr>
        <w:t>(Commonwealth of Australia 2025, p. 13)</w:t>
      </w:r>
      <w:r w:rsidRPr="00C72A9F">
        <w:rPr>
          <w:spacing w:val="-4"/>
        </w:rPr>
        <w:t>.</w:t>
      </w:r>
    </w:p>
    <w:p w14:paraId="40313750" w14:textId="77777777" w:rsidR="00D94B88" w:rsidRPr="004338A8" w:rsidRDefault="00D94B88">
      <w:pPr>
        <w:pStyle w:val="Heading4"/>
      </w:pPr>
      <w:r w:rsidRPr="004338A8">
        <w:t>Results and sensitivity tests </w:t>
      </w:r>
    </w:p>
    <w:p w14:paraId="3B23DFB0" w14:textId="647B48FA" w:rsidR="00D94B88" w:rsidRPr="00386DEF" w:rsidRDefault="00D94B88">
      <w:r>
        <w:t>Tables B.3</w:t>
      </w:r>
      <w:r>
        <w:noBreakHyphen/>
        <w:t>B.</w:t>
      </w:r>
      <w:r w:rsidR="00477E10">
        <w:t xml:space="preserve">6 </w:t>
      </w:r>
      <w:proofErr w:type="gramStart"/>
      <w:r>
        <w:t>summarise</w:t>
      </w:r>
      <w:proofErr w:type="gramEnd"/>
      <w:r>
        <w:t xml:space="preserve"> the</w:t>
      </w:r>
      <w:r w:rsidRPr="00514852">
        <w:t xml:space="preserve"> </w:t>
      </w:r>
      <w:r>
        <w:t>modelling</w:t>
      </w:r>
      <w:r w:rsidRPr="00514852">
        <w:t xml:space="preserve"> results and sensitivity analyses. Table B.3 shows the annual benefits by </w:t>
      </w:r>
      <w:r>
        <w:t>recommendation</w:t>
      </w:r>
      <w:r w:rsidRPr="00514852">
        <w:t xml:space="preserve">, with nominal amounts adjusted to </w:t>
      </w:r>
      <w:r w:rsidRPr="00481893">
        <w:t xml:space="preserve">both </w:t>
      </w:r>
      <w:r w:rsidRPr="00514852">
        <w:t>2024</w:t>
      </w:r>
      <w:r>
        <w:noBreakHyphen/>
      </w:r>
      <w:r w:rsidRPr="00514852">
        <w:t xml:space="preserve">25 dollars and discounted at 7% according to OIA guidance. </w:t>
      </w:r>
      <w:r w:rsidR="00FA48BF">
        <w:t>Table B.4 shows the breakdown of benefits</w:t>
      </w:r>
      <w:r w:rsidR="00F5585A">
        <w:t xml:space="preserve"> by different types of savings</w:t>
      </w:r>
      <w:r w:rsidR="000339FE">
        <w:t xml:space="preserve">. </w:t>
      </w:r>
      <w:r w:rsidRPr="00514852">
        <w:t>Table B.</w:t>
      </w:r>
      <w:r w:rsidR="000407C6">
        <w:t>5</w:t>
      </w:r>
      <w:r w:rsidR="000407C6" w:rsidRPr="00514852">
        <w:t xml:space="preserve"> </w:t>
      </w:r>
      <w:r w:rsidRPr="00514852">
        <w:t xml:space="preserve">indicates how much total </w:t>
      </w:r>
      <w:r>
        <w:t xml:space="preserve">nominal </w:t>
      </w:r>
      <w:r w:rsidRPr="00514852">
        <w:t>benefits change when each variable shifts up or down by 10%. Table B.</w:t>
      </w:r>
      <w:r w:rsidR="00A75AEC">
        <w:t>6</w:t>
      </w:r>
      <w:r w:rsidR="00A75AEC" w:rsidRPr="00514852">
        <w:t xml:space="preserve"> </w:t>
      </w:r>
      <w:r w:rsidRPr="00514852">
        <w:t xml:space="preserve">displays </w:t>
      </w:r>
      <w:r>
        <w:t xml:space="preserve">the change in </w:t>
      </w:r>
      <w:r w:rsidRPr="00514852">
        <w:t xml:space="preserve">total benefits when </w:t>
      </w:r>
      <w:r>
        <w:t xml:space="preserve">different </w:t>
      </w:r>
      <w:r w:rsidRPr="00514852">
        <w:t>discount rates are applied.</w:t>
      </w:r>
      <w:r w:rsidRPr="00481893">
        <w:t xml:space="preserve"> </w:t>
      </w:r>
    </w:p>
    <w:p w14:paraId="6A4944CB" w14:textId="77777777" w:rsidR="00D94B88" w:rsidRDefault="00D94B88">
      <w:pPr>
        <w:pStyle w:val="FigureTableHeading"/>
      </w:pPr>
      <w:r w:rsidRPr="008D3B69">
        <w:t xml:space="preserve">Table </w:t>
      </w:r>
      <w:r>
        <w:t>B</w:t>
      </w:r>
      <w:r w:rsidRPr="008D3B69">
        <w:t>.</w:t>
      </w:r>
      <w:r>
        <w:t>3</w:t>
      </w:r>
      <w:r w:rsidRPr="008D3B69">
        <w:t> – </w:t>
      </w:r>
      <w:r>
        <w:t xml:space="preserve">Benefits per year, by measure </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7F0479" w:rsidRPr="007F0479" w14:paraId="3D90F5F0" w14:textId="77777777" w:rsidTr="007F0479">
        <w:trPr>
          <w:tblHeader/>
        </w:trPr>
        <w:tc>
          <w:tcPr>
            <w:tcW w:w="1250" w:type="pct"/>
            <w:tcBorders>
              <w:bottom w:val="single" w:sz="4" w:space="0" w:color="B3B3B3"/>
            </w:tcBorders>
            <w:shd w:val="clear" w:color="000000" w:fill="auto"/>
            <w:vAlign w:val="bottom"/>
          </w:tcPr>
          <w:p w14:paraId="3B960AAE" w14:textId="43ABA25A" w:rsidR="007F0479" w:rsidRPr="007F0479" w:rsidRDefault="007F0479" w:rsidP="007F0479">
            <w:pPr>
              <w:spacing w:before="45" w:after="45"/>
              <w:ind w:left="57" w:right="108"/>
              <w:rPr>
                <w:rFonts w:ascii="Arial (Body)" w:hAnsi="Arial (Body)"/>
                <w:b/>
                <w:color w:val="265A9A"/>
                <w:sz w:val="18"/>
              </w:rPr>
            </w:pPr>
            <w:r w:rsidRPr="007F0479">
              <w:rPr>
                <w:rFonts w:ascii="Arial (Body)" w:eastAsia="Times New Roman" w:hAnsi="Arial (Body)" w:cs="Arial"/>
                <w:b/>
                <w:bCs/>
                <w:color w:val="265A9A"/>
                <w:sz w:val="18"/>
                <w:lang w:eastAsia="zh-CN" w:bidi="th-TH"/>
              </w:rPr>
              <w:t>Beneficiary</w:t>
            </w:r>
          </w:p>
        </w:tc>
        <w:tc>
          <w:tcPr>
            <w:tcW w:w="1250" w:type="pct"/>
            <w:tcBorders>
              <w:bottom w:val="single" w:sz="4" w:space="0" w:color="B3B3B3"/>
            </w:tcBorders>
            <w:shd w:val="clear" w:color="000000" w:fill="auto"/>
            <w:vAlign w:val="bottom"/>
          </w:tcPr>
          <w:p w14:paraId="0E7067D4" w14:textId="3FE20528" w:rsidR="007F0479" w:rsidRPr="007F0479" w:rsidRDefault="007F0479" w:rsidP="00E43776">
            <w:pPr>
              <w:pStyle w:val="TableHeading"/>
              <w:spacing w:before="45" w:after="45"/>
              <w:ind w:right="108"/>
              <w:jc w:val="right"/>
              <w:rPr>
                <w:rFonts w:ascii="Arial (Body)" w:hAnsi="Arial (Body)"/>
                <w:color w:val="265A9A"/>
              </w:rPr>
            </w:pPr>
            <w:r w:rsidRPr="007F0479">
              <w:rPr>
                <w:rFonts w:ascii="Arial (Body)" w:eastAsia="Times New Roman" w:hAnsi="Arial (Body)" w:cs="Arial"/>
                <w:bCs/>
                <w:color w:val="265A9A"/>
                <w:lang w:eastAsia="zh-CN" w:bidi="th-TH"/>
              </w:rPr>
              <w:t>Nominal</w:t>
            </w:r>
          </w:p>
        </w:tc>
        <w:tc>
          <w:tcPr>
            <w:tcW w:w="1250" w:type="pct"/>
            <w:tcBorders>
              <w:bottom w:val="single" w:sz="4" w:space="0" w:color="B3B3B3"/>
            </w:tcBorders>
            <w:shd w:val="clear" w:color="000000" w:fill="auto"/>
            <w:vAlign w:val="bottom"/>
          </w:tcPr>
          <w:p w14:paraId="062488FC" w14:textId="5CEC9D15" w:rsidR="007F0479" w:rsidRPr="007F0479" w:rsidRDefault="007F0479" w:rsidP="00E43776">
            <w:pPr>
              <w:pStyle w:val="TableHeading"/>
              <w:spacing w:before="45" w:after="45"/>
              <w:ind w:right="108"/>
              <w:jc w:val="right"/>
              <w:rPr>
                <w:rFonts w:ascii="Arial (Body)" w:hAnsi="Arial (Body)"/>
                <w:color w:val="265A9A"/>
              </w:rPr>
            </w:pPr>
            <w:r w:rsidRPr="007F0479">
              <w:rPr>
                <w:rFonts w:ascii="Arial (Body)" w:eastAsia="Times New Roman" w:hAnsi="Arial (Body)" w:cs="Arial"/>
                <w:bCs/>
                <w:color w:val="265A9A"/>
                <w:lang w:eastAsia="zh-CN" w:bidi="th-TH"/>
              </w:rPr>
              <w:t>Deflated to 2025</w:t>
            </w:r>
          </w:p>
        </w:tc>
        <w:tc>
          <w:tcPr>
            <w:tcW w:w="1250" w:type="pct"/>
            <w:tcBorders>
              <w:bottom w:val="single" w:sz="4" w:space="0" w:color="B3B3B3"/>
            </w:tcBorders>
            <w:shd w:val="clear" w:color="000000" w:fill="auto"/>
            <w:vAlign w:val="bottom"/>
          </w:tcPr>
          <w:p w14:paraId="42A7E1DF" w14:textId="7C530864" w:rsidR="007F0479" w:rsidRPr="007F0479" w:rsidRDefault="007F0479" w:rsidP="00E43776">
            <w:pPr>
              <w:pStyle w:val="TableHeading"/>
              <w:spacing w:before="45" w:after="45"/>
              <w:ind w:right="108"/>
              <w:jc w:val="right"/>
              <w:rPr>
                <w:rFonts w:ascii="Arial (Body)" w:hAnsi="Arial (Body)"/>
                <w:color w:val="265A9A"/>
              </w:rPr>
            </w:pPr>
            <w:r w:rsidRPr="007F0479">
              <w:rPr>
                <w:rFonts w:ascii="Arial (Body)" w:eastAsia="Times New Roman" w:hAnsi="Arial (Body)" w:cs="Arial"/>
                <w:bCs/>
                <w:color w:val="265A9A"/>
                <w:lang w:eastAsia="zh-CN" w:bidi="th-TH"/>
              </w:rPr>
              <w:t>Discounted to 2025</w:t>
            </w:r>
          </w:p>
        </w:tc>
      </w:tr>
      <w:tr w:rsidR="007F0479" w:rsidRPr="007F0479" w14:paraId="35D583BF" w14:textId="77777777" w:rsidTr="00F35A31">
        <w:tc>
          <w:tcPr>
            <w:tcW w:w="1250" w:type="pct"/>
            <w:tcBorders>
              <w:top w:val="single" w:sz="4" w:space="0" w:color="B3B3B3"/>
              <w:bottom w:val="nil"/>
            </w:tcBorders>
            <w:shd w:val="clear" w:color="auto" w:fill="E6E6E6"/>
          </w:tcPr>
          <w:p w14:paraId="7D37CE6D" w14:textId="7D045C0B" w:rsidR="007F0479" w:rsidRPr="007F0479" w:rsidRDefault="007F0479" w:rsidP="007F0479">
            <w:pPr>
              <w:pStyle w:val="TableHeading"/>
              <w:spacing w:before="45" w:after="45"/>
              <w:ind w:right="108"/>
              <w:rPr>
                <w:rFonts w:ascii="Arial (Body)" w:hAnsi="Arial (Body)"/>
                <w:color w:val="265A9A"/>
              </w:rPr>
            </w:pPr>
            <w:r w:rsidRPr="007F0479">
              <w:rPr>
                <w:rFonts w:ascii="Arial (Body)" w:eastAsia="Times New Roman" w:hAnsi="Arial (Body)" w:cs="Arial"/>
                <w:bCs/>
                <w:color w:val="265A9A"/>
                <w:lang w:eastAsia="zh-CN" w:bidi="th-TH"/>
              </w:rPr>
              <w:t>Providers</w:t>
            </w:r>
          </w:p>
        </w:tc>
        <w:tc>
          <w:tcPr>
            <w:tcW w:w="1250" w:type="pct"/>
            <w:tcBorders>
              <w:top w:val="single" w:sz="4" w:space="0" w:color="B3B3B3"/>
              <w:bottom w:val="nil"/>
            </w:tcBorders>
            <w:shd w:val="clear" w:color="auto" w:fill="E6E6E6"/>
          </w:tcPr>
          <w:p w14:paraId="5E056EEC" w14:textId="668351FD" w:rsidR="007F0479" w:rsidRPr="007F0479" w:rsidRDefault="007F0479" w:rsidP="00E43776">
            <w:pPr>
              <w:pStyle w:val="TableBody"/>
              <w:spacing w:before="45" w:after="45"/>
              <w:ind w:right="108"/>
              <w:jc w:val="right"/>
              <w:rPr>
                <w:rFonts w:ascii="Arial (Body)" w:hAnsi="Arial (Body)"/>
                <w:color w:val="000000"/>
              </w:rPr>
            </w:pPr>
            <w:r w:rsidRPr="007F0479">
              <w:rPr>
                <w:rFonts w:ascii="Arial (Body)" w:eastAsia="Times New Roman" w:hAnsi="Arial (Body)" w:cs="Arial"/>
                <w:bCs/>
                <w:color w:val="000000"/>
                <w:lang w:eastAsia="zh-CN" w:bidi="th-TH"/>
              </w:rPr>
              <w:t>$91 million</w:t>
            </w:r>
          </w:p>
        </w:tc>
        <w:tc>
          <w:tcPr>
            <w:tcW w:w="1250" w:type="pct"/>
            <w:tcBorders>
              <w:top w:val="single" w:sz="4" w:space="0" w:color="B3B3B3"/>
              <w:bottom w:val="nil"/>
            </w:tcBorders>
            <w:shd w:val="clear" w:color="auto" w:fill="E6E6E6"/>
          </w:tcPr>
          <w:p w14:paraId="60F72E6C" w14:textId="67E95F96" w:rsidR="007F0479" w:rsidRPr="007F0479" w:rsidRDefault="007F0479" w:rsidP="00E43776">
            <w:pPr>
              <w:pStyle w:val="TableBody"/>
              <w:spacing w:before="45" w:after="45"/>
              <w:ind w:right="108"/>
              <w:jc w:val="right"/>
              <w:rPr>
                <w:rFonts w:ascii="Arial (Body)" w:hAnsi="Arial (Body)"/>
                <w:color w:val="000000"/>
              </w:rPr>
            </w:pPr>
            <w:r w:rsidRPr="007F0479">
              <w:rPr>
                <w:rFonts w:ascii="Arial (Body)" w:eastAsia="Times New Roman" w:hAnsi="Arial (Body)" w:cs="Arial"/>
                <w:color w:val="000000"/>
                <w:lang w:eastAsia="zh-CN" w:bidi="th-TH"/>
              </w:rPr>
              <w:t xml:space="preserve">$56 </w:t>
            </w:r>
            <w:r w:rsidRPr="007F0479">
              <w:rPr>
                <w:rFonts w:ascii="Arial (Body)" w:eastAsia="Times New Roman" w:hAnsi="Arial (Body)" w:cs="Arial"/>
                <w:bCs/>
                <w:color w:val="000000"/>
                <w:lang w:eastAsia="zh-CN" w:bidi="th-TH"/>
              </w:rPr>
              <w:t>million</w:t>
            </w:r>
          </w:p>
        </w:tc>
        <w:tc>
          <w:tcPr>
            <w:tcW w:w="1250" w:type="pct"/>
            <w:tcBorders>
              <w:top w:val="single" w:sz="4" w:space="0" w:color="B3B3B3"/>
              <w:bottom w:val="nil"/>
            </w:tcBorders>
            <w:shd w:val="clear" w:color="auto" w:fill="E6E6E6"/>
          </w:tcPr>
          <w:p w14:paraId="05BCC4C6" w14:textId="7CF5ADCC" w:rsidR="007F0479" w:rsidRPr="007F0479" w:rsidRDefault="007F0479" w:rsidP="00E43776">
            <w:pPr>
              <w:pStyle w:val="TableBody"/>
              <w:spacing w:before="45" w:after="45"/>
              <w:ind w:right="108"/>
              <w:jc w:val="right"/>
              <w:rPr>
                <w:rFonts w:ascii="Arial (Body)" w:hAnsi="Arial (Body)"/>
                <w:color w:val="000000"/>
              </w:rPr>
            </w:pPr>
            <w:r w:rsidRPr="007F0479">
              <w:rPr>
                <w:rFonts w:ascii="Arial (Body)" w:eastAsia="Times New Roman" w:hAnsi="Arial (Body)" w:cstheme="minorHAnsi"/>
                <w:color w:val="000000"/>
                <w:lang w:eastAsia="zh-CN" w:bidi="th-TH"/>
              </w:rPr>
              <w:t xml:space="preserve">$36 </w:t>
            </w:r>
            <w:r w:rsidRPr="007F0479">
              <w:rPr>
                <w:rFonts w:ascii="Arial (Body)" w:eastAsia="Times New Roman" w:hAnsi="Arial (Body)" w:cs="Arial"/>
                <w:bCs/>
                <w:color w:val="000000"/>
                <w:lang w:eastAsia="zh-CN" w:bidi="th-TH"/>
              </w:rPr>
              <w:t>million</w:t>
            </w:r>
          </w:p>
        </w:tc>
      </w:tr>
      <w:tr w:rsidR="007F0479" w:rsidRPr="007F0479" w14:paraId="79B0AA7B" w14:textId="77777777" w:rsidTr="007F0479">
        <w:tc>
          <w:tcPr>
            <w:tcW w:w="1250" w:type="pct"/>
            <w:tcBorders>
              <w:top w:val="nil"/>
              <w:bottom w:val="nil"/>
            </w:tcBorders>
            <w:shd w:val="clear" w:color="000000" w:fill="auto"/>
          </w:tcPr>
          <w:p w14:paraId="5B2C097B" w14:textId="0D194A05" w:rsidR="007F0479" w:rsidRPr="007F0479" w:rsidRDefault="007F0479" w:rsidP="007F0479">
            <w:pPr>
              <w:pStyle w:val="TableHeading"/>
              <w:spacing w:before="45" w:after="45"/>
              <w:ind w:right="108"/>
              <w:rPr>
                <w:rFonts w:ascii="Arial (Body)" w:hAnsi="Arial (Body)"/>
                <w:color w:val="265A9A"/>
              </w:rPr>
            </w:pPr>
            <w:r w:rsidRPr="007F0479">
              <w:rPr>
                <w:rFonts w:ascii="Arial (Body)" w:eastAsia="Times New Roman" w:hAnsi="Arial (Body)" w:cs="Arial"/>
                <w:bCs/>
                <w:color w:val="265A9A"/>
                <w:lang w:eastAsia="zh-CN" w:bidi="th-TH"/>
              </w:rPr>
              <w:t>Worker</w:t>
            </w:r>
          </w:p>
        </w:tc>
        <w:tc>
          <w:tcPr>
            <w:tcW w:w="1250" w:type="pct"/>
            <w:tcBorders>
              <w:top w:val="nil"/>
              <w:bottom w:val="nil"/>
            </w:tcBorders>
            <w:shd w:val="clear" w:color="000000" w:fill="auto"/>
          </w:tcPr>
          <w:p w14:paraId="6C9786E6" w14:textId="130E55D8" w:rsidR="007F0479" w:rsidRPr="007F0479" w:rsidRDefault="007F0479" w:rsidP="00E43776">
            <w:pPr>
              <w:pStyle w:val="TableBody"/>
              <w:spacing w:before="45" w:after="45"/>
              <w:ind w:right="108"/>
              <w:jc w:val="right"/>
              <w:rPr>
                <w:rFonts w:ascii="Arial (Body)" w:hAnsi="Arial (Body)"/>
                <w:color w:val="000000"/>
              </w:rPr>
            </w:pPr>
            <w:r w:rsidRPr="007F0479">
              <w:rPr>
                <w:rFonts w:ascii="Arial (Body)" w:eastAsia="Times New Roman" w:hAnsi="Arial (Body)" w:cs="Arial"/>
                <w:bCs/>
                <w:color w:val="000000"/>
                <w:lang w:eastAsia="zh-CN" w:bidi="th-TH"/>
              </w:rPr>
              <w:t>$88 million</w:t>
            </w:r>
          </w:p>
        </w:tc>
        <w:tc>
          <w:tcPr>
            <w:tcW w:w="1250" w:type="pct"/>
            <w:tcBorders>
              <w:top w:val="nil"/>
              <w:bottom w:val="nil"/>
            </w:tcBorders>
            <w:shd w:val="clear" w:color="000000" w:fill="auto"/>
          </w:tcPr>
          <w:p w14:paraId="43749E62" w14:textId="23CCC06C" w:rsidR="007F0479" w:rsidRPr="007F0479" w:rsidRDefault="007F0479" w:rsidP="00E43776">
            <w:pPr>
              <w:pStyle w:val="TableBody"/>
              <w:spacing w:before="45" w:after="45"/>
              <w:ind w:right="108"/>
              <w:jc w:val="right"/>
              <w:rPr>
                <w:rFonts w:ascii="Arial (Body)" w:hAnsi="Arial (Body)"/>
                <w:color w:val="000000"/>
              </w:rPr>
            </w:pPr>
            <w:r w:rsidRPr="007F0479">
              <w:rPr>
                <w:rFonts w:ascii="Arial (Body)" w:eastAsia="Times New Roman" w:hAnsi="Arial (Body)" w:cs="Arial"/>
                <w:color w:val="000000"/>
                <w:lang w:eastAsia="zh-CN" w:bidi="th-TH"/>
              </w:rPr>
              <w:t xml:space="preserve">$55 </w:t>
            </w:r>
            <w:r w:rsidRPr="007F0479">
              <w:rPr>
                <w:rFonts w:ascii="Arial (Body)" w:eastAsia="Times New Roman" w:hAnsi="Arial (Body)" w:cs="Arial"/>
                <w:bCs/>
                <w:color w:val="000000"/>
                <w:lang w:eastAsia="zh-CN" w:bidi="th-TH"/>
              </w:rPr>
              <w:t>million</w:t>
            </w:r>
          </w:p>
        </w:tc>
        <w:tc>
          <w:tcPr>
            <w:tcW w:w="1250" w:type="pct"/>
            <w:tcBorders>
              <w:top w:val="nil"/>
              <w:bottom w:val="nil"/>
            </w:tcBorders>
            <w:shd w:val="clear" w:color="000000" w:fill="auto"/>
          </w:tcPr>
          <w:p w14:paraId="6BECE240" w14:textId="44478B32" w:rsidR="007F0479" w:rsidRPr="007F0479" w:rsidRDefault="007F0479" w:rsidP="00E43776">
            <w:pPr>
              <w:pStyle w:val="TableBody"/>
              <w:spacing w:before="45" w:after="45"/>
              <w:ind w:right="108"/>
              <w:jc w:val="right"/>
              <w:rPr>
                <w:rFonts w:ascii="Arial (Body)" w:hAnsi="Arial (Body)"/>
                <w:color w:val="000000"/>
              </w:rPr>
            </w:pPr>
            <w:r w:rsidRPr="007F0479">
              <w:rPr>
                <w:rFonts w:ascii="Arial (Body)" w:eastAsia="Times New Roman" w:hAnsi="Arial (Body)" w:cs="Arial"/>
                <w:color w:val="000000"/>
                <w:lang w:eastAsia="zh-CN" w:bidi="th-TH"/>
              </w:rPr>
              <w:t>$34</w:t>
            </w:r>
            <w:r w:rsidRPr="007F0479">
              <w:rPr>
                <w:rFonts w:ascii="Arial (Body)" w:eastAsia="Times New Roman" w:hAnsi="Arial (Body)" w:cs="Arial"/>
                <w:bCs/>
                <w:color w:val="000000"/>
                <w:lang w:eastAsia="zh-CN" w:bidi="th-TH"/>
              </w:rPr>
              <w:t xml:space="preserve"> million</w:t>
            </w:r>
          </w:p>
        </w:tc>
      </w:tr>
      <w:tr w:rsidR="007F0479" w:rsidRPr="007F0479" w14:paraId="65EBA787" w14:textId="77777777" w:rsidTr="00F35A31">
        <w:tc>
          <w:tcPr>
            <w:tcW w:w="1250" w:type="pct"/>
            <w:tcBorders>
              <w:bottom w:val="single" w:sz="4" w:space="0" w:color="B3B3B3"/>
            </w:tcBorders>
            <w:shd w:val="clear" w:color="auto" w:fill="E6E6E6"/>
          </w:tcPr>
          <w:p w14:paraId="09892CFE" w14:textId="168BB6E0" w:rsidR="007F0479" w:rsidRPr="007F0479" w:rsidRDefault="007F0479" w:rsidP="007F0479">
            <w:pPr>
              <w:pStyle w:val="TableHeading"/>
              <w:spacing w:before="45" w:after="45"/>
              <w:ind w:right="108"/>
              <w:rPr>
                <w:rFonts w:ascii="Arial (Body)" w:hAnsi="Arial (Body)"/>
                <w:color w:val="265A9A"/>
              </w:rPr>
            </w:pPr>
            <w:r w:rsidRPr="007F0479">
              <w:rPr>
                <w:rFonts w:ascii="Arial (Body)" w:eastAsia="Times New Roman" w:hAnsi="Arial (Body)" w:cs="Arial"/>
                <w:bCs/>
                <w:color w:val="265A9A"/>
                <w:lang w:eastAsia="zh-CN" w:bidi="th-TH"/>
              </w:rPr>
              <w:t>Total</w:t>
            </w:r>
          </w:p>
        </w:tc>
        <w:tc>
          <w:tcPr>
            <w:tcW w:w="1250" w:type="pct"/>
            <w:tcBorders>
              <w:bottom w:val="single" w:sz="4" w:space="0" w:color="B3B3B3"/>
            </w:tcBorders>
            <w:shd w:val="clear" w:color="auto" w:fill="E6E6E6"/>
          </w:tcPr>
          <w:p w14:paraId="0DCFCE55" w14:textId="07B3C433" w:rsidR="007F0479" w:rsidRPr="000F3AF6" w:rsidRDefault="007F0479" w:rsidP="00E43776">
            <w:pPr>
              <w:pStyle w:val="TableBody"/>
              <w:spacing w:before="45" w:after="45"/>
              <w:ind w:right="108"/>
              <w:jc w:val="right"/>
              <w:rPr>
                <w:rFonts w:ascii="Arial (Body)" w:hAnsi="Arial (Body)"/>
                <w:b/>
                <w:bCs/>
                <w:color w:val="000000"/>
              </w:rPr>
            </w:pPr>
            <w:r w:rsidRPr="000F3AF6">
              <w:rPr>
                <w:rFonts w:ascii="Arial (Body)" w:eastAsia="Times New Roman" w:hAnsi="Arial (Body)" w:cs="Arial"/>
                <w:b/>
                <w:bCs/>
                <w:color w:val="000000"/>
                <w:lang w:eastAsia="zh-CN" w:bidi="th-TH"/>
              </w:rPr>
              <w:t>$180 million</w:t>
            </w:r>
          </w:p>
        </w:tc>
        <w:tc>
          <w:tcPr>
            <w:tcW w:w="1250" w:type="pct"/>
            <w:tcBorders>
              <w:bottom w:val="single" w:sz="4" w:space="0" w:color="B3B3B3"/>
            </w:tcBorders>
            <w:shd w:val="clear" w:color="auto" w:fill="E6E6E6"/>
          </w:tcPr>
          <w:p w14:paraId="6E8FCCEF" w14:textId="79311350" w:rsidR="007F0479" w:rsidRPr="000F3AF6" w:rsidRDefault="007F0479" w:rsidP="00E43776">
            <w:pPr>
              <w:pStyle w:val="TableBody"/>
              <w:spacing w:before="45" w:after="45"/>
              <w:ind w:right="108"/>
              <w:jc w:val="right"/>
              <w:rPr>
                <w:rFonts w:ascii="Arial (Body)" w:hAnsi="Arial (Body)"/>
                <w:b/>
                <w:bCs/>
                <w:color w:val="000000"/>
              </w:rPr>
            </w:pPr>
            <w:r w:rsidRPr="000F3AF6">
              <w:rPr>
                <w:rFonts w:ascii="Arial (Body)" w:eastAsia="Times New Roman" w:hAnsi="Arial (Body)" w:cs="Arial"/>
                <w:b/>
                <w:bCs/>
                <w:color w:val="000000"/>
                <w:lang w:eastAsia="zh-CN" w:bidi="th-TH"/>
              </w:rPr>
              <w:t>$111 million</w:t>
            </w:r>
          </w:p>
        </w:tc>
        <w:tc>
          <w:tcPr>
            <w:tcW w:w="1250" w:type="pct"/>
            <w:tcBorders>
              <w:bottom w:val="single" w:sz="4" w:space="0" w:color="B3B3B3"/>
            </w:tcBorders>
            <w:shd w:val="clear" w:color="auto" w:fill="E6E6E6"/>
          </w:tcPr>
          <w:p w14:paraId="1DB5E3AA" w14:textId="37310312" w:rsidR="007F0479" w:rsidRPr="000F3AF6" w:rsidRDefault="007F0479" w:rsidP="00E43776">
            <w:pPr>
              <w:pStyle w:val="TableBody"/>
              <w:spacing w:before="45" w:after="45"/>
              <w:ind w:right="108"/>
              <w:jc w:val="right"/>
              <w:rPr>
                <w:rFonts w:ascii="Arial (Body)" w:hAnsi="Arial (Body)"/>
                <w:b/>
                <w:bCs/>
                <w:color w:val="000000"/>
              </w:rPr>
            </w:pPr>
            <w:r w:rsidRPr="000F3AF6">
              <w:rPr>
                <w:rFonts w:ascii="Arial (Body)" w:eastAsia="Times New Roman" w:hAnsi="Arial (Body)" w:cs="Arial"/>
                <w:b/>
                <w:bCs/>
                <w:color w:val="000000"/>
                <w:lang w:eastAsia="zh-CN" w:bidi="th-TH"/>
              </w:rPr>
              <w:t>$70 million</w:t>
            </w:r>
          </w:p>
        </w:tc>
      </w:tr>
    </w:tbl>
    <w:p w14:paraId="6DA3B433" w14:textId="47B65C6B" w:rsidR="00D94B88" w:rsidRDefault="00DA4A30">
      <w:pPr>
        <w:pStyle w:val="Note"/>
        <w:rPr>
          <w:rFonts w:ascii="Arial" w:hAnsi="Arial" w:cs="Arial"/>
          <w:color w:val="000000"/>
        </w:rPr>
      </w:pPr>
      <w:r>
        <w:t>F</w:t>
      </w:r>
      <w:r w:rsidR="00D94B88" w:rsidRPr="00942322">
        <w:t xml:space="preserve">igures are rounded and totals may not </w:t>
      </w:r>
      <w:r w:rsidR="00D94B88">
        <w:rPr>
          <w:rFonts w:ascii="Arial" w:hAnsi="Arial" w:cs="Arial"/>
          <w:color w:val="000000"/>
        </w:rPr>
        <w:t xml:space="preserve">sum </w:t>
      </w:r>
      <w:r w:rsidR="00D94B88" w:rsidRPr="00942322">
        <w:rPr>
          <w:rFonts w:ascii="Arial" w:hAnsi="Arial" w:cs="Arial"/>
          <w:color w:val="000000"/>
        </w:rPr>
        <w:t>exactly.</w:t>
      </w:r>
    </w:p>
    <w:p w14:paraId="76A7A4E3" w14:textId="4621C636" w:rsidR="00DF4CAF" w:rsidRDefault="00D94B88" w:rsidP="00DF4CAF">
      <w:pPr>
        <w:pStyle w:val="FigureTableHeading"/>
      </w:pPr>
      <w:r w:rsidRPr="008D3B69">
        <w:t xml:space="preserve">Table </w:t>
      </w:r>
      <w:r>
        <w:t>B</w:t>
      </w:r>
      <w:r w:rsidRPr="008D3B69">
        <w:t>.</w:t>
      </w:r>
      <w:r>
        <w:t>4</w:t>
      </w:r>
      <w:r w:rsidR="00DF4CAF">
        <w:rPr>
          <w:noProof/>
        </w:rPr>
        <w:t xml:space="preserve"> – Breakdown of benefits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58"/>
        <w:gridCol w:w="1417"/>
        <w:gridCol w:w="1608"/>
        <w:gridCol w:w="1608"/>
        <w:gridCol w:w="1608"/>
        <w:gridCol w:w="1839"/>
      </w:tblGrid>
      <w:tr w:rsidR="00DF4CAF" w:rsidRPr="008931B6" w14:paraId="22B60EB3" w14:textId="77777777" w:rsidTr="000F3AF6">
        <w:trPr>
          <w:tblHeader/>
        </w:trPr>
        <w:tc>
          <w:tcPr>
            <w:tcW w:w="809" w:type="pct"/>
            <w:tcBorders>
              <w:bottom w:val="single" w:sz="4" w:space="0" w:color="B3B3B3"/>
            </w:tcBorders>
            <w:shd w:val="clear" w:color="000000" w:fill="auto"/>
            <w:vAlign w:val="bottom"/>
          </w:tcPr>
          <w:p w14:paraId="186D9A8B" w14:textId="77777777" w:rsidR="00DF4CAF" w:rsidRPr="008931B6" w:rsidRDefault="00DF4CAF">
            <w:pPr>
              <w:pStyle w:val="TableHeading"/>
              <w:spacing w:before="45" w:after="45"/>
              <w:ind w:right="108"/>
              <w:rPr>
                <w:rFonts w:ascii="Arial (Body)" w:hAnsi="Arial (Body)"/>
                <w:color w:val="265A9A"/>
              </w:rPr>
            </w:pPr>
            <w:r w:rsidRPr="008931B6">
              <w:rPr>
                <w:rFonts w:ascii="Arial (Body)" w:hAnsi="Arial (Body)"/>
                <w:color w:val="265A9A"/>
              </w:rPr>
              <w:t>Measure</w:t>
            </w:r>
          </w:p>
        </w:tc>
        <w:tc>
          <w:tcPr>
            <w:tcW w:w="735" w:type="pct"/>
            <w:tcBorders>
              <w:bottom w:val="single" w:sz="4" w:space="0" w:color="B3B3B3"/>
            </w:tcBorders>
            <w:shd w:val="clear" w:color="000000" w:fill="auto"/>
            <w:vAlign w:val="bottom"/>
          </w:tcPr>
          <w:p w14:paraId="3FCE868F" w14:textId="77777777" w:rsidR="00DF4CAF" w:rsidRPr="008931B6" w:rsidRDefault="00DF4CAF" w:rsidP="00E43776">
            <w:pPr>
              <w:pStyle w:val="TableHeading"/>
              <w:spacing w:before="45" w:after="45"/>
              <w:ind w:right="108"/>
              <w:jc w:val="right"/>
              <w:rPr>
                <w:rFonts w:ascii="Arial (Body)" w:hAnsi="Arial (Body)"/>
                <w:color w:val="265A9A"/>
              </w:rPr>
            </w:pPr>
            <w:r w:rsidRPr="008931B6">
              <w:rPr>
                <w:rFonts w:ascii="Arial (Body)" w:hAnsi="Arial (Body)"/>
                <w:color w:val="265A9A"/>
              </w:rPr>
              <w:t>Hours saved</w:t>
            </w:r>
          </w:p>
        </w:tc>
        <w:tc>
          <w:tcPr>
            <w:tcW w:w="834" w:type="pct"/>
            <w:tcBorders>
              <w:bottom w:val="single" w:sz="4" w:space="0" w:color="B3B3B3"/>
            </w:tcBorders>
            <w:shd w:val="clear" w:color="000000" w:fill="auto"/>
            <w:vAlign w:val="bottom"/>
          </w:tcPr>
          <w:p w14:paraId="710D0166" w14:textId="77777777" w:rsidR="00DF4CAF" w:rsidRPr="008931B6" w:rsidRDefault="00DF4CAF" w:rsidP="00E43776">
            <w:pPr>
              <w:pStyle w:val="TableHeading"/>
              <w:spacing w:before="45" w:after="45"/>
              <w:ind w:right="108"/>
              <w:jc w:val="right"/>
              <w:rPr>
                <w:rFonts w:ascii="Arial (Body)" w:hAnsi="Arial (Body)"/>
                <w:color w:val="265A9A"/>
                <w:vertAlign w:val="superscript"/>
              </w:rPr>
            </w:pPr>
            <w:r w:rsidRPr="008931B6">
              <w:rPr>
                <w:rFonts w:ascii="Arial (Body)" w:hAnsi="Arial (Body)"/>
                <w:color w:val="265A9A"/>
              </w:rPr>
              <w:t>Equivalent wages</w:t>
            </w:r>
          </w:p>
        </w:tc>
        <w:tc>
          <w:tcPr>
            <w:tcW w:w="834" w:type="pct"/>
            <w:tcBorders>
              <w:bottom w:val="single" w:sz="4" w:space="0" w:color="B3B3B3"/>
            </w:tcBorders>
            <w:shd w:val="clear" w:color="000000" w:fill="auto"/>
            <w:vAlign w:val="bottom"/>
          </w:tcPr>
          <w:p w14:paraId="1AFBA403" w14:textId="77777777" w:rsidR="00DF4CAF" w:rsidRPr="008931B6" w:rsidRDefault="00DF4CAF" w:rsidP="00E43776">
            <w:pPr>
              <w:pStyle w:val="TableHeading"/>
              <w:spacing w:before="45" w:after="45"/>
              <w:ind w:right="108"/>
              <w:jc w:val="right"/>
              <w:rPr>
                <w:rFonts w:ascii="Arial (Body)" w:hAnsi="Arial (Body)"/>
                <w:color w:val="265A9A"/>
              </w:rPr>
            </w:pPr>
            <w:r w:rsidRPr="008931B6">
              <w:rPr>
                <w:rFonts w:ascii="Arial (Body)" w:hAnsi="Arial (Body)"/>
                <w:color w:val="265A9A"/>
              </w:rPr>
              <w:t>Fees saved</w:t>
            </w:r>
          </w:p>
        </w:tc>
        <w:tc>
          <w:tcPr>
            <w:tcW w:w="834" w:type="pct"/>
            <w:tcBorders>
              <w:bottom w:val="single" w:sz="4" w:space="0" w:color="B3B3B3"/>
            </w:tcBorders>
            <w:shd w:val="clear" w:color="000000" w:fill="auto"/>
            <w:vAlign w:val="bottom"/>
          </w:tcPr>
          <w:p w14:paraId="42CFC79A" w14:textId="2DFA7493" w:rsidR="00DF4CAF" w:rsidRPr="008931B6" w:rsidRDefault="00DF4CAF" w:rsidP="00E43776">
            <w:pPr>
              <w:pStyle w:val="TableHeading"/>
              <w:spacing w:before="45" w:after="45"/>
              <w:ind w:right="108"/>
              <w:jc w:val="right"/>
              <w:rPr>
                <w:rFonts w:ascii="Arial (Body)" w:hAnsi="Arial (Body)"/>
                <w:color w:val="265A9A"/>
              </w:rPr>
            </w:pPr>
            <w:r w:rsidRPr="008931B6">
              <w:rPr>
                <w:rFonts w:ascii="Arial (Body)" w:hAnsi="Arial (Body)"/>
                <w:color w:val="265A9A"/>
              </w:rPr>
              <w:t>Total benefit per</w:t>
            </w:r>
            <w:r w:rsidR="00E43776">
              <w:rPr>
                <w:rFonts w:ascii="Arial (Body)" w:hAnsi="Arial (Body)" w:hint="eastAsia"/>
                <w:color w:val="265A9A"/>
              </w:rPr>
              <w:t> </w:t>
            </w:r>
            <w:r w:rsidRPr="008931B6">
              <w:rPr>
                <w:rFonts w:ascii="Arial (Body)" w:hAnsi="Arial (Body)"/>
                <w:color w:val="265A9A"/>
              </w:rPr>
              <w:t>year</w:t>
            </w:r>
          </w:p>
        </w:tc>
        <w:tc>
          <w:tcPr>
            <w:tcW w:w="955" w:type="pct"/>
            <w:tcBorders>
              <w:bottom w:val="single" w:sz="4" w:space="0" w:color="B3B3B3"/>
            </w:tcBorders>
            <w:shd w:val="clear" w:color="000000" w:fill="auto"/>
            <w:vAlign w:val="bottom"/>
          </w:tcPr>
          <w:p w14:paraId="382947D9" w14:textId="6688D283" w:rsidR="00DF4CAF" w:rsidRPr="008931B6" w:rsidRDefault="00DF4CAF" w:rsidP="00E43776">
            <w:pPr>
              <w:pStyle w:val="TableHeading"/>
              <w:spacing w:before="45" w:after="45"/>
              <w:ind w:right="108"/>
              <w:jc w:val="right"/>
              <w:rPr>
                <w:rFonts w:ascii="Arial (Body)" w:hAnsi="Arial (Body)"/>
                <w:color w:val="265A9A"/>
              </w:rPr>
            </w:pPr>
            <w:r w:rsidRPr="008931B6">
              <w:rPr>
                <w:rFonts w:ascii="Arial (Body)" w:hAnsi="Arial (Body)"/>
                <w:color w:val="265A9A"/>
              </w:rPr>
              <w:t xml:space="preserve">Equivalent </w:t>
            </w:r>
            <w:r w:rsidR="00E43776">
              <w:rPr>
                <w:rFonts w:ascii="Arial (Body)" w:hAnsi="Arial (Body)"/>
                <w:color w:val="265A9A"/>
              </w:rPr>
              <w:br/>
            </w:r>
            <w:r w:rsidRPr="008931B6">
              <w:rPr>
                <w:rFonts w:ascii="Arial (Body)" w:hAnsi="Arial (Body)"/>
                <w:color w:val="265A9A"/>
              </w:rPr>
              <w:t>care hours</w:t>
            </w:r>
          </w:p>
        </w:tc>
      </w:tr>
      <w:tr w:rsidR="00DF4CAF" w:rsidRPr="008931B6" w14:paraId="3DB28046" w14:textId="77777777" w:rsidTr="00F35A31">
        <w:tc>
          <w:tcPr>
            <w:tcW w:w="809" w:type="pct"/>
            <w:tcBorders>
              <w:top w:val="single" w:sz="4" w:space="0" w:color="B3B3B3"/>
              <w:bottom w:val="nil"/>
            </w:tcBorders>
            <w:shd w:val="clear" w:color="auto" w:fill="E6E6E6"/>
          </w:tcPr>
          <w:p w14:paraId="3D5EABB7" w14:textId="77777777" w:rsidR="00DF4CAF" w:rsidRPr="008931B6" w:rsidRDefault="00DF4CAF">
            <w:pPr>
              <w:pStyle w:val="TableHeading"/>
              <w:spacing w:before="45" w:after="45"/>
              <w:ind w:right="108"/>
              <w:rPr>
                <w:rFonts w:ascii="Arial (Body)" w:hAnsi="Arial (Body)"/>
                <w:color w:val="265A9A"/>
              </w:rPr>
            </w:pPr>
            <w:r w:rsidRPr="008931B6">
              <w:rPr>
                <w:rFonts w:ascii="Arial (Body)" w:hAnsi="Arial (Body)"/>
                <w:color w:val="265A9A"/>
              </w:rPr>
              <w:t>Providers</w:t>
            </w:r>
          </w:p>
        </w:tc>
        <w:tc>
          <w:tcPr>
            <w:tcW w:w="735" w:type="pct"/>
            <w:tcBorders>
              <w:top w:val="single" w:sz="4" w:space="0" w:color="B3B3B3"/>
              <w:bottom w:val="nil"/>
            </w:tcBorders>
            <w:shd w:val="clear" w:color="auto" w:fill="E6E6E6"/>
          </w:tcPr>
          <w:p w14:paraId="73EE5847" w14:textId="77777777" w:rsidR="00DF4CAF" w:rsidRPr="008931B6" w:rsidRDefault="00DF4CAF" w:rsidP="00E43776">
            <w:pPr>
              <w:pStyle w:val="TableBody"/>
              <w:spacing w:before="45" w:after="45"/>
              <w:ind w:right="108"/>
              <w:jc w:val="right"/>
              <w:rPr>
                <w:rFonts w:ascii="Arial (Body)" w:hAnsi="Arial (Body)"/>
                <w:color w:val="000000"/>
              </w:rPr>
            </w:pPr>
            <w:r w:rsidRPr="008931B6">
              <w:rPr>
                <w:rFonts w:ascii="Arial (Body)" w:hAnsi="Arial (Body)"/>
                <w:color w:val="000000"/>
              </w:rPr>
              <w:t>182,000 hours</w:t>
            </w:r>
          </w:p>
        </w:tc>
        <w:tc>
          <w:tcPr>
            <w:tcW w:w="834" w:type="pct"/>
            <w:tcBorders>
              <w:top w:val="single" w:sz="4" w:space="0" w:color="B3B3B3"/>
              <w:bottom w:val="nil"/>
            </w:tcBorders>
            <w:shd w:val="clear" w:color="auto" w:fill="E6E6E6"/>
          </w:tcPr>
          <w:p w14:paraId="19BDA2F7" w14:textId="4B78CB4D" w:rsidR="00DF4CAF" w:rsidRPr="008931B6" w:rsidRDefault="00E43776" w:rsidP="00E43776">
            <w:pPr>
              <w:pStyle w:val="TableBody"/>
              <w:spacing w:before="45" w:after="45"/>
              <w:ind w:right="108"/>
              <w:jc w:val="right"/>
              <w:rPr>
                <w:rFonts w:ascii="Arial (Body)" w:hAnsi="Arial (Body)"/>
                <w:color w:val="000000"/>
              </w:rPr>
            </w:pPr>
            <w:r>
              <w:rPr>
                <w:rFonts w:ascii="Arial (Body)" w:hAnsi="Arial (Body)"/>
                <w:color w:val="000000"/>
              </w:rPr>
              <w:t>$</w:t>
            </w:r>
            <w:r w:rsidR="00DF4CAF" w:rsidRPr="008931B6">
              <w:rPr>
                <w:rFonts w:ascii="Arial (Body)" w:hAnsi="Arial (Body)"/>
                <w:color w:val="000000"/>
              </w:rPr>
              <w:t>23 million</w:t>
            </w:r>
          </w:p>
        </w:tc>
        <w:tc>
          <w:tcPr>
            <w:tcW w:w="834" w:type="pct"/>
            <w:tcBorders>
              <w:top w:val="single" w:sz="4" w:space="0" w:color="B3B3B3"/>
              <w:bottom w:val="nil"/>
            </w:tcBorders>
            <w:shd w:val="clear" w:color="auto" w:fill="E6E6E6"/>
          </w:tcPr>
          <w:p w14:paraId="1B21AB49" w14:textId="75342575" w:rsidR="00DF4CAF" w:rsidRPr="008931B6" w:rsidRDefault="00E43776" w:rsidP="00E43776">
            <w:pPr>
              <w:pStyle w:val="TableBody"/>
              <w:spacing w:before="45" w:after="45"/>
              <w:ind w:right="108"/>
              <w:jc w:val="right"/>
              <w:rPr>
                <w:rFonts w:ascii="Arial (Body)" w:hAnsi="Arial (Body)"/>
                <w:color w:val="000000"/>
              </w:rPr>
            </w:pPr>
            <w:r>
              <w:rPr>
                <w:rFonts w:ascii="Arial (Body)" w:hAnsi="Arial (Body)"/>
                <w:color w:val="000000"/>
              </w:rPr>
              <w:t>$</w:t>
            </w:r>
            <w:r w:rsidR="00DF4CAF" w:rsidRPr="008931B6">
              <w:rPr>
                <w:rFonts w:ascii="Arial (Body)" w:hAnsi="Arial (Body)"/>
                <w:color w:val="000000"/>
              </w:rPr>
              <w:t xml:space="preserve">68 million </w:t>
            </w:r>
          </w:p>
        </w:tc>
        <w:tc>
          <w:tcPr>
            <w:tcW w:w="834" w:type="pct"/>
            <w:tcBorders>
              <w:top w:val="single" w:sz="4" w:space="0" w:color="B3B3B3"/>
              <w:bottom w:val="nil"/>
            </w:tcBorders>
            <w:shd w:val="clear" w:color="auto" w:fill="E6E6E6"/>
          </w:tcPr>
          <w:p w14:paraId="75B4C2EB" w14:textId="1C91F370" w:rsidR="00DF4CAF" w:rsidRPr="008931B6" w:rsidRDefault="00E43776" w:rsidP="00E43776">
            <w:pPr>
              <w:pStyle w:val="TableBody"/>
              <w:spacing w:before="45" w:after="45"/>
              <w:ind w:right="108"/>
              <w:jc w:val="right"/>
              <w:rPr>
                <w:rFonts w:ascii="Arial (Body)" w:hAnsi="Arial (Body)"/>
                <w:color w:val="000000"/>
              </w:rPr>
            </w:pPr>
            <w:r>
              <w:rPr>
                <w:rFonts w:ascii="Arial (Body)" w:hAnsi="Arial (Body)"/>
                <w:color w:val="000000"/>
              </w:rPr>
              <w:t>$</w:t>
            </w:r>
            <w:r w:rsidR="00DF4CAF" w:rsidRPr="008931B6">
              <w:rPr>
                <w:rFonts w:ascii="Arial (Body)" w:hAnsi="Arial (Body)"/>
                <w:color w:val="000000"/>
              </w:rPr>
              <w:t xml:space="preserve">91 million </w:t>
            </w:r>
          </w:p>
        </w:tc>
        <w:tc>
          <w:tcPr>
            <w:tcW w:w="955" w:type="pct"/>
            <w:tcBorders>
              <w:top w:val="single" w:sz="4" w:space="0" w:color="B3B3B3"/>
              <w:bottom w:val="nil"/>
            </w:tcBorders>
            <w:shd w:val="clear" w:color="auto" w:fill="E6E6E6"/>
          </w:tcPr>
          <w:p w14:paraId="32A6A270" w14:textId="4426D501" w:rsidR="00DF4CAF" w:rsidRPr="008931B6" w:rsidRDefault="00DF4CAF" w:rsidP="00E43776">
            <w:pPr>
              <w:pStyle w:val="TableBody"/>
              <w:spacing w:before="45" w:after="45"/>
              <w:ind w:right="108"/>
              <w:jc w:val="right"/>
              <w:rPr>
                <w:rFonts w:ascii="Arial (Body)" w:hAnsi="Arial (Body)"/>
                <w:color w:val="000000"/>
              </w:rPr>
            </w:pPr>
            <w:r w:rsidRPr="008931B6">
              <w:rPr>
                <w:rFonts w:ascii="Arial (Body)" w:hAnsi="Arial (Body)"/>
                <w:color w:val="000000"/>
              </w:rPr>
              <w:t>1</w:t>
            </w:r>
            <w:r>
              <w:rPr>
                <w:rFonts w:ascii="Arial (Body)" w:hAnsi="Arial (Body)"/>
                <w:color w:val="000000"/>
              </w:rPr>
              <w:t>.1</w:t>
            </w:r>
            <w:r w:rsidRPr="008931B6">
              <w:rPr>
                <w:rFonts w:ascii="Arial (Body)" w:hAnsi="Arial (Body)"/>
                <w:color w:val="000000"/>
              </w:rPr>
              <w:t xml:space="preserve"> million hours</w:t>
            </w:r>
          </w:p>
        </w:tc>
      </w:tr>
      <w:tr w:rsidR="00DF4CAF" w:rsidRPr="008931B6" w14:paraId="0991D3A4" w14:textId="77777777" w:rsidTr="000F3AF6">
        <w:tc>
          <w:tcPr>
            <w:tcW w:w="809" w:type="pct"/>
            <w:tcBorders>
              <w:top w:val="nil"/>
              <w:bottom w:val="nil"/>
            </w:tcBorders>
            <w:shd w:val="clear" w:color="000000" w:fill="auto"/>
          </w:tcPr>
          <w:p w14:paraId="03EFD241" w14:textId="77777777" w:rsidR="00DF4CAF" w:rsidRPr="008931B6" w:rsidRDefault="00DF4CAF">
            <w:pPr>
              <w:pStyle w:val="TableHeading"/>
              <w:spacing w:before="45" w:after="45"/>
              <w:ind w:right="108"/>
              <w:rPr>
                <w:rFonts w:ascii="Arial (Body)" w:hAnsi="Arial (Body)"/>
                <w:color w:val="265A9A"/>
              </w:rPr>
            </w:pPr>
            <w:r w:rsidRPr="008931B6">
              <w:rPr>
                <w:rFonts w:ascii="Arial (Body)" w:hAnsi="Arial (Body)"/>
                <w:color w:val="265A9A"/>
              </w:rPr>
              <w:t>Workers</w:t>
            </w:r>
          </w:p>
        </w:tc>
        <w:tc>
          <w:tcPr>
            <w:tcW w:w="735" w:type="pct"/>
            <w:tcBorders>
              <w:top w:val="nil"/>
              <w:bottom w:val="nil"/>
            </w:tcBorders>
            <w:shd w:val="clear" w:color="000000" w:fill="auto"/>
          </w:tcPr>
          <w:p w14:paraId="2261AC68" w14:textId="77777777" w:rsidR="00DF4CAF" w:rsidRPr="008931B6" w:rsidRDefault="00DF4CAF" w:rsidP="00E43776">
            <w:pPr>
              <w:pStyle w:val="TableBody"/>
              <w:spacing w:before="45" w:after="45"/>
              <w:ind w:right="108"/>
              <w:jc w:val="right"/>
              <w:rPr>
                <w:rFonts w:ascii="Arial (Body)" w:hAnsi="Arial (Body)"/>
                <w:color w:val="000000"/>
              </w:rPr>
            </w:pPr>
            <w:r w:rsidRPr="008931B6">
              <w:rPr>
                <w:rFonts w:ascii="Arial (Body)" w:hAnsi="Arial (Body)"/>
                <w:color w:val="000000"/>
              </w:rPr>
              <w:t>419,000 hours</w:t>
            </w:r>
          </w:p>
        </w:tc>
        <w:tc>
          <w:tcPr>
            <w:tcW w:w="834" w:type="pct"/>
            <w:tcBorders>
              <w:top w:val="nil"/>
              <w:bottom w:val="nil"/>
            </w:tcBorders>
            <w:shd w:val="clear" w:color="000000" w:fill="auto"/>
          </w:tcPr>
          <w:p w14:paraId="181FCC61" w14:textId="50B1799F" w:rsidR="00DF4CAF" w:rsidRPr="008931B6" w:rsidRDefault="00E43776" w:rsidP="00E43776">
            <w:pPr>
              <w:pStyle w:val="TableBody"/>
              <w:spacing w:before="45" w:after="45"/>
              <w:ind w:right="108"/>
              <w:jc w:val="right"/>
              <w:rPr>
                <w:rFonts w:ascii="Arial (Body)" w:hAnsi="Arial (Body)"/>
                <w:color w:val="000000"/>
              </w:rPr>
            </w:pPr>
            <w:r>
              <w:rPr>
                <w:rFonts w:ascii="Arial (Body)" w:hAnsi="Arial (Body)"/>
                <w:color w:val="000000"/>
              </w:rPr>
              <w:t>$</w:t>
            </w:r>
            <w:r w:rsidR="00DF4CAF" w:rsidRPr="008931B6">
              <w:rPr>
                <w:rFonts w:ascii="Arial (Body)" w:hAnsi="Arial (Body)"/>
                <w:color w:val="000000"/>
              </w:rPr>
              <w:t xml:space="preserve">28 million </w:t>
            </w:r>
          </w:p>
        </w:tc>
        <w:tc>
          <w:tcPr>
            <w:tcW w:w="834" w:type="pct"/>
            <w:tcBorders>
              <w:top w:val="nil"/>
              <w:bottom w:val="nil"/>
            </w:tcBorders>
            <w:shd w:val="clear" w:color="000000" w:fill="auto"/>
          </w:tcPr>
          <w:p w14:paraId="16F05A5E" w14:textId="102E1281" w:rsidR="00DF4CAF" w:rsidRPr="008931B6" w:rsidRDefault="00E43776" w:rsidP="00E43776">
            <w:pPr>
              <w:pStyle w:val="TableBody"/>
              <w:spacing w:before="45" w:after="45"/>
              <w:ind w:right="108"/>
              <w:jc w:val="right"/>
              <w:rPr>
                <w:rFonts w:ascii="Arial (Body)" w:hAnsi="Arial (Body)"/>
                <w:color w:val="000000"/>
              </w:rPr>
            </w:pPr>
            <w:r>
              <w:rPr>
                <w:rFonts w:ascii="Arial (Body)" w:hAnsi="Arial (Body)"/>
                <w:color w:val="000000"/>
              </w:rPr>
              <w:t>$</w:t>
            </w:r>
            <w:r w:rsidR="00DF4CAF" w:rsidRPr="008931B6">
              <w:rPr>
                <w:rFonts w:ascii="Arial (Body)" w:hAnsi="Arial (Body)"/>
                <w:color w:val="000000"/>
              </w:rPr>
              <w:t xml:space="preserve">60 million </w:t>
            </w:r>
          </w:p>
        </w:tc>
        <w:tc>
          <w:tcPr>
            <w:tcW w:w="834" w:type="pct"/>
            <w:tcBorders>
              <w:top w:val="nil"/>
              <w:bottom w:val="nil"/>
            </w:tcBorders>
            <w:shd w:val="clear" w:color="000000" w:fill="auto"/>
          </w:tcPr>
          <w:p w14:paraId="1DC7734F" w14:textId="5A7FFB01" w:rsidR="00DF4CAF" w:rsidRPr="008931B6" w:rsidRDefault="00E43776" w:rsidP="00E43776">
            <w:pPr>
              <w:pStyle w:val="TableBody"/>
              <w:spacing w:before="45" w:after="45"/>
              <w:ind w:right="108"/>
              <w:jc w:val="right"/>
              <w:rPr>
                <w:rFonts w:ascii="Arial (Body)" w:hAnsi="Arial (Body)"/>
                <w:color w:val="000000"/>
              </w:rPr>
            </w:pPr>
            <w:r>
              <w:rPr>
                <w:rFonts w:ascii="Arial (Body)" w:hAnsi="Arial (Body)"/>
                <w:color w:val="000000"/>
              </w:rPr>
              <w:t>$</w:t>
            </w:r>
            <w:r w:rsidR="00DF4CAF" w:rsidRPr="008931B6">
              <w:rPr>
                <w:rFonts w:ascii="Arial (Body)" w:hAnsi="Arial (Body)"/>
                <w:color w:val="000000"/>
              </w:rPr>
              <w:t xml:space="preserve">88 million </w:t>
            </w:r>
          </w:p>
        </w:tc>
        <w:tc>
          <w:tcPr>
            <w:tcW w:w="955" w:type="pct"/>
            <w:tcBorders>
              <w:top w:val="nil"/>
              <w:bottom w:val="nil"/>
            </w:tcBorders>
            <w:shd w:val="clear" w:color="000000" w:fill="auto"/>
          </w:tcPr>
          <w:p w14:paraId="079F6928" w14:textId="399284F3" w:rsidR="00DF4CAF" w:rsidRPr="008931B6" w:rsidRDefault="00DF4CAF" w:rsidP="00E43776">
            <w:pPr>
              <w:pStyle w:val="TableBody"/>
              <w:spacing w:before="45" w:after="45"/>
              <w:ind w:right="108"/>
              <w:jc w:val="right"/>
              <w:rPr>
                <w:rFonts w:ascii="Arial (Body)" w:hAnsi="Arial (Body)"/>
                <w:color w:val="000000"/>
              </w:rPr>
            </w:pPr>
            <w:r w:rsidRPr="008931B6">
              <w:rPr>
                <w:rFonts w:ascii="Arial (Body)" w:hAnsi="Arial (Body)"/>
                <w:color w:val="000000"/>
              </w:rPr>
              <w:t>1</w:t>
            </w:r>
            <w:r>
              <w:rPr>
                <w:rFonts w:ascii="Arial (Body)" w:hAnsi="Arial (Body)"/>
                <w:color w:val="000000"/>
              </w:rPr>
              <w:t>.1</w:t>
            </w:r>
            <w:r w:rsidRPr="008931B6">
              <w:rPr>
                <w:rFonts w:ascii="Arial (Body)" w:hAnsi="Arial (Body)"/>
                <w:color w:val="000000"/>
              </w:rPr>
              <w:t xml:space="preserve"> million hours</w:t>
            </w:r>
          </w:p>
        </w:tc>
      </w:tr>
      <w:tr w:rsidR="00DF4CAF" w:rsidRPr="008931B6" w14:paraId="457F0908" w14:textId="77777777" w:rsidTr="00F35A31">
        <w:tc>
          <w:tcPr>
            <w:tcW w:w="809" w:type="pct"/>
            <w:tcBorders>
              <w:bottom w:val="nil"/>
            </w:tcBorders>
            <w:shd w:val="clear" w:color="auto" w:fill="E6E6E6"/>
          </w:tcPr>
          <w:p w14:paraId="3A70DF38" w14:textId="77777777" w:rsidR="00DF4CAF" w:rsidRPr="008931B6" w:rsidRDefault="00DF4CAF">
            <w:pPr>
              <w:pStyle w:val="TableHeading"/>
              <w:spacing w:before="45" w:after="45"/>
              <w:ind w:right="108"/>
              <w:rPr>
                <w:rFonts w:ascii="Arial (Body)" w:hAnsi="Arial (Body)"/>
                <w:color w:val="265A9A"/>
              </w:rPr>
            </w:pPr>
            <w:r w:rsidRPr="008931B6">
              <w:rPr>
                <w:rFonts w:ascii="Arial (Body)" w:hAnsi="Arial (Body)"/>
                <w:color w:val="265A9A"/>
              </w:rPr>
              <w:t>Total per year</w:t>
            </w:r>
          </w:p>
        </w:tc>
        <w:tc>
          <w:tcPr>
            <w:tcW w:w="735" w:type="pct"/>
            <w:tcBorders>
              <w:bottom w:val="nil"/>
            </w:tcBorders>
            <w:shd w:val="clear" w:color="auto" w:fill="E6E6E6"/>
          </w:tcPr>
          <w:p w14:paraId="17303A5E" w14:textId="77777777" w:rsidR="00DF4CAF" w:rsidRPr="008931B6" w:rsidRDefault="00DF4CAF" w:rsidP="00E43776">
            <w:pPr>
              <w:pStyle w:val="TableBody"/>
              <w:spacing w:before="45" w:after="45"/>
              <w:ind w:right="108"/>
              <w:jc w:val="right"/>
              <w:rPr>
                <w:rFonts w:ascii="Arial (Body)" w:hAnsi="Arial (Body)"/>
                <w:color w:val="000000"/>
              </w:rPr>
            </w:pPr>
            <w:r w:rsidRPr="008931B6">
              <w:rPr>
                <w:rFonts w:ascii="Arial (Body)" w:hAnsi="Arial (Body)"/>
                <w:color w:val="000000"/>
              </w:rPr>
              <w:t>601,000 hours</w:t>
            </w:r>
          </w:p>
        </w:tc>
        <w:tc>
          <w:tcPr>
            <w:tcW w:w="834" w:type="pct"/>
            <w:tcBorders>
              <w:bottom w:val="nil"/>
            </w:tcBorders>
            <w:shd w:val="clear" w:color="auto" w:fill="E6E6E6"/>
          </w:tcPr>
          <w:p w14:paraId="303BE584" w14:textId="2CCC6D3C" w:rsidR="00DF4CAF" w:rsidRPr="008931B6" w:rsidRDefault="00E43776" w:rsidP="00E43776">
            <w:pPr>
              <w:pStyle w:val="TableBody"/>
              <w:spacing w:before="45" w:after="45"/>
              <w:ind w:right="108"/>
              <w:jc w:val="right"/>
              <w:rPr>
                <w:rFonts w:ascii="Arial (Body)" w:hAnsi="Arial (Body)"/>
                <w:color w:val="000000"/>
              </w:rPr>
            </w:pPr>
            <w:r>
              <w:rPr>
                <w:rFonts w:ascii="Arial (Body)" w:hAnsi="Arial (Body)"/>
                <w:color w:val="000000"/>
              </w:rPr>
              <w:t>$</w:t>
            </w:r>
            <w:r w:rsidR="00DF4CAF" w:rsidRPr="008931B6">
              <w:rPr>
                <w:rFonts w:ascii="Arial (Body)" w:hAnsi="Arial (Body)"/>
                <w:color w:val="000000"/>
              </w:rPr>
              <w:t>52 million</w:t>
            </w:r>
          </w:p>
        </w:tc>
        <w:tc>
          <w:tcPr>
            <w:tcW w:w="834" w:type="pct"/>
            <w:tcBorders>
              <w:bottom w:val="nil"/>
            </w:tcBorders>
            <w:shd w:val="clear" w:color="auto" w:fill="E6E6E6"/>
          </w:tcPr>
          <w:p w14:paraId="04E0C9BB" w14:textId="1C496B45" w:rsidR="00DF4CAF" w:rsidRPr="008931B6" w:rsidRDefault="00E43776" w:rsidP="00E43776">
            <w:pPr>
              <w:pStyle w:val="TableBody"/>
              <w:spacing w:before="45" w:after="45"/>
              <w:ind w:right="108"/>
              <w:jc w:val="right"/>
              <w:rPr>
                <w:rFonts w:ascii="Arial (Body)" w:hAnsi="Arial (Body)"/>
                <w:color w:val="000000"/>
              </w:rPr>
            </w:pPr>
            <w:r>
              <w:rPr>
                <w:rFonts w:ascii="Arial (Body)" w:hAnsi="Arial (Body)"/>
                <w:color w:val="000000"/>
              </w:rPr>
              <w:t>$</w:t>
            </w:r>
            <w:r w:rsidR="00DF4CAF" w:rsidRPr="008931B6">
              <w:rPr>
                <w:rFonts w:ascii="Arial (Body)" w:hAnsi="Arial (Body)"/>
                <w:color w:val="000000"/>
              </w:rPr>
              <w:t>128 million</w:t>
            </w:r>
          </w:p>
        </w:tc>
        <w:tc>
          <w:tcPr>
            <w:tcW w:w="834" w:type="pct"/>
            <w:tcBorders>
              <w:bottom w:val="nil"/>
            </w:tcBorders>
            <w:shd w:val="clear" w:color="auto" w:fill="E6E6E6"/>
          </w:tcPr>
          <w:p w14:paraId="3EA7B711" w14:textId="1C838C77" w:rsidR="00DF4CAF" w:rsidRPr="008931B6" w:rsidRDefault="00E43776" w:rsidP="00E43776">
            <w:pPr>
              <w:pStyle w:val="TableBody"/>
              <w:spacing w:before="45" w:after="45"/>
              <w:ind w:right="108"/>
              <w:jc w:val="right"/>
              <w:rPr>
                <w:rFonts w:ascii="Arial (Body)" w:hAnsi="Arial (Body)"/>
                <w:color w:val="000000"/>
              </w:rPr>
            </w:pPr>
            <w:r>
              <w:rPr>
                <w:rFonts w:ascii="Arial (Body)" w:hAnsi="Arial (Body)"/>
                <w:color w:val="000000"/>
              </w:rPr>
              <w:t>$</w:t>
            </w:r>
            <w:r w:rsidR="00DF4CAF" w:rsidRPr="008931B6">
              <w:rPr>
                <w:rFonts w:ascii="Arial (Body)" w:hAnsi="Arial (Body)"/>
                <w:color w:val="000000"/>
              </w:rPr>
              <w:t xml:space="preserve">180 million </w:t>
            </w:r>
          </w:p>
        </w:tc>
        <w:tc>
          <w:tcPr>
            <w:tcW w:w="955" w:type="pct"/>
            <w:tcBorders>
              <w:bottom w:val="nil"/>
            </w:tcBorders>
            <w:shd w:val="clear" w:color="auto" w:fill="E6E6E6"/>
          </w:tcPr>
          <w:p w14:paraId="4326E07E" w14:textId="5CA7E024" w:rsidR="00DF4CAF" w:rsidRPr="008931B6" w:rsidRDefault="00DF4CAF" w:rsidP="00E43776">
            <w:pPr>
              <w:pStyle w:val="TableBody"/>
              <w:spacing w:before="45" w:after="45"/>
              <w:ind w:right="108"/>
              <w:jc w:val="right"/>
              <w:rPr>
                <w:rFonts w:ascii="Arial (Body)" w:hAnsi="Arial (Body)"/>
                <w:color w:val="000000"/>
              </w:rPr>
            </w:pPr>
            <w:r w:rsidRPr="008931B6">
              <w:rPr>
                <w:rFonts w:ascii="Arial (Body)" w:hAnsi="Arial (Body)"/>
                <w:color w:val="000000"/>
              </w:rPr>
              <w:t>2</w:t>
            </w:r>
            <w:r>
              <w:rPr>
                <w:rFonts w:ascii="Arial (Body)" w:hAnsi="Arial (Body)"/>
                <w:color w:val="000000"/>
              </w:rPr>
              <w:t>.2</w:t>
            </w:r>
            <w:r w:rsidRPr="008931B6">
              <w:rPr>
                <w:rFonts w:ascii="Arial (Body)" w:hAnsi="Arial (Body)"/>
                <w:color w:val="000000"/>
              </w:rPr>
              <w:t xml:space="preserve"> million hours</w:t>
            </w:r>
          </w:p>
        </w:tc>
      </w:tr>
      <w:tr w:rsidR="00DF4CAF" w:rsidRPr="008931B6" w14:paraId="7179C93E" w14:textId="77777777" w:rsidTr="000F3AF6">
        <w:tc>
          <w:tcPr>
            <w:tcW w:w="809" w:type="pct"/>
            <w:tcBorders>
              <w:top w:val="nil"/>
            </w:tcBorders>
            <w:shd w:val="clear" w:color="000000" w:fill="auto"/>
          </w:tcPr>
          <w:p w14:paraId="358A47C8" w14:textId="77777777" w:rsidR="00DF4CAF" w:rsidRPr="008931B6" w:rsidRDefault="00DF4CAF">
            <w:pPr>
              <w:pStyle w:val="TableHeading"/>
              <w:spacing w:before="45" w:after="45"/>
              <w:ind w:right="108"/>
              <w:rPr>
                <w:rFonts w:ascii="Arial (Body)" w:hAnsi="Arial (Body)"/>
                <w:color w:val="265A9A"/>
              </w:rPr>
            </w:pPr>
            <w:r w:rsidRPr="008931B6">
              <w:rPr>
                <w:rFonts w:ascii="Arial (Body)" w:hAnsi="Arial (Body)"/>
                <w:color w:val="265A9A"/>
              </w:rPr>
              <w:t>Total, 10 years</w:t>
            </w:r>
          </w:p>
        </w:tc>
        <w:tc>
          <w:tcPr>
            <w:tcW w:w="735" w:type="pct"/>
            <w:tcBorders>
              <w:top w:val="nil"/>
            </w:tcBorders>
            <w:shd w:val="clear" w:color="000000" w:fill="auto"/>
          </w:tcPr>
          <w:p w14:paraId="14F08F43" w14:textId="77777777" w:rsidR="00DF4CAF" w:rsidRPr="000F3AF6" w:rsidRDefault="00DF4CAF" w:rsidP="000F3AF6">
            <w:pPr>
              <w:pStyle w:val="TableBody"/>
              <w:spacing w:before="45" w:after="45"/>
              <w:ind w:left="-57" w:right="108"/>
              <w:jc w:val="right"/>
              <w:rPr>
                <w:rFonts w:ascii="Arial (Body)" w:hAnsi="Arial (Body)"/>
                <w:b/>
                <w:bCs/>
                <w:color w:val="000000"/>
              </w:rPr>
            </w:pPr>
            <w:r w:rsidRPr="000F3AF6">
              <w:rPr>
                <w:rFonts w:ascii="Arial (Body)" w:hAnsi="Arial (Body)"/>
                <w:b/>
                <w:bCs/>
                <w:color w:val="000000"/>
              </w:rPr>
              <w:t>6 million hours</w:t>
            </w:r>
          </w:p>
        </w:tc>
        <w:tc>
          <w:tcPr>
            <w:tcW w:w="834" w:type="pct"/>
            <w:tcBorders>
              <w:top w:val="nil"/>
            </w:tcBorders>
            <w:shd w:val="clear" w:color="000000" w:fill="auto"/>
          </w:tcPr>
          <w:p w14:paraId="6BB4BB61" w14:textId="73704149" w:rsidR="00DF4CAF" w:rsidRPr="000F3AF6" w:rsidRDefault="00E43776" w:rsidP="000F3AF6">
            <w:pPr>
              <w:pStyle w:val="TableBody"/>
              <w:spacing w:before="45" w:after="45"/>
              <w:ind w:left="-57" w:right="108"/>
              <w:jc w:val="right"/>
              <w:rPr>
                <w:rFonts w:ascii="Arial (Body)" w:hAnsi="Arial (Body)"/>
                <w:b/>
                <w:bCs/>
                <w:color w:val="000000"/>
              </w:rPr>
            </w:pPr>
            <w:r w:rsidRPr="000F3AF6">
              <w:rPr>
                <w:rFonts w:ascii="Arial (Body)" w:hAnsi="Arial (Body)"/>
                <w:b/>
                <w:bCs/>
                <w:color w:val="000000"/>
              </w:rPr>
              <w:t>$</w:t>
            </w:r>
            <w:r w:rsidR="00DF4CAF" w:rsidRPr="000F3AF6">
              <w:rPr>
                <w:rFonts w:ascii="Arial (Body)" w:hAnsi="Arial (Body)"/>
                <w:b/>
                <w:bCs/>
                <w:color w:val="000000"/>
              </w:rPr>
              <w:t xml:space="preserve">517 million </w:t>
            </w:r>
          </w:p>
        </w:tc>
        <w:tc>
          <w:tcPr>
            <w:tcW w:w="834" w:type="pct"/>
            <w:tcBorders>
              <w:top w:val="nil"/>
            </w:tcBorders>
            <w:shd w:val="clear" w:color="000000" w:fill="auto"/>
          </w:tcPr>
          <w:p w14:paraId="0F85615E" w14:textId="000B6172" w:rsidR="00DF4CAF" w:rsidRPr="000F3AF6" w:rsidRDefault="00E43776" w:rsidP="000F3AF6">
            <w:pPr>
              <w:pStyle w:val="TableBody"/>
              <w:spacing w:before="45" w:after="45"/>
              <w:ind w:left="-57" w:right="108"/>
              <w:jc w:val="right"/>
              <w:rPr>
                <w:rFonts w:ascii="Arial (Body)" w:hAnsi="Arial (Body)"/>
                <w:b/>
                <w:bCs/>
                <w:color w:val="000000"/>
              </w:rPr>
            </w:pPr>
            <w:r w:rsidRPr="000F3AF6">
              <w:rPr>
                <w:rFonts w:ascii="Arial (Body)" w:hAnsi="Arial (Body)"/>
                <w:b/>
                <w:bCs/>
                <w:color w:val="000000"/>
              </w:rPr>
              <w:t>$</w:t>
            </w:r>
            <w:r w:rsidR="00DF4CAF" w:rsidRPr="000F3AF6">
              <w:rPr>
                <w:rFonts w:ascii="Arial (Body)" w:hAnsi="Arial (Body)"/>
                <w:b/>
                <w:bCs/>
                <w:color w:val="000000"/>
              </w:rPr>
              <w:t xml:space="preserve">1,279 million </w:t>
            </w:r>
          </w:p>
        </w:tc>
        <w:tc>
          <w:tcPr>
            <w:tcW w:w="834" w:type="pct"/>
            <w:tcBorders>
              <w:top w:val="nil"/>
            </w:tcBorders>
            <w:shd w:val="clear" w:color="000000" w:fill="auto"/>
          </w:tcPr>
          <w:p w14:paraId="0AF500A2" w14:textId="2D4B83E0" w:rsidR="00DF4CAF" w:rsidRPr="000F3AF6" w:rsidRDefault="00E43776" w:rsidP="000F3AF6">
            <w:pPr>
              <w:pStyle w:val="TableBody"/>
              <w:spacing w:before="45" w:after="45"/>
              <w:ind w:left="-57" w:right="108"/>
              <w:jc w:val="right"/>
              <w:rPr>
                <w:rFonts w:ascii="Arial (Body)" w:hAnsi="Arial (Body)"/>
                <w:b/>
                <w:bCs/>
                <w:color w:val="000000"/>
              </w:rPr>
            </w:pPr>
            <w:r w:rsidRPr="000F3AF6">
              <w:rPr>
                <w:rFonts w:ascii="Arial (Body)" w:hAnsi="Arial (Body)"/>
                <w:b/>
                <w:bCs/>
                <w:color w:val="000000"/>
              </w:rPr>
              <w:t>$</w:t>
            </w:r>
            <w:r w:rsidR="00DF4CAF" w:rsidRPr="000F3AF6">
              <w:rPr>
                <w:rFonts w:ascii="Arial (Body)" w:hAnsi="Arial (Body)"/>
                <w:b/>
                <w:bCs/>
                <w:color w:val="000000"/>
              </w:rPr>
              <w:t xml:space="preserve">1,796 million </w:t>
            </w:r>
          </w:p>
        </w:tc>
        <w:tc>
          <w:tcPr>
            <w:tcW w:w="955" w:type="pct"/>
            <w:tcBorders>
              <w:top w:val="nil"/>
            </w:tcBorders>
            <w:shd w:val="clear" w:color="000000" w:fill="auto"/>
          </w:tcPr>
          <w:p w14:paraId="74260424" w14:textId="00490B67" w:rsidR="00DF4CAF" w:rsidRPr="000F3AF6" w:rsidRDefault="00C66EE3" w:rsidP="000F3AF6">
            <w:pPr>
              <w:pStyle w:val="TableBody"/>
              <w:spacing w:before="45" w:after="45"/>
              <w:ind w:left="-57" w:right="108"/>
              <w:jc w:val="right"/>
              <w:rPr>
                <w:rFonts w:ascii="Arial (Body)" w:hAnsi="Arial (Body)"/>
                <w:b/>
                <w:bCs/>
                <w:color w:val="000000"/>
              </w:rPr>
            </w:pPr>
            <w:r w:rsidRPr="000F3AF6">
              <w:rPr>
                <w:rFonts w:ascii="Arial (Body)" w:hAnsi="Arial (Body)"/>
                <w:b/>
                <w:bCs/>
                <w:color w:val="000000"/>
              </w:rPr>
              <w:t>21.</w:t>
            </w:r>
            <w:r w:rsidR="00E874E7" w:rsidRPr="000F3AF6">
              <w:rPr>
                <w:rFonts w:ascii="Arial (Body)" w:hAnsi="Arial (Body)"/>
                <w:b/>
                <w:bCs/>
                <w:color w:val="000000"/>
              </w:rPr>
              <w:t>9</w:t>
            </w:r>
            <w:r w:rsidRPr="000F3AF6">
              <w:rPr>
                <w:rFonts w:ascii="Arial (Body)" w:hAnsi="Arial (Body)"/>
                <w:b/>
                <w:bCs/>
                <w:color w:val="000000"/>
              </w:rPr>
              <w:t xml:space="preserve"> </w:t>
            </w:r>
            <w:r w:rsidR="00DF4CAF" w:rsidRPr="000F3AF6">
              <w:rPr>
                <w:rFonts w:ascii="Arial (Body)" w:hAnsi="Arial (Body)"/>
                <w:b/>
                <w:bCs/>
                <w:color w:val="000000"/>
              </w:rPr>
              <w:t>million hours</w:t>
            </w:r>
          </w:p>
        </w:tc>
      </w:tr>
    </w:tbl>
    <w:p w14:paraId="30DD1654" w14:textId="398584D5" w:rsidR="006B6C06" w:rsidRDefault="00DF4CAF">
      <w:pPr>
        <w:pStyle w:val="Note"/>
      </w:pPr>
      <w:r>
        <w:t>Provider equivalent wages include overhead costs. Numbers are rounded and may not sum.</w:t>
      </w:r>
    </w:p>
    <w:p w14:paraId="2106C101" w14:textId="77777777" w:rsidR="00DF4CAF" w:rsidRPr="00FA0F9E" w:rsidRDefault="00DF4CAF">
      <w:pPr>
        <w:pStyle w:val="Note"/>
      </w:pPr>
    </w:p>
    <w:p w14:paraId="3C44EA62" w14:textId="581E88A7" w:rsidR="00D94B88" w:rsidRPr="00E80AC3" w:rsidRDefault="00D94B88">
      <w:pPr>
        <w:pStyle w:val="FigureTableHeading"/>
        <w:rPr>
          <w:vertAlign w:val="superscript"/>
        </w:rPr>
      </w:pPr>
      <w:r w:rsidRPr="008D3B69">
        <w:t xml:space="preserve">Table </w:t>
      </w:r>
      <w:r>
        <w:t>B</w:t>
      </w:r>
      <w:r w:rsidRPr="008D3B69">
        <w:t>.</w:t>
      </w:r>
      <w:r w:rsidR="00DF4CAF">
        <w:t>5</w:t>
      </w:r>
      <w:r w:rsidRPr="008D3B69">
        <w:t> – </w:t>
      </w:r>
      <w:r>
        <w:t>Sensitivity testing on nominal results, varying key variables +/</w:t>
      </w:r>
      <w:r>
        <w:noBreakHyphen/>
        <w:t>10%</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828"/>
        <w:gridCol w:w="2550"/>
        <w:gridCol w:w="3260"/>
      </w:tblGrid>
      <w:tr w:rsidR="0098087B" w:rsidRPr="00EB6F7B" w14:paraId="494233C1" w14:textId="77777777" w:rsidTr="003C315C">
        <w:trPr>
          <w:trHeight w:val="276"/>
          <w:tblHeader/>
        </w:trPr>
        <w:tc>
          <w:tcPr>
            <w:tcW w:w="1986" w:type="pct"/>
            <w:tcBorders>
              <w:bottom w:val="single" w:sz="4" w:space="0" w:color="B3B3B3"/>
            </w:tcBorders>
            <w:shd w:val="clear" w:color="000000" w:fill="auto"/>
            <w:noWrap/>
            <w:vAlign w:val="bottom"/>
            <w:hideMark/>
          </w:tcPr>
          <w:p w14:paraId="3AE09422" w14:textId="77777777" w:rsidR="0098087B" w:rsidRPr="00E80AC3" w:rsidRDefault="0098087B">
            <w:pPr>
              <w:spacing w:before="45" w:after="45" w:line="240" w:lineRule="auto"/>
              <w:ind w:left="57" w:right="108"/>
              <w:rPr>
                <w:rFonts w:ascii="Arial (Body)" w:eastAsia="Times New Roman" w:hAnsi="Arial (Body)" w:cs="Arial"/>
                <w:b/>
                <w:bCs/>
                <w:color w:val="265A9A"/>
                <w:sz w:val="18"/>
                <w:lang w:eastAsia="zh-CN" w:bidi="th-TH"/>
              </w:rPr>
            </w:pPr>
            <w:r w:rsidRPr="00E80AC3">
              <w:rPr>
                <w:rFonts w:ascii="Arial (Body)" w:eastAsia="Times New Roman" w:hAnsi="Arial (Body)" w:cs="Arial"/>
                <w:b/>
                <w:bCs/>
                <w:color w:val="265A9A"/>
                <w:sz w:val="18"/>
                <w:lang w:eastAsia="zh-CN" w:bidi="th-TH"/>
              </w:rPr>
              <w:t>Variable</w:t>
            </w:r>
          </w:p>
        </w:tc>
        <w:tc>
          <w:tcPr>
            <w:tcW w:w="1323" w:type="pct"/>
            <w:tcBorders>
              <w:bottom w:val="single" w:sz="4" w:space="0" w:color="B3B3B3"/>
            </w:tcBorders>
            <w:shd w:val="clear" w:color="000000" w:fill="auto"/>
            <w:noWrap/>
            <w:vAlign w:val="bottom"/>
            <w:hideMark/>
          </w:tcPr>
          <w:p w14:paraId="549FB0B8" w14:textId="77777777" w:rsidR="0098087B" w:rsidRPr="00E80AC3" w:rsidRDefault="0098087B" w:rsidP="0098087B">
            <w:pPr>
              <w:spacing w:before="45" w:after="45" w:line="240" w:lineRule="auto"/>
              <w:ind w:left="57" w:right="108"/>
              <w:jc w:val="right"/>
              <w:rPr>
                <w:rFonts w:ascii="Arial (Body)" w:eastAsia="Times New Roman" w:hAnsi="Arial (Body)" w:cs="Arial"/>
                <w:b/>
                <w:bCs/>
                <w:color w:val="265A9A"/>
                <w:sz w:val="18"/>
                <w:lang w:eastAsia="zh-CN" w:bidi="th-TH"/>
              </w:rPr>
            </w:pPr>
            <w:r>
              <w:rPr>
                <w:rFonts w:ascii="Arial (Body)" w:eastAsia="Times New Roman" w:hAnsi="Arial (Body)" w:cs="Arial"/>
                <w:b/>
                <w:bCs/>
                <w:color w:val="265A9A"/>
                <w:sz w:val="18"/>
                <w:lang w:eastAsia="zh-CN" w:bidi="th-TH"/>
              </w:rPr>
              <w:t>M</w:t>
            </w:r>
            <w:r w:rsidRPr="00E80AC3">
              <w:rPr>
                <w:rFonts w:ascii="Arial (Body)" w:eastAsia="Times New Roman" w:hAnsi="Arial (Body)" w:cs="Arial"/>
                <w:b/>
                <w:bCs/>
                <w:color w:val="265A9A"/>
                <w:sz w:val="18"/>
                <w:lang w:eastAsia="zh-CN" w:bidi="th-TH"/>
              </w:rPr>
              <w:t>inus 10%</w:t>
            </w:r>
          </w:p>
        </w:tc>
        <w:tc>
          <w:tcPr>
            <w:tcW w:w="1691" w:type="pct"/>
            <w:tcBorders>
              <w:bottom w:val="single" w:sz="4" w:space="0" w:color="B3B3B3"/>
            </w:tcBorders>
            <w:shd w:val="clear" w:color="000000" w:fill="auto"/>
            <w:noWrap/>
            <w:vAlign w:val="bottom"/>
            <w:hideMark/>
          </w:tcPr>
          <w:p w14:paraId="22379455" w14:textId="77777777" w:rsidR="0098087B" w:rsidRPr="00E80AC3" w:rsidRDefault="0098087B" w:rsidP="0098087B">
            <w:pPr>
              <w:spacing w:before="45" w:after="45" w:line="240" w:lineRule="auto"/>
              <w:ind w:left="57" w:right="108"/>
              <w:jc w:val="right"/>
              <w:rPr>
                <w:rFonts w:ascii="Arial (Body)" w:eastAsia="Times New Roman" w:hAnsi="Arial (Body)" w:cs="Arial"/>
                <w:b/>
                <w:bCs/>
                <w:color w:val="265A9A"/>
                <w:sz w:val="18"/>
                <w:lang w:eastAsia="zh-CN" w:bidi="th-TH"/>
              </w:rPr>
            </w:pPr>
            <w:r>
              <w:rPr>
                <w:rFonts w:ascii="Arial (Body)" w:eastAsia="Times New Roman" w:hAnsi="Arial (Body)" w:cs="Arial"/>
                <w:b/>
                <w:bCs/>
                <w:color w:val="265A9A"/>
                <w:sz w:val="18"/>
                <w:lang w:eastAsia="zh-CN" w:bidi="th-TH"/>
              </w:rPr>
              <w:t>P</w:t>
            </w:r>
            <w:r w:rsidRPr="00E80AC3">
              <w:rPr>
                <w:rFonts w:ascii="Arial (Body)" w:eastAsia="Times New Roman" w:hAnsi="Arial (Body)" w:cs="Arial"/>
                <w:b/>
                <w:bCs/>
                <w:color w:val="265A9A"/>
                <w:sz w:val="18"/>
                <w:lang w:eastAsia="zh-CN" w:bidi="th-TH"/>
              </w:rPr>
              <w:t>lus 10%</w:t>
            </w:r>
          </w:p>
        </w:tc>
      </w:tr>
      <w:tr w:rsidR="0098087B" w:rsidRPr="00EB6F7B" w14:paraId="3BC12A00" w14:textId="77777777" w:rsidTr="00F35A31">
        <w:trPr>
          <w:trHeight w:val="264"/>
        </w:trPr>
        <w:tc>
          <w:tcPr>
            <w:tcW w:w="1986" w:type="pct"/>
            <w:tcBorders>
              <w:top w:val="single" w:sz="4" w:space="0" w:color="B3B3B3"/>
              <w:bottom w:val="nil"/>
            </w:tcBorders>
            <w:shd w:val="clear" w:color="auto" w:fill="E6E6E6"/>
            <w:noWrap/>
            <w:hideMark/>
          </w:tcPr>
          <w:p w14:paraId="0BC859C5" w14:textId="77777777" w:rsidR="0098087B" w:rsidRPr="0012019B" w:rsidRDefault="0098087B">
            <w:pPr>
              <w:spacing w:before="45" w:after="45" w:line="240" w:lineRule="auto"/>
              <w:ind w:left="57" w:right="108"/>
              <w:rPr>
                <w:rFonts w:ascii="Arial (Body)" w:eastAsia="Times New Roman" w:hAnsi="Arial (Body)" w:cs="Arial"/>
                <w:b/>
                <w:color w:val="265A9A"/>
                <w:sz w:val="18"/>
                <w:lang w:eastAsia="zh-CN" w:bidi="th-TH"/>
              </w:rPr>
            </w:pPr>
            <w:r w:rsidRPr="0012019B">
              <w:rPr>
                <w:rFonts w:ascii="Arial (Body)" w:eastAsia="Times New Roman" w:hAnsi="Arial (Body)" w:cs="Arial"/>
                <w:b/>
                <w:color w:val="265A9A"/>
                <w:sz w:val="18"/>
                <w:lang w:eastAsia="zh-CN" w:bidi="th-TH"/>
              </w:rPr>
              <w:t>Inflation</w:t>
            </w:r>
          </w:p>
        </w:tc>
        <w:tc>
          <w:tcPr>
            <w:tcW w:w="1323" w:type="pct"/>
            <w:tcBorders>
              <w:top w:val="single" w:sz="4" w:space="0" w:color="B3B3B3"/>
              <w:bottom w:val="nil"/>
            </w:tcBorders>
            <w:shd w:val="clear" w:color="auto" w:fill="E6E6E6"/>
            <w:noWrap/>
            <w:hideMark/>
          </w:tcPr>
          <w:p w14:paraId="20288833"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Pr>
                <w:rFonts w:ascii="Arial (Body)" w:eastAsia="Times New Roman" w:hAnsi="Arial (Body)" w:cs="Arial"/>
                <w:color w:val="000000"/>
                <w:sz w:val="18"/>
                <w:lang w:eastAsia="zh-CN" w:bidi="th-TH"/>
              </w:rPr>
              <w:noBreakHyphen/>
            </w:r>
            <w:r w:rsidRPr="00E80AC3">
              <w:rPr>
                <w:rFonts w:ascii="Arial (Body)" w:eastAsia="Times New Roman" w:hAnsi="Arial (Body)" w:cs="Arial"/>
                <w:color w:val="000000"/>
                <w:sz w:val="18"/>
                <w:lang w:eastAsia="zh-CN" w:bidi="th-TH"/>
              </w:rPr>
              <w:t>4.7%</w:t>
            </w:r>
          </w:p>
        </w:tc>
        <w:tc>
          <w:tcPr>
            <w:tcW w:w="1691" w:type="pct"/>
            <w:tcBorders>
              <w:top w:val="single" w:sz="4" w:space="0" w:color="B3B3B3"/>
              <w:bottom w:val="nil"/>
            </w:tcBorders>
            <w:shd w:val="clear" w:color="auto" w:fill="E6E6E6"/>
            <w:noWrap/>
            <w:hideMark/>
          </w:tcPr>
          <w:p w14:paraId="1E4AEF0B"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sidRPr="00E80AC3">
              <w:rPr>
                <w:rFonts w:ascii="Arial (Body)" w:eastAsia="Times New Roman" w:hAnsi="Arial (Body)" w:cs="Arial"/>
                <w:color w:val="000000"/>
                <w:sz w:val="18"/>
                <w:lang w:eastAsia="zh-CN" w:bidi="th-TH"/>
              </w:rPr>
              <w:t>4.9%</w:t>
            </w:r>
          </w:p>
        </w:tc>
      </w:tr>
      <w:tr w:rsidR="0098087B" w:rsidRPr="00EB6F7B" w14:paraId="29EA5D1D" w14:textId="77777777" w:rsidTr="003C315C">
        <w:trPr>
          <w:trHeight w:val="264"/>
        </w:trPr>
        <w:tc>
          <w:tcPr>
            <w:tcW w:w="1986" w:type="pct"/>
            <w:tcBorders>
              <w:top w:val="nil"/>
              <w:bottom w:val="nil"/>
            </w:tcBorders>
            <w:shd w:val="clear" w:color="000000" w:fill="auto"/>
            <w:noWrap/>
            <w:hideMark/>
          </w:tcPr>
          <w:p w14:paraId="7C7513E5" w14:textId="77777777" w:rsidR="0098087B" w:rsidRPr="0012019B" w:rsidRDefault="0098087B">
            <w:pPr>
              <w:spacing w:before="45" w:after="45" w:line="240" w:lineRule="auto"/>
              <w:ind w:left="57" w:right="108"/>
              <w:rPr>
                <w:rFonts w:ascii="Arial (Body)" w:eastAsia="Times New Roman" w:hAnsi="Arial (Body)" w:cs="Arial"/>
                <w:b/>
                <w:color w:val="265A9A"/>
                <w:sz w:val="18"/>
                <w:lang w:eastAsia="zh-CN" w:bidi="th-TH"/>
              </w:rPr>
            </w:pPr>
            <w:r w:rsidRPr="0012019B">
              <w:rPr>
                <w:rFonts w:ascii="Arial (Body)" w:eastAsia="Times New Roman" w:hAnsi="Arial (Body)" w:cs="Arial"/>
                <w:b/>
                <w:color w:val="265A9A"/>
                <w:sz w:val="18"/>
                <w:lang w:eastAsia="zh-CN" w:bidi="th-TH"/>
              </w:rPr>
              <w:t>Average wage, provider cost</w:t>
            </w:r>
          </w:p>
        </w:tc>
        <w:tc>
          <w:tcPr>
            <w:tcW w:w="1323" w:type="pct"/>
            <w:tcBorders>
              <w:top w:val="nil"/>
              <w:bottom w:val="nil"/>
            </w:tcBorders>
            <w:shd w:val="clear" w:color="000000" w:fill="auto"/>
            <w:noWrap/>
            <w:hideMark/>
          </w:tcPr>
          <w:p w14:paraId="3289267D"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Pr>
                <w:rFonts w:ascii="Arial (Body)" w:eastAsia="Times New Roman" w:hAnsi="Arial (Body)" w:cs="Arial"/>
                <w:color w:val="000000"/>
                <w:sz w:val="18"/>
                <w:lang w:eastAsia="zh-CN" w:bidi="th-TH"/>
              </w:rPr>
              <w:noBreakHyphen/>
            </w:r>
            <w:r w:rsidRPr="00E80AC3">
              <w:rPr>
                <w:rFonts w:ascii="Arial (Body)" w:eastAsia="Times New Roman" w:hAnsi="Arial (Body)" w:cs="Arial"/>
                <w:color w:val="000000"/>
                <w:sz w:val="18"/>
                <w:lang w:eastAsia="zh-CN" w:bidi="th-TH"/>
              </w:rPr>
              <w:t>1.3%</w:t>
            </w:r>
          </w:p>
        </w:tc>
        <w:tc>
          <w:tcPr>
            <w:tcW w:w="1691" w:type="pct"/>
            <w:tcBorders>
              <w:top w:val="nil"/>
              <w:bottom w:val="nil"/>
            </w:tcBorders>
            <w:shd w:val="clear" w:color="000000" w:fill="auto"/>
            <w:noWrap/>
            <w:hideMark/>
          </w:tcPr>
          <w:p w14:paraId="6AD2894E"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sidRPr="00E80AC3">
              <w:rPr>
                <w:rFonts w:ascii="Arial (Body)" w:eastAsia="Times New Roman" w:hAnsi="Arial (Body)" w:cs="Arial"/>
                <w:color w:val="000000"/>
                <w:sz w:val="18"/>
                <w:lang w:eastAsia="zh-CN" w:bidi="th-TH"/>
              </w:rPr>
              <w:t>1.3%</w:t>
            </w:r>
          </w:p>
        </w:tc>
      </w:tr>
      <w:tr w:rsidR="0098087B" w:rsidRPr="00EB6F7B" w14:paraId="1BEFC1A2" w14:textId="77777777" w:rsidTr="00F35A31">
        <w:trPr>
          <w:trHeight w:val="264"/>
        </w:trPr>
        <w:tc>
          <w:tcPr>
            <w:tcW w:w="1986" w:type="pct"/>
            <w:tcBorders>
              <w:bottom w:val="nil"/>
            </w:tcBorders>
            <w:shd w:val="clear" w:color="auto" w:fill="E6E6E6"/>
            <w:noWrap/>
            <w:hideMark/>
          </w:tcPr>
          <w:p w14:paraId="1F02EB0B" w14:textId="77777777" w:rsidR="0098087B" w:rsidRPr="0012019B" w:rsidRDefault="0098087B">
            <w:pPr>
              <w:spacing w:before="45" w:after="45" w:line="240" w:lineRule="auto"/>
              <w:ind w:left="57" w:right="108"/>
              <w:rPr>
                <w:rFonts w:ascii="Arial (Body)" w:eastAsia="Times New Roman" w:hAnsi="Arial (Body)" w:cs="Arial"/>
                <w:b/>
                <w:color w:val="265A9A"/>
                <w:sz w:val="18"/>
                <w:lang w:eastAsia="zh-CN" w:bidi="th-TH"/>
              </w:rPr>
            </w:pPr>
            <w:r w:rsidRPr="0012019B">
              <w:rPr>
                <w:rFonts w:ascii="Arial (Body)" w:eastAsia="Times New Roman" w:hAnsi="Arial (Body)" w:cs="Arial"/>
                <w:b/>
                <w:color w:val="265A9A"/>
                <w:sz w:val="18"/>
                <w:lang w:eastAsia="zh-CN" w:bidi="th-TH"/>
              </w:rPr>
              <w:t>Average wage, sector average</w:t>
            </w:r>
          </w:p>
        </w:tc>
        <w:tc>
          <w:tcPr>
            <w:tcW w:w="1323" w:type="pct"/>
            <w:tcBorders>
              <w:bottom w:val="nil"/>
            </w:tcBorders>
            <w:shd w:val="clear" w:color="auto" w:fill="E6E6E6"/>
            <w:noWrap/>
            <w:hideMark/>
          </w:tcPr>
          <w:p w14:paraId="4DFFBFBD"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Pr>
                <w:rFonts w:ascii="Arial (Body)" w:eastAsia="Times New Roman" w:hAnsi="Arial (Body)" w:cs="Arial"/>
                <w:color w:val="000000"/>
                <w:sz w:val="18"/>
                <w:lang w:eastAsia="zh-CN" w:bidi="th-TH"/>
              </w:rPr>
              <w:noBreakHyphen/>
            </w:r>
            <w:r w:rsidRPr="00E80AC3">
              <w:rPr>
                <w:rFonts w:ascii="Arial (Body)" w:eastAsia="Times New Roman" w:hAnsi="Arial (Body)" w:cs="Arial"/>
                <w:color w:val="000000"/>
                <w:sz w:val="18"/>
                <w:lang w:eastAsia="zh-CN" w:bidi="th-TH"/>
              </w:rPr>
              <w:t>1.6%</w:t>
            </w:r>
          </w:p>
        </w:tc>
        <w:tc>
          <w:tcPr>
            <w:tcW w:w="1691" w:type="pct"/>
            <w:tcBorders>
              <w:bottom w:val="nil"/>
            </w:tcBorders>
            <w:shd w:val="clear" w:color="auto" w:fill="E6E6E6"/>
            <w:noWrap/>
            <w:hideMark/>
          </w:tcPr>
          <w:p w14:paraId="26C2D846"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sidRPr="00E80AC3">
              <w:rPr>
                <w:rFonts w:ascii="Arial (Body)" w:eastAsia="Times New Roman" w:hAnsi="Arial (Body)" w:cs="Arial"/>
                <w:color w:val="000000"/>
                <w:sz w:val="18"/>
                <w:lang w:eastAsia="zh-CN" w:bidi="th-TH"/>
              </w:rPr>
              <w:t>1.6%</w:t>
            </w:r>
          </w:p>
        </w:tc>
      </w:tr>
      <w:tr w:rsidR="0098087B" w:rsidRPr="00EB6F7B" w14:paraId="43C7F2FD" w14:textId="77777777" w:rsidTr="003C315C">
        <w:trPr>
          <w:trHeight w:val="264"/>
        </w:trPr>
        <w:tc>
          <w:tcPr>
            <w:tcW w:w="1986" w:type="pct"/>
            <w:tcBorders>
              <w:top w:val="nil"/>
              <w:bottom w:val="nil"/>
            </w:tcBorders>
            <w:shd w:val="clear" w:color="000000" w:fill="auto"/>
            <w:noWrap/>
            <w:hideMark/>
          </w:tcPr>
          <w:p w14:paraId="57E43346" w14:textId="77777777" w:rsidR="0098087B" w:rsidRPr="0012019B" w:rsidRDefault="0098087B">
            <w:pPr>
              <w:spacing w:before="45" w:after="45" w:line="240" w:lineRule="auto"/>
              <w:ind w:left="57" w:right="108"/>
              <w:rPr>
                <w:rFonts w:ascii="Arial (Body)" w:eastAsia="Times New Roman" w:hAnsi="Arial (Body)" w:cs="Arial"/>
                <w:b/>
                <w:color w:val="265A9A"/>
                <w:sz w:val="18"/>
                <w:lang w:eastAsia="zh-CN" w:bidi="th-TH"/>
              </w:rPr>
            </w:pPr>
            <w:r w:rsidRPr="0012019B">
              <w:rPr>
                <w:rFonts w:ascii="Arial (Body)" w:eastAsia="Times New Roman" w:hAnsi="Arial (Body)" w:cs="Arial"/>
                <w:b/>
                <w:color w:val="265A9A"/>
                <w:sz w:val="18"/>
                <w:lang w:eastAsia="zh-CN" w:bidi="th-TH"/>
              </w:rPr>
              <w:t>Provider growth</w:t>
            </w:r>
          </w:p>
        </w:tc>
        <w:tc>
          <w:tcPr>
            <w:tcW w:w="1323" w:type="pct"/>
            <w:tcBorders>
              <w:top w:val="nil"/>
              <w:bottom w:val="nil"/>
            </w:tcBorders>
            <w:shd w:val="clear" w:color="000000" w:fill="auto"/>
            <w:noWrap/>
            <w:hideMark/>
          </w:tcPr>
          <w:p w14:paraId="688FF2F2"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Pr>
                <w:rFonts w:ascii="Arial (Body)" w:eastAsia="Times New Roman" w:hAnsi="Arial (Body)" w:cs="Arial"/>
                <w:color w:val="000000"/>
                <w:sz w:val="18"/>
                <w:lang w:eastAsia="zh-CN" w:bidi="th-TH"/>
              </w:rPr>
              <w:noBreakHyphen/>
            </w:r>
            <w:r w:rsidRPr="00E80AC3">
              <w:rPr>
                <w:rFonts w:ascii="Arial (Body)" w:eastAsia="Times New Roman" w:hAnsi="Arial (Body)" w:cs="Arial"/>
                <w:color w:val="000000"/>
                <w:sz w:val="18"/>
                <w:lang w:eastAsia="zh-CN" w:bidi="th-TH"/>
              </w:rPr>
              <w:t>6.5%</w:t>
            </w:r>
          </w:p>
        </w:tc>
        <w:tc>
          <w:tcPr>
            <w:tcW w:w="1691" w:type="pct"/>
            <w:tcBorders>
              <w:top w:val="nil"/>
              <w:bottom w:val="nil"/>
            </w:tcBorders>
            <w:shd w:val="clear" w:color="000000" w:fill="auto"/>
            <w:noWrap/>
            <w:hideMark/>
          </w:tcPr>
          <w:p w14:paraId="38482BE0"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sidRPr="00E80AC3">
              <w:rPr>
                <w:rFonts w:ascii="Arial (Body)" w:eastAsia="Times New Roman" w:hAnsi="Arial (Body)" w:cs="Arial"/>
                <w:color w:val="000000"/>
                <w:sz w:val="18"/>
                <w:lang w:eastAsia="zh-CN" w:bidi="th-TH"/>
              </w:rPr>
              <w:t>7.0%</w:t>
            </w:r>
          </w:p>
        </w:tc>
      </w:tr>
      <w:tr w:rsidR="0098087B" w:rsidRPr="00EB6F7B" w14:paraId="419AC900" w14:textId="77777777" w:rsidTr="00F35A31">
        <w:trPr>
          <w:trHeight w:val="264"/>
        </w:trPr>
        <w:tc>
          <w:tcPr>
            <w:tcW w:w="1986" w:type="pct"/>
            <w:tcBorders>
              <w:bottom w:val="nil"/>
            </w:tcBorders>
            <w:shd w:val="clear" w:color="auto" w:fill="E6E6E6"/>
            <w:noWrap/>
            <w:hideMark/>
          </w:tcPr>
          <w:p w14:paraId="68C199BE" w14:textId="77777777" w:rsidR="0098087B" w:rsidRPr="0012019B" w:rsidRDefault="0098087B">
            <w:pPr>
              <w:spacing w:before="45" w:after="45" w:line="240" w:lineRule="auto"/>
              <w:ind w:left="57" w:right="108"/>
              <w:rPr>
                <w:rFonts w:ascii="Arial (Body)" w:eastAsia="Times New Roman" w:hAnsi="Arial (Body)" w:cs="Arial"/>
                <w:b/>
                <w:color w:val="265A9A"/>
                <w:sz w:val="18"/>
                <w:lang w:eastAsia="zh-CN" w:bidi="th-TH"/>
              </w:rPr>
            </w:pPr>
            <w:r w:rsidRPr="0012019B">
              <w:rPr>
                <w:rFonts w:ascii="Arial (Body)" w:eastAsia="Times New Roman" w:hAnsi="Arial (Body)" w:cs="Arial"/>
                <w:b/>
                <w:color w:val="265A9A"/>
                <w:sz w:val="18"/>
                <w:lang w:eastAsia="zh-CN" w:bidi="th-TH"/>
              </w:rPr>
              <w:t>Hours per audit</w:t>
            </w:r>
          </w:p>
        </w:tc>
        <w:tc>
          <w:tcPr>
            <w:tcW w:w="1323" w:type="pct"/>
            <w:tcBorders>
              <w:bottom w:val="nil"/>
            </w:tcBorders>
            <w:shd w:val="clear" w:color="auto" w:fill="E6E6E6"/>
            <w:noWrap/>
            <w:hideMark/>
          </w:tcPr>
          <w:p w14:paraId="6633F2F3"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Pr>
                <w:rFonts w:ascii="Arial (Body)" w:eastAsia="Times New Roman" w:hAnsi="Arial (Body)" w:cs="Arial"/>
                <w:color w:val="000000"/>
                <w:sz w:val="18"/>
                <w:lang w:eastAsia="zh-CN" w:bidi="th-TH"/>
              </w:rPr>
              <w:noBreakHyphen/>
            </w:r>
            <w:r w:rsidRPr="00E80AC3">
              <w:rPr>
                <w:rFonts w:ascii="Arial (Body)" w:eastAsia="Times New Roman" w:hAnsi="Arial (Body)" w:cs="Arial"/>
                <w:color w:val="000000"/>
                <w:sz w:val="18"/>
                <w:lang w:eastAsia="zh-CN" w:bidi="th-TH"/>
              </w:rPr>
              <w:t>1.3%</w:t>
            </w:r>
          </w:p>
        </w:tc>
        <w:tc>
          <w:tcPr>
            <w:tcW w:w="1691" w:type="pct"/>
            <w:tcBorders>
              <w:bottom w:val="nil"/>
            </w:tcBorders>
            <w:shd w:val="clear" w:color="auto" w:fill="E6E6E6"/>
            <w:noWrap/>
            <w:hideMark/>
          </w:tcPr>
          <w:p w14:paraId="765BFA35"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sidRPr="00E80AC3">
              <w:rPr>
                <w:rFonts w:ascii="Arial (Body)" w:eastAsia="Times New Roman" w:hAnsi="Arial (Body)" w:cs="Arial"/>
                <w:color w:val="000000"/>
                <w:sz w:val="18"/>
                <w:lang w:eastAsia="zh-CN" w:bidi="th-TH"/>
              </w:rPr>
              <w:t>1.3%</w:t>
            </w:r>
          </w:p>
        </w:tc>
      </w:tr>
      <w:tr w:rsidR="0098087B" w:rsidRPr="00EB6F7B" w14:paraId="43E302EB" w14:textId="77777777" w:rsidTr="003C315C">
        <w:trPr>
          <w:trHeight w:val="264"/>
        </w:trPr>
        <w:tc>
          <w:tcPr>
            <w:tcW w:w="1986" w:type="pct"/>
            <w:tcBorders>
              <w:top w:val="nil"/>
              <w:bottom w:val="nil"/>
            </w:tcBorders>
            <w:shd w:val="clear" w:color="000000" w:fill="auto"/>
            <w:noWrap/>
            <w:hideMark/>
          </w:tcPr>
          <w:p w14:paraId="6A1DE7AE" w14:textId="77777777" w:rsidR="0098087B" w:rsidRPr="0012019B" w:rsidRDefault="0098087B">
            <w:pPr>
              <w:spacing w:before="45" w:after="45" w:line="240" w:lineRule="auto"/>
              <w:ind w:left="57" w:right="108"/>
              <w:rPr>
                <w:rFonts w:ascii="Arial (Body)" w:eastAsia="Times New Roman" w:hAnsi="Arial (Body)" w:cs="Arial"/>
                <w:b/>
                <w:color w:val="265A9A"/>
                <w:sz w:val="18"/>
                <w:lang w:eastAsia="zh-CN" w:bidi="th-TH"/>
              </w:rPr>
            </w:pPr>
            <w:r w:rsidRPr="0012019B">
              <w:rPr>
                <w:rFonts w:ascii="Arial (Body)" w:eastAsia="Times New Roman" w:hAnsi="Arial (Body)" w:cs="Arial"/>
                <w:b/>
                <w:color w:val="265A9A"/>
                <w:sz w:val="18"/>
                <w:lang w:eastAsia="zh-CN" w:bidi="th-TH"/>
              </w:rPr>
              <w:t>Fees per audit</w:t>
            </w:r>
          </w:p>
        </w:tc>
        <w:tc>
          <w:tcPr>
            <w:tcW w:w="1323" w:type="pct"/>
            <w:tcBorders>
              <w:top w:val="nil"/>
              <w:bottom w:val="nil"/>
            </w:tcBorders>
            <w:shd w:val="clear" w:color="000000" w:fill="auto"/>
            <w:noWrap/>
            <w:hideMark/>
          </w:tcPr>
          <w:p w14:paraId="184DE085"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Pr>
                <w:rFonts w:ascii="Arial (Body)" w:eastAsia="Times New Roman" w:hAnsi="Arial (Body)" w:cs="Arial"/>
                <w:color w:val="000000"/>
                <w:sz w:val="18"/>
                <w:lang w:eastAsia="zh-CN" w:bidi="th-TH"/>
              </w:rPr>
              <w:noBreakHyphen/>
            </w:r>
            <w:r w:rsidRPr="00E80AC3">
              <w:rPr>
                <w:rFonts w:ascii="Arial (Body)" w:eastAsia="Times New Roman" w:hAnsi="Arial (Body)" w:cs="Arial"/>
                <w:color w:val="000000"/>
                <w:sz w:val="18"/>
                <w:lang w:eastAsia="zh-CN" w:bidi="th-TH"/>
              </w:rPr>
              <w:t>3.8%</w:t>
            </w:r>
          </w:p>
        </w:tc>
        <w:tc>
          <w:tcPr>
            <w:tcW w:w="1691" w:type="pct"/>
            <w:tcBorders>
              <w:top w:val="nil"/>
              <w:bottom w:val="nil"/>
            </w:tcBorders>
            <w:shd w:val="clear" w:color="000000" w:fill="auto"/>
            <w:noWrap/>
            <w:hideMark/>
          </w:tcPr>
          <w:p w14:paraId="033C85BB"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sidRPr="00E80AC3">
              <w:rPr>
                <w:rFonts w:ascii="Arial (Body)" w:eastAsia="Times New Roman" w:hAnsi="Arial (Body)" w:cs="Arial"/>
                <w:color w:val="000000"/>
                <w:sz w:val="18"/>
                <w:lang w:eastAsia="zh-CN" w:bidi="th-TH"/>
              </w:rPr>
              <w:t>3.8%</w:t>
            </w:r>
          </w:p>
        </w:tc>
      </w:tr>
      <w:tr w:rsidR="0098087B" w:rsidRPr="00EB6F7B" w14:paraId="5B249FB0" w14:textId="77777777" w:rsidTr="00F35A31">
        <w:trPr>
          <w:trHeight w:val="264"/>
        </w:trPr>
        <w:tc>
          <w:tcPr>
            <w:tcW w:w="1986" w:type="pct"/>
            <w:tcBorders>
              <w:bottom w:val="nil"/>
            </w:tcBorders>
            <w:shd w:val="clear" w:color="auto" w:fill="E6E6E6"/>
            <w:noWrap/>
            <w:hideMark/>
          </w:tcPr>
          <w:p w14:paraId="76F3BCC0" w14:textId="77777777" w:rsidR="0098087B" w:rsidRPr="0012019B" w:rsidRDefault="0098087B">
            <w:pPr>
              <w:spacing w:before="45" w:after="45" w:line="240" w:lineRule="auto"/>
              <w:ind w:left="57" w:right="108"/>
              <w:rPr>
                <w:rFonts w:ascii="Arial (Body)" w:eastAsia="Times New Roman" w:hAnsi="Arial (Body)" w:cs="Arial"/>
                <w:b/>
                <w:color w:val="265A9A"/>
                <w:sz w:val="18"/>
                <w:lang w:eastAsia="zh-CN" w:bidi="th-TH"/>
              </w:rPr>
            </w:pPr>
            <w:r w:rsidRPr="0012019B">
              <w:rPr>
                <w:rFonts w:ascii="Arial (Body)" w:eastAsia="Times New Roman" w:hAnsi="Arial (Body)" w:cs="Arial"/>
                <w:b/>
                <w:color w:val="265A9A"/>
                <w:sz w:val="18"/>
                <w:lang w:eastAsia="zh-CN" w:bidi="th-TH"/>
              </w:rPr>
              <w:lastRenderedPageBreak/>
              <w:t>NDIS workers</w:t>
            </w:r>
          </w:p>
        </w:tc>
        <w:tc>
          <w:tcPr>
            <w:tcW w:w="1323" w:type="pct"/>
            <w:tcBorders>
              <w:bottom w:val="nil"/>
            </w:tcBorders>
            <w:shd w:val="clear" w:color="auto" w:fill="E6E6E6"/>
            <w:noWrap/>
            <w:hideMark/>
          </w:tcPr>
          <w:p w14:paraId="7F9CF840"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Pr>
                <w:rFonts w:ascii="Arial (Body)" w:eastAsia="Times New Roman" w:hAnsi="Arial (Body)" w:cs="Arial"/>
                <w:color w:val="000000"/>
                <w:sz w:val="18"/>
                <w:lang w:eastAsia="zh-CN" w:bidi="th-TH"/>
              </w:rPr>
              <w:noBreakHyphen/>
            </w:r>
            <w:r w:rsidRPr="00E80AC3">
              <w:rPr>
                <w:rFonts w:ascii="Arial (Body)" w:eastAsia="Times New Roman" w:hAnsi="Arial (Body)" w:cs="Arial"/>
                <w:color w:val="000000"/>
                <w:sz w:val="18"/>
                <w:lang w:eastAsia="zh-CN" w:bidi="th-TH"/>
              </w:rPr>
              <w:t>4.9%</w:t>
            </w:r>
          </w:p>
        </w:tc>
        <w:tc>
          <w:tcPr>
            <w:tcW w:w="1691" w:type="pct"/>
            <w:tcBorders>
              <w:bottom w:val="nil"/>
            </w:tcBorders>
            <w:shd w:val="clear" w:color="auto" w:fill="E6E6E6"/>
            <w:noWrap/>
            <w:hideMark/>
          </w:tcPr>
          <w:p w14:paraId="671CE907"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sidRPr="00E80AC3">
              <w:rPr>
                <w:rFonts w:ascii="Arial (Body)" w:eastAsia="Times New Roman" w:hAnsi="Arial (Body)" w:cs="Arial"/>
                <w:color w:val="000000"/>
                <w:sz w:val="18"/>
                <w:lang w:eastAsia="zh-CN" w:bidi="th-TH"/>
              </w:rPr>
              <w:t>4.9%</w:t>
            </w:r>
          </w:p>
        </w:tc>
      </w:tr>
      <w:tr w:rsidR="0098087B" w:rsidRPr="00EB6F7B" w14:paraId="5769CA60" w14:textId="77777777" w:rsidTr="003C315C">
        <w:trPr>
          <w:trHeight w:val="264"/>
        </w:trPr>
        <w:tc>
          <w:tcPr>
            <w:tcW w:w="1986" w:type="pct"/>
            <w:tcBorders>
              <w:top w:val="nil"/>
              <w:bottom w:val="nil"/>
            </w:tcBorders>
            <w:shd w:val="clear" w:color="000000" w:fill="auto"/>
            <w:noWrap/>
            <w:hideMark/>
          </w:tcPr>
          <w:p w14:paraId="270EFD3A" w14:textId="77777777" w:rsidR="0098087B" w:rsidRPr="0012019B" w:rsidRDefault="0098087B">
            <w:pPr>
              <w:spacing w:before="45" w:after="45" w:line="240" w:lineRule="auto"/>
              <w:ind w:left="57" w:right="108"/>
              <w:rPr>
                <w:rFonts w:ascii="Arial (Body)" w:eastAsia="Times New Roman" w:hAnsi="Arial (Body)" w:cs="Arial"/>
                <w:b/>
                <w:color w:val="265A9A"/>
                <w:sz w:val="18"/>
                <w:lang w:eastAsia="zh-CN" w:bidi="th-TH"/>
              </w:rPr>
            </w:pPr>
            <w:r w:rsidRPr="0012019B">
              <w:rPr>
                <w:rFonts w:ascii="Arial (Body)" w:eastAsia="Times New Roman" w:hAnsi="Arial (Body)" w:cs="Arial"/>
                <w:b/>
                <w:color w:val="265A9A"/>
                <w:sz w:val="18"/>
                <w:lang w:eastAsia="zh-CN" w:bidi="th-TH"/>
              </w:rPr>
              <w:t>% of NDIS clients under 18</w:t>
            </w:r>
          </w:p>
        </w:tc>
        <w:tc>
          <w:tcPr>
            <w:tcW w:w="1323" w:type="pct"/>
            <w:tcBorders>
              <w:top w:val="nil"/>
              <w:bottom w:val="nil"/>
            </w:tcBorders>
            <w:shd w:val="clear" w:color="000000" w:fill="auto"/>
            <w:noWrap/>
            <w:hideMark/>
          </w:tcPr>
          <w:p w14:paraId="05156F31"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Pr>
                <w:rFonts w:ascii="Arial (Body)" w:eastAsia="Times New Roman" w:hAnsi="Arial (Body)" w:cs="Arial"/>
                <w:color w:val="000000"/>
                <w:sz w:val="18"/>
                <w:lang w:eastAsia="zh-CN" w:bidi="th-TH"/>
              </w:rPr>
              <w:noBreakHyphen/>
            </w:r>
            <w:r w:rsidRPr="00E80AC3">
              <w:rPr>
                <w:rFonts w:ascii="Arial (Body)" w:eastAsia="Times New Roman" w:hAnsi="Arial (Body)" w:cs="Arial"/>
                <w:color w:val="000000"/>
                <w:sz w:val="18"/>
                <w:lang w:eastAsia="zh-CN" w:bidi="th-TH"/>
              </w:rPr>
              <w:t>4.9%</w:t>
            </w:r>
          </w:p>
        </w:tc>
        <w:tc>
          <w:tcPr>
            <w:tcW w:w="1691" w:type="pct"/>
            <w:tcBorders>
              <w:top w:val="nil"/>
              <w:bottom w:val="nil"/>
            </w:tcBorders>
            <w:shd w:val="clear" w:color="000000" w:fill="auto"/>
            <w:noWrap/>
            <w:hideMark/>
          </w:tcPr>
          <w:p w14:paraId="0EC284B5"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sidRPr="00E80AC3">
              <w:rPr>
                <w:rFonts w:ascii="Arial (Body)" w:eastAsia="Times New Roman" w:hAnsi="Arial (Body)" w:cs="Arial"/>
                <w:color w:val="000000"/>
                <w:sz w:val="18"/>
                <w:lang w:eastAsia="zh-CN" w:bidi="th-TH"/>
              </w:rPr>
              <w:t>4.9%</w:t>
            </w:r>
          </w:p>
        </w:tc>
      </w:tr>
      <w:tr w:rsidR="0098087B" w:rsidRPr="00EB6F7B" w14:paraId="3E7F7470" w14:textId="77777777" w:rsidTr="00F35A31">
        <w:trPr>
          <w:trHeight w:val="264"/>
        </w:trPr>
        <w:tc>
          <w:tcPr>
            <w:tcW w:w="1986" w:type="pct"/>
            <w:tcBorders>
              <w:bottom w:val="nil"/>
            </w:tcBorders>
            <w:shd w:val="clear" w:color="auto" w:fill="E6E6E6"/>
            <w:noWrap/>
            <w:hideMark/>
          </w:tcPr>
          <w:p w14:paraId="1085AEAD" w14:textId="77777777" w:rsidR="0098087B" w:rsidRPr="0012019B" w:rsidRDefault="0098087B">
            <w:pPr>
              <w:spacing w:before="45" w:after="45" w:line="240" w:lineRule="auto"/>
              <w:ind w:left="57" w:right="108"/>
              <w:rPr>
                <w:rFonts w:ascii="Arial (Body)" w:eastAsia="Times New Roman" w:hAnsi="Arial (Body)" w:cs="Arial"/>
                <w:b/>
                <w:color w:val="265A9A"/>
                <w:sz w:val="18"/>
                <w:lang w:eastAsia="zh-CN" w:bidi="th-TH"/>
              </w:rPr>
            </w:pPr>
            <w:r w:rsidRPr="0012019B">
              <w:rPr>
                <w:rFonts w:ascii="Arial (Body)" w:eastAsia="Times New Roman" w:hAnsi="Arial (Body)" w:cs="Arial"/>
                <w:b/>
                <w:color w:val="265A9A"/>
                <w:sz w:val="18"/>
                <w:lang w:eastAsia="zh-CN" w:bidi="th-TH"/>
              </w:rPr>
              <w:t>Years between screenings</w:t>
            </w:r>
          </w:p>
        </w:tc>
        <w:tc>
          <w:tcPr>
            <w:tcW w:w="1323" w:type="pct"/>
            <w:tcBorders>
              <w:bottom w:val="nil"/>
            </w:tcBorders>
            <w:shd w:val="clear" w:color="auto" w:fill="E6E6E6"/>
            <w:noWrap/>
            <w:hideMark/>
          </w:tcPr>
          <w:p w14:paraId="738AE89A"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sidRPr="00E80AC3">
              <w:rPr>
                <w:rFonts w:ascii="Arial (Body)" w:eastAsia="Times New Roman" w:hAnsi="Arial (Body)" w:cs="Arial"/>
                <w:color w:val="000000"/>
                <w:sz w:val="18"/>
                <w:lang w:eastAsia="zh-CN" w:bidi="th-TH"/>
              </w:rPr>
              <w:t>5.5%</w:t>
            </w:r>
          </w:p>
        </w:tc>
        <w:tc>
          <w:tcPr>
            <w:tcW w:w="1691" w:type="pct"/>
            <w:tcBorders>
              <w:bottom w:val="nil"/>
            </w:tcBorders>
            <w:shd w:val="clear" w:color="auto" w:fill="E6E6E6"/>
            <w:noWrap/>
            <w:hideMark/>
          </w:tcPr>
          <w:p w14:paraId="301C0884"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Pr>
                <w:rFonts w:ascii="Arial (Body)" w:eastAsia="Times New Roman" w:hAnsi="Arial (Body)" w:cs="Arial"/>
                <w:color w:val="000000"/>
                <w:sz w:val="18"/>
                <w:lang w:eastAsia="zh-CN" w:bidi="th-TH"/>
              </w:rPr>
              <w:noBreakHyphen/>
            </w:r>
            <w:r w:rsidRPr="00E80AC3">
              <w:rPr>
                <w:rFonts w:ascii="Arial (Body)" w:eastAsia="Times New Roman" w:hAnsi="Arial (Body)" w:cs="Arial"/>
                <w:color w:val="000000"/>
                <w:sz w:val="18"/>
                <w:lang w:eastAsia="zh-CN" w:bidi="th-TH"/>
              </w:rPr>
              <w:t>4.5%</w:t>
            </w:r>
          </w:p>
        </w:tc>
      </w:tr>
      <w:tr w:rsidR="0098087B" w:rsidRPr="00EB6F7B" w14:paraId="7BC11D99" w14:textId="77777777" w:rsidTr="003C315C">
        <w:trPr>
          <w:trHeight w:val="264"/>
        </w:trPr>
        <w:tc>
          <w:tcPr>
            <w:tcW w:w="1986" w:type="pct"/>
            <w:tcBorders>
              <w:top w:val="nil"/>
              <w:bottom w:val="nil"/>
            </w:tcBorders>
            <w:shd w:val="clear" w:color="000000" w:fill="auto"/>
            <w:noWrap/>
            <w:hideMark/>
          </w:tcPr>
          <w:p w14:paraId="3AA2C747" w14:textId="77777777" w:rsidR="0098087B" w:rsidRPr="0012019B" w:rsidRDefault="0098087B">
            <w:pPr>
              <w:spacing w:before="45" w:after="45" w:line="240" w:lineRule="auto"/>
              <w:ind w:left="57" w:right="108"/>
              <w:rPr>
                <w:rFonts w:ascii="Arial (Body)" w:eastAsia="Times New Roman" w:hAnsi="Arial (Body)" w:cs="Arial"/>
                <w:b/>
                <w:color w:val="265A9A"/>
                <w:sz w:val="18"/>
                <w:lang w:eastAsia="zh-CN" w:bidi="th-TH"/>
              </w:rPr>
            </w:pPr>
            <w:r w:rsidRPr="0012019B">
              <w:rPr>
                <w:rFonts w:ascii="Arial (Body)" w:eastAsia="Times New Roman" w:hAnsi="Arial (Body)" w:cs="Arial"/>
                <w:b/>
                <w:color w:val="265A9A"/>
                <w:sz w:val="18"/>
                <w:lang w:eastAsia="zh-CN" w:bidi="th-TH"/>
              </w:rPr>
              <w:t>Worker screening fee</w:t>
            </w:r>
          </w:p>
        </w:tc>
        <w:tc>
          <w:tcPr>
            <w:tcW w:w="1323" w:type="pct"/>
            <w:tcBorders>
              <w:top w:val="nil"/>
              <w:bottom w:val="nil"/>
            </w:tcBorders>
            <w:shd w:val="clear" w:color="000000" w:fill="auto"/>
            <w:noWrap/>
            <w:hideMark/>
          </w:tcPr>
          <w:p w14:paraId="11C3B96D"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Pr>
                <w:rFonts w:ascii="Arial (Body)" w:eastAsia="Times New Roman" w:hAnsi="Arial (Body)" w:cs="Arial"/>
                <w:color w:val="000000"/>
                <w:sz w:val="18"/>
                <w:lang w:eastAsia="zh-CN" w:bidi="th-TH"/>
              </w:rPr>
              <w:noBreakHyphen/>
            </w:r>
            <w:r w:rsidRPr="00E80AC3">
              <w:rPr>
                <w:rFonts w:ascii="Arial (Body)" w:eastAsia="Times New Roman" w:hAnsi="Arial (Body)" w:cs="Arial"/>
                <w:color w:val="000000"/>
                <w:sz w:val="18"/>
                <w:lang w:eastAsia="zh-CN" w:bidi="th-TH"/>
              </w:rPr>
              <w:t>3.3%</w:t>
            </w:r>
          </w:p>
        </w:tc>
        <w:tc>
          <w:tcPr>
            <w:tcW w:w="1691" w:type="pct"/>
            <w:tcBorders>
              <w:top w:val="nil"/>
              <w:bottom w:val="nil"/>
            </w:tcBorders>
            <w:shd w:val="clear" w:color="000000" w:fill="auto"/>
            <w:noWrap/>
            <w:hideMark/>
          </w:tcPr>
          <w:p w14:paraId="3CB4B644"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sidRPr="00E80AC3">
              <w:rPr>
                <w:rFonts w:ascii="Arial (Body)" w:eastAsia="Times New Roman" w:hAnsi="Arial (Body)" w:cs="Arial"/>
                <w:color w:val="000000"/>
                <w:sz w:val="18"/>
                <w:lang w:eastAsia="zh-CN" w:bidi="th-TH"/>
              </w:rPr>
              <w:t>3.3%</w:t>
            </w:r>
          </w:p>
        </w:tc>
      </w:tr>
      <w:tr w:rsidR="0098087B" w:rsidRPr="00EB6F7B" w14:paraId="581C6959" w14:textId="77777777" w:rsidTr="00F35A31">
        <w:trPr>
          <w:trHeight w:val="264"/>
        </w:trPr>
        <w:tc>
          <w:tcPr>
            <w:tcW w:w="1986" w:type="pct"/>
            <w:tcBorders>
              <w:bottom w:val="single" w:sz="4" w:space="0" w:color="B3B3B3"/>
            </w:tcBorders>
            <w:shd w:val="clear" w:color="auto" w:fill="E6E6E6"/>
            <w:noWrap/>
            <w:hideMark/>
          </w:tcPr>
          <w:p w14:paraId="3A99810D" w14:textId="77777777" w:rsidR="0098087B" w:rsidRPr="0012019B" w:rsidRDefault="0098087B">
            <w:pPr>
              <w:spacing w:before="45" w:after="45" w:line="240" w:lineRule="auto"/>
              <w:ind w:left="57" w:right="108"/>
              <w:rPr>
                <w:rFonts w:ascii="Arial (Body)" w:eastAsia="Times New Roman" w:hAnsi="Arial (Body)" w:cs="Arial"/>
                <w:b/>
                <w:color w:val="265A9A"/>
                <w:sz w:val="18"/>
                <w:lang w:eastAsia="zh-CN" w:bidi="th-TH"/>
              </w:rPr>
            </w:pPr>
            <w:r w:rsidRPr="0012019B">
              <w:rPr>
                <w:rFonts w:ascii="Arial (Body)" w:eastAsia="Times New Roman" w:hAnsi="Arial (Body)" w:cs="Arial"/>
                <w:b/>
                <w:color w:val="265A9A"/>
                <w:sz w:val="18"/>
                <w:lang w:eastAsia="zh-CN" w:bidi="th-TH"/>
              </w:rPr>
              <w:t>Worker time per screening</w:t>
            </w:r>
          </w:p>
        </w:tc>
        <w:tc>
          <w:tcPr>
            <w:tcW w:w="1323" w:type="pct"/>
            <w:tcBorders>
              <w:bottom w:val="single" w:sz="4" w:space="0" w:color="B3B3B3"/>
            </w:tcBorders>
            <w:shd w:val="clear" w:color="auto" w:fill="E6E6E6"/>
            <w:noWrap/>
            <w:hideMark/>
          </w:tcPr>
          <w:p w14:paraId="2DF89CFA"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Pr>
                <w:rFonts w:ascii="Arial (Body)" w:eastAsia="Times New Roman" w:hAnsi="Arial (Body)" w:cs="Arial"/>
                <w:color w:val="000000"/>
                <w:sz w:val="18"/>
                <w:lang w:eastAsia="zh-CN" w:bidi="th-TH"/>
              </w:rPr>
              <w:noBreakHyphen/>
            </w:r>
            <w:r w:rsidRPr="00E80AC3">
              <w:rPr>
                <w:rFonts w:ascii="Arial (Body)" w:eastAsia="Times New Roman" w:hAnsi="Arial (Body)" w:cs="Arial"/>
                <w:color w:val="000000"/>
                <w:sz w:val="18"/>
                <w:lang w:eastAsia="zh-CN" w:bidi="th-TH"/>
              </w:rPr>
              <w:t>1.6%</w:t>
            </w:r>
          </w:p>
        </w:tc>
        <w:tc>
          <w:tcPr>
            <w:tcW w:w="1691" w:type="pct"/>
            <w:tcBorders>
              <w:bottom w:val="single" w:sz="4" w:space="0" w:color="B3B3B3"/>
            </w:tcBorders>
            <w:shd w:val="clear" w:color="auto" w:fill="E6E6E6"/>
            <w:noWrap/>
            <w:hideMark/>
          </w:tcPr>
          <w:p w14:paraId="777B814D" w14:textId="77777777" w:rsidR="0098087B" w:rsidRPr="00E80AC3" w:rsidRDefault="0098087B" w:rsidP="0098087B">
            <w:pPr>
              <w:spacing w:before="45" w:after="45" w:line="240" w:lineRule="auto"/>
              <w:ind w:left="57" w:right="108"/>
              <w:jc w:val="right"/>
              <w:rPr>
                <w:rFonts w:ascii="Arial (Body)" w:eastAsia="Times New Roman" w:hAnsi="Arial (Body)" w:cs="Arial"/>
                <w:color w:val="000000"/>
                <w:sz w:val="18"/>
                <w:lang w:eastAsia="zh-CN" w:bidi="th-TH"/>
              </w:rPr>
            </w:pPr>
            <w:r w:rsidRPr="00E80AC3">
              <w:rPr>
                <w:rFonts w:ascii="Arial (Body)" w:eastAsia="Times New Roman" w:hAnsi="Arial (Body)" w:cs="Arial"/>
                <w:color w:val="000000"/>
                <w:sz w:val="18"/>
                <w:lang w:eastAsia="zh-CN" w:bidi="th-TH"/>
              </w:rPr>
              <w:t>1.6%</w:t>
            </w:r>
          </w:p>
        </w:tc>
      </w:tr>
    </w:tbl>
    <w:p w14:paraId="45127D5C" w14:textId="24EED8A6" w:rsidR="00D94B88" w:rsidRDefault="00D94B88">
      <w:pPr>
        <w:pStyle w:val="FigureTableHeading"/>
      </w:pPr>
      <w:r>
        <w:t>Table B.</w:t>
      </w:r>
      <w:r w:rsidR="00DF4CAF">
        <w:t>6</w:t>
      </w:r>
      <w:r>
        <w:rPr>
          <w:noProof/>
        </w:rPr>
        <w:t xml:space="preserve"> – </w:t>
      </w:r>
      <w:r>
        <w:t>Sensitivity testing on nominal 10</w:t>
      </w:r>
      <w:r>
        <w:noBreakHyphen/>
        <w:t>year benefits, varying discount rates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D94B88" w:rsidRPr="00651E0C" w14:paraId="2464FDBD" w14:textId="77777777">
        <w:trPr>
          <w:tblHeader/>
        </w:trPr>
        <w:tc>
          <w:tcPr>
            <w:tcW w:w="3212" w:type="dxa"/>
            <w:tcBorders>
              <w:bottom w:val="single" w:sz="4" w:space="0" w:color="B3B3B3"/>
            </w:tcBorders>
            <w:shd w:val="clear" w:color="000000" w:fill="auto"/>
            <w:vAlign w:val="bottom"/>
          </w:tcPr>
          <w:p w14:paraId="71600B22" w14:textId="77777777" w:rsidR="00D94B88" w:rsidRPr="009F58A8" w:rsidRDefault="00D94B88">
            <w:pPr>
              <w:spacing w:before="45" w:after="45"/>
              <w:ind w:left="57" w:right="108"/>
              <w:rPr>
                <w:rFonts w:ascii="Arial (Body)" w:hAnsi="Arial (Body)"/>
                <w:b/>
                <w:color w:val="265A9A"/>
                <w:sz w:val="18"/>
              </w:rPr>
            </w:pPr>
            <w:r w:rsidRPr="009F58A8">
              <w:rPr>
                <w:rFonts w:ascii="Arial (Body)" w:hAnsi="Arial (Body)" w:cs="Arial"/>
                <w:b/>
                <w:color w:val="265A9A"/>
                <w:sz w:val="18"/>
              </w:rPr>
              <w:t>Discount rate</w:t>
            </w:r>
          </w:p>
        </w:tc>
        <w:tc>
          <w:tcPr>
            <w:tcW w:w="3213" w:type="dxa"/>
            <w:tcBorders>
              <w:bottom w:val="single" w:sz="4" w:space="0" w:color="B3B3B3"/>
            </w:tcBorders>
            <w:shd w:val="clear" w:color="000000" w:fill="auto"/>
            <w:vAlign w:val="bottom"/>
          </w:tcPr>
          <w:p w14:paraId="0C9819F4" w14:textId="77777777" w:rsidR="00D94B88" w:rsidRPr="009F58A8" w:rsidRDefault="00D94B88" w:rsidP="009319C5">
            <w:pPr>
              <w:pStyle w:val="TableHeading"/>
              <w:spacing w:before="45" w:after="45"/>
              <w:ind w:right="108"/>
              <w:jc w:val="right"/>
              <w:rPr>
                <w:rFonts w:ascii="Arial (Body)" w:hAnsi="Arial (Body)"/>
                <w:color w:val="265A9A"/>
              </w:rPr>
            </w:pPr>
            <w:r w:rsidRPr="009F58A8">
              <w:rPr>
                <w:rFonts w:ascii="Arial (Body)" w:hAnsi="Arial (Body)" w:cs="Arial"/>
                <w:color w:val="265A9A"/>
              </w:rPr>
              <w:t>Total</w:t>
            </w:r>
            <w:r w:rsidRPr="00E25E86">
              <w:rPr>
                <w:rFonts w:ascii="Arial (Body)" w:hAnsi="Arial (Body)" w:cs="Arial"/>
                <w:bCs/>
                <w:color w:val="265A9A"/>
              </w:rPr>
              <w:t xml:space="preserve"> benefits</w:t>
            </w:r>
          </w:p>
        </w:tc>
        <w:tc>
          <w:tcPr>
            <w:tcW w:w="3213" w:type="dxa"/>
            <w:tcBorders>
              <w:bottom w:val="single" w:sz="4" w:space="0" w:color="B3B3B3"/>
            </w:tcBorders>
            <w:shd w:val="clear" w:color="000000" w:fill="auto"/>
            <w:vAlign w:val="bottom"/>
          </w:tcPr>
          <w:p w14:paraId="42287032" w14:textId="77777777" w:rsidR="00D94B88" w:rsidRPr="009F58A8" w:rsidRDefault="00D94B88" w:rsidP="009319C5">
            <w:pPr>
              <w:pStyle w:val="TableHeading"/>
              <w:spacing w:before="45" w:after="45"/>
              <w:ind w:right="108"/>
              <w:jc w:val="right"/>
              <w:rPr>
                <w:rFonts w:ascii="Arial (Body)" w:hAnsi="Arial (Body)"/>
                <w:color w:val="265A9A"/>
              </w:rPr>
            </w:pPr>
            <w:r w:rsidRPr="009F58A8">
              <w:rPr>
                <w:rFonts w:ascii="Arial (Body)" w:hAnsi="Arial (Body)" w:cs="Arial"/>
                <w:color w:val="265A9A"/>
              </w:rPr>
              <w:t>Per year</w:t>
            </w:r>
            <w:r w:rsidRPr="00E25E86">
              <w:rPr>
                <w:rFonts w:ascii="Arial (Body)" w:hAnsi="Arial (Body)" w:cs="Arial"/>
                <w:bCs/>
                <w:color w:val="265A9A"/>
              </w:rPr>
              <w:t xml:space="preserve"> benefits</w:t>
            </w:r>
          </w:p>
        </w:tc>
      </w:tr>
      <w:tr w:rsidR="00D94B88" w:rsidRPr="00651E0C" w14:paraId="0994FD0A" w14:textId="77777777" w:rsidTr="00F35A31">
        <w:tc>
          <w:tcPr>
            <w:tcW w:w="3212" w:type="dxa"/>
            <w:tcBorders>
              <w:top w:val="single" w:sz="4" w:space="0" w:color="B3B3B3"/>
              <w:bottom w:val="nil"/>
            </w:tcBorders>
            <w:shd w:val="clear" w:color="auto" w:fill="E6E6E6"/>
          </w:tcPr>
          <w:p w14:paraId="516711C1" w14:textId="77777777" w:rsidR="00D94B88" w:rsidRPr="009F58A8" w:rsidRDefault="00D94B88">
            <w:pPr>
              <w:pStyle w:val="TableHeading"/>
              <w:spacing w:before="45" w:after="45"/>
              <w:ind w:right="108"/>
              <w:rPr>
                <w:rFonts w:ascii="Arial (Body)" w:hAnsi="Arial (Body)"/>
                <w:color w:val="265A9A"/>
              </w:rPr>
            </w:pPr>
            <w:r w:rsidRPr="009F58A8">
              <w:rPr>
                <w:rFonts w:ascii="Arial (Body)" w:hAnsi="Arial (Body)" w:cs="Arial"/>
                <w:color w:val="265A9A"/>
              </w:rPr>
              <w:t>0% (nominal)</w:t>
            </w:r>
          </w:p>
        </w:tc>
        <w:tc>
          <w:tcPr>
            <w:tcW w:w="3213" w:type="dxa"/>
            <w:tcBorders>
              <w:top w:val="single" w:sz="4" w:space="0" w:color="B3B3B3"/>
              <w:bottom w:val="nil"/>
            </w:tcBorders>
            <w:shd w:val="clear" w:color="auto" w:fill="E6E6E6"/>
          </w:tcPr>
          <w:p w14:paraId="7A20E7A3" w14:textId="7A3CB21C" w:rsidR="00D94B88" w:rsidRPr="00030C67" w:rsidRDefault="009319C5" w:rsidP="009319C5">
            <w:pPr>
              <w:pStyle w:val="TableBody"/>
              <w:spacing w:before="45" w:after="45"/>
              <w:ind w:right="108"/>
              <w:jc w:val="right"/>
              <w:rPr>
                <w:rFonts w:ascii="Arial (Body)" w:hAnsi="Arial (Body)"/>
                <w:color w:val="000000"/>
              </w:rPr>
            </w:pPr>
            <w:r>
              <w:rPr>
                <w:rFonts w:ascii="Arial (Body)" w:hAnsi="Arial (Body)"/>
                <w:color w:val="000000"/>
              </w:rPr>
              <w:t>$</w:t>
            </w:r>
            <w:r w:rsidR="00D94B88" w:rsidRPr="009F58A8">
              <w:rPr>
                <w:rFonts w:ascii="Arial (Body)" w:hAnsi="Arial (Body)"/>
                <w:color w:val="000000"/>
              </w:rPr>
              <w:t>1,796</w:t>
            </w:r>
            <w:r w:rsidR="00D94B88">
              <w:rPr>
                <w:rFonts w:ascii="Arial (Body)" w:hAnsi="Arial (Body)"/>
                <w:color w:val="000000"/>
              </w:rPr>
              <w:t xml:space="preserve"> </w:t>
            </w:r>
            <w:r w:rsidR="00D94B88">
              <w:rPr>
                <w:rFonts w:ascii="Arial (Body)" w:eastAsia="Times New Roman" w:hAnsi="Arial (Body)" w:cs="Arial"/>
                <w:bCs/>
                <w:color w:val="000000"/>
                <w:lang w:eastAsia="zh-CN" w:bidi="th-TH"/>
              </w:rPr>
              <w:t>million</w:t>
            </w:r>
            <w:r w:rsidR="00D94B88" w:rsidRPr="009F58A8">
              <w:rPr>
                <w:rFonts w:ascii="Arial (Body)" w:hAnsi="Arial (Body)"/>
                <w:color w:val="000000"/>
              </w:rPr>
              <w:t xml:space="preserve"> </w:t>
            </w:r>
          </w:p>
        </w:tc>
        <w:tc>
          <w:tcPr>
            <w:tcW w:w="3213" w:type="dxa"/>
            <w:tcBorders>
              <w:top w:val="single" w:sz="4" w:space="0" w:color="B3B3B3"/>
              <w:bottom w:val="nil"/>
            </w:tcBorders>
            <w:shd w:val="clear" w:color="auto" w:fill="E6E6E6"/>
          </w:tcPr>
          <w:p w14:paraId="5B633FD7" w14:textId="124E7DDA" w:rsidR="00D94B88" w:rsidRPr="00030C67" w:rsidRDefault="009319C5" w:rsidP="009319C5">
            <w:pPr>
              <w:pStyle w:val="TableBody"/>
              <w:spacing w:before="45" w:after="45"/>
              <w:ind w:right="108"/>
              <w:jc w:val="right"/>
              <w:rPr>
                <w:rFonts w:ascii="Arial (Body)" w:hAnsi="Arial (Body)"/>
                <w:color w:val="000000"/>
              </w:rPr>
            </w:pPr>
            <w:r>
              <w:rPr>
                <w:rFonts w:ascii="Arial (Body)" w:hAnsi="Arial (Body)"/>
                <w:color w:val="000000"/>
              </w:rPr>
              <w:t>$</w:t>
            </w:r>
            <w:r w:rsidR="00D94B88" w:rsidRPr="009F58A8">
              <w:rPr>
                <w:rFonts w:ascii="Arial (Body)" w:hAnsi="Arial (Body)"/>
                <w:color w:val="000000"/>
              </w:rPr>
              <w:t>180</w:t>
            </w:r>
            <w:r w:rsidR="00D94B88">
              <w:rPr>
                <w:rFonts w:ascii="Arial (Body)" w:eastAsia="Times New Roman" w:hAnsi="Arial (Body)" w:cs="Arial"/>
                <w:bCs/>
                <w:color w:val="000000"/>
                <w:lang w:eastAsia="zh-CN" w:bidi="th-TH"/>
              </w:rPr>
              <w:t xml:space="preserve"> million</w:t>
            </w:r>
          </w:p>
        </w:tc>
      </w:tr>
      <w:tr w:rsidR="00D94B88" w:rsidRPr="00651E0C" w14:paraId="7498821E" w14:textId="77777777">
        <w:tc>
          <w:tcPr>
            <w:tcW w:w="3212" w:type="dxa"/>
            <w:tcBorders>
              <w:top w:val="nil"/>
              <w:bottom w:val="nil"/>
            </w:tcBorders>
            <w:shd w:val="clear" w:color="000000" w:fill="auto"/>
          </w:tcPr>
          <w:p w14:paraId="33BC2B9F" w14:textId="77777777" w:rsidR="00D94B88" w:rsidRPr="009F58A8" w:rsidRDefault="00D94B88">
            <w:pPr>
              <w:pStyle w:val="TableHeading"/>
              <w:spacing w:before="45" w:after="45"/>
              <w:ind w:right="108"/>
              <w:rPr>
                <w:rFonts w:ascii="Arial (Body)" w:hAnsi="Arial (Body)"/>
                <w:color w:val="265A9A"/>
              </w:rPr>
            </w:pPr>
            <w:r w:rsidRPr="009F58A8">
              <w:rPr>
                <w:rFonts w:ascii="Arial (Body)" w:hAnsi="Arial (Body)" w:cs="Arial"/>
                <w:color w:val="265A9A"/>
              </w:rPr>
              <w:t>3%</w:t>
            </w:r>
          </w:p>
        </w:tc>
        <w:tc>
          <w:tcPr>
            <w:tcW w:w="3213" w:type="dxa"/>
            <w:tcBorders>
              <w:top w:val="nil"/>
              <w:bottom w:val="nil"/>
            </w:tcBorders>
            <w:shd w:val="clear" w:color="000000" w:fill="auto"/>
          </w:tcPr>
          <w:p w14:paraId="54E23513" w14:textId="4E11258A" w:rsidR="00D94B88" w:rsidRPr="00030C67" w:rsidRDefault="009319C5" w:rsidP="009319C5">
            <w:pPr>
              <w:pStyle w:val="TableBody"/>
              <w:spacing w:before="45" w:after="45"/>
              <w:ind w:right="108"/>
              <w:jc w:val="right"/>
              <w:rPr>
                <w:rFonts w:ascii="Arial (Body)" w:hAnsi="Arial (Body)"/>
                <w:color w:val="000000"/>
              </w:rPr>
            </w:pPr>
            <w:r>
              <w:rPr>
                <w:rFonts w:ascii="Arial (Body)" w:hAnsi="Arial (Body)"/>
                <w:color w:val="000000"/>
              </w:rPr>
              <w:t>$</w:t>
            </w:r>
            <w:r w:rsidR="00D94B88" w:rsidRPr="009F58A8">
              <w:rPr>
                <w:rFonts w:ascii="Arial (Body)" w:hAnsi="Arial (Body)"/>
                <w:color w:val="000000"/>
              </w:rPr>
              <w:t>1,186</w:t>
            </w:r>
            <w:r w:rsidR="00D94B88">
              <w:rPr>
                <w:rFonts w:ascii="Arial (Body)" w:hAnsi="Arial (Body)"/>
                <w:color w:val="000000"/>
              </w:rPr>
              <w:t xml:space="preserve"> </w:t>
            </w:r>
            <w:r w:rsidR="00D94B88">
              <w:rPr>
                <w:rFonts w:ascii="Arial (Body)" w:eastAsia="Times New Roman" w:hAnsi="Arial (Body)" w:cs="Arial"/>
                <w:bCs/>
                <w:color w:val="000000"/>
                <w:lang w:eastAsia="zh-CN" w:bidi="th-TH"/>
              </w:rPr>
              <w:t>million</w:t>
            </w:r>
            <w:r w:rsidR="00D94B88" w:rsidRPr="009F58A8">
              <w:rPr>
                <w:rFonts w:ascii="Arial (Body)" w:hAnsi="Arial (Body)"/>
                <w:color w:val="000000"/>
              </w:rPr>
              <w:t xml:space="preserve"> </w:t>
            </w:r>
          </w:p>
        </w:tc>
        <w:tc>
          <w:tcPr>
            <w:tcW w:w="3213" w:type="dxa"/>
            <w:tcBorders>
              <w:top w:val="nil"/>
              <w:bottom w:val="nil"/>
            </w:tcBorders>
            <w:shd w:val="clear" w:color="000000" w:fill="auto"/>
          </w:tcPr>
          <w:p w14:paraId="051AEA3B" w14:textId="016D4066" w:rsidR="00D94B88" w:rsidRPr="00030C67" w:rsidRDefault="009319C5" w:rsidP="009319C5">
            <w:pPr>
              <w:pStyle w:val="TableBody"/>
              <w:spacing w:before="45" w:after="45"/>
              <w:ind w:right="108"/>
              <w:jc w:val="right"/>
              <w:rPr>
                <w:rFonts w:ascii="Arial (Body)" w:hAnsi="Arial (Body)"/>
                <w:color w:val="000000"/>
              </w:rPr>
            </w:pPr>
            <w:r>
              <w:rPr>
                <w:rFonts w:ascii="Arial (Body)" w:hAnsi="Arial (Body)"/>
                <w:color w:val="000000"/>
              </w:rPr>
              <w:t>$</w:t>
            </w:r>
            <w:r w:rsidR="00D94B88" w:rsidRPr="009F58A8">
              <w:rPr>
                <w:rFonts w:ascii="Arial (Body)" w:hAnsi="Arial (Body)"/>
                <w:color w:val="000000"/>
              </w:rPr>
              <w:t>119</w:t>
            </w:r>
            <w:r w:rsidR="00D94B88">
              <w:rPr>
                <w:rFonts w:ascii="Arial (Body)" w:eastAsia="Times New Roman" w:hAnsi="Arial (Body)" w:cs="Arial"/>
                <w:bCs/>
                <w:color w:val="000000"/>
                <w:lang w:eastAsia="zh-CN" w:bidi="th-TH"/>
              </w:rPr>
              <w:t xml:space="preserve"> million</w:t>
            </w:r>
          </w:p>
        </w:tc>
      </w:tr>
      <w:tr w:rsidR="00D94B88" w:rsidRPr="00651E0C" w14:paraId="3D44C691" w14:textId="77777777" w:rsidTr="00F35A31">
        <w:tc>
          <w:tcPr>
            <w:tcW w:w="3212" w:type="dxa"/>
            <w:tcBorders>
              <w:bottom w:val="nil"/>
            </w:tcBorders>
            <w:shd w:val="clear" w:color="auto" w:fill="E6E6E6"/>
          </w:tcPr>
          <w:p w14:paraId="19C4AAF1" w14:textId="77777777" w:rsidR="00D94B88" w:rsidRPr="009F58A8" w:rsidRDefault="00D94B88">
            <w:pPr>
              <w:pStyle w:val="TableHeading"/>
              <w:spacing w:before="45" w:after="45"/>
              <w:ind w:right="108"/>
              <w:rPr>
                <w:rFonts w:ascii="Arial (Body)" w:hAnsi="Arial (Body)"/>
                <w:color w:val="265A9A"/>
              </w:rPr>
            </w:pPr>
            <w:r w:rsidRPr="009F58A8">
              <w:rPr>
                <w:rFonts w:ascii="Arial (Body)" w:hAnsi="Arial (Body)" w:cs="Arial"/>
                <w:color w:val="265A9A"/>
              </w:rPr>
              <w:t>7%</w:t>
            </w:r>
            <w:r>
              <w:rPr>
                <w:rFonts w:ascii="Arial (Body)" w:hAnsi="Arial (Body)" w:cs="Arial"/>
                <w:color w:val="265A9A"/>
              </w:rPr>
              <w:t xml:space="preserve"> (rate used for </w:t>
            </w:r>
            <w:proofErr w:type="gramStart"/>
            <w:r>
              <w:rPr>
                <w:rFonts w:ascii="Arial (Body)" w:hAnsi="Arial (Body)" w:cs="Arial"/>
                <w:color w:val="265A9A"/>
              </w:rPr>
              <w:t>final results</w:t>
            </w:r>
            <w:proofErr w:type="gramEnd"/>
            <w:r>
              <w:rPr>
                <w:rFonts w:ascii="Arial (Body)" w:hAnsi="Arial (Body)" w:cs="Arial"/>
                <w:color w:val="265A9A"/>
              </w:rPr>
              <w:t>)</w:t>
            </w:r>
          </w:p>
        </w:tc>
        <w:tc>
          <w:tcPr>
            <w:tcW w:w="3213" w:type="dxa"/>
            <w:tcBorders>
              <w:bottom w:val="nil"/>
            </w:tcBorders>
            <w:shd w:val="clear" w:color="auto" w:fill="E6E6E6"/>
          </w:tcPr>
          <w:p w14:paraId="28DEA4B6" w14:textId="207F0FD0" w:rsidR="00D94B88" w:rsidRPr="00651E0C" w:rsidRDefault="009319C5" w:rsidP="009319C5">
            <w:pPr>
              <w:pStyle w:val="TableBody"/>
              <w:spacing w:before="45" w:after="45"/>
              <w:ind w:right="108"/>
              <w:jc w:val="right"/>
              <w:rPr>
                <w:rFonts w:ascii="Arial (Body)" w:hAnsi="Arial (Body)"/>
                <w:color w:val="000000"/>
              </w:rPr>
            </w:pPr>
            <w:r>
              <w:rPr>
                <w:rFonts w:ascii="Arial (Body)" w:hAnsi="Arial (Body)"/>
                <w:color w:val="000000"/>
              </w:rPr>
              <w:t>$</w:t>
            </w:r>
            <w:r w:rsidR="00D94B88" w:rsidRPr="009F58A8">
              <w:rPr>
                <w:rFonts w:ascii="Arial (Body)" w:hAnsi="Arial (Body)"/>
                <w:color w:val="000000"/>
              </w:rPr>
              <w:t>701</w:t>
            </w:r>
            <w:r w:rsidR="00D94B88">
              <w:rPr>
                <w:rFonts w:ascii="Arial (Body)" w:hAnsi="Arial (Body)"/>
                <w:color w:val="000000"/>
              </w:rPr>
              <w:t xml:space="preserve"> </w:t>
            </w:r>
            <w:r w:rsidR="00D94B88">
              <w:rPr>
                <w:rFonts w:ascii="Arial (Body)" w:eastAsia="Times New Roman" w:hAnsi="Arial (Body)" w:cs="Arial"/>
                <w:bCs/>
                <w:color w:val="000000"/>
                <w:lang w:eastAsia="zh-CN" w:bidi="th-TH"/>
              </w:rPr>
              <w:t>million</w:t>
            </w:r>
            <w:r w:rsidR="00D94B88" w:rsidRPr="009F58A8">
              <w:rPr>
                <w:rFonts w:ascii="Arial (Body)" w:hAnsi="Arial (Body)"/>
                <w:color w:val="000000"/>
              </w:rPr>
              <w:t xml:space="preserve"> </w:t>
            </w:r>
          </w:p>
        </w:tc>
        <w:tc>
          <w:tcPr>
            <w:tcW w:w="3213" w:type="dxa"/>
            <w:tcBorders>
              <w:bottom w:val="nil"/>
            </w:tcBorders>
            <w:shd w:val="clear" w:color="auto" w:fill="E6E6E6"/>
          </w:tcPr>
          <w:p w14:paraId="0061A6B3" w14:textId="038E9189" w:rsidR="00D94B88" w:rsidRPr="00651E0C" w:rsidRDefault="009319C5" w:rsidP="009319C5">
            <w:pPr>
              <w:pStyle w:val="TableBody"/>
              <w:spacing w:before="45" w:after="45"/>
              <w:ind w:right="108"/>
              <w:jc w:val="right"/>
              <w:rPr>
                <w:rFonts w:ascii="Arial (Body)" w:hAnsi="Arial (Body)"/>
                <w:color w:val="000000"/>
              </w:rPr>
            </w:pPr>
            <w:r>
              <w:rPr>
                <w:rFonts w:ascii="Arial (Body)" w:hAnsi="Arial (Body)"/>
                <w:color w:val="000000"/>
              </w:rPr>
              <w:t>$</w:t>
            </w:r>
            <w:r w:rsidR="00D94B88" w:rsidRPr="009F58A8">
              <w:rPr>
                <w:rFonts w:ascii="Arial (Body)" w:hAnsi="Arial (Body)"/>
                <w:color w:val="000000"/>
              </w:rPr>
              <w:t>70</w:t>
            </w:r>
            <w:r w:rsidR="00D94B88">
              <w:rPr>
                <w:rFonts w:ascii="Arial (Body)" w:eastAsia="Times New Roman" w:hAnsi="Arial (Body)" w:cs="Arial"/>
                <w:bCs/>
                <w:color w:val="000000"/>
                <w:lang w:eastAsia="zh-CN" w:bidi="th-TH"/>
              </w:rPr>
              <w:t xml:space="preserve"> million</w:t>
            </w:r>
          </w:p>
        </w:tc>
      </w:tr>
      <w:tr w:rsidR="00D94B88" w:rsidRPr="00651E0C" w14:paraId="2398A364" w14:textId="77777777" w:rsidTr="003C2D01">
        <w:tc>
          <w:tcPr>
            <w:tcW w:w="3212" w:type="dxa"/>
            <w:tcBorders>
              <w:top w:val="nil"/>
              <w:bottom w:val="single" w:sz="4" w:space="0" w:color="BFBFBF" w:themeColor="background1" w:themeShade="BF"/>
            </w:tcBorders>
            <w:shd w:val="clear" w:color="000000" w:fill="auto"/>
          </w:tcPr>
          <w:p w14:paraId="12828298" w14:textId="77777777" w:rsidR="00D94B88" w:rsidRPr="009F58A8" w:rsidRDefault="00D94B88">
            <w:pPr>
              <w:pStyle w:val="TableHeading"/>
              <w:spacing w:before="45" w:after="45"/>
              <w:ind w:right="108"/>
              <w:rPr>
                <w:rFonts w:ascii="Arial (Body)" w:hAnsi="Arial (Body)"/>
                <w:color w:val="265A9A"/>
              </w:rPr>
            </w:pPr>
            <w:r w:rsidRPr="009F58A8">
              <w:rPr>
                <w:rFonts w:ascii="Arial (Body)" w:hAnsi="Arial (Body)" w:cs="Arial"/>
                <w:color w:val="265A9A"/>
              </w:rPr>
              <w:t>10%</w:t>
            </w:r>
          </w:p>
        </w:tc>
        <w:tc>
          <w:tcPr>
            <w:tcW w:w="3213" w:type="dxa"/>
            <w:tcBorders>
              <w:top w:val="nil"/>
              <w:bottom w:val="single" w:sz="4" w:space="0" w:color="BFBFBF" w:themeColor="background1" w:themeShade="BF"/>
            </w:tcBorders>
            <w:shd w:val="clear" w:color="000000" w:fill="auto"/>
          </w:tcPr>
          <w:p w14:paraId="33D8C1E2" w14:textId="2193D74B" w:rsidR="00D94B88" w:rsidRPr="00030C67" w:rsidRDefault="009319C5" w:rsidP="009319C5">
            <w:pPr>
              <w:pStyle w:val="TableBody"/>
              <w:spacing w:before="45" w:after="45"/>
              <w:ind w:right="108"/>
              <w:jc w:val="right"/>
              <w:rPr>
                <w:rFonts w:ascii="Arial (Body)" w:hAnsi="Arial (Body)"/>
                <w:color w:val="000000"/>
              </w:rPr>
            </w:pPr>
            <w:r>
              <w:rPr>
                <w:rFonts w:ascii="Arial (Body)" w:hAnsi="Arial (Body)"/>
                <w:color w:val="000000"/>
              </w:rPr>
              <w:t>$</w:t>
            </w:r>
            <w:r w:rsidR="00D94B88" w:rsidRPr="009F58A8">
              <w:rPr>
                <w:rFonts w:ascii="Arial (Body)" w:hAnsi="Arial (Body)"/>
                <w:color w:val="000000"/>
              </w:rPr>
              <w:t>483</w:t>
            </w:r>
            <w:r w:rsidR="00D94B88">
              <w:rPr>
                <w:rFonts w:ascii="Arial (Body)" w:hAnsi="Arial (Body)"/>
                <w:color w:val="000000"/>
              </w:rPr>
              <w:t xml:space="preserve"> </w:t>
            </w:r>
            <w:r w:rsidR="00D94B88">
              <w:rPr>
                <w:rFonts w:ascii="Arial (Body)" w:eastAsia="Times New Roman" w:hAnsi="Arial (Body)" w:cs="Arial"/>
                <w:bCs/>
                <w:color w:val="000000"/>
                <w:lang w:eastAsia="zh-CN" w:bidi="th-TH"/>
              </w:rPr>
              <w:t>million</w:t>
            </w:r>
            <w:r w:rsidR="00D94B88" w:rsidRPr="009F58A8">
              <w:rPr>
                <w:rFonts w:ascii="Arial (Body)" w:hAnsi="Arial (Body)"/>
                <w:color w:val="000000"/>
              </w:rPr>
              <w:t xml:space="preserve"> </w:t>
            </w:r>
          </w:p>
        </w:tc>
        <w:tc>
          <w:tcPr>
            <w:tcW w:w="3213" w:type="dxa"/>
            <w:tcBorders>
              <w:top w:val="nil"/>
              <w:bottom w:val="single" w:sz="4" w:space="0" w:color="BFBFBF" w:themeColor="background1" w:themeShade="BF"/>
            </w:tcBorders>
            <w:shd w:val="clear" w:color="000000" w:fill="auto"/>
          </w:tcPr>
          <w:p w14:paraId="1D92CB94" w14:textId="6C2FAB0A" w:rsidR="00D94B88" w:rsidRPr="00030C67" w:rsidRDefault="009319C5" w:rsidP="009319C5">
            <w:pPr>
              <w:pStyle w:val="TableBody"/>
              <w:spacing w:before="45" w:after="45"/>
              <w:ind w:right="108"/>
              <w:jc w:val="right"/>
              <w:rPr>
                <w:rFonts w:ascii="Arial (Body)" w:hAnsi="Arial (Body)"/>
                <w:color w:val="000000"/>
              </w:rPr>
            </w:pPr>
            <w:r>
              <w:rPr>
                <w:rFonts w:ascii="Arial (Body)" w:hAnsi="Arial (Body)"/>
                <w:color w:val="000000"/>
              </w:rPr>
              <w:t>$</w:t>
            </w:r>
            <w:r w:rsidR="00D94B88" w:rsidRPr="009F58A8">
              <w:rPr>
                <w:rFonts w:ascii="Arial (Body)" w:hAnsi="Arial (Body)"/>
                <w:color w:val="000000"/>
              </w:rPr>
              <w:t>48</w:t>
            </w:r>
            <w:r w:rsidR="00D94B88">
              <w:rPr>
                <w:rFonts w:ascii="Arial (Body)" w:eastAsia="Times New Roman" w:hAnsi="Arial (Body)" w:cs="Arial"/>
                <w:bCs/>
                <w:color w:val="000000"/>
                <w:lang w:eastAsia="zh-CN" w:bidi="th-TH"/>
              </w:rPr>
              <w:t xml:space="preserve"> million</w:t>
            </w:r>
          </w:p>
        </w:tc>
      </w:tr>
    </w:tbl>
    <w:p w14:paraId="31C0F6C4" w14:textId="77777777" w:rsidR="00D94B88" w:rsidRPr="008C25F2" w:rsidRDefault="00D94B88">
      <w:pPr>
        <w:pStyle w:val="Note"/>
      </w:pPr>
      <w:r w:rsidRPr="00942322">
        <w:t xml:space="preserve">Note: </w:t>
      </w:r>
      <w:r>
        <w:t>D</w:t>
      </w:r>
      <w:r w:rsidRPr="00F526E3">
        <w:t>iscount rate</w:t>
      </w:r>
      <w:r>
        <w:t>s</w:t>
      </w:r>
      <w:r w:rsidRPr="00F526E3">
        <w:t xml:space="preserve"> </w:t>
      </w:r>
      <w:r>
        <w:t>are</w:t>
      </w:r>
      <w:r w:rsidRPr="00F526E3">
        <w:t xml:space="preserve"> used to adjust future benefits so they can be compared to present</w:t>
      </w:r>
      <w:r>
        <w:noBreakHyphen/>
      </w:r>
      <w:r w:rsidRPr="00F526E3">
        <w:t>day values.</w:t>
      </w:r>
      <w:r>
        <w:t xml:space="preserve"> </w:t>
      </w:r>
      <w:r w:rsidRPr="00DB6B88">
        <w:t>The higher the discount rate, the less future benefits are worth in today’s terms.</w:t>
      </w:r>
    </w:p>
    <w:p w14:paraId="52C782F6" w14:textId="77777777" w:rsidR="00D94B88" w:rsidRDefault="00D94B88">
      <w:pPr>
        <w:pStyle w:val="Heading3"/>
      </w:pPr>
      <w:r>
        <w:t>Embed collaborative commissioning to increase the integration of care services</w:t>
      </w:r>
    </w:p>
    <w:p w14:paraId="4AF7F554" w14:textId="77777777" w:rsidR="00D94B88" w:rsidRDefault="00D94B88">
      <w:pPr>
        <w:pStyle w:val="Heading4"/>
      </w:pPr>
      <w:r>
        <w:t>Our approach</w:t>
      </w:r>
    </w:p>
    <w:p w14:paraId="258B68D1" w14:textId="77777777" w:rsidR="00D94B88" w:rsidRDefault="00D94B88">
      <w:pPr>
        <w:pStyle w:val="BodyText"/>
      </w:pPr>
      <w:r>
        <w:t xml:space="preserve">Chapter 2 of this report proposes a series of reforms to embed collaboration between Primary Health Networks (PHNs), Local Hospital Networks (LHNs) and other organisations. The reforms are focused on governance settings, funding arrangements and other changes required to support effective collaborative commissioning that </w:t>
      </w:r>
      <w:proofErr w:type="gramStart"/>
      <w:r>
        <w:t>tailors</w:t>
      </w:r>
      <w:proofErr w:type="gramEnd"/>
      <w:r>
        <w:t xml:space="preserve"> services to local needs.</w:t>
      </w:r>
    </w:p>
    <w:p w14:paraId="7040D079" w14:textId="77777777" w:rsidR="00D94B88" w:rsidRDefault="00D94B88">
      <w:pPr>
        <w:pStyle w:val="BodyText"/>
      </w:pPr>
      <w:r>
        <w:t>The benefits of this reform will ultimately depend on the programs undertaken by individual organisations and how they are delivered. However, there are several existing case studies of collaborative commissioning that can provide guidance of the types and magnitudes of benefits we can expect.</w:t>
      </w:r>
    </w:p>
    <w:p w14:paraId="018A94CB" w14:textId="77777777" w:rsidR="00D94B88" w:rsidRPr="009319C5" w:rsidRDefault="00D94B88">
      <w:pPr>
        <w:pStyle w:val="BodyText"/>
        <w:rPr>
          <w:spacing w:val="-4"/>
        </w:rPr>
      </w:pPr>
      <w:r w:rsidRPr="009319C5">
        <w:rPr>
          <w:spacing w:val="-4"/>
        </w:rPr>
        <w:t xml:space="preserve">Our approach to quantifying the benefits of collaborative commissioning is to estimate how collaborative commissioning could reduce potentially preventable hospitalisations (PPHs) and emergency department (ED) presentations. Underpinning this is the assumption that each PHN will undertake one or more collaborative commissioning programs that combined have a similar sized effect on the relevant populations as existing cases. </w:t>
      </w:r>
    </w:p>
    <w:p w14:paraId="3C7AD356" w14:textId="77777777" w:rsidR="00D94B88" w:rsidRDefault="00D94B88">
      <w:pPr>
        <w:pStyle w:val="BodyText"/>
      </w:pPr>
      <w:r>
        <w:t xml:space="preserve">In the interim report, we said that a 10% fall in PPHs would lead to $600 million in annual savings. This was presented to illustrate the potential scale of the benefits if a 10% reduction could be achieved, rather than an empirical estimate of what we believe the benefits will be. Indeed, The George Institute for Global Health (sub. 154, p. 6) submitted that a 10% reduction from this reform alone is too ambitious in the short term. </w:t>
      </w:r>
    </w:p>
    <w:p w14:paraId="4F0A6ECC" w14:textId="77777777" w:rsidR="00D94B88" w:rsidRDefault="00D94B88">
      <w:pPr>
        <w:pStyle w:val="Heading4"/>
      </w:pPr>
      <w:r>
        <w:t>Methodology and data sources</w:t>
      </w:r>
    </w:p>
    <w:p w14:paraId="5E496445" w14:textId="77777777" w:rsidR="00D94B88" w:rsidRDefault="00D94B88">
      <w:pPr>
        <w:pStyle w:val="BodyText"/>
      </w:pPr>
      <w:r>
        <w:t>In the final report, we calculated the number of reductions in ED presentations and PPHs from the published results of existing case studies and divided this by the population in the PHN catchment. Where the program did not apply across the entire PHN, we used the relevant sub</w:t>
      </w:r>
      <w:r>
        <w:noBreakHyphen/>
        <w:t>population. In some cases, we used the published savings to estimate the reductions in ED presentations and PPHs. To avoid double counting, the estimated fall in ED presentations excludes ED presentations that would have resulted in a PPH.</w:t>
      </w:r>
    </w:p>
    <w:p w14:paraId="409894F1" w14:textId="6808569B" w:rsidR="00D94B88" w:rsidRDefault="00D94B88">
      <w:pPr>
        <w:pStyle w:val="BodyText"/>
      </w:pPr>
      <w:r>
        <w:lastRenderedPageBreak/>
        <w:t>We found that PPHs fell between 4.1% and 5.7% and ED presentations fell between 0.1% and 8.3%.</w:t>
      </w:r>
      <w:r w:rsidRPr="00386CB3">
        <w:t xml:space="preserve"> </w:t>
      </w:r>
      <w:r>
        <w:t>Calculating a mean of these estimates, we conclude that our reform can reduce PPHs by 5% and ED presentations by 4% based on existing case studies of collaborative commissioning (table B.</w:t>
      </w:r>
      <w:r w:rsidR="00FA48BF">
        <w:t>7</w:t>
      </w:r>
      <w:r>
        <w:t xml:space="preserve">), though these gains will not necessarily be realised in the short term. </w:t>
      </w:r>
    </w:p>
    <w:p w14:paraId="3896AE47" w14:textId="1906826D" w:rsidR="00D94B88" w:rsidRDefault="00D94B88">
      <w:pPr>
        <w:pStyle w:val="FigureTableHeading"/>
      </w:pPr>
      <w:r>
        <w:t xml:space="preserve">Table </w:t>
      </w:r>
      <w:r>
        <w:fldChar w:fldCharType="begin"/>
      </w:r>
      <w:r>
        <w:instrText xml:space="preserve"> STYLEREF  \s Heading-Appendix </w:instrText>
      </w:r>
      <w:r>
        <w:fldChar w:fldCharType="separate"/>
      </w:r>
      <w:r w:rsidR="00FB1849">
        <w:rPr>
          <w:noProof/>
        </w:rPr>
        <w:t>B</w:t>
      </w:r>
      <w:r>
        <w:rPr>
          <w:noProof/>
        </w:rPr>
        <w:fldChar w:fldCharType="end"/>
      </w:r>
      <w:r>
        <w:t>.</w:t>
      </w:r>
      <w:r w:rsidR="00DF4CAF">
        <w:t>7</w:t>
      </w:r>
      <w:r>
        <w:rPr>
          <w:noProof/>
        </w:rPr>
        <w:t xml:space="preserve"> – Collaborative commissioning reduces PPHs and ED presentations</w:t>
      </w:r>
    </w:p>
    <w:tbl>
      <w:tblPr>
        <w:tblW w:w="9473"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938"/>
        <w:gridCol w:w="4535"/>
      </w:tblGrid>
      <w:tr w:rsidR="00D94B88" w:rsidRPr="00D126B3" w14:paraId="15C63112" w14:textId="77777777">
        <w:trPr>
          <w:trHeight w:val="363"/>
          <w:tblHeader/>
        </w:trPr>
        <w:tc>
          <w:tcPr>
            <w:tcW w:w="4938" w:type="dxa"/>
            <w:tcBorders>
              <w:bottom w:val="single" w:sz="4" w:space="0" w:color="B3B3B3"/>
            </w:tcBorders>
            <w:shd w:val="clear" w:color="000000" w:fill="auto"/>
            <w:vAlign w:val="bottom"/>
          </w:tcPr>
          <w:p w14:paraId="07A8B3A3" w14:textId="77777777" w:rsidR="00D94B88" w:rsidRPr="00D126B3" w:rsidRDefault="00D94B88">
            <w:pPr>
              <w:spacing w:before="45" w:after="45"/>
              <w:ind w:left="57" w:right="108"/>
              <w:rPr>
                <w:rFonts w:ascii="Arial (Body)" w:hAnsi="Arial (Body)"/>
                <w:b/>
                <w:color w:val="265A9A"/>
                <w:sz w:val="18"/>
              </w:rPr>
            </w:pPr>
            <w:r>
              <w:rPr>
                <w:rFonts w:ascii="Arial (Body)" w:hAnsi="Arial (Body)"/>
                <w:b/>
                <w:color w:val="265A9A"/>
                <w:sz w:val="18"/>
              </w:rPr>
              <w:t>Program</w:t>
            </w:r>
          </w:p>
        </w:tc>
        <w:tc>
          <w:tcPr>
            <w:tcW w:w="4535" w:type="dxa"/>
            <w:tcBorders>
              <w:bottom w:val="single" w:sz="4" w:space="0" w:color="B3B3B3"/>
            </w:tcBorders>
            <w:shd w:val="clear" w:color="000000" w:fill="auto"/>
            <w:vAlign w:val="bottom"/>
          </w:tcPr>
          <w:p w14:paraId="6E001F85" w14:textId="77777777" w:rsidR="00D94B88" w:rsidRPr="00D126B3" w:rsidRDefault="00D94B88">
            <w:pPr>
              <w:pStyle w:val="TableHeading"/>
              <w:spacing w:before="45" w:after="45"/>
              <w:ind w:right="108"/>
              <w:rPr>
                <w:rFonts w:ascii="Arial (Body)" w:hAnsi="Arial (Body)"/>
                <w:color w:val="265A9A"/>
              </w:rPr>
            </w:pPr>
            <w:r>
              <w:rPr>
                <w:rFonts w:ascii="Arial (Body)" w:hAnsi="Arial (Body)"/>
                <w:color w:val="265A9A"/>
              </w:rPr>
              <w:t>Published results</w:t>
            </w:r>
          </w:p>
        </w:tc>
      </w:tr>
      <w:tr w:rsidR="00D94B88" w:rsidRPr="00D126B3" w14:paraId="00D7A3E0" w14:textId="77777777" w:rsidTr="00F35A31">
        <w:trPr>
          <w:trHeight w:val="680"/>
        </w:trPr>
        <w:tc>
          <w:tcPr>
            <w:tcW w:w="4938" w:type="dxa"/>
            <w:tcBorders>
              <w:top w:val="single" w:sz="4" w:space="0" w:color="B3B3B3"/>
              <w:bottom w:val="nil"/>
            </w:tcBorders>
            <w:shd w:val="clear" w:color="auto" w:fill="E6E6E6"/>
          </w:tcPr>
          <w:p w14:paraId="6F554DD6" w14:textId="77777777" w:rsidR="00D94B88" w:rsidRPr="00877437" w:rsidRDefault="00D94B88">
            <w:pPr>
              <w:pStyle w:val="TableHeading"/>
              <w:spacing w:before="45" w:after="45"/>
              <w:ind w:right="108"/>
              <w:rPr>
                <w:rFonts w:ascii="Arial (Body)" w:hAnsi="Arial (Body)"/>
                <w:color w:val="265A9A"/>
                <w:spacing w:val="-4"/>
              </w:rPr>
            </w:pPr>
            <w:r w:rsidRPr="00877437">
              <w:t xml:space="preserve">Collaborative Commissioning </w:t>
            </w:r>
            <w:r w:rsidRPr="00877437">
              <w:br/>
            </w:r>
            <w:r w:rsidRPr="00877437">
              <w:rPr>
                <w:spacing w:val="-4"/>
              </w:rPr>
              <w:t>(Northern Sydney LHD and Sydney North Health Network)</w:t>
            </w:r>
          </w:p>
        </w:tc>
        <w:tc>
          <w:tcPr>
            <w:tcW w:w="4535" w:type="dxa"/>
            <w:tcBorders>
              <w:top w:val="single" w:sz="4" w:space="0" w:color="B3B3B3"/>
              <w:bottom w:val="nil"/>
            </w:tcBorders>
            <w:shd w:val="clear" w:color="auto" w:fill="E6E6E6"/>
          </w:tcPr>
          <w:p w14:paraId="369803D4" w14:textId="77777777" w:rsidR="00D94B88" w:rsidRPr="00D126B3" w:rsidRDefault="00D94B88">
            <w:pPr>
              <w:pStyle w:val="TableBody"/>
              <w:spacing w:before="45" w:after="45"/>
              <w:ind w:right="108"/>
              <w:rPr>
                <w:rFonts w:ascii="Arial (Body)" w:hAnsi="Arial (Body)"/>
                <w:color w:val="000000"/>
              </w:rPr>
            </w:pPr>
            <w:r w:rsidRPr="00E608AA">
              <w:t>51% fall in ED presentations and unplanned hospital admissions, saving $10.9 million in 2023.</w:t>
            </w:r>
          </w:p>
        </w:tc>
      </w:tr>
      <w:tr w:rsidR="00D94B88" w:rsidRPr="00D126B3" w14:paraId="706CBBD3" w14:textId="77777777" w:rsidTr="00877437">
        <w:trPr>
          <w:trHeight w:val="850"/>
        </w:trPr>
        <w:tc>
          <w:tcPr>
            <w:tcW w:w="4938" w:type="dxa"/>
            <w:tcBorders>
              <w:top w:val="nil"/>
              <w:bottom w:val="nil"/>
            </w:tcBorders>
            <w:shd w:val="clear" w:color="000000" w:fill="auto"/>
          </w:tcPr>
          <w:p w14:paraId="6BB68344" w14:textId="77777777" w:rsidR="00D94B88" w:rsidRPr="00D126B3" w:rsidRDefault="00D94B88">
            <w:pPr>
              <w:pStyle w:val="TableHeading"/>
              <w:spacing w:before="45" w:after="45"/>
              <w:ind w:right="108"/>
              <w:rPr>
                <w:rFonts w:ascii="Arial (Body)" w:hAnsi="Arial (Body)"/>
                <w:color w:val="265A9A"/>
              </w:rPr>
            </w:pPr>
            <w:r>
              <w:t xml:space="preserve">Aged Care Emergency service </w:t>
            </w:r>
            <w:r>
              <w:br/>
              <w:t>(Hunter New England LHD, Hunter New England Central Coast PHN and Hunter Primary Care)</w:t>
            </w:r>
          </w:p>
        </w:tc>
        <w:tc>
          <w:tcPr>
            <w:tcW w:w="4535" w:type="dxa"/>
            <w:tcBorders>
              <w:top w:val="nil"/>
              <w:bottom w:val="nil"/>
            </w:tcBorders>
            <w:shd w:val="clear" w:color="000000" w:fill="auto"/>
          </w:tcPr>
          <w:p w14:paraId="53D6BF10" w14:textId="77777777" w:rsidR="00D94B88" w:rsidRPr="00D126B3" w:rsidRDefault="00D94B88">
            <w:pPr>
              <w:pStyle w:val="TableBody"/>
              <w:spacing w:before="45" w:after="45"/>
              <w:ind w:right="108"/>
              <w:rPr>
                <w:rFonts w:ascii="Arial (Body)" w:hAnsi="Arial (Body)"/>
                <w:color w:val="000000"/>
              </w:rPr>
            </w:pPr>
            <w:r w:rsidRPr="00E608AA">
              <w:t>20% fall in ED presentations and a 21% fall in the rate of hospital admission.</w:t>
            </w:r>
          </w:p>
        </w:tc>
      </w:tr>
      <w:tr w:rsidR="00D94B88" w:rsidRPr="00D126B3" w14:paraId="1F32E4BC" w14:textId="77777777" w:rsidTr="00F35A31">
        <w:trPr>
          <w:trHeight w:val="632"/>
        </w:trPr>
        <w:tc>
          <w:tcPr>
            <w:tcW w:w="4938" w:type="dxa"/>
            <w:shd w:val="clear" w:color="auto" w:fill="E6E6E6"/>
          </w:tcPr>
          <w:p w14:paraId="166E86E4" w14:textId="77777777" w:rsidR="00D94B88" w:rsidRPr="00D126B3" w:rsidRDefault="00D94B88">
            <w:pPr>
              <w:pStyle w:val="TableHeading"/>
              <w:spacing w:before="45" w:after="45"/>
              <w:ind w:right="108"/>
              <w:rPr>
                <w:rFonts w:ascii="Arial (Body)" w:hAnsi="Arial (Body)"/>
                <w:color w:val="265A9A"/>
              </w:rPr>
            </w:pPr>
            <w:r>
              <w:t xml:space="preserve">Care Collective </w:t>
            </w:r>
            <w:r>
              <w:br/>
              <w:t>(Brisbane North PHN and Metro North Health)</w:t>
            </w:r>
          </w:p>
        </w:tc>
        <w:tc>
          <w:tcPr>
            <w:tcW w:w="4535" w:type="dxa"/>
            <w:shd w:val="clear" w:color="auto" w:fill="E6E6E6"/>
          </w:tcPr>
          <w:p w14:paraId="29398869" w14:textId="77777777" w:rsidR="00D94B88" w:rsidRPr="00D126B3" w:rsidRDefault="00D94B88">
            <w:pPr>
              <w:pStyle w:val="TableBody"/>
              <w:spacing w:before="45" w:after="45"/>
              <w:ind w:right="108"/>
              <w:rPr>
                <w:rFonts w:ascii="Arial (Body)" w:hAnsi="Arial (Body)"/>
                <w:color w:val="000000"/>
              </w:rPr>
            </w:pPr>
            <w:r w:rsidRPr="00E608AA">
              <w:t>Saving of $429,</w:t>
            </w:r>
            <w:r>
              <w:t>000</w:t>
            </w:r>
            <w:r w:rsidRPr="00E608AA">
              <w:t xml:space="preserve"> per month based on avoided ED presentations and the resulting avoided admissions.</w:t>
            </w:r>
          </w:p>
        </w:tc>
      </w:tr>
      <w:tr w:rsidR="00D94B88" w:rsidRPr="00D126B3" w14:paraId="17D77D31" w14:textId="77777777" w:rsidTr="00877437">
        <w:trPr>
          <w:trHeight w:val="680"/>
        </w:trPr>
        <w:tc>
          <w:tcPr>
            <w:tcW w:w="4938" w:type="dxa"/>
            <w:shd w:val="clear" w:color="auto" w:fill="FFFFFF" w:themeFill="background1"/>
          </w:tcPr>
          <w:p w14:paraId="7E7DC9CC" w14:textId="77777777" w:rsidR="00D94B88" w:rsidRPr="00D126B3" w:rsidRDefault="00D94B88">
            <w:pPr>
              <w:pStyle w:val="TableHeading"/>
              <w:spacing w:before="45" w:after="45"/>
              <w:ind w:right="108"/>
              <w:rPr>
                <w:rFonts w:ascii="Arial (Body)" w:hAnsi="Arial (Body)"/>
                <w:color w:val="265A9A"/>
              </w:rPr>
            </w:pPr>
            <w:r>
              <w:t xml:space="preserve">Working Together to Connect Care </w:t>
            </w:r>
            <w:r>
              <w:br/>
              <w:t>(Brisbane North PHN and Metro North Health)</w:t>
            </w:r>
          </w:p>
        </w:tc>
        <w:tc>
          <w:tcPr>
            <w:tcW w:w="4535" w:type="dxa"/>
            <w:shd w:val="clear" w:color="auto" w:fill="FFFFFF" w:themeFill="background1"/>
          </w:tcPr>
          <w:p w14:paraId="3AB39E95" w14:textId="77777777" w:rsidR="00D94B88" w:rsidRPr="00D126B3" w:rsidRDefault="00D94B88">
            <w:pPr>
              <w:pStyle w:val="TableBody"/>
              <w:spacing w:before="45" w:after="45"/>
              <w:ind w:right="108"/>
              <w:rPr>
                <w:rFonts w:ascii="Arial (Body)" w:hAnsi="Arial (Body)"/>
                <w:color w:val="000000"/>
              </w:rPr>
            </w:pPr>
            <w:r w:rsidRPr="00E608AA">
              <w:t xml:space="preserve">438 fewer hospital admissions in </w:t>
            </w:r>
            <w:r>
              <w:t>six</w:t>
            </w:r>
            <w:r w:rsidRPr="00E608AA">
              <w:t xml:space="preserve"> months and an 11% fall in avoidable ED presentations.</w:t>
            </w:r>
          </w:p>
        </w:tc>
      </w:tr>
      <w:tr w:rsidR="00D94B88" w:rsidRPr="00D126B3" w14:paraId="63C5A1CD" w14:textId="77777777" w:rsidTr="00F35A31">
        <w:trPr>
          <w:trHeight w:val="680"/>
        </w:trPr>
        <w:tc>
          <w:tcPr>
            <w:tcW w:w="4938" w:type="dxa"/>
            <w:tcBorders>
              <w:bottom w:val="single" w:sz="4" w:space="0" w:color="B3B3B3"/>
            </w:tcBorders>
            <w:shd w:val="clear" w:color="auto" w:fill="E6E6E6"/>
          </w:tcPr>
          <w:p w14:paraId="40EA8A15" w14:textId="77777777" w:rsidR="00D94B88" w:rsidRPr="00D126B3" w:rsidRDefault="00D94B88">
            <w:pPr>
              <w:pStyle w:val="TableHeading"/>
              <w:spacing w:before="45" w:after="45"/>
              <w:ind w:right="108"/>
              <w:rPr>
                <w:rFonts w:ascii="Arial (Body)" w:hAnsi="Arial (Body)"/>
                <w:color w:val="265A9A"/>
              </w:rPr>
            </w:pPr>
            <w:r>
              <w:t xml:space="preserve">Western Sydney Integrated Care Program </w:t>
            </w:r>
            <w:r>
              <w:br/>
              <w:t>(Western Sydney LHD and Western Sydney PHN)</w:t>
            </w:r>
          </w:p>
        </w:tc>
        <w:tc>
          <w:tcPr>
            <w:tcW w:w="4535" w:type="dxa"/>
            <w:tcBorders>
              <w:bottom w:val="single" w:sz="4" w:space="0" w:color="B3B3B3"/>
            </w:tcBorders>
            <w:shd w:val="clear" w:color="auto" w:fill="E6E6E6"/>
          </w:tcPr>
          <w:p w14:paraId="00C013D6" w14:textId="77777777" w:rsidR="00D94B88" w:rsidRPr="00D126B3" w:rsidRDefault="00D94B88">
            <w:pPr>
              <w:pStyle w:val="TableBody"/>
              <w:spacing w:before="45" w:after="45"/>
              <w:ind w:right="108"/>
              <w:rPr>
                <w:rFonts w:ascii="Arial (Body)" w:hAnsi="Arial (Body)"/>
                <w:color w:val="000000"/>
              </w:rPr>
            </w:pPr>
            <w:r w:rsidRPr="00E608AA">
              <w:t>37% fall in PPHs and a 32% fall in ED presentations.</w:t>
            </w:r>
          </w:p>
        </w:tc>
      </w:tr>
    </w:tbl>
    <w:p w14:paraId="2FDD23FF" w14:textId="71F77BD6" w:rsidR="00D94B88" w:rsidRDefault="00D94B88">
      <w:pPr>
        <w:pStyle w:val="Source"/>
      </w:pPr>
      <w:r w:rsidRPr="00696447">
        <w:t xml:space="preserve">Source: </w:t>
      </w:r>
      <w:r>
        <w:t xml:space="preserve">AHHA </w:t>
      </w:r>
      <w:r w:rsidRPr="00C059CE">
        <w:rPr>
          <w:rFonts w:ascii="Arial" w:hAnsi="Arial" w:cs="Arial"/>
        </w:rPr>
        <w:t>(2024)</w:t>
      </w:r>
      <w:r>
        <w:t xml:space="preserve">; Brisbane North PHN </w:t>
      </w:r>
      <w:r w:rsidRPr="00F40CB7">
        <w:rPr>
          <w:rFonts w:ascii="Arial" w:hAnsi="Arial" w:cs="Arial"/>
        </w:rPr>
        <w:t>(2025)</w:t>
      </w:r>
      <w:r>
        <w:t xml:space="preserve">; Cheung et al. </w:t>
      </w:r>
      <w:r w:rsidRPr="00C059CE">
        <w:rPr>
          <w:rFonts w:ascii="Arial" w:hAnsi="Arial" w:cs="Arial"/>
        </w:rPr>
        <w:t>(2019, p. 569)</w:t>
      </w:r>
      <w:r>
        <w:t xml:space="preserve">; </w:t>
      </w:r>
      <w:proofErr w:type="spellStart"/>
      <w:r>
        <w:t>Hullick</w:t>
      </w:r>
      <w:proofErr w:type="spellEnd"/>
      <w:r>
        <w:t xml:space="preserve"> et al. </w:t>
      </w:r>
      <w:r w:rsidRPr="00C059CE">
        <w:rPr>
          <w:rFonts w:ascii="Arial" w:hAnsi="Arial" w:cs="Arial"/>
        </w:rPr>
        <w:t>(2021, p. 206)</w:t>
      </w:r>
      <w:r>
        <w:t>; The Health Alliance (sub. 84, p. 9).</w:t>
      </w:r>
    </w:p>
    <w:p w14:paraId="51BAA981" w14:textId="77777777" w:rsidR="00D94B88" w:rsidRDefault="00D94B88">
      <w:pPr>
        <w:pStyle w:val="BodyText"/>
      </w:pPr>
      <w:r>
        <w:t>There are limitations with this approach.</w:t>
      </w:r>
    </w:p>
    <w:p w14:paraId="010598BA" w14:textId="77777777" w:rsidR="00D94B88" w:rsidRDefault="00D94B88" w:rsidP="00D94B88">
      <w:pPr>
        <w:pStyle w:val="ListBullet"/>
      </w:pPr>
      <w:r>
        <w:t>E</w:t>
      </w:r>
      <w:r w:rsidRPr="00F844C4">
        <w:t xml:space="preserve">xisting collaborative commissioning evidence could be more readily available for examples of successful programs </w:t>
      </w:r>
      <w:r>
        <w:t xml:space="preserve">due to publication bias, </w:t>
      </w:r>
      <w:r w:rsidRPr="00F844C4">
        <w:t xml:space="preserve">meaning that we do not observe a representative sample of all programs. Moreover, only a small number of cases were analysed. </w:t>
      </w:r>
    </w:p>
    <w:p w14:paraId="4EC0C966" w14:textId="77777777" w:rsidR="00D94B88" w:rsidRPr="00282AEB" w:rsidRDefault="00D94B88" w:rsidP="00D94B88">
      <w:pPr>
        <w:pStyle w:val="ListBullet"/>
      </w:pPr>
      <w:r w:rsidRPr="00F844C4">
        <w:t>There is variation in underlying health needs as well as workforce capabilities across Australia.</w:t>
      </w:r>
    </w:p>
    <w:p w14:paraId="54FB1FE0" w14:textId="4ADF34C0" w:rsidR="00D94B88" w:rsidRPr="003A2996" w:rsidRDefault="00D94B88">
      <w:pPr>
        <w:pStyle w:val="BodyText"/>
        <w:rPr>
          <w:spacing w:val="-4"/>
        </w:rPr>
      </w:pPr>
      <w:r w:rsidRPr="003A2996">
        <w:rPr>
          <w:spacing w:val="-4"/>
        </w:rPr>
        <w:t>We then quantified the estimated reduction in PPHs and ED presentations as dollar savings</w:t>
      </w:r>
      <w:r w:rsidR="00D11925" w:rsidRPr="003A2996">
        <w:rPr>
          <w:spacing w:val="-4"/>
        </w:rPr>
        <w:t>.</w:t>
      </w:r>
      <w:r w:rsidR="00D2277B" w:rsidRPr="003A2996">
        <w:rPr>
          <w:spacing w:val="-4"/>
        </w:rPr>
        <w:t xml:space="preserve"> This estimate does not consider the </w:t>
      </w:r>
      <w:r w:rsidR="006C3BE2" w:rsidRPr="003A2996">
        <w:rPr>
          <w:spacing w:val="-4"/>
        </w:rPr>
        <w:t xml:space="preserve">cost </w:t>
      </w:r>
      <w:r w:rsidR="0058500F" w:rsidRPr="003A2996">
        <w:rPr>
          <w:spacing w:val="-4"/>
        </w:rPr>
        <w:t xml:space="preserve">to the </w:t>
      </w:r>
      <w:r w:rsidR="00C93F50" w:rsidRPr="003A2996">
        <w:rPr>
          <w:spacing w:val="-4"/>
        </w:rPr>
        <w:t>health</w:t>
      </w:r>
      <w:r w:rsidR="0058500F" w:rsidRPr="003A2996">
        <w:rPr>
          <w:spacing w:val="-4"/>
        </w:rPr>
        <w:t xml:space="preserve"> care system </w:t>
      </w:r>
      <w:r w:rsidR="006C3BE2" w:rsidRPr="003A2996">
        <w:rPr>
          <w:spacing w:val="-4"/>
        </w:rPr>
        <w:t xml:space="preserve">of the programs </w:t>
      </w:r>
      <w:r w:rsidR="00B83E4B" w:rsidRPr="003A2996">
        <w:rPr>
          <w:spacing w:val="-4"/>
        </w:rPr>
        <w:t xml:space="preserve">required to </w:t>
      </w:r>
      <w:r w:rsidR="0058500F" w:rsidRPr="003A2996">
        <w:rPr>
          <w:spacing w:val="-4"/>
        </w:rPr>
        <w:t>avoid PPHs and ED presentations.</w:t>
      </w:r>
    </w:p>
    <w:p w14:paraId="4102C72A" w14:textId="77777777" w:rsidR="00D94B88" w:rsidRPr="007C46A6" w:rsidRDefault="00D94B88">
      <w:pPr>
        <w:pStyle w:val="BodyText"/>
      </w:pPr>
      <w:r w:rsidRPr="007C46A6">
        <w:t>We drew on the number of PPHs that occur annually in public hospitals and the average length of stay associated with PPHs to find the total number of bed days used to treat all PPHs in public hospitals. This was multiplied by the average cost of a bed day to find the cost of PPHs on public hospitals. From this, a 5% reduction in PPHs leads to an annual saving of about $312 million. Figures have been converted to 2025 dollars using the CPI health deflator where necessary.</w:t>
      </w:r>
    </w:p>
    <w:p w14:paraId="229F7A97" w14:textId="77777777" w:rsidR="00D94B88" w:rsidRPr="007C46A6" w:rsidRDefault="00D94B88">
      <w:pPr>
        <w:pStyle w:val="BodyText"/>
      </w:pPr>
      <w:r w:rsidRPr="007C46A6">
        <w:t>We also drew on the number of ED presentations in public hospitals and the cost of a non</w:t>
      </w:r>
      <w:r>
        <w:noBreakHyphen/>
      </w:r>
      <w:r w:rsidRPr="007C46A6">
        <w:t>admitted ED presentation to find the cost of ED presentations on public hospitals. A 4% reduction in ED presentations gives a saving of about $284 million.</w:t>
      </w:r>
    </w:p>
    <w:p w14:paraId="5B2EAEA6" w14:textId="4926E484" w:rsidR="00D94B88" w:rsidRPr="005E0F8C" w:rsidRDefault="00D94B88">
      <w:pPr>
        <w:pStyle w:val="BodyText"/>
        <w:rPr>
          <w:spacing w:val="-4"/>
        </w:rPr>
      </w:pPr>
      <w:r w:rsidRPr="005E0F8C">
        <w:rPr>
          <w:spacing w:val="-4"/>
        </w:rPr>
        <w:t xml:space="preserve">Combined, </w:t>
      </w:r>
      <w:r w:rsidR="00CD451A" w:rsidRPr="005E0F8C">
        <w:rPr>
          <w:spacing w:val="-4"/>
        </w:rPr>
        <w:t>the reductions in PPHs and E</w:t>
      </w:r>
      <w:r w:rsidR="00994909" w:rsidRPr="005E0F8C">
        <w:rPr>
          <w:spacing w:val="-4"/>
        </w:rPr>
        <w:t>D</w:t>
      </w:r>
      <w:r w:rsidR="00CD451A" w:rsidRPr="005E0F8C">
        <w:rPr>
          <w:spacing w:val="-4"/>
        </w:rPr>
        <w:t xml:space="preserve"> presentations are equivalent to </w:t>
      </w:r>
      <w:r w:rsidRPr="005E0F8C">
        <w:rPr>
          <w:spacing w:val="-4"/>
        </w:rPr>
        <w:t>about $600 million annually (table</w:t>
      </w:r>
      <w:r w:rsidR="00E55CDA" w:rsidRPr="005E0F8C">
        <w:rPr>
          <w:spacing w:val="-4"/>
        </w:rPr>
        <w:t> </w:t>
      </w:r>
      <w:r w:rsidRPr="005E0F8C">
        <w:rPr>
          <w:spacing w:val="-4"/>
        </w:rPr>
        <w:t>B.</w:t>
      </w:r>
      <w:r w:rsidR="00FA48BF" w:rsidRPr="005E0F8C">
        <w:rPr>
          <w:spacing w:val="-4"/>
        </w:rPr>
        <w:t>8</w:t>
      </w:r>
      <w:r w:rsidRPr="005E0F8C">
        <w:rPr>
          <w:spacing w:val="-4"/>
        </w:rPr>
        <w:t>).</w:t>
      </w:r>
    </w:p>
    <w:p w14:paraId="28EEEE33" w14:textId="36C898E9" w:rsidR="00D94B88" w:rsidRDefault="00D94B88" w:rsidP="00B117EC">
      <w:pPr>
        <w:pStyle w:val="FigureTableHeading"/>
      </w:pPr>
      <w:r>
        <w:lastRenderedPageBreak/>
        <w:t xml:space="preserve">Table </w:t>
      </w:r>
      <w:r>
        <w:fldChar w:fldCharType="begin"/>
      </w:r>
      <w:r>
        <w:instrText xml:space="preserve"> STYLEREF  \s Heading-Appendix </w:instrText>
      </w:r>
      <w:r>
        <w:fldChar w:fldCharType="separate"/>
      </w:r>
      <w:r w:rsidR="00FB1849">
        <w:rPr>
          <w:noProof/>
        </w:rPr>
        <w:t>B</w:t>
      </w:r>
      <w:r>
        <w:rPr>
          <w:noProof/>
        </w:rPr>
        <w:fldChar w:fldCharType="end"/>
      </w:r>
      <w:r>
        <w:t>.</w:t>
      </w:r>
      <w:r w:rsidR="00DF4CAF">
        <w:t>8</w:t>
      </w:r>
      <w:r>
        <w:rPr>
          <w:noProof/>
        </w:rPr>
        <w:t xml:space="preserve"> – Data used to calculate savings from our reform</w:t>
      </w:r>
    </w:p>
    <w:tbl>
      <w:tblPr>
        <w:tblW w:w="9865"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139"/>
        <w:gridCol w:w="1815"/>
        <w:gridCol w:w="3911"/>
      </w:tblGrid>
      <w:tr w:rsidR="002C0263" w:rsidRPr="00D126B3" w14:paraId="10D2402F" w14:textId="77777777" w:rsidTr="00B55097">
        <w:trPr>
          <w:tblHeader/>
        </w:trPr>
        <w:tc>
          <w:tcPr>
            <w:tcW w:w="4139" w:type="dxa"/>
            <w:tcBorders>
              <w:bottom w:val="single" w:sz="4" w:space="0" w:color="B3B3B3"/>
            </w:tcBorders>
            <w:shd w:val="clear" w:color="000000" w:fill="auto"/>
            <w:vAlign w:val="bottom"/>
          </w:tcPr>
          <w:p w14:paraId="7134D079" w14:textId="77777777" w:rsidR="00D94B88" w:rsidRPr="00D126B3" w:rsidRDefault="00D94B88" w:rsidP="00B117EC">
            <w:pPr>
              <w:keepNext/>
              <w:spacing w:before="45" w:after="45"/>
              <w:ind w:left="57" w:right="108"/>
              <w:rPr>
                <w:rFonts w:ascii="Arial (Body)" w:hAnsi="Arial (Body)"/>
                <w:b/>
                <w:color w:val="265A9A"/>
                <w:sz w:val="18"/>
              </w:rPr>
            </w:pPr>
          </w:p>
        </w:tc>
        <w:tc>
          <w:tcPr>
            <w:tcW w:w="1815" w:type="dxa"/>
            <w:tcBorders>
              <w:bottom w:val="single" w:sz="4" w:space="0" w:color="B3B3B3"/>
            </w:tcBorders>
            <w:shd w:val="clear" w:color="000000" w:fill="auto"/>
            <w:vAlign w:val="bottom"/>
          </w:tcPr>
          <w:p w14:paraId="122EA9C5" w14:textId="77777777" w:rsidR="00D94B88" w:rsidRPr="00D126B3" w:rsidRDefault="00D94B88" w:rsidP="00B55097">
            <w:pPr>
              <w:pStyle w:val="TableHeading"/>
              <w:keepNext/>
              <w:spacing w:before="45" w:after="45"/>
              <w:ind w:right="227"/>
              <w:jc w:val="right"/>
              <w:rPr>
                <w:rFonts w:ascii="Arial (Body)" w:hAnsi="Arial (Body)"/>
                <w:color w:val="265A9A"/>
              </w:rPr>
            </w:pPr>
            <w:r>
              <w:rPr>
                <w:rFonts w:ascii="Arial (Body)" w:hAnsi="Arial (Body)"/>
                <w:color w:val="265A9A"/>
              </w:rPr>
              <w:t>Estimate</w:t>
            </w:r>
          </w:p>
        </w:tc>
        <w:tc>
          <w:tcPr>
            <w:tcW w:w="3911" w:type="dxa"/>
            <w:tcBorders>
              <w:bottom w:val="single" w:sz="4" w:space="0" w:color="B3B3B3"/>
            </w:tcBorders>
            <w:shd w:val="clear" w:color="000000" w:fill="auto"/>
            <w:vAlign w:val="bottom"/>
          </w:tcPr>
          <w:p w14:paraId="2333AF21" w14:textId="77777777" w:rsidR="00D94B88" w:rsidRPr="00D126B3" w:rsidRDefault="00D94B88" w:rsidP="00B117EC">
            <w:pPr>
              <w:pStyle w:val="TableHeading"/>
              <w:keepNext/>
              <w:spacing w:before="45" w:after="45"/>
              <w:ind w:right="108"/>
              <w:rPr>
                <w:rFonts w:ascii="Arial (Body)" w:hAnsi="Arial (Body)"/>
                <w:color w:val="265A9A"/>
              </w:rPr>
            </w:pPr>
            <w:r>
              <w:rPr>
                <w:rFonts w:ascii="Arial (Body)" w:hAnsi="Arial (Body)"/>
                <w:color w:val="265A9A"/>
              </w:rPr>
              <w:t>Source</w:t>
            </w:r>
          </w:p>
        </w:tc>
      </w:tr>
      <w:tr w:rsidR="002C0263" w:rsidRPr="00D126B3" w14:paraId="0DC2EFDC" w14:textId="77777777" w:rsidTr="00F35A31">
        <w:tc>
          <w:tcPr>
            <w:tcW w:w="4139" w:type="dxa"/>
            <w:tcBorders>
              <w:top w:val="single" w:sz="4" w:space="0" w:color="B3B3B3"/>
              <w:bottom w:val="nil"/>
            </w:tcBorders>
            <w:shd w:val="clear" w:color="auto" w:fill="E6E6E6"/>
          </w:tcPr>
          <w:p w14:paraId="6CF51194" w14:textId="77777777" w:rsidR="00D94B88" w:rsidRPr="00D126B3" w:rsidRDefault="00D94B88" w:rsidP="00B117EC">
            <w:pPr>
              <w:pStyle w:val="TableHeading"/>
              <w:keepNext/>
              <w:spacing w:before="45" w:after="45"/>
              <w:ind w:right="108"/>
              <w:rPr>
                <w:rFonts w:ascii="Arial (Body)" w:hAnsi="Arial (Body)"/>
                <w:color w:val="265A9A"/>
              </w:rPr>
            </w:pPr>
            <w:r w:rsidRPr="00792CC2">
              <w:t>Number of PPHs in public hospitals (2023</w:t>
            </w:r>
            <w:r>
              <w:noBreakHyphen/>
            </w:r>
            <w:r w:rsidRPr="00792CC2">
              <w:t>24)</w:t>
            </w:r>
          </w:p>
        </w:tc>
        <w:tc>
          <w:tcPr>
            <w:tcW w:w="1815" w:type="dxa"/>
            <w:tcBorders>
              <w:top w:val="single" w:sz="4" w:space="0" w:color="B3B3B3"/>
              <w:bottom w:val="nil"/>
            </w:tcBorders>
            <w:shd w:val="clear" w:color="auto" w:fill="E6E6E6"/>
          </w:tcPr>
          <w:p w14:paraId="10B0580D" w14:textId="77777777" w:rsidR="00D94B88" w:rsidRPr="00D126B3" w:rsidRDefault="00D94B88" w:rsidP="00B55097">
            <w:pPr>
              <w:pStyle w:val="TableBody"/>
              <w:keepNext/>
              <w:spacing w:before="45" w:after="45"/>
              <w:ind w:right="227"/>
              <w:jc w:val="right"/>
              <w:rPr>
                <w:rFonts w:ascii="Arial (Body)" w:hAnsi="Arial (Body)"/>
                <w:color w:val="000000"/>
              </w:rPr>
            </w:pPr>
            <w:r w:rsidRPr="00792CC2">
              <w:t>599,060</w:t>
            </w:r>
          </w:p>
        </w:tc>
        <w:tc>
          <w:tcPr>
            <w:tcW w:w="3911" w:type="dxa"/>
            <w:tcBorders>
              <w:top w:val="single" w:sz="4" w:space="0" w:color="B3B3B3"/>
              <w:bottom w:val="nil"/>
            </w:tcBorders>
            <w:shd w:val="clear" w:color="auto" w:fill="E6E6E6"/>
          </w:tcPr>
          <w:p w14:paraId="582E92CF" w14:textId="4BBA3E0D" w:rsidR="00D94B88" w:rsidRPr="00D126B3" w:rsidRDefault="00D94B88" w:rsidP="00B117EC">
            <w:pPr>
              <w:pStyle w:val="TableBody"/>
              <w:keepNext/>
              <w:spacing w:before="45" w:after="45"/>
              <w:ind w:right="108"/>
              <w:rPr>
                <w:rFonts w:ascii="Arial (Body)" w:hAnsi="Arial (Body)"/>
                <w:color w:val="000000"/>
              </w:rPr>
            </w:pPr>
            <w:r>
              <w:rPr>
                <w:rFonts w:ascii="Arial (Body)" w:hAnsi="Arial (Body)"/>
                <w:color w:val="000000"/>
              </w:rPr>
              <w:t xml:space="preserve">PC estimates based on AIHW </w:t>
            </w:r>
            <w:r w:rsidR="00CD75B1" w:rsidRPr="00CD75B1">
              <w:rPr>
                <w:rFonts w:ascii="Arial" w:hAnsi="Arial" w:cs="Arial"/>
              </w:rPr>
              <w:t>(2025c)</w:t>
            </w:r>
          </w:p>
        </w:tc>
      </w:tr>
      <w:tr w:rsidR="007D02A3" w:rsidRPr="00D126B3" w14:paraId="39A42471" w14:textId="77777777" w:rsidTr="00B55097">
        <w:tc>
          <w:tcPr>
            <w:tcW w:w="4139" w:type="dxa"/>
            <w:tcBorders>
              <w:top w:val="nil"/>
              <w:bottom w:val="nil"/>
            </w:tcBorders>
            <w:shd w:val="clear" w:color="000000" w:fill="auto"/>
          </w:tcPr>
          <w:p w14:paraId="0A788A8A" w14:textId="77777777" w:rsidR="00D94B88" w:rsidRPr="00D126B3" w:rsidRDefault="00D94B88" w:rsidP="00B117EC">
            <w:pPr>
              <w:pStyle w:val="TableHeading"/>
              <w:keepNext/>
              <w:spacing w:before="45" w:after="45"/>
              <w:ind w:right="108"/>
              <w:rPr>
                <w:rFonts w:ascii="Arial (Body)" w:hAnsi="Arial (Body)"/>
                <w:color w:val="265A9A"/>
              </w:rPr>
            </w:pPr>
            <w:r w:rsidRPr="00792CC2">
              <w:t>Average length of stay associated with a PPH</w:t>
            </w:r>
          </w:p>
        </w:tc>
        <w:tc>
          <w:tcPr>
            <w:tcW w:w="1815" w:type="dxa"/>
            <w:tcBorders>
              <w:top w:val="nil"/>
              <w:bottom w:val="nil"/>
            </w:tcBorders>
            <w:shd w:val="clear" w:color="000000" w:fill="auto"/>
          </w:tcPr>
          <w:p w14:paraId="4D678BC6" w14:textId="77777777" w:rsidR="00D94B88" w:rsidRPr="00D126B3" w:rsidRDefault="00D94B88" w:rsidP="00B55097">
            <w:pPr>
              <w:pStyle w:val="TableBody"/>
              <w:keepNext/>
              <w:spacing w:before="45" w:after="45"/>
              <w:ind w:right="227"/>
              <w:jc w:val="right"/>
              <w:rPr>
                <w:rFonts w:ascii="Arial (Body)" w:hAnsi="Arial (Body)"/>
                <w:color w:val="000000"/>
              </w:rPr>
            </w:pPr>
            <w:r w:rsidRPr="00792CC2">
              <w:t>4.05 days</w:t>
            </w:r>
          </w:p>
        </w:tc>
        <w:tc>
          <w:tcPr>
            <w:tcW w:w="3911" w:type="dxa"/>
            <w:tcBorders>
              <w:top w:val="nil"/>
              <w:bottom w:val="nil"/>
            </w:tcBorders>
            <w:shd w:val="clear" w:color="000000" w:fill="auto"/>
          </w:tcPr>
          <w:p w14:paraId="186A1B40" w14:textId="4485653B" w:rsidR="00D94B88" w:rsidRPr="00D126B3" w:rsidRDefault="00D94B88" w:rsidP="00B117EC">
            <w:pPr>
              <w:pStyle w:val="TableBody"/>
              <w:keepNext/>
              <w:spacing w:before="45" w:after="45"/>
              <w:ind w:right="108"/>
              <w:rPr>
                <w:rFonts w:ascii="Arial (Body)" w:hAnsi="Arial (Body)"/>
                <w:color w:val="000000"/>
              </w:rPr>
            </w:pPr>
            <w:r>
              <w:rPr>
                <w:rFonts w:ascii="Arial (Body)" w:hAnsi="Arial (Body)"/>
                <w:color w:val="000000"/>
              </w:rPr>
              <w:t xml:space="preserve">PC estimates based on AIHW </w:t>
            </w:r>
            <w:r w:rsidR="00CD75B1" w:rsidRPr="00CD75B1">
              <w:rPr>
                <w:rFonts w:ascii="Arial" w:hAnsi="Arial" w:cs="Arial"/>
              </w:rPr>
              <w:t>(2025d)</w:t>
            </w:r>
          </w:p>
        </w:tc>
      </w:tr>
      <w:tr w:rsidR="00FA05A7" w:rsidRPr="00D126B3" w14:paraId="6DBF7350" w14:textId="77777777" w:rsidTr="00F35A31">
        <w:tc>
          <w:tcPr>
            <w:tcW w:w="4139" w:type="dxa"/>
            <w:shd w:val="clear" w:color="auto" w:fill="E6E6E6"/>
          </w:tcPr>
          <w:p w14:paraId="6916D3BF" w14:textId="77777777" w:rsidR="00D94B88" w:rsidRPr="00D126B3" w:rsidRDefault="00D94B88" w:rsidP="00B117EC">
            <w:pPr>
              <w:pStyle w:val="TableHeading"/>
              <w:keepNext/>
              <w:spacing w:before="45" w:after="45"/>
              <w:ind w:right="108"/>
              <w:rPr>
                <w:rFonts w:ascii="Arial (Body)" w:hAnsi="Arial (Body)"/>
                <w:color w:val="265A9A"/>
              </w:rPr>
            </w:pPr>
            <w:r w:rsidRPr="00792CC2">
              <w:t xml:space="preserve">Number of bed days in public hospitals used to treat PPHs </w:t>
            </w:r>
          </w:p>
        </w:tc>
        <w:tc>
          <w:tcPr>
            <w:tcW w:w="1815" w:type="dxa"/>
            <w:shd w:val="clear" w:color="auto" w:fill="E6E6E6"/>
          </w:tcPr>
          <w:p w14:paraId="2BC63847" w14:textId="77777777" w:rsidR="00D94B88" w:rsidRPr="00D126B3" w:rsidRDefault="00D94B88" w:rsidP="00B55097">
            <w:pPr>
              <w:pStyle w:val="TableBody"/>
              <w:keepNext/>
              <w:spacing w:before="45" w:after="45"/>
              <w:ind w:right="227"/>
              <w:jc w:val="right"/>
              <w:rPr>
                <w:rFonts w:ascii="Arial (Body)" w:hAnsi="Arial (Body)"/>
                <w:color w:val="000000"/>
              </w:rPr>
            </w:pPr>
            <w:r w:rsidRPr="00792CC2">
              <w:t>2,426,400</w:t>
            </w:r>
          </w:p>
        </w:tc>
        <w:tc>
          <w:tcPr>
            <w:tcW w:w="3911" w:type="dxa"/>
            <w:shd w:val="clear" w:color="auto" w:fill="E6E6E6"/>
          </w:tcPr>
          <w:p w14:paraId="6E69D93A" w14:textId="607E49F3" w:rsidR="00D94B88" w:rsidRPr="00D126B3" w:rsidRDefault="00D94B88" w:rsidP="00B117EC">
            <w:pPr>
              <w:pStyle w:val="TableBody"/>
              <w:keepNext/>
              <w:spacing w:before="45" w:after="45"/>
              <w:ind w:right="108"/>
              <w:rPr>
                <w:rFonts w:ascii="Arial (Body)" w:hAnsi="Arial (Body)"/>
                <w:color w:val="000000"/>
              </w:rPr>
            </w:pPr>
            <w:r>
              <w:rPr>
                <w:rFonts w:ascii="Arial (Body)" w:hAnsi="Arial (Body)"/>
                <w:color w:val="000000"/>
              </w:rPr>
              <w:t xml:space="preserve">PC estimates based on AIHW </w:t>
            </w:r>
            <w:r w:rsidR="00CD75B1" w:rsidRPr="00CD75B1">
              <w:rPr>
                <w:rFonts w:ascii="Arial (Body)" w:hAnsi="Arial (Body)"/>
              </w:rPr>
              <w:t>(2025d, 2025c)</w:t>
            </w:r>
          </w:p>
        </w:tc>
      </w:tr>
      <w:tr w:rsidR="00FA05A7" w:rsidRPr="00D126B3" w14:paraId="2C6149F0" w14:textId="77777777" w:rsidTr="00B55097">
        <w:tc>
          <w:tcPr>
            <w:tcW w:w="4139" w:type="dxa"/>
            <w:shd w:val="clear" w:color="auto" w:fill="FFFFFF" w:themeFill="background1"/>
          </w:tcPr>
          <w:p w14:paraId="64B7BDF8" w14:textId="77777777" w:rsidR="00D94B88" w:rsidRPr="00D126B3" w:rsidRDefault="00D94B88">
            <w:pPr>
              <w:pStyle w:val="TableHeading"/>
              <w:spacing w:before="45" w:after="45"/>
              <w:ind w:right="108"/>
              <w:rPr>
                <w:rFonts w:ascii="Arial (Body)" w:hAnsi="Arial (Body)"/>
                <w:color w:val="265A9A"/>
              </w:rPr>
            </w:pPr>
            <w:r w:rsidRPr="00792CC2">
              <w:t>Average cost of a bed day</w:t>
            </w:r>
          </w:p>
        </w:tc>
        <w:tc>
          <w:tcPr>
            <w:tcW w:w="1815" w:type="dxa"/>
            <w:shd w:val="clear" w:color="auto" w:fill="FFFFFF" w:themeFill="background1"/>
          </w:tcPr>
          <w:p w14:paraId="77FFC14F" w14:textId="77777777" w:rsidR="00D94B88" w:rsidRPr="00D126B3" w:rsidRDefault="00D94B88" w:rsidP="00B55097">
            <w:pPr>
              <w:pStyle w:val="TableBody"/>
              <w:spacing w:before="45" w:after="45"/>
              <w:ind w:right="227"/>
              <w:jc w:val="right"/>
              <w:rPr>
                <w:rFonts w:ascii="Arial (Body)" w:hAnsi="Arial (Body)"/>
                <w:color w:val="000000"/>
              </w:rPr>
            </w:pPr>
            <w:r w:rsidRPr="00792CC2">
              <w:t>$2,574</w:t>
            </w:r>
          </w:p>
        </w:tc>
        <w:tc>
          <w:tcPr>
            <w:tcW w:w="3911" w:type="dxa"/>
            <w:shd w:val="clear" w:color="auto" w:fill="FFFFFF" w:themeFill="background1"/>
          </w:tcPr>
          <w:p w14:paraId="29A7FB52" w14:textId="3D5856DE" w:rsidR="00D94B88" w:rsidRPr="00B55097" w:rsidRDefault="00D94B88">
            <w:pPr>
              <w:pStyle w:val="TableBody"/>
              <w:spacing w:before="45" w:after="45"/>
              <w:ind w:right="108"/>
              <w:rPr>
                <w:rFonts w:ascii="Arial (Body)" w:hAnsi="Arial (Body)"/>
                <w:color w:val="000000"/>
                <w:spacing w:val="-4"/>
              </w:rPr>
            </w:pPr>
            <w:r w:rsidRPr="00B55097">
              <w:rPr>
                <w:rFonts w:ascii="Arial (Body)" w:hAnsi="Arial (Body)"/>
                <w:color w:val="000000"/>
                <w:spacing w:val="-4"/>
              </w:rPr>
              <w:t xml:space="preserve">PC calculation from the cost of a separation ($5,315) divided by average length of stay for admitted acute care (2.34 days) converted to 2025 dollars </w:t>
            </w:r>
            <w:r w:rsidRPr="00B55097">
              <w:rPr>
                <w:rFonts w:ascii="Arial (Body)" w:hAnsi="Arial (Body)" w:cs="Times New Roman"/>
                <w:spacing w:val="-4"/>
              </w:rPr>
              <w:t>(IHACPA 2023, p. 4)</w:t>
            </w:r>
          </w:p>
        </w:tc>
      </w:tr>
      <w:tr w:rsidR="00FA05A7" w:rsidRPr="00D126B3" w14:paraId="3FC5F456" w14:textId="77777777" w:rsidTr="00F35A31">
        <w:tc>
          <w:tcPr>
            <w:tcW w:w="4139" w:type="dxa"/>
            <w:shd w:val="clear" w:color="auto" w:fill="E6E6E6"/>
          </w:tcPr>
          <w:p w14:paraId="2B5E4B2A" w14:textId="77777777" w:rsidR="00D94B88" w:rsidRPr="00D126B3" w:rsidRDefault="00D94B88">
            <w:pPr>
              <w:pStyle w:val="TableHeading"/>
              <w:spacing w:before="45" w:after="45"/>
              <w:ind w:right="108"/>
              <w:rPr>
                <w:rFonts w:ascii="Arial (Body)" w:hAnsi="Arial (Body)"/>
                <w:color w:val="265A9A"/>
              </w:rPr>
            </w:pPr>
            <w:r w:rsidRPr="00792CC2">
              <w:t>Saving from a 5% reduction in PPHs</w:t>
            </w:r>
          </w:p>
        </w:tc>
        <w:tc>
          <w:tcPr>
            <w:tcW w:w="1815" w:type="dxa"/>
            <w:shd w:val="clear" w:color="auto" w:fill="E6E6E6"/>
          </w:tcPr>
          <w:p w14:paraId="5B764EF7" w14:textId="77777777" w:rsidR="00D94B88" w:rsidRPr="00D126B3" w:rsidRDefault="00D94B88" w:rsidP="00B55097">
            <w:pPr>
              <w:pStyle w:val="TableBody"/>
              <w:spacing w:before="45" w:after="45"/>
              <w:ind w:right="227"/>
              <w:jc w:val="right"/>
              <w:rPr>
                <w:rFonts w:ascii="Arial (Body)" w:hAnsi="Arial (Body)"/>
                <w:color w:val="000000"/>
              </w:rPr>
            </w:pPr>
            <w:r w:rsidRPr="00792CC2">
              <w:t>$312</w:t>
            </w:r>
            <w:r>
              <w:t xml:space="preserve"> million</w:t>
            </w:r>
          </w:p>
        </w:tc>
        <w:tc>
          <w:tcPr>
            <w:tcW w:w="3911" w:type="dxa"/>
            <w:shd w:val="clear" w:color="auto" w:fill="E6E6E6"/>
          </w:tcPr>
          <w:p w14:paraId="64C04939" w14:textId="77777777" w:rsidR="00D94B88" w:rsidRPr="00D126B3" w:rsidRDefault="00D94B88">
            <w:pPr>
              <w:pStyle w:val="TableBody"/>
              <w:spacing w:before="45" w:after="45"/>
              <w:ind w:right="108"/>
              <w:rPr>
                <w:rFonts w:ascii="Arial (Body)" w:hAnsi="Arial (Body)"/>
                <w:color w:val="000000"/>
              </w:rPr>
            </w:pPr>
            <w:r>
              <w:rPr>
                <w:rFonts w:ascii="Arial (Body)" w:hAnsi="Arial (Body)"/>
                <w:color w:val="000000"/>
              </w:rPr>
              <w:t>PC calculation</w:t>
            </w:r>
          </w:p>
        </w:tc>
      </w:tr>
      <w:tr w:rsidR="00FA05A7" w:rsidRPr="00D126B3" w14:paraId="23D87322" w14:textId="77777777" w:rsidTr="00B55097">
        <w:tc>
          <w:tcPr>
            <w:tcW w:w="4139" w:type="dxa"/>
            <w:shd w:val="clear" w:color="auto" w:fill="FFFFFF" w:themeFill="background1"/>
          </w:tcPr>
          <w:p w14:paraId="283B5EE9" w14:textId="77777777" w:rsidR="00D94B88" w:rsidRPr="00D126B3" w:rsidRDefault="00D94B88">
            <w:pPr>
              <w:pStyle w:val="TableHeading"/>
              <w:spacing w:before="45" w:after="45"/>
              <w:ind w:right="108"/>
              <w:rPr>
                <w:rFonts w:ascii="Arial (Body)" w:hAnsi="Arial (Body)"/>
                <w:color w:val="265A9A"/>
              </w:rPr>
            </w:pPr>
            <w:r w:rsidRPr="00792CC2">
              <w:t>Number of ED presentations in public hospitals (2023</w:t>
            </w:r>
            <w:r>
              <w:noBreakHyphen/>
            </w:r>
            <w:r w:rsidRPr="00792CC2">
              <w:t>24)</w:t>
            </w:r>
          </w:p>
        </w:tc>
        <w:tc>
          <w:tcPr>
            <w:tcW w:w="1815" w:type="dxa"/>
            <w:shd w:val="clear" w:color="auto" w:fill="FFFFFF" w:themeFill="background1"/>
          </w:tcPr>
          <w:p w14:paraId="08B4D80E" w14:textId="77777777" w:rsidR="00D94B88" w:rsidRPr="00D126B3" w:rsidRDefault="00D94B88" w:rsidP="00B55097">
            <w:pPr>
              <w:pStyle w:val="TableBody"/>
              <w:spacing w:before="45" w:after="45"/>
              <w:ind w:right="227"/>
              <w:jc w:val="right"/>
              <w:rPr>
                <w:rFonts w:ascii="Arial (Body)" w:hAnsi="Arial (Body)"/>
                <w:color w:val="000000"/>
              </w:rPr>
            </w:pPr>
            <w:r w:rsidRPr="00792CC2">
              <w:t>9,018,401</w:t>
            </w:r>
          </w:p>
        </w:tc>
        <w:tc>
          <w:tcPr>
            <w:tcW w:w="3911" w:type="dxa"/>
            <w:shd w:val="clear" w:color="auto" w:fill="FFFFFF" w:themeFill="background1"/>
          </w:tcPr>
          <w:p w14:paraId="1CD14889" w14:textId="4B12EEAE" w:rsidR="00D94B88" w:rsidRPr="00D126B3" w:rsidRDefault="00D94B88">
            <w:pPr>
              <w:pStyle w:val="TableBody"/>
              <w:spacing w:before="45" w:after="45"/>
              <w:ind w:right="108"/>
              <w:rPr>
                <w:rFonts w:ascii="Arial (Body)" w:hAnsi="Arial (Body)"/>
                <w:color w:val="000000"/>
              </w:rPr>
            </w:pPr>
            <w:r>
              <w:rPr>
                <w:rFonts w:ascii="Arial (Body)" w:hAnsi="Arial (Body)"/>
                <w:color w:val="000000"/>
              </w:rPr>
              <w:t xml:space="preserve">AIHW </w:t>
            </w:r>
            <w:r w:rsidRPr="00747370">
              <w:rPr>
                <w:rFonts w:ascii="Arial" w:hAnsi="Arial" w:cs="Arial"/>
              </w:rPr>
              <w:t>(2025a)</w:t>
            </w:r>
          </w:p>
        </w:tc>
      </w:tr>
      <w:tr w:rsidR="00FA05A7" w:rsidRPr="00D126B3" w14:paraId="607E085B" w14:textId="77777777" w:rsidTr="00F35A31">
        <w:tc>
          <w:tcPr>
            <w:tcW w:w="4139" w:type="dxa"/>
            <w:shd w:val="clear" w:color="auto" w:fill="E6E6E6"/>
          </w:tcPr>
          <w:p w14:paraId="41C59E24" w14:textId="77777777" w:rsidR="00D94B88" w:rsidRPr="00D126B3" w:rsidRDefault="00D94B88">
            <w:pPr>
              <w:pStyle w:val="TableHeading"/>
              <w:spacing w:before="45" w:after="45"/>
              <w:ind w:right="108"/>
              <w:rPr>
                <w:rFonts w:ascii="Arial (Body)" w:hAnsi="Arial (Body)"/>
                <w:color w:val="265A9A"/>
              </w:rPr>
            </w:pPr>
            <w:r w:rsidRPr="00792CC2">
              <w:t>Cost of a non</w:t>
            </w:r>
            <w:r>
              <w:noBreakHyphen/>
            </w:r>
            <w:r w:rsidRPr="00792CC2">
              <w:t>admitted ED presentation</w:t>
            </w:r>
          </w:p>
        </w:tc>
        <w:tc>
          <w:tcPr>
            <w:tcW w:w="1815" w:type="dxa"/>
            <w:shd w:val="clear" w:color="auto" w:fill="E6E6E6"/>
          </w:tcPr>
          <w:p w14:paraId="5550AD29" w14:textId="77777777" w:rsidR="00D94B88" w:rsidRPr="00D126B3" w:rsidRDefault="00D94B88" w:rsidP="00B55097">
            <w:pPr>
              <w:pStyle w:val="TableBody"/>
              <w:spacing w:before="45" w:after="45"/>
              <w:ind w:right="227"/>
              <w:jc w:val="right"/>
              <w:rPr>
                <w:rFonts w:ascii="Arial (Body)" w:hAnsi="Arial (Body)"/>
                <w:color w:val="000000"/>
              </w:rPr>
            </w:pPr>
            <w:r w:rsidRPr="00792CC2">
              <w:t>$787</w:t>
            </w:r>
          </w:p>
        </w:tc>
        <w:tc>
          <w:tcPr>
            <w:tcW w:w="3911" w:type="dxa"/>
            <w:shd w:val="clear" w:color="auto" w:fill="E6E6E6"/>
          </w:tcPr>
          <w:p w14:paraId="130FCED2" w14:textId="1775201F" w:rsidR="00D94B88" w:rsidRPr="00D126B3" w:rsidRDefault="00D94B88">
            <w:pPr>
              <w:pStyle w:val="TableBody"/>
              <w:spacing w:before="45" w:after="45"/>
              <w:ind w:right="108"/>
              <w:rPr>
                <w:rFonts w:ascii="Arial (Body)" w:hAnsi="Arial (Body)"/>
                <w:color w:val="000000"/>
              </w:rPr>
            </w:pPr>
            <w:r>
              <w:rPr>
                <w:rFonts w:ascii="Arial (Body)" w:hAnsi="Arial (Body)"/>
                <w:color w:val="000000"/>
              </w:rPr>
              <w:t xml:space="preserve">PC conversion to 2025 dollars from the Report on Government Services </w:t>
            </w:r>
            <w:r w:rsidR="0097599A" w:rsidRPr="0097599A">
              <w:rPr>
                <w:rFonts w:ascii="Arial (Body)" w:hAnsi="Arial (Body)" w:cs="Times New Roman"/>
              </w:rPr>
              <w:t>(2025c, p. 128)</w:t>
            </w:r>
          </w:p>
        </w:tc>
      </w:tr>
      <w:tr w:rsidR="00FA05A7" w:rsidRPr="00D126B3" w14:paraId="5BB3A42F" w14:textId="77777777" w:rsidTr="00B55097">
        <w:tc>
          <w:tcPr>
            <w:tcW w:w="4139" w:type="dxa"/>
            <w:shd w:val="clear" w:color="auto" w:fill="FFFFFF" w:themeFill="background1"/>
          </w:tcPr>
          <w:p w14:paraId="5E13827E" w14:textId="77777777" w:rsidR="00D94B88" w:rsidRPr="00D126B3" w:rsidRDefault="00D94B88">
            <w:pPr>
              <w:pStyle w:val="TableHeading"/>
              <w:spacing w:before="45" w:after="45"/>
              <w:ind w:right="108"/>
              <w:rPr>
                <w:rFonts w:ascii="Arial (Body)" w:hAnsi="Arial (Body)"/>
                <w:color w:val="265A9A"/>
              </w:rPr>
            </w:pPr>
            <w:r w:rsidRPr="00792CC2">
              <w:t>Saving from a 4% reduction in ED presentations</w:t>
            </w:r>
          </w:p>
        </w:tc>
        <w:tc>
          <w:tcPr>
            <w:tcW w:w="1815" w:type="dxa"/>
            <w:shd w:val="clear" w:color="auto" w:fill="FFFFFF" w:themeFill="background1"/>
          </w:tcPr>
          <w:p w14:paraId="2D820A25" w14:textId="77777777" w:rsidR="00D94B88" w:rsidRPr="00D126B3" w:rsidRDefault="00D94B88" w:rsidP="00B55097">
            <w:pPr>
              <w:pStyle w:val="TableBody"/>
              <w:spacing w:before="45" w:after="45"/>
              <w:ind w:right="227"/>
              <w:jc w:val="right"/>
              <w:rPr>
                <w:rFonts w:ascii="Arial (Body)" w:hAnsi="Arial (Body)"/>
                <w:color w:val="000000"/>
              </w:rPr>
            </w:pPr>
            <w:r w:rsidRPr="00792CC2">
              <w:t>$28</w:t>
            </w:r>
            <w:r>
              <w:t>4 million</w:t>
            </w:r>
          </w:p>
        </w:tc>
        <w:tc>
          <w:tcPr>
            <w:tcW w:w="3911" w:type="dxa"/>
            <w:shd w:val="clear" w:color="auto" w:fill="FFFFFF" w:themeFill="background1"/>
          </w:tcPr>
          <w:p w14:paraId="70CBF645" w14:textId="77777777" w:rsidR="00D94B88" w:rsidRPr="00D126B3" w:rsidRDefault="00D94B88">
            <w:pPr>
              <w:pStyle w:val="TableBody"/>
              <w:spacing w:before="45" w:after="45"/>
              <w:ind w:right="108"/>
              <w:rPr>
                <w:rFonts w:ascii="Arial (Body)" w:hAnsi="Arial (Body)"/>
                <w:color w:val="000000"/>
              </w:rPr>
            </w:pPr>
            <w:r>
              <w:rPr>
                <w:rFonts w:ascii="Arial (Body)" w:hAnsi="Arial (Body)"/>
                <w:color w:val="000000"/>
              </w:rPr>
              <w:t>PC calculation</w:t>
            </w:r>
          </w:p>
        </w:tc>
      </w:tr>
      <w:tr w:rsidR="007D02A3" w:rsidRPr="00D126B3" w14:paraId="2B268F1A" w14:textId="77777777" w:rsidTr="00F35A31">
        <w:tc>
          <w:tcPr>
            <w:tcW w:w="4139" w:type="dxa"/>
            <w:tcBorders>
              <w:bottom w:val="single" w:sz="4" w:space="0" w:color="B3B3B3"/>
            </w:tcBorders>
            <w:shd w:val="clear" w:color="auto" w:fill="E6E6E6"/>
          </w:tcPr>
          <w:p w14:paraId="15AE874D" w14:textId="77777777" w:rsidR="00D94B88" w:rsidRPr="00D126B3" w:rsidRDefault="00D94B88">
            <w:pPr>
              <w:pStyle w:val="TableHeading"/>
              <w:spacing w:before="45" w:after="45"/>
              <w:ind w:right="108"/>
              <w:rPr>
                <w:rFonts w:ascii="Arial (Body)" w:hAnsi="Arial (Body)"/>
                <w:color w:val="265A9A"/>
              </w:rPr>
            </w:pPr>
            <w:r w:rsidRPr="00792CC2">
              <w:t>Combined saving from reductions in PPHs and ED presentations</w:t>
            </w:r>
          </w:p>
        </w:tc>
        <w:tc>
          <w:tcPr>
            <w:tcW w:w="1815" w:type="dxa"/>
            <w:tcBorders>
              <w:bottom w:val="single" w:sz="4" w:space="0" w:color="B3B3B3"/>
            </w:tcBorders>
            <w:shd w:val="clear" w:color="auto" w:fill="E6E6E6"/>
          </w:tcPr>
          <w:p w14:paraId="638961D9" w14:textId="77777777" w:rsidR="00D94B88" w:rsidRPr="00D126B3" w:rsidRDefault="00D94B88" w:rsidP="00B55097">
            <w:pPr>
              <w:pStyle w:val="TableBody"/>
              <w:spacing w:before="45" w:after="45"/>
              <w:ind w:right="227"/>
              <w:jc w:val="right"/>
              <w:rPr>
                <w:rFonts w:ascii="Arial (Body)" w:hAnsi="Arial (Body)"/>
                <w:color w:val="000000"/>
              </w:rPr>
            </w:pPr>
            <w:r w:rsidRPr="00792CC2">
              <w:t>$596</w:t>
            </w:r>
            <w:r>
              <w:t xml:space="preserve"> million</w:t>
            </w:r>
          </w:p>
        </w:tc>
        <w:tc>
          <w:tcPr>
            <w:tcW w:w="3911" w:type="dxa"/>
            <w:tcBorders>
              <w:bottom w:val="single" w:sz="4" w:space="0" w:color="B3B3B3"/>
            </w:tcBorders>
            <w:shd w:val="clear" w:color="auto" w:fill="E6E6E6"/>
          </w:tcPr>
          <w:p w14:paraId="287BA99C" w14:textId="77777777" w:rsidR="00D94B88" w:rsidRPr="00D126B3" w:rsidRDefault="00D94B88">
            <w:pPr>
              <w:pStyle w:val="TableBody"/>
              <w:spacing w:before="45" w:after="45"/>
              <w:ind w:right="108"/>
              <w:rPr>
                <w:rFonts w:ascii="Arial (Body)" w:hAnsi="Arial (Body)"/>
                <w:color w:val="000000"/>
              </w:rPr>
            </w:pPr>
            <w:r>
              <w:rPr>
                <w:rFonts w:ascii="Arial (Body)" w:hAnsi="Arial (Body)"/>
                <w:color w:val="000000"/>
              </w:rPr>
              <w:t>PC calculation</w:t>
            </w:r>
          </w:p>
        </w:tc>
      </w:tr>
    </w:tbl>
    <w:p w14:paraId="014CB297" w14:textId="77777777" w:rsidR="00D94B88" w:rsidRDefault="00D94B88">
      <w:pPr>
        <w:pStyle w:val="Heading3"/>
      </w:pPr>
      <w:r>
        <w:t>A national framework to support government investment in prevention and early intervention</w:t>
      </w:r>
    </w:p>
    <w:p w14:paraId="766BEBAC" w14:textId="77777777" w:rsidR="00D94B88" w:rsidRDefault="00D94B88">
      <w:pPr>
        <w:pStyle w:val="BodyText"/>
      </w:pPr>
      <w:r>
        <w:t>Chapter 3 of this report recommends that the Australian Government establish a National Prevention and Early Intervention Framework to support government investment and includes some indicative estimates of the potential benefits of increased investment in this area.</w:t>
      </w:r>
      <w:r w:rsidRPr="00BC44A9">
        <w:t xml:space="preserve"> </w:t>
      </w:r>
      <w:r>
        <w:t>I</w:t>
      </w:r>
      <w:r w:rsidRPr="002E058E">
        <w:t>nvestment in prevention and early intervention can produce significant benefits to individuals, government and the community</w:t>
      </w:r>
      <w:r w:rsidRPr="00F149E1">
        <w:t xml:space="preserve"> </w:t>
      </w:r>
      <w:r>
        <w:t>c</w:t>
      </w:r>
      <w:r w:rsidRPr="002E058E">
        <w:t>ompared to costs</w:t>
      </w:r>
      <w:r>
        <w:t xml:space="preserve">. The approach taken to produce indicative estimates is outlined here. </w:t>
      </w:r>
    </w:p>
    <w:p w14:paraId="253D14C2" w14:textId="77777777" w:rsidR="00D94B88" w:rsidRDefault="00D94B88">
      <w:pPr>
        <w:pStyle w:val="Heading4"/>
      </w:pPr>
      <w:r>
        <w:t>Our approach</w:t>
      </w:r>
    </w:p>
    <w:p w14:paraId="33520B74" w14:textId="77777777" w:rsidR="00D94B88" w:rsidRPr="005E3ACE" w:rsidRDefault="00D94B88">
      <w:pPr>
        <w:pStyle w:val="BodyText"/>
        <w:rPr>
          <w:spacing w:val="-4"/>
        </w:rPr>
      </w:pPr>
      <w:r w:rsidRPr="005E3ACE">
        <w:rPr>
          <w:spacing w:val="-4"/>
        </w:rPr>
        <w:t xml:space="preserve">Estimating benefits of the proposed framework requires assumptions about the types of interventions, the amount and timing of investment, the expected benefits and the timeframe over which those benefits are realised. </w:t>
      </w:r>
    </w:p>
    <w:p w14:paraId="6D8E24B9" w14:textId="479E54F4" w:rsidR="00D94B88" w:rsidRDefault="00D94B88">
      <w:pPr>
        <w:pStyle w:val="Heading5"/>
      </w:pPr>
      <w:r>
        <w:t>Washington State Institute for Public Policy</w:t>
      </w:r>
    </w:p>
    <w:p w14:paraId="0123C745" w14:textId="187B76EF" w:rsidR="00D94B88" w:rsidRPr="005E3ACE" w:rsidRDefault="00D94B88">
      <w:pPr>
        <w:pStyle w:val="BodyText"/>
        <w:rPr>
          <w:rFonts w:cs="Arial"/>
          <w:spacing w:val="-2"/>
        </w:rPr>
      </w:pPr>
      <w:r w:rsidRPr="005E3ACE">
        <w:rPr>
          <w:spacing w:val="-2"/>
        </w:rPr>
        <w:t xml:space="preserve">To produce illustrative estimates of the potential benefits of a framework to support government investment in prevention and early intervention, we drew upon program evaluation data from the Washington State Institute for Public Policy (WSIPP) </w:t>
      </w:r>
      <w:r w:rsidRPr="005E3ACE">
        <w:rPr>
          <w:rFonts w:cs="Arial"/>
          <w:spacing w:val="-2"/>
        </w:rPr>
        <w:t>(WSIPP 2024a)</w:t>
      </w:r>
      <w:r w:rsidRPr="005E3ACE">
        <w:rPr>
          <w:spacing w:val="-2"/>
        </w:rPr>
        <w:t xml:space="preserve">. The WSIPP cost–benefit model provides estimates of the value of implementing programs across a range of areas including health, education and justice, and allows comparison of the monetised benefits of improved outcomes with the associated program costs </w:t>
      </w:r>
      <w:r w:rsidRPr="005E3ACE">
        <w:rPr>
          <w:rFonts w:cs="Arial"/>
          <w:spacing w:val="-2"/>
        </w:rPr>
        <w:t>(WSIPP 2024b)</w:t>
      </w:r>
      <w:r w:rsidRPr="005E3ACE">
        <w:rPr>
          <w:spacing w:val="-2"/>
        </w:rPr>
        <w:t>.</w:t>
      </w:r>
    </w:p>
    <w:p w14:paraId="54A0517F" w14:textId="77777777" w:rsidR="00D94B88" w:rsidRDefault="00D94B88">
      <w:pPr>
        <w:pStyle w:val="BodyText"/>
      </w:pPr>
      <w:r w:rsidRPr="002C0EE8">
        <w:t xml:space="preserve">Monetised </w:t>
      </w:r>
      <w:r>
        <w:t>‘flow</w:t>
      </w:r>
      <w:r>
        <w:noBreakHyphen/>
        <w:t xml:space="preserve">on’ </w:t>
      </w:r>
      <w:r w:rsidRPr="002C0EE8">
        <w:t xml:space="preserve">benefits include </w:t>
      </w:r>
      <w:r>
        <w:t>increased</w:t>
      </w:r>
      <w:r w:rsidRPr="002C0EE8">
        <w:t xml:space="preserve"> labour market earnings, </w:t>
      </w:r>
      <w:r>
        <w:t xml:space="preserve">lower costs (in areas such as </w:t>
      </w:r>
      <w:r w:rsidRPr="002C0EE8">
        <w:t>healthcare</w:t>
      </w:r>
      <w:r>
        <w:t xml:space="preserve">, justice, social assistance and education), </w:t>
      </w:r>
      <w:r w:rsidRPr="002C0EE8">
        <w:t xml:space="preserve">reduced mortality risk, and </w:t>
      </w:r>
      <w:r>
        <w:t xml:space="preserve">smaller </w:t>
      </w:r>
      <w:r w:rsidRPr="002C0EE8">
        <w:t>deadweight losses from market inefficiencies.</w:t>
      </w:r>
      <w:r>
        <w:t xml:space="preserve"> The </w:t>
      </w:r>
      <w:r w:rsidRPr="00FE5C64">
        <w:t xml:space="preserve">WSIPP </w:t>
      </w:r>
      <w:r>
        <w:t xml:space="preserve">provides </w:t>
      </w:r>
      <w:r w:rsidRPr="00FE5C64">
        <w:t xml:space="preserve">estimates </w:t>
      </w:r>
      <w:r>
        <w:t xml:space="preserve">of </w:t>
      </w:r>
      <w:r w:rsidRPr="00FE5C64">
        <w:t xml:space="preserve">these </w:t>
      </w:r>
      <w:r>
        <w:t xml:space="preserve">costs and </w:t>
      </w:r>
      <w:r w:rsidRPr="00FE5C64">
        <w:t xml:space="preserve">benefits over time and across different stakeholders, including </w:t>
      </w:r>
      <w:r>
        <w:t>individuals</w:t>
      </w:r>
      <w:r w:rsidRPr="00FE5C64">
        <w:t>, taxpayers, and the broader community.</w:t>
      </w:r>
    </w:p>
    <w:p w14:paraId="25634E28" w14:textId="77777777" w:rsidR="00D94B88" w:rsidRDefault="00D94B88">
      <w:pPr>
        <w:pStyle w:val="BodyText"/>
      </w:pPr>
      <w:r>
        <w:lastRenderedPageBreak/>
        <w:t xml:space="preserve">The analysis in this appendix uses a narrow definition of benefits, focusing on potential returns to the taxpayer. Given that the programs in the WSIPP data are from the United States, results are only illustrative of possible returns in the Australian context. </w:t>
      </w:r>
    </w:p>
    <w:p w14:paraId="6DBA0B60" w14:textId="3D27C4DF" w:rsidR="00D94B88" w:rsidRPr="00551148" w:rsidRDefault="00D94B88">
      <w:pPr>
        <w:pStyle w:val="BodyText"/>
        <w:rPr>
          <w:spacing w:val="-4"/>
        </w:rPr>
      </w:pPr>
      <w:r w:rsidRPr="00551148">
        <w:rPr>
          <w:spacing w:val="-4"/>
        </w:rPr>
        <w:t xml:space="preserve">The WSIPP dataset includes cost–benefit results from a range of portfolio areas and with differing levels of </w:t>
      </w:r>
      <w:r w:rsidRPr="00551148">
        <w:rPr>
          <w:spacing w:val="-6"/>
        </w:rPr>
        <w:t>success. To develop a representative bundle of potential investments, a subsample of health, justice, child welfare,</w:t>
      </w:r>
      <w:r w:rsidRPr="00551148">
        <w:rPr>
          <w:spacing w:val="-4"/>
        </w:rPr>
        <w:t xml:space="preserve"> substance abuse, and mental health programs were used. After removing extreme outliers, cost–benefit data remained for 301 programs. Of these, around 30% are expected to result in taxpayer benefits that are greater than the initial expenditure over the long</w:t>
      </w:r>
      <w:r w:rsidRPr="00551148">
        <w:rPr>
          <w:spacing w:val="-4"/>
        </w:rPr>
        <w:noBreakHyphen/>
        <w:t>term (they have a benefit–cost ratio greater than one) (figure B.1).</w:t>
      </w:r>
    </w:p>
    <w:p w14:paraId="15536095" w14:textId="77777777" w:rsidR="00D94B88" w:rsidRPr="005E3ACE" w:rsidRDefault="00D94B88">
      <w:pPr>
        <w:pStyle w:val="FigureTableHeading"/>
        <w:rPr>
          <w:spacing w:val="-4"/>
        </w:rPr>
      </w:pPr>
      <w:r w:rsidRPr="005E3ACE">
        <w:rPr>
          <w:spacing w:val="-4"/>
        </w:rPr>
        <w:t>Figure B.1</w:t>
      </w:r>
      <w:r w:rsidRPr="005E3ACE">
        <w:rPr>
          <w:noProof/>
          <w:spacing w:val="-4"/>
        </w:rPr>
        <w:t xml:space="preserve"> </w:t>
      </w:r>
      <w:r w:rsidRPr="005E3ACE">
        <w:rPr>
          <w:spacing w:val="-4"/>
        </w:rPr>
        <w:t>– Benefits to taxpayer from prevention and early intervention vary by policy area</w:t>
      </w:r>
    </w:p>
    <w:p w14:paraId="3AACED99" w14:textId="77777777" w:rsidR="00D94B88" w:rsidRDefault="00D94B88">
      <w:pPr>
        <w:pStyle w:val="FigureTableSubheading"/>
        <w:keepLines/>
      </w:pPr>
      <w:r>
        <w:t>Benefit–cost ratio after ten years</w:t>
      </w:r>
    </w:p>
    <w:p w14:paraId="1723ECA3" w14:textId="640D2C1E" w:rsidR="00D94B88" w:rsidRPr="005E3ACE" w:rsidRDefault="00615829" w:rsidP="00B4297B">
      <w:pPr>
        <w:pStyle w:val="BodyText"/>
        <w:spacing w:before="0" w:after="0"/>
      </w:pPr>
      <w:r w:rsidRPr="00615829">
        <w:rPr>
          <w:noProof/>
        </w:rPr>
        <w:drawing>
          <wp:inline distT="0" distB="0" distL="0" distR="0" wp14:anchorId="51285047" wp14:editId="2CA29744">
            <wp:extent cx="6120130" cy="2856865"/>
            <wp:effectExtent l="0" t="0" r="0" b="0"/>
            <wp:docPr id="1684021606" name="Picture 7" descr="This scatter plot shows the benefit–cost ratios (BCRs) after ten years for a large number of evaluated programs across five areas: substance use disorders, justice, mental health, child welfare, and health prevention or early intervention. Each point represents a program, with grey points indicating programs whose BCR remains below 1 after twenty years and blue points indicating programs whose BCR exceeds 1 by year 20. Most programs cluster around BCRs between 0 and 2, though some have much higher returns. The distribution varies across domains, and the chart highlights that many programs with low or negative ten-year BCRs still become cost-effective over a twenty-year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21606" name="Picture 7" descr="This scatter plot shows the benefit–cost ratios (BCRs) after ten years for a large number of evaluated programs across five areas: substance use disorders, justice, mental health, child welfare, and health prevention or early intervention. Each point represents a program, with grey points indicating programs whose BCR remains below 1 after twenty years and blue points indicating programs whose BCR exceeds 1 by year 20. Most programs cluster around BCRs between 0 and 2, though some have much higher returns. The distribution varies across domains, and the chart highlights that many programs with low or negative ten-year BCRs still become cost-effective over a twenty-year horiz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0130" cy="2856865"/>
                    </a:xfrm>
                    <a:prstGeom prst="rect">
                      <a:avLst/>
                    </a:prstGeom>
                    <a:noFill/>
                    <a:ln>
                      <a:noFill/>
                    </a:ln>
                  </pic:spPr>
                </pic:pic>
              </a:graphicData>
            </a:graphic>
          </wp:inline>
        </w:drawing>
      </w:r>
    </w:p>
    <w:p w14:paraId="5839EBD3" w14:textId="073D88E5" w:rsidR="00D94B88" w:rsidRDefault="00D94B88">
      <w:pPr>
        <w:pStyle w:val="Source"/>
      </w:pPr>
      <w:r w:rsidRPr="00696447">
        <w:t xml:space="preserve">Source: </w:t>
      </w:r>
      <w:r>
        <w:t xml:space="preserve">PC estimates using Washington State Institute for Public Policy cost–benefit data </w:t>
      </w:r>
      <w:r w:rsidRPr="00576E4F">
        <w:rPr>
          <w:rFonts w:ascii="Arial" w:hAnsi="Arial" w:cs="Arial"/>
        </w:rPr>
        <w:t>(WSIPP 2024a)</w:t>
      </w:r>
      <w:r w:rsidRPr="00696447">
        <w:t>.</w:t>
      </w:r>
    </w:p>
    <w:p w14:paraId="4118E9D9" w14:textId="6EC38A55" w:rsidR="00D94B88" w:rsidRPr="00551148" w:rsidRDefault="00D94B88">
      <w:pPr>
        <w:pStyle w:val="BodyText"/>
        <w:rPr>
          <w:spacing w:val="-4"/>
        </w:rPr>
      </w:pPr>
      <w:bookmarkStart w:id="102" w:name="_Hlk214530047"/>
      <w:r w:rsidRPr="00551148">
        <w:rPr>
          <w:spacing w:val="-4"/>
        </w:rPr>
        <w:t xml:space="preserve">Potential benefits to the taxpayer from implementation of a National Prevention and Early Intervention Framework were estimated using WSIPP program data, on the assumption that funding would be invested in programs that deliver returns to government greater than their initial cost after </w:t>
      </w:r>
      <w:r w:rsidRPr="00551148" w:rsidDel="007A1704">
        <w:rPr>
          <w:spacing w:val="-4"/>
        </w:rPr>
        <w:t>20</w:t>
      </w:r>
      <w:r w:rsidRPr="00551148">
        <w:rPr>
          <w:spacing w:val="-4"/>
        </w:rPr>
        <w:t xml:space="preserve"> years. This would represent a portfolio of investments, that would likely have a range of returns. Overall, the portfolio would likely have a positive return to the taxpayer over the long term.</w:t>
      </w:r>
      <w:r w:rsidRPr="00551148" w:rsidDel="002F7995">
        <w:rPr>
          <w:spacing w:val="-4"/>
        </w:rPr>
        <w:t xml:space="preserve"> </w:t>
      </w:r>
      <w:r w:rsidRPr="00551148">
        <w:rPr>
          <w:spacing w:val="-4"/>
        </w:rPr>
        <w:t xml:space="preserve">The assumed return used in estimating possible benefits for the framework is the unweighted mean benefit–cost ratio of these programs in each year after implementation. The mean benefit–cost ratio is shown with different discount rates applied to future benefits in figure B.2. </w:t>
      </w:r>
    </w:p>
    <w:p w14:paraId="73D00EC2" w14:textId="77777777" w:rsidR="00D94B88" w:rsidRDefault="00D94B88">
      <w:pPr>
        <w:pStyle w:val="Heading4"/>
      </w:pPr>
      <w:r>
        <w:t>Indicative benefits</w:t>
      </w:r>
    </w:p>
    <w:p w14:paraId="0FD31C05" w14:textId="7CB8036F" w:rsidR="00D94B88" w:rsidRDefault="00D94B88">
      <w:pPr>
        <w:pStyle w:val="BodyText"/>
      </w:pPr>
      <w:r>
        <w:t xml:space="preserve">Returns to government gradually increase over time following the initial investment. Avoided costs to government would be expected to surpass initial investment after five years, and after ten years the expected </w:t>
      </w:r>
      <w:r w:rsidR="00E87692">
        <w:t xml:space="preserve">fiscal </w:t>
      </w:r>
      <w:r>
        <w:t>benefits could be around 2.</w:t>
      </w:r>
      <w:r w:rsidR="005762D6">
        <w:t xml:space="preserve">09 </w:t>
      </w:r>
      <w:r>
        <w:t>times the initial investment.</w:t>
      </w:r>
    </w:p>
    <w:p w14:paraId="30E6A2E4" w14:textId="77777777" w:rsidR="00D94B88" w:rsidRDefault="00D94B88">
      <w:pPr>
        <w:pStyle w:val="BodyText"/>
      </w:pPr>
      <w:r>
        <w:t>An investment of $1.5 billion over five years could</w:t>
      </w:r>
      <w:r w:rsidRPr="00B63EF3">
        <w:t xml:space="preserve"> </w:t>
      </w:r>
      <w:r>
        <w:t xml:space="preserve">save governments </w:t>
      </w:r>
      <w:r w:rsidRPr="00B63EF3">
        <w:t>around $</w:t>
      </w:r>
      <w:r>
        <w:t>2</w:t>
      </w:r>
      <w:r w:rsidRPr="00ED1218">
        <w:t>.</w:t>
      </w:r>
      <w:r>
        <w:t>7</w:t>
      </w:r>
      <w:r w:rsidRPr="00B63EF3">
        <w:t xml:space="preserve"> billion</w:t>
      </w:r>
      <w:r>
        <w:t xml:space="preserve"> over the ten years after the initial investment. The net present value of the potential savings would be about $1.9 billion in current dollars. This is calculated on the assumption that $300 million would be spent in each of those five years. Estimated savings would be to the taxpayer only</w:t>
      </w:r>
      <w:r w:rsidDel="00086C81">
        <w:t xml:space="preserve"> and do not include private benefits. </w:t>
      </w:r>
    </w:p>
    <w:p w14:paraId="1B03CBB6" w14:textId="77777777" w:rsidR="00D94B88" w:rsidRDefault="00D94B88">
      <w:pPr>
        <w:pStyle w:val="BodyText"/>
      </w:pPr>
      <w:r>
        <w:lastRenderedPageBreak/>
        <w:t xml:space="preserve">Private and community benefits that result from included programs were also estimated but are not the focus of this analysis. These additional benefits include expected </w:t>
      </w:r>
      <w:r w:rsidRPr="00271A02">
        <w:t>increases in earnings</w:t>
      </w:r>
      <w:r>
        <w:t>, changes in physical and mental health and other improvements in wellbeing. Including broader benefits as well as those to the taxpayer suggests the total value of benefits expected over ten years to be $7.7 billion, with a net present value of $5.4 billion.</w:t>
      </w:r>
      <w:bookmarkEnd w:id="102"/>
      <w:r>
        <w:t xml:space="preserve"> These benefits will continue to accrue over time. </w:t>
      </w:r>
    </w:p>
    <w:p w14:paraId="7BAAD882" w14:textId="77777777" w:rsidR="00D94B88" w:rsidRDefault="00D94B88">
      <w:pPr>
        <w:pStyle w:val="BodyText"/>
      </w:pPr>
      <w:r w:rsidRPr="005E5A84">
        <w:rPr>
          <w:rStyle w:val="Heading4Char"/>
        </w:rPr>
        <w:t>Discount rates</w:t>
      </w:r>
    </w:p>
    <w:p w14:paraId="6440F9CC" w14:textId="1D31C006" w:rsidR="00D94B88" w:rsidRDefault="00D94B88">
      <w:pPr>
        <w:pStyle w:val="BodyText"/>
      </w:pPr>
      <w:r>
        <w:t>The rate at which any future savings are discounted will affect the present value of those expected savings. While the WSIPP applies a discount rate of 3.5% to future benefits, this discount was removed and a 7% discount rate on future benefits was applied, as advised by the Office of Impact Analysis</w:t>
      </w:r>
      <w:r w:rsidDel="005D4C2E">
        <w:t xml:space="preserve"> </w:t>
      </w:r>
      <w:r w:rsidRPr="0046442D">
        <w:rPr>
          <w:rFonts w:ascii="Arial" w:hAnsi="Arial" w:cs="Arial"/>
        </w:rPr>
        <w:t>(2023)</w:t>
      </w:r>
      <w:r>
        <w:t xml:space="preserve">. </w:t>
      </w:r>
    </w:p>
    <w:p w14:paraId="2BBBE9A4" w14:textId="5A06D8D5" w:rsidR="00D94B88" w:rsidRDefault="00D94B88">
      <w:pPr>
        <w:pStyle w:val="BodyText"/>
      </w:pPr>
      <w:proofErr w:type="gramStart"/>
      <w:r>
        <w:t>A number of</w:t>
      </w:r>
      <w:proofErr w:type="gramEnd"/>
      <w:r>
        <w:t xml:space="preserve"> submissions recognised that the choice of discount rates used in cost–benefit analysis has the potential to limit government investment in prevention.</w:t>
      </w:r>
      <w:r w:rsidRPr="002B0A03">
        <w:rPr>
          <w:rStyle w:val="FootnoteReference"/>
        </w:rPr>
        <w:footnoteReference w:id="41"/>
      </w:r>
      <w:r>
        <w:t xml:space="preserve"> For example: </w:t>
      </w:r>
    </w:p>
    <w:p w14:paraId="62FF0CF2" w14:textId="77777777" w:rsidR="00D94B88" w:rsidRPr="00551148" w:rsidRDefault="00D94B88">
      <w:pPr>
        <w:pStyle w:val="Quote"/>
        <w:rPr>
          <w:spacing w:val="-4"/>
        </w:rPr>
      </w:pPr>
      <w:r w:rsidRPr="00551148">
        <w:rPr>
          <w:spacing w:val="-4"/>
        </w:rPr>
        <w:t>[discounting] can be problematic in health economic models evaluating the long</w:t>
      </w:r>
      <w:r w:rsidRPr="00551148">
        <w:rPr>
          <w:spacing w:val="-4"/>
        </w:rPr>
        <w:noBreakHyphen/>
        <w:t xml:space="preserve">term outcomes of prevention where costs are predominantly upfront and benefits take long periods to eventuate. In these models … discounting can have a significant impact, </w:t>
      </w:r>
      <w:proofErr w:type="gramStart"/>
      <w:r w:rsidRPr="00551148">
        <w:rPr>
          <w:spacing w:val="-4"/>
        </w:rPr>
        <w:t>generating</w:t>
      </w:r>
      <w:proofErr w:type="gramEnd"/>
      <w:r w:rsidRPr="00551148">
        <w:rPr>
          <w:spacing w:val="-4"/>
        </w:rPr>
        <w:t xml:space="preserve"> uncertainty, and potentially making prevention appear less cost</w:t>
      </w:r>
      <w:r w:rsidRPr="00551148">
        <w:rPr>
          <w:spacing w:val="-4"/>
        </w:rPr>
        <w:noBreakHyphen/>
        <w:t>effective compared to interventions with short</w:t>
      </w:r>
      <w:r w:rsidRPr="00551148">
        <w:rPr>
          <w:spacing w:val="-4"/>
        </w:rPr>
        <w:noBreakHyphen/>
        <w:t>term effects. (HEPER Group, Faculty of Pharmacy and Pharmaceutical Sciences, Monash University, sub. 174, p. 3)</w:t>
      </w:r>
    </w:p>
    <w:p w14:paraId="6DA08DFB" w14:textId="77777777" w:rsidR="00D94B88" w:rsidRDefault="00D94B88">
      <w:pPr>
        <w:pStyle w:val="Quote"/>
      </w:pPr>
      <w:r>
        <w:t xml:space="preserve">We encourage </w:t>
      </w:r>
      <w:r w:rsidRPr="00CE0268">
        <w:t>any future framework that is developed to assess the economic credentials of preventive interventions by carefully considering which discount rates should be adopted in the base case and sensitivity analyses used to assess the impact of varying these. PBAC and MSAC currently use 5%, however other jurisdictions internationally use lower rates.</w:t>
      </w:r>
      <w:r>
        <w:t xml:space="preserve"> (HEG, sub. 243, p. 5)</w:t>
      </w:r>
    </w:p>
    <w:p w14:paraId="4373CFDE" w14:textId="77777777" w:rsidR="00D94B88" w:rsidRPr="003C7AE5" w:rsidRDefault="00D94B88">
      <w:pPr>
        <w:pStyle w:val="BodyText"/>
      </w:pPr>
      <w:r>
        <w:t>The choice of discount rate has a substantial impact on estimates of potential benefits of all government programs (figure B.2). Higher discount rates</w:t>
      </w:r>
      <w:r w:rsidDel="00074528">
        <w:t xml:space="preserve"> </w:t>
      </w:r>
      <w:r>
        <w:t>make investments delivering benefits in shorter amounts of time more attractive, and those that result in benefits further in the future are accorded less value</w:t>
      </w:r>
      <w:r w:rsidDel="00074528">
        <w:t>.</w:t>
      </w:r>
      <w:r>
        <w:t xml:space="preserve"> When using the 7% discount rate advised by the Office of Impact Analysis rather than the lower 3% rate it suggests for sensitivity analyses, the potential benefits of a preventive framework are estimated as being 25% less after 20 years, and 33% less after 30 years.</w:t>
      </w:r>
    </w:p>
    <w:p w14:paraId="4CFA50E3" w14:textId="77777777" w:rsidR="00D94B88" w:rsidRDefault="00D94B88">
      <w:pPr>
        <w:pStyle w:val="FigureTableHeading"/>
      </w:pPr>
      <w:r>
        <w:lastRenderedPageBreak/>
        <w:t>Figure B.2 – Discount rates have a substantial impact on estimates of taxpayer benefits</w:t>
      </w:r>
    </w:p>
    <w:p w14:paraId="39FDFB1E" w14:textId="77777777" w:rsidR="00D94B88" w:rsidRDefault="00D94B88">
      <w:pPr>
        <w:pStyle w:val="FigureTableSubheading"/>
      </w:pPr>
      <w:r>
        <w:t>Average benefit–cost ratio by discount rate over time</w:t>
      </w:r>
    </w:p>
    <w:p w14:paraId="5F9781E4" w14:textId="1DE3201F" w:rsidR="00D94B88" w:rsidRDefault="00556F66" w:rsidP="00B4297B">
      <w:pPr>
        <w:pStyle w:val="BodyText"/>
        <w:spacing w:before="0" w:after="0"/>
      </w:pPr>
      <w:r w:rsidRPr="00556F66">
        <w:rPr>
          <w:noProof/>
        </w:rPr>
        <w:drawing>
          <wp:inline distT="0" distB="0" distL="0" distR="0" wp14:anchorId="6333B92A" wp14:editId="2D518997">
            <wp:extent cx="6120130" cy="2417197"/>
            <wp:effectExtent l="0" t="0" r="0" b="0"/>
            <wp:docPr id="1506081596" name="Picture 15" descr="This line chart shows how the average benefit–cost ratio of an intervention increases over time under three different discount rates: 3%, 7%, and 10%. All three lines rise over time, indicating that benefits accumulate, but they diverge because of differences in the way future benefits are valued. The 3% line grows the fastest, reaching a benefit–cost ratio of about 3.0 after 20 years, while the 7% line rises more slowly to 2.2, and the 10% line increases more gradually to around 1.8. The chart illustrates that higher discount rates significantly reduce the estimated long-term benefits of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81596" name="Picture 15" descr="This line chart shows how the average benefit–cost ratio of an intervention increases over time under three different discount rates: 3%, 7%, and 10%. All three lines rise over time, indicating that benefits accumulate, but they diverge because of differences in the way future benefits are valued. The 3% line grows the fastest, reaching a benefit–cost ratio of about 3.0 after 20 years, while the 7% line rises more slowly to 2.2, and the 10% line increases more gradually to around 1.8. The chart illustrates that higher discount rates significantly reduce the estimated long-term benefits of programs."/>
                    <pic:cNvPicPr>
                      <a:picLocks noChangeAspect="1" noChangeArrowheads="1"/>
                    </pic:cNvPicPr>
                  </pic:nvPicPr>
                  <pic:blipFill rotWithShape="1">
                    <a:blip r:embed="rId100">
                      <a:extLst>
                        <a:ext uri="{28A0092B-C50C-407E-A947-70E740481C1C}">
                          <a14:useLocalDpi xmlns:a14="http://schemas.microsoft.com/office/drawing/2010/main" val="0"/>
                        </a:ext>
                      </a:extLst>
                    </a:blip>
                    <a:srcRect b="11843"/>
                    <a:stretch>
                      <a:fillRect/>
                    </a:stretch>
                  </pic:blipFill>
                  <pic:spPr bwMode="auto">
                    <a:xfrm>
                      <a:off x="0" y="0"/>
                      <a:ext cx="6120130" cy="2417197"/>
                    </a:xfrm>
                    <a:prstGeom prst="rect">
                      <a:avLst/>
                    </a:prstGeom>
                    <a:noFill/>
                    <a:ln>
                      <a:noFill/>
                    </a:ln>
                    <a:extLst>
                      <a:ext uri="{53640926-AAD7-44D8-BBD7-CCE9431645EC}">
                        <a14:shadowObscured xmlns:a14="http://schemas.microsoft.com/office/drawing/2010/main"/>
                      </a:ext>
                    </a:extLst>
                  </pic:spPr>
                </pic:pic>
              </a:graphicData>
            </a:graphic>
          </wp:inline>
        </w:drawing>
      </w:r>
    </w:p>
    <w:p w14:paraId="525EF96B" w14:textId="198FF760" w:rsidR="00D94B88" w:rsidRPr="00BB5C22" w:rsidRDefault="00D94B88">
      <w:pPr>
        <w:pStyle w:val="Source"/>
      </w:pPr>
      <w:r w:rsidRPr="00696447">
        <w:t xml:space="preserve">Source: </w:t>
      </w:r>
      <w:r>
        <w:t xml:space="preserve">PC estimates using Washington State Institute for Public Policy cost–benefit data </w:t>
      </w:r>
      <w:r w:rsidRPr="00576E4F">
        <w:rPr>
          <w:rFonts w:ascii="Arial" w:hAnsi="Arial" w:cs="Arial"/>
        </w:rPr>
        <w:t>(WSIPP 2024a)</w:t>
      </w:r>
      <w:r w:rsidRPr="00696447">
        <w:t>.</w:t>
      </w:r>
    </w:p>
    <w:p w14:paraId="79EDD22D" w14:textId="77777777" w:rsidR="005A697A" w:rsidRDefault="005A697A">
      <w:pPr>
        <w:pStyle w:val="BodyText"/>
      </w:pPr>
    </w:p>
    <w:p w14:paraId="41D87555" w14:textId="77777777" w:rsidR="00A62A04" w:rsidRDefault="00A62A04" w:rsidP="00A4030B">
      <w:pPr>
        <w:pStyle w:val="DraftingNote"/>
        <w:rPr>
          <w:noProof/>
        </w:rPr>
        <w:sectPr w:rsidR="00A62A04" w:rsidSect="00754826">
          <w:headerReference w:type="even" r:id="rId101"/>
          <w:headerReference w:type="default" r:id="rId102"/>
          <w:type w:val="oddPage"/>
          <w:pgSz w:w="11906" w:h="16838" w:code="9"/>
          <w:pgMar w:top="1134" w:right="1134" w:bottom="1134" w:left="1134" w:header="794" w:footer="510" w:gutter="0"/>
          <w:cols w:space="708"/>
          <w:docGrid w:linePitch="360"/>
        </w:sectPr>
      </w:pPr>
    </w:p>
    <w:p w14:paraId="4AA33D20" w14:textId="77777777" w:rsidR="0024398E" w:rsidRPr="00610627" w:rsidRDefault="0024398E" w:rsidP="0024398E">
      <w:pPr>
        <w:pStyle w:val="Heading1-nobackground"/>
      </w:pPr>
      <w:bookmarkStart w:id="103" w:name="_Toc78901540"/>
      <w:bookmarkStart w:id="104" w:name="_Toc215671176"/>
      <w:bookmarkStart w:id="105" w:name="_Toc215838142"/>
      <w:bookmarkStart w:id="106" w:name="_Toc215671179"/>
      <w:r w:rsidRPr="00610627">
        <w:lastRenderedPageBreak/>
        <w:t>Abbreviations</w:t>
      </w:r>
      <w:bookmarkEnd w:id="103"/>
      <w:bookmarkEnd w:id="104"/>
      <w:bookmarkEnd w:id="105"/>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7653"/>
      </w:tblGrid>
      <w:tr w:rsidR="0024398E" w:rsidRPr="00365AA6" w14:paraId="00BC1A8A" w14:textId="77777777" w:rsidTr="0016090D">
        <w:tc>
          <w:tcPr>
            <w:tcW w:w="1030" w:type="pct"/>
            <w:tcBorders>
              <w:top w:val="single" w:sz="4" w:space="0" w:color="B3B3B3"/>
              <w:bottom w:val="nil"/>
            </w:tcBorders>
            <w:shd w:val="clear" w:color="auto" w:fill="E6E6E6"/>
          </w:tcPr>
          <w:p w14:paraId="736CDCB3" w14:textId="77777777" w:rsidR="0024398E" w:rsidRPr="00365AA6" w:rsidRDefault="0024398E" w:rsidP="00A278B4">
            <w:pPr>
              <w:pStyle w:val="TableBody"/>
              <w:spacing w:before="45" w:after="45"/>
              <w:ind w:right="108"/>
              <w:rPr>
                <w:rFonts w:ascii="Arial (Body)" w:hAnsi="Arial (Body)"/>
                <w:b/>
                <w:bCs/>
                <w:color w:val="265A9A"/>
              </w:rPr>
            </w:pPr>
            <w:r>
              <w:rPr>
                <w:rFonts w:ascii="Arial (Body)" w:hAnsi="Arial (Body)"/>
                <w:b/>
                <w:bCs/>
                <w:color w:val="265A9A"/>
              </w:rPr>
              <w:t>ACCHO</w:t>
            </w:r>
          </w:p>
        </w:tc>
        <w:tc>
          <w:tcPr>
            <w:tcW w:w="3970" w:type="pct"/>
            <w:tcBorders>
              <w:top w:val="single" w:sz="4" w:space="0" w:color="B3B3B3"/>
              <w:bottom w:val="nil"/>
            </w:tcBorders>
            <w:shd w:val="clear" w:color="auto" w:fill="E6E6E6"/>
          </w:tcPr>
          <w:p w14:paraId="325BA455" w14:textId="77777777" w:rsidR="0024398E" w:rsidRDefault="0024398E" w:rsidP="00A278B4">
            <w:pPr>
              <w:pStyle w:val="TableBody"/>
              <w:spacing w:before="45" w:after="45"/>
              <w:ind w:right="108"/>
              <w:rPr>
                <w:rFonts w:ascii="Arial (Body)" w:hAnsi="Arial (Body)"/>
                <w:color w:val="000000"/>
              </w:rPr>
            </w:pPr>
            <w:r>
              <w:rPr>
                <w:rFonts w:ascii="Arial (Body)" w:hAnsi="Arial (Body)"/>
                <w:color w:val="000000"/>
              </w:rPr>
              <w:t>Aboriginal Community Controlled Health Organisation</w:t>
            </w:r>
          </w:p>
        </w:tc>
      </w:tr>
      <w:tr w:rsidR="0024398E" w:rsidRPr="00365AA6" w14:paraId="687E30DC" w14:textId="77777777" w:rsidTr="0016090D">
        <w:tc>
          <w:tcPr>
            <w:tcW w:w="1030" w:type="pct"/>
            <w:tcBorders>
              <w:top w:val="nil"/>
              <w:bottom w:val="nil"/>
            </w:tcBorders>
          </w:tcPr>
          <w:p w14:paraId="4B52C273" w14:textId="77777777" w:rsidR="0024398E" w:rsidRDefault="0024398E" w:rsidP="00A278B4">
            <w:pPr>
              <w:pStyle w:val="TableBody"/>
              <w:spacing w:before="45" w:after="45"/>
              <w:ind w:right="108"/>
              <w:rPr>
                <w:rFonts w:ascii="Arial (Body)" w:hAnsi="Arial (Body)"/>
                <w:b/>
                <w:bCs/>
                <w:color w:val="265A9A"/>
              </w:rPr>
            </w:pPr>
            <w:r>
              <w:rPr>
                <w:rFonts w:ascii="Arial (Body)" w:hAnsi="Arial (Body)"/>
                <w:b/>
                <w:bCs/>
                <w:color w:val="265A9A"/>
              </w:rPr>
              <w:t>ACCO</w:t>
            </w:r>
          </w:p>
        </w:tc>
        <w:tc>
          <w:tcPr>
            <w:tcW w:w="3970" w:type="pct"/>
            <w:tcBorders>
              <w:top w:val="nil"/>
              <w:bottom w:val="nil"/>
            </w:tcBorders>
          </w:tcPr>
          <w:p w14:paraId="40FA96F6" w14:textId="77777777" w:rsidR="0024398E" w:rsidRDefault="0024398E" w:rsidP="00A278B4">
            <w:pPr>
              <w:pStyle w:val="TableBody"/>
              <w:spacing w:before="45" w:after="45"/>
              <w:ind w:right="108"/>
              <w:rPr>
                <w:rFonts w:ascii="Arial (Body)" w:hAnsi="Arial (Body)"/>
                <w:color w:val="000000"/>
              </w:rPr>
            </w:pPr>
            <w:r>
              <w:rPr>
                <w:rFonts w:ascii="Arial (Body)" w:hAnsi="Arial (Body)"/>
                <w:color w:val="000000"/>
              </w:rPr>
              <w:t>Aboriginal Community Controlled Organisation</w:t>
            </w:r>
          </w:p>
        </w:tc>
      </w:tr>
      <w:tr w:rsidR="0024398E" w:rsidRPr="00365AA6" w14:paraId="119A81E1" w14:textId="77777777" w:rsidTr="0016090D">
        <w:tc>
          <w:tcPr>
            <w:tcW w:w="1030" w:type="pct"/>
            <w:tcBorders>
              <w:top w:val="nil"/>
              <w:bottom w:val="nil"/>
            </w:tcBorders>
            <w:shd w:val="clear" w:color="auto" w:fill="E6E6E6"/>
          </w:tcPr>
          <w:p w14:paraId="4C254B6D" w14:textId="77777777" w:rsidR="0024398E" w:rsidRPr="00365AA6" w:rsidRDefault="0024398E" w:rsidP="00A278B4">
            <w:pPr>
              <w:pStyle w:val="TableBody"/>
              <w:spacing w:before="45" w:after="45"/>
              <w:ind w:right="108"/>
              <w:rPr>
                <w:rFonts w:ascii="Arial (Body)" w:hAnsi="Arial (Body)"/>
                <w:b/>
                <w:bCs/>
                <w:color w:val="265A9A"/>
              </w:rPr>
            </w:pPr>
            <w:r w:rsidRPr="00365AA6">
              <w:rPr>
                <w:rFonts w:ascii="Arial (Body)" w:hAnsi="Arial (Body)"/>
                <w:b/>
                <w:bCs/>
                <w:color w:val="265A9A"/>
              </w:rPr>
              <w:t>A</w:t>
            </w:r>
            <w:r>
              <w:rPr>
                <w:rFonts w:ascii="Arial (Body)" w:hAnsi="Arial (Body)"/>
                <w:b/>
                <w:bCs/>
                <w:color w:val="265A9A"/>
              </w:rPr>
              <w:t>CDC</w:t>
            </w:r>
          </w:p>
        </w:tc>
        <w:tc>
          <w:tcPr>
            <w:tcW w:w="3970" w:type="pct"/>
            <w:tcBorders>
              <w:top w:val="nil"/>
              <w:bottom w:val="nil"/>
            </w:tcBorders>
            <w:shd w:val="clear" w:color="auto" w:fill="E6E6E6"/>
          </w:tcPr>
          <w:p w14:paraId="4DCB76D4" w14:textId="77777777" w:rsidR="0024398E" w:rsidRPr="00365AA6" w:rsidRDefault="0024398E" w:rsidP="00A278B4">
            <w:pPr>
              <w:pStyle w:val="TableBody"/>
              <w:spacing w:before="45" w:after="45"/>
              <w:ind w:right="108"/>
              <w:rPr>
                <w:rFonts w:ascii="Arial (Body)" w:hAnsi="Arial (Body)"/>
                <w:color w:val="000000"/>
              </w:rPr>
            </w:pPr>
            <w:r>
              <w:rPr>
                <w:rFonts w:ascii="Arial (Body)" w:hAnsi="Arial (Body)"/>
                <w:color w:val="000000"/>
              </w:rPr>
              <w:t>Australian Centre for Disease Control</w:t>
            </w:r>
          </w:p>
        </w:tc>
      </w:tr>
      <w:tr w:rsidR="0024398E" w:rsidRPr="00365AA6" w14:paraId="6936C176" w14:textId="77777777" w:rsidTr="0016090D">
        <w:tc>
          <w:tcPr>
            <w:tcW w:w="1030" w:type="pct"/>
            <w:tcBorders>
              <w:top w:val="nil"/>
              <w:bottom w:val="nil"/>
            </w:tcBorders>
          </w:tcPr>
          <w:p w14:paraId="6F754690" w14:textId="77777777" w:rsidR="0024398E" w:rsidRPr="00365AA6" w:rsidRDefault="0024398E" w:rsidP="00A278B4">
            <w:pPr>
              <w:pStyle w:val="TableBody"/>
              <w:spacing w:before="45" w:after="45"/>
              <w:ind w:right="108"/>
              <w:rPr>
                <w:rFonts w:ascii="Arial (Body)" w:hAnsi="Arial (Body)"/>
                <w:b/>
                <w:bCs/>
                <w:color w:val="265A9A"/>
              </w:rPr>
            </w:pPr>
            <w:r>
              <w:rPr>
                <w:rFonts w:ascii="Arial (Body)" w:hAnsi="Arial (Body)"/>
                <w:b/>
                <w:bCs/>
                <w:color w:val="265A9A"/>
              </w:rPr>
              <w:t>ACQSC</w:t>
            </w:r>
          </w:p>
        </w:tc>
        <w:tc>
          <w:tcPr>
            <w:tcW w:w="3970" w:type="pct"/>
            <w:tcBorders>
              <w:top w:val="nil"/>
              <w:bottom w:val="nil"/>
            </w:tcBorders>
          </w:tcPr>
          <w:p w14:paraId="0120FA80" w14:textId="77777777" w:rsidR="0024398E" w:rsidRDefault="0024398E" w:rsidP="00A278B4">
            <w:pPr>
              <w:pStyle w:val="TableBody"/>
              <w:spacing w:before="45" w:after="45"/>
              <w:ind w:right="108"/>
              <w:rPr>
                <w:rFonts w:ascii="Arial (Body)" w:hAnsi="Arial (Body)"/>
                <w:color w:val="000000"/>
              </w:rPr>
            </w:pPr>
            <w:r>
              <w:rPr>
                <w:rFonts w:ascii="Arial (Body)" w:hAnsi="Arial (Body)"/>
                <w:color w:val="000000"/>
              </w:rPr>
              <w:t>Aged Care Quality and Safety Commission</w:t>
            </w:r>
          </w:p>
        </w:tc>
      </w:tr>
      <w:tr w:rsidR="0024398E" w:rsidRPr="00365AA6" w14:paraId="03484059" w14:textId="77777777" w:rsidTr="0016090D">
        <w:tc>
          <w:tcPr>
            <w:tcW w:w="1030" w:type="pct"/>
            <w:tcBorders>
              <w:top w:val="nil"/>
              <w:bottom w:val="nil"/>
            </w:tcBorders>
            <w:shd w:val="clear" w:color="auto" w:fill="E6E6E6"/>
          </w:tcPr>
          <w:p w14:paraId="74A8B836" w14:textId="77777777" w:rsidR="0024398E" w:rsidRPr="00365AA6" w:rsidRDefault="0024398E" w:rsidP="00A278B4">
            <w:pPr>
              <w:pStyle w:val="TableBody"/>
              <w:spacing w:before="45" w:after="45"/>
              <w:ind w:right="108"/>
              <w:rPr>
                <w:rFonts w:ascii="Arial (Body)" w:hAnsi="Arial (Body)"/>
                <w:b/>
                <w:bCs/>
                <w:color w:val="265A9A"/>
              </w:rPr>
            </w:pPr>
            <w:r w:rsidRPr="00365AA6">
              <w:rPr>
                <w:rFonts w:ascii="Arial (Body)" w:hAnsi="Arial (Body)"/>
                <w:b/>
                <w:bCs/>
                <w:color w:val="265A9A"/>
              </w:rPr>
              <w:t>A</w:t>
            </w:r>
            <w:r>
              <w:rPr>
                <w:rFonts w:ascii="Arial (Body)" w:hAnsi="Arial (Body)"/>
                <w:b/>
                <w:bCs/>
                <w:color w:val="265A9A"/>
              </w:rPr>
              <w:t>I</w:t>
            </w:r>
          </w:p>
        </w:tc>
        <w:tc>
          <w:tcPr>
            <w:tcW w:w="3970" w:type="pct"/>
            <w:tcBorders>
              <w:top w:val="nil"/>
              <w:bottom w:val="nil"/>
            </w:tcBorders>
            <w:shd w:val="clear" w:color="auto" w:fill="E6E6E6"/>
          </w:tcPr>
          <w:p w14:paraId="07AFEDF3" w14:textId="77777777" w:rsidR="0024398E" w:rsidRPr="00365AA6" w:rsidRDefault="0024398E" w:rsidP="00A278B4">
            <w:pPr>
              <w:pStyle w:val="TableBody"/>
              <w:spacing w:before="45" w:after="45"/>
              <w:ind w:right="108"/>
              <w:rPr>
                <w:rFonts w:ascii="Arial (Body)" w:hAnsi="Arial (Body)"/>
                <w:color w:val="000000"/>
              </w:rPr>
            </w:pPr>
            <w:r>
              <w:rPr>
                <w:rFonts w:ascii="Arial (Body)" w:hAnsi="Arial (Body)"/>
                <w:color w:val="000000"/>
              </w:rPr>
              <w:t>Artificial intelligence</w:t>
            </w:r>
          </w:p>
        </w:tc>
      </w:tr>
      <w:tr w:rsidR="0024398E" w14:paraId="24984652" w14:textId="77777777" w:rsidTr="0016090D">
        <w:trPr>
          <w:trHeight w:val="300"/>
        </w:trPr>
        <w:tc>
          <w:tcPr>
            <w:tcW w:w="1030" w:type="pct"/>
            <w:tcBorders>
              <w:top w:val="nil"/>
              <w:bottom w:val="nil"/>
            </w:tcBorders>
          </w:tcPr>
          <w:p w14:paraId="05D94B3C" w14:textId="77777777" w:rsidR="0024398E" w:rsidRPr="0040594F" w:rsidRDefault="0024398E" w:rsidP="00A278B4">
            <w:pPr>
              <w:pStyle w:val="TableBody"/>
              <w:spacing w:before="45" w:after="45"/>
              <w:ind w:right="108"/>
              <w:rPr>
                <w:rFonts w:ascii="Arial (Body)" w:hAnsi="Arial (Body)"/>
                <w:b/>
                <w:color w:val="265A9A"/>
              </w:rPr>
            </w:pPr>
            <w:r w:rsidRPr="0040594F">
              <w:rPr>
                <w:rFonts w:ascii="Arial (Body)" w:hAnsi="Arial (Body)"/>
                <w:b/>
                <w:color w:val="265A9A"/>
              </w:rPr>
              <w:t>AIHW</w:t>
            </w:r>
          </w:p>
        </w:tc>
        <w:tc>
          <w:tcPr>
            <w:tcW w:w="3970" w:type="pct"/>
            <w:tcBorders>
              <w:top w:val="nil"/>
              <w:bottom w:val="nil"/>
            </w:tcBorders>
          </w:tcPr>
          <w:p w14:paraId="7C27F96A" w14:textId="77777777" w:rsidR="0024398E" w:rsidRPr="00963DBA" w:rsidRDefault="0024398E" w:rsidP="00A278B4">
            <w:pPr>
              <w:pStyle w:val="TableBody"/>
              <w:spacing w:before="45" w:after="45"/>
              <w:ind w:right="108"/>
              <w:rPr>
                <w:rFonts w:ascii="Arial (Body)" w:hAnsi="Arial (Body)"/>
                <w:color w:val="000000"/>
              </w:rPr>
            </w:pPr>
            <w:r w:rsidRPr="00963DBA">
              <w:rPr>
                <w:rFonts w:ascii="Arial (Body)" w:hAnsi="Arial (Body)"/>
                <w:color w:val="000000"/>
              </w:rPr>
              <w:t>Australian Institute of Health and Welfare</w:t>
            </w:r>
          </w:p>
        </w:tc>
      </w:tr>
      <w:tr w:rsidR="0016090D" w14:paraId="15474103" w14:textId="77777777" w:rsidTr="0016090D">
        <w:trPr>
          <w:trHeight w:val="300"/>
        </w:trPr>
        <w:tc>
          <w:tcPr>
            <w:tcW w:w="1030" w:type="pct"/>
            <w:tcBorders>
              <w:top w:val="nil"/>
              <w:bottom w:val="nil"/>
            </w:tcBorders>
            <w:shd w:val="clear" w:color="auto" w:fill="E6E6E6"/>
          </w:tcPr>
          <w:p w14:paraId="2BE50915" w14:textId="161B1F36" w:rsidR="0016090D" w:rsidRPr="0040594F" w:rsidRDefault="0016090D" w:rsidP="00A278B4">
            <w:pPr>
              <w:pStyle w:val="TableBody"/>
              <w:spacing w:before="45" w:after="45"/>
              <w:ind w:right="108"/>
              <w:rPr>
                <w:rFonts w:ascii="Arial (Body)" w:hAnsi="Arial (Body)"/>
                <w:b/>
                <w:color w:val="265A9A"/>
              </w:rPr>
            </w:pPr>
            <w:r w:rsidRPr="0016090D">
              <w:rPr>
                <w:rFonts w:ascii="Arial (Body)" w:hAnsi="Arial (Body)"/>
                <w:b/>
                <w:color w:val="265A9A"/>
              </w:rPr>
              <w:t>BCR</w:t>
            </w:r>
          </w:p>
        </w:tc>
        <w:tc>
          <w:tcPr>
            <w:tcW w:w="3970" w:type="pct"/>
            <w:tcBorders>
              <w:top w:val="nil"/>
              <w:bottom w:val="nil"/>
            </w:tcBorders>
            <w:shd w:val="clear" w:color="auto" w:fill="E6E6E6"/>
          </w:tcPr>
          <w:p w14:paraId="0C9A449F" w14:textId="77E351DB" w:rsidR="0016090D" w:rsidRPr="00963DBA" w:rsidRDefault="0016090D" w:rsidP="00A278B4">
            <w:pPr>
              <w:pStyle w:val="TableBody"/>
              <w:spacing w:before="45" w:after="45"/>
              <w:ind w:right="108"/>
              <w:rPr>
                <w:rFonts w:ascii="Arial (Body)" w:hAnsi="Arial (Body)"/>
                <w:color w:val="000000"/>
              </w:rPr>
            </w:pPr>
            <w:r w:rsidRPr="0016090D">
              <w:rPr>
                <w:rFonts w:ascii="Arial (Body)" w:hAnsi="Arial (Body)"/>
                <w:color w:val="000000"/>
              </w:rPr>
              <w:t>Benefit–cost ratio</w:t>
            </w:r>
          </w:p>
        </w:tc>
      </w:tr>
      <w:tr w:rsidR="0024398E" w14:paraId="5C08EB45" w14:textId="77777777" w:rsidTr="0016090D">
        <w:trPr>
          <w:trHeight w:val="300"/>
        </w:trPr>
        <w:tc>
          <w:tcPr>
            <w:tcW w:w="1030" w:type="pct"/>
            <w:tcBorders>
              <w:top w:val="nil"/>
              <w:bottom w:val="nil"/>
            </w:tcBorders>
          </w:tcPr>
          <w:p w14:paraId="00CE74DC" w14:textId="77777777" w:rsidR="0024398E" w:rsidRPr="0040594F" w:rsidRDefault="0024398E" w:rsidP="00A278B4">
            <w:pPr>
              <w:pStyle w:val="TableBody"/>
              <w:spacing w:before="45" w:after="45"/>
              <w:ind w:right="108"/>
              <w:rPr>
                <w:rFonts w:ascii="Arial (Body)" w:hAnsi="Arial (Body)"/>
                <w:b/>
                <w:color w:val="265A9A"/>
              </w:rPr>
            </w:pPr>
            <w:proofErr w:type="spellStart"/>
            <w:r w:rsidRPr="0040594F">
              <w:rPr>
                <w:rFonts w:ascii="Arial (Body)" w:hAnsi="Arial (Body)"/>
                <w:b/>
                <w:color w:val="265A9A"/>
              </w:rPr>
              <w:t>BiOC</w:t>
            </w:r>
            <w:proofErr w:type="spellEnd"/>
          </w:p>
        </w:tc>
        <w:tc>
          <w:tcPr>
            <w:tcW w:w="3970" w:type="pct"/>
            <w:tcBorders>
              <w:top w:val="nil"/>
              <w:bottom w:val="nil"/>
            </w:tcBorders>
          </w:tcPr>
          <w:p w14:paraId="0B65D0D3" w14:textId="77777777" w:rsidR="0024398E" w:rsidRPr="00963DBA" w:rsidRDefault="0024398E" w:rsidP="00A278B4">
            <w:pPr>
              <w:pStyle w:val="TableBody"/>
              <w:spacing w:before="45" w:after="45"/>
              <w:ind w:right="108"/>
              <w:rPr>
                <w:rFonts w:ascii="Arial (Body)" w:hAnsi="Arial (Body)"/>
                <w:color w:val="000000"/>
              </w:rPr>
            </w:pPr>
            <w:r w:rsidRPr="00963DBA">
              <w:rPr>
                <w:rFonts w:ascii="Arial (Body)" w:hAnsi="Arial (Body)"/>
                <w:color w:val="000000"/>
              </w:rPr>
              <w:t>Birthing in Our Communities</w:t>
            </w:r>
          </w:p>
        </w:tc>
      </w:tr>
      <w:tr w:rsidR="0024398E" w:rsidRPr="00365AA6" w14:paraId="31CBB544" w14:textId="77777777" w:rsidTr="0016090D">
        <w:tc>
          <w:tcPr>
            <w:tcW w:w="1030" w:type="pct"/>
            <w:shd w:val="clear" w:color="auto" w:fill="E6E6E6"/>
          </w:tcPr>
          <w:p w14:paraId="5D369962" w14:textId="77777777" w:rsidR="0024398E" w:rsidRPr="00365AA6" w:rsidRDefault="0024398E" w:rsidP="00A278B4">
            <w:pPr>
              <w:pStyle w:val="TableBody"/>
              <w:spacing w:before="45" w:after="45"/>
              <w:ind w:right="108"/>
              <w:rPr>
                <w:rFonts w:ascii="Arial (Body)" w:hAnsi="Arial (Body)"/>
                <w:b/>
                <w:bCs/>
                <w:color w:val="265A9A"/>
              </w:rPr>
            </w:pPr>
            <w:r w:rsidRPr="0040594F">
              <w:rPr>
                <w:rFonts w:ascii="Arial (Body)" w:hAnsi="Arial (Body)"/>
                <w:b/>
                <w:color w:val="265A9A"/>
              </w:rPr>
              <w:t>COVID-19</w:t>
            </w:r>
          </w:p>
        </w:tc>
        <w:tc>
          <w:tcPr>
            <w:tcW w:w="3970" w:type="pct"/>
            <w:shd w:val="clear" w:color="auto" w:fill="E6E6E6"/>
          </w:tcPr>
          <w:p w14:paraId="12A7288F" w14:textId="77777777" w:rsidR="0024398E" w:rsidRPr="00365AA6" w:rsidRDefault="0024398E" w:rsidP="00A278B4">
            <w:pPr>
              <w:pStyle w:val="TableBody"/>
              <w:spacing w:before="45" w:after="45"/>
              <w:ind w:right="108"/>
              <w:rPr>
                <w:rFonts w:ascii="Arial (Body)" w:hAnsi="Arial (Body)"/>
                <w:color w:val="000000"/>
              </w:rPr>
            </w:pPr>
            <w:r>
              <w:rPr>
                <w:rFonts w:ascii="Arial (Body)" w:hAnsi="Arial (Body)"/>
                <w:color w:val="000000"/>
              </w:rPr>
              <w:t>Coronavirus disease of 2019</w:t>
            </w:r>
          </w:p>
        </w:tc>
      </w:tr>
      <w:tr w:rsidR="0024398E" w:rsidRPr="00365AA6" w14:paraId="357532D8" w14:textId="77777777" w:rsidTr="0016090D">
        <w:tc>
          <w:tcPr>
            <w:tcW w:w="1030" w:type="pct"/>
          </w:tcPr>
          <w:p w14:paraId="6EF5B7D5" w14:textId="77777777" w:rsidR="0024398E" w:rsidRPr="00365AA6" w:rsidRDefault="0024398E" w:rsidP="00A278B4">
            <w:pPr>
              <w:pStyle w:val="TableBody"/>
              <w:spacing w:before="45" w:after="45"/>
              <w:ind w:right="108"/>
              <w:rPr>
                <w:rFonts w:ascii="Arial (Body)" w:hAnsi="Arial (Body)"/>
                <w:b/>
                <w:bCs/>
                <w:color w:val="265A9A"/>
              </w:rPr>
            </w:pPr>
            <w:r>
              <w:rPr>
                <w:rFonts w:ascii="Arial (Body)" w:hAnsi="Arial (Body)"/>
                <w:b/>
                <w:bCs/>
                <w:color w:val="265A9A"/>
              </w:rPr>
              <w:t>DTF</w:t>
            </w:r>
          </w:p>
        </w:tc>
        <w:tc>
          <w:tcPr>
            <w:tcW w:w="3970" w:type="pct"/>
          </w:tcPr>
          <w:p w14:paraId="639A672E" w14:textId="77777777" w:rsidR="0024398E" w:rsidRPr="00365AA6" w:rsidRDefault="0024398E" w:rsidP="00A278B4">
            <w:pPr>
              <w:pStyle w:val="TableBody"/>
              <w:spacing w:before="45" w:after="45"/>
              <w:ind w:right="108"/>
              <w:rPr>
                <w:rFonts w:ascii="Arial (Body)" w:hAnsi="Arial (Body)"/>
                <w:color w:val="000000"/>
              </w:rPr>
            </w:pPr>
            <w:r>
              <w:rPr>
                <w:rFonts w:ascii="Arial (Body)" w:hAnsi="Arial (Body)"/>
                <w:color w:val="000000"/>
              </w:rPr>
              <w:t>The Victorian Department of Treasury and Finance</w:t>
            </w:r>
          </w:p>
        </w:tc>
      </w:tr>
      <w:tr w:rsidR="0024398E" w:rsidRPr="00365AA6" w14:paraId="5E1B0C92" w14:textId="77777777" w:rsidTr="0016090D">
        <w:tc>
          <w:tcPr>
            <w:tcW w:w="1030" w:type="pct"/>
            <w:shd w:val="clear" w:color="auto" w:fill="E6E6E6"/>
          </w:tcPr>
          <w:p w14:paraId="6C2C47DB" w14:textId="77777777" w:rsidR="0024398E" w:rsidRDefault="0024398E" w:rsidP="00A278B4">
            <w:pPr>
              <w:pStyle w:val="TableBody"/>
              <w:spacing w:before="45" w:after="45"/>
              <w:ind w:right="108"/>
              <w:rPr>
                <w:rFonts w:ascii="Arial (Body)" w:hAnsi="Arial (Body)"/>
                <w:b/>
                <w:bCs/>
                <w:color w:val="265A9A"/>
              </w:rPr>
            </w:pPr>
            <w:r>
              <w:rPr>
                <w:rFonts w:ascii="Arial (Body)" w:hAnsi="Arial (Body)"/>
                <w:b/>
                <w:bCs/>
                <w:color w:val="265A9A"/>
              </w:rPr>
              <w:t>DSS</w:t>
            </w:r>
          </w:p>
        </w:tc>
        <w:tc>
          <w:tcPr>
            <w:tcW w:w="3970" w:type="pct"/>
            <w:shd w:val="clear" w:color="auto" w:fill="E6E6E6"/>
          </w:tcPr>
          <w:p w14:paraId="79CD9005" w14:textId="77777777" w:rsidR="0024398E" w:rsidRDefault="0024398E" w:rsidP="00A278B4">
            <w:pPr>
              <w:pStyle w:val="TableBody"/>
              <w:spacing w:before="45" w:after="45"/>
              <w:ind w:right="108"/>
              <w:rPr>
                <w:rFonts w:ascii="Arial (Body)" w:hAnsi="Arial (Body)"/>
                <w:color w:val="000000"/>
              </w:rPr>
            </w:pPr>
            <w:r>
              <w:rPr>
                <w:rFonts w:ascii="Arial (Body)" w:hAnsi="Arial (Body)"/>
                <w:color w:val="000000"/>
              </w:rPr>
              <w:t xml:space="preserve">Department of Social Services </w:t>
            </w:r>
          </w:p>
        </w:tc>
      </w:tr>
      <w:tr w:rsidR="0024398E" w:rsidRPr="00365AA6" w14:paraId="17E77444" w14:textId="77777777" w:rsidTr="0016090D">
        <w:tc>
          <w:tcPr>
            <w:tcW w:w="1030" w:type="pct"/>
          </w:tcPr>
          <w:p w14:paraId="4EBE2783" w14:textId="77777777" w:rsidR="0024398E" w:rsidRPr="00365AA6" w:rsidRDefault="0024398E" w:rsidP="00A278B4">
            <w:pPr>
              <w:pStyle w:val="TableBody"/>
              <w:spacing w:before="45" w:after="45"/>
              <w:ind w:right="108"/>
              <w:rPr>
                <w:rFonts w:ascii="Arial (Body)" w:hAnsi="Arial (Body)"/>
                <w:b/>
                <w:bCs/>
                <w:color w:val="265A9A"/>
              </w:rPr>
            </w:pPr>
            <w:r>
              <w:rPr>
                <w:rFonts w:ascii="Arial (Body)" w:hAnsi="Arial (Body)"/>
                <w:b/>
                <w:bCs/>
                <w:color w:val="265A9A"/>
              </w:rPr>
              <w:t>ECEC</w:t>
            </w:r>
          </w:p>
        </w:tc>
        <w:tc>
          <w:tcPr>
            <w:tcW w:w="3970" w:type="pct"/>
          </w:tcPr>
          <w:p w14:paraId="6FFEAAB2" w14:textId="77777777" w:rsidR="0024398E" w:rsidRPr="00365AA6" w:rsidRDefault="0024398E" w:rsidP="00A278B4">
            <w:pPr>
              <w:pStyle w:val="TableBody"/>
              <w:spacing w:before="45" w:after="45"/>
              <w:ind w:right="108"/>
              <w:rPr>
                <w:rFonts w:ascii="Arial (Body)" w:hAnsi="Arial (Body)"/>
                <w:color w:val="000000"/>
              </w:rPr>
            </w:pPr>
            <w:r>
              <w:rPr>
                <w:rFonts w:ascii="Arial (Body)" w:hAnsi="Arial (Body)"/>
                <w:color w:val="000000"/>
              </w:rPr>
              <w:t>Early childhood education and care</w:t>
            </w:r>
          </w:p>
        </w:tc>
      </w:tr>
      <w:tr w:rsidR="0024398E" w:rsidRPr="00365AA6" w14:paraId="4106CE6D" w14:textId="77777777" w:rsidTr="0016090D">
        <w:tc>
          <w:tcPr>
            <w:tcW w:w="1030" w:type="pct"/>
            <w:shd w:val="clear" w:color="auto" w:fill="E6E6E6"/>
          </w:tcPr>
          <w:p w14:paraId="25640316" w14:textId="77777777" w:rsidR="0024398E" w:rsidRDefault="0024398E" w:rsidP="00A278B4">
            <w:pPr>
              <w:pStyle w:val="TableBody"/>
              <w:spacing w:before="45" w:after="45"/>
              <w:ind w:right="108"/>
              <w:rPr>
                <w:rFonts w:ascii="Arial (Body)" w:hAnsi="Arial (Body)"/>
                <w:b/>
                <w:bCs/>
                <w:color w:val="265A9A"/>
              </w:rPr>
            </w:pPr>
            <w:r>
              <w:rPr>
                <w:rFonts w:ascii="Arial (Body)" w:hAnsi="Arial (Body)"/>
                <w:b/>
                <w:bCs/>
                <w:color w:val="265A9A"/>
              </w:rPr>
              <w:t>ED</w:t>
            </w:r>
          </w:p>
        </w:tc>
        <w:tc>
          <w:tcPr>
            <w:tcW w:w="3970" w:type="pct"/>
            <w:shd w:val="clear" w:color="auto" w:fill="E6E6E6"/>
          </w:tcPr>
          <w:p w14:paraId="08D7272E" w14:textId="77777777" w:rsidR="0024398E" w:rsidRDefault="0024398E" w:rsidP="00A278B4">
            <w:pPr>
              <w:pStyle w:val="TableBody"/>
              <w:spacing w:before="45" w:after="45"/>
              <w:ind w:right="108"/>
              <w:rPr>
                <w:rFonts w:ascii="Arial (Body)" w:hAnsi="Arial (Body)"/>
                <w:color w:val="000000"/>
              </w:rPr>
            </w:pPr>
            <w:r>
              <w:rPr>
                <w:rFonts w:ascii="Arial (Body)" w:hAnsi="Arial (Body)"/>
                <w:color w:val="000000"/>
              </w:rPr>
              <w:t>Emergency department</w:t>
            </w:r>
            <w:r w:rsidDel="00B63F89">
              <w:rPr>
                <w:rFonts w:ascii="Arial (Body)" w:hAnsi="Arial (Body)"/>
                <w:color w:val="000000"/>
              </w:rPr>
              <w:t xml:space="preserve"> </w:t>
            </w:r>
          </w:p>
        </w:tc>
      </w:tr>
      <w:tr w:rsidR="0024398E" w:rsidRPr="00365AA6" w14:paraId="731389F3" w14:textId="77777777" w:rsidTr="0016090D">
        <w:tc>
          <w:tcPr>
            <w:tcW w:w="1030" w:type="pct"/>
          </w:tcPr>
          <w:p w14:paraId="3D2A06B6" w14:textId="77777777" w:rsidR="0024398E" w:rsidRPr="00365AA6" w:rsidRDefault="0024398E" w:rsidP="00A278B4">
            <w:pPr>
              <w:pStyle w:val="TableBody"/>
              <w:spacing w:before="45" w:after="45"/>
              <w:ind w:right="108"/>
              <w:rPr>
                <w:rFonts w:ascii="Arial (Body)" w:hAnsi="Arial (Body)"/>
                <w:b/>
                <w:bCs/>
                <w:color w:val="265A9A"/>
              </w:rPr>
            </w:pPr>
            <w:r>
              <w:rPr>
                <w:rFonts w:ascii="Arial (Body)" w:hAnsi="Arial (Body)"/>
                <w:b/>
                <w:bCs/>
                <w:color w:val="265A9A"/>
              </w:rPr>
              <w:t>EIIF</w:t>
            </w:r>
          </w:p>
        </w:tc>
        <w:tc>
          <w:tcPr>
            <w:tcW w:w="3970" w:type="pct"/>
          </w:tcPr>
          <w:p w14:paraId="1050492A" w14:textId="77777777" w:rsidR="0024398E" w:rsidRPr="00365AA6" w:rsidRDefault="0024398E" w:rsidP="00A278B4">
            <w:pPr>
              <w:pStyle w:val="TableBody"/>
              <w:spacing w:before="45" w:after="45"/>
              <w:ind w:right="108"/>
              <w:rPr>
                <w:rFonts w:ascii="Arial (Body)" w:hAnsi="Arial (Body)"/>
                <w:color w:val="000000"/>
              </w:rPr>
            </w:pPr>
            <w:r>
              <w:rPr>
                <w:rFonts w:ascii="Arial (Body)" w:hAnsi="Arial (Body)"/>
                <w:color w:val="000000"/>
              </w:rPr>
              <w:t>Early Intervention Investment Framework</w:t>
            </w:r>
          </w:p>
        </w:tc>
      </w:tr>
      <w:tr w:rsidR="0024398E" w:rsidRPr="00365AA6" w14:paraId="4A2E8EF9" w14:textId="77777777" w:rsidTr="0016090D">
        <w:tc>
          <w:tcPr>
            <w:tcW w:w="1030" w:type="pct"/>
            <w:shd w:val="clear" w:color="auto" w:fill="E6E6E6"/>
          </w:tcPr>
          <w:p w14:paraId="4FA02A3C" w14:textId="77777777" w:rsidR="0024398E" w:rsidRPr="00365AA6" w:rsidRDefault="0024398E" w:rsidP="00A278B4">
            <w:pPr>
              <w:pStyle w:val="TableBody"/>
              <w:spacing w:before="45" w:after="45"/>
              <w:ind w:right="108"/>
              <w:rPr>
                <w:rFonts w:ascii="Arial (Body)" w:hAnsi="Arial (Body)"/>
                <w:b/>
                <w:bCs/>
                <w:color w:val="265A9A"/>
              </w:rPr>
            </w:pPr>
            <w:r>
              <w:rPr>
                <w:rFonts w:ascii="Arial (Body)" w:hAnsi="Arial (Body)"/>
                <w:b/>
                <w:bCs/>
                <w:color w:val="265A9A"/>
              </w:rPr>
              <w:t>ERC</w:t>
            </w:r>
          </w:p>
        </w:tc>
        <w:tc>
          <w:tcPr>
            <w:tcW w:w="3970" w:type="pct"/>
            <w:shd w:val="clear" w:color="auto" w:fill="E6E6E6"/>
          </w:tcPr>
          <w:p w14:paraId="4E811C7C" w14:textId="77777777" w:rsidR="0024398E" w:rsidRPr="00365AA6" w:rsidRDefault="0024398E" w:rsidP="00A278B4">
            <w:pPr>
              <w:pStyle w:val="TableBody"/>
              <w:spacing w:before="45" w:after="45"/>
              <w:ind w:right="108"/>
              <w:rPr>
                <w:rFonts w:ascii="Arial (Body)" w:hAnsi="Arial (Body)"/>
                <w:color w:val="000000"/>
              </w:rPr>
            </w:pPr>
            <w:r>
              <w:rPr>
                <w:rFonts w:ascii="Arial (Body)" w:hAnsi="Arial (Body)"/>
                <w:color w:val="000000"/>
              </w:rPr>
              <w:t>Expenditure Review Committee (of Cabinet)</w:t>
            </w:r>
          </w:p>
        </w:tc>
      </w:tr>
      <w:tr w:rsidR="0024398E" w:rsidRPr="00365AA6" w14:paraId="72CAC9F1" w14:textId="77777777" w:rsidTr="0016090D">
        <w:tc>
          <w:tcPr>
            <w:tcW w:w="1030" w:type="pct"/>
          </w:tcPr>
          <w:p w14:paraId="772FBCB2" w14:textId="77777777" w:rsidR="0024398E" w:rsidRDefault="0024398E" w:rsidP="00A278B4">
            <w:pPr>
              <w:pStyle w:val="TableBody"/>
              <w:spacing w:before="45" w:after="45"/>
              <w:ind w:right="108"/>
              <w:rPr>
                <w:rFonts w:ascii="Arial (Body)" w:hAnsi="Arial (Body)"/>
                <w:b/>
                <w:bCs/>
                <w:color w:val="265A9A"/>
              </w:rPr>
            </w:pPr>
            <w:r>
              <w:rPr>
                <w:rFonts w:ascii="Arial (Body)" w:hAnsi="Arial (Body)"/>
                <w:b/>
                <w:bCs/>
                <w:color w:val="265A9A"/>
              </w:rPr>
              <w:t>FFA</w:t>
            </w:r>
          </w:p>
        </w:tc>
        <w:tc>
          <w:tcPr>
            <w:tcW w:w="3970" w:type="pct"/>
          </w:tcPr>
          <w:p w14:paraId="7D66FB7C" w14:textId="77777777" w:rsidR="0024398E" w:rsidRDefault="0024398E" w:rsidP="00A278B4">
            <w:pPr>
              <w:pStyle w:val="TableBody"/>
              <w:spacing w:before="45" w:after="45"/>
              <w:ind w:right="108"/>
              <w:rPr>
                <w:rFonts w:ascii="Arial (Body)" w:hAnsi="Arial (Body)"/>
                <w:color w:val="000000"/>
              </w:rPr>
            </w:pPr>
            <w:r>
              <w:rPr>
                <w:rFonts w:ascii="Arial (Body)" w:hAnsi="Arial (Body)"/>
                <w:color w:val="000000"/>
              </w:rPr>
              <w:t xml:space="preserve">Federation Funding Agreement </w:t>
            </w:r>
          </w:p>
        </w:tc>
      </w:tr>
      <w:tr w:rsidR="0024398E" w:rsidRPr="00365AA6" w14:paraId="27262A06" w14:textId="77777777" w:rsidTr="0016090D">
        <w:tc>
          <w:tcPr>
            <w:tcW w:w="1030" w:type="pct"/>
            <w:shd w:val="clear" w:color="auto" w:fill="E6E6E6"/>
          </w:tcPr>
          <w:p w14:paraId="68B2132A" w14:textId="77777777" w:rsidR="0024398E" w:rsidRPr="00365AA6" w:rsidRDefault="0024398E" w:rsidP="00A278B4">
            <w:pPr>
              <w:pStyle w:val="TableBody"/>
              <w:spacing w:before="45" w:after="45"/>
              <w:ind w:right="108"/>
              <w:rPr>
                <w:rFonts w:ascii="Arial (Body)" w:hAnsi="Arial (Body)"/>
                <w:b/>
                <w:bCs/>
                <w:color w:val="265A9A"/>
              </w:rPr>
            </w:pPr>
            <w:r>
              <w:rPr>
                <w:rFonts w:ascii="Arial (Body)" w:hAnsi="Arial (Body)"/>
                <w:b/>
                <w:bCs/>
                <w:color w:val="265A9A"/>
              </w:rPr>
              <w:t>GDP</w:t>
            </w:r>
          </w:p>
        </w:tc>
        <w:tc>
          <w:tcPr>
            <w:tcW w:w="3970" w:type="pct"/>
            <w:shd w:val="clear" w:color="auto" w:fill="E6E6E6"/>
          </w:tcPr>
          <w:p w14:paraId="129632C3" w14:textId="77777777" w:rsidR="0024398E" w:rsidRPr="00365AA6" w:rsidRDefault="0024398E" w:rsidP="00A278B4">
            <w:pPr>
              <w:pStyle w:val="TableBody"/>
              <w:spacing w:before="45" w:after="45"/>
              <w:ind w:right="108"/>
              <w:rPr>
                <w:rFonts w:ascii="Arial (Body)" w:hAnsi="Arial (Body)"/>
                <w:color w:val="000000"/>
              </w:rPr>
            </w:pPr>
            <w:r>
              <w:rPr>
                <w:rFonts w:ascii="Arial (Body)" w:hAnsi="Arial (Body)"/>
                <w:color w:val="000000"/>
              </w:rPr>
              <w:t>Gross Domestic Product</w:t>
            </w:r>
          </w:p>
        </w:tc>
      </w:tr>
      <w:tr w:rsidR="0024398E" w14:paraId="6F845882" w14:textId="77777777" w:rsidTr="0016090D">
        <w:trPr>
          <w:trHeight w:val="300"/>
        </w:trPr>
        <w:tc>
          <w:tcPr>
            <w:tcW w:w="1030" w:type="pct"/>
          </w:tcPr>
          <w:p w14:paraId="7E26F115" w14:textId="77777777" w:rsidR="0024398E" w:rsidRPr="0040594F" w:rsidRDefault="0024398E" w:rsidP="00A278B4">
            <w:pPr>
              <w:pStyle w:val="TableBody"/>
              <w:spacing w:before="45" w:after="45"/>
              <w:ind w:right="108"/>
              <w:rPr>
                <w:rFonts w:ascii="Arial (Body)" w:hAnsi="Arial (Body)"/>
                <w:b/>
                <w:color w:val="265A9A"/>
              </w:rPr>
            </w:pPr>
            <w:r w:rsidRPr="0040594F">
              <w:rPr>
                <w:rFonts w:ascii="Arial (Body)" w:hAnsi="Arial (Body)"/>
                <w:b/>
                <w:color w:val="265A9A"/>
              </w:rPr>
              <w:t>GP</w:t>
            </w:r>
          </w:p>
        </w:tc>
        <w:tc>
          <w:tcPr>
            <w:tcW w:w="3970" w:type="pct"/>
          </w:tcPr>
          <w:p w14:paraId="36FBA8B7" w14:textId="77777777" w:rsidR="0024398E" w:rsidRPr="00963DBA" w:rsidRDefault="0024398E" w:rsidP="00A278B4">
            <w:pPr>
              <w:pStyle w:val="TableBody"/>
              <w:spacing w:before="45" w:after="45"/>
              <w:ind w:right="108"/>
              <w:rPr>
                <w:rFonts w:ascii="Arial (Body)" w:hAnsi="Arial (Body)"/>
                <w:color w:val="000000"/>
              </w:rPr>
            </w:pPr>
            <w:r w:rsidRPr="00963DBA">
              <w:rPr>
                <w:rFonts w:ascii="Arial (Body)" w:hAnsi="Arial (Body)"/>
                <w:color w:val="000000"/>
              </w:rPr>
              <w:t>General practitioner</w:t>
            </w:r>
          </w:p>
        </w:tc>
      </w:tr>
      <w:tr w:rsidR="0024398E" w14:paraId="07192E86" w14:textId="77777777" w:rsidTr="0016090D">
        <w:trPr>
          <w:trHeight w:val="300"/>
        </w:trPr>
        <w:tc>
          <w:tcPr>
            <w:tcW w:w="1030" w:type="pct"/>
            <w:shd w:val="clear" w:color="auto" w:fill="E6E6E6"/>
          </w:tcPr>
          <w:p w14:paraId="43445FDF" w14:textId="77777777" w:rsidR="0024398E" w:rsidRPr="0040594F" w:rsidRDefault="0024398E" w:rsidP="00A278B4">
            <w:pPr>
              <w:pStyle w:val="TableBody"/>
              <w:spacing w:before="45" w:after="45"/>
              <w:ind w:right="108"/>
              <w:rPr>
                <w:rFonts w:ascii="Arial (Body)" w:hAnsi="Arial (Body)"/>
                <w:b/>
                <w:color w:val="265A9A"/>
              </w:rPr>
            </w:pPr>
            <w:r w:rsidRPr="0040594F">
              <w:rPr>
                <w:rFonts w:ascii="Arial (Body)" w:hAnsi="Arial (Body)"/>
                <w:b/>
                <w:color w:val="265A9A"/>
              </w:rPr>
              <w:t>HHS</w:t>
            </w:r>
          </w:p>
        </w:tc>
        <w:tc>
          <w:tcPr>
            <w:tcW w:w="3970" w:type="pct"/>
            <w:shd w:val="clear" w:color="auto" w:fill="E6E6E6"/>
          </w:tcPr>
          <w:p w14:paraId="311ED68A" w14:textId="77777777" w:rsidR="0024398E" w:rsidRPr="00963DBA" w:rsidRDefault="0024398E" w:rsidP="00A278B4">
            <w:pPr>
              <w:pStyle w:val="TableBody"/>
              <w:spacing w:before="45" w:after="45"/>
              <w:ind w:right="108"/>
              <w:rPr>
                <w:rFonts w:ascii="Arial (Body)" w:hAnsi="Arial (Body)"/>
                <w:color w:val="000000"/>
              </w:rPr>
            </w:pPr>
            <w:r w:rsidRPr="00963DBA">
              <w:rPr>
                <w:rFonts w:ascii="Arial (Body)" w:hAnsi="Arial (Body)"/>
                <w:color w:val="000000"/>
              </w:rPr>
              <w:t>Hospital and Health Service</w:t>
            </w:r>
          </w:p>
        </w:tc>
      </w:tr>
      <w:tr w:rsidR="0024398E" w:rsidRPr="00365AA6" w14:paraId="08431200" w14:textId="77777777" w:rsidTr="0016090D">
        <w:tc>
          <w:tcPr>
            <w:tcW w:w="1030" w:type="pct"/>
          </w:tcPr>
          <w:p w14:paraId="6C1A7B9B" w14:textId="77777777" w:rsidR="0024398E" w:rsidRDefault="0024398E" w:rsidP="00A278B4">
            <w:pPr>
              <w:pStyle w:val="TableBody"/>
              <w:spacing w:before="45" w:after="45"/>
              <w:ind w:right="108"/>
              <w:rPr>
                <w:rFonts w:ascii="Arial (Body)" w:hAnsi="Arial (Body)"/>
                <w:b/>
                <w:bCs/>
                <w:color w:val="265A9A"/>
              </w:rPr>
            </w:pPr>
            <w:r>
              <w:rPr>
                <w:rFonts w:ascii="Arial (Body)" w:hAnsi="Arial (Body)"/>
                <w:b/>
                <w:bCs/>
                <w:color w:val="265A9A"/>
              </w:rPr>
              <w:t>IHACPA</w:t>
            </w:r>
          </w:p>
        </w:tc>
        <w:tc>
          <w:tcPr>
            <w:tcW w:w="3970" w:type="pct"/>
          </w:tcPr>
          <w:p w14:paraId="4F04DA99" w14:textId="77777777" w:rsidR="0024398E" w:rsidRDefault="0024398E" w:rsidP="00A278B4">
            <w:pPr>
              <w:pStyle w:val="TableBody"/>
              <w:spacing w:before="45" w:after="45"/>
              <w:ind w:right="108"/>
              <w:rPr>
                <w:rFonts w:ascii="Arial (Body)" w:hAnsi="Arial (Body)"/>
                <w:color w:val="000000"/>
              </w:rPr>
            </w:pPr>
            <w:r>
              <w:rPr>
                <w:rFonts w:ascii="Arial (Body)" w:hAnsi="Arial (Body)"/>
                <w:color w:val="000000"/>
              </w:rPr>
              <w:t>Independent Health and Aged Care Pricing Authority</w:t>
            </w:r>
          </w:p>
        </w:tc>
      </w:tr>
      <w:tr w:rsidR="0024398E" w:rsidRPr="00365AA6" w14:paraId="30233D38" w14:textId="77777777" w:rsidTr="0016090D">
        <w:tc>
          <w:tcPr>
            <w:tcW w:w="1030" w:type="pct"/>
            <w:shd w:val="clear" w:color="auto" w:fill="E6E6E6"/>
          </w:tcPr>
          <w:p w14:paraId="10164B7E" w14:textId="77777777" w:rsidR="0024398E" w:rsidRPr="00365AA6" w:rsidRDefault="0024398E" w:rsidP="00A278B4">
            <w:pPr>
              <w:pStyle w:val="TableBody"/>
              <w:spacing w:before="45" w:after="45"/>
              <w:ind w:right="108"/>
              <w:rPr>
                <w:rFonts w:ascii="Arial (Body)" w:hAnsi="Arial (Body)"/>
                <w:b/>
                <w:bCs/>
                <w:color w:val="265A9A"/>
              </w:rPr>
            </w:pPr>
            <w:r>
              <w:rPr>
                <w:rFonts w:ascii="Arial (Body)" w:hAnsi="Arial (Body)"/>
                <w:b/>
                <w:bCs/>
                <w:color w:val="265A9A"/>
              </w:rPr>
              <w:t>IQ</w:t>
            </w:r>
          </w:p>
        </w:tc>
        <w:tc>
          <w:tcPr>
            <w:tcW w:w="3970" w:type="pct"/>
            <w:shd w:val="clear" w:color="auto" w:fill="E6E6E6"/>
          </w:tcPr>
          <w:p w14:paraId="425ACACF" w14:textId="77777777" w:rsidR="0024398E" w:rsidRPr="00365AA6" w:rsidRDefault="0024398E" w:rsidP="00A278B4">
            <w:pPr>
              <w:pStyle w:val="TableBody"/>
              <w:spacing w:before="45" w:after="45"/>
              <w:ind w:right="108"/>
              <w:rPr>
                <w:rFonts w:ascii="Arial (Body)" w:hAnsi="Arial (Body)"/>
                <w:color w:val="000000"/>
              </w:rPr>
            </w:pPr>
            <w:r>
              <w:rPr>
                <w:rFonts w:ascii="Arial (Body)" w:hAnsi="Arial (Body)"/>
                <w:color w:val="000000"/>
              </w:rPr>
              <w:t>Intelligence quotient</w:t>
            </w:r>
          </w:p>
        </w:tc>
      </w:tr>
      <w:tr w:rsidR="0024398E" w:rsidRPr="00365AA6" w14:paraId="3CB75674" w14:textId="77777777" w:rsidTr="0016090D">
        <w:tc>
          <w:tcPr>
            <w:tcW w:w="1030" w:type="pct"/>
          </w:tcPr>
          <w:p w14:paraId="52F054E6" w14:textId="77777777" w:rsidR="0024398E" w:rsidRDefault="0024398E" w:rsidP="00A278B4">
            <w:pPr>
              <w:pStyle w:val="TableBody"/>
              <w:spacing w:before="45" w:after="45"/>
              <w:ind w:right="108"/>
              <w:rPr>
                <w:rFonts w:ascii="Arial (Body)" w:hAnsi="Arial (Body)"/>
                <w:b/>
                <w:bCs/>
                <w:color w:val="265A9A"/>
              </w:rPr>
            </w:pPr>
            <w:r>
              <w:rPr>
                <w:rFonts w:ascii="Arial (Body)" w:hAnsi="Arial (Body)"/>
                <w:b/>
                <w:bCs/>
                <w:color w:val="265A9A"/>
              </w:rPr>
              <w:t>IT</w:t>
            </w:r>
          </w:p>
        </w:tc>
        <w:tc>
          <w:tcPr>
            <w:tcW w:w="3970" w:type="pct"/>
          </w:tcPr>
          <w:p w14:paraId="68F5E74D" w14:textId="77777777" w:rsidR="0024398E" w:rsidRDefault="0024398E" w:rsidP="00A278B4">
            <w:pPr>
              <w:pStyle w:val="TableBody"/>
              <w:spacing w:before="45" w:after="45"/>
              <w:ind w:right="108"/>
              <w:rPr>
                <w:rFonts w:ascii="Arial (Body)" w:hAnsi="Arial (Body)"/>
                <w:color w:val="000000"/>
              </w:rPr>
            </w:pPr>
            <w:r>
              <w:rPr>
                <w:rFonts w:ascii="Arial (Body)" w:hAnsi="Arial (Body)"/>
                <w:color w:val="000000"/>
              </w:rPr>
              <w:t>Information technology</w:t>
            </w:r>
          </w:p>
        </w:tc>
      </w:tr>
      <w:tr w:rsidR="0024398E" w14:paraId="412C3A58" w14:textId="77777777" w:rsidTr="0016090D">
        <w:trPr>
          <w:trHeight w:val="300"/>
        </w:trPr>
        <w:tc>
          <w:tcPr>
            <w:tcW w:w="1030" w:type="pct"/>
            <w:shd w:val="clear" w:color="auto" w:fill="E6E6E6"/>
          </w:tcPr>
          <w:p w14:paraId="607C860B" w14:textId="77777777" w:rsidR="0024398E" w:rsidRPr="0040594F" w:rsidRDefault="0024398E" w:rsidP="00A278B4">
            <w:pPr>
              <w:pStyle w:val="TableBody"/>
              <w:spacing w:before="45" w:after="45"/>
              <w:ind w:right="108"/>
              <w:rPr>
                <w:rFonts w:ascii="Arial (Body)" w:hAnsi="Arial (Body)"/>
                <w:b/>
                <w:color w:val="265A9A"/>
              </w:rPr>
            </w:pPr>
            <w:r w:rsidRPr="0040594F">
              <w:rPr>
                <w:rFonts w:ascii="Arial (Body)" w:hAnsi="Arial (Body)"/>
                <w:b/>
                <w:color w:val="265A9A"/>
              </w:rPr>
              <w:t>IUIH</w:t>
            </w:r>
          </w:p>
        </w:tc>
        <w:tc>
          <w:tcPr>
            <w:tcW w:w="3970" w:type="pct"/>
            <w:shd w:val="clear" w:color="auto" w:fill="E6E6E6"/>
          </w:tcPr>
          <w:p w14:paraId="242F2F09" w14:textId="77777777" w:rsidR="0024398E" w:rsidRPr="00963DBA" w:rsidRDefault="0024398E" w:rsidP="00A278B4">
            <w:pPr>
              <w:pStyle w:val="TableBody"/>
              <w:spacing w:before="45" w:after="45"/>
              <w:ind w:right="108"/>
              <w:rPr>
                <w:rFonts w:ascii="Arial (Body)" w:hAnsi="Arial (Body)"/>
                <w:color w:val="000000"/>
              </w:rPr>
            </w:pPr>
            <w:r w:rsidRPr="00963DBA">
              <w:rPr>
                <w:rFonts w:ascii="Arial (Body)" w:hAnsi="Arial (Body)"/>
                <w:color w:val="000000"/>
              </w:rPr>
              <w:t>Institute for Urban Indigenous Health</w:t>
            </w:r>
          </w:p>
        </w:tc>
      </w:tr>
      <w:tr w:rsidR="0024398E" w:rsidRPr="00365AA6" w14:paraId="46174A50" w14:textId="77777777" w:rsidTr="0016090D">
        <w:tc>
          <w:tcPr>
            <w:tcW w:w="1030" w:type="pct"/>
          </w:tcPr>
          <w:p w14:paraId="58C72626" w14:textId="77777777" w:rsidR="0024398E" w:rsidRDefault="0024398E" w:rsidP="00A278B4">
            <w:pPr>
              <w:pStyle w:val="TableBody"/>
              <w:spacing w:before="45" w:after="45"/>
              <w:ind w:right="108"/>
              <w:rPr>
                <w:rFonts w:ascii="Arial (Body)" w:hAnsi="Arial (Body)"/>
                <w:b/>
                <w:bCs/>
                <w:color w:val="265A9A"/>
              </w:rPr>
            </w:pPr>
            <w:r>
              <w:rPr>
                <w:rFonts w:ascii="Arial (Body)" w:hAnsi="Arial (Body)"/>
                <w:b/>
                <w:bCs/>
                <w:color w:val="265A9A"/>
              </w:rPr>
              <w:t>LHN</w:t>
            </w:r>
          </w:p>
        </w:tc>
        <w:tc>
          <w:tcPr>
            <w:tcW w:w="3970" w:type="pct"/>
          </w:tcPr>
          <w:p w14:paraId="6B0F5406" w14:textId="77777777" w:rsidR="0024398E" w:rsidRDefault="0024398E" w:rsidP="00A278B4">
            <w:pPr>
              <w:pStyle w:val="TableBody"/>
              <w:spacing w:before="45" w:after="45"/>
              <w:ind w:right="108"/>
              <w:rPr>
                <w:rFonts w:ascii="Arial (Body)" w:hAnsi="Arial (Body)"/>
                <w:color w:val="000000"/>
              </w:rPr>
            </w:pPr>
            <w:r>
              <w:rPr>
                <w:rFonts w:ascii="Arial (Body)" w:hAnsi="Arial (Body)"/>
                <w:color w:val="000000"/>
              </w:rPr>
              <w:t>Local Hospital Network</w:t>
            </w:r>
          </w:p>
        </w:tc>
      </w:tr>
      <w:tr w:rsidR="0024398E" w:rsidRPr="00365AA6" w14:paraId="3135329F" w14:textId="77777777" w:rsidTr="0016090D">
        <w:tc>
          <w:tcPr>
            <w:tcW w:w="1030" w:type="pct"/>
            <w:shd w:val="clear" w:color="auto" w:fill="E6E6E6"/>
          </w:tcPr>
          <w:p w14:paraId="068ABAB4" w14:textId="77777777" w:rsidR="0024398E" w:rsidRPr="00365AA6" w:rsidRDefault="0024398E" w:rsidP="00A278B4">
            <w:pPr>
              <w:pStyle w:val="TableBody"/>
              <w:spacing w:before="45" w:after="45"/>
              <w:ind w:right="108"/>
              <w:rPr>
                <w:rFonts w:ascii="Arial (Body)" w:hAnsi="Arial (Body)"/>
                <w:b/>
                <w:bCs/>
                <w:color w:val="265A9A"/>
              </w:rPr>
            </w:pPr>
            <w:r>
              <w:rPr>
                <w:rFonts w:ascii="Arial (Body)" w:hAnsi="Arial (Body)"/>
                <w:b/>
                <w:bCs/>
                <w:color w:val="265A9A"/>
              </w:rPr>
              <w:t>MSAC</w:t>
            </w:r>
          </w:p>
        </w:tc>
        <w:tc>
          <w:tcPr>
            <w:tcW w:w="3970" w:type="pct"/>
            <w:shd w:val="clear" w:color="auto" w:fill="E6E6E6"/>
          </w:tcPr>
          <w:p w14:paraId="1329447D" w14:textId="77777777" w:rsidR="0024398E" w:rsidRPr="00365AA6" w:rsidRDefault="0024398E" w:rsidP="00A278B4">
            <w:pPr>
              <w:pStyle w:val="TableBody"/>
              <w:spacing w:before="45" w:after="45"/>
              <w:ind w:right="108"/>
              <w:rPr>
                <w:rFonts w:ascii="Arial (Body)" w:hAnsi="Arial (Body)"/>
                <w:color w:val="000000"/>
              </w:rPr>
            </w:pPr>
            <w:r>
              <w:rPr>
                <w:rFonts w:ascii="Arial (Body)" w:hAnsi="Arial (Body)"/>
                <w:color w:val="000000"/>
              </w:rPr>
              <w:t>Medical Services Advisory Committee</w:t>
            </w:r>
          </w:p>
        </w:tc>
      </w:tr>
      <w:tr w:rsidR="0024398E" w:rsidRPr="00365AA6" w14:paraId="692B0C9D" w14:textId="77777777" w:rsidTr="0016090D">
        <w:tc>
          <w:tcPr>
            <w:tcW w:w="1030" w:type="pct"/>
          </w:tcPr>
          <w:p w14:paraId="60E3D4FA" w14:textId="77777777" w:rsidR="0024398E" w:rsidRPr="00365AA6" w:rsidRDefault="0024398E" w:rsidP="00A278B4">
            <w:pPr>
              <w:pStyle w:val="TableBody"/>
              <w:spacing w:before="45" w:after="45"/>
              <w:ind w:right="108"/>
              <w:rPr>
                <w:rFonts w:ascii="Arial (Body)" w:hAnsi="Arial (Body)"/>
                <w:b/>
                <w:bCs/>
                <w:color w:val="265A9A"/>
              </w:rPr>
            </w:pPr>
            <w:r>
              <w:rPr>
                <w:rFonts w:ascii="Arial (Body)" w:hAnsi="Arial (Body)"/>
                <w:b/>
                <w:bCs/>
                <w:color w:val="265A9A"/>
              </w:rPr>
              <w:t>NDIS</w:t>
            </w:r>
          </w:p>
        </w:tc>
        <w:tc>
          <w:tcPr>
            <w:tcW w:w="3970" w:type="pct"/>
          </w:tcPr>
          <w:p w14:paraId="1F6E6525" w14:textId="77777777" w:rsidR="0024398E" w:rsidRPr="00365AA6" w:rsidRDefault="0024398E" w:rsidP="00A278B4">
            <w:pPr>
              <w:pStyle w:val="TableBody"/>
              <w:spacing w:before="45" w:after="45"/>
              <w:ind w:right="108"/>
              <w:rPr>
                <w:rFonts w:ascii="Arial (Body)" w:hAnsi="Arial (Body)"/>
                <w:color w:val="000000"/>
              </w:rPr>
            </w:pPr>
            <w:r>
              <w:rPr>
                <w:rFonts w:ascii="Arial (Body)" w:hAnsi="Arial (Body)"/>
                <w:color w:val="000000"/>
              </w:rPr>
              <w:t>National Disability Insurance Scheme</w:t>
            </w:r>
          </w:p>
        </w:tc>
      </w:tr>
      <w:tr w:rsidR="0024398E" w:rsidRPr="00365AA6" w14:paraId="215080DA" w14:textId="77777777" w:rsidTr="0016090D">
        <w:tc>
          <w:tcPr>
            <w:tcW w:w="1030" w:type="pct"/>
            <w:shd w:val="clear" w:color="auto" w:fill="E6E6E6"/>
          </w:tcPr>
          <w:p w14:paraId="338FCA83" w14:textId="77777777" w:rsidR="0024398E" w:rsidRDefault="0024398E" w:rsidP="00A278B4">
            <w:pPr>
              <w:pStyle w:val="TableBody"/>
              <w:spacing w:before="45" w:after="45"/>
              <w:ind w:right="108"/>
              <w:rPr>
                <w:rFonts w:ascii="Arial (Body)" w:hAnsi="Arial (Body)"/>
                <w:b/>
                <w:bCs/>
                <w:color w:val="265A9A"/>
              </w:rPr>
            </w:pPr>
            <w:r>
              <w:rPr>
                <w:rFonts w:ascii="Arial (Body)" w:hAnsi="Arial (Body)"/>
                <w:b/>
                <w:bCs/>
                <w:color w:val="265A9A"/>
              </w:rPr>
              <w:t>NDIS Commission</w:t>
            </w:r>
          </w:p>
        </w:tc>
        <w:tc>
          <w:tcPr>
            <w:tcW w:w="3970" w:type="pct"/>
            <w:shd w:val="clear" w:color="auto" w:fill="E6E6E6"/>
          </w:tcPr>
          <w:p w14:paraId="2E58D783" w14:textId="77777777" w:rsidR="0024398E" w:rsidRDefault="0024398E" w:rsidP="00A278B4">
            <w:pPr>
              <w:pStyle w:val="TableBody"/>
              <w:spacing w:before="45" w:after="45"/>
              <w:ind w:right="108"/>
              <w:rPr>
                <w:rFonts w:ascii="Arial (Body)" w:hAnsi="Arial (Body)"/>
                <w:color w:val="000000"/>
              </w:rPr>
            </w:pPr>
            <w:r>
              <w:rPr>
                <w:rFonts w:ascii="Arial (Body)" w:hAnsi="Arial (Body)"/>
                <w:color w:val="000000"/>
              </w:rPr>
              <w:t>National Disability Insurance Scheme Quality and Safeguards Commission</w:t>
            </w:r>
          </w:p>
        </w:tc>
      </w:tr>
      <w:tr w:rsidR="0024398E" w:rsidRPr="00365AA6" w14:paraId="6115E15A" w14:textId="77777777" w:rsidTr="0016090D">
        <w:tc>
          <w:tcPr>
            <w:tcW w:w="1030" w:type="pct"/>
          </w:tcPr>
          <w:p w14:paraId="286BF0E1" w14:textId="77777777" w:rsidR="0024398E" w:rsidRDefault="0024398E" w:rsidP="00A278B4">
            <w:pPr>
              <w:pStyle w:val="TableBody"/>
              <w:spacing w:before="45" w:after="45"/>
              <w:ind w:right="108"/>
              <w:rPr>
                <w:rFonts w:ascii="Arial (Body)" w:hAnsi="Arial (Body)"/>
                <w:b/>
                <w:bCs/>
                <w:color w:val="265A9A"/>
              </w:rPr>
            </w:pPr>
            <w:r>
              <w:rPr>
                <w:rFonts w:ascii="Arial (Body)" w:hAnsi="Arial (Body)"/>
                <w:b/>
                <w:bCs/>
                <w:color w:val="265A9A"/>
              </w:rPr>
              <w:t>NHRA</w:t>
            </w:r>
          </w:p>
        </w:tc>
        <w:tc>
          <w:tcPr>
            <w:tcW w:w="3970" w:type="pct"/>
          </w:tcPr>
          <w:p w14:paraId="5004BEBB" w14:textId="77777777" w:rsidR="0024398E" w:rsidRDefault="0024398E" w:rsidP="00A278B4">
            <w:pPr>
              <w:pStyle w:val="TableBody"/>
              <w:spacing w:before="45" w:after="45"/>
              <w:ind w:right="108"/>
              <w:rPr>
                <w:rFonts w:ascii="Arial (Body)" w:hAnsi="Arial (Body)"/>
                <w:color w:val="000000"/>
              </w:rPr>
            </w:pPr>
            <w:r>
              <w:rPr>
                <w:rFonts w:ascii="Arial (Body)" w:hAnsi="Arial (Body)"/>
                <w:color w:val="000000"/>
              </w:rPr>
              <w:t>National Health Reform Agreement</w:t>
            </w:r>
          </w:p>
        </w:tc>
      </w:tr>
      <w:tr w:rsidR="0024398E" w:rsidRPr="00365AA6" w14:paraId="3EB8EC81" w14:textId="77777777" w:rsidTr="0016090D">
        <w:tc>
          <w:tcPr>
            <w:tcW w:w="1030" w:type="pct"/>
            <w:shd w:val="clear" w:color="auto" w:fill="E6E6E6"/>
          </w:tcPr>
          <w:p w14:paraId="1F73163C" w14:textId="77777777" w:rsidR="0024398E" w:rsidRPr="00365AA6" w:rsidRDefault="0024398E" w:rsidP="00A278B4">
            <w:pPr>
              <w:pStyle w:val="TableBody"/>
              <w:spacing w:before="45" w:after="45"/>
              <w:ind w:right="108"/>
              <w:rPr>
                <w:rFonts w:ascii="Arial (Body)" w:hAnsi="Arial (Body)"/>
                <w:b/>
                <w:bCs/>
                <w:color w:val="265A9A"/>
              </w:rPr>
            </w:pPr>
            <w:r>
              <w:rPr>
                <w:rFonts w:ascii="Arial (Body)" w:hAnsi="Arial (Body)"/>
                <w:b/>
                <w:bCs/>
                <w:color w:val="265A9A"/>
              </w:rPr>
              <w:t>OECD</w:t>
            </w:r>
          </w:p>
        </w:tc>
        <w:tc>
          <w:tcPr>
            <w:tcW w:w="3970" w:type="pct"/>
            <w:shd w:val="clear" w:color="auto" w:fill="E6E6E6"/>
          </w:tcPr>
          <w:p w14:paraId="1D28BBCA" w14:textId="77777777" w:rsidR="0024398E" w:rsidRPr="00365AA6" w:rsidRDefault="0024398E" w:rsidP="00A278B4">
            <w:pPr>
              <w:pStyle w:val="TableBody"/>
              <w:spacing w:before="45" w:after="45"/>
              <w:ind w:right="108"/>
              <w:rPr>
                <w:rFonts w:ascii="Arial (Body)" w:hAnsi="Arial (Body)"/>
                <w:color w:val="000000"/>
              </w:rPr>
            </w:pPr>
            <w:r>
              <w:rPr>
                <w:rFonts w:ascii="Arial (Body)" w:hAnsi="Arial (Body)"/>
                <w:color w:val="000000"/>
              </w:rPr>
              <w:t>Organisation for Economic Co-operation and Development</w:t>
            </w:r>
          </w:p>
        </w:tc>
      </w:tr>
      <w:tr w:rsidR="000E48AB" w:rsidRPr="00365AA6" w14:paraId="59AAC903" w14:textId="77777777" w:rsidTr="000E48AB">
        <w:tc>
          <w:tcPr>
            <w:tcW w:w="1030" w:type="pct"/>
          </w:tcPr>
          <w:p w14:paraId="1D315470" w14:textId="24D55F6D" w:rsidR="000E48AB" w:rsidRDefault="000E48AB" w:rsidP="00A278B4">
            <w:pPr>
              <w:pStyle w:val="TableBody"/>
              <w:spacing w:before="45" w:after="45"/>
              <w:ind w:right="108"/>
              <w:rPr>
                <w:rFonts w:ascii="Arial (Body)" w:hAnsi="Arial (Body)"/>
                <w:b/>
                <w:bCs/>
                <w:color w:val="265A9A"/>
              </w:rPr>
            </w:pPr>
            <w:r w:rsidRPr="000E48AB">
              <w:rPr>
                <w:rFonts w:ascii="Arial (Body)" w:hAnsi="Arial (Body)"/>
                <w:b/>
                <w:bCs/>
                <w:color w:val="265A9A"/>
              </w:rPr>
              <w:t>OIA</w:t>
            </w:r>
          </w:p>
        </w:tc>
        <w:tc>
          <w:tcPr>
            <w:tcW w:w="3970" w:type="pct"/>
          </w:tcPr>
          <w:p w14:paraId="08810BB5" w14:textId="362309A4" w:rsidR="000E48AB" w:rsidRDefault="000E48AB" w:rsidP="00A278B4">
            <w:pPr>
              <w:pStyle w:val="TableBody"/>
              <w:spacing w:before="45" w:after="45"/>
              <w:ind w:right="108"/>
              <w:rPr>
                <w:rFonts w:ascii="Arial (Body)" w:hAnsi="Arial (Body)"/>
                <w:color w:val="000000"/>
              </w:rPr>
            </w:pPr>
            <w:r w:rsidRPr="000E48AB">
              <w:rPr>
                <w:rFonts w:ascii="Arial (Body)" w:hAnsi="Arial (Body)"/>
                <w:color w:val="000000"/>
              </w:rPr>
              <w:t>Office of Impact Analysis</w:t>
            </w:r>
          </w:p>
        </w:tc>
      </w:tr>
      <w:tr w:rsidR="0024398E" w:rsidRPr="00365AA6" w14:paraId="3BBD0F78" w14:textId="77777777" w:rsidTr="000E48AB">
        <w:tc>
          <w:tcPr>
            <w:tcW w:w="1030" w:type="pct"/>
            <w:shd w:val="clear" w:color="auto" w:fill="E6E6E6"/>
          </w:tcPr>
          <w:p w14:paraId="5755EC93" w14:textId="77777777" w:rsidR="0024398E" w:rsidRDefault="0024398E" w:rsidP="00A278B4">
            <w:pPr>
              <w:pStyle w:val="TableBody"/>
              <w:spacing w:before="45" w:after="45"/>
              <w:ind w:right="108"/>
              <w:rPr>
                <w:rFonts w:ascii="Arial (Body)" w:hAnsi="Arial (Body)"/>
                <w:b/>
                <w:bCs/>
                <w:color w:val="265A9A"/>
              </w:rPr>
            </w:pPr>
            <w:r>
              <w:rPr>
                <w:rFonts w:ascii="Arial (Body)" w:hAnsi="Arial (Body)"/>
                <w:b/>
                <w:bCs/>
                <w:color w:val="265A9A"/>
              </w:rPr>
              <w:t>OOHC</w:t>
            </w:r>
          </w:p>
        </w:tc>
        <w:tc>
          <w:tcPr>
            <w:tcW w:w="3970" w:type="pct"/>
            <w:shd w:val="clear" w:color="auto" w:fill="E6E6E6"/>
          </w:tcPr>
          <w:p w14:paraId="1661A9D5" w14:textId="77777777" w:rsidR="0024398E" w:rsidRDefault="0024398E" w:rsidP="00A278B4">
            <w:pPr>
              <w:pStyle w:val="TableBody"/>
              <w:spacing w:before="45" w:after="45"/>
              <w:ind w:right="108"/>
              <w:rPr>
                <w:rFonts w:ascii="Arial (Body)" w:hAnsi="Arial (Body)"/>
                <w:color w:val="000000"/>
              </w:rPr>
            </w:pPr>
            <w:r>
              <w:rPr>
                <w:rFonts w:ascii="Arial (Body)" w:hAnsi="Arial (Body)"/>
                <w:color w:val="000000"/>
              </w:rPr>
              <w:t>Out-of-home care</w:t>
            </w:r>
          </w:p>
        </w:tc>
      </w:tr>
      <w:tr w:rsidR="0024398E" w:rsidRPr="00365AA6" w14:paraId="1C96F64F" w14:textId="77777777" w:rsidTr="000E48AB">
        <w:tc>
          <w:tcPr>
            <w:tcW w:w="1030" w:type="pct"/>
          </w:tcPr>
          <w:p w14:paraId="5F07462F" w14:textId="77777777" w:rsidR="0024398E" w:rsidRPr="00365AA6" w:rsidRDefault="0024398E" w:rsidP="00A278B4">
            <w:pPr>
              <w:pStyle w:val="TableBody"/>
              <w:spacing w:before="45" w:after="45"/>
              <w:ind w:right="108"/>
              <w:rPr>
                <w:rFonts w:ascii="Arial (Body)" w:hAnsi="Arial (Body)"/>
                <w:b/>
                <w:bCs/>
                <w:color w:val="265A9A"/>
              </w:rPr>
            </w:pPr>
            <w:r>
              <w:rPr>
                <w:rFonts w:ascii="Arial (Body)" w:hAnsi="Arial (Body)"/>
                <w:b/>
                <w:bCs/>
                <w:color w:val="265A9A"/>
              </w:rPr>
              <w:lastRenderedPageBreak/>
              <w:t>PBS</w:t>
            </w:r>
          </w:p>
        </w:tc>
        <w:tc>
          <w:tcPr>
            <w:tcW w:w="3970" w:type="pct"/>
          </w:tcPr>
          <w:p w14:paraId="351C5FE0" w14:textId="77777777" w:rsidR="0024398E" w:rsidRPr="00365AA6" w:rsidRDefault="0024398E" w:rsidP="00A278B4">
            <w:pPr>
              <w:pStyle w:val="TableBody"/>
              <w:spacing w:before="45" w:after="45"/>
              <w:ind w:right="108"/>
              <w:rPr>
                <w:rFonts w:ascii="Arial (Body)" w:hAnsi="Arial (Body)"/>
                <w:color w:val="000000"/>
              </w:rPr>
            </w:pPr>
            <w:r>
              <w:rPr>
                <w:rFonts w:ascii="Arial (Body)" w:hAnsi="Arial (Body)"/>
                <w:color w:val="000000"/>
              </w:rPr>
              <w:t>Pharmaceutical Benefits Scheme</w:t>
            </w:r>
          </w:p>
        </w:tc>
      </w:tr>
      <w:tr w:rsidR="0024398E" w:rsidRPr="00365AA6" w14:paraId="1EC1B093" w14:textId="77777777" w:rsidTr="000E48AB">
        <w:tc>
          <w:tcPr>
            <w:tcW w:w="1030" w:type="pct"/>
            <w:shd w:val="clear" w:color="auto" w:fill="E6E6E6"/>
          </w:tcPr>
          <w:p w14:paraId="6673F7AF" w14:textId="77777777" w:rsidR="0024398E" w:rsidRPr="00365AA6" w:rsidRDefault="0024398E" w:rsidP="00A278B4">
            <w:pPr>
              <w:pStyle w:val="TableBody"/>
              <w:spacing w:before="45" w:after="45"/>
              <w:ind w:right="108"/>
              <w:rPr>
                <w:rFonts w:ascii="Arial (Body)" w:hAnsi="Arial (Body)"/>
                <w:b/>
                <w:bCs/>
                <w:color w:val="265A9A"/>
              </w:rPr>
            </w:pPr>
            <w:r>
              <w:rPr>
                <w:rFonts w:ascii="Arial (Body)" w:hAnsi="Arial (Body)"/>
                <w:b/>
                <w:bCs/>
                <w:color w:val="265A9A"/>
              </w:rPr>
              <w:t>PC</w:t>
            </w:r>
          </w:p>
        </w:tc>
        <w:tc>
          <w:tcPr>
            <w:tcW w:w="3970" w:type="pct"/>
            <w:shd w:val="clear" w:color="auto" w:fill="E6E6E6"/>
          </w:tcPr>
          <w:p w14:paraId="09F1DD41" w14:textId="77777777" w:rsidR="0024398E" w:rsidRPr="00365AA6" w:rsidRDefault="0024398E" w:rsidP="00A278B4">
            <w:pPr>
              <w:pStyle w:val="TableBody"/>
              <w:spacing w:before="45" w:after="45"/>
              <w:ind w:right="108"/>
              <w:rPr>
                <w:rFonts w:ascii="Arial (Body)" w:hAnsi="Arial (Body)"/>
                <w:color w:val="000000"/>
              </w:rPr>
            </w:pPr>
            <w:r>
              <w:rPr>
                <w:rFonts w:ascii="Arial (Body)" w:hAnsi="Arial (Body)"/>
                <w:color w:val="000000"/>
              </w:rPr>
              <w:t>Productivity Commission</w:t>
            </w:r>
          </w:p>
        </w:tc>
      </w:tr>
      <w:tr w:rsidR="0024398E" w:rsidRPr="00365AA6" w14:paraId="1B710C4D" w14:textId="77777777" w:rsidTr="000E48AB">
        <w:tc>
          <w:tcPr>
            <w:tcW w:w="1030" w:type="pct"/>
          </w:tcPr>
          <w:p w14:paraId="079FC675" w14:textId="77777777" w:rsidR="0024398E" w:rsidRPr="00365AA6" w:rsidRDefault="0024398E" w:rsidP="00A278B4">
            <w:pPr>
              <w:pStyle w:val="TableBody"/>
              <w:spacing w:before="45" w:after="45"/>
              <w:ind w:right="108"/>
              <w:rPr>
                <w:rFonts w:ascii="Arial (Body)" w:hAnsi="Arial (Body)"/>
                <w:b/>
                <w:bCs/>
                <w:color w:val="265A9A"/>
              </w:rPr>
            </w:pPr>
            <w:r>
              <w:rPr>
                <w:rFonts w:ascii="Arial (Body)" w:hAnsi="Arial (Body)"/>
                <w:b/>
                <w:bCs/>
                <w:color w:val="265A9A"/>
              </w:rPr>
              <w:t>PEIFAB</w:t>
            </w:r>
          </w:p>
        </w:tc>
        <w:tc>
          <w:tcPr>
            <w:tcW w:w="3970" w:type="pct"/>
          </w:tcPr>
          <w:p w14:paraId="178D1BD2" w14:textId="77777777" w:rsidR="0024398E" w:rsidRPr="00365AA6" w:rsidRDefault="0024398E" w:rsidP="00A278B4">
            <w:pPr>
              <w:pStyle w:val="TableBody"/>
              <w:spacing w:before="45" w:after="45"/>
              <w:ind w:right="108"/>
              <w:rPr>
                <w:rFonts w:ascii="Arial (Body)" w:hAnsi="Arial (Body)"/>
                <w:color w:val="000000"/>
              </w:rPr>
            </w:pPr>
            <w:r>
              <w:rPr>
                <w:rFonts w:ascii="Arial (Body)" w:hAnsi="Arial (Body)"/>
                <w:color w:val="000000"/>
              </w:rPr>
              <w:t>Prevention and Early Intervention Framework Advisory Board</w:t>
            </w:r>
          </w:p>
        </w:tc>
      </w:tr>
      <w:tr w:rsidR="0024398E" w:rsidRPr="00365AA6" w14:paraId="069890E1" w14:textId="77777777" w:rsidTr="000E48AB">
        <w:tc>
          <w:tcPr>
            <w:tcW w:w="1030" w:type="pct"/>
            <w:shd w:val="clear" w:color="auto" w:fill="E6E6E6"/>
          </w:tcPr>
          <w:p w14:paraId="5AF1A49D" w14:textId="77777777" w:rsidR="0024398E" w:rsidRDefault="0024398E" w:rsidP="00A278B4">
            <w:pPr>
              <w:pStyle w:val="TableBody"/>
              <w:spacing w:before="45" w:after="45"/>
              <w:ind w:right="108"/>
              <w:rPr>
                <w:rFonts w:ascii="Arial (Body)" w:hAnsi="Arial (Body)"/>
                <w:b/>
                <w:bCs/>
                <w:color w:val="265A9A"/>
              </w:rPr>
            </w:pPr>
            <w:r>
              <w:rPr>
                <w:rFonts w:ascii="Arial (Body)" w:hAnsi="Arial (Body)"/>
                <w:b/>
                <w:bCs/>
                <w:color w:val="265A9A"/>
              </w:rPr>
              <w:t>PHN</w:t>
            </w:r>
          </w:p>
        </w:tc>
        <w:tc>
          <w:tcPr>
            <w:tcW w:w="3970" w:type="pct"/>
            <w:shd w:val="clear" w:color="auto" w:fill="E6E6E6"/>
          </w:tcPr>
          <w:p w14:paraId="0344EF2F" w14:textId="77777777" w:rsidR="0024398E" w:rsidRDefault="0024398E" w:rsidP="00A278B4">
            <w:pPr>
              <w:pStyle w:val="TableBody"/>
              <w:spacing w:before="45" w:after="45"/>
              <w:ind w:right="108"/>
              <w:rPr>
                <w:rFonts w:ascii="Arial (Body)" w:hAnsi="Arial (Body)"/>
                <w:color w:val="000000"/>
              </w:rPr>
            </w:pPr>
            <w:r>
              <w:rPr>
                <w:rFonts w:ascii="Arial (Body)" w:hAnsi="Arial (Body)"/>
                <w:color w:val="000000"/>
              </w:rPr>
              <w:t>Primary Health Network</w:t>
            </w:r>
          </w:p>
        </w:tc>
      </w:tr>
      <w:tr w:rsidR="0024398E" w:rsidRPr="00365AA6" w14:paraId="21D885DB" w14:textId="77777777" w:rsidTr="000E48AB">
        <w:tc>
          <w:tcPr>
            <w:tcW w:w="1030" w:type="pct"/>
          </w:tcPr>
          <w:p w14:paraId="25FAC110" w14:textId="77777777" w:rsidR="0024398E" w:rsidRPr="00365AA6" w:rsidRDefault="0024398E" w:rsidP="00A278B4">
            <w:pPr>
              <w:pStyle w:val="TableBody"/>
              <w:spacing w:before="45" w:after="45"/>
              <w:ind w:right="108"/>
              <w:rPr>
                <w:rFonts w:ascii="Arial (Body)" w:hAnsi="Arial (Body)"/>
                <w:b/>
                <w:bCs/>
                <w:color w:val="265A9A"/>
              </w:rPr>
            </w:pPr>
            <w:r>
              <w:rPr>
                <w:rFonts w:ascii="Arial (Body)" w:hAnsi="Arial (Body)"/>
                <w:b/>
                <w:bCs/>
                <w:color w:val="265A9A"/>
              </w:rPr>
              <w:t>PLIDA</w:t>
            </w:r>
          </w:p>
        </w:tc>
        <w:tc>
          <w:tcPr>
            <w:tcW w:w="3970" w:type="pct"/>
          </w:tcPr>
          <w:p w14:paraId="1FCD4B90" w14:textId="77777777" w:rsidR="0024398E" w:rsidRPr="00365AA6" w:rsidRDefault="0024398E" w:rsidP="00A278B4">
            <w:pPr>
              <w:pStyle w:val="TableBody"/>
              <w:spacing w:before="45" w:after="45"/>
              <w:ind w:right="108"/>
              <w:rPr>
                <w:rFonts w:ascii="Arial (Body)" w:hAnsi="Arial (Body)"/>
                <w:color w:val="000000"/>
              </w:rPr>
            </w:pPr>
            <w:r>
              <w:rPr>
                <w:rFonts w:ascii="Arial (Body)" w:hAnsi="Arial (Body)"/>
                <w:color w:val="000000"/>
              </w:rPr>
              <w:t>Person-Level Integrated Data Asset</w:t>
            </w:r>
          </w:p>
        </w:tc>
      </w:tr>
      <w:tr w:rsidR="0024398E" w:rsidRPr="00365AA6" w14:paraId="4FF9C303" w14:textId="77777777" w:rsidTr="000E48AB">
        <w:tc>
          <w:tcPr>
            <w:tcW w:w="1030" w:type="pct"/>
            <w:shd w:val="clear" w:color="auto" w:fill="E6E6E6"/>
          </w:tcPr>
          <w:p w14:paraId="0A93D6AD" w14:textId="77777777" w:rsidR="0024398E" w:rsidRDefault="0024398E" w:rsidP="00A278B4">
            <w:pPr>
              <w:pStyle w:val="TableBody"/>
              <w:spacing w:before="45" w:after="45"/>
              <w:ind w:right="108"/>
              <w:rPr>
                <w:rFonts w:ascii="Arial (Body)" w:hAnsi="Arial (Body)"/>
                <w:b/>
                <w:bCs/>
                <w:color w:val="265A9A"/>
              </w:rPr>
            </w:pPr>
            <w:r>
              <w:rPr>
                <w:rFonts w:ascii="Arial (Body)" w:hAnsi="Arial (Body)"/>
                <w:b/>
                <w:bCs/>
                <w:color w:val="265A9A"/>
              </w:rPr>
              <w:t>PPH</w:t>
            </w:r>
          </w:p>
        </w:tc>
        <w:tc>
          <w:tcPr>
            <w:tcW w:w="3970" w:type="pct"/>
            <w:shd w:val="clear" w:color="auto" w:fill="E6E6E6"/>
          </w:tcPr>
          <w:p w14:paraId="649F57D7" w14:textId="77777777" w:rsidR="0024398E" w:rsidRDefault="0024398E" w:rsidP="00A278B4">
            <w:pPr>
              <w:pStyle w:val="TableBody"/>
              <w:spacing w:before="45" w:after="45"/>
              <w:ind w:right="108"/>
              <w:rPr>
                <w:rFonts w:ascii="Arial (Body)" w:hAnsi="Arial (Body)"/>
                <w:color w:val="000000"/>
              </w:rPr>
            </w:pPr>
            <w:r>
              <w:rPr>
                <w:rFonts w:ascii="Arial (Body)" w:hAnsi="Arial (Body)"/>
                <w:color w:val="000000"/>
              </w:rPr>
              <w:t>Potentially preventable hospitalisation</w:t>
            </w:r>
          </w:p>
        </w:tc>
      </w:tr>
      <w:tr w:rsidR="0024398E" w14:paraId="2CC7BB19" w14:textId="77777777" w:rsidTr="000E48AB">
        <w:trPr>
          <w:trHeight w:val="300"/>
        </w:trPr>
        <w:tc>
          <w:tcPr>
            <w:tcW w:w="1030" w:type="pct"/>
          </w:tcPr>
          <w:p w14:paraId="3BBB1B76" w14:textId="77777777" w:rsidR="0024398E" w:rsidRPr="0040594F" w:rsidRDefault="0024398E" w:rsidP="00A278B4">
            <w:pPr>
              <w:pStyle w:val="TableBody"/>
              <w:spacing w:before="45" w:after="45"/>
              <w:ind w:right="108"/>
              <w:rPr>
                <w:rFonts w:ascii="Arial (Body)" w:hAnsi="Arial (Body)"/>
                <w:b/>
                <w:color w:val="265A9A"/>
              </w:rPr>
            </w:pPr>
            <w:r w:rsidRPr="0040594F">
              <w:rPr>
                <w:rFonts w:ascii="Arial (Body)" w:hAnsi="Arial (Body)"/>
                <w:b/>
                <w:color w:val="265A9A"/>
              </w:rPr>
              <w:t>QCP</w:t>
            </w:r>
          </w:p>
        </w:tc>
        <w:tc>
          <w:tcPr>
            <w:tcW w:w="3970" w:type="pct"/>
          </w:tcPr>
          <w:p w14:paraId="141961C0" w14:textId="77777777" w:rsidR="0024398E" w:rsidRPr="00963DBA" w:rsidRDefault="0024398E" w:rsidP="00A278B4">
            <w:pPr>
              <w:pStyle w:val="TableBody"/>
              <w:spacing w:before="45" w:after="45"/>
              <w:ind w:right="108"/>
              <w:rPr>
                <w:rFonts w:ascii="Arial (Body)" w:hAnsi="Arial (Body)"/>
                <w:color w:val="000000"/>
              </w:rPr>
            </w:pPr>
            <w:r w:rsidRPr="00963DBA">
              <w:rPr>
                <w:rFonts w:ascii="Arial (Body)" w:hAnsi="Arial (Body)"/>
                <w:color w:val="000000"/>
              </w:rPr>
              <w:t>Queensland</w:t>
            </w:r>
            <w:r>
              <w:rPr>
                <w:rFonts w:ascii="Arial (Body)" w:hAnsi="Arial (Body)"/>
                <w:color w:val="000000"/>
              </w:rPr>
              <w:t>-</w:t>
            </w:r>
            <w:r w:rsidRPr="00963DBA">
              <w:rPr>
                <w:rFonts w:ascii="Arial (Body)" w:hAnsi="Arial (Body)"/>
                <w:color w:val="000000"/>
              </w:rPr>
              <w:t>Commonwealth Partnership</w:t>
            </w:r>
          </w:p>
        </w:tc>
      </w:tr>
      <w:tr w:rsidR="0024398E" w:rsidRPr="00365AA6" w14:paraId="7C9F77E9" w14:textId="77777777" w:rsidTr="000E48AB">
        <w:tc>
          <w:tcPr>
            <w:tcW w:w="1030" w:type="pct"/>
            <w:shd w:val="clear" w:color="auto" w:fill="E6E6E6"/>
          </w:tcPr>
          <w:p w14:paraId="05617857" w14:textId="77777777" w:rsidR="0024398E" w:rsidRDefault="0024398E" w:rsidP="00A278B4">
            <w:pPr>
              <w:pStyle w:val="TableBody"/>
              <w:spacing w:before="45" w:after="45"/>
              <w:ind w:right="108"/>
              <w:rPr>
                <w:rFonts w:ascii="Arial (Body)" w:hAnsi="Arial (Body)"/>
                <w:b/>
                <w:bCs/>
                <w:color w:val="265A9A"/>
              </w:rPr>
            </w:pPr>
            <w:proofErr w:type="spellStart"/>
            <w:r>
              <w:rPr>
                <w:rFonts w:ascii="Arial (Body)" w:hAnsi="Arial (Body)"/>
                <w:b/>
                <w:bCs/>
                <w:color w:val="265A9A"/>
              </w:rPr>
              <w:t>qr</w:t>
            </w:r>
            <w:proofErr w:type="spellEnd"/>
          </w:p>
        </w:tc>
        <w:tc>
          <w:tcPr>
            <w:tcW w:w="3970" w:type="pct"/>
            <w:shd w:val="clear" w:color="auto" w:fill="E6E6E6"/>
          </w:tcPr>
          <w:p w14:paraId="0752554F" w14:textId="77777777" w:rsidR="0024398E" w:rsidRDefault="0024398E" w:rsidP="00A278B4">
            <w:pPr>
              <w:pStyle w:val="TableBody"/>
              <w:spacing w:before="45" w:after="45"/>
              <w:ind w:right="108"/>
              <w:rPr>
                <w:rFonts w:ascii="Arial (Body)" w:hAnsi="Arial (Body)"/>
                <w:color w:val="000000"/>
              </w:rPr>
            </w:pPr>
            <w:r>
              <w:rPr>
                <w:rFonts w:ascii="Arial (Body)" w:hAnsi="Arial (Body)"/>
                <w:color w:val="000000"/>
              </w:rPr>
              <w:t>Questionnaire response</w:t>
            </w:r>
          </w:p>
        </w:tc>
      </w:tr>
      <w:tr w:rsidR="0024398E" w:rsidRPr="00365AA6" w14:paraId="73C9BDF2" w14:textId="77777777" w:rsidTr="000E48AB">
        <w:tc>
          <w:tcPr>
            <w:tcW w:w="1030" w:type="pct"/>
          </w:tcPr>
          <w:p w14:paraId="0CC8190A" w14:textId="77777777" w:rsidR="0024398E" w:rsidRPr="00365AA6" w:rsidRDefault="0024398E" w:rsidP="00A278B4">
            <w:pPr>
              <w:pStyle w:val="TableBody"/>
              <w:spacing w:before="45" w:after="45"/>
              <w:ind w:right="108"/>
              <w:rPr>
                <w:rFonts w:ascii="Arial (Body)" w:hAnsi="Arial (Body)"/>
                <w:b/>
                <w:bCs/>
                <w:color w:val="265A9A"/>
              </w:rPr>
            </w:pPr>
            <w:r>
              <w:rPr>
                <w:rFonts w:ascii="Arial (Body)" w:hAnsi="Arial (Body)"/>
                <w:b/>
                <w:bCs/>
                <w:color w:val="265A9A"/>
              </w:rPr>
              <w:t>UK</w:t>
            </w:r>
          </w:p>
        </w:tc>
        <w:tc>
          <w:tcPr>
            <w:tcW w:w="3970" w:type="pct"/>
          </w:tcPr>
          <w:p w14:paraId="73753D9E" w14:textId="77777777" w:rsidR="0024398E" w:rsidRPr="00365AA6" w:rsidRDefault="0024398E" w:rsidP="00A278B4">
            <w:pPr>
              <w:pStyle w:val="TableBody"/>
              <w:spacing w:before="45" w:after="45"/>
              <w:ind w:right="108"/>
              <w:rPr>
                <w:rFonts w:ascii="Arial (Body)" w:hAnsi="Arial (Body)"/>
                <w:color w:val="000000"/>
              </w:rPr>
            </w:pPr>
            <w:r>
              <w:rPr>
                <w:rFonts w:ascii="Arial (Body)" w:hAnsi="Arial (Body)"/>
                <w:color w:val="000000"/>
              </w:rPr>
              <w:t>United Kingdom</w:t>
            </w:r>
          </w:p>
        </w:tc>
      </w:tr>
      <w:tr w:rsidR="0024398E" w:rsidRPr="00365AA6" w14:paraId="01315D8E" w14:textId="77777777" w:rsidTr="000E48AB">
        <w:tc>
          <w:tcPr>
            <w:tcW w:w="1030" w:type="pct"/>
            <w:shd w:val="clear" w:color="auto" w:fill="E6E6E6"/>
          </w:tcPr>
          <w:p w14:paraId="1D88EE51" w14:textId="77777777" w:rsidR="0024398E" w:rsidRDefault="0024398E" w:rsidP="00A278B4">
            <w:pPr>
              <w:pStyle w:val="TableBody"/>
              <w:spacing w:before="45" w:after="45"/>
              <w:ind w:right="108"/>
              <w:rPr>
                <w:rFonts w:ascii="Arial (Body)" w:hAnsi="Arial (Body)"/>
                <w:b/>
                <w:bCs/>
                <w:color w:val="265A9A"/>
              </w:rPr>
            </w:pPr>
            <w:r>
              <w:rPr>
                <w:rFonts w:ascii="Arial (Body)" w:hAnsi="Arial (Body)"/>
                <w:b/>
                <w:bCs/>
                <w:color w:val="265A9A"/>
              </w:rPr>
              <w:t>SoE</w:t>
            </w:r>
          </w:p>
        </w:tc>
        <w:tc>
          <w:tcPr>
            <w:tcW w:w="3970" w:type="pct"/>
            <w:shd w:val="clear" w:color="auto" w:fill="E6E6E6"/>
          </w:tcPr>
          <w:p w14:paraId="292B6794" w14:textId="77777777" w:rsidR="0024398E" w:rsidRDefault="0024398E" w:rsidP="00A278B4">
            <w:pPr>
              <w:pStyle w:val="TableBody"/>
              <w:spacing w:before="45" w:after="45"/>
              <w:ind w:right="108"/>
              <w:rPr>
                <w:rFonts w:ascii="Arial (Body)" w:hAnsi="Arial (Body)"/>
                <w:color w:val="000000"/>
              </w:rPr>
            </w:pPr>
            <w:r>
              <w:rPr>
                <w:rFonts w:ascii="Arial (Body)" w:hAnsi="Arial (Body)"/>
                <w:color w:val="000000"/>
              </w:rPr>
              <w:t>Statement of expectations</w:t>
            </w:r>
          </w:p>
        </w:tc>
      </w:tr>
      <w:tr w:rsidR="0024398E" w:rsidRPr="00365AA6" w14:paraId="18AA931E" w14:textId="77777777" w:rsidTr="000E48AB">
        <w:tc>
          <w:tcPr>
            <w:tcW w:w="1030" w:type="pct"/>
          </w:tcPr>
          <w:p w14:paraId="5DDEBA52" w14:textId="77777777" w:rsidR="0024398E" w:rsidRPr="00365AA6" w:rsidRDefault="0024398E" w:rsidP="00A278B4">
            <w:pPr>
              <w:pStyle w:val="TableBody"/>
              <w:spacing w:before="45" w:after="45"/>
              <w:ind w:right="108"/>
              <w:rPr>
                <w:rFonts w:ascii="Arial (Body)" w:hAnsi="Arial (Body)"/>
                <w:b/>
                <w:bCs/>
                <w:color w:val="265A9A"/>
              </w:rPr>
            </w:pPr>
            <w:r>
              <w:rPr>
                <w:rFonts w:ascii="Arial (Body)" w:hAnsi="Arial (Body)"/>
                <w:b/>
                <w:bCs/>
                <w:color w:val="265A9A"/>
              </w:rPr>
              <w:t>US</w:t>
            </w:r>
          </w:p>
        </w:tc>
        <w:tc>
          <w:tcPr>
            <w:tcW w:w="3970" w:type="pct"/>
          </w:tcPr>
          <w:p w14:paraId="449EBC4C" w14:textId="77777777" w:rsidR="0024398E" w:rsidRPr="00365AA6" w:rsidRDefault="0024398E" w:rsidP="00A278B4">
            <w:pPr>
              <w:pStyle w:val="TableBody"/>
              <w:spacing w:before="45" w:after="45"/>
              <w:ind w:right="108"/>
              <w:rPr>
                <w:rFonts w:ascii="Arial (Body)" w:hAnsi="Arial (Body)"/>
                <w:color w:val="000000"/>
              </w:rPr>
            </w:pPr>
            <w:r>
              <w:rPr>
                <w:rFonts w:ascii="Arial (Body)" w:hAnsi="Arial (Body)"/>
                <w:color w:val="000000"/>
              </w:rPr>
              <w:t>The United States of America</w:t>
            </w:r>
          </w:p>
        </w:tc>
      </w:tr>
      <w:tr w:rsidR="0024398E" w:rsidRPr="00365AA6" w14:paraId="64212D00" w14:textId="77777777" w:rsidTr="000E48AB">
        <w:tc>
          <w:tcPr>
            <w:tcW w:w="1030" w:type="pct"/>
            <w:shd w:val="clear" w:color="auto" w:fill="E6E6E6"/>
          </w:tcPr>
          <w:p w14:paraId="62DAA1C4" w14:textId="77777777" w:rsidR="0024398E" w:rsidRPr="00365AA6" w:rsidRDefault="0024398E" w:rsidP="00A278B4">
            <w:pPr>
              <w:pStyle w:val="TableBody"/>
              <w:spacing w:before="45" w:after="45"/>
              <w:ind w:right="108"/>
              <w:rPr>
                <w:rFonts w:ascii="Arial (Body)" w:hAnsi="Arial (Body)"/>
                <w:b/>
                <w:bCs/>
                <w:color w:val="265A9A"/>
              </w:rPr>
            </w:pPr>
            <w:r>
              <w:rPr>
                <w:rFonts w:ascii="Arial (Body)" w:hAnsi="Arial (Body)"/>
                <w:b/>
                <w:bCs/>
                <w:color w:val="265A9A"/>
              </w:rPr>
              <w:t>WSIPP</w:t>
            </w:r>
          </w:p>
        </w:tc>
        <w:tc>
          <w:tcPr>
            <w:tcW w:w="3970" w:type="pct"/>
            <w:shd w:val="clear" w:color="auto" w:fill="E6E6E6"/>
          </w:tcPr>
          <w:p w14:paraId="787CBB0F" w14:textId="77777777" w:rsidR="0024398E" w:rsidRPr="00365AA6" w:rsidRDefault="0024398E" w:rsidP="00A278B4">
            <w:pPr>
              <w:pStyle w:val="TableBody"/>
              <w:spacing w:before="45" w:after="45"/>
              <w:ind w:right="108"/>
              <w:rPr>
                <w:rFonts w:ascii="Arial (Body)" w:hAnsi="Arial (Body)"/>
                <w:color w:val="000000"/>
              </w:rPr>
            </w:pPr>
            <w:r>
              <w:rPr>
                <w:rFonts w:ascii="Arial (Body)" w:hAnsi="Arial (Body)"/>
                <w:color w:val="000000"/>
              </w:rPr>
              <w:t>Washington State Institute for Public Policy</w:t>
            </w:r>
          </w:p>
        </w:tc>
      </w:tr>
      <w:tr w:rsidR="0024398E" w:rsidRPr="00365AA6" w14:paraId="24A2224B" w14:textId="77777777" w:rsidTr="000E48AB">
        <w:tc>
          <w:tcPr>
            <w:tcW w:w="1030" w:type="pct"/>
          </w:tcPr>
          <w:p w14:paraId="67C85142" w14:textId="77777777" w:rsidR="0024398E" w:rsidRDefault="0024398E" w:rsidP="00A278B4">
            <w:pPr>
              <w:pStyle w:val="TableBody"/>
              <w:spacing w:before="45" w:after="45"/>
              <w:ind w:right="108"/>
              <w:rPr>
                <w:rFonts w:ascii="Arial (Body)" w:hAnsi="Arial (Body)"/>
                <w:b/>
                <w:bCs/>
                <w:color w:val="265A9A"/>
              </w:rPr>
            </w:pPr>
            <w:r>
              <w:rPr>
                <w:rFonts w:ascii="Arial (Body)" w:hAnsi="Arial (Body)"/>
                <w:b/>
                <w:bCs/>
                <w:color w:val="265A9A"/>
              </w:rPr>
              <w:t>WWCC</w:t>
            </w:r>
          </w:p>
        </w:tc>
        <w:tc>
          <w:tcPr>
            <w:tcW w:w="3970" w:type="pct"/>
          </w:tcPr>
          <w:p w14:paraId="0AE23F46" w14:textId="77777777" w:rsidR="0024398E" w:rsidRDefault="0024398E" w:rsidP="00A278B4">
            <w:pPr>
              <w:pStyle w:val="TableBody"/>
              <w:spacing w:before="45" w:after="45"/>
              <w:ind w:right="108"/>
              <w:rPr>
                <w:rFonts w:ascii="Arial (Body)" w:hAnsi="Arial (Body)"/>
                <w:color w:val="000000"/>
              </w:rPr>
            </w:pPr>
            <w:r>
              <w:rPr>
                <w:rFonts w:ascii="Arial (Body)" w:hAnsi="Arial (Body)"/>
                <w:color w:val="000000"/>
              </w:rPr>
              <w:t>Working with children check</w:t>
            </w:r>
          </w:p>
        </w:tc>
      </w:tr>
    </w:tbl>
    <w:p w14:paraId="7B0A641F" w14:textId="77777777" w:rsidR="0024398E" w:rsidRDefault="0024398E" w:rsidP="0024398E">
      <w:pPr>
        <w:pStyle w:val="BodyText"/>
      </w:pPr>
    </w:p>
    <w:p w14:paraId="58AFE109" w14:textId="77777777" w:rsidR="0024398E" w:rsidRDefault="0024398E" w:rsidP="0024398E">
      <w:pPr>
        <w:pStyle w:val="BodyText"/>
        <w:sectPr w:rsidR="0024398E" w:rsidSect="0024398E">
          <w:headerReference w:type="even" r:id="rId103"/>
          <w:headerReference w:type="default" r:id="rId104"/>
          <w:footerReference w:type="even" r:id="rId105"/>
          <w:footerReference w:type="default" r:id="rId106"/>
          <w:headerReference w:type="first" r:id="rId107"/>
          <w:type w:val="oddPage"/>
          <w:pgSz w:w="11906" w:h="16838" w:code="9"/>
          <w:pgMar w:top="1134" w:right="1134" w:bottom="1134" w:left="1134" w:header="794" w:footer="510" w:gutter="0"/>
          <w:cols w:space="708"/>
          <w:docGrid w:linePitch="360"/>
        </w:sectPr>
      </w:pPr>
    </w:p>
    <w:p w14:paraId="5AD2963E" w14:textId="32605BE1" w:rsidR="009622E2" w:rsidRPr="00610627" w:rsidRDefault="009622E2">
      <w:pPr>
        <w:pStyle w:val="Heading1-nobackground"/>
      </w:pPr>
      <w:bookmarkStart w:id="107" w:name="_Toc215838143"/>
      <w:r>
        <w:lastRenderedPageBreak/>
        <w:t>References</w:t>
      </w:r>
      <w:bookmarkEnd w:id="106"/>
      <w:bookmarkEnd w:id="107"/>
    </w:p>
    <w:p w14:paraId="5BDAA818" w14:textId="77777777" w:rsidR="009622E2" w:rsidRDefault="009622E2" w:rsidP="003640E1">
      <w:pPr>
        <w:pStyle w:val="BodyText"/>
        <w:sectPr w:rsidR="009622E2" w:rsidSect="00754826">
          <w:headerReference w:type="even" r:id="rId108"/>
          <w:headerReference w:type="default" r:id="rId109"/>
          <w:footerReference w:type="even" r:id="rId110"/>
          <w:footerReference w:type="default" r:id="rId111"/>
          <w:headerReference w:type="first" r:id="rId112"/>
          <w:footerReference w:type="first" r:id="rId113"/>
          <w:type w:val="oddPage"/>
          <w:pgSz w:w="11906" w:h="16838" w:code="9"/>
          <w:pgMar w:top="1134" w:right="1134" w:bottom="1134" w:left="1134" w:header="794" w:footer="510" w:gutter="0"/>
          <w:cols w:space="708"/>
          <w:docGrid w:linePitch="360"/>
        </w:sectPr>
      </w:pPr>
    </w:p>
    <w:p w14:paraId="4AF87878" w14:textId="77777777" w:rsidR="002C0263" w:rsidRDefault="002C0263" w:rsidP="002C0263">
      <w:pPr>
        <w:pStyle w:val="Reference"/>
      </w:pPr>
      <w:r>
        <w:t xml:space="preserve">ABS (Australian Bureau of Statistics) 2021, </w:t>
      </w:r>
      <w:r>
        <w:rPr>
          <w:i/>
          <w:iCs/>
        </w:rPr>
        <w:t>Experimental hospital multifactor productivity estimates</w:t>
      </w:r>
      <w:r>
        <w:t>, https://www.abs.gov.au/statistics/research/experimental-hospital-multifactor-productivity-estimates (accessed 9 June 2025).</w:t>
      </w:r>
    </w:p>
    <w:p w14:paraId="39326A96" w14:textId="41EE0CDC" w:rsidR="002C0263" w:rsidRDefault="002C0263" w:rsidP="002C0263">
      <w:pPr>
        <w:pStyle w:val="Reference"/>
      </w:pPr>
      <w:r>
        <w:t xml:space="preserve">—— 2022, </w:t>
      </w:r>
      <w:r>
        <w:rPr>
          <w:i/>
          <w:iCs/>
        </w:rPr>
        <w:t>Disability, ageing and carers, Australia: Summary of findings</w:t>
      </w:r>
      <w:r>
        <w:t>, https://www.abs.gov.au/statistics/health/disability/</w:t>
      </w:r>
      <w:r w:rsidR="003078C0">
        <w:br/>
      </w:r>
      <w:r>
        <w:t>disability-ageing-and-carers-australia-summary-findings/latest-release (accessed 10 June 2025).</w:t>
      </w:r>
    </w:p>
    <w:p w14:paraId="5E2FD1E9" w14:textId="77777777" w:rsidR="002C0263" w:rsidRDefault="002C0263" w:rsidP="002C0263">
      <w:pPr>
        <w:pStyle w:val="Reference"/>
      </w:pPr>
      <w:r>
        <w:t xml:space="preserve">—— 2024, </w:t>
      </w:r>
      <w:r>
        <w:rPr>
          <w:i/>
          <w:iCs/>
        </w:rPr>
        <w:t>Employee earnings, August 2024</w:t>
      </w:r>
      <w:r>
        <w:t>, https://www.abs.gov.au/statistics/labour/earnings-and-working-conditions/employee-earnings/latest-release (accessed 6 September 2025).</w:t>
      </w:r>
    </w:p>
    <w:p w14:paraId="6B94B42E" w14:textId="3C575626" w:rsidR="002C0263" w:rsidRDefault="002C0263" w:rsidP="002C0263">
      <w:pPr>
        <w:pStyle w:val="Reference"/>
      </w:pPr>
      <w:r>
        <w:t xml:space="preserve">—— 2025a, </w:t>
      </w:r>
      <w:r>
        <w:rPr>
          <w:i/>
          <w:iCs/>
        </w:rPr>
        <w:t>Australian national accounts: National income, expenditure and product</w:t>
      </w:r>
      <w:r>
        <w:t>, https://www.abs.gov.au/statistics/</w:t>
      </w:r>
      <w:r w:rsidR="003078C0">
        <w:br/>
      </w:r>
      <w:r>
        <w:t>economy/national-accounts/australian-national-accounts-national-income-expenditure-and-product/latest-release (accessed 26 November 2025).</w:t>
      </w:r>
    </w:p>
    <w:p w14:paraId="42D12F10" w14:textId="51B8DC0D" w:rsidR="002C0263" w:rsidRDefault="002C0263" w:rsidP="002C0263">
      <w:pPr>
        <w:pStyle w:val="Reference"/>
      </w:pPr>
      <w:r>
        <w:t xml:space="preserve">—— 2025b, </w:t>
      </w:r>
      <w:r>
        <w:rPr>
          <w:i/>
          <w:iCs/>
        </w:rPr>
        <w:t>Government finance statistics, Annual, 2023</w:t>
      </w:r>
      <w:r>
        <w:rPr>
          <w:i/>
          <w:iCs/>
        </w:rPr>
        <w:noBreakHyphen/>
        <w:t>24 financial year</w:t>
      </w:r>
      <w:r>
        <w:t>, https://www.abs.gov.au/statistics/economy/</w:t>
      </w:r>
      <w:r w:rsidR="003078C0">
        <w:br/>
      </w:r>
      <w:r>
        <w:t>government/government-finance-statistics-annual/latest-release (accessed 26 November 2025).</w:t>
      </w:r>
    </w:p>
    <w:p w14:paraId="6E075772" w14:textId="77777777" w:rsidR="002C0263" w:rsidRPr="00D04804" w:rsidRDefault="002C0263" w:rsidP="002C0263">
      <w:pPr>
        <w:pStyle w:val="Reference"/>
      </w:pPr>
      <w:r>
        <w:t xml:space="preserve">—— </w:t>
      </w:r>
      <w:r w:rsidRPr="00D04804">
        <w:t xml:space="preserve">2025c, </w:t>
      </w:r>
      <w:r w:rsidRPr="00D04804">
        <w:rPr>
          <w:i/>
          <w:iCs/>
        </w:rPr>
        <w:t>National, state and territory population</w:t>
      </w:r>
      <w:r w:rsidRPr="00D04804">
        <w:t xml:space="preserve">, </w:t>
      </w:r>
      <w:hyperlink r:id="rId114" w:history="1">
        <w:r w:rsidRPr="00D04804">
          <w:rPr>
            <w:rStyle w:val="Hyperlink"/>
            <w:u w:val="none"/>
          </w:rPr>
          <w:t>https://www.abs.gov.au/statistics/people/population/national-state-and-territory-population/latest-release</w:t>
        </w:r>
      </w:hyperlink>
      <w:r w:rsidRPr="00D04804">
        <w:t>, (accessed 18 September 2025).</w:t>
      </w:r>
    </w:p>
    <w:p w14:paraId="2AB29A11" w14:textId="77777777" w:rsidR="002C0263" w:rsidRDefault="002C0263" w:rsidP="002C0263">
      <w:pPr>
        <w:pStyle w:val="Reference"/>
      </w:pPr>
      <w:r>
        <w:t xml:space="preserve">—— 2025d, </w:t>
      </w:r>
      <w:r>
        <w:rPr>
          <w:i/>
          <w:iCs/>
        </w:rPr>
        <w:t>Spotlight: Changes in participation rates for men and women in Australia</w:t>
      </w:r>
      <w:r>
        <w:t>, https://www.abs.gov.au/articles/spotlight-changes-participation-rates-men-and-women-australia (accessed 11 July 2025).</w:t>
      </w:r>
    </w:p>
    <w:p w14:paraId="20CD3626" w14:textId="77777777" w:rsidR="002C0263" w:rsidRDefault="002C0263" w:rsidP="002C0263">
      <w:pPr>
        <w:pStyle w:val="Reference"/>
      </w:pPr>
      <w:r>
        <w:t xml:space="preserve">—— </w:t>
      </w:r>
      <w:r w:rsidRPr="00D04804">
        <w:t xml:space="preserve">2025e, </w:t>
      </w:r>
      <w:r w:rsidRPr="00D04804">
        <w:rPr>
          <w:i/>
          <w:iCs/>
        </w:rPr>
        <w:t>Labour force, Australia, detailed, Table 04,  Employed persons by Industry division of main job (ANZSIC)</w:t>
      </w:r>
      <w:r w:rsidRPr="00D04804">
        <w:t xml:space="preserve"> August, </w:t>
      </w:r>
      <w:hyperlink r:id="rId115" w:history="1">
        <w:r w:rsidRPr="00D04804">
          <w:rPr>
            <w:rStyle w:val="Hyperlink"/>
            <w:u w:val="none"/>
          </w:rPr>
          <w:t>https://www.abs.gov.au/statistics/labour/employment-and-unemployment/labour-force-australia-detailed/latest-release</w:t>
        </w:r>
      </w:hyperlink>
      <w:r>
        <w:t xml:space="preserve"> (accessed 20 November 2025).</w:t>
      </w:r>
    </w:p>
    <w:p w14:paraId="7BA31D94" w14:textId="77777777" w:rsidR="002C0263" w:rsidRDefault="002C0263" w:rsidP="002C0263">
      <w:pPr>
        <w:pStyle w:val="Reference"/>
      </w:pPr>
      <w:r>
        <w:t xml:space="preserve">—— 2025f, </w:t>
      </w:r>
      <w:r>
        <w:rPr>
          <w:i/>
          <w:iCs/>
        </w:rPr>
        <w:t>Wage price index, Australia, June 2025</w:t>
      </w:r>
      <w:r>
        <w:t>, https://www.abs.gov.au/statistics/economy/price-indexes-and-inflation/wage-price-index-australia/latest-release (accessed 23 October 2025).</w:t>
      </w:r>
    </w:p>
    <w:p w14:paraId="3BB2A56F" w14:textId="77777777" w:rsidR="002C0263" w:rsidRDefault="002C0263" w:rsidP="002C0263">
      <w:pPr>
        <w:pStyle w:val="Reference"/>
      </w:pPr>
      <w:r>
        <w:t xml:space="preserve">ACE (Australian Centre for Evaluation) 2025, </w:t>
      </w:r>
      <w:r>
        <w:rPr>
          <w:i/>
          <w:iCs/>
        </w:rPr>
        <w:t>Cost-Benefit Analysis</w:t>
      </w:r>
      <w:r>
        <w:t>, July, Canberra, ACT.</w:t>
      </w:r>
    </w:p>
    <w:p w14:paraId="4F81781A" w14:textId="77777777" w:rsidR="002C0263" w:rsidRDefault="002C0263" w:rsidP="002C0263">
      <w:pPr>
        <w:pStyle w:val="Reference"/>
      </w:pPr>
      <w:r>
        <w:t xml:space="preserve">ACIC (Australian Criminal Intelligence Commission) 2025, </w:t>
      </w:r>
      <w:r>
        <w:rPr>
          <w:i/>
          <w:iCs/>
        </w:rPr>
        <w:t>Media statement: National Continuous Checking Capability</w:t>
      </w:r>
      <w:r>
        <w:t>, https://www.acic.gov.au/media-centre/media-releases-and-statements/media-statement-national-continuous-checking-capability (accessed 17 November 2025).</w:t>
      </w:r>
    </w:p>
    <w:p w14:paraId="34E9630D" w14:textId="77777777" w:rsidR="002C0263" w:rsidRDefault="002C0263" w:rsidP="002C0263">
      <w:pPr>
        <w:pStyle w:val="Reference"/>
      </w:pPr>
      <w:r>
        <w:t xml:space="preserve">ACQSC (Aged Care Quality and Safety Commission) 2025a, </w:t>
      </w:r>
      <w:r>
        <w:rPr>
          <w:i/>
          <w:iCs/>
        </w:rPr>
        <w:t>Fees for providers: Cost recovery guide and scenarios</w:t>
      </w:r>
      <w:r>
        <w:t>, September, Canberra, ACT.</w:t>
      </w:r>
    </w:p>
    <w:p w14:paraId="7889A8E2" w14:textId="77777777" w:rsidR="002C0263" w:rsidRDefault="002C0263" w:rsidP="002C0263">
      <w:pPr>
        <w:pStyle w:val="Reference"/>
      </w:pPr>
      <w:r>
        <w:t xml:space="preserve">—— 2025b, </w:t>
      </w:r>
      <w:r>
        <w:rPr>
          <w:i/>
          <w:iCs/>
        </w:rPr>
        <w:t>Provider Handbook</w:t>
      </w:r>
      <w:r>
        <w:t>, https://www.agedcarequality.gov.au/provider-handbook (accessed 18 October 2025).</w:t>
      </w:r>
    </w:p>
    <w:p w14:paraId="5420EB06" w14:textId="77777777" w:rsidR="002C0263" w:rsidRDefault="002C0263" w:rsidP="002C0263">
      <w:pPr>
        <w:pStyle w:val="Reference"/>
      </w:pPr>
      <w:r>
        <w:t xml:space="preserve">AHHA (Australian Healthcare and Hospitals Association Limited) 2024, </w:t>
      </w:r>
      <w:r>
        <w:rPr>
          <w:i/>
          <w:iCs/>
        </w:rPr>
        <w:t xml:space="preserve">Australian collaborative commissioning program </w:t>
      </w:r>
      <w:r>
        <w:rPr>
          <w:i/>
          <w:iCs/>
        </w:rPr>
        <w:t>supporting frail and elderly recognised internationally</w:t>
      </w:r>
      <w:r>
        <w:t>, https://ahha.asn.au/australian-collaborative-commissioning-program-supporting-frail-and-elderly-recognised-internationally/ (accessed 26 June 2025).</w:t>
      </w:r>
    </w:p>
    <w:p w14:paraId="0DE52803" w14:textId="77777777" w:rsidR="002C0263" w:rsidRDefault="002C0263" w:rsidP="002C0263">
      <w:pPr>
        <w:pStyle w:val="Reference"/>
      </w:pPr>
      <w:r>
        <w:t xml:space="preserve">AIHW (Australian Institute of Health and Welfare) 2018, </w:t>
      </w:r>
      <w:r>
        <w:rPr>
          <w:i/>
          <w:iCs/>
        </w:rPr>
        <w:t>Aboriginal and Torres Strait Islander Stolen Generations and descendants: numbers, demographic characteristics and selected outcomes</w:t>
      </w:r>
      <w:r>
        <w:t>, Cat. no. IHW 195, Australian Institute of Health and Welfare, Canberra.</w:t>
      </w:r>
    </w:p>
    <w:p w14:paraId="2B3CC4F9" w14:textId="77777777" w:rsidR="002C0263" w:rsidRDefault="002C0263" w:rsidP="002C0263">
      <w:pPr>
        <w:pStyle w:val="Reference"/>
      </w:pPr>
      <w:r>
        <w:t xml:space="preserve">—— 2024, </w:t>
      </w:r>
      <w:r>
        <w:rPr>
          <w:i/>
          <w:iCs/>
        </w:rPr>
        <w:t>Australia’s health 2024: data insights: The ongoing challenge of chronic conditions in Australia</w:t>
      </w:r>
      <w:r>
        <w:t>, Web article, https://www.aihw.gov.au/reports/australias-health/chronic-conditions-challenge (accessed 14 November 2025).</w:t>
      </w:r>
    </w:p>
    <w:p w14:paraId="555D3BAE" w14:textId="77777777" w:rsidR="002C0263" w:rsidRDefault="002C0263" w:rsidP="002C0263">
      <w:pPr>
        <w:pStyle w:val="Reference"/>
      </w:pPr>
      <w:r>
        <w:t xml:space="preserve">—— 2025a, </w:t>
      </w:r>
      <w:r>
        <w:rPr>
          <w:i/>
          <w:iCs/>
        </w:rPr>
        <w:t>Emergency department care</w:t>
      </w:r>
      <w:r>
        <w:t>, https://www.aihw.gov.au/hospitals/topics/emergency-departments/presentations (accessed 21 October 2025).</w:t>
      </w:r>
    </w:p>
    <w:p w14:paraId="74C75707" w14:textId="77777777" w:rsidR="002C0263" w:rsidRDefault="002C0263" w:rsidP="002C0263">
      <w:pPr>
        <w:pStyle w:val="Reference"/>
      </w:pPr>
      <w:r>
        <w:t xml:space="preserve">—— 2025b, </w:t>
      </w:r>
      <w:r>
        <w:rPr>
          <w:i/>
          <w:iCs/>
        </w:rPr>
        <w:t>Medicare-subsidised GP, allied health and specialist health care across local areas: 2017</w:t>
      </w:r>
      <w:r>
        <w:rPr>
          <w:i/>
          <w:iCs/>
        </w:rPr>
        <w:noBreakHyphen/>
        <w:t>18 to 2023</w:t>
      </w:r>
      <w:r>
        <w:rPr>
          <w:i/>
          <w:iCs/>
        </w:rPr>
        <w:noBreakHyphen/>
        <w:t>24</w:t>
      </w:r>
      <w:r>
        <w:t xml:space="preserve">, </w:t>
      </w:r>
      <w:r w:rsidRPr="007C0FD9">
        <w:t>https://www.aihw.gov.au/reports/primary-health-care/medicare-subsidised-gp-allied-health-specialist/ (accessed</w:t>
      </w:r>
      <w:r>
        <w:t> </w:t>
      </w:r>
      <w:r w:rsidRPr="007C0FD9">
        <w:t>2</w:t>
      </w:r>
      <w:r>
        <w:t> </w:t>
      </w:r>
      <w:r w:rsidRPr="007C0FD9">
        <w:t>December</w:t>
      </w:r>
      <w:r>
        <w:t> </w:t>
      </w:r>
      <w:r w:rsidRPr="007C0FD9">
        <w:t>2025).</w:t>
      </w:r>
    </w:p>
    <w:p w14:paraId="1E629910" w14:textId="77777777" w:rsidR="002C0263" w:rsidRDefault="002C0263" w:rsidP="002C0263">
      <w:pPr>
        <w:pStyle w:val="Reference"/>
      </w:pPr>
      <w:r>
        <w:t xml:space="preserve">—— 2025c, </w:t>
      </w:r>
      <w:proofErr w:type="gramStart"/>
      <w:r>
        <w:rPr>
          <w:i/>
          <w:iCs/>
        </w:rPr>
        <w:t>Potentially</w:t>
      </w:r>
      <w:proofErr w:type="gramEnd"/>
      <w:r>
        <w:rPr>
          <w:i/>
          <w:iCs/>
        </w:rPr>
        <w:t xml:space="preserve"> preventable hospitalisations</w:t>
      </w:r>
      <w:r>
        <w:t>, https://www.aihw.gov.au/hospitals/topics/admitted-patient-safety-and-quality/potentially-preventable-hospitalisations (accessed 31 July 2025).</w:t>
      </w:r>
    </w:p>
    <w:p w14:paraId="4796B57B" w14:textId="0BCBADA3" w:rsidR="002C0263" w:rsidRPr="00D04804" w:rsidRDefault="002C0263" w:rsidP="002C0263">
      <w:pPr>
        <w:pStyle w:val="Reference"/>
        <w:rPr>
          <w:spacing w:val="-4"/>
        </w:rPr>
      </w:pPr>
      <w:r w:rsidRPr="00D04804">
        <w:rPr>
          <w:spacing w:val="-4"/>
        </w:rPr>
        <w:t xml:space="preserve">—— 2025d, </w:t>
      </w:r>
      <w:proofErr w:type="gramStart"/>
      <w:r w:rsidRPr="00D04804">
        <w:rPr>
          <w:i/>
          <w:iCs/>
          <w:spacing w:val="-4"/>
        </w:rPr>
        <w:t>Potentially</w:t>
      </w:r>
      <w:proofErr w:type="gramEnd"/>
      <w:r w:rsidRPr="00D04804">
        <w:rPr>
          <w:i/>
          <w:iCs/>
          <w:spacing w:val="-4"/>
        </w:rPr>
        <w:t xml:space="preserve"> preventable hospitalisations in Australia by small geographic areas: 2017</w:t>
      </w:r>
      <w:r w:rsidRPr="00D04804">
        <w:rPr>
          <w:i/>
          <w:iCs/>
          <w:spacing w:val="-4"/>
        </w:rPr>
        <w:noBreakHyphen/>
        <w:t>18 to 2022</w:t>
      </w:r>
      <w:r w:rsidRPr="00D04804">
        <w:rPr>
          <w:i/>
          <w:iCs/>
          <w:spacing w:val="-4"/>
        </w:rPr>
        <w:noBreakHyphen/>
        <w:t>23</w:t>
      </w:r>
      <w:r w:rsidRPr="00D04804">
        <w:rPr>
          <w:spacing w:val="-4"/>
        </w:rPr>
        <w:t>, https://www.aihw.gov.au/reports/primary-health-care/potentially-preventable-hospitalisations-2017-2023/contents/potentially-preventable-hospitalisations (accessed 3 June 2025).</w:t>
      </w:r>
    </w:p>
    <w:p w14:paraId="7BBD1223" w14:textId="77777777" w:rsidR="002C0263" w:rsidRDefault="002C0263" w:rsidP="002C0263">
      <w:pPr>
        <w:pStyle w:val="Reference"/>
      </w:pPr>
      <w:r>
        <w:t xml:space="preserve">Alcohol and Drug Foundation 2019, </w:t>
      </w:r>
      <w:r>
        <w:rPr>
          <w:i/>
          <w:iCs/>
        </w:rPr>
        <w:t>Drug education in schools</w:t>
      </w:r>
      <w:r>
        <w:t>, Position paper.</w:t>
      </w:r>
    </w:p>
    <w:p w14:paraId="1F6DBC7B" w14:textId="77777777" w:rsidR="002C0263" w:rsidRDefault="002C0263" w:rsidP="002C0263">
      <w:pPr>
        <w:pStyle w:val="Reference"/>
      </w:pPr>
      <w:r>
        <w:t xml:space="preserve">ALRC (Australian Law Reform Commission) 2017, </w:t>
      </w:r>
      <w:r>
        <w:rPr>
          <w:i/>
          <w:iCs/>
        </w:rPr>
        <w:t>Pathways to justice–Inquiry into the incarceration rate of Aboriginal and Torres Strait Islander peoples</w:t>
      </w:r>
      <w:r>
        <w:t>, Final Report no. 133.</w:t>
      </w:r>
    </w:p>
    <w:p w14:paraId="4FE48696" w14:textId="77777777" w:rsidR="002C0263" w:rsidRDefault="002C0263" w:rsidP="002C0263">
      <w:pPr>
        <w:pStyle w:val="Reference"/>
      </w:pPr>
      <w:r>
        <w:t xml:space="preserve">Ammi, M, Arpin, E, </w:t>
      </w:r>
      <w:proofErr w:type="spellStart"/>
      <w:r>
        <w:t>Dedewanou</w:t>
      </w:r>
      <w:proofErr w:type="spellEnd"/>
      <w:r>
        <w:t xml:space="preserve">, FA and Allin, S 2024, ‘Do expenditures on public health reduce preventable mortality in the long run? Evidence from the Canadian provinces’, </w:t>
      </w:r>
      <w:r>
        <w:rPr>
          <w:i/>
          <w:iCs/>
        </w:rPr>
        <w:t>Social Science &amp; Medicine</w:t>
      </w:r>
      <w:r>
        <w:t>, vol. 345, p. 116696.</w:t>
      </w:r>
    </w:p>
    <w:p w14:paraId="0D0C0269" w14:textId="77777777" w:rsidR="002C0263" w:rsidRDefault="002C0263" w:rsidP="002C0263">
      <w:pPr>
        <w:pStyle w:val="Reference"/>
      </w:pPr>
      <w:proofErr w:type="spellStart"/>
      <w:r>
        <w:t>Ananthapavan</w:t>
      </w:r>
      <w:proofErr w:type="spellEnd"/>
      <w:r>
        <w:t xml:space="preserve">, J, </w:t>
      </w:r>
      <w:proofErr w:type="spellStart"/>
      <w:r>
        <w:t>Rychetnik</w:t>
      </w:r>
      <w:proofErr w:type="spellEnd"/>
      <w:r>
        <w:t xml:space="preserve">, L, Mitchell, J, Chevalier, A, Howse, E and Signy, H 2024, </w:t>
      </w:r>
      <w:r>
        <w:rPr>
          <w:i/>
          <w:iCs/>
        </w:rPr>
        <w:t>Economics of prevention</w:t>
      </w:r>
      <w:r>
        <w:t>, The Australian Prevention Partnership Centre.</w:t>
      </w:r>
    </w:p>
    <w:p w14:paraId="20C5286C" w14:textId="773CE753" w:rsidR="002C0263" w:rsidRDefault="002C0263" w:rsidP="002C0263">
      <w:pPr>
        <w:pStyle w:val="Reference"/>
      </w:pPr>
      <w:r>
        <w:t xml:space="preserve">——, Sacks, G, Brown, V, Moodie, M, Nguyen, P, Veerman, L, Mantilla Herrera, AM, Lal, A, Peeters, A and Carter, R 2020, ‘Priority-setting for obesity prevention </w:t>
      </w:r>
      <w:r w:rsidR="008A4E71">
        <w:t>–</w:t>
      </w:r>
      <w:r>
        <w:t xml:space="preserve"> The assessing cost-effectiveness of obesity prevention policies in Australia (ACE-Obesity Policy) study’, </w:t>
      </w:r>
      <w:proofErr w:type="spellStart"/>
      <w:r>
        <w:rPr>
          <w:i/>
          <w:iCs/>
        </w:rPr>
        <w:t>PLoS</w:t>
      </w:r>
      <w:proofErr w:type="spellEnd"/>
      <w:r>
        <w:rPr>
          <w:i/>
          <w:iCs/>
        </w:rPr>
        <w:t xml:space="preserve"> ONE</w:t>
      </w:r>
      <w:r>
        <w:t>, vol. 15, no. 6.</w:t>
      </w:r>
    </w:p>
    <w:p w14:paraId="46AC8C81" w14:textId="77777777" w:rsidR="002C0263" w:rsidRDefault="002C0263" w:rsidP="002C0263">
      <w:pPr>
        <w:pStyle w:val="Reference"/>
      </w:pPr>
      <w:r>
        <w:t xml:space="preserve">ANAO (Australian National Audit Office) 2024, </w:t>
      </w:r>
      <w:r>
        <w:rPr>
          <w:i/>
          <w:iCs/>
        </w:rPr>
        <w:t>Effectiveness of the Department of Health and Aged Care’s performance management of Primary Health Networks</w:t>
      </w:r>
      <w:r>
        <w:t>, Performance Audit Report, 27 February, Auditor General Report No. 19 2023</w:t>
      </w:r>
      <w:r>
        <w:noBreakHyphen/>
        <w:t>24.</w:t>
      </w:r>
    </w:p>
    <w:p w14:paraId="6496FF76" w14:textId="77777777" w:rsidR="002C0263" w:rsidRDefault="002C0263" w:rsidP="002C0263">
      <w:pPr>
        <w:pStyle w:val="Reference"/>
      </w:pPr>
      <w:r>
        <w:t xml:space="preserve">ANZSOG (Australia and New Zealand School of Government) 2022, </w:t>
      </w:r>
      <w:r>
        <w:rPr>
          <w:i/>
          <w:iCs/>
        </w:rPr>
        <w:t xml:space="preserve">Implementing the Early Intervention Investment Framework: a report to the Victorian Department of Treasury </w:t>
      </w:r>
      <w:r>
        <w:rPr>
          <w:i/>
          <w:iCs/>
        </w:rPr>
        <w:lastRenderedPageBreak/>
        <w:t>and Finance</w:t>
      </w:r>
      <w:r>
        <w:t>, Research Insights, Australia and New Zealand School of Government.</w:t>
      </w:r>
    </w:p>
    <w:p w14:paraId="0FD34077" w14:textId="77777777" w:rsidR="002C0263" w:rsidRDefault="002C0263" w:rsidP="002C0263">
      <w:pPr>
        <w:pStyle w:val="Reference"/>
      </w:pPr>
      <w:r>
        <w:t>Asmar, MLE, Karki, M, Mall, B, Riboli-</w:t>
      </w:r>
      <w:proofErr w:type="spellStart"/>
      <w:r>
        <w:t>Sasco</w:t>
      </w:r>
      <w:proofErr w:type="spellEnd"/>
      <w:r>
        <w:t xml:space="preserve">, E and El-Osta, A 2024, ‘Components of joint health and wellbeing strategies: a pan-London review of all 33 local authorities’, </w:t>
      </w:r>
      <w:r>
        <w:rPr>
          <w:i/>
          <w:iCs/>
        </w:rPr>
        <w:t>BMC Public Health</w:t>
      </w:r>
      <w:r>
        <w:t>, vol. 24, no. 3432.</w:t>
      </w:r>
    </w:p>
    <w:p w14:paraId="365CCC9A" w14:textId="77777777" w:rsidR="002C0263" w:rsidRDefault="002C0263" w:rsidP="002C0263">
      <w:pPr>
        <w:pStyle w:val="Reference"/>
      </w:pPr>
      <w:r>
        <w:t xml:space="preserve">Australian Government 2023, </w:t>
      </w:r>
      <w:r>
        <w:rPr>
          <w:i/>
          <w:iCs/>
        </w:rPr>
        <w:t>Strengthening Medicare taskforce report</w:t>
      </w:r>
      <w:r>
        <w:t>, Canberra.</w:t>
      </w:r>
    </w:p>
    <w:p w14:paraId="212212B4" w14:textId="77777777" w:rsidR="002C0263" w:rsidRDefault="002C0263" w:rsidP="002C0263">
      <w:pPr>
        <w:pStyle w:val="Reference"/>
      </w:pPr>
      <w:r>
        <w:t xml:space="preserve">Bates, S, Wright, M and Harris-Roxas, B 2022, ‘Strengths and risks of the Primary Health Network commissioning model’, </w:t>
      </w:r>
      <w:r>
        <w:rPr>
          <w:i/>
          <w:iCs/>
        </w:rPr>
        <w:t>Australian Health Review</w:t>
      </w:r>
      <w:r>
        <w:t>, vol. 46, no. 5, pp. 586–594.</w:t>
      </w:r>
    </w:p>
    <w:p w14:paraId="3334464D" w14:textId="77777777" w:rsidR="002C0263" w:rsidRDefault="002C0263" w:rsidP="002C0263">
      <w:pPr>
        <w:pStyle w:val="Reference"/>
      </w:pPr>
      <w:r>
        <w:t xml:space="preserve">BCA (Business Council of Australia) 2025, </w:t>
      </w:r>
      <w:r>
        <w:rPr>
          <w:i/>
          <w:iCs/>
        </w:rPr>
        <w:t>Accelerating Australia’s AI agenda</w:t>
      </w:r>
      <w:r>
        <w:t>.</w:t>
      </w:r>
    </w:p>
    <w:p w14:paraId="7779D9AD" w14:textId="77777777" w:rsidR="002C0263" w:rsidRDefault="002C0263" w:rsidP="002C0263">
      <w:pPr>
        <w:pStyle w:val="Reference"/>
      </w:pPr>
      <w:r>
        <w:t xml:space="preserve">Boer, H, McCalman, J, Doran, C, Rush, A, Mitchell, B, Fagan, R, Whiting, E, Kreis, M, Johnson, H and Lyon, D 2025, ‘Commissioning health services for First Nations, regional, and remote populations: a scoping review’, </w:t>
      </w:r>
      <w:r>
        <w:rPr>
          <w:i/>
          <w:iCs/>
        </w:rPr>
        <w:t>BMC Health Services Research</w:t>
      </w:r>
      <w:r>
        <w:t>, vol. 25, no. 27.</w:t>
      </w:r>
    </w:p>
    <w:p w14:paraId="18A0BCA8" w14:textId="77777777" w:rsidR="002C0263" w:rsidRDefault="002C0263" w:rsidP="002C0263">
      <w:pPr>
        <w:pStyle w:val="Reference"/>
      </w:pPr>
      <w:r>
        <w:t xml:space="preserve">Bowles, D, Smith, W, Gaukroger, C and Sollis, K 2025, </w:t>
      </w:r>
      <w:r>
        <w:rPr>
          <w:i/>
          <w:iCs/>
        </w:rPr>
        <w:t>Avoidable costs: Better outcomes and better value for public money</w:t>
      </w:r>
      <w:r>
        <w:t>, Centre for Policy Development.</w:t>
      </w:r>
    </w:p>
    <w:p w14:paraId="697247C7" w14:textId="77777777" w:rsidR="002C0263" w:rsidRDefault="002C0263" w:rsidP="002C0263">
      <w:pPr>
        <w:pStyle w:val="Reference"/>
      </w:pPr>
      <w:r>
        <w:t xml:space="preserve">Breadon, P, Romanes, D, Fox, L, Bolton, J and Richardson, L 2022, </w:t>
      </w:r>
      <w:r>
        <w:rPr>
          <w:i/>
          <w:iCs/>
        </w:rPr>
        <w:t>A new Medicare: strengthening general practice</w:t>
      </w:r>
      <w:r>
        <w:t>, Grattan Institute.</w:t>
      </w:r>
    </w:p>
    <w:p w14:paraId="603899D2" w14:textId="3BFB2ACF" w:rsidR="002C0263" w:rsidRDefault="002C0263" w:rsidP="002C0263">
      <w:pPr>
        <w:pStyle w:val="Reference"/>
      </w:pPr>
      <w:r>
        <w:t xml:space="preserve">Brisbane North PHN 2025, </w:t>
      </w:r>
      <w:r>
        <w:rPr>
          <w:i/>
          <w:iCs/>
        </w:rPr>
        <w:t>Innovation: Stakeholders showcase Care Collective’s impact</w:t>
      </w:r>
      <w:r>
        <w:t>, https://brisbanenorthphn.org.au/blog/</w:t>
      </w:r>
      <w:r w:rsidR="008A4E71">
        <w:br/>
      </w:r>
      <w:r>
        <w:t>innovation-stakeholders-showcase-care-collectives-impact (accessed 28 October 2025).</w:t>
      </w:r>
    </w:p>
    <w:p w14:paraId="76720924" w14:textId="77777777" w:rsidR="002C0263" w:rsidRDefault="002C0263" w:rsidP="002C0263">
      <w:pPr>
        <w:pStyle w:val="Reference"/>
      </w:pPr>
      <w:r>
        <w:t xml:space="preserve">Brown, V, Sheppard, L, Salmon, J, Arundell, L, Cerin, E, </w:t>
      </w:r>
      <w:proofErr w:type="spellStart"/>
      <w:r>
        <w:t>Ridgers</w:t>
      </w:r>
      <w:proofErr w:type="spellEnd"/>
      <w:r>
        <w:t xml:space="preserve">, ND, Hesketh, KD, Daly, RM, Dunstan, DW, Brown, H, Gatta, JD, </w:t>
      </w:r>
      <w:proofErr w:type="spellStart"/>
      <w:r>
        <w:t>Chinapaw</w:t>
      </w:r>
      <w:proofErr w:type="spellEnd"/>
      <w:r>
        <w:t xml:space="preserve">, JMM and Moodie, M 2024, ‘Cost-effectiveness of reducing children’s sedentary time and increasing physical activity at school: the Transform-Us! intervention’, </w:t>
      </w:r>
      <w:r>
        <w:rPr>
          <w:i/>
          <w:iCs/>
        </w:rPr>
        <w:t xml:space="preserve">International Journal of </w:t>
      </w:r>
      <w:proofErr w:type="spellStart"/>
      <w:r>
        <w:rPr>
          <w:i/>
          <w:iCs/>
        </w:rPr>
        <w:t>Behavioral</w:t>
      </w:r>
      <w:proofErr w:type="spellEnd"/>
      <w:r>
        <w:rPr>
          <w:i/>
          <w:iCs/>
        </w:rPr>
        <w:t xml:space="preserve"> Nutrition and Physical Activity</w:t>
      </w:r>
      <w:r>
        <w:t>, vol. 21, no. 15.</w:t>
      </w:r>
    </w:p>
    <w:p w14:paraId="0FD5B3F3" w14:textId="77777777" w:rsidR="002C0263" w:rsidRDefault="002C0263" w:rsidP="002C0263">
      <w:pPr>
        <w:pStyle w:val="Reference"/>
      </w:pPr>
      <w:r>
        <w:t xml:space="preserve">Butler, M 2025, </w:t>
      </w:r>
      <w:r>
        <w:rPr>
          <w:i/>
          <w:iCs/>
        </w:rPr>
        <w:t>Statement from Minister Butler - on becoming Minister for Health and Ageing and Minister for Disability and the NDIS</w:t>
      </w:r>
      <w:r>
        <w:t>, Statement, 12 May.</w:t>
      </w:r>
    </w:p>
    <w:p w14:paraId="14652D26" w14:textId="77777777" w:rsidR="002C0263" w:rsidRDefault="002C0263" w:rsidP="002C0263">
      <w:pPr>
        <w:pStyle w:val="Reference"/>
      </w:pPr>
      <w:r>
        <w:t xml:space="preserve">Campbell, FA, </w:t>
      </w:r>
      <w:proofErr w:type="spellStart"/>
      <w:r>
        <w:t>Pungello</w:t>
      </w:r>
      <w:proofErr w:type="spellEnd"/>
      <w:r>
        <w:t xml:space="preserve">, EP, Burchinal, M, Kainz, K, Pan, Y, Wasik, BH, Barbarin, OA, Sparling, JJ and Ramey, CT 2012, ‘Adult outcomes as a function of an early childhood educational program: An Abecedarian Project follow-up’, American Psychological Association, US, </w:t>
      </w:r>
      <w:r>
        <w:rPr>
          <w:i/>
          <w:iCs/>
        </w:rPr>
        <w:t>Developmental Psychology</w:t>
      </w:r>
      <w:r>
        <w:t>, vol. 48, no. 4, pp. 1033–1043.</w:t>
      </w:r>
    </w:p>
    <w:p w14:paraId="0881C34E" w14:textId="602269D9" w:rsidR="002C0263" w:rsidRDefault="002C0263" w:rsidP="002C0263">
      <w:pPr>
        <w:pStyle w:val="Reference"/>
      </w:pPr>
      <w:r>
        <w:t xml:space="preserve">Chalmers, J (Treasurer) 2025, </w:t>
      </w:r>
      <w:r>
        <w:rPr>
          <w:i/>
          <w:iCs/>
        </w:rPr>
        <w:t>Treasurers agree reforms to increase competition and boost productivity</w:t>
      </w:r>
      <w:r>
        <w:t>, Media release, 28</w:t>
      </w:r>
      <w:r w:rsidR="008A4E71">
        <w:t> </w:t>
      </w:r>
      <w:r>
        <w:t>November.</w:t>
      </w:r>
    </w:p>
    <w:p w14:paraId="752E3929" w14:textId="77777777" w:rsidR="002C0263" w:rsidRDefault="002C0263" w:rsidP="002C0263">
      <w:pPr>
        <w:pStyle w:val="Reference"/>
      </w:pPr>
      <w:r>
        <w:t xml:space="preserve">Chamberlain, C, Ralph, N, Hokke, S, Clark, Y, Gee, G, Stansfield, C, Sutcliffe, K, Brown, SJ and Brennan, S 2019, ‘Healing the past by nurturing the future: a qualitative systematic review and meta-synthesis of pregnancy, birth and early postpartum experiences and views of parents with a history of childhood maltreatment’, </w:t>
      </w:r>
      <w:proofErr w:type="spellStart"/>
      <w:r>
        <w:rPr>
          <w:i/>
          <w:iCs/>
        </w:rPr>
        <w:t>PloS</w:t>
      </w:r>
      <w:proofErr w:type="spellEnd"/>
      <w:r>
        <w:rPr>
          <w:i/>
          <w:iCs/>
        </w:rPr>
        <w:t xml:space="preserve"> One</w:t>
      </w:r>
      <w:r>
        <w:t>, vol. 14, no. 12, p. e0225441.</w:t>
      </w:r>
    </w:p>
    <w:p w14:paraId="0953D215" w14:textId="77777777" w:rsidR="002C0263" w:rsidRDefault="002C0263" w:rsidP="002C0263">
      <w:pPr>
        <w:pStyle w:val="Reference"/>
      </w:pPr>
      <w:r>
        <w:t xml:space="preserve">Cheung, NW, Crampton, M, </w:t>
      </w:r>
      <w:proofErr w:type="spellStart"/>
      <w:r>
        <w:t>Nesire</w:t>
      </w:r>
      <w:proofErr w:type="spellEnd"/>
      <w:r>
        <w:t xml:space="preserve">, V, Hng, TM and Chow, CK 2019, ‘Model for integrated care for chronic disease in the Australian context: Western Sydney Integrated Care Program’, </w:t>
      </w:r>
      <w:r>
        <w:rPr>
          <w:i/>
          <w:iCs/>
        </w:rPr>
        <w:t>Australian Health Review</w:t>
      </w:r>
      <w:r>
        <w:t>, vol. 43, no. 5, pp. 565–571.</w:t>
      </w:r>
    </w:p>
    <w:p w14:paraId="6FAF3097" w14:textId="77777777" w:rsidR="002C0263" w:rsidRDefault="002C0263" w:rsidP="002C0263">
      <w:pPr>
        <w:pStyle w:val="Reference"/>
      </w:pPr>
      <w:r>
        <w:t xml:space="preserve">Collins, LG, Minto, C, Ledger, M, Blane, S and Hendrie, D 2024, ‘Cost-effectiveness analysis and return on investment of SunSmart Western Australia to prevent skin cancer’, </w:t>
      </w:r>
      <w:r>
        <w:rPr>
          <w:i/>
          <w:iCs/>
        </w:rPr>
        <w:t>Health Promotion International</w:t>
      </w:r>
      <w:r>
        <w:t>, vol. 39, no. 4, p. daae091.</w:t>
      </w:r>
    </w:p>
    <w:p w14:paraId="2EE7FD34" w14:textId="77777777" w:rsidR="002C0263" w:rsidRDefault="002C0263" w:rsidP="002C0263">
      <w:pPr>
        <w:pStyle w:val="Reference"/>
      </w:pPr>
      <w:r>
        <w:t xml:space="preserve">Commonwealth of Australia 2021, </w:t>
      </w:r>
      <w:r>
        <w:rPr>
          <w:i/>
          <w:iCs/>
        </w:rPr>
        <w:t>2021-22 Budget paper no. 2</w:t>
      </w:r>
      <w:r>
        <w:t>.</w:t>
      </w:r>
    </w:p>
    <w:p w14:paraId="14E9808C" w14:textId="77777777" w:rsidR="002C0263" w:rsidRPr="008A4E71" w:rsidRDefault="002C0263" w:rsidP="002C0263">
      <w:pPr>
        <w:pStyle w:val="Reference"/>
        <w:rPr>
          <w:spacing w:val="-4"/>
        </w:rPr>
      </w:pPr>
      <w:r w:rsidRPr="008A4E71">
        <w:rPr>
          <w:spacing w:val="-4"/>
        </w:rPr>
        <w:t xml:space="preserve">—— 2023, </w:t>
      </w:r>
      <w:r w:rsidRPr="008A4E71">
        <w:rPr>
          <w:i/>
          <w:iCs/>
          <w:spacing w:val="-4"/>
        </w:rPr>
        <w:t>Intergenerational report 2023</w:t>
      </w:r>
      <w:r w:rsidRPr="008A4E71">
        <w:rPr>
          <w:spacing w:val="-4"/>
        </w:rPr>
        <w:t>, 24 August, Canberra.</w:t>
      </w:r>
    </w:p>
    <w:p w14:paraId="5CF5275E" w14:textId="77777777" w:rsidR="002C0263" w:rsidRDefault="002C0263" w:rsidP="002C0263">
      <w:pPr>
        <w:pStyle w:val="Reference"/>
      </w:pPr>
      <w:r>
        <w:t xml:space="preserve">—— 2025, </w:t>
      </w:r>
      <w:r>
        <w:rPr>
          <w:i/>
          <w:iCs/>
        </w:rPr>
        <w:t>National Competition Policy: National approach to worker screening in the care and support economy</w:t>
      </w:r>
      <w:r>
        <w:t>, September.</w:t>
      </w:r>
    </w:p>
    <w:p w14:paraId="43F416F1" w14:textId="77777777" w:rsidR="002C0263" w:rsidRDefault="002C0263" w:rsidP="002C0263">
      <w:pPr>
        <w:pStyle w:val="Reference"/>
      </w:pPr>
      <w:r>
        <w:t xml:space="preserve">Conway, J, Dilworth, S, </w:t>
      </w:r>
      <w:proofErr w:type="spellStart"/>
      <w:r>
        <w:t>Hullick</w:t>
      </w:r>
      <w:proofErr w:type="spellEnd"/>
      <w:r>
        <w:t xml:space="preserve">, C, Hewitt, J, Turner, C and Higgins, I 2015, ‘A multi-organisation aged care emergency service for acute care management of older residents in aged care facilities’, </w:t>
      </w:r>
      <w:r>
        <w:rPr>
          <w:i/>
          <w:iCs/>
        </w:rPr>
        <w:t>Australian Health Review</w:t>
      </w:r>
      <w:r>
        <w:t>, vol. 39, no. 5, pp. 514–516.</w:t>
      </w:r>
    </w:p>
    <w:p w14:paraId="0620F492" w14:textId="77777777" w:rsidR="002C0263" w:rsidRDefault="002C0263" w:rsidP="002C0263">
      <w:pPr>
        <w:pStyle w:val="Reference"/>
      </w:pPr>
      <w:r>
        <w:t xml:space="preserve">Coram, V, Lester, L, </w:t>
      </w:r>
      <w:proofErr w:type="spellStart"/>
      <w:r>
        <w:t>Tually</w:t>
      </w:r>
      <w:proofErr w:type="spellEnd"/>
      <w:r>
        <w:t xml:space="preserve">, S, Kyron, M, McKinley, K, Flatau, P and Goodwin-Smith, I 2022, </w:t>
      </w:r>
      <w:r>
        <w:rPr>
          <w:i/>
          <w:iCs/>
        </w:rPr>
        <w:t>Evaluation of the Aspire Social Impact Bond: final report</w:t>
      </w:r>
      <w:r>
        <w:t>, Centre for Social Impact, Flinders University, The University of Western Australia.</w:t>
      </w:r>
    </w:p>
    <w:p w14:paraId="3953306C" w14:textId="77777777" w:rsidR="002C0263" w:rsidRDefault="002C0263" w:rsidP="002C0263">
      <w:pPr>
        <w:pStyle w:val="Reference"/>
      </w:pPr>
      <w:r>
        <w:t xml:space="preserve">Creamer, S, Blair, S, Toombs, M and Brolan, CE 2022, ‘Indigenous services leading the way for Aboriginal and Torres Strait Islander children in out-of-home care’, </w:t>
      </w:r>
      <w:r>
        <w:rPr>
          <w:i/>
          <w:iCs/>
        </w:rPr>
        <w:t>The International Journal</w:t>
      </w:r>
      <w:r>
        <w:t>, vol. 43, no. 4, pp. 913–937.</w:t>
      </w:r>
    </w:p>
    <w:p w14:paraId="47757F98" w14:textId="77777777" w:rsidR="002C0263" w:rsidRDefault="002C0263" w:rsidP="002C0263">
      <w:pPr>
        <w:pStyle w:val="Reference"/>
      </w:pPr>
      <w:r>
        <w:t xml:space="preserve">Crocker, H, Kelly, L, Harlock, J, Fitzpatrick, R and Peters, M 2020, ‘Measuring the benefits of the integration of health and social care: qualitative interviews with professional stakeholders and patient representatives’, </w:t>
      </w:r>
      <w:r>
        <w:rPr>
          <w:i/>
          <w:iCs/>
        </w:rPr>
        <w:t>BMC Health Services Research</w:t>
      </w:r>
      <w:r>
        <w:t>, vol. 20, no. 1, p. 515.</w:t>
      </w:r>
    </w:p>
    <w:p w14:paraId="01ACB454" w14:textId="77777777" w:rsidR="002C0263" w:rsidRDefault="002C0263" w:rsidP="002C0263">
      <w:pPr>
        <w:pStyle w:val="Reference"/>
      </w:pPr>
      <w:r>
        <w:t>Dalziel, K and Segal, L 2012, ‘Home visiting programmes for the prevention of child maltreatment: cost-effectiveness of 33 programmes’, BMJ Publishing Group Ltd.</w:t>
      </w:r>
    </w:p>
    <w:p w14:paraId="598EA047" w14:textId="77777777" w:rsidR="002C0263" w:rsidRDefault="002C0263" w:rsidP="002C0263">
      <w:pPr>
        <w:pStyle w:val="Reference"/>
      </w:pPr>
      <w:r>
        <w:t xml:space="preserve">Darwin, L, Vervoort, S, Vollert, E and Bluestein, S 2023, </w:t>
      </w:r>
      <w:r>
        <w:rPr>
          <w:i/>
          <w:iCs/>
        </w:rPr>
        <w:t>Intergenerational trauma and mental health</w:t>
      </w:r>
      <w:r>
        <w:t>, AIHW.</w:t>
      </w:r>
    </w:p>
    <w:p w14:paraId="4FA7B29D" w14:textId="4F376359" w:rsidR="002C0263" w:rsidRDefault="002C0263" w:rsidP="002C0263">
      <w:pPr>
        <w:pStyle w:val="Reference"/>
      </w:pPr>
      <w:r>
        <w:t xml:space="preserve">DoE (Australian Government Department of Education) 2025, </w:t>
      </w:r>
      <w:r>
        <w:rPr>
          <w:i/>
          <w:iCs/>
        </w:rPr>
        <w:t>Joint action on strengthening the safety and quality of early childhood education and care across Australia</w:t>
      </w:r>
      <w:r>
        <w:t>, https://www.education.gov.au/early-childhood/announcements/</w:t>
      </w:r>
      <w:r w:rsidR="008A4E71">
        <w:br/>
      </w:r>
      <w:r>
        <w:t>joint-action-child-safety (accessed 24 October 2025).</w:t>
      </w:r>
    </w:p>
    <w:p w14:paraId="6F7C1450" w14:textId="77777777" w:rsidR="002C0263" w:rsidRDefault="002C0263" w:rsidP="002C0263">
      <w:pPr>
        <w:pStyle w:val="Reference"/>
      </w:pPr>
      <w:proofErr w:type="spellStart"/>
      <w:r>
        <w:t>DoH</w:t>
      </w:r>
      <w:proofErr w:type="spellEnd"/>
      <w:r>
        <w:t xml:space="preserve"> (Australian Government Department of Health) 2021a, </w:t>
      </w:r>
      <w:r>
        <w:rPr>
          <w:i/>
          <w:iCs/>
        </w:rPr>
        <w:t>Aligning regulation across aged care, disability support and veterans’ care: Consultation paper</w:t>
      </w:r>
      <w:r>
        <w:t>.</w:t>
      </w:r>
    </w:p>
    <w:p w14:paraId="062434C1" w14:textId="77777777" w:rsidR="002C0263" w:rsidRDefault="002C0263" w:rsidP="002C0263">
      <w:pPr>
        <w:pStyle w:val="Reference"/>
      </w:pPr>
      <w:r>
        <w:t xml:space="preserve">—— 2021b, </w:t>
      </w:r>
      <w:r>
        <w:rPr>
          <w:i/>
          <w:iCs/>
        </w:rPr>
        <w:t>Background paper on aligning regulation across Australia’s care and support sectors</w:t>
      </w:r>
      <w:r>
        <w:t>.</w:t>
      </w:r>
    </w:p>
    <w:p w14:paraId="360894F9" w14:textId="77777777" w:rsidR="002C0263" w:rsidRDefault="002C0263" w:rsidP="002C0263">
      <w:pPr>
        <w:pStyle w:val="Reference"/>
      </w:pPr>
      <w:r>
        <w:t xml:space="preserve">—— 2021c, </w:t>
      </w:r>
      <w:r>
        <w:rPr>
          <w:i/>
          <w:iCs/>
        </w:rPr>
        <w:t>National preventive health strategy 2021–2030</w:t>
      </w:r>
      <w:r>
        <w:t>.</w:t>
      </w:r>
    </w:p>
    <w:p w14:paraId="0247EB87" w14:textId="77777777" w:rsidR="002C0263" w:rsidRDefault="002C0263" w:rsidP="002C0263">
      <w:pPr>
        <w:pStyle w:val="Reference"/>
      </w:pPr>
      <w:r>
        <w:t xml:space="preserve">—— 2022, </w:t>
      </w:r>
      <w:r>
        <w:rPr>
          <w:i/>
          <w:iCs/>
        </w:rPr>
        <w:t>Summary of consultation findings: Consultation on harmonisation of care and support regulation - Phase 1</w:t>
      </w:r>
      <w:r>
        <w:t>.</w:t>
      </w:r>
    </w:p>
    <w:p w14:paraId="1C235012" w14:textId="0CDE4023" w:rsidR="002C0263" w:rsidRDefault="002C0263" w:rsidP="002C0263">
      <w:pPr>
        <w:pStyle w:val="Reference"/>
      </w:pPr>
      <w:proofErr w:type="spellStart"/>
      <w:r>
        <w:t>DoHAC</w:t>
      </w:r>
      <w:proofErr w:type="spellEnd"/>
      <w:r>
        <w:t xml:space="preserve"> (Australian Government Department of Health and Aged Care) 2022, </w:t>
      </w:r>
      <w:r>
        <w:rPr>
          <w:i/>
          <w:iCs/>
        </w:rPr>
        <w:t xml:space="preserve">Restrictive practice </w:t>
      </w:r>
      <w:proofErr w:type="gramStart"/>
      <w:r>
        <w:rPr>
          <w:i/>
          <w:iCs/>
        </w:rPr>
        <w:t>use</w:t>
      </w:r>
      <w:proofErr w:type="gramEnd"/>
      <w:r>
        <w:rPr>
          <w:i/>
          <w:iCs/>
        </w:rPr>
        <w:t xml:space="preserve"> in residential aged care</w:t>
      </w:r>
      <w:r>
        <w:t>, https://www.health.gov.au/sites/default/files/2022-11/</w:t>
      </w:r>
      <w:r w:rsidR="0077074F">
        <w:br/>
      </w:r>
      <w:r>
        <w:t>types-of-restrictive-practices.pdf (accessed 5 November 2025).</w:t>
      </w:r>
    </w:p>
    <w:p w14:paraId="11C37499" w14:textId="77777777" w:rsidR="002C0263" w:rsidRDefault="002C0263" w:rsidP="002C0263">
      <w:pPr>
        <w:pStyle w:val="Reference"/>
      </w:pPr>
      <w:r>
        <w:t xml:space="preserve">—— 2024, </w:t>
      </w:r>
      <w:r>
        <w:rPr>
          <w:i/>
          <w:iCs/>
        </w:rPr>
        <w:t>Aged Care Bill 2024 impact analysis equivalent, Certification letter and supplementary analysis</w:t>
      </w:r>
      <w:r>
        <w:t>, Office of Impact Analysis.</w:t>
      </w:r>
    </w:p>
    <w:p w14:paraId="125CC297" w14:textId="77777777" w:rsidR="002C0263" w:rsidRDefault="002C0263" w:rsidP="002C0263">
      <w:pPr>
        <w:pStyle w:val="Reference"/>
      </w:pPr>
      <w:r>
        <w:t xml:space="preserve">—— 2025, </w:t>
      </w:r>
      <w:r>
        <w:rPr>
          <w:i/>
          <w:iCs/>
        </w:rPr>
        <w:t>A new rights-based Aged Care Act</w:t>
      </w:r>
      <w:r>
        <w:t>.</w:t>
      </w:r>
    </w:p>
    <w:p w14:paraId="0BA1C664" w14:textId="77777777" w:rsidR="002C0263" w:rsidRDefault="002C0263" w:rsidP="002C0263">
      <w:pPr>
        <w:pStyle w:val="Reference"/>
      </w:pPr>
      <w:r>
        <w:t xml:space="preserve">Doyle, JJ 2007, ‘Child protection and child outcomes: Measuring the effects of foster care’, </w:t>
      </w:r>
      <w:r>
        <w:rPr>
          <w:i/>
          <w:iCs/>
        </w:rPr>
        <w:t>American Economic Review</w:t>
      </w:r>
      <w:r>
        <w:t>, vol. 97, no. 5, pp. 1583–1610.</w:t>
      </w:r>
    </w:p>
    <w:p w14:paraId="5844B242" w14:textId="77777777" w:rsidR="002C0263" w:rsidRDefault="002C0263" w:rsidP="002C0263">
      <w:pPr>
        <w:pStyle w:val="Reference"/>
      </w:pPr>
      <w:r>
        <w:t xml:space="preserve">Finance (Australian Government Department of Finance) 2023, </w:t>
      </w:r>
      <w:r>
        <w:rPr>
          <w:i/>
          <w:iCs/>
        </w:rPr>
        <w:t>Budget process operational rules</w:t>
      </w:r>
      <w:r>
        <w:t>.</w:t>
      </w:r>
    </w:p>
    <w:p w14:paraId="5E777633" w14:textId="77777777" w:rsidR="002C0263" w:rsidRDefault="002C0263" w:rsidP="002C0263">
      <w:pPr>
        <w:pStyle w:val="Reference"/>
      </w:pPr>
      <w:r>
        <w:t xml:space="preserve">—— 2025, </w:t>
      </w:r>
      <w:r>
        <w:rPr>
          <w:i/>
          <w:iCs/>
        </w:rPr>
        <w:t>Ministerial Statements of Expectations and responding regulator Statements of Intent - Prioritising productivity</w:t>
      </w:r>
      <w:r>
        <w:t>, October.</w:t>
      </w:r>
    </w:p>
    <w:p w14:paraId="27FE75C5" w14:textId="77777777" w:rsidR="002C0263" w:rsidRDefault="002C0263" w:rsidP="002C0263">
      <w:pPr>
        <w:pStyle w:val="Reference"/>
      </w:pPr>
      <w:r>
        <w:lastRenderedPageBreak/>
        <w:t xml:space="preserve">Francis, LJ and Smith, BJ 2015, ‘Toward best practice in evaluation: A study of Australian health promotion agencies’, </w:t>
      </w:r>
      <w:r>
        <w:rPr>
          <w:i/>
          <w:iCs/>
        </w:rPr>
        <w:t>Health Promotion Practice</w:t>
      </w:r>
      <w:r>
        <w:t>, vol. 16, no. 5, pp. 715–723.</w:t>
      </w:r>
    </w:p>
    <w:p w14:paraId="67F8C7FA" w14:textId="77777777" w:rsidR="002C0263" w:rsidRDefault="002C0263" w:rsidP="002C0263">
      <w:pPr>
        <w:pStyle w:val="Reference"/>
      </w:pPr>
      <w:r>
        <w:t xml:space="preserve">FWO (Fair Work Ombudsman) 2025, </w:t>
      </w:r>
      <w:r>
        <w:rPr>
          <w:i/>
          <w:iCs/>
        </w:rPr>
        <w:t>Pay Guide - Aged Care Award [MA000018]</w:t>
      </w:r>
      <w:r>
        <w:t>.</w:t>
      </w:r>
    </w:p>
    <w:p w14:paraId="4E1CB19D" w14:textId="77777777" w:rsidR="002C0263" w:rsidRPr="0077074F" w:rsidRDefault="002C0263" w:rsidP="002C0263">
      <w:pPr>
        <w:pStyle w:val="Reference"/>
        <w:rPr>
          <w:spacing w:val="-2"/>
        </w:rPr>
      </w:pPr>
      <w:r w:rsidRPr="0077074F">
        <w:rPr>
          <w:spacing w:val="-2"/>
        </w:rPr>
        <w:t xml:space="preserve">Gao, Y, Roe, Y, Hickey, S, Chadha, A, Kruske, S, Nelson, C, Carson, A, </w:t>
      </w:r>
      <w:proofErr w:type="spellStart"/>
      <w:r w:rsidRPr="0077074F">
        <w:rPr>
          <w:spacing w:val="-2"/>
        </w:rPr>
        <w:t>Watego</w:t>
      </w:r>
      <w:proofErr w:type="spellEnd"/>
      <w:r w:rsidRPr="0077074F">
        <w:rPr>
          <w:spacing w:val="-2"/>
        </w:rPr>
        <w:t xml:space="preserve">, K, Reynolds, M, Costello, J, Tracy, S and Kildea, S 2023, ‘Birthing on Country service compared to standard care for First Nations Australians: A cost-effectiveness analysis from a health system perspective’, Elsevier, </w:t>
      </w:r>
      <w:r w:rsidRPr="0077074F">
        <w:rPr>
          <w:i/>
          <w:iCs/>
          <w:spacing w:val="-2"/>
        </w:rPr>
        <w:t>The Lancet Regional Health – Western Pacific</w:t>
      </w:r>
      <w:r w:rsidRPr="0077074F">
        <w:rPr>
          <w:spacing w:val="-2"/>
        </w:rPr>
        <w:t>, vol. 34.</w:t>
      </w:r>
    </w:p>
    <w:p w14:paraId="3DD6AE2D" w14:textId="77777777" w:rsidR="002C0263" w:rsidRDefault="002C0263" w:rsidP="002C0263">
      <w:pPr>
        <w:pStyle w:val="Reference"/>
      </w:pPr>
      <w:r>
        <w:t xml:space="preserve">García, JL, Heckman, JJ and Ronda, V 2021, </w:t>
      </w:r>
      <w:r>
        <w:rPr>
          <w:i/>
          <w:iCs/>
        </w:rPr>
        <w:t>The lasting effects of early childhood education on promoting the skills and social mobility of disadvantaged African Americans</w:t>
      </w:r>
      <w:r>
        <w:t>, Working Paper, National Bureau of Economic Research, https://www.nber.org/papers/w29057 (accessed 10 November 2023).</w:t>
      </w:r>
    </w:p>
    <w:p w14:paraId="6FE4BB87" w14:textId="77777777" w:rsidR="002C0263" w:rsidRDefault="002C0263" w:rsidP="002C0263">
      <w:pPr>
        <w:pStyle w:val="Reference"/>
      </w:pPr>
      <w:r>
        <w:t xml:space="preserve">——, —— and —— 2023, ‘The lasting effects of early-childhood education on promoting the skills and social mobility of disadvantaged African Americans and their children’, </w:t>
      </w:r>
      <w:r>
        <w:rPr>
          <w:i/>
          <w:iCs/>
        </w:rPr>
        <w:t>The Journal of Political Economy</w:t>
      </w:r>
      <w:r>
        <w:t>, vol. 131, no. 6, pp. 1477–1506.</w:t>
      </w:r>
    </w:p>
    <w:p w14:paraId="34FB1950" w14:textId="77777777" w:rsidR="002C0263" w:rsidRDefault="002C0263" w:rsidP="002C0263">
      <w:pPr>
        <w:pStyle w:val="Reference"/>
      </w:pPr>
      <w:r>
        <w:t xml:space="preserve">Goodwin, N, Smith, J, Davies, A, Perry, C, Rosen, R, Dixon, A, Dixon, J and Ham, C 2012, </w:t>
      </w:r>
      <w:r>
        <w:rPr>
          <w:i/>
          <w:iCs/>
        </w:rPr>
        <w:t>Integrated care for patients and populations: Improving outcomes by working together</w:t>
      </w:r>
      <w:r>
        <w:t>, A report to the Department of Health and the NHS Future Forum, The King’s Fund and Nuffield Trust.</w:t>
      </w:r>
    </w:p>
    <w:p w14:paraId="2006E1DD" w14:textId="77777777" w:rsidR="002C0263" w:rsidRDefault="002C0263" w:rsidP="002C0263">
      <w:pPr>
        <w:pStyle w:val="Reference"/>
      </w:pPr>
      <w:proofErr w:type="spellStart"/>
      <w:r>
        <w:t>Hanfy</w:t>
      </w:r>
      <w:proofErr w:type="spellEnd"/>
      <w:r>
        <w:t>, H and Barnard, J 2023, ‘A collaborative commissioning approach to health care for frail and older people in Northern Sydney’, https://hneccphn.imgix.net/assets/src/uploads/resources/Sydney-North-Health-Network-Collaborative-Commissioning.pdf (accessed 22 May 2025).</w:t>
      </w:r>
    </w:p>
    <w:p w14:paraId="43139FEB" w14:textId="77777777" w:rsidR="002C0263" w:rsidRDefault="002C0263" w:rsidP="002C0263">
      <w:pPr>
        <w:pStyle w:val="Reference"/>
      </w:pPr>
      <w:r>
        <w:t xml:space="preserve">Harris, A and Mortimer, D 2009, ‘Funding illness prevention and health promotion in Australia: a way forward’, </w:t>
      </w:r>
      <w:r>
        <w:rPr>
          <w:i/>
          <w:iCs/>
        </w:rPr>
        <w:t>Australia and New Zealand Health Policy</w:t>
      </w:r>
      <w:r>
        <w:t>, vol. 6, p. 25.</w:t>
      </w:r>
    </w:p>
    <w:p w14:paraId="62EAE2E5" w14:textId="77777777" w:rsidR="002C0263" w:rsidRDefault="002C0263" w:rsidP="002C0263">
      <w:pPr>
        <w:pStyle w:val="Reference"/>
      </w:pPr>
      <w:r>
        <w:t xml:space="preserve">Healing Foundation 2013, </w:t>
      </w:r>
      <w:r>
        <w:rPr>
          <w:i/>
          <w:iCs/>
        </w:rPr>
        <w:t>Our children, our dreaming: A call for a more just approach for Aboriginal and Torres Strait Islander children and families</w:t>
      </w:r>
      <w:r>
        <w:t>.</w:t>
      </w:r>
    </w:p>
    <w:p w14:paraId="680F53F0" w14:textId="77777777" w:rsidR="002C0263" w:rsidRPr="0077074F" w:rsidRDefault="002C0263" w:rsidP="002C0263">
      <w:pPr>
        <w:pStyle w:val="Reference"/>
        <w:rPr>
          <w:spacing w:val="-2"/>
        </w:rPr>
      </w:pPr>
      <w:r w:rsidRPr="0077074F">
        <w:rPr>
          <w:spacing w:val="-2"/>
        </w:rPr>
        <w:t xml:space="preserve">Heger, T, Windle, N, Bucci, M, </w:t>
      </w:r>
      <w:proofErr w:type="spellStart"/>
      <w:r w:rsidRPr="0077074F">
        <w:rPr>
          <w:spacing w:val="-2"/>
        </w:rPr>
        <w:t>Prando</w:t>
      </w:r>
      <w:proofErr w:type="spellEnd"/>
      <w:r w:rsidRPr="0077074F">
        <w:rPr>
          <w:spacing w:val="-2"/>
        </w:rPr>
        <w:t xml:space="preserve">, G and </w:t>
      </w:r>
      <w:proofErr w:type="spellStart"/>
      <w:r w:rsidRPr="0077074F">
        <w:rPr>
          <w:spacing w:val="-2"/>
        </w:rPr>
        <w:t>Maruthappu</w:t>
      </w:r>
      <w:proofErr w:type="spellEnd"/>
      <w:r w:rsidRPr="0077074F">
        <w:rPr>
          <w:spacing w:val="-2"/>
        </w:rPr>
        <w:t xml:space="preserve">, M 2024, ‘Impact of predictive modelling and application of preventative measures in reducing fall rates in domiciliary care’, </w:t>
      </w:r>
      <w:r w:rsidRPr="0077074F">
        <w:rPr>
          <w:i/>
          <w:iCs/>
          <w:spacing w:val="-2"/>
        </w:rPr>
        <w:t>Value in Health</w:t>
      </w:r>
      <w:r w:rsidRPr="0077074F">
        <w:rPr>
          <w:spacing w:val="-2"/>
        </w:rPr>
        <w:t>, vol. 27, no. 12, Supplement, pp. S345–S346.</w:t>
      </w:r>
    </w:p>
    <w:p w14:paraId="2F141BD8" w14:textId="77777777" w:rsidR="002C0263" w:rsidRDefault="002C0263" w:rsidP="002C0263">
      <w:pPr>
        <w:pStyle w:val="Reference"/>
      </w:pPr>
      <w:proofErr w:type="spellStart"/>
      <w:r>
        <w:t>Hullick</w:t>
      </w:r>
      <w:proofErr w:type="spellEnd"/>
      <w:r>
        <w:t xml:space="preserve">, CJ, Hall, AE, Conway, JF, Hewitt, JM, Darcy, LF, Barker, RT, </w:t>
      </w:r>
      <w:proofErr w:type="spellStart"/>
      <w:r>
        <w:t>Oldmeadow</w:t>
      </w:r>
      <w:proofErr w:type="spellEnd"/>
      <w:r>
        <w:t xml:space="preserve">, C and Attia, JR 2021, ‘Reducing hospital transfers from aged care facilities: A large-scale stepped wedge evaluation’, </w:t>
      </w:r>
      <w:r>
        <w:rPr>
          <w:i/>
          <w:iCs/>
        </w:rPr>
        <w:t>Journal of the American Geriatrics Society</w:t>
      </w:r>
      <w:r>
        <w:t>, vol. 69, no. 1, pp. 201–209.</w:t>
      </w:r>
    </w:p>
    <w:p w14:paraId="317CF866" w14:textId="77777777" w:rsidR="002C0263" w:rsidRDefault="002C0263" w:rsidP="002C0263">
      <w:pPr>
        <w:pStyle w:val="Reference"/>
      </w:pPr>
      <w:r>
        <w:t xml:space="preserve">Huxtable, R 2023, </w:t>
      </w:r>
      <w:r>
        <w:rPr>
          <w:i/>
          <w:iCs/>
        </w:rPr>
        <w:t>Mid-term review of the National Health Reform Agreement Addendum 2020–2025 – Final report</w:t>
      </w:r>
      <w:r>
        <w:t>.</w:t>
      </w:r>
    </w:p>
    <w:p w14:paraId="22522D1C" w14:textId="6A27A63C" w:rsidR="002C0263" w:rsidRDefault="002C0263" w:rsidP="002C0263">
      <w:pPr>
        <w:pStyle w:val="Reference"/>
      </w:pPr>
      <w:r>
        <w:t xml:space="preserve">IHACPA (Independent Health and Aged Care Pricing Authority) 2023, </w:t>
      </w:r>
      <w:r>
        <w:rPr>
          <w:i/>
          <w:iCs/>
        </w:rPr>
        <w:t>National Hospital Cost Data Collection 2020</w:t>
      </w:r>
      <w:r>
        <w:rPr>
          <w:i/>
          <w:iCs/>
        </w:rPr>
        <w:noBreakHyphen/>
        <w:t>21</w:t>
      </w:r>
      <w:r>
        <w:t>, June, https://www.ihacpa.gov.au/sites/default/files/2023-06/nhcdc_</w:t>
      </w:r>
      <w:r w:rsidR="0077074F">
        <w:br/>
      </w:r>
      <w:r>
        <w:t>infographic_2020-21.pdf (accessed 21 October 2025).</w:t>
      </w:r>
    </w:p>
    <w:p w14:paraId="45994CA9" w14:textId="77777777" w:rsidR="002C0263" w:rsidRDefault="002C0263" w:rsidP="002C0263">
      <w:pPr>
        <w:pStyle w:val="Reference"/>
      </w:pPr>
      <w:r>
        <w:t xml:space="preserve">—— 2025, </w:t>
      </w:r>
      <w:r>
        <w:rPr>
          <w:i/>
          <w:iCs/>
        </w:rPr>
        <w:t>Safety and quality</w:t>
      </w:r>
      <w:r>
        <w:t>, https://www.ihacpa.gov.au/health-care/pricing/safety-and-quality (accessed 14 July 2025).</w:t>
      </w:r>
    </w:p>
    <w:p w14:paraId="251EBFCB" w14:textId="77777777" w:rsidR="002C0263" w:rsidRDefault="002C0263" w:rsidP="002C0263">
      <w:pPr>
        <w:pStyle w:val="Reference"/>
      </w:pPr>
      <w:r>
        <w:t xml:space="preserve">Impact Co. and QCP (Impact Co. and Queensland-Commonwealth Partnership) 2024a, </w:t>
      </w:r>
      <w:r>
        <w:rPr>
          <w:i/>
          <w:iCs/>
        </w:rPr>
        <w:t>Joint regional governance summary report</w:t>
      </w:r>
      <w:r>
        <w:t>.</w:t>
      </w:r>
    </w:p>
    <w:p w14:paraId="27B0A4C4" w14:textId="77777777" w:rsidR="002C0263" w:rsidRDefault="002C0263" w:rsidP="002C0263">
      <w:pPr>
        <w:pStyle w:val="Reference"/>
      </w:pPr>
      <w:r>
        <w:t xml:space="preserve">—— 2024b, </w:t>
      </w:r>
      <w:r>
        <w:rPr>
          <w:i/>
          <w:iCs/>
        </w:rPr>
        <w:t>Thought leadership paper and framework</w:t>
      </w:r>
      <w:r>
        <w:t>.</w:t>
      </w:r>
    </w:p>
    <w:p w14:paraId="3EADBAC3" w14:textId="77777777" w:rsidR="002C0263" w:rsidRDefault="002C0263" w:rsidP="002C0263">
      <w:pPr>
        <w:pStyle w:val="Reference"/>
      </w:pPr>
      <w:r>
        <w:t xml:space="preserve">Inglis, J, Bowers, C and Barnard, J 2025, </w:t>
      </w:r>
      <w:r>
        <w:rPr>
          <w:i/>
          <w:iCs/>
        </w:rPr>
        <w:t>Collaborative commissioning for frail and older people programme</w:t>
      </w:r>
      <w:r>
        <w:t>, https://ahha.asn.au/collaborative-commissioning-for-frail-and-older-people-programme/ (accessed 11 June 2025).</w:t>
      </w:r>
    </w:p>
    <w:p w14:paraId="29E2903A" w14:textId="77777777" w:rsidR="002C0263" w:rsidRDefault="002C0263" w:rsidP="002C0263">
      <w:pPr>
        <w:pStyle w:val="Reference"/>
      </w:pPr>
      <w:r>
        <w:t xml:space="preserve">IUIH (Institute for Urban Indigenous Health) 2024, </w:t>
      </w:r>
      <w:r>
        <w:rPr>
          <w:i/>
          <w:iCs/>
        </w:rPr>
        <w:t>Redesigned maternity care significantly reduces Indigenous newborn removals by child protection</w:t>
      </w:r>
      <w:r>
        <w:t>, Research paper summary, February.</w:t>
      </w:r>
    </w:p>
    <w:p w14:paraId="73C3BC30" w14:textId="77777777" w:rsidR="002C0263" w:rsidRDefault="002C0263" w:rsidP="002C0263">
      <w:pPr>
        <w:pStyle w:val="Reference"/>
      </w:pPr>
      <w:r>
        <w:t xml:space="preserve">—— 2023, </w:t>
      </w:r>
      <w:r>
        <w:rPr>
          <w:i/>
          <w:iCs/>
        </w:rPr>
        <w:t>Submission to the draft report on the review of the National Agreement on Closing the Gap</w:t>
      </w:r>
      <w:r>
        <w:t>.</w:t>
      </w:r>
    </w:p>
    <w:p w14:paraId="37176357" w14:textId="77777777" w:rsidR="002C0263" w:rsidRDefault="002C0263" w:rsidP="002C0263">
      <w:pPr>
        <w:pStyle w:val="Reference"/>
      </w:pPr>
      <w:r>
        <w:t xml:space="preserve">Jobs and Skills Australia 2025, </w:t>
      </w:r>
      <w:r>
        <w:rPr>
          <w:i/>
          <w:iCs/>
        </w:rPr>
        <w:t>Occupation and industry profiles: health care and social assistance</w:t>
      </w:r>
      <w:r>
        <w:t>, Health Care and Social Assistance.</w:t>
      </w:r>
    </w:p>
    <w:p w14:paraId="174ADBA5" w14:textId="77777777" w:rsidR="002C0263" w:rsidRPr="0077074F" w:rsidRDefault="002C0263" w:rsidP="002C0263">
      <w:pPr>
        <w:pStyle w:val="Reference"/>
        <w:rPr>
          <w:spacing w:val="-4"/>
        </w:rPr>
      </w:pPr>
      <w:r w:rsidRPr="0077074F">
        <w:rPr>
          <w:spacing w:val="-4"/>
        </w:rPr>
        <w:t xml:space="preserve">Kelly, A 2024, </w:t>
      </w:r>
      <w:r w:rsidRPr="0077074F">
        <w:rPr>
          <w:i/>
          <w:iCs/>
          <w:spacing w:val="-4"/>
        </w:rPr>
        <w:t>Transforming aged care for Aboriginal and Torres Strait Islander people: report from the interim First Nations Aged Care Commissioner</w:t>
      </w:r>
      <w:r w:rsidRPr="0077074F">
        <w:rPr>
          <w:spacing w:val="-4"/>
        </w:rPr>
        <w:t>, Department of Health and Ageing.</w:t>
      </w:r>
    </w:p>
    <w:p w14:paraId="2DD91705" w14:textId="77777777" w:rsidR="002C0263" w:rsidRDefault="002C0263" w:rsidP="002C0263">
      <w:pPr>
        <w:pStyle w:val="Reference"/>
      </w:pPr>
      <w:r>
        <w:t xml:space="preserve">Kildea, S, Gao, Y, Hickey, S, Nelson, C, Kruske, S, Carson, A, Currie, J, Reynolds, M, Wilson, K, </w:t>
      </w:r>
      <w:proofErr w:type="spellStart"/>
      <w:r>
        <w:t>Watego</w:t>
      </w:r>
      <w:proofErr w:type="spellEnd"/>
      <w:r>
        <w:t xml:space="preserve">, K, Costello, J and Roe, Y 2021, ‘Effect of a birthing on country service redesign on maternal and neonatal health outcomes for First Nations Australians: a prospective, non-randomised, interventional trial’, Elsevier, </w:t>
      </w:r>
      <w:r>
        <w:rPr>
          <w:i/>
          <w:iCs/>
        </w:rPr>
        <w:t>The Lancet Global Health</w:t>
      </w:r>
      <w:r>
        <w:t>, vol. 9, no. 5, pp. e651–e659.</w:t>
      </w:r>
    </w:p>
    <w:p w14:paraId="7C54D8A1" w14:textId="77777777" w:rsidR="002C0263" w:rsidRDefault="002C0263" w:rsidP="002C0263">
      <w:pPr>
        <w:pStyle w:val="Reference"/>
      </w:pPr>
      <w:r>
        <w:t xml:space="preserve">——, Hickey, S, Nelson, C, Currie, J, Carson, A, Reynolds, M, Wilson, K, Kruske, S, Passey, M, Roe, Y, West, R, Clifford, A, Kosiak, M, </w:t>
      </w:r>
      <w:proofErr w:type="spellStart"/>
      <w:r>
        <w:t>Watego</w:t>
      </w:r>
      <w:proofErr w:type="spellEnd"/>
      <w:r>
        <w:t xml:space="preserve">, S and Tracy, S 2017, ‘Birthing on country (in our community): A case study of engaging stakeholders and developing a best-practice Indigenous maternity service in an urban setting’, CSIRO PUBLISHING, </w:t>
      </w:r>
      <w:r>
        <w:rPr>
          <w:i/>
          <w:iCs/>
        </w:rPr>
        <w:t>Australian Health Review</w:t>
      </w:r>
      <w:r>
        <w:t>, vol. 42, no. 2, pp. 230–238.</w:t>
      </w:r>
    </w:p>
    <w:p w14:paraId="5E079312" w14:textId="77777777" w:rsidR="002C0263" w:rsidRDefault="002C0263" w:rsidP="002C0263">
      <w:pPr>
        <w:pStyle w:val="Reference"/>
      </w:pPr>
      <w:r>
        <w:t xml:space="preserve">KPMG 2018, </w:t>
      </w:r>
      <w:r>
        <w:rPr>
          <w:i/>
          <w:iCs/>
        </w:rPr>
        <w:t>Maranguka justice reinvestment project: Impact assessment</w:t>
      </w:r>
      <w:r>
        <w:t>.</w:t>
      </w:r>
    </w:p>
    <w:p w14:paraId="63A1F9AC" w14:textId="77777777" w:rsidR="002C0263" w:rsidRDefault="002C0263" w:rsidP="002C0263">
      <w:pPr>
        <w:pStyle w:val="Reference"/>
      </w:pPr>
      <w:r>
        <w:t xml:space="preserve">Lima, F, Maclean, M and O’Donnell, M 2018, </w:t>
      </w:r>
      <w:r>
        <w:rPr>
          <w:i/>
          <w:iCs/>
        </w:rPr>
        <w:t>Exploring outcomes for young people who have experienced out-of-home care</w:t>
      </w:r>
      <w:r>
        <w:t>, Department of Communities, Perth, WA.</w:t>
      </w:r>
    </w:p>
    <w:p w14:paraId="57F4170C" w14:textId="77777777" w:rsidR="002C0263" w:rsidRDefault="002C0263" w:rsidP="002C0263">
      <w:pPr>
        <w:pStyle w:val="Reference"/>
      </w:pPr>
      <w:r>
        <w:t xml:space="preserve">Lloyd, M, Morton, J, </w:t>
      </w:r>
      <w:proofErr w:type="spellStart"/>
      <w:r>
        <w:t>Teede</w:t>
      </w:r>
      <w:proofErr w:type="spellEnd"/>
      <w:r>
        <w:t xml:space="preserve">, H, Marquina, C, Abushanab, D, Magliano, DJ, Callander, EJ and Ademi, Z 2023, ‘Long-term cost-effectiveness of implementing a lifestyle intervention during pregnancy to reduce the incidence of gestational diabetes and type 2 diabetes’, </w:t>
      </w:r>
      <w:proofErr w:type="spellStart"/>
      <w:r>
        <w:rPr>
          <w:i/>
          <w:iCs/>
        </w:rPr>
        <w:t>Diabetologia</w:t>
      </w:r>
      <w:proofErr w:type="spellEnd"/>
      <w:r>
        <w:t>, vol. 66, no. 7, pp. 1223–1234.</w:t>
      </w:r>
    </w:p>
    <w:p w14:paraId="4A24FFD9" w14:textId="77777777" w:rsidR="002C0263" w:rsidRDefault="002C0263" w:rsidP="002C0263">
      <w:pPr>
        <w:pStyle w:val="Reference"/>
      </w:pPr>
      <w:r>
        <w:t>Long, C 2025, ‘National criminal history tracker to be established for working with children checks’, 13 November, https://www.abc.net.au/news/2025-11-13/working-with-children-check-tracker-database-child-care-abuse/106007728 (accessed 14 November 2025).</w:t>
      </w:r>
    </w:p>
    <w:p w14:paraId="08781588" w14:textId="77777777" w:rsidR="002C0263" w:rsidRDefault="002C0263" w:rsidP="002C0263">
      <w:pPr>
        <w:pStyle w:val="Reference"/>
      </w:pPr>
      <w:r>
        <w:t xml:space="preserve">Luo, Q, Steinberg, J, O’Connell, DL, Yu, XQ, Caruana, M, Wade, S, Pesola, F, Grogan, PB, </w:t>
      </w:r>
      <w:proofErr w:type="spellStart"/>
      <w:r>
        <w:t>Dessaix</w:t>
      </w:r>
      <w:proofErr w:type="spellEnd"/>
      <w:r>
        <w:t xml:space="preserve">, A, Freeman, B, Dunlop, S, </w:t>
      </w:r>
      <w:proofErr w:type="spellStart"/>
      <w:r>
        <w:t>Sasieni</w:t>
      </w:r>
      <w:proofErr w:type="spellEnd"/>
      <w:r>
        <w:t xml:space="preserve">, P, Blakely, T, Banks, E and </w:t>
      </w:r>
      <w:proofErr w:type="spellStart"/>
      <w:r>
        <w:t>Canfell</w:t>
      </w:r>
      <w:proofErr w:type="spellEnd"/>
      <w:r>
        <w:t xml:space="preserve">, K 2019, ‘Lung cancer mortality in Australia in the twenty-first century: How many lives can be saved with effective tobacco control?’, </w:t>
      </w:r>
      <w:r>
        <w:rPr>
          <w:i/>
          <w:iCs/>
        </w:rPr>
        <w:t>Lung Cancer</w:t>
      </w:r>
      <w:r>
        <w:t>, vol. 130, pp. 208–215.</w:t>
      </w:r>
    </w:p>
    <w:p w14:paraId="01DEB2E4" w14:textId="77777777" w:rsidR="002C0263" w:rsidRDefault="002C0263" w:rsidP="002C0263">
      <w:pPr>
        <w:pStyle w:val="Reference"/>
      </w:pPr>
      <w:r>
        <w:t xml:space="preserve">Macalupu, V, Caldwell, G and Miller, E 2024, ‘Enhancing aged care through human-robot collaboration: A case study of chore robots’, presented at </w:t>
      </w:r>
      <w:proofErr w:type="spellStart"/>
      <w:r>
        <w:t>OzCHI</w:t>
      </w:r>
      <w:proofErr w:type="spellEnd"/>
      <w:r>
        <w:t xml:space="preserve"> ’24 Proceedings of the 36th Australasian Conference on Human-Computer Interaction, pp. 419–430.</w:t>
      </w:r>
    </w:p>
    <w:p w14:paraId="578175F2" w14:textId="77777777" w:rsidR="002C0263" w:rsidRDefault="002C0263" w:rsidP="002C0263">
      <w:pPr>
        <w:pStyle w:val="Reference"/>
      </w:pPr>
      <w:r>
        <w:t xml:space="preserve">NACCHO (National Aboriginal Community Controlled Health Organisation) 2025, </w:t>
      </w:r>
      <w:r>
        <w:rPr>
          <w:i/>
          <w:iCs/>
        </w:rPr>
        <w:t>About NACCHO</w:t>
      </w:r>
      <w:r>
        <w:t>, https://www.naccho.org.au/about/ (accessed 20 May 2025).</w:t>
      </w:r>
    </w:p>
    <w:p w14:paraId="1C96A9B3" w14:textId="77777777" w:rsidR="002C0263" w:rsidRPr="0077074F" w:rsidRDefault="002C0263" w:rsidP="002C0263">
      <w:pPr>
        <w:pStyle w:val="Reference"/>
        <w:rPr>
          <w:spacing w:val="-4"/>
        </w:rPr>
      </w:pPr>
      <w:r w:rsidRPr="0077074F">
        <w:rPr>
          <w:spacing w:val="-4"/>
        </w:rPr>
        <w:t xml:space="preserve">NDIA (National Disability Insurance Agency) 2024a, </w:t>
      </w:r>
      <w:r w:rsidRPr="0077074F">
        <w:rPr>
          <w:i/>
          <w:iCs/>
          <w:spacing w:val="-4"/>
        </w:rPr>
        <w:t>Annual financial sustainability report; 2023</w:t>
      </w:r>
      <w:r w:rsidRPr="0077074F">
        <w:rPr>
          <w:i/>
          <w:iCs/>
          <w:spacing w:val="-4"/>
        </w:rPr>
        <w:noBreakHyphen/>
        <w:t>24</w:t>
      </w:r>
      <w:r w:rsidRPr="0077074F">
        <w:rPr>
          <w:spacing w:val="-4"/>
        </w:rPr>
        <w:t>, December, Canberra, ACT.</w:t>
      </w:r>
    </w:p>
    <w:p w14:paraId="5AF8E7E8" w14:textId="4670427D" w:rsidR="002C0263" w:rsidRDefault="002C0263" w:rsidP="002C0263">
      <w:pPr>
        <w:pStyle w:val="Reference"/>
      </w:pPr>
      <w:r>
        <w:lastRenderedPageBreak/>
        <w:t xml:space="preserve">—— 2024b, </w:t>
      </w:r>
      <w:proofErr w:type="gramStart"/>
      <w:r>
        <w:rPr>
          <w:i/>
          <w:iCs/>
        </w:rPr>
        <w:t>What</w:t>
      </w:r>
      <w:proofErr w:type="gramEnd"/>
      <w:r>
        <w:rPr>
          <w:i/>
          <w:iCs/>
        </w:rPr>
        <w:t xml:space="preserve"> is a </w:t>
      </w:r>
      <w:proofErr w:type="gramStart"/>
      <w:r>
        <w:rPr>
          <w:i/>
          <w:iCs/>
        </w:rPr>
        <w:t>provider?</w:t>
      </w:r>
      <w:r>
        <w:t>,</w:t>
      </w:r>
      <w:proofErr w:type="gramEnd"/>
      <w:r>
        <w:t xml:space="preserve"> https://www.ndis.gov.au/</w:t>
      </w:r>
      <w:r w:rsidR="0077074F">
        <w:br/>
      </w:r>
      <w:r>
        <w:t>participants/working-providers/what-provider (accessed 22 July 2025).</w:t>
      </w:r>
    </w:p>
    <w:p w14:paraId="19E58BBF" w14:textId="77777777" w:rsidR="002C0263" w:rsidRDefault="002C0263" w:rsidP="002C0263">
      <w:pPr>
        <w:pStyle w:val="Reference"/>
      </w:pPr>
      <w:r>
        <w:t xml:space="preserve">—— 2025a, </w:t>
      </w:r>
      <w:proofErr w:type="gramStart"/>
      <w:r>
        <w:rPr>
          <w:i/>
          <w:iCs/>
        </w:rPr>
        <w:t>Explore</w:t>
      </w:r>
      <w:proofErr w:type="gramEnd"/>
      <w:r>
        <w:rPr>
          <w:i/>
          <w:iCs/>
        </w:rPr>
        <w:t xml:space="preserve"> data | NDIS</w:t>
      </w:r>
      <w:r>
        <w:t>, https://dataresearch.ndis.gov.au/explore-data (accessed 13 September 2025).</w:t>
      </w:r>
    </w:p>
    <w:p w14:paraId="162ED769" w14:textId="29BCD31C" w:rsidR="002C0263" w:rsidRDefault="002C0263" w:rsidP="002C0263">
      <w:pPr>
        <w:pStyle w:val="Reference"/>
      </w:pPr>
      <w:r>
        <w:t xml:space="preserve">—— 2025b, </w:t>
      </w:r>
      <w:r>
        <w:rPr>
          <w:i/>
          <w:iCs/>
        </w:rPr>
        <w:t>Provider finder</w:t>
      </w:r>
      <w:r>
        <w:t>, https://www.ndis.gov.au/</w:t>
      </w:r>
      <w:r w:rsidR="00486D3D">
        <w:br/>
      </w:r>
      <w:r>
        <w:t>participants/working-providers/find-registered-provider/</w:t>
      </w:r>
      <w:r w:rsidR="00486D3D">
        <w:br/>
      </w:r>
      <w:r>
        <w:t>provider-finder (accessed 2 June 2025).</w:t>
      </w:r>
    </w:p>
    <w:p w14:paraId="1E0A9364" w14:textId="77777777" w:rsidR="002C0263" w:rsidRDefault="002C0263" w:rsidP="002C0263">
      <w:pPr>
        <w:pStyle w:val="Reference"/>
      </w:pPr>
      <w:r>
        <w:t xml:space="preserve">—— 2025c, </w:t>
      </w:r>
      <w:r>
        <w:rPr>
          <w:i/>
          <w:iCs/>
        </w:rPr>
        <w:t>The NDIS in each state</w:t>
      </w:r>
      <w:r>
        <w:t>, https://www.ndis.gov.au/understanding/ndis-each-state (accessed 15 June 2025).</w:t>
      </w:r>
    </w:p>
    <w:p w14:paraId="16C5184E" w14:textId="77777777" w:rsidR="002C0263" w:rsidRDefault="002C0263" w:rsidP="002C0263">
      <w:pPr>
        <w:pStyle w:val="Reference"/>
      </w:pPr>
      <w:r>
        <w:t xml:space="preserve">NDIS Quality and Safeguards Commission 2025a, </w:t>
      </w:r>
      <w:r>
        <w:rPr>
          <w:i/>
          <w:iCs/>
        </w:rPr>
        <w:t>Behaviour support and restrictive practices</w:t>
      </w:r>
      <w:r>
        <w:t>.</w:t>
      </w:r>
    </w:p>
    <w:p w14:paraId="22422BEC" w14:textId="77777777" w:rsidR="002C0263" w:rsidRDefault="002C0263" w:rsidP="002C0263">
      <w:pPr>
        <w:pStyle w:val="Reference"/>
      </w:pPr>
      <w:r>
        <w:t xml:space="preserve">—— 2025b, </w:t>
      </w:r>
      <w:r>
        <w:rPr>
          <w:i/>
          <w:iCs/>
        </w:rPr>
        <w:t>Mandatory registration</w:t>
      </w:r>
      <w:r>
        <w:t>.</w:t>
      </w:r>
    </w:p>
    <w:p w14:paraId="5F9BD06D" w14:textId="77777777" w:rsidR="002C0263" w:rsidRDefault="002C0263" w:rsidP="002C0263">
      <w:pPr>
        <w:pStyle w:val="Reference"/>
      </w:pPr>
      <w:r>
        <w:t xml:space="preserve">—— 2025c, </w:t>
      </w:r>
      <w:r>
        <w:rPr>
          <w:i/>
          <w:iCs/>
        </w:rPr>
        <w:t>Quarterly performance report - Q3 | 2024</w:t>
      </w:r>
      <w:r>
        <w:rPr>
          <w:i/>
          <w:iCs/>
        </w:rPr>
        <w:noBreakHyphen/>
        <w:t>25</w:t>
      </w:r>
      <w:r>
        <w:t>, March, Penrith, NSW.</w:t>
      </w:r>
    </w:p>
    <w:p w14:paraId="7797E1AD" w14:textId="77777777" w:rsidR="002C0263" w:rsidRDefault="002C0263" w:rsidP="002C0263">
      <w:pPr>
        <w:pStyle w:val="Reference"/>
      </w:pPr>
      <w:r>
        <w:t xml:space="preserve">—— 2025d, </w:t>
      </w:r>
      <w:r>
        <w:rPr>
          <w:i/>
          <w:iCs/>
        </w:rPr>
        <w:t>Worker screening</w:t>
      </w:r>
      <w:r>
        <w:t>, https://www.ndiscommission.gov.au/workforce/worker-screening (accessed 25 September 2025).</w:t>
      </w:r>
    </w:p>
    <w:p w14:paraId="18B9A243" w14:textId="77777777" w:rsidR="002C0263" w:rsidRDefault="002C0263" w:rsidP="002C0263">
      <w:pPr>
        <w:pStyle w:val="Reference"/>
      </w:pPr>
      <w:r>
        <w:t xml:space="preserve">Newton, NC and Lee, N 2019, ‘Evidence-based prevention and the need for tough decisions: Alcohol and other drug education in schools’, </w:t>
      </w:r>
      <w:r>
        <w:rPr>
          <w:i/>
          <w:iCs/>
        </w:rPr>
        <w:t>Drug and Alcohol Review</w:t>
      </w:r>
      <w:r>
        <w:t>, vol. 38, no. 6, pp. 595–596.</w:t>
      </w:r>
    </w:p>
    <w:p w14:paraId="249293EC" w14:textId="77777777" w:rsidR="002C0263" w:rsidRDefault="002C0263" w:rsidP="002C0263">
      <w:pPr>
        <w:pStyle w:val="Reference"/>
      </w:pPr>
      <w:r>
        <w:t xml:space="preserve">NHS England (National Health Service England) 2007, </w:t>
      </w:r>
      <w:r>
        <w:rPr>
          <w:i/>
          <w:iCs/>
        </w:rPr>
        <w:t>World class commissioning: Competencies</w:t>
      </w:r>
      <w:r>
        <w:t>.</w:t>
      </w:r>
    </w:p>
    <w:p w14:paraId="26418553" w14:textId="77777777" w:rsidR="002C0263" w:rsidRDefault="002C0263" w:rsidP="002C0263">
      <w:pPr>
        <w:pStyle w:val="Reference"/>
      </w:pPr>
      <w:r>
        <w:t xml:space="preserve">—— 2024, </w:t>
      </w:r>
      <w:r>
        <w:rPr>
          <w:i/>
          <w:iCs/>
        </w:rPr>
        <w:t>Commissioning Support Unit</w:t>
      </w:r>
      <w:r>
        <w:t>, https://archive.datadictionary.nhs.uk/DD%20Release%20May%202024/nhs_business_definitions/commissioning_support_unit.html (accessed 19 November 2025).</w:t>
      </w:r>
    </w:p>
    <w:p w14:paraId="3AA48AA8" w14:textId="77777777" w:rsidR="002C0263" w:rsidRDefault="002C0263" w:rsidP="002C0263">
      <w:pPr>
        <w:pStyle w:val="Reference"/>
      </w:pPr>
      <w:r>
        <w:t xml:space="preserve">—— 2025, </w:t>
      </w:r>
      <w:r>
        <w:rPr>
          <w:i/>
          <w:iCs/>
        </w:rPr>
        <w:t>NHS Oversight Framework 2025</w:t>
      </w:r>
      <w:r>
        <w:rPr>
          <w:i/>
          <w:iCs/>
        </w:rPr>
        <w:noBreakHyphen/>
        <w:t>26</w:t>
      </w:r>
      <w:r>
        <w:t>, https://www.england.nhs.uk/long-read/nhs-oversight-framework-2025-26/ (accessed 21 September 2025).</w:t>
      </w:r>
    </w:p>
    <w:p w14:paraId="55683023" w14:textId="77777777" w:rsidR="002C0263" w:rsidRDefault="002C0263" w:rsidP="002C0263">
      <w:pPr>
        <w:pStyle w:val="Reference"/>
      </w:pPr>
      <w:r>
        <w:t xml:space="preserve">NSC (National Skills Commission) 2021, </w:t>
      </w:r>
      <w:r>
        <w:rPr>
          <w:i/>
          <w:iCs/>
        </w:rPr>
        <w:t>Australia’s shift to a higher skilled, services-based economy</w:t>
      </w:r>
      <w:r>
        <w:t>, Canberra, https://www.jobsandskills.gov.au/sites/default/files/2022-02/Australia%E2%80%99s%20shift%20to%20a%20higher%20skilled%2C%20service-based%20economy.pdf (accessed 4 June 2025).</w:t>
      </w:r>
    </w:p>
    <w:p w14:paraId="190B9824" w14:textId="77777777" w:rsidR="002C0263" w:rsidRDefault="002C0263" w:rsidP="002C0263">
      <w:pPr>
        <w:pStyle w:val="Reference"/>
      </w:pPr>
      <w:r>
        <w:t xml:space="preserve">NSW Health 2024a, </w:t>
      </w:r>
      <w:r>
        <w:rPr>
          <w:i/>
          <w:iCs/>
        </w:rPr>
        <w:t>Lumos</w:t>
      </w:r>
      <w:r>
        <w:t>, https://www.health.nsw.gov.au/lumos/Pages/default.aspx (accessed 21 May 2025).</w:t>
      </w:r>
    </w:p>
    <w:p w14:paraId="6CD8665B" w14:textId="77777777" w:rsidR="002C0263" w:rsidRDefault="002C0263" w:rsidP="002C0263">
      <w:pPr>
        <w:pStyle w:val="Reference"/>
      </w:pPr>
      <w:r>
        <w:t xml:space="preserve">—— 2024b, </w:t>
      </w:r>
      <w:r>
        <w:rPr>
          <w:i/>
          <w:iCs/>
        </w:rPr>
        <w:t>Role of patient centred co-commissioning groups</w:t>
      </w:r>
      <w:r>
        <w:t>, https://www.health.nsw.gov.au/Value/Pages/collab-commissioning-pccgs.aspx (accessed 21 May 2025).</w:t>
      </w:r>
    </w:p>
    <w:p w14:paraId="44DBA3A0" w14:textId="77777777" w:rsidR="002C0263" w:rsidRDefault="002C0263" w:rsidP="002C0263">
      <w:pPr>
        <w:pStyle w:val="Reference"/>
      </w:pPr>
      <w:r>
        <w:t xml:space="preserve">—— 2025, </w:t>
      </w:r>
      <w:r>
        <w:rPr>
          <w:i/>
          <w:iCs/>
        </w:rPr>
        <w:t>Special commission of inquiry into healthcare funding</w:t>
      </w:r>
      <w:r>
        <w:t>.</w:t>
      </w:r>
    </w:p>
    <w:p w14:paraId="392100A0" w14:textId="77777777" w:rsidR="002C0263" w:rsidRDefault="002C0263" w:rsidP="002C0263">
      <w:pPr>
        <w:pStyle w:val="Reference"/>
      </w:pPr>
      <w:r>
        <w:t xml:space="preserve">NSW Stronger Communities Actuary 2022, </w:t>
      </w:r>
      <w:r>
        <w:rPr>
          <w:i/>
          <w:iCs/>
        </w:rPr>
        <w:t>Forecasting future outcomes: Stronger communities actuary insights report 2022</w:t>
      </w:r>
      <w:r>
        <w:t>, September.</w:t>
      </w:r>
    </w:p>
    <w:p w14:paraId="4221C940" w14:textId="77777777" w:rsidR="002C0263" w:rsidRDefault="002C0263" w:rsidP="002C0263">
      <w:pPr>
        <w:pStyle w:val="Reference"/>
      </w:pPr>
      <w:r>
        <w:t xml:space="preserve">NT Police, Fire &amp; Emergency Services 2025, </w:t>
      </w:r>
      <w:r>
        <w:rPr>
          <w:i/>
          <w:iCs/>
        </w:rPr>
        <w:t>NDIS worker screening check</w:t>
      </w:r>
      <w:r>
        <w:t>, https://pfes.nt.gov.au/NDISCheck (accessed 25 October 2025).</w:t>
      </w:r>
    </w:p>
    <w:p w14:paraId="25326EE6" w14:textId="77777777" w:rsidR="002C0263" w:rsidRDefault="002C0263" w:rsidP="002C0263">
      <w:pPr>
        <w:pStyle w:val="Reference"/>
      </w:pPr>
      <w:r>
        <w:t xml:space="preserve">NZ SIA (New Zealand Social Investment Agency) 2025, </w:t>
      </w:r>
      <w:r>
        <w:rPr>
          <w:i/>
          <w:iCs/>
        </w:rPr>
        <w:t>Paper 2 - Implementing social investment commissioning</w:t>
      </w:r>
      <w:r>
        <w:t>, Cabinet paper.</w:t>
      </w:r>
    </w:p>
    <w:p w14:paraId="1AD52E72" w14:textId="77777777" w:rsidR="002C0263" w:rsidRDefault="002C0263" w:rsidP="002C0263">
      <w:pPr>
        <w:pStyle w:val="Reference"/>
      </w:pPr>
      <w:r>
        <w:t xml:space="preserve">O’Dea, B, Roe, Y, Gao, Y, Kruske, S, Nelson, C, Hickey, S, Carson, A, </w:t>
      </w:r>
      <w:proofErr w:type="spellStart"/>
      <w:r>
        <w:t>Watego</w:t>
      </w:r>
      <w:proofErr w:type="spellEnd"/>
      <w:r>
        <w:t xml:space="preserve">, K, Currie, J, Blackman, R, Reynolds, M, Wilson, K, Costello, J and Kildea, S 2024, ‘Breaking the cycle: Effect of a multi-agency maternity service redesign on reducing the over-representation of Aboriginal and Torres Strait Islander </w:t>
      </w:r>
      <w:r>
        <w:t xml:space="preserve">newborns in out-of-home care: A prospective, non-randomised, intervention study in urban Australia’, </w:t>
      </w:r>
      <w:r>
        <w:rPr>
          <w:i/>
          <w:iCs/>
        </w:rPr>
        <w:t>Child Abuse &amp; Neglect</w:t>
      </w:r>
      <w:r>
        <w:t>, vol. 149, p. 106664.</w:t>
      </w:r>
    </w:p>
    <w:p w14:paraId="7F638A6D" w14:textId="77777777" w:rsidR="002C0263" w:rsidRDefault="002C0263" w:rsidP="002C0263">
      <w:pPr>
        <w:pStyle w:val="Reference"/>
      </w:pPr>
      <w:r>
        <w:t xml:space="preserve">OECD (Organisation for Economic Co-operation and Development) 2025, </w:t>
      </w:r>
      <w:r>
        <w:rPr>
          <w:i/>
          <w:iCs/>
        </w:rPr>
        <w:t>OECD data explorer</w:t>
      </w:r>
      <w:r>
        <w:t>, https://data-explorer.oecd.org/ (accessed 22 May 2025).</w:t>
      </w:r>
    </w:p>
    <w:p w14:paraId="28C26E96" w14:textId="77777777" w:rsidR="002C0263" w:rsidRDefault="002C0263" w:rsidP="002C0263">
      <w:pPr>
        <w:pStyle w:val="Reference"/>
      </w:pPr>
      <w:r>
        <w:t xml:space="preserve">OECD/KIPF (Organisation for Economic Co-operation and Development and Korea Institute of Public Finance) 2024, </w:t>
      </w:r>
      <w:r>
        <w:rPr>
          <w:i/>
          <w:iCs/>
        </w:rPr>
        <w:t>Addressing inequality in budgeting: Lessons from recent country experience</w:t>
      </w:r>
      <w:r>
        <w:t>, 19 February, OECD Publishing, Paris.</w:t>
      </w:r>
    </w:p>
    <w:p w14:paraId="4619350D" w14:textId="77777777" w:rsidR="002C0263" w:rsidRDefault="002C0263" w:rsidP="002C0263">
      <w:pPr>
        <w:pStyle w:val="Reference"/>
      </w:pPr>
      <w:r>
        <w:t xml:space="preserve">OIA (The Office for Impact Analysis) 2024, </w:t>
      </w:r>
      <w:r>
        <w:rPr>
          <w:i/>
          <w:iCs/>
        </w:rPr>
        <w:t>Regulatory burden measurement framework</w:t>
      </w:r>
      <w:r>
        <w:t>, August, Canberra, ACT.</w:t>
      </w:r>
    </w:p>
    <w:p w14:paraId="50151547" w14:textId="77777777" w:rsidR="002C0263" w:rsidRDefault="002C0263" w:rsidP="002C0263">
      <w:pPr>
        <w:pStyle w:val="Reference"/>
      </w:pPr>
      <w:r>
        <w:t xml:space="preserve">—— 2023, </w:t>
      </w:r>
      <w:r>
        <w:rPr>
          <w:i/>
          <w:iCs/>
        </w:rPr>
        <w:t>Cost Benefit Analysis</w:t>
      </w:r>
      <w:r>
        <w:t>, Guidance note, Department of Prime Minister and Cabinet.</w:t>
      </w:r>
    </w:p>
    <w:p w14:paraId="53DE31AA" w14:textId="77777777" w:rsidR="002C0263" w:rsidRDefault="002C0263" w:rsidP="002C0263">
      <w:pPr>
        <w:pStyle w:val="Reference"/>
      </w:pPr>
      <w:r>
        <w:t xml:space="preserve">Parliament of the Commonwealth of Australia </w:t>
      </w:r>
      <w:proofErr w:type="spellStart"/>
      <w:r>
        <w:t>nd</w:t>
      </w:r>
      <w:proofErr w:type="spellEnd"/>
      <w:r>
        <w:t xml:space="preserve">, </w:t>
      </w:r>
      <w:r>
        <w:rPr>
          <w:i/>
          <w:iCs/>
        </w:rPr>
        <w:t>Aged Care Bill 2024 Explanatory Memorandum</w:t>
      </w:r>
      <w:r>
        <w:t>.</w:t>
      </w:r>
    </w:p>
    <w:p w14:paraId="0E241DAE" w14:textId="77777777" w:rsidR="002C0263" w:rsidRDefault="002C0263" w:rsidP="002C0263">
      <w:pPr>
        <w:pStyle w:val="Reference"/>
      </w:pPr>
      <w:r>
        <w:t xml:space="preserve">PBO (Parliamentary Budget Office) 2017, </w:t>
      </w:r>
      <w:r>
        <w:rPr>
          <w:i/>
          <w:iCs/>
        </w:rPr>
        <w:t>Including broader economic effects in policy costings</w:t>
      </w:r>
      <w:r>
        <w:t>, 03/2017.</w:t>
      </w:r>
    </w:p>
    <w:p w14:paraId="1A93444D" w14:textId="77777777" w:rsidR="002C0263" w:rsidRDefault="002C0263" w:rsidP="002C0263">
      <w:pPr>
        <w:pStyle w:val="Reference"/>
      </w:pPr>
      <w:r>
        <w:t xml:space="preserve">PC (Productivity Commission) 2017a, </w:t>
      </w:r>
      <w:r>
        <w:rPr>
          <w:i/>
          <w:iCs/>
        </w:rPr>
        <w:t>Integrated care</w:t>
      </w:r>
      <w:r>
        <w:t xml:space="preserve">, Supporting Paper No. 5, Shifting the dial: </w:t>
      </w:r>
      <w:proofErr w:type="gramStart"/>
      <w:r>
        <w:t>5 year</w:t>
      </w:r>
      <w:proofErr w:type="gramEnd"/>
      <w:r>
        <w:t xml:space="preserve"> productivity review, Canberra.</w:t>
      </w:r>
    </w:p>
    <w:p w14:paraId="1EAFF845" w14:textId="77777777" w:rsidR="002C0263" w:rsidRDefault="002C0263" w:rsidP="002C0263">
      <w:pPr>
        <w:pStyle w:val="Reference"/>
      </w:pPr>
      <w:r>
        <w:t xml:space="preserve">—— 2017b, </w:t>
      </w:r>
      <w:r>
        <w:rPr>
          <w:i/>
          <w:iCs/>
        </w:rPr>
        <w:t xml:space="preserve">Shifting the dial: </w:t>
      </w:r>
      <w:proofErr w:type="gramStart"/>
      <w:r>
        <w:rPr>
          <w:i/>
          <w:iCs/>
        </w:rPr>
        <w:t>5 year</w:t>
      </w:r>
      <w:proofErr w:type="gramEnd"/>
      <w:r>
        <w:rPr>
          <w:i/>
          <w:iCs/>
        </w:rPr>
        <w:t xml:space="preserve"> productivity review</w:t>
      </w:r>
      <w:r>
        <w:t>, Report no. 84, Canberra.</w:t>
      </w:r>
    </w:p>
    <w:p w14:paraId="5FD42EAE" w14:textId="77777777" w:rsidR="002C0263" w:rsidRDefault="002C0263" w:rsidP="002C0263">
      <w:pPr>
        <w:pStyle w:val="Reference"/>
      </w:pPr>
      <w:r>
        <w:t xml:space="preserve">—— 2017c, </w:t>
      </w:r>
      <w:proofErr w:type="gramStart"/>
      <w:r>
        <w:rPr>
          <w:i/>
          <w:iCs/>
        </w:rPr>
        <w:t>Why</w:t>
      </w:r>
      <w:proofErr w:type="gramEnd"/>
      <w:r>
        <w:rPr>
          <w:i/>
          <w:iCs/>
        </w:rPr>
        <w:t xml:space="preserve"> a better health system matters</w:t>
      </w:r>
      <w:r>
        <w:t xml:space="preserve">, Supporting Paper No. 4, Shifting the dial: </w:t>
      </w:r>
      <w:proofErr w:type="gramStart"/>
      <w:r>
        <w:t>5 year</w:t>
      </w:r>
      <w:proofErr w:type="gramEnd"/>
      <w:r>
        <w:t xml:space="preserve"> productivity review, Canberra.</w:t>
      </w:r>
    </w:p>
    <w:p w14:paraId="6A0FAB37" w14:textId="77777777" w:rsidR="002C0263" w:rsidRDefault="002C0263" w:rsidP="002C0263">
      <w:pPr>
        <w:pStyle w:val="Reference"/>
      </w:pPr>
      <w:r>
        <w:t xml:space="preserve">—— 2020a, </w:t>
      </w:r>
      <w:r>
        <w:rPr>
          <w:i/>
          <w:iCs/>
        </w:rPr>
        <w:t>Mental health</w:t>
      </w:r>
      <w:r>
        <w:t>, Report no. 95, Canberra.</w:t>
      </w:r>
    </w:p>
    <w:p w14:paraId="76284D4C" w14:textId="69F8FBBF" w:rsidR="002C0263" w:rsidRDefault="002C0263" w:rsidP="002C0263">
      <w:pPr>
        <w:pStyle w:val="Reference"/>
      </w:pPr>
      <w:r>
        <w:t xml:space="preserve">—— 2020b, </w:t>
      </w:r>
      <w:r>
        <w:rPr>
          <w:i/>
          <w:iCs/>
        </w:rPr>
        <w:t>Resources sector regulation</w:t>
      </w:r>
      <w:r>
        <w:t xml:space="preserve">, Study </w:t>
      </w:r>
      <w:r w:rsidR="00DE7E78">
        <w:t>r</w:t>
      </w:r>
      <w:r>
        <w:t>eport, Canberra.</w:t>
      </w:r>
    </w:p>
    <w:p w14:paraId="032A412B" w14:textId="4D8C2E6F" w:rsidR="002C0263" w:rsidRDefault="002C0263" w:rsidP="002C0263">
      <w:pPr>
        <w:pStyle w:val="Reference"/>
      </w:pPr>
      <w:r>
        <w:t xml:space="preserve">—— 2021, </w:t>
      </w:r>
      <w:r>
        <w:rPr>
          <w:i/>
          <w:iCs/>
        </w:rPr>
        <w:t>Innovations in care for chronic health conditions</w:t>
      </w:r>
      <w:r>
        <w:t xml:space="preserve">, Productivity </w:t>
      </w:r>
      <w:r w:rsidR="00DE7E78">
        <w:t>r</w:t>
      </w:r>
      <w:r>
        <w:t xml:space="preserve">eform </w:t>
      </w:r>
      <w:r w:rsidR="00DE7E78">
        <w:t>c</w:t>
      </w:r>
      <w:r>
        <w:t xml:space="preserve">ase </w:t>
      </w:r>
      <w:r w:rsidR="00DE7E78">
        <w:t>s</w:t>
      </w:r>
      <w:r>
        <w:t>tudy, Canberra.</w:t>
      </w:r>
    </w:p>
    <w:p w14:paraId="0712B91C" w14:textId="77777777" w:rsidR="002C0263" w:rsidRDefault="002C0263" w:rsidP="002C0263">
      <w:pPr>
        <w:pStyle w:val="Reference"/>
      </w:pPr>
      <w:r>
        <w:t xml:space="preserve">—— 2024a, </w:t>
      </w:r>
      <w:r>
        <w:rPr>
          <w:i/>
          <w:iCs/>
        </w:rPr>
        <w:t>Advances in measuring healthcare productivity</w:t>
      </w:r>
      <w:r>
        <w:t>, Research paper, Canberra.</w:t>
      </w:r>
    </w:p>
    <w:p w14:paraId="74541A46" w14:textId="77777777" w:rsidR="002C0263" w:rsidRDefault="002C0263" w:rsidP="002C0263">
      <w:pPr>
        <w:pStyle w:val="Reference"/>
      </w:pPr>
      <w:r>
        <w:t xml:space="preserve">—— 2024b, </w:t>
      </w:r>
      <w:r>
        <w:rPr>
          <w:i/>
          <w:iCs/>
        </w:rPr>
        <w:t>Closing the Gap – Annual data compilation report</w:t>
      </w:r>
      <w:r>
        <w:t>, July.</w:t>
      </w:r>
    </w:p>
    <w:p w14:paraId="5980DB9E" w14:textId="77777777" w:rsidR="002C0263" w:rsidRDefault="002C0263" w:rsidP="002C0263">
      <w:pPr>
        <w:pStyle w:val="Reference"/>
      </w:pPr>
      <w:r>
        <w:t xml:space="preserve">—— 2024c, </w:t>
      </w:r>
      <w:r>
        <w:rPr>
          <w:i/>
          <w:iCs/>
        </w:rPr>
        <w:t>Making the most of the AI opportunity: The challenges of regulating AI</w:t>
      </w:r>
      <w:r>
        <w:t>, Research paper, no. 2, Canberra.</w:t>
      </w:r>
    </w:p>
    <w:p w14:paraId="3F761231" w14:textId="77777777" w:rsidR="002C0263" w:rsidRDefault="002C0263" w:rsidP="002C0263">
      <w:pPr>
        <w:pStyle w:val="Reference"/>
      </w:pPr>
      <w:r>
        <w:t xml:space="preserve">—— 2024d, </w:t>
      </w:r>
      <w:r>
        <w:rPr>
          <w:i/>
          <w:iCs/>
        </w:rPr>
        <w:t>Review of the National Agreement on Closing the Gap</w:t>
      </w:r>
      <w:r>
        <w:t>, Study report, Factsheets, Canberra.</w:t>
      </w:r>
    </w:p>
    <w:p w14:paraId="2FA4BAD1" w14:textId="77777777" w:rsidR="002C0263" w:rsidRDefault="002C0263" w:rsidP="002C0263">
      <w:pPr>
        <w:pStyle w:val="Reference"/>
      </w:pPr>
      <w:r>
        <w:t xml:space="preserve">—— 2025a, </w:t>
      </w:r>
      <w:r>
        <w:rPr>
          <w:i/>
          <w:iCs/>
        </w:rPr>
        <w:t>Building a skilled and adaptable workforce</w:t>
      </w:r>
      <w:r>
        <w:t>, Inquiry report no. 110, Canberra.</w:t>
      </w:r>
    </w:p>
    <w:p w14:paraId="5D9FB5AC" w14:textId="77777777" w:rsidR="002C0263" w:rsidRDefault="002C0263" w:rsidP="002C0263">
      <w:pPr>
        <w:pStyle w:val="Reference"/>
      </w:pPr>
      <w:r>
        <w:t xml:space="preserve">—— 2025b, </w:t>
      </w:r>
      <w:r>
        <w:rPr>
          <w:i/>
          <w:iCs/>
        </w:rPr>
        <w:t>Creating a more dynamic and resilient economy</w:t>
      </w:r>
      <w:r>
        <w:t>, Inquiry report no. 109, Canberra.</w:t>
      </w:r>
    </w:p>
    <w:p w14:paraId="530967D7" w14:textId="16DEEA5E" w:rsidR="002C0263" w:rsidRDefault="002C0263" w:rsidP="002C0263">
      <w:pPr>
        <w:pStyle w:val="Reference"/>
      </w:pPr>
      <w:r>
        <w:t xml:space="preserve">—— 2025c, </w:t>
      </w:r>
      <w:proofErr w:type="gramStart"/>
      <w:r>
        <w:rPr>
          <w:i/>
          <w:iCs/>
        </w:rPr>
        <w:t>Delivering</w:t>
      </w:r>
      <w:proofErr w:type="gramEnd"/>
      <w:r>
        <w:rPr>
          <w:i/>
          <w:iCs/>
        </w:rPr>
        <w:t xml:space="preserve"> quality care more efficiently</w:t>
      </w:r>
      <w:r w:rsidR="002A4CFA">
        <w:rPr>
          <w:i/>
          <w:iCs/>
        </w:rPr>
        <w:t>,</w:t>
      </w:r>
      <w:r>
        <w:rPr>
          <w:i/>
          <w:iCs/>
        </w:rPr>
        <w:t xml:space="preserve"> </w:t>
      </w:r>
      <w:proofErr w:type="gramStart"/>
      <w:r>
        <w:rPr>
          <w:i/>
          <w:iCs/>
        </w:rPr>
        <w:t>What</w:t>
      </w:r>
      <w:proofErr w:type="gramEnd"/>
      <w:r>
        <w:rPr>
          <w:i/>
          <w:iCs/>
        </w:rPr>
        <w:t xml:space="preserve"> we heard</w:t>
      </w:r>
      <w:r>
        <w:t>, Inquiry paper, Canberra.</w:t>
      </w:r>
    </w:p>
    <w:p w14:paraId="2AE19393" w14:textId="77777777" w:rsidR="002C0263" w:rsidRDefault="002C0263" w:rsidP="002C0263">
      <w:pPr>
        <w:pStyle w:val="Reference"/>
      </w:pPr>
      <w:r>
        <w:t xml:space="preserve">—— 2025d, </w:t>
      </w:r>
      <w:r>
        <w:rPr>
          <w:i/>
          <w:iCs/>
        </w:rPr>
        <w:t>Harnessing data and digital technology</w:t>
      </w:r>
      <w:r>
        <w:t>, Inquiry report no. 111, Canberra.</w:t>
      </w:r>
    </w:p>
    <w:p w14:paraId="2AE73A88" w14:textId="77777777" w:rsidR="002C0263" w:rsidRDefault="002C0263" w:rsidP="002C0263">
      <w:pPr>
        <w:pStyle w:val="Reference"/>
      </w:pPr>
      <w:r>
        <w:t xml:space="preserve">—— 2025e, </w:t>
      </w:r>
      <w:r>
        <w:rPr>
          <w:i/>
          <w:iCs/>
        </w:rPr>
        <w:t>Mental health and suicide prevention agreement review</w:t>
      </w:r>
      <w:r>
        <w:t>.</w:t>
      </w:r>
    </w:p>
    <w:p w14:paraId="03BD3BDE" w14:textId="77777777" w:rsidR="002C0263" w:rsidRDefault="002C0263" w:rsidP="002C0263">
      <w:pPr>
        <w:pStyle w:val="Reference"/>
      </w:pPr>
      <w:r>
        <w:t xml:space="preserve">Peiris, D, Feyer, A-M, Barnard, J, Billot, L, </w:t>
      </w:r>
      <w:proofErr w:type="spellStart"/>
      <w:r>
        <w:t>Bouckley</w:t>
      </w:r>
      <w:proofErr w:type="spellEnd"/>
      <w:r>
        <w:t xml:space="preserve">, T, </w:t>
      </w:r>
      <w:proofErr w:type="spellStart"/>
      <w:r>
        <w:t>Campain</w:t>
      </w:r>
      <w:proofErr w:type="spellEnd"/>
      <w:r>
        <w:t xml:space="preserve">, A, Cordery, D, De Souza, A, Downey, L, Elshaug, AG, Ford, B, </w:t>
      </w:r>
      <w:proofErr w:type="spellStart"/>
      <w:r>
        <w:t>Hanfy</w:t>
      </w:r>
      <w:proofErr w:type="spellEnd"/>
      <w:r>
        <w:t xml:space="preserve">, H, Hales, L, Khalaj, BH, </w:t>
      </w:r>
      <w:proofErr w:type="spellStart"/>
      <w:r>
        <w:t>Huckel</w:t>
      </w:r>
      <w:proofErr w:type="spellEnd"/>
      <w:r>
        <w:t xml:space="preserve"> Schneider, C, Inglis, J, Jan, S, </w:t>
      </w:r>
      <w:proofErr w:type="spellStart"/>
      <w:r>
        <w:t>Jorm</w:t>
      </w:r>
      <w:proofErr w:type="spellEnd"/>
      <w:r>
        <w:t xml:space="preserve">, L, Landon, B, </w:t>
      </w:r>
      <w:proofErr w:type="spellStart"/>
      <w:r>
        <w:t>Lujic</w:t>
      </w:r>
      <w:proofErr w:type="spellEnd"/>
      <w:r>
        <w:t xml:space="preserve">, S, Mulley, J, Pearson, S-A, </w:t>
      </w:r>
      <w:proofErr w:type="spellStart"/>
      <w:r>
        <w:t>Schierhout</w:t>
      </w:r>
      <w:proofErr w:type="spellEnd"/>
      <w:r>
        <w:t xml:space="preserve">, G, Sivaprakash, P, Stanton, C, Stephens, A and Willcox, D 2024, ‘Overcoming silos in health care systems through meso-level organisations – a case study of health reforms in New South Wales, Australia’, Elsevier BV, </w:t>
      </w:r>
      <w:r>
        <w:rPr>
          <w:i/>
          <w:iCs/>
        </w:rPr>
        <w:t>The Lancet Regional Health - Western Pacific</w:t>
      </w:r>
      <w:r>
        <w:t>, vol. 44.</w:t>
      </w:r>
    </w:p>
    <w:p w14:paraId="0DAE5991" w14:textId="2F9E9B62" w:rsidR="002C0263" w:rsidRPr="008645CB" w:rsidRDefault="002C0263" w:rsidP="002C0263">
      <w:pPr>
        <w:pStyle w:val="Reference"/>
        <w:rPr>
          <w:spacing w:val="-4"/>
        </w:rPr>
      </w:pPr>
      <w:r w:rsidRPr="008645CB">
        <w:rPr>
          <w:spacing w:val="-4"/>
        </w:rPr>
        <w:lastRenderedPageBreak/>
        <w:t xml:space="preserve">PLACE (Partnerships for Local Action and Community Engagement) 2024, </w:t>
      </w:r>
      <w:r w:rsidRPr="008645CB">
        <w:rPr>
          <w:i/>
          <w:iCs/>
          <w:spacing w:val="-4"/>
        </w:rPr>
        <w:t>PLACE: philanthropy and government partner to empower communities</w:t>
      </w:r>
      <w:r w:rsidRPr="008645CB">
        <w:rPr>
          <w:spacing w:val="-4"/>
        </w:rPr>
        <w:t>, https://www.placeaustralia.org/</w:t>
      </w:r>
      <w:r w:rsidR="008645CB" w:rsidRPr="008645CB">
        <w:rPr>
          <w:spacing w:val="-4"/>
        </w:rPr>
        <w:br/>
      </w:r>
      <w:r w:rsidRPr="008645CB">
        <w:rPr>
          <w:spacing w:val="-4"/>
        </w:rPr>
        <w:t>news/place-philanthropy-and-government-partner-to-empower-communities (accessed 12 June 2025).</w:t>
      </w:r>
    </w:p>
    <w:p w14:paraId="74AEBFB4" w14:textId="77777777" w:rsidR="002C0263" w:rsidRDefault="002C0263" w:rsidP="002C0263">
      <w:pPr>
        <w:pStyle w:val="Reference"/>
      </w:pPr>
      <w:r>
        <w:t xml:space="preserve">PM&amp;C (Australian Government Department of the Prime Minister and Cabinet) 2023, </w:t>
      </w:r>
      <w:r>
        <w:rPr>
          <w:i/>
          <w:iCs/>
        </w:rPr>
        <w:t>Draft national strategy for the care and support economy</w:t>
      </w:r>
      <w:r>
        <w:t>, 8 May.</w:t>
      </w:r>
    </w:p>
    <w:p w14:paraId="6EFD46C9" w14:textId="681D9337" w:rsidR="002C0263" w:rsidRDefault="002C0263" w:rsidP="002C0263">
      <w:pPr>
        <w:pStyle w:val="Reference"/>
      </w:pPr>
      <w:r>
        <w:t xml:space="preserve">—— 2024, </w:t>
      </w:r>
      <w:r>
        <w:rPr>
          <w:i/>
          <w:iCs/>
        </w:rPr>
        <w:t xml:space="preserve">Care and support economy </w:t>
      </w:r>
      <w:r w:rsidR="0098671D">
        <w:rPr>
          <w:i/>
          <w:iCs/>
        </w:rPr>
        <w:t>–</w:t>
      </w:r>
      <w:r>
        <w:rPr>
          <w:i/>
          <w:iCs/>
        </w:rPr>
        <w:t xml:space="preserve"> state of play</w:t>
      </w:r>
      <w:r>
        <w:t>.</w:t>
      </w:r>
    </w:p>
    <w:p w14:paraId="05918A87" w14:textId="22F892F0" w:rsidR="002C0263" w:rsidRDefault="002C0263" w:rsidP="002C0263">
      <w:pPr>
        <w:pStyle w:val="Reference"/>
      </w:pPr>
      <w:r>
        <w:t xml:space="preserve">—— 2025, </w:t>
      </w:r>
      <w:r>
        <w:rPr>
          <w:i/>
          <w:iCs/>
        </w:rPr>
        <w:t xml:space="preserve">Administrative arrangements order </w:t>
      </w:r>
      <w:r w:rsidR="00E23BCB">
        <w:rPr>
          <w:i/>
          <w:iCs/>
        </w:rPr>
        <w:t>–</w:t>
      </w:r>
      <w:r>
        <w:rPr>
          <w:i/>
          <w:iCs/>
        </w:rPr>
        <w:t xml:space="preserve"> 13 May 2025</w:t>
      </w:r>
      <w:r>
        <w:t>, https://www.pmc.gov.au/resources/aao-13-may-2025 (accessed 15 July 2025).</w:t>
      </w:r>
    </w:p>
    <w:p w14:paraId="3B7C1A1C" w14:textId="77777777" w:rsidR="002C0263" w:rsidRDefault="002C0263" w:rsidP="002C0263">
      <w:pPr>
        <w:pStyle w:val="Reference"/>
      </w:pPr>
      <w:r>
        <w:t xml:space="preserve">QCP (Queensland-Commonwealth Partnership) 2024, </w:t>
      </w:r>
      <w:r>
        <w:rPr>
          <w:i/>
          <w:iCs/>
        </w:rPr>
        <w:t>Joint regional needs assessment framework</w:t>
      </w:r>
      <w:r>
        <w:t>.</w:t>
      </w:r>
    </w:p>
    <w:p w14:paraId="23027F70" w14:textId="6325C2B3" w:rsidR="002C0263" w:rsidRDefault="002C0263" w:rsidP="002C0263">
      <w:pPr>
        <w:pStyle w:val="Reference"/>
      </w:pPr>
      <w:r>
        <w:t xml:space="preserve">QFCC (Queensland Family and Child Commission) 2021, </w:t>
      </w:r>
      <w:proofErr w:type="gramStart"/>
      <w:r>
        <w:rPr>
          <w:i/>
          <w:iCs/>
        </w:rPr>
        <w:t>Principle</w:t>
      </w:r>
      <w:proofErr w:type="gramEnd"/>
      <w:r>
        <w:rPr>
          <w:i/>
          <w:iCs/>
        </w:rPr>
        <w:t xml:space="preserve"> Focus </w:t>
      </w:r>
      <w:r w:rsidR="008645CB">
        <w:rPr>
          <w:i/>
          <w:iCs/>
        </w:rPr>
        <w:t>–</w:t>
      </w:r>
      <w:r>
        <w:rPr>
          <w:i/>
          <w:iCs/>
        </w:rPr>
        <w:t xml:space="preserve"> A child-rights approach to systemic accountability for the safety and wellbeing of Queensland’s First Nations children</w:t>
      </w:r>
      <w:r>
        <w:t>.</w:t>
      </w:r>
    </w:p>
    <w:p w14:paraId="31DFA84E" w14:textId="77777777" w:rsidR="002C0263" w:rsidRDefault="002C0263" w:rsidP="002C0263">
      <w:pPr>
        <w:pStyle w:val="Reference"/>
      </w:pPr>
      <w:r>
        <w:t xml:space="preserve">Queensland Health 2024, </w:t>
      </w:r>
      <w:r>
        <w:rPr>
          <w:i/>
          <w:iCs/>
        </w:rPr>
        <w:t>Queensland-Commonwealth Partnership (QCP)</w:t>
      </w:r>
      <w:r>
        <w:t>, https://www.health.qld.gov.au/system-governance/health-system/managing/queensland-commonwealth-partnership (accessed 30 July 2025).</w:t>
      </w:r>
    </w:p>
    <w:p w14:paraId="6C489026" w14:textId="77777777" w:rsidR="002C0263" w:rsidRPr="00E23BCB" w:rsidRDefault="002C0263" w:rsidP="002C0263">
      <w:pPr>
        <w:pStyle w:val="Reference"/>
        <w:rPr>
          <w:spacing w:val="-4"/>
        </w:rPr>
      </w:pPr>
      <w:r w:rsidRPr="00E23BCB">
        <w:rPr>
          <w:spacing w:val="-4"/>
        </w:rPr>
        <w:t xml:space="preserve">Quigley, E, Arnold, L, </w:t>
      </w:r>
      <w:proofErr w:type="spellStart"/>
      <w:r w:rsidRPr="00E23BCB">
        <w:rPr>
          <w:spacing w:val="-4"/>
        </w:rPr>
        <w:t>Rebbeck</w:t>
      </w:r>
      <w:proofErr w:type="spellEnd"/>
      <w:r w:rsidRPr="00E23BCB">
        <w:rPr>
          <w:spacing w:val="-4"/>
        </w:rPr>
        <w:t xml:space="preserve">, J and Goodwin, N 2024, ‘Central Coast joint strategic needs assessment - a collaborative approach to improving health and social care outcomes at a local level’, vol 24, presented at the </w:t>
      </w:r>
      <w:r w:rsidRPr="00E23BCB">
        <w:rPr>
          <w:i/>
          <w:iCs/>
          <w:spacing w:val="-4"/>
        </w:rPr>
        <w:t>International Journal of Integrated Care</w:t>
      </w:r>
      <w:r w:rsidRPr="00E23BCB">
        <w:rPr>
          <w:spacing w:val="-4"/>
        </w:rPr>
        <w:t>, Sydney, 30 July, p. 233.</w:t>
      </w:r>
    </w:p>
    <w:p w14:paraId="36CEFD83" w14:textId="77777777" w:rsidR="002C0263" w:rsidRDefault="002C0263" w:rsidP="002C0263">
      <w:pPr>
        <w:pStyle w:val="Reference"/>
      </w:pPr>
      <w:r>
        <w:t xml:space="preserve">Quinlivan, JA, Box, H and Evans, SF 2003, ‘Postnatal home visits in teenage mothers: a randomised controlled trial’, </w:t>
      </w:r>
      <w:r>
        <w:rPr>
          <w:i/>
          <w:iCs/>
        </w:rPr>
        <w:t>Lancet (London, England)</w:t>
      </w:r>
      <w:r>
        <w:t>, vol. 361, no. 9361, pp. 893–900.</w:t>
      </w:r>
    </w:p>
    <w:p w14:paraId="3DE0603C" w14:textId="77777777" w:rsidR="002C0263" w:rsidRDefault="002C0263" w:rsidP="002C0263">
      <w:pPr>
        <w:pStyle w:val="Reference"/>
      </w:pPr>
      <w:r>
        <w:t xml:space="preserve">RACGP (Royal Australian College of General Practitioners) 2025, </w:t>
      </w:r>
      <w:r>
        <w:rPr>
          <w:i/>
          <w:iCs/>
        </w:rPr>
        <w:t>RACGP submission to the Department of Health and Aged Care review into the Primary Health Network business model and mental health flexible funding model</w:t>
      </w:r>
      <w:r>
        <w:t>.</w:t>
      </w:r>
    </w:p>
    <w:p w14:paraId="63D8A8E0" w14:textId="4794C300" w:rsidR="002C0263" w:rsidRDefault="002C0263" w:rsidP="002C0263">
      <w:pPr>
        <w:pStyle w:val="Reference"/>
      </w:pPr>
      <w:r>
        <w:t xml:space="preserve">Roggenbuck, C 2022, </w:t>
      </w:r>
      <w:r>
        <w:rPr>
          <w:i/>
          <w:iCs/>
        </w:rPr>
        <w:t>Housing First: An evidence review of implementation, effectiveness and outcomes</w:t>
      </w:r>
      <w:r>
        <w:t>, AHURI Professional Services.</w:t>
      </w:r>
    </w:p>
    <w:p w14:paraId="09D3735E" w14:textId="77777777" w:rsidR="002C0263" w:rsidRDefault="002C0263" w:rsidP="002C0263">
      <w:pPr>
        <w:pStyle w:val="Reference"/>
      </w:pPr>
      <w:r>
        <w:t xml:space="preserve">Rose, V, Mildon, R and Hateley-Browne, J 2023, </w:t>
      </w:r>
      <w:r>
        <w:rPr>
          <w:i/>
          <w:iCs/>
        </w:rPr>
        <w:t>What successful early intervention looks like across the service system</w:t>
      </w:r>
      <w:r>
        <w:t>, Paper 1 prepared for the Victorian Department of Treasury &amp; Finance, Centre for Evidence and Implementation, p. 12.</w:t>
      </w:r>
    </w:p>
    <w:p w14:paraId="0FFD9666" w14:textId="77777777" w:rsidR="002C0263" w:rsidRDefault="002C0263" w:rsidP="002C0263">
      <w:pPr>
        <w:pStyle w:val="Reference"/>
      </w:pPr>
      <w:r>
        <w:t xml:space="preserve">Rowland, M 2025, </w:t>
      </w:r>
      <w:r>
        <w:rPr>
          <w:i/>
          <w:iCs/>
        </w:rPr>
        <w:t>Delivering urgent reform of Working with Children Checks</w:t>
      </w:r>
      <w:r>
        <w:t>, Media release, 15 August.</w:t>
      </w:r>
    </w:p>
    <w:p w14:paraId="0E7F71D8" w14:textId="77777777" w:rsidR="002C0263" w:rsidRPr="008645CB" w:rsidRDefault="002C0263" w:rsidP="002C0263">
      <w:pPr>
        <w:pStyle w:val="Reference"/>
        <w:rPr>
          <w:spacing w:val="-4"/>
        </w:rPr>
      </w:pPr>
      <w:r w:rsidRPr="008645CB">
        <w:rPr>
          <w:spacing w:val="-4"/>
        </w:rPr>
        <w:t xml:space="preserve">Salmon, J, Arundell, L, Cerin, E, </w:t>
      </w:r>
      <w:proofErr w:type="spellStart"/>
      <w:r w:rsidRPr="008645CB">
        <w:rPr>
          <w:spacing w:val="-4"/>
        </w:rPr>
        <w:t>Ridgers</w:t>
      </w:r>
      <w:proofErr w:type="spellEnd"/>
      <w:r w:rsidRPr="008645CB">
        <w:rPr>
          <w:spacing w:val="-4"/>
        </w:rPr>
        <w:t xml:space="preserve">, ND, Hesketh, KD, Daly, RM, Dunstan, D, Brown, H, Gatta, JD, Gatta, PD, </w:t>
      </w:r>
      <w:proofErr w:type="spellStart"/>
      <w:r w:rsidRPr="008645CB">
        <w:rPr>
          <w:spacing w:val="-4"/>
        </w:rPr>
        <w:t>Chinapaw</w:t>
      </w:r>
      <w:proofErr w:type="spellEnd"/>
      <w:r w:rsidRPr="008645CB">
        <w:rPr>
          <w:spacing w:val="-4"/>
        </w:rPr>
        <w:t xml:space="preserve">, MJM, Shepphard, L, Moodie, M, Hume, C, Brown, V, Ball, K and Crawford, D 2023, ‘Transform-Us! cluster RCT: 18-month and 30-month effects on children’s physical activity, sedentary time and cardiometabolic risk markers’, BMJ Publishing Group Ltd and British Association of Sport and Exercise Medicine, </w:t>
      </w:r>
      <w:r w:rsidRPr="008645CB">
        <w:rPr>
          <w:i/>
          <w:iCs/>
          <w:spacing w:val="-4"/>
        </w:rPr>
        <w:t>British Journal of Sports Medicine</w:t>
      </w:r>
      <w:r w:rsidRPr="008645CB">
        <w:rPr>
          <w:spacing w:val="-4"/>
        </w:rPr>
        <w:t>, vol. 57, no. 5.</w:t>
      </w:r>
    </w:p>
    <w:p w14:paraId="4A3F1414" w14:textId="77777777" w:rsidR="002C0263" w:rsidRPr="008645CB" w:rsidRDefault="002C0263" w:rsidP="002C0263">
      <w:pPr>
        <w:pStyle w:val="Reference"/>
        <w:rPr>
          <w:spacing w:val="-4"/>
        </w:rPr>
      </w:pPr>
      <w:r w:rsidRPr="008645CB">
        <w:rPr>
          <w:spacing w:val="-4"/>
        </w:rPr>
        <w:t xml:space="preserve">Salmon, M, </w:t>
      </w:r>
      <w:proofErr w:type="spellStart"/>
      <w:r w:rsidRPr="008645CB">
        <w:rPr>
          <w:spacing w:val="-4"/>
        </w:rPr>
        <w:t>Doery</w:t>
      </w:r>
      <w:proofErr w:type="spellEnd"/>
      <w:r w:rsidRPr="008645CB">
        <w:rPr>
          <w:spacing w:val="-4"/>
        </w:rPr>
        <w:t xml:space="preserve">, K, Dance, P, Chapman, J, Gilbert, R, Williams, R and Lovett, R 2019, </w:t>
      </w:r>
      <w:r w:rsidRPr="008645CB">
        <w:rPr>
          <w:i/>
          <w:iCs/>
          <w:spacing w:val="-4"/>
        </w:rPr>
        <w:t>Defining the indefinable: Descriptors of Aboriginal and Torres Strait Islander peoples’ cultures and their links to health and wellbeing</w:t>
      </w:r>
      <w:r w:rsidRPr="008645CB">
        <w:rPr>
          <w:spacing w:val="-4"/>
        </w:rPr>
        <w:t>, Literature Review, Aboriginal and Torres Strait Islander Health Team, Research School of Population Health, The Australian National University.</w:t>
      </w:r>
    </w:p>
    <w:p w14:paraId="70F22E56" w14:textId="77777777" w:rsidR="002C0263" w:rsidRDefault="002C0263" w:rsidP="002C0263">
      <w:pPr>
        <w:pStyle w:val="Reference"/>
      </w:pPr>
      <w:r>
        <w:t xml:space="preserve">Scamps, S 2025, </w:t>
      </w:r>
      <w:r>
        <w:rPr>
          <w:i/>
          <w:iCs/>
        </w:rPr>
        <w:t>Proposed amendment to Australian Centre for Disease Control Bill 2025</w:t>
      </w:r>
      <w:r>
        <w:t>, Parliament of Australia.</w:t>
      </w:r>
    </w:p>
    <w:p w14:paraId="15E888BD" w14:textId="77777777" w:rsidR="002C0263" w:rsidRDefault="002C0263" w:rsidP="002C0263">
      <w:pPr>
        <w:pStyle w:val="Reference"/>
      </w:pPr>
      <w:r>
        <w:t xml:space="preserve">Schwarzman, J, Bauman, A, </w:t>
      </w:r>
      <w:proofErr w:type="spellStart"/>
      <w:r>
        <w:t>Gabbe</w:t>
      </w:r>
      <w:proofErr w:type="spellEnd"/>
      <w:r>
        <w:t xml:space="preserve">, B, Rissel, C, Shilton, T and Smith, B 2018, ‘Organizational determinants of evaluation </w:t>
      </w:r>
      <w:r>
        <w:t xml:space="preserve">practice in Australian prevention agencies’, </w:t>
      </w:r>
      <w:r>
        <w:rPr>
          <w:i/>
          <w:iCs/>
        </w:rPr>
        <w:t>Health Education Research</w:t>
      </w:r>
      <w:r>
        <w:t>, vol. 33, no. 3, pp. 243–255.</w:t>
      </w:r>
    </w:p>
    <w:p w14:paraId="14D278EE" w14:textId="3FB0AF5F" w:rsidR="002C0263" w:rsidRDefault="002C0263" w:rsidP="002C0263">
      <w:pPr>
        <w:pStyle w:val="Reference"/>
      </w:pPr>
      <w:r>
        <w:t xml:space="preserve">SCRGSP (Steering Committee for the Review of Government Service Provision) 2025a, </w:t>
      </w:r>
      <w:r>
        <w:rPr>
          <w:i/>
          <w:iCs/>
        </w:rPr>
        <w:t>Report on Government Services 2025</w:t>
      </w:r>
      <w:r w:rsidR="00E23BCB">
        <w:rPr>
          <w:i/>
          <w:iCs/>
        </w:rPr>
        <w:t>,</w:t>
      </w:r>
      <w:r>
        <w:rPr>
          <w:i/>
          <w:iCs/>
        </w:rPr>
        <w:t xml:space="preserve"> </w:t>
      </w:r>
      <w:proofErr w:type="gramStart"/>
      <w:r>
        <w:rPr>
          <w:i/>
          <w:iCs/>
        </w:rPr>
        <w:t>Child care</w:t>
      </w:r>
      <w:proofErr w:type="gramEnd"/>
      <w:r>
        <w:rPr>
          <w:i/>
          <w:iCs/>
        </w:rPr>
        <w:t>, education and training (</w:t>
      </w:r>
      <w:r w:rsidR="007C6282">
        <w:rPr>
          <w:i/>
          <w:iCs/>
        </w:rPr>
        <w:t>p</w:t>
      </w:r>
      <w:r>
        <w:rPr>
          <w:i/>
          <w:iCs/>
        </w:rPr>
        <w:t>art B)</w:t>
      </w:r>
      <w:r>
        <w:t>, Productivity Commission, Canberra.</w:t>
      </w:r>
    </w:p>
    <w:p w14:paraId="6975F3C3" w14:textId="3123841B" w:rsidR="002C0263" w:rsidRDefault="002C0263" w:rsidP="002C0263">
      <w:pPr>
        <w:pStyle w:val="Reference"/>
      </w:pPr>
      <w:r>
        <w:t xml:space="preserve">—— 2025b, </w:t>
      </w:r>
      <w:r>
        <w:rPr>
          <w:i/>
          <w:iCs/>
        </w:rPr>
        <w:t>Report on Government Services 2025</w:t>
      </w:r>
      <w:r w:rsidR="00E23BCB">
        <w:rPr>
          <w:i/>
          <w:iCs/>
        </w:rPr>
        <w:t>,</w:t>
      </w:r>
      <w:r>
        <w:rPr>
          <w:i/>
          <w:iCs/>
        </w:rPr>
        <w:t xml:space="preserve"> Community services (part F)</w:t>
      </w:r>
      <w:r>
        <w:t>, Productivity Commission, Canberra.</w:t>
      </w:r>
    </w:p>
    <w:p w14:paraId="6D156D9B" w14:textId="365510FB" w:rsidR="002C0263" w:rsidRDefault="002C0263" w:rsidP="002C0263">
      <w:pPr>
        <w:pStyle w:val="Reference"/>
      </w:pPr>
      <w:r>
        <w:t xml:space="preserve">—— 2025c, </w:t>
      </w:r>
      <w:r>
        <w:rPr>
          <w:i/>
          <w:iCs/>
        </w:rPr>
        <w:t>Report on Government Services 2025</w:t>
      </w:r>
      <w:r w:rsidR="007C6282">
        <w:rPr>
          <w:i/>
          <w:iCs/>
        </w:rPr>
        <w:t>,</w:t>
      </w:r>
      <w:r>
        <w:rPr>
          <w:i/>
          <w:iCs/>
        </w:rPr>
        <w:t xml:space="preserve"> Health (part E)</w:t>
      </w:r>
      <w:r>
        <w:t>, Productivity Commission, Canberra.</w:t>
      </w:r>
    </w:p>
    <w:p w14:paraId="6A1AD77B" w14:textId="77777777" w:rsidR="002C0263" w:rsidRDefault="002C0263" w:rsidP="002C0263">
      <w:pPr>
        <w:pStyle w:val="Reference"/>
      </w:pPr>
      <w:r>
        <w:t xml:space="preserve">Service NSW 2025, </w:t>
      </w:r>
      <w:r>
        <w:rPr>
          <w:i/>
          <w:iCs/>
        </w:rPr>
        <w:t>Apply for a working with children check</w:t>
      </w:r>
      <w:r>
        <w:t>, https://www.service.nsw.gov.au/transaction/apply-for-a-working-with-children-check (accessed 25 October 2025).</w:t>
      </w:r>
    </w:p>
    <w:p w14:paraId="22C97369" w14:textId="77777777" w:rsidR="002C0263" w:rsidRDefault="002C0263" w:rsidP="002C0263">
      <w:pPr>
        <w:pStyle w:val="Reference"/>
      </w:pPr>
      <w:r>
        <w:t xml:space="preserve">Shih, STF, Carter, R, Heward, S and Sinclair, C 2017, ‘Skin cancer has a large impact on our public </w:t>
      </w:r>
      <w:proofErr w:type="gramStart"/>
      <w:r>
        <w:t>hospitals</w:t>
      </w:r>
      <w:proofErr w:type="gramEnd"/>
      <w:r>
        <w:t xml:space="preserve"> but prevention programs continue to demonstrate strong economic credentials’, </w:t>
      </w:r>
      <w:r>
        <w:rPr>
          <w:i/>
          <w:iCs/>
        </w:rPr>
        <w:t>Australian and New Zealand Journal of Public Health</w:t>
      </w:r>
      <w:r>
        <w:t>, vol. 41, no. 4, pp. 371–376.</w:t>
      </w:r>
    </w:p>
    <w:p w14:paraId="255D41F0" w14:textId="77777777" w:rsidR="002C0263" w:rsidRDefault="002C0263" w:rsidP="002C0263">
      <w:pPr>
        <w:pStyle w:val="Reference"/>
      </w:pPr>
      <w:r>
        <w:t xml:space="preserve">SNAICC (SNAICC – National Voice for our Children, Family Matters Leadership Group, Monash University, and University of Technology Sydney) 2023, </w:t>
      </w:r>
      <w:r>
        <w:rPr>
          <w:i/>
          <w:iCs/>
        </w:rPr>
        <w:t>Family matters report 2023</w:t>
      </w:r>
      <w:r>
        <w:t>.</w:t>
      </w:r>
    </w:p>
    <w:p w14:paraId="05B74FE9" w14:textId="77777777" w:rsidR="002C0263" w:rsidRDefault="002C0263" w:rsidP="002C0263">
      <w:pPr>
        <w:pStyle w:val="Reference"/>
      </w:pPr>
      <w:proofErr w:type="gramStart"/>
      <w:r>
        <w:t>South West</w:t>
      </w:r>
      <w:proofErr w:type="gramEnd"/>
      <w:r>
        <w:t xml:space="preserve"> Hospital and Health Service 2025, </w:t>
      </w:r>
      <w:r>
        <w:rPr>
          <w:i/>
          <w:iCs/>
        </w:rPr>
        <w:t>The State of Queensland (</w:t>
      </w:r>
      <w:proofErr w:type="gramStart"/>
      <w:r>
        <w:rPr>
          <w:i/>
          <w:iCs/>
        </w:rPr>
        <w:t>South West</w:t>
      </w:r>
      <w:proofErr w:type="gramEnd"/>
      <w:r>
        <w:rPr>
          <w:i/>
          <w:iCs/>
        </w:rPr>
        <w:t xml:space="preserve"> Hospital and Health Service) Health and service needs assessment: Summary of identified needs (November 2024)</w:t>
      </w:r>
      <w:r>
        <w:t>.</w:t>
      </w:r>
    </w:p>
    <w:p w14:paraId="64814834" w14:textId="77777777" w:rsidR="002C0263" w:rsidRDefault="002C0263" w:rsidP="002C0263">
      <w:pPr>
        <w:pStyle w:val="Reference"/>
      </w:pPr>
      <w:proofErr w:type="gramStart"/>
      <w:r>
        <w:t>South West</w:t>
      </w:r>
      <w:proofErr w:type="gramEnd"/>
      <w:r>
        <w:t xml:space="preserve"> Queensland Primary Health Care Alliance 2024, </w:t>
      </w:r>
      <w:proofErr w:type="gramStart"/>
      <w:r>
        <w:rPr>
          <w:i/>
          <w:iCs/>
        </w:rPr>
        <w:t>South West</w:t>
      </w:r>
      <w:proofErr w:type="gramEnd"/>
      <w:r>
        <w:rPr>
          <w:i/>
          <w:iCs/>
        </w:rPr>
        <w:t xml:space="preserve"> Queensland Primary Care Alliance governance framework</w:t>
      </w:r>
      <w:r>
        <w:t>.</w:t>
      </w:r>
    </w:p>
    <w:p w14:paraId="4EBBD353" w14:textId="77777777" w:rsidR="002C0263" w:rsidRDefault="002C0263" w:rsidP="002C0263">
      <w:pPr>
        <w:pStyle w:val="Reference"/>
      </w:pPr>
      <w:r>
        <w:t xml:space="preserve">Stout, B, Dadich, A, Grace, R, Perry, N, Knight, J, Townley, C, Ng, J and Mugadza, T 2022, </w:t>
      </w:r>
      <w:r>
        <w:rPr>
          <w:i/>
          <w:iCs/>
        </w:rPr>
        <w:t>A rapid evidence review of early childhood programs to reduce harm and maltreatment and improve school readiness</w:t>
      </w:r>
      <w:r>
        <w:t>, Evidence Bank Rapid Review, Western Sydney University.</w:t>
      </w:r>
    </w:p>
    <w:p w14:paraId="16A6E83A" w14:textId="77777777" w:rsidR="002C0263" w:rsidRDefault="002C0263" w:rsidP="002C0263">
      <w:pPr>
        <w:pStyle w:val="Reference"/>
      </w:pPr>
      <w:r>
        <w:t xml:space="preserve">SVA (Social Ventures Australia) 2019, </w:t>
      </w:r>
      <w:r>
        <w:rPr>
          <w:i/>
          <w:iCs/>
        </w:rPr>
        <w:t>The economic case for early intervention in the child protection and out-of-home care system in Victoria</w:t>
      </w:r>
      <w:r>
        <w:t>, Research paper, November, Sydney.</w:t>
      </w:r>
    </w:p>
    <w:p w14:paraId="1C27C114" w14:textId="77777777" w:rsidR="002C0263" w:rsidRDefault="002C0263" w:rsidP="002C0263">
      <w:pPr>
        <w:pStyle w:val="Reference"/>
      </w:pPr>
      <w:r>
        <w:t xml:space="preserve">The Health Alliance 2025, </w:t>
      </w:r>
      <w:r>
        <w:rPr>
          <w:i/>
          <w:iCs/>
        </w:rPr>
        <w:t>Governance</w:t>
      </w:r>
      <w:r>
        <w:t>, https://healthalliance.org.au/about-us/governance/ (accessed 22 October 2025).</w:t>
      </w:r>
    </w:p>
    <w:p w14:paraId="3C26E519" w14:textId="77777777" w:rsidR="002C0263" w:rsidRDefault="002C0263" w:rsidP="002C0263">
      <w:pPr>
        <w:pStyle w:val="Reference"/>
      </w:pPr>
      <w:r>
        <w:t xml:space="preserve">The King’s Fund 2023, </w:t>
      </w:r>
      <w:r>
        <w:rPr>
          <w:i/>
          <w:iCs/>
        </w:rPr>
        <w:t xml:space="preserve">What is commissioning and how is it </w:t>
      </w:r>
      <w:proofErr w:type="gramStart"/>
      <w:r>
        <w:rPr>
          <w:i/>
          <w:iCs/>
        </w:rPr>
        <w:t>changing?</w:t>
      </w:r>
      <w:r>
        <w:t>,</w:t>
      </w:r>
      <w:proofErr w:type="gramEnd"/>
      <w:r>
        <w:t xml:space="preserve"> https://www.kingsfund.org.uk/insight-and-analysis/long-reads/what-commissioning-and-how-it-changing (accessed 9 January 2025).</w:t>
      </w:r>
    </w:p>
    <w:p w14:paraId="3B2FB8D7" w14:textId="77777777" w:rsidR="002C0263" w:rsidRDefault="002C0263" w:rsidP="002C0263">
      <w:pPr>
        <w:pStyle w:val="Reference"/>
      </w:pPr>
      <w:r>
        <w:t xml:space="preserve">The University of Melbourne, University of Technology Sydney, and The University of Sydney 2023, </w:t>
      </w:r>
      <w:r>
        <w:rPr>
          <w:i/>
          <w:iCs/>
        </w:rPr>
        <w:t>Restrictive practices: a pathway to elimination</w:t>
      </w:r>
      <w:r>
        <w:t>, Research Report, July, Royal Commission into Violence, Abuse, Neglect and Exploitation of People with Disability.</w:t>
      </w:r>
    </w:p>
    <w:p w14:paraId="30D2D1E5" w14:textId="77777777" w:rsidR="002C0263" w:rsidRPr="008645CB" w:rsidRDefault="002C0263" w:rsidP="002C0263">
      <w:pPr>
        <w:pStyle w:val="Reference"/>
        <w:rPr>
          <w:spacing w:val="-4"/>
        </w:rPr>
      </w:pPr>
      <w:r w:rsidRPr="008645CB">
        <w:rPr>
          <w:spacing w:val="-4"/>
        </w:rPr>
        <w:t xml:space="preserve">Tran, HNQ, Al Subhi, M, Ward, N, Nguyen, P, Sultana, M, </w:t>
      </w:r>
      <w:proofErr w:type="spellStart"/>
      <w:r w:rsidRPr="008645CB">
        <w:rPr>
          <w:spacing w:val="-4"/>
        </w:rPr>
        <w:t>Ananthapavan</w:t>
      </w:r>
      <w:proofErr w:type="spellEnd"/>
      <w:r w:rsidRPr="008645CB">
        <w:rPr>
          <w:spacing w:val="-4"/>
        </w:rPr>
        <w:t xml:space="preserve">, J and Brown, V 2024, ‘How much is invested in obesity prevention in Australia? An analysis of major research and Federal Government funding, 2013–2022.’, CSIRO Publishing, </w:t>
      </w:r>
      <w:r w:rsidRPr="008645CB">
        <w:rPr>
          <w:i/>
          <w:iCs/>
          <w:spacing w:val="-4"/>
        </w:rPr>
        <w:t>Public Health Research &amp; Practice</w:t>
      </w:r>
      <w:r w:rsidRPr="008645CB">
        <w:rPr>
          <w:spacing w:val="-4"/>
        </w:rPr>
        <w:t>, vol. 34, no. 1, pp. 1–9.</w:t>
      </w:r>
    </w:p>
    <w:p w14:paraId="22CB041A" w14:textId="77777777" w:rsidR="002C0263" w:rsidRDefault="002C0263" w:rsidP="002C0263">
      <w:pPr>
        <w:pStyle w:val="Reference"/>
      </w:pPr>
      <w:r>
        <w:t xml:space="preserve">Treasury (Australian Government Treasury) 2023, </w:t>
      </w:r>
      <w:r>
        <w:rPr>
          <w:i/>
          <w:iCs/>
        </w:rPr>
        <w:t>Measuring what matters</w:t>
      </w:r>
      <w:r>
        <w:t>, Department of the Treasury, https://treasury.gov.au/policy-topics/measuring-what-matters (accessed 10 October 2025).</w:t>
      </w:r>
    </w:p>
    <w:p w14:paraId="61691EFA" w14:textId="77777777" w:rsidR="002C0263" w:rsidRDefault="002C0263" w:rsidP="002C0263">
      <w:pPr>
        <w:pStyle w:val="Reference"/>
      </w:pPr>
      <w:r>
        <w:t xml:space="preserve">—— 2024, </w:t>
      </w:r>
      <w:r>
        <w:rPr>
          <w:i/>
          <w:iCs/>
        </w:rPr>
        <w:t>National Competition Policy: Federation Funding Agreement - Affordable Housing, Community Services and Other</w:t>
      </w:r>
      <w:r>
        <w:t>, November.</w:t>
      </w:r>
    </w:p>
    <w:p w14:paraId="18D64C3E" w14:textId="77777777" w:rsidR="002C0263" w:rsidRDefault="002C0263" w:rsidP="002C0263">
      <w:pPr>
        <w:pStyle w:val="Reference"/>
      </w:pPr>
      <w:r>
        <w:lastRenderedPageBreak/>
        <w:t xml:space="preserve">—— and Finance (Australian Government Treasury and Australian Government Department of Finance) 2024, </w:t>
      </w:r>
      <w:r>
        <w:rPr>
          <w:i/>
          <w:iCs/>
        </w:rPr>
        <w:t>Charter of Budget Honesty Policy Costing Guidelines</w:t>
      </w:r>
      <w:r>
        <w:t>, Canberra.</w:t>
      </w:r>
    </w:p>
    <w:p w14:paraId="70379DD1" w14:textId="77777777" w:rsidR="002C0263" w:rsidRDefault="002C0263" w:rsidP="002C0263">
      <w:pPr>
        <w:pStyle w:val="Reference"/>
      </w:pPr>
      <w:r>
        <w:t xml:space="preserve">Tseng, Y-P, Jordan, B, Borland, J, Clark, M, Coombs, N, Cotter, K, Guillou, M, Hill, A, Kennedy, A and Sheehan, J 2022, </w:t>
      </w:r>
      <w:r>
        <w:rPr>
          <w:i/>
          <w:iCs/>
        </w:rPr>
        <w:t>36 months in the early years education program: Assessment of the impact on children and their primary caregivers</w:t>
      </w:r>
      <w:r>
        <w:t>, Changing the life trajectories of Australia’s most vulnerable children, The Melbourne Institute.</w:t>
      </w:r>
    </w:p>
    <w:p w14:paraId="20AE5D14" w14:textId="77777777" w:rsidR="002C0263" w:rsidRDefault="002C0263" w:rsidP="002C0263">
      <w:pPr>
        <w:pStyle w:val="Reference"/>
      </w:pPr>
      <w:r>
        <w:t xml:space="preserve">Turner, L, Albers, T, Carson, A, Nelson, C, Brown, R and </w:t>
      </w:r>
      <w:proofErr w:type="spellStart"/>
      <w:r>
        <w:t>Serghi</w:t>
      </w:r>
      <w:proofErr w:type="spellEnd"/>
      <w:r>
        <w:t xml:space="preserve">, M 2019, ‘Building a regional health ecosystem: a case study of the Institute for Urban Indigenous Health and its System of Care.’, CSIRO Publishing, </w:t>
      </w:r>
      <w:r>
        <w:rPr>
          <w:i/>
          <w:iCs/>
        </w:rPr>
        <w:t>Australian Journal of Primary Health</w:t>
      </w:r>
      <w:r>
        <w:t>, vol. 25, no. 5, pp. 424–429.</w:t>
      </w:r>
    </w:p>
    <w:p w14:paraId="5C358F5F" w14:textId="77777777" w:rsidR="002C0263" w:rsidRDefault="002C0263" w:rsidP="002C0263">
      <w:pPr>
        <w:pStyle w:val="Reference"/>
      </w:pPr>
      <w:r>
        <w:t xml:space="preserve">UK HM Treasury (United Kingdom Government His Majesty’s Treasury) 2023, </w:t>
      </w:r>
      <w:r>
        <w:rPr>
          <w:i/>
          <w:iCs/>
        </w:rPr>
        <w:t>The Government Efficiency Framework</w:t>
      </w:r>
      <w:r>
        <w:t>.</w:t>
      </w:r>
    </w:p>
    <w:p w14:paraId="0DCA17D1" w14:textId="77777777" w:rsidR="002C0263" w:rsidRDefault="002C0263" w:rsidP="002C0263">
      <w:pPr>
        <w:pStyle w:val="Reference"/>
      </w:pPr>
      <w:r>
        <w:t xml:space="preserve">VACCHO (Victorian Aboriginal Community Controlled Health Organisation) 2024, </w:t>
      </w:r>
      <w:r>
        <w:rPr>
          <w:i/>
          <w:iCs/>
        </w:rPr>
        <w:t xml:space="preserve">Submission to the </w:t>
      </w:r>
      <w:proofErr w:type="spellStart"/>
      <w:r>
        <w:rPr>
          <w:i/>
          <w:iCs/>
        </w:rPr>
        <w:t>Yoorrook</w:t>
      </w:r>
      <w:proofErr w:type="spellEnd"/>
      <w:r>
        <w:rPr>
          <w:i/>
          <w:iCs/>
        </w:rPr>
        <w:t xml:space="preserve"> Justice Commission: Health and healthcare, housing and homelessness, education</w:t>
      </w:r>
      <w:r>
        <w:t>.</w:t>
      </w:r>
    </w:p>
    <w:p w14:paraId="1D005A69" w14:textId="77777777" w:rsidR="002C0263" w:rsidRPr="008645CB" w:rsidRDefault="002C0263" w:rsidP="002C0263">
      <w:pPr>
        <w:pStyle w:val="Reference"/>
        <w:rPr>
          <w:spacing w:val="-4"/>
        </w:rPr>
      </w:pPr>
      <w:proofErr w:type="spellStart"/>
      <w:r w:rsidRPr="008645CB">
        <w:rPr>
          <w:spacing w:val="-4"/>
        </w:rPr>
        <w:t>Verikios</w:t>
      </w:r>
      <w:proofErr w:type="spellEnd"/>
      <w:r w:rsidRPr="008645CB">
        <w:rPr>
          <w:spacing w:val="-4"/>
        </w:rPr>
        <w:t xml:space="preserve">, G, Dixon, PB, Rimmer, MT and Harris, AH 2015, ‘Improving health in an advanced economy: An economywide analysis for Australia’, </w:t>
      </w:r>
      <w:r w:rsidRPr="008645CB">
        <w:rPr>
          <w:i/>
          <w:iCs/>
          <w:spacing w:val="-4"/>
        </w:rPr>
        <w:t>Economic Modelling</w:t>
      </w:r>
      <w:r w:rsidRPr="008645CB">
        <w:rPr>
          <w:spacing w:val="-4"/>
        </w:rPr>
        <w:t>, vol. 46, pp. 250–261.</w:t>
      </w:r>
    </w:p>
    <w:p w14:paraId="31992B70" w14:textId="77777777" w:rsidR="002C0263" w:rsidRDefault="002C0263" w:rsidP="002C0263">
      <w:pPr>
        <w:pStyle w:val="Reference"/>
      </w:pPr>
      <w:r>
        <w:t xml:space="preserve">Victorian DTF (Victorian Department of Treasury and Finance) 2024, </w:t>
      </w:r>
      <w:r>
        <w:rPr>
          <w:i/>
          <w:iCs/>
        </w:rPr>
        <w:t>2024</w:t>
      </w:r>
      <w:r>
        <w:rPr>
          <w:i/>
          <w:iCs/>
        </w:rPr>
        <w:noBreakHyphen/>
        <w:t>25 Budget paper no. 3: Appendix B - Early Intervention Investment Framework</w:t>
      </w:r>
      <w:r>
        <w:t>.</w:t>
      </w:r>
    </w:p>
    <w:p w14:paraId="5C24317E" w14:textId="77777777" w:rsidR="002C0263" w:rsidRDefault="002C0263" w:rsidP="002C0263">
      <w:pPr>
        <w:pStyle w:val="Reference"/>
      </w:pPr>
      <w:r>
        <w:t xml:space="preserve">Vos, T, Carter, R, Barendregt, J, Mihalopoulos, C, Veerman, L, Magnus, A, </w:t>
      </w:r>
      <w:proofErr w:type="spellStart"/>
      <w:r>
        <w:t>Cobiac</w:t>
      </w:r>
      <w:proofErr w:type="spellEnd"/>
      <w:r>
        <w:t xml:space="preserve">, L, Bertram, M and Wallace, A 2010, </w:t>
      </w:r>
      <w:r>
        <w:rPr>
          <w:i/>
          <w:iCs/>
        </w:rPr>
        <w:t>Assessing cost-effectiveness in prevention</w:t>
      </w:r>
      <w:r>
        <w:t>, final report, ACE-Prevention team.</w:t>
      </w:r>
    </w:p>
    <w:p w14:paraId="738B8563" w14:textId="1F7E3BE8" w:rsidR="002C0263" w:rsidRPr="008645CB" w:rsidRDefault="002C0263" w:rsidP="002C0263">
      <w:pPr>
        <w:pStyle w:val="Reference"/>
        <w:rPr>
          <w:spacing w:val="-4"/>
        </w:rPr>
      </w:pPr>
      <w:r w:rsidRPr="008645CB">
        <w:rPr>
          <w:spacing w:val="-4"/>
        </w:rPr>
        <w:t xml:space="preserve">WA DoE (Western Australian Department of Education) 2025, </w:t>
      </w:r>
      <w:r w:rsidRPr="008645CB">
        <w:rPr>
          <w:i/>
          <w:iCs/>
          <w:spacing w:val="-4"/>
        </w:rPr>
        <w:t>Working with Children Check</w:t>
      </w:r>
      <w:r w:rsidRPr="008645CB">
        <w:rPr>
          <w:spacing w:val="-4"/>
        </w:rPr>
        <w:t>, https://www.education.wa.edu.au/</w:t>
      </w:r>
      <w:r w:rsidR="008645CB">
        <w:rPr>
          <w:spacing w:val="-4"/>
        </w:rPr>
        <w:br/>
      </w:r>
      <w:proofErr w:type="spellStart"/>
      <w:r w:rsidRPr="008645CB">
        <w:rPr>
          <w:spacing w:val="-4"/>
        </w:rPr>
        <w:t>wwc</w:t>
      </w:r>
      <w:proofErr w:type="spellEnd"/>
      <w:r w:rsidRPr="008645CB">
        <w:rPr>
          <w:spacing w:val="-4"/>
        </w:rPr>
        <w:t xml:space="preserve"> (accessed 25 October 2025).</w:t>
      </w:r>
    </w:p>
    <w:p w14:paraId="4A892645" w14:textId="77777777" w:rsidR="002C0263" w:rsidRPr="008645CB" w:rsidRDefault="002C0263" w:rsidP="002C0263">
      <w:pPr>
        <w:pStyle w:val="Reference"/>
        <w:rPr>
          <w:spacing w:val="-4"/>
        </w:rPr>
      </w:pPr>
      <w:r w:rsidRPr="008645CB">
        <w:rPr>
          <w:spacing w:val="-4"/>
        </w:rPr>
        <w:t xml:space="preserve">Western Queensland PHN (Western Queensland Primary Health Network) 2025a, </w:t>
      </w:r>
      <w:proofErr w:type="gramStart"/>
      <w:r w:rsidRPr="008645CB">
        <w:rPr>
          <w:i/>
          <w:iCs/>
          <w:spacing w:val="-4"/>
        </w:rPr>
        <w:t>South West</w:t>
      </w:r>
      <w:proofErr w:type="gramEnd"/>
      <w:r w:rsidRPr="008645CB">
        <w:rPr>
          <w:i/>
          <w:iCs/>
          <w:spacing w:val="-4"/>
        </w:rPr>
        <w:t xml:space="preserve"> Queensland Primary Care Alliance</w:t>
      </w:r>
      <w:r w:rsidRPr="008645CB">
        <w:rPr>
          <w:spacing w:val="-4"/>
        </w:rPr>
        <w:t>, https://www.wqphn.com.au/commissioning/south-west-queensland-primary-care-alliance (accessed 26 June 2025).</w:t>
      </w:r>
    </w:p>
    <w:p w14:paraId="0A8DEFEC" w14:textId="77777777" w:rsidR="002C0263" w:rsidRDefault="002C0263" w:rsidP="002C0263">
      <w:pPr>
        <w:pStyle w:val="Reference"/>
      </w:pPr>
      <w:r>
        <w:t xml:space="preserve">—— 2025b, </w:t>
      </w:r>
      <w:r>
        <w:rPr>
          <w:i/>
          <w:iCs/>
        </w:rPr>
        <w:t>Submission 45 to the Productivity Commission Mental Health and Suicide Prevention Agreement Review</w:t>
      </w:r>
      <w:r>
        <w:t>.</w:t>
      </w:r>
    </w:p>
    <w:p w14:paraId="0239F5D3" w14:textId="77777777" w:rsidR="002C0263" w:rsidRDefault="002C0263" w:rsidP="002C0263">
      <w:pPr>
        <w:pStyle w:val="Reference"/>
      </w:pPr>
      <w:r>
        <w:t xml:space="preserve">Wise, S, da Silva, L, Webster, E and Sanson, A 2005, </w:t>
      </w:r>
      <w:r>
        <w:rPr>
          <w:i/>
          <w:iCs/>
        </w:rPr>
        <w:t>The efficacy of early childhood interventions</w:t>
      </w:r>
      <w:r>
        <w:t>, 14, AIFS Research Report, Australian Institute of Family Studies.</w:t>
      </w:r>
    </w:p>
    <w:p w14:paraId="04983EE7" w14:textId="77777777" w:rsidR="002C0263" w:rsidRDefault="002C0263" w:rsidP="002C0263">
      <w:pPr>
        <w:pStyle w:val="Reference"/>
      </w:pPr>
      <w:r>
        <w:t xml:space="preserve">WSIPP (Washington State Institute for Public Policy) 2024a, </w:t>
      </w:r>
      <w:r>
        <w:rPr>
          <w:i/>
          <w:iCs/>
        </w:rPr>
        <w:t>Benefit-cost results</w:t>
      </w:r>
      <w:r>
        <w:t>, https://www.wsipp.wa.gov/benefitcost (accessed 6 March 2025).</w:t>
      </w:r>
    </w:p>
    <w:p w14:paraId="46C8E598" w14:textId="65E6E7E3" w:rsidR="009622E2" w:rsidRDefault="002C0263">
      <w:pPr>
        <w:pStyle w:val="Reference"/>
      </w:pPr>
      <w:r>
        <w:t xml:space="preserve">—— 2024b, </w:t>
      </w:r>
      <w:r>
        <w:rPr>
          <w:i/>
          <w:iCs/>
        </w:rPr>
        <w:t>Benefit-cost technical documentation</w:t>
      </w:r>
      <w:r>
        <w:t>, December, Olympia, WA.</w:t>
      </w:r>
    </w:p>
    <w:p w14:paraId="2BA9D21B" w14:textId="77777777" w:rsidR="008645CB" w:rsidRDefault="008645CB">
      <w:pPr>
        <w:pStyle w:val="Reference"/>
      </w:pPr>
    </w:p>
    <w:p w14:paraId="1EF3999D" w14:textId="77777777" w:rsidR="008645CB" w:rsidRDefault="008645CB" w:rsidP="00F2535D">
      <w:pPr>
        <w:pStyle w:val="Reference"/>
        <w:rPr>
          <w:noProof/>
        </w:rPr>
        <w:sectPr w:rsidR="008645CB" w:rsidSect="009622E2">
          <w:type w:val="continuous"/>
          <w:pgSz w:w="11906" w:h="16838" w:code="9"/>
          <w:pgMar w:top="1134" w:right="1134" w:bottom="1134" w:left="1134" w:header="794" w:footer="510" w:gutter="0"/>
          <w:cols w:num="2" w:space="708"/>
          <w:docGrid w:linePitch="360"/>
        </w:sectPr>
      </w:pPr>
    </w:p>
    <w:p w14:paraId="5F64DF13" w14:textId="77777777" w:rsidR="0052247F" w:rsidRDefault="0052247F" w:rsidP="00F2535D">
      <w:pPr>
        <w:pStyle w:val="Reference"/>
        <w:rPr>
          <w:noProof/>
        </w:rPr>
      </w:pPr>
    </w:p>
    <w:sectPr w:rsidR="0052247F" w:rsidSect="009622E2">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64E79" w14:textId="77777777" w:rsidR="00BB6434" w:rsidRDefault="00BB6434" w:rsidP="008017BC">
      <w:r>
        <w:separator/>
      </w:r>
    </w:p>
    <w:p w14:paraId="74AD4DF9" w14:textId="77777777" w:rsidR="00BB6434" w:rsidRDefault="00BB6434"/>
  </w:endnote>
  <w:endnote w:type="continuationSeparator" w:id="0">
    <w:p w14:paraId="727A49B2" w14:textId="77777777" w:rsidR="00BB6434" w:rsidRDefault="00BB6434" w:rsidP="008017BC">
      <w:r>
        <w:continuationSeparator/>
      </w:r>
    </w:p>
    <w:p w14:paraId="586A1A1D" w14:textId="77777777" w:rsidR="00BB6434" w:rsidRDefault="00BB6434"/>
  </w:endnote>
  <w:endnote w:type="continuationNotice" w:id="1">
    <w:p w14:paraId="257D3A95" w14:textId="77777777" w:rsidR="00BB6434" w:rsidRDefault="00BB643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F0DB0"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3F3C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880898"/>
      <w:docPartObj>
        <w:docPartGallery w:val="Page Numbers (Bottom of Page)"/>
        <w:docPartUnique/>
      </w:docPartObj>
    </w:sdtPr>
    <w:sdtContent>
      <w:sdt>
        <w:sdtPr>
          <w:id w:val="-1452238621"/>
          <w:docPartObj>
            <w:docPartGallery w:val="Page Numbers (Top of Page)"/>
            <w:docPartUnique/>
          </w:docPartObj>
        </w:sdtPr>
        <w:sdtContent>
          <w:p w14:paraId="6C10D89C"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58A87" w14:textId="77777777" w:rsidR="00D15113" w:rsidRPr="00B40479" w:rsidRDefault="00F04EA7" w:rsidP="002E3F19">
    <w:pPr>
      <w:pStyle w:val="Footer"/>
    </w:pPr>
    <w:r w:rsidRPr="00B40479">
      <w:fldChar w:fldCharType="begin"/>
    </w:r>
    <w:r w:rsidRPr="00B40479">
      <w:instrText xml:space="preserve"> PAGE   \* MERGEFORMAT </w:instrText>
    </w:r>
    <w:r w:rsidRPr="00B40479">
      <w:fldChar w:fldCharType="separate"/>
    </w:r>
    <w:r w:rsidRPr="00B40479">
      <w:t>1</w:t>
    </w:r>
    <w:r w:rsidRPr="00B40479">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0727538"/>
      <w:docPartObj>
        <w:docPartGallery w:val="Page Numbers (Bottom of Page)"/>
        <w:docPartUnique/>
      </w:docPartObj>
    </w:sdtPr>
    <w:sdtContent>
      <w:sdt>
        <w:sdtPr>
          <w:id w:val="-2127997886"/>
          <w:docPartObj>
            <w:docPartGallery w:val="Page Numbers (Top of Page)"/>
            <w:docPartUnique/>
          </w:docPartObj>
        </w:sdtPr>
        <w:sdtContent>
          <w:p w14:paraId="34DD6372" w14:textId="77777777" w:rsidR="00D15113" w:rsidRPr="00B40479" w:rsidRDefault="00F04EA7" w:rsidP="002E3F19">
            <w:pPr>
              <w:pStyle w:val="Footer-right"/>
            </w:pPr>
            <w:r w:rsidRPr="00B40479">
              <w:rPr>
                <w:sz w:val="24"/>
              </w:rPr>
              <w:fldChar w:fldCharType="begin"/>
            </w:r>
            <w:r w:rsidRPr="00B40479">
              <w:instrText xml:space="preserve"> PAGE </w:instrText>
            </w:r>
            <w:r w:rsidRPr="00B40479">
              <w:rPr>
                <w:sz w:val="24"/>
              </w:rPr>
              <w:fldChar w:fldCharType="separate"/>
            </w:r>
            <w:r w:rsidRPr="002776E8">
              <w:rPr>
                <w:noProof/>
              </w:rPr>
              <w:t>1</w:t>
            </w:r>
            <w:r w:rsidRPr="00B40479">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7B9DF"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7084654"/>
      <w:docPartObj>
        <w:docPartGallery w:val="Page Numbers (Bottom of Page)"/>
        <w:docPartUnique/>
      </w:docPartObj>
    </w:sdtPr>
    <w:sdtContent>
      <w:sdt>
        <w:sdtPr>
          <w:id w:val="1931696342"/>
          <w:docPartObj>
            <w:docPartGallery w:val="Page Numbers (Top of Page)"/>
            <w:docPartUnique/>
          </w:docPartObj>
        </w:sdtPr>
        <w:sdtContent>
          <w:p w14:paraId="42AAE70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2F031" w14:textId="77777777" w:rsidR="0024398E" w:rsidRDefault="0024398E"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3804988"/>
      <w:docPartObj>
        <w:docPartGallery w:val="Page Numbers (Bottom of Page)"/>
        <w:docPartUnique/>
      </w:docPartObj>
    </w:sdtPr>
    <w:sdtContent>
      <w:sdt>
        <w:sdtPr>
          <w:id w:val="-2104329312"/>
          <w:docPartObj>
            <w:docPartGallery w:val="Page Numbers (Top of Page)"/>
            <w:docPartUnique/>
          </w:docPartObj>
        </w:sdtPr>
        <w:sdtContent>
          <w:p w14:paraId="7A899C0A" w14:textId="77777777" w:rsidR="0024398E" w:rsidRDefault="0024398E"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0DE05" w14:textId="77777777" w:rsidR="009622E2" w:rsidRDefault="009622E2"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209877"/>
      <w:docPartObj>
        <w:docPartGallery w:val="Page Numbers (Bottom of Page)"/>
        <w:docPartUnique/>
      </w:docPartObj>
    </w:sdtPr>
    <w:sdtContent>
      <w:sdt>
        <w:sdtPr>
          <w:id w:val="-880928140"/>
          <w:docPartObj>
            <w:docPartGallery w:val="Page Numbers (Top of Page)"/>
            <w:docPartUnique/>
          </w:docPartObj>
        </w:sdtPr>
        <w:sdtContent>
          <w:p w14:paraId="44490930" w14:textId="77777777" w:rsidR="009622E2" w:rsidRDefault="009622E2"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DCA7"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079A7" w14:textId="77777777" w:rsidR="009622E2" w:rsidRDefault="009622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EDFD0"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282B"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1236A80F"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B0052"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1275360"/>
      <w:docPartObj>
        <w:docPartGallery w:val="Page Numbers (Bottom of Page)"/>
        <w:docPartUnique/>
      </w:docPartObj>
    </w:sdtPr>
    <w:sdtContent>
      <w:sdt>
        <w:sdtPr>
          <w:id w:val="724576303"/>
          <w:docPartObj>
            <w:docPartGallery w:val="Page Numbers (Top of Page)"/>
            <w:docPartUnique/>
          </w:docPartObj>
        </w:sdtPr>
        <w:sdtContent>
          <w:p w14:paraId="08C3CC6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0ED94"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367094"/>
      <w:docPartObj>
        <w:docPartGallery w:val="Page Numbers (Bottom of Page)"/>
        <w:docPartUnique/>
      </w:docPartObj>
    </w:sdtPr>
    <w:sdtContent>
      <w:sdt>
        <w:sdtPr>
          <w:id w:val="1148328942"/>
          <w:docPartObj>
            <w:docPartGallery w:val="Page Numbers (Top of Page)"/>
            <w:docPartUnique/>
          </w:docPartObj>
        </w:sdtPr>
        <w:sdtContent>
          <w:p w14:paraId="03AD3AFC"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5F3D4" w14:textId="77777777" w:rsidR="00BB6434" w:rsidRPr="00C238D1" w:rsidRDefault="00BB6434" w:rsidP="00273E86">
      <w:pPr>
        <w:spacing w:after="0" w:line="240" w:lineRule="auto"/>
        <w:rPr>
          <w:rStyle w:val="ColourDarkBlue"/>
        </w:rPr>
      </w:pPr>
      <w:r w:rsidRPr="00C238D1">
        <w:rPr>
          <w:rStyle w:val="ColourDarkBlue"/>
        </w:rPr>
        <w:continuationSeparator/>
      </w:r>
    </w:p>
  </w:footnote>
  <w:footnote w:type="continuationSeparator" w:id="0">
    <w:p w14:paraId="74057925" w14:textId="77777777" w:rsidR="00BB6434" w:rsidRPr="001D7D9B" w:rsidRDefault="00BB6434" w:rsidP="001D7D9B">
      <w:pPr>
        <w:spacing w:after="0" w:line="240" w:lineRule="auto"/>
        <w:rPr>
          <w:color w:val="265A9A" w:themeColor="background2"/>
        </w:rPr>
      </w:pPr>
      <w:r w:rsidRPr="00C238D1">
        <w:rPr>
          <w:rStyle w:val="ColourDarkBlue"/>
        </w:rPr>
        <w:continuationSeparator/>
      </w:r>
    </w:p>
  </w:footnote>
  <w:footnote w:type="continuationNotice" w:id="1">
    <w:p w14:paraId="18E9055A" w14:textId="77777777" w:rsidR="00BB6434" w:rsidRPr="00196C93" w:rsidRDefault="00BB6434" w:rsidP="00196C93">
      <w:pPr>
        <w:spacing w:before="0" w:after="0" w:line="20" w:lineRule="atLeast"/>
        <w:rPr>
          <w:sz w:val="2"/>
          <w:szCs w:val="2"/>
        </w:rPr>
      </w:pPr>
    </w:p>
  </w:footnote>
  <w:footnote w:id="2">
    <w:p w14:paraId="7B98CABB" w14:textId="77777777" w:rsidR="00724C77" w:rsidRPr="00255690" w:rsidRDefault="00724C77">
      <w:pPr>
        <w:pStyle w:val="Note"/>
      </w:pPr>
      <w:r w:rsidRPr="002B0A03">
        <w:rPr>
          <w:rStyle w:val="FootnoteReference"/>
        </w:rPr>
        <w:footnoteRef/>
      </w:r>
      <w:r>
        <w:t xml:space="preserve"> </w:t>
      </w:r>
      <w:r w:rsidRPr="00ED4058">
        <w:t>Some reforms</w:t>
      </w:r>
      <w:r>
        <w:t xml:space="preserve"> in this inquiry</w:t>
      </w:r>
      <w:r w:rsidRPr="00ED4058">
        <w:t xml:space="preserve"> will also affect areas like education, housing</w:t>
      </w:r>
      <w:r>
        <w:t xml:space="preserve">, family services </w:t>
      </w:r>
      <w:r w:rsidRPr="00ED4058">
        <w:t xml:space="preserve">and justice </w:t>
      </w:r>
      <w:r>
        <w:t>services.</w:t>
      </w:r>
      <w:r w:rsidDel="007C18F1">
        <w:t xml:space="preserve"> </w:t>
      </w:r>
    </w:p>
  </w:footnote>
  <w:footnote w:id="3">
    <w:p w14:paraId="5CB10028" w14:textId="558A8856" w:rsidR="00EE577B" w:rsidRPr="00AA2DBC" w:rsidRDefault="00EE577B">
      <w:pPr>
        <w:pStyle w:val="FootnoteText"/>
        <w:rPr>
          <w:lang w:val="en-US"/>
        </w:rPr>
      </w:pPr>
      <w:r w:rsidRPr="002B0A03">
        <w:rPr>
          <w:rStyle w:val="FootnoteReference"/>
        </w:rPr>
        <w:footnoteRef/>
      </w:r>
      <w:r>
        <w:t xml:space="preserve"> For example, ACQSC</w:t>
      </w:r>
      <w:r w:rsidR="00EA4658">
        <w:t xml:space="preserve"> (</w:t>
      </w:r>
      <w:r>
        <w:t>sub. 256, p. 3</w:t>
      </w:r>
      <w:r w:rsidR="00EA4658">
        <w:t>)</w:t>
      </w:r>
      <w:r w:rsidR="002B15AD">
        <w:t>,</w:t>
      </w:r>
      <w:r>
        <w:t xml:space="preserve"> Anglicare Sydney</w:t>
      </w:r>
      <w:r w:rsidR="00EA4658">
        <w:t xml:space="preserve"> (</w:t>
      </w:r>
      <w:r>
        <w:t>sub. 138; p. 4</w:t>
      </w:r>
      <w:r w:rsidR="00EA4658">
        <w:t>)</w:t>
      </w:r>
      <w:r w:rsidR="002B15AD">
        <w:t>,</w:t>
      </w:r>
      <w:r>
        <w:t xml:space="preserve"> Australian Association of Gerontology</w:t>
      </w:r>
      <w:r w:rsidR="00EA4658">
        <w:t xml:space="preserve"> (</w:t>
      </w:r>
      <w:r>
        <w:t>sub. 134, pp. 4–5</w:t>
      </w:r>
      <w:r w:rsidR="00EA4658">
        <w:t>)</w:t>
      </w:r>
      <w:r w:rsidR="002B15AD">
        <w:t>,</w:t>
      </w:r>
      <w:r>
        <w:t xml:space="preserve"> </w:t>
      </w:r>
      <w:r w:rsidR="00EA4658">
        <w:t>CAN (</w:t>
      </w:r>
      <w:r>
        <w:t>sub. 220, p. 16</w:t>
      </w:r>
      <w:r w:rsidR="00EA4658">
        <w:t>)</w:t>
      </w:r>
      <w:r w:rsidR="002B15AD">
        <w:t>,</w:t>
      </w:r>
      <w:r>
        <w:t xml:space="preserve"> Carers Australia</w:t>
      </w:r>
      <w:r w:rsidR="00EA4658">
        <w:t xml:space="preserve"> (</w:t>
      </w:r>
      <w:r>
        <w:t>sub. 143, p. 9</w:t>
      </w:r>
      <w:r w:rsidR="00EA4658">
        <w:t>)</w:t>
      </w:r>
      <w:r>
        <w:t>, Health Economics Collaboration</w:t>
      </w:r>
      <w:r w:rsidR="00EA4658">
        <w:t xml:space="preserve"> (</w:t>
      </w:r>
      <w:r>
        <w:t>sub. 250</w:t>
      </w:r>
      <w:r w:rsidR="00C91F5B">
        <w:t>,</w:t>
      </w:r>
      <w:r>
        <w:t xml:space="preserve"> p. 6</w:t>
      </w:r>
      <w:r w:rsidR="00C91F5B">
        <w:t>)</w:t>
      </w:r>
      <w:r w:rsidR="002B15AD">
        <w:t>,</w:t>
      </w:r>
      <w:r>
        <w:t xml:space="preserve"> NDIS Commission</w:t>
      </w:r>
      <w:r w:rsidR="00C91F5B">
        <w:t xml:space="preserve"> (</w:t>
      </w:r>
      <w:r>
        <w:t>sub. 258, p. 7</w:t>
      </w:r>
      <w:r w:rsidR="00C91F5B">
        <w:t>)</w:t>
      </w:r>
      <w:r w:rsidR="002B15AD">
        <w:t>,</w:t>
      </w:r>
      <w:r>
        <w:t xml:space="preserve"> Volunteering Australia</w:t>
      </w:r>
      <w:r w:rsidR="00C91F5B">
        <w:t xml:space="preserve"> (</w:t>
      </w:r>
      <w:r>
        <w:t>sub. 171, p. 6</w:t>
      </w:r>
      <w:r w:rsidR="00C91F5B">
        <w:t>)</w:t>
      </w:r>
      <w:r>
        <w:t>.</w:t>
      </w:r>
    </w:p>
  </w:footnote>
  <w:footnote w:id="4">
    <w:p w14:paraId="0D5FF5AC" w14:textId="66C9A917" w:rsidR="00EE577B" w:rsidRPr="00424BF4" w:rsidRDefault="00EE577B">
      <w:pPr>
        <w:pStyle w:val="FootnoteText"/>
        <w:rPr>
          <w:spacing w:val="-2"/>
          <w:lang w:val="en-US"/>
        </w:rPr>
      </w:pPr>
      <w:r w:rsidRPr="00424BF4">
        <w:rPr>
          <w:rStyle w:val="FootnoteReference"/>
          <w:spacing w:val="-2"/>
        </w:rPr>
        <w:footnoteRef/>
      </w:r>
      <w:r w:rsidRPr="00424BF4">
        <w:rPr>
          <w:spacing w:val="-2"/>
        </w:rPr>
        <w:t xml:space="preserve"> For example, ARIIA</w:t>
      </w:r>
      <w:r w:rsidR="003E7BAB" w:rsidRPr="00424BF4">
        <w:rPr>
          <w:spacing w:val="-2"/>
        </w:rPr>
        <w:t xml:space="preserve"> (</w:t>
      </w:r>
      <w:r w:rsidRPr="00424BF4">
        <w:rPr>
          <w:spacing w:val="-2"/>
        </w:rPr>
        <w:t>sub. 122, p. 8</w:t>
      </w:r>
      <w:r w:rsidR="003E7BAB" w:rsidRPr="00424BF4">
        <w:rPr>
          <w:spacing w:val="-2"/>
        </w:rPr>
        <w:t>),</w:t>
      </w:r>
      <w:r w:rsidRPr="00424BF4">
        <w:rPr>
          <w:spacing w:val="-2"/>
        </w:rPr>
        <w:t xml:space="preserve"> Ageing Australia</w:t>
      </w:r>
      <w:r w:rsidR="003E7BAB" w:rsidRPr="00424BF4">
        <w:rPr>
          <w:spacing w:val="-2"/>
        </w:rPr>
        <w:t xml:space="preserve"> (</w:t>
      </w:r>
      <w:r w:rsidRPr="00424BF4">
        <w:rPr>
          <w:spacing w:val="-2"/>
        </w:rPr>
        <w:t>sub. 61, p. 7</w:t>
      </w:r>
      <w:r w:rsidR="003E7BAB" w:rsidRPr="00424BF4">
        <w:rPr>
          <w:spacing w:val="-2"/>
        </w:rPr>
        <w:t>),</w:t>
      </w:r>
      <w:r w:rsidRPr="00424BF4">
        <w:rPr>
          <w:spacing w:val="-2"/>
        </w:rPr>
        <w:t xml:space="preserve"> ANZSGM</w:t>
      </w:r>
      <w:r w:rsidR="003E7BAB" w:rsidRPr="00424BF4">
        <w:rPr>
          <w:spacing w:val="-2"/>
        </w:rPr>
        <w:t xml:space="preserve"> (</w:t>
      </w:r>
      <w:r w:rsidRPr="00424BF4">
        <w:rPr>
          <w:spacing w:val="-2"/>
        </w:rPr>
        <w:t>sub. 90, p. 3</w:t>
      </w:r>
      <w:r w:rsidR="003E7BAB" w:rsidRPr="00424BF4">
        <w:rPr>
          <w:spacing w:val="-2"/>
        </w:rPr>
        <w:t>),</w:t>
      </w:r>
      <w:r w:rsidRPr="00424BF4">
        <w:rPr>
          <w:spacing w:val="-2"/>
        </w:rPr>
        <w:t xml:space="preserve"> ANMF</w:t>
      </w:r>
      <w:r w:rsidR="003E7BAB" w:rsidRPr="00424BF4">
        <w:rPr>
          <w:spacing w:val="-2"/>
        </w:rPr>
        <w:t xml:space="preserve"> (</w:t>
      </w:r>
      <w:r w:rsidRPr="00424BF4">
        <w:rPr>
          <w:spacing w:val="-2"/>
        </w:rPr>
        <w:t>sub. 87, pp. 6–7</w:t>
      </w:r>
      <w:r w:rsidR="003E7BAB" w:rsidRPr="00424BF4">
        <w:rPr>
          <w:spacing w:val="-2"/>
        </w:rPr>
        <w:t>),</w:t>
      </w:r>
      <w:r w:rsidRPr="00424BF4">
        <w:rPr>
          <w:spacing w:val="-2"/>
        </w:rPr>
        <w:t xml:space="preserve"> APA</w:t>
      </w:r>
      <w:r w:rsidR="00702E79" w:rsidRPr="00424BF4">
        <w:rPr>
          <w:spacing w:val="-2"/>
        </w:rPr>
        <w:t xml:space="preserve"> (</w:t>
      </w:r>
      <w:r w:rsidRPr="00424BF4">
        <w:rPr>
          <w:spacing w:val="-2"/>
        </w:rPr>
        <w:t>sub. 112, p. 3</w:t>
      </w:r>
      <w:r w:rsidR="00702E79" w:rsidRPr="00424BF4">
        <w:rPr>
          <w:spacing w:val="-2"/>
        </w:rPr>
        <w:t>),</w:t>
      </w:r>
      <w:r w:rsidRPr="00424BF4">
        <w:rPr>
          <w:spacing w:val="-2"/>
        </w:rPr>
        <w:t xml:space="preserve"> CHA</w:t>
      </w:r>
      <w:r w:rsidR="00702E79" w:rsidRPr="00424BF4">
        <w:rPr>
          <w:spacing w:val="-2"/>
        </w:rPr>
        <w:t xml:space="preserve"> (</w:t>
      </w:r>
      <w:r w:rsidRPr="00424BF4">
        <w:rPr>
          <w:spacing w:val="-2"/>
        </w:rPr>
        <w:t>sub. 165, pp. 8–9</w:t>
      </w:r>
      <w:r w:rsidR="00702E79" w:rsidRPr="00424BF4">
        <w:rPr>
          <w:spacing w:val="-2"/>
        </w:rPr>
        <w:t>),</w:t>
      </w:r>
      <w:r w:rsidRPr="00424BF4">
        <w:rPr>
          <w:spacing w:val="-2"/>
        </w:rPr>
        <w:t xml:space="preserve"> Life Care</w:t>
      </w:r>
      <w:r w:rsidR="00702E79" w:rsidRPr="00424BF4">
        <w:rPr>
          <w:spacing w:val="-2"/>
        </w:rPr>
        <w:t xml:space="preserve"> (</w:t>
      </w:r>
      <w:r w:rsidRPr="00424BF4">
        <w:rPr>
          <w:spacing w:val="-2"/>
        </w:rPr>
        <w:t>sub. 77, p. 1</w:t>
      </w:r>
      <w:r w:rsidR="00702E79" w:rsidRPr="00424BF4">
        <w:rPr>
          <w:spacing w:val="-2"/>
        </w:rPr>
        <w:t>),</w:t>
      </w:r>
      <w:r w:rsidRPr="00424BF4">
        <w:rPr>
          <w:spacing w:val="-2"/>
        </w:rPr>
        <w:t xml:space="preserve"> Inclusion Australia</w:t>
      </w:r>
      <w:r w:rsidR="00702E79" w:rsidRPr="00424BF4">
        <w:rPr>
          <w:spacing w:val="-2"/>
        </w:rPr>
        <w:t xml:space="preserve"> (</w:t>
      </w:r>
      <w:r w:rsidRPr="00424BF4">
        <w:rPr>
          <w:spacing w:val="-2"/>
        </w:rPr>
        <w:t>sub. 117, p. 2</w:t>
      </w:r>
      <w:r w:rsidR="00702E79" w:rsidRPr="00424BF4">
        <w:rPr>
          <w:spacing w:val="-2"/>
        </w:rPr>
        <w:t>),</w:t>
      </w:r>
      <w:r w:rsidRPr="00424BF4">
        <w:rPr>
          <w:spacing w:val="-2"/>
        </w:rPr>
        <w:t xml:space="preserve"> RAI</w:t>
      </w:r>
      <w:r w:rsidR="00702E79" w:rsidRPr="00424BF4">
        <w:rPr>
          <w:spacing w:val="-2"/>
        </w:rPr>
        <w:t xml:space="preserve"> (</w:t>
      </w:r>
      <w:r w:rsidRPr="00424BF4">
        <w:rPr>
          <w:spacing w:val="-2"/>
        </w:rPr>
        <w:t>sub. 223, p. 9</w:t>
      </w:r>
      <w:r w:rsidR="00702E79" w:rsidRPr="00424BF4">
        <w:rPr>
          <w:spacing w:val="-2"/>
        </w:rPr>
        <w:t>),</w:t>
      </w:r>
      <w:r w:rsidRPr="00424BF4">
        <w:rPr>
          <w:spacing w:val="-2"/>
        </w:rPr>
        <w:t xml:space="preserve"> Uniting NSW.ACT</w:t>
      </w:r>
      <w:r w:rsidR="00702E79" w:rsidRPr="00424BF4">
        <w:rPr>
          <w:spacing w:val="-2"/>
        </w:rPr>
        <w:t xml:space="preserve"> (</w:t>
      </w:r>
      <w:r w:rsidRPr="00424BF4">
        <w:rPr>
          <w:spacing w:val="-2"/>
        </w:rPr>
        <w:t>sub. 114, p. 4</w:t>
      </w:r>
      <w:r w:rsidR="00702E79" w:rsidRPr="00424BF4">
        <w:rPr>
          <w:spacing w:val="-2"/>
        </w:rPr>
        <w:t>)</w:t>
      </w:r>
      <w:r w:rsidRPr="00424BF4">
        <w:rPr>
          <w:spacing w:val="-2"/>
        </w:rPr>
        <w:t>.</w:t>
      </w:r>
    </w:p>
  </w:footnote>
  <w:footnote w:id="5">
    <w:p w14:paraId="3560739E" w14:textId="4D0CBB53" w:rsidR="00EE577B" w:rsidRPr="00AB51B7" w:rsidRDefault="00EE577B">
      <w:pPr>
        <w:pStyle w:val="FootnoteText"/>
        <w:rPr>
          <w:lang w:val="en-US"/>
        </w:rPr>
      </w:pPr>
      <w:r w:rsidRPr="002B0A03">
        <w:rPr>
          <w:rStyle w:val="FootnoteReference"/>
        </w:rPr>
        <w:footnoteRef/>
      </w:r>
      <w:r>
        <w:t xml:space="preserve"> </w:t>
      </w:r>
      <w:r>
        <w:rPr>
          <w:lang w:val="en-US"/>
        </w:rPr>
        <w:t xml:space="preserve">Equivalent care hours have been calculated by dividing the total annual savings once recommendations have been implemented by </w:t>
      </w:r>
      <w:r w:rsidR="000657ED">
        <w:rPr>
          <w:lang w:val="en-US"/>
        </w:rPr>
        <w:t>our assumed</w:t>
      </w:r>
      <w:r w:rsidR="00C14B38">
        <w:rPr>
          <w:lang w:val="en-US"/>
        </w:rPr>
        <w:t xml:space="preserve"> </w:t>
      </w:r>
      <w:r>
        <w:rPr>
          <w:lang w:val="en-US"/>
        </w:rPr>
        <w:t>wage rate</w:t>
      </w:r>
      <w:r w:rsidR="00C14B38">
        <w:rPr>
          <w:lang w:val="en-US"/>
        </w:rPr>
        <w:t xml:space="preserve"> </w:t>
      </w:r>
      <w:r>
        <w:rPr>
          <w:lang w:val="en-US"/>
        </w:rPr>
        <w:t xml:space="preserve">including overheads. See appendix B for more information. </w:t>
      </w:r>
    </w:p>
  </w:footnote>
  <w:footnote w:id="6">
    <w:p w14:paraId="50404DB6" w14:textId="30A2A16C" w:rsidR="00EE577B" w:rsidRPr="00594716" w:rsidRDefault="00EE577B">
      <w:pPr>
        <w:pStyle w:val="FootnoteText"/>
        <w:rPr>
          <w:lang w:val="en-US"/>
        </w:rPr>
      </w:pPr>
      <w:r w:rsidRPr="002B0A03">
        <w:rPr>
          <w:rStyle w:val="FootnoteReference"/>
        </w:rPr>
        <w:footnoteRef/>
      </w:r>
      <w:r>
        <w:t xml:space="preserve"> </w:t>
      </w:r>
      <w:r w:rsidRPr="00577B5B">
        <w:t xml:space="preserve">In the NDIS, a provider is any person, business or organisation that delivers NDIS-funded supports to NDIS participants </w:t>
      </w:r>
      <w:r w:rsidR="0097599A" w:rsidRPr="0097599A">
        <w:rPr>
          <w:rFonts w:ascii="Arial" w:hAnsi="Arial" w:cs="Arial"/>
        </w:rPr>
        <w:t>(NDIA 2024b)</w:t>
      </w:r>
      <w:r w:rsidRPr="00577B5B">
        <w:t>. This can include businesses that cater to the wider population, rather than NDIS participants only. In contrast, providers in aged care are those that have been registered to deliver aged care services.</w:t>
      </w:r>
    </w:p>
  </w:footnote>
  <w:footnote w:id="7">
    <w:p w14:paraId="4DF22CBD" w14:textId="4DF3D363" w:rsidR="00EE577B" w:rsidRPr="002950A5" w:rsidRDefault="00EE577B">
      <w:pPr>
        <w:pStyle w:val="FootnoteText"/>
        <w:tabs>
          <w:tab w:val="left" w:pos="1212"/>
        </w:tabs>
        <w:rPr>
          <w:spacing w:val="-2"/>
          <w:lang w:val="en-US"/>
        </w:rPr>
      </w:pPr>
      <w:r w:rsidRPr="002950A5">
        <w:rPr>
          <w:rStyle w:val="FootnoteReference"/>
          <w:spacing w:val="-2"/>
        </w:rPr>
        <w:footnoteRef/>
      </w:r>
      <w:r w:rsidRPr="002950A5">
        <w:rPr>
          <w:spacing w:val="-2"/>
        </w:rPr>
        <w:t xml:space="preserve"> A20 Quality and Safeguarding Peer Network</w:t>
      </w:r>
      <w:r w:rsidR="00D4078D">
        <w:rPr>
          <w:spacing w:val="-2"/>
        </w:rPr>
        <w:t xml:space="preserve"> (</w:t>
      </w:r>
      <w:r w:rsidRPr="002950A5">
        <w:rPr>
          <w:spacing w:val="-2"/>
        </w:rPr>
        <w:t>sub. 158, p. 3</w:t>
      </w:r>
      <w:r w:rsidR="00D4078D">
        <w:rPr>
          <w:spacing w:val="-2"/>
        </w:rPr>
        <w:t>),</w:t>
      </w:r>
      <w:r w:rsidRPr="002950A5">
        <w:rPr>
          <w:spacing w:val="-2"/>
        </w:rPr>
        <w:t xml:space="preserve"> ACD</w:t>
      </w:r>
      <w:r w:rsidR="00D4078D">
        <w:rPr>
          <w:spacing w:val="-2"/>
        </w:rPr>
        <w:t xml:space="preserve"> (</w:t>
      </w:r>
      <w:r w:rsidRPr="002950A5">
        <w:rPr>
          <w:spacing w:val="-2"/>
        </w:rPr>
        <w:t>sub. 78, p. 3</w:t>
      </w:r>
      <w:r w:rsidR="00D4078D">
        <w:rPr>
          <w:spacing w:val="-2"/>
        </w:rPr>
        <w:t>),</w:t>
      </w:r>
      <w:r w:rsidRPr="002950A5">
        <w:rPr>
          <w:spacing w:val="-2"/>
        </w:rPr>
        <w:t xml:space="preserve"> Australian Association of Gerontology</w:t>
      </w:r>
      <w:r w:rsidR="00D4078D">
        <w:rPr>
          <w:spacing w:val="-2"/>
        </w:rPr>
        <w:t xml:space="preserve"> (</w:t>
      </w:r>
      <w:r w:rsidRPr="002950A5">
        <w:rPr>
          <w:spacing w:val="-2"/>
        </w:rPr>
        <w:t>sub. 134, p. 6</w:t>
      </w:r>
      <w:r w:rsidR="00D4078D">
        <w:rPr>
          <w:spacing w:val="-2"/>
        </w:rPr>
        <w:t>),</w:t>
      </w:r>
      <w:r w:rsidRPr="002950A5" w:rsidDel="00FB0DBF">
        <w:rPr>
          <w:spacing w:val="-2"/>
        </w:rPr>
        <w:t xml:space="preserve"> </w:t>
      </w:r>
      <w:r w:rsidRPr="002950A5">
        <w:rPr>
          <w:spacing w:val="-2"/>
        </w:rPr>
        <w:t>AMA, sub. 94, p. 2</w:t>
      </w:r>
      <w:r w:rsidR="00D4078D">
        <w:rPr>
          <w:spacing w:val="-2"/>
        </w:rPr>
        <w:t>),</w:t>
      </w:r>
      <w:r w:rsidRPr="002950A5">
        <w:rPr>
          <w:spacing w:val="-2"/>
        </w:rPr>
        <w:t xml:space="preserve"> ANMF</w:t>
      </w:r>
      <w:r w:rsidR="00D4078D">
        <w:rPr>
          <w:spacing w:val="-2"/>
        </w:rPr>
        <w:t xml:space="preserve"> (</w:t>
      </w:r>
      <w:r w:rsidRPr="002950A5">
        <w:rPr>
          <w:spacing w:val="-2"/>
        </w:rPr>
        <w:t>sub. 87, p. 10</w:t>
      </w:r>
      <w:r w:rsidR="00D4078D">
        <w:rPr>
          <w:spacing w:val="-2"/>
        </w:rPr>
        <w:t>),</w:t>
      </w:r>
      <w:r w:rsidRPr="002950A5" w:rsidDel="00C058F1">
        <w:rPr>
          <w:spacing w:val="-2"/>
        </w:rPr>
        <w:t xml:space="preserve"> </w:t>
      </w:r>
      <w:r w:rsidRPr="002950A5">
        <w:rPr>
          <w:spacing w:val="-2"/>
        </w:rPr>
        <w:t>Life Care</w:t>
      </w:r>
      <w:r w:rsidR="00D4078D">
        <w:rPr>
          <w:spacing w:val="-2"/>
        </w:rPr>
        <w:t xml:space="preserve"> (</w:t>
      </w:r>
      <w:r w:rsidRPr="002950A5">
        <w:rPr>
          <w:spacing w:val="-2"/>
        </w:rPr>
        <w:t>sub. 77, p. 1</w:t>
      </w:r>
      <w:r w:rsidR="00D4078D">
        <w:rPr>
          <w:spacing w:val="-2"/>
        </w:rPr>
        <w:t>),</w:t>
      </w:r>
      <w:r w:rsidRPr="002950A5">
        <w:rPr>
          <w:spacing w:val="-2"/>
        </w:rPr>
        <w:t xml:space="preserve"> MFC</w:t>
      </w:r>
      <w:r w:rsidR="00D4078D">
        <w:rPr>
          <w:spacing w:val="-2"/>
        </w:rPr>
        <w:t xml:space="preserve"> (</w:t>
      </w:r>
      <w:r w:rsidRPr="002950A5">
        <w:rPr>
          <w:spacing w:val="-2"/>
        </w:rPr>
        <w:t>sub. 73, p. 4</w:t>
      </w:r>
      <w:r w:rsidR="00D4078D">
        <w:rPr>
          <w:spacing w:val="-2"/>
        </w:rPr>
        <w:t xml:space="preserve">), </w:t>
      </w:r>
      <w:r w:rsidRPr="002950A5">
        <w:rPr>
          <w:spacing w:val="-2"/>
        </w:rPr>
        <w:t>Mission Australia</w:t>
      </w:r>
      <w:r w:rsidR="00D4078D">
        <w:rPr>
          <w:spacing w:val="-2"/>
        </w:rPr>
        <w:t xml:space="preserve"> (</w:t>
      </w:r>
      <w:r w:rsidRPr="002950A5">
        <w:rPr>
          <w:spacing w:val="-2"/>
        </w:rPr>
        <w:t>sub.</w:t>
      </w:r>
      <w:r w:rsidR="002950A5">
        <w:rPr>
          <w:spacing w:val="-2"/>
        </w:rPr>
        <w:t> </w:t>
      </w:r>
      <w:r w:rsidRPr="002950A5">
        <w:rPr>
          <w:spacing w:val="-2"/>
        </w:rPr>
        <w:t>153, p. 17</w:t>
      </w:r>
      <w:r w:rsidR="00D4078D">
        <w:rPr>
          <w:spacing w:val="-2"/>
        </w:rPr>
        <w:t>),</w:t>
      </w:r>
      <w:r w:rsidRPr="002950A5">
        <w:rPr>
          <w:spacing w:val="-2"/>
        </w:rPr>
        <w:t xml:space="preserve"> Uniting NSW.ACT</w:t>
      </w:r>
      <w:r w:rsidR="00D4078D">
        <w:rPr>
          <w:spacing w:val="-2"/>
        </w:rPr>
        <w:t xml:space="preserve"> (</w:t>
      </w:r>
      <w:r w:rsidRPr="002950A5">
        <w:rPr>
          <w:spacing w:val="-2"/>
        </w:rPr>
        <w:t>sub. 114, p. 5</w:t>
      </w:r>
      <w:r w:rsidR="00D4078D">
        <w:rPr>
          <w:spacing w:val="-2"/>
        </w:rPr>
        <w:t>),</w:t>
      </w:r>
      <w:r w:rsidRPr="002950A5">
        <w:rPr>
          <w:spacing w:val="-2"/>
        </w:rPr>
        <w:t xml:space="preserve"> UnitingCare Australia</w:t>
      </w:r>
      <w:r w:rsidR="00D4078D">
        <w:rPr>
          <w:spacing w:val="-2"/>
        </w:rPr>
        <w:t xml:space="preserve"> (</w:t>
      </w:r>
      <w:r w:rsidRPr="002950A5">
        <w:rPr>
          <w:spacing w:val="-2"/>
        </w:rPr>
        <w:t>sub. 123, p. 5</w:t>
      </w:r>
      <w:r w:rsidR="00D4078D">
        <w:rPr>
          <w:spacing w:val="-2"/>
        </w:rPr>
        <w:t>)</w:t>
      </w:r>
      <w:r w:rsidRPr="002950A5">
        <w:rPr>
          <w:spacing w:val="-2"/>
        </w:rPr>
        <w:t>.</w:t>
      </w:r>
    </w:p>
  </w:footnote>
  <w:footnote w:id="8">
    <w:p w14:paraId="5EAB1E88" w14:textId="459337FF" w:rsidR="00EE577B" w:rsidRPr="00983E40" w:rsidRDefault="00EE577B">
      <w:pPr>
        <w:pStyle w:val="FootnoteText"/>
        <w:rPr>
          <w:lang w:val="en-US"/>
        </w:rPr>
      </w:pPr>
      <w:r w:rsidRPr="002B0A03">
        <w:rPr>
          <w:rStyle w:val="FootnoteReference"/>
        </w:rPr>
        <w:footnoteRef/>
      </w:r>
      <w:r>
        <w:t xml:space="preserve"> </w:t>
      </w:r>
      <w:r w:rsidRPr="0092719E">
        <w:t>CHA</w:t>
      </w:r>
      <w:r w:rsidR="004B11BE">
        <w:t xml:space="preserve"> (</w:t>
      </w:r>
      <w:r w:rsidRPr="0092719E">
        <w:t>sub.</w:t>
      </w:r>
      <w:r>
        <w:t> </w:t>
      </w:r>
      <w:r w:rsidRPr="0092719E">
        <w:t>165, p.</w:t>
      </w:r>
      <w:r>
        <w:t> </w:t>
      </w:r>
      <w:r w:rsidRPr="0092719E">
        <w:t>17</w:t>
      </w:r>
      <w:r w:rsidR="004B11BE">
        <w:t>),</w:t>
      </w:r>
      <w:r w:rsidRPr="0092719E">
        <w:t xml:space="preserve"> EY</w:t>
      </w:r>
      <w:r>
        <w:t xml:space="preserve"> Australia</w:t>
      </w:r>
      <w:r w:rsidR="004B11BE">
        <w:t xml:space="preserve"> (</w:t>
      </w:r>
      <w:r w:rsidRPr="0092719E">
        <w:t>sub.</w:t>
      </w:r>
      <w:r>
        <w:t> </w:t>
      </w:r>
      <w:r w:rsidRPr="0092719E">
        <w:t>147, p.</w:t>
      </w:r>
      <w:r>
        <w:t> </w:t>
      </w:r>
      <w:r w:rsidRPr="0092719E">
        <w:t>7</w:t>
      </w:r>
      <w:r w:rsidR="004B11BE">
        <w:t xml:space="preserve">), </w:t>
      </w:r>
      <w:r>
        <w:t>MFC</w:t>
      </w:r>
      <w:r w:rsidR="004B11BE">
        <w:t xml:space="preserve"> (</w:t>
      </w:r>
      <w:r w:rsidRPr="0092719E">
        <w:t>sub. 73, p.</w:t>
      </w:r>
      <w:r>
        <w:t> </w:t>
      </w:r>
      <w:r w:rsidRPr="0092719E">
        <w:t>4</w:t>
      </w:r>
      <w:r w:rsidR="004B11BE">
        <w:t>),</w:t>
      </w:r>
      <w:r w:rsidRPr="0092719E">
        <w:t xml:space="preserve"> Mission Australia</w:t>
      </w:r>
      <w:r w:rsidR="004B11BE">
        <w:t xml:space="preserve"> (</w:t>
      </w:r>
      <w:r w:rsidRPr="0092719E">
        <w:t>sub.</w:t>
      </w:r>
      <w:r>
        <w:t> </w:t>
      </w:r>
      <w:r w:rsidRPr="0092719E">
        <w:t>153, p.</w:t>
      </w:r>
      <w:r>
        <w:t> </w:t>
      </w:r>
      <w:r w:rsidRPr="0092719E">
        <w:t>17</w:t>
      </w:r>
      <w:r w:rsidR="004B11BE">
        <w:t>)</w:t>
      </w:r>
      <w:r>
        <w:t>.</w:t>
      </w:r>
    </w:p>
  </w:footnote>
  <w:footnote w:id="9">
    <w:p w14:paraId="65BF395F" w14:textId="091028C8" w:rsidR="00EE577B" w:rsidRPr="00AB51B7" w:rsidRDefault="00EE577B">
      <w:pPr>
        <w:pStyle w:val="FootnoteText"/>
        <w:rPr>
          <w:lang w:val="en-US"/>
        </w:rPr>
      </w:pPr>
      <w:r w:rsidRPr="002B0A03">
        <w:rPr>
          <w:rStyle w:val="FootnoteReference"/>
        </w:rPr>
        <w:footnoteRef/>
      </w:r>
      <w:r>
        <w:t xml:space="preserve"> </w:t>
      </w:r>
      <w:r>
        <w:rPr>
          <w:lang w:val="en-US"/>
        </w:rPr>
        <w:t xml:space="preserve">Restrictive practices are practices or interventions that limit a person’s human rights or freedom of movement. Types of restrictive practices include: seclusion, where a person is placed in </w:t>
      </w:r>
      <w:r w:rsidR="006B0737">
        <w:rPr>
          <w:lang w:val="en-US"/>
        </w:rPr>
        <w:t>a</w:t>
      </w:r>
      <w:r>
        <w:rPr>
          <w:lang w:val="en-US"/>
        </w:rPr>
        <w:t xml:space="preserve"> room alone and is not allowed to leave; chemical restraint, where a person is given medicine to stop or reduce a behaviour, and mechanical restraint, where a device or equipment is used to stop or reduce a behaviour </w:t>
      </w:r>
      <w:r w:rsidRPr="0039451F">
        <w:rPr>
          <w:rFonts w:ascii="Arial" w:hAnsi="Arial" w:cs="Arial"/>
        </w:rPr>
        <w:t>(DoHAC 2022; NDIS Quality and Safeguards Commission 2025a)</w:t>
      </w:r>
      <w:r>
        <w:rPr>
          <w:lang w:val="en-US"/>
        </w:rPr>
        <w:t xml:space="preserve">. </w:t>
      </w:r>
    </w:p>
  </w:footnote>
  <w:footnote w:id="10">
    <w:p w14:paraId="7408D5EA" w14:textId="17C93654" w:rsidR="00EE577B" w:rsidRPr="00193BC1" w:rsidRDefault="00EE577B">
      <w:pPr>
        <w:pStyle w:val="FootnoteText"/>
        <w:rPr>
          <w:lang w:val="en-US"/>
        </w:rPr>
      </w:pPr>
      <w:r w:rsidRPr="002B0A03">
        <w:rPr>
          <w:rStyle w:val="FootnoteReference"/>
        </w:rPr>
        <w:footnoteRef/>
      </w:r>
      <w:r>
        <w:t xml:space="preserve"> </w:t>
      </w:r>
      <w:r>
        <w:rPr>
          <w:color w:val="000000" w:themeColor="text1"/>
        </w:rPr>
        <w:t>F</w:t>
      </w:r>
      <w:r w:rsidRPr="0092719E">
        <w:rPr>
          <w:color w:val="000000" w:themeColor="text1"/>
        </w:rPr>
        <w:t xml:space="preserve">or example, </w:t>
      </w:r>
      <w:r>
        <w:rPr>
          <w:color w:val="000000" w:themeColor="text1"/>
        </w:rPr>
        <w:t>AMA</w:t>
      </w:r>
      <w:r w:rsidR="0036261E">
        <w:rPr>
          <w:color w:val="000000" w:themeColor="text1"/>
        </w:rPr>
        <w:t xml:space="preserve"> (</w:t>
      </w:r>
      <w:r w:rsidRPr="0092719E">
        <w:rPr>
          <w:color w:val="000000" w:themeColor="text1"/>
        </w:rPr>
        <w:t>sub. 94, p. 3</w:t>
      </w:r>
      <w:r w:rsidR="0036261E">
        <w:rPr>
          <w:color w:val="000000" w:themeColor="text1"/>
        </w:rPr>
        <w:t>),</w:t>
      </w:r>
      <w:r w:rsidRPr="0092719E">
        <w:rPr>
          <w:color w:val="000000" w:themeColor="text1"/>
        </w:rPr>
        <w:t xml:space="preserve"> </w:t>
      </w:r>
      <w:r>
        <w:rPr>
          <w:color w:val="000000" w:themeColor="text1"/>
        </w:rPr>
        <w:t>ANMF</w:t>
      </w:r>
      <w:r w:rsidR="0036261E">
        <w:rPr>
          <w:color w:val="000000" w:themeColor="text1"/>
        </w:rPr>
        <w:t xml:space="preserve"> (</w:t>
      </w:r>
      <w:r w:rsidRPr="0092719E">
        <w:rPr>
          <w:color w:val="000000" w:themeColor="text1"/>
        </w:rPr>
        <w:t>sub. 87, p. 12</w:t>
      </w:r>
      <w:r w:rsidR="0036261E">
        <w:rPr>
          <w:color w:val="000000" w:themeColor="text1"/>
        </w:rPr>
        <w:t>),</w:t>
      </w:r>
      <w:r w:rsidRPr="0092719E">
        <w:rPr>
          <w:color w:val="000000" w:themeColor="text1"/>
        </w:rPr>
        <w:t xml:space="preserve"> </w:t>
      </w:r>
      <w:r>
        <w:rPr>
          <w:color w:val="000000" w:themeColor="text1"/>
        </w:rPr>
        <w:t>BSL</w:t>
      </w:r>
      <w:r w:rsidR="0036261E">
        <w:rPr>
          <w:color w:val="000000" w:themeColor="text1"/>
        </w:rPr>
        <w:t xml:space="preserve"> (</w:t>
      </w:r>
      <w:r w:rsidRPr="0092719E">
        <w:rPr>
          <w:color w:val="000000" w:themeColor="text1"/>
        </w:rPr>
        <w:t>sub. 180, pp. 1</w:t>
      </w:r>
      <w:r>
        <w:rPr>
          <w:color w:val="000000" w:themeColor="text1"/>
        </w:rPr>
        <w:t>–</w:t>
      </w:r>
      <w:r w:rsidRPr="0092719E">
        <w:rPr>
          <w:color w:val="000000" w:themeColor="text1"/>
        </w:rPr>
        <w:t>2</w:t>
      </w:r>
      <w:r w:rsidR="0036261E">
        <w:rPr>
          <w:color w:val="000000" w:themeColor="text1"/>
        </w:rPr>
        <w:t>),</w:t>
      </w:r>
      <w:r w:rsidRPr="0092719E">
        <w:rPr>
          <w:color w:val="000000" w:themeColor="text1"/>
        </w:rPr>
        <w:t xml:space="preserve"> Inclusion Australia</w:t>
      </w:r>
      <w:r w:rsidR="0036261E">
        <w:rPr>
          <w:color w:val="000000" w:themeColor="text1"/>
        </w:rPr>
        <w:t xml:space="preserve"> (</w:t>
      </w:r>
      <w:r w:rsidRPr="0092719E">
        <w:rPr>
          <w:color w:val="000000" w:themeColor="text1"/>
        </w:rPr>
        <w:t>sub. 117, p. 3</w:t>
      </w:r>
      <w:r w:rsidR="0036261E">
        <w:rPr>
          <w:color w:val="000000" w:themeColor="text1"/>
        </w:rPr>
        <w:t>),</w:t>
      </w:r>
      <w:r w:rsidRPr="0092719E">
        <w:rPr>
          <w:color w:val="000000" w:themeColor="text1"/>
        </w:rPr>
        <w:t xml:space="preserve"> Uniting NSW</w:t>
      </w:r>
      <w:r>
        <w:rPr>
          <w:color w:val="000000" w:themeColor="text1"/>
        </w:rPr>
        <w:t>.</w:t>
      </w:r>
      <w:r w:rsidRPr="0092719E">
        <w:rPr>
          <w:color w:val="000000" w:themeColor="text1"/>
        </w:rPr>
        <w:t>ACT</w:t>
      </w:r>
      <w:r w:rsidR="0036261E">
        <w:rPr>
          <w:color w:val="000000" w:themeColor="text1"/>
        </w:rPr>
        <w:t xml:space="preserve"> (</w:t>
      </w:r>
      <w:r w:rsidRPr="0092719E">
        <w:rPr>
          <w:color w:val="000000" w:themeColor="text1"/>
        </w:rPr>
        <w:t>sub.</w:t>
      </w:r>
      <w:r>
        <w:rPr>
          <w:color w:val="000000" w:themeColor="text1"/>
        </w:rPr>
        <w:t> </w:t>
      </w:r>
      <w:r w:rsidRPr="0092719E">
        <w:rPr>
          <w:color w:val="000000" w:themeColor="text1"/>
        </w:rPr>
        <w:t>114, p. 4</w:t>
      </w:r>
      <w:r w:rsidR="0036261E">
        <w:rPr>
          <w:color w:val="000000" w:themeColor="text1"/>
        </w:rPr>
        <w:t>)</w:t>
      </w:r>
      <w:r>
        <w:rPr>
          <w:color w:val="000000" w:themeColor="text1"/>
        </w:rPr>
        <w:t>.</w:t>
      </w:r>
    </w:p>
  </w:footnote>
  <w:footnote w:id="11">
    <w:p w14:paraId="12035B23" w14:textId="70017BE7" w:rsidR="00EE577B" w:rsidRPr="00983E40" w:rsidRDefault="00EE577B">
      <w:pPr>
        <w:pStyle w:val="FootnoteText"/>
        <w:rPr>
          <w:lang w:val="en-US"/>
        </w:rPr>
      </w:pPr>
      <w:r w:rsidRPr="002B0A03">
        <w:rPr>
          <w:rStyle w:val="FootnoteReference"/>
        </w:rPr>
        <w:footnoteRef/>
      </w:r>
      <w:r>
        <w:t xml:space="preserve"> </w:t>
      </w:r>
      <w:r>
        <w:rPr>
          <w:color w:val="000000" w:themeColor="text1"/>
        </w:rPr>
        <w:t>F</w:t>
      </w:r>
      <w:r w:rsidRPr="0092719E">
        <w:rPr>
          <w:color w:val="000000" w:themeColor="text1"/>
        </w:rPr>
        <w:t xml:space="preserve">or example, </w:t>
      </w:r>
      <w:r>
        <w:rPr>
          <w:color w:val="000000" w:themeColor="text1"/>
        </w:rPr>
        <w:t>AHRC</w:t>
      </w:r>
      <w:r w:rsidR="0036261E">
        <w:rPr>
          <w:color w:val="000000" w:themeColor="text1"/>
        </w:rPr>
        <w:t xml:space="preserve"> (</w:t>
      </w:r>
      <w:r w:rsidRPr="0092719E">
        <w:rPr>
          <w:color w:val="000000" w:themeColor="text1"/>
        </w:rPr>
        <w:t>sub.</w:t>
      </w:r>
      <w:r>
        <w:rPr>
          <w:color w:val="000000" w:themeColor="text1"/>
        </w:rPr>
        <w:t> </w:t>
      </w:r>
      <w:r w:rsidRPr="0092719E">
        <w:rPr>
          <w:color w:val="000000" w:themeColor="text1"/>
        </w:rPr>
        <w:t>235, p.</w:t>
      </w:r>
      <w:r>
        <w:rPr>
          <w:color w:val="000000" w:themeColor="text1"/>
        </w:rPr>
        <w:t> </w:t>
      </w:r>
      <w:r w:rsidRPr="0092719E">
        <w:rPr>
          <w:color w:val="000000" w:themeColor="text1"/>
        </w:rPr>
        <w:t>11</w:t>
      </w:r>
      <w:r w:rsidR="0036261E">
        <w:rPr>
          <w:color w:val="000000" w:themeColor="text1"/>
        </w:rPr>
        <w:t>),</w:t>
      </w:r>
      <w:r w:rsidRPr="0092719E">
        <w:rPr>
          <w:color w:val="000000" w:themeColor="text1"/>
        </w:rPr>
        <w:t xml:space="preserve"> Inclusion Australia</w:t>
      </w:r>
      <w:r w:rsidR="0036261E">
        <w:rPr>
          <w:color w:val="000000" w:themeColor="text1"/>
        </w:rPr>
        <w:t xml:space="preserve"> (</w:t>
      </w:r>
      <w:r w:rsidRPr="0092719E">
        <w:rPr>
          <w:color w:val="000000" w:themeColor="text1"/>
        </w:rPr>
        <w:t>sub. 117, p. 3</w:t>
      </w:r>
      <w:r w:rsidR="0036261E">
        <w:rPr>
          <w:color w:val="000000" w:themeColor="text1"/>
        </w:rPr>
        <w:t>),</w:t>
      </w:r>
      <w:r w:rsidRPr="0092719E">
        <w:rPr>
          <w:color w:val="000000" w:themeColor="text1"/>
        </w:rPr>
        <w:t xml:space="preserve"> Uniting NSW</w:t>
      </w:r>
      <w:r>
        <w:rPr>
          <w:color w:val="000000" w:themeColor="text1"/>
        </w:rPr>
        <w:t>.</w:t>
      </w:r>
      <w:r w:rsidRPr="0092719E">
        <w:rPr>
          <w:color w:val="000000" w:themeColor="text1"/>
        </w:rPr>
        <w:t>ACT</w:t>
      </w:r>
      <w:r w:rsidR="0036261E">
        <w:rPr>
          <w:color w:val="000000" w:themeColor="text1"/>
        </w:rPr>
        <w:t xml:space="preserve"> (</w:t>
      </w:r>
      <w:r w:rsidRPr="0092719E">
        <w:rPr>
          <w:color w:val="000000" w:themeColor="text1"/>
        </w:rPr>
        <w:t>sub.</w:t>
      </w:r>
      <w:r>
        <w:rPr>
          <w:color w:val="000000" w:themeColor="text1"/>
        </w:rPr>
        <w:t> </w:t>
      </w:r>
      <w:r w:rsidRPr="0092719E">
        <w:rPr>
          <w:color w:val="000000" w:themeColor="text1"/>
        </w:rPr>
        <w:t>114, p.</w:t>
      </w:r>
      <w:r>
        <w:rPr>
          <w:color w:val="000000" w:themeColor="text1"/>
        </w:rPr>
        <w:t> 4</w:t>
      </w:r>
      <w:r w:rsidR="0036261E">
        <w:rPr>
          <w:color w:val="000000" w:themeColor="text1"/>
        </w:rPr>
        <w:t>),</w:t>
      </w:r>
      <w:r w:rsidRPr="0092719E">
        <w:rPr>
          <w:color w:val="000000" w:themeColor="text1"/>
        </w:rPr>
        <w:t xml:space="preserve"> W</w:t>
      </w:r>
      <w:r>
        <w:rPr>
          <w:color w:val="000000" w:themeColor="text1"/>
        </w:rPr>
        <w:t>w</w:t>
      </w:r>
      <w:r w:rsidRPr="0092719E">
        <w:rPr>
          <w:color w:val="000000" w:themeColor="text1"/>
        </w:rPr>
        <w:t>WA, W</w:t>
      </w:r>
      <w:r>
        <w:rPr>
          <w:color w:val="000000" w:themeColor="text1"/>
        </w:rPr>
        <w:t>W</w:t>
      </w:r>
      <w:r w:rsidRPr="0092719E">
        <w:rPr>
          <w:color w:val="000000" w:themeColor="text1"/>
        </w:rPr>
        <w:t>DA, AMWA and NATISWA</w:t>
      </w:r>
      <w:r w:rsidR="0036261E">
        <w:rPr>
          <w:color w:val="000000" w:themeColor="text1"/>
        </w:rPr>
        <w:t xml:space="preserve"> (</w:t>
      </w:r>
      <w:r w:rsidRPr="0092719E">
        <w:rPr>
          <w:color w:val="000000" w:themeColor="text1"/>
        </w:rPr>
        <w:t>sub. 126, pp.</w:t>
      </w:r>
      <w:r>
        <w:rPr>
          <w:color w:val="000000" w:themeColor="text1"/>
        </w:rPr>
        <w:t> </w:t>
      </w:r>
      <w:r w:rsidRPr="0092719E">
        <w:rPr>
          <w:color w:val="000000" w:themeColor="text1"/>
        </w:rPr>
        <w:t>12</w:t>
      </w:r>
      <w:r>
        <w:t>–</w:t>
      </w:r>
      <w:r w:rsidRPr="0092719E">
        <w:rPr>
          <w:color w:val="000000" w:themeColor="text1"/>
        </w:rPr>
        <w:t>13</w:t>
      </w:r>
      <w:r w:rsidR="0036261E">
        <w:rPr>
          <w:color w:val="000000" w:themeColor="text1"/>
        </w:rPr>
        <w:t>),</w:t>
      </w:r>
      <w:r w:rsidRPr="0092719E">
        <w:rPr>
          <w:color w:val="000000" w:themeColor="text1"/>
        </w:rPr>
        <w:t xml:space="preserve"> </w:t>
      </w:r>
      <w:r>
        <w:rPr>
          <w:color w:val="000000" w:themeColor="text1"/>
        </w:rPr>
        <w:t>WWDA</w:t>
      </w:r>
      <w:r w:rsidR="0036261E">
        <w:rPr>
          <w:color w:val="000000" w:themeColor="text1"/>
        </w:rPr>
        <w:t xml:space="preserve"> (</w:t>
      </w:r>
      <w:r w:rsidRPr="0092719E">
        <w:rPr>
          <w:color w:val="000000" w:themeColor="text1"/>
        </w:rPr>
        <w:t>sub. 188, pp. 8</w:t>
      </w:r>
      <w:r>
        <w:rPr>
          <w:color w:val="000000" w:themeColor="text1"/>
        </w:rPr>
        <w:t>–</w:t>
      </w:r>
      <w:r w:rsidRPr="0092719E">
        <w:rPr>
          <w:color w:val="000000" w:themeColor="text1"/>
        </w:rPr>
        <w:t>9</w:t>
      </w:r>
      <w:r w:rsidR="0036261E">
        <w:rPr>
          <w:color w:val="000000" w:themeColor="text1"/>
        </w:rPr>
        <w:t>)</w:t>
      </w:r>
      <w:r>
        <w:rPr>
          <w:color w:val="000000" w:themeColor="text1"/>
        </w:rPr>
        <w:t>.</w:t>
      </w:r>
    </w:p>
  </w:footnote>
  <w:footnote w:id="12">
    <w:p w14:paraId="25CBFB33" w14:textId="66B594A6" w:rsidR="00EE577B" w:rsidRPr="00D224B6" w:rsidRDefault="00EE577B">
      <w:pPr>
        <w:pStyle w:val="Note"/>
        <w:rPr>
          <w:spacing w:val="-4"/>
          <w:lang w:val="en-US"/>
        </w:rPr>
      </w:pPr>
      <w:r w:rsidRPr="00D224B6">
        <w:rPr>
          <w:rStyle w:val="FootnoteReference"/>
          <w:spacing w:val="-4"/>
        </w:rPr>
        <w:footnoteRef/>
      </w:r>
      <w:r w:rsidRPr="00D224B6">
        <w:rPr>
          <w:spacing w:val="-4"/>
        </w:rPr>
        <w:t xml:space="preserve"> In August 2025, the Standing Council of Attorneys</w:t>
      </w:r>
      <w:r w:rsidRPr="00D224B6">
        <w:rPr>
          <w:spacing w:val="-4"/>
        </w:rPr>
        <w:noBreakHyphen/>
        <w:t xml:space="preserve">General agreed to deliver a national approach to working with children checks </w:t>
      </w:r>
      <w:r w:rsidRPr="00D224B6">
        <w:rPr>
          <w:rFonts w:cs="Arial"/>
          <w:spacing w:val="-4"/>
        </w:rPr>
        <w:t>(Rowland 2025)</w:t>
      </w:r>
      <w:r w:rsidRPr="00D224B6">
        <w:rPr>
          <w:spacing w:val="-4"/>
        </w:rPr>
        <w:t xml:space="preserve"> and education ministers agreed to a package of child safety reforms, including a national educator register </w:t>
      </w:r>
      <w:r w:rsidRPr="00D224B6">
        <w:rPr>
          <w:rFonts w:cs="Arial"/>
          <w:spacing w:val="-4"/>
        </w:rPr>
        <w:t>(DoE 2025)</w:t>
      </w:r>
      <w:r w:rsidRPr="00D224B6">
        <w:rPr>
          <w:spacing w:val="-4"/>
        </w:rPr>
        <w:t xml:space="preserve">. In September 2025, the Treasury and Department of Finance released a consultation paper exploring models for national worker screening </w:t>
      </w:r>
      <w:r w:rsidR="00CD75B1" w:rsidRPr="00D224B6">
        <w:rPr>
          <w:rFonts w:cs="Arial"/>
          <w:spacing w:val="-4"/>
        </w:rPr>
        <w:t>(Commonwealth of Australia 2025)</w:t>
      </w:r>
      <w:r w:rsidR="00693FA9" w:rsidRPr="00D224B6">
        <w:rPr>
          <w:spacing w:val="-4"/>
        </w:rPr>
        <w:t xml:space="preserve"> and the Australian Government has committed to continue work </w:t>
      </w:r>
      <w:r w:rsidR="00FF4D9C" w:rsidRPr="00D224B6">
        <w:rPr>
          <w:spacing w:val="-4"/>
        </w:rPr>
        <w:t xml:space="preserve">on a national </w:t>
      </w:r>
      <w:r w:rsidR="0082603F" w:rsidRPr="00D224B6">
        <w:rPr>
          <w:spacing w:val="-4"/>
        </w:rPr>
        <w:t>screening process for workers in the care and support sectors</w:t>
      </w:r>
      <w:r w:rsidR="009B6575" w:rsidRPr="00D224B6">
        <w:rPr>
          <w:spacing w:val="-4"/>
        </w:rPr>
        <w:t xml:space="preserve"> </w:t>
      </w:r>
      <w:r w:rsidR="00CD75B1" w:rsidRPr="00D224B6">
        <w:rPr>
          <w:rFonts w:cs="Arial"/>
          <w:spacing w:val="-4"/>
        </w:rPr>
        <w:t>(Chalmers 2025)</w:t>
      </w:r>
      <w:r w:rsidRPr="00D224B6">
        <w:rPr>
          <w:spacing w:val="-4"/>
        </w:rPr>
        <w:t>.</w:t>
      </w:r>
    </w:p>
  </w:footnote>
  <w:footnote w:id="13">
    <w:p w14:paraId="551BB097" w14:textId="41BFC3E7" w:rsidR="00405F15" w:rsidRPr="00983E40" w:rsidRDefault="00405F15" w:rsidP="00405F15">
      <w:pPr>
        <w:pStyle w:val="FootnoteText"/>
        <w:rPr>
          <w:lang w:val="en-US"/>
        </w:rPr>
      </w:pPr>
      <w:r w:rsidRPr="002B0A03">
        <w:rPr>
          <w:rStyle w:val="FootnoteReference"/>
        </w:rPr>
        <w:footnoteRef/>
      </w:r>
      <w:r>
        <w:t xml:space="preserve"> </w:t>
      </w:r>
      <w:r w:rsidRPr="00CB3698">
        <w:t>Ageing Australia</w:t>
      </w:r>
      <w:r w:rsidR="00482A42">
        <w:t xml:space="preserve"> (</w:t>
      </w:r>
      <w:r w:rsidRPr="00CB3698">
        <w:t>sub. 161, p. 10</w:t>
      </w:r>
      <w:r w:rsidR="00482A42">
        <w:t>),</w:t>
      </w:r>
      <w:r>
        <w:t xml:space="preserve"> Australian Association of Gerontology</w:t>
      </w:r>
      <w:r w:rsidR="00482A42">
        <w:t xml:space="preserve"> (</w:t>
      </w:r>
      <w:r>
        <w:t>sub. 143, p. 3</w:t>
      </w:r>
      <w:r w:rsidR="00482A42">
        <w:t>),</w:t>
      </w:r>
      <w:r w:rsidRPr="00CB3698">
        <w:t xml:space="preserve"> </w:t>
      </w:r>
      <w:r>
        <w:t>CE</w:t>
      </w:r>
      <w:r w:rsidRPr="00CB3698">
        <w:t xml:space="preserve"> CRC</w:t>
      </w:r>
      <w:r w:rsidR="00482A42">
        <w:t xml:space="preserve"> (</w:t>
      </w:r>
      <w:r w:rsidRPr="00CB3698">
        <w:t>sub. 232, p. 1</w:t>
      </w:r>
      <w:r w:rsidR="00EC0402">
        <w:t>),</w:t>
      </w:r>
      <w:r w:rsidRPr="00CB3698">
        <w:t xml:space="preserve"> Silverchain</w:t>
      </w:r>
      <w:r w:rsidR="00EC0402">
        <w:t xml:space="preserve"> (</w:t>
      </w:r>
      <w:r w:rsidRPr="00CB3698">
        <w:t>sub. 204, pp. 7</w:t>
      </w:r>
      <w:r>
        <w:t>–</w:t>
      </w:r>
      <w:r w:rsidRPr="00CB3698">
        <w:t>8</w:t>
      </w:r>
      <w:r w:rsidR="00EC0402">
        <w:t>)</w:t>
      </w:r>
      <w:r>
        <w:t>.</w:t>
      </w:r>
    </w:p>
  </w:footnote>
  <w:footnote w:id="14">
    <w:p w14:paraId="7DFE256D" w14:textId="77777777" w:rsidR="00A0602C" w:rsidRDefault="00A0602C">
      <w:pPr>
        <w:pStyle w:val="FootnoteText"/>
      </w:pPr>
      <w:r w:rsidRPr="002B0A03">
        <w:rPr>
          <w:rStyle w:val="FootnoteReference"/>
        </w:rPr>
        <w:footnoteRef/>
      </w:r>
      <w:r>
        <w:t xml:space="preserve"> </w:t>
      </w:r>
      <w:r w:rsidRPr="00CD1980">
        <w:t xml:space="preserve">Terminology varies across jurisdictions </w:t>
      </w:r>
      <w:r>
        <w:t xml:space="preserve">– </w:t>
      </w:r>
      <w:r w:rsidRPr="00CD1980">
        <w:t xml:space="preserve">LHNs </w:t>
      </w:r>
      <w:r>
        <w:t>include</w:t>
      </w:r>
      <w:r w:rsidRPr="00CD1980">
        <w:t xml:space="preserve"> </w:t>
      </w:r>
      <w:r>
        <w:t>Health Service Providers,</w:t>
      </w:r>
      <w:r w:rsidRPr="00CD1980">
        <w:t xml:space="preserve"> </w:t>
      </w:r>
      <w:r>
        <w:t>Hospital and Health Services,</w:t>
      </w:r>
      <w:r w:rsidRPr="00641ECC">
        <w:t xml:space="preserve"> </w:t>
      </w:r>
      <w:r>
        <w:t>L</w:t>
      </w:r>
      <w:r w:rsidRPr="00CD1980">
        <w:t xml:space="preserve">ocal </w:t>
      </w:r>
      <w:r>
        <w:t>H</w:t>
      </w:r>
      <w:r w:rsidRPr="00CD1980">
        <w:t xml:space="preserve">ealth </w:t>
      </w:r>
      <w:r>
        <w:t>D</w:t>
      </w:r>
      <w:r w:rsidRPr="00CD1980">
        <w:t>istricts</w:t>
      </w:r>
      <w:r>
        <w:t>, L</w:t>
      </w:r>
      <w:r w:rsidRPr="00CD1980">
        <w:t xml:space="preserve">ocal </w:t>
      </w:r>
      <w:r>
        <w:t>H</w:t>
      </w:r>
      <w:r w:rsidRPr="00CD1980">
        <w:t xml:space="preserve">ealth </w:t>
      </w:r>
      <w:r>
        <w:t>N</w:t>
      </w:r>
      <w:r w:rsidRPr="00CD1980">
        <w:t>etworks</w:t>
      </w:r>
      <w:r>
        <w:t xml:space="preserve"> and</w:t>
      </w:r>
      <w:r w:rsidRPr="00CD1980">
        <w:t xml:space="preserve"> </w:t>
      </w:r>
      <w:r>
        <w:t>L</w:t>
      </w:r>
      <w:r w:rsidRPr="00CD1980">
        <w:t xml:space="preserve">ocal </w:t>
      </w:r>
      <w:r>
        <w:t>Health</w:t>
      </w:r>
      <w:r w:rsidRPr="00CD1980">
        <w:t xml:space="preserve"> </w:t>
      </w:r>
      <w:r>
        <w:t>Service Networks.</w:t>
      </w:r>
    </w:p>
  </w:footnote>
  <w:footnote w:id="15">
    <w:p w14:paraId="19EEB2DF" w14:textId="2FE287BC" w:rsidR="00A0602C" w:rsidRPr="00B40479" w:rsidRDefault="00A0602C">
      <w:pPr>
        <w:pStyle w:val="FootnoteText"/>
      </w:pPr>
      <w:r w:rsidRPr="002B0A03">
        <w:rPr>
          <w:rStyle w:val="FootnoteReference"/>
        </w:rPr>
        <w:footnoteRef/>
      </w:r>
      <w:r w:rsidRPr="00B40479">
        <w:t xml:space="preserve"> AHHA</w:t>
      </w:r>
      <w:r w:rsidR="00EC0402">
        <w:t xml:space="preserve"> (</w:t>
      </w:r>
      <w:r w:rsidRPr="00B40479">
        <w:t>sub. 26, pp. 10–11</w:t>
      </w:r>
      <w:r w:rsidR="00EC0402">
        <w:t>),</w:t>
      </w:r>
      <w:r w:rsidRPr="00B40479">
        <w:t xml:space="preserve"> Uniting NSW</w:t>
      </w:r>
      <w:r>
        <w:t>.</w:t>
      </w:r>
      <w:r w:rsidRPr="00B40479">
        <w:t>ACT</w:t>
      </w:r>
      <w:r w:rsidR="00EC0402">
        <w:t xml:space="preserve"> (</w:t>
      </w:r>
      <w:r w:rsidRPr="00B40479">
        <w:t>qr. 53, pp. 2–3</w:t>
      </w:r>
      <w:r w:rsidR="00EC0402">
        <w:t>),</w:t>
      </w:r>
      <w:r w:rsidRPr="00B40479">
        <w:t xml:space="preserve"> Health Consumers’ Council WA</w:t>
      </w:r>
      <w:r w:rsidR="00EC0402">
        <w:t xml:space="preserve"> (</w:t>
      </w:r>
      <w:r w:rsidRPr="00B40479">
        <w:t>qr. 48, pp. 2–3</w:t>
      </w:r>
      <w:r w:rsidR="00EC0402">
        <w:t>),</w:t>
      </w:r>
      <w:r w:rsidRPr="00B40479">
        <w:t xml:space="preserve"> </w:t>
      </w:r>
      <w:r w:rsidR="00037E27">
        <w:t>T</w:t>
      </w:r>
      <w:r w:rsidRPr="00B40479">
        <w:t>he Health Alliance</w:t>
      </w:r>
      <w:r w:rsidR="00EC0402">
        <w:t xml:space="preserve"> (</w:t>
      </w:r>
      <w:r w:rsidRPr="00B40479">
        <w:t>qr. 70, pp. 2–3</w:t>
      </w:r>
      <w:r w:rsidR="00273EF6">
        <w:t>)</w:t>
      </w:r>
      <w:r w:rsidRPr="00B40479">
        <w:t>.</w:t>
      </w:r>
    </w:p>
  </w:footnote>
  <w:footnote w:id="16">
    <w:p w14:paraId="7550DA9E" w14:textId="2ACB3CBC" w:rsidR="00A0602C" w:rsidRPr="002776E8" w:rsidRDefault="00A0602C">
      <w:pPr>
        <w:pStyle w:val="FootnoteText"/>
        <w:rPr>
          <w:lang w:val="en-US"/>
        </w:rPr>
      </w:pPr>
      <w:r w:rsidRPr="002B0A03">
        <w:rPr>
          <w:rStyle w:val="FootnoteReference"/>
        </w:rPr>
        <w:footnoteRef/>
      </w:r>
      <w:r w:rsidRPr="00B40479">
        <w:t xml:space="preserve"> Place</w:t>
      </w:r>
      <w:r w:rsidRPr="00B40479">
        <w:noBreakHyphen/>
        <w:t xml:space="preserve">based collaborative commissioning approaches have been adopted or are in train in the United Kingdom, Canada and New Zealand </w:t>
      </w:r>
      <w:r w:rsidRPr="00B40479">
        <w:rPr>
          <w:rFonts w:ascii="Arial" w:hAnsi="Arial" w:cs="Arial"/>
        </w:rPr>
        <w:t>(Boer et al. 2025; NZ SIA 2025; The King’s Fund 2023)</w:t>
      </w:r>
      <w:r w:rsidRPr="00B40479">
        <w:t>. Similarly, the recent PLACE initiative, co</w:t>
      </w:r>
      <w:r w:rsidRPr="00B40479">
        <w:noBreakHyphen/>
        <w:t>funded by the Australian Government and philanthropic organisations, is intended to support community</w:t>
      </w:r>
      <w:r w:rsidRPr="00B40479">
        <w:noBreakHyphen/>
        <w:t xml:space="preserve">based initiatives to tackle entrenched disadvantage </w:t>
      </w:r>
      <w:r w:rsidRPr="00B40479">
        <w:rPr>
          <w:rFonts w:ascii="Arial" w:hAnsi="Arial" w:cs="Arial"/>
        </w:rPr>
        <w:t>(PLACE 2024)</w:t>
      </w:r>
      <w:r w:rsidRPr="00B40479">
        <w:t>.</w:t>
      </w:r>
    </w:p>
  </w:footnote>
  <w:footnote w:id="17">
    <w:p w14:paraId="39DFD5C9" w14:textId="657A5AAE" w:rsidR="00A0602C" w:rsidRPr="00D90643" w:rsidRDefault="00A0602C">
      <w:pPr>
        <w:pStyle w:val="FootnoteText"/>
        <w:rPr>
          <w:lang w:val="en-US"/>
        </w:rPr>
      </w:pPr>
      <w:r w:rsidRPr="002B0A03">
        <w:rPr>
          <w:rStyle w:val="FootnoteReference"/>
        </w:rPr>
        <w:footnoteRef/>
      </w:r>
      <w:r>
        <w:t xml:space="preserve"> The effectiveness of joint needs assessments has also been shown in the United Kingdom </w:t>
      </w:r>
      <w:r w:rsidRPr="00B40479">
        <w:rPr>
          <w:rFonts w:ascii="Arial" w:hAnsi="Arial" w:cs="Arial"/>
        </w:rPr>
        <w:t>(Asmar et al. 2024, p.</w:t>
      </w:r>
      <w:r w:rsidR="00984958">
        <w:rPr>
          <w:rFonts w:ascii="Arial" w:hAnsi="Arial" w:cs="Arial"/>
        </w:rPr>
        <w:t> </w:t>
      </w:r>
      <w:r w:rsidRPr="00B40479">
        <w:rPr>
          <w:rFonts w:ascii="Arial" w:hAnsi="Arial" w:cs="Arial"/>
        </w:rPr>
        <w:t>12)</w:t>
      </w:r>
      <w:r>
        <w:t>.</w:t>
      </w:r>
    </w:p>
  </w:footnote>
  <w:footnote w:id="18">
    <w:p w14:paraId="5B19598F" w14:textId="3C13349B" w:rsidR="00A0602C" w:rsidRPr="00D90643" w:rsidRDefault="00A0602C">
      <w:pPr>
        <w:pStyle w:val="FootnoteText"/>
        <w:rPr>
          <w:lang w:val="en-US"/>
        </w:rPr>
      </w:pPr>
      <w:r w:rsidRPr="002B0A03">
        <w:rPr>
          <w:rStyle w:val="FootnoteReference"/>
        </w:rPr>
        <w:footnoteRef/>
      </w:r>
      <w:r>
        <w:t xml:space="preserve"> </w:t>
      </w:r>
      <w:r w:rsidRPr="00B40479">
        <w:t xml:space="preserve">The Central Coast Health Alliance, which includes the Central Coast Local Health District and Hunter New England and Central Coast PHN, has also developed a joint strategic needs assessment </w:t>
      </w:r>
      <w:r w:rsidRPr="00B40479">
        <w:rPr>
          <w:rFonts w:ascii="Arial" w:hAnsi="Arial" w:cs="Arial"/>
        </w:rPr>
        <w:t>(Quigley et al. 2024)</w:t>
      </w:r>
      <w:r w:rsidRPr="00B40479">
        <w:t>.</w:t>
      </w:r>
    </w:p>
  </w:footnote>
  <w:footnote w:id="19">
    <w:p w14:paraId="768D9F1C" w14:textId="35944C23" w:rsidR="00A0602C" w:rsidRDefault="00A0602C">
      <w:pPr>
        <w:pStyle w:val="FootnoteText"/>
      </w:pPr>
      <w:r w:rsidRPr="002B0A03">
        <w:rPr>
          <w:rStyle w:val="FootnoteReference"/>
        </w:rPr>
        <w:footnoteRef/>
      </w:r>
      <w:r>
        <w:t xml:space="preserve"> </w:t>
      </w:r>
      <w:r w:rsidRPr="00B40479">
        <w:t xml:space="preserve">The King’s Fund and Nuffield Trust </w:t>
      </w:r>
      <w:r>
        <w:t>recommended</w:t>
      </w:r>
      <w:r w:rsidRPr="00B40479">
        <w:t xml:space="preserve"> the UK National Health Service</w:t>
      </w:r>
      <w:r>
        <w:t xml:space="preserve"> (NHS)</w:t>
      </w:r>
      <w:r w:rsidRPr="00B40479">
        <w:t xml:space="preserve"> adopt a single outcomes framework to support joint initiatives between health bodies</w:t>
      </w:r>
      <w:r>
        <w:t xml:space="preserve"> </w:t>
      </w:r>
      <w:r w:rsidRPr="00B40479">
        <w:rPr>
          <w:rFonts w:ascii="Arial" w:hAnsi="Arial" w:cs="Arial"/>
        </w:rPr>
        <w:t>(Goodwin et al. 2012, pp. 8, 12–13)</w:t>
      </w:r>
      <w:r>
        <w:t>. A new NHS oversight framework</w:t>
      </w:r>
      <w:r w:rsidDel="001907CE">
        <w:t xml:space="preserve"> </w:t>
      </w:r>
      <w:r>
        <w:t xml:space="preserve">was adopted in 2025 and describes </w:t>
      </w:r>
      <w:r w:rsidRPr="00CA3C0A">
        <w:t>a consistent and transparent approach to assessing integrated care boards</w:t>
      </w:r>
      <w:r>
        <w:t>,</w:t>
      </w:r>
      <w:r w:rsidRPr="00CA3C0A">
        <w:t xml:space="preserve"> NHS trusts and foundation trusts</w:t>
      </w:r>
      <w:r>
        <w:t xml:space="preserve"> </w:t>
      </w:r>
      <w:r w:rsidRPr="00E31E30">
        <w:rPr>
          <w:rFonts w:ascii="Arial" w:hAnsi="Arial" w:cs="Arial"/>
        </w:rPr>
        <w:t>(NHS England 2025)</w:t>
      </w:r>
      <w:r w:rsidRPr="00B40479">
        <w:t xml:space="preserve">. </w:t>
      </w:r>
    </w:p>
  </w:footnote>
  <w:footnote w:id="20">
    <w:p w14:paraId="321DDF0C" w14:textId="77777777" w:rsidR="00A0602C" w:rsidRPr="00B40479" w:rsidRDefault="00A0602C">
      <w:pPr>
        <w:pStyle w:val="FootnoteText"/>
      </w:pPr>
      <w:r w:rsidRPr="002B0A03">
        <w:rPr>
          <w:rStyle w:val="FootnoteReference"/>
        </w:rPr>
        <w:footnoteRef/>
      </w:r>
      <w:r w:rsidRPr="00B40479">
        <w:t xml:space="preserve"> This framework is currently being updated by the Australian Institute of Health and Welfare.</w:t>
      </w:r>
    </w:p>
  </w:footnote>
  <w:footnote w:id="21">
    <w:p w14:paraId="3F029C29" w14:textId="0EF3BBD5" w:rsidR="00A0602C" w:rsidRDefault="00A0602C">
      <w:pPr>
        <w:pStyle w:val="FootnoteText"/>
      </w:pPr>
      <w:r w:rsidRPr="002B0A03">
        <w:rPr>
          <w:rStyle w:val="FootnoteReference"/>
        </w:rPr>
        <w:footnoteRef/>
      </w:r>
      <w:r>
        <w:t xml:space="preserve"> </w:t>
      </w:r>
      <w:r w:rsidRPr="00E01329">
        <w:t xml:space="preserve">Examples from the UK NHS include the Commissioning Support Units, which provide specialist skills and knowledge to commissioners, and the ‘World class commissioning’ program, which identified 11 competencies that commissioners were expected to demonstrate </w:t>
      </w:r>
      <w:r w:rsidR="00CD75B1" w:rsidRPr="00E01329">
        <w:t>(NHS England 2007, 2024)</w:t>
      </w:r>
      <w:r w:rsidRPr="00E01329">
        <w:t>.</w:t>
      </w:r>
    </w:p>
  </w:footnote>
  <w:footnote w:id="22">
    <w:p w14:paraId="00B41FB9" w14:textId="77777777" w:rsidR="00B809D1" w:rsidRPr="00880801" w:rsidRDefault="00B809D1">
      <w:pPr>
        <w:pStyle w:val="FootnoteText"/>
        <w:rPr>
          <w:lang w:val="en-US"/>
        </w:rPr>
      </w:pPr>
      <w:r w:rsidRPr="002B0A03">
        <w:rPr>
          <w:rStyle w:val="FootnoteReference"/>
        </w:rPr>
        <w:footnoteRef/>
      </w:r>
      <w:r>
        <w:t xml:space="preserve"> </w:t>
      </w:r>
      <w:r>
        <w:rPr>
          <w:lang w:val="en-US"/>
        </w:rPr>
        <w:t xml:space="preserve">While many sources refer to these as secondary or tertiary prevention, this report uses the term prevention to refer to primordial and primary prevention only. </w:t>
      </w:r>
    </w:p>
  </w:footnote>
  <w:footnote w:id="23">
    <w:p w14:paraId="19319F80" w14:textId="15C1EE5C" w:rsidR="00B809D1" w:rsidRDefault="00B809D1">
      <w:pPr>
        <w:pStyle w:val="FootnoteText"/>
      </w:pPr>
      <w:r w:rsidRPr="002B0A03">
        <w:rPr>
          <w:rStyle w:val="FootnoteReference"/>
        </w:rPr>
        <w:footnoteRef/>
      </w:r>
      <w:r>
        <w:t xml:space="preserve"> Details on these estimates are included in </w:t>
      </w:r>
      <w:r w:rsidR="009673EF">
        <w:t>a</w:t>
      </w:r>
      <w:r w:rsidR="00E34C76">
        <w:t>ppendix B</w:t>
      </w:r>
      <w:r>
        <w:t xml:space="preserve">. </w:t>
      </w:r>
    </w:p>
  </w:footnote>
  <w:footnote w:id="24">
    <w:p w14:paraId="1FC0BA2F" w14:textId="16B554FB" w:rsidR="00B809D1" w:rsidRPr="00986796" w:rsidRDefault="00B809D1">
      <w:pPr>
        <w:pStyle w:val="FootnoteText"/>
        <w:rPr>
          <w:lang w:val="en-US"/>
        </w:rPr>
      </w:pPr>
      <w:r w:rsidRPr="002B0A03">
        <w:rPr>
          <w:rStyle w:val="FootnoteReference"/>
        </w:rPr>
        <w:footnoteRef/>
      </w:r>
      <w:r>
        <w:t xml:space="preserve"> More than 20</w:t>
      </w:r>
      <w:r w:rsidDel="00A92788">
        <w:t xml:space="preserve"> </w:t>
      </w:r>
      <w:r>
        <w:t xml:space="preserve">submissions argued for increased consideration of second-round effects including </w:t>
      </w:r>
      <w:r w:rsidRPr="00FB1488">
        <w:rPr>
          <w:lang w:val="en-US"/>
        </w:rPr>
        <w:t xml:space="preserve">Ageing Australia </w:t>
      </w:r>
      <w:r>
        <w:rPr>
          <w:lang w:val="en-US"/>
        </w:rPr>
        <w:t>(</w:t>
      </w:r>
      <w:r w:rsidRPr="00FB1488">
        <w:rPr>
          <w:lang w:val="en-US"/>
        </w:rPr>
        <w:t>sub.</w:t>
      </w:r>
      <w:r w:rsidR="009673EF">
        <w:rPr>
          <w:lang w:val="en-US"/>
        </w:rPr>
        <w:t> </w:t>
      </w:r>
      <w:r w:rsidRPr="00FB1488">
        <w:rPr>
          <w:lang w:val="en-US"/>
        </w:rPr>
        <w:t>161, p. 14</w:t>
      </w:r>
      <w:r>
        <w:rPr>
          <w:lang w:val="en-US"/>
        </w:rPr>
        <w:t>)</w:t>
      </w:r>
      <w:r>
        <w:t xml:space="preserve">, </w:t>
      </w:r>
      <w:r>
        <w:rPr>
          <w:lang w:val="en-US"/>
        </w:rPr>
        <w:t>AMA</w:t>
      </w:r>
      <w:r w:rsidRPr="00230C14">
        <w:rPr>
          <w:lang w:val="en-US"/>
        </w:rPr>
        <w:t xml:space="preserve"> </w:t>
      </w:r>
      <w:r>
        <w:rPr>
          <w:lang w:val="en-US"/>
        </w:rPr>
        <w:t>(</w:t>
      </w:r>
      <w:r w:rsidRPr="00230C14">
        <w:rPr>
          <w:lang w:val="en-US"/>
        </w:rPr>
        <w:t>sub</w:t>
      </w:r>
      <w:r>
        <w:rPr>
          <w:lang w:val="en-US"/>
        </w:rPr>
        <w:t xml:space="preserve">. </w:t>
      </w:r>
      <w:r w:rsidRPr="00230C14">
        <w:rPr>
          <w:lang w:val="en-US"/>
        </w:rPr>
        <w:t>94, p. 7</w:t>
      </w:r>
      <w:r>
        <w:rPr>
          <w:lang w:val="en-US"/>
        </w:rPr>
        <w:t>) and</w:t>
      </w:r>
      <w:r w:rsidDel="00135484">
        <w:rPr>
          <w:lang w:val="en-US"/>
        </w:rPr>
        <w:t xml:space="preserve"> </w:t>
      </w:r>
      <w:r w:rsidRPr="00230C14">
        <w:rPr>
          <w:lang w:val="en-US"/>
        </w:rPr>
        <w:t>Relationships Australia</w:t>
      </w:r>
      <w:r>
        <w:rPr>
          <w:lang w:val="en-US"/>
        </w:rPr>
        <w:t xml:space="preserve"> (</w:t>
      </w:r>
      <w:r w:rsidRPr="00230C14">
        <w:rPr>
          <w:lang w:val="en-US"/>
        </w:rPr>
        <w:t xml:space="preserve">sub. 65, </w:t>
      </w:r>
      <w:r>
        <w:rPr>
          <w:lang w:val="en-US"/>
        </w:rPr>
        <w:t>p</w:t>
      </w:r>
      <w:r w:rsidRPr="00230C14">
        <w:rPr>
          <w:lang w:val="en-US"/>
        </w:rPr>
        <w:t>p.</w:t>
      </w:r>
      <w:r>
        <w:rPr>
          <w:lang w:val="en-US"/>
        </w:rPr>
        <w:t xml:space="preserve"> </w:t>
      </w:r>
      <w:r w:rsidRPr="00230C14">
        <w:rPr>
          <w:lang w:val="en-US"/>
        </w:rPr>
        <w:t>24</w:t>
      </w:r>
      <w:r>
        <w:rPr>
          <w:lang w:val="en-US"/>
        </w:rPr>
        <w:t>–</w:t>
      </w:r>
      <w:r w:rsidRPr="00230C14">
        <w:rPr>
          <w:lang w:val="en-US"/>
        </w:rPr>
        <w:t>25</w:t>
      </w:r>
      <w:r>
        <w:rPr>
          <w:lang w:val="en-US"/>
        </w:rPr>
        <w:t>).</w:t>
      </w:r>
    </w:p>
  </w:footnote>
  <w:footnote w:id="25">
    <w:p w14:paraId="3FB36365" w14:textId="77777777" w:rsidR="00B809D1" w:rsidRPr="00267D02" w:rsidRDefault="00B809D1">
      <w:pPr>
        <w:pStyle w:val="FootnoteText"/>
      </w:pPr>
      <w:r w:rsidRPr="002B0A03">
        <w:rPr>
          <w:rStyle w:val="FootnoteReference"/>
        </w:rPr>
        <w:footnoteRef/>
      </w:r>
      <w:r>
        <w:t xml:space="preserve"> More than 50 participants expressed this view including </w:t>
      </w:r>
      <w:hyperlink r:id="rId1" w:history="1">
        <w:r w:rsidRPr="00267D02">
          <w:rPr>
            <w:rStyle w:val="Hyperlink"/>
            <w:u w:val="none"/>
          </w:rPr>
          <w:t>C</w:t>
        </w:r>
        <w:r>
          <w:rPr>
            <w:rStyle w:val="Hyperlink"/>
            <w:u w:val="none"/>
          </w:rPr>
          <w:t>OSBOA (</w:t>
        </w:r>
        <w:r w:rsidRPr="00267D02">
          <w:rPr>
            <w:rStyle w:val="Hyperlink"/>
            <w:u w:val="none"/>
          </w:rPr>
          <w:t>sub. 22</w:t>
        </w:r>
        <w:r>
          <w:rPr>
            <w:rStyle w:val="Hyperlink"/>
            <w:u w:val="none"/>
          </w:rPr>
          <w:t>, p. 9)</w:t>
        </w:r>
      </w:hyperlink>
      <w:r>
        <w:t xml:space="preserve"> and Silverchain (sub. 15, p. 6).</w:t>
      </w:r>
    </w:p>
  </w:footnote>
  <w:footnote w:id="26">
    <w:p w14:paraId="4D6CFF0D" w14:textId="77777777" w:rsidR="00BA1EDE" w:rsidRPr="00267D02" w:rsidRDefault="00BA1EDE" w:rsidP="00BA1EDE">
      <w:pPr>
        <w:pStyle w:val="FootnoteText"/>
        <w:rPr>
          <w:lang w:val="en-US"/>
        </w:rPr>
      </w:pPr>
      <w:r w:rsidRPr="002B0A03">
        <w:rPr>
          <w:rStyle w:val="FootnoteReference"/>
        </w:rPr>
        <w:footnoteRef/>
      </w:r>
      <w:r>
        <w:t xml:space="preserve"> </w:t>
      </w:r>
      <w:r>
        <w:rPr>
          <w:lang w:val="en-US"/>
        </w:rPr>
        <w:t xml:space="preserve">Examples include </w:t>
      </w:r>
      <w:r w:rsidRPr="00F712B0">
        <w:t xml:space="preserve">the </w:t>
      </w:r>
      <w:r w:rsidRPr="000C4B3D">
        <w:t>National Partnership Agreement on Preventive Health (2008–2014), National Plan to Reduce Violence Against Women and their Children (2010–2022) and the National Preventive Health Strategy (2021–2030).</w:t>
      </w:r>
      <w:r>
        <w:rPr>
          <w:i/>
          <w:iCs/>
        </w:rPr>
        <w:t xml:space="preserve"> </w:t>
      </w:r>
    </w:p>
  </w:footnote>
  <w:footnote w:id="27">
    <w:p w14:paraId="6C76EC0B" w14:textId="3427C7A8" w:rsidR="00B809D1" w:rsidRPr="006C41D2" w:rsidRDefault="00B809D1">
      <w:pPr>
        <w:pStyle w:val="FootnoteText"/>
        <w:rPr>
          <w:lang w:val="en-US"/>
        </w:rPr>
      </w:pPr>
      <w:r w:rsidRPr="002B0A03">
        <w:rPr>
          <w:rStyle w:val="FootnoteReference"/>
        </w:rPr>
        <w:footnoteRef/>
      </w:r>
      <w:r>
        <w:t xml:space="preserve"> Official government four-year financial </w:t>
      </w:r>
      <w:r w:rsidR="00F4206D">
        <w:t>estimates</w:t>
      </w:r>
      <w:r w:rsidR="00F431BA">
        <w:t xml:space="preserve"> </w:t>
      </w:r>
      <w:r>
        <w:t xml:space="preserve">used for budgeting. </w:t>
      </w:r>
    </w:p>
  </w:footnote>
  <w:footnote w:id="28">
    <w:p w14:paraId="294A516B" w14:textId="2C56CA67" w:rsidR="00B809D1" w:rsidRPr="001E7897" w:rsidRDefault="00B809D1">
      <w:pPr>
        <w:pStyle w:val="FootnoteText"/>
        <w:rPr>
          <w:spacing w:val="-4"/>
          <w:lang w:val="en-US"/>
        </w:rPr>
      </w:pPr>
      <w:r w:rsidRPr="001E7897">
        <w:rPr>
          <w:rStyle w:val="FootnoteReference"/>
          <w:spacing w:val="-4"/>
        </w:rPr>
        <w:footnoteRef/>
      </w:r>
      <w:r w:rsidRPr="001E7897">
        <w:rPr>
          <w:spacing w:val="-4"/>
        </w:rPr>
        <w:t xml:space="preserve"> The key features of this framework are based on analysis of beneficial design features identified in inquiry submissions</w:t>
      </w:r>
      <w:r w:rsidR="00160A8B" w:rsidRPr="001E7897">
        <w:rPr>
          <w:spacing w:val="-4"/>
        </w:rPr>
        <w:t>,</w:t>
      </w:r>
      <w:r w:rsidRPr="001E7897">
        <w:rPr>
          <w:spacing w:val="-4"/>
        </w:rPr>
        <w:t xml:space="preserve"> questionnaire responses and existing Australian and international approaches to funding prevention and early intervention. We analysed 12 Australian approaches, including the Victorian Early Intervention Investment Framework, NSW Their Futures Matter, NSW Investment Plan for Human Services, DSS Priority Investment Approach, and National Partnership Agreement on Preventive Health. The ten international approaches include</w:t>
      </w:r>
      <w:r w:rsidR="00AE1A54" w:rsidRPr="001E7897">
        <w:rPr>
          <w:spacing w:val="-4"/>
        </w:rPr>
        <w:t>d</w:t>
      </w:r>
      <w:r w:rsidRPr="001E7897">
        <w:rPr>
          <w:spacing w:val="-4"/>
        </w:rPr>
        <w:t xml:space="preserve"> </w:t>
      </w:r>
      <w:r w:rsidR="0088589A" w:rsidRPr="001E7897">
        <w:rPr>
          <w:spacing w:val="-4"/>
        </w:rPr>
        <w:t>the</w:t>
      </w:r>
      <w:r w:rsidRPr="001E7897">
        <w:rPr>
          <w:spacing w:val="-4"/>
        </w:rPr>
        <w:t xml:space="preserve"> NZ Social Investment Approach, British Better Care, Wales Well-being of Future Generations and Washington State Institute for Public Policy. </w:t>
      </w:r>
    </w:p>
  </w:footnote>
  <w:footnote w:id="29">
    <w:p w14:paraId="23222D3F" w14:textId="07988AB3" w:rsidR="00B809D1" w:rsidRPr="00E07631" w:rsidRDefault="00B809D1">
      <w:pPr>
        <w:pStyle w:val="FootnoteText"/>
        <w:rPr>
          <w:lang w:val="en-US"/>
        </w:rPr>
      </w:pPr>
      <w:r w:rsidRPr="002B0A03">
        <w:rPr>
          <w:rStyle w:val="FootnoteReference"/>
        </w:rPr>
        <w:footnoteRef/>
      </w:r>
      <w:r>
        <w:t xml:space="preserve"> The Measuring What Matters Framework is a national wellbeing framework consisting of 50 indicators relating to health, security, sustainability, cohesiveness and prosperity (</w:t>
      </w:r>
      <w:r>
        <w:rPr>
          <w:rFonts w:ascii="Arial" w:hAnsi="Arial" w:cs="Arial"/>
        </w:rPr>
        <w:t>Treasury</w:t>
      </w:r>
      <w:r w:rsidRPr="008503C5">
        <w:rPr>
          <w:rFonts w:ascii="Arial" w:hAnsi="Arial" w:cs="Arial"/>
        </w:rPr>
        <w:t> 2023)</w:t>
      </w:r>
      <w:r>
        <w:t>.</w:t>
      </w:r>
    </w:p>
  </w:footnote>
  <w:footnote w:id="30">
    <w:p w14:paraId="712E8647" w14:textId="4A0ADFA3" w:rsidR="00B809D1" w:rsidRPr="005D6592" w:rsidRDefault="00B809D1">
      <w:pPr>
        <w:pStyle w:val="FootnoteText"/>
        <w:rPr>
          <w:spacing w:val="-4"/>
          <w:lang w:val="en-US"/>
        </w:rPr>
      </w:pPr>
      <w:r w:rsidRPr="005D6592">
        <w:rPr>
          <w:rStyle w:val="FootnoteReference"/>
          <w:spacing w:val="-4"/>
        </w:rPr>
        <w:footnoteRef/>
      </w:r>
      <w:r w:rsidRPr="005D6592">
        <w:rPr>
          <w:spacing w:val="-4"/>
        </w:rPr>
        <w:t xml:space="preserve"> </w:t>
      </w:r>
      <w:r w:rsidR="00FF5705" w:rsidRPr="005D6592">
        <w:rPr>
          <w:spacing w:val="-4"/>
        </w:rPr>
        <w:t>For example, t</w:t>
      </w:r>
      <w:r w:rsidRPr="005D6592">
        <w:rPr>
          <w:spacing w:val="-4"/>
        </w:rPr>
        <w:t>he Medical Services Advisory Committee is an independent body that assesses health services for inclusion in Australia’s Medicare Benefits Schedule, ensuring they are clinically and economically effective. Its two-phase process follows a health technology assessment framework, beginning with preassessment and followed by detailed evaluation, committee review, and final recommendations to the Health Minister. While the committee’s cost-effectiveness assessment is mainly based on health benefits and costs to the healthcare sector, costs to other sectors and broader economic benefits are sometimes considered in supplementary analyses. Outcomes are published in a public summary document.</w:t>
      </w:r>
    </w:p>
  </w:footnote>
  <w:footnote w:id="31">
    <w:p w14:paraId="20E23B12" w14:textId="77777777" w:rsidR="00B809D1" w:rsidRPr="002F23B6" w:rsidRDefault="00B809D1">
      <w:pPr>
        <w:pStyle w:val="FootnoteText"/>
        <w:rPr>
          <w:lang w:val="en-US"/>
        </w:rPr>
      </w:pPr>
      <w:r w:rsidRPr="002B0A03">
        <w:rPr>
          <w:rStyle w:val="FootnoteReference"/>
        </w:rPr>
        <w:footnoteRef/>
      </w:r>
      <w:r>
        <w:t xml:space="preserve"> A one-size-fits-all approach to evaluating programs is neither possible nor appropriate. </w:t>
      </w:r>
      <w:r w:rsidRPr="00155A4E">
        <w:t xml:space="preserve">Different methods of evaluation and evidence standards (including alternatives to randomised controlled trials) will be necessary in different circumstances including for smaller investments and programs with longer-term benefits. </w:t>
      </w:r>
    </w:p>
  </w:footnote>
  <w:footnote w:id="32">
    <w:p w14:paraId="2200DCF6" w14:textId="0961BC5D" w:rsidR="00B809D1" w:rsidRPr="00E07631" w:rsidRDefault="00B809D1">
      <w:pPr>
        <w:pStyle w:val="FootnoteText"/>
        <w:rPr>
          <w:lang w:val="en-US"/>
        </w:rPr>
      </w:pPr>
      <w:r w:rsidRPr="002B0A03">
        <w:rPr>
          <w:rStyle w:val="FootnoteReference"/>
        </w:rPr>
        <w:footnoteRef/>
      </w:r>
      <w:r>
        <w:t xml:space="preserve"> </w:t>
      </w:r>
      <w:r>
        <w:rPr>
          <w:lang w:val="en-US"/>
        </w:rPr>
        <w:t>R</w:t>
      </w:r>
      <w:r w:rsidRPr="005858FB">
        <w:rPr>
          <w:lang w:val="en-US"/>
        </w:rPr>
        <w:t xml:space="preserve">ecognised by over 30 participants including </w:t>
      </w:r>
      <w:r>
        <w:rPr>
          <w:lang w:val="en-US"/>
        </w:rPr>
        <w:t>AHRC (</w:t>
      </w:r>
      <w:r w:rsidRPr="005858FB">
        <w:rPr>
          <w:lang w:val="en-US"/>
        </w:rPr>
        <w:t xml:space="preserve">sub. 235, p. </w:t>
      </w:r>
      <w:r>
        <w:rPr>
          <w:lang w:val="en-US"/>
        </w:rPr>
        <w:t>13),</w:t>
      </w:r>
      <w:r w:rsidRPr="005858FB">
        <w:rPr>
          <w:lang w:val="en-US"/>
        </w:rPr>
        <w:t xml:space="preserve"> Seed Futures</w:t>
      </w:r>
      <w:r>
        <w:rPr>
          <w:lang w:val="en-US"/>
        </w:rPr>
        <w:t xml:space="preserve"> (</w:t>
      </w:r>
      <w:r w:rsidRPr="005858FB">
        <w:rPr>
          <w:lang w:val="en-US"/>
        </w:rPr>
        <w:t>sub. 170, p.</w:t>
      </w:r>
      <w:r>
        <w:rPr>
          <w:lang w:val="en-US"/>
        </w:rPr>
        <w:t xml:space="preserve"> </w:t>
      </w:r>
      <w:r w:rsidRPr="00267D02">
        <w:rPr>
          <w:lang w:val="en-US"/>
        </w:rPr>
        <w:t>1</w:t>
      </w:r>
      <w:r>
        <w:rPr>
          <w:lang w:val="en-US"/>
        </w:rPr>
        <w:t xml:space="preserve">) and </w:t>
      </w:r>
      <w:r w:rsidRPr="00892BEF">
        <w:t>WwWA, WWDA, AMWA, and NATSIWA</w:t>
      </w:r>
      <w:r>
        <w:t xml:space="preserve"> </w:t>
      </w:r>
      <w:r>
        <w:rPr>
          <w:lang w:val="en-US"/>
        </w:rPr>
        <w:t xml:space="preserve">(sub. 126, p. 17). </w:t>
      </w:r>
    </w:p>
  </w:footnote>
  <w:footnote w:id="33">
    <w:p w14:paraId="16297E6B" w14:textId="26BFA817" w:rsidR="00B809D1" w:rsidRPr="00DD53A3" w:rsidRDefault="00B809D1">
      <w:pPr>
        <w:pStyle w:val="FootnoteText"/>
        <w:rPr>
          <w:lang w:val="en-US"/>
        </w:rPr>
      </w:pPr>
      <w:r w:rsidRPr="002B0A03">
        <w:rPr>
          <w:rStyle w:val="FootnoteReference"/>
        </w:rPr>
        <w:footnoteRef/>
      </w:r>
      <w:r>
        <w:t xml:space="preserve"> </w:t>
      </w:r>
      <w:r>
        <w:rPr>
          <w:lang w:val="en-US"/>
        </w:rPr>
        <w:t xml:space="preserve">PEIFAB is based on work done by Harris and Mortimer </w:t>
      </w:r>
      <w:r w:rsidRPr="00385A55">
        <w:rPr>
          <w:rFonts w:ascii="Arial" w:hAnsi="Arial" w:cs="Arial"/>
        </w:rPr>
        <w:t>(2009)</w:t>
      </w:r>
      <w:r>
        <w:rPr>
          <w:lang w:val="en-US"/>
        </w:rPr>
        <w:t xml:space="preserve"> but has a broader, cross-portfolio focus that allows for consideration of programs and outcomes including and beyond the health sector. </w:t>
      </w:r>
    </w:p>
  </w:footnote>
  <w:footnote w:id="34">
    <w:p w14:paraId="50E3996D" w14:textId="77777777" w:rsidR="00B809D1" w:rsidRPr="00D0052F" w:rsidRDefault="00B809D1">
      <w:pPr>
        <w:pStyle w:val="FootnoteText"/>
      </w:pPr>
      <w:r w:rsidRPr="002B0A03">
        <w:rPr>
          <w:rStyle w:val="FootnoteReference"/>
        </w:rPr>
        <w:footnoteRef/>
      </w:r>
      <w:r>
        <w:t xml:space="preserve"> </w:t>
      </w:r>
      <w:r w:rsidRPr="009F50F4">
        <w:t xml:space="preserve">Over 50 participants emphasised </w:t>
      </w:r>
      <w:r>
        <w:t>including</w:t>
      </w:r>
      <w:r w:rsidRPr="009F50F4">
        <w:t xml:space="preserve"> equity </w:t>
      </w:r>
      <w:r>
        <w:t>as a criterion</w:t>
      </w:r>
      <w:r w:rsidRPr="009F50F4">
        <w:t xml:space="preserve"> including </w:t>
      </w:r>
      <w:r w:rsidRPr="00E75CC9">
        <w:rPr>
          <w:lang w:val="en-US"/>
        </w:rPr>
        <w:t xml:space="preserve">Dietitians Australia </w:t>
      </w:r>
      <w:r>
        <w:rPr>
          <w:lang w:val="en-US"/>
        </w:rPr>
        <w:t>(</w:t>
      </w:r>
      <w:r w:rsidRPr="00E75CC9">
        <w:rPr>
          <w:lang w:val="en-US"/>
        </w:rPr>
        <w:t>sub. 140, p. 14</w:t>
      </w:r>
      <w:r>
        <w:rPr>
          <w:lang w:val="en-US"/>
        </w:rPr>
        <w:t xml:space="preserve">), </w:t>
      </w:r>
      <w:r w:rsidRPr="009F50F4">
        <w:rPr>
          <w:lang w:val="en-US"/>
        </w:rPr>
        <w:t>Grattan Institute</w:t>
      </w:r>
      <w:r>
        <w:rPr>
          <w:lang w:val="en-US"/>
        </w:rPr>
        <w:t xml:space="preserve"> (</w:t>
      </w:r>
      <w:r w:rsidRPr="009F50F4">
        <w:rPr>
          <w:lang w:val="en-US"/>
        </w:rPr>
        <w:t>sub. 71, p. 4</w:t>
      </w:r>
      <w:r>
        <w:rPr>
          <w:lang w:val="en-US"/>
        </w:rPr>
        <w:t>),</w:t>
      </w:r>
      <w:r w:rsidRPr="009F50F4">
        <w:rPr>
          <w:lang w:val="en-US"/>
        </w:rPr>
        <w:t xml:space="preserve"> </w:t>
      </w:r>
      <w:r>
        <w:rPr>
          <w:lang w:val="en-US"/>
        </w:rPr>
        <w:t>HJA (</w:t>
      </w:r>
      <w:r w:rsidRPr="009F50F4">
        <w:rPr>
          <w:lang w:val="en-US"/>
        </w:rPr>
        <w:t>sub. 86, p. 5</w:t>
      </w:r>
      <w:r>
        <w:rPr>
          <w:lang w:val="en-US"/>
        </w:rPr>
        <w:t>) and</w:t>
      </w:r>
      <w:r w:rsidRPr="009F50F4">
        <w:rPr>
          <w:lang w:val="en-US"/>
        </w:rPr>
        <w:t xml:space="preserve"> </w:t>
      </w:r>
      <w:r w:rsidRPr="00E75CC9">
        <w:rPr>
          <w:lang w:val="en-US"/>
        </w:rPr>
        <w:t>Minderoo Foundation</w:t>
      </w:r>
      <w:r>
        <w:rPr>
          <w:lang w:val="en-US"/>
        </w:rPr>
        <w:t>, Thrive by Five (</w:t>
      </w:r>
      <w:r w:rsidRPr="00E75CC9">
        <w:rPr>
          <w:lang w:val="en-US"/>
        </w:rPr>
        <w:t>sub. 145,</w:t>
      </w:r>
      <w:r>
        <w:rPr>
          <w:lang w:val="en-US"/>
        </w:rPr>
        <w:t xml:space="preserve"> </w:t>
      </w:r>
      <w:r w:rsidRPr="00E75CC9">
        <w:rPr>
          <w:lang w:val="en-US"/>
        </w:rPr>
        <w:t>p. 8</w:t>
      </w:r>
      <w:r>
        <w:rPr>
          <w:lang w:val="en-US"/>
        </w:rPr>
        <w:t>).</w:t>
      </w:r>
    </w:p>
  </w:footnote>
  <w:footnote w:id="35">
    <w:p w14:paraId="4681BA2C" w14:textId="096B5254" w:rsidR="00B809D1" w:rsidRPr="00267D02" w:rsidRDefault="00B809D1">
      <w:pPr>
        <w:pStyle w:val="Reference"/>
        <w:spacing w:line="276" w:lineRule="auto"/>
        <w:rPr>
          <w:lang w:val="en-US"/>
        </w:rPr>
      </w:pPr>
      <w:r w:rsidRPr="002B0A03">
        <w:rPr>
          <w:rStyle w:val="FootnoteReference"/>
        </w:rPr>
        <w:footnoteRef/>
      </w:r>
      <w:r>
        <w:t xml:space="preserve"> </w:t>
      </w:r>
      <w:r>
        <w:rPr>
          <w:sz w:val="18"/>
          <w:szCs w:val="18"/>
        </w:rPr>
        <w:t xml:space="preserve">This was suggested by over </w:t>
      </w:r>
      <w:r w:rsidRPr="00267D02">
        <w:rPr>
          <w:rStyle w:val="BodyTextChar"/>
          <w:sz w:val="18"/>
          <w:szCs w:val="18"/>
        </w:rPr>
        <w:t xml:space="preserve">15 participants including </w:t>
      </w:r>
      <w:r>
        <w:rPr>
          <w:rStyle w:val="BodyTextChar"/>
          <w:sz w:val="18"/>
          <w:szCs w:val="18"/>
        </w:rPr>
        <w:t xml:space="preserve">Diabetes </w:t>
      </w:r>
      <w:r w:rsidRPr="00267D02">
        <w:rPr>
          <w:rStyle w:val="BodyTextChar"/>
          <w:sz w:val="18"/>
          <w:szCs w:val="18"/>
        </w:rPr>
        <w:t xml:space="preserve">Australia </w:t>
      </w:r>
      <w:r>
        <w:rPr>
          <w:rStyle w:val="BodyTextChar"/>
          <w:sz w:val="18"/>
          <w:szCs w:val="18"/>
        </w:rPr>
        <w:t>(</w:t>
      </w:r>
      <w:r w:rsidRPr="00267D02">
        <w:rPr>
          <w:rStyle w:val="BodyTextChar"/>
          <w:sz w:val="18"/>
          <w:szCs w:val="18"/>
        </w:rPr>
        <w:t>sub. 164, p.</w:t>
      </w:r>
      <w:r>
        <w:rPr>
          <w:rStyle w:val="BodyTextChar"/>
          <w:sz w:val="18"/>
          <w:szCs w:val="18"/>
        </w:rPr>
        <w:t xml:space="preserve"> </w:t>
      </w:r>
      <w:r w:rsidRPr="00267D02">
        <w:rPr>
          <w:rStyle w:val="BodyTextChar"/>
          <w:sz w:val="18"/>
          <w:szCs w:val="18"/>
        </w:rPr>
        <w:t>1</w:t>
      </w:r>
      <w:r>
        <w:rPr>
          <w:rStyle w:val="BodyTextChar"/>
          <w:sz w:val="18"/>
          <w:szCs w:val="18"/>
        </w:rPr>
        <w:t>),</w:t>
      </w:r>
      <w:r w:rsidRPr="00267D02">
        <w:rPr>
          <w:rStyle w:val="BodyTextChar"/>
          <w:sz w:val="18"/>
          <w:szCs w:val="18"/>
        </w:rPr>
        <w:t xml:space="preserve"> Taylor Fry</w:t>
      </w:r>
      <w:r>
        <w:rPr>
          <w:rStyle w:val="BodyTextChar"/>
          <w:sz w:val="18"/>
          <w:szCs w:val="18"/>
        </w:rPr>
        <w:t xml:space="preserve"> (</w:t>
      </w:r>
      <w:r w:rsidRPr="00267D02">
        <w:rPr>
          <w:rStyle w:val="BodyTextChar"/>
          <w:sz w:val="18"/>
          <w:szCs w:val="18"/>
        </w:rPr>
        <w:t xml:space="preserve">sub. 184, </w:t>
      </w:r>
      <w:r w:rsidRPr="00267D02" w:rsidDel="002A349F">
        <w:rPr>
          <w:rStyle w:val="BodyTextChar"/>
          <w:sz w:val="18"/>
          <w:szCs w:val="18"/>
        </w:rPr>
        <w:t>p</w:t>
      </w:r>
      <w:r w:rsidRPr="00267D02">
        <w:rPr>
          <w:rStyle w:val="BodyTextChar"/>
          <w:sz w:val="18"/>
          <w:szCs w:val="18"/>
        </w:rPr>
        <w:t>. 4</w:t>
      </w:r>
      <w:r w:rsidR="00FA5964">
        <w:rPr>
          <w:rStyle w:val="BodyTextChar"/>
          <w:sz w:val="18"/>
          <w:szCs w:val="18"/>
        </w:rPr>
        <w:t>–</w:t>
      </w:r>
      <w:r w:rsidRPr="00267D02">
        <w:rPr>
          <w:rStyle w:val="BodyTextChar"/>
          <w:sz w:val="18"/>
          <w:szCs w:val="18"/>
        </w:rPr>
        <w:t>6</w:t>
      </w:r>
      <w:r>
        <w:rPr>
          <w:rStyle w:val="BodyTextChar"/>
          <w:sz w:val="18"/>
          <w:szCs w:val="18"/>
        </w:rPr>
        <w:t>),</w:t>
      </w:r>
      <w:r w:rsidRPr="00267D02">
        <w:rPr>
          <w:rStyle w:val="BodyTextChar"/>
          <w:sz w:val="18"/>
          <w:szCs w:val="18"/>
        </w:rPr>
        <w:t xml:space="preserve"> </w:t>
      </w:r>
      <w:r>
        <w:rPr>
          <w:rStyle w:val="BodyTextChar"/>
          <w:sz w:val="18"/>
          <w:szCs w:val="18"/>
        </w:rPr>
        <w:t>and</w:t>
      </w:r>
      <w:r w:rsidRPr="00267D02">
        <w:rPr>
          <w:rStyle w:val="BodyTextChar"/>
          <w:sz w:val="18"/>
          <w:szCs w:val="18"/>
        </w:rPr>
        <w:t xml:space="preserve"> Sydney Policy Lab, The University of Sydney</w:t>
      </w:r>
      <w:r>
        <w:rPr>
          <w:rStyle w:val="BodyTextChar"/>
          <w:sz w:val="18"/>
          <w:szCs w:val="18"/>
        </w:rPr>
        <w:t xml:space="preserve"> (</w:t>
      </w:r>
      <w:r w:rsidRPr="00267D02">
        <w:rPr>
          <w:rStyle w:val="BodyTextChar"/>
          <w:sz w:val="18"/>
          <w:szCs w:val="18"/>
        </w:rPr>
        <w:t>sub. 76, p. 5</w:t>
      </w:r>
      <w:r>
        <w:rPr>
          <w:rStyle w:val="BodyTextChar"/>
          <w:sz w:val="18"/>
          <w:szCs w:val="18"/>
        </w:rPr>
        <w:t>).</w:t>
      </w:r>
    </w:p>
  </w:footnote>
  <w:footnote w:id="36">
    <w:p w14:paraId="79D00013" w14:textId="2E2DFBF0" w:rsidR="00B809D1" w:rsidRPr="00ED1218" w:rsidRDefault="00B809D1" w:rsidP="000C7D4C">
      <w:pPr>
        <w:pStyle w:val="FootnoteText"/>
        <w:rPr>
          <w:lang w:val="en-US"/>
        </w:rPr>
      </w:pPr>
      <w:r w:rsidRPr="002B0A03">
        <w:rPr>
          <w:rStyle w:val="FootnoteReference"/>
        </w:rPr>
        <w:footnoteRef/>
      </w:r>
      <w:r>
        <w:t xml:space="preserve"> These estimates are </w:t>
      </w:r>
      <w:r w:rsidRPr="00F80897">
        <w:t>on an investment of $300m each year for five years</w:t>
      </w:r>
      <w:r>
        <w:t>. The $2.7 billion in possible savings to government has a net present value of around $1.9 billion in current dollars. Total benefits are a net present value and have been calculated using a 7% discount rate. Further details on estimated benefits are in appendix</w:t>
      </w:r>
      <w:r w:rsidR="002C7399">
        <w:t xml:space="preserve"> B</w:t>
      </w:r>
      <w:r>
        <w:t xml:space="preserve">. </w:t>
      </w:r>
    </w:p>
  </w:footnote>
  <w:footnote w:id="37">
    <w:p w14:paraId="3B9FCDCB" w14:textId="77777777" w:rsidR="00B809D1" w:rsidRPr="00573F5B" w:rsidRDefault="00B809D1" w:rsidP="000C7D4C">
      <w:pPr>
        <w:pStyle w:val="FootnoteText"/>
        <w:rPr>
          <w:rStyle w:val="FootnoteTextChar"/>
        </w:rPr>
      </w:pPr>
      <w:r w:rsidRPr="002B0A03">
        <w:rPr>
          <w:rStyle w:val="FootnoteReference"/>
        </w:rPr>
        <w:footnoteRef/>
      </w:r>
      <w:r>
        <w:t xml:space="preserve"> </w:t>
      </w:r>
      <w:r w:rsidRPr="00573F5B">
        <w:rPr>
          <w:rStyle w:val="FootnoteTextChar"/>
        </w:rPr>
        <w:t>Submissions and responses, including those by AHPA (qr. 76. p. 2), CCWA (sub. 198, p. 2), Each (qr. 37, p. 3), Playgroup Australia (qr. 22, p. 3), Queensland Health (sub. 116 p. 7), United Way Australia (qr. 58, p. 3) included a number of examples with greater returns.</w:t>
      </w:r>
    </w:p>
  </w:footnote>
  <w:footnote w:id="38">
    <w:p w14:paraId="7CA6A601" w14:textId="77777777" w:rsidR="00B809D1" w:rsidRPr="000C7D4C" w:rsidRDefault="00B809D1" w:rsidP="000C7D4C">
      <w:pPr>
        <w:pStyle w:val="FootnoteText"/>
      </w:pPr>
      <w:r w:rsidRPr="002B0A03">
        <w:rPr>
          <w:rStyle w:val="FootnoteReference"/>
        </w:rPr>
        <w:footnoteRef/>
      </w:r>
      <w:r>
        <w:t xml:space="preserve"> </w:t>
      </w:r>
      <w:r w:rsidRPr="000C7D4C">
        <w:t xml:space="preserve">Submissions making this point include Carers Australia (sub. 143, p. 10), HCCWA (sub. 110, p. 6), Injury Matters (sub. 54, p. 5), MFC (sub. 73, p. 9) and Healthway (sub. 207, p. 6). </w:t>
      </w:r>
    </w:p>
  </w:footnote>
  <w:footnote w:id="39">
    <w:p w14:paraId="203B7C96" w14:textId="77777777" w:rsidR="00B809D1" w:rsidRPr="00267D02" w:rsidRDefault="00B809D1">
      <w:pPr>
        <w:pStyle w:val="FootnoteText"/>
        <w:rPr>
          <w:lang w:val="en-US"/>
        </w:rPr>
      </w:pPr>
      <w:r w:rsidRPr="002B0A03">
        <w:rPr>
          <w:rStyle w:val="FootnoteReference"/>
        </w:rPr>
        <w:footnoteRef/>
      </w:r>
      <w:r>
        <w:t xml:space="preserve"> Multilateral or bilateral A</w:t>
      </w:r>
      <w:r w:rsidRPr="003404C4">
        <w:t>greement</w:t>
      </w:r>
      <w:r>
        <w:t>s</w:t>
      </w:r>
      <w:r w:rsidRPr="003404C4">
        <w:t xml:space="preserve"> </w:t>
      </w:r>
      <w:r>
        <w:t>between the Australian, state and territory governments</w:t>
      </w:r>
      <w:r w:rsidRPr="003404C4">
        <w:t xml:space="preserve"> </w:t>
      </w:r>
      <w:r>
        <w:t xml:space="preserve">for funding </w:t>
      </w:r>
      <w:r w:rsidRPr="003404C4">
        <w:t>specific project</w:t>
      </w:r>
      <w:r>
        <w:t>s</w:t>
      </w:r>
      <w:r w:rsidRPr="003404C4">
        <w:t xml:space="preserve"> </w:t>
      </w:r>
      <w:r>
        <w:t>or</w:t>
      </w:r>
      <w:r w:rsidRPr="003404C4">
        <w:t xml:space="preserve"> program</w:t>
      </w:r>
      <w:r>
        <w:t xml:space="preserve">s. </w:t>
      </w:r>
    </w:p>
  </w:footnote>
  <w:footnote w:id="40">
    <w:p w14:paraId="40C74DA8" w14:textId="30F56382" w:rsidR="00D94B88" w:rsidRPr="00942322" w:rsidRDefault="00D94B88">
      <w:pPr>
        <w:pStyle w:val="FootnoteText"/>
        <w:rPr>
          <w:lang w:val="en-US"/>
        </w:rPr>
      </w:pPr>
      <w:r w:rsidRPr="002B0A03">
        <w:rPr>
          <w:rStyle w:val="FootnoteReference"/>
        </w:rPr>
        <w:footnoteRef/>
      </w:r>
      <w:r>
        <w:t xml:space="preserve"> </w:t>
      </w:r>
      <w:r w:rsidRPr="002622C5">
        <w:t>All providers of funded aged care services that receive Australian Government funding must be registered in one or more provider registration categories. The categories are based on the types of services deliver</w:t>
      </w:r>
      <w:r>
        <w:t>ed</w:t>
      </w:r>
      <w:r w:rsidRPr="002622C5">
        <w:t>. </w:t>
      </w:r>
      <w:r>
        <w:t xml:space="preserve">Categories four, five and six cover more intensive services like personal care and support services, nursing and transition care and residential care services </w:t>
      </w:r>
      <w:r w:rsidRPr="005D3D27">
        <w:rPr>
          <w:rFonts w:ascii="Arial" w:hAnsi="Arial" w:cs="Arial"/>
        </w:rPr>
        <w:t>(ACQSC 2025b)</w:t>
      </w:r>
      <w:r>
        <w:t>.</w:t>
      </w:r>
    </w:p>
  </w:footnote>
  <w:footnote w:id="41">
    <w:p w14:paraId="38FAF2E9" w14:textId="7B8368DC" w:rsidR="00D94B88" w:rsidRPr="00BC32F7" w:rsidRDefault="00D94B88">
      <w:pPr>
        <w:pStyle w:val="FootnoteText"/>
        <w:rPr>
          <w:lang w:val="en-US"/>
        </w:rPr>
      </w:pPr>
      <w:r w:rsidRPr="002B0A03">
        <w:rPr>
          <w:rStyle w:val="FootnoteReference"/>
        </w:rPr>
        <w:footnoteRef/>
      </w:r>
      <w:r>
        <w:t xml:space="preserve"> AMA</w:t>
      </w:r>
      <w:r w:rsidR="00487DAE">
        <w:t xml:space="preserve"> (</w:t>
      </w:r>
      <w:r>
        <w:t>sub. 94, p. 5</w:t>
      </w:r>
      <w:r w:rsidR="00487DAE">
        <w:t>),</w:t>
      </w:r>
      <w:r>
        <w:t xml:space="preserve"> CHA</w:t>
      </w:r>
      <w:r w:rsidR="00487DAE">
        <w:t xml:space="preserve"> (</w:t>
      </w:r>
      <w:r>
        <w:t>sub. 165, p. 46</w:t>
      </w:r>
      <w:r w:rsidR="00487DAE">
        <w:t>),</w:t>
      </w:r>
      <w:r>
        <w:t xml:space="preserve"> GSK</w:t>
      </w:r>
      <w:r w:rsidR="00487DAE">
        <w:t xml:space="preserve"> (</w:t>
      </w:r>
      <w:r>
        <w:t>sub. 139, pp. 7–9</w:t>
      </w:r>
      <w:r w:rsidR="00487DAE">
        <w:t>),</w:t>
      </w:r>
      <w:r>
        <w:t xml:space="preserve"> Jaithri Ananthapavan</w:t>
      </w:r>
      <w:r w:rsidR="00487DAE">
        <w:t xml:space="preserve"> (</w:t>
      </w:r>
      <w:r>
        <w:t>qr. 33, p. 2</w:t>
      </w:r>
      <w:r w:rsidR="00487DAE">
        <w:t>),</w:t>
      </w:r>
      <w:r>
        <w:t xml:space="preserve"> </w:t>
      </w:r>
      <w:r w:rsidRPr="00F24FEF">
        <w:rPr>
          <w:lang w:val="en-US"/>
        </w:rPr>
        <w:t>Medicines Australia</w:t>
      </w:r>
      <w:r w:rsidR="00487DAE">
        <w:rPr>
          <w:lang w:val="en-US"/>
        </w:rPr>
        <w:t xml:space="preserve"> (</w:t>
      </w:r>
      <w:r w:rsidRPr="00F24FEF">
        <w:rPr>
          <w:lang w:val="en-US"/>
        </w:rPr>
        <w:t>qr.</w:t>
      </w:r>
      <w:r>
        <w:rPr>
          <w:lang w:val="en-US"/>
        </w:rPr>
        <w:t xml:space="preserve"> 81</w:t>
      </w:r>
      <w:r w:rsidRPr="00F24FEF">
        <w:rPr>
          <w:lang w:val="en-US"/>
        </w:rPr>
        <w:t>, p</w:t>
      </w:r>
      <w:r>
        <w:rPr>
          <w:lang w:val="en-US"/>
        </w:rPr>
        <w:t>p</w:t>
      </w:r>
      <w:r w:rsidRPr="00F24FEF">
        <w:rPr>
          <w:lang w:val="en-US"/>
        </w:rPr>
        <w:t xml:space="preserve">. </w:t>
      </w:r>
      <w:r>
        <w:rPr>
          <w:lang w:val="en-US"/>
        </w:rPr>
        <w:t>2</w:t>
      </w:r>
      <w:r>
        <w:t>–</w:t>
      </w:r>
      <w:r>
        <w:rPr>
          <w:lang w:val="en-US"/>
        </w:rPr>
        <w:t>3</w:t>
      </w:r>
      <w:r w:rsidR="00487DAE">
        <w:rPr>
          <w:lang w:val="en-US"/>
        </w:rPr>
        <w:t>),</w:t>
      </w:r>
      <w:r>
        <w:rPr>
          <w:lang w:val="en-US"/>
        </w:rPr>
        <w:t xml:space="preserve"> </w:t>
      </w:r>
      <w:r>
        <w:t>PHAA</w:t>
      </w:r>
      <w:r w:rsidR="00487DAE">
        <w:t xml:space="preserve"> (</w:t>
      </w:r>
      <w:r>
        <w:t>sub. 16, p. 6</w:t>
      </w:r>
      <w:r w:rsidR="00487DAE">
        <w:t>),</w:t>
      </w:r>
      <w:r>
        <w:t xml:space="preserve"> SVA</w:t>
      </w:r>
      <w:r w:rsidR="00487DAE">
        <w:t xml:space="preserve"> (</w:t>
      </w:r>
      <w:r>
        <w:t>sub. 163, p. 11</w:t>
      </w:r>
      <w:r w:rsidR="00487DAE">
        <w:t>),</w:t>
      </w:r>
      <w:r>
        <w:t xml:space="preserve"> </w:t>
      </w:r>
      <w:r w:rsidRPr="00D32A52">
        <w:rPr>
          <w:lang w:val="en-US"/>
        </w:rPr>
        <w:t>Prevention Centre</w:t>
      </w:r>
      <w:r w:rsidR="00487DAE">
        <w:rPr>
          <w:lang w:val="en-US"/>
        </w:rPr>
        <w:t xml:space="preserve"> (</w:t>
      </w:r>
      <w:r w:rsidRPr="00D32A52">
        <w:rPr>
          <w:lang w:val="en-US"/>
        </w:rPr>
        <w:t>qr.</w:t>
      </w:r>
      <w:r>
        <w:rPr>
          <w:lang w:val="en-US"/>
        </w:rPr>
        <w:t xml:space="preserve"> 86, </w:t>
      </w:r>
      <w:r w:rsidRPr="00D32A52">
        <w:rPr>
          <w:lang w:val="en-US"/>
        </w:rPr>
        <w:t>p.</w:t>
      </w:r>
      <w:r>
        <w:rPr>
          <w:lang w:val="en-US"/>
        </w:rPr>
        <w:t xml:space="preserve"> 3</w:t>
      </w:r>
      <w:r w:rsidR="00487DAE">
        <w:rPr>
          <w:lang w:val="en-US"/>
        </w:rPr>
        <w:t>)</w:t>
      </w:r>
      <w:r w:rsidR="003D791C">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25EF" w14:textId="099BC532" w:rsidR="004F7BE2" w:rsidRPr="00201320" w:rsidRDefault="00F30A2D" w:rsidP="004544D6">
    <w:pPr>
      <w:pStyle w:val="Header-Keyline"/>
      <w:rPr>
        <w:rStyle w:val="Strong"/>
        <w:b w:val="0"/>
        <w:bCs w:val="0"/>
      </w:rPr>
    </w:pPr>
    <w:r>
      <w:rPr>
        <w:rStyle w:val="Strong"/>
      </w:rPr>
      <w:t>Delivering quality care more efficiently</w:t>
    </w:r>
    <w:r w:rsidR="004F7BE2">
      <w:t xml:space="preserve"> </w:t>
    </w:r>
    <w:r w:rsidR="00355983">
      <w:t>I</w:t>
    </w:r>
    <w:r w:rsidR="00D756E1">
      <w:t xml:space="preserve">nquiry </w:t>
    </w:r>
    <w:r w:rsidR="009E3265">
      <w:t>r</w:t>
    </w:r>
    <w:r w:rsidR="004F7BE2">
      <w:t>eport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A734D" w14:textId="5CF9A938" w:rsidR="0089759E" w:rsidRDefault="0089759E">
    <w:pPr>
      <w:pStyle w:val="Header-Keyline"/>
    </w:pPr>
    <w:r>
      <w:rPr>
        <w:noProof/>
      </w:rPr>
      <w:drawing>
        <wp:anchor distT="0" distB="0" distL="114300" distR="114300" simplePos="0" relativeHeight="251658240" behindDoc="1" locked="0" layoutInCell="1" allowOverlap="1" wp14:anchorId="635F1E97" wp14:editId="1BAE1EEC">
          <wp:simplePos x="0" y="0"/>
          <wp:positionH relativeFrom="page">
            <wp:align>right</wp:align>
          </wp:positionH>
          <wp:positionV relativeFrom="paragraph">
            <wp:posOffset>-511783</wp:posOffset>
          </wp:positionV>
          <wp:extent cx="7560000" cy="10681108"/>
          <wp:effectExtent l="0" t="0" r="3175" b="6350"/>
          <wp:wrapNone/>
          <wp:docPr id="14533818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2402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r>
      <w:rPr>
        <w:rStyle w:val="Strong"/>
      </w:rPr>
      <w:t>Delivering quality care more efficiently</w:t>
    </w:r>
    <w:r>
      <w:t xml:space="preserve"> Inquiry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64874" w14:textId="162400D0" w:rsidR="0089759E" w:rsidRDefault="0089759E">
    <w:pPr>
      <w:pStyle w:val="Header-Keyline"/>
    </w:pPr>
    <w:r>
      <w:rPr>
        <w:rStyle w:val="Strong"/>
      </w:rPr>
      <w:t>Delivering quality care more efficiently</w:t>
    </w:r>
    <w:r>
      <w:t xml:space="preserve"> Inquiry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249F" w14:textId="78D2DDFD" w:rsidR="00324D69" w:rsidRDefault="007A4381">
    <w:pPr>
      <w:pStyle w:val="Header-KeylineRight"/>
    </w:pPr>
    <w:fldSimple w:instr=" STYLEREF  &quot;Heading 1-no number&quot;  \* MERGEFORMAT ">
      <w:r w:rsidR="00FB1849">
        <w:rPr>
          <w:noProof/>
        </w:rPr>
        <w:t>Recommendations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58C83" w14:textId="7ABE3223" w:rsidR="005225C0" w:rsidRDefault="009D4488">
    <w:pPr>
      <w:pStyle w:val="Header-Keyline"/>
    </w:pPr>
    <w:r>
      <w:rPr>
        <w:rStyle w:val="Strong"/>
      </w:rPr>
      <w:t>Delivering quality care more efficiently</w:t>
    </w:r>
    <w:r>
      <w:t xml:space="preserve"> Inquiry report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23218" w14:textId="6344E880" w:rsidR="005225C0" w:rsidRDefault="007A4381">
    <w:pPr>
      <w:pStyle w:val="Header-KeylineRight"/>
    </w:pPr>
    <w:fldSimple w:instr="STYLEREF  &quot;Heading 1&quot;  \* MERGEFORMAT">
      <w:r w:rsidR="00FB1849">
        <w:rPr>
          <w:noProof/>
        </w:rPr>
        <w:t>About this inquiry</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69F1C" w14:textId="4107DBD8" w:rsidR="005225C0" w:rsidRDefault="005225C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528BB" w14:textId="018118AB" w:rsidR="00C158EA" w:rsidRDefault="00C158EA">
    <w:pPr>
      <w:pStyle w:val="Header-Keyline"/>
    </w:pPr>
    <w:r>
      <w:rPr>
        <w:noProof/>
      </w:rPr>
      <w:drawing>
        <wp:anchor distT="0" distB="0" distL="114300" distR="114300" simplePos="0" relativeHeight="251658241" behindDoc="1" locked="0" layoutInCell="1" allowOverlap="1" wp14:anchorId="4F28BB97" wp14:editId="50AC1B0A">
          <wp:simplePos x="0" y="0"/>
          <wp:positionH relativeFrom="page">
            <wp:align>left</wp:align>
          </wp:positionH>
          <wp:positionV relativeFrom="paragraph">
            <wp:posOffset>-501567</wp:posOffset>
          </wp:positionV>
          <wp:extent cx="7560000" cy="10681108"/>
          <wp:effectExtent l="0" t="0" r="3175" b="6350"/>
          <wp:wrapNone/>
          <wp:docPr id="14558528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34727"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sdt>
      <w:sdtPr>
        <w:rPr>
          <w:rStyle w:val="Strong"/>
        </w:rPr>
        <w:alias w:val="Title"/>
        <w:tag w:val=""/>
        <w:id w:val="620032662"/>
        <w:dataBinding w:prefixMappings="xmlns:ns0='http://purl.org/dc/elements/1.1/' xmlns:ns1='http://schemas.openxmlformats.org/package/2006/metadata/core-properties' " w:xpath="/ns1:coreProperties[1]/ns0:title[1]" w:storeItemID="{6C3C8BC8-F283-45AE-878A-BAB7291924A1}"/>
        <w:text/>
      </w:sdtPr>
      <w:sdtContent>
        <w:r w:rsidR="006D6A21">
          <w:rPr>
            <w:rStyle w:val="Strong"/>
          </w:rPr>
          <w:t>Inquiry report - Delivering quality care more efficiently</w:t>
        </w:r>
      </w:sdtContent>
    </w:sdt>
    <w:r>
      <w:t xml:space="preserve"> Inquiry report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31573" w14:textId="43B03E53" w:rsidR="005225C0" w:rsidRDefault="009D4488">
    <w:pPr>
      <w:pStyle w:val="Header-Keyline"/>
    </w:pPr>
    <w:r>
      <w:rPr>
        <w:rStyle w:val="Strong"/>
      </w:rPr>
      <w:t>Delivering quality care more efficiently</w:t>
    </w:r>
    <w:r w:rsidR="00332946">
      <w:rPr>
        <w:rStyle w:val="Strong"/>
      </w:rPr>
      <w:t xml:space="preserve"> </w:t>
    </w:r>
    <w:r w:rsidR="00332946" w:rsidRPr="00332946">
      <w:rPr>
        <w:rStyle w:val="Strong"/>
        <w:b w:val="0"/>
        <w:bCs w:val="0"/>
      </w:rPr>
      <w:t>Inquiry report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4E53" w14:textId="2A713E05" w:rsidR="005225C0" w:rsidRDefault="007A4381">
    <w:pPr>
      <w:pStyle w:val="Header-KeylineRight"/>
    </w:pPr>
    <w:fldSimple w:instr=" STYLEREF  &quot;Heading 1&quot;  \* MERGEFORMAT ">
      <w:r w:rsidR="00FB1849">
        <w:rPr>
          <w:noProof/>
        </w:rPr>
        <w:t>Reform of quality and safety regulation to support a more cohesive care economy</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6EBAD" w14:textId="118275CA" w:rsidR="005225C0" w:rsidRDefault="005225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CE044" w14:textId="29F4362A" w:rsidR="004F7BE2" w:rsidRDefault="007A4381" w:rsidP="004544D6">
    <w:pPr>
      <w:pStyle w:val="Header-KeylineRight"/>
    </w:pPr>
    <w:fldSimple w:instr="STYLEREF  &quot;Heading 1-no background&quot;  \* MERGEFORMAT">
      <w:r w:rsidR="00FB1849">
        <w:rPr>
          <w:noProof/>
        </w:rPr>
        <w:t>Transmittal letter</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1B84" w14:textId="30A1E7A9" w:rsidR="005225C0" w:rsidRPr="00A348CB" w:rsidRDefault="009D4488">
    <w:pPr>
      <w:pStyle w:val="Header-Keyline"/>
    </w:pPr>
    <w:r w:rsidRPr="00B40479">
      <w:rPr>
        <w:rStyle w:val="Strong"/>
      </w:rPr>
      <w:t>Delivering quality care more efficiently</w:t>
    </w:r>
    <w:r w:rsidR="007C5EED">
      <w:rPr>
        <w:rStyle w:val="Strong"/>
      </w:rPr>
      <w:t xml:space="preserve"> </w:t>
    </w:r>
    <w:r w:rsidR="007C5EED" w:rsidRPr="007C5EED">
      <w:rPr>
        <w:rStyle w:val="Strong"/>
        <w:b w:val="0"/>
        <w:bCs w:val="0"/>
      </w:rPr>
      <w:t>Inquiry report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82BDA" w14:textId="5CCF1B01" w:rsidR="005225C0" w:rsidRPr="00B40479" w:rsidRDefault="007A4381">
    <w:pPr>
      <w:pStyle w:val="Header-KeylineRight"/>
    </w:pPr>
    <w:fldSimple w:instr="STYLEREF  &quot;Heading 1&quot;  \* MERGEFORMAT">
      <w:r w:rsidR="00FB1849">
        <w:rPr>
          <w:noProof/>
        </w:rPr>
        <w:t>Embed collaborative commissioning to increase the integration of care services</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ED9DE" w14:textId="1D8D03F1" w:rsidR="005225C0" w:rsidRPr="00B40479" w:rsidRDefault="005225C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F60FB" w14:textId="77777777" w:rsidR="00767B60" w:rsidRPr="00A348CB" w:rsidRDefault="00767B60">
    <w:pPr>
      <w:pStyle w:val="Header-Keyline"/>
    </w:pPr>
    <w:r>
      <w:rPr>
        <w:noProof/>
      </w:rPr>
      <w:drawing>
        <wp:anchor distT="0" distB="0" distL="114300" distR="114300" simplePos="0" relativeHeight="251658242" behindDoc="1" locked="0" layoutInCell="1" allowOverlap="1" wp14:anchorId="17784B7D" wp14:editId="7CF4A6C4">
          <wp:simplePos x="0" y="0"/>
          <wp:positionH relativeFrom="page">
            <wp:align>left</wp:align>
          </wp:positionH>
          <wp:positionV relativeFrom="paragraph">
            <wp:posOffset>-501568</wp:posOffset>
          </wp:positionV>
          <wp:extent cx="7560000" cy="10681108"/>
          <wp:effectExtent l="0" t="0" r="3175" b="6350"/>
          <wp:wrapNone/>
          <wp:docPr id="23889145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34727"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r w:rsidRPr="00B40479">
      <w:rPr>
        <w:rStyle w:val="Strong"/>
      </w:rPr>
      <w:t>Delivering quality care more efficiently</w:t>
    </w:r>
    <w:r>
      <w:rPr>
        <w:rStyle w:val="Strong"/>
      </w:rPr>
      <w:t xml:space="preserve"> </w:t>
    </w:r>
    <w:r w:rsidRPr="007C5EED">
      <w:rPr>
        <w:rStyle w:val="Strong"/>
        <w:b w:val="0"/>
        <w:bCs w:val="0"/>
      </w:rPr>
      <w:t>Inquiry report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48F56" w14:textId="5BCA80E4" w:rsidR="005225C0" w:rsidRDefault="00B809D1">
    <w:pPr>
      <w:pStyle w:val="Header-Keyline"/>
    </w:pPr>
    <w:r>
      <w:rPr>
        <w:rStyle w:val="Strong"/>
      </w:rPr>
      <w:t>Delivering quality care more efficiently</w:t>
    </w:r>
    <w:r w:rsidR="009D4488">
      <w:t xml:space="preserve"> Inquiry report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4EFD" w14:textId="5C11C64A" w:rsidR="005225C0" w:rsidRDefault="007A4381">
    <w:pPr>
      <w:pStyle w:val="Header-KeylineRight"/>
    </w:pPr>
    <w:fldSimple w:instr=" STYLEREF  &quot;Heading 1&quot;  \* MERGEFORMAT ">
      <w:r w:rsidR="00FB1849">
        <w:rPr>
          <w:noProof/>
        </w:rPr>
        <w:t>A national framework to support government investment in prevention and early intervention</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43DE4" w14:textId="62F2B990" w:rsidR="005225C0" w:rsidRDefault="005225C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73540" w14:textId="45B67604" w:rsidR="006432A9" w:rsidRDefault="006432A9">
    <w:pPr>
      <w:pStyle w:val="Header-Keyline"/>
    </w:pPr>
    <w:r>
      <w:rPr>
        <w:rStyle w:val="Strong"/>
      </w:rPr>
      <w:t>Delivering quality care more efficiently</w:t>
    </w:r>
    <w:r>
      <w:t xml:space="preserve"> Inquiry report</w:t>
    </w:r>
    <w:r>
      <w:rPr>
        <w:noProof/>
      </w:rPr>
      <w:drawing>
        <wp:anchor distT="0" distB="0" distL="114300" distR="114300" simplePos="0" relativeHeight="251658246" behindDoc="1" locked="0" layoutInCell="1" allowOverlap="1" wp14:anchorId="06243415" wp14:editId="7782B0F6">
          <wp:simplePos x="0" y="0"/>
          <wp:positionH relativeFrom="column">
            <wp:posOffset>-720090</wp:posOffset>
          </wp:positionH>
          <wp:positionV relativeFrom="paragraph">
            <wp:posOffset>-504190</wp:posOffset>
          </wp:positionV>
          <wp:extent cx="7560000" cy="10681108"/>
          <wp:effectExtent l="0" t="0" r="3175" b="6350"/>
          <wp:wrapNone/>
          <wp:docPr id="94377589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75896"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20726" w14:textId="1D876BED" w:rsidR="000D1768" w:rsidRDefault="00692607">
    <w:pPr>
      <w:pStyle w:val="Header-Keyline"/>
    </w:pPr>
    <w:r>
      <w:rPr>
        <w:noProof/>
      </w:rPr>
      <w:drawing>
        <wp:anchor distT="0" distB="0" distL="114300" distR="114300" simplePos="0" relativeHeight="251658243" behindDoc="0" locked="0" layoutInCell="1" allowOverlap="1" wp14:anchorId="4E17E9F2" wp14:editId="620AE63F">
          <wp:simplePos x="0" y="0"/>
          <wp:positionH relativeFrom="column">
            <wp:posOffset>-709457</wp:posOffset>
          </wp:positionH>
          <wp:positionV relativeFrom="paragraph">
            <wp:posOffset>-504190</wp:posOffset>
          </wp:positionV>
          <wp:extent cx="7550785" cy="10677923"/>
          <wp:effectExtent l="0" t="0" r="0" b="9525"/>
          <wp:wrapNone/>
          <wp:docPr id="44133647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49252"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785" cy="10677923"/>
                  </a:xfrm>
                  <a:prstGeom prst="rect">
                    <a:avLst/>
                  </a:prstGeom>
                </pic:spPr>
              </pic:pic>
            </a:graphicData>
          </a:graphic>
          <wp14:sizeRelH relativeFrom="margin">
            <wp14:pctWidth>0</wp14:pctWidth>
          </wp14:sizeRelH>
          <wp14:sizeRelV relativeFrom="margin">
            <wp14:pctHeight>0</wp14:pctHeight>
          </wp14:sizeRelV>
        </wp:anchor>
      </w:drawing>
    </w:r>
    <w:r w:rsidR="000D1768">
      <w:rPr>
        <w:rStyle w:val="Strong"/>
      </w:rPr>
      <w:t>Delivering quality care more efficiently</w:t>
    </w:r>
    <w:r w:rsidR="000D1768">
      <w:t xml:space="preserve"> Inquiry report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AA0AD" w14:textId="77777777" w:rsidR="00E82ED9" w:rsidRDefault="00E82ED9" w:rsidP="00414635">
    <w:pPr>
      <w:pStyle w:val="Header"/>
      <w:spacing w:after="600"/>
    </w:pPr>
    <w:r>
      <w:rPr>
        <w:noProof/>
      </w:rPr>
      <w:drawing>
        <wp:anchor distT="0" distB="0" distL="114300" distR="114300" simplePos="0" relativeHeight="251658245" behindDoc="0" locked="0" layoutInCell="1" allowOverlap="1" wp14:anchorId="13830017" wp14:editId="40ECD2AC">
          <wp:simplePos x="0" y="0"/>
          <wp:positionH relativeFrom="column">
            <wp:posOffset>-720090</wp:posOffset>
          </wp:positionH>
          <wp:positionV relativeFrom="paragraph">
            <wp:posOffset>-502797</wp:posOffset>
          </wp:positionV>
          <wp:extent cx="7558276" cy="10688517"/>
          <wp:effectExtent l="0" t="0" r="5080" b="0"/>
          <wp:wrapNone/>
          <wp:docPr id="12002418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41816"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276" cy="1068851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4C18" w14:textId="1B6680FA" w:rsidR="00120DB2" w:rsidRDefault="00120DB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B0EEE" w14:textId="2B6774B8" w:rsidR="00C87D7F" w:rsidRDefault="00C87D7F">
    <w:pPr>
      <w:pStyle w:val="Header-Keyline"/>
    </w:pPr>
    <w:r>
      <w:rPr>
        <w:noProof/>
      </w:rPr>
      <w:drawing>
        <wp:anchor distT="0" distB="0" distL="114300" distR="114300" simplePos="0" relativeHeight="251658247" behindDoc="1" locked="0" layoutInCell="1" allowOverlap="1" wp14:anchorId="718CC562" wp14:editId="58841DA1">
          <wp:simplePos x="0" y="0"/>
          <wp:positionH relativeFrom="page">
            <wp:align>left</wp:align>
          </wp:positionH>
          <wp:positionV relativeFrom="paragraph">
            <wp:posOffset>-494120</wp:posOffset>
          </wp:positionV>
          <wp:extent cx="7560000" cy="10681108"/>
          <wp:effectExtent l="0" t="0" r="3175" b="6350"/>
          <wp:wrapNone/>
          <wp:docPr id="190182815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28156"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r>
      <w:rPr>
        <w:rStyle w:val="Strong"/>
      </w:rPr>
      <w:t>Delivering quality care more efficiently</w:t>
    </w:r>
    <w:r>
      <w:t xml:space="preserve"> Inquiry report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85DB4" w14:textId="7912FBD5" w:rsidR="003418A1" w:rsidRDefault="003418A1">
    <w:pPr>
      <w:pStyle w:val="Header-Keyline"/>
    </w:pPr>
    <w:r>
      <w:rPr>
        <w:rStyle w:val="Strong"/>
      </w:rPr>
      <w:t>Delivering quality care more efficiently</w:t>
    </w:r>
    <w:r>
      <w:t xml:space="preserve"> Inquiry report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E5F7E" w14:textId="19B76C39" w:rsidR="00B1419C" w:rsidRDefault="00B1419C" w:rsidP="00872C9E">
    <w:pPr>
      <w:pStyle w:val="Header-KeylineRight"/>
    </w:pPr>
    <w:r>
      <w:t xml:space="preserve">Public </w:t>
    </w:r>
    <w:r w:rsidR="00F4322A">
      <w:t>c</w:t>
    </w:r>
    <w:r>
      <w:t>onsultation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B78E2" w14:textId="1B6D97BF" w:rsidR="002E60EC" w:rsidRDefault="002E60EC">
    <w:pPr>
      <w:pStyle w:val="Header-Keyline"/>
    </w:pPr>
    <w:r>
      <w:rPr>
        <w:noProof/>
      </w:rPr>
      <w:drawing>
        <wp:anchor distT="0" distB="0" distL="114300" distR="114300" simplePos="0" relativeHeight="251658244" behindDoc="1" locked="0" layoutInCell="1" allowOverlap="1" wp14:anchorId="5663386D" wp14:editId="5DF234CD">
          <wp:simplePos x="0" y="0"/>
          <wp:positionH relativeFrom="page">
            <wp:align>right</wp:align>
          </wp:positionH>
          <wp:positionV relativeFrom="paragraph">
            <wp:posOffset>-501567</wp:posOffset>
          </wp:positionV>
          <wp:extent cx="7560000" cy="10681108"/>
          <wp:effectExtent l="0" t="0" r="3175" b="6350"/>
          <wp:wrapNone/>
          <wp:docPr id="43202160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49252"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r>
      <w:rPr>
        <w:rStyle w:val="Strong"/>
      </w:rPr>
      <w:t>Delivering quality care more efficiently</w:t>
    </w:r>
    <w:r>
      <w:t xml:space="preserve"> Inquiry report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159A" w14:textId="77777777" w:rsidR="002E60EC" w:rsidRDefault="002E60EC">
    <w:pPr>
      <w:pStyle w:val="Header-Keyline"/>
    </w:pPr>
    <w:r>
      <w:rPr>
        <w:rStyle w:val="Strong"/>
      </w:rPr>
      <w:t>Delivering quality care more efficiently</w:t>
    </w:r>
    <w:r>
      <w:t xml:space="preserve"> Inquiry report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42AB0" w14:textId="25B67658" w:rsidR="00AD281A" w:rsidRDefault="00AD281A" w:rsidP="00872C9E">
    <w:pPr>
      <w:pStyle w:val="Header-KeylineRight"/>
    </w:pPr>
    <w:r>
      <w:t>Technical appendix</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90623" w14:textId="06C04189" w:rsidR="0024398E" w:rsidRDefault="0024398E">
    <w:pPr>
      <w:pStyle w:val="Header-Keyline"/>
    </w:pPr>
    <w:r>
      <w:rPr>
        <w:rStyle w:val="Strong"/>
      </w:rPr>
      <w:t>Delivering quality care more efficiently</w:t>
    </w:r>
    <w:r>
      <w:t xml:space="preserve"> Inquiry report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F5AB6" w14:textId="582D0694" w:rsidR="0024398E" w:rsidRDefault="007A4381">
    <w:pPr>
      <w:pStyle w:val="Header-KeylineRight"/>
    </w:pPr>
    <w:fldSimple w:instr=" STYLEREF  &quot;Heading 1-no background&quot;  \* MERGEFORMAT ">
      <w:r w:rsidR="00FB1849">
        <w:rPr>
          <w:noProof/>
        </w:rPr>
        <w:t>Abbreviations</w:t>
      </w:r>
    </w:fldSimple>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B4D9C" w14:textId="77777777" w:rsidR="0024398E" w:rsidRDefault="0024398E">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16854" w14:textId="565180CA" w:rsidR="009622E2" w:rsidRDefault="009622E2">
    <w:pPr>
      <w:pStyle w:val="Header-Keyline"/>
    </w:pPr>
    <w:r>
      <w:rPr>
        <w:rStyle w:val="Strong"/>
      </w:rPr>
      <w:t>Delivering quality care more efficiently</w:t>
    </w:r>
    <w:r>
      <w:t xml:space="preserve"> Inquiry </w:t>
    </w:r>
    <w:r w:rsidR="007C5EED">
      <w:t>r</w:t>
    </w:r>
    <w:r>
      <w:t>eport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A559E" w14:textId="592A546A" w:rsidR="00120DB2" w:rsidRDefault="00F30A2D" w:rsidP="001B742F">
    <w:pPr>
      <w:pStyle w:val="Header-Keyline"/>
    </w:pPr>
    <w:r>
      <w:rPr>
        <w:rStyle w:val="Strong"/>
      </w:rPr>
      <w:t>Delivering quality care more efficiently</w:t>
    </w:r>
    <w:r w:rsidR="40EDF02D">
      <w:t xml:space="preserve"> </w:t>
    </w:r>
    <w:r w:rsidR="00E66F68">
      <w:t>I</w:t>
    </w:r>
    <w:r w:rsidR="40EDF02D">
      <w:t>nquiry report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997E9" w14:textId="746C826B" w:rsidR="009622E2" w:rsidRDefault="007A4381">
    <w:pPr>
      <w:pStyle w:val="Header-KeylineRight"/>
    </w:pPr>
    <w:fldSimple w:instr=" STYLEREF  &quot;Heading 1-no background&quot;  \* MERGEFORMAT ">
      <w:r w:rsidR="00FB1849">
        <w:rPr>
          <w:noProof/>
        </w:rPr>
        <w:t>References</w:t>
      </w:r>
    </w:fldSimple>
    <w:bookmarkStart w:id="108" w:name="_Toc215671154"/>
    <w:bookmarkEnd w:id="108"/>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0A27E" w14:textId="3214565C" w:rsidR="009622E2" w:rsidRDefault="009622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13C78" w14:textId="6E2B1577" w:rsidR="002736A5" w:rsidRDefault="007A4381" w:rsidP="004544D6">
    <w:pPr>
      <w:pStyle w:val="Header-KeylineRight"/>
    </w:pPr>
    <w:fldSimple w:instr="STYLEREF  &quot;Heading 1-no background&quot;  \* MERGEFORMAT">
      <w:r w:rsidR="00FB1849">
        <w:rPr>
          <w:noProof/>
        </w:rPr>
        <w:t>Terms of reference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1F449" w14:textId="1BA7F39F" w:rsidR="00120DB2" w:rsidRDefault="00120DB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957CF" w14:textId="450C11EF" w:rsidR="005225C0" w:rsidRDefault="00000000">
    <w:pPr>
      <w:pStyle w:val="Header-Keyline"/>
    </w:pPr>
    <w:sdt>
      <w:sdtPr>
        <w:rPr>
          <w:rStyle w:val="Strong"/>
        </w:rPr>
        <w:alias w:val="Title"/>
        <w:tag w:val=""/>
        <w:id w:val="-1862499648"/>
        <w:dataBinding w:prefixMappings="xmlns:ns0='http://purl.org/dc/elements/1.1/' xmlns:ns1='http://schemas.openxmlformats.org/package/2006/metadata/core-properties' " w:xpath="/ns1:coreProperties[1]/ns0:title[1]" w:storeItemID="{6C3C8BC8-F283-45AE-878A-BAB7291924A1}"/>
        <w:text/>
      </w:sdtPr>
      <w:sdtContent>
        <w:r w:rsidR="006D6A21">
          <w:rPr>
            <w:rStyle w:val="Strong"/>
          </w:rPr>
          <w:t>Inquiry report - Delivering quality care more efficiently</w:t>
        </w:r>
      </w:sdtContent>
    </w:sdt>
    <w:r w:rsidR="009D4488">
      <w:t xml:space="preserve"> Inquiry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B7EED" w14:textId="2260BDB1" w:rsidR="005225C0" w:rsidRDefault="007A4381">
    <w:pPr>
      <w:pStyle w:val="Header-KeylineRight"/>
    </w:pPr>
    <w:fldSimple w:instr=" STYLEREF  &quot;Heading 1-no background&quot;  \* MERGEFORMAT ">
      <w:r w:rsidR="00FB1849">
        <w:rPr>
          <w:noProof/>
        </w:rPr>
        <w:t>Contents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AE0AD" w14:textId="21798CE2" w:rsidR="005225C0" w:rsidRDefault="005225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63F8AE7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A27FDE"/>
    <w:multiLevelType w:val="hybridMultilevel"/>
    <w:tmpl w:val="97F87374"/>
    <w:lvl w:ilvl="0" w:tplc="BB4027D0">
      <w:start w:val="1"/>
      <w:numFmt w:val="decimal"/>
      <w:lvlText w:val="%1."/>
      <w:lvlJc w:val="left"/>
      <w:pPr>
        <w:ind w:left="1320" w:hanging="360"/>
      </w:pPr>
    </w:lvl>
    <w:lvl w:ilvl="1" w:tplc="B4D4B6DA">
      <w:start w:val="1"/>
      <w:numFmt w:val="decimal"/>
      <w:lvlText w:val="%2."/>
      <w:lvlJc w:val="left"/>
      <w:pPr>
        <w:ind w:left="1320" w:hanging="360"/>
      </w:pPr>
    </w:lvl>
    <w:lvl w:ilvl="2" w:tplc="6C682CC8">
      <w:start w:val="1"/>
      <w:numFmt w:val="decimal"/>
      <w:lvlText w:val="%3."/>
      <w:lvlJc w:val="left"/>
      <w:pPr>
        <w:ind w:left="1320" w:hanging="360"/>
      </w:pPr>
    </w:lvl>
    <w:lvl w:ilvl="3" w:tplc="49FE1AB8">
      <w:start w:val="1"/>
      <w:numFmt w:val="decimal"/>
      <w:lvlText w:val="%4."/>
      <w:lvlJc w:val="left"/>
      <w:pPr>
        <w:ind w:left="1320" w:hanging="360"/>
      </w:pPr>
    </w:lvl>
    <w:lvl w:ilvl="4" w:tplc="81CE1CEE">
      <w:start w:val="1"/>
      <w:numFmt w:val="decimal"/>
      <w:lvlText w:val="%5."/>
      <w:lvlJc w:val="left"/>
      <w:pPr>
        <w:ind w:left="1320" w:hanging="360"/>
      </w:pPr>
    </w:lvl>
    <w:lvl w:ilvl="5" w:tplc="1F3806F2">
      <w:start w:val="1"/>
      <w:numFmt w:val="decimal"/>
      <w:lvlText w:val="%6."/>
      <w:lvlJc w:val="left"/>
      <w:pPr>
        <w:ind w:left="1320" w:hanging="360"/>
      </w:pPr>
    </w:lvl>
    <w:lvl w:ilvl="6" w:tplc="B1CA2128">
      <w:start w:val="1"/>
      <w:numFmt w:val="decimal"/>
      <w:lvlText w:val="%7."/>
      <w:lvlJc w:val="left"/>
      <w:pPr>
        <w:ind w:left="1320" w:hanging="360"/>
      </w:pPr>
    </w:lvl>
    <w:lvl w:ilvl="7" w:tplc="4692D922">
      <w:start w:val="1"/>
      <w:numFmt w:val="decimal"/>
      <w:lvlText w:val="%8."/>
      <w:lvlJc w:val="left"/>
      <w:pPr>
        <w:ind w:left="1320" w:hanging="360"/>
      </w:pPr>
    </w:lvl>
    <w:lvl w:ilvl="8" w:tplc="A46675D8">
      <w:start w:val="1"/>
      <w:numFmt w:val="decimal"/>
      <w:lvlText w:val="%9."/>
      <w:lvlJc w:val="left"/>
      <w:pPr>
        <w:ind w:left="1320" w:hanging="360"/>
      </w:p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DD83D83"/>
    <w:multiLevelType w:val="hybridMultilevel"/>
    <w:tmpl w:val="FC8E98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1CD1DB7"/>
    <w:multiLevelType w:val="hybridMultilevel"/>
    <w:tmpl w:val="4EAC93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C1E61C7"/>
    <w:multiLevelType w:val="hybridMultilevel"/>
    <w:tmpl w:val="F0661F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D665246"/>
    <w:multiLevelType w:val="multilevel"/>
    <w:tmpl w:val="55366B42"/>
    <w:numStyleLink w:val="LetteredList"/>
  </w:abstractNum>
  <w:abstractNum w:abstractNumId="16" w15:restartNumberingAfterBreak="0">
    <w:nsid w:val="2DFE29AF"/>
    <w:multiLevelType w:val="multilevel"/>
    <w:tmpl w:val="72768BCE"/>
    <w:numStyleLink w:val="AppendixHeadingList"/>
  </w:abstractNum>
  <w:abstractNum w:abstractNumId="17"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3CC0243"/>
    <w:multiLevelType w:val="hybridMultilevel"/>
    <w:tmpl w:val="EE6EAB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745420A"/>
    <w:multiLevelType w:val="hybridMultilevel"/>
    <w:tmpl w:val="802EFABA"/>
    <w:lvl w:ilvl="0" w:tplc="C9C652D8">
      <w:start w:val="1"/>
      <w:numFmt w:val="bullet"/>
      <w:lvlText w:val=""/>
      <w:lvlJc w:val="left"/>
      <w:pPr>
        <w:ind w:left="417" w:hanging="360"/>
      </w:pPr>
      <w:rPr>
        <w:rFonts w:ascii="Symbol" w:hAnsi="Symbol" w:hint="default"/>
      </w:rPr>
    </w:lvl>
    <w:lvl w:ilvl="1" w:tplc="B720FA2E" w:tentative="1">
      <w:start w:val="1"/>
      <w:numFmt w:val="bullet"/>
      <w:lvlText w:val="o"/>
      <w:lvlJc w:val="left"/>
      <w:pPr>
        <w:ind w:left="1137" w:hanging="360"/>
      </w:pPr>
      <w:rPr>
        <w:rFonts w:ascii="Courier New" w:hAnsi="Courier New" w:hint="default"/>
      </w:rPr>
    </w:lvl>
    <w:lvl w:ilvl="2" w:tplc="3A342D02" w:tentative="1">
      <w:start w:val="1"/>
      <w:numFmt w:val="bullet"/>
      <w:lvlText w:val=""/>
      <w:lvlJc w:val="left"/>
      <w:pPr>
        <w:ind w:left="1857" w:hanging="360"/>
      </w:pPr>
      <w:rPr>
        <w:rFonts w:ascii="Wingdings" w:hAnsi="Wingdings" w:hint="default"/>
      </w:rPr>
    </w:lvl>
    <w:lvl w:ilvl="3" w:tplc="FDDA2CBA" w:tentative="1">
      <w:start w:val="1"/>
      <w:numFmt w:val="bullet"/>
      <w:lvlText w:val=""/>
      <w:lvlJc w:val="left"/>
      <w:pPr>
        <w:ind w:left="2577" w:hanging="360"/>
      </w:pPr>
      <w:rPr>
        <w:rFonts w:ascii="Symbol" w:hAnsi="Symbol" w:hint="default"/>
      </w:rPr>
    </w:lvl>
    <w:lvl w:ilvl="4" w:tplc="29C27AC6" w:tentative="1">
      <w:start w:val="1"/>
      <w:numFmt w:val="bullet"/>
      <w:lvlText w:val="o"/>
      <w:lvlJc w:val="left"/>
      <w:pPr>
        <w:ind w:left="3297" w:hanging="360"/>
      </w:pPr>
      <w:rPr>
        <w:rFonts w:ascii="Courier New" w:hAnsi="Courier New" w:hint="default"/>
      </w:rPr>
    </w:lvl>
    <w:lvl w:ilvl="5" w:tplc="77BE55E6" w:tentative="1">
      <w:start w:val="1"/>
      <w:numFmt w:val="bullet"/>
      <w:lvlText w:val=""/>
      <w:lvlJc w:val="left"/>
      <w:pPr>
        <w:ind w:left="4017" w:hanging="360"/>
      </w:pPr>
      <w:rPr>
        <w:rFonts w:ascii="Wingdings" w:hAnsi="Wingdings" w:hint="default"/>
      </w:rPr>
    </w:lvl>
    <w:lvl w:ilvl="6" w:tplc="DA5EEBE4" w:tentative="1">
      <w:start w:val="1"/>
      <w:numFmt w:val="bullet"/>
      <w:lvlText w:val=""/>
      <w:lvlJc w:val="left"/>
      <w:pPr>
        <w:ind w:left="4737" w:hanging="360"/>
      </w:pPr>
      <w:rPr>
        <w:rFonts w:ascii="Symbol" w:hAnsi="Symbol" w:hint="default"/>
      </w:rPr>
    </w:lvl>
    <w:lvl w:ilvl="7" w:tplc="21CE1ED0" w:tentative="1">
      <w:start w:val="1"/>
      <w:numFmt w:val="bullet"/>
      <w:lvlText w:val="o"/>
      <w:lvlJc w:val="left"/>
      <w:pPr>
        <w:ind w:left="5457" w:hanging="360"/>
      </w:pPr>
      <w:rPr>
        <w:rFonts w:ascii="Courier New" w:hAnsi="Courier New" w:hint="default"/>
      </w:rPr>
    </w:lvl>
    <w:lvl w:ilvl="8" w:tplc="722C9564" w:tentative="1">
      <w:start w:val="1"/>
      <w:numFmt w:val="bullet"/>
      <w:lvlText w:val=""/>
      <w:lvlJc w:val="left"/>
      <w:pPr>
        <w:ind w:left="6177" w:hanging="360"/>
      </w:pPr>
      <w:rPr>
        <w:rFonts w:ascii="Wingdings" w:hAnsi="Wingdings" w:hint="default"/>
      </w:rPr>
    </w:lvl>
  </w:abstractNum>
  <w:abstractNum w:abstractNumId="21" w15:restartNumberingAfterBreak="0">
    <w:nsid w:val="5A1A66F3"/>
    <w:multiLevelType w:val="hybridMultilevel"/>
    <w:tmpl w:val="698ED7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4" w15:restartNumberingAfterBreak="0">
    <w:nsid w:val="761B4A1B"/>
    <w:multiLevelType w:val="multilevel"/>
    <w:tmpl w:val="4F48000A"/>
    <w:numStyleLink w:val="Alphalist"/>
  </w:abstractNum>
  <w:num w:numId="1" w16cid:durableId="1220020794">
    <w:abstractNumId w:val="10"/>
  </w:num>
  <w:num w:numId="2" w16cid:durableId="9335037">
    <w:abstractNumId w:val="4"/>
  </w:num>
  <w:num w:numId="3" w16cid:durableId="1770274636">
    <w:abstractNumId w:val="14"/>
  </w:num>
  <w:num w:numId="4" w16cid:durableId="2123768426">
    <w:abstractNumId w:val="22"/>
  </w:num>
  <w:num w:numId="5" w16cid:durableId="2147164343">
    <w:abstractNumId w:val="23"/>
  </w:num>
  <w:num w:numId="6" w16cid:durableId="1395083784">
    <w:abstractNumId w:val="18"/>
  </w:num>
  <w:num w:numId="7" w16cid:durableId="956329250">
    <w:abstractNumId w:val="16"/>
  </w:num>
  <w:num w:numId="8" w16cid:durableId="1611275472">
    <w:abstractNumId w:val="11"/>
  </w:num>
  <w:num w:numId="9" w16cid:durableId="360713607">
    <w:abstractNumId w:val="15"/>
  </w:num>
  <w:num w:numId="10" w16cid:durableId="1388069260">
    <w:abstractNumId w:val="24"/>
  </w:num>
  <w:num w:numId="11" w16cid:durableId="814882481">
    <w:abstractNumId w:val="0"/>
  </w:num>
  <w:num w:numId="12" w16cid:durableId="2008705549">
    <w:abstractNumId w:val="5"/>
  </w:num>
  <w:num w:numId="13" w16cid:durableId="490563872">
    <w:abstractNumId w:val="12"/>
  </w:num>
  <w:num w:numId="14" w16cid:durableId="1213885368">
    <w:abstractNumId w:val="8"/>
  </w:num>
  <w:num w:numId="15" w16cid:durableId="1120606403">
    <w:abstractNumId w:val="7"/>
  </w:num>
  <w:num w:numId="16" w16cid:durableId="695930222">
    <w:abstractNumId w:val="2"/>
  </w:num>
  <w:num w:numId="17" w16cid:durableId="1948732313">
    <w:abstractNumId w:val="17"/>
  </w:num>
  <w:num w:numId="18" w16cid:durableId="1589658487">
    <w:abstractNumId w:val="7"/>
  </w:num>
  <w:num w:numId="19" w16cid:durableId="527334377">
    <w:abstractNumId w:val="21"/>
  </w:num>
  <w:num w:numId="20" w16cid:durableId="42488675">
    <w:abstractNumId w:val="19"/>
  </w:num>
  <w:num w:numId="21" w16cid:durableId="1843469740">
    <w:abstractNumId w:val="9"/>
  </w:num>
  <w:num w:numId="22" w16cid:durableId="21245471">
    <w:abstractNumId w:val="6"/>
  </w:num>
  <w:num w:numId="23" w16cid:durableId="2069955163">
    <w:abstractNumId w:val="13"/>
  </w:num>
  <w:num w:numId="24" w16cid:durableId="1870485658">
    <w:abstractNumId w:val="20"/>
  </w:num>
  <w:num w:numId="25" w16cid:durableId="481312250">
    <w:abstractNumId w:val="7"/>
  </w:num>
  <w:num w:numId="26" w16cid:durableId="1047098061">
    <w:abstractNumId w:val="7"/>
  </w:num>
  <w:num w:numId="27" w16cid:durableId="1252080283">
    <w:abstractNumId w:val="7"/>
  </w:num>
  <w:num w:numId="28" w16cid:durableId="1320574209">
    <w:abstractNumId w:val="7"/>
  </w:num>
  <w:num w:numId="29" w16cid:durableId="1843350259">
    <w:abstractNumId w:val="7"/>
  </w:num>
  <w:num w:numId="30" w16cid:durableId="2143378683">
    <w:abstractNumId w:val="7"/>
  </w:num>
  <w:num w:numId="31" w16cid:durableId="1711763212">
    <w:abstractNumId w:val="7"/>
  </w:num>
  <w:num w:numId="32" w16cid:durableId="1800222641">
    <w:abstractNumId w:val="1"/>
  </w:num>
  <w:num w:numId="33" w16cid:durableId="1480733952">
    <w:abstractNumId w:val="7"/>
  </w:num>
  <w:num w:numId="34" w16cid:durableId="2104758069">
    <w:abstractNumId w:val="7"/>
  </w:num>
  <w:num w:numId="35" w16cid:durableId="491262521">
    <w:abstractNumId w:val="7"/>
  </w:num>
  <w:num w:numId="36" w16cid:durableId="962886671">
    <w:abstractNumId w:val="3"/>
  </w:num>
  <w:num w:numId="37" w16cid:durableId="17678455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44306200">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3D7"/>
    <w:rsid w:val="0000003A"/>
    <w:rsid w:val="00000075"/>
    <w:rsid w:val="00000364"/>
    <w:rsid w:val="0000075C"/>
    <w:rsid w:val="000009A2"/>
    <w:rsid w:val="00000C19"/>
    <w:rsid w:val="00000F3C"/>
    <w:rsid w:val="000013F0"/>
    <w:rsid w:val="000016AC"/>
    <w:rsid w:val="000017EA"/>
    <w:rsid w:val="000018D7"/>
    <w:rsid w:val="0000226A"/>
    <w:rsid w:val="000026C5"/>
    <w:rsid w:val="00002B4E"/>
    <w:rsid w:val="00002E6C"/>
    <w:rsid w:val="00003053"/>
    <w:rsid w:val="000030FC"/>
    <w:rsid w:val="00003322"/>
    <w:rsid w:val="0000404D"/>
    <w:rsid w:val="00004489"/>
    <w:rsid w:val="000047AB"/>
    <w:rsid w:val="000054C0"/>
    <w:rsid w:val="00005A10"/>
    <w:rsid w:val="00005C79"/>
    <w:rsid w:val="00005CEF"/>
    <w:rsid w:val="00005DDB"/>
    <w:rsid w:val="00005F72"/>
    <w:rsid w:val="00005F9E"/>
    <w:rsid w:val="000064E4"/>
    <w:rsid w:val="00006BBF"/>
    <w:rsid w:val="00006C39"/>
    <w:rsid w:val="0000787F"/>
    <w:rsid w:val="0000797E"/>
    <w:rsid w:val="00007FB8"/>
    <w:rsid w:val="00010005"/>
    <w:rsid w:val="000103DC"/>
    <w:rsid w:val="00010950"/>
    <w:rsid w:val="00010A9B"/>
    <w:rsid w:val="00010F9B"/>
    <w:rsid w:val="000111EF"/>
    <w:rsid w:val="0001150B"/>
    <w:rsid w:val="00011523"/>
    <w:rsid w:val="000115A7"/>
    <w:rsid w:val="00012091"/>
    <w:rsid w:val="00012A37"/>
    <w:rsid w:val="00012FD6"/>
    <w:rsid w:val="00013E41"/>
    <w:rsid w:val="00014022"/>
    <w:rsid w:val="00014A0B"/>
    <w:rsid w:val="00014BDC"/>
    <w:rsid w:val="00014FC1"/>
    <w:rsid w:val="00015D7A"/>
    <w:rsid w:val="00015DB9"/>
    <w:rsid w:val="00016226"/>
    <w:rsid w:val="00016C5B"/>
    <w:rsid w:val="000170CB"/>
    <w:rsid w:val="00017AAB"/>
    <w:rsid w:val="00017C18"/>
    <w:rsid w:val="000204FC"/>
    <w:rsid w:val="000205B5"/>
    <w:rsid w:val="0002073D"/>
    <w:rsid w:val="000209FF"/>
    <w:rsid w:val="0002128D"/>
    <w:rsid w:val="000217EB"/>
    <w:rsid w:val="00021BB6"/>
    <w:rsid w:val="00021C3A"/>
    <w:rsid w:val="000224F5"/>
    <w:rsid w:val="000227ED"/>
    <w:rsid w:val="00022A13"/>
    <w:rsid w:val="00022F3D"/>
    <w:rsid w:val="00023E90"/>
    <w:rsid w:val="000242D1"/>
    <w:rsid w:val="00024414"/>
    <w:rsid w:val="00024E26"/>
    <w:rsid w:val="00024E2D"/>
    <w:rsid w:val="00024E8F"/>
    <w:rsid w:val="000250C2"/>
    <w:rsid w:val="00025AA8"/>
    <w:rsid w:val="00025BE3"/>
    <w:rsid w:val="00025CF1"/>
    <w:rsid w:val="00025DFA"/>
    <w:rsid w:val="00026153"/>
    <w:rsid w:val="000262EB"/>
    <w:rsid w:val="00026933"/>
    <w:rsid w:val="00026C04"/>
    <w:rsid w:val="000270B0"/>
    <w:rsid w:val="000274CE"/>
    <w:rsid w:val="000276CE"/>
    <w:rsid w:val="0002781D"/>
    <w:rsid w:val="000300AF"/>
    <w:rsid w:val="000307A4"/>
    <w:rsid w:val="000307CD"/>
    <w:rsid w:val="0003103F"/>
    <w:rsid w:val="000316D8"/>
    <w:rsid w:val="000317B7"/>
    <w:rsid w:val="00031B4C"/>
    <w:rsid w:val="000324B2"/>
    <w:rsid w:val="000331E4"/>
    <w:rsid w:val="00033239"/>
    <w:rsid w:val="0003338D"/>
    <w:rsid w:val="000333BC"/>
    <w:rsid w:val="00033527"/>
    <w:rsid w:val="00033619"/>
    <w:rsid w:val="000339FE"/>
    <w:rsid w:val="00033A04"/>
    <w:rsid w:val="000348E6"/>
    <w:rsid w:val="00034B6D"/>
    <w:rsid w:val="00035457"/>
    <w:rsid w:val="0003554B"/>
    <w:rsid w:val="00035724"/>
    <w:rsid w:val="00035B90"/>
    <w:rsid w:val="00036168"/>
    <w:rsid w:val="00036903"/>
    <w:rsid w:val="00037126"/>
    <w:rsid w:val="0003722F"/>
    <w:rsid w:val="00037E27"/>
    <w:rsid w:val="00037FA2"/>
    <w:rsid w:val="000401B2"/>
    <w:rsid w:val="00040632"/>
    <w:rsid w:val="000407C6"/>
    <w:rsid w:val="000409BF"/>
    <w:rsid w:val="000409FD"/>
    <w:rsid w:val="00041157"/>
    <w:rsid w:val="0004141F"/>
    <w:rsid w:val="0004151B"/>
    <w:rsid w:val="000416D5"/>
    <w:rsid w:val="00041DF9"/>
    <w:rsid w:val="00042446"/>
    <w:rsid w:val="00042C8E"/>
    <w:rsid w:val="000433B1"/>
    <w:rsid w:val="000439E6"/>
    <w:rsid w:val="00044499"/>
    <w:rsid w:val="000446F0"/>
    <w:rsid w:val="000446F6"/>
    <w:rsid w:val="0004491B"/>
    <w:rsid w:val="00044BF9"/>
    <w:rsid w:val="00044EB8"/>
    <w:rsid w:val="000451AE"/>
    <w:rsid w:val="000451B5"/>
    <w:rsid w:val="000459C5"/>
    <w:rsid w:val="000460CC"/>
    <w:rsid w:val="0004620B"/>
    <w:rsid w:val="000462F7"/>
    <w:rsid w:val="0004650D"/>
    <w:rsid w:val="00046990"/>
    <w:rsid w:val="00046CE0"/>
    <w:rsid w:val="00046D0D"/>
    <w:rsid w:val="00047058"/>
    <w:rsid w:val="00047246"/>
    <w:rsid w:val="000477B9"/>
    <w:rsid w:val="00047894"/>
    <w:rsid w:val="00047F58"/>
    <w:rsid w:val="000502A2"/>
    <w:rsid w:val="00050522"/>
    <w:rsid w:val="00050D32"/>
    <w:rsid w:val="0005151B"/>
    <w:rsid w:val="0005161E"/>
    <w:rsid w:val="000517C7"/>
    <w:rsid w:val="00051819"/>
    <w:rsid w:val="0005185C"/>
    <w:rsid w:val="0005188F"/>
    <w:rsid w:val="000525D6"/>
    <w:rsid w:val="00052937"/>
    <w:rsid w:val="0005301A"/>
    <w:rsid w:val="00053062"/>
    <w:rsid w:val="000530FC"/>
    <w:rsid w:val="00053157"/>
    <w:rsid w:val="000534DE"/>
    <w:rsid w:val="00053AC7"/>
    <w:rsid w:val="00053FF9"/>
    <w:rsid w:val="00054AB0"/>
    <w:rsid w:val="00054B97"/>
    <w:rsid w:val="00054C95"/>
    <w:rsid w:val="000551DF"/>
    <w:rsid w:val="000551E9"/>
    <w:rsid w:val="000561CF"/>
    <w:rsid w:val="000566D4"/>
    <w:rsid w:val="0005708A"/>
    <w:rsid w:val="00057458"/>
    <w:rsid w:val="0005774F"/>
    <w:rsid w:val="000579EA"/>
    <w:rsid w:val="00057C5D"/>
    <w:rsid w:val="00057D17"/>
    <w:rsid w:val="00057F89"/>
    <w:rsid w:val="00060592"/>
    <w:rsid w:val="00060911"/>
    <w:rsid w:val="00060C39"/>
    <w:rsid w:val="00061A90"/>
    <w:rsid w:val="000620B2"/>
    <w:rsid w:val="00062342"/>
    <w:rsid w:val="000629F8"/>
    <w:rsid w:val="00062A44"/>
    <w:rsid w:val="00062C5E"/>
    <w:rsid w:val="00063350"/>
    <w:rsid w:val="000633D5"/>
    <w:rsid w:val="000635BB"/>
    <w:rsid w:val="000635E1"/>
    <w:rsid w:val="00063882"/>
    <w:rsid w:val="000640DF"/>
    <w:rsid w:val="0006452E"/>
    <w:rsid w:val="000645B9"/>
    <w:rsid w:val="0006536F"/>
    <w:rsid w:val="000657D6"/>
    <w:rsid w:val="000657ED"/>
    <w:rsid w:val="0006597D"/>
    <w:rsid w:val="000663CD"/>
    <w:rsid w:val="00066442"/>
    <w:rsid w:val="000669C3"/>
    <w:rsid w:val="00066FEC"/>
    <w:rsid w:val="00067FBD"/>
    <w:rsid w:val="000708E5"/>
    <w:rsid w:val="00071568"/>
    <w:rsid w:val="00071E55"/>
    <w:rsid w:val="000724AE"/>
    <w:rsid w:val="00072AE5"/>
    <w:rsid w:val="00072CB8"/>
    <w:rsid w:val="00072DA7"/>
    <w:rsid w:val="00073123"/>
    <w:rsid w:val="00074D49"/>
    <w:rsid w:val="00074F88"/>
    <w:rsid w:val="000750E8"/>
    <w:rsid w:val="0007560C"/>
    <w:rsid w:val="000757AE"/>
    <w:rsid w:val="00075A07"/>
    <w:rsid w:val="000763DF"/>
    <w:rsid w:val="00076461"/>
    <w:rsid w:val="000767CA"/>
    <w:rsid w:val="0007685B"/>
    <w:rsid w:val="000768B5"/>
    <w:rsid w:val="00077017"/>
    <w:rsid w:val="0007733E"/>
    <w:rsid w:val="000775B6"/>
    <w:rsid w:val="0007776A"/>
    <w:rsid w:val="000777B2"/>
    <w:rsid w:val="00077A76"/>
    <w:rsid w:val="00077B26"/>
    <w:rsid w:val="00077BA7"/>
    <w:rsid w:val="00077D08"/>
    <w:rsid w:val="00077EAA"/>
    <w:rsid w:val="0008037D"/>
    <w:rsid w:val="0008046F"/>
    <w:rsid w:val="000805E1"/>
    <w:rsid w:val="000808E3"/>
    <w:rsid w:val="00080AFD"/>
    <w:rsid w:val="000813D6"/>
    <w:rsid w:val="00082158"/>
    <w:rsid w:val="000824F4"/>
    <w:rsid w:val="00082952"/>
    <w:rsid w:val="00083A29"/>
    <w:rsid w:val="00083D2E"/>
    <w:rsid w:val="00083F51"/>
    <w:rsid w:val="00084536"/>
    <w:rsid w:val="00084660"/>
    <w:rsid w:val="000847AC"/>
    <w:rsid w:val="00084825"/>
    <w:rsid w:val="00084BB4"/>
    <w:rsid w:val="00085290"/>
    <w:rsid w:val="0008547F"/>
    <w:rsid w:val="000855E7"/>
    <w:rsid w:val="00085A23"/>
    <w:rsid w:val="00085E5E"/>
    <w:rsid w:val="00085FB9"/>
    <w:rsid w:val="0008602D"/>
    <w:rsid w:val="000865E7"/>
    <w:rsid w:val="0008661B"/>
    <w:rsid w:val="00086A11"/>
    <w:rsid w:val="00086DD6"/>
    <w:rsid w:val="00087381"/>
    <w:rsid w:val="000876D5"/>
    <w:rsid w:val="00087796"/>
    <w:rsid w:val="00087EF7"/>
    <w:rsid w:val="000908A6"/>
    <w:rsid w:val="00090DE0"/>
    <w:rsid w:val="00091265"/>
    <w:rsid w:val="00091286"/>
    <w:rsid w:val="00091DEE"/>
    <w:rsid w:val="00091F37"/>
    <w:rsid w:val="00091F67"/>
    <w:rsid w:val="00092082"/>
    <w:rsid w:val="000923D4"/>
    <w:rsid w:val="00092B31"/>
    <w:rsid w:val="00092F63"/>
    <w:rsid w:val="0009447E"/>
    <w:rsid w:val="00094D53"/>
    <w:rsid w:val="00095190"/>
    <w:rsid w:val="0009561D"/>
    <w:rsid w:val="00095CFF"/>
    <w:rsid w:val="00096034"/>
    <w:rsid w:val="000963C1"/>
    <w:rsid w:val="000967EE"/>
    <w:rsid w:val="00096878"/>
    <w:rsid w:val="0009692F"/>
    <w:rsid w:val="00096B6E"/>
    <w:rsid w:val="00096DC3"/>
    <w:rsid w:val="00097744"/>
    <w:rsid w:val="000A05BB"/>
    <w:rsid w:val="000A077F"/>
    <w:rsid w:val="000A0970"/>
    <w:rsid w:val="000A0F08"/>
    <w:rsid w:val="000A14C3"/>
    <w:rsid w:val="000A1609"/>
    <w:rsid w:val="000A1F2C"/>
    <w:rsid w:val="000A1F9B"/>
    <w:rsid w:val="000A1FAE"/>
    <w:rsid w:val="000A24EB"/>
    <w:rsid w:val="000A2B71"/>
    <w:rsid w:val="000A2FF4"/>
    <w:rsid w:val="000A3345"/>
    <w:rsid w:val="000A3531"/>
    <w:rsid w:val="000A37C9"/>
    <w:rsid w:val="000A37E9"/>
    <w:rsid w:val="000A38AA"/>
    <w:rsid w:val="000A3E6B"/>
    <w:rsid w:val="000A3E9B"/>
    <w:rsid w:val="000A3F9F"/>
    <w:rsid w:val="000A4058"/>
    <w:rsid w:val="000A4073"/>
    <w:rsid w:val="000A4485"/>
    <w:rsid w:val="000A490E"/>
    <w:rsid w:val="000A4B75"/>
    <w:rsid w:val="000A4E0F"/>
    <w:rsid w:val="000A546F"/>
    <w:rsid w:val="000A5483"/>
    <w:rsid w:val="000A5A20"/>
    <w:rsid w:val="000A67BE"/>
    <w:rsid w:val="000A6A61"/>
    <w:rsid w:val="000A74AD"/>
    <w:rsid w:val="000A7616"/>
    <w:rsid w:val="000A79D1"/>
    <w:rsid w:val="000B0BFC"/>
    <w:rsid w:val="000B1619"/>
    <w:rsid w:val="000B18D8"/>
    <w:rsid w:val="000B1967"/>
    <w:rsid w:val="000B333E"/>
    <w:rsid w:val="000B35C1"/>
    <w:rsid w:val="000B3676"/>
    <w:rsid w:val="000B3B90"/>
    <w:rsid w:val="000B3DEF"/>
    <w:rsid w:val="000B3E12"/>
    <w:rsid w:val="000B464B"/>
    <w:rsid w:val="000B4744"/>
    <w:rsid w:val="000B497F"/>
    <w:rsid w:val="000B4A72"/>
    <w:rsid w:val="000B4B5B"/>
    <w:rsid w:val="000B4E62"/>
    <w:rsid w:val="000B4EC2"/>
    <w:rsid w:val="000B5105"/>
    <w:rsid w:val="000B538D"/>
    <w:rsid w:val="000B540F"/>
    <w:rsid w:val="000B584A"/>
    <w:rsid w:val="000B76A1"/>
    <w:rsid w:val="000B7F5B"/>
    <w:rsid w:val="000C02B2"/>
    <w:rsid w:val="000C0A96"/>
    <w:rsid w:val="000C0DD2"/>
    <w:rsid w:val="000C109B"/>
    <w:rsid w:val="000C1C08"/>
    <w:rsid w:val="000C1C1E"/>
    <w:rsid w:val="000C1FE1"/>
    <w:rsid w:val="000C220D"/>
    <w:rsid w:val="000C2298"/>
    <w:rsid w:val="000C2A96"/>
    <w:rsid w:val="000C2F26"/>
    <w:rsid w:val="000C2F8F"/>
    <w:rsid w:val="000C34F5"/>
    <w:rsid w:val="000C39C6"/>
    <w:rsid w:val="000C3D43"/>
    <w:rsid w:val="000C3F88"/>
    <w:rsid w:val="000C41C9"/>
    <w:rsid w:val="000C4516"/>
    <w:rsid w:val="000C489B"/>
    <w:rsid w:val="000C4DF5"/>
    <w:rsid w:val="000C5400"/>
    <w:rsid w:val="000C54E5"/>
    <w:rsid w:val="000C5603"/>
    <w:rsid w:val="000C5619"/>
    <w:rsid w:val="000C5A1B"/>
    <w:rsid w:val="000C5F2B"/>
    <w:rsid w:val="000C6149"/>
    <w:rsid w:val="000C621C"/>
    <w:rsid w:val="000C6B77"/>
    <w:rsid w:val="000C6D8B"/>
    <w:rsid w:val="000C7058"/>
    <w:rsid w:val="000C7717"/>
    <w:rsid w:val="000C7A15"/>
    <w:rsid w:val="000C7D4C"/>
    <w:rsid w:val="000C7DE8"/>
    <w:rsid w:val="000C7E36"/>
    <w:rsid w:val="000D0371"/>
    <w:rsid w:val="000D0A56"/>
    <w:rsid w:val="000D0D17"/>
    <w:rsid w:val="000D1079"/>
    <w:rsid w:val="000D1262"/>
    <w:rsid w:val="000D1433"/>
    <w:rsid w:val="000D1768"/>
    <w:rsid w:val="000D1CDF"/>
    <w:rsid w:val="000D1EBA"/>
    <w:rsid w:val="000D1ED7"/>
    <w:rsid w:val="000D3143"/>
    <w:rsid w:val="000D32F9"/>
    <w:rsid w:val="000D340D"/>
    <w:rsid w:val="000D39D7"/>
    <w:rsid w:val="000D3A8E"/>
    <w:rsid w:val="000D3F6F"/>
    <w:rsid w:val="000D42D8"/>
    <w:rsid w:val="000D4458"/>
    <w:rsid w:val="000D4667"/>
    <w:rsid w:val="000D469B"/>
    <w:rsid w:val="000D4AA3"/>
    <w:rsid w:val="000D4B79"/>
    <w:rsid w:val="000D4BAF"/>
    <w:rsid w:val="000D5552"/>
    <w:rsid w:val="000D55E6"/>
    <w:rsid w:val="000D569B"/>
    <w:rsid w:val="000D594E"/>
    <w:rsid w:val="000D63F2"/>
    <w:rsid w:val="000D7094"/>
    <w:rsid w:val="000D717A"/>
    <w:rsid w:val="000D79D9"/>
    <w:rsid w:val="000D7DF7"/>
    <w:rsid w:val="000D7FC1"/>
    <w:rsid w:val="000E015E"/>
    <w:rsid w:val="000E07A1"/>
    <w:rsid w:val="000E138A"/>
    <w:rsid w:val="000E1845"/>
    <w:rsid w:val="000E1C46"/>
    <w:rsid w:val="000E1F04"/>
    <w:rsid w:val="000E1F97"/>
    <w:rsid w:val="000E21CF"/>
    <w:rsid w:val="000E2226"/>
    <w:rsid w:val="000E2BED"/>
    <w:rsid w:val="000E2C0C"/>
    <w:rsid w:val="000E3014"/>
    <w:rsid w:val="000E3592"/>
    <w:rsid w:val="000E3A36"/>
    <w:rsid w:val="000E3A87"/>
    <w:rsid w:val="000E437D"/>
    <w:rsid w:val="000E43B0"/>
    <w:rsid w:val="000E48AB"/>
    <w:rsid w:val="000E4A5C"/>
    <w:rsid w:val="000E4C95"/>
    <w:rsid w:val="000E4F39"/>
    <w:rsid w:val="000E4F93"/>
    <w:rsid w:val="000E4FAC"/>
    <w:rsid w:val="000E5758"/>
    <w:rsid w:val="000E5BD9"/>
    <w:rsid w:val="000E5DAC"/>
    <w:rsid w:val="000E607C"/>
    <w:rsid w:val="000E64FB"/>
    <w:rsid w:val="000E68DD"/>
    <w:rsid w:val="000E6AB5"/>
    <w:rsid w:val="000E6F24"/>
    <w:rsid w:val="000E710E"/>
    <w:rsid w:val="000E76E1"/>
    <w:rsid w:val="000E781B"/>
    <w:rsid w:val="000F0241"/>
    <w:rsid w:val="000F04F2"/>
    <w:rsid w:val="000F0A7E"/>
    <w:rsid w:val="000F0ECE"/>
    <w:rsid w:val="000F13FD"/>
    <w:rsid w:val="000F1644"/>
    <w:rsid w:val="000F1677"/>
    <w:rsid w:val="000F1845"/>
    <w:rsid w:val="000F1F00"/>
    <w:rsid w:val="000F218D"/>
    <w:rsid w:val="000F219A"/>
    <w:rsid w:val="000F242C"/>
    <w:rsid w:val="000F284F"/>
    <w:rsid w:val="000F3031"/>
    <w:rsid w:val="000F329F"/>
    <w:rsid w:val="000F3A66"/>
    <w:rsid w:val="000F3AF6"/>
    <w:rsid w:val="000F3D63"/>
    <w:rsid w:val="000F3DBB"/>
    <w:rsid w:val="000F4488"/>
    <w:rsid w:val="000F48D9"/>
    <w:rsid w:val="000F5A58"/>
    <w:rsid w:val="000F5E43"/>
    <w:rsid w:val="000F64A2"/>
    <w:rsid w:val="000F672D"/>
    <w:rsid w:val="000F6DF9"/>
    <w:rsid w:val="000F6EA9"/>
    <w:rsid w:val="000F6ECE"/>
    <w:rsid w:val="000F771F"/>
    <w:rsid w:val="000F7F24"/>
    <w:rsid w:val="0010019C"/>
    <w:rsid w:val="00100FAB"/>
    <w:rsid w:val="001016A0"/>
    <w:rsid w:val="0010300C"/>
    <w:rsid w:val="00103242"/>
    <w:rsid w:val="0010338C"/>
    <w:rsid w:val="00103CAE"/>
    <w:rsid w:val="00104104"/>
    <w:rsid w:val="0010448D"/>
    <w:rsid w:val="00104639"/>
    <w:rsid w:val="00104E2E"/>
    <w:rsid w:val="001050B9"/>
    <w:rsid w:val="00105497"/>
    <w:rsid w:val="00105A6F"/>
    <w:rsid w:val="00105BD1"/>
    <w:rsid w:val="00105F3C"/>
    <w:rsid w:val="00106445"/>
    <w:rsid w:val="0010660C"/>
    <w:rsid w:val="00106A9A"/>
    <w:rsid w:val="00106C84"/>
    <w:rsid w:val="00107265"/>
    <w:rsid w:val="00107338"/>
    <w:rsid w:val="001073B7"/>
    <w:rsid w:val="0010764A"/>
    <w:rsid w:val="00110512"/>
    <w:rsid w:val="00110814"/>
    <w:rsid w:val="00110C2E"/>
    <w:rsid w:val="001111EE"/>
    <w:rsid w:val="00112059"/>
    <w:rsid w:val="0011217E"/>
    <w:rsid w:val="00112265"/>
    <w:rsid w:val="00112330"/>
    <w:rsid w:val="00112E8F"/>
    <w:rsid w:val="001131E8"/>
    <w:rsid w:val="00113352"/>
    <w:rsid w:val="001136E8"/>
    <w:rsid w:val="00114054"/>
    <w:rsid w:val="00114A01"/>
    <w:rsid w:val="00115057"/>
    <w:rsid w:val="0011529A"/>
    <w:rsid w:val="0011609E"/>
    <w:rsid w:val="0011637D"/>
    <w:rsid w:val="001165E5"/>
    <w:rsid w:val="00116B57"/>
    <w:rsid w:val="00116B58"/>
    <w:rsid w:val="00116D71"/>
    <w:rsid w:val="0011713B"/>
    <w:rsid w:val="00117B20"/>
    <w:rsid w:val="00117D11"/>
    <w:rsid w:val="00117F20"/>
    <w:rsid w:val="001201E9"/>
    <w:rsid w:val="00120792"/>
    <w:rsid w:val="00120D65"/>
    <w:rsid w:val="00120DB2"/>
    <w:rsid w:val="00121763"/>
    <w:rsid w:val="0012194B"/>
    <w:rsid w:val="00122042"/>
    <w:rsid w:val="001221E2"/>
    <w:rsid w:val="00122D1B"/>
    <w:rsid w:val="00123005"/>
    <w:rsid w:val="00123848"/>
    <w:rsid w:val="00123888"/>
    <w:rsid w:val="00123F7F"/>
    <w:rsid w:val="001249A3"/>
    <w:rsid w:val="00124BB4"/>
    <w:rsid w:val="00124E2A"/>
    <w:rsid w:val="00124F6D"/>
    <w:rsid w:val="00125449"/>
    <w:rsid w:val="001258E2"/>
    <w:rsid w:val="001266DE"/>
    <w:rsid w:val="001268B7"/>
    <w:rsid w:val="001268BC"/>
    <w:rsid w:val="00127053"/>
    <w:rsid w:val="0012725F"/>
    <w:rsid w:val="00127298"/>
    <w:rsid w:val="00127458"/>
    <w:rsid w:val="001274D6"/>
    <w:rsid w:val="00127610"/>
    <w:rsid w:val="00127B19"/>
    <w:rsid w:val="00127F71"/>
    <w:rsid w:val="00130142"/>
    <w:rsid w:val="00130571"/>
    <w:rsid w:val="00130D35"/>
    <w:rsid w:val="00131030"/>
    <w:rsid w:val="0013246B"/>
    <w:rsid w:val="00132CC9"/>
    <w:rsid w:val="00132EE9"/>
    <w:rsid w:val="00132F7E"/>
    <w:rsid w:val="001330AF"/>
    <w:rsid w:val="00133174"/>
    <w:rsid w:val="001351F5"/>
    <w:rsid w:val="00135E74"/>
    <w:rsid w:val="001365DF"/>
    <w:rsid w:val="0013687E"/>
    <w:rsid w:val="001369BE"/>
    <w:rsid w:val="00136AC6"/>
    <w:rsid w:val="00136D8F"/>
    <w:rsid w:val="0013722E"/>
    <w:rsid w:val="001372A6"/>
    <w:rsid w:val="0013781C"/>
    <w:rsid w:val="0013782C"/>
    <w:rsid w:val="001378CD"/>
    <w:rsid w:val="00137AAE"/>
    <w:rsid w:val="00137BC8"/>
    <w:rsid w:val="00137C7A"/>
    <w:rsid w:val="00137FAB"/>
    <w:rsid w:val="0014065E"/>
    <w:rsid w:val="001417DC"/>
    <w:rsid w:val="00141D5F"/>
    <w:rsid w:val="00141E18"/>
    <w:rsid w:val="00142457"/>
    <w:rsid w:val="00142548"/>
    <w:rsid w:val="00142A78"/>
    <w:rsid w:val="001433E9"/>
    <w:rsid w:val="00143907"/>
    <w:rsid w:val="00143A12"/>
    <w:rsid w:val="00143B41"/>
    <w:rsid w:val="00143D93"/>
    <w:rsid w:val="00143EC3"/>
    <w:rsid w:val="001440D8"/>
    <w:rsid w:val="00144571"/>
    <w:rsid w:val="00144C68"/>
    <w:rsid w:val="00144D0C"/>
    <w:rsid w:val="00144DBE"/>
    <w:rsid w:val="00145282"/>
    <w:rsid w:val="00145438"/>
    <w:rsid w:val="001455BC"/>
    <w:rsid w:val="001455DB"/>
    <w:rsid w:val="0014606C"/>
    <w:rsid w:val="00146462"/>
    <w:rsid w:val="00146859"/>
    <w:rsid w:val="0014696D"/>
    <w:rsid w:val="00146980"/>
    <w:rsid w:val="00146E0D"/>
    <w:rsid w:val="00147611"/>
    <w:rsid w:val="0014766F"/>
    <w:rsid w:val="0014782B"/>
    <w:rsid w:val="00147EE1"/>
    <w:rsid w:val="001505EE"/>
    <w:rsid w:val="00150C57"/>
    <w:rsid w:val="001510E4"/>
    <w:rsid w:val="001512D1"/>
    <w:rsid w:val="001514C3"/>
    <w:rsid w:val="001516B6"/>
    <w:rsid w:val="00151745"/>
    <w:rsid w:val="00151BD9"/>
    <w:rsid w:val="00151CAB"/>
    <w:rsid w:val="00151FFA"/>
    <w:rsid w:val="00152407"/>
    <w:rsid w:val="0015290E"/>
    <w:rsid w:val="00152B2D"/>
    <w:rsid w:val="00152D50"/>
    <w:rsid w:val="00153119"/>
    <w:rsid w:val="00153607"/>
    <w:rsid w:val="00154200"/>
    <w:rsid w:val="001542F9"/>
    <w:rsid w:val="001543B8"/>
    <w:rsid w:val="00154E0D"/>
    <w:rsid w:val="00154F27"/>
    <w:rsid w:val="001553BA"/>
    <w:rsid w:val="00155633"/>
    <w:rsid w:val="00155708"/>
    <w:rsid w:val="001563E8"/>
    <w:rsid w:val="00156811"/>
    <w:rsid w:val="00156828"/>
    <w:rsid w:val="00156941"/>
    <w:rsid w:val="001573DA"/>
    <w:rsid w:val="001574F9"/>
    <w:rsid w:val="00157741"/>
    <w:rsid w:val="00157F1A"/>
    <w:rsid w:val="001600E9"/>
    <w:rsid w:val="00160444"/>
    <w:rsid w:val="0016090D"/>
    <w:rsid w:val="00160943"/>
    <w:rsid w:val="00160A8B"/>
    <w:rsid w:val="00160FEC"/>
    <w:rsid w:val="00161084"/>
    <w:rsid w:val="001610E5"/>
    <w:rsid w:val="00161291"/>
    <w:rsid w:val="001618CC"/>
    <w:rsid w:val="00161A7B"/>
    <w:rsid w:val="00161BC8"/>
    <w:rsid w:val="00162E8A"/>
    <w:rsid w:val="001630FF"/>
    <w:rsid w:val="00163511"/>
    <w:rsid w:val="00163F21"/>
    <w:rsid w:val="00163F9E"/>
    <w:rsid w:val="001642A2"/>
    <w:rsid w:val="00164B39"/>
    <w:rsid w:val="00164D25"/>
    <w:rsid w:val="00164FE7"/>
    <w:rsid w:val="00167D0B"/>
    <w:rsid w:val="00170001"/>
    <w:rsid w:val="001702E8"/>
    <w:rsid w:val="00170308"/>
    <w:rsid w:val="001707F9"/>
    <w:rsid w:val="00170D10"/>
    <w:rsid w:val="00170E94"/>
    <w:rsid w:val="001714F3"/>
    <w:rsid w:val="00171AB4"/>
    <w:rsid w:val="00171D3D"/>
    <w:rsid w:val="00171EB4"/>
    <w:rsid w:val="00171EEE"/>
    <w:rsid w:val="0017209C"/>
    <w:rsid w:val="001728C7"/>
    <w:rsid w:val="00172B6C"/>
    <w:rsid w:val="0017318F"/>
    <w:rsid w:val="001738C8"/>
    <w:rsid w:val="001739F0"/>
    <w:rsid w:val="00173E5B"/>
    <w:rsid w:val="0017425A"/>
    <w:rsid w:val="001749B4"/>
    <w:rsid w:val="00174FCE"/>
    <w:rsid w:val="0017637F"/>
    <w:rsid w:val="00176A7C"/>
    <w:rsid w:val="001771F3"/>
    <w:rsid w:val="00177B94"/>
    <w:rsid w:val="00180826"/>
    <w:rsid w:val="00180CD0"/>
    <w:rsid w:val="00181A73"/>
    <w:rsid w:val="00181ACF"/>
    <w:rsid w:val="00181BAA"/>
    <w:rsid w:val="00181FB5"/>
    <w:rsid w:val="00182C43"/>
    <w:rsid w:val="00182F1E"/>
    <w:rsid w:val="0018303A"/>
    <w:rsid w:val="001832F2"/>
    <w:rsid w:val="00183330"/>
    <w:rsid w:val="00183392"/>
    <w:rsid w:val="001834EC"/>
    <w:rsid w:val="00183683"/>
    <w:rsid w:val="00184ABA"/>
    <w:rsid w:val="00184FF3"/>
    <w:rsid w:val="001850AD"/>
    <w:rsid w:val="00185751"/>
    <w:rsid w:val="001859D4"/>
    <w:rsid w:val="00185C57"/>
    <w:rsid w:val="001861FD"/>
    <w:rsid w:val="00186516"/>
    <w:rsid w:val="001865F3"/>
    <w:rsid w:val="00187397"/>
    <w:rsid w:val="0018777E"/>
    <w:rsid w:val="00187B8B"/>
    <w:rsid w:val="00187F05"/>
    <w:rsid w:val="00187F6E"/>
    <w:rsid w:val="0019011F"/>
    <w:rsid w:val="00191262"/>
    <w:rsid w:val="00191E56"/>
    <w:rsid w:val="00192A2F"/>
    <w:rsid w:val="00192BCB"/>
    <w:rsid w:val="00193C8C"/>
    <w:rsid w:val="00193CA7"/>
    <w:rsid w:val="00193EB9"/>
    <w:rsid w:val="00193FFC"/>
    <w:rsid w:val="00194A06"/>
    <w:rsid w:val="00194CE2"/>
    <w:rsid w:val="0019503B"/>
    <w:rsid w:val="001950CD"/>
    <w:rsid w:val="001957BF"/>
    <w:rsid w:val="001959AB"/>
    <w:rsid w:val="00195C09"/>
    <w:rsid w:val="00196876"/>
    <w:rsid w:val="00196C93"/>
    <w:rsid w:val="00197106"/>
    <w:rsid w:val="00197656"/>
    <w:rsid w:val="001976D0"/>
    <w:rsid w:val="00197977"/>
    <w:rsid w:val="001A007C"/>
    <w:rsid w:val="001A0D77"/>
    <w:rsid w:val="001A0F04"/>
    <w:rsid w:val="001A0FE4"/>
    <w:rsid w:val="001A10DD"/>
    <w:rsid w:val="001A13F5"/>
    <w:rsid w:val="001A196A"/>
    <w:rsid w:val="001A19A5"/>
    <w:rsid w:val="001A19D2"/>
    <w:rsid w:val="001A1D95"/>
    <w:rsid w:val="001A2071"/>
    <w:rsid w:val="001A22F5"/>
    <w:rsid w:val="001A2565"/>
    <w:rsid w:val="001A2786"/>
    <w:rsid w:val="001A2985"/>
    <w:rsid w:val="001A32F2"/>
    <w:rsid w:val="001A4968"/>
    <w:rsid w:val="001A4B14"/>
    <w:rsid w:val="001A4E04"/>
    <w:rsid w:val="001A4EFE"/>
    <w:rsid w:val="001A51FD"/>
    <w:rsid w:val="001A679C"/>
    <w:rsid w:val="001A67AD"/>
    <w:rsid w:val="001A69BF"/>
    <w:rsid w:val="001A6D26"/>
    <w:rsid w:val="001A6D95"/>
    <w:rsid w:val="001A6FB2"/>
    <w:rsid w:val="001A70E6"/>
    <w:rsid w:val="001A77C1"/>
    <w:rsid w:val="001A7A4E"/>
    <w:rsid w:val="001A7B9D"/>
    <w:rsid w:val="001A7CE7"/>
    <w:rsid w:val="001B02FC"/>
    <w:rsid w:val="001B0CB1"/>
    <w:rsid w:val="001B0CD1"/>
    <w:rsid w:val="001B0DCF"/>
    <w:rsid w:val="001B1057"/>
    <w:rsid w:val="001B1343"/>
    <w:rsid w:val="001B1762"/>
    <w:rsid w:val="001B17AC"/>
    <w:rsid w:val="001B1A63"/>
    <w:rsid w:val="001B1A99"/>
    <w:rsid w:val="001B1CF7"/>
    <w:rsid w:val="001B1DE6"/>
    <w:rsid w:val="001B20E0"/>
    <w:rsid w:val="001B2418"/>
    <w:rsid w:val="001B28F2"/>
    <w:rsid w:val="001B2A4A"/>
    <w:rsid w:val="001B2D10"/>
    <w:rsid w:val="001B31F8"/>
    <w:rsid w:val="001B346C"/>
    <w:rsid w:val="001B363A"/>
    <w:rsid w:val="001B370B"/>
    <w:rsid w:val="001B3BCE"/>
    <w:rsid w:val="001B3DF2"/>
    <w:rsid w:val="001B3E64"/>
    <w:rsid w:val="001B4056"/>
    <w:rsid w:val="001B40F6"/>
    <w:rsid w:val="001B488E"/>
    <w:rsid w:val="001B4D7D"/>
    <w:rsid w:val="001B4DA7"/>
    <w:rsid w:val="001B509D"/>
    <w:rsid w:val="001B50F3"/>
    <w:rsid w:val="001B5103"/>
    <w:rsid w:val="001B538C"/>
    <w:rsid w:val="001B53B2"/>
    <w:rsid w:val="001B588D"/>
    <w:rsid w:val="001B59B3"/>
    <w:rsid w:val="001B60DD"/>
    <w:rsid w:val="001B618B"/>
    <w:rsid w:val="001B61CD"/>
    <w:rsid w:val="001B6C1C"/>
    <w:rsid w:val="001B708D"/>
    <w:rsid w:val="001B72AA"/>
    <w:rsid w:val="001B742F"/>
    <w:rsid w:val="001B7A99"/>
    <w:rsid w:val="001C00A9"/>
    <w:rsid w:val="001C0897"/>
    <w:rsid w:val="001C08E2"/>
    <w:rsid w:val="001C1076"/>
    <w:rsid w:val="001C1822"/>
    <w:rsid w:val="001C1EC2"/>
    <w:rsid w:val="001C1F64"/>
    <w:rsid w:val="001C27AA"/>
    <w:rsid w:val="001C2B83"/>
    <w:rsid w:val="001C2C07"/>
    <w:rsid w:val="001C2FA3"/>
    <w:rsid w:val="001C3027"/>
    <w:rsid w:val="001C3D1A"/>
    <w:rsid w:val="001C4043"/>
    <w:rsid w:val="001C40AB"/>
    <w:rsid w:val="001C47C0"/>
    <w:rsid w:val="001C4CEC"/>
    <w:rsid w:val="001C5440"/>
    <w:rsid w:val="001C5533"/>
    <w:rsid w:val="001C6143"/>
    <w:rsid w:val="001C6235"/>
    <w:rsid w:val="001C6286"/>
    <w:rsid w:val="001C7470"/>
    <w:rsid w:val="001C7835"/>
    <w:rsid w:val="001C7D36"/>
    <w:rsid w:val="001D03E6"/>
    <w:rsid w:val="001D084C"/>
    <w:rsid w:val="001D08B7"/>
    <w:rsid w:val="001D09B2"/>
    <w:rsid w:val="001D134D"/>
    <w:rsid w:val="001D2D53"/>
    <w:rsid w:val="001D2FAF"/>
    <w:rsid w:val="001D4050"/>
    <w:rsid w:val="001D42FB"/>
    <w:rsid w:val="001D4318"/>
    <w:rsid w:val="001D44F7"/>
    <w:rsid w:val="001D46F7"/>
    <w:rsid w:val="001D4A3D"/>
    <w:rsid w:val="001D5419"/>
    <w:rsid w:val="001D550E"/>
    <w:rsid w:val="001D574A"/>
    <w:rsid w:val="001D5B68"/>
    <w:rsid w:val="001D5D5D"/>
    <w:rsid w:val="001D66C8"/>
    <w:rsid w:val="001D6806"/>
    <w:rsid w:val="001D689A"/>
    <w:rsid w:val="001D7D9B"/>
    <w:rsid w:val="001E0049"/>
    <w:rsid w:val="001E0351"/>
    <w:rsid w:val="001E051B"/>
    <w:rsid w:val="001E06F8"/>
    <w:rsid w:val="001E0AD9"/>
    <w:rsid w:val="001E15E3"/>
    <w:rsid w:val="001E178B"/>
    <w:rsid w:val="001E1826"/>
    <w:rsid w:val="001E1839"/>
    <w:rsid w:val="001E1998"/>
    <w:rsid w:val="001E252F"/>
    <w:rsid w:val="001E2548"/>
    <w:rsid w:val="001E2B59"/>
    <w:rsid w:val="001E3615"/>
    <w:rsid w:val="001E3AE9"/>
    <w:rsid w:val="001E4E7E"/>
    <w:rsid w:val="001E5121"/>
    <w:rsid w:val="001E5274"/>
    <w:rsid w:val="001E58CF"/>
    <w:rsid w:val="001E5F3F"/>
    <w:rsid w:val="001E63ED"/>
    <w:rsid w:val="001E6F1C"/>
    <w:rsid w:val="001E7551"/>
    <w:rsid w:val="001E7897"/>
    <w:rsid w:val="001F0672"/>
    <w:rsid w:val="001F0A33"/>
    <w:rsid w:val="001F0CC7"/>
    <w:rsid w:val="001F11D7"/>
    <w:rsid w:val="001F13C1"/>
    <w:rsid w:val="001F13CF"/>
    <w:rsid w:val="001F1628"/>
    <w:rsid w:val="001F18A6"/>
    <w:rsid w:val="001F1E9A"/>
    <w:rsid w:val="001F2672"/>
    <w:rsid w:val="001F26BB"/>
    <w:rsid w:val="001F284B"/>
    <w:rsid w:val="001F29AB"/>
    <w:rsid w:val="001F2A33"/>
    <w:rsid w:val="001F32C7"/>
    <w:rsid w:val="001F3433"/>
    <w:rsid w:val="001F3567"/>
    <w:rsid w:val="001F36F4"/>
    <w:rsid w:val="001F380A"/>
    <w:rsid w:val="001F38A2"/>
    <w:rsid w:val="001F3A05"/>
    <w:rsid w:val="001F3BEE"/>
    <w:rsid w:val="001F3E80"/>
    <w:rsid w:val="001F3EDA"/>
    <w:rsid w:val="001F4056"/>
    <w:rsid w:val="001F42C3"/>
    <w:rsid w:val="001F4384"/>
    <w:rsid w:val="001F446D"/>
    <w:rsid w:val="001F45FC"/>
    <w:rsid w:val="001F4793"/>
    <w:rsid w:val="001F4D7C"/>
    <w:rsid w:val="001F4E7A"/>
    <w:rsid w:val="001F50FE"/>
    <w:rsid w:val="001F516F"/>
    <w:rsid w:val="001F51AC"/>
    <w:rsid w:val="001F55C5"/>
    <w:rsid w:val="001F59B4"/>
    <w:rsid w:val="001F5CB1"/>
    <w:rsid w:val="001F6B0A"/>
    <w:rsid w:val="001F6BE6"/>
    <w:rsid w:val="001F6C9B"/>
    <w:rsid w:val="001F6DE9"/>
    <w:rsid w:val="001F6DF8"/>
    <w:rsid w:val="001F7533"/>
    <w:rsid w:val="001F7B87"/>
    <w:rsid w:val="001F7EBA"/>
    <w:rsid w:val="002011C8"/>
    <w:rsid w:val="00201320"/>
    <w:rsid w:val="00201570"/>
    <w:rsid w:val="002018F7"/>
    <w:rsid w:val="00201FAB"/>
    <w:rsid w:val="0020204A"/>
    <w:rsid w:val="00202CC3"/>
    <w:rsid w:val="00202DA7"/>
    <w:rsid w:val="00202F20"/>
    <w:rsid w:val="002038A6"/>
    <w:rsid w:val="00203BA8"/>
    <w:rsid w:val="00203E5A"/>
    <w:rsid w:val="002040D0"/>
    <w:rsid w:val="00204177"/>
    <w:rsid w:val="00204221"/>
    <w:rsid w:val="00205199"/>
    <w:rsid w:val="002051CE"/>
    <w:rsid w:val="002058E7"/>
    <w:rsid w:val="00205A96"/>
    <w:rsid w:val="00205CCD"/>
    <w:rsid w:val="00205D67"/>
    <w:rsid w:val="00206183"/>
    <w:rsid w:val="002063E3"/>
    <w:rsid w:val="002064D6"/>
    <w:rsid w:val="002069CC"/>
    <w:rsid w:val="00206BDC"/>
    <w:rsid w:val="00206C10"/>
    <w:rsid w:val="00206F94"/>
    <w:rsid w:val="0020796A"/>
    <w:rsid w:val="002079FE"/>
    <w:rsid w:val="00207DCD"/>
    <w:rsid w:val="002106ED"/>
    <w:rsid w:val="002108FC"/>
    <w:rsid w:val="00210B82"/>
    <w:rsid w:val="0021105D"/>
    <w:rsid w:val="00211155"/>
    <w:rsid w:val="002112EC"/>
    <w:rsid w:val="00211821"/>
    <w:rsid w:val="002120A2"/>
    <w:rsid w:val="002122F0"/>
    <w:rsid w:val="0021243D"/>
    <w:rsid w:val="00212A36"/>
    <w:rsid w:val="00213D47"/>
    <w:rsid w:val="00214063"/>
    <w:rsid w:val="002141E1"/>
    <w:rsid w:val="00214B8D"/>
    <w:rsid w:val="00214F34"/>
    <w:rsid w:val="00215416"/>
    <w:rsid w:val="002155FF"/>
    <w:rsid w:val="002159E1"/>
    <w:rsid w:val="00215BA1"/>
    <w:rsid w:val="00215D79"/>
    <w:rsid w:val="0021619A"/>
    <w:rsid w:val="002162ED"/>
    <w:rsid w:val="00216459"/>
    <w:rsid w:val="00216550"/>
    <w:rsid w:val="0021670A"/>
    <w:rsid w:val="00216CE6"/>
    <w:rsid w:val="002171FF"/>
    <w:rsid w:val="00217574"/>
    <w:rsid w:val="00217610"/>
    <w:rsid w:val="00217630"/>
    <w:rsid w:val="00217AAC"/>
    <w:rsid w:val="00217DFD"/>
    <w:rsid w:val="00220103"/>
    <w:rsid w:val="00220186"/>
    <w:rsid w:val="00220EF4"/>
    <w:rsid w:val="00221110"/>
    <w:rsid w:val="00221207"/>
    <w:rsid w:val="0022174A"/>
    <w:rsid w:val="00221800"/>
    <w:rsid w:val="0022189F"/>
    <w:rsid w:val="00221AB7"/>
    <w:rsid w:val="00222787"/>
    <w:rsid w:val="002227AD"/>
    <w:rsid w:val="00222AB0"/>
    <w:rsid w:val="0022311B"/>
    <w:rsid w:val="002235DF"/>
    <w:rsid w:val="00223948"/>
    <w:rsid w:val="00223969"/>
    <w:rsid w:val="00223AC6"/>
    <w:rsid w:val="00223ED2"/>
    <w:rsid w:val="002244BE"/>
    <w:rsid w:val="00224752"/>
    <w:rsid w:val="002248E4"/>
    <w:rsid w:val="00224CDD"/>
    <w:rsid w:val="0022567F"/>
    <w:rsid w:val="002256F7"/>
    <w:rsid w:val="00225ADF"/>
    <w:rsid w:val="0022605B"/>
    <w:rsid w:val="0022608C"/>
    <w:rsid w:val="002265DE"/>
    <w:rsid w:val="0022667B"/>
    <w:rsid w:val="00226C7E"/>
    <w:rsid w:val="00226DF5"/>
    <w:rsid w:val="00227230"/>
    <w:rsid w:val="00227297"/>
    <w:rsid w:val="00227672"/>
    <w:rsid w:val="00227712"/>
    <w:rsid w:val="002304A0"/>
    <w:rsid w:val="00230C82"/>
    <w:rsid w:val="0023191F"/>
    <w:rsid w:val="00231D0B"/>
    <w:rsid w:val="00231E9F"/>
    <w:rsid w:val="00232062"/>
    <w:rsid w:val="00232135"/>
    <w:rsid w:val="00232287"/>
    <w:rsid w:val="002328F3"/>
    <w:rsid w:val="00232F39"/>
    <w:rsid w:val="002330F7"/>
    <w:rsid w:val="002334BA"/>
    <w:rsid w:val="00233524"/>
    <w:rsid w:val="002339B2"/>
    <w:rsid w:val="00233CAF"/>
    <w:rsid w:val="00233F78"/>
    <w:rsid w:val="002342F3"/>
    <w:rsid w:val="002345F3"/>
    <w:rsid w:val="002346F5"/>
    <w:rsid w:val="002348DB"/>
    <w:rsid w:val="00235629"/>
    <w:rsid w:val="002358E1"/>
    <w:rsid w:val="002359C6"/>
    <w:rsid w:val="00235AB0"/>
    <w:rsid w:val="00235F82"/>
    <w:rsid w:val="00236025"/>
    <w:rsid w:val="002360E8"/>
    <w:rsid w:val="002368F3"/>
    <w:rsid w:val="00236A0E"/>
    <w:rsid w:val="00236C25"/>
    <w:rsid w:val="0023700E"/>
    <w:rsid w:val="00237306"/>
    <w:rsid w:val="00237786"/>
    <w:rsid w:val="00240336"/>
    <w:rsid w:val="002406CB"/>
    <w:rsid w:val="0024090A"/>
    <w:rsid w:val="00240D45"/>
    <w:rsid w:val="00240D71"/>
    <w:rsid w:val="002413E1"/>
    <w:rsid w:val="00241A2B"/>
    <w:rsid w:val="00241AFD"/>
    <w:rsid w:val="00241B6B"/>
    <w:rsid w:val="00241D28"/>
    <w:rsid w:val="00241F74"/>
    <w:rsid w:val="00241FEA"/>
    <w:rsid w:val="00242435"/>
    <w:rsid w:val="00242978"/>
    <w:rsid w:val="00242B1D"/>
    <w:rsid w:val="00242C04"/>
    <w:rsid w:val="002430D2"/>
    <w:rsid w:val="00243180"/>
    <w:rsid w:val="0024398E"/>
    <w:rsid w:val="00243D5C"/>
    <w:rsid w:val="002444C5"/>
    <w:rsid w:val="0024471D"/>
    <w:rsid w:val="0024477C"/>
    <w:rsid w:val="00244834"/>
    <w:rsid w:val="00244FE7"/>
    <w:rsid w:val="002454C2"/>
    <w:rsid w:val="002457DE"/>
    <w:rsid w:val="00245C77"/>
    <w:rsid w:val="00245C7D"/>
    <w:rsid w:val="00246212"/>
    <w:rsid w:val="0024623C"/>
    <w:rsid w:val="00246435"/>
    <w:rsid w:val="002466B8"/>
    <w:rsid w:val="0024673E"/>
    <w:rsid w:val="00246BCF"/>
    <w:rsid w:val="00246E9B"/>
    <w:rsid w:val="00246FA4"/>
    <w:rsid w:val="00247543"/>
    <w:rsid w:val="00247D89"/>
    <w:rsid w:val="00247F6C"/>
    <w:rsid w:val="00250709"/>
    <w:rsid w:val="00250747"/>
    <w:rsid w:val="00250C81"/>
    <w:rsid w:val="00250E33"/>
    <w:rsid w:val="00251245"/>
    <w:rsid w:val="002519C1"/>
    <w:rsid w:val="00251CA2"/>
    <w:rsid w:val="0025271B"/>
    <w:rsid w:val="002529D4"/>
    <w:rsid w:val="00252BAC"/>
    <w:rsid w:val="00252EE6"/>
    <w:rsid w:val="0025340D"/>
    <w:rsid w:val="0025367F"/>
    <w:rsid w:val="0025382D"/>
    <w:rsid w:val="00253940"/>
    <w:rsid w:val="00253DE0"/>
    <w:rsid w:val="00254681"/>
    <w:rsid w:val="002547B1"/>
    <w:rsid w:val="002551DF"/>
    <w:rsid w:val="00255B07"/>
    <w:rsid w:val="00255FAE"/>
    <w:rsid w:val="002561BE"/>
    <w:rsid w:val="00256F7D"/>
    <w:rsid w:val="00257AC8"/>
    <w:rsid w:val="00257E1A"/>
    <w:rsid w:val="00260058"/>
    <w:rsid w:val="002601BB"/>
    <w:rsid w:val="00260D0B"/>
    <w:rsid w:val="00261130"/>
    <w:rsid w:val="00261C51"/>
    <w:rsid w:val="00262075"/>
    <w:rsid w:val="002621EC"/>
    <w:rsid w:val="0026221A"/>
    <w:rsid w:val="00262E41"/>
    <w:rsid w:val="00262F64"/>
    <w:rsid w:val="00263726"/>
    <w:rsid w:val="00263A7D"/>
    <w:rsid w:val="0026418E"/>
    <w:rsid w:val="002642E0"/>
    <w:rsid w:val="00264EF5"/>
    <w:rsid w:val="002650D8"/>
    <w:rsid w:val="00265148"/>
    <w:rsid w:val="002652EE"/>
    <w:rsid w:val="002655B9"/>
    <w:rsid w:val="00265918"/>
    <w:rsid w:val="00265ADC"/>
    <w:rsid w:val="002663CA"/>
    <w:rsid w:val="00266A6E"/>
    <w:rsid w:val="00267147"/>
    <w:rsid w:val="002675D7"/>
    <w:rsid w:val="002676C6"/>
    <w:rsid w:val="00267AD0"/>
    <w:rsid w:val="00270081"/>
    <w:rsid w:val="00270140"/>
    <w:rsid w:val="00270206"/>
    <w:rsid w:val="0027030D"/>
    <w:rsid w:val="0027042A"/>
    <w:rsid w:val="002705F4"/>
    <w:rsid w:val="00270810"/>
    <w:rsid w:val="00270834"/>
    <w:rsid w:val="0027084B"/>
    <w:rsid w:val="002708BC"/>
    <w:rsid w:val="00271209"/>
    <w:rsid w:val="0027131A"/>
    <w:rsid w:val="0027163A"/>
    <w:rsid w:val="002716B2"/>
    <w:rsid w:val="00272454"/>
    <w:rsid w:val="00272CBF"/>
    <w:rsid w:val="002736A5"/>
    <w:rsid w:val="00273759"/>
    <w:rsid w:val="00273C3B"/>
    <w:rsid w:val="00273D35"/>
    <w:rsid w:val="00273E67"/>
    <w:rsid w:val="00273E86"/>
    <w:rsid w:val="00273EF6"/>
    <w:rsid w:val="00274335"/>
    <w:rsid w:val="002743A2"/>
    <w:rsid w:val="002747B5"/>
    <w:rsid w:val="002748A7"/>
    <w:rsid w:val="00274D8F"/>
    <w:rsid w:val="002753A2"/>
    <w:rsid w:val="002757F3"/>
    <w:rsid w:val="002758D9"/>
    <w:rsid w:val="00275E2D"/>
    <w:rsid w:val="00276547"/>
    <w:rsid w:val="00276E64"/>
    <w:rsid w:val="002776DF"/>
    <w:rsid w:val="00277E97"/>
    <w:rsid w:val="00277EA6"/>
    <w:rsid w:val="00280245"/>
    <w:rsid w:val="00280B47"/>
    <w:rsid w:val="00280E47"/>
    <w:rsid w:val="0028106A"/>
    <w:rsid w:val="00281100"/>
    <w:rsid w:val="002811F7"/>
    <w:rsid w:val="00281327"/>
    <w:rsid w:val="002814E6"/>
    <w:rsid w:val="00281504"/>
    <w:rsid w:val="00281A54"/>
    <w:rsid w:val="00281D16"/>
    <w:rsid w:val="00282AE5"/>
    <w:rsid w:val="00282B5A"/>
    <w:rsid w:val="00282E68"/>
    <w:rsid w:val="0028312D"/>
    <w:rsid w:val="002832C4"/>
    <w:rsid w:val="00283A43"/>
    <w:rsid w:val="00283D2E"/>
    <w:rsid w:val="00283FEE"/>
    <w:rsid w:val="002843AE"/>
    <w:rsid w:val="00284534"/>
    <w:rsid w:val="00284769"/>
    <w:rsid w:val="00284802"/>
    <w:rsid w:val="00284A42"/>
    <w:rsid w:val="00284DFD"/>
    <w:rsid w:val="00285854"/>
    <w:rsid w:val="002858B8"/>
    <w:rsid w:val="00285B68"/>
    <w:rsid w:val="002864E9"/>
    <w:rsid w:val="002866AC"/>
    <w:rsid w:val="00286BDF"/>
    <w:rsid w:val="00286EB0"/>
    <w:rsid w:val="00287114"/>
    <w:rsid w:val="00287A9B"/>
    <w:rsid w:val="00287D67"/>
    <w:rsid w:val="00290363"/>
    <w:rsid w:val="002908B2"/>
    <w:rsid w:val="00290BA7"/>
    <w:rsid w:val="00290C66"/>
    <w:rsid w:val="002910ED"/>
    <w:rsid w:val="002915DC"/>
    <w:rsid w:val="002916BD"/>
    <w:rsid w:val="002916FB"/>
    <w:rsid w:val="00291B30"/>
    <w:rsid w:val="00291DC0"/>
    <w:rsid w:val="00291EA4"/>
    <w:rsid w:val="002925F6"/>
    <w:rsid w:val="0029298C"/>
    <w:rsid w:val="00292DA5"/>
    <w:rsid w:val="00292DFE"/>
    <w:rsid w:val="00293188"/>
    <w:rsid w:val="0029354F"/>
    <w:rsid w:val="002936B4"/>
    <w:rsid w:val="00293713"/>
    <w:rsid w:val="0029425F"/>
    <w:rsid w:val="00294310"/>
    <w:rsid w:val="00294F7D"/>
    <w:rsid w:val="002950A5"/>
    <w:rsid w:val="002950E8"/>
    <w:rsid w:val="00295168"/>
    <w:rsid w:val="002951E6"/>
    <w:rsid w:val="00295330"/>
    <w:rsid w:val="00295642"/>
    <w:rsid w:val="002958E4"/>
    <w:rsid w:val="0029600F"/>
    <w:rsid w:val="002962D6"/>
    <w:rsid w:val="00296431"/>
    <w:rsid w:val="002965A4"/>
    <w:rsid w:val="00296795"/>
    <w:rsid w:val="0029686B"/>
    <w:rsid w:val="00296890"/>
    <w:rsid w:val="00296929"/>
    <w:rsid w:val="00296976"/>
    <w:rsid w:val="00296BD3"/>
    <w:rsid w:val="0029701C"/>
    <w:rsid w:val="0029712B"/>
    <w:rsid w:val="00297265"/>
    <w:rsid w:val="002972E7"/>
    <w:rsid w:val="00297316"/>
    <w:rsid w:val="00297381"/>
    <w:rsid w:val="0029787E"/>
    <w:rsid w:val="00297B32"/>
    <w:rsid w:val="002A03D0"/>
    <w:rsid w:val="002A0965"/>
    <w:rsid w:val="002A0B1F"/>
    <w:rsid w:val="002A0B64"/>
    <w:rsid w:val="002A0D15"/>
    <w:rsid w:val="002A11C6"/>
    <w:rsid w:val="002A12E3"/>
    <w:rsid w:val="002A1BA4"/>
    <w:rsid w:val="002A1DC9"/>
    <w:rsid w:val="002A225C"/>
    <w:rsid w:val="002A2362"/>
    <w:rsid w:val="002A23C7"/>
    <w:rsid w:val="002A26ED"/>
    <w:rsid w:val="002A2701"/>
    <w:rsid w:val="002A3512"/>
    <w:rsid w:val="002A3950"/>
    <w:rsid w:val="002A3955"/>
    <w:rsid w:val="002A39BB"/>
    <w:rsid w:val="002A3BC2"/>
    <w:rsid w:val="002A4388"/>
    <w:rsid w:val="002A448B"/>
    <w:rsid w:val="002A44AB"/>
    <w:rsid w:val="002A4CFA"/>
    <w:rsid w:val="002A4DEE"/>
    <w:rsid w:val="002A50F3"/>
    <w:rsid w:val="002A531D"/>
    <w:rsid w:val="002A544D"/>
    <w:rsid w:val="002A5646"/>
    <w:rsid w:val="002A5775"/>
    <w:rsid w:val="002A604F"/>
    <w:rsid w:val="002A6205"/>
    <w:rsid w:val="002A6266"/>
    <w:rsid w:val="002A6ACC"/>
    <w:rsid w:val="002A6B21"/>
    <w:rsid w:val="002A6B62"/>
    <w:rsid w:val="002A6C0D"/>
    <w:rsid w:val="002A7EE3"/>
    <w:rsid w:val="002B030A"/>
    <w:rsid w:val="002B0577"/>
    <w:rsid w:val="002B060F"/>
    <w:rsid w:val="002B0A03"/>
    <w:rsid w:val="002B0ADD"/>
    <w:rsid w:val="002B0C46"/>
    <w:rsid w:val="002B0F9B"/>
    <w:rsid w:val="002B123F"/>
    <w:rsid w:val="002B15AD"/>
    <w:rsid w:val="002B166E"/>
    <w:rsid w:val="002B1926"/>
    <w:rsid w:val="002B1AD3"/>
    <w:rsid w:val="002B1FEC"/>
    <w:rsid w:val="002B213F"/>
    <w:rsid w:val="002B2550"/>
    <w:rsid w:val="002B2C16"/>
    <w:rsid w:val="002B3062"/>
    <w:rsid w:val="002B35D7"/>
    <w:rsid w:val="002B3805"/>
    <w:rsid w:val="002B3C22"/>
    <w:rsid w:val="002B3CD2"/>
    <w:rsid w:val="002B4023"/>
    <w:rsid w:val="002B47BB"/>
    <w:rsid w:val="002B4B24"/>
    <w:rsid w:val="002B4F77"/>
    <w:rsid w:val="002B5239"/>
    <w:rsid w:val="002B52CD"/>
    <w:rsid w:val="002B5590"/>
    <w:rsid w:val="002B5785"/>
    <w:rsid w:val="002B5F8E"/>
    <w:rsid w:val="002B62B9"/>
    <w:rsid w:val="002B6682"/>
    <w:rsid w:val="002B66DD"/>
    <w:rsid w:val="002B670D"/>
    <w:rsid w:val="002B697F"/>
    <w:rsid w:val="002B6A47"/>
    <w:rsid w:val="002B7186"/>
    <w:rsid w:val="002B78A0"/>
    <w:rsid w:val="002C001A"/>
    <w:rsid w:val="002C0084"/>
    <w:rsid w:val="002C00DA"/>
    <w:rsid w:val="002C01B8"/>
    <w:rsid w:val="002C0250"/>
    <w:rsid w:val="002C0263"/>
    <w:rsid w:val="002C05CD"/>
    <w:rsid w:val="002C0A99"/>
    <w:rsid w:val="002C13C1"/>
    <w:rsid w:val="002C1821"/>
    <w:rsid w:val="002C1971"/>
    <w:rsid w:val="002C2453"/>
    <w:rsid w:val="002C27D9"/>
    <w:rsid w:val="002C2EBC"/>
    <w:rsid w:val="002C35DD"/>
    <w:rsid w:val="002C38D3"/>
    <w:rsid w:val="002C3AE7"/>
    <w:rsid w:val="002C3C2A"/>
    <w:rsid w:val="002C3DBC"/>
    <w:rsid w:val="002C4397"/>
    <w:rsid w:val="002C4414"/>
    <w:rsid w:val="002C44A1"/>
    <w:rsid w:val="002C44CF"/>
    <w:rsid w:val="002C45B5"/>
    <w:rsid w:val="002C4A4C"/>
    <w:rsid w:val="002C4D5E"/>
    <w:rsid w:val="002C5544"/>
    <w:rsid w:val="002C5B3E"/>
    <w:rsid w:val="002C5C04"/>
    <w:rsid w:val="002C5D85"/>
    <w:rsid w:val="002C60A8"/>
    <w:rsid w:val="002C64C4"/>
    <w:rsid w:val="002C657A"/>
    <w:rsid w:val="002C65E3"/>
    <w:rsid w:val="002C6C9B"/>
    <w:rsid w:val="002C6FE1"/>
    <w:rsid w:val="002C7399"/>
    <w:rsid w:val="002C7410"/>
    <w:rsid w:val="002C797E"/>
    <w:rsid w:val="002C7A54"/>
    <w:rsid w:val="002C7D69"/>
    <w:rsid w:val="002D0150"/>
    <w:rsid w:val="002D0159"/>
    <w:rsid w:val="002D0954"/>
    <w:rsid w:val="002D0A37"/>
    <w:rsid w:val="002D0DCF"/>
    <w:rsid w:val="002D211C"/>
    <w:rsid w:val="002D2163"/>
    <w:rsid w:val="002D2284"/>
    <w:rsid w:val="002D3CB7"/>
    <w:rsid w:val="002D4233"/>
    <w:rsid w:val="002D4934"/>
    <w:rsid w:val="002D4A39"/>
    <w:rsid w:val="002D4B7C"/>
    <w:rsid w:val="002D4DCE"/>
    <w:rsid w:val="002D5069"/>
    <w:rsid w:val="002D50CB"/>
    <w:rsid w:val="002D5604"/>
    <w:rsid w:val="002D56F4"/>
    <w:rsid w:val="002D586E"/>
    <w:rsid w:val="002D5898"/>
    <w:rsid w:val="002D63D0"/>
    <w:rsid w:val="002D6893"/>
    <w:rsid w:val="002D6A24"/>
    <w:rsid w:val="002D6CBF"/>
    <w:rsid w:val="002D715A"/>
    <w:rsid w:val="002D7B09"/>
    <w:rsid w:val="002D7CA9"/>
    <w:rsid w:val="002E05CD"/>
    <w:rsid w:val="002E0E74"/>
    <w:rsid w:val="002E0F9B"/>
    <w:rsid w:val="002E11FF"/>
    <w:rsid w:val="002E1354"/>
    <w:rsid w:val="002E142D"/>
    <w:rsid w:val="002E14F6"/>
    <w:rsid w:val="002E1673"/>
    <w:rsid w:val="002E1D78"/>
    <w:rsid w:val="002E2246"/>
    <w:rsid w:val="002E257C"/>
    <w:rsid w:val="002E2CB6"/>
    <w:rsid w:val="002E3165"/>
    <w:rsid w:val="002E34D6"/>
    <w:rsid w:val="002E3555"/>
    <w:rsid w:val="002E3EAD"/>
    <w:rsid w:val="002E3F19"/>
    <w:rsid w:val="002E3F3C"/>
    <w:rsid w:val="002E4430"/>
    <w:rsid w:val="002E4519"/>
    <w:rsid w:val="002E51D2"/>
    <w:rsid w:val="002E5596"/>
    <w:rsid w:val="002E5EE7"/>
    <w:rsid w:val="002E60EC"/>
    <w:rsid w:val="002E6175"/>
    <w:rsid w:val="002E6204"/>
    <w:rsid w:val="002E6911"/>
    <w:rsid w:val="002E6D3B"/>
    <w:rsid w:val="002E6F1C"/>
    <w:rsid w:val="002E6FA8"/>
    <w:rsid w:val="002E6FBE"/>
    <w:rsid w:val="002E7036"/>
    <w:rsid w:val="002E7841"/>
    <w:rsid w:val="002E788C"/>
    <w:rsid w:val="002E7A0E"/>
    <w:rsid w:val="002E7E46"/>
    <w:rsid w:val="002E7EFA"/>
    <w:rsid w:val="002E7F54"/>
    <w:rsid w:val="002F0E07"/>
    <w:rsid w:val="002F0E7C"/>
    <w:rsid w:val="002F197F"/>
    <w:rsid w:val="002F1C10"/>
    <w:rsid w:val="002F1FBD"/>
    <w:rsid w:val="002F239C"/>
    <w:rsid w:val="002F25C4"/>
    <w:rsid w:val="002F26CB"/>
    <w:rsid w:val="002F32C2"/>
    <w:rsid w:val="002F396D"/>
    <w:rsid w:val="002F3994"/>
    <w:rsid w:val="002F39A3"/>
    <w:rsid w:val="002F4130"/>
    <w:rsid w:val="002F4357"/>
    <w:rsid w:val="002F455E"/>
    <w:rsid w:val="002F4689"/>
    <w:rsid w:val="002F46C0"/>
    <w:rsid w:val="002F48EB"/>
    <w:rsid w:val="002F4B93"/>
    <w:rsid w:val="002F4C3C"/>
    <w:rsid w:val="002F6386"/>
    <w:rsid w:val="002F6A5B"/>
    <w:rsid w:val="002F6C51"/>
    <w:rsid w:val="002F7D8C"/>
    <w:rsid w:val="002F7F98"/>
    <w:rsid w:val="0030004E"/>
    <w:rsid w:val="00300996"/>
    <w:rsid w:val="00300CD8"/>
    <w:rsid w:val="00300D9E"/>
    <w:rsid w:val="003010ED"/>
    <w:rsid w:val="00301636"/>
    <w:rsid w:val="003016A3"/>
    <w:rsid w:val="00301901"/>
    <w:rsid w:val="00301B75"/>
    <w:rsid w:val="00301D9D"/>
    <w:rsid w:val="00301DD6"/>
    <w:rsid w:val="0030296C"/>
    <w:rsid w:val="00302EF4"/>
    <w:rsid w:val="003035A6"/>
    <w:rsid w:val="003035D3"/>
    <w:rsid w:val="00303671"/>
    <w:rsid w:val="00303704"/>
    <w:rsid w:val="00303C7B"/>
    <w:rsid w:val="003042A4"/>
    <w:rsid w:val="003045F7"/>
    <w:rsid w:val="00304BEE"/>
    <w:rsid w:val="00304FB3"/>
    <w:rsid w:val="00305032"/>
    <w:rsid w:val="00305171"/>
    <w:rsid w:val="003054AE"/>
    <w:rsid w:val="0030728C"/>
    <w:rsid w:val="003075CB"/>
    <w:rsid w:val="003078C0"/>
    <w:rsid w:val="00307CCE"/>
    <w:rsid w:val="00307DD5"/>
    <w:rsid w:val="0031055C"/>
    <w:rsid w:val="003118CF"/>
    <w:rsid w:val="003128E5"/>
    <w:rsid w:val="00312B26"/>
    <w:rsid w:val="00312B89"/>
    <w:rsid w:val="00312C48"/>
    <w:rsid w:val="00313974"/>
    <w:rsid w:val="00313A51"/>
    <w:rsid w:val="00313B32"/>
    <w:rsid w:val="00314297"/>
    <w:rsid w:val="00314758"/>
    <w:rsid w:val="0031487E"/>
    <w:rsid w:val="003148FC"/>
    <w:rsid w:val="003153B3"/>
    <w:rsid w:val="003155BD"/>
    <w:rsid w:val="0031572A"/>
    <w:rsid w:val="00315CAE"/>
    <w:rsid w:val="00315D3A"/>
    <w:rsid w:val="00315EA7"/>
    <w:rsid w:val="00315F3B"/>
    <w:rsid w:val="00315F43"/>
    <w:rsid w:val="0031631A"/>
    <w:rsid w:val="00316AA1"/>
    <w:rsid w:val="00316B49"/>
    <w:rsid w:val="00316B7A"/>
    <w:rsid w:val="00316B80"/>
    <w:rsid w:val="00316E66"/>
    <w:rsid w:val="003170FB"/>
    <w:rsid w:val="003171CD"/>
    <w:rsid w:val="003177E4"/>
    <w:rsid w:val="0032021B"/>
    <w:rsid w:val="00320229"/>
    <w:rsid w:val="00320E74"/>
    <w:rsid w:val="00321278"/>
    <w:rsid w:val="003217A4"/>
    <w:rsid w:val="00321A05"/>
    <w:rsid w:val="00321A7B"/>
    <w:rsid w:val="0032207B"/>
    <w:rsid w:val="003226E4"/>
    <w:rsid w:val="003227FE"/>
    <w:rsid w:val="003228EF"/>
    <w:rsid w:val="00322922"/>
    <w:rsid w:val="003232DC"/>
    <w:rsid w:val="00323400"/>
    <w:rsid w:val="00323499"/>
    <w:rsid w:val="003238FB"/>
    <w:rsid w:val="0032492E"/>
    <w:rsid w:val="00324956"/>
    <w:rsid w:val="00324D69"/>
    <w:rsid w:val="00325818"/>
    <w:rsid w:val="00325B46"/>
    <w:rsid w:val="00325EAD"/>
    <w:rsid w:val="003260FC"/>
    <w:rsid w:val="00326115"/>
    <w:rsid w:val="0032617F"/>
    <w:rsid w:val="003261DE"/>
    <w:rsid w:val="003262F2"/>
    <w:rsid w:val="00326761"/>
    <w:rsid w:val="00326A36"/>
    <w:rsid w:val="00326F01"/>
    <w:rsid w:val="003279A3"/>
    <w:rsid w:val="003300F1"/>
    <w:rsid w:val="003301E0"/>
    <w:rsid w:val="00330433"/>
    <w:rsid w:val="003308E4"/>
    <w:rsid w:val="00330CC0"/>
    <w:rsid w:val="003312A5"/>
    <w:rsid w:val="003312AF"/>
    <w:rsid w:val="003317D3"/>
    <w:rsid w:val="00331BF5"/>
    <w:rsid w:val="00331F36"/>
    <w:rsid w:val="00332334"/>
    <w:rsid w:val="00332484"/>
    <w:rsid w:val="003324E7"/>
    <w:rsid w:val="003327E1"/>
    <w:rsid w:val="00332946"/>
    <w:rsid w:val="00332B71"/>
    <w:rsid w:val="003333AF"/>
    <w:rsid w:val="00334295"/>
    <w:rsid w:val="00334441"/>
    <w:rsid w:val="003345BD"/>
    <w:rsid w:val="00334852"/>
    <w:rsid w:val="003352D5"/>
    <w:rsid w:val="0033561E"/>
    <w:rsid w:val="003356E0"/>
    <w:rsid w:val="00335AE3"/>
    <w:rsid w:val="00335B64"/>
    <w:rsid w:val="003363C2"/>
    <w:rsid w:val="0033652D"/>
    <w:rsid w:val="00336D5B"/>
    <w:rsid w:val="00336ECB"/>
    <w:rsid w:val="00336F90"/>
    <w:rsid w:val="00337001"/>
    <w:rsid w:val="0033749E"/>
    <w:rsid w:val="0034023C"/>
    <w:rsid w:val="0034029F"/>
    <w:rsid w:val="00340C4D"/>
    <w:rsid w:val="0034101D"/>
    <w:rsid w:val="003410A8"/>
    <w:rsid w:val="00341263"/>
    <w:rsid w:val="00341388"/>
    <w:rsid w:val="003416D6"/>
    <w:rsid w:val="003418A1"/>
    <w:rsid w:val="00341A25"/>
    <w:rsid w:val="00341D01"/>
    <w:rsid w:val="00342445"/>
    <w:rsid w:val="003425C1"/>
    <w:rsid w:val="003427F9"/>
    <w:rsid w:val="00342F39"/>
    <w:rsid w:val="00343217"/>
    <w:rsid w:val="00343FE9"/>
    <w:rsid w:val="0034406C"/>
    <w:rsid w:val="003443AA"/>
    <w:rsid w:val="0034469E"/>
    <w:rsid w:val="00344EE7"/>
    <w:rsid w:val="00344F4B"/>
    <w:rsid w:val="003453A8"/>
    <w:rsid w:val="00345570"/>
    <w:rsid w:val="003461C1"/>
    <w:rsid w:val="0034680A"/>
    <w:rsid w:val="00346B0B"/>
    <w:rsid w:val="00346D3A"/>
    <w:rsid w:val="00346F9E"/>
    <w:rsid w:val="00347280"/>
    <w:rsid w:val="00347966"/>
    <w:rsid w:val="00347AC9"/>
    <w:rsid w:val="00347D66"/>
    <w:rsid w:val="00350B16"/>
    <w:rsid w:val="00350CF0"/>
    <w:rsid w:val="00350D33"/>
    <w:rsid w:val="0035180B"/>
    <w:rsid w:val="0035183C"/>
    <w:rsid w:val="00351FDE"/>
    <w:rsid w:val="003528C6"/>
    <w:rsid w:val="00352DDC"/>
    <w:rsid w:val="00353044"/>
    <w:rsid w:val="003531AE"/>
    <w:rsid w:val="003531F0"/>
    <w:rsid w:val="00353634"/>
    <w:rsid w:val="003536A4"/>
    <w:rsid w:val="0035381A"/>
    <w:rsid w:val="0035384D"/>
    <w:rsid w:val="0035393B"/>
    <w:rsid w:val="00353AF7"/>
    <w:rsid w:val="00353CA1"/>
    <w:rsid w:val="00353CE8"/>
    <w:rsid w:val="00353E6C"/>
    <w:rsid w:val="00353E73"/>
    <w:rsid w:val="00354696"/>
    <w:rsid w:val="00354718"/>
    <w:rsid w:val="00354D8E"/>
    <w:rsid w:val="0035519A"/>
    <w:rsid w:val="003552B6"/>
    <w:rsid w:val="0035533A"/>
    <w:rsid w:val="003554FC"/>
    <w:rsid w:val="00355865"/>
    <w:rsid w:val="00355983"/>
    <w:rsid w:val="00355E58"/>
    <w:rsid w:val="00355F57"/>
    <w:rsid w:val="00356535"/>
    <w:rsid w:val="00356C24"/>
    <w:rsid w:val="00356D3B"/>
    <w:rsid w:val="00356DA1"/>
    <w:rsid w:val="003578D2"/>
    <w:rsid w:val="0035794F"/>
    <w:rsid w:val="00357D00"/>
    <w:rsid w:val="00357F74"/>
    <w:rsid w:val="0036033C"/>
    <w:rsid w:val="0036059A"/>
    <w:rsid w:val="003608D1"/>
    <w:rsid w:val="00360AC0"/>
    <w:rsid w:val="00360BD5"/>
    <w:rsid w:val="003612DE"/>
    <w:rsid w:val="00361306"/>
    <w:rsid w:val="0036154B"/>
    <w:rsid w:val="00361C77"/>
    <w:rsid w:val="00361D56"/>
    <w:rsid w:val="00361DDB"/>
    <w:rsid w:val="0036261E"/>
    <w:rsid w:val="003631EC"/>
    <w:rsid w:val="003633C8"/>
    <w:rsid w:val="00363B22"/>
    <w:rsid w:val="00363FF8"/>
    <w:rsid w:val="0036402A"/>
    <w:rsid w:val="003640E1"/>
    <w:rsid w:val="00364476"/>
    <w:rsid w:val="003647C4"/>
    <w:rsid w:val="0036483C"/>
    <w:rsid w:val="003648AB"/>
    <w:rsid w:val="00365277"/>
    <w:rsid w:val="00365684"/>
    <w:rsid w:val="00365901"/>
    <w:rsid w:val="0036593C"/>
    <w:rsid w:val="00366590"/>
    <w:rsid w:val="00366BE3"/>
    <w:rsid w:val="00366DEA"/>
    <w:rsid w:val="003671BE"/>
    <w:rsid w:val="00367482"/>
    <w:rsid w:val="00367673"/>
    <w:rsid w:val="00367973"/>
    <w:rsid w:val="003679E2"/>
    <w:rsid w:val="00367BC3"/>
    <w:rsid w:val="00367E62"/>
    <w:rsid w:val="00367E6B"/>
    <w:rsid w:val="00367F5D"/>
    <w:rsid w:val="003704B1"/>
    <w:rsid w:val="0037053D"/>
    <w:rsid w:val="003705F0"/>
    <w:rsid w:val="00370914"/>
    <w:rsid w:val="00370B59"/>
    <w:rsid w:val="00370DBD"/>
    <w:rsid w:val="003714B9"/>
    <w:rsid w:val="003716FF"/>
    <w:rsid w:val="003719F1"/>
    <w:rsid w:val="00371D95"/>
    <w:rsid w:val="003722B2"/>
    <w:rsid w:val="003725A4"/>
    <w:rsid w:val="00372E9A"/>
    <w:rsid w:val="00372F38"/>
    <w:rsid w:val="003733E4"/>
    <w:rsid w:val="003735A8"/>
    <w:rsid w:val="00374268"/>
    <w:rsid w:val="00374392"/>
    <w:rsid w:val="00374584"/>
    <w:rsid w:val="00374D3F"/>
    <w:rsid w:val="003752E2"/>
    <w:rsid w:val="00375778"/>
    <w:rsid w:val="00375A62"/>
    <w:rsid w:val="00375B95"/>
    <w:rsid w:val="00375BF1"/>
    <w:rsid w:val="00375F66"/>
    <w:rsid w:val="003762EB"/>
    <w:rsid w:val="00376491"/>
    <w:rsid w:val="003766C0"/>
    <w:rsid w:val="003767C7"/>
    <w:rsid w:val="00376A23"/>
    <w:rsid w:val="00376DB3"/>
    <w:rsid w:val="00377062"/>
    <w:rsid w:val="0037721D"/>
    <w:rsid w:val="00377652"/>
    <w:rsid w:val="00377C16"/>
    <w:rsid w:val="00380302"/>
    <w:rsid w:val="003804A7"/>
    <w:rsid w:val="003804E4"/>
    <w:rsid w:val="0038087D"/>
    <w:rsid w:val="00380A18"/>
    <w:rsid w:val="00380C25"/>
    <w:rsid w:val="0038102A"/>
    <w:rsid w:val="00381067"/>
    <w:rsid w:val="003811B0"/>
    <w:rsid w:val="003813B6"/>
    <w:rsid w:val="00381424"/>
    <w:rsid w:val="00381490"/>
    <w:rsid w:val="003816EA"/>
    <w:rsid w:val="00381AAE"/>
    <w:rsid w:val="00382244"/>
    <w:rsid w:val="00382575"/>
    <w:rsid w:val="00382A0C"/>
    <w:rsid w:val="00382A12"/>
    <w:rsid w:val="00383353"/>
    <w:rsid w:val="003833B4"/>
    <w:rsid w:val="003837A1"/>
    <w:rsid w:val="003837B5"/>
    <w:rsid w:val="00383A2A"/>
    <w:rsid w:val="00384083"/>
    <w:rsid w:val="003840B1"/>
    <w:rsid w:val="003844C9"/>
    <w:rsid w:val="003844D8"/>
    <w:rsid w:val="00384625"/>
    <w:rsid w:val="00384867"/>
    <w:rsid w:val="00384D8F"/>
    <w:rsid w:val="003855C0"/>
    <w:rsid w:val="003856F8"/>
    <w:rsid w:val="00385763"/>
    <w:rsid w:val="00386748"/>
    <w:rsid w:val="0038674B"/>
    <w:rsid w:val="003869EB"/>
    <w:rsid w:val="00386D1A"/>
    <w:rsid w:val="00387082"/>
    <w:rsid w:val="00387137"/>
    <w:rsid w:val="00387464"/>
    <w:rsid w:val="00387736"/>
    <w:rsid w:val="00387D0B"/>
    <w:rsid w:val="00390897"/>
    <w:rsid w:val="00390F1B"/>
    <w:rsid w:val="00390FB0"/>
    <w:rsid w:val="003919B9"/>
    <w:rsid w:val="00391C2B"/>
    <w:rsid w:val="00391DBD"/>
    <w:rsid w:val="00391F7B"/>
    <w:rsid w:val="003923B0"/>
    <w:rsid w:val="00392ED9"/>
    <w:rsid w:val="003930C7"/>
    <w:rsid w:val="00393B9D"/>
    <w:rsid w:val="00393CED"/>
    <w:rsid w:val="0039427A"/>
    <w:rsid w:val="003947AB"/>
    <w:rsid w:val="00394820"/>
    <w:rsid w:val="00394923"/>
    <w:rsid w:val="00394DAC"/>
    <w:rsid w:val="00394E0E"/>
    <w:rsid w:val="003957AE"/>
    <w:rsid w:val="003961FB"/>
    <w:rsid w:val="00396D08"/>
    <w:rsid w:val="003A0A47"/>
    <w:rsid w:val="003A0DEF"/>
    <w:rsid w:val="003A10CA"/>
    <w:rsid w:val="003A1120"/>
    <w:rsid w:val="003A141F"/>
    <w:rsid w:val="003A188E"/>
    <w:rsid w:val="003A1994"/>
    <w:rsid w:val="003A1A69"/>
    <w:rsid w:val="003A21A1"/>
    <w:rsid w:val="003A26E0"/>
    <w:rsid w:val="003A2996"/>
    <w:rsid w:val="003A2A9A"/>
    <w:rsid w:val="003A2FCE"/>
    <w:rsid w:val="003A3006"/>
    <w:rsid w:val="003A30F2"/>
    <w:rsid w:val="003A35DA"/>
    <w:rsid w:val="003A3A22"/>
    <w:rsid w:val="003A3BE9"/>
    <w:rsid w:val="003A3CBB"/>
    <w:rsid w:val="003A403F"/>
    <w:rsid w:val="003A4545"/>
    <w:rsid w:val="003A4CFB"/>
    <w:rsid w:val="003A4DCA"/>
    <w:rsid w:val="003A4F19"/>
    <w:rsid w:val="003A4FA9"/>
    <w:rsid w:val="003A57D4"/>
    <w:rsid w:val="003A5FD8"/>
    <w:rsid w:val="003A62B1"/>
    <w:rsid w:val="003A639A"/>
    <w:rsid w:val="003A675D"/>
    <w:rsid w:val="003A68D6"/>
    <w:rsid w:val="003A6BF9"/>
    <w:rsid w:val="003A6E5E"/>
    <w:rsid w:val="003A743E"/>
    <w:rsid w:val="003A7ADE"/>
    <w:rsid w:val="003A7C4B"/>
    <w:rsid w:val="003A7D61"/>
    <w:rsid w:val="003B03AB"/>
    <w:rsid w:val="003B0856"/>
    <w:rsid w:val="003B0922"/>
    <w:rsid w:val="003B0B12"/>
    <w:rsid w:val="003B14AB"/>
    <w:rsid w:val="003B1BE5"/>
    <w:rsid w:val="003B1BEE"/>
    <w:rsid w:val="003B1D78"/>
    <w:rsid w:val="003B1E87"/>
    <w:rsid w:val="003B21E7"/>
    <w:rsid w:val="003B2480"/>
    <w:rsid w:val="003B2A34"/>
    <w:rsid w:val="003B2C5C"/>
    <w:rsid w:val="003B2C79"/>
    <w:rsid w:val="003B2E04"/>
    <w:rsid w:val="003B31EA"/>
    <w:rsid w:val="003B3D28"/>
    <w:rsid w:val="003B3D73"/>
    <w:rsid w:val="003B3E2D"/>
    <w:rsid w:val="003B40AE"/>
    <w:rsid w:val="003B42B4"/>
    <w:rsid w:val="003B4498"/>
    <w:rsid w:val="003B4A6F"/>
    <w:rsid w:val="003B5220"/>
    <w:rsid w:val="003B540A"/>
    <w:rsid w:val="003B5783"/>
    <w:rsid w:val="003B57E0"/>
    <w:rsid w:val="003B5D7F"/>
    <w:rsid w:val="003B5E34"/>
    <w:rsid w:val="003B6791"/>
    <w:rsid w:val="003B6E2C"/>
    <w:rsid w:val="003B72E6"/>
    <w:rsid w:val="003B7714"/>
    <w:rsid w:val="003B7D3A"/>
    <w:rsid w:val="003B7DB1"/>
    <w:rsid w:val="003B7E26"/>
    <w:rsid w:val="003C01A3"/>
    <w:rsid w:val="003C01D4"/>
    <w:rsid w:val="003C057C"/>
    <w:rsid w:val="003C0912"/>
    <w:rsid w:val="003C0F0F"/>
    <w:rsid w:val="003C1353"/>
    <w:rsid w:val="003C16A8"/>
    <w:rsid w:val="003C215F"/>
    <w:rsid w:val="003C2431"/>
    <w:rsid w:val="003C2928"/>
    <w:rsid w:val="003C2CA6"/>
    <w:rsid w:val="003C2CC3"/>
    <w:rsid w:val="003C2D01"/>
    <w:rsid w:val="003C315C"/>
    <w:rsid w:val="003C35B5"/>
    <w:rsid w:val="003C3755"/>
    <w:rsid w:val="003C3A06"/>
    <w:rsid w:val="003C3DC4"/>
    <w:rsid w:val="003C48B6"/>
    <w:rsid w:val="003C4927"/>
    <w:rsid w:val="003C4F7E"/>
    <w:rsid w:val="003C50AD"/>
    <w:rsid w:val="003C5669"/>
    <w:rsid w:val="003C57D8"/>
    <w:rsid w:val="003C60AF"/>
    <w:rsid w:val="003C60D5"/>
    <w:rsid w:val="003C62EE"/>
    <w:rsid w:val="003C63EA"/>
    <w:rsid w:val="003C682A"/>
    <w:rsid w:val="003C69BF"/>
    <w:rsid w:val="003C6A25"/>
    <w:rsid w:val="003C7062"/>
    <w:rsid w:val="003C7249"/>
    <w:rsid w:val="003C779E"/>
    <w:rsid w:val="003C7DC0"/>
    <w:rsid w:val="003C7FB1"/>
    <w:rsid w:val="003D0180"/>
    <w:rsid w:val="003D0585"/>
    <w:rsid w:val="003D074B"/>
    <w:rsid w:val="003D088E"/>
    <w:rsid w:val="003D09EE"/>
    <w:rsid w:val="003D0FBB"/>
    <w:rsid w:val="003D11DE"/>
    <w:rsid w:val="003D1FA9"/>
    <w:rsid w:val="003D23A3"/>
    <w:rsid w:val="003D289A"/>
    <w:rsid w:val="003D325D"/>
    <w:rsid w:val="003D3439"/>
    <w:rsid w:val="003D3A4E"/>
    <w:rsid w:val="003D3BED"/>
    <w:rsid w:val="003D3D5C"/>
    <w:rsid w:val="003D41C1"/>
    <w:rsid w:val="003D43DB"/>
    <w:rsid w:val="003D4428"/>
    <w:rsid w:val="003D447F"/>
    <w:rsid w:val="003D4622"/>
    <w:rsid w:val="003D4B13"/>
    <w:rsid w:val="003D4E51"/>
    <w:rsid w:val="003D50F0"/>
    <w:rsid w:val="003D530A"/>
    <w:rsid w:val="003D5856"/>
    <w:rsid w:val="003D594E"/>
    <w:rsid w:val="003D5C93"/>
    <w:rsid w:val="003D5DD7"/>
    <w:rsid w:val="003D6299"/>
    <w:rsid w:val="003D6472"/>
    <w:rsid w:val="003D6E47"/>
    <w:rsid w:val="003D7534"/>
    <w:rsid w:val="003D7536"/>
    <w:rsid w:val="003D7868"/>
    <w:rsid w:val="003D791C"/>
    <w:rsid w:val="003D7A6A"/>
    <w:rsid w:val="003D7BF1"/>
    <w:rsid w:val="003D7D9D"/>
    <w:rsid w:val="003D7E20"/>
    <w:rsid w:val="003E00DD"/>
    <w:rsid w:val="003E02ED"/>
    <w:rsid w:val="003E0703"/>
    <w:rsid w:val="003E0818"/>
    <w:rsid w:val="003E12B5"/>
    <w:rsid w:val="003E14BA"/>
    <w:rsid w:val="003E1DC8"/>
    <w:rsid w:val="003E2043"/>
    <w:rsid w:val="003E2209"/>
    <w:rsid w:val="003E22B6"/>
    <w:rsid w:val="003E23AF"/>
    <w:rsid w:val="003E245A"/>
    <w:rsid w:val="003E25E5"/>
    <w:rsid w:val="003E2D56"/>
    <w:rsid w:val="003E2D81"/>
    <w:rsid w:val="003E33E9"/>
    <w:rsid w:val="003E417F"/>
    <w:rsid w:val="003E431C"/>
    <w:rsid w:val="003E43CE"/>
    <w:rsid w:val="003E4853"/>
    <w:rsid w:val="003E57F7"/>
    <w:rsid w:val="003E580B"/>
    <w:rsid w:val="003E59FA"/>
    <w:rsid w:val="003E5EAA"/>
    <w:rsid w:val="003E6055"/>
    <w:rsid w:val="003E6E1B"/>
    <w:rsid w:val="003E6E3A"/>
    <w:rsid w:val="003E7128"/>
    <w:rsid w:val="003E7204"/>
    <w:rsid w:val="003E737F"/>
    <w:rsid w:val="003E7797"/>
    <w:rsid w:val="003E7ACD"/>
    <w:rsid w:val="003E7BAB"/>
    <w:rsid w:val="003F003D"/>
    <w:rsid w:val="003F021C"/>
    <w:rsid w:val="003F09FD"/>
    <w:rsid w:val="003F0D14"/>
    <w:rsid w:val="003F0F72"/>
    <w:rsid w:val="003F155E"/>
    <w:rsid w:val="003F1622"/>
    <w:rsid w:val="003F1E0C"/>
    <w:rsid w:val="003F25FF"/>
    <w:rsid w:val="003F2A78"/>
    <w:rsid w:val="003F3EA6"/>
    <w:rsid w:val="003F41CE"/>
    <w:rsid w:val="003F427D"/>
    <w:rsid w:val="003F42E7"/>
    <w:rsid w:val="003F48B7"/>
    <w:rsid w:val="003F525A"/>
    <w:rsid w:val="003F5C63"/>
    <w:rsid w:val="003F661F"/>
    <w:rsid w:val="003F67DB"/>
    <w:rsid w:val="003F6A00"/>
    <w:rsid w:val="003F6F1A"/>
    <w:rsid w:val="003F71A7"/>
    <w:rsid w:val="003F7502"/>
    <w:rsid w:val="003F7543"/>
    <w:rsid w:val="004002A0"/>
    <w:rsid w:val="00400395"/>
    <w:rsid w:val="0040060F"/>
    <w:rsid w:val="00400AD4"/>
    <w:rsid w:val="004010F1"/>
    <w:rsid w:val="004011C4"/>
    <w:rsid w:val="00401827"/>
    <w:rsid w:val="00401CF8"/>
    <w:rsid w:val="0040251B"/>
    <w:rsid w:val="00402592"/>
    <w:rsid w:val="00402693"/>
    <w:rsid w:val="00402F3C"/>
    <w:rsid w:val="0040334F"/>
    <w:rsid w:val="004039FF"/>
    <w:rsid w:val="004044C8"/>
    <w:rsid w:val="00404655"/>
    <w:rsid w:val="00404C6E"/>
    <w:rsid w:val="00404CBE"/>
    <w:rsid w:val="00404E4F"/>
    <w:rsid w:val="0040526D"/>
    <w:rsid w:val="00405730"/>
    <w:rsid w:val="00405AB0"/>
    <w:rsid w:val="00405F15"/>
    <w:rsid w:val="0040614F"/>
    <w:rsid w:val="004062FB"/>
    <w:rsid w:val="00406499"/>
    <w:rsid w:val="004064F7"/>
    <w:rsid w:val="00406EAA"/>
    <w:rsid w:val="00407415"/>
    <w:rsid w:val="004107BC"/>
    <w:rsid w:val="004108EC"/>
    <w:rsid w:val="00410F86"/>
    <w:rsid w:val="004110BE"/>
    <w:rsid w:val="004112E9"/>
    <w:rsid w:val="00411665"/>
    <w:rsid w:val="004117B0"/>
    <w:rsid w:val="00411E7C"/>
    <w:rsid w:val="00412073"/>
    <w:rsid w:val="00412158"/>
    <w:rsid w:val="004121C9"/>
    <w:rsid w:val="004121DE"/>
    <w:rsid w:val="0041229E"/>
    <w:rsid w:val="00412D9B"/>
    <w:rsid w:val="0041343C"/>
    <w:rsid w:val="0041346D"/>
    <w:rsid w:val="00413596"/>
    <w:rsid w:val="00413716"/>
    <w:rsid w:val="004137A6"/>
    <w:rsid w:val="00413901"/>
    <w:rsid w:val="0041397B"/>
    <w:rsid w:val="00413F2B"/>
    <w:rsid w:val="00414053"/>
    <w:rsid w:val="0041425C"/>
    <w:rsid w:val="004147ED"/>
    <w:rsid w:val="00414A27"/>
    <w:rsid w:val="00414AA2"/>
    <w:rsid w:val="00414AF9"/>
    <w:rsid w:val="00414BEC"/>
    <w:rsid w:val="00414C5E"/>
    <w:rsid w:val="00414C8F"/>
    <w:rsid w:val="00415664"/>
    <w:rsid w:val="00415AF5"/>
    <w:rsid w:val="0041615C"/>
    <w:rsid w:val="0041633F"/>
    <w:rsid w:val="0041641B"/>
    <w:rsid w:val="004166AD"/>
    <w:rsid w:val="00417BDE"/>
    <w:rsid w:val="00417FDE"/>
    <w:rsid w:val="00420316"/>
    <w:rsid w:val="00420673"/>
    <w:rsid w:val="0042076B"/>
    <w:rsid w:val="00420F0E"/>
    <w:rsid w:val="00421636"/>
    <w:rsid w:val="00421B0B"/>
    <w:rsid w:val="00421D8A"/>
    <w:rsid w:val="00422892"/>
    <w:rsid w:val="00422AC6"/>
    <w:rsid w:val="00422EC1"/>
    <w:rsid w:val="00422FAB"/>
    <w:rsid w:val="00422FE0"/>
    <w:rsid w:val="00422FEE"/>
    <w:rsid w:val="004230BD"/>
    <w:rsid w:val="0042339A"/>
    <w:rsid w:val="00423AD6"/>
    <w:rsid w:val="00423B15"/>
    <w:rsid w:val="00424049"/>
    <w:rsid w:val="004248D6"/>
    <w:rsid w:val="004249CF"/>
    <w:rsid w:val="00424AD6"/>
    <w:rsid w:val="00424BF4"/>
    <w:rsid w:val="00424CB8"/>
    <w:rsid w:val="00424E77"/>
    <w:rsid w:val="0042508F"/>
    <w:rsid w:val="004251C0"/>
    <w:rsid w:val="00425A7D"/>
    <w:rsid w:val="00425E24"/>
    <w:rsid w:val="00426359"/>
    <w:rsid w:val="00426588"/>
    <w:rsid w:val="00426637"/>
    <w:rsid w:val="00426D9F"/>
    <w:rsid w:val="00426F28"/>
    <w:rsid w:val="00426FFF"/>
    <w:rsid w:val="0042770C"/>
    <w:rsid w:val="0042773D"/>
    <w:rsid w:val="00427B84"/>
    <w:rsid w:val="00430246"/>
    <w:rsid w:val="004303F6"/>
    <w:rsid w:val="004306E6"/>
    <w:rsid w:val="00430A03"/>
    <w:rsid w:val="00430BE5"/>
    <w:rsid w:val="004314F2"/>
    <w:rsid w:val="004317B1"/>
    <w:rsid w:val="00431B7E"/>
    <w:rsid w:val="00431DA1"/>
    <w:rsid w:val="00431F38"/>
    <w:rsid w:val="0043260F"/>
    <w:rsid w:val="00432F2A"/>
    <w:rsid w:val="00433061"/>
    <w:rsid w:val="004330E7"/>
    <w:rsid w:val="0043326D"/>
    <w:rsid w:val="00433461"/>
    <w:rsid w:val="00433A7D"/>
    <w:rsid w:val="004342D1"/>
    <w:rsid w:val="004344DF"/>
    <w:rsid w:val="004344E4"/>
    <w:rsid w:val="00434CB1"/>
    <w:rsid w:val="00435007"/>
    <w:rsid w:val="004353F8"/>
    <w:rsid w:val="00435548"/>
    <w:rsid w:val="00435654"/>
    <w:rsid w:val="00435667"/>
    <w:rsid w:val="00435F09"/>
    <w:rsid w:val="00435FCA"/>
    <w:rsid w:val="0043607F"/>
    <w:rsid w:val="004361F6"/>
    <w:rsid w:val="0043634D"/>
    <w:rsid w:val="004367B1"/>
    <w:rsid w:val="00436B85"/>
    <w:rsid w:val="0043709F"/>
    <w:rsid w:val="004379C2"/>
    <w:rsid w:val="004400E8"/>
    <w:rsid w:val="00440140"/>
    <w:rsid w:val="00440666"/>
    <w:rsid w:val="00440880"/>
    <w:rsid w:val="00441518"/>
    <w:rsid w:val="00441A19"/>
    <w:rsid w:val="00441E11"/>
    <w:rsid w:val="00441E69"/>
    <w:rsid w:val="0044223B"/>
    <w:rsid w:val="004422A5"/>
    <w:rsid w:val="00442874"/>
    <w:rsid w:val="00442EBD"/>
    <w:rsid w:val="004434ED"/>
    <w:rsid w:val="00443604"/>
    <w:rsid w:val="0044364F"/>
    <w:rsid w:val="0044396E"/>
    <w:rsid w:val="004439E4"/>
    <w:rsid w:val="00443C96"/>
    <w:rsid w:val="00443D41"/>
    <w:rsid w:val="004440FE"/>
    <w:rsid w:val="00444210"/>
    <w:rsid w:val="0044447E"/>
    <w:rsid w:val="004448BD"/>
    <w:rsid w:val="00444DD4"/>
    <w:rsid w:val="00444E4C"/>
    <w:rsid w:val="00445A2C"/>
    <w:rsid w:val="00445A32"/>
    <w:rsid w:val="00445ADB"/>
    <w:rsid w:val="00445BD9"/>
    <w:rsid w:val="00445CD9"/>
    <w:rsid w:val="00445E03"/>
    <w:rsid w:val="00445E29"/>
    <w:rsid w:val="00446214"/>
    <w:rsid w:val="004477F3"/>
    <w:rsid w:val="00447F23"/>
    <w:rsid w:val="004502DD"/>
    <w:rsid w:val="004502E1"/>
    <w:rsid w:val="004506AB"/>
    <w:rsid w:val="00450B57"/>
    <w:rsid w:val="00450BAD"/>
    <w:rsid w:val="00450C80"/>
    <w:rsid w:val="00450F24"/>
    <w:rsid w:val="0045147B"/>
    <w:rsid w:val="00451535"/>
    <w:rsid w:val="0045154B"/>
    <w:rsid w:val="004517AD"/>
    <w:rsid w:val="0045191F"/>
    <w:rsid w:val="00451C19"/>
    <w:rsid w:val="00451DE6"/>
    <w:rsid w:val="004521F1"/>
    <w:rsid w:val="0045248C"/>
    <w:rsid w:val="00452D57"/>
    <w:rsid w:val="00452E7E"/>
    <w:rsid w:val="00453321"/>
    <w:rsid w:val="00453A99"/>
    <w:rsid w:val="00453B42"/>
    <w:rsid w:val="00454042"/>
    <w:rsid w:val="004541C9"/>
    <w:rsid w:val="0045449E"/>
    <w:rsid w:val="004544D6"/>
    <w:rsid w:val="00454524"/>
    <w:rsid w:val="004545E4"/>
    <w:rsid w:val="004545F8"/>
    <w:rsid w:val="00454ABD"/>
    <w:rsid w:val="00454EB7"/>
    <w:rsid w:val="00455213"/>
    <w:rsid w:val="00455A5D"/>
    <w:rsid w:val="00455EBC"/>
    <w:rsid w:val="00456AD4"/>
    <w:rsid w:val="00456C59"/>
    <w:rsid w:val="0045727B"/>
    <w:rsid w:val="004574D4"/>
    <w:rsid w:val="00457552"/>
    <w:rsid w:val="00457861"/>
    <w:rsid w:val="00457E54"/>
    <w:rsid w:val="00457F7F"/>
    <w:rsid w:val="00457F8C"/>
    <w:rsid w:val="0046014E"/>
    <w:rsid w:val="00460C0D"/>
    <w:rsid w:val="00460E3E"/>
    <w:rsid w:val="004615A2"/>
    <w:rsid w:val="00461CE9"/>
    <w:rsid w:val="00462407"/>
    <w:rsid w:val="00462438"/>
    <w:rsid w:val="00462613"/>
    <w:rsid w:val="00462A75"/>
    <w:rsid w:val="00462AF0"/>
    <w:rsid w:val="00463111"/>
    <w:rsid w:val="00463144"/>
    <w:rsid w:val="004631DD"/>
    <w:rsid w:val="0046326D"/>
    <w:rsid w:val="0046333E"/>
    <w:rsid w:val="004635FD"/>
    <w:rsid w:val="0046383C"/>
    <w:rsid w:val="00463AD0"/>
    <w:rsid w:val="00463B5B"/>
    <w:rsid w:val="00463C17"/>
    <w:rsid w:val="00463E2B"/>
    <w:rsid w:val="00463F68"/>
    <w:rsid w:val="004644EA"/>
    <w:rsid w:val="0046491C"/>
    <w:rsid w:val="00465946"/>
    <w:rsid w:val="00465B68"/>
    <w:rsid w:val="00465D29"/>
    <w:rsid w:val="0046605F"/>
    <w:rsid w:val="00466E14"/>
    <w:rsid w:val="00466FEA"/>
    <w:rsid w:val="00470129"/>
    <w:rsid w:val="0047045C"/>
    <w:rsid w:val="0047084E"/>
    <w:rsid w:val="0047085F"/>
    <w:rsid w:val="00470FF6"/>
    <w:rsid w:val="00472148"/>
    <w:rsid w:val="004722B9"/>
    <w:rsid w:val="004728A0"/>
    <w:rsid w:val="00472A5B"/>
    <w:rsid w:val="00472D31"/>
    <w:rsid w:val="00472E26"/>
    <w:rsid w:val="00472EA4"/>
    <w:rsid w:val="00473BF2"/>
    <w:rsid w:val="00473DB4"/>
    <w:rsid w:val="00473E06"/>
    <w:rsid w:val="00474042"/>
    <w:rsid w:val="004741D5"/>
    <w:rsid w:val="004742DD"/>
    <w:rsid w:val="00474611"/>
    <w:rsid w:val="004747A0"/>
    <w:rsid w:val="004747D2"/>
    <w:rsid w:val="00474BE4"/>
    <w:rsid w:val="00475231"/>
    <w:rsid w:val="00475FCC"/>
    <w:rsid w:val="0047610C"/>
    <w:rsid w:val="004761AC"/>
    <w:rsid w:val="004762D7"/>
    <w:rsid w:val="004762EE"/>
    <w:rsid w:val="00477264"/>
    <w:rsid w:val="00477ABF"/>
    <w:rsid w:val="00477E10"/>
    <w:rsid w:val="004804FA"/>
    <w:rsid w:val="0048090F"/>
    <w:rsid w:val="00480DDA"/>
    <w:rsid w:val="00481114"/>
    <w:rsid w:val="004812AD"/>
    <w:rsid w:val="004815DD"/>
    <w:rsid w:val="004815E4"/>
    <w:rsid w:val="0048170C"/>
    <w:rsid w:val="00481738"/>
    <w:rsid w:val="00481841"/>
    <w:rsid w:val="00481CE7"/>
    <w:rsid w:val="00481EFF"/>
    <w:rsid w:val="0048225D"/>
    <w:rsid w:val="004829C9"/>
    <w:rsid w:val="00482A42"/>
    <w:rsid w:val="00482B15"/>
    <w:rsid w:val="00482B8E"/>
    <w:rsid w:val="00482E39"/>
    <w:rsid w:val="00482EAA"/>
    <w:rsid w:val="00482F12"/>
    <w:rsid w:val="004832F8"/>
    <w:rsid w:val="004839AD"/>
    <w:rsid w:val="0048424D"/>
    <w:rsid w:val="00484353"/>
    <w:rsid w:val="004843A4"/>
    <w:rsid w:val="00484C01"/>
    <w:rsid w:val="00484E96"/>
    <w:rsid w:val="0048516D"/>
    <w:rsid w:val="00485E04"/>
    <w:rsid w:val="00485FF3"/>
    <w:rsid w:val="004860BD"/>
    <w:rsid w:val="00486635"/>
    <w:rsid w:val="004867DB"/>
    <w:rsid w:val="00486B03"/>
    <w:rsid w:val="00486D01"/>
    <w:rsid w:val="00486D3D"/>
    <w:rsid w:val="00486FBD"/>
    <w:rsid w:val="004870C0"/>
    <w:rsid w:val="004872CD"/>
    <w:rsid w:val="00487406"/>
    <w:rsid w:val="00487595"/>
    <w:rsid w:val="00487D90"/>
    <w:rsid w:val="00487DAE"/>
    <w:rsid w:val="004903AF"/>
    <w:rsid w:val="004906FC"/>
    <w:rsid w:val="004907BF"/>
    <w:rsid w:val="004909C2"/>
    <w:rsid w:val="00490A00"/>
    <w:rsid w:val="00490C0F"/>
    <w:rsid w:val="00490D13"/>
    <w:rsid w:val="00491544"/>
    <w:rsid w:val="00491561"/>
    <w:rsid w:val="00491796"/>
    <w:rsid w:val="0049189F"/>
    <w:rsid w:val="00491DB9"/>
    <w:rsid w:val="00491DD7"/>
    <w:rsid w:val="004929B0"/>
    <w:rsid w:val="00492A21"/>
    <w:rsid w:val="00493D0E"/>
    <w:rsid w:val="00493D6B"/>
    <w:rsid w:val="00493EE3"/>
    <w:rsid w:val="00494379"/>
    <w:rsid w:val="00494B17"/>
    <w:rsid w:val="00494C2C"/>
    <w:rsid w:val="00494D17"/>
    <w:rsid w:val="00495755"/>
    <w:rsid w:val="0049634A"/>
    <w:rsid w:val="00496700"/>
    <w:rsid w:val="00496883"/>
    <w:rsid w:val="004969DC"/>
    <w:rsid w:val="00496C67"/>
    <w:rsid w:val="004977C7"/>
    <w:rsid w:val="004978C8"/>
    <w:rsid w:val="00497929"/>
    <w:rsid w:val="00497DCC"/>
    <w:rsid w:val="004A01D0"/>
    <w:rsid w:val="004A01D9"/>
    <w:rsid w:val="004A05EC"/>
    <w:rsid w:val="004A0A35"/>
    <w:rsid w:val="004A1187"/>
    <w:rsid w:val="004A193F"/>
    <w:rsid w:val="004A1A12"/>
    <w:rsid w:val="004A1C41"/>
    <w:rsid w:val="004A1E3F"/>
    <w:rsid w:val="004A1F46"/>
    <w:rsid w:val="004A2322"/>
    <w:rsid w:val="004A233A"/>
    <w:rsid w:val="004A2A2F"/>
    <w:rsid w:val="004A2A84"/>
    <w:rsid w:val="004A2CD4"/>
    <w:rsid w:val="004A2FB8"/>
    <w:rsid w:val="004A39A7"/>
    <w:rsid w:val="004A3DF9"/>
    <w:rsid w:val="004A4C2D"/>
    <w:rsid w:val="004A4F93"/>
    <w:rsid w:val="004A5586"/>
    <w:rsid w:val="004A5617"/>
    <w:rsid w:val="004A6290"/>
    <w:rsid w:val="004A6526"/>
    <w:rsid w:val="004A6ACA"/>
    <w:rsid w:val="004A701A"/>
    <w:rsid w:val="004A709D"/>
    <w:rsid w:val="004A79BB"/>
    <w:rsid w:val="004B01D9"/>
    <w:rsid w:val="004B0300"/>
    <w:rsid w:val="004B06F8"/>
    <w:rsid w:val="004B09B0"/>
    <w:rsid w:val="004B11BE"/>
    <w:rsid w:val="004B12BE"/>
    <w:rsid w:val="004B1531"/>
    <w:rsid w:val="004B17A7"/>
    <w:rsid w:val="004B183A"/>
    <w:rsid w:val="004B19E0"/>
    <w:rsid w:val="004B1F9E"/>
    <w:rsid w:val="004B293C"/>
    <w:rsid w:val="004B2AD4"/>
    <w:rsid w:val="004B2E15"/>
    <w:rsid w:val="004B3251"/>
    <w:rsid w:val="004B3325"/>
    <w:rsid w:val="004B3487"/>
    <w:rsid w:val="004B3AED"/>
    <w:rsid w:val="004B3CD8"/>
    <w:rsid w:val="004B3DAF"/>
    <w:rsid w:val="004B3E8F"/>
    <w:rsid w:val="004B3F3D"/>
    <w:rsid w:val="004B46F3"/>
    <w:rsid w:val="004B4855"/>
    <w:rsid w:val="004B5707"/>
    <w:rsid w:val="004B5A83"/>
    <w:rsid w:val="004B5D7A"/>
    <w:rsid w:val="004B607B"/>
    <w:rsid w:val="004B609E"/>
    <w:rsid w:val="004B63BC"/>
    <w:rsid w:val="004B652B"/>
    <w:rsid w:val="004B76F9"/>
    <w:rsid w:val="004B7A35"/>
    <w:rsid w:val="004B7FCA"/>
    <w:rsid w:val="004C04F3"/>
    <w:rsid w:val="004C0FBA"/>
    <w:rsid w:val="004C1666"/>
    <w:rsid w:val="004C181F"/>
    <w:rsid w:val="004C192D"/>
    <w:rsid w:val="004C1C30"/>
    <w:rsid w:val="004C1D30"/>
    <w:rsid w:val="004C1F42"/>
    <w:rsid w:val="004C246E"/>
    <w:rsid w:val="004C257D"/>
    <w:rsid w:val="004C269A"/>
    <w:rsid w:val="004C2BA1"/>
    <w:rsid w:val="004C2BFE"/>
    <w:rsid w:val="004C2C19"/>
    <w:rsid w:val="004C2E61"/>
    <w:rsid w:val="004C3310"/>
    <w:rsid w:val="004C34D2"/>
    <w:rsid w:val="004C3A4F"/>
    <w:rsid w:val="004C3A5D"/>
    <w:rsid w:val="004C3C41"/>
    <w:rsid w:val="004C3E4F"/>
    <w:rsid w:val="004C3E51"/>
    <w:rsid w:val="004C403B"/>
    <w:rsid w:val="004C461F"/>
    <w:rsid w:val="004C4823"/>
    <w:rsid w:val="004C4B23"/>
    <w:rsid w:val="004C4C2B"/>
    <w:rsid w:val="004C4E6E"/>
    <w:rsid w:val="004C4F5C"/>
    <w:rsid w:val="004C5CE3"/>
    <w:rsid w:val="004C5EA1"/>
    <w:rsid w:val="004C65E3"/>
    <w:rsid w:val="004C6D88"/>
    <w:rsid w:val="004C6E31"/>
    <w:rsid w:val="004C7071"/>
    <w:rsid w:val="004C715B"/>
    <w:rsid w:val="004C74B5"/>
    <w:rsid w:val="004C7568"/>
    <w:rsid w:val="004C7768"/>
    <w:rsid w:val="004D020C"/>
    <w:rsid w:val="004D03D1"/>
    <w:rsid w:val="004D06D4"/>
    <w:rsid w:val="004D0B0F"/>
    <w:rsid w:val="004D13A6"/>
    <w:rsid w:val="004D2178"/>
    <w:rsid w:val="004D2310"/>
    <w:rsid w:val="004D231A"/>
    <w:rsid w:val="004D25ED"/>
    <w:rsid w:val="004D2CAC"/>
    <w:rsid w:val="004D2F0C"/>
    <w:rsid w:val="004D33A2"/>
    <w:rsid w:val="004D35DE"/>
    <w:rsid w:val="004D3C95"/>
    <w:rsid w:val="004D3E27"/>
    <w:rsid w:val="004D4036"/>
    <w:rsid w:val="004D45A0"/>
    <w:rsid w:val="004D47A1"/>
    <w:rsid w:val="004D49B4"/>
    <w:rsid w:val="004D4CC8"/>
    <w:rsid w:val="004D532F"/>
    <w:rsid w:val="004D5494"/>
    <w:rsid w:val="004D5B26"/>
    <w:rsid w:val="004D5B99"/>
    <w:rsid w:val="004D626D"/>
    <w:rsid w:val="004D66A3"/>
    <w:rsid w:val="004D6753"/>
    <w:rsid w:val="004D69C1"/>
    <w:rsid w:val="004D6AA3"/>
    <w:rsid w:val="004D72E9"/>
    <w:rsid w:val="004D78FC"/>
    <w:rsid w:val="004E0158"/>
    <w:rsid w:val="004E04AC"/>
    <w:rsid w:val="004E06EA"/>
    <w:rsid w:val="004E0F50"/>
    <w:rsid w:val="004E0F62"/>
    <w:rsid w:val="004E1233"/>
    <w:rsid w:val="004E1BBF"/>
    <w:rsid w:val="004E1BCC"/>
    <w:rsid w:val="004E1F1C"/>
    <w:rsid w:val="004E22AA"/>
    <w:rsid w:val="004E2894"/>
    <w:rsid w:val="004E28A0"/>
    <w:rsid w:val="004E28C6"/>
    <w:rsid w:val="004E2ABE"/>
    <w:rsid w:val="004E2BF9"/>
    <w:rsid w:val="004E31A0"/>
    <w:rsid w:val="004E33F9"/>
    <w:rsid w:val="004E3658"/>
    <w:rsid w:val="004E3B4B"/>
    <w:rsid w:val="004E3F23"/>
    <w:rsid w:val="004E486E"/>
    <w:rsid w:val="004E4C6B"/>
    <w:rsid w:val="004E5196"/>
    <w:rsid w:val="004E5336"/>
    <w:rsid w:val="004E55E9"/>
    <w:rsid w:val="004E59CD"/>
    <w:rsid w:val="004E5AAE"/>
    <w:rsid w:val="004E5E11"/>
    <w:rsid w:val="004E5EA1"/>
    <w:rsid w:val="004E651E"/>
    <w:rsid w:val="004E6AF9"/>
    <w:rsid w:val="004E6DE1"/>
    <w:rsid w:val="004E6F93"/>
    <w:rsid w:val="004E73FD"/>
    <w:rsid w:val="004E7629"/>
    <w:rsid w:val="004E7866"/>
    <w:rsid w:val="004E78EA"/>
    <w:rsid w:val="004E7AF3"/>
    <w:rsid w:val="004E7B90"/>
    <w:rsid w:val="004E7DB9"/>
    <w:rsid w:val="004E7F50"/>
    <w:rsid w:val="004E7FC6"/>
    <w:rsid w:val="004F014C"/>
    <w:rsid w:val="004F0414"/>
    <w:rsid w:val="004F08AB"/>
    <w:rsid w:val="004F0CE6"/>
    <w:rsid w:val="004F1085"/>
    <w:rsid w:val="004F10E0"/>
    <w:rsid w:val="004F138F"/>
    <w:rsid w:val="004F1422"/>
    <w:rsid w:val="004F14EE"/>
    <w:rsid w:val="004F17D1"/>
    <w:rsid w:val="004F1B36"/>
    <w:rsid w:val="004F1D24"/>
    <w:rsid w:val="004F205D"/>
    <w:rsid w:val="004F2205"/>
    <w:rsid w:val="004F27AE"/>
    <w:rsid w:val="004F2C95"/>
    <w:rsid w:val="004F2D0A"/>
    <w:rsid w:val="004F2EB6"/>
    <w:rsid w:val="004F30E1"/>
    <w:rsid w:val="004F31B6"/>
    <w:rsid w:val="004F33DD"/>
    <w:rsid w:val="004F38F6"/>
    <w:rsid w:val="004F3E31"/>
    <w:rsid w:val="004F3E39"/>
    <w:rsid w:val="004F41E9"/>
    <w:rsid w:val="004F420C"/>
    <w:rsid w:val="004F423A"/>
    <w:rsid w:val="004F47A8"/>
    <w:rsid w:val="004F499E"/>
    <w:rsid w:val="004F4F08"/>
    <w:rsid w:val="004F4F49"/>
    <w:rsid w:val="004F5100"/>
    <w:rsid w:val="004F51AA"/>
    <w:rsid w:val="004F53BA"/>
    <w:rsid w:val="004F587B"/>
    <w:rsid w:val="004F5C76"/>
    <w:rsid w:val="004F5C82"/>
    <w:rsid w:val="004F5FEA"/>
    <w:rsid w:val="004F6046"/>
    <w:rsid w:val="004F616A"/>
    <w:rsid w:val="004F623D"/>
    <w:rsid w:val="004F6353"/>
    <w:rsid w:val="004F6926"/>
    <w:rsid w:val="004F6C87"/>
    <w:rsid w:val="004F6D5A"/>
    <w:rsid w:val="004F6E40"/>
    <w:rsid w:val="004F6FA0"/>
    <w:rsid w:val="004F700A"/>
    <w:rsid w:val="004F7ABE"/>
    <w:rsid w:val="004F7BE2"/>
    <w:rsid w:val="004F7D61"/>
    <w:rsid w:val="00500123"/>
    <w:rsid w:val="0050018F"/>
    <w:rsid w:val="00500E85"/>
    <w:rsid w:val="00500F31"/>
    <w:rsid w:val="00501251"/>
    <w:rsid w:val="00501A29"/>
    <w:rsid w:val="00501B5B"/>
    <w:rsid w:val="00501C48"/>
    <w:rsid w:val="00501E56"/>
    <w:rsid w:val="00501EB9"/>
    <w:rsid w:val="005022CB"/>
    <w:rsid w:val="00502690"/>
    <w:rsid w:val="00502DB1"/>
    <w:rsid w:val="00503497"/>
    <w:rsid w:val="00503BDB"/>
    <w:rsid w:val="00503C0A"/>
    <w:rsid w:val="00503E28"/>
    <w:rsid w:val="00504687"/>
    <w:rsid w:val="0050495E"/>
    <w:rsid w:val="00504B52"/>
    <w:rsid w:val="00504C69"/>
    <w:rsid w:val="00504CED"/>
    <w:rsid w:val="00505433"/>
    <w:rsid w:val="00505584"/>
    <w:rsid w:val="0050670B"/>
    <w:rsid w:val="0050684E"/>
    <w:rsid w:val="00506DFF"/>
    <w:rsid w:val="0050717E"/>
    <w:rsid w:val="005075CC"/>
    <w:rsid w:val="0050766D"/>
    <w:rsid w:val="00507695"/>
    <w:rsid w:val="0050791C"/>
    <w:rsid w:val="00507F05"/>
    <w:rsid w:val="005104DB"/>
    <w:rsid w:val="00510761"/>
    <w:rsid w:val="005109F6"/>
    <w:rsid w:val="00510CB2"/>
    <w:rsid w:val="00510D80"/>
    <w:rsid w:val="005110CE"/>
    <w:rsid w:val="00511883"/>
    <w:rsid w:val="005118C2"/>
    <w:rsid w:val="00511929"/>
    <w:rsid w:val="00511B29"/>
    <w:rsid w:val="00511C5B"/>
    <w:rsid w:val="005124ED"/>
    <w:rsid w:val="0051260B"/>
    <w:rsid w:val="00512700"/>
    <w:rsid w:val="00512802"/>
    <w:rsid w:val="005128D0"/>
    <w:rsid w:val="005136A7"/>
    <w:rsid w:val="005136C5"/>
    <w:rsid w:val="00513A9A"/>
    <w:rsid w:val="00513A9F"/>
    <w:rsid w:val="00513EE9"/>
    <w:rsid w:val="005141E8"/>
    <w:rsid w:val="00514629"/>
    <w:rsid w:val="0051463B"/>
    <w:rsid w:val="00514AD1"/>
    <w:rsid w:val="00515029"/>
    <w:rsid w:val="00515472"/>
    <w:rsid w:val="00515BAF"/>
    <w:rsid w:val="00515C3A"/>
    <w:rsid w:val="0051657A"/>
    <w:rsid w:val="005167ED"/>
    <w:rsid w:val="00516A89"/>
    <w:rsid w:val="00517257"/>
    <w:rsid w:val="00517258"/>
    <w:rsid w:val="005173DB"/>
    <w:rsid w:val="0051756F"/>
    <w:rsid w:val="005175E9"/>
    <w:rsid w:val="00517AEA"/>
    <w:rsid w:val="00517B0C"/>
    <w:rsid w:val="00517C60"/>
    <w:rsid w:val="00517E56"/>
    <w:rsid w:val="00520489"/>
    <w:rsid w:val="00520CBC"/>
    <w:rsid w:val="00520DD6"/>
    <w:rsid w:val="00520EC7"/>
    <w:rsid w:val="00521711"/>
    <w:rsid w:val="00521A43"/>
    <w:rsid w:val="00521FF8"/>
    <w:rsid w:val="00522079"/>
    <w:rsid w:val="00522299"/>
    <w:rsid w:val="0052247F"/>
    <w:rsid w:val="005225C0"/>
    <w:rsid w:val="00522BB8"/>
    <w:rsid w:val="00523905"/>
    <w:rsid w:val="005240E8"/>
    <w:rsid w:val="00524566"/>
    <w:rsid w:val="00524572"/>
    <w:rsid w:val="00524704"/>
    <w:rsid w:val="00524802"/>
    <w:rsid w:val="005248F6"/>
    <w:rsid w:val="00524AD6"/>
    <w:rsid w:val="00524D5F"/>
    <w:rsid w:val="00525157"/>
    <w:rsid w:val="00525377"/>
    <w:rsid w:val="0052545B"/>
    <w:rsid w:val="00525530"/>
    <w:rsid w:val="005257EB"/>
    <w:rsid w:val="005258C6"/>
    <w:rsid w:val="0052598A"/>
    <w:rsid w:val="00525D2F"/>
    <w:rsid w:val="0052606D"/>
    <w:rsid w:val="00526542"/>
    <w:rsid w:val="00526770"/>
    <w:rsid w:val="00526BCC"/>
    <w:rsid w:val="00527593"/>
    <w:rsid w:val="00527811"/>
    <w:rsid w:val="00527A18"/>
    <w:rsid w:val="00527C62"/>
    <w:rsid w:val="0053021C"/>
    <w:rsid w:val="00530274"/>
    <w:rsid w:val="005305F3"/>
    <w:rsid w:val="00530922"/>
    <w:rsid w:val="00530AB9"/>
    <w:rsid w:val="00530C18"/>
    <w:rsid w:val="00530CE8"/>
    <w:rsid w:val="005315B6"/>
    <w:rsid w:val="0053357B"/>
    <w:rsid w:val="005337E7"/>
    <w:rsid w:val="00533899"/>
    <w:rsid w:val="00533D5B"/>
    <w:rsid w:val="00533E51"/>
    <w:rsid w:val="0053426E"/>
    <w:rsid w:val="005343B3"/>
    <w:rsid w:val="0053488B"/>
    <w:rsid w:val="00534EBD"/>
    <w:rsid w:val="00535345"/>
    <w:rsid w:val="00535402"/>
    <w:rsid w:val="0053578B"/>
    <w:rsid w:val="0053579C"/>
    <w:rsid w:val="00535D27"/>
    <w:rsid w:val="0053643A"/>
    <w:rsid w:val="00536462"/>
    <w:rsid w:val="00536721"/>
    <w:rsid w:val="0053691C"/>
    <w:rsid w:val="00536B24"/>
    <w:rsid w:val="0053731D"/>
    <w:rsid w:val="005373D3"/>
    <w:rsid w:val="00537556"/>
    <w:rsid w:val="005378FA"/>
    <w:rsid w:val="00537A32"/>
    <w:rsid w:val="005404E5"/>
    <w:rsid w:val="0054087B"/>
    <w:rsid w:val="005409E6"/>
    <w:rsid w:val="00540B19"/>
    <w:rsid w:val="00540B70"/>
    <w:rsid w:val="00540CCA"/>
    <w:rsid w:val="00540FF1"/>
    <w:rsid w:val="00541220"/>
    <w:rsid w:val="0054172B"/>
    <w:rsid w:val="00541BD4"/>
    <w:rsid w:val="00541E96"/>
    <w:rsid w:val="00542245"/>
    <w:rsid w:val="005425D9"/>
    <w:rsid w:val="00542820"/>
    <w:rsid w:val="005434C9"/>
    <w:rsid w:val="005436FC"/>
    <w:rsid w:val="005437DE"/>
    <w:rsid w:val="00543D93"/>
    <w:rsid w:val="00544CCA"/>
    <w:rsid w:val="00544D43"/>
    <w:rsid w:val="00544EFB"/>
    <w:rsid w:val="0054506B"/>
    <w:rsid w:val="005452E2"/>
    <w:rsid w:val="00545670"/>
    <w:rsid w:val="0054571A"/>
    <w:rsid w:val="00545D16"/>
    <w:rsid w:val="00546278"/>
    <w:rsid w:val="00546CAC"/>
    <w:rsid w:val="00546E48"/>
    <w:rsid w:val="00546EB3"/>
    <w:rsid w:val="005476EC"/>
    <w:rsid w:val="00547CD0"/>
    <w:rsid w:val="00547E04"/>
    <w:rsid w:val="00547E8E"/>
    <w:rsid w:val="0055036D"/>
    <w:rsid w:val="005509F3"/>
    <w:rsid w:val="00550B26"/>
    <w:rsid w:val="00550C99"/>
    <w:rsid w:val="00550D4D"/>
    <w:rsid w:val="00550FDB"/>
    <w:rsid w:val="00551148"/>
    <w:rsid w:val="005517EB"/>
    <w:rsid w:val="00551917"/>
    <w:rsid w:val="005519CE"/>
    <w:rsid w:val="0055290E"/>
    <w:rsid w:val="005529AA"/>
    <w:rsid w:val="00552C76"/>
    <w:rsid w:val="00553129"/>
    <w:rsid w:val="00553398"/>
    <w:rsid w:val="00553413"/>
    <w:rsid w:val="00553C0F"/>
    <w:rsid w:val="00553EA5"/>
    <w:rsid w:val="0055438C"/>
    <w:rsid w:val="0055514C"/>
    <w:rsid w:val="0055557C"/>
    <w:rsid w:val="00555826"/>
    <w:rsid w:val="005558CA"/>
    <w:rsid w:val="005558E3"/>
    <w:rsid w:val="00555AB2"/>
    <w:rsid w:val="00556197"/>
    <w:rsid w:val="005562B5"/>
    <w:rsid w:val="005562BD"/>
    <w:rsid w:val="005568E5"/>
    <w:rsid w:val="005569F1"/>
    <w:rsid w:val="00556F66"/>
    <w:rsid w:val="005570B2"/>
    <w:rsid w:val="0055760D"/>
    <w:rsid w:val="005577AA"/>
    <w:rsid w:val="00557B89"/>
    <w:rsid w:val="00560181"/>
    <w:rsid w:val="00560401"/>
    <w:rsid w:val="00560425"/>
    <w:rsid w:val="005604F6"/>
    <w:rsid w:val="0056052B"/>
    <w:rsid w:val="00560807"/>
    <w:rsid w:val="0056089B"/>
    <w:rsid w:val="00560D82"/>
    <w:rsid w:val="00560FA3"/>
    <w:rsid w:val="00561129"/>
    <w:rsid w:val="005616EF"/>
    <w:rsid w:val="00561755"/>
    <w:rsid w:val="005619CC"/>
    <w:rsid w:val="00561B04"/>
    <w:rsid w:val="00561D26"/>
    <w:rsid w:val="005621DC"/>
    <w:rsid w:val="00562410"/>
    <w:rsid w:val="00562DDC"/>
    <w:rsid w:val="00562E3F"/>
    <w:rsid w:val="00562FF5"/>
    <w:rsid w:val="00563203"/>
    <w:rsid w:val="00563221"/>
    <w:rsid w:val="00563747"/>
    <w:rsid w:val="0056400C"/>
    <w:rsid w:val="005641C9"/>
    <w:rsid w:val="00564616"/>
    <w:rsid w:val="00564A9E"/>
    <w:rsid w:val="00564BD4"/>
    <w:rsid w:val="00564CC0"/>
    <w:rsid w:val="0056506A"/>
    <w:rsid w:val="0056562E"/>
    <w:rsid w:val="005656F2"/>
    <w:rsid w:val="0056573E"/>
    <w:rsid w:val="00565840"/>
    <w:rsid w:val="00565A4D"/>
    <w:rsid w:val="00566019"/>
    <w:rsid w:val="00566096"/>
    <w:rsid w:val="005660B1"/>
    <w:rsid w:val="00566149"/>
    <w:rsid w:val="005662D8"/>
    <w:rsid w:val="00566438"/>
    <w:rsid w:val="005668F1"/>
    <w:rsid w:val="00566C8B"/>
    <w:rsid w:val="00566FBD"/>
    <w:rsid w:val="00567E10"/>
    <w:rsid w:val="00570165"/>
    <w:rsid w:val="00570432"/>
    <w:rsid w:val="0057049F"/>
    <w:rsid w:val="00570872"/>
    <w:rsid w:val="00570982"/>
    <w:rsid w:val="005709E3"/>
    <w:rsid w:val="00570A8F"/>
    <w:rsid w:val="00571371"/>
    <w:rsid w:val="00571725"/>
    <w:rsid w:val="005718AF"/>
    <w:rsid w:val="005718D4"/>
    <w:rsid w:val="00571C54"/>
    <w:rsid w:val="00571DBF"/>
    <w:rsid w:val="005723BA"/>
    <w:rsid w:val="00572DAD"/>
    <w:rsid w:val="005732BD"/>
    <w:rsid w:val="00573A67"/>
    <w:rsid w:val="00573F37"/>
    <w:rsid w:val="00573F5B"/>
    <w:rsid w:val="00574124"/>
    <w:rsid w:val="0057440A"/>
    <w:rsid w:val="005744C5"/>
    <w:rsid w:val="0057483E"/>
    <w:rsid w:val="005748DB"/>
    <w:rsid w:val="00574A02"/>
    <w:rsid w:val="00574B2A"/>
    <w:rsid w:val="00574B7B"/>
    <w:rsid w:val="00574DEC"/>
    <w:rsid w:val="005754AB"/>
    <w:rsid w:val="00575A63"/>
    <w:rsid w:val="00575C84"/>
    <w:rsid w:val="005762D6"/>
    <w:rsid w:val="0057645E"/>
    <w:rsid w:val="00577235"/>
    <w:rsid w:val="0057785A"/>
    <w:rsid w:val="005778C5"/>
    <w:rsid w:val="00577977"/>
    <w:rsid w:val="00577995"/>
    <w:rsid w:val="00577AC0"/>
    <w:rsid w:val="0058024A"/>
    <w:rsid w:val="005809E1"/>
    <w:rsid w:val="00581131"/>
    <w:rsid w:val="0058113E"/>
    <w:rsid w:val="00581192"/>
    <w:rsid w:val="00581453"/>
    <w:rsid w:val="005816FD"/>
    <w:rsid w:val="00581AF9"/>
    <w:rsid w:val="00581B15"/>
    <w:rsid w:val="00581B16"/>
    <w:rsid w:val="00581C7D"/>
    <w:rsid w:val="00581C82"/>
    <w:rsid w:val="00581F0C"/>
    <w:rsid w:val="0058201E"/>
    <w:rsid w:val="00582046"/>
    <w:rsid w:val="00582692"/>
    <w:rsid w:val="005826F4"/>
    <w:rsid w:val="00582F54"/>
    <w:rsid w:val="005835EB"/>
    <w:rsid w:val="005835ED"/>
    <w:rsid w:val="0058369E"/>
    <w:rsid w:val="0058378F"/>
    <w:rsid w:val="00583861"/>
    <w:rsid w:val="00583A11"/>
    <w:rsid w:val="00583FA2"/>
    <w:rsid w:val="00584F96"/>
    <w:rsid w:val="0058500F"/>
    <w:rsid w:val="005852C6"/>
    <w:rsid w:val="00585395"/>
    <w:rsid w:val="00585450"/>
    <w:rsid w:val="005855F1"/>
    <w:rsid w:val="005857BC"/>
    <w:rsid w:val="005859F7"/>
    <w:rsid w:val="00586260"/>
    <w:rsid w:val="005864B0"/>
    <w:rsid w:val="00586F06"/>
    <w:rsid w:val="005872C9"/>
    <w:rsid w:val="005879A2"/>
    <w:rsid w:val="00587DDA"/>
    <w:rsid w:val="0059008E"/>
    <w:rsid w:val="005909F6"/>
    <w:rsid w:val="00590A07"/>
    <w:rsid w:val="00590B3E"/>
    <w:rsid w:val="00590D09"/>
    <w:rsid w:val="0059134A"/>
    <w:rsid w:val="005914AC"/>
    <w:rsid w:val="005914D0"/>
    <w:rsid w:val="0059156A"/>
    <w:rsid w:val="005918AA"/>
    <w:rsid w:val="00591BE4"/>
    <w:rsid w:val="00591DDB"/>
    <w:rsid w:val="00592136"/>
    <w:rsid w:val="00592380"/>
    <w:rsid w:val="00592592"/>
    <w:rsid w:val="0059289C"/>
    <w:rsid w:val="00592B24"/>
    <w:rsid w:val="00593112"/>
    <w:rsid w:val="00593314"/>
    <w:rsid w:val="00593392"/>
    <w:rsid w:val="0059368E"/>
    <w:rsid w:val="005937B8"/>
    <w:rsid w:val="00593AC2"/>
    <w:rsid w:val="00593BF5"/>
    <w:rsid w:val="005940D5"/>
    <w:rsid w:val="00594496"/>
    <w:rsid w:val="00594816"/>
    <w:rsid w:val="0059481C"/>
    <w:rsid w:val="005950EF"/>
    <w:rsid w:val="005956D3"/>
    <w:rsid w:val="00595B1F"/>
    <w:rsid w:val="0059608A"/>
    <w:rsid w:val="005961A7"/>
    <w:rsid w:val="00596365"/>
    <w:rsid w:val="005965BC"/>
    <w:rsid w:val="00596C60"/>
    <w:rsid w:val="00597063"/>
    <w:rsid w:val="00597117"/>
    <w:rsid w:val="00597D18"/>
    <w:rsid w:val="00597E29"/>
    <w:rsid w:val="00597E43"/>
    <w:rsid w:val="00597FF3"/>
    <w:rsid w:val="005A0B07"/>
    <w:rsid w:val="005A0EE1"/>
    <w:rsid w:val="005A13E3"/>
    <w:rsid w:val="005A143D"/>
    <w:rsid w:val="005A16BD"/>
    <w:rsid w:val="005A1D37"/>
    <w:rsid w:val="005A2872"/>
    <w:rsid w:val="005A2DC8"/>
    <w:rsid w:val="005A2EA5"/>
    <w:rsid w:val="005A37A7"/>
    <w:rsid w:val="005A37E3"/>
    <w:rsid w:val="005A3EAE"/>
    <w:rsid w:val="005A450A"/>
    <w:rsid w:val="005A5187"/>
    <w:rsid w:val="005A6013"/>
    <w:rsid w:val="005A6387"/>
    <w:rsid w:val="005A639F"/>
    <w:rsid w:val="005A6670"/>
    <w:rsid w:val="005A697A"/>
    <w:rsid w:val="005A6AB9"/>
    <w:rsid w:val="005A6E83"/>
    <w:rsid w:val="005A6FEA"/>
    <w:rsid w:val="005A7BB3"/>
    <w:rsid w:val="005A7E78"/>
    <w:rsid w:val="005A7E9B"/>
    <w:rsid w:val="005B03ED"/>
    <w:rsid w:val="005B0705"/>
    <w:rsid w:val="005B091D"/>
    <w:rsid w:val="005B1776"/>
    <w:rsid w:val="005B1BA3"/>
    <w:rsid w:val="005B1E98"/>
    <w:rsid w:val="005B24EB"/>
    <w:rsid w:val="005B2541"/>
    <w:rsid w:val="005B25A9"/>
    <w:rsid w:val="005B2998"/>
    <w:rsid w:val="005B29DE"/>
    <w:rsid w:val="005B2E85"/>
    <w:rsid w:val="005B2FAE"/>
    <w:rsid w:val="005B32FB"/>
    <w:rsid w:val="005B33F6"/>
    <w:rsid w:val="005B38FE"/>
    <w:rsid w:val="005B3BCE"/>
    <w:rsid w:val="005B3DF1"/>
    <w:rsid w:val="005B40F7"/>
    <w:rsid w:val="005B4186"/>
    <w:rsid w:val="005B47A5"/>
    <w:rsid w:val="005B4926"/>
    <w:rsid w:val="005B4E8E"/>
    <w:rsid w:val="005B4F75"/>
    <w:rsid w:val="005B541C"/>
    <w:rsid w:val="005B5E8C"/>
    <w:rsid w:val="005B62BF"/>
    <w:rsid w:val="005B6CB0"/>
    <w:rsid w:val="005B6F73"/>
    <w:rsid w:val="005B722D"/>
    <w:rsid w:val="005B79AB"/>
    <w:rsid w:val="005B7B25"/>
    <w:rsid w:val="005B7DEC"/>
    <w:rsid w:val="005B7FE4"/>
    <w:rsid w:val="005C033F"/>
    <w:rsid w:val="005C05E0"/>
    <w:rsid w:val="005C0A38"/>
    <w:rsid w:val="005C0C5A"/>
    <w:rsid w:val="005C1205"/>
    <w:rsid w:val="005C18E1"/>
    <w:rsid w:val="005C1B05"/>
    <w:rsid w:val="005C1B93"/>
    <w:rsid w:val="005C214C"/>
    <w:rsid w:val="005C22D9"/>
    <w:rsid w:val="005C2318"/>
    <w:rsid w:val="005C2ACC"/>
    <w:rsid w:val="005C2B5E"/>
    <w:rsid w:val="005C2EB4"/>
    <w:rsid w:val="005C379C"/>
    <w:rsid w:val="005C37E0"/>
    <w:rsid w:val="005C3DDA"/>
    <w:rsid w:val="005C4364"/>
    <w:rsid w:val="005C4522"/>
    <w:rsid w:val="005C4CC0"/>
    <w:rsid w:val="005C51DC"/>
    <w:rsid w:val="005C54B9"/>
    <w:rsid w:val="005C5A1C"/>
    <w:rsid w:val="005C6472"/>
    <w:rsid w:val="005C6618"/>
    <w:rsid w:val="005C67B1"/>
    <w:rsid w:val="005C6955"/>
    <w:rsid w:val="005C6D8D"/>
    <w:rsid w:val="005C710C"/>
    <w:rsid w:val="005C733F"/>
    <w:rsid w:val="005C76B4"/>
    <w:rsid w:val="005C7931"/>
    <w:rsid w:val="005C7948"/>
    <w:rsid w:val="005C7DB9"/>
    <w:rsid w:val="005C7FC5"/>
    <w:rsid w:val="005C7FF8"/>
    <w:rsid w:val="005D0189"/>
    <w:rsid w:val="005D0618"/>
    <w:rsid w:val="005D061D"/>
    <w:rsid w:val="005D1042"/>
    <w:rsid w:val="005D151B"/>
    <w:rsid w:val="005D1531"/>
    <w:rsid w:val="005D196A"/>
    <w:rsid w:val="005D1B3E"/>
    <w:rsid w:val="005D1EA8"/>
    <w:rsid w:val="005D244D"/>
    <w:rsid w:val="005D2576"/>
    <w:rsid w:val="005D2E33"/>
    <w:rsid w:val="005D2ED6"/>
    <w:rsid w:val="005D2FCD"/>
    <w:rsid w:val="005D35D3"/>
    <w:rsid w:val="005D3661"/>
    <w:rsid w:val="005D3724"/>
    <w:rsid w:val="005D3990"/>
    <w:rsid w:val="005D3D81"/>
    <w:rsid w:val="005D42CC"/>
    <w:rsid w:val="005D42F1"/>
    <w:rsid w:val="005D51AC"/>
    <w:rsid w:val="005D527E"/>
    <w:rsid w:val="005D56DF"/>
    <w:rsid w:val="005D572B"/>
    <w:rsid w:val="005D5BAC"/>
    <w:rsid w:val="005D5D7E"/>
    <w:rsid w:val="005D6592"/>
    <w:rsid w:val="005D67F3"/>
    <w:rsid w:val="005D69F5"/>
    <w:rsid w:val="005D6B6C"/>
    <w:rsid w:val="005D6D9A"/>
    <w:rsid w:val="005D6EBE"/>
    <w:rsid w:val="005D6F30"/>
    <w:rsid w:val="005D6FE0"/>
    <w:rsid w:val="005D7010"/>
    <w:rsid w:val="005D756B"/>
    <w:rsid w:val="005D7761"/>
    <w:rsid w:val="005D795C"/>
    <w:rsid w:val="005D7FD3"/>
    <w:rsid w:val="005E0086"/>
    <w:rsid w:val="005E058C"/>
    <w:rsid w:val="005E0A7D"/>
    <w:rsid w:val="005E0F8C"/>
    <w:rsid w:val="005E15D9"/>
    <w:rsid w:val="005E205B"/>
    <w:rsid w:val="005E20E4"/>
    <w:rsid w:val="005E212B"/>
    <w:rsid w:val="005E2B49"/>
    <w:rsid w:val="005E2C05"/>
    <w:rsid w:val="005E32E7"/>
    <w:rsid w:val="005E3AC2"/>
    <w:rsid w:val="005E3ACE"/>
    <w:rsid w:val="005E3B89"/>
    <w:rsid w:val="005E3D77"/>
    <w:rsid w:val="005E4470"/>
    <w:rsid w:val="005E452D"/>
    <w:rsid w:val="005E4EA0"/>
    <w:rsid w:val="005E5794"/>
    <w:rsid w:val="005E5F74"/>
    <w:rsid w:val="005E638F"/>
    <w:rsid w:val="005E6453"/>
    <w:rsid w:val="005E6747"/>
    <w:rsid w:val="005E6B93"/>
    <w:rsid w:val="005E6DD9"/>
    <w:rsid w:val="005E6FD8"/>
    <w:rsid w:val="005E753E"/>
    <w:rsid w:val="005E7738"/>
    <w:rsid w:val="005E7F22"/>
    <w:rsid w:val="005F0273"/>
    <w:rsid w:val="005F02CE"/>
    <w:rsid w:val="005F060E"/>
    <w:rsid w:val="005F073C"/>
    <w:rsid w:val="005F0A8E"/>
    <w:rsid w:val="005F132D"/>
    <w:rsid w:val="005F1EBC"/>
    <w:rsid w:val="005F297B"/>
    <w:rsid w:val="005F2D60"/>
    <w:rsid w:val="005F324A"/>
    <w:rsid w:val="005F4368"/>
    <w:rsid w:val="005F51B0"/>
    <w:rsid w:val="005F566D"/>
    <w:rsid w:val="005F57DF"/>
    <w:rsid w:val="005F61A9"/>
    <w:rsid w:val="005F632C"/>
    <w:rsid w:val="005F63E7"/>
    <w:rsid w:val="005F66ED"/>
    <w:rsid w:val="005F7BD9"/>
    <w:rsid w:val="005F7BFD"/>
    <w:rsid w:val="005F7D22"/>
    <w:rsid w:val="005F7F11"/>
    <w:rsid w:val="006004C1"/>
    <w:rsid w:val="0060072F"/>
    <w:rsid w:val="00601637"/>
    <w:rsid w:val="00601672"/>
    <w:rsid w:val="0060189F"/>
    <w:rsid w:val="006024F1"/>
    <w:rsid w:val="00602801"/>
    <w:rsid w:val="00602D75"/>
    <w:rsid w:val="00602D96"/>
    <w:rsid w:val="00603098"/>
    <w:rsid w:val="006033AB"/>
    <w:rsid w:val="00603447"/>
    <w:rsid w:val="006034F8"/>
    <w:rsid w:val="006035DF"/>
    <w:rsid w:val="00603E34"/>
    <w:rsid w:val="00603FD5"/>
    <w:rsid w:val="006045C2"/>
    <w:rsid w:val="0060469B"/>
    <w:rsid w:val="00604845"/>
    <w:rsid w:val="00604A35"/>
    <w:rsid w:val="00604E8B"/>
    <w:rsid w:val="00604EA6"/>
    <w:rsid w:val="00605298"/>
    <w:rsid w:val="00605439"/>
    <w:rsid w:val="006054A4"/>
    <w:rsid w:val="006054F4"/>
    <w:rsid w:val="006058F4"/>
    <w:rsid w:val="00605F63"/>
    <w:rsid w:val="00606AD3"/>
    <w:rsid w:val="006071CE"/>
    <w:rsid w:val="006072A2"/>
    <w:rsid w:val="006074A6"/>
    <w:rsid w:val="006075E2"/>
    <w:rsid w:val="00607F03"/>
    <w:rsid w:val="006104BB"/>
    <w:rsid w:val="00610627"/>
    <w:rsid w:val="00610F6C"/>
    <w:rsid w:val="00610F8C"/>
    <w:rsid w:val="00611335"/>
    <w:rsid w:val="006117E6"/>
    <w:rsid w:val="00611E17"/>
    <w:rsid w:val="00611F25"/>
    <w:rsid w:val="006120B4"/>
    <w:rsid w:val="00612225"/>
    <w:rsid w:val="00612393"/>
    <w:rsid w:val="00612C31"/>
    <w:rsid w:val="00612C80"/>
    <w:rsid w:val="00612DDC"/>
    <w:rsid w:val="00613366"/>
    <w:rsid w:val="006133ED"/>
    <w:rsid w:val="006136CA"/>
    <w:rsid w:val="006139D7"/>
    <w:rsid w:val="00613C5B"/>
    <w:rsid w:val="00613D2B"/>
    <w:rsid w:val="006140C6"/>
    <w:rsid w:val="00614192"/>
    <w:rsid w:val="006141AE"/>
    <w:rsid w:val="0061472A"/>
    <w:rsid w:val="006148EC"/>
    <w:rsid w:val="00614F5C"/>
    <w:rsid w:val="00614FA2"/>
    <w:rsid w:val="006152EF"/>
    <w:rsid w:val="00615387"/>
    <w:rsid w:val="00615558"/>
    <w:rsid w:val="006157A8"/>
    <w:rsid w:val="00615829"/>
    <w:rsid w:val="0061599B"/>
    <w:rsid w:val="00615B01"/>
    <w:rsid w:val="00615DAC"/>
    <w:rsid w:val="00616380"/>
    <w:rsid w:val="006163F4"/>
    <w:rsid w:val="006164D2"/>
    <w:rsid w:val="00616727"/>
    <w:rsid w:val="00616A57"/>
    <w:rsid w:val="00616D5B"/>
    <w:rsid w:val="00616DC8"/>
    <w:rsid w:val="00617146"/>
    <w:rsid w:val="006171F5"/>
    <w:rsid w:val="00617681"/>
    <w:rsid w:val="00617C02"/>
    <w:rsid w:val="00620548"/>
    <w:rsid w:val="0062061B"/>
    <w:rsid w:val="00620664"/>
    <w:rsid w:val="00620864"/>
    <w:rsid w:val="00620A83"/>
    <w:rsid w:val="00620DF2"/>
    <w:rsid w:val="0062159C"/>
    <w:rsid w:val="00621933"/>
    <w:rsid w:val="00621FC8"/>
    <w:rsid w:val="006222EF"/>
    <w:rsid w:val="006226B2"/>
    <w:rsid w:val="00622D13"/>
    <w:rsid w:val="00622EC7"/>
    <w:rsid w:val="006232B2"/>
    <w:rsid w:val="006234D2"/>
    <w:rsid w:val="006235EF"/>
    <w:rsid w:val="006239F3"/>
    <w:rsid w:val="00623CBA"/>
    <w:rsid w:val="00624337"/>
    <w:rsid w:val="006245ED"/>
    <w:rsid w:val="006248E0"/>
    <w:rsid w:val="00624B90"/>
    <w:rsid w:val="0062583A"/>
    <w:rsid w:val="00625F7E"/>
    <w:rsid w:val="0062662D"/>
    <w:rsid w:val="006266F5"/>
    <w:rsid w:val="00627785"/>
    <w:rsid w:val="00627918"/>
    <w:rsid w:val="00627F43"/>
    <w:rsid w:val="006302FB"/>
    <w:rsid w:val="00630AA1"/>
    <w:rsid w:val="00630C80"/>
    <w:rsid w:val="00630F02"/>
    <w:rsid w:val="006319DE"/>
    <w:rsid w:val="00631DCE"/>
    <w:rsid w:val="00632B75"/>
    <w:rsid w:val="006332E8"/>
    <w:rsid w:val="00633484"/>
    <w:rsid w:val="00633CBC"/>
    <w:rsid w:val="006340AD"/>
    <w:rsid w:val="006343B4"/>
    <w:rsid w:val="00634451"/>
    <w:rsid w:val="0063459F"/>
    <w:rsid w:val="0063592A"/>
    <w:rsid w:val="00635A83"/>
    <w:rsid w:val="00635E26"/>
    <w:rsid w:val="00635FFE"/>
    <w:rsid w:val="00636773"/>
    <w:rsid w:val="00637A91"/>
    <w:rsid w:val="006401A5"/>
    <w:rsid w:val="006406F3"/>
    <w:rsid w:val="00640DE1"/>
    <w:rsid w:val="00640F04"/>
    <w:rsid w:val="00640F70"/>
    <w:rsid w:val="00641227"/>
    <w:rsid w:val="00641320"/>
    <w:rsid w:val="0064159D"/>
    <w:rsid w:val="00641AF2"/>
    <w:rsid w:val="0064226A"/>
    <w:rsid w:val="0064242D"/>
    <w:rsid w:val="00642E62"/>
    <w:rsid w:val="006432A9"/>
    <w:rsid w:val="006438C2"/>
    <w:rsid w:val="00643A95"/>
    <w:rsid w:val="0064476C"/>
    <w:rsid w:val="00644861"/>
    <w:rsid w:val="0064521E"/>
    <w:rsid w:val="00645536"/>
    <w:rsid w:val="00646879"/>
    <w:rsid w:val="00646E81"/>
    <w:rsid w:val="006475BD"/>
    <w:rsid w:val="00650859"/>
    <w:rsid w:val="0065098F"/>
    <w:rsid w:val="00651173"/>
    <w:rsid w:val="00651308"/>
    <w:rsid w:val="00651667"/>
    <w:rsid w:val="006516EA"/>
    <w:rsid w:val="006518D5"/>
    <w:rsid w:val="006527FF"/>
    <w:rsid w:val="00652DCA"/>
    <w:rsid w:val="0065395A"/>
    <w:rsid w:val="00653D6E"/>
    <w:rsid w:val="00653E73"/>
    <w:rsid w:val="00653FCD"/>
    <w:rsid w:val="00654011"/>
    <w:rsid w:val="006543E7"/>
    <w:rsid w:val="00654834"/>
    <w:rsid w:val="00654B0E"/>
    <w:rsid w:val="00654B4D"/>
    <w:rsid w:val="00654DC0"/>
    <w:rsid w:val="00655108"/>
    <w:rsid w:val="00655701"/>
    <w:rsid w:val="00655865"/>
    <w:rsid w:val="0065593C"/>
    <w:rsid w:val="00655B2E"/>
    <w:rsid w:val="006564CC"/>
    <w:rsid w:val="00656A8A"/>
    <w:rsid w:val="00656E9B"/>
    <w:rsid w:val="00656F3F"/>
    <w:rsid w:val="00656F73"/>
    <w:rsid w:val="00656FDA"/>
    <w:rsid w:val="00657046"/>
    <w:rsid w:val="00660019"/>
    <w:rsid w:val="0066060F"/>
    <w:rsid w:val="00660CAF"/>
    <w:rsid w:val="00660E8B"/>
    <w:rsid w:val="006612B8"/>
    <w:rsid w:val="00661AEB"/>
    <w:rsid w:val="00661E10"/>
    <w:rsid w:val="00661E66"/>
    <w:rsid w:val="00661F45"/>
    <w:rsid w:val="00662209"/>
    <w:rsid w:val="00662931"/>
    <w:rsid w:val="00662EBB"/>
    <w:rsid w:val="0066329D"/>
    <w:rsid w:val="00663AAC"/>
    <w:rsid w:val="00663EDC"/>
    <w:rsid w:val="006640CA"/>
    <w:rsid w:val="00664C28"/>
    <w:rsid w:val="00664C5C"/>
    <w:rsid w:val="00664C7C"/>
    <w:rsid w:val="006655BF"/>
    <w:rsid w:val="00665850"/>
    <w:rsid w:val="00665E61"/>
    <w:rsid w:val="006666C5"/>
    <w:rsid w:val="00666D0E"/>
    <w:rsid w:val="006708B5"/>
    <w:rsid w:val="00670905"/>
    <w:rsid w:val="00670E77"/>
    <w:rsid w:val="00670F6E"/>
    <w:rsid w:val="00671071"/>
    <w:rsid w:val="0067160B"/>
    <w:rsid w:val="00671B09"/>
    <w:rsid w:val="00671D1C"/>
    <w:rsid w:val="00672682"/>
    <w:rsid w:val="00672733"/>
    <w:rsid w:val="0067285D"/>
    <w:rsid w:val="006728A8"/>
    <w:rsid w:val="00672957"/>
    <w:rsid w:val="00672B2D"/>
    <w:rsid w:val="00672BA9"/>
    <w:rsid w:val="00673626"/>
    <w:rsid w:val="00673DF8"/>
    <w:rsid w:val="006741CF"/>
    <w:rsid w:val="00674F18"/>
    <w:rsid w:val="00675101"/>
    <w:rsid w:val="00675209"/>
    <w:rsid w:val="006753AC"/>
    <w:rsid w:val="00675780"/>
    <w:rsid w:val="00675F18"/>
    <w:rsid w:val="006760B6"/>
    <w:rsid w:val="006760D0"/>
    <w:rsid w:val="00676468"/>
    <w:rsid w:val="0067649E"/>
    <w:rsid w:val="006764E1"/>
    <w:rsid w:val="006767CA"/>
    <w:rsid w:val="00677AE5"/>
    <w:rsid w:val="006806F2"/>
    <w:rsid w:val="00680AAF"/>
    <w:rsid w:val="00680B6F"/>
    <w:rsid w:val="00680DA5"/>
    <w:rsid w:val="00680FCE"/>
    <w:rsid w:val="00681161"/>
    <w:rsid w:val="00681434"/>
    <w:rsid w:val="006819FC"/>
    <w:rsid w:val="00681A20"/>
    <w:rsid w:val="00681F54"/>
    <w:rsid w:val="0068216B"/>
    <w:rsid w:val="00682398"/>
    <w:rsid w:val="006827CA"/>
    <w:rsid w:val="00682D0E"/>
    <w:rsid w:val="00683411"/>
    <w:rsid w:val="006839D3"/>
    <w:rsid w:val="00683C36"/>
    <w:rsid w:val="00683D1D"/>
    <w:rsid w:val="00683F09"/>
    <w:rsid w:val="00684069"/>
    <w:rsid w:val="0068420B"/>
    <w:rsid w:val="006842F5"/>
    <w:rsid w:val="006843FA"/>
    <w:rsid w:val="00684821"/>
    <w:rsid w:val="006852F6"/>
    <w:rsid w:val="006853FF"/>
    <w:rsid w:val="00685EB1"/>
    <w:rsid w:val="0068652A"/>
    <w:rsid w:val="00686A5E"/>
    <w:rsid w:val="00686A85"/>
    <w:rsid w:val="00686E40"/>
    <w:rsid w:val="00686EF6"/>
    <w:rsid w:val="0068724F"/>
    <w:rsid w:val="00687DAA"/>
    <w:rsid w:val="00687DD7"/>
    <w:rsid w:val="00690910"/>
    <w:rsid w:val="00690CE1"/>
    <w:rsid w:val="00691627"/>
    <w:rsid w:val="00691E0E"/>
    <w:rsid w:val="00692285"/>
    <w:rsid w:val="0069233D"/>
    <w:rsid w:val="00692607"/>
    <w:rsid w:val="0069285F"/>
    <w:rsid w:val="006929EA"/>
    <w:rsid w:val="00692B5F"/>
    <w:rsid w:val="00692D48"/>
    <w:rsid w:val="00692DBF"/>
    <w:rsid w:val="00692F73"/>
    <w:rsid w:val="0069315F"/>
    <w:rsid w:val="00693340"/>
    <w:rsid w:val="00693CE6"/>
    <w:rsid w:val="00693FA9"/>
    <w:rsid w:val="006944B5"/>
    <w:rsid w:val="00694CAC"/>
    <w:rsid w:val="00694EE6"/>
    <w:rsid w:val="00695295"/>
    <w:rsid w:val="006955B2"/>
    <w:rsid w:val="006956F1"/>
    <w:rsid w:val="00695A2A"/>
    <w:rsid w:val="00695E9A"/>
    <w:rsid w:val="00695F63"/>
    <w:rsid w:val="006962F5"/>
    <w:rsid w:val="0069636A"/>
    <w:rsid w:val="00696850"/>
    <w:rsid w:val="00696D77"/>
    <w:rsid w:val="00696F7B"/>
    <w:rsid w:val="00696FD3"/>
    <w:rsid w:val="006970D1"/>
    <w:rsid w:val="00697128"/>
    <w:rsid w:val="00697139"/>
    <w:rsid w:val="006971F8"/>
    <w:rsid w:val="00697368"/>
    <w:rsid w:val="006975D4"/>
    <w:rsid w:val="00697B56"/>
    <w:rsid w:val="00697F6C"/>
    <w:rsid w:val="006A04B6"/>
    <w:rsid w:val="006A0733"/>
    <w:rsid w:val="006A073B"/>
    <w:rsid w:val="006A0941"/>
    <w:rsid w:val="006A0D6A"/>
    <w:rsid w:val="006A1544"/>
    <w:rsid w:val="006A1837"/>
    <w:rsid w:val="006A1C43"/>
    <w:rsid w:val="006A1DEF"/>
    <w:rsid w:val="006A1ECB"/>
    <w:rsid w:val="006A245F"/>
    <w:rsid w:val="006A2A42"/>
    <w:rsid w:val="006A2C3A"/>
    <w:rsid w:val="006A2EAD"/>
    <w:rsid w:val="006A2EE1"/>
    <w:rsid w:val="006A3825"/>
    <w:rsid w:val="006A3DB5"/>
    <w:rsid w:val="006A4BDA"/>
    <w:rsid w:val="006A5083"/>
    <w:rsid w:val="006A5319"/>
    <w:rsid w:val="006A5738"/>
    <w:rsid w:val="006A57C6"/>
    <w:rsid w:val="006A5AAE"/>
    <w:rsid w:val="006A5C13"/>
    <w:rsid w:val="006A640C"/>
    <w:rsid w:val="006A64A1"/>
    <w:rsid w:val="006A64A3"/>
    <w:rsid w:val="006A64B9"/>
    <w:rsid w:val="006A6AA5"/>
    <w:rsid w:val="006A7064"/>
    <w:rsid w:val="006A7069"/>
    <w:rsid w:val="006A7222"/>
    <w:rsid w:val="006A7592"/>
    <w:rsid w:val="006A7C6D"/>
    <w:rsid w:val="006B03E7"/>
    <w:rsid w:val="006B0590"/>
    <w:rsid w:val="006B05A3"/>
    <w:rsid w:val="006B0737"/>
    <w:rsid w:val="006B0B3E"/>
    <w:rsid w:val="006B0F4E"/>
    <w:rsid w:val="006B10B4"/>
    <w:rsid w:val="006B126B"/>
    <w:rsid w:val="006B12FE"/>
    <w:rsid w:val="006B14AC"/>
    <w:rsid w:val="006B16DE"/>
    <w:rsid w:val="006B1BCB"/>
    <w:rsid w:val="006B2D2E"/>
    <w:rsid w:val="006B2D31"/>
    <w:rsid w:val="006B2FAA"/>
    <w:rsid w:val="006B36A4"/>
    <w:rsid w:val="006B3763"/>
    <w:rsid w:val="006B37D3"/>
    <w:rsid w:val="006B3DFF"/>
    <w:rsid w:val="006B3E5D"/>
    <w:rsid w:val="006B412B"/>
    <w:rsid w:val="006B44F9"/>
    <w:rsid w:val="006B457C"/>
    <w:rsid w:val="006B4CD5"/>
    <w:rsid w:val="006B4D2D"/>
    <w:rsid w:val="006B5104"/>
    <w:rsid w:val="006B5113"/>
    <w:rsid w:val="006B51A4"/>
    <w:rsid w:val="006B5564"/>
    <w:rsid w:val="006B57EB"/>
    <w:rsid w:val="006B5812"/>
    <w:rsid w:val="006B5E5B"/>
    <w:rsid w:val="006B641E"/>
    <w:rsid w:val="006B6786"/>
    <w:rsid w:val="006B67E2"/>
    <w:rsid w:val="006B6C06"/>
    <w:rsid w:val="006B7253"/>
    <w:rsid w:val="006B75EF"/>
    <w:rsid w:val="006B779F"/>
    <w:rsid w:val="006B7FDE"/>
    <w:rsid w:val="006C0019"/>
    <w:rsid w:val="006C00F7"/>
    <w:rsid w:val="006C03A1"/>
    <w:rsid w:val="006C0495"/>
    <w:rsid w:val="006C0735"/>
    <w:rsid w:val="006C07F0"/>
    <w:rsid w:val="006C0817"/>
    <w:rsid w:val="006C1465"/>
    <w:rsid w:val="006C152B"/>
    <w:rsid w:val="006C1B6F"/>
    <w:rsid w:val="006C20C3"/>
    <w:rsid w:val="006C24FE"/>
    <w:rsid w:val="006C27DB"/>
    <w:rsid w:val="006C2C26"/>
    <w:rsid w:val="006C32ED"/>
    <w:rsid w:val="006C36D5"/>
    <w:rsid w:val="006C3BE2"/>
    <w:rsid w:val="006C3DF4"/>
    <w:rsid w:val="006C43A1"/>
    <w:rsid w:val="006C473F"/>
    <w:rsid w:val="006C4989"/>
    <w:rsid w:val="006C4AF4"/>
    <w:rsid w:val="006C4C82"/>
    <w:rsid w:val="006C4F4E"/>
    <w:rsid w:val="006C5459"/>
    <w:rsid w:val="006C5EA6"/>
    <w:rsid w:val="006C6936"/>
    <w:rsid w:val="006C6BA8"/>
    <w:rsid w:val="006C738C"/>
    <w:rsid w:val="006C771B"/>
    <w:rsid w:val="006C7750"/>
    <w:rsid w:val="006D006B"/>
    <w:rsid w:val="006D010F"/>
    <w:rsid w:val="006D02F5"/>
    <w:rsid w:val="006D090D"/>
    <w:rsid w:val="006D095B"/>
    <w:rsid w:val="006D1AB5"/>
    <w:rsid w:val="006D1BDB"/>
    <w:rsid w:val="006D244F"/>
    <w:rsid w:val="006D26A2"/>
    <w:rsid w:val="006D2D2F"/>
    <w:rsid w:val="006D3210"/>
    <w:rsid w:val="006D3945"/>
    <w:rsid w:val="006D3E02"/>
    <w:rsid w:val="006D3F2F"/>
    <w:rsid w:val="006D3F52"/>
    <w:rsid w:val="006D4024"/>
    <w:rsid w:val="006D4230"/>
    <w:rsid w:val="006D44F5"/>
    <w:rsid w:val="006D4C8E"/>
    <w:rsid w:val="006D4F09"/>
    <w:rsid w:val="006D54CB"/>
    <w:rsid w:val="006D5518"/>
    <w:rsid w:val="006D5647"/>
    <w:rsid w:val="006D5AB8"/>
    <w:rsid w:val="006D5AC6"/>
    <w:rsid w:val="006D5F4F"/>
    <w:rsid w:val="006D674C"/>
    <w:rsid w:val="006D6A21"/>
    <w:rsid w:val="006D701A"/>
    <w:rsid w:val="006D7EF5"/>
    <w:rsid w:val="006E0102"/>
    <w:rsid w:val="006E021F"/>
    <w:rsid w:val="006E03DF"/>
    <w:rsid w:val="006E057B"/>
    <w:rsid w:val="006E05C9"/>
    <w:rsid w:val="006E07F7"/>
    <w:rsid w:val="006E0822"/>
    <w:rsid w:val="006E0C4F"/>
    <w:rsid w:val="006E14AE"/>
    <w:rsid w:val="006E1753"/>
    <w:rsid w:val="006E1BF5"/>
    <w:rsid w:val="006E1E24"/>
    <w:rsid w:val="006E25C4"/>
    <w:rsid w:val="006E30BE"/>
    <w:rsid w:val="006E3366"/>
    <w:rsid w:val="006E3536"/>
    <w:rsid w:val="006E3EC7"/>
    <w:rsid w:val="006E3FB8"/>
    <w:rsid w:val="006E4156"/>
    <w:rsid w:val="006E440E"/>
    <w:rsid w:val="006E44D3"/>
    <w:rsid w:val="006E4A4E"/>
    <w:rsid w:val="006E4C47"/>
    <w:rsid w:val="006E5194"/>
    <w:rsid w:val="006E56BD"/>
    <w:rsid w:val="006E5A2B"/>
    <w:rsid w:val="006E5A3D"/>
    <w:rsid w:val="006E5A69"/>
    <w:rsid w:val="006E5BC3"/>
    <w:rsid w:val="006E5BCE"/>
    <w:rsid w:val="006E5C54"/>
    <w:rsid w:val="006E6323"/>
    <w:rsid w:val="006E66F4"/>
    <w:rsid w:val="006E6A12"/>
    <w:rsid w:val="006E6B6B"/>
    <w:rsid w:val="006E7579"/>
    <w:rsid w:val="006E778E"/>
    <w:rsid w:val="006E7C84"/>
    <w:rsid w:val="006F0594"/>
    <w:rsid w:val="006F08CA"/>
    <w:rsid w:val="006F0926"/>
    <w:rsid w:val="006F0E03"/>
    <w:rsid w:val="006F0F07"/>
    <w:rsid w:val="006F0F94"/>
    <w:rsid w:val="006F0FE7"/>
    <w:rsid w:val="006F19B2"/>
    <w:rsid w:val="006F1AFF"/>
    <w:rsid w:val="006F2B99"/>
    <w:rsid w:val="006F3312"/>
    <w:rsid w:val="006F3D00"/>
    <w:rsid w:val="006F4072"/>
    <w:rsid w:val="006F4265"/>
    <w:rsid w:val="006F497B"/>
    <w:rsid w:val="006F4BD1"/>
    <w:rsid w:val="006F4F84"/>
    <w:rsid w:val="006F53FD"/>
    <w:rsid w:val="006F566D"/>
    <w:rsid w:val="006F594A"/>
    <w:rsid w:val="006F5C53"/>
    <w:rsid w:val="006F617F"/>
    <w:rsid w:val="006F6301"/>
    <w:rsid w:val="006F66F4"/>
    <w:rsid w:val="006F6CE3"/>
    <w:rsid w:val="006F798F"/>
    <w:rsid w:val="006F7B28"/>
    <w:rsid w:val="007001D3"/>
    <w:rsid w:val="007001D8"/>
    <w:rsid w:val="00700204"/>
    <w:rsid w:val="00700949"/>
    <w:rsid w:val="00701100"/>
    <w:rsid w:val="0070150C"/>
    <w:rsid w:val="00701661"/>
    <w:rsid w:val="00701D2F"/>
    <w:rsid w:val="00701DEF"/>
    <w:rsid w:val="00701E4E"/>
    <w:rsid w:val="00701F1D"/>
    <w:rsid w:val="00702123"/>
    <w:rsid w:val="007026D4"/>
    <w:rsid w:val="00702940"/>
    <w:rsid w:val="00702E79"/>
    <w:rsid w:val="00702F28"/>
    <w:rsid w:val="00703CE7"/>
    <w:rsid w:val="0070481C"/>
    <w:rsid w:val="00704896"/>
    <w:rsid w:val="00704BAC"/>
    <w:rsid w:val="00704E3E"/>
    <w:rsid w:val="007056F7"/>
    <w:rsid w:val="0070699A"/>
    <w:rsid w:val="00706E88"/>
    <w:rsid w:val="0070751B"/>
    <w:rsid w:val="00707F46"/>
    <w:rsid w:val="00710404"/>
    <w:rsid w:val="007106EB"/>
    <w:rsid w:val="00710C91"/>
    <w:rsid w:val="00711F84"/>
    <w:rsid w:val="0071276C"/>
    <w:rsid w:val="00712D71"/>
    <w:rsid w:val="00712EAE"/>
    <w:rsid w:val="007130B4"/>
    <w:rsid w:val="0071315D"/>
    <w:rsid w:val="0071349C"/>
    <w:rsid w:val="007138A2"/>
    <w:rsid w:val="00713AC2"/>
    <w:rsid w:val="00714488"/>
    <w:rsid w:val="007148F2"/>
    <w:rsid w:val="007149C2"/>
    <w:rsid w:val="00714EE7"/>
    <w:rsid w:val="00715024"/>
    <w:rsid w:val="0071512B"/>
    <w:rsid w:val="007158C6"/>
    <w:rsid w:val="00715A39"/>
    <w:rsid w:val="00715CD8"/>
    <w:rsid w:val="00716590"/>
    <w:rsid w:val="0071672F"/>
    <w:rsid w:val="00716799"/>
    <w:rsid w:val="007168A0"/>
    <w:rsid w:val="00716C48"/>
    <w:rsid w:val="00716E76"/>
    <w:rsid w:val="00716FE5"/>
    <w:rsid w:val="00717057"/>
    <w:rsid w:val="0071737F"/>
    <w:rsid w:val="00717B93"/>
    <w:rsid w:val="00717B9A"/>
    <w:rsid w:val="00717BEC"/>
    <w:rsid w:val="007200D9"/>
    <w:rsid w:val="00720120"/>
    <w:rsid w:val="0072048A"/>
    <w:rsid w:val="00720507"/>
    <w:rsid w:val="007215EF"/>
    <w:rsid w:val="00721AFE"/>
    <w:rsid w:val="00721C79"/>
    <w:rsid w:val="00721D04"/>
    <w:rsid w:val="00721F8F"/>
    <w:rsid w:val="00722BED"/>
    <w:rsid w:val="00722DC5"/>
    <w:rsid w:val="00722DED"/>
    <w:rsid w:val="007231A0"/>
    <w:rsid w:val="00723200"/>
    <w:rsid w:val="00723952"/>
    <w:rsid w:val="007239F8"/>
    <w:rsid w:val="00723ABD"/>
    <w:rsid w:val="007243B2"/>
    <w:rsid w:val="00724525"/>
    <w:rsid w:val="00724872"/>
    <w:rsid w:val="007248D0"/>
    <w:rsid w:val="00724C77"/>
    <w:rsid w:val="007251F4"/>
    <w:rsid w:val="007254AC"/>
    <w:rsid w:val="0072579F"/>
    <w:rsid w:val="007257EB"/>
    <w:rsid w:val="00726E9F"/>
    <w:rsid w:val="00727CE5"/>
    <w:rsid w:val="00727F1E"/>
    <w:rsid w:val="00730039"/>
    <w:rsid w:val="007301C9"/>
    <w:rsid w:val="007301EF"/>
    <w:rsid w:val="00730B2D"/>
    <w:rsid w:val="00730B7F"/>
    <w:rsid w:val="00730DD9"/>
    <w:rsid w:val="00730E47"/>
    <w:rsid w:val="00730FE1"/>
    <w:rsid w:val="007310AD"/>
    <w:rsid w:val="0073187D"/>
    <w:rsid w:val="00731DD1"/>
    <w:rsid w:val="00731DF1"/>
    <w:rsid w:val="0073253F"/>
    <w:rsid w:val="00732B57"/>
    <w:rsid w:val="00732C0B"/>
    <w:rsid w:val="00732F1E"/>
    <w:rsid w:val="00733011"/>
    <w:rsid w:val="0073351C"/>
    <w:rsid w:val="00733613"/>
    <w:rsid w:val="00733F0F"/>
    <w:rsid w:val="007341D2"/>
    <w:rsid w:val="007348FF"/>
    <w:rsid w:val="007350FC"/>
    <w:rsid w:val="00735DDD"/>
    <w:rsid w:val="00736178"/>
    <w:rsid w:val="00736185"/>
    <w:rsid w:val="0073619A"/>
    <w:rsid w:val="00736B9E"/>
    <w:rsid w:val="00736E09"/>
    <w:rsid w:val="00736EAD"/>
    <w:rsid w:val="00736FB4"/>
    <w:rsid w:val="007370FF"/>
    <w:rsid w:val="007373F6"/>
    <w:rsid w:val="0073788C"/>
    <w:rsid w:val="00737AD0"/>
    <w:rsid w:val="00737DA7"/>
    <w:rsid w:val="00737EBB"/>
    <w:rsid w:val="007402B6"/>
    <w:rsid w:val="0074039C"/>
    <w:rsid w:val="007403E8"/>
    <w:rsid w:val="00740D15"/>
    <w:rsid w:val="00740DEE"/>
    <w:rsid w:val="00740FD7"/>
    <w:rsid w:val="007416B3"/>
    <w:rsid w:val="00741758"/>
    <w:rsid w:val="0074192A"/>
    <w:rsid w:val="00742334"/>
    <w:rsid w:val="007429D1"/>
    <w:rsid w:val="00742C84"/>
    <w:rsid w:val="00742C8B"/>
    <w:rsid w:val="00742F0D"/>
    <w:rsid w:val="00743159"/>
    <w:rsid w:val="007432F4"/>
    <w:rsid w:val="00743548"/>
    <w:rsid w:val="007436F9"/>
    <w:rsid w:val="0074383C"/>
    <w:rsid w:val="00744120"/>
    <w:rsid w:val="0074426D"/>
    <w:rsid w:val="00744640"/>
    <w:rsid w:val="00744653"/>
    <w:rsid w:val="007446CC"/>
    <w:rsid w:val="00744D1D"/>
    <w:rsid w:val="00744D31"/>
    <w:rsid w:val="00744DD9"/>
    <w:rsid w:val="00744E5C"/>
    <w:rsid w:val="00744E9D"/>
    <w:rsid w:val="007455BE"/>
    <w:rsid w:val="00745E8A"/>
    <w:rsid w:val="00745ED9"/>
    <w:rsid w:val="00746015"/>
    <w:rsid w:val="007460B1"/>
    <w:rsid w:val="00746296"/>
    <w:rsid w:val="0074633A"/>
    <w:rsid w:val="00746666"/>
    <w:rsid w:val="0074681D"/>
    <w:rsid w:val="00746AB2"/>
    <w:rsid w:val="00746B4E"/>
    <w:rsid w:val="00746E7B"/>
    <w:rsid w:val="0074763D"/>
    <w:rsid w:val="00747669"/>
    <w:rsid w:val="00747694"/>
    <w:rsid w:val="00747E2B"/>
    <w:rsid w:val="007503D2"/>
    <w:rsid w:val="00750717"/>
    <w:rsid w:val="00750896"/>
    <w:rsid w:val="00750B54"/>
    <w:rsid w:val="00750D29"/>
    <w:rsid w:val="00750DF2"/>
    <w:rsid w:val="00750FC5"/>
    <w:rsid w:val="007518AD"/>
    <w:rsid w:val="00751A84"/>
    <w:rsid w:val="007523B4"/>
    <w:rsid w:val="00752EB7"/>
    <w:rsid w:val="00753694"/>
    <w:rsid w:val="0075386F"/>
    <w:rsid w:val="00753A58"/>
    <w:rsid w:val="00754380"/>
    <w:rsid w:val="00754826"/>
    <w:rsid w:val="00755546"/>
    <w:rsid w:val="00755695"/>
    <w:rsid w:val="00755C27"/>
    <w:rsid w:val="00755FC4"/>
    <w:rsid w:val="007567A6"/>
    <w:rsid w:val="00756A5C"/>
    <w:rsid w:val="00756F9A"/>
    <w:rsid w:val="00757451"/>
    <w:rsid w:val="00757C97"/>
    <w:rsid w:val="00757F41"/>
    <w:rsid w:val="00760304"/>
    <w:rsid w:val="00760351"/>
    <w:rsid w:val="00760376"/>
    <w:rsid w:val="00760A9F"/>
    <w:rsid w:val="00760E1B"/>
    <w:rsid w:val="00761111"/>
    <w:rsid w:val="00761881"/>
    <w:rsid w:val="00761991"/>
    <w:rsid w:val="00761BA6"/>
    <w:rsid w:val="00761CC4"/>
    <w:rsid w:val="00761F73"/>
    <w:rsid w:val="00762EDE"/>
    <w:rsid w:val="00762F2F"/>
    <w:rsid w:val="00762F69"/>
    <w:rsid w:val="007632D8"/>
    <w:rsid w:val="00763652"/>
    <w:rsid w:val="00763B5B"/>
    <w:rsid w:val="00763F9F"/>
    <w:rsid w:val="007646D1"/>
    <w:rsid w:val="00764CD2"/>
    <w:rsid w:val="00764CF2"/>
    <w:rsid w:val="00764FE1"/>
    <w:rsid w:val="007650FE"/>
    <w:rsid w:val="0076573D"/>
    <w:rsid w:val="00765840"/>
    <w:rsid w:val="00765BBA"/>
    <w:rsid w:val="00766393"/>
    <w:rsid w:val="007666C2"/>
    <w:rsid w:val="007666C9"/>
    <w:rsid w:val="007668B7"/>
    <w:rsid w:val="00766999"/>
    <w:rsid w:val="007669DE"/>
    <w:rsid w:val="00766FF5"/>
    <w:rsid w:val="00767026"/>
    <w:rsid w:val="00767148"/>
    <w:rsid w:val="00767B59"/>
    <w:rsid w:val="00767B60"/>
    <w:rsid w:val="00767BD7"/>
    <w:rsid w:val="00767EAE"/>
    <w:rsid w:val="00770134"/>
    <w:rsid w:val="00770622"/>
    <w:rsid w:val="0077074F"/>
    <w:rsid w:val="007708AD"/>
    <w:rsid w:val="00770BF2"/>
    <w:rsid w:val="00770CDD"/>
    <w:rsid w:val="00770DB0"/>
    <w:rsid w:val="00770DFD"/>
    <w:rsid w:val="00771011"/>
    <w:rsid w:val="00771073"/>
    <w:rsid w:val="00772159"/>
    <w:rsid w:val="00772BCC"/>
    <w:rsid w:val="00772FBE"/>
    <w:rsid w:val="0077344C"/>
    <w:rsid w:val="00774652"/>
    <w:rsid w:val="00775114"/>
    <w:rsid w:val="00775165"/>
    <w:rsid w:val="00775371"/>
    <w:rsid w:val="007755EF"/>
    <w:rsid w:val="007756C6"/>
    <w:rsid w:val="0077576D"/>
    <w:rsid w:val="00775BDC"/>
    <w:rsid w:val="00776E7F"/>
    <w:rsid w:val="00776FBB"/>
    <w:rsid w:val="0077728C"/>
    <w:rsid w:val="00777539"/>
    <w:rsid w:val="00777949"/>
    <w:rsid w:val="0078001B"/>
    <w:rsid w:val="00780228"/>
    <w:rsid w:val="007802D6"/>
    <w:rsid w:val="00780C1A"/>
    <w:rsid w:val="00780FE0"/>
    <w:rsid w:val="00781232"/>
    <w:rsid w:val="007817F7"/>
    <w:rsid w:val="00781D2D"/>
    <w:rsid w:val="00781E83"/>
    <w:rsid w:val="007823BD"/>
    <w:rsid w:val="007824ED"/>
    <w:rsid w:val="0078274A"/>
    <w:rsid w:val="0078274C"/>
    <w:rsid w:val="007828C4"/>
    <w:rsid w:val="00783BBE"/>
    <w:rsid w:val="00784705"/>
    <w:rsid w:val="007849B9"/>
    <w:rsid w:val="0078533C"/>
    <w:rsid w:val="0078549E"/>
    <w:rsid w:val="00785BF9"/>
    <w:rsid w:val="00785C7E"/>
    <w:rsid w:val="0078679A"/>
    <w:rsid w:val="007869C9"/>
    <w:rsid w:val="00786B34"/>
    <w:rsid w:val="00786C1C"/>
    <w:rsid w:val="00786D2A"/>
    <w:rsid w:val="007873B3"/>
    <w:rsid w:val="00790286"/>
    <w:rsid w:val="0079028E"/>
    <w:rsid w:val="00790796"/>
    <w:rsid w:val="007909B4"/>
    <w:rsid w:val="0079170D"/>
    <w:rsid w:val="0079272F"/>
    <w:rsid w:val="00792C5D"/>
    <w:rsid w:val="00793033"/>
    <w:rsid w:val="00793C1E"/>
    <w:rsid w:val="00793EA5"/>
    <w:rsid w:val="00793ED4"/>
    <w:rsid w:val="00794458"/>
    <w:rsid w:val="007948A8"/>
    <w:rsid w:val="00794B02"/>
    <w:rsid w:val="00794D09"/>
    <w:rsid w:val="00795CBA"/>
    <w:rsid w:val="007963A7"/>
    <w:rsid w:val="00796E4D"/>
    <w:rsid w:val="007970AB"/>
    <w:rsid w:val="007971D2"/>
    <w:rsid w:val="007A0059"/>
    <w:rsid w:val="007A0363"/>
    <w:rsid w:val="007A063D"/>
    <w:rsid w:val="007A065C"/>
    <w:rsid w:val="007A0A8B"/>
    <w:rsid w:val="007A0B9B"/>
    <w:rsid w:val="007A0E88"/>
    <w:rsid w:val="007A1A12"/>
    <w:rsid w:val="007A1A9C"/>
    <w:rsid w:val="007A1B43"/>
    <w:rsid w:val="007A1B8A"/>
    <w:rsid w:val="007A2059"/>
    <w:rsid w:val="007A22BD"/>
    <w:rsid w:val="007A2991"/>
    <w:rsid w:val="007A307B"/>
    <w:rsid w:val="007A350C"/>
    <w:rsid w:val="007A3764"/>
    <w:rsid w:val="007A376F"/>
    <w:rsid w:val="007A3852"/>
    <w:rsid w:val="007A3963"/>
    <w:rsid w:val="007A3A9B"/>
    <w:rsid w:val="007A4009"/>
    <w:rsid w:val="007A41E5"/>
    <w:rsid w:val="007A42D3"/>
    <w:rsid w:val="007A4381"/>
    <w:rsid w:val="007A4710"/>
    <w:rsid w:val="007A48B6"/>
    <w:rsid w:val="007A4CE0"/>
    <w:rsid w:val="007A59D6"/>
    <w:rsid w:val="007A5C71"/>
    <w:rsid w:val="007A6134"/>
    <w:rsid w:val="007A627A"/>
    <w:rsid w:val="007A640D"/>
    <w:rsid w:val="007A64CF"/>
    <w:rsid w:val="007A67B7"/>
    <w:rsid w:val="007A68DF"/>
    <w:rsid w:val="007A6AA1"/>
    <w:rsid w:val="007A772A"/>
    <w:rsid w:val="007B0035"/>
    <w:rsid w:val="007B0DB7"/>
    <w:rsid w:val="007B0DD3"/>
    <w:rsid w:val="007B0EC3"/>
    <w:rsid w:val="007B12E4"/>
    <w:rsid w:val="007B1311"/>
    <w:rsid w:val="007B1338"/>
    <w:rsid w:val="007B1414"/>
    <w:rsid w:val="007B192E"/>
    <w:rsid w:val="007B241A"/>
    <w:rsid w:val="007B2882"/>
    <w:rsid w:val="007B2E27"/>
    <w:rsid w:val="007B3C5A"/>
    <w:rsid w:val="007B3E26"/>
    <w:rsid w:val="007B4214"/>
    <w:rsid w:val="007B461D"/>
    <w:rsid w:val="007B4E2D"/>
    <w:rsid w:val="007B51CD"/>
    <w:rsid w:val="007B5741"/>
    <w:rsid w:val="007B5F31"/>
    <w:rsid w:val="007B6113"/>
    <w:rsid w:val="007B62DB"/>
    <w:rsid w:val="007B6348"/>
    <w:rsid w:val="007B65E4"/>
    <w:rsid w:val="007B6DC2"/>
    <w:rsid w:val="007B6E75"/>
    <w:rsid w:val="007B7576"/>
    <w:rsid w:val="007B789B"/>
    <w:rsid w:val="007B7A60"/>
    <w:rsid w:val="007B7BB9"/>
    <w:rsid w:val="007B7BED"/>
    <w:rsid w:val="007C05C9"/>
    <w:rsid w:val="007C14B8"/>
    <w:rsid w:val="007C1646"/>
    <w:rsid w:val="007C17AE"/>
    <w:rsid w:val="007C1F31"/>
    <w:rsid w:val="007C21DA"/>
    <w:rsid w:val="007C2243"/>
    <w:rsid w:val="007C291A"/>
    <w:rsid w:val="007C3475"/>
    <w:rsid w:val="007C39A6"/>
    <w:rsid w:val="007C3B97"/>
    <w:rsid w:val="007C3C31"/>
    <w:rsid w:val="007C3F3D"/>
    <w:rsid w:val="007C43CF"/>
    <w:rsid w:val="007C4A94"/>
    <w:rsid w:val="007C5851"/>
    <w:rsid w:val="007C5960"/>
    <w:rsid w:val="007C5EED"/>
    <w:rsid w:val="007C6238"/>
    <w:rsid w:val="007C6282"/>
    <w:rsid w:val="007C62AB"/>
    <w:rsid w:val="007C645B"/>
    <w:rsid w:val="007C659F"/>
    <w:rsid w:val="007C65C3"/>
    <w:rsid w:val="007C6A76"/>
    <w:rsid w:val="007C6D43"/>
    <w:rsid w:val="007C6FFF"/>
    <w:rsid w:val="007C734A"/>
    <w:rsid w:val="007D0286"/>
    <w:rsid w:val="007D02A3"/>
    <w:rsid w:val="007D1569"/>
    <w:rsid w:val="007D1A19"/>
    <w:rsid w:val="007D21EE"/>
    <w:rsid w:val="007D25EB"/>
    <w:rsid w:val="007D27F5"/>
    <w:rsid w:val="007D2BDA"/>
    <w:rsid w:val="007D3687"/>
    <w:rsid w:val="007D3982"/>
    <w:rsid w:val="007D41EC"/>
    <w:rsid w:val="007D41FD"/>
    <w:rsid w:val="007D57B9"/>
    <w:rsid w:val="007D5E53"/>
    <w:rsid w:val="007D651E"/>
    <w:rsid w:val="007D6714"/>
    <w:rsid w:val="007D695D"/>
    <w:rsid w:val="007D714F"/>
    <w:rsid w:val="007D77D2"/>
    <w:rsid w:val="007D7837"/>
    <w:rsid w:val="007E0178"/>
    <w:rsid w:val="007E02AF"/>
    <w:rsid w:val="007E03E0"/>
    <w:rsid w:val="007E08C9"/>
    <w:rsid w:val="007E0B7E"/>
    <w:rsid w:val="007E0B94"/>
    <w:rsid w:val="007E0EB8"/>
    <w:rsid w:val="007E11DC"/>
    <w:rsid w:val="007E18FB"/>
    <w:rsid w:val="007E1A38"/>
    <w:rsid w:val="007E1F2A"/>
    <w:rsid w:val="007E20AB"/>
    <w:rsid w:val="007E2191"/>
    <w:rsid w:val="007E28E4"/>
    <w:rsid w:val="007E2926"/>
    <w:rsid w:val="007E34B8"/>
    <w:rsid w:val="007E35A1"/>
    <w:rsid w:val="007E3645"/>
    <w:rsid w:val="007E397C"/>
    <w:rsid w:val="007E3D54"/>
    <w:rsid w:val="007E4204"/>
    <w:rsid w:val="007E4D0D"/>
    <w:rsid w:val="007E524D"/>
    <w:rsid w:val="007E5751"/>
    <w:rsid w:val="007E5BD6"/>
    <w:rsid w:val="007E5C4C"/>
    <w:rsid w:val="007E6095"/>
    <w:rsid w:val="007E6E25"/>
    <w:rsid w:val="007E7696"/>
    <w:rsid w:val="007E7C59"/>
    <w:rsid w:val="007E7DBD"/>
    <w:rsid w:val="007E7E2A"/>
    <w:rsid w:val="007F0479"/>
    <w:rsid w:val="007F07C6"/>
    <w:rsid w:val="007F095B"/>
    <w:rsid w:val="007F177C"/>
    <w:rsid w:val="007F2208"/>
    <w:rsid w:val="007F27D4"/>
    <w:rsid w:val="007F2B18"/>
    <w:rsid w:val="007F3104"/>
    <w:rsid w:val="007F34AA"/>
    <w:rsid w:val="007F358B"/>
    <w:rsid w:val="007F35E5"/>
    <w:rsid w:val="007F3AC8"/>
    <w:rsid w:val="007F3EC7"/>
    <w:rsid w:val="007F509F"/>
    <w:rsid w:val="007F53C7"/>
    <w:rsid w:val="007F589F"/>
    <w:rsid w:val="007F5919"/>
    <w:rsid w:val="007F596C"/>
    <w:rsid w:val="007F6C55"/>
    <w:rsid w:val="007F6EDF"/>
    <w:rsid w:val="007F7FEE"/>
    <w:rsid w:val="00800A33"/>
    <w:rsid w:val="00800D88"/>
    <w:rsid w:val="00800FF8"/>
    <w:rsid w:val="008012A2"/>
    <w:rsid w:val="008017BC"/>
    <w:rsid w:val="008019AE"/>
    <w:rsid w:val="00801E1C"/>
    <w:rsid w:val="008024A9"/>
    <w:rsid w:val="0080261B"/>
    <w:rsid w:val="00802A9A"/>
    <w:rsid w:val="0080322B"/>
    <w:rsid w:val="0080355A"/>
    <w:rsid w:val="008035C3"/>
    <w:rsid w:val="008037B8"/>
    <w:rsid w:val="00803A1A"/>
    <w:rsid w:val="00803BDE"/>
    <w:rsid w:val="00803CC1"/>
    <w:rsid w:val="00803E84"/>
    <w:rsid w:val="00803F26"/>
    <w:rsid w:val="008040FD"/>
    <w:rsid w:val="00804786"/>
    <w:rsid w:val="00804961"/>
    <w:rsid w:val="00804AA6"/>
    <w:rsid w:val="00804B8B"/>
    <w:rsid w:val="00804D31"/>
    <w:rsid w:val="00805275"/>
    <w:rsid w:val="00805CE2"/>
    <w:rsid w:val="008061AF"/>
    <w:rsid w:val="008064A1"/>
    <w:rsid w:val="008065B8"/>
    <w:rsid w:val="00806F63"/>
    <w:rsid w:val="00807CF2"/>
    <w:rsid w:val="00807F06"/>
    <w:rsid w:val="00807F43"/>
    <w:rsid w:val="008102BC"/>
    <w:rsid w:val="00810989"/>
    <w:rsid w:val="00810B48"/>
    <w:rsid w:val="00810DB3"/>
    <w:rsid w:val="00811002"/>
    <w:rsid w:val="008110F9"/>
    <w:rsid w:val="00811196"/>
    <w:rsid w:val="00811306"/>
    <w:rsid w:val="0081160D"/>
    <w:rsid w:val="0081161F"/>
    <w:rsid w:val="008117C1"/>
    <w:rsid w:val="00811D97"/>
    <w:rsid w:val="008124A1"/>
    <w:rsid w:val="008125A5"/>
    <w:rsid w:val="00812F12"/>
    <w:rsid w:val="0081345F"/>
    <w:rsid w:val="00813D6E"/>
    <w:rsid w:val="0081414E"/>
    <w:rsid w:val="00814205"/>
    <w:rsid w:val="008142F2"/>
    <w:rsid w:val="00814647"/>
    <w:rsid w:val="0081468E"/>
    <w:rsid w:val="008147ED"/>
    <w:rsid w:val="00814DF6"/>
    <w:rsid w:val="00814EE6"/>
    <w:rsid w:val="00815181"/>
    <w:rsid w:val="0081533C"/>
    <w:rsid w:val="0081602E"/>
    <w:rsid w:val="008161B9"/>
    <w:rsid w:val="008161D7"/>
    <w:rsid w:val="00816389"/>
    <w:rsid w:val="008168B1"/>
    <w:rsid w:val="008168CA"/>
    <w:rsid w:val="0081697B"/>
    <w:rsid w:val="00816CB3"/>
    <w:rsid w:val="00816FF3"/>
    <w:rsid w:val="00817246"/>
    <w:rsid w:val="0081735C"/>
    <w:rsid w:val="0081756D"/>
    <w:rsid w:val="008177E6"/>
    <w:rsid w:val="0081786A"/>
    <w:rsid w:val="00820466"/>
    <w:rsid w:val="00820634"/>
    <w:rsid w:val="00820645"/>
    <w:rsid w:val="00820661"/>
    <w:rsid w:val="0082094E"/>
    <w:rsid w:val="0082099D"/>
    <w:rsid w:val="008213DE"/>
    <w:rsid w:val="0082183A"/>
    <w:rsid w:val="00821A44"/>
    <w:rsid w:val="00821DBB"/>
    <w:rsid w:val="008232D3"/>
    <w:rsid w:val="00823307"/>
    <w:rsid w:val="00823395"/>
    <w:rsid w:val="008237A7"/>
    <w:rsid w:val="00823887"/>
    <w:rsid w:val="0082396E"/>
    <w:rsid w:val="00823EE3"/>
    <w:rsid w:val="0082437F"/>
    <w:rsid w:val="0082441B"/>
    <w:rsid w:val="00824456"/>
    <w:rsid w:val="0082509C"/>
    <w:rsid w:val="0082596E"/>
    <w:rsid w:val="00825B55"/>
    <w:rsid w:val="0082603F"/>
    <w:rsid w:val="008260B6"/>
    <w:rsid w:val="008266FC"/>
    <w:rsid w:val="008279DA"/>
    <w:rsid w:val="00827C33"/>
    <w:rsid w:val="00827D79"/>
    <w:rsid w:val="0083036E"/>
    <w:rsid w:val="00830446"/>
    <w:rsid w:val="00831437"/>
    <w:rsid w:val="00831C5E"/>
    <w:rsid w:val="00831EAF"/>
    <w:rsid w:val="00832420"/>
    <w:rsid w:val="00832974"/>
    <w:rsid w:val="00832978"/>
    <w:rsid w:val="008329BB"/>
    <w:rsid w:val="00832F8B"/>
    <w:rsid w:val="00832F9B"/>
    <w:rsid w:val="00833001"/>
    <w:rsid w:val="00833039"/>
    <w:rsid w:val="00833251"/>
    <w:rsid w:val="00833679"/>
    <w:rsid w:val="008337FA"/>
    <w:rsid w:val="008338AC"/>
    <w:rsid w:val="008339B0"/>
    <w:rsid w:val="00833C85"/>
    <w:rsid w:val="00833CCC"/>
    <w:rsid w:val="00833D2F"/>
    <w:rsid w:val="00834616"/>
    <w:rsid w:val="008346F6"/>
    <w:rsid w:val="008348B9"/>
    <w:rsid w:val="00834C37"/>
    <w:rsid w:val="00834F88"/>
    <w:rsid w:val="00835096"/>
    <w:rsid w:val="0083569E"/>
    <w:rsid w:val="008356BE"/>
    <w:rsid w:val="008359C4"/>
    <w:rsid w:val="008361BF"/>
    <w:rsid w:val="00836262"/>
    <w:rsid w:val="0083642D"/>
    <w:rsid w:val="0083658A"/>
    <w:rsid w:val="00836A2D"/>
    <w:rsid w:val="00836C37"/>
    <w:rsid w:val="00836D0F"/>
    <w:rsid w:val="00836E3A"/>
    <w:rsid w:val="00837017"/>
    <w:rsid w:val="00837210"/>
    <w:rsid w:val="008373BF"/>
    <w:rsid w:val="0083762B"/>
    <w:rsid w:val="00837805"/>
    <w:rsid w:val="00837A46"/>
    <w:rsid w:val="00837DCB"/>
    <w:rsid w:val="0084075F"/>
    <w:rsid w:val="00840A84"/>
    <w:rsid w:val="0084143F"/>
    <w:rsid w:val="008414B9"/>
    <w:rsid w:val="00841788"/>
    <w:rsid w:val="008418EA"/>
    <w:rsid w:val="0084210A"/>
    <w:rsid w:val="0084238D"/>
    <w:rsid w:val="008425AD"/>
    <w:rsid w:val="00842691"/>
    <w:rsid w:val="00842B13"/>
    <w:rsid w:val="00843570"/>
    <w:rsid w:val="0084398C"/>
    <w:rsid w:val="00843E6F"/>
    <w:rsid w:val="00843E9B"/>
    <w:rsid w:val="00844112"/>
    <w:rsid w:val="00844DFA"/>
    <w:rsid w:val="00844F46"/>
    <w:rsid w:val="0084511C"/>
    <w:rsid w:val="00845214"/>
    <w:rsid w:val="008458C4"/>
    <w:rsid w:val="008459C5"/>
    <w:rsid w:val="00845F1D"/>
    <w:rsid w:val="008468BE"/>
    <w:rsid w:val="00846B01"/>
    <w:rsid w:val="00846FB5"/>
    <w:rsid w:val="0084718D"/>
    <w:rsid w:val="008472B8"/>
    <w:rsid w:val="0084762B"/>
    <w:rsid w:val="00847801"/>
    <w:rsid w:val="008479F0"/>
    <w:rsid w:val="00847A08"/>
    <w:rsid w:val="00847C52"/>
    <w:rsid w:val="00847ECD"/>
    <w:rsid w:val="008502B1"/>
    <w:rsid w:val="00850406"/>
    <w:rsid w:val="00850809"/>
    <w:rsid w:val="00850B36"/>
    <w:rsid w:val="00850D07"/>
    <w:rsid w:val="00850DDC"/>
    <w:rsid w:val="00851583"/>
    <w:rsid w:val="00851A8F"/>
    <w:rsid w:val="00851D0E"/>
    <w:rsid w:val="0085234F"/>
    <w:rsid w:val="008524BA"/>
    <w:rsid w:val="008529A2"/>
    <w:rsid w:val="00852AE1"/>
    <w:rsid w:val="00852BC5"/>
    <w:rsid w:val="00852C95"/>
    <w:rsid w:val="00852CB5"/>
    <w:rsid w:val="00852CB9"/>
    <w:rsid w:val="00853120"/>
    <w:rsid w:val="0085350C"/>
    <w:rsid w:val="00853648"/>
    <w:rsid w:val="008536B4"/>
    <w:rsid w:val="00853B1B"/>
    <w:rsid w:val="00853D3D"/>
    <w:rsid w:val="008542A1"/>
    <w:rsid w:val="0085439B"/>
    <w:rsid w:val="0085444D"/>
    <w:rsid w:val="008545A3"/>
    <w:rsid w:val="0085469E"/>
    <w:rsid w:val="00855197"/>
    <w:rsid w:val="00855309"/>
    <w:rsid w:val="008553F8"/>
    <w:rsid w:val="0085549D"/>
    <w:rsid w:val="0085561C"/>
    <w:rsid w:val="00855881"/>
    <w:rsid w:val="00855DB4"/>
    <w:rsid w:val="0085650E"/>
    <w:rsid w:val="0085689C"/>
    <w:rsid w:val="008568B1"/>
    <w:rsid w:val="00856B41"/>
    <w:rsid w:val="00856C5D"/>
    <w:rsid w:val="00856FD1"/>
    <w:rsid w:val="008571A0"/>
    <w:rsid w:val="008578B6"/>
    <w:rsid w:val="008579B4"/>
    <w:rsid w:val="00857EF6"/>
    <w:rsid w:val="00860148"/>
    <w:rsid w:val="008605EA"/>
    <w:rsid w:val="0086061A"/>
    <w:rsid w:val="008609AB"/>
    <w:rsid w:val="00860A52"/>
    <w:rsid w:val="00860CDB"/>
    <w:rsid w:val="00861CF3"/>
    <w:rsid w:val="00862ABE"/>
    <w:rsid w:val="00862C1E"/>
    <w:rsid w:val="00862C54"/>
    <w:rsid w:val="008630DF"/>
    <w:rsid w:val="0086312D"/>
    <w:rsid w:val="00863588"/>
    <w:rsid w:val="0086390F"/>
    <w:rsid w:val="00863FA1"/>
    <w:rsid w:val="008641E7"/>
    <w:rsid w:val="00864439"/>
    <w:rsid w:val="008645CB"/>
    <w:rsid w:val="008646A4"/>
    <w:rsid w:val="008646E6"/>
    <w:rsid w:val="00864BFE"/>
    <w:rsid w:val="00865DB7"/>
    <w:rsid w:val="00866231"/>
    <w:rsid w:val="008663BB"/>
    <w:rsid w:val="0086658D"/>
    <w:rsid w:val="0086663A"/>
    <w:rsid w:val="00866A4A"/>
    <w:rsid w:val="00866B34"/>
    <w:rsid w:val="00866BCB"/>
    <w:rsid w:val="00867012"/>
    <w:rsid w:val="008677E7"/>
    <w:rsid w:val="0087019C"/>
    <w:rsid w:val="008702BE"/>
    <w:rsid w:val="008703D7"/>
    <w:rsid w:val="00870898"/>
    <w:rsid w:val="0087110B"/>
    <w:rsid w:val="0087118D"/>
    <w:rsid w:val="0087146E"/>
    <w:rsid w:val="00871A6C"/>
    <w:rsid w:val="0087215F"/>
    <w:rsid w:val="008723E2"/>
    <w:rsid w:val="00872799"/>
    <w:rsid w:val="008729E1"/>
    <w:rsid w:val="00872A6F"/>
    <w:rsid w:val="00872C5B"/>
    <w:rsid w:val="00872C9E"/>
    <w:rsid w:val="00873345"/>
    <w:rsid w:val="008738EA"/>
    <w:rsid w:val="00873CDE"/>
    <w:rsid w:val="00873D69"/>
    <w:rsid w:val="00873E89"/>
    <w:rsid w:val="00874475"/>
    <w:rsid w:val="0087487D"/>
    <w:rsid w:val="00874AD2"/>
    <w:rsid w:val="00874B03"/>
    <w:rsid w:val="00874C95"/>
    <w:rsid w:val="00874F76"/>
    <w:rsid w:val="00875434"/>
    <w:rsid w:val="00875CCB"/>
    <w:rsid w:val="00876425"/>
    <w:rsid w:val="00876544"/>
    <w:rsid w:val="00876903"/>
    <w:rsid w:val="00876E38"/>
    <w:rsid w:val="00877134"/>
    <w:rsid w:val="0087724B"/>
    <w:rsid w:val="00877437"/>
    <w:rsid w:val="0087773B"/>
    <w:rsid w:val="00877AFB"/>
    <w:rsid w:val="00877BB2"/>
    <w:rsid w:val="00880061"/>
    <w:rsid w:val="008802A2"/>
    <w:rsid w:val="008806B8"/>
    <w:rsid w:val="008808E2"/>
    <w:rsid w:val="00880E2C"/>
    <w:rsid w:val="00880F32"/>
    <w:rsid w:val="00881483"/>
    <w:rsid w:val="0088151E"/>
    <w:rsid w:val="0088175E"/>
    <w:rsid w:val="00881EA7"/>
    <w:rsid w:val="008824C9"/>
    <w:rsid w:val="00882541"/>
    <w:rsid w:val="00882571"/>
    <w:rsid w:val="008833F3"/>
    <w:rsid w:val="008835B3"/>
    <w:rsid w:val="00883D97"/>
    <w:rsid w:val="00883EEC"/>
    <w:rsid w:val="00883F4D"/>
    <w:rsid w:val="008843DB"/>
    <w:rsid w:val="008844D4"/>
    <w:rsid w:val="008847AB"/>
    <w:rsid w:val="00884977"/>
    <w:rsid w:val="00885537"/>
    <w:rsid w:val="0088589A"/>
    <w:rsid w:val="00885997"/>
    <w:rsid w:val="008859A5"/>
    <w:rsid w:val="008866FA"/>
    <w:rsid w:val="008868A0"/>
    <w:rsid w:val="0088694D"/>
    <w:rsid w:val="008869A2"/>
    <w:rsid w:val="008869F3"/>
    <w:rsid w:val="00886A21"/>
    <w:rsid w:val="00886C0E"/>
    <w:rsid w:val="0088706C"/>
    <w:rsid w:val="00887167"/>
    <w:rsid w:val="008873DA"/>
    <w:rsid w:val="00887648"/>
    <w:rsid w:val="008878A2"/>
    <w:rsid w:val="00887911"/>
    <w:rsid w:val="00890420"/>
    <w:rsid w:val="00890964"/>
    <w:rsid w:val="00890992"/>
    <w:rsid w:val="00891424"/>
    <w:rsid w:val="00891DC7"/>
    <w:rsid w:val="008921C2"/>
    <w:rsid w:val="00892307"/>
    <w:rsid w:val="008924D6"/>
    <w:rsid w:val="00892731"/>
    <w:rsid w:val="00892A28"/>
    <w:rsid w:val="00892DCD"/>
    <w:rsid w:val="0089317A"/>
    <w:rsid w:val="00893960"/>
    <w:rsid w:val="00893FE7"/>
    <w:rsid w:val="0089425B"/>
    <w:rsid w:val="008947EE"/>
    <w:rsid w:val="00895A4B"/>
    <w:rsid w:val="00895CD5"/>
    <w:rsid w:val="0089631C"/>
    <w:rsid w:val="00896334"/>
    <w:rsid w:val="0089640F"/>
    <w:rsid w:val="008964AC"/>
    <w:rsid w:val="008966F6"/>
    <w:rsid w:val="008972FA"/>
    <w:rsid w:val="0089759E"/>
    <w:rsid w:val="0089775B"/>
    <w:rsid w:val="00897793"/>
    <w:rsid w:val="008977B2"/>
    <w:rsid w:val="00897986"/>
    <w:rsid w:val="00897C50"/>
    <w:rsid w:val="008A00DD"/>
    <w:rsid w:val="008A03D5"/>
    <w:rsid w:val="008A0438"/>
    <w:rsid w:val="008A0DCF"/>
    <w:rsid w:val="008A1447"/>
    <w:rsid w:val="008A1632"/>
    <w:rsid w:val="008A1C57"/>
    <w:rsid w:val="008A2016"/>
    <w:rsid w:val="008A27B1"/>
    <w:rsid w:val="008A3212"/>
    <w:rsid w:val="008A35C6"/>
    <w:rsid w:val="008A3AA5"/>
    <w:rsid w:val="008A4094"/>
    <w:rsid w:val="008A43EE"/>
    <w:rsid w:val="008A444F"/>
    <w:rsid w:val="008A4A29"/>
    <w:rsid w:val="008A4E71"/>
    <w:rsid w:val="008A50D9"/>
    <w:rsid w:val="008A51CE"/>
    <w:rsid w:val="008A593D"/>
    <w:rsid w:val="008A5D47"/>
    <w:rsid w:val="008A5D69"/>
    <w:rsid w:val="008A5EA8"/>
    <w:rsid w:val="008A5EBB"/>
    <w:rsid w:val="008A6179"/>
    <w:rsid w:val="008A6934"/>
    <w:rsid w:val="008A6F83"/>
    <w:rsid w:val="008A72CE"/>
    <w:rsid w:val="008B04BC"/>
    <w:rsid w:val="008B05C3"/>
    <w:rsid w:val="008B108C"/>
    <w:rsid w:val="008B12AE"/>
    <w:rsid w:val="008B12F3"/>
    <w:rsid w:val="008B1914"/>
    <w:rsid w:val="008B26E3"/>
    <w:rsid w:val="008B2816"/>
    <w:rsid w:val="008B290E"/>
    <w:rsid w:val="008B2F55"/>
    <w:rsid w:val="008B3073"/>
    <w:rsid w:val="008B322F"/>
    <w:rsid w:val="008B3716"/>
    <w:rsid w:val="008B3C94"/>
    <w:rsid w:val="008B4025"/>
    <w:rsid w:val="008B42F3"/>
    <w:rsid w:val="008B4792"/>
    <w:rsid w:val="008B4965"/>
    <w:rsid w:val="008B49BE"/>
    <w:rsid w:val="008B4AC3"/>
    <w:rsid w:val="008B4B3F"/>
    <w:rsid w:val="008B4CE9"/>
    <w:rsid w:val="008B54D2"/>
    <w:rsid w:val="008B5AB6"/>
    <w:rsid w:val="008B5DB0"/>
    <w:rsid w:val="008B6393"/>
    <w:rsid w:val="008B662C"/>
    <w:rsid w:val="008B6AD6"/>
    <w:rsid w:val="008B6BD4"/>
    <w:rsid w:val="008B6BD6"/>
    <w:rsid w:val="008B6C13"/>
    <w:rsid w:val="008B6D8F"/>
    <w:rsid w:val="008B737C"/>
    <w:rsid w:val="008B78B1"/>
    <w:rsid w:val="008B7FB8"/>
    <w:rsid w:val="008C08EE"/>
    <w:rsid w:val="008C0C1A"/>
    <w:rsid w:val="008C0FBA"/>
    <w:rsid w:val="008C13E5"/>
    <w:rsid w:val="008C184F"/>
    <w:rsid w:val="008C1C7A"/>
    <w:rsid w:val="008C1CCF"/>
    <w:rsid w:val="008C1CFA"/>
    <w:rsid w:val="008C1EB0"/>
    <w:rsid w:val="008C1EBE"/>
    <w:rsid w:val="008C23AF"/>
    <w:rsid w:val="008C26EF"/>
    <w:rsid w:val="008C30C9"/>
    <w:rsid w:val="008C3241"/>
    <w:rsid w:val="008C33CF"/>
    <w:rsid w:val="008C39FF"/>
    <w:rsid w:val="008C3B2E"/>
    <w:rsid w:val="008C3D0D"/>
    <w:rsid w:val="008C43C7"/>
    <w:rsid w:val="008C4E1E"/>
    <w:rsid w:val="008C51DD"/>
    <w:rsid w:val="008C52B1"/>
    <w:rsid w:val="008C5348"/>
    <w:rsid w:val="008C5700"/>
    <w:rsid w:val="008C58BC"/>
    <w:rsid w:val="008C5D41"/>
    <w:rsid w:val="008C6081"/>
    <w:rsid w:val="008C61D8"/>
    <w:rsid w:val="008C6255"/>
    <w:rsid w:val="008C69FA"/>
    <w:rsid w:val="008C6AE9"/>
    <w:rsid w:val="008C7142"/>
    <w:rsid w:val="008C791A"/>
    <w:rsid w:val="008D033B"/>
    <w:rsid w:val="008D0E87"/>
    <w:rsid w:val="008D14F7"/>
    <w:rsid w:val="008D19B5"/>
    <w:rsid w:val="008D19FD"/>
    <w:rsid w:val="008D1ABD"/>
    <w:rsid w:val="008D1CAE"/>
    <w:rsid w:val="008D28D2"/>
    <w:rsid w:val="008D2A60"/>
    <w:rsid w:val="008D2F4B"/>
    <w:rsid w:val="008D37A9"/>
    <w:rsid w:val="008D3A0D"/>
    <w:rsid w:val="008D3CAC"/>
    <w:rsid w:val="008D3DDC"/>
    <w:rsid w:val="008D446C"/>
    <w:rsid w:val="008D46B2"/>
    <w:rsid w:val="008D473E"/>
    <w:rsid w:val="008D4B07"/>
    <w:rsid w:val="008D5234"/>
    <w:rsid w:val="008D5722"/>
    <w:rsid w:val="008D5926"/>
    <w:rsid w:val="008D63F6"/>
    <w:rsid w:val="008D653F"/>
    <w:rsid w:val="008D76DE"/>
    <w:rsid w:val="008D76EA"/>
    <w:rsid w:val="008D7E0C"/>
    <w:rsid w:val="008E030A"/>
    <w:rsid w:val="008E0B0D"/>
    <w:rsid w:val="008E0DF6"/>
    <w:rsid w:val="008E1409"/>
    <w:rsid w:val="008E150B"/>
    <w:rsid w:val="008E1CC4"/>
    <w:rsid w:val="008E1D08"/>
    <w:rsid w:val="008E201D"/>
    <w:rsid w:val="008E20BD"/>
    <w:rsid w:val="008E217E"/>
    <w:rsid w:val="008E2243"/>
    <w:rsid w:val="008E24F4"/>
    <w:rsid w:val="008E25D6"/>
    <w:rsid w:val="008E29DC"/>
    <w:rsid w:val="008E2C2F"/>
    <w:rsid w:val="008E2E31"/>
    <w:rsid w:val="008E32E2"/>
    <w:rsid w:val="008E40AD"/>
    <w:rsid w:val="008E4875"/>
    <w:rsid w:val="008E511D"/>
    <w:rsid w:val="008E56A7"/>
    <w:rsid w:val="008E5970"/>
    <w:rsid w:val="008E5E29"/>
    <w:rsid w:val="008E624C"/>
    <w:rsid w:val="008E64BD"/>
    <w:rsid w:val="008E6505"/>
    <w:rsid w:val="008E672D"/>
    <w:rsid w:val="008E7882"/>
    <w:rsid w:val="008E7BD4"/>
    <w:rsid w:val="008E7D7F"/>
    <w:rsid w:val="008F0194"/>
    <w:rsid w:val="008F0930"/>
    <w:rsid w:val="008F0A95"/>
    <w:rsid w:val="008F0AE1"/>
    <w:rsid w:val="008F0CFD"/>
    <w:rsid w:val="008F1EFC"/>
    <w:rsid w:val="008F25A8"/>
    <w:rsid w:val="008F2BBB"/>
    <w:rsid w:val="008F2C12"/>
    <w:rsid w:val="008F2D45"/>
    <w:rsid w:val="008F3049"/>
    <w:rsid w:val="008F30AB"/>
    <w:rsid w:val="008F3140"/>
    <w:rsid w:val="008F3516"/>
    <w:rsid w:val="008F4233"/>
    <w:rsid w:val="008F4460"/>
    <w:rsid w:val="008F47FA"/>
    <w:rsid w:val="008F4D58"/>
    <w:rsid w:val="008F4DA8"/>
    <w:rsid w:val="008F4DEC"/>
    <w:rsid w:val="008F567D"/>
    <w:rsid w:val="008F5866"/>
    <w:rsid w:val="008F5B5C"/>
    <w:rsid w:val="008F5B9C"/>
    <w:rsid w:val="008F5EC4"/>
    <w:rsid w:val="008F6B50"/>
    <w:rsid w:val="008F6D85"/>
    <w:rsid w:val="008F6F1A"/>
    <w:rsid w:val="008F707C"/>
    <w:rsid w:val="008F7626"/>
    <w:rsid w:val="008F7897"/>
    <w:rsid w:val="008F78AA"/>
    <w:rsid w:val="008F7C44"/>
    <w:rsid w:val="008F7F6B"/>
    <w:rsid w:val="00900875"/>
    <w:rsid w:val="00900CB2"/>
    <w:rsid w:val="00900EC7"/>
    <w:rsid w:val="0090137A"/>
    <w:rsid w:val="009016D4"/>
    <w:rsid w:val="009018FD"/>
    <w:rsid w:val="00901C92"/>
    <w:rsid w:val="00901DC0"/>
    <w:rsid w:val="00901E49"/>
    <w:rsid w:val="00902699"/>
    <w:rsid w:val="00902ACC"/>
    <w:rsid w:val="00902B4F"/>
    <w:rsid w:val="00902C11"/>
    <w:rsid w:val="00902E27"/>
    <w:rsid w:val="00903370"/>
    <w:rsid w:val="0090372F"/>
    <w:rsid w:val="00903C9C"/>
    <w:rsid w:val="00903F1C"/>
    <w:rsid w:val="0090411A"/>
    <w:rsid w:val="0090416A"/>
    <w:rsid w:val="009042E9"/>
    <w:rsid w:val="009043DA"/>
    <w:rsid w:val="00904722"/>
    <w:rsid w:val="00904DC1"/>
    <w:rsid w:val="00905136"/>
    <w:rsid w:val="00905968"/>
    <w:rsid w:val="00905D6D"/>
    <w:rsid w:val="0090608C"/>
    <w:rsid w:val="00906FE8"/>
    <w:rsid w:val="0090785A"/>
    <w:rsid w:val="00907886"/>
    <w:rsid w:val="00907AF8"/>
    <w:rsid w:val="00907D86"/>
    <w:rsid w:val="00907E6D"/>
    <w:rsid w:val="00907E8B"/>
    <w:rsid w:val="00910150"/>
    <w:rsid w:val="00910156"/>
    <w:rsid w:val="0091022E"/>
    <w:rsid w:val="00910267"/>
    <w:rsid w:val="0091034B"/>
    <w:rsid w:val="00910657"/>
    <w:rsid w:val="00910AD4"/>
    <w:rsid w:val="00910C8F"/>
    <w:rsid w:val="00910D20"/>
    <w:rsid w:val="00911576"/>
    <w:rsid w:val="009118D8"/>
    <w:rsid w:val="009119FD"/>
    <w:rsid w:val="00912755"/>
    <w:rsid w:val="00912B2D"/>
    <w:rsid w:val="0091349A"/>
    <w:rsid w:val="009141BD"/>
    <w:rsid w:val="00914399"/>
    <w:rsid w:val="009147E3"/>
    <w:rsid w:val="00914BBC"/>
    <w:rsid w:val="0091514E"/>
    <w:rsid w:val="0091530C"/>
    <w:rsid w:val="009158BF"/>
    <w:rsid w:val="009161E2"/>
    <w:rsid w:val="0091623C"/>
    <w:rsid w:val="009165C3"/>
    <w:rsid w:val="0091671A"/>
    <w:rsid w:val="00916887"/>
    <w:rsid w:val="00916CAD"/>
    <w:rsid w:val="00916EE6"/>
    <w:rsid w:val="00917077"/>
    <w:rsid w:val="0091742B"/>
    <w:rsid w:val="009174BB"/>
    <w:rsid w:val="00917796"/>
    <w:rsid w:val="00917B93"/>
    <w:rsid w:val="00920603"/>
    <w:rsid w:val="00920682"/>
    <w:rsid w:val="00920AAF"/>
    <w:rsid w:val="00920B80"/>
    <w:rsid w:val="00920BAC"/>
    <w:rsid w:val="00921269"/>
    <w:rsid w:val="0092190C"/>
    <w:rsid w:val="009227BC"/>
    <w:rsid w:val="00922D74"/>
    <w:rsid w:val="00922FF2"/>
    <w:rsid w:val="00923589"/>
    <w:rsid w:val="00923850"/>
    <w:rsid w:val="009239C2"/>
    <w:rsid w:val="009241F9"/>
    <w:rsid w:val="00924224"/>
    <w:rsid w:val="00924527"/>
    <w:rsid w:val="0092492E"/>
    <w:rsid w:val="00924D6E"/>
    <w:rsid w:val="00924F58"/>
    <w:rsid w:val="0092518D"/>
    <w:rsid w:val="009254B5"/>
    <w:rsid w:val="00925A11"/>
    <w:rsid w:val="00925B61"/>
    <w:rsid w:val="00926110"/>
    <w:rsid w:val="0092625C"/>
    <w:rsid w:val="0092625D"/>
    <w:rsid w:val="00927410"/>
    <w:rsid w:val="00927686"/>
    <w:rsid w:val="009278E0"/>
    <w:rsid w:val="00927D0E"/>
    <w:rsid w:val="00927F83"/>
    <w:rsid w:val="00930434"/>
    <w:rsid w:val="0093199A"/>
    <w:rsid w:val="009319C5"/>
    <w:rsid w:val="00931B3E"/>
    <w:rsid w:val="00931C7D"/>
    <w:rsid w:val="00931C8A"/>
    <w:rsid w:val="00931C9A"/>
    <w:rsid w:val="0093243B"/>
    <w:rsid w:val="009327B2"/>
    <w:rsid w:val="009328F2"/>
    <w:rsid w:val="00932A54"/>
    <w:rsid w:val="00932B1D"/>
    <w:rsid w:val="00932EB7"/>
    <w:rsid w:val="00932FC0"/>
    <w:rsid w:val="00932FC6"/>
    <w:rsid w:val="009337F8"/>
    <w:rsid w:val="00933852"/>
    <w:rsid w:val="00933923"/>
    <w:rsid w:val="00933E08"/>
    <w:rsid w:val="009342FC"/>
    <w:rsid w:val="00934497"/>
    <w:rsid w:val="00934783"/>
    <w:rsid w:val="0093479A"/>
    <w:rsid w:val="00934FAE"/>
    <w:rsid w:val="0093551E"/>
    <w:rsid w:val="00936068"/>
    <w:rsid w:val="00936243"/>
    <w:rsid w:val="009364D2"/>
    <w:rsid w:val="00936718"/>
    <w:rsid w:val="00936C71"/>
    <w:rsid w:val="009371D5"/>
    <w:rsid w:val="00937245"/>
    <w:rsid w:val="00937495"/>
    <w:rsid w:val="009374B8"/>
    <w:rsid w:val="00937516"/>
    <w:rsid w:val="00937767"/>
    <w:rsid w:val="00937A03"/>
    <w:rsid w:val="00937AED"/>
    <w:rsid w:val="00940022"/>
    <w:rsid w:val="0094002B"/>
    <w:rsid w:val="0094041C"/>
    <w:rsid w:val="009404BE"/>
    <w:rsid w:val="0094072B"/>
    <w:rsid w:val="00940816"/>
    <w:rsid w:val="00940C45"/>
    <w:rsid w:val="00940D6D"/>
    <w:rsid w:val="009413E1"/>
    <w:rsid w:val="00941441"/>
    <w:rsid w:val="009414BC"/>
    <w:rsid w:val="00941572"/>
    <w:rsid w:val="0094162A"/>
    <w:rsid w:val="00941858"/>
    <w:rsid w:val="00942052"/>
    <w:rsid w:val="00942AD7"/>
    <w:rsid w:val="00942D88"/>
    <w:rsid w:val="009430BD"/>
    <w:rsid w:val="00943147"/>
    <w:rsid w:val="009432D0"/>
    <w:rsid w:val="00943558"/>
    <w:rsid w:val="00943806"/>
    <w:rsid w:val="00943D7B"/>
    <w:rsid w:val="00943EA3"/>
    <w:rsid w:val="00943FD6"/>
    <w:rsid w:val="009445C4"/>
    <w:rsid w:val="00944930"/>
    <w:rsid w:val="00944EAD"/>
    <w:rsid w:val="00945D17"/>
    <w:rsid w:val="00946351"/>
    <w:rsid w:val="009468E4"/>
    <w:rsid w:val="00946B10"/>
    <w:rsid w:val="00946B46"/>
    <w:rsid w:val="00947240"/>
    <w:rsid w:val="009476FE"/>
    <w:rsid w:val="00947B78"/>
    <w:rsid w:val="00947B92"/>
    <w:rsid w:val="00950501"/>
    <w:rsid w:val="00950577"/>
    <w:rsid w:val="009506CD"/>
    <w:rsid w:val="0095097D"/>
    <w:rsid w:val="00950C9E"/>
    <w:rsid w:val="009510A0"/>
    <w:rsid w:val="009514A4"/>
    <w:rsid w:val="009517CC"/>
    <w:rsid w:val="00951E96"/>
    <w:rsid w:val="00951F92"/>
    <w:rsid w:val="009523A8"/>
    <w:rsid w:val="0095245C"/>
    <w:rsid w:val="0095325A"/>
    <w:rsid w:val="009533E1"/>
    <w:rsid w:val="009535D5"/>
    <w:rsid w:val="00953658"/>
    <w:rsid w:val="00953A99"/>
    <w:rsid w:val="00953AA1"/>
    <w:rsid w:val="009542F7"/>
    <w:rsid w:val="0095440C"/>
    <w:rsid w:val="00954456"/>
    <w:rsid w:val="009546C1"/>
    <w:rsid w:val="009549F2"/>
    <w:rsid w:val="00954BAC"/>
    <w:rsid w:val="00954C92"/>
    <w:rsid w:val="009551B7"/>
    <w:rsid w:val="009556C7"/>
    <w:rsid w:val="00955FD2"/>
    <w:rsid w:val="00956265"/>
    <w:rsid w:val="00956563"/>
    <w:rsid w:val="009567CA"/>
    <w:rsid w:val="00956821"/>
    <w:rsid w:val="00956EB5"/>
    <w:rsid w:val="00957F90"/>
    <w:rsid w:val="0096090E"/>
    <w:rsid w:val="00960A85"/>
    <w:rsid w:val="00960DAB"/>
    <w:rsid w:val="009615D4"/>
    <w:rsid w:val="009622E2"/>
    <w:rsid w:val="00962347"/>
    <w:rsid w:val="00962858"/>
    <w:rsid w:val="00962905"/>
    <w:rsid w:val="00962AF7"/>
    <w:rsid w:val="00962B82"/>
    <w:rsid w:val="00962CFC"/>
    <w:rsid w:val="00962D6A"/>
    <w:rsid w:val="00962F2B"/>
    <w:rsid w:val="00963582"/>
    <w:rsid w:val="0096385C"/>
    <w:rsid w:val="00963959"/>
    <w:rsid w:val="00964137"/>
    <w:rsid w:val="009645DA"/>
    <w:rsid w:val="00964768"/>
    <w:rsid w:val="009647AD"/>
    <w:rsid w:val="00964BCE"/>
    <w:rsid w:val="00964DFA"/>
    <w:rsid w:val="00965100"/>
    <w:rsid w:val="0096585E"/>
    <w:rsid w:val="0096591F"/>
    <w:rsid w:val="0096593B"/>
    <w:rsid w:val="00965CD2"/>
    <w:rsid w:val="00966154"/>
    <w:rsid w:val="00966589"/>
    <w:rsid w:val="009665CA"/>
    <w:rsid w:val="0096681A"/>
    <w:rsid w:val="00966823"/>
    <w:rsid w:val="00966A1D"/>
    <w:rsid w:val="00966E8A"/>
    <w:rsid w:val="00966F3B"/>
    <w:rsid w:val="0096722B"/>
    <w:rsid w:val="00967377"/>
    <w:rsid w:val="009673EF"/>
    <w:rsid w:val="0097035D"/>
    <w:rsid w:val="0097041A"/>
    <w:rsid w:val="009706E7"/>
    <w:rsid w:val="009707F3"/>
    <w:rsid w:val="00970A20"/>
    <w:rsid w:val="009712BD"/>
    <w:rsid w:val="0097163D"/>
    <w:rsid w:val="00971660"/>
    <w:rsid w:val="0097194E"/>
    <w:rsid w:val="00971C2D"/>
    <w:rsid w:val="009721F8"/>
    <w:rsid w:val="0097255A"/>
    <w:rsid w:val="00972D72"/>
    <w:rsid w:val="00972F82"/>
    <w:rsid w:val="0097333F"/>
    <w:rsid w:val="009733DA"/>
    <w:rsid w:val="00973550"/>
    <w:rsid w:val="00973CEB"/>
    <w:rsid w:val="00974677"/>
    <w:rsid w:val="00974735"/>
    <w:rsid w:val="009749DF"/>
    <w:rsid w:val="0097507E"/>
    <w:rsid w:val="009752F1"/>
    <w:rsid w:val="00975682"/>
    <w:rsid w:val="0097599A"/>
    <w:rsid w:val="00975E7D"/>
    <w:rsid w:val="00975FE8"/>
    <w:rsid w:val="00976023"/>
    <w:rsid w:val="00976048"/>
    <w:rsid w:val="00976688"/>
    <w:rsid w:val="00976C4B"/>
    <w:rsid w:val="00976CBF"/>
    <w:rsid w:val="00976F39"/>
    <w:rsid w:val="009770A0"/>
    <w:rsid w:val="009779B6"/>
    <w:rsid w:val="00977B0A"/>
    <w:rsid w:val="00977CEE"/>
    <w:rsid w:val="00980461"/>
    <w:rsid w:val="00980700"/>
    <w:rsid w:val="0098087B"/>
    <w:rsid w:val="00980BF3"/>
    <w:rsid w:val="00980D1B"/>
    <w:rsid w:val="00980DE9"/>
    <w:rsid w:val="00980FE8"/>
    <w:rsid w:val="009814A6"/>
    <w:rsid w:val="009814F3"/>
    <w:rsid w:val="009819D6"/>
    <w:rsid w:val="00981D55"/>
    <w:rsid w:val="00982089"/>
    <w:rsid w:val="009822F7"/>
    <w:rsid w:val="009828A4"/>
    <w:rsid w:val="0098318C"/>
    <w:rsid w:val="00983553"/>
    <w:rsid w:val="00983623"/>
    <w:rsid w:val="009836F4"/>
    <w:rsid w:val="009838E4"/>
    <w:rsid w:val="009842CF"/>
    <w:rsid w:val="00984958"/>
    <w:rsid w:val="00984A16"/>
    <w:rsid w:val="00984B29"/>
    <w:rsid w:val="00985297"/>
    <w:rsid w:val="009859D8"/>
    <w:rsid w:val="00985E12"/>
    <w:rsid w:val="009864AF"/>
    <w:rsid w:val="0098671D"/>
    <w:rsid w:val="00986B3E"/>
    <w:rsid w:val="00986E87"/>
    <w:rsid w:val="00987068"/>
    <w:rsid w:val="00987973"/>
    <w:rsid w:val="00987B1A"/>
    <w:rsid w:val="009901F4"/>
    <w:rsid w:val="00990651"/>
    <w:rsid w:val="009908C9"/>
    <w:rsid w:val="00990C8C"/>
    <w:rsid w:val="00990FCE"/>
    <w:rsid w:val="0099109F"/>
    <w:rsid w:val="00991279"/>
    <w:rsid w:val="009914C0"/>
    <w:rsid w:val="00991673"/>
    <w:rsid w:val="009917D1"/>
    <w:rsid w:val="00992A8D"/>
    <w:rsid w:val="009930DE"/>
    <w:rsid w:val="0099341D"/>
    <w:rsid w:val="009936CE"/>
    <w:rsid w:val="00993BD5"/>
    <w:rsid w:val="009942DB"/>
    <w:rsid w:val="00994881"/>
    <w:rsid w:val="00994909"/>
    <w:rsid w:val="00994AA8"/>
    <w:rsid w:val="00995011"/>
    <w:rsid w:val="009952BB"/>
    <w:rsid w:val="009962D6"/>
    <w:rsid w:val="00996476"/>
    <w:rsid w:val="009969C3"/>
    <w:rsid w:val="009972B9"/>
    <w:rsid w:val="009972CA"/>
    <w:rsid w:val="009976DD"/>
    <w:rsid w:val="00997962"/>
    <w:rsid w:val="00997D96"/>
    <w:rsid w:val="009A0372"/>
    <w:rsid w:val="009A089B"/>
    <w:rsid w:val="009A0D1E"/>
    <w:rsid w:val="009A105F"/>
    <w:rsid w:val="009A1562"/>
    <w:rsid w:val="009A15FE"/>
    <w:rsid w:val="009A1D80"/>
    <w:rsid w:val="009A1E00"/>
    <w:rsid w:val="009A2798"/>
    <w:rsid w:val="009A2B63"/>
    <w:rsid w:val="009A2B70"/>
    <w:rsid w:val="009A2BD2"/>
    <w:rsid w:val="009A2D7A"/>
    <w:rsid w:val="009A2F17"/>
    <w:rsid w:val="009A30CB"/>
    <w:rsid w:val="009A3A81"/>
    <w:rsid w:val="009A3C2B"/>
    <w:rsid w:val="009A4019"/>
    <w:rsid w:val="009A5471"/>
    <w:rsid w:val="009A5505"/>
    <w:rsid w:val="009A5775"/>
    <w:rsid w:val="009A591C"/>
    <w:rsid w:val="009A5AF3"/>
    <w:rsid w:val="009A5E2D"/>
    <w:rsid w:val="009A74F3"/>
    <w:rsid w:val="009A7691"/>
    <w:rsid w:val="009A7DE9"/>
    <w:rsid w:val="009B0040"/>
    <w:rsid w:val="009B0492"/>
    <w:rsid w:val="009B05D0"/>
    <w:rsid w:val="009B0756"/>
    <w:rsid w:val="009B0864"/>
    <w:rsid w:val="009B0992"/>
    <w:rsid w:val="009B0A1D"/>
    <w:rsid w:val="009B0A35"/>
    <w:rsid w:val="009B136E"/>
    <w:rsid w:val="009B185B"/>
    <w:rsid w:val="009B1903"/>
    <w:rsid w:val="009B190E"/>
    <w:rsid w:val="009B19B2"/>
    <w:rsid w:val="009B207F"/>
    <w:rsid w:val="009B2419"/>
    <w:rsid w:val="009B2502"/>
    <w:rsid w:val="009B25C8"/>
    <w:rsid w:val="009B265B"/>
    <w:rsid w:val="009B26AD"/>
    <w:rsid w:val="009B2776"/>
    <w:rsid w:val="009B29D9"/>
    <w:rsid w:val="009B2ED7"/>
    <w:rsid w:val="009B32D2"/>
    <w:rsid w:val="009B3443"/>
    <w:rsid w:val="009B349A"/>
    <w:rsid w:val="009B36D1"/>
    <w:rsid w:val="009B38E5"/>
    <w:rsid w:val="009B3A54"/>
    <w:rsid w:val="009B3CB0"/>
    <w:rsid w:val="009B40CF"/>
    <w:rsid w:val="009B4928"/>
    <w:rsid w:val="009B4A1D"/>
    <w:rsid w:val="009B4F83"/>
    <w:rsid w:val="009B4FA3"/>
    <w:rsid w:val="009B5BBB"/>
    <w:rsid w:val="009B64B0"/>
    <w:rsid w:val="009B6575"/>
    <w:rsid w:val="009B6CA1"/>
    <w:rsid w:val="009B6E49"/>
    <w:rsid w:val="009B6EC3"/>
    <w:rsid w:val="009B6FF4"/>
    <w:rsid w:val="009B73D5"/>
    <w:rsid w:val="009B799E"/>
    <w:rsid w:val="009B7C76"/>
    <w:rsid w:val="009C01A0"/>
    <w:rsid w:val="009C0A68"/>
    <w:rsid w:val="009C0DB0"/>
    <w:rsid w:val="009C0E8F"/>
    <w:rsid w:val="009C0F12"/>
    <w:rsid w:val="009C1638"/>
    <w:rsid w:val="009C1E8E"/>
    <w:rsid w:val="009C1FC8"/>
    <w:rsid w:val="009C29DD"/>
    <w:rsid w:val="009C2B11"/>
    <w:rsid w:val="009C3085"/>
    <w:rsid w:val="009C330E"/>
    <w:rsid w:val="009C36ED"/>
    <w:rsid w:val="009C37E7"/>
    <w:rsid w:val="009C40A3"/>
    <w:rsid w:val="009C4471"/>
    <w:rsid w:val="009C4571"/>
    <w:rsid w:val="009C474C"/>
    <w:rsid w:val="009C4854"/>
    <w:rsid w:val="009C4E53"/>
    <w:rsid w:val="009C5A17"/>
    <w:rsid w:val="009C5BF0"/>
    <w:rsid w:val="009C5CAD"/>
    <w:rsid w:val="009C6075"/>
    <w:rsid w:val="009C6092"/>
    <w:rsid w:val="009C60FF"/>
    <w:rsid w:val="009C6349"/>
    <w:rsid w:val="009C7927"/>
    <w:rsid w:val="009C7C97"/>
    <w:rsid w:val="009C7E99"/>
    <w:rsid w:val="009C7F07"/>
    <w:rsid w:val="009D05E8"/>
    <w:rsid w:val="009D08D4"/>
    <w:rsid w:val="009D0A7D"/>
    <w:rsid w:val="009D0E1F"/>
    <w:rsid w:val="009D10BB"/>
    <w:rsid w:val="009D1102"/>
    <w:rsid w:val="009D1AE4"/>
    <w:rsid w:val="009D1B23"/>
    <w:rsid w:val="009D1EAE"/>
    <w:rsid w:val="009D1FBC"/>
    <w:rsid w:val="009D201B"/>
    <w:rsid w:val="009D21E6"/>
    <w:rsid w:val="009D24F5"/>
    <w:rsid w:val="009D2F37"/>
    <w:rsid w:val="009D302E"/>
    <w:rsid w:val="009D332D"/>
    <w:rsid w:val="009D3BB1"/>
    <w:rsid w:val="009D4488"/>
    <w:rsid w:val="009D4837"/>
    <w:rsid w:val="009D4A5A"/>
    <w:rsid w:val="009D4D55"/>
    <w:rsid w:val="009D52CE"/>
    <w:rsid w:val="009D54FD"/>
    <w:rsid w:val="009D5809"/>
    <w:rsid w:val="009D62A2"/>
    <w:rsid w:val="009D67CD"/>
    <w:rsid w:val="009D6B6B"/>
    <w:rsid w:val="009D6C21"/>
    <w:rsid w:val="009D6F6C"/>
    <w:rsid w:val="009D6FAD"/>
    <w:rsid w:val="009D7111"/>
    <w:rsid w:val="009D71A0"/>
    <w:rsid w:val="009D73ED"/>
    <w:rsid w:val="009D7EE2"/>
    <w:rsid w:val="009E05C0"/>
    <w:rsid w:val="009E0A3C"/>
    <w:rsid w:val="009E0AA4"/>
    <w:rsid w:val="009E0AF5"/>
    <w:rsid w:val="009E0D6E"/>
    <w:rsid w:val="009E0E05"/>
    <w:rsid w:val="009E1180"/>
    <w:rsid w:val="009E156E"/>
    <w:rsid w:val="009E19A3"/>
    <w:rsid w:val="009E2AD8"/>
    <w:rsid w:val="009E2BB3"/>
    <w:rsid w:val="009E2BF5"/>
    <w:rsid w:val="009E2CCB"/>
    <w:rsid w:val="009E2EEF"/>
    <w:rsid w:val="009E30F5"/>
    <w:rsid w:val="009E3265"/>
    <w:rsid w:val="009E335F"/>
    <w:rsid w:val="009E3B6A"/>
    <w:rsid w:val="009E3BF9"/>
    <w:rsid w:val="009E3D49"/>
    <w:rsid w:val="009E3D85"/>
    <w:rsid w:val="009E3E40"/>
    <w:rsid w:val="009E43C1"/>
    <w:rsid w:val="009E489A"/>
    <w:rsid w:val="009E4A5E"/>
    <w:rsid w:val="009E4A68"/>
    <w:rsid w:val="009E4DC0"/>
    <w:rsid w:val="009E525E"/>
    <w:rsid w:val="009E5844"/>
    <w:rsid w:val="009E5DC3"/>
    <w:rsid w:val="009E6018"/>
    <w:rsid w:val="009E6230"/>
    <w:rsid w:val="009E68A1"/>
    <w:rsid w:val="009E6900"/>
    <w:rsid w:val="009E6F44"/>
    <w:rsid w:val="009E74F1"/>
    <w:rsid w:val="009F0268"/>
    <w:rsid w:val="009F0380"/>
    <w:rsid w:val="009F097B"/>
    <w:rsid w:val="009F0CBC"/>
    <w:rsid w:val="009F13AD"/>
    <w:rsid w:val="009F146C"/>
    <w:rsid w:val="009F154E"/>
    <w:rsid w:val="009F2A01"/>
    <w:rsid w:val="009F41B7"/>
    <w:rsid w:val="009F4219"/>
    <w:rsid w:val="009F4C0F"/>
    <w:rsid w:val="009F4F99"/>
    <w:rsid w:val="009F553E"/>
    <w:rsid w:val="009F5BED"/>
    <w:rsid w:val="009F5DB6"/>
    <w:rsid w:val="009F64FF"/>
    <w:rsid w:val="009F651F"/>
    <w:rsid w:val="009F65D0"/>
    <w:rsid w:val="009F6F1D"/>
    <w:rsid w:val="009F78EE"/>
    <w:rsid w:val="00A00CDD"/>
    <w:rsid w:val="00A00D4B"/>
    <w:rsid w:val="00A0148E"/>
    <w:rsid w:val="00A01FB3"/>
    <w:rsid w:val="00A02018"/>
    <w:rsid w:val="00A0219F"/>
    <w:rsid w:val="00A02388"/>
    <w:rsid w:val="00A02398"/>
    <w:rsid w:val="00A0364B"/>
    <w:rsid w:val="00A03AB3"/>
    <w:rsid w:val="00A040AE"/>
    <w:rsid w:val="00A047BF"/>
    <w:rsid w:val="00A0502F"/>
    <w:rsid w:val="00A052B5"/>
    <w:rsid w:val="00A0545E"/>
    <w:rsid w:val="00A05627"/>
    <w:rsid w:val="00A0602C"/>
    <w:rsid w:val="00A06555"/>
    <w:rsid w:val="00A06862"/>
    <w:rsid w:val="00A06E0F"/>
    <w:rsid w:val="00A070B4"/>
    <w:rsid w:val="00A07177"/>
    <w:rsid w:val="00A07552"/>
    <w:rsid w:val="00A0757A"/>
    <w:rsid w:val="00A075A8"/>
    <w:rsid w:val="00A075EB"/>
    <w:rsid w:val="00A0782B"/>
    <w:rsid w:val="00A07A46"/>
    <w:rsid w:val="00A07A8B"/>
    <w:rsid w:val="00A07CC5"/>
    <w:rsid w:val="00A10143"/>
    <w:rsid w:val="00A11DC2"/>
    <w:rsid w:val="00A128B7"/>
    <w:rsid w:val="00A12B9E"/>
    <w:rsid w:val="00A12F15"/>
    <w:rsid w:val="00A13664"/>
    <w:rsid w:val="00A13832"/>
    <w:rsid w:val="00A138CA"/>
    <w:rsid w:val="00A13BDC"/>
    <w:rsid w:val="00A14976"/>
    <w:rsid w:val="00A14A4C"/>
    <w:rsid w:val="00A14D4E"/>
    <w:rsid w:val="00A15647"/>
    <w:rsid w:val="00A15728"/>
    <w:rsid w:val="00A15C2A"/>
    <w:rsid w:val="00A15EFE"/>
    <w:rsid w:val="00A1606D"/>
    <w:rsid w:val="00A160CE"/>
    <w:rsid w:val="00A16586"/>
    <w:rsid w:val="00A16785"/>
    <w:rsid w:val="00A169C2"/>
    <w:rsid w:val="00A17179"/>
    <w:rsid w:val="00A1760A"/>
    <w:rsid w:val="00A177B5"/>
    <w:rsid w:val="00A17A38"/>
    <w:rsid w:val="00A203D7"/>
    <w:rsid w:val="00A20589"/>
    <w:rsid w:val="00A20D5C"/>
    <w:rsid w:val="00A210B6"/>
    <w:rsid w:val="00A21F15"/>
    <w:rsid w:val="00A2209A"/>
    <w:rsid w:val="00A226F8"/>
    <w:rsid w:val="00A22F2A"/>
    <w:rsid w:val="00A231B1"/>
    <w:rsid w:val="00A231F1"/>
    <w:rsid w:val="00A2347D"/>
    <w:rsid w:val="00A23853"/>
    <w:rsid w:val="00A238CC"/>
    <w:rsid w:val="00A23D55"/>
    <w:rsid w:val="00A2442E"/>
    <w:rsid w:val="00A24998"/>
    <w:rsid w:val="00A251DB"/>
    <w:rsid w:val="00A25316"/>
    <w:rsid w:val="00A26062"/>
    <w:rsid w:val="00A260D1"/>
    <w:rsid w:val="00A26CB6"/>
    <w:rsid w:val="00A26E49"/>
    <w:rsid w:val="00A26E5C"/>
    <w:rsid w:val="00A274E6"/>
    <w:rsid w:val="00A27653"/>
    <w:rsid w:val="00A27695"/>
    <w:rsid w:val="00A27A1B"/>
    <w:rsid w:val="00A27E2F"/>
    <w:rsid w:val="00A27F05"/>
    <w:rsid w:val="00A302ED"/>
    <w:rsid w:val="00A30626"/>
    <w:rsid w:val="00A30983"/>
    <w:rsid w:val="00A30C32"/>
    <w:rsid w:val="00A31245"/>
    <w:rsid w:val="00A31696"/>
    <w:rsid w:val="00A319D5"/>
    <w:rsid w:val="00A31A85"/>
    <w:rsid w:val="00A31B12"/>
    <w:rsid w:val="00A32033"/>
    <w:rsid w:val="00A322FF"/>
    <w:rsid w:val="00A32305"/>
    <w:rsid w:val="00A32BA5"/>
    <w:rsid w:val="00A32C0E"/>
    <w:rsid w:val="00A32E6E"/>
    <w:rsid w:val="00A3301D"/>
    <w:rsid w:val="00A3302A"/>
    <w:rsid w:val="00A33A17"/>
    <w:rsid w:val="00A33C31"/>
    <w:rsid w:val="00A33C3D"/>
    <w:rsid w:val="00A33F87"/>
    <w:rsid w:val="00A341ED"/>
    <w:rsid w:val="00A34FC6"/>
    <w:rsid w:val="00A35351"/>
    <w:rsid w:val="00A35896"/>
    <w:rsid w:val="00A35BD0"/>
    <w:rsid w:val="00A36254"/>
    <w:rsid w:val="00A3663E"/>
    <w:rsid w:val="00A3671B"/>
    <w:rsid w:val="00A369EB"/>
    <w:rsid w:val="00A369F4"/>
    <w:rsid w:val="00A36BC5"/>
    <w:rsid w:val="00A36D00"/>
    <w:rsid w:val="00A3731A"/>
    <w:rsid w:val="00A374C4"/>
    <w:rsid w:val="00A375F0"/>
    <w:rsid w:val="00A376A2"/>
    <w:rsid w:val="00A37DC5"/>
    <w:rsid w:val="00A40055"/>
    <w:rsid w:val="00A4030B"/>
    <w:rsid w:val="00A40E30"/>
    <w:rsid w:val="00A41549"/>
    <w:rsid w:val="00A416AD"/>
    <w:rsid w:val="00A41BFE"/>
    <w:rsid w:val="00A41C22"/>
    <w:rsid w:val="00A422D5"/>
    <w:rsid w:val="00A42E8F"/>
    <w:rsid w:val="00A42F88"/>
    <w:rsid w:val="00A4306E"/>
    <w:rsid w:val="00A43C6C"/>
    <w:rsid w:val="00A43FF4"/>
    <w:rsid w:val="00A44018"/>
    <w:rsid w:val="00A44711"/>
    <w:rsid w:val="00A449A7"/>
    <w:rsid w:val="00A44C4A"/>
    <w:rsid w:val="00A455BE"/>
    <w:rsid w:val="00A46203"/>
    <w:rsid w:val="00A466E4"/>
    <w:rsid w:val="00A46737"/>
    <w:rsid w:val="00A46EFE"/>
    <w:rsid w:val="00A471AE"/>
    <w:rsid w:val="00A474B7"/>
    <w:rsid w:val="00A47509"/>
    <w:rsid w:val="00A50090"/>
    <w:rsid w:val="00A50CD9"/>
    <w:rsid w:val="00A51374"/>
    <w:rsid w:val="00A513A0"/>
    <w:rsid w:val="00A519AF"/>
    <w:rsid w:val="00A52182"/>
    <w:rsid w:val="00A522FC"/>
    <w:rsid w:val="00A5274D"/>
    <w:rsid w:val="00A5281E"/>
    <w:rsid w:val="00A52C8B"/>
    <w:rsid w:val="00A535E4"/>
    <w:rsid w:val="00A537D3"/>
    <w:rsid w:val="00A537FE"/>
    <w:rsid w:val="00A53F91"/>
    <w:rsid w:val="00A5403B"/>
    <w:rsid w:val="00A54521"/>
    <w:rsid w:val="00A547A3"/>
    <w:rsid w:val="00A54996"/>
    <w:rsid w:val="00A54C4B"/>
    <w:rsid w:val="00A5502D"/>
    <w:rsid w:val="00A5529A"/>
    <w:rsid w:val="00A5568C"/>
    <w:rsid w:val="00A55B3E"/>
    <w:rsid w:val="00A561A2"/>
    <w:rsid w:val="00A563A5"/>
    <w:rsid w:val="00A5703F"/>
    <w:rsid w:val="00A57443"/>
    <w:rsid w:val="00A5774B"/>
    <w:rsid w:val="00A57C0F"/>
    <w:rsid w:val="00A57ED1"/>
    <w:rsid w:val="00A60A85"/>
    <w:rsid w:val="00A6197E"/>
    <w:rsid w:val="00A61A2F"/>
    <w:rsid w:val="00A61A4B"/>
    <w:rsid w:val="00A61C4A"/>
    <w:rsid w:val="00A62A04"/>
    <w:rsid w:val="00A62B36"/>
    <w:rsid w:val="00A6325B"/>
    <w:rsid w:val="00A63C14"/>
    <w:rsid w:val="00A63D19"/>
    <w:rsid w:val="00A63D4A"/>
    <w:rsid w:val="00A640F4"/>
    <w:rsid w:val="00A6435E"/>
    <w:rsid w:val="00A6459C"/>
    <w:rsid w:val="00A64933"/>
    <w:rsid w:val="00A64A03"/>
    <w:rsid w:val="00A6566B"/>
    <w:rsid w:val="00A65CB8"/>
    <w:rsid w:val="00A65DCB"/>
    <w:rsid w:val="00A669A6"/>
    <w:rsid w:val="00A66FFA"/>
    <w:rsid w:val="00A673AF"/>
    <w:rsid w:val="00A67641"/>
    <w:rsid w:val="00A67A8D"/>
    <w:rsid w:val="00A7078A"/>
    <w:rsid w:val="00A708A9"/>
    <w:rsid w:val="00A70C5E"/>
    <w:rsid w:val="00A70D8C"/>
    <w:rsid w:val="00A71370"/>
    <w:rsid w:val="00A7195C"/>
    <w:rsid w:val="00A71A61"/>
    <w:rsid w:val="00A7241C"/>
    <w:rsid w:val="00A727EF"/>
    <w:rsid w:val="00A72960"/>
    <w:rsid w:val="00A730C1"/>
    <w:rsid w:val="00A734F2"/>
    <w:rsid w:val="00A736E7"/>
    <w:rsid w:val="00A73977"/>
    <w:rsid w:val="00A73F90"/>
    <w:rsid w:val="00A7592B"/>
    <w:rsid w:val="00A759D8"/>
    <w:rsid w:val="00A75AEC"/>
    <w:rsid w:val="00A75C0A"/>
    <w:rsid w:val="00A75DCB"/>
    <w:rsid w:val="00A75E05"/>
    <w:rsid w:val="00A761C0"/>
    <w:rsid w:val="00A762E7"/>
    <w:rsid w:val="00A768B7"/>
    <w:rsid w:val="00A771EE"/>
    <w:rsid w:val="00A774D0"/>
    <w:rsid w:val="00A77AE5"/>
    <w:rsid w:val="00A77D3D"/>
    <w:rsid w:val="00A80306"/>
    <w:rsid w:val="00A80510"/>
    <w:rsid w:val="00A80DC2"/>
    <w:rsid w:val="00A80EF3"/>
    <w:rsid w:val="00A81608"/>
    <w:rsid w:val="00A8183A"/>
    <w:rsid w:val="00A81A47"/>
    <w:rsid w:val="00A822DD"/>
    <w:rsid w:val="00A82513"/>
    <w:rsid w:val="00A82CFE"/>
    <w:rsid w:val="00A8331B"/>
    <w:rsid w:val="00A838DE"/>
    <w:rsid w:val="00A83FE9"/>
    <w:rsid w:val="00A845E7"/>
    <w:rsid w:val="00A85409"/>
    <w:rsid w:val="00A8572E"/>
    <w:rsid w:val="00A85C57"/>
    <w:rsid w:val="00A85F00"/>
    <w:rsid w:val="00A86051"/>
    <w:rsid w:val="00A8625F"/>
    <w:rsid w:val="00A864E2"/>
    <w:rsid w:val="00A86F37"/>
    <w:rsid w:val="00A87050"/>
    <w:rsid w:val="00A87AB4"/>
    <w:rsid w:val="00A90151"/>
    <w:rsid w:val="00A901E5"/>
    <w:rsid w:val="00A90256"/>
    <w:rsid w:val="00A9038E"/>
    <w:rsid w:val="00A907AB"/>
    <w:rsid w:val="00A90A9A"/>
    <w:rsid w:val="00A90CAF"/>
    <w:rsid w:val="00A91950"/>
    <w:rsid w:val="00A91E15"/>
    <w:rsid w:val="00A9227C"/>
    <w:rsid w:val="00A9251F"/>
    <w:rsid w:val="00A92893"/>
    <w:rsid w:val="00A92A29"/>
    <w:rsid w:val="00A92EC1"/>
    <w:rsid w:val="00A933A2"/>
    <w:rsid w:val="00A93556"/>
    <w:rsid w:val="00A9359B"/>
    <w:rsid w:val="00A93C94"/>
    <w:rsid w:val="00A93CFF"/>
    <w:rsid w:val="00A94B5E"/>
    <w:rsid w:val="00A94FC0"/>
    <w:rsid w:val="00A94FE1"/>
    <w:rsid w:val="00A9545C"/>
    <w:rsid w:val="00A95487"/>
    <w:rsid w:val="00A95768"/>
    <w:rsid w:val="00A95BC3"/>
    <w:rsid w:val="00A95C4C"/>
    <w:rsid w:val="00A95F37"/>
    <w:rsid w:val="00A969A2"/>
    <w:rsid w:val="00A96ED2"/>
    <w:rsid w:val="00A970A6"/>
    <w:rsid w:val="00A970D2"/>
    <w:rsid w:val="00A971DC"/>
    <w:rsid w:val="00A9731A"/>
    <w:rsid w:val="00A97AF2"/>
    <w:rsid w:val="00A97F2F"/>
    <w:rsid w:val="00AA0016"/>
    <w:rsid w:val="00AA004B"/>
    <w:rsid w:val="00AA092E"/>
    <w:rsid w:val="00AA0D64"/>
    <w:rsid w:val="00AA163B"/>
    <w:rsid w:val="00AA164C"/>
    <w:rsid w:val="00AA1939"/>
    <w:rsid w:val="00AA1B54"/>
    <w:rsid w:val="00AA1F99"/>
    <w:rsid w:val="00AA2191"/>
    <w:rsid w:val="00AA2C6E"/>
    <w:rsid w:val="00AA3049"/>
    <w:rsid w:val="00AA3569"/>
    <w:rsid w:val="00AA3661"/>
    <w:rsid w:val="00AA37C9"/>
    <w:rsid w:val="00AA3B16"/>
    <w:rsid w:val="00AA3B48"/>
    <w:rsid w:val="00AA3DF6"/>
    <w:rsid w:val="00AA3E95"/>
    <w:rsid w:val="00AA3FDE"/>
    <w:rsid w:val="00AA423A"/>
    <w:rsid w:val="00AA445D"/>
    <w:rsid w:val="00AA52A9"/>
    <w:rsid w:val="00AA5D1F"/>
    <w:rsid w:val="00AA5ECF"/>
    <w:rsid w:val="00AA7429"/>
    <w:rsid w:val="00AA745E"/>
    <w:rsid w:val="00AA7ECD"/>
    <w:rsid w:val="00AA7EED"/>
    <w:rsid w:val="00AB0515"/>
    <w:rsid w:val="00AB0889"/>
    <w:rsid w:val="00AB0BBA"/>
    <w:rsid w:val="00AB0BDA"/>
    <w:rsid w:val="00AB0EA0"/>
    <w:rsid w:val="00AB10F4"/>
    <w:rsid w:val="00AB16AF"/>
    <w:rsid w:val="00AB1AA2"/>
    <w:rsid w:val="00AB1F30"/>
    <w:rsid w:val="00AB247F"/>
    <w:rsid w:val="00AB269B"/>
    <w:rsid w:val="00AB2D17"/>
    <w:rsid w:val="00AB2DF6"/>
    <w:rsid w:val="00AB2F20"/>
    <w:rsid w:val="00AB2FAB"/>
    <w:rsid w:val="00AB300E"/>
    <w:rsid w:val="00AB3458"/>
    <w:rsid w:val="00AB34AD"/>
    <w:rsid w:val="00AB36D0"/>
    <w:rsid w:val="00AB3873"/>
    <w:rsid w:val="00AB3A45"/>
    <w:rsid w:val="00AB3F75"/>
    <w:rsid w:val="00AB44E4"/>
    <w:rsid w:val="00AB46E2"/>
    <w:rsid w:val="00AB4E37"/>
    <w:rsid w:val="00AB4E77"/>
    <w:rsid w:val="00AB50EA"/>
    <w:rsid w:val="00AB537C"/>
    <w:rsid w:val="00AB58FF"/>
    <w:rsid w:val="00AB5A07"/>
    <w:rsid w:val="00AB60A3"/>
    <w:rsid w:val="00AB661D"/>
    <w:rsid w:val="00AB66A5"/>
    <w:rsid w:val="00AB6D7D"/>
    <w:rsid w:val="00AB6F73"/>
    <w:rsid w:val="00AB7315"/>
    <w:rsid w:val="00AB74F3"/>
    <w:rsid w:val="00AB75F0"/>
    <w:rsid w:val="00AB7923"/>
    <w:rsid w:val="00AB7D66"/>
    <w:rsid w:val="00AB7F97"/>
    <w:rsid w:val="00AC013A"/>
    <w:rsid w:val="00AC02D6"/>
    <w:rsid w:val="00AC0551"/>
    <w:rsid w:val="00AC0A40"/>
    <w:rsid w:val="00AC0DD0"/>
    <w:rsid w:val="00AC11B6"/>
    <w:rsid w:val="00AC1C79"/>
    <w:rsid w:val="00AC2085"/>
    <w:rsid w:val="00AC23EF"/>
    <w:rsid w:val="00AC2895"/>
    <w:rsid w:val="00AC3081"/>
    <w:rsid w:val="00AC3396"/>
    <w:rsid w:val="00AC33F9"/>
    <w:rsid w:val="00AC36F1"/>
    <w:rsid w:val="00AC3AAD"/>
    <w:rsid w:val="00AC409E"/>
    <w:rsid w:val="00AC4647"/>
    <w:rsid w:val="00AC46FC"/>
    <w:rsid w:val="00AC484E"/>
    <w:rsid w:val="00AC4F7C"/>
    <w:rsid w:val="00AC5023"/>
    <w:rsid w:val="00AC52A8"/>
    <w:rsid w:val="00AC587D"/>
    <w:rsid w:val="00AC5BDB"/>
    <w:rsid w:val="00AC5FD9"/>
    <w:rsid w:val="00AC64AB"/>
    <w:rsid w:val="00AC7352"/>
    <w:rsid w:val="00AC7E18"/>
    <w:rsid w:val="00AC7ED3"/>
    <w:rsid w:val="00AD0387"/>
    <w:rsid w:val="00AD03AD"/>
    <w:rsid w:val="00AD0581"/>
    <w:rsid w:val="00AD0710"/>
    <w:rsid w:val="00AD19D5"/>
    <w:rsid w:val="00AD1AA2"/>
    <w:rsid w:val="00AD1D67"/>
    <w:rsid w:val="00AD1DB0"/>
    <w:rsid w:val="00AD2164"/>
    <w:rsid w:val="00AD2460"/>
    <w:rsid w:val="00AD2473"/>
    <w:rsid w:val="00AD281A"/>
    <w:rsid w:val="00AD286E"/>
    <w:rsid w:val="00AD29FD"/>
    <w:rsid w:val="00AD2B86"/>
    <w:rsid w:val="00AD2DE8"/>
    <w:rsid w:val="00AD2E05"/>
    <w:rsid w:val="00AD347D"/>
    <w:rsid w:val="00AD34C2"/>
    <w:rsid w:val="00AD3A1F"/>
    <w:rsid w:val="00AD436F"/>
    <w:rsid w:val="00AD4589"/>
    <w:rsid w:val="00AD484A"/>
    <w:rsid w:val="00AD4862"/>
    <w:rsid w:val="00AD4971"/>
    <w:rsid w:val="00AD4A01"/>
    <w:rsid w:val="00AD4D94"/>
    <w:rsid w:val="00AD5512"/>
    <w:rsid w:val="00AD55A2"/>
    <w:rsid w:val="00AD5FAB"/>
    <w:rsid w:val="00AD63FC"/>
    <w:rsid w:val="00AD6B6C"/>
    <w:rsid w:val="00AD6DAB"/>
    <w:rsid w:val="00AD7480"/>
    <w:rsid w:val="00AD7693"/>
    <w:rsid w:val="00AD77CB"/>
    <w:rsid w:val="00AD7A30"/>
    <w:rsid w:val="00AE0075"/>
    <w:rsid w:val="00AE060C"/>
    <w:rsid w:val="00AE0825"/>
    <w:rsid w:val="00AE0B41"/>
    <w:rsid w:val="00AE10CE"/>
    <w:rsid w:val="00AE1166"/>
    <w:rsid w:val="00AE13D5"/>
    <w:rsid w:val="00AE1713"/>
    <w:rsid w:val="00AE181C"/>
    <w:rsid w:val="00AE1A54"/>
    <w:rsid w:val="00AE2357"/>
    <w:rsid w:val="00AE4071"/>
    <w:rsid w:val="00AE46D1"/>
    <w:rsid w:val="00AE4C4C"/>
    <w:rsid w:val="00AE55D3"/>
    <w:rsid w:val="00AE5735"/>
    <w:rsid w:val="00AE57C8"/>
    <w:rsid w:val="00AE58F2"/>
    <w:rsid w:val="00AE5C6A"/>
    <w:rsid w:val="00AE5DF3"/>
    <w:rsid w:val="00AE5F28"/>
    <w:rsid w:val="00AE61F1"/>
    <w:rsid w:val="00AE642C"/>
    <w:rsid w:val="00AE6595"/>
    <w:rsid w:val="00AE7004"/>
    <w:rsid w:val="00AE7195"/>
    <w:rsid w:val="00AE7640"/>
    <w:rsid w:val="00AE7831"/>
    <w:rsid w:val="00AE79C0"/>
    <w:rsid w:val="00AE7C03"/>
    <w:rsid w:val="00AE7EF0"/>
    <w:rsid w:val="00AF00EA"/>
    <w:rsid w:val="00AF01C4"/>
    <w:rsid w:val="00AF04C8"/>
    <w:rsid w:val="00AF07C9"/>
    <w:rsid w:val="00AF0A45"/>
    <w:rsid w:val="00AF143B"/>
    <w:rsid w:val="00AF1822"/>
    <w:rsid w:val="00AF198B"/>
    <w:rsid w:val="00AF19E9"/>
    <w:rsid w:val="00AF1B0F"/>
    <w:rsid w:val="00AF27D4"/>
    <w:rsid w:val="00AF285D"/>
    <w:rsid w:val="00AF28A2"/>
    <w:rsid w:val="00AF295D"/>
    <w:rsid w:val="00AF32D2"/>
    <w:rsid w:val="00AF3787"/>
    <w:rsid w:val="00AF3997"/>
    <w:rsid w:val="00AF3BA8"/>
    <w:rsid w:val="00AF3BD9"/>
    <w:rsid w:val="00AF3D8E"/>
    <w:rsid w:val="00AF4041"/>
    <w:rsid w:val="00AF479F"/>
    <w:rsid w:val="00AF4B5A"/>
    <w:rsid w:val="00AF4C13"/>
    <w:rsid w:val="00AF59E2"/>
    <w:rsid w:val="00AF5CAD"/>
    <w:rsid w:val="00AF60D8"/>
    <w:rsid w:val="00AF6427"/>
    <w:rsid w:val="00AF68F4"/>
    <w:rsid w:val="00AF6968"/>
    <w:rsid w:val="00AF6B4B"/>
    <w:rsid w:val="00AF6D6C"/>
    <w:rsid w:val="00AF702C"/>
    <w:rsid w:val="00AF7485"/>
    <w:rsid w:val="00AF7B24"/>
    <w:rsid w:val="00B0023C"/>
    <w:rsid w:val="00B00E31"/>
    <w:rsid w:val="00B0162A"/>
    <w:rsid w:val="00B01A4C"/>
    <w:rsid w:val="00B01C22"/>
    <w:rsid w:val="00B01D40"/>
    <w:rsid w:val="00B01E7D"/>
    <w:rsid w:val="00B01EF2"/>
    <w:rsid w:val="00B02205"/>
    <w:rsid w:val="00B02334"/>
    <w:rsid w:val="00B0250A"/>
    <w:rsid w:val="00B02852"/>
    <w:rsid w:val="00B02BF0"/>
    <w:rsid w:val="00B02E36"/>
    <w:rsid w:val="00B02E53"/>
    <w:rsid w:val="00B03291"/>
    <w:rsid w:val="00B0342D"/>
    <w:rsid w:val="00B03A42"/>
    <w:rsid w:val="00B03C12"/>
    <w:rsid w:val="00B03ECA"/>
    <w:rsid w:val="00B04212"/>
    <w:rsid w:val="00B04276"/>
    <w:rsid w:val="00B044BC"/>
    <w:rsid w:val="00B048AF"/>
    <w:rsid w:val="00B04B96"/>
    <w:rsid w:val="00B052DC"/>
    <w:rsid w:val="00B05563"/>
    <w:rsid w:val="00B06551"/>
    <w:rsid w:val="00B076D0"/>
    <w:rsid w:val="00B07BC3"/>
    <w:rsid w:val="00B07FC6"/>
    <w:rsid w:val="00B104D3"/>
    <w:rsid w:val="00B10DDB"/>
    <w:rsid w:val="00B117EC"/>
    <w:rsid w:val="00B11AF7"/>
    <w:rsid w:val="00B11F80"/>
    <w:rsid w:val="00B126BA"/>
    <w:rsid w:val="00B12805"/>
    <w:rsid w:val="00B12939"/>
    <w:rsid w:val="00B12950"/>
    <w:rsid w:val="00B1330F"/>
    <w:rsid w:val="00B1395F"/>
    <w:rsid w:val="00B1419C"/>
    <w:rsid w:val="00B146A2"/>
    <w:rsid w:val="00B147BE"/>
    <w:rsid w:val="00B14F07"/>
    <w:rsid w:val="00B15629"/>
    <w:rsid w:val="00B16C6F"/>
    <w:rsid w:val="00B16EC3"/>
    <w:rsid w:val="00B17093"/>
    <w:rsid w:val="00B17759"/>
    <w:rsid w:val="00B17AC6"/>
    <w:rsid w:val="00B17B45"/>
    <w:rsid w:val="00B20146"/>
    <w:rsid w:val="00B2022D"/>
    <w:rsid w:val="00B212AF"/>
    <w:rsid w:val="00B21503"/>
    <w:rsid w:val="00B21FA3"/>
    <w:rsid w:val="00B220FC"/>
    <w:rsid w:val="00B22A77"/>
    <w:rsid w:val="00B22DF0"/>
    <w:rsid w:val="00B23258"/>
    <w:rsid w:val="00B23603"/>
    <w:rsid w:val="00B2388E"/>
    <w:rsid w:val="00B240A0"/>
    <w:rsid w:val="00B241C6"/>
    <w:rsid w:val="00B241DC"/>
    <w:rsid w:val="00B2438D"/>
    <w:rsid w:val="00B245A6"/>
    <w:rsid w:val="00B247BE"/>
    <w:rsid w:val="00B249EF"/>
    <w:rsid w:val="00B24A29"/>
    <w:rsid w:val="00B24C32"/>
    <w:rsid w:val="00B24CA7"/>
    <w:rsid w:val="00B24D58"/>
    <w:rsid w:val="00B24F65"/>
    <w:rsid w:val="00B25066"/>
    <w:rsid w:val="00B2533B"/>
    <w:rsid w:val="00B253F8"/>
    <w:rsid w:val="00B25454"/>
    <w:rsid w:val="00B257A6"/>
    <w:rsid w:val="00B2612A"/>
    <w:rsid w:val="00B27126"/>
    <w:rsid w:val="00B27513"/>
    <w:rsid w:val="00B27BF4"/>
    <w:rsid w:val="00B30234"/>
    <w:rsid w:val="00B302FA"/>
    <w:rsid w:val="00B303B3"/>
    <w:rsid w:val="00B303D4"/>
    <w:rsid w:val="00B30C68"/>
    <w:rsid w:val="00B31541"/>
    <w:rsid w:val="00B31C9E"/>
    <w:rsid w:val="00B31CF4"/>
    <w:rsid w:val="00B323D1"/>
    <w:rsid w:val="00B3276B"/>
    <w:rsid w:val="00B32A44"/>
    <w:rsid w:val="00B32BAE"/>
    <w:rsid w:val="00B32D6C"/>
    <w:rsid w:val="00B32FF1"/>
    <w:rsid w:val="00B3349A"/>
    <w:rsid w:val="00B336DE"/>
    <w:rsid w:val="00B337D5"/>
    <w:rsid w:val="00B33A49"/>
    <w:rsid w:val="00B33E30"/>
    <w:rsid w:val="00B33E35"/>
    <w:rsid w:val="00B33E7F"/>
    <w:rsid w:val="00B33EAE"/>
    <w:rsid w:val="00B34023"/>
    <w:rsid w:val="00B34048"/>
    <w:rsid w:val="00B341AB"/>
    <w:rsid w:val="00B34EB9"/>
    <w:rsid w:val="00B35C31"/>
    <w:rsid w:val="00B36924"/>
    <w:rsid w:val="00B369DC"/>
    <w:rsid w:val="00B36D70"/>
    <w:rsid w:val="00B3749D"/>
    <w:rsid w:val="00B374CF"/>
    <w:rsid w:val="00B375E7"/>
    <w:rsid w:val="00B377F3"/>
    <w:rsid w:val="00B37979"/>
    <w:rsid w:val="00B37A8D"/>
    <w:rsid w:val="00B37AE0"/>
    <w:rsid w:val="00B40044"/>
    <w:rsid w:val="00B40094"/>
    <w:rsid w:val="00B40539"/>
    <w:rsid w:val="00B40C57"/>
    <w:rsid w:val="00B40D12"/>
    <w:rsid w:val="00B4144F"/>
    <w:rsid w:val="00B41989"/>
    <w:rsid w:val="00B41E3A"/>
    <w:rsid w:val="00B4297B"/>
    <w:rsid w:val="00B429F9"/>
    <w:rsid w:val="00B43875"/>
    <w:rsid w:val="00B43AF4"/>
    <w:rsid w:val="00B441EB"/>
    <w:rsid w:val="00B443C0"/>
    <w:rsid w:val="00B443CC"/>
    <w:rsid w:val="00B4460C"/>
    <w:rsid w:val="00B44BFB"/>
    <w:rsid w:val="00B44E2A"/>
    <w:rsid w:val="00B44E52"/>
    <w:rsid w:val="00B44F70"/>
    <w:rsid w:val="00B44F7C"/>
    <w:rsid w:val="00B45130"/>
    <w:rsid w:val="00B45251"/>
    <w:rsid w:val="00B4554D"/>
    <w:rsid w:val="00B45818"/>
    <w:rsid w:val="00B463DA"/>
    <w:rsid w:val="00B464B1"/>
    <w:rsid w:val="00B46558"/>
    <w:rsid w:val="00B471F6"/>
    <w:rsid w:val="00B4745F"/>
    <w:rsid w:val="00B47557"/>
    <w:rsid w:val="00B4756E"/>
    <w:rsid w:val="00B478D3"/>
    <w:rsid w:val="00B5004A"/>
    <w:rsid w:val="00B505CC"/>
    <w:rsid w:val="00B50982"/>
    <w:rsid w:val="00B509EF"/>
    <w:rsid w:val="00B50DBB"/>
    <w:rsid w:val="00B50FF0"/>
    <w:rsid w:val="00B5178E"/>
    <w:rsid w:val="00B5191B"/>
    <w:rsid w:val="00B52604"/>
    <w:rsid w:val="00B52745"/>
    <w:rsid w:val="00B52AE6"/>
    <w:rsid w:val="00B52B31"/>
    <w:rsid w:val="00B530A6"/>
    <w:rsid w:val="00B53212"/>
    <w:rsid w:val="00B53A37"/>
    <w:rsid w:val="00B53D58"/>
    <w:rsid w:val="00B54B9F"/>
    <w:rsid w:val="00B55097"/>
    <w:rsid w:val="00B5510E"/>
    <w:rsid w:val="00B5647A"/>
    <w:rsid w:val="00B56C3C"/>
    <w:rsid w:val="00B56C91"/>
    <w:rsid w:val="00B56D75"/>
    <w:rsid w:val="00B574ED"/>
    <w:rsid w:val="00B57502"/>
    <w:rsid w:val="00B5758B"/>
    <w:rsid w:val="00B57A72"/>
    <w:rsid w:val="00B57CC8"/>
    <w:rsid w:val="00B60370"/>
    <w:rsid w:val="00B60405"/>
    <w:rsid w:val="00B605E7"/>
    <w:rsid w:val="00B60698"/>
    <w:rsid w:val="00B6092D"/>
    <w:rsid w:val="00B617F5"/>
    <w:rsid w:val="00B62609"/>
    <w:rsid w:val="00B62DCB"/>
    <w:rsid w:val="00B63236"/>
    <w:rsid w:val="00B63635"/>
    <w:rsid w:val="00B637D5"/>
    <w:rsid w:val="00B63804"/>
    <w:rsid w:val="00B6399D"/>
    <w:rsid w:val="00B63AE0"/>
    <w:rsid w:val="00B63B19"/>
    <w:rsid w:val="00B63BA8"/>
    <w:rsid w:val="00B63CF6"/>
    <w:rsid w:val="00B63F7A"/>
    <w:rsid w:val="00B644AA"/>
    <w:rsid w:val="00B6454A"/>
    <w:rsid w:val="00B6469E"/>
    <w:rsid w:val="00B64715"/>
    <w:rsid w:val="00B64832"/>
    <w:rsid w:val="00B6484F"/>
    <w:rsid w:val="00B649C2"/>
    <w:rsid w:val="00B64A45"/>
    <w:rsid w:val="00B650C0"/>
    <w:rsid w:val="00B651F4"/>
    <w:rsid w:val="00B6523B"/>
    <w:rsid w:val="00B6560D"/>
    <w:rsid w:val="00B6575C"/>
    <w:rsid w:val="00B659B1"/>
    <w:rsid w:val="00B65A5D"/>
    <w:rsid w:val="00B65DAA"/>
    <w:rsid w:val="00B65E8A"/>
    <w:rsid w:val="00B65FDE"/>
    <w:rsid w:val="00B661EC"/>
    <w:rsid w:val="00B66494"/>
    <w:rsid w:val="00B66642"/>
    <w:rsid w:val="00B66B2F"/>
    <w:rsid w:val="00B66C78"/>
    <w:rsid w:val="00B66F8B"/>
    <w:rsid w:val="00B670E1"/>
    <w:rsid w:val="00B67416"/>
    <w:rsid w:val="00B67E3A"/>
    <w:rsid w:val="00B67F5C"/>
    <w:rsid w:val="00B7051C"/>
    <w:rsid w:val="00B705CF"/>
    <w:rsid w:val="00B70ACC"/>
    <w:rsid w:val="00B70AF5"/>
    <w:rsid w:val="00B716B2"/>
    <w:rsid w:val="00B71871"/>
    <w:rsid w:val="00B71CFC"/>
    <w:rsid w:val="00B72079"/>
    <w:rsid w:val="00B720EC"/>
    <w:rsid w:val="00B728BE"/>
    <w:rsid w:val="00B7296A"/>
    <w:rsid w:val="00B729E6"/>
    <w:rsid w:val="00B72C78"/>
    <w:rsid w:val="00B72D07"/>
    <w:rsid w:val="00B733FC"/>
    <w:rsid w:val="00B735D2"/>
    <w:rsid w:val="00B74159"/>
    <w:rsid w:val="00B747E3"/>
    <w:rsid w:val="00B74A2C"/>
    <w:rsid w:val="00B74D96"/>
    <w:rsid w:val="00B74F6D"/>
    <w:rsid w:val="00B74F7F"/>
    <w:rsid w:val="00B751DA"/>
    <w:rsid w:val="00B759B5"/>
    <w:rsid w:val="00B75B08"/>
    <w:rsid w:val="00B760B5"/>
    <w:rsid w:val="00B76117"/>
    <w:rsid w:val="00B7663C"/>
    <w:rsid w:val="00B802CA"/>
    <w:rsid w:val="00B8091C"/>
    <w:rsid w:val="00B809D1"/>
    <w:rsid w:val="00B80ACA"/>
    <w:rsid w:val="00B80BB8"/>
    <w:rsid w:val="00B80EE2"/>
    <w:rsid w:val="00B818C1"/>
    <w:rsid w:val="00B821CA"/>
    <w:rsid w:val="00B82ADF"/>
    <w:rsid w:val="00B82BEF"/>
    <w:rsid w:val="00B82C54"/>
    <w:rsid w:val="00B82CF8"/>
    <w:rsid w:val="00B82EE2"/>
    <w:rsid w:val="00B830BE"/>
    <w:rsid w:val="00B83327"/>
    <w:rsid w:val="00B83A4F"/>
    <w:rsid w:val="00B83C88"/>
    <w:rsid w:val="00B83E4B"/>
    <w:rsid w:val="00B8403A"/>
    <w:rsid w:val="00B841E3"/>
    <w:rsid w:val="00B84565"/>
    <w:rsid w:val="00B847E5"/>
    <w:rsid w:val="00B84869"/>
    <w:rsid w:val="00B8496A"/>
    <w:rsid w:val="00B8507E"/>
    <w:rsid w:val="00B854A0"/>
    <w:rsid w:val="00B85597"/>
    <w:rsid w:val="00B85E4E"/>
    <w:rsid w:val="00B85E5B"/>
    <w:rsid w:val="00B862BF"/>
    <w:rsid w:val="00B86311"/>
    <w:rsid w:val="00B86607"/>
    <w:rsid w:val="00B86BFC"/>
    <w:rsid w:val="00B86D2C"/>
    <w:rsid w:val="00B87774"/>
    <w:rsid w:val="00B87859"/>
    <w:rsid w:val="00B90A81"/>
    <w:rsid w:val="00B90BED"/>
    <w:rsid w:val="00B90C41"/>
    <w:rsid w:val="00B90DCA"/>
    <w:rsid w:val="00B90F3D"/>
    <w:rsid w:val="00B90FDF"/>
    <w:rsid w:val="00B9128D"/>
    <w:rsid w:val="00B914ED"/>
    <w:rsid w:val="00B917A2"/>
    <w:rsid w:val="00B91C5F"/>
    <w:rsid w:val="00B91D47"/>
    <w:rsid w:val="00B91F0F"/>
    <w:rsid w:val="00B92248"/>
    <w:rsid w:val="00B92743"/>
    <w:rsid w:val="00B92C52"/>
    <w:rsid w:val="00B93268"/>
    <w:rsid w:val="00B93653"/>
    <w:rsid w:val="00B93763"/>
    <w:rsid w:val="00B93C64"/>
    <w:rsid w:val="00B94043"/>
    <w:rsid w:val="00B9459F"/>
    <w:rsid w:val="00B9491E"/>
    <w:rsid w:val="00B94A3E"/>
    <w:rsid w:val="00B9513D"/>
    <w:rsid w:val="00B953E2"/>
    <w:rsid w:val="00B95792"/>
    <w:rsid w:val="00B9590A"/>
    <w:rsid w:val="00B95EA5"/>
    <w:rsid w:val="00B96144"/>
    <w:rsid w:val="00B9632F"/>
    <w:rsid w:val="00B966E3"/>
    <w:rsid w:val="00B96BB9"/>
    <w:rsid w:val="00B96CD0"/>
    <w:rsid w:val="00B96D26"/>
    <w:rsid w:val="00B972C5"/>
    <w:rsid w:val="00B97515"/>
    <w:rsid w:val="00B97589"/>
    <w:rsid w:val="00B975B9"/>
    <w:rsid w:val="00B978EA"/>
    <w:rsid w:val="00B97F76"/>
    <w:rsid w:val="00B97F84"/>
    <w:rsid w:val="00BA0026"/>
    <w:rsid w:val="00BA0403"/>
    <w:rsid w:val="00BA0593"/>
    <w:rsid w:val="00BA09AE"/>
    <w:rsid w:val="00BA0A39"/>
    <w:rsid w:val="00BA0AD1"/>
    <w:rsid w:val="00BA100E"/>
    <w:rsid w:val="00BA18C2"/>
    <w:rsid w:val="00BA19DF"/>
    <w:rsid w:val="00BA1DB6"/>
    <w:rsid w:val="00BA1E9B"/>
    <w:rsid w:val="00BA1EDE"/>
    <w:rsid w:val="00BA3CB8"/>
    <w:rsid w:val="00BA3D6C"/>
    <w:rsid w:val="00BA4461"/>
    <w:rsid w:val="00BA478E"/>
    <w:rsid w:val="00BA4990"/>
    <w:rsid w:val="00BA4ABB"/>
    <w:rsid w:val="00BA55E6"/>
    <w:rsid w:val="00BA597D"/>
    <w:rsid w:val="00BA5AD6"/>
    <w:rsid w:val="00BA68BB"/>
    <w:rsid w:val="00BA69FA"/>
    <w:rsid w:val="00BA6F6B"/>
    <w:rsid w:val="00BA7134"/>
    <w:rsid w:val="00BA714B"/>
    <w:rsid w:val="00BA743A"/>
    <w:rsid w:val="00BA75F5"/>
    <w:rsid w:val="00BA7623"/>
    <w:rsid w:val="00BB00CE"/>
    <w:rsid w:val="00BB02AC"/>
    <w:rsid w:val="00BB02E7"/>
    <w:rsid w:val="00BB0501"/>
    <w:rsid w:val="00BB0BA7"/>
    <w:rsid w:val="00BB0BC6"/>
    <w:rsid w:val="00BB0CD7"/>
    <w:rsid w:val="00BB0CFD"/>
    <w:rsid w:val="00BB0D05"/>
    <w:rsid w:val="00BB0D61"/>
    <w:rsid w:val="00BB0F6A"/>
    <w:rsid w:val="00BB0FA8"/>
    <w:rsid w:val="00BB1065"/>
    <w:rsid w:val="00BB139B"/>
    <w:rsid w:val="00BB1A8E"/>
    <w:rsid w:val="00BB2294"/>
    <w:rsid w:val="00BB22BE"/>
    <w:rsid w:val="00BB251F"/>
    <w:rsid w:val="00BB2789"/>
    <w:rsid w:val="00BB29D1"/>
    <w:rsid w:val="00BB2B82"/>
    <w:rsid w:val="00BB2EC2"/>
    <w:rsid w:val="00BB2FA1"/>
    <w:rsid w:val="00BB31AF"/>
    <w:rsid w:val="00BB35F7"/>
    <w:rsid w:val="00BB3620"/>
    <w:rsid w:val="00BB3FA4"/>
    <w:rsid w:val="00BB439F"/>
    <w:rsid w:val="00BB44C5"/>
    <w:rsid w:val="00BB4B1C"/>
    <w:rsid w:val="00BB4FE5"/>
    <w:rsid w:val="00BB5468"/>
    <w:rsid w:val="00BB573C"/>
    <w:rsid w:val="00BB5DD3"/>
    <w:rsid w:val="00BB60F0"/>
    <w:rsid w:val="00BB62DB"/>
    <w:rsid w:val="00BB6434"/>
    <w:rsid w:val="00BB6991"/>
    <w:rsid w:val="00BB6CD0"/>
    <w:rsid w:val="00BB6F12"/>
    <w:rsid w:val="00BB73C8"/>
    <w:rsid w:val="00BB73F8"/>
    <w:rsid w:val="00BB7573"/>
    <w:rsid w:val="00BB789B"/>
    <w:rsid w:val="00BB78CB"/>
    <w:rsid w:val="00BC037F"/>
    <w:rsid w:val="00BC0868"/>
    <w:rsid w:val="00BC0BDD"/>
    <w:rsid w:val="00BC0DCE"/>
    <w:rsid w:val="00BC1196"/>
    <w:rsid w:val="00BC127C"/>
    <w:rsid w:val="00BC154B"/>
    <w:rsid w:val="00BC15D6"/>
    <w:rsid w:val="00BC160A"/>
    <w:rsid w:val="00BC1DAD"/>
    <w:rsid w:val="00BC27ED"/>
    <w:rsid w:val="00BC289C"/>
    <w:rsid w:val="00BC2B92"/>
    <w:rsid w:val="00BC2E6C"/>
    <w:rsid w:val="00BC2FB8"/>
    <w:rsid w:val="00BC3344"/>
    <w:rsid w:val="00BC38E4"/>
    <w:rsid w:val="00BC395E"/>
    <w:rsid w:val="00BC3C51"/>
    <w:rsid w:val="00BC403B"/>
    <w:rsid w:val="00BC4070"/>
    <w:rsid w:val="00BC43C3"/>
    <w:rsid w:val="00BC444E"/>
    <w:rsid w:val="00BC5924"/>
    <w:rsid w:val="00BC659C"/>
    <w:rsid w:val="00BC6606"/>
    <w:rsid w:val="00BC66D3"/>
    <w:rsid w:val="00BC690D"/>
    <w:rsid w:val="00BC69CB"/>
    <w:rsid w:val="00BC6B6F"/>
    <w:rsid w:val="00BC6CAD"/>
    <w:rsid w:val="00BC798C"/>
    <w:rsid w:val="00BC7C1B"/>
    <w:rsid w:val="00BD0504"/>
    <w:rsid w:val="00BD093A"/>
    <w:rsid w:val="00BD09B9"/>
    <w:rsid w:val="00BD10D0"/>
    <w:rsid w:val="00BD153B"/>
    <w:rsid w:val="00BD1567"/>
    <w:rsid w:val="00BD159C"/>
    <w:rsid w:val="00BD190D"/>
    <w:rsid w:val="00BD1A7D"/>
    <w:rsid w:val="00BD1D0E"/>
    <w:rsid w:val="00BD1DCB"/>
    <w:rsid w:val="00BD22E4"/>
    <w:rsid w:val="00BD2711"/>
    <w:rsid w:val="00BD3DB8"/>
    <w:rsid w:val="00BD3F24"/>
    <w:rsid w:val="00BD4B3A"/>
    <w:rsid w:val="00BD4B6F"/>
    <w:rsid w:val="00BD4C7E"/>
    <w:rsid w:val="00BD5806"/>
    <w:rsid w:val="00BD584F"/>
    <w:rsid w:val="00BD592F"/>
    <w:rsid w:val="00BD5E50"/>
    <w:rsid w:val="00BD61AE"/>
    <w:rsid w:val="00BD6578"/>
    <w:rsid w:val="00BD6600"/>
    <w:rsid w:val="00BD688A"/>
    <w:rsid w:val="00BD69C9"/>
    <w:rsid w:val="00BD6DD8"/>
    <w:rsid w:val="00BD7042"/>
    <w:rsid w:val="00BD78D4"/>
    <w:rsid w:val="00BD7E08"/>
    <w:rsid w:val="00BD7F62"/>
    <w:rsid w:val="00BE0036"/>
    <w:rsid w:val="00BE0455"/>
    <w:rsid w:val="00BE1098"/>
    <w:rsid w:val="00BE1676"/>
    <w:rsid w:val="00BE1735"/>
    <w:rsid w:val="00BE23AA"/>
    <w:rsid w:val="00BE2844"/>
    <w:rsid w:val="00BE3502"/>
    <w:rsid w:val="00BE356A"/>
    <w:rsid w:val="00BE37DC"/>
    <w:rsid w:val="00BE3D2B"/>
    <w:rsid w:val="00BE4086"/>
    <w:rsid w:val="00BE439D"/>
    <w:rsid w:val="00BE48F7"/>
    <w:rsid w:val="00BE49AE"/>
    <w:rsid w:val="00BE49BE"/>
    <w:rsid w:val="00BE4D83"/>
    <w:rsid w:val="00BE5F88"/>
    <w:rsid w:val="00BE613A"/>
    <w:rsid w:val="00BE649F"/>
    <w:rsid w:val="00BE65FE"/>
    <w:rsid w:val="00BE6C38"/>
    <w:rsid w:val="00BE7CC8"/>
    <w:rsid w:val="00BF03BB"/>
    <w:rsid w:val="00BF0868"/>
    <w:rsid w:val="00BF0918"/>
    <w:rsid w:val="00BF0A90"/>
    <w:rsid w:val="00BF0EF2"/>
    <w:rsid w:val="00BF10BC"/>
    <w:rsid w:val="00BF11A0"/>
    <w:rsid w:val="00BF1F45"/>
    <w:rsid w:val="00BF2627"/>
    <w:rsid w:val="00BF2846"/>
    <w:rsid w:val="00BF2A88"/>
    <w:rsid w:val="00BF2C98"/>
    <w:rsid w:val="00BF2F39"/>
    <w:rsid w:val="00BF4023"/>
    <w:rsid w:val="00BF42BD"/>
    <w:rsid w:val="00BF4BA4"/>
    <w:rsid w:val="00BF4BCF"/>
    <w:rsid w:val="00BF546F"/>
    <w:rsid w:val="00BF5483"/>
    <w:rsid w:val="00BF550F"/>
    <w:rsid w:val="00BF590B"/>
    <w:rsid w:val="00BF5E0B"/>
    <w:rsid w:val="00BF651F"/>
    <w:rsid w:val="00BF68C8"/>
    <w:rsid w:val="00BF69FD"/>
    <w:rsid w:val="00BF7045"/>
    <w:rsid w:val="00BF7146"/>
    <w:rsid w:val="00BF7479"/>
    <w:rsid w:val="00BF7C3B"/>
    <w:rsid w:val="00BF7E32"/>
    <w:rsid w:val="00C0026B"/>
    <w:rsid w:val="00C00416"/>
    <w:rsid w:val="00C006F4"/>
    <w:rsid w:val="00C00D00"/>
    <w:rsid w:val="00C00DCD"/>
    <w:rsid w:val="00C00E26"/>
    <w:rsid w:val="00C016A3"/>
    <w:rsid w:val="00C01B8C"/>
    <w:rsid w:val="00C01BF5"/>
    <w:rsid w:val="00C01E68"/>
    <w:rsid w:val="00C02048"/>
    <w:rsid w:val="00C02E8E"/>
    <w:rsid w:val="00C032E5"/>
    <w:rsid w:val="00C0517A"/>
    <w:rsid w:val="00C057F4"/>
    <w:rsid w:val="00C059A1"/>
    <w:rsid w:val="00C061E9"/>
    <w:rsid w:val="00C06941"/>
    <w:rsid w:val="00C06A13"/>
    <w:rsid w:val="00C07479"/>
    <w:rsid w:val="00C07CD1"/>
    <w:rsid w:val="00C1017B"/>
    <w:rsid w:val="00C104D6"/>
    <w:rsid w:val="00C10537"/>
    <w:rsid w:val="00C10547"/>
    <w:rsid w:val="00C1111F"/>
    <w:rsid w:val="00C11374"/>
    <w:rsid w:val="00C11724"/>
    <w:rsid w:val="00C11924"/>
    <w:rsid w:val="00C119A8"/>
    <w:rsid w:val="00C11EE5"/>
    <w:rsid w:val="00C121AC"/>
    <w:rsid w:val="00C125EA"/>
    <w:rsid w:val="00C12B4A"/>
    <w:rsid w:val="00C13C62"/>
    <w:rsid w:val="00C13F55"/>
    <w:rsid w:val="00C13FAA"/>
    <w:rsid w:val="00C14016"/>
    <w:rsid w:val="00C14ACB"/>
    <w:rsid w:val="00C14B38"/>
    <w:rsid w:val="00C15030"/>
    <w:rsid w:val="00C152D8"/>
    <w:rsid w:val="00C158EA"/>
    <w:rsid w:val="00C16D47"/>
    <w:rsid w:val="00C16E6A"/>
    <w:rsid w:val="00C16E9D"/>
    <w:rsid w:val="00C1728B"/>
    <w:rsid w:val="00C176B0"/>
    <w:rsid w:val="00C17B40"/>
    <w:rsid w:val="00C208C1"/>
    <w:rsid w:val="00C20D0E"/>
    <w:rsid w:val="00C20FBC"/>
    <w:rsid w:val="00C213D2"/>
    <w:rsid w:val="00C221A0"/>
    <w:rsid w:val="00C221FE"/>
    <w:rsid w:val="00C227F5"/>
    <w:rsid w:val="00C230C1"/>
    <w:rsid w:val="00C235A9"/>
    <w:rsid w:val="00C238B0"/>
    <w:rsid w:val="00C238D1"/>
    <w:rsid w:val="00C23A6C"/>
    <w:rsid w:val="00C2511D"/>
    <w:rsid w:val="00C25524"/>
    <w:rsid w:val="00C25C46"/>
    <w:rsid w:val="00C25E43"/>
    <w:rsid w:val="00C274AD"/>
    <w:rsid w:val="00C2777E"/>
    <w:rsid w:val="00C27E1E"/>
    <w:rsid w:val="00C27F38"/>
    <w:rsid w:val="00C300E5"/>
    <w:rsid w:val="00C302F3"/>
    <w:rsid w:val="00C30322"/>
    <w:rsid w:val="00C30347"/>
    <w:rsid w:val="00C303CD"/>
    <w:rsid w:val="00C3068F"/>
    <w:rsid w:val="00C309E6"/>
    <w:rsid w:val="00C30E9E"/>
    <w:rsid w:val="00C31076"/>
    <w:rsid w:val="00C31C45"/>
    <w:rsid w:val="00C31D70"/>
    <w:rsid w:val="00C31E23"/>
    <w:rsid w:val="00C31EB3"/>
    <w:rsid w:val="00C31F82"/>
    <w:rsid w:val="00C32313"/>
    <w:rsid w:val="00C326F9"/>
    <w:rsid w:val="00C328BE"/>
    <w:rsid w:val="00C3306B"/>
    <w:rsid w:val="00C330F6"/>
    <w:rsid w:val="00C332C4"/>
    <w:rsid w:val="00C332D6"/>
    <w:rsid w:val="00C33365"/>
    <w:rsid w:val="00C337F9"/>
    <w:rsid w:val="00C34040"/>
    <w:rsid w:val="00C3427C"/>
    <w:rsid w:val="00C34489"/>
    <w:rsid w:val="00C347AE"/>
    <w:rsid w:val="00C347F8"/>
    <w:rsid w:val="00C34966"/>
    <w:rsid w:val="00C34CDD"/>
    <w:rsid w:val="00C34E2F"/>
    <w:rsid w:val="00C35101"/>
    <w:rsid w:val="00C35297"/>
    <w:rsid w:val="00C356CF"/>
    <w:rsid w:val="00C36312"/>
    <w:rsid w:val="00C36345"/>
    <w:rsid w:val="00C369C5"/>
    <w:rsid w:val="00C36B44"/>
    <w:rsid w:val="00C36E9D"/>
    <w:rsid w:val="00C36FFC"/>
    <w:rsid w:val="00C37529"/>
    <w:rsid w:val="00C37623"/>
    <w:rsid w:val="00C377BF"/>
    <w:rsid w:val="00C377D8"/>
    <w:rsid w:val="00C37A29"/>
    <w:rsid w:val="00C37AC4"/>
    <w:rsid w:val="00C37EB3"/>
    <w:rsid w:val="00C4073F"/>
    <w:rsid w:val="00C4076A"/>
    <w:rsid w:val="00C40D96"/>
    <w:rsid w:val="00C410DE"/>
    <w:rsid w:val="00C41505"/>
    <w:rsid w:val="00C41A80"/>
    <w:rsid w:val="00C42189"/>
    <w:rsid w:val="00C42646"/>
    <w:rsid w:val="00C428C9"/>
    <w:rsid w:val="00C42E3B"/>
    <w:rsid w:val="00C42E57"/>
    <w:rsid w:val="00C43418"/>
    <w:rsid w:val="00C44259"/>
    <w:rsid w:val="00C4463A"/>
    <w:rsid w:val="00C44977"/>
    <w:rsid w:val="00C44995"/>
    <w:rsid w:val="00C44D12"/>
    <w:rsid w:val="00C44EB0"/>
    <w:rsid w:val="00C4508B"/>
    <w:rsid w:val="00C45709"/>
    <w:rsid w:val="00C45797"/>
    <w:rsid w:val="00C45C6B"/>
    <w:rsid w:val="00C45DF3"/>
    <w:rsid w:val="00C45E60"/>
    <w:rsid w:val="00C45F5E"/>
    <w:rsid w:val="00C46149"/>
    <w:rsid w:val="00C46869"/>
    <w:rsid w:val="00C46BFC"/>
    <w:rsid w:val="00C4705D"/>
    <w:rsid w:val="00C472CB"/>
    <w:rsid w:val="00C476A7"/>
    <w:rsid w:val="00C47FAA"/>
    <w:rsid w:val="00C507EC"/>
    <w:rsid w:val="00C50A46"/>
    <w:rsid w:val="00C50DF7"/>
    <w:rsid w:val="00C511E7"/>
    <w:rsid w:val="00C511F1"/>
    <w:rsid w:val="00C512BC"/>
    <w:rsid w:val="00C5164F"/>
    <w:rsid w:val="00C518DB"/>
    <w:rsid w:val="00C51ABC"/>
    <w:rsid w:val="00C51E59"/>
    <w:rsid w:val="00C5282D"/>
    <w:rsid w:val="00C52C00"/>
    <w:rsid w:val="00C52C4F"/>
    <w:rsid w:val="00C530A6"/>
    <w:rsid w:val="00C53231"/>
    <w:rsid w:val="00C53BD3"/>
    <w:rsid w:val="00C54110"/>
    <w:rsid w:val="00C54439"/>
    <w:rsid w:val="00C54463"/>
    <w:rsid w:val="00C547EC"/>
    <w:rsid w:val="00C54DE5"/>
    <w:rsid w:val="00C54F7B"/>
    <w:rsid w:val="00C55400"/>
    <w:rsid w:val="00C55426"/>
    <w:rsid w:val="00C554E0"/>
    <w:rsid w:val="00C55959"/>
    <w:rsid w:val="00C56B3A"/>
    <w:rsid w:val="00C56DA5"/>
    <w:rsid w:val="00C576C5"/>
    <w:rsid w:val="00C579CA"/>
    <w:rsid w:val="00C60433"/>
    <w:rsid w:val="00C60918"/>
    <w:rsid w:val="00C60B9B"/>
    <w:rsid w:val="00C61356"/>
    <w:rsid w:val="00C613DB"/>
    <w:rsid w:val="00C616BD"/>
    <w:rsid w:val="00C61755"/>
    <w:rsid w:val="00C619F4"/>
    <w:rsid w:val="00C61C54"/>
    <w:rsid w:val="00C61EB8"/>
    <w:rsid w:val="00C61F5C"/>
    <w:rsid w:val="00C6206F"/>
    <w:rsid w:val="00C62578"/>
    <w:rsid w:val="00C62628"/>
    <w:rsid w:val="00C62B00"/>
    <w:rsid w:val="00C62CCE"/>
    <w:rsid w:val="00C62DE0"/>
    <w:rsid w:val="00C62F54"/>
    <w:rsid w:val="00C63403"/>
    <w:rsid w:val="00C64130"/>
    <w:rsid w:val="00C6449B"/>
    <w:rsid w:val="00C647C8"/>
    <w:rsid w:val="00C647ED"/>
    <w:rsid w:val="00C64BA5"/>
    <w:rsid w:val="00C64D9B"/>
    <w:rsid w:val="00C6545C"/>
    <w:rsid w:val="00C65D95"/>
    <w:rsid w:val="00C66915"/>
    <w:rsid w:val="00C66959"/>
    <w:rsid w:val="00C66EE3"/>
    <w:rsid w:val="00C67D7B"/>
    <w:rsid w:val="00C703FF"/>
    <w:rsid w:val="00C70D80"/>
    <w:rsid w:val="00C70EFC"/>
    <w:rsid w:val="00C7114A"/>
    <w:rsid w:val="00C71375"/>
    <w:rsid w:val="00C71688"/>
    <w:rsid w:val="00C71919"/>
    <w:rsid w:val="00C720F4"/>
    <w:rsid w:val="00C723D0"/>
    <w:rsid w:val="00C724EF"/>
    <w:rsid w:val="00C72537"/>
    <w:rsid w:val="00C728F5"/>
    <w:rsid w:val="00C72A9F"/>
    <w:rsid w:val="00C73857"/>
    <w:rsid w:val="00C7394B"/>
    <w:rsid w:val="00C73BDC"/>
    <w:rsid w:val="00C74349"/>
    <w:rsid w:val="00C74359"/>
    <w:rsid w:val="00C74835"/>
    <w:rsid w:val="00C74B46"/>
    <w:rsid w:val="00C74CC3"/>
    <w:rsid w:val="00C74F03"/>
    <w:rsid w:val="00C75155"/>
    <w:rsid w:val="00C75303"/>
    <w:rsid w:val="00C756E4"/>
    <w:rsid w:val="00C7596A"/>
    <w:rsid w:val="00C75BC3"/>
    <w:rsid w:val="00C75BF6"/>
    <w:rsid w:val="00C75C56"/>
    <w:rsid w:val="00C75E1A"/>
    <w:rsid w:val="00C77159"/>
    <w:rsid w:val="00C77462"/>
    <w:rsid w:val="00C77D53"/>
    <w:rsid w:val="00C77EE5"/>
    <w:rsid w:val="00C80393"/>
    <w:rsid w:val="00C80992"/>
    <w:rsid w:val="00C80C1A"/>
    <w:rsid w:val="00C80FE0"/>
    <w:rsid w:val="00C812FE"/>
    <w:rsid w:val="00C814EC"/>
    <w:rsid w:val="00C81A78"/>
    <w:rsid w:val="00C81EA3"/>
    <w:rsid w:val="00C826AC"/>
    <w:rsid w:val="00C82B87"/>
    <w:rsid w:val="00C83B1E"/>
    <w:rsid w:val="00C84051"/>
    <w:rsid w:val="00C8432C"/>
    <w:rsid w:val="00C8454E"/>
    <w:rsid w:val="00C84C4B"/>
    <w:rsid w:val="00C85416"/>
    <w:rsid w:val="00C856ED"/>
    <w:rsid w:val="00C85AEE"/>
    <w:rsid w:val="00C85B45"/>
    <w:rsid w:val="00C85D2D"/>
    <w:rsid w:val="00C86109"/>
    <w:rsid w:val="00C866AF"/>
    <w:rsid w:val="00C867DB"/>
    <w:rsid w:val="00C86D7D"/>
    <w:rsid w:val="00C87032"/>
    <w:rsid w:val="00C87188"/>
    <w:rsid w:val="00C873BB"/>
    <w:rsid w:val="00C87D7F"/>
    <w:rsid w:val="00C90356"/>
    <w:rsid w:val="00C90489"/>
    <w:rsid w:val="00C9059E"/>
    <w:rsid w:val="00C90955"/>
    <w:rsid w:val="00C90A08"/>
    <w:rsid w:val="00C90DA7"/>
    <w:rsid w:val="00C91479"/>
    <w:rsid w:val="00C91C58"/>
    <w:rsid w:val="00C91CB3"/>
    <w:rsid w:val="00C91EAC"/>
    <w:rsid w:val="00C91F5B"/>
    <w:rsid w:val="00C920D6"/>
    <w:rsid w:val="00C92A0C"/>
    <w:rsid w:val="00C92FEF"/>
    <w:rsid w:val="00C932F3"/>
    <w:rsid w:val="00C937B9"/>
    <w:rsid w:val="00C9391A"/>
    <w:rsid w:val="00C93F50"/>
    <w:rsid w:val="00C94393"/>
    <w:rsid w:val="00C94552"/>
    <w:rsid w:val="00C947F2"/>
    <w:rsid w:val="00C955D3"/>
    <w:rsid w:val="00C9574B"/>
    <w:rsid w:val="00C9587A"/>
    <w:rsid w:val="00C967EB"/>
    <w:rsid w:val="00C96D04"/>
    <w:rsid w:val="00C97B50"/>
    <w:rsid w:val="00C97B7E"/>
    <w:rsid w:val="00C97F43"/>
    <w:rsid w:val="00CA0098"/>
    <w:rsid w:val="00CA0373"/>
    <w:rsid w:val="00CA0817"/>
    <w:rsid w:val="00CA0879"/>
    <w:rsid w:val="00CA08BB"/>
    <w:rsid w:val="00CA0B3F"/>
    <w:rsid w:val="00CA0C3A"/>
    <w:rsid w:val="00CA0CDE"/>
    <w:rsid w:val="00CA0EE2"/>
    <w:rsid w:val="00CA0F27"/>
    <w:rsid w:val="00CA1969"/>
    <w:rsid w:val="00CA1F06"/>
    <w:rsid w:val="00CA258F"/>
    <w:rsid w:val="00CA2C87"/>
    <w:rsid w:val="00CA33D4"/>
    <w:rsid w:val="00CA35D2"/>
    <w:rsid w:val="00CA3B55"/>
    <w:rsid w:val="00CA3F9A"/>
    <w:rsid w:val="00CA4752"/>
    <w:rsid w:val="00CA4865"/>
    <w:rsid w:val="00CA51A9"/>
    <w:rsid w:val="00CA523E"/>
    <w:rsid w:val="00CA52A8"/>
    <w:rsid w:val="00CA530F"/>
    <w:rsid w:val="00CA534C"/>
    <w:rsid w:val="00CA54C1"/>
    <w:rsid w:val="00CA5819"/>
    <w:rsid w:val="00CA5BF2"/>
    <w:rsid w:val="00CA5C15"/>
    <w:rsid w:val="00CA5C82"/>
    <w:rsid w:val="00CA5CE7"/>
    <w:rsid w:val="00CA5FF2"/>
    <w:rsid w:val="00CA66B6"/>
    <w:rsid w:val="00CA6A69"/>
    <w:rsid w:val="00CA70AA"/>
    <w:rsid w:val="00CA7DED"/>
    <w:rsid w:val="00CA7FF3"/>
    <w:rsid w:val="00CB07C4"/>
    <w:rsid w:val="00CB13A1"/>
    <w:rsid w:val="00CB157F"/>
    <w:rsid w:val="00CB1BFA"/>
    <w:rsid w:val="00CB1DF1"/>
    <w:rsid w:val="00CB2604"/>
    <w:rsid w:val="00CB274B"/>
    <w:rsid w:val="00CB2871"/>
    <w:rsid w:val="00CB29BA"/>
    <w:rsid w:val="00CB2ADB"/>
    <w:rsid w:val="00CB2E58"/>
    <w:rsid w:val="00CB3026"/>
    <w:rsid w:val="00CB3AF2"/>
    <w:rsid w:val="00CB4283"/>
    <w:rsid w:val="00CB42FF"/>
    <w:rsid w:val="00CB43F1"/>
    <w:rsid w:val="00CB468B"/>
    <w:rsid w:val="00CB48F7"/>
    <w:rsid w:val="00CB4B97"/>
    <w:rsid w:val="00CB4E6D"/>
    <w:rsid w:val="00CB50D5"/>
    <w:rsid w:val="00CB51C4"/>
    <w:rsid w:val="00CB52A0"/>
    <w:rsid w:val="00CB5623"/>
    <w:rsid w:val="00CB5A6D"/>
    <w:rsid w:val="00CB631B"/>
    <w:rsid w:val="00CB648B"/>
    <w:rsid w:val="00CB79B2"/>
    <w:rsid w:val="00CC0286"/>
    <w:rsid w:val="00CC0340"/>
    <w:rsid w:val="00CC054C"/>
    <w:rsid w:val="00CC0B27"/>
    <w:rsid w:val="00CC0BBF"/>
    <w:rsid w:val="00CC16F0"/>
    <w:rsid w:val="00CC1FF2"/>
    <w:rsid w:val="00CC22E7"/>
    <w:rsid w:val="00CC2920"/>
    <w:rsid w:val="00CC2C3F"/>
    <w:rsid w:val="00CC3573"/>
    <w:rsid w:val="00CC386A"/>
    <w:rsid w:val="00CC3DE4"/>
    <w:rsid w:val="00CC4006"/>
    <w:rsid w:val="00CC4551"/>
    <w:rsid w:val="00CC459B"/>
    <w:rsid w:val="00CC463F"/>
    <w:rsid w:val="00CC47FF"/>
    <w:rsid w:val="00CC4A65"/>
    <w:rsid w:val="00CC4B2D"/>
    <w:rsid w:val="00CC4C78"/>
    <w:rsid w:val="00CC4C9D"/>
    <w:rsid w:val="00CC4EB7"/>
    <w:rsid w:val="00CC536C"/>
    <w:rsid w:val="00CC56BA"/>
    <w:rsid w:val="00CC5766"/>
    <w:rsid w:val="00CC59F5"/>
    <w:rsid w:val="00CC5F5B"/>
    <w:rsid w:val="00CC5FFD"/>
    <w:rsid w:val="00CC6006"/>
    <w:rsid w:val="00CC6224"/>
    <w:rsid w:val="00CC6280"/>
    <w:rsid w:val="00CC658F"/>
    <w:rsid w:val="00CC662F"/>
    <w:rsid w:val="00CC669B"/>
    <w:rsid w:val="00CC694A"/>
    <w:rsid w:val="00CC6B0F"/>
    <w:rsid w:val="00CC6E2C"/>
    <w:rsid w:val="00CC6E3D"/>
    <w:rsid w:val="00CC7035"/>
    <w:rsid w:val="00CC738E"/>
    <w:rsid w:val="00CC73B0"/>
    <w:rsid w:val="00CC76A6"/>
    <w:rsid w:val="00CD0031"/>
    <w:rsid w:val="00CD07CF"/>
    <w:rsid w:val="00CD0B23"/>
    <w:rsid w:val="00CD0ECA"/>
    <w:rsid w:val="00CD19EB"/>
    <w:rsid w:val="00CD1D9D"/>
    <w:rsid w:val="00CD2016"/>
    <w:rsid w:val="00CD2463"/>
    <w:rsid w:val="00CD284A"/>
    <w:rsid w:val="00CD2A0F"/>
    <w:rsid w:val="00CD30E2"/>
    <w:rsid w:val="00CD3166"/>
    <w:rsid w:val="00CD3266"/>
    <w:rsid w:val="00CD389C"/>
    <w:rsid w:val="00CD3B6D"/>
    <w:rsid w:val="00CD43AD"/>
    <w:rsid w:val="00CD451A"/>
    <w:rsid w:val="00CD4AC6"/>
    <w:rsid w:val="00CD4BC9"/>
    <w:rsid w:val="00CD4EBA"/>
    <w:rsid w:val="00CD5005"/>
    <w:rsid w:val="00CD58CF"/>
    <w:rsid w:val="00CD5B37"/>
    <w:rsid w:val="00CD5EDD"/>
    <w:rsid w:val="00CD61EB"/>
    <w:rsid w:val="00CD624B"/>
    <w:rsid w:val="00CD6A75"/>
    <w:rsid w:val="00CD7469"/>
    <w:rsid w:val="00CD75B1"/>
    <w:rsid w:val="00CD75F8"/>
    <w:rsid w:val="00CD76AF"/>
    <w:rsid w:val="00CD77BC"/>
    <w:rsid w:val="00CD7F44"/>
    <w:rsid w:val="00CE037A"/>
    <w:rsid w:val="00CE09E2"/>
    <w:rsid w:val="00CE0DFE"/>
    <w:rsid w:val="00CE0E86"/>
    <w:rsid w:val="00CE0FC3"/>
    <w:rsid w:val="00CE0FE7"/>
    <w:rsid w:val="00CE1B12"/>
    <w:rsid w:val="00CE1C65"/>
    <w:rsid w:val="00CE21BF"/>
    <w:rsid w:val="00CE22BE"/>
    <w:rsid w:val="00CE22FF"/>
    <w:rsid w:val="00CE2555"/>
    <w:rsid w:val="00CE3986"/>
    <w:rsid w:val="00CE4149"/>
    <w:rsid w:val="00CE424C"/>
    <w:rsid w:val="00CE4369"/>
    <w:rsid w:val="00CE43AF"/>
    <w:rsid w:val="00CE48B3"/>
    <w:rsid w:val="00CE4B54"/>
    <w:rsid w:val="00CE4D3A"/>
    <w:rsid w:val="00CE53EC"/>
    <w:rsid w:val="00CE5669"/>
    <w:rsid w:val="00CE57A6"/>
    <w:rsid w:val="00CE5B11"/>
    <w:rsid w:val="00CE64FD"/>
    <w:rsid w:val="00CE66FF"/>
    <w:rsid w:val="00CE6C29"/>
    <w:rsid w:val="00CE6CB4"/>
    <w:rsid w:val="00CE7236"/>
    <w:rsid w:val="00CE74D6"/>
    <w:rsid w:val="00CE7BD4"/>
    <w:rsid w:val="00CF004E"/>
    <w:rsid w:val="00CF02F0"/>
    <w:rsid w:val="00CF053C"/>
    <w:rsid w:val="00CF0761"/>
    <w:rsid w:val="00CF0B36"/>
    <w:rsid w:val="00CF1593"/>
    <w:rsid w:val="00CF162F"/>
    <w:rsid w:val="00CF1DD1"/>
    <w:rsid w:val="00CF266C"/>
    <w:rsid w:val="00CF2C8E"/>
    <w:rsid w:val="00CF2CEC"/>
    <w:rsid w:val="00CF2DE6"/>
    <w:rsid w:val="00CF303E"/>
    <w:rsid w:val="00CF32AF"/>
    <w:rsid w:val="00CF36AE"/>
    <w:rsid w:val="00CF4580"/>
    <w:rsid w:val="00CF47B3"/>
    <w:rsid w:val="00CF4BC6"/>
    <w:rsid w:val="00CF4CEA"/>
    <w:rsid w:val="00CF4FAC"/>
    <w:rsid w:val="00CF50B9"/>
    <w:rsid w:val="00CF52B1"/>
    <w:rsid w:val="00CF5C00"/>
    <w:rsid w:val="00CF6D7A"/>
    <w:rsid w:val="00CF6EBE"/>
    <w:rsid w:val="00CF7059"/>
    <w:rsid w:val="00CF706D"/>
    <w:rsid w:val="00CF7203"/>
    <w:rsid w:val="00CF7223"/>
    <w:rsid w:val="00CF7F06"/>
    <w:rsid w:val="00D00015"/>
    <w:rsid w:val="00D00441"/>
    <w:rsid w:val="00D007C0"/>
    <w:rsid w:val="00D007C5"/>
    <w:rsid w:val="00D0101E"/>
    <w:rsid w:val="00D01566"/>
    <w:rsid w:val="00D01574"/>
    <w:rsid w:val="00D01615"/>
    <w:rsid w:val="00D01734"/>
    <w:rsid w:val="00D01766"/>
    <w:rsid w:val="00D01A19"/>
    <w:rsid w:val="00D02171"/>
    <w:rsid w:val="00D02345"/>
    <w:rsid w:val="00D02433"/>
    <w:rsid w:val="00D02878"/>
    <w:rsid w:val="00D0291F"/>
    <w:rsid w:val="00D02D30"/>
    <w:rsid w:val="00D0352E"/>
    <w:rsid w:val="00D03634"/>
    <w:rsid w:val="00D03739"/>
    <w:rsid w:val="00D03C50"/>
    <w:rsid w:val="00D03C81"/>
    <w:rsid w:val="00D03FDC"/>
    <w:rsid w:val="00D041F8"/>
    <w:rsid w:val="00D043A4"/>
    <w:rsid w:val="00D044D1"/>
    <w:rsid w:val="00D0461E"/>
    <w:rsid w:val="00D04804"/>
    <w:rsid w:val="00D0483A"/>
    <w:rsid w:val="00D048BE"/>
    <w:rsid w:val="00D050DC"/>
    <w:rsid w:val="00D05199"/>
    <w:rsid w:val="00D05D56"/>
    <w:rsid w:val="00D062B5"/>
    <w:rsid w:val="00D065AD"/>
    <w:rsid w:val="00D06679"/>
    <w:rsid w:val="00D06899"/>
    <w:rsid w:val="00D06A00"/>
    <w:rsid w:val="00D06CC3"/>
    <w:rsid w:val="00D0713A"/>
    <w:rsid w:val="00D076B8"/>
    <w:rsid w:val="00D07E1C"/>
    <w:rsid w:val="00D104C1"/>
    <w:rsid w:val="00D10C84"/>
    <w:rsid w:val="00D10D25"/>
    <w:rsid w:val="00D10D4D"/>
    <w:rsid w:val="00D10F14"/>
    <w:rsid w:val="00D110A1"/>
    <w:rsid w:val="00D1142A"/>
    <w:rsid w:val="00D117BF"/>
    <w:rsid w:val="00D11925"/>
    <w:rsid w:val="00D11975"/>
    <w:rsid w:val="00D11A75"/>
    <w:rsid w:val="00D11BD1"/>
    <w:rsid w:val="00D11CBC"/>
    <w:rsid w:val="00D1267A"/>
    <w:rsid w:val="00D12A3F"/>
    <w:rsid w:val="00D12A6C"/>
    <w:rsid w:val="00D12CD7"/>
    <w:rsid w:val="00D130D6"/>
    <w:rsid w:val="00D13796"/>
    <w:rsid w:val="00D13B0F"/>
    <w:rsid w:val="00D1459F"/>
    <w:rsid w:val="00D150A4"/>
    <w:rsid w:val="00D15113"/>
    <w:rsid w:val="00D15B7C"/>
    <w:rsid w:val="00D15B7D"/>
    <w:rsid w:val="00D1617E"/>
    <w:rsid w:val="00D16D1D"/>
    <w:rsid w:val="00D16F74"/>
    <w:rsid w:val="00D1758C"/>
    <w:rsid w:val="00D175E9"/>
    <w:rsid w:val="00D178AB"/>
    <w:rsid w:val="00D179C4"/>
    <w:rsid w:val="00D17C1D"/>
    <w:rsid w:val="00D17E38"/>
    <w:rsid w:val="00D17EDF"/>
    <w:rsid w:val="00D2004B"/>
    <w:rsid w:val="00D2027B"/>
    <w:rsid w:val="00D20CD5"/>
    <w:rsid w:val="00D20FA7"/>
    <w:rsid w:val="00D21C72"/>
    <w:rsid w:val="00D21D55"/>
    <w:rsid w:val="00D21F84"/>
    <w:rsid w:val="00D21FB8"/>
    <w:rsid w:val="00D2224C"/>
    <w:rsid w:val="00D2227D"/>
    <w:rsid w:val="00D222FB"/>
    <w:rsid w:val="00D224B6"/>
    <w:rsid w:val="00D2277B"/>
    <w:rsid w:val="00D228D9"/>
    <w:rsid w:val="00D22A8F"/>
    <w:rsid w:val="00D22EA8"/>
    <w:rsid w:val="00D22F38"/>
    <w:rsid w:val="00D22F92"/>
    <w:rsid w:val="00D23038"/>
    <w:rsid w:val="00D235A7"/>
    <w:rsid w:val="00D2386E"/>
    <w:rsid w:val="00D23975"/>
    <w:rsid w:val="00D23FBB"/>
    <w:rsid w:val="00D24380"/>
    <w:rsid w:val="00D24852"/>
    <w:rsid w:val="00D24B07"/>
    <w:rsid w:val="00D24C95"/>
    <w:rsid w:val="00D25063"/>
    <w:rsid w:val="00D25404"/>
    <w:rsid w:val="00D254D0"/>
    <w:rsid w:val="00D255F2"/>
    <w:rsid w:val="00D256A2"/>
    <w:rsid w:val="00D25F3B"/>
    <w:rsid w:val="00D2611A"/>
    <w:rsid w:val="00D26394"/>
    <w:rsid w:val="00D26D0B"/>
    <w:rsid w:val="00D26D69"/>
    <w:rsid w:val="00D26E17"/>
    <w:rsid w:val="00D272B7"/>
    <w:rsid w:val="00D27301"/>
    <w:rsid w:val="00D27984"/>
    <w:rsid w:val="00D27DBD"/>
    <w:rsid w:val="00D27E23"/>
    <w:rsid w:val="00D27EAB"/>
    <w:rsid w:val="00D30160"/>
    <w:rsid w:val="00D30791"/>
    <w:rsid w:val="00D307BF"/>
    <w:rsid w:val="00D30ADF"/>
    <w:rsid w:val="00D30F42"/>
    <w:rsid w:val="00D31790"/>
    <w:rsid w:val="00D3179A"/>
    <w:rsid w:val="00D31A32"/>
    <w:rsid w:val="00D31C60"/>
    <w:rsid w:val="00D31E3E"/>
    <w:rsid w:val="00D327AF"/>
    <w:rsid w:val="00D32B62"/>
    <w:rsid w:val="00D32F14"/>
    <w:rsid w:val="00D330CA"/>
    <w:rsid w:val="00D3316D"/>
    <w:rsid w:val="00D336C4"/>
    <w:rsid w:val="00D33829"/>
    <w:rsid w:val="00D3436A"/>
    <w:rsid w:val="00D3466B"/>
    <w:rsid w:val="00D3470E"/>
    <w:rsid w:val="00D349FF"/>
    <w:rsid w:val="00D3529E"/>
    <w:rsid w:val="00D359EA"/>
    <w:rsid w:val="00D35E9F"/>
    <w:rsid w:val="00D36256"/>
    <w:rsid w:val="00D36268"/>
    <w:rsid w:val="00D364D8"/>
    <w:rsid w:val="00D365B2"/>
    <w:rsid w:val="00D36682"/>
    <w:rsid w:val="00D371A9"/>
    <w:rsid w:val="00D37239"/>
    <w:rsid w:val="00D37298"/>
    <w:rsid w:val="00D375AA"/>
    <w:rsid w:val="00D37882"/>
    <w:rsid w:val="00D4009D"/>
    <w:rsid w:val="00D400CB"/>
    <w:rsid w:val="00D4078D"/>
    <w:rsid w:val="00D407B9"/>
    <w:rsid w:val="00D4088D"/>
    <w:rsid w:val="00D41671"/>
    <w:rsid w:val="00D419FF"/>
    <w:rsid w:val="00D42DAE"/>
    <w:rsid w:val="00D42EBF"/>
    <w:rsid w:val="00D43051"/>
    <w:rsid w:val="00D4347C"/>
    <w:rsid w:val="00D438B7"/>
    <w:rsid w:val="00D43FEB"/>
    <w:rsid w:val="00D44188"/>
    <w:rsid w:val="00D4472A"/>
    <w:rsid w:val="00D44734"/>
    <w:rsid w:val="00D448ED"/>
    <w:rsid w:val="00D44DDF"/>
    <w:rsid w:val="00D45E7C"/>
    <w:rsid w:val="00D45F4B"/>
    <w:rsid w:val="00D45FC8"/>
    <w:rsid w:val="00D4616D"/>
    <w:rsid w:val="00D46751"/>
    <w:rsid w:val="00D4686D"/>
    <w:rsid w:val="00D46885"/>
    <w:rsid w:val="00D46DA5"/>
    <w:rsid w:val="00D46FD9"/>
    <w:rsid w:val="00D470D4"/>
    <w:rsid w:val="00D4783B"/>
    <w:rsid w:val="00D47941"/>
    <w:rsid w:val="00D4794E"/>
    <w:rsid w:val="00D47955"/>
    <w:rsid w:val="00D47A1D"/>
    <w:rsid w:val="00D50503"/>
    <w:rsid w:val="00D50C87"/>
    <w:rsid w:val="00D5115A"/>
    <w:rsid w:val="00D5133D"/>
    <w:rsid w:val="00D51526"/>
    <w:rsid w:val="00D515E7"/>
    <w:rsid w:val="00D518D6"/>
    <w:rsid w:val="00D51C1F"/>
    <w:rsid w:val="00D51DEB"/>
    <w:rsid w:val="00D5211D"/>
    <w:rsid w:val="00D52650"/>
    <w:rsid w:val="00D5284C"/>
    <w:rsid w:val="00D53019"/>
    <w:rsid w:val="00D53058"/>
    <w:rsid w:val="00D534B8"/>
    <w:rsid w:val="00D5353C"/>
    <w:rsid w:val="00D53589"/>
    <w:rsid w:val="00D535C8"/>
    <w:rsid w:val="00D53654"/>
    <w:rsid w:val="00D53AA0"/>
    <w:rsid w:val="00D551A7"/>
    <w:rsid w:val="00D552B4"/>
    <w:rsid w:val="00D55355"/>
    <w:rsid w:val="00D557B5"/>
    <w:rsid w:val="00D5582F"/>
    <w:rsid w:val="00D55E81"/>
    <w:rsid w:val="00D561BA"/>
    <w:rsid w:val="00D57F76"/>
    <w:rsid w:val="00D60103"/>
    <w:rsid w:val="00D605B3"/>
    <w:rsid w:val="00D60649"/>
    <w:rsid w:val="00D60796"/>
    <w:rsid w:val="00D609D6"/>
    <w:rsid w:val="00D60E6B"/>
    <w:rsid w:val="00D611B3"/>
    <w:rsid w:val="00D61566"/>
    <w:rsid w:val="00D61A31"/>
    <w:rsid w:val="00D61B34"/>
    <w:rsid w:val="00D61BD9"/>
    <w:rsid w:val="00D61DBF"/>
    <w:rsid w:val="00D61E88"/>
    <w:rsid w:val="00D61EF3"/>
    <w:rsid w:val="00D62030"/>
    <w:rsid w:val="00D62270"/>
    <w:rsid w:val="00D62A9D"/>
    <w:rsid w:val="00D62D52"/>
    <w:rsid w:val="00D63273"/>
    <w:rsid w:val="00D63C41"/>
    <w:rsid w:val="00D63CE4"/>
    <w:rsid w:val="00D63F21"/>
    <w:rsid w:val="00D64369"/>
    <w:rsid w:val="00D6458E"/>
    <w:rsid w:val="00D6495F"/>
    <w:rsid w:val="00D64B8A"/>
    <w:rsid w:val="00D650B6"/>
    <w:rsid w:val="00D6515C"/>
    <w:rsid w:val="00D65A0A"/>
    <w:rsid w:val="00D65E31"/>
    <w:rsid w:val="00D66C10"/>
    <w:rsid w:val="00D67805"/>
    <w:rsid w:val="00D67ABD"/>
    <w:rsid w:val="00D67B7C"/>
    <w:rsid w:val="00D705D5"/>
    <w:rsid w:val="00D70609"/>
    <w:rsid w:val="00D70B95"/>
    <w:rsid w:val="00D70D98"/>
    <w:rsid w:val="00D7101B"/>
    <w:rsid w:val="00D710B9"/>
    <w:rsid w:val="00D71175"/>
    <w:rsid w:val="00D71525"/>
    <w:rsid w:val="00D71B79"/>
    <w:rsid w:val="00D72523"/>
    <w:rsid w:val="00D72CCA"/>
    <w:rsid w:val="00D73A0C"/>
    <w:rsid w:val="00D73D5D"/>
    <w:rsid w:val="00D73FC5"/>
    <w:rsid w:val="00D73FE2"/>
    <w:rsid w:val="00D7402B"/>
    <w:rsid w:val="00D740BC"/>
    <w:rsid w:val="00D741A2"/>
    <w:rsid w:val="00D74EF8"/>
    <w:rsid w:val="00D74F39"/>
    <w:rsid w:val="00D756E1"/>
    <w:rsid w:val="00D75727"/>
    <w:rsid w:val="00D762F0"/>
    <w:rsid w:val="00D765BA"/>
    <w:rsid w:val="00D775BD"/>
    <w:rsid w:val="00D77680"/>
    <w:rsid w:val="00D77690"/>
    <w:rsid w:val="00D77831"/>
    <w:rsid w:val="00D77BAB"/>
    <w:rsid w:val="00D77BE4"/>
    <w:rsid w:val="00D800C0"/>
    <w:rsid w:val="00D80208"/>
    <w:rsid w:val="00D8082D"/>
    <w:rsid w:val="00D80CFA"/>
    <w:rsid w:val="00D80FF0"/>
    <w:rsid w:val="00D8108E"/>
    <w:rsid w:val="00D811C0"/>
    <w:rsid w:val="00D8187A"/>
    <w:rsid w:val="00D81A15"/>
    <w:rsid w:val="00D81A8A"/>
    <w:rsid w:val="00D81CC0"/>
    <w:rsid w:val="00D81E3B"/>
    <w:rsid w:val="00D82017"/>
    <w:rsid w:val="00D82799"/>
    <w:rsid w:val="00D82AE5"/>
    <w:rsid w:val="00D831CC"/>
    <w:rsid w:val="00D8331A"/>
    <w:rsid w:val="00D83477"/>
    <w:rsid w:val="00D83923"/>
    <w:rsid w:val="00D83B64"/>
    <w:rsid w:val="00D84139"/>
    <w:rsid w:val="00D844FB"/>
    <w:rsid w:val="00D846F9"/>
    <w:rsid w:val="00D84D39"/>
    <w:rsid w:val="00D84E0B"/>
    <w:rsid w:val="00D84E2A"/>
    <w:rsid w:val="00D85222"/>
    <w:rsid w:val="00D85618"/>
    <w:rsid w:val="00D85881"/>
    <w:rsid w:val="00D858B5"/>
    <w:rsid w:val="00D86630"/>
    <w:rsid w:val="00D86ABA"/>
    <w:rsid w:val="00D8702D"/>
    <w:rsid w:val="00D87361"/>
    <w:rsid w:val="00D874A7"/>
    <w:rsid w:val="00D8785D"/>
    <w:rsid w:val="00D8793F"/>
    <w:rsid w:val="00D87CB6"/>
    <w:rsid w:val="00D9030F"/>
    <w:rsid w:val="00D905A9"/>
    <w:rsid w:val="00D9062A"/>
    <w:rsid w:val="00D90E6E"/>
    <w:rsid w:val="00D90F76"/>
    <w:rsid w:val="00D912BC"/>
    <w:rsid w:val="00D91439"/>
    <w:rsid w:val="00D915CE"/>
    <w:rsid w:val="00D91845"/>
    <w:rsid w:val="00D91AE6"/>
    <w:rsid w:val="00D92183"/>
    <w:rsid w:val="00D9219A"/>
    <w:rsid w:val="00D92A14"/>
    <w:rsid w:val="00D92DFB"/>
    <w:rsid w:val="00D93023"/>
    <w:rsid w:val="00D930E0"/>
    <w:rsid w:val="00D93581"/>
    <w:rsid w:val="00D93A72"/>
    <w:rsid w:val="00D93DBE"/>
    <w:rsid w:val="00D93FF9"/>
    <w:rsid w:val="00D94150"/>
    <w:rsid w:val="00D9419D"/>
    <w:rsid w:val="00D9467E"/>
    <w:rsid w:val="00D94B4E"/>
    <w:rsid w:val="00D94B88"/>
    <w:rsid w:val="00D95B72"/>
    <w:rsid w:val="00D9620C"/>
    <w:rsid w:val="00D96635"/>
    <w:rsid w:val="00D96BCF"/>
    <w:rsid w:val="00D96F65"/>
    <w:rsid w:val="00D974C2"/>
    <w:rsid w:val="00D9775F"/>
    <w:rsid w:val="00D97BBB"/>
    <w:rsid w:val="00D97F57"/>
    <w:rsid w:val="00DA0222"/>
    <w:rsid w:val="00DA03FB"/>
    <w:rsid w:val="00DA0788"/>
    <w:rsid w:val="00DA1046"/>
    <w:rsid w:val="00DA1323"/>
    <w:rsid w:val="00DA136C"/>
    <w:rsid w:val="00DA15A4"/>
    <w:rsid w:val="00DA182B"/>
    <w:rsid w:val="00DA2382"/>
    <w:rsid w:val="00DA2457"/>
    <w:rsid w:val="00DA26F8"/>
    <w:rsid w:val="00DA28AE"/>
    <w:rsid w:val="00DA293C"/>
    <w:rsid w:val="00DA2BFC"/>
    <w:rsid w:val="00DA3017"/>
    <w:rsid w:val="00DA3396"/>
    <w:rsid w:val="00DA3E12"/>
    <w:rsid w:val="00DA403A"/>
    <w:rsid w:val="00DA407F"/>
    <w:rsid w:val="00DA40B1"/>
    <w:rsid w:val="00DA4694"/>
    <w:rsid w:val="00DA4A1C"/>
    <w:rsid w:val="00DA4A30"/>
    <w:rsid w:val="00DA4B20"/>
    <w:rsid w:val="00DA5484"/>
    <w:rsid w:val="00DA5515"/>
    <w:rsid w:val="00DA57C5"/>
    <w:rsid w:val="00DA63CF"/>
    <w:rsid w:val="00DA6756"/>
    <w:rsid w:val="00DA6885"/>
    <w:rsid w:val="00DA70E1"/>
    <w:rsid w:val="00DA72C6"/>
    <w:rsid w:val="00DA72ED"/>
    <w:rsid w:val="00DA73D0"/>
    <w:rsid w:val="00DA767B"/>
    <w:rsid w:val="00DA7B3B"/>
    <w:rsid w:val="00DB0190"/>
    <w:rsid w:val="00DB01B9"/>
    <w:rsid w:val="00DB0371"/>
    <w:rsid w:val="00DB0581"/>
    <w:rsid w:val="00DB12C8"/>
    <w:rsid w:val="00DB1639"/>
    <w:rsid w:val="00DB16C4"/>
    <w:rsid w:val="00DB1B8D"/>
    <w:rsid w:val="00DB1C08"/>
    <w:rsid w:val="00DB1DC0"/>
    <w:rsid w:val="00DB24A9"/>
    <w:rsid w:val="00DB2616"/>
    <w:rsid w:val="00DB2EDA"/>
    <w:rsid w:val="00DB34BF"/>
    <w:rsid w:val="00DB34F1"/>
    <w:rsid w:val="00DB3817"/>
    <w:rsid w:val="00DB3CBE"/>
    <w:rsid w:val="00DB4673"/>
    <w:rsid w:val="00DB4767"/>
    <w:rsid w:val="00DB4820"/>
    <w:rsid w:val="00DB4897"/>
    <w:rsid w:val="00DB48D1"/>
    <w:rsid w:val="00DB4BD8"/>
    <w:rsid w:val="00DB4C50"/>
    <w:rsid w:val="00DB4EA0"/>
    <w:rsid w:val="00DB505C"/>
    <w:rsid w:val="00DB5091"/>
    <w:rsid w:val="00DB5200"/>
    <w:rsid w:val="00DB5308"/>
    <w:rsid w:val="00DB53AF"/>
    <w:rsid w:val="00DB6894"/>
    <w:rsid w:val="00DB6CAD"/>
    <w:rsid w:val="00DB6F80"/>
    <w:rsid w:val="00DB701F"/>
    <w:rsid w:val="00DB75A9"/>
    <w:rsid w:val="00DB75DB"/>
    <w:rsid w:val="00DB7E8D"/>
    <w:rsid w:val="00DB7EFB"/>
    <w:rsid w:val="00DC01AB"/>
    <w:rsid w:val="00DC06AA"/>
    <w:rsid w:val="00DC07F8"/>
    <w:rsid w:val="00DC0CB4"/>
    <w:rsid w:val="00DC0EE9"/>
    <w:rsid w:val="00DC1012"/>
    <w:rsid w:val="00DC18D8"/>
    <w:rsid w:val="00DC1B37"/>
    <w:rsid w:val="00DC1F12"/>
    <w:rsid w:val="00DC2321"/>
    <w:rsid w:val="00DC2669"/>
    <w:rsid w:val="00DC269B"/>
    <w:rsid w:val="00DC2A04"/>
    <w:rsid w:val="00DC2D40"/>
    <w:rsid w:val="00DC3134"/>
    <w:rsid w:val="00DC336A"/>
    <w:rsid w:val="00DC37DA"/>
    <w:rsid w:val="00DC48A5"/>
    <w:rsid w:val="00DC48D2"/>
    <w:rsid w:val="00DC4C8C"/>
    <w:rsid w:val="00DC4D11"/>
    <w:rsid w:val="00DC52A2"/>
    <w:rsid w:val="00DC5A33"/>
    <w:rsid w:val="00DC5DFF"/>
    <w:rsid w:val="00DC6196"/>
    <w:rsid w:val="00DC6457"/>
    <w:rsid w:val="00DC6874"/>
    <w:rsid w:val="00DC6A68"/>
    <w:rsid w:val="00DC6BFE"/>
    <w:rsid w:val="00DC7446"/>
    <w:rsid w:val="00DC74CB"/>
    <w:rsid w:val="00DC76E2"/>
    <w:rsid w:val="00DC7726"/>
    <w:rsid w:val="00DC7956"/>
    <w:rsid w:val="00DC7A38"/>
    <w:rsid w:val="00DC7B77"/>
    <w:rsid w:val="00DD040F"/>
    <w:rsid w:val="00DD0A8B"/>
    <w:rsid w:val="00DD134A"/>
    <w:rsid w:val="00DD1752"/>
    <w:rsid w:val="00DD17D7"/>
    <w:rsid w:val="00DD187D"/>
    <w:rsid w:val="00DD1952"/>
    <w:rsid w:val="00DD216A"/>
    <w:rsid w:val="00DD226E"/>
    <w:rsid w:val="00DD2456"/>
    <w:rsid w:val="00DD299D"/>
    <w:rsid w:val="00DD2E65"/>
    <w:rsid w:val="00DD326E"/>
    <w:rsid w:val="00DD3727"/>
    <w:rsid w:val="00DD3761"/>
    <w:rsid w:val="00DD3C6E"/>
    <w:rsid w:val="00DD414B"/>
    <w:rsid w:val="00DD444A"/>
    <w:rsid w:val="00DD4830"/>
    <w:rsid w:val="00DD544F"/>
    <w:rsid w:val="00DD5A21"/>
    <w:rsid w:val="00DD605F"/>
    <w:rsid w:val="00DD645C"/>
    <w:rsid w:val="00DD6473"/>
    <w:rsid w:val="00DD6BB8"/>
    <w:rsid w:val="00DD6F5D"/>
    <w:rsid w:val="00DD7023"/>
    <w:rsid w:val="00DD7196"/>
    <w:rsid w:val="00DD73B5"/>
    <w:rsid w:val="00DD7559"/>
    <w:rsid w:val="00DD78FE"/>
    <w:rsid w:val="00DD7AC7"/>
    <w:rsid w:val="00DE0564"/>
    <w:rsid w:val="00DE0C8A"/>
    <w:rsid w:val="00DE0D97"/>
    <w:rsid w:val="00DE138B"/>
    <w:rsid w:val="00DE1DD4"/>
    <w:rsid w:val="00DE24FE"/>
    <w:rsid w:val="00DE266F"/>
    <w:rsid w:val="00DE2FBD"/>
    <w:rsid w:val="00DE31B9"/>
    <w:rsid w:val="00DE353F"/>
    <w:rsid w:val="00DE3E04"/>
    <w:rsid w:val="00DE4001"/>
    <w:rsid w:val="00DE42C8"/>
    <w:rsid w:val="00DE46E9"/>
    <w:rsid w:val="00DE46EF"/>
    <w:rsid w:val="00DE481E"/>
    <w:rsid w:val="00DE4FF3"/>
    <w:rsid w:val="00DE549F"/>
    <w:rsid w:val="00DE5A2F"/>
    <w:rsid w:val="00DE5B9F"/>
    <w:rsid w:val="00DE5C39"/>
    <w:rsid w:val="00DE614E"/>
    <w:rsid w:val="00DE62F4"/>
    <w:rsid w:val="00DE6518"/>
    <w:rsid w:val="00DE67D2"/>
    <w:rsid w:val="00DE6B83"/>
    <w:rsid w:val="00DE70D4"/>
    <w:rsid w:val="00DE7136"/>
    <w:rsid w:val="00DE7359"/>
    <w:rsid w:val="00DE75CB"/>
    <w:rsid w:val="00DE7E78"/>
    <w:rsid w:val="00DF08CE"/>
    <w:rsid w:val="00DF166F"/>
    <w:rsid w:val="00DF1D53"/>
    <w:rsid w:val="00DF1D5C"/>
    <w:rsid w:val="00DF1DCE"/>
    <w:rsid w:val="00DF1FA3"/>
    <w:rsid w:val="00DF216B"/>
    <w:rsid w:val="00DF2190"/>
    <w:rsid w:val="00DF21CA"/>
    <w:rsid w:val="00DF281C"/>
    <w:rsid w:val="00DF2861"/>
    <w:rsid w:val="00DF28C5"/>
    <w:rsid w:val="00DF2976"/>
    <w:rsid w:val="00DF2BBA"/>
    <w:rsid w:val="00DF2CE8"/>
    <w:rsid w:val="00DF31B3"/>
    <w:rsid w:val="00DF32C9"/>
    <w:rsid w:val="00DF334D"/>
    <w:rsid w:val="00DF3417"/>
    <w:rsid w:val="00DF3435"/>
    <w:rsid w:val="00DF3506"/>
    <w:rsid w:val="00DF3964"/>
    <w:rsid w:val="00DF3D30"/>
    <w:rsid w:val="00DF44A6"/>
    <w:rsid w:val="00DF486C"/>
    <w:rsid w:val="00DF4A04"/>
    <w:rsid w:val="00DF4CAF"/>
    <w:rsid w:val="00DF4E3E"/>
    <w:rsid w:val="00DF54D0"/>
    <w:rsid w:val="00DF57D9"/>
    <w:rsid w:val="00DF588C"/>
    <w:rsid w:val="00DF592E"/>
    <w:rsid w:val="00DF5CF9"/>
    <w:rsid w:val="00DF6039"/>
    <w:rsid w:val="00DF60B9"/>
    <w:rsid w:val="00DF63B7"/>
    <w:rsid w:val="00DF6494"/>
    <w:rsid w:val="00DF65D2"/>
    <w:rsid w:val="00DF673B"/>
    <w:rsid w:val="00DF6CDE"/>
    <w:rsid w:val="00DF70B0"/>
    <w:rsid w:val="00DF7A36"/>
    <w:rsid w:val="00DF7DB3"/>
    <w:rsid w:val="00DF7E75"/>
    <w:rsid w:val="00E0024B"/>
    <w:rsid w:val="00E0049B"/>
    <w:rsid w:val="00E00AD3"/>
    <w:rsid w:val="00E00CAA"/>
    <w:rsid w:val="00E00FEE"/>
    <w:rsid w:val="00E01055"/>
    <w:rsid w:val="00E010CD"/>
    <w:rsid w:val="00E0130B"/>
    <w:rsid w:val="00E01329"/>
    <w:rsid w:val="00E01F26"/>
    <w:rsid w:val="00E020F1"/>
    <w:rsid w:val="00E02460"/>
    <w:rsid w:val="00E024CB"/>
    <w:rsid w:val="00E02A34"/>
    <w:rsid w:val="00E02B56"/>
    <w:rsid w:val="00E02C42"/>
    <w:rsid w:val="00E02D0F"/>
    <w:rsid w:val="00E02D8F"/>
    <w:rsid w:val="00E03A0F"/>
    <w:rsid w:val="00E03CB4"/>
    <w:rsid w:val="00E0431F"/>
    <w:rsid w:val="00E043F4"/>
    <w:rsid w:val="00E0453D"/>
    <w:rsid w:val="00E050D3"/>
    <w:rsid w:val="00E0512C"/>
    <w:rsid w:val="00E05DF3"/>
    <w:rsid w:val="00E05FA6"/>
    <w:rsid w:val="00E07695"/>
    <w:rsid w:val="00E07D7A"/>
    <w:rsid w:val="00E10437"/>
    <w:rsid w:val="00E10451"/>
    <w:rsid w:val="00E10A31"/>
    <w:rsid w:val="00E10E5A"/>
    <w:rsid w:val="00E11017"/>
    <w:rsid w:val="00E11029"/>
    <w:rsid w:val="00E111B3"/>
    <w:rsid w:val="00E1177C"/>
    <w:rsid w:val="00E11CB0"/>
    <w:rsid w:val="00E1257C"/>
    <w:rsid w:val="00E125A9"/>
    <w:rsid w:val="00E128DA"/>
    <w:rsid w:val="00E1326B"/>
    <w:rsid w:val="00E1381A"/>
    <w:rsid w:val="00E139B9"/>
    <w:rsid w:val="00E13AFC"/>
    <w:rsid w:val="00E13C59"/>
    <w:rsid w:val="00E13D95"/>
    <w:rsid w:val="00E13EF8"/>
    <w:rsid w:val="00E13F65"/>
    <w:rsid w:val="00E141D6"/>
    <w:rsid w:val="00E14423"/>
    <w:rsid w:val="00E14638"/>
    <w:rsid w:val="00E14A96"/>
    <w:rsid w:val="00E15066"/>
    <w:rsid w:val="00E15256"/>
    <w:rsid w:val="00E154B4"/>
    <w:rsid w:val="00E15A2F"/>
    <w:rsid w:val="00E15C89"/>
    <w:rsid w:val="00E1610C"/>
    <w:rsid w:val="00E1764B"/>
    <w:rsid w:val="00E1773C"/>
    <w:rsid w:val="00E177AA"/>
    <w:rsid w:val="00E17C08"/>
    <w:rsid w:val="00E17D66"/>
    <w:rsid w:val="00E20894"/>
    <w:rsid w:val="00E213A0"/>
    <w:rsid w:val="00E21BED"/>
    <w:rsid w:val="00E21F87"/>
    <w:rsid w:val="00E22091"/>
    <w:rsid w:val="00E22115"/>
    <w:rsid w:val="00E222A9"/>
    <w:rsid w:val="00E23265"/>
    <w:rsid w:val="00E2378E"/>
    <w:rsid w:val="00E237C5"/>
    <w:rsid w:val="00E23A8F"/>
    <w:rsid w:val="00E23BCB"/>
    <w:rsid w:val="00E23D1B"/>
    <w:rsid w:val="00E243D3"/>
    <w:rsid w:val="00E24701"/>
    <w:rsid w:val="00E24BEC"/>
    <w:rsid w:val="00E25091"/>
    <w:rsid w:val="00E251D2"/>
    <w:rsid w:val="00E25474"/>
    <w:rsid w:val="00E254C7"/>
    <w:rsid w:val="00E25551"/>
    <w:rsid w:val="00E25605"/>
    <w:rsid w:val="00E2569B"/>
    <w:rsid w:val="00E263E2"/>
    <w:rsid w:val="00E2644F"/>
    <w:rsid w:val="00E26BB0"/>
    <w:rsid w:val="00E26DAE"/>
    <w:rsid w:val="00E27149"/>
    <w:rsid w:val="00E27186"/>
    <w:rsid w:val="00E30BBE"/>
    <w:rsid w:val="00E30D0C"/>
    <w:rsid w:val="00E31199"/>
    <w:rsid w:val="00E312C3"/>
    <w:rsid w:val="00E314E7"/>
    <w:rsid w:val="00E3170B"/>
    <w:rsid w:val="00E31BD5"/>
    <w:rsid w:val="00E31E16"/>
    <w:rsid w:val="00E32160"/>
    <w:rsid w:val="00E32225"/>
    <w:rsid w:val="00E322CD"/>
    <w:rsid w:val="00E32C81"/>
    <w:rsid w:val="00E32DD4"/>
    <w:rsid w:val="00E32DFA"/>
    <w:rsid w:val="00E32EE5"/>
    <w:rsid w:val="00E32F93"/>
    <w:rsid w:val="00E334CE"/>
    <w:rsid w:val="00E33658"/>
    <w:rsid w:val="00E34282"/>
    <w:rsid w:val="00E342DB"/>
    <w:rsid w:val="00E343A4"/>
    <w:rsid w:val="00E346DE"/>
    <w:rsid w:val="00E34B93"/>
    <w:rsid w:val="00E34C76"/>
    <w:rsid w:val="00E34CC7"/>
    <w:rsid w:val="00E350EE"/>
    <w:rsid w:val="00E3514F"/>
    <w:rsid w:val="00E35931"/>
    <w:rsid w:val="00E35A69"/>
    <w:rsid w:val="00E3634E"/>
    <w:rsid w:val="00E368E2"/>
    <w:rsid w:val="00E36963"/>
    <w:rsid w:val="00E37638"/>
    <w:rsid w:val="00E377B8"/>
    <w:rsid w:val="00E378B7"/>
    <w:rsid w:val="00E379F7"/>
    <w:rsid w:val="00E404C3"/>
    <w:rsid w:val="00E40AB6"/>
    <w:rsid w:val="00E40B7B"/>
    <w:rsid w:val="00E410A3"/>
    <w:rsid w:val="00E410E3"/>
    <w:rsid w:val="00E4150A"/>
    <w:rsid w:val="00E41CDA"/>
    <w:rsid w:val="00E422DA"/>
    <w:rsid w:val="00E42487"/>
    <w:rsid w:val="00E42497"/>
    <w:rsid w:val="00E4260B"/>
    <w:rsid w:val="00E4285B"/>
    <w:rsid w:val="00E42BDA"/>
    <w:rsid w:val="00E42D07"/>
    <w:rsid w:val="00E42F48"/>
    <w:rsid w:val="00E43111"/>
    <w:rsid w:val="00E43776"/>
    <w:rsid w:val="00E439F6"/>
    <w:rsid w:val="00E43BC6"/>
    <w:rsid w:val="00E43F7C"/>
    <w:rsid w:val="00E4438F"/>
    <w:rsid w:val="00E451DD"/>
    <w:rsid w:val="00E4529A"/>
    <w:rsid w:val="00E4533D"/>
    <w:rsid w:val="00E46A0B"/>
    <w:rsid w:val="00E47107"/>
    <w:rsid w:val="00E47436"/>
    <w:rsid w:val="00E475E5"/>
    <w:rsid w:val="00E4788A"/>
    <w:rsid w:val="00E47A08"/>
    <w:rsid w:val="00E47F38"/>
    <w:rsid w:val="00E501A9"/>
    <w:rsid w:val="00E50998"/>
    <w:rsid w:val="00E50C89"/>
    <w:rsid w:val="00E50CCA"/>
    <w:rsid w:val="00E512F5"/>
    <w:rsid w:val="00E51DF2"/>
    <w:rsid w:val="00E52704"/>
    <w:rsid w:val="00E52908"/>
    <w:rsid w:val="00E52914"/>
    <w:rsid w:val="00E52BFE"/>
    <w:rsid w:val="00E535FA"/>
    <w:rsid w:val="00E536FF"/>
    <w:rsid w:val="00E539FB"/>
    <w:rsid w:val="00E54413"/>
    <w:rsid w:val="00E547C5"/>
    <w:rsid w:val="00E549FF"/>
    <w:rsid w:val="00E54ACD"/>
    <w:rsid w:val="00E54B2B"/>
    <w:rsid w:val="00E5505F"/>
    <w:rsid w:val="00E5545E"/>
    <w:rsid w:val="00E5569E"/>
    <w:rsid w:val="00E55CDA"/>
    <w:rsid w:val="00E55E1C"/>
    <w:rsid w:val="00E55F16"/>
    <w:rsid w:val="00E5625E"/>
    <w:rsid w:val="00E563F9"/>
    <w:rsid w:val="00E56CFD"/>
    <w:rsid w:val="00E571F6"/>
    <w:rsid w:val="00E574B3"/>
    <w:rsid w:val="00E57658"/>
    <w:rsid w:val="00E57751"/>
    <w:rsid w:val="00E5784F"/>
    <w:rsid w:val="00E57B0F"/>
    <w:rsid w:val="00E57E21"/>
    <w:rsid w:val="00E6027F"/>
    <w:rsid w:val="00E60BDF"/>
    <w:rsid w:val="00E60C8E"/>
    <w:rsid w:val="00E61095"/>
    <w:rsid w:val="00E61386"/>
    <w:rsid w:val="00E61632"/>
    <w:rsid w:val="00E61759"/>
    <w:rsid w:val="00E6201B"/>
    <w:rsid w:val="00E62522"/>
    <w:rsid w:val="00E62F97"/>
    <w:rsid w:val="00E63447"/>
    <w:rsid w:val="00E63598"/>
    <w:rsid w:val="00E63D67"/>
    <w:rsid w:val="00E64106"/>
    <w:rsid w:val="00E64687"/>
    <w:rsid w:val="00E6493F"/>
    <w:rsid w:val="00E64A23"/>
    <w:rsid w:val="00E64C06"/>
    <w:rsid w:val="00E64CFC"/>
    <w:rsid w:val="00E65174"/>
    <w:rsid w:val="00E65D40"/>
    <w:rsid w:val="00E66253"/>
    <w:rsid w:val="00E663E2"/>
    <w:rsid w:val="00E66908"/>
    <w:rsid w:val="00E669C5"/>
    <w:rsid w:val="00E66B67"/>
    <w:rsid w:val="00E66F68"/>
    <w:rsid w:val="00E67034"/>
    <w:rsid w:val="00E67830"/>
    <w:rsid w:val="00E67B06"/>
    <w:rsid w:val="00E67E5F"/>
    <w:rsid w:val="00E67E87"/>
    <w:rsid w:val="00E70301"/>
    <w:rsid w:val="00E7044F"/>
    <w:rsid w:val="00E70C92"/>
    <w:rsid w:val="00E70DD7"/>
    <w:rsid w:val="00E70EC9"/>
    <w:rsid w:val="00E713E1"/>
    <w:rsid w:val="00E71813"/>
    <w:rsid w:val="00E71989"/>
    <w:rsid w:val="00E71A0F"/>
    <w:rsid w:val="00E71FCD"/>
    <w:rsid w:val="00E7216A"/>
    <w:rsid w:val="00E723D0"/>
    <w:rsid w:val="00E729C7"/>
    <w:rsid w:val="00E72EE0"/>
    <w:rsid w:val="00E73105"/>
    <w:rsid w:val="00E73771"/>
    <w:rsid w:val="00E73A76"/>
    <w:rsid w:val="00E741FB"/>
    <w:rsid w:val="00E74260"/>
    <w:rsid w:val="00E74412"/>
    <w:rsid w:val="00E745BC"/>
    <w:rsid w:val="00E7473C"/>
    <w:rsid w:val="00E747DD"/>
    <w:rsid w:val="00E7484C"/>
    <w:rsid w:val="00E74F85"/>
    <w:rsid w:val="00E75140"/>
    <w:rsid w:val="00E75765"/>
    <w:rsid w:val="00E75BA9"/>
    <w:rsid w:val="00E76464"/>
    <w:rsid w:val="00E76696"/>
    <w:rsid w:val="00E76830"/>
    <w:rsid w:val="00E76A05"/>
    <w:rsid w:val="00E76B59"/>
    <w:rsid w:val="00E76E8D"/>
    <w:rsid w:val="00E775F0"/>
    <w:rsid w:val="00E77852"/>
    <w:rsid w:val="00E77957"/>
    <w:rsid w:val="00E77EE2"/>
    <w:rsid w:val="00E80254"/>
    <w:rsid w:val="00E80856"/>
    <w:rsid w:val="00E80C85"/>
    <w:rsid w:val="00E81004"/>
    <w:rsid w:val="00E8147C"/>
    <w:rsid w:val="00E814C8"/>
    <w:rsid w:val="00E81E44"/>
    <w:rsid w:val="00E820E2"/>
    <w:rsid w:val="00E82261"/>
    <w:rsid w:val="00E82AE1"/>
    <w:rsid w:val="00E82C01"/>
    <w:rsid w:val="00E82ED9"/>
    <w:rsid w:val="00E83635"/>
    <w:rsid w:val="00E83E0E"/>
    <w:rsid w:val="00E83EF4"/>
    <w:rsid w:val="00E845DE"/>
    <w:rsid w:val="00E84964"/>
    <w:rsid w:val="00E856A5"/>
    <w:rsid w:val="00E85766"/>
    <w:rsid w:val="00E85BEC"/>
    <w:rsid w:val="00E86320"/>
    <w:rsid w:val="00E865D7"/>
    <w:rsid w:val="00E8678F"/>
    <w:rsid w:val="00E86D13"/>
    <w:rsid w:val="00E86D5C"/>
    <w:rsid w:val="00E86F8C"/>
    <w:rsid w:val="00E874E7"/>
    <w:rsid w:val="00E87692"/>
    <w:rsid w:val="00E879FA"/>
    <w:rsid w:val="00E87B0A"/>
    <w:rsid w:val="00E87BA0"/>
    <w:rsid w:val="00E87CCD"/>
    <w:rsid w:val="00E901D0"/>
    <w:rsid w:val="00E90A79"/>
    <w:rsid w:val="00E90F23"/>
    <w:rsid w:val="00E916E7"/>
    <w:rsid w:val="00E91874"/>
    <w:rsid w:val="00E91A7E"/>
    <w:rsid w:val="00E91AE3"/>
    <w:rsid w:val="00E91B6B"/>
    <w:rsid w:val="00E91DAE"/>
    <w:rsid w:val="00E91F43"/>
    <w:rsid w:val="00E91FED"/>
    <w:rsid w:val="00E92350"/>
    <w:rsid w:val="00E9253E"/>
    <w:rsid w:val="00E92DD3"/>
    <w:rsid w:val="00E935EE"/>
    <w:rsid w:val="00E93C7E"/>
    <w:rsid w:val="00E93C85"/>
    <w:rsid w:val="00E93C8D"/>
    <w:rsid w:val="00E93EE3"/>
    <w:rsid w:val="00E93FB7"/>
    <w:rsid w:val="00E94646"/>
    <w:rsid w:val="00E94803"/>
    <w:rsid w:val="00E94C26"/>
    <w:rsid w:val="00E94F97"/>
    <w:rsid w:val="00E952BB"/>
    <w:rsid w:val="00E95853"/>
    <w:rsid w:val="00E95BC1"/>
    <w:rsid w:val="00E96DBE"/>
    <w:rsid w:val="00E97152"/>
    <w:rsid w:val="00E9749E"/>
    <w:rsid w:val="00E97A7F"/>
    <w:rsid w:val="00EA0422"/>
    <w:rsid w:val="00EA0AF7"/>
    <w:rsid w:val="00EA0E17"/>
    <w:rsid w:val="00EA10E5"/>
    <w:rsid w:val="00EA18C6"/>
    <w:rsid w:val="00EA1943"/>
    <w:rsid w:val="00EA2481"/>
    <w:rsid w:val="00EA2682"/>
    <w:rsid w:val="00EA2B6E"/>
    <w:rsid w:val="00EA2F92"/>
    <w:rsid w:val="00EA39A9"/>
    <w:rsid w:val="00EA4173"/>
    <w:rsid w:val="00EA41EE"/>
    <w:rsid w:val="00EA425C"/>
    <w:rsid w:val="00EA4658"/>
    <w:rsid w:val="00EA4A98"/>
    <w:rsid w:val="00EA5415"/>
    <w:rsid w:val="00EA54B2"/>
    <w:rsid w:val="00EA55D7"/>
    <w:rsid w:val="00EA5C48"/>
    <w:rsid w:val="00EA6427"/>
    <w:rsid w:val="00EA659C"/>
    <w:rsid w:val="00EA65CC"/>
    <w:rsid w:val="00EA6E43"/>
    <w:rsid w:val="00EA7481"/>
    <w:rsid w:val="00EA7724"/>
    <w:rsid w:val="00EA781F"/>
    <w:rsid w:val="00EB065E"/>
    <w:rsid w:val="00EB0DF7"/>
    <w:rsid w:val="00EB0F7B"/>
    <w:rsid w:val="00EB10CF"/>
    <w:rsid w:val="00EB1513"/>
    <w:rsid w:val="00EB15DB"/>
    <w:rsid w:val="00EB1AE5"/>
    <w:rsid w:val="00EB1BA6"/>
    <w:rsid w:val="00EB2864"/>
    <w:rsid w:val="00EB2CC3"/>
    <w:rsid w:val="00EB34D2"/>
    <w:rsid w:val="00EB35F7"/>
    <w:rsid w:val="00EB3614"/>
    <w:rsid w:val="00EB3B91"/>
    <w:rsid w:val="00EB3C9A"/>
    <w:rsid w:val="00EB3F9D"/>
    <w:rsid w:val="00EB3FAD"/>
    <w:rsid w:val="00EB43CC"/>
    <w:rsid w:val="00EB5B63"/>
    <w:rsid w:val="00EB5DC6"/>
    <w:rsid w:val="00EB617B"/>
    <w:rsid w:val="00EB66F9"/>
    <w:rsid w:val="00EB67BD"/>
    <w:rsid w:val="00EB6CA0"/>
    <w:rsid w:val="00EB6D7E"/>
    <w:rsid w:val="00EB6E48"/>
    <w:rsid w:val="00EB72A2"/>
    <w:rsid w:val="00EB7334"/>
    <w:rsid w:val="00EB755B"/>
    <w:rsid w:val="00EC0402"/>
    <w:rsid w:val="00EC051E"/>
    <w:rsid w:val="00EC096D"/>
    <w:rsid w:val="00EC1185"/>
    <w:rsid w:val="00EC11DD"/>
    <w:rsid w:val="00EC1253"/>
    <w:rsid w:val="00EC12C7"/>
    <w:rsid w:val="00EC1B04"/>
    <w:rsid w:val="00EC1F13"/>
    <w:rsid w:val="00EC29B8"/>
    <w:rsid w:val="00EC3084"/>
    <w:rsid w:val="00EC3316"/>
    <w:rsid w:val="00EC33DE"/>
    <w:rsid w:val="00EC3481"/>
    <w:rsid w:val="00EC449A"/>
    <w:rsid w:val="00EC4EFE"/>
    <w:rsid w:val="00EC500D"/>
    <w:rsid w:val="00EC5512"/>
    <w:rsid w:val="00EC59C0"/>
    <w:rsid w:val="00EC5E86"/>
    <w:rsid w:val="00EC66A3"/>
    <w:rsid w:val="00EC7637"/>
    <w:rsid w:val="00ED00FA"/>
    <w:rsid w:val="00ED0A2F"/>
    <w:rsid w:val="00ED0CF2"/>
    <w:rsid w:val="00ED1DB5"/>
    <w:rsid w:val="00ED24AC"/>
    <w:rsid w:val="00ED2681"/>
    <w:rsid w:val="00ED26CA"/>
    <w:rsid w:val="00ED2969"/>
    <w:rsid w:val="00ED2B51"/>
    <w:rsid w:val="00ED2B9B"/>
    <w:rsid w:val="00ED3114"/>
    <w:rsid w:val="00ED32C9"/>
    <w:rsid w:val="00ED3306"/>
    <w:rsid w:val="00ED3530"/>
    <w:rsid w:val="00ED364C"/>
    <w:rsid w:val="00ED38A9"/>
    <w:rsid w:val="00ED3E0E"/>
    <w:rsid w:val="00ED4983"/>
    <w:rsid w:val="00ED4B50"/>
    <w:rsid w:val="00ED4BA3"/>
    <w:rsid w:val="00ED4C3A"/>
    <w:rsid w:val="00ED4C5B"/>
    <w:rsid w:val="00ED507A"/>
    <w:rsid w:val="00ED5346"/>
    <w:rsid w:val="00ED5BD9"/>
    <w:rsid w:val="00ED5C72"/>
    <w:rsid w:val="00ED5D89"/>
    <w:rsid w:val="00ED5FC9"/>
    <w:rsid w:val="00ED60E5"/>
    <w:rsid w:val="00ED6125"/>
    <w:rsid w:val="00ED639A"/>
    <w:rsid w:val="00ED6710"/>
    <w:rsid w:val="00ED73B1"/>
    <w:rsid w:val="00ED7524"/>
    <w:rsid w:val="00ED7526"/>
    <w:rsid w:val="00ED76F3"/>
    <w:rsid w:val="00ED770E"/>
    <w:rsid w:val="00ED7952"/>
    <w:rsid w:val="00ED7992"/>
    <w:rsid w:val="00EE0162"/>
    <w:rsid w:val="00EE0268"/>
    <w:rsid w:val="00EE09A1"/>
    <w:rsid w:val="00EE0B7B"/>
    <w:rsid w:val="00EE0B92"/>
    <w:rsid w:val="00EE117E"/>
    <w:rsid w:val="00EE276D"/>
    <w:rsid w:val="00EE2ADB"/>
    <w:rsid w:val="00EE34F8"/>
    <w:rsid w:val="00EE3848"/>
    <w:rsid w:val="00EE3F22"/>
    <w:rsid w:val="00EE4485"/>
    <w:rsid w:val="00EE4BF9"/>
    <w:rsid w:val="00EE508B"/>
    <w:rsid w:val="00EE5304"/>
    <w:rsid w:val="00EE54A9"/>
    <w:rsid w:val="00EE55EC"/>
    <w:rsid w:val="00EE5639"/>
    <w:rsid w:val="00EE577B"/>
    <w:rsid w:val="00EE5B07"/>
    <w:rsid w:val="00EE5E1B"/>
    <w:rsid w:val="00EE6A14"/>
    <w:rsid w:val="00EE6C57"/>
    <w:rsid w:val="00EE6D07"/>
    <w:rsid w:val="00EE6F14"/>
    <w:rsid w:val="00EE77BE"/>
    <w:rsid w:val="00EE7E26"/>
    <w:rsid w:val="00EF042F"/>
    <w:rsid w:val="00EF072B"/>
    <w:rsid w:val="00EF0778"/>
    <w:rsid w:val="00EF0C52"/>
    <w:rsid w:val="00EF161F"/>
    <w:rsid w:val="00EF1697"/>
    <w:rsid w:val="00EF1A16"/>
    <w:rsid w:val="00EF1D01"/>
    <w:rsid w:val="00EF231C"/>
    <w:rsid w:val="00EF2556"/>
    <w:rsid w:val="00EF2900"/>
    <w:rsid w:val="00EF3255"/>
    <w:rsid w:val="00EF3A30"/>
    <w:rsid w:val="00EF3F23"/>
    <w:rsid w:val="00EF439D"/>
    <w:rsid w:val="00EF462A"/>
    <w:rsid w:val="00EF467F"/>
    <w:rsid w:val="00EF4938"/>
    <w:rsid w:val="00EF493F"/>
    <w:rsid w:val="00EF4A79"/>
    <w:rsid w:val="00EF4C73"/>
    <w:rsid w:val="00EF4CC5"/>
    <w:rsid w:val="00EF5268"/>
    <w:rsid w:val="00EF537D"/>
    <w:rsid w:val="00EF60BB"/>
    <w:rsid w:val="00EF62E4"/>
    <w:rsid w:val="00EF6620"/>
    <w:rsid w:val="00EF6939"/>
    <w:rsid w:val="00EF6A83"/>
    <w:rsid w:val="00EF6AA4"/>
    <w:rsid w:val="00EF6C33"/>
    <w:rsid w:val="00EF732B"/>
    <w:rsid w:val="00EF75F5"/>
    <w:rsid w:val="00EF776F"/>
    <w:rsid w:val="00EF7913"/>
    <w:rsid w:val="00EF7AF7"/>
    <w:rsid w:val="00EF7DF1"/>
    <w:rsid w:val="00EF7FA9"/>
    <w:rsid w:val="00F001C0"/>
    <w:rsid w:val="00F0021A"/>
    <w:rsid w:val="00F00355"/>
    <w:rsid w:val="00F009BD"/>
    <w:rsid w:val="00F010B8"/>
    <w:rsid w:val="00F010EF"/>
    <w:rsid w:val="00F0197D"/>
    <w:rsid w:val="00F01C7B"/>
    <w:rsid w:val="00F02406"/>
    <w:rsid w:val="00F0299B"/>
    <w:rsid w:val="00F02ABA"/>
    <w:rsid w:val="00F031DD"/>
    <w:rsid w:val="00F035E3"/>
    <w:rsid w:val="00F0385F"/>
    <w:rsid w:val="00F038DE"/>
    <w:rsid w:val="00F04002"/>
    <w:rsid w:val="00F04470"/>
    <w:rsid w:val="00F044F2"/>
    <w:rsid w:val="00F04996"/>
    <w:rsid w:val="00F04C6E"/>
    <w:rsid w:val="00F04EA7"/>
    <w:rsid w:val="00F05170"/>
    <w:rsid w:val="00F059AD"/>
    <w:rsid w:val="00F05A8F"/>
    <w:rsid w:val="00F05D11"/>
    <w:rsid w:val="00F06289"/>
    <w:rsid w:val="00F063E6"/>
    <w:rsid w:val="00F0680D"/>
    <w:rsid w:val="00F06A49"/>
    <w:rsid w:val="00F100EC"/>
    <w:rsid w:val="00F1011A"/>
    <w:rsid w:val="00F1026C"/>
    <w:rsid w:val="00F10E31"/>
    <w:rsid w:val="00F10EE9"/>
    <w:rsid w:val="00F115C3"/>
    <w:rsid w:val="00F116CF"/>
    <w:rsid w:val="00F117BA"/>
    <w:rsid w:val="00F11A9D"/>
    <w:rsid w:val="00F11BD3"/>
    <w:rsid w:val="00F11D2D"/>
    <w:rsid w:val="00F12385"/>
    <w:rsid w:val="00F12531"/>
    <w:rsid w:val="00F127A1"/>
    <w:rsid w:val="00F12D75"/>
    <w:rsid w:val="00F13720"/>
    <w:rsid w:val="00F13892"/>
    <w:rsid w:val="00F13A25"/>
    <w:rsid w:val="00F13A7C"/>
    <w:rsid w:val="00F13F4A"/>
    <w:rsid w:val="00F146FF"/>
    <w:rsid w:val="00F14966"/>
    <w:rsid w:val="00F14D34"/>
    <w:rsid w:val="00F14DCC"/>
    <w:rsid w:val="00F150FB"/>
    <w:rsid w:val="00F1573D"/>
    <w:rsid w:val="00F15989"/>
    <w:rsid w:val="00F162D4"/>
    <w:rsid w:val="00F167F4"/>
    <w:rsid w:val="00F168D1"/>
    <w:rsid w:val="00F16A22"/>
    <w:rsid w:val="00F1711B"/>
    <w:rsid w:val="00F171BE"/>
    <w:rsid w:val="00F17485"/>
    <w:rsid w:val="00F1794B"/>
    <w:rsid w:val="00F17DC4"/>
    <w:rsid w:val="00F2000D"/>
    <w:rsid w:val="00F20016"/>
    <w:rsid w:val="00F20196"/>
    <w:rsid w:val="00F2058B"/>
    <w:rsid w:val="00F207E7"/>
    <w:rsid w:val="00F20A73"/>
    <w:rsid w:val="00F20C5C"/>
    <w:rsid w:val="00F20EA7"/>
    <w:rsid w:val="00F214E7"/>
    <w:rsid w:val="00F21732"/>
    <w:rsid w:val="00F21CC1"/>
    <w:rsid w:val="00F22737"/>
    <w:rsid w:val="00F23583"/>
    <w:rsid w:val="00F23951"/>
    <w:rsid w:val="00F246DB"/>
    <w:rsid w:val="00F24AE5"/>
    <w:rsid w:val="00F24D8A"/>
    <w:rsid w:val="00F2503D"/>
    <w:rsid w:val="00F25085"/>
    <w:rsid w:val="00F2535D"/>
    <w:rsid w:val="00F253C8"/>
    <w:rsid w:val="00F25410"/>
    <w:rsid w:val="00F25AE6"/>
    <w:rsid w:val="00F25B78"/>
    <w:rsid w:val="00F25CB9"/>
    <w:rsid w:val="00F25E01"/>
    <w:rsid w:val="00F27168"/>
    <w:rsid w:val="00F27856"/>
    <w:rsid w:val="00F279E0"/>
    <w:rsid w:val="00F279F6"/>
    <w:rsid w:val="00F27F20"/>
    <w:rsid w:val="00F3018E"/>
    <w:rsid w:val="00F3038F"/>
    <w:rsid w:val="00F30460"/>
    <w:rsid w:val="00F30A2D"/>
    <w:rsid w:val="00F30E5F"/>
    <w:rsid w:val="00F314C5"/>
    <w:rsid w:val="00F3162A"/>
    <w:rsid w:val="00F31D21"/>
    <w:rsid w:val="00F31DFE"/>
    <w:rsid w:val="00F3209B"/>
    <w:rsid w:val="00F3214C"/>
    <w:rsid w:val="00F32174"/>
    <w:rsid w:val="00F321E6"/>
    <w:rsid w:val="00F324B1"/>
    <w:rsid w:val="00F32749"/>
    <w:rsid w:val="00F327E1"/>
    <w:rsid w:val="00F32E4D"/>
    <w:rsid w:val="00F332B1"/>
    <w:rsid w:val="00F3368A"/>
    <w:rsid w:val="00F336FC"/>
    <w:rsid w:val="00F337EB"/>
    <w:rsid w:val="00F33B5B"/>
    <w:rsid w:val="00F33CFE"/>
    <w:rsid w:val="00F33DB9"/>
    <w:rsid w:val="00F33F8D"/>
    <w:rsid w:val="00F33F9B"/>
    <w:rsid w:val="00F33FF5"/>
    <w:rsid w:val="00F341E8"/>
    <w:rsid w:val="00F34CD4"/>
    <w:rsid w:val="00F34D21"/>
    <w:rsid w:val="00F34DAD"/>
    <w:rsid w:val="00F34DFC"/>
    <w:rsid w:val="00F34EB8"/>
    <w:rsid w:val="00F35185"/>
    <w:rsid w:val="00F351D3"/>
    <w:rsid w:val="00F35544"/>
    <w:rsid w:val="00F35575"/>
    <w:rsid w:val="00F35A31"/>
    <w:rsid w:val="00F35A4B"/>
    <w:rsid w:val="00F35F75"/>
    <w:rsid w:val="00F36BB2"/>
    <w:rsid w:val="00F36C53"/>
    <w:rsid w:val="00F370DB"/>
    <w:rsid w:val="00F3725E"/>
    <w:rsid w:val="00F37472"/>
    <w:rsid w:val="00F37CB6"/>
    <w:rsid w:val="00F37DD8"/>
    <w:rsid w:val="00F37E21"/>
    <w:rsid w:val="00F37F65"/>
    <w:rsid w:val="00F400BB"/>
    <w:rsid w:val="00F4010B"/>
    <w:rsid w:val="00F40247"/>
    <w:rsid w:val="00F40575"/>
    <w:rsid w:val="00F406FC"/>
    <w:rsid w:val="00F40DE7"/>
    <w:rsid w:val="00F417EC"/>
    <w:rsid w:val="00F41882"/>
    <w:rsid w:val="00F41A86"/>
    <w:rsid w:val="00F4206D"/>
    <w:rsid w:val="00F4215B"/>
    <w:rsid w:val="00F42D0D"/>
    <w:rsid w:val="00F42E72"/>
    <w:rsid w:val="00F431BA"/>
    <w:rsid w:val="00F4322A"/>
    <w:rsid w:val="00F43516"/>
    <w:rsid w:val="00F4358C"/>
    <w:rsid w:val="00F442CF"/>
    <w:rsid w:val="00F445A9"/>
    <w:rsid w:val="00F446C0"/>
    <w:rsid w:val="00F45916"/>
    <w:rsid w:val="00F464AC"/>
    <w:rsid w:val="00F46552"/>
    <w:rsid w:val="00F4658D"/>
    <w:rsid w:val="00F465EA"/>
    <w:rsid w:val="00F46DA8"/>
    <w:rsid w:val="00F46E42"/>
    <w:rsid w:val="00F4702C"/>
    <w:rsid w:val="00F4768E"/>
    <w:rsid w:val="00F476DC"/>
    <w:rsid w:val="00F47A42"/>
    <w:rsid w:val="00F505B8"/>
    <w:rsid w:val="00F50ED3"/>
    <w:rsid w:val="00F51047"/>
    <w:rsid w:val="00F5105D"/>
    <w:rsid w:val="00F5176B"/>
    <w:rsid w:val="00F524EE"/>
    <w:rsid w:val="00F5322A"/>
    <w:rsid w:val="00F53787"/>
    <w:rsid w:val="00F53EFE"/>
    <w:rsid w:val="00F53FD3"/>
    <w:rsid w:val="00F540A1"/>
    <w:rsid w:val="00F546B3"/>
    <w:rsid w:val="00F54868"/>
    <w:rsid w:val="00F54873"/>
    <w:rsid w:val="00F5500F"/>
    <w:rsid w:val="00F55240"/>
    <w:rsid w:val="00F55720"/>
    <w:rsid w:val="00F5578E"/>
    <w:rsid w:val="00F5585A"/>
    <w:rsid w:val="00F558C7"/>
    <w:rsid w:val="00F55D5A"/>
    <w:rsid w:val="00F55E4E"/>
    <w:rsid w:val="00F571B0"/>
    <w:rsid w:val="00F57226"/>
    <w:rsid w:val="00F5737A"/>
    <w:rsid w:val="00F57656"/>
    <w:rsid w:val="00F57BAF"/>
    <w:rsid w:val="00F606E7"/>
    <w:rsid w:val="00F60ADF"/>
    <w:rsid w:val="00F60BA2"/>
    <w:rsid w:val="00F60BAD"/>
    <w:rsid w:val="00F60C59"/>
    <w:rsid w:val="00F60E06"/>
    <w:rsid w:val="00F60F8D"/>
    <w:rsid w:val="00F61CEA"/>
    <w:rsid w:val="00F62D22"/>
    <w:rsid w:val="00F62F0B"/>
    <w:rsid w:val="00F63462"/>
    <w:rsid w:val="00F6348F"/>
    <w:rsid w:val="00F634F6"/>
    <w:rsid w:val="00F63534"/>
    <w:rsid w:val="00F63796"/>
    <w:rsid w:val="00F63BC4"/>
    <w:rsid w:val="00F63F2C"/>
    <w:rsid w:val="00F641A2"/>
    <w:rsid w:val="00F64256"/>
    <w:rsid w:val="00F6438C"/>
    <w:rsid w:val="00F6469B"/>
    <w:rsid w:val="00F64AF6"/>
    <w:rsid w:val="00F64C6B"/>
    <w:rsid w:val="00F64DC6"/>
    <w:rsid w:val="00F6558A"/>
    <w:rsid w:val="00F658A9"/>
    <w:rsid w:val="00F658D7"/>
    <w:rsid w:val="00F65C27"/>
    <w:rsid w:val="00F66068"/>
    <w:rsid w:val="00F6620F"/>
    <w:rsid w:val="00F668A8"/>
    <w:rsid w:val="00F66A6C"/>
    <w:rsid w:val="00F66A82"/>
    <w:rsid w:val="00F66ACB"/>
    <w:rsid w:val="00F66BEB"/>
    <w:rsid w:val="00F679AD"/>
    <w:rsid w:val="00F67BD3"/>
    <w:rsid w:val="00F67C2C"/>
    <w:rsid w:val="00F67E9E"/>
    <w:rsid w:val="00F7016C"/>
    <w:rsid w:val="00F7034F"/>
    <w:rsid w:val="00F70655"/>
    <w:rsid w:val="00F70C38"/>
    <w:rsid w:val="00F712E4"/>
    <w:rsid w:val="00F71707"/>
    <w:rsid w:val="00F71C98"/>
    <w:rsid w:val="00F7217F"/>
    <w:rsid w:val="00F72364"/>
    <w:rsid w:val="00F72B12"/>
    <w:rsid w:val="00F72B14"/>
    <w:rsid w:val="00F738C1"/>
    <w:rsid w:val="00F73D29"/>
    <w:rsid w:val="00F73E23"/>
    <w:rsid w:val="00F73F87"/>
    <w:rsid w:val="00F7459F"/>
    <w:rsid w:val="00F74A0D"/>
    <w:rsid w:val="00F7586E"/>
    <w:rsid w:val="00F75AF3"/>
    <w:rsid w:val="00F76A2D"/>
    <w:rsid w:val="00F76F64"/>
    <w:rsid w:val="00F772BD"/>
    <w:rsid w:val="00F7733B"/>
    <w:rsid w:val="00F77455"/>
    <w:rsid w:val="00F7780F"/>
    <w:rsid w:val="00F77A0A"/>
    <w:rsid w:val="00F77B4D"/>
    <w:rsid w:val="00F77EA5"/>
    <w:rsid w:val="00F8001A"/>
    <w:rsid w:val="00F80C79"/>
    <w:rsid w:val="00F80F55"/>
    <w:rsid w:val="00F81117"/>
    <w:rsid w:val="00F81B48"/>
    <w:rsid w:val="00F81EDD"/>
    <w:rsid w:val="00F81F26"/>
    <w:rsid w:val="00F82251"/>
    <w:rsid w:val="00F82809"/>
    <w:rsid w:val="00F8291F"/>
    <w:rsid w:val="00F82972"/>
    <w:rsid w:val="00F82AE4"/>
    <w:rsid w:val="00F82D15"/>
    <w:rsid w:val="00F82F5B"/>
    <w:rsid w:val="00F8322E"/>
    <w:rsid w:val="00F83B55"/>
    <w:rsid w:val="00F83CC6"/>
    <w:rsid w:val="00F83FC1"/>
    <w:rsid w:val="00F841FC"/>
    <w:rsid w:val="00F8433A"/>
    <w:rsid w:val="00F84EA8"/>
    <w:rsid w:val="00F85164"/>
    <w:rsid w:val="00F8556F"/>
    <w:rsid w:val="00F855F4"/>
    <w:rsid w:val="00F8589F"/>
    <w:rsid w:val="00F85AA8"/>
    <w:rsid w:val="00F86697"/>
    <w:rsid w:val="00F8679C"/>
    <w:rsid w:val="00F86A68"/>
    <w:rsid w:val="00F86AF4"/>
    <w:rsid w:val="00F86D49"/>
    <w:rsid w:val="00F86EFA"/>
    <w:rsid w:val="00F87331"/>
    <w:rsid w:val="00F87B07"/>
    <w:rsid w:val="00F9065C"/>
    <w:rsid w:val="00F90AAE"/>
    <w:rsid w:val="00F90BED"/>
    <w:rsid w:val="00F91560"/>
    <w:rsid w:val="00F917A9"/>
    <w:rsid w:val="00F91C60"/>
    <w:rsid w:val="00F91CA0"/>
    <w:rsid w:val="00F91CE6"/>
    <w:rsid w:val="00F921EC"/>
    <w:rsid w:val="00F928D3"/>
    <w:rsid w:val="00F92DC3"/>
    <w:rsid w:val="00F93307"/>
    <w:rsid w:val="00F9405D"/>
    <w:rsid w:val="00F94086"/>
    <w:rsid w:val="00F94880"/>
    <w:rsid w:val="00F948B6"/>
    <w:rsid w:val="00F94C83"/>
    <w:rsid w:val="00F94CB7"/>
    <w:rsid w:val="00F95EF0"/>
    <w:rsid w:val="00F95FC6"/>
    <w:rsid w:val="00F9601E"/>
    <w:rsid w:val="00F96645"/>
    <w:rsid w:val="00F96E43"/>
    <w:rsid w:val="00F96FD9"/>
    <w:rsid w:val="00F972DD"/>
    <w:rsid w:val="00F973F1"/>
    <w:rsid w:val="00F97607"/>
    <w:rsid w:val="00F97641"/>
    <w:rsid w:val="00F976E6"/>
    <w:rsid w:val="00F97A6B"/>
    <w:rsid w:val="00F97A9F"/>
    <w:rsid w:val="00F97EB3"/>
    <w:rsid w:val="00FA05A7"/>
    <w:rsid w:val="00FA0667"/>
    <w:rsid w:val="00FA089D"/>
    <w:rsid w:val="00FA0A26"/>
    <w:rsid w:val="00FA0B2C"/>
    <w:rsid w:val="00FA0BEA"/>
    <w:rsid w:val="00FA17B8"/>
    <w:rsid w:val="00FA19E6"/>
    <w:rsid w:val="00FA1DED"/>
    <w:rsid w:val="00FA1F0A"/>
    <w:rsid w:val="00FA1F24"/>
    <w:rsid w:val="00FA234A"/>
    <w:rsid w:val="00FA269A"/>
    <w:rsid w:val="00FA2A2B"/>
    <w:rsid w:val="00FA2CC1"/>
    <w:rsid w:val="00FA3059"/>
    <w:rsid w:val="00FA33D2"/>
    <w:rsid w:val="00FA38DE"/>
    <w:rsid w:val="00FA3CDB"/>
    <w:rsid w:val="00FA409D"/>
    <w:rsid w:val="00FA41A2"/>
    <w:rsid w:val="00FA4468"/>
    <w:rsid w:val="00FA44F9"/>
    <w:rsid w:val="00FA48BF"/>
    <w:rsid w:val="00FA4A74"/>
    <w:rsid w:val="00FA4D16"/>
    <w:rsid w:val="00FA4EB2"/>
    <w:rsid w:val="00FA5964"/>
    <w:rsid w:val="00FA5A05"/>
    <w:rsid w:val="00FA5EF3"/>
    <w:rsid w:val="00FA657E"/>
    <w:rsid w:val="00FA6C81"/>
    <w:rsid w:val="00FA6E9C"/>
    <w:rsid w:val="00FA722D"/>
    <w:rsid w:val="00FA7793"/>
    <w:rsid w:val="00FB016C"/>
    <w:rsid w:val="00FB063A"/>
    <w:rsid w:val="00FB0C91"/>
    <w:rsid w:val="00FB13C0"/>
    <w:rsid w:val="00FB142D"/>
    <w:rsid w:val="00FB148D"/>
    <w:rsid w:val="00FB1849"/>
    <w:rsid w:val="00FB21A5"/>
    <w:rsid w:val="00FB22AE"/>
    <w:rsid w:val="00FB253C"/>
    <w:rsid w:val="00FB3085"/>
    <w:rsid w:val="00FB34E5"/>
    <w:rsid w:val="00FB378C"/>
    <w:rsid w:val="00FB37DE"/>
    <w:rsid w:val="00FB3874"/>
    <w:rsid w:val="00FB38DE"/>
    <w:rsid w:val="00FB3986"/>
    <w:rsid w:val="00FB398E"/>
    <w:rsid w:val="00FB3AA0"/>
    <w:rsid w:val="00FB3B79"/>
    <w:rsid w:val="00FB40A6"/>
    <w:rsid w:val="00FB4639"/>
    <w:rsid w:val="00FB4E93"/>
    <w:rsid w:val="00FB5029"/>
    <w:rsid w:val="00FB5132"/>
    <w:rsid w:val="00FB5D44"/>
    <w:rsid w:val="00FB6579"/>
    <w:rsid w:val="00FB6A3C"/>
    <w:rsid w:val="00FB740A"/>
    <w:rsid w:val="00FB7653"/>
    <w:rsid w:val="00FB7B18"/>
    <w:rsid w:val="00FB7B42"/>
    <w:rsid w:val="00FB7FEC"/>
    <w:rsid w:val="00FC04E4"/>
    <w:rsid w:val="00FC0A32"/>
    <w:rsid w:val="00FC115E"/>
    <w:rsid w:val="00FC20BA"/>
    <w:rsid w:val="00FC2324"/>
    <w:rsid w:val="00FC2863"/>
    <w:rsid w:val="00FC28AF"/>
    <w:rsid w:val="00FC2D8B"/>
    <w:rsid w:val="00FC41AE"/>
    <w:rsid w:val="00FC41B5"/>
    <w:rsid w:val="00FC42AF"/>
    <w:rsid w:val="00FC4609"/>
    <w:rsid w:val="00FC465D"/>
    <w:rsid w:val="00FC4A32"/>
    <w:rsid w:val="00FC4D77"/>
    <w:rsid w:val="00FC4DBA"/>
    <w:rsid w:val="00FC5212"/>
    <w:rsid w:val="00FC5350"/>
    <w:rsid w:val="00FC5757"/>
    <w:rsid w:val="00FC5798"/>
    <w:rsid w:val="00FC5A47"/>
    <w:rsid w:val="00FC5D77"/>
    <w:rsid w:val="00FC601C"/>
    <w:rsid w:val="00FC63A1"/>
    <w:rsid w:val="00FC68A3"/>
    <w:rsid w:val="00FC6AFC"/>
    <w:rsid w:val="00FC6BD7"/>
    <w:rsid w:val="00FC6BED"/>
    <w:rsid w:val="00FC7234"/>
    <w:rsid w:val="00FC7AAB"/>
    <w:rsid w:val="00FC7BFD"/>
    <w:rsid w:val="00FC7DFA"/>
    <w:rsid w:val="00FD02BD"/>
    <w:rsid w:val="00FD02D4"/>
    <w:rsid w:val="00FD0C2F"/>
    <w:rsid w:val="00FD0D77"/>
    <w:rsid w:val="00FD152E"/>
    <w:rsid w:val="00FD1948"/>
    <w:rsid w:val="00FD20EA"/>
    <w:rsid w:val="00FD2413"/>
    <w:rsid w:val="00FD2967"/>
    <w:rsid w:val="00FD2DC6"/>
    <w:rsid w:val="00FD2E7B"/>
    <w:rsid w:val="00FD3095"/>
    <w:rsid w:val="00FD3306"/>
    <w:rsid w:val="00FD36B1"/>
    <w:rsid w:val="00FD38C0"/>
    <w:rsid w:val="00FD3A51"/>
    <w:rsid w:val="00FD4951"/>
    <w:rsid w:val="00FD52BC"/>
    <w:rsid w:val="00FD5BB1"/>
    <w:rsid w:val="00FD64CF"/>
    <w:rsid w:val="00FD69F7"/>
    <w:rsid w:val="00FD6BF5"/>
    <w:rsid w:val="00FD6D41"/>
    <w:rsid w:val="00FD6DE3"/>
    <w:rsid w:val="00FD708D"/>
    <w:rsid w:val="00FD724C"/>
    <w:rsid w:val="00FD7B63"/>
    <w:rsid w:val="00FD7C47"/>
    <w:rsid w:val="00FE01F5"/>
    <w:rsid w:val="00FE0530"/>
    <w:rsid w:val="00FE08AB"/>
    <w:rsid w:val="00FE0A61"/>
    <w:rsid w:val="00FE0A9D"/>
    <w:rsid w:val="00FE1170"/>
    <w:rsid w:val="00FE1BE1"/>
    <w:rsid w:val="00FE20AB"/>
    <w:rsid w:val="00FE2E0E"/>
    <w:rsid w:val="00FE2FBE"/>
    <w:rsid w:val="00FE34A2"/>
    <w:rsid w:val="00FE35E5"/>
    <w:rsid w:val="00FE39E8"/>
    <w:rsid w:val="00FE3D19"/>
    <w:rsid w:val="00FE3E2C"/>
    <w:rsid w:val="00FE402E"/>
    <w:rsid w:val="00FE4318"/>
    <w:rsid w:val="00FE461A"/>
    <w:rsid w:val="00FE472A"/>
    <w:rsid w:val="00FE4823"/>
    <w:rsid w:val="00FE4F52"/>
    <w:rsid w:val="00FE5048"/>
    <w:rsid w:val="00FE5438"/>
    <w:rsid w:val="00FE5674"/>
    <w:rsid w:val="00FE59FD"/>
    <w:rsid w:val="00FE5B51"/>
    <w:rsid w:val="00FE615A"/>
    <w:rsid w:val="00FE6228"/>
    <w:rsid w:val="00FE6507"/>
    <w:rsid w:val="00FE6568"/>
    <w:rsid w:val="00FE65D2"/>
    <w:rsid w:val="00FE6672"/>
    <w:rsid w:val="00FE7065"/>
    <w:rsid w:val="00FE70AC"/>
    <w:rsid w:val="00FE75E1"/>
    <w:rsid w:val="00FE7736"/>
    <w:rsid w:val="00FE7800"/>
    <w:rsid w:val="00FE7B3B"/>
    <w:rsid w:val="00FE7E92"/>
    <w:rsid w:val="00FE7F02"/>
    <w:rsid w:val="00FE7F65"/>
    <w:rsid w:val="00FE7F98"/>
    <w:rsid w:val="00FF04B4"/>
    <w:rsid w:val="00FF04F0"/>
    <w:rsid w:val="00FF0791"/>
    <w:rsid w:val="00FF08E3"/>
    <w:rsid w:val="00FF11CB"/>
    <w:rsid w:val="00FF1F8A"/>
    <w:rsid w:val="00FF2165"/>
    <w:rsid w:val="00FF235D"/>
    <w:rsid w:val="00FF2E7F"/>
    <w:rsid w:val="00FF306D"/>
    <w:rsid w:val="00FF3209"/>
    <w:rsid w:val="00FF33B8"/>
    <w:rsid w:val="00FF3404"/>
    <w:rsid w:val="00FF36B7"/>
    <w:rsid w:val="00FF3925"/>
    <w:rsid w:val="00FF3ADC"/>
    <w:rsid w:val="00FF3DFD"/>
    <w:rsid w:val="00FF3F5F"/>
    <w:rsid w:val="00FF4131"/>
    <w:rsid w:val="00FF46DA"/>
    <w:rsid w:val="00FF4D9C"/>
    <w:rsid w:val="00FF52D9"/>
    <w:rsid w:val="00FF54AE"/>
    <w:rsid w:val="00FF5533"/>
    <w:rsid w:val="00FF56E8"/>
    <w:rsid w:val="00FF5705"/>
    <w:rsid w:val="00FF58BB"/>
    <w:rsid w:val="00FF65BD"/>
    <w:rsid w:val="00FF6A4D"/>
    <w:rsid w:val="00FF6A87"/>
    <w:rsid w:val="00FF6B3E"/>
    <w:rsid w:val="00FF6BE4"/>
    <w:rsid w:val="00FF6BEB"/>
    <w:rsid w:val="00FF6FC8"/>
    <w:rsid w:val="00FF7707"/>
    <w:rsid w:val="00FF7A3B"/>
    <w:rsid w:val="00FF7EB9"/>
    <w:rsid w:val="00FF7FDA"/>
    <w:rsid w:val="1A2CA9A3"/>
    <w:rsid w:val="220B9C5C"/>
    <w:rsid w:val="40EDF02D"/>
    <w:rsid w:val="67EC9975"/>
    <w:rsid w:val="71B2BB82"/>
    <w:rsid w:val="73DAB001"/>
    <w:rsid w:val="7A7E833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E57EC"/>
  <w15:chartTrackingRefBased/>
  <w15:docId w15:val="{D6ACAE0D-1622-44C7-9812-5D708812F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D19B5"/>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3261DE"/>
    <w:pPr>
      <w:keepNext/>
      <w:keepLines/>
      <w:spacing w:before="240"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177E6"/>
    <w:pPr>
      <w:numPr>
        <w:numId w:val="38"/>
      </w:numPr>
      <w:contextualSpacing/>
    </w:pPr>
  </w:style>
  <w:style w:type="paragraph" w:styleId="ListBullet2">
    <w:name w:val="List Bullet 2"/>
    <w:basedOn w:val="Normal"/>
    <w:uiPriority w:val="1"/>
    <w:qFormat/>
    <w:rsid w:val="0082509C"/>
    <w:pPr>
      <w:numPr>
        <w:ilvl w:val="1"/>
        <w:numId w:val="38"/>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2509C"/>
    <w:pPr>
      <w:numPr>
        <w:ilvl w:val="2"/>
        <w:numId w:val="38"/>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3261DE"/>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8D19B5"/>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semiHidden/>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177E6"/>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120DB2"/>
    <w:pPr>
      <w:spacing w:before="46" w:after="46"/>
      <w:ind w:left="170" w:hanging="113"/>
    </w:pPr>
    <w:rPr>
      <w:sz w:val="18"/>
    </w:rPr>
  </w:style>
  <w:style w:type="character" w:styleId="HTMLCite">
    <w:name w:val="HTML Cite"/>
    <w:basedOn w:val="DefaultParagraphFont"/>
    <w:uiPriority w:val="99"/>
    <w:semiHidden/>
    <w:unhideWhenUsed/>
    <w:rsid w:val="00905136"/>
    <w:rPr>
      <w:i/>
      <w:iCs/>
    </w:rPr>
  </w:style>
  <w:style w:type="character" w:styleId="FollowedHyperlink">
    <w:name w:val="FollowedHyperlink"/>
    <w:basedOn w:val="DefaultParagraphFont"/>
    <w:uiPriority w:val="99"/>
    <w:semiHidden/>
    <w:unhideWhenUsed/>
    <w:rsid w:val="00F00355"/>
    <w:rPr>
      <w:color w:val="BFBFBF" w:themeColor="followedHyperlink"/>
      <w:u w:val="single"/>
    </w:rPr>
  </w:style>
  <w:style w:type="paragraph" w:customStyle="1" w:styleId="pf0">
    <w:name w:val="pf0"/>
    <w:basedOn w:val="Normal"/>
    <w:rsid w:val="00EE57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EE577B"/>
    <w:rPr>
      <w:rFonts w:ascii="Segoe UI" w:hAnsi="Segoe UI" w:cs="Segoe UI" w:hint="default"/>
      <w:sz w:val="18"/>
      <w:szCs w:val="18"/>
    </w:rPr>
  </w:style>
  <w:style w:type="character" w:styleId="Mention">
    <w:name w:val="Mention"/>
    <w:basedOn w:val="DefaultParagraphFont"/>
    <w:uiPriority w:val="99"/>
    <w:unhideWhenUsed/>
    <w:rsid w:val="00EE577B"/>
    <w:rPr>
      <w:color w:val="2B579A"/>
      <w:shd w:val="clear" w:color="auto" w:fill="E1DFDD"/>
    </w:rPr>
  </w:style>
  <w:style w:type="character" w:styleId="EndnoteReference">
    <w:name w:val="endnote reference"/>
    <w:basedOn w:val="DefaultParagraphFont"/>
    <w:uiPriority w:val="99"/>
    <w:semiHidden/>
    <w:unhideWhenUsed/>
    <w:rsid w:val="00EE577B"/>
    <w:rPr>
      <w:vertAlign w:val="superscript"/>
    </w:rPr>
  </w:style>
  <w:style w:type="paragraph" w:styleId="Bibliography">
    <w:name w:val="Bibliography"/>
    <w:basedOn w:val="Normal"/>
    <w:next w:val="Normal"/>
    <w:uiPriority w:val="37"/>
    <w:unhideWhenUsed/>
    <w:rsid w:val="00EE577B"/>
    <w:pPr>
      <w:spacing w:after="240" w:line="240" w:lineRule="atLeast"/>
      <w:ind w:left="720" w:hanging="720"/>
    </w:pPr>
  </w:style>
  <w:style w:type="table" w:customStyle="1" w:styleId="TableGrid1">
    <w:name w:val="Table Grid1"/>
    <w:basedOn w:val="TableNormal"/>
    <w:next w:val="TableGrid"/>
    <w:uiPriority w:val="39"/>
    <w:rsid w:val="00EE577B"/>
    <w:pPr>
      <w:spacing w:after="0" w:line="240" w:lineRule="auto"/>
    </w:pPr>
    <w:tblPr/>
  </w:style>
  <w:style w:type="paragraph" w:styleId="NormalWeb">
    <w:name w:val="Normal (Web)"/>
    <w:basedOn w:val="Normal"/>
    <w:uiPriority w:val="99"/>
    <w:unhideWhenUsed/>
    <w:rsid w:val="00A0602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B809D1"/>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B809D1"/>
  </w:style>
  <w:style w:type="character" w:customStyle="1" w:styleId="eop">
    <w:name w:val="eop"/>
    <w:basedOn w:val="DefaultParagraphFont"/>
    <w:rsid w:val="00B809D1"/>
  </w:style>
  <w:style w:type="paragraph" w:customStyle="1" w:styleId="BriefingNotebox">
    <w:name w:val="Briefing Note box"/>
    <w:basedOn w:val="Normal"/>
    <w:qFormat/>
    <w:rsid w:val="00B809D1"/>
    <w:pPr>
      <w:spacing w:after="0" w:line="300" w:lineRule="atLeast"/>
    </w:pPr>
    <w:rPr>
      <w:rFonts w:ascii="Times New Roman" w:eastAsia="Times New Roman" w:hAnsi="Times New Roman" w:cs="Times New Roman"/>
      <w:b/>
      <w:lang w:eastAsia="en-AU"/>
    </w:rPr>
  </w:style>
  <w:style w:type="numbering" w:customStyle="1" w:styleId="Bullets1">
    <w:name w:val="Bullets1"/>
    <w:uiPriority w:val="99"/>
    <w:rsid w:val="00B809D1"/>
  </w:style>
  <w:style w:type="paragraph" w:customStyle="1" w:styleId="Quote1">
    <w:name w:val="Quote1"/>
    <w:basedOn w:val="Normal"/>
    <w:qFormat/>
    <w:rsid w:val="00B809D1"/>
    <w:pPr>
      <w:spacing w:before="60"/>
      <w:ind w:left="113" w:right="851"/>
    </w:pPr>
    <w:rPr>
      <w:rFonts w:ascii="Arial" w:eastAsia="Arial" w:hAnsi="Arial" w:cs="Times New Roman"/>
      <w:color w:val="58585B"/>
    </w:rPr>
  </w:style>
  <w:style w:type="character" w:customStyle="1" w:styleId="apple-converted-space">
    <w:name w:val="apple-converted-space"/>
    <w:basedOn w:val="DefaultParagraphFont"/>
    <w:rsid w:val="00B809D1"/>
  </w:style>
  <w:style w:type="table" w:styleId="PlainTable1">
    <w:name w:val="Plain Table 1"/>
    <w:basedOn w:val="TableNormal"/>
    <w:uiPriority w:val="41"/>
    <w:rsid w:val="00D94B8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4112573">
      <w:bodyDiv w:val="1"/>
      <w:marLeft w:val="0"/>
      <w:marRight w:val="0"/>
      <w:marTop w:val="0"/>
      <w:marBottom w:val="0"/>
      <w:divBdr>
        <w:top w:val="none" w:sz="0" w:space="0" w:color="auto"/>
        <w:left w:val="none" w:sz="0" w:space="0" w:color="auto"/>
        <w:bottom w:val="none" w:sz="0" w:space="0" w:color="auto"/>
        <w:right w:val="none" w:sz="0" w:space="0" w:color="auto"/>
      </w:divBdr>
    </w:div>
    <w:div w:id="883254722">
      <w:bodyDiv w:val="1"/>
      <w:marLeft w:val="0"/>
      <w:marRight w:val="0"/>
      <w:marTop w:val="0"/>
      <w:marBottom w:val="0"/>
      <w:divBdr>
        <w:top w:val="none" w:sz="0" w:space="0" w:color="auto"/>
        <w:left w:val="none" w:sz="0" w:space="0" w:color="auto"/>
        <w:bottom w:val="none" w:sz="0" w:space="0" w:color="auto"/>
        <w:right w:val="none" w:sz="0" w:space="0" w:color="auto"/>
      </w:divBdr>
    </w:div>
    <w:div w:id="1415206094">
      <w:bodyDiv w:val="1"/>
      <w:marLeft w:val="0"/>
      <w:marRight w:val="0"/>
      <w:marTop w:val="0"/>
      <w:marBottom w:val="0"/>
      <w:divBdr>
        <w:top w:val="none" w:sz="0" w:space="0" w:color="auto"/>
        <w:left w:val="none" w:sz="0" w:space="0" w:color="auto"/>
        <w:bottom w:val="none" w:sz="0" w:space="0" w:color="auto"/>
        <w:right w:val="none" w:sz="0" w:space="0" w:color="auto"/>
      </w:divBdr>
    </w:div>
    <w:div w:id="16098505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glossaryDocument" Target="glossary/document.xml"/><Relationship Id="rId21" Type="http://schemas.openxmlformats.org/officeDocument/2006/relationships/image" Target="media/image4.svg"/><Relationship Id="rId42" Type="http://schemas.openxmlformats.org/officeDocument/2006/relationships/header" Target="header12.xml"/><Relationship Id="rId47" Type="http://schemas.openxmlformats.org/officeDocument/2006/relationships/header" Target="header13.xml"/><Relationship Id="rId63" Type="http://schemas.openxmlformats.org/officeDocument/2006/relationships/footer" Target="footer11.xml"/><Relationship Id="rId68" Type="http://schemas.openxmlformats.org/officeDocument/2006/relationships/image" Target="media/image24.emf"/><Relationship Id="rId84" Type="http://schemas.openxmlformats.org/officeDocument/2006/relationships/image" Target="media/image34.emf"/><Relationship Id="rId89" Type="http://schemas.openxmlformats.org/officeDocument/2006/relationships/footer" Target="footer15.xml"/><Relationship Id="rId112" Type="http://schemas.openxmlformats.org/officeDocument/2006/relationships/header" Target="header41.xml"/><Relationship Id="rId16" Type="http://schemas.openxmlformats.org/officeDocument/2006/relationships/footer" Target="footer2.xml"/><Relationship Id="rId107" Type="http://schemas.openxmlformats.org/officeDocument/2006/relationships/header" Target="header38.xml"/><Relationship Id="rId11" Type="http://schemas.openxmlformats.org/officeDocument/2006/relationships/webSettings" Target="webSettings.xml"/><Relationship Id="rId32" Type="http://schemas.openxmlformats.org/officeDocument/2006/relationships/header" Target="header4.xml"/><Relationship Id="rId37" Type="http://schemas.openxmlformats.org/officeDocument/2006/relationships/footer" Target="footer6.xml"/><Relationship Id="rId53" Type="http://schemas.openxmlformats.org/officeDocument/2006/relationships/image" Target="media/image14.png"/><Relationship Id="rId58" Type="http://schemas.openxmlformats.org/officeDocument/2006/relationships/image" Target="media/image19.emf"/><Relationship Id="rId74" Type="http://schemas.openxmlformats.org/officeDocument/2006/relationships/header" Target="header21.xml"/><Relationship Id="rId79" Type="http://schemas.openxmlformats.org/officeDocument/2006/relationships/image" Target="media/image29.emf"/><Relationship Id="rId102" Type="http://schemas.openxmlformats.org/officeDocument/2006/relationships/header" Target="header35.xml"/><Relationship Id="rId5" Type="http://schemas.openxmlformats.org/officeDocument/2006/relationships/customXml" Target="../customXml/item5.xml"/><Relationship Id="rId90" Type="http://schemas.openxmlformats.org/officeDocument/2006/relationships/header" Target="header26.xml"/><Relationship Id="rId95" Type="http://schemas.openxmlformats.org/officeDocument/2006/relationships/hyperlink" Target="https://www.pc.gov.au/inquiries-and-research/quality-care/" TargetMode="External"/><Relationship Id="rId22" Type="http://schemas.openxmlformats.org/officeDocument/2006/relationships/image" Target="media/image5.png"/><Relationship Id="rId27" Type="http://schemas.openxmlformats.org/officeDocument/2006/relationships/header" Target="header1.xml"/><Relationship Id="rId43" Type="http://schemas.openxmlformats.org/officeDocument/2006/relationships/image" Target="media/image10.png"/><Relationship Id="rId48" Type="http://schemas.openxmlformats.org/officeDocument/2006/relationships/header" Target="header14.xml"/><Relationship Id="rId64" Type="http://schemas.openxmlformats.org/officeDocument/2006/relationships/header" Target="header19.xml"/><Relationship Id="rId69" Type="http://schemas.openxmlformats.org/officeDocument/2006/relationships/image" Target="media/image25.emf"/><Relationship Id="rId113" Type="http://schemas.openxmlformats.org/officeDocument/2006/relationships/footer" Target="footer20.xml"/><Relationship Id="rId118" Type="http://schemas.openxmlformats.org/officeDocument/2006/relationships/theme" Target="theme/theme1.xml"/><Relationship Id="rId80" Type="http://schemas.openxmlformats.org/officeDocument/2006/relationships/image" Target="media/image30.emf"/><Relationship Id="rId85" Type="http://schemas.openxmlformats.org/officeDocument/2006/relationships/image" Target="media/image35.emf"/><Relationship Id="rId12" Type="http://schemas.openxmlformats.org/officeDocument/2006/relationships/footnotes" Target="footnotes.xml"/><Relationship Id="rId17" Type="http://schemas.openxmlformats.org/officeDocument/2006/relationships/footer" Target="footer3.xml"/><Relationship Id="rId33" Type="http://schemas.openxmlformats.org/officeDocument/2006/relationships/header" Target="header5.xml"/><Relationship Id="rId38" Type="http://schemas.openxmlformats.org/officeDocument/2006/relationships/footer" Target="footer7.xml"/><Relationship Id="rId59" Type="http://schemas.openxmlformats.org/officeDocument/2006/relationships/image" Target="media/image20.emf"/><Relationship Id="rId103" Type="http://schemas.openxmlformats.org/officeDocument/2006/relationships/header" Target="header36.xml"/><Relationship Id="rId108" Type="http://schemas.openxmlformats.org/officeDocument/2006/relationships/header" Target="header39.xml"/><Relationship Id="rId54" Type="http://schemas.openxmlformats.org/officeDocument/2006/relationships/image" Target="media/image15.svg"/><Relationship Id="rId70" Type="http://schemas.openxmlformats.org/officeDocument/2006/relationships/image" Target="media/image26.emf"/><Relationship Id="rId75" Type="http://schemas.openxmlformats.org/officeDocument/2006/relationships/footer" Target="footer12.xml"/><Relationship Id="rId91" Type="http://schemas.openxmlformats.org/officeDocument/2006/relationships/header" Target="header27.xml"/><Relationship Id="rId96"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svg"/><Relationship Id="rId28" Type="http://schemas.openxmlformats.org/officeDocument/2006/relationships/header" Target="header2.xml"/><Relationship Id="rId49" Type="http://schemas.openxmlformats.org/officeDocument/2006/relationships/footer" Target="footer8.xml"/><Relationship Id="rId114" Type="http://schemas.openxmlformats.org/officeDocument/2006/relationships/hyperlink" Target="https://www.abs.gov.au/statistics/people/population/national-state-and-territory-population/latest-release" TargetMode="External"/><Relationship Id="rId10" Type="http://schemas.openxmlformats.org/officeDocument/2006/relationships/settings" Target="settings.xml"/><Relationship Id="rId31" Type="http://schemas.openxmlformats.org/officeDocument/2006/relationships/header" Target="header3.xml"/><Relationship Id="rId44" Type="http://schemas.openxmlformats.org/officeDocument/2006/relationships/image" Target="media/image11.svg"/><Relationship Id="rId52" Type="http://schemas.openxmlformats.org/officeDocument/2006/relationships/header" Target="header16.xml"/><Relationship Id="rId60" Type="http://schemas.openxmlformats.org/officeDocument/2006/relationships/header" Target="header17.xml"/><Relationship Id="rId65" Type="http://schemas.openxmlformats.org/officeDocument/2006/relationships/image" Target="media/image21.emf"/><Relationship Id="rId73" Type="http://schemas.openxmlformats.org/officeDocument/2006/relationships/header" Target="header20.xml"/><Relationship Id="rId78" Type="http://schemas.openxmlformats.org/officeDocument/2006/relationships/header" Target="header23.xml"/><Relationship Id="rId81" Type="http://schemas.openxmlformats.org/officeDocument/2006/relationships/image" Target="media/image31.emf"/><Relationship Id="rId86" Type="http://schemas.openxmlformats.org/officeDocument/2006/relationships/header" Target="header24.xml"/><Relationship Id="rId94" Type="http://schemas.openxmlformats.org/officeDocument/2006/relationships/header" Target="header30.xml"/><Relationship Id="rId99" Type="http://schemas.openxmlformats.org/officeDocument/2006/relationships/image" Target="media/image37.emf"/><Relationship Id="rId101" Type="http://schemas.openxmlformats.org/officeDocument/2006/relationships/header" Target="header34.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header" Target="header9.xml"/><Relationship Id="rId109" Type="http://schemas.openxmlformats.org/officeDocument/2006/relationships/header" Target="header40.xml"/><Relationship Id="rId34" Type="http://schemas.openxmlformats.org/officeDocument/2006/relationships/header" Target="header6.xml"/><Relationship Id="rId50" Type="http://schemas.openxmlformats.org/officeDocument/2006/relationships/footer" Target="footer9.xml"/><Relationship Id="rId55" Type="http://schemas.openxmlformats.org/officeDocument/2006/relationships/image" Target="media/image16.emf"/><Relationship Id="rId76" Type="http://schemas.openxmlformats.org/officeDocument/2006/relationships/footer" Target="footer13.xml"/><Relationship Id="rId97" Type="http://schemas.openxmlformats.org/officeDocument/2006/relationships/header" Target="header32.xml"/><Relationship Id="rId104" Type="http://schemas.openxmlformats.org/officeDocument/2006/relationships/header" Target="header37.xml"/><Relationship Id="rId7" Type="http://schemas.openxmlformats.org/officeDocument/2006/relationships/customXml" Target="../customXml/item7.xml"/><Relationship Id="rId71" Type="http://schemas.openxmlformats.org/officeDocument/2006/relationships/image" Target="media/image27.emf"/><Relationship Id="rId92" Type="http://schemas.openxmlformats.org/officeDocument/2006/relationships/header" Target="header28.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yperlink" Target="https://www.pc.gov.au" TargetMode="External"/><Relationship Id="rId40" Type="http://schemas.openxmlformats.org/officeDocument/2006/relationships/header" Target="header10.xml"/><Relationship Id="rId45" Type="http://schemas.openxmlformats.org/officeDocument/2006/relationships/image" Target="media/image12.emf"/><Relationship Id="rId66" Type="http://schemas.openxmlformats.org/officeDocument/2006/relationships/image" Target="media/image22.emf"/><Relationship Id="rId87" Type="http://schemas.openxmlformats.org/officeDocument/2006/relationships/header" Target="header25.xml"/><Relationship Id="rId110" Type="http://schemas.openxmlformats.org/officeDocument/2006/relationships/footer" Target="footer18.xml"/><Relationship Id="rId115" Type="http://schemas.openxmlformats.org/officeDocument/2006/relationships/hyperlink" Target="https://www.abs.gov.au/statistics/labour/employment-and-unemployment/labour-force-australia-detailed/latest-release" TargetMode="External"/><Relationship Id="rId61" Type="http://schemas.openxmlformats.org/officeDocument/2006/relationships/header" Target="header18.xml"/><Relationship Id="rId82" Type="http://schemas.openxmlformats.org/officeDocument/2006/relationships/image" Target="media/image32.emf"/><Relationship Id="rId19" Type="http://schemas.openxmlformats.org/officeDocument/2006/relationships/hyperlink" Target="https://www.pc.gov.au" TargetMode="External"/><Relationship Id="rId14" Type="http://schemas.openxmlformats.org/officeDocument/2006/relationships/image" Target="media/image1.png"/><Relationship Id="rId30" Type="http://schemas.openxmlformats.org/officeDocument/2006/relationships/footer" Target="footer5.xml"/><Relationship Id="rId35" Type="http://schemas.openxmlformats.org/officeDocument/2006/relationships/header" Target="header7.xml"/><Relationship Id="rId56" Type="http://schemas.openxmlformats.org/officeDocument/2006/relationships/image" Target="media/image17.emf"/><Relationship Id="rId77" Type="http://schemas.openxmlformats.org/officeDocument/2006/relationships/header" Target="header22.xml"/><Relationship Id="rId100" Type="http://schemas.openxmlformats.org/officeDocument/2006/relationships/image" Target="media/image38.emf"/><Relationship Id="rId105" Type="http://schemas.openxmlformats.org/officeDocument/2006/relationships/footer" Target="footer16.xml"/><Relationship Id="rId8" Type="http://schemas.openxmlformats.org/officeDocument/2006/relationships/numbering" Target="numbering.xml"/><Relationship Id="rId51" Type="http://schemas.openxmlformats.org/officeDocument/2006/relationships/header" Target="header15.xml"/><Relationship Id="rId72" Type="http://schemas.openxmlformats.org/officeDocument/2006/relationships/image" Target="media/image28.emf"/><Relationship Id="rId93" Type="http://schemas.openxmlformats.org/officeDocument/2006/relationships/header" Target="header29.xml"/><Relationship Id="rId98" Type="http://schemas.openxmlformats.org/officeDocument/2006/relationships/header" Target="header33.xm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13.emf"/><Relationship Id="rId67" Type="http://schemas.openxmlformats.org/officeDocument/2006/relationships/image" Target="media/image23.emf"/><Relationship Id="rId11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eader" Target="header11.xml"/><Relationship Id="rId62" Type="http://schemas.openxmlformats.org/officeDocument/2006/relationships/footer" Target="footer10.xml"/><Relationship Id="rId83" Type="http://schemas.openxmlformats.org/officeDocument/2006/relationships/image" Target="media/image33.emf"/><Relationship Id="rId88" Type="http://schemas.openxmlformats.org/officeDocument/2006/relationships/footer" Target="footer14.xml"/><Relationship Id="rId111" Type="http://schemas.openxmlformats.org/officeDocument/2006/relationships/footer" Target="footer19.xml"/><Relationship Id="rId15" Type="http://schemas.openxmlformats.org/officeDocument/2006/relationships/footer" Target="footer1.xml"/><Relationship Id="rId36" Type="http://schemas.openxmlformats.org/officeDocument/2006/relationships/header" Target="header8.xml"/><Relationship Id="rId57" Type="http://schemas.openxmlformats.org/officeDocument/2006/relationships/image" Target="media/image18.emf"/><Relationship Id="rId106" Type="http://schemas.openxmlformats.org/officeDocument/2006/relationships/footer" Target="footer17.xml"/></Relationships>
</file>

<file path=word/_rels/footnotes.xml.rels><?xml version="1.0" encoding="UTF-8" standalone="yes"?>
<Relationships xmlns="http://schemas.openxmlformats.org/package/2006/relationships"><Relationship Id="rId1" Type="http://schemas.openxmlformats.org/officeDocument/2006/relationships/hyperlink" Target="https://pcgov.sharepoint.com/teams/Care/Shared%20Documents/Reports/Final%20report/Drafts/1ff04ed2-f6cd-4302-9bdd-de48500403d3"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9.png"/></Relationships>
</file>

<file path=word/_rels/header16.xml.rels><?xml version="1.0" encoding="UTF-8" standalone="yes"?>
<Relationships xmlns="http://schemas.openxmlformats.org/package/2006/relationships"><Relationship Id="rId1" Type="http://schemas.openxmlformats.org/officeDocument/2006/relationships/image" Target="media/image9.png"/></Relationships>
</file>

<file path=word/_rels/header23.xml.rels><?xml version="1.0" encoding="UTF-8" standalone="yes"?>
<Relationships xmlns="http://schemas.openxmlformats.org/package/2006/relationships"><Relationship Id="rId1" Type="http://schemas.openxmlformats.org/officeDocument/2006/relationships/image" Target="media/image9.png"/></Relationships>
</file>

<file path=word/_rels/header27.xml.rels><?xml version="1.0" encoding="UTF-8" standalone="yes"?>
<Relationships xmlns="http://schemas.openxmlformats.org/package/2006/relationships"><Relationship Id="rId1" Type="http://schemas.openxmlformats.org/officeDocument/2006/relationships/image" Target="media/image9.png"/></Relationships>
</file>

<file path=word/_rels/header28.xml.rels><?xml version="1.0" encoding="UTF-8" standalone="yes"?>
<Relationships xmlns="http://schemas.openxmlformats.org/package/2006/relationships"><Relationship Id="rId1" Type="http://schemas.openxmlformats.org/officeDocument/2006/relationships/image" Target="media/image36.png"/></Relationships>
</file>

<file path=word/_rels/header29.xml.rels><?xml version="1.0" encoding="UTF-8" standalone="yes"?>
<Relationships xmlns="http://schemas.openxmlformats.org/package/2006/relationships"><Relationship Id="rId1" Type="http://schemas.openxmlformats.org/officeDocument/2006/relationships/image" Target="media/image36.png"/></Relationships>
</file>

<file path=word/_rels/header30.xml.rels><?xml version="1.0" encoding="UTF-8" standalone="yes"?>
<Relationships xmlns="http://schemas.openxmlformats.org/package/2006/relationships"><Relationship Id="rId1" Type="http://schemas.openxmlformats.org/officeDocument/2006/relationships/image" Target="media/image9.png"/></Relationships>
</file>

<file path=word/_rels/header3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7BCB2FD39EC4AD898A9FE33105F12D1"/>
        <w:category>
          <w:name w:val="General"/>
          <w:gallery w:val="placeholder"/>
        </w:category>
        <w:types>
          <w:type w:val="bbPlcHdr"/>
        </w:types>
        <w:behaviors>
          <w:behavior w:val="content"/>
        </w:behaviors>
        <w:guid w:val="{0F9AC884-C507-48DB-AF3E-0AB6F299AD4E}"/>
      </w:docPartPr>
      <w:docPartBody>
        <w:p w:rsidR="0072218C" w:rsidRDefault="003C1087" w:rsidP="003C1087">
          <w:pPr>
            <w:pStyle w:val="07BCB2FD39EC4AD898A9FE33105F12D1"/>
          </w:pPr>
          <w:r w:rsidRPr="000F4488">
            <w:rPr>
              <w:rStyle w:val="Strong"/>
              <w:sz w:val="18"/>
              <w:szCs w:val="18"/>
              <w:highlight w:val="lightGray"/>
            </w:rPr>
            <w:t>[Name]</w:t>
          </w:r>
        </w:p>
      </w:docPartBody>
    </w:docPart>
    <w:docPart>
      <w:docPartPr>
        <w:name w:val="5925711EEECE4B559CEE1A8511ECFB34"/>
        <w:category>
          <w:name w:val="General"/>
          <w:gallery w:val="placeholder"/>
        </w:category>
        <w:types>
          <w:type w:val="bbPlcHdr"/>
        </w:types>
        <w:behaviors>
          <w:behavior w:val="content"/>
        </w:behaviors>
        <w:guid w:val="{4EC54AE6-7A1E-4643-9EC0-35C31CB97069}"/>
      </w:docPartPr>
      <w:docPartBody>
        <w:p w:rsidR="0072218C" w:rsidRDefault="003C1087" w:rsidP="003C1087">
          <w:pPr>
            <w:pStyle w:val="5925711EEECE4B559CEE1A8511ECFB34"/>
          </w:pPr>
          <w:r w:rsidRPr="000F4488">
            <w:rPr>
              <w:rStyle w:val="Strong"/>
              <w:sz w:val="18"/>
              <w:szCs w:val="18"/>
              <w:highlight w:val="lightGray"/>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E55"/>
    <w:rsid w:val="00033070"/>
    <w:rsid w:val="00071E55"/>
    <w:rsid w:val="000A56F8"/>
    <w:rsid w:val="000C39C6"/>
    <w:rsid w:val="000D594E"/>
    <w:rsid w:val="000D7DF7"/>
    <w:rsid w:val="001462B4"/>
    <w:rsid w:val="001510E4"/>
    <w:rsid w:val="001E7A49"/>
    <w:rsid w:val="001F0CB2"/>
    <w:rsid w:val="00217AAC"/>
    <w:rsid w:val="002278AA"/>
    <w:rsid w:val="00262075"/>
    <w:rsid w:val="0028312D"/>
    <w:rsid w:val="002958E4"/>
    <w:rsid w:val="002C1971"/>
    <w:rsid w:val="002E1BF2"/>
    <w:rsid w:val="00312B66"/>
    <w:rsid w:val="00346B0B"/>
    <w:rsid w:val="0036033C"/>
    <w:rsid w:val="00366590"/>
    <w:rsid w:val="003855C0"/>
    <w:rsid w:val="003C1087"/>
    <w:rsid w:val="003C59C3"/>
    <w:rsid w:val="003E5FDA"/>
    <w:rsid w:val="003F155E"/>
    <w:rsid w:val="003F399E"/>
    <w:rsid w:val="004310EC"/>
    <w:rsid w:val="004361F6"/>
    <w:rsid w:val="00440D4E"/>
    <w:rsid w:val="00442250"/>
    <w:rsid w:val="0046576E"/>
    <w:rsid w:val="00476E9B"/>
    <w:rsid w:val="004977C7"/>
    <w:rsid w:val="004A59F7"/>
    <w:rsid w:val="004A709D"/>
    <w:rsid w:val="00512910"/>
    <w:rsid w:val="005215A6"/>
    <w:rsid w:val="0053691C"/>
    <w:rsid w:val="00561E64"/>
    <w:rsid w:val="00595B1F"/>
    <w:rsid w:val="005961A7"/>
    <w:rsid w:val="005A3EAE"/>
    <w:rsid w:val="005B5A0D"/>
    <w:rsid w:val="005B62BF"/>
    <w:rsid w:val="005D7010"/>
    <w:rsid w:val="0063459F"/>
    <w:rsid w:val="00640D3F"/>
    <w:rsid w:val="00680C67"/>
    <w:rsid w:val="006861F1"/>
    <w:rsid w:val="006A0941"/>
    <w:rsid w:val="006B048E"/>
    <w:rsid w:val="006B5104"/>
    <w:rsid w:val="006E4C47"/>
    <w:rsid w:val="0072218C"/>
    <w:rsid w:val="00757F41"/>
    <w:rsid w:val="00764CD2"/>
    <w:rsid w:val="007E17EA"/>
    <w:rsid w:val="007F057D"/>
    <w:rsid w:val="0080325F"/>
    <w:rsid w:val="00814363"/>
    <w:rsid w:val="00841F55"/>
    <w:rsid w:val="00843F19"/>
    <w:rsid w:val="008746D4"/>
    <w:rsid w:val="008A3823"/>
    <w:rsid w:val="00902C11"/>
    <w:rsid w:val="00926634"/>
    <w:rsid w:val="00940022"/>
    <w:rsid w:val="00941572"/>
    <w:rsid w:val="00943974"/>
    <w:rsid w:val="009645DA"/>
    <w:rsid w:val="00981673"/>
    <w:rsid w:val="009D580D"/>
    <w:rsid w:val="00A77AE5"/>
    <w:rsid w:val="00AB7DC2"/>
    <w:rsid w:val="00AC23EF"/>
    <w:rsid w:val="00B009F1"/>
    <w:rsid w:val="00B024E2"/>
    <w:rsid w:val="00B2612A"/>
    <w:rsid w:val="00B429F9"/>
    <w:rsid w:val="00B43441"/>
    <w:rsid w:val="00B93653"/>
    <w:rsid w:val="00B97F76"/>
    <w:rsid w:val="00BB0DFE"/>
    <w:rsid w:val="00BB48CB"/>
    <w:rsid w:val="00BD0504"/>
    <w:rsid w:val="00C33028"/>
    <w:rsid w:val="00C34614"/>
    <w:rsid w:val="00C45DF3"/>
    <w:rsid w:val="00C547EC"/>
    <w:rsid w:val="00C619F4"/>
    <w:rsid w:val="00D00441"/>
    <w:rsid w:val="00D21FB8"/>
    <w:rsid w:val="00D24B07"/>
    <w:rsid w:val="00DB7414"/>
    <w:rsid w:val="00DE7526"/>
    <w:rsid w:val="00DF4A04"/>
    <w:rsid w:val="00E424D2"/>
    <w:rsid w:val="00E776F6"/>
    <w:rsid w:val="00E83EF4"/>
    <w:rsid w:val="00EB3614"/>
    <w:rsid w:val="00ED00FA"/>
    <w:rsid w:val="00ED2B9B"/>
    <w:rsid w:val="00EE55EC"/>
    <w:rsid w:val="00F42285"/>
    <w:rsid w:val="00FD00A0"/>
    <w:rsid w:val="00FE3E2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sid w:val="003C1087"/>
    <w:rPr>
      <w:rFonts w:asciiTheme="minorHAnsi" w:hAnsiTheme="minorHAnsi"/>
      <w:b/>
      <w:bCs/>
    </w:rPr>
  </w:style>
  <w:style w:type="paragraph" w:customStyle="1" w:styleId="1295C6107340464784B146C54077ED42">
    <w:name w:val="1295C6107340464784B146C54077ED42"/>
  </w:style>
  <w:style w:type="paragraph" w:customStyle="1" w:styleId="41288363A9134415894EACC7927D8040">
    <w:name w:val="41288363A9134415894EACC7927D8040"/>
  </w:style>
  <w:style w:type="paragraph" w:customStyle="1" w:styleId="07BCB2FD39EC4AD898A9FE33105F12D1">
    <w:name w:val="07BCB2FD39EC4AD898A9FE33105F12D1"/>
    <w:rsid w:val="003C1087"/>
  </w:style>
  <w:style w:type="paragraph" w:customStyle="1" w:styleId="5925711EEECE4B559CEE1A8511ECFB34">
    <w:name w:val="5925711EEECE4B559CEE1A8511ECFB34"/>
    <w:rsid w:val="003C10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FormConfiguration><![CDATA[{"formFields":[],"formDataEntries":[]}]]></TemplafyFormConfiguration>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MPWT-2140667901-92167</_dlc_DocId>
    <_dlc_DocIdUrl xmlns="20393cdf-440a-4521-8f19-00ba43423d00">
      <Url>https://pcgov.sharepoint.com/sites/sceteam/_layouts/15/DocIdRedir.aspx?ID=MPWT-2140667901-92167</Url>
      <Description>MPWT-2140667901-92167</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5bd9f8227901468f7441746a929d2197">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b75e762b33340346fcad2706e47dee6f"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638074C-39DA-448F-8AF9-78D34F03C881}">
  <ds:schemaRefs>
    <ds:schemaRef ds:uri="http://schemas.microsoft.com/sharepoint/v3/contenttype/forms"/>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36937C2F-C802-4BFB-BA3F-97DDD86D52F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1161EAF9-ED33-4D57-BDFE-C2A14177B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CCDCE8C-2FF2-479D-91C1-79A7A7683D3C}">
  <ds:schemaRefs/>
</ds:datastoreItem>
</file>

<file path=customXml/itemProps7.xml><?xml version="1.0" encoding="utf-8"?>
<ds:datastoreItem xmlns:ds="http://schemas.openxmlformats.org/officeDocument/2006/customXml" ds:itemID="{14C2FE31-99A2-4E34-AFDA-D9956F6F73D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1055</TotalTime>
  <Pages>126</Pages>
  <Words>44994</Words>
  <Characters>269969</Characters>
  <Application>Microsoft Office Word</Application>
  <DocSecurity>0</DocSecurity>
  <Lines>5093</Lines>
  <Paragraphs>2646</Paragraphs>
  <ScaleCrop>false</ScaleCrop>
  <HeadingPairs>
    <vt:vector size="2" baseType="variant">
      <vt:variant>
        <vt:lpstr>Title</vt:lpstr>
      </vt:variant>
      <vt:variant>
        <vt:i4>1</vt:i4>
      </vt:variant>
    </vt:vector>
  </HeadingPairs>
  <TitlesOfParts>
    <vt:vector size="1" baseType="lpstr">
      <vt:lpstr>Inquiry report - Delivering quality care more efficiently</vt:lpstr>
    </vt:vector>
  </TitlesOfParts>
  <Company/>
  <LinksUpToDate>false</LinksUpToDate>
  <CharactersWithSpaces>312317</CharactersWithSpaces>
  <SharedDoc>false</SharedDoc>
  <HLinks>
    <vt:vector size="30" baseType="variant">
      <vt:variant>
        <vt:i4>7667747</vt:i4>
      </vt:variant>
      <vt:variant>
        <vt:i4>234</vt:i4>
      </vt:variant>
      <vt:variant>
        <vt:i4>0</vt:i4>
      </vt:variant>
      <vt:variant>
        <vt:i4>5</vt:i4>
      </vt:variant>
      <vt:variant>
        <vt:lpwstr>https://www.abs.gov.au/statistics/labour/employment-and-unemployment/labour-force-australia-detailed/latest-release</vt:lpwstr>
      </vt:variant>
      <vt:variant>
        <vt:lpwstr/>
      </vt:variant>
      <vt:variant>
        <vt:i4>6815846</vt:i4>
      </vt:variant>
      <vt:variant>
        <vt:i4>231</vt:i4>
      </vt:variant>
      <vt:variant>
        <vt:i4>0</vt:i4>
      </vt:variant>
      <vt:variant>
        <vt:i4>5</vt:i4>
      </vt:variant>
      <vt:variant>
        <vt:lpwstr>https://www.abs.gov.au/statistics/people/population/national-state-and-territory-population/latest-release</vt:lpwstr>
      </vt:variant>
      <vt:variant>
        <vt:lpwstr/>
      </vt:variant>
      <vt:variant>
        <vt:i4>3276844</vt:i4>
      </vt:variant>
      <vt:variant>
        <vt:i4>222</vt:i4>
      </vt:variant>
      <vt:variant>
        <vt:i4>0</vt:i4>
      </vt:variant>
      <vt:variant>
        <vt:i4>5</vt:i4>
      </vt:variant>
      <vt:variant>
        <vt:lpwstr>https://www.pc.gov.au/inquiries-and-research/quality-care/</vt:lpwstr>
      </vt:variant>
      <vt:variant>
        <vt:lpwstr/>
      </vt:variant>
      <vt:variant>
        <vt:i4>7405684</vt:i4>
      </vt:variant>
      <vt:variant>
        <vt:i4>0</vt:i4>
      </vt:variant>
      <vt:variant>
        <vt:i4>0</vt:i4>
      </vt:variant>
      <vt:variant>
        <vt:i4>5</vt:i4>
      </vt:variant>
      <vt:variant>
        <vt:lpwstr>https://www.pc.gov.au/productivity-insights</vt:lpwstr>
      </vt:variant>
      <vt:variant>
        <vt:lpwstr/>
      </vt:variant>
      <vt:variant>
        <vt:i4>1179650</vt:i4>
      </vt:variant>
      <vt:variant>
        <vt:i4>0</vt:i4>
      </vt:variant>
      <vt:variant>
        <vt:i4>0</vt:i4>
      </vt:variant>
      <vt:variant>
        <vt:i4>5</vt:i4>
      </vt:variant>
      <vt:variant>
        <vt:lpwstr>https://pcgov.sharepoint.com/teams/Care/Shared Documents/Reports/Final report/Drafts/1ff04ed2-f6cd-4302-9bdd-de48500403d3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report - Delivering quality care more efficiently</dc:title>
  <dc:subject>Inquiry report</dc:subject>
  <dc:creator>Productivity Commission</dc:creator>
  <cp:keywords/>
  <dc:description/>
  <cp:lastModifiedBy>Chris Alston</cp:lastModifiedBy>
  <cp:revision>957</cp:revision>
  <cp:lastPrinted>2025-12-09T00:23:00Z</cp:lastPrinted>
  <dcterms:created xsi:type="dcterms:W3CDTF">2025-12-05T23:44:00Z</dcterms:created>
  <dcterms:modified xsi:type="dcterms:W3CDTF">2025-12-09T00:24:00Z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_dlc_DocIdItemGuid">
    <vt:lpwstr>ff38f907-1bd1-455b-9abb-a78c340b488f</vt:lpwstr>
  </property>
  <property fmtid="{D5CDD505-2E9C-101B-9397-08002B2CF9AE}" pid="5" name="MediaServiceImageTags">
    <vt:lpwstr/>
  </property>
  <property fmtid="{D5CDD505-2E9C-101B-9397-08002B2CF9AE}" pid="6" name="ClassificationContentMarkingHeaderShapeIds">
    <vt:lpwstr>3c79a2aa,5666d423,b14e512,4390c437,fd60ca6</vt:lpwstr>
  </property>
  <property fmtid="{D5CDD505-2E9C-101B-9397-08002B2CF9AE}" pid="7" name="ClassificationContentMarkingHeaderFontProps">
    <vt:lpwstr>#000000,12,Calibri</vt:lpwstr>
  </property>
  <property fmtid="{D5CDD505-2E9C-101B-9397-08002B2CF9AE}" pid="8" name="ClassificationContentMarkingHeaderText">
    <vt:lpwstr> OFFICIAL</vt:lpwstr>
  </property>
  <property fmtid="{D5CDD505-2E9C-101B-9397-08002B2CF9AE}" pid="9" name="TemplafyTenantId">
    <vt:lpwstr>productivitycommission</vt:lpwstr>
  </property>
  <property fmtid="{D5CDD505-2E9C-101B-9397-08002B2CF9AE}" pid="10" name="TemplafyTemplateId">
    <vt:lpwstr>637629323326921041</vt:lpwstr>
  </property>
  <property fmtid="{D5CDD505-2E9C-101B-9397-08002B2CF9AE}" pid="11" name="TemplafyUserProfileId">
    <vt:lpwstr>637782392590976563</vt:lpwstr>
  </property>
  <property fmtid="{D5CDD505-2E9C-101B-9397-08002B2CF9AE}" pid="12" name="TemplafyFromBlank">
    <vt:bool>false</vt:bool>
  </property>
  <property fmtid="{D5CDD505-2E9C-101B-9397-08002B2CF9AE}" pid="13" name="Order">
    <vt:r8>485400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docLang">
    <vt:lpwstr>en</vt:lpwstr>
  </property>
  <property fmtid="{D5CDD505-2E9C-101B-9397-08002B2CF9AE}" pid="21" name="ZOTERO_PREF_2">
    <vt:lpwstr>JournalAbbreviations" value="true"/&gt;&lt;pref name="delayCitationUpdates" value="true"/&gt;&lt;pref name="dontAskDelayCitationUpdates" value="true"/&gt;&lt;/prefs&gt;&lt;/data&gt;</vt:lpwstr>
  </property>
  <property fmtid="{D5CDD505-2E9C-101B-9397-08002B2CF9AE}" pid="22" name="ZOTERO_PREF_1">
    <vt:lpwstr>&lt;data data-version="3" zotero-version="7.0.30"&gt;&lt;session id="nJD8EfGA"/&gt;&lt;style id="http://www.zotero.org/styles/Productivity-Commission" hasBibliography="1" bibliographyStyleHasBeenSet="1"/&gt;&lt;prefs&gt;&lt;pref name="fieldType" value="Field"/&gt;&lt;pref name="automatic</vt:lpwstr>
  </property>
  <property fmtid="{D5CDD505-2E9C-101B-9397-08002B2CF9AE}" pid="23" name="MSIP_Label_c1f2b1ce-4212-46db-a901-dd8453f57141_Enabled">
    <vt:lpwstr>true</vt:lpwstr>
  </property>
  <property fmtid="{D5CDD505-2E9C-101B-9397-08002B2CF9AE}" pid="24" name="MSIP_Label_c1f2b1ce-4212-46db-a901-dd8453f57141_SetDate">
    <vt:lpwstr>2025-12-03T01:56:13Z</vt:lpwstr>
  </property>
  <property fmtid="{D5CDD505-2E9C-101B-9397-08002B2CF9AE}" pid="25" name="MSIP_Label_c1f2b1ce-4212-46db-a901-dd8453f57141_Method">
    <vt:lpwstr>Privileged</vt:lpwstr>
  </property>
  <property fmtid="{D5CDD505-2E9C-101B-9397-08002B2CF9AE}" pid="26" name="MSIP_Label_c1f2b1ce-4212-46db-a901-dd8453f57141_Name">
    <vt:lpwstr>Publish</vt:lpwstr>
  </property>
  <property fmtid="{D5CDD505-2E9C-101B-9397-08002B2CF9AE}" pid="27" name="MSIP_Label_c1f2b1ce-4212-46db-a901-dd8453f57141_SiteId">
    <vt:lpwstr>29f9330b-c0fe-4244-830e-ba9f275d6c34</vt:lpwstr>
  </property>
  <property fmtid="{D5CDD505-2E9C-101B-9397-08002B2CF9AE}" pid="28" name="MSIP_Label_c1f2b1ce-4212-46db-a901-dd8453f57141_ActionId">
    <vt:lpwstr>d10fff34-26bc-4096-813c-94709d9b174a</vt:lpwstr>
  </property>
  <property fmtid="{D5CDD505-2E9C-101B-9397-08002B2CF9AE}" pid="29" name="MSIP_Label_c1f2b1ce-4212-46db-a901-dd8453f57141_ContentBits">
    <vt:lpwstr>0</vt:lpwstr>
  </property>
  <property fmtid="{D5CDD505-2E9C-101B-9397-08002B2CF9AE}" pid="30" name="MSIP_Label_c1f2b1ce-4212-46db-a901-dd8453f57141_Tag">
    <vt:lpwstr>10, 0, 1, 1</vt:lpwstr>
  </property>
</Properties>
</file>