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AF42B" w14:textId="14B92A01" w:rsidR="00731BD4" w:rsidRPr="001F71AE" w:rsidRDefault="00FE47F7" w:rsidP="00194BAE">
      <w:pPr>
        <w:pStyle w:val="Coverdate"/>
        <w:framePr w:wrap="around" w:y="15321"/>
        <w:jc w:val="right"/>
        <w:rPr>
          <w:rFonts w:ascii="Open Sans" w:hAnsi="Open Sans" w:cs="Open Sans"/>
          <w:b/>
          <w:bCs/>
          <w:color w:val="FFFFFF" w:themeColor="background1"/>
          <w:sz w:val="28"/>
          <w:szCs w:val="28"/>
        </w:rPr>
      </w:pPr>
      <w:r w:rsidRPr="001F71AE">
        <w:rPr>
          <w:rFonts w:ascii="Open Sans" w:hAnsi="Open Sans" w:cs="Open Sans"/>
          <w:b/>
          <w:bCs/>
          <w:color w:val="FFFFFF" w:themeColor="background1"/>
          <w:sz w:val="28"/>
          <w:szCs w:val="28"/>
        </w:rPr>
        <w:t>December 2025</w:t>
      </w:r>
    </w:p>
    <w:sdt>
      <w:sdtPr>
        <w:rPr>
          <w:rFonts w:asciiTheme="minorHAnsi" w:hAnsiTheme="minorHAnsi"/>
          <w:b/>
          <w:color w:val="FFFFFF" w:themeColor="background1"/>
          <w:sz w:val="16"/>
        </w:rPr>
        <w:id w:val="-228914026"/>
        <w:docPartObj>
          <w:docPartGallery w:val="Cover Pages"/>
          <w:docPartUnique/>
        </w:docPartObj>
      </w:sdtPr>
      <w:sdtEndPr>
        <w:rPr>
          <w:rFonts w:ascii="Arial" w:hAnsi="Arial" w:cs="Arial"/>
          <w:bCs/>
          <w:lang w:val="fr-CA"/>
        </w:rPr>
      </w:sdtEndPr>
      <w:sdtContent>
        <w:p w14:paraId="0A1CC811" w14:textId="77777777" w:rsidR="0049695F" w:rsidRPr="00F02289" w:rsidRDefault="0049695F" w:rsidP="003967D2">
          <w:pPr>
            <w:pStyle w:val="BodyText"/>
            <w:spacing w:after="0"/>
            <w:rPr>
              <w:color w:val="FFFFFF" w:themeColor="background1"/>
            </w:rPr>
          </w:pPr>
        </w:p>
        <w:p w14:paraId="23CA4915" w14:textId="5FC7830B" w:rsidR="0049695F" w:rsidRPr="001D2B6E" w:rsidRDefault="0052561C" w:rsidP="0049695F">
          <w:pPr>
            <w:pStyle w:val="Title"/>
            <w:spacing w:before="120"/>
            <w:rPr>
              <w:rFonts w:ascii="Open Sans Extrabold" w:hAnsi="Open Sans Extrabold" w:cs="Open Sans Extrabold"/>
              <w:color w:val="1C4373" w:themeColor="background2" w:themeShade="BF"/>
              <w:sz w:val="56"/>
            </w:rPr>
          </w:pPr>
          <w:r w:rsidRPr="001D2B6E">
            <w:rPr>
              <w:rStyle w:val="TitleChar"/>
              <w:rFonts w:ascii="Open Sans Extrabold" w:hAnsi="Open Sans Extrabold" w:cs="Open Sans Extrabold"/>
              <w:color w:val="1C4373" w:themeColor="background2" w:themeShade="BF"/>
              <w:sz w:val="56"/>
            </w:rPr>
            <w:t>Creating a more dynamic and resilient economy</w:t>
          </w:r>
        </w:p>
        <w:p w14:paraId="22626CF1" w14:textId="5722CDD0" w:rsidR="0049695F" w:rsidRPr="001B0321" w:rsidRDefault="000522C4" w:rsidP="0049695F">
          <w:pPr>
            <w:pStyle w:val="Subtitle"/>
            <w:rPr>
              <w:rFonts w:ascii="Open Sans" w:hAnsi="Open Sans" w:cs="Open Sans"/>
              <w:color w:val="1C4373" w:themeColor="background2" w:themeShade="BF"/>
            </w:rPr>
          </w:pPr>
          <w:r w:rsidRPr="001B0321">
            <w:rPr>
              <w:rFonts w:ascii="Open Sans" w:hAnsi="Open Sans" w:cs="Open Sans"/>
              <w:color w:val="1C4373" w:themeColor="background2" w:themeShade="BF"/>
            </w:rPr>
            <w:t>What we heard</w:t>
          </w:r>
        </w:p>
        <w:p w14:paraId="34FA29E0" w14:textId="7C42524C" w:rsidR="0049695F" w:rsidRPr="001D2B6E" w:rsidRDefault="002A36B8" w:rsidP="0049695F">
          <w:pPr>
            <w:spacing w:after="160" w:line="259" w:lineRule="auto"/>
            <w:rPr>
              <w:rFonts w:ascii="Open Sans" w:hAnsi="Open Sans" w:cs="Open Sans"/>
              <w:color w:val="1C4373" w:themeColor="background2" w:themeShade="BF"/>
              <w:sz w:val="36"/>
              <w:szCs w:val="36"/>
            </w:rPr>
          </w:pPr>
          <w:r w:rsidRPr="001D2B6E">
            <w:rPr>
              <w:rFonts w:ascii="Open Sans" w:hAnsi="Open Sans" w:cs="Open Sans"/>
              <w:color w:val="1C4373" w:themeColor="background2" w:themeShade="BF"/>
              <w:sz w:val="36"/>
              <w:szCs w:val="36"/>
            </w:rPr>
            <w:t>Inquiry paper</w:t>
          </w:r>
        </w:p>
        <w:p w14:paraId="7C25456C" w14:textId="77777777" w:rsidR="00B302FA" w:rsidRPr="00F02289" w:rsidRDefault="00B302FA" w:rsidP="0049695F">
          <w:pPr>
            <w:pStyle w:val="CoverImage"/>
            <w:framePr w:wrap="around"/>
            <w:sectPr w:rsidR="00B302FA" w:rsidRPr="00F02289" w:rsidSect="002E3F19">
              <w:footerReference w:type="even" r:id="rId14"/>
              <w:footerReference w:type="default" r:id="rId15"/>
              <w:head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D2EBF5" w:themeFill="text2" w:themeFillTint="33"/>
            <w:tblLayout w:type="fixed"/>
            <w:tblCellMar>
              <w:left w:w="284" w:type="dxa"/>
              <w:bottom w:w="0" w:type="dxa"/>
              <w:right w:w="108" w:type="dxa"/>
            </w:tblCellMar>
            <w:tblLook w:val="04A0" w:firstRow="1" w:lastRow="0" w:firstColumn="1" w:lastColumn="0" w:noHBand="0" w:noVBand="1"/>
          </w:tblPr>
          <w:tblGrid>
            <w:gridCol w:w="9638"/>
          </w:tblGrid>
          <w:tr w:rsidR="00E949D1" w:rsidRPr="00333BC8" w14:paraId="240622BA" w14:textId="77777777" w:rsidTr="00996014">
            <w:trPr>
              <w:trHeight w:hRule="exact" w:val="13096"/>
            </w:trPr>
            <w:tc>
              <w:tcPr>
                <w:tcW w:w="9638" w:type="dxa"/>
                <w:shd w:val="clear" w:color="auto" w:fill="D2EBF5" w:themeFill="text2" w:themeFillTint="33"/>
                <w:tcMar>
                  <w:top w:w="113" w:type="dxa"/>
                </w:tcMar>
                <w:vAlign w:val="top"/>
              </w:tcPr>
              <w:p w14:paraId="3AA02809" w14:textId="43919160" w:rsidR="0018179B" w:rsidRPr="00A05BFF" w:rsidRDefault="00662E36" w:rsidP="003228DA">
                <w:pPr>
                  <w:pStyle w:val="Copyrightpage-Heading"/>
                  <w:spacing w:before="360"/>
                  <w:ind w:right="-284"/>
                  <w:rPr>
                    <w:rFonts w:ascii="Arial Black" w:hAnsi="Arial Black" w:cs="Arial"/>
                    <w:bCs/>
                    <w:color w:val="auto"/>
                  </w:rPr>
                </w:pPr>
                <w:r w:rsidRPr="00662E36">
                  <w:rPr>
                    <w:rFonts w:ascii="Arial" w:hAnsi="Arial" w:cs="Arial"/>
                    <w:b/>
                    <w:bCs/>
                    <w:noProof/>
                    <w:color w:val="auto"/>
                  </w:rPr>
                  <w:lastRenderedPageBreak/>
                  <w:drawing>
                    <wp:anchor distT="0" distB="0" distL="114300" distR="114300" simplePos="0" relativeHeight="251658240" behindDoc="0" locked="0" layoutInCell="1" allowOverlap="1" wp14:anchorId="00107472" wp14:editId="51D1AFF9">
                      <wp:simplePos x="0" y="0"/>
                      <wp:positionH relativeFrom="column">
                        <wp:posOffset>0</wp:posOffset>
                      </wp:positionH>
                      <wp:positionV relativeFrom="paragraph">
                        <wp:posOffset>458801</wp:posOffset>
                      </wp:positionV>
                      <wp:extent cx="629920" cy="640715"/>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20" cy="640715"/>
                              </a:xfrm>
                              <a:prstGeom prst="rect">
                                <a:avLst/>
                              </a:prstGeom>
                            </pic:spPr>
                          </pic:pic>
                        </a:graphicData>
                      </a:graphic>
                      <wp14:sizeRelH relativeFrom="margin">
                        <wp14:pctWidth>0</wp14:pctWidth>
                      </wp14:sizeRelH>
                      <wp14:sizeRelV relativeFrom="margin">
                        <wp14:pctHeight>0</wp14:pctHeight>
                      </wp14:sizeRelV>
                    </wp:anchor>
                  </w:drawing>
                </w:r>
                <w:r w:rsidR="0018179B" w:rsidRPr="00A05BFF">
                  <w:rPr>
                    <w:rFonts w:ascii="Arial Black" w:hAnsi="Arial Black" w:cs="Arial"/>
                    <w:bCs/>
                    <w:color w:val="auto"/>
                  </w:rPr>
                  <w:t>A</w:t>
                </w:r>
                <w:r w:rsidR="0018179B" w:rsidRPr="00A05BFF">
                  <w:rPr>
                    <w:rFonts w:ascii="Arial Black" w:hAnsi="Arial Black" w:cs="Arial"/>
                    <w:color w:val="auto"/>
                  </w:rPr>
                  <w:t>cknowledgement of Country</w:t>
                </w:r>
              </w:p>
              <w:p w14:paraId="2D2CAAED" w14:textId="70B3FA2D" w:rsidR="0018179B" w:rsidRPr="00662E36" w:rsidRDefault="0018179B" w:rsidP="00662E36">
                <w:pPr>
                  <w:pStyle w:val="Copyrightpage-BodyBold"/>
                  <w:ind w:right="3147"/>
                  <w:rPr>
                    <w:rFonts w:ascii="Arial" w:hAnsi="Arial" w:cs="Arial"/>
                    <w:b w:val="0"/>
                    <w:bCs/>
                    <w:color w:val="auto"/>
                    <w:spacing w:val="2"/>
                  </w:rPr>
                </w:pPr>
                <w:r w:rsidRPr="00662E36">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2B3A0499" w14:textId="77777777" w:rsidR="0018179B" w:rsidRPr="00A05BFF" w:rsidRDefault="0018179B" w:rsidP="00662E36">
                <w:pPr>
                  <w:pStyle w:val="Copyrightpage-Keylinenotext"/>
                  <w:ind w:right="3147"/>
                  <w:rPr>
                    <w:rFonts w:ascii="Arial" w:hAnsi="Arial" w:cs="Arial"/>
                    <w:color w:val="auto"/>
                  </w:rPr>
                </w:pPr>
              </w:p>
              <w:p w14:paraId="40006738" w14:textId="4A1309D5" w:rsidR="0018179B" w:rsidRPr="00A05BFF" w:rsidRDefault="0018179B" w:rsidP="00662E36">
                <w:pPr>
                  <w:pStyle w:val="Copyrightpage-Heading"/>
                  <w:ind w:right="3147"/>
                  <w:rPr>
                    <w:rFonts w:ascii="Arial Black" w:hAnsi="Arial Black" w:cs="Arial"/>
                    <w:bCs/>
                    <w:color w:val="auto"/>
                  </w:rPr>
                </w:pPr>
                <w:r w:rsidRPr="00A05BFF">
                  <w:rPr>
                    <w:rFonts w:ascii="Arial Black" w:hAnsi="Arial Black" w:cs="Arial"/>
                    <w:bCs/>
                    <w:color w:val="auto"/>
                  </w:rPr>
                  <w:t>About us</w:t>
                </w:r>
              </w:p>
              <w:p w14:paraId="6A849B3E" w14:textId="1F5D7948" w:rsidR="0018179B" w:rsidRPr="008C2CF3" w:rsidRDefault="0018179B" w:rsidP="00662E36">
                <w:pPr>
                  <w:pStyle w:val="Copyrightpage-BodyBold"/>
                  <w:ind w:right="3147"/>
                  <w:rPr>
                    <w:rFonts w:ascii="Arial" w:hAnsi="Arial" w:cs="Arial"/>
                    <w:b w:val="0"/>
                    <w:bCs/>
                    <w:color w:val="auto"/>
                    <w:spacing w:val="-2"/>
                  </w:rPr>
                </w:pPr>
                <w:r w:rsidRPr="008C2CF3">
                  <w:rPr>
                    <w:rFonts w:ascii="Arial" w:hAnsi="Arial" w:cs="Arial"/>
                    <w:b w:val="0"/>
                    <w:bCs/>
                    <w:color w:val="auto"/>
                    <w:spacing w:val="-2"/>
                  </w:rPr>
                  <w:t xml:space="preserve">The Productivity Commission (PC) is the Australian Government’s independent research and advisory body on a </w:t>
                </w:r>
                <w:r w:rsidR="00A80B24" w:rsidRPr="008C2CF3">
                  <w:rPr>
                    <w:rFonts w:ascii="Arial" w:hAnsi="Arial" w:cs="Arial"/>
                    <w:b w:val="0"/>
                    <w:bCs/>
                    <w:color w:val="auto"/>
                    <w:spacing w:val="-2"/>
                  </w:rPr>
                  <w:t>r</w:t>
                </w:r>
                <w:r w:rsidRPr="008C2CF3">
                  <w:rPr>
                    <w:rFonts w:ascii="Arial" w:hAnsi="Arial" w:cs="Arial"/>
                    <w:b w:val="0"/>
                    <w:bCs/>
                    <w:color w:val="auto"/>
                    <w:spacing w:val="-2"/>
                  </w:rPr>
                  <w:t>ange of economic, social and environmental issues affecting the welfare of Australians. Its role, expressed most simply, is to help governments make better policies, in the long</w:t>
                </w:r>
                <w:r w:rsidR="00C44D1D" w:rsidRPr="008C2CF3">
                  <w:rPr>
                    <w:rFonts w:ascii="Arial" w:hAnsi="Arial" w:cs="Arial"/>
                    <w:b w:val="0"/>
                    <w:bCs/>
                    <w:color w:val="auto"/>
                    <w:spacing w:val="-2"/>
                  </w:rPr>
                  <w:noBreakHyphen/>
                </w:r>
                <w:r w:rsidRPr="008C2CF3">
                  <w:rPr>
                    <w:rFonts w:ascii="Arial" w:hAnsi="Arial" w:cs="Arial"/>
                    <w:b w:val="0"/>
                    <w:bCs/>
                    <w:color w:val="auto"/>
                    <w:spacing w:val="-2"/>
                  </w:rPr>
                  <w:t>term interest of the Australian community.</w:t>
                </w:r>
              </w:p>
              <w:p w14:paraId="7C4499CC" w14:textId="77777777" w:rsidR="0018179B" w:rsidRPr="00A05BFF" w:rsidRDefault="0018179B" w:rsidP="00662E36">
                <w:pPr>
                  <w:pStyle w:val="Copyrightpage-BodyBold"/>
                  <w:ind w:right="3147"/>
                  <w:rPr>
                    <w:rFonts w:ascii="Arial" w:hAnsi="Arial" w:cs="Arial"/>
                    <w:b w:val="0"/>
                    <w:bCs/>
                    <w:color w:val="auto"/>
                  </w:rPr>
                </w:pPr>
                <w:r w:rsidRPr="00A05BFF">
                  <w:rPr>
                    <w:rFonts w:ascii="Arial" w:hAnsi="Arial" w:cs="Arial"/>
                    <w:b w:val="0"/>
                    <w:bCs/>
                    <w:color w:val="auto"/>
                  </w:rPr>
                  <w:t xml:space="preserve">The PC’s independence is underpinned by an Act of Parliament. Its processes and outputs are open to public scrutiny and are driven by concern for the wellbeing of the </w:t>
                </w:r>
                <w:proofErr w:type="gramStart"/>
                <w:r w:rsidRPr="00A05BFF">
                  <w:rPr>
                    <w:rFonts w:ascii="Arial" w:hAnsi="Arial" w:cs="Arial"/>
                    <w:b w:val="0"/>
                    <w:bCs/>
                    <w:color w:val="auto"/>
                  </w:rPr>
                  <w:t>community as a whole</w:t>
                </w:r>
                <w:proofErr w:type="gramEnd"/>
                <w:r w:rsidRPr="00A05BFF">
                  <w:rPr>
                    <w:rFonts w:ascii="Arial" w:hAnsi="Arial" w:cs="Arial"/>
                    <w:b w:val="0"/>
                    <w:bCs/>
                    <w:color w:val="auto"/>
                  </w:rPr>
                  <w:t>.</w:t>
                </w:r>
              </w:p>
              <w:p w14:paraId="6ECD261C" w14:textId="77777777" w:rsidR="0018179B" w:rsidRPr="008C2CF3" w:rsidRDefault="0018179B" w:rsidP="00D03533">
                <w:pPr>
                  <w:pStyle w:val="Copyrightpage-BodyBold"/>
                  <w:ind w:right="3147"/>
                  <w:rPr>
                    <w:rFonts w:ascii="Arial" w:hAnsi="Arial" w:cs="Arial"/>
                    <w:b w:val="0"/>
                    <w:bCs/>
                    <w:color w:val="auto"/>
                    <w:spacing w:val="-4"/>
                  </w:rPr>
                </w:pPr>
                <w:r w:rsidRPr="00A05BFF">
                  <w:rPr>
                    <w:rFonts w:ascii="Arial" w:hAnsi="Arial" w:cs="Arial"/>
                    <w:b w:val="0"/>
                    <w:bCs/>
                    <w:color w:val="auto"/>
                    <w:spacing w:val="-4"/>
                  </w:rPr>
                  <w:t xml:space="preserve">For more information, visit the PC’s </w:t>
                </w:r>
                <w:r w:rsidRPr="008C2CF3">
                  <w:rPr>
                    <w:rFonts w:ascii="Arial" w:hAnsi="Arial" w:cs="Arial"/>
                    <w:b w:val="0"/>
                    <w:bCs/>
                    <w:color w:val="auto"/>
                    <w:spacing w:val="-4"/>
                  </w:rPr>
                  <w:t xml:space="preserve">website: </w:t>
                </w:r>
                <w:hyperlink r:id="rId18" w:history="1">
                  <w:r w:rsidRPr="008C2CF3">
                    <w:rPr>
                      <w:rStyle w:val="Hyperlink"/>
                      <w:rFonts w:ascii="Arial" w:hAnsi="Arial" w:cs="Arial"/>
                      <w:b w:val="0"/>
                      <w:bCs/>
                      <w:color w:val="auto"/>
                      <w:spacing w:val="-4"/>
                      <w:u w:val="none"/>
                    </w:rPr>
                    <w:t>www.pc.gov.au</w:t>
                  </w:r>
                </w:hyperlink>
              </w:p>
              <w:p w14:paraId="4F3BFBE1" w14:textId="77777777" w:rsidR="0018179B" w:rsidRPr="00A05BFF" w:rsidRDefault="0018179B" w:rsidP="00D03533">
                <w:pPr>
                  <w:pStyle w:val="Copyrightpage-Keylinenotext"/>
                  <w:ind w:right="3147"/>
                  <w:rPr>
                    <w:rFonts w:ascii="Arial" w:hAnsi="Arial" w:cs="Arial"/>
                    <w:bCs/>
                    <w:color w:val="auto"/>
                  </w:rPr>
                </w:pPr>
              </w:p>
              <w:p w14:paraId="4B3ABC62" w14:textId="170D4070" w:rsidR="0018179B" w:rsidRPr="00D5341E" w:rsidRDefault="0018179B" w:rsidP="00D03533">
                <w:pPr>
                  <w:pStyle w:val="Copyrightpage-BodyBold"/>
                  <w:spacing w:before="0"/>
                  <w:ind w:right="3147"/>
                  <w:rPr>
                    <w:rFonts w:ascii="Arial" w:hAnsi="Arial" w:cs="Arial"/>
                    <w:color w:val="auto"/>
                  </w:rPr>
                </w:pPr>
                <w:r w:rsidRPr="00D5341E">
                  <w:rPr>
                    <w:rFonts w:ascii="Arial" w:hAnsi="Arial" w:cs="Arial"/>
                    <w:color w:val="auto"/>
                  </w:rPr>
                  <w:t>© Commonwealth of Australia 2026</w:t>
                </w:r>
              </w:p>
              <w:p w14:paraId="2759C6AE" w14:textId="78EA9480" w:rsidR="0018179B" w:rsidRPr="00A05BFF" w:rsidRDefault="0018179B" w:rsidP="00D03533">
                <w:pPr>
                  <w:pStyle w:val="Copyrightpage-Heading2"/>
                  <w:spacing w:before="0"/>
                  <w:ind w:right="3147"/>
                  <w:rPr>
                    <w:rFonts w:ascii="Arial" w:hAnsi="Arial" w:cs="Arial"/>
                    <w:b w:val="0"/>
                    <w:bCs/>
                    <w:color w:val="auto"/>
                  </w:rPr>
                </w:pPr>
                <w:r w:rsidRPr="00A05BFF">
                  <w:rPr>
                    <w:rFonts w:ascii="Arial" w:hAnsi="Arial" w:cs="Arial"/>
                    <w:b w:val="0"/>
                    <w:bCs/>
                    <w:noProof/>
                    <w:color w:val="auto"/>
                  </w:rPr>
                  <w:drawing>
                    <wp:inline distT="0" distB="0" distL="0" distR="0" wp14:anchorId="1DCA0951" wp14:editId="6AD427C2">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3A27DB33" w14:textId="51E582C0" w:rsidR="0018179B" w:rsidRPr="00A05BFF" w:rsidRDefault="0018179B" w:rsidP="00D03533">
                <w:pPr>
                  <w:pStyle w:val="Copyrightpage-BodyBold"/>
                  <w:ind w:right="3147"/>
                  <w:rPr>
                    <w:rFonts w:ascii="Arial" w:hAnsi="Arial" w:cs="Arial"/>
                    <w:b w:val="0"/>
                    <w:bCs/>
                    <w:color w:val="auto"/>
                  </w:rPr>
                </w:pPr>
                <w:proofErr w:type="gramStart"/>
                <w:r w:rsidRPr="00A05BFF">
                  <w:rPr>
                    <w:rFonts w:ascii="Arial" w:hAnsi="Arial" w:cs="Arial"/>
                    <w:b w:val="0"/>
                    <w:bCs/>
                    <w:color w:val="auto"/>
                  </w:rPr>
                  <w:t>With the exception of</w:t>
                </w:r>
                <w:proofErr w:type="gramEnd"/>
                <w:r w:rsidRPr="00A05BFF">
                  <w:rPr>
                    <w:rFonts w:ascii="Arial" w:hAnsi="Arial" w:cs="Arial"/>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05BFF">
                  <w:rPr>
                    <w:rFonts w:ascii="Arial" w:hAnsi="Arial" w:cs="Arial"/>
                    <w:b w:val="0"/>
                    <w:bCs/>
                    <w:color w:val="auto"/>
                  </w:rPr>
                  <w:t>as long as</w:t>
                </w:r>
                <w:proofErr w:type="gramEnd"/>
                <w:r w:rsidRPr="00A05BFF">
                  <w:rPr>
                    <w:rFonts w:ascii="Arial" w:hAnsi="Arial" w:cs="Arial"/>
                    <w:b w:val="0"/>
                    <w:bCs/>
                    <w:color w:val="auto"/>
                  </w:rPr>
                  <w:t xml:space="preserve"> you attribute the work to the PC (but not in any way that suggests the PC endorses you or your use) and abide by the other licence terms. The licence can be viewed at: https://creativecommons.org/licenses/by/4.0.</w:t>
                </w:r>
              </w:p>
              <w:p w14:paraId="26111323" w14:textId="024A54F9" w:rsidR="0018179B" w:rsidRPr="00A05BFF" w:rsidRDefault="0018179B" w:rsidP="00D03533">
                <w:pPr>
                  <w:pStyle w:val="Copyrightpage-BodyBold"/>
                  <w:ind w:right="3147"/>
                  <w:rPr>
                    <w:rFonts w:ascii="Arial" w:hAnsi="Arial" w:cs="Arial"/>
                    <w:b w:val="0"/>
                    <w:bCs/>
                    <w:color w:val="auto"/>
                  </w:rPr>
                </w:pPr>
                <w:r w:rsidRPr="00A05BFF">
                  <w:rPr>
                    <w:rFonts w:ascii="Arial" w:hAnsi="Arial" w:cs="Arial"/>
                    <w:b w:val="0"/>
                    <w:bCs/>
                    <w:color w:val="auto"/>
                  </w:rPr>
                  <w:t>The terms under which the Coat of Arms can be used are detailed at: www.pmc.gov.au/government/commonwealth</w:t>
                </w:r>
                <w:r w:rsidR="00C44D1D">
                  <w:rPr>
                    <w:rFonts w:ascii="Arial" w:hAnsi="Arial" w:cs="Arial"/>
                    <w:b w:val="0"/>
                    <w:bCs/>
                    <w:color w:val="auto"/>
                  </w:rPr>
                  <w:noBreakHyphen/>
                </w:r>
                <w:r w:rsidRPr="00A05BFF">
                  <w:rPr>
                    <w:rFonts w:ascii="Arial" w:hAnsi="Arial" w:cs="Arial"/>
                    <w:b w:val="0"/>
                    <w:bCs/>
                    <w:color w:val="auto"/>
                  </w:rPr>
                  <w:t>coat</w:t>
                </w:r>
                <w:r w:rsidR="00C44D1D">
                  <w:rPr>
                    <w:rFonts w:ascii="Arial" w:hAnsi="Arial" w:cs="Arial"/>
                    <w:b w:val="0"/>
                    <w:bCs/>
                    <w:color w:val="auto"/>
                  </w:rPr>
                  <w:noBreakHyphen/>
                </w:r>
                <w:r w:rsidRPr="00A05BFF">
                  <w:rPr>
                    <w:rFonts w:ascii="Arial" w:hAnsi="Arial" w:cs="Arial"/>
                    <w:b w:val="0"/>
                    <w:bCs/>
                    <w:color w:val="auto"/>
                  </w:rPr>
                  <w:t>arms.</w:t>
                </w:r>
              </w:p>
              <w:p w14:paraId="7817F6DC" w14:textId="77777777" w:rsidR="0018179B" w:rsidRPr="003228DA" w:rsidRDefault="0018179B" w:rsidP="00D03533">
                <w:pPr>
                  <w:pStyle w:val="Copyrightpage-BodyBold"/>
                  <w:ind w:right="3147"/>
                  <w:rPr>
                    <w:rFonts w:ascii="Arial" w:hAnsi="Arial" w:cs="Arial"/>
                    <w:b w:val="0"/>
                    <w:bCs/>
                    <w:color w:val="auto"/>
                    <w:spacing w:val="-4"/>
                  </w:rPr>
                </w:pPr>
                <w:r w:rsidRPr="003228DA">
                  <w:rPr>
                    <w:rFonts w:ascii="Arial" w:hAnsi="Arial" w:cs="Arial"/>
                    <w:b w:val="0"/>
                    <w:bCs/>
                    <w:color w:val="auto"/>
                    <w:spacing w:val="-4"/>
                  </w:rPr>
                  <w:t>Wherever a third party holds copyright in this material the copyright remains with that party. Their permission may be required to use the material, please contact them directly.</w:t>
                </w:r>
              </w:p>
              <w:p w14:paraId="39C79198" w14:textId="4B94B9DD" w:rsidR="0018179B" w:rsidRPr="00A05BFF" w:rsidRDefault="0018179B" w:rsidP="00D03533">
                <w:pPr>
                  <w:pStyle w:val="Copyrightpage-BodyBold"/>
                  <w:ind w:right="3147"/>
                  <w:rPr>
                    <w:rFonts w:ascii="Arial" w:hAnsi="Arial" w:cs="Arial"/>
                    <w:b w:val="0"/>
                    <w:bCs/>
                    <w:color w:val="auto"/>
                  </w:rPr>
                </w:pPr>
                <w:r w:rsidRPr="00A05BFF">
                  <w:rPr>
                    <w:rFonts w:ascii="Arial" w:hAnsi="Arial" w:cs="Arial"/>
                    <w:b w:val="0"/>
                    <w:bCs/>
                    <w:color w:val="auto"/>
                  </w:rPr>
                  <w:t>An appropriate reference for this publication is:</w:t>
                </w:r>
                <w:r w:rsidRPr="00A05BFF">
                  <w:rPr>
                    <w:rFonts w:ascii="Arial" w:hAnsi="Arial" w:cs="Arial"/>
                    <w:b w:val="0"/>
                    <w:bCs/>
                    <w:color w:val="auto"/>
                  </w:rPr>
                  <w:br/>
                  <w:t>Productivity Commission 202</w:t>
                </w:r>
                <w:r w:rsidR="00D5341E">
                  <w:rPr>
                    <w:rFonts w:ascii="Arial" w:hAnsi="Arial" w:cs="Arial"/>
                    <w:b w:val="0"/>
                    <w:bCs/>
                    <w:color w:val="auto"/>
                  </w:rPr>
                  <w:t>5</w:t>
                </w:r>
                <w:r w:rsidRPr="00A05BFF">
                  <w:rPr>
                    <w:rFonts w:ascii="Arial" w:hAnsi="Arial" w:cs="Arial"/>
                    <w:b w:val="0"/>
                    <w:bCs/>
                    <w:color w:val="auto"/>
                  </w:rPr>
                  <w:t xml:space="preserve">, </w:t>
                </w:r>
                <w:r w:rsidR="00A05BFF" w:rsidRPr="00A05BFF">
                  <w:rPr>
                    <w:rFonts w:ascii="Arial" w:hAnsi="Arial" w:cs="Arial"/>
                    <w:b w:val="0"/>
                    <w:i/>
                    <w:color w:val="auto"/>
                  </w:rPr>
                  <w:t>Creating</w:t>
                </w:r>
                <w:r w:rsidR="00A05BFF">
                  <w:rPr>
                    <w:rFonts w:ascii="Arial" w:hAnsi="Arial" w:cs="Arial"/>
                    <w:b w:val="0"/>
                    <w:i/>
                    <w:color w:val="auto"/>
                  </w:rPr>
                  <w:t xml:space="preserve"> a more dynamic and resilient economy</w:t>
                </w:r>
                <w:r w:rsidRPr="00A05BFF">
                  <w:rPr>
                    <w:rFonts w:ascii="Arial" w:hAnsi="Arial" w:cs="Arial"/>
                    <w:b w:val="0"/>
                    <w:bCs/>
                    <w:color w:val="auto"/>
                  </w:rPr>
                  <w:t>,</w:t>
                </w:r>
                <w:r w:rsidR="00D5341E">
                  <w:rPr>
                    <w:rFonts w:ascii="Arial" w:hAnsi="Arial" w:cs="Arial"/>
                    <w:b w:val="0"/>
                    <w:bCs/>
                    <w:color w:val="auto"/>
                  </w:rPr>
                  <w:t xml:space="preserve"> </w:t>
                </w:r>
                <w:proofErr w:type="gramStart"/>
                <w:r w:rsidR="00D5341E" w:rsidRPr="00D5341E">
                  <w:rPr>
                    <w:rFonts w:ascii="Arial" w:hAnsi="Arial" w:cs="Arial"/>
                    <w:b w:val="0"/>
                    <w:bCs/>
                    <w:i/>
                    <w:iCs/>
                    <w:color w:val="auto"/>
                  </w:rPr>
                  <w:t>What</w:t>
                </w:r>
                <w:proofErr w:type="gramEnd"/>
                <w:r w:rsidR="00D5341E" w:rsidRPr="00D5341E">
                  <w:rPr>
                    <w:rFonts w:ascii="Arial" w:hAnsi="Arial" w:cs="Arial"/>
                    <w:b w:val="0"/>
                    <w:bCs/>
                    <w:i/>
                    <w:iCs/>
                    <w:color w:val="auto"/>
                  </w:rPr>
                  <w:t xml:space="preserve"> we heard</w:t>
                </w:r>
                <w:r w:rsidR="00D5341E">
                  <w:rPr>
                    <w:rFonts w:ascii="Arial" w:hAnsi="Arial" w:cs="Arial"/>
                    <w:b w:val="0"/>
                    <w:bCs/>
                    <w:color w:val="auto"/>
                  </w:rPr>
                  <w:t>, Inquiry paper</w:t>
                </w:r>
                <w:r w:rsidR="001D2B6E">
                  <w:rPr>
                    <w:rFonts w:ascii="Arial" w:hAnsi="Arial" w:cs="Arial"/>
                    <w:b w:val="0"/>
                    <w:bCs/>
                    <w:color w:val="auto"/>
                  </w:rPr>
                  <w:t>,</w:t>
                </w:r>
                <w:r w:rsidRPr="00A05BFF">
                  <w:rPr>
                    <w:rFonts w:ascii="Arial" w:hAnsi="Arial" w:cs="Arial"/>
                    <w:b w:val="0"/>
                    <w:bCs/>
                    <w:color w:val="auto"/>
                  </w:rPr>
                  <w:t xml:space="preserve"> Canberra</w:t>
                </w:r>
              </w:p>
              <w:p w14:paraId="3829509B" w14:textId="4C23D59B" w:rsidR="00832B15" w:rsidRPr="00D936CE" w:rsidRDefault="0018179B" w:rsidP="00D936CE">
                <w:pPr>
                  <w:pStyle w:val="Copyrightpage-BodyBold"/>
                  <w:ind w:right="3147"/>
                  <w:rPr>
                    <w:rFonts w:ascii="Arial" w:hAnsi="Arial" w:cs="Arial"/>
                    <w:b w:val="0"/>
                    <w:bCs/>
                    <w:color w:val="auto"/>
                    <w:lang w:val="fr-CA"/>
                  </w:rPr>
                </w:pPr>
                <w:r w:rsidRPr="00A05BFF">
                  <w:rPr>
                    <w:rFonts w:ascii="Arial" w:hAnsi="Arial" w:cs="Arial"/>
                    <w:b w:val="0"/>
                    <w:bCs/>
                    <w:color w:val="auto"/>
                    <w:lang w:val="fr-CA"/>
                  </w:rPr>
                  <w:t xml:space="preserve">Publication </w:t>
                </w:r>
                <w:proofErr w:type="spellStart"/>
                <w:r w:rsidRPr="00A05BFF">
                  <w:rPr>
                    <w:rFonts w:ascii="Arial" w:hAnsi="Arial" w:cs="Arial"/>
                    <w:b w:val="0"/>
                    <w:bCs/>
                    <w:color w:val="auto"/>
                    <w:lang w:val="fr-CA"/>
                  </w:rPr>
                  <w:t>enquiries</w:t>
                </w:r>
                <w:proofErr w:type="spellEnd"/>
                <w:r w:rsidRPr="00A05BFF">
                  <w:rPr>
                    <w:rFonts w:ascii="Arial" w:hAnsi="Arial" w:cs="Arial"/>
                    <w:b w:val="0"/>
                    <w:bCs/>
                    <w:color w:val="auto"/>
                    <w:lang w:val="fr-CA"/>
                  </w:rPr>
                  <w:t xml:space="preserve">: </w:t>
                </w:r>
                <w:r w:rsidRPr="00A05BFF">
                  <w:rPr>
                    <w:rFonts w:ascii="Arial" w:hAnsi="Arial" w:cs="Arial"/>
                    <w:b w:val="0"/>
                    <w:bCs/>
                    <w:color w:val="auto"/>
                    <w:lang w:val="fr-CA"/>
                  </w:rPr>
                  <w:br/>
                  <w:t xml:space="preserve">Phone 03 9653 2244 | </w:t>
                </w:r>
                <w:proofErr w:type="gramStart"/>
                <w:r w:rsidRPr="00A05BFF">
                  <w:rPr>
                    <w:rFonts w:ascii="Arial" w:hAnsi="Arial" w:cs="Arial"/>
                    <w:b w:val="0"/>
                    <w:bCs/>
                    <w:color w:val="auto"/>
                    <w:lang w:val="fr-CA"/>
                  </w:rPr>
                  <w:t>Email</w:t>
                </w:r>
                <w:proofErr w:type="gramEnd"/>
                <w:r w:rsidRPr="00A05BFF">
                  <w:rPr>
                    <w:rFonts w:ascii="Arial" w:hAnsi="Arial" w:cs="Arial"/>
                    <w:b w:val="0"/>
                    <w:bCs/>
                    <w:color w:val="auto"/>
                    <w:lang w:val="fr-CA"/>
                  </w:rPr>
                  <w:t xml:space="preserve"> publications@pc.gov.au</w:t>
                </w:r>
              </w:p>
            </w:tc>
          </w:tr>
        </w:tbl>
      </w:sdtContent>
    </w:sdt>
    <w:p w14:paraId="19696398" w14:textId="77777777" w:rsidR="00D936CE" w:rsidRPr="00333BC8" w:rsidRDefault="00D936CE">
      <w:pPr>
        <w:spacing w:before="0" w:after="160" w:line="259" w:lineRule="auto"/>
        <w:rPr>
          <w:lang w:val="fr-CA"/>
        </w:rPr>
      </w:pPr>
      <w:bookmarkStart w:id="0" w:name="_Toc87865131"/>
      <w:bookmarkStart w:id="1" w:name="_Toc207206682"/>
      <w:bookmarkStart w:id="2" w:name="_Toc214532811"/>
      <w:r w:rsidRPr="00333BC8">
        <w:rPr>
          <w:lang w:val="fr-CA"/>
        </w:rPr>
        <w:br w:type="page"/>
      </w:r>
    </w:p>
    <w:p w14:paraId="417394A8" w14:textId="56EE9224" w:rsidR="002E3F19" w:rsidRPr="00F02289" w:rsidRDefault="00840CAD" w:rsidP="00845F25">
      <w:pPr>
        <w:pStyle w:val="Heading1-nobackground"/>
      </w:pPr>
      <w:bookmarkStart w:id="3" w:name="_Toc215092963"/>
      <w:r w:rsidRPr="00F02289">
        <w:lastRenderedPageBreak/>
        <w:t>Contents</w:t>
      </w:r>
      <w:bookmarkEnd w:id="0"/>
      <w:bookmarkEnd w:id="1"/>
      <w:bookmarkEnd w:id="2"/>
      <w:bookmarkEnd w:id="3"/>
    </w:p>
    <w:sdt>
      <w:sdtPr>
        <w:rPr>
          <w:rFonts w:asciiTheme="minorHAnsi" w:hAnsiTheme="minorHAnsi"/>
          <w:b/>
          <w:color w:val="auto"/>
        </w:rPr>
        <w:id w:val="-896974578"/>
        <w:docPartObj>
          <w:docPartGallery w:val="Table of Contents"/>
          <w:docPartUnique/>
        </w:docPartObj>
      </w:sdtPr>
      <w:sdtEndPr>
        <w:rPr>
          <w:b w:val="0"/>
          <w:bCs/>
        </w:rPr>
      </w:sdtEndPr>
      <w:sdtContent>
        <w:p w14:paraId="251971E7" w14:textId="1F6977E3" w:rsidR="00F05677" w:rsidRDefault="002E3F19" w:rsidP="00F05677">
          <w:pPr>
            <w:pStyle w:val="TOC1"/>
            <w:rPr>
              <w:rFonts w:asciiTheme="minorHAnsi" w:eastAsiaTheme="minorEastAsia" w:hAnsiTheme="minorHAnsi"/>
              <w:noProof/>
              <w:color w:val="auto"/>
              <w:kern w:val="2"/>
              <w:sz w:val="24"/>
              <w:szCs w:val="24"/>
              <w:lang w:eastAsia="en-AU"/>
              <w14:ligatures w14:val="standardContextual"/>
            </w:rPr>
          </w:pPr>
          <w:r w:rsidRPr="000C29FA">
            <w:fldChar w:fldCharType="begin"/>
          </w:r>
          <w:r w:rsidRPr="00610C2A">
            <w:instrText xml:space="preserve"> TOC \\h \z \t "Heading 1,1</w:instrText>
          </w:r>
          <w:r w:rsidR="00484E96" w:rsidRPr="00610C2A">
            <w:instrText>,Heading-Appendix,1</w:instrText>
          </w:r>
          <w:r w:rsidRPr="00610C2A">
            <w:instrText>, Heading 1-no number,1,</w:instrText>
          </w:r>
          <w:r w:rsidR="0036059A" w:rsidRPr="00610C2A">
            <w:instrText xml:space="preserve"> Heading 1-no background,1,</w:instrText>
          </w:r>
          <w:r w:rsidRPr="00610C2A">
            <w:instrText xml:space="preserve"> Heading 1-Section blue background,3, Heading 1-Section-full page,3,Heading 2,2,</w:instrText>
          </w:r>
          <w:r w:rsidR="0036059A" w:rsidRPr="00610C2A">
            <w:instrText>Heading 2-no number,2,Heading 2-Appendix,2,</w:instrText>
          </w:r>
          <w:r w:rsidRPr="00610C2A">
            <w:instrText xml:space="preserve">Heading 1 - Intro,3,Heading 1-numbered,3,Section Heading-pale blue,3" </w:instrText>
          </w:r>
          <w:r w:rsidRPr="000C29FA">
            <w:fldChar w:fldCharType="separate"/>
          </w:r>
          <w:r w:rsidR="00F05677">
            <w:rPr>
              <w:noProof/>
            </w:rPr>
            <w:t>Introduction</w:t>
          </w:r>
          <w:r w:rsidR="00F05677">
            <w:rPr>
              <w:noProof/>
              <w:webHidden/>
            </w:rPr>
            <w:tab/>
          </w:r>
          <w:r w:rsidR="00F05677">
            <w:rPr>
              <w:noProof/>
              <w:webHidden/>
            </w:rPr>
            <w:fldChar w:fldCharType="begin"/>
          </w:r>
          <w:r w:rsidR="00F05677">
            <w:rPr>
              <w:noProof/>
              <w:webHidden/>
            </w:rPr>
            <w:instrText xml:space="preserve"> PAGEREF _Toc215092964 \h </w:instrText>
          </w:r>
          <w:r w:rsidR="00F05677">
            <w:rPr>
              <w:noProof/>
              <w:webHidden/>
            </w:rPr>
          </w:r>
          <w:r w:rsidR="00F05677">
            <w:rPr>
              <w:noProof/>
              <w:webHidden/>
            </w:rPr>
            <w:fldChar w:fldCharType="separate"/>
          </w:r>
          <w:r w:rsidR="008D422D">
            <w:rPr>
              <w:noProof/>
              <w:webHidden/>
            </w:rPr>
            <w:t>1</w:t>
          </w:r>
          <w:r w:rsidR="00F05677">
            <w:rPr>
              <w:noProof/>
              <w:webHidden/>
            </w:rPr>
            <w:fldChar w:fldCharType="end"/>
          </w:r>
        </w:p>
        <w:p w14:paraId="5C33607E" w14:textId="3C5E3DCE" w:rsidR="00F05677" w:rsidRDefault="00F05677">
          <w:pPr>
            <w:pStyle w:val="TOC1"/>
            <w:rPr>
              <w:rFonts w:asciiTheme="minorHAnsi" w:eastAsiaTheme="minorEastAsia" w:hAnsiTheme="minorHAnsi"/>
              <w:noProof/>
              <w:color w:val="auto"/>
              <w:kern w:val="2"/>
              <w:sz w:val="24"/>
              <w:szCs w:val="24"/>
              <w:lang w:eastAsia="en-AU"/>
              <w14:ligatures w14:val="standardContextual"/>
            </w:rPr>
          </w:pPr>
          <w:r>
            <w:rPr>
              <w:noProof/>
            </w:rPr>
            <w:t>Corporate tax reform to spur business investment</w:t>
          </w:r>
          <w:r>
            <w:rPr>
              <w:noProof/>
              <w:webHidden/>
            </w:rPr>
            <w:tab/>
          </w:r>
          <w:r>
            <w:rPr>
              <w:noProof/>
              <w:webHidden/>
            </w:rPr>
            <w:fldChar w:fldCharType="begin"/>
          </w:r>
          <w:r>
            <w:rPr>
              <w:noProof/>
              <w:webHidden/>
            </w:rPr>
            <w:instrText xml:space="preserve"> PAGEREF _Toc215092965 \h </w:instrText>
          </w:r>
          <w:r>
            <w:rPr>
              <w:noProof/>
              <w:webHidden/>
            </w:rPr>
          </w:r>
          <w:r>
            <w:rPr>
              <w:noProof/>
              <w:webHidden/>
            </w:rPr>
            <w:fldChar w:fldCharType="separate"/>
          </w:r>
          <w:r w:rsidR="008D422D">
            <w:rPr>
              <w:noProof/>
              <w:webHidden/>
            </w:rPr>
            <w:t>3</w:t>
          </w:r>
          <w:r>
            <w:rPr>
              <w:noProof/>
              <w:webHidden/>
            </w:rPr>
            <w:fldChar w:fldCharType="end"/>
          </w:r>
        </w:p>
        <w:p w14:paraId="3A0996BE" w14:textId="749BAD4A" w:rsidR="00F05677" w:rsidRDefault="00F05677">
          <w:pPr>
            <w:pStyle w:val="TOC2"/>
            <w:rPr>
              <w:rFonts w:asciiTheme="minorHAnsi" w:eastAsiaTheme="minorEastAsia" w:hAnsiTheme="minorHAnsi"/>
              <w:kern w:val="2"/>
              <w:sz w:val="24"/>
              <w:szCs w:val="24"/>
              <w:lang w:eastAsia="en-AU"/>
              <w14:ligatures w14:val="standardContextual"/>
            </w:rPr>
          </w:pPr>
          <w:r>
            <w:t>Changes to the company tax rate</w:t>
          </w:r>
          <w:r>
            <w:rPr>
              <w:webHidden/>
            </w:rPr>
            <w:tab/>
          </w:r>
          <w:r>
            <w:rPr>
              <w:webHidden/>
            </w:rPr>
            <w:fldChar w:fldCharType="begin"/>
          </w:r>
          <w:r>
            <w:rPr>
              <w:webHidden/>
            </w:rPr>
            <w:instrText xml:space="preserve"> PAGEREF _Toc215092966 \h </w:instrText>
          </w:r>
          <w:r>
            <w:rPr>
              <w:webHidden/>
            </w:rPr>
          </w:r>
          <w:r>
            <w:rPr>
              <w:webHidden/>
            </w:rPr>
            <w:fldChar w:fldCharType="separate"/>
          </w:r>
          <w:r w:rsidR="008D422D">
            <w:rPr>
              <w:webHidden/>
            </w:rPr>
            <w:t>3</w:t>
          </w:r>
          <w:r>
            <w:rPr>
              <w:webHidden/>
            </w:rPr>
            <w:fldChar w:fldCharType="end"/>
          </w:r>
        </w:p>
        <w:p w14:paraId="1CE8D01E" w14:textId="172B425C" w:rsidR="00F05677" w:rsidRDefault="00F05677">
          <w:pPr>
            <w:pStyle w:val="TOC2"/>
            <w:rPr>
              <w:rFonts w:asciiTheme="minorHAnsi" w:eastAsiaTheme="minorEastAsia" w:hAnsiTheme="minorHAnsi"/>
              <w:kern w:val="2"/>
              <w:sz w:val="24"/>
              <w:szCs w:val="24"/>
              <w:lang w:eastAsia="en-AU"/>
              <w14:ligatures w14:val="standardContextual"/>
            </w:rPr>
          </w:pPr>
          <w:r>
            <w:t>Implementation of the net cashflow tax</w:t>
          </w:r>
          <w:r>
            <w:rPr>
              <w:webHidden/>
            </w:rPr>
            <w:tab/>
          </w:r>
          <w:r>
            <w:rPr>
              <w:webHidden/>
            </w:rPr>
            <w:fldChar w:fldCharType="begin"/>
          </w:r>
          <w:r>
            <w:rPr>
              <w:webHidden/>
            </w:rPr>
            <w:instrText xml:space="preserve"> PAGEREF _Toc215092967 \h </w:instrText>
          </w:r>
          <w:r>
            <w:rPr>
              <w:webHidden/>
            </w:rPr>
          </w:r>
          <w:r>
            <w:rPr>
              <w:webHidden/>
            </w:rPr>
            <w:fldChar w:fldCharType="separate"/>
          </w:r>
          <w:r w:rsidR="008D422D">
            <w:rPr>
              <w:webHidden/>
            </w:rPr>
            <w:t>5</w:t>
          </w:r>
          <w:r>
            <w:rPr>
              <w:webHidden/>
            </w:rPr>
            <w:fldChar w:fldCharType="end"/>
          </w:r>
        </w:p>
        <w:p w14:paraId="2A84C140" w14:textId="450617C4" w:rsidR="00F05677" w:rsidRDefault="00F05677">
          <w:pPr>
            <w:pStyle w:val="TOC2"/>
            <w:rPr>
              <w:rFonts w:asciiTheme="minorHAnsi" w:eastAsiaTheme="minorEastAsia" w:hAnsiTheme="minorHAnsi"/>
              <w:kern w:val="2"/>
              <w:sz w:val="24"/>
              <w:szCs w:val="24"/>
              <w:lang w:eastAsia="en-AU"/>
              <w14:ligatures w14:val="standardContextual"/>
            </w:rPr>
          </w:pPr>
          <w:r>
            <w:t>Alternative proposals</w:t>
          </w:r>
          <w:r>
            <w:rPr>
              <w:webHidden/>
            </w:rPr>
            <w:tab/>
          </w:r>
          <w:r>
            <w:rPr>
              <w:webHidden/>
            </w:rPr>
            <w:fldChar w:fldCharType="begin"/>
          </w:r>
          <w:r>
            <w:rPr>
              <w:webHidden/>
            </w:rPr>
            <w:instrText xml:space="preserve"> PAGEREF _Toc215092968 \h </w:instrText>
          </w:r>
          <w:r>
            <w:rPr>
              <w:webHidden/>
            </w:rPr>
          </w:r>
          <w:r>
            <w:rPr>
              <w:webHidden/>
            </w:rPr>
            <w:fldChar w:fldCharType="separate"/>
          </w:r>
          <w:r w:rsidR="008D422D">
            <w:rPr>
              <w:webHidden/>
            </w:rPr>
            <w:t>9</w:t>
          </w:r>
          <w:r>
            <w:rPr>
              <w:webHidden/>
            </w:rPr>
            <w:fldChar w:fldCharType="end"/>
          </w:r>
        </w:p>
        <w:p w14:paraId="41F6907D" w14:textId="15201862" w:rsidR="00F05677" w:rsidRDefault="00F05677">
          <w:pPr>
            <w:pStyle w:val="TOC1"/>
            <w:rPr>
              <w:rFonts w:asciiTheme="minorHAnsi" w:eastAsiaTheme="minorEastAsia" w:hAnsiTheme="minorHAnsi"/>
              <w:noProof/>
              <w:color w:val="auto"/>
              <w:kern w:val="2"/>
              <w:sz w:val="24"/>
              <w:szCs w:val="24"/>
              <w:lang w:eastAsia="en-AU"/>
              <w14:ligatures w14:val="standardContextual"/>
            </w:rPr>
          </w:pPr>
          <w:r w:rsidRPr="007C3D6F">
            <w:rPr>
              <w:noProof/>
              <w:spacing w:val="-6"/>
            </w:rPr>
            <w:t>Regulating to promote business dynamism</w:t>
          </w:r>
          <w:r>
            <w:rPr>
              <w:noProof/>
              <w:webHidden/>
            </w:rPr>
            <w:tab/>
          </w:r>
          <w:r>
            <w:rPr>
              <w:noProof/>
              <w:webHidden/>
            </w:rPr>
            <w:fldChar w:fldCharType="begin"/>
          </w:r>
          <w:r>
            <w:rPr>
              <w:noProof/>
              <w:webHidden/>
            </w:rPr>
            <w:instrText xml:space="preserve"> PAGEREF _Toc215092969 \h </w:instrText>
          </w:r>
          <w:r>
            <w:rPr>
              <w:noProof/>
              <w:webHidden/>
            </w:rPr>
          </w:r>
          <w:r>
            <w:rPr>
              <w:noProof/>
              <w:webHidden/>
            </w:rPr>
            <w:fldChar w:fldCharType="separate"/>
          </w:r>
          <w:r w:rsidR="008D422D">
            <w:rPr>
              <w:noProof/>
              <w:webHidden/>
            </w:rPr>
            <w:t>10</w:t>
          </w:r>
          <w:r>
            <w:rPr>
              <w:noProof/>
              <w:webHidden/>
            </w:rPr>
            <w:fldChar w:fldCharType="end"/>
          </w:r>
        </w:p>
        <w:p w14:paraId="2B11D5E4" w14:textId="33AE2ACD" w:rsidR="00F05677" w:rsidRDefault="00F05677">
          <w:pPr>
            <w:pStyle w:val="TOC2"/>
            <w:rPr>
              <w:rFonts w:asciiTheme="minorHAnsi" w:eastAsiaTheme="minorEastAsia" w:hAnsiTheme="minorHAnsi"/>
              <w:kern w:val="2"/>
              <w:sz w:val="24"/>
              <w:szCs w:val="24"/>
              <w:lang w:eastAsia="en-AU"/>
              <w14:ligatures w14:val="standardContextual"/>
            </w:rPr>
          </w:pPr>
          <w:r>
            <w:t>Experiences of regulation</w:t>
          </w:r>
          <w:r>
            <w:rPr>
              <w:webHidden/>
            </w:rPr>
            <w:tab/>
          </w:r>
          <w:r>
            <w:rPr>
              <w:webHidden/>
            </w:rPr>
            <w:fldChar w:fldCharType="begin"/>
          </w:r>
          <w:r>
            <w:rPr>
              <w:webHidden/>
            </w:rPr>
            <w:instrText xml:space="preserve"> PAGEREF _Toc215092970 \h </w:instrText>
          </w:r>
          <w:r>
            <w:rPr>
              <w:webHidden/>
            </w:rPr>
          </w:r>
          <w:r>
            <w:rPr>
              <w:webHidden/>
            </w:rPr>
            <w:fldChar w:fldCharType="separate"/>
          </w:r>
          <w:r w:rsidR="008D422D">
            <w:rPr>
              <w:webHidden/>
            </w:rPr>
            <w:t>10</w:t>
          </w:r>
          <w:r>
            <w:rPr>
              <w:webHidden/>
            </w:rPr>
            <w:fldChar w:fldCharType="end"/>
          </w:r>
        </w:p>
        <w:p w14:paraId="6647546E" w14:textId="706B11F5" w:rsidR="00F05677" w:rsidRDefault="00F05677">
          <w:pPr>
            <w:pStyle w:val="TOC2"/>
            <w:rPr>
              <w:rFonts w:asciiTheme="minorHAnsi" w:eastAsiaTheme="minorEastAsia" w:hAnsiTheme="minorHAnsi"/>
              <w:kern w:val="2"/>
              <w:sz w:val="24"/>
              <w:szCs w:val="24"/>
              <w:lang w:eastAsia="en-AU"/>
              <w14:ligatures w14:val="standardContextual"/>
            </w:rPr>
          </w:pPr>
          <w:r>
            <w:t>What makes regulation effective?</w:t>
          </w:r>
          <w:r>
            <w:rPr>
              <w:webHidden/>
            </w:rPr>
            <w:tab/>
          </w:r>
          <w:r>
            <w:rPr>
              <w:webHidden/>
            </w:rPr>
            <w:fldChar w:fldCharType="begin"/>
          </w:r>
          <w:r>
            <w:rPr>
              <w:webHidden/>
            </w:rPr>
            <w:instrText xml:space="preserve"> PAGEREF _Toc215092971 \h </w:instrText>
          </w:r>
          <w:r>
            <w:rPr>
              <w:webHidden/>
            </w:rPr>
          </w:r>
          <w:r>
            <w:rPr>
              <w:webHidden/>
            </w:rPr>
            <w:fldChar w:fldCharType="separate"/>
          </w:r>
          <w:r w:rsidR="008D422D">
            <w:rPr>
              <w:webHidden/>
            </w:rPr>
            <w:t>13</w:t>
          </w:r>
          <w:r>
            <w:rPr>
              <w:webHidden/>
            </w:rPr>
            <w:fldChar w:fldCharType="end"/>
          </w:r>
        </w:p>
        <w:p w14:paraId="597F0089" w14:textId="5825C274" w:rsidR="00F05677" w:rsidRDefault="00F05677">
          <w:pPr>
            <w:pStyle w:val="TOC2"/>
            <w:rPr>
              <w:rFonts w:asciiTheme="minorHAnsi" w:eastAsiaTheme="minorEastAsia" w:hAnsiTheme="minorHAnsi"/>
              <w:kern w:val="2"/>
              <w:sz w:val="24"/>
              <w:szCs w:val="24"/>
              <w:lang w:eastAsia="en-AU"/>
              <w14:ligatures w14:val="standardContextual"/>
            </w:rPr>
          </w:pPr>
          <w:r>
            <w:t>Ways to improve regulatory policy</w:t>
          </w:r>
          <w:r>
            <w:rPr>
              <w:webHidden/>
            </w:rPr>
            <w:tab/>
          </w:r>
          <w:r>
            <w:rPr>
              <w:webHidden/>
            </w:rPr>
            <w:fldChar w:fldCharType="begin"/>
          </w:r>
          <w:r>
            <w:rPr>
              <w:webHidden/>
            </w:rPr>
            <w:instrText xml:space="preserve"> PAGEREF _Toc215092972 \h </w:instrText>
          </w:r>
          <w:r>
            <w:rPr>
              <w:webHidden/>
            </w:rPr>
          </w:r>
          <w:r>
            <w:rPr>
              <w:webHidden/>
            </w:rPr>
            <w:fldChar w:fldCharType="separate"/>
          </w:r>
          <w:r w:rsidR="008D422D">
            <w:rPr>
              <w:webHidden/>
            </w:rPr>
            <w:t>16</w:t>
          </w:r>
          <w:r>
            <w:rPr>
              <w:webHidden/>
            </w:rPr>
            <w:fldChar w:fldCharType="end"/>
          </w:r>
        </w:p>
        <w:p w14:paraId="78447C48" w14:textId="47533E65" w:rsidR="00F05677" w:rsidRDefault="00F05677">
          <w:pPr>
            <w:pStyle w:val="TOC1"/>
            <w:rPr>
              <w:rFonts w:asciiTheme="minorHAnsi" w:eastAsiaTheme="minorEastAsia" w:hAnsiTheme="minorHAnsi"/>
              <w:noProof/>
              <w:color w:val="auto"/>
              <w:kern w:val="2"/>
              <w:sz w:val="24"/>
              <w:szCs w:val="24"/>
              <w:lang w:eastAsia="en-AU"/>
              <w14:ligatures w14:val="standardContextual"/>
            </w:rPr>
          </w:pPr>
          <w:r>
            <w:rPr>
              <w:noProof/>
            </w:rPr>
            <w:t>Emerging reform ideas</w:t>
          </w:r>
          <w:r>
            <w:rPr>
              <w:noProof/>
              <w:webHidden/>
            </w:rPr>
            <w:tab/>
          </w:r>
          <w:r>
            <w:rPr>
              <w:noProof/>
              <w:webHidden/>
            </w:rPr>
            <w:fldChar w:fldCharType="begin"/>
          </w:r>
          <w:r>
            <w:rPr>
              <w:noProof/>
              <w:webHidden/>
            </w:rPr>
            <w:instrText xml:space="preserve"> PAGEREF _Toc215092973 \h </w:instrText>
          </w:r>
          <w:r>
            <w:rPr>
              <w:noProof/>
              <w:webHidden/>
            </w:rPr>
          </w:r>
          <w:r>
            <w:rPr>
              <w:noProof/>
              <w:webHidden/>
            </w:rPr>
            <w:fldChar w:fldCharType="separate"/>
          </w:r>
          <w:r w:rsidR="008D422D">
            <w:rPr>
              <w:noProof/>
              <w:webHidden/>
            </w:rPr>
            <w:t>19</w:t>
          </w:r>
          <w:r>
            <w:rPr>
              <w:noProof/>
              <w:webHidden/>
            </w:rPr>
            <w:fldChar w:fldCharType="end"/>
          </w:r>
        </w:p>
        <w:p w14:paraId="7660C14D" w14:textId="55A12CE0" w:rsidR="00F05677" w:rsidRDefault="00F05677">
          <w:pPr>
            <w:pStyle w:val="TOC2"/>
            <w:rPr>
              <w:rFonts w:asciiTheme="minorHAnsi" w:eastAsiaTheme="minorEastAsia" w:hAnsiTheme="minorHAnsi"/>
              <w:kern w:val="2"/>
              <w:sz w:val="24"/>
              <w:szCs w:val="24"/>
              <w:lang w:eastAsia="en-AU"/>
              <w14:ligatures w14:val="standardContextual"/>
            </w:rPr>
          </w:pPr>
          <w:r>
            <w:t>Tax reforms outside of the corporate tax system</w:t>
          </w:r>
          <w:r>
            <w:rPr>
              <w:webHidden/>
            </w:rPr>
            <w:tab/>
          </w:r>
          <w:r>
            <w:rPr>
              <w:webHidden/>
            </w:rPr>
            <w:fldChar w:fldCharType="begin"/>
          </w:r>
          <w:r>
            <w:rPr>
              <w:webHidden/>
            </w:rPr>
            <w:instrText xml:space="preserve"> PAGEREF _Toc215092974 \h </w:instrText>
          </w:r>
          <w:r>
            <w:rPr>
              <w:webHidden/>
            </w:rPr>
          </w:r>
          <w:r>
            <w:rPr>
              <w:webHidden/>
            </w:rPr>
            <w:fldChar w:fldCharType="separate"/>
          </w:r>
          <w:r w:rsidR="008D422D">
            <w:rPr>
              <w:webHidden/>
            </w:rPr>
            <w:t>19</w:t>
          </w:r>
          <w:r>
            <w:rPr>
              <w:webHidden/>
            </w:rPr>
            <w:fldChar w:fldCharType="end"/>
          </w:r>
        </w:p>
        <w:p w14:paraId="78E49D95" w14:textId="6D3D0ABE" w:rsidR="00F05677" w:rsidRDefault="00F05677">
          <w:pPr>
            <w:pStyle w:val="TOC2"/>
            <w:rPr>
              <w:rFonts w:asciiTheme="minorHAnsi" w:eastAsiaTheme="minorEastAsia" w:hAnsiTheme="minorHAnsi"/>
              <w:kern w:val="2"/>
              <w:sz w:val="24"/>
              <w:szCs w:val="24"/>
              <w:lang w:eastAsia="en-AU"/>
              <w14:ligatures w14:val="standardContextual"/>
            </w:rPr>
          </w:pPr>
          <w:r>
            <w:t>Capitalising on technology and innovation</w:t>
          </w:r>
          <w:r>
            <w:rPr>
              <w:webHidden/>
            </w:rPr>
            <w:tab/>
          </w:r>
          <w:r>
            <w:rPr>
              <w:webHidden/>
            </w:rPr>
            <w:fldChar w:fldCharType="begin"/>
          </w:r>
          <w:r>
            <w:rPr>
              <w:webHidden/>
            </w:rPr>
            <w:instrText xml:space="preserve"> PAGEREF _Toc215092975 \h </w:instrText>
          </w:r>
          <w:r>
            <w:rPr>
              <w:webHidden/>
            </w:rPr>
          </w:r>
          <w:r>
            <w:rPr>
              <w:webHidden/>
            </w:rPr>
            <w:fldChar w:fldCharType="separate"/>
          </w:r>
          <w:r w:rsidR="008D422D">
            <w:rPr>
              <w:webHidden/>
            </w:rPr>
            <w:t>19</w:t>
          </w:r>
          <w:r>
            <w:rPr>
              <w:webHidden/>
            </w:rPr>
            <w:fldChar w:fldCharType="end"/>
          </w:r>
        </w:p>
        <w:p w14:paraId="757E4BA5" w14:textId="6B20C09D" w:rsidR="00F05677" w:rsidRDefault="00F05677">
          <w:pPr>
            <w:pStyle w:val="TOC2"/>
            <w:rPr>
              <w:rFonts w:asciiTheme="minorHAnsi" w:eastAsiaTheme="minorEastAsia" w:hAnsiTheme="minorHAnsi"/>
              <w:kern w:val="2"/>
              <w:sz w:val="24"/>
              <w:szCs w:val="24"/>
              <w:lang w:eastAsia="en-AU"/>
              <w14:ligatures w14:val="standardContextual"/>
            </w:rPr>
          </w:pPr>
          <w:r>
            <w:t>Other ideas</w:t>
          </w:r>
          <w:r>
            <w:rPr>
              <w:webHidden/>
            </w:rPr>
            <w:tab/>
          </w:r>
          <w:r>
            <w:rPr>
              <w:webHidden/>
            </w:rPr>
            <w:fldChar w:fldCharType="begin"/>
          </w:r>
          <w:r>
            <w:rPr>
              <w:webHidden/>
            </w:rPr>
            <w:instrText xml:space="preserve"> PAGEREF _Toc215092976 \h </w:instrText>
          </w:r>
          <w:r>
            <w:rPr>
              <w:webHidden/>
            </w:rPr>
          </w:r>
          <w:r>
            <w:rPr>
              <w:webHidden/>
            </w:rPr>
            <w:fldChar w:fldCharType="separate"/>
          </w:r>
          <w:r w:rsidR="008D422D">
            <w:rPr>
              <w:webHidden/>
            </w:rPr>
            <w:t>20</w:t>
          </w:r>
          <w:r>
            <w:rPr>
              <w:webHidden/>
            </w:rPr>
            <w:fldChar w:fldCharType="end"/>
          </w:r>
        </w:p>
        <w:p w14:paraId="0928F626" w14:textId="6A130C90" w:rsidR="00F05677" w:rsidRDefault="00F05677">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Overview of engagement</w:t>
          </w:r>
          <w:r>
            <w:rPr>
              <w:noProof/>
              <w:webHidden/>
            </w:rPr>
            <w:tab/>
          </w:r>
          <w:r>
            <w:rPr>
              <w:noProof/>
              <w:webHidden/>
            </w:rPr>
            <w:fldChar w:fldCharType="begin"/>
          </w:r>
          <w:r>
            <w:rPr>
              <w:noProof/>
              <w:webHidden/>
            </w:rPr>
            <w:instrText xml:space="preserve"> PAGEREF _Toc215092977 \h </w:instrText>
          </w:r>
          <w:r>
            <w:rPr>
              <w:noProof/>
              <w:webHidden/>
            </w:rPr>
          </w:r>
          <w:r>
            <w:rPr>
              <w:noProof/>
              <w:webHidden/>
            </w:rPr>
            <w:fldChar w:fldCharType="separate"/>
          </w:r>
          <w:r w:rsidR="008D422D">
            <w:rPr>
              <w:noProof/>
              <w:webHidden/>
            </w:rPr>
            <w:t>21</w:t>
          </w:r>
          <w:r>
            <w:rPr>
              <w:noProof/>
              <w:webHidden/>
            </w:rPr>
            <w:fldChar w:fldCharType="end"/>
          </w:r>
        </w:p>
        <w:p w14:paraId="0377D75D" w14:textId="62E6873D" w:rsidR="00F05677" w:rsidRDefault="00F05677">
          <w:pPr>
            <w:pStyle w:val="TOC2"/>
            <w:rPr>
              <w:rFonts w:asciiTheme="minorHAnsi" w:eastAsiaTheme="minorEastAsia" w:hAnsiTheme="minorHAnsi"/>
              <w:kern w:val="2"/>
              <w:sz w:val="24"/>
              <w:szCs w:val="24"/>
              <w:lang w:eastAsia="en-AU"/>
              <w14:ligatures w14:val="standardContextual"/>
            </w:rPr>
          </w:pPr>
          <w:r>
            <w:t>Consultation phases</w:t>
          </w:r>
          <w:r>
            <w:rPr>
              <w:webHidden/>
            </w:rPr>
            <w:tab/>
          </w:r>
          <w:r>
            <w:rPr>
              <w:webHidden/>
            </w:rPr>
            <w:fldChar w:fldCharType="begin"/>
          </w:r>
          <w:r>
            <w:rPr>
              <w:webHidden/>
            </w:rPr>
            <w:instrText xml:space="preserve"> PAGEREF _Toc215092978 \h </w:instrText>
          </w:r>
          <w:r>
            <w:rPr>
              <w:webHidden/>
            </w:rPr>
          </w:r>
          <w:r>
            <w:rPr>
              <w:webHidden/>
            </w:rPr>
            <w:fldChar w:fldCharType="separate"/>
          </w:r>
          <w:r w:rsidR="008D422D">
            <w:rPr>
              <w:webHidden/>
            </w:rPr>
            <w:t>21</w:t>
          </w:r>
          <w:r>
            <w:rPr>
              <w:webHidden/>
            </w:rPr>
            <w:fldChar w:fldCharType="end"/>
          </w:r>
        </w:p>
        <w:p w14:paraId="278DD02C" w14:textId="4ACD2F9D" w:rsidR="00F05677" w:rsidRDefault="00F05677">
          <w:pPr>
            <w:pStyle w:val="TOC2"/>
            <w:rPr>
              <w:rFonts w:asciiTheme="minorHAnsi" w:eastAsiaTheme="minorEastAsia" w:hAnsiTheme="minorHAnsi"/>
              <w:kern w:val="2"/>
              <w:sz w:val="24"/>
              <w:szCs w:val="24"/>
              <w:lang w:eastAsia="en-AU"/>
              <w14:ligatures w14:val="standardContextual"/>
            </w:rPr>
          </w:pPr>
          <w:r>
            <w:t>Engagement methods</w:t>
          </w:r>
          <w:r>
            <w:rPr>
              <w:webHidden/>
            </w:rPr>
            <w:tab/>
          </w:r>
          <w:r>
            <w:rPr>
              <w:webHidden/>
            </w:rPr>
            <w:fldChar w:fldCharType="begin"/>
          </w:r>
          <w:r>
            <w:rPr>
              <w:webHidden/>
            </w:rPr>
            <w:instrText xml:space="preserve"> PAGEREF _Toc215092979 \h </w:instrText>
          </w:r>
          <w:r>
            <w:rPr>
              <w:webHidden/>
            </w:rPr>
          </w:r>
          <w:r>
            <w:rPr>
              <w:webHidden/>
            </w:rPr>
            <w:fldChar w:fldCharType="separate"/>
          </w:r>
          <w:r w:rsidR="008D422D">
            <w:rPr>
              <w:webHidden/>
            </w:rPr>
            <w:t>21</w:t>
          </w:r>
          <w:r>
            <w:rPr>
              <w:webHidden/>
            </w:rPr>
            <w:fldChar w:fldCharType="end"/>
          </w:r>
        </w:p>
        <w:p w14:paraId="0677E31B" w14:textId="289705D6" w:rsidR="00F05677" w:rsidRDefault="00F05677">
          <w:pPr>
            <w:pStyle w:val="TOC2"/>
            <w:rPr>
              <w:rFonts w:asciiTheme="minorHAnsi" w:eastAsiaTheme="minorEastAsia" w:hAnsiTheme="minorHAnsi"/>
              <w:kern w:val="2"/>
              <w:sz w:val="24"/>
              <w:szCs w:val="24"/>
              <w:lang w:eastAsia="en-AU"/>
              <w14:ligatures w14:val="standardContextual"/>
            </w:rPr>
          </w:pPr>
          <w:r>
            <w:t>Other consultation</w:t>
          </w:r>
          <w:r>
            <w:rPr>
              <w:webHidden/>
            </w:rPr>
            <w:tab/>
          </w:r>
          <w:r>
            <w:rPr>
              <w:webHidden/>
            </w:rPr>
            <w:fldChar w:fldCharType="begin"/>
          </w:r>
          <w:r>
            <w:rPr>
              <w:webHidden/>
            </w:rPr>
            <w:instrText xml:space="preserve"> PAGEREF _Toc215092980 \h </w:instrText>
          </w:r>
          <w:r>
            <w:rPr>
              <w:webHidden/>
            </w:rPr>
          </w:r>
          <w:r>
            <w:rPr>
              <w:webHidden/>
            </w:rPr>
            <w:fldChar w:fldCharType="separate"/>
          </w:r>
          <w:r w:rsidR="008D422D">
            <w:rPr>
              <w:webHidden/>
            </w:rPr>
            <w:t>22</w:t>
          </w:r>
          <w:r>
            <w:rPr>
              <w:webHidden/>
            </w:rPr>
            <w:fldChar w:fldCharType="end"/>
          </w:r>
        </w:p>
        <w:p w14:paraId="40504259" w14:textId="3D1637C0" w:rsidR="00F05677" w:rsidRDefault="00F05677">
          <w:pPr>
            <w:pStyle w:val="TOC2"/>
            <w:rPr>
              <w:rFonts w:asciiTheme="minorHAnsi" w:eastAsiaTheme="minorEastAsia" w:hAnsiTheme="minorHAnsi"/>
              <w:kern w:val="2"/>
              <w:sz w:val="24"/>
              <w:szCs w:val="24"/>
              <w:lang w:eastAsia="en-AU"/>
              <w14:ligatures w14:val="standardContextual"/>
            </w:rPr>
          </w:pPr>
          <w:r>
            <w:t>Participation</w:t>
          </w:r>
          <w:r>
            <w:rPr>
              <w:webHidden/>
            </w:rPr>
            <w:tab/>
          </w:r>
          <w:r>
            <w:rPr>
              <w:webHidden/>
            </w:rPr>
            <w:fldChar w:fldCharType="begin"/>
          </w:r>
          <w:r>
            <w:rPr>
              <w:webHidden/>
            </w:rPr>
            <w:instrText xml:space="preserve"> PAGEREF _Toc215092981 \h </w:instrText>
          </w:r>
          <w:r>
            <w:rPr>
              <w:webHidden/>
            </w:rPr>
          </w:r>
          <w:r>
            <w:rPr>
              <w:webHidden/>
            </w:rPr>
            <w:fldChar w:fldCharType="separate"/>
          </w:r>
          <w:r w:rsidR="008D422D">
            <w:rPr>
              <w:webHidden/>
            </w:rPr>
            <w:t>22</w:t>
          </w:r>
          <w:r>
            <w:rPr>
              <w:webHidden/>
            </w:rPr>
            <w:fldChar w:fldCharType="end"/>
          </w:r>
        </w:p>
        <w:p w14:paraId="620E2B5E" w14:textId="0C80E930" w:rsidR="00F05677" w:rsidRDefault="00F05677">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Participant views on burdensome regulation</w:t>
          </w:r>
          <w:r>
            <w:rPr>
              <w:noProof/>
              <w:webHidden/>
            </w:rPr>
            <w:tab/>
          </w:r>
          <w:r>
            <w:rPr>
              <w:noProof/>
              <w:webHidden/>
            </w:rPr>
            <w:fldChar w:fldCharType="begin"/>
          </w:r>
          <w:r>
            <w:rPr>
              <w:noProof/>
              <w:webHidden/>
            </w:rPr>
            <w:instrText xml:space="preserve"> PAGEREF _Toc215092982 \h </w:instrText>
          </w:r>
          <w:r>
            <w:rPr>
              <w:noProof/>
              <w:webHidden/>
            </w:rPr>
          </w:r>
          <w:r>
            <w:rPr>
              <w:noProof/>
              <w:webHidden/>
            </w:rPr>
            <w:fldChar w:fldCharType="separate"/>
          </w:r>
          <w:r w:rsidR="008D422D">
            <w:rPr>
              <w:noProof/>
              <w:webHidden/>
            </w:rPr>
            <w:t>23</w:t>
          </w:r>
          <w:r>
            <w:rPr>
              <w:noProof/>
              <w:webHidden/>
            </w:rPr>
            <w:fldChar w:fldCharType="end"/>
          </w:r>
        </w:p>
        <w:p w14:paraId="54A2A996" w14:textId="38A8F140" w:rsidR="00F05677" w:rsidRDefault="00F05677">
          <w:pPr>
            <w:pStyle w:val="TOC2"/>
            <w:rPr>
              <w:rFonts w:asciiTheme="minorHAnsi" w:eastAsiaTheme="minorEastAsia" w:hAnsiTheme="minorHAnsi"/>
              <w:kern w:val="2"/>
              <w:sz w:val="24"/>
              <w:szCs w:val="24"/>
              <w:lang w:eastAsia="en-AU"/>
              <w14:ligatures w14:val="standardContextual"/>
            </w:rPr>
          </w:pPr>
          <w:r>
            <w:t>Financial reporting requirements and tax regulations</w:t>
          </w:r>
          <w:r>
            <w:rPr>
              <w:webHidden/>
            </w:rPr>
            <w:tab/>
          </w:r>
          <w:r>
            <w:rPr>
              <w:webHidden/>
            </w:rPr>
            <w:fldChar w:fldCharType="begin"/>
          </w:r>
          <w:r>
            <w:rPr>
              <w:webHidden/>
            </w:rPr>
            <w:instrText xml:space="preserve"> PAGEREF _Toc215092983 \h </w:instrText>
          </w:r>
          <w:r>
            <w:rPr>
              <w:webHidden/>
            </w:rPr>
          </w:r>
          <w:r>
            <w:rPr>
              <w:webHidden/>
            </w:rPr>
            <w:fldChar w:fldCharType="separate"/>
          </w:r>
          <w:r w:rsidR="008D422D">
            <w:rPr>
              <w:webHidden/>
            </w:rPr>
            <w:t>23</w:t>
          </w:r>
          <w:r>
            <w:rPr>
              <w:webHidden/>
            </w:rPr>
            <w:fldChar w:fldCharType="end"/>
          </w:r>
        </w:p>
        <w:p w14:paraId="7F50C3AB" w14:textId="4C338E2A" w:rsidR="00F05677" w:rsidRDefault="00F05677">
          <w:pPr>
            <w:pStyle w:val="TOC2"/>
            <w:rPr>
              <w:rFonts w:asciiTheme="minorHAnsi" w:eastAsiaTheme="minorEastAsia" w:hAnsiTheme="minorHAnsi"/>
              <w:kern w:val="2"/>
              <w:sz w:val="24"/>
              <w:szCs w:val="24"/>
              <w:lang w:eastAsia="en-AU"/>
              <w14:ligatures w14:val="standardContextual"/>
            </w:rPr>
          </w:pPr>
          <w:r>
            <w:t>Other business reporting requirements</w:t>
          </w:r>
          <w:r>
            <w:rPr>
              <w:webHidden/>
            </w:rPr>
            <w:tab/>
          </w:r>
          <w:r>
            <w:rPr>
              <w:webHidden/>
            </w:rPr>
            <w:fldChar w:fldCharType="begin"/>
          </w:r>
          <w:r>
            <w:rPr>
              <w:webHidden/>
            </w:rPr>
            <w:instrText xml:space="preserve"> PAGEREF _Toc215092984 \h </w:instrText>
          </w:r>
          <w:r>
            <w:rPr>
              <w:webHidden/>
            </w:rPr>
          </w:r>
          <w:r>
            <w:rPr>
              <w:webHidden/>
            </w:rPr>
            <w:fldChar w:fldCharType="separate"/>
          </w:r>
          <w:r w:rsidR="008D422D">
            <w:rPr>
              <w:webHidden/>
            </w:rPr>
            <w:t>24</w:t>
          </w:r>
          <w:r>
            <w:rPr>
              <w:webHidden/>
            </w:rPr>
            <w:fldChar w:fldCharType="end"/>
          </w:r>
        </w:p>
        <w:p w14:paraId="586F71B4" w14:textId="21462390" w:rsidR="00F05677" w:rsidRDefault="00F05677">
          <w:pPr>
            <w:pStyle w:val="TOC2"/>
            <w:rPr>
              <w:rFonts w:asciiTheme="minorHAnsi" w:eastAsiaTheme="minorEastAsia" w:hAnsiTheme="minorHAnsi"/>
              <w:kern w:val="2"/>
              <w:sz w:val="24"/>
              <w:szCs w:val="24"/>
              <w:lang w:eastAsia="en-AU"/>
              <w14:ligatures w14:val="standardContextual"/>
            </w:rPr>
          </w:pPr>
          <w:r w:rsidRPr="007C3D6F">
            <w:rPr>
              <w:spacing w:val="-6"/>
            </w:rPr>
            <w:t>Planning, development and construction sector regulations</w:t>
          </w:r>
          <w:r>
            <w:rPr>
              <w:webHidden/>
            </w:rPr>
            <w:tab/>
          </w:r>
          <w:r>
            <w:rPr>
              <w:webHidden/>
            </w:rPr>
            <w:fldChar w:fldCharType="begin"/>
          </w:r>
          <w:r>
            <w:rPr>
              <w:webHidden/>
            </w:rPr>
            <w:instrText xml:space="preserve"> PAGEREF _Toc215092985 \h </w:instrText>
          </w:r>
          <w:r>
            <w:rPr>
              <w:webHidden/>
            </w:rPr>
          </w:r>
          <w:r>
            <w:rPr>
              <w:webHidden/>
            </w:rPr>
            <w:fldChar w:fldCharType="separate"/>
          </w:r>
          <w:r w:rsidR="008D422D">
            <w:rPr>
              <w:webHidden/>
            </w:rPr>
            <w:t>25</w:t>
          </w:r>
          <w:r>
            <w:rPr>
              <w:webHidden/>
            </w:rPr>
            <w:fldChar w:fldCharType="end"/>
          </w:r>
        </w:p>
        <w:p w14:paraId="4669E686" w14:textId="1558B74B" w:rsidR="00F05677" w:rsidRDefault="00F05677">
          <w:pPr>
            <w:pStyle w:val="TOC2"/>
            <w:rPr>
              <w:rFonts w:asciiTheme="minorHAnsi" w:eastAsiaTheme="minorEastAsia" w:hAnsiTheme="minorHAnsi"/>
              <w:kern w:val="2"/>
              <w:sz w:val="24"/>
              <w:szCs w:val="24"/>
              <w:lang w:eastAsia="en-AU"/>
              <w14:ligatures w14:val="standardContextual"/>
            </w:rPr>
          </w:pPr>
          <w:r>
            <w:t>Medical, chemical and cosmetic sector regulations</w:t>
          </w:r>
          <w:r>
            <w:rPr>
              <w:webHidden/>
            </w:rPr>
            <w:tab/>
          </w:r>
          <w:r>
            <w:rPr>
              <w:webHidden/>
            </w:rPr>
            <w:fldChar w:fldCharType="begin"/>
          </w:r>
          <w:r>
            <w:rPr>
              <w:webHidden/>
            </w:rPr>
            <w:instrText xml:space="preserve"> PAGEREF _Toc215092986 \h </w:instrText>
          </w:r>
          <w:r>
            <w:rPr>
              <w:webHidden/>
            </w:rPr>
          </w:r>
          <w:r>
            <w:rPr>
              <w:webHidden/>
            </w:rPr>
            <w:fldChar w:fldCharType="separate"/>
          </w:r>
          <w:r w:rsidR="008D422D">
            <w:rPr>
              <w:webHidden/>
            </w:rPr>
            <w:t>26</w:t>
          </w:r>
          <w:r>
            <w:rPr>
              <w:webHidden/>
            </w:rPr>
            <w:fldChar w:fldCharType="end"/>
          </w:r>
        </w:p>
        <w:p w14:paraId="67BD7E3D" w14:textId="4ECF80C1" w:rsidR="00F05677" w:rsidRDefault="00F05677">
          <w:pPr>
            <w:pStyle w:val="TOC2"/>
            <w:rPr>
              <w:rFonts w:asciiTheme="minorHAnsi" w:eastAsiaTheme="minorEastAsia" w:hAnsiTheme="minorHAnsi"/>
              <w:kern w:val="2"/>
              <w:sz w:val="24"/>
              <w:szCs w:val="24"/>
              <w:lang w:eastAsia="en-AU"/>
              <w14:ligatures w14:val="standardContextual"/>
            </w:rPr>
          </w:pPr>
          <w:r>
            <w:t>Primary production, food and export sector regulations</w:t>
          </w:r>
          <w:r>
            <w:rPr>
              <w:webHidden/>
            </w:rPr>
            <w:tab/>
          </w:r>
          <w:r>
            <w:rPr>
              <w:webHidden/>
            </w:rPr>
            <w:fldChar w:fldCharType="begin"/>
          </w:r>
          <w:r>
            <w:rPr>
              <w:webHidden/>
            </w:rPr>
            <w:instrText xml:space="preserve"> PAGEREF _Toc215092987 \h </w:instrText>
          </w:r>
          <w:r>
            <w:rPr>
              <w:webHidden/>
            </w:rPr>
          </w:r>
          <w:r>
            <w:rPr>
              <w:webHidden/>
            </w:rPr>
            <w:fldChar w:fldCharType="separate"/>
          </w:r>
          <w:r w:rsidR="008D422D">
            <w:rPr>
              <w:webHidden/>
            </w:rPr>
            <w:t>26</w:t>
          </w:r>
          <w:r>
            <w:rPr>
              <w:webHidden/>
            </w:rPr>
            <w:fldChar w:fldCharType="end"/>
          </w:r>
        </w:p>
        <w:p w14:paraId="6BA0E903" w14:textId="3E0A7EB2" w:rsidR="00F05677" w:rsidRDefault="00F05677">
          <w:pPr>
            <w:pStyle w:val="TOC2"/>
            <w:rPr>
              <w:rFonts w:asciiTheme="minorHAnsi" w:eastAsiaTheme="minorEastAsia" w:hAnsiTheme="minorHAnsi"/>
              <w:kern w:val="2"/>
              <w:sz w:val="24"/>
              <w:szCs w:val="24"/>
              <w:lang w:eastAsia="en-AU"/>
              <w14:ligatures w14:val="standardContextual"/>
            </w:rPr>
          </w:pPr>
          <w:r>
            <w:t>Telecommunication sector regulations</w:t>
          </w:r>
          <w:r>
            <w:rPr>
              <w:webHidden/>
            </w:rPr>
            <w:tab/>
          </w:r>
          <w:r>
            <w:rPr>
              <w:webHidden/>
            </w:rPr>
            <w:fldChar w:fldCharType="begin"/>
          </w:r>
          <w:r>
            <w:rPr>
              <w:webHidden/>
            </w:rPr>
            <w:instrText xml:space="preserve"> PAGEREF _Toc215092988 \h </w:instrText>
          </w:r>
          <w:r>
            <w:rPr>
              <w:webHidden/>
            </w:rPr>
          </w:r>
          <w:r>
            <w:rPr>
              <w:webHidden/>
            </w:rPr>
            <w:fldChar w:fldCharType="separate"/>
          </w:r>
          <w:r w:rsidR="008D422D">
            <w:rPr>
              <w:webHidden/>
            </w:rPr>
            <w:t>26</w:t>
          </w:r>
          <w:r>
            <w:rPr>
              <w:webHidden/>
            </w:rPr>
            <w:fldChar w:fldCharType="end"/>
          </w:r>
        </w:p>
        <w:p w14:paraId="171805CA" w14:textId="4A6CA786" w:rsidR="00F05677" w:rsidRDefault="00F05677">
          <w:pPr>
            <w:pStyle w:val="TOC2"/>
            <w:rPr>
              <w:rFonts w:asciiTheme="minorHAnsi" w:eastAsiaTheme="minorEastAsia" w:hAnsiTheme="minorHAnsi"/>
              <w:kern w:val="2"/>
              <w:sz w:val="24"/>
              <w:szCs w:val="24"/>
              <w:lang w:eastAsia="en-AU"/>
              <w14:ligatures w14:val="standardContextual"/>
            </w:rPr>
          </w:pPr>
          <w:r>
            <w:t>Transport, freight and logistics sector regulations</w:t>
          </w:r>
          <w:r>
            <w:rPr>
              <w:webHidden/>
            </w:rPr>
            <w:tab/>
          </w:r>
          <w:r>
            <w:rPr>
              <w:webHidden/>
            </w:rPr>
            <w:fldChar w:fldCharType="begin"/>
          </w:r>
          <w:r>
            <w:rPr>
              <w:webHidden/>
            </w:rPr>
            <w:instrText xml:space="preserve"> PAGEREF _Toc215092989 \h </w:instrText>
          </w:r>
          <w:r>
            <w:rPr>
              <w:webHidden/>
            </w:rPr>
          </w:r>
          <w:r>
            <w:rPr>
              <w:webHidden/>
            </w:rPr>
            <w:fldChar w:fldCharType="separate"/>
          </w:r>
          <w:r w:rsidR="008D422D">
            <w:rPr>
              <w:webHidden/>
            </w:rPr>
            <w:t>27</w:t>
          </w:r>
          <w:r>
            <w:rPr>
              <w:webHidden/>
            </w:rPr>
            <w:fldChar w:fldCharType="end"/>
          </w:r>
        </w:p>
        <w:p w14:paraId="0FA2C6DD" w14:textId="175BE822" w:rsidR="00F05677" w:rsidRDefault="00F05677">
          <w:pPr>
            <w:pStyle w:val="TOC2"/>
            <w:rPr>
              <w:rFonts w:asciiTheme="minorHAnsi" w:eastAsiaTheme="minorEastAsia" w:hAnsiTheme="minorHAnsi"/>
              <w:kern w:val="2"/>
              <w:sz w:val="24"/>
              <w:szCs w:val="24"/>
              <w:lang w:eastAsia="en-AU"/>
              <w14:ligatures w14:val="standardContextual"/>
            </w:rPr>
          </w:pPr>
          <w:r>
            <w:t>Health sector regulations</w:t>
          </w:r>
          <w:r>
            <w:rPr>
              <w:webHidden/>
            </w:rPr>
            <w:tab/>
          </w:r>
          <w:r>
            <w:rPr>
              <w:webHidden/>
            </w:rPr>
            <w:fldChar w:fldCharType="begin"/>
          </w:r>
          <w:r>
            <w:rPr>
              <w:webHidden/>
            </w:rPr>
            <w:instrText xml:space="preserve"> PAGEREF _Toc215092990 \h </w:instrText>
          </w:r>
          <w:r>
            <w:rPr>
              <w:webHidden/>
            </w:rPr>
          </w:r>
          <w:r>
            <w:rPr>
              <w:webHidden/>
            </w:rPr>
            <w:fldChar w:fldCharType="separate"/>
          </w:r>
          <w:r w:rsidR="008D422D">
            <w:rPr>
              <w:webHidden/>
            </w:rPr>
            <w:t>27</w:t>
          </w:r>
          <w:r>
            <w:rPr>
              <w:webHidden/>
            </w:rPr>
            <w:fldChar w:fldCharType="end"/>
          </w:r>
        </w:p>
        <w:p w14:paraId="72B3D3C4" w14:textId="5D8FC530" w:rsidR="00F05677" w:rsidRDefault="00F05677">
          <w:pPr>
            <w:pStyle w:val="TOC2"/>
            <w:rPr>
              <w:rFonts w:asciiTheme="minorHAnsi" w:eastAsiaTheme="minorEastAsia" w:hAnsiTheme="minorHAnsi"/>
              <w:kern w:val="2"/>
              <w:sz w:val="24"/>
              <w:szCs w:val="24"/>
              <w:lang w:eastAsia="en-AU"/>
              <w14:ligatures w14:val="standardContextual"/>
            </w:rPr>
          </w:pPr>
          <w:r w:rsidRPr="007C3D6F">
            <w:rPr>
              <w:spacing w:val="-4"/>
            </w:rPr>
            <w:t>Workplace relations and occupational licensing regulations</w:t>
          </w:r>
          <w:r>
            <w:rPr>
              <w:webHidden/>
            </w:rPr>
            <w:tab/>
          </w:r>
          <w:r>
            <w:rPr>
              <w:webHidden/>
            </w:rPr>
            <w:fldChar w:fldCharType="begin"/>
          </w:r>
          <w:r>
            <w:rPr>
              <w:webHidden/>
            </w:rPr>
            <w:instrText xml:space="preserve"> PAGEREF _Toc215092991 \h </w:instrText>
          </w:r>
          <w:r>
            <w:rPr>
              <w:webHidden/>
            </w:rPr>
          </w:r>
          <w:r>
            <w:rPr>
              <w:webHidden/>
            </w:rPr>
            <w:fldChar w:fldCharType="separate"/>
          </w:r>
          <w:r w:rsidR="008D422D">
            <w:rPr>
              <w:webHidden/>
            </w:rPr>
            <w:t>27</w:t>
          </w:r>
          <w:r>
            <w:rPr>
              <w:webHidden/>
            </w:rPr>
            <w:fldChar w:fldCharType="end"/>
          </w:r>
        </w:p>
        <w:p w14:paraId="0A619EFE" w14:textId="77CFEAFB" w:rsidR="002E3F19" w:rsidRPr="00011F2F" w:rsidRDefault="002E3F19" w:rsidP="002E3F19">
          <w:pPr>
            <w:rPr>
              <w:bCs/>
            </w:rPr>
          </w:pPr>
          <w:r w:rsidRPr="000C29FA">
            <w:rPr>
              <w:sz w:val="18"/>
            </w:rPr>
            <w:fldChar w:fldCharType="end"/>
          </w:r>
        </w:p>
      </w:sdtContent>
    </w:sdt>
    <w:p w14:paraId="18A2425E" w14:textId="77777777" w:rsidR="00845F25" w:rsidRDefault="00845F25" w:rsidP="00823B3B">
      <w:pPr>
        <w:pStyle w:val="BodyText"/>
        <w:sectPr w:rsidR="00845F25" w:rsidSect="00D17C74">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cols w:space="708"/>
          <w:docGrid w:linePitch="360"/>
        </w:sectPr>
      </w:pPr>
    </w:p>
    <w:p w14:paraId="590A2488" w14:textId="77777777" w:rsidR="00845F25" w:rsidRDefault="00845F25" w:rsidP="00823B3B">
      <w:pPr>
        <w:pStyle w:val="BodyText"/>
      </w:pPr>
    </w:p>
    <w:p w14:paraId="5D615F3A" w14:textId="77777777" w:rsidR="00845F25" w:rsidRPr="00F02289" w:rsidRDefault="00845F25" w:rsidP="00823B3B">
      <w:pPr>
        <w:pStyle w:val="BodyText"/>
        <w:sectPr w:rsidR="00845F25" w:rsidRPr="00F02289" w:rsidSect="00D17C74">
          <w:headerReference w:type="even" r:id="rId26"/>
          <w:pgSz w:w="11906" w:h="16838" w:code="9"/>
          <w:pgMar w:top="1134" w:right="1134" w:bottom="1134" w:left="1134" w:header="794" w:footer="510" w:gutter="0"/>
          <w:pgNumType w:fmt="lowerRoman"/>
          <w:cols w:space="708"/>
          <w:docGrid w:linePitch="360"/>
        </w:sectPr>
      </w:pPr>
    </w:p>
    <w:p w14:paraId="3A6A297C" w14:textId="7B0A500F" w:rsidR="00305C0A" w:rsidRPr="00F02289" w:rsidRDefault="00305C0A" w:rsidP="002712B2">
      <w:pPr>
        <w:pStyle w:val="Heading1-nobackground"/>
        <w:spacing w:before="240"/>
      </w:pPr>
      <w:bookmarkStart w:id="4" w:name="_Toc215092964"/>
      <w:r w:rsidRPr="00F02289">
        <w:lastRenderedPageBreak/>
        <w:t>Introduction</w:t>
      </w:r>
      <w:bookmarkEnd w:id="4"/>
    </w:p>
    <w:p w14:paraId="2875671E" w14:textId="121D57D1" w:rsidR="00A11AF2" w:rsidRPr="00F02289" w:rsidRDefault="000F1FA5" w:rsidP="00511E1A">
      <w:pPr>
        <w:pStyle w:val="BodyText"/>
      </w:pPr>
      <w:r w:rsidRPr="00F02289">
        <w:t>In December 2024</w:t>
      </w:r>
      <w:r w:rsidR="00477BB7" w:rsidRPr="00F02289">
        <w:t>,</w:t>
      </w:r>
      <w:r w:rsidRPr="00F02289">
        <w:t xml:space="preserve"> the Australian Government </w:t>
      </w:r>
      <w:r w:rsidR="00DA68F7" w:rsidRPr="00F02289">
        <w:t>tasked</w:t>
      </w:r>
      <w:r w:rsidR="00701E41" w:rsidRPr="00F02289">
        <w:t xml:space="preserve"> </w:t>
      </w:r>
      <w:r w:rsidRPr="00F02289">
        <w:t>the Productivity Commission</w:t>
      </w:r>
      <w:r w:rsidRPr="00F02289" w:rsidDel="004C710D">
        <w:t xml:space="preserve"> </w:t>
      </w:r>
      <w:r w:rsidRPr="00F02289">
        <w:t>with undertak</w:t>
      </w:r>
      <w:r w:rsidR="00DA68F7" w:rsidRPr="00F02289">
        <w:t>ing</w:t>
      </w:r>
      <w:r w:rsidRPr="00F02289">
        <w:t xml:space="preserve"> </w:t>
      </w:r>
      <w:r w:rsidR="00C803B9" w:rsidRPr="00F02289">
        <w:t>five</w:t>
      </w:r>
      <w:r w:rsidR="002456D8" w:rsidRPr="00F02289">
        <w:t xml:space="preserve"> inquiries </w:t>
      </w:r>
      <w:r w:rsidR="00701E41" w:rsidRPr="00F02289">
        <w:t xml:space="preserve">aimed at </w:t>
      </w:r>
      <w:r w:rsidR="002456D8" w:rsidRPr="00F02289">
        <w:t>identify</w:t>
      </w:r>
      <w:r w:rsidR="00701E41" w:rsidRPr="00F02289">
        <w:t>ing</w:t>
      </w:r>
      <w:r w:rsidR="002456D8" w:rsidRPr="00F02289">
        <w:t xml:space="preserve"> priority </w:t>
      </w:r>
      <w:r w:rsidR="0094193F" w:rsidRPr="00F02289">
        <w:t>reforms and</w:t>
      </w:r>
      <w:r w:rsidR="00C803B9" w:rsidRPr="00F02289">
        <w:t xml:space="preserve"> </w:t>
      </w:r>
      <w:r w:rsidR="00701E41" w:rsidRPr="00F02289">
        <w:t>developing</w:t>
      </w:r>
      <w:r w:rsidR="00C803B9" w:rsidRPr="00F02289">
        <w:t xml:space="preserve"> </w:t>
      </w:r>
      <w:r w:rsidR="00080991" w:rsidRPr="00F02289">
        <w:t>practical</w:t>
      </w:r>
      <w:r w:rsidR="00701E41" w:rsidRPr="00F02289">
        <w:t xml:space="preserve">, </w:t>
      </w:r>
      <w:r w:rsidR="00080991" w:rsidRPr="00F02289">
        <w:t>implementable</w:t>
      </w:r>
      <w:r w:rsidR="00C803B9" w:rsidRPr="00F02289">
        <w:t xml:space="preserve"> recommendations to boost </w:t>
      </w:r>
      <w:r w:rsidR="0069227A" w:rsidRPr="00F02289">
        <w:t xml:space="preserve">Australia’s </w:t>
      </w:r>
      <w:r w:rsidR="003F2324" w:rsidRPr="00F02289">
        <w:t>productivity</w:t>
      </w:r>
      <w:r w:rsidR="00C803B9" w:rsidRPr="00F02289">
        <w:t xml:space="preserve"> grow</w:t>
      </w:r>
      <w:r w:rsidR="0069227A" w:rsidRPr="00F02289">
        <w:t>th</w:t>
      </w:r>
      <w:r w:rsidR="00C803B9" w:rsidRPr="00F02289">
        <w:t xml:space="preserve">. </w:t>
      </w:r>
    </w:p>
    <w:p w14:paraId="3E4B2101" w14:textId="5D73F862" w:rsidR="00080991" w:rsidRDefault="003F2324" w:rsidP="00511E1A">
      <w:pPr>
        <w:pStyle w:val="BodyText"/>
      </w:pPr>
      <w:r w:rsidRPr="00F02289">
        <w:t xml:space="preserve">As part of the </w:t>
      </w:r>
      <w:r w:rsidR="00080991" w:rsidRPr="00F02289">
        <w:t>terms</w:t>
      </w:r>
      <w:r w:rsidRPr="00F02289">
        <w:t xml:space="preserve"> of </w:t>
      </w:r>
      <w:r w:rsidR="00080991" w:rsidRPr="00F02289">
        <w:t>r</w:t>
      </w:r>
      <w:r w:rsidRPr="00F02289">
        <w:t>eference</w:t>
      </w:r>
      <w:r w:rsidR="00701E41" w:rsidRPr="00F02289">
        <w:t>,</w:t>
      </w:r>
      <w:r w:rsidRPr="00F02289">
        <w:t xml:space="preserve"> </w:t>
      </w:r>
      <w:r w:rsidR="00F645AE" w:rsidRPr="00F02289">
        <w:t xml:space="preserve">the PC was asked to engage </w:t>
      </w:r>
      <w:r w:rsidR="00080991" w:rsidRPr="00F02289">
        <w:t>widely</w:t>
      </w:r>
      <w:r w:rsidR="00F645AE" w:rsidRPr="00F02289">
        <w:t xml:space="preserve"> and </w:t>
      </w:r>
      <w:r w:rsidR="00701E41" w:rsidRPr="00F02289">
        <w:t>consult appropriately</w:t>
      </w:r>
      <w:r w:rsidR="00F645AE" w:rsidRPr="00F02289">
        <w:t xml:space="preserve">, including </w:t>
      </w:r>
      <w:r w:rsidR="00701E41" w:rsidRPr="00F02289">
        <w:t xml:space="preserve">by </w:t>
      </w:r>
      <w:r w:rsidR="00080991" w:rsidRPr="00F02289">
        <w:t>inviting public submissions.</w:t>
      </w:r>
    </w:p>
    <w:p w14:paraId="5699963A" w14:textId="1BD31A1B" w:rsidR="00BB19C8" w:rsidRPr="002712B2" w:rsidRDefault="008B3D98" w:rsidP="008B3D98">
      <w:pPr>
        <w:pStyle w:val="BodyText"/>
      </w:pPr>
      <w:r w:rsidRPr="002258E8">
        <w:t xml:space="preserve">For this inquiry into </w:t>
      </w:r>
      <w:r w:rsidR="004D0E29" w:rsidRPr="004D0E29">
        <w:rPr>
          <w:i/>
          <w:iCs/>
        </w:rPr>
        <w:t>C</w:t>
      </w:r>
      <w:r w:rsidR="002258E8" w:rsidRPr="004D0E29">
        <w:rPr>
          <w:i/>
          <w:iCs/>
        </w:rPr>
        <w:t>reating</w:t>
      </w:r>
      <w:r w:rsidR="002258E8" w:rsidRPr="004D0E29">
        <w:rPr>
          <w:i/>
        </w:rPr>
        <w:t xml:space="preserve"> a</w:t>
      </w:r>
      <w:r w:rsidR="00A51BE0" w:rsidRPr="004D0E29">
        <w:rPr>
          <w:i/>
        </w:rPr>
        <w:t xml:space="preserve"> more</w:t>
      </w:r>
      <w:r w:rsidR="002258E8" w:rsidRPr="004D0E29">
        <w:rPr>
          <w:i/>
        </w:rPr>
        <w:t xml:space="preserve"> dynamic and resilient economy</w:t>
      </w:r>
      <w:r w:rsidRPr="00C42862">
        <w:t xml:space="preserve">, we sought </w:t>
      </w:r>
      <w:r w:rsidR="00122BA5" w:rsidRPr="00C42862">
        <w:t>feedback</w:t>
      </w:r>
      <w:r w:rsidRPr="00C42862">
        <w:t xml:space="preserve"> and </w:t>
      </w:r>
      <w:r w:rsidR="00122BA5" w:rsidRPr="00C42862">
        <w:t>views on</w:t>
      </w:r>
      <w:r w:rsidRPr="00C42862">
        <w:t xml:space="preserve"> the </w:t>
      </w:r>
      <w:r w:rsidR="00122BA5" w:rsidRPr="00C42862">
        <w:t>best way</w:t>
      </w:r>
      <w:r w:rsidRPr="00C42862">
        <w:t xml:space="preserve"> </w:t>
      </w:r>
      <w:r w:rsidRPr="002712B2">
        <w:t xml:space="preserve">for </w:t>
      </w:r>
      <w:r w:rsidR="00122BA5" w:rsidRPr="002712B2">
        <w:t xml:space="preserve">the corporate tax system to support </w:t>
      </w:r>
      <w:r w:rsidR="0084528A" w:rsidRPr="002712B2">
        <w:t>dynamism</w:t>
      </w:r>
      <w:r w:rsidRPr="002712B2">
        <w:t xml:space="preserve"> and </w:t>
      </w:r>
      <w:r w:rsidR="0084528A" w:rsidRPr="002712B2">
        <w:t>investment</w:t>
      </w:r>
      <w:r w:rsidR="00461AFD" w:rsidRPr="002712B2">
        <w:t>,</w:t>
      </w:r>
      <w:r w:rsidR="0084528A" w:rsidRPr="002712B2">
        <w:t xml:space="preserve"> as well as the impact regulation was having on Australia</w:t>
      </w:r>
      <w:r w:rsidR="00A76BE6" w:rsidRPr="002712B2">
        <w:t>ns</w:t>
      </w:r>
      <w:r w:rsidR="0084528A" w:rsidRPr="002712B2">
        <w:t>.</w:t>
      </w:r>
      <w:r w:rsidRPr="002712B2">
        <w:t xml:space="preserve"> </w:t>
      </w:r>
    </w:p>
    <w:p w14:paraId="176D9A68" w14:textId="44D2A51E" w:rsidR="008B3D98" w:rsidRPr="0086371D" w:rsidRDefault="008B3D98" w:rsidP="008B3D98">
      <w:pPr>
        <w:pStyle w:val="BodyText"/>
      </w:pPr>
      <w:r w:rsidRPr="0086371D">
        <w:t xml:space="preserve">We focused on </w:t>
      </w:r>
      <w:r w:rsidR="0086371D" w:rsidRPr="0086371D">
        <w:t>two</w:t>
      </w:r>
      <w:r w:rsidRPr="0086371D">
        <w:t xml:space="preserve"> priority reform areas:</w:t>
      </w:r>
    </w:p>
    <w:p w14:paraId="50421321" w14:textId="637977DB" w:rsidR="00BB19C8" w:rsidRPr="00C42862" w:rsidRDefault="001379A5" w:rsidP="008B3D98">
      <w:pPr>
        <w:pStyle w:val="ListBullet"/>
      </w:pPr>
      <w:r>
        <w:t>c</w:t>
      </w:r>
      <w:r w:rsidR="00BA28BA" w:rsidRPr="00C42862">
        <w:t>orporate tax reform to spur business investment</w:t>
      </w:r>
    </w:p>
    <w:p w14:paraId="581F1B6B" w14:textId="75A24751" w:rsidR="00BB19C8" w:rsidRPr="0086371D" w:rsidRDefault="0086371D" w:rsidP="008B3D98">
      <w:pPr>
        <w:pStyle w:val="ListBullet"/>
      </w:pPr>
      <w:r w:rsidRPr="0086371D">
        <w:t>regulating to promote business dynamism</w:t>
      </w:r>
      <w:r w:rsidR="00A001E4">
        <w:t>.</w:t>
      </w:r>
    </w:p>
    <w:p w14:paraId="52B24013" w14:textId="6122F631" w:rsidR="00F77456" w:rsidRPr="00F02289" w:rsidRDefault="00080991" w:rsidP="00F77456">
      <w:pPr>
        <w:pStyle w:val="BodyText"/>
      </w:pPr>
      <w:r w:rsidRPr="00F02289">
        <w:t xml:space="preserve">This </w:t>
      </w:r>
      <w:r w:rsidR="009C654D" w:rsidRPr="00F02289">
        <w:t>w</w:t>
      </w:r>
      <w:r w:rsidRPr="00F02289">
        <w:t xml:space="preserve">hat </w:t>
      </w:r>
      <w:r w:rsidR="00275588" w:rsidRPr="00F02289">
        <w:t>w</w:t>
      </w:r>
      <w:r w:rsidRPr="00F02289">
        <w:t xml:space="preserve">e </w:t>
      </w:r>
      <w:r w:rsidR="00275588" w:rsidRPr="00F02289">
        <w:t>h</w:t>
      </w:r>
      <w:r w:rsidRPr="00F02289">
        <w:t xml:space="preserve">eard paper </w:t>
      </w:r>
      <w:r w:rsidR="00636530" w:rsidRPr="00F02289">
        <w:t>summarises</w:t>
      </w:r>
      <w:r w:rsidR="001D300E">
        <w:t xml:space="preserve"> the</w:t>
      </w:r>
      <w:r w:rsidR="00636530" w:rsidRPr="00F02289">
        <w:t xml:space="preserve"> </w:t>
      </w:r>
      <w:r w:rsidR="0094193F" w:rsidRPr="00F02289">
        <w:t>perspective</w:t>
      </w:r>
      <w:r w:rsidR="005B77F1" w:rsidRPr="00F02289">
        <w:t>s</w:t>
      </w:r>
      <w:r w:rsidR="00636530" w:rsidRPr="00F02289">
        <w:t xml:space="preserve"> of participants who </w:t>
      </w:r>
      <w:r w:rsidR="00740696" w:rsidRPr="00F02289">
        <w:t>engaged</w:t>
      </w:r>
      <w:r w:rsidR="00636530" w:rsidRPr="00F02289">
        <w:t xml:space="preserve"> with the </w:t>
      </w:r>
      <w:r w:rsidR="000A2879" w:rsidRPr="00F02289">
        <w:t>inquiry</w:t>
      </w:r>
      <w:r w:rsidR="000F68AC">
        <w:t xml:space="preserve"> through </w:t>
      </w:r>
      <w:r w:rsidR="00AC6A5E">
        <w:t xml:space="preserve">an </w:t>
      </w:r>
      <w:r w:rsidR="000F68AC">
        <w:t>online questionnaire and written submissions</w:t>
      </w:r>
      <w:r w:rsidR="00485F92">
        <w:t xml:space="preserve"> – a summary of </w:t>
      </w:r>
      <w:r w:rsidR="00B16E42">
        <w:t xml:space="preserve">key statistics from the </w:t>
      </w:r>
      <w:r w:rsidR="00485F92">
        <w:t xml:space="preserve">consultation </w:t>
      </w:r>
      <w:r w:rsidR="00D73FB8">
        <w:t xml:space="preserve">process </w:t>
      </w:r>
      <w:r w:rsidR="00485F92">
        <w:t>is</w:t>
      </w:r>
      <w:r w:rsidR="00D73FB8">
        <w:t xml:space="preserve"> provided</w:t>
      </w:r>
      <w:r w:rsidR="00485F92">
        <w:t xml:space="preserve"> in figure</w:t>
      </w:r>
      <w:r w:rsidR="00C44D1D">
        <w:t> </w:t>
      </w:r>
      <w:r w:rsidR="00485F92">
        <w:t>1</w:t>
      </w:r>
      <w:r w:rsidR="009D208A">
        <w:t>.</w:t>
      </w:r>
      <w:r w:rsidR="000A2879" w:rsidRPr="00F02289">
        <w:t xml:space="preserve"> </w:t>
      </w:r>
      <w:r w:rsidR="007E1B04">
        <w:t>I</w:t>
      </w:r>
      <w:r w:rsidR="00321B54">
        <w:t>t</w:t>
      </w:r>
      <w:r w:rsidR="00F77456" w:rsidRPr="00011F2F">
        <w:t xml:space="preserve"> seeks to </w:t>
      </w:r>
      <w:r w:rsidR="00892381">
        <w:t>reflect the</w:t>
      </w:r>
      <w:r w:rsidR="00892381" w:rsidRPr="00011F2F">
        <w:t xml:space="preserve"> </w:t>
      </w:r>
      <w:r w:rsidR="00991AD8">
        <w:t xml:space="preserve">written </w:t>
      </w:r>
      <w:r w:rsidR="001D300E">
        <w:t>feedback</w:t>
      </w:r>
      <w:r w:rsidR="00F77456" w:rsidRPr="00011F2F">
        <w:t xml:space="preserve"> received</w:t>
      </w:r>
      <w:r w:rsidR="00E56D7D">
        <w:t>, organised</w:t>
      </w:r>
      <w:r w:rsidR="00F77456" w:rsidRPr="00011F2F">
        <w:t xml:space="preserve"> </w:t>
      </w:r>
      <w:r w:rsidR="00F02289" w:rsidRPr="00F02289">
        <w:t>by</w:t>
      </w:r>
      <w:r w:rsidR="00A15AAE">
        <w:t xml:space="preserve"> </w:t>
      </w:r>
      <w:r w:rsidR="00F02289" w:rsidRPr="00F02289">
        <w:t xml:space="preserve">key themes </w:t>
      </w:r>
      <w:r w:rsidR="00E56D7D">
        <w:t>across the</w:t>
      </w:r>
      <w:r w:rsidR="00F02289" w:rsidRPr="00F02289">
        <w:t xml:space="preserve"> reform area</w:t>
      </w:r>
      <w:r w:rsidR="00E56D7D">
        <w:t>s</w:t>
      </w:r>
      <w:r w:rsidR="00F02289" w:rsidRPr="00F02289">
        <w:t xml:space="preserve"> explored in the inquiry.</w:t>
      </w:r>
    </w:p>
    <w:p w14:paraId="0D7C38EA" w14:textId="3F000697" w:rsidR="00966880" w:rsidRPr="002712B2" w:rsidRDefault="00966880" w:rsidP="00966880">
      <w:pPr>
        <w:pStyle w:val="BodyText"/>
        <w:rPr>
          <w:spacing w:val="2"/>
        </w:rPr>
      </w:pPr>
      <w:r w:rsidRPr="002712B2">
        <w:rPr>
          <w:spacing w:val="2"/>
        </w:rPr>
        <w:t>All questionnaire responses and submissions were read and considered by staff. AI tools were used in some cases to help identify themes and group perspectives from these responses. Staff reviewed all AI</w:t>
      </w:r>
      <w:r w:rsidR="00C44D1D" w:rsidRPr="002712B2">
        <w:rPr>
          <w:spacing w:val="2"/>
        </w:rPr>
        <w:noBreakHyphen/>
      </w:r>
      <w:r w:rsidRPr="002712B2">
        <w:rPr>
          <w:spacing w:val="2"/>
        </w:rPr>
        <w:t>generated outputs.</w:t>
      </w:r>
    </w:p>
    <w:p w14:paraId="668E13E1" w14:textId="77777777" w:rsidR="00C66B55" w:rsidRDefault="004516D4" w:rsidP="007B6A8E">
      <w:pPr>
        <w:pStyle w:val="BodyText"/>
      </w:pPr>
      <w:r>
        <w:t>We</w:t>
      </w:r>
      <w:r w:rsidR="0082392E" w:rsidRPr="0082392E">
        <w:t xml:space="preserve"> thank all participants </w:t>
      </w:r>
      <w:r w:rsidR="00631E20">
        <w:t xml:space="preserve">and acknowledge the valuable contributions from </w:t>
      </w:r>
      <w:r w:rsidR="00B11A29">
        <w:t>individuals,</w:t>
      </w:r>
      <w:r w:rsidR="00631E20">
        <w:t xml:space="preserve"> </w:t>
      </w:r>
      <w:r w:rsidR="00E6001E">
        <w:t>businesses</w:t>
      </w:r>
      <w:r w:rsidR="00631E20" w:rsidRPr="00631E20">
        <w:t xml:space="preserve"> and industry organisations, </w:t>
      </w:r>
      <w:r w:rsidR="00E6001E" w:rsidRPr="00631E20">
        <w:t>not</w:t>
      </w:r>
      <w:r w:rsidR="00C44D1D">
        <w:noBreakHyphen/>
      </w:r>
      <w:r w:rsidR="00E6001E" w:rsidRPr="00631E20">
        <w:t>for</w:t>
      </w:r>
      <w:r w:rsidR="00C44D1D">
        <w:noBreakHyphen/>
      </w:r>
      <w:r w:rsidR="00E6001E" w:rsidRPr="00631E20">
        <w:t>profit organisations</w:t>
      </w:r>
      <w:r w:rsidR="00E6001E">
        <w:t>,</w:t>
      </w:r>
      <w:r w:rsidR="00E6001E" w:rsidRPr="00631E20">
        <w:t xml:space="preserve"> </w:t>
      </w:r>
      <w:r w:rsidR="00631E20" w:rsidRPr="00631E20">
        <w:t>government departments</w:t>
      </w:r>
      <w:r w:rsidR="00E6001E">
        <w:t xml:space="preserve"> and regulators</w:t>
      </w:r>
      <w:r w:rsidR="00631E20" w:rsidRPr="00631E20">
        <w:t>, academics, think tanks and</w:t>
      </w:r>
      <w:r w:rsidR="009E3DAD">
        <w:t xml:space="preserve"> union</w:t>
      </w:r>
      <w:r w:rsidR="0035751B">
        <w:t>s.</w:t>
      </w:r>
    </w:p>
    <w:p w14:paraId="757E68DC" w14:textId="49141774" w:rsidR="00F41BA1" w:rsidRDefault="00F41BA1">
      <w:pPr>
        <w:spacing w:before="0" w:after="160" w:line="259" w:lineRule="auto"/>
        <w:rPr>
          <w:rFonts w:ascii="Arial" w:hAnsi="Arial"/>
        </w:rPr>
      </w:pPr>
      <w:r>
        <w:br w:type="page"/>
      </w:r>
    </w:p>
    <w:p w14:paraId="59C61AD0" w14:textId="1D218AB9" w:rsidR="00842B19" w:rsidRPr="00F02289" w:rsidRDefault="005A7933" w:rsidP="00917108">
      <w:pPr>
        <w:pStyle w:val="FigureTableHeading"/>
      </w:pPr>
      <w:r>
        <w:lastRenderedPageBreak/>
        <w:t>Figure</w:t>
      </w:r>
      <w:r w:rsidR="00AC364C">
        <w:t> </w:t>
      </w:r>
      <w:r w:rsidR="0080679F">
        <w:t>1</w:t>
      </w:r>
      <w:r>
        <w:rPr>
          <w:noProof/>
        </w:rPr>
        <w:t xml:space="preserve"> </w:t>
      </w:r>
      <w:r>
        <w:t xml:space="preserve">– </w:t>
      </w:r>
      <w:r w:rsidR="00875B60">
        <w:t>Participation in consultation process</w:t>
      </w:r>
    </w:p>
    <w:p w14:paraId="6DC5B757" w14:textId="61565F13" w:rsidR="002712B2" w:rsidRDefault="0079772C" w:rsidP="00CB46ED">
      <w:pPr>
        <w:pStyle w:val="BodyText"/>
      </w:pPr>
      <w:r w:rsidRPr="0079772C">
        <w:rPr>
          <w:noProof/>
        </w:rPr>
        <w:drawing>
          <wp:inline distT="0" distB="0" distL="0" distR="0" wp14:anchorId="1A78C831" wp14:editId="24E062B3">
            <wp:extent cx="6084000" cy="8203742"/>
            <wp:effectExtent l="0" t="0" r="0" b="0"/>
            <wp:docPr id="476271521" name="Picture 1" descr="This figure indicates the responses received to the consultation.&#10;100 total questionnaire responses were received. By reform area, there were 52 for ‘Corporate tax reform to spur business investment’ and 84 for ‘regulating to promote business dynamism’. By respondent type, 39% were from industry or advocacy organisation, professional association or peak body; 26% were from companies or other type of business; 20% were from individuals; 3% were from academics; 3% were from think tanks; 3% were from not-for profits; 2% were from government; and 1% were from unions. 3% had an unknown respondent type.&#10;201 total submissions were received. 48 were received pre-interim report, and 153 were received post interim report. Of the post-interim submissions, 102 were from organisations, 51 were from individuals, and 0 were from Aboriginal and Torres Strait Islander individuals or organisations. By jurisdiction the post interim submissions were from: 51 New South Wales, 34 Victoria, 8 Queensland; 15 Western Australia; 1 South Australia; 4 Tasmania; 36 ACT; 0 Northern Territory.&#10;There were 108 meetings held as other consult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71521" name="Picture 1" descr="This figure indicates the responses received to the consultation.&#10;100 total questionnaire responses were received. By reform area, there were 52 for ‘Corporate tax reform to spur business investment’ and 84 for ‘regulating to promote business dynamism’. By respondent type, 39% were from industry or advocacy organisation, professional association or peak body; 26% were from companies or other type of business; 20% were from individuals; 3% were from academics; 3% were from think tanks; 3% were from not-for profits; 2% were from government; and 1% were from unions. 3% had an unknown respondent type.&#10;201 total submissions were received. 48 were received pre-interim report, and 153 were received post interim report. Of the post-interim submissions, 102 were from organisations, 51 were from individuals, and 0 were from Aboriginal and Torres Strait Islander individuals or organisations. By jurisdiction the post interim submissions were from: 51 New South Wales, 34 Victoria, 8 Queensland; 15 Western Australia; 1 South Australia; 4 Tasmania; 36 ACT; 0 Northern Territory.&#10;There were 108 meetings held as other consultation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000" cy="8203742"/>
                    </a:xfrm>
                    <a:prstGeom prst="rect">
                      <a:avLst/>
                    </a:prstGeom>
                    <a:noFill/>
                    <a:ln>
                      <a:noFill/>
                    </a:ln>
                  </pic:spPr>
                </pic:pic>
              </a:graphicData>
            </a:graphic>
          </wp:inline>
        </w:drawing>
      </w:r>
      <w:r w:rsidR="00BF5D48" w:rsidRPr="00BF5D48">
        <w:t xml:space="preserve"> </w:t>
      </w:r>
      <w:r w:rsidR="002712B2">
        <w:br w:type="page"/>
      </w:r>
    </w:p>
    <w:p w14:paraId="61A90105" w14:textId="0528E2BB" w:rsidR="00630790" w:rsidRPr="00F02289" w:rsidRDefault="00BA28BA" w:rsidP="00917108">
      <w:pPr>
        <w:pStyle w:val="Heading1-nobackground"/>
      </w:pPr>
      <w:bookmarkStart w:id="5" w:name="_Toc215092965"/>
      <w:r w:rsidRPr="00BA28BA">
        <w:lastRenderedPageBreak/>
        <w:t>Corporate tax reform to spur business investment</w:t>
      </w:r>
      <w:bookmarkEnd w:id="5"/>
    </w:p>
    <w:p w14:paraId="481A7529" w14:textId="2C5902E3" w:rsidR="001D56B8" w:rsidRPr="004F1CAD" w:rsidRDefault="001D56B8" w:rsidP="001D56B8">
      <w:pPr>
        <w:pStyle w:val="BodyText"/>
      </w:pPr>
      <w:r w:rsidRPr="004F1CAD">
        <w:t xml:space="preserve">Corporate tax reform can boost </w:t>
      </w:r>
      <w:r>
        <w:t>business investment and dynamism</w:t>
      </w:r>
      <w:r w:rsidRPr="004F1CAD">
        <w:t xml:space="preserve">, leading to </w:t>
      </w:r>
      <w:r>
        <w:t>higher levels of productivity and better social outcomes</w:t>
      </w:r>
      <w:r w:rsidRPr="004F1CAD">
        <w:t xml:space="preserve">. In our consultations for this inquiry, we sought to </w:t>
      </w:r>
      <w:r>
        <w:t>identify what elements of the corporate tax system encourage investment as well as views on our proposed reform</w:t>
      </w:r>
      <w:r w:rsidR="00FD41B7">
        <w:t>s</w:t>
      </w:r>
      <w:r w:rsidRPr="004F1CAD">
        <w:t xml:space="preserve">. We identified </w:t>
      </w:r>
      <w:r>
        <w:t>three</w:t>
      </w:r>
      <w:r w:rsidRPr="004F1CAD">
        <w:t xml:space="preserve"> key themes </w:t>
      </w:r>
      <w:r w:rsidR="001F05DB" w:rsidRPr="001F05DB">
        <w:t>from the questionnaire responses and submissions</w:t>
      </w:r>
      <w:r w:rsidRPr="004F1CAD">
        <w:t xml:space="preserve">: </w:t>
      </w:r>
    </w:p>
    <w:p w14:paraId="22F52A07" w14:textId="7F9507FC" w:rsidR="00370B42" w:rsidRPr="001D29A2" w:rsidRDefault="005C71A4" w:rsidP="00721E72">
      <w:pPr>
        <w:pStyle w:val="BodyText"/>
        <w:spacing w:before="240"/>
      </w:pPr>
      <w:r w:rsidRPr="005C71A4">
        <w:rPr>
          <w:noProof/>
        </w:rPr>
        <w:drawing>
          <wp:inline distT="0" distB="0" distL="0" distR="0" wp14:anchorId="20F4282C" wp14:editId="52BC09D9">
            <wp:extent cx="6120130" cy="1662430"/>
            <wp:effectExtent l="0" t="0" r="0" b="0"/>
            <wp:docPr id="214505890" name="Picture 2" descr="These boxes summarise the key themes from responses to corporate tax reform to spur business investment. They are:&#10;1. Changes to the company tax rate. A reduction in the company tax rate can boost&#10;investment and dynamism in the economy&#10;2. Implementation of the net cashflow tax. The net cashflow tax should be designed to promote investment&#10;3. Alternative proposals. Other tax reforms outside of the corporate tax system can be consid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5890" name="Picture 2" descr="These boxes summarise the key themes from responses to corporate tax reform to spur business investment. They are:&#10;1. Changes to the company tax rate. A reduction in the company tax rate can boost&#10;investment and dynamism in the economy&#10;2. Implementation of the net cashflow tax. The net cashflow tax should be designed to promote investment&#10;3. Alternative proposals. Other tax reforms outside of the corporate tax system can be considered&#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662430"/>
                    </a:xfrm>
                    <a:prstGeom prst="rect">
                      <a:avLst/>
                    </a:prstGeom>
                    <a:noFill/>
                    <a:ln>
                      <a:noFill/>
                    </a:ln>
                  </pic:spPr>
                </pic:pic>
              </a:graphicData>
            </a:graphic>
          </wp:inline>
        </w:drawing>
      </w:r>
    </w:p>
    <w:p w14:paraId="37CE908A" w14:textId="3493D25C" w:rsidR="00370B42" w:rsidRDefault="005B0561" w:rsidP="00917108">
      <w:pPr>
        <w:pStyle w:val="Heading2-nonumber"/>
      </w:pPr>
      <w:bookmarkStart w:id="6" w:name="_Toc215092966"/>
      <w:r w:rsidRPr="005B0561">
        <w:t>Changes to the company tax rate</w:t>
      </w:r>
      <w:bookmarkEnd w:id="6"/>
    </w:p>
    <w:p w14:paraId="5F5C4A01" w14:textId="01DDBDAB" w:rsidR="00684242" w:rsidRPr="002712B2" w:rsidRDefault="007A4ACE" w:rsidP="007A4ACE">
      <w:pPr>
        <w:pStyle w:val="BodyText"/>
        <w:rPr>
          <w:spacing w:val="-4"/>
        </w:rPr>
      </w:pPr>
      <w:r w:rsidRPr="002712B2">
        <w:rPr>
          <w:spacing w:val="-4"/>
        </w:rPr>
        <w:t>Many submissions agreed</w:t>
      </w:r>
      <w:r w:rsidR="000A7C3A" w:rsidRPr="002712B2">
        <w:rPr>
          <w:spacing w:val="-4"/>
        </w:rPr>
        <w:t xml:space="preserve">, at least in principle, </w:t>
      </w:r>
      <w:r w:rsidRPr="002712B2">
        <w:rPr>
          <w:spacing w:val="-4"/>
        </w:rPr>
        <w:t xml:space="preserve">with </w:t>
      </w:r>
      <w:r w:rsidR="004F7EFF" w:rsidRPr="002712B2">
        <w:rPr>
          <w:spacing w:val="-4"/>
        </w:rPr>
        <w:t>our</w:t>
      </w:r>
      <w:r w:rsidRPr="002712B2">
        <w:rPr>
          <w:spacing w:val="-4"/>
        </w:rPr>
        <w:t xml:space="preserve"> proposal </w:t>
      </w:r>
      <w:r w:rsidR="004F7EFF" w:rsidRPr="002712B2">
        <w:rPr>
          <w:spacing w:val="-4"/>
        </w:rPr>
        <w:t>for</w:t>
      </w:r>
      <w:r w:rsidRPr="002712B2">
        <w:rPr>
          <w:spacing w:val="-4"/>
        </w:rPr>
        <w:t xml:space="preserve"> a reduction in the company </w:t>
      </w:r>
      <w:r w:rsidR="00A565D7" w:rsidRPr="002712B2">
        <w:rPr>
          <w:spacing w:val="-4"/>
        </w:rPr>
        <w:t xml:space="preserve">income </w:t>
      </w:r>
      <w:r w:rsidRPr="002712B2">
        <w:rPr>
          <w:spacing w:val="-4"/>
        </w:rPr>
        <w:t xml:space="preserve">tax </w:t>
      </w:r>
      <w:r w:rsidR="00A565D7" w:rsidRPr="002712B2">
        <w:rPr>
          <w:spacing w:val="-4"/>
        </w:rPr>
        <w:t xml:space="preserve">(CIT) </w:t>
      </w:r>
      <w:r w:rsidRPr="002712B2">
        <w:rPr>
          <w:spacing w:val="-4"/>
        </w:rPr>
        <w:t xml:space="preserve">rate. Some supported only cutting the tax rate for small businesses without introducing any other tax changes. </w:t>
      </w:r>
    </w:p>
    <w:p w14:paraId="27159ECB" w14:textId="6E4EAD64" w:rsidR="0053129C" w:rsidRDefault="00AE1CFE" w:rsidP="0053129C">
      <w:pPr>
        <w:pStyle w:val="Quote"/>
      </w:pPr>
      <w:r>
        <w:t>[Council of Small Business Organisations Australia] (</w:t>
      </w:r>
      <w:r w:rsidR="0053129C" w:rsidRPr="008E4F2B">
        <w:t>COSBOA</w:t>
      </w:r>
      <w:r>
        <w:t>)</w:t>
      </w:r>
      <w:r w:rsidR="0053129C" w:rsidRPr="008E4F2B">
        <w:t xml:space="preserve"> strongly supports the proposed company tax rate reductions with COSBOA modelling showing that reducing the tax rate from 25 per cent to 20 per cent for small businesses would inject up to $11.4 billion into GDP over five years</w:t>
      </w:r>
      <w:r w:rsidR="0053129C">
        <w:t>. (</w:t>
      </w:r>
      <w:r w:rsidR="00473CD6">
        <w:t>COSBOA</w:t>
      </w:r>
      <w:r w:rsidR="0053129C">
        <w:t>, sub.</w:t>
      </w:r>
      <w:r w:rsidR="00AC364C">
        <w:t> </w:t>
      </w:r>
      <w:r w:rsidR="0053129C">
        <w:t>110, p.</w:t>
      </w:r>
      <w:r w:rsidR="00AC364C">
        <w:t> </w:t>
      </w:r>
      <w:r w:rsidR="0053129C">
        <w:t>1)</w:t>
      </w:r>
    </w:p>
    <w:p w14:paraId="0379A286" w14:textId="1392FBB2" w:rsidR="0053129C" w:rsidRDefault="0053129C" w:rsidP="0053129C">
      <w:pPr>
        <w:pStyle w:val="Quote"/>
      </w:pPr>
      <w:r>
        <w:t>A higher tax rate directly reduces businesses’ after</w:t>
      </w:r>
      <w:r w:rsidR="00C44D1D">
        <w:noBreakHyphen/>
      </w:r>
      <w:r>
        <w:t xml:space="preserve">tax returns, diminishing their incentive to invest in new projects, technologies, and expansion – all critical for productivity growth. (Intuit Australia, </w:t>
      </w:r>
      <w:r w:rsidR="005509F3">
        <w:t xml:space="preserve">qr. </w:t>
      </w:r>
      <w:r>
        <w:t>92, p.</w:t>
      </w:r>
      <w:r w:rsidR="00AC364C">
        <w:t> </w:t>
      </w:r>
      <w:r>
        <w:t>1)</w:t>
      </w:r>
    </w:p>
    <w:p w14:paraId="16B1A1E0" w14:textId="787BF717" w:rsidR="00684242" w:rsidRDefault="0053129C" w:rsidP="0053129C">
      <w:pPr>
        <w:pStyle w:val="BodyText"/>
      </w:pPr>
      <w:r>
        <w:t xml:space="preserve">In addition, many participants suggested that reducing Australia’s relatively high corporate tax rates would boost international competitiveness and encourage foreign investment. </w:t>
      </w:r>
    </w:p>
    <w:p w14:paraId="487B3B7D" w14:textId="0C1BE9FA" w:rsidR="0053129C" w:rsidRDefault="00E739DA" w:rsidP="00712E22">
      <w:pPr>
        <w:pStyle w:val="Quote"/>
      </w:pPr>
      <w:r w:rsidRPr="00E739DA">
        <w:t>Australia</w:t>
      </w:r>
      <w:r w:rsidR="0085613E">
        <w:t>’</w:t>
      </w:r>
      <w:r w:rsidRPr="00E739DA">
        <w:t xml:space="preserve">s corporate income tax rate is among the highest in the OECD and poses a challenge for attracting foreign </w:t>
      </w:r>
      <w:r w:rsidR="00CA76E6" w:rsidRPr="00E739DA">
        <w:t>investment.</w:t>
      </w:r>
      <w:r w:rsidR="004307F7">
        <w:t xml:space="preserve"> (The Tax Institute, sub</w:t>
      </w:r>
      <w:r>
        <w:t>.</w:t>
      </w:r>
      <w:r w:rsidR="00AC364C">
        <w:t> </w:t>
      </w:r>
      <w:r>
        <w:t>48</w:t>
      </w:r>
      <w:r w:rsidR="004307F7">
        <w:t>, p.</w:t>
      </w:r>
      <w:r w:rsidR="00AC364C">
        <w:t> </w:t>
      </w:r>
      <w:r>
        <w:t>10</w:t>
      </w:r>
      <w:r w:rsidR="004307F7">
        <w:t>)</w:t>
      </w:r>
    </w:p>
    <w:p w14:paraId="479086DB" w14:textId="211B0D02" w:rsidR="00D62ABC" w:rsidRDefault="00D62ABC" w:rsidP="00D62ABC">
      <w:pPr>
        <w:pStyle w:val="Quote"/>
      </w:pPr>
      <w:r>
        <w:t>Corporate tax reform, including a lower corporate tax rate, is an essential component of any productivity agenda</w:t>
      </w:r>
      <w:r w:rsidR="00CA76E6">
        <w:t xml:space="preserve"> focused on growing business investment, raising productivity, </w:t>
      </w:r>
      <w:r w:rsidR="0016603E">
        <w:t>boosting</w:t>
      </w:r>
      <w:r w:rsidR="00CA76E6">
        <w:t xml:space="preserve"> real wages and improving Australia’s </w:t>
      </w:r>
      <w:r w:rsidR="0016603E">
        <w:t>attractiveness to foreign investment. (Business Council of Australia</w:t>
      </w:r>
      <w:r w:rsidR="004B0C6B">
        <w:t xml:space="preserve"> (BCA)</w:t>
      </w:r>
      <w:r w:rsidR="0016603E">
        <w:t>, sub.</w:t>
      </w:r>
      <w:r w:rsidR="00AC364C">
        <w:t> </w:t>
      </w:r>
      <w:r w:rsidR="0016603E">
        <w:t>14, p.</w:t>
      </w:r>
      <w:r w:rsidR="00AC364C">
        <w:t> </w:t>
      </w:r>
      <w:r w:rsidR="0016603E">
        <w:t>1)</w:t>
      </w:r>
    </w:p>
    <w:p w14:paraId="662C9A6D" w14:textId="77777777" w:rsidR="00017BD2" w:rsidRDefault="007E508F" w:rsidP="007E508F">
      <w:pPr>
        <w:pStyle w:val="BodyText"/>
      </w:pPr>
      <w:r>
        <w:t xml:space="preserve">However, some </w:t>
      </w:r>
      <w:r w:rsidR="00653DD4">
        <w:t xml:space="preserve">participants </w:t>
      </w:r>
      <w:r>
        <w:t xml:space="preserve">were concerned that a lower tax rate </w:t>
      </w:r>
      <w:r w:rsidR="00295C62">
        <w:t>would</w:t>
      </w:r>
      <w:r>
        <w:t xml:space="preserve"> not affect investment or that </w:t>
      </w:r>
      <w:r w:rsidR="00F24E98">
        <w:t>the larger tax rate differential between the threshold may discourage growth.</w:t>
      </w:r>
    </w:p>
    <w:p w14:paraId="6FBB86E3" w14:textId="08F9B6AB" w:rsidR="007E508F" w:rsidRPr="007E508F" w:rsidRDefault="00017BD2" w:rsidP="00017BD2">
      <w:pPr>
        <w:pStyle w:val="Quote"/>
      </w:pPr>
      <w:r w:rsidRPr="00AC6169">
        <w:lastRenderedPageBreak/>
        <w:t>We do not believe that lowering the company tax rate should be a priority, provided there is no change to Australia’s imputation credit regime. While we, and no doubt other large companies, would welcome a lower company tax rate, we believe there are other priorities which should lead the productivity reform agenda. Targeted interventions to encourage greater investment could be considered, potentially funded by reducing concessions which apply to non</w:t>
      </w:r>
      <w:r w:rsidR="00C44D1D">
        <w:noBreakHyphen/>
      </w:r>
      <w:r w:rsidRPr="00AC6169">
        <w:t>productive parts of the economy.</w:t>
      </w:r>
      <w:r>
        <w:t xml:space="preserve"> (Commonwealth Bank of Australia, sub.</w:t>
      </w:r>
      <w:r w:rsidR="00AC364C">
        <w:t> </w:t>
      </w:r>
      <w:r>
        <w:t>33, p.</w:t>
      </w:r>
      <w:r w:rsidR="00AC364C">
        <w:t> </w:t>
      </w:r>
      <w:r>
        <w:t>9)</w:t>
      </w:r>
    </w:p>
    <w:p w14:paraId="11E615F6" w14:textId="0A446250" w:rsidR="003D0E02" w:rsidRDefault="00190ED3" w:rsidP="00D92320">
      <w:pPr>
        <w:pStyle w:val="Heading3"/>
      </w:pPr>
      <w:r w:rsidRPr="00190ED3">
        <w:t>Sensitivity of investment to changes in the company tax rate</w:t>
      </w:r>
    </w:p>
    <w:p w14:paraId="62A77210" w14:textId="0F82D020" w:rsidR="00CF5608" w:rsidRDefault="00495B77" w:rsidP="00CF5608">
      <w:pPr>
        <w:pStyle w:val="BodyText"/>
      </w:pPr>
      <w:r>
        <w:t>S</w:t>
      </w:r>
      <w:r w:rsidR="00CF5608" w:rsidRPr="000C29FA">
        <w:t>everal</w:t>
      </w:r>
      <w:r w:rsidR="00CF5608">
        <w:t xml:space="preserve"> submissions </w:t>
      </w:r>
      <w:r w:rsidR="00087341">
        <w:t xml:space="preserve">put forward </w:t>
      </w:r>
      <w:r w:rsidR="00CF5608">
        <w:t xml:space="preserve">that a reduction in the </w:t>
      </w:r>
      <w:r w:rsidR="00A565D7">
        <w:t>CIT</w:t>
      </w:r>
      <w:r w:rsidR="00CF5608">
        <w:t xml:space="preserve"> rate would have an insignificant effect on companies’ investment. </w:t>
      </w:r>
    </w:p>
    <w:p w14:paraId="020E2D46" w14:textId="57C4A3CA" w:rsidR="008147E9" w:rsidRDefault="008147E9" w:rsidP="008147E9">
      <w:pPr>
        <w:pStyle w:val="Quote"/>
      </w:pPr>
      <w:r w:rsidRPr="008147E9">
        <w:t xml:space="preserve">It is unlikely that the reduction of company tax to 20 per cent with the introduction of a </w:t>
      </w:r>
      <w:r w:rsidR="00B25381">
        <w:t>[cash flow tax]</w:t>
      </w:r>
      <w:r w:rsidRPr="008147E9">
        <w:t xml:space="preserve"> at 5 per cent would encourage medium size businesses (turnover from $50 million to $1 billion) to invest more, as many of these companies have domestic shareholders for whom the reduction in company rate is no benefit, as the shareholders pay tax on their personal marginal rates, which will not be affected. </w:t>
      </w:r>
      <w:r w:rsidR="002E5EF8">
        <w:t>(Paul McCullough, sub.</w:t>
      </w:r>
      <w:r w:rsidR="00AC364C">
        <w:t> </w:t>
      </w:r>
      <w:r w:rsidR="002E5EF8">
        <w:t>77, p.</w:t>
      </w:r>
      <w:r w:rsidR="00AC364C">
        <w:t> </w:t>
      </w:r>
      <w:r w:rsidR="002E5EF8">
        <w:t>1)</w:t>
      </w:r>
    </w:p>
    <w:p w14:paraId="4CCFADC6" w14:textId="162DF6B0" w:rsidR="00CF5608" w:rsidRDefault="00CF5608" w:rsidP="00CF5608">
      <w:pPr>
        <w:pStyle w:val="Quote"/>
      </w:pPr>
      <w:r>
        <w:t>Corporate behaviour is unlikely to be more than marginally sensitive to recommended changes of Australian taxes including corporate tax</w:t>
      </w:r>
      <w:r w:rsidR="00574A5A">
        <w:t xml:space="preserve">. </w:t>
      </w:r>
      <w:r w:rsidR="00C44D1D">
        <w:t>…</w:t>
      </w:r>
      <w:r>
        <w:t xml:space="preserve"> </w:t>
      </w:r>
      <w:r w:rsidR="00271ABD">
        <w:t>Overall</w:t>
      </w:r>
      <w:r w:rsidR="004837FC">
        <w:t xml:space="preserve">, lowering the total “cost of doing business” in Australia is the key to make business investment more attractive. </w:t>
      </w:r>
      <w:r>
        <w:t>(</w:t>
      </w:r>
      <w:r w:rsidR="00D02A46">
        <w:t xml:space="preserve">Robert </w:t>
      </w:r>
      <w:r>
        <w:t>Oser, sub.</w:t>
      </w:r>
      <w:r w:rsidR="00AC364C">
        <w:t> </w:t>
      </w:r>
      <w:r>
        <w:t>70, p.</w:t>
      </w:r>
      <w:r w:rsidR="00AC364C">
        <w:t> </w:t>
      </w:r>
      <w:r>
        <w:t>1)</w:t>
      </w:r>
    </w:p>
    <w:p w14:paraId="564A563A" w14:textId="29C8EAAE" w:rsidR="00CF5608" w:rsidRPr="008F4926" w:rsidRDefault="00CF5608" w:rsidP="00CF5608">
      <w:pPr>
        <w:pStyle w:val="Quote"/>
      </w:pPr>
      <w:r w:rsidRPr="008F4926">
        <w:t>Across</w:t>
      </w:r>
      <w:r w:rsidR="00C44D1D">
        <w:noBreakHyphen/>
      </w:r>
      <w:r w:rsidRPr="008F4926">
        <w:t>the</w:t>
      </w:r>
      <w:r w:rsidR="00C44D1D">
        <w:noBreakHyphen/>
      </w:r>
      <w:r w:rsidRPr="008F4926">
        <w:t>board reductions in company tax for ‘smaller’ companies are also inefficient, and likely to promote personal income tax avoidance and inequality.</w:t>
      </w:r>
      <w:r>
        <w:t xml:space="preserve"> (</w:t>
      </w:r>
      <w:r w:rsidR="002C12BB">
        <w:t>Australian Council of Social Service</w:t>
      </w:r>
      <w:r>
        <w:t>, sub.</w:t>
      </w:r>
      <w:r w:rsidR="00AC364C">
        <w:t> </w:t>
      </w:r>
      <w:r>
        <w:t>22, p.</w:t>
      </w:r>
      <w:r w:rsidR="00AC364C">
        <w:t> </w:t>
      </w:r>
      <w:r>
        <w:t>4)</w:t>
      </w:r>
    </w:p>
    <w:p w14:paraId="7CDACBFA" w14:textId="74D7C5F3" w:rsidR="00CF5608" w:rsidRPr="00D43A45" w:rsidRDefault="00CF5608" w:rsidP="00CF5608">
      <w:pPr>
        <w:pStyle w:val="BodyText"/>
      </w:pPr>
      <w:r>
        <w:t>Another submission shared that there is limited evidence of boosts in investment from recent corporate tax cuts in Australia and further research should be undertaken (Anonymous, sub.</w:t>
      </w:r>
      <w:r w:rsidR="00AC364C">
        <w:t> </w:t>
      </w:r>
      <w:r>
        <w:t>86</w:t>
      </w:r>
      <w:r w:rsidR="004233FC">
        <w:t>, p.</w:t>
      </w:r>
      <w:r w:rsidR="00AC364C">
        <w:t> </w:t>
      </w:r>
      <w:r w:rsidR="004233FC">
        <w:t>1</w:t>
      </w:r>
      <w:r>
        <w:t>).</w:t>
      </w:r>
    </w:p>
    <w:p w14:paraId="7098BBE7" w14:textId="6AA22C8E" w:rsidR="003D0E02" w:rsidRDefault="00D553FE" w:rsidP="00032546">
      <w:pPr>
        <w:pStyle w:val="Heading3"/>
      </w:pPr>
      <w:r w:rsidRPr="00D553FE">
        <w:t>Potential disincentive to grow above the</w:t>
      </w:r>
      <w:r>
        <w:t xml:space="preserve"> </w:t>
      </w:r>
      <w:r w:rsidR="00256058">
        <w:t xml:space="preserve">proposed $1bn </w:t>
      </w:r>
      <w:r>
        <w:t>threshold</w:t>
      </w:r>
    </w:p>
    <w:p w14:paraId="3124952D" w14:textId="4358A9EA" w:rsidR="0010241B" w:rsidRPr="00306923" w:rsidRDefault="0010241B" w:rsidP="0010241B">
      <w:pPr>
        <w:pStyle w:val="BodyText"/>
      </w:pPr>
      <w:r>
        <w:t xml:space="preserve">A few submissions raised concerns about the higher threshold and </w:t>
      </w:r>
      <w:r w:rsidR="007419F5">
        <w:t xml:space="preserve">the </w:t>
      </w:r>
      <w:r>
        <w:t>larger tax differential between the headline and small business rates</w:t>
      </w:r>
      <w:r w:rsidR="00066E24">
        <w:t>, which they considered could result in ‘bunching’ below the threshold and disincentives to grow</w:t>
      </w:r>
      <w:r>
        <w:t xml:space="preserve">. </w:t>
      </w:r>
    </w:p>
    <w:p w14:paraId="637BB07E" w14:textId="71DF204E" w:rsidR="0010241B" w:rsidRPr="00311942" w:rsidRDefault="008B777A" w:rsidP="0010241B">
      <w:pPr>
        <w:pStyle w:val="Quote"/>
      </w:pPr>
      <w:r>
        <w:t xml:space="preserve">[The PC’s proposal] </w:t>
      </w:r>
      <w:r w:rsidR="00113423">
        <w:t>c</w:t>
      </w:r>
      <w:r w:rsidR="0010241B" w:rsidRPr="005A3AA2">
        <w:t>reates a disincentive to business growth and international expansion by erecting a steep tax increase at the $1 billion turnover threshold</w:t>
      </w:r>
      <w:r w:rsidR="0010241B">
        <w:t>. (A</w:t>
      </w:r>
      <w:r w:rsidR="007D1A68">
        <w:t>ustrali</w:t>
      </w:r>
      <w:r w:rsidR="005B1BC7">
        <w:t>a</w:t>
      </w:r>
      <w:r w:rsidR="007D1A68">
        <w:t>n Industry</w:t>
      </w:r>
      <w:r w:rsidR="0010241B">
        <w:t xml:space="preserve"> Group</w:t>
      </w:r>
      <w:r w:rsidR="00734A3A">
        <w:t xml:space="preserve"> (Ai</w:t>
      </w:r>
      <w:r w:rsidR="005B2322">
        <w:t> </w:t>
      </w:r>
      <w:r w:rsidR="00734A3A">
        <w:t>Group)</w:t>
      </w:r>
      <w:r w:rsidR="0010241B">
        <w:t>, sub.</w:t>
      </w:r>
      <w:r w:rsidR="00AC364C">
        <w:t> </w:t>
      </w:r>
      <w:r w:rsidR="0010241B">
        <w:t>88, p.</w:t>
      </w:r>
      <w:r w:rsidR="00AC364C">
        <w:t> </w:t>
      </w:r>
      <w:r w:rsidR="0010241B">
        <w:t>3)</w:t>
      </w:r>
    </w:p>
    <w:p w14:paraId="32D2503A" w14:textId="0588239E" w:rsidR="005B1BC7" w:rsidRPr="005B1BC7" w:rsidRDefault="005B1BC7" w:rsidP="00056756">
      <w:pPr>
        <w:pStyle w:val="Quote"/>
      </w:pPr>
      <w:r>
        <w:t>Bunching is also more likely at a $1 billion threshold because more underlying shareholders are foreign, and non</w:t>
      </w:r>
      <w:r w:rsidR="00C44D1D">
        <w:noBreakHyphen/>
      </w:r>
      <w:r>
        <w:t>residents do not benefit from franking. (Corporate Tax Association</w:t>
      </w:r>
      <w:r w:rsidR="00330977">
        <w:t xml:space="preserve"> (CTA)</w:t>
      </w:r>
      <w:r>
        <w:t>, sub.</w:t>
      </w:r>
      <w:r w:rsidR="00AC364C">
        <w:t> </w:t>
      </w:r>
      <w:r>
        <w:t>196, p.</w:t>
      </w:r>
      <w:r w:rsidR="00AC364C">
        <w:t> </w:t>
      </w:r>
      <w:r w:rsidR="00056756">
        <w:t>11)</w:t>
      </w:r>
    </w:p>
    <w:p w14:paraId="1B2EC71D" w14:textId="6CFD45CC" w:rsidR="0010241B" w:rsidRDefault="00056756" w:rsidP="0010241B">
      <w:pPr>
        <w:pStyle w:val="BodyText"/>
      </w:pPr>
      <w:r>
        <w:t>One submission</w:t>
      </w:r>
      <w:r w:rsidR="0010241B">
        <w:t xml:space="preserve"> proposed a solution </w:t>
      </w:r>
      <w:r w:rsidR="00C73DE2">
        <w:t>for</w:t>
      </w:r>
      <w:r w:rsidR="002E2610">
        <w:t xml:space="preserve"> prevent ‘bunching’</w:t>
      </w:r>
      <w:r w:rsidR="0010241B">
        <w:t>, suggesting that company tax rates could gradually increase as companies’ annual revenue increases.</w:t>
      </w:r>
    </w:p>
    <w:p w14:paraId="383C7915" w14:textId="78EBA4A7" w:rsidR="00706F4F" w:rsidRDefault="002F3B93" w:rsidP="002F3B93">
      <w:pPr>
        <w:pStyle w:val="Quote"/>
        <w:rPr>
          <w:spacing w:val="-4"/>
        </w:rPr>
      </w:pPr>
      <w:r w:rsidRPr="002712B2">
        <w:rPr>
          <w:spacing w:val="-4"/>
        </w:rPr>
        <w:t>For example, the lowest proposed corporate tax rate of 20% could be increased by 1% as turnover increases in $50 million increments starting at $750 million turnover. (The Tax Institute, sub.</w:t>
      </w:r>
      <w:r w:rsidR="00AC364C" w:rsidRPr="002712B2">
        <w:rPr>
          <w:spacing w:val="-4"/>
        </w:rPr>
        <w:t> </w:t>
      </w:r>
      <w:r w:rsidRPr="002712B2">
        <w:rPr>
          <w:spacing w:val="-4"/>
        </w:rPr>
        <w:t>197, p.</w:t>
      </w:r>
      <w:r w:rsidR="00AC364C" w:rsidRPr="002712B2">
        <w:rPr>
          <w:spacing w:val="-4"/>
        </w:rPr>
        <w:t> </w:t>
      </w:r>
      <w:r w:rsidRPr="002712B2">
        <w:rPr>
          <w:spacing w:val="-4"/>
        </w:rPr>
        <w:t>7)</w:t>
      </w:r>
    </w:p>
    <w:p w14:paraId="0318927B" w14:textId="77777777" w:rsidR="00706F4F" w:rsidRDefault="00706F4F">
      <w:pPr>
        <w:spacing w:before="0" w:after="160" w:line="259" w:lineRule="auto"/>
        <w:rPr>
          <w:rFonts w:ascii="Arial" w:hAnsi="Arial"/>
          <w:color w:val="58585B"/>
          <w:spacing w:val="-4"/>
        </w:rPr>
      </w:pPr>
      <w:r>
        <w:rPr>
          <w:spacing w:val="-4"/>
        </w:rPr>
        <w:br w:type="page"/>
      </w:r>
    </w:p>
    <w:p w14:paraId="6B417E88" w14:textId="3DAFFC66" w:rsidR="00A12E15" w:rsidRDefault="00A12E15" w:rsidP="005562CC">
      <w:pPr>
        <w:pStyle w:val="Heading2-nonumber"/>
      </w:pPr>
      <w:bookmarkStart w:id="7" w:name="_Toc215092967"/>
      <w:r>
        <w:lastRenderedPageBreak/>
        <w:t>Implementation of the net cashflow tax</w:t>
      </w:r>
      <w:bookmarkEnd w:id="7"/>
    </w:p>
    <w:p w14:paraId="402AAE25" w14:textId="1F971983" w:rsidR="003D0E02" w:rsidRDefault="00142381" w:rsidP="003D0E02">
      <w:pPr>
        <w:pStyle w:val="BodyText"/>
      </w:pPr>
      <w:r>
        <w:t xml:space="preserve">Many submissions </w:t>
      </w:r>
      <w:r w:rsidR="00A4201A">
        <w:t xml:space="preserve">did not </w:t>
      </w:r>
      <w:r w:rsidR="003931F0">
        <w:t>support our recommendation for a</w:t>
      </w:r>
      <w:r w:rsidR="001A76A4">
        <w:t xml:space="preserve"> net cashflow tax (</w:t>
      </w:r>
      <w:r w:rsidR="00A4201A">
        <w:t>NCT</w:t>
      </w:r>
      <w:r w:rsidR="001A76A4">
        <w:t>)</w:t>
      </w:r>
      <w:r w:rsidR="003931F0">
        <w:t xml:space="preserve">. They did not </w:t>
      </w:r>
      <w:r w:rsidR="00BF13A1">
        <w:t>consider</w:t>
      </w:r>
      <w:r w:rsidR="003931F0">
        <w:t xml:space="preserve"> an NCT</w:t>
      </w:r>
      <w:r w:rsidR="00A4201A">
        <w:t xml:space="preserve"> would be beneficial </w:t>
      </w:r>
      <w:r w:rsidR="00962988">
        <w:t>for</w:t>
      </w:r>
      <w:r w:rsidR="006E4ABD">
        <w:t xml:space="preserve"> </w:t>
      </w:r>
      <w:r w:rsidR="00CF4E59">
        <w:t xml:space="preserve">the Australian </w:t>
      </w:r>
      <w:proofErr w:type="gramStart"/>
      <w:r w:rsidR="00CF4E59">
        <w:t>economy</w:t>
      </w:r>
      <w:r w:rsidR="004C4B9F">
        <w:t>, and</w:t>
      </w:r>
      <w:proofErr w:type="gramEnd"/>
      <w:r w:rsidR="004C4B9F">
        <w:t xml:space="preserve"> </w:t>
      </w:r>
      <w:r w:rsidR="00DE1DC8">
        <w:t xml:space="preserve">did not agree </w:t>
      </w:r>
      <w:r w:rsidR="00564D49">
        <w:t>that corporate tax reform should be constrained by</w:t>
      </w:r>
      <w:r w:rsidR="004C4B9F">
        <w:t xml:space="preserve"> revenue neutrality within the corporate tax system</w:t>
      </w:r>
      <w:r w:rsidR="004414CF">
        <w:t>.</w:t>
      </w:r>
      <w:r w:rsidR="00AC03B4">
        <w:t xml:space="preserve"> </w:t>
      </w:r>
      <w:r w:rsidR="0037792A">
        <w:t>Participants</w:t>
      </w:r>
      <w:r w:rsidR="009D71D0">
        <w:t xml:space="preserve"> suggested that </w:t>
      </w:r>
      <w:r w:rsidR="004C4B9F">
        <w:t xml:space="preserve">the </w:t>
      </w:r>
      <w:r w:rsidR="009D71D0">
        <w:t>introduction</w:t>
      </w:r>
      <w:r w:rsidR="004C4B9F">
        <w:t xml:space="preserve"> of </w:t>
      </w:r>
      <w:r w:rsidR="00E56F0E">
        <w:t>the</w:t>
      </w:r>
      <w:r w:rsidR="004C4B9F">
        <w:t xml:space="preserve"> NCT</w:t>
      </w:r>
      <w:r w:rsidR="009D71D0">
        <w:t xml:space="preserve"> </w:t>
      </w:r>
      <w:r w:rsidR="0072269E">
        <w:t>may reduce Australia’s international tax competitiveness</w:t>
      </w:r>
      <w:r w:rsidR="008E79FD">
        <w:t xml:space="preserve"> and </w:t>
      </w:r>
      <w:r w:rsidR="0003739A">
        <w:t xml:space="preserve">increase tax compliance </w:t>
      </w:r>
      <w:r w:rsidR="009B65A1">
        <w:t>burdens.</w:t>
      </w:r>
    </w:p>
    <w:p w14:paraId="23615D46" w14:textId="42B1FB08" w:rsidR="006A69B3" w:rsidRDefault="006A69B3" w:rsidP="006A69B3">
      <w:pPr>
        <w:pStyle w:val="Quote"/>
      </w:pPr>
      <w:r>
        <w:t>The assumed benefit</w:t>
      </w:r>
      <w:r w:rsidR="00A4201A">
        <w:t xml:space="preserve"> to economic growth</w:t>
      </w:r>
      <w:r w:rsidR="006E4ABD">
        <w:t xml:space="preserve"> relies on a positive effect on total business investment</w:t>
      </w:r>
      <w:r w:rsidR="00A73E4B">
        <w:t xml:space="preserve"> that is both highly uncertain and unlikely. (</w:t>
      </w:r>
      <w:r w:rsidR="004B0C6B">
        <w:t>BCA</w:t>
      </w:r>
      <w:r w:rsidR="00A73E4B">
        <w:t>, sub</w:t>
      </w:r>
      <w:r w:rsidR="009B65A1">
        <w:t>.</w:t>
      </w:r>
      <w:r w:rsidR="00AC364C">
        <w:t> </w:t>
      </w:r>
      <w:r w:rsidR="00A73E4B">
        <w:t>200, p.</w:t>
      </w:r>
      <w:r w:rsidR="00AC364C">
        <w:t> </w:t>
      </w:r>
      <w:r w:rsidR="00A73E4B">
        <w:t>4)</w:t>
      </w:r>
    </w:p>
    <w:p w14:paraId="708C22CE" w14:textId="0C7812D0" w:rsidR="006A69B3" w:rsidRDefault="00752B04" w:rsidP="009B65A1">
      <w:pPr>
        <w:pStyle w:val="Quote"/>
      </w:pPr>
      <w:r>
        <w:t>t</w:t>
      </w:r>
      <w:r w:rsidR="009B65A1" w:rsidRPr="009B65A1">
        <w:t>he PC’s proposed reform package suffers from several design flaws which would lead to adverse consequences on business and investmen</w:t>
      </w:r>
      <w:r w:rsidR="009B65A1">
        <w:t>t. (Ai Group, sub.</w:t>
      </w:r>
      <w:r w:rsidR="00AC364C">
        <w:t> </w:t>
      </w:r>
      <w:r w:rsidR="009B65A1">
        <w:t>88, p.</w:t>
      </w:r>
      <w:r w:rsidR="00AC364C">
        <w:t> </w:t>
      </w:r>
      <w:r w:rsidR="009B65A1">
        <w:t>6)</w:t>
      </w:r>
    </w:p>
    <w:p w14:paraId="74D45E14" w14:textId="6F860D06" w:rsidR="00E82EFD" w:rsidRDefault="00226A4B" w:rsidP="005163FE">
      <w:pPr>
        <w:pStyle w:val="BodyText"/>
      </w:pPr>
      <w:r>
        <w:t xml:space="preserve">They also </w:t>
      </w:r>
      <w:r w:rsidR="00E82EFD">
        <w:t xml:space="preserve">considered </w:t>
      </w:r>
      <w:r>
        <w:t xml:space="preserve">that </w:t>
      </w:r>
      <w:r w:rsidR="00195FAA">
        <w:t>the</w:t>
      </w:r>
      <w:r w:rsidR="001A7583">
        <w:t xml:space="preserve"> removal of the interest deduction under the NCT</w:t>
      </w:r>
      <w:r w:rsidR="00D373B5">
        <w:t xml:space="preserve"> </w:t>
      </w:r>
      <w:r w:rsidR="00D31400">
        <w:t>would</w:t>
      </w:r>
      <w:r w:rsidR="00D373B5">
        <w:t xml:space="preserve"> be unfair for businesses or industries</w:t>
      </w:r>
      <w:r w:rsidR="001A7583">
        <w:t xml:space="preserve"> </w:t>
      </w:r>
      <w:r w:rsidR="00213079">
        <w:t xml:space="preserve">that </w:t>
      </w:r>
      <w:r w:rsidR="001A7583">
        <w:t>largely rely on debt to fund their capital expenditure</w:t>
      </w:r>
      <w:r w:rsidR="00D373B5">
        <w:t>.</w:t>
      </w:r>
      <w:r w:rsidR="00A90EE0">
        <w:t xml:space="preserve"> </w:t>
      </w:r>
    </w:p>
    <w:p w14:paraId="2BDCFD01" w14:textId="5DE730EE" w:rsidR="00B4509E" w:rsidRDefault="00B4509E" w:rsidP="00B4509E">
      <w:pPr>
        <w:pStyle w:val="Quote"/>
      </w:pPr>
      <w:r w:rsidRPr="00B4509E">
        <w:t>for existing small (base rate) taxpayers, the PC proposal is a tax increase where they have any existing debt</w:t>
      </w:r>
      <w:r>
        <w:t xml:space="preserve"> (KPMG, sub.</w:t>
      </w:r>
      <w:r w:rsidR="00AC364C">
        <w:t> </w:t>
      </w:r>
      <w:r w:rsidR="0099318B">
        <w:t>96, p.</w:t>
      </w:r>
      <w:r w:rsidR="00AC364C">
        <w:t> </w:t>
      </w:r>
      <w:r w:rsidR="0099318B">
        <w:t>7)</w:t>
      </w:r>
    </w:p>
    <w:p w14:paraId="07D9FA82" w14:textId="4EBE70AD" w:rsidR="00BF4207" w:rsidRPr="00BF4207" w:rsidRDefault="00347CF2" w:rsidP="00927328">
      <w:pPr>
        <w:pStyle w:val="Quote"/>
      </w:pPr>
      <w:r>
        <w:t>[Australian Finance Industry Association]</w:t>
      </w:r>
      <w:r w:rsidR="00BF4207" w:rsidRPr="00BF4207">
        <w:t xml:space="preserve"> submits that interest is a legitimate business expense, the deductibility of which has been a part of tax systems in many countries for decades. Not allowing a deduction for interest would be out of step with international norms, would further deter investment in Australia, and raise after tax financing costs for businesses that rely on loans as a material funding source</w:t>
      </w:r>
      <w:r w:rsidR="00BF4207">
        <w:t xml:space="preserve"> (A</w:t>
      </w:r>
      <w:r w:rsidR="00EC3A58">
        <w:t xml:space="preserve">ustralian </w:t>
      </w:r>
      <w:r w:rsidR="00BF4207">
        <w:t>F</w:t>
      </w:r>
      <w:r w:rsidR="00EC3A58">
        <w:t xml:space="preserve">inance </w:t>
      </w:r>
      <w:r w:rsidR="00BF4207">
        <w:t>I</w:t>
      </w:r>
      <w:r w:rsidR="00EC3A58">
        <w:t>ndustry Association</w:t>
      </w:r>
      <w:r w:rsidR="00BF4207">
        <w:t>, sub</w:t>
      </w:r>
      <w:r w:rsidR="00EC3A58">
        <w:t>.</w:t>
      </w:r>
      <w:r w:rsidR="00AC364C">
        <w:t> </w:t>
      </w:r>
      <w:r w:rsidR="00BF4207">
        <w:t>181, p.</w:t>
      </w:r>
      <w:r w:rsidR="00AC364C">
        <w:t> </w:t>
      </w:r>
      <w:r w:rsidR="00BF4207">
        <w:t>3)</w:t>
      </w:r>
    </w:p>
    <w:p w14:paraId="17D51419" w14:textId="4BCDFC42" w:rsidR="00CB11DE" w:rsidRDefault="005716B5" w:rsidP="005163FE">
      <w:pPr>
        <w:pStyle w:val="BodyText"/>
      </w:pPr>
      <w:r>
        <w:t>Some</w:t>
      </w:r>
      <w:r w:rsidR="0057187C">
        <w:t xml:space="preserve"> submi</w:t>
      </w:r>
      <w:r w:rsidR="00F85C52">
        <w:t>tters</w:t>
      </w:r>
      <w:r w:rsidR="0057187C">
        <w:t xml:space="preserve"> </w:t>
      </w:r>
      <w:r w:rsidR="001D1E7E">
        <w:t xml:space="preserve">suggested </w:t>
      </w:r>
      <w:r w:rsidR="00953A7A">
        <w:t>alternative</w:t>
      </w:r>
      <w:r w:rsidR="001D1E7E">
        <w:t xml:space="preserve"> methods to fund </w:t>
      </w:r>
      <w:r w:rsidR="004070ED">
        <w:t xml:space="preserve">the revenue loss from </w:t>
      </w:r>
      <w:r w:rsidR="001D1E7E">
        <w:t>a company tax cut.</w:t>
      </w:r>
      <w:r w:rsidR="00DA56FE">
        <w:t xml:space="preserve"> </w:t>
      </w:r>
    </w:p>
    <w:p w14:paraId="01C0AD76" w14:textId="77777777" w:rsidR="003400C9" w:rsidRPr="003400C9" w:rsidRDefault="003400C9" w:rsidP="008609EE">
      <w:pPr>
        <w:pStyle w:val="Quote"/>
      </w:pPr>
      <w:r w:rsidRPr="003400C9">
        <w:t>In broad terms, the Budget cost (approximately $8 billion in a full year) of reducing the company tax headline rate to 25 per cent could be recouped by: </w:t>
      </w:r>
    </w:p>
    <w:p w14:paraId="57CB41DC" w14:textId="1DD30BC5" w:rsidR="003400C9" w:rsidRPr="003400C9" w:rsidRDefault="003400C9" w:rsidP="008609EE">
      <w:pPr>
        <w:pStyle w:val="QuoteBullet"/>
      </w:pPr>
      <w:r w:rsidRPr="003400C9">
        <w:t>Reducing the </w:t>
      </w:r>
      <w:proofErr w:type="spellStart"/>
      <w:r w:rsidRPr="003400C9">
        <w:t>concessionality</w:t>
      </w:r>
      <w:proofErr w:type="spellEnd"/>
      <w:r w:rsidRPr="003400C9">
        <w:t> of the </w:t>
      </w:r>
      <w:r w:rsidRPr="003400C9">
        <w:rPr>
          <w:i/>
          <w:iCs/>
        </w:rPr>
        <w:t>Diesel Fuel Rebate Scheme </w:t>
      </w:r>
      <w:r w:rsidRPr="003400C9">
        <w:t>for miners by about 50 per cent (raising around $4</w:t>
      </w:r>
      <w:r w:rsidR="00C44D1D">
        <w:noBreakHyphen/>
      </w:r>
      <w:r w:rsidRPr="003400C9">
        <w:t>$5 billion annually). </w:t>
      </w:r>
    </w:p>
    <w:p w14:paraId="2BAA8565" w14:textId="77777777" w:rsidR="003400C9" w:rsidRPr="003400C9" w:rsidRDefault="003400C9" w:rsidP="008609EE">
      <w:pPr>
        <w:pStyle w:val="QuoteBullet"/>
      </w:pPr>
      <w:r w:rsidRPr="003400C9">
        <w:t>Increasing the bank levy by 10 per cent (raising around $500 million annually). </w:t>
      </w:r>
    </w:p>
    <w:p w14:paraId="54C49971" w14:textId="3EA8636D" w:rsidR="00CB11DE" w:rsidRDefault="003400C9" w:rsidP="008609EE">
      <w:pPr>
        <w:pStyle w:val="QuoteBullet"/>
      </w:pPr>
      <w:r w:rsidRPr="003400C9">
        <w:t>Cutting </w:t>
      </w:r>
      <w:r w:rsidRPr="003400C9">
        <w:rPr>
          <w:i/>
          <w:iCs/>
        </w:rPr>
        <w:t>Tax Expenditures</w:t>
      </w:r>
      <w:r w:rsidRPr="003400C9">
        <w:t> for corporations to raise the balance (approximately $2.5</w:t>
      </w:r>
      <w:r w:rsidR="00C44D1D">
        <w:noBreakHyphen/>
      </w:r>
      <w:r w:rsidRPr="003400C9">
        <w:t>$3.5 billion annually). </w:t>
      </w:r>
      <w:r>
        <w:t>(Paul McCullough, sub.</w:t>
      </w:r>
      <w:r w:rsidR="00AC364C">
        <w:t> </w:t>
      </w:r>
      <w:r>
        <w:t>77, p.</w:t>
      </w:r>
      <w:r w:rsidR="00AC364C">
        <w:t> </w:t>
      </w:r>
      <w:r w:rsidR="00CA50A6">
        <w:t>2)</w:t>
      </w:r>
    </w:p>
    <w:p w14:paraId="4DB957AB" w14:textId="2C990028" w:rsidR="00D22442" w:rsidRDefault="00B25B66" w:rsidP="00D22442">
      <w:pPr>
        <w:pStyle w:val="Heading3"/>
      </w:pPr>
      <w:r>
        <w:t>Complexity and implementation considerations of the NCT</w:t>
      </w:r>
    </w:p>
    <w:p w14:paraId="0901E9B7" w14:textId="77777777" w:rsidR="001A1134" w:rsidRDefault="00B521EE" w:rsidP="00B521EE">
      <w:pPr>
        <w:pStyle w:val="BodyText"/>
      </w:pPr>
      <w:r>
        <w:t>Many submissions suggested that the NCT would create additional complexity in the tax system, potentially increasing tax and regulatory burden for small and large companies</w:t>
      </w:r>
      <w:r w:rsidR="00F45B5A">
        <w:t>. There was also some uncertainty among participants over how the NCT would interact with other parts of the tax system.</w:t>
      </w:r>
      <w:r w:rsidR="0094072B">
        <w:t xml:space="preserve"> </w:t>
      </w:r>
    </w:p>
    <w:p w14:paraId="3B71EA16" w14:textId="4435C7DA" w:rsidR="00826A58" w:rsidRDefault="0094072B" w:rsidP="00B521EE">
      <w:pPr>
        <w:pStyle w:val="BodyText"/>
      </w:pPr>
      <w:r>
        <w:t>Examples of concerns are shown below</w:t>
      </w:r>
      <w:r w:rsidR="00584C98">
        <w:t>.</w:t>
      </w:r>
    </w:p>
    <w:p w14:paraId="09BA1EC4" w14:textId="665E5CDB" w:rsidR="00B154A3" w:rsidRPr="00B91191" w:rsidRDefault="001602E5" w:rsidP="00FD13DB">
      <w:pPr>
        <w:pStyle w:val="BodyText"/>
        <w:spacing w:after="240"/>
      </w:pPr>
      <w:r w:rsidRPr="001602E5">
        <w:rPr>
          <w:noProof/>
        </w:rPr>
        <w:lastRenderedPageBreak/>
        <w:drawing>
          <wp:inline distT="0" distB="0" distL="0" distR="0" wp14:anchorId="34112570" wp14:editId="6A321F76">
            <wp:extent cx="6120000" cy="2741450"/>
            <wp:effectExtent l="0" t="0" r="0" b="1905"/>
            <wp:docPr id="1750608025" name="Picture 2" descr="This figure contains participant quotes on the topics of interactions of NCT with other elements of the tax system, and complexity  of the NCT.&#10;Complexity of the NCT quotes:&#10;“[The NCT] ties small business in even more … complexity in running their business at the very time they need to be encouraged to focus on growth. (COSBOA, sub. 110, p. 1)”&#10;“We believe the proposed reform would create significant additional complexity in Australia’s tax system. (Australian Small Business and Family Enterprise Ombudsmen, sub. 186, p. 2)”&#10;“For small businesses that already operate with limited resources, [the NCT] would increase compliance costs. (Mortgage and Finance Association of Australia, sub. 160, p. 3)”&#10;Interactions of NCT with other elements of the tax system quotes:&#10;“The NCT has not been considered in a full imputation environment: If the NCT is franked, then domestic shareholders are no better off. (CTA, sub. 196, p. 2)”&#10;“NCFT may adversely interact with small business CGT concessions and restructure roll-overs, particularly if sales proceeds are taxed under NCFT. (CPA Australia, sub. 109, p. 3)”&#10;“A clear test of successful corporate tax reform will be whether it strengthens PEVC’s ability to foster innovation, scale, and productivity (Australian Investment Council, sub. 95, 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08025" name="Picture 2" descr="This figure contains participant quotes on the topics of interactions of NCT with other elements of the tax system, and complexity  of the NCT.&#10;Complexity of the NCT quotes:&#10;“[The NCT] ties small business in even more … complexity in running their business at the very time they need to be encouraged to focus on growth. (COSBOA, sub. 110, p. 1)”&#10;“We believe the proposed reform would create significant additional complexity in Australia’s tax system. (Australian Small Business and Family Enterprise Ombudsmen, sub. 186, p. 2)”&#10;“For small businesses that already operate with limited resources, [the NCT] would increase compliance costs. (Mortgage and Finance Association of Australia, sub. 160, p. 3)”&#10;Interactions of NCT with other elements of the tax system quotes:&#10;“The NCT has not been considered in a full imputation environment: If the NCT is franked, then domestic shareholders are no better off. (CTA, sub. 196, p. 2)”&#10;“NCFT may adversely interact with small business CGT concessions and restructure roll-overs, particularly if sales proceeds are taxed under NCFT. (CPA Australia, sub. 109, p. 3)”&#10;“A clear test of successful corporate tax reform will be whether it strengthens PEVC’s ability to foster innovation, scale, and productivity (Australian Investment Council, sub. 95, p. 2)”"/>
                    <pic:cNvPicPr>
                      <a:picLocks noChangeAspect="1" noChangeArrowheads="1"/>
                    </pic:cNvPicPr>
                  </pic:nvPicPr>
                  <pic:blipFill rotWithShape="1">
                    <a:blip r:embed="rId29">
                      <a:extLst>
                        <a:ext uri="{28A0092B-C50C-407E-A947-70E740481C1C}">
                          <a14:useLocalDpi xmlns:a14="http://schemas.microsoft.com/office/drawing/2010/main" val="0"/>
                        </a:ext>
                      </a:extLst>
                    </a:blip>
                    <a:srcRect l="860" r="1217" b="9762"/>
                    <a:stretch>
                      <a:fillRect/>
                    </a:stretch>
                  </pic:blipFill>
                  <pic:spPr bwMode="auto">
                    <a:xfrm>
                      <a:off x="0" y="0"/>
                      <a:ext cx="6120000" cy="2741450"/>
                    </a:xfrm>
                    <a:prstGeom prst="rect">
                      <a:avLst/>
                    </a:prstGeom>
                    <a:noFill/>
                    <a:ln>
                      <a:noFill/>
                    </a:ln>
                    <a:extLst>
                      <a:ext uri="{53640926-AAD7-44D8-BBD7-CCE9431645EC}">
                        <a14:shadowObscured xmlns:a14="http://schemas.microsoft.com/office/drawing/2010/main"/>
                      </a:ext>
                    </a:extLst>
                  </pic:spPr>
                </pic:pic>
              </a:graphicData>
            </a:graphic>
          </wp:inline>
        </w:drawing>
      </w:r>
    </w:p>
    <w:p w14:paraId="3769C3D6" w14:textId="661538D8" w:rsidR="006A57FF" w:rsidRDefault="00F66F71" w:rsidP="00B521EE">
      <w:pPr>
        <w:pStyle w:val="BodyText"/>
      </w:pPr>
      <w:r>
        <w:t xml:space="preserve">Others expressed concerns of other possible </w:t>
      </w:r>
      <w:r w:rsidR="00881B71">
        <w:t>consequences of the NCT.</w:t>
      </w:r>
      <w:r w:rsidR="00B521EE">
        <w:t xml:space="preserve"> </w:t>
      </w:r>
      <w:r w:rsidR="0009150F">
        <w:t>Some</w:t>
      </w:r>
      <w:r w:rsidR="00B521EE">
        <w:t xml:space="preserve"> </w:t>
      </w:r>
      <w:r w:rsidR="00126129">
        <w:t>considered</w:t>
      </w:r>
      <w:r w:rsidR="00B521EE">
        <w:t xml:space="preserve"> the NCT would not be tax</w:t>
      </w:r>
      <w:r w:rsidR="00C44D1D">
        <w:noBreakHyphen/>
      </w:r>
      <w:r w:rsidR="00B521EE">
        <w:t xml:space="preserve">neutral once added to the existing CIT system without blending the NCT and personal income tax. </w:t>
      </w:r>
      <w:r w:rsidR="00FE2B2F">
        <w:t>Another submission was concerned about revenue collection.</w:t>
      </w:r>
    </w:p>
    <w:p w14:paraId="70710519" w14:textId="02F5E3DF" w:rsidR="00F36913" w:rsidRPr="006529DD" w:rsidRDefault="00F36913" w:rsidP="008609EE">
      <w:pPr>
        <w:pStyle w:val="Quote"/>
        <w:rPr>
          <w:spacing w:val="-4"/>
        </w:rPr>
      </w:pPr>
      <w:r w:rsidRPr="006529DD">
        <w:rPr>
          <w:spacing w:val="-4"/>
        </w:rPr>
        <w:t xml:space="preserve">If </w:t>
      </w:r>
      <w:r w:rsidR="005323B1" w:rsidRPr="006529DD">
        <w:rPr>
          <w:spacing w:val="-4"/>
        </w:rPr>
        <w:t>[cashflow tax</w:t>
      </w:r>
      <w:r w:rsidR="00150005" w:rsidRPr="006529DD">
        <w:rPr>
          <w:spacing w:val="-4"/>
        </w:rPr>
        <w:t>] (</w:t>
      </w:r>
      <w:r w:rsidRPr="006529DD">
        <w:rPr>
          <w:spacing w:val="-4"/>
        </w:rPr>
        <w:t>CFT</w:t>
      </w:r>
      <w:r w:rsidR="00150005" w:rsidRPr="006529DD">
        <w:rPr>
          <w:spacing w:val="-4"/>
        </w:rPr>
        <w:t>)</w:t>
      </w:r>
      <w:r w:rsidRPr="006529DD">
        <w:rPr>
          <w:spacing w:val="-4"/>
        </w:rPr>
        <w:t xml:space="preserve"> losses can be offset against CIT this would significantly reduce CIT revenue in any given year and make company tax collections highly unpredictable. Optional offsetting would encourage tax planning while increasing compliance costs. (Paul McCullough, sub.</w:t>
      </w:r>
      <w:r w:rsidR="00AC364C" w:rsidRPr="006529DD">
        <w:rPr>
          <w:spacing w:val="-4"/>
        </w:rPr>
        <w:t> </w:t>
      </w:r>
      <w:r w:rsidRPr="006529DD">
        <w:rPr>
          <w:spacing w:val="-4"/>
        </w:rPr>
        <w:t>77, p.</w:t>
      </w:r>
      <w:r w:rsidR="00AC364C" w:rsidRPr="006529DD">
        <w:rPr>
          <w:spacing w:val="-4"/>
        </w:rPr>
        <w:t> </w:t>
      </w:r>
      <w:r w:rsidRPr="006529DD">
        <w:rPr>
          <w:spacing w:val="-4"/>
        </w:rPr>
        <w:t>1)</w:t>
      </w:r>
    </w:p>
    <w:p w14:paraId="240035EB" w14:textId="4F999607" w:rsidR="00B521EE" w:rsidRDefault="00B521EE" w:rsidP="00B521EE">
      <w:pPr>
        <w:pStyle w:val="BodyText"/>
      </w:pPr>
      <w:r>
        <w:t xml:space="preserve">Some inquiry participants </w:t>
      </w:r>
      <w:r w:rsidR="00B973CD">
        <w:t xml:space="preserve">considered </w:t>
      </w:r>
      <w:r>
        <w:t>that the long</w:t>
      </w:r>
      <w:r w:rsidR="00C44D1D">
        <w:noBreakHyphen/>
      </w:r>
      <w:r>
        <w:t>term vision for the NCT was uncertain.</w:t>
      </w:r>
    </w:p>
    <w:p w14:paraId="3721391C" w14:textId="226D10E1" w:rsidR="00B521EE" w:rsidRDefault="00B521EE" w:rsidP="00B521EE">
      <w:pPr>
        <w:pStyle w:val="Quote"/>
      </w:pPr>
      <w:r>
        <w:t>The PC should also outline its view of an optimal end</w:t>
      </w:r>
      <w:r w:rsidR="00C44D1D">
        <w:noBreakHyphen/>
      </w:r>
      <w:r>
        <w:t>state for corporate tax reform, which could help bolster support for the transition phase. (Australian Investment Council, sub.</w:t>
      </w:r>
      <w:r w:rsidR="00AC364C">
        <w:t> </w:t>
      </w:r>
      <w:r>
        <w:t>95, p.</w:t>
      </w:r>
      <w:r w:rsidR="00AC364C">
        <w:t> </w:t>
      </w:r>
      <w:r>
        <w:t>1)</w:t>
      </w:r>
    </w:p>
    <w:p w14:paraId="1EBD0C9D" w14:textId="77777777" w:rsidR="00D4134D" w:rsidRDefault="00D4134D" w:rsidP="00D4134D">
      <w:pPr>
        <w:pStyle w:val="Heading3"/>
      </w:pPr>
      <w:r>
        <w:t xml:space="preserve">Possibility of NCT discouraging investment </w:t>
      </w:r>
    </w:p>
    <w:p w14:paraId="123B0347" w14:textId="7DDD9F4B" w:rsidR="0036676B" w:rsidRDefault="00D4134D" w:rsidP="00D4134D">
      <w:pPr>
        <w:pStyle w:val="BodyText"/>
      </w:pPr>
      <w:r>
        <w:t xml:space="preserve">Some </w:t>
      </w:r>
      <w:r w:rsidR="00350C66">
        <w:t>participants</w:t>
      </w:r>
      <w:r w:rsidR="00305D1C">
        <w:t xml:space="preserve"> </w:t>
      </w:r>
      <w:r>
        <w:t xml:space="preserve">questioned whether </w:t>
      </w:r>
      <w:r w:rsidR="00E56F0E">
        <w:t>the</w:t>
      </w:r>
      <w:r>
        <w:t xml:space="preserve"> NCT would encourage business investment. While some felt that </w:t>
      </w:r>
      <w:r w:rsidR="00E56F0E">
        <w:t>the</w:t>
      </w:r>
      <w:r>
        <w:t xml:space="preserve"> NCT would limit or reduce investment more broadly</w:t>
      </w:r>
      <w:r w:rsidR="00C44D1D">
        <w:t xml:space="preserve"> </w:t>
      </w:r>
      <w:r w:rsidR="0036676B">
        <w:t>…</w:t>
      </w:r>
    </w:p>
    <w:p w14:paraId="0B69AC4C" w14:textId="5BC3F8F6" w:rsidR="0036676B" w:rsidRDefault="0036676B" w:rsidP="0036676B">
      <w:pPr>
        <w:pStyle w:val="Quote"/>
      </w:pPr>
      <w:r>
        <w:t>The introduction of an NCT would add complexity to an already burdensome tax system, create distortions between industries, and undermine Australia’s attractiveness as an investment destination.</w:t>
      </w:r>
      <w:r w:rsidR="00D4134D">
        <w:t xml:space="preserve"> (Australian Retailers Association</w:t>
      </w:r>
      <w:r w:rsidR="00B5606B">
        <w:t xml:space="preserve"> and National Retail Association</w:t>
      </w:r>
      <w:r w:rsidR="00D4134D">
        <w:t>, sub.</w:t>
      </w:r>
      <w:r w:rsidR="00AC364C">
        <w:t> </w:t>
      </w:r>
      <w:r w:rsidR="00D4134D">
        <w:t>161</w:t>
      </w:r>
      <w:r>
        <w:t>, p.</w:t>
      </w:r>
      <w:r w:rsidR="00AC364C">
        <w:t> </w:t>
      </w:r>
      <w:r>
        <w:t>2)</w:t>
      </w:r>
    </w:p>
    <w:p w14:paraId="0CD41552" w14:textId="21C52499" w:rsidR="0036676B" w:rsidRPr="0036676B" w:rsidRDefault="00724425" w:rsidP="00724425">
      <w:pPr>
        <w:pStyle w:val="Quote"/>
      </w:pPr>
      <w:r>
        <w:t>This proposed new tax would essentially increase the costs and reduce the competitiveness of the very businesses Australia relies upon, to invest in the future. (</w:t>
      </w:r>
      <w:r w:rsidR="00D4134D">
        <w:t>Wesfarmers, sub.</w:t>
      </w:r>
      <w:r w:rsidR="00AC364C">
        <w:t> </w:t>
      </w:r>
      <w:r w:rsidR="00D4134D">
        <w:t>191</w:t>
      </w:r>
      <w:r>
        <w:t>, p.</w:t>
      </w:r>
      <w:r w:rsidR="00AC364C">
        <w:t> </w:t>
      </w:r>
      <w:r>
        <w:t>3)</w:t>
      </w:r>
    </w:p>
    <w:p w14:paraId="5371518F" w14:textId="689E689D" w:rsidR="00724425" w:rsidRDefault="00724425" w:rsidP="00D4134D">
      <w:pPr>
        <w:pStyle w:val="BodyText"/>
      </w:pPr>
      <w:r>
        <w:t>…</w:t>
      </w:r>
      <w:r w:rsidR="00D4134D">
        <w:t xml:space="preserve"> others </w:t>
      </w:r>
      <w:r w:rsidR="00B973CD">
        <w:t xml:space="preserve">were concerned </w:t>
      </w:r>
      <w:r w:rsidR="00D4134D">
        <w:t>it would reduce investment incentives for specific industries</w:t>
      </w:r>
      <w:r>
        <w:t>.</w:t>
      </w:r>
      <w:r w:rsidR="00D4134D">
        <w:t xml:space="preserve"> </w:t>
      </w:r>
    </w:p>
    <w:p w14:paraId="4D8DB0D8" w14:textId="64FF1B48" w:rsidR="00081F13" w:rsidRPr="00081F13" w:rsidRDefault="00910A53" w:rsidP="00C96BE8">
      <w:pPr>
        <w:pStyle w:val="Quote"/>
      </w:pPr>
      <w:r>
        <w:t>Upstream oil and gas entities are already subject to one form of rent tax in the Petroleum Resou</w:t>
      </w:r>
      <w:r w:rsidR="008818F1">
        <w:t>r</w:t>
      </w:r>
      <w:r>
        <w:t>ce Rent Tax … Minerals companies pay royalties already. Subjecting both types of entit</w:t>
      </w:r>
      <w:r w:rsidR="00454A53">
        <w:t xml:space="preserve">ies to a </w:t>
      </w:r>
      <w:r w:rsidR="00D50852">
        <w:t>[net cashflow tax] (</w:t>
      </w:r>
      <w:r w:rsidR="00454A53">
        <w:t>NCFT</w:t>
      </w:r>
      <w:r w:rsidR="00D50852">
        <w:t>)</w:t>
      </w:r>
      <w:r w:rsidR="00454A53">
        <w:t xml:space="preserve"> on top of the existing measures would take taxation to extremely high levels and further slowdown the very large project investments made into Australia by these entities</w:t>
      </w:r>
      <w:r w:rsidR="00C96BE8">
        <w:t>.</w:t>
      </w:r>
      <w:r w:rsidR="00D4134D">
        <w:t xml:space="preserve"> (INPEX, sub.</w:t>
      </w:r>
      <w:r w:rsidR="00AC364C">
        <w:t> </w:t>
      </w:r>
      <w:r w:rsidR="00D4134D">
        <w:t>121</w:t>
      </w:r>
      <w:r w:rsidR="00C96BE8">
        <w:t>, p.</w:t>
      </w:r>
      <w:r w:rsidR="00AC364C">
        <w:t> </w:t>
      </w:r>
      <w:r w:rsidR="00C96BE8">
        <w:t>4</w:t>
      </w:r>
      <w:r w:rsidR="00D4134D">
        <w:t>)</w:t>
      </w:r>
      <w:r w:rsidR="009405C2">
        <w:t xml:space="preserve"> </w:t>
      </w:r>
    </w:p>
    <w:p w14:paraId="1F1A455F" w14:textId="7A8B2A13" w:rsidR="00990074" w:rsidRDefault="00D34670" w:rsidP="00E30E4F">
      <w:pPr>
        <w:pStyle w:val="BodyText"/>
        <w:keepNext/>
      </w:pPr>
      <w:r>
        <w:lastRenderedPageBreak/>
        <w:t>P</w:t>
      </w:r>
      <w:r w:rsidR="004D5DFB">
        <w:t>articipants</w:t>
      </w:r>
      <w:r w:rsidR="00C820C1">
        <w:t xml:space="preserve"> </w:t>
      </w:r>
      <w:r w:rsidR="00990074">
        <w:t xml:space="preserve">were </w:t>
      </w:r>
      <w:r w:rsidR="00851733">
        <w:t>also</w:t>
      </w:r>
      <w:r w:rsidR="00990074">
        <w:t xml:space="preserve"> concerned about potential unintended consequences of </w:t>
      </w:r>
      <w:r w:rsidR="00E56F0E">
        <w:t>the</w:t>
      </w:r>
      <w:r w:rsidR="00990074">
        <w:t xml:space="preserve"> NCT.</w:t>
      </w:r>
    </w:p>
    <w:p w14:paraId="4400224A" w14:textId="751DBA88" w:rsidR="00990074" w:rsidRDefault="006D1ED6" w:rsidP="005D5E45">
      <w:pPr>
        <w:pStyle w:val="Quote"/>
      </w:pPr>
      <w:r>
        <w:t>… the introduction of a universal cashflow tax may have unintended consequences</w:t>
      </w:r>
      <w:r w:rsidR="00E95B6F">
        <w:t xml:space="preserve"> which are particularly impactful in infrastr</w:t>
      </w:r>
      <w:r w:rsidR="002C0B30">
        <w:t>ucture</w:t>
      </w:r>
      <w:r w:rsidR="00E95B6F">
        <w:t>. As such, it could be a blunt i</w:t>
      </w:r>
      <w:r w:rsidR="00D7378C">
        <w:t>nstrument attempting to solve a complex problem. (Infrastructure Partnerships Australia, sub.</w:t>
      </w:r>
      <w:r w:rsidR="00AC364C">
        <w:t> </w:t>
      </w:r>
      <w:r w:rsidR="00D7378C">
        <w:t>132, p.</w:t>
      </w:r>
      <w:r w:rsidR="00AC364C">
        <w:t> </w:t>
      </w:r>
      <w:r w:rsidR="00D7378C">
        <w:t>1)</w:t>
      </w:r>
    </w:p>
    <w:p w14:paraId="5599B7A1" w14:textId="15C10B87" w:rsidR="00D4134D" w:rsidRPr="008C3476" w:rsidRDefault="008B3648" w:rsidP="00360205">
      <w:pPr>
        <w:pStyle w:val="Quote"/>
      </w:pPr>
      <w:r w:rsidRPr="008B3648">
        <w:t>Despite reducing the statutory rate of CIT, the effect of the PC’s proposal on our tax competitiveness is mixed and overall uncertain</w:t>
      </w:r>
      <w:r w:rsidR="00980FEE">
        <w:t xml:space="preserve">. </w:t>
      </w:r>
      <w:r w:rsidR="00243DC8">
        <w:t>(Ai Group, sub.</w:t>
      </w:r>
      <w:r w:rsidR="00AC364C">
        <w:t> </w:t>
      </w:r>
      <w:r w:rsidR="00243DC8">
        <w:t>88, p.</w:t>
      </w:r>
      <w:r w:rsidR="00AC364C">
        <w:t> </w:t>
      </w:r>
      <w:r w:rsidR="00243DC8">
        <w:t>7</w:t>
      </w:r>
      <w:r w:rsidR="000E6CFA">
        <w:t>)</w:t>
      </w:r>
    </w:p>
    <w:p w14:paraId="0526781B" w14:textId="47DA0FDE" w:rsidR="00D4134D" w:rsidRDefault="00D4134D" w:rsidP="00D4134D">
      <w:pPr>
        <w:pStyle w:val="BodyText"/>
      </w:pPr>
      <w:r>
        <w:t xml:space="preserve">Submissions also suggested that introducing a higher tax on larger companies would be detrimental to Australia’s productivity and aggregate investment as they </w:t>
      </w:r>
      <w:r w:rsidR="00B973CD">
        <w:t xml:space="preserve">consider </w:t>
      </w:r>
      <w:r w:rsidR="00B334D2">
        <w:t>that</w:t>
      </w:r>
      <w:r>
        <w:t xml:space="preserve"> larger companies drive Australia’s productivity and investment levels. </w:t>
      </w:r>
    </w:p>
    <w:p w14:paraId="2FDA4467" w14:textId="294F6B27" w:rsidR="00D4134D" w:rsidRDefault="00D4134D" w:rsidP="00D4134D">
      <w:pPr>
        <w:pStyle w:val="Quote"/>
      </w:pPr>
      <w:r w:rsidRPr="00697812">
        <w:t xml:space="preserve">Imposing this </w:t>
      </w:r>
      <w:r>
        <w:t xml:space="preserve">additional tax on </w:t>
      </w:r>
      <w:r w:rsidRPr="00697812">
        <w:t>top of the comparatively high corporate tax rate for large businesses exacerbates already uncompetitive domestic tax settings, deterring R&amp;D spending by the businesses who contribute the most in an environment where such investment is already declining</w:t>
      </w:r>
      <w:r>
        <w:t>. (Tech Council of Australia, sub.</w:t>
      </w:r>
      <w:r w:rsidR="00AC364C">
        <w:t> </w:t>
      </w:r>
      <w:r>
        <w:t>162, p.</w:t>
      </w:r>
      <w:r w:rsidR="00AC364C">
        <w:t> </w:t>
      </w:r>
      <w:r>
        <w:t>6)</w:t>
      </w:r>
    </w:p>
    <w:p w14:paraId="29D27D40" w14:textId="243A6B99" w:rsidR="008340A0" w:rsidRDefault="00153BD2" w:rsidP="00D4134D">
      <w:pPr>
        <w:pStyle w:val="BodyText"/>
      </w:pPr>
      <w:r>
        <w:t xml:space="preserve">And </w:t>
      </w:r>
      <w:r w:rsidR="00D4134D">
        <w:t>c</w:t>
      </w:r>
      <w:r w:rsidR="007A70A2">
        <w:t>onsidered</w:t>
      </w:r>
      <w:r w:rsidR="00D4134D">
        <w:t xml:space="preserve"> that </w:t>
      </w:r>
      <w:r>
        <w:t xml:space="preserve">a higher tax rate </w:t>
      </w:r>
      <w:r w:rsidR="00D4134D">
        <w:t>would also impede foreign investment</w:t>
      </w:r>
      <w:r w:rsidR="008340A0">
        <w:t>.</w:t>
      </w:r>
    </w:p>
    <w:p w14:paraId="31D97836" w14:textId="1AB54CE5" w:rsidR="00330F92" w:rsidRDefault="006B500C" w:rsidP="000F109E">
      <w:pPr>
        <w:pStyle w:val="Quote"/>
      </w:pPr>
      <w:r>
        <w:t>…</w:t>
      </w:r>
      <w:r w:rsidR="00C44D1D">
        <w:t xml:space="preserve"> </w:t>
      </w:r>
      <w:r w:rsidR="00B610B7">
        <w:t>with the current settings of the PC proposal, either way the revenue threshold is set has a detrimental impact – it either hurts Australian businesses competing against large foreign investors, or if changed to exclude those large foreign multinationals, it will deter foreign investment. (</w:t>
      </w:r>
      <w:r w:rsidR="00D4134D">
        <w:t>KPMG, sub.</w:t>
      </w:r>
      <w:r w:rsidR="00AC364C">
        <w:t> </w:t>
      </w:r>
      <w:r w:rsidR="00D4134D">
        <w:t>96</w:t>
      </w:r>
      <w:r w:rsidR="00B610B7">
        <w:t>, p.</w:t>
      </w:r>
      <w:r w:rsidR="00AC364C">
        <w:t> </w:t>
      </w:r>
      <w:r w:rsidR="0064514A">
        <w:t>4</w:t>
      </w:r>
      <w:r w:rsidR="00D4134D">
        <w:t xml:space="preserve">). </w:t>
      </w:r>
    </w:p>
    <w:p w14:paraId="637EFDC8" w14:textId="296A499F" w:rsidR="00D4134D" w:rsidRDefault="00D4134D" w:rsidP="00D4134D">
      <w:pPr>
        <w:pStyle w:val="BodyText"/>
      </w:pPr>
      <w:r>
        <w:t>However, some submissions supported the implementation of the NCT, suggesting that it may help boost investment</w:t>
      </w:r>
      <w:r w:rsidR="00330F92">
        <w:t>.</w:t>
      </w:r>
      <w:r>
        <w:t xml:space="preserve"> </w:t>
      </w:r>
    </w:p>
    <w:p w14:paraId="19DABDBF" w14:textId="7FF07C1E" w:rsidR="00D4134D" w:rsidRDefault="00D4134D" w:rsidP="00D4134D">
      <w:pPr>
        <w:pStyle w:val="Quote"/>
      </w:pPr>
      <w:r w:rsidRPr="0099018D">
        <w:t>By allowing immediate expensing, the tax reform fundamentally lowers the after</w:t>
      </w:r>
      <w:r w:rsidR="00C44D1D">
        <w:noBreakHyphen/>
      </w:r>
      <w:r w:rsidRPr="0099018D">
        <w:t>tax cost of this capital, creating a powerful incentive for businesses to invest in the foundational technologies of a sovereign AI ecosystem</w:t>
      </w:r>
      <w:r>
        <w:t>. (WA AI Hub, sub.</w:t>
      </w:r>
      <w:r w:rsidR="00AC364C">
        <w:t> </w:t>
      </w:r>
      <w:r>
        <w:t>168, p.</w:t>
      </w:r>
      <w:r w:rsidR="00AC364C">
        <w:t> </w:t>
      </w:r>
      <w:r>
        <w:t>15)</w:t>
      </w:r>
    </w:p>
    <w:p w14:paraId="295FB301" w14:textId="5487EA96" w:rsidR="005C22A5" w:rsidRDefault="00D4134D" w:rsidP="00D4134D">
      <w:pPr>
        <w:pStyle w:val="BodyText"/>
      </w:pPr>
      <w:proofErr w:type="gramStart"/>
      <w:r>
        <w:t>Other inquiry participants</w:t>
      </w:r>
      <w:r w:rsidR="00E462D4">
        <w:t>,</w:t>
      </w:r>
      <w:proofErr w:type="gramEnd"/>
      <w:r w:rsidR="00E462D4">
        <w:t xml:space="preserve"> suggest</w:t>
      </w:r>
      <w:r w:rsidR="00F3797A">
        <w:t>ed</w:t>
      </w:r>
      <w:r>
        <w:t xml:space="preserve"> that it would have a minor effect on pre</w:t>
      </w:r>
      <w:r w:rsidR="00C44D1D">
        <w:noBreakHyphen/>
      </w:r>
      <w:r>
        <w:t>tax investment decisions</w:t>
      </w:r>
      <w:r w:rsidR="005C22A5">
        <w:t>.</w:t>
      </w:r>
    </w:p>
    <w:p w14:paraId="23315096" w14:textId="77777777" w:rsidR="00D02A46" w:rsidRDefault="00D02A46" w:rsidP="00E3057A">
      <w:pPr>
        <w:pStyle w:val="Quote"/>
      </w:pPr>
      <w:r>
        <w:t>In relation to the NCT itself:</w:t>
      </w:r>
    </w:p>
    <w:p w14:paraId="7F73E2EC" w14:textId="052446EC" w:rsidR="00D02A46" w:rsidRDefault="005C22A5" w:rsidP="00D02A46">
      <w:pPr>
        <w:pStyle w:val="QuoteBullet"/>
      </w:pPr>
      <w:r w:rsidRPr="005C22A5">
        <w:t>the NCT on its own would likely have minimal impact on pre</w:t>
      </w:r>
      <w:r w:rsidR="00C44D1D">
        <w:noBreakHyphen/>
      </w:r>
      <w:r w:rsidRPr="005C22A5">
        <w:t xml:space="preserve">tax investment </w:t>
      </w:r>
      <w:proofErr w:type="gramStart"/>
      <w:r w:rsidRPr="005C22A5">
        <w:t>decisions;</w:t>
      </w:r>
      <w:proofErr w:type="gramEnd"/>
      <w:r w:rsidRPr="005C22A5">
        <w:t xml:space="preserve"> </w:t>
      </w:r>
    </w:p>
    <w:p w14:paraId="77AE04ED" w14:textId="0EFBFB17" w:rsidR="00D4134D" w:rsidRDefault="005C22A5" w:rsidP="00D02A46">
      <w:pPr>
        <w:pStyle w:val="QuoteBullet"/>
      </w:pPr>
      <w:r w:rsidRPr="005C22A5">
        <w:t>many small companies would be unlikely to be profitable enough to pay any NCT, though still being subject to NCT administration/compliance requirements</w:t>
      </w:r>
      <w:r>
        <w:t>. (</w:t>
      </w:r>
      <w:r w:rsidR="00AD247C">
        <w:t xml:space="preserve">Wayne </w:t>
      </w:r>
      <w:r>
        <w:t>Mayo, sub.</w:t>
      </w:r>
      <w:r w:rsidR="00AC364C">
        <w:t> </w:t>
      </w:r>
      <w:r>
        <w:t>83, p.</w:t>
      </w:r>
      <w:r w:rsidR="00AC364C">
        <w:t> </w:t>
      </w:r>
      <w:r>
        <w:t>1)</w:t>
      </w:r>
    </w:p>
    <w:p w14:paraId="79E24E73" w14:textId="77777777" w:rsidR="001D76BB" w:rsidRDefault="001D76BB" w:rsidP="001D76BB">
      <w:pPr>
        <w:pStyle w:val="Heading3"/>
      </w:pPr>
      <w:r>
        <w:t>Design considerations of the NCT</w:t>
      </w:r>
    </w:p>
    <w:p w14:paraId="79E8919A" w14:textId="6E7AE75F" w:rsidR="001D76BB" w:rsidRDefault="001D76BB" w:rsidP="001D76BB">
      <w:pPr>
        <w:pStyle w:val="BodyText"/>
      </w:pPr>
      <w:r>
        <w:t xml:space="preserve">Many inquiry participants </w:t>
      </w:r>
      <w:r w:rsidR="00EF6527">
        <w:t>suggested that</w:t>
      </w:r>
      <w:r w:rsidR="00A61AE5">
        <w:t xml:space="preserve"> tax paid under</w:t>
      </w:r>
      <w:r w:rsidR="00C44851">
        <w:t xml:space="preserve"> the</w:t>
      </w:r>
      <w:r w:rsidR="00EF6527">
        <w:t xml:space="preserve"> NCT should be included in the dividend imputation system</w:t>
      </w:r>
      <w:r w:rsidR="00202CB8">
        <w:t xml:space="preserve">, and expressed concerns that if it was </w:t>
      </w:r>
      <w:proofErr w:type="gramStart"/>
      <w:r w:rsidR="00202CB8">
        <w:t>not</w:t>
      </w:r>
      <w:proofErr w:type="gramEnd"/>
      <w:r w:rsidR="00202CB8">
        <w:t xml:space="preserve"> it could have adverse consequences for businesses</w:t>
      </w:r>
      <w:r w:rsidR="006904EC">
        <w:t xml:space="preserve"> and investors.</w:t>
      </w:r>
    </w:p>
    <w:p w14:paraId="6950314E" w14:textId="69C5BD7C" w:rsidR="00B34926" w:rsidRDefault="001A6C89" w:rsidP="00202CB8">
      <w:pPr>
        <w:pStyle w:val="Quote"/>
      </w:pPr>
      <w:r w:rsidRPr="001A6C89">
        <w:t>A net cash flow tax would not be frankable, which would also adversely impact small businesses</w:t>
      </w:r>
      <w:r>
        <w:t>. (Chamber of Minerals and Energy WA, sub.</w:t>
      </w:r>
      <w:r w:rsidR="00AC364C">
        <w:t> </w:t>
      </w:r>
      <w:r>
        <w:t>104, p.</w:t>
      </w:r>
      <w:r w:rsidR="00AC364C">
        <w:t> </w:t>
      </w:r>
      <w:r>
        <w:t>3)</w:t>
      </w:r>
    </w:p>
    <w:p w14:paraId="6FA6AE42" w14:textId="2E4D5365" w:rsidR="00202CB8" w:rsidRDefault="006904EC" w:rsidP="00023F35">
      <w:pPr>
        <w:pStyle w:val="Quote"/>
      </w:pPr>
      <w:r>
        <w:t>The potential absence of franking credits under the NCT means the cost of capital may increase for some investors. (BCA, sub.</w:t>
      </w:r>
      <w:r w:rsidR="00AC364C">
        <w:t> </w:t>
      </w:r>
      <w:r>
        <w:t>200, p.</w:t>
      </w:r>
      <w:r w:rsidR="00AC364C">
        <w:t> </w:t>
      </w:r>
      <w:r>
        <w:t>10)</w:t>
      </w:r>
    </w:p>
    <w:p w14:paraId="7E9EB6B1" w14:textId="758F19AB" w:rsidR="0042772D" w:rsidRPr="0042772D" w:rsidRDefault="0042772D" w:rsidP="0042772D">
      <w:pPr>
        <w:pStyle w:val="Quote"/>
      </w:pPr>
      <w:r>
        <w:t>If the NCT is franked, then domestic shareholders are no better off compared to the current tax settings. If unfranked, it generally results in a worse outcome for domestic shareholders, particularly those in companies with a turnover of less than $50 million. (CTA, sub.</w:t>
      </w:r>
      <w:r w:rsidR="00AC364C">
        <w:t> </w:t>
      </w:r>
      <w:r>
        <w:t>196, p.</w:t>
      </w:r>
      <w:r w:rsidR="00AC364C">
        <w:t> </w:t>
      </w:r>
      <w:r>
        <w:t>2)</w:t>
      </w:r>
    </w:p>
    <w:p w14:paraId="61A88A9F" w14:textId="3AFAAE7D" w:rsidR="00A55A92" w:rsidRPr="00E30E4F" w:rsidRDefault="002C5C92" w:rsidP="002C5C92">
      <w:pPr>
        <w:pStyle w:val="BodyText"/>
        <w:rPr>
          <w:spacing w:val="-4"/>
        </w:rPr>
      </w:pPr>
      <w:r w:rsidRPr="00E30E4F">
        <w:rPr>
          <w:spacing w:val="-4"/>
        </w:rPr>
        <w:lastRenderedPageBreak/>
        <w:t xml:space="preserve">Few stakeholders opposed the franking of the </w:t>
      </w:r>
      <w:proofErr w:type="gramStart"/>
      <w:r w:rsidRPr="00E30E4F">
        <w:rPr>
          <w:spacing w:val="-4"/>
        </w:rPr>
        <w:t xml:space="preserve">NCT, </w:t>
      </w:r>
      <w:r w:rsidR="00DF6C8E" w:rsidRPr="00E30E4F">
        <w:rPr>
          <w:spacing w:val="-4"/>
        </w:rPr>
        <w:t>and</w:t>
      </w:r>
      <w:proofErr w:type="gramEnd"/>
      <w:r w:rsidRPr="00E30E4F">
        <w:rPr>
          <w:spacing w:val="-4"/>
        </w:rPr>
        <w:t xml:space="preserve"> </w:t>
      </w:r>
      <w:r w:rsidR="00CA0EAF" w:rsidRPr="00E30E4F">
        <w:rPr>
          <w:spacing w:val="-4"/>
        </w:rPr>
        <w:t xml:space="preserve">expressed concerns about </w:t>
      </w:r>
      <w:r w:rsidR="00FA3323" w:rsidRPr="00E30E4F">
        <w:rPr>
          <w:spacing w:val="-4"/>
        </w:rPr>
        <w:t>its potential</w:t>
      </w:r>
      <w:r w:rsidR="00B84B97" w:rsidRPr="00E30E4F">
        <w:rPr>
          <w:spacing w:val="-4"/>
        </w:rPr>
        <w:t xml:space="preserve"> </w:t>
      </w:r>
      <w:r w:rsidR="00CA0EAF" w:rsidRPr="00E30E4F">
        <w:rPr>
          <w:spacing w:val="-4"/>
        </w:rPr>
        <w:t>consequences.</w:t>
      </w:r>
    </w:p>
    <w:p w14:paraId="22DB0F81" w14:textId="4AEDE2B7" w:rsidR="00B83907" w:rsidRDefault="00B83907" w:rsidP="00B83907">
      <w:pPr>
        <w:pStyle w:val="Quote"/>
      </w:pPr>
      <w:r w:rsidRPr="00B83907">
        <w:t>For the CFT to tax higher profits effectively, it must operate without imputation or with a modified imputation system. This additional complexity and lack of transparency in the imputation system will confuse and deter investors, and may decrease the after</w:t>
      </w:r>
      <w:r w:rsidR="00C44D1D">
        <w:noBreakHyphen/>
      </w:r>
      <w:r w:rsidRPr="00B83907">
        <w:t>tax return directly, for domestic shareholders who bear the CFT without the benefit of franking credits, or indirectly, by franking credit wastage in company groups</w:t>
      </w:r>
      <w:r>
        <w:t>. (Paul McCullough, sub.</w:t>
      </w:r>
      <w:r w:rsidR="00AC364C">
        <w:t> </w:t>
      </w:r>
      <w:r>
        <w:t>77, p.</w:t>
      </w:r>
      <w:r w:rsidR="00AC364C">
        <w:t> </w:t>
      </w:r>
      <w:r>
        <w:t>1)</w:t>
      </w:r>
    </w:p>
    <w:p w14:paraId="6A26BCA6" w14:textId="5F575860" w:rsidR="001D76BB" w:rsidRDefault="001D76BB" w:rsidP="001D76BB">
      <w:pPr>
        <w:pStyle w:val="BodyText"/>
      </w:pPr>
      <w:r>
        <w:t>Several submissions did not support</w:t>
      </w:r>
      <w:r w:rsidR="00E40E4C">
        <w:t xml:space="preserve"> excluding the deduction of interest expenses when calculating the NCT</w:t>
      </w:r>
      <w:r>
        <w:t xml:space="preserve">, voicing concern of its potential to increase the cost of investments. </w:t>
      </w:r>
    </w:p>
    <w:p w14:paraId="6B20284F" w14:textId="036BF63C" w:rsidR="001D76BB" w:rsidRDefault="001D76BB" w:rsidP="001D76BB">
      <w:pPr>
        <w:pStyle w:val="Quote"/>
      </w:pPr>
      <w:r w:rsidRPr="00D04C63">
        <w:t>The denial of interest expenses under the CFT (to prevent double dipping for full expensing) will increase the cost of financing as a source of investment, particularly for small businesses, who tend to fund capital investment by private financing</w:t>
      </w:r>
      <w:r>
        <w:t>. (Paul McCullough, sub.</w:t>
      </w:r>
      <w:r w:rsidR="00AC364C">
        <w:t> </w:t>
      </w:r>
      <w:r>
        <w:t>77, p.</w:t>
      </w:r>
      <w:r w:rsidR="00AC364C">
        <w:t> </w:t>
      </w:r>
      <w:r>
        <w:t>1)</w:t>
      </w:r>
    </w:p>
    <w:p w14:paraId="4BB75024" w14:textId="635ABB93" w:rsidR="001D76BB" w:rsidRDefault="001D76BB" w:rsidP="008E6F2E">
      <w:pPr>
        <w:pStyle w:val="ListBullet"/>
        <w:numPr>
          <w:ilvl w:val="0"/>
          <w:numId w:val="0"/>
        </w:numPr>
      </w:pPr>
      <w:r>
        <w:t>In our interim report, we proposed to set an uplift</w:t>
      </w:r>
      <w:r w:rsidRPr="00D25C74">
        <w:t xml:space="preserve"> rate </w:t>
      </w:r>
      <w:r>
        <w:t xml:space="preserve">for losses under the NCT, to </w:t>
      </w:r>
      <w:r w:rsidRPr="00D25C74">
        <w:t>compensate companies for the delayed refund of tax losses</w:t>
      </w:r>
      <w:r>
        <w:t xml:space="preserve">. Several submissions supported this view, acknowledging the difficulty of choosing an appropriate rate. </w:t>
      </w:r>
    </w:p>
    <w:p w14:paraId="12FC7C7D" w14:textId="19EB533B" w:rsidR="00E52F9B" w:rsidRDefault="002336E7" w:rsidP="00E52F9B">
      <w:pPr>
        <w:pStyle w:val="Quote"/>
      </w:pPr>
      <w:r>
        <w:t xml:space="preserve">Any </w:t>
      </w:r>
      <w:r w:rsidR="00C4262E">
        <w:t>uplift</w:t>
      </w:r>
      <w:r>
        <w:t xml:space="preserve"> rate would need to be set</w:t>
      </w:r>
      <w:r w:rsidR="00C4262E">
        <w:t xml:space="preserve"> such that investors are indifferent as to whether they receive the value of the tax deductions now or later</w:t>
      </w:r>
      <w:r w:rsidR="0055250F">
        <w:t xml:space="preserve">. </w:t>
      </w:r>
      <w:r w:rsidR="003B069C">
        <w:t>(</w:t>
      </w:r>
      <w:r w:rsidR="003313C2">
        <w:t>BCA</w:t>
      </w:r>
      <w:r w:rsidR="003B069C">
        <w:t>, sub.</w:t>
      </w:r>
      <w:r w:rsidR="00AC364C">
        <w:t> </w:t>
      </w:r>
      <w:r w:rsidR="003B069C">
        <w:t>200, p.</w:t>
      </w:r>
      <w:r w:rsidR="00AC364C">
        <w:t> </w:t>
      </w:r>
      <w:r w:rsidR="003B069C">
        <w:t>9)</w:t>
      </w:r>
    </w:p>
    <w:p w14:paraId="0236F0F8" w14:textId="05A917BC" w:rsidR="009475A5" w:rsidRDefault="001D76BB" w:rsidP="001D76BB">
      <w:pPr>
        <w:pStyle w:val="BodyText"/>
      </w:pPr>
      <w:r>
        <w:t xml:space="preserve">Stakeholders </w:t>
      </w:r>
      <w:r w:rsidR="002713E3">
        <w:t>had</w:t>
      </w:r>
      <w:r>
        <w:t xml:space="preserve"> mixed views on how the financial sector should be taxed. Several did not support a cashflow tax for financial services</w:t>
      </w:r>
      <w:r w:rsidR="00DE34CA">
        <w:t>.</w:t>
      </w:r>
    </w:p>
    <w:p w14:paraId="574C0A42" w14:textId="2B303F49" w:rsidR="00521C74" w:rsidRDefault="009475A5" w:rsidP="009475A5">
      <w:pPr>
        <w:pStyle w:val="Quote"/>
      </w:pPr>
      <w:r w:rsidRPr="009475A5">
        <w:t>While the intent is to encourage investment, the design is not fit for purpose in financial services.</w:t>
      </w:r>
      <w:r w:rsidR="001D76BB">
        <w:t xml:space="preserve"> (Financial Services Council, sub.</w:t>
      </w:r>
      <w:r w:rsidR="00AC364C">
        <w:t> </w:t>
      </w:r>
      <w:r w:rsidR="0021628A">
        <w:t>123, p.</w:t>
      </w:r>
      <w:r w:rsidR="00AC364C">
        <w:t> </w:t>
      </w:r>
      <w:r w:rsidR="00521C74">
        <w:t>6)</w:t>
      </w:r>
    </w:p>
    <w:p w14:paraId="3A746718" w14:textId="03926EED" w:rsidR="00DE34CA" w:rsidRDefault="00072709" w:rsidP="00521C74">
      <w:pPr>
        <w:pStyle w:val="Quote"/>
      </w:pPr>
      <w:r>
        <w:t>Introducing</w:t>
      </w:r>
      <w:r w:rsidR="001D76BB">
        <w:t xml:space="preserve"> another tax </w:t>
      </w:r>
      <w:r>
        <w:t xml:space="preserve">or levy on banks </w:t>
      </w:r>
      <w:r w:rsidR="001D76BB">
        <w:t xml:space="preserve">may increase borrowing costs </w:t>
      </w:r>
      <w:r>
        <w:t xml:space="preserve">for households </w:t>
      </w:r>
      <w:r w:rsidR="001D76BB">
        <w:t xml:space="preserve">and </w:t>
      </w:r>
      <w:r>
        <w:t>businesses</w:t>
      </w:r>
      <w:r w:rsidR="005D51AE">
        <w:t xml:space="preserve"> by adding even more complexity </w:t>
      </w:r>
      <w:r w:rsidR="001D76BB">
        <w:t xml:space="preserve">and </w:t>
      </w:r>
      <w:r w:rsidR="005D51AE">
        <w:t>compliance costs.</w:t>
      </w:r>
      <w:r w:rsidR="001D48BD">
        <w:t xml:space="preserve"> </w:t>
      </w:r>
      <w:r w:rsidR="001D76BB">
        <w:t>(</w:t>
      </w:r>
      <w:r w:rsidR="00460154">
        <w:t>BCA</w:t>
      </w:r>
      <w:r w:rsidR="001D76BB">
        <w:t>, sub.</w:t>
      </w:r>
      <w:r w:rsidR="00AC364C">
        <w:t> </w:t>
      </w:r>
      <w:r w:rsidR="005D51AE">
        <w:t>200, p.</w:t>
      </w:r>
      <w:r w:rsidR="00AC364C">
        <w:t> </w:t>
      </w:r>
      <w:r w:rsidR="005D51AE">
        <w:t>4)</w:t>
      </w:r>
    </w:p>
    <w:p w14:paraId="45EE1695" w14:textId="595EE92A" w:rsidR="005776E2" w:rsidRDefault="00CA3DB4" w:rsidP="001D76BB">
      <w:pPr>
        <w:pStyle w:val="BodyText"/>
      </w:pPr>
      <w:r>
        <w:t xml:space="preserve">Other submissions also noted </w:t>
      </w:r>
      <w:r w:rsidR="00D10FF3">
        <w:t>the difficulty of implementing the NCT</w:t>
      </w:r>
      <w:r w:rsidR="008138D5">
        <w:t xml:space="preserve"> for the financial sector</w:t>
      </w:r>
      <w:r w:rsidR="00922D14">
        <w:t xml:space="preserve"> </w:t>
      </w:r>
      <w:r w:rsidR="00C72BF8">
        <w:t>and</w:t>
      </w:r>
      <w:r w:rsidR="008138D5">
        <w:t xml:space="preserve"> provided </w:t>
      </w:r>
      <w:r w:rsidR="00607EC0">
        <w:t xml:space="preserve">alternate </w:t>
      </w:r>
      <w:r w:rsidR="008138D5">
        <w:t xml:space="preserve">suggestions. </w:t>
      </w:r>
    </w:p>
    <w:p w14:paraId="47E01A40" w14:textId="1D3EC640" w:rsidR="005776E2" w:rsidRDefault="005776E2" w:rsidP="00B4101B">
      <w:pPr>
        <w:pStyle w:val="Quote"/>
      </w:pPr>
      <w:r w:rsidRPr="005776E2">
        <w:rPr>
          <w:lang w:val="en-GB"/>
        </w:rPr>
        <w:t>an ‘</w:t>
      </w:r>
      <w:r w:rsidRPr="005776E2">
        <w:t>addition method’ of taxation would be effective in fully taxing the consumption of financial services as an alternative to the GST’s partial taxation of inputs. In broad terms, the addition method calculates liability by taking the sum of an entity’s labour and profit for a tax period and multiplying this by the prevailing tax rate.</w:t>
      </w:r>
      <w:r>
        <w:t xml:space="preserve"> (Kevin O’Rourke, sub.</w:t>
      </w:r>
      <w:r w:rsidR="00AC364C">
        <w:t> </w:t>
      </w:r>
      <w:r>
        <w:t>80, p.</w:t>
      </w:r>
      <w:r w:rsidR="00AC364C">
        <w:t> </w:t>
      </w:r>
      <w:r>
        <w:t>2)</w:t>
      </w:r>
    </w:p>
    <w:p w14:paraId="12B611CB" w14:textId="111F7015" w:rsidR="005776E2" w:rsidRPr="00A65978" w:rsidRDefault="001D55AE" w:rsidP="003D0E02">
      <w:pPr>
        <w:pStyle w:val="BodyText"/>
        <w:rPr>
          <w:spacing w:val="-2"/>
        </w:rPr>
      </w:pPr>
      <w:r w:rsidRPr="00A65978">
        <w:rPr>
          <w:spacing w:val="-2"/>
        </w:rPr>
        <w:t>Participants</w:t>
      </w:r>
      <w:r w:rsidR="001D76BB" w:rsidRPr="00A65978">
        <w:rPr>
          <w:spacing w:val="-2"/>
        </w:rPr>
        <w:t xml:space="preserve"> also shared some limited views on the phasing of the proposed reforms</w:t>
      </w:r>
      <w:r w:rsidR="00257283" w:rsidRPr="00A65978">
        <w:rPr>
          <w:spacing w:val="-2"/>
        </w:rPr>
        <w:t>, with some supporting phasing, while others concerned that phasing may increase uncertainty and discourage business investment.</w:t>
      </w:r>
    </w:p>
    <w:p w14:paraId="71872BE8" w14:textId="4DFF17D7" w:rsidR="00B94B07" w:rsidRDefault="00C70175" w:rsidP="00B94B07">
      <w:pPr>
        <w:pStyle w:val="Quote"/>
      </w:pPr>
      <w:r>
        <w:t>i</w:t>
      </w:r>
      <w:r w:rsidR="00B94B07">
        <w:t>f government were to proceed, the grandfathering approach would be the most balanced way to manage the transition. (Mortgage and Finance Association of Australia, sub.</w:t>
      </w:r>
      <w:r w:rsidR="00AC364C">
        <w:t> </w:t>
      </w:r>
      <w:r w:rsidR="00B94B07">
        <w:t>160, p.</w:t>
      </w:r>
      <w:r w:rsidR="00AC364C">
        <w:t> </w:t>
      </w:r>
      <w:r w:rsidR="00B94B07">
        <w:t>3).</w:t>
      </w:r>
    </w:p>
    <w:p w14:paraId="0AA49AF5" w14:textId="642FE30D" w:rsidR="00E30E4F" w:rsidRDefault="00A06CD5" w:rsidP="00B4101B">
      <w:pPr>
        <w:pStyle w:val="Quote"/>
      </w:pPr>
      <w:r>
        <w:t>The Tax Institute considers that a phased approach to implementation of the proposed changes to the corporate tax rate and the introduction of the new net cashflow tax would cause further complexity. It would also delay the realisation of the anticipated benefits outlined in the Interim Report. (The Tax Institute, sub.</w:t>
      </w:r>
      <w:r w:rsidR="00AC364C">
        <w:t> </w:t>
      </w:r>
      <w:r>
        <w:t>197, p.</w:t>
      </w:r>
      <w:r w:rsidR="00AC364C">
        <w:t> </w:t>
      </w:r>
      <w:r>
        <w:t>10)</w:t>
      </w:r>
    </w:p>
    <w:p w14:paraId="1C265A7E" w14:textId="77777777" w:rsidR="00E30E4F" w:rsidRDefault="00E30E4F">
      <w:pPr>
        <w:spacing w:before="0" w:after="160" w:line="259" w:lineRule="auto"/>
        <w:rPr>
          <w:rFonts w:ascii="Arial" w:hAnsi="Arial"/>
          <w:color w:val="58585B"/>
        </w:rPr>
      </w:pPr>
      <w:r>
        <w:br w:type="page"/>
      </w:r>
    </w:p>
    <w:p w14:paraId="556DC0DC" w14:textId="77777777" w:rsidR="001D7C21" w:rsidRDefault="001D7C21" w:rsidP="005562CC">
      <w:pPr>
        <w:pStyle w:val="Heading2-nonumber"/>
      </w:pPr>
      <w:bookmarkStart w:id="8" w:name="_Toc215092968"/>
      <w:r>
        <w:lastRenderedPageBreak/>
        <w:t>Alternative proposals</w:t>
      </w:r>
      <w:bookmarkEnd w:id="8"/>
    </w:p>
    <w:p w14:paraId="24E5934D" w14:textId="69BC4E1C" w:rsidR="001D7C21" w:rsidRDefault="001D7C21" w:rsidP="001D7C21">
      <w:pPr>
        <w:pStyle w:val="BodyText"/>
      </w:pPr>
      <w:r>
        <w:t xml:space="preserve">Many submissions proposed other tax reforms to boost investment </w:t>
      </w:r>
      <w:r w:rsidR="009462AD">
        <w:t>that could achieve similar outcomes to our proposal for an NCT</w:t>
      </w:r>
      <w:r>
        <w:t>. This includes instant asset write off and accelerated depreciation.</w:t>
      </w:r>
    </w:p>
    <w:p w14:paraId="5DFF6150" w14:textId="77777777" w:rsidR="00506035" w:rsidRPr="00E30E4F" w:rsidRDefault="001D7C21" w:rsidP="00E30E4F">
      <w:pPr>
        <w:pStyle w:val="Quote"/>
        <w:ind w:right="680"/>
        <w:rPr>
          <w:spacing w:val="-4"/>
        </w:rPr>
      </w:pPr>
      <w:r w:rsidRPr="00E30E4F">
        <w:rPr>
          <w:spacing w:val="-4"/>
        </w:rPr>
        <w:t>Our view is that the desired outcomes are much better achieved through existing mechanisms including</w:t>
      </w:r>
      <w:r w:rsidR="00506035" w:rsidRPr="00E30E4F">
        <w:rPr>
          <w:spacing w:val="-4"/>
        </w:rPr>
        <w:t>:</w:t>
      </w:r>
    </w:p>
    <w:p w14:paraId="1650C785" w14:textId="16E4E777" w:rsidR="001D7C21" w:rsidRPr="00506035" w:rsidRDefault="001D7C21" w:rsidP="00506035">
      <w:pPr>
        <w:pStyle w:val="QuoteBullet"/>
      </w:pPr>
      <w:r w:rsidRPr="00506035">
        <w:t xml:space="preserve"> a permanent instant asset </w:t>
      </w:r>
      <w:proofErr w:type="gramStart"/>
      <w:r w:rsidRPr="00506035">
        <w:t>write</w:t>
      </w:r>
      <w:proofErr w:type="gramEnd"/>
      <w:r w:rsidRPr="00506035">
        <w:t xml:space="preserve"> </w:t>
      </w:r>
      <w:proofErr w:type="gramStart"/>
      <w:r w:rsidRPr="00506035">
        <w:t>off of</w:t>
      </w:r>
      <w:proofErr w:type="gramEnd"/>
      <w:r w:rsidRPr="00506035">
        <w:t xml:space="preserve"> at least $150,000 for those businesses with a turnover of less than $50 million. (COSBOA, sub.</w:t>
      </w:r>
      <w:r w:rsidR="00AC364C">
        <w:t> </w:t>
      </w:r>
      <w:r w:rsidRPr="00506035">
        <w:t>110, p.</w:t>
      </w:r>
      <w:r w:rsidR="00AC364C">
        <w:t> </w:t>
      </w:r>
      <w:r w:rsidRPr="00506035">
        <w:t>2)</w:t>
      </w:r>
    </w:p>
    <w:p w14:paraId="3402E4ED" w14:textId="4DC2434A" w:rsidR="001D7C21" w:rsidRPr="00E7548D" w:rsidRDefault="001D7C21" w:rsidP="001D7C21">
      <w:pPr>
        <w:pStyle w:val="Quote"/>
      </w:pPr>
      <w:r>
        <w:t xml:space="preserve">Full expensing (also known as immediate tax deductibility) for all capital expenditure across all businesses will immediately increase and attract new </w:t>
      </w:r>
      <w:proofErr w:type="gramStart"/>
      <w:r>
        <w:t>investment, and</w:t>
      </w:r>
      <w:proofErr w:type="gramEnd"/>
      <w:r>
        <w:t xml:space="preserve"> quickly generate productivity gains to grow the economy. (Wesfarmers, sub.</w:t>
      </w:r>
      <w:r w:rsidR="00AC364C">
        <w:t> </w:t>
      </w:r>
      <w:r>
        <w:t>191, p.</w:t>
      </w:r>
      <w:r w:rsidR="00AC364C">
        <w:t> </w:t>
      </w:r>
      <w:r>
        <w:t>7)</w:t>
      </w:r>
    </w:p>
    <w:p w14:paraId="71FB9389" w14:textId="780D721E" w:rsidR="00706075" w:rsidRDefault="001D7C21" w:rsidP="001D7C21">
      <w:pPr>
        <w:pStyle w:val="BodyText"/>
      </w:pPr>
      <w:r>
        <w:t xml:space="preserve">Some proposals suggested a replacement of the </w:t>
      </w:r>
      <w:r w:rsidR="00E863CC">
        <w:t>corporate income tax</w:t>
      </w:r>
      <w:r>
        <w:t xml:space="preserve"> with </w:t>
      </w:r>
      <w:r w:rsidR="00E56F0E">
        <w:t>the</w:t>
      </w:r>
      <w:r>
        <w:t xml:space="preserve"> </w:t>
      </w:r>
      <w:r w:rsidR="00E863CC">
        <w:t>NCT</w:t>
      </w:r>
      <w:r w:rsidR="002F5D4D">
        <w:t xml:space="preserve">, </w:t>
      </w:r>
      <w:r>
        <w:t xml:space="preserve">and several others proposed reductions to the </w:t>
      </w:r>
      <w:r w:rsidR="00E863CC">
        <w:t xml:space="preserve">corporate income tax </w:t>
      </w:r>
      <w:r>
        <w:t xml:space="preserve">and </w:t>
      </w:r>
      <w:r w:rsidR="0026276D">
        <w:t xml:space="preserve">wanted a broader review of the tax system or options outside the corporate tax system for funding the tax </w:t>
      </w:r>
      <w:r w:rsidR="00EE3E19">
        <w:t>cuts</w:t>
      </w:r>
      <w:r>
        <w:t>.</w:t>
      </w:r>
    </w:p>
    <w:p w14:paraId="38B3E035" w14:textId="7689951A" w:rsidR="002F5D4D" w:rsidRDefault="002A22CF" w:rsidP="00584FF4">
      <w:pPr>
        <w:pStyle w:val="Quote"/>
      </w:pPr>
      <w:r w:rsidRPr="002A22CF">
        <w:t>there is no need to create a ‘hybrid’ system where company income tax is retained and reduced from 30% to 20% and the new cash flow tax rate is only 5%. A far better, simpler, and more effective model would be [</w:t>
      </w:r>
      <w:r>
        <w:t>a</w:t>
      </w:r>
      <w:r w:rsidRPr="002A22CF">
        <w:t>] proposal to </w:t>
      </w:r>
      <w:r w:rsidRPr="002A22CF">
        <w:rPr>
          <w:b/>
          <w:bCs/>
        </w:rPr>
        <w:t>replace company income tax </w:t>
      </w:r>
      <w:r w:rsidRPr="002A22CF">
        <w:rPr>
          <w:b/>
          <w:bCs/>
          <w:u w:val="single"/>
        </w:rPr>
        <w:t>entirely</w:t>
      </w:r>
      <w:r w:rsidRPr="002A22CF">
        <w:rPr>
          <w:b/>
          <w:bCs/>
          <w:i/>
          <w:iCs/>
        </w:rPr>
        <w:t> </w:t>
      </w:r>
      <w:r w:rsidRPr="002A22CF">
        <w:rPr>
          <w:b/>
          <w:bCs/>
        </w:rPr>
        <w:t>with a revenue</w:t>
      </w:r>
      <w:r w:rsidR="00C44D1D">
        <w:rPr>
          <w:b/>
          <w:bCs/>
        </w:rPr>
        <w:noBreakHyphen/>
      </w:r>
      <w:r w:rsidRPr="002A22CF">
        <w:rPr>
          <w:b/>
          <w:bCs/>
        </w:rPr>
        <w:t>neutral corporate cash flow tax</w:t>
      </w:r>
      <w:r w:rsidRPr="002A22CF">
        <w:t>. </w:t>
      </w:r>
      <w:r w:rsidR="00E67AD0">
        <w:t xml:space="preserve">(Lachlan </w:t>
      </w:r>
      <w:r w:rsidR="002F5D4D">
        <w:t>Kerwood</w:t>
      </w:r>
      <w:r w:rsidR="00C44D1D">
        <w:noBreakHyphen/>
      </w:r>
      <w:r w:rsidR="002F5D4D">
        <w:t>McCall, sub.</w:t>
      </w:r>
      <w:r w:rsidR="00AC364C">
        <w:t> </w:t>
      </w:r>
      <w:r w:rsidR="002F5D4D">
        <w:t>122</w:t>
      </w:r>
      <w:r w:rsidR="00E67AD0">
        <w:t>, p.</w:t>
      </w:r>
      <w:r w:rsidR="00AC364C">
        <w:t> </w:t>
      </w:r>
      <w:r w:rsidR="00E67AD0">
        <w:t>1</w:t>
      </w:r>
      <w:r w:rsidR="002F5D4D">
        <w:t xml:space="preserve">) </w:t>
      </w:r>
    </w:p>
    <w:p w14:paraId="16C437B3" w14:textId="3E880B81" w:rsidR="00706075" w:rsidRDefault="00706075" w:rsidP="00584FF4">
      <w:pPr>
        <w:pStyle w:val="Quote"/>
      </w:pPr>
      <w:r w:rsidRPr="00706075">
        <w:t>By only investigating a reduction in statutory CIT which is funded through personal income tax creep, the PC has failed to explore the full range of options to implement this approach. A broader set of options should be considered to properly inform policy making</w:t>
      </w:r>
      <w:r w:rsidR="00DB343B">
        <w:t>. (Ai Group, sub.</w:t>
      </w:r>
      <w:r w:rsidR="00AC364C">
        <w:t> </w:t>
      </w:r>
      <w:r w:rsidR="00DB343B">
        <w:t xml:space="preserve">88, </w:t>
      </w:r>
      <w:r w:rsidR="00584FF4">
        <w:t>p.</w:t>
      </w:r>
      <w:r w:rsidR="00AC364C">
        <w:t> </w:t>
      </w:r>
      <w:r w:rsidR="00584FF4">
        <w:t>12)</w:t>
      </w:r>
    </w:p>
    <w:p w14:paraId="09692189" w14:textId="7B96DE78" w:rsidR="00583024" w:rsidRDefault="001D7C21" w:rsidP="001D7C21">
      <w:pPr>
        <w:pStyle w:val="BodyText"/>
      </w:pPr>
      <w:r>
        <w:t>Some alternative reforms to the corporate tax system were put forward, including partial accelerated depreciation with interest deductibility and an allowance for corporate equity</w:t>
      </w:r>
      <w:r w:rsidR="00583024">
        <w:t>.</w:t>
      </w:r>
    </w:p>
    <w:p w14:paraId="3C85E8BE" w14:textId="7C20329A" w:rsidR="001D7C21" w:rsidRDefault="006930E0" w:rsidP="006930E0">
      <w:pPr>
        <w:pStyle w:val="Quote"/>
      </w:pPr>
      <w:r>
        <w:t>In theory, a cash</w:t>
      </w:r>
      <w:r w:rsidR="00C44D1D">
        <w:noBreakHyphen/>
      </w:r>
      <w:r>
        <w:t>flow tax (CFT) and an allowance for corporate equity (ACE) are equivalent economic rent taxes. In practice however, the transitional costs associated with the implementation of a CFT, aimed to eventually replace the corporate income tax (CIT), are much greater compared to an ACE.</w:t>
      </w:r>
      <w:r w:rsidR="001D7C21">
        <w:t xml:space="preserve"> (</w:t>
      </w:r>
      <w:r>
        <w:t xml:space="preserve">Kristen </w:t>
      </w:r>
      <w:r w:rsidR="001D7C21">
        <w:t>Sobeck, sub.</w:t>
      </w:r>
      <w:r w:rsidR="00AC364C">
        <w:t> </w:t>
      </w:r>
      <w:r w:rsidR="001D7C21">
        <w:t>99</w:t>
      </w:r>
      <w:r>
        <w:t>, p.</w:t>
      </w:r>
      <w:r w:rsidR="00AC364C">
        <w:t> </w:t>
      </w:r>
      <w:r>
        <w:t>1</w:t>
      </w:r>
      <w:r w:rsidR="001D7C21">
        <w:t>).</w:t>
      </w:r>
    </w:p>
    <w:p w14:paraId="45A9759D" w14:textId="77777777" w:rsidR="00A65978" w:rsidRDefault="00133C35">
      <w:pPr>
        <w:spacing w:before="0" w:after="160" w:line="259" w:lineRule="auto"/>
      </w:pPr>
      <w:r>
        <w:t>While some submissions provided alternative</w:t>
      </w:r>
      <w:r w:rsidR="008D26E9">
        <w:t xml:space="preserve"> methods of funding a </w:t>
      </w:r>
      <w:r w:rsidR="00923A3B">
        <w:t>company tax cut</w:t>
      </w:r>
      <w:r w:rsidR="008C7D3C">
        <w:t>, most submissions</w:t>
      </w:r>
      <w:r w:rsidR="001C2383">
        <w:t xml:space="preserve"> did not </w:t>
      </w:r>
      <w:r w:rsidR="00A355D1">
        <w:t xml:space="preserve">provide these details </w:t>
      </w:r>
      <w:r w:rsidR="00345656">
        <w:t>or include estimates of the cost of their proposa</w:t>
      </w:r>
      <w:r w:rsidR="005D1533">
        <w:t>l</w:t>
      </w:r>
      <w:r w:rsidR="00345656">
        <w:t>.</w:t>
      </w:r>
    </w:p>
    <w:p w14:paraId="1157DDEE" w14:textId="69CF02C0" w:rsidR="00A23D2A" w:rsidRPr="00A65978" w:rsidRDefault="00751EAA" w:rsidP="00A65978">
      <w:pPr>
        <w:pStyle w:val="BodyText"/>
      </w:pPr>
      <w:r w:rsidRPr="00A65978">
        <w:br w:type="page"/>
      </w:r>
    </w:p>
    <w:p w14:paraId="688F6CA9" w14:textId="77777777" w:rsidR="008752B1" w:rsidRPr="00E86018" w:rsidRDefault="008752B1" w:rsidP="008752B1">
      <w:pPr>
        <w:pStyle w:val="Heading1-nobackground"/>
        <w:rPr>
          <w:spacing w:val="-6"/>
        </w:rPr>
      </w:pPr>
      <w:bookmarkStart w:id="9" w:name="_Toc215092969"/>
      <w:r w:rsidRPr="00E86018">
        <w:rPr>
          <w:spacing w:val="-6"/>
        </w:rPr>
        <w:lastRenderedPageBreak/>
        <w:t>Regulating to promote business dynamism</w:t>
      </w:r>
      <w:bookmarkEnd w:id="9"/>
    </w:p>
    <w:p w14:paraId="61488CD3" w14:textId="3084F5E1" w:rsidR="008752B1" w:rsidRPr="008E0841" w:rsidRDefault="008752B1" w:rsidP="008752B1">
      <w:pPr>
        <w:pStyle w:val="BodyText"/>
      </w:pPr>
      <w:r w:rsidRPr="008E0841">
        <w:t xml:space="preserve">Regulation can make us safer, healthier and protect the environment, but poor regulation can act as a handbrake on growth, innovation and investment. In our consultations for this inquiry, we sought to understand experiences of regulation across the economy and </w:t>
      </w:r>
      <w:r>
        <w:t>hear views on how the regulatory policy of government could be improved. We identified three key themes across responses:</w:t>
      </w:r>
    </w:p>
    <w:p w14:paraId="374F570A" w14:textId="5CB927D2" w:rsidR="008752B1" w:rsidRPr="00A65978" w:rsidRDefault="00687150" w:rsidP="00A65978">
      <w:pPr>
        <w:pStyle w:val="BodyText"/>
        <w:spacing w:before="240"/>
      </w:pPr>
      <w:r w:rsidRPr="00A65978">
        <w:rPr>
          <w:noProof/>
        </w:rPr>
        <w:drawing>
          <wp:inline distT="0" distB="0" distL="0" distR="0" wp14:anchorId="13C81A71" wp14:editId="671FC23C">
            <wp:extent cx="6120130" cy="1453515"/>
            <wp:effectExtent l="0" t="0" r="0" b="0"/>
            <wp:docPr id="200949588" name="Picture 3" descr="These boxes summarise the key themes from responses to regulating to promote business dynamism. They are:&#10;1. Experiences of regulation. Most participants are experiencing an increased regulatory burden.&#10;2. What makes regulation effective? Good regulation can support dynamism, but poor regulation gets in the way.&#10;3. Ways to improve regulatory policy. Better leadership, scrutiny and stewardship of regulation could improv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9588" name="Picture 3" descr="These boxes summarise the key themes from responses to regulating to promote business dynamism. They are:&#10;1. Experiences of regulation. Most participants are experiencing an increased regulatory burden.&#10;2. What makes regulation effective? Good regulation can support dynamism, but poor regulation gets in the way.&#10;3. Ways to improve regulatory policy. Better leadership, scrutiny and stewardship of regulation could improve outcom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453515"/>
                    </a:xfrm>
                    <a:prstGeom prst="rect">
                      <a:avLst/>
                    </a:prstGeom>
                    <a:noFill/>
                    <a:ln>
                      <a:noFill/>
                    </a:ln>
                  </pic:spPr>
                </pic:pic>
              </a:graphicData>
            </a:graphic>
          </wp:inline>
        </w:drawing>
      </w:r>
    </w:p>
    <w:p w14:paraId="79CAF30C" w14:textId="77777777" w:rsidR="008752B1" w:rsidRDefault="008752B1" w:rsidP="005562CC">
      <w:pPr>
        <w:pStyle w:val="Heading2-nonumber"/>
      </w:pPr>
      <w:bookmarkStart w:id="10" w:name="_Toc215092970"/>
      <w:r>
        <w:t>Experiences of regulation</w:t>
      </w:r>
      <w:bookmarkEnd w:id="10"/>
    </w:p>
    <w:p w14:paraId="79DAFA15" w14:textId="77777777" w:rsidR="008752B1" w:rsidRDefault="008752B1" w:rsidP="008752B1">
      <w:pPr>
        <w:pStyle w:val="Heading3"/>
      </w:pPr>
      <w:r>
        <w:t>The regulatory burden across the economy</w:t>
      </w:r>
    </w:p>
    <w:p w14:paraId="60B8F907" w14:textId="527EC5E0" w:rsidR="008752B1" w:rsidRDefault="008752B1" w:rsidP="008752B1">
      <w:pPr>
        <w:pStyle w:val="BodyText"/>
      </w:pPr>
      <w:r>
        <w:t xml:space="preserve">Almost every participant in our questionnaire, and many submissions, considered their regulatory burden had increased significantly in the </w:t>
      </w:r>
      <w:r w:rsidR="00F2107C">
        <w:t>p</w:t>
      </w:r>
      <w:r>
        <w:t>ast few years.</w:t>
      </w:r>
    </w:p>
    <w:p w14:paraId="3336760F" w14:textId="77777777" w:rsidR="008752B1" w:rsidRDefault="008752B1" w:rsidP="008752B1">
      <w:pPr>
        <w:pStyle w:val="BodyText"/>
      </w:pPr>
      <w:r>
        <w:t>Some highlighted general trends of increased regulation, with many citing member surveys.</w:t>
      </w:r>
    </w:p>
    <w:p w14:paraId="4B5BE23C" w14:textId="2CBC9C00" w:rsidR="008752B1" w:rsidRDefault="008752B1" w:rsidP="008752B1">
      <w:pPr>
        <w:pStyle w:val="Quote"/>
      </w:pPr>
      <w:r w:rsidRPr="005F778E">
        <w:t>Anecdotally, businesses universally report that regulatory burden is increasing due to the steady increase in number of regulatory regimes, and the increase in complexity of those regimes over time. Frequently are regulations established or made more complex; rarely are they abolished or simplified</w:t>
      </w:r>
      <w:r>
        <w:t>. (A</w:t>
      </w:r>
      <w:r w:rsidR="003C5D08">
        <w:t>ustralian Industry</w:t>
      </w:r>
      <w:r>
        <w:t xml:space="preserve"> Group, qr. 36, p.</w:t>
      </w:r>
      <w:r w:rsidR="00AC364C">
        <w:t> </w:t>
      </w:r>
      <w:r>
        <w:t>3)</w:t>
      </w:r>
      <w:r w:rsidRPr="005F778E">
        <w:t xml:space="preserve"> </w:t>
      </w:r>
    </w:p>
    <w:p w14:paraId="1F02E7E6" w14:textId="19C940DC" w:rsidR="008752B1" w:rsidRDefault="008752B1" w:rsidP="008752B1">
      <w:pPr>
        <w:pStyle w:val="Quote"/>
      </w:pPr>
      <w:r w:rsidRPr="00CD4E3E">
        <w:t xml:space="preserve">Over half of surveyed businesses reported that compliance had become harder over the past year, with 34 per cent saying it had become "somewhat harder" and 18 per cent "significantly harder". Only 2.3 per cent saw any improvement. </w:t>
      </w:r>
      <w:r>
        <w:t>(NSW Small Business Commission, qr. 76, p.</w:t>
      </w:r>
      <w:r w:rsidR="00AC364C">
        <w:t> </w:t>
      </w:r>
      <w:r w:rsidR="0054389F">
        <w:t>3</w:t>
      </w:r>
      <w:r>
        <w:t>)</w:t>
      </w:r>
    </w:p>
    <w:p w14:paraId="4D871CB3" w14:textId="57630B7D" w:rsidR="008752B1" w:rsidRPr="00622AF1" w:rsidRDefault="008752B1" w:rsidP="008752B1">
      <w:pPr>
        <w:pStyle w:val="Quote"/>
      </w:pPr>
      <w:r>
        <w:t>Regulatory compliance continues to be one of the most significant challenges for small businesses, consuming valuable time and resources that could be better spent on expansion and productivity. (Institute of Public Accountants, sub.</w:t>
      </w:r>
      <w:r w:rsidR="00AC364C">
        <w:t> </w:t>
      </w:r>
      <w:r>
        <w:t>11, p.</w:t>
      </w:r>
      <w:r w:rsidR="00AC364C">
        <w:t> </w:t>
      </w:r>
      <w:r>
        <w:t>8)</w:t>
      </w:r>
    </w:p>
    <w:p w14:paraId="37933660" w14:textId="77777777" w:rsidR="007E6833" w:rsidRDefault="007E6833" w:rsidP="007E6833">
      <w:pPr>
        <w:pStyle w:val="BodyText"/>
      </w:pPr>
      <w:r>
        <w:t>Participants considered that regulation is most onerous when it is duplicated, overlapping or not harmonised between jurisdictions or regulatory systems. Payroll tax was cited by several participants as an example.</w:t>
      </w:r>
    </w:p>
    <w:p w14:paraId="2599D64C" w14:textId="17F49CE3" w:rsidR="007E6833" w:rsidRDefault="007E6833" w:rsidP="007E6833">
      <w:pPr>
        <w:pStyle w:val="Quote"/>
      </w:pPr>
      <w:r>
        <w:t>Inconsistent payroll tax rules across jurisdictions create unnecessary complexity and compliance costs, particularly for small businesses. For firms that operate nationally, the lack of harmonisation acts as a barrier to growth</w:t>
      </w:r>
      <w:r w:rsidR="00992931">
        <w:t>.</w:t>
      </w:r>
      <w:r>
        <w:t xml:space="preserve"> (Mortgage and Finance Association of Australia, sub.</w:t>
      </w:r>
      <w:r w:rsidR="00AC364C">
        <w:t> </w:t>
      </w:r>
      <w:r>
        <w:t>160, p.</w:t>
      </w:r>
      <w:r w:rsidR="00AC364C">
        <w:t> </w:t>
      </w:r>
      <w:r>
        <w:t>4)</w:t>
      </w:r>
    </w:p>
    <w:p w14:paraId="1126CBCE" w14:textId="7077486F" w:rsidR="008752B1" w:rsidRDefault="008752B1" w:rsidP="00E86018">
      <w:pPr>
        <w:pStyle w:val="BodyText"/>
        <w:keepNext/>
      </w:pPr>
      <w:r>
        <w:lastRenderedPageBreak/>
        <w:t xml:space="preserve">Others identified how </w:t>
      </w:r>
      <w:r w:rsidRPr="000C29FA">
        <w:t>the</w:t>
      </w:r>
      <w:r w:rsidR="005D0C3F">
        <w:t>ir</w:t>
      </w:r>
      <w:r>
        <w:t xml:space="preserve"> industry</w:t>
      </w:r>
      <w:r w:rsidR="00C44D1D">
        <w:noBreakHyphen/>
      </w:r>
      <w:r>
        <w:t xml:space="preserve">specific burden has increased. </w:t>
      </w:r>
      <w:r w:rsidR="00E353C5">
        <w:t>For example</w:t>
      </w:r>
      <w:r>
        <w:t>:</w:t>
      </w:r>
    </w:p>
    <w:p w14:paraId="18656313" w14:textId="2DF63141" w:rsidR="008752B1" w:rsidRDefault="00F06EF7" w:rsidP="00ED1996">
      <w:pPr>
        <w:pStyle w:val="BodyText"/>
        <w:spacing w:after="240"/>
      </w:pPr>
      <w:r w:rsidRPr="00F06EF7">
        <w:rPr>
          <w:noProof/>
        </w:rPr>
        <w:drawing>
          <wp:inline distT="0" distB="0" distL="0" distR="0" wp14:anchorId="05C37D3A" wp14:editId="73DE6660">
            <wp:extent cx="6120000" cy="4265697"/>
            <wp:effectExtent l="0" t="0" r="0" b="0"/>
            <wp:docPr id="1240097266" name="Picture 7" descr="This figure contains participant quotes on the topic of sectors of the economy in which regulator burden has grown. The quotes by sector are:&#10;Energy: “The regulatory burden on clean energy developers and investors in Australia has increased over time (Clean Energy Investor Group, qr. 15, p. 3)”&#10;Financial services: “In 2024 alone, ASIC issued or updated over 150 regulatory guides, information sheets, reports, consultation papers… (Australian Financial Markets Association, sub. 24, p. 4)”&#10;Construction: “producing the built environment has become increasingly complex, fragmented, and costly. (Urban Taskforce Australia, qr. 100, p. 4)”&#10;Telecommunications: “in 2024 alone, around 20 new sector specific regulatory requirements were introduced or in development. (Australian Mobile Telecommunications Association, qr. 101, p.1)”&#10;Education: “What has changed most is not just the number of regulations, but the administrative and interpretive load placed on providers (The Front Project, qr. 67, p. 2)”&#10;Food and drink: “The regulatory burden on Australia’s food and grocery manufacturing sector has increased significantly in recent years. (Australian Food and Grocery Council, qr. 31, p. 1)”&#10;Consumer products: “For our sector, the regulatory burden has grown significantly over the past decade and seemingly growing faster (Accord Australiasia, qr. 50, p. 2)”&#10;Resources: “The resources sector [is] moving investment overseas as Australian governments make it more difficult and riskier to invest in Australia (ANDEV, qr. 70, p.5)”&#10;Transport and logistics: “outdated regulations are the primary driver of the growing regulatory burden in this sector (Australian Parcels Industry Forum, qr. 72, 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97266" name="Picture 7" descr="This figure contains participant quotes on the topic of sectors of the economy in which regulator burden has grown. The quotes by sector are:&#10;Energy: “The regulatory burden on clean energy developers and investors in Australia has increased over time (Clean Energy Investor Group, qr. 15, p. 3)”&#10;Financial services: “In 2024 alone, ASIC issued or updated over 150 regulatory guides, information sheets, reports, consultation papers… (Australian Financial Markets Association, sub. 24, p. 4)”&#10;Construction: “producing the built environment has become increasingly complex, fragmented, and costly. (Urban Taskforce Australia, qr. 100, p. 4)”&#10;Telecommunications: “in 2024 alone, around 20 new sector specific regulatory requirements were introduced or in development. (Australian Mobile Telecommunications Association, qr. 101, p.1)”&#10;Education: “What has changed most is not just the number of regulations, but the administrative and interpretive load placed on providers (The Front Project, qr. 67, p. 2)”&#10;Food and drink: “The regulatory burden on Australia’s food and grocery manufacturing sector has increased significantly in recent years. (Australian Food and Grocery Council, qr. 31, p. 1)”&#10;Consumer products: “For our sector, the regulatory burden has grown significantly over the past decade and seemingly growing faster (Accord Australiasia, qr. 50, p. 2)”&#10;Resources: “The resources sector [is] moving investment overseas as Australian governments make it more difficult and riskier to invest in Australia (ANDEV, qr. 70, p.5)”&#10;Transport and logistics: “outdated regulations are the primary driver of the growing regulatory burden in this sector (Australian Parcels Industry Forum, qr. 72, p.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439" r="1055" b="7220"/>
                    <a:stretch>
                      <a:fillRect/>
                    </a:stretch>
                  </pic:blipFill>
                  <pic:spPr bwMode="auto">
                    <a:xfrm>
                      <a:off x="0" y="0"/>
                      <a:ext cx="6120000" cy="4265697"/>
                    </a:xfrm>
                    <a:prstGeom prst="rect">
                      <a:avLst/>
                    </a:prstGeom>
                    <a:noFill/>
                    <a:ln>
                      <a:noFill/>
                    </a:ln>
                    <a:extLst>
                      <a:ext uri="{53640926-AAD7-44D8-BBD7-CCE9431645EC}">
                        <a14:shadowObscured xmlns:a14="http://schemas.microsoft.com/office/drawing/2010/main"/>
                      </a:ext>
                    </a:extLst>
                  </pic:spPr>
                </pic:pic>
              </a:graphicData>
            </a:graphic>
          </wp:inline>
        </w:drawing>
      </w:r>
      <w:r w:rsidR="00E55637" w:rsidRPr="00E55637">
        <w:t xml:space="preserve"> </w:t>
      </w:r>
    </w:p>
    <w:p w14:paraId="4A449238" w14:textId="2C1A00C2" w:rsidR="008752B1" w:rsidRDefault="008752B1" w:rsidP="008752B1">
      <w:pPr>
        <w:pStyle w:val="BodyText"/>
      </w:pPr>
      <w:r>
        <w:t xml:space="preserve">Some participants identified systemic reasons </w:t>
      </w:r>
      <w:r w:rsidR="003E50C9">
        <w:t xml:space="preserve">why </w:t>
      </w:r>
      <w:r>
        <w:t>regulatory burden tends to increase, including siloing of the public service, implementation issues, regulation not keeping up with technology, and a lack of consideration of the cumulative regulatory burden.</w:t>
      </w:r>
    </w:p>
    <w:p w14:paraId="43AA4376" w14:textId="1E17A188" w:rsidR="008752B1" w:rsidRPr="00A65978" w:rsidRDefault="008752B1" w:rsidP="008752B1">
      <w:pPr>
        <w:pStyle w:val="Quote"/>
        <w:rPr>
          <w:spacing w:val="-2"/>
        </w:rPr>
      </w:pPr>
      <w:r w:rsidRPr="00A65978">
        <w:rPr>
          <w:spacing w:val="-2"/>
        </w:rPr>
        <w:t>the siloed nature of the Australian Public Services and Australia’s regulatory agencies often means that duplication, delay, and contradiction occur at the operational level. (MYOB, qr. 69, p.</w:t>
      </w:r>
      <w:r w:rsidR="00AC364C" w:rsidRPr="00A65978">
        <w:rPr>
          <w:spacing w:val="-2"/>
        </w:rPr>
        <w:t> </w:t>
      </w:r>
      <w:r w:rsidRPr="00A65978">
        <w:rPr>
          <w:spacing w:val="-2"/>
        </w:rPr>
        <w:t>2)</w:t>
      </w:r>
    </w:p>
    <w:p w14:paraId="75EAECE4" w14:textId="3864F9FE" w:rsidR="008752B1" w:rsidRPr="00E86018" w:rsidRDefault="008752B1" w:rsidP="008752B1">
      <w:pPr>
        <w:pStyle w:val="Quote"/>
        <w:rPr>
          <w:spacing w:val="-2"/>
        </w:rPr>
      </w:pPr>
      <w:r w:rsidRPr="00E86018">
        <w:rPr>
          <w:spacing w:val="-2"/>
        </w:rPr>
        <w:t>each of the many different institutions involved in regulating the sector is approaching that task in a siloed manner on its own terms (e.g., competition, licensing, development approvals, etc) without any obligation to coordinate to achieve broader national policy objectives. (Telstra, sub.</w:t>
      </w:r>
      <w:r w:rsidR="00AC364C" w:rsidRPr="00E86018">
        <w:rPr>
          <w:spacing w:val="-2"/>
        </w:rPr>
        <w:t> </w:t>
      </w:r>
      <w:r w:rsidRPr="00E86018">
        <w:rPr>
          <w:spacing w:val="-2"/>
        </w:rPr>
        <w:t>35, p.</w:t>
      </w:r>
      <w:r w:rsidR="00AC364C" w:rsidRPr="00E86018">
        <w:rPr>
          <w:spacing w:val="-2"/>
        </w:rPr>
        <w:t> </w:t>
      </w:r>
      <w:r w:rsidRPr="00E86018">
        <w:rPr>
          <w:spacing w:val="-2"/>
        </w:rPr>
        <w:t>8)</w:t>
      </w:r>
    </w:p>
    <w:p w14:paraId="508EDDAA" w14:textId="77777777" w:rsidR="008752B1" w:rsidRDefault="008752B1" w:rsidP="008752B1">
      <w:pPr>
        <w:pStyle w:val="BodyText"/>
      </w:pPr>
      <w:r>
        <w:t>But a small number identified positive trends.</w:t>
      </w:r>
    </w:p>
    <w:p w14:paraId="13DA9FE6" w14:textId="3E13456C" w:rsidR="008752B1" w:rsidRDefault="008752B1" w:rsidP="008752B1">
      <w:pPr>
        <w:pStyle w:val="Quote"/>
      </w:pPr>
      <w:r w:rsidRPr="005C0377">
        <w:t>positive changes have included greater recognition of telehealth, pathways for new therapies, and improved regulator engagement.</w:t>
      </w:r>
      <w:r>
        <w:t xml:space="preserve"> (Montu Group Pty Ltd., qr. 91, p.</w:t>
      </w:r>
      <w:r w:rsidR="00AC364C">
        <w:t> </w:t>
      </w:r>
      <w:r>
        <w:t>1)</w:t>
      </w:r>
    </w:p>
    <w:p w14:paraId="4534E590" w14:textId="77777777" w:rsidR="008752B1" w:rsidRDefault="008752B1" w:rsidP="008752B1">
      <w:pPr>
        <w:pStyle w:val="Heading3"/>
      </w:pPr>
      <w:r>
        <w:t>Areas for government focus</w:t>
      </w:r>
    </w:p>
    <w:p w14:paraId="1957A932" w14:textId="0633EAFF" w:rsidR="008752B1" w:rsidRPr="00C56E0C" w:rsidRDefault="008752B1" w:rsidP="008752B1">
      <w:pPr>
        <w:pStyle w:val="BodyText"/>
        <w:rPr>
          <w:spacing w:val="-4"/>
        </w:rPr>
      </w:pPr>
      <w:r w:rsidRPr="00C56E0C">
        <w:rPr>
          <w:spacing w:val="-4"/>
        </w:rPr>
        <w:t>Participants identified many areas of onerous regulation that aligns with the Productivity Commission’s taxonomy of poor regulation, and</w:t>
      </w:r>
      <w:r w:rsidR="00FA1A8E" w:rsidRPr="00C56E0C">
        <w:rPr>
          <w:spacing w:val="-4"/>
        </w:rPr>
        <w:t xml:space="preserve"> that</w:t>
      </w:r>
      <w:r w:rsidRPr="00C56E0C">
        <w:rPr>
          <w:spacing w:val="-4"/>
        </w:rPr>
        <w:t xml:space="preserve"> they consider</w:t>
      </w:r>
      <w:r w:rsidR="0001650D" w:rsidRPr="00C56E0C">
        <w:rPr>
          <w:spacing w:val="-4"/>
        </w:rPr>
        <w:t>ed</w:t>
      </w:r>
      <w:r w:rsidRPr="00C56E0C">
        <w:rPr>
          <w:spacing w:val="-4"/>
        </w:rPr>
        <w:t xml:space="preserve"> </w:t>
      </w:r>
      <w:r w:rsidR="00B12569" w:rsidRPr="00C56E0C">
        <w:rPr>
          <w:spacing w:val="-4"/>
        </w:rPr>
        <w:t>we</w:t>
      </w:r>
      <w:r w:rsidR="00FA1A8E" w:rsidRPr="00C56E0C">
        <w:rPr>
          <w:spacing w:val="-4"/>
        </w:rPr>
        <w:t>re</w:t>
      </w:r>
      <w:r w:rsidRPr="00C56E0C">
        <w:rPr>
          <w:spacing w:val="-4"/>
        </w:rPr>
        <w:t xml:space="preserve"> due for review.</w:t>
      </w:r>
      <w:r w:rsidR="00E83CB7" w:rsidRPr="00C56E0C">
        <w:rPr>
          <w:spacing w:val="-4"/>
        </w:rPr>
        <w:t xml:space="preserve"> Responses are summarised</w:t>
      </w:r>
      <w:r w:rsidR="00493737" w:rsidRPr="00C56E0C">
        <w:rPr>
          <w:spacing w:val="-4"/>
        </w:rPr>
        <w:t xml:space="preserve"> below, and </w:t>
      </w:r>
      <w:r w:rsidR="002A3A8D" w:rsidRPr="00C56E0C">
        <w:rPr>
          <w:spacing w:val="-4"/>
        </w:rPr>
        <w:t>a</w:t>
      </w:r>
      <w:r w:rsidR="00493737" w:rsidRPr="00C56E0C">
        <w:rPr>
          <w:spacing w:val="-4"/>
        </w:rPr>
        <w:t>ppendix</w:t>
      </w:r>
      <w:r w:rsidR="00C44D1D" w:rsidRPr="00C56E0C">
        <w:rPr>
          <w:spacing w:val="-4"/>
        </w:rPr>
        <w:t> </w:t>
      </w:r>
      <w:r w:rsidR="007C7042" w:rsidRPr="00C56E0C">
        <w:rPr>
          <w:spacing w:val="-4"/>
        </w:rPr>
        <w:t>B</w:t>
      </w:r>
      <w:r w:rsidR="00493737" w:rsidRPr="00C56E0C">
        <w:rPr>
          <w:spacing w:val="-4"/>
        </w:rPr>
        <w:t xml:space="preserve"> to this report </w:t>
      </w:r>
      <w:r w:rsidR="00E83CB7" w:rsidRPr="00C56E0C">
        <w:rPr>
          <w:spacing w:val="-4"/>
        </w:rPr>
        <w:t>has a more detailed list of specific regulatory issues identified by participants.</w:t>
      </w:r>
    </w:p>
    <w:p w14:paraId="53029B82" w14:textId="04B9D5D2" w:rsidR="008752B1" w:rsidRDefault="00F32592" w:rsidP="008752B1">
      <w:pPr>
        <w:pStyle w:val="BodyText"/>
      </w:pPr>
      <w:r>
        <w:t>Around 40 participants highlighted p</w:t>
      </w:r>
      <w:r w:rsidR="008752B1">
        <w:t>lanning, approvals and compliance for construction, including environmental approvals, as being particularly onerous.</w:t>
      </w:r>
    </w:p>
    <w:p w14:paraId="2614BAD8" w14:textId="32D9810C" w:rsidR="008752B1" w:rsidRDefault="008752B1" w:rsidP="008752B1">
      <w:pPr>
        <w:pStyle w:val="Quote"/>
      </w:pPr>
      <w:r w:rsidRPr="00BF1C39">
        <w:lastRenderedPageBreak/>
        <w:t>environmental and planning processes are often fragmented, complex, and duplicative across state and Commonwealth jurisdictions. Agencies frequently operate in silos without enforceable timelines, leading to delays, inconsistent requirements, and increased costs and development timeframes for clean energy projects</w:t>
      </w:r>
      <w:r>
        <w:t>. (Clean Energy Investor Group, qr. 15</w:t>
      </w:r>
      <w:r w:rsidR="003454D6">
        <w:t>,</w:t>
      </w:r>
      <w:r>
        <w:t xml:space="preserve"> p.</w:t>
      </w:r>
      <w:r w:rsidR="00AC364C">
        <w:t> </w:t>
      </w:r>
      <w:r>
        <w:t>4)</w:t>
      </w:r>
    </w:p>
    <w:p w14:paraId="0450CA89" w14:textId="57EC3CCA" w:rsidR="008752B1" w:rsidRDefault="008752B1" w:rsidP="008752B1">
      <w:pPr>
        <w:pStyle w:val="Quote"/>
      </w:pPr>
      <w:r w:rsidRPr="00C53338">
        <w:t>The cumulative effect of overlapping energy compliance requirements</w:t>
      </w:r>
      <w:r>
        <w:t xml:space="preserve"> …</w:t>
      </w:r>
      <w:r w:rsidRPr="00C53338">
        <w:t xml:space="preserve"> adds complexity, especially when compounded by local council requirements and planning approvals. This slows down the approval process and limits the sector’s ability to innovate and respond dynamically to market demands</w:t>
      </w:r>
      <w:r>
        <w:t>. (House of Stars Pty Ltd, qr. 85, p.</w:t>
      </w:r>
      <w:r w:rsidR="00AC364C">
        <w:t> </w:t>
      </w:r>
      <w:r>
        <w:t>3)</w:t>
      </w:r>
    </w:p>
    <w:p w14:paraId="2563F593" w14:textId="6F0B8272" w:rsidR="008752B1" w:rsidRDefault="008752B1" w:rsidP="008752B1">
      <w:pPr>
        <w:pStyle w:val="BodyText"/>
      </w:pPr>
      <w:r>
        <w:t>Participants supported the PC’s proposal for an in</w:t>
      </w:r>
      <w:r w:rsidR="00C44D1D">
        <w:noBreakHyphen/>
      </w:r>
      <w:r>
        <w:t>depth review of construction regulation.</w:t>
      </w:r>
    </w:p>
    <w:p w14:paraId="06D0D7C1" w14:textId="26D89CA8" w:rsidR="008752B1" w:rsidRDefault="008752B1" w:rsidP="008752B1">
      <w:pPr>
        <w:pStyle w:val="Quote"/>
        <w:rPr>
          <w:lang w:eastAsia="en-AU"/>
        </w:rPr>
      </w:pPr>
      <w:r>
        <w:rPr>
          <w:lang w:eastAsia="en-AU"/>
        </w:rPr>
        <w:t>Achieving the National Housing Accord target of building 1.2 million homes by 2029 will require urgent and coordinated regulatory reform across all states and territories. (Australian Chamber of Commerce and Industry</w:t>
      </w:r>
      <w:r w:rsidR="001054B1">
        <w:rPr>
          <w:lang w:eastAsia="en-AU"/>
        </w:rPr>
        <w:t xml:space="preserve"> (ACCI)</w:t>
      </w:r>
      <w:r>
        <w:rPr>
          <w:lang w:eastAsia="en-AU"/>
        </w:rPr>
        <w:t>, sub.</w:t>
      </w:r>
      <w:r w:rsidR="00AC364C">
        <w:rPr>
          <w:lang w:eastAsia="en-AU"/>
        </w:rPr>
        <w:t> </w:t>
      </w:r>
      <w:r>
        <w:rPr>
          <w:lang w:eastAsia="en-AU"/>
        </w:rPr>
        <w:t>112, p.</w:t>
      </w:r>
      <w:r w:rsidR="00AC364C">
        <w:rPr>
          <w:lang w:eastAsia="en-AU"/>
        </w:rPr>
        <w:t> </w:t>
      </w:r>
      <w:r>
        <w:rPr>
          <w:lang w:eastAsia="en-AU"/>
        </w:rPr>
        <w:t>6)</w:t>
      </w:r>
    </w:p>
    <w:p w14:paraId="14F1C84E" w14:textId="105708F7" w:rsidR="008752B1" w:rsidRPr="00181B76" w:rsidRDefault="008752B1" w:rsidP="008752B1">
      <w:pPr>
        <w:pStyle w:val="Quote"/>
        <w:rPr>
          <w:lang w:eastAsia="en-AU"/>
        </w:rPr>
      </w:pPr>
      <w:r>
        <w:rPr>
          <w:lang w:eastAsia="en-AU"/>
        </w:rPr>
        <w:t>The construction sector should be prioritised for regulatory review and reform. The</w:t>
      </w:r>
      <w:r w:rsidR="00431780">
        <w:rPr>
          <w:lang w:eastAsia="en-AU"/>
        </w:rPr>
        <w:t xml:space="preserve"> </w:t>
      </w:r>
      <w:r w:rsidR="00E14707">
        <w:rPr>
          <w:lang w:eastAsia="en-AU"/>
        </w:rPr>
        <w:t>[</w:t>
      </w:r>
      <w:r w:rsidR="00431780">
        <w:rPr>
          <w:lang w:eastAsia="en-AU"/>
        </w:rPr>
        <w:t>Regional Australia</w:t>
      </w:r>
      <w:r>
        <w:rPr>
          <w:lang w:eastAsia="en-AU"/>
        </w:rPr>
        <w:t xml:space="preserve"> </w:t>
      </w:r>
      <w:r w:rsidR="00794E7C">
        <w:rPr>
          <w:lang w:eastAsia="en-AU"/>
        </w:rPr>
        <w:t xml:space="preserve">Institute’s] </w:t>
      </w:r>
      <w:r>
        <w:rPr>
          <w:lang w:eastAsia="en-AU"/>
        </w:rPr>
        <w:t xml:space="preserve">recent </w:t>
      </w:r>
      <w:r w:rsidRPr="001B2DD3">
        <w:rPr>
          <w:i/>
          <w:iCs/>
          <w:lang w:eastAsia="en-AU"/>
        </w:rPr>
        <w:t>Answering the Call for Regional Housing</w:t>
      </w:r>
      <w:r>
        <w:rPr>
          <w:lang w:eastAsia="en-AU"/>
        </w:rPr>
        <w:t xml:space="preserve"> made findings </w:t>
      </w:r>
      <w:proofErr w:type="gramStart"/>
      <w:r>
        <w:rPr>
          <w:lang w:eastAsia="en-AU"/>
        </w:rPr>
        <w:t>similar to</w:t>
      </w:r>
      <w:proofErr w:type="gramEnd"/>
      <w:r>
        <w:rPr>
          <w:lang w:eastAsia="en-AU"/>
        </w:rPr>
        <w:t xml:space="preserve"> other reviews that cost blowouts, delays and labour shortages in the construction sector have increased costs and hampered new housing supply in regions. (Regional Australia Institute, sub.</w:t>
      </w:r>
      <w:r w:rsidR="00AC364C">
        <w:rPr>
          <w:lang w:eastAsia="en-AU"/>
        </w:rPr>
        <w:t> </w:t>
      </w:r>
      <w:r>
        <w:rPr>
          <w:lang w:eastAsia="en-AU"/>
        </w:rPr>
        <w:t>174, p.</w:t>
      </w:r>
      <w:r w:rsidR="00AC364C">
        <w:rPr>
          <w:lang w:eastAsia="en-AU"/>
        </w:rPr>
        <w:t> </w:t>
      </w:r>
      <w:r>
        <w:rPr>
          <w:lang w:eastAsia="en-AU"/>
        </w:rPr>
        <w:t>3)</w:t>
      </w:r>
    </w:p>
    <w:p w14:paraId="1A9E0CDD" w14:textId="2E84895C" w:rsidR="008752B1" w:rsidRPr="00EB5D7C" w:rsidRDefault="008752B1" w:rsidP="008752B1">
      <w:pPr>
        <w:pStyle w:val="BodyText"/>
        <w:rPr>
          <w:rStyle w:val="BodyTextChar"/>
        </w:rPr>
      </w:pPr>
      <w:r>
        <w:t>A second area identified by many participants as being unnecessarily onerous is corporate and not</w:t>
      </w:r>
      <w:r w:rsidR="00C44D1D">
        <w:noBreakHyphen/>
      </w:r>
      <w:r>
        <w:t>for</w:t>
      </w:r>
      <w:r w:rsidR="00C44D1D">
        <w:noBreakHyphen/>
      </w:r>
      <w:r>
        <w:t>profit compliance and reporting to government, with many also supporting review</w:t>
      </w:r>
      <w:r w:rsidRPr="00EB5D7C">
        <w:rPr>
          <w:rStyle w:val="BodyTextChar"/>
        </w:rPr>
        <w:t>.</w:t>
      </w:r>
    </w:p>
    <w:p w14:paraId="3C603A6D" w14:textId="086FC2E1" w:rsidR="008752B1" w:rsidRDefault="008752B1" w:rsidP="008752B1">
      <w:pPr>
        <w:pStyle w:val="Quote"/>
      </w:pPr>
      <w:r>
        <w:t>corporate reporting thresholds … are often not revisited or indexed after commencement. This has led to scope creep, increasing the number of organisations over time that are captured under different regulatory reporting or notification regimes. (Australian Institute of Company Directors</w:t>
      </w:r>
      <w:r w:rsidR="001054B1">
        <w:t xml:space="preserve"> (AICD)</w:t>
      </w:r>
      <w:r>
        <w:t>, sub.</w:t>
      </w:r>
      <w:r w:rsidR="00AC364C">
        <w:t> </w:t>
      </w:r>
      <w:r>
        <w:t>16, p.</w:t>
      </w:r>
      <w:r w:rsidR="00AC364C">
        <w:t> </w:t>
      </w:r>
      <w:r>
        <w:t>11)</w:t>
      </w:r>
    </w:p>
    <w:p w14:paraId="7F1A597F" w14:textId="414B63F1" w:rsidR="008752B1" w:rsidRPr="00414E0C" w:rsidRDefault="008752B1" w:rsidP="008752B1">
      <w:pPr>
        <w:pStyle w:val="Quote"/>
      </w:pPr>
      <w:r>
        <w:t xml:space="preserve">Overlapping reporting frameworks can create duplicative obligations for organisations. For example, in workplace reporting, companies may be required to provide similar data under different frameworks, such as the </w:t>
      </w:r>
      <w:r>
        <w:rPr>
          <w:i/>
          <w:iCs/>
        </w:rPr>
        <w:t xml:space="preserve">Workplace Gender Equality Act 2012 </w:t>
      </w:r>
      <w:r>
        <w:t xml:space="preserve">obligations, </w:t>
      </w:r>
      <w:r>
        <w:rPr>
          <w:i/>
          <w:iCs/>
        </w:rPr>
        <w:t>Sex Discrimination Act 1984</w:t>
      </w:r>
      <w:r>
        <w:t xml:space="preserve">, the Right to Disconnect, and WHS regulations pertaining to psychosocial </w:t>
      </w:r>
      <w:r w:rsidR="00BC483E">
        <w:t>risk management</w:t>
      </w:r>
      <w:r w:rsidR="007D65C0">
        <w:t>.</w:t>
      </w:r>
      <w:r>
        <w:t xml:space="preserve"> (Australian Psychological Society, sub.</w:t>
      </w:r>
      <w:r w:rsidR="00AC364C">
        <w:t> </w:t>
      </w:r>
      <w:r>
        <w:t>175, p 4)</w:t>
      </w:r>
    </w:p>
    <w:p w14:paraId="30E86AAD" w14:textId="1917BDA1" w:rsidR="008752B1" w:rsidRDefault="008752B1" w:rsidP="008752B1">
      <w:pPr>
        <w:pStyle w:val="Quote"/>
      </w:pPr>
      <w:r>
        <w:t xml:space="preserve">Charities and </w:t>
      </w:r>
      <w:r w:rsidR="001E5C96">
        <w:t xml:space="preserve">[Not </w:t>
      </w:r>
      <w:proofErr w:type="gramStart"/>
      <w:r w:rsidR="001E5C96">
        <w:t>For</w:t>
      </w:r>
      <w:proofErr w:type="gramEnd"/>
      <w:r w:rsidR="001E5C96">
        <w:t xml:space="preserve"> Profits]</w:t>
      </w:r>
      <w:r>
        <w:t xml:space="preserve"> are ofte</w:t>
      </w:r>
      <w:r w:rsidRPr="002A70B6">
        <w:t>n subject to the same reporting requirements as businesses requiring the allocation of significant resources to ensure compliance</w:t>
      </w:r>
      <w:r>
        <w:t xml:space="preserve"> </w:t>
      </w:r>
      <w:r w:rsidR="00C44D1D">
        <w:t>…</w:t>
      </w:r>
      <w:r>
        <w:t xml:space="preserve"> </w:t>
      </w:r>
      <w:r w:rsidRPr="002A70B6">
        <w:t>This administrative burden is further complicated when charities are contracted by different government departments across the different levels of government, often requiring multiple compliance reports</w:t>
      </w:r>
      <w:r w:rsidR="007D65C0">
        <w:t>.</w:t>
      </w:r>
      <w:r>
        <w:t xml:space="preserve"> (Community Council for Australia, qr. 64, p.</w:t>
      </w:r>
      <w:r w:rsidR="00AC364C">
        <w:t> </w:t>
      </w:r>
      <w:r>
        <w:t>1)</w:t>
      </w:r>
    </w:p>
    <w:p w14:paraId="5F514D55" w14:textId="59283EB9" w:rsidR="008752B1" w:rsidRPr="00C56E0C" w:rsidRDefault="008752B1" w:rsidP="008752B1">
      <w:pPr>
        <w:pStyle w:val="BodyText"/>
        <w:rPr>
          <w:spacing w:val="-4"/>
        </w:rPr>
      </w:pPr>
      <w:r w:rsidRPr="00C56E0C">
        <w:rPr>
          <w:spacing w:val="-4"/>
        </w:rPr>
        <w:t xml:space="preserve">Healthcare and medicines (including regulatory approval) and product safety standards were other onerous areas highlighted, with some participants noting a lack of harmonisation both between states and with </w:t>
      </w:r>
      <w:r w:rsidR="00D4735A" w:rsidRPr="00C56E0C">
        <w:rPr>
          <w:spacing w:val="-4"/>
        </w:rPr>
        <w:t>other</w:t>
      </w:r>
      <w:r w:rsidRPr="00C56E0C">
        <w:rPr>
          <w:spacing w:val="-4"/>
        </w:rPr>
        <w:t xml:space="preserve"> countries. </w:t>
      </w:r>
    </w:p>
    <w:p w14:paraId="4D109197" w14:textId="2F248978" w:rsidR="008752B1" w:rsidRDefault="008752B1" w:rsidP="008752B1">
      <w:pPr>
        <w:pStyle w:val="Quote"/>
      </w:pPr>
      <w:r w:rsidRPr="00CA1F03">
        <w:t xml:space="preserve">each </w:t>
      </w:r>
      <w:r>
        <w:t>j</w:t>
      </w:r>
      <w:r w:rsidRPr="00CA1F03">
        <w:t xml:space="preserve">urisdiction has its own Schedule 8 drug list which means companies </w:t>
      </w:r>
      <w:proofErr w:type="gramStart"/>
      <w:r w:rsidRPr="00CA1F03">
        <w:t>have to</w:t>
      </w:r>
      <w:proofErr w:type="gramEnd"/>
      <w:r w:rsidRPr="00CA1F03">
        <w:t xml:space="preserve"> code for safety in several different ways which is illogical, inconsistent and inefficient</w:t>
      </w:r>
      <w:r>
        <w:t>. (Medical Software Industry Association, qr. 78, p.</w:t>
      </w:r>
      <w:r w:rsidR="00AC364C">
        <w:t> </w:t>
      </w:r>
      <w:r>
        <w:t>2)</w:t>
      </w:r>
    </w:p>
    <w:p w14:paraId="2A2D5D4B" w14:textId="3C732E26" w:rsidR="00EB500E" w:rsidRDefault="00EB500E" w:rsidP="00EB500E">
      <w:pPr>
        <w:pStyle w:val="BodyText"/>
      </w:pPr>
      <w:r>
        <w:t xml:space="preserve">Other industries highlighted by multiple participants for having a high regulatory burden or warranting review </w:t>
      </w:r>
      <w:r w:rsidR="00160EF4">
        <w:t>are shown below</w:t>
      </w:r>
      <w:r w:rsidR="00402E17">
        <w:t>.</w:t>
      </w:r>
    </w:p>
    <w:p w14:paraId="14DD0F63" w14:textId="0F68F38C" w:rsidR="00E9754F" w:rsidRPr="00E9754F" w:rsidRDefault="00EF48DA" w:rsidP="00E9754F">
      <w:pPr>
        <w:pStyle w:val="BodyText"/>
      </w:pPr>
      <w:r w:rsidRPr="00EF48DA">
        <w:rPr>
          <w:noProof/>
        </w:rPr>
        <w:lastRenderedPageBreak/>
        <w:drawing>
          <wp:inline distT="0" distB="0" distL="0" distR="0" wp14:anchorId="49EE8D0A" wp14:editId="710E8C6F">
            <wp:extent cx="6120000" cy="3359422"/>
            <wp:effectExtent l="0" t="0" r="0" b="0"/>
            <wp:docPr id="628371212" name="Picture 1" descr="This figure contains participant quotes on the topic of sectors of the economy in where regulation is burdensome or participants desire regulatory review. The quotes by sector are:&#10;Financial services: “The prescribed contents of advice documents and associated record-keeping … consumes an enormous proportion of time (David Smith, qr. 6, p. 1)”&#10;Education: “As at 24 February 2025, we had assessed 91 Commonwealth and 66 NSW regulatory instruments as imposing a ‘high impact’ on our operations - (University of Sydney, qr. 26, p. 3)”&#10;Transport and logistics: “Australia’s freight sector is limited by fragmented regulation, inconsistent planning frameworks, and weak national coordination. (Australian Logistics Council, qr. 43 attachment, p.1)”&#10;Telecommunications: “there are many opportunities for simplification, or removal of outdated regulation that applies to licensed commercial broadcasters. (Free TV Australia, sub. 199, p. 11)”&#10;Investment and corporations law: “A new review … could assess barriers faced by fintech entrants, regulator responsiveness, and whether current frameworks adequately support innovation. (Block Inc., sub. 125, p. 2)”&#10;Electronic payment systems: “The adoption of principles-based regulation in the payments system aimed at efficiency would significantly reduce complexity and cost (Independent Payments Forum, sub. 27, 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71212" name="Picture 1" descr="This figure contains participant quotes on the topic of sectors of the economy in where regulation is burdensome or participants desire regulatory review. The quotes by sector are:&#10;Financial services: “The prescribed contents of advice documents and associated record-keeping … consumes an enormous proportion of time (David Smith, qr. 6, p. 1)”&#10;Education: “As at 24 February 2025, we had assessed 91 Commonwealth and 66 NSW regulatory instruments as imposing a ‘high impact’ on our operations - (University of Sydney, qr. 26, p. 3)”&#10;Transport and logistics: “Australia’s freight sector is limited by fragmented regulation, inconsistent planning frameworks, and weak national coordination. (Australian Logistics Council, qr. 43 attachment, p.1)”&#10;Telecommunications: “there are many opportunities for simplification, or removal of outdated regulation that applies to licensed commercial broadcasters. (Free TV Australia, sub. 199, p. 11)”&#10;Investment and corporations law: “A new review … could assess barriers faced by fintech entrants, regulator responsiveness, and whether current frameworks adequately support innovation. (Block Inc., sub. 125, p. 2)”&#10;Electronic payment systems: “The adoption of principles-based regulation in the payments system aimed at efficiency would significantly reduce complexity and cost (Independent Payments Forum, sub. 27, p.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564" r="623" b="8393"/>
                    <a:stretch>
                      <a:fillRect/>
                    </a:stretch>
                  </pic:blipFill>
                  <pic:spPr bwMode="auto">
                    <a:xfrm>
                      <a:off x="0" y="0"/>
                      <a:ext cx="6120000" cy="3359422"/>
                    </a:xfrm>
                    <a:prstGeom prst="rect">
                      <a:avLst/>
                    </a:prstGeom>
                    <a:noFill/>
                    <a:ln>
                      <a:noFill/>
                    </a:ln>
                    <a:extLst>
                      <a:ext uri="{53640926-AAD7-44D8-BBD7-CCE9431645EC}">
                        <a14:shadowObscured xmlns:a14="http://schemas.microsoft.com/office/drawing/2010/main"/>
                      </a:ext>
                    </a:extLst>
                  </pic:spPr>
                </pic:pic>
              </a:graphicData>
            </a:graphic>
          </wp:inline>
        </w:drawing>
      </w:r>
      <w:r w:rsidR="00907959" w:rsidRPr="00907959">
        <w:t xml:space="preserve"> </w:t>
      </w:r>
    </w:p>
    <w:p w14:paraId="6D61B424" w14:textId="3B1C2580" w:rsidR="008752B1" w:rsidRDefault="008752B1" w:rsidP="005562CC">
      <w:pPr>
        <w:pStyle w:val="Heading2-nonumber"/>
      </w:pPr>
      <w:bookmarkStart w:id="11" w:name="_Toc215092971"/>
      <w:r>
        <w:t>What makes regulation effective?</w:t>
      </w:r>
      <w:bookmarkEnd w:id="11"/>
    </w:p>
    <w:p w14:paraId="5848AB02" w14:textId="531951B7" w:rsidR="008752B1" w:rsidRDefault="006D38D7" w:rsidP="008752B1">
      <w:pPr>
        <w:pStyle w:val="Heading3"/>
      </w:pPr>
      <w:r>
        <w:t>R</w:t>
      </w:r>
      <w:r w:rsidR="008752B1">
        <w:t>egulation can support growth and dynamism</w:t>
      </w:r>
    </w:p>
    <w:p w14:paraId="76D55526" w14:textId="77777777" w:rsidR="008752B1" w:rsidRDefault="008752B1" w:rsidP="008752B1">
      <w:pPr>
        <w:pStyle w:val="BodyText"/>
      </w:pPr>
      <w:r>
        <w:t>Many participants, including several in our questionnaire, suggested that regulation can support growth, and business dynamism and resilience, when it promotes investment certainty, competition and safety.</w:t>
      </w:r>
    </w:p>
    <w:p w14:paraId="71308272" w14:textId="3C648A44" w:rsidR="008752B1" w:rsidRDefault="008752B1" w:rsidP="008752B1">
      <w:pPr>
        <w:pStyle w:val="Quote"/>
      </w:pPr>
      <w:r w:rsidRPr="00704A9F">
        <w:t>Regulatory frameworks which provide clarity and predictability around the regulatory landscape serve to provide certainty around compliance costs and better promote business dynamism and resilience</w:t>
      </w:r>
      <w:r w:rsidR="007009AB">
        <w:t>.</w:t>
      </w:r>
      <w:r>
        <w:t xml:space="preserve"> (Australian Mobile Telecommunications Association, qr. 101, p.</w:t>
      </w:r>
      <w:r w:rsidR="00AC364C">
        <w:t> </w:t>
      </w:r>
      <w:r>
        <w:t>1)</w:t>
      </w:r>
    </w:p>
    <w:p w14:paraId="173AC96D" w14:textId="0AA63AB1" w:rsidR="008752B1" w:rsidRDefault="008752B1" w:rsidP="008752B1">
      <w:pPr>
        <w:pStyle w:val="Quote"/>
      </w:pPr>
      <w:r>
        <w:t>Simplified and proportionate regulation would enhance business dynamism, including enhanced competition policy focussed on addressing creeping acquisitions and ensuring small businesses can thrive and new businesses can enter the market. This also includes regulatory harmonisation between states. (C</w:t>
      </w:r>
      <w:r w:rsidR="00870AC8">
        <w:t xml:space="preserve">ouncil of </w:t>
      </w:r>
      <w:r>
        <w:t>S</w:t>
      </w:r>
      <w:r w:rsidR="00870AC8">
        <w:t xml:space="preserve">mall </w:t>
      </w:r>
      <w:r>
        <w:t>B</w:t>
      </w:r>
      <w:r w:rsidR="00870AC8">
        <w:t xml:space="preserve">usiness </w:t>
      </w:r>
      <w:r>
        <w:t>O</w:t>
      </w:r>
      <w:r w:rsidR="004236A1">
        <w:t xml:space="preserve">rganisations </w:t>
      </w:r>
      <w:r>
        <w:t>A</w:t>
      </w:r>
      <w:r w:rsidR="004236A1">
        <w:t>ustralia</w:t>
      </w:r>
      <w:r>
        <w:t>, sub.</w:t>
      </w:r>
      <w:r w:rsidR="00AC364C">
        <w:t> </w:t>
      </w:r>
      <w:r>
        <w:t>26, p.</w:t>
      </w:r>
      <w:r w:rsidR="00C44D1D">
        <w:t> </w:t>
      </w:r>
      <w:r>
        <w:t>3)</w:t>
      </w:r>
    </w:p>
    <w:p w14:paraId="454E218E" w14:textId="77777777" w:rsidR="008752B1" w:rsidRDefault="008752B1" w:rsidP="008752B1">
      <w:pPr>
        <w:pStyle w:val="BodyText"/>
      </w:pPr>
      <w:r>
        <w:t>And several participants agreed with the interim report’s framing of risk management and growth as objectives of a proportionately designed regulatory system, alongside other regulatory objectives.</w:t>
      </w:r>
    </w:p>
    <w:p w14:paraId="616A1EF3" w14:textId="27AB9227" w:rsidR="008752B1" w:rsidRDefault="008752B1" w:rsidP="008752B1">
      <w:pPr>
        <w:pStyle w:val="Quote"/>
      </w:pPr>
      <w:r>
        <w:t>Australia should frame risk and growth as complementary goals delivered through risk</w:t>
      </w:r>
      <w:r w:rsidR="00C44D1D">
        <w:noBreakHyphen/>
      </w:r>
      <w:r>
        <w:t>proportionate, science</w:t>
      </w:r>
      <w:r w:rsidR="00C44D1D">
        <w:noBreakHyphen/>
      </w:r>
      <w:r>
        <w:t>based regulation that is predictable, timely and avoids unnecessary burden. (</w:t>
      </w:r>
      <w:r w:rsidR="008D420D">
        <w:t>CropLife Australia</w:t>
      </w:r>
      <w:r>
        <w:t>, sub.</w:t>
      </w:r>
      <w:r w:rsidR="00AC364C">
        <w:t> </w:t>
      </w:r>
      <w:r>
        <w:t>118, p.</w:t>
      </w:r>
      <w:r w:rsidR="00AC364C">
        <w:t> </w:t>
      </w:r>
      <w:r>
        <w:t>13)</w:t>
      </w:r>
    </w:p>
    <w:p w14:paraId="02DCCEB2" w14:textId="77777777" w:rsidR="008752B1" w:rsidRDefault="008752B1" w:rsidP="008752B1">
      <w:pPr>
        <w:pStyle w:val="BodyText"/>
      </w:pPr>
      <w:r>
        <w:t>However, some questioned the premise that any regulation can or should support business dynamism, considering instead that regulation serves other purposes including safety and quality.</w:t>
      </w:r>
    </w:p>
    <w:p w14:paraId="6BF22D25" w14:textId="52623950" w:rsidR="008752B1" w:rsidRPr="00B02634" w:rsidRDefault="008752B1" w:rsidP="008752B1">
      <w:pPr>
        <w:pStyle w:val="Quote"/>
        <w:rPr>
          <w:color w:val="auto"/>
        </w:rPr>
      </w:pPr>
      <w:r w:rsidRPr="00B02634">
        <w:t>Regulation should be designed to ensure quality of product and/or service not to enhance business dynamism and resilience</w:t>
      </w:r>
      <w:r w:rsidR="00C60C7A">
        <w:t>.</w:t>
      </w:r>
      <w:r>
        <w:t xml:space="preserve"> (Stuart Adrian Corp, qr. 8, p.</w:t>
      </w:r>
      <w:r w:rsidR="00C44D1D">
        <w:t> </w:t>
      </w:r>
      <w:r w:rsidR="006A14BD">
        <w:t>1</w:t>
      </w:r>
      <w:r>
        <w:t>)</w:t>
      </w:r>
    </w:p>
    <w:p w14:paraId="44BAE445" w14:textId="77777777" w:rsidR="008752B1" w:rsidRDefault="008752B1" w:rsidP="00EF7C3C">
      <w:pPr>
        <w:pStyle w:val="BodyText"/>
        <w:keepNext/>
      </w:pPr>
      <w:r>
        <w:lastRenderedPageBreak/>
        <w:t>And some participants noted a balanced approach is needed.</w:t>
      </w:r>
    </w:p>
    <w:p w14:paraId="50D41756" w14:textId="75E5E8D8" w:rsidR="008752B1" w:rsidRDefault="008752B1" w:rsidP="008752B1">
      <w:pPr>
        <w:pStyle w:val="Quote"/>
      </w:pPr>
      <w:r>
        <w:t>This impact</w:t>
      </w:r>
      <w:r w:rsidR="005F2D90">
        <w:t xml:space="preserve"> [of regulation]</w:t>
      </w:r>
      <w:r>
        <w:t xml:space="preserve"> must be balanced against the societal benefits the regulation produces. If regulation is needed to produce that benefit, then the aim must always be to ensure that the regulation is optimal</w:t>
      </w:r>
      <w:r w:rsidR="005F66FB">
        <w:t>.</w:t>
      </w:r>
      <w:r>
        <w:t xml:space="preserve"> (Law Council of Australia, sub.</w:t>
      </w:r>
      <w:r w:rsidR="00AC364C">
        <w:t> </w:t>
      </w:r>
      <w:r>
        <w:t>164, p.</w:t>
      </w:r>
      <w:r w:rsidR="00AC364C">
        <w:t> </w:t>
      </w:r>
      <w:r>
        <w:t>10)</w:t>
      </w:r>
    </w:p>
    <w:p w14:paraId="73902A23" w14:textId="7282AD65" w:rsidR="008752B1" w:rsidRDefault="008752B1" w:rsidP="008752B1">
      <w:pPr>
        <w:pStyle w:val="BodyText"/>
      </w:pPr>
      <w:r>
        <w:t>Participants generally supported best practice principles that regulation should be outcomes</w:t>
      </w:r>
      <w:r w:rsidR="00C44D1D">
        <w:noBreakHyphen/>
      </w:r>
      <w:r>
        <w:t>focussed, risk</w:t>
      </w:r>
      <w:r w:rsidR="00C44D1D">
        <w:noBreakHyphen/>
      </w:r>
      <w:r>
        <w:t>based, proportionate, based on extensive consultation with regulated parties, and regularly reviewed.</w:t>
      </w:r>
    </w:p>
    <w:p w14:paraId="7CAD7021" w14:textId="74F4894A" w:rsidR="008752B1" w:rsidRDefault="008752B1" w:rsidP="008752B1">
      <w:pPr>
        <w:pStyle w:val="Quote"/>
      </w:pPr>
      <w:r w:rsidRPr="002B58B1">
        <w:t>for regulations to enhance dynamism, they must be designed and implemented in ways that are proportionate to the risk, streamlined, cost effective, and harmonised across jurisdictions.</w:t>
      </w:r>
      <w:r>
        <w:t xml:space="preserve"> (AUSVEG, qr. 95, p.</w:t>
      </w:r>
      <w:r w:rsidR="00AC364C">
        <w:t> </w:t>
      </w:r>
      <w:r>
        <w:t>1)</w:t>
      </w:r>
    </w:p>
    <w:p w14:paraId="1AF77CD3" w14:textId="77777777" w:rsidR="008752B1" w:rsidRDefault="008752B1" w:rsidP="008752B1">
      <w:pPr>
        <w:pStyle w:val="BodyText"/>
      </w:pPr>
      <w:r>
        <w:t>And some participants highlighted that the burden of regulation is disproportionately felt by small business, who need additional support to navigate it.</w:t>
      </w:r>
    </w:p>
    <w:p w14:paraId="237C7489" w14:textId="1AABF9E4" w:rsidR="008752B1" w:rsidRDefault="008752B1" w:rsidP="008752B1">
      <w:pPr>
        <w:pStyle w:val="Quote"/>
      </w:pPr>
      <w:r>
        <w:t>Our experience has shown that small businesses are in relative terms more directly impacted by government regulatory requirements than larger business. A renewed commitment to regulatory impact assessment and ‘right</w:t>
      </w:r>
      <w:r w:rsidR="00C44D1D">
        <w:noBreakHyphen/>
      </w:r>
      <w:r>
        <w:t>sizing’ impositions on small business respondents is needed. (Australian Small Business and Family Enterprise Ombudsman, sub.</w:t>
      </w:r>
      <w:r w:rsidR="00AC364C">
        <w:t> </w:t>
      </w:r>
      <w:r>
        <w:t>47, p.</w:t>
      </w:r>
      <w:r w:rsidR="00AC364C">
        <w:t> </w:t>
      </w:r>
      <w:r>
        <w:t>2)</w:t>
      </w:r>
    </w:p>
    <w:p w14:paraId="788F62FD" w14:textId="77777777" w:rsidR="008752B1" w:rsidRDefault="008752B1" w:rsidP="008752B1">
      <w:pPr>
        <w:pStyle w:val="Heading3"/>
      </w:pPr>
      <w:r>
        <w:t>Effective and poor regulator performance</w:t>
      </w:r>
    </w:p>
    <w:p w14:paraId="2FD57F18" w14:textId="05468FED" w:rsidR="008752B1" w:rsidRDefault="008752B1" w:rsidP="008752B1">
      <w:pPr>
        <w:pStyle w:val="BodyText"/>
      </w:pPr>
      <w:r>
        <w:t>We received many and varying examples of regulators that have done a good job at reducing burden.</w:t>
      </w:r>
    </w:p>
    <w:p w14:paraId="2C7986E0" w14:textId="54D98CD5" w:rsidR="008752B1" w:rsidRDefault="008752B1" w:rsidP="008752B1">
      <w:pPr>
        <w:pStyle w:val="Quote"/>
      </w:pPr>
      <w:r w:rsidRPr="002F71EA">
        <w:t>Regulators that engage with industry, adopt digital tools, and harmonise processes across jurisdictions can dramatically reduce regulatory burden, foster innovation, and enable faster adaptation to economic and technological change</w:t>
      </w:r>
      <w:r w:rsidR="000C67B6">
        <w:t>.</w:t>
      </w:r>
      <w:r>
        <w:t xml:space="preserve"> (Energy Skills Queensland, qr.</w:t>
      </w:r>
      <w:r w:rsidR="000B6675">
        <w:t xml:space="preserve"> </w:t>
      </w:r>
      <w:r>
        <w:t>87, p.</w:t>
      </w:r>
      <w:r w:rsidR="00AC364C">
        <w:t> </w:t>
      </w:r>
      <w:r>
        <w:t>7)</w:t>
      </w:r>
    </w:p>
    <w:p w14:paraId="4D37F9F8" w14:textId="43016DDE" w:rsidR="008752B1" w:rsidRPr="00B756DB" w:rsidRDefault="008752B1" w:rsidP="008752B1">
      <w:pPr>
        <w:pStyle w:val="BodyText"/>
        <w:rPr>
          <w:spacing w:val="-2"/>
        </w:rPr>
      </w:pPr>
      <w:r w:rsidRPr="00B756DB">
        <w:rPr>
          <w:spacing w:val="-2"/>
        </w:rPr>
        <w:t xml:space="preserve">Innovative approaches such as </w:t>
      </w:r>
      <w:r w:rsidR="00B754CA" w:rsidRPr="00B756DB">
        <w:rPr>
          <w:spacing w:val="-2"/>
        </w:rPr>
        <w:t xml:space="preserve">the </w:t>
      </w:r>
      <w:r w:rsidR="00273A48" w:rsidRPr="00B756DB">
        <w:rPr>
          <w:spacing w:val="-2"/>
        </w:rPr>
        <w:t xml:space="preserve">Australian Securities and Investment Commission’s </w:t>
      </w:r>
      <w:r w:rsidR="00B754CA" w:rsidRPr="00B756DB">
        <w:rPr>
          <w:spacing w:val="-2"/>
        </w:rPr>
        <w:t>(</w:t>
      </w:r>
      <w:r w:rsidRPr="00B756DB">
        <w:rPr>
          <w:spacing w:val="-2"/>
        </w:rPr>
        <w:t>ASIC</w:t>
      </w:r>
      <w:r w:rsidR="00B754CA" w:rsidRPr="00B756DB">
        <w:rPr>
          <w:spacing w:val="-2"/>
        </w:rPr>
        <w:t>)</w:t>
      </w:r>
      <w:r w:rsidRPr="00B756DB">
        <w:rPr>
          <w:spacing w:val="-2"/>
        </w:rPr>
        <w:t xml:space="preserve"> regulatory sandboxes and Treasury’s Regulatory Initiatives Grid (RIG) were highlighted by several participants as helping business dynamism by allowing experimentation and facilitating change. The RIG was cited as a good example of coordination and stewardship between regulators, which participants also considered valuable.</w:t>
      </w:r>
    </w:p>
    <w:p w14:paraId="777D7A94" w14:textId="7B51A890" w:rsidR="008752B1" w:rsidRDefault="008752B1" w:rsidP="008752B1">
      <w:pPr>
        <w:pStyle w:val="Quote"/>
      </w:pPr>
      <w:r w:rsidRPr="0055169D">
        <w:t xml:space="preserve">The Insurance Council has welcomed Treasury’s RIG which seeks to provide the industry clearer oversight of upcoming regulatory reform that impacts the financial services sector and establish coordination of reforms by the regulators. </w:t>
      </w:r>
      <w:r>
        <w:t>(Insurance Council of Australia, qr. 29, p.</w:t>
      </w:r>
      <w:r w:rsidR="00AC364C">
        <w:t> </w:t>
      </w:r>
      <w:r>
        <w:t>2)</w:t>
      </w:r>
    </w:p>
    <w:p w14:paraId="28FF0D1F" w14:textId="65AAA70D" w:rsidR="008752B1" w:rsidRDefault="008752B1" w:rsidP="008752B1">
      <w:pPr>
        <w:pStyle w:val="BodyText"/>
      </w:pPr>
      <w:r>
        <w:t>And many participants noted efforts by state governments to accelerate planning approvals, with the recent WA Vogel</w:t>
      </w:r>
      <w:r w:rsidR="00C44D1D">
        <w:noBreakHyphen/>
      </w:r>
      <w:proofErr w:type="spellStart"/>
      <w:r>
        <w:t>McFeeran</w:t>
      </w:r>
      <w:proofErr w:type="spellEnd"/>
      <w:r>
        <w:t xml:space="preserve"> review highlighted several times</w:t>
      </w:r>
      <w:r w:rsidR="003128FE">
        <w:t xml:space="preserve"> </w:t>
      </w:r>
      <w:r w:rsidR="00284A5C">
        <w:t>(</w:t>
      </w:r>
      <w:r w:rsidR="00A344F1">
        <w:t>Australian Energy Producers</w:t>
      </w:r>
      <w:r w:rsidR="00B67612">
        <w:t xml:space="preserve">, </w:t>
      </w:r>
      <w:r w:rsidR="00386A73">
        <w:t>qr. 93</w:t>
      </w:r>
      <w:r w:rsidR="00B67612">
        <w:t>, p.</w:t>
      </w:r>
      <w:r w:rsidR="00AC364C">
        <w:t> </w:t>
      </w:r>
      <w:r w:rsidR="00B67612">
        <w:t xml:space="preserve">3; Property Council of Australia, </w:t>
      </w:r>
      <w:r w:rsidR="00EE78C8">
        <w:t>qr. 99</w:t>
      </w:r>
      <w:r w:rsidR="00B67612">
        <w:t>, p.</w:t>
      </w:r>
      <w:r w:rsidR="00AC364C">
        <w:t> </w:t>
      </w:r>
      <w:r w:rsidR="003128FE">
        <w:t>10</w:t>
      </w:r>
      <w:r w:rsidR="00A34288">
        <w:t>;</w:t>
      </w:r>
      <w:r w:rsidR="00A34288" w:rsidRPr="00A34288">
        <w:t xml:space="preserve"> </w:t>
      </w:r>
      <w:r w:rsidR="00A34288">
        <w:t>Rio Tinto, qr. 83, p.</w:t>
      </w:r>
      <w:r w:rsidR="00AC364C">
        <w:t> </w:t>
      </w:r>
      <w:r w:rsidR="00A34288">
        <w:t>2</w:t>
      </w:r>
      <w:r w:rsidR="00EE78C8">
        <w:t>).</w:t>
      </w:r>
    </w:p>
    <w:p w14:paraId="389EB4F0" w14:textId="177059BA" w:rsidR="008752B1" w:rsidRDefault="008752B1" w:rsidP="008752B1">
      <w:pPr>
        <w:pStyle w:val="BodyText"/>
      </w:pPr>
      <w:r>
        <w:t xml:space="preserve">Participants identified several regulators </w:t>
      </w:r>
      <w:r w:rsidR="00D32542">
        <w:t xml:space="preserve">that </w:t>
      </w:r>
      <w:r>
        <w:t>have been able to apply a risk</w:t>
      </w:r>
      <w:r w:rsidR="00C44D1D">
        <w:noBreakHyphen/>
      </w:r>
      <w:r>
        <w:t xml:space="preserve">based approach to regulation, regulators </w:t>
      </w:r>
      <w:r w:rsidR="00D32542">
        <w:t xml:space="preserve">that </w:t>
      </w:r>
      <w:r>
        <w:t xml:space="preserve">consult effectively, regulators </w:t>
      </w:r>
      <w:r w:rsidR="00D32542">
        <w:t>that</w:t>
      </w:r>
      <w:r>
        <w:t xml:space="preserve"> have implemented digital solutions well, and other</w:t>
      </w:r>
      <w:r w:rsidR="00362A53">
        <w:t xml:space="preserve"> </w:t>
      </w:r>
      <w:r>
        <w:t>examples of good regulator performance.</w:t>
      </w:r>
    </w:p>
    <w:p w14:paraId="25498AFC" w14:textId="349C3DF4" w:rsidR="008752B1" w:rsidRPr="00A150BA" w:rsidRDefault="008752B1" w:rsidP="008752B1">
      <w:pPr>
        <w:pStyle w:val="Quote"/>
      </w:pPr>
      <w:r w:rsidRPr="00A150BA">
        <w:t xml:space="preserve">Industry does have good engagement with many agencies such as Food Standards Australia New Zealand (FSANZ), </w:t>
      </w:r>
      <w:r w:rsidR="00175B61">
        <w:t>[</w:t>
      </w:r>
      <w:r w:rsidRPr="00A150BA">
        <w:t>Australian Pesticide and Veterinary Medicines Authority</w:t>
      </w:r>
      <w:r w:rsidR="00175B61">
        <w:t>]</w:t>
      </w:r>
      <w:r w:rsidR="00D86652">
        <w:t xml:space="preserve"> (</w:t>
      </w:r>
      <w:r w:rsidR="00D86652" w:rsidRPr="00A150BA">
        <w:t>APVMA</w:t>
      </w:r>
      <w:r w:rsidRPr="00A150BA">
        <w:t xml:space="preserve">) and the </w:t>
      </w:r>
      <w:r w:rsidR="00EB1B7C">
        <w:t>[</w:t>
      </w:r>
      <w:r w:rsidR="0034455D" w:rsidRPr="0034455D">
        <w:t>Australian Competition and Consumer Commission</w:t>
      </w:r>
      <w:r w:rsidR="00EB1B7C">
        <w:t>]</w:t>
      </w:r>
      <w:r w:rsidRPr="00A150BA">
        <w:t>. Regular engagement fosters trust and a more collaborative approach to issues</w:t>
      </w:r>
      <w:r>
        <w:t>. (AUSVEG, qr. 95, p.</w:t>
      </w:r>
      <w:r w:rsidR="00AC364C">
        <w:t> </w:t>
      </w:r>
      <w:r>
        <w:t>4)</w:t>
      </w:r>
    </w:p>
    <w:p w14:paraId="1165B653" w14:textId="2E3C09F2" w:rsidR="008752B1" w:rsidRPr="00F30832" w:rsidRDefault="008752B1" w:rsidP="008752B1">
      <w:pPr>
        <w:pStyle w:val="Quote"/>
      </w:pPr>
      <w:r w:rsidRPr="00F30832">
        <w:t xml:space="preserve">another area of visible improvement is the streamlining of </w:t>
      </w:r>
      <w:r>
        <w:t>[Foreign Investment Review Board]</w:t>
      </w:r>
      <w:r w:rsidRPr="00F30832">
        <w:t xml:space="preserve"> approvals. The Council welcomes </w:t>
      </w:r>
      <w:r w:rsidR="00A06CAB" w:rsidRPr="00A06CAB">
        <w:t>[Foreign Investment Review Board’s]</w:t>
      </w:r>
      <w:r w:rsidRPr="00F30832">
        <w:t xml:space="preserve"> genuine efforts to digitise and modernise its foreign investment review process. These enhancements have the potential to </w:t>
      </w:r>
      <w:r w:rsidRPr="00F30832">
        <w:lastRenderedPageBreak/>
        <w:t>reduce administrative burden and enhance the attractiveness of Australia as an investment destination</w:t>
      </w:r>
      <w:r>
        <w:t>. (Australian Investment Council, qr. 77, p.</w:t>
      </w:r>
      <w:r w:rsidR="00AC364C">
        <w:t> </w:t>
      </w:r>
      <w:r>
        <w:t>9)</w:t>
      </w:r>
    </w:p>
    <w:p w14:paraId="06103A4A" w14:textId="76B39516" w:rsidR="008752B1" w:rsidRPr="00A6473D" w:rsidRDefault="008752B1" w:rsidP="008752B1">
      <w:pPr>
        <w:pStyle w:val="BodyText"/>
      </w:pPr>
      <w:r>
        <w:t xml:space="preserve">We also received many examples of regulators </w:t>
      </w:r>
      <w:r w:rsidR="00D32542">
        <w:t xml:space="preserve">that </w:t>
      </w:r>
      <w:r>
        <w:t xml:space="preserve">participants considered </w:t>
      </w:r>
      <w:r w:rsidR="00EC3971">
        <w:t>did</w:t>
      </w:r>
      <w:r>
        <w:t xml:space="preserve"> a poor job reducing regulatory burden. Issues raised included unsatisfactory consultation, incomplete or inadequate impact assessment of new regulation</w:t>
      </w:r>
      <w:r>
        <w:rPr>
          <w:rStyle w:val="BodyTextChar"/>
        </w:rPr>
        <w:t>, r</w:t>
      </w:r>
      <w:r>
        <w:t>egulation that is overly prescriptive and not risk based, regulation that is not coordinated or aligned across governments, and onerous reporting requirements.</w:t>
      </w:r>
    </w:p>
    <w:p w14:paraId="3798DBD6" w14:textId="18998B85" w:rsidR="008752B1" w:rsidRDefault="008752B1" w:rsidP="008752B1">
      <w:pPr>
        <w:pStyle w:val="Quote"/>
      </w:pPr>
      <w:r w:rsidRPr="00741E73">
        <w:t xml:space="preserve">The recently introduced mandatory safety standard for toppling furniture is an unfortunate example of regulatory design and administration. The </w:t>
      </w:r>
      <w:r w:rsidR="00D62E72" w:rsidRPr="00D62E72">
        <w:t>[Australian Competition and Consumer Commission]</w:t>
      </w:r>
      <w:r w:rsidRPr="00741E73">
        <w:t xml:space="preserve"> did not sufficiently engage with regulated </w:t>
      </w:r>
      <w:proofErr w:type="gramStart"/>
      <w:r w:rsidRPr="00741E73">
        <w:t>businesses, or</w:t>
      </w:r>
      <w:proofErr w:type="gramEnd"/>
      <w:r w:rsidRPr="00741E73">
        <w:t xml:space="preserve"> sufficiently research the market before having the minister declare its specifications.</w:t>
      </w:r>
      <w:r>
        <w:t xml:space="preserve"> (Anonymous, qr. 60, p.</w:t>
      </w:r>
      <w:r w:rsidR="00AC364C">
        <w:t> </w:t>
      </w:r>
      <w:r>
        <w:t>2)</w:t>
      </w:r>
    </w:p>
    <w:p w14:paraId="084097E1" w14:textId="2ED9A044" w:rsidR="008752B1" w:rsidRPr="00CD4C5F" w:rsidRDefault="008752B1" w:rsidP="008752B1">
      <w:pPr>
        <w:pStyle w:val="Quote"/>
      </w:pPr>
      <w:r w:rsidRPr="001F4870">
        <w:t>There is also a lack of coordination within the current federal</w:t>
      </w:r>
      <w:r w:rsidR="00C44D1D">
        <w:noBreakHyphen/>
      </w:r>
      <w:r w:rsidRPr="001F4870">
        <w:t>state regulatory system, resulting in inconsistencies regarding the intent and enforcement of the national Food Standards Code.</w:t>
      </w:r>
      <w:r>
        <w:t xml:space="preserve"> (Australian Food and Grocery Council, qr. 31, p.</w:t>
      </w:r>
      <w:r w:rsidR="00AC364C">
        <w:t> </w:t>
      </w:r>
      <w:r>
        <w:t>2)</w:t>
      </w:r>
    </w:p>
    <w:p w14:paraId="310F3821" w14:textId="0F188404" w:rsidR="008752B1" w:rsidRDefault="008752B1" w:rsidP="008752B1">
      <w:pPr>
        <w:pStyle w:val="Heading3"/>
      </w:pPr>
      <w:r>
        <w:t>Enhancing regulator performance</w:t>
      </w:r>
    </w:p>
    <w:p w14:paraId="2FE915F8" w14:textId="6B540C5F" w:rsidR="008752B1" w:rsidRDefault="008752B1" w:rsidP="008752B1">
      <w:pPr>
        <w:pStyle w:val="BodyText"/>
      </w:pPr>
      <w:r>
        <w:t xml:space="preserve">We also received many suggestions </w:t>
      </w:r>
      <w:r w:rsidR="00D62E72">
        <w:t>to</w:t>
      </w:r>
      <w:r>
        <w:t xml:space="preserve"> enhanc</w:t>
      </w:r>
      <w:r w:rsidR="00D62E72">
        <w:t>e</w:t>
      </w:r>
      <w:r>
        <w:t xml:space="preserve"> regulator performance. Some </w:t>
      </w:r>
      <w:r w:rsidR="00D62E72">
        <w:t>participants</w:t>
      </w:r>
      <w:r>
        <w:t xml:space="preserve"> </w:t>
      </w:r>
      <w:r w:rsidR="007B0507">
        <w:t>proposed</w:t>
      </w:r>
      <w:r w:rsidR="0064544E">
        <w:t xml:space="preserve"> </w:t>
      </w:r>
      <w:r>
        <w:t>mandatory processes for regulatory design such as co</w:t>
      </w:r>
      <w:r w:rsidR="00C44D1D">
        <w:noBreakHyphen/>
      </w:r>
      <w:r>
        <w:t>design and minimum consultation periods, strengthened impact analysis, and greater use of post</w:t>
      </w:r>
      <w:r w:rsidR="00C44D1D">
        <w:noBreakHyphen/>
      </w:r>
      <w:r>
        <w:t>implementation reviews.</w:t>
      </w:r>
    </w:p>
    <w:p w14:paraId="1BFC859E" w14:textId="3B3B26DA" w:rsidR="008752B1" w:rsidRPr="00B756DB" w:rsidRDefault="000D449A" w:rsidP="008752B1">
      <w:pPr>
        <w:pStyle w:val="Quote"/>
        <w:rPr>
          <w:spacing w:val="-2"/>
        </w:rPr>
      </w:pPr>
      <w:r w:rsidRPr="00B756DB">
        <w:rPr>
          <w:spacing w:val="-2"/>
        </w:rPr>
        <w:t xml:space="preserve">[Internet Association of Australia] </w:t>
      </w:r>
      <w:r w:rsidR="008752B1" w:rsidRPr="00B756DB">
        <w:rPr>
          <w:spacing w:val="-2"/>
        </w:rPr>
        <w:t>recommends reforms to the consultation processes to mandate regulators and government bodies to publish statements of completed risk impact analysis and the consultation outcome, including a summary of stakeholder feedback and how such feedback was considered and informed final regulatory decisions. (Internet Association of Australia, sub.</w:t>
      </w:r>
      <w:r w:rsidR="00AC364C" w:rsidRPr="00B756DB">
        <w:rPr>
          <w:spacing w:val="-2"/>
        </w:rPr>
        <w:t> </w:t>
      </w:r>
      <w:r w:rsidR="008752B1" w:rsidRPr="00B756DB">
        <w:rPr>
          <w:spacing w:val="-2"/>
        </w:rPr>
        <w:t>159, p.</w:t>
      </w:r>
      <w:r w:rsidR="00AC364C" w:rsidRPr="00B756DB">
        <w:rPr>
          <w:spacing w:val="-2"/>
        </w:rPr>
        <w:t> </w:t>
      </w:r>
      <w:r w:rsidR="008752B1" w:rsidRPr="00B756DB">
        <w:rPr>
          <w:spacing w:val="-2"/>
        </w:rPr>
        <w:t>3)</w:t>
      </w:r>
    </w:p>
    <w:p w14:paraId="3F12AA5A" w14:textId="77777777" w:rsidR="00213C32" w:rsidRDefault="008752B1" w:rsidP="008752B1">
      <w:pPr>
        <w:pStyle w:val="Quote"/>
      </w:pPr>
      <w:r>
        <w:t xml:space="preserve">We consider the following features particularly important: </w:t>
      </w:r>
    </w:p>
    <w:p w14:paraId="01DEF795" w14:textId="77777777" w:rsidR="00213C32" w:rsidRDefault="008752B1" w:rsidP="00213C32">
      <w:pPr>
        <w:pStyle w:val="QuoteBullet"/>
      </w:pPr>
      <w:r>
        <w:t xml:space="preserve">standard minimum stakeholder consultation periods across all Commonwealth policy initiatives to ensure that rushed legislation does not create unnecessary compliance costs or unintended </w:t>
      </w:r>
      <w:proofErr w:type="gramStart"/>
      <w:r>
        <w:t>consequences;</w:t>
      </w:r>
      <w:proofErr w:type="gramEnd"/>
      <w:r>
        <w:t xml:space="preserve"> </w:t>
      </w:r>
    </w:p>
    <w:p w14:paraId="047866D6" w14:textId="77777777" w:rsidR="00213C32" w:rsidRDefault="008752B1" w:rsidP="00213C32">
      <w:pPr>
        <w:pStyle w:val="QuoteBullet"/>
      </w:pPr>
      <w:r>
        <w:t xml:space="preserve">Regulatory Impact Statements that incorporate productivity and growth impact; and </w:t>
      </w:r>
    </w:p>
    <w:p w14:paraId="419EAC8E" w14:textId="3EA7AFD4" w:rsidR="008752B1" w:rsidRDefault="008752B1" w:rsidP="00213C32">
      <w:pPr>
        <w:pStyle w:val="QuoteBullet"/>
      </w:pPr>
      <w:r>
        <w:t>mandatory post implementation reviews of new regulation including appropriate monitoring of implementation costs. (</w:t>
      </w:r>
      <w:r w:rsidR="00226A72">
        <w:t>AICD</w:t>
      </w:r>
      <w:r>
        <w:t>, sub.</w:t>
      </w:r>
      <w:r w:rsidR="00AC364C">
        <w:t> </w:t>
      </w:r>
      <w:r>
        <w:t>180, p.</w:t>
      </w:r>
      <w:r w:rsidR="00AC364C">
        <w:t> </w:t>
      </w:r>
      <w:r>
        <w:t>7)</w:t>
      </w:r>
    </w:p>
    <w:p w14:paraId="7F4E993A" w14:textId="7438BC7A" w:rsidR="008752B1" w:rsidRDefault="008752B1" w:rsidP="008752B1">
      <w:pPr>
        <w:pStyle w:val="BodyText"/>
      </w:pPr>
      <w:r>
        <w:t>And some participants advocated for better accountability for regulators through K</w:t>
      </w:r>
      <w:r w:rsidR="00F91025">
        <w:t xml:space="preserve">ey </w:t>
      </w:r>
      <w:r>
        <w:t>P</w:t>
      </w:r>
      <w:r w:rsidR="00F91025">
        <w:t xml:space="preserve">erformance </w:t>
      </w:r>
      <w:r>
        <w:t>I</w:t>
      </w:r>
      <w:r w:rsidR="00F91025">
        <w:t>ndicator</w:t>
      </w:r>
      <w:r>
        <w:t>s</w:t>
      </w:r>
      <w:r w:rsidR="009A7522">
        <w:t xml:space="preserve"> (KPIs)</w:t>
      </w:r>
      <w:r>
        <w:t xml:space="preserve"> and similar mechanisms.</w:t>
      </w:r>
    </w:p>
    <w:p w14:paraId="05593784" w14:textId="29FD015C" w:rsidR="008752B1" w:rsidRDefault="008752B1" w:rsidP="008752B1">
      <w:pPr>
        <w:pStyle w:val="Quote"/>
      </w:pPr>
      <w:r>
        <w:t xml:space="preserve">The PC should also consider ensuring regulators are appropriately held to account for performance, ensuring innovation is properly factored into decision making. Although many regulators are periodically accountable to Parliament, </w:t>
      </w:r>
      <w:proofErr w:type="gramStart"/>
      <w:r>
        <w:t>in reality this</w:t>
      </w:r>
      <w:proofErr w:type="gramEnd"/>
      <w:r>
        <w:t xml:space="preserve"> rarely results in substantive changes. (Amazon AU, sub.</w:t>
      </w:r>
      <w:r w:rsidR="00AC364C">
        <w:t> </w:t>
      </w:r>
      <w:r>
        <w:t>31, p.</w:t>
      </w:r>
      <w:r w:rsidR="00AC364C">
        <w:t> </w:t>
      </w:r>
      <w:r>
        <w:t>8)</w:t>
      </w:r>
    </w:p>
    <w:p w14:paraId="4AB376BA" w14:textId="663F5432" w:rsidR="008752B1" w:rsidRDefault="008752B1" w:rsidP="008752B1">
      <w:pPr>
        <w:pStyle w:val="Quote"/>
      </w:pPr>
      <w:r w:rsidRPr="00112011">
        <w:t>The performance of regulatory agencies should be assessed on a balanced scorecard, using a broader range of metrics including protecting consumers from harm, facilitating industry growth, minimising legal uncertainty, and reducing unnecessary regulatory cost.</w:t>
      </w:r>
      <w:r>
        <w:t xml:space="preserve"> (Financial Services Council, sub.</w:t>
      </w:r>
      <w:r w:rsidR="00AC364C">
        <w:t> </w:t>
      </w:r>
      <w:r>
        <w:t>2, p.</w:t>
      </w:r>
      <w:r w:rsidR="00C44D1D">
        <w:t> </w:t>
      </w:r>
      <w:r>
        <w:t>3)</w:t>
      </w:r>
    </w:p>
    <w:p w14:paraId="61DEAB1D" w14:textId="13E069AC" w:rsidR="008752B1" w:rsidRDefault="001E54E1" w:rsidP="005562CC">
      <w:pPr>
        <w:pStyle w:val="Heading2-nonumber"/>
      </w:pPr>
      <w:bookmarkStart w:id="12" w:name="_Toc215092972"/>
      <w:r>
        <w:lastRenderedPageBreak/>
        <w:t>Ways to improve regulatory policy</w:t>
      </w:r>
      <w:bookmarkEnd w:id="12"/>
    </w:p>
    <w:p w14:paraId="05C08086" w14:textId="77777777" w:rsidR="008752B1" w:rsidRDefault="008752B1" w:rsidP="008752B1">
      <w:pPr>
        <w:pStyle w:val="Heading3"/>
      </w:pPr>
      <w:r>
        <w:t>A whole of government statement on regulation</w:t>
      </w:r>
    </w:p>
    <w:p w14:paraId="450F3AF8" w14:textId="4E5E3937" w:rsidR="008752B1" w:rsidRDefault="00844DE6" w:rsidP="008752B1">
      <w:pPr>
        <w:pStyle w:val="BodyText"/>
      </w:pPr>
      <w:r>
        <w:t>Most p</w:t>
      </w:r>
      <w:r w:rsidR="008752B1">
        <w:t xml:space="preserve">articipants supported </w:t>
      </w:r>
      <w:r w:rsidR="002868CA">
        <w:t xml:space="preserve">our </w:t>
      </w:r>
      <w:r w:rsidR="001B66C2">
        <w:t xml:space="preserve">draft </w:t>
      </w:r>
      <w:r w:rsidR="002868CA">
        <w:t>recommendation for</w:t>
      </w:r>
      <w:r w:rsidR="008752B1">
        <w:t xml:space="preserve"> a whole of government statement on regulation. </w:t>
      </w:r>
    </w:p>
    <w:p w14:paraId="74560EF6" w14:textId="77777777" w:rsidR="008752B1" w:rsidRDefault="008752B1" w:rsidP="008752B1">
      <w:pPr>
        <w:pStyle w:val="BodyText"/>
      </w:pPr>
      <w:r>
        <w:t xml:space="preserve">Some participants outlined principles they would like to see in the statement, in addition to those we articulated. These included principles for regulatory decision making balancing a variety of factors, the role of technology in building dynamism, statements about who bears risk and how much, and focus on the </w:t>
      </w:r>
      <w:proofErr w:type="gramStart"/>
      <w:r>
        <w:t>particular needs</w:t>
      </w:r>
      <w:proofErr w:type="gramEnd"/>
      <w:r>
        <w:t xml:space="preserve"> of small business.</w:t>
      </w:r>
    </w:p>
    <w:p w14:paraId="2488EF86" w14:textId="3FD7EF64" w:rsidR="008752B1" w:rsidRPr="00C4630C" w:rsidRDefault="008752B1" w:rsidP="008752B1">
      <w:pPr>
        <w:pStyle w:val="BodyText"/>
      </w:pPr>
      <w:r>
        <w:t xml:space="preserve">Others supported the </w:t>
      </w:r>
      <w:proofErr w:type="gramStart"/>
      <w:r>
        <w:t>principle, but</w:t>
      </w:r>
      <w:proofErr w:type="gramEnd"/>
      <w:r>
        <w:t xml:space="preserve"> suggested the statement should be embedded in legislation or other mechanisms to ensure long</w:t>
      </w:r>
      <w:r w:rsidR="00C44D1D">
        <w:noBreakHyphen/>
      </w:r>
      <w:r>
        <w:t>term support when government changes.</w:t>
      </w:r>
    </w:p>
    <w:p w14:paraId="3459C0C5" w14:textId="2BADFEFE" w:rsidR="008752B1" w:rsidRDefault="008752B1" w:rsidP="008752B1">
      <w:pPr>
        <w:pStyle w:val="Quote"/>
        <w:rPr>
          <w:lang w:eastAsia="en-AU"/>
        </w:rPr>
      </w:pPr>
      <w:r>
        <w:rPr>
          <w:lang w:eastAsia="en-AU"/>
        </w:rPr>
        <w:t>On draft recommendation 2.1 … a multi</w:t>
      </w:r>
      <w:r w:rsidR="00C44D1D">
        <w:rPr>
          <w:lang w:eastAsia="en-AU"/>
        </w:rPr>
        <w:noBreakHyphen/>
      </w:r>
      <w:r>
        <w:rPr>
          <w:lang w:eastAsia="en-AU"/>
        </w:rPr>
        <w:t>party statement of the guiding rationales for and limits of regulation, and a joint commitment to meaningful compliance with policy</w:t>
      </w:r>
      <w:r w:rsidR="00C44D1D">
        <w:rPr>
          <w:lang w:eastAsia="en-AU"/>
        </w:rPr>
        <w:noBreakHyphen/>
      </w:r>
      <w:r>
        <w:rPr>
          <w:lang w:eastAsia="en-AU"/>
        </w:rPr>
        <w:t>of</w:t>
      </w:r>
      <w:r w:rsidR="00C44D1D">
        <w:rPr>
          <w:lang w:eastAsia="en-AU"/>
        </w:rPr>
        <w:noBreakHyphen/>
      </w:r>
      <w:r>
        <w:rPr>
          <w:lang w:eastAsia="en-AU"/>
        </w:rPr>
        <w:t>regulation measures, is preferable</w:t>
      </w:r>
      <w:r w:rsidR="00C67ED6">
        <w:rPr>
          <w:lang w:eastAsia="en-AU"/>
        </w:rPr>
        <w:t>.</w:t>
      </w:r>
      <w:r>
        <w:rPr>
          <w:lang w:eastAsia="en-AU"/>
        </w:rPr>
        <w:t xml:space="preserve"> (</w:t>
      </w:r>
      <w:r w:rsidR="00226A72">
        <w:rPr>
          <w:lang w:eastAsia="en-AU"/>
        </w:rPr>
        <w:t>L</w:t>
      </w:r>
      <w:r w:rsidR="003C7DF0">
        <w:rPr>
          <w:lang w:eastAsia="en-AU"/>
        </w:rPr>
        <w:t xml:space="preserve">aw </w:t>
      </w:r>
      <w:r w:rsidR="00226A72">
        <w:rPr>
          <w:lang w:eastAsia="en-AU"/>
        </w:rPr>
        <w:t>C</w:t>
      </w:r>
      <w:r w:rsidR="003C7DF0">
        <w:rPr>
          <w:lang w:eastAsia="en-AU"/>
        </w:rPr>
        <w:t xml:space="preserve">ouncil of </w:t>
      </w:r>
      <w:r w:rsidR="00226A72">
        <w:rPr>
          <w:lang w:eastAsia="en-AU"/>
        </w:rPr>
        <w:t>A</w:t>
      </w:r>
      <w:r w:rsidR="003C7DF0">
        <w:rPr>
          <w:lang w:eastAsia="en-AU"/>
        </w:rPr>
        <w:t>ustralia</w:t>
      </w:r>
      <w:r>
        <w:rPr>
          <w:lang w:eastAsia="en-AU"/>
        </w:rPr>
        <w:t>, sub.</w:t>
      </w:r>
      <w:r w:rsidR="00AC364C">
        <w:rPr>
          <w:lang w:eastAsia="en-AU"/>
        </w:rPr>
        <w:t> </w:t>
      </w:r>
      <w:r>
        <w:rPr>
          <w:lang w:eastAsia="en-AU"/>
        </w:rPr>
        <w:t>164, p.</w:t>
      </w:r>
      <w:r w:rsidR="00AC364C">
        <w:rPr>
          <w:lang w:eastAsia="en-AU"/>
        </w:rPr>
        <w:t> </w:t>
      </w:r>
      <w:r>
        <w:rPr>
          <w:lang w:eastAsia="en-AU"/>
        </w:rPr>
        <w:t>10)</w:t>
      </w:r>
    </w:p>
    <w:p w14:paraId="72451E47" w14:textId="77777777" w:rsidR="008752B1" w:rsidRDefault="008752B1" w:rsidP="008752B1">
      <w:pPr>
        <w:pStyle w:val="Heading3"/>
      </w:pPr>
      <w:r>
        <w:t>Better scrutiny of regulation</w:t>
      </w:r>
    </w:p>
    <w:p w14:paraId="60A78C64" w14:textId="07F0B46A" w:rsidR="008752B1" w:rsidRPr="00F838ED" w:rsidRDefault="00492DC0" w:rsidP="008752B1">
      <w:pPr>
        <w:pStyle w:val="BodyText"/>
      </w:pPr>
      <w:r>
        <w:t>Many participants</w:t>
      </w:r>
      <w:r w:rsidR="008752B1">
        <w:t xml:space="preserve"> </w:t>
      </w:r>
      <w:r>
        <w:t>suggested that there should be</w:t>
      </w:r>
      <w:r w:rsidR="00DE25AD">
        <w:t xml:space="preserve"> </w:t>
      </w:r>
      <w:r w:rsidR="008752B1">
        <w:t>greater scrutiny of regulation across government.</w:t>
      </w:r>
    </w:p>
    <w:p w14:paraId="16C1C93F" w14:textId="4E7ADC69" w:rsidR="008752B1" w:rsidRPr="00B756DB" w:rsidRDefault="00492DC0" w:rsidP="008752B1">
      <w:pPr>
        <w:pStyle w:val="BodyText"/>
        <w:rPr>
          <w:spacing w:val="-4"/>
        </w:rPr>
      </w:pPr>
      <w:r w:rsidRPr="00B756DB">
        <w:rPr>
          <w:spacing w:val="-4"/>
        </w:rPr>
        <w:t>P</w:t>
      </w:r>
      <w:r w:rsidR="008752B1" w:rsidRPr="00B756DB">
        <w:rPr>
          <w:spacing w:val="-4"/>
        </w:rPr>
        <w:t xml:space="preserve">articipants supported strengthening scrutiny of new regulatory proposals </w:t>
      </w:r>
      <w:r w:rsidR="00304621" w:rsidRPr="00B756DB">
        <w:rPr>
          <w:spacing w:val="-4"/>
        </w:rPr>
        <w:t>by the Office of Impact Analysis (OIA)</w:t>
      </w:r>
      <w:r w:rsidR="003F2DEC" w:rsidRPr="00B756DB">
        <w:rPr>
          <w:spacing w:val="-4"/>
        </w:rPr>
        <w:t>. They also</w:t>
      </w:r>
      <w:r w:rsidR="008752B1" w:rsidRPr="00B756DB">
        <w:rPr>
          <w:spacing w:val="-4"/>
        </w:rPr>
        <w:t xml:space="preserve"> suggested ways to enhance the robustness of Impact Analysis. Matters raised include</w:t>
      </w:r>
      <w:r w:rsidR="0084148B" w:rsidRPr="00B756DB">
        <w:rPr>
          <w:spacing w:val="-4"/>
        </w:rPr>
        <w:t>d</w:t>
      </w:r>
      <w:r w:rsidR="008752B1" w:rsidRPr="00B756DB">
        <w:rPr>
          <w:spacing w:val="-4"/>
        </w:rPr>
        <w:t xml:space="preserve"> consideration of the cumulative regulatory burden, consideration of the small business impact of regulation, tech</w:t>
      </w:r>
      <w:r w:rsidR="00617FD1" w:rsidRPr="00B756DB">
        <w:rPr>
          <w:spacing w:val="-4"/>
        </w:rPr>
        <w:t>nology</w:t>
      </w:r>
      <w:r w:rsidR="008752B1" w:rsidRPr="00B756DB">
        <w:rPr>
          <w:spacing w:val="-4"/>
        </w:rPr>
        <w:t xml:space="preserve"> neutrality of regulation, consideration of alternative options, and mandatory consultation requirements. Some participants suggested additional mechanisms for scrutiny, such as independent committees.</w:t>
      </w:r>
    </w:p>
    <w:p w14:paraId="23524576" w14:textId="4C468787" w:rsidR="008752B1" w:rsidRDefault="008752B1" w:rsidP="008752B1">
      <w:pPr>
        <w:pStyle w:val="Quote"/>
      </w:pPr>
      <w:r>
        <w:t>F</w:t>
      </w:r>
      <w:r w:rsidRPr="00AC08A7">
        <w:t>or proposed new regulations, ensure the associated Regulation Impact Statement compares fiscal incentives versus regulation.</w:t>
      </w:r>
      <w:r>
        <w:t xml:space="preserve"> (Sue Holmes, sub.</w:t>
      </w:r>
      <w:r w:rsidR="00AC364C">
        <w:t> </w:t>
      </w:r>
      <w:r>
        <w:t>171, p.</w:t>
      </w:r>
      <w:r w:rsidR="00AC364C">
        <w:t> </w:t>
      </w:r>
      <w:r>
        <w:t>3)</w:t>
      </w:r>
    </w:p>
    <w:p w14:paraId="263F95F6" w14:textId="0D838F49" w:rsidR="008752B1" w:rsidRPr="00AC08A7" w:rsidRDefault="008752B1" w:rsidP="008752B1">
      <w:pPr>
        <w:pStyle w:val="Quote"/>
      </w:pPr>
      <w:r>
        <w:t>The OIA should be adequately resourced to undertake genuine evidence</w:t>
      </w:r>
      <w:r w:rsidR="00C44D1D">
        <w:noBreakHyphen/>
      </w:r>
      <w:r>
        <w:t>based cost</w:t>
      </w:r>
      <w:r w:rsidR="00C44D1D">
        <w:noBreakHyphen/>
      </w:r>
      <w:r>
        <w:t>benefit analysis, and political imperatives should not impact its work. We support the recommendation to appoint an independent statutory commissioner. (Institute of Public Accountants, sub.</w:t>
      </w:r>
      <w:r w:rsidR="00AC364C">
        <w:t> </w:t>
      </w:r>
      <w:r>
        <w:t>157, p.</w:t>
      </w:r>
      <w:r w:rsidR="00AC364C">
        <w:t> </w:t>
      </w:r>
      <w:r>
        <w:t>6)</w:t>
      </w:r>
    </w:p>
    <w:p w14:paraId="7068CCE4" w14:textId="2336D636" w:rsidR="008752B1" w:rsidRDefault="00856EA4" w:rsidP="008752B1">
      <w:pPr>
        <w:pStyle w:val="BodyText"/>
      </w:pPr>
      <w:r>
        <w:t>Participants generally supported our</w:t>
      </w:r>
      <w:r w:rsidR="001F5B08">
        <w:t xml:space="preserve"> </w:t>
      </w:r>
      <w:r w:rsidR="00D67E45">
        <w:t xml:space="preserve">draft </w:t>
      </w:r>
      <w:r w:rsidR="001F5B08">
        <w:t>recommendation for better scrutiny of regulation.</w:t>
      </w:r>
      <w:r w:rsidR="00EF7D5E">
        <w:t xml:space="preserve"> </w:t>
      </w:r>
      <w:r w:rsidR="008752B1">
        <w:t>Participants also supported a program of regular, targeted review of regulation. Many considered the PC should fill this role, but some suggested other parties such as OIA or independent task forces.</w:t>
      </w:r>
    </w:p>
    <w:p w14:paraId="7F892E73" w14:textId="1EBAC580" w:rsidR="008752B1" w:rsidRDefault="008752B1" w:rsidP="008752B1">
      <w:pPr>
        <w:pStyle w:val="Quote"/>
      </w:pPr>
      <w:r>
        <w:t>All recommendations should be subject to a robust and effective review mechanism. This should include formal processes such as post</w:t>
      </w:r>
      <w:r w:rsidR="00C44D1D">
        <w:noBreakHyphen/>
      </w:r>
      <w:r>
        <w:t>implementation reviews. (</w:t>
      </w:r>
      <w:r w:rsidR="00CD23F1">
        <w:t xml:space="preserve">BCA, </w:t>
      </w:r>
      <w:r>
        <w:t>sub.</w:t>
      </w:r>
      <w:r w:rsidR="00AC364C">
        <w:t> </w:t>
      </w:r>
      <w:r>
        <w:t>200, p.</w:t>
      </w:r>
      <w:r w:rsidR="00AC364C">
        <w:t> </w:t>
      </w:r>
      <w:r>
        <w:t>16)</w:t>
      </w:r>
    </w:p>
    <w:p w14:paraId="4CC7FA12" w14:textId="604A7FB4" w:rsidR="008752B1" w:rsidRDefault="008752B1" w:rsidP="008752B1">
      <w:pPr>
        <w:pStyle w:val="Quote"/>
      </w:pPr>
      <w:r w:rsidRPr="006B4103">
        <w:t xml:space="preserve">Consult Australia also recommends the Office of Impact Analysis </w:t>
      </w:r>
      <w:proofErr w:type="gramStart"/>
      <w:r w:rsidRPr="006B4103">
        <w:t>undertake:</w:t>
      </w:r>
      <w:proofErr w:type="gramEnd"/>
      <w:r w:rsidRPr="006B4103">
        <w:t xml:space="preserve"> mandatory reviews of new regulation one year after implementation to assess the real regulatory impact against the anticipated impact</w:t>
      </w:r>
      <w:r>
        <w:rPr>
          <w:b/>
        </w:rPr>
        <w:t xml:space="preserve"> </w:t>
      </w:r>
      <w:r w:rsidRPr="000569CD">
        <w:t>[and]</w:t>
      </w:r>
      <w:r>
        <w:rPr>
          <w:b/>
        </w:rPr>
        <w:t xml:space="preserve"> </w:t>
      </w:r>
      <w:r w:rsidRPr="006B4103">
        <w:t>reviews of every regulation on a three</w:t>
      </w:r>
      <w:r w:rsidR="00C44D1D">
        <w:noBreakHyphen/>
      </w:r>
      <w:r w:rsidRPr="006B4103">
        <w:t xml:space="preserve">year cycle. </w:t>
      </w:r>
      <w:r>
        <w:t>(Consult Australia, sub.</w:t>
      </w:r>
      <w:r w:rsidR="00AC364C">
        <w:t> </w:t>
      </w:r>
      <w:r>
        <w:t>100, p.</w:t>
      </w:r>
      <w:r w:rsidR="00AC364C">
        <w:t> </w:t>
      </w:r>
      <w:r>
        <w:t>7)</w:t>
      </w:r>
    </w:p>
    <w:p w14:paraId="2ED16DF7" w14:textId="77777777" w:rsidR="008752B1" w:rsidRPr="009867F7" w:rsidRDefault="008752B1" w:rsidP="008752B1">
      <w:pPr>
        <w:pStyle w:val="Heading3"/>
      </w:pPr>
      <w:r>
        <w:t>Measurement and tracking of regulation</w:t>
      </w:r>
    </w:p>
    <w:p w14:paraId="137A4D4C" w14:textId="464B437F" w:rsidR="008752B1" w:rsidRDefault="008752B1" w:rsidP="008752B1">
      <w:pPr>
        <w:pStyle w:val="BodyText"/>
      </w:pPr>
      <w:r>
        <w:t xml:space="preserve">Participants </w:t>
      </w:r>
      <w:r w:rsidR="00731D8F">
        <w:t>considered there is scope to improve</w:t>
      </w:r>
      <w:r>
        <w:t xml:space="preserve"> measurement and assessment of regulatory burden. Some participants sought explicit quantitative targets for reduction of the regulatory burden, and targeted red tape reduction initiatives. </w:t>
      </w:r>
      <w:r w:rsidR="00831B17">
        <w:t>Many suggested a target of reducing 25% of the regulatory burden</w:t>
      </w:r>
      <w:r w:rsidR="00774F80">
        <w:t>,</w:t>
      </w:r>
      <w:r>
        <w:t xml:space="preserve"> although </w:t>
      </w:r>
      <w:r w:rsidR="00774F80">
        <w:t>how to</w:t>
      </w:r>
      <w:r w:rsidR="00502ACB">
        <w:t xml:space="preserve"> </w:t>
      </w:r>
      <w:r w:rsidR="00810020">
        <w:t xml:space="preserve">measure </w:t>
      </w:r>
      <w:r w:rsidR="00831B17">
        <w:t>that</w:t>
      </w:r>
      <w:r w:rsidR="00810020">
        <w:t xml:space="preserve"> regulatory burden, and hence </w:t>
      </w:r>
      <w:r w:rsidR="00831B17">
        <w:t xml:space="preserve">the </w:t>
      </w:r>
      <w:r w:rsidR="00810020">
        <w:t>basis for setting the target, w</w:t>
      </w:r>
      <w:r w:rsidR="00831B17">
        <w:t>as</w:t>
      </w:r>
      <w:r w:rsidR="00810020">
        <w:t xml:space="preserve"> generally not elaborated</w:t>
      </w:r>
      <w:r>
        <w:t>.</w:t>
      </w:r>
    </w:p>
    <w:p w14:paraId="55F405AB" w14:textId="4002C5DE" w:rsidR="008752B1" w:rsidRDefault="008752B1" w:rsidP="008752B1">
      <w:pPr>
        <w:pStyle w:val="Quote"/>
      </w:pPr>
      <w:r>
        <w:lastRenderedPageBreak/>
        <w:t>We strongly advocate for the adoption of an overarching quantitative target: a commitment to reduce red tape by 25 per cent by 2030. This headline goal, reported against regularly, should serve as a benchmark for driving regulatory reduction initiatives</w:t>
      </w:r>
      <w:r w:rsidR="00AE2383">
        <w:t>.</w:t>
      </w:r>
      <w:r>
        <w:t xml:space="preserve"> (</w:t>
      </w:r>
      <w:r w:rsidR="00CD23F1">
        <w:t>BCA</w:t>
      </w:r>
      <w:r>
        <w:t>, sub.</w:t>
      </w:r>
      <w:r w:rsidR="00AC364C">
        <w:t> </w:t>
      </w:r>
      <w:r>
        <w:t>200, p.</w:t>
      </w:r>
      <w:r w:rsidR="00AC364C">
        <w:t> </w:t>
      </w:r>
      <w:r>
        <w:t>15)</w:t>
      </w:r>
    </w:p>
    <w:p w14:paraId="0D8A5FA5" w14:textId="77777777" w:rsidR="008752B1" w:rsidRDefault="008752B1" w:rsidP="008752B1">
      <w:pPr>
        <w:pStyle w:val="BodyText"/>
      </w:pPr>
      <w:r>
        <w:t>However, others warned against numerical targets, considering they are arbitrary and may not account for the benefits of regulation.</w:t>
      </w:r>
    </w:p>
    <w:p w14:paraId="1083ED59" w14:textId="1E22A6DE" w:rsidR="008752B1" w:rsidRDefault="008752B1" w:rsidP="008752B1">
      <w:pPr>
        <w:pStyle w:val="Quote"/>
      </w:pPr>
      <w:r>
        <w:t>Assessments of regulatory success must be grounded in whether the regulation is delivering on its intended outcomes, not just whether a change has reduced costs or administrative burden for business. Avoid setting quantified targets for regulatory burden reduction based on the volume of obligations or cost to industry. Instead, work with regulators to identify meaningful measurements of holistic regulatory outcomes. (Consumer Action Law Centre, sub.</w:t>
      </w:r>
      <w:r w:rsidR="00AC364C">
        <w:t> </w:t>
      </w:r>
      <w:r>
        <w:t>117, p.</w:t>
      </w:r>
      <w:r w:rsidR="00AC364C">
        <w:t> </w:t>
      </w:r>
      <w:r>
        <w:t>1)</w:t>
      </w:r>
    </w:p>
    <w:p w14:paraId="30352FD9" w14:textId="65936894" w:rsidR="008752B1" w:rsidRDefault="008752B1" w:rsidP="008752B1">
      <w:pPr>
        <w:pStyle w:val="BodyText"/>
      </w:pPr>
      <w:r>
        <w:t xml:space="preserve">Some participants suggested </w:t>
      </w:r>
      <w:r w:rsidR="006B6950">
        <w:t xml:space="preserve">using </w:t>
      </w:r>
      <w:r>
        <w:t>metrics for regulators that would capture their responsiveness.</w:t>
      </w:r>
      <w:r w:rsidRPr="0084015C">
        <w:t xml:space="preserve"> </w:t>
      </w:r>
      <w:r>
        <w:t>Others suggested ways to capture sentiment of regulated parties</w:t>
      </w:r>
      <w:r w:rsidR="004D2782">
        <w:t xml:space="preserve"> that could be tracked</w:t>
      </w:r>
      <w:r>
        <w:t xml:space="preserve">. One participant suggested using the </w:t>
      </w:r>
      <w:proofErr w:type="spellStart"/>
      <w:r>
        <w:t>RegData</w:t>
      </w:r>
      <w:proofErr w:type="spellEnd"/>
      <w:r>
        <w:t xml:space="preserve"> tool for economy</w:t>
      </w:r>
      <w:r w:rsidR="00C44D1D">
        <w:noBreakHyphen/>
      </w:r>
      <w:r>
        <w:t>wide regulation measurement</w:t>
      </w:r>
      <w:r w:rsidR="001956A4">
        <w:t xml:space="preserve"> (Institute of Public Affairs, sub.</w:t>
      </w:r>
      <w:r w:rsidR="00AC364C">
        <w:t> </w:t>
      </w:r>
      <w:r w:rsidR="0088638D">
        <w:t>141, p.</w:t>
      </w:r>
      <w:r w:rsidR="00AC364C">
        <w:t> </w:t>
      </w:r>
      <w:r w:rsidR="00F601EE">
        <w:t>2</w:t>
      </w:r>
      <w:r w:rsidR="0088638D">
        <w:t>)</w:t>
      </w:r>
      <w:r>
        <w:t>.</w:t>
      </w:r>
      <w:r w:rsidRPr="00BB149F">
        <w:t xml:space="preserve"> </w:t>
      </w:r>
      <w:r>
        <w:t>We also received suggestions relating to measuring regulation in individual sectors.</w:t>
      </w:r>
    </w:p>
    <w:p w14:paraId="03795A5F" w14:textId="5AA22E7B" w:rsidR="008752B1" w:rsidRDefault="008752B1" w:rsidP="008752B1">
      <w:pPr>
        <w:pStyle w:val="Quote"/>
      </w:pPr>
      <w:r>
        <w:t>The Commonwealth should adopt a harmonised set of core metrics that enable economy</w:t>
      </w:r>
      <w:r w:rsidR="00C44D1D">
        <w:noBreakHyphen/>
      </w:r>
      <w:r>
        <w:t>wide monitoring and oversight of regulatory effectiveness and impact. This should include measures on timeliness, duplication, burden, as well as the success of regulatory frameworks to deliver a net intended benefit. (</w:t>
      </w:r>
      <w:r w:rsidR="003C7DF0">
        <w:t>CropLife Australia</w:t>
      </w:r>
      <w:r>
        <w:t>, sub.</w:t>
      </w:r>
      <w:r w:rsidR="00AC364C">
        <w:t> </w:t>
      </w:r>
      <w:r>
        <w:t>118</w:t>
      </w:r>
      <w:r w:rsidR="00B569A1">
        <w:t>,</w:t>
      </w:r>
      <w:r>
        <w:t xml:space="preserve"> p.</w:t>
      </w:r>
      <w:r w:rsidR="00AC364C">
        <w:t> </w:t>
      </w:r>
      <w:r>
        <w:t>11)</w:t>
      </w:r>
    </w:p>
    <w:p w14:paraId="618CAD60" w14:textId="5587DDAA" w:rsidR="008752B1" w:rsidRDefault="003C7DF0" w:rsidP="008752B1">
      <w:pPr>
        <w:pStyle w:val="Quote"/>
      </w:pPr>
      <w:r>
        <w:t>A</w:t>
      </w:r>
      <w:r w:rsidR="008752B1" w:rsidRPr="00DC022D">
        <w:t>ny measure looking at the quality of regulation should capture the time and cost of complying with regulations. It should also consider the broader consultation environment, to ensure that consultation fatigue does not undermine thoughtful and considered engagement</w:t>
      </w:r>
      <w:r w:rsidR="00FB29F8">
        <w:t>.</w:t>
      </w:r>
      <w:r w:rsidR="008752B1">
        <w:t xml:space="preserve"> (Australian Investment Council, sub.</w:t>
      </w:r>
      <w:r w:rsidR="00AC364C">
        <w:t> </w:t>
      </w:r>
      <w:r w:rsidR="008752B1">
        <w:t>95, p.</w:t>
      </w:r>
      <w:r w:rsidR="00AC364C">
        <w:t> </w:t>
      </w:r>
      <w:r w:rsidR="008752B1">
        <w:t>4)</w:t>
      </w:r>
    </w:p>
    <w:p w14:paraId="6CE424EC" w14:textId="77777777" w:rsidR="008752B1" w:rsidRDefault="008752B1" w:rsidP="008752B1">
      <w:pPr>
        <w:pStyle w:val="Heading3"/>
      </w:pPr>
      <w:r>
        <w:t>Regulatory stewardship and balancing growth and regulatory outcomes</w:t>
      </w:r>
    </w:p>
    <w:p w14:paraId="076964E7" w14:textId="330AE323" w:rsidR="008752B1" w:rsidRDefault="004E13B7" w:rsidP="008752B1">
      <w:pPr>
        <w:pStyle w:val="BodyText"/>
      </w:pPr>
      <w:r>
        <w:t>Participants generally supported t</w:t>
      </w:r>
      <w:r w:rsidR="008752B1">
        <w:t>he concept of regulatory stewardship and giving regulators incentives and accountability to consider trade</w:t>
      </w:r>
      <w:r w:rsidR="00C44D1D">
        <w:noBreakHyphen/>
      </w:r>
      <w:r w:rsidR="008752B1">
        <w:t>offs between regulatory outcomes and growth.</w:t>
      </w:r>
    </w:p>
    <w:p w14:paraId="7150AC6F" w14:textId="1A7CF3B7" w:rsidR="008752B1" w:rsidRDefault="003C7DF0" w:rsidP="008752B1">
      <w:pPr>
        <w:pStyle w:val="Quote"/>
      </w:pPr>
      <w:r>
        <w:t>T</w:t>
      </w:r>
      <w:r w:rsidR="008752B1" w:rsidRPr="00923580">
        <w:t xml:space="preserve">he </w:t>
      </w:r>
      <w:r w:rsidR="00870FDF">
        <w:t>[NSW Small Business]</w:t>
      </w:r>
      <w:r w:rsidR="008752B1" w:rsidRPr="00923580">
        <w:t xml:space="preserve"> Commission supports regulatory stewardship, where government agencies are incentivised to actively manage their regulatory stock, assess impacts in a consistent and transparent manner and respond to stakeholder feedback throughout the policy lifecycle. </w:t>
      </w:r>
      <w:r w:rsidR="008752B1">
        <w:t>(NSW Small Business Commission, qr. 76 attachment, p.</w:t>
      </w:r>
      <w:r w:rsidR="00AC364C">
        <w:t> </w:t>
      </w:r>
      <w:r w:rsidR="008752B1">
        <w:t>3)</w:t>
      </w:r>
    </w:p>
    <w:p w14:paraId="3EF41935" w14:textId="67DEA374" w:rsidR="008752B1" w:rsidRDefault="008752B1" w:rsidP="008752B1">
      <w:pPr>
        <w:pStyle w:val="Quote"/>
      </w:pPr>
      <w:r>
        <w:t xml:space="preserve">Regulatory stewardship within the </w:t>
      </w:r>
      <w:r w:rsidR="00665C25">
        <w:t>[Australian Public Service]</w:t>
      </w:r>
      <w:r>
        <w:t xml:space="preserve"> </w:t>
      </w:r>
      <w:r w:rsidR="00665C25">
        <w:t>(</w:t>
      </w:r>
      <w:r>
        <w:t>APS</w:t>
      </w:r>
      <w:r w:rsidR="00665C25">
        <w:t>)</w:t>
      </w:r>
      <w:r>
        <w:t xml:space="preserve"> should therefore encompass regular assessment of the cumulative impact of regulatory requirements on industry viability, with </w:t>
      </w:r>
      <w:r w:rsidR="003C7DF0">
        <w:t>agencies</w:t>
      </w:r>
      <w:r>
        <w:t xml:space="preserve"> … conducting comprehensive regulatory impact assessments that weigh compliance costs against public benefits. (Free TV Australia, sub.</w:t>
      </w:r>
      <w:r w:rsidR="00AC364C">
        <w:t> </w:t>
      </w:r>
      <w:r>
        <w:t>199, p.</w:t>
      </w:r>
      <w:r w:rsidR="00AC364C">
        <w:t> </w:t>
      </w:r>
      <w:r>
        <w:t>3)</w:t>
      </w:r>
    </w:p>
    <w:p w14:paraId="523BD1A2" w14:textId="469A72B2" w:rsidR="008752B1" w:rsidRDefault="00F66B81" w:rsidP="008752B1">
      <w:pPr>
        <w:pStyle w:val="BodyText"/>
      </w:pPr>
      <w:r>
        <w:t xml:space="preserve">Most participants supported our </w:t>
      </w:r>
      <w:r w:rsidR="00D67E45">
        <w:t xml:space="preserve">draft </w:t>
      </w:r>
      <w:r>
        <w:t xml:space="preserve">recommendation on improving regulatory practice and embedding regulatory stewardship. </w:t>
      </w:r>
      <w:r w:rsidR="008752B1">
        <w:t xml:space="preserve">However, a few submissions expressed concern that the focus of regulators should be on regulatory </w:t>
      </w:r>
      <w:proofErr w:type="gramStart"/>
      <w:r w:rsidR="008752B1">
        <w:t>outcomes</w:t>
      </w:r>
      <w:r w:rsidR="008915F8">
        <w:t>, and</w:t>
      </w:r>
      <w:proofErr w:type="gramEnd"/>
      <w:r w:rsidR="008915F8">
        <w:t xml:space="preserve"> did not support </w:t>
      </w:r>
      <w:r w:rsidR="00B52CC4">
        <w:t>the</w:t>
      </w:r>
      <w:r w:rsidR="008915F8">
        <w:t xml:space="preserve"> recommendation to make them accountable for</w:t>
      </w:r>
      <w:r w:rsidR="008752B1">
        <w:t xml:space="preserve"> growth.</w:t>
      </w:r>
    </w:p>
    <w:p w14:paraId="5BE60DD7" w14:textId="61135849" w:rsidR="008752B1" w:rsidRDefault="008752B1" w:rsidP="008752B1">
      <w:pPr>
        <w:pStyle w:val="Quote"/>
      </w:pPr>
      <w:r>
        <w:t xml:space="preserve">The expectation that public servants should be ‘accountable’ for growth, competition and innovation creates a problematic and potentially dangerous set of incentives for regulators … </w:t>
      </w:r>
      <w:r w:rsidR="003C7DF0">
        <w:t>I</w:t>
      </w:r>
      <w:r>
        <w:t>f the public servants who staff these regulatory bodies are going to be held accountable for business growth, rather than quality care outcomes, this may incentivise them to avoid enforcing the necessary standards. (United Workers’ Union, sub.</w:t>
      </w:r>
      <w:r w:rsidR="00AC364C">
        <w:t> </w:t>
      </w:r>
      <w:r>
        <w:t>153, p.</w:t>
      </w:r>
      <w:r w:rsidR="00AC364C">
        <w:t> </w:t>
      </w:r>
      <w:r>
        <w:t>12)</w:t>
      </w:r>
    </w:p>
    <w:p w14:paraId="23ADD0B7" w14:textId="08F4528E" w:rsidR="008752B1" w:rsidRDefault="008752B1" w:rsidP="008752B1">
      <w:pPr>
        <w:pStyle w:val="BodyText"/>
      </w:pPr>
      <w:r>
        <w:lastRenderedPageBreak/>
        <w:t xml:space="preserve">We received several suggestions from participants about how to better embed regulatory stewardship within the public service. Statements of expectation and guidance from central government were generally considered to be the main tools. Participants suggested that central agencies could embed regulatory stewardship through examples of what it looks like, defining best practice, and supporting change management. </w:t>
      </w:r>
      <w:r w:rsidR="00902F3C">
        <w:t>They also considered a</w:t>
      </w:r>
      <w:r>
        <w:t xml:space="preserve">ccountability and transparency </w:t>
      </w:r>
      <w:r w:rsidR="00902F3C">
        <w:t>to be</w:t>
      </w:r>
      <w:r>
        <w:t xml:space="preserve"> important. </w:t>
      </w:r>
    </w:p>
    <w:p w14:paraId="77D96876" w14:textId="253EB9F0" w:rsidR="008752B1" w:rsidRDefault="008752B1" w:rsidP="008752B1">
      <w:pPr>
        <w:pStyle w:val="Quote"/>
      </w:pPr>
      <w:r w:rsidRPr="00A1705C">
        <w:t xml:space="preserve">While statements of expectation are key levers, the </w:t>
      </w:r>
      <w:r w:rsidR="00F25D9E">
        <w:t>[</w:t>
      </w:r>
      <w:r w:rsidR="00F25D9E" w:rsidRPr="00A1705C">
        <w:t>A</w:t>
      </w:r>
      <w:r w:rsidR="00F25D9E">
        <w:t xml:space="preserve">ustralian </w:t>
      </w:r>
      <w:r w:rsidR="00F25D9E" w:rsidRPr="00A1705C">
        <w:t>I</w:t>
      </w:r>
      <w:r w:rsidR="00F25D9E">
        <w:t xml:space="preserve">nstitute of </w:t>
      </w:r>
      <w:r w:rsidR="00F25D9E" w:rsidRPr="00A1705C">
        <w:t>C</w:t>
      </w:r>
      <w:r w:rsidR="00F25D9E">
        <w:t xml:space="preserve">ompany </w:t>
      </w:r>
      <w:r w:rsidR="00F25D9E" w:rsidRPr="00A1705C">
        <w:t>D</w:t>
      </w:r>
      <w:r w:rsidR="00F25D9E">
        <w:t>irectors]</w:t>
      </w:r>
      <w:r w:rsidRPr="00A1705C">
        <w:t xml:space="preserve"> also emphasises the importance of: reviewing and strengthening existing frameworks for transparency and accountability </w:t>
      </w:r>
      <w:r>
        <w:t xml:space="preserve">… </w:t>
      </w:r>
      <w:r w:rsidRPr="00A1705C">
        <w:t>focusing parliamentary scrutiny on regulatory stewardship performance;</w:t>
      </w:r>
      <w:r w:rsidR="00C44D1D">
        <w:t xml:space="preserve"> </w:t>
      </w:r>
      <w:r w:rsidRPr="00A1705C">
        <w:t>taking a co</w:t>
      </w:r>
      <w:r w:rsidR="00C44D1D">
        <w:noBreakHyphen/>
      </w:r>
      <w:r w:rsidRPr="00A1705C">
        <w:t>ordinated approach to regulation across government departments, and requiring regulators to do the same; and through the Australian Public Service Commission, embedding continuous improvement through consideration of, and, where appropriate, adoption of, best</w:t>
      </w:r>
      <w:r w:rsidR="00C44D1D">
        <w:noBreakHyphen/>
      </w:r>
      <w:r w:rsidRPr="00A1705C">
        <w:t>practice regulatory stewardship approaches</w:t>
      </w:r>
      <w:r w:rsidR="00B51E6D">
        <w:t>.</w:t>
      </w:r>
      <w:r>
        <w:t xml:space="preserve"> (</w:t>
      </w:r>
      <w:r w:rsidR="00A935DB">
        <w:t>AICD</w:t>
      </w:r>
      <w:r>
        <w:t>, sub.</w:t>
      </w:r>
      <w:r w:rsidR="00AC364C">
        <w:t> </w:t>
      </w:r>
      <w:r>
        <w:t>180, p.</w:t>
      </w:r>
      <w:r w:rsidR="00AC364C">
        <w:t> </w:t>
      </w:r>
      <w:r>
        <w:t>12)</w:t>
      </w:r>
    </w:p>
    <w:p w14:paraId="337F23C2" w14:textId="4B5CB1FA" w:rsidR="008752B1" w:rsidRPr="008F03FD" w:rsidRDefault="008752B1" w:rsidP="008752B1">
      <w:pPr>
        <w:pStyle w:val="Quote"/>
      </w:pPr>
      <w:r>
        <w:t>Consult Australia recommends regulatory stewardship, including risk identification be included in the Australian Public Service (APS) capability framework, particularly the integrated leadership system, as one of the key capabilities and requirements for all APS levels. This could be supported through specific training and development. (Consult Australia, sub.</w:t>
      </w:r>
      <w:r w:rsidR="00AC364C">
        <w:t> </w:t>
      </w:r>
      <w:r>
        <w:t>100, p.</w:t>
      </w:r>
      <w:r w:rsidR="00AC364C">
        <w:t> </w:t>
      </w:r>
      <w:r>
        <w:t>8)</w:t>
      </w:r>
    </w:p>
    <w:p w14:paraId="2F8B8EB6" w14:textId="2EEB5641" w:rsidR="008752B1" w:rsidRPr="00D72DD7" w:rsidRDefault="00B70137" w:rsidP="008752B1">
      <w:pPr>
        <w:pStyle w:val="BodyText"/>
      </w:pPr>
      <w:r>
        <w:t>Submissions recognised that t</w:t>
      </w:r>
      <w:r w:rsidR="008752B1">
        <w:t xml:space="preserve">echnology (including </w:t>
      </w:r>
      <w:proofErr w:type="spellStart"/>
      <w:r w:rsidR="008752B1">
        <w:t>RegTech</w:t>
      </w:r>
      <w:proofErr w:type="spellEnd"/>
      <w:r w:rsidR="008752B1">
        <w:t xml:space="preserve">) and data sharing </w:t>
      </w:r>
      <w:r>
        <w:t>can be</w:t>
      </w:r>
      <w:r w:rsidR="008752B1">
        <w:t xml:space="preserve"> enablers of better regulatory stewardship.</w:t>
      </w:r>
      <w:r w:rsidR="00D8009E">
        <w:t xml:space="preserve"> And some</w:t>
      </w:r>
      <w:r w:rsidR="00D8009E">
        <w:rPr>
          <w:lang w:eastAsia="en-AU"/>
        </w:rPr>
        <w:t xml:space="preserve"> </w:t>
      </w:r>
      <w:r w:rsidR="007B0507">
        <w:rPr>
          <w:lang w:eastAsia="en-AU"/>
        </w:rPr>
        <w:t>proposed</w:t>
      </w:r>
      <w:r w:rsidR="00D8009E">
        <w:rPr>
          <w:lang w:eastAsia="en-AU"/>
        </w:rPr>
        <w:t xml:space="preserve"> appropriations and financial incentives as levers, with </w:t>
      </w:r>
      <w:r w:rsidR="007B0507">
        <w:rPr>
          <w:lang w:eastAsia="en-AU"/>
        </w:rPr>
        <w:t>suggestions</w:t>
      </w:r>
      <w:r w:rsidR="00D8009E">
        <w:rPr>
          <w:lang w:eastAsia="en-AU"/>
        </w:rPr>
        <w:t xml:space="preserve"> that cost recovery does not incentivise regulatory reform.</w:t>
      </w:r>
    </w:p>
    <w:p w14:paraId="17EEAFAA" w14:textId="1FD21646" w:rsidR="008752B1" w:rsidRPr="00690817" w:rsidRDefault="008752B1" w:rsidP="008752B1">
      <w:pPr>
        <w:pStyle w:val="Quote"/>
        <w:rPr>
          <w:lang w:eastAsia="en-AU"/>
        </w:rPr>
      </w:pPr>
      <w:r w:rsidRPr="00690817">
        <w:rPr>
          <w:lang w:eastAsia="en-AU"/>
        </w:rPr>
        <w:t>CPA Australia recommends that all levels of government</w:t>
      </w:r>
      <w:r>
        <w:rPr>
          <w:lang w:eastAsia="en-AU"/>
        </w:rPr>
        <w:t xml:space="preserve"> … </w:t>
      </w:r>
      <w:r w:rsidRPr="00690817">
        <w:rPr>
          <w:lang w:eastAsia="en-AU"/>
        </w:rPr>
        <w:t>increase its investment in technology and data infrastructure to streamline interactions between business, advisers and government </w:t>
      </w:r>
      <w:r>
        <w:rPr>
          <w:lang w:eastAsia="en-AU"/>
        </w:rPr>
        <w:t xml:space="preserve">[and] </w:t>
      </w:r>
      <w:r w:rsidRPr="00690817">
        <w:rPr>
          <w:lang w:eastAsia="en-AU"/>
        </w:rPr>
        <w:t xml:space="preserve">support the development of </w:t>
      </w:r>
      <w:proofErr w:type="spellStart"/>
      <w:r w:rsidRPr="00690817">
        <w:rPr>
          <w:lang w:eastAsia="en-AU"/>
        </w:rPr>
        <w:t>RegTech</w:t>
      </w:r>
      <w:proofErr w:type="spellEnd"/>
      <w:r w:rsidRPr="00690817">
        <w:rPr>
          <w:lang w:eastAsia="en-AU"/>
        </w:rPr>
        <w:t xml:space="preserve"> solutions to reduce compliance costs and administrative burdens. </w:t>
      </w:r>
      <w:r>
        <w:rPr>
          <w:lang w:eastAsia="en-AU"/>
        </w:rPr>
        <w:t>(CPA Australia, sub.</w:t>
      </w:r>
      <w:r w:rsidR="00AC364C">
        <w:rPr>
          <w:lang w:eastAsia="en-AU"/>
        </w:rPr>
        <w:t> </w:t>
      </w:r>
      <w:r>
        <w:rPr>
          <w:lang w:eastAsia="en-AU"/>
        </w:rPr>
        <w:t>109, p.</w:t>
      </w:r>
      <w:r w:rsidR="00AC364C">
        <w:rPr>
          <w:lang w:eastAsia="en-AU"/>
        </w:rPr>
        <w:t> </w:t>
      </w:r>
      <w:r w:rsidR="00164633">
        <w:rPr>
          <w:lang w:eastAsia="en-AU"/>
        </w:rPr>
        <w:t>5</w:t>
      </w:r>
      <w:r>
        <w:rPr>
          <w:lang w:eastAsia="en-AU"/>
        </w:rPr>
        <w:t>)</w:t>
      </w:r>
    </w:p>
    <w:p w14:paraId="38478C6C" w14:textId="6534FD35" w:rsidR="008752B1" w:rsidRDefault="008752B1" w:rsidP="008752B1">
      <w:pPr>
        <w:pStyle w:val="Quote"/>
      </w:pPr>
      <w:r w:rsidRPr="00AF1B21">
        <w:t>Another contributor to rising compliance costs is the increasing reliance on full</w:t>
      </w:r>
      <w:r w:rsidR="00C44D1D">
        <w:noBreakHyphen/>
      </w:r>
      <w:r w:rsidRPr="00AF1B21">
        <w:t>cost recovery models by regulatory agencies. While intended to sustain the ongoing operations, this model provides little incentive for the regulatory agency to pursue efficiency. Instead, costs have steadily increased alongside the complexity of regulations.</w:t>
      </w:r>
      <w:r>
        <w:t xml:space="preserve"> (</w:t>
      </w:r>
      <w:r w:rsidR="00A935DB">
        <w:t>ACCI</w:t>
      </w:r>
      <w:r>
        <w:t>, sub.</w:t>
      </w:r>
      <w:r w:rsidR="00AC364C">
        <w:t> </w:t>
      </w:r>
      <w:r>
        <w:t>17, p.</w:t>
      </w:r>
      <w:r w:rsidR="00AC364C">
        <w:t> </w:t>
      </w:r>
      <w:r>
        <w:t>6)</w:t>
      </w:r>
    </w:p>
    <w:p w14:paraId="2BE2E05B" w14:textId="02453834" w:rsidR="008752B1" w:rsidRDefault="008752B1" w:rsidP="008752B1">
      <w:pPr>
        <w:pStyle w:val="BodyText"/>
      </w:pPr>
      <w:r>
        <w:t>A few participants expressed concern that guidance or expectations would</w:t>
      </w:r>
      <w:r w:rsidR="00C44D1D">
        <w:t xml:space="preserve"> not</w:t>
      </w:r>
      <w:r>
        <w:t xml:space="preserve"> be sufficient, and that mandatory targets, KPIs or legislation might be necessary.</w:t>
      </w:r>
    </w:p>
    <w:p w14:paraId="39C5C3B9" w14:textId="64681D3F" w:rsidR="008752B1" w:rsidRDefault="008752B1" w:rsidP="008752B1">
      <w:pPr>
        <w:pStyle w:val="Quote"/>
      </w:pPr>
      <w:r>
        <w:t>The Commission’s proposals to clarify the risk tolerance of ministers, and support public servants to become regulatory stewards, would encourage a broader focus and a less prescriptive regulatory approach. Yet they would not require it. And in the absence of such a requirement, it is rational for public servants to focus their limited time and resources on what their agency must deliver. (Australian Energy Producers, sub.</w:t>
      </w:r>
      <w:r w:rsidR="00AC364C">
        <w:t> </w:t>
      </w:r>
      <w:r>
        <w:t>142, p.</w:t>
      </w:r>
      <w:r w:rsidR="00AC364C">
        <w:t> </w:t>
      </w:r>
      <w:r>
        <w:t>7)</w:t>
      </w:r>
    </w:p>
    <w:p w14:paraId="72F260AD" w14:textId="185C8D1F" w:rsidR="008752B1" w:rsidRPr="00BD2B93" w:rsidRDefault="008752B1" w:rsidP="008752B1">
      <w:pPr>
        <w:pStyle w:val="Quote"/>
      </w:pPr>
      <w:r>
        <w:t xml:space="preserve">Mandatory KPIs should be applied where possible with financial consequences for failing to meet them (in place of the “target” KPIs in place </w:t>
      </w:r>
      <w:proofErr w:type="gramStart"/>
      <w:r>
        <w:t>at the moment</w:t>
      </w:r>
      <w:proofErr w:type="gramEnd"/>
      <w:r>
        <w:t>)</w:t>
      </w:r>
      <w:r w:rsidR="009A185A">
        <w:t>.</w:t>
      </w:r>
      <w:r>
        <w:t xml:space="preserve"> (Consumer Healthcare Products Australia, sub.</w:t>
      </w:r>
      <w:r w:rsidR="00AC364C">
        <w:t> </w:t>
      </w:r>
      <w:r>
        <w:t>198, p.</w:t>
      </w:r>
      <w:r w:rsidR="00AC364C">
        <w:t> </w:t>
      </w:r>
      <w:r>
        <w:t>3)</w:t>
      </w:r>
    </w:p>
    <w:p w14:paraId="5773D032" w14:textId="238B591E" w:rsidR="008752B1" w:rsidRDefault="008752B1" w:rsidP="008752B1">
      <w:pPr>
        <w:pStyle w:val="BodyText"/>
        <w:rPr>
          <w:lang w:eastAsia="en-AU"/>
        </w:rPr>
      </w:pPr>
      <w:r>
        <w:t xml:space="preserve">But others were concerned that KPIs could add to the reporting burden without meaningful </w:t>
      </w:r>
      <w:proofErr w:type="gramStart"/>
      <w:r>
        <w:t>improvement, and</w:t>
      </w:r>
      <w:proofErr w:type="gramEnd"/>
      <w:r>
        <w:t xml:space="preserve"> instead </w:t>
      </w:r>
      <w:r w:rsidR="0008170D">
        <w:t xml:space="preserve">expressed </w:t>
      </w:r>
      <w:r>
        <w:rPr>
          <w:lang w:eastAsia="en-AU"/>
        </w:rPr>
        <w:t>support public servants exercising their judgement for the public good.</w:t>
      </w:r>
    </w:p>
    <w:p w14:paraId="07F68477" w14:textId="480818B9" w:rsidR="00B756DB" w:rsidRDefault="008752B1" w:rsidP="00B756DB">
      <w:pPr>
        <w:pStyle w:val="Quote"/>
      </w:pPr>
      <w:r w:rsidRPr="00B12672">
        <w:t>Holding people to account for KPIs means more reporting. This absorbs everyone’s time and achieves very little. If the overall expectations are not being met in a timely manner, this will quickly become apparent. The quality of management is the key in public service performance.</w:t>
      </w:r>
      <w:r>
        <w:t xml:space="preserve"> (Ian Coombes, sub.</w:t>
      </w:r>
      <w:r w:rsidR="00AC364C">
        <w:t> </w:t>
      </w:r>
      <w:r>
        <w:t>103, p.</w:t>
      </w:r>
      <w:r w:rsidR="00AC364C">
        <w:t> </w:t>
      </w:r>
      <w:r>
        <w:t>6)</w:t>
      </w:r>
      <w:r w:rsidR="00B756DB">
        <w:br w:type="page"/>
      </w:r>
    </w:p>
    <w:p w14:paraId="2E012EF3" w14:textId="490421EE" w:rsidR="007454B5" w:rsidRPr="00F02289" w:rsidRDefault="006E62A6" w:rsidP="00421263">
      <w:pPr>
        <w:pStyle w:val="Heading1-nobackground"/>
      </w:pPr>
      <w:bookmarkStart w:id="13" w:name="_Toc215092973"/>
      <w:r w:rsidRPr="00F02289">
        <w:lastRenderedPageBreak/>
        <w:t>Emerging</w:t>
      </w:r>
      <w:r w:rsidR="007454B5" w:rsidRPr="00F02289">
        <w:t xml:space="preserve"> reform ideas</w:t>
      </w:r>
      <w:bookmarkEnd w:id="13"/>
    </w:p>
    <w:p w14:paraId="4BA5ABC0" w14:textId="273EC479" w:rsidR="00AF1D1A" w:rsidRPr="00F02289" w:rsidRDefault="00FE65BA" w:rsidP="0041246D">
      <w:pPr>
        <w:pStyle w:val="BodyText"/>
      </w:pPr>
      <w:r w:rsidRPr="00F02289">
        <w:t xml:space="preserve">During the </w:t>
      </w:r>
      <w:r w:rsidR="00A43B2F" w:rsidRPr="00F02289">
        <w:t>consultation</w:t>
      </w:r>
      <w:r w:rsidRPr="00F02289">
        <w:t xml:space="preserve"> process </w:t>
      </w:r>
      <w:r w:rsidR="00621BE8" w:rsidRPr="00F02289">
        <w:t xml:space="preserve">participants raised some reform ideas that were outside of the scope of this inquiry. Some of the ideas are </w:t>
      </w:r>
      <w:r w:rsidR="00A43B2F" w:rsidRPr="00F02289">
        <w:t>outlined below.</w:t>
      </w:r>
    </w:p>
    <w:p w14:paraId="60245B8A" w14:textId="3E648375" w:rsidR="00A47A4F" w:rsidRPr="00F02289" w:rsidRDefault="00307371" w:rsidP="00307371">
      <w:pPr>
        <w:pStyle w:val="Heading2-nonumber"/>
      </w:pPr>
      <w:bookmarkStart w:id="14" w:name="_Toc215092974"/>
      <w:r>
        <w:t>Tax reforms outside of the corporate tax system</w:t>
      </w:r>
      <w:bookmarkEnd w:id="14"/>
    </w:p>
    <w:p w14:paraId="5ED451B1" w14:textId="79FB9A84" w:rsidR="00993186" w:rsidRDefault="00A23D2A" w:rsidP="00A23D2A">
      <w:pPr>
        <w:pStyle w:val="BodyText"/>
      </w:pPr>
      <w:r w:rsidRPr="00922710">
        <w:t xml:space="preserve">Many submissions suggested that investment could be best supported by measures beyond the corporate tax system. </w:t>
      </w:r>
    </w:p>
    <w:p w14:paraId="327A38F3" w14:textId="1D610A28" w:rsidR="00A23D2A" w:rsidRPr="00922710" w:rsidRDefault="00993186" w:rsidP="00C2054E">
      <w:pPr>
        <w:pStyle w:val="Quote"/>
      </w:pPr>
      <w:r w:rsidRPr="00993186">
        <w:rPr>
          <w:lang w:val="en-US"/>
        </w:rPr>
        <w:t>CPA Australia supports recalibrating the overall tax mix to reduce Australia’s over</w:t>
      </w:r>
      <w:r w:rsidR="00C44D1D">
        <w:rPr>
          <w:lang w:val="en-US"/>
        </w:rPr>
        <w:noBreakHyphen/>
      </w:r>
      <w:r w:rsidRPr="00993186">
        <w:rPr>
          <w:lang w:val="en-US"/>
        </w:rPr>
        <w:t>reliance on personal and corporate income taxes, and exploring the broader use of consumption taxes, including GST. Compared to most advanced economies, Australia’s tax system draws a disproportionate share of revenue from income taxes, resulting in a relatively narrow and volatile revenue base.</w:t>
      </w:r>
      <w:r w:rsidRPr="00993186">
        <w:t xml:space="preserve"> </w:t>
      </w:r>
      <w:r w:rsidR="00A23D2A" w:rsidRPr="00922710">
        <w:t>(</w:t>
      </w:r>
      <w:r w:rsidR="00C2054E">
        <w:t xml:space="preserve">CPA Australia, </w:t>
      </w:r>
      <w:r w:rsidR="00A23D2A" w:rsidRPr="00922710">
        <w:t>sub.</w:t>
      </w:r>
      <w:r w:rsidR="00AC364C">
        <w:t> </w:t>
      </w:r>
      <w:r w:rsidR="00A23D2A" w:rsidRPr="00922710">
        <w:t xml:space="preserve">109, p. 2). </w:t>
      </w:r>
    </w:p>
    <w:p w14:paraId="005764DA" w14:textId="005B2411" w:rsidR="00871923" w:rsidRPr="00B756DB" w:rsidRDefault="00A23D2A" w:rsidP="00A23D2A">
      <w:pPr>
        <w:pStyle w:val="BodyText"/>
        <w:rPr>
          <w:spacing w:val="2"/>
        </w:rPr>
      </w:pPr>
      <w:r w:rsidRPr="00B756DB">
        <w:rPr>
          <w:spacing w:val="2"/>
        </w:rPr>
        <w:t>Other suggestions covered areas including low tax zones</w:t>
      </w:r>
      <w:r w:rsidR="00271E34" w:rsidRPr="00B756DB">
        <w:rPr>
          <w:spacing w:val="2"/>
        </w:rPr>
        <w:t>,</w:t>
      </w:r>
      <w:r w:rsidRPr="00B756DB">
        <w:rPr>
          <w:spacing w:val="2"/>
        </w:rPr>
        <w:t xml:space="preserve"> reforms to conveyancing duties, insurance taxes and payroll taxes, simplified fringe benefits tax, a gross receipts tax, broad</w:t>
      </w:r>
      <w:r w:rsidR="00C44D1D" w:rsidRPr="00B756DB">
        <w:rPr>
          <w:spacing w:val="2"/>
        </w:rPr>
        <w:noBreakHyphen/>
      </w:r>
      <w:r w:rsidRPr="00B756DB">
        <w:rPr>
          <w:spacing w:val="2"/>
        </w:rPr>
        <w:t>based wealth taxes, and sectoral rent taxes.</w:t>
      </w:r>
      <w:r w:rsidR="00D32C76" w:rsidRPr="00B756DB">
        <w:rPr>
          <w:spacing w:val="2"/>
        </w:rPr>
        <w:t xml:space="preserve"> </w:t>
      </w:r>
    </w:p>
    <w:p w14:paraId="358B7BFE" w14:textId="54A0633A" w:rsidR="00A23D2A" w:rsidRPr="00952A98" w:rsidRDefault="00D32C76" w:rsidP="00A23D2A">
      <w:pPr>
        <w:pStyle w:val="BodyText"/>
        <w:rPr>
          <w:spacing w:val="-4"/>
        </w:rPr>
      </w:pPr>
      <w:proofErr w:type="gramStart"/>
      <w:r w:rsidRPr="00952A98">
        <w:rPr>
          <w:spacing w:val="-4"/>
        </w:rPr>
        <w:t>A large number of</w:t>
      </w:r>
      <w:proofErr w:type="gramEnd"/>
      <w:r w:rsidRPr="00952A98">
        <w:rPr>
          <w:spacing w:val="-4"/>
        </w:rPr>
        <w:t xml:space="preserve"> submissions also suggested that improving </w:t>
      </w:r>
      <w:r w:rsidR="001B03B7" w:rsidRPr="00952A98">
        <w:rPr>
          <w:spacing w:val="-4"/>
        </w:rPr>
        <w:t>tax treatment of R&amp;D</w:t>
      </w:r>
      <w:r w:rsidRPr="00952A98">
        <w:rPr>
          <w:spacing w:val="-4"/>
        </w:rPr>
        <w:t xml:space="preserve"> </w:t>
      </w:r>
      <w:r w:rsidR="00E83D54" w:rsidRPr="00952A98">
        <w:rPr>
          <w:spacing w:val="-4"/>
        </w:rPr>
        <w:t xml:space="preserve">could </w:t>
      </w:r>
      <w:r w:rsidRPr="00952A98">
        <w:rPr>
          <w:spacing w:val="-4"/>
        </w:rPr>
        <w:t>help boost investment.</w:t>
      </w:r>
    </w:p>
    <w:p w14:paraId="02CF4704" w14:textId="77777777" w:rsidR="00B3124B" w:rsidRDefault="00ED3B47" w:rsidP="00ED3B47">
      <w:pPr>
        <w:pStyle w:val="Quote"/>
      </w:pPr>
      <w:r>
        <w:t>O</w:t>
      </w:r>
      <w:r w:rsidRPr="00ED3B47">
        <w:t>ur view is that the desired outcomes are much better achieved through existing mechanisms including</w:t>
      </w:r>
      <w:r w:rsidR="00B0775A">
        <w:t xml:space="preserve">: … </w:t>
      </w:r>
    </w:p>
    <w:p w14:paraId="215BB968" w14:textId="650A090C" w:rsidR="00D32C76" w:rsidRDefault="00CF12B4" w:rsidP="00B3124B">
      <w:pPr>
        <w:pStyle w:val="QuoteBullet"/>
      </w:pPr>
      <w:r w:rsidRPr="00CF12B4">
        <w:t>improved Research &amp; Development provisions</w:t>
      </w:r>
      <w:r>
        <w:t>. (</w:t>
      </w:r>
      <w:r w:rsidRPr="00CF12B4">
        <w:t>C</w:t>
      </w:r>
      <w:r w:rsidR="00AA06C5">
        <w:t>ouncil of Small Business Associations of Australia,</w:t>
      </w:r>
      <w:r w:rsidRPr="00CF12B4">
        <w:t xml:space="preserve"> sub.</w:t>
      </w:r>
      <w:r w:rsidR="00AC364C">
        <w:t> </w:t>
      </w:r>
      <w:r w:rsidRPr="00CF12B4">
        <w:t>110</w:t>
      </w:r>
      <w:r>
        <w:t>, p.</w:t>
      </w:r>
      <w:r w:rsidR="00AC364C">
        <w:t> </w:t>
      </w:r>
      <w:r>
        <w:t>2)</w:t>
      </w:r>
    </w:p>
    <w:p w14:paraId="339B2E73" w14:textId="15EED762" w:rsidR="00701E98" w:rsidRPr="00701E98" w:rsidRDefault="00701E98" w:rsidP="00701E98">
      <w:pPr>
        <w:pStyle w:val="Quote"/>
      </w:pPr>
      <w:r w:rsidRPr="00701E98">
        <w:t>On corporate tax reform, we support measures that incentivise business investment in R&amp;D and innovation. Australia must lift business investment in R&amp;D – currently at 0.90 percent of GDP, down from 1.37 percent pre– Global Financial Crisis – if Australia is to achieve the 3 percent target outlined in our decadal plan</w:t>
      </w:r>
      <w:r>
        <w:t>. (</w:t>
      </w:r>
      <w:r w:rsidRPr="00701E98">
        <w:t>Group of Eight, sub.</w:t>
      </w:r>
      <w:r w:rsidR="00AC364C">
        <w:t> </w:t>
      </w:r>
      <w:r w:rsidRPr="00701E98">
        <w:t>145</w:t>
      </w:r>
      <w:r>
        <w:t>, p.</w:t>
      </w:r>
      <w:r w:rsidR="00AC364C">
        <w:t> </w:t>
      </w:r>
      <w:r w:rsidR="00EC7985">
        <w:t>2)</w:t>
      </w:r>
    </w:p>
    <w:p w14:paraId="01DF592D" w14:textId="7EA56C84" w:rsidR="007E36DC" w:rsidRPr="003D07A9" w:rsidRDefault="00E81811" w:rsidP="003D07A9">
      <w:pPr>
        <w:pStyle w:val="Quote"/>
      </w:pPr>
      <w:r w:rsidRPr="003D07A9">
        <w:t xml:space="preserve">To boost innovation, the government should target 2.5% of GDP for R&amp;D investment by 2026, while fostering collaboration between industry, state governments, and academia. This approach will encourage private sector investment and ensure Australia remains competitive in a rapidly evolving global market. </w:t>
      </w:r>
      <w:r w:rsidR="00F17B39">
        <w:t>(</w:t>
      </w:r>
      <w:r w:rsidR="000B1F4D" w:rsidRPr="003D07A9">
        <w:t>N</w:t>
      </w:r>
      <w:r w:rsidR="000B1F4D">
        <w:t>ational Electrical and Communications Association</w:t>
      </w:r>
      <w:r w:rsidR="00044D21" w:rsidRPr="003D07A9">
        <w:t>, sub.</w:t>
      </w:r>
      <w:r w:rsidR="00AC364C">
        <w:t> </w:t>
      </w:r>
      <w:r w:rsidR="00044D21" w:rsidRPr="003D07A9">
        <w:t>12, p.</w:t>
      </w:r>
      <w:r w:rsidR="00AC364C">
        <w:t> </w:t>
      </w:r>
      <w:r w:rsidR="001D4635" w:rsidRPr="003D07A9">
        <w:t>5)</w:t>
      </w:r>
    </w:p>
    <w:p w14:paraId="36A72F46" w14:textId="16D4A404" w:rsidR="00A23D2A" w:rsidRPr="00922710" w:rsidRDefault="00A23D2A" w:rsidP="00A23D2A">
      <w:pPr>
        <w:pStyle w:val="BodyText"/>
      </w:pPr>
      <w:r w:rsidRPr="00922710">
        <w:t xml:space="preserve">Additionally, some submissions </w:t>
      </w:r>
      <w:r w:rsidR="00775C86">
        <w:t>proposed</w:t>
      </w:r>
      <w:r w:rsidRPr="00922710">
        <w:t xml:space="preserve"> the PC should consider the corporate tax system more broadly in the context of relationships between federal, state and local government taxes, rates, levies and regulations. </w:t>
      </w:r>
    </w:p>
    <w:p w14:paraId="017B1645" w14:textId="7524D8A4" w:rsidR="00A25F69" w:rsidRPr="00F02289" w:rsidRDefault="002022AA" w:rsidP="00A25F69">
      <w:pPr>
        <w:pStyle w:val="Heading2-nonumber"/>
      </w:pPr>
      <w:bookmarkStart w:id="15" w:name="_Toc215092975"/>
      <w:r>
        <w:t>Capitalising on</w:t>
      </w:r>
      <w:r w:rsidR="00BA3DCB">
        <w:t xml:space="preserve"> technology and</w:t>
      </w:r>
      <w:r w:rsidR="00A25F69">
        <w:t xml:space="preserve"> innovation</w:t>
      </w:r>
      <w:bookmarkEnd w:id="15"/>
    </w:p>
    <w:p w14:paraId="4D3320D4" w14:textId="16F2DC17" w:rsidR="00FC770A" w:rsidRDefault="00DF2B2E" w:rsidP="00DF2B2E">
      <w:pPr>
        <w:pStyle w:val="BodyText"/>
      </w:pPr>
      <w:r>
        <w:t>Several submissions</w:t>
      </w:r>
      <w:r w:rsidR="00D0366A">
        <w:t xml:space="preserve"> made several s</w:t>
      </w:r>
      <w:r w:rsidR="00F47D34">
        <w:t>uggestions for reforms to ensure better use of technology</w:t>
      </w:r>
      <w:r w:rsidR="006F6C00">
        <w:t>, increasing productivity levels.</w:t>
      </w:r>
    </w:p>
    <w:p w14:paraId="56F6F995" w14:textId="76DF1492" w:rsidR="00FC770A" w:rsidRDefault="00E44179" w:rsidP="00FC770A">
      <w:pPr>
        <w:pStyle w:val="Quote"/>
      </w:pPr>
      <w:r>
        <w:t xml:space="preserve">Unless cyber security and </w:t>
      </w:r>
      <w:r w:rsidR="00942933">
        <w:t>[</w:t>
      </w:r>
      <w:r w:rsidR="00922540">
        <w:t>operational technology</w:t>
      </w:r>
      <w:r w:rsidR="00AA6DE4">
        <w:t>]</w:t>
      </w:r>
      <w:r w:rsidR="00922540">
        <w:t xml:space="preserve"> </w:t>
      </w:r>
      <w:r>
        <w:t>security are integrated into reforms across all pillars</w:t>
      </w:r>
      <w:r w:rsidR="00081137">
        <w:t>, reforms may fall short of their productivity potential. (Fortinet, sub.</w:t>
      </w:r>
      <w:r w:rsidR="00AC364C">
        <w:t> </w:t>
      </w:r>
      <w:r w:rsidR="00081137">
        <w:t>179, p.</w:t>
      </w:r>
      <w:r w:rsidR="00AC364C">
        <w:t> </w:t>
      </w:r>
      <w:r w:rsidR="00081137">
        <w:t>1)</w:t>
      </w:r>
    </w:p>
    <w:p w14:paraId="46CD72F6" w14:textId="156080BA" w:rsidR="00A23D2A" w:rsidRPr="00F35EDA" w:rsidRDefault="000C797B" w:rsidP="004A7195">
      <w:pPr>
        <w:pStyle w:val="Quote"/>
        <w:rPr>
          <w:spacing w:val="-4"/>
        </w:rPr>
      </w:pPr>
      <w:r w:rsidRPr="00F35EDA">
        <w:rPr>
          <w:spacing w:val="-4"/>
        </w:rPr>
        <w:lastRenderedPageBreak/>
        <w:t xml:space="preserve">The Australian Government should introduce a Small Business Technology Transfer (STTR) program to incentivise SMEs to engage with Australian research institutions on R&amp;D collaboration. </w:t>
      </w:r>
      <w:r w:rsidR="00EA3AC3" w:rsidRPr="00F35EDA">
        <w:rPr>
          <w:spacing w:val="-4"/>
        </w:rPr>
        <w:t>(Group of Eight, sub.</w:t>
      </w:r>
      <w:r w:rsidR="00AC364C" w:rsidRPr="00F35EDA">
        <w:rPr>
          <w:spacing w:val="-4"/>
        </w:rPr>
        <w:t> </w:t>
      </w:r>
      <w:r w:rsidR="00EA3AC3" w:rsidRPr="00F35EDA">
        <w:rPr>
          <w:spacing w:val="-4"/>
        </w:rPr>
        <w:t>38, p.</w:t>
      </w:r>
      <w:r w:rsidR="00AC364C" w:rsidRPr="00F35EDA">
        <w:rPr>
          <w:spacing w:val="-4"/>
        </w:rPr>
        <w:t> </w:t>
      </w:r>
      <w:r w:rsidR="00EA3AC3" w:rsidRPr="00F35EDA">
        <w:rPr>
          <w:spacing w:val="-4"/>
        </w:rPr>
        <w:t>2)</w:t>
      </w:r>
      <w:r w:rsidR="001F5A0C" w:rsidRPr="00F35EDA">
        <w:rPr>
          <w:spacing w:val="-4"/>
        </w:rPr>
        <w:t xml:space="preserve"> </w:t>
      </w:r>
    </w:p>
    <w:p w14:paraId="5C7E7116" w14:textId="7068C1A1" w:rsidR="006F6C00" w:rsidRPr="00F02289" w:rsidRDefault="006F6C00" w:rsidP="006F6C00">
      <w:pPr>
        <w:pStyle w:val="Heading2-nonumber"/>
      </w:pPr>
      <w:bookmarkStart w:id="16" w:name="_Toc215092976"/>
      <w:r>
        <w:t>Other ideas</w:t>
      </w:r>
      <w:bookmarkEnd w:id="16"/>
    </w:p>
    <w:p w14:paraId="248573F6" w14:textId="0872B348" w:rsidR="00C50E02" w:rsidRPr="00217B48" w:rsidRDefault="000F6B01" w:rsidP="00A23D2A">
      <w:pPr>
        <w:pStyle w:val="BodyText"/>
        <w:rPr>
          <w:spacing w:val="-4"/>
        </w:rPr>
      </w:pPr>
      <w:r w:rsidRPr="00217B48">
        <w:rPr>
          <w:spacing w:val="-4"/>
        </w:rPr>
        <w:t>There were several other suggestions for new policies or reforms that can help boost dynamism in the economy.</w:t>
      </w:r>
    </w:p>
    <w:p w14:paraId="6AA25A44" w14:textId="07161732" w:rsidR="00922710" w:rsidRDefault="00C7429A" w:rsidP="00C7429A">
      <w:pPr>
        <w:pStyle w:val="Quote"/>
      </w:pPr>
      <w:r w:rsidRPr="00C7429A">
        <w:t>I urge the Produc</w:t>
      </w:r>
      <w:r>
        <w:t>ti</w:t>
      </w:r>
      <w:r w:rsidRPr="00C7429A">
        <w:t>vity Commission to use its considerable influence with Federal Government to strongly recommend the substan</w:t>
      </w:r>
      <w:r>
        <w:t>ti</w:t>
      </w:r>
      <w:r w:rsidRPr="00C7429A">
        <w:t>al increase required to the li</w:t>
      </w:r>
      <w:r>
        <w:t>fti</w:t>
      </w:r>
      <w:r w:rsidRPr="00C7429A">
        <w:t>ng of the Jobseeker income so that it reaches at least the poverty line</w:t>
      </w:r>
      <w:r w:rsidR="00031289">
        <w:t>.</w:t>
      </w:r>
      <w:r w:rsidR="005E3FFD">
        <w:t xml:space="preserve"> (Michele Madigan, sub.</w:t>
      </w:r>
      <w:r w:rsidR="00AC364C">
        <w:t> </w:t>
      </w:r>
      <w:r w:rsidR="00A42320">
        <w:t>58</w:t>
      </w:r>
      <w:r w:rsidR="005E3FFD">
        <w:t>, p.</w:t>
      </w:r>
      <w:r w:rsidR="00AC364C">
        <w:t> </w:t>
      </w:r>
      <w:r w:rsidR="005E3FFD">
        <w:t>1)</w:t>
      </w:r>
    </w:p>
    <w:p w14:paraId="2E56D141" w14:textId="7BEB8087" w:rsidR="005428CA" w:rsidRPr="005428CA" w:rsidRDefault="005428CA" w:rsidP="005428CA">
      <w:pPr>
        <w:pStyle w:val="Quote"/>
      </w:pPr>
      <w:r w:rsidRPr="005428CA">
        <w:t>With the sector now topping 2,470 businesses employing approximately 358,000 people, there has been</w:t>
      </w:r>
      <w:r w:rsidR="00503C10" w:rsidRPr="00922710">
        <w:t xml:space="preserve"> a </w:t>
      </w:r>
      <w:r w:rsidRPr="005428CA">
        <w:t>growth rate of over 1,600% since the 2014 legislation supporting employee ownership was put in place in the UK. It is a growth path Employee Ownership Australia is also looking to replicate in Australia in coming years</w:t>
      </w:r>
      <w:r>
        <w:t xml:space="preserve">. </w:t>
      </w:r>
      <w:r w:rsidR="00FA0DD4">
        <w:t>(Alan Greig, sub.</w:t>
      </w:r>
      <w:r w:rsidR="00AC364C">
        <w:t> </w:t>
      </w:r>
      <w:r w:rsidR="00F3378F">
        <w:t>84, p.</w:t>
      </w:r>
      <w:r w:rsidR="00AC364C">
        <w:t> </w:t>
      </w:r>
      <w:r w:rsidR="00F3378F">
        <w:t>1)</w:t>
      </w:r>
    </w:p>
    <w:p w14:paraId="2F1EB5C2" w14:textId="5BE412DB" w:rsidR="009B6057" w:rsidRDefault="00382718" w:rsidP="00823B3B">
      <w:pPr>
        <w:pStyle w:val="BodyText"/>
      </w:pPr>
      <w:r>
        <w:t>S</w:t>
      </w:r>
      <w:r w:rsidR="00503C10" w:rsidRPr="00922710">
        <w:t xml:space="preserve">ome submissions </w:t>
      </w:r>
      <w:r>
        <w:t xml:space="preserve">also </w:t>
      </w:r>
      <w:r w:rsidR="00503C10" w:rsidRPr="00922710">
        <w:t>suggested that measures to improve intergenerational and socio</w:t>
      </w:r>
      <w:r w:rsidR="00C44D1D">
        <w:noBreakHyphen/>
      </w:r>
      <w:r w:rsidR="00503C10" w:rsidRPr="00922710">
        <w:t>economic equity and climate</w:t>
      </w:r>
      <w:r w:rsidR="00C44D1D">
        <w:noBreakHyphen/>
      </w:r>
      <w:r w:rsidR="00503C10" w:rsidRPr="00922710">
        <w:t xml:space="preserve">friendly investment </w:t>
      </w:r>
      <w:r w:rsidR="00AE4191">
        <w:t xml:space="preserve">were </w:t>
      </w:r>
      <w:r w:rsidR="00AE4191" w:rsidRPr="00922710">
        <w:t>reform objectives worthy of more focus</w:t>
      </w:r>
      <w:r w:rsidR="00AB417C">
        <w:t>.</w:t>
      </w:r>
      <w:r w:rsidR="00AE4191" w:rsidRPr="00922710">
        <w:t xml:space="preserve"> </w:t>
      </w:r>
    </w:p>
    <w:p w14:paraId="67D3D133" w14:textId="0D3E3E0D" w:rsidR="009B6057" w:rsidRDefault="00AB417C" w:rsidP="00AB417C">
      <w:pPr>
        <w:pStyle w:val="Quote"/>
      </w:pPr>
      <w:r>
        <w:t>T</w:t>
      </w:r>
      <w:r w:rsidRPr="00AB417C">
        <w:t xml:space="preserve">he Productivity Commission’s final recommendations on creating a more dynamic and resilient economy are crucial to building license for the Commonwealth Government to build on the principles of Measuring What Matters to create an economic system that serves people, and planet, and support State and Territory governments in this pursuit </w:t>
      </w:r>
      <w:r w:rsidR="00503C10" w:rsidRPr="00922710">
        <w:t>(Planetary Health Equity Hothouse, sub.</w:t>
      </w:r>
      <w:r w:rsidR="00AC364C">
        <w:t> </w:t>
      </w:r>
      <w:r w:rsidR="00503C10" w:rsidRPr="00922710">
        <w:t>13</w:t>
      </w:r>
      <w:r w:rsidR="00330BF4">
        <w:t>4</w:t>
      </w:r>
      <w:r w:rsidR="00503C10" w:rsidRPr="00922710">
        <w:t>, p.</w:t>
      </w:r>
      <w:r w:rsidR="00AC364C">
        <w:t> </w:t>
      </w:r>
      <w:r w:rsidR="00503C10" w:rsidRPr="00922710">
        <w:t>5).</w:t>
      </w:r>
      <w:r w:rsidR="00E41555">
        <w:t xml:space="preserve"> </w:t>
      </w:r>
    </w:p>
    <w:p w14:paraId="16C2FFD2" w14:textId="77777777" w:rsidR="007454B5" w:rsidRDefault="00AB417C" w:rsidP="00823B3B">
      <w:pPr>
        <w:pStyle w:val="BodyText"/>
      </w:pPr>
      <w:r>
        <w:t>Similarly</w:t>
      </w:r>
      <w:r w:rsidR="009B6057">
        <w:t xml:space="preserve">, </w:t>
      </w:r>
      <w:r>
        <w:t>a</w:t>
      </w:r>
      <w:r w:rsidR="00F03986">
        <w:t>n anonymous submission expressed concern</w:t>
      </w:r>
      <w:r w:rsidR="00F257DC">
        <w:t xml:space="preserve"> for unsustainable water use for data centres</w:t>
      </w:r>
      <w:r w:rsidR="00B43D05">
        <w:t>,</w:t>
      </w:r>
      <w:r w:rsidR="00F257DC">
        <w:t xml:space="preserve"> and a</w:t>
      </w:r>
      <w:r w:rsidR="00C93D3E">
        <w:t xml:space="preserve">nother </w:t>
      </w:r>
      <w:r w:rsidR="00E41555">
        <w:t xml:space="preserve">submission suggested to </w:t>
      </w:r>
      <w:r w:rsidR="002022AA">
        <w:t>introduce</w:t>
      </w:r>
      <w:r w:rsidR="00C93D3E">
        <w:t xml:space="preserve"> a four</w:t>
      </w:r>
      <w:r w:rsidR="00C44D1D">
        <w:noBreakHyphen/>
      </w:r>
      <w:r w:rsidR="00C93D3E">
        <w:t>day work week</w:t>
      </w:r>
      <w:r w:rsidR="001B2AAB">
        <w:t>.</w:t>
      </w:r>
    </w:p>
    <w:p w14:paraId="10E666F3" w14:textId="6635E08D" w:rsidR="008C6A30" w:rsidRDefault="008C6A30">
      <w:pPr>
        <w:spacing w:before="0" w:after="160" w:line="259" w:lineRule="auto"/>
        <w:rPr>
          <w:rFonts w:ascii="Arial" w:hAnsi="Arial"/>
        </w:rPr>
      </w:pPr>
      <w:r>
        <w:br w:type="page"/>
      </w:r>
    </w:p>
    <w:p w14:paraId="31978C77" w14:textId="2132C885" w:rsidR="00331B53" w:rsidRPr="00F02289" w:rsidRDefault="00D82179" w:rsidP="00713114">
      <w:pPr>
        <w:pStyle w:val="Heading1-nobackground"/>
        <w:numPr>
          <w:ilvl w:val="0"/>
          <w:numId w:val="1"/>
        </w:numPr>
        <w:ind w:left="720"/>
      </w:pPr>
      <w:bookmarkStart w:id="17" w:name="_Toc215092977"/>
      <w:r>
        <w:lastRenderedPageBreak/>
        <w:t>Overview of engagement</w:t>
      </w:r>
      <w:bookmarkEnd w:id="17"/>
    </w:p>
    <w:p w14:paraId="46033DDB" w14:textId="6799A64E" w:rsidR="00BE1EB4" w:rsidRDefault="006577B1" w:rsidP="00D82179">
      <w:pPr>
        <w:pStyle w:val="BodyText"/>
      </w:pPr>
      <w:r w:rsidRPr="006577B1">
        <w:t>Details</w:t>
      </w:r>
      <w:r w:rsidR="006F5255">
        <w:t xml:space="preserve"> of the con</w:t>
      </w:r>
      <w:r w:rsidR="00552784">
        <w:t>sultation process and engagement methods for the inquiry are outlined below.</w:t>
      </w:r>
    </w:p>
    <w:p w14:paraId="661E37D9" w14:textId="77777777" w:rsidR="00D82179" w:rsidRPr="00F02289" w:rsidRDefault="00D82179" w:rsidP="00D82179">
      <w:pPr>
        <w:pStyle w:val="Heading2-nonumber"/>
      </w:pPr>
      <w:bookmarkStart w:id="18" w:name="_Toc215092978"/>
      <w:r>
        <w:t>Consultation phases</w:t>
      </w:r>
      <w:bookmarkEnd w:id="18"/>
    </w:p>
    <w:p w14:paraId="30516AD5" w14:textId="4CFC4123" w:rsidR="00D82179" w:rsidRDefault="00D82179" w:rsidP="00D82179">
      <w:pPr>
        <w:pStyle w:val="BodyText"/>
      </w:pPr>
      <w:r w:rsidRPr="00F02289">
        <w:t xml:space="preserve">Figure </w:t>
      </w:r>
      <w:r w:rsidR="005F1949">
        <w:t>A.</w:t>
      </w:r>
      <w:r w:rsidRPr="00F02289">
        <w:t xml:space="preserve">1 outlines the </w:t>
      </w:r>
      <w:r>
        <w:t xml:space="preserve">inquiry timeline and the </w:t>
      </w:r>
      <w:r w:rsidRPr="00F02289">
        <w:t>key phases of consultation</w:t>
      </w:r>
      <w:r>
        <w:t>. In addition to the formal op</w:t>
      </w:r>
      <w:r w:rsidRPr="00F02289">
        <w:t>portunities provided for participants to share their views</w:t>
      </w:r>
      <w:r>
        <w:t>, w</w:t>
      </w:r>
      <w:r w:rsidRPr="00744340">
        <w:t xml:space="preserve">e </w:t>
      </w:r>
      <w:r>
        <w:t xml:space="preserve">also </w:t>
      </w:r>
      <w:r w:rsidRPr="00744340">
        <w:t xml:space="preserve">held meetings with participants and </w:t>
      </w:r>
      <w:r>
        <w:t>maintained a</w:t>
      </w:r>
      <w:r w:rsidRPr="00744340" w:rsidDel="004064FD">
        <w:t xml:space="preserve"> </w:t>
      </w:r>
      <w:r>
        <w:t>‘</w:t>
      </w:r>
      <w:r w:rsidRPr="00744340">
        <w:t>5 pillars</w:t>
      </w:r>
      <w:r>
        <w:t>’</w:t>
      </w:r>
      <w:r w:rsidRPr="00744340">
        <w:t xml:space="preserve"> </w:t>
      </w:r>
      <w:r>
        <w:t>e</w:t>
      </w:r>
      <w:r w:rsidR="00C44D1D">
        <w:noBreakHyphen/>
      </w:r>
      <w:r>
        <w:t>mail</w:t>
      </w:r>
      <w:r w:rsidRPr="00744340">
        <w:t xml:space="preserve"> inbox open for correspondence</w:t>
      </w:r>
      <w:r>
        <w:t xml:space="preserve"> </w:t>
      </w:r>
      <w:r w:rsidRPr="00744340">
        <w:t>throughout</w:t>
      </w:r>
      <w:r>
        <w:t xml:space="preserve"> the inquiry.</w:t>
      </w:r>
    </w:p>
    <w:p w14:paraId="13FF2FEC" w14:textId="384BB166" w:rsidR="00123604" w:rsidRPr="00146382" w:rsidRDefault="00123604" w:rsidP="00860B30">
      <w:pPr>
        <w:pStyle w:val="FigureTableHeading"/>
      </w:pPr>
      <w:r>
        <w:t>Figure A.</w:t>
      </w:r>
      <w:r>
        <w:fldChar w:fldCharType="begin"/>
      </w:r>
      <w:r>
        <w:instrText xml:space="preserve"> SEQ Figure \* ARABIC \s 1 </w:instrText>
      </w:r>
      <w:r>
        <w:fldChar w:fldCharType="separate"/>
      </w:r>
      <w:r w:rsidR="008D422D">
        <w:rPr>
          <w:noProof/>
        </w:rPr>
        <w:t>1</w:t>
      </w:r>
      <w:r>
        <w:rPr>
          <w:noProof/>
        </w:rPr>
        <w:fldChar w:fldCharType="end"/>
      </w:r>
      <w:r>
        <w:rPr>
          <w:noProof/>
        </w:rPr>
        <w:t xml:space="preserve"> </w:t>
      </w:r>
      <w:r>
        <w:t>– Inquiry timeline and consultation phases</w:t>
      </w:r>
    </w:p>
    <w:p w14:paraId="0CC19B54" w14:textId="65B7B9AE" w:rsidR="004A1642" w:rsidRDefault="00E753C6" w:rsidP="0033358A">
      <w:pPr>
        <w:pStyle w:val="Note"/>
        <w:keepLines/>
      </w:pPr>
      <w:r w:rsidRPr="00E753C6">
        <w:rPr>
          <w:noProof/>
        </w:rPr>
        <w:drawing>
          <wp:inline distT="0" distB="0" distL="0" distR="0" wp14:anchorId="71353BBD" wp14:editId="2B325785">
            <wp:extent cx="6120130" cy="2247900"/>
            <wp:effectExtent l="0" t="0" r="0" b="0"/>
            <wp:docPr id="1690090105" name="Picture 1" descr="This figure shows the timeline for this inquiry:&#10;5 December 2024 – 15 January 2025: Australia’s Productivity Pitch&#10;13 December 2024: Terms of reference received&#10;19 May 2025 – 6 June 2025: Online questionnaire&#10;31 July 2025: Interim report released&#10;31 July 2025 – 15 September 2025: Call for submissions&#10;10 December 2025: Report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90105" name="Picture 1" descr="This figure shows the timeline for this inquiry:&#10;5 December 2024 – 15 January 2025: Australia’s Productivity Pitch&#10;13 December 2024: Terms of reference received&#10;19 May 2025 – 6 June 2025: Online questionnaire&#10;31 July 2025: Interim report released&#10;31 July 2025 – 15 September 2025: Call for submissions&#10;10 December 2025: Report to govern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247900"/>
                    </a:xfrm>
                    <a:prstGeom prst="rect">
                      <a:avLst/>
                    </a:prstGeom>
                    <a:noFill/>
                    <a:ln>
                      <a:noFill/>
                    </a:ln>
                  </pic:spPr>
                </pic:pic>
              </a:graphicData>
            </a:graphic>
          </wp:inline>
        </w:drawing>
      </w:r>
    </w:p>
    <w:p w14:paraId="41DA1A65" w14:textId="730D8211" w:rsidR="00D82179" w:rsidRPr="00AC52E4" w:rsidRDefault="00D82179" w:rsidP="00D82179">
      <w:pPr>
        <w:pStyle w:val="BodyText"/>
        <w:rPr>
          <w:rStyle w:val="BodyTextChar"/>
        </w:rPr>
      </w:pPr>
      <w:r w:rsidRPr="00AC52E4">
        <w:rPr>
          <w:rStyle w:val="BodyTextChar"/>
        </w:rPr>
        <w:t xml:space="preserve">The responses received through Australia’s Productivity Pitch are not summarised in this paper. A summary of what participants told us during this initial phase of consultation was published in </w:t>
      </w:r>
      <w:r w:rsidR="001838AD" w:rsidRPr="001838AD">
        <w:rPr>
          <w:rStyle w:val="BodyTextChar"/>
        </w:rPr>
        <w:t>February</w:t>
      </w:r>
      <w:r w:rsidRPr="001838AD">
        <w:rPr>
          <w:rStyle w:val="BodyTextChar"/>
        </w:rPr>
        <w:t xml:space="preserve"> </w:t>
      </w:r>
      <w:r w:rsidRPr="00AC52E4">
        <w:rPr>
          <w:rStyle w:val="BodyTextChar"/>
        </w:rPr>
        <w:t>2025</w:t>
      </w:r>
      <w:r w:rsidR="000847AF">
        <w:rPr>
          <w:rStyle w:val="BodyTextChar"/>
        </w:rPr>
        <w:t>.</w:t>
      </w:r>
      <w:r w:rsidRPr="00AC52E4">
        <w:rPr>
          <w:rStyle w:val="BodyTextChar"/>
        </w:rPr>
        <w:t xml:space="preserve"> </w:t>
      </w:r>
      <w:hyperlink r:id="rId34" w:history="1">
        <w:r w:rsidR="000847AF">
          <w:rPr>
            <w:rStyle w:val="Hyperlink"/>
          </w:rPr>
          <w:t>Read Australia</w:t>
        </w:r>
        <w:r w:rsidR="003228DA">
          <w:rPr>
            <w:rStyle w:val="Hyperlink"/>
          </w:rPr>
          <w:t>’</w:t>
        </w:r>
        <w:r w:rsidR="000847AF">
          <w:rPr>
            <w:rStyle w:val="Hyperlink"/>
          </w:rPr>
          <w:t>s Productivity Pitch</w:t>
        </w:r>
      </w:hyperlink>
      <w:r w:rsidR="00297B9C">
        <w:t>.</w:t>
      </w:r>
      <w:r w:rsidR="0009043E">
        <w:rPr>
          <w:rStyle w:val="BodyTextChar"/>
        </w:rPr>
        <w:t xml:space="preserve"> </w:t>
      </w:r>
    </w:p>
    <w:p w14:paraId="67335F9E" w14:textId="77777777" w:rsidR="00D82179" w:rsidRDefault="00D82179" w:rsidP="00D82179">
      <w:pPr>
        <w:pStyle w:val="Heading2-nonumber"/>
      </w:pPr>
      <w:bookmarkStart w:id="19" w:name="_Toc215092979"/>
      <w:r>
        <w:t>Engagement methods</w:t>
      </w:r>
      <w:bookmarkEnd w:id="19"/>
    </w:p>
    <w:p w14:paraId="38E822D1" w14:textId="560BB29F" w:rsidR="00D82179" w:rsidRPr="00F02289" w:rsidRDefault="00D82179" w:rsidP="00D82179">
      <w:pPr>
        <w:pStyle w:val="BodyText"/>
      </w:pPr>
      <w:r w:rsidRPr="00F02289">
        <w:t xml:space="preserve">We gathered written </w:t>
      </w:r>
      <w:r>
        <w:t xml:space="preserve">feedback </w:t>
      </w:r>
      <w:r w:rsidRPr="00F02289">
        <w:t xml:space="preserve">from participants through </w:t>
      </w:r>
      <w:r w:rsidR="00951A69" w:rsidRPr="00951A69">
        <w:t>four</w:t>
      </w:r>
      <w:r w:rsidRPr="00F02289">
        <w:t xml:space="preserve"> main methods. </w:t>
      </w:r>
    </w:p>
    <w:p w14:paraId="3C8C6D6A" w14:textId="77777777" w:rsidR="00D82179" w:rsidRPr="00F02289" w:rsidRDefault="00D82179" w:rsidP="00D82179">
      <w:pPr>
        <w:pStyle w:val="Heading3"/>
      </w:pPr>
      <w:r w:rsidRPr="00F02289">
        <w:t>Online questionnaires</w:t>
      </w:r>
    </w:p>
    <w:p w14:paraId="724E4BE7" w14:textId="78E7D59C" w:rsidR="00D82179" w:rsidRPr="001940AD" w:rsidRDefault="00D82179" w:rsidP="00D82179">
      <w:pPr>
        <w:pStyle w:val="BodyText"/>
        <w:rPr>
          <w:spacing w:val="-2"/>
        </w:rPr>
      </w:pPr>
      <w:r w:rsidRPr="001940AD">
        <w:rPr>
          <w:spacing w:val="-2"/>
        </w:rPr>
        <w:t>We developed a targeted questionnaire to explore specific issues related to the two reform areas and to inform the direction of our interim report. The questionnaire included</w:t>
      </w:r>
      <w:r w:rsidRPr="001940AD">
        <w:rPr>
          <w:color w:val="FF0000"/>
          <w:spacing w:val="-2"/>
        </w:rPr>
        <w:t xml:space="preserve"> </w:t>
      </w:r>
      <w:r w:rsidRPr="001940AD">
        <w:rPr>
          <w:spacing w:val="-2"/>
        </w:rPr>
        <w:t>open</w:t>
      </w:r>
      <w:r w:rsidR="00C44D1D" w:rsidRPr="001940AD">
        <w:rPr>
          <w:spacing w:val="-2"/>
        </w:rPr>
        <w:noBreakHyphen/>
      </w:r>
      <w:r w:rsidRPr="001940AD">
        <w:rPr>
          <w:spacing w:val="-2"/>
        </w:rPr>
        <w:t xml:space="preserve">ended questions, allowing participants to provide responses focused on </w:t>
      </w:r>
      <w:proofErr w:type="gramStart"/>
      <w:r w:rsidRPr="001940AD">
        <w:rPr>
          <w:spacing w:val="-2"/>
        </w:rPr>
        <w:t>particular aspects</w:t>
      </w:r>
      <w:proofErr w:type="gramEnd"/>
      <w:r w:rsidRPr="001940AD">
        <w:rPr>
          <w:spacing w:val="-2"/>
        </w:rPr>
        <w:t xml:space="preserve"> of the reforms. We also gave participants the option to submit additional documents to support their response. </w:t>
      </w:r>
      <w:hyperlink r:id="rId35" w:history="1">
        <w:r w:rsidR="00297B9C" w:rsidRPr="001940AD">
          <w:rPr>
            <w:rStyle w:val="Hyperlink"/>
            <w:spacing w:val="-2"/>
          </w:rPr>
          <w:t>Read responses to the consultation questionnaire</w:t>
        </w:r>
        <w:r w:rsidR="00297B9C" w:rsidRPr="001940AD">
          <w:rPr>
            <w:rStyle w:val="Hyperlink"/>
            <w:spacing w:val="-2"/>
            <w:u w:val="none"/>
          </w:rPr>
          <w:t>.</w:t>
        </w:r>
      </w:hyperlink>
    </w:p>
    <w:p w14:paraId="40C2D94D" w14:textId="706228C6" w:rsidR="00D82179" w:rsidRPr="00F02289" w:rsidRDefault="00D82179" w:rsidP="00D82179">
      <w:pPr>
        <w:pStyle w:val="Heading3"/>
      </w:pPr>
      <w:r w:rsidRPr="00F02289">
        <w:t>Pre</w:t>
      </w:r>
      <w:r w:rsidR="00C44D1D">
        <w:noBreakHyphen/>
      </w:r>
      <w:r w:rsidRPr="00F02289">
        <w:t>interim submissions</w:t>
      </w:r>
    </w:p>
    <w:p w14:paraId="0E172688" w14:textId="77777777" w:rsidR="00D82179" w:rsidRPr="00F02289" w:rsidRDefault="00D82179" w:rsidP="00D82179">
      <w:pPr>
        <w:pStyle w:val="BodyText"/>
      </w:pPr>
      <w:r w:rsidRPr="00F02289">
        <w:t>Some participants chose to provide submissions by email instead of completing the online questionnaire. These contributions were viewed alongside the questionnaire responses when drafting the interim report.</w:t>
      </w:r>
    </w:p>
    <w:p w14:paraId="292DF4CB" w14:textId="57588047" w:rsidR="00D82179" w:rsidRPr="00F02289" w:rsidRDefault="00D82179" w:rsidP="00D82179">
      <w:pPr>
        <w:pStyle w:val="Heading3"/>
      </w:pPr>
      <w:r w:rsidRPr="00F02289">
        <w:lastRenderedPageBreak/>
        <w:t>Post</w:t>
      </w:r>
      <w:r w:rsidR="00C44D1D">
        <w:noBreakHyphen/>
      </w:r>
      <w:r w:rsidRPr="00F02289">
        <w:t>interim submissions</w:t>
      </w:r>
    </w:p>
    <w:p w14:paraId="6314CADD" w14:textId="0401A55C" w:rsidR="00D82179" w:rsidRPr="00F02289" w:rsidRDefault="00D82179" w:rsidP="00D82179">
      <w:pPr>
        <w:pStyle w:val="BodyText"/>
      </w:pPr>
      <w:r w:rsidRPr="00F02289">
        <w:t xml:space="preserve">Following the publication of the interim report on </w:t>
      </w:r>
      <w:r w:rsidR="00357B6C" w:rsidRPr="00357B6C">
        <w:t>31</w:t>
      </w:r>
      <w:r w:rsidR="00C44D1D">
        <w:t> </w:t>
      </w:r>
      <w:r w:rsidR="00357B6C" w:rsidRPr="00357B6C">
        <w:t>July</w:t>
      </w:r>
      <w:r w:rsidRPr="00F02289">
        <w:rPr>
          <w:color w:val="FF0000"/>
        </w:rPr>
        <w:t xml:space="preserve"> </w:t>
      </w:r>
      <w:r w:rsidRPr="00F02289">
        <w:t xml:space="preserve">2025, we sought further input on the reforms through </w:t>
      </w:r>
      <w:r w:rsidRPr="00EF6B6E">
        <w:t>information requests</w:t>
      </w:r>
      <w:r w:rsidR="0033358A">
        <w:t xml:space="preserve"> included in the interim report</w:t>
      </w:r>
      <w:r>
        <w:t>.</w:t>
      </w:r>
      <w:r w:rsidRPr="00F02289">
        <w:t xml:space="preserve"> Participants were asked to upload their submission via an online webform, with an option for uploading supporting documents.</w:t>
      </w:r>
    </w:p>
    <w:p w14:paraId="2FB76630" w14:textId="3E84D504" w:rsidR="00D82179" w:rsidRDefault="00D82179" w:rsidP="00D82179">
      <w:pPr>
        <w:pStyle w:val="BodyText"/>
      </w:pPr>
      <w:r w:rsidRPr="00F02289">
        <w:t>Participants were also given the opportunity to make submissions via video or phone call.</w:t>
      </w:r>
    </w:p>
    <w:p w14:paraId="29D81A7A" w14:textId="570AC9EA" w:rsidR="00D82179" w:rsidRPr="00F02289" w:rsidRDefault="00357B6C" w:rsidP="00357B6C">
      <w:pPr>
        <w:pStyle w:val="Heading3"/>
      </w:pPr>
      <w:r>
        <w:t>Survey of regulators</w:t>
      </w:r>
    </w:p>
    <w:p w14:paraId="6239DAF1" w14:textId="38C80181" w:rsidR="00D15EE0" w:rsidRPr="00D15EE0" w:rsidRDefault="00D15EE0" w:rsidP="00D15EE0">
      <w:pPr>
        <w:pStyle w:val="BodyText"/>
      </w:pPr>
      <w:r>
        <w:t>We</w:t>
      </w:r>
      <w:r w:rsidRPr="00D15EE0">
        <w:t xml:space="preserve"> conducted a survey of Australian Government regulators and policymaking agencies in May/June 2025</w:t>
      </w:r>
      <w:r>
        <w:t xml:space="preserve">. The survey </w:t>
      </w:r>
      <w:r w:rsidRPr="00D15EE0">
        <w:t>was sent to all regulators listed on the Australian Government regulator stocktake webpage and to any other divisions of Australian Government departments that appeared to have regulatory functions (based on an assessment of their organisational charts). It was also sent to all policymaking areas that had conducted an impact analysis published on the Office of Impact Analysis’s website since July 2020, when contact information was available.</w:t>
      </w:r>
    </w:p>
    <w:p w14:paraId="570AD485" w14:textId="4E6E4083" w:rsidR="00360AEA" w:rsidRPr="00D15EE0" w:rsidRDefault="00360AEA" w:rsidP="00D15EE0">
      <w:pPr>
        <w:pStyle w:val="BodyText"/>
      </w:pPr>
      <w:r>
        <w:t xml:space="preserve">The outcomes of </w:t>
      </w:r>
      <w:r w:rsidR="00746143">
        <w:t xml:space="preserve">this </w:t>
      </w:r>
      <w:r>
        <w:t xml:space="preserve">survey are in </w:t>
      </w:r>
      <w:r w:rsidR="00C44D1D">
        <w:t>a</w:t>
      </w:r>
      <w:r>
        <w:t>ppendix</w:t>
      </w:r>
      <w:r w:rsidR="00C44D1D">
        <w:t> </w:t>
      </w:r>
      <w:r w:rsidR="000D02E2">
        <w:t>C</w:t>
      </w:r>
      <w:r w:rsidR="00746143">
        <w:t>.</w:t>
      </w:r>
      <w:r w:rsidR="00C413A6">
        <w:t>3</w:t>
      </w:r>
      <w:r w:rsidR="00746143">
        <w:t xml:space="preserve"> to the final inquiry report, so are not reported here.</w:t>
      </w:r>
    </w:p>
    <w:p w14:paraId="627C8865" w14:textId="77777777" w:rsidR="00D82179" w:rsidRPr="00F02289" w:rsidRDefault="00D82179" w:rsidP="00D82179">
      <w:pPr>
        <w:pStyle w:val="Heading2-nonumber"/>
      </w:pPr>
      <w:bookmarkStart w:id="20" w:name="_Toc215092980"/>
      <w:r>
        <w:t>Other consultation</w:t>
      </w:r>
      <w:bookmarkEnd w:id="20"/>
    </w:p>
    <w:p w14:paraId="5E896EDE" w14:textId="4D5E19E1" w:rsidR="00D82179" w:rsidRPr="00F02289" w:rsidRDefault="00D82179" w:rsidP="00D82179">
      <w:pPr>
        <w:pStyle w:val="BodyText"/>
      </w:pPr>
      <w:r w:rsidRPr="00F02289">
        <w:t xml:space="preserve">In addition to written responses, we held </w:t>
      </w:r>
      <w:r w:rsidR="00AB3B3D" w:rsidRPr="00AB3B3D">
        <w:t>108</w:t>
      </w:r>
      <w:r w:rsidRPr="00AB3B3D">
        <w:t xml:space="preserve"> </w:t>
      </w:r>
      <w:r w:rsidRPr="00F02289">
        <w:t>meetings with individuals</w:t>
      </w:r>
      <w:r w:rsidR="008B3327">
        <w:t xml:space="preserve"> and organisations</w:t>
      </w:r>
      <w:r w:rsidRPr="00F02289">
        <w:t xml:space="preserve">, </w:t>
      </w:r>
      <w:r w:rsidRPr="00E475E0">
        <w:t>including peak bodies</w:t>
      </w:r>
      <w:r w:rsidR="00E475E0" w:rsidRPr="00E475E0">
        <w:t xml:space="preserve"> and industry organisations, businesses, government departments, academic</w:t>
      </w:r>
      <w:r w:rsidR="008B3327">
        <w:t>s</w:t>
      </w:r>
      <w:r w:rsidR="00B5128A">
        <w:t>,</w:t>
      </w:r>
      <w:r w:rsidR="00E475E0" w:rsidRPr="00E475E0">
        <w:t xml:space="preserve"> think tanks</w:t>
      </w:r>
      <w:r w:rsidR="00B5128A">
        <w:t xml:space="preserve"> and not</w:t>
      </w:r>
      <w:r w:rsidR="00C44D1D">
        <w:noBreakHyphen/>
      </w:r>
      <w:r w:rsidR="00B5128A">
        <w:t>for</w:t>
      </w:r>
      <w:r w:rsidR="00C44D1D">
        <w:noBreakHyphen/>
      </w:r>
      <w:r w:rsidR="00B5128A">
        <w:t>profit organisations</w:t>
      </w:r>
      <w:r w:rsidRPr="00F02289">
        <w:t xml:space="preserve">. </w:t>
      </w:r>
      <w:r>
        <w:t>T</w:t>
      </w:r>
      <w:r w:rsidRPr="00F02289">
        <w:t xml:space="preserve">hese </w:t>
      </w:r>
      <w:r>
        <w:t>meetings</w:t>
      </w:r>
      <w:r w:rsidRPr="00F02289">
        <w:t xml:space="preserve"> </w:t>
      </w:r>
      <w:r>
        <w:t xml:space="preserve">were held on a confidential basis to enable open discussion and are </w:t>
      </w:r>
      <w:r w:rsidRPr="00F02289">
        <w:t>not summarised in this paper</w:t>
      </w:r>
      <w:r>
        <w:t>.</w:t>
      </w:r>
      <w:r w:rsidRPr="00F02289">
        <w:t xml:space="preserve"> </w:t>
      </w:r>
      <w:r>
        <w:t>The discussions</w:t>
      </w:r>
      <w:r w:rsidRPr="00F02289">
        <w:t xml:space="preserve"> informed our understanding of the issues and contributed to the development of our reform areas and </w:t>
      </w:r>
      <w:r>
        <w:t xml:space="preserve">the </w:t>
      </w:r>
      <w:r w:rsidRPr="00F02289">
        <w:t>draft and final recommendations.</w:t>
      </w:r>
    </w:p>
    <w:p w14:paraId="1A59F892" w14:textId="77777777" w:rsidR="00D82179" w:rsidRPr="00F02289" w:rsidRDefault="00D82179" w:rsidP="00D82179">
      <w:pPr>
        <w:pStyle w:val="Heading2-nonumber"/>
      </w:pPr>
      <w:bookmarkStart w:id="21" w:name="_Toc215092981"/>
      <w:r w:rsidRPr="00F02289">
        <w:t>Participation</w:t>
      </w:r>
      <w:bookmarkEnd w:id="21"/>
    </w:p>
    <w:p w14:paraId="3434108B" w14:textId="3CC75410" w:rsidR="0020254D" w:rsidRPr="00D15EE0" w:rsidRDefault="00D82179" w:rsidP="0020254D">
      <w:pPr>
        <w:pStyle w:val="BodyText"/>
      </w:pPr>
      <w:r w:rsidRPr="00F02289">
        <w:t xml:space="preserve">We received </w:t>
      </w:r>
      <w:r w:rsidR="00F41B31">
        <w:t>10</w:t>
      </w:r>
      <w:r w:rsidR="00AE2627">
        <w:t>0</w:t>
      </w:r>
      <w:r w:rsidRPr="00F02289">
        <w:rPr>
          <w:color w:val="FF0000"/>
        </w:rPr>
        <w:t xml:space="preserve"> </w:t>
      </w:r>
      <w:r w:rsidRPr="00F02289">
        <w:t>questionnaire responses,</w:t>
      </w:r>
      <w:r w:rsidR="005551F9">
        <w:t xml:space="preserve"> 48</w:t>
      </w:r>
      <w:r w:rsidRPr="00F02289">
        <w:rPr>
          <w:color w:val="FF0000"/>
        </w:rPr>
        <w:t xml:space="preserve"> </w:t>
      </w:r>
      <w:r w:rsidRPr="00F02289">
        <w:t>pre</w:t>
      </w:r>
      <w:r w:rsidR="00C44D1D">
        <w:noBreakHyphen/>
      </w:r>
      <w:r w:rsidRPr="00F02289">
        <w:t xml:space="preserve">interim submissions, and </w:t>
      </w:r>
      <w:r w:rsidR="005551F9">
        <w:t>153</w:t>
      </w:r>
      <w:r w:rsidRPr="00F02289">
        <w:rPr>
          <w:color w:val="FF0000"/>
        </w:rPr>
        <w:t xml:space="preserve"> </w:t>
      </w:r>
      <w:r w:rsidRPr="00F02289">
        <w:t>post</w:t>
      </w:r>
      <w:r w:rsidR="00C44D1D">
        <w:noBreakHyphen/>
      </w:r>
      <w:r w:rsidRPr="00F02289">
        <w:t xml:space="preserve">interim submissions from across the Australian community. </w:t>
      </w:r>
    </w:p>
    <w:p w14:paraId="7B69480C" w14:textId="2768547B" w:rsidR="0020254D" w:rsidRPr="00D15EE0" w:rsidRDefault="0020254D" w:rsidP="0020254D">
      <w:pPr>
        <w:pStyle w:val="BodyText"/>
      </w:pPr>
      <w:r>
        <w:t>We</w:t>
      </w:r>
      <w:r w:rsidRPr="00D15EE0">
        <w:t xml:space="preserve"> received 97 responses</w:t>
      </w:r>
      <w:r>
        <w:t xml:space="preserve"> to our regulator survey</w:t>
      </w:r>
      <w:r w:rsidRPr="00D15EE0">
        <w:t>, with some regulators and policymaking areas responding multiple times and some not responding.</w:t>
      </w:r>
    </w:p>
    <w:p w14:paraId="3DA632A7" w14:textId="03119503" w:rsidR="000E1392" w:rsidRDefault="000E1392">
      <w:pPr>
        <w:spacing w:before="0" w:after="160" w:line="259" w:lineRule="auto"/>
        <w:rPr>
          <w:rFonts w:ascii="Arial" w:hAnsi="Arial"/>
        </w:rPr>
      </w:pPr>
      <w:r>
        <w:br w:type="page"/>
      </w:r>
    </w:p>
    <w:p w14:paraId="529E3A29" w14:textId="77777777" w:rsidR="00573C23" w:rsidRDefault="00573C23" w:rsidP="00573C23">
      <w:pPr>
        <w:pStyle w:val="Heading1-nobackground"/>
        <w:numPr>
          <w:ilvl w:val="0"/>
          <w:numId w:val="1"/>
        </w:numPr>
        <w:ind w:left="720"/>
      </w:pPr>
      <w:bookmarkStart w:id="22" w:name="_Toc215092982"/>
      <w:r>
        <w:lastRenderedPageBreak/>
        <w:t>Participant views on burdensome regulation</w:t>
      </w:r>
      <w:bookmarkEnd w:id="22"/>
    </w:p>
    <w:p w14:paraId="1B2A28A3" w14:textId="77777777" w:rsidR="00573C23" w:rsidRDefault="00573C23" w:rsidP="00573C23">
      <w:pPr>
        <w:pStyle w:val="BodyText"/>
      </w:pPr>
      <w:r>
        <w:t xml:space="preserve">The interim report for the inquiry into </w:t>
      </w:r>
      <w:r>
        <w:rPr>
          <w:i/>
          <w:iCs/>
        </w:rPr>
        <w:t xml:space="preserve">Creating a more dynamic and resilient economy </w:t>
      </w:r>
      <w:r>
        <w:t>outlined a ‘taxonomy’ of the types of burdens that poor regulation commonly imposes on businesses:</w:t>
      </w:r>
    </w:p>
    <w:p w14:paraId="3B65C4B7" w14:textId="3DF98D16" w:rsidR="00573C23" w:rsidRDefault="00573C23" w:rsidP="00573C23">
      <w:pPr>
        <w:pStyle w:val="ListBullet"/>
      </w:pPr>
      <w:r w:rsidRPr="008B1562">
        <w:rPr>
          <w:i/>
        </w:rPr>
        <w:t>band</w:t>
      </w:r>
      <w:r w:rsidR="00C44D1D">
        <w:rPr>
          <w:i/>
        </w:rPr>
        <w:noBreakHyphen/>
      </w:r>
      <w:r w:rsidRPr="008B1562">
        <w:rPr>
          <w:i/>
        </w:rPr>
        <w:t>aid regulation</w:t>
      </w:r>
      <w:r w:rsidRPr="00DA497D">
        <w:t xml:space="preserve"> that does not address the underlying cause of the problem</w:t>
      </w:r>
    </w:p>
    <w:p w14:paraId="4A386F9B" w14:textId="77777777" w:rsidR="00573C23" w:rsidRDefault="00573C23" w:rsidP="00573C23">
      <w:pPr>
        <w:pStyle w:val="ListBullet"/>
      </w:pPr>
      <w:r w:rsidRPr="008B1562">
        <w:rPr>
          <w:i/>
        </w:rPr>
        <w:t>duplicate or inconsistent regulation</w:t>
      </w:r>
      <w:r w:rsidRPr="00DA497D">
        <w:t xml:space="preserve"> that can manifest as multiple regulations affecting businesses in a geographic area or sector</w:t>
      </w:r>
    </w:p>
    <w:p w14:paraId="721E5FF4" w14:textId="77777777" w:rsidR="00573C23" w:rsidRDefault="00573C23" w:rsidP="00573C23">
      <w:pPr>
        <w:pStyle w:val="ListBullet"/>
      </w:pPr>
      <w:r w:rsidRPr="008B1562">
        <w:rPr>
          <w:i/>
        </w:rPr>
        <w:t>overly prescriptive and rigid regulation</w:t>
      </w:r>
      <w:r w:rsidRPr="00DA497D">
        <w:t xml:space="preserve"> that leaves little room for adaptation</w:t>
      </w:r>
    </w:p>
    <w:p w14:paraId="1253FAE5" w14:textId="77777777" w:rsidR="00573C23" w:rsidRDefault="00573C23" w:rsidP="00573C23">
      <w:pPr>
        <w:pStyle w:val="ListBullet"/>
      </w:pPr>
      <w:r w:rsidRPr="008B1562">
        <w:rPr>
          <w:i/>
        </w:rPr>
        <w:t xml:space="preserve">overly risk </w:t>
      </w:r>
      <w:proofErr w:type="gramStart"/>
      <w:r w:rsidRPr="008B1562">
        <w:rPr>
          <w:i/>
        </w:rPr>
        <w:t>averse</w:t>
      </w:r>
      <w:proofErr w:type="gramEnd"/>
      <w:r w:rsidRPr="008B1562">
        <w:rPr>
          <w:i/>
        </w:rPr>
        <w:t xml:space="preserve"> regulation</w:t>
      </w:r>
      <w:r w:rsidRPr="00DA497D">
        <w:t xml:space="preserve"> that pushes too hard to address all harms or eliminate all risk, creating a disproportionate regulatory burden</w:t>
      </w:r>
    </w:p>
    <w:p w14:paraId="3ACCE25B" w14:textId="77777777" w:rsidR="00573C23" w:rsidRDefault="00573C23" w:rsidP="00573C23">
      <w:pPr>
        <w:pStyle w:val="ListBullet"/>
      </w:pPr>
      <w:r w:rsidRPr="008B1562">
        <w:rPr>
          <w:i/>
        </w:rPr>
        <w:t>regulatory delay</w:t>
      </w:r>
      <w:r w:rsidRPr="00DA497D">
        <w:t xml:space="preserve"> when regulatory bodies fail to make timely decisions or provide necessary approvals or permits within a reasonable time frame</w:t>
      </w:r>
    </w:p>
    <w:p w14:paraId="61149B9E" w14:textId="77777777" w:rsidR="00573C23" w:rsidRDefault="00573C23" w:rsidP="00573C23">
      <w:pPr>
        <w:pStyle w:val="ListBullet"/>
      </w:pPr>
      <w:r w:rsidRPr="00AA5900">
        <w:rPr>
          <w:i/>
        </w:rPr>
        <w:t>cumulative burden</w:t>
      </w:r>
      <w:r w:rsidRPr="00DA497D">
        <w:t xml:space="preserve"> of multiple overlapping or conflicting regulations which is often overlooked when assessing individual regulations in isolation.</w:t>
      </w:r>
    </w:p>
    <w:p w14:paraId="6EA2DF14" w14:textId="0637AA37" w:rsidR="00573C23" w:rsidRDefault="00573C23" w:rsidP="00573C23">
      <w:pPr>
        <w:pStyle w:val="BodyText"/>
      </w:pPr>
      <w:r>
        <w:t xml:space="preserve">This appendix summarises responses </w:t>
      </w:r>
      <w:r w:rsidR="00D55E94">
        <w:t xml:space="preserve">relevant </w:t>
      </w:r>
      <w:r>
        <w:t>to information request 2.1 from the interim report, which asked inquiry participants to share examples of regulations that align with the types of regulatory failures in the taxonomy above, and that could be easily fixed by government.</w:t>
      </w:r>
    </w:p>
    <w:p w14:paraId="7954E492" w14:textId="5ACF4770" w:rsidR="00573C23" w:rsidRPr="00F82BD9" w:rsidRDefault="00573C23" w:rsidP="00573C23">
      <w:pPr>
        <w:pStyle w:val="BodyText"/>
      </w:pPr>
      <w:r>
        <w:t>This list provides a starting point for governments to consider when looking to reduce burdens on businesses, or to assess which sectors could benefit most from a regulatory review.</w:t>
      </w:r>
      <w:r w:rsidR="006F222B">
        <w:t xml:space="preserve"> </w:t>
      </w:r>
      <w:r>
        <w:t xml:space="preserve">The responses have been grouped by </w:t>
      </w:r>
      <w:proofErr w:type="gramStart"/>
      <w:r>
        <w:t>sector, and</w:t>
      </w:r>
      <w:proofErr w:type="gramEnd"/>
      <w:r>
        <w:t xml:space="preserve"> listed in the order in which they were received – this is not intended to be a ranking of each idea. </w:t>
      </w:r>
    </w:p>
    <w:p w14:paraId="48D19ADE" w14:textId="77777777" w:rsidR="00573C23" w:rsidRDefault="00573C23" w:rsidP="001C53B3">
      <w:pPr>
        <w:pStyle w:val="Heading2-nonumber"/>
        <w:spacing w:before="240"/>
      </w:pPr>
      <w:bookmarkStart w:id="23" w:name="_Toc215092983"/>
      <w:r>
        <w:t>Financial reporting requirements and tax regulations</w:t>
      </w:r>
      <w:bookmarkEnd w:id="23"/>
    </w:p>
    <w:p w14:paraId="2C2F0ACB" w14:textId="3A757242" w:rsidR="00573C23" w:rsidRDefault="00573C23" w:rsidP="00573C23">
      <w:pPr>
        <w:pStyle w:val="BodyText"/>
      </w:pPr>
      <w:r>
        <w:rPr>
          <w:b/>
          <w:bCs/>
        </w:rPr>
        <w:t>Insurance Council of Australia (sub.</w:t>
      </w:r>
      <w:r w:rsidR="00AC364C">
        <w:rPr>
          <w:b/>
          <w:bCs/>
        </w:rPr>
        <w:t> </w:t>
      </w:r>
      <w:r>
        <w:rPr>
          <w:b/>
          <w:bCs/>
        </w:rPr>
        <w:t>93</w:t>
      </w:r>
      <w:r w:rsidR="00DD0D35">
        <w:rPr>
          <w:b/>
          <w:bCs/>
        </w:rPr>
        <w:t>, p.</w:t>
      </w:r>
      <w:r w:rsidR="00AC364C">
        <w:rPr>
          <w:b/>
          <w:bCs/>
        </w:rPr>
        <w:t> </w:t>
      </w:r>
      <w:r w:rsidR="00DD0D35">
        <w:rPr>
          <w:b/>
          <w:bCs/>
        </w:rPr>
        <w:t>3</w:t>
      </w:r>
      <w:r>
        <w:rPr>
          <w:b/>
          <w:bCs/>
        </w:rPr>
        <w:t xml:space="preserve">): </w:t>
      </w:r>
      <w:r w:rsidRPr="00075F1D">
        <w:t>Note</w:t>
      </w:r>
      <w:r>
        <w:t>d</w:t>
      </w:r>
      <w:r w:rsidRPr="00075F1D">
        <w:t xml:space="preserve"> duplicate and overlapping financi</w:t>
      </w:r>
      <w:r>
        <w:t>al</w:t>
      </w:r>
      <w:r w:rsidRPr="00075F1D">
        <w:t xml:space="preserve"> reporting regulations</w:t>
      </w:r>
      <w:r>
        <w:t xml:space="preserve"> for insurers and financial services sector more broadly. They</w:t>
      </w:r>
      <w:r w:rsidRPr="00075F1D">
        <w:t xml:space="preserve"> </w:t>
      </w:r>
      <w:r>
        <w:t>c</w:t>
      </w:r>
      <w:r w:rsidRPr="00075F1D">
        <w:t>onsider</w:t>
      </w:r>
      <w:r>
        <w:t>ed that</w:t>
      </w:r>
      <w:r w:rsidRPr="00075F1D">
        <w:t xml:space="preserve"> </w:t>
      </w:r>
      <w:r>
        <w:t xml:space="preserve">the </w:t>
      </w:r>
      <w:r w:rsidRPr="00075F1D">
        <w:t>A</w:t>
      </w:r>
      <w:r>
        <w:t xml:space="preserve">ustralian </w:t>
      </w:r>
      <w:r w:rsidRPr="00075F1D">
        <w:t>F</w:t>
      </w:r>
      <w:r>
        <w:t xml:space="preserve">inancial </w:t>
      </w:r>
      <w:r w:rsidRPr="00075F1D">
        <w:t>C</w:t>
      </w:r>
      <w:r>
        <w:t xml:space="preserve">omplaints </w:t>
      </w:r>
      <w:r w:rsidRPr="00075F1D">
        <w:t>A</w:t>
      </w:r>
      <w:r>
        <w:t>uthority (AFCA)</w:t>
      </w:r>
      <w:r w:rsidRPr="00075F1D">
        <w:t xml:space="preserve"> and A</w:t>
      </w:r>
      <w:r>
        <w:t xml:space="preserve">ustralian </w:t>
      </w:r>
      <w:r w:rsidRPr="00075F1D">
        <w:t>C</w:t>
      </w:r>
      <w:r>
        <w:t xml:space="preserve">ompetition and </w:t>
      </w:r>
      <w:r w:rsidRPr="00075F1D">
        <w:t>C</w:t>
      </w:r>
      <w:r>
        <w:t xml:space="preserve">onsumer </w:t>
      </w:r>
      <w:r w:rsidRPr="00075F1D">
        <w:t>C</w:t>
      </w:r>
      <w:r>
        <w:t>ommission (ACCC)</w:t>
      </w:r>
      <w:r w:rsidRPr="00075F1D">
        <w:t xml:space="preserve"> should be part of </w:t>
      </w:r>
      <w:r>
        <w:t xml:space="preserve">the </w:t>
      </w:r>
      <w:r w:rsidRPr="00075F1D">
        <w:t>C</w:t>
      </w:r>
      <w:r>
        <w:t xml:space="preserve">ouncil of </w:t>
      </w:r>
      <w:r w:rsidRPr="00075F1D">
        <w:t>F</w:t>
      </w:r>
      <w:r>
        <w:t xml:space="preserve">inancial </w:t>
      </w:r>
      <w:r w:rsidRPr="00075F1D">
        <w:t>R</w:t>
      </w:r>
      <w:r>
        <w:t>egulators (CFR)</w:t>
      </w:r>
      <w:r w:rsidRPr="00075F1D">
        <w:t>.</w:t>
      </w:r>
      <w:r>
        <w:t xml:space="preserve"> They also advocated for a post</w:t>
      </w:r>
      <w:r w:rsidR="00C44D1D">
        <w:noBreakHyphen/>
      </w:r>
      <w:r>
        <w:t>implementation review of Hayne Royal Commission regulations.</w:t>
      </w:r>
    </w:p>
    <w:p w14:paraId="23BDE6EA" w14:textId="78BB52AD" w:rsidR="00573C23" w:rsidRDefault="00573C23" w:rsidP="00573C23">
      <w:pPr>
        <w:pStyle w:val="BodyText"/>
      </w:pPr>
      <w:r>
        <w:rPr>
          <w:b/>
          <w:bCs/>
        </w:rPr>
        <w:t>Australian Investment Council (sub.</w:t>
      </w:r>
      <w:r w:rsidR="00AC364C">
        <w:rPr>
          <w:b/>
          <w:bCs/>
        </w:rPr>
        <w:t> </w:t>
      </w:r>
      <w:r>
        <w:rPr>
          <w:b/>
          <w:bCs/>
        </w:rPr>
        <w:t>95</w:t>
      </w:r>
      <w:r w:rsidR="00DD0D35">
        <w:rPr>
          <w:b/>
          <w:bCs/>
        </w:rPr>
        <w:t>, pp.</w:t>
      </w:r>
      <w:r w:rsidR="00AC364C">
        <w:rPr>
          <w:b/>
          <w:bCs/>
        </w:rPr>
        <w:t> </w:t>
      </w:r>
      <w:r w:rsidR="00DD0D35">
        <w:rPr>
          <w:b/>
          <w:bCs/>
        </w:rPr>
        <w:t>2</w:t>
      </w:r>
      <w:r w:rsidR="00C44D1D">
        <w:rPr>
          <w:b/>
          <w:bCs/>
        </w:rPr>
        <w:t>–</w:t>
      </w:r>
      <w:r w:rsidR="00DD0D35">
        <w:rPr>
          <w:b/>
          <w:bCs/>
        </w:rPr>
        <w:t>4</w:t>
      </w:r>
      <w:r>
        <w:rPr>
          <w:b/>
          <w:bCs/>
        </w:rPr>
        <w:t>):</w:t>
      </w:r>
      <w:r>
        <w:t xml:space="preserve"> </w:t>
      </w:r>
      <w:r w:rsidRPr="000B7AB1">
        <w:t>Suggest</w:t>
      </w:r>
      <w:r>
        <w:t>ed that</w:t>
      </w:r>
      <w:r w:rsidRPr="000B7AB1">
        <w:t xml:space="preserve"> </w:t>
      </w:r>
      <w:r>
        <w:t>the Australian Securities and Investment Commission’s (</w:t>
      </w:r>
      <w:r w:rsidRPr="000B7AB1">
        <w:t>ASIC</w:t>
      </w:r>
      <w:r>
        <w:t xml:space="preserve">) Regulatory Guide 97 – which outlines how financial product providers should disclose fees and costs in Product Disclosure Statements and periodic statements </w:t>
      </w:r>
      <w:r w:rsidR="00C44D1D">
        <w:noBreakHyphen/>
      </w:r>
      <w:r>
        <w:t xml:space="preserve"> has</w:t>
      </w:r>
      <w:r w:rsidRPr="000B7AB1">
        <w:t xml:space="preserve"> </w:t>
      </w:r>
      <w:r>
        <w:t>regulatory effects despite not being a regulation itself. They argued these effects include imposing prescriptive and risk</w:t>
      </w:r>
      <w:r w:rsidR="00C44D1D">
        <w:noBreakHyphen/>
      </w:r>
      <w:r>
        <w:t xml:space="preserve">averse reporting requirements, distortions to markets and suggested these effects had not been scrutinised adequately. They also raised </w:t>
      </w:r>
      <w:r w:rsidRPr="002C6CF3">
        <w:rPr>
          <w:i/>
          <w:iCs/>
        </w:rPr>
        <w:t>Your Future, Your Super</w:t>
      </w:r>
      <w:r>
        <w:t xml:space="preserve"> as needing to be reviewed to ensure disclosure rules do not divert capital from higher return areas.</w:t>
      </w:r>
    </w:p>
    <w:p w14:paraId="47505854" w14:textId="43165FBF" w:rsidR="00573C23" w:rsidRDefault="00573C23" w:rsidP="00573C23">
      <w:pPr>
        <w:pStyle w:val="BodyText"/>
      </w:pPr>
      <w:r>
        <w:rPr>
          <w:b/>
          <w:bCs/>
        </w:rPr>
        <w:t>Australian Financial Markets Association (sub.</w:t>
      </w:r>
      <w:r w:rsidR="00AC364C">
        <w:rPr>
          <w:b/>
          <w:bCs/>
        </w:rPr>
        <w:t> </w:t>
      </w:r>
      <w:r>
        <w:rPr>
          <w:b/>
          <w:bCs/>
        </w:rPr>
        <w:t>105</w:t>
      </w:r>
      <w:r w:rsidR="00DD0D35">
        <w:rPr>
          <w:b/>
          <w:bCs/>
        </w:rPr>
        <w:t>, pp.</w:t>
      </w:r>
      <w:r w:rsidR="00AC364C">
        <w:rPr>
          <w:b/>
          <w:bCs/>
        </w:rPr>
        <w:t> </w:t>
      </w:r>
      <w:r w:rsidR="007139A2">
        <w:rPr>
          <w:b/>
          <w:bCs/>
        </w:rPr>
        <w:t>4</w:t>
      </w:r>
      <w:r w:rsidR="00AC364C">
        <w:rPr>
          <w:b/>
          <w:bCs/>
        </w:rPr>
        <w:t>–</w:t>
      </w:r>
      <w:r w:rsidR="00DD0D35">
        <w:rPr>
          <w:b/>
          <w:bCs/>
        </w:rPr>
        <w:t>5, 9</w:t>
      </w:r>
      <w:r w:rsidR="00A6376D">
        <w:rPr>
          <w:b/>
          <w:bCs/>
        </w:rPr>
        <w:t>–</w:t>
      </w:r>
      <w:r w:rsidR="00DD0D35">
        <w:rPr>
          <w:b/>
          <w:bCs/>
        </w:rPr>
        <w:t>12</w:t>
      </w:r>
      <w:r>
        <w:rPr>
          <w:b/>
          <w:bCs/>
        </w:rPr>
        <w:t xml:space="preserve">): </w:t>
      </w:r>
      <w:r w:rsidRPr="0021218C">
        <w:t>Provide</w:t>
      </w:r>
      <w:r>
        <w:t>d</w:t>
      </w:r>
      <w:r w:rsidRPr="0021218C">
        <w:t xml:space="preserve"> an appendix of regulations</w:t>
      </w:r>
      <w:r>
        <w:t xml:space="preserve"> that</w:t>
      </w:r>
      <w:r w:rsidRPr="0021218C">
        <w:t xml:space="preserve"> </w:t>
      </w:r>
      <w:r>
        <w:t>they suggest need</w:t>
      </w:r>
      <w:r w:rsidRPr="0021218C">
        <w:t xml:space="preserve"> addressing in </w:t>
      </w:r>
      <w:r>
        <w:t xml:space="preserve">the </w:t>
      </w:r>
      <w:r w:rsidRPr="0021218C">
        <w:t xml:space="preserve">financial sector, in particular ASIC processes. </w:t>
      </w:r>
      <w:r>
        <w:t xml:space="preserve">They also proposed that regulators should </w:t>
      </w:r>
      <w:r w:rsidRPr="0021218C">
        <w:t>assess</w:t>
      </w:r>
      <w:r>
        <w:t xml:space="preserve"> the</w:t>
      </w:r>
      <w:r w:rsidRPr="0021218C">
        <w:t xml:space="preserve"> impacts of </w:t>
      </w:r>
      <w:r w:rsidR="00C44D1D">
        <w:t>‘</w:t>
      </w:r>
      <w:r w:rsidRPr="0021218C">
        <w:t>consumer duty</w:t>
      </w:r>
      <w:r w:rsidR="00C44D1D">
        <w:t>’</w:t>
      </w:r>
      <w:r>
        <w:t xml:space="preserve">. </w:t>
      </w:r>
    </w:p>
    <w:p w14:paraId="705966A1" w14:textId="0B0F3661" w:rsidR="00573C23" w:rsidRDefault="00573C23" w:rsidP="00573C23">
      <w:pPr>
        <w:pStyle w:val="BodyText"/>
      </w:pPr>
      <w:r>
        <w:rPr>
          <w:b/>
          <w:bCs/>
        </w:rPr>
        <w:lastRenderedPageBreak/>
        <w:t>CPA Australia (sub.</w:t>
      </w:r>
      <w:r w:rsidR="00AC364C">
        <w:rPr>
          <w:b/>
          <w:bCs/>
        </w:rPr>
        <w:t> </w:t>
      </w:r>
      <w:r>
        <w:rPr>
          <w:b/>
          <w:bCs/>
        </w:rPr>
        <w:t>109</w:t>
      </w:r>
      <w:r w:rsidR="00EB7CCB">
        <w:rPr>
          <w:b/>
          <w:bCs/>
        </w:rPr>
        <w:t>, p.</w:t>
      </w:r>
      <w:r w:rsidR="00AC364C">
        <w:rPr>
          <w:b/>
          <w:bCs/>
        </w:rPr>
        <w:t> </w:t>
      </w:r>
      <w:r w:rsidR="00EB7CCB">
        <w:rPr>
          <w:b/>
          <w:bCs/>
        </w:rPr>
        <w:t>4</w:t>
      </w:r>
      <w:r>
        <w:rPr>
          <w:b/>
          <w:bCs/>
        </w:rPr>
        <w:t xml:space="preserve">): </w:t>
      </w:r>
      <w:r>
        <w:t>Suggested the r</w:t>
      </w:r>
      <w:r w:rsidRPr="001814A8">
        <w:t>emov</w:t>
      </w:r>
      <w:r>
        <w:t>al of</w:t>
      </w:r>
      <w:r w:rsidRPr="001814A8">
        <w:t xml:space="preserve"> the mandatory assurance requirement for Group 3 climate statements, </w:t>
      </w:r>
      <w:r>
        <w:t>a</w:t>
      </w:r>
      <w:r w:rsidRPr="001814A8">
        <w:t>bolish</w:t>
      </w:r>
      <w:r>
        <w:t>ing</w:t>
      </w:r>
      <w:r w:rsidRPr="001814A8">
        <w:t xml:space="preserve"> ASIC Companies Registry search fees, </w:t>
      </w:r>
      <w:r>
        <w:t>simplifying auditor resignation requirements, and addressing o</w:t>
      </w:r>
      <w:r w:rsidRPr="001814A8">
        <w:t>verlap and duplication in international tax disclosures</w:t>
      </w:r>
      <w:r>
        <w:t>.</w:t>
      </w:r>
    </w:p>
    <w:p w14:paraId="30C31FB5" w14:textId="361A29BE" w:rsidR="00573C23" w:rsidRDefault="00573C23" w:rsidP="00573C23">
      <w:pPr>
        <w:pStyle w:val="BodyText"/>
      </w:pPr>
      <w:r>
        <w:rPr>
          <w:b/>
          <w:bCs/>
        </w:rPr>
        <w:t>INPEX (sub.</w:t>
      </w:r>
      <w:r w:rsidR="00AC364C">
        <w:rPr>
          <w:b/>
          <w:bCs/>
        </w:rPr>
        <w:t> </w:t>
      </w:r>
      <w:r>
        <w:rPr>
          <w:b/>
          <w:bCs/>
        </w:rPr>
        <w:t>121</w:t>
      </w:r>
      <w:r w:rsidR="00EB7CCB">
        <w:rPr>
          <w:b/>
          <w:bCs/>
        </w:rPr>
        <w:t>, p.</w:t>
      </w:r>
      <w:r w:rsidR="00AC364C">
        <w:rPr>
          <w:b/>
          <w:bCs/>
        </w:rPr>
        <w:t> </w:t>
      </w:r>
      <w:r w:rsidR="00EB7CCB">
        <w:rPr>
          <w:b/>
          <w:bCs/>
        </w:rPr>
        <w:t>6</w:t>
      </w:r>
      <w:r>
        <w:rPr>
          <w:b/>
          <w:bCs/>
        </w:rPr>
        <w:t xml:space="preserve">): </w:t>
      </w:r>
      <w:r>
        <w:t>Suggested that</w:t>
      </w:r>
      <w:r w:rsidRPr="00CE6408">
        <w:t xml:space="preserve"> </w:t>
      </w:r>
      <w:r>
        <w:t xml:space="preserve">the </w:t>
      </w:r>
      <w:r w:rsidRPr="00CE6408">
        <w:t>F</w:t>
      </w:r>
      <w:r>
        <w:t xml:space="preserve">oreign </w:t>
      </w:r>
      <w:r w:rsidRPr="00CE6408">
        <w:t>I</w:t>
      </w:r>
      <w:r>
        <w:t xml:space="preserve">nvestment </w:t>
      </w:r>
      <w:r w:rsidRPr="00CE6408">
        <w:t>R</w:t>
      </w:r>
      <w:r>
        <w:t xml:space="preserve">eview </w:t>
      </w:r>
      <w:r w:rsidRPr="00CE6408">
        <w:t>B</w:t>
      </w:r>
      <w:r>
        <w:t>oard</w:t>
      </w:r>
      <w:r w:rsidRPr="00CE6408">
        <w:t xml:space="preserve"> </w:t>
      </w:r>
      <w:r>
        <w:t>(FIRB)</w:t>
      </w:r>
      <w:r w:rsidRPr="00CE6408">
        <w:t xml:space="preserve"> requires written confirmation that </w:t>
      </w:r>
      <w:r>
        <w:t>companies have complied with Australian tax requirements, which they thought was an example of duplicative regulatory requirements.</w:t>
      </w:r>
    </w:p>
    <w:p w14:paraId="48A427EA" w14:textId="7DA78564" w:rsidR="00573C23" w:rsidRDefault="00573C23" w:rsidP="00573C23">
      <w:pPr>
        <w:pStyle w:val="BodyText"/>
      </w:pPr>
      <w:r>
        <w:rPr>
          <w:b/>
          <w:bCs/>
        </w:rPr>
        <w:t>Block Inc. (sub.</w:t>
      </w:r>
      <w:r w:rsidR="00AC364C">
        <w:rPr>
          <w:b/>
          <w:bCs/>
        </w:rPr>
        <w:t> </w:t>
      </w:r>
      <w:r>
        <w:rPr>
          <w:b/>
          <w:bCs/>
        </w:rPr>
        <w:t>125</w:t>
      </w:r>
      <w:r w:rsidR="00EB7CCB">
        <w:rPr>
          <w:b/>
          <w:bCs/>
        </w:rPr>
        <w:t>, p.</w:t>
      </w:r>
      <w:r w:rsidR="00AC364C">
        <w:rPr>
          <w:b/>
          <w:bCs/>
        </w:rPr>
        <w:t> </w:t>
      </w:r>
      <w:r w:rsidR="00EB7CCB">
        <w:rPr>
          <w:b/>
          <w:bCs/>
        </w:rPr>
        <w:t>1</w:t>
      </w:r>
      <w:r>
        <w:rPr>
          <w:b/>
          <w:bCs/>
        </w:rPr>
        <w:t xml:space="preserve">): </w:t>
      </w:r>
      <w:r w:rsidRPr="00C8571D">
        <w:t>Identifie</w:t>
      </w:r>
      <w:r>
        <w:t>d</w:t>
      </w:r>
      <w:r w:rsidRPr="00C8571D">
        <w:t xml:space="preserve"> examples of </w:t>
      </w:r>
      <w:r>
        <w:t xml:space="preserve">regulations they considered </w:t>
      </w:r>
      <w:r w:rsidRPr="00C8571D">
        <w:t>overreach</w:t>
      </w:r>
      <w:r>
        <w:t>ing</w:t>
      </w:r>
      <w:r w:rsidRPr="00C8571D">
        <w:t xml:space="preserve"> and overlapping in </w:t>
      </w:r>
      <w:r>
        <w:t xml:space="preserve">the </w:t>
      </w:r>
      <w:r w:rsidRPr="00C8571D">
        <w:t>financial services</w:t>
      </w:r>
      <w:r>
        <w:t xml:space="preserve"> sector, including complex and overlapping requirements from multiple regulators including ASIC, the Australian Prudential Regulation Authority (APRA), Reserve Bank of Australia (RBA), the Australian Transaction Reports and Analysis Centre (AUSTRAC) and the ACCC, and regulatory mandates that focus on risk minimisation.</w:t>
      </w:r>
      <w:r w:rsidDel="005003B2">
        <w:t xml:space="preserve"> </w:t>
      </w:r>
    </w:p>
    <w:p w14:paraId="5C9C0895" w14:textId="2E8B73A3" w:rsidR="00573C23" w:rsidRDefault="00573C23" w:rsidP="00573C23">
      <w:pPr>
        <w:pStyle w:val="BodyText"/>
      </w:pPr>
      <w:r>
        <w:rPr>
          <w:b/>
          <w:bCs/>
        </w:rPr>
        <w:t>Mortgage and Finance Association of Australia (sub.</w:t>
      </w:r>
      <w:r w:rsidR="00AC364C">
        <w:rPr>
          <w:b/>
          <w:bCs/>
        </w:rPr>
        <w:t> </w:t>
      </w:r>
      <w:r>
        <w:rPr>
          <w:b/>
          <w:bCs/>
        </w:rPr>
        <w:t>160</w:t>
      </w:r>
      <w:r w:rsidR="0030368A">
        <w:rPr>
          <w:b/>
          <w:bCs/>
        </w:rPr>
        <w:t>, pp.</w:t>
      </w:r>
      <w:r w:rsidR="00AC364C">
        <w:rPr>
          <w:b/>
          <w:bCs/>
        </w:rPr>
        <w:t> </w:t>
      </w:r>
      <w:r w:rsidR="0030368A">
        <w:rPr>
          <w:b/>
          <w:bCs/>
        </w:rPr>
        <w:t>4</w:t>
      </w:r>
      <w:r w:rsidR="00C44D1D">
        <w:rPr>
          <w:b/>
          <w:bCs/>
        </w:rPr>
        <w:t>–</w:t>
      </w:r>
      <w:r w:rsidR="0030368A">
        <w:rPr>
          <w:b/>
          <w:bCs/>
        </w:rPr>
        <w:t>5</w:t>
      </w:r>
      <w:r>
        <w:rPr>
          <w:b/>
          <w:bCs/>
        </w:rPr>
        <w:t xml:space="preserve">): </w:t>
      </w:r>
      <w:r w:rsidRPr="00DE65D1">
        <w:t>G</w:t>
      </w:r>
      <w:r>
        <w:t>ave</w:t>
      </w:r>
      <w:r w:rsidRPr="00DE65D1">
        <w:t xml:space="preserve"> examples </w:t>
      </w:r>
      <w:r w:rsidR="00CD57EB">
        <w:t>including</w:t>
      </w:r>
      <w:r w:rsidR="00825EE7">
        <w:t xml:space="preserve"> a claimed</w:t>
      </w:r>
      <w:r w:rsidRPr="00DE65D1">
        <w:t xml:space="preserve"> </w:t>
      </w:r>
      <w:r>
        <w:t xml:space="preserve">lack of harmonisation of </w:t>
      </w:r>
      <w:r w:rsidRPr="00DE65D1">
        <w:t xml:space="preserve">payroll tax </w:t>
      </w:r>
      <w:r>
        <w:t>and</w:t>
      </w:r>
      <w:r w:rsidRPr="00DE65D1">
        <w:t xml:space="preserve"> verification of identity rules</w:t>
      </w:r>
      <w:r w:rsidRPr="00DE65D1" w:rsidDel="00591498">
        <w:t>,</w:t>
      </w:r>
      <w:r w:rsidRPr="00DE65D1">
        <w:t xml:space="preserve"> signing and service requirements (</w:t>
      </w:r>
      <w:r w:rsidR="0030368A">
        <w:t xml:space="preserve">specifically the requirement for </w:t>
      </w:r>
      <w:r w:rsidRPr="00DE65D1">
        <w:t>paper</w:t>
      </w:r>
      <w:r w:rsidR="00C44D1D">
        <w:noBreakHyphen/>
      </w:r>
      <w:r w:rsidRPr="00DE65D1">
        <w:t>based</w:t>
      </w:r>
      <w:r w:rsidR="0030368A">
        <w:t xml:space="preserve"> notices</w:t>
      </w:r>
      <w:r w:rsidRPr="00DE65D1">
        <w:t>), comparison rates for mortgages</w:t>
      </w:r>
      <w:r>
        <w:t xml:space="preserve"> not being fit for purpose,</w:t>
      </w:r>
      <w:r w:rsidRPr="00DE65D1">
        <w:t xml:space="preserve"> and discharge processes</w:t>
      </w:r>
      <w:r>
        <w:t xml:space="preserve"> causing regulatory delays.</w:t>
      </w:r>
    </w:p>
    <w:p w14:paraId="69022E64" w14:textId="4AB93594" w:rsidR="00573C23" w:rsidRDefault="00573C23" w:rsidP="00573C23">
      <w:pPr>
        <w:pStyle w:val="BodyText"/>
      </w:pPr>
      <w:r>
        <w:rPr>
          <w:b/>
          <w:bCs/>
        </w:rPr>
        <w:t>Tech Council of Australia (sub.</w:t>
      </w:r>
      <w:r w:rsidR="00AC364C">
        <w:rPr>
          <w:b/>
          <w:bCs/>
        </w:rPr>
        <w:t> </w:t>
      </w:r>
      <w:r>
        <w:rPr>
          <w:b/>
          <w:bCs/>
        </w:rPr>
        <w:t>162</w:t>
      </w:r>
      <w:r w:rsidR="00147398">
        <w:rPr>
          <w:b/>
          <w:bCs/>
        </w:rPr>
        <w:t>, pp.</w:t>
      </w:r>
      <w:r w:rsidR="00AC364C">
        <w:rPr>
          <w:b/>
          <w:bCs/>
        </w:rPr>
        <w:t> </w:t>
      </w:r>
      <w:r w:rsidR="00147398">
        <w:rPr>
          <w:b/>
          <w:bCs/>
        </w:rPr>
        <w:t>6</w:t>
      </w:r>
      <w:r w:rsidR="00AC364C">
        <w:rPr>
          <w:b/>
          <w:bCs/>
        </w:rPr>
        <w:t>–</w:t>
      </w:r>
      <w:r w:rsidR="00147398">
        <w:rPr>
          <w:b/>
          <w:bCs/>
        </w:rPr>
        <w:t>7</w:t>
      </w:r>
      <w:r>
        <w:rPr>
          <w:b/>
          <w:bCs/>
        </w:rPr>
        <w:t>):</w:t>
      </w:r>
      <w:r>
        <w:t xml:space="preserve"> Expressed c</w:t>
      </w:r>
      <w:r w:rsidRPr="003A22FD">
        <w:t>oncern</w:t>
      </w:r>
      <w:r>
        <w:t>s</w:t>
      </w:r>
      <w:r w:rsidRPr="003A22FD">
        <w:t xml:space="preserve"> about </w:t>
      </w:r>
      <w:r>
        <w:t xml:space="preserve">claimed </w:t>
      </w:r>
      <w:r w:rsidRPr="003A22FD">
        <w:t xml:space="preserve">duplication of </w:t>
      </w:r>
      <w:r>
        <w:t xml:space="preserve">requirements under the </w:t>
      </w:r>
      <w:r w:rsidRPr="003A22FD">
        <w:t>merger</w:t>
      </w:r>
      <w:r>
        <w:t xml:space="preserve"> control regime, where there can be review requirements from both the FIRB </w:t>
      </w:r>
      <w:r w:rsidRPr="003A22FD">
        <w:t xml:space="preserve">and ACCC. </w:t>
      </w:r>
      <w:r>
        <w:t xml:space="preserve">They also stated that the </w:t>
      </w:r>
      <w:r w:rsidRPr="00986F0D">
        <w:rPr>
          <w:i/>
        </w:rPr>
        <w:t xml:space="preserve">Privacy Act </w:t>
      </w:r>
      <w:r w:rsidRPr="00986F0D">
        <w:rPr>
          <w:i/>
          <w:iCs/>
        </w:rPr>
        <w:t>198</w:t>
      </w:r>
      <w:r>
        <w:rPr>
          <w:i/>
          <w:iCs/>
        </w:rPr>
        <w:t>8</w:t>
      </w:r>
      <w:r w:rsidRPr="003A22FD">
        <w:t xml:space="preserve"> is overly burdensome</w:t>
      </w:r>
      <w:r>
        <w:t xml:space="preserve"> and </w:t>
      </w:r>
      <w:proofErr w:type="gramStart"/>
      <w:r>
        <w:t>ineffective, and</w:t>
      </w:r>
      <w:proofErr w:type="gramEnd"/>
      <w:r>
        <w:t xml:space="preserve"> were concerned about</w:t>
      </w:r>
      <w:r w:rsidRPr="003A22FD">
        <w:t xml:space="preserve"> technology</w:t>
      </w:r>
      <w:r w:rsidR="00C44D1D">
        <w:noBreakHyphen/>
      </w:r>
      <w:r w:rsidRPr="003A22FD">
        <w:t>specific regulation</w:t>
      </w:r>
      <w:r>
        <w:t xml:space="preserve"> being overly risk</w:t>
      </w:r>
      <w:r w:rsidR="00C44D1D">
        <w:noBreakHyphen/>
      </w:r>
      <w:r>
        <w:t>averse and costly to comply with.</w:t>
      </w:r>
    </w:p>
    <w:p w14:paraId="13BAB29C" w14:textId="0069982E" w:rsidR="00573C23" w:rsidRPr="009B3B16" w:rsidRDefault="00573C23" w:rsidP="00573C23">
      <w:pPr>
        <w:pStyle w:val="BodyText"/>
        <w:rPr>
          <w:b/>
          <w:bCs/>
        </w:rPr>
      </w:pPr>
      <w:r>
        <w:rPr>
          <w:b/>
          <w:bCs/>
        </w:rPr>
        <w:t>Chartered Accountants Australia and New Zealand (sub.</w:t>
      </w:r>
      <w:r w:rsidR="00AC364C">
        <w:rPr>
          <w:b/>
          <w:bCs/>
        </w:rPr>
        <w:t> </w:t>
      </w:r>
      <w:r>
        <w:rPr>
          <w:b/>
          <w:bCs/>
        </w:rPr>
        <w:t>178</w:t>
      </w:r>
      <w:r w:rsidR="008C19EE">
        <w:rPr>
          <w:b/>
          <w:bCs/>
        </w:rPr>
        <w:t>, pp.</w:t>
      </w:r>
      <w:r w:rsidR="00AC364C">
        <w:rPr>
          <w:b/>
          <w:bCs/>
        </w:rPr>
        <w:t> </w:t>
      </w:r>
      <w:r w:rsidR="008C19EE">
        <w:rPr>
          <w:b/>
          <w:bCs/>
        </w:rPr>
        <w:t>8</w:t>
      </w:r>
      <w:r w:rsidR="0070573C">
        <w:rPr>
          <w:b/>
          <w:bCs/>
        </w:rPr>
        <w:t>–</w:t>
      </w:r>
      <w:r w:rsidR="008C19EE">
        <w:rPr>
          <w:b/>
          <w:bCs/>
        </w:rPr>
        <w:t>9</w:t>
      </w:r>
      <w:r>
        <w:rPr>
          <w:b/>
          <w:bCs/>
        </w:rPr>
        <w:t xml:space="preserve">): </w:t>
      </w:r>
      <w:r>
        <w:t xml:space="preserve">Suggested reforms to the </w:t>
      </w:r>
      <w:r>
        <w:rPr>
          <w:i/>
          <w:iCs/>
        </w:rPr>
        <w:t>Fringe Benefits Tax Assessment Act 1986</w:t>
      </w:r>
      <w:r>
        <w:t xml:space="preserve"> to improve </w:t>
      </w:r>
      <w:proofErr w:type="gramStart"/>
      <w:r>
        <w:t xml:space="preserve">flexibility, </w:t>
      </w:r>
      <w:r w:rsidR="008C19EE">
        <w:t>and</w:t>
      </w:r>
      <w:proofErr w:type="gramEnd"/>
      <w:r w:rsidR="008C19EE">
        <w:t xml:space="preserve"> highlighted a need to address </w:t>
      </w:r>
      <w:r>
        <w:t xml:space="preserve">duplicate and inconsistent reporting requirements </w:t>
      </w:r>
      <w:r w:rsidR="00764AAB">
        <w:t xml:space="preserve">of </w:t>
      </w:r>
      <w:r>
        <w:t xml:space="preserve">the tax transparency regime. They also suggested that there is a need for immediate review of the regulation of legal entities under the </w:t>
      </w:r>
      <w:r>
        <w:rPr>
          <w:i/>
          <w:iCs/>
        </w:rPr>
        <w:t>Corporations Act 2001</w:t>
      </w:r>
      <w:r>
        <w:t>, to simplify and modernise the system.</w:t>
      </w:r>
    </w:p>
    <w:p w14:paraId="7C6B7B41" w14:textId="4A90EF99" w:rsidR="00AD7A63" w:rsidRDefault="00AD7A63" w:rsidP="00AD7A63">
      <w:pPr>
        <w:pStyle w:val="BodyText"/>
      </w:pPr>
      <w:r>
        <w:rPr>
          <w:b/>
          <w:bCs/>
        </w:rPr>
        <w:t>Australian Institute of Company Directors (sub.</w:t>
      </w:r>
      <w:r w:rsidR="00AC364C">
        <w:rPr>
          <w:b/>
          <w:bCs/>
        </w:rPr>
        <w:t> </w:t>
      </w:r>
      <w:r>
        <w:rPr>
          <w:b/>
          <w:bCs/>
        </w:rPr>
        <w:t>180, pp.</w:t>
      </w:r>
      <w:r w:rsidR="00AC364C">
        <w:rPr>
          <w:b/>
          <w:bCs/>
        </w:rPr>
        <w:t> </w:t>
      </w:r>
      <w:r>
        <w:rPr>
          <w:b/>
          <w:bCs/>
        </w:rPr>
        <w:t>7</w:t>
      </w:r>
      <w:r w:rsidR="0070573C">
        <w:rPr>
          <w:b/>
          <w:bCs/>
        </w:rPr>
        <w:t>–</w:t>
      </w:r>
      <w:r>
        <w:rPr>
          <w:b/>
          <w:bCs/>
        </w:rPr>
        <w:t xml:space="preserve">8): </w:t>
      </w:r>
      <w:r>
        <w:t xml:space="preserve">Suggested there is a need to </w:t>
      </w:r>
      <w:r w:rsidRPr="000D665F">
        <w:t>simplif</w:t>
      </w:r>
      <w:r>
        <w:t>y the</w:t>
      </w:r>
      <w:r w:rsidRPr="000D665F">
        <w:t xml:space="preserve"> </w:t>
      </w:r>
      <w:r w:rsidRPr="001F702E">
        <w:rPr>
          <w:i/>
        </w:rPr>
        <w:t xml:space="preserve">Corporations Act </w:t>
      </w:r>
      <w:proofErr w:type="gramStart"/>
      <w:r w:rsidRPr="001F702E">
        <w:rPr>
          <w:i/>
        </w:rPr>
        <w:t>2001</w:t>
      </w:r>
      <w:r>
        <w:t>, and</w:t>
      </w:r>
      <w:proofErr w:type="gramEnd"/>
      <w:r>
        <w:t xml:space="preserve"> review corporate reporting thresholds to ensure they are appropriately calibrated to business size and activity. This included ASIC’s definition of a large </w:t>
      </w:r>
      <w:r w:rsidR="005B18D6">
        <w:t xml:space="preserve">proprietary </w:t>
      </w:r>
      <w:r>
        <w:t xml:space="preserve">company, and mandatory climate reporting for Group 3 entities where they argue that the costs outweigh the benefits. </w:t>
      </w:r>
    </w:p>
    <w:p w14:paraId="72F78B8B" w14:textId="1A2EA966" w:rsidR="00573C23" w:rsidRPr="00B57B87" w:rsidRDefault="00573C23" w:rsidP="00573C23">
      <w:pPr>
        <w:pStyle w:val="BodyText"/>
        <w:rPr>
          <w:spacing w:val="-4"/>
        </w:rPr>
      </w:pPr>
      <w:r w:rsidRPr="00B57B87">
        <w:rPr>
          <w:b/>
          <w:bCs/>
          <w:spacing w:val="-4"/>
        </w:rPr>
        <w:t>National Australia Bank (sub.</w:t>
      </w:r>
      <w:r w:rsidR="00AC364C" w:rsidRPr="00B57B87">
        <w:rPr>
          <w:b/>
          <w:bCs/>
          <w:spacing w:val="-4"/>
        </w:rPr>
        <w:t> </w:t>
      </w:r>
      <w:r w:rsidRPr="00B57B87">
        <w:rPr>
          <w:b/>
          <w:bCs/>
          <w:spacing w:val="-4"/>
        </w:rPr>
        <w:t>185</w:t>
      </w:r>
      <w:r w:rsidR="00AD7A63" w:rsidRPr="00B57B87">
        <w:rPr>
          <w:b/>
          <w:bCs/>
          <w:spacing w:val="-4"/>
        </w:rPr>
        <w:t>, pp.</w:t>
      </w:r>
      <w:r w:rsidR="00AC364C" w:rsidRPr="00B57B87">
        <w:rPr>
          <w:b/>
          <w:bCs/>
          <w:spacing w:val="-4"/>
        </w:rPr>
        <w:t> </w:t>
      </w:r>
      <w:r w:rsidR="00AD7A63" w:rsidRPr="00B57B87">
        <w:rPr>
          <w:b/>
          <w:bCs/>
          <w:spacing w:val="-4"/>
        </w:rPr>
        <w:t>8</w:t>
      </w:r>
      <w:r w:rsidR="0070573C">
        <w:rPr>
          <w:b/>
          <w:bCs/>
        </w:rPr>
        <w:t>–</w:t>
      </w:r>
      <w:r w:rsidR="00AD7A63" w:rsidRPr="00B57B87">
        <w:rPr>
          <w:b/>
          <w:bCs/>
          <w:spacing w:val="-4"/>
        </w:rPr>
        <w:t>9</w:t>
      </w:r>
      <w:r w:rsidRPr="00B57B87">
        <w:rPr>
          <w:b/>
          <w:bCs/>
          <w:spacing w:val="-4"/>
        </w:rPr>
        <w:t xml:space="preserve">): </w:t>
      </w:r>
      <w:r w:rsidRPr="00B57B87">
        <w:rPr>
          <w:spacing w:val="-4"/>
        </w:rPr>
        <w:t>Provided several examples of regulations they argued needed reform, including reporting requirements from APRA that have inconsistent definitions and duplicate requirements, data retention obligations that they claimed are inconsistent across federal and state legislation and add complexity and costs, and a need to harmonise definitions and concepts across the financial regulation system.</w:t>
      </w:r>
    </w:p>
    <w:p w14:paraId="1DB1489D" w14:textId="1FD1323F" w:rsidR="00573C23" w:rsidRPr="009D20AE" w:rsidRDefault="00573C23" w:rsidP="00573C23">
      <w:pPr>
        <w:pStyle w:val="BodyText"/>
        <w:rPr>
          <w:b/>
          <w:bCs/>
        </w:rPr>
      </w:pPr>
      <w:r>
        <w:rPr>
          <w:b/>
          <w:bCs/>
        </w:rPr>
        <w:t>Business Council of Australia (sub.</w:t>
      </w:r>
      <w:r w:rsidR="00AC364C">
        <w:rPr>
          <w:b/>
          <w:bCs/>
        </w:rPr>
        <w:t> </w:t>
      </w:r>
      <w:r>
        <w:rPr>
          <w:b/>
          <w:bCs/>
        </w:rPr>
        <w:t>200</w:t>
      </w:r>
      <w:r w:rsidR="00AD7A63">
        <w:rPr>
          <w:b/>
          <w:bCs/>
        </w:rPr>
        <w:t>, p.</w:t>
      </w:r>
      <w:r w:rsidR="00AC364C">
        <w:rPr>
          <w:b/>
          <w:bCs/>
        </w:rPr>
        <w:t> </w:t>
      </w:r>
      <w:r w:rsidR="00AD7A63">
        <w:rPr>
          <w:b/>
          <w:bCs/>
        </w:rPr>
        <w:t>13</w:t>
      </w:r>
      <w:r>
        <w:rPr>
          <w:b/>
          <w:bCs/>
        </w:rPr>
        <w:t xml:space="preserve">): </w:t>
      </w:r>
      <w:r>
        <w:t xml:space="preserve">Provided a </w:t>
      </w:r>
      <w:r w:rsidR="00AD7A63">
        <w:t xml:space="preserve">link to their </w:t>
      </w:r>
      <w:r w:rsidR="00AD7A63" w:rsidRPr="0031335B">
        <w:rPr>
          <w:i/>
          <w:iCs/>
        </w:rPr>
        <w:t>Better Regulation Report</w:t>
      </w:r>
      <w:r w:rsidR="00AD7A63">
        <w:t xml:space="preserve">, which contains a </w:t>
      </w:r>
      <w:r>
        <w:t xml:space="preserve">large list of areas of regulation across many sectors that they deemed problematic. This included concerns that payroll tax is inconsistently applied across jurisdictions, claimed that the </w:t>
      </w:r>
      <w:r>
        <w:rPr>
          <w:i/>
        </w:rPr>
        <w:t>Corporations Act</w:t>
      </w:r>
      <w:r>
        <w:rPr>
          <w:i/>
          <w:iCs/>
        </w:rPr>
        <w:t xml:space="preserve"> 2001</w:t>
      </w:r>
      <w:r>
        <w:t xml:space="preserve"> is unnecessarily complex to interpret and comply with, and suggested that banking sector regulations should be tiered to impose more proportionate regulatory burden on different sized banks.</w:t>
      </w:r>
    </w:p>
    <w:p w14:paraId="353B5EEA" w14:textId="77777777" w:rsidR="00573C23" w:rsidRDefault="00573C23" w:rsidP="001C53B3">
      <w:pPr>
        <w:pStyle w:val="Heading2-nonumber"/>
        <w:spacing w:before="240"/>
      </w:pPr>
      <w:bookmarkStart w:id="24" w:name="_Toc215092984"/>
      <w:r>
        <w:t>Other business reporting requirements</w:t>
      </w:r>
      <w:bookmarkEnd w:id="24"/>
    </w:p>
    <w:p w14:paraId="41B51378" w14:textId="1BD0F292" w:rsidR="00573C23" w:rsidRPr="00DC4FD5" w:rsidRDefault="00573C23" w:rsidP="00573C23">
      <w:pPr>
        <w:pStyle w:val="BodyText"/>
        <w:rPr>
          <w:spacing w:val="-2"/>
        </w:rPr>
      </w:pPr>
      <w:r w:rsidRPr="00DC4FD5">
        <w:rPr>
          <w:b/>
          <w:bCs/>
          <w:spacing w:val="-2"/>
        </w:rPr>
        <w:t>Amazon (sub.</w:t>
      </w:r>
      <w:r w:rsidR="00AC364C" w:rsidRPr="00DC4FD5">
        <w:rPr>
          <w:b/>
          <w:bCs/>
          <w:spacing w:val="-2"/>
        </w:rPr>
        <w:t> </w:t>
      </w:r>
      <w:r w:rsidRPr="00DC4FD5">
        <w:rPr>
          <w:b/>
          <w:bCs/>
          <w:spacing w:val="-2"/>
        </w:rPr>
        <w:t>163</w:t>
      </w:r>
      <w:r w:rsidR="00AD7A63" w:rsidRPr="00DC4FD5">
        <w:rPr>
          <w:b/>
          <w:bCs/>
          <w:spacing w:val="-2"/>
        </w:rPr>
        <w:t>, pp.</w:t>
      </w:r>
      <w:r w:rsidR="00AC364C" w:rsidRPr="00DC4FD5">
        <w:rPr>
          <w:b/>
          <w:bCs/>
          <w:spacing w:val="-2"/>
        </w:rPr>
        <w:t> </w:t>
      </w:r>
      <w:r w:rsidR="00AD7A63" w:rsidRPr="00DC4FD5">
        <w:rPr>
          <w:b/>
          <w:bCs/>
          <w:spacing w:val="-2"/>
        </w:rPr>
        <w:t>8</w:t>
      </w:r>
      <w:r w:rsidR="0015422E">
        <w:rPr>
          <w:b/>
          <w:bCs/>
        </w:rPr>
        <w:t>–</w:t>
      </w:r>
      <w:r w:rsidR="00AD7A63" w:rsidRPr="00DC4FD5">
        <w:rPr>
          <w:b/>
          <w:bCs/>
          <w:spacing w:val="-2"/>
        </w:rPr>
        <w:t>9</w:t>
      </w:r>
      <w:r w:rsidRPr="00DC4FD5">
        <w:rPr>
          <w:b/>
          <w:bCs/>
          <w:spacing w:val="-2"/>
        </w:rPr>
        <w:t xml:space="preserve">): </w:t>
      </w:r>
      <w:r w:rsidRPr="00DC4FD5">
        <w:rPr>
          <w:spacing w:val="-2"/>
        </w:rPr>
        <w:t xml:space="preserve">Suggested that there are several examples of regulatory failures relating to competition regulations, including duplicate and inconsistent regulations under the </w:t>
      </w:r>
      <w:r w:rsidRPr="00DC4FD5">
        <w:rPr>
          <w:i/>
          <w:iCs/>
          <w:spacing w:val="-2"/>
        </w:rPr>
        <w:t>Competition and Consumer Act 2001</w:t>
      </w:r>
      <w:r w:rsidRPr="00DC4FD5">
        <w:rPr>
          <w:spacing w:val="-2"/>
        </w:rPr>
        <w:t xml:space="preserve">, Privacy Act, </w:t>
      </w:r>
      <w:r w:rsidRPr="00DC4FD5">
        <w:rPr>
          <w:i/>
          <w:iCs/>
          <w:spacing w:val="-2"/>
        </w:rPr>
        <w:t>Australian Consumer Law</w:t>
      </w:r>
      <w:r w:rsidRPr="00DC4FD5">
        <w:rPr>
          <w:spacing w:val="-2"/>
        </w:rPr>
        <w:t xml:space="preserve"> and Australian Privacy Principle</w:t>
      </w:r>
      <w:r w:rsidR="000A25D3" w:rsidRPr="00DC4FD5">
        <w:rPr>
          <w:spacing w:val="-2"/>
        </w:rPr>
        <w:t>s</w:t>
      </w:r>
      <w:r w:rsidRPr="00DC4FD5">
        <w:rPr>
          <w:spacing w:val="-2"/>
        </w:rPr>
        <w:t>. They argued that this creates unnecessary complexity and has the potential to harm investment, innovation and productivity.</w:t>
      </w:r>
    </w:p>
    <w:p w14:paraId="5AB8C1FA" w14:textId="42984977" w:rsidR="00573C23" w:rsidRPr="00E85EB9" w:rsidRDefault="00573C23" w:rsidP="00573C23">
      <w:pPr>
        <w:pStyle w:val="BodyText"/>
        <w:rPr>
          <w:spacing w:val="-2"/>
        </w:rPr>
      </w:pPr>
      <w:r w:rsidRPr="00E85EB9">
        <w:rPr>
          <w:b/>
          <w:bCs/>
          <w:spacing w:val="-2"/>
        </w:rPr>
        <w:lastRenderedPageBreak/>
        <w:t>Australian Psychological Society (sub.</w:t>
      </w:r>
      <w:r w:rsidR="00AC364C" w:rsidRPr="00E85EB9">
        <w:rPr>
          <w:b/>
          <w:bCs/>
          <w:spacing w:val="-2"/>
        </w:rPr>
        <w:t> </w:t>
      </w:r>
      <w:r w:rsidRPr="00E85EB9">
        <w:rPr>
          <w:b/>
          <w:bCs/>
          <w:spacing w:val="-2"/>
        </w:rPr>
        <w:t>175</w:t>
      </w:r>
      <w:r w:rsidR="00AD7A63" w:rsidRPr="00E85EB9">
        <w:rPr>
          <w:b/>
          <w:bCs/>
          <w:spacing w:val="-2"/>
        </w:rPr>
        <w:t>, p.</w:t>
      </w:r>
      <w:r w:rsidR="00AC364C" w:rsidRPr="00E85EB9">
        <w:rPr>
          <w:b/>
          <w:bCs/>
          <w:spacing w:val="-2"/>
        </w:rPr>
        <w:t> </w:t>
      </w:r>
      <w:r w:rsidR="00AD7A63" w:rsidRPr="00E85EB9">
        <w:rPr>
          <w:b/>
          <w:bCs/>
          <w:spacing w:val="-2"/>
        </w:rPr>
        <w:t>4</w:t>
      </w:r>
      <w:r w:rsidRPr="00E85EB9">
        <w:rPr>
          <w:b/>
          <w:bCs/>
          <w:spacing w:val="-2"/>
        </w:rPr>
        <w:t xml:space="preserve">): </w:t>
      </w:r>
      <w:r w:rsidRPr="00E85EB9">
        <w:rPr>
          <w:spacing w:val="-2"/>
        </w:rPr>
        <w:t xml:space="preserve">Suggested there are duplicative and overlapping reporting requirements, for example, companies may need to provide similar data under different regulations, including the </w:t>
      </w:r>
      <w:r w:rsidRPr="00E85EB9">
        <w:rPr>
          <w:i/>
          <w:iCs/>
          <w:spacing w:val="-2"/>
        </w:rPr>
        <w:t xml:space="preserve">Workplace Gender Equality Act 2012, Sex Discrimination Act 1984, </w:t>
      </w:r>
      <w:r w:rsidRPr="00E85EB9">
        <w:rPr>
          <w:spacing w:val="-2"/>
        </w:rPr>
        <w:t>the right to disconnect, and WHS regulations regarding psychosocial risk management. They recommend that these processes be streamlined.</w:t>
      </w:r>
    </w:p>
    <w:p w14:paraId="7CF6766C" w14:textId="301B99EE" w:rsidR="00573C23" w:rsidRDefault="00573C23" w:rsidP="00573C23">
      <w:pPr>
        <w:pStyle w:val="BodyText"/>
      </w:pPr>
      <w:r>
        <w:rPr>
          <w:b/>
          <w:bCs/>
        </w:rPr>
        <w:t>Chartered Accountants Australia and New Zealand (sub.</w:t>
      </w:r>
      <w:r w:rsidR="00AC364C">
        <w:rPr>
          <w:b/>
          <w:bCs/>
        </w:rPr>
        <w:t> </w:t>
      </w:r>
      <w:r>
        <w:rPr>
          <w:b/>
          <w:bCs/>
        </w:rPr>
        <w:t>178</w:t>
      </w:r>
      <w:r w:rsidR="00AD7A63">
        <w:rPr>
          <w:b/>
          <w:bCs/>
        </w:rPr>
        <w:t>, p.</w:t>
      </w:r>
      <w:r w:rsidR="00AC364C">
        <w:rPr>
          <w:b/>
          <w:bCs/>
        </w:rPr>
        <w:t> </w:t>
      </w:r>
      <w:r w:rsidR="00AD7A63">
        <w:rPr>
          <w:b/>
          <w:bCs/>
        </w:rPr>
        <w:t>6</w:t>
      </w:r>
      <w:r>
        <w:rPr>
          <w:b/>
          <w:bCs/>
        </w:rPr>
        <w:t xml:space="preserve">): </w:t>
      </w:r>
      <w:r>
        <w:t xml:space="preserve">Made several suggestions including a ‘tell us once’ approach to reporting by government </w:t>
      </w:r>
      <w:proofErr w:type="gramStart"/>
      <w:r>
        <w:t>departments, and</w:t>
      </w:r>
      <w:proofErr w:type="gramEnd"/>
      <w:r>
        <w:t xml:space="preserve"> revisiting the Modernising Business Register program to identify ways to reduce duplication, streamline processes and reporting and reduce risks of undesirable firm behaviours. </w:t>
      </w:r>
    </w:p>
    <w:p w14:paraId="162A0EF0" w14:textId="7A3E642B" w:rsidR="00573C23" w:rsidRDefault="00573C23" w:rsidP="00573C23">
      <w:pPr>
        <w:pStyle w:val="BodyText"/>
      </w:pPr>
      <w:r>
        <w:rPr>
          <w:b/>
          <w:bCs/>
        </w:rPr>
        <w:t>Business Council of Australia (sub.</w:t>
      </w:r>
      <w:r w:rsidR="00AC364C">
        <w:rPr>
          <w:b/>
          <w:bCs/>
        </w:rPr>
        <w:t> </w:t>
      </w:r>
      <w:r>
        <w:rPr>
          <w:b/>
          <w:bCs/>
        </w:rPr>
        <w:t xml:space="preserve">200): </w:t>
      </w:r>
      <w:r w:rsidR="004F3BEC" w:rsidRPr="004F3BEC">
        <w:t>Provided a link to their Better Regulation Report, which contains a large list of areas of regulation across many sectors that they deemed problematic. They claimed</w:t>
      </w:r>
      <w:r>
        <w:t xml:space="preserve"> there are issues with the FIRB having duplicative screening requirements to other regulations, inadequate flexibility in requirements, and extensive information requirements. They also raised concerns about duplication in multiple regulations for fit and proper persons tests, claims about duplicate and overlapping data retention requirements for businesses, and a need to streamline reporting requirements under the </w:t>
      </w:r>
      <w:r>
        <w:rPr>
          <w:i/>
          <w:iCs/>
        </w:rPr>
        <w:t>Workplace Gender Equality Act (2012)</w:t>
      </w:r>
      <w:r>
        <w:t xml:space="preserve">, the Australian Bureau of Statistics reporting requirements, and </w:t>
      </w:r>
      <w:r>
        <w:rPr>
          <w:i/>
          <w:iCs/>
        </w:rPr>
        <w:t>Modern Slavery Act</w:t>
      </w:r>
      <w:r>
        <w:t>.</w:t>
      </w:r>
    </w:p>
    <w:p w14:paraId="668BD0D9" w14:textId="77777777" w:rsidR="00573C23" w:rsidRPr="001C53B3" w:rsidRDefault="00573C23" w:rsidP="001C53B3">
      <w:pPr>
        <w:pStyle w:val="Heading2-nonumber"/>
        <w:spacing w:before="240"/>
        <w:rPr>
          <w:spacing w:val="-6"/>
        </w:rPr>
      </w:pPr>
      <w:bookmarkStart w:id="25" w:name="_Toc215092985"/>
      <w:r w:rsidRPr="001C53B3">
        <w:rPr>
          <w:spacing w:val="-6"/>
        </w:rPr>
        <w:t>Planning, development and construction sector regulations</w:t>
      </w:r>
      <w:bookmarkEnd w:id="25"/>
    </w:p>
    <w:p w14:paraId="1CD7EF7F" w14:textId="7C0693A2" w:rsidR="00573C23" w:rsidRDefault="00573C23" w:rsidP="00573C23">
      <w:pPr>
        <w:pStyle w:val="BodyText"/>
      </w:pPr>
      <w:r>
        <w:rPr>
          <w:b/>
          <w:bCs/>
        </w:rPr>
        <w:t>Urban Development Institute of Australia (sub.</w:t>
      </w:r>
      <w:r w:rsidR="00AC364C">
        <w:rPr>
          <w:b/>
          <w:bCs/>
        </w:rPr>
        <w:t> </w:t>
      </w:r>
      <w:r>
        <w:rPr>
          <w:b/>
          <w:bCs/>
        </w:rPr>
        <w:t>92</w:t>
      </w:r>
      <w:r w:rsidR="004F3BEC">
        <w:rPr>
          <w:b/>
          <w:bCs/>
        </w:rPr>
        <w:t>, p.</w:t>
      </w:r>
      <w:r w:rsidR="00AC364C">
        <w:rPr>
          <w:b/>
          <w:bCs/>
        </w:rPr>
        <w:t> </w:t>
      </w:r>
      <w:r w:rsidR="004F3BEC">
        <w:rPr>
          <w:b/>
          <w:bCs/>
        </w:rPr>
        <w:t>4</w:t>
      </w:r>
      <w:r>
        <w:rPr>
          <w:b/>
          <w:bCs/>
        </w:rPr>
        <w:t xml:space="preserve">): </w:t>
      </w:r>
      <w:r w:rsidRPr="00E63F5B">
        <w:t>Support</w:t>
      </w:r>
      <w:r>
        <w:t>ed a</w:t>
      </w:r>
      <w:r w:rsidRPr="00E63F5B">
        <w:t xml:space="preserve"> pause to</w:t>
      </w:r>
      <w:r>
        <w:t xml:space="preserve"> updates to the National Construction Code (NCC)</w:t>
      </w:r>
      <w:r w:rsidRPr="00E63F5B">
        <w:t>, and guardrails around future changes including limits to price increases and objectives</w:t>
      </w:r>
      <w:r>
        <w:t>, and a need to improve the time taken for environmental approvals.</w:t>
      </w:r>
    </w:p>
    <w:p w14:paraId="230BACBC" w14:textId="2F087D62" w:rsidR="00573C23" w:rsidRPr="00875060" w:rsidRDefault="00573C23" w:rsidP="00573C23">
      <w:pPr>
        <w:pStyle w:val="BodyText"/>
      </w:pPr>
      <w:r>
        <w:rPr>
          <w:b/>
          <w:bCs/>
        </w:rPr>
        <w:t>Amplify (sub.</w:t>
      </w:r>
      <w:r w:rsidR="00AC364C">
        <w:rPr>
          <w:b/>
          <w:bCs/>
        </w:rPr>
        <w:t> </w:t>
      </w:r>
      <w:r>
        <w:rPr>
          <w:b/>
          <w:bCs/>
        </w:rPr>
        <w:t>115</w:t>
      </w:r>
      <w:r w:rsidR="004F3BEC">
        <w:rPr>
          <w:b/>
          <w:bCs/>
        </w:rPr>
        <w:t>, pp.</w:t>
      </w:r>
      <w:r w:rsidR="00AC364C">
        <w:rPr>
          <w:b/>
          <w:bCs/>
        </w:rPr>
        <w:t> </w:t>
      </w:r>
      <w:r w:rsidR="00094770">
        <w:rPr>
          <w:b/>
          <w:bCs/>
        </w:rPr>
        <w:t>4</w:t>
      </w:r>
      <w:r w:rsidR="0042305B">
        <w:rPr>
          <w:b/>
          <w:bCs/>
        </w:rPr>
        <w:t>–</w:t>
      </w:r>
      <w:r w:rsidR="00094770">
        <w:rPr>
          <w:b/>
          <w:bCs/>
        </w:rPr>
        <w:t>5</w:t>
      </w:r>
      <w:r>
        <w:rPr>
          <w:b/>
          <w:bCs/>
        </w:rPr>
        <w:t xml:space="preserve">): </w:t>
      </w:r>
      <w:r>
        <w:t>Suggested that regulatory reforms are needed to improve housing supply and affordability, including modernisation and harmonisation of construction industry regulations, streamlining of planning, building and consumer protections and streamlining of certification and compliance pathways.</w:t>
      </w:r>
    </w:p>
    <w:p w14:paraId="11EE7AB9" w14:textId="684186DA" w:rsidR="00573C23" w:rsidRDefault="00573C23" w:rsidP="00573C23">
      <w:pPr>
        <w:pStyle w:val="BodyText"/>
      </w:pPr>
      <w:r>
        <w:rPr>
          <w:b/>
          <w:bCs/>
        </w:rPr>
        <w:t>INPEX (sub.</w:t>
      </w:r>
      <w:r w:rsidR="00AC364C">
        <w:rPr>
          <w:b/>
          <w:bCs/>
        </w:rPr>
        <w:t> </w:t>
      </w:r>
      <w:r>
        <w:rPr>
          <w:b/>
          <w:bCs/>
        </w:rPr>
        <w:t>121</w:t>
      </w:r>
      <w:r w:rsidR="00094770">
        <w:rPr>
          <w:b/>
          <w:bCs/>
        </w:rPr>
        <w:t>, p.</w:t>
      </w:r>
      <w:r w:rsidR="00AC364C">
        <w:rPr>
          <w:b/>
          <w:bCs/>
        </w:rPr>
        <w:t> </w:t>
      </w:r>
      <w:r w:rsidR="00094770">
        <w:rPr>
          <w:b/>
          <w:bCs/>
        </w:rPr>
        <w:t>2</w:t>
      </w:r>
      <w:r>
        <w:rPr>
          <w:b/>
          <w:bCs/>
        </w:rPr>
        <w:t xml:space="preserve">): </w:t>
      </w:r>
      <w:r>
        <w:t>Expressed that e</w:t>
      </w:r>
      <w:r w:rsidRPr="00CE6408">
        <w:t xml:space="preserve">nvironmental approvals </w:t>
      </w:r>
      <w:r>
        <w:t xml:space="preserve">are </w:t>
      </w:r>
      <w:r w:rsidRPr="00CE6408">
        <w:t xml:space="preserve">too </w:t>
      </w:r>
      <w:proofErr w:type="gramStart"/>
      <w:r w:rsidRPr="00CE6408">
        <w:t>slow</w:t>
      </w:r>
      <w:r>
        <w:t>, and</w:t>
      </w:r>
      <w:proofErr w:type="gramEnd"/>
      <w:r>
        <w:t xml:space="preserve"> gave an example of a project that required 125 approvals across Commonwealth and State government agencies. </w:t>
      </w:r>
    </w:p>
    <w:p w14:paraId="04E6B732" w14:textId="50A0873F" w:rsidR="00573C23" w:rsidRDefault="00573C23" w:rsidP="00573C23">
      <w:pPr>
        <w:pStyle w:val="BodyText"/>
      </w:pPr>
      <w:r>
        <w:rPr>
          <w:b/>
          <w:bCs/>
        </w:rPr>
        <w:t>Australian Glass and Window Association (sub.</w:t>
      </w:r>
      <w:r w:rsidR="00AC364C">
        <w:rPr>
          <w:b/>
          <w:bCs/>
        </w:rPr>
        <w:t> </w:t>
      </w:r>
      <w:r>
        <w:rPr>
          <w:b/>
          <w:bCs/>
        </w:rPr>
        <w:t>133</w:t>
      </w:r>
      <w:r w:rsidR="00094770">
        <w:rPr>
          <w:b/>
          <w:bCs/>
        </w:rPr>
        <w:t>, pp.</w:t>
      </w:r>
      <w:r w:rsidR="00AC364C">
        <w:rPr>
          <w:b/>
          <w:bCs/>
        </w:rPr>
        <w:t> </w:t>
      </w:r>
      <w:r w:rsidR="00094770">
        <w:rPr>
          <w:b/>
          <w:bCs/>
        </w:rPr>
        <w:t>1</w:t>
      </w:r>
      <w:r w:rsidR="0042305B">
        <w:rPr>
          <w:b/>
          <w:bCs/>
        </w:rPr>
        <w:t>–</w:t>
      </w:r>
      <w:r w:rsidR="00094770">
        <w:rPr>
          <w:b/>
          <w:bCs/>
        </w:rPr>
        <w:t>2</w:t>
      </w:r>
      <w:r>
        <w:rPr>
          <w:b/>
          <w:bCs/>
        </w:rPr>
        <w:t xml:space="preserve">): </w:t>
      </w:r>
      <w:r>
        <w:t>Raised</w:t>
      </w:r>
      <w:r w:rsidRPr="009D3116">
        <w:t xml:space="preserve"> overlapping, duplicate and inconsistent regulations in construction, such as</w:t>
      </w:r>
      <w:r>
        <w:t xml:space="preserve"> the</w:t>
      </w:r>
      <w:r w:rsidRPr="009D3116">
        <w:t xml:space="preserve"> implementation of the N</w:t>
      </w:r>
      <w:r>
        <w:t>CC</w:t>
      </w:r>
      <w:r w:rsidRPr="009D3116">
        <w:t xml:space="preserve">. </w:t>
      </w:r>
      <w:r>
        <w:t>They s</w:t>
      </w:r>
      <w:r w:rsidRPr="009D3116">
        <w:t>upport</w:t>
      </w:r>
      <w:r>
        <w:t>ed</w:t>
      </w:r>
      <w:r w:rsidRPr="009D3116">
        <w:t xml:space="preserve"> greater harmonisation</w:t>
      </w:r>
      <w:r>
        <w:t xml:space="preserve"> across jurisdictions for construction industry regulations.</w:t>
      </w:r>
    </w:p>
    <w:p w14:paraId="220E9E2E" w14:textId="7FD0A9FD" w:rsidR="00573C23" w:rsidRPr="00A86CF6" w:rsidRDefault="00573C23" w:rsidP="00573C23">
      <w:pPr>
        <w:pStyle w:val="BodyText"/>
        <w:rPr>
          <w:spacing w:val="-4"/>
        </w:rPr>
      </w:pPr>
      <w:r w:rsidRPr="00A86CF6">
        <w:rPr>
          <w:b/>
          <w:bCs/>
          <w:spacing w:val="-4"/>
        </w:rPr>
        <w:t>Colin Griffith (sub.</w:t>
      </w:r>
      <w:r w:rsidR="00AC364C" w:rsidRPr="00A86CF6">
        <w:rPr>
          <w:b/>
          <w:bCs/>
          <w:spacing w:val="-4"/>
        </w:rPr>
        <w:t> </w:t>
      </w:r>
      <w:r w:rsidRPr="00A86CF6">
        <w:rPr>
          <w:b/>
          <w:bCs/>
          <w:spacing w:val="-4"/>
        </w:rPr>
        <w:t>151</w:t>
      </w:r>
      <w:r w:rsidR="009523E6" w:rsidRPr="00A86CF6">
        <w:rPr>
          <w:b/>
          <w:bCs/>
          <w:spacing w:val="-4"/>
        </w:rPr>
        <w:t>, pp.</w:t>
      </w:r>
      <w:r w:rsidR="00AC364C" w:rsidRPr="00A86CF6">
        <w:rPr>
          <w:b/>
          <w:bCs/>
          <w:spacing w:val="-4"/>
        </w:rPr>
        <w:t> </w:t>
      </w:r>
      <w:r w:rsidR="009523E6" w:rsidRPr="00A86CF6">
        <w:rPr>
          <w:b/>
          <w:bCs/>
          <w:spacing w:val="-4"/>
        </w:rPr>
        <w:t>4</w:t>
      </w:r>
      <w:r w:rsidR="0042305B">
        <w:rPr>
          <w:b/>
          <w:bCs/>
        </w:rPr>
        <w:t>–</w:t>
      </w:r>
      <w:r w:rsidR="009523E6" w:rsidRPr="00A86CF6">
        <w:rPr>
          <w:b/>
          <w:bCs/>
          <w:spacing w:val="-4"/>
        </w:rPr>
        <w:t>5</w:t>
      </w:r>
      <w:r w:rsidRPr="00A86CF6">
        <w:rPr>
          <w:b/>
          <w:bCs/>
          <w:spacing w:val="-4"/>
        </w:rPr>
        <w:t xml:space="preserve">): </w:t>
      </w:r>
      <w:r w:rsidRPr="00A86CF6">
        <w:rPr>
          <w:spacing w:val="-4"/>
        </w:rPr>
        <w:t xml:space="preserve">Considers that in some areas such as housing, food and renewable energy sectors, strengthening regulation could improve productivity, competition and consumer confidence. Suggests the decision to freeze updates to the NCC was not justified with </w:t>
      </w:r>
      <w:r w:rsidR="009523E6" w:rsidRPr="00A86CF6">
        <w:rPr>
          <w:spacing w:val="-4"/>
        </w:rPr>
        <w:t xml:space="preserve">an </w:t>
      </w:r>
      <w:r w:rsidRPr="00A86CF6">
        <w:rPr>
          <w:spacing w:val="-4"/>
        </w:rPr>
        <w:t>evidence</w:t>
      </w:r>
      <w:r w:rsidR="00C44D1D" w:rsidRPr="00A86CF6">
        <w:rPr>
          <w:spacing w:val="-4"/>
        </w:rPr>
        <w:noBreakHyphen/>
      </w:r>
      <w:r w:rsidRPr="00A86CF6">
        <w:rPr>
          <w:spacing w:val="-4"/>
        </w:rPr>
        <w:t>based assessment of costs and benefits.</w:t>
      </w:r>
    </w:p>
    <w:p w14:paraId="25D71A36" w14:textId="3F70F22F" w:rsidR="00573C23" w:rsidRDefault="00573C23" w:rsidP="00573C23">
      <w:pPr>
        <w:pStyle w:val="BodyText"/>
      </w:pPr>
      <w:r>
        <w:rPr>
          <w:b/>
          <w:bCs/>
        </w:rPr>
        <w:t>Western Australian AI Hub (sub.</w:t>
      </w:r>
      <w:r w:rsidR="00AC364C">
        <w:rPr>
          <w:b/>
          <w:bCs/>
        </w:rPr>
        <w:t> </w:t>
      </w:r>
      <w:r>
        <w:rPr>
          <w:b/>
          <w:bCs/>
        </w:rPr>
        <w:t>168</w:t>
      </w:r>
      <w:r w:rsidR="009523E6">
        <w:rPr>
          <w:b/>
          <w:bCs/>
        </w:rPr>
        <w:t>, p.</w:t>
      </w:r>
      <w:r w:rsidR="00AC364C">
        <w:rPr>
          <w:b/>
          <w:bCs/>
        </w:rPr>
        <w:t> </w:t>
      </w:r>
      <w:r w:rsidR="00F47514">
        <w:rPr>
          <w:b/>
          <w:bCs/>
        </w:rPr>
        <w:t>8</w:t>
      </w:r>
      <w:r>
        <w:rPr>
          <w:b/>
          <w:bCs/>
        </w:rPr>
        <w:t>):</w:t>
      </w:r>
      <w:r w:rsidDel="004C3DB5">
        <w:rPr>
          <w:b/>
        </w:rPr>
        <w:t xml:space="preserve"> </w:t>
      </w:r>
      <w:r w:rsidRPr="004B1093">
        <w:t>Support</w:t>
      </w:r>
      <w:r>
        <w:t>ed</w:t>
      </w:r>
      <w:r w:rsidRPr="004B1093">
        <w:t xml:space="preserve"> </w:t>
      </w:r>
      <w:r>
        <w:t xml:space="preserve">the use of </w:t>
      </w:r>
      <w:proofErr w:type="spellStart"/>
      <w:r w:rsidRPr="004B1093">
        <w:t>RegTech</w:t>
      </w:r>
      <w:proofErr w:type="spellEnd"/>
      <w:r w:rsidRPr="004B1093">
        <w:t xml:space="preserve"> to help cut through regulatory delay for matters such as environmental approvals</w:t>
      </w:r>
      <w:r>
        <w:t>, which they suggest are ‘slow, uncertain and complex’.</w:t>
      </w:r>
    </w:p>
    <w:p w14:paraId="481558BE" w14:textId="25D615F7" w:rsidR="00573C23" w:rsidRPr="00DD371E" w:rsidRDefault="00573C23" w:rsidP="00573C23">
      <w:pPr>
        <w:pStyle w:val="BodyText"/>
        <w:rPr>
          <w:spacing w:val="-4"/>
        </w:rPr>
      </w:pPr>
      <w:r w:rsidRPr="00DD371E">
        <w:rPr>
          <w:b/>
          <w:bCs/>
          <w:spacing w:val="-4"/>
        </w:rPr>
        <w:t>Master Builders Australia (sub.</w:t>
      </w:r>
      <w:r w:rsidR="00AC364C" w:rsidRPr="00DD371E">
        <w:rPr>
          <w:b/>
          <w:bCs/>
          <w:spacing w:val="-4"/>
        </w:rPr>
        <w:t> </w:t>
      </w:r>
      <w:r w:rsidRPr="00DD371E">
        <w:rPr>
          <w:b/>
          <w:bCs/>
          <w:spacing w:val="-4"/>
        </w:rPr>
        <w:t>192</w:t>
      </w:r>
      <w:r w:rsidR="00F47514" w:rsidRPr="00DD371E">
        <w:rPr>
          <w:b/>
          <w:bCs/>
          <w:spacing w:val="-4"/>
        </w:rPr>
        <w:t>, p.</w:t>
      </w:r>
      <w:r w:rsidR="00AC364C" w:rsidRPr="00DD371E">
        <w:rPr>
          <w:b/>
          <w:bCs/>
          <w:spacing w:val="-4"/>
        </w:rPr>
        <w:t> </w:t>
      </w:r>
      <w:r w:rsidR="00F47514" w:rsidRPr="00DD371E">
        <w:rPr>
          <w:b/>
          <w:bCs/>
          <w:spacing w:val="-4"/>
        </w:rPr>
        <w:t>8</w:t>
      </w:r>
      <w:r w:rsidRPr="00DD371E">
        <w:rPr>
          <w:b/>
          <w:bCs/>
          <w:spacing w:val="-4"/>
        </w:rPr>
        <w:t xml:space="preserve">): </w:t>
      </w:r>
      <w:r w:rsidRPr="00DD371E">
        <w:rPr>
          <w:spacing w:val="-4"/>
        </w:rPr>
        <w:t>Expressed concerns that deposit</w:t>
      </w:r>
      <w:r w:rsidR="00C44D1D" w:rsidRPr="00DD371E">
        <w:rPr>
          <w:spacing w:val="-4"/>
        </w:rPr>
        <w:noBreakHyphen/>
      </w:r>
      <w:r w:rsidRPr="00DD371E">
        <w:rPr>
          <w:spacing w:val="-4"/>
        </w:rPr>
        <w:t>cap schemes for residential building contracts intersect with other compliance requirements and cause cash flow pressures for builders. They suggested that changes to the NCC over time have increased complexity, increased compliance costs and need reviewing to ensure they only impose minimum standards. They also expressed that public procurement settings in construction are overly rigid, and increase costs, and constrain competition and productivity. They supported a review of land and construction taxes and how they affect investment and housing costs.</w:t>
      </w:r>
    </w:p>
    <w:p w14:paraId="75FA43AB" w14:textId="1880E238" w:rsidR="00573C23" w:rsidRPr="009D20AE" w:rsidRDefault="00573C23" w:rsidP="00573C23">
      <w:pPr>
        <w:pStyle w:val="BodyText"/>
        <w:rPr>
          <w:b/>
          <w:bCs/>
        </w:rPr>
      </w:pPr>
      <w:r>
        <w:rPr>
          <w:b/>
          <w:bCs/>
        </w:rPr>
        <w:t>Business Council of Australia (sub.</w:t>
      </w:r>
      <w:r w:rsidR="00AC364C">
        <w:rPr>
          <w:b/>
          <w:bCs/>
        </w:rPr>
        <w:t> </w:t>
      </w:r>
      <w:r>
        <w:rPr>
          <w:b/>
          <w:bCs/>
        </w:rPr>
        <w:t>200</w:t>
      </w:r>
      <w:r w:rsidR="00A80CC5" w:rsidRPr="00A80CC5">
        <w:rPr>
          <w:b/>
          <w:bCs/>
        </w:rPr>
        <w:t>, p.</w:t>
      </w:r>
      <w:r w:rsidR="00AC364C">
        <w:rPr>
          <w:b/>
          <w:bCs/>
        </w:rPr>
        <w:t> </w:t>
      </w:r>
      <w:r w:rsidR="00A80CC5" w:rsidRPr="00A80CC5">
        <w:rPr>
          <w:b/>
          <w:bCs/>
        </w:rPr>
        <w:t xml:space="preserve">13): </w:t>
      </w:r>
      <w:r w:rsidR="00A80CC5" w:rsidRPr="00A80CC5">
        <w:t>Provided a link to their Better Regulation Report, where they argued</w:t>
      </w:r>
      <w:r>
        <w:t xml:space="preserve"> that the </w:t>
      </w:r>
      <w:r w:rsidRPr="00CB472E">
        <w:rPr>
          <w:i/>
          <w:iCs/>
        </w:rPr>
        <w:t>Environment Protection and Biodiversity Conservation Act 1999</w:t>
      </w:r>
      <w:r>
        <w:rPr>
          <w:i/>
          <w:iCs/>
        </w:rPr>
        <w:t xml:space="preserve"> </w:t>
      </w:r>
      <w:r>
        <w:t>needs reform to streamline the assessment and approvals process for developments.</w:t>
      </w:r>
    </w:p>
    <w:p w14:paraId="1D02DE60" w14:textId="77777777" w:rsidR="00573C23" w:rsidRDefault="00573C23" w:rsidP="001C53B3">
      <w:pPr>
        <w:pStyle w:val="Heading2-nonumber"/>
        <w:spacing w:before="240"/>
      </w:pPr>
      <w:bookmarkStart w:id="26" w:name="_Toc215092986"/>
      <w:r>
        <w:lastRenderedPageBreak/>
        <w:t>Medical, chemical and cosmetic sector regulations</w:t>
      </w:r>
      <w:bookmarkEnd w:id="26"/>
    </w:p>
    <w:p w14:paraId="1219C80B" w14:textId="48C26715" w:rsidR="00573C23" w:rsidRDefault="00573C23" w:rsidP="00573C23">
      <w:pPr>
        <w:pStyle w:val="BodyText"/>
      </w:pPr>
      <w:r>
        <w:rPr>
          <w:b/>
          <w:bCs/>
        </w:rPr>
        <w:t>Accord Australasia (sub.</w:t>
      </w:r>
      <w:r w:rsidR="00AC364C">
        <w:rPr>
          <w:b/>
          <w:bCs/>
        </w:rPr>
        <w:t> </w:t>
      </w:r>
      <w:r>
        <w:rPr>
          <w:b/>
          <w:bCs/>
        </w:rPr>
        <w:t>97</w:t>
      </w:r>
      <w:r w:rsidR="00A80CC5">
        <w:rPr>
          <w:b/>
          <w:bCs/>
        </w:rPr>
        <w:t>, pp.</w:t>
      </w:r>
      <w:r w:rsidR="00AC364C">
        <w:rPr>
          <w:b/>
          <w:bCs/>
        </w:rPr>
        <w:t> </w:t>
      </w:r>
      <w:r w:rsidR="00A80CC5">
        <w:rPr>
          <w:b/>
          <w:bCs/>
        </w:rPr>
        <w:t>7</w:t>
      </w:r>
      <w:r w:rsidR="008B4459">
        <w:rPr>
          <w:b/>
          <w:bCs/>
        </w:rPr>
        <w:t>–</w:t>
      </w:r>
      <w:r w:rsidR="00A80CC5">
        <w:rPr>
          <w:b/>
          <w:bCs/>
        </w:rPr>
        <w:t>22</w:t>
      </w:r>
      <w:r>
        <w:rPr>
          <w:b/>
          <w:bCs/>
        </w:rPr>
        <w:t xml:space="preserve">): </w:t>
      </w:r>
      <w:r w:rsidRPr="0099299F">
        <w:t>Provide</w:t>
      </w:r>
      <w:r>
        <w:t>d</w:t>
      </w:r>
      <w:r w:rsidRPr="0099299F">
        <w:t xml:space="preserve"> several examples </w:t>
      </w:r>
      <w:r>
        <w:t xml:space="preserve">where they claimed that there was misalignment between the domestic standards set by the </w:t>
      </w:r>
      <w:r w:rsidRPr="0099299F">
        <w:t>T</w:t>
      </w:r>
      <w:r>
        <w:t xml:space="preserve">herapeutic </w:t>
      </w:r>
      <w:r w:rsidRPr="0099299F">
        <w:t>G</w:t>
      </w:r>
      <w:r>
        <w:t xml:space="preserve">oods </w:t>
      </w:r>
      <w:r w:rsidRPr="0099299F">
        <w:t>A</w:t>
      </w:r>
      <w:r>
        <w:t>dministration</w:t>
      </w:r>
      <w:r w:rsidRPr="0099299F">
        <w:t xml:space="preserve"> and other cosmetic regulators</w:t>
      </w:r>
      <w:r>
        <w:t xml:space="preserve">, with </w:t>
      </w:r>
      <w:r w:rsidRPr="0099299F">
        <w:t>overseas standards</w:t>
      </w:r>
      <w:r>
        <w:t>,</w:t>
      </w:r>
      <w:r w:rsidRPr="0099299F">
        <w:t xml:space="preserve"> </w:t>
      </w:r>
      <w:r>
        <w:t xml:space="preserve">which they felt </w:t>
      </w:r>
      <w:r w:rsidRPr="0099299F">
        <w:t>caus</w:t>
      </w:r>
      <w:r>
        <w:t>ed</w:t>
      </w:r>
      <w:r w:rsidRPr="0099299F">
        <w:t xml:space="preserve"> regulatory delay, </w:t>
      </w:r>
      <w:r>
        <w:t xml:space="preserve">and </w:t>
      </w:r>
      <w:r w:rsidRPr="0099299F">
        <w:t>inconsistent, overlapping and duplicative regulations and regulatory overreach.</w:t>
      </w:r>
    </w:p>
    <w:p w14:paraId="021C0632" w14:textId="6A26EDEA" w:rsidR="00573C23" w:rsidRDefault="00573C23" w:rsidP="00573C23">
      <w:pPr>
        <w:pStyle w:val="BodyText"/>
      </w:pPr>
      <w:r>
        <w:rPr>
          <w:b/>
          <w:bCs/>
        </w:rPr>
        <w:t>CropLife Australia (sub.</w:t>
      </w:r>
      <w:r w:rsidR="00AC364C">
        <w:rPr>
          <w:b/>
          <w:bCs/>
        </w:rPr>
        <w:t> </w:t>
      </w:r>
      <w:r>
        <w:rPr>
          <w:b/>
          <w:bCs/>
        </w:rPr>
        <w:t>118</w:t>
      </w:r>
      <w:r w:rsidR="00A80CC5">
        <w:rPr>
          <w:b/>
          <w:bCs/>
        </w:rPr>
        <w:t>, pp.</w:t>
      </w:r>
      <w:r w:rsidR="00AC364C">
        <w:rPr>
          <w:b/>
          <w:bCs/>
        </w:rPr>
        <w:t> </w:t>
      </w:r>
      <w:r w:rsidR="00A80CC5">
        <w:rPr>
          <w:b/>
          <w:bCs/>
        </w:rPr>
        <w:t>4</w:t>
      </w:r>
      <w:r w:rsidR="008B4459">
        <w:rPr>
          <w:b/>
          <w:bCs/>
        </w:rPr>
        <w:t>–</w:t>
      </w:r>
      <w:r w:rsidR="00A80CC5">
        <w:rPr>
          <w:b/>
          <w:bCs/>
        </w:rPr>
        <w:t>11</w:t>
      </w:r>
      <w:r>
        <w:rPr>
          <w:b/>
          <w:bCs/>
        </w:rPr>
        <w:t xml:space="preserve">): </w:t>
      </w:r>
      <w:r w:rsidRPr="00E556AC">
        <w:t>Provide</w:t>
      </w:r>
      <w:r>
        <w:t>d</w:t>
      </w:r>
      <w:r w:rsidRPr="00E556AC">
        <w:t xml:space="preserve"> several examples of regulations </w:t>
      </w:r>
      <w:r>
        <w:t xml:space="preserve">relating to the agricultural chemical and plant biotechnology sector in Australia. They suggested that </w:t>
      </w:r>
      <w:r w:rsidRPr="00E556AC">
        <w:t>A</w:t>
      </w:r>
      <w:r>
        <w:t xml:space="preserve">ustralian </w:t>
      </w:r>
      <w:r w:rsidRPr="00E556AC">
        <w:t>P</w:t>
      </w:r>
      <w:r>
        <w:t xml:space="preserve">esticides and </w:t>
      </w:r>
      <w:r w:rsidRPr="00E556AC">
        <w:t>V</w:t>
      </w:r>
      <w:r>
        <w:t xml:space="preserve">eterinary </w:t>
      </w:r>
      <w:r w:rsidRPr="00E556AC">
        <w:t>M</w:t>
      </w:r>
      <w:r>
        <w:t xml:space="preserve">edicines </w:t>
      </w:r>
      <w:r w:rsidRPr="00E556AC">
        <w:t>A</w:t>
      </w:r>
      <w:r>
        <w:t>uthority</w:t>
      </w:r>
      <w:r w:rsidRPr="00E556AC">
        <w:t xml:space="preserve"> </w:t>
      </w:r>
      <w:r>
        <w:t xml:space="preserve">statutory </w:t>
      </w:r>
      <w:r w:rsidRPr="00E556AC">
        <w:t>timeframes and assessments, biosecurity import restrictions, packaging rules and gene technology framework</w:t>
      </w:r>
      <w:r>
        <w:t xml:space="preserve"> were all problematic, most commonly due to duplication, inconsistency, prescriptiveness, risk averse regulatory approaches and regulatory delays.</w:t>
      </w:r>
    </w:p>
    <w:p w14:paraId="0826687C" w14:textId="5EF25E76" w:rsidR="00573C23" w:rsidRDefault="00573C23" w:rsidP="00573C23">
      <w:pPr>
        <w:pStyle w:val="BodyText"/>
      </w:pPr>
      <w:r>
        <w:rPr>
          <w:b/>
          <w:bCs/>
        </w:rPr>
        <w:t>Complementary Medicines Australia (sub.</w:t>
      </w:r>
      <w:r w:rsidR="00AC364C">
        <w:rPr>
          <w:b/>
          <w:bCs/>
        </w:rPr>
        <w:t> </w:t>
      </w:r>
      <w:r>
        <w:rPr>
          <w:b/>
          <w:bCs/>
        </w:rPr>
        <w:t>140</w:t>
      </w:r>
      <w:r w:rsidR="00A80CC5">
        <w:rPr>
          <w:b/>
          <w:bCs/>
        </w:rPr>
        <w:t>, p</w:t>
      </w:r>
      <w:r w:rsidR="00923EC1">
        <w:rPr>
          <w:b/>
          <w:bCs/>
        </w:rPr>
        <w:t>p.</w:t>
      </w:r>
      <w:r w:rsidR="00AC364C">
        <w:rPr>
          <w:b/>
          <w:bCs/>
        </w:rPr>
        <w:t> </w:t>
      </w:r>
      <w:r w:rsidR="00923EC1">
        <w:rPr>
          <w:b/>
          <w:bCs/>
        </w:rPr>
        <w:t>1</w:t>
      </w:r>
      <w:r w:rsidR="00A6197B">
        <w:rPr>
          <w:b/>
          <w:bCs/>
        </w:rPr>
        <w:t>–</w:t>
      </w:r>
      <w:r w:rsidR="00923EC1">
        <w:rPr>
          <w:b/>
          <w:bCs/>
        </w:rPr>
        <w:t>2</w:t>
      </w:r>
      <w:r>
        <w:rPr>
          <w:b/>
          <w:bCs/>
        </w:rPr>
        <w:t xml:space="preserve">): </w:t>
      </w:r>
      <w:r w:rsidRPr="00C72475">
        <w:t>Consider</w:t>
      </w:r>
      <w:r>
        <w:t>ed</w:t>
      </w:r>
      <w:r w:rsidRPr="00C72475">
        <w:t xml:space="preserve"> there is significant overreach in </w:t>
      </w:r>
      <w:r>
        <w:t xml:space="preserve">medicine </w:t>
      </w:r>
      <w:r w:rsidRPr="00C72475">
        <w:t xml:space="preserve">product regulation not commensurate with risk, </w:t>
      </w:r>
      <w:r>
        <w:t>contributing to cumulative regulatory burden and</w:t>
      </w:r>
      <w:r w:rsidRPr="00C72475">
        <w:t xml:space="preserve"> reduc</w:t>
      </w:r>
      <w:r>
        <w:t>ing</w:t>
      </w:r>
      <w:r w:rsidRPr="00C72475">
        <w:t xml:space="preserve"> international competitiveness.</w:t>
      </w:r>
    </w:p>
    <w:p w14:paraId="448318FE" w14:textId="2A101BF6" w:rsidR="00573C23" w:rsidRDefault="00573C23" w:rsidP="00573C23">
      <w:pPr>
        <w:pStyle w:val="BodyText"/>
      </w:pPr>
      <w:r>
        <w:rPr>
          <w:b/>
          <w:bCs/>
        </w:rPr>
        <w:t>Chemistry Australia (sub.</w:t>
      </w:r>
      <w:r w:rsidR="00AC364C">
        <w:rPr>
          <w:b/>
          <w:bCs/>
        </w:rPr>
        <w:t> </w:t>
      </w:r>
      <w:r>
        <w:rPr>
          <w:b/>
          <w:bCs/>
        </w:rPr>
        <w:t>172</w:t>
      </w:r>
      <w:r w:rsidR="00923EC1">
        <w:rPr>
          <w:b/>
          <w:bCs/>
        </w:rPr>
        <w:t xml:space="preserve">, </w:t>
      </w:r>
      <w:r w:rsidR="001C3BFE">
        <w:rPr>
          <w:b/>
          <w:bCs/>
        </w:rPr>
        <w:t>pp.</w:t>
      </w:r>
      <w:r w:rsidR="00AC364C">
        <w:rPr>
          <w:b/>
          <w:bCs/>
        </w:rPr>
        <w:t> </w:t>
      </w:r>
      <w:r w:rsidR="001C3BFE">
        <w:rPr>
          <w:b/>
          <w:bCs/>
        </w:rPr>
        <w:t>5</w:t>
      </w:r>
      <w:r w:rsidR="00A6197B">
        <w:rPr>
          <w:b/>
          <w:bCs/>
        </w:rPr>
        <w:t>–</w:t>
      </w:r>
      <w:r w:rsidR="001C3BFE">
        <w:rPr>
          <w:b/>
          <w:bCs/>
        </w:rPr>
        <w:t>6</w:t>
      </w:r>
      <w:r>
        <w:rPr>
          <w:b/>
          <w:bCs/>
        </w:rPr>
        <w:t xml:space="preserve">): </w:t>
      </w:r>
      <w:r>
        <w:t>Claim that c</w:t>
      </w:r>
      <w:r w:rsidRPr="004962E5">
        <w:t>ooperative schemes for dangerous goods regulation and safety lack coordination</w:t>
      </w:r>
      <w:r>
        <w:t xml:space="preserve"> and single point of accountability</w:t>
      </w:r>
      <w:r w:rsidRPr="004962E5">
        <w:t xml:space="preserve">. </w:t>
      </w:r>
      <w:r>
        <w:t>They provided several examples, including requirements under the Australian Dangerous Goods Code that they suggest are costly to businesses and misaligned with international practices, and claims that a Therapeutic Goods Administration proposal for licensing requirements on products would effectively ban their sale in supermarkets and hardware stores, with expected significant costs to the industry.</w:t>
      </w:r>
    </w:p>
    <w:p w14:paraId="74629EBA" w14:textId="77777777" w:rsidR="00573C23" w:rsidRDefault="00573C23" w:rsidP="001C53B3">
      <w:pPr>
        <w:pStyle w:val="Heading2-nonumber"/>
        <w:spacing w:before="240"/>
      </w:pPr>
      <w:bookmarkStart w:id="27" w:name="_Toc215092987"/>
      <w:r>
        <w:t>Primary production, food and export sector regulations</w:t>
      </w:r>
      <w:bookmarkEnd w:id="27"/>
    </w:p>
    <w:p w14:paraId="06704E05" w14:textId="0AB5B8A0" w:rsidR="00573C23" w:rsidRPr="00A6197B" w:rsidRDefault="00573C23" w:rsidP="00573C23">
      <w:pPr>
        <w:pStyle w:val="BodyText"/>
        <w:rPr>
          <w:spacing w:val="-2"/>
        </w:rPr>
      </w:pPr>
      <w:r w:rsidRPr="00A6197B">
        <w:rPr>
          <w:b/>
          <w:bCs/>
          <w:spacing w:val="-2"/>
        </w:rPr>
        <w:t>Australian Organic Limited (sub.</w:t>
      </w:r>
      <w:r w:rsidR="00AC364C" w:rsidRPr="00A6197B">
        <w:rPr>
          <w:b/>
          <w:bCs/>
          <w:spacing w:val="-2"/>
        </w:rPr>
        <w:t> </w:t>
      </w:r>
      <w:r w:rsidRPr="00A6197B">
        <w:rPr>
          <w:b/>
          <w:bCs/>
          <w:spacing w:val="-2"/>
        </w:rPr>
        <w:t>55</w:t>
      </w:r>
      <w:r w:rsidR="006461C8" w:rsidRPr="00A6197B">
        <w:rPr>
          <w:b/>
          <w:bCs/>
          <w:spacing w:val="-2"/>
        </w:rPr>
        <w:t>, pp.</w:t>
      </w:r>
      <w:r w:rsidR="00AC364C" w:rsidRPr="00A6197B">
        <w:rPr>
          <w:b/>
          <w:bCs/>
          <w:spacing w:val="-2"/>
        </w:rPr>
        <w:t> </w:t>
      </w:r>
      <w:r w:rsidR="006461C8" w:rsidRPr="00A6197B">
        <w:rPr>
          <w:b/>
          <w:bCs/>
          <w:spacing w:val="-2"/>
        </w:rPr>
        <w:t>3</w:t>
      </w:r>
      <w:r w:rsidR="00A6197B" w:rsidRPr="00A6197B">
        <w:rPr>
          <w:b/>
          <w:bCs/>
          <w:spacing w:val="-2"/>
        </w:rPr>
        <w:t>–</w:t>
      </w:r>
      <w:r w:rsidR="006461C8" w:rsidRPr="00A6197B">
        <w:rPr>
          <w:b/>
          <w:bCs/>
          <w:spacing w:val="-2"/>
        </w:rPr>
        <w:t>6</w:t>
      </w:r>
      <w:r w:rsidRPr="00A6197B">
        <w:rPr>
          <w:b/>
          <w:bCs/>
          <w:spacing w:val="-2"/>
        </w:rPr>
        <w:t>)</w:t>
      </w:r>
      <w:r w:rsidR="00093062" w:rsidRPr="00A6197B">
        <w:rPr>
          <w:b/>
          <w:bCs/>
          <w:spacing w:val="-2"/>
        </w:rPr>
        <w:t>:</w:t>
      </w:r>
      <w:r w:rsidRPr="00A6197B">
        <w:rPr>
          <w:b/>
          <w:bCs/>
          <w:spacing w:val="-2"/>
        </w:rPr>
        <w:t xml:space="preserve"> </w:t>
      </w:r>
      <w:r w:rsidR="00093062" w:rsidRPr="00A6197B">
        <w:rPr>
          <w:spacing w:val="-2"/>
        </w:rPr>
        <w:t>R</w:t>
      </w:r>
      <w:r w:rsidRPr="00A6197B">
        <w:rPr>
          <w:spacing w:val="-2"/>
        </w:rPr>
        <w:t xml:space="preserve">aised concerns about the regulatory framework for organic products in Australia, including the mandatory government standard </w:t>
      </w:r>
      <w:r w:rsidRPr="00A6197B">
        <w:rPr>
          <w:i/>
          <w:iCs/>
          <w:spacing w:val="-2"/>
        </w:rPr>
        <w:t>National Standard for Organic and Bio</w:t>
      </w:r>
      <w:r w:rsidR="00C44D1D" w:rsidRPr="00A6197B">
        <w:rPr>
          <w:i/>
          <w:iCs/>
          <w:spacing w:val="-2"/>
        </w:rPr>
        <w:noBreakHyphen/>
      </w:r>
      <w:r w:rsidRPr="00A6197B">
        <w:rPr>
          <w:i/>
          <w:iCs/>
          <w:spacing w:val="-2"/>
        </w:rPr>
        <w:t>Dynamic Produce</w:t>
      </w:r>
      <w:r w:rsidRPr="00A6197B">
        <w:rPr>
          <w:spacing w:val="-2"/>
        </w:rPr>
        <w:t xml:space="preserve"> which only applies to export products. They said it created a dual regulatory system with no clear policy rationale, which creates complexity and adds to cumulative burden on businesses. They also pointed to some related issues in the industry, including the large costs of export certification due to lack of equivalency agreements with some countries, market failure of information asymmetry and free riding with ‘greenwashing’, and lack of enforcement under the current certification regulatory system.</w:t>
      </w:r>
    </w:p>
    <w:p w14:paraId="1D6DC074" w14:textId="367E5635" w:rsidR="00573C23" w:rsidRDefault="00573C23" w:rsidP="00573C23">
      <w:pPr>
        <w:pStyle w:val="BodyText"/>
      </w:pPr>
      <w:r>
        <w:rPr>
          <w:b/>
          <w:bCs/>
        </w:rPr>
        <w:t>Australian Aluminium Council (sub.</w:t>
      </w:r>
      <w:r w:rsidR="00AC364C">
        <w:rPr>
          <w:b/>
          <w:bCs/>
        </w:rPr>
        <w:t> </w:t>
      </w:r>
      <w:r>
        <w:rPr>
          <w:b/>
          <w:bCs/>
        </w:rPr>
        <w:t>129</w:t>
      </w:r>
      <w:r w:rsidR="006461C8">
        <w:rPr>
          <w:b/>
          <w:bCs/>
        </w:rPr>
        <w:t>, p.</w:t>
      </w:r>
      <w:r w:rsidR="00AC364C">
        <w:rPr>
          <w:b/>
          <w:bCs/>
        </w:rPr>
        <w:t> </w:t>
      </w:r>
      <w:r w:rsidR="006461C8">
        <w:rPr>
          <w:b/>
          <w:bCs/>
        </w:rPr>
        <w:t>2</w:t>
      </w:r>
      <w:r>
        <w:rPr>
          <w:b/>
          <w:bCs/>
        </w:rPr>
        <w:t xml:space="preserve">): </w:t>
      </w:r>
      <w:r>
        <w:t>Raised concerns about</w:t>
      </w:r>
      <w:r w:rsidRPr="002C004D">
        <w:t xml:space="preserve"> duplication of environment reporting schemes</w:t>
      </w:r>
      <w:r>
        <w:t xml:space="preserve"> and auditing of data sets, providing examples, and suggested that</w:t>
      </w:r>
      <w:r w:rsidRPr="002C004D">
        <w:t xml:space="preserve"> the aluminium shipping licences scheme is outdated and burdensome</w:t>
      </w:r>
      <w:r>
        <w:t>.</w:t>
      </w:r>
    </w:p>
    <w:p w14:paraId="167CE32E" w14:textId="243B030A" w:rsidR="00573C23" w:rsidRPr="00DD371E" w:rsidRDefault="00573C23" w:rsidP="00573C23">
      <w:pPr>
        <w:pStyle w:val="BodyText"/>
        <w:rPr>
          <w:spacing w:val="-4"/>
        </w:rPr>
      </w:pPr>
      <w:r w:rsidRPr="00DD371E">
        <w:rPr>
          <w:b/>
          <w:bCs/>
          <w:spacing w:val="-4"/>
        </w:rPr>
        <w:t>Australian Food and Grocery Council (sub.</w:t>
      </w:r>
      <w:r w:rsidR="00AC364C" w:rsidRPr="00DD371E">
        <w:rPr>
          <w:b/>
          <w:bCs/>
          <w:spacing w:val="-4"/>
        </w:rPr>
        <w:t> </w:t>
      </w:r>
      <w:r w:rsidRPr="00DD371E">
        <w:rPr>
          <w:b/>
          <w:bCs/>
          <w:spacing w:val="-4"/>
        </w:rPr>
        <w:t>176</w:t>
      </w:r>
      <w:r w:rsidR="006461C8" w:rsidRPr="00DD371E">
        <w:rPr>
          <w:b/>
          <w:bCs/>
          <w:spacing w:val="-4"/>
        </w:rPr>
        <w:t>, p.</w:t>
      </w:r>
      <w:r w:rsidR="00AC364C" w:rsidRPr="00DD371E">
        <w:rPr>
          <w:b/>
          <w:bCs/>
          <w:spacing w:val="-4"/>
        </w:rPr>
        <w:t> </w:t>
      </w:r>
      <w:r w:rsidR="006461C8" w:rsidRPr="00DD371E">
        <w:rPr>
          <w:b/>
          <w:bCs/>
          <w:spacing w:val="-4"/>
        </w:rPr>
        <w:t>4</w:t>
      </w:r>
      <w:r w:rsidRPr="00DD371E">
        <w:rPr>
          <w:b/>
          <w:bCs/>
          <w:spacing w:val="-4"/>
        </w:rPr>
        <w:t xml:space="preserve">): </w:t>
      </w:r>
      <w:r w:rsidRPr="00DD371E">
        <w:rPr>
          <w:spacing w:val="-4"/>
        </w:rPr>
        <w:t>Shared concerns with various aspects of the FSANZ. For example, they argue that it is hard to modify the standards and use international assessments, and applications are costly and not timely. They suggested there is a need for more streamlined approval pathways for lower risk products that are recognised overseas. They also argued that there is a mismatch where FSANZ sets national food standards, but the jurisdictions enforce them and are not aligned in their approaches.</w:t>
      </w:r>
    </w:p>
    <w:p w14:paraId="502428A9" w14:textId="77777777" w:rsidR="00573C23" w:rsidRDefault="00573C23" w:rsidP="001C53B3">
      <w:pPr>
        <w:pStyle w:val="Heading2-nonumber"/>
        <w:spacing w:before="240"/>
      </w:pPr>
      <w:bookmarkStart w:id="28" w:name="_Toc215092988"/>
      <w:r>
        <w:t>Telecommunication sector regulations</w:t>
      </w:r>
      <w:bookmarkEnd w:id="28"/>
    </w:p>
    <w:p w14:paraId="1638CA24" w14:textId="4E7A050D" w:rsidR="00573C23" w:rsidRPr="00DD371E" w:rsidRDefault="00573C23" w:rsidP="00573C23">
      <w:pPr>
        <w:pStyle w:val="BodyText"/>
        <w:rPr>
          <w:spacing w:val="-2"/>
        </w:rPr>
      </w:pPr>
      <w:r w:rsidRPr="00DD371E">
        <w:rPr>
          <w:b/>
          <w:bCs/>
          <w:spacing w:val="-2"/>
        </w:rPr>
        <w:t>Australian Mobile Telecommunications Association (sub.</w:t>
      </w:r>
      <w:r w:rsidR="00AC364C" w:rsidRPr="00DD371E">
        <w:rPr>
          <w:b/>
          <w:bCs/>
          <w:spacing w:val="-2"/>
        </w:rPr>
        <w:t> </w:t>
      </w:r>
      <w:r w:rsidRPr="00DD371E">
        <w:rPr>
          <w:b/>
          <w:bCs/>
          <w:spacing w:val="-2"/>
        </w:rPr>
        <w:t>98</w:t>
      </w:r>
      <w:r w:rsidR="006461C8" w:rsidRPr="00DD371E">
        <w:rPr>
          <w:b/>
          <w:bCs/>
          <w:spacing w:val="-2"/>
        </w:rPr>
        <w:t>, pp.</w:t>
      </w:r>
      <w:r w:rsidR="00AC364C" w:rsidRPr="00DD371E">
        <w:rPr>
          <w:b/>
          <w:bCs/>
          <w:spacing w:val="-2"/>
        </w:rPr>
        <w:t> </w:t>
      </w:r>
      <w:r w:rsidR="006461C8" w:rsidRPr="00DD371E">
        <w:rPr>
          <w:b/>
          <w:bCs/>
          <w:spacing w:val="-2"/>
        </w:rPr>
        <w:t>3</w:t>
      </w:r>
      <w:r w:rsidR="00A6197B">
        <w:rPr>
          <w:b/>
          <w:bCs/>
        </w:rPr>
        <w:t>–</w:t>
      </w:r>
      <w:r w:rsidR="006461C8" w:rsidRPr="00DD371E">
        <w:rPr>
          <w:b/>
          <w:bCs/>
          <w:spacing w:val="-2"/>
        </w:rPr>
        <w:t>5</w:t>
      </w:r>
      <w:r w:rsidRPr="00DD371E">
        <w:rPr>
          <w:b/>
          <w:bCs/>
          <w:spacing w:val="-2"/>
        </w:rPr>
        <w:t xml:space="preserve">): </w:t>
      </w:r>
      <w:r w:rsidRPr="00DD371E">
        <w:rPr>
          <w:spacing w:val="-2"/>
        </w:rPr>
        <w:t>Highlighted telecommunications infrastructure planning and deployment, including concerns about regulatory fragmentation and lack of harmonisation, inconsistency, duplication and delayed approvals. They provided examples of these concerns, including a case of a mobile phone tower provider being required to pay development contributions when building a tower in a rural area that was expected to be rezoned for residential development.</w:t>
      </w:r>
    </w:p>
    <w:p w14:paraId="1BAF8C64" w14:textId="3A8A179F" w:rsidR="00573C23" w:rsidRDefault="00573C23" w:rsidP="00573C23">
      <w:pPr>
        <w:pStyle w:val="BodyText"/>
      </w:pPr>
      <w:r>
        <w:rPr>
          <w:b/>
          <w:bCs/>
        </w:rPr>
        <w:lastRenderedPageBreak/>
        <w:t>The Australian Communications Consumer Action Network (sub.</w:t>
      </w:r>
      <w:r w:rsidR="00AC364C">
        <w:rPr>
          <w:b/>
          <w:bCs/>
        </w:rPr>
        <w:t> </w:t>
      </w:r>
      <w:r>
        <w:rPr>
          <w:b/>
          <w:bCs/>
        </w:rPr>
        <w:t>101</w:t>
      </w:r>
      <w:r w:rsidR="006461C8">
        <w:rPr>
          <w:b/>
          <w:bCs/>
        </w:rPr>
        <w:t>, p.</w:t>
      </w:r>
      <w:r w:rsidR="00AC364C">
        <w:rPr>
          <w:b/>
          <w:bCs/>
        </w:rPr>
        <w:t> </w:t>
      </w:r>
      <w:r w:rsidR="006461C8">
        <w:rPr>
          <w:b/>
          <w:bCs/>
        </w:rPr>
        <w:t>2</w:t>
      </w:r>
      <w:r>
        <w:rPr>
          <w:b/>
          <w:bCs/>
        </w:rPr>
        <w:t>):</w:t>
      </w:r>
      <w:r>
        <w:t xml:space="preserve"> Suggested that the telecommunications sector needs regulatory reform, including modernising the framework, move from self</w:t>
      </w:r>
      <w:r w:rsidR="00C44D1D">
        <w:noBreakHyphen/>
      </w:r>
      <w:r>
        <w:t>regulation to direct regulation, reduction in complexity.</w:t>
      </w:r>
    </w:p>
    <w:p w14:paraId="38A98C7B" w14:textId="16CA9B1D" w:rsidR="00573C23" w:rsidRDefault="00573C23" w:rsidP="00573C23">
      <w:pPr>
        <w:pStyle w:val="BodyText"/>
      </w:pPr>
      <w:r>
        <w:rPr>
          <w:b/>
          <w:bCs/>
        </w:rPr>
        <w:t>Telstra (sub.</w:t>
      </w:r>
      <w:r w:rsidR="00AC364C">
        <w:rPr>
          <w:b/>
          <w:bCs/>
        </w:rPr>
        <w:t> </w:t>
      </w:r>
      <w:r>
        <w:rPr>
          <w:b/>
          <w:bCs/>
        </w:rPr>
        <w:t>188</w:t>
      </w:r>
      <w:r w:rsidR="006461C8">
        <w:rPr>
          <w:b/>
          <w:bCs/>
        </w:rPr>
        <w:t>, pp.</w:t>
      </w:r>
      <w:r w:rsidR="00AC364C">
        <w:rPr>
          <w:b/>
          <w:bCs/>
        </w:rPr>
        <w:t> </w:t>
      </w:r>
      <w:r w:rsidR="006461C8">
        <w:rPr>
          <w:b/>
          <w:bCs/>
        </w:rPr>
        <w:t>8</w:t>
      </w:r>
      <w:r w:rsidR="00A6197B">
        <w:rPr>
          <w:b/>
          <w:bCs/>
        </w:rPr>
        <w:t>–</w:t>
      </w:r>
      <w:r w:rsidR="006461C8">
        <w:rPr>
          <w:b/>
          <w:bCs/>
        </w:rPr>
        <w:t>9</w:t>
      </w:r>
      <w:r>
        <w:rPr>
          <w:b/>
          <w:bCs/>
        </w:rPr>
        <w:t xml:space="preserve">): </w:t>
      </w:r>
      <w:r w:rsidRPr="00FB66DD">
        <w:t>Support</w:t>
      </w:r>
      <w:r>
        <w:t>ed</w:t>
      </w:r>
      <w:r w:rsidRPr="00FB66DD">
        <w:t xml:space="preserve"> better coordination of </w:t>
      </w:r>
      <w:proofErr w:type="gramStart"/>
      <w:r w:rsidRPr="00FB66DD">
        <w:t>telecommunications regulation</w:t>
      </w:r>
      <w:r>
        <w:t>, and</w:t>
      </w:r>
      <w:proofErr w:type="gramEnd"/>
      <w:r>
        <w:t xml:space="preserve"> suggested that</w:t>
      </w:r>
      <w:r w:rsidRPr="00FB66DD">
        <w:t xml:space="preserve"> a regulatory initiatives grid could be beneficial for the sector</w:t>
      </w:r>
      <w:r>
        <w:t xml:space="preserve"> to address the overall stock of regulation.</w:t>
      </w:r>
    </w:p>
    <w:p w14:paraId="5B7F0E58" w14:textId="77777777" w:rsidR="00573C23" w:rsidRDefault="00573C23" w:rsidP="001C53B3">
      <w:pPr>
        <w:pStyle w:val="Heading2-nonumber"/>
        <w:spacing w:before="240"/>
      </w:pPr>
      <w:bookmarkStart w:id="29" w:name="_Toc215092989"/>
      <w:r>
        <w:t>Transport, freight and logistics sector regulations</w:t>
      </w:r>
      <w:bookmarkEnd w:id="29"/>
    </w:p>
    <w:p w14:paraId="345620A2" w14:textId="558B3866" w:rsidR="00573C23" w:rsidRPr="00A6197B" w:rsidRDefault="00573C23" w:rsidP="00573C23">
      <w:pPr>
        <w:pStyle w:val="BodyText"/>
        <w:rPr>
          <w:spacing w:val="-2"/>
        </w:rPr>
      </w:pPr>
      <w:r w:rsidRPr="00A6197B">
        <w:rPr>
          <w:b/>
          <w:bCs/>
          <w:spacing w:val="-2"/>
        </w:rPr>
        <w:t>Australian Logistics Council (sub.</w:t>
      </w:r>
      <w:r w:rsidR="00AC364C" w:rsidRPr="00A6197B">
        <w:rPr>
          <w:b/>
          <w:bCs/>
          <w:spacing w:val="-2"/>
        </w:rPr>
        <w:t> </w:t>
      </w:r>
      <w:r w:rsidRPr="00A6197B">
        <w:rPr>
          <w:b/>
          <w:bCs/>
          <w:spacing w:val="-2"/>
        </w:rPr>
        <w:t>82</w:t>
      </w:r>
      <w:r w:rsidR="006461C8" w:rsidRPr="00A6197B">
        <w:rPr>
          <w:b/>
          <w:bCs/>
          <w:spacing w:val="-2"/>
        </w:rPr>
        <w:t>, pp.</w:t>
      </w:r>
      <w:r w:rsidR="00AC364C" w:rsidRPr="00A6197B">
        <w:rPr>
          <w:b/>
          <w:bCs/>
          <w:spacing w:val="-2"/>
        </w:rPr>
        <w:t> </w:t>
      </w:r>
      <w:r w:rsidR="006461C8" w:rsidRPr="00A6197B">
        <w:rPr>
          <w:b/>
          <w:bCs/>
          <w:spacing w:val="-2"/>
        </w:rPr>
        <w:t>1</w:t>
      </w:r>
      <w:r w:rsidR="00A6197B" w:rsidRPr="00A6197B">
        <w:rPr>
          <w:b/>
          <w:bCs/>
          <w:spacing w:val="-2"/>
        </w:rPr>
        <w:t>–</w:t>
      </w:r>
      <w:r w:rsidR="006461C8" w:rsidRPr="00A6197B">
        <w:rPr>
          <w:b/>
          <w:bCs/>
          <w:spacing w:val="-2"/>
        </w:rPr>
        <w:t>2</w:t>
      </w:r>
      <w:r w:rsidRPr="00A6197B">
        <w:rPr>
          <w:b/>
          <w:bCs/>
          <w:spacing w:val="-2"/>
        </w:rPr>
        <w:t xml:space="preserve">): </w:t>
      </w:r>
      <w:r w:rsidRPr="00A6197B">
        <w:rPr>
          <w:spacing w:val="-2"/>
        </w:rPr>
        <w:t>Suggested that aspects of the freight and logistics industry were candidates for regulatory reform, including compliance obligations, delays, quality assessments that they claimed caused unintended restrictions, and lack of regulatory harmonisation across jurisdictions.</w:t>
      </w:r>
    </w:p>
    <w:p w14:paraId="672EB872" w14:textId="143F3EA1" w:rsidR="00573C23" w:rsidRDefault="00573C23" w:rsidP="00573C23">
      <w:pPr>
        <w:pStyle w:val="BodyText"/>
      </w:pPr>
      <w:r>
        <w:rPr>
          <w:b/>
          <w:bCs/>
        </w:rPr>
        <w:t>Heavy Vehicle Industry Association (sub.</w:t>
      </w:r>
      <w:r w:rsidR="00AC364C">
        <w:rPr>
          <w:b/>
          <w:bCs/>
        </w:rPr>
        <w:t> </w:t>
      </w:r>
      <w:r>
        <w:rPr>
          <w:b/>
          <w:bCs/>
        </w:rPr>
        <w:t>169</w:t>
      </w:r>
      <w:r w:rsidR="006461C8">
        <w:rPr>
          <w:b/>
          <w:bCs/>
        </w:rPr>
        <w:t xml:space="preserve">, </w:t>
      </w:r>
      <w:r w:rsidR="00B114AE">
        <w:rPr>
          <w:b/>
          <w:bCs/>
        </w:rPr>
        <w:t>pp.</w:t>
      </w:r>
      <w:r w:rsidR="00AC364C">
        <w:rPr>
          <w:b/>
          <w:bCs/>
        </w:rPr>
        <w:t> </w:t>
      </w:r>
      <w:r w:rsidR="00B114AE">
        <w:rPr>
          <w:b/>
          <w:bCs/>
        </w:rPr>
        <w:t>5</w:t>
      </w:r>
      <w:r w:rsidR="00A6197B">
        <w:rPr>
          <w:b/>
          <w:bCs/>
        </w:rPr>
        <w:t>–</w:t>
      </w:r>
      <w:r w:rsidR="00B114AE">
        <w:rPr>
          <w:b/>
          <w:bCs/>
        </w:rPr>
        <w:t>7</w:t>
      </w:r>
      <w:r>
        <w:rPr>
          <w:b/>
          <w:bCs/>
        </w:rPr>
        <w:t xml:space="preserve">): </w:t>
      </w:r>
      <w:r w:rsidRPr="005637FF">
        <w:t>Identifie</w:t>
      </w:r>
      <w:r>
        <w:t>d</w:t>
      </w:r>
      <w:r w:rsidRPr="005637FF">
        <w:t xml:space="preserve"> </w:t>
      </w:r>
      <w:r>
        <w:t xml:space="preserve">a need to review and harmonise Australian Design Rules for heavy vehicles with overseas requirements, harmonise road access arrangements for heavy vehicles, </w:t>
      </w:r>
      <w:r w:rsidR="00FF273F">
        <w:t>increase</w:t>
      </w:r>
      <w:r>
        <w:t xml:space="preserve"> resourcing and </w:t>
      </w:r>
      <w:r w:rsidR="008B0531">
        <w:t xml:space="preserve">a need for </w:t>
      </w:r>
      <w:r w:rsidR="00966C8D">
        <w:t xml:space="preserve">a </w:t>
      </w:r>
      <w:r>
        <w:t>timely administrative system for the Road Vehicle Standards legislation, and more frequent Vehicle Standards Consultative Forum meetings, to keep pace with industry developments.</w:t>
      </w:r>
    </w:p>
    <w:p w14:paraId="0666E634" w14:textId="081CCE01" w:rsidR="00573C23" w:rsidRDefault="00573C23" w:rsidP="00573C23">
      <w:pPr>
        <w:pStyle w:val="BodyText"/>
      </w:pPr>
      <w:r>
        <w:rPr>
          <w:b/>
          <w:bCs/>
        </w:rPr>
        <w:t>Australian Livestock and Rural Transporters Association (sub.</w:t>
      </w:r>
      <w:r w:rsidR="00AC364C">
        <w:rPr>
          <w:b/>
          <w:bCs/>
        </w:rPr>
        <w:t> </w:t>
      </w:r>
      <w:r>
        <w:rPr>
          <w:b/>
          <w:bCs/>
        </w:rPr>
        <w:t>173</w:t>
      </w:r>
      <w:r w:rsidR="00B114AE">
        <w:rPr>
          <w:b/>
          <w:bCs/>
        </w:rPr>
        <w:t>, pp.</w:t>
      </w:r>
      <w:r w:rsidR="00AC364C">
        <w:rPr>
          <w:b/>
          <w:bCs/>
        </w:rPr>
        <w:t> </w:t>
      </w:r>
      <w:r w:rsidR="00B114AE">
        <w:rPr>
          <w:b/>
          <w:bCs/>
        </w:rPr>
        <w:t>1</w:t>
      </w:r>
      <w:r w:rsidR="00A6197B">
        <w:rPr>
          <w:b/>
          <w:bCs/>
        </w:rPr>
        <w:t>–</w:t>
      </w:r>
      <w:r w:rsidR="00B114AE">
        <w:rPr>
          <w:b/>
          <w:bCs/>
        </w:rPr>
        <w:t>2</w:t>
      </w:r>
      <w:r>
        <w:rPr>
          <w:b/>
          <w:bCs/>
        </w:rPr>
        <w:t xml:space="preserve">): </w:t>
      </w:r>
      <w:r>
        <w:t>Called for n</w:t>
      </w:r>
      <w:r w:rsidRPr="00296A87">
        <w:t>ationally consistent settings for livestock transport, performance</w:t>
      </w:r>
      <w:r w:rsidR="00C44D1D">
        <w:noBreakHyphen/>
      </w:r>
      <w:r>
        <w:t>based standards</w:t>
      </w:r>
      <w:r w:rsidRPr="00296A87">
        <w:t>, licensing and safety standards,</w:t>
      </w:r>
      <w:r>
        <w:t xml:space="preserve"> and a nationally consistent digital access and permitting system.</w:t>
      </w:r>
    </w:p>
    <w:p w14:paraId="349A04E0" w14:textId="77777777" w:rsidR="00573C23" w:rsidRDefault="00573C23" w:rsidP="001C53B3">
      <w:pPr>
        <w:pStyle w:val="Heading2-nonumber"/>
        <w:spacing w:before="240"/>
      </w:pPr>
      <w:bookmarkStart w:id="30" w:name="_Toc215092990"/>
      <w:r>
        <w:t>Health sector regulations</w:t>
      </w:r>
      <w:bookmarkEnd w:id="30"/>
    </w:p>
    <w:p w14:paraId="13B9D0C2" w14:textId="0CDAF56F" w:rsidR="00573C23" w:rsidRDefault="00573C23" w:rsidP="00573C23">
      <w:pPr>
        <w:pStyle w:val="BodyText"/>
      </w:pPr>
      <w:r>
        <w:rPr>
          <w:b/>
          <w:bCs/>
        </w:rPr>
        <w:t>Australian College of Nursing (sub.</w:t>
      </w:r>
      <w:r w:rsidR="00AC364C">
        <w:rPr>
          <w:b/>
          <w:bCs/>
        </w:rPr>
        <w:t> </w:t>
      </w:r>
      <w:r>
        <w:rPr>
          <w:b/>
          <w:bCs/>
        </w:rPr>
        <w:t>167</w:t>
      </w:r>
      <w:r w:rsidR="00B114AE">
        <w:rPr>
          <w:b/>
          <w:bCs/>
        </w:rPr>
        <w:t>, pp.</w:t>
      </w:r>
      <w:r w:rsidR="00AC364C">
        <w:rPr>
          <w:b/>
          <w:bCs/>
        </w:rPr>
        <w:t> </w:t>
      </w:r>
      <w:r w:rsidR="00B114AE">
        <w:rPr>
          <w:b/>
          <w:bCs/>
        </w:rPr>
        <w:t>7</w:t>
      </w:r>
      <w:r w:rsidR="00A6197B">
        <w:rPr>
          <w:b/>
          <w:bCs/>
        </w:rPr>
        <w:t>–</w:t>
      </w:r>
      <w:r w:rsidR="00B114AE">
        <w:rPr>
          <w:b/>
          <w:bCs/>
        </w:rPr>
        <w:t>9</w:t>
      </w:r>
      <w:r>
        <w:rPr>
          <w:b/>
          <w:bCs/>
        </w:rPr>
        <w:t xml:space="preserve">): </w:t>
      </w:r>
      <w:r>
        <w:t>Argued that there needs to be better alignment between funding mechanisms and scope</w:t>
      </w:r>
      <w:r w:rsidR="00C44D1D">
        <w:noBreakHyphen/>
      </w:r>
      <w:r>
        <w:t>of</w:t>
      </w:r>
      <w:r w:rsidR="00C44D1D">
        <w:noBreakHyphen/>
      </w:r>
      <w:r>
        <w:t xml:space="preserve">practice legislation – </w:t>
      </w:r>
      <w:r w:rsidR="00042EB7">
        <w:t>they gave</w:t>
      </w:r>
      <w:r>
        <w:t xml:space="preserve"> an example of some Medicare rules that prevent nurse practitioners from receiving rebates for in</w:t>
      </w:r>
      <w:r w:rsidR="00C44D1D">
        <w:noBreakHyphen/>
      </w:r>
      <w:r>
        <w:t>hospital work reduces workforce efficiency. They also suggest</w:t>
      </w:r>
      <w:r w:rsidR="00042EB7">
        <w:t>ed</w:t>
      </w:r>
      <w:r>
        <w:t xml:space="preserve"> that there are problems in the healthcare sector with poor regulatory alignment across health programs, and occupational entry regulations that they claimed were excessive.</w:t>
      </w:r>
    </w:p>
    <w:p w14:paraId="5A8A4B9C" w14:textId="3A8B8826" w:rsidR="00573C23" w:rsidRDefault="00573C23" w:rsidP="00573C23">
      <w:pPr>
        <w:pStyle w:val="BodyText"/>
      </w:pPr>
      <w:r>
        <w:rPr>
          <w:b/>
          <w:bCs/>
        </w:rPr>
        <w:t>Consumer Healthcare Products Australia (sub.</w:t>
      </w:r>
      <w:r w:rsidR="00AC364C">
        <w:rPr>
          <w:b/>
          <w:bCs/>
        </w:rPr>
        <w:t> </w:t>
      </w:r>
      <w:r>
        <w:rPr>
          <w:b/>
          <w:bCs/>
        </w:rPr>
        <w:t>198</w:t>
      </w:r>
      <w:r w:rsidR="00B114AE">
        <w:rPr>
          <w:b/>
          <w:bCs/>
        </w:rPr>
        <w:t>, pp.</w:t>
      </w:r>
      <w:r w:rsidR="00AC364C">
        <w:rPr>
          <w:b/>
          <w:bCs/>
        </w:rPr>
        <w:t> </w:t>
      </w:r>
      <w:r w:rsidR="00B114AE">
        <w:rPr>
          <w:b/>
          <w:bCs/>
        </w:rPr>
        <w:t>1</w:t>
      </w:r>
      <w:r w:rsidR="00A6197B">
        <w:rPr>
          <w:b/>
          <w:bCs/>
        </w:rPr>
        <w:t>–</w:t>
      </w:r>
      <w:r w:rsidR="00B114AE">
        <w:rPr>
          <w:b/>
          <w:bCs/>
        </w:rPr>
        <w:t>3</w:t>
      </w:r>
      <w:r>
        <w:rPr>
          <w:b/>
          <w:bCs/>
        </w:rPr>
        <w:t xml:space="preserve">): </w:t>
      </w:r>
      <w:r>
        <w:t>Were c</w:t>
      </w:r>
      <w:r w:rsidRPr="00C8571D">
        <w:t>oncerned about over</w:t>
      </w:r>
      <w:r w:rsidR="00C44D1D">
        <w:noBreakHyphen/>
      </w:r>
      <w:r w:rsidRPr="00C8571D">
        <w:t xml:space="preserve">regulation of various aspects of </w:t>
      </w:r>
      <w:r w:rsidR="006A0D43" w:rsidRPr="00C8571D">
        <w:t>low</w:t>
      </w:r>
      <w:r w:rsidR="00C44D1D">
        <w:noBreakHyphen/>
      </w:r>
      <w:r w:rsidR="006A0D43" w:rsidRPr="00C8571D">
        <w:t>risk</w:t>
      </w:r>
      <w:r w:rsidRPr="00C8571D">
        <w:t xml:space="preserve"> medicines</w:t>
      </w:r>
      <w:r w:rsidR="000B47F4">
        <w:t xml:space="preserve"> and medical devices</w:t>
      </w:r>
      <w:r w:rsidRPr="00C8571D">
        <w:t>, lack of regulatory harmonisation for medicines between Australia and New Zealand,</w:t>
      </w:r>
      <w:r>
        <w:t xml:space="preserve"> and concerns about prior regulatory reform projects such as the Medicines and Medical Devices Regulatory Reforms from 2015, that they claim had inconsistent and sometimes increasing regulatory impacts.</w:t>
      </w:r>
    </w:p>
    <w:p w14:paraId="0683952A" w14:textId="77777777" w:rsidR="00573C23" w:rsidRPr="001C53B3" w:rsidRDefault="00573C23" w:rsidP="001C53B3">
      <w:pPr>
        <w:pStyle w:val="Heading2-nonumber"/>
        <w:spacing w:before="240"/>
        <w:rPr>
          <w:spacing w:val="-4"/>
        </w:rPr>
      </w:pPr>
      <w:bookmarkStart w:id="31" w:name="_Toc215092991"/>
      <w:r w:rsidRPr="001C53B3">
        <w:rPr>
          <w:spacing w:val="-4"/>
        </w:rPr>
        <w:t>Workplace relations and occupational licensing regulations</w:t>
      </w:r>
      <w:bookmarkEnd w:id="31"/>
    </w:p>
    <w:p w14:paraId="00FE188B" w14:textId="1266BFBB" w:rsidR="00573C23" w:rsidRDefault="00573C23" w:rsidP="00573C23">
      <w:pPr>
        <w:pStyle w:val="BodyText"/>
      </w:pPr>
      <w:r>
        <w:rPr>
          <w:b/>
          <w:bCs/>
        </w:rPr>
        <w:t>Consult Australia (sub.</w:t>
      </w:r>
      <w:r w:rsidR="00AC364C">
        <w:rPr>
          <w:b/>
          <w:bCs/>
        </w:rPr>
        <w:t> </w:t>
      </w:r>
      <w:r>
        <w:rPr>
          <w:b/>
          <w:bCs/>
        </w:rPr>
        <w:t>100</w:t>
      </w:r>
      <w:r w:rsidR="00B114AE">
        <w:rPr>
          <w:b/>
          <w:bCs/>
        </w:rPr>
        <w:t>, pp.</w:t>
      </w:r>
      <w:r w:rsidR="00AC364C">
        <w:rPr>
          <w:b/>
          <w:bCs/>
        </w:rPr>
        <w:t> </w:t>
      </w:r>
      <w:r w:rsidR="00B114AE">
        <w:rPr>
          <w:b/>
          <w:bCs/>
        </w:rPr>
        <w:t>4</w:t>
      </w:r>
      <w:r w:rsidR="00A6197B">
        <w:rPr>
          <w:b/>
          <w:bCs/>
        </w:rPr>
        <w:t>–</w:t>
      </w:r>
      <w:r w:rsidR="00B114AE">
        <w:rPr>
          <w:b/>
          <w:bCs/>
        </w:rPr>
        <w:t>7</w:t>
      </w:r>
      <w:r>
        <w:rPr>
          <w:b/>
          <w:bCs/>
        </w:rPr>
        <w:t xml:space="preserve">): </w:t>
      </w:r>
      <w:r w:rsidRPr="00BF3E83">
        <w:t>Propose</w:t>
      </w:r>
      <w:r>
        <w:t>d</w:t>
      </w:r>
      <w:r w:rsidRPr="00BF3E83">
        <w:t xml:space="preserve"> amendments to consumer law to </w:t>
      </w:r>
      <w:r>
        <w:t xml:space="preserve">align with other </w:t>
      </w:r>
      <w:r w:rsidR="005E03D0" w:rsidRPr="005E03D0">
        <w:rPr>
          <w:i/>
          <w:iCs/>
        </w:rPr>
        <w:t>Australian Consumer Law</w:t>
      </w:r>
      <w:r w:rsidR="005E03D0">
        <w:t xml:space="preserve"> </w:t>
      </w:r>
      <w:r>
        <w:t xml:space="preserve">provisions to </w:t>
      </w:r>
      <w:r w:rsidRPr="00BF3E83">
        <w:t>protect small business, labour hire laws</w:t>
      </w:r>
      <w:r>
        <w:t xml:space="preserve"> where it creates unnecessary burdens on businesses whose operations are only incidentally connected to labour hire (plus a need for nationally consistent scheme)</w:t>
      </w:r>
      <w:r w:rsidRPr="00BF3E83">
        <w:t>, note</w:t>
      </w:r>
      <w:r>
        <w:t>d</w:t>
      </w:r>
      <w:r w:rsidRPr="00BF3E83">
        <w:t xml:space="preserve"> duplication in </w:t>
      </w:r>
      <w:r w:rsidR="004A53BC">
        <w:t>the Commonwealth</w:t>
      </w:r>
      <w:r w:rsidRPr="00BF3E83">
        <w:t xml:space="preserve"> </w:t>
      </w:r>
      <w:r w:rsidR="00370004">
        <w:t>Supplier Code of Conduct</w:t>
      </w:r>
      <w:r w:rsidRPr="00BF3E83">
        <w:t>, and overly rigid regulation in occupational licensing.</w:t>
      </w:r>
    </w:p>
    <w:p w14:paraId="66900364" w14:textId="5171A945" w:rsidR="002852B7" w:rsidRPr="00A86CF6" w:rsidRDefault="00573C23" w:rsidP="00A21737">
      <w:pPr>
        <w:pStyle w:val="BodyText"/>
        <w:rPr>
          <w:spacing w:val="-4"/>
        </w:rPr>
      </w:pPr>
      <w:r w:rsidRPr="00A86CF6">
        <w:rPr>
          <w:b/>
          <w:bCs/>
          <w:spacing w:val="-4"/>
        </w:rPr>
        <w:t>Business Council of Australia (sub.</w:t>
      </w:r>
      <w:r w:rsidR="00AC364C" w:rsidRPr="00A86CF6">
        <w:rPr>
          <w:b/>
          <w:bCs/>
          <w:spacing w:val="-4"/>
        </w:rPr>
        <w:t> </w:t>
      </w:r>
      <w:r w:rsidRPr="00A86CF6">
        <w:rPr>
          <w:b/>
          <w:bCs/>
          <w:spacing w:val="-4"/>
        </w:rPr>
        <w:t>200</w:t>
      </w:r>
      <w:r w:rsidR="00463901" w:rsidRPr="00A86CF6">
        <w:rPr>
          <w:b/>
          <w:bCs/>
          <w:spacing w:val="-4"/>
        </w:rPr>
        <w:t xml:space="preserve">, </w:t>
      </w:r>
      <w:r w:rsidR="00AE2EA5" w:rsidRPr="00A86CF6">
        <w:rPr>
          <w:b/>
          <w:bCs/>
          <w:spacing w:val="-4"/>
        </w:rPr>
        <w:t>p.</w:t>
      </w:r>
      <w:r w:rsidR="00AC364C" w:rsidRPr="00A86CF6">
        <w:rPr>
          <w:b/>
          <w:bCs/>
          <w:spacing w:val="-4"/>
        </w:rPr>
        <w:t> </w:t>
      </w:r>
      <w:r w:rsidR="00AE2EA5" w:rsidRPr="00A86CF6">
        <w:rPr>
          <w:b/>
          <w:bCs/>
          <w:spacing w:val="-4"/>
        </w:rPr>
        <w:t xml:space="preserve">13): </w:t>
      </w:r>
      <w:r w:rsidR="00AE2EA5" w:rsidRPr="00A86CF6">
        <w:rPr>
          <w:spacing w:val="-4"/>
        </w:rPr>
        <w:t xml:space="preserve">Shared a link to their </w:t>
      </w:r>
      <w:r w:rsidR="00AE2EA5" w:rsidRPr="00A86CF6">
        <w:rPr>
          <w:i/>
          <w:spacing w:val="-4"/>
        </w:rPr>
        <w:t xml:space="preserve">Better Regulation </w:t>
      </w:r>
      <w:r w:rsidR="00AE2EA5" w:rsidRPr="00A86CF6">
        <w:rPr>
          <w:spacing w:val="-4"/>
        </w:rPr>
        <w:t xml:space="preserve">Report, where they </w:t>
      </w:r>
      <w:r w:rsidR="00463901" w:rsidRPr="00A86CF6">
        <w:rPr>
          <w:spacing w:val="-4"/>
        </w:rPr>
        <w:t>raised</w:t>
      </w:r>
      <w:r w:rsidRPr="00A86CF6">
        <w:rPr>
          <w:spacing w:val="-4"/>
        </w:rPr>
        <w:t xml:space="preserve"> concerns with regulatory variation in long service leave arrangements across jurisdictions, a need to harmonise state laws on labour hire licensing laws, workers’ compensation and anti</w:t>
      </w:r>
      <w:r w:rsidR="00C44D1D" w:rsidRPr="00A86CF6">
        <w:rPr>
          <w:spacing w:val="-4"/>
        </w:rPr>
        <w:noBreakHyphen/>
      </w:r>
      <w:r w:rsidRPr="00A86CF6">
        <w:rPr>
          <w:spacing w:val="-4"/>
        </w:rPr>
        <w:t>discrimination legislation. They also argued there is a need to review and streamline occupational licensing systems and requirements.</w:t>
      </w:r>
    </w:p>
    <w:sectPr w:rsidR="002852B7" w:rsidRPr="00A86CF6" w:rsidSect="00706F4F">
      <w:headerReference w:type="even" r:id="rId36"/>
      <w:headerReference w:type="default" r:id="rId37"/>
      <w:footerReference w:type="even" r:id="rId38"/>
      <w:footerReference w:type="default" r:id="rId39"/>
      <w:headerReference w:type="first" r:id="rId40"/>
      <w:type w:val="oddPage"/>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D04E9" w14:textId="77777777" w:rsidR="00A37B8B" w:rsidRPr="00F02289" w:rsidRDefault="00A37B8B" w:rsidP="008017BC">
      <w:r w:rsidRPr="00F02289">
        <w:separator/>
      </w:r>
    </w:p>
    <w:p w14:paraId="58A2224E" w14:textId="77777777" w:rsidR="00A37B8B" w:rsidRPr="00F02289" w:rsidRDefault="00A37B8B"/>
  </w:endnote>
  <w:endnote w:type="continuationSeparator" w:id="0">
    <w:p w14:paraId="40000299" w14:textId="77777777" w:rsidR="00A37B8B" w:rsidRPr="00F02289" w:rsidRDefault="00A37B8B" w:rsidP="008017BC">
      <w:r w:rsidRPr="00F02289">
        <w:continuationSeparator/>
      </w:r>
    </w:p>
    <w:p w14:paraId="5B707A00" w14:textId="77777777" w:rsidR="00A37B8B" w:rsidRPr="00F02289" w:rsidRDefault="00A37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A132" w14:textId="77777777" w:rsidR="00F04EA7" w:rsidRPr="00F02289" w:rsidRDefault="00F04EA7" w:rsidP="00A471AE">
    <w:pPr>
      <w:pStyle w:val="Footer"/>
      <w:jc w:val="right"/>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50C1" w14:textId="77777777" w:rsidR="00C31E23" w:rsidRPr="00F02289" w:rsidRDefault="00C31E23">
    <w:pPr>
      <w:pStyle w:val="Footer"/>
    </w:pPr>
    <w:r w:rsidRPr="00011F2F">
      <w:fldChar w:fldCharType="begin"/>
    </w:r>
    <w:r w:rsidRPr="00F02289">
      <w:instrText xml:space="preserve"> PAGE   \* MERGEFORMAT </w:instrText>
    </w:r>
    <w:r w:rsidRPr="00011F2F">
      <w:fldChar w:fldCharType="separate"/>
    </w:r>
    <w:r w:rsidRPr="00011F2F">
      <w:t>1</w:t>
    </w:r>
    <w:r w:rsidRPr="00011F2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793" w14:textId="77777777" w:rsidR="00D15113" w:rsidRPr="005C3CD5" w:rsidRDefault="00F04EA7" w:rsidP="002E3F19">
    <w:pPr>
      <w:pStyle w:val="Footer"/>
      <w:rPr>
        <w:rFonts w:asciiTheme="majorHAnsi" w:hAnsiTheme="majorHAnsi"/>
        <w:szCs w:val="24"/>
      </w:rPr>
    </w:pPr>
    <w:r w:rsidRPr="005C3CD5">
      <w:rPr>
        <w:rFonts w:asciiTheme="majorHAnsi" w:hAnsiTheme="majorHAnsi"/>
        <w:szCs w:val="24"/>
      </w:rPr>
      <w:fldChar w:fldCharType="begin"/>
    </w:r>
    <w:r w:rsidRPr="005C3CD5">
      <w:rPr>
        <w:rFonts w:asciiTheme="majorHAnsi" w:hAnsiTheme="majorHAnsi"/>
        <w:szCs w:val="24"/>
      </w:rPr>
      <w:instrText xml:space="preserve"> PAGE   \* MERGEFORMAT </w:instrText>
    </w:r>
    <w:r w:rsidRPr="005C3CD5">
      <w:rPr>
        <w:rFonts w:asciiTheme="majorHAnsi" w:hAnsiTheme="majorHAnsi"/>
        <w:szCs w:val="24"/>
      </w:rPr>
      <w:fldChar w:fldCharType="separate"/>
    </w:r>
    <w:r w:rsidRPr="005C3CD5">
      <w:rPr>
        <w:rFonts w:asciiTheme="majorHAnsi" w:hAnsiTheme="majorHAnsi"/>
        <w:szCs w:val="24"/>
      </w:rPr>
      <w:t>1</w:t>
    </w:r>
    <w:r w:rsidRPr="005C3CD5">
      <w:rPr>
        <w:rFonts w:asciiTheme="majorHAnsi" w:hAnsiTheme="majorHAnsi"/>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EndPr>
      <w:rPr>
        <w:rFonts w:asciiTheme="majorHAnsi" w:hAnsiTheme="majorHAnsi"/>
      </w:rPr>
    </w:sdtEndPr>
    <w:sdtContent>
      <w:sdt>
        <w:sdtPr>
          <w:id w:val="783309045"/>
          <w:docPartObj>
            <w:docPartGallery w:val="Page Numbers (Top of Page)"/>
            <w:docPartUnique/>
          </w:docPartObj>
        </w:sdtPr>
        <w:sdtEndPr>
          <w:rPr>
            <w:rFonts w:asciiTheme="majorHAnsi" w:hAnsiTheme="majorHAnsi"/>
          </w:rPr>
        </w:sdtEndPr>
        <w:sdtContent>
          <w:p w14:paraId="59540CFB" w14:textId="77777777" w:rsidR="00D15113" w:rsidRPr="005C3CD5" w:rsidRDefault="00F04EA7" w:rsidP="002E3F19">
            <w:pPr>
              <w:pStyle w:val="Footer-right"/>
              <w:rPr>
                <w:rFonts w:asciiTheme="majorHAnsi" w:hAnsiTheme="majorHAnsi"/>
              </w:rPr>
            </w:pPr>
            <w:r w:rsidRPr="005C3CD5">
              <w:rPr>
                <w:rFonts w:asciiTheme="majorHAnsi" w:hAnsiTheme="majorHAnsi"/>
              </w:rPr>
              <w:fldChar w:fldCharType="begin"/>
            </w:r>
            <w:r w:rsidRPr="005C3CD5">
              <w:rPr>
                <w:rFonts w:asciiTheme="majorHAnsi" w:hAnsiTheme="majorHAnsi"/>
              </w:rPr>
              <w:instrText xml:space="preserve"> PAGE </w:instrText>
            </w:r>
            <w:r w:rsidRPr="005C3CD5">
              <w:rPr>
                <w:rFonts w:asciiTheme="majorHAnsi" w:hAnsiTheme="majorHAnsi"/>
              </w:rPr>
              <w:fldChar w:fldCharType="separate"/>
            </w:r>
            <w:r w:rsidRPr="005C3CD5">
              <w:rPr>
                <w:rFonts w:asciiTheme="majorHAnsi" w:hAnsiTheme="majorHAnsi"/>
              </w:rPr>
              <w:t>1</w:t>
            </w:r>
            <w:r w:rsidRPr="005C3CD5">
              <w:rPr>
                <w:rFonts w:asciiTheme="majorHAnsi" w:hAnsiTheme="majorHAnsi"/>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81AD" w14:textId="77777777" w:rsidR="00D15113" w:rsidRPr="00230B55" w:rsidRDefault="00F04EA7" w:rsidP="002E3F19">
    <w:pPr>
      <w:pStyle w:val="Footer"/>
      <w:rPr>
        <w:rFonts w:asciiTheme="majorHAnsi" w:hAnsiTheme="majorHAnsi"/>
      </w:rPr>
    </w:pPr>
    <w:r w:rsidRPr="00230B55">
      <w:rPr>
        <w:rFonts w:asciiTheme="majorHAnsi" w:hAnsiTheme="majorHAnsi"/>
      </w:rPr>
      <w:fldChar w:fldCharType="begin"/>
    </w:r>
    <w:r w:rsidRPr="00230B55">
      <w:rPr>
        <w:rFonts w:asciiTheme="majorHAnsi" w:hAnsiTheme="majorHAnsi"/>
      </w:rPr>
      <w:instrText xml:space="preserve"> PAGE   \* MERGEFORMAT </w:instrText>
    </w:r>
    <w:r w:rsidRPr="00230B55">
      <w:rPr>
        <w:rFonts w:asciiTheme="majorHAnsi" w:hAnsiTheme="majorHAnsi"/>
      </w:rPr>
      <w:fldChar w:fldCharType="separate"/>
    </w:r>
    <w:r w:rsidRPr="00230B55">
      <w:rPr>
        <w:rFonts w:asciiTheme="majorHAnsi" w:hAnsiTheme="majorHAnsi"/>
      </w:rPr>
      <w:t>1</w:t>
    </w:r>
    <w:r w:rsidRPr="00230B55">
      <w:rPr>
        <w:rFonts w:asciiTheme="majorHAnsi" w:hAnsiTheme="majorHAns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204615"/>
      <w:docPartObj>
        <w:docPartGallery w:val="Page Numbers (Bottom of Page)"/>
        <w:docPartUnique/>
      </w:docPartObj>
    </w:sdtPr>
    <w:sdtEndPr>
      <w:rPr>
        <w:rFonts w:asciiTheme="majorHAnsi" w:hAnsiTheme="majorHAnsi"/>
      </w:rPr>
    </w:sdtEndPr>
    <w:sdtContent>
      <w:sdt>
        <w:sdtPr>
          <w:id w:val="968864610"/>
          <w:docPartObj>
            <w:docPartGallery w:val="Page Numbers (Top of Page)"/>
            <w:docPartUnique/>
          </w:docPartObj>
        </w:sdtPr>
        <w:sdtEndPr>
          <w:rPr>
            <w:rFonts w:asciiTheme="majorHAnsi" w:hAnsiTheme="majorHAnsi"/>
          </w:rPr>
        </w:sdtEndPr>
        <w:sdtContent>
          <w:p w14:paraId="0BD21487" w14:textId="77777777" w:rsidR="00D15113" w:rsidRPr="00230B55" w:rsidRDefault="00F04EA7" w:rsidP="002E3F19">
            <w:pPr>
              <w:pStyle w:val="Footer-right"/>
              <w:rPr>
                <w:rFonts w:asciiTheme="majorHAnsi" w:hAnsiTheme="majorHAnsi"/>
              </w:rPr>
            </w:pPr>
            <w:r w:rsidRPr="00230B55">
              <w:rPr>
                <w:rFonts w:asciiTheme="majorHAnsi" w:hAnsiTheme="majorHAnsi"/>
                <w:sz w:val="24"/>
              </w:rPr>
              <w:fldChar w:fldCharType="begin"/>
            </w:r>
            <w:r w:rsidRPr="00230B55">
              <w:rPr>
                <w:rFonts w:asciiTheme="majorHAnsi" w:hAnsiTheme="majorHAnsi"/>
              </w:rPr>
              <w:instrText xml:space="preserve"> PAGE </w:instrText>
            </w:r>
            <w:r w:rsidRPr="00230B55">
              <w:rPr>
                <w:rFonts w:asciiTheme="majorHAnsi" w:hAnsiTheme="majorHAnsi"/>
                <w:sz w:val="24"/>
              </w:rPr>
              <w:fldChar w:fldCharType="separate"/>
            </w:r>
            <w:r w:rsidRPr="00230B55">
              <w:rPr>
                <w:rFonts w:asciiTheme="majorHAnsi" w:hAnsiTheme="majorHAnsi"/>
              </w:rPr>
              <w:t>1</w:t>
            </w:r>
            <w:r w:rsidRPr="00230B55">
              <w:rPr>
                <w:rFonts w:asciiTheme="majorHAnsi" w:hAnsiTheme="majorHAnsi"/>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2BFA1" w14:textId="77777777" w:rsidR="00A37B8B" w:rsidRPr="00F02289" w:rsidRDefault="00A37B8B" w:rsidP="00273E86">
      <w:pPr>
        <w:spacing w:after="0" w:line="240" w:lineRule="auto"/>
        <w:rPr>
          <w:rStyle w:val="ColourDarkBlue"/>
        </w:rPr>
      </w:pPr>
      <w:r w:rsidRPr="00F02289">
        <w:rPr>
          <w:rStyle w:val="ColourDarkBlue"/>
        </w:rPr>
        <w:continuationSeparator/>
      </w:r>
    </w:p>
  </w:footnote>
  <w:footnote w:type="continuationSeparator" w:id="0">
    <w:p w14:paraId="5F8BBE3B" w14:textId="77777777" w:rsidR="00A37B8B" w:rsidRPr="00F02289" w:rsidRDefault="00A37B8B" w:rsidP="001D7D9B">
      <w:pPr>
        <w:spacing w:after="0" w:line="240" w:lineRule="auto"/>
        <w:rPr>
          <w:color w:val="265A9A" w:themeColor="background2"/>
        </w:rPr>
      </w:pPr>
      <w:r w:rsidRPr="00F02289">
        <w:rPr>
          <w:rStyle w:val="ColourDarkBlue"/>
        </w:rPr>
        <w:continuationSeparator/>
      </w:r>
    </w:p>
  </w:footnote>
  <w:footnote w:type="continuationNotice" w:id="1">
    <w:p w14:paraId="200E1E22" w14:textId="77777777" w:rsidR="00A37B8B" w:rsidRPr="00F02289" w:rsidRDefault="00A37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39AD" w14:textId="1670321E" w:rsidR="00F04EA7" w:rsidRPr="00F02289" w:rsidRDefault="00FD5589" w:rsidP="007215EF">
    <w:r w:rsidRPr="00011F2F">
      <w:rPr>
        <w:rFonts w:ascii="Open Sans" w:hAnsi="Open Sans" w:cs="Open Sans"/>
        <w:b/>
        <w:bCs/>
        <w:noProof/>
        <w:color w:val="1C4373" w:themeColor="background2" w:themeShade="BF"/>
        <w:sz w:val="56"/>
      </w:rPr>
      <w:drawing>
        <wp:anchor distT="0" distB="0" distL="114300" distR="114300" simplePos="0" relativeHeight="251658240" behindDoc="1" locked="0" layoutInCell="1" allowOverlap="1" wp14:anchorId="2463E4B2" wp14:editId="54486305">
          <wp:simplePos x="0" y="0"/>
          <wp:positionH relativeFrom="page">
            <wp:align>left</wp:align>
          </wp:positionH>
          <wp:positionV relativeFrom="paragraph">
            <wp:posOffset>-399415</wp:posOffset>
          </wp:positionV>
          <wp:extent cx="7559999" cy="10690955"/>
          <wp:effectExtent l="0" t="0" r="3175" b="0"/>
          <wp:wrapNone/>
          <wp:docPr id="1337673935" name="Picture 19" descr="Australian Government | Productivity Commission logo | What we heard inquiry paper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7673935" name="Picture 19" descr="Australian Government | Productivity Commission logo | What we heard inquiry paper cov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margin">
            <wp14:pctWidth>0</wp14:pctWidth>
          </wp14:sizeRelH>
          <wp14:sizeRelV relativeFrom="margin">
            <wp14:pctHeight>0</wp14:pctHeight>
          </wp14:sizeRelV>
        </wp:anchor>
      </w:drawing>
    </w:r>
  </w:p>
  <w:p w14:paraId="6BDD5300" w14:textId="77777777" w:rsidR="00F04EA7" w:rsidRPr="00F02289" w:rsidRDefault="00F04EA7"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95A3" w14:textId="22F37FC4" w:rsidR="00925AEC" w:rsidRPr="00F02289" w:rsidRDefault="0052561C" w:rsidP="00A800BD">
    <w:pPr>
      <w:pStyle w:val="Header-Keyline"/>
    </w:pPr>
    <w:r>
      <w:rPr>
        <w:rStyle w:val="Strong"/>
      </w:rPr>
      <w:t>Creating a more dynamic and resilient economy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653C" w14:textId="4FD48EA9" w:rsidR="00925AEC" w:rsidRPr="00F02289" w:rsidRDefault="00C00B57" w:rsidP="00C00B57">
    <w:pPr>
      <w:pStyle w:val="Header-KeylineRight"/>
    </w:pPr>
    <w:r w:rsidRPr="00F02289">
      <w:t>What we heard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C150" w14:textId="1616B62C" w:rsidR="00925AEC" w:rsidRPr="00F02289"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7CC8" w14:textId="3C5351C3" w:rsidR="00C916E7" w:rsidRPr="00F02289" w:rsidRDefault="00230B55" w:rsidP="00A800BD">
    <w:pPr>
      <w:pStyle w:val="Header-Keyline"/>
    </w:pPr>
    <w:r>
      <w:rPr>
        <w:b/>
        <w:bCs/>
        <w:noProof/>
      </w:rPr>
      <w:drawing>
        <wp:anchor distT="0" distB="0" distL="114300" distR="114300" simplePos="0" relativeHeight="251658241" behindDoc="1" locked="0" layoutInCell="1" allowOverlap="1" wp14:anchorId="1F1D3924" wp14:editId="44C9A354">
          <wp:simplePos x="0" y="0"/>
          <wp:positionH relativeFrom="page">
            <wp:align>right</wp:align>
          </wp:positionH>
          <wp:positionV relativeFrom="paragraph">
            <wp:posOffset>-473710</wp:posOffset>
          </wp:positionV>
          <wp:extent cx="7560000" cy="10681108"/>
          <wp:effectExtent l="0" t="0" r="3175" b="6350"/>
          <wp:wrapNone/>
          <wp:docPr id="25821111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6622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sidR="0052561C">
      <w:rPr>
        <w:rStyle w:val="Strong"/>
      </w:rPr>
      <w:t>Creating a more dynamic and resilient economy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411B" w14:textId="43DD48B9" w:rsidR="00845A14" w:rsidRPr="00F02289" w:rsidRDefault="0052561C" w:rsidP="00421263">
    <w:pPr>
      <w:pStyle w:val="Header-Keyline"/>
    </w:pPr>
    <w:r>
      <w:rPr>
        <w:rStyle w:val="Strong"/>
      </w:rPr>
      <w:t>Creating a more dynamic and resilient economy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F95F" w14:textId="549DA7DB" w:rsidR="00845A14" w:rsidRPr="00F02289" w:rsidRDefault="00EC339C" w:rsidP="00421263">
    <w:pPr>
      <w:pStyle w:val="Header-KeylineRight"/>
    </w:pPr>
    <w:r w:rsidRPr="00F02289">
      <w:t>What we heard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0704" w14:textId="4405885F" w:rsidR="00845A14" w:rsidRPr="00F02289" w:rsidRDefault="00845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8384C03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A426A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A874DA"/>
    <w:multiLevelType w:val="multilevel"/>
    <w:tmpl w:val="665E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A66F4C"/>
    <w:multiLevelType w:val="hybridMultilevel"/>
    <w:tmpl w:val="74FA3CB6"/>
    <w:lvl w:ilvl="0" w:tplc="70805F9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3A0ABD"/>
    <w:multiLevelType w:val="hybridMultilevel"/>
    <w:tmpl w:val="626E8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D156C7"/>
    <w:multiLevelType w:val="hybridMultilevel"/>
    <w:tmpl w:val="9EAE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0796A"/>
    <w:multiLevelType w:val="multilevel"/>
    <w:tmpl w:val="4EAA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3AE4AF0"/>
    <w:multiLevelType w:val="multilevel"/>
    <w:tmpl w:val="2168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0EC5113"/>
    <w:multiLevelType w:val="hybridMultilevel"/>
    <w:tmpl w:val="31004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43CEE"/>
    <w:multiLevelType w:val="hybridMultilevel"/>
    <w:tmpl w:val="AAB0C666"/>
    <w:lvl w:ilvl="0" w:tplc="F6222AA4">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5395843"/>
    <w:multiLevelType w:val="hybridMultilevel"/>
    <w:tmpl w:val="8F94C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6E0C1A"/>
    <w:multiLevelType w:val="hybridMultilevel"/>
    <w:tmpl w:val="012EBBAC"/>
    <w:lvl w:ilvl="0" w:tplc="0C090001">
      <w:start w:val="1"/>
      <w:numFmt w:val="bullet"/>
      <w:lvlText w:val=""/>
      <w:lvlJc w:val="left"/>
      <w:pPr>
        <w:ind w:left="720" w:hanging="360"/>
      </w:pPr>
      <w:rPr>
        <w:rFonts w:ascii="Symbol" w:hAnsi="Symbol" w:hint="default"/>
      </w:rPr>
    </w:lvl>
    <w:lvl w:ilvl="1" w:tplc="AC70B564">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5559A1"/>
    <w:multiLevelType w:val="hybridMultilevel"/>
    <w:tmpl w:val="997460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1CF02DB"/>
    <w:multiLevelType w:val="multilevel"/>
    <w:tmpl w:val="86806C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3C25E93"/>
    <w:multiLevelType w:val="hybridMultilevel"/>
    <w:tmpl w:val="AC6AF3C2"/>
    <w:lvl w:ilvl="0" w:tplc="9E9679F8">
      <w:start w:val="1"/>
      <w:numFmt w:val="upperLetter"/>
      <w:lvlText w:val="%1."/>
      <w:lvlJc w:val="left"/>
      <w:pPr>
        <w:ind w:left="1003"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2B10E7"/>
    <w:multiLevelType w:val="hybridMultilevel"/>
    <w:tmpl w:val="57DE5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1B4A1B"/>
    <w:multiLevelType w:val="multilevel"/>
    <w:tmpl w:val="4F48000A"/>
    <w:numStyleLink w:val="Alphalist"/>
  </w:abstractNum>
  <w:abstractNum w:abstractNumId="33" w15:restartNumberingAfterBreak="0">
    <w:nsid w:val="7BC16C35"/>
    <w:multiLevelType w:val="multilevel"/>
    <w:tmpl w:val="F5C4F1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E7942AE"/>
    <w:multiLevelType w:val="hybridMultilevel"/>
    <w:tmpl w:val="A8648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95392948">
    <w:abstractNumId w:val="30"/>
  </w:num>
  <w:num w:numId="2" w16cid:durableId="2129276548">
    <w:abstractNumId w:val="5"/>
  </w:num>
  <w:num w:numId="3" w16cid:durableId="2116094195">
    <w:abstractNumId w:val="10"/>
  </w:num>
  <w:num w:numId="4" w16cid:durableId="2069107034">
    <w:abstractNumId w:val="6"/>
  </w:num>
  <w:num w:numId="5" w16cid:durableId="1604265105">
    <w:abstractNumId w:val="14"/>
  </w:num>
  <w:num w:numId="6" w16cid:durableId="2083676328">
    <w:abstractNumId w:val="26"/>
  </w:num>
  <w:num w:numId="7" w16cid:durableId="1433478075">
    <w:abstractNumId w:val="28"/>
  </w:num>
  <w:num w:numId="8" w16cid:durableId="1673950649">
    <w:abstractNumId w:val="24"/>
  </w:num>
  <w:num w:numId="9" w16cid:durableId="2092846806">
    <w:abstractNumId w:val="18"/>
  </w:num>
  <w:num w:numId="10" w16cid:durableId="2145615696">
    <w:abstractNumId w:val="11"/>
  </w:num>
  <w:num w:numId="11" w16cid:durableId="771555859">
    <w:abstractNumId w:val="17"/>
  </w:num>
  <w:num w:numId="12" w16cid:durableId="1951743140">
    <w:abstractNumId w:val="32"/>
  </w:num>
  <w:num w:numId="13" w16cid:durableId="316307407">
    <w:abstractNumId w:val="0"/>
  </w:num>
  <w:num w:numId="14" w16cid:durableId="311449059">
    <w:abstractNumId w:val="7"/>
  </w:num>
  <w:num w:numId="15" w16cid:durableId="1235434196">
    <w:abstractNumId w:val="12"/>
  </w:num>
  <w:num w:numId="16" w16cid:durableId="280695179">
    <w:abstractNumId w:val="9"/>
  </w:num>
  <w:num w:numId="17" w16cid:durableId="1523056768">
    <w:abstractNumId w:val="8"/>
  </w:num>
  <w:num w:numId="18" w16cid:durableId="1576357729">
    <w:abstractNumId w:val="4"/>
  </w:num>
  <w:num w:numId="19" w16cid:durableId="223838189">
    <w:abstractNumId w:val="20"/>
  </w:num>
  <w:num w:numId="20" w16cid:durableId="590116798">
    <w:abstractNumId w:val="31"/>
  </w:num>
  <w:num w:numId="21" w16cid:durableId="1572034863">
    <w:abstractNumId w:val="15"/>
  </w:num>
  <w:num w:numId="22" w16cid:durableId="454493959">
    <w:abstractNumId w:val="21"/>
  </w:num>
  <w:num w:numId="23" w16cid:durableId="1264648544">
    <w:abstractNumId w:val="27"/>
  </w:num>
  <w:num w:numId="24" w16cid:durableId="653023755">
    <w:abstractNumId w:val="13"/>
  </w:num>
  <w:num w:numId="25" w16cid:durableId="1025473442">
    <w:abstractNumId w:val="2"/>
  </w:num>
  <w:num w:numId="26" w16cid:durableId="1019551557">
    <w:abstractNumId w:val="1"/>
  </w:num>
  <w:num w:numId="27" w16cid:durableId="1933660810">
    <w:abstractNumId w:val="23"/>
  </w:num>
  <w:num w:numId="28" w16cid:durableId="1211847747">
    <w:abstractNumId w:val="22"/>
  </w:num>
  <w:num w:numId="29" w16cid:durableId="173348926">
    <w:abstractNumId w:val="25"/>
  </w:num>
  <w:num w:numId="30" w16cid:durableId="1488475491">
    <w:abstractNumId w:val="19"/>
  </w:num>
  <w:num w:numId="31" w16cid:durableId="656148216">
    <w:abstractNumId w:val="3"/>
  </w:num>
  <w:num w:numId="32" w16cid:durableId="1406606204">
    <w:abstractNumId w:val="16"/>
  </w:num>
  <w:num w:numId="33" w16cid:durableId="1090005683">
    <w:abstractNumId w:val="29"/>
  </w:num>
  <w:num w:numId="34" w16cid:durableId="1490053933">
    <w:abstractNumId w:val="33"/>
  </w:num>
  <w:num w:numId="35" w16cid:durableId="1311131355">
    <w:abstractNumId w:val="34"/>
  </w:num>
  <w:num w:numId="36" w16cid:durableId="358821632">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E51"/>
    <w:rsid w:val="00000075"/>
    <w:rsid w:val="00000293"/>
    <w:rsid w:val="00000F3C"/>
    <w:rsid w:val="00001415"/>
    <w:rsid w:val="00002C60"/>
    <w:rsid w:val="00002DE8"/>
    <w:rsid w:val="000034C1"/>
    <w:rsid w:val="0000364A"/>
    <w:rsid w:val="000039AB"/>
    <w:rsid w:val="0000430B"/>
    <w:rsid w:val="00004328"/>
    <w:rsid w:val="00004489"/>
    <w:rsid w:val="00004648"/>
    <w:rsid w:val="000047DB"/>
    <w:rsid w:val="000047FD"/>
    <w:rsid w:val="00004B00"/>
    <w:rsid w:val="00005128"/>
    <w:rsid w:val="000053B4"/>
    <w:rsid w:val="000057AE"/>
    <w:rsid w:val="00005A6D"/>
    <w:rsid w:val="00005C79"/>
    <w:rsid w:val="0000601E"/>
    <w:rsid w:val="00006879"/>
    <w:rsid w:val="0000724C"/>
    <w:rsid w:val="00007D31"/>
    <w:rsid w:val="00007EB8"/>
    <w:rsid w:val="00010158"/>
    <w:rsid w:val="00010DE7"/>
    <w:rsid w:val="000114EC"/>
    <w:rsid w:val="00011F2F"/>
    <w:rsid w:val="00012044"/>
    <w:rsid w:val="00012985"/>
    <w:rsid w:val="0001312F"/>
    <w:rsid w:val="000132FF"/>
    <w:rsid w:val="00013DF3"/>
    <w:rsid w:val="00013DF7"/>
    <w:rsid w:val="00014267"/>
    <w:rsid w:val="00014327"/>
    <w:rsid w:val="00014454"/>
    <w:rsid w:val="00014630"/>
    <w:rsid w:val="00014A70"/>
    <w:rsid w:val="00014CED"/>
    <w:rsid w:val="00014EAC"/>
    <w:rsid w:val="00015080"/>
    <w:rsid w:val="000153C9"/>
    <w:rsid w:val="00015461"/>
    <w:rsid w:val="00015626"/>
    <w:rsid w:val="00015A16"/>
    <w:rsid w:val="00015E41"/>
    <w:rsid w:val="000161EA"/>
    <w:rsid w:val="00016505"/>
    <w:rsid w:val="0001650D"/>
    <w:rsid w:val="0001653E"/>
    <w:rsid w:val="000169C5"/>
    <w:rsid w:val="00016A1D"/>
    <w:rsid w:val="00016E20"/>
    <w:rsid w:val="00017B22"/>
    <w:rsid w:val="00017BD2"/>
    <w:rsid w:val="000202EF"/>
    <w:rsid w:val="000211C2"/>
    <w:rsid w:val="000218FE"/>
    <w:rsid w:val="00021911"/>
    <w:rsid w:val="00022236"/>
    <w:rsid w:val="000222B0"/>
    <w:rsid w:val="000225D7"/>
    <w:rsid w:val="00022851"/>
    <w:rsid w:val="000231A9"/>
    <w:rsid w:val="0002342E"/>
    <w:rsid w:val="0002353D"/>
    <w:rsid w:val="000236FE"/>
    <w:rsid w:val="00023A13"/>
    <w:rsid w:val="00023AFE"/>
    <w:rsid w:val="00023F35"/>
    <w:rsid w:val="000240A0"/>
    <w:rsid w:val="00024736"/>
    <w:rsid w:val="00024910"/>
    <w:rsid w:val="00024978"/>
    <w:rsid w:val="000252A2"/>
    <w:rsid w:val="0002532E"/>
    <w:rsid w:val="00025443"/>
    <w:rsid w:val="00025691"/>
    <w:rsid w:val="00025B5F"/>
    <w:rsid w:val="00025B79"/>
    <w:rsid w:val="00025F3E"/>
    <w:rsid w:val="00026252"/>
    <w:rsid w:val="00026748"/>
    <w:rsid w:val="00026A6F"/>
    <w:rsid w:val="00026C04"/>
    <w:rsid w:val="00027C03"/>
    <w:rsid w:val="00027D7B"/>
    <w:rsid w:val="000300AF"/>
    <w:rsid w:val="00030196"/>
    <w:rsid w:val="00031289"/>
    <w:rsid w:val="000314CE"/>
    <w:rsid w:val="000316CA"/>
    <w:rsid w:val="000318CF"/>
    <w:rsid w:val="0003244B"/>
    <w:rsid w:val="00032546"/>
    <w:rsid w:val="000329A5"/>
    <w:rsid w:val="00032ABD"/>
    <w:rsid w:val="00032B39"/>
    <w:rsid w:val="00032F8C"/>
    <w:rsid w:val="000331E4"/>
    <w:rsid w:val="00033262"/>
    <w:rsid w:val="0003338B"/>
    <w:rsid w:val="0003338D"/>
    <w:rsid w:val="00033619"/>
    <w:rsid w:val="0003368D"/>
    <w:rsid w:val="000339CA"/>
    <w:rsid w:val="00033C70"/>
    <w:rsid w:val="000341D8"/>
    <w:rsid w:val="0003440D"/>
    <w:rsid w:val="00034950"/>
    <w:rsid w:val="0003566A"/>
    <w:rsid w:val="000358D2"/>
    <w:rsid w:val="00035A43"/>
    <w:rsid w:val="00035FCF"/>
    <w:rsid w:val="00036895"/>
    <w:rsid w:val="000369FE"/>
    <w:rsid w:val="00036F5A"/>
    <w:rsid w:val="00037082"/>
    <w:rsid w:val="0003735A"/>
    <w:rsid w:val="0003739A"/>
    <w:rsid w:val="00040023"/>
    <w:rsid w:val="00040186"/>
    <w:rsid w:val="00040AF3"/>
    <w:rsid w:val="00040C15"/>
    <w:rsid w:val="00040E92"/>
    <w:rsid w:val="000410FA"/>
    <w:rsid w:val="00041211"/>
    <w:rsid w:val="00041A03"/>
    <w:rsid w:val="000428DF"/>
    <w:rsid w:val="00042934"/>
    <w:rsid w:val="00042B7C"/>
    <w:rsid w:val="00042EB7"/>
    <w:rsid w:val="0004302A"/>
    <w:rsid w:val="0004325D"/>
    <w:rsid w:val="00043DF7"/>
    <w:rsid w:val="000441F4"/>
    <w:rsid w:val="000443FD"/>
    <w:rsid w:val="0004453F"/>
    <w:rsid w:val="00044A1C"/>
    <w:rsid w:val="00044D21"/>
    <w:rsid w:val="00044F36"/>
    <w:rsid w:val="000460B2"/>
    <w:rsid w:val="00046166"/>
    <w:rsid w:val="00046357"/>
    <w:rsid w:val="000467A0"/>
    <w:rsid w:val="00046845"/>
    <w:rsid w:val="00047044"/>
    <w:rsid w:val="000476F1"/>
    <w:rsid w:val="00047894"/>
    <w:rsid w:val="00047CB2"/>
    <w:rsid w:val="00050059"/>
    <w:rsid w:val="0005005B"/>
    <w:rsid w:val="0005151B"/>
    <w:rsid w:val="0005192B"/>
    <w:rsid w:val="0005192F"/>
    <w:rsid w:val="000522C4"/>
    <w:rsid w:val="00052426"/>
    <w:rsid w:val="000525BB"/>
    <w:rsid w:val="0005272D"/>
    <w:rsid w:val="00052CB7"/>
    <w:rsid w:val="00052FB2"/>
    <w:rsid w:val="0005405F"/>
    <w:rsid w:val="000542F4"/>
    <w:rsid w:val="00054C95"/>
    <w:rsid w:val="00054F6A"/>
    <w:rsid w:val="000550EB"/>
    <w:rsid w:val="000556D2"/>
    <w:rsid w:val="000558CF"/>
    <w:rsid w:val="00055A82"/>
    <w:rsid w:val="000561CF"/>
    <w:rsid w:val="000564E6"/>
    <w:rsid w:val="00056756"/>
    <w:rsid w:val="000569CD"/>
    <w:rsid w:val="00056FFC"/>
    <w:rsid w:val="0005774F"/>
    <w:rsid w:val="00057A77"/>
    <w:rsid w:val="00057B78"/>
    <w:rsid w:val="00057CD2"/>
    <w:rsid w:val="00057E7D"/>
    <w:rsid w:val="000601C7"/>
    <w:rsid w:val="00060611"/>
    <w:rsid w:val="0006088C"/>
    <w:rsid w:val="00060CC1"/>
    <w:rsid w:val="00060EC9"/>
    <w:rsid w:val="00061082"/>
    <w:rsid w:val="0006146B"/>
    <w:rsid w:val="00061C8D"/>
    <w:rsid w:val="0006205E"/>
    <w:rsid w:val="0006295F"/>
    <w:rsid w:val="000629D9"/>
    <w:rsid w:val="00062A44"/>
    <w:rsid w:val="00063554"/>
    <w:rsid w:val="0006356A"/>
    <w:rsid w:val="0006366B"/>
    <w:rsid w:val="00063A99"/>
    <w:rsid w:val="00063BA2"/>
    <w:rsid w:val="00063BCB"/>
    <w:rsid w:val="0006407A"/>
    <w:rsid w:val="000640F3"/>
    <w:rsid w:val="000641F8"/>
    <w:rsid w:val="0006444E"/>
    <w:rsid w:val="00064888"/>
    <w:rsid w:val="00065222"/>
    <w:rsid w:val="000659DA"/>
    <w:rsid w:val="00065AD6"/>
    <w:rsid w:val="0006617F"/>
    <w:rsid w:val="00066201"/>
    <w:rsid w:val="000664B2"/>
    <w:rsid w:val="00066521"/>
    <w:rsid w:val="00066529"/>
    <w:rsid w:val="00066C63"/>
    <w:rsid w:val="00066E24"/>
    <w:rsid w:val="00066EF1"/>
    <w:rsid w:val="00067727"/>
    <w:rsid w:val="000679DB"/>
    <w:rsid w:val="00067AC1"/>
    <w:rsid w:val="00070199"/>
    <w:rsid w:val="000706F5"/>
    <w:rsid w:val="00070804"/>
    <w:rsid w:val="00070ADB"/>
    <w:rsid w:val="000712FF"/>
    <w:rsid w:val="000713DC"/>
    <w:rsid w:val="00071467"/>
    <w:rsid w:val="0007174E"/>
    <w:rsid w:val="0007178B"/>
    <w:rsid w:val="000721DB"/>
    <w:rsid w:val="00072247"/>
    <w:rsid w:val="000723DF"/>
    <w:rsid w:val="000724AE"/>
    <w:rsid w:val="000724BF"/>
    <w:rsid w:val="00072604"/>
    <w:rsid w:val="00072709"/>
    <w:rsid w:val="000728AA"/>
    <w:rsid w:val="00073038"/>
    <w:rsid w:val="000730F6"/>
    <w:rsid w:val="00073337"/>
    <w:rsid w:val="000736C0"/>
    <w:rsid w:val="000739BB"/>
    <w:rsid w:val="00073E06"/>
    <w:rsid w:val="0007417F"/>
    <w:rsid w:val="000743E4"/>
    <w:rsid w:val="00074405"/>
    <w:rsid w:val="00074DE8"/>
    <w:rsid w:val="0007510C"/>
    <w:rsid w:val="00075FD9"/>
    <w:rsid w:val="00076957"/>
    <w:rsid w:val="00076D1E"/>
    <w:rsid w:val="00076F5F"/>
    <w:rsid w:val="000773F3"/>
    <w:rsid w:val="0007776A"/>
    <w:rsid w:val="00077788"/>
    <w:rsid w:val="00077A29"/>
    <w:rsid w:val="00077A76"/>
    <w:rsid w:val="00077FC8"/>
    <w:rsid w:val="0008037D"/>
    <w:rsid w:val="0008045F"/>
    <w:rsid w:val="00080991"/>
    <w:rsid w:val="00081094"/>
    <w:rsid w:val="00081137"/>
    <w:rsid w:val="000811C7"/>
    <w:rsid w:val="0008170D"/>
    <w:rsid w:val="00081759"/>
    <w:rsid w:val="0008176B"/>
    <w:rsid w:val="00081DC5"/>
    <w:rsid w:val="00081F13"/>
    <w:rsid w:val="000820DE"/>
    <w:rsid w:val="00082FA3"/>
    <w:rsid w:val="00083331"/>
    <w:rsid w:val="0008350F"/>
    <w:rsid w:val="00083807"/>
    <w:rsid w:val="00083861"/>
    <w:rsid w:val="00083A32"/>
    <w:rsid w:val="00083BDF"/>
    <w:rsid w:val="00084203"/>
    <w:rsid w:val="00084660"/>
    <w:rsid w:val="000847AF"/>
    <w:rsid w:val="0008495F"/>
    <w:rsid w:val="000851D4"/>
    <w:rsid w:val="0008528F"/>
    <w:rsid w:val="000855F7"/>
    <w:rsid w:val="000856EF"/>
    <w:rsid w:val="00085819"/>
    <w:rsid w:val="00085F0B"/>
    <w:rsid w:val="00085FB9"/>
    <w:rsid w:val="00085FEC"/>
    <w:rsid w:val="00087341"/>
    <w:rsid w:val="00087D1C"/>
    <w:rsid w:val="0009003B"/>
    <w:rsid w:val="00090214"/>
    <w:rsid w:val="0009043E"/>
    <w:rsid w:val="000906CE"/>
    <w:rsid w:val="00090D99"/>
    <w:rsid w:val="00091088"/>
    <w:rsid w:val="00091286"/>
    <w:rsid w:val="000913F2"/>
    <w:rsid w:val="0009150F"/>
    <w:rsid w:val="00091BB5"/>
    <w:rsid w:val="00092026"/>
    <w:rsid w:val="00092816"/>
    <w:rsid w:val="00092A0B"/>
    <w:rsid w:val="00092FBA"/>
    <w:rsid w:val="00093062"/>
    <w:rsid w:val="000933F7"/>
    <w:rsid w:val="00093571"/>
    <w:rsid w:val="000937A8"/>
    <w:rsid w:val="00093A77"/>
    <w:rsid w:val="0009429F"/>
    <w:rsid w:val="00094605"/>
    <w:rsid w:val="00094743"/>
    <w:rsid w:val="00094770"/>
    <w:rsid w:val="000947DB"/>
    <w:rsid w:val="0009497C"/>
    <w:rsid w:val="00094BAE"/>
    <w:rsid w:val="00095360"/>
    <w:rsid w:val="0009563D"/>
    <w:rsid w:val="00095802"/>
    <w:rsid w:val="00095958"/>
    <w:rsid w:val="00095ED9"/>
    <w:rsid w:val="00095FD5"/>
    <w:rsid w:val="0009618F"/>
    <w:rsid w:val="000968AC"/>
    <w:rsid w:val="00096A3D"/>
    <w:rsid w:val="00096AC7"/>
    <w:rsid w:val="000972B4"/>
    <w:rsid w:val="0009798A"/>
    <w:rsid w:val="000A0826"/>
    <w:rsid w:val="000A08BE"/>
    <w:rsid w:val="000A0F08"/>
    <w:rsid w:val="000A103D"/>
    <w:rsid w:val="000A1081"/>
    <w:rsid w:val="000A1205"/>
    <w:rsid w:val="000A141D"/>
    <w:rsid w:val="000A1449"/>
    <w:rsid w:val="000A25D3"/>
    <w:rsid w:val="000A2879"/>
    <w:rsid w:val="000A3042"/>
    <w:rsid w:val="000A38AA"/>
    <w:rsid w:val="000A412C"/>
    <w:rsid w:val="000A4F13"/>
    <w:rsid w:val="000A57DC"/>
    <w:rsid w:val="000A5974"/>
    <w:rsid w:val="000A5F8C"/>
    <w:rsid w:val="000A6323"/>
    <w:rsid w:val="000A65E9"/>
    <w:rsid w:val="000A7C3A"/>
    <w:rsid w:val="000A7E51"/>
    <w:rsid w:val="000A7F4F"/>
    <w:rsid w:val="000B0761"/>
    <w:rsid w:val="000B0C51"/>
    <w:rsid w:val="000B13EA"/>
    <w:rsid w:val="000B146B"/>
    <w:rsid w:val="000B15BC"/>
    <w:rsid w:val="000B1617"/>
    <w:rsid w:val="000B1F4D"/>
    <w:rsid w:val="000B28B0"/>
    <w:rsid w:val="000B3054"/>
    <w:rsid w:val="000B310F"/>
    <w:rsid w:val="000B32E2"/>
    <w:rsid w:val="000B353E"/>
    <w:rsid w:val="000B3DCD"/>
    <w:rsid w:val="000B4235"/>
    <w:rsid w:val="000B4475"/>
    <w:rsid w:val="000B47F4"/>
    <w:rsid w:val="000B48B8"/>
    <w:rsid w:val="000B497F"/>
    <w:rsid w:val="000B4A72"/>
    <w:rsid w:val="000B5105"/>
    <w:rsid w:val="000B5370"/>
    <w:rsid w:val="000B5765"/>
    <w:rsid w:val="000B5D78"/>
    <w:rsid w:val="000B64EB"/>
    <w:rsid w:val="000B6675"/>
    <w:rsid w:val="000B71A6"/>
    <w:rsid w:val="000B7475"/>
    <w:rsid w:val="000B7B39"/>
    <w:rsid w:val="000B7B5B"/>
    <w:rsid w:val="000B7BC1"/>
    <w:rsid w:val="000C0946"/>
    <w:rsid w:val="000C0972"/>
    <w:rsid w:val="000C1647"/>
    <w:rsid w:val="000C17D6"/>
    <w:rsid w:val="000C2150"/>
    <w:rsid w:val="000C239E"/>
    <w:rsid w:val="000C271B"/>
    <w:rsid w:val="000C29FA"/>
    <w:rsid w:val="000C2E48"/>
    <w:rsid w:val="000C2FC6"/>
    <w:rsid w:val="000C314A"/>
    <w:rsid w:val="000C39C6"/>
    <w:rsid w:val="000C3D2A"/>
    <w:rsid w:val="000C4099"/>
    <w:rsid w:val="000C4196"/>
    <w:rsid w:val="000C42A4"/>
    <w:rsid w:val="000C436B"/>
    <w:rsid w:val="000C4456"/>
    <w:rsid w:val="000C44FC"/>
    <w:rsid w:val="000C472D"/>
    <w:rsid w:val="000C4C64"/>
    <w:rsid w:val="000C56B2"/>
    <w:rsid w:val="000C57A9"/>
    <w:rsid w:val="000C5A60"/>
    <w:rsid w:val="000C5A78"/>
    <w:rsid w:val="000C5AE8"/>
    <w:rsid w:val="000C5E39"/>
    <w:rsid w:val="000C6207"/>
    <w:rsid w:val="000C6284"/>
    <w:rsid w:val="000C67B6"/>
    <w:rsid w:val="000C6B77"/>
    <w:rsid w:val="000C6C6E"/>
    <w:rsid w:val="000C7060"/>
    <w:rsid w:val="000C7674"/>
    <w:rsid w:val="000C779A"/>
    <w:rsid w:val="000C797B"/>
    <w:rsid w:val="000C7AFC"/>
    <w:rsid w:val="000D001C"/>
    <w:rsid w:val="000D005E"/>
    <w:rsid w:val="000D027C"/>
    <w:rsid w:val="000D02E2"/>
    <w:rsid w:val="000D087F"/>
    <w:rsid w:val="000D0A10"/>
    <w:rsid w:val="000D20D0"/>
    <w:rsid w:val="000D32D2"/>
    <w:rsid w:val="000D360A"/>
    <w:rsid w:val="000D39C4"/>
    <w:rsid w:val="000D3CB1"/>
    <w:rsid w:val="000D3E30"/>
    <w:rsid w:val="000D449A"/>
    <w:rsid w:val="000D4970"/>
    <w:rsid w:val="000D5F59"/>
    <w:rsid w:val="000D605E"/>
    <w:rsid w:val="000D71ED"/>
    <w:rsid w:val="000D76DA"/>
    <w:rsid w:val="000D779F"/>
    <w:rsid w:val="000D798A"/>
    <w:rsid w:val="000D7D83"/>
    <w:rsid w:val="000D7F6B"/>
    <w:rsid w:val="000E02BA"/>
    <w:rsid w:val="000E0397"/>
    <w:rsid w:val="000E0B13"/>
    <w:rsid w:val="000E0E11"/>
    <w:rsid w:val="000E0ECA"/>
    <w:rsid w:val="000E133C"/>
    <w:rsid w:val="000E1392"/>
    <w:rsid w:val="000E143D"/>
    <w:rsid w:val="000E22B0"/>
    <w:rsid w:val="000E2677"/>
    <w:rsid w:val="000E2818"/>
    <w:rsid w:val="000E32C6"/>
    <w:rsid w:val="000E33EB"/>
    <w:rsid w:val="000E3644"/>
    <w:rsid w:val="000E36FE"/>
    <w:rsid w:val="000E38E9"/>
    <w:rsid w:val="000E39B4"/>
    <w:rsid w:val="000E43B0"/>
    <w:rsid w:val="000E4437"/>
    <w:rsid w:val="000E4B4E"/>
    <w:rsid w:val="000E4C8F"/>
    <w:rsid w:val="000E4ED6"/>
    <w:rsid w:val="000E4F0C"/>
    <w:rsid w:val="000E554A"/>
    <w:rsid w:val="000E5702"/>
    <w:rsid w:val="000E581A"/>
    <w:rsid w:val="000E5C3C"/>
    <w:rsid w:val="000E5C76"/>
    <w:rsid w:val="000E5FD0"/>
    <w:rsid w:val="000E6CFA"/>
    <w:rsid w:val="000E7231"/>
    <w:rsid w:val="000E780C"/>
    <w:rsid w:val="000E7BEC"/>
    <w:rsid w:val="000E7D30"/>
    <w:rsid w:val="000F01BA"/>
    <w:rsid w:val="000F0347"/>
    <w:rsid w:val="000F0F79"/>
    <w:rsid w:val="000F109E"/>
    <w:rsid w:val="000F10F1"/>
    <w:rsid w:val="000F1847"/>
    <w:rsid w:val="000F1DF8"/>
    <w:rsid w:val="000F1FA5"/>
    <w:rsid w:val="000F21AD"/>
    <w:rsid w:val="000F30EC"/>
    <w:rsid w:val="000F311C"/>
    <w:rsid w:val="000F31DE"/>
    <w:rsid w:val="000F3516"/>
    <w:rsid w:val="000F373A"/>
    <w:rsid w:val="000F3966"/>
    <w:rsid w:val="000F4275"/>
    <w:rsid w:val="000F4322"/>
    <w:rsid w:val="000F4488"/>
    <w:rsid w:val="000F4B94"/>
    <w:rsid w:val="000F4CD3"/>
    <w:rsid w:val="000F5459"/>
    <w:rsid w:val="000F57D5"/>
    <w:rsid w:val="000F5F70"/>
    <w:rsid w:val="000F6586"/>
    <w:rsid w:val="000F6817"/>
    <w:rsid w:val="000F68AC"/>
    <w:rsid w:val="000F6B01"/>
    <w:rsid w:val="000F6D12"/>
    <w:rsid w:val="000F76FF"/>
    <w:rsid w:val="000F7911"/>
    <w:rsid w:val="000F7F3B"/>
    <w:rsid w:val="0010064E"/>
    <w:rsid w:val="001007B0"/>
    <w:rsid w:val="00100A37"/>
    <w:rsid w:val="00100C4B"/>
    <w:rsid w:val="00100FAB"/>
    <w:rsid w:val="00101061"/>
    <w:rsid w:val="00101580"/>
    <w:rsid w:val="00101A61"/>
    <w:rsid w:val="0010241B"/>
    <w:rsid w:val="001027F2"/>
    <w:rsid w:val="001029B7"/>
    <w:rsid w:val="00102CCB"/>
    <w:rsid w:val="001032A6"/>
    <w:rsid w:val="00103350"/>
    <w:rsid w:val="0010351C"/>
    <w:rsid w:val="0010387F"/>
    <w:rsid w:val="00104200"/>
    <w:rsid w:val="00104BDE"/>
    <w:rsid w:val="001054B1"/>
    <w:rsid w:val="0010589D"/>
    <w:rsid w:val="00105D7C"/>
    <w:rsid w:val="00105DD2"/>
    <w:rsid w:val="00105E70"/>
    <w:rsid w:val="001065C6"/>
    <w:rsid w:val="001066B2"/>
    <w:rsid w:val="0010715F"/>
    <w:rsid w:val="00107434"/>
    <w:rsid w:val="00107DA7"/>
    <w:rsid w:val="0011000F"/>
    <w:rsid w:val="0011026D"/>
    <w:rsid w:val="001108AD"/>
    <w:rsid w:val="00110E82"/>
    <w:rsid w:val="0011118C"/>
    <w:rsid w:val="0011217E"/>
    <w:rsid w:val="001126D1"/>
    <w:rsid w:val="00112A6D"/>
    <w:rsid w:val="00112E8F"/>
    <w:rsid w:val="00112E98"/>
    <w:rsid w:val="00112F3F"/>
    <w:rsid w:val="001131BC"/>
    <w:rsid w:val="00113423"/>
    <w:rsid w:val="00113719"/>
    <w:rsid w:val="00113C69"/>
    <w:rsid w:val="00113EE9"/>
    <w:rsid w:val="00113F66"/>
    <w:rsid w:val="001146C1"/>
    <w:rsid w:val="00114C19"/>
    <w:rsid w:val="0011531B"/>
    <w:rsid w:val="00115C1C"/>
    <w:rsid w:val="001160BD"/>
    <w:rsid w:val="00116183"/>
    <w:rsid w:val="00116964"/>
    <w:rsid w:val="00116ED1"/>
    <w:rsid w:val="00117537"/>
    <w:rsid w:val="0011767F"/>
    <w:rsid w:val="001176BC"/>
    <w:rsid w:val="00117B2A"/>
    <w:rsid w:val="00117E02"/>
    <w:rsid w:val="00120792"/>
    <w:rsid w:val="00120CED"/>
    <w:rsid w:val="00120F9E"/>
    <w:rsid w:val="0012113F"/>
    <w:rsid w:val="001215AE"/>
    <w:rsid w:val="00121615"/>
    <w:rsid w:val="00122131"/>
    <w:rsid w:val="00122BA5"/>
    <w:rsid w:val="00123604"/>
    <w:rsid w:val="00123A68"/>
    <w:rsid w:val="001244B1"/>
    <w:rsid w:val="001245D8"/>
    <w:rsid w:val="00124B4D"/>
    <w:rsid w:val="00125094"/>
    <w:rsid w:val="00125881"/>
    <w:rsid w:val="001258D2"/>
    <w:rsid w:val="001258FE"/>
    <w:rsid w:val="00125BC9"/>
    <w:rsid w:val="00126129"/>
    <w:rsid w:val="00126150"/>
    <w:rsid w:val="001261FB"/>
    <w:rsid w:val="00126896"/>
    <w:rsid w:val="001268BC"/>
    <w:rsid w:val="00126C59"/>
    <w:rsid w:val="00127439"/>
    <w:rsid w:val="00127652"/>
    <w:rsid w:val="00130695"/>
    <w:rsid w:val="001306E8"/>
    <w:rsid w:val="001311C1"/>
    <w:rsid w:val="00131A5C"/>
    <w:rsid w:val="00131AF5"/>
    <w:rsid w:val="00132780"/>
    <w:rsid w:val="001328A2"/>
    <w:rsid w:val="001334C7"/>
    <w:rsid w:val="00133C35"/>
    <w:rsid w:val="00133F16"/>
    <w:rsid w:val="00134089"/>
    <w:rsid w:val="00134272"/>
    <w:rsid w:val="001342CB"/>
    <w:rsid w:val="0013448B"/>
    <w:rsid w:val="001344EF"/>
    <w:rsid w:val="00134511"/>
    <w:rsid w:val="0013471C"/>
    <w:rsid w:val="001348A3"/>
    <w:rsid w:val="00134A6E"/>
    <w:rsid w:val="00134BAD"/>
    <w:rsid w:val="00135480"/>
    <w:rsid w:val="001358A8"/>
    <w:rsid w:val="001358CB"/>
    <w:rsid w:val="00135CBC"/>
    <w:rsid w:val="00135DF2"/>
    <w:rsid w:val="00135E6D"/>
    <w:rsid w:val="001362A7"/>
    <w:rsid w:val="001362D2"/>
    <w:rsid w:val="001369A2"/>
    <w:rsid w:val="00136AD0"/>
    <w:rsid w:val="00136B70"/>
    <w:rsid w:val="00136C3D"/>
    <w:rsid w:val="0013722E"/>
    <w:rsid w:val="0013725D"/>
    <w:rsid w:val="00137269"/>
    <w:rsid w:val="00137273"/>
    <w:rsid w:val="001379A5"/>
    <w:rsid w:val="00137A8B"/>
    <w:rsid w:val="00137FAB"/>
    <w:rsid w:val="00140065"/>
    <w:rsid w:val="001400CB"/>
    <w:rsid w:val="001400F4"/>
    <w:rsid w:val="00140158"/>
    <w:rsid w:val="001402CD"/>
    <w:rsid w:val="001409A4"/>
    <w:rsid w:val="001409C2"/>
    <w:rsid w:val="00140CC7"/>
    <w:rsid w:val="001416BE"/>
    <w:rsid w:val="00141B1C"/>
    <w:rsid w:val="00141E99"/>
    <w:rsid w:val="001421DE"/>
    <w:rsid w:val="00142381"/>
    <w:rsid w:val="001425F5"/>
    <w:rsid w:val="00142A22"/>
    <w:rsid w:val="00142A6C"/>
    <w:rsid w:val="00142AFB"/>
    <w:rsid w:val="00142BD9"/>
    <w:rsid w:val="00142CF4"/>
    <w:rsid w:val="001431A5"/>
    <w:rsid w:val="00143260"/>
    <w:rsid w:val="001434E7"/>
    <w:rsid w:val="00143AEC"/>
    <w:rsid w:val="00144AC3"/>
    <w:rsid w:val="00144C51"/>
    <w:rsid w:val="00145337"/>
    <w:rsid w:val="00145451"/>
    <w:rsid w:val="0014548E"/>
    <w:rsid w:val="0014561E"/>
    <w:rsid w:val="001465C7"/>
    <w:rsid w:val="001467F9"/>
    <w:rsid w:val="00147398"/>
    <w:rsid w:val="001479A9"/>
    <w:rsid w:val="00147F0F"/>
    <w:rsid w:val="00150005"/>
    <w:rsid w:val="00150239"/>
    <w:rsid w:val="0015029D"/>
    <w:rsid w:val="0015075A"/>
    <w:rsid w:val="00150F51"/>
    <w:rsid w:val="00150FA0"/>
    <w:rsid w:val="00151073"/>
    <w:rsid w:val="001510C1"/>
    <w:rsid w:val="001512E1"/>
    <w:rsid w:val="00151345"/>
    <w:rsid w:val="00151759"/>
    <w:rsid w:val="0015185C"/>
    <w:rsid w:val="00152017"/>
    <w:rsid w:val="001521C6"/>
    <w:rsid w:val="00152877"/>
    <w:rsid w:val="00152BE2"/>
    <w:rsid w:val="00152E7E"/>
    <w:rsid w:val="001539B2"/>
    <w:rsid w:val="00153BD2"/>
    <w:rsid w:val="00153BD3"/>
    <w:rsid w:val="00153CBE"/>
    <w:rsid w:val="00153E68"/>
    <w:rsid w:val="0015422E"/>
    <w:rsid w:val="001542AB"/>
    <w:rsid w:val="00154B3F"/>
    <w:rsid w:val="00154E0D"/>
    <w:rsid w:val="00154F94"/>
    <w:rsid w:val="00155837"/>
    <w:rsid w:val="00155A54"/>
    <w:rsid w:val="00155BBF"/>
    <w:rsid w:val="00155E0D"/>
    <w:rsid w:val="00155FC8"/>
    <w:rsid w:val="00156287"/>
    <w:rsid w:val="00156C88"/>
    <w:rsid w:val="001574A3"/>
    <w:rsid w:val="00157712"/>
    <w:rsid w:val="001600E9"/>
    <w:rsid w:val="001602E5"/>
    <w:rsid w:val="0016047D"/>
    <w:rsid w:val="00160A14"/>
    <w:rsid w:val="00160A74"/>
    <w:rsid w:val="00160C6E"/>
    <w:rsid w:val="00160DFA"/>
    <w:rsid w:val="00160EC3"/>
    <w:rsid w:val="00160EF4"/>
    <w:rsid w:val="00160FEC"/>
    <w:rsid w:val="001610E5"/>
    <w:rsid w:val="00161BC8"/>
    <w:rsid w:val="00162279"/>
    <w:rsid w:val="00162957"/>
    <w:rsid w:val="00162D6D"/>
    <w:rsid w:val="00162F24"/>
    <w:rsid w:val="00163538"/>
    <w:rsid w:val="00163AE5"/>
    <w:rsid w:val="00163C82"/>
    <w:rsid w:val="001644A1"/>
    <w:rsid w:val="00164633"/>
    <w:rsid w:val="00164EEA"/>
    <w:rsid w:val="00165242"/>
    <w:rsid w:val="00165445"/>
    <w:rsid w:val="00165B21"/>
    <w:rsid w:val="00165B36"/>
    <w:rsid w:val="0016603E"/>
    <w:rsid w:val="00166C40"/>
    <w:rsid w:val="00167A20"/>
    <w:rsid w:val="00167CB4"/>
    <w:rsid w:val="00167EA8"/>
    <w:rsid w:val="00167F75"/>
    <w:rsid w:val="00167FE6"/>
    <w:rsid w:val="00170985"/>
    <w:rsid w:val="00170FD7"/>
    <w:rsid w:val="001710E2"/>
    <w:rsid w:val="001712B1"/>
    <w:rsid w:val="001714F3"/>
    <w:rsid w:val="001716C3"/>
    <w:rsid w:val="00171B8A"/>
    <w:rsid w:val="00171DC8"/>
    <w:rsid w:val="00171EB6"/>
    <w:rsid w:val="001722C1"/>
    <w:rsid w:val="0017363F"/>
    <w:rsid w:val="00173713"/>
    <w:rsid w:val="00173BB3"/>
    <w:rsid w:val="00174415"/>
    <w:rsid w:val="00174663"/>
    <w:rsid w:val="00174B8D"/>
    <w:rsid w:val="00174C2A"/>
    <w:rsid w:val="00175367"/>
    <w:rsid w:val="00175B61"/>
    <w:rsid w:val="00175CE1"/>
    <w:rsid w:val="00176B12"/>
    <w:rsid w:val="00176B89"/>
    <w:rsid w:val="00176D6C"/>
    <w:rsid w:val="00176FE9"/>
    <w:rsid w:val="0017729C"/>
    <w:rsid w:val="001772D5"/>
    <w:rsid w:val="00177459"/>
    <w:rsid w:val="001775C1"/>
    <w:rsid w:val="001778B8"/>
    <w:rsid w:val="00177F7F"/>
    <w:rsid w:val="00180420"/>
    <w:rsid w:val="00180D1B"/>
    <w:rsid w:val="00181205"/>
    <w:rsid w:val="0018150E"/>
    <w:rsid w:val="0018179B"/>
    <w:rsid w:val="0018181C"/>
    <w:rsid w:val="00181B5D"/>
    <w:rsid w:val="00181E94"/>
    <w:rsid w:val="00182039"/>
    <w:rsid w:val="0018205E"/>
    <w:rsid w:val="00182C32"/>
    <w:rsid w:val="00183012"/>
    <w:rsid w:val="00183422"/>
    <w:rsid w:val="001838AD"/>
    <w:rsid w:val="001838DD"/>
    <w:rsid w:val="00183A78"/>
    <w:rsid w:val="00183C4C"/>
    <w:rsid w:val="00183ECE"/>
    <w:rsid w:val="00185569"/>
    <w:rsid w:val="001856A1"/>
    <w:rsid w:val="001858D1"/>
    <w:rsid w:val="00185948"/>
    <w:rsid w:val="00185CC8"/>
    <w:rsid w:val="00185D84"/>
    <w:rsid w:val="00186960"/>
    <w:rsid w:val="00186CB0"/>
    <w:rsid w:val="00187505"/>
    <w:rsid w:val="00187AA4"/>
    <w:rsid w:val="00187F05"/>
    <w:rsid w:val="00187F5E"/>
    <w:rsid w:val="0019034C"/>
    <w:rsid w:val="00190694"/>
    <w:rsid w:val="001907A5"/>
    <w:rsid w:val="00190ED3"/>
    <w:rsid w:val="001913BB"/>
    <w:rsid w:val="0019159E"/>
    <w:rsid w:val="00191EA9"/>
    <w:rsid w:val="0019207D"/>
    <w:rsid w:val="00192193"/>
    <w:rsid w:val="00192329"/>
    <w:rsid w:val="00192846"/>
    <w:rsid w:val="0019284C"/>
    <w:rsid w:val="00192A8F"/>
    <w:rsid w:val="001938F6"/>
    <w:rsid w:val="00194009"/>
    <w:rsid w:val="001940AD"/>
    <w:rsid w:val="00194BAE"/>
    <w:rsid w:val="00195219"/>
    <w:rsid w:val="001956A4"/>
    <w:rsid w:val="001957BF"/>
    <w:rsid w:val="00195899"/>
    <w:rsid w:val="00195DBC"/>
    <w:rsid w:val="00195FAA"/>
    <w:rsid w:val="001961A4"/>
    <w:rsid w:val="0019641F"/>
    <w:rsid w:val="00196A13"/>
    <w:rsid w:val="00196C2B"/>
    <w:rsid w:val="00196CA3"/>
    <w:rsid w:val="00196F13"/>
    <w:rsid w:val="0019714E"/>
    <w:rsid w:val="001971B5"/>
    <w:rsid w:val="0019732C"/>
    <w:rsid w:val="00197871"/>
    <w:rsid w:val="00197A3F"/>
    <w:rsid w:val="00197ACE"/>
    <w:rsid w:val="001A003D"/>
    <w:rsid w:val="001A01D4"/>
    <w:rsid w:val="001A02C8"/>
    <w:rsid w:val="001A0897"/>
    <w:rsid w:val="001A0D77"/>
    <w:rsid w:val="001A0E55"/>
    <w:rsid w:val="001A0F3E"/>
    <w:rsid w:val="001A1134"/>
    <w:rsid w:val="001A1157"/>
    <w:rsid w:val="001A196A"/>
    <w:rsid w:val="001A1D95"/>
    <w:rsid w:val="001A2565"/>
    <w:rsid w:val="001A283E"/>
    <w:rsid w:val="001A2EF0"/>
    <w:rsid w:val="001A35CD"/>
    <w:rsid w:val="001A447F"/>
    <w:rsid w:val="001A494A"/>
    <w:rsid w:val="001A4E90"/>
    <w:rsid w:val="001A4EAA"/>
    <w:rsid w:val="001A5003"/>
    <w:rsid w:val="001A5122"/>
    <w:rsid w:val="001A51F6"/>
    <w:rsid w:val="001A5E8C"/>
    <w:rsid w:val="001A6463"/>
    <w:rsid w:val="001A6815"/>
    <w:rsid w:val="001A6C70"/>
    <w:rsid w:val="001A6C89"/>
    <w:rsid w:val="001A7583"/>
    <w:rsid w:val="001A76A4"/>
    <w:rsid w:val="001A794A"/>
    <w:rsid w:val="001A799E"/>
    <w:rsid w:val="001A7A85"/>
    <w:rsid w:val="001A7CE7"/>
    <w:rsid w:val="001B020F"/>
    <w:rsid w:val="001B0321"/>
    <w:rsid w:val="001B03B7"/>
    <w:rsid w:val="001B0740"/>
    <w:rsid w:val="001B0D51"/>
    <w:rsid w:val="001B0DBE"/>
    <w:rsid w:val="001B143C"/>
    <w:rsid w:val="001B1762"/>
    <w:rsid w:val="001B17AC"/>
    <w:rsid w:val="001B1CA5"/>
    <w:rsid w:val="001B1DE4"/>
    <w:rsid w:val="001B2410"/>
    <w:rsid w:val="001B264E"/>
    <w:rsid w:val="001B269F"/>
    <w:rsid w:val="001B2AAB"/>
    <w:rsid w:val="001B2DD3"/>
    <w:rsid w:val="001B2E74"/>
    <w:rsid w:val="001B308E"/>
    <w:rsid w:val="001B308F"/>
    <w:rsid w:val="001B36A5"/>
    <w:rsid w:val="001B3A85"/>
    <w:rsid w:val="001B3DA0"/>
    <w:rsid w:val="001B3E39"/>
    <w:rsid w:val="001B40D3"/>
    <w:rsid w:val="001B588D"/>
    <w:rsid w:val="001B5A85"/>
    <w:rsid w:val="001B5B19"/>
    <w:rsid w:val="001B6189"/>
    <w:rsid w:val="001B66C2"/>
    <w:rsid w:val="001B6C0B"/>
    <w:rsid w:val="001B6EC3"/>
    <w:rsid w:val="001B7A4B"/>
    <w:rsid w:val="001B7CEC"/>
    <w:rsid w:val="001C06B2"/>
    <w:rsid w:val="001C0F0E"/>
    <w:rsid w:val="001C1201"/>
    <w:rsid w:val="001C14D6"/>
    <w:rsid w:val="001C1AA1"/>
    <w:rsid w:val="001C1BBB"/>
    <w:rsid w:val="001C1DBE"/>
    <w:rsid w:val="001C22DC"/>
    <w:rsid w:val="001C2383"/>
    <w:rsid w:val="001C2705"/>
    <w:rsid w:val="001C2964"/>
    <w:rsid w:val="001C2E72"/>
    <w:rsid w:val="001C2EA0"/>
    <w:rsid w:val="001C2F59"/>
    <w:rsid w:val="001C3147"/>
    <w:rsid w:val="001C365F"/>
    <w:rsid w:val="001C3BFE"/>
    <w:rsid w:val="001C4A47"/>
    <w:rsid w:val="001C4C90"/>
    <w:rsid w:val="001C4DCC"/>
    <w:rsid w:val="001C4FA7"/>
    <w:rsid w:val="001C53B3"/>
    <w:rsid w:val="001C5F3F"/>
    <w:rsid w:val="001C63F5"/>
    <w:rsid w:val="001C668E"/>
    <w:rsid w:val="001C6767"/>
    <w:rsid w:val="001C6990"/>
    <w:rsid w:val="001C6A78"/>
    <w:rsid w:val="001C6C90"/>
    <w:rsid w:val="001C704E"/>
    <w:rsid w:val="001C7518"/>
    <w:rsid w:val="001C7835"/>
    <w:rsid w:val="001C792A"/>
    <w:rsid w:val="001C79A7"/>
    <w:rsid w:val="001C79D4"/>
    <w:rsid w:val="001C7C20"/>
    <w:rsid w:val="001C7EEE"/>
    <w:rsid w:val="001D0C7A"/>
    <w:rsid w:val="001D132A"/>
    <w:rsid w:val="001D136B"/>
    <w:rsid w:val="001D1593"/>
    <w:rsid w:val="001D185E"/>
    <w:rsid w:val="001D1CAA"/>
    <w:rsid w:val="001D1D8F"/>
    <w:rsid w:val="001D1E7E"/>
    <w:rsid w:val="001D21F4"/>
    <w:rsid w:val="001D2245"/>
    <w:rsid w:val="001D22CC"/>
    <w:rsid w:val="001D2882"/>
    <w:rsid w:val="001D2A86"/>
    <w:rsid w:val="001D2B6E"/>
    <w:rsid w:val="001D2D50"/>
    <w:rsid w:val="001D300E"/>
    <w:rsid w:val="001D3582"/>
    <w:rsid w:val="001D36B8"/>
    <w:rsid w:val="001D383E"/>
    <w:rsid w:val="001D3F06"/>
    <w:rsid w:val="001D4050"/>
    <w:rsid w:val="001D4290"/>
    <w:rsid w:val="001D4635"/>
    <w:rsid w:val="001D48BD"/>
    <w:rsid w:val="001D494D"/>
    <w:rsid w:val="001D4CDC"/>
    <w:rsid w:val="001D4ED8"/>
    <w:rsid w:val="001D5564"/>
    <w:rsid w:val="001D55AE"/>
    <w:rsid w:val="001D56B8"/>
    <w:rsid w:val="001D56C0"/>
    <w:rsid w:val="001D5AE0"/>
    <w:rsid w:val="001D685E"/>
    <w:rsid w:val="001D6C15"/>
    <w:rsid w:val="001D6D0B"/>
    <w:rsid w:val="001D76BB"/>
    <w:rsid w:val="001D7771"/>
    <w:rsid w:val="001D7A68"/>
    <w:rsid w:val="001D7C21"/>
    <w:rsid w:val="001D7D9B"/>
    <w:rsid w:val="001D7F04"/>
    <w:rsid w:val="001E0627"/>
    <w:rsid w:val="001E0CD9"/>
    <w:rsid w:val="001E0CF4"/>
    <w:rsid w:val="001E0E31"/>
    <w:rsid w:val="001E0F13"/>
    <w:rsid w:val="001E13AD"/>
    <w:rsid w:val="001E1956"/>
    <w:rsid w:val="001E1AFA"/>
    <w:rsid w:val="001E1D54"/>
    <w:rsid w:val="001E22B4"/>
    <w:rsid w:val="001E2631"/>
    <w:rsid w:val="001E2655"/>
    <w:rsid w:val="001E26E5"/>
    <w:rsid w:val="001E2B7E"/>
    <w:rsid w:val="001E2CA0"/>
    <w:rsid w:val="001E2CF6"/>
    <w:rsid w:val="001E3507"/>
    <w:rsid w:val="001E3633"/>
    <w:rsid w:val="001E3773"/>
    <w:rsid w:val="001E3D8E"/>
    <w:rsid w:val="001E3E3E"/>
    <w:rsid w:val="001E4959"/>
    <w:rsid w:val="001E52B7"/>
    <w:rsid w:val="001E54E1"/>
    <w:rsid w:val="001E5C96"/>
    <w:rsid w:val="001E5FC6"/>
    <w:rsid w:val="001E6B44"/>
    <w:rsid w:val="001E6B62"/>
    <w:rsid w:val="001E6BE5"/>
    <w:rsid w:val="001E6DAC"/>
    <w:rsid w:val="001E7158"/>
    <w:rsid w:val="001E7B83"/>
    <w:rsid w:val="001E7C1E"/>
    <w:rsid w:val="001F04DD"/>
    <w:rsid w:val="001F05DB"/>
    <w:rsid w:val="001F0AC8"/>
    <w:rsid w:val="001F0D2D"/>
    <w:rsid w:val="001F0FFA"/>
    <w:rsid w:val="001F1103"/>
    <w:rsid w:val="001F13C1"/>
    <w:rsid w:val="001F1E9A"/>
    <w:rsid w:val="001F2495"/>
    <w:rsid w:val="001F2757"/>
    <w:rsid w:val="001F2D2B"/>
    <w:rsid w:val="001F32DE"/>
    <w:rsid w:val="001F354C"/>
    <w:rsid w:val="001F3F15"/>
    <w:rsid w:val="001F446D"/>
    <w:rsid w:val="001F472B"/>
    <w:rsid w:val="001F49C6"/>
    <w:rsid w:val="001F49D7"/>
    <w:rsid w:val="001F53F7"/>
    <w:rsid w:val="001F5455"/>
    <w:rsid w:val="001F5533"/>
    <w:rsid w:val="001F5A0C"/>
    <w:rsid w:val="001F5B08"/>
    <w:rsid w:val="001F61DB"/>
    <w:rsid w:val="001F64CE"/>
    <w:rsid w:val="001F6B0A"/>
    <w:rsid w:val="001F6DD5"/>
    <w:rsid w:val="001F6F40"/>
    <w:rsid w:val="001F704B"/>
    <w:rsid w:val="001F71AE"/>
    <w:rsid w:val="001F78EA"/>
    <w:rsid w:val="001F79D3"/>
    <w:rsid w:val="00200DBD"/>
    <w:rsid w:val="00201292"/>
    <w:rsid w:val="00201320"/>
    <w:rsid w:val="002015DE"/>
    <w:rsid w:val="00201A84"/>
    <w:rsid w:val="00201BCF"/>
    <w:rsid w:val="00201F2A"/>
    <w:rsid w:val="0020204A"/>
    <w:rsid w:val="002022AA"/>
    <w:rsid w:val="00202418"/>
    <w:rsid w:val="0020254D"/>
    <w:rsid w:val="0020297F"/>
    <w:rsid w:val="00202CB8"/>
    <w:rsid w:val="00203569"/>
    <w:rsid w:val="00203BBB"/>
    <w:rsid w:val="00203C4E"/>
    <w:rsid w:val="00203C8A"/>
    <w:rsid w:val="00203D02"/>
    <w:rsid w:val="002040CB"/>
    <w:rsid w:val="002041AB"/>
    <w:rsid w:val="0020430D"/>
    <w:rsid w:val="00204573"/>
    <w:rsid w:val="0020509C"/>
    <w:rsid w:val="0020535B"/>
    <w:rsid w:val="002053C8"/>
    <w:rsid w:val="002059C0"/>
    <w:rsid w:val="002069DC"/>
    <w:rsid w:val="0020747E"/>
    <w:rsid w:val="0020748F"/>
    <w:rsid w:val="0020767C"/>
    <w:rsid w:val="00207952"/>
    <w:rsid w:val="00210043"/>
    <w:rsid w:val="002112EC"/>
    <w:rsid w:val="002116F9"/>
    <w:rsid w:val="00211C6E"/>
    <w:rsid w:val="00211F27"/>
    <w:rsid w:val="002123C0"/>
    <w:rsid w:val="002125EE"/>
    <w:rsid w:val="00213079"/>
    <w:rsid w:val="002131D1"/>
    <w:rsid w:val="0021338E"/>
    <w:rsid w:val="00213C32"/>
    <w:rsid w:val="00213D70"/>
    <w:rsid w:val="00213DF5"/>
    <w:rsid w:val="002147EA"/>
    <w:rsid w:val="002148A7"/>
    <w:rsid w:val="00214FDD"/>
    <w:rsid w:val="00215308"/>
    <w:rsid w:val="002158C8"/>
    <w:rsid w:val="00215A2A"/>
    <w:rsid w:val="00215C04"/>
    <w:rsid w:val="0021628A"/>
    <w:rsid w:val="002162A2"/>
    <w:rsid w:val="00216386"/>
    <w:rsid w:val="002166EF"/>
    <w:rsid w:val="002169AD"/>
    <w:rsid w:val="00216C27"/>
    <w:rsid w:val="00216C59"/>
    <w:rsid w:val="00216F52"/>
    <w:rsid w:val="00217161"/>
    <w:rsid w:val="002172E0"/>
    <w:rsid w:val="00217AC6"/>
    <w:rsid w:val="00217B48"/>
    <w:rsid w:val="00217D1D"/>
    <w:rsid w:val="002209B9"/>
    <w:rsid w:val="00220ABF"/>
    <w:rsid w:val="00220D76"/>
    <w:rsid w:val="002213E0"/>
    <w:rsid w:val="00221800"/>
    <w:rsid w:val="00221AB7"/>
    <w:rsid w:val="00222156"/>
    <w:rsid w:val="00222727"/>
    <w:rsid w:val="00222740"/>
    <w:rsid w:val="0022278A"/>
    <w:rsid w:val="00222B26"/>
    <w:rsid w:val="00222BFD"/>
    <w:rsid w:val="00222E7C"/>
    <w:rsid w:val="002230D9"/>
    <w:rsid w:val="0022388C"/>
    <w:rsid w:val="00223BCE"/>
    <w:rsid w:val="00223F1B"/>
    <w:rsid w:val="002249D8"/>
    <w:rsid w:val="002258E8"/>
    <w:rsid w:val="002259FF"/>
    <w:rsid w:val="00226A4B"/>
    <w:rsid w:val="00226A72"/>
    <w:rsid w:val="00226F08"/>
    <w:rsid w:val="0022705D"/>
    <w:rsid w:val="0022717D"/>
    <w:rsid w:val="0022732A"/>
    <w:rsid w:val="002274B5"/>
    <w:rsid w:val="0022764D"/>
    <w:rsid w:val="00227712"/>
    <w:rsid w:val="00230139"/>
    <w:rsid w:val="00230773"/>
    <w:rsid w:val="00230B55"/>
    <w:rsid w:val="00230DA5"/>
    <w:rsid w:val="00230FF0"/>
    <w:rsid w:val="0023128C"/>
    <w:rsid w:val="00231328"/>
    <w:rsid w:val="00231CBC"/>
    <w:rsid w:val="00232BB3"/>
    <w:rsid w:val="002332F1"/>
    <w:rsid w:val="002336E7"/>
    <w:rsid w:val="00233952"/>
    <w:rsid w:val="00233BD1"/>
    <w:rsid w:val="00234420"/>
    <w:rsid w:val="00234FBE"/>
    <w:rsid w:val="00235605"/>
    <w:rsid w:val="002356A2"/>
    <w:rsid w:val="00235CC1"/>
    <w:rsid w:val="00235CE8"/>
    <w:rsid w:val="00235E1C"/>
    <w:rsid w:val="00235F1C"/>
    <w:rsid w:val="0023620A"/>
    <w:rsid w:val="002365B3"/>
    <w:rsid w:val="002365C2"/>
    <w:rsid w:val="00236A07"/>
    <w:rsid w:val="00236EFC"/>
    <w:rsid w:val="00237194"/>
    <w:rsid w:val="00237493"/>
    <w:rsid w:val="002375D3"/>
    <w:rsid w:val="0023769E"/>
    <w:rsid w:val="00237B6F"/>
    <w:rsid w:val="00237FB5"/>
    <w:rsid w:val="002405C3"/>
    <w:rsid w:val="00240A42"/>
    <w:rsid w:val="0024134B"/>
    <w:rsid w:val="00241B70"/>
    <w:rsid w:val="00241D32"/>
    <w:rsid w:val="00241F95"/>
    <w:rsid w:val="00242D99"/>
    <w:rsid w:val="00243449"/>
    <w:rsid w:val="00243656"/>
    <w:rsid w:val="0024372F"/>
    <w:rsid w:val="002437C5"/>
    <w:rsid w:val="00243C06"/>
    <w:rsid w:val="00243DC8"/>
    <w:rsid w:val="002445EC"/>
    <w:rsid w:val="00244668"/>
    <w:rsid w:val="00244A2B"/>
    <w:rsid w:val="00244EBA"/>
    <w:rsid w:val="00244F86"/>
    <w:rsid w:val="00245066"/>
    <w:rsid w:val="002456D8"/>
    <w:rsid w:val="002457DE"/>
    <w:rsid w:val="00245F72"/>
    <w:rsid w:val="00246435"/>
    <w:rsid w:val="0024662E"/>
    <w:rsid w:val="00246BCF"/>
    <w:rsid w:val="002473A4"/>
    <w:rsid w:val="0024785B"/>
    <w:rsid w:val="00247BAF"/>
    <w:rsid w:val="00250668"/>
    <w:rsid w:val="002509D6"/>
    <w:rsid w:val="00251245"/>
    <w:rsid w:val="00251B3B"/>
    <w:rsid w:val="00251BB4"/>
    <w:rsid w:val="00251CA2"/>
    <w:rsid w:val="00251D92"/>
    <w:rsid w:val="00252178"/>
    <w:rsid w:val="00252363"/>
    <w:rsid w:val="00252B41"/>
    <w:rsid w:val="00252D81"/>
    <w:rsid w:val="00253361"/>
    <w:rsid w:val="0025357A"/>
    <w:rsid w:val="00253840"/>
    <w:rsid w:val="00253D85"/>
    <w:rsid w:val="00254C1F"/>
    <w:rsid w:val="00254F3F"/>
    <w:rsid w:val="00255066"/>
    <w:rsid w:val="00255956"/>
    <w:rsid w:val="00255E77"/>
    <w:rsid w:val="00256058"/>
    <w:rsid w:val="002568C8"/>
    <w:rsid w:val="00256E63"/>
    <w:rsid w:val="00257122"/>
    <w:rsid w:val="00257283"/>
    <w:rsid w:val="0025739D"/>
    <w:rsid w:val="0025761A"/>
    <w:rsid w:val="002601BB"/>
    <w:rsid w:val="002601C3"/>
    <w:rsid w:val="002605B1"/>
    <w:rsid w:val="002608C4"/>
    <w:rsid w:val="00260D9E"/>
    <w:rsid w:val="0026124C"/>
    <w:rsid w:val="00261428"/>
    <w:rsid w:val="00261485"/>
    <w:rsid w:val="00261539"/>
    <w:rsid w:val="002615D5"/>
    <w:rsid w:val="0026276D"/>
    <w:rsid w:val="00262931"/>
    <w:rsid w:val="00262CF6"/>
    <w:rsid w:val="002631A8"/>
    <w:rsid w:val="002631D5"/>
    <w:rsid w:val="0026345E"/>
    <w:rsid w:val="00263768"/>
    <w:rsid w:val="00263CA1"/>
    <w:rsid w:val="002641FA"/>
    <w:rsid w:val="00264573"/>
    <w:rsid w:val="00264825"/>
    <w:rsid w:val="00264D0F"/>
    <w:rsid w:val="00265104"/>
    <w:rsid w:val="0026526A"/>
    <w:rsid w:val="00265347"/>
    <w:rsid w:val="00265918"/>
    <w:rsid w:val="00265C41"/>
    <w:rsid w:val="00265D16"/>
    <w:rsid w:val="00265EDF"/>
    <w:rsid w:val="0026642E"/>
    <w:rsid w:val="00266B5F"/>
    <w:rsid w:val="00266DF8"/>
    <w:rsid w:val="00267EF9"/>
    <w:rsid w:val="00267F66"/>
    <w:rsid w:val="00270091"/>
    <w:rsid w:val="0027011D"/>
    <w:rsid w:val="00270483"/>
    <w:rsid w:val="00270834"/>
    <w:rsid w:val="00270C25"/>
    <w:rsid w:val="00270CA2"/>
    <w:rsid w:val="00270CC6"/>
    <w:rsid w:val="002712B2"/>
    <w:rsid w:val="002713E3"/>
    <w:rsid w:val="00271485"/>
    <w:rsid w:val="00271ABD"/>
    <w:rsid w:val="00271C1B"/>
    <w:rsid w:val="00271C9C"/>
    <w:rsid w:val="00271E34"/>
    <w:rsid w:val="00272046"/>
    <w:rsid w:val="00272130"/>
    <w:rsid w:val="0027214C"/>
    <w:rsid w:val="0027343A"/>
    <w:rsid w:val="002735EF"/>
    <w:rsid w:val="00273971"/>
    <w:rsid w:val="00273A48"/>
    <w:rsid w:val="00273E86"/>
    <w:rsid w:val="002741FB"/>
    <w:rsid w:val="00274347"/>
    <w:rsid w:val="0027543E"/>
    <w:rsid w:val="00275449"/>
    <w:rsid w:val="00275533"/>
    <w:rsid w:val="00275588"/>
    <w:rsid w:val="002760F2"/>
    <w:rsid w:val="002762A9"/>
    <w:rsid w:val="00276760"/>
    <w:rsid w:val="0027720B"/>
    <w:rsid w:val="002773CA"/>
    <w:rsid w:val="0027742D"/>
    <w:rsid w:val="002776A1"/>
    <w:rsid w:val="00277ED6"/>
    <w:rsid w:val="002802EB"/>
    <w:rsid w:val="002809C2"/>
    <w:rsid w:val="00280AE7"/>
    <w:rsid w:val="002814E6"/>
    <w:rsid w:val="00281A54"/>
    <w:rsid w:val="00281C1E"/>
    <w:rsid w:val="00282089"/>
    <w:rsid w:val="002820EB"/>
    <w:rsid w:val="0028223A"/>
    <w:rsid w:val="00282747"/>
    <w:rsid w:val="00282AE5"/>
    <w:rsid w:val="00283F70"/>
    <w:rsid w:val="00284391"/>
    <w:rsid w:val="00284960"/>
    <w:rsid w:val="00284A5C"/>
    <w:rsid w:val="00284E1D"/>
    <w:rsid w:val="00284E80"/>
    <w:rsid w:val="002852B7"/>
    <w:rsid w:val="002856ED"/>
    <w:rsid w:val="0028617A"/>
    <w:rsid w:val="0028647B"/>
    <w:rsid w:val="0028659E"/>
    <w:rsid w:val="002868CA"/>
    <w:rsid w:val="00287114"/>
    <w:rsid w:val="00287C31"/>
    <w:rsid w:val="00290246"/>
    <w:rsid w:val="0029056A"/>
    <w:rsid w:val="00290CD5"/>
    <w:rsid w:val="002928B5"/>
    <w:rsid w:val="002928DF"/>
    <w:rsid w:val="00292977"/>
    <w:rsid w:val="00292BEC"/>
    <w:rsid w:val="00292C15"/>
    <w:rsid w:val="002936B4"/>
    <w:rsid w:val="0029444D"/>
    <w:rsid w:val="0029455C"/>
    <w:rsid w:val="00294631"/>
    <w:rsid w:val="00294AC6"/>
    <w:rsid w:val="00294B3F"/>
    <w:rsid w:val="00294E2B"/>
    <w:rsid w:val="002951E6"/>
    <w:rsid w:val="0029528B"/>
    <w:rsid w:val="00295330"/>
    <w:rsid w:val="00295433"/>
    <w:rsid w:val="00295C62"/>
    <w:rsid w:val="00295D8B"/>
    <w:rsid w:val="002960D4"/>
    <w:rsid w:val="002968BA"/>
    <w:rsid w:val="00296904"/>
    <w:rsid w:val="00297147"/>
    <w:rsid w:val="00297453"/>
    <w:rsid w:val="00297522"/>
    <w:rsid w:val="002976E2"/>
    <w:rsid w:val="002978DC"/>
    <w:rsid w:val="00297B9C"/>
    <w:rsid w:val="00297CD8"/>
    <w:rsid w:val="00297ECC"/>
    <w:rsid w:val="002A0872"/>
    <w:rsid w:val="002A08A1"/>
    <w:rsid w:val="002A0ADA"/>
    <w:rsid w:val="002A0CE2"/>
    <w:rsid w:val="002A0F12"/>
    <w:rsid w:val="002A13B7"/>
    <w:rsid w:val="002A16DD"/>
    <w:rsid w:val="002A1EF7"/>
    <w:rsid w:val="002A2126"/>
    <w:rsid w:val="002A22CF"/>
    <w:rsid w:val="002A2306"/>
    <w:rsid w:val="002A2FA3"/>
    <w:rsid w:val="002A3189"/>
    <w:rsid w:val="002A364B"/>
    <w:rsid w:val="002A36B8"/>
    <w:rsid w:val="002A373D"/>
    <w:rsid w:val="002A39DD"/>
    <w:rsid w:val="002A3A8D"/>
    <w:rsid w:val="002A3B3D"/>
    <w:rsid w:val="002A3CEF"/>
    <w:rsid w:val="002A42E0"/>
    <w:rsid w:val="002A47E6"/>
    <w:rsid w:val="002A4EF9"/>
    <w:rsid w:val="002A5629"/>
    <w:rsid w:val="002A5635"/>
    <w:rsid w:val="002A5701"/>
    <w:rsid w:val="002A5761"/>
    <w:rsid w:val="002A5F3D"/>
    <w:rsid w:val="002A7052"/>
    <w:rsid w:val="002A73EB"/>
    <w:rsid w:val="002A7421"/>
    <w:rsid w:val="002A7737"/>
    <w:rsid w:val="002A77F0"/>
    <w:rsid w:val="002A7F51"/>
    <w:rsid w:val="002B0088"/>
    <w:rsid w:val="002B00CE"/>
    <w:rsid w:val="002B0198"/>
    <w:rsid w:val="002B0577"/>
    <w:rsid w:val="002B0C30"/>
    <w:rsid w:val="002B1076"/>
    <w:rsid w:val="002B11C5"/>
    <w:rsid w:val="002B1C2E"/>
    <w:rsid w:val="002B248B"/>
    <w:rsid w:val="002B2796"/>
    <w:rsid w:val="002B28E9"/>
    <w:rsid w:val="002B2F6A"/>
    <w:rsid w:val="002B30AD"/>
    <w:rsid w:val="002B3934"/>
    <w:rsid w:val="002B3D13"/>
    <w:rsid w:val="002B45EF"/>
    <w:rsid w:val="002B49F1"/>
    <w:rsid w:val="002B59E2"/>
    <w:rsid w:val="002B5E84"/>
    <w:rsid w:val="002B5F63"/>
    <w:rsid w:val="002B611C"/>
    <w:rsid w:val="002B6337"/>
    <w:rsid w:val="002B63D3"/>
    <w:rsid w:val="002B665A"/>
    <w:rsid w:val="002B6FA2"/>
    <w:rsid w:val="002B7985"/>
    <w:rsid w:val="002C0199"/>
    <w:rsid w:val="002C02B8"/>
    <w:rsid w:val="002C0493"/>
    <w:rsid w:val="002C04B2"/>
    <w:rsid w:val="002C0601"/>
    <w:rsid w:val="002C0B30"/>
    <w:rsid w:val="002C12BB"/>
    <w:rsid w:val="002C12EB"/>
    <w:rsid w:val="002C1DBA"/>
    <w:rsid w:val="002C231E"/>
    <w:rsid w:val="002C2939"/>
    <w:rsid w:val="002C36E6"/>
    <w:rsid w:val="002C41F4"/>
    <w:rsid w:val="002C42E7"/>
    <w:rsid w:val="002C4318"/>
    <w:rsid w:val="002C432D"/>
    <w:rsid w:val="002C4468"/>
    <w:rsid w:val="002C4E80"/>
    <w:rsid w:val="002C4EDF"/>
    <w:rsid w:val="002C51F8"/>
    <w:rsid w:val="002C53B3"/>
    <w:rsid w:val="002C5A28"/>
    <w:rsid w:val="002C5C92"/>
    <w:rsid w:val="002C65E0"/>
    <w:rsid w:val="002C69D4"/>
    <w:rsid w:val="002C7800"/>
    <w:rsid w:val="002C797E"/>
    <w:rsid w:val="002C7F68"/>
    <w:rsid w:val="002D0230"/>
    <w:rsid w:val="002D0372"/>
    <w:rsid w:val="002D0377"/>
    <w:rsid w:val="002D03FF"/>
    <w:rsid w:val="002D0796"/>
    <w:rsid w:val="002D0B3B"/>
    <w:rsid w:val="002D16CC"/>
    <w:rsid w:val="002D1838"/>
    <w:rsid w:val="002D1BCE"/>
    <w:rsid w:val="002D2148"/>
    <w:rsid w:val="002D24DE"/>
    <w:rsid w:val="002D262C"/>
    <w:rsid w:val="002D2D3B"/>
    <w:rsid w:val="002D35C0"/>
    <w:rsid w:val="002D3978"/>
    <w:rsid w:val="002D47CE"/>
    <w:rsid w:val="002D4887"/>
    <w:rsid w:val="002D4ACE"/>
    <w:rsid w:val="002D4D48"/>
    <w:rsid w:val="002D4DE1"/>
    <w:rsid w:val="002D50CB"/>
    <w:rsid w:val="002D5760"/>
    <w:rsid w:val="002D592F"/>
    <w:rsid w:val="002D606B"/>
    <w:rsid w:val="002D64C9"/>
    <w:rsid w:val="002D676A"/>
    <w:rsid w:val="002D68E5"/>
    <w:rsid w:val="002D7912"/>
    <w:rsid w:val="002E04E1"/>
    <w:rsid w:val="002E0E95"/>
    <w:rsid w:val="002E0FE1"/>
    <w:rsid w:val="002E1039"/>
    <w:rsid w:val="002E1195"/>
    <w:rsid w:val="002E2610"/>
    <w:rsid w:val="002E26A7"/>
    <w:rsid w:val="002E2D01"/>
    <w:rsid w:val="002E30E8"/>
    <w:rsid w:val="002E37E8"/>
    <w:rsid w:val="002E3D50"/>
    <w:rsid w:val="002E3F19"/>
    <w:rsid w:val="002E3F72"/>
    <w:rsid w:val="002E42C7"/>
    <w:rsid w:val="002E4422"/>
    <w:rsid w:val="002E475D"/>
    <w:rsid w:val="002E4A38"/>
    <w:rsid w:val="002E4FEF"/>
    <w:rsid w:val="002E501D"/>
    <w:rsid w:val="002E51D2"/>
    <w:rsid w:val="002E5903"/>
    <w:rsid w:val="002E5DCA"/>
    <w:rsid w:val="002E5EF8"/>
    <w:rsid w:val="002E5FD8"/>
    <w:rsid w:val="002E6226"/>
    <w:rsid w:val="002E6984"/>
    <w:rsid w:val="002E707D"/>
    <w:rsid w:val="002E7538"/>
    <w:rsid w:val="002E7679"/>
    <w:rsid w:val="002E7A0E"/>
    <w:rsid w:val="002E7EFA"/>
    <w:rsid w:val="002F0139"/>
    <w:rsid w:val="002F08CB"/>
    <w:rsid w:val="002F0C6D"/>
    <w:rsid w:val="002F0F80"/>
    <w:rsid w:val="002F158F"/>
    <w:rsid w:val="002F1B28"/>
    <w:rsid w:val="002F1EF1"/>
    <w:rsid w:val="002F2480"/>
    <w:rsid w:val="002F2745"/>
    <w:rsid w:val="002F289F"/>
    <w:rsid w:val="002F3606"/>
    <w:rsid w:val="002F3632"/>
    <w:rsid w:val="002F3891"/>
    <w:rsid w:val="002F3B93"/>
    <w:rsid w:val="002F40B8"/>
    <w:rsid w:val="002F47A5"/>
    <w:rsid w:val="002F5C10"/>
    <w:rsid w:val="002F5D4D"/>
    <w:rsid w:val="002F5D91"/>
    <w:rsid w:val="002F607C"/>
    <w:rsid w:val="002F60D1"/>
    <w:rsid w:val="002F60D2"/>
    <w:rsid w:val="002F61E1"/>
    <w:rsid w:val="002F6386"/>
    <w:rsid w:val="002F65D3"/>
    <w:rsid w:val="002F731B"/>
    <w:rsid w:val="002F7B24"/>
    <w:rsid w:val="002F7E5A"/>
    <w:rsid w:val="00300352"/>
    <w:rsid w:val="00300719"/>
    <w:rsid w:val="00300B79"/>
    <w:rsid w:val="0030107D"/>
    <w:rsid w:val="0030111C"/>
    <w:rsid w:val="0030137D"/>
    <w:rsid w:val="0030141E"/>
    <w:rsid w:val="003019FD"/>
    <w:rsid w:val="00301A5D"/>
    <w:rsid w:val="00301CF4"/>
    <w:rsid w:val="00302024"/>
    <w:rsid w:val="003025E4"/>
    <w:rsid w:val="00302834"/>
    <w:rsid w:val="00303208"/>
    <w:rsid w:val="00303240"/>
    <w:rsid w:val="00303612"/>
    <w:rsid w:val="0030368A"/>
    <w:rsid w:val="00303704"/>
    <w:rsid w:val="0030379C"/>
    <w:rsid w:val="00303A4D"/>
    <w:rsid w:val="00303D56"/>
    <w:rsid w:val="003040F9"/>
    <w:rsid w:val="0030429A"/>
    <w:rsid w:val="00304621"/>
    <w:rsid w:val="0030479B"/>
    <w:rsid w:val="003047CB"/>
    <w:rsid w:val="0030497E"/>
    <w:rsid w:val="00304DFE"/>
    <w:rsid w:val="00305066"/>
    <w:rsid w:val="00305171"/>
    <w:rsid w:val="003051A1"/>
    <w:rsid w:val="0030560D"/>
    <w:rsid w:val="00305C0A"/>
    <w:rsid w:val="00305D1C"/>
    <w:rsid w:val="00305DC4"/>
    <w:rsid w:val="00306DF9"/>
    <w:rsid w:val="00306F6D"/>
    <w:rsid w:val="00306F83"/>
    <w:rsid w:val="00306F9E"/>
    <w:rsid w:val="00307269"/>
    <w:rsid w:val="00307371"/>
    <w:rsid w:val="003076F6"/>
    <w:rsid w:val="00307A80"/>
    <w:rsid w:val="00307F77"/>
    <w:rsid w:val="00310115"/>
    <w:rsid w:val="0031026B"/>
    <w:rsid w:val="00311372"/>
    <w:rsid w:val="0031137D"/>
    <w:rsid w:val="00311534"/>
    <w:rsid w:val="003115D3"/>
    <w:rsid w:val="0031167A"/>
    <w:rsid w:val="00311FB1"/>
    <w:rsid w:val="00312357"/>
    <w:rsid w:val="00312489"/>
    <w:rsid w:val="003128E6"/>
    <w:rsid w:val="003128FE"/>
    <w:rsid w:val="00312A27"/>
    <w:rsid w:val="00312DFC"/>
    <w:rsid w:val="00313202"/>
    <w:rsid w:val="00313535"/>
    <w:rsid w:val="00313667"/>
    <w:rsid w:val="00313857"/>
    <w:rsid w:val="003139A4"/>
    <w:rsid w:val="00313B47"/>
    <w:rsid w:val="0031477A"/>
    <w:rsid w:val="00314961"/>
    <w:rsid w:val="00314CD4"/>
    <w:rsid w:val="00314E22"/>
    <w:rsid w:val="0031528E"/>
    <w:rsid w:val="003153B2"/>
    <w:rsid w:val="003159F5"/>
    <w:rsid w:val="00315A2A"/>
    <w:rsid w:val="00315A51"/>
    <w:rsid w:val="00316103"/>
    <w:rsid w:val="003167A0"/>
    <w:rsid w:val="00316849"/>
    <w:rsid w:val="00316ADA"/>
    <w:rsid w:val="00316BD2"/>
    <w:rsid w:val="00316C13"/>
    <w:rsid w:val="00317379"/>
    <w:rsid w:val="0031771F"/>
    <w:rsid w:val="00317882"/>
    <w:rsid w:val="00317A51"/>
    <w:rsid w:val="003204C0"/>
    <w:rsid w:val="00320629"/>
    <w:rsid w:val="003206F5"/>
    <w:rsid w:val="00320BC8"/>
    <w:rsid w:val="00320CE6"/>
    <w:rsid w:val="0032147B"/>
    <w:rsid w:val="00321489"/>
    <w:rsid w:val="00321493"/>
    <w:rsid w:val="00321742"/>
    <w:rsid w:val="00321B54"/>
    <w:rsid w:val="00321DB9"/>
    <w:rsid w:val="003222A0"/>
    <w:rsid w:val="00322696"/>
    <w:rsid w:val="003228DA"/>
    <w:rsid w:val="00322B24"/>
    <w:rsid w:val="00322E8B"/>
    <w:rsid w:val="00323400"/>
    <w:rsid w:val="0032351D"/>
    <w:rsid w:val="003238E5"/>
    <w:rsid w:val="00324C97"/>
    <w:rsid w:val="00325BD5"/>
    <w:rsid w:val="003262DE"/>
    <w:rsid w:val="00326874"/>
    <w:rsid w:val="00326A36"/>
    <w:rsid w:val="00326BC0"/>
    <w:rsid w:val="003270C8"/>
    <w:rsid w:val="0032739A"/>
    <w:rsid w:val="00327422"/>
    <w:rsid w:val="00327623"/>
    <w:rsid w:val="0032784C"/>
    <w:rsid w:val="00327F8F"/>
    <w:rsid w:val="0033053C"/>
    <w:rsid w:val="00330948"/>
    <w:rsid w:val="00330977"/>
    <w:rsid w:val="00330BF4"/>
    <w:rsid w:val="00330D00"/>
    <w:rsid w:val="00330ECF"/>
    <w:rsid w:val="00330F92"/>
    <w:rsid w:val="003312A7"/>
    <w:rsid w:val="003312E6"/>
    <w:rsid w:val="003313C2"/>
    <w:rsid w:val="00331A2B"/>
    <w:rsid w:val="00331B53"/>
    <w:rsid w:val="003321B3"/>
    <w:rsid w:val="003322F4"/>
    <w:rsid w:val="003323E2"/>
    <w:rsid w:val="0033258E"/>
    <w:rsid w:val="003326D2"/>
    <w:rsid w:val="00332A9F"/>
    <w:rsid w:val="00332DC7"/>
    <w:rsid w:val="00332E6E"/>
    <w:rsid w:val="00332F51"/>
    <w:rsid w:val="00333229"/>
    <w:rsid w:val="0033358A"/>
    <w:rsid w:val="00333AA9"/>
    <w:rsid w:val="00333BC8"/>
    <w:rsid w:val="00333BEE"/>
    <w:rsid w:val="00333E15"/>
    <w:rsid w:val="00333E52"/>
    <w:rsid w:val="00333E7C"/>
    <w:rsid w:val="003343D1"/>
    <w:rsid w:val="003344ED"/>
    <w:rsid w:val="0033455A"/>
    <w:rsid w:val="0033468C"/>
    <w:rsid w:val="00334CDE"/>
    <w:rsid w:val="00335072"/>
    <w:rsid w:val="00335212"/>
    <w:rsid w:val="00335B0B"/>
    <w:rsid w:val="00335C15"/>
    <w:rsid w:val="00335EA7"/>
    <w:rsid w:val="00336005"/>
    <w:rsid w:val="003361FB"/>
    <w:rsid w:val="003363FD"/>
    <w:rsid w:val="0033687F"/>
    <w:rsid w:val="00336ECB"/>
    <w:rsid w:val="003377D1"/>
    <w:rsid w:val="00337BF4"/>
    <w:rsid w:val="00337FED"/>
    <w:rsid w:val="003400C9"/>
    <w:rsid w:val="00340129"/>
    <w:rsid w:val="003401E1"/>
    <w:rsid w:val="003404BD"/>
    <w:rsid w:val="0034089D"/>
    <w:rsid w:val="00341006"/>
    <w:rsid w:val="003413E6"/>
    <w:rsid w:val="0034168A"/>
    <w:rsid w:val="00341905"/>
    <w:rsid w:val="00341BAA"/>
    <w:rsid w:val="00342497"/>
    <w:rsid w:val="00342E10"/>
    <w:rsid w:val="00342EF3"/>
    <w:rsid w:val="00342EFF"/>
    <w:rsid w:val="003431B9"/>
    <w:rsid w:val="00343F5E"/>
    <w:rsid w:val="003440A8"/>
    <w:rsid w:val="00344383"/>
    <w:rsid w:val="003444BB"/>
    <w:rsid w:val="0034455D"/>
    <w:rsid w:val="0034469C"/>
    <w:rsid w:val="0034494B"/>
    <w:rsid w:val="00344C78"/>
    <w:rsid w:val="003454D6"/>
    <w:rsid w:val="00345535"/>
    <w:rsid w:val="00345656"/>
    <w:rsid w:val="003456D7"/>
    <w:rsid w:val="003457D2"/>
    <w:rsid w:val="00345925"/>
    <w:rsid w:val="00345F9E"/>
    <w:rsid w:val="003460C8"/>
    <w:rsid w:val="00346235"/>
    <w:rsid w:val="0034680A"/>
    <w:rsid w:val="00346944"/>
    <w:rsid w:val="00346CDE"/>
    <w:rsid w:val="00346FF2"/>
    <w:rsid w:val="00347CF2"/>
    <w:rsid w:val="00347EAA"/>
    <w:rsid w:val="00350124"/>
    <w:rsid w:val="003501D3"/>
    <w:rsid w:val="0035039C"/>
    <w:rsid w:val="00350C66"/>
    <w:rsid w:val="00351875"/>
    <w:rsid w:val="00351B28"/>
    <w:rsid w:val="00351F9C"/>
    <w:rsid w:val="003521EE"/>
    <w:rsid w:val="00352CCC"/>
    <w:rsid w:val="00353184"/>
    <w:rsid w:val="0035332F"/>
    <w:rsid w:val="00353804"/>
    <w:rsid w:val="00353F8D"/>
    <w:rsid w:val="003541D2"/>
    <w:rsid w:val="0035435E"/>
    <w:rsid w:val="00354696"/>
    <w:rsid w:val="003550D6"/>
    <w:rsid w:val="0035519A"/>
    <w:rsid w:val="003551AB"/>
    <w:rsid w:val="003555B4"/>
    <w:rsid w:val="003557C7"/>
    <w:rsid w:val="00355824"/>
    <w:rsid w:val="00355BF4"/>
    <w:rsid w:val="003568A8"/>
    <w:rsid w:val="00356F19"/>
    <w:rsid w:val="00356FDB"/>
    <w:rsid w:val="0035716C"/>
    <w:rsid w:val="0035751B"/>
    <w:rsid w:val="00357B6C"/>
    <w:rsid w:val="00357B9B"/>
    <w:rsid w:val="00360205"/>
    <w:rsid w:val="0036059A"/>
    <w:rsid w:val="003605E5"/>
    <w:rsid w:val="0036084F"/>
    <w:rsid w:val="0036086A"/>
    <w:rsid w:val="00360A6B"/>
    <w:rsid w:val="00360AEA"/>
    <w:rsid w:val="00360BEB"/>
    <w:rsid w:val="00360C78"/>
    <w:rsid w:val="00360D5E"/>
    <w:rsid w:val="00360DD4"/>
    <w:rsid w:val="00360FCF"/>
    <w:rsid w:val="003618BB"/>
    <w:rsid w:val="003619D6"/>
    <w:rsid w:val="003619F0"/>
    <w:rsid w:val="003621DD"/>
    <w:rsid w:val="0036247C"/>
    <w:rsid w:val="00362793"/>
    <w:rsid w:val="00362A53"/>
    <w:rsid w:val="00362AD8"/>
    <w:rsid w:val="00362E71"/>
    <w:rsid w:val="0036317F"/>
    <w:rsid w:val="003631C4"/>
    <w:rsid w:val="003632FF"/>
    <w:rsid w:val="00363FF8"/>
    <w:rsid w:val="003640DE"/>
    <w:rsid w:val="003640E1"/>
    <w:rsid w:val="00364359"/>
    <w:rsid w:val="0036467F"/>
    <w:rsid w:val="003648BF"/>
    <w:rsid w:val="00364A07"/>
    <w:rsid w:val="00364F50"/>
    <w:rsid w:val="00365834"/>
    <w:rsid w:val="00365E94"/>
    <w:rsid w:val="0036676B"/>
    <w:rsid w:val="00366CA3"/>
    <w:rsid w:val="00366E0D"/>
    <w:rsid w:val="00366E93"/>
    <w:rsid w:val="00366EFF"/>
    <w:rsid w:val="0036722A"/>
    <w:rsid w:val="00367CF6"/>
    <w:rsid w:val="00367E04"/>
    <w:rsid w:val="00370004"/>
    <w:rsid w:val="003700BB"/>
    <w:rsid w:val="00370B42"/>
    <w:rsid w:val="00370C6E"/>
    <w:rsid w:val="00371094"/>
    <w:rsid w:val="003710D7"/>
    <w:rsid w:val="0037114F"/>
    <w:rsid w:val="00371333"/>
    <w:rsid w:val="003715D8"/>
    <w:rsid w:val="00371621"/>
    <w:rsid w:val="00371F5F"/>
    <w:rsid w:val="00372281"/>
    <w:rsid w:val="00373331"/>
    <w:rsid w:val="00373E92"/>
    <w:rsid w:val="00374241"/>
    <w:rsid w:val="0037497B"/>
    <w:rsid w:val="00374A32"/>
    <w:rsid w:val="00374ACA"/>
    <w:rsid w:val="0037504B"/>
    <w:rsid w:val="003751D9"/>
    <w:rsid w:val="00375268"/>
    <w:rsid w:val="00375786"/>
    <w:rsid w:val="00375803"/>
    <w:rsid w:val="00375A47"/>
    <w:rsid w:val="0037608B"/>
    <w:rsid w:val="0037613D"/>
    <w:rsid w:val="00376177"/>
    <w:rsid w:val="00376491"/>
    <w:rsid w:val="0037661B"/>
    <w:rsid w:val="0037679B"/>
    <w:rsid w:val="0037698C"/>
    <w:rsid w:val="00376FF7"/>
    <w:rsid w:val="003770D6"/>
    <w:rsid w:val="0037721D"/>
    <w:rsid w:val="0037778E"/>
    <w:rsid w:val="0037792A"/>
    <w:rsid w:val="00377A47"/>
    <w:rsid w:val="00377AED"/>
    <w:rsid w:val="00377E3F"/>
    <w:rsid w:val="0038074B"/>
    <w:rsid w:val="0038076A"/>
    <w:rsid w:val="0038082D"/>
    <w:rsid w:val="003809E6"/>
    <w:rsid w:val="0038102A"/>
    <w:rsid w:val="0038127E"/>
    <w:rsid w:val="00381373"/>
    <w:rsid w:val="0038150B"/>
    <w:rsid w:val="003817E1"/>
    <w:rsid w:val="00381DFD"/>
    <w:rsid w:val="00381E57"/>
    <w:rsid w:val="00381E9F"/>
    <w:rsid w:val="003822C3"/>
    <w:rsid w:val="00382306"/>
    <w:rsid w:val="00382718"/>
    <w:rsid w:val="003833B4"/>
    <w:rsid w:val="00383C49"/>
    <w:rsid w:val="00384E72"/>
    <w:rsid w:val="0038519C"/>
    <w:rsid w:val="0038643B"/>
    <w:rsid w:val="0038681C"/>
    <w:rsid w:val="0038688D"/>
    <w:rsid w:val="00386A73"/>
    <w:rsid w:val="00386C79"/>
    <w:rsid w:val="00387408"/>
    <w:rsid w:val="00387E82"/>
    <w:rsid w:val="00387FCF"/>
    <w:rsid w:val="00387FFB"/>
    <w:rsid w:val="0039006F"/>
    <w:rsid w:val="00390501"/>
    <w:rsid w:val="00390B09"/>
    <w:rsid w:val="00390F92"/>
    <w:rsid w:val="0039101A"/>
    <w:rsid w:val="003914E2"/>
    <w:rsid w:val="00391AD6"/>
    <w:rsid w:val="00391DD6"/>
    <w:rsid w:val="003931F0"/>
    <w:rsid w:val="00393E69"/>
    <w:rsid w:val="00394AEA"/>
    <w:rsid w:val="00394FE7"/>
    <w:rsid w:val="00395141"/>
    <w:rsid w:val="00395F72"/>
    <w:rsid w:val="0039677D"/>
    <w:rsid w:val="003967D2"/>
    <w:rsid w:val="0039703F"/>
    <w:rsid w:val="003971B2"/>
    <w:rsid w:val="00397442"/>
    <w:rsid w:val="00397A2A"/>
    <w:rsid w:val="00397AD0"/>
    <w:rsid w:val="00397BCF"/>
    <w:rsid w:val="00397BED"/>
    <w:rsid w:val="003A0373"/>
    <w:rsid w:val="003A04DD"/>
    <w:rsid w:val="003A0BBE"/>
    <w:rsid w:val="003A1368"/>
    <w:rsid w:val="003A15A7"/>
    <w:rsid w:val="003A1F37"/>
    <w:rsid w:val="003A2063"/>
    <w:rsid w:val="003A2171"/>
    <w:rsid w:val="003A2CE7"/>
    <w:rsid w:val="003A2F41"/>
    <w:rsid w:val="003A3266"/>
    <w:rsid w:val="003A37AE"/>
    <w:rsid w:val="003A3C0C"/>
    <w:rsid w:val="003A3EB5"/>
    <w:rsid w:val="003A4935"/>
    <w:rsid w:val="003A499E"/>
    <w:rsid w:val="003A4AC4"/>
    <w:rsid w:val="003A4C5D"/>
    <w:rsid w:val="003A52EC"/>
    <w:rsid w:val="003A53DC"/>
    <w:rsid w:val="003A55B5"/>
    <w:rsid w:val="003A55DB"/>
    <w:rsid w:val="003A56E1"/>
    <w:rsid w:val="003A56ED"/>
    <w:rsid w:val="003A5726"/>
    <w:rsid w:val="003A59FD"/>
    <w:rsid w:val="003A5CD7"/>
    <w:rsid w:val="003A5EAE"/>
    <w:rsid w:val="003A718E"/>
    <w:rsid w:val="003A743E"/>
    <w:rsid w:val="003A7ADE"/>
    <w:rsid w:val="003A7CBD"/>
    <w:rsid w:val="003A7FE2"/>
    <w:rsid w:val="003B05DF"/>
    <w:rsid w:val="003B069C"/>
    <w:rsid w:val="003B0701"/>
    <w:rsid w:val="003B0D12"/>
    <w:rsid w:val="003B198D"/>
    <w:rsid w:val="003B23CC"/>
    <w:rsid w:val="003B2589"/>
    <w:rsid w:val="003B2754"/>
    <w:rsid w:val="003B2933"/>
    <w:rsid w:val="003B2A34"/>
    <w:rsid w:val="003B2AA2"/>
    <w:rsid w:val="003B2B8F"/>
    <w:rsid w:val="003B2E51"/>
    <w:rsid w:val="003B30E1"/>
    <w:rsid w:val="003B3300"/>
    <w:rsid w:val="003B3345"/>
    <w:rsid w:val="003B4B84"/>
    <w:rsid w:val="003B4DD1"/>
    <w:rsid w:val="003B4FFF"/>
    <w:rsid w:val="003B520C"/>
    <w:rsid w:val="003B5D9E"/>
    <w:rsid w:val="003B623B"/>
    <w:rsid w:val="003B63F5"/>
    <w:rsid w:val="003B65C7"/>
    <w:rsid w:val="003B65DF"/>
    <w:rsid w:val="003B6CED"/>
    <w:rsid w:val="003B6E2C"/>
    <w:rsid w:val="003B7962"/>
    <w:rsid w:val="003B79E1"/>
    <w:rsid w:val="003B7A2B"/>
    <w:rsid w:val="003B7DB1"/>
    <w:rsid w:val="003C017A"/>
    <w:rsid w:val="003C01D4"/>
    <w:rsid w:val="003C0522"/>
    <w:rsid w:val="003C05F7"/>
    <w:rsid w:val="003C0741"/>
    <w:rsid w:val="003C099E"/>
    <w:rsid w:val="003C14B7"/>
    <w:rsid w:val="003C1DA1"/>
    <w:rsid w:val="003C1E8B"/>
    <w:rsid w:val="003C22DD"/>
    <w:rsid w:val="003C2CC3"/>
    <w:rsid w:val="003C333E"/>
    <w:rsid w:val="003C334D"/>
    <w:rsid w:val="003C36A0"/>
    <w:rsid w:val="003C3974"/>
    <w:rsid w:val="003C43F8"/>
    <w:rsid w:val="003C48BA"/>
    <w:rsid w:val="003C4A5A"/>
    <w:rsid w:val="003C4E18"/>
    <w:rsid w:val="003C4EED"/>
    <w:rsid w:val="003C4FFB"/>
    <w:rsid w:val="003C508C"/>
    <w:rsid w:val="003C54BF"/>
    <w:rsid w:val="003C561E"/>
    <w:rsid w:val="003C5D08"/>
    <w:rsid w:val="003C63A7"/>
    <w:rsid w:val="003C693B"/>
    <w:rsid w:val="003C69BF"/>
    <w:rsid w:val="003C735F"/>
    <w:rsid w:val="003C77B7"/>
    <w:rsid w:val="003C7C43"/>
    <w:rsid w:val="003C7CAB"/>
    <w:rsid w:val="003C7DF0"/>
    <w:rsid w:val="003C7F54"/>
    <w:rsid w:val="003D0539"/>
    <w:rsid w:val="003D07A9"/>
    <w:rsid w:val="003D0874"/>
    <w:rsid w:val="003D09EE"/>
    <w:rsid w:val="003D0E02"/>
    <w:rsid w:val="003D1354"/>
    <w:rsid w:val="003D15F2"/>
    <w:rsid w:val="003D1686"/>
    <w:rsid w:val="003D1797"/>
    <w:rsid w:val="003D2011"/>
    <w:rsid w:val="003D23A3"/>
    <w:rsid w:val="003D2617"/>
    <w:rsid w:val="003D2A44"/>
    <w:rsid w:val="003D31E4"/>
    <w:rsid w:val="003D3597"/>
    <w:rsid w:val="003D396B"/>
    <w:rsid w:val="003D3E58"/>
    <w:rsid w:val="003D3F62"/>
    <w:rsid w:val="003D422C"/>
    <w:rsid w:val="003D4746"/>
    <w:rsid w:val="003D4FE5"/>
    <w:rsid w:val="003D54C5"/>
    <w:rsid w:val="003D5856"/>
    <w:rsid w:val="003D5A61"/>
    <w:rsid w:val="003D5AC1"/>
    <w:rsid w:val="003D5D04"/>
    <w:rsid w:val="003D6126"/>
    <w:rsid w:val="003D616A"/>
    <w:rsid w:val="003D70A2"/>
    <w:rsid w:val="003D7463"/>
    <w:rsid w:val="003E0A78"/>
    <w:rsid w:val="003E0C68"/>
    <w:rsid w:val="003E0E78"/>
    <w:rsid w:val="003E16FD"/>
    <w:rsid w:val="003E17AA"/>
    <w:rsid w:val="003E17DC"/>
    <w:rsid w:val="003E1908"/>
    <w:rsid w:val="003E21AE"/>
    <w:rsid w:val="003E22BA"/>
    <w:rsid w:val="003E27F7"/>
    <w:rsid w:val="003E2E09"/>
    <w:rsid w:val="003E31A7"/>
    <w:rsid w:val="003E36FC"/>
    <w:rsid w:val="003E37DB"/>
    <w:rsid w:val="003E3EB4"/>
    <w:rsid w:val="003E3FDD"/>
    <w:rsid w:val="003E4EEB"/>
    <w:rsid w:val="003E4FE6"/>
    <w:rsid w:val="003E50C9"/>
    <w:rsid w:val="003E537C"/>
    <w:rsid w:val="003E55B0"/>
    <w:rsid w:val="003E55D0"/>
    <w:rsid w:val="003E5672"/>
    <w:rsid w:val="003E6055"/>
    <w:rsid w:val="003E60F8"/>
    <w:rsid w:val="003E767F"/>
    <w:rsid w:val="003E7C3E"/>
    <w:rsid w:val="003E7CBF"/>
    <w:rsid w:val="003F0017"/>
    <w:rsid w:val="003F00DA"/>
    <w:rsid w:val="003F035B"/>
    <w:rsid w:val="003F03D8"/>
    <w:rsid w:val="003F0D75"/>
    <w:rsid w:val="003F1930"/>
    <w:rsid w:val="003F1EB3"/>
    <w:rsid w:val="003F204D"/>
    <w:rsid w:val="003F2324"/>
    <w:rsid w:val="003F23F7"/>
    <w:rsid w:val="003F2939"/>
    <w:rsid w:val="003F2A7C"/>
    <w:rsid w:val="003F2B52"/>
    <w:rsid w:val="003F2DEC"/>
    <w:rsid w:val="003F3311"/>
    <w:rsid w:val="003F45DD"/>
    <w:rsid w:val="003F4BF8"/>
    <w:rsid w:val="003F5049"/>
    <w:rsid w:val="003F55CA"/>
    <w:rsid w:val="003F5AD4"/>
    <w:rsid w:val="003F5D6F"/>
    <w:rsid w:val="003F609B"/>
    <w:rsid w:val="003F6704"/>
    <w:rsid w:val="003F67F0"/>
    <w:rsid w:val="003F6B6A"/>
    <w:rsid w:val="003F6E7C"/>
    <w:rsid w:val="003F6F1A"/>
    <w:rsid w:val="003F74A2"/>
    <w:rsid w:val="003F785E"/>
    <w:rsid w:val="0040060F"/>
    <w:rsid w:val="00400938"/>
    <w:rsid w:val="00401985"/>
    <w:rsid w:val="004019DE"/>
    <w:rsid w:val="004021A8"/>
    <w:rsid w:val="00402626"/>
    <w:rsid w:val="0040278C"/>
    <w:rsid w:val="004028A9"/>
    <w:rsid w:val="00402B64"/>
    <w:rsid w:val="00402E17"/>
    <w:rsid w:val="00403514"/>
    <w:rsid w:val="004035A0"/>
    <w:rsid w:val="00403606"/>
    <w:rsid w:val="00403672"/>
    <w:rsid w:val="00403828"/>
    <w:rsid w:val="00403A51"/>
    <w:rsid w:val="00404058"/>
    <w:rsid w:val="004041DB"/>
    <w:rsid w:val="00404350"/>
    <w:rsid w:val="004048A1"/>
    <w:rsid w:val="00404CDE"/>
    <w:rsid w:val="00404E4F"/>
    <w:rsid w:val="004051DF"/>
    <w:rsid w:val="0040538B"/>
    <w:rsid w:val="0040599E"/>
    <w:rsid w:val="00405ADD"/>
    <w:rsid w:val="00405C49"/>
    <w:rsid w:val="00405F33"/>
    <w:rsid w:val="004064F7"/>
    <w:rsid w:val="004064FD"/>
    <w:rsid w:val="004069CA"/>
    <w:rsid w:val="004070ED"/>
    <w:rsid w:val="004071C4"/>
    <w:rsid w:val="0040724C"/>
    <w:rsid w:val="00407424"/>
    <w:rsid w:val="004078BF"/>
    <w:rsid w:val="00407913"/>
    <w:rsid w:val="00410018"/>
    <w:rsid w:val="004105ED"/>
    <w:rsid w:val="00410C06"/>
    <w:rsid w:val="00410E78"/>
    <w:rsid w:val="00411637"/>
    <w:rsid w:val="00411ACA"/>
    <w:rsid w:val="00411CF5"/>
    <w:rsid w:val="0041246D"/>
    <w:rsid w:val="004127A3"/>
    <w:rsid w:val="004127D9"/>
    <w:rsid w:val="00412887"/>
    <w:rsid w:val="00412C7F"/>
    <w:rsid w:val="00412E0E"/>
    <w:rsid w:val="00412E68"/>
    <w:rsid w:val="0041330C"/>
    <w:rsid w:val="00413330"/>
    <w:rsid w:val="00413C11"/>
    <w:rsid w:val="004141A3"/>
    <w:rsid w:val="0041439D"/>
    <w:rsid w:val="00414A6D"/>
    <w:rsid w:val="00414EB1"/>
    <w:rsid w:val="00415749"/>
    <w:rsid w:val="00415E20"/>
    <w:rsid w:val="0041602B"/>
    <w:rsid w:val="004163DA"/>
    <w:rsid w:val="004168B9"/>
    <w:rsid w:val="00416E31"/>
    <w:rsid w:val="00416E59"/>
    <w:rsid w:val="00417383"/>
    <w:rsid w:val="00420210"/>
    <w:rsid w:val="00420438"/>
    <w:rsid w:val="00420F0E"/>
    <w:rsid w:val="00421263"/>
    <w:rsid w:val="0042169F"/>
    <w:rsid w:val="004218FE"/>
    <w:rsid w:val="00421C5E"/>
    <w:rsid w:val="00421C7E"/>
    <w:rsid w:val="004225BE"/>
    <w:rsid w:val="00422BF1"/>
    <w:rsid w:val="00422C67"/>
    <w:rsid w:val="00422E27"/>
    <w:rsid w:val="0042305B"/>
    <w:rsid w:val="0042339A"/>
    <w:rsid w:val="004233FC"/>
    <w:rsid w:val="004234A1"/>
    <w:rsid w:val="004236A1"/>
    <w:rsid w:val="0042395C"/>
    <w:rsid w:val="00423B15"/>
    <w:rsid w:val="004245CF"/>
    <w:rsid w:val="004245EE"/>
    <w:rsid w:val="0042463A"/>
    <w:rsid w:val="00424C1A"/>
    <w:rsid w:val="00424CB8"/>
    <w:rsid w:val="0042508F"/>
    <w:rsid w:val="00425269"/>
    <w:rsid w:val="004253F7"/>
    <w:rsid w:val="00425685"/>
    <w:rsid w:val="0042577D"/>
    <w:rsid w:val="004261CD"/>
    <w:rsid w:val="0042623D"/>
    <w:rsid w:val="00426D97"/>
    <w:rsid w:val="0042772D"/>
    <w:rsid w:val="00427750"/>
    <w:rsid w:val="00427B60"/>
    <w:rsid w:val="00427DE1"/>
    <w:rsid w:val="00430063"/>
    <w:rsid w:val="00430135"/>
    <w:rsid w:val="0043033D"/>
    <w:rsid w:val="004307F7"/>
    <w:rsid w:val="004309C4"/>
    <w:rsid w:val="00430D70"/>
    <w:rsid w:val="0043107E"/>
    <w:rsid w:val="0043168F"/>
    <w:rsid w:val="00431780"/>
    <w:rsid w:val="00431915"/>
    <w:rsid w:val="00431E41"/>
    <w:rsid w:val="00433050"/>
    <w:rsid w:val="004331C1"/>
    <w:rsid w:val="0043326D"/>
    <w:rsid w:val="00433788"/>
    <w:rsid w:val="00433A17"/>
    <w:rsid w:val="0043407E"/>
    <w:rsid w:val="004347EF"/>
    <w:rsid w:val="00434BF4"/>
    <w:rsid w:val="0043509B"/>
    <w:rsid w:val="004351F4"/>
    <w:rsid w:val="0043565C"/>
    <w:rsid w:val="00435A8D"/>
    <w:rsid w:val="0043676C"/>
    <w:rsid w:val="00437166"/>
    <w:rsid w:val="0043729D"/>
    <w:rsid w:val="004376F3"/>
    <w:rsid w:val="004379C2"/>
    <w:rsid w:val="00437DA1"/>
    <w:rsid w:val="0044005B"/>
    <w:rsid w:val="0044008E"/>
    <w:rsid w:val="004400E8"/>
    <w:rsid w:val="00440132"/>
    <w:rsid w:val="0044051E"/>
    <w:rsid w:val="00440F57"/>
    <w:rsid w:val="004414CF"/>
    <w:rsid w:val="00441D7C"/>
    <w:rsid w:val="00441F6E"/>
    <w:rsid w:val="00442107"/>
    <w:rsid w:val="004423DD"/>
    <w:rsid w:val="004426DC"/>
    <w:rsid w:val="004428D0"/>
    <w:rsid w:val="00442C96"/>
    <w:rsid w:val="00442D57"/>
    <w:rsid w:val="00443379"/>
    <w:rsid w:val="004437E9"/>
    <w:rsid w:val="00443818"/>
    <w:rsid w:val="00443F01"/>
    <w:rsid w:val="00444056"/>
    <w:rsid w:val="004440F0"/>
    <w:rsid w:val="00444FE2"/>
    <w:rsid w:val="00446104"/>
    <w:rsid w:val="004464CA"/>
    <w:rsid w:val="0044666F"/>
    <w:rsid w:val="00446DB5"/>
    <w:rsid w:val="00447783"/>
    <w:rsid w:val="00447CD6"/>
    <w:rsid w:val="00450299"/>
    <w:rsid w:val="00450872"/>
    <w:rsid w:val="00450948"/>
    <w:rsid w:val="00450C80"/>
    <w:rsid w:val="00450DE0"/>
    <w:rsid w:val="0045124B"/>
    <w:rsid w:val="00451629"/>
    <w:rsid w:val="004516D4"/>
    <w:rsid w:val="004516F0"/>
    <w:rsid w:val="00451854"/>
    <w:rsid w:val="00451953"/>
    <w:rsid w:val="00452120"/>
    <w:rsid w:val="004527EE"/>
    <w:rsid w:val="004528BE"/>
    <w:rsid w:val="00452929"/>
    <w:rsid w:val="00452D59"/>
    <w:rsid w:val="004534A2"/>
    <w:rsid w:val="004537E2"/>
    <w:rsid w:val="004538CA"/>
    <w:rsid w:val="00453A53"/>
    <w:rsid w:val="00453A76"/>
    <w:rsid w:val="00453CBA"/>
    <w:rsid w:val="00453D8C"/>
    <w:rsid w:val="0045430D"/>
    <w:rsid w:val="004544D6"/>
    <w:rsid w:val="004545E8"/>
    <w:rsid w:val="0045461B"/>
    <w:rsid w:val="00454A22"/>
    <w:rsid w:val="00454A53"/>
    <w:rsid w:val="00454E0A"/>
    <w:rsid w:val="00455119"/>
    <w:rsid w:val="004558FC"/>
    <w:rsid w:val="00455EA6"/>
    <w:rsid w:val="004566DB"/>
    <w:rsid w:val="004567AC"/>
    <w:rsid w:val="00456AC0"/>
    <w:rsid w:val="00456E5B"/>
    <w:rsid w:val="0045709B"/>
    <w:rsid w:val="004573E3"/>
    <w:rsid w:val="00457F25"/>
    <w:rsid w:val="00460154"/>
    <w:rsid w:val="00460247"/>
    <w:rsid w:val="00460357"/>
    <w:rsid w:val="004609BA"/>
    <w:rsid w:val="00460BAB"/>
    <w:rsid w:val="00461AFD"/>
    <w:rsid w:val="00461CE9"/>
    <w:rsid w:val="00461E9A"/>
    <w:rsid w:val="004620D2"/>
    <w:rsid w:val="00462407"/>
    <w:rsid w:val="00462619"/>
    <w:rsid w:val="004628A4"/>
    <w:rsid w:val="00462903"/>
    <w:rsid w:val="00463151"/>
    <w:rsid w:val="004631B5"/>
    <w:rsid w:val="004631DD"/>
    <w:rsid w:val="00463262"/>
    <w:rsid w:val="00463310"/>
    <w:rsid w:val="0046346D"/>
    <w:rsid w:val="004634B3"/>
    <w:rsid w:val="004635FD"/>
    <w:rsid w:val="00463901"/>
    <w:rsid w:val="0046399B"/>
    <w:rsid w:val="00463AD6"/>
    <w:rsid w:val="00463C34"/>
    <w:rsid w:val="00463E30"/>
    <w:rsid w:val="00464A97"/>
    <w:rsid w:val="00464F20"/>
    <w:rsid w:val="00464F68"/>
    <w:rsid w:val="00465CCD"/>
    <w:rsid w:val="00465D3C"/>
    <w:rsid w:val="00466886"/>
    <w:rsid w:val="004673C1"/>
    <w:rsid w:val="00470129"/>
    <w:rsid w:val="00470284"/>
    <w:rsid w:val="00470337"/>
    <w:rsid w:val="0047041F"/>
    <w:rsid w:val="004704FC"/>
    <w:rsid w:val="00470863"/>
    <w:rsid w:val="0047102F"/>
    <w:rsid w:val="004713FD"/>
    <w:rsid w:val="0047181C"/>
    <w:rsid w:val="00471995"/>
    <w:rsid w:val="004719E2"/>
    <w:rsid w:val="004719E4"/>
    <w:rsid w:val="00471A67"/>
    <w:rsid w:val="00471BE1"/>
    <w:rsid w:val="00471D7A"/>
    <w:rsid w:val="004723EA"/>
    <w:rsid w:val="004728A0"/>
    <w:rsid w:val="004728B6"/>
    <w:rsid w:val="00472C57"/>
    <w:rsid w:val="00472D6D"/>
    <w:rsid w:val="00472FEC"/>
    <w:rsid w:val="0047326D"/>
    <w:rsid w:val="004737E0"/>
    <w:rsid w:val="00473CD6"/>
    <w:rsid w:val="00473EE2"/>
    <w:rsid w:val="004742B1"/>
    <w:rsid w:val="004742DD"/>
    <w:rsid w:val="00474679"/>
    <w:rsid w:val="004746BD"/>
    <w:rsid w:val="00474AB1"/>
    <w:rsid w:val="00474C2F"/>
    <w:rsid w:val="00474E3A"/>
    <w:rsid w:val="00474EF2"/>
    <w:rsid w:val="0047504E"/>
    <w:rsid w:val="00475231"/>
    <w:rsid w:val="0047598B"/>
    <w:rsid w:val="00475CC3"/>
    <w:rsid w:val="00475DEE"/>
    <w:rsid w:val="004762D8"/>
    <w:rsid w:val="0047635F"/>
    <w:rsid w:val="004766E2"/>
    <w:rsid w:val="00476A4E"/>
    <w:rsid w:val="00476C02"/>
    <w:rsid w:val="00476D02"/>
    <w:rsid w:val="00476F41"/>
    <w:rsid w:val="00477039"/>
    <w:rsid w:val="00477564"/>
    <w:rsid w:val="00477BB7"/>
    <w:rsid w:val="004801A9"/>
    <w:rsid w:val="00480227"/>
    <w:rsid w:val="00480373"/>
    <w:rsid w:val="00481314"/>
    <w:rsid w:val="00481D1D"/>
    <w:rsid w:val="0048206C"/>
    <w:rsid w:val="004822EA"/>
    <w:rsid w:val="0048238D"/>
    <w:rsid w:val="0048261C"/>
    <w:rsid w:val="00482D42"/>
    <w:rsid w:val="00482D9C"/>
    <w:rsid w:val="00483069"/>
    <w:rsid w:val="0048318E"/>
    <w:rsid w:val="00483218"/>
    <w:rsid w:val="00483292"/>
    <w:rsid w:val="0048362E"/>
    <w:rsid w:val="0048365A"/>
    <w:rsid w:val="004836CB"/>
    <w:rsid w:val="004837FC"/>
    <w:rsid w:val="00483A4B"/>
    <w:rsid w:val="004847FF"/>
    <w:rsid w:val="00484858"/>
    <w:rsid w:val="004848D8"/>
    <w:rsid w:val="00484E96"/>
    <w:rsid w:val="0048533C"/>
    <w:rsid w:val="0048534D"/>
    <w:rsid w:val="00485C74"/>
    <w:rsid w:val="00485F92"/>
    <w:rsid w:val="004866F6"/>
    <w:rsid w:val="004868A3"/>
    <w:rsid w:val="004868F1"/>
    <w:rsid w:val="00486BE2"/>
    <w:rsid w:val="00486CBB"/>
    <w:rsid w:val="00487070"/>
    <w:rsid w:val="004873D0"/>
    <w:rsid w:val="004900B3"/>
    <w:rsid w:val="004900DF"/>
    <w:rsid w:val="004909CC"/>
    <w:rsid w:val="00490A87"/>
    <w:rsid w:val="00490C01"/>
    <w:rsid w:val="00490EB8"/>
    <w:rsid w:val="00491300"/>
    <w:rsid w:val="004914D6"/>
    <w:rsid w:val="00491A0A"/>
    <w:rsid w:val="00492592"/>
    <w:rsid w:val="00492DC0"/>
    <w:rsid w:val="00492EB8"/>
    <w:rsid w:val="004935E9"/>
    <w:rsid w:val="00493672"/>
    <w:rsid w:val="00493737"/>
    <w:rsid w:val="0049395E"/>
    <w:rsid w:val="00493BBE"/>
    <w:rsid w:val="00493CD9"/>
    <w:rsid w:val="00494088"/>
    <w:rsid w:val="0049420E"/>
    <w:rsid w:val="0049433A"/>
    <w:rsid w:val="0049435A"/>
    <w:rsid w:val="00494763"/>
    <w:rsid w:val="0049522F"/>
    <w:rsid w:val="0049525B"/>
    <w:rsid w:val="004953F4"/>
    <w:rsid w:val="0049546C"/>
    <w:rsid w:val="004958BE"/>
    <w:rsid w:val="00495932"/>
    <w:rsid w:val="00495962"/>
    <w:rsid w:val="00495B77"/>
    <w:rsid w:val="00495CBD"/>
    <w:rsid w:val="004960B6"/>
    <w:rsid w:val="004960DD"/>
    <w:rsid w:val="004961F4"/>
    <w:rsid w:val="004962FB"/>
    <w:rsid w:val="004964B5"/>
    <w:rsid w:val="00496700"/>
    <w:rsid w:val="00496703"/>
    <w:rsid w:val="0049695F"/>
    <w:rsid w:val="00496E9F"/>
    <w:rsid w:val="0049726B"/>
    <w:rsid w:val="00497551"/>
    <w:rsid w:val="00497DFB"/>
    <w:rsid w:val="00497EAE"/>
    <w:rsid w:val="004A06A2"/>
    <w:rsid w:val="004A08D0"/>
    <w:rsid w:val="004A0CAC"/>
    <w:rsid w:val="004A0FEE"/>
    <w:rsid w:val="004A1218"/>
    <w:rsid w:val="004A128F"/>
    <w:rsid w:val="004A1504"/>
    <w:rsid w:val="004A1642"/>
    <w:rsid w:val="004A166B"/>
    <w:rsid w:val="004A2CDF"/>
    <w:rsid w:val="004A2D4A"/>
    <w:rsid w:val="004A2FB8"/>
    <w:rsid w:val="004A33A2"/>
    <w:rsid w:val="004A33A3"/>
    <w:rsid w:val="004A359A"/>
    <w:rsid w:val="004A3B28"/>
    <w:rsid w:val="004A3F0A"/>
    <w:rsid w:val="004A40A7"/>
    <w:rsid w:val="004A440B"/>
    <w:rsid w:val="004A474B"/>
    <w:rsid w:val="004A4A73"/>
    <w:rsid w:val="004A53BC"/>
    <w:rsid w:val="004A5586"/>
    <w:rsid w:val="004A5A98"/>
    <w:rsid w:val="004A6E2A"/>
    <w:rsid w:val="004A7195"/>
    <w:rsid w:val="004A7772"/>
    <w:rsid w:val="004A79E6"/>
    <w:rsid w:val="004A7B6A"/>
    <w:rsid w:val="004B0083"/>
    <w:rsid w:val="004B082A"/>
    <w:rsid w:val="004B0AE9"/>
    <w:rsid w:val="004B0C6B"/>
    <w:rsid w:val="004B11CB"/>
    <w:rsid w:val="004B1468"/>
    <w:rsid w:val="004B1531"/>
    <w:rsid w:val="004B20EE"/>
    <w:rsid w:val="004B2331"/>
    <w:rsid w:val="004B250A"/>
    <w:rsid w:val="004B2D85"/>
    <w:rsid w:val="004B2F11"/>
    <w:rsid w:val="004B31D2"/>
    <w:rsid w:val="004B3334"/>
    <w:rsid w:val="004B3699"/>
    <w:rsid w:val="004B3886"/>
    <w:rsid w:val="004B391D"/>
    <w:rsid w:val="004B39BF"/>
    <w:rsid w:val="004B4839"/>
    <w:rsid w:val="004B48DA"/>
    <w:rsid w:val="004B4988"/>
    <w:rsid w:val="004B4EF9"/>
    <w:rsid w:val="004B539B"/>
    <w:rsid w:val="004B5A6E"/>
    <w:rsid w:val="004B5BC9"/>
    <w:rsid w:val="004B5F99"/>
    <w:rsid w:val="004B609E"/>
    <w:rsid w:val="004B633F"/>
    <w:rsid w:val="004B63B6"/>
    <w:rsid w:val="004B6407"/>
    <w:rsid w:val="004B6549"/>
    <w:rsid w:val="004B6860"/>
    <w:rsid w:val="004B70C1"/>
    <w:rsid w:val="004B788A"/>
    <w:rsid w:val="004B7E5C"/>
    <w:rsid w:val="004C0D2C"/>
    <w:rsid w:val="004C0F83"/>
    <w:rsid w:val="004C14FC"/>
    <w:rsid w:val="004C188C"/>
    <w:rsid w:val="004C1A9B"/>
    <w:rsid w:val="004C1AE4"/>
    <w:rsid w:val="004C1FA1"/>
    <w:rsid w:val="004C20DE"/>
    <w:rsid w:val="004C246C"/>
    <w:rsid w:val="004C28D1"/>
    <w:rsid w:val="004C2934"/>
    <w:rsid w:val="004C2C96"/>
    <w:rsid w:val="004C34D2"/>
    <w:rsid w:val="004C36DC"/>
    <w:rsid w:val="004C4312"/>
    <w:rsid w:val="004C47AB"/>
    <w:rsid w:val="004C4823"/>
    <w:rsid w:val="004C48A6"/>
    <w:rsid w:val="004C4984"/>
    <w:rsid w:val="004C4B9F"/>
    <w:rsid w:val="004C57E7"/>
    <w:rsid w:val="004C5A4C"/>
    <w:rsid w:val="004C5FDF"/>
    <w:rsid w:val="004C710D"/>
    <w:rsid w:val="004C742B"/>
    <w:rsid w:val="004C7444"/>
    <w:rsid w:val="004C79F4"/>
    <w:rsid w:val="004C7D24"/>
    <w:rsid w:val="004D001A"/>
    <w:rsid w:val="004D09CE"/>
    <w:rsid w:val="004D0E29"/>
    <w:rsid w:val="004D0F5F"/>
    <w:rsid w:val="004D1753"/>
    <w:rsid w:val="004D1ACB"/>
    <w:rsid w:val="004D1BF4"/>
    <w:rsid w:val="004D230D"/>
    <w:rsid w:val="004D25B6"/>
    <w:rsid w:val="004D2782"/>
    <w:rsid w:val="004D27BB"/>
    <w:rsid w:val="004D2973"/>
    <w:rsid w:val="004D2BB0"/>
    <w:rsid w:val="004D339C"/>
    <w:rsid w:val="004D356E"/>
    <w:rsid w:val="004D3A4E"/>
    <w:rsid w:val="004D3F72"/>
    <w:rsid w:val="004D4280"/>
    <w:rsid w:val="004D48F3"/>
    <w:rsid w:val="004D52E9"/>
    <w:rsid w:val="004D5436"/>
    <w:rsid w:val="004D546A"/>
    <w:rsid w:val="004D5876"/>
    <w:rsid w:val="004D58AF"/>
    <w:rsid w:val="004D5A1C"/>
    <w:rsid w:val="004D5DFB"/>
    <w:rsid w:val="004D62AB"/>
    <w:rsid w:val="004D6E04"/>
    <w:rsid w:val="004D70A9"/>
    <w:rsid w:val="004D745A"/>
    <w:rsid w:val="004D7AD5"/>
    <w:rsid w:val="004D7B49"/>
    <w:rsid w:val="004E04C6"/>
    <w:rsid w:val="004E0735"/>
    <w:rsid w:val="004E0EF6"/>
    <w:rsid w:val="004E1233"/>
    <w:rsid w:val="004E13B7"/>
    <w:rsid w:val="004E1492"/>
    <w:rsid w:val="004E2239"/>
    <w:rsid w:val="004E2551"/>
    <w:rsid w:val="004E2566"/>
    <w:rsid w:val="004E26C0"/>
    <w:rsid w:val="004E282B"/>
    <w:rsid w:val="004E28C6"/>
    <w:rsid w:val="004E297A"/>
    <w:rsid w:val="004E29FD"/>
    <w:rsid w:val="004E35AA"/>
    <w:rsid w:val="004E3E57"/>
    <w:rsid w:val="004E45D8"/>
    <w:rsid w:val="004E470F"/>
    <w:rsid w:val="004E4A1D"/>
    <w:rsid w:val="004E4B4A"/>
    <w:rsid w:val="004E569A"/>
    <w:rsid w:val="004E5ADD"/>
    <w:rsid w:val="004E6070"/>
    <w:rsid w:val="004E6D2D"/>
    <w:rsid w:val="004E6DE1"/>
    <w:rsid w:val="004E6E29"/>
    <w:rsid w:val="004E7EDE"/>
    <w:rsid w:val="004F005D"/>
    <w:rsid w:val="004F0708"/>
    <w:rsid w:val="004F0A8F"/>
    <w:rsid w:val="004F0BA4"/>
    <w:rsid w:val="004F0C0E"/>
    <w:rsid w:val="004F0C32"/>
    <w:rsid w:val="004F0C6A"/>
    <w:rsid w:val="004F0C98"/>
    <w:rsid w:val="004F0D3E"/>
    <w:rsid w:val="004F10E0"/>
    <w:rsid w:val="004F138F"/>
    <w:rsid w:val="004F13F1"/>
    <w:rsid w:val="004F141C"/>
    <w:rsid w:val="004F1EBA"/>
    <w:rsid w:val="004F2CEC"/>
    <w:rsid w:val="004F2D0A"/>
    <w:rsid w:val="004F2D85"/>
    <w:rsid w:val="004F2FF5"/>
    <w:rsid w:val="004F33AB"/>
    <w:rsid w:val="004F3619"/>
    <w:rsid w:val="004F37A8"/>
    <w:rsid w:val="004F3BEC"/>
    <w:rsid w:val="004F3F6B"/>
    <w:rsid w:val="004F420C"/>
    <w:rsid w:val="004F444F"/>
    <w:rsid w:val="004F49E8"/>
    <w:rsid w:val="004F5080"/>
    <w:rsid w:val="004F5174"/>
    <w:rsid w:val="004F5370"/>
    <w:rsid w:val="004F6A9E"/>
    <w:rsid w:val="004F725E"/>
    <w:rsid w:val="004F7277"/>
    <w:rsid w:val="004F76B4"/>
    <w:rsid w:val="004F7C06"/>
    <w:rsid w:val="004F7CD4"/>
    <w:rsid w:val="004F7D0E"/>
    <w:rsid w:val="004F7DE8"/>
    <w:rsid w:val="004F7EFF"/>
    <w:rsid w:val="00500123"/>
    <w:rsid w:val="00500146"/>
    <w:rsid w:val="00500283"/>
    <w:rsid w:val="00500BB5"/>
    <w:rsid w:val="00500C95"/>
    <w:rsid w:val="00500D5B"/>
    <w:rsid w:val="00500D68"/>
    <w:rsid w:val="0050122F"/>
    <w:rsid w:val="00501477"/>
    <w:rsid w:val="005017DF"/>
    <w:rsid w:val="00501D4E"/>
    <w:rsid w:val="00502A4A"/>
    <w:rsid w:val="00502A6D"/>
    <w:rsid w:val="00502AA2"/>
    <w:rsid w:val="00502ACB"/>
    <w:rsid w:val="00502EA2"/>
    <w:rsid w:val="0050334A"/>
    <w:rsid w:val="00503A9C"/>
    <w:rsid w:val="00503C10"/>
    <w:rsid w:val="00503F68"/>
    <w:rsid w:val="00503FB0"/>
    <w:rsid w:val="0050448C"/>
    <w:rsid w:val="005045D1"/>
    <w:rsid w:val="00504629"/>
    <w:rsid w:val="0050476E"/>
    <w:rsid w:val="00504B4D"/>
    <w:rsid w:val="00505533"/>
    <w:rsid w:val="0050557E"/>
    <w:rsid w:val="005055BD"/>
    <w:rsid w:val="005055E9"/>
    <w:rsid w:val="00505C6A"/>
    <w:rsid w:val="00505CA1"/>
    <w:rsid w:val="00505EA6"/>
    <w:rsid w:val="00505F4E"/>
    <w:rsid w:val="00506035"/>
    <w:rsid w:val="0050653F"/>
    <w:rsid w:val="0050670B"/>
    <w:rsid w:val="005068C4"/>
    <w:rsid w:val="00506A73"/>
    <w:rsid w:val="00506F3B"/>
    <w:rsid w:val="005070B1"/>
    <w:rsid w:val="00507481"/>
    <w:rsid w:val="0050787B"/>
    <w:rsid w:val="00507BAB"/>
    <w:rsid w:val="00507E71"/>
    <w:rsid w:val="005101D0"/>
    <w:rsid w:val="00510408"/>
    <w:rsid w:val="00510BA8"/>
    <w:rsid w:val="00511B29"/>
    <w:rsid w:val="00511E1A"/>
    <w:rsid w:val="0051235C"/>
    <w:rsid w:val="005124ED"/>
    <w:rsid w:val="005125D5"/>
    <w:rsid w:val="00512E40"/>
    <w:rsid w:val="00512FF3"/>
    <w:rsid w:val="005141E8"/>
    <w:rsid w:val="005144D7"/>
    <w:rsid w:val="0051453F"/>
    <w:rsid w:val="0051462B"/>
    <w:rsid w:val="005147C2"/>
    <w:rsid w:val="0051488B"/>
    <w:rsid w:val="00514A9C"/>
    <w:rsid w:val="00514FC8"/>
    <w:rsid w:val="00515183"/>
    <w:rsid w:val="00515207"/>
    <w:rsid w:val="00515446"/>
    <w:rsid w:val="005159A9"/>
    <w:rsid w:val="005163FE"/>
    <w:rsid w:val="00516A89"/>
    <w:rsid w:val="00517079"/>
    <w:rsid w:val="0051722E"/>
    <w:rsid w:val="00517257"/>
    <w:rsid w:val="0051757D"/>
    <w:rsid w:val="00517C91"/>
    <w:rsid w:val="00521C74"/>
    <w:rsid w:val="00521CBB"/>
    <w:rsid w:val="00521CFE"/>
    <w:rsid w:val="00521DCB"/>
    <w:rsid w:val="00521EFA"/>
    <w:rsid w:val="0052278B"/>
    <w:rsid w:val="00522E49"/>
    <w:rsid w:val="00522ED3"/>
    <w:rsid w:val="005233C2"/>
    <w:rsid w:val="0052376B"/>
    <w:rsid w:val="00523A14"/>
    <w:rsid w:val="00524278"/>
    <w:rsid w:val="005243D3"/>
    <w:rsid w:val="00524641"/>
    <w:rsid w:val="00524E80"/>
    <w:rsid w:val="00524FB9"/>
    <w:rsid w:val="00525159"/>
    <w:rsid w:val="0052561C"/>
    <w:rsid w:val="00525691"/>
    <w:rsid w:val="00525733"/>
    <w:rsid w:val="0052579A"/>
    <w:rsid w:val="005259D9"/>
    <w:rsid w:val="00525C00"/>
    <w:rsid w:val="00526292"/>
    <w:rsid w:val="005262C9"/>
    <w:rsid w:val="00526464"/>
    <w:rsid w:val="00526780"/>
    <w:rsid w:val="00526C19"/>
    <w:rsid w:val="00526C50"/>
    <w:rsid w:val="00527140"/>
    <w:rsid w:val="00527289"/>
    <w:rsid w:val="0052798B"/>
    <w:rsid w:val="00527A18"/>
    <w:rsid w:val="00527DD2"/>
    <w:rsid w:val="00527E6A"/>
    <w:rsid w:val="00530481"/>
    <w:rsid w:val="005307C6"/>
    <w:rsid w:val="00530BF6"/>
    <w:rsid w:val="00530DDE"/>
    <w:rsid w:val="0053116B"/>
    <w:rsid w:val="0053129C"/>
    <w:rsid w:val="005323B1"/>
    <w:rsid w:val="00533DE2"/>
    <w:rsid w:val="00534599"/>
    <w:rsid w:val="00534F5A"/>
    <w:rsid w:val="00535137"/>
    <w:rsid w:val="0053532E"/>
    <w:rsid w:val="00535DD3"/>
    <w:rsid w:val="00536058"/>
    <w:rsid w:val="00536338"/>
    <w:rsid w:val="0053646C"/>
    <w:rsid w:val="00536556"/>
    <w:rsid w:val="005365F0"/>
    <w:rsid w:val="0053689B"/>
    <w:rsid w:val="00537749"/>
    <w:rsid w:val="00540243"/>
    <w:rsid w:val="00540251"/>
    <w:rsid w:val="00540B70"/>
    <w:rsid w:val="0054106C"/>
    <w:rsid w:val="00541162"/>
    <w:rsid w:val="005417F6"/>
    <w:rsid w:val="0054256C"/>
    <w:rsid w:val="005428CA"/>
    <w:rsid w:val="00542A51"/>
    <w:rsid w:val="00542CC5"/>
    <w:rsid w:val="005434B8"/>
    <w:rsid w:val="005434D5"/>
    <w:rsid w:val="0054389F"/>
    <w:rsid w:val="00543B3E"/>
    <w:rsid w:val="005440B1"/>
    <w:rsid w:val="00544B5B"/>
    <w:rsid w:val="00545014"/>
    <w:rsid w:val="005458B4"/>
    <w:rsid w:val="00545DC7"/>
    <w:rsid w:val="00545E3C"/>
    <w:rsid w:val="005460F0"/>
    <w:rsid w:val="00546339"/>
    <w:rsid w:val="00546509"/>
    <w:rsid w:val="00546F3F"/>
    <w:rsid w:val="00547174"/>
    <w:rsid w:val="0054740F"/>
    <w:rsid w:val="0054790E"/>
    <w:rsid w:val="00547915"/>
    <w:rsid w:val="00547F02"/>
    <w:rsid w:val="0055054C"/>
    <w:rsid w:val="005509F3"/>
    <w:rsid w:val="00550B20"/>
    <w:rsid w:val="00550C99"/>
    <w:rsid w:val="00550ECA"/>
    <w:rsid w:val="00550F32"/>
    <w:rsid w:val="00551FDA"/>
    <w:rsid w:val="0055204C"/>
    <w:rsid w:val="00552104"/>
    <w:rsid w:val="0055244A"/>
    <w:rsid w:val="0055250F"/>
    <w:rsid w:val="00552784"/>
    <w:rsid w:val="005531A4"/>
    <w:rsid w:val="00553413"/>
    <w:rsid w:val="00553597"/>
    <w:rsid w:val="0055394F"/>
    <w:rsid w:val="00553D47"/>
    <w:rsid w:val="005542B8"/>
    <w:rsid w:val="00554580"/>
    <w:rsid w:val="00554932"/>
    <w:rsid w:val="005551F9"/>
    <w:rsid w:val="00555AB2"/>
    <w:rsid w:val="005562C4"/>
    <w:rsid w:val="005562CC"/>
    <w:rsid w:val="00556400"/>
    <w:rsid w:val="005565B3"/>
    <w:rsid w:val="0055677D"/>
    <w:rsid w:val="005567C8"/>
    <w:rsid w:val="00556A33"/>
    <w:rsid w:val="00556D21"/>
    <w:rsid w:val="00556E51"/>
    <w:rsid w:val="00557229"/>
    <w:rsid w:val="00557A72"/>
    <w:rsid w:val="00557C00"/>
    <w:rsid w:val="00557FAD"/>
    <w:rsid w:val="00560259"/>
    <w:rsid w:val="0056074D"/>
    <w:rsid w:val="005607C4"/>
    <w:rsid w:val="00561129"/>
    <w:rsid w:val="00561BA3"/>
    <w:rsid w:val="0056225D"/>
    <w:rsid w:val="005622CA"/>
    <w:rsid w:val="00562410"/>
    <w:rsid w:val="00562414"/>
    <w:rsid w:val="00562AA4"/>
    <w:rsid w:val="00563105"/>
    <w:rsid w:val="00563207"/>
    <w:rsid w:val="00563626"/>
    <w:rsid w:val="00563CE8"/>
    <w:rsid w:val="0056466C"/>
    <w:rsid w:val="00564D49"/>
    <w:rsid w:val="00565061"/>
    <w:rsid w:val="0056563A"/>
    <w:rsid w:val="00566455"/>
    <w:rsid w:val="0056664B"/>
    <w:rsid w:val="005666DD"/>
    <w:rsid w:val="00566B70"/>
    <w:rsid w:val="0057058B"/>
    <w:rsid w:val="005705F0"/>
    <w:rsid w:val="0057072E"/>
    <w:rsid w:val="00570771"/>
    <w:rsid w:val="00570AC6"/>
    <w:rsid w:val="005711CB"/>
    <w:rsid w:val="00571371"/>
    <w:rsid w:val="005716B5"/>
    <w:rsid w:val="0057187C"/>
    <w:rsid w:val="00571B07"/>
    <w:rsid w:val="00571C54"/>
    <w:rsid w:val="00572CAB"/>
    <w:rsid w:val="00573C1F"/>
    <w:rsid w:val="00573C23"/>
    <w:rsid w:val="00573E4E"/>
    <w:rsid w:val="005740C5"/>
    <w:rsid w:val="005744DD"/>
    <w:rsid w:val="00574921"/>
    <w:rsid w:val="00574A5A"/>
    <w:rsid w:val="00574F6E"/>
    <w:rsid w:val="005750C0"/>
    <w:rsid w:val="005754AB"/>
    <w:rsid w:val="00575EBB"/>
    <w:rsid w:val="0057620B"/>
    <w:rsid w:val="00576ABA"/>
    <w:rsid w:val="00577171"/>
    <w:rsid w:val="005776E2"/>
    <w:rsid w:val="005776FD"/>
    <w:rsid w:val="00577979"/>
    <w:rsid w:val="0058011A"/>
    <w:rsid w:val="0058041F"/>
    <w:rsid w:val="00580E6B"/>
    <w:rsid w:val="005810FF"/>
    <w:rsid w:val="0058131F"/>
    <w:rsid w:val="0058159E"/>
    <w:rsid w:val="005816E0"/>
    <w:rsid w:val="005819CA"/>
    <w:rsid w:val="00581C19"/>
    <w:rsid w:val="00581E33"/>
    <w:rsid w:val="00581E4C"/>
    <w:rsid w:val="0058249B"/>
    <w:rsid w:val="005825FA"/>
    <w:rsid w:val="005826EA"/>
    <w:rsid w:val="005826F4"/>
    <w:rsid w:val="00583024"/>
    <w:rsid w:val="00583165"/>
    <w:rsid w:val="0058335F"/>
    <w:rsid w:val="0058369E"/>
    <w:rsid w:val="0058395D"/>
    <w:rsid w:val="00583BBB"/>
    <w:rsid w:val="00583C84"/>
    <w:rsid w:val="00583E52"/>
    <w:rsid w:val="00584352"/>
    <w:rsid w:val="00584B6F"/>
    <w:rsid w:val="00584C98"/>
    <w:rsid w:val="00584FF4"/>
    <w:rsid w:val="00585045"/>
    <w:rsid w:val="0058510B"/>
    <w:rsid w:val="00585395"/>
    <w:rsid w:val="005857B1"/>
    <w:rsid w:val="0058597F"/>
    <w:rsid w:val="00585B55"/>
    <w:rsid w:val="00585CFE"/>
    <w:rsid w:val="00585E31"/>
    <w:rsid w:val="00586284"/>
    <w:rsid w:val="0058776C"/>
    <w:rsid w:val="00590015"/>
    <w:rsid w:val="005904B5"/>
    <w:rsid w:val="00590A4F"/>
    <w:rsid w:val="00590A63"/>
    <w:rsid w:val="00590D09"/>
    <w:rsid w:val="00590F95"/>
    <w:rsid w:val="0059156A"/>
    <w:rsid w:val="00592E6E"/>
    <w:rsid w:val="00593006"/>
    <w:rsid w:val="00593059"/>
    <w:rsid w:val="00593314"/>
    <w:rsid w:val="0059349A"/>
    <w:rsid w:val="0059368E"/>
    <w:rsid w:val="00593A00"/>
    <w:rsid w:val="00593AB2"/>
    <w:rsid w:val="00593BF5"/>
    <w:rsid w:val="0059448E"/>
    <w:rsid w:val="00594496"/>
    <w:rsid w:val="00594985"/>
    <w:rsid w:val="00594C8C"/>
    <w:rsid w:val="00594DD7"/>
    <w:rsid w:val="005950A9"/>
    <w:rsid w:val="005956D3"/>
    <w:rsid w:val="0059606B"/>
    <w:rsid w:val="00596365"/>
    <w:rsid w:val="005964CA"/>
    <w:rsid w:val="0059652A"/>
    <w:rsid w:val="005965BC"/>
    <w:rsid w:val="00596680"/>
    <w:rsid w:val="00597968"/>
    <w:rsid w:val="005979C9"/>
    <w:rsid w:val="00597A74"/>
    <w:rsid w:val="00597AF7"/>
    <w:rsid w:val="00597EE0"/>
    <w:rsid w:val="005A070E"/>
    <w:rsid w:val="005A0736"/>
    <w:rsid w:val="005A0D76"/>
    <w:rsid w:val="005A0E1A"/>
    <w:rsid w:val="005A1162"/>
    <w:rsid w:val="005A11D8"/>
    <w:rsid w:val="005A124F"/>
    <w:rsid w:val="005A198F"/>
    <w:rsid w:val="005A1B7F"/>
    <w:rsid w:val="005A1C65"/>
    <w:rsid w:val="005A1C6F"/>
    <w:rsid w:val="005A2197"/>
    <w:rsid w:val="005A22C0"/>
    <w:rsid w:val="005A2474"/>
    <w:rsid w:val="005A25C9"/>
    <w:rsid w:val="005A26AF"/>
    <w:rsid w:val="005A2D74"/>
    <w:rsid w:val="005A306E"/>
    <w:rsid w:val="005A3200"/>
    <w:rsid w:val="005A36D9"/>
    <w:rsid w:val="005A389E"/>
    <w:rsid w:val="005A3D42"/>
    <w:rsid w:val="005A41F5"/>
    <w:rsid w:val="005A4283"/>
    <w:rsid w:val="005A45E0"/>
    <w:rsid w:val="005A461D"/>
    <w:rsid w:val="005A5564"/>
    <w:rsid w:val="005A5CA9"/>
    <w:rsid w:val="005A5CDF"/>
    <w:rsid w:val="005A65FE"/>
    <w:rsid w:val="005A6664"/>
    <w:rsid w:val="005A69C0"/>
    <w:rsid w:val="005A6C0E"/>
    <w:rsid w:val="005A734D"/>
    <w:rsid w:val="005A7933"/>
    <w:rsid w:val="005A79C5"/>
    <w:rsid w:val="005A7A13"/>
    <w:rsid w:val="005A7E78"/>
    <w:rsid w:val="005A7E9D"/>
    <w:rsid w:val="005B01AE"/>
    <w:rsid w:val="005B03ED"/>
    <w:rsid w:val="005B0561"/>
    <w:rsid w:val="005B07D0"/>
    <w:rsid w:val="005B081F"/>
    <w:rsid w:val="005B08B6"/>
    <w:rsid w:val="005B0900"/>
    <w:rsid w:val="005B0AD4"/>
    <w:rsid w:val="005B0C5C"/>
    <w:rsid w:val="005B0ECF"/>
    <w:rsid w:val="005B1660"/>
    <w:rsid w:val="005B16D4"/>
    <w:rsid w:val="005B1776"/>
    <w:rsid w:val="005B17E4"/>
    <w:rsid w:val="005B184B"/>
    <w:rsid w:val="005B18D6"/>
    <w:rsid w:val="005B1BA3"/>
    <w:rsid w:val="005B1BC7"/>
    <w:rsid w:val="005B2322"/>
    <w:rsid w:val="005B32FB"/>
    <w:rsid w:val="005B3375"/>
    <w:rsid w:val="005B49F3"/>
    <w:rsid w:val="005B4D06"/>
    <w:rsid w:val="005B54D1"/>
    <w:rsid w:val="005B5865"/>
    <w:rsid w:val="005B58E3"/>
    <w:rsid w:val="005B5C5C"/>
    <w:rsid w:val="005B5E11"/>
    <w:rsid w:val="005B662E"/>
    <w:rsid w:val="005B6693"/>
    <w:rsid w:val="005B6F5A"/>
    <w:rsid w:val="005B6F97"/>
    <w:rsid w:val="005B7016"/>
    <w:rsid w:val="005B77F1"/>
    <w:rsid w:val="005B7AB6"/>
    <w:rsid w:val="005B7B45"/>
    <w:rsid w:val="005B7E1B"/>
    <w:rsid w:val="005B7F6F"/>
    <w:rsid w:val="005B7FE4"/>
    <w:rsid w:val="005C05E0"/>
    <w:rsid w:val="005C0FBE"/>
    <w:rsid w:val="005C10E7"/>
    <w:rsid w:val="005C12A7"/>
    <w:rsid w:val="005C1439"/>
    <w:rsid w:val="005C1A33"/>
    <w:rsid w:val="005C1A42"/>
    <w:rsid w:val="005C22A5"/>
    <w:rsid w:val="005C22AE"/>
    <w:rsid w:val="005C23C9"/>
    <w:rsid w:val="005C2B46"/>
    <w:rsid w:val="005C2E7A"/>
    <w:rsid w:val="005C32A9"/>
    <w:rsid w:val="005C32EA"/>
    <w:rsid w:val="005C37E0"/>
    <w:rsid w:val="005C3A6C"/>
    <w:rsid w:val="005C3CD5"/>
    <w:rsid w:val="005C3FE2"/>
    <w:rsid w:val="005C48DB"/>
    <w:rsid w:val="005C4BAA"/>
    <w:rsid w:val="005C4D08"/>
    <w:rsid w:val="005C514B"/>
    <w:rsid w:val="005C54B9"/>
    <w:rsid w:val="005C568B"/>
    <w:rsid w:val="005C5715"/>
    <w:rsid w:val="005C5A1C"/>
    <w:rsid w:val="005C6445"/>
    <w:rsid w:val="005C6618"/>
    <w:rsid w:val="005C662C"/>
    <w:rsid w:val="005C6C20"/>
    <w:rsid w:val="005C6D6D"/>
    <w:rsid w:val="005C6F87"/>
    <w:rsid w:val="005C71A4"/>
    <w:rsid w:val="005C7327"/>
    <w:rsid w:val="005C76C3"/>
    <w:rsid w:val="005C7B06"/>
    <w:rsid w:val="005C7D04"/>
    <w:rsid w:val="005D0189"/>
    <w:rsid w:val="005D0260"/>
    <w:rsid w:val="005D0623"/>
    <w:rsid w:val="005D0629"/>
    <w:rsid w:val="005D0668"/>
    <w:rsid w:val="005D0676"/>
    <w:rsid w:val="005D0772"/>
    <w:rsid w:val="005D0913"/>
    <w:rsid w:val="005D0C3F"/>
    <w:rsid w:val="005D1533"/>
    <w:rsid w:val="005D1892"/>
    <w:rsid w:val="005D1AFD"/>
    <w:rsid w:val="005D1FD2"/>
    <w:rsid w:val="005D2755"/>
    <w:rsid w:val="005D2765"/>
    <w:rsid w:val="005D2A40"/>
    <w:rsid w:val="005D3021"/>
    <w:rsid w:val="005D3637"/>
    <w:rsid w:val="005D3E0E"/>
    <w:rsid w:val="005D447D"/>
    <w:rsid w:val="005D4987"/>
    <w:rsid w:val="005D4F4F"/>
    <w:rsid w:val="005D5117"/>
    <w:rsid w:val="005D51AE"/>
    <w:rsid w:val="005D5E45"/>
    <w:rsid w:val="005D622B"/>
    <w:rsid w:val="005D665D"/>
    <w:rsid w:val="005D6B2D"/>
    <w:rsid w:val="005D6D72"/>
    <w:rsid w:val="005D7509"/>
    <w:rsid w:val="005D7BFE"/>
    <w:rsid w:val="005E01CB"/>
    <w:rsid w:val="005E02D5"/>
    <w:rsid w:val="005E0384"/>
    <w:rsid w:val="005E03D0"/>
    <w:rsid w:val="005E08AA"/>
    <w:rsid w:val="005E0BC6"/>
    <w:rsid w:val="005E16D5"/>
    <w:rsid w:val="005E175F"/>
    <w:rsid w:val="005E1AE7"/>
    <w:rsid w:val="005E1BD7"/>
    <w:rsid w:val="005E1DF1"/>
    <w:rsid w:val="005E2459"/>
    <w:rsid w:val="005E2802"/>
    <w:rsid w:val="005E29D5"/>
    <w:rsid w:val="005E37EB"/>
    <w:rsid w:val="005E3C67"/>
    <w:rsid w:val="005E3FFD"/>
    <w:rsid w:val="005E4470"/>
    <w:rsid w:val="005E467C"/>
    <w:rsid w:val="005E47B3"/>
    <w:rsid w:val="005E4CE0"/>
    <w:rsid w:val="005E4D43"/>
    <w:rsid w:val="005E5641"/>
    <w:rsid w:val="005E5794"/>
    <w:rsid w:val="005E5DCC"/>
    <w:rsid w:val="005E5EB6"/>
    <w:rsid w:val="005E6136"/>
    <w:rsid w:val="005E62A0"/>
    <w:rsid w:val="005E6BF1"/>
    <w:rsid w:val="005E7074"/>
    <w:rsid w:val="005E7209"/>
    <w:rsid w:val="005E7A97"/>
    <w:rsid w:val="005E7B74"/>
    <w:rsid w:val="005F0591"/>
    <w:rsid w:val="005F0AC3"/>
    <w:rsid w:val="005F0E3C"/>
    <w:rsid w:val="005F0EE7"/>
    <w:rsid w:val="005F0EF0"/>
    <w:rsid w:val="005F106E"/>
    <w:rsid w:val="005F1949"/>
    <w:rsid w:val="005F1EDA"/>
    <w:rsid w:val="005F214D"/>
    <w:rsid w:val="005F22AC"/>
    <w:rsid w:val="005F27EB"/>
    <w:rsid w:val="005F288B"/>
    <w:rsid w:val="005F2D90"/>
    <w:rsid w:val="005F37F4"/>
    <w:rsid w:val="005F3D05"/>
    <w:rsid w:val="005F3E46"/>
    <w:rsid w:val="005F522F"/>
    <w:rsid w:val="005F55F2"/>
    <w:rsid w:val="005F561D"/>
    <w:rsid w:val="005F56AF"/>
    <w:rsid w:val="005F573D"/>
    <w:rsid w:val="005F5CF6"/>
    <w:rsid w:val="005F5FD4"/>
    <w:rsid w:val="005F61AF"/>
    <w:rsid w:val="005F62A8"/>
    <w:rsid w:val="005F66FB"/>
    <w:rsid w:val="005F725A"/>
    <w:rsid w:val="005F794C"/>
    <w:rsid w:val="00600033"/>
    <w:rsid w:val="00600870"/>
    <w:rsid w:val="00601165"/>
    <w:rsid w:val="006014B8"/>
    <w:rsid w:val="00601619"/>
    <w:rsid w:val="00601AA3"/>
    <w:rsid w:val="00601AC6"/>
    <w:rsid w:val="006024FD"/>
    <w:rsid w:val="00602B57"/>
    <w:rsid w:val="00603FD5"/>
    <w:rsid w:val="00604294"/>
    <w:rsid w:val="00605085"/>
    <w:rsid w:val="0060585F"/>
    <w:rsid w:val="00605AD7"/>
    <w:rsid w:val="006060F5"/>
    <w:rsid w:val="0060628D"/>
    <w:rsid w:val="0060640B"/>
    <w:rsid w:val="00607036"/>
    <w:rsid w:val="00607CB8"/>
    <w:rsid w:val="00607EC0"/>
    <w:rsid w:val="00607F03"/>
    <w:rsid w:val="006101A9"/>
    <w:rsid w:val="0061046A"/>
    <w:rsid w:val="00610597"/>
    <w:rsid w:val="00610627"/>
    <w:rsid w:val="00610A03"/>
    <w:rsid w:val="00610C2A"/>
    <w:rsid w:val="00610C5A"/>
    <w:rsid w:val="00610E40"/>
    <w:rsid w:val="00610F6C"/>
    <w:rsid w:val="006111FD"/>
    <w:rsid w:val="0061158C"/>
    <w:rsid w:val="006117D4"/>
    <w:rsid w:val="00611FC8"/>
    <w:rsid w:val="00612528"/>
    <w:rsid w:val="0061278D"/>
    <w:rsid w:val="0061355B"/>
    <w:rsid w:val="0061366B"/>
    <w:rsid w:val="00613B1E"/>
    <w:rsid w:val="00614110"/>
    <w:rsid w:val="00614249"/>
    <w:rsid w:val="006142FB"/>
    <w:rsid w:val="006148F3"/>
    <w:rsid w:val="0061508D"/>
    <w:rsid w:val="00615582"/>
    <w:rsid w:val="00615AF9"/>
    <w:rsid w:val="00616803"/>
    <w:rsid w:val="00616916"/>
    <w:rsid w:val="00616DC8"/>
    <w:rsid w:val="00616FFA"/>
    <w:rsid w:val="00617063"/>
    <w:rsid w:val="0061742B"/>
    <w:rsid w:val="00617538"/>
    <w:rsid w:val="006178DE"/>
    <w:rsid w:val="00617FD1"/>
    <w:rsid w:val="00620548"/>
    <w:rsid w:val="006208A6"/>
    <w:rsid w:val="00620DA5"/>
    <w:rsid w:val="006210B0"/>
    <w:rsid w:val="00621177"/>
    <w:rsid w:val="00621271"/>
    <w:rsid w:val="0062188E"/>
    <w:rsid w:val="0062195D"/>
    <w:rsid w:val="006219CF"/>
    <w:rsid w:val="00621BE8"/>
    <w:rsid w:val="00621BFA"/>
    <w:rsid w:val="00621F20"/>
    <w:rsid w:val="00621F6D"/>
    <w:rsid w:val="006231DA"/>
    <w:rsid w:val="00623659"/>
    <w:rsid w:val="006243A3"/>
    <w:rsid w:val="00624590"/>
    <w:rsid w:val="006246A7"/>
    <w:rsid w:val="006246FE"/>
    <w:rsid w:val="00624B90"/>
    <w:rsid w:val="00624C8C"/>
    <w:rsid w:val="00625320"/>
    <w:rsid w:val="006257B7"/>
    <w:rsid w:val="00625F55"/>
    <w:rsid w:val="00626765"/>
    <w:rsid w:val="00626A2D"/>
    <w:rsid w:val="00626B0C"/>
    <w:rsid w:val="00626CF0"/>
    <w:rsid w:val="00626E1E"/>
    <w:rsid w:val="00626ECF"/>
    <w:rsid w:val="00627117"/>
    <w:rsid w:val="00627900"/>
    <w:rsid w:val="00627974"/>
    <w:rsid w:val="00627AEB"/>
    <w:rsid w:val="00627D03"/>
    <w:rsid w:val="006300A7"/>
    <w:rsid w:val="00630720"/>
    <w:rsid w:val="00630790"/>
    <w:rsid w:val="006307CE"/>
    <w:rsid w:val="00630F02"/>
    <w:rsid w:val="00631071"/>
    <w:rsid w:val="006310D3"/>
    <w:rsid w:val="00631426"/>
    <w:rsid w:val="006316AF"/>
    <w:rsid w:val="00631837"/>
    <w:rsid w:val="0063185D"/>
    <w:rsid w:val="00631AF8"/>
    <w:rsid w:val="00631E20"/>
    <w:rsid w:val="0063220E"/>
    <w:rsid w:val="006324ED"/>
    <w:rsid w:val="0063277E"/>
    <w:rsid w:val="00632C54"/>
    <w:rsid w:val="00633005"/>
    <w:rsid w:val="0063353A"/>
    <w:rsid w:val="006335CE"/>
    <w:rsid w:val="00633711"/>
    <w:rsid w:val="006338EA"/>
    <w:rsid w:val="00633A10"/>
    <w:rsid w:val="00634118"/>
    <w:rsid w:val="00634258"/>
    <w:rsid w:val="00634356"/>
    <w:rsid w:val="00634954"/>
    <w:rsid w:val="0063524B"/>
    <w:rsid w:val="00635961"/>
    <w:rsid w:val="00635DD6"/>
    <w:rsid w:val="00635EFD"/>
    <w:rsid w:val="00636530"/>
    <w:rsid w:val="006365C0"/>
    <w:rsid w:val="00636844"/>
    <w:rsid w:val="00636A47"/>
    <w:rsid w:val="00636D8A"/>
    <w:rsid w:val="006371AA"/>
    <w:rsid w:val="00637E5B"/>
    <w:rsid w:val="006401A3"/>
    <w:rsid w:val="006402AB"/>
    <w:rsid w:val="00640CDD"/>
    <w:rsid w:val="00640FE2"/>
    <w:rsid w:val="00641072"/>
    <w:rsid w:val="00641352"/>
    <w:rsid w:val="0064167D"/>
    <w:rsid w:val="00641810"/>
    <w:rsid w:val="00641869"/>
    <w:rsid w:val="006418BE"/>
    <w:rsid w:val="00641C2B"/>
    <w:rsid w:val="006431E2"/>
    <w:rsid w:val="006432BD"/>
    <w:rsid w:val="006435A9"/>
    <w:rsid w:val="006437BA"/>
    <w:rsid w:val="00643A87"/>
    <w:rsid w:val="00643CD2"/>
    <w:rsid w:val="00644594"/>
    <w:rsid w:val="006449FE"/>
    <w:rsid w:val="00644B9B"/>
    <w:rsid w:val="00644B9E"/>
    <w:rsid w:val="0064514A"/>
    <w:rsid w:val="0064544E"/>
    <w:rsid w:val="006456E8"/>
    <w:rsid w:val="00645F78"/>
    <w:rsid w:val="006461C8"/>
    <w:rsid w:val="00646257"/>
    <w:rsid w:val="00647311"/>
    <w:rsid w:val="006475BD"/>
    <w:rsid w:val="006476C2"/>
    <w:rsid w:val="006479B5"/>
    <w:rsid w:val="00647B98"/>
    <w:rsid w:val="00647C02"/>
    <w:rsid w:val="00647D14"/>
    <w:rsid w:val="00647FB3"/>
    <w:rsid w:val="00651A57"/>
    <w:rsid w:val="006527FF"/>
    <w:rsid w:val="006529DD"/>
    <w:rsid w:val="00653064"/>
    <w:rsid w:val="00653531"/>
    <w:rsid w:val="006539E1"/>
    <w:rsid w:val="00653CC9"/>
    <w:rsid w:val="00653DD4"/>
    <w:rsid w:val="00653E01"/>
    <w:rsid w:val="00654238"/>
    <w:rsid w:val="006545CF"/>
    <w:rsid w:val="006546A7"/>
    <w:rsid w:val="006548D2"/>
    <w:rsid w:val="00654A9A"/>
    <w:rsid w:val="00654B3D"/>
    <w:rsid w:val="00654B7E"/>
    <w:rsid w:val="00655083"/>
    <w:rsid w:val="00655F5E"/>
    <w:rsid w:val="0065640B"/>
    <w:rsid w:val="00656482"/>
    <w:rsid w:val="00656A8A"/>
    <w:rsid w:val="00656E8B"/>
    <w:rsid w:val="0065757E"/>
    <w:rsid w:val="006577B1"/>
    <w:rsid w:val="006600A0"/>
    <w:rsid w:val="00660202"/>
    <w:rsid w:val="00660438"/>
    <w:rsid w:val="00660C8B"/>
    <w:rsid w:val="00660F53"/>
    <w:rsid w:val="00660FC3"/>
    <w:rsid w:val="006612F0"/>
    <w:rsid w:val="006615D0"/>
    <w:rsid w:val="00661637"/>
    <w:rsid w:val="00662071"/>
    <w:rsid w:val="00662192"/>
    <w:rsid w:val="00662209"/>
    <w:rsid w:val="00662695"/>
    <w:rsid w:val="006628C7"/>
    <w:rsid w:val="00662E36"/>
    <w:rsid w:val="00663124"/>
    <w:rsid w:val="00663132"/>
    <w:rsid w:val="00663C81"/>
    <w:rsid w:val="00663CBC"/>
    <w:rsid w:val="00664014"/>
    <w:rsid w:val="00664131"/>
    <w:rsid w:val="00664624"/>
    <w:rsid w:val="00664CFD"/>
    <w:rsid w:val="006653FF"/>
    <w:rsid w:val="00665C25"/>
    <w:rsid w:val="0066631E"/>
    <w:rsid w:val="00666763"/>
    <w:rsid w:val="00666E08"/>
    <w:rsid w:val="00666EAB"/>
    <w:rsid w:val="0066704A"/>
    <w:rsid w:val="0066757A"/>
    <w:rsid w:val="00667B76"/>
    <w:rsid w:val="00667F49"/>
    <w:rsid w:val="0067011F"/>
    <w:rsid w:val="00670C91"/>
    <w:rsid w:val="00670D9F"/>
    <w:rsid w:val="0067115C"/>
    <w:rsid w:val="00671558"/>
    <w:rsid w:val="0067158E"/>
    <w:rsid w:val="00671B46"/>
    <w:rsid w:val="00671E23"/>
    <w:rsid w:val="006728B0"/>
    <w:rsid w:val="00672940"/>
    <w:rsid w:val="00672E1F"/>
    <w:rsid w:val="006738D8"/>
    <w:rsid w:val="00673A58"/>
    <w:rsid w:val="00673B0E"/>
    <w:rsid w:val="00674911"/>
    <w:rsid w:val="00674F52"/>
    <w:rsid w:val="006753FF"/>
    <w:rsid w:val="0067569D"/>
    <w:rsid w:val="0067596A"/>
    <w:rsid w:val="00675983"/>
    <w:rsid w:val="006762CC"/>
    <w:rsid w:val="00676D54"/>
    <w:rsid w:val="00676E44"/>
    <w:rsid w:val="00677477"/>
    <w:rsid w:val="006774A2"/>
    <w:rsid w:val="00677898"/>
    <w:rsid w:val="00677E10"/>
    <w:rsid w:val="00677E6B"/>
    <w:rsid w:val="00677E8F"/>
    <w:rsid w:val="00680483"/>
    <w:rsid w:val="00680873"/>
    <w:rsid w:val="00680B27"/>
    <w:rsid w:val="00681434"/>
    <w:rsid w:val="00682249"/>
    <w:rsid w:val="00682390"/>
    <w:rsid w:val="0068242F"/>
    <w:rsid w:val="00682555"/>
    <w:rsid w:val="0068288A"/>
    <w:rsid w:val="00682956"/>
    <w:rsid w:val="00682C21"/>
    <w:rsid w:val="0068343C"/>
    <w:rsid w:val="0068344D"/>
    <w:rsid w:val="00683520"/>
    <w:rsid w:val="00683E83"/>
    <w:rsid w:val="00684242"/>
    <w:rsid w:val="00684349"/>
    <w:rsid w:val="0068486B"/>
    <w:rsid w:val="00684D35"/>
    <w:rsid w:val="0068566E"/>
    <w:rsid w:val="00685DD1"/>
    <w:rsid w:val="006863E9"/>
    <w:rsid w:val="00686748"/>
    <w:rsid w:val="006867E2"/>
    <w:rsid w:val="00686E47"/>
    <w:rsid w:val="00686E9C"/>
    <w:rsid w:val="00686EA7"/>
    <w:rsid w:val="00687150"/>
    <w:rsid w:val="0068724F"/>
    <w:rsid w:val="006872EA"/>
    <w:rsid w:val="00687769"/>
    <w:rsid w:val="00687ABB"/>
    <w:rsid w:val="006904EC"/>
    <w:rsid w:val="00690658"/>
    <w:rsid w:val="00690854"/>
    <w:rsid w:val="00690A45"/>
    <w:rsid w:val="00690BE7"/>
    <w:rsid w:val="00690D37"/>
    <w:rsid w:val="00690FAE"/>
    <w:rsid w:val="006917E3"/>
    <w:rsid w:val="0069227A"/>
    <w:rsid w:val="00692321"/>
    <w:rsid w:val="00692D56"/>
    <w:rsid w:val="00692E33"/>
    <w:rsid w:val="006930E0"/>
    <w:rsid w:val="006932B0"/>
    <w:rsid w:val="00693335"/>
    <w:rsid w:val="00693A9B"/>
    <w:rsid w:val="00693BEC"/>
    <w:rsid w:val="00693C31"/>
    <w:rsid w:val="00694898"/>
    <w:rsid w:val="00694A93"/>
    <w:rsid w:val="00694D09"/>
    <w:rsid w:val="0069516E"/>
    <w:rsid w:val="00695308"/>
    <w:rsid w:val="00695FBF"/>
    <w:rsid w:val="006960C9"/>
    <w:rsid w:val="00696773"/>
    <w:rsid w:val="00697475"/>
    <w:rsid w:val="00697539"/>
    <w:rsid w:val="006979D4"/>
    <w:rsid w:val="006A0478"/>
    <w:rsid w:val="006A04DD"/>
    <w:rsid w:val="006A091E"/>
    <w:rsid w:val="006A09CC"/>
    <w:rsid w:val="006A0BE1"/>
    <w:rsid w:val="006A0D43"/>
    <w:rsid w:val="006A1055"/>
    <w:rsid w:val="006A1484"/>
    <w:rsid w:val="006A14BD"/>
    <w:rsid w:val="006A1812"/>
    <w:rsid w:val="006A1DEF"/>
    <w:rsid w:val="006A2133"/>
    <w:rsid w:val="006A219D"/>
    <w:rsid w:val="006A2873"/>
    <w:rsid w:val="006A2C4B"/>
    <w:rsid w:val="006A32CC"/>
    <w:rsid w:val="006A35C7"/>
    <w:rsid w:val="006A398E"/>
    <w:rsid w:val="006A40C5"/>
    <w:rsid w:val="006A4128"/>
    <w:rsid w:val="006A4233"/>
    <w:rsid w:val="006A4EF4"/>
    <w:rsid w:val="006A4FA4"/>
    <w:rsid w:val="006A525F"/>
    <w:rsid w:val="006A534C"/>
    <w:rsid w:val="006A53B9"/>
    <w:rsid w:val="006A57FF"/>
    <w:rsid w:val="006A596B"/>
    <w:rsid w:val="006A5A41"/>
    <w:rsid w:val="006A5D36"/>
    <w:rsid w:val="006A5EB0"/>
    <w:rsid w:val="006A66EF"/>
    <w:rsid w:val="006A685D"/>
    <w:rsid w:val="006A69B3"/>
    <w:rsid w:val="006A6A41"/>
    <w:rsid w:val="006A6E71"/>
    <w:rsid w:val="006A7069"/>
    <w:rsid w:val="006A7884"/>
    <w:rsid w:val="006B02BA"/>
    <w:rsid w:val="006B05C5"/>
    <w:rsid w:val="006B091C"/>
    <w:rsid w:val="006B132C"/>
    <w:rsid w:val="006B1833"/>
    <w:rsid w:val="006B1D74"/>
    <w:rsid w:val="006B203E"/>
    <w:rsid w:val="006B23CD"/>
    <w:rsid w:val="006B2DB0"/>
    <w:rsid w:val="006B2EF1"/>
    <w:rsid w:val="006B30B8"/>
    <w:rsid w:val="006B3108"/>
    <w:rsid w:val="006B37E5"/>
    <w:rsid w:val="006B3F06"/>
    <w:rsid w:val="006B453F"/>
    <w:rsid w:val="006B4588"/>
    <w:rsid w:val="006B4924"/>
    <w:rsid w:val="006B4A43"/>
    <w:rsid w:val="006B4A7B"/>
    <w:rsid w:val="006B4F13"/>
    <w:rsid w:val="006B500C"/>
    <w:rsid w:val="006B6950"/>
    <w:rsid w:val="006B7040"/>
    <w:rsid w:val="006B7575"/>
    <w:rsid w:val="006B7C28"/>
    <w:rsid w:val="006B7D19"/>
    <w:rsid w:val="006B7E49"/>
    <w:rsid w:val="006B7EF6"/>
    <w:rsid w:val="006C0043"/>
    <w:rsid w:val="006C03AF"/>
    <w:rsid w:val="006C0647"/>
    <w:rsid w:val="006C0BC6"/>
    <w:rsid w:val="006C0C26"/>
    <w:rsid w:val="006C0C51"/>
    <w:rsid w:val="006C18BA"/>
    <w:rsid w:val="006C1D8E"/>
    <w:rsid w:val="006C2DFB"/>
    <w:rsid w:val="006C310D"/>
    <w:rsid w:val="006C3644"/>
    <w:rsid w:val="006C36D5"/>
    <w:rsid w:val="006C4ABC"/>
    <w:rsid w:val="006C4AF4"/>
    <w:rsid w:val="006C4C82"/>
    <w:rsid w:val="006C520C"/>
    <w:rsid w:val="006C5533"/>
    <w:rsid w:val="006C5974"/>
    <w:rsid w:val="006C66FA"/>
    <w:rsid w:val="006C691E"/>
    <w:rsid w:val="006C6A05"/>
    <w:rsid w:val="006C7249"/>
    <w:rsid w:val="006C730A"/>
    <w:rsid w:val="006D01D8"/>
    <w:rsid w:val="006D063E"/>
    <w:rsid w:val="006D074B"/>
    <w:rsid w:val="006D077B"/>
    <w:rsid w:val="006D0911"/>
    <w:rsid w:val="006D095B"/>
    <w:rsid w:val="006D12AC"/>
    <w:rsid w:val="006D1649"/>
    <w:rsid w:val="006D17E4"/>
    <w:rsid w:val="006D1ED6"/>
    <w:rsid w:val="006D2161"/>
    <w:rsid w:val="006D2BE7"/>
    <w:rsid w:val="006D35A7"/>
    <w:rsid w:val="006D361B"/>
    <w:rsid w:val="006D38D7"/>
    <w:rsid w:val="006D3CEE"/>
    <w:rsid w:val="006D3F2F"/>
    <w:rsid w:val="006D4779"/>
    <w:rsid w:val="006D4A2B"/>
    <w:rsid w:val="006D4F09"/>
    <w:rsid w:val="006D508F"/>
    <w:rsid w:val="006D577D"/>
    <w:rsid w:val="006D5F4F"/>
    <w:rsid w:val="006D69A2"/>
    <w:rsid w:val="006D6CCA"/>
    <w:rsid w:val="006D7176"/>
    <w:rsid w:val="006D7223"/>
    <w:rsid w:val="006D72E1"/>
    <w:rsid w:val="006D7B21"/>
    <w:rsid w:val="006E02C2"/>
    <w:rsid w:val="006E0569"/>
    <w:rsid w:val="006E0787"/>
    <w:rsid w:val="006E1069"/>
    <w:rsid w:val="006E136A"/>
    <w:rsid w:val="006E1673"/>
    <w:rsid w:val="006E18C8"/>
    <w:rsid w:val="006E1945"/>
    <w:rsid w:val="006E2012"/>
    <w:rsid w:val="006E2D83"/>
    <w:rsid w:val="006E311D"/>
    <w:rsid w:val="006E3536"/>
    <w:rsid w:val="006E353E"/>
    <w:rsid w:val="006E3948"/>
    <w:rsid w:val="006E3EF3"/>
    <w:rsid w:val="006E4ABD"/>
    <w:rsid w:val="006E4AD1"/>
    <w:rsid w:val="006E4FB8"/>
    <w:rsid w:val="006E548D"/>
    <w:rsid w:val="006E5622"/>
    <w:rsid w:val="006E62A6"/>
    <w:rsid w:val="006E62C1"/>
    <w:rsid w:val="006E631E"/>
    <w:rsid w:val="006E6EBC"/>
    <w:rsid w:val="006E711A"/>
    <w:rsid w:val="006E711E"/>
    <w:rsid w:val="006E7658"/>
    <w:rsid w:val="006E773B"/>
    <w:rsid w:val="006E7969"/>
    <w:rsid w:val="006E7A70"/>
    <w:rsid w:val="006F02B4"/>
    <w:rsid w:val="006F03A9"/>
    <w:rsid w:val="006F03FC"/>
    <w:rsid w:val="006F0DBB"/>
    <w:rsid w:val="006F0F59"/>
    <w:rsid w:val="006F0FCF"/>
    <w:rsid w:val="006F104E"/>
    <w:rsid w:val="006F1434"/>
    <w:rsid w:val="006F1CBA"/>
    <w:rsid w:val="006F1E05"/>
    <w:rsid w:val="006F1EB9"/>
    <w:rsid w:val="006F222B"/>
    <w:rsid w:val="006F2382"/>
    <w:rsid w:val="006F238C"/>
    <w:rsid w:val="006F27DB"/>
    <w:rsid w:val="006F2830"/>
    <w:rsid w:val="006F3458"/>
    <w:rsid w:val="006F38D2"/>
    <w:rsid w:val="006F3CFF"/>
    <w:rsid w:val="006F41F8"/>
    <w:rsid w:val="006F4227"/>
    <w:rsid w:val="006F4D65"/>
    <w:rsid w:val="006F5214"/>
    <w:rsid w:val="006F5255"/>
    <w:rsid w:val="006F535C"/>
    <w:rsid w:val="006F55A2"/>
    <w:rsid w:val="006F5623"/>
    <w:rsid w:val="006F5A83"/>
    <w:rsid w:val="006F623B"/>
    <w:rsid w:val="006F6576"/>
    <w:rsid w:val="006F6871"/>
    <w:rsid w:val="006F6C00"/>
    <w:rsid w:val="006F6C0F"/>
    <w:rsid w:val="006F70B9"/>
    <w:rsid w:val="006F7507"/>
    <w:rsid w:val="006F7DB9"/>
    <w:rsid w:val="007001A7"/>
    <w:rsid w:val="007009AB"/>
    <w:rsid w:val="00700A0A"/>
    <w:rsid w:val="00700FCA"/>
    <w:rsid w:val="00701100"/>
    <w:rsid w:val="00701E41"/>
    <w:rsid w:val="00701E98"/>
    <w:rsid w:val="007021AE"/>
    <w:rsid w:val="00703914"/>
    <w:rsid w:val="00703C7B"/>
    <w:rsid w:val="00703E6C"/>
    <w:rsid w:val="00704485"/>
    <w:rsid w:val="0070453B"/>
    <w:rsid w:val="00704633"/>
    <w:rsid w:val="00704875"/>
    <w:rsid w:val="007055EB"/>
    <w:rsid w:val="0070573C"/>
    <w:rsid w:val="00706075"/>
    <w:rsid w:val="00706811"/>
    <w:rsid w:val="007069B5"/>
    <w:rsid w:val="007069F1"/>
    <w:rsid w:val="00706D35"/>
    <w:rsid w:val="00706F4F"/>
    <w:rsid w:val="00706FF9"/>
    <w:rsid w:val="007071D0"/>
    <w:rsid w:val="007073F6"/>
    <w:rsid w:val="0070758C"/>
    <w:rsid w:val="00707714"/>
    <w:rsid w:val="00707A40"/>
    <w:rsid w:val="007101D0"/>
    <w:rsid w:val="0071099D"/>
    <w:rsid w:val="00710BFE"/>
    <w:rsid w:val="007115F9"/>
    <w:rsid w:val="007116B4"/>
    <w:rsid w:val="0071176A"/>
    <w:rsid w:val="00711CB7"/>
    <w:rsid w:val="007121BA"/>
    <w:rsid w:val="00712443"/>
    <w:rsid w:val="00712530"/>
    <w:rsid w:val="007126C2"/>
    <w:rsid w:val="0071273D"/>
    <w:rsid w:val="00712E22"/>
    <w:rsid w:val="00713114"/>
    <w:rsid w:val="0071345B"/>
    <w:rsid w:val="007134CD"/>
    <w:rsid w:val="0071383D"/>
    <w:rsid w:val="007139A2"/>
    <w:rsid w:val="00713D2E"/>
    <w:rsid w:val="007143E5"/>
    <w:rsid w:val="00714488"/>
    <w:rsid w:val="00714556"/>
    <w:rsid w:val="0071473F"/>
    <w:rsid w:val="00714E49"/>
    <w:rsid w:val="00714EEA"/>
    <w:rsid w:val="00715011"/>
    <w:rsid w:val="00715204"/>
    <w:rsid w:val="0071549C"/>
    <w:rsid w:val="007158C6"/>
    <w:rsid w:val="00715909"/>
    <w:rsid w:val="00715990"/>
    <w:rsid w:val="00715A40"/>
    <w:rsid w:val="00715E45"/>
    <w:rsid w:val="0071667A"/>
    <w:rsid w:val="00716801"/>
    <w:rsid w:val="00716AB4"/>
    <w:rsid w:val="00716F8E"/>
    <w:rsid w:val="00717008"/>
    <w:rsid w:val="0071772D"/>
    <w:rsid w:val="00717993"/>
    <w:rsid w:val="00717C1D"/>
    <w:rsid w:val="00717C48"/>
    <w:rsid w:val="0072001F"/>
    <w:rsid w:val="007200DC"/>
    <w:rsid w:val="00720507"/>
    <w:rsid w:val="0072073B"/>
    <w:rsid w:val="0072107A"/>
    <w:rsid w:val="0072131D"/>
    <w:rsid w:val="0072153B"/>
    <w:rsid w:val="007215EF"/>
    <w:rsid w:val="0072189A"/>
    <w:rsid w:val="00721E72"/>
    <w:rsid w:val="007222CC"/>
    <w:rsid w:val="00722457"/>
    <w:rsid w:val="0072269E"/>
    <w:rsid w:val="00722818"/>
    <w:rsid w:val="007228E1"/>
    <w:rsid w:val="00722B42"/>
    <w:rsid w:val="00722BAA"/>
    <w:rsid w:val="007231CA"/>
    <w:rsid w:val="00724425"/>
    <w:rsid w:val="0072446E"/>
    <w:rsid w:val="00724513"/>
    <w:rsid w:val="0072490F"/>
    <w:rsid w:val="00724AE5"/>
    <w:rsid w:val="00724D0E"/>
    <w:rsid w:val="00724D49"/>
    <w:rsid w:val="00724F41"/>
    <w:rsid w:val="00725BBA"/>
    <w:rsid w:val="00726649"/>
    <w:rsid w:val="0072683B"/>
    <w:rsid w:val="0072688B"/>
    <w:rsid w:val="007271C9"/>
    <w:rsid w:val="0072762A"/>
    <w:rsid w:val="00727710"/>
    <w:rsid w:val="007277DE"/>
    <w:rsid w:val="007301C9"/>
    <w:rsid w:val="007315A1"/>
    <w:rsid w:val="00731910"/>
    <w:rsid w:val="00731BD4"/>
    <w:rsid w:val="00731D8F"/>
    <w:rsid w:val="00731F0C"/>
    <w:rsid w:val="00732989"/>
    <w:rsid w:val="00732AF6"/>
    <w:rsid w:val="007336EB"/>
    <w:rsid w:val="00733986"/>
    <w:rsid w:val="00733C47"/>
    <w:rsid w:val="00734449"/>
    <w:rsid w:val="00734A01"/>
    <w:rsid w:val="00734A3A"/>
    <w:rsid w:val="00734E3E"/>
    <w:rsid w:val="00735ED5"/>
    <w:rsid w:val="00736510"/>
    <w:rsid w:val="00736990"/>
    <w:rsid w:val="00736D99"/>
    <w:rsid w:val="00736E1C"/>
    <w:rsid w:val="00737330"/>
    <w:rsid w:val="007373F6"/>
    <w:rsid w:val="00737B3B"/>
    <w:rsid w:val="00737C7A"/>
    <w:rsid w:val="00737CBE"/>
    <w:rsid w:val="007402B0"/>
    <w:rsid w:val="007402B9"/>
    <w:rsid w:val="00740696"/>
    <w:rsid w:val="00740967"/>
    <w:rsid w:val="00741054"/>
    <w:rsid w:val="0074159A"/>
    <w:rsid w:val="007415AD"/>
    <w:rsid w:val="007415E5"/>
    <w:rsid w:val="007419F5"/>
    <w:rsid w:val="00741EB7"/>
    <w:rsid w:val="0074214B"/>
    <w:rsid w:val="00742F0D"/>
    <w:rsid w:val="007430C2"/>
    <w:rsid w:val="00743548"/>
    <w:rsid w:val="00743808"/>
    <w:rsid w:val="00743C93"/>
    <w:rsid w:val="00744120"/>
    <w:rsid w:val="0074414B"/>
    <w:rsid w:val="00744340"/>
    <w:rsid w:val="007446F1"/>
    <w:rsid w:val="007447D8"/>
    <w:rsid w:val="0074499A"/>
    <w:rsid w:val="007449B4"/>
    <w:rsid w:val="00745070"/>
    <w:rsid w:val="0074535E"/>
    <w:rsid w:val="0074544E"/>
    <w:rsid w:val="007454B5"/>
    <w:rsid w:val="00745554"/>
    <w:rsid w:val="00745BCD"/>
    <w:rsid w:val="00745C54"/>
    <w:rsid w:val="00745E09"/>
    <w:rsid w:val="00745E48"/>
    <w:rsid w:val="00746143"/>
    <w:rsid w:val="007464C6"/>
    <w:rsid w:val="00746748"/>
    <w:rsid w:val="00746898"/>
    <w:rsid w:val="00746B9E"/>
    <w:rsid w:val="00746D34"/>
    <w:rsid w:val="00746F23"/>
    <w:rsid w:val="00747259"/>
    <w:rsid w:val="00747A14"/>
    <w:rsid w:val="00747B33"/>
    <w:rsid w:val="00747DD4"/>
    <w:rsid w:val="00750309"/>
    <w:rsid w:val="0075030C"/>
    <w:rsid w:val="00750420"/>
    <w:rsid w:val="00750D9A"/>
    <w:rsid w:val="00750E25"/>
    <w:rsid w:val="007511F4"/>
    <w:rsid w:val="007517F2"/>
    <w:rsid w:val="0075187D"/>
    <w:rsid w:val="00751A15"/>
    <w:rsid w:val="00751D02"/>
    <w:rsid w:val="00751E1B"/>
    <w:rsid w:val="00751EAA"/>
    <w:rsid w:val="00752313"/>
    <w:rsid w:val="00752360"/>
    <w:rsid w:val="007529E8"/>
    <w:rsid w:val="00752B04"/>
    <w:rsid w:val="00752BFF"/>
    <w:rsid w:val="00752D3D"/>
    <w:rsid w:val="00752D63"/>
    <w:rsid w:val="007531D3"/>
    <w:rsid w:val="00753635"/>
    <w:rsid w:val="0075386F"/>
    <w:rsid w:val="007538B8"/>
    <w:rsid w:val="00753B6A"/>
    <w:rsid w:val="00753CA1"/>
    <w:rsid w:val="00753CF5"/>
    <w:rsid w:val="00754372"/>
    <w:rsid w:val="007545AA"/>
    <w:rsid w:val="00754B59"/>
    <w:rsid w:val="00755017"/>
    <w:rsid w:val="007550D6"/>
    <w:rsid w:val="00755209"/>
    <w:rsid w:val="00755700"/>
    <w:rsid w:val="0075581A"/>
    <w:rsid w:val="00755C33"/>
    <w:rsid w:val="00756A01"/>
    <w:rsid w:val="007573C9"/>
    <w:rsid w:val="007579BC"/>
    <w:rsid w:val="00757F41"/>
    <w:rsid w:val="00760304"/>
    <w:rsid w:val="0076064A"/>
    <w:rsid w:val="00760A3E"/>
    <w:rsid w:val="00760E1B"/>
    <w:rsid w:val="00760EAC"/>
    <w:rsid w:val="00761D9E"/>
    <w:rsid w:val="007620D0"/>
    <w:rsid w:val="00762181"/>
    <w:rsid w:val="00762A4E"/>
    <w:rsid w:val="00762F69"/>
    <w:rsid w:val="0076382A"/>
    <w:rsid w:val="00764320"/>
    <w:rsid w:val="00764830"/>
    <w:rsid w:val="00764AAB"/>
    <w:rsid w:val="00764FE1"/>
    <w:rsid w:val="00765328"/>
    <w:rsid w:val="007655E1"/>
    <w:rsid w:val="00765719"/>
    <w:rsid w:val="0076579B"/>
    <w:rsid w:val="00765829"/>
    <w:rsid w:val="00765870"/>
    <w:rsid w:val="00765B16"/>
    <w:rsid w:val="00765EDC"/>
    <w:rsid w:val="007660BB"/>
    <w:rsid w:val="00766103"/>
    <w:rsid w:val="007669DE"/>
    <w:rsid w:val="007669FB"/>
    <w:rsid w:val="00766D7C"/>
    <w:rsid w:val="00766D9D"/>
    <w:rsid w:val="00766E1C"/>
    <w:rsid w:val="00767C32"/>
    <w:rsid w:val="00767E21"/>
    <w:rsid w:val="00767EAE"/>
    <w:rsid w:val="0077019F"/>
    <w:rsid w:val="00770DB0"/>
    <w:rsid w:val="00771409"/>
    <w:rsid w:val="007717E5"/>
    <w:rsid w:val="00771A21"/>
    <w:rsid w:val="007729B6"/>
    <w:rsid w:val="00772B40"/>
    <w:rsid w:val="00773072"/>
    <w:rsid w:val="0077322A"/>
    <w:rsid w:val="00773616"/>
    <w:rsid w:val="007739C1"/>
    <w:rsid w:val="00773D34"/>
    <w:rsid w:val="007743B8"/>
    <w:rsid w:val="0077460C"/>
    <w:rsid w:val="00774C9F"/>
    <w:rsid w:val="00774D84"/>
    <w:rsid w:val="00774EAD"/>
    <w:rsid w:val="00774EF4"/>
    <w:rsid w:val="00774F80"/>
    <w:rsid w:val="00775165"/>
    <w:rsid w:val="00775577"/>
    <w:rsid w:val="00775C41"/>
    <w:rsid w:val="00775C86"/>
    <w:rsid w:val="00775F23"/>
    <w:rsid w:val="007762D7"/>
    <w:rsid w:val="007771B0"/>
    <w:rsid w:val="00777222"/>
    <w:rsid w:val="00777996"/>
    <w:rsid w:val="007807A6"/>
    <w:rsid w:val="00780AD5"/>
    <w:rsid w:val="00780C38"/>
    <w:rsid w:val="00781CAC"/>
    <w:rsid w:val="007820C3"/>
    <w:rsid w:val="00782941"/>
    <w:rsid w:val="00782D13"/>
    <w:rsid w:val="00782FB5"/>
    <w:rsid w:val="00783383"/>
    <w:rsid w:val="00783C67"/>
    <w:rsid w:val="00783D0D"/>
    <w:rsid w:val="0078483B"/>
    <w:rsid w:val="0078533C"/>
    <w:rsid w:val="00785B95"/>
    <w:rsid w:val="00786530"/>
    <w:rsid w:val="00786A18"/>
    <w:rsid w:val="00786C1A"/>
    <w:rsid w:val="00786ED4"/>
    <w:rsid w:val="00786FEA"/>
    <w:rsid w:val="0078723C"/>
    <w:rsid w:val="007874FE"/>
    <w:rsid w:val="0078761C"/>
    <w:rsid w:val="00787C01"/>
    <w:rsid w:val="00787CDA"/>
    <w:rsid w:val="00790F56"/>
    <w:rsid w:val="00791368"/>
    <w:rsid w:val="0079151E"/>
    <w:rsid w:val="00791577"/>
    <w:rsid w:val="00791C76"/>
    <w:rsid w:val="007923B6"/>
    <w:rsid w:val="00792417"/>
    <w:rsid w:val="00792D8E"/>
    <w:rsid w:val="00792DCF"/>
    <w:rsid w:val="00792F0C"/>
    <w:rsid w:val="00793212"/>
    <w:rsid w:val="00793281"/>
    <w:rsid w:val="0079357E"/>
    <w:rsid w:val="0079367C"/>
    <w:rsid w:val="0079374E"/>
    <w:rsid w:val="007947C2"/>
    <w:rsid w:val="00794C6A"/>
    <w:rsid w:val="00794E7C"/>
    <w:rsid w:val="007950DF"/>
    <w:rsid w:val="00795B06"/>
    <w:rsid w:val="00795CC8"/>
    <w:rsid w:val="007962D6"/>
    <w:rsid w:val="007964B5"/>
    <w:rsid w:val="00796956"/>
    <w:rsid w:val="00796A3B"/>
    <w:rsid w:val="00796CC2"/>
    <w:rsid w:val="00796FDD"/>
    <w:rsid w:val="007972D5"/>
    <w:rsid w:val="00797729"/>
    <w:rsid w:val="0079772C"/>
    <w:rsid w:val="00797EAF"/>
    <w:rsid w:val="007A0069"/>
    <w:rsid w:val="007A0363"/>
    <w:rsid w:val="007A0D83"/>
    <w:rsid w:val="007A1003"/>
    <w:rsid w:val="007A10C1"/>
    <w:rsid w:val="007A118B"/>
    <w:rsid w:val="007A13F0"/>
    <w:rsid w:val="007A16D0"/>
    <w:rsid w:val="007A1A12"/>
    <w:rsid w:val="007A2570"/>
    <w:rsid w:val="007A2C90"/>
    <w:rsid w:val="007A2CD7"/>
    <w:rsid w:val="007A2E92"/>
    <w:rsid w:val="007A2FDF"/>
    <w:rsid w:val="007A448B"/>
    <w:rsid w:val="007A44D1"/>
    <w:rsid w:val="007A4ACE"/>
    <w:rsid w:val="007A5BF3"/>
    <w:rsid w:val="007A678A"/>
    <w:rsid w:val="007A6838"/>
    <w:rsid w:val="007A70A2"/>
    <w:rsid w:val="007B03F4"/>
    <w:rsid w:val="007B0507"/>
    <w:rsid w:val="007B0E79"/>
    <w:rsid w:val="007B110A"/>
    <w:rsid w:val="007B127A"/>
    <w:rsid w:val="007B1591"/>
    <w:rsid w:val="007B1608"/>
    <w:rsid w:val="007B1C17"/>
    <w:rsid w:val="007B1C3E"/>
    <w:rsid w:val="007B1C72"/>
    <w:rsid w:val="007B1D36"/>
    <w:rsid w:val="007B1DF1"/>
    <w:rsid w:val="007B1EFF"/>
    <w:rsid w:val="007B35E1"/>
    <w:rsid w:val="007B3DF2"/>
    <w:rsid w:val="007B3FF0"/>
    <w:rsid w:val="007B43F3"/>
    <w:rsid w:val="007B45DB"/>
    <w:rsid w:val="007B4A90"/>
    <w:rsid w:val="007B4BAD"/>
    <w:rsid w:val="007B5DB5"/>
    <w:rsid w:val="007B5E37"/>
    <w:rsid w:val="007B624B"/>
    <w:rsid w:val="007B62D2"/>
    <w:rsid w:val="007B6A8E"/>
    <w:rsid w:val="007B6BB1"/>
    <w:rsid w:val="007B71F5"/>
    <w:rsid w:val="007B7243"/>
    <w:rsid w:val="007B752D"/>
    <w:rsid w:val="007B7946"/>
    <w:rsid w:val="007B7B09"/>
    <w:rsid w:val="007B7EAD"/>
    <w:rsid w:val="007C023D"/>
    <w:rsid w:val="007C0624"/>
    <w:rsid w:val="007C0A16"/>
    <w:rsid w:val="007C0C9A"/>
    <w:rsid w:val="007C0CCE"/>
    <w:rsid w:val="007C0CF2"/>
    <w:rsid w:val="007C1A60"/>
    <w:rsid w:val="007C1E44"/>
    <w:rsid w:val="007C2077"/>
    <w:rsid w:val="007C25DE"/>
    <w:rsid w:val="007C2B2E"/>
    <w:rsid w:val="007C2E02"/>
    <w:rsid w:val="007C31A8"/>
    <w:rsid w:val="007C32A7"/>
    <w:rsid w:val="007C3475"/>
    <w:rsid w:val="007C4372"/>
    <w:rsid w:val="007C4915"/>
    <w:rsid w:val="007C4CB2"/>
    <w:rsid w:val="007C53CF"/>
    <w:rsid w:val="007C5C73"/>
    <w:rsid w:val="007C5E39"/>
    <w:rsid w:val="007C5F91"/>
    <w:rsid w:val="007C5F9F"/>
    <w:rsid w:val="007C6FC7"/>
    <w:rsid w:val="007C7042"/>
    <w:rsid w:val="007C70BE"/>
    <w:rsid w:val="007C7265"/>
    <w:rsid w:val="007C7444"/>
    <w:rsid w:val="007C7A4E"/>
    <w:rsid w:val="007C7B65"/>
    <w:rsid w:val="007C7FC3"/>
    <w:rsid w:val="007D020D"/>
    <w:rsid w:val="007D04AB"/>
    <w:rsid w:val="007D06A7"/>
    <w:rsid w:val="007D07DD"/>
    <w:rsid w:val="007D1450"/>
    <w:rsid w:val="007D1472"/>
    <w:rsid w:val="007D1569"/>
    <w:rsid w:val="007D18BA"/>
    <w:rsid w:val="007D1A68"/>
    <w:rsid w:val="007D1A8F"/>
    <w:rsid w:val="007D25EB"/>
    <w:rsid w:val="007D290D"/>
    <w:rsid w:val="007D2C90"/>
    <w:rsid w:val="007D30E8"/>
    <w:rsid w:val="007D33C3"/>
    <w:rsid w:val="007D3B20"/>
    <w:rsid w:val="007D3DB9"/>
    <w:rsid w:val="007D4560"/>
    <w:rsid w:val="007D48D3"/>
    <w:rsid w:val="007D4B52"/>
    <w:rsid w:val="007D56AD"/>
    <w:rsid w:val="007D575F"/>
    <w:rsid w:val="007D5788"/>
    <w:rsid w:val="007D5AFD"/>
    <w:rsid w:val="007D5DFF"/>
    <w:rsid w:val="007D61FB"/>
    <w:rsid w:val="007D62E7"/>
    <w:rsid w:val="007D65C0"/>
    <w:rsid w:val="007D72FA"/>
    <w:rsid w:val="007D7622"/>
    <w:rsid w:val="007D7A92"/>
    <w:rsid w:val="007D7B63"/>
    <w:rsid w:val="007E06CC"/>
    <w:rsid w:val="007E08F4"/>
    <w:rsid w:val="007E1125"/>
    <w:rsid w:val="007E1134"/>
    <w:rsid w:val="007E1150"/>
    <w:rsid w:val="007E1A38"/>
    <w:rsid w:val="007E1B04"/>
    <w:rsid w:val="007E26E0"/>
    <w:rsid w:val="007E2882"/>
    <w:rsid w:val="007E28B5"/>
    <w:rsid w:val="007E36DC"/>
    <w:rsid w:val="007E38EE"/>
    <w:rsid w:val="007E3E69"/>
    <w:rsid w:val="007E4AB3"/>
    <w:rsid w:val="007E508F"/>
    <w:rsid w:val="007E5488"/>
    <w:rsid w:val="007E54DC"/>
    <w:rsid w:val="007E5B29"/>
    <w:rsid w:val="007E6833"/>
    <w:rsid w:val="007E6D18"/>
    <w:rsid w:val="007E724C"/>
    <w:rsid w:val="007F02A8"/>
    <w:rsid w:val="007F0B35"/>
    <w:rsid w:val="007F1ECE"/>
    <w:rsid w:val="007F1FFA"/>
    <w:rsid w:val="007F2182"/>
    <w:rsid w:val="007F2E84"/>
    <w:rsid w:val="007F3180"/>
    <w:rsid w:val="007F3474"/>
    <w:rsid w:val="007F3B46"/>
    <w:rsid w:val="007F424C"/>
    <w:rsid w:val="007F5449"/>
    <w:rsid w:val="007F5D70"/>
    <w:rsid w:val="007F5E0A"/>
    <w:rsid w:val="007F5FA5"/>
    <w:rsid w:val="007F614B"/>
    <w:rsid w:val="007F6F0F"/>
    <w:rsid w:val="007F7108"/>
    <w:rsid w:val="007F73F8"/>
    <w:rsid w:val="007F77AE"/>
    <w:rsid w:val="007F7BA0"/>
    <w:rsid w:val="00800403"/>
    <w:rsid w:val="00800496"/>
    <w:rsid w:val="00800D2B"/>
    <w:rsid w:val="008017BC"/>
    <w:rsid w:val="008018A6"/>
    <w:rsid w:val="00801C54"/>
    <w:rsid w:val="00801C8F"/>
    <w:rsid w:val="00801C9D"/>
    <w:rsid w:val="00801CCF"/>
    <w:rsid w:val="00801DC4"/>
    <w:rsid w:val="00801DE0"/>
    <w:rsid w:val="00801E0A"/>
    <w:rsid w:val="008022C7"/>
    <w:rsid w:val="008026B1"/>
    <w:rsid w:val="00802DA6"/>
    <w:rsid w:val="0080322B"/>
    <w:rsid w:val="008035C3"/>
    <w:rsid w:val="0080377D"/>
    <w:rsid w:val="008039F7"/>
    <w:rsid w:val="00803F26"/>
    <w:rsid w:val="00804911"/>
    <w:rsid w:val="00804B8B"/>
    <w:rsid w:val="00804C09"/>
    <w:rsid w:val="008051CF"/>
    <w:rsid w:val="0080574C"/>
    <w:rsid w:val="00805C07"/>
    <w:rsid w:val="0080679F"/>
    <w:rsid w:val="00806804"/>
    <w:rsid w:val="00806BF3"/>
    <w:rsid w:val="00806F63"/>
    <w:rsid w:val="008072E9"/>
    <w:rsid w:val="00807432"/>
    <w:rsid w:val="0080746A"/>
    <w:rsid w:val="008074E9"/>
    <w:rsid w:val="008077C2"/>
    <w:rsid w:val="00807F06"/>
    <w:rsid w:val="00810020"/>
    <w:rsid w:val="0081035D"/>
    <w:rsid w:val="00810801"/>
    <w:rsid w:val="008108F3"/>
    <w:rsid w:val="00810DBD"/>
    <w:rsid w:val="008110BA"/>
    <w:rsid w:val="00811196"/>
    <w:rsid w:val="0081241C"/>
    <w:rsid w:val="00813206"/>
    <w:rsid w:val="008138C5"/>
    <w:rsid w:val="008138D5"/>
    <w:rsid w:val="00813B31"/>
    <w:rsid w:val="00813B38"/>
    <w:rsid w:val="00813F1D"/>
    <w:rsid w:val="008141D4"/>
    <w:rsid w:val="00814668"/>
    <w:rsid w:val="008147E9"/>
    <w:rsid w:val="008147ED"/>
    <w:rsid w:val="00814D33"/>
    <w:rsid w:val="0081533C"/>
    <w:rsid w:val="00815EDD"/>
    <w:rsid w:val="00816178"/>
    <w:rsid w:val="008161D7"/>
    <w:rsid w:val="00816231"/>
    <w:rsid w:val="008162EF"/>
    <w:rsid w:val="008163EF"/>
    <w:rsid w:val="00816778"/>
    <w:rsid w:val="00817BB5"/>
    <w:rsid w:val="00820110"/>
    <w:rsid w:val="00820601"/>
    <w:rsid w:val="00820661"/>
    <w:rsid w:val="008208FE"/>
    <w:rsid w:val="00820D57"/>
    <w:rsid w:val="008210F5"/>
    <w:rsid w:val="0082161E"/>
    <w:rsid w:val="0082173C"/>
    <w:rsid w:val="00821CC9"/>
    <w:rsid w:val="00821DA0"/>
    <w:rsid w:val="008223A7"/>
    <w:rsid w:val="0082283E"/>
    <w:rsid w:val="00822E8B"/>
    <w:rsid w:val="00823195"/>
    <w:rsid w:val="00823743"/>
    <w:rsid w:val="0082392E"/>
    <w:rsid w:val="00823B3B"/>
    <w:rsid w:val="0082437F"/>
    <w:rsid w:val="008247FE"/>
    <w:rsid w:val="0082489B"/>
    <w:rsid w:val="0082494C"/>
    <w:rsid w:val="00824B29"/>
    <w:rsid w:val="00824D64"/>
    <w:rsid w:val="008250D8"/>
    <w:rsid w:val="0082525C"/>
    <w:rsid w:val="00825468"/>
    <w:rsid w:val="0082552F"/>
    <w:rsid w:val="00825E51"/>
    <w:rsid w:val="00825EE7"/>
    <w:rsid w:val="00825F2E"/>
    <w:rsid w:val="00826537"/>
    <w:rsid w:val="00826630"/>
    <w:rsid w:val="00826A58"/>
    <w:rsid w:val="00826A9A"/>
    <w:rsid w:val="00826E2F"/>
    <w:rsid w:val="00827042"/>
    <w:rsid w:val="00831390"/>
    <w:rsid w:val="0083190E"/>
    <w:rsid w:val="00831A45"/>
    <w:rsid w:val="00831B17"/>
    <w:rsid w:val="00831C61"/>
    <w:rsid w:val="008321DF"/>
    <w:rsid w:val="0083220D"/>
    <w:rsid w:val="00832372"/>
    <w:rsid w:val="00832B15"/>
    <w:rsid w:val="00832B23"/>
    <w:rsid w:val="00832EDA"/>
    <w:rsid w:val="008339C1"/>
    <w:rsid w:val="00833B48"/>
    <w:rsid w:val="008340A0"/>
    <w:rsid w:val="00834933"/>
    <w:rsid w:val="00835229"/>
    <w:rsid w:val="00835BF0"/>
    <w:rsid w:val="00835C31"/>
    <w:rsid w:val="00836165"/>
    <w:rsid w:val="008361E8"/>
    <w:rsid w:val="00836262"/>
    <w:rsid w:val="008363F5"/>
    <w:rsid w:val="0083648F"/>
    <w:rsid w:val="00836DCA"/>
    <w:rsid w:val="00836E3A"/>
    <w:rsid w:val="00837210"/>
    <w:rsid w:val="008378A4"/>
    <w:rsid w:val="00840341"/>
    <w:rsid w:val="00840CAD"/>
    <w:rsid w:val="008410BC"/>
    <w:rsid w:val="0084148B"/>
    <w:rsid w:val="0084162E"/>
    <w:rsid w:val="00841875"/>
    <w:rsid w:val="00841930"/>
    <w:rsid w:val="00841C39"/>
    <w:rsid w:val="00842032"/>
    <w:rsid w:val="00842209"/>
    <w:rsid w:val="0084238D"/>
    <w:rsid w:val="0084250D"/>
    <w:rsid w:val="00842B19"/>
    <w:rsid w:val="0084332D"/>
    <w:rsid w:val="008434DF"/>
    <w:rsid w:val="00843D35"/>
    <w:rsid w:val="008442BC"/>
    <w:rsid w:val="00844764"/>
    <w:rsid w:val="00844A8B"/>
    <w:rsid w:val="00844B8F"/>
    <w:rsid w:val="00844C85"/>
    <w:rsid w:val="00844DE6"/>
    <w:rsid w:val="0084528A"/>
    <w:rsid w:val="008456ED"/>
    <w:rsid w:val="0084590B"/>
    <w:rsid w:val="00845A14"/>
    <w:rsid w:val="00845F25"/>
    <w:rsid w:val="00846C6F"/>
    <w:rsid w:val="0084719B"/>
    <w:rsid w:val="008471EE"/>
    <w:rsid w:val="008472B8"/>
    <w:rsid w:val="0084754F"/>
    <w:rsid w:val="00847C59"/>
    <w:rsid w:val="00847FD8"/>
    <w:rsid w:val="0085006A"/>
    <w:rsid w:val="008501F2"/>
    <w:rsid w:val="00850B3D"/>
    <w:rsid w:val="0085162D"/>
    <w:rsid w:val="00851733"/>
    <w:rsid w:val="00851852"/>
    <w:rsid w:val="00851E9D"/>
    <w:rsid w:val="00851E9E"/>
    <w:rsid w:val="008520A5"/>
    <w:rsid w:val="008529A2"/>
    <w:rsid w:val="00852AA7"/>
    <w:rsid w:val="00852B03"/>
    <w:rsid w:val="008532CE"/>
    <w:rsid w:val="008534F6"/>
    <w:rsid w:val="00853C99"/>
    <w:rsid w:val="00853CE3"/>
    <w:rsid w:val="0085420D"/>
    <w:rsid w:val="0085439B"/>
    <w:rsid w:val="008543B6"/>
    <w:rsid w:val="0085613E"/>
    <w:rsid w:val="0085640E"/>
    <w:rsid w:val="00856697"/>
    <w:rsid w:val="008566D0"/>
    <w:rsid w:val="008567FC"/>
    <w:rsid w:val="00856E49"/>
    <w:rsid w:val="00856EA4"/>
    <w:rsid w:val="00856F09"/>
    <w:rsid w:val="0085724B"/>
    <w:rsid w:val="00857386"/>
    <w:rsid w:val="008573AF"/>
    <w:rsid w:val="008579B4"/>
    <w:rsid w:val="00857A0E"/>
    <w:rsid w:val="00857D11"/>
    <w:rsid w:val="008602C9"/>
    <w:rsid w:val="008609E9"/>
    <w:rsid w:val="008609EE"/>
    <w:rsid w:val="00860AB5"/>
    <w:rsid w:val="00860B30"/>
    <w:rsid w:val="00860EDC"/>
    <w:rsid w:val="00861033"/>
    <w:rsid w:val="008615D0"/>
    <w:rsid w:val="008615D3"/>
    <w:rsid w:val="0086186C"/>
    <w:rsid w:val="00861886"/>
    <w:rsid w:val="00861D7C"/>
    <w:rsid w:val="00862215"/>
    <w:rsid w:val="00862514"/>
    <w:rsid w:val="008626FD"/>
    <w:rsid w:val="00862A91"/>
    <w:rsid w:val="00863143"/>
    <w:rsid w:val="008633F0"/>
    <w:rsid w:val="0086371D"/>
    <w:rsid w:val="00863BFD"/>
    <w:rsid w:val="0086464F"/>
    <w:rsid w:val="00864F42"/>
    <w:rsid w:val="008650CA"/>
    <w:rsid w:val="00865366"/>
    <w:rsid w:val="008655EA"/>
    <w:rsid w:val="008677CC"/>
    <w:rsid w:val="00867AFF"/>
    <w:rsid w:val="00870626"/>
    <w:rsid w:val="00870AC8"/>
    <w:rsid w:val="00870F96"/>
    <w:rsid w:val="00870FDF"/>
    <w:rsid w:val="008711CF"/>
    <w:rsid w:val="00871923"/>
    <w:rsid w:val="00871A6C"/>
    <w:rsid w:val="00872203"/>
    <w:rsid w:val="00872816"/>
    <w:rsid w:val="00872A6F"/>
    <w:rsid w:val="008732A6"/>
    <w:rsid w:val="0087380B"/>
    <w:rsid w:val="00873A0E"/>
    <w:rsid w:val="00874164"/>
    <w:rsid w:val="00874F44"/>
    <w:rsid w:val="008752B1"/>
    <w:rsid w:val="00875422"/>
    <w:rsid w:val="0087598E"/>
    <w:rsid w:val="00875B60"/>
    <w:rsid w:val="00875CCB"/>
    <w:rsid w:val="00875E61"/>
    <w:rsid w:val="00875ED7"/>
    <w:rsid w:val="00876B48"/>
    <w:rsid w:val="00877046"/>
    <w:rsid w:val="008770D6"/>
    <w:rsid w:val="008778A5"/>
    <w:rsid w:val="00877BDD"/>
    <w:rsid w:val="00877F9B"/>
    <w:rsid w:val="0088019C"/>
    <w:rsid w:val="0088169B"/>
    <w:rsid w:val="008818F1"/>
    <w:rsid w:val="00881AAE"/>
    <w:rsid w:val="00881B71"/>
    <w:rsid w:val="00881B72"/>
    <w:rsid w:val="00881E7E"/>
    <w:rsid w:val="00882111"/>
    <w:rsid w:val="008823FF"/>
    <w:rsid w:val="008824D0"/>
    <w:rsid w:val="00882553"/>
    <w:rsid w:val="008826A2"/>
    <w:rsid w:val="008828ED"/>
    <w:rsid w:val="00883098"/>
    <w:rsid w:val="008833F3"/>
    <w:rsid w:val="008836D6"/>
    <w:rsid w:val="008839BF"/>
    <w:rsid w:val="0088417D"/>
    <w:rsid w:val="00884239"/>
    <w:rsid w:val="008844D5"/>
    <w:rsid w:val="00884602"/>
    <w:rsid w:val="00884732"/>
    <w:rsid w:val="00885EED"/>
    <w:rsid w:val="0088604D"/>
    <w:rsid w:val="0088638D"/>
    <w:rsid w:val="0088645C"/>
    <w:rsid w:val="00886886"/>
    <w:rsid w:val="00886BDB"/>
    <w:rsid w:val="00886EBD"/>
    <w:rsid w:val="008874F2"/>
    <w:rsid w:val="008879B4"/>
    <w:rsid w:val="00887A8B"/>
    <w:rsid w:val="00887D18"/>
    <w:rsid w:val="00887DF9"/>
    <w:rsid w:val="00887FC8"/>
    <w:rsid w:val="00887FFE"/>
    <w:rsid w:val="00890154"/>
    <w:rsid w:val="00890424"/>
    <w:rsid w:val="008904A3"/>
    <w:rsid w:val="008909EF"/>
    <w:rsid w:val="00890A9C"/>
    <w:rsid w:val="00890C03"/>
    <w:rsid w:val="008911E5"/>
    <w:rsid w:val="008915F8"/>
    <w:rsid w:val="00891AAD"/>
    <w:rsid w:val="00891B3A"/>
    <w:rsid w:val="00891F20"/>
    <w:rsid w:val="00892381"/>
    <w:rsid w:val="00892860"/>
    <w:rsid w:val="008929C1"/>
    <w:rsid w:val="00892ADD"/>
    <w:rsid w:val="00892D4C"/>
    <w:rsid w:val="00892D85"/>
    <w:rsid w:val="008932D2"/>
    <w:rsid w:val="008938B4"/>
    <w:rsid w:val="00893AC9"/>
    <w:rsid w:val="00893BF9"/>
    <w:rsid w:val="0089494F"/>
    <w:rsid w:val="0089552E"/>
    <w:rsid w:val="008960BA"/>
    <w:rsid w:val="00896415"/>
    <w:rsid w:val="0089697A"/>
    <w:rsid w:val="00896E1C"/>
    <w:rsid w:val="00897056"/>
    <w:rsid w:val="00897462"/>
    <w:rsid w:val="0089748E"/>
    <w:rsid w:val="00897793"/>
    <w:rsid w:val="0089784D"/>
    <w:rsid w:val="00897C84"/>
    <w:rsid w:val="008A06BC"/>
    <w:rsid w:val="008A085A"/>
    <w:rsid w:val="008A0AFE"/>
    <w:rsid w:val="008A0BA2"/>
    <w:rsid w:val="008A133F"/>
    <w:rsid w:val="008A147A"/>
    <w:rsid w:val="008A1632"/>
    <w:rsid w:val="008A1706"/>
    <w:rsid w:val="008A171A"/>
    <w:rsid w:val="008A2DA8"/>
    <w:rsid w:val="008A3268"/>
    <w:rsid w:val="008A329D"/>
    <w:rsid w:val="008A4337"/>
    <w:rsid w:val="008A4551"/>
    <w:rsid w:val="008A5238"/>
    <w:rsid w:val="008A54F5"/>
    <w:rsid w:val="008A5ACA"/>
    <w:rsid w:val="008A5B8F"/>
    <w:rsid w:val="008A6134"/>
    <w:rsid w:val="008A6275"/>
    <w:rsid w:val="008A6839"/>
    <w:rsid w:val="008A6B65"/>
    <w:rsid w:val="008A6F83"/>
    <w:rsid w:val="008A7027"/>
    <w:rsid w:val="008A721B"/>
    <w:rsid w:val="008A73BC"/>
    <w:rsid w:val="008A779B"/>
    <w:rsid w:val="008A7C9D"/>
    <w:rsid w:val="008A7E2A"/>
    <w:rsid w:val="008B0531"/>
    <w:rsid w:val="008B05C3"/>
    <w:rsid w:val="008B087E"/>
    <w:rsid w:val="008B0B57"/>
    <w:rsid w:val="008B1227"/>
    <w:rsid w:val="008B19E2"/>
    <w:rsid w:val="008B2205"/>
    <w:rsid w:val="008B28EB"/>
    <w:rsid w:val="008B2D15"/>
    <w:rsid w:val="008B2EE7"/>
    <w:rsid w:val="008B2F75"/>
    <w:rsid w:val="008B2FB4"/>
    <w:rsid w:val="008B3327"/>
    <w:rsid w:val="008B34EC"/>
    <w:rsid w:val="008B3648"/>
    <w:rsid w:val="008B3761"/>
    <w:rsid w:val="008B3817"/>
    <w:rsid w:val="008B3D98"/>
    <w:rsid w:val="008B410A"/>
    <w:rsid w:val="008B418B"/>
    <w:rsid w:val="008B43CC"/>
    <w:rsid w:val="008B4459"/>
    <w:rsid w:val="008B4536"/>
    <w:rsid w:val="008B4965"/>
    <w:rsid w:val="008B498D"/>
    <w:rsid w:val="008B4C65"/>
    <w:rsid w:val="008B4D32"/>
    <w:rsid w:val="008B4FA4"/>
    <w:rsid w:val="008B4FE4"/>
    <w:rsid w:val="008B5528"/>
    <w:rsid w:val="008B56DF"/>
    <w:rsid w:val="008B5718"/>
    <w:rsid w:val="008B5A1E"/>
    <w:rsid w:val="008B5E12"/>
    <w:rsid w:val="008B6CB4"/>
    <w:rsid w:val="008B706B"/>
    <w:rsid w:val="008B777A"/>
    <w:rsid w:val="008B78B1"/>
    <w:rsid w:val="008B7932"/>
    <w:rsid w:val="008B7962"/>
    <w:rsid w:val="008C068C"/>
    <w:rsid w:val="008C0C5C"/>
    <w:rsid w:val="008C0E08"/>
    <w:rsid w:val="008C1227"/>
    <w:rsid w:val="008C19EE"/>
    <w:rsid w:val="008C1CCF"/>
    <w:rsid w:val="008C1D33"/>
    <w:rsid w:val="008C20B6"/>
    <w:rsid w:val="008C2A3E"/>
    <w:rsid w:val="008C2B36"/>
    <w:rsid w:val="008C2C8C"/>
    <w:rsid w:val="008C2CF3"/>
    <w:rsid w:val="008C2F30"/>
    <w:rsid w:val="008C2F7D"/>
    <w:rsid w:val="008C381E"/>
    <w:rsid w:val="008C4631"/>
    <w:rsid w:val="008C4A6E"/>
    <w:rsid w:val="008C4EBB"/>
    <w:rsid w:val="008C57C8"/>
    <w:rsid w:val="008C5E50"/>
    <w:rsid w:val="008C5F20"/>
    <w:rsid w:val="008C6A30"/>
    <w:rsid w:val="008C7277"/>
    <w:rsid w:val="008C7393"/>
    <w:rsid w:val="008C73CB"/>
    <w:rsid w:val="008C7585"/>
    <w:rsid w:val="008C7D3C"/>
    <w:rsid w:val="008D0B45"/>
    <w:rsid w:val="008D0D5B"/>
    <w:rsid w:val="008D1591"/>
    <w:rsid w:val="008D1963"/>
    <w:rsid w:val="008D19FD"/>
    <w:rsid w:val="008D1ABD"/>
    <w:rsid w:val="008D26E9"/>
    <w:rsid w:val="008D286C"/>
    <w:rsid w:val="008D30B0"/>
    <w:rsid w:val="008D3594"/>
    <w:rsid w:val="008D3615"/>
    <w:rsid w:val="008D365E"/>
    <w:rsid w:val="008D3A0D"/>
    <w:rsid w:val="008D420D"/>
    <w:rsid w:val="008D422D"/>
    <w:rsid w:val="008D528D"/>
    <w:rsid w:val="008D53CC"/>
    <w:rsid w:val="008D5840"/>
    <w:rsid w:val="008D5B07"/>
    <w:rsid w:val="008D5B82"/>
    <w:rsid w:val="008D5F9A"/>
    <w:rsid w:val="008D62A9"/>
    <w:rsid w:val="008D63A4"/>
    <w:rsid w:val="008D708A"/>
    <w:rsid w:val="008D7C93"/>
    <w:rsid w:val="008E05A3"/>
    <w:rsid w:val="008E087A"/>
    <w:rsid w:val="008E091D"/>
    <w:rsid w:val="008E0D6C"/>
    <w:rsid w:val="008E129F"/>
    <w:rsid w:val="008E147B"/>
    <w:rsid w:val="008E1537"/>
    <w:rsid w:val="008E1FA4"/>
    <w:rsid w:val="008E2161"/>
    <w:rsid w:val="008E2287"/>
    <w:rsid w:val="008E25D6"/>
    <w:rsid w:val="008E2783"/>
    <w:rsid w:val="008E27D4"/>
    <w:rsid w:val="008E2A2D"/>
    <w:rsid w:val="008E3BFE"/>
    <w:rsid w:val="008E4018"/>
    <w:rsid w:val="008E4024"/>
    <w:rsid w:val="008E43F9"/>
    <w:rsid w:val="008E4A58"/>
    <w:rsid w:val="008E4AB2"/>
    <w:rsid w:val="008E4BF9"/>
    <w:rsid w:val="008E4D15"/>
    <w:rsid w:val="008E594B"/>
    <w:rsid w:val="008E5CE4"/>
    <w:rsid w:val="008E5E99"/>
    <w:rsid w:val="008E5EBA"/>
    <w:rsid w:val="008E6670"/>
    <w:rsid w:val="008E6738"/>
    <w:rsid w:val="008E6994"/>
    <w:rsid w:val="008E6ADE"/>
    <w:rsid w:val="008E6B75"/>
    <w:rsid w:val="008E6E80"/>
    <w:rsid w:val="008E6F2E"/>
    <w:rsid w:val="008E7296"/>
    <w:rsid w:val="008E73C8"/>
    <w:rsid w:val="008E7782"/>
    <w:rsid w:val="008E79FD"/>
    <w:rsid w:val="008E7BD4"/>
    <w:rsid w:val="008E7E9D"/>
    <w:rsid w:val="008E7F6F"/>
    <w:rsid w:val="008F0729"/>
    <w:rsid w:val="008F0A95"/>
    <w:rsid w:val="008F0DF0"/>
    <w:rsid w:val="008F11F4"/>
    <w:rsid w:val="008F137D"/>
    <w:rsid w:val="008F16A1"/>
    <w:rsid w:val="008F1ECF"/>
    <w:rsid w:val="008F2704"/>
    <w:rsid w:val="008F272C"/>
    <w:rsid w:val="008F2E48"/>
    <w:rsid w:val="008F30C2"/>
    <w:rsid w:val="008F43E7"/>
    <w:rsid w:val="008F43F9"/>
    <w:rsid w:val="008F4D56"/>
    <w:rsid w:val="008F5158"/>
    <w:rsid w:val="008F567D"/>
    <w:rsid w:val="008F5DDC"/>
    <w:rsid w:val="008F6168"/>
    <w:rsid w:val="008F61C1"/>
    <w:rsid w:val="008F632D"/>
    <w:rsid w:val="008F6F1A"/>
    <w:rsid w:val="008F75E7"/>
    <w:rsid w:val="008F7897"/>
    <w:rsid w:val="009005D9"/>
    <w:rsid w:val="009007C5"/>
    <w:rsid w:val="00900B67"/>
    <w:rsid w:val="00900D65"/>
    <w:rsid w:val="00900F90"/>
    <w:rsid w:val="0090137A"/>
    <w:rsid w:val="00901A31"/>
    <w:rsid w:val="00902962"/>
    <w:rsid w:val="00902F2B"/>
    <w:rsid w:val="00902F3C"/>
    <w:rsid w:val="00903291"/>
    <w:rsid w:val="00903370"/>
    <w:rsid w:val="009041AB"/>
    <w:rsid w:val="00904362"/>
    <w:rsid w:val="0090515E"/>
    <w:rsid w:val="009051F8"/>
    <w:rsid w:val="009057EF"/>
    <w:rsid w:val="00905AF7"/>
    <w:rsid w:val="00905CE6"/>
    <w:rsid w:val="00905D3D"/>
    <w:rsid w:val="0090639C"/>
    <w:rsid w:val="00906570"/>
    <w:rsid w:val="009068ED"/>
    <w:rsid w:val="00906CAE"/>
    <w:rsid w:val="00906D63"/>
    <w:rsid w:val="00906F81"/>
    <w:rsid w:val="00907959"/>
    <w:rsid w:val="00907A7D"/>
    <w:rsid w:val="009102EB"/>
    <w:rsid w:val="0091043D"/>
    <w:rsid w:val="00910A53"/>
    <w:rsid w:val="00910FA5"/>
    <w:rsid w:val="00911055"/>
    <w:rsid w:val="009111DB"/>
    <w:rsid w:val="009114F5"/>
    <w:rsid w:val="009116A0"/>
    <w:rsid w:val="009126D4"/>
    <w:rsid w:val="00912731"/>
    <w:rsid w:val="00912A72"/>
    <w:rsid w:val="009131B7"/>
    <w:rsid w:val="0091349A"/>
    <w:rsid w:val="0091386F"/>
    <w:rsid w:val="00913CBC"/>
    <w:rsid w:val="00913DAA"/>
    <w:rsid w:val="00913E7D"/>
    <w:rsid w:val="00914399"/>
    <w:rsid w:val="00914773"/>
    <w:rsid w:val="0091530C"/>
    <w:rsid w:val="009158BF"/>
    <w:rsid w:val="009159EF"/>
    <w:rsid w:val="00915AE5"/>
    <w:rsid w:val="0091607C"/>
    <w:rsid w:val="0091629A"/>
    <w:rsid w:val="00916679"/>
    <w:rsid w:val="00916839"/>
    <w:rsid w:val="0091689B"/>
    <w:rsid w:val="009168D3"/>
    <w:rsid w:val="00917046"/>
    <w:rsid w:val="00917108"/>
    <w:rsid w:val="00917413"/>
    <w:rsid w:val="0091748A"/>
    <w:rsid w:val="009206EF"/>
    <w:rsid w:val="00920A36"/>
    <w:rsid w:val="00920E23"/>
    <w:rsid w:val="00921226"/>
    <w:rsid w:val="009213DC"/>
    <w:rsid w:val="00922540"/>
    <w:rsid w:val="00922628"/>
    <w:rsid w:val="00922710"/>
    <w:rsid w:val="00922D14"/>
    <w:rsid w:val="00922F98"/>
    <w:rsid w:val="00923A3B"/>
    <w:rsid w:val="00923AFC"/>
    <w:rsid w:val="00923CED"/>
    <w:rsid w:val="00923EC1"/>
    <w:rsid w:val="009243C3"/>
    <w:rsid w:val="00924BCE"/>
    <w:rsid w:val="009250B2"/>
    <w:rsid w:val="009254D3"/>
    <w:rsid w:val="00925AEC"/>
    <w:rsid w:val="00925AFB"/>
    <w:rsid w:val="00925B26"/>
    <w:rsid w:val="00925BAF"/>
    <w:rsid w:val="00926E1A"/>
    <w:rsid w:val="0092715A"/>
    <w:rsid w:val="009272CD"/>
    <w:rsid w:val="00927328"/>
    <w:rsid w:val="0092747D"/>
    <w:rsid w:val="0092767F"/>
    <w:rsid w:val="00927A2A"/>
    <w:rsid w:val="00927BED"/>
    <w:rsid w:val="00930289"/>
    <w:rsid w:val="009316F1"/>
    <w:rsid w:val="009327AC"/>
    <w:rsid w:val="00932AFA"/>
    <w:rsid w:val="0093355F"/>
    <w:rsid w:val="0093390B"/>
    <w:rsid w:val="00933CDB"/>
    <w:rsid w:val="00933E08"/>
    <w:rsid w:val="009342FC"/>
    <w:rsid w:val="00934836"/>
    <w:rsid w:val="0093494F"/>
    <w:rsid w:val="00934D29"/>
    <w:rsid w:val="009351BC"/>
    <w:rsid w:val="009351ED"/>
    <w:rsid w:val="00935587"/>
    <w:rsid w:val="00935994"/>
    <w:rsid w:val="009359B3"/>
    <w:rsid w:val="009359D4"/>
    <w:rsid w:val="00935FFF"/>
    <w:rsid w:val="00936068"/>
    <w:rsid w:val="00936559"/>
    <w:rsid w:val="0093681D"/>
    <w:rsid w:val="009369FC"/>
    <w:rsid w:val="00936D7B"/>
    <w:rsid w:val="0093763A"/>
    <w:rsid w:val="00937A0D"/>
    <w:rsid w:val="009404A1"/>
    <w:rsid w:val="009405C2"/>
    <w:rsid w:val="009405C3"/>
    <w:rsid w:val="0094072B"/>
    <w:rsid w:val="00940B9E"/>
    <w:rsid w:val="00940D04"/>
    <w:rsid w:val="009416FF"/>
    <w:rsid w:val="0094193F"/>
    <w:rsid w:val="00941D4E"/>
    <w:rsid w:val="00941D7F"/>
    <w:rsid w:val="00941DF1"/>
    <w:rsid w:val="00941EB8"/>
    <w:rsid w:val="0094214C"/>
    <w:rsid w:val="00942607"/>
    <w:rsid w:val="009426AD"/>
    <w:rsid w:val="00942786"/>
    <w:rsid w:val="009428F9"/>
    <w:rsid w:val="00942933"/>
    <w:rsid w:val="00942DEA"/>
    <w:rsid w:val="00942E2C"/>
    <w:rsid w:val="009435E3"/>
    <w:rsid w:val="00943622"/>
    <w:rsid w:val="009436E2"/>
    <w:rsid w:val="00943806"/>
    <w:rsid w:val="00943C76"/>
    <w:rsid w:val="0094409E"/>
    <w:rsid w:val="0094419E"/>
    <w:rsid w:val="009449FC"/>
    <w:rsid w:val="00944BC5"/>
    <w:rsid w:val="00944C67"/>
    <w:rsid w:val="00944E45"/>
    <w:rsid w:val="009450D1"/>
    <w:rsid w:val="00945B8D"/>
    <w:rsid w:val="009462AD"/>
    <w:rsid w:val="00946351"/>
    <w:rsid w:val="009466B7"/>
    <w:rsid w:val="009468AE"/>
    <w:rsid w:val="0094699A"/>
    <w:rsid w:val="009471A5"/>
    <w:rsid w:val="0094735A"/>
    <w:rsid w:val="009475A5"/>
    <w:rsid w:val="0095011D"/>
    <w:rsid w:val="00950CD8"/>
    <w:rsid w:val="00951134"/>
    <w:rsid w:val="009513CD"/>
    <w:rsid w:val="009517CC"/>
    <w:rsid w:val="00951A69"/>
    <w:rsid w:val="00951E5F"/>
    <w:rsid w:val="00951ED3"/>
    <w:rsid w:val="00952035"/>
    <w:rsid w:val="00952153"/>
    <w:rsid w:val="009523E6"/>
    <w:rsid w:val="0095272A"/>
    <w:rsid w:val="00952A98"/>
    <w:rsid w:val="00953A7A"/>
    <w:rsid w:val="00954149"/>
    <w:rsid w:val="00954536"/>
    <w:rsid w:val="00954735"/>
    <w:rsid w:val="00954812"/>
    <w:rsid w:val="00955555"/>
    <w:rsid w:val="009558A7"/>
    <w:rsid w:val="00956276"/>
    <w:rsid w:val="00956BE2"/>
    <w:rsid w:val="00956C98"/>
    <w:rsid w:val="0095701A"/>
    <w:rsid w:val="0095726B"/>
    <w:rsid w:val="00957822"/>
    <w:rsid w:val="009579E1"/>
    <w:rsid w:val="00957CC9"/>
    <w:rsid w:val="0096006E"/>
    <w:rsid w:val="009601C4"/>
    <w:rsid w:val="009604E6"/>
    <w:rsid w:val="00960671"/>
    <w:rsid w:val="009606DE"/>
    <w:rsid w:val="00960E36"/>
    <w:rsid w:val="00960EE1"/>
    <w:rsid w:val="00960F28"/>
    <w:rsid w:val="00960FC0"/>
    <w:rsid w:val="00961106"/>
    <w:rsid w:val="009615A4"/>
    <w:rsid w:val="009615D4"/>
    <w:rsid w:val="00961B54"/>
    <w:rsid w:val="00962010"/>
    <w:rsid w:val="009624BC"/>
    <w:rsid w:val="00962905"/>
    <w:rsid w:val="00962988"/>
    <w:rsid w:val="00962CBD"/>
    <w:rsid w:val="009632DF"/>
    <w:rsid w:val="00963347"/>
    <w:rsid w:val="0096360D"/>
    <w:rsid w:val="009639D4"/>
    <w:rsid w:val="00963C36"/>
    <w:rsid w:val="00963E99"/>
    <w:rsid w:val="0096521E"/>
    <w:rsid w:val="00965860"/>
    <w:rsid w:val="00965870"/>
    <w:rsid w:val="009658E7"/>
    <w:rsid w:val="00965B07"/>
    <w:rsid w:val="00965C5D"/>
    <w:rsid w:val="00966087"/>
    <w:rsid w:val="009660E5"/>
    <w:rsid w:val="00966880"/>
    <w:rsid w:val="00966969"/>
    <w:rsid w:val="00966BE3"/>
    <w:rsid w:val="00966C8D"/>
    <w:rsid w:val="00966F74"/>
    <w:rsid w:val="009671CC"/>
    <w:rsid w:val="00970A20"/>
    <w:rsid w:val="00970EF1"/>
    <w:rsid w:val="0097133C"/>
    <w:rsid w:val="0097163D"/>
    <w:rsid w:val="0097188A"/>
    <w:rsid w:val="009721F8"/>
    <w:rsid w:val="009725C9"/>
    <w:rsid w:val="00972B99"/>
    <w:rsid w:val="00973848"/>
    <w:rsid w:val="00973AD6"/>
    <w:rsid w:val="009741E3"/>
    <w:rsid w:val="00974677"/>
    <w:rsid w:val="00974AFF"/>
    <w:rsid w:val="00975D5B"/>
    <w:rsid w:val="00975EEA"/>
    <w:rsid w:val="00976023"/>
    <w:rsid w:val="009767E7"/>
    <w:rsid w:val="00976B60"/>
    <w:rsid w:val="00976C6B"/>
    <w:rsid w:val="009772A2"/>
    <w:rsid w:val="009779FF"/>
    <w:rsid w:val="00980461"/>
    <w:rsid w:val="0098070E"/>
    <w:rsid w:val="00980AB5"/>
    <w:rsid w:val="00980C6F"/>
    <w:rsid w:val="00980CBE"/>
    <w:rsid w:val="00980CED"/>
    <w:rsid w:val="00980FEE"/>
    <w:rsid w:val="00981C94"/>
    <w:rsid w:val="0098233E"/>
    <w:rsid w:val="009823B6"/>
    <w:rsid w:val="0098268D"/>
    <w:rsid w:val="009827C6"/>
    <w:rsid w:val="00982861"/>
    <w:rsid w:val="00982C73"/>
    <w:rsid w:val="00982E60"/>
    <w:rsid w:val="0098354F"/>
    <w:rsid w:val="0098395F"/>
    <w:rsid w:val="00983CA5"/>
    <w:rsid w:val="00983F70"/>
    <w:rsid w:val="009842E1"/>
    <w:rsid w:val="00984410"/>
    <w:rsid w:val="00984A2D"/>
    <w:rsid w:val="00984C53"/>
    <w:rsid w:val="00984CAC"/>
    <w:rsid w:val="00985908"/>
    <w:rsid w:val="00985BFD"/>
    <w:rsid w:val="00985D53"/>
    <w:rsid w:val="00985FD4"/>
    <w:rsid w:val="00986303"/>
    <w:rsid w:val="009864AF"/>
    <w:rsid w:val="009867D5"/>
    <w:rsid w:val="00987506"/>
    <w:rsid w:val="0098782D"/>
    <w:rsid w:val="00987C4F"/>
    <w:rsid w:val="00990074"/>
    <w:rsid w:val="009901F4"/>
    <w:rsid w:val="00990F8B"/>
    <w:rsid w:val="00991314"/>
    <w:rsid w:val="0099153A"/>
    <w:rsid w:val="00991AD8"/>
    <w:rsid w:val="00991E43"/>
    <w:rsid w:val="00992803"/>
    <w:rsid w:val="00992931"/>
    <w:rsid w:val="00992E48"/>
    <w:rsid w:val="00992F99"/>
    <w:rsid w:val="00993186"/>
    <w:rsid w:val="0099318B"/>
    <w:rsid w:val="009931E7"/>
    <w:rsid w:val="009936B5"/>
    <w:rsid w:val="0099371D"/>
    <w:rsid w:val="00993C8C"/>
    <w:rsid w:val="0099427B"/>
    <w:rsid w:val="00994909"/>
    <w:rsid w:val="00994DDD"/>
    <w:rsid w:val="0099532A"/>
    <w:rsid w:val="00995B44"/>
    <w:rsid w:val="00995E60"/>
    <w:rsid w:val="00996014"/>
    <w:rsid w:val="00996370"/>
    <w:rsid w:val="0099699D"/>
    <w:rsid w:val="009969C3"/>
    <w:rsid w:val="009971EF"/>
    <w:rsid w:val="00997354"/>
    <w:rsid w:val="00997607"/>
    <w:rsid w:val="00997827"/>
    <w:rsid w:val="009A0499"/>
    <w:rsid w:val="009A10C2"/>
    <w:rsid w:val="009A11C1"/>
    <w:rsid w:val="009A185A"/>
    <w:rsid w:val="009A18B1"/>
    <w:rsid w:val="009A1E7B"/>
    <w:rsid w:val="009A1EA7"/>
    <w:rsid w:val="009A23D4"/>
    <w:rsid w:val="009A248F"/>
    <w:rsid w:val="009A268C"/>
    <w:rsid w:val="009A28A1"/>
    <w:rsid w:val="009A2F17"/>
    <w:rsid w:val="009A307D"/>
    <w:rsid w:val="009A30E2"/>
    <w:rsid w:val="009A3467"/>
    <w:rsid w:val="009A359E"/>
    <w:rsid w:val="009A38CF"/>
    <w:rsid w:val="009A39D4"/>
    <w:rsid w:val="009A3C2B"/>
    <w:rsid w:val="009A3DCA"/>
    <w:rsid w:val="009A3EF1"/>
    <w:rsid w:val="009A4118"/>
    <w:rsid w:val="009A4197"/>
    <w:rsid w:val="009A4ACB"/>
    <w:rsid w:val="009A4D50"/>
    <w:rsid w:val="009A4FBD"/>
    <w:rsid w:val="009A5567"/>
    <w:rsid w:val="009A5666"/>
    <w:rsid w:val="009A5969"/>
    <w:rsid w:val="009A5C38"/>
    <w:rsid w:val="009A5CFC"/>
    <w:rsid w:val="009A5E95"/>
    <w:rsid w:val="009A5F88"/>
    <w:rsid w:val="009A66E9"/>
    <w:rsid w:val="009A6D22"/>
    <w:rsid w:val="009A7522"/>
    <w:rsid w:val="009B0A85"/>
    <w:rsid w:val="009B0E9C"/>
    <w:rsid w:val="009B11D6"/>
    <w:rsid w:val="009B1705"/>
    <w:rsid w:val="009B18C9"/>
    <w:rsid w:val="009B25CA"/>
    <w:rsid w:val="009B2794"/>
    <w:rsid w:val="009B32C4"/>
    <w:rsid w:val="009B3BD1"/>
    <w:rsid w:val="009B435B"/>
    <w:rsid w:val="009B4E4C"/>
    <w:rsid w:val="009B4EF4"/>
    <w:rsid w:val="009B5571"/>
    <w:rsid w:val="009B5B47"/>
    <w:rsid w:val="009B5DEF"/>
    <w:rsid w:val="009B6057"/>
    <w:rsid w:val="009B60AD"/>
    <w:rsid w:val="009B60E1"/>
    <w:rsid w:val="009B65A1"/>
    <w:rsid w:val="009B68CE"/>
    <w:rsid w:val="009B69BB"/>
    <w:rsid w:val="009B77B4"/>
    <w:rsid w:val="009B7E79"/>
    <w:rsid w:val="009C03C4"/>
    <w:rsid w:val="009C04CE"/>
    <w:rsid w:val="009C06E6"/>
    <w:rsid w:val="009C0BC0"/>
    <w:rsid w:val="009C166B"/>
    <w:rsid w:val="009C1A66"/>
    <w:rsid w:val="009C1B78"/>
    <w:rsid w:val="009C1DA6"/>
    <w:rsid w:val="009C246F"/>
    <w:rsid w:val="009C2908"/>
    <w:rsid w:val="009C2CBA"/>
    <w:rsid w:val="009C2EBB"/>
    <w:rsid w:val="009C329B"/>
    <w:rsid w:val="009C386A"/>
    <w:rsid w:val="009C3DA8"/>
    <w:rsid w:val="009C3F21"/>
    <w:rsid w:val="009C488D"/>
    <w:rsid w:val="009C4D8F"/>
    <w:rsid w:val="009C55B8"/>
    <w:rsid w:val="009C5906"/>
    <w:rsid w:val="009C6075"/>
    <w:rsid w:val="009C654D"/>
    <w:rsid w:val="009C6588"/>
    <w:rsid w:val="009C6677"/>
    <w:rsid w:val="009C6804"/>
    <w:rsid w:val="009C695D"/>
    <w:rsid w:val="009C6FE1"/>
    <w:rsid w:val="009C708B"/>
    <w:rsid w:val="009C7B45"/>
    <w:rsid w:val="009D0A85"/>
    <w:rsid w:val="009D0D76"/>
    <w:rsid w:val="009D0FD1"/>
    <w:rsid w:val="009D12F2"/>
    <w:rsid w:val="009D182A"/>
    <w:rsid w:val="009D1B97"/>
    <w:rsid w:val="009D1EEE"/>
    <w:rsid w:val="009D208A"/>
    <w:rsid w:val="009D24F5"/>
    <w:rsid w:val="009D277F"/>
    <w:rsid w:val="009D329A"/>
    <w:rsid w:val="009D371F"/>
    <w:rsid w:val="009D3B45"/>
    <w:rsid w:val="009D3E73"/>
    <w:rsid w:val="009D3E9D"/>
    <w:rsid w:val="009D461A"/>
    <w:rsid w:val="009D4A3A"/>
    <w:rsid w:val="009D4CFE"/>
    <w:rsid w:val="009D4FE7"/>
    <w:rsid w:val="009D5AD3"/>
    <w:rsid w:val="009D60B8"/>
    <w:rsid w:val="009D6D01"/>
    <w:rsid w:val="009D700A"/>
    <w:rsid w:val="009D70C2"/>
    <w:rsid w:val="009D70E9"/>
    <w:rsid w:val="009D71D0"/>
    <w:rsid w:val="009D742E"/>
    <w:rsid w:val="009D786B"/>
    <w:rsid w:val="009E0310"/>
    <w:rsid w:val="009E03EA"/>
    <w:rsid w:val="009E0786"/>
    <w:rsid w:val="009E0BD3"/>
    <w:rsid w:val="009E0EC1"/>
    <w:rsid w:val="009E1100"/>
    <w:rsid w:val="009E127B"/>
    <w:rsid w:val="009E1586"/>
    <w:rsid w:val="009E19A3"/>
    <w:rsid w:val="009E1D96"/>
    <w:rsid w:val="009E2429"/>
    <w:rsid w:val="009E28B8"/>
    <w:rsid w:val="009E296F"/>
    <w:rsid w:val="009E2AEF"/>
    <w:rsid w:val="009E2BF5"/>
    <w:rsid w:val="009E30A7"/>
    <w:rsid w:val="009E33EB"/>
    <w:rsid w:val="009E394F"/>
    <w:rsid w:val="009E3DAD"/>
    <w:rsid w:val="009E4DC0"/>
    <w:rsid w:val="009E5A88"/>
    <w:rsid w:val="009E65EA"/>
    <w:rsid w:val="009E7509"/>
    <w:rsid w:val="009E75E9"/>
    <w:rsid w:val="009E7A65"/>
    <w:rsid w:val="009E7BAE"/>
    <w:rsid w:val="009F1196"/>
    <w:rsid w:val="009F15BC"/>
    <w:rsid w:val="009F1A27"/>
    <w:rsid w:val="009F248A"/>
    <w:rsid w:val="009F273C"/>
    <w:rsid w:val="009F27C4"/>
    <w:rsid w:val="009F2A91"/>
    <w:rsid w:val="009F2EFB"/>
    <w:rsid w:val="009F34C8"/>
    <w:rsid w:val="009F36A9"/>
    <w:rsid w:val="009F37C7"/>
    <w:rsid w:val="009F3A95"/>
    <w:rsid w:val="009F3D01"/>
    <w:rsid w:val="009F45C9"/>
    <w:rsid w:val="009F4713"/>
    <w:rsid w:val="009F495A"/>
    <w:rsid w:val="009F4B20"/>
    <w:rsid w:val="009F4F57"/>
    <w:rsid w:val="009F5270"/>
    <w:rsid w:val="009F5840"/>
    <w:rsid w:val="009F5903"/>
    <w:rsid w:val="009F5AC0"/>
    <w:rsid w:val="009F5B9F"/>
    <w:rsid w:val="009F608B"/>
    <w:rsid w:val="009F66A3"/>
    <w:rsid w:val="009F67EB"/>
    <w:rsid w:val="009F6BA0"/>
    <w:rsid w:val="009F6F2D"/>
    <w:rsid w:val="009F7683"/>
    <w:rsid w:val="009F76A5"/>
    <w:rsid w:val="009F7723"/>
    <w:rsid w:val="009F772D"/>
    <w:rsid w:val="009F7E8C"/>
    <w:rsid w:val="00A001E4"/>
    <w:rsid w:val="00A00DAB"/>
    <w:rsid w:val="00A00F88"/>
    <w:rsid w:val="00A00FDF"/>
    <w:rsid w:val="00A0132A"/>
    <w:rsid w:val="00A0167B"/>
    <w:rsid w:val="00A01A3D"/>
    <w:rsid w:val="00A0229F"/>
    <w:rsid w:val="00A02475"/>
    <w:rsid w:val="00A0286A"/>
    <w:rsid w:val="00A02939"/>
    <w:rsid w:val="00A02FC4"/>
    <w:rsid w:val="00A034A0"/>
    <w:rsid w:val="00A03703"/>
    <w:rsid w:val="00A03948"/>
    <w:rsid w:val="00A03E86"/>
    <w:rsid w:val="00A0434D"/>
    <w:rsid w:val="00A0487E"/>
    <w:rsid w:val="00A0532B"/>
    <w:rsid w:val="00A05BAE"/>
    <w:rsid w:val="00A05BFF"/>
    <w:rsid w:val="00A06179"/>
    <w:rsid w:val="00A0634C"/>
    <w:rsid w:val="00A063D8"/>
    <w:rsid w:val="00A06902"/>
    <w:rsid w:val="00A06AC1"/>
    <w:rsid w:val="00A06CAB"/>
    <w:rsid w:val="00A06CD5"/>
    <w:rsid w:val="00A06D6E"/>
    <w:rsid w:val="00A07035"/>
    <w:rsid w:val="00A072C3"/>
    <w:rsid w:val="00A073AB"/>
    <w:rsid w:val="00A0757A"/>
    <w:rsid w:val="00A1037D"/>
    <w:rsid w:val="00A103EF"/>
    <w:rsid w:val="00A106DA"/>
    <w:rsid w:val="00A10723"/>
    <w:rsid w:val="00A107A5"/>
    <w:rsid w:val="00A1096B"/>
    <w:rsid w:val="00A10E5E"/>
    <w:rsid w:val="00A1100A"/>
    <w:rsid w:val="00A115D4"/>
    <w:rsid w:val="00A11790"/>
    <w:rsid w:val="00A11AF2"/>
    <w:rsid w:val="00A122A8"/>
    <w:rsid w:val="00A12523"/>
    <w:rsid w:val="00A128B7"/>
    <w:rsid w:val="00A12B47"/>
    <w:rsid w:val="00A12B59"/>
    <w:rsid w:val="00A12DBB"/>
    <w:rsid w:val="00A12E15"/>
    <w:rsid w:val="00A13513"/>
    <w:rsid w:val="00A13664"/>
    <w:rsid w:val="00A138C7"/>
    <w:rsid w:val="00A13AC9"/>
    <w:rsid w:val="00A13AE4"/>
    <w:rsid w:val="00A13D4B"/>
    <w:rsid w:val="00A13D68"/>
    <w:rsid w:val="00A13DFE"/>
    <w:rsid w:val="00A13E57"/>
    <w:rsid w:val="00A13F5C"/>
    <w:rsid w:val="00A142CA"/>
    <w:rsid w:val="00A14532"/>
    <w:rsid w:val="00A149F6"/>
    <w:rsid w:val="00A14F1D"/>
    <w:rsid w:val="00A152AE"/>
    <w:rsid w:val="00A15346"/>
    <w:rsid w:val="00A1538E"/>
    <w:rsid w:val="00A15AAE"/>
    <w:rsid w:val="00A15DAA"/>
    <w:rsid w:val="00A15E8C"/>
    <w:rsid w:val="00A1638C"/>
    <w:rsid w:val="00A1669F"/>
    <w:rsid w:val="00A169DB"/>
    <w:rsid w:val="00A16FDC"/>
    <w:rsid w:val="00A174DD"/>
    <w:rsid w:val="00A175B1"/>
    <w:rsid w:val="00A176E3"/>
    <w:rsid w:val="00A17D1D"/>
    <w:rsid w:val="00A17F5D"/>
    <w:rsid w:val="00A2008A"/>
    <w:rsid w:val="00A206B0"/>
    <w:rsid w:val="00A21737"/>
    <w:rsid w:val="00A21AEB"/>
    <w:rsid w:val="00A22287"/>
    <w:rsid w:val="00A22A50"/>
    <w:rsid w:val="00A22C68"/>
    <w:rsid w:val="00A22E29"/>
    <w:rsid w:val="00A23A94"/>
    <w:rsid w:val="00A23D2A"/>
    <w:rsid w:val="00A24E1D"/>
    <w:rsid w:val="00A24EB1"/>
    <w:rsid w:val="00A24F87"/>
    <w:rsid w:val="00A258BC"/>
    <w:rsid w:val="00A25F69"/>
    <w:rsid w:val="00A25FBE"/>
    <w:rsid w:val="00A260D5"/>
    <w:rsid w:val="00A2613F"/>
    <w:rsid w:val="00A2690B"/>
    <w:rsid w:val="00A26D14"/>
    <w:rsid w:val="00A26FBC"/>
    <w:rsid w:val="00A275A9"/>
    <w:rsid w:val="00A27A63"/>
    <w:rsid w:val="00A27C20"/>
    <w:rsid w:val="00A27E42"/>
    <w:rsid w:val="00A27E88"/>
    <w:rsid w:val="00A30198"/>
    <w:rsid w:val="00A302D4"/>
    <w:rsid w:val="00A30FCB"/>
    <w:rsid w:val="00A31A60"/>
    <w:rsid w:val="00A31AAB"/>
    <w:rsid w:val="00A323CD"/>
    <w:rsid w:val="00A32981"/>
    <w:rsid w:val="00A32DBD"/>
    <w:rsid w:val="00A334D8"/>
    <w:rsid w:val="00A3371D"/>
    <w:rsid w:val="00A33A04"/>
    <w:rsid w:val="00A34288"/>
    <w:rsid w:val="00A344F1"/>
    <w:rsid w:val="00A348BA"/>
    <w:rsid w:val="00A348D8"/>
    <w:rsid w:val="00A34905"/>
    <w:rsid w:val="00A349F2"/>
    <w:rsid w:val="00A34E6A"/>
    <w:rsid w:val="00A35058"/>
    <w:rsid w:val="00A355D1"/>
    <w:rsid w:val="00A35C06"/>
    <w:rsid w:val="00A35ED7"/>
    <w:rsid w:val="00A36002"/>
    <w:rsid w:val="00A3614F"/>
    <w:rsid w:val="00A3616B"/>
    <w:rsid w:val="00A36651"/>
    <w:rsid w:val="00A366D2"/>
    <w:rsid w:val="00A36C27"/>
    <w:rsid w:val="00A36E34"/>
    <w:rsid w:val="00A374A2"/>
    <w:rsid w:val="00A37861"/>
    <w:rsid w:val="00A37979"/>
    <w:rsid w:val="00A37B8B"/>
    <w:rsid w:val="00A37EF8"/>
    <w:rsid w:val="00A40634"/>
    <w:rsid w:val="00A40972"/>
    <w:rsid w:val="00A409F7"/>
    <w:rsid w:val="00A40B3A"/>
    <w:rsid w:val="00A41541"/>
    <w:rsid w:val="00A416AD"/>
    <w:rsid w:val="00A41B24"/>
    <w:rsid w:val="00A41E4F"/>
    <w:rsid w:val="00A4201A"/>
    <w:rsid w:val="00A420D1"/>
    <w:rsid w:val="00A420DC"/>
    <w:rsid w:val="00A42320"/>
    <w:rsid w:val="00A42333"/>
    <w:rsid w:val="00A425BC"/>
    <w:rsid w:val="00A426D1"/>
    <w:rsid w:val="00A42C82"/>
    <w:rsid w:val="00A432CD"/>
    <w:rsid w:val="00A43888"/>
    <w:rsid w:val="00A43B2F"/>
    <w:rsid w:val="00A441B5"/>
    <w:rsid w:val="00A44870"/>
    <w:rsid w:val="00A448EA"/>
    <w:rsid w:val="00A44D73"/>
    <w:rsid w:val="00A44FF0"/>
    <w:rsid w:val="00A4520F"/>
    <w:rsid w:val="00A45BA2"/>
    <w:rsid w:val="00A45CF6"/>
    <w:rsid w:val="00A461CB"/>
    <w:rsid w:val="00A46364"/>
    <w:rsid w:val="00A46459"/>
    <w:rsid w:val="00A46892"/>
    <w:rsid w:val="00A46D2D"/>
    <w:rsid w:val="00A4717F"/>
    <w:rsid w:val="00A471AE"/>
    <w:rsid w:val="00A47A4F"/>
    <w:rsid w:val="00A47A63"/>
    <w:rsid w:val="00A5010D"/>
    <w:rsid w:val="00A50111"/>
    <w:rsid w:val="00A5067F"/>
    <w:rsid w:val="00A507C1"/>
    <w:rsid w:val="00A50BE9"/>
    <w:rsid w:val="00A50CD9"/>
    <w:rsid w:val="00A50D2E"/>
    <w:rsid w:val="00A51115"/>
    <w:rsid w:val="00A5132F"/>
    <w:rsid w:val="00A51374"/>
    <w:rsid w:val="00A5167B"/>
    <w:rsid w:val="00A51BE0"/>
    <w:rsid w:val="00A51F8F"/>
    <w:rsid w:val="00A52227"/>
    <w:rsid w:val="00A5272B"/>
    <w:rsid w:val="00A52784"/>
    <w:rsid w:val="00A533E4"/>
    <w:rsid w:val="00A53506"/>
    <w:rsid w:val="00A535E1"/>
    <w:rsid w:val="00A53772"/>
    <w:rsid w:val="00A53D56"/>
    <w:rsid w:val="00A54333"/>
    <w:rsid w:val="00A547A3"/>
    <w:rsid w:val="00A549F3"/>
    <w:rsid w:val="00A5505A"/>
    <w:rsid w:val="00A5529A"/>
    <w:rsid w:val="00A55925"/>
    <w:rsid w:val="00A55A92"/>
    <w:rsid w:val="00A55EC4"/>
    <w:rsid w:val="00A565D7"/>
    <w:rsid w:val="00A56B83"/>
    <w:rsid w:val="00A56DEB"/>
    <w:rsid w:val="00A5703F"/>
    <w:rsid w:val="00A571D2"/>
    <w:rsid w:val="00A60352"/>
    <w:rsid w:val="00A609A4"/>
    <w:rsid w:val="00A60AD9"/>
    <w:rsid w:val="00A60BD7"/>
    <w:rsid w:val="00A60CBF"/>
    <w:rsid w:val="00A60FEB"/>
    <w:rsid w:val="00A617F9"/>
    <w:rsid w:val="00A6197B"/>
    <w:rsid w:val="00A61AE5"/>
    <w:rsid w:val="00A61D12"/>
    <w:rsid w:val="00A61D25"/>
    <w:rsid w:val="00A622EA"/>
    <w:rsid w:val="00A627CC"/>
    <w:rsid w:val="00A62FBB"/>
    <w:rsid w:val="00A631B9"/>
    <w:rsid w:val="00A6376D"/>
    <w:rsid w:val="00A6462C"/>
    <w:rsid w:val="00A646AB"/>
    <w:rsid w:val="00A646E8"/>
    <w:rsid w:val="00A64C6A"/>
    <w:rsid w:val="00A6514B"/>
    <w:rsid w:val="00A6525A"/>
    <w:rsid w:val="00A65978"/>
    <w:rsid w:val="00A65B73"/>
    <w:rsid w:val="00A65C5A"/>
    <w:rsid w:val="00A65DCB"/>
    <w:rsid w:val="00A65F0C"/>
    <w:rsid w:val="00A660FF"/>
    <w:rsid w:val="00A66484"/>
    <w:rsid w:val="00A666F6"/>
    <w:rsid w:val="00A66A90"/>
    <w:rsid w:val="00A66C51"/>
    <w:rsid w:val="00A66C96"/>
    <w:rsid w:val="00A677FA"/>
    <w:rsid w:val="00A67AA8"/>
    <w:rsid w:val="00A67DF1"/>
    <w:rsid w:val="00A70330"/>
    <w:rsid w:val="00A70412"/>
    <w:rsid w:val="00A70637"/>
    <w:rsid w:val="00A70CC6"/>
    <w:rsid w:val="00A70E2F"/>
    <w:rsid w:val="00A71311"/>
    <w:rsid w:val="00A713DF"/>
    <w:rsid w:val="00A718B8"/>
    <w:rsid w:val="00A71955"/>
    <w:rsid w:val="00A7208A"/>
    <w:rsid w:val="00A72418"/>
    <w:rsid w:val="00A7268F"/>
    <w:rsid w:val="00A72ACA"/>
    <w:rsid w:val="00A72D78"/>
    <w:rsid w:val="00A72F27"/>
    <w:rsid w:val="00A72FCE"/>
    <w:rsid w:val="00A730D2"/>
    <w:rsid w:val="00A7330C"/>
    <w:rsid w:val="00A735C6"/>
    <w:rsid w:val="00A7365E"/>
    <w:rsid w:val="00A73D03"/>
    <w:rsid w:val="00A73E4B"/>
    <w:rsid w:val="00A7437B"/>
    <w:rsid w:val="00A7476B"/>
    <w:rsid w:val="00A74B82"/>
    <w:rsid w:val="00A74CFE"/>
    <w:rsid w:val="00A7504A"/>
    <w:rsid w:val="00A753D5"/>
    <w:rsid w:val="00A756CB"/>
    <w:rsid w:val="00A757D6"/>
    <w:rsid w:val="00A75C38"/>
    <w:rsid w:val="00A75DCB"/>
    <w:rsid w:val="00A7673E"/>
    <w:rsid w:val="00A7676E"/>
    <w:rsid w:val="00A7690F"/>
    <w:rsid w:val="00A76BE6"/>
    <w:rsid w:val="00A76D6D"/>
    <w:rsid w:val="00A76DF1"/>
    <w:rsid w:val="00A7742C"/>
    <w:rsid w:val="00A77B8A"/>
    <w:rsid w:val="00A77D52"/>
    <w:rsid w:val="00A77E20"/>
    <w:rsid w:val="00A800BD"/>
    <w:rsid w:val="00A8017E"/>
    <w:rsid w:val="00A80449"/>
    <w:rsid w:val="00A8054D"/>
    <w:rsid w:val="00A807DA"/>
    <w:rsid w:val="00A808CB"/>
    <w:rsid w:val="00A80A04"/>
    <w:rsid w:val="00A80A8F"/>
    <w:rsid w:val="00A80B24"/>
    <w:rsid w:val="00A80B6B"/>
    <w:rsid w:val="00A80CC5"/>
    <w:rsid w:val="00A8183A"/>
    <w:rsid w:val="00A81D30"/>
    <w:rsid w:val="00A81E32"/>
    <w:rsid w:val="00A8215E"/>
    <w:rsid w:val="00A823A0"/>
    <w:rsid w:val="00A82723"/>
    <w:rsid w:val="00A82B49"/>
    <w:rsid w:val="00A82D91"/>
    <w:rsid w:val="00A82DF8"/>
    <w:rsid w:val="00A82F7A"/>
    <w:rsid w:val="00A82F8C"/>
    <w:rsid w:val="00A8365F"/>
    <w:rsid w:val="00A83BF5"/>
    <w:rsid w:val="00A83CE0"/>
    <w:rsid w:val="00A84246"/>
    <w:rsid w:val="00A8426F"/>
    <w:rsid w:val="00A843EE"/>
    <w:rsid w:val="00A84556"/>
    <w:rsid w:val="00A849AE"/>
    <w:rsid w:val="00A84B0F"/>
    <w:rsid w:val="00A8516C"/>
    <w:rsid w:val="00A8585F"/>
    <w:rsid w:val="00A85B95"/>
    <w:rsid w:val="00A86051"/>
    <w:rsid w:val="00A861B8"/>
    <w:rsid w:val="00A8625F"/>
    <w:rsid w:val="00A8628C"/>
    <w:rsid w:val="00A86CF6"/>
    <w:rsid w:val="00A86FCF"/>
    <w:rsid w:val="00A87596"/>
    <w:rsid w:val="00A875F5"/>
    <w:rsid w:val="00A87934"/>
    <w:rsid w:val="00A87AB4"/>
    <w:rsid w:val="00A87B2E"/>
    <w:rsid w:val="00A87D14"/>
    <w:rsid w:val="00A90151"/>
    <w:rsid w:val="00A901D5"/>
    <w:rsid w:val="00A90256"/>
    <w:rsid w:val="00A903D4"/>
    <w:rsid w:val="00A9040F"/>
    <w:rsid w:val="00A90B26"/>
    <w:rsid w:val="00A90C28"/>
    <w:rsid w:val="00A90EAC"/>
    <w:rsid w:val="00A90EE0"/>
    <w:rsid w:val="00A90F7B"/>
    <w:rsid w:val="00A9167E"/>
    <w:rsid w:val="00A91B61"/>
    <w:rsid w:val="00A922EC"/>
    <w:rsid w:val="00A928EA"/>
    <w:rsid w:val="00A92950"/>
    <w:rsid w:val="00A92ABE"/>
    <w:rsid w:val="00A92B29"/>
    <w:rsid w:val="00A9359B"/>
    <w:rsid w:val="00A935DB"/>
    <w:rsid w:val="00A93DD0"/>
    <w:rsid w:val="00A93FAA"/>
    <w:rsid w:val="00A94296"/>
    <w:rsid w:val="00A945C3"/>
    <w:rsid w:val="00A94BA5"/>
    <w:rsid w:val="00A94CB5"/>
    <w:rsid w:val="00A9527C"/>
    <w:rsid w:val="00A9545C"/>
    <w:rsid w:val="00A96139"/>
    <w:rsid w:val="00A962F0"/>
    <w:rsid w:val="00A964CA"/>
    <w:rsid w:val="00A96961"/>
    <w:rsid w:val="00A96974"/>
    <w:rsid w:val="00A96A62"/>
    <w:rsid w:val="00A970A6"/>
    <w:rsid w:val="00A97104"/>
    <w:rsid w:val="00A973FB"/>
    <w:rsid w:val="00A97F86"/>
    <w:rsid w:val="00AA004B"/>
    <w:rsid w:val="00AA0192"/>
    <w:rsid w:val="00AA06C5"/>
    <w:rsid w:val="00AA06D6"/>
    <w:rsid w:val="00AA0A8B"/>
    <w:rsid w:val="00AA0BAC"/>
    <w:rsid w:val="00AA163B"/>
    <w:rsid w:val="00AA17E5"/>
    <w:rsid w:val="00AA1DBD"/>
    <w:rsid w:val="00AA20F8"/>
    <w:rsid w:val="00AA22A0"/>
    <w:rsid w:val="00AA22E7"/>
    <w:rsid w:val="00AA258C"/>
    <w:rsid w:val="00AA2624"/>
    <w:rsid w:val="00AA2943"/>
    <w:rsid w:val="00AA3569"/>
    <w:rsid w:val="00AA4379"/>
    <w:rsid w:val="00AA4706"/>
    <w:rsid w:val="00AA4A24"/>
    <w:rsid w:val="00AA4B62"/>
    <w:rsid w:val="00AA5873"/>
    <w:rsid w:val="00AA5CCF"/>
    <w:rsid w:val="00AA5D6E"/>
    <w:rsid w:val="00AA6393"/>
    <w:rsid w:val="00AA6683"/>
    <w:rsid w:val="00AA6A7C"/>
    <w:rsid w:val="00AA6AC8"/>
    <w:rsid w:val="00AA6DE4"/>
    <w:rsid w:val="00AA7528"/>
    <w:rsid w:val="00AA7B96"/>
    <w:rsid w:val="00AA7CF1"/>
    <w:rsid w:val="00AA7DB8"/>
    <w:rsid w:val="00AB0060"/>
    <w:rsid w:val="00AB00FF"/>
    <w:rsid w:val="00AB0583"/>
    <w:rsid w:val="00AB0CAD"/>
    <w:rsid w:val="00AB0EC3"/>
    <w:rsid w:val="00AB10F4"/>
    <w:rsid w:val="00AB117E"/>
    <w:rsid w:val="00AB196F"/>
    <w:rsid w:val="00AB1CCE"/>
    <w:rsid w:val="00AB1DAF"/>
    <w:rsid w:val="00AB21D3"/>
    <w:rsid w:val="00AB22E7"/>
    <w:rsid w:val="00AB2639"/>
    <w:rsid w:val="00AB28FE"/>
    <w:rsid w:val="00AB2BF1"/>
    <w:rsid w:val="00AB2D17"/>
    <w:rsid w:val="00AB34AD"/>
    <w:rsid w:val="00AB395C"/>
    <w:rsid w:val="00AB3B3D"/>
    <w:rsid w:val="00AB3B5F"/>
    <w:rsid w:val="00AB3D35"/>
    <w:rsid w:val="00AB417C"/>
    <w:rsid w:val="00AB4259"/>
    <w:rsid w:val="00AB441B"/>
    <w:rsid w:val="00AB46E2"/>
    <w:rsid w:val="00AB4760"/>
    <w:rsid w:val="00AB4937"/>
    <w:rsid w:val="00AB4DD6"/>
    <w:rsid w:val="00AB4F18"/>
    <w:rsid w:val="00AB5A69"/>
    <w:rsid w:val="00AB5D71"/>
    <w:rsid w:val="00AB5F86"/>
    <w:rsid w:val="00AB64E6"/>
    <w:rsid w:val="00AB69CD"/>
    <w:rsid w:val="00AB6C4E"/>
    <w:rsid w:val="00AB6D17"/>
    <w:rsid w:val="00AB6F0F"/>
    <w:rsid w:val="00AB7D7C"/>
    <w:rsid w:val="00AC03B4"/>
    <w:rsid w:val="00AC0CBC"/>
    <w:rsid w:val="00AC12D7"/>
    <w:rsid w:val="00AC16B2"/>
    <w:rsid w:val="00AC1E2B"/>
    <w:rsid w:val="00AC1E5C"/>
    <w:rsid w:val="00AC2CF3"/>
    <w:rsid w:val="00AC2FFA"/>
    <w:rsid w:val="00AC30BB"/>
    <w:rsid w:val="00AC364C"/>
    <w:rsid w:val="00AC3B03"/>
    <w:rsid w:val="00AC3E50"/>
    <w:rsid w:val="00AC420B"/>
    <w:rsid w:val="00AC4309"/>
    <w:rsid w:val="00AC43DB"/>
    <w:rsid w:val="00AC459D"/>
    <w:rsid w:val="00AC4A77"/>
    <w:rsid w:val="00AC4AD4"/>
    <w:rsid w:val="00AC4F7C"/>
    <w:rsid w:val="00AC5153"/>
    <w:rsid w:val="00AC52E2"/>
    <w:rsid w:val="00AC52E4"/>
    <w:rsid w:val="00AC587D"/>
    <w:rsid w:val="00AC5CDE"/>
    <w:rsid w:val="00AC5CF5"/>
    <w:rsid w:val="00AC6169"/>
    <w:rsid w:val="00AC677E"/>
    <w:rsid w:val="00AC6A5E"/>
    <w:rsid w:val="00AC6B32"/>
    <w:rsid w:val="00AC6C7B"/>
    <w:rsid w:val="00AC6D7B"/>
    <w:rsid w:val="00AC6D8E"/>
    <w:rsid w:val="00AC7A99"/>
    <w:rsid w:val="00AD00E6"/>
    <w:rsid w:val="00AD0196"/>
    <w:rsid w:val="00AD0432"/>
    <w:rsid w:val="00AD0870"/>
    <w:rsid w:val="00AD1179"/>
    <w:rsid w:val="00AD13B6"/>
    <w:rsid w:val="00AD17D8"/>
    <w:rsid w:val="00AD1898"/>
    <w:rsid w:val="00AD1AA2"/>
    <w:rsid w:val="00AD1B41"/>
    <w:rsid w:val="00AD1DC1"/>
    <w:rsid w:val="00AD1E7C"/>
    <w:rsid w:val="00AD20C7"/>
    <w:rsid w:val="00AD247C"/>
    <w:rsid w:val="00AD25B9"/>
    <w:rsid w:val="00AD28A4"/>
    <w:rsid w:val="00AD33A0"/>
    <w:rsid w:val="00AD43C9"/>
    <w:rsid w:val="00AD486B"/>
    <w:rsid w:val="00AD4D6C"/>
    <w:rsid w:val="00AD54F5"/>
    <w:rsid w:val="00AD5BF2"/>
    <w:rsid w:val="00AD5C0F"/>
    <w:rsid w:val="00AD6019"/>
    <w:rsid w:val="00AD6435"/>
    <w:rsid w:val="00AD6765"/>
    <w:rsid w:val="00AD68AF"/>
    <w:rsid w:val="00AD6E4B"/>
    <w:rsid w:val="00AD6FA2"/>
    <w:rsid w:val="00AD7A30"/>
    <w:rsid w:val="00AD7A63"/>
    <w:rsid w:val="00AD7E26"/>
    <w:rsid w:val="00AE054D"/>
    <w:rsid w:val="00AE090B"/>
    <w:rsid w:val="00AE097B"/>
    <w:rsid w:val="00AE104A"/>
    <w:rsid w:val="00AE1979"/>
    <w:rsid w:val="00AE1A33"/>
    <w:rsid w:val="00AE1BBE"/>
    <w:rsid w:val="00AE1CFE"/>
    <w:rsid w:val="00AE2383"/>
    <w:rsid w:val="00AE2627"/>
    <w:rsid w:val="00AE2EA5"/>
    <w:rsid w:val="00AE368C"/>
    <w:rsid w:val="00AE37A3"/>
    <w:rsid w:val="00AE3A43"/>
    <w:rsid w:val="00AE3F8A"/>
    <w:rsid w:val="00AE4191"/>
    <w:rsid w:val="00AE4702"/>
    <w:rsid w:val="00AE4FBC"/>
    <w:rsid w:val="00AE4FFD"/>
    <w:rsid w:val="00AE5799"/>
    <w:rsid w:val="00AE5C5D"/>
    <w:rsid w:val="00AE5D7E"/>
    <w:rsid w:val="00AE6188"/>
    <w:rsid w:val="00AE633D"/>
    <w:rsid w:val="00AE6553"/>
    <w:rsid w:val="00AE67FF"/>
    <w:rsid w:val="00AE689A"/>
    <w:rsid w:val="00AE72D2"/>
    <w:rsid w:val="00AE72E1"/>
    <w:rsid w:val="00AE7559"/>
    <w:rsid w:val="00AF0472"/>
    <w:rsid w:val="00AF1C88"/>
    <w:rsid w:val="00AF1D1A"/>
    <w:rsid w:val="00AF22B5"/>
    <w:rsid w:val="00AF28A2"/>
    <w:rsid w:val="00AF2C41"/>
    <w:rsid w:val="00AF2DE2"/>
    <w:rsid w:val="00AF34E2"/>
    <w:rsid w:val="00AF3A59"/>
    <w:rsid w:val="00AF3BD9"/>
    <w:rsid w:val="00AF41C8"/>
    <w:rsid w:val="00AF479F"/>
    <w:rsid w:val="00AF4CAF"/>
    <w:rsid w:val="00AF4CFD"/>
    <w:rsid w:val="00AF52C9"/>
    <w:rsid w:val="00AF58F6"/>
    <w:rsid w:val="00AF5B98"/>
    <w:rsid w:val="00AF5C53"/>
    <w:rsid w:val="00AF5CC0"/>
    <w:rsid w:val="00AF659E"/>
    <w:rsid w:val="00AF6C6A"/>
    <w:rsid w:val="00AF6F20"/>
    <w:rsid w:val="00AF702F"/>
    <w:rsid w:val="00AF7664"/>
    <w:rsid w:val="00AF78EF"/>
    <w:rsid w:val="00AF79E8"/>
    <w:rsid w:val="00B00304"/>
    <w:rsid w:val="00B005AF"/>
    <w:rsid w:val="00B01235"/>
    <w:rsid w:val="00B0164C"/>
    <w:rsid w:val="00B01704"/>
    <w:rsid w:val="00B01A6A"/>
    <w:rsid w:val="00B01C18"/>
    <w:rsid w:val="00B01CE4"/>
    <w:rsid w:val="00B026DE"/>
    <w:rsid w:val="00B026EA"/>
    <w:rsid w:val="00B027D9"/>
    <w:rsid w:val="00B02939"/>
    <w:rsid w:val="00B02FDD"/>
    <w:rsid w:val="00B038CF"/>
    <w:rsid w:val="00B03BDE"/>
    <w:rsid w:val="00B03D31"/>
    <w:rsid w:val="00B0427B"/>
    <w:rsid w:val="00B044BC"/>
    <w:rsid w:val="00B04979"/>
    <w:rsid w:val="00B04B8F"/>
    <w:rsid w:val="00B0514A"/>
    <w:rsid w:val="00B0546F"/>
    <w:rsid w:val="00B05AB8"/>
    <w:rsid w:val="00B05E88"/>
    <w:rsid w:val="00B06258"/>
    <w:rsid w:val="00B06665"/>
    <w:rsid w:val="00B06CD6"/>
    <w:rsid w:val="00B0775A"/>
    <w:rsid w:val="00B0784F"/>
    <w:rsid w:val="00B078EF"/>
    <w:rsid w:val="00B079F7"/>
    <w:rsid w:val="00B07C34"/>
    <w:rsid w:val="00B07C60"/>
    <w:rsid w:val="00B104C8"/>
    <w:rsid w:val="00B109D1"/>
    <w:rsid w:val="00B10C95"/>
    <w:rsid w:val="00B111D0"/>
    <w:rsid w:val="00B114A4"/>
    <w:rsid w:val="00B114AE"/>
    <w:rsid w:val="00B115CB"/>
    <w:rsid w:val="00B118A1"/>
    <w:rsid w:val="00B11A29"/>
    <w:rsid w:val="00B11F80"/>
    <w:rsid w:val="00B12128"/>
    <w:rsid w:val="00B121DE"/>
    <w:rsid w:val="00B12569"/>
    <w:rsid w:val="00B12650"/>
    <w:rsid w:val="00B127AA"/>
    <w:rsid w:val="00B127B8"/>
    <w:rsid w:val="00B12EDD"/>
    <w:rsid w:val="00B1353C"/>
    <w:rsid w:val="00B13765"/>
    <w:rsid w:val="00B1487E"/>
    <w:rsid w:val="00B14A19"/>
    <w:rsid w:val="00B14F35"/>
    <w:rsid w:val="00B1518A"/>
    <w:rsid w:val="00B15411"/>
    <w:rsid w:val="00B154A3"/>
    <w:rsid w:val="00B15873"/>
    <w:rsid w:val="00B15D64"/>
    <w:rsid w:val="00B16265"/>
    <w:rsid w:val="00B164F6"/>
    <w:rsid w:val="00B16875"/>
    <w:rsid w:val="00B16C26"/>
    <w:rsid w:val="00B16C43"/>
    <w:rsid w:val="00B16C46"/>
    <w:rsid w:val="00B16E42"/>
    <w:rsid w:val="00B17004"/>
    <w:rsid w:val="00B17336"/>
    <w:rsid w:val="00B175E9"/>
    <w:rsid w:val="00B17986"/>
    <w:rsid w:val="00B205E6"/>
    <w:rsid w:val="00B20ADB"/>
    <w:rsid w:val="00B20BA9"/>
    <w:rsid w:val="00B20F1C"/>
    <w:rsid w:val="00B2124B"/>
    <w:rsid w:val="00B21321"/>
    <w:rsid w:val="00B21451"/>
    <w:rsid w:val="00B216BE"/>
    <w:rsid w:val="00B21702"/>
    <w:rsid w:val="00B219D6"/>
    <w:rsid w:val="00B21E8E"/>
    <w:rsid w:val="00B222C6"/>
    <w:rsid w:val="00B2275E"/>
    <w:rsid w:val="00B22967"/>
    <w:rsid w:val="00B22F31"/>
    <w:rsid w:val="00B2323E"/>
    <w:rsid w:val="00B23258"/>
    <w:rsid w:val="00B232C5"/>
    <w:rsid w:val="00B23434"/>
    <w:rsid w:val="00B235D1"/>
    <w:rsid w:val="00B23603"/>
    <w:rsid w:val="00B23D27"/>
    <w:rsid w:val="00B23E1D"/>
    <w:rsid w:val="00B2415F"/>
    <w:rsid w:val="00B24569"/>
    <w:rsid w:val="00B2497B"/>
    <w:rsid w:val="00B24AB3"/>
    <w:rsid w:val="00B24B99"/>
    <w:rsid w:val="00B24CB8"/>
    <w:rsid w:val="00B25381"/>
    <w:rsid w:val="00B2540B"/>
    <w:rsid w:val="00B25561"/>
    <w:rsid w:val="00B255A1"/>
    <w:rsid w:val="00B25A82"/>
    <w:rsid w:val="00B25B66"/>
    <w:rsid w:val="00B25C70"/>
    <w:rsid w:val="00B25D02"/>
    <w:rsid w:val="00B261E8"/>
    <w:rsid w:val="00B26F76"/>
    <w:rsid w:val="00B271EF"/>
    <w:rsid w:val="00B2780C"/>
    <w:rsid w:val="00B2798B"/>
    <w:rsid w:val="00B27F92"/>
    <w:rsid w:val="00B30055"/>
    <w:rsid w:val="00B300A7"/>
    <w:rsid w:val="00B302FA"/>
    <w:rsid w:val="00B30437"/>
    <w:rsid w:val="00B305BF"/>
    <w:rsid w:val="00B3124B"/>
    <w:rsid w:val="00B314FC"/>
    <w:rsid w:val="00B31875"/>
    <w:rsid w:val="00B318FE"/>
    <w:rsid w:val="00B32066"/>
    <w:rsid w:val="00B32770"/>
    <w:rsid w:val="00B32883"/>
    <w:rsid w:val="00B32B3C"/>
    <w:rsid w:val="00B32D6C"/>
    <w:rsid w:val="00B32F77"/>
    <w:rsid w:val="00B32FE0"/>
    <w:rsid w:val="00B334D2"/>
    <w:rsid w:val="00B33530"/>
    <w:rsid w:val="00B33836"/>
    <w:rsid w:val="00B33D1A"/>
    <w:rsid w:val="00B33E67"/>
    <w:rsid w:val="00B33EDD"/>
    <w:rsid w:val="00B34048"/>
    <w:rsid w:val="00B342E3"/>
    <w:rsid w:val="00B34926"/>
    <w:rsid w:val="00B35041"/>
    <w:rsid w:val="00B36018"/>
    <w:rsid w:val="00B36134"/>
    <w:rsid w:val="00B36A91"/>
    <w:rsid w:val="00B36C58"/>
    <w:rsid w:val="00B36E33"/>
    <w:rsid w:val="00B36FB6"/>
    <w:rsid w:val="00B371DB"/>
    <w:rsid w:val="00B3749D"/>
    <w:rsid w:val="00B37D9C"/>
    <w:rsid w:val="00B405FA"/>
    <w:rsid w:val="00B4067C"/>
    <w:rsid w:val="00B4079C"/>
    <w:rsid w:val="00B409A4"/>
    <w:rsid w:val="00B40A66"/>
    <w:rsid w:val="00B40D63"/>
    <w:rsid w:val="00B4101B"/>
    <w:rsid w:val="00B41146"/>
    <w:rsid w:val="00B41217"/>
    <w:rsid w:val="00B41647"/>
    <w:rsid w:val="00B41D17"/>
    <w:rsid w:val="00B420EA"/>
    <w:rsid w:val="00B42296"/>
    <w:rsid w:val="00B42604"/>
    <w:rsid w:val="00B4338F"/>
    <w:rsid w:val="00B43D05"/>
    <w:rsid w:val="00B43EF4"/>
    <w:rsid w:val="00B43F14"/>
    <w:rsid w:val="00B44085"/>
    <w:rsid w:val="00B440D7"/>
    <w:rsid w:val="00B443CC"/>
    <w:rsid w:val="00B44EE7"/>
    <w:rsid w:val="00B4509E"/>
    <w:rsid w:val="00B451B3"/>
    <w:rsid w:val="00B457DF"/>
    <w:rsid w:val="00B45E3D"/>
    <w:rsid w:val="00B461F1"/>
    <w:rsid w:val="00B463B5"/>
    <w:rsid w:val="00B465B0"/>
    <w:rsid w:val="00B46833"/>
    <w:rsid w:val="00B5012C"/>
    <w:rsid w:val="00B50445"/>
    <w:rsid w:val="00B50746"/>
    <w:rsid w:val="00B50A40"/>
    <w:rsid w:val="00B50B06"/>
    <w:rsid w:val="00B50D58"/>
    <w:rsid w:val="00B50D7C"/>
    <w:rsid w:val="00B50F45"/>
    <w:rsid w:val="00B5128A"/>
    <w:rsid w:val="00B51E6D"/>
    <w:rsid w:val="00B51F8C"/>
    <w:rsid w:val="00B521EE"/>
    <w:rsid w:val="00B525B7"/>
    <w:rsid w:val="00B52C32"/>
    <w:rsid w:val="00B52CC4"/>
    <w:rsid w:val="00B53B28"/>
    <w:rsid w:val="00B54724"/>
    <w:rsid w:val="00B54A30"/>
    <w:rsid w:val="00B5543C"/>
    <w:rsid w:val="00B558DB"/>
    <w:rsid w:val="00B55A16"/>
    <w:rsid w:val="00B55BEA"/>
    <w:rsid w:val="00B55D92"/>
    <w:rsid w:val="00B5605C"/>
    <w:rsid w:val="00B5606B"/>
    <w:rsid w:val="00B56172"/>
    <w:rsid w:val="00B56286"/>
    <w:rsid w:val="00B564E8"/>
    <w:rsid w:val="00B564F6"/>
    <w:rsid w:val="00B5650A"/>
    <w:rsid w:val="00B56555"/>
    <w:rsid w:val="00B569A1"/>
    <w:rsid w:val="00B57438"/>
    <w:rsid w:val="00B5784B"/>
    <w:rsid w:val="00B57B87"/>
    <w:rsid w:val="00B60139"/>
    <w:rsid w:val="00B60846"/>
    <w:rsid w:val="00B60BBB"/>
    <w:rsid w:val="00B60CC0"/>
    <w:rsid w:val="00B610B7"/>
    <w:rsid w:val="00B61761"/>
    <w:rsid w:val="00B61781"/>
    <w:rsid w:val="00B618E8"/>
    <w:rsid w:val="00B61D87"/>
    <w:rsid w:val="00B622DF"/>
    <w:rsid w:val="00B62447"/>
    <w:rsid w:val="00B625EB"/>
    <w:rsid w:val="00B63F82"/>
    <w:rsid w:val="00B64428"/>
    <w:rsid w:val="00B64707"/>
    <w:rsid w:val="00B64A13"/>
    <w:rsid w:val="00B64AAA"/>
    <w:rsid w:val="00B64ADF"/>
    <w:rsid w:val="00B64BBF"/>
    <w:rsid w:val="00B655CC"/>
    <w:rsid w:val="00B65937"/>
    <w:rsid w:val="00B65D73"/>
    <w:rsid w:val="00B65DAA"/>
    <w:rsid w:val="00B6645D"/>
    <w:rsid w:val="00B664EF"/>
    <w:rsid w:val="00B66B2F"/>
    <w:rsid w:val="00B66BB0"/>
    <w:rsid w:val="00B66CF0"/>
    <w:rsid w:val="00B66DE0"/>
    <w:rsid w:val="00B67612"/>
    <w:rsid w:val="00B67B12"/>
    <w:rsid w:val="00B67D50"/>
    <w:rsid w:val="00B67E5C"/>
    <w:rsid w:val="00B67FFD"/>
    <w:rsid w:val="00B7005F"/>
    <w:rsid w:val="00B70137"/>
    <w:rsid w:val="00B70832"/>
    <w:rsid w:val="00B70833"/>
    <w:rsid w:val="00B70BCB"/>
    <w:rsid w:val="00B70CCE"/>
    <w:rsid w:val="00B7104E"/>
    <w:rsid w:val="00B71457"/>
    <w:rsid w:val="00B719D2"/>
    <w:rsid w:val="00B71A11"/>
    <w:rsid w:val="00B71BAE"/>
    <w:rsid w:val="00B720EC"/>
    <w:rsid w:val="00B72148"/>
    <w:rsid w:val="00B7243E"/>
    <w:rsid w:val="00B72915"/>
    <w:rsid w:val="00B72B7D"/>
    <w:rsid w:val="00B73A74"/>
    <w:rsid w:val="00B7401C"/>
    <w:rsid w:val="00B74F7F"/>
    <w:rsid w:val="00B754CA"/>
    <w:rsid w:val="00B7555F"/>
    <w:rsid w:val="00B756DB"/>
    <w:rsid w:val="00B757C3"/>
    <w:rsid w:val="00B75B08"/>
    <w:rsid w:val="00B75E35"/>
    <w:rsid w:val="00B75E4E"/>
    <w:rsid w:val="00B75FEA"/>
    <w:rsid w:val="00B7663C"/>
    <w:rsid w:val="00B7686B"/>
    <w:rsid w:val="00B76C2D"/>
    <w:rsid w:val="00B771DC"/>
    <w:rsid w:val="00B775BA"/>
    <w:rsid w:val="00B77648"/>
    <w:rsid w:val="00B77EE3"/>
    <w:rsid w:val="00B800F1"/>
    <w:rsid w:val="00B8067F"/>
    <w:rsid w:val="00B81D6A"/>
    <w:rsid w:val="00B82174"/>
    <w:rsid w:val="00B82200"/>
    <w:rsid w:val="00B82B3F"/>
    <w:rsid w:val="00B82C25"/>
    <w:rsid w:val="00B83244"/>
    <w:rsid w:val="00B83907"/>
    <w:rsid w:val="00B83AE8"/>
    <w:rsid w:val="00B83D0E"/>
    <w:rsid w:val="00B83E42"/>
    <w:rsid w:val="00B84869"/>
    <w:rsid w:val="00B84933"/>
    <w:rsid w:val="00B84B97"/>
    <w:rsid w:val="00B84C53"/>
    <w:rsid w:val="00B84CE8"/>
    <w:rsid w:val="00B85091"/>
    <w:rsid w:val="00B85125"/>
    <w:rsid w:val="00B8582C"/>
    <w:rsid w:val="00B85B77"/>
    <w:rsid w:val="00B86488"/>
    <w:rsid w:val="00B86607"/>
    <w:rsid w:val="00B86AA2"/>
    <w:rsid w:val="00B87859"/>
    <w:rsid w:val="00B901B8"/>
    <w:rsid w:val="00B903D3"/>
    <w:rsid w:val="00B90C99"/>
    <w:rsid w:val="00B90F95"/>
    <w:rsid w:val="00B91191"/>
    <w:rsid w:val="00B91221"/>
    <w:rsid w:val="00B9193F"/>
    <w:rsid w:val="00B91D47"/>
    <w:rsid w:val="00B91E19"/>
    <w:rsid w:val="00B91FA4"/>
    <w:rsid w:val="00B9252C"/>
    <w:rsid w:val="00B932EA"/>
    <w:rsid w:val="00B93E38"/>
    <w:rsid w:val="00B93E3A"/>
    <w:rsid w:val="00B93EC1"/>
    <w:rsid w:val="00B94103"/>
    <w:rsid w:val="00B9431E"/>
    <w:rsid w:val="00B94688"/>
    <w:rsid w:val="00B947AE"/>
    <w:rsid w:val="00B9485A"/>
    <w:rsid w:val="00B94B07"/>
    <w:rsid w:val="00B94B8F"/>
    <w:rsid w:val="00B94CF2"/>
    <w:rsid w:val="00B94FD8"/>
    <w:rsid w:val="00B953E2"/>
    <w:rsid w:val="00B95B09"/>
    <w:rsid w:val="00B95EA8"/>
    <w:rsid w:val="00B9691B"/>
    <w:rsid w:val="00B96E0C"/>
    <w:rsid w:val="00B971B9"/>
    <w:rsid w:val="00B9724F"/>
    <w:rsid w:val="00B973CD"/>
    <w:rsid w:val="00BA05BD"/>
    <w:rsid w:val="00BA0872"/>
    <w:rsid w:val="00BA0986"/>
    <w:rsid w:val="00BA0C92"/>
    <w:rsid w:val="00BA0E4C"/>
    <w:rsid w:val="00BA1137"/>
    <w:rsid w:val="00BA171F"/>
    <w:rsid w:val="00BA28BA"/>
    <w:rsid w:val="00BA2DB2"/>
    <w:rsid w:val="00BA31CC"/>
    <w:rsid w:val="00BA34CE"/>
    <w:rsid w:val="00BA366D"/>
    <w:rsid w:val="00BA3CB8"/>
    <w:rsid w:val="00BA3DCB"/>
    <w:rsid w:val="00BA40DD"/>
    <w:rsid w:val="00BA4555"/>
    <w:rsid w:val="00BA45C8"/>
    <w:rsid w:val="00BA4D69"/>
    <w:rsid w:val="00BA5489"/>
    <w:rsid w:val="00BA551F"/>
    <w:rsid w:val="00BA564F"/>
    <w:rsid w:val="00BA5D19"/>
    <w:rsid w:val="00BA5D60"/>
    <w:rsid w:val="00BA61E0"/>
    <w:rsid w:val="00BA61EC"/>
    <w:rsid w:val="00BA6F33"/>
    <w:rsid w:val="00BA6F66"/>
    <w:rsid w:val="00BA71CE"/>
    <w:rsid w:val="00BA746A"/>
    <w:rsid w:val="00BA7623"/>
    <w:rsid w:val="00BA78D7"/>
    <w:rsid w:val="00BA7FBE"/>
    <w:rsid w:val="00BB011C"/>
    <w:rsid w:val="00BB0CE1"/>
    <w:rsid w:val="00BB0DFC"/>
    <w:rsid w:val="00BB0FD7"/>
    <w:rsid w:val="00BB123A"/>
    <w:rsid w:val="00BB18BB"/>
    <w:rsid w:val="00BB18E1"/>
    <w:rsid w:val="00BB18E5"/>
    <w:rsid w:val="00BB19C8"/>
    <w:rsid w:val="00BB19F3"/>
    <w:rsid w:val="00BB1A41"/>
    <w:rsid w:val="00BB257A"/>
    <w:rsid w:val="00BB2D64"/>
    <w:rsid w:val="00BB34BD"/>
    <w:rsid w:val="00BB3E04"/>
    <w:rsid w:val="00BB4175"/>
    <w:rsid w:val="00BB44B9"/>
    <w:rsid w:val="00BB45EA"/>
    <w:rsid w:val="00BB486F"/>
    <w:rsid w:val="00BB4A0D"/>
    <w:rsid w:val="00BB4A38"/>
    <w:rsid w:val="00BB4D1A"/>
    <w:rsid w:val="00BB523E"/>
    <w:rsid w:val="00BB566D"/>
    <w:rsid w:val="00BB64D0"/>
    <w:rsid w:val="00BB6546"/>
    <w:rsid w:val="00BB6595"/>
    <w:rsid w:val="00BB6626"/>
    <w:rsid w:val="00BB6A27"/>
    <w:rsid w:val="00BB6B72"/>
    <w:rsid w:val="00BB6E89"/>
    <w:rsid w:val="00BB71D2"/>
    <w:rsid w:val="00BB741A"/>
    <w:rsid w:val="00BB7727"/>
    <w:rsid w:val="00BB787B"/>
    <w:rsid w:val="00BB7D7C"/>
    <w:rsid w:val="00BB7E1E"/>
    <w:rsid w:val="00BB7E94"/>
    <w:rsid w:val="00BC0DCE"/>
    <w:rsid w:val="00BC127C"/>
    <w:rsid w:val="00BC1551"/>
    <w:rsid w:val="00BC16A5"/>
    <w:rsid w:val="00BC1FBA"/>
    <w:rsid w:val="00BC2597"/>
    <w:rsid w:val="00BC25CE"/>
    <w:rsid w:val="00BC26A7"/>
    <w:rsid w:val="00BC281C"/>
    <w:rsid w:val="00BC296E"/>
    <w:rsid w:val="00BC2B0A"/>
    <w:rsid w:val="00BC3643"/>
    <w:rsid w:val="00BC3653"/>
    <w:rsid w:val="00BC39BB"/>
    <w:rsid w:val="00BC3D86"/>
    <w:rsid w:val="00BC451B"/>
    <w:rsid w:val="00BC45CE"/>
    <w:rsid w:val="00BC483E"/>
    <w:rsid w:val="00BC4A37"/>
    <w:rsid w:val="00BC4D91"/>
    <w:rsid w:val="00BC5E54"/>
    <w:rsid w:val="00BC5F12"/>
    <w:rsid w:val="00BC6606"/>
    <w:rsid w:val="00BC66B0"/>
    <w:rsid w:val="00BC68B1"/>
    <w:rsid w:val="00BC6A3A"/>
    <w:rsid w:val="00BC6CE6"/>
    <w:rsid w:val="00BC710A"/>
    <w:rsid w:val="00BC7706"/>
    <w:rsid w:val="00BC7C1B"/>
    <w:rsid w:val="00BD03A8"/>
    <w:rsid w:val="00BD09DB"/>
    <w:rsid w:val="00BD0A9A"/>
    <w:rsid w:val="00BD0C98"/>
    <w:rsid w:val="00BD11BF"/>
    <w:rsid w:val="00BD1334"/>
    <w:rsid w:val="00BD133A"/>
    <w:rsid w:val="00BD190D"/>
    <w:rsid w:val="00BD1B64"/>
    <w:rsid w:val="00BD1CD1"/>
    <w:rsid w:val="00BD1D47"/>
    <w:rsid w:val="00BD1F46"/>
    <w:rsid w:val="00BD26EC"/>
    <w:rsid w:val="00BD29CC"/>
    <w:rsid w:val="00BD2A30"/>
    <w:rsid w:val="00BD2F32"/>
    <w:rsid w:val="00BD31D6"/>
    <w:rsid w:val="00BD379D"/>
    <w:rsid w:val="00BD387B"/>
    <w:rsid w:val="00BD38E2"/>
    <w:rsid w:val="00BD3A11"/>
    <w:rsid w:val="00BD4706"/>
    <w:rsid w:val="00BD4C6C"/>
    <w:rsid w:val="00BD5025"/>
    <w:rsid w:val="00BD52D4"/>
    <w:rsid w:val="00BD53C5"/>
    <w:rsid w:val="00BD53D9"/>
    <w:rsid w:val="00BD60FF"/>
    <w:rsid w:val="00BD6292"/>
    <w:rsid w:val="00BD6B18"/>
    <w:rsid w:val="00BD6B45"/>
    <w:rsid w:val="00BD6BFA"/>
    <w:rsid w:val="00BD76D6"/>
    <w:rsid w:val="00BD7B75"/>
    <w:rsid w:val="00BD7C80"/>
    <w:rsid w:val="00BD7CE7"/>
    <w:rsid w:val="00BD7FA3"/>
    <w:rsid w:val="00BE01CD"/>
    <w:rsid w:val="00BE07BA"/>
    <w:rsid w:val="00BE0BC6"/>
    <w:rsid w:val="00BE0D06"/>
    <w:rsid w:val="00BE0D9C"/>
    <w:rsid w:val="00BE149C"/>
    <w:rsid w:val="00BE157A"/>
    <w:rsid w:val="00BE15FE"/>
    <w:rsid w:val="00BE1A04"/>
    <w:rsid w:val="00BE1A49"/>
    <w:rsid w:val="00BE1EB4"/>
    <w:rsid w:val="00BE2131"/>
    <w:rsid w:val="00BE24DF"/>
    <w:rsid w:val="00BE27BF"/>
    <w:rsid w:val="00BE2A7B"/>
    <w:rsid w:val="00BE2AE6"/>
    <w:rsid w:val="00BE2BCF"/>
    <w:rsid w:val="00BE2C34"/>
    <w:rsid w:val="00BE332E"/>
    <w:rsid w:val="00BE3568"/>
    <w:rsid w:val="00BE4BCE"/>
    <w:rsid w:val="00BE4E0B"/>
    <w:rsid w:val="00BE5871"/>
    <w:rsid w:val="00BE5D66"/>
    <w:rsid w:val="00BE62F9"/>
    <w:rsid w:val="00BE6A40"/>
    <w:rsid w:val="00BE7172"/>
    <w:rsid w:val="00BE73E5"/>
    <w:rsid w:val="00BE7684"/>
    <w:rsid w:val="00BE7719"/>
    <w:rsid w:val="00BE7867"/>
    <w:rsid w:val="00BF052E"/>
    <w:rsid w:val="00BF0EF2"/>
    <w:rsid w:val="00BF1021"/>
    <w:rsid w:val="00BF10DC"/>
    <w:rsid w:val="00BF11A0"/>
    <w:rsid w:val="00BF13A1"/>
    <w:rsid w:val="00BF1459"/>
    <w:rsid w:val="00BF1952"/>
    <w:rsid w:val="00BF1DF7"/>
    <w:rsid w:val="00BF2830"/>
    <w:rsid w:val="00BF284C"/>
    <w:rsid w:val="00BF2FEB"/>
    <w:rsid w:val="00BF2FFA"/>
    <w:rsid w:val="00BF3BEA"/>
    <w:rsid w:val="00BF4207"/>
    <w:rsid w:val="00BF43C3"/>
    <w:rsid w:val="00BF4404"/>
    <w:rsid w:val="00BF44F1"/>
    <w:rsid w:val="00BF5121"/>
    <w:rsid w:val="00BF5B7B"/>
    <w:rsid w:val="00BF5D48"/>
    <w:rsid w:val="00BF676A"/>
    <w:rsid w:val="00BF68C8"/>
    <w:rsid w:val="00BF7456"/>
    <w:rsid w:val="00BF7477"/>
    <w:rsid w:val="00BF7514"/>
    <w:rsid w:val="00BF7A5F"/>
    <w:rsid w:val="00BF7BE6"/>
    <w:rsid w:val="00BF7DC0"/>
    <w:rsid w:val="00C001BA"/>
    <w:rsid w:val="00C0071C"/>
    <w:rsid w:val="00C0078D"/>
    <w:rsid w:val="00C00B57"/>
    <w:rsid w:val="00C011DE"/>
    <w:rsid w:val="00C016A3"/>
    <w:rsid w:val="00C018E8"/>
    <w:rsid w:val="00C01E68"/>
    <w:rsid w:val="00C02109"/>
    <w:rsid w:val="00C0237D"/>
    <w:rsid w:val="00C02747"/>
    <w:rsid w:val="00C027B7"/>
    <w:rsid w:val="00C02C5A"/>
    <w:rsid w:val="00C0340A"/>
    <w:rsid w:val="00C037C0"/>
    <w:rsid w:val="00C0400C"/>
    <w:rsid w:val="00C04B61"/>
    <w:rsid w:val="00C04DA0"/>
    <w:rsid w:val="00C0518D"/>
    <w:rsid w:val="00C05431"/>
    <w:rsid w:val="00C05700"/>
    <w:rsid w:val="00C05869"/>
    <w:rsid w:val="00C05AE3"/>
    <w:rsid w:val="00C0602B"/>
    <w:rsid w:val="00C063B0"/>
    <w:rsid w:val="00C07954"/>
    <w:rsid w:val="00C07AA8"/>
    <w:rsid w:val="00C07DBD"/>
    <w:rsid w:val="00C10013"/>
    <w:rsid w:val="00C1010B"/>
    <w:rsid w:val="00C10263"/>
    <w:rsid w:val="00C10A83"/>
    <w:rsid w:val="00C10FE0"/>
    <w:rsid w:val="00C10FED"/>
    <w:rsid w:val="00C111D4"/>
    <w:rsid w:val="00C1148E"/>
    <w:rsid w:val="00C116BF"/>
    <w:rsid w:val="00C11837"/>
    <w:rsid w:val="00C11924"/>
    <w:rsid w:val="00C11D1D"/>
    <w:rsid w:val="00C11DD1"/>
    <w:rsid w:val="00C124B2"/>
    <w:rsid w:val="00C1306D"/>
    <w:rsid w:val="00C1325D"/>
    <w:rsid w:val="00C1335B"/>
    <w:rsid w:val="00C13951"/>
    <w:rsid w:val="00C13A2C"/>
    <w:rsid w:val="00C13C3C"/>
    <w:rsid w:val="00C14016"/>
    <w:rsid w:val="00C1443B"/>
    <w:rsid w:val="00C14644"/>
    <w:rsid w:val="00C14AAD"/>
    <w:rsid w:val="00C15E3C"/>
    <w:rsid w:val="00C16241"/>
    <w:rsid w:val="00C16835"/>
    <w:rsid w:val="00C1685A"/>
    <w:rsid w:val="00C16D5A"/>
    <w:rsid w:val="00C171D8"/>
    <w:rsid w:val="00C17713"/>
    <w:rsid w:val="00C17B40"/>
    <w:rsid w:val="00C17B9D"/>
    <w:rsid w:val="00C17F94"/>
    <w:rsid w:val="00C201E4"/>
    <w:rsid w:val="00C2054E"/>
    <w:rsid w:val="00C209AF"/>
    <w:rsid w:val="00C20AB0"/>
    <w:rsid w:val="00C20BD7"/>
    <w:rsid w:val="00C20CE4"/>
    <w:rsid w:val="00C21915"/>
    <w:rsid w:val="00C221A0"/>
    <w:rsid w:val="00C23095"/>
    <w:rsid w:val="00C238D1"/>
    <w:rsid w:val="00C2390A"/>
    <w:rsid w:val="00C240F6"/>
    <w:rsid w:val="00C24247"/>
    <w:rsid w:val="00C24C86"/>
    <w:rsid w:val="00C259C7"/>
    <w:rsid w:val="00C259C8"/>
    <w:rsid w:val="00C25C46"/>
    <w:rsid w:val="00C25DB1"/>
    <w:rsid w:val="00C26470"/>
    <w:rsid w:val="00C2692E"/>
    <w:rsid w:val="00C26CAB"/>
    <w:rsid w:val="00C26EEA"/>
    <w:rsid w:val="00C2736B"/>
    <w:rsid w:val="00C27732"/>
    <w:rsid w:val="00C27978"/>
    <w:rsid w:val="00C27D91"/>
    <w:rsid w:val="00C27E84"/>
    <w:rsid w:val="00C27F66"/>
    <w:rsid w:val="00C30265"/>
    <w:rsid w:val="00C30656"/>
    <w:rsid w:val="00C30B1A"/>
    <w:rsid w:val="00C30C1C"/>
    <w:rsid w:val="00C30CC3"/>
    <w:rsid w:val="00C30F0C"/>
    <w:rsid w:val="00C311C0"/>
    <w:rsid w:val="00C3126F"/>
    <w:rsid w:val="00C31285"/>
    <w:rsid w:val="00C312B8"/>
    <w:rsid w:val="00C31E23"/>
    <w:rsid w:val="00C326F9"/>
    <w:rsid w:val="00C3295D"/>
    <w:rsid w:val="00C32CCB"/>
    <w:rsid w:val="00C32D3D"/>
    <w:rsid w:val="00C32EBF"/>
    <w:rsid w:val="00C32FED"/>
    <w:rsid w:val="00C3366E"/>
    <w:rsid w:val="00C34090"/>
    <w:rsid w:val="00C341BE"/>
    <w:rsid w:val="00C34CED"/>
    <w:rsid w:val="00C35030"/>
    <w:rsid w:val="00C35281"/>
    <w:rsid w:val="00C35494"/>
    <w:rsid w:val="00C35C09"/>
    <w:rsid w:val="00C361E5"/>
    <w:rsid w:val="00C3625E"/>
    <w:rsid w:val="00C36665"/>
    <w:rsid w:val="00C369F6"/>
    <w:rsid w:val="00C36C2B"/>
    <w:rsid w:val="00C36F69"/>
    <w:rsid w:val="00C36F83"/>
    <w:rsid w:val="00C36FFC"/>
    <w:rsid w:val="00C37132"/>
    <w:rsid w:val="00C37631"/>
    <w:rsid w:val="00C378B9"/>
    <w:rsid w:val="00C379D9"/>
    <w:rsid w:val="00C37A29"/>
    <w:rsid w:val="00C37E66"/>
    <w:rsid w:val="00C4049A"/>
    <w:rsid w:val="00C40558"/>
    <w:rsid w:val="00C40719"/>
    <w:rsid w:val="00C4099B"/>
    <w:rsid w:val="00C40D89"/>
    <w:rsid w:val="00C40E7F"/>
    <w:rsid w:val="00C413A6"/>
    <w:rsid w:val="00C4177E"/>
    <w:rsid w:val="00C419CB"/>
    <w:rsid w:val="00C4262E"/>
    <w:rsid w:val="00C42862"/>
    <w:rsid w:val="00C4337B"/>
    <w:rsid w:val="00C44851"/>
    <w:rsid w:val="00C44D1D"/>
    <w:rsid w:val="00C4510C"/>
    <w:rsid w:val="00C46172"/>
    <w:rsid w:val="00C46379"/>
    <w:rsid w:val="00C46934"/>
    <w:rsid w:val="00C47E45"/>
    <w:rsid w:val="00C50322"/>
    <w:rsid w:val="00C5036B"/>
    <w:rsid w:val="00C50DEB"/>
    <w:rsid w:val="00C50E02"/>
    <w:rsid w:val="00C50FCF"/>
    <w:rsid w:val="00C5132E"/>
    <w:rsid w:val="00C51742"/>
    <w:rsid w:val="00C51892"/>
    <w:rsid w:val="00C51A2B"/>
    <w:rsid w:val="00C51A4D"/>
    <w:rsid w:val="00C51B9F"/>
    <w:rsid w:val="00C51BC3"/>
    <w:rsid w:val="00C51C03"/>
    <w:rsid w:val="00C527AE"/>
    <w:rsid w:val="00C527C0"/>
    <w:rsid w:val="00C52AD2"/>
    <w:rsid w:val="00C53276"/>
    <w:rsid w:val="00C53941"/>
    <w:rsid w:val="00C54B96"/>
    <w:rsid w:val="00C54D08"/>
    <w:rsid w:val="00C54E87"/>
    <w:rsid w:val="00C54FD5"/>
    <w:rsid w:val="00C551DE"/>
    <w:rsid w:val="00C55391"/>
    <w:rsid w:val="00C555AD"/>
    <w:rsid w:val="00C55877"/>
    <w:rsid w:val="00C558E1"/>
    <w:rsid w:val="00C55D8A"/>
    <w:rsid w:val="00C5635D"/>
    <w:rsid w:val="00C567DB"/>
    <w:rsid w:val="00C56E0C"/>
    <w:rsid w:val="00C570A3"/>
    <w:rsid w:val="00C572B2"/>
    <w:rsid w:val="00C578E0"/>
    <w:rsid w:val="00C57D8C"/>
    <w:rsid w:val="00C57EAC"/>
    <w:rsid w:val="00C57F14"/>
    <w:rsid w:val="00C60502"/>
    <w:rsid w:val="00C60506"/>
    <w:rsid w:val="00C60C7A"/>
    <w:rsid w:val="00C613D0"/>
    <w:rsid w:val="00C6163F"/>
    <w:rsid w:val="00C61B89"/>
    <w:rsid w:val="00C61E91"/>
    <w:rsid w:val="00C61FA1"/>
    <w:rsid w:val="00C6260D"/>
    <w:rsid w:val="00C62647"/>
    <w:rsid w:val="00C626D1"/>
    <w:rsid w:val="00C634EA"/>
    <w:rsid w:val="00C63E4F"/>
    <w:rsid w:val="00C64251"/>
    <w:rsid w:val="00C65710"/>
    <w:rsid w:val="00C657FE"/>
    <w:rsid w:val="00C65A73"/>
    <w:rsid w:val="00C65E5D"/>
    <w:rsid w:val="00C666FA"/>
    <w:rsid w:val="00C66B38"/>
    <w:rsid w:val="00C66B55"/>
    <w:rsid w:val="00C66DC0"/>
    <w:rsid w:val="00C67293"/>
    <w:rsid w:val="00C67521"/>
    <w:rsid w:val="00C6779A"/>
    <w:rsid w:val="00C67ED6"/>
    <w:rsid w:val="00C70175"/>
    <w:rsid w:val="00C70505"/>
    <w:rsid w:val="00C70789"/>
    <w:rsid w:val="00C7078B"/>
    <w:rsid w:val="00C7086A"/>
    <w:rsid w:val="00C70D80"/>
    <w:rsid w:val="00C70EFC"/>
    <w:rsid w:val="00C71201"/>
    <w:rsid w:val="00C7161E"/>
    <w:rsid w:val="00C71688"/>
    <w:rsid w:val="00C71973"/>
    <w:rsid w:val="00C719DA"/>
    <w:rsid w:val="00C71F35"/>
    <w:rsid w:val="00C71FFF"/>
    <w:rsid w:val="00C72158"/>
    <w:rsid w:val="00C72AFA"/>
    <w:rsid w:val="00C72B58"/>
    <w:rsid w:val="00C72BF8"/>
    <w:rsid w:val="00C7307B"/>
    <w:rsid w:val="00C7309D"/>
    <w:rsid w:val="00C7313E"/>
    <w:rsid w:val="00C7340B"/>
    <w:rsid w:val="00C73535"/>
    <w:rsid w:val="00C736D1"/>
    <w:rsid w:val="00C738F9"/>
    <w:rsid w:val="00C73DE2"/>
    <w:rsid w:val="00C7429A"/>
    <w:rsid w:val="00C74C98"/>
    <w:rsid w:val="00C7566F"/>
    <w:rsid w:val="00C75BE3"/>
    <w:rsid w:val="00C75C56"/>
    <w:rsid w:val="00C75C8E"/>
    <w:rsid w:val="00C76666"/>
    <w:rsid w:val="00C775DA"/>
    <w:rsid w:val="00C77D9F"/>
    <w:rsid w:val="00C801AC"/>
    <w:rsid w:val="00C803B9"/>
    <w:rsid w:val="00C80763"/>
    <w:rsid w:val="00C80EF7"/>
    <w:rsid w:val="00C81527"/>
    <w:rsid w:val="00C81E36"/>
    <w:rsid w:val="00C820C1"/>
    <w:rsid w:val="00C8263D"/>
    <w:rsid w:val="00C82C52"/>
    <w:rsid w:val="00C82E92"/>
    <w:rsid w:val="00C8368E"/>
    <w:rsid w:val="00C84ECC"/>
    <w:rsid w:val="00C8500C"/>
    <w:rsid w:val="00C8538A"/>
    <w:rsid w:val="00C86212"/>
    <w:rsid w:val="00C86773"/>
    <w:rsid w:val="00C86892"/>
    <w:rsid w:val="00C87260"/>
    <w:rsid w:val="00C87418"/>
    <w:rsid w:val="00C877E4"/>
    <w:rsid w:val="00C87C13"/>
    <w:rsid w:val="00C87C40"/>
    <w:rsid w:val="00C87D4B"/>
    <w:rsid w:val="00C9004E"/>
    <w:rsid w:val="00C9032C"/>
    <w:rsid w:val="00C9032F"/>
    <w:rsid w:val="00C9073F"/>
    <w:rsid w:val="00C90C21"/>
    <w:rsid w:val="00C90C4C"/>
    <w:rsid w:val="00C90DF8"/>
    <w:rsid w:val="00C9148B"/>
    <w:rsid w:val="00C915F2"/>
    <w:rsid w:val="00C916E7"/>
    <w:rsid w:val="00C91722"/>
    <w:rsid w:val="00C91866"/>
    <w:rsid w:val="00C91AF7"/>
    <w:rsid w:val="00C91D33"/>
    <w:rsid w:val="00C92005"/>
    <w:rsid w:val="00C923E3"/>
    <w:rsid w:val="00C92786"/>
    <w:rsid w:val="00C92A0B"/>
    <w:rsid w:val="00C92CD1"/>
    <w:rsid w:val="00C930ED"/>
    <w:rsid w:val="00C932F3"/>
    <w:rsid w:val="00C93670"/>
    <w:rsid w:val="00C93D3E"/>
    <w:rsid w:val="00C940FA"/>
    <w:rsid w:val="00C945E6"/>
    <w:rsid w:val="00C94ABF"/>
    <w:rsid w:val="00C94F4D"/>
    <w:rsid w:val="00C951E4"/>
    <w:rsid w:val="00C9550B"/>
    <w:rsid w:val="00C958FC"/>
    <w:rsid w:val="00C9597A"/>
    <w:rsid w:val="00C959CB"/>
    <w:rsid w:val="00C960B0"/>
    <w:rsid w:val="00C96538"/>
    <w:rsid w:val="00C967CA"/>
    <w:rsid w:val="00C96BE8"/>
    <w:rsid w:val="00C96F33"/>
    <w:rsid w:val="00C97374"/>
    <w:rsid w:val="00C976F6"/>
    <w:rsid w:val="00C9778A"/>
    <w:rsid w:val="00C97AA4"/>
    <w:rsid w:val="00C97FE6"/>
    <w:rsid w:val="00CA05F0"/>
    <w:rsid w:val="00CA0B3F"/>
    <w:rsid w:val="00CA0EAF"/>
    <w:rsid w:val="00CA15DF"/>
    <w:rsid w:val="00CA172E"/>
    <w:rsid w:val="00CA1BC5"/>
    <w:rsid w:val="00CA2948"/>
    <w:rsid w:val="00CA3034"/>
    <w:rsid w:val="00CA327E"/>
    <w:rsid w:val="00CA3359"/>
    <w:rsid w:val="00CA3404"/>
    <w:rsid w:val="00CA3D23"/>
    <w:rsid w:val="00CA3DB1"/>
    <w:rsid w:val="00CA3DB4"/>
    <w:rsid w:val="00CA4054"/>
    <w:rsid w:val="00CA49A2"/>
    <w:rsid w:val="00CA4B95"/>
    <w:rsid w:val="00CA50A6"/>
    <w:rsid w:val="00CA57AC"/>
    <w:rsid w:val="00CA617C"/>
    <w:rsid w:val="00CA69AE"/>
    <w:rsid w:val="00CA76E6"/>
    <w:rsid w:val="00CA779B"/>
    <w:rsid w:val="00CB004E"/>
    <w:rsid w:val="00CB0747"/>
    <w:rsid w:val="00CB0E7D"/>
    <w:rsid w:val="00CB0EC2"/>
    <w:rsid w:val="00CB11DE"/>
    <w:rsid w:val="00CB1A15"/>
    <w:rsid w:val="00CB1D2C"/>
    <w:rsid w:val="00CB21EA"/>
    <w:rsid w:val="00CB2984"/>
    <w:rsid w:val="00CB2B0A"/>
    <w:rsid w:val="00CB31E7"/>
    <w:rsid w:val="00CB3710"/>
    <w:rsid w:val="00CB3A1E"/>
    <w:rsid w:val="00CB3B07"/>
    <w:rsid w:val="00CB3BC6"/>
    <w:rsid w:val="00CB3FF4"/>
    <w:rsid w:val="00CB4190"/>
    <w:rsid w:val="00CB46ED"/>
    <w:rsid w:val="00CB471A"/>
    <w:rsid w:val="00CB527C"/>
    <w:rsid w:val="00CB53EC"/>
    <w:rsid w:val="00CB5441"/>
    <w:rsid w:val="00CB56F4"/>
    <w:rsid w:val="00CB58FA"/>
    <w:rsid w:val="00CB5B0A"/>
    <w:rsid w:val="00CB5B2A"/>
    <w:rsid w:val="00CB5BB6"/>
    <w:rsid w:val="00CB6221"/>
    <w:rsid w:val="00CB62C5"/>
    <w:rsid w:val="00CB6478"/>
    <w:rsid w:val="00CB6A21"/>
    <w:rsid w:val="00CB6F5E"/>
    <w:rsid w:val="00CB7894"/>
    <w:rsid w:val="00CB7A9A"/>
    <w:rsid w:val="00CC06E5"/>
    <w:rsid w:val="00CC0EE5"/>
    <w:rsid w:val="00CC1323"/>
    <w:rsid w:val="00CC14DB"/>
    <w:rsid w:val="00CC183B"/>
    <w:rsid w:val="00CC1A47"/>
    <w:rsid w:val="00CC2689"/>
    <w:rsid w:val="00CC26DB"/>
    <w:rsid w:val="00CC2AE4"/>
    <w:rsid w:val="00CC2F3F"/>
    <w:rsid w:val="00CC3184"/>
    <w:rsid w:val="00CC3AB4"/>
    <w:rsid w:val="00CC3DE4"/>
    <w:rsid w:val="00CC459B"/>
    <w:rsid w:val="00CC49D8"/>
    <w:rsid w:val="00CC4F6B"/>
    <w:rsid w:val="00CC57FC"/>
    <w:rsid w:val="00CC5F5B"/>
    <w:rsid w:val="00CC69DB"/>
    <w:rsid w:val="00CC7570"/>
    <w:rsid w:val="00CC7A2B"/>
    <w:rsid w:val="00CC7B84"/>
    <w:rsid w:val="00CC7F44"/>
    <w:rsid w:val="00CD00B5"/>
    <w:rsid w:val="00CD00C2"/>
    <w:rsid w:val="00CD0444"/>
    <w:rsid w:val="00CD04EF"/>
    <w:rsid w:val="00CD09C4"/>
    <w:rsid w:val="00CD0ECA"/>
    <w:rsid w:val="00CD14B0"/>
    <w:rsid w:val="00CD1586"/>
    <w:rsid w:val="00CD179F"/>
    <w:rsid w:val="00CD1FA6"/>
    <w:rsid w:val="00CD1FD6"/>
    <w:rsid w:val="00CD23F1"/>
    <w:rsid w:val="00CD2AC3"/>
    <w:rsid w:val="00CD2EAF"/>
    <w:rsid w:val="00CD3352"/>
    <w:rsid w:val="00CD3586"/>
    <w:rsid w:val="00CD38C2"/>
    <w:rsid w:val="00CD3908"/>
    <w:rsid w:val="00CD3C58"/>
    <w:rsid w:val="00CD4ADB"/>
    <w:rsid w:val="00CD4B58"/>
    <w:rsid w:val="00CD4B83"/>
    <w:rsid w:val="00CD4D7C"/>
    <w:rsid w:val="00CD4E4A"/>
    <w:rsid w:val="00CD5419"/>
    <w:rsid w:val="00CD5679"/>
    <w:rsid w:val="00CD57EB"/>
    <w:rsid w:val="00CD61EB"/>
    <w:rsid w:val="00CD64C3"/>
    <w:rsid w:val="00CD6828"/>
    <w:rsid w:val="00CD6B09"/>
    <w:rsid w:val="00CD6D4B"/>
    <w:rsid w:val="00CD73AA"/>
    <w:rsid w:val="00CD752A"/>
    <w:rsid w:val="00CD7898"/>
    <w:rsid w:val="00CD7BB9"/>
    <w:rsid w:val="00CD7F44"/>
    <w:rsid w:val="00CD7FF9"/>
    <w:rsid w:val="00CE0D06"/>
    <w:rsid w:val="00CE0DDA"/>
    <w:rsid w:val="00CE1223"/>
    <w:rsid w:val="00CE1F5F"/>
    <w:rsid w:val="00CE2236"/>
    <w:rsid w:val="00CE25F7"/>
    <w:rsid w:val="00CE264E"/>
    <w:rsid w:val="00CE2B66"/>
    <w:rsid w:val="00CE2CD9"/>
    <w:rsid w:val="00CE2E2D"/>
    <w:rsid w:val="00CE30E9"/>
    <w:rsid w:val="00CE337D"/>
    <w:rsid w:val="00CE3599"/>
    <w:rsid w:val="00CE3E7B"/>
    <w:rsid w:val="00CE3F29"/>
    <w:rsid w:val="00CE43AF"/>
    <w:rsid w:val="00CE4513"/>
    <w:rsid w:val="00CE4A42"/>
    <w:rsid w:val="00CE4B32"/>
    <w:rsid w:val="00CE4D3A"/>
    <w:rsid w:val="00CE4ECE"/>
    <w:rsid w:val="00CE5034"/>
    <w:rsid w:val="00CE570A"/>
    <w:rsid w:val="00CE6018"/>
    <w:rsid w:val="00CE6098"/>
    <w:rsid w:val="00CE62CC"/>
    <w:rsid w:val="00CE63E2"/>
    <w:rsid w:val="00CE64FD"/>
    <w:rsid w:val="00CE6D68"/>
    <w:rsid w:val="00CE7236"/>
    <w:rsid w:val="00CE7415"/>
    <w:rsid w:val="00CE79D3"/>
    <w:rsid w:val="00CE7AA5"/>
    <w:rsid w:val="00CF02F0"/>
    <w:rsid w:val="00CF09A7"/>
    <w:rsid w:val="00CF0DEF"/>
    <w:rsid w:val="00CF0E3D"/>
    <w:rsid w:val="00CF0FE6"/>
    <w:rsid w:val="00CF12B4"/>
    <w:rsid w:val="00CF12DE"/>
    <w:rsid w:val="00CF16F8"/>
    <w:rsid w:val="00CF170A"/>
    <w:rsid w:val="00CF1E99"/>
    <w:rsid w:val="00CF280B"/>
    <w:rsid w:val="00CF2A33"/>
    <w:rsid w:val="00CF3A99"/>
    <w:rsid w:val="00CF3CD5"/>
    <w:rsid w:val="00CF3F64"/>
    <w:rsid w:val="00CF42A9"/>
    <w:rsid w:val="00CF4358"/>
    <w:rsid w:val="00CF4AAA"/>
    <w:rsid w:val="00CF4BC6"/>
    <w:rsid w:val="00CF4C88"/>
    <w:rsid w:val="00CF4E59"/>
    <w:rsid w:val="00CF5608"/>
    <w:rsid w:val="00CF5818"/>
    <w:rsid w:val="00CF5B94"/>
    <w:rsid w:val="00CF5E54"/>
    <w:rsid w:val="00CF658F"/>
    <w:rsid w:val="00CF6B1E"/>
    <w:rsid w:val="00CF6E89"/>
    <w:rsid w:val="00CF6F46"/>
    <w:rsid w:val="00CF7391"/>
    <w:rsid w:val="00CF73D4"/>
    <w:rsid w:val="00CF753A"/>
    <w:rsid w:val="00CF7609"/>
    <w:rsid w:val="00CF77A5"/>
    <w:rsid w:val="00CF7E30"/>
    <w:rsid w:val="00CF7F06"/>
    <w:rsid w:val="00D000DD"/>
    <w:rsid w:val="00D008B0"/>
    <w:rsid w:val="00D00B2C"/>
    <w:rsid w:val="00D00DE7"/>
    <w:rsid w:val="00D011E1"/>
    <w:rsid w:val="00D01451"/>
    <w:rsid w:val="00D015DB"/>
    <w:rsid w:val="00D01615"/>
    <w:rsid w:val="00D01624"/>
    <w:rsid w:val="00D01834"/>
    <w:rsid w:val="00D01971"/>
    <w:rsid w:val="00D02037"/>
    <w:rsid w:val="00D02433"/>
    <w:rsid w:val="00D027D6"/>
    <w:rsid w:val="00D02966"/>
    <w:rsid w:val="00D02A46"/>
    <w:rsid w:val="00D02CF2"/>
    <w:rsid w:val="00D02E09"/>
    <w:rsid w:val="00D0352E"/>
    <w:rsid w:val="00D03533"/>
    <w:rsid w:val="00D0366A"/>
    <w:rsid w:val="00D03943"/>
    <w:rsid w:val="00D03D51"/>
    <w:rsid w:val="00D04092"/>
    <w:rsid w:val="00D058F4"/>
    <w:rsid w:val="00D065F0"/>
    <w:rsid w:val="00D067E9"/>
    <w:rsid w:val="00D06DC6"/>
    <w:rsid w:val="00D07BF9"/>
    <w:rsid w:val="00D07F1A"/>
    <w:rsid w:val="00D10170"/>
    <w:rsid w:val="00D109B9"/>
    <w:rsid w:val="00D10E85"/>
    <w:rsid w:val="00D10F14"/>
    <w:rsid w:val="00D10FF3"/>
    <w:rsid w:val="00D1126C"/>
    <w:rsid w:val="00D1192D"/>
    <w:rsid w:val="00D11947"/>
    <w:rsid w:val="00D11E9C"/>
    <w:rsid w:val="00D121F1"/>
    <w:rsid w:val="00D1224D"/>
    <w:rsid w:val="00D122D1"/>
    <w:rsid w:val="00D123C4"/>
    <w:rsid w:val="00D12A0C"/>
    <w:rsid w:val="00D12B9C"/>
    <w:rsid w:val="00D131D2"/>
    <w:rsid w:val="00D13921"/>
    <w:rsid w:val="00D13E1A"/>
    <w:rsid w:val="00D140B5"/>
    <w:rsid w:val="00D143DB"/>
    <w:rsid w:val="00D1459F"/>
    <w:rsid w:val="00D14629"/>
    <w:rsid w:val="00D14923"/>
    <w:rsid w:val="00D15113"/>
    <w:rsid w:val="00D15297"/>
    <w:rsid w:val="00D157D8"/>
    <w:rsid w:val="00D1584B"/>
    <w:rsid w:val="00D15ABD"/>
    <w:rsid w:val="00D15B7C"/>
    <w:rsid w:val="00D15B7D"/>
    <w:rsid w:val="00D15EE0"/>
    <w:rsid w:val="00D16BFD"/>
    <w:rsid w:val="00D16F74"/>
    <w:rsid w:val="00D1745E"/>
    <w:rsid w:val="00D177B4"/>
    <w:rsid w:val="00D17920"/>
    <w:rsid w:val="00D17C74"/>
    <w:rsid w:val="00D17D69"/>
    <w:rsid w:val="00D200D4"/>
    <w:rsid w:val="00D20184"/>
    <w:rsid w:val="00D20360"/>
    <w:rsid w:val="00D20821"/>
    <w:rsid w:val="00D20938"/>
    <w:rsid w:val="00D20B91"/>
    <w:rsid w:val="00D20DD4"/>
    <w:rsid w:val="00D21265"/>
    <w:rsid w:val="00D219B0"/>
    <w:rsid w:val="00D21F9E"/>
    <w:rsid w:val="00D22442"/>
    <w:rsid w:val="00D22DDA"/>
    <w:rsid w:val="00D2314D"/>
    <w:rsid w:val="00D233A4"/>
    <w:rsid w:val="00D23748"/>
    <w:rsid w:val="00D23F1F"/>
    <w:rsid w:val="00D24052"/>
    <w:rsid w:val="00D24164"/>
    <w:rsid w:val="00D244BE"/>
    <w:rsid w:val="00D24652"/>
    <w:rsid w:val="00D246F4"/>
    <w:rsid w:val="00D24EB5"/>
    <w:rsid w:val="00D24FA5"/>
    <w:rsid w:val="00D2523F"/>
    <w:rsid w:val="00D25909"/>
    <w:rsid w:val="00D25AB1"/>
    <w:rsid w:val="00D26A80"/>
    <w:rsid w:val="00D26E54"/>
    <w:rsid w:val="00D27977"/>
    <w:rsid w:val="00D27F7F"/>
    <w:rsid w:val="00D30267"/>
    <w:rsid w:val="00D3055D"/>
    <w:rsid w:val="00D30791"/>
    <w:rsid w:val="00D30A5B"/>
    <w:rsid w:val="00D30D52"/>
    <w:rsid w:val="00D3102F"/>
    <w:rsid w:val="00D310F1"/>
    <w:rsid w:val="00D31400"/>
    <w:rsid w:val="00D31603"/>
    <w:rsid w:val="00D31ADA"/>
    <w:rsid w:val="00D31B7F"/>
    <w:rsid w:val="00D31E3E"/>
    <w:rsid w:val="00D32542"/>
    <w:rsid w:val="00D327EC"/>
    <w:rsid w:val="00D329D3"/>
    <w:rsid w:val="00D32C76"/>
    <w:rsid w:val="00D32DA5"/>
    <w:rsid w:val="00D330CA"/>
    <w:rsid w:val="00D330FF"/>
    <w:rsid w:val="00D3316D"/>
    <w:rsid w:val="00D33D33"/>
    <w:rsid w:val="00D33E6F"/>
    <w:rsid w:val="00D33F75"/>
    <w:rsid w:val="00D34670"/>
    <w:rsid w:val="00D34712"/>
    <w:rsid w:val="00D34AAA"/>
    <w:rsid w:val="00D34E56"/>
    <w:rsid w:val="00D3576C"/>
    <w:rsid w:val="00D35799"/>
    <w:rsid w:val="00D36E8E"/>
    <w:rsid w:val="00D37126"/>
    <w:rsid w:val="00D373A3"/>
    <w:rsid w:val="00D373B5"/>
    <w:rsid w:val="00D37882"/>
    <w:rsid w:val="00D379EA"/>
    <w:rsid w:val="00D40199"/>
    <w:rsid w:val="00D40303"/>
    <w:rsid w:val="00D40393"/>
    <w:rsid w:val="00D40670"/>
    <w:rsid w:val="00D407E4"/>
    <w:rsid w:val="00D40F4D"/>
    <w:rsid w:val="00D410E1"/>
    <w:rsid w:val="00D4134D"/>
    <w:rsid w:val="00D41510"/>
    <w:rsid w:val="00D428E2"/>
    <w:rsid w:val="00D42971"/>
    <w:rsid w:val="00D43422"/>
    <w:rsid w:val="00D43967"/>
    <w:rsid w:val="00D446C0"/>
    <w:rsid w:val="00D44CC4"/>
    <w:rsid w:val="00D44F72"/>
    <w:rsid w:val="00D45342"/>
    <w:rsid w:val="00D454F3"/>
    <w:rsid w:val="00D45558"/>
    <w:rsid w:val="00D456EB"/>
    <w:rsid w:val="00D45968"/>
    <w:rsid w:val="00D459F0"/>
    <w:rsid w:val="00D465EA"/>
    <w:rsid w:val="00D46857"/>
    <w:rsid w:val="00D46E17"/>
    <w:rsid w:val="00D46FD9"/>
    <w:rsid w:val="00D4735A"/>
    <w:rsid w:val="00D47416"/>
    <w:rsid w:val="00D4756B"/>
    <w:rsid w:val="00D476F9"/>
    <w:rsid w:val="00D47DF5"/>
    <w:rsid w:val="00D47E75"/>
    <w:rsid w:val="00D50852"/>
    <w:rsid w:val="00D5157C"/>
    <w:rsid w:val="00D51EE0"/>
    <w:rsid w:val="00D52478"/>
    <w:rsid w:val="00D5282F"/>
    <w:rsid w:val="00D52A81"/>
    <w:rsid w:val="00D52BCE"/>
    <w:rsid w:val="00D52F6F"/>
    <w:rsid w:val="00D5341E"/>
    <w:rsid w:val="00D53833"/>
    <w:rsid w:val="00D5386E"/>
    <w:rsid w:val="00D53937"/>
    <w:rsid w:val="00D540B5"/>
    <w:rsid w:val="00D54915"/>
    <w:rsid w:val="00D54D71"/>
    <w:rsid w:val="00D54EC4"/>
    <w:rsid w:val="00D553FE"/>
    <w:rsid w:val="00D55774"/>
    <w:rsid w:val="00D55E94"/>
    <w:rsid w:val="00D56503"/>
    <w:rsid w:val="00D56916"/>
    <w:rsid w:val="00D56AF2"/>
    <w:rsid w:val="00D56C50"/>
    <w:rsid w:val="00D57517"/>
    <w:rsid w:val="00D57726"/>
    <w:rsid w:val="00D57956"/>
    <w:rsid w:val="00D57AEB"/>
    <w:rsid w:val="00D57D20"/>
    <w:rsid w:val="00D60649"/>
    <w:rsid w:val="00D607CA"/>
    <w:rsid w:val="00D60892"/>
    <w:rsid w:val="00D60A46"/>
    <w:rsid w:val="00D61337"/>
    <w:rsid w:val="00D61A4A"/>
    <w:rsid w:val="00D61A53"/>
    <w:rsid w:val="00D61E88"/>
    <w:rsid w:val="00D62281"/>
    <w:rsid w:val="00D626D6"/>
    <w:rsid w:val="00D62A71"/>
    <w:rsid w:val="00D62ABC"/>
    <w:rsid w:val="00D62E72"/>
    <w:rsid w:val="00D631C3"/>
    <w:rsid w:val="00D63765"/>
    <w:rsid w:val="00D63F92"/>
    <w:rsid w:val="00D642C1"/>
    <w:rsid w:val="00D644DE"/>
    <w:rsid w:val="00D64DE0"/>
    <w:rsid w:val="00D6507A"/>
    <w:rsid w:val="00D650AF"/>
    <w:rsid w:val="00D65235"/>
    <w:rsid w:val="00D65BAE"/>
    <w:rsid w:val="00D6611B"/>
    <w:rsid w:val="00D66943"/>
    <w:rsid w:val="00D66B8C"/>
    <w:rsid w:val="00D66D77"/>
    <w:rsid w:val="00D66FB6"/>
    <w:rsid w:val="00D670D6"/>
    <w:rsid w:val="00D67E45"/>
    <w:rsid w:val="00D703BB"/>
    <w:rsid w:val="00D70507"/>
    <w:rsid w:val="00D71216"/>
    <w:rsid w:val="00D713EB"/>
    <w:rsid w:val="00D722C5"/>
    <w:rsid w:val="00D7284E"/>
    <w:rsid w:val="00D72E46"/>
    <w:rsid w:val="00D73110"/>
    <w:rsid w:val="00D732D5"/>
    <w:rsid w:val="00D736DD"/>
    <w:rsid w:val="00D7378C"/>
    <w:rsid w:val="00D738C3"/>
    <w:rsid w:val="00D73FB8"/>
    <w:rsid w:val="00D74BFB"/>
    <w:rsid w:val="00D74CB5"/>
    <w:rsid w:val="00D750FE"/>
    <w:rsid w:val="00D752C5"/>
    <w:rsid w:val="00D75488"/>
    <w:rsid w:val="00D758E9"/>
    <w:rsid w:val="00D75A20"/>
    <w:rsid w:val="00D75D7F"/>
    <w:rsid w:val="00D76C3F"/>
    <w:rsid w:val="00D76FDF"/>
    <w:rsid w:val="00D77076"/>
    <w:rsid w:val="00D77A58"/>
    <w:rsid w:val="00D8009E"/>
    <w:rsid w:val="00D8012A"/>
    <w:rsid w:val="00D80202"/>
    <w:rsid w:val="00D802E3"/>
    <w:rsid w:val="00D8121D"/>
    <w:rsid w:val="00D81461"/>
    <w:rsid w:val="00D8169B"/>
    <w:rsid w:val="00D81802"/>
    <w:rsid w:val="00D81816"/>
    <w:rsid w:val="00D81E33"/>
    <w:rsid w:val="00D82179"/>
    <w:rsid w:val="00D83923"/>
    <w:rsid w:val="00D83FBE"/>
    <w:rsid w:val="00D84688"/>
    <w:rsid w:val="00D848DA"/>
    <w:rsid w:val="00D85124"/>
    <w:rsid w:val="00D85607"/>
    <w:rsid w:val="00D85695"/>
    <w:rsid w:val="00D85EEB"/>
    <w:rsid w:val="00D86652"/>
    <w:rsid w:val="00D86DE3"/>
    <w:rsid w:val="00D8737D"/>
    <w:rsid w:val="00D8780A"/>
    <w:rsid w:val="00D87882"/>
    <w:rsid w:val="00D87CD2"/>
    <w:rsid w:val="00D90376"/>
    <w:rsid w:val="00D90524"/>
    <w:rsid w:val="00D90905"/>
    <w:rsid w:val="00D909E8"/>
    <w:rsid w:val="00D90B1E"/>
    <w:rsid w:val="00D90C07"/>
    <w:rsid w:val="00D90D33"/>
    <w:rsid w:val="00D9111A"/>
    <w:rsid w:val="00D91355"/>
    <w:rsid w:val="00D9161D"/>
    <w:rsid w:val="00D91B09"/>
    <w:rsid w:val="00D91D6D"/>
    <w:rsid w:val="00D92320"/>
    <w:rsid w:val="00D923D1"/>
    <w:rsid w:val="00D926FA"/>
    <w:rsid w:val="00D92C11"/>
    <w:rsid w:val="00D92E7A"/>
    <w:rsid w:val="00D936CE"/>
    <w:rsid w:val="00D93E76"/>
    <w:rsid w:val="00D940E5"/>
    <w:rsid w:val="00D9419D"/>
    <w:rsid w:val="00D943E7"/>
    <w:rsid w:val="00D94A76"/>
    <w:rsid w:val="00D94D8C"/>
    <w:rsid w:val="00D94F32"/>
    <w:rsid w:val="00D95027"/>
    <w:rsid w:val="00D95197"/>
    <w:rsid w:val="00D9551D"/>
    <w:rsid w:val="00D95E45"/>
    <w:rsid w:val="00D969C6"/>
    <w:rsid w:val="00D96CBA"/>
    <w:rsid w:val="00D96CDA"/>
    <w:rsid w:val="00D96D58"/>
    <w:rsid w:val="00D96D70"/>
    <w:rsid w:val="00D96DBE"/>
    <w:rsid w:val="00D96E34"/>
    <w:rsid w:val="00D96F65"/>
    <w:rsid w:val="00D96F6D"/>
    <w:rsid w:val="00D96F97"/>
    <w:rsid w:val="00D97189"/>
    <w:rsid w:val="00D97605"/>
    <w:rsid w:val="00D9766A"/>
    <w:rsid w:val="00D977DA"/>
    <w:rsid w:val="00D97FBA"/>
    <w:rsid w:val="00DA0B2A"/>
    <w:rsid w:val="00DA136C"/>
    <w:rsid w:val="00DA1481"/>
    <w:rsid w:val="00DA160E"/>
    <w:rsid w:val="00DA1696"/>
    <w:rsid w:val="00DA178E"/>
    <w:rsid w:val="00DA1B47"/>
    <w:rsid w:val="00DA1DD1"/>
    <w:rsid w:val="00DA256E"/>
    <w:rsid w:val="00DA2A82"/>
    <w:rsid w:val="00DA2DA1"/>
    <w:rsid w:val="00DA3017"/>
    <w:rsid w:val="00DA3307"/>
    <w:rsid w:val="00DA34B9"/>
    <w:rsid w:val="00DA38D7"/>
    <w:rsid w:val="00DA3969"/>
    <w:rsid w:val="00DA3C9D"/>
    <w:rsid w:val="00DA400D"/>
    <w:rsid w:val="00DA4348"/>
    <w:rsid w:val="00DA448D"/>
    <w:rsid w:val="00DA5484"/>
    <w:rsid w:val="00DA56FE"/>
    <w:rsid w:val="00DA6129"/>
    <w:rsid w:val="00DA65E0"/>
    <w:rsid w:val="00DA68F7"/>
    <w:rsid w:val="00DA7357"/>
    <w:rsid w:val="00DA753F"/>
    <w:rsid w:val="00DA75F3"/>
    <w:rsid w:val="00DA7600"/>
    <w:rsid w:val="00DA7AE2"/>
    <w:rsid w:val="00DA7EBB"/>
    <w:rsid w:val="00DA7EF5"/>
    <w:rsid w:val="00DB04F3"/>
    <w:rsid w:val="00DB0C9A"/>
    <w:rsid w:val="00DB0F94"/>
    <w:rsid w:val="00DB1267"/>
    <w:rsid w:val="00DB134F"/>
    <w:rsid w:val="00DB13C7"/>
    <w:rsid w:val="00DB1E19"/>
    <w:rsid w:val="00DB1EC9"/>
    <w:rsid w:val="00DB2047"/>
    <w:rsid w:val="00DB255D"/>
    <w:rsid w:val="00DB273C"/>
    <w:rsid w:val="00DB286A"/>
    <w:rsid w:val="00DB3137"/>
    <w:rsid w:val="00DB343B"/>
    <w:rsid w:val="00DB3452"/>
    <w:rsid w:val="00DB3B0F"/>
    <w:rsid w:val="00DB3BDB"/>
    <w:rsid w:val="00DB3CDF"/>
    <w:rsid w:val="00DB463E"/>
    <w:rsid w:val="00DB4950"/>
    <w:rsid w:val="00DB497D"/>
    <w:rsid w:val="00DB4A70"/>
    <w:rsid w:val="00DB4C37"/>
    <w:rsid w:val="00DB4CEA"/>
    <w:rsid w:val="00DB6092"/>
    <w:rsid w:val="00DB6435"/>
    <w:rsid w:val="00DB67FE"/>
    <w:rsid w:val="00DB7C8D"/>
    <w:rsid w:val="00DB7E8D"/>
    <w:rsid w:val="00DC02F3"/>
    <w:rsid w:val="00DC0521"/>
    <w:rsid w:val="00DC07BA"/>
    <w:rsid w:val="00DC0B9E"/>
    <w:rsid w:val="00DC1012"/>
    <w:rsid w:val="00DC1082"/>
    <w:rsid w:val="00DC1224"/>
    <w:rsid w:val="00DC18D8"/>
    <w:rsid w:val="00DC1B37"/>
    <w:rsid w:val="00DC1C7D"/>
    <w:rsid w:val="00DC2AEB"/>
    <w:rsid w:val="00DC2F11"/>
    <w:rsid w:val="00DC2F1C"/>
    <w:rsid w:val="00DC2FEE"/>
    <w:rsid w:val="00DC30F2"/>
    <w:rsid w:val="00DC3323"/>
    <w:rsid w:val="00DC3349"/>
    <w:rsid w:val="00DC3536"/>
    <w:rsid w:val="00DC367C"/>
    <w:rsid w:val="00DC375F"/>
    <w:rsid w:val="00DC3843"/>
    <w:rsid w:val="00DC3B59"/>
    <w:rsid w:val="00DC3F66"/>
    <w:rsid w:val="00DC418D"/>
    <w:rsid w:val="00DC41EF"/>
    <w:rsid w:val="00DC4747"/>
    <w:rsid w:val="00DC4BEA"/>
    <w:rsid w:val="00DC4EB4"/>
    <w:rsid w:val="00DC4FD5"/>
    <w:rsid w:val="00DC51FD"/>
    <w:rsid w:val="00DC5485"/>
    <w:rsid w:val="00DC5656"/>
    <w:rsid w:val="00DC5DFF"/>
    <w:rsid w:val="00DC612E"/>
    <w:rsid w:val="00DC71C5"/>
    <w:rsid w:val="00DC74C9"/>
    <w:rsid w:val="00DC74CB"/>
    <w:rsid w:val="00DC7A07"/>
    <w:rsid w:val="00DC7BD6"/>
    <w:rsid w:val="00DC7BEE"/>
    <w:rsid w:val="00DC7CF5"/>
    <w:rsid w:val="00DC7E20"/>
    <w:rsid w:val="00DD03FB"/>
    <w:rsid w:val="00DD089F"/>
    <w:rsid w:val="00DD0A9A"/>
    <w:rsid w:val="00DD0D35"/>
    <w:rsid w:val="00DD1199"/>
    <w:rsid w:val="00DD119F"/>
    <w:rsid w:val="00DD134A"/>
    <w:rsid w:val="00DD14E4"/>
    <w:rsid w:val="00DD14FE"/>
    <w:rsid w:val="00DD207D"/>
    <w:rsid w:val="00DD246E"/>
    <w:rsid w:val="00DD3607"/>
    <w:rsid w:val="00DD371E"/>
    <w:rsid w:val="00DD3749"/>
    <w:rsid w:val="00DD43D2"/>
    <w:rsid w:val="00DD48E2"/>
    <w:rsid w:val="00DD4A5B"/>
    <w:rsid w:val="00DD4CBA"/>
    <w:rsid w:val="00DD5535"/>
    <w:rsid w:val="00DD5761"/>
    <w:rsid w:val="00DD5B0E"/>
    <w:rsid w:val="00DD5E22"/>
    <w:rsid w:val="00DD6466"/>
    <w:rsid w:val="00DD6473"/>
    <w:rsid w:val="00DD66DD"/>
    <w:rsid w:val="00DD68FC"/>
    <w:rsid w:val="00DD6A36"/>
    <w:rsid w:val="00DD6C96"/>
    <w:rsid w:val="00DD6FA7"/>
    <w:rsid w:val="00DD752C"/>
    <w:rsid w:val="00DD7AC6"/>
    <w:rsid w:val="00DE0392"/>
    <w:rsid w:val="00DE0FCC"/>
    <w:rsid w:val="00DE11F8"/>
    <w:rsid w:val="00DE12D9"/>
    <w:rsid w:val="00DE19AC"/>
    <w:rsid w:val="00DE1DC8"/>
    <w:rsid w:val="00DE25AD"/>
    <w:rsid w:val="00DE273B"/>
    <w:rsid w:val="00DE2838"/>
    <w:rsid w:val="00DE31E4"/>
    <w:rsid w:val="00DE34CA"/>
    <w:rsid w:val="00DE3AAC"/>
    <w:rsid w:val="00DE412E"/>
    <w:rsid w:val="00DE43B2"/>
    <w:rsid w:val="00DE4697"/>
    <w:rsid w:val="00DE4B8D"/>
    <w:rsid w:val="00DE4C22"/>
    <w:rsid w:val="00DE5054"/>
    <w:rsid w:val="00DE5A65"/>
    <w:rsid w:val="00DE660B"/>
    <w:rsid w:val="00DE6EB1"/>
    <w:rsid w:val="00DE785E"/>
    <w:rsid w:val="00DF00BE"/>
    <w:rsid w:val="00DF0232"/>
    <w:rsid w:val="00DF05A3"/>
    <w:rsid w:val="00DF0F6C"/>
    <w:rsid w:val="00DF153C"/>
    <w:rsid w:val="00DF178E"/>
    <w:rsid w:val="00DF194B"/>
    <w:rsid w:val="00DF277A"/>
    <w:rsid w:val="00DF2B2E"/>
    <w:rsid w:val="00DF3510"/>
    <w:rsid w:val="00DF373B"/>
    <w:rsid w:val="00DF39CF"/>
    <w:rsid w:val="00DF3AF0"/>
    <w:rsid w:val="00DF3EB8"/>
    <w:rsid w:val="00DF3FEC"/>
    <w:rsid w:val="00DF4514"/>
    <w:rsid w:val="00DF4685"/>
    <w:rsid w:val="00DF4E3E"/>
    <w:rsid w:val="00DF4FCD"/>
    <w:rsid w:val="00DF564D"/>
    <w:rsid w:val="00DF5654"/>
    <w:rsid w:val="00DF579D"/>
    <w:rsid w:val="00DF57D9"/>
    <w:rsid w:val="00DF60B9"/>
    <w:rsid w:val="00DF619F"/>
    <w:rsid w:val="00DF63B7"/>
    <w:rsid w:val="00DF63D1"/>
    <w:rsid w:val="00DF6C8E"/>
    <w:rsid w:val="00DF6E7C"/>
    <w:rsid w:val="00DF7645"/>
    <w:rsid w:val="00DF78B5"/>
    <w:rsid w:val="00E0000E"/>
    <w:rsid w:val="00E002A1"/>
    <w:rsid w:val="00E0048E"/>
    <w:rsid w:val="00E004D2"/>
    <w:rsid w:val="00E00BE8"/>
    <w:rsid w:val="00E010CD"/>
    <w:rsid w:val="00E01110"/>
    <w:rsid w:val="00E01384"/>
    <w:rsid w:val="00E01826"/>
    <w:rsid w:val="00E0259C"/>
    <w:rsid w:val="00E025E2"/>
    <w:rsid w:val="00E02789"/>
    <w:rsid w:val="00E02891"/>
    <w:rsid w:val="00E02BD2"/>
    <w:rsid w:val="00E02EC7"/>
    <w:rsid w:val="00E039DD"/>
    <w:rsid w:val="00E03A00"/>
    <w:rsid w:val="00E0453D"/>
    <w:rsid w:val="00E047BA"/>
    <w:rsid w:val="00E04EDF"/>
    <w:rsid w:val="00E05290"/>
    <w:rsid w:val="00E059A6"/>
    <w:rsid w:val="00E05A0E"/>
    <w:rsid w:val="00E05B41"/>
    <w:rsid w:val="00E05B7F"/>
    <w:rsid w:val="00E05FA6"/>
    <w:rsid w:val="00E061C3"/>
    <w:rsid w:val="00E061F6"/>
    <w:rsid w:val="00E0629E"/>
    <w:rsid w:val="00E06338"/>
    <w:rsid w:val="00E06883"/>
    <w:rsid w:val="00E069B9"/>
    <w:rsid w:val="00E06B14"/>
    <w:rsid w:val="00E071D9"/>
    <w:rsid w:val="00E07257"/>
    <w:rsid w:val="00E07292"/>
    <w:rsid w:val="00E07A8B"/>
    <w:rsid w:val="00E07C8E"/>
    <w:rsid w:val="00E10EBD"/>
    <w:rsid w:val="00E11E64"/>
    <w:rsid w:val="00E12BB6"/>
    <w:rsid w:val="00E12C2A"/>
    <w:rsid w:val="00E12FAA"/>
    <w:rsid w:val="00E132C0"/>
    <w:rsid w:val="00E13422"/>
    <w:rsid w:val="00E1356C"/>
    <w:rsid w:val="00E13A1A"/>
    <w:rsid w:val="00E1403B"/>
    <w:rsid w:val="00E14400"/>
    <w:rsid w:val="00E14707"/>
    <w:rsid w:val="00E14967"/>
    <w:rsid w:val="00E14AA4"/>
    <w:rsid w:val="00E1509C"/>
    <w:rsid w:val="00E15A2F"/>
    <w:rsid w:val="00E15F7D"/>
    <w:rsid w:val="00E160FE"/>
    <w:rsid w:val="00E1611E"/>
    <w:rsid w:val="00E1638F"/>
    <w:rsid w:val="00E165D0"/>
    <w:rsid w:val="00E166E7"/>
    <w:rsid w:val="00E16AA6"/>
    <w:rsid w:val="00E16C18"/>
    <w:rsid w:val="00E16D27"/>
    <w:rsid w:val="00E16D41"/>
    <w:rsid w:val="00E16F0D"/>
    <w:rsid w:val="00E16FF5"/>
    <w:rsid w:val="00E170DF"/>
    <w:rsid w:val="00E17DD3"/>
    <w:rsid w:val="00E17F32"/>
    <w:rsid w:val="00E20334"/>
    <w:rsid w:val="00E20604"/>
    <w:rsid w:val="00E20755"/>
    <w:rsid w:val="00E2096F"/>
    <w:rsid w:val="00E20A29"/>
    <w:rsid w:val="00E21994"/>
    <w:rsid w:val="00E21A37"/>
    <w:rsid w:val="00E21E76"/>
    <w:rsid w:val="00E21F36"/>
    <w:rsid w:val="00E221AD"/>
    <w:rsid w:val="00E221FC"/>
    <w:rsid w:val="00E22761"/>
    <w:rsid w:val="00E22AC5"/>
    <w:rsid w:val="00E22ACC"/>
    <w:rsid w:val="00E22B78"/>
    <w:rsid w:val="00E233FD"/>
    <w:rsid w:val="00E2395B"/>
    <w:rsid w:val="00E23CA9"/>
    <w:rsid w:val="00E23F93"/>
    <w:rsid w:val="00E24AED"/>
    <w:rsid w:val="00E25309"/>
    <w:rsid w:val="00E25474"/>
    <w:rsid w:val="00E254AB"/>
    <w:rsid w:val="00E259B8"/>
    <w:rsid w:val="00E260AC"/>
    <w:rsid w:val="00E26B9F"/>
    <w:rsid w:val="00E26D10"/>
    <w:rsid w:val="00E26EE8"/>
    <w:rsid w:val="00E27295"/>
    <w:rsid w:val="00E277CB"/>
    <w:rsid w:val="00E27AF5"/>
    <w:rsid w:val="00E3057A"/>
    <w:rsid w:val="00E30D02"/>
    <w:rsid w:val="00E30E4F"/>
    <w:rsid w:val="00E3123C"/>
    <w:rsid w:val="00E3125B"/>
    <w:rsid w:val="00E31582"/>
    <w:rsid w:val="00E322E2"/>
    <w:rsid w:val="00E32C85"/>
    <w:rsid w:val="00E32CC1"/>
    <w:rsid w:val="00E32E6A"/>
    <w:rsid w:val="00E32EE5"/>
    <w:rsid w:val="00E32F93"/>
    <w:rsid w:val="00E331A9"/>
    <w:rsid w:val="00E33540"/>
    <w:rsid w:val="00E33A7B"/>
    <w:rsid w:val="00E33D7B"/>
    <w:rsid w:val="00E345A7"/>
    <w:rsid w:val="00E34A24"/>
    <w:rsid w:val="00E34BAE"/>
    <w:rsid w:val="00E34E0C"/>
    <w:rsid w:val="00E34F41"/>
    <w:rsid w:val="00E35044"/>
    <w:rsid w:val="00E3516D"/>
    <w:rsid w:val="00E353C5"/>
    <w:rsid w:val="00E35459"/>
    <w:rsid w:val="00E35F4C"/>
    <w:rsid w:val="00E362C7"/>
    <w:rsid w:val="00E36641"/>
    <w:rsid w:val="00E366BD"/>
    <w:rsid w:val="00E369D3"/>
    <w:rsid w:val="00E36A62"/>
    <w:rsid w:val="00E36F44"/>
    <w:rsid w:val="00E36FCE"/>
    <w:rsid w:val="00E37346"/>
    <w:rsid w:val="00E3756B"/>
    <w:rsid w:val="00E378B4"/>
    <w:rsid w:val="00E379F7"/>
    <w:rsid w:val="00E40062"/>
    <w:rsid w:val="00E40882"/>
    <w:rsid w:val="00E40CD4"/>
    <w:rsid w:val="00E40E4C"/>
    <w:rsid w:val="00E41046"/>
    <w:rsid w:val="00E41066"/>
    <w:rsid w:val="00E410C9"/>
    <w:rsid w:val="00E413C4"/>
    <w:rsid w:val="00E41555"/>
    <w:rsid w:val="00E417EF"/>
    <w:rsid w:val="00E42030"/>
    <w:rsid w:val="00E42189"/>
    <w:rsid w:val="00E42953"/>
    <w:rsid w:val="00E42CC4"/>
    <w:rsid w:val="00E43A4B"/>
    <w:rsid w:val="00E44138"/>
    <w:rsid w:val="00E44179"/>
    <w:rsid w:val="00E44463"/>
    <w:rsid w:val="00E4465E"/>
    <w:rsid w:val="00E447A4"/>
    <w:rsid w:val="00E44948"/>
    <w:rsid w:val="00E44F4E"/>
    <w:rsid w:val="00E45642"/>
    <w:rsid w:val="00E45B95"/>
    <w:rsid w:val="00E460A2"/>
    <w:rsid w:val="00E46115"/>
    <w:rsid w:val="00E462D4"/>
    <w:rsid w:val="00E46B4D"/>
    <w:rsid w:val="00E46E77"/>
    <w:rsid w:val="00E47107"/>
    <w:rsid w:val="00E475E0"/>
    <w:rsid w:val="00E4788F"/>
    <w:rsid w:val="00E47C4A"/>
    <w:rsid w:val="00E500D2"/>
    <w:rsid w:val="00E501EF"/>
    <w:rsid w:val="00E506D0"/>
    <w:rsid w:val="00E51122"/>
    <w:rsid w:val="00E515E0"/>
    <w:rsid w:val="00E52067"/>
    <w:rsid w:val="00E52871"/>
    <w:rsid w:val="00E52895"/>
    <w:rsid w:val="00E52A25"/>
    <w:rsid w:val="00E52B91"/>
    <w:rsid w:val="00E52F9B"/>
    <w:rsid w:val="00E530E3"/>
    <w:rsid w:val="00E536F9"/>
    <w:rsid w:val="00E53C61"/>
    <w:rsid w:val="00E5443C"/>
    <w:rsid w:val="00E548E8"/>
    <w:rsid w:val="00E54ACD"/>
    <w:rsid w:val="00E54B2B"/>
    <w:rsid w:val="00E55637"/>
    <w:rsid w:val="00E55802"/>
    <w:rsid w:val="00E559A5"/>
    <w:rsid w:val="00E55A63"/>
    <w:rsid w:val="00E5602E"/>
    <w:rsid w:val="00E560F9"/>
    <w:rsid w:val="00E56720"/>
    <w:rsid w:val="00E56828"/>
    <w:rsid w:val="00E56B34"/>
    <w:rsid w:val="00E56D7D"/>
    <w:rsid w:val="00E56F0E"/>
    <w:rsid w:val="00E57510"/>
    <w:rsid w:val="00E57920"/>
    <w:rsid w:val="00E579B1"/>
    <w:rsid w:val="00E57B90"/>
    <w:rsid w:val="00E57DC1"/>
    <w:rsid w:val="00E6001E"/>
    <w:rsid w:val="00E60101"/>
    <w:rsid w:val="00E60318"/>
    <w:rsid w:val="00E61632"/>
    <w:rsid w:val="00E61B65"/>
    <w:rsid w:val="00E61C31"/>
    <w:rsid w:val="00E61EDC"/>
    <w:rsid w:val="00E6221A"/>
    <w:rsid w:val="00E6222C"/>
    <w:rsid w:val="00E624F1"/>
    <w:rsid w:val="00E62E8D"/>
    <w:rsid w:val="00E62F0C"/>
    <w:rsid w:val="00E63014"/>
    <w:rsid w:val="00E630A8"/>
    <w:rsid w:val="00E633AC"/>
    <w:rsid w:val="00E634A2"/>
    <w:rsid w:val="00E636C9"/>
    <w:rsid w:val="00E638DA"/>
    <w:rsid w:val="00E63C5B"/>
    <w:rsid w:val="00E63D08"/>
    <w:rsid w:val="00E63D98"/>
    <w:rsid w:val="00E649AC"/>
    <w:rsid w:val="00E64AEA"/>
    <w:rsid w:val="00E64BD3"/>
    <w:rsid w:val="00E652DC"/>
    <w:rsid w:val="00E657C1"/>
    <w:rsid w:val="00E65A73"/>
    <w:rsid w:val="00E65DC2"/>
    <w:rsid w:val="00E65FE0"/>
    <w:rsid w:val="00E662A5"/>
    <w:rsid w:val="00E6737A"/>
    <w:rsid w:val="00E67596"/>
    <w:rsid w:val="00E67635"/>
    <w:rsid w:val="00E67AD0"/>
    <w:rsid w:val="00E67D28"/>
    <w:rsid w:val="00E700BD"/>
    <w:rsid w:val="00E705CA"/>
    <w:rsid w:val="00E708FE"/>
    <w:rsid w:val="00E70DB1"/>
    <w:rsid w:val="00E70DD7"/>
    <w:rsid w:val="00E71096"/>
    <w:rsid w:val="00E710E1"/>
    <w:rsid w:val="00E712A3"/>
    <w:rsid w:val="00E71FA0"/>
    <w:rsid w:val="00E724BB"/>
    <w:rsid w:val="00E726EC"/>
    <w:rsid w:val="00E72EE0"/>
    <w:rsid w:val="00E72F15"/>
    <w:rsid w:val="00E73070"/>
    <w:rsid w:val="00E7334C"/>
    <w:rsid w:val="00E73868"/>
    <w:rsid w:val="00E739DA"/>
    <w:rsid w:val="00E741FB"/>
    <w:rsid w:val="00E74F50"/>
    <w:rsid w:val="00E74F5D"/>
    <w:rsid w:val="00E75022"/>
    <w:rsid w:val="00E752F3"/>
    <w:rsid w:val="00E75343"/>
    <w:rsid w:val="00E753C6"/>
    <w:rsid w:val="00E756B2"/>
    <w:rsid w:val="00E75996"/>
    <w:rsid w:val="00E75A8D"/>
    <w:rsid w:val="00E75E3E"/>
    <w:rsid w:val="00E76346"/>
    <w:rsid w:val="00E76A2F"/>
    <w:rsid w:val="00E76C0A"/>
    <w:rsid w:val="00E7761C"/>
    <w:rsid w:val="00E7771C"/>
    <w:rsid w:val="00E7789C"/>
    <w:rsid w:val="00E77D36"/>
    <w:rsid w:val="00E8004C"/>
    <w:rsid w:val="00E806E9"/>
    <w:rsid w:val="00E80A5D"/>
    <w:rsid w:val="00E81811"/>
    <w:rsid w:val="00E8204E"/>
    <w:rsid w:val="00E82566"/>
    <w:rsid w:val="00E82A8E"/>
    <w:rsid w:val="00E82BAE"/>
    <w:rsid w:val="00E82C72"/>
    <w:rsid w:val="00E82EFD"/>
    <w:rsid w:val="00E832C7"/>
    <w:rsid w:val="00E8334C"/>
    <w:rsid w:val="00E833EC"/>
    <w:rsid w:val="00E83958"/>
    <w:rsid w:val="00E83C1B"/>
    <w:rsid w:val="00E83CB7"/>
    <w:rsid w:val="00E83CC6"/>
    <w:rsid w:val="00E83D54"/>
    <w:rsid w:val="00E83EB5"/>
    <w:rsid w:val="00E8433B"/>
    <w:rsid w:val="00E84427"/>
    <w:rsid w:val="00E844BB"/>
    <w:rsid w:val="00E84503"/>
    <w:rsid w:val="00E846AC"/>
    <w:rsid w:val="00E848C2"/>
    <w:rsid w:val="00E8497E"/>
    <w:rsid w:val="00E84DFF"/>
    <w:rsid w:val="00E85A75"/>
    <w:rsid w:val="00E85E36"/>
    <w:rsid w:val="00E85EB9"/>
    <w:rsid w:val="00E86018"/>
    <w:rsid w:val="00E863CC"/>
    <w:rsid w:val="00E8652F"/>
    <w:rsid w:val="00E87040"/>
    <w:rsid w:val="00E87577"/>
    <w:rsid w:val="00E9011B"/>
    <w:rsid w:val="00E913A6"/>
    <w:rsid w:val="00E9184E"/>
    <w:rsid w:val="00E91A03"/>
    <w:rsid w:val="00E91A7E"/>
    <w:rsid w:val="00E91E2A"/>
    <w:rsid w:val="00E91FED"/>
    <w:rsid w:val="00E926C7"/>
    <w:rsid w:val="00E92A3B"/>
    <w:rsid w:val="00E92BC9"/>
    <w:rsid w:val="00E93664"/>
    <w:rsid w:val="00E93914"/>
    <w:rsid w:val="00E93AA0"/>
    <w:rsid w:val="00E93B00"/>
    <w:rsid w:val="00E949D1"/>
    <w:rsid w:val="00E95591"/>
    <w:rsid w:val="00E95B6F"/>
    <w:rsid w:val="00E95E37"/>
    <w:rsid w:val="00E95F60"/>
    <w:rsid w:val="00E971D1"/>
    <w:rsid w:val="00E9754F"/>
    <w:rsid w:val="00EA06DF"/>
    <w:rsid w:val="00EA0749"/>
    <w:rsid w:val="00EA0A1F"/>
    <w:rsid w:val="00EA0A8E"/>
    <w:rsid w:val="00EA0EE1"/>
    <w:rsid w:val="00EA107C"/>
    <w:rsid w:val="00EA10A9"/>
    <w:rsid w:val="00EA15CD"/>
    <w:rsid w:val="00EA1943"/>
    <w:rsid w:val="00EA1DFB"/>
    <w:rsid w:val="00EA1EC6"/>
    <w:rsid w:val="00EA1F97"/>
    <w:rsid w:val="00EA2146"/>
    <w:rsid w:val="00EA24B0"/>
    <w:rsid w:val="00EA2B26"/>
    <w:rsid w:val="00EA2D09"/>
    <w:rsid w:val="00EA2E80"/>
    <w:rsid w:val="00EA2F29"/>
    <w:rsid w:val="00EA312C"/>
    <w:rsid w:val="00EA3143"/>
    <w:rsid w:val="00EA35E2"/>
    <w:rsid w:val="00EA3AC3"/>
    <w:rsid w:val="00EA3B6B"/>
    <w:rsid w:val="00EA4317"/>
    <w:rsid w:val="00EA4FF4"/>
    <w:rsid w:val="00EA51C1"/>
    <w:rsid w:val="00EA5AB4"/>
    <w:rsid w:val="00EA6F48"/>
    <w:rsid w:val="00EA70BA"/>
    <w:rsid w:val="00EB0341"/>
    <w:rsid w:val="00EB05B1"/>
    <w:rsid w:val="00EB0935"/>
    <w:rsid w:val="00EB0CB0"/>
    <w:rsid w:val="00EB1083"/>
    <w:rsid w:val="00EB1727"/>
    <w:rsid w:val="00EB17BC"/>
    <w:rsid w:val="00EB1876"/>
    <w:rsid w:val="00EB1B7C"/>
    <w:rsid w:val="00EB235C"/>
    <w:rsid w:val="00EB2A8C"/>
    <w:rsid w:val="00EB37D9"/>
    <w:rsid w:val="00EB38EE"/>
    <w:rsid w:val="00EB3C87"/>
    <w:rsid w:val="00EB3D95"/>
    <w:rsid w:val="00EB3F9D"/>
    <w:rsid w:val="00EB4166"/>
    <w:rsid w:val="00EB42C7"/>
    <w:rsid w:val="00EB500E"/>
    <w:rsid w:val="00EB5497"/>
    <w:rsid w:val="00EB5848"/>
    <w:rsid w:val="00EB587C"/>
    <w:rsid w:val="00EB5C36"/>
    <w:rsid w:val="00EB5CB8"/>
    <w:rsid w:val="00EB5CB9"/>
    <w:rsid w:val="00EB5DC6"/>
    <w:rsid w:val="00EB5F49"/>
    <w:rsid w:val="00EB6143"/>
    <w:rsid w:val="00EB6181"/>
    <w:rsid w:val="00EB6369"/>
    <w:rsid w:val="00EB6915"/>
    <w:rsid w:val="00EB6D4E"/>
    <w:rsid w:val="00EB6ED1"/>
    <w:rsid w:val="00EB7277"/>
    <w:rsid w:val="00EB7305"/>
    <w:rsid w:val="00EB7C3C"/>
    <w:rsid w:val="00EB7CCB"/>
    <w:rsid w:val="00EC0365"/>
    <w:rsid w:val="00EC0581"/>
    <w:rsid w:val="00EC0A50"/>
    <w:rsid w:val="00EC0F56"/>
    <w:rsid w:val="00EC1161"/>
    <w:rsid w:val="00EC146C"/>
    <w:rsid w:val="00EC1863"/>
    <w:rsid w:val="00EC29CA"/>
    <w:rsid w:val="00EC2A7B"/>
    <w:rsid w:val="00EC2E70"/>
    <w:rsid w:val="00EC339C"/>
    <w:rsid w:val="00EC359A"/>
    <w:rsid w:val="00EC3971"/>
    <w:rsid w:val="00EC3A58"/>
    <w:rsid w:val="00EC3B1A"/>
    <w:rsid w:val="00EC3CA8"/>
    <w:rsid w:val="00EC3E8D"/>
    <w:rsid w:val="00EC40D8"/>
    <w:rsid w:val="00EC4172"/>
    <w:rsid w:val="00EC4175"/>
    <w:rsid w:val="00EC425A"/>
    <w:rsid w:val="00EC467A"/>
    <w:rsid w:val="00EC5301"/>
    <w:rsid w:val="00EC5645"/>
    <w:rsid w:val="00EC578D"/>
    <w:rsid w:val="00EC5C78"/>
    <w:rsid w:val="00EC5D60"/>
    <w:rsid w:val="00EC5DC5"/>
    <w:rsid w:val="00EC63E1"/>
    <w:rsid w:val="00EC66A0"/>
    <w:rsid w:val="00EC67C0"/>
    <w:rsid w:val="00EC76CE"/>
    <w:rsid w:val="00EC7710"/>
    <w:rsid w:val="00EC7985"/>
    <w:rsid w:val="00EC7A64"/>
    <w:rsid w:val="00EC7C98"/>
    <w:rsid w:val="00ED01D8"/>
    <w:rsid w:val="00ED03FD"/>
    <w:rsid w:val="00ED0771"/>
    <w:rsid w:val="00ED0F9B"/>
    <w:rsid w:val="00ED1996"/>
    <w:rsid w:val="00ED1D05"/>
    <w:rsid w:val="00ED2051"/>
    <w:rsid w:val="00ED239D"/>
    <w:rsid w:val="00ED26E7"/>
    <w:rsid w:val="00ED2894"/>
    <w:rsid w:val="00ED32C9"/>
    <w:rsid w:val="00ED3813"/>
    <w:rsid w:val="00ED3977"/>
    <w:rsid w:val="00ED3B47"/>
    <w:rsid w:val="00ED3BC9"/>
    <w:rsid w:val="00ED4084"/>
    <w:rsid w:val="00ED44E8"/>
    <w:rsid w:val="00ED4762"/>
    <w:rsid w:val="00ED4983"/>
    <w:rsid w:val="00ED4DBD"/>
    <w:rsid w:val="00ED546D"/>
    <w:rsid w:val="00ED5656"/>
    <w:rsid w:val="00ED5920"/>
    <w:rsid w:val="00ED594F"/>
    <w:rsid w:val="00ED5D34"/>
    <w:rsid w:val="00ED6D3F"/>
    <w:rsid w:val="00ED6E20"/>
    <w:rsid w:val="00ED6E81"/>
    <w:rsid w:val="00ED72DA"/>
    <w:rsid w:val="00ED7A12"/>
    <w:rsid w:val="00ED7AAD"/>
    <w:rsid w:val="00ED7E3E"/>
    <w:rsid w:val="00EE0369"/>
    <w:rsid w:val="00EE0393"/>
    <w:rsid w:val="00EE05A8"/>
    <w:rsid w:val="00EE072A"/>
    <w:rsid w:val="00EE09C9"/>
    <w:rsid w:val="00EE164E"/>
    <w:rsid w:val="00EE17BF"/>
    <w:rsid w:val="00EE182B"/>
    <w:rsid w:val="00EE199A"/>
    <w:rsid w:val="00EE1AF9"/>
    <w:rsid w:val="00EE1BAE"/>
    <w:rsid w:val="00EE1D1B"/>
    <w:rsid w:val="00EE2449"/>
    <w:rsid w:val="00EE292B"/>
    <w:rsid w:val="00EE2FE6"/>
    <w:rsid w:val="00EE3DC3"/>
    <w:rsid w:val="00EE3E19"/>
    <w:rsid w:val="00EE448E"/>
    <w:rsid w:val="00EE52DD"/>
    <w:rsid w:val="00EE5DFE"/>
    <w:rsid w:val="00EE66D8"/>
    <w:rsid w:val="00EE6D26"/>
    <w:rsid w:val="00EE6F14"/>
    <w:rsid w:val="00EE7287"/>
    <w:rsid w:val="00EE729C"/>
    <w:rsid w:val="00EE7591"/>
    <w:rsid w:val="00EE778E"/>
    <w:rsid w:val="00EE78C8"/>
    <w:rsid w:val="00EF0607"/>
    <w:rsid w:val="00EF11AE"/>
    <w:rsid w:val="00EF1540"/>
    <w:rsid w:val="00EF1810"/>
    <w:rsid w:val="00EF1BD2"/>
    <w:rsid w:val="00EF2274"/>
    <w:rsid w:val="00EF24F7"/>
    <w:rsid w:val="00EF2C8F"/>
    <w:rsid w:val="00EF2E2A"/>
    <w:rsid w:val="00EF2F16"/>
    <w:rsid w:val="00EF39AB"/>
    <w:rsid w:val="00EF3F23"/>
    <w:rsid w:val="00EF48DA"/>
    <w:rsid w:val="00EF4CC0"/>
    <w:rsid w:val="00EF5627"/>
    <w:rsid w:val="00EF6527"/>
    <w:rsid w:val="00EF65FF"/>
    <w:rsid w:val="00EF674D"/>
    <w:rsid w:val="00EF6A33"/>
    <w:rsid w:val="00EF6B6E"/>
    <w:rsid w:val="00EF6BAE"/>
    <w:rsid w:val="00EF6C14"/>
    <w:rsid w:val="00EF7786"/>
    <w:rsid w:val="00EF7C3C"/>
    <w:rsid w:val="00EF7CA2"/>
    <w:rsid w:val="00EF7D5E"/>
    <w:rsid w:val="00F0000C"/>
    <w:rsid w:val="00F0000D"/>
    <w:rsid w:val="00F00ABE"/>
    <w:rsid w:val="00F020F3"/>
    <w:rsid w:val="00F02289"/>
    <w:rsid w:val="00F022FB"/>
    <w:rsid w:val="00F03358"/>
    <w:rsid w:val="00F03735"/>
    <w:rsid w:val="00F03986"/>
    <w:rsid w:val="00F04BE9"/>
    <w:rsid w:val="00F04EA7"/>
    <w:rsid w:val="00F050B0"/>
    <w:rsid w:val="00F05677"/>
    <w:rsid w:val="00F06CE1"/>
    <w:rsid w:val="00F06D97"/>
    <w:rsid w:val="00F06EF7"/>
    <w:rsid w:val="00F06F77"/>
    <w:rsid w:val="00F07141"/>
    <w:rsid w:val="00F072FB"/>
    <w:rsid w:val="00F07CE7"/>
    <w:rsid w:val="00F07ECA"/>
    <w:rsid w:val="00F07F13"/>
    <w:rsid w:val="00F102E5"/>
    <w:rsid w:val="00F1089A"/>
    <w:rsid w:val="00F108BE"/>
    <w:rsid w:val="00F10E0B"/>
    <w:rsid w:val="00F11B4F"/>
    <w:rsid w:val="00F11BA6"/>
    <w:rsid w:val="00F122C2"/>
    <w:rsid w:val="00F123C7"/>
    <w:rsid w:val="00F124BC"/>
    <w:rsid w:val="00F13CAA"/>
    <w:rsid w:val="00F13D5D"/>
    <w:rsid w:val="00F14725"/>
    <w:rsid w:val="00F15002"/>
    <w:rsid w:val="00F1504A"/>
    <w:rsid w:val="00F15E38"/>
    <w:rsid w:val="00F162D4"/>
    <w:rsid w:val="00F16779"/>
    <w:rsid w:val="00F177F6"/>
    <w:rsid w:val="00F17B39"/>
    <w:rsid w:val="00F2058B"/>
    <w:rsid w:val="00F20ACE"/>
    <w:rsid w:val="00F20DEA"/>
    <w:rsid w:val="00F2107C"/>
    <w:rsid w:val="00F21B9C"/>
    <w:rsid w:val="00F21CD1"/>
    <w:rsid w:val="00F21E92"/>
    <w:rsid w:val="00F221EB"/>
    <w:rsid w:val="00F222EE"/>
    <w:rsid w:val="00F223BB"/>
    <w:rsid w:val="00F22A59"/>
    <w:rsid w:val="00F22CBB"/>
    <w:rsid w:val="00F2310F"/>
    <w:rsid w:val="00F23934"/>
    <w:rsid w:val="00F23AFD"/>
    <w:rsid w:val="00F242C0"/>
    <w:rsid w:val="00F24699"/>
    <w:rsid w:val="00F24E98"/>
    <w:rsid w:val="00F24F0E"/>
    <w:rsid w:val="00F25601"/>
    <w:rsid w:val="00F257DC"/>
    <w:rsid w:val="00F25AE6"/>
    <w:rsid w:val="00F25D9E"/>
    <w:rsid w:val="00F27573"/>
    <w:rsid w:val="00F27DFF"/>
    <w:rsid w:val="00F305CA"/>
    <w:rsid w:val="00F30A73"/>
    <w:rsid w:val="00F30AE4"/>
    <w:rsid w:val="00F30DEC"/>
    <w:rsid w:val="00F30E31"/>
    <w:rsid w:val="00F31995"/>
    <w:rsid w:val="00F31D07"/>
    <w:rsid w:val="00F31EEC"/>
    <w:rsid w:val="00F3209B"/>
    <w:rsid w:val="00F3214C"/>
    <w:rsid w:val="00F322B1"/>
    <w:rsid w:val="00F32592"/>
    <w:rsid w:val="00F336F8"/>
    <w:rsid w:val="00F3378F"/>
    <w:rsid w:val="00F3388B"/>
    <w:rsid w:val="00F33BA7"/>
    <w:rsid w:val="00F33F8D"/>
    <w:rsid w:val="00F347F7"/>
    <w:rsid w:val="00F35519"/>
    <w:rsid w:val="00F35AB0"/>
    <w:rsid w:val="00F35B69"/>
    <w:rsid w:val="00F35DC1"/>
    <w:rsid w:val="00F35EDA"/>
    <w:rsid w:val="00F36802"/>
    <w:rsid w:val="00F36913"/>
    <w:rsid w:val="00F36F5C"/>
    <w:rsid w:val="00F37016"/>
    <w:rsid w:val="00F37179"/>
    <w:rsid w:val="00F372F5"/>
    <w:rsid w:val="00F37848"/>
    <w:rsid w:val="00F3797A"/>
    <w:rsid w:val="00F37CB6"/>
    <w:rsid w:val="00F37F65"/>
    <w:rsid w:val="00F4010B"/>
    <w:rsid w:val="00F40944"/>
    <w:rsid w:val="00F409EB"/>
    <w:rsid w:val="00F40B2C"/>
    <w:rsid w:val="00F40D92"/>
    <w:rsid w:val="00F40EA8"/>
    <w:rsid w:val="00F41127"/>
    <w:rsid w:val="00F41AD8"/>
    <w:rsid w:val="00F41B31"/>
    <w:rsid w:val="00F41BA1"/>
    <w:rsid w:val="00F41D75"/>
    <w:rsid w:val="00F41E7A"/>
    <w:rsid w:val="00F41F88"/>
    <w:rsid w:val="00F421A3"/>
    <w:rsid w:val="00F42D3B"/>
    <w:rsid w:val="00F43221"/>
    <w:rsid w:val="00F4331C"/>
    <w:rsid w:val="00F4351C"/>
    <w:rsid w:val="00F438D8"/>
    <w:rsid w:val="00F44531"/>
    <w:rsid w:val="00F44A5F"/>
    <w:rsid w:val="00F44EFB"/>
    <w:rsid w:val="00F452C5"/>
    <w:rsid w:val="00F45903"/>
    <w:rsid w:val="00F45B5A"/>
    <w:rsid w:val="00F461DC"/>
    <w:rsid w:val="00F46257"/>
    <w:rsid w:val="00F46624"/>
    <w:rsid w:val="00F46950"/>
    <w:rsid w:val="00F46A40"/>
    <w:rsid w:val="00F46E42"/>
    <w:rsid w:val="00F4702C"/>
    <w:rsid w:val="00F47514"/>
    <w:rsid w:val="00F47571"/>
    <w:rsid w:val="00F4763F"/>
    <w:rsid w:val="00F479DB"/>
    <w:rsid w:val="00F47A13"/>
    <w:rsid w:val="00F47D04"/>
    <w:rsid w:val="00F47D34"/>
    <w:rsid w:val="00F50322"/>
    <w:rsid w:val="00F5037D"/>
    <w:rsid w:val="00F505B8"/>
    <w:rsid w:val="00F51131"/>
    <w:rsid w:val="00F51D21"/>
    <w:rsid w:val="00F523B3"/>
    <w:rsid w:val="00F52900"/>
    <w:rsid w:val="00F53001"/>
    <w:rsid w:val="00F53202"/>
    <w:rsid w:val="00F53EFE"/>
    <w:rsid w:val="00F541ED"/>
    <w:rsid w:val="00F5504B"/>
    <w:rsid w:val="00F5508E"/>
    <w:rsid w:val="00F55998"/>
    <w:rsid w:val="00F55E8A"/>
    <w:rsid w:val="00F560E8"/>
    <w:rsid w:val="00F570AC"/>
    <w:rsid w:val="00F57809"/>
    <w:rsid w:val="00F579DA"/>
    <w:rsid w:val="00F57E0D"/>
    <w:rsid w:val="00F601DA"/>
    <w:rsid w:val="00F601EE"/>
    <w:rsid w:val="00F60603"/>
    <w:rsid w:val="00F60854"/>
    <w:rsid w:val="00F60BA2"/>
    <w:rsid w:val="00F60D93"/>
    <w:rsid w:val="00F60E9A"/>
    <w:rsid w:val="00F612CA"/>
    <w:rsid w:val="00F6164C"/>
    <w:rsid w:val="00F627FA"/>
    <w:rsid w:val="00F628F5"/>
    <w:rsid w:val="00F62951"/>
    <w:rsid w:val="00F634F6"/>
    <w:rsid w:val="00F63756"/>
    <w:rsid w:val="00F63AE1"/>
    <w:rsid w:val="00F63B89"/>
    <w:rsid w:val="00F63BA1"/>
    <w:rsid w:val="00F63D50"/>
    <w:rsid w:val="00F645AE"/>
    <w:rsid w:val="00F655DD"/>
    <w:rsid w:val="00F6564D"/>
    <w:rsid w:val="00F657AB"/>
    <w:rsid w:val="00F65969"/>
    <w:rsid w:val="00F65E12"/>
    <w:rsid w:val="00F65F19"/>
    <w:rsid w:val="00F66163"/>
    <w:rsid w:val="00F66B81"/>
    <w:rsid w:val="00F66F71"/>
    <w:rsid w:val="00F6766D"/>
    <w:rsid w:val="00F676EA"/>
    <w:rsid w:val="00F67974"/>
    <w:rsid w:val="00F67FCF"/>
    <w:rsid w:val="00F7016D"/>
    <w:rsid w:val="00F70E3E"/>
    <w:rsid w:val="00F7185B"/>
    <w:rsid w:val="00F71A95"/>
    <w:rsid w:val="00F721F1"/>
    <w:rsid w:val="00F72894"/>
    <w:rsid w:val="00F728DE"/>
    <w:rsid w:val="00F72D3E"/>
    <w:rsid w:val="00F73052"/>
    <w:rsid w:val="00F73826"/>
    <w:rsid w:val="00F73C50"/>
    <w:rsid w:val="00F73CAA"/>
    <w:rsid w:val="00F73D2A"/>
    <w:rsid w:val="00F73E3A"/>
    <w:rsid w:val="00F7425F"/>
    <w:rsid w:val="00F74BAC"/>
    <w:rsid w:val="00F74DB8"/>
    <w:rsid w:val="00F74ED0"/>
    <w:rsid w:val="00F7542E"/>
    <w:rsid w:val="00F757CD"/>
    <w:rsid w:val="00F757DB"/>
    <w:rsid w:val="00F75959"/>
    <w:rsid w:val="00F75DB5"/>
    <w:rsid w:val="00F762D1"/>
    <w:rsid w:val="00F763DC"/>
    <w:rsid w:val="00F76B5F"/>
    <w:rsid w:val="00F76BA0"/>
    <w:rsid w:val="00F7706A"/>
    <w:rsid w:val="00F771A5"/>
    <w:rsid w:val="00F77456"/>
    <w:rsid w:val="00F775C7"/>
    <w:rsid w:val="00F77B4D"/>
    <w:rsid w:val="00F77ECA"/>
    <w:rsid w:val="00F80187"/>
    <w:rsid w:val="00F80604"/>
    <w:rsid w:val="00F80839"/>
    <w:rsid w:val="00F8093D"/>
    <w:rsid w:val="00F80BD1"/>
    <w:rsid w:val="00F80C1B"/>
    <w:rsid w:val="00F80E3F"/>
    <w:rsid w:val="00F81209"/>
    <w:rsid w:val="00F814D1"/>
    <w:rsid w:val="00F81B3E"/>
    <w:rsid w:val="00F81D0D"/>
    <w:rsid w:val="00F81D8D"/>
    <w:rsid w:val="00F82187"/>
    <w:rsid w:val="00F827E8"/>
    <w:rsid w:val="00F83098"/>
    <w:rsid w:val="00F835C2"/>
    <w:rsid w:val="00F8427B"/>
    <w:rsid w:val="00F848DF"/>
    <w:rsid w:val="00F84A35"/>
    <w:rsid w:val="00F84BF4"/>
    <w:rsid w:val="00F84F67"/>
    <w:rsid w:val="00F859E3"/>
    <w:rsid w:val="00F85ABB"/>
    <w:rsid w:val="00F85C52"/>
    <w:rsid w:val="00F85F2A"/>
    <w:rsid w:val="00F8631D"/>
    <w:rsid w:val="00F8707E"/>
    <w:rsid w:val="00F876E3"/>
    <w:rsid w:val="00F877C0"/>
    <w:rsid w:val="00F87B07"/>
    <w:rsid w:val="00F87E23"/>
    <w:rsid w:val="00F87F18"/>
    <w:rsid w:val="00F87FB4"/>
    <w:rsid w:val="00F90008"/>
    <w:rsid w:val="00F9048A"/>
    <w:rsid w:val="00F9096D"/>
    <w:rsid w:val="00F91025"/>
    <w:rsid w:val="00F910A1"/>
    <w:rsid w:val="00F913CD"/>
    <w:rsid w:val="00F91898"/>
    <w:rsid w:val="00F918CE"/>
    <w:rsid w:val="00F9199E"/>
    <w:rsid w:val="00F91F38"/>
    <w:rsid w:val="00F9278C"/>
    <w:rsid w:val="00F92FCC"/>
    <w:rsid w:val="00F931EF"/>
    <w:rsid w:val="00F93438"/>
    <w:rsid w:val="00F9350E"/>
    <w:rsid w:val="00F93E8A"/>
    <w:rsid w:val="00F94229"/>
    <w:rsid w:val="00F9441A"/>
    <w:rsid w:val="00F9479F"/>
    <w:rsid w:val="00F947C9"/>
    <w:rsid w:val="00F94880"/>
    <w:rsid w:val="00F94C10"/>
    <w:rsid w:val="00F95DEC"/>
    <w:rsid w:val="00F96747"/>
    <w:rsid w:val="00F96D76"/>
    <w:rsid w:val="00F970AC"/>
    <w:rsid w:val="00F975A5"/>
    <w:rsid w:val="00F97B2E"/>
    <w:rsid w:val="00F97D43"/>
    <w:rsid w:val="00FA0459"/>
    <w:rsid w:val="00FA08FD"/>
    <w:rsid w:val="00FA0AF6"/>
    <w:rsid w:val="00FA0DD4"/>
    <w:rsid w:val="00FA1030"/>
    <w:rsid w:val="00FA108A"/>
    <w:rsid w:val="00FA11F3"/>
    <w:rsid w:val="00FA121D"/>
    <w:rsid w:val="00FA1A8E"/>
    <w:rsid w:val="00FA1E1F"/>
    <w:rsid w:val="00FA27A2"/>
    <w:rsid w:val="00FA2982"/>
    <w:rsid w:val="00FA3323"/>
    <w:rsid w:val="00FA33D2"/>
    <w:rsid w:val="00FA4346"/>
    <w:rsid w:val="00FA499B"/>
    <w:rsid w:val="00FA4C86"/>
    <w:rsid w:val="00FA4DB6"/>
    <w:rsid w:val="00FA4ECB"/>
    <w:rsid w:val="00FA4F0C"/>
    <w:rsid w:val="00FA50D6"/>
    <w:rsid w:val="00FA50F2"/>
    <w:rsid w:val="00FA511C"/>
    <w:rsid w:val="00FA550C"/>
    <w:rsid w:val="00FA5EA2"/>
    <w:rsid w:val="00FA62AD"/>
    <w:rsid w:val="00FA642E"/>
    <w:rsid w:val="00FA6945"/>
    <w:rsid w:val="00FA6B12"/>
    <w:rsid w:val="00FA6D11"/>
    <w:rsid w:val="00FA70EE"/>
    <w:rsid w:val="00FA71F1"/>
    <w:rsid w:val="00FA728B"/>
    <w:rsid w:val="00FA7F88"/>
    <w:rsid w:val="00FB016C"/>
    <w:rsid w:val="00FB041F"/>
    <w:rsid w:val="00FB0B82"/>
    <w:rsid w:val="00FB0DE1"/>
    <w:rsid w:val="00FB1269"/>
    <w:rsid w:val="00FB14A5"/>
    <w:rsid w:val="00FB18AB"/>
    <w:rsid w:val="00FB1E5E"/>
    <w:rsid w:val="00FB1E79"/>
    <w:rsid w:val="00FB288A"/>
    <w:rsid w:val="00FB29F8"/>
    <w:rsid w:val="00FB323D"/>
    <w:rsid w:val="00FB33CD"/>
    <w:rsid w:val="00FB3D42"/>
    <w:rsid w:val="00FB45BA"/>
    <w:rsid w:val="00FB468C"/>
    <w:rsid w:val="00FB48B6"/>
    <w:rsid w:val="00FB4E93"/>
    <w:rsid w:val="00FB5095"/>
    <w:rsid w:val="00FB50F3"/>
    <w:rsid w:val="00FB53CA"/>
    <w:rsid w:val="00FB66ED"/>
    <w:rsid w:val="00FB681D"/>
    <w:rsid w:val="00FB6DAF"/>
    <w:rsid w:val="00FB6DD6"/>
    <w:rsid w:val="00FB7185"/>
    <w:rsid w:val="00FB743A"/>
    <w:rsid w:val="00FB7602"/>
    <w:rsid w:val="00FC0DCC"/>
    <w:rsid w:val="00FC1873"/>
    <w:rsid w:val="00FC1ECB"/>
    <w:rsid w:val="00FC20E8"/>
    <w:rsid w:val="00FC2BB1"/>
    <w:rsid w:val="00FC2D5A"/>
    <w:rsid w:val="00FC2D8B"/>
    <w:rsid w:val="00FC2DDB"/>
    <w:rsid w:val="00FC37EB"/>
    <w:rsid w:val="00FC3A07"/>
    <w:rsid w:val="00FC3A1C"/>
    <w:rsid w:val="00FC3BF3"/>
    <w:rsid w:val="00FC4468"/>
    <w:rsid w:val="00FC44D9"/>
    <w:rsid w:val="00FC4BD5"/>
    <w:rsid w:val="00FC4CA3"/>
    <w:rsid w:val="00FC50B3"/>
    <w:rsid w:val="00FC511E"/>
    <w:rsid w:val="00FC516A"/>
    <w:rsid w:val="00FC5D74"/>
    <w:rsid w:val="00FC5F86"/>
    <w:rsid w:val="00FC5FFE"/>
    <w:rsid w:val="00FC6015"/>
    <w:rsid w:val="00FC6228"/>
    <w:rsid w:val="00FC6DB2"/>
    <w:rsid w:val="00FC6DCE"/>
    <w:rsid w:val="00FC6EDD"/>
    <w:rsid w:val="00FC7426"/>
    <w:rsid w:val="00FC770A"/>
    <w:rsid w:val="00FC7814"/>
    <w:rsid w:val="00FC7A3C"/>
    <w:rsid w:val="00FC7E69"/>
    <w:rsid w:val="00FD00C5"/>
    <w:rsid w:val="00FD05DC"/>
    <w:rsid w:val="00FD08E5"/>
    <w:rsid w:val="00FD0C16"/>
    <w:rsid w:val="00FD115A"/>
    <w:rsid w:val="00FD1266"/>
    <w:rsid w:val="00FD13DB"/>
    <w:rsid w:val="00FD1951"/>
    <w:rsid w:val="00FD1B5E"/>
    <w:rsid w:val="00FD2081"/>
    <w:rsid w:val="00FD22A4"/>
    <w:rsid w:val="00FD2AFA"/>
    <w:rsid w:val="00FD2C6D"/>
    <w:rsid w:val="00FD3306"/>
    <w:rsid w:val="00FD36B1"/>
    <w:rsid w:val="00FD37BF"/>
    <w:rsid w:val="00FD3981"/>
    <w:rsid w:val="00FD3A50"/>
    <w:rsid w:val="00FD3FF5"/>
    <w:rsid w:val="00FD408A"/>
    <w:rsid w:val="00FD41B7"/>
    <w:rsid w:val="00FD42B3"/>
    <w:rsid w:val="00FD473D"/>
    <w:rsid w:val="00FD4866"/>
    <w:rsid w:val="00FD4F69"/>
    <w:rsid w:val="00FD523C"/>
    <w:rsid w:val="00FD5589"/>
    <w:rsid w:val="00FD56A7"/>
    <w:rsid w:val="00FD57E9"/>
    <w:rsid w:val="00FD6AF3"/>
    <w:rsid w:val="00FD715D"/>
    <w:rsid w:val="00FD7A78"/>
    <w:rsid w:val="00FD7C66"/>
    <w:rsid w:val="00FE06DD"/>
    <w:rsid w:val="00FE06FD"/>
    <w:rsid w:val="00FE07E3"/>
    <w:rsid w:val="00FE0C3D"/>
    <w:rsid w:val="00FE0D35"/>
    <w:rsid w:val="00FE0E89"/>
    <w:rsid w:val="00FE0E99"/>
    <w:rsid w:val="00FE0EBB"/>
    <w:rsid w:val="00FE1276"/>
    <w:rsid w:val="00FE1B6B"/>
    <w:rsid w:val="00FE1ECB"/>
    <w:rsid w:val="00FE280A"/>
    <w:rsid w:val="00FE2B2F"/>
    <w:rsid w:val="00FE2FD5"/>
    <w:rsid w:val="00FE393F"/>
    <w:rsid w:val="00FE3DBF"/>
    <w:rsid w:val="00FE403E"/>
    <w:rsid w:val="00FE47A7"/>
    <w:rsid w:val="00FE47F7"/>
    <w:rsid w:val="00FE48EC"/>
    <w:rsid w:val="00FE4D5C"/>
    <w:rsid w:val="00FE4EC6"/>
    <w:rsid w:val="00FE59FD"/>
    <w:rsid w:val="00FE5A41"/>
    <w:rsid w:val="00FE5DCD"/>
    <w:rsid w:val="00FE61E6"/>
    <w:rsid w:val="00FE6256"/>
    <w:rsid w:val="00FE65BA"/>
    <w:rsid w:val="00FE6AE5"/>
    <w:rsid w:val="00FE6CEA"/>
    <w:rsid w:val="00FE6F16"/>
    <w:rsid w:val="00FE6FF7"/>
    <w:rsid w:val="00FE779A"/>
    <w:rsid w:val="00FE7AE9"/>
    <w:rsid w:val="00FE7D44"/>
    <w:rsid w:val="00FE7F98"/>
    <w:rsid w:val="00FF075F"/>
    <w:rsid w:val="00FF103A"/>
    <w:rsid w:val="00FF1150"/>
    <w:rsid w:val="00FF17B5"/>
    <w:rsid w:val="00FF18F7"/>
    <w:rsid w:val="00FF1FC5"/>
    <w:rsid w:val="00FF2037"/>
    <w:rsid w:val="00FF2426"/>
    <w:rsid w:val="00FF2707"/>
    <w:rsid w:val="00FF273F"/>
    <w:rsid w:val="00FF2C0C"/>
    <w:rsid w:val="00FF2D8D"/>
    <w:rsid w:val="00FF2E7F"/>
    <w:rsid w:val="00FF306D"/>
    <w:rsid w:val="00FF390C"/>
    <w:rsid w:val="00FF3EFE"/>
    <w:rsid w:val="00FF3F01"/>
    <w:rsid w:val="00FF46AF"/>
    <w:rsid w:val="00FF4A86"/>
    <w:rsid w:val="00FF4C91"/>
    <w:rsid w:val="00FF53B8"/>
    <w:rsid w:val="00FF53DE"/>
    <w:rsid w:val="00FF5A66"/>
    <w:rsid w:val="00FF5F88"/>
    <w:rsid w:val="00FF6028"/>
    <w:rsid w:val="00FF6622"/>
    <w:rsid w:val="00FF6BA1"/>
    <w:rsid w:val="00FF6FF7"/>
    <w:rsid w:val="00FF710B"/>
    <w:rsid w:val="00FF7485"/>
    <w:rsid w:val="00FF75EF"/>
    <w:rsid w:val="00FF7D77"/>
    <w:rsid w:val="00FF7E10"/>
    <w:rsid w:val="00FF7F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0DEEF"/>
  <w15:chartTrackingRefBased/>
  <w15:docId w15:val="{D7A68BA6-E431-4C19-A207-D8AC13013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16FF5"/>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16FF5"/>
    <w:pPr>
      <w:keepNext/>
      <w:keepLines/>
      <w:numPr>
        <w:ilvl w:val="2"/>
        <w:numId w:val="1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207952"/>
    <w:pPr>
      <w:keepNext/>
      <w:keepLines/>
      <w:spacing w:before="240" w:line="300" w:lineRule="atLeast"/>
      <w:outlineLvl w:val="2"/>
    </w:pPr>
    <w:rPr>
      <w:rFonts w:ascii="Arial Black" w:eastAsiaTheme="majorEastAsia" w:hAnsi="Arial Black" w:cstheme="majorBidi"/>
      <w:color w:val="207291" w:themeColor="text2" w:themeShade="BF"/>
      <w:sz w:val="26"/>
      <w:szCs w:val="37"/>
    </w:rPr>
  </w:style>
  <w:style w:type="paragraph" w:styleId="Heading4">
    <w:name w:val="heading 4"/>
    <w:basedOn w:val="Normal"/>
    <w:next w:val="BodyText"/>
    <w:link w:val="Heading4Char"/>
    <w:uiPriority w:val="9"/>
    <w:qFormat/>
    <w:rsid w:val="007D72FA"/>
    <w:pPr>
      <w:keepNext/>
      <w:keepLines/>
      <w:spacing w:before="240" w:line="264" w:lineRule="atLeast"/>
      <w:outlineLvl w:val="3"/>
    </w:pPr>
    <w:rPr>
      <w:rFonts w:ascii="Arial Black" w:eastAsiaTheme="majorEastAsia" w:hAnsi="Arial Black" w:cstheme="majorBidi"/>
      <w:iCs/>
      <w:color w:val="265A9A" w:themeColor="background2"/>
      <w:sz w:val="22"/>
      <w:szCs w:val="33"/>
    </w:rPr>
  </w:style>
  <w:style w:type="paragraph" w:styleId="Heading5">
    <w:name w:val="heading 5"/>
    <w:basedOn w:val="Normal"/>
    <w:next w:val="BodyText"/>
    <w:link w:val="Heading5Char"/>
    <w:uiPriority w:val="9"/>
    <w:qFormat/>
    <w:rsid w:val="00E16FF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16FF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16FF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16FF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16FF5"/>
    <w:pPr>
      <w:spacing w:line="240" w:lineRule="auto"/>
      <w:outlineLvl w:val="8"/>
    </w:pPr>
    <w:rPr>
      <w:rFonts w:asciiTheme="majorHAnsi" w:hAnsiTheme="majorHAnsi"/>
      <w:color w:val="8956A3"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6FF5"/>
    <w:rPr>
      <w:color w:val="808080"/>
    </w:rPr>
  </w:style>
  <w:style w:type="paragraph" w:styleId="Date">
    <w:name w:val="Date"/>
    <w:basedOn w:val="Normal"/>
    <w:next w:val="Normal"/>
    <w:link w:val="DateChar"/>
    <w:uiPriority w:val="99"/>
    <w:unhideWhenUsed/>
    <w:rsid w:val="00E16FF5"/>
    <w:pPr>
      <w:spacing w:after="360" w:line="293" w:lineRule="auto"/>
    </w:pPr>
  </w:style>
  <w:style w:type="character" w:customStyle="1" w:styleId="DateChar">
    <w:name w:val="Date Char"/>
    <w:basedOn w:val="DefaultParagraphFont"/>
    <w:link w:val="Date"/>
    <w:uiPriority w:val="99"/>
    <w:rsid w:val="00E16FF5"/>
    <w:rPr>
      <w:sz w:val="20"/>
      <w:szCs w:val="20"/>
    </w:rPr>
  </w:style>
  <w:style w:type="paragraph" w:styleId="NoSpacing">
    <w:name w:val="No Spacing"/>
    <w:basedOn w:val="Normal"/>
    <w:link w:val="NoSpacingChar"/>
    <w:uiPriority w:val="10"/>
    <w:qFormat/>
    <w:rsid w:val="00E16FF5"/>
    <w:pPr>
      <w:spacing w:before="0" w:after="0"/>
    </w:pPr>
  </w:style>
  <w:style w:type="paragraph" w:styleId="ListBullet">
    <w:name w:val="List Bullet"/>
    <w:basedOn w:val="Normal"/>
    <w:link w:val="ListBulletChar"/>
    <w:uiPriority w:val="1"/>
    <w:qFormat/>
    <w:rsid w:val="004B6549"/>
    <w:pPr>
      <w:numPr>
        <w:numId w:val="36"/>
      </w:numPr>
      <w:contextualSpacing/>
    </w:pPr>
    <w:rPr>
      <w:rFonts w:ascii="Arial" w:hAnsi="Arial"/>
    </w:rPr>
  </w:style>
  <w:style w:type="paragraph" w:styleId="ListBullet2">
    <w:name w:val="List Bullet 2"/>
    <w:basedOn w:val="Normal"/>
    <w:uiPriority w:val="1"/>
    <w:qFormat/>
    <w:rsid w:val="007947C2"/>
    <w:pPr>
      <w:numPr>
        <w:ilvl w:val="1"/>
        <w:numId w:val="36"/>
      </w:numPr>
      <w:contextualSpacing/>
    </w:pPr>
  </w:style>
  <w:style w:type="paragraph" w:styleId="ListNumber">
    <w:name w:val="List Number"/>
    <w:basedOn w:val="Normal"/>
    <w:uiPriority w:val="2"/>
    <w:qFormat/>
    <w:rsid w:val="007947C2"/>
    <w:pPr>
      <w:numPr>
        <w:numId w:val="16"/>
      </w:numPr>
      <w:spacing w:before="60"/>
      <w:contextualSpacing/>
    </w:pPr>
  </w:style>
  <w:style w:type="numbering" w:customStyle="1" w:styleId="Bullets">
    <w:name w:val="Bullets"/>
    <w:uiPriority w:val="99"/>
    <w:rsid w:val="007947C2"/>
    <w:pPr>
      <w:numPr>
        <w:numId w:val="7"/>
      </w:numPr>
    </w:pPr>
  </w:style>
  <w:style w:type="character" w:customStyle="1" w:styleId="Heading1Char">
    <w:name w:val="Heading 1 Char"/>
    <w:basedOn w:val="DefaultParagraphFont"/>
    <w:link w:val="Heading1"/>
    <w:uiPriority w:val="9"/>
    <w:rsid w:val="00E16FF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6"/>
      </w:numPr>
      <w:spacing w:before="60"/>
      <w:contextualSpacing/>
    </w:pPr>
  </w:style>
  <w:style w:type="character" w:customStyle="1" w:styleId="Heading2Char">
    <w:name w:val="Heading 2 Char"/>
    <w:basedOn w:val="DefaultParagraphFont"/>
    <w:link w:val="Heading2"/>
    <w:uiPriority w:val="9"/>
    <w:rsid w:val="00E16FF5"/>
    <w:rPr>
      <w:rFonts w:asciiTheme="majorHAnsi" w:eastAsiaTheme="majorEastAsia" w:hAnsiTheme="majorHAnsi" w:cstheme="majorBidi"/>
      <w:sz w:val="30"/>
      <w:szCs w:val="60"/>
    </w:rPr>
  </w:style>
  <w:style w:type="paragraph" w:styleId="ListParagraph">
    <w:name w:val="List Paragraph"/>
    <w:basedOn w:val="Normal"/>
    <w:uiPriority w:val="99"/>
    <w:rsid w:val="00E16FF5"/>
    <w:pPr>
      <w:spacing w:line="293" w:lineRule="auto"/>
      <w:ind w:left="284"/>
      <w:contextualSpacing/>
    </w:pPr>
  </w:style>
  <w:style w:type="paragraph" w:styleId="Header">
    <w:name w:val="header"/>
    <w:basedOn w:val="Normal"/>
    <w:link w:val="HeaderChar"/>
    <w:uiPriority w:val="99"/>
    <w:unhideWhenUsed/>
    <w:rsid w:val="00D6611B"/>
    <w:pPr>
      <w:tabs>
        <w:tab w:val="center" w:pos="4513"/>
        <w:tab w:val="right" w:pos="9026"/>
      </w:tabs>
      <w:spacing w:after="0" w:line="240" w:lineRule="auto"/>
    </w:pPr>
    <w:rPr>
      <w:rFonts w:ascii="Arial" w:hAnsi="Arial"/>
      <w:sz w:val="16"/>
    </w:rPr>
  </w:style>
  <w:style w:type="character" w:customStyle="1" w:styleId="HeaderChar">
    <w:name w:val="Header Char"/>
    <w:basedOn w:val="DefaultParagraphFont"/>
    <w:link w:val="Header"/>
    <w:uiPriority w:val="99"/>
    <w:rsid w:val="00D6611B"/>
    <w:rPr>
      <w:rFonts w:ascii="Arial" w:hAnsi="Arial"/>
      <w:sz w:val="16"/>
      <w:szCs w:val="20"/>
    </w:rPr>
  </w:style>
  <w:style w:type="paragraph" w:styleId="Footer">
    <w:name w:val="footer"/>
    <w:basedOn w:val="Normal"/>
    <w:link w:val="FooterChar"/>
    <w:uiPriority w:val="11"/>
    <w:rsid w:val="00D6611B"/>
    <w:pPr>
      <w:tabs>
        <w:tab w:val="center" w:pos="4513"/>
        <w:tab w:val="right" w:pos="9026"/>
      </w:tabs>
      <w:spacing w:after="0" w:line="240" w:lineRule="auto"/>
      <w:contextualSpacing/>
    </w:pPr>
    <w:rPr>
      <w:rFonts w:ascii="Arial" w:hAnsi="Arial"/>
      <w:sz w:val="17"/>
      <w:szCs w:val="22"/>
    </w:rPr>
  </w:style>
  <w:style w:type="character" w:customStyle="1" w:styleId="FooterChar">
    <w:name w:val="Footer Char"/>
    <w:basedOn w:val="DefaultParagraphFont"/>
    <w:link w:val="Footer"/>
    <w:uiPriority w:val="11"/>
    <w:rsid w:val="00D6611B"/>
    <w:rPr>
      <w:rFonts w:ascii="Arial" w:hAnsi="Arial"/>
      <w:sz w:val="17"/>
    </w:rPr>
  </w:style>
  <w:style w:type="numbering" w:customStyle="1" w:styleId="Numbering">
    <w:name w:val="Numbering"/>
    <w:uiPriority w:val="99"/>
    <w:rsid w:val="007947C2"/>
    <w:pPr>
      <w:numPr>
        <w:numId w:val="16"/>
      </w:numPr>
    </w:pPr>
  </w:style>
  <w:style w:type="paragraph" w:styleId="ListBullet3">
    <w:name w:val="List Bullet 3"/>
    <w:basedOn w:val="Normal"/>
    <w:uiPriority w:val="1"/>
    <w:qFormat/>
    <w:rsid w:val="00E16FF5"/>
    <w:pPr>
      <w:numPr>
        <w:ilvl w:val="2"/>
        <w:numId w:val="36"/>
      </w:numPr>
      <w:contextualSpacing/>
    </w:pPr>
  </w:style>
  <w:style w:type="paragraph" w:styleId="ListContinue2">
    <w:name w:val="List Continue 2"/>
    <w:basedOn w:val="Normal"/>
    <w:uiPriority w:val="3"/>
    <w:unhideWhenUsed/>
    <w:qFormat/>
    <w:rsid w:val="00E16FF5"/>
    <w:pPr>
      <w:spacing w:before="60"/>
      <w:ind w:left="454"/>
    </w:pPr>
  </w:style>
  <w:style w:type="paragraph" w:styleId="ListNumber3">
    <w:name w:val="List Number 3"/>
    <w:basedOn w:val="Normal"/>
    <w:uiPriority w:val="13"/>
    <w:semiHidden/>
    <w:qFormat/>
    <w:rsid w:val="007947C2"/>
    <w:pPr>
      <w:numPr>
        <w:ilvl w:val="2"/>
        <w:numId w:val="16"/>
      </w:numPr>
      <w:spacing w:before="60"/>
      <w:contextualSpacing/>
    </w:pPr>
  </w:style>
  <w:style w:type="paragraph" w:styleId="ListNumber4">
    <w:name w:val="List Number 4"/>
    <w:basedOn w:val="Normal"/>
    <w:uiPriority w:val="13"/>
    <w:semiHidden/>
    <w:qFormat/>
    <w:rsid w:val="007947C2"/>
    <w:pPr>
      <w:numPr>
        <w:ilvl w:val="3"/>
        <w:numId w:val="16"/>
      </w:numPr>
      <w:spacing w:after="200" w:line="293" w:lineRule="auto"/>
      <w:contextualSpacing/>
    </w:pPr>
  </w:style>
  <w:style w:type="paragraph" w:styleId="ListNumber5">
    <w:name w:val="List Number 5"/>
    <w:basedOn w:val="Normal"/>
    <w:uiPriority w:val="13"/>
    <w:semiHidden/>
    <w:rsid w:val="007947C2"/>
    <w:pPr>
      <w:numPr>
        <w:ilvl w:val="4"/>
        <w:numId w:val="16"/>
      </w:numPr>
      <w:spacing w:after="200" w:line="293" w:lineRule="auto"/>
      <w:contextualSpacing/>
    </w:pPr>
  </w:style>
  <w:style w:type="paragraph" w:styleId="ListContinue">
    <w:name w:val="List Continue"/>
    <w:basedOn w:val="Normal"/>
    <w:uiPriority w:val="3"/>
    <w:unhideWhenUsed/>
    <w:qFormat/>
    <w:rsid w:val="00E16FF5"/>
    <w:pPr>
      <w:spacing w:before="60"/>
      <w:ind w:left="227"/>
    </w:pPr>
  </w:style>
  <w:style w:type="paragraph" w:styleId="ListContinue3">
    <w:name w:val="List Continue 3"/>
    <w:basedOn w:val="Normal"/>
    <w:uiPriority w:val="3"/>
    <w:unhideWhenUsed/>
    <w:qFormat/>
    <w:rsid w:val="00E16FF5"/>
    <w:pPr>
      <w:spacing w:before="60"/>
      <w:ind w:left="907"/>
    </w:pPr>
  </w:style>
  <w:style w:type="paragraph" w:styleId="ListContinue4">
    <w:name w:val="List Continue 4"/>
    <w:basedOn w:val="Normal"/>
    <w:uiPriority w:val="3"/>
    <w:unhideWhenUsed/>
    <w:qFormat/>
    <w:rsid w:val="00E16FF5"/>
    <w:pPr>
      <w:spacing w:line="293" w:lineRule="auto"/>
      <w:ind w:left="907"/>
      <w:contextualSpacing/>
    </w:pPr>
  </w:style>
  <w:style w:type="character" w:customStyle="1" w:styleId="Heading3Char">
    <w:name w:val="Heading 3 Char"/>
    <w:basedOn w:val="DefaultParagraphFont"/>
    <w:link w:val="Heading3"/>
    <w:uiPriority w:val="9"/>
    <w:rsid w:val="00207952"/>
    <w:rPr>
      <w:rFonts w:ascii="Arial Black" w:eastAsiaTheme="majorEastAsia" w:hAnsi="Arial Black" w:cstheme="majorBidi"/>
      <w:color w:val="207291" w:themeColor="text2" w:themeShade="BF"/>
      <w:sz w:val="26"/>
      <w:szCs w:val="37"/>
    </w:rPr>
  </w:style>
  <w:style w:type="character" w:customStyle="1" w:styleId="Heading4Char">
    <w:name w:val="Heading 4 Char"/>
    <w:basedOn w:val="DefaultParagraphFont"/>
    <w:link w:val="Heading4"/>
    <w:uiPriority w:val="9"/>
    <w:rsid w:val="00E16FF5"/>
    <w:rPr>
      <w:rFonts w:ascii="Arial Black" w:eastAsiaTheme="majorEastAsia" w:hAnsi="Arial Black" w:cstheme="majorBidi"/>
      <w:iCs/>
      <w:color w:val="265A9A" w:themeColor="background2"/>
      <w:szCs w:val="33"/>
    </w:rPr>
  </w:style>
  <w:style w:type="character" w:customStyle="1" w:styleId="Heading5Char">
    <w:name w:val="Heading 5 Char"/>
    <w:basedOn w:val="DefaultParagraphFont"/>
    <w:link w:val="Heading5"/>
    <w:uiPriority w:val="9"/>
    <w:rsid w:val="00E16FF5"/>
    <w:rPr>
      <w:rFonts w:eastAsiaTheme="majorEastAsia" w:cstheme="majorBidi"/>
      <w:b/>
      <w:color w:val="265A9A" w:themeColor="background2"/>
      <w:szCs w:val="29"/>
    </w:rPr>
  </w:style>
  <w:style w:type="numbering" w:customStyle="1" w:styleId="ListHeadings">
    <w:name w:val="List Headings"/>
    <w:uiPriority w:val="99"/>
    <w:rsid w:val="007947C2"/>
    <w:pPr>
      <w:numPr>
        <w:numId w:val="14"/>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E16FF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16FF5"/>
    <w:pPr>
      <w:pBdr>
        <w:top w:val="single" w:sz="4" w:space="4" w:color="2B9AC2" w:themeColor="text2"/>
        <w:left w:val="single" w:sz="4" w:space="4" w:color="2B9AC2" w:themeColor="text2"/>
        <w:bottom w:val="single" w:sz="4" w:space="4" w:color="2B9AC2" w:themeColor="text2"/>
        <w:right w:val="single" w:sz="4" w:space="4" w:color="2B9AC2" w:themeColor="text2"/>
      </w:pBdr>
      <w:shd w:val="clear" w:color="auto" w:fill="2B9AC2"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16FF5"/>
    <w:rPr>
      <w:b/>
    </w:rPr>
  </w:style>
  <w:style w:type="character" w:customStyle="1" w:styleId="Pull-outQuoteChar">
    <w:name w:val="Pull-out Quote Char"/>
    <w:basedOn w:val="DefaultParagraphFont"/>
    <w:link w:val="Pull-outQuote"/>
    <w:uiPriority w:val="99"/>
    <w:semiHidden/>
    <w:rsid w:val="00E16FF5"/>
    <w:rPr>
      <w:color w:val="FFFFFF" w:themeColor="background1"/>
      <w:sz w:val="20"/>
      <w:szCs w:val="20"/>
      <w:shd w:val="clear" w:color="auto" w:fill="2B9AC2" w:themeFill="text2"/>
    </w:rPr>
  </w:style>
  <w:style w:type="character" w:customStyle="1" w:styleId="Pull-outQuoteHeadingChar">
    <w:name w:val="Pull-out Quote Heading Char"/>
    <w:basedOn w:val="Pull-outQuoteChar"/>
    <w:link w:val="Pull-outQuoteHeading"/>
    <w:uiPriority w:val="99"/>
    <w:semiHidden/>
    <w:rsid w:val="00E16FF5"/>
    <w:rPr>
      <w:b/>
      <w:color w:val="FFFFFF" w:themeColor="background1"/>
      <w:sz w:val="20"/>
      <w:szCs w:val="20"/>
      <w:shd w:val="clear" w:color="auto" w:fill="2B9AC2" w:themeFill="text2"/>
    </w:rPr>
  </w:style>
  <w:style w:type="paragraph" w:customStyle="1" w:styleId="NumberedHeading1">
    <w:name w:val="Numbered Heading 1"/>
    <w:basedOn w:val="Heading1"/>
    <w:next w:val="Normal"/>
    <w:link w:val="NumberedHeading1Char"/>
    <w:uiPriority w:val="9"/>
    <w:semiHidden/>
    <w:rsid w:val="00E16FF5"/>
  </w:style>
  <w:style w:type="paragraph" w:customStyle="1" w:styleId="NumberedHeading2">
    <w:name w:val="Numbered Heading 2"/>
    <w:basedOn w:val="Heading2"/>
    <w:next w:val="Normal"/>
    <w:link w:val="NumberedHeading2Char"/>
    <w:uiPriority w:val="9"/>
    <w:semiHidden/>
    <w:rsid w:val="00E16FF5"/>
  </w:style>
  <w:style w:type="character" w:customStyle="1" w:styleId="NumberedHeading1Char">
    <w:name w:val="Numbered Heading 1 Char"/>
    <w:basedOn w:val="Heading1Char"/>
    <w:link w:val="NumberedHeading1"/>
    <w:uiPriority w:val="9"/>
    <w:semiHidden/>
    <w:rsid w:val="00E16FF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16FF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16FF5"/>
    <w:pPr>
      <w:ind w:left="1134"/>
      <w:contextualSpacing/>
    </w:pPr>
  </w:style>
  <w:style w:type="table" w:styleId="TableGrid">
    <w:name w:val="Table Grid"/>
    <w:basedOn w:val="TableNormal"/>
    <w:uiPriority w:val="39"/>
    <w:rsid w:val="00E16FF5"/>
    <w:pPr>
      <w:spacing w:after="0" w:line="240" w:lineRule="auto"/>
    </w:pPr>
    <w:tblPr/>
  </w:style>
  <w:style w:type="paragraph" w:styleId="Caption">
    <w:name w:val="caption"/>
    <w:basedOn w:val="Normal"/>
    <w:next w:val="Normal"/>
    <w:uiPriority w:val="4"/>
    <w:qFormat/>
    <w:rsid w:val="00E16FF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11"/>
      </w:numPr>
      <w:spacing w:before="60"/>
    </w:pPr>
  </w:style>
  <w:style w:type="paragraph" w:styleId="List2">
    <w:name w:val="List 2"/>
    <w:basedOn w:val="Normal"/>
    <w:uiPriority w:val="99"/>
    <w:semiHidden/>
    <w:qFormat/>
    <w:rsid w:val="007947C2"/>
    <w:pPr>
      <w:numPr>
        <w:ilvl w:val="1"/>
        <w:numId w:val="11"/>
      </w:numPr>
      <w:spacing w:before="60"/>
    </w:pPr>
  </w:style>
  <w:style w:type="numbering" w:customStyle="1" w:styleId="LetteredList">
    <w:name w:val="Lettered List"/>
    <w:uiPriority w:val="99"/>
    <w:rsid w:val="007947C2"/>
    <w:pPr>
      <w:numPr>
        <w:numId w:val="10"/>
      </w:numPr>
    </w:pPr>
  </w:style>
  <w:style w:type="paragraph" w:styleId="Subtitle">
    <w:name w:val="Subtitle"/>
    <w:basedOn w:val="Normal"/>
    <w:next w:val="Normal"/>
    <w:link w:val="SubtitleChar"/>
    <w:uiPriority w:val="39"/>
    <w:rsid w:val="00E16FF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16FF5"/>
    <w:rPr>
      <w:rFonts w:eastAsiaTheme="minorEastAsia"/>
      <w:color w:val="FFFFFF" w:themeColor="background1"/>
      <w:sz w:val="52"/>
      <w:szCs w:val="20"/>
    </w:rPr>
  </w:style>
  <w:style w:type="character" w:styleId="Strong">
    <w:name w:val="Strong"/>
    <w:basedOn w:val="DefaultParagraphFont"/>
    <w:uiPriority w:val="22"/>
    <w:qFormat/>
    <w:rsid w:val="00AC1E5C"/>
    <w:rPr>
      <w:rFonts w:ascii="Arial" w:hAnsi="Arial"/>
      <w:b/>
      <w:bCs/>
    </w:rPr>
  </w:style>
  <w:style w:type="paragraph" w:customStyle="1" w:styleId="Header-Keyline">
    <w:name w:val="Header - Keyline"/>
    <w:basedOn w:val="Header"/>
    <w:link w:val="Header-KeylineChar"/>
    <w:uiPriority w:val="99"/>
    <w:rsid w:val="00E16FF5"/>
    <w:pPr>
      <w:pBdr>
        <w:bottom w:val="single" w:sz="4" w:space="31" w:color="2B9AC2" w:themeColor="text2"/>
      </w:pBdr>
      <w:spacing w:after="600"/>
    </w:pPr>
  </w:style>
  <w:style w:type="character" w:customStyle="1" w:styleId="Heading6Char">
    <w:name w:val="Heading 6 Char"/>
    <w:basedOn w:val="DefaultParagraphFont"/>
    <w:link w:val="Heading6"/>
    <w:uiPriority w:val="9"/>
    <w:rsid w:val="00E16FF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16FF5"/>
    <w:rPr>
      <w:rFonts w:ascii="Arial" w:hAnsi="Arial"/>
      <w:sz w:val="16"/>
      <w:szCs w:val="20"/>
    </w:rPr>
  </w:style>
  <w:style w:type="character" w:customStyle="1" w:styleId="Heading7Char">
    <w:name w:val="Heading 7 Char"/>
    <w:basedOn w:val="DefaultParagraphFont"/>
    <w:link w:val="Heading7"/>
    <w:uiPriority w:val="9"/>
    <w:semiHidden/>
    <w:rsid w:val="00E16FF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16FF5"/>
    <w:rPr>
      <w:rFonts w:eastAsiaTheme="majorEastAsia" w:cstheme="majorBidi"/>
      <w:b/>
      <w:sz w:val="18"/>
      <w:szCs w:val="21"/>
    </w:rPr>
  </w:style>
  <w:style w:type="table" w:customStyle="1" w:styleId="ProductivityCommissionTable1">
    <w:name w:val="Productivity Commission Table 1"/>
    <w:basedOn w:val="TableNormal"/>
    <w:uiPriority w:val="99"/>
    <w:rsid w:val="00E16FF5"/>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E16FF5"/>
    <w:rPr>
      <w:rFonts w:asciiTheme="majorHAnsi" w:hAnsiTheme="majorHAnsi"/>
      <w:color w:val="8956A3" w:themeColor="accent2"/>
      <w:sz w:val="18"/>
      <w:szCs w:val="18"/>
    </w:rPr>
  </w:style>
  <w:style w:type="table" w:customStyle="1" w:styleId="ProductivityCommissionTable3">
    <w:name w:val="Productivity Commission Table 3"/>
    <w:basedOn w:val="TableNormal"/>
    <w:uiPriority w:val="99"/>
    <w:rsid w:val="00E16FF5"/>
    <w:pPr>
      <w:spacing w:after="0" w:line="240" w:lineRule="auto"/>
      <w:jc w:val="right"/>
    </w:pPr>
    <w:tblPr/>
    <w:tcPr>
      <w:tcBorders>
        <w:top w:val="single" w:sz="4" w:space="0" w:color="71CBD5" w:themeColor="accent3"/>
        <w:left w:val="nil"/>
        <w:bottom w:val="single" w:sz="4" w:space="0" w:color="71CBD5" w:themeColor="accent3"/>
        <w:right w:val="nil"/>
        <w:insideH w:val="nil"/>
        <w:insideV w:val="nil"/>
        <w:tl2br w:val="nil"/>
        <w:tr2bl w:val="nil"/>
      </w:tcBorders>
    </w:tcPr>
    <w:tblStylePr w:type="firstRow">
      <w:rPr>
        <w:b/>
        <w:color w:val="2B9AC2" w:themeColor="text2"/>
      </w:rPr>
      <w:tblPr/>
      <w:tcPr>
        <w:tcBorders>
          <w:top w:val="nil"/>
          <w:left w:val="nil"/>
          <w:bottom w:val="single" w:sz="4" w:space="0" w:color="71CBD5" w:themeColor="accent3"/>
          <w:right w:val="nil"/>
          <w:insideH w:val="nil"/>
          <w:insideV w:val="nil"/>
          <w:tl2br w:val="nil"/>
          <w:tr2bl w:val="nil"/>
        </w:tcBorders>
      </w:tcPr>
    </w:tblStylePr>
    <w:tblStylePr w:type="lastRow">
      <w:rPr>
        <w:b/>
      </w:rPr>
    </w:tblStylePr>
    <w:tblStylePr w:type="firstCol">
      <w:pPr>
        <w:jc w:val="left"/>
      </w:pPr>
    </w:tblStylePr>
  </w:style>
  <w:style w:type="paragraph" w:styleId="TOCHeading">
    <w:name w:val="TOC Heading"/>
    <w:next w:val="Normal"/>
    <w:uiPriority w:val="39"/>
    <w:unhideWhenUsed/>
    <w:rsid w:val="00E16FF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16FF5"/>
    <w:pPr>
      <w:spacing w:before="60" w:after="60" w:line="293" w:lineRule="auto"/>
      <w:contextualSpacing/>
    </w:pPr>
    <w:rPr>
      <w:sz w:val="18"/>
    </w:rPr>
  </w:style>
  <w:style w:type="paragraph" w:styleId="TOC1">
    <w:name w:val="toc 1"/>
    <w:basedOn w:val="Normal"/>
    <w:next w:val="BodyText"/>
    <w:autoRedefine/>
    <w:uiPriority w:val="39"/>
    <w:unhideWhenUsed/>
    <w:qFormat/>
    <w:rsid w:val="00C915F2"/>
    <w:pPr>
      <w:tabs>
        <w:tab w:val="left" w:pos="567"/>
        <w:tab w:val="right" w:pos="7938"/>
      </w:tabs>
      <w:spacing w:after="100" w:line="293" w:lineRule="auto"/>
      <w:ind w:left="567" w:right="1701" w:hanging="567"/>
    </w:pPr>
    <w:rPr>
      <w:rFonts w:ascii="Arial Black" w:hAnsi="Arial Black"/>
      <w:color w:val="265A9A" w:themeColor="background2"/>
    </w:rPr>
  </w:style>
  <w:style w:type="character" w:customStyle="1" w:styleId="FootnoteTextChar">
    <w:name w:val="Footnote Text Char"/>
    <w:basedOn w:val="DefaultParagraphFont"/>
    <w:link w:val="FootnoteText"/>
    <w:uiPriority w:val="99"/>
    <w:rsid w:val="00E16FF5"/>
    <w:rPr>
      <w:sz w:val="18"/>
      <w:szCs w:val="20"/>
    </w:rPr>
  </w:style>
  <w:style w:type="character" w:styleId="FootnoteReference">
    <w:name w:val="footnote reference"/>
    <w:basedOn w:val="DefaultParagraphFont"/>
    <w:uiPriority w:val="99"/>
    <w:semiHidden/>
    <w:unhideWhenUsed/>
    <w:rsid w:val="00E16FF5"/>
    <w:rPr>
      <w:vertAlign w:val="superscript"/>
    </w:rPr>
  </w:style>
  <w:style w:type="character" w:styleId="Hyperlink">
    <w:name w:val="Hyperlink"/>
    <w:basedOn w:val="DefaultParagraphFont"/>
    <w:uiPriority w:val="99"/>
    <w:unhideWhenUsed/>
    <w:rsid w:val="00E16FF5"/>
    <w:rPr>
      <w:color w:val="000000" w:themeColor="hyperlink"/>
      <w:u w:val="single"/>
    </w:rPr>
  </w:style>
  <w:style w:type="character" w:styleId="HTMLVariable">
    <w:name w:val="HTML Variable"/>
    <w:basedOn w:val="DefaultParagraphFont"/>
    <w:uiPriority w:val="99"/>
    <w:unhideWhenUsed/>
    <w:rsid w:val="00E16FF5"/>
    <w:rPr>
      <w:i/>
      <w:iCs/>
    </w:rPr>
  </w:style>
  <w:style w:type="paragraph" w:styleId="TOC2">
    <w:name w:val="toc 2"/>
    <w:basedOn w:val="Normal"/>
    <w:next w:val="Normal"/>
    <w:autoRedefine/>
    <w:uiPriority w:val="39"/>
    <w:unhideWhenUsed/>
    <w:rsid w:val="00917108"/>
    <w:pPr>
      <w:tabs>
        <w:tab w:val="left" w:pos="567"/>
        <w:tab w:val="left" w:pos="1134"/>
        <w:tab w:val="right" w:pos="7938"/>
      </w:tabs>
      <w:spacing w:after="100" w:line="293" w:lineRule="auto"/>
      <w:ind w:left="567" w:right="1701"/>
    </w:pPr>
    <w:rPr>
      <w:rFonts w:ascii="Arial" w:hAnsi="Arial"/>
      <w:noProof/>
    </w:rPr>
  </w:style>
  <w:style w:type="paragraph" w:styleId="TOC3">
    <w:name w:val="toc 3"/>
    <w:basedOn w:val="Normal"/>
    <w:next w:val="Normal"/>
    <w:autoRedefine/>
    <w:uiPriority w:val="39"/>
    <w:unhideWhenUsed/>
    <w:rsid w:val="00E16FF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16FF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16FF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16FF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16FF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16FF5"/>
    <w:rPr>
      <w:sz w:val="20"/>
      <w:szCs w:val="20"/>
    </w:rPr>
  </w:style>
  <w:style w:type="character" w:customStyle="1" w:styleId="Copyrightpage-Heading2Char">
    <w:name w:val="Copyright page-Heading 2 Char"/>
    <w:basedOn w:val="NoSpacingChar"/>
    <w:link w:val="Copyrightpage-Heading2"/>
    <w:uiPriority w:val="19"/>
    <w:rsid w:val="00E16FF5"/>
    <w:rPr>
      <w:b/>
      <w:color w:val="FFFFFF" w:themeColor="background1"/>
      <w:sz w:val="16"/>
      <w:szCs w:val="16"/>
    </w:rPr>
  </w:style>
  <w:style w:type="paragraph" w:customStyle="1" w:styleId="Copyrightpage-Heading">
    <w:name w:val="Copyright page-Heading"/>
    <w:basedOn w:val="Subtitle2"/>
    <w:link w:val="Copyrightpage-HeadingChar"/>
    <w:uiPriority w:val="19"/>
    <w:rsid w:val="00E16FF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16FF5"/>
    <w:rPr>
      <w:color w:val="FFFFFF" w:themeColor="background1"/>
      <w:sz w:val="16"/>
      <w:szCs w:val="20"/>
    </w:rPr>
  </w:style>
  <w:style w:type="paragraph" w:customStyle="1" w:styleId="Subtitle4">
    <w:name w:val="Subtitle 4"/>
    <w:basedOn w:val="Copyrightpage-Heading"/>
    <w:link w:val="Subtitle4Char"/>
    <w:uiPriority w:val="39"/>
    <w:rsid w:val="00E16FF5"/>
    <w:pPr>
      <w:spacing w:after="40"/>
    </w:pPr>
    <w:rPr>
      <w:b/>
      <w:sz w:val="16"/>
    </w:rPr>
  </w:style>
  <w:style w:type="character" w:customStyle="1" w:styleId="Copyrightpage-HeadingChar">
    <w:name w:val="Copyright page-Heading Char"/>
    <w:basedOn w:val="Subtitle2Char"/>
    <w:link w:val="Copyrightpage-Heading"/>
    <w:uiPriority w:val="19"/>
    <w:rsid w:val="00E16FF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16FF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16FF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45C54"/>
    <w:pPr>
      <w:spacing w:before="240" w:after="120" w:line="360" w:lineRule="atLeast"/>
    </w:pPr>
    <w:rPr>
      <w:rFonts w:ascii="Arial Black" w:eastAsiaTheme="majorEastAsia" w:hAnsi="Arial Black" w:cstheme="majorBidi"/>
      <w:sz w:val="30"/>
      <w:szCs w:val="60"/>
    </w:rPr>
  </w:style>
  <w:style w:type="paragraph" w:styleId="TOC4">
    <w:name w:val="toc 4"/>
    <w:basedOn w:val="Normal"/>
    <w:next w:val="Normal"/>
    <w:autoRedefine/>
    <w:uiPriority w:val="39"/>
    <w:unhideWhenUsed/>
    <w:rsid w:val="00E16FF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16FF5"/>
    <w:pPr>
      <w:spacing w:line="360" w:lineRule="auto"/>
      <w:jc w:val="right"/>
    </w:pPr>
    <w:rPr>
      <w:sz w:val="16"/>
    </w:rPr>
  </w:style>
  <w:style w:type="paragraph" w:customStyle="1" w:styleId="Letterlogo">
    <w:name w:val="Letter logo"/>
    <w:basedOn w:val="LetterRight"/>
    <w:uiPriority w:val="99"/>
    <w:rsid w:val="00E16FF5"/>
    <w:pPr>
      <w:spacing w:after="320"/>
    </w:pPr>
  </w:style>
  <w:style w:type="character" w:customStyle="1" w:styleId="LetterRightChar">
    <w:name w:val="Letter Right Char"/>
    <w:basedOn w:val="DefaultParagraphFont"/>
    <w:link w:val="LetterRight"/>
    <w:uiPriority w:val="99"/>
    <w:rsid w:val="00E16FF5"/>
    <w:rPr>
      <w:sz w:val="16"/>
      <w:szCs w:val="20"/>
    </w:rPr>
  </w:style>
  <w:style w:type="character" w:styleId="UnresolvedMention">
    <w:name w:val="Unresolved Mention"/>
    <w:basedOn w:val="DefaultParagraphFont"/>
    <w:uiPriority w:val="99"/>
    <w:unhideWhenUsed/>
    <w:rsid w:val="00E16FF5"/>
    <w:rPr>
      <w:color w:val="605E5C"/>
      <w:shd w:val="clear" w:color="auto" w:fill="E1DFDD"/>
    </w:rPr>
  </w:style>
  <w:style w:type="paragraph" w:customStyle="1" w:styleId="LetterRight-NoSpace">
    <w:name w:val="Letter Right-No Space"/>
    <w:basedOn w:val="LetterRight"/>
    <w:uiPriority w:val="99"/>
    <w:rsid w:val="00E16FF5"/>
    <w:pPr>
      <w:spacing w:after="0"/>
    </w:pPr>
  </w:style>
  <w:style w:type="table" w:customStyle="1" w:styleId="Blank">
    <w:name w:val="Blank"/>
    <w:basedOn w:val="TableNormal"/>
    <w:uiPriority w:val="99"/>
    <w:rsid w:val="00E16FF5"/>
    <w:pPr>
      <w:spacing w:after="0" w:line="240" w:lineRule="auto"/>
    </w:pPr>
    <w:tblPr/>
  </w:style>
  <w:style w:type="paragraph" w:styleId="ListBullet5">
    <w:name w:val="List Bullet 5"/>
    <w:basedOn w:val="Normal"/>
    <w:uiPriority w:val="13"/>
    <w:semiHidden/>
    <w:rsid w:val="007947C2"/>
    <w:pPr>
      <w:numPr>
        <w:numId w:val="13"/>
      </w:numPr>
      <w:contextualSpacing/>
    </w:pPr>
  </w:style>
  <w:style w:type="paragraph" w:customStyle="1" w:styleId="Coverdate">
    <w:name w:val="Cover date"/>
    <w:basedOn w:val="Normal"/>
    <w:uiPriority w:val="29"/>
    <w:rsid w:val="00E16FF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16FF5"/>
    <w:rPr>
      <w:color w:val="FFFFFF" w:themeColor="background1"/>
    </w:rPr>
  </w:style>
  <w:style w:type="paragraph" w:customStyle="1" w:styleId="Copyrightpage-Keylinenotext">
    <w:name w:val="Copyright page-Keyline (no text)"/>
    <w:basedOn w:val="Copyrightpage-Heading2"/>
    <w:uiPriority w:val="19"/>
    <w:rsid w:val="00E16FF5"/>
    <w:pPr>
      <w:pBdr>
        <w:top w:val="single" w:sz="4" w:space="8" w:color="2B9AC2"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71CBD5" w:themeColor="accent3"/>
          <w:right w:val="nil"/>
          <w:insideH w:val="nil"/>
          <w:insideV w:val="nil"/>
          <w:tl2br w:val="nil"/>
          <w:tr2bl w:val="nil"/>
        </w:tcBorders>
      </w:tcPr>
    </w:tblStylePr>
    <w:tblStylePr w:type="lastRow">
      <w:rPr>
        <w:b/>
      </w:rPr>
      <w:tblPr/>
      <w:tcPr>
        <w:tcBorders>
          <w:top w:val="single" w:sz="4" w:space="0" w:color="71CBD5" w:themeColor="accent3"/>
          <w:left w:val="nil"/>
          <w:bottom w:val="single" w:sz="4" w:space="0" w:color="71CBD5" w:themeColor="accent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16FF5"/>
    <w:rPr>
      <w:b/>
    </w:rPr>
  </w:style>
  <w:style w:type="paragraph" w:customStyle="1" w:styleId="CoverImage">
    <w:name w:val="Cover Image"/>
    <w:basedOn w:val="Normal"/>
    <w:uiPriority w:val="29"/>
    <w:rsid w:val="00E16FF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16FF5"/>
    <w:pPr>
      <w:spacing w:after="0" w:line="240" w:lineRule="auto"/>
    </w:pPr>
    <w:tblPr/>
  </w:style>
  <w:style w:type="table" w:customStyle="1" w:styleId="OverviewPageBannerTableStyle">
    <w:name w:val="Overview/Page Banner Table Style"/>
    <w:basedOn w:val="TableNormal"/>
    <w:uiPriority w:val="99"/>
    <w:rsid w:val="00E16FF5"/>
    <w:pPr>
      <w:spacing w:after="0" w:line="240" w:lineRule="auto"/>
    </w:pPr>
    <w:tblPr>
      <w:tblCellMar>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E16FF5"/>
    <w:pPr>
      <w:spacing w:before="60"/>
      <w:ind w:left="113" w:right="851"/>
    </w:pPr>
    <w:rPr>
      <w:color w:val="58585B"/>
    </w:rPr>
  </w:style>
  <w:style w:type="numbering" w:customStyle="1" w:styleId="TOCList">
    <w:name w:val="TOC List"/>
    <w:uiPriority w:val="99"/>
    <w:rsid w:val="007947C2"/>
    <w:pPr>
      <w:numPr>
        <w:numId w:val="19"/>
      </w:numPr>
    </w:pPr>
  </w:style>
  <w:style w:type="paragraph" w:customStyle="1" w:styleId="Heading1-Section-fullpage">
    <w:name w:val="Heading 1-Section-full page"/>
    <w:basedOn w:val="Heading1-nobackground"/>
    <w:uiPriority w:val="9"/>
    <w:qFormat/>
    <w:rsid w:val="00E16FF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2B9AC2" w:themeColor="text2"/>
    </w:rPr>
  </w:style>
  <w:style w:type="table" w:customStyle="1" w:styleId="Texttable-Paleblue">
    <w:name w:val="Text table-Pale blue"/>
    <w:basedOn w:val="TableNormal"/>
    <w:uiPriority w:val="99"/>
    <w:rsid w:val="00E16FF5"/>
    <w:pPr>
      <w:spacing w:after="0" w:line="240" w:lineRule="auto"/>
    </w:pPr>
    <w:tblPr/>
  </w:style>
  <w:style w:type="paragraph" w:customStyle="1" w:styleId="FigureTableHeading">
    <w:name w:val="Figure/Table Heading"/>
    <w:basedOn w:val="Caption"/>
    <w:uiPriority w:val="4"/>
    <w:qFormat/>
    <w:rsid w:val="00917108"/>
    <w:pPr>
      <w:keepNext/>
      <w:spacing w:before="240"/>
    </w:pPr>
    <w:rPr>
      <w:rFonts w:ascii="Arial Black" w:hAnsi="Arial Black"/>
    </w:rPr>
  </w:style>
  <w:style w:type="paragraph" w:customStyle="1" w:styleId="Source">
    <w:name w:val="Source"/>
    <w:basedOn w:val="Normal"/>
    <w:uiPriority w:val="9"/>
    <w:qFormat/>
    <w:rsid w:val="00E16FF5"/>
    <w:pPr>
      <w:spacing w:before="80" w:after="240" w:line="216" w:lineRule="atLeast"/>
    </w:pPr>
    <w:rPr>
      <w:sz w:val="18"/>
    </w:rPr>
  </w:style>
  <w:style w:type="paragraph" w:customStyle="1" w:styleId="Note">
    <w:name w:val="Note"/>
    <w:basedOn w:val="Source"/>
    <w:uiPriority w:val="9"/>
    <w:qFormat/>
    <w:rsid w:val="00E16FF5"/>
    <w:pPr>
      <w:spacing w:after="20"/>
    </w:pPr>
  </w:style>
  <w:style w:type="numbering" w:customStyle="1" w:styleId="Figure">
    <w:name w:val="Figure"/>
    <w:uiPriority w:val="99"/>
    <w:rsid w:val="007947C2"/>
    <w:pPr>
      <w:numPr>
        <w:numId w:val="8"/>
      </w:numPr>
    </w:pPr>
  </w:style>
  <w:style w:type="table" w:customStyle="1" w:styleId="Boxtable">
    <w:name w:val="Box table"/>
    <w:basedOn w:val="Texttable-Paleblue"/>
    <w:uiPriority w:val="99"/>
    <w:rsid w:val="007947C2"/>
    <w:tblPr/>
  </w:style>
  <w:style w:type="numbering" w:customStyle="1" w:styleId="BoxList">
    <w:name w:val="Box List"/>
    <w:uiPriority w:val="99"/>
    <w:rsid w:val="007947C2"/>
    <w:pPr>
      <w:numPr>
        <w:numId w:val="6"/>
      </w:numPr>
    </w:pPr>
  </w:style>
  <w:style w:type="paragraph" w:customStyle="1" w:styleId="BoxHeading2">
    <w:name w:val="Box Heading 2"/>
    <w:basedOn w:val="Normal"/>
    <w:next w:val="BodyText"/>
    <w:uiPriority w:val="4"/>
    <w:qFormat/>
    <w:rsid w:val="00E16FF5"/>
    <w:rPr>
      <w:b/>
    </w:rPr>
  </w:style>
  <w:style w:type="table" w:customStyle="1" w:styleId="ProductivityCommissionTable2-Dark">
    <w:name w:val="Productivity Commission Table 2 - Dark"/>
    <w:basedOn w:val="ProductivityCommissionTable2"/>
    <w:uiPriority w:val="99"/>
    <w:rsid w:val="00E16FF5"/>
    <w:tblPr/>
    <w:tcPr>
      <w:shd w:val="clear" w:color="auto" w:fill="DCDDDE"/>
    </w:tc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paragraph" w:customStyle="1" w:styleId="BoxHeading3">
    <w:name w:val="Box Heading 3"/>
    <w:basedOn w:val="BoxHeading2"/>
    <w:uiPriority w:val="4"/>
    <w:qFormat/>
    <w:rsid w:val="00E16FF5"/>
    <w:rPr>
      <w:i/>
    </w:rPr>
  </w:style>
  <w:style w:type="paragraph" w:customStyle="1" w:styleId="TableHeading">
    <w:name w:val="Table Heading"/>
    <w:basedOn w:val="NoSpacing"/>
    <w:uiPriority w:val="4"/>
    <w:qFormat/>
    <w:rsid w:val="003413E6"/>
    <w:pPr>
      <w:spacing w:after="20"/>
      <w:ind w:left="57"/>
    </w:pPr>
    <w:rPr>
      <w:rFonts w:ascii="Arial" w:hAnsi="Arial"/>
      <w:b/>
      <w:color w:val="265A9A" w:themeColor="background2"/>
      <w:sz w:val="18"/>
    </w:rPr>
  </w:style>
  <w:style w:type="paragraph" w:customStyle="1" w:styleId="BodyText-Blue">
    <w:name w:val="Body Text-Blue"/>
    <w:basedOn w:val="BodyText"/>
    <w:link w:val="BodyText-BlueChar"/>
    <w:semiHidden/>
    <w:qFormat/>
    <w:rsid w:val="00E16FF5"/>
    <w:rPr>
      <w:color w:val="265A9A" w:themeColor="background2"/>
    </w:rPr>
  </w:style>
  <w:style w:type="table" w:customStyle="1" w:styleId="Texttable-Keyline">
    <w:name w:val="Text table-Keyline"/>
    <w:basedOn w:val="Texttable-Paleblue"/>
    <w:uiPriority w:val="99"/>
    <w:rsid w:val="007947C2"/>
    <w:tblPr/>
  </w:style>
  <w:style w:type="paragraph" w:customStyle="1" w:styleId="Header-KeylineRight">
    <w:name w:val="Header - Keyline Right"/>
    <w:basedOn w:val="Header-Keyline"/>
    <w:uiPriority w:val="99"/>
    <w:rsid w:val="00E16FF5"/>
    <w:pPr>
      <w:jc w:val="right"/>
    </w:pPr>
  </w:style>
  <w:style w:type="table" w:customStyle="1" w:styleId="CopyrightPage">
    <w:name w:val="Copyright Page"/>
    <w:basedOn w:val="OverviewPageBannerTableStyle"/>
    <w:uiPriority w:val="99"/>
    <w:rsid w:val="007947C2"/>
    <w:rPr>
      <w:color w:val="FFFFFF" w:themeColor="background1"/>
    </w:rPr>
    <w:tblPr/>
  </w:style>
  <w:style w:type="paragraph" w:customStyle="1" w:styleId="Heading3-noTOC">
    <w:name w:val="Heading 3-no TOC"/>
    <w:basedOn w:val="Heading3"/>
    <w:uiPriority w:val="9"/>
    <w:qFormat/>
    <w:rsid w:val="00E16FF5"/>
    <w:pPr>
      <w:spacing w:line="312" w:lineRule="atLeast"/>
    </w:pPr>
    <w:rPr>
      <w:color w:val="2C9BC2"/>
    </w:rPr>
  </w:style>
  <w:style w:type="paragraph" w:styleId="BodyText">
    <w:name w:val="Body Text"/>
    <w:basedOn w:val="Normal"/>
    <w:link w:val="BodyTextChar"/>
    <w:qFormat/>
    <w:rsid w:val="00713114"/>
    <w:rPr>
      <w:rFonts w:ascii="Arial" w:hAnsi="Arial"/>
    </w:rPr>
  </w:style>
  <w:style w:type="character" w:customStyle="1" w:styleId="BodyTextChar">
    <w:name w:val="Body Text Char"/>
    <w:basedOn w:val="DefaultParagraphFont"/>
    <w:link w:val="BodyText"/>
    <w:rsid w:val="00713114"/>
    <w:rPr>
      <w:rFonts w:ascii="Arial" w:hAnsi="Arial"/>
      <w:sz w:val="20"/>
      <w:szCs w:val="20"/>
    </w:rPr>
  </w:style>
  <w:style w:type="paragraph" w:styleId="List4">
    <w:name w:val="List 4"/>
    <w:basedOn w:val="Normal"/>
    <w:uiPriority w:val="99"/>
    <w:semiHidden/>
    <w:rsid w:val="00E16FF5"/>
    <w:pPr>
      <w:numPr>
        <w:ilvl w:val="3"/>
        <w:numId w:val="11"/>
      </w:numPr>
      <w:tabs>
        <w:tab w:val="num" w:pos="1492"/>
      </w:tabs>
      <w:ind w:left="1492"/>
      <w:contextualSpacing/>
    </w:pPr>
  </w:style>
  <w:style w:type="paragraph" w:styleId="List3">
    <w:name w:val="List 3"/>
    <w:basedOn w:val="Normal"/>
    <w:uiPriority w:val="99"/>
    <w:semiHidden/>
    <w:rsid w:val="00E16FF5"/>
    <w:pPr>
      <w:numPr>
        <w:ilvl w:val="2"/>
        <w:numId w:val="11"/>
      </w:numPr>
      <w:tabs>
        <w:tab w:val="num" w:pos="1492"/>
      </w:tabs>
      <w:ind w:left="1492"/>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2"/>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ind w:left="1361" w:hanging="1361"/>
    </w:pPr>
  </w:style>
  <w:style w:type="numbering" w:customStyle="1" w:styleId="Alphalist">
    <w:name w:val="Alpha list"/>
    <w:uiPriority w:val="99"/>
    <w:rsid w:val="00917108"/>
    <w:pPr>
      <w:numPr>
        <w:numId w:val="3"/>
      </w:numPr>
    </w:pPr>
  </w:style>
  <w:style w:type="paragraph" w:customStyle="1" w:styleId="KeyPoints-Bold">
    <w:name w:val="Key Points-Bold"/>
    <w:basedOn w:val="Normal"/>
    <w:uiPriority w:val="10"/>
    <w:qFormat/>
    <w:rsid w:val="00E16FF5"/>
    <w:pPr>
      <w:spacing w:before="40" w:after="60" w:line="274" w:lineRule="atLeast"/>
    </w:pPr>
    <w:rPr>
      <w:b/>
      <w:sz w:val="18"/>
    </w:rPr>
  </w:style>
  <w:style w:type="paragraph" w:customStyle="1" w:styleId="Copyrightpage-BodyBold">
    <w:name w:val="Copyright page-Body Bold"/>
    <w:basedOn w:val="Copyrightpage-BodyText"/>
    <w:uiPriority w:val="19"/>
    <w:rsid w:val="00E16FF5"/>
    <w:rPr>
      <w:b/>
    </w:rPr>
  </w:style>
  <w:style w:type="paragraph" w:customStyle="1" w:styleId="KeyPoints-Bullet">
    <w:name w:val="Key Points-Bullet"/>
    <w:basedOn w:val="ListBullet"/>
    <w:uiPriority w:val="10"/>
    <w:qFormat/>
    <w:rsid w:val="00E16FF5"/>
    <w:pPr>
      <w:spacing w:after="60" w:line="274" w:lineRule="atLeast"/>
    </w:pPr>
    <w:rPr>
      <w:sz w:val="18"/>
    </w:rPr>
  </w:style>
  <w:style w:type="paragraph" w:customStyle="1" w:styleId="BodyText-Grey">
    <w:name w:val="Body Text-Grey"/>
    <w:basedOn w:val="BodyText"/>
    <w:link w:val="BodyText-GreyChar"/>
    <w:semiHidden/>
    <w:qFormat/>
    <w:rsid w:val="00E16FF5"/>
    <w:rPr>
      <w:color w:val="58585B"/>
    </w:rPr>
  </w:style>
  <w:style w:type="character" w:customStyle="1" w:styleId="BodyText-GreyChar">
    <w:name w:val="Body Text-Grey Char"/>
    <w:basedOn w:val="BodyTextChar"/>
    <w:link w:val="BodyText-Grey"/>
    <w:semiHidden/>
    <w:rsid w:val="00E16FF5"/>
    <w:rPr>
      <w:rFonts w:ascii="Arial" w:hAnsi="Arial"/>
      <w:color w:val="58585B"/>
      <w:sz w:val="20"/>
      <w:szCs w:val="20"/>
    </w:rPr>
  </w:style>
  <w:style w:type="paragraph" w:styleId="BalloonText">
    <w:name w:val="Balloon Text"/>
    <w:basedOn w:val="Normal"/>
    <w:link w:val="BalloonTextChar"/>
    <w:uiPriority w:val="99"/>
    <w:semiHidden/>
    <w:unhideWhenUsed/>
    <w:rsid w:val="00E16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FF5"/>
    <w:rPr>
      <w:rFonts w:ascii="Segoe UI" w:hAnsi="Segoe UI" w:cs="Segoe UI"/>
      <w:sz w:val="18"/>
      <w:szCs w:val="18"/>
    </w:rPr>
  </w:style>
  <w:style w:type="character" w:styleId="CommentReference">
    <w:name w:val="annotation reference"/>
    <w:basedOn w:val="DefaultParagraphFont"/>
    <w:uiPriority w:val="99"/>
    <w:semiHidden/>
    <w:unhideWhenUsed/>
    <w:rsid w:val="00E16FF5"/>
    <w:rPr>
      <w:sz w:val="16"/>
      <w:szCs w:val="16"/>
    </w:rPr>
  </w:style>
  <w:style w:type="paragraph" w:styleId="CommentText">
    <w:name w:val="annotation text"/>
    <w:basedOn w:val="Normal"/>
    <w:link w:val="CommentTextChar"/>
    <w:uiPriority w:val="99"/>
    <w:unhideWhenUsed/>
    <w:rsid w:val="00E16FF5"/>
    <w:pPr>
      <w:spacing w:line="240" w:lineRule="auto"/>
    </w:pPr>
  </w:style>
  <w:style w:type="character" w:customStyle="1" w:styleId="CommentTextChar">
    <w:name w:val="Comment Text Char"/>
    <w:basedOn w:val="DefaultParagraphFont"/>
    <w:link w:val="CommentText"/>
    <w:uiPriority w:val="99"/>
    <w:rsid w:val="00E16FF5"/>
    <w:rPr>
      <w:sz w:val="20"/>
      <w:szCs w:val="20"/>
    </w:rPr>
  </w:style>
  <w:style w:type="paragraph" w:styleId="CommentSubject">
    <w:name w:val="annotation subject"/>
    <w:basedOn w:val="CommentText"/>
    <w:next w:val="CommentText"/>
    <w:link w:val="CommentSubjectChar"/>
    <w:uiPriority w:val="99"/>
    <w:semiHidden/>
    <w:unhideWhenUsed/>
    <w:rsid w:val="00E16FF5"/>
    <w:rPr>
      <w:b/>
      <w:bCs/>
    </w:rPr>
  </w:style>
  <w:style w:type="character" w:customStyle="1" w:styleId="CommentSubjectChar">
    <w:name w:val="Comment Subject Char"/>
    <w:basedOn w:val="CommentTextChar"/>
    <w:link w:val="CommentSubject"/>
    <w:uiPriority w:val="99"/>
    <w:semiHidden/>
    <w:rsid w:val="00E16FF5"/>
    <w:rPr>
      <w:b/>
      <w:bCs/>
      <w:sz w:val="20"/>
      <w:szCs w:val="20"/>
    </w:rPr>
  </w:style>
  <w:style w:type="character" w:customStyle="1" w:styleId="ColourBlue">
    <w:name w:val="Colour Blue"/>
    <w:basedOn w:val="DefaultParagraphFont"/>
    <w:uiPriority w:val="22"/>
    <w:qFormat/>
    <w:rsid w:val="00E16FF5"/>
    <w:rPr>
      <w:color w:val="2B9AC2" w:themeColor="text2"/>
    </w:rPr>
  </w:style>
  <w:style w:type="character" w:customStyle="1" w:styleId="ColourDarkBlue">
    <w:name w:val="Colour Dark Blue"/>
    <w:basedOn w:val="ColourBlue"/>
    <w:uiPriority w:val="22"/>
    <w:qFormat/>
    <w:rsid w:val="00E16FF5"/>
    <w:rPr>
      <w:color w:val="265A9A" w:themeColor="background2"/>
    </w:rPr>
  </w:style>
  <w:style w:type="paragraph" w:customStyle="1" w:styleId="BodyText-Beforebullet">
    <w:name w:val="Body Text-Before bullet"/>
    <w:basedOn w:val="BodyText"/>
    <w:link w:val="BodyText-BeforebulletChar"/>
    <w:semiHidden/>
    <w:unhideWhenUsed/>
    <w:rsid w:val="00E16FF5"/>
    <w:pPr>
      <w:spacing w:after="20"/>
    </w:pPr>
  </w:style>
  <w:style w:type="paragraph" w:customStyle="1" w:styleId="PullQuote">
    <w:name w:val="Pull Quote"/>
    <w:basedOn w:val="BodyText"/>
    <w:next w:val="BodyText"/>
    <w:uiPriority w:val="10"/>
    <w:qFormat/>
    <w:rsid w:val="00E16FF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16FF5"/>
    <w:rPr>
      <w:rFonts w:ascii="Arial" w:hAnsi="Arial"/>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C54D08"/>
    <w:pPr>
      <w:spacing w:after="20"/>
      <w:ind w:left="57"/>
    </w:pPr>
    <w:rPr>
      <w:rFonts w:ascii="Arial" w:hAnsi="Arial"/>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16FF5"/>
    <w:pPr>
      <w:spacing w:before="60"/>
      <w:jc w:val="right"/>
    </w:pPr>
  </w:style>
  <w:style w:type="paragraph" w:customStyle="1" w:styleId="FigureTableSubheading">
    <w:name w:val="Figure/Table Subheading"/>
    <w:basedOn w:val="FigureTableHeading"/>
    <w:uiPriority w:val="4"/>
    <w:qFormat/>
    <w:rsid w:val="00E16FF5"/>
    <w:pPr>
      <w:spacing w:before="40"/>
    </w:pPr>
    <w:rPr>
      <w:color w:val="58585B"/>
    </w:rPr>
  </w:style>
  <w:style w:type="table" w:customStyle="1" w:styleId="TextTable-Grey">
    <w:name w:val="Text Table-Grey"/>
    <w:basedOn w:val="Texttable-Paleblue"/>
    <w:uiPriority w:val="99"/>
    <w:rsid w:val="007947C2"/>
    <w:rPr>
      <w:color w:val="265A9A" w:themeColor="background2"/>
    </w:rPr>
    <w:tblPr/>
  </w:style>
  <w:style w:type="character" w:customStyle="1" w:styleId="BodyText-BlueChar">
    <w:name w:val="Body Text-Blue Char"/>
    <w:basedOn w:val="BodyTextChar"/>
    <w:link w:val="BodyText-Blue"/>
    <w:semiHidden/>
    <w:rsid w:val="00E16FF5"/>
    <w:rPr>
      <w:rFonts w:ascii="Arial" w:hAnsi="Arial"/>
      <w:color w:val="265A9A" w:themeColor="background2"/>
      <w:sz w:val="20"/>
      <w:szCs w:val="20"/>
    </w:rPr>
  </w:style>
  <w:style w:type="paragraph" w:customStyle="1" w:styleId="Heading3-nonumber">
    <w:name w:val="Heading 3-no number"/>
    <w:basedOn w:val="Heading3"/>
    <w:uiPriority w:val="9"/>
    <w:semiHidden/>
    <w:qFormat/>
    <w:rsid w:val="00E16FF5"/>
  </w:style>
  <w:style w:type="paragraph" w:customStyle="1" w:styleId="Heading1-nobackground">
    <w:name w:val="Heading 1-no background"/>
    <w:basedOn w:val="Heading1"/>
    <w:next w:val="BodyText"/>
    <w:uiPriority w:val="9"/>
    <w:qFormat/>
    <w:rsid w:val="0091710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rFonts w:ascii="Arial Black" w:hAnsi="Arial Black"/>
      <w:color w:val="265A9A" w:themeColor="background2"/>
    </w:rPr>
  </w:style>
  <w:style w:type="character" w:customStyle="1" w:styleId="QuoteChar">
    <w:name w:val="Quote Char"/>
    <w:basedOn w:val="DefaultParagraphFont"/>
    <w:link w:val="Quote"/>
    <w:uiPriority w:val="1"/>
    <w:rsid w:val="00E16FF5"/>
    <w:rPr>
      <w:color w:val="58585B"/>
      <w:sz w:val="20"/>
      <w:szCs w:val="20"/>
    </w:rPr>
  </w:style>
  <w:style w:type="paragraph" w:customStyle="1" w:styleId="TableHeading-numbered">
    <w:name w:val="Table Heading-numbered"/>
    <w:basedOn w:val="Normal"/>
    <w:semiHidden/>
    <w:qFormat/>
    <w:rsid w:val="007947C2"/>
    <w:pPr>
      <w:numPr>
        <w:numId w:val="18"/>
      </w:numPr>
      <w:spacing w:before="60"/>
      <w:contextualSpacing/>
    </w:pPr>
    <w:rPr>
      <w:b/>
      <w:color w:val="265A9A" w:themeColor="background2"/>
    </w:rPr>
  </w:style>
  <w:style w:type="numbering" w:customStyle="1" w:styleId="TableList">
    <w:name w:val="TableList"/>
    <w:uiPriority w:val="99"/>
    <w:rsid w:val="007947C2"/>
    <w:pPr>
      <w:numPr>
        <w:numId w:val="18"/>
      </w:numPr>
    </w:pPr>
  </w:style>
  <w:style w:type="paragraph" w:customStyle="1" w:styleId="Footer-right">
    <w:name w:val="Footer-right"/>
    <w:basedOn w:val="Footer"/>
    <w:uiPriority w:val="11"/>
    <w:rsid w:val="00D6611B"/>
    <w:pPr>
      <w:jc w:val="right"/>
    </w:pPr>
    <w:rPr>
      <w:szCs w:val="24"/>
    </w:rPr>
  </w:style>
  <w:style w:type="paragraph" w:customStyle="1" w:styleId="Heading2-nonumber">
    <w:name w:val="Heading 2-no number"/>
    <w:basedOn w:val="Heading2"/>
    <w:uiPriority w:val="9"/>
    <w:qFormat/>
    <w:rsid w:val="00917108"/>
    <w:pPr>
      <w:numPr>
        <w:ilvl w:val="0"/>
        <w:numId w:val="0"/>
      </w:numPr>
    </w:pPr>
    <w:rPr>
      <w:rFonts w:ascii="Arial Black" w:hAnsi="Arial Black"/>
    </w:rPr>
  </w:style>
  <w:style w:type="paragraph" w:customStyle="1" w:styleId="Heading-Appendix">
    <w:name w:val="Heading-Appendix"/>
    <w:basedOn w:val="Heading1-nonumber"/>
    <w:next w:val="BodyText"/>
    <w:uiPriority w:val="9"/>
    <w:qFormat/>
    <w:rsid w:val="007947C2"/>
    <w:pPr>
      <w:numPr>
        <w:numId w:val="9"/>
      </w:numPr>
    </w:pPr>
  </w:style>
  <w:style w:type="numbering" w:customStyle="1" w:styleId="AppendixHeading">
    <w:name w:val="AppendixHeading"/>
    <w:uiPriority w:val="99"/>
    <w:rsid w:val="007947C2"/>
    <w:pPr>
      <w:numPr>
        <w:numId w:val="5"/>
      </w:numPr>
    </w:pPr>
  </w:style>
  <w:style w:type="paragraph" w:customStyle="1" w:styleId="DraftingNote">
    <w:name w:val="Drafting Note"/>
    <w:basedOn w:val="BodyText"/>
    <w:link w:val="DraftingNoteChar"/>
    <w:qFormat/>
    <w:rsid w:val="00E16FF5"/>
    <w:pPr>
      <w:contextualSpacing/>
    </w:pPr>
    <w:rPr>
      <w:color w:val="A22D2B"/>
      <w:sz w:val="24"/>
      <w:u w:val="dotted"/>
    </w:rPr>
  </w:style>
  <w:style w:type="character" w:customStyle="1" w:styleId="DraftingNoteChar">
    <w:name w:val="Drafting Note Char"/>
    <w:basedOn w:val="BodyTextChar"/>
    <w:link w:val="DraftingNote"/>
    <w:rsid w:val="00E16FF5"/>
    <w:rPr>
      <w:rFonts w:ascii="Arial" w:hAnsi="Arial"/>
      <w:color w:val="A22D2B"/>
      <w:sz w:val="24"/>
      <w:szCs w:val="20"/>
      <w:u w:val="dotted"/>
    </w:rPr>
  </w:style>
  <w:style w:type="paragraph" w:customStyle="1" w:styleId="BoxHeading1">
    <w:name w:val="Box Heading 1"/>
    <w:basedOn w:val="FigureTableHeading"/>
    <w:next w:val="BodyText"/>
    <w:uiPriority w:val="4"/>
    <w:qFormat/>
    <w:rsid w:val="00E16FF5"/>
    <w:pPr>
      <w:spacing w:after="0"/>
    </w:pPr>
  </w:style>
  <w:style w:type="character" w:styleId="Emphasis">
    <w:name w:val="Emphasis"/>
    <w:basedOn w:val="DefaultParagraphFont"/>
    <w:uiPriority w:val="22"/>
    <w:qFormat/>
    <w:rsid w:val="00E16FF5"/>
    <w:rPr>
      <w:i/>
      <w:iCs/>
    </w:rPr>
  </w:style>
  <w:style w:type="paragraph" w:customStyle="1" w:styleId="Reference">
    <w:name w:val="Reference"/>
    <w:basedOn w:val="BodyText"/>
    <w:qFormat/>
    <w:rsid w:val="00E16FF5"/>
    <w:pPr>
      <w:spacing w:before="0" w:after="60" w:line="200" w:lineRule="exact"/>
    </w:pPr>
    <w:rPr>
      <w:sz w:val="16"/>
    </w:rPr>
  </w:style>
  <w:style w:type="paragraph" w:customStyle="1" w:styleId="Keypoints-heading">
    <w:name w:val="Key points-heading"/>
    <w:basedOn w:val="Heading3"/>
    <w:uiPriority w:val="10"/>
    <w:qFormat/>
    <w:rsid w:val="00E16FF5"/>
    <w:rPr>
      <w:color w:val="auto"/>
    </w:rPr>
  </w:style>
  <w:style w:type="paragraph" w:customStyle="1" w:styleId="Heading2-Appendix">
    <w:name w:val="Heading 2-Appendix"/>
    <w:basedOn w:val="Heading2-nonumber"/>
    <w:next w:val="Normal"/>
    <w:uiPriority w:val="10"/>
    <w:qFormat/>
    <w:rsid w:val="00E16FF5"/>
    <w:pPr>
      <w:numPr>
        <w:ilvl w:val="1"/>
        <w:numId w:val="9"/>
      </w:numPr>
    </w:pPr>
  </w:style>
  <w:style w:type="numbering" w:customStyle="1" w:styleId="AppendixHeadingList">
    <w:name w:val="Appendix Heading List"/>
    <w:uiPriority w:val="99"/>
    <w:rsid w:val="007947C2"/>
    <w:pPr>
      <w:numPr>
        <w:numId w:val="4"/>
      </w:numPr>
    </w:pPr>
  </w:style>
  <w:style w:type="paragraph" w:customStyle="1" w:styleId="Space">
    <w:name w:val="Space"/>
    <w:basedOn w:val="BodyText"/>
    <w:uiPriority w:val="1"/>
    <w:rsid w:val="00E16FF5"/>
    <w:pPr>
      <w:spacing w:before="0" w:after="0"/>
    </w:pPr>
  </w:style>
  <w:style w:type="paragraph" w:customStyle="1" w:styleId="QuoteBullet">
    <w:name w:val="Quote Bullet"/>
    <w:basedOn w:val="ListBullet"/>
    <w:link w:val="QuoteBulletChar"/>
    <w:uiPriority w:val="1"/>
    <w:qFormat/>
    <w:rsid w:val="00E16FF5"/>
    <w:pPr>
      <w:spacing w:before="60"/>
      <w:ind w:left="340" w:right="851"/>
    </w:pPr>
    <w:rPr>
      <w:color w:val="58585B"/>
    </w:rPr>
  </w:style>
  <w:style w:type="character" w:customStyle="1" w:styleId="ListBulletChar">
    <w:name w:val="List Bullet Char"/>
    <w:basedOn w:val="DefaultParagraphFont"/>
    <w:link w:val="ListBullet"/>
    <w:uiPriority w:val="1"/>
    <w:rsid w:val="004B6549"/>
    <w:rPr>
      <w:rFonts w:ascii="Arial" w:hAnsi="Arial"/>
      <w:sz w:val="20"/>
      <w:szCs w:val="20"/>
    </w:rPr>
  </w:style>
  <w:style w:type="character" w:customStyle="1" w:styleId="QuoteBulletChar">
    <w:name w:val="Quote Bullet Char"/>
    <w:basedOn w:val="ListBulletChar"/>
    <w:link w:val="QuoteBullet"/>
    <w:uiPriority w:val="1"/>
    <w:rsid w:val="00E16FF5"/>
    <w:rPr>
      <w:rFonts w:ascii="Arial" w:hAnsi="Arial"/>
      <w:color w:val="58585B"/>
      <w:sz w:val="20"/>
      <w:szCs w:val="20"/>
    </w:rPr>
  </w:style>
  <w:style w:type="paragraph" w:customStyle="1" w:styleId="Figurecharttitle">
    <w:name w:val="Figure chart title"/>
    <w:basedOn w:val="BodyText"/>
    <w:uiPriority w:val="10"/>
    <w:qFormat/>
    <w:rsid w:val="00E16FF5"/>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16FF5"/>
    <w:pPr>
      <w:spacing w:line="160" w:lineRule="exact"/>
    </w:pPr>
  </w:style>
  <w:style w:type="character" w:customStyle="1" w:styleId="PullQuoteNoSpacingChar">
    <w:name w:val="Pull Quote No Spacing Char"/>
    <w:basedOn w:val="NoSpacingChar"/>
    <w:link w:val="PullQuoteNoSpacing"/>
    <w:uiPriority w:val="10"/>
    <w:rsid w:val="00E16FF5"/>
    <w:rPr>
      <w:sz w:val="20"/>
      <w:szCs w:val="20"/>
    </w:rPr>
  </w:style>
  <w:style w:type="paragraph" w:customStyle="1" w:styleId="PullQuote-Indigenous">
    <w:name w:val="Pull Quote-Indigenous"/>
    <w:basedOn w:val="PullQuote"/>
    <w:uiPriority w:val="10"/>
    <w:qFormat/>
    <w:rsid w:val="00E16FF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16FF5"/>
    <w:pPr>
      <w:spacing w:before="0" w:after="20"/>
      <w:ind w:left="170" w:hanging="113"/>
    </w:pPr>
    <w:rPr>
      <w:sz w:val="18"/>
    </w:rPr>
  </w:style>
  <w:style w:type="character" w:styleId="Mention">
    <w:name w:val="Mention"/>
    <w:basedOn w:val="DefaultParagraphFont"/>
    <w:uiPriority w:val="99"/>
    <w:unhideWhenUsed/>
    <w:rsid w:val="00160A74"/>
    <w:rPr>
      <w:color w:val="2B579A"/>
      <w:shd w:val="clear" w:color="auto" w:fill="E1DFDD"/>
    </w:rPr>
  </w:style>
  <w:style w:type="character" w:styleId="FollowedHyperlink">
    <w:name w:val="FollowedHyperlink"/>
    <w:basedOn w:val="DefaultParagraphFont"/>
    <w:uiPriority w:val="99"/>
    <w:semiHidden/>
    <w:unhideWhenUsed/>
    <w:rsid w:val="00B51F8C"/>
    <w:rPr>
      <w:color w:val="BFBFBF" w:themeColor="followedHyperlink"/>
      <w:u w:val="single"/>
    </w:rPr>
  </w:style>
  <w:style w:type="character" w:styleId="EndnoteReference">
    <w:name w:val="endnote reference"/>
    <w:basedOn w:val="DefaultParagraphFont"/>
    <w:uiPriority w:val="99"/>
    <w:semiHidden/>
    <w:unhideWhenUsed/>
    <w:rsid w:val="00B90C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5941">
      <w:bodyDiv w:val="1"/>
      <w:marLeft w:val="0"/>
      <w:marRight w:val="0"/>
      <w:marTop w:val="0"/>
      <w:marBottom w:val="0"/>
      <w:divBdr>
        <w:top w:val="none" w:sz="0" w:space="0" w:color="auto"/>
        <w:left w:val="none" w:sz="0" w:space="0" w:color="auto"/>
        <w:bottom w:val="none" w:sz="0" w:space="0" w:color="auto"/>
        <w:right w:val="none" w:sz="0" w:space="0" w:color="auto"/>
      </w:divBdr>
    </w:div>
    <w:div w:id="118115576">
      <w:bodyDiv w:val="1"/>
      <w:marLeft w:val="0"/>
      <w:marRight w:val="0"/>
      <w:marTop w:val="0"/>
      <w:marBottom w:val="0"/>
      <w:divBdr>
        <w:top w:val="none" w:sz="0" w:space="0" w:color="auto"/>
        <w:left w:val="none" w:sz="0" w:space="0" w:color="auto"/>
        <w:bottom w:val="none" w:sz="0" w:space="0" w:color="auto"/>
        <w:right w:val="none" w:sz="0" w:space="0" w:color="auto"/>
      </w:divBdr>
    </w:div>
    <w:div w:id="155927675">
      <w:bodyDiv w:val="1"/>
      <w:marLeft w:val="0"/>
      <w:marRight w:val="0"/>
      <w:marTop w:val="0"/>
      <w:marBottom w:val="0"/>
      <w:divBdr>
        <w:top w:val="none" w:sz="0" w:space="0" w:color="auto"/>
        <w:left w:val="none" w:sz="0" w:space="0" w:color="auto"/>
        <w:bottom w:val="none" w:sz="0" w:space="0" w:color="auto"/>
        <w:right w:val="none" w:sz="0" w:space="0" w:color="auto"/>
      </w:divBdr>
    </w:div>
    <w:div w:id="218055836">
      <w:bodyDiv w:val="1"/>
      <w:marLeft w:val="0"/>
      <w:marRight w:val="0"/>
      <w:marTop w:val="0"/>
      <w:marBottom w:val="0"/>
      <w:divBdr>
        <w:top w:val="none" w:sz="0" w:space="0" w:color="auto"/>
        <w:left w:val="none" w:sz="0" w:space="0" w:color="auto"/>
        <w:bottom w:val="none" w:sz="0" w:space="0" w:color="auto"/>
        <w:right w:val="none" w:sz="0" w:space="0" w:color="auto"/>
      </w:divBdr>
    </w:div>
    <w:div w:id="343551408">
      <w:bodyDiv w:val="1"/>
      <w:marLeft w:val="0"/>
      <w:marRight w:val="0"/>
      <w:marTop w:val="0"/>
      <w:marBottom w:val="0"/>
      <w:divBdr>
        <w:top w:val="none" w:sz="0" w:space="0" w:color="auto"/>
        <w:left w:val="none" w:sz="0" w:space="0" w:color="auto"/>
        <w:bottom w:val="none" w:sz="0" w:space="0" w:color="auto"/>
        <w:right w:val="none" w:sz="0" w:space="0" w:color="auto"/>
      </w:divBdr>
    </w:div>
    <w:div w:id="485514797">
      <w:bodyDiv w:val="1"/>
      <w:marLeft w:val="0"/>
      <w:marRight w:val="0"/>
      <w:marTop w:val="0"/>
      <w:marBottom w:val="0"/>
      <w:divBdr>
        <w:top w:val="none" w:sz="0" w:space="0" w:color="auto"/>
        <w:left w:val="none" w:sz="0" w:space="0" w:color="auto"/>
        <w:bottom w:val="none" w:sz="0" w:space="0" w:color="auto"/>
        <w:right w:val="none" w:sz="0" w:space="0" w:color="auto"/>
      </w:divBdr>
      <w:divsChild>
        <w:div w:id="232860855">
          <w:marLeft w:val="0"/>
          <w:marRight w:val="0"/>
          <w:marTop w:val="0"/>
          <w:marBottom w:val="0"/>
          <w:divBdr>
            <w:top w:val="none" w:sz="0" w:space="0" w:color="auto"/>
            <w:left w:val="none" w:sz="0" w:space="0" w:color="auto"/>
            <w:bottom w:val="none" w:sz="0" w:space="0" w:color="auto"/>
            <w:right w:val="none" w:sz="0" w:space="0" w:color="auto"/>
          </w:divBdr>
        </w:div>
        <w:div w:id="430127613">
          <w:marLeft w:val="0"/>
          <w:marRight w:val="0"/>
          <w:marTop w:val="0"/>
          <w:marBottom w:val="0"/>
          <w:divBdr>
            <w:top w:val="none" w:sz="0" w:space="0" w:color="auto"/>
            <w:left w:val="none" w:sz="0" w:space="0" w:color="auto"/>
            <w:bottom w:val="none" w:sz="0" w:space="0" w:color="auto"/>
            <w:right w:val="none" w:sz="0" w:space="0" w:color="auto"/>
          </w:divBdr>
        </w:div>
        <w:div w:id="653682706">
          <w:marLeft w:val="0"/>
          <w:marRight w:val="0"/>
          <w:marTop w:val="0"/>
          <w:marBottom w:val="0"/>
          <w:divBdr>
            <w:top w:val="none" w:sz="0" w:space="0" w:color="auto"/>
            <w:left w:val="none" w:sz="0" w:space="0" w:color="auto"/>
            <w:bottom w:val="none" w:sz="0" w:space="0" w:color="auto"/>
            <w:right w:val="none" w:sz="0" w:space="0" w:color="auto"/>
          </w:divBdr>
        </w:div>
        <w:div w:id="1959949672">
          <w:marLeft w:val="0"/>
          <w:marRight w:val="0"/>
          <w:marTop w:val="0"/>
          <w:marBottom w:val="0"/>
          <w:divBdr>
            <w:top w:val="none" w:sz="0" w:space="0" w:color="auto"/>
            <w:left w:val="none" w:sz="0" w:space="0" w:color="auto"/>
            <w:bottom w:val="none" w:sz="0" w:space="0" w:color="auto"/>
            <w:right w:val="none" w:sz="0" w:space="0" w:color="auto"/>
          </w:divBdr>
        </w:div>
      </w:divsChild>
    </w:div>
    <w:div w:id="522210328">
      <w:bodyDiv w:val="1"/>
      <w:marLeft w:val="0"/>
      <w:marRight w:val="0"/>
      <w:marTop w:val="0"/>
      <w:marBottom w:val="0"/>
      <w:divBdr>
        <w:top w:val="none" w:sz="0" w:space="0" w:color="auto"/>
        <w:left w:val="none" w:sz="0" w:space="0" w:color="auto"/>
        <w:bottom w:val="none" w:sz="0" w:space="0" w:color="auto"/>
        <w:right w:val="none" w:sz="0" w:space="0" w:color="auto"/>
      </w:divBdr>
    </w:div>
    <w:div w:id="575940399">
      <w:bodyDiv w:val="1"/>
      <w:marLeft w:val="0"/>
      <w:marRight w:val="0"/>
      <w:marTop w:val="0"/>
      <w:marBottom w:val="0"/>
      <w:divBdr>
        <w:top w:val="none" w:sz="0" w:space="0" w:color="auto"/>
        <w:left w:val="none" w:sz="0" w:space="0" w:color="auto"/>
        <w:bottom w:val="none" w:sz="0" w:space="0" w:color="auto"/>
        <w:right w:val="none" w:sz="0" w:space="0" w:color="auto"/>
      </w:divBdr>
      <w:divsChild>
        <w:div w:id="22755586">
          <w:marLeft w:val="0"/>
          <w:marRight w:val="0"/>
          <w:marTop w:val="0"/>
          <w:marBottom w:val="0"/>
          <w:divBdr>
            <w:top w:val="none" w:sz="0" w:space="0" w:color="auto"/>
            <w:left w:val="none" w:sz="0" w:space="0" w:color="auto"/>
            <w:bottom w:val="none" w:sz="0" w:space="0" w:color="auto"/>
            <w:right w:val="none" w:sz="0" w:space="0" w:color="auto"/>
          </w:divBdr>
        </w:div>
        <w:div w:id="2113087914">
          <w:marLeft w:val="0"/>
          <w:marRight w:val="0"/>
          <w:marTop w:val="0"/>
          <w:marBottom w:val="0"/>
          <w:divBdr>
            <w:top w:val="none" w:sz="0" w:space="0" w:color="auto"/>
            <w:left w:val="none" w:sz="0" w:space="0" w:color="auto"/>
            <w:bottom w:val="none" w:sz="0" w:space="0" w:color="auto"/>
            <w:right w:val="none" w:sz="0" w:space="0" w:color="auto"/>
          </w:divBdr>
        </w:div>
      </w:divsChild>
    </w:div>
    <w:div w:id="602421646">
      <w:bodyDiv w:val="1"/>
      <w:marLeft w:val="0"/>
      <w:marRight w:val="0"/>
      <w:marTop w:val="0"/>
      <w:marBottom w:val="0"/>
      <w:divBdr>
        <w:top w:val="none" w:sz="0" w:space="0" w:color="auto"/>
        <w:left w:val="none" w:sz="0" w:space="0" w:color="auto"/>
        <w:bottom w:val="none" w:sz="0" w:space="0" w:color="auto"/>
        <w:right w:val="none" w:sz="0" w:space="0" w:color="auto"/>
      </w:divBdr>
      <w:divsChild>
        <w:div w:id="1349482024">
          <w:marLeft w:val="0"/>
          <w:marRight w:val="0"/>
          <w:marTop w:val="0"/>
          <w:marBottom w:val="0"/>
          <w:divBdr>
            <w:top w:val="none" w:sz="0" w:space="0" w:color="auto"/>
            <w:left w:val="none" w:sz="0" w:space="0" w:color="auto"/>
            <w:bottom w:val="none" w:sz="0" w:space="0" w:color="auto"/>
            <w:right w:val="none" w:sz="0" w:space="0" w:color="auto"/>
          </w:divBdr>
        </w:div>
        <w:div w:id="2055692539">
          <w:marLeft w:val="0"/>
          <w:marRight w:val="0"/>
          <w:marTop w:val="0"/>
          <w:marBottom w:val="0"/>
          <w:divBdr>
            <w:top w:val="none" w:sz="0" w:space="0" w:color="auto"/>
            <w:left w:val="none" w:sz="0" w:space="0" w:color="auto"/>
            <w:bottom w:val="none" w:sz="0" w:space="0" w:color="auto"/>
            <w:right w:val="none" w:sz="0" w:space="0" w:color="auto"/>
          </w:divBdr>
        </w:div>
      </w:divsChild>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688801212">
      <w:bodyDiv w:val="1"/>
      <w:marLeft w:val="0"/>
      <w:marRight w:val="0"/>
      <w:marTop w:val="0"/>
      <w:marBottom w:val="0"/>
      <w:divBdr>
        <w:top w:val="none" w:sz="0" w:space="0" w:color="auto"/>
        <w:left w:val="none" w:sz="0" w:space="0" w:color="auto"/>
        <w:bottom w:val="none" w:sz="0" w:space="0" w:color="auto"/>
        <w:right w:val="none" w:sz="0" w:space="0" w:color="auto"/>
      </w:divBdr>
      <w:divsChild>
        <w:div w:id="350106671">
          <w:marLeft w:val="0"/>
          <w:marRight w:val="0"/>
          <w:marTop w:val="0"/>
          <w:marBottom w:val="0"/>
          <w:divBdr>
            <w:top w:val="none" w:sz="0" w:space="0" w:color="auto"/>
            <w:left w:val="none" w:sz="0" w:space="0" w:color="auto"/>
            <w:bottom w:val="none" w:sz="0" w:space="0" w:color="auto"/>
            <w:right w:val="none" w:sz="0" w:space="0" w:color="auto"/>
          </w:divBdr>
        </w:div>
        <w:div w:id="2128159013">
          <w:marLeft w:val="0"/>
          <w:marRight w:val="0"/>
          <w:marTop w:val="0"/>
          <w:marBottom w:val="0"/>
          <w:divBdr>
            <w:top w:val="none" w:sz="0" w:space="0" w:color="auto"/>
            <w:left w:val="none" w:sz="0" w:space="0" w:color="auto"/>
            <w:bottom w:val="none" w:sz="0" w:space="0" w:color="auto"/>
            <w:right w:val="none" w:sz="0" w:space="0" w:color="auto"/>
          </w:divBdr>
        </w:div>
      </w:divsChild>
    </w:div>
    <w:div w:id="699162882">
      <w:bodyDiv w:val="1"/>
      <w:marLeft w:val="0"/>
      <w:marRight w:val="0"/>
      <w:marTop w:val="0"/>
      <w:marBottom w:val="0"/>
      <w:divBdr>
        <w:top w:val="none" w:sz="0" w:space="0" w:color="auto"/>
        <w:left w:val="none" w:sz="0" w:space="0" w:color="auto"/>
        <w:bottom w:val="none" w:sz="0" w:space="0" w:color="auto"/>
        <w:right w:val="none" w:sz="0" w:space="0" w:color="auto"/>
      </w:divBdr>
    </w:div>
    <w:div w:id="801532689">
      <w:bodyDiv w:val="1"/>
      <w:marLeft w:val="0"/>
      <w:marRight w:val="0"/>
      <w:marTop w:val="0"/>
      <w:marBottom w:val="0"/>
      <w:divBdr>
        <w:top w:val="none" w:sz="0" w:space="0" w:color="auto"/>
        <w:left w:val="none" w:sz="0" w:space="0" w:color="auto"/>
        <w:bottom w:val="none" w:sz="0" w:space="0" w:color="auto"/>
        <w:right w:val="none" w:sz="0" w:space="0" w:color="auto"/>
      </w:divBdr>
    </w:div>
    <w:div w:id="9489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573925">
          <w:marLeft w:val="0"/>
          <w:marRight w:val="0"/>
          <w:marTop w:val="0"/>
          <w:marBottom w:val="0"/>
          <w:divBdr>
            <w:top w:val="none" w:sz="0" w:space="0" w:color="auto"/>
            <w:left w:val="none" w:sz="0" w:space="0" w:color="auto"/>
            <w:bottom w:val="none" w:sz="0" w:space="0" w:color="auto"/>
            <w:right w:val="none" w:sz="0" w:space="0" w:color="auto"/>
          </w:divBdr>
        </w:div>
        <w:div w:id="1844321107">
          <w:marLeft w:val="0"/>
          <w:marRight w:val="0"/>
          <w:marTop w:val="0"/>
          <w:marBottom w:val="0"/>
          <w:divBdr>
            <w:top w:val="none" w:sz="0" w:space="0" w:color="auto"/>
            <w:left w:val="none" w:sz="0" w:space="0" w:color="auto"/>
            <w:bottom w:val="none" w:sz="0" w:space="0" w:color="auto"/>
            <w:right w:val="none" w:sz="0" w:space="0" w:color="auto"/>
          </w:divBdr>
        </w:div>
      </w:divsChild>
    </w:div>
    <w:div w:id="1022122083">
      <w:bodyDiv w:val="1"/>
      <w:marLeft w:val="0"/>
      <w:marRight w:val="0"/>
      <w:marTop w:val="0"/>
      <w:marBottom w:val="0"/>
      <w:divBdr>
        <w:top w:val="none" w:sz="0" w:space="0" w:color="auto"/>
        <w:left w:val="none" w:sz="0" w:space="0" w:color="auto"/>
        <w:bottom w:val="none" w:sz="0" w:space="0" w:color="auto"/>
        <w:right w:val="none" w:sz="0" w:space="0" w:color="auto"/>
      </w:divBdr>
    </w:div>
    <w:div w:id="1299189835">
      <w:bodyDiv w:val="1"/>
      <w:marLeft w:val="0"/>
      <w:marRight w:val="0"/>
      <w:marTop w:val="0"/>
      <w:marBottom w:val="0"/>
      <w:divBdr>
        <w:top w:val="none" w:sz="0" w:space="0" w:color="auto"/>
        <w:left w:val="none" w:sz="0" w:space="0" w:color="auto"/>
        <w:bottom w:val="none" w:sz="0" w:space="0" w:color="auto"/>
        <w:right w:val="none" w:sz="0" w:space="0" w:color="auto"/>
      </w:divBdr>
    </w:div>
    <w:div w:id="1338461543">
      <w:bodyDiv w:val="1"/>
      <w:marLeft w:val="0"/>
      <w:marRight w:val="0"/>
      <w:marTop w:val="0"/>
      <w:marBottom w:val="0"/>
      <w:divBdr>
        <w:top w:val="none" w:sz="0" w:space="0" w:color="auto"/>
        <w:left w:val="none" w:sz="0" w:space="0" w:color="auto"/>
        <w:bottom w:val="none" w:sz="0" w:space="0" w:color="auto"/>
        <w:right w:val="none" w:sz="0" w:space="0" w:color="auto"/>
      </w:divBdr>
    </w:div>
    <w:div w:id="1397629590">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 w:id="1532912643">
      <w:bodyDiv w:val="1"/>
      <w:marLeft w:val="0"/>
      <w:marRight w:val="0"/>
      <w:marTop w:val="0"/>
      <w:marBottom w:val="0"/>
      <w:divBdr>
        <w:top w:val="none" w:sz="0" w:space="0" w:color="auto"/>
        <w:left w:val="none" w:sz="0" w:space="0" w:color="auto"/>
        <w:bottom w:val="none" w:sz="0" w:space="0" w:color="auto"/>
        <w:right w:val="none" w:sz="0" w:space="0" w:color="auto"/>
      </w:divBdr>
    </w:div>
    <w:div w:id="1911186739">
      <w:bodyDiv w:val="1"/>
      <w:marLeft w:val="0"/>
      <w:marRight w:val="0"/>
      <w:marTop w:val="0"/>
      <w:marBottom w:val="0"/>
      <w:divBdr>
        <w:top w:val="none" w:sz="0" w:space="0" w:color="auto"/>
        <w:left w:val="none" w:sz="0" w:space="0" w:color="auto"/>
        <w:bottom w:val="none" w:sz="0" w:space="0" w:color="auto"/>
        <w:right w:val="none" w:sz="0" w:space="0" w:color="auto"/>
      </w:divBdr>
      <w:divsChild>
        <w:div w:id="34552016">
          <w:marLeft w:val="0"/>
          <w:marRight w:val="0"/>
          <w:marTop w:val="0"/>
          <w:marBottom w:val="0"/>
          <w:divBdr>
            <w:top w:val="none" w:sz="0" w:space="0" w:color="auto"/>
            <w:left w:val="none" w:sz="0" w:space="0" w:color="auto"/>
            <w:bottom w:val="none" w:sz="0" w:space="0" w:color="auto"/>
            <w:right w:val="none" w:sz="0" w:space="0" w:color="auto"/>
          </w:divBdr>
        </w:div>
        <w:div w:id="195050603">
          <w:marLeft w:val="0"/>
          <w:marRight w:val="0"/>
          <w:marTop w:val="0"/>
          <w:marBottom w:val="0"/>
          <w:divBdr>
            <w:top w:val="none" w:sz="0" w:space="0" w:color="auto"/>
            <w:left w:val="none" w:sz="0" w:space="0" w:color="auto"/>
            <w:bottom w:val="none" w:sz="0" w:space="0" w:color="auto"/>
            <w:right w:val="none" w:sz="0" w:space="0" w:color="auto"/>
          </w:divBdr>
        </w:div>
        <w:div w:id="541139610">
          <w:marLeft w:val="0"/>
          <w:marRight w:val="0"/>
          <w:marTop w:val="0"/>
          <w:marBottom w:val="0"/>
          <w:divBdr>
            <w:top w:val="none" w:sz="0" w:space="0" w:color="auto"/>
            <w:left w:val="none" w:sz="0" w:space="0" w:color="auto"/>
            <w:bottom w:val="none" w:sz="0" w:space="0" w:color="auto"/>
            <w:right w:val="none" w:sz="0" w:space="0" w:color="auto"/>
          </w:divBdr>
        </w:div>
        <w:div w:id="1578974806">
          <w:marLeft w:val="0"/>
          <w:marRight w:val="0"/>
          <w:marTop w:val="0"/>
          <w:marBottom w:val="0"/>
          <w:divBdr>
            <w:top w:val="none" w:sz="0" w:space="0" w:color="auto"/>
            <w:left w:val="none" w:sz="0" w:space="0" w:color="auto"/>
            <w:bottom w:val="none" w:sz="0" w:space="0" w:color="auto"/>
            <w:right w:val="none" w:sz="0" w:space="0" w:color="auto"/>
          </w:divBdr>
        </w:div>
      </w:divsChild>
    </w:div>
    <w:div w:id="1926959134">
      <w:bodyDiv w:val="1"/>
      <w:marLeft w:val="0"/>
      <w:marRight w:val="0"/>
      <w:marTop w:val="0"/>
      <w:marBottom w:val="0"/>
      <w:divBdr>
        <w:top w:val="none" w:sz="0" w:space="0" w:color="auto"/>
        <w:left w:val="none" w:sz="0" w:space="0" w:color="auto"/>
        <w:bottom w:val="none" w:sz="0" w:space="0" w:color="auto"/>
        <w:right w:val="none" w:sz="0" w:space="0" w:color="auto"/>
      </w:divBdr>
    </w:div>
    <w:div w:id="1953634502">
      <w:bodyDiv w:val="1"/>
      <w:marLeft w:val="0"/>
      <w:marRight w:val="0"/>
      <w:marTop w:val="0"/>
      <w:marBottom w:val="0"/>
      <w:divBdr>
        <w:top w:val="none" w:sz="0" w:space="0" w:color="auto"/>
        <w:left w:val="none" w:sz="0" w:space="0" w:color="auto"/>
        <w:bottom w:val="none" w:sz="0" w:space="0" w:color="auto"/>
        <w:right w:val="none" w:sz="0" w:space="0" w:color="auto"/>
      </w:divBdr>
    </w:div>
    <w:div w:id="207489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c.gov.au/productivity-insights" TargetMode="External"/><Relationship Id="rId26" Type="http://schemas.openxmlformats.org/officeDocument/2006/relationships/header" Target="header5.xml"/><Relationship Id="rId39" Type="http://schemas.openxmlformats.org/officeDocument/2006/relationships/footer" Target="footer6.xml"/><Relationship Id="rId21" Type="http://schemas.openxmlformats.org/officeDocument/2006/relationships/header" Target="header2.xml"/><Relationship Id="rId34" Type="http://schemas.openxmlformats.org/officeDocument/2006/relationships/hyperlink" Target="http://www.pc.gov.au/inquiries-and-research/five-productivity-inquiries/productivity-pitch/"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svg"/><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11.emf"/><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7.emf"/><Relationship Id="rId36"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engage.pc.gov.au/projects/dynamic-resilient-economy/page/pillar-1-responses"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2.emf"/><Relationship Id="rId38"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y.alevizos\AppData\Local\Temp\Templafy\WordVsto\prelims-inquiry%20reports1.dotx" TargetMode="External"/></Relationships>
</file>

<file path=word/theme/theme1.xml><?xml version="1.0" encoding="utf-8"?>
<a:theme xmlns:a="http://schemas.openxmlformats.org/drawingml/2006/main" name="Office 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bd81b124aa3e42d4f710a0bbfad329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3a93e2fb4f9c7fac03cb4e9e3aa401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MPWT-2140667901-91993</_dlc_DocId>
    <_dlc_DocIdUrl xmlns="20393cdf-440a-4521-8f19-00ba43423d00">
      <Url>https://pcgov.sharepoint.com/sites/sceteam/_layouts/15/DocIdRedir.aspx?ID=MPWT-2140667901-91993</Url>
      <Description>MPWT-2140667901-91993</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27B895CA-5872-4607-AC32-E0D4C369A9FD}">
  <ds:schemaRefs>
    <ds:schemaRef ds:uri="http://schemas.microsoft.com/sharepoint/events"/>
  </ds:schemaRefs>
</ds:datastoreItem>
</file>

<file path=customXml/itemProps5.xml><?xml version="1.0" encoding="utf-8"?>
<ds:datastoreItem xmlns:ds="http://schemas.openxmlformats.org/officeDocument/2006/customXml" ds:itemID="{E7104CE5-BB75-408C-B99B-EC707EFC7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DA7D0B58-CE1D-45B5-93FE-46664D96FBAD}">
  <ds:schemaRefs>
    <ds:schemaRef ds:uri="http://schemas.microsoft.com/sharepoint/v3/contenttype/forms"/>
  </ds:schemaRefs>
</ds:datastoreItem>
</file>

<file path=docMetadata/LabelInfo.xml><?xml version="1.0" encoding="utf-8"?>
<clbl:labelList xmlns:clbl="http://schemas.microsoft.com/office/2020/mipLabelMetadata">
  <clbl:label id="{29f9330b-c0fe-4244-830e-ba9f275d6c34}" enabled="0" method="" siteId="{29f9330b-c0fe-4244-830e-ba9f275d6c34}" removed="1"/>
</clbl:labelList>
</file>

<file path=docProps/app.xml><?xml version="1.0" encoding="utf-8"?>
<Properties xmlns="http://schemas.openxmlformats.org/officeDocument/2006/extended-properties" xmlns:vt="http://schemas.openxmlformats.org/officeDocument/2006/docPropsVTypes">
  <Template>prelims-inquiry reports1.dotx</Template>
  <TotalTime>234</TotalTime>
  <Pages>1</Pages>
  <Words>11013</Words>
  <Characters>65423</Characters>
  <Application>Microsoft Office Word</Application>
  <DocSecurity>0</DocSecurity>
  <Lines>948</Lines>
  <Paragraphs>429</Paragraphs>
  <ScaleCrop>false</ScaleCrop>
  <HeadingPairs>
    <vt:vector size="2" baseType="variant">
      <vt:variant>
        <vt:lpstr>Title</vt:lpstr>
      </vt:variant>
      <vt:variant>
        <vt:i4>1</vt:i4>
      </vt:variant>
    </vt:vector>
  </HeadingPairs>
  <TitlesOfParts>
    <vt:vector size="1" baseType="lpstr">
      <vt:lpstr>What we heard - Inquiry report - Creating a more dynamic and resilient economy</vt:lpstr>
    </vt:vector>
  </TitlesOfParts>
  <Company>Productivity Commission</Company>
  <LinksUpToDate>false</LinksUpToDate>
  <CharactersWithSpaces>76007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heard - Inquiry report - Creating a more dynamic and resilient economy</dc:title>
  <dc:subject>What we heard</dc:subject>
  <dc:creator>Productivity Commission</dc:creator>
  <cp:keywords/>
  <dc:description/>
  <cp:lastModifiedBy>Chris Alston</cp:lastModifiedBy>
  <cp:revision>130</cp:revision>
  <cp:lastPrinted>2025-12-16T00:48:00Z</cp:lastPrinted>
  <dcterms:created xsi:type="dcterms:W3CDTF">2025-11-26T11:46:00Z</dcterms:created>
  <dcterms:modified xsi:type="dcterms:W3CDTF">2025-12-16T00:48:00Z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ClassificationContentMarkingHeaderFontProps">
    <vt:lpwstr>#000000,12,Calibri</vt:lpwstr>
  </property>
  <property fmtid="{D5CDD505-2E9C-101B-9397-08002B2CF9AE}" pid="5" name="TemplafyTenantId">
    <vt:lpwstr>productivitycommission</vt:lpwstr>
  </property>
  <property fmtid="{D5CDD505-2E9C-101B-9397-08002B2CF9AE}" pid="6" name="TemplafyTemplateId">
    <vt:lpwstr>637734049669650976</vt:lpwstr>
  </property>
  <property fmtid="{D5CDD505-2E9C-101B-9397-08002B2CF9AE}" pid="7" name="TemplafyUserProfileId">
    <vt:lpwstr>766721661758078976</vt:lpwstr>
  </property>
  <property fmtid="{D5CDD505-2E9C-101B-9397-08002B2CF9AE}" pid="8" name="TemplafyFromBlank">
    <vt:bool>false</vt:bool>
  </property>
  <property fmtid="{D5CDD505-2E9C-101B-9397-08002B2CF9AE}" pid="9" name="docLang">
    <vt:lpwstr>en</vt:lpwstr>
  </property>
  <property fmtid="{D5CDD505-2E9C-101B-9397-08002B2CF9AE}" pid="10" name="ClassificationContentMarkingHeaderShapeIds">
    <vt:lpwstr>1dc8de82,367c8346,33c5bc5d,e30d066,309411ac,43142c26,61a105f7,13adfc19,524a557e,4612f433,66d19ce5,3dfc1912,6e54f358,50cd7ff4,23e57451,226200d9,53ca86c4,4492e149,2351a3ab,24790209,32dc7d2,696ff732,18216b8c</vt:lpwstr>
  </property>
  <property fmtid="{D5CDD505-2E9C-101B-9397-08002B2CF9AE}" pid="11" name="ClassificationContentMarkingHeaderText">
    <vt:lpwstr> OFFICIAL</vt:lpwstr>
  </property>
  <property fmtid="{D5CDD505-2E9C-101B-9397-08002B2CF9AE}" pid="12" name="ClassificationContentMarkingHeaderShapeIds-1">
    <vt:lpwstr>500fb2a3,d383942,1d97d138,5c3a1ea2,63d32f73</vt:lpwstr>
  </property>
  <property fmtid="{D5CDD505-2E9C-101B-9397-08002B2CF9AE}" pid="13" name="Order">
    <vt:r8>546100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SIP_Label_c1f2b1ce-4212-46db-a901-dd8453f57141_Enabled">
    <vt:lpwstr>true</vt:lpwstr>
  </property>
  <property fmtid="{D5CDD505-2E9C-101B-9397-08002B2CF9AE}" pid="21" name="MSIP_Label_c1f2b1ce-4212-46db-a901-dd8453f57141_SetDate">
    <vt:lpwstr>2025-11-26T11:56:42Z</vt:lpwstr>
  </property>
  <property fmtid="{D5CDD505-2E9C-101B-9397-08002B2CF9AE}" pid="22" name="MSIP_Label_c1f2b1ce-4212-46db-a901-dd8453f57141_Method">
    <vt:lpwstr>Privileged</vt:lpwstr>
  </property>
  <property fmtid="{D5CDD505-2E9C-101B-9397-08002B2CF9AE}" pid="23" name="MSIP_Label_c1f2b1ce-4212-46db-a901-dd8453f57141_Name">
    <vt:lpwstr>Publish</vt:lpwstr>
  </property>
  <property fmtid="{D5CDD505-2E9C-101B-9397-08002B2CF9AE}" pid="24" name="MSIP_Label_c1f2b1ce-4212-46db-a901-dd8453f57141_SiteId">
    <vt:lpwstr>29f9330b-c0fe-4244-830e-ba9f275d6c34</vt:lpwstr>
  </property>
  <property fmtid="{D5CDD505-2E9C-101B-9397-08002B2CF9AE}" pid="25" name="MSIP_Label_c1f2b1ce-4212-46db-a901-dd8453f57141_ActionId">
    <vt:lpwstr>ca006784-3b9f-4829-ba65-dfd33ec59284</vt:lpwstr>
  </property>
  <property fmtid="{D5CDD505-2E9C-101B-9397-08002B2CF9AE}" pid="26" name="MSIP_Label_c1f2b1ce-4212-46db-a901-dd8453f57141_ContentBits">
    <vt:lpwstr>0</vt:lpwstr>
  </property>
  <property fmtid="{D5CDD505-2E9C-101B-9397-08002B2CF9AE}" pid="27" name="MSIP_Label_c1f2b1ce-4212-46db-a901-dd8453f57141_Tag">
    <vt:lpwstr>10, 0, 1, 1</vt:lpwstr>
  </property>
  <property fmtid="{D5CDD505-2E9C-101B-9397-08002B2CF9AE}" pid="28" name="RevIMBCS">
    <vt:lpwstr>1;#Unclassified|3955eeb1-2d18-4582-aeb2-00144ec3aaf5</vt:lpwstr>
  </property>
  <property fmtid="{D5CDD505-2E9C-101B-9397-08002B2CF9AE}" pid="29" name="_dlc_DocIdItemGuid">
    <vt:lpwstr>03d8b38d-de10-42ce-a005-40a746ef6127</vt:lpwstr>
  </property>
</Properties>
</file>