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0BF8" w14:textId="20FE3CD4" w:rsidR="00F008B8" w:rsidRPr="00F008B8" w:rsidRDefault="004F0EAB" w:rsidP="00F008B8">
      <w:pPr>
        <w:rPr>
          <w:rFonts w:ascii="Aptos Narrow" w:hAnsi="Aptos Narrow"/>
          <w:sz w:val="22"/>
          <w:szCs w:val="22"/>
        </w:rPr>
      </w:pPr>
      <w:r>
        <w:rPr>
          <w:rFonts w:ascii="Aptos Narrow" w:hAnsi="Aptos Narrow"/>
          <w:sz w:val="22"/>
          <w:szCs w:val="22"/>
        </w:rPr>
        <w:t xml:space="preserve">Productivity Commission </w:t>
      </w:r>
    </w:p>
    <w:p w14:paraId="2016935E" w14:textId="77777777" w:rsidR="004F0EAB" w:rsidRDefault="004F0EAB" w:rsidP="00F008B8">
      <w:pPr>
        <w:rPr>
          <w:rFonts w:ascii="Aptos Narrow" w:hAnsi="Aptos Narrow"/>
          <w:b/>
          <w:bCs/>
          <w:sz w:val="22"/>
          <w:szCs w:val="22"/>
        </w:rPr>
      </w:pPr>
      <w:r w:rsidRPr="004F0EAB">
        <w:rPr>
          <w:rFonts w:ascii="Aptos Narrow" w:hAnsi="Aptos Narrow"/>
          <w:b/>
          <w:bCs/>
          <w:sz w:val="22"/>
          <w:szCs w:val="22"/>
        </w:rPr>
        <w:t>GPO Box 1428, Canberra City ACT 2601</w:t>
      </w:r>
    </w:p>
    <w:p w14:paraId="3FB9D6E1" w14:textId="484C1B48" w:rsidR="00F008B8" w:rsidRPr="00F008B8" w:rsidRDefault="00F008B8" w:rsidP="00F008B8">
      <w:pPr>
        <w:rPr>
          <w:rFonts w:ascii="Aptos Narrow" w:hAnsi="Aptos Narrow"/>
          <w:sz w:val="22"/>
          <w:szCs w:val="22"/>
        </w:rPr>
      </w:pPr>
      <w:r w:rsidRPr="00F008B8">
        <w:rPr>
          <w:rFonts w:ascii="Aptos Narrow" w:hAnsi="Aptos Narrow"/>
          <w:sz w:val="22"/>
          <w:szCs w:val="22"/>
        </w:rPr>
        <w:t xml:space="preserve">Telephone </w:t>
      </w:r>
      <w:r w:rsidR="00D24012" w:rsidRPr="00D24012">
        <w:rPr>
          <w:rFonts w:ascii="Aptos Narrow" w:hAnsi="Aptos Narrow"/>
          <w:sz w:val="22"/>
          <w:szCs w:val="22"/>
        </w:rPr>
        <w:t>(02) 6240 3200 </w:t>
      </w:r>
    </w:p>
    <w:p w14:paraId="577544C9" w14:textId="0618EE18" w:rsidR="00F008B8" w:rsidRPr="00F008B8" w:rsidRDefault="00F008B8" w:rsidP="00F008B8">
      <w:pPr>
        <w:rPr>
          <w:rFonts w:ascii="Aptos Narrow" w:hAnsi="Aptos Narrow"/>
          <w:sz w:val="22"/>
          <w:szCs w:val="22"/>
        </w:rPr>
      </w:pPr>
      <w:r w:rsidRPr="00F008B8">
        <w:rPr>
          <w:rFonts w:ascii="Aptos Narrow" w:hAnsi="Aptos Narrow"/>
          <w:sz w:val="22"/>
          <w:szCs w:val="22"/>
        </w:rPr>
        <w:t>Web</w:t>
      </w:r>
      <w:r w:rsidR="009A57E7">
        <w:rPr>
          <w:rFonts w:ascii="Aptos Narrow" w:hAnsi="Aptos Narrow"/>
          <w:sz w:val="22"/>
          <w:szCs w:val="22"/>
        </w:rPr>
        <w:t>:</w:t>
      </w:r>
      <w:r w:rsidRPr="00F008B8">
        <w:rPr>
          <w:rFonts w:ascii="Aptos Narrow" w:hAnsi="Aptos Narrow"/>
          <w:sz w:val="22"/>
          <w:szCs w:val="22"/>
        </w:rPr>
        <w:t xml:space="preserve"> </w:t>
      </w:r>
      <w:r w:rsidR="009A57E7" w:rsidRPr="009A57E7">
        <w:t>pc.gov.au/</w:t>
      </w:r>
    </w:p>
    <w:p w14:paraId="4A71BC24" w14:textId="77777777" w:rsidR="006F4DE8" w:rsidRPr="003746A5" w:rsidRDefault="006F4DE8" w:rsidP="006F4DE8">
      <w:pPr>
        <w:rPr>
          <w:rFonts w:ascii="Aptos Narrow" w:hAnsi="Aptos Narrow"/>
          <w:sz w:val="22"/>
          <w:szCs w:val="22"/>
        </w:rPr>
      </w:pPr>
    </w:p>
    <w:p w14:paraId="58226841" w14:textId="24AEFCBD" w:rsidR="006F4DE8" w:rsidRPr="003746A5" w:rsidRDefault="006F4DE8" w:rsidP="006F4DE8">
      <w:pPr>
        <w:rPr>
          <w:rFonts w:ascii="Aptos Narrow" w:hAnsi="Aptos Narrow"/>
          <w:b/>
          <w:bCs/>
          <w:sz w:val="22"/>
          <w:szCs w:val="22"/>
          <w:u w:val="single"/>
        </w:rPr>
      </w:pPr>
      <w:r w:rsidRPr="003746A5">
        <w:rPr>
          <w:rFonts w:ascii="Aptos Narrow" w:hAnsi="Aptos Narrow"/>
          <w:b/>
          <w:bCs/>
          <w:sz w:val="22"/>
          <w:szCs w:val="22"/>
          <w:u w:val="single"/>
        </w:rPr>
        <w:t xml:space="preserve">Re: </w:t>
      </w:r>
      <w:r w:rsidR="00FF0DD3">
        <w:rPr>
          <w:rFonts w:ascii="Aptos Narrow" w:hAnsi="Aptos Narrow"/>
          <w:b/>
          <w:bCs/>
          <w:sz w:val="22"/>
          <w:szCs w:val="22"/>
          <w:u w:val="single"/>
        </w:rPr>
        <w:t xml:space="preserve">Impacts of Heavy Vehicle Reform </w:t>
      </w:r>
      <w:r w:rsidR="00473214">
        <w:rPr>
          <w:rFonts w:ascii="Aptos Narrow" w:hAnsi="Aptos Narrow"/>
          <w:b/>
          <w:bCs/>
          <w:sz w:val="22"/>
          <w:szCs w:val="22"/>
          <w:u w:val="single"/>
        </w:rPr>
        <w:t xml:space="preserve"> </w:t>
      </w:r>
    </w:p>
    <w:p w14:paraId="4EC86A88" w14:textId="60ED8007" w:rsidR="00ED0C9D" w:rsidRDefault="009335CC" w:rsidP="00ED0C9D">
      <w:pPr>
        <w:spacing w:before="100" w:beforeAutospacing="1" w:after="100" w:afterAutospacing="1"/>
        <w:rPr>
          <w:rFonts w:ascii="Aptos Narrow" w:hAnsi="Aptos Narrow"/>
          <w:sz w:val="22"/>
          <w:szCs w:val="22"/>
        </w:rPr>
      </w:pPr>
      <w:r w:rsidRPr="003746A5">
        <w:rPr>
          <w:rFonts w:ascii="Aptos Narrow" w:hAnsi="Aptos Narrow"/>
          <w:sz w:val="22"/>
          <w:szCs w:val="22"/>
        </w:rPr>
        <w:t xml:space="preserve">We welcome the opportunity to provide input </w:t>
      </w:r>
      <w:r w:rsidR="006C48DE">
        <w:rPr>
          <w:rFonts w:ascii="Aptos Narrow" w:hAnsi="Aptos Narrow"/>
          <w:sz w:val="22"/>
          <w:szCs w:val="22"/>
        </w:rPr>
        <w:t xml:space="preserve">to the Productivity Commission to support their </w:t>
      </w:r>
      <w:r w:rsidR="006C48DE" w:rsidRPr="006C48DE">
        <w:rPr>
          <w:rFonts w:ascii="Aptos Narrow" w:hAnsi="Aptos Narrow"/>
          <w:sz w:val="22"/>
          <w:szCs w:val="22"/>
        </w:rPr>
        <w:t xml:space="preserve">analysis and modelling on the impacts of a heavy vehicle productivity reform package, under the National Competition Policy. </w:t>
      </w:r>
      <w:r w:rsidR="00577804">
        <w:rPr>
          <w:rFonts w:ascii="Aptos Narrow" w:hAnsi="Aptos Narrow"/>
          <w:sz w:val="22"/>
          <w:szCs w:val="22"/>
        </w:rPr>
        <w:t xml:space="preserve">Australia faces </w:t>
      </w:r>
      <w:r w:rsidR="00B77E9F" w:rsidRPr="003746A5">
        <w:rPr>
          <w:rFonts w:ascii="Aptos Narrow" w:hAnsi="Aptos Narrow"/>
          <w:sz w:val="22"/>
          <w:szCs w:val="22"/>
        </w:rPr>
        <w:t xml:space="preserve">challenges </w:t>
      </w:r>
      <w:r w:rsidR="00577804">
        <w:rPr>
          <w:rFonts w:ascii="Aptos Narrow" w:hAnsi="Aptos Narrow"/>
          <w:sz w:val="22"/>
          <w:szCs w:val="22"/>
        </w:rPr>
        <w:t>in</w:t>
      </w:r>
      <w:r w:rsidR="00B77E9F" w:rsidRPr="003746A5">
        <w:rPr>
          <w:rFonts w:ascii="Aptos Narrow" w:hAnsi="Aptos Narrow"/>
          <w:sz w:val="22"/>
          <w:szCs w:val="22"/>
        </w:rPr>
        <w:t xml:space="preserve"> </w:t>
      </w:r>
      <w:r w:rsidR="00B77E9F">
        <w:rPr>
          <w:rFonts w:ascii="Aptos Narrow" w:hAnsi="Aptos Narrow"/>
          <w:sz w:val="22"/>
          <w:szCs w:val="22"/>
        </w:rPr>
        <w:t xml:space="preserve">shaping a coordinated national approach to </w:t>
      </w:r>
      <w:r w:rsidR="00AB7761">
        <w:rPr>
          <w:rFonts w:ascii="Aptos Narrow" w:hAnsi="Aptos Narrow"/>
          <w:sz w:val="22"/>
          <w:szCs w:val="22"/>
        </w:rPr>
        <w:t xml:space="preserve">facilitate the adoption of low and zero emissions heavy vehicles whilst delivering productivity improvements. </w:t>
      </w:r>
      <w:r w:rsidR="000464BA">
        <w:rPr>
          <w:rFonts w:ascii="Aptos Narrow" w:hAnsi="Aptos Narrow"/>
          <w:sz w:val="22"/>
          <w:szCs w:val="22"/>
        </w:rPr>
        <w:t xml:space="preserve">We wish to share our perspective on how the Productivity Commission </w:t>
      </w:r>
      <w:r w:rsidR="00B77E9F" w:rsidRPr="003746A5">
        <w:rPr>
          <w:rFonts w:ascii="Aptos Narrow" w:hAnsi="Aptos Narrow"/>
          <w:sz w:val="22"/>
          <w:szCs w:val="22"/>
        </w:rPr>
        <w:t xml:space="preserve">can </w:t>
      </w:r>
      <w:r w:rsidR="00CB718E">
        <w:rPr>
          <w:rFonts w:ascii="Aptos Narrow" w:hAnsi="Aptos Narrow"/>
          <w:sz w:val="22"/>
          <w:szCs w:val="22"/>
        </w:rPr>
        <w:t xml:space="preserve">inform the national processes to </w:t>
      </w:r>
      <w:r w:rsidR="00B77E9F" w:rsidRPr="003746A5">
        <w:rPr>
          <w:rFonts w:ascii="Aptos Narrow" w:hAnsi="Aptos Narrow"/>
          <w:sz w:val="22"/>
          <w:szCs w:val="22"/>
        </w:rPr>
        <w:t xml:space="preserve">accelerate practical, </w:t>
      </w:r>
      <w:r w:rsidR="00B77E9F">
        <w:rPr>
          <w:rFonts w:ascii="Aptos Narrow" w:hAnsi="Aptos Narrow"/>
          <w:sz w:val="22"/>
          <w:szCs w:val="22"/>
        </w:rPr>
        <w:t xml:space="preserve">sustainable, and </w:t>
      </w:r>
      <w:r w:rsidR="00B77E9F" w:rsidRPr="003746A5">
        <w:rPr>
          <w:rFonts w:ascii="Aptos Narrow" w:hAnsi="Aptos Narrow"/>
          <w:sz w:val="22"/>
          <w:szCs w:val="22"/>
        </w:rPr>
        <w:t>high-impact outcomes.</w:t>
      </w:r>
    </w:p>
    <w:p w14:paraId="5B38ADE0" w14:textId="29408556" w:rsidR="009335CC" w:rsidRPr="003746A5" w:rsidRDefault="009335CC" w:rsidP="009335CC">
      <w:pPr>
        <w:spacing w:before="100" w:beforeAutospacing="1" w:after="100" w:afterAutospacing="1"/>
        <w:rPr>
          <w:rFonts w:ascii="Aptos Narrow" w:hAnsi="Aptos Narrow"/>
          <w:sz w:val="22"/>
          <w:szCs w:val="22"/>
        </w:rPr>
      </w:pPr>
      <w:r w:rsidRPr="003746A5">
        <w:rPr>
          <w:rFonts w:ascii="Aptos Narrow" w:hAnsi="Aptos Narrow"/>
          <w:sz w:val="22"/>
          <w:szCs w:val="22"/>
        </w:rPr>
        <w:t>Powering Australia is a Federally funded Industry Growth Centre with a mission to grow Australia’s clean-tech manufacturing industries and deliver better outcomes for First Nations</w:t>
      </w:r>
      <w:r w:rsidR="006B3AB6">
        <w:rPr>
          <w:rFonts w:ascii="Aptos Narrow" w:hAnsi="Aptos Narrow"/>
          <w:sz w:val="22"/>
          <w:szCs w:val="22"/>
        </w:rPr>
        <w:t xml:space="preserve"> communities</w:t>
      </w:r>
      <w:r w:rsidRPr="003746A5">
        <w:rPr>
          <w:rFonts w:ascii="Aptos Narrow" w:hAnsi="Aptos Narrow"/>
          <w:sz w:val="22"/>
          <w:szCs w:val="22"/>
        </w:rPr>
        <w:t>.</w:t>
      </w:r>
    </w:p>
    <w:p w14:paraId="1B6352A4" w14:textId="10152E99" w:rsidR="00951994" w:rsidRPr="003746A5" w:rsidRDefault="00951994" w:rsidP="009335CC">
      <w:pPr>
        <w:spacing w:before="100" w:beforeAutospacing="1" w:after="100" w:afterAutospacing="1"/>
        <w:rPr>
          <w:rFonts w:ascii="Aptos Narrow" w:hAnsi="Aptos Narrow"/>
          <w:sz w:val="22"/>
          <w:szCs w:val="22"/>
        </w:rPr>
      </w:pPr>
      <w:r w:rsidRPr="003746A5">
        <w:rPr>
          <w:rFonts w:ascii="Aptos Narrow" w:hAnsi="Aptos Narrow"/>
          <w:sz w:val="22"/>
          <w:szCs w:val="22"/>
        </w:rPr>
        <w:t xml:space="preserve">Our submission outlines how </w:t>
      </w:r>
      <w:r w:rsidR="00661BBF">
        <w:rPr>
          <w:rFonts w:ascii="Aptos Narrow" w:hAnsi="Aptos Narrow"/>
          <w:sz w:val="22"/>
          <w:szCs w:val="22"/>
        </w:rPr>
        <w:t xml:space="preserve">the </w:t>
      </w:r>
      <w:r w:rsidR="00FF0DD3">
        <w:rPr>
          <w:rFonts w:ascii="Aptos Narrow" w:hAnsi="Aptos Narrow"/>
          <w:sz w:val="22"/>
          <w:szCs w:val="22"/>
        </w:rPr>
        <w:t>Australia</w:t>
      </w:r>
      <w:r w:rsidR="00D04F73">
        <w:rPr>
          <w:rFonts w:ascii="Aptos Narrow" w:hAnsi="Aptos Narrow"/>
          <w:sz w:val="22"/>
          <w:szCs w:val="22"/>
        </w:rPr>
        <w:t>n Government</w:t>
      </w:r>
      <w:r w:rsidRPr="003746A5">
        <w:rPr>
          <w:rFonts w:ascii="Aptos Narrow" w:hAnsi="Aptos Narrow"/>
          <w:sz w:val="22"/>
          <w:szCs w:val="22"/>
        </w:rPr>
        <w:t xml:space="preserve"> can address key </w:t>
      </w:r>
      <w:r w:rsidR="00FA5B05">
        <w:rPr>
          <w:rFonts w:ascii="Aptos Narrow" w:hAnsi="Aptos Narrow"/>
          <w:sz w:val="22"/>
          <w:szCs w:val="22"/>
        </w:rPr>
        <w:t xml:space="preserve">opportunities and </w:t>
      </w:r>
      <w:r w:rsidRPr="003746A5">
        <w:rPr>
          <w:rFonts w:ascii="Aptos Narrow" w:hAnsi="Aptos Narrow"/>
          <w:sz w:val="22"/>
          <w:szCs w:val="22"/>
        </w:rPr>
        <w:t xml:space="preserve">barriers, such as </w:t>
      </w:r>
      <w:r w:rsidR="00D27C37">
        <w:rPr>
          <w:rFonts w:ascii="Aptos Narrow" w:hAnsi="Aptos Narrow"/>
          <w:sz w:val="22"/>
          <w:szCs w:val="22"/>
        </w:rPr>
        <w:t xml:space="preserve">road network access, axle mass limits, productivity impacts, and </w:t>
      </w:r>
      <w:r w:rsidR="0089251D">
        <w:rPr>
          <w:rFonts w:ascii="Aptos Narrow" w:hAnsi="Aptos Narrow"/>
          <w:sz w:val="22"/>
          <w:szCs w:val="22"/>
        </w:rPr>
        <w:t>safety</w:t>
      </w:r>
      <w:r w:rsidR="00506DC0">
        <w:rPr>
          <w:rFonts w:ascii="Aptos Narrow" w:hAnsi="Aptos Narrow"/>
          <w:sz w:val="22"/>
          <w:szCs w:val="22"/>
        </w:rPr>
        <w:t xml:space="preserve">. </w:t>
      </w:r>
      <w:r w:rsidRPr="003746A5">
        <w:rPr>
          <w:rFonts w:ascii="Aptos Narrow" w:hAnsi="Aptos Narrow"/>
          <w:sz w:val="22"/>
          <w:szCs w:val="22"/>
        </w:rPr>
        <w:t xml:space="preserve">We provide guidance on suitable </w:t>
      </w:r>
      <w:r w:rsidR="004854A8">
        <w:rPr>
          <w:rFonts w:ascii="Aptos Narrow" w:hAnsi="Aptos Narrow"/>
          <w:sz w:val="22"/>
          <w:szCs w:val="22"/>
        </w:rPr>
        <w:t xml:space="preserve">policy and regulatory </w:t>
      </w:r>
      <w:r w:rsidR="00341BEF">
        <w:rPr>
          <w:rFonts w:ascii="Aptos Narrow" w:hAnsi="Aptos Narrow"/>
          <w:sz w:val="22"/>
          <w:szCs w:val="22"/>
        </w:rPr>
        <w:t>levers</w:t>
      </w:r>
      <w:r w:rsidR="004854A8">
        <w:rPr>
          <w:rFonts w:ascii="Aptos Narrow" w:hAnsi="Aptos Narrow"/>
          <w:sz w:val="22"/>
          <w:szCs w:val="22"/>
        </w:rPr>
        <w:t xml:space="preserve">, </w:t>
      </w:r>
      <w:r w:rsidR="00821A3B">
        <w:rPr>
          <w:rFonts w:ascii="Aptos Narrow" w:hAnsi="Aptos Narrow"/>
          <w:sz w:val="22"/>
          <w:szCs w:val="22"/>
        </w:rPr>
        <w:t xml:space="preserve">productivity opportunities, </w:t>
      </w:r>
      <w:r w:rsidR="009C2E26">
        <w:rPr>
          <w:rFonts w:ascii="Aptos Narrow" w:hAnsi="Aptos Narrow"/>
          <w:sz w:val="22"/>
          <w:szCs w:val="22"/>
        </w:rPr>
        <w:t xml:space="preserve">technology evolution, and </w:t>
      </w:r>
      <w:r w:rsidR="00DA79A4">
        <w:rPr>
          <w:rFonts w:ascii="Aptos Narrow" w:hAnsi="Aptos Narrow"/>
          <w:sz w:val="22"/>
          <w:szCs w:val="22"/>
        </w:rPr>
        <w:t>investment</w:t>
      </w:r>
      <w:r w:rsidRPr="003746A5">
        <w:rPr>
          <w:rFonts w:ascii="Aptos Narrow" w:hAnsi="Aptos Narrow"/>
          <w:sz w:val="22"/>
          <w:szCs w:val="22"/>
        </w:rPr>
        <w:t xml:space="preserve"> approaches</w:t>
      </w:r>
      <w:r w:rsidR="009C2E26">
        <w:rPr>
          <w:rFonts w:ascii="Aptos Narrow" w:hAnsi="Aptos Narrow"/>
          <w:sz w:val="22"/>
          <w:szCs w:val="22"/>
        </w:rPr>
        <w:t xml:space="preserve">. </w:t>
      </w:r>
    </w:p>
    <w:p w14:paraId="548EFD78" w14:textId="43D948CB" w:rsidR="009335CC" w:rsidRPr="003746A5" w:rsidRDefault="00BF281D" w:rsidP="009335CC">
      <w:pPr>
        <w:spacing w:before="100" w:beforeAutospacing="1" w:after="100" w:afterAutospacing="1"/>
        <w:rPr>
          <w:rFonts w:ascii="Aptos Narrow" w:hAnsi="Aptos Narrow"/>
          <w:sz w:val="22"/>
          <w:szCs w:val="22"/>
        </w:rPr>
      </w:pPr>
      <w:r>
        <w:rPr>
          <w:rFonts w:ascii="Aptos Narrow" w:hAnsi="Aptos Narrow"/>
          <w:sz w:val="22"/>
          <w:szCs w:val="22"/>
        </w:rPr>
        <w:t xml:space="preserve">The heavy vehicle sector is a critical enabler of efficient supply chains within Australia. </w:t>
      </w:r>
      <w:r w:rsidR="00180585">
        <w:rPr>
          <w:rFonts w:ascii="Aptos Narrow" w:hAnsi="Aptos Narrow"/>
          <w:sz w:val="22"/>
          <w:szCs w:val="22"/>
        </w:rPr>
        <w:t>It will also become Australia’s largest contributor to CO</w:t>
      </w:r>
      <w:r w:rsidR="00180585" w:rsidRPr="0072288F">
        <w:rPr>
          <w:rFonts w:ascii="Aptos Narrow" w:hAnsi="Aptos Narrow"/>
          <w:sz w:val="22"/>
          <w:szCs w:val="22"/>
          <w:vertAlign w:val="subscript"/>
        </w:rPr>
        <w:t>2</w:t>
      </w:r>
      <w:r w:rsidR="00180585">
        <w:rPr>
          <w:rFonts w:ascii="Aptos Narrow" w:hAnsi="Aptos Narrow"/>
          <w:sz w:val="22"/>
          <w:szCs w:val="22"/>
        </w:rPr>
        <w:t xml:space="preserve"> </w:t>
      </w:r>
      <w:r w:rsidR="0072288F">
        <w:rPr>
          <w:rFonts w:ascii="Aptos Narrow" w:hAnsi="Aptos Narrow"/>
          <w:sz w:val="22"/>
          <w:szCs w:val="22"/>
        </w:rPr>
        <w:t>emissions</w:t>
      </w:r>
      <w:r w:rsidR="00180585">
        <w:rPr>
          <w:rFonts w:ascii="Aptos Narrow" w:hAnsi="Aptos Narrow"/>
          <w:sz w:val="22"/>
          <w:szCs w:val="22"/>
        </w:rPr>
        <w:t xml:space="preserve"> as other sectors decarbonise. </w:t>
      </w:r>
      <w:r w:rsidR="0072288F">
        <w:rPr>
          <w:rFonts w:ascii="Aptos Narrow" w:hAnsi="Aptos Narrow"/>
          <w:sz w:val="22"/>
          <w:szCs w:val="22"/>
        </w:rPr>
        <w:t>The transition to low and zero emissions heavy vehicles will take time as industry seeks to find suitable alternatives to diesel</w:t>
      </w:r>
      <w:r w:rsidR="00D52B4B">
        <w:rPr>
          <w:rFonts w:ascii="Aptos Narrow" w:hAnsi="Aptos Narrow"/>
          <w:sz w:val="22"/>
          <w:szCs w:val="22"/>
        </w:rPr>
        <w:t>-based</w:t>
      </w:r>
      <w:r w:rsidR="0072288F">
        <w:rPr>
          <w:rFonts w:ascii="Aptos Narrow" w:hAnsi="Aptos Narrow"/>
          <w:sz w:val="22"/>
          <w:szCs w:val="22"/>
        </w:rPr>
        <w:t xml:space="preserve"> </w:t>
      </w:r>
      <w:r w:rsidR="004F2EF0">
        <w:rPr>
          <w:rFonts w:ascii="Aptos Narrow" w:hAnsi="Aptos Narrow"/>
          <w:sz w:val="22"/>
          <w:szCs w:val="22"/>
        </w:rPr>
        <w:t xml:space="preserve">options </w:t>
      </w:r>
      <w:r w:rsidR="0072288F">
        <w:rPr>
          <w:rFonts w:ascii="Aptos Narrow" w:hAnsi="Aptos Narrow"/>
          <w:sz w:val="22"/>
          <w:szCs w:val="22"/>
        </w:rPr>
        <w:t xml:space="preserve">to ensure they maintain existing supply chain operations and efficiencies. </w:t>
      </w:r>
      <w:r w:rsidR="001231A1">
        <w:rPr>
          <w:rFonts w:ascii="Aptos Narrow" w:hAnsi="Aptos Narrow"/>
          <w:sz w:val="22"/>
          <w:szCs w:val="22"/>
        </w:rPr>
        <w:t>The development of</w:t>
      </w:r>
      <w:r w:rsidR="00AE03D9">
        <w:rPr>
          <w:rFonts w:ascii="Aptos Narrow" w:hAnsi="Aptos Narrow"/>
          <w:sz w:val="22"/>
          <w:szCs w:val="22"/>
        </w:rPr>
        <w:t xml:space="preserve"> a nationally coordinated approach to provide industry with </w:t>
      </w:r>
      <w:r w:rsidR="00D46F54">
        <w:rPr>
          <w:rFonts w:ascii="Aptos Narrow" w:hAnsi="Aptos Narrow"/>
          <w:sz w:val="22"/>
          <w:szCs w:val="22"/>
        </w:rPr>
        <w:t>investment certainty</w:t>
      </w:r>
      <w:r w:rsidR="00AE03D9">
        <w:rPr>
          <w:rFonts w:ascii="Aptos Narrow" w:hAnsi="Aptos Narrow"/>
          <w:sz w:val="22"/>
          <w:szCs w:val="22"/>
        </w:rPr>
        <w:t xml:space="preserve"> in a dynamic and evolving environment will be crucial to facilitate </w:t>
      </w:r>
      <w:r w:rsidR="00ED1112">
        <w:rPr>
          <w:rFonts w:ascii="Aptos Narrow" w:hAnsi="Aptos Narrow"/>
          <w:sz w:val="22"/>
          <w:szCs w:val="22"/>
        </w:rPr>
        <w:t>the transition</w:t>
      </w:r>
      <w:r w:rsidR="00AE03D9">
        <w:rPr>
          <w:rFonts w:ascii="Aptos Narrow" w:hAnsi="Aptos Narrow"/>
          <w:sz w:val="22"/>
          <w:szCs w:val="22"/>
        </w:rPr>
        <w:t xml:space="preserve"> and support productivity </w:t>
      </w:r>
      <w:r w:rsidR="00B672BE">
        <w:rPr>
          <w:rFonts w:ascii="Aptos Narrow" w:hAnsi="Aptos Narrow"/>
          <w:sz w:val="22"/>
          <w:szCs w:val="22"/>
        </w:rPr>
        <w:t>benefits</w:t>
      </w:r>
      <w:r w:rsidR="00AE03D9">
        <w:rPr>
          <w:rFonts w:ascii="Aptos Narrow" w:hAnsi="Aptos Narrow"/>
          <w:sz w:val="22"/>
          <w:szCs w:val="22"/>
        </w:rPr>
        <w:t xml:space="preserve">. </w:t>
      </w:r>
      <w:r w:rsidR="009335CC" w:rsidRPr="003746A5">
        <w:rPr>
          <w:rFonts w:ascii="Aptos Narrow" w:hAnsi="Aptos Narrow"/>
          <w:sz w:val="22"/>
          <w:szCs w:val="22"/>
        </w:rPr>
        <w:t xml:space="preserve">Powering Australia supports solutions that </w:t>
      </w:r>
      <w:r w:rsidR="00AE03D9">
        <w:rPr>
          <w:rFonts w:ascii="Aptos Narrow" w:hAnsi="Aptos Narrow"/>
          <w:sz w:val="22"/>
          <w:szCs w:val="22"/>
        </w:rPr>
        <w:t xml:space="preserve">work to achieve national </w:t>
      </w:r>
      <w:r w:rsidR="00DE318A">
        <w:rPr>
          <w:rFonts w:ascii="Aptos Narrow" w:hAnsi="Aptos Narrow"/>
          <w:sz w:val="22"/>
          <w:szCs w:val="22"/>
        </w:rPr>
        <w:t xml:space="preserve">coordination </w:t>
      </w:r>
      <w:r w:rsidR="00AE03D9">
        <w:rPr>
          <w:rFonts w:ascii="Aptos Narrow" w:hAnsi="Aptos Narrow"/>
          <w:sz w:val="22"/>
          <w:szCs w:val="22"/>
        </w:rPr>
        <w:t xml:space="preserve">and </w:t>
      </w:r>
      <w:r w:rsidR="003163F3">
        <w:rPr>
          <w:rFonts w:ascii="Aptos Narrow" w:hAnsi="Aptos Narrow"/>
          <w:sz w:val="22"/>
          <w:szCs w:val="22"/>
        </w:rPr>
        <w:t xml:space="preserve">enable </w:t>
      </w:r>
      <w:r w:rsidR="00BB0C0A">
        <w:rPr>
          <w:rFonts w:ascii="Aptos Narrow" w:hAnsi="Aptos Narrow"/>
          <w:sz w:val="22"/>
          <w:szCs w:val="22"/>
        </w:rPr>
        <w:t>growth of the sector in Australia</w:t>
      </w:r>
      <w:r w:rsidR="009335CC" w:rsidRPr="003746A5">
        <w:rPr>
          <w:rFonts w:ascii="Aptos Narrow" w:hAnsi="Aptos Narrow"/>
          <w:sz w:val="22"/>
          <w:szCs w:val="22"/>
        </w:rPr>
        <w:t>.</w:t>
      </w:r>
    </w:p>
    <w:p w14:paraId="71FF6303" w14:textId="77777777" w:rsidR="009335CC" w:rsidRPr="003746A5" w:rsidRDefault="009335CC" w:rsidP="009335CC">
      <w:pPr>
        <w:spacing w:before="100" w:beforeAutospacing="1" w:after="100" w:afterAutospacing="1"/>
        <w:rPr>
          <w:rFonts w:ascii="Aptos Narrow" w:hAnsi="Aptos Narrow"/>
          <w:sz w:val="22"/>
          <w:szCs w:val="22"/>
        </w:rPr>
      </w:pPr>
      <w:r w:rsidRPr="003746A5">
        <w:rPr>
          <w:rFonts w:ascii="Aptos Narrow" w:hAnsi="Aptos Narrow"/>
          <w:sz w:val="22"/>
          <w:szCs w:val="22"/>
        </w:rPr>
        <w:t>We welcome further engagement and look forward to contributing to the next stage of this work.</w:t>
      </w:r>
    </w:p>
    <w:p w14:paraId="4513C3B9" w14:textId="2AB161BD" w:rsidR="006F4DE8" w:rsidRPr="003746A5" w:rsidRDefault="006F4DE8" w:rsidP="009335CC">
      <w:pPr>
        <w:spacing w:before="100" w:beforeAutospacing="1" w:after="100" w:afterAutospacing="1"/>
        <w:rPr>
          <w:rFonts w:ascii="Aptos Narrow" w:hAnsi="Aptos Narrow"/>
          <w:sz w:val="22"/>
          <w:szCs w:val="22"/>
        </w:rPr>
      </w:pPr>
      <w:r w:rsidRPr="003746A5">
        <w:rPr>
          <w:rFonts w:ascii="Aptos Narrow" w:hAnsi="Aptos Narrow"/>
          <w:sz w:val="22"/>
          <w:szCs w:val="22"/>
        </w:rPr>
        <w:t>Kind regards,</w:t>
      </w:r>
    </w:p>
    <w:p w14:paraId="22486062" w14:textId="77777777" w:rsidR="006F4DE8" w:rsidRPr="003746A5" w:rsidRDefault="006F4DE8" w:rsidP="006F4DE8">
      <w:pPr>
        <w:rPr>
          <w:rFonts w:ascii="Aptos Narrow" w:hAnsi="Aptos Narrow"/>
          <w:sz w:val="22"/>
          <w:szCs w:val="22"/>
        </w:rPr>
      </w:pPr>
    </w:p>
    <w:p w14:paraId="4DA650B7" w14:textId="77777777" w:rsidR="006F4DE8" w:rsidRPr="003746A5" w:rsidRDefault="006F4DE8" w:rsidP="006F4DE8">
      <w:pPr>
        <w:rPr>
          <w:rFonts w:ascii="Aptos Narrow" w:hAnsi="Aptos Narrow"/>
          <w:sz w:val="22"/>
          <w:szCs w:val="22"/>
        </w:rPr>
      </w:pPr>
    </w:p>
    <w:p w14:paraId="00735068" w14:textId="77777777" w:rsidR="006F4DE8" w:rsidRPr="003746A5" w:rsidRDefault="006F4DE8" w:rsidP="006F4DE8">
      <w:pPr>
        <w:rPr>
          <w:rFonts w:ascii="Aptos Narrow" w:hAnsi="Aptos Narrow"/>
          <w:sz w:val="22"/>
          <w:szCs w:val="22"/>
        </w:rPr>
      </w:pPr>
    </w:p>
    <w:p w14:paraId="62E043AD" w14:textId="43DC7410" w:rsidR="006F4DE8" w:rsidRPr="003746A5" w:rsidRDefault="008D061F" w:rsidP="006F4DE8">
      <w:pPr>
        <w:rPr>
          <w:rFonts w:ascii="Aptos Narrow" w:hAnsi="Aptos Narrow"/>
          <w:sz w:val="22"/>
          <w:szCs w:val="22"/>
        </w:rPr>
      </w:pPr>
      <w:r>
        <w:rPr>
          <w:rFonts w:ascii="Aptos Narrow" w:hAnsi="Aptos Narrow"/>
          <w:sz w:val="22"/>
          <w:szCs w:val="22"/>
        </w:rPr>
        <w:t>Parry Serafim</w:t>
      </w:r>
    </w:p>
    <w:p w14:paraId="50912FE5" w14:textId="1780EEC3" w:rsidR="006F4DE8" w:rsidRPr="003746A5" w:rsidRDefault="008D061F" w:rsidP="006F4DE8">
      <w:pPr>
        <w:rPr>
          <w:rFonts w:ascii="Aptos Narrow" w:hAnsi="Aptos Narrow"/>
          <w:sz w:val="22"/>
          <w:szCs w:val="22"/>
        </w:rPr>
      </w:pPr>
      <w:r>
        <w:rPr>
          <w:rFonts w:ascii="Aptos Narrow" w:hAnsi="Aptos Narrow"/>
          <w:sz w:val="22"/>
          <w:szCs w:val="22"/>
        </w:rPr>
        <w:t>Node Leader - Transport</w:t>
      </w:r>
    </w:p>
    <w:p w14:paraId="6CE746A5" w14:textId="6CBDC20E" w:rsidR="006F4DE8" w:rsidRPr="003746A5" w:rsidRDefault="006F4DE8" w:rsidP="006F4DE8">
      <w:pPr>
        <w:rPr>
          <w:rFonts w:ascii="Aptos Narrow" w:hAnsi="Aptos Narrow"/>
          <w:sz w:val="22"/>
          <w:szCs w:val="22"/>
        </w:rPr>
      </w:pPr>
      <w:r w:rsidRPr="003746A5">
        <w:rPr>
          <w:rFonts w:ascii="Aptos Narrow" w:hAnsi="Aptos Narrow"/>
          <w:sz w:val="22"/>
          <w:szCs w:val="22"/>
        </w:rPr>
        <w:t>Powering Australia</w:t>
      </w:r>
    </w:p>
    <w:p w14:paraId="5C620A7F" w14:textId="77777777" w:rsidR="00C16E7E" w:rsidRPr="003746A5" w:rsidRDefault="00C16E7E">
      <w:pPr>
        <w:rPr>
          <w:rFonts w:ascii="Aptos Narrow" w:eastAsia="Times New Roman" w:hAnsi="Aptos Narrow" w:cs="Times New Roman"/>
          <w:b/>
          <w:bCs/>
          <w:kern w:val="0"/>
          <w:sz w:val="20"/>
          <w:szCs w:val="20"/>
          <w14:ligatures w14:val="none"/>
        </w:rPr>
      </w:pPr>
      <w:r w:rsidRPr="003746A5">
        <w:rPr>
          <w:rFonts w:ascii="Aptos Narrow" w:eastAsia="Times New Roman" w:hAnsi="Aptos Narrow" w:cs="Times New Roman"/>
          <w:b/>
          <w:bCs/>
          <w:kern w:val="0"/>
          <w:sz w:val="20"/>
          <w:szCs w:val="20"/>
          <w14:ligatures w14:val="none"/>
        </w:rPr>
        <w:br w:type="page"/>
      </w:r>
    </w:p>
    <w:p w14:paraId="4CA9D81D" w14:textId="3B3793C9" w:rsidR="002C41DF" w:rsidRPr="003746A5" w:rsidRDefault="005B568C" w:rsidP="005B568C">
      <w:pPr>
        <w:pStyle w:val="Heading1"/>
      </w:pPr>
      <w:r>
        <w:lastRenderedPageBreak/>
        <w:t xml:space="preserve">Introduction </w:t>
      </w:r>
    </w:p>
    <w:p w14:paraId="0C053B50" w14:textId="77777777" w:rsidR="001F6744" w:rsidRPr="007850C8" w:rsidRDefault="001F6744" w:rsidP="001F6744">
      <w:pPr>
        <w:spacing w:after="160" w:line="278" w:lineRule="auto"/>
        <w:rPr>
          <w:rFonts w:ascii="Aptos Narrow" w:hAnsi="Aptos Narrow"/>
          <w:sz w:val="22"/>
          <w:szCs w:val="22"/>
        </w:rPr>
      </w:pPr>
      <w:r w:rsidRPr="007850C8">
        <w:rPr>
          <w:rFonts w:ascii="Aptos Narrow" w:hAnsi="Aptos Narrow"/>
          <w:sz w:val="22"/>
          <w:szCs w:val="22"/>
        </w:rPr>
        <w:t xml:space="preserve">The transition to low and zero emissions heavy vehicles over 18 tonnes GVM remains limited, and current uptake has </w:t>
      </w:r>
      <w:r w:rsidRPr="00ED6CF3">
        <w:rPr>
          <w:rFonts w:ascii="Aptos Narrow" w:hAnsi="Aptos Narrow"/>
          <w:sz w:val="22"/>
          <w:szCs w:val="22"/>
        </w:rPr>
        <w:t>typically</w:t>
      </w:r>
      <w:r w:rsidRPr="007850C8">
        <w:rPr>
          <w:rFonts w:ascii="Aptos Narrow" w:hAnsi="Aptos Narrow"/>
          <w:sz w:val="22"/>
          <w:szCs w:val="22"/>
        </w:rPr>
        <w:t xml:space="preserve"> occurred with significant ARENA support directed primarily toward large fleet operators. Across the broader industry, a range of </w:t>
      </w:r>
      <w:r w:rsidRPr="00ED6CF3">
        <w:rPr>
          <w:rFonts w:ascii="Aptos Narrow" w:hAnsi="Aptos Narrow"/>
          <w:sz w:val="22"/>
          <w:szCs w:val="22"/>
        </w:rPr>
        <w:t xml:space="preserve">policy, regulatory, </w:t>
      </w:r>
      <w:r w:rsidRPr="007850C8">
        <w:rPr>
          <w:rFonts w:ascii="Aptos Narrow" w:hAnsi="Aptos Narrow"/>
          <w:sz w:val="22"/>
          <w:szCs w:val="22"/>
        </w:rPr>
        <w:t>operational and infrastructure constraints continue to inhibit adoption and reduce freight productivity</w:t>
      </w:r>
      <w:r w:rsidRPr="00ED6CF3">
        <w:rPr>
          <w:rFonts w:ascii="Aptos Narrow" w:hAnsi="Aptos Narrow"/>
          <w:sz w:val="22"/>
          <w:szCs w:val="22"/>
        </w:rPr>
        <w:t xml:space="preserve"> for low and zero emissions heavy vehicles</w:t>
      </w:r>
      <w:r w:rsidRPr="007850C8">
        <w:rPr>
          <w:rFonts w:ascii="Aptos Narrow" w:hAnsi="Aptos Narrow"/>
          <w:sz w:val="22"/>
          <w:szCs w:val="22"/>
        </w:rPr>
        <w:t>.</w:t>
      </w:r>
    </w:p>
    <w:p w14:paraId="3FC1290E" w14:textId="3BCB21DE" w:rsidR="001F6744" w:rsidRPr="00ED6CF3" w:rsidRDefault="001F6744" w:rsidP="00654627">
      <w:pPr>
        <w:spacing w:after="160" w:line="278" w:lineRule="auto"/>
        <w:rPr>
          <w:rFonts w:ascii="Aptos Narrow" w:hAnsi="Aptos Narrow"/>
          <w:sz w:val="22"/>
          <w:szCs w:val="22"/>
        </w:rPr>
      </w:pPr>
      <w:r w:rsidRPr="00ED6CF3">
        <w:rPr>
          <w:rFonts w:ascii="Aptos Narrow" w:hAnsi="Aptos Narrow"/>
          <w:sz w:val="22"/>
          <w:szCs w:val="22"/>
        </w:rPr>
        <w:t xml:space="preserve">Powering Australia </w:t>
      </w:r>
      <w:r w:rsidR="0055600F">
        <w:rPr>
          <w:rFonts w:ascii="Aptos Narrow" w:hAnsi="Aptos Narrow"/>
          <w:sz w:val="22"/>
          <w:szCs w:val="22"/>
        </w:rPr>
        <w:t>recommends</w:t>
      </w:r>
      <w:r w:rsidRPr="00ED6CF3">
        <w:rPr>
          <w:rFonts w:ascii="Aptos Narrow" w:hAnsi="Aptos Narrow"/>
          <w:sz w:val="22"/>
          <w:szCs w:val="22"/>
        </w:rPr>
        <w:t xml:space="preserve"> low and zero emissions vehicles </w:t>
      </w:r>
      <w:r w:rsidR="0055600F">
        <w:rPr>
          <w:rFonts w:ascii="Aptos Narrow" w:hAnsi="Aptos Narrow"/>
          <w:sz w:val="22"/>
          <w:szCs w:val="22"/>
        </w:rPr>
        <w:t>are</w:t>
      </w:r>
      <w:r w:rsidRPr="00ED6CF3">
        <w:rPr>
          <w:rFonts w:ascii="Aptos Narrow" w:hAnsi="Aptos Narrow"/>
          <w:sz w:val="22"/>
          <w:szCs w:val="22"/>
        </w:rPr>
        <w:t xml:space="preserve"> included in the Productivity Commission’s consideration. The transition to zero emissions by 2050 in the road freight transport sector will require the uptake of several different technologies. Developing tailored decarbonisation options suited to specific sector duty cycles will allow time for specific technologies to evolve to the point where broader application occurs. Federal government policy regarding electrification, hydrogen and low carbon liquid fuels, acknowledges this requirement. </w:t>
      </w:r>
    </w:p>
    <w:p w14:paraId="7050D261" w14:textId="2430130E" w:rsidR="001F6744" w:rsidRPr="007850C8" w:rsidRDefault="001F6744" w:rsidP="001F6744">
      <w:pPr>
        <w:spacing w:after="160" w:line="278" w:lineRule="auto"/>
        <w:rPr>
          <w:rFonts w:ascii="Aptos Narrow" w:hAnsi="Aptos Narrow"/>
          <w:sz w:val="22"/>
          <w:szCs w:val="22"/>
        </w:rPr>
      </w:pPr>
      <w:r w:rsidRPr="007850C8">
        <w:rPr>
          <w:rFonts w:ascii="Aptos Narrow" w:hAnsi="Aptos Narrow"/>
          <w:sz w:val="22"/>
          <w:szCs w:val="22"/>
        </w:rPr>
        <w:t>Low and zero emissions vehicles are heavier and typically offer shorter range than diesel vehicles. This results in payload and operational penalties that affect commercial viability. Heavier vehicle configurations also create challenges in axle mass distribution</w:t>
      </w:r>
      <w:r w:rsidRPr="00ED6CF3">
        <w:rPr>
          <w:rFonts w:ascii="Aptos Narrow" w:hAnsi="Aptos Narrow"/>
          <w:sz w:val="22"/>
          <w:szCs w:val="22"/>
        </w:rPr>
        <w:t xml:space="preserve"> which may result in increased wear on road pavements and bridges</w:t>
      </w:r>
      <w:r w:rsidRPr="007850C8">
        <w:rPr>
          <w:rFonts w:ascii="Aptos Narrow" w:hAnsi="Aptos Narrow"/>
          <w:sz w:val="22"/>
          <w:szCs w:val="22"/>
        </w:rPr>
        <w:t xml:space="preserve">, further limiting the ability of operators to gain consistent access across the road network. Without </w:t>
      </w:r>
      <w:r w:rsidR="00BA22CB">
        <w:rPr>
          <w:rFonts w:ascii="Aptos Narrow" w:hAnsi="Aptos Narrow"/>
          <w:sz w:val="22"/>
          <w:szCs w:val="22"/>
        </w:rPr>
        <w:t>reform</w:t>
      </w:r>
      <w:r w:rsidRPr="007850C8">
        <w:rPr>
          <w:rFonts w:ascii="Aptos Narrow" w:hAnsi="Aptos Narrow"/>
          <w:sz w:val="22"/>
          <w:szCs w:val="22"/>
        </w:rPr>
        <w:t>, uptake will remain constrained and fragmented.</w:t>
      </w:r>
    </w:p>
    <w:p w14:paraId="67A3BA56" w14:textId="77777777" w:rsidR="001F6744" w:rsidRPr="007850C8" w:rsidRDefault="001F6744" w:rsidP="001F6744">
      <w:pPr>
        <w:spacing w:after="160" w:line="278" w:lineRule="auto"/>
        <w:rPr>
          <w:rFonts w:ascii="Aptos Narrow" w:hAnsi="Aptos Narrow"/>
          <w:b/>
          <w:bCs/>
          <w:sz w:val="22"/>
          <w:szCs w:val="22"/>
        </w:rPr>
      </w:pPr>
      <w:r w:rsidRPr="007850C8">
        <w:rPr>
          <w:rFonts w:ascii="Aptos Narrow" w:hAnsi="Aptos Narrow"/>
          <w:b/>
          <w:bCs/>
          <w:sz w:val="22"/>
          <w:szCs w:val="22"/>
        </w:rPr>
        <w:t>Short Term Incentives to Improve Productivity and Support Early Adoption</w:t>
      </w:r>
    </w:p>
    <w:p w14:paraId="0F30730D" w14:textId="77777777" w:rsidR="001F6744" w:rsidRPr="007850C8" w:rsidRDefault="001F6744" w:rsidP="001F6744">
      <w:pPr>
        <w:spacing w:after="160" w:line="278" w:lineRule="auto"/>
        <w:rPr>
          <w:rFonts w:ascii="Aptos Narrow" w:hAnsi="Aptos Narrow"/>
          <w:sz w:val="22"/>
          <w:szCs w:val="22"/>
        </w:rPr>
      </w:pPr>
      <w:r w:rsidRPr="007850C8">
        <w:rPr>
          <w:rFonts w:ascii="Aptos Narrow" w:hAnsi="Aptos Narrow"/>
          <w:sz w:val="22"/>
          <w:szCs w:val="22"/>
        </w:rPr>
        <w:t>To lift productivity and support earlier adoption</w:t>
      </w:r>
      <w:r w:rsidRPr="00ED6CF3">
        <w:rPr>
          <w:rFonts w:ascii="Aptos Narrow" w:hAnsi="Aptos Narrow"/>
          <w:sz w:val="22"/>
          <w:szCs w:val="22"/>
        </w:rPr>
        <w:t xml:space="preserve"> of zero emissions trucks across all operational requirements</w:t>
      </w:r>
      <w:r w:rsidRPr="007850C8">
        <w:rPr>
          <w:rFonts w:ascii="Aptos Narrow" w:hAnsi="Aptos Narrow"/>
          <w:sz w:val="22"/>
          <w:szCs w:val="22"/>
        </w:rPr>
        <w:t>, a suite of short</w:t>
      </w:r>
      <w:r w:rsidRPr="00ED6CF3">
        <w:rPr>
          <w:rFonts w:ascii="Aptos Narrow" w:hAnsi="Aptos Narrow"/>
          <w:sz w:val="22"/>
          <w:szCs w:val="22"/>
        </w:rPr>
        <w:t>-term</w:t>
      </w:r>
      <w:r w:rsidRPr="007850C8">
        <w:rPr>
          <w:rFonts w:ascii="Aptos Narrow" w:hAnsi="Aptos Narrow"/>
          <w:sz w:val="22"/>
          <w:szCs w:val="22"/>
        </w:rPr>
        <w:t xml:space="preserve"> measures is required. Establishing a national integrated network for low and zero emissions trucks</w:t>
      </w:r>
      <w:r w:rsidRPr="00ED6CF3">
        <w:rPr>
          <w:rFonts w:ascii="Aptos Narrow" w:hAnsi="Aptos Narrow"/>
          <w:sz w:val="22"/>
          <w:szCs w:val="22"/>
        </w:rPr>
        <w:t xml:space="preserve"> with consistent vehicle mass limits</w:t>
      </w:r>
      <w:r w:rsidRPr="007850C8">
        <w:rPr>
          <w:rFonts w:ascii="Aptos Narrow" w:hAnsi="Aptos Narrow"/>
          <w:sz w:val="22"/>
          <w:szCs w:val="22"/>
        </w:rPr>
        <w:t xml:space="preserve">, built around the principal freight network and key freight corridors and precincts, is essential. </w:t>
      </w:r>
      <w:r w:rsidRPr="00ED6CF3">
        <w:rPr>
          <w:rFonts w:ascii="Aptos Narrow" w:hAnsi="Aptos Narrow"/>
          <w:sz w:val="22"/>
          <w:szCs w:val="22"/>
        </w:rPr>
        <w:t>A</w:t>
      </w:r>
      <w:r w:rsidRPr="007850C8">
        <w:rPr>
          <w:rFonts w:ascii="Aptos Narrow" w:hAnsi="Aptos Narrow"/>
          <w:sz w:val="22"/>
          <w:szCs w:val="22"/>
        </w:rPr>
        <w:t xml:space="preserve">ccess </w:t>
      </w:r>
      <w:r w:rsidRPr="00ED6CF3">
        <w:rPr>
          <w:rFonts w:ascii="Aptos Narrow" w:hAnsi="Aptos Narrow"/>
          <w:sz w:val="22"/>
          <w:szCs w:val="22"/>
        </w:rPr>
        <w:t xml:space="preserve">should be </w:t>
      </w:r>
      <w:r w:rsidRPr="007850C8">
        <w:rPr>
          <w:rFonts w:ascii="Aptos Narrow" w:hAnsi="Aptos Narrow"/>
          <w:sz w:val="22"/>
          <w:szCs w:val="22"/>
        </w:rPr>
        <w:t>provided as of right under the permit system except where there are clearly defined and extreme infrastructure risks</w:t>
      </w:r>
      <w:r w:rsidRPr="00ED6CF3">
        <w:rPr>
          <w:rFonts w:ascii="Aptos Narrow" w:hAnsi="Aptos Narrow"/>
          <w:sz w:val="22"/>
          <w:szCs w:val="22"/>
        </w:rPr>
        <w:t>. In parallel, r</w:t>
      </w:r>
      <w:r w:rsidRPr="007850C8">
        <w:rPr>
          <w:rFonts w:ascii="Aptos Narrow" w:hAnsi="Aptos Narrow"/>
          <w:sz w:val="22"/>
          <w:szCs w:val="22"/>
        </w:rPr>
        <w:t xml:space="preserve">oad managers and the Australian Government should jointly agree on the infrastructure improvements </w:t>
      </w:r>
      <w:r w:rsidRPr="00ED6CF3">
        <w:rPr>
          <w:rFonts w:ascii="Aptos Narrow" w:hAnsi="Aptos Narrow"/>
          <w:sz w:val="22"/>
          <w:szCs w:val="22"/>
        </w:rPr>
        <w:t xml:space="preserve">and a funding program </w:t>
      </w:r>
      <w:r w:rsidRPr="007850C8">
        <w:rPr>
          <w:rFonts w:ascii="Aptos Narrow" w:hAnsi="Aptos Narrow"/>
          <w:sz w:val="22"/>
          <w:szCs w:val="22"/>
        </w:rPr>
        <w:t xml:space="preserve">required to bring </w:t>
      </w:r>
      <w:r w:rsidRPr="00ED6CF3">
        <w:rPr>
          <w:rFonts w:ascii="Aptos Narrow" w:hAnsi="Aptos Narrow"/>
          <w:sz w:val="22"/>
          <w:szCs w:val="22"/>
        </w:rPr>
        <w:t xml:space="preserve">the overall </w:t>
      </w:r>
      <w:r w:rsidRPr="007850C8">
        <w:rPr>
          <w:rFonts w:ascii="Aptos Narrow" w:hAnsi="Aptos Narrow"/>
          <w:sz w:val="22"/>
          <w:szCs w:val="22"/>
        </w:rPr>
        <w:t>network up to standard.</w:t>
      </w:r>
    </w:p>
    <w:p w14:paraId="50BA6C39" w14:textId="77777777" w:rsidR="001F6744" w:rsidRPr="007850C8" w:rsidRDefault="001F6744" w:rsidP="001F6744">
      <w:pPr>
        <w:spacing w:after="160" w:line="278" w:lineRule="auto"/>
        <w:rPr>
          <w:rFonts w:ascii="Aptos Narrow" w:hAnsi="Aptos Narrow"/>
          <w:sz w:val="22"/>
          <w:szCs w:val="22"/>
        </w:rPr>
      </w:pPr>
      <w:r w:rsidRPr="007850C8">
        <w:rPr>
          <w:rFonts w:ascii="Aptos Narrow" w:hAnsi="Aptos Narrow"/>
          <w:sz w:val="22"/>
          <w:szCs w:val="22"/>
        </w:rPr>
        <w:t xml:space="preserve">All low and zero emissions vehicles seeking access to increased mass limits should be required to have on board mass monitoring. This data should feed into a national data sharing platform that captures mandated operational data and provides location based information to road managers to inform network access, maintenance planning and upgrade decisions. The platform should also provide aggregated data by vehicle class and duty cycle to industry and transport agencies to support decisions on </w:t>
      </w:r>
      <w:r w:rsidRPr="00ED6CF3">
        <w:rPr>
          <w:rFonts w:ascii="Aptos Narrow" w:hAnsi="Aptos Narrow"/>
          <w:sz w:val="22"/>
          <w:szCs w:val="22"/>
        </w:rPr>
        <w:t xml:space="preserve">road-user </w:t>
      </w:r>
      <w:r w:rsidRPr="007850C8">
        <w:rPr>
          <w:rFonts w:ascii="Aptos Narrow" w:hAnsi="Aptos Narrow"/>
          <w:sz w:val="22"/>
          <w:szCs w:val="22"/>
        </w:rPr>
        <w:t>charges, access, permits and appropriate vehicle configurations.</w:t>
      </w:r>
    </w:p>
    <w:p w14:paraId="1AD6B0E2" w14:textId="77777777" w:rsidR="001F6744" w:rsidRPr="007850C8" w:rsidRDefault="001F6744" w:rsidP="001F6744">
      <w:pPr>
        <w:spacing w:after="160" w:line="278" w:lineRule="auto"/>
        <w:rPr>
          <w:rFonts w:ascii="Aptos Narrow" w:hAnsi="Aptos Narrow"/>
          <w:sz w:val="22"/>
          <w:szCs w:val="22"/>
        </w:rPr>
      </w:pPr>
      <w:r w:rsidRPr="007850C8">
        <w:rPr>
          <w:rFonts w:ascii="Aptos Narrow" w:hAnsi="Aptos Narrow"/>
          <w:sz w:val="22"/>
          <w:szCs w:val="22"/>
        </w:rPr>
        <w:t>An online permit approval system should be established for ADR compliant</w:t>
      </w:r>
      <w:r w:rsidRPr="00ED6CF3">
        <w:rPr>
          <w:rFonts w:ascii="Aptos Narrow" w:hAnsi="Aptos Narrow"/>
          <w:sz w:val="22"/>
          <w:szCs w:val="22"/>
        </w:rPr>
        <w:t>,</w:t>
      </w:r>
      <w:r w:rsidRPr="007850C8">
        <w:rPr>
          <w:rFonts w:ascii="Aptos Narrow" w:hAnsi="Aptos Narrow"/>
          <w:sz w:val="22"/>
          <w:szCs w:val="22"/>
        </w:rPr>
        <w:t xml:space="preserve"> low and zero emissions vehicles. Axle mass limits should be made consistent nationally to reduce complexity for fleet buyers and operators that travel across jurisdictional borders.</w:t>
      </w:r>
    </w:p>
    <w:p w14:paraId="394C9057" w14:textId="77777777" w:rsidR="001F6744" w:rsidRPr="007850C8" w:rsidRDefault="001F6744" w:rsidP="001F6744">
      <w:pPr>
        <w:spacing w:after="160" w:line="278" w:lineRule="auto"/>
        <w:rPr>
          <w:rFonts w:ascii="Aptos Narrow" w:hAnsi="Aptos Narrow"/>
          <w:sz w:val="22"/>
          <w:szCs w:val="22"/>
        </w:rPr>
      </w:pPr>
      <w:r w:rsidRPr="007850C8">
        <w:rPr>
          <w:rFonts w:ascii="Aptos Narrow" w:hAnsi="Aptos Narrow"/>
          <w:sz w:val="22"/>
          <w:szCs w:val="22"/>
        </w:rPr>
        <w:t>A capital incentive is also required to address the cost premium associated with low and zero emissions trucks</w:t>
      </w:r>
      <w:r w:rsidRPr="00ED6CF3">
        <w:rPr>
          <w:rFonts w:ascii="Aptos Narrow" w:hAnsi="Aptos Narrow"/>
          <w:sz w:val="22"/>
          <w:szCs w:val="22"/>
        </w:rPr>
        <w:t>,</w:t>
      </w:r>
      <w:r w:rsidRPr="007850C8">
        <w:rPr>
          <w:rFonts w:ascii="Aptos Narrow" w:hAnsi="Aptos Narrow"/>
          <w:sz w:val="22"/>
          <w:szCs w:val="22"/>
        </w:rPr>
        <w:t xml:space="preserve"> or retrofitting existing</w:t>
      </w:r>
      <w:r w:rsidRPr="00ED6CF3">
        <w:rPr>
          <w:rFonts w:ascii="Aptos Narrow" w:hAnsi="Aptos Narrow"/>
          <w:sz w:val="22"/>
          <w:szCs w:val="22"/>
        </w:rPr>
        <w:t>, ICE</w:t>
      </w:r>
      <w:r w:rsidRPr="007850C8">
        <w:rPr>
          <w:rFonts w:ascii="Aptos Narrow" w:hAnsi="Aptos Narrow"/>
          <w:sz w:val="22"/>
          <w:szCs w:val="22"/>
        </w:rPr>
        <w:t xml:space="preserve"> vehicles. A capital incentive linked to the vehicle class fuel rebate scheme will enable all levels of fleet owners to access the incentive and immediately rewards operators for purchasing low and zero emissions trucks. Operators would receive the fuel rebate value associated with the relevant vehicle class, </w:t>
      </w:r>
      <w:r w:rsidRPr="007850C8">
        <w:rPr>
          <w:rFonts w:ascii="Aptos Narrow" w:hAnsi="Aptos Narrow"/>
          <w:sz w:val="22"/>
          <w:szCs w:val="22"/>
        </w:rPr>
        <w:lastRenderedPageBreak/>
        <w:t>aggregated over a defined period</w:t>
      </w:r>
      <w:r w:rsidRPr="00ED6CF3">
        <w:rPr>
          <w:rFonts w:ascii="Aptos Narrow" w:hAnsi="Aptos Narrow"/>
          <w:sz w:val="22"/>
          <w:szCs w:val="22"/>
        </w:rPr>
        <w:t>,</w:t>
      </w:r>
      <w:r w:rsidRPr="007850C8">
        <w:rPr>
          <w:rFonts w:ascii="Aptos Narrow" w:hAnsi="Aptos Narrow"/>
          <w:sz w:val="22"/>
          <w:szCs w:val="22"/>
        </w:rPr>
        <w:t xml:space="preserve"> such as ten years, and provided upfront to support the purchase of a low or zero emissions vehicle. For example, if a 22.5 tonne GVM vehicle </w:t>
      </w:r>
      <w:r w:rsidRPr="00ED6CF3">
        <w:rPr>
          <w:rFonts w:ascii="Aptos Narrow" w:hAnsi="Aptos Narrow"/>
          <w:sz w:val="22"/>
          <w:szCs w:val="22"/>
        </w:rPr>
        <w:t>receives</w:t>
      </w:r>
      <w:r w:rsidRPr="007850C8">
        <w:rPr>
          <w:rFonts w:ascii="Aptos Narrow" w:hAnsi="Aptos Narrow"/>
          <w:sz w:val="22"/>
          <w:szCs w:val="22"/>
        </w:rPr>
        <w:t xml:space="preserve"> approximately </w:t>
      </w:r>
      <w:r w:rsidRPr="00ED6CF3">
        <w:rPr>
          <w:rFonts w:ascii="Aptos Narrow" w:hAnsi="Aptos Narrow"/>
          <w:sz w:val="22"/>
          <w:szCs w:val="22"/>
        </w:rPr>
        <w:t>$4,000</w:t>
      </w:r>
      <w:r w:rsidRPr="007850C8">
        <w:rPr>
          <w:rFonts w:ascii="Aptos Narrow" w:hAnsi="Aptos Narrow"/>
          <w:sz w:val="22"/>
          <w:szCs w:val="22"/>
        </w:rPr>
        <w:t xml:space="preserve"> per year in fuel rebates, this could translate to a </w:t>
      </w:r>
      <w:r w:rsidRPr="00ED6CF3">
        <w:rPr>
          <w:rFonts w:ascii="Aptos Narrow" w:hAnsi="Aptos Narrow"/>
          <w:sz w:val="22"/>
          <w:szCs w:val="22"/>
        </w:rPr>
        <w:t>$40,000</w:t>
      </w:r>
      <w:r w:rsidRPr="007850C8">
        <w:rPr>
          <w:rFonts w:ascii="Aptos Narrow" w:hAnsi="Aptos Narrow"/>
          <w:sz w:val="22"/>
          <w:szCs w:val="22"/>
        </w:rPr>
        <w:t xml:space="preserve"> incentive per vehicle.</w:t>
      </w:r>
    </w:p>
    <w:p w14:paraId="494A22F6" w14:textId="77777777" w:rsidR="001F6744" w:rsidRPr="007850C8" w:rsidRDefault="001F6744" w:rsidP="001F6744">
      <w:pPr>
        <w:spacing w:after="160" w:line="278" w:lineRule="auto"/>
        <w:rPr>
          <w:rFonts w:ascii="Aptos Narrow" w:hAnsi="Aptos Narrow"/>
          <w:b/>
          <w:bCs/>
          <w:sz w:val="22"/>
          <w:szCs w:val="22"/>
        </w:rPr>
      </w:pPr>
      <w:r w:rsidRPr="007850C8">
        <w:rPr>
          <w:rFonts w:ascii="Aptos Narrow" w:hAnsi="Aptos Narrow"/>
          <w:b/>
          <w:bCs/>
          <w:sz w:val="22"/>
          <w:szCs w:val="22"/>
        </w:rPr>
        <w:t>Long Term Incentives to Drive Innovation and Improve Network Productivity</w:t>
      </w:r>
    </w:p>
    <w:p w14:paraId="3C2C0A8A" w14:textId="77777777" w:rsidR="001F6744" w:rsidRPr="007850C8" w:rsidRDefault="001F6744" w:rsidP="001F6744">
      <w:pPr>
        <w:spacing w:after="160" w:line="278" w:lineRule="auto"/>
        <w:rPr>
          <w:rFonts w:ascii="Aptos Narrow" w:hAnsi="Aptos Narrow"/>
          <w:sz w:val="22"/>
          <w:szCs w:val="22"/>
        </w:rPr>
      </w:pPr>
      <w:r w:rsidRPr="007850C8">
        <w:rPr>
          <w:rFonts w:ascii="Aptos Narrow" w:hAnsi="Aptos Narrow"/>
          <w:sz w:val="22"/>
          <w:szCs w:val="22"/>
        </w:rPr>
        <w:t>Longer term, the road user charge should be redesigned to incentivise innovation that improves productivity and reduces pavement wear. A reformed charge should be linked to vehicle class, on board mass monitoring, overall payload and axle mass performance. This would enable price signals that reward lower tare weights, reduced pavement impact and more efficient vehicle designs.</w:t>
      </w:r>
    </w:p>
    <w:p w14:paraId="009D1B71" w14:textId="77777777" w:rsidR="001F6744" w:rsidRPr="00ED6CF3" w:rsidRDefault="001F6744" w:rsidP="009C0C1D">
      <w:pPr>
        <w:spacing w:after="160" w:line="278" w:lineRule="auto"/>
        <w:rPr>
          <w:rFonts w:ascii="Aptos Narrow" w:hAnsi="Aptos Narrow"/>
          <w:sz w:val="22"/>
          <w:szCs w:val="22"/>
        </w:rPr>
      </w:pPr>
      <w:r w:rsidRPr="007850C8">
        <w:rPr>
          <w:rFonts w:ascii="Aptos Narrow" w:hAnsi="Aptos Narrow"/>
          <w:sz w:val="22"/>
          <w:szCs w:val="22"/>
        </w:rPr>
        <w:t xml:space="preserve">Operators of volume constrained trucks should be able to select either a flat rate </w:t>
      </w:r>
      <w:r w:rsidRPr="00ED6CF3">
        <w:rPr>
          <w:rFonts w:ascii="Aptos Narrow" w:hAnsi="Aptos Narrow"/>
          <w:sz w:val="22"/>
          <w:szCs w:val="22"/>
        </w:rPr>
        <w:t xml:space="preserve">road user </w:t>
      </w:r>
      <w:r w:rsidRPr="007850C8">
        <w:rPr>
          <w:rFonts w:ascii="Aptos Narrow" w:hAnsi="Aptos Narrow"/>
          <w:sz w:val="22"/>
          <w:szCs w:val="22"/>
        </w:rPr>
        <w:t xml:space="preserve">charge or a variable pricing option aligned to their duty cycle. The charge should be structured to advantage low and zero emissions vehicles relative to diesel </w:t>
      </w:r>
      <w:r w:rsidRPr="00ED6CF3">
        <w:rPr>
          <w:rFonts w:ascii="Aptos Narrow" w:hAnsi="Aptos Narrow"/>
          <w:sz w:val="22"/>
          <w:szCs w:val="22"/>
        </w:rPr>
        <w:t>vehicles and</w:t>
      </w:r>
      <w:r w:rsidRPr="007850C8">
        <w:rPr>
          <w:rFonts w:ascii="Aptos Narrow" w:hAnsi="Aptos Narrow"/>
          <w:sz w:val="22"/>
          <w:szCs w:val="22"/>
        </w:rPr>
        <w:t xml:space="preserve"> should be used to support early adopters as they transition to newer, more productive and pavement friendly models over time.</w:t>
      </w:r>
    </w:p>
    <w:p w14:paraId="671296D8" w14:textId="77777777" w:rsidR="00ED6CF3" w:rsidRPr="00ED6CF3" w:rsidRDefault="00ED6CF3" w:rsidP="001F6744">
      <w:pPr>
        <w:rPr>
          <w:rFonts w:ascii="Aptos Narrow" w:hAnsi="Aptos Narrow"/>
          <w:b/>
          <w:bCs/>
          <w:sz w:val="22"/>
          <w:szCs w:val="22"/>
        </w:rPr>
      </w:pPr>
    </w:p>
    <w:p w14:paraId="26326038" w14:textId="77777777" w:rsidR="001F6744" w:rsidRPr="00ED6CF3" w:rsidRDefault="001F6744" w:rsidP="002F7444">
      <w:pPr>
        <w:spacing w:after="120"/>
        <w:rPr>
          <w:rFonts w:ascii="Aptos Narrow" w:hAnsi="Aptos Narrow"/>
          <w:b/>
          <w:bCs/>
          <w:sz w:val="22"/>
          <w:szCs w:val="22"/>
        </w:rPr>
      </w:pPr>
      <w:r w:rsidRPr="00ED6CF3">
        <w:rPr>
          <w:rFonts w:ascii="Aptos Narrow" w:hAnsi="Aptos Narrow"/>
          <w:b/>
          <w:bCs/>
          <w:sz w:val="22"/>
          <w:szCs w:val="22"/>
        </w:rPr>
        <w:t xml:space="preserve">The following section provides responses specific to the questions put forward by the Productivity Commission in their paper. </w:t>
      </w:r>
    </w:p>
    <w:p w14:paraId="75A21796" w14:textId="77777777" w:rsidR="001F6744" w:rsidRPr="00ED6CF3" w:rsidRDefault="001F6744" w:rsidP="001F6744">
      <w:pPr>
        <w:rPr>
          <w:rFonts w:ascii="Aptos Narrow" w:hAnsi="Aptos Narrow"/>
          <w:b/>
          <w:bCs/>
          <w:sz w:val="22"/>
          <w:szCs w:val="22"/>
        </w:rPr>
      </w:pPr>
      <w:r w:rsidRPr="00ED6CF3">
        <w:rPr>
          <w:rFonts w:ascii="Aptos Narrow" w:hAnsi="Aptos Narrow"/>
          <w:b/>
          <w:bCs/>
          <w:sz w:val="22"/>
          <w:szCs w:val="22"/>
        </w:rPr>
        <w:t xml:space="preserve">Questions </w:t>
      </w:r>
    </w:p>
    <w:p w14:paraId="666FD9A0"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 xml:space="preserve">Which reforms should be assessed under the proposal to increase heavy vehicle road access (e.g., increases in general mass limits under the HVNL)? </w:t>
      </w:r>
    </w:p>
    <w:p w14:paraId="6BFCC895" w14:textId="77777777" w:rsidR="001F6744" w:rsidRPr="00ED6CF3" w:rsidRDefault="001F6744" w:rsidP="00B6233D">
      <w:pPr>
        <w:numPr>
          <w:ilvl w:val="1"/>
          <w:numId w:val="2"/>
        </w:numPr>
        <w:spacing w:after="160" w:line="278" w:lineRule="auto"/>
        <w:rPr>
          <w:rFonts w:ascii="Aptos Narrow" w:hAnsi="Aptos Narrow"/>
          <w:sz w:val="22"/>
          <w:szCs w:val="22"/>
        </w:rPr>
      </w:pPr>
      <w:r w:rsidRPr="00ED6CF3">
        <w:rPr>
          <w:rFonts w:ascii="Aptos Narrow" w:hAnsi="Aptos Narrow"/>
          <w:sz w:val="22"/>
          <w:szCs w:val="22"/>
        </w:rPr>
        <w:t xml:space="preserve">Accelerating the establishment of the National Automated Access System (NAAS) or equivalent with an emphasis on identifying and allocating approved road networks for low and zero emissions heavy vehicles. </w:t>
      </w:r>
    </w:p>
    <w:p w14:paraId="5BA7E6D3" w14:textId="77777777" w:rsidR="001F6744" w:rsidRPr="00ED6CF3" w:rsidRDefault="001F6744" w:rsidP="00B6233D">
      <w:pPr>
        <w:numPr>
          <w:ilvl w:val="1"/>
          <w:numId w:val="2"/>
        </w:numPr>
        <w:spacing w:after="160" w:line="278" w:lineRule="auto"/>
        <w:rPr>
          <w:rFonts w:ascii="Aptos Narrow" w:hAnsi="Aptos Narrow"/>
          <w:sz w:val="22"/>
          <w:szCs w:val="22"/>
        </w:rPr>
      </w:pPr>
      <w:r w:rsidRPr="00ED6CF3">
        <w:rPr>
          <w:rFonts w:ascii="Aptos Narrow" w:hAnsi="Aptos Narrow"/>
          <w:sz w:val="22"/>
          <w:szCs w:val="22"/>
        </w:rPr>
        <w:t xml:space="preserve">Where road managers have approved a particular low and zero emissions heavy vehicle configuration to operate on a road corridor, that corridor should be included in the NAAS. </w:t>
      </w:r>
    </w:p>
    <w:p w14:paraId="534F1FAB" w14:textId="51854743" w:rsidR="001F6744" w:rsidRPr="00ED6CF3" w:rsidRDefault="001F6744" w:rsidP="00B6233D">
      <w:pPr>
        <w:numPr>
          <w:ilvl w:val="1"/>
          <w:numId w:val="2"/>
        </w:numPr>
        <w:spacing w:after="160" w:line="278" w:lineRule="auto"/>
        <w:rPr>
          <w:rFonts w:ascii="Aptos Narrow" w:hAnsi="Aptos Narrow"/>
          <w:sz w:val="22"/>
          <w:szCs w:val="22"/>
        </w:rPr>
      </w:pPr>
      <w:r w:rsidRPr="00ED6CF3">
        <w:rPr>
          <w:rFonts w:ascii="Aptos Narrow" w:hAnsi="Aptos Narrow"/>
          <w:sz w:val="22"/>
          <w:szCs w:val="22"/>
        </w:rPr>
        <w:t xml:space="preserve">Reviewing </w:t>
      </w:r>
      <w:r w:rsidR="00AB77B0">
        <w:rPr>
          <w:rFonts w:ascii="Aptos Narrow" w:hAnsi="Aptos Narrow"/>
          <w:sz w:val="22"/>
          <w:szCs w:val="22"/>
        </w:rPr>
        <w:t>n</w:t>
      </w:r>
      <w:r w:rsidRPr="00ED6CF3">
        <w:rPr>
          <w:rFonts w:ascii="Aptos Narrow" w:hAnsi="Aptos Narrow"/>
          <w:sz w:val="22"/>
          <w:szCs w:val="22"/>
        </w:rPr>
        <w:t>oise related curfews for low and zero emissions heavy vehicles.</w:t>
      </w:r>
    </w:p>
    <w:p w14:paraId="1D7EB5FF" w14:textId="77777777" w:rsidR="001F6744" w:rsidRPr="00ED6CF3" w:rsidRDefault="001F6744" w:rsidP="00B6233D">
      <w:pPr>
        <w:numPr>
          <w:ilvl w:val="1"/>
          <w:numId w:val="2"/>
        </w:numPr>
        <w:spacing w:after="160" w:line="278" w:lineRule="auto"/>
        <w:rPr>
          <w:rFonts w:ascii="Aptos Narrow" w:hAnsi="Aptos Narrow"/>
          <w:sz w:val="22"/>
          <w:szCs w:val="22"/>
        </w:rPr>
      </w:pPr>
      <w:r w:rsidRPr="00ED6CF3">
        <w:rPr>
          <w:rFonts w:ascii="Aptos Narrow" w:hAnsi="Aptos Narrow"/>
          <w:sz w:val="22"/>
          <w:szCs w:val="22"/>
        </w:rPr>
        <w:t xml:space="preserve">Assessing the capacity of the road network along key freight corridors to carry low and zero emissions heavy vehicles and developing a targeted infrastructure upgrade program to maximise productivity and economic benefit. </w:t>
      </w:r>
    </w:p>
    <w:p w14:paraId="2118A712" w14:textId="77D5384A" w:rsidR="001F6744" w:rsidRPr="00ED6CF3" w:rsidRDefault="001F6744" w:rsidP="00B6233D">
      <w:pPr>
        <w:numPr>
          <w:ilvl w:val="1"/>
          <w:numId w:val="2"/>
        </w:numPr>
        <w:spacing w:after="160" w:line="278" w:lineRule="auto"/>
        <w:rPr>
          <w:rFonts w:ascii="Aptos Narrow" w:hAnsi="Aptos Narrow"/>
          <w:sz w:val="22"/>
          <w:szCs w:val="22"/>
        </w:rPr>
      </w:pPr>
      <w:r w:rsidRPr="00ED6CF3">
        <w:rPr>
          <w:rFonts w:ascii="Aptos Narrow" w:hAnsi="Aptos Narrow"/>
          <w:sz w:val="22"/>
          <w:szCs w:val="22"/>
        </w:rPr>
        <w:t xml:space="preserve">Increasing General Mass Limits (GML) under the Heavy Vehicle National Law (HVNL) should be a longer term option for consideration. We are seeing the first wave of low and zero emissions heavy vehicle technology. The next wave of low and zero emissions heavy vehicle technologies are already claiming reduced road pavement impact and improved axle mass limits. Future battery technologies and the development of powered trailers will further redefine the pavement impact of low and zero emissions heavy vehicle. Having a flexible and adaptive interim regulatory and access system is paramount to support the rapid evolution of low and zero emissions heavy vehicle technology and to develop a solution that is suited to our road network. Any permit based increases to the GML should be reviewed </w:t>
      </w:r>
      <w:r w:rsidRPr="00ED6CF3">
        <w:rPr>
          <w:rFonts w:ascii="Aptos Narrow" w:hAnsi="Aptos Narrow"/>
          <w:sz w:val="22"/>
          <w:szCs w:val="22"/>
        </w:rPr>
        <w:lastRenderedPageBreak/>
        <w:t xml:space="preserve">following technological </w:t>
      </w:r>
      <w:r w:rsidR="005C0EB2" w:rsidRPr="00ED6CF3">
        <w:rPr>
          <w:rFonts w:ascii="Aptos Narrow" w:hAnsi="Aptos Narrow"/>
          <w:sz w:val="22"/>
          <w:szCs w:val="22"/>
        </w:rPr>
        <w:t>improvements and</w:t>
      </w:r>
      <w:r w:rsidRPr="00ED6CF3">
        <w:rPr>
          <w:rFonts w:ascii="Aptos Narrow" w:hAnsi="Aptos Narrow"/>
          <w:sz w:val="22"/>
          <w:szCs w:val="22"/>
        </w:rPr>
        <w:t xml:space="preserve"> realigned closer to current levels pending the advancement of battery technology.</w:t>
      </w:r>
    </w:p>
    <w:p w14:paraId="49CE1031"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 xml:space="preserve">What is the additional cost of road wear and infrastructure maintenance consequent to increased access? </w:t>
      </w:r>
    </w:p>
    <w:p w14:paraId="014FF98D" w14:textId="77777777" w:rsidR="001F6744" w:rsidRPr="00ED6CF3" w:rsidRDefault="001F6744" w:rsidP="00692C7C">
      <w:pPr>
        <w:spacing w:after="160" w:line="278" w:lineRule="auto"/>
        <w:ind w:left="360"/>
        <w:rPr>
          <w:rFonts w:ascii="Aptos Narrow" w:hAnsi="Aptos Narrow"/>
          <w:sz w:val="22"/>
          <w:szCs w:val="22"/>
        </w:rPr>
      </w:pPr>
      <w:r w:rsidRPr="00ED6CF3">
        <w:rPr>
          <w:rFonts w:ascii="Aptos Narrow" w:hAnsi="Aptos Narrow"/>
          <w:sz w:val="22"/>
          <w:szCs w:val="22"/>
        </w:rPr>
        <w:t xml:space="preserve">Austroads is currently leading several research projects to help inform the discussion on the relationship between the operation of low and zero emissions heavy vehicles and the impact on road pavement, maintenance, and access. </w:t>
      </w:r>
    </w:p>
    <w:p w14:paraId="74255037" w14:textId="53FE88EB" w:rsidR="001F6744" w:rsidRPr="00ED6CF3" w:rsidRDefault="002B40D3" w:rsidP="00B6233D">
      <w:pPr>
        <w:numPr>
          <w:ilvl w:val="0"/>
          <w:numId w:val="10"/>
        </w:numPr>
        <w:spacing w:after="160" w:line="278" w:lineRule="auto"/>
        <w:rPr>
          <w:rFonts w:ascii="Aptos Narrow" w:hAnsi="Aptos Narrow"/>
          <w:sz w:val="22"/>
          <w:szCs w:val="22"/>
        </w:rPr>
      </w:pPr>
      <w:hyperlink r:id="rId11" w:anchor=":~:text=Assist%20and%20inform%20planning%20by,vehicle%20or%20vehicle%20operation%20characteristics" w:history="1">
        <w:r>
          <w:rPr>
            <w:rStyle w:val="Hyperlink"/>
            <w:rFonts w:ascii="Aptos Narrow" w:hAnsi="Aptos Narrow"/>
            <w:sz w:val="22"/>
            <w:szCs w:val="22"/>
          </w:rPr>
          <w:t>Zero Emission Heavy Vehicles and Road Pavements: Comparing Australia and New Zealand to Europe and North America</w:t>
        </w:r>
      </w:hyperlink>
      <w:r w:rsidR="001F6744" w:rsidRPr="00ED6CF3">
        <w:rPr>
          <w:rFonts w:ascii="Aptos Narrow" w:hAnsi="Aptos Narrow"/>
          <w:sz w:val="22"/>
          <w:szCs w:val="22"/>
        </w:rPr>
        <w:t>.</w:t>
      </w:r>
    </w:p>
    <w:p w14:paraId="56833E73" w14:textId="4B3478B0" w:rsidR="001F6744" w:rsidRPr="00ED6CF3" w:rsidRDefault="00F30C32" w:rsidP="00B6233D">
      <w:pPr>
        <w:numPr>
          <w:ilvl w:val="0"/>
          <w:numId w:val="10"/>
        </w:numPr>
        <w:spacing w:after="160" w:line="278" w:lineRule="auto"/>
        <w:rPr>
          <w:rFonts w:ascii="Aptos Narrow" w:hAnsi="Aptos Narrow"/>
          <w:sz w:val="22"/>
          <w:szCs w:val="22"/>
        </w:rPr>
      </w:pPr>
      <w:hyperlink r:id="rId12" w:anchor=":~:text=A%20new%20Austroads%20report%20explores,more%20vehicles%20on%20the%20road" w:history="1">
        <w:r>
          <w:rPr>
            <w:rStyle w:val="Hyperlink"/>
            <w:rFonts w:ascii="Aptos Narrow" w:hAnsi="Aptos Narrow"/>
            <w:sz w:val="22"/>
            <w:szCs w:val="22"/>
          </w:rPr>
          <w:t>Decarbonising Road Freight: Balancing Infrastructure, Environment, and Economy</w:t>
        </w:r>
      </w:hyperlink>
      <w:r w:rsidR="001F6744" w:rsidRPr="00ED6CF3">
        <w:rPr>
          <w:rFonts w:ascii="Aptos Narrow" w:hAnsi="Aptos Narrow"/>
          <w:sz w:val="22"/>
          <w:szCs w:val="22"/>
        </w:rPr>
        <w:t xml:space="preserve">. </w:t>
      </w:r>
    </w:p>
    <w:p w14:paraId="03FF9986"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 xml:space="preserve">What are the intersections with other infrastructure barriers necessary to take up the reformed regulation? </w:t>
      </w:r>
    </w:p>
    <w:p w14:paraId="7FB151B0" w14:textId="246D2EBF" w:rsidR="001F6744" w:rsidRPr="00ED6CF3" w:rsidRDefault="001F6744" w:rsidP="00ED3979">
      <w:pPr>
        <w:spacing w:after="160" w:line="278" w:lineRule="auto"/>
        <w:ind w:left="360"/>
        <w:rPr>
          <w:rFonts w:ascii="Aptos Narrow" w:hAnsi="Aptos Narrow"/>
          <w:sz w:val="22"/>
          <w:szCs w:val="22"/>
        </w:rPr>
      </w:pPr>
      <w:r w:rsidRPr="00ED6CF3">
        <w:rPr>
          <w:rFonts w:ascii="Aptos Narrow" w:hAnsi="Aptos Narrow"/>
          <w:sz w:val="22"/>
          <w:szCs w:val="22"/>
        </w:rPr>
        <w:t>The transition to low and zero emissions heavy vehicle and off-road transport intersects with several critical infrastructure barriers that will determine whether reformed regulation can be effectively implemented. These sectors account for a significant portion of Australia’s annual 56 billion litres of liquid fuel use</w:t>
      </w:r>
      <w:r w:rsidR="00D76577">
        <w:rPr>
          <w:rFonts w:ascii="Aptos Narrow" w:hAnsi="Aptos Narrow"/>
          <w:sz w:val="22"/>
          <w:szCs w:val="22"/>
        </w:rPr>
        <w:t>. S</w:t>
      </w:r>
      <w:r w:rsidRPr="00ED6CF3">
        <w:rPr>
          <w:rFonts w:ascii="Aptos Narrow" w:hAnsi="Aptos Narrow"/>
          <w:sz w:val="22"/>
          <w:szCs w:val="22"/>
        </w:rPr>
        <w:t>hifting to Battery Electric and Low Carbon Liquid Fuel pathways will require major decisions about electricity generation and grid capacity, depot</w:t>
      </w:r>
      <w:r w:rsidR="00CB52B5">
        <w:rPr>
          <w:rFonts w:ascii="Aptos Narrow" w:hAnsi="Aptos Narrow"/>
          <w:sz w:val="22"/>
          <w:szCs w:val="22"/>
        </w:rPr>
        <w:t xml:space="preserve"> </w:t>
      </w:r>
      <w:r w:rsidRPr="00ED6CF3">
        <w:rPr>
          <w:rFonts w:ascii="Aptos Narrow" w:hAnsi="Aptos Narrow"/>
          <w:sz w:val="22"/>
          <w:szCs w:val="22"/>
        </w:rPr>
        <w:t>level charging, and new domestic fuel production and distribution systems. With AEMO projecting that electricity consumption will almost double to over 310 TWh by 2050, driven by 100 TWh from transport electrification, Australia needs a clear, evidence</w:t>
      </w:r>
      <w:r w:rsidR="00E57368">
        <w:rPr>
          <w:rFonts w:ascii="Aptos Narrow" w:hAnsi="Aptos Narrow"/>
          <w:sz w:val="22"/>
          <w:szCs w:val="22"/>
        </w:rPr>
        <w:t xml:space="preserve"> </w:t>
      </w:r>
      <w:r w:rsidRPr="00ED6CF3">
        <w:rPr>
          <w:rFonts w:ascii="Aptos Narrow" w:hAnsi="Aptos Narrow"/>
          <w:sz w:val="22"/>
          <w:szCs w:val="22"/>
        </w:rPr>
        <w:t>based framework to guide when, where and how to invest.</w:t>
      </w:r>
    </w:p>
    <w:p w14:paraId="5097CCFD" w14:textId="77777777" w:rsidR="001F6744" w:rsidRDefault="001F6744" w:rsidP="00ED3979">
      <w:pPr>
        <w:spacing w:after="160" w:line="278" w:lineRule="auto"/>
        <w:ind w:left="360"/>
        <w:rPr>
          <w:rFonts w:ascii="Aptos Narrow" w:hAnsi="Aptos Narrow"/>
          <w:sz w:val="22"/>
          <w:szCs w:val="22"/>
        </w:rPr>
      </w:pPr>
      <w:r w:rsidRPr="00ED6CF3">
        <w:rPr>
          <w:rFonts w:ascii="Aptos Narrow" w:hAnsi="Aptos Narrow"/>
          <w:sz w:val="22"/>
          <w:szCs w:val="22"/>
        </w:rPr>
        <w:t>Without coordinated planning tools and defined investment pathways, regulatory changes will outpace the infrastructure needed to make them viable. Reformed regulation must therefore be supported by analysis that identifies priority upgrades, clarifies the most effective technology mixes, and ensures productivity, asset integrity and fuel security are maintained throughout the transition. A national study using decision support tools and scenario modelling would map these intersections, highlight system bottlenecks, and ensure regulation is backed by timely, fit for purpose infrastructure planning.</w:t>
      </w:r>
    </w:p>
    <w:p w14:paraId="14CA3E3B"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How should governments apportion any increased road infrastructure costs between levels of government?</w:t>
      </w:r>
    </w:p>
    <w:p w14:paraId="2DC226CA" w14:textId="77777777" w:rsidR="001F6744" w:rsidRPr="00ED6CF3" w:rsidRDefault="001F6744" w:rsidP="001F6744">
      <w:pPr>
        <w:ind w:left="360"/>
        <w:rPr>
          <w:rFonts w:ascii="Aptos Narrow" w:hAnsi="Aptos Narrow"/>
          <w:sz w:val="22"/>
          <w:szCs w:val="22"/>
        </w:rPr>
      </w:pPr>
      <w:r w:rsidRPr="00ED6CF3">
        <w:rPr>
          <w:rFonts w:ascii="Aptos Narrow" w:hAnsi="Aptos Narrow"/>
          <w:sz w:val="22"/>
          <w:szCs w:val="22"/>
        </w:rPr>
        <w:t>NIL</w:t>
      </w:r>
    </w:p>
    <w:p w14:paraId="422BF0B5" w14:textId="77777777" w:rsidR="006503DB" w:rsidRPr="00ED6CF3" w:rsidRDefault="006503DB" w:rsidP="001F6744">
      <w:pPr>
        <w:ind w:left="360"/>
        <w:rPr>
          <w:rFonts w:ascii="Aptos Narrow" w:hAnsi="Aptos Narrow"/>
          <w:sz w:val="22"/>
          <w:szCs w:val="22"/>
        </w:rPr>
      </w:pPr>
    </w:p>
    <w:p w14:paraId="0C56E68F"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 xml:space="preserve">How can imported vehicles comply with both international and domestic standards to allow vehicles (including heavy zero-emissions vehicles) to be imported without being re-purposed? </w:t>
      </w:r>
    </w:p>
    <w:p w14:paraId="7CD7A0E3" w14:textId="77777777" w:rsidR="001F6744" w:rsidRDefault="001F6744" w:rsidP="00761E53">
      <w:pPr>
        <w:spacing w:after="160" w:line="278" w:lineRule="auto"/>
        <w:ind w:left="360"/>
        <w:rPr>
          <w:rFonts w:ascii="Aptos Narrow" w:hAnsi="Aptos Narrow"/>
          <w:sz w:val="22"/>
          <w:szCs w:val="22"/>
        </w:rPr>
      </w:pPr>
      <w:r w:rsidRPr="00ED6CF3">
        <w:rPr>
          <w:rFonts w:ascii="Aptos Narrow" w:hAnsi="Aptos Narrow"/>
          <w:sz w:val="22"/>
          <w:szCs w:val="22"/>
        </w:rPr>
        <w:t xml:space="preserve">The Australian Design Rules (ADRs) typically manage vehicle approvals entering the Australian market. ADRs are mostly aligned with the United Nations Economic Commission for Europe (UNECE) heavy vehicle technical standards. OEM vehicles that comply with UNECE standards typically comply with ADRs and can be imported and operated on Australian roads as of right (subject to mass limits). Where OEM vehicles deviate from UNECE regulations, they need to demonstrate compliance to specific ADRs prior to those vehicles gaining approval to </w:t>
      </w:r>
      <w:r w:rsidRPr="00ED6CF3">
        <w:rPr>
          <w:rFonts w:ascii="Aptos Narrow" w:hAnsi="Aptos Narrow"/>
          <w:sz w:val="22"/>
          <w:szCs w:val="22"/>
        </w:rPr>
        <w:lastRenderedPageBreak/>
        <w:t xml:space="preserve">operate on the Australian road network as of right. In lieu of an ADR approval, jurisdictions have the ability, and have done so, to approve under permit the operation of heavy low and zero emissions vehicles on their road network subject to permit conditions. </w:t>
      </w:r>
    </w:p>
    <w:p w14:paraId="7744135B"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 xml:space="preserve">What data is available on road use, the structure of the road network, and different heavy vehicle users (and user industries)? </w:t>
      </w:r>
    </w:p>
    <w:p w14:paraId="09A783AC" w14:textId="77777777" w:rsidR="001F6744" w:rsidRPr="00ED6CF3" w:rsidRDefault="001F6744" w:rsidP="007D7770">
      <w:pPr>
        <w:spacing w:after="160" w:line="278" w:lineRule="auto"/>
        <w:ind w:left="360"/>
        <w:rPr>
          <w:rFonts w:ascii="Aptos Narrow" w:hAnsi="Aptos Narrow"/>
          <w:sz w:val="22"/>
          <w:szCs w:val="22"/>
        </w:rPr>
      </w:pPr>
      <w:r w:rsidRPr="00ED6CF3">
        <w:rPr>
          <w:rFonts w:ascii="Aptos Narrow" w:hAnsi="Aptos Narrow"/>
          <w:sz w:val="22"/>
          <w:szCs w:val="22"/>
        </w:rPr>
        <w:t xml:space="preserve">Austroads, the National Heavy Vehicle Regulator, Roads Australia, Private Road Owners, the National Transport Commission, and the National Freight Data Hub (Department of Infrastructure, Transport, Regional Development, Communication, Sport and the Arts) are holders of relevant road and heavy vehicle user data. </w:t>
      </w:r>
    </w:p>
    <w:p w14:paraId="7A730977"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 xml:space="preserve">What are the future coordination and alignment issues between the states and territories for a National Automated Access System (NAAS)? </w:t>
      </w:r>
    </w:p>
    <w:p w14:paraId="2A3F0BF9" w14:textId="77777777" w:rsidR="001F6744" w:rsidRPr="00ED6CF3" w:rsidRDefault="001F6744" w:rsidP="007D7770">
      <w:pPr>
        <w:spacing w:after="160" w:line="278" w:lineRule="auto"/>
        <w:ind w:left="360"/>
        <w:rPr>
          <w:rFonts w:ascii="Aptos Narrow" w:hAnsi="Aptos Narrow"/>
          <w:sz w:val="22"/>
          <w:szCs w:val="22"/>
        </w:rPr>
      </w:pPr>
      <w:r w:rsidRPr="00ED6CF3">
        <w:rPr>
          <w:rFonts w:ascii="Aptos Narrow" w:hAnsi="Aptos Narrow"/>
          <w:sz w:val="22"/>
          <w:szCs w:val="22"/>
        </w:rPr>
        <w:t>Jurisdictional alignment for a NAAS would face similar issues experienced with the current vehicle access approval systems:</w:t>
      </w:r>
    </w:p>
    <w:p w14:paraId="4FBB1F1B" w14:textId="77777777" w:rsidR="001F6744" w:rsidRPr="00ED6CF3" w:rsidRDefault="001F6744" w:rsidP="00B6233D">
      <w:pPr>
        <w:pStyle w:val="ListParagraph"/>
        <w:numPr>
          <w:ilvl w:val="0"/>
          <w:numId w:val="3"/>
        </w:numPr>
        <w:spacing w:after="160" w:line="278" w:lineRule="auto"/>
        <w:rPr>
          <w:rFonts w:ascii="Aptos Narrow" w:hAnsi="Aptos Narrow"/>
          <w:sz w:val="22"/>
          <w:szCs w:val="22"/>
        </w:rPr>
      </w:pPr>
      <w:r w:rsidRPr="00ED6CF3">
        <w:rPr>
          <w:rFonts w:ascii="Aptos Narrow" w:hAnsi="Aptos Narrow"/>
          <w:sz w:val="22"/>
          <w:szCs w:val="22"/>
        </w:rPr>
        <w:t>Vehicles approved in one jurisdiction at a particular set of axle mass limits may not be approved at those levels by another jurisdiction.</w:t>
      </w:r>
    </w:p>
    <w:p w14:paraId="58A52BDE" w14:textId="77777777" w:rsidR="001F6744" w:rsidRPr="00ED6CF3" w:rsidRDefault="001F6744" w:rsidP="00B6233D">
      <w:pPr>
        <w:pStyle w:val="ListParagraph"/>
        <w:numPr>
          <w:ilvl w:val="0"/>
          <w:numId w:val="3"/>
        </w:numPr>
        <w:spacing w:after="160" w:line="278" w:lineRule="auto"/>
        <w:rPr>
          <w:rFonts w:ascii="Aptos Narrow" w:hAnsi="Aptos Narrow"/>
          <w:sz w:val="22"/>
          <w:szCs w:val="22"/>
        </w:rPr>
      </w:pPr>
      <w:r w:rsidRPr="00ED6CF3">
        <w:rPr>
          <w:rFonts w:ascii="Aptos Narrow" w:hAnsi="Aptos Narrow"/>
          <w:sz w:val="22"/>
          <w:szCs w:val="22"/>
        </w:rPr>
        <w:t>Road network access conditions may be different.</w:t>
      </w:r>
    </w:p>
    <w:p w14:paraId="5390D46A" w14:textId="77777777" w:rsidR="001F6744" w:rsidRPr="00ED6CF3" w:rsidRDefault="001F6744" w:rsidP="00B6233D">
      <w:pPr>
        <w:pStyle w:val="ListParagraph"/>
        <w:numPr>
          <w:ilvl w:val="0"/>
          <w:numId w:val="3"/>
        </w:numPr>
        <w:spacing w:after="160" w:line="278" w:lineRule="auto"/>
        <w:rPr>
          <w:rFonts w:ascii="Aptos Narrow" w:hAnsi="Aptos Narrow"/>
          <w:sz w:val="22"/>
          <w:szCs w:val="22"/>
        </w:rPr>
      </w:pPr>
      <w:r w:rsidRPr="00ED6CF3">
        <w:rPr>
          <w:rFonts w:ascii="Aptos Narrow" w:hAnsi="Aptos Narrow"/>
          <w:sz w:val="22"/>
          <w:szCs w:val="22"/>
        </w:rPr>
        <w:t>Vehicle permit conditions may be different.</w:t>
      </w:r>
    </w:p>
    <w:p w14:paraId="7631CE81" w14:textId="77777777" w:rsidR="001F6744" w:rsidRPr="00ED6CF3" w:rsidRDefault="001F6744" w:rsidP="00B6233D">
      <w:pPr>
        <w:pStyle w:val="ListParagraph"/>
        <w:numPr>
          <w:ilvl w:val="0"/>
          <w:numId w:val="3"/>
        </w:numPr>
        <w:spacing w:after="160" w:line="278" w:lineRule="auto"/>
        <w:rPr>
          <w:rFonts w:ascii="Aptos Narrow" w:hAnsi="Aptos Narrow"/>
          <w:sz w:val="22"/>
          <w:szCs w:val="22"/>
        </w:rPr>
      </w:pPr>
      <w:r w:rsidRPr="00ED6CF3">
        <w:rPr>
          <w:rFonts w:ascii="Aptos Narrow" w:hAnsi="Aptos Narrow"/>
          <w:sz w:val="22"/>
          <w:szCs w:val="22"/>
        </w:rPr>
        <w:t>Vehicle monitoring equipment may be required on vehicles by different jurisdictions.</w:t>
      </w:r>
    </w:p>
    <w:p w14:paraId="6FCC2F8F" w14:textId="77777777" w:rsidR="001F6744" w:rsidRPr="00ED6CF3" w:rsidRDefault="001F6744" w:rsidP="00B6233D">
      <w:pPr>
        <w:pStyle w:val="ListParagraph"/>
        <w:numPr>
          <w:ilvl w:val="0"/>
          <w:numId w:val="3"/>
        </w:numPr>
        <w:spacing w:after="160" w:line="278" w:lineRule="auto"/>
        <w:rPr>
          <w:rFonts w:ascii="Aptos Narrow" w:hAnsi="Aptos Narrow"/>
          <w:sz w:val="22"/>
          <w:szCs w:val="22"/>
        </w:rPr>
      </w:pPr>
      <w:r w:rsidRPr="00ED6CF3">
        <w:rPr>
          <w:rFonts w:ascii="Aptos Narrow" w:hAnsi="Aptos Narrow"/>
          <w:sz w:val="22"/>
          <w:szCs w:val="22"/>
        </w:rPr>
        <w:t xml:space="preserve">Assessment timeframes and costs for unassessed road corridors vary considerably. Local government is typically under resourced in this area and typically takes the longest to respond to access requests. </w:t>
      </w:r>
    </w:p>
    <w:p w14:paraId="0749752B"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How best to determine which roads might be eligible for automatic access (initially and ongoing)?</w:t>
      </w:r>
    </w:p>
    <w:p w14:paraId="28209B9C" w14:textId="77777777" w:rsidR="001F6744" w:rsidRPr="00ED6CF3" w:rsidRDefault="001F6744" w:rsidP="007D7770">
      <w:pPr>
        <w:spacing w:after="160" w:line="278" w:lineRule="auto"/>
        <w:ind w:left="360"/>
        <w:rPr>
          <w:rFonts w:ascii="Aptos Narrow" w:hAnsi="Aptos Narrow"/>
          <w:sz w:val="22"/>
          <w:szCs w:val="22"/>
        </w:rPr>
      </w:pPr>
      <w:r w:rsidRPr="00ED6CF3">
        <w:rPr>
          <w:rFonts w:ascii="Aptos Narrow" w:hAnsi="Aptos Narrow"/>
          <w:sz w:val="22"/>
          <w:szCs w:val="22"/>
        </w:rPr>
        <w:t xml:space="preserve">For heavy vehicle freight, as a starting point, define the existing principal freight network as the base low and zero emission heavy vehicle approved network. After this, for access requests beyond this network, agree a set of access assessment criteria for all road managers, local, state, territory, and private, supported by an agreed reporting timeframe. Then set an agreed process to review and update NAAS as new applications are received, and corridors assessed. </w:t>
      </w:r>
    </w:p>
    <w:p w14:paraId="05FE70DD"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What are the technical and administrative practicalities of scaling Tasmania’s HVAMS (Heavy Vehicle Access Management System) model to the whole of Australia?</w:t>
      </w:r>
    </w:p>
    <w:p w14:paraId="0D7A3074" w14:textId="1AE779C0" w:rsidR="001F6744" w:rsidRPr="00ED6CF3" w:rsidRDefault="001F6744" w:rsidP="00F362B2">
      <w:pPr>
        <w:spacing w:after="160" w:line="278" w:lineRule="auto"/>
        <w:ind w:left="360"/>
        <w:rPr>
          <w:rFonts w:ascii="Aptos Narrow" w:hAnsi="Aptos Narrow"/>
          <w:sz w:val="22"/>
          <w:szCs w:val="22"/>
        </w:rPr>
      </w:pPr>
      <w:r w:rsidRPr="00ED6CF3">
        <w:rPr>
          <w:rFonts w:ascii="Aptos Narrow" w:hAnsi="Aptos Narrow"/>
          <w:sz w:val="22"/>
          <w:szCs w:val="22"/>
        </w:rPr>
        <w:t xml:space="preserve">The Australian Local Government Association (ALGA) made a detailed submission to the NTC 2023 C-RIS </w:t>
      </w:r>
      <w:r w:rsidRPr="007D7770">
        <w:rPr>
          <w:rFonts w:ascii="Aptos Narrow" w:hAnsi="Aptos Narrow"/>
          <w:sz w:val="22"/>
          <w:szCs w:val="22"/>
        </w:rPr>
        <w:t>Reforms to Heavy Vehicle National Law (HVNL) in which they highlighted the technical, administrative and financial implications of introducing HVAMS or similar system for local governments</w:t>
      </w:r>
      <w:r w:rsidR="00F362B2">
        <w:rPr>
          <w:rFonts w:ascii="Aptos Narrow" w:hAnsi="Aptos Narrow"/>
          <w:sz w:val="22"/>
          <w:szCs w:val="22"/>
        </w:rPr>
        <w:t>:</w:t>
      </w:r>
      <w:r w:rsidRPr="007D7770">
        <w:rPr>
          <w:rFonts w:ascii="Aptos Narrow" w:hAnsi="Aptos Narrow"/>
          <w:sz w:val="22"/>
          <w:szCs w:val="22"/>
        </w:rPr>
        <w:t xml:space="preserve"> </w:t>
      </w:r>
      <w:hyperlink r:id="rId13" w:history="1">
        <w:r w:rsidR="00F362B2" w:rsidRPr="00F362B2">
          <w:rPr>
            <w:rStyle w:val="Hyperlink"/>
            <w:rFonts w:ascii="Aptos Narrow" w:hAnsi="Aptos Narrow"/>
            <w:sz w:val="22"/>
            <w:szCs w:val="22"/>
          </w:rPr>
          <w:t>ALGA-Submission-National-Transport-Commission-Consultation-Regulatory-Impact-Statement.pdf</w:t>
        </w:r>
      </w:hyperlink>
    </w:p>
    <w:p w14:paraId="23A17F40"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What are the costs and benefits of the current access permit system borne by heavy vehicle operators?</w:t>
      </w:r>
    </w:p>
    <w:p w14:paraId="059B7B11" w14:textId="4B2E8939" w:rsidR="001F6744" w:rsidRPr="00ED6CF3" w:rsidRDefault="001F6744" w:rsidP="007D7770">
      <w:pPr>
        <w:spacing w:after="160" w:line="278" w:lineRule="auto"/>
        <w:ind w:left="360"/>
        <w:rPr>
          <w:rFonts w:ascii="Aptos Narrow" w:hAnsi="Aptos Narrow"/>
          <w:sz w:val="22"/>
          <w:szCs w:val="22"/>
        </w:rPr>
      </w:pPr>
      <w:r w:rsidRPr="00ED6CF3">
        <w:rPr>
          <w:rFonts w:ascii="Aptos Narrow" w:hAnsi="Aptos Narrow"/>
          <w:sz w:val="22"/>
          <w:szCs w:val="22"/>
        </w:rPr>
        <w:t xml:space="preserve">There have been several investigations and regulatory impact statements undertaken at state and national levels by government assessing this matter. The NTC and the NHVR, along with state-based road agencies and </w:t>
      </w:r>
      <w:r w:rsidRPr="00ED6CF3">
        <w:rPr>
          <w:rFonts w:ascii="Aptos Narrow" w:hAnsi="Aptos Narrow"/>
          <w:sz w:val="22"/>
          <w:szCs w:val="22"/>
        </w:rPr>
        <w:lastRenderedPageBreak/>
        <w:t>departments would have information that can be furnished to the Productivity Commission to inform this discussion. Below are some submissions available online responding to the consultation process</w:t>
      </w:r>
      <w:r w:rsidR="00CE6EF9">
        <w:rPr>
          <w:rFonts w:ascii="Aptos Narrow" w:hAnsi="Aptos Narrow"/>
          <w:sz w:val="22"/>
          <w:szCs w:val="22"/>
        </w:rPr>
        <w:t>es</w:t>
      </w:r>
      <w:r w:rsidRPr="00ED6CF3">
        <w:rPr>
          <w:rFonts w:ascii="Aptos Narrow" w:hAnsi="Aptos Narrow"/>
          <w:sz w:val="22"/>
          <w:szCs w:val="22"/>
        </w:rPr>
        <w:t xml:space="preserve"> on this matter. </w:t>
      </w:r>
    </w:p>
    <w:p w14:paraId="38CCF339" w14:textId="4D3B04EA" w:rsidR="001F6744" w:rsidRPr="00A77286" w:rsidRDefault="003E52C4" w:rsidP="00B6233D">
      <w:pPr>
        <w:pStyle w:val="ListParagraph"/>
        <w:numPr>
          <w:ilvl w:val="0"/>
          <w:numId w:val="8"/>
        </w:numPr>
        <w:rPr>
          <w:rFonts w:ascii="Aptos Narrow" w:hAnsi="Aptos Narrow"/>
          <w:sz w:val="22"/>
          <w:szCs w:val="22"/>
        </w:rPr>
      </w:pPr>
      <w:hyperlink r:id="rId14" w:anchor=":~:text=Development%20is%20planned%20for%20an,and%20cost%20reduction%20for%20industry" w:history="1">
        <w:r w:rsidRPr="00A77286">
          <w:rPr>
            <w:rStyle w:val="Hyperlink"/>
            <w:rFonts w:ascii="Aptos Narrow" w:hAnsi="Aptos Narrow"/>
            <w:sz w:val="22"/>
            <w:szCs w:val="22"/>
          </w:rPr>
          <w:t xml:space="preserve">Freight Australia </w:t>
        </w:r>
        <w:r w:rsidR="005C0EB2" w:rsidRPr="00A77286">
          <w:rPr>
            <w:rStyle w:val="Hyperlink"/>
            <w:rFonts w:ascii="Aptos Narrow" w:hAnsi="Aptos Narrow"/>
            <w:sz w:val="22"/>
            <w:szCs w:val="22"/>
          </w:rPr>
          <w:t>- Victorian</w:t>
        </w:r>
        <w:r w:rsidRPr="00A77286">
          <w:rPr>
            <w:rStyle w:val="Hyperlink"/>
            <w:rFonts w:ascii="Aptos Narrow" w:hAnsi="Aptos Narrow"/>
            <w:sz w:val="22"/>
            <w:szCs w:val="22"/>
          </w:rPr>
          <w:t xml:space="preserve"> Heavy Vehicle Roadmap</w:t>
        </w:r>
      </w:hyperlink>
    </w:p>
    <w:p w14:paraId="299BA674" w14:textId="6048AF36" w:rsidR="001F6744" w:rsidRPr="00257A43" w:rsidRDefault="00A77286" w:rsidP="00B6233D">
      <w:pPr>
        <w:pStyle w:val="ListParagraph"/>
        <w:numPr>
          <w:ilvl w:val="0"/>
          <w:numId w:val="8"/>
        </w:numPr>
        <w:rPr>
          <w:rFonts w:ascii="Aptos Narrow" w:hAnsi="Aptos Narrow"/>
          <w:sz w:val="22"/>
          <w:szCs w:val="22"/>
        </w:rPr>
      </w:pPr>
      <w:hyperlink r:id="rId15" w:history="1">
        <w:r w:rsidRPr="00257A43">
          <w:rPr>
            <w:rStyle w:val="Hyperlink"/>
            <w:rFonts w:ascii="Aptos Narrow" w:hAnsi="Aptos Narrow"/>
            <w:sz w:val="22"/>
            <w:szCs w:val="22"/>
          </w:rPr>
          <w:t>ATA - Economic benefits of improved regulation in the Australian trucking industry</w:t>
        </w:r>
      </w:hyperlink>
      <w:r w:rsidR="001F6744" w:rsidRPr="00257A43">
        <w:rPr>
          <w:rFonts w:ascii="Aptos Narrow" w:hAnsi="Aptos Narrow"/>
          <w:sz w:val="22"/>
          <w:szCs w:val="22"/>
        </w:rPr>
        <w:t xml:space="preserve"> </w:t>
      </w:r>
    </w:p>
    <w:p w14:paraId="534D7453" w14:textId="23A65724" w:rsidR="001F6744" w:rsidRPr="00257A43" w:rsidRDefault="00A140C1" w:rsidP="00B6233D">
      <w:pPr>
        <w:pStyle w:val="ListParagraph"/>
        <w:numPr>
          <w:ilvl w:val="0"/>
          <w:numId w:val="8"/>
        </w:numPr>
        <w:rPr>
          <w:rFonts w:ascii="Aptos Narrow" w:hAnsi="Aptos Narrow"/>
          <w:sz w:val="22"/>
          <w:szCs w:val="22"/>
        </w:rPr>
      </w:pPr>
      <w:hyperlink r:id="rId16" w:history="1">
        <w:proofErr w:type="spellStart"/>
        <w:r w:rsidRPr="00257A43">
          <w:rPr>
            <w:rStyle w:val="Hyperlink"/>
            <w:rFonts w:ascii="Aptos Narrow" w:hAnsi="Aptos Narrow"/>
            <w:sz w:val="22"/>
            <w:szCs w:val="22"/>
          </w:rPr>
          <w:t>NatRoads</w:t>
        </w:r>
        <w:proofErr w:type="spellEnd"/>
        <w:r w:rsidRPr="00257A43">
          <w:rPr>
            <w:rStyle w:val="Hyperlink"/>
            <w:rFonts w:ascii="Aptos Narrow" w:hAnsi="Aptos Narrow"/>
            <w:sz w:val="22"/>
            <w:szCs w:val="22"/>
          </w:rPr>
          <w:t xml:space="preserve"> - Time for bold action: eliminate 90% of heavy vehicle access permits by 2028.</w:t>
        </w:r>
      </w:hyperlink>
      <w:r w:rsidR="001F6744" w:rsidRPr="00257A43">
        <w:rPr>
          <w:rFonts w:ascii="Aptos Narrow" w:hAnsi="Aptos Narrow"/>
          <w:sz w:val="22"/>
          <w:szCs w:val="22"/>
        </w:rPr>
        <w:t xml:space="preserve"> </w:t>
      </w:r>
    </w:p>
    <w:p w14:paraId="5D74793B" w14:textId="5BA44F33" w:rsidR="001F6744" w:rsidRPr="00257A43" w:rsidRDefault="00257A43" w:rsidP="00B6233D">
      <w:pPr>
        <w:pStyle w:val="ListParagraph"/>
        <w:numPr>
          <w:ilvl w:val="0"/>
          <w:numId w:val="8"/>
        </w:numPr>
        <w:spacing w:after="240"/>
        <w:ind w:left="1077" w:hanging="357"/>
        <w:rPr>
          <w:rFonts w:ascii="Aptos Narrow" w:hAnsi="Aptos Narrow"/>
          <w:sz w:val="22"/>
          <w:szCs w:val="22"/>
        </w:rPr>
      </w:pPr>
      <w:hyperlink r:id="rId17" w:history="1">
        <w:r w:rsidRPr="00257A43">
          <w:rPr>
            <w:rStyle w:val="Hyperlink"/>
            <w:rFonts w:ascii="Aptos Narrow" w:hAnsi="Aptos Narrow"/>
            <w:sz w:val="22"/>
            <w:szCs w:val="22"/>
          </w:rPr>
          <w:t>Australian Logistics Council Submission - Heavy Vehicle Productivity Plan 2024-2029</w:t>
        </w:r>
      </w:hyperlink>
      <w:r w:rsidR="001F6744" w:rsidRPr="00257A43">
        <w:rPr>
          <w:rFonts w:ascii="Aptos Narrow" w:hAnsi="Aptos Narrow"/>
          <w:sz w:val="22"/>
          <w:szCs w:val="22"/>
        </w:rPr>
        <w:t xml:space="preserve"> </w:t>
      </w:r>
    </w:p>
    <w:p w14:paraId="585BA78C"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What data is available on road use, the structure of the road network, and different heavy vehicle users (and user industries) for the NAAS proposal?</w:t>
      </w:r>
    </w:p>
    <w:p w14:paraId="4F377AE7" w14:textId="77777777" w:rsidR="001F6744" w:rsidRPr="00ED6CF3" w:rsidRDefault="001F6744" w:rsidP="00257A43">
      <w:pPr>
        <w:spacing w:after="120"/>
        <w:ind w:left="357"/>
        <w:rPr>
          <w:rFonts w:ascii="Aptos Narrow" w:hAnsi="Aptos Narrow"/>
          <w:sz w:val="22"/>
          <w:szCs w:val="22"/>
        </w:rPr>
      </w:pPr>
      <w:r w:rsidRPr="00ED6CF3">
        <w:rPr>
          <w:rFonts w:ascii="Aptos Narrow" w:hAnsi="Aptos Narrow"/>
          <w:sz w:val="22"/>
          <w:szCs w:val="22"/>
        </w:rPr>
        <w:t xml:space="preserve">Refer to response to Question 6. </w:t>
      </w:r>
    </w:p>
    <w:p w14:paraId="1E72CFFA"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 xml:space="preserve">What are the largest hurdles for timely or accelerated implementation of the National Heavy Vehicle Driver Competency Framework reforms? </w:t>
      </w:r>
    </w:p>
    <w:p w14:paraId="35A17E6A" w14:textId="77777777" w:rsidR="001F6744" w:rsidRPr="00ED6CF3" w:rsidRDefault="001F6744" w:rsidP="007D7770">
      <w:pPr>
        <w:spacing w:after="120" w:line="278" w:lineRule="auto"/>
        <w:ind w:left="357"/>
        <w:rPr>
          <w:rFonts w:ascii="Aptos Narrow" w:hAnsi="Aptos Narrow"/>
          <w:sz w:val="22"/>
          <w:szCs w:val="22"/>
        </w:rPr>
      </w:pPr>
      <w:r w:rsidRPr="00ED6CF3">
        <w:rPr>
          <w:rFonts w:ascii="Aptos Narrow" w:hAnsi="Aptos Narrow"/>
          <w:sz w:val="22"/>
          <w:szCs w:val="22"/>
        </w:rPr>
        <w:t xml:space="preserve">The NHVDCF has not been adopted by all jurisdictions; to make it an effective tool to facilitate productivity improvement, it requires national uniformity. Even in jurisdictions that have implemented the framework, there is still variation in its application </w:t>
      </w:r>
      <w:r w:rsidRPr="00ED6CF3">
        <w:rPr>
          <w:rStyle w:val="FootnoteReference"/>
          <w:rFonts w:ascii="Aptos Narrow" w:hAnsi="Aptos Narrow"/>
          <w:sz w:val="22"/>
          <w:szCs w:val="22"/>
        </w:rPr>
        <w:footnoteReference w:id="1"/>
      </w:r>
      <w:r w:rsidRPr="00ED6CF3">
        <w:rPr>
          <w:rFonts w:ascii="Aptos Narrow" w:hAnsi="Aptos Narrow"/>
          <w:sz w:val="22"/>
          <w:szCs w:val="22"/>
        </w:rPr>
        <w:t>.</w:t>
      </w:r>
    </w:p>
    <w:p w14:paraId="0F7B851F" w14:textId="77777777" w:rsidR="001F6744" w:rsidRPr="00ED6CF3" w:rsidRDefault="001F6744" w:rsidP="007D7770">
      <w:pPr>
        <w:spacing w:after="120" w:line="278" w:lineRule="auto"/>
        <w:ind w:left="357"/>
        <w:rPr>
          <w:rFonts w:ascii="Aptos Narrow" w:hAnsi="Aptos Narrow"/>
          <w:sz w:val="22"/>
          <w:szCs w:val="22"/>
        </w:rPr>
      </w:pPr>
      <w:r w:rsidRPr="00ED6CF3">
        <w:rPr>
          <w:rFonts w:ascii="Aptos Narrow" w:hAnsi="Aptos Narrow"/>
          <w:sz w:val="22"/>
          <w:szCs w:val="22"/>
        </w:rPr>
        <w:t>There will be additional cost to industry to implement the proposed NHVDCF reforms due to the increased post-licence supervision requirements. This has the potential to exacerbate existing driver shortages due to the increased costs and approvals</w:t>
      </w:r>
      <w:r w:rsidRPr="00ED6CF3">
        <w:rPr>
          <w:rStyle w:val="FootnoteReference"/>
          <w:rFonts w:ascii="Aptos Narrow" w:hAnsi="Aptos Narrow"/>
          <w:sz w:val="22"/>
          <w:szCs w:val="22"/>
        </w:rPr>
        <w:footnoteReference w:id="2"/>
      </w:r>
      <w:r w:rsidRPr="00ED6CF3">
        <w:rPr>
          <w:rFonts w:ascii="Aptos Narrow" w:hAnsi="Aptos Narrow"/>
          <w:sz w:val="22"/>
          <w:szCs w:val="22"/>
        </w:rPr>
        <w:t xml:space="preserve"> and discourage new drivers entering the industry.</w:t>
      </w:r>
    </w:p>
    <w:p w14:paraId="10AEBD39" w14:textId="77777777" w:rsidR="001F6744" w:rsidRPr="00ED6CF3" w:rsidRDefault="001F6744" w:rsidP="007D7770">
      <w:pPr>
        <w:spacing w:after="120" w:line="278" w:lineRule="auto"/>
        <w:ind w:left="357"/>
        <w:rPr>
          <w:rFonts w:ascii="Aptos Narrow" w:hAnsi="Aptos Narrow"/>
          <w:sz w:val="22"/>
          <w:szCs w:val="22"/>
        </w:rPr>
      </w:pPr>
      <w:r w:rsidRPr="00ED6CF3">
        <w:rPr>
          <w:rFonts w:ascii="Aptos Narrow" w:hAnsi="Aptos Narrow"/>
          <w:sz w:val="22"/>
          <w:szCs w:val="22"/>
        </w:rPr>
        <w:t xml:space="preserve">There is still no agreement across all stakeholder groups on the best way to measure and approve the progression pathway requirements. </w:t>
      </w:r>
    </w:p>
    <w:p w14:paraId="1A9DE7B6" w14:textId="77777777" w:rsidR="001F6744" w:rsidRPr="00ED6CF3" w:rsidRDefault="001F6744" w:rsidP="007D7770">
      <w:pPr>
        <w:spacing w:after="240" w:line="278" w:lineRule="auto"/>
        <w:ind w:left="357"/>
        <w:rPr>
          <w:rFonts w:ascii="Aptos Narrow" w:hAnsi="Aptos Narrow"/>
          <w:sz w:val="22"/>
          <w:szCs w:val="22"/>
        </w:rPr>
      </w:pPr>
      <w:r w:rsidRPr="00ED6CF3">
        <w:rPr>
          <w:rFonts w:ascii="Aptos Narrow" w:hAnsi="Aptos Narrow"/>
          <w:sz w:val="22"/>
          <w:szCs w:val="22"/>
        </w:rPr>
        <w:t>Preparing appropriate materials to support the implementation of the NHVDCF will take time. Industry Skills Australia has recently set up a project to work with government, RTOs and industry to review and update heavy vehicle licensing competency standards within vocational training products</w:t>
      </w:r>
      <w:r w:rsidRPr="00ED6CF3">
        <w:rPr>
          <w:rStyle w:val="FootnoteReference"/>
          <w:rFonts w:ascii="Aptos Narrow" w:hAnsi="Aptos Narrow"/>
          <w:sz w:val="22"/>
          <w:szCs w:val="22"/>
        </w:rPr>
        <w:footnoteReference w:id="3"/>
      </w:r>
      <w:r w:rsidRPr="00ED6CF3">
        <w:rPr>
          <w:rFonts w:ascii="Aptos Narrow" w:hAnsi="Aptos Narrow"/>
          <w:sz w:val="22"/>
          <w:szCs w:val="22"/>
        </w:rPr>
        <w:t>.</w:t>
      </w:r>
    </w:p>
    <w:p w14:paraId="36CEE6D7"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 xml:space="preserve">Which federal, state &amp; territory or private bodies are expected to handle the various stages and aspects of implementation of the driver competency reforms? </w:t>
      </w:r>
    </w:p>
    <w:p w14:paraId="3A7AA903" w14:textId="562C260A" w:rsidR="001F6744" w:rsidRPr="00ED6CF3" w:rsidRDefault="001F6744" w:rsidP="007D7770">
      <w:pPr>
        <w:spacing w:after="240" w:line="278" w:lineRule="auto"/>
        <w:ind w:left="357"/>
        <w:rPr>
          <w:rFonts w:ascii="Aptos Narrow" w:hAnsi="Aptos Narrow"/>
          <w:sz w:val="22"/>
          <w:szCs w:val="22"/>
        </w:rPr>
      </w:pPr>
      <w:r w:rsidRPr="00ED6CF3">
        <w:rPr>
          <w:rFonts w:ascii="Aptos Narrow" w:hAnsi="Aptos Narrow"/>
          <w:sz w:val="22"/>
          <w:szCs w:val="22"/>
        </w:rPr>
        <w:t xml:space="preserve">Austroads is the agency charged with delivering the NHVDCF reforms and managing stakeholder engagement with all key federal, state and industry bodies. </w:t>
      </w:r>
      <w:r w:rsidR="00683DA8">
        <w:rPr>
          <w:rFonts w:ascii="Aptos Narrow" w:hAnsi="Aptos Narrow"/>
          <w:sz w:val="22"/>
          <w:szCs w:val="22"/>
        </w:rPr>
        <w:t>The Austroads website link below provides project information, updates, and links to key material.</w:t>
      </w:r>
    </w:p>
    <w:p w14:paraId="0EB2A8F1" w14:textId="76E014BB" w:rsidR="001F6744" w:rsidRPr="003071DF" w:rsidRDefault="003071DF" w:rsidP="00B6233D">
      <w:pPr>
        <w:pStyle w:val="ListParagraph"/>
        <w:numPr>
          <w:ilvl w:val="0"/>
          <w:numId w:val="9"/>
        </w:numPr>
        <w:spacing w:after="240"/>
        <w:ind w:left="1077" w:hanging="357"/>
        <w:rPr>
          <w:rFonts w:ascii="Aptos Narrow" w:hAnsi="Aptos Narrow"/>
          <w:sz w:val="22"/>
          <w:szCs w:val="22"/>
        </w:rPr>
      </w:pPr>
      <w:hyperlink r:id="rId18" w:anchor=":~:text=The%20National%20Heavy%20Vehicle%20Driver,Reference%20Group%20has%20been%20established" w:history="1">
        <w:r w:rsidRPr="003071DF">
          <w:rPr>
            <w:rStyle w:val="Hyperlink"/>
            <w:rFonts w:ascii="Aptos Narrow" w:hAnsi="Aptos Narrow"/>
            <w:sz w:val="22"/>
            <w:szCs w:val="22"/>
          </w:rPr>
          <w:t>National Heavy Vehicle Driver Competency Framework</w:t>
        </w:r>
      </w:hyperlink>
      <w:r w:rsidR="001F6744" w:rsidRPr="003071DF">
        <w:rPr>
          <w:rFonts w:ascii="Aptos Narrow" w:hAnsi="Aptos Narrow"/>
          <w:sz w:val="22"/>
          <w:szCs w:val="22"/>
        </w:rPr>
        <w:t xml:space="preserve">. </w:t>
      </w:r>
    </w:p>
    <w:p w14:paraId="7707D8A6"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lastRenderedPageBreak/>
        <w:t xml:space="preserve">What timeframes are sensible for accelerated implementation of the driver competency reforms? </w:t>
      </w:r>
    </w:p>
    <w:p w14:paraId="030F53DE" w14:textId="77777777" w:rsidR="001F6744" w:rsidRDefault="001F6744" w:rsidP="007D7770">
      <w:pPr>
        <w:spacing w:after="240" w:line="278" w:lineRule="auto"/>
        <w:ind w:left="357"/>
        <w:rPr>
          <w:rFonts w:ascii="Aptos Narrow" w:hAnsi="Aptos Narrow"/>
          <w:sz w:val="22"/>
          <w:szCs w:val="22"/>
        </w:rPr>
      </w:pPr>
      <w:r w:rsidRPr="00ED6CF3">
        <w:rPr>
          <w:rFonts w:ascii="Aptos Narrow" w:hAnsi="Aptos Narrow"/>
          <w:sz w:val="22"/>
          <w:szCs w:val="22"/>
        </w:rPr>
        <w:t>Austroads are managing the implementation of the NHVDCF. They would be in the best position to provide an accurate response to this question. Refer to link in Q13.</w:t>
      </w:r>
    </w:p>
    <w:p w14:paraId="7E110CFD"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 xml:space="preserve">What data are relevant to quantitative estimates of productivity impacts of the driver competency reforms? </w:t>
      </w:r>
    </w:p>
    <w:p w14:paraId="6F2C3F98" w14:textId="540FDD11" w:rsidR="001F6744" w:rsidRPr="00ED6CF3" w:rsidRDefault="001F6744" w:rsidP="007D7770">
      <w:pPr>
        <w:spacing w:after="240" w:line="278" w:lineRule="auto"/>
        <w:ind w:left="357"/>
        <w:rPr>
          <w:rFonts w:ascii="Aptos Narrow" w:hAnsi="Aptos Narrow"/>
          <w:sz w:val="22"/>
          <w:szCs w:val="22"/>
        </w:rPr>
      </w:pPr>
      <w:r w:rsidRPr="00ED6CF3">
        <w:rPr>
          <w:rFonts w:ascii="Aptos Narrow" w:hAnsi="Aptos Narrow"/>
          <w:sz w:val="22"/>
          <w:szCs w:val="22"/>
        </w:rPr>
        <w:t>Refer to the Consultation Regulatory Impact Statement</w:t>
      </w:r>
      <w:r w:rsidRPr="00ED6CF3">
        <w:rPr>
          <w:rStyle w:val="FootnoteReference"/>
          <w:rFonts w:ascii="Aptos Narrow" w:hAnsi="Aptos Narrow"/>
          <w:sz w:val="22"/>
          <w:szCs w:val="22"/>
        </w:rPr>
        <w:footnoteReference w:id="4"/>
      </w:r>
      <w:r w:rsidRPr="00ED6CF3">
        <w:rPr>
          <w:rFonts w:ascii="Aptos Narrow" w:hAnsi="Aptos Narrow"/>
          <w:sz w:val="22"/>
          <w:szCs w:val="22"/>
        </w:rPr>
        <w:t xml:space="preserve"> and </w:t>
      </w:r>
      <w:r w:rsidR="00961F06" w:rsidRPr="00ED6CF3">
        <w:rPr>
          <w:rFonts w:ascii="Aptos Narrow" w:hAnsi="Aptos Narrow"/>
          <w:sz w:val="22"/>
          <w:szCs w:val="22"/>
        </w:rPr>
        <w:t>Decision Regulatory</w:t>
      </w:r>
      <w:r w:rsidRPr="00ED6CF3">
        <w:rPr>
          <w:rFonts w:ascii="Aptos Narrow" w:hAnsi="Aptos Narrow"/>
          <w:sz w:val="22"/>
          <w:szCs w:val="22"/>
        </w:rPr>
        <w:t xml:space="preserve"> Impact Statement</w:t>
      </w:r>
      <w:r w:rsidRPr="00ED6CF3">
        <w:rPr>
          <w:rStyle w:val="FootnoteReference"/>
          <w:rFonts w:ascii="Aptos Narrow" w:hAnsi="Aptos Narrow"/>
          <w:sz w:val="22"/>
          <w:szCs w:val="22"/>
        </w:rPr>
        <w:footnoteReference w:id="5"/>
      </w:r>
      <w:r w:rsidRPr="00ED6CF3">
        <w:rPr>
          <w:rFonts w:ascii="Aptos Narrow" w:hAnsi="Aptos Narrow"/>
          <w:sz w:val="22"/>
          <w:szCs w:val="22"/>
        </w:rPr>
        <w:t xml:space="preserve"> by Austroads.</w:t>
      </w:r>
    </w:p>
    <w:p w14:paraId="0F909A8A"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 xml:space="preserve">How best to quantify the impact of the driver competency reforms? </w:t>
      </w:r>
    </w:p>
    <w:p w14:paraId="39855E66" w14:textId="77777777" w:rsidR="001F6744" w:rsidRPr="00ED6CF3" w:rsidRDefault="001F6744" w:rsidP="00233092">
      <w:pPr>
        <w:spacing w:after="120"/>
        <w:ind w:left="357"/>
        <w:rPr>
          <w:rFonts w:ascii="Aptos Narrow" w:hAnsi="Aptos Narrow"/>
          <w:sz w:val="22"/>
          <w:szCs w:val="22"/>
        </w:rPr>
      </w:pPr>
      <w:r w:rsidRPr="00ED6CF3">
        <w:rPr>
          <w:rFonts w:ascii="Aptos Narrow" w:hAnsi="Aptos Narrow"/>
          <w:sz w:val="22"/>
          <w:szCs w:val="22"/>
        </w:rPr>
        <w:t>Austroads have been charged with developing an evaluation framework covering:</w:t>
      </w:r>
    </w:p>
    <w:p w14:paraId="4C8346B8" w14:textId="77777777" w:rsidR="001F6744" w:rsidRPr="00ED6CF3" w:rsidRDefault="001F6744" w:rsidP="00B6233D">
      <w:pPr>
        <w:pStyle w:val="ListParagraph"/>
        <w:numPr>
          <w:ilvl w:val="0"/>
          <w:numId w:val="5"/>
        </w:numPr>
        <w:spacing w:after="160" w:line="278" w:lineRule="auto"/>
        <w:rPr>
          <w:rFonts w:ascii="Aptos Narrow" w:hAnsi="Aptos Narrow"/>
          <w:sz w:val="22"/>
          <w:szCs w:val="22"/>
        </w:rPr>
      </w:pPr>
      <w:r w:rsidRPr="00ED6CF3">
        <w:rPr>
          <w:rFonts w:ascii="Aptos Narrow" w:hAnsi="Aptos Narrow"/>
          <w:sz w:val="22"/>
          <w:szCs w:val="22"/>
        </w:rPr>
        <w:t>Process Evaluation – this would evaluate which elements of the reform have been implemented as intended, as well as assess any practical issues that have been encountered in implementation (measured through independent review as well as participant and training provider input)</w:t>
      </w:r>
    </w:p>
    <w:p w14:paraId="633CEE9D" w14:textId="77777777" w:rsidR="001F6744" w:rsidRPr="00ED6CF3" w:rsidRDefault="001F6744" w:rsidP="00B6233D">
      <w:pPr>
        <w:pStyle w:val="ListParagraph"/>
        <w:numPr>
          <w:ilvl w:val="0"/>
          <w:numId w:val="5"/>
        </w:numPr>
        <w:spacing w:after="160" w:line="278" w:lineRule="auto"/>
        <w:rPr>
          <w:rFonts w:ascii="Aptos Narrow" w:hAnsi="Aptos Narrow"/>
          <w:sz w:val="22"/>
          <w:szCs w:val="22"/>
        </w:rPr>
      </w:pPr>
      <w:r w:rsidRPr="00ED6CF3">
        <w:rPr>
          <w:rFonts w:ascii="Aptos Narrow" w:hAnsi="Aptos Narrow"/>
          <w:sz w:val="22"/>
          <w:szCs w:val="22"/>
        </w:rPr>
        <w:t xml:space="preserve">Impact Evaluation – this would assess the change impact of the reform and would cover elements such as: </w:t>
      </w:r>
    </w:p>
    <w:p w14:paraId="339ADAD9" w14:textId="77777777" w:rsidR="001F6744" w:rsidRPr="00ED6CF3" w:rsidRDefault="001F6744" w:rsidP="00B6233D">
      <w:pPr>
        <w:pStyle w:val="ListParagraph"/>
        <w:numPr>
          <w:ilvl w:val="1"/>
          <w:numId w:val="6"/>
        </w:numPr>
        <w:spacing w:after="160" w:line="278" w:lineRule="auto"/>
        <w:rPr>
          <w:rFonts w:ascii="Aptos Narrow" w:hAnsi="Aptos Narrow"/>
          <w:sz w:val="22"/>
          <w:szCs w:val="22"/>
        </w:rPr>
      </w:pPr>
      <w:r w:rsidRPr="00ED6CF3">
        <w:rPr>
          <w:rFonts w:ascii="Aptos Narrow" w:hAnsi="Aptos Narrow"/>
          <w:sz w:val="22"/>
          <w:szCs w:val="22"/>
        </w:rPr>
        <w:t>Improvement in knowledge and attitudes of licence applicants (measured through online participant surveys)</w:t>
      </w:r>
    </w:p>
    <w:p w14:paraId="56CA7A31" w14:textId="77777777" w:rsidR="001F6744" w:rsidRPr="00ED6CF3" w:rsidRDefault="001F6744" w:rsidP="00B6233D">
      <w:pPr>
        <w:pStyle w:val="ListParagraph"/>
        <w:numPr>
          <w:ilvl w:val="1"/>
          <w:numId w:val="6"/>
        </w:numPr>
        <w:spacing w:after="160" w:line="278" w:lineRule="auto"/>
        <w:rPr>
          <w:rFonts w:ascii="Aptos Narrow" w:hAnsi="Aptos Narrow"/>
          <w:sz w:val="22"/>
          <w:szCs w:val="22"/>
        </w:rPr>
      </w:pPr>
      <w:r w:rsidRPr="00ED6CF3">
        <w:rPr>
          <w:rFonts w:ascii="Aptos Narrow" w:hAnsi="Aptos Narrow"/>
          <w:sz w:val="22"/>
          <w:szCs w:val="22"/>
        </w:rPr>
        <w:t xml:space="preserve">Number of drivers taking new progression pathways and impacts on accelerated movement to more productive vehicles (measured through analysis of licensing pathway data) </w:t>
      </w:r>
    </w:p>
    <w:p w14:paraId="30BE8EF5" w14:textId="77777777" w:rsidR="001F6744" w:rsidRPr="00ED6CF3" w:rsidRDefault="001F6744" w:rsidP="00B6233D">
      <w:pPr>
        <w:pStyle w:val="ListParagraph"/>
        <w:numPr>
          <w:ilvl w:val="0"/>
          <w:numId w:val="5"/>
        </w:numPr>
        <w:spacing w:after="160" w:line="278" w:lineRule="auto"/>
        <w:rPr>
          <w:rFonts w:ascii="Aptos Narrow" w:hAnsi="Aptos Narrow"/>
          <w:sz w:val="22"/>
          <w:szCs w:val="22"/>
        </w:rPr>
      </w:pPr>
      <w:r w:rsidRPr="00ED6CF3">
        <w:rPr>
          <w:rFonts w:ascii="Aptos Narrow" w:hAnsi="Aptos Narrow"/>
          <w:sz w:val="22"/>
          <w:szCs w:val="22"/>
        </w:rPr>
        <w:t>Outcomes Evaluation – this would be a longer term evaluation assessing the impact of the reform on safety outcomes measured through crash and infringement rates. This evaluation would be expected to involve engagement of a recognised road safety research entity.</w:t>
      </w:r>
    </w:p>
    <w:p w14:paraId="197F08B9" w14:textId="77777777" w:rsidR="001F6744" w:rsidRPr="00ED6CF3" w:rsidRDefault="001F6744" w:rsidP="00233092">
      <w:pPr>
        <w:spacing w:after="120"/>
        <w:ind w:left="357"/>
        <w:rPr>
          <w:rFonts w:ascii="Aptos Narrow" w:hAnsi="Aptos Narrow"/>
          <w:sz w:val="22"/>
          <w:szCs w:val="22"/>
        </w:rPr>
      </w:pPr>
      <w:r w:rsidRPr="00ED6CF3">
        <w:rPr>
          <w:rFonts w:ascii="Aptos Narrow" w:hAnsi="Aptos Narrow"/>
          <w:sz w:val="22"/>
          <w:szCs w:val="22"/>
        </w:rPr>
        <w:t>The following metrics were articulated in the D-RIS NHVDCF:</w:t>
      </w:r>
    </w:p>
    <w:p w14:paraId="397E7221" w14:textId="77777777" w:rsidR="001F6744" w:rsidRPr="00ED6CF3" w:rsidRDefault="001F6744" w:rsidP="00B6233D">
      <w:pPr>
        <w:pStyle w:val="ListParagraph"/>
        <w:numPr>
          <w:ilvl w:val="0"/>
          <w:numId w:val="4"/>
        </w:numPr>
        <w:spacing w:after="160" w:line="278" w:lineRule="auto"/>
        <w:rPr>
          <w:rFonts w:ascii="Aptos Narrow" w:hAnsi="Aptos Narrow"/>
          <w:sz w:val="22"/>
          <w:szCs w:val="22"/>
        </w:rPr>
      </w:pPr>
      <w:r w:rsidRPr="00ED6CF3">
        <w:rPr>
          <w:rFonts w:ascii="Aptos Narrow" w:hAnsi="Aptos Narrow"/>
          <w:sz w:val="22"/>
          <w:szCs w:val="22"/>
        </w:rPr>
        <w:t>Safety outcomes can be measured by metrics that reflect the incidence of heavy vehicle crashes at different levels of severity. For example, for a given year, the number of heavy vehicle crashes per kilometre travelled occasioning death, or serious injury, or property damage only.</w:t>
      </w:r>
    </w:p>
    <w:p w14:paraId="42ED3C6C" w14:textId="77777777" w:rsidR="001F6744" w:rsidRPr="00ED6CF3" w:rsidRDefault="001F6744" w:rsidP="00B6233D">
      <w:pPr>
        <w:pStyle w:val="ListParagraph"/>
        <w:numPr>
          <w:ilvl w:val="0"/>
          <w:numId w:val="4"/>
        </w:numPr>
        <w:spacing w:after="160" w:line="278" w:lineRule="auto"/>
        <w:rPr>
          <w:rFonts w:ascii="Aptos Narrow" w:hAnsi="Aptos Narrow"/>
          <w:sz w:val="22"/>
          <w:szCs w:val="22"/>
        </w:rPr>
      </w:pPr>
      <w:r w:rsidRPr="00ED6CF3">
        <w:rPr>
          <w:rFonts w:ascii="Aptos Narrow" w:hAnsi="Aptos Narrow"/>
          <w:sz w:val="22"/>
          <w:szCs w:val="22"/>
        </w:rPr>
        <w:t>Supporting driver progression through the licence classes to allow driving of higher productivity vehicles, which carry greater freight, will enable an overall productivity benefit. Availability can be measured by metrics that relate to the number of heavy vehicle drivers at each licence class relative to the fleet, or more specifically to the demand for drivers of particular classes of heavy vehicle.</w:t>
      </w:r>
    </w:p>
    <w:p w14:paraId="2233CC4F"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What are the principal regulatory and administrative barriers to improving the availability of EV truck (heavy zero</w:t>
      </w:r>
      <w:r w:rsidRPr="00ED6CF3">
        <w:rPr>
          <w:rFonts w:ascii="Cambria Math" w:hAnsi="Cambria Math" w:cs="Cambria Math"/>
          <w:sz w:val="22"/>
          <w:szCs w:val="22"/>
        </w:rPr>
        <w:t>‐</w:t>
      </w:r>
      <w:r w:rsidRPr="00ED6CF3">
        <w:rPr>
          <w:rFonts w:ascii="Aptos Narrow" w:hAnsi="Aptos Narrow"/>
          <w:sz w:val="22"/>
          <w:szCs w:val="22"/>
        </w:rPr>
        <w:t xml:space="preserve">emissions vehicle) charging infrastructure? </w:t>
      </w:r>
    </w:p>
    <w:p w14:paraId="3831BAB5" w14:textId="77777777" w:rsidR="001F6744" w:rsidRDefault="001F6744" w:rsidP="00233092">
      <w:pPr>
        <w:spacing w:after="240"/>
        <w:ind w:left="357"/>
        <w:rPr>
          <w:rFonts w:ascii="Aptos Narrow" w:hAnsi="Aptos Narrow"/>
          <w:sz w:val="22"/>
          <w:szCs w:val="22"/>
        </w:rPr>
      </w:pPr>
      <w:r w:rsidRPr="00ED6CF3">
        <w:rPr>
          <w:rFonts w:ascii="Aptos Narrow" w:hAnsi="Aptos Narrow"/>
          <w:sz w:val="22"/>
          <w:szCs w:val="22"/>
        </w:rPr>
        <w:lastRenderedPageBreak/>
        <w:t xml:space="preserve">Refer to Introduction response of this submission and response to Question 1. </w:t>
      </w:r>
    </w:p>
    <w:p w14:paraId="66D47A95"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 xml:space="preserve">How significant are installations and operations regulatory regimes for charging infrastructure that might be constraining availability? </w:t>
      </w:r>
    </w:p>
    <w:p w14:paraId="006F9540" w14:textId="4A87EB0D" w:rsidR="001F6744" w:rsidRPr="00ED6CF3" w:rsidRDefault="001F6744" w:rsidP="007D7770">
      <w:pPr>
        <w:spacing w:after="240" w:line="278" w:lineRule="auto"/>
        <w:ind w:left="357"/>
        <w:rPr>
          <w:rFonts w:ascii="Aptos Narrow" w:hAnsi="Aptos Narrow"/>
          <w:sz w:val="22"/>
          <w:szCs w:val="22"/>
        </w:rPr>
      </w:pPr>
      <w:r w:rsidRPr="00ED6CF3">
        <w:rPr>
          <w:rFonts w:ascii="Aptos Narrow" w:hAnsi="Aptos Narrow"/>
          <w:sz w:val="22"/>
          <w:szCs w:val="22"/>
        </w:rPr>
        <w:t xml:space="preserve">Based on Powering Australia engagement with different stakeholder groups within the heavy vehicle sector, the key issue constraining the availability of charging infrastructure is the lack of “offtake” agreements between </w:t>
      </w:r>
      <w:r w:rsidR="000C6962">
        <w:rPr>
          <w:rFonts w:ascii="Aptos Narrow" w:hAnsi="Aptos Narrow"/>
          <w:sz w:val="22"/>
          <w:szCs w:val="22"/>
        </w:rPr>
        <w:t xml:space="preserve">infrastructure delivery </w:t>
      </w:r>
      <w:r w:rsidRPr="00ED6CF3">
        <w:rPr>
          <w:rFonts w:ascii="Aptos Narrow" w:hAnsi="Aptos Narrow"/>
          <w:sz w:val="22"/>
          <w:szCs w:val="22"/>
        </w:rPr>
        <w:t xml:space="preserve">proponents and industry. ARENA funding programs are shifting from providing grant funding to EV Truck owner operators to facilitating the development of common user charging facilities. This will help reduce some of the initial capital investment requirements, however commercial investors are seeking confirmed offtake agreements with transport operators. The lack of EV Truck uptake </w:t>
      </w:r>
      <w:r w:rsidR="00E71A48">
        <w:rPr>
          <w:rFonts w:ascii="Aptos Narrow" w:hAnsi="Aptos Narrow"/>
          <w:sz w:val="22"/>
          <w:szCs w:val="22"/>
        </w:rPr>
        <w:t xml:space="preserve">at this time </w:t>
      </w:r>
      <w:r w:rsidRPr="00ED6CF3">
        <w:rPr>
          <w:rFonts w:ascii="Aptos Narrow" w:hAnsi="Aptos Narrow"/>
          <w:sz w:val="22"/>
          <w:szCs w:val="22"/>
        </w:rPr>
        <w:t xml:space="preserve">is making this a challenging ask. </w:t>
      </w:r>
    </w:p>
    <w:p w14:paraId="53BD7A09"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 xml:space="preserve">What other practical barriers limit the installation and operation of charging infrastructure for heavy zero-emissions vehicles? </w:t>
      </w:r>
    </w:p>
    <w:p w14:paraId="26FF978B" w14:textId="77777777" w:rsidR="001F6744" w:rsidRPr="00ED6CF3" w:rsidRDefault="001F6744" w:rsidP="00233092">
      <w:pPr>
        <w:spacing w:after="120"/>
        <w:ind w:left="357"/>
        <w:rPr>
          <w:rFonts w:ascii="Aptos Narrow" w:hAnsi="Aptos Narrow"/>
          <w:sz w:val="22"/>
          <w:szCs w:val="22"/>
        </w:rPr>
      </w:pPr>
      <w:r w:rsidRPr="00ED6CF3">
        <w:rPr>
          <w:rFonts w:ascii="Aptos Narrow" w:hAnsi="Aptos Narrow"/>
          <w:sz w:val="22"/>
          <w:szCs w:val="22"/>
        </w:rPr>
        <w:t>Other key practical barriers include:</w:t>
      </w:r>
    </w:p>
    <w:p w14:paraId="3665807F" w14:textId="77777777" w:rsidR="001F6744" w:rsidRPr="00ED6CF3" w:rsidRDefault="001F6744" w:rsidP="00B6233D">
      <w:pPr>
        <w:pStyle w:val="ListParagraph"/>
        <w:numPr>
          <w:ilvl w:val="0"/>
          <w:numId w:val="7"/>
        </w:numPr>
        <w:spacing w:after="160" w:line="278" w:lineRule="auto"/>
        <w:rPr>
          <w:rFonts w:ascii="Aptos Narrow" w:hAnsi="Aptos Narrow"/>
          <w:sz w:val="22"/>
          <w:szCs w:val="22"/>
        </w:rPr>
      </w:pPr>
      <w:r w:rsidRPr="00ED6CF3">
        <w:rPr>
          <w:rFonts w:ascii="Aptos Narrow" w:hAnsi="Aptos Narrow"/>
          <w:sz w:val="22"/>
          <w:szCs w:val="22"/>
        </w:rPr>
        <w:t>Site location (proximity to arterial road network and logistics hubs to reduce dead running).</w:t>
      </w:r>
    </w:p>
    <w:p w14:paraId="6EFF492C" w14:textId="77777777" w:rsidR="001F6744" w:rsidRPr="00ED6CF3" w:rsidRDefault="001F6744" w:rsidP="00B6233D">
      <w:pPr>
        <w:pStyle w:val="ListParagraph"/>
        <w:numPr>
          <w:ilvl w:val="0"/>
          <w:numId w:val="7"/>
        </w:numPr>
        <w:spacing w:after="160" w:line="278" w:lineRule="auto"/>
        <w:rPr>
          <w:rFonts w:ascii="Aptos Narrow" w:hAnsi="Aptos Narrow"/>
          <w:sz w:val="22"/>
          <w:szCs w:val="22"/>
        </w:rPr>
      </w:pPr>
      <w:r w:rsidRPr="00ED6CF3">
        <w:rPr>
          <w:rFonts w:ascii="Aptos Narrow" w:hAnsi="Aptos Narrow"/>
          <w:sz w:val="22"/>
          <w:szCs w:val="22"/>
        </w:rPr>
        <w:t xml:space="preserve">Site dimensions – enable movement of </w:t>
      </w:r>
      <w:proofErr w:type="spellStart"/>
      <w:r w:rsidRPr="00ED6CF3">
        <w:rPr>
          <w:rFonts w:ascii="Aptos Narrow" w:hAnsi="Aptos Narrow"/>
          <w:sz w:val="22"/>
          <w:szCs w:val="22"/>
        </w:rPr>
        <w:t>semi trailer</w:t>
      </w:r>
      <w:proofErr w:type="spellEnd"/>
      <w:r w:rsidRPr="00ED6CF3">
        <w:rPr>
          <w:rFonts w:ascii="Aptos Narrow" w:hAnsi="Aptos Narrow"/>
          <w:sz w:val="22"/>
          <w:szCs w:val="22"/>
        </w:rPr>
        <w:t xml:space="preserve"> vehicles.</w:t>
      </w:r>
    </w:p>
    <w:p w14:paraId="52A7104C" w14:textId="5F1492AD" w:rsidR="001F6744" w:rsidRPr="00ED6CF3" w:rsidRDefault="001F6744" w:rsidP="00B6233D">
      <w:pPr>
        <w:pStyle w:val="ListParagraph"/>
        <w:numPr>
          <w:ilvl w:val="0"/>
          <w:numId w:val="7"/>
        </w:numPr>
        <w:spacing w:after="160" w:line="278" w:lineRule="auto"/>
        <w:rPr>
          <w:rFonts w:ascii="Aptos Narrow" w:hAnsi="Aptos Narrow"/>
          <w:sz w:val="22"/>
          <w:szCs w:val="22"/>
        </w:rPr>
      </w:pPr>
      <w:r w:rsidRPr="00ED6CF3">
        <w:rPr>
          <w:rFonts w:ascii="Aptos Narrow" w:hAnsi="Aptos Narrow"/>
          <w:sz w:val="22"/>
          <w:szCs w:val="22"/>
        </w:rPr>
        <w:t>Requirement of increased number of charging units compared to diesel bow</w:t>
      </w:r>
      <w:r w:rsidR="005C11A3">
        <w:rPr>
          <w:rFonts w:ascii="Aptos Narrow" w:hAnsi="Aptos Narrow"/>
          <w:sz w:val="22"/>
          <w:szCs w:val="22"/>
        </w:rPr>
        <w:t>s</w:t>
      </w:r>
      <w:r w:rsidRPr="00ED6CF3">
        <w:rPr>
          <w:rFonts w:ascii="Aptos Narrow" w:hAnsi="Aptos Narrow"/>
          <w:sz w:val="22"/>
          <w:szCs w:val="22"/>
        </w:rPr>
        <w:t xml:space="preserve">ers due to the longer charging time compared to refuelling. </w:t>
      </w:r>
    </w:p>
    <w:p w14:paraId="6E29226D" w14:textId="77777777" w:rsidR="001F6744" w:rsidRPr="00ED6CF3" w:rsidRDefault="001F6744" w:rsidP="00B6233D">
      <w:pPr>
        <w:pStyle w:val="ListParagraph"/>
        <w:numPr>
          <w:ilvl w:val="0"/>
          <w:numId w:val="7"/>
        </w:numPr>
        <w:spacing w:after="160" w:line="278" w:lineRule="auto"/>
        <w:rPr>
          <w:rFonts w:ascii="Aptos Narrow" w:hAnsi="Aptos Narrow"/>
          <w:sz w:val="22"/>
          <w:szCs w:val="22"/>
        </w:rPr>
      </w:pPr>
      <w:r w:rsidRPr="00ED6CF3">
        <w:rPr>
          <w:rFonts w:ascii="Aptos Narrow" w:hAnsi="Aptos Narrow"/>
          <w:sz w:val="22"/>
          <w:szCs w:val="22"/>
        </w:rPr>
        <w:t>Driver rest break requirements under the HVNL.</w:t>
      </w:r>
    </w:p>
    <w:p w14:paraId="3B1AA23D" w14:textId="7088091A" w:rsidR="001F6744" w:rsidRPr="00ED6CF3" w:rsidRDefault="001F6744" w:rsidP="00B6233D">
      <w:pPr>
        <w:pStyle w:val="ListParagraph"/>
        <w:numPr>
          <w:ilvl w:val="0"/>
          <w:numId w:val="7"/>
        </w:numPr>
        <w:spacing w:after="160" w:line="278" w:lineRule="auto"/>
        <w:rPr>
          <w:rFonts w:ascii="Aptos Narrow" w:hAnsi="Aptos Narrow"/>
          <w:sz w:val="22"/>
          <w:szCs w:val="22"/>
        </w:rPr>
      </w:pPr>
      <w:r w:rsidRPr="00ED6CF3">
        <w:rPr>
          <w:rFonts w:ascii="Aptos Narrow" w:hAnsi="Aptos Narrow"/>
          <w:sz w:val="22"/>
          <w:szCs w:val="22"/>
        </w:rPr>
        <w:t xml:space="preserve">Grid connectivity and draw down power requirements – i.e. having multiple fast chargers for trucks charging at the same time may require additional infrastructure investment (i.e. </w:t>
      </w:r>
      <w:r w:rsidR="005C0EB2" w:rsidRPr="00ED6CF3">
        <w:rPr>
          <w:rFonts w:ascii="Aptos Narrow" w:hAnsi="Aptos Narrow"/>
          <w:sz w:val="22"/>
          <w:szCs w:val="22"/>
        </w:rPr>
        <w:t>BESS) to</w:t>
      </w:r>
      <w:r w:rsidRPr="00ED6CF3">
        <w:rPr>
          <w:rFonts w:ascii="Aptos Narrow" w:hAnsi="Aptos Narrow"/>
          <w:sz w:val="22"/>
          <w:szCs w:val="22"/>
        </w:rPr>
        <w:t xml:space="preserve"> help manage energy demand during peak charging requirements. </w:t>
      </w:r>
    </w:p>
    <w:p w14:paraId="07CED4B5"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 xml:space="preserve">What are the comparative noise levels of electric heavy vehicles and internal combustion engine heavy vehicles? </w:t>
      </w:r>
    </w:p>
    <w:p w14:paraId="24C2CF5D" w14:textId="62CF646D" w:rsidR="001F6744" w:rsidRPr="00ED6CF3" w:rsidRDefault="001F6744" w:rsidP="007D7770">
      <w:pPr>
        <w:spacing w:after="120" w:line="278" w:lineRule="auto"/>
        <w:ind w:left="357"/>
        <w:rPr>
          <w:rFonts w:ascii="Aptos Narrow" w:hAnsi="Aptos Narrow"/>
          <w:sz w:val="22"/>
          <w:szCs w:val="22"/>
        </w:rPr>
      </w:pPr>
      <w:r w:rsidRPr="00ED6CF3">
        <w:rPr>
          <w:rFonts w:ascii="Aptos Narrow" w:hAnsi="Aptos Narrow"/>
          <w:sz w:val="22"/>
          <w:szCs w:val="22"/>
        </w:rPr>
        <w:t xml:space="preserve">Europe is requiring all electric vehicles to emit a certain sound level when traveling at speeds below 20km/h to warn pedestrians and bike riders of their proximity. This will result in these vehicles operating at similar noise ranges as diesel heavy vehicles at low end speeds. </w:t>
      </w:r>
    </w:p>
    <w:p w14:paraId="0CD9AAAF" w14:textId="68690CF5" w:rsidR="001F6744" w:rsidRPr="00ED6CF3" w:rsidRDefault="001F6744" w:rsidP="007D7770">
      <w:pPr>
        <w:spacing w:after="240" w:line="278" w:lineRule="auto"/>
        <w:ind w:left="357"/>
        <w:rPr>
          <w:rFonts w:ascii="Aptos Narrow" w:hAnsi="Aptos Narrow"/>
          <w:sz w:val="22"/>
          <w:szCs w:val="22"/>
        </w:rPr>
      </w:pPr>
      <w:r w:rsidRPr="00ED6CF3">
        <w:rPr>
          <w:rFonts w:ascii="Aptos Narrow" w:hAnsi="Aptos Narrow"/>
          <w:sz w:val="22"/>
          <w:szCs w:val="22"/>
        </w:rPr>
        <w:t>Volvo, which has sold most EV trucks in Australia</w:t>
      </w:r>
      <w:r w:rsidR="00AA1F6A">
        <w:rPr>
          <w:rFonts w:ascii="Aptos Narrow" w:hAnsi="Aptos Narrow"/>
          <w:sz w:val="22"/>
          <w:szCs w:val="22"/>
        </w:rPr>
        <w:t>,</w:t>
      </w:r>
      <w:r w:rsidRPr="00ED6CF3">
        <w:rPr>
          <w:rFonts w:ascii="Aptos Narrow" w:hAnsi="Aptos Narrow"/>
          <w:sz w:val="22"/>
          <w:szCs w:val="22"/>
        </w:rPr>
        <w:t xml:space="preserve"> has introduced an acoustic alert system for its electric truck models</w:t>
      </w:r>
      <w:r w:rsidRPr="00ED6CF3">
        <w:rPr>
          <w:rStyle w:val="FootnoteReference"/>
          <w:rFonts w:ascii="Aptos Narrow" w:hAnsi="Aptos Narrow"/>
          <w:sz w:val="22"/>
          <w:szCs w:val="22"/>
        </w:rPr>
        <w:footnoteReference w:id="6"/>
      </w:r>
      <w:r w:rsidRPr="00ED6CF3">
        <w:rPr>
          <w:rFonts w:ascii="Aptos Narrow" w:hAnsi="Aptos Narrow"/>
          <w:sz w:val="22"/>
          <w:szCs w:val="22"/>
        </w:rPr>
        <w:t xml:space="preserve"> which, at 20km/h, should be at least 56</w:t>
      </w:r>
      <w:r w:rsidR="00FF6C89">
        <w:rPr>
          <w:rFonts w:ascii="Aptos Narrow" w:hAnsi="Aptos Narrow"/>
          <w:sz w:val="22"/>
          <w:szCs w:val="22"/>
        </w:rPr>
        <w:t xml:space="preserve"> </w:t>
      </w:r>
      <w:r w:rsidRPr="00ED6CF3">
        <w:rPr>
          <w:rFonts w:ascii="Aptos Narrow" w:hAnsi="Aptos Narrow"/>
          <w:sz w:val="22"/>
          <w:szCs w:val="22"/>
        </w:rPr>
        <w:t>dBA. There are few tests from OEMs with published information online. MAN claims that there is a 5.8</w:t>
      </w:r>
      <w:r w:rsidR="003755AB">
        <w:rPr>
          <w:rFonts w:ascii="Aptos Narrow" w:hAnsi="Aptos Narrow"/>
          <w:sz w:val="22"/>
          <w:szCs w:val="22"/>
        </w:rPr>
        <w:t xml:space="preserve"> </w:t>
      </w:r>
      <w:r w:rsidRPr="00ED6CF3">
        <w:rPr>
          <w:rFonts w:ascii="Aptos Narrow" w:hAnsi="Aptos Narrow"/>
          <w:sz w:val="22"/>
          <w:szCs w:val="22"/>
        </w:rPr>
        <w:t xml:space="preserve">dBA reduction (54.7 </w:t>
      </w:r>
      <w:r w:rsidR="003755AB" w:rsidRPr="00ED6CF3">
        <w:rPr>
          <w:rFonts w:ascii="Aptos Narrow" w:hAnsi="Aptos Narrow"/>
          <w:sz w:val="22"/>
          <w:szCs w:val="22"/>
        </w:rPr>
        <w:t xml:space="preserve">dBA </w:t>
      </w:r>
      <w:r w:rsidRPr="00ED6CF3">
        <w:rPr>
          <w:rFonts w:ascii="Aptos Narrow" w:hAnsi="Aptos Narrow"/>
          <w:sz w:val="22"/>
          <w:szCs w:val="22"/>
        </w:rPr>
        <w:t>down to 48.9</w:t>
      </w:r>
      <w:r w:rsidR="00FF6C89">
        <w:rPr>
          <w:rFonts w:ascii="Aptos Narrow" w:hAnsi="Aptos Narrow"/>
          <w:sz w:val="22"/>
          <w:szCs w:val="22"/>
        </w:rPr>
        <w:t xml:space="preserve"> </w:t>
      </w:r>
      <w:r w:rsidRPr="00ED6CF3">
        <w:rPr>
          <w:rFonts w:ascii="Aptos Narrow" w:hAnsi="Aptos Narrow"/>
          <w:sz w:val="22"/>
          <w:szCs w:val="22"/>
        </w:rPr>
        <w:t xml:space="preserve">dBA) in noise when travelling at </w:t>
      </w:r>
      <w:r w:rsidRPr="00ED6CF3">
        <w:rPr>
          <w:rFonts w:ascii="Aptos Narrow" w:hAnsi="Aptos Narrow"/>
          <w:sz w:val="22"/>
          <w:szCs w:val="22"/>
        </w:rPr>
        <w:lastRenderedPageBreak/>
        <w:t>20kmh and a 4</w:t>
      </w:r>
      <w:r w:rsidR="00FF6C89">
        <w:rPr>
          <w:rFonts w:ascii="Aptos Narrow" w:hAnsi="Aptos Narrow"/>
          <w:sz w:val="22"/>
          <w:szCs w:val="22"/>
        </w:rPr>
        <w:t xml:space="preserve"> </w:t>
      </w:r>
      <w:r w:rsidRPr="00ED6CF3">
        <w:rPr>
          <w:rFonts w:ascii="Aptos Narrow" w:hAnsi="Aptos Narrow"/>
          <w:sz w:val="22"/>
          <w:szCs w:val="22"/>
        </w:rPr>
        <w:t>dBA reduction (56 down to 52 dBA) at 30km/h</w:t>
      </w:r>
      <w:r w:rsidRPr="00ED6CF3">
        <w:rPr>
          <w:rStyle w:val="FootnoteReference"/>
          <w:rFonts w:ascii="Aptos Narrow" w:hAnsi="Aptos Narrow"/>
          <w:sz w:val="22"/>
          <w:szCs w:val="22"/>
        </w:rPr>
        <w:footnoteReference w:id="7"/>
      </w:r>
      <w:r w:rsidRPr="00ED6CF3">
        <w:rPr>
          <w:rFonts w:ascii="Aptos Narrow" w:hAnsi="Aptos Narrow"/>
          <w:sz w:val="22"/>
          <w:szCs w:val="22"/>
        </w:rPr>
        <w:t>. Volvo claim a noise reduction of 10</w:t>
      </w:r>
      <w:r w:rsidR="00FF6C89">
        <w:rPr>
          <w:rFonts w:ascii="Aptos Narrow" w:hAnsi="Aptos Narrow"/>
          <w:sz w:val="22"/>
          <w:szCs w:val="22"/>
        </w:rPr>
        <w:t xml:space="preserve"> </w:t>
      </w:r>
      <w:r w:rsidRPr="00ED6CF3">
        <w:rPr>
          <w:rFonts w:ascii="Aptos Narrow" w:hAnsi="Aptos Narrow"/>
          <w:sz w:val="22"/>
          <w:szCs w:val="22"/>
        </w:rPr>
        <w:t>dB</w:t>
      </w:r>
      <w:r w:rsidRPr="00ED6CF3">
        <w:rPr>
          <w:rStyle w:val="FootnoteReference"/>
          <w:rFonts w:ascii="Aptos Narrow" w:hAnsi="Aptos Narrow"/>
          <w:sz w:val="22"/>
          <w:szCs w:val="22"/>
        </w:rPr>
        <w:footnoteReference w:id="8"/>
      </w:r>
      <w:r w:rsidRPr="00ED6CF3">
        <w:rPr>
          <w:rFonts w:ascii="Aptos Narrow" w:hAnsi="Aptos Narrow"/>
          <w:sz w:val="22"/>
          <w:szCs w:val="22"/>
        </w:rPr>
        <w:t xml:space="preserve"> from 79</w:t>
      </w:r>
      <w:r w:rsidR="00FF6C89">
        <w:rPr>
          <w:rFonts w:ascii="Aptos Narrow" w:hAnsi="Aptos Narrow"/>
          <w:sz w:val="22"/>
          <w:szCs w:val="22"/>
        </w:rPr>
        <w:t xml:space="preserve"> </w:t>
      </w:r>
      <w:r w:rsidRPr="00ED6CF3">
        <w:rPr>
          <w:rFonts w:ascii="Aptos Narrow" w:hAnsi="Aptos Narrow"/>
          <w:sz w:val="22"/>
          <w:szCs w:val="22"/>
        </w:rPr>
        <w:t>dBA to 69</w:t>
      </w:r>
      <w:r w:rsidR="00FF6C89">
        <w:rPr>
          <w:rFonts w:ascii="Aptos Narrow" w:hAnsi="Aptos Narrow"/>
          <w:sz w:val="22"/>
          <w:szCs w:val="22"/>
        </w:rPr>
        <w:t xml:space="preserve"> </w:t>
      </w:r>
      <w:r w:rsidRPr="00ED6CF3">
        <w:rPr>
          <w:rFonts w:ascii="Aptos Narrow" w:hAnsi="Aptos Narrow"/>
          <w:sz w:val="22"/>
          <w:szCs w:val="22"/>
        </w:rPr>
        <w:t xml:space="preserve">dBA, however there is no reference to travelling speed. </w:t>
      </w:r>
    </w:p>
    <w:p w14:paraId="1575A277" w14:textId="54E2340A"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 xml:space="preserve">How significantly does any noise reduction (from EV trucks) ameliorate the negative impacts of night-time heavy vehicle travel? </w:t>
      </w:r>
    </w:p>
    <w:p w14:paraId="5CE66D1F" w14:textId="77777777" w:rsidR="001F6744" w:rsidRPr="00ED6CF3" w:rsidRDefault="001F6744" w:rsidP="00B70339">
      <w:pPr>
        <w:spacing w:after="240" w:line="278" w:lineRule="auto"/>
        <w:ind w:left="357"/>
        <w:rPr>
          <w:rFonts w:ascii="Aptos Narrow" w:hAnsi="Aptos Narrow"/>
          <w:sz w:val="22"/>
          <w:szCs w:val="22"/>
        </w:rPr>
      </w:pPr>
      <w:r w:rsidRPr="00ED6CF3">
        <w:rPr>
          <w:rFonts w:ascii="Aptos Narrow" w:hAnsi="Aptos Narrow"/>
          <w:sz w:val="22"/>
          <w:szCs w:val="22"/>
        </w:rPr>
        <w:t>As per above, noise amelioration will be of benefit on key transport corridors where vehicles operate at speeds above 30km/h. Reduced noise will not only be associated with driving, but also accelerating and braking activities. Further noise investigations along specific road corridors will be needed to appropriately address the question.</w:t>
      </w:r>
    </w:p>
    <w:p w14:paraId="0EF51974" w14:textId="2E5DA50E"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 xml:space="preserve">What are the implementation considerations for curfews (or their reduction/removal) for EV trucks, given different levels of government have responsibility (especially local governments)? </w:t>
      </w:r>
    </w:p>
    <w:p w14:paraId="6BDE2CC9" w14:textId="34EAB8A0" w:rsidR="001F6744" w:rsidRPr="00ED6CF3" w:rsidRDefault="001F6744" w:rsidP="00B70339">
      <w:pPr>
        <w:spacing w:after="240" w:line="278" w:lineRule="auto"/>
        <w:ind w:left="357"/>
        <w:rPr>
          <w:rFonts w:ascii="Aptos Narrow" w:hAnsi="Aptos Narrow"/>
          <w:sz w:val="22"/>
          <w:szCs w:val="22"/>
        </w:rPr>
      </w:pPr>
      <w:r w:rsidRPr="00ED6CF3">
        <w:rPr>
          <w:rFonts w:ascii="Aptos Narrow" w:hAnsi="Aptos Narrow"/>
          <w:sz w:val="22"/>
          <w:szCs w:val="22"/>
        </w:rPr>
        <w:t xml:space="preserve">This is a location-by-location issue to be addressed based on input from key stakeholders and utilising reliable data. It would be a local and state government situation to negotiate and address, and actively involve industry, to ensure no adverse outcomes </w:t>
      </w:r>
      <w:r w:rsidR="00B6233D">
        <w:rPr>
          <w:rFonts w:ascii="Aptos Narrow" w:hAnsi="Aptos Narrow"/>
          <w:sz w:val="22"/>
          <w:szCs w:val="22"/>
        </w:rPr>
        <w:t xml:space="preserve">for industry and </w:t>
      </w:r>
      <w:r w:rsidRPr="00ED6CF3">
        <w:rPr>
          <w:rFonts w:ascii="Aptos Narrow" w:hAnsi="Aptos Narrow"/>
          <w:sz w:val="22"/>
          <w:szCs w:val="22"/>
        </w:rPr>
        <w:t xml:space="preserve">the community. </w:t>
      </w:r>
    </w:p>
    <w:p w14:paraId="45691D52" w14:textId="77777777" w:rsidR="001F6744" w:rsidRPr="00ED6CF3" w:rsidRDefault="001F6744" w:rsidP="00B6233D">
      <w:pPr>
        <w:numPr>
          <w:ilvl w:val="0"/>
          <w:numId w:val="2"/>
        </w:numPr>
        <w:spacing w:after="160" w:line="278" w:lineRule="auto"/>
        <w:rPr>
          <w:rFonts w:ascii="Aptos Narrow" w:hAnsi="Aptos Narrow"/>
          <w:sz w:val="22"/>
          <w:szCs w:val="22"/>
        </w:rPr>
      </w:pPr>
      <w:r w:rsidRPr="00ED6CF3">
        <w:rPr>
          <w:rFonts w:ascii="Aptos Narrow" w:hAnsi="Aptos Narrow"/>
          <w:sz w:val="22"/>
          <w:szCs w:val="22"/>
        </w:rPr>
        <w:t xml:space="preserve">How could the effects of curfew-reform for EV trucks be quantified (including required data/modelling)? </w:t>
      </w:r>
    </w:p>
    <w:p w14:paraId="6C96A7D5" w14:textId="77777777" w:rsidR="001F6744" w:rsidRPr="00ED6CF3" w:rsidRDefault="001F6744" w:rsidP="001F6744">
      <w:pPr>
        <w:ind w:left="360"/>
        <w:rPr>
          <w:rFonts w:ascii="Aptos Narrow" w:hAnsi="Aptos Narrow"/>
          <w:sz w:val="22"/>
          <w:szCs w:val="22"/>
        </w:rPr>
      </w:pPr>
      <w:r w:rsidRPr="00ED6CF3">
        <w:rPr>
          <w:rFonts w:ascii="Aptos Narrow" w:hAnsi="Aptos Narrow"/>
          <w:sz w:val="22"/>
          <w:szCs w:val="22"/>
        </w:rPr>
        <w:t xml:space="preserve">Refer to response to Question 22. </w:t>
      </w:r>
    </w:p>
    <w:p w14:paraId="4EADC8B3" w14:textId="77777777" w:rsidR="00B51EA0" w:rsidRPr="003746A5" w:rsidRDefault="00B51EA0" w:rsidP="001F6744">
      <w:pPr>
        <w:spacing w:after="180"/>
        <w:rPr>
          <w:rFonts w:ascii="Aptos Narrow" w:hAnsi="Aptos Narrow"/>
          <w:sz w:val="22"/>
          <w:szCs w:val="22"/>
        </w:rPr>
      </w:pPr>
    </w:p>
    <w:sectPr w:rsidR="00B51EA0" w:rsidRPr="003746A5" w:rsidSect="0084620B">
      <w:headerReference w:type="even" r:id="rId19"/>
      <w:headerReference w:type="default" r:id="rId20"/>
      <w:headerReference w:type="first" r:id="rId21"/>
      <w:footerReference w:type="first" r:id="rId22"/>
      <w:pgSz w:w="11906" w:h="16838"/>
      <w:pgMar w:top="3402" w:right="907" w:bottom="1135"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357A" w14:textId="77777777" w:rsidR="00AA2AE8" w:rsidRDefault="00AA2AE8" w:rsidP="005407F4">
      <w:r>
        <w:separator/>
      </w:r>
    </w:p>
  </w:endnote>
  <w:endnote w:type="continuationSeparator" w:id="0">
    <w:p w14:paraId="54D3F2EC" w14:textId="77777777" w:rsidR="00AA2AE8" w:rsidRDefault="00AA2AE8" w:rsidP="005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37D3" w14:textId="7368731D" w:rsidR="004D1DE3" w:rsidRDefault="004D1DE3">
    <w:pPr>
      <w:pStyle w:val="Footer"/>
    </w:pPr>
    <w:r>
      <w:rPr>
        <w:noProof/>
      </w:rPr>
      <w:drawing>
        <wp:anchor distT="0" distB="0" distL="114300" distR="114300" simplePos="0" relativeHeight="251658241" behindDoc="1" locked="0" layoutInCell="1" allowOverlap="1" wp14:anchorId="09151B18" wp14:editId="3991358B">
          <wp:simplePos x="0" y="0"/>
          <wp:positionH relativeFrom="margin">
            <wp:posOffset>-584046</wp:posOffset>
          </wp:positionH>
          <wp:positionV relativeFrom="paragraph">
            <wp:posOffset>-1498600</wp:posOffset>
          </wp:positionV>
          <wp:extent cx="7576185" cy="2158409"/>
          <wp:effectExtent l="0" t="0" r="5715" b="635"/>
          <wp:wrapNone/>
          <wp:docPr id="526132564" name="Picture 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15787" name="Picture 2" descr="A white background with black text&#10;&#10;Description automatically generated"/>
                  <pic:cNvPicPr/>
                </pic:nvPicPr>
                <pic:blipFill rotWithShape="1">
                  <a:blip r:embed="rId1">
                    <a:extLst>
                      <a:ext uri="{28A0092B-C50C-407E-A947-70E740481C1C}">
                        <a14:useLocalDpi xmlns:a14="http://schemas.microsoft.com/office/drawing/2010/main" val="0"/>
                      </a:ext>
                    </a:extLst>
                  </a:blip>
                  <a:srcRect l="-2" t="79858" r="2"/>
                  <a:stretch/>
                </pic:blipFill>
                <pic:spPr bwMode="auto">
                  <a:xfrm>
                    <a:off x="0" y="0"/>
                    <a:ext cx="7576185" cy="21584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9DD3" w14:textId="77777777" w:rsidR="00AA2AE8" w:rsidRDefault="00AA2AE8" w:rsidP="005407F4">
      <w:r>
        <w:separator/>
      </w:r>
    </w:p>
  </w:footnote>
  <w:footnote w:type="continuationSeparator" w:id="0">
    <w:p w14:paraId="1F0AF91D" w14:textId="77777777" w:rsidR="00AA2AE8" w:rsidRDefault="00AA2AE8" w:rsidP="005407F4">
      <w:r>
        <w:continuationSeparator/>
      </w:r>
    </w:p>
  </w:footnote>
  <w:footnote w:id="1">
    <w:p w14:paraId="6AB1766F" w14:textId="77777777" w:rsidR="001F6744" w:rsidRDefault="001F6744" w:rsidP="001F6744">
      <w:pPr>
        <w:pStyle w:val="FootnoteText"/>
      </w:pPr>
      <w:r>
        <w:rPr>
          <w:rStyle w:val="FootnoteReference"/>
        </w:rPr>
        <w:footnoteRef/>
      </w:r>
      <w:r>
        <w:t xml:space="preserve"> </w:t>
      </w:r>
      <w:hyperlink r:id="rId1" w:history="1">
        <w:r w:rsidRPr="000465E6">
          <w:rPr>
            <w:rStyle w:val="Hyperlink"/>
          </w:rPr>
          <w:t>https://www.natroad.com.au/consultation-ris-national-heavy-vehicle-competency-framework/</w:t>
        </w:r>
      </w:hyperlink>
      <w:r>
        <w:t xml:space="preserve"> </w:t>
      </w:r>
    </w:p>
  </w:footnote>
  <w:footnote w:id="2">
    <w:p w14:paraId="35197B6F" w14:textId="77777777" w:rsidR="001F6744" w:rsidRDefault="001F6744" w:rsidP="001F6744">
      <w:pPr>
        <w:pStyle w:val="FootnoteText"/>
      </w:pPr>
      <w:r>
        <w:rPr>
          <w:rStyle w:val="FootnoteReference"/>
        </w:rPr>
        <w:footnoteRef/>
      </w:r>
      <w:r>
        <w:t xml:space="preserve"> </w:t>
      </w:r>
      <w:hyperlink r:id="rId2" w:history="1">
        <w:r w:rsidRPr="000465E6">
          <w:rPr>
            <w:rStyle w:val="Hyperlink"/>
          </w:rPr>
          <w:t>https://acrs.org.au/wp-content/uploads/ACRS-submission-on-heavy-vehicle-driver-competency-RIS.pdf</w:t>
        </w:r>
      </w:hyperlink>
      <w:r>
        <w:t xml:space="preserve"> </w:t>
      </w:r>
    </w:p>
  </w:footnote>
  <w:footnote w:id="3">
    <w:p w14:paraId="2DA11583" w14:textId="77777777" w:rsidR="001F6744" w:rsidRDefault="001F6744" w:rsidP="001F6744">
      <w:pPr>
        <w:pStyle w:val="FootnoteText"/>
      </w:pPr>
      <w:r>
        <w:rPr>
          <w:rStyle w:val="FootnoteReference"/>
        </w:rPr>
        <w:footnoteRef/>
      </w:r>
      <w:r>
        <w:t xml:space="preserve"> </w:t>
      </w:r>
      <w:hyperlink r:id="rId3" w:anchor="project-tabs-2858" w:history="1">
        <w:r w:rsidRPr="000465E6">
          <w:rPr>
            <w:rStyle w:val="Hyperlink"/>
          </w:rPr>
          <w:t>https://www.industryskillsaustralia.org.au/Transport-and-Logistics-Skilling-Heavy-Vehicle-Drivers-and-Licensing-Update/?tab=commencement#project-tabs-2858</w:t>
        </w:r>
      </w:hyperlink>
      <w:r>
        <w:t xml:space="preserve"> </w:t>
      </w:r>
    </w:p>
  </w:footnote>
  <w:footnote w:id="4">
    <w:p w14:paraId="17C3014F" w14:textId="77777777" w:rsidR="001F6744" w:rsidRPr="001E51D5" w:rsidRDefault="001F6744" w:rsidP="001F6744">
      <w:pPr>
        <w:pStyle w:val="FootnoteText"/>
      </w:pPr>
      <w:r>
        <w:rPr>
          <w:rStyle w:val="FootnoteReference"/>
        </w:rPr>
        <w:footnoteRef/>
      </w:r>
      <w:r w:rsidRPr="001E51D5">
        <w:t xml:space="preserve"> </w:t>
      </w:r>
      <w:hyperlink r:id="rId4" w:history="1">
        <w:r w:rsidRPr="001E51D5">
          <w:rPr>
            <w:rStyle w:val="Hyperlink"/>
          </w:rPr>
          <w:t>https://oia.pmc.gov.au/sites/default/files/posts/2022/08/Publish%20Version%20-%20NHVDCF_Consultation-RIS_August2022.pdf</w:t>
        </w:r>
      </w:hyperlink>
      <w:r w:rsidRPr="001E51D5">
        <w:t xml:space="preserve"> </w:t>
      </w:r>
    </w:p>
  </w:footnote>
  <w:footnote w:id="5">
    <w:p w14:paraId="2F15E873" w14:textId="77777777" w:rsidR="001F6744" w:rsidRDefault="001F6744" w:rsidP="001F6744">
      <w:pPr>
        <w:pStyle w:val="FootnoteText"/>
      </w:pPr>
      <w:r>
        <w:rPr>
          <w:rStyle w:val="FootnoteReference"/>
        </w:rPr>
        <w:footnoteRef/>
      </w:r>
      <w:r>
        <w:t xml:space="preserve"> </w:t>
      </w:r>
      <w:hyperlink r:id="rId5" w:history="1">
        <w:r w:rsidRPr="000465E6">
          <w:rPr>
            <w:rStyle w:val="Hyperlink"/>
          </w:rPr>
          <w:t>https://austroads.gov.au/__data/assets/pdf_file/0032/616964/NHVDCF_Decision_RIS.pdf</w:t>
        </w:r>
      </w:hyperlink>
      <w:r>
        <w:t xml:space="preserve"> </w:t>
      </w:r>
    </w:p>
  </w:footnote>
  <w:footnote w:id="6">
    <w:p w14:paraId="768358D1" w14:textId="77777777" w:rsidR="001F6744" w:rsidRDefault="001F6744" w:rsidP="001F6744">
      <w:pPr>
        <w:pStyle w:val="FootnoteText"/>
      </w:pPr>
      <w:r>
        <w:rPr>
          <w:rStyle w:val="FootnoteReference"/>
        </w:rPr>
        <w:footnoteRef/>
      </w:r>
      <w:r>
        <w:t xml:space="preserve"> </w:t>
      </w:r>
      <w:hyperlink r:id="rId6" w:history="1">
        <w:r w:rsidRPr="000465E6">
          <w:rPr>
            <w:rStyle w:val="Hyperlink"/>
          </w:rPr>
          <w:t>https://www.volvotrucks.com/en-en/news-stories/press-releases/2021/may/volvo-trucks-adds-unique-sounds-to-its-electric-trucks.html</w:t>
        </w:r>
      </w:hyperlink>
      <w:r>
        <w:t xml:space="preserve"> </w:t>
      </w:r>
    </w:p>
  </w:footnote>
  <w:footnote w:id="7">
    <w:p w14:paraId="27F35059" w14:textId="77777777" w:rsidR="001F6744" w:rsidRDefault="001F6744" w:rsidP="001F6744">
      <w:pPr>
        <w:pStyle w:val="FootnoteText"/>
      </w:pPr>
      <w:r>
        <w:rPr>
          <w:rStyle w:val="FootnoteReference"/>
        </w:rPr>
        <w:footnoteRef/>
      </w:r>
      <w:r>
        <w:t xml:space="preserve"> </w:t>
      </w:r>
      <w:hyperlink r:id="rId7" w:history="1">
        <w:r w:rsidRPr="000465E6">
          <w:rPr>
            <w:rStyle w:val="Hyperlink"/>
          </w:rPr>
          <w:t>https://www.man.eu/corporate/en/newsroom/stories/quieter-than-youve-ever-heard-before-126656.html</w:t>
        </w:r>
      </w:hyperlink>
      <w:r>
        <w:t xml:space="preserve"> </w:t>
      </w:r>
    </w:p>
  </w:footnote>
  <w:footnote w:id="8">
    <w:p w14:paraId="3C5E3B14" w14:textId="77777777" w:rsidR="001F6744" w:rsidRDefault="001F6744" w:rsidP="001F6744">
      <w:pPr>
        <w:pStyle w:val="FootnoteText"/>
      </w:pPr>
      <w:r>
        <w:rPr>
          <w:rStyle w:val="FootnoteReference"/>
        </w:rPr>
        <w:footnoteRef/>
      </w:r>
      <w:r>
        <w:t xml:space="preserve"> </w:t>
      </w:r>
      <w:hyperlink r:id="rId8" w:anchor=":~:text=Quieter%20for%20communities%2C%20and%20for%20drivers%20According,per%20cent%20(Decibels%20are%20a%20non%2Dlinear%20measurement)" w:history="1">
        <w:r w:rsidRPr="000465E6">
          <w:rPr>
            <w:rStyle w:val="Hyperlink"/>
          </w:rPr>
          <w:t>https://thedriven.io/2022/09/26/sounds-of-silence-how-quiet-are-heavy-duty-electric-trucks/#:~:text=Quieter%20for%20communities%2C%20and%20for%20drivers%20According,per%20cent%20(Decibels%20are%20a%20non%2Dlinear%20measurement)</w:t>
        </w:r>
      </w:hyperlink>
      <w:r w:rsidRPr="00072551">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23C1" w14:textId="1CA8A141" w:rsidR="00F362B2" w:rsidRDefault="00F36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AF31" w14:textId="3C762CFC" w:rsidR="004D1DE3" w:rsidRDefault="004D1DE3">
    <w:pPr>
      <w:pStyle w:val="Header"/>
    </w:pPr>
    <w:r>
      <w:rPr>
        <w:noProof/>
      </w:rPr>
      <w:drawing>
        <wp:anchor distT="0" distB="0" distL="114300" distR="114300" simplePos="0" relativeHeight="251658242" behindDoc="1" locked="0" layoutInCell="1" allowOverlap="1" wp14:anchorId="05E95757" wp14:editId="68E18110">
          <wp:simplePos x="0" y="0"/>
          <wp:positionH relativeFrom="margin">
            <wp:posOffset>-616585</wp:posOffset>
          </wp:positionH>
          <wp:positionV relativeFrom="paragraph">
            <wp:posOffset>-478790</wp:posOffset>
          </wp:positionV>
          <wp:extent cx="7576185" cy="2158409"/>
          <wp:effectExtent l="0" t="0" r="5715" b="635"/>
          <wp:wrapNone/>
          <wp:docPr id="1017908261" name="Picture 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15787" name="Picture 2" descr="A white background with black text&#10;&#10;Description automatically generated"/>
                  <pic:cNvPicPr/>
                </pic:nvPicPr>
                <pic:blipFill rotWithShape="1">
                  <a:blip r:embed="rId1">
                    <a:extLst>
                      <a:ext uri="{28A0092B-C50C-407E-A947-70E740481C1C}">
                        <a14:useLocalDpi xmlns:a14="http://schemas.microsoft.com/office/drawing/2010/main" val="0"/>
                      </a:ext>
                    </a:extLst>
                  </a:blip>
                  <a:srcRect b="79858"/>
                  <a:stretch/>
                </pic:blipFill>
                <pic:spPr bwMode="auto">
                  <a:xfrm>
                    <a:off x="0" y="0"/>
                    <a:ext cx="7576185" cy="21584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55FF" w14:textId="5E27EB2E" w:rsidR="004D1DE3" w:rsidRDefault="004D1DE3">
    <w:pPr>
      <w:pStyle w:val="Header"/>
    </w:pPr>
    <w:r>
      <w:rPr>
        <w:noProof/>
      </w:rPr>
      <w:drawing>
        <wp:anchor distT="0" distB="0" distL="114300" distR="114300" simplePos="0" relativeHeight="251658240" behindDoc="1" locked="0" layoutInCell="1" allowOverlap="1" wp14:anchorId="4174063F" wp14:editId="1EC25CEA">
          <wp:simplePos x="0" y="0"/>
          <wp:positionH relativeFrom="margin">
            <wp:posOffset>-584790</wp:posOffset>
          </wp:positionH>
          <wp:positionV relativeFrom="paragraph">
            <wp:posOffset>-447158</wp:posOffset>
          </wp:positionV>
          <wp:extent cx="7576185" cy="2158409"/>
          <wp:effectExtent l="0" t="0" r="5715" b="635"/>
          <wp:wrapNone/>
          <wp:docPr id="287002701" name="Picture 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15787" name="Picture 2" descr="A white background with black text&#10;&#10;Description automatically generated"/>
                  <pic:cNvPicPr/>
                </pic:nvPicPr>
                <pic:blipFill rotWithShape="1">
                  <a:blip r:embed="rId1">
                    <a:extLst>
                      <a:ext uri="{28A0092B-C50C-407E-A947-70E740481C1C}">
                        <a14:useLocalDpi xmlns:a14="http://schemas.microsoft.com/office/drawing/2010/main" val="0"/>
                      </a:ext>
                    </a:extLst>
                  </a:blip>
                  <a:srcRect b="79858"/>
                  <a:stretch/>
                </pic:blipFill>
                <pic:spPr bwMode="auto">
                  <a:xfrm>
                    <a:off x="0" y="0"/>
                    <a:ext cx="7576185" cy="21584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79D"/>
    <w:multiLevelType w:val="multilevel"/>
    <w:tmpl w:val="3C7E3708"/>
    <w:lvl w:ilvl="0">
      <w:start w:val="1"/>
      <w:numFmt w:val="lowerLetter"/>
      <w:lvlText w:val="%1)"/>
      <w:lvlJc w:val="left"/>
      <w:pPr>
        <w:tabs>
          <w:tab w:val="num" w:pos="1080"/>
        </w:tabs>
        <w:ind w:left="1080" w:hanging="360"/>
      </w:pPr>
    </w:lvl>
    <w:lvl w:ilvl="1">
      <w:start w:val="1"/>
      <w:numFmt w:val="lowerLetter"/>
      <w:lvlText w:val="%2)"/>
      <w:lvlJc w:val="left"/>
      <w:pPr>
        <w:ind w:left="1800" w:hanging="360"/>
      </w:p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27011D8A"/>
    <w:multiLevelType w:val="multilevel"/>
    <w:tmpl w:val="977275E6"/>
    <w:lvl w:ilvl="0">
      <w:start w:val="1"/>
      <w:numFmt w:val="lowerLetter"/>
      <w:lvlText w:val="%1)"/>
      <w:lvlJc w:val="left"/>
      <w:pPr>
        <w:tabs>
          <w:tab w:val="num" w:pos="1080"/>
        </w:tabs>
        <w:ind w:left="1080" w:hanging="360"/>
      </w:pPr>
    </w:lvl>
    <w:lvl w:ilvl="1">
      <w:start w:val="1"/>
      <w:numFmt w:val="lowerLetter"/>
      <w:lvlText w:val="%2)"/>
      <w:lvlJc w:val="left"/>
      <w:pPr>
        <w:ind w:left="1800" w:hanging="360"/>
      </w:p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33AA4CB9"/>
    <w:multiLevelType w:val="multilevel"/>
    <w:tmpl w:val="B6C413A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36B44F29"/>
    <w:multiLevelType w:val="hybridMultilevel"/>
    <w:tmpl w:val="0186F2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DCB5336"/>
    <w:multiLevelType w:val="hybridMultilevel"/>
    <w:tmpl w:val="FF063E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0767796"/>
    <w:multiLevelType w:val="hybridMultilevel"/>
    <w:tmpl w:val="29D8B156"/>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56D9789F"/>
    <w:multiLevelType w:val="hybridMultilevel"/>
    <w:tmpl w:val="C7FA5552"/>
    <w:lvl w:ilvl="0" w:tplc="FFFFFFFF">
      <w:start w:val="1"/>
      <w:numFmt w:val="lowerLetter"/>
      <w:lvlText w:val="%1)"/>
      <w:lvlJc w:val="left"/>
      <w:pPr>
        <w:ind w:left="1080" w:hanging="360"/>
      </w:pPr>
    </w:lvl>
    <w:lvl w:ilvl="1" w:tplc="0C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AA12966"/>
    <w:multiLevelType w:val="multilevel"/>
    <w:tmpl w:val="B4AA4EBA"/>
    <w:styleLink w:val="List1"/>
    <w:lvl w:ilvl="0">
      <w:start w:val="1"/>
      <w:numFmt w:val="bullet"/>
      <w:pStyle w:val="ListBullet"/>
      <w:lvlText w:val=""/>
      <w:lvlJc w:val="left"/>
      <w:pPr>
        <w:ind w:left="850" w:hanging="425"/>
      </w:pPr>
      <w:rPr>
        <w:rFonts w:ascii="Symbol" w:hAnsi="Symbol" w:hint="default"/>
        <w:color w:val="003150"/>
      </w:rPr>
    </w:lvl>
    <w:lvl w:ilvl="1">
      <w:start w:val="1"/>
      <w:numFmt w:val="bullet"/>
      <w:pStyle w:val="ListBullet2"/>
      <w:lvlText w:val=""/>
      <w:lvlJc w:val="left"/>
      <w:pPr>
        <w:ind w:left="1353" w:hanging="360"/>
      </w:pPr>
      <w:rPr>
        <w:rFonts w:ascii="Symbol" w:hAnsi="Symbol" w:hint="default"/>
      </w:rPr>
    </w:lvl>
    <w:lvl w:ilvl="2">
      <w:start w:val="1"/>
      <w:numFmt w:val="bullet"/>
      <w:pStyle w:val="ListBullet3"/>
      <w:lvlText w:val="o"/>
      <w:lvlJc w:val="left"/>
      <w:pPr>
        <w:ind w:left="1636" w:hanging="360"/>
      </w:pPr>
      <w:rPr>
        <w:rFonts w:ascii="Courier New" w:hAnsi="Courier New" w:cs="Courier New" w:hint="default"/>
      </w:rPr>
    </w:lvl>
    <w:lvl w:ilvl="3">
      <w:start w:val="1"/>
      <w:numFmt w:val="bullet"/>
      <w:lvlText w:val=""/>
      <w:lvlJc w:val="left"/>
      <w:pPr>
        <w:ind w:left="3350" w:hanging="360"/>
      </w:pPr>
      <w:rPr>
        <w:rFonts w:ascii="Wingdings" w:hAnsi="Wingdings" w:hint="default"/>
      </w:rPr>
    </w:lvl>
    <w:lvl w:ilvl="4">
      <w:start w:val="1"/>
      <w:numFmt w:val="bullet"/>
      <w:lvlText w:val="o"/>
      <w:lvlJc w:val="left"/>
      <w:pPr>
        <w:ind w:left="4070" w:hanging="360"/>
      </w:pPr>
      <w:rPr>
        <w:rFonts w:ascii="Courier New" w:hAnsi="Courier New" w:cs="Courier New" w:hint="default"/>
      </w:rPr>
    </w:lvl>
    <w:lvl w:ilvl="5">
      <w:start w:val="1"/>
      <w:numFmt w:val="bullet"/>
      <w:lvlText w:val=""/>
      <w:lvlJc w:val="left"/>
      <w:pPr>
        <w:ind w:left="4790" w:hanging="360"/>
      </w:pPr>
      <w:rPr>
        <w:rFonts w:ascii="Wingdings" w:hAnsi="Wingdings" w:hint="default"/>
      </w:rPr>
    </w:lvl>
    <w:lvl w:ilvl="6">
      <w:start w:val="1"/>
      <w:numFmt w:val="bullet"/>
      <w:lvlText w:val=""/>
      <w:lvlJc w:val="left"/>
      <w:pPr>
        <w:ind w:left="5510" w:hanging="360"/>
      </w:pPr>
      <w:rPr>
        <w:rFonts w:ascii="Symbol" w:hAnsi="Symbol" w:hint="default"/>
      </w:rPr>
    </w:lvl>
    <w:lvl w:ilvl="7">
      <w:start w:val="1"/>
      <w:numFmt w:val="bullet"/>
      <w:lvlText w:val="o"/>
      <w:lvlJc w:val="left"/>
      <w:pPr>
        <w:ind w:left="6230" w:hanging="360"/>
      </w:pPr>
      <w:rPr>
        <w:rFonts w:ascii="Courier New" w:hAnsi="Courier New" w:cs="Courier New" w:hint="default"/>
      </w:rPr>
    </w:lvl>
    <w:lvl w:ilvl="8">
      <w:start w:val="1"/>
      <w:numFmt w:val="bullet"/>
      <w:lvlText w:val=""/>
      <w:lvlJc w:val="left"/>
      <w:pPr>
        <w:ind w:left="6950" w:hanging="360"/>
      </w:pPr>
      <w:rPr>
        <w:rFonts w:ascii="Wingdings" w:hAnsi="Wingdings" w:hint="default"/>
      </w:rPr>
    </w:lvl>
  </w:abstractNum>
  <w:abstractNum w:abstractNumId="8" w15:restartNumberingAfterBreak="0">
    <w:nsid w:val="63C72101"/>
    <w:multiLevelType w:val="hybridMultilevel"/>
    <w:tmpl w:val="D21043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F884D92"/>
    <w:multiLevelType w:val="multilevel"/>
    <w:tmpl w:val="56CC6240"/>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57496035">
    <w:abstractNumId w:val="7"/>
  </w:num>
  <w:num w:numId="2" w16cid:durableId="1856454374">
    <w:abstractNumId w:val="9"/>
  </w:num>
  <w:num w:numId="3" w16cid:durableId="1720863018">
    <w:abstractNumId w:val="1"/>
  </w:num>
  <w:num w:numId="4" w16cid:durableId="1201820748">
    <w:abstractNumId w:val="0"/>
  </w:num>
  <w:num w:numId="5" w16cid:durableId="1825706223">
    <w:abstractNumId w:val="5"/>
  </w:num>
  <w:num w:numId="6" w16cid:durableId="757604506">
    <w:abstractNumId w:val="6"/>
  </w:num>
  <w:num w:numId="7" w16cid:durableId="1093625421">
    <w:abstractNumId w:val="8"/>
  </w:num>
  <w:num w:numId="8" w16cid:durableId="1711151616">
    <w:abstractNumId w:val="3"/>
  </w:num>
  <w:num w:numId="9" w16cid:durableId="313142229">
    <w:abstractNumId w:val="4"/>
  </w:num>
  <w:num w:numId="10" w16cid:durableId="43136485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E7"/>
    <w:rsid w:val="000050F6"/>
    <w:rsid w:val="00005CD8"/>
    <w:rsid w:val="0001252A"/>
    <w:rsid w:val="000157C5"/>
    <w:rsid w:val="00025073"/>
    <w:rsid w:val="00030758"/>
    <w:rsid w:val="000359A6"/>
    <w:rsid w:val="00041231"/>
    <w:rsid w:val="00044934"/>
    <w:rsid w:val="000464BA"/>
    <w:rsid w:val="00046E3F"/>
    <w:rsid w:val="000501D2"/>
    <w:rsid w:val="00051732"/>
    <w:rsid w:val="00051C45"/>
    <w:rsid w:val="00051DC0"/>
    <w:rsid w:val="0005210F"/>
    <w:rsid w:val="00053B02"/>
    <w:rsid w:val="00053D41"/>
    <w:rsid w:val="000552A4"/>
    <w:rsid w:val="000570EE"/>
    <w:rsid w:val="000633C9"/>
    <w:rsid w:val="00067800"/>
    <w:rsid w:val="00073638"/>
    <w:rsid w:val="00073C96"/>
    <w:rsid w:val="00074BBC"/>
    <w:rsid w:val="0007567C"/>
    <w:rsid w:val="00075CC0"/>
    <w:rsid w:val="000812D5"/>
    <w:rsid w:val="00081457"/>
    <w:rsid w:val="00082510"/>
    <w:rsid w:val="000840AF"/>
    <w:rsid w:val="00085A84"/>
    <w:rsid w:val="0009209F"/>
    <w:rsid w:val="00095252"/>
    <w:rsid w:val="00097A75"/>
    <w:rsid w:val="000A1C3C"/>
    <w:rsid w:val="000B0BB4"/>
    <w:rsid w:val="000B4CA5"/>
    <w:rsid w:val="000B7914"/>
    <w:rsid w:val="000C1A47"/>
    <w:rsid w:val="000C1F1A"/>
    <w:rsid w:val="000C6962"/>
    <w:rsid w:val="000D56DF"/>
    <w:rsid w:val="000D611A"/>
    <w:rsid w:val="000E1F4E"/>
    <w:rsid w:val="000E265A"/>
    <w:rsid w:val="000E2C54"/>
    <w:rsid w:val="000E3394"/>
    <w:rsid w:val="000E3A09"/>
    <w:rsid w:val="000F04F3"/>
    <w:rsid w:val="000F303E"/>
    <w:rsid w:val="000F3E7E"/>
    <w:rsid w:val="000F7881"/>
    <w:rsid w:val="000F79D9"/>
    <w:rsid w:val="00100F79"/>
    <w:rsid w:val="0010266D"/>
    <w:rsid w:val="001114F6"/>
    <w:rsid w:val="00121619"/>
    <w:rsid w:val="001231A1"/>
    <w:rsid w:val="00123684"/>
    <w:rsid w:val="00126B7A"/>
    <w:rsid w:val="00132235"/>
    <w:rsid w:val="00132CBB"/>
    <w:rsid w:val="0014137C"/>
    <w:rsid w:val="0014206B"/>
    <w:rsid w:val="0014387E"/>
    <w:rsid w:val="00143A48"/>
    <w:rsid w:val="00144DB1"/>
    <w:rsid w:val="001476FF"/>
    <w:rsid w:val="00151270"/>
    <w:rsid w:val="0015238B"/>
    <w:rsid w:val="0015671F"/>
    <w:rsid w:val="00157A13"/>
    <w:rsid w:val="00157EB7"/>
    <w:rsid w:val="00162EA5"/>
    <w:rsid w:val="001631FB"/>
    <w:rsid w:val="001642F4"/>
    <w:rsid w:val="00165006"/>
    <w:rsid w:val="001679E4"/>
    <w:rsid w:val="00170583"/>
    <w:rsid w:val="001727B6"/>
    <w:rsid w:val="00173238"/>
    <w:rsid w:val="00176889"/>
    <w:rsid w:val="00176D0F"/>
    <w:rsid w:val="00180003"/>
    <w:rsid w:val="00180585"/>
    <w:rsid w:val="00181146"/>
    <w:rsid w:val="0018679B"/>
    <w:rsid w:val="00192F1C"/>
    <w:rsid w:val="00193F24"/>
    <w:rsid w:val="00197BB6"/>
    <w:rsid w:val="001A1303"/>
    <w:rsid w:val="001A5C39"/>
    <w:rsid w:val="001B40A4"/>
    <w:rsid w:val="001B4548"/>
    <w:rsid w:val="001B58D8"/>
    <w:rsid w:val="001B6A6D"/>
    <w:rsid w:val="001B75FD"/>
    <w:rsid w:val="001C1B81"/>
    <w:rsid w:val="001C1E4E"/>
    <w:rsid w:val="001C40E5"/>
    <w:rsid w:val="001C4694"/>
    <w:rsid w:val="001C7F91"/>
    <w:rsid w:val="001D04EE"/>
    <w:rsid w:val="001D1361"/>
    <w:rsid w:val="001D2F37"/>
    <w:rsid w:val="001D5897"/>
    <w:rsid w:val="001E7476"/>
    <w:rsid w:val="001F6744"/>
    <w:rsid w:val="00202384"/>
    <w:rsid w:val="00206807"/>
    <w:rsid w:val="00212A90"/>
    <w:rsid w:val="00215FCB"/>
    <w:rsid w:val="00216CEC"/>
    <w:rsid w:val="00221F2E"/>
    <w:rsid w:val="00222F57"/>
    <w:rsid w:val="00222FFB"/>
    <w:rsid w:val="002231E5"/>
    <w:rsid w:val="00224E89"/>
    <w:rsid w:val="0023181A"/>
    <w:rsid w:val="002327ED"/>
    <w:rsid w:val="0023294D"/>
    <w:rsid w:val="00233092"/>
    <w:rsid w:val="00242C8D"/>
    <w:rsid w:val="00251672"/>
    <w:rsid w:val="00251893"/>
    <w:rsid w:val="00256A2B"/>
    <w:rsid w:val="00256F26"/>
    <w:rsid w:val="00257A43"/>
    <w:rsid w:val="00266E83"/>
    <w:rsid w:val="0027084E"/>
    <w:rsid w:val="00271E81"/>
    <w:rsid w:val="002721B0"/>
    <w:rsid w:val="00272D40"/>
    <w:rsid w:val="00274E4B"/>
    <w:rsid w:val="00275114"/>
    <w:rsid w:val="00286A9A"/>
    <w:rsid w:val="00295A8F"/>
    <w:rsid w:val="00295BC2"/>
    <w:rsid w:val="00295E06"/>
    <w:rsid w:val="002A5907"/>
    <w:rsid w:val="002A59FA"/>
    <w:rsid w:val="002B22DD"/>
    <w:rsid w:val="002B2D53"/>
    <w:rsid w:val="002B32D6"/>
    <w:rsid w:val="002B40D3"/>
    <w:rsid w:val="002B4FD1"/>
    <w:rsid w:val="002B5573"/>
    <w:rsid w:val="002C1E62"/>
    <w:rsid w:val="002C41DF"/>
    <w:rsid w:val="002D0BDA"/>
    <w:rsid w:val="002D4899"/>
    <w:rsid w:val="002E5F0E"/>
    <w:rsid w:val="002F4327"/>
    <w:rsid w:val="002F7444"/>
    <w:rsid w:val="002F7944"/>
    <w:rsid w:val="00300CAC"/>
    <w:rsid w:val="003020AA"/>
    <w:rsid w:val="003071DF"/>
    <w:rsid w:val="003105DE"/>
    <w:rsid w:val="003156B8"/>
    <w:rsid w:val="003163F3"/>
    <w:rsid w:val="003173D3"/>
    <w:rsid w:val="0031788D"/>
    <w:rsid w:val="00322821"/>
    <w:rsid w:val="00323F4D"/>
    <w:rsid w:val="00325E58"/>
    <w:rsid w:val="00327832"/>
    <w:rsid w:val="00334417"/>
    <w:rsid w:val="003359EA"/>
    <w:rsid w:val="00336045"/>
    <w:rsid w:val="0033642F"/>
    <w:rsid w:val="003407C7"/>
    <w:rsid w:val="00341BEF"/>
    <w:rsid w:val="003449FE"/>
    <w:rsid w:val="00346CB8"/>
    <w:rsid w:val="00347C60"/>
    <w:rsid w:val="003500C4"/>
    <w:rsid w:val="00357563"/>
    <w:rsid w:val="00367B45"/>
    <w:rsid w:val="00371003"/>
    <w:rsid w:val="00371246"/>
    <w:rsid w:val="003746A5"/>
    <w:rsid w:val="00374D66"/>
    <w:rsid w:val="003755AB"/>
    <w:rsid w:val="00376EF8"/>
    <w:rsid w:val="00384B1E"/>
    <w:rsid w:val="00385C39"/>
    <w:rsid w:val="00390D2B"/>
    <w:rsid w:val="00392820"/>
    <w:rsid w:val="003975FD"/>
    <w:rsid w:val="00397B92"/>
    <w:rsid w:val="003A2A0A"/>
    <w:rsid w:val="003A2EDE"/>
    <w:rsid w:val="003A77B3"/>
    <w:rsid w:val="003B2C0E"/>
    <w:rsid w:val="003B3D69"/>
    <w:rsid w:val="003B3E87"/>
    <w:rsid w:val="003C22DB"/>
    <w:rsid w:val="003C7B3A"/>
    <w:rsid w:val="003D0AFB"/>
    <w:rsid w:val="003D2A0D"/>
    <w:rsid w:val="003D3435"/>
    <w:rsid w:val="003D57DB"/>
    <w:rsid w:val="003E2E97"/>
    <w:rsid w:val="003E40D3"/>
    <w:rsid w:val="003E52C4"/>
    <w:rsid w:val="003F232B"/>
    <w:rsid w:val="003F2F95"/>
    <w:rsid w:val="00404ACC"/>
    <w:rsid w:val="00405D9C"/>
    <w:rsid w:val="004136F5"/>
    <w:rsid w:val="00421D37"/>
    <w:rsid w:val="004230A6"/>
    <w:rsid w:val="00431394"/>
    <w:rsid w:val="00435CB4"/>
    <w:rsid w:val="0043663E"/>
    <w:rsid w:val="00436659"/>
    <w:rsid w:val="004463AC"/>
    <w:rsid w:val="004515DF"/>
    <w:rsid w:val="0045441D"/>
    <w:rsid w:val="004551C1"/>
    <w:rsid w:val="0045610F"/>
    <w:rsid w:val="0046084D"/>
    <w:rsid w:val="004622AA"/>
    <w:rsid w:val="0046468F"/>
    <w:rsid w:val="00465373"/>
    <w:rsid w:val="00470D4A"/>
    <w:rsid w:val="00473214"/>
    <w:rsid w:val="004733D0"/>
    <w:rsid w:val="00474B57"/>
    <w:rsid w:val="0047678E"/>
    <w:rsid w:val="00481EF4"/>
    <w:rsid w:val="00483E91"/>
    <w:rsid w:val="00484E36"/>
    <w:rsid w:val="004854A8"/>
    <w:rsid w:val="00494391"/>
    <w:rsid w:val="004964B0"/>
    <w:rsid w:val="004A1CF0"/>
    <w:rsid w:val="004B02DF"/>
    <w:rsid w:val="004B3DFA"/>
    <w:rsid w:val="004B6CD1"/>
    <w:rsid w:val="004B7C8A"/>
    <w:rsid w:val="004C4DC6"/>
    <w:rsid w:val="004D1A5A"/>
    <w:rsid w:val="004D1DE3"/>
    <w:rsid w:val="004D2429"/>
    <w:rsid w:val="004D3691"/>
    <w:rsid w:val="004D67C9"/>
    <w:rsid w:val="004E3E92"/>
    <w:rsid w:val="004F0748"/>
    <w:rsid w:val="004F0EAB"/>
    <w:rsid w:val="004F1947"/>
    <w:rsid w:val="004F2489"/>
    <w:rsid w:val="004F2EF0"/>
    <w:rsid w:val="004F498C"/>
    <w:rsid w:val="004F6719"/>
    <w:rsid w:val="004F7892"/>
    <w:rsid w:val="00503970"/>
    <w:rsid w:val="00505BD5"/>
    <w:rsid w:val="00505DE3"/>
    <w:rsid w:val="00506DC0"/>
    <w:rsid w:val="00507812"/>
    <w:rsid w:val="00511523"/>
    <w:rsid w:val="005118A2"/>
    <w:rsid w:val="005123DF"/>
    <w:rsid w:val="0051441D"/>
    <w:rsid w:val="00517C44"/>
    <w:rsid w:val="005217B2"/>
    <w:rsid w:val="00523AF2"/>
    <w:rsid w:val="0053243B"/>
    <w:rsid w:val="0053498A"/>
    <w:rsid w:val="00537490"/>
    <w:rsid w:val="005401A9"/>
    <w:rsid w:val="005407F4"/>
    <w:rsid w:val="005437BF"/>
    <w:rsid w:val="00544946"/>
    <w:rsid w:val="00550C8A"/>
    <w:rsid w:val="00553DB9"/>
    <w:rsid w:val="00555762"/>
    <w:rsid w:val="00555C7A"/>
    <w:rsid w:val="0055600F"/>
    <w:rsid w:val="005642E2"/>
    <w:rsid w:val="00565836"/>
    <w:rsid w:val="00565C5F"/>
    <w:rsid w:val="00573F36"/>
    <w:rsid w:val="0057449B"/>
    <w:rsid w:val="00577804"/>
    <w:rsid w:val="00587A9B"/>
    <w:rsid w:val="005974B7"/>
    <w:rsid w:val="005B568C"/>
    <w:rsid w:val="005B7FCB"/>
    <w:rsid w:val="005C0EB2"/>
    <w:rsid w:val="005C11A3"/>
    <w:rsid w:val="005C4EA9"/>
    <w:rsid w:val="005D328C"/>
    <w:rsid w:val="005D58D6"/>
    <w:rsid w:val="005D65BD"/>
    <w:rsid w:val="005E189C"/>
    <w:rsid w:val="005E5DA1"/>
    <w:rsid w:val="005E6DF7"/>
    <w:rsid w:val="005F1D1D"/>
    <w:rsid w:val="00602C67"/>
    <w:rsid w:val="0061063D"/>
    <w:rsid w:val="006138B5"/>
    <w:rsid w:val="00616859"/>
    <w:rsid w:val="00620283"/>
    <w:rsid w:val="0062030D"/>
    <w:rsid w:val="0062079E"/>
    <w:rsid w:val="006212B9"/>
    <w:rsid w:val="00623A43"/>
    <w:rsid w:val="006251E7"/>
    <w:rsid w:val="00626BE2"/>
    <w:rsid w:val="006357F5"/>
    <w:rsid w:val="00636C47"/>
    <w:rsid w:val="0063728D"/>
    <w:rsid w:val="00640D25"/>
    <w:rsid w:val="0064185E"/>
    <w:rsid w:val="00642950"/>
    <w:rsid w:val="006451A9"/>
    <w:rsid w:val="006503DB"/>
    <w:rsid w:val="00650CA8"/>
    <w:rsid w:val="00654627"/>
    <w:rsid w:val="006547DE"/>
    <w:rsid w:val="00661BBF"/>
    <w:rsid w:val="006706A7"/>
    <w:rsid w:val="006743EA"/>
    <w:rsid w:val="00677141"/>
    <w:rsid w:val="00683DA8"/>
    <w:rsid w:val="006853A3"/>
    <w:rsid w:val="00685B25"/>
    <w:rsid w:val="00692841"/>
    <w:rsid w:val="00692C7C"/>
    <w:rsid w:val="0069305F"/>
    <w:rsid w:val="00694136"/>
    <w:rsid w:val="00695370"/>
    <w:rsid w:val="006B102E"/>
    <w:rsid w:val="006B1B6C"/>
    <w:rsid w:val="006B3AB6"/>
    <w:rsid w:val="006C44F9"/>
    <w:rsid w:val="006C48DE"/>
    <w:rsid w:val="006C5636"/>
    <w:rsid w:val="006D3790"/>
    <w:rsid w:val="006D40C0"/>
    <w:rsid w:val="006D6527"/>
    <w:rsid w:val="006E21D9"/>
    <w:rsid w:val="006E7E9E"/>
    <w:rsid w:val="006F1153"/>
    <w:rsid w:val="006F1BD2"/>
    <w:rsid w:val="006F30CF"/>
    <w:rsid w:val="006F4D60"/>
    <w:rsid w:val="006F4DE8"/>
    <w:rsid w:val="00700BC3"/>
    <w:rsid w:val="00707830"/>
    <w:rsid w:val="00707C79"/>
    <w:rsid w:val="007100C1"/>
    <w:rsid w:val="007142A9"/>
    <w:rsid w:val="007155AE"/>
    <w:rsid w:val="00715D77"/>
    <w:rsid w:val="00720FB1"/>
    <w:rsid w:val="0072288F"/>
    <w:rsid w:val="007310C1"/>
    <w:rsid w:val="00731AFA"/>
    <w:rsid w:val="00731C62"/>
    <w:rsid w:val="00741E7E"/>
    <w:rsid w:val="0074356D"/>
    <w:rsid w:val="007562B5"/>
    <w:rsid w:val="007571E9"/>
    <w:rsid w:val="00761E53"/>
    <w:rsid w:val="007653BA"/>
    <w:rsid w:val="007740AC"/>
    <w:rsid w:val="00785017"/>
    <w:rsid w:val="00787E23"/>
    <w:rsid w:val="00791E53"/>
    <w:rsid w:val="007924BC"/>
    <w:rsid w:val="007930CC"/>
    <w:rsid w:val="007A22A5"/>
    <w:rsid w:val="007A729F"/>
    <w:rsid w:val="007A75AA"/>
    <w:rsid w:val="007A7A6D"/>
    <w:rsid w:val="007B1E72"/>
    <w:rsid w:val="007B2498"/>
    <w:rsid w:val="007B37B3"/>
    <w:rsid w:val="007B44E1"/>
    <w:rsid w:val="007B4C73"/>
    <w:rsid w:val="007B4E66"/>
    <w:rsid w:val="007C4165"/>
    <w:rsid w:val="007C733A"/>
    <w:rsid w:val="007D1BE0"/>
    <w:rsid w:val="007D2E96"/>
    <w:rsid w:val="007D31AB"/>
    <w:rsid w:val="007D387A"/>
    <w:rsid w:val="007D7770"/>
    <w:rsid w:val="007D7FED"/>
    <w:rsid w:val="007E113C"/>
    <w:rsid w:val="007E3035"/>
    <w:rsid w:val="007E55C6"/>
    <w:rsid w:val="007F1222"/>
    <w:rsid w:val="007F6B4C"/>
    <w:rsid w:val="008039D7"/>
    <w:rsid w:val="00806C30"/>
    <w:rsid w:val="00810124"/>
    <w:rsid w:val="00814192"/>
    <w:rsid w:val="008141FF"/>
    <w:rsid w:val="00820399"/>
    <w:rsid w:val="00821A3B"/>
    <w:rsid w:val="0082405A"/>
    <w:rsid w:val="00824770"/>
    <w:rsid w:val="0083177C"/>
    <w:rsid w:val="00833149"/>
    <w:rsid w:val="008348C5"/>
    <w:rsid w:val="0083594A"/>
    <w:rsid w:val="0083649F"/>
    <w:rsid w:val="0083791C"/>
    <w:rsid w:val="00837D3E"/>
    <w:rsid w:val="00840C44"/>
    <w:rsid w:val="0084620B"/>
    <w:rsid w:val="0085716B"/>
    <w:rsid w:val="008574BB"/>
    <w:rsid w:val="00862E94"/>
    <w:rsid w:val="008718D6"/>
    <w:rsid w:val="00873AF0"/>
    <w:rsid w:val="00874EB0"/>
    <w:rsid w:val="008758DD"/>
    <w:rsid w:val="0087702C"/>
    <w:rsid w:val="00882670"/>
    <w:rsid w:val="0088425E"/>
    <w:rsid w:val="008871AD"/>
    <w:rsid w:val="00890752"/>
    <w:rsid w:val="008924C7"/>
    <w:rsid w:val="0089251D"/>
    <w:rsid w:val="008A3387"/>
    <w:rsid w:val="008B1621"/>
    <w:rsid w:val="008B4939"/>
    <w:rsid w:val="008B5A4B"/>
    <w:rsid w:val="008B5E21"/>
    <w:rsid w:val="008B65E1"/>
    <w:rsid w:val="008B7DBB"/>
    <w:rsid w:val="008C0419"/>
    <w:rsid w:val="008C041A"/>
    <w:rsid w:val="008C64D9"/>
    <w:rsid w:val="008D061F"/>
    <w:rsid w:val="008D3CA2"/>
    <w:rsid w:val="008D3EC5"/>
    <w:rsid w:val="008D4C8E"/>
    <w:rsid w:val="008E6A22"/>
    <w:rsid w:val="008F6930"/>
    <w:rsid w:val="00901DF4"/>
    <w:rsid w:val="0091657A"/>
    <w:rsid w:val="0092451E"/>
    <w:rsid w:val="009245A6"/>
    <w:rsid w:val="00926F71"/>
    <w:rsid w:val="00933550"/>
    <w:rsid w:val="009335CC"/>
    <w:rsid w:val="009362CB"/>
    <w:rsid w:val="00943971"/>
    <w:rsid w:val="00945002"/>
    <w:rsid w:val="00951994"/>
    <w:rsid w:val="00961F06"/>
    <w:rsid w:val="009641A4"/>
    <w:rsid w:val="00967EEB"/>
    <w:rsid w:val="00973C62"/>
    <w:rsid w:val="00984838"/>
    <w:rsid w:val="00985EE6"/>
    <w:rsid w:val="00994371"/>
    <w:rsid w:val="00994856"/>
    <w:rsid w:val="00997685"/>
    <w:rsid w:val="009A004B"/>
    <w:rsid w:val="009A25D8"/>
    <w:rsid w:val="009A3CA2"/>
    <w:rsid w:val="009A57E7"/>
    <w:rsid w:val="009A5F41"/>
    <w:rsid w:val="009B7D94"/>
    <w:rsid w:val="009C0C1D"/>
    <w:rsid w:val="009C1D35"/>
    <w:rsid w:val="009C2E26"/>
    <w:rsid w:val="009C42D5"/>
    <w:rsid w:val="009C458B"/>
    <w:rsid w:val="009C550F"/>
    <w:rsid w:val="009C5A8D"/>
    <w:rsid w:val="009D11E9"/>
    <w:rsid w:val="009E3DF8"/>
    <w:rsid w:val="009E71CD"/>
    <w:rsid w:val="009F2262"/>
    <w:rsid w:val="009F65AB"/>
    <w:rsid w:val="00A0064C"/>
    <w:rsid w:val="00A07F5E"/>
    <w:rsid w:val="00A103E0"/>
    <w:rsid w:val="00A11617"/>
    <w:rsid w:val="00A12B36"/>
    <w:rsid w:val="00A140C1"/>
    <w:rsid w:val="00A14239"/>
    <w:rsid w:val="00A145A8"/>
    <w:rsid w:val="00A147D7"/>
    <w:rsid w:val="00A1568E"/>
    <w:rsid w:val="00A22791"/>
    <w:rsid w:val="00A2351A"/>
    <w:rsid w:val="00A23AAB"/>
    <w:rsid w:val="00A258E7"/>
    <w:rsid w:val="00A26CF4"/>
    <w:rsid w:val="00A34785"/>
    <w:rsid w:val="00A35C63"/>
    <w:rsid w:val="00A40EB7"/>
    <w:rsid w:val="00A43690"/>
    <w:rsid w:val="00A51E52"/>
    <w:rsid w:val="00A52053"/>
    <w:rsid w:val="00A6060E"/>
    <w:rsid w:val="00A60A0E"/>
    <w:rsid w:val="00A62B66"/>
    <w:rsid w:val="00A65F4E"/>
    <w:rsid w:val="00A74EFC"/>
    <w:rsid w:val="00A77286"/>
    <w:rsid w:val="00A77B4E"/>
    <w:rsid w:val="00A87B65"/>
    <w:rsid w:val="00A90CEC"/>
    <w:rsid w:val="00A95334"/>
    <w:rsid w:val="00A97F32"/>
    <w:rsid w:val="00AA1F6A"/>
    <w:rsid w:val="00AA2AE8"/>
    <w:rsid w:val="00AA40B8"/>
    <w:rsid w:val="00AA4D81"/>
    <w:rsid w:val="00AA5732"/>
    <w:rsid w:val="00AA72F3"/>
    <w:rsid w:val="00AB0135"/>
    <w:rsid w:val="00AB75B0"/>
    <w:rsid w:val="00AB7761"/>
    <w:rsid w:val="00AB77B0"/>
    <w:rsid w:val="00AC4884"/>
    <w:rsid w:val="00AC5D03"/>
    <w:rsid w:val="00AC6345"/>
    <w:rsid w:val="00AC6875"/>
    <w:rsid w:val="00AD33D8"/>
    <w:rsid w:val="00AE03D9"/>
    <w:rsid w:val="00AE0F48"/>
    <w:rsid w:val="00AE5236"/>
    <w:rsid w:val="00AE54D8"/>
    <w:rsid w:val="00AE6121"/>
    <w:rsid w:val="00AE6DCE"/>
    <w:rsid w:val="00AF423C"/>
    <w:rsid w:val="00B01479"/>
    <w:rsid w:val="00B05F64"/>
    <w:rsid w:val="00B10537"/>
    <w:rsid w:val="00B11AED"/>
    <w:rsid w:val="00B2024C"/>
    <w:rsid w:val="00B2221A"/>
    <w:rsid w:val="00B26C3C"/>
    <w:rsid w:val="00B3160C"/>
    <w:rsid w:val="00B31AEF"/>
    <w:rsid w:val="00B35716"/>
    <w:rsid w:val="00B36E9E"/>
    <w:rsid w:val="00B51EA0"/>
    <w:rsid w:val="00B5317F"/>
    <w:rsid w:val="00B60966"/>
    <w:rsid w:val="00B6233D"/>
    <w:rsid w:val="00B6274A"/>
    <w:rsid w:val="00B6468C"/>
    <w:rsid w:val="00B658A7"/>
    <w:rsid w:val="00B663E3"/>
    <w:rsid w:val="00B672BE"/>
    <w:rsid w:val="00B67B10"/>
    <w:rsid w:val="00B70339"/>
    <w:rsid w:val="00B71670"/>
    <w:rsid w:val="00B71B4C"/>
    <w:rsid w:val="00B743B7"/>
    <w:rsid w:val="00B74DF1"/>
    <w:rsid w:val="00B77E9F"/>
    <w:rsid w:val="00B91475"/>
    <w:rsid w:val="00BA22CB"/>
    <w:rsid w:val="00BA28FB"/>
    <w:rsid w:val="00BA509A"/>
    <w:rsid w:val="00BB0C0A"/>
    <w:rsid w:val="00BB49C1"/>
    <w:rsid w:val="00BB5D76"/>
    <w:rsid w:val="00BB6F12"/>
    <w:rsid w:val="00BC3F02"/>
    <w:rsid w:val="00BC7082"/>
    <w:rsid w:val="00BD1377"/>
    <w:rsid w:val="00BD3AD3"/>
    <w:rsid w:val="00BD3C08"/>
    <w:rsid w:val="00BE5523"/>
    <w:rsid w:val="00BE5575"/>
    <w:rsid w:val="00BF1413"/>
    <w:rsid w:val="00BF281D"/>
    <w:rsid w:val="00BF69B0"/>
    <w:rsid w:val="00BF71E7"/>
    <w:rsid w:val="00C013A3"/>
    <w:rsid w:val="00C107BE"/>
    <w:rsid w:val="00C11C7B"/>
    <w:rsid w:val="00C12F3F"/>
    <w:rsid w:val="00C16E7E"/>
    <w:rsid w:val="00C17618"/>
    <w:rsid w:val="00C20387"/>
    <w:rsid w:val="00C20938"/>
    <w:rsid w:val="00C21EBE"/>
    <w:rsid w:val="00C24372"/>
    <w:rsid w:val="00C266D2"/>
    <w:rsid w:val="00C4183C"/>
    <w:rsid w:val="00C45B37"/>
    <w:rsid w:val="00C52FC2"/>
    <w:rsid w:val="00C551C5"/>
    <w:rsid w:val="00C55382"/>
    <w:rsid w:val="00C5612C"/>
    <w:rsid w:val="00C577E4"/>
    <w:rsid w:val="00C61FE0"/>
    <w:rsid w:val="00C62765"/>
    <w:rsid w:val="00C6281A"/>
    <w:rsid w:val="00C66BB9"/>
    <w:rsid w:val="00C72353"/>
    <w:rsid w:val="00C74887"/>
    <w:rsid w:val="00C8334C"/>
    <w:rsid w:val="00C85F66"/>
    <w:rsid w:val="00C92972"/>
    <w:rsid w:val="00C92C05"/>
    <w:rsid w:val="00C9543F"/>
    <w:rsid w:val="00CB0C8A"/>
    <w:rsid w:val="00CB52B5"/>
    <w:rsid w:val="00CB718E"/>
    <w:rsid w:val="00CC0B80"/>
    <w:rsid w:val="00CC1C03"/>
    <w:rsid w:val="00CD00E7"/>
    <w:rsid w:val="00CD013D"/>
    <w:rsid w:val="00CD6604"/>
    <w:rsid w:val="00CE1482"/>
    <w:rsid w:val="00CE38D2"/>
    <w:rsid w:val="00CE5858"/>
    <w:rsid w:val="00CE6EF9"/>
    <w:rsid w:val="00CE7EE3"/>
    <w:rsid w:val="00CF1D2B"/>
    <w:rsid w:val="00CF70FF"/>
    <w:rsid w:val="00D01D0D"/>
    <w:rsid w:val="00D02039"/>
    <w:rsid w:val="00D04F73"/>
    <w:rsid w:val="00D05A26"/>
    <w:rsid w:val="00D079B8"/>
    <w:rsid w:val="00D11651"/>
    <w:rsid w:val="00D12BB1"/>
    <w:rsid w:val="00D13B30"/>
    <w:rsid w:val="00D1529C"/>
    <w:rsid w:val="00D2373D"/>
    <w:rsid w:val="00D24012"/>
    <w:rsid w:val="00D26A02"/>
    <w:rsid w:val="00D27C37"/>
    <w:rsid w:val="00D35DD9"/>
    <w:rsid w:val="00D36544"/>
    <w:rsid w:val="00D376EF"/>
    <w:rsid w:val="00D41359"/>
    <w:rsid w:val="00D43151"/>
    <w:rsid w:val="00D45DA0"/>
    <w:rsid w:val="00D46F54"/>
    <w:rsid w:val="00D5024D"/>
    <w:rsid w:val="00D52B4B"/>
    <w:rsid w:val="00D52ED0"/>
    <w:rsid w:val="00D53138"/>
    <w:rsid w:val="00D53B43"/>
    <w:rsid w:val="00D54CD5"/>
    <w:rsid w:val="00D65E39"/>
    <w:rsid w:val="00D7133F"/>
    <w:rsid w:val="00D71426"/>
    <w:rsid w:val="00D72B8E"/>
    <w:rsid w:val="00D74FA8"/>
    <w:rsid w:val="00D75FDE"/>
    <w:rsid w:val="00D76577"/>
    <w:rsid w:val="00D77275"/>
    <w:rsid w:val="00D83C05"/>
    <w:rsid w:val="00D87482"/>
    <w:rsid w:val="00D916BF"/>
    <w:rsid w:val="00D9281D"/>
    <w:rsid w:val="00D969D8"/>
    <w:rsid w:val="00DA79A4"/>
    <w:rsid w:val="00DB0B5F"/>
    <w:rsid w:val="00DB5297"/>
    <w:rsid w:val="00DB64DC"/>
    <w:rsid w:val="00DC75F1"/>
    <w:rsid w:val="00DD1F72"/>
    <w:rsid w:val="00DD7FED"/>
    <w:rsid w:val="00DE318A"/>
    <w:rsid w:val="00DE588C"/>
    <w:rsid w:val="00DE7583"/>
    <w:rsid w:val="00DF1357"/>
    <w:rsid w:val="00DF1E05"/>
    <w:rsid w:val="00DF59C6"/>
    <w:rsid w:val="00E00E98"/>
    <w:rsid w:val="00E01785"/>
    <w:rsid w:val="00E01A6A"/>
    <w:rsid w:val="00E108AE"/>
    <w:rsid w:val="00E11439"/>
    <w:rsid w:val="00E133D5"/>
    <w:rsid w:val="00E20C2B"/>
    <w:rsid w:val="00E2382E"/>
    <w:rsid w:val="00E2596F"/>
    <w:rsid w:val="00E32ADC"/>
    <w:rsid w:val="00E37E9F"/>
    <w:rsid w:val="00E41299"/>
    <w:rsid w:val="00E4783F"/>
    <w:rsid w:val="00E5057C"/>
    <w:rsid w:val="00E50916"/>
    <w:rsid w:val="00E51AE5"/>
    <w:rsid w:val="00E5326E"/>
    <w:rsid w:val="00E556F7"/>
    <w:rsid w:val="00E57368"/>
    <w:rsid w:val="00E63122"/>
    <w:rsid w:val="00E6416F"/>
    <w:rsid w:val="00E65F60"/>
    <w:rsid w:val="00E70746"/>
    <w:rsid w:val="00E70E47"/>
    <w:rsid w:val="00E71A48"/>
    <w:rsid w:val="00E74FD5"/>
    <w:rsid w:val="00E76D17"/>
    <w:rsid w:val="00E84CF5"/>
    <w:rsid w:val="00E90AF2"/>
    <w:rsid w:val="00E9119D"/>
    <w:rsid w:val="00E92DE5"/>
    <w:rsid w:val="00E9676F"/>
    <w:rsid w:val="00E96AC8"/>
    <w:rsid w:val="00E97017"/>
    <w:rsid w:val="00E97BA6"/>
    <w:rsid w:val="00EA078E"/>
    <w:rsid w:val="00EA09F1"/>
    <w:rsid w:val="00EA289C"/>
    <w:rsid w:val="00EA52F5"/>
    <w:rsid w:val="00EA6805"/>
    <w:rsid w:val="00EC08F6"/>
    <w:rsid w:val="00EC28D0"/>
    <w:rsid w:val="00EC2BAF"/>
    <w:rsid w:val="00EC75B6"/>
    <w:rsid w:val="00EC7E02"/>
    <w:rsid w:val="00ED0C9D"/>
    <w:rsid w:val="00ED1112"/>
    <w:rsid w:val="00ED1F13"/>
    <w:rsid w:val="00ED3979"/>
    <w:rsid w:val="00ED6CF3"/>
    <w:rsid w:val="00ED76D8"/>
    <w:rsid w:val="00EE4735"/>
    <w:rsid w:val="00EE55D7"/>
    <w:rsid w:val="00EE67E9"/>
    <w:rsid w:val="00EF532A"/>
    <w:rsid w:val="00EF64B6"/>
    <w:rsid w:val="00EF6D4D"/>
    <w:rsid w:val="00EF6E05"/>
    <w:rsid w:val="00EF6EAE"/>
    <w:rsid w:val="00F008B8"/>
    <w:rsid w:val="00F01674"/>
    <w:rsid w:val="00F019FC"/>
    <w:rsid w:val="00F04B0C"/>
    <w:rsid w:val="00F0715D"/>
    <w:rsid w:val="00F101CF"/>
    <w:rsid w:val="00F124A1"/>
    <w:rsid w:val="00F124AF"/>
    <w:rsid w:val="00F124CD"/>
    <w:rsid w:val="00F129E8"/>
    <w:rsid w:val="00F1438A"/>
    <w:rsid w:val="00F14937"/>
    <w:rsid w:val="00F216D6"/>
    <w:rsid w:val="00F226B9"/>
    <w:rsid w:val="00F240FB"/>
    <w:rsid w:val="00F243DF"/>
    <w:rsid w:val="00F277F1"/>
    <w:rsid w:val="00F30C32"/>
    <w:rsid w:val="00F318A1"/>
    <w:rsid w:val="00F339F6"/>
    <w:rsid w:val="00F34AEC"/>
    <w:rsid w:val="00F350D7"/>
    <w:rsid w:val="00F35A3A"/>
    <w:rsid w:val="00F362B2"/>
    <w:rsid w:val="00F36871"/>
    <w:rsid w:val="00F44992"/>
    <w:rsid w:val="00F461C9"/>
    <w:rsid w:val="00F47C6C"/>
    <w:rsid w:val="00F52315"/>
    <w:rsid w:val="00F53746"/>
    <w:rsid w:val="00F5412F"/>
    <w:rsid w:val="00F55531"/>
    <w:rsid w:val="00F57C6C"/>
    <w:rsid w:val="00F60E46"/>
    <w:rsid w:val="00F61BA3"/>
    <w:rsid w:val="00F64509"/>
    <w:rsid w:val="00F650ED"/>
    <w:rsid w:val="00F661FC"/>
    <w:rsid w:val="00F800AA"/>
    <w:rsid w:val="00F92647"/>
    <w:rsid w:val="00FA1DFC"/>
    <w:rsid w:val="00FA4FDE"/>
    <w:rsid w:val="00FA5B05"/>
    <w:rsid w:val="00FA6796"/>
    <w:rsid w:val="00FA7359"/>
    <w:rsid w:val="00FC03A0"/>
    <w:rsid w:val="00FC149E"/>
    <w:rsid w:val="00FC281D"/>
    <w:rsid w:val="00FC45B8"/>
    <w:rsid w:val="00FD10C3"/>
    <w:rsid w:val="00FD631B"/>
    <w:rsid w:val="00FD6AE6"/>
    <w:rsid w:val="00FE0E28"/>
    <w:rsid w:val="00FE32E3"/>
    <w:rsid w:val="00FE7411"/>
    <w:rsid w:val="00FF0DD3"/>
    <w:rsid w:val="00FF6C89"/>
    <w:rsid w:val="00FF6CC2"/>
    <w:rsid w:val="00FF7E96"/>
    <w:rsid w:val="01B175BA"/>
    <w:rsid w:val="01F503B3"/>
    <w:rsid w:val="02479445"/>
    <w:rsid w:val="02E7A0D6"/>
    <w:rsid w:val="03831EC5"/>
    <w:rsid w:val="05B9A69F"/>
    <w:rsid w:val="07341FFC"/>
    <w:rsid w:val="0942CDD6"/>
    <w:rsid w:val="0957A62C"/>
    <w:rsid w:val="09933BB7"/>
    <w:rsid w:val="0B468171"/>
    <w:rsid w:val="0B7E50F4"/>
    <w:rsid w:val="0BB6E794"/>
    <w:rsid w:val="0BCF49A7"/>
    <w:rsid w:val="0CFA49EB"/>
    <w:rsid w:val="0E425B34"/>
    <w:rsid w:val="0F1D9AB8"/>
    <w:rsid w:val="116BD0F4"/>
    <w:rsid w:val="12630509"/>
    <w:rsid w:val="14648D01"/>
    <w:rsid w:val="16D86DD9"/>
    <w:rsid w:val="1981A191"/>
    <w:rsid w:val="1AA114F2"/>
    <w:rsid w:val="1AA5538C"/>
    <w:rsid w:val="1C0B056E"/>
    <w:rsid w:val="1C14E363"/>
    <w:rsid w:val="1F83A44B"/>
    <w:rsid w:val="1FD0AC83"/>
    <w:rsid w:val="200F5274"/>
    <w:rsid w:val="2387C16C"/>
    <w:rsid w:val="242576C7"/>
    <w:rsid w:val="24676824"/>
    <w:rsid w:val="24FB195B"/>
    <w:rsid w:val="251E83F7"/>
    <w:rsid w:val="254E487B"/>
    <w:rsid w:val="259D0474"/>
    <w:rsid w:val="25A8F21D"/>
    <w:rsid w:val="267E5664"/>
    <w:rsid w:val="26D68337"/>
    <w:rsid w:val="29515645"/>
    <w:rsid w:val="29834092"/>
    <w:rsid w:val="2BAAD05F"/>
    <w:rsid w:val="2C30D4D8"/>
    <w:rsid w:val="2D540527"/>
    <w:rsid w:val="2DD0C6A2"/>
    <w:rsid w:val="2E4E33C6"/>
    <w:rsid w:val="2F9F002B"/>
    <w:rsid w:val="30A254EB"/>
    <w:rsid w:val="30B77DD2"/>
    <w:rsid w:val="321DAF55"/>
    <w:rsid w:val="325E5745"/>
    <w:rsid w:val="32B03929"/>
    <w:rsid w:val="332AD25F"/>
    <w:rsid w:val="342B33BD"/>
    <w:rsid w:val="357F5244"/>
    <w:rsid w:val="364536DC"/>
    <w:rsid w:val="36A7955A"/>
    <w:rsid w:val="3BD171D5"/>
    <w:rsid w:val="3DA5D9A5"/>
    <w:rsid w:val="3E315ECE"/>
    <w:rsid w:val="41E82DD9"/>
    <w:rsid w:val="4472F99D"/>
    <w:rsid w:val="458D1893"/>
    <w:rsid w:val="47ACA419"/>
    <w:rsid w:val="48F36ADF"/>
    <w:rsid w:val="4A0935DB"/>
    <w:rsid w:val="4A9C2999"/>
    <w:rsid w:val="4CD02A82"/>
    <w:rsid w:val="4CE700D5"/>
    <w:rsid w:val="50E97BA7"/>
    <w:rsid w:val="5574DEB3"/>
    <w:rsid w:val="55C42E97"/>
    <w:rsid w:val="55F77D1A"/>
    <w:rsid w:val="56D975E2"/>
    <w:rsid w:val="56DB289D"/>
    <w:rsid w:val="56F9D576"/>
    <w:rsid w:val="577E3164"/>
    <w:rsid w:val="5B1AC8C4"/>
    <w:rsid w:val="5CAB575B"/>
    <w:rsid w:val="60327C20"/>
    <w:rsid w:val="60D3A32C"/>
    <w:rsid w:val="61A51103"/>
    <w:rsid w:val="62472C51"/>
    <w:rsid w:val="65DEC7B5"/>
    <w:rsid w:val="6D78C370"/>
    <w:rsid w:val="6E6A1426"/>
    <w:rsid w:val="70522E4D"/>
    <w:rsid w:val="72F54743"/>
    <w:rsid w:val="74AD8DAB"/>
    <w:rsid w:val="75B96D7C"/>
    <w:rsid w:val="77BC70BD"/>
    <w:rsid w:val="78845443"/>
    <w:rsid w:val="794A862B"/>
    <w:rsid w:val="7A486341"/>
    <w:rsid w:val="7AB1F3BC"/>
    <w:rsid w:val="7C002D6F"/>
    <w:rsid w:val="7E6A7C0B"/>
    <w:rsid w:val="7FF150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DEAEF"/>
  <w15:chartTrackingRefBased/>
  <w15:docId w15:val="{92BABA92-6A35-4F2A-831B-2CE019A2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7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7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7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7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7F4"/>
    <w:rPr>
      <w:rFonts w:eastAsiaTheme="majorEastAsia" w:cstheme="majorBidi"/>
      <w:color w:val="272727" w:themeColor="text1" w:themeTint="D8"/>
    </w:rPr>
  </w:style>
  <w:style w:type="paragraph" w:styleId="Title">
    <w:name w:val="Title"/>
    <w:basedOn w:val="Normal"/>
    <w:next w:val="Normal"/>
    <w:link w:val="TitleChar"/>
    <w:uiPriority w:val="10"/>
    <w:qFormat/>
    <w:rsid w:val="005407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7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7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07F4"/>
    <w:rPr>
      <w:i/>
      <w:iCs/>
      <w:color w:val="404040" w:themeColor="text1" w:themeTint="BF"/>
    </w:rPr>
  </w:style>
  <w:style w:type="paragraph" w:styleId="ListParagraph">
    <w:name w:val="List Paragraph"/>
    <w:basedOn w:val="Normal"/>
    <w:uiPriority w:val="34"/>
    <w:qFormat/>
    <w:rsid w:val="005407F4"/>
    <w:pPr>
      <w:ind w:left="720"/>
      <w:contextualSpacing/>
    </w:pPr>
  </w:style>
  <w:style w:type="character" w:styleId="IntenseEmphasis">
    <w:name w:val="Intense Emphasis"/>
    <w:basedOn w:val="DefaultParagraphFont"/>
    <w:uiPriority w:val="21"/>
    <w:qFormat/>
    <w:rsid w:val="005407F4"/>
    <w:rPr>
      <w:i/>
      <w:iCs/>
      <w:color w:val="0F4761" w:themeColor="accent1" w:themeShade="BF"/>
    </w:rPr>
  </w:style>
  <w:style w:type="paragraph" w:styleId="IntenseQuote">
    <w:name w:val="Intense Quote"/>
    <w:basedOn w:val="Normal"/>
    <w:next w:val="Normal"/>
    <w:link w:val="IntenseQuoteChar"/>
    <w:uiPriority w:val="30"/>
    <w:qFormat/>
    <w:rsid w:val="00540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7F4"/>
    <w:rPr>
      <w:i/>
      <w:iCs/>
      <w:color w:val="0F4761" w:themeColor="accent1" w:themeShade="BF"/>
    </w:rPr>
  </w:style>
  <w:style w:type="character" w:styleId="IntenseReference">
    <w:name w:val="Intense Reference"/>
    <w:basedOn w:val="DefaultParagraphFont"/>
    <w:uiPriority w:val="32"/>
    <w:qFormat/>
    <w:rsid w:val="005407F4"/>
    <w:rPr>
      <w:b/>
      <w:bCs/>
      <w:smallCaps/>
      <w:color w:val="0F4761" w:themeColor="accent1" w:themeShade="BF"/>
      <w:spacing w:val="5"/>
    </w:rPr>
  </w:style>
  <w:style w:type="paragraph" w:styleId="Header">
    <w:name w:val="header"/>
    <w:basedOn w:val="Normal"/>
    <w:link w:val="HeaderChar"/>
    <w:uiPriority w:val="99"/>
    <w:unhideWhenUsed/>
    <w:rsid w:val="005407F4"/>
    <w:pPr>
      <w:tabs>
        <w:tab w:val="center" w:pos="4513"/>
        <w:tab w:val="right" w:pos="9026"/>
      </w:tabs>
    </w:pPr>
  </w:style>
  <w:style w:type="character" w:customStyle="1" w:styleId="HeaderChar">
    <w:name w:val="Header Char"/>
    <w:basedOn w:val="DefaultParagraphFont"/>
    <w:link w:val="Header"/>
    <w:uiPriority w:val="99"/>
    <w:rsid w:val="005407F4"/>
  </w:style>
  <w:style w:type="paragraph" w:styleId="Footer">
    <w:name w:val="footer"/>
    <w:basedOn w:val="Normal"/>
    <w:link w:val="FooterChar"/>
    <w:uiPriority w:val="99"/>
    <w:unhideWhenUsed/>
    <w:rsid w:val="005407F4"/>
    <w:pPr>
      <w:tabs>
        <w:tab w:val="center" w:pos="4513"/>
        <w:tab w:val="right" w:pos="9026"/>
      </w:tabs>
    </w:pPr>
  </w:style>
  <w:style w:type="character" w:customStyle="1" w:styleId="FooterChar">
    <w:name w:val="Footer Char"/>
    <w:basedOn w:val="DefaultParagraphFont"/>
    <w:link w:val="Footer"/>
    <w:uiPriority w:val="99"/>
    <w:rsid w:val="005407F4"/>
  </w:style>
  <w:style w:type="character" w:styleId="Hyperlink">
    <w:name w:val="Hyperlink"/>
    <w:basedOn w:val="DefaultParagraphFont"/>
    <w:uiPriority w:val="99"/>
    <w:unhideWhenUsed/>
    <w:rsid w:val="00F008B8"/>
    <w:rPr>
      <w:color w:val="467886" w:themeColor="hyperlink"/>
      <w:u w:val="single"/>
    </w:rPr>
  </w:style>
  <w:style w:type="character" w:styleId="UnresolvedMention">
    <w:name w:val="Unresolved Mention"/>
    <w:basedOn w:val="DefaultParagraphFont"/>
    <w:uiPriority w:val="99"/>
    <w:semiHidden/>
    <w:unhideWhenUsed/>
    <w:rsid w:val="00F008B8"/>
    <w:rPr>
      <w:color w:val="605E5C"/>
      <w:shd w:val="clear" w:color="auto" w:fill="E1DFDD"/>
    </w:rPr>
  </w:style>
  <w:style w:type="paragraph" w:styleId="ListBullet">
    <w:name w:val="List Bullet"/>
    <w:basedOn w:val="Normal"/>
    <w:uiPriority w:val="99"/>
    <w:qFormat/>
    <w:rsid w:val="000B0BB4"/>
    <w:pPr>
      <w:numPr>
        <w:numId w:val="1"/>
      </w:numPr>
      <w:spacing w:before="120" w:after="120" w:line="276" w:lineRule="auto"/>
    </w:pPr>
    <w:rPr>
      <w:kern w:val="0"/>
      <w:sz w:val="22"/>
      <w:szCs w:val="22"/>
      <w14:ligatures w14:val="none"/>
    </w:rPr>
  </w:style>
  <w:style w:type="paragraph" w:styleId="ListBullet2">
    <w:name w:val="List Bullet 2"/>
    <w:basedOn w:val="Normal"/>
    <w:uiPriority w:val="8"/>
    <w:qFormat/>
    <w:rsid w:val="000B0BB4"/>
    <w:pPr>
      <w:numPr>
        <w:ilvl w:val="1"/>
        <w:numId w:val="1"/>
      </w:numPr>
      <w:spacing w:before="120" w:after="120" w:line="276" w:lineRule="auto"/>
      <w:contextualSpacing/>
    </w:pPr>
    <w:rPr>
      <w:kern w:val="0"/>
      <w:sz w:val="22"/>
      <w:szCs w:val="22"/>
      <w14:ligatures w14:val="none"/>
    </w:rPr>
  </w:style>
  <w:style w:type="numbering" w:customStyle="1" w:styleId="List1">
    <w:name w:val="List1"/>
    <w:basedOn w:val="NoList"/>
    <w:uiPriority w:val="99"/>
    <w:rsid w:val="000B0BB4"/>
    <w:pPr>
      <w:numPr>
        <w:numId w:val="1"/>
      </w:numPr>
    </w:pPr>
  </w:style>
  <w:style w:type="paragraph" w:styleId="ListBullet3">
    <w:name w:val="List Bullet 3"/>
    <w:basedOn w:val="Normal"/>
    <w:uiPriority w:val="99"/>
    <w:semiHidden/>
    <w:rsid w:val="000B0BB4"/>
    <w:pPr>
      <w:numPr>
        <w:ilvl w:val="2"/>
        <w:numId w:val="1"/>
      </w:numPr>
      <w:spacing w:after="200" w:line="276" w:lineRule="auto"/>
      <w:contextualSpacing/>
    </w:pPr>
    <w:rPr>
      <w:kern w:val="0"/>
      <w:sz w:val="22"/>
      <w:szCs w:val="22"/>
      <w14:ligatures w14:val="none"/>
    </w:rPr>
  </w:style>
  <w:style w:type="paragraph" w:styleId="FootnoteText">
    <w:name w:val="footnote text"/>
    <w:basedOn w:val="Normal"/>
    <w:link w:val="FootnoteTextChar"/>
    <w:uiPriority w:val="99"/>
    <w:semiHidden/>
    <w:unhideWhenUsed/>
    <w:rsid w:val="000B0BB4"/>
    <w:rPr>
      <w:kern w:val="0"/>
      <w:sz w:val="20"/>
      <w:szCs w:val="20"/>
      <w14:ligatures w14:val="none"/>
    </w:rPr>
  </w:style>
  <w:style w:type="character" w:customStyle="1" w:styleId="FootnoteTextChar">
    <w:name w:val="Footnote Text Char"/>
    <w:basedOn w:val="DefaultParagraphFont"/>
    <w:link w:val="FootnoteText"/>
    <w:uiPriority w:val="99"/>
    <w:semiHidden/>
    <w:rsid w:val="000B0BB4"/>
    <w:rPr>
      <w:kern w:val="0"/>
      <w:sz w:val="20"/>
      <w:szCs w:val="20"/>
      <w14:ligatures w14:val="none"/>
    </w:rPr>
  </w:style>
  <w:style w:type="character" w:styleId="FootnoteReference">
    <w:name w:val="footnote reference"/>
    <w:basedOn w:val="DefaultParagraphFont"/>
    <w:uiPriority w:val="99"/>
    <w:semiHidden/>
    <w:unhideWhenUsed/>
    <w:rsid w:val="000B0BB4"/>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277F1"/>
  </w:style>
  <w:style w:type="paragraph" w:styleId="CommentSubject">
    <w:name w:val="annotation subject"/>
    <w:basedOn w:val="CommentText"/>
    <w:next w:val="CommentText"/>
    <w:link w:val="CommentSubjectChar"/>
    <w:uiPriority w:val="99"/>
    <w:semiHidden/>
    <w:unhideWhenUsed/>
    <w:rsid w:val="00837D3E"/>
    <w:rPr>
      <w:b/>
      <w:bCs/>
    </w:rPr>
  </w:style>
  <w:style w:type="character" w:customStyle="1" w:styleId="CommentSubjectChar">
    <w:name w:val="Comment Subject Char"/>
    <w:basedOn w:val="CommentTextChar"/>
    <w:link w:val="CommentSubject"/>
    <w:uiPriority w:val="99"/>
    <w:semiHidden/>
    <w:rsid w:val="00837D3E"/>
    <w:rPr>
      <w:b/>
      <w:bCs/>
      <w:sz w:val="20"/>
      <w:szCs w:val="20"/>
    </w:rPr>
  </w:style>
  <w:style w:type="paragraph" w:styleId="NormalWeb">
    <w:name w:val="Normal (Web)"/>
    <w:basedOn w:val="Normal"/>
    <w:uiPriority w:val="99"/>
    <w:unhideWhenUsed/>
    <w:rsid w:val="001F6744"/>
    <w:pPr>
      <w:spacing w:before="100" w:beforeAutospacing="1" w:after="100" w:afterAutospacing="1"/>
    </w:pPr>
    <w:rPr>
      <w:rFonts w:ascii="Times New Roman" w:eastAsia="Times New Roman" w:hAnsi="Times New Roman" w:cs="Times New Roman"/>
      <w:kern w:val="0"/>
      <w:lang w:eastAsia="en-AU"/>
      <w14:ligatures w14:val="none"/>
    </w:rPr>
  </w:style>
  <w:style w:type="character" w:styleId="FollowedHyperlink">
    <w:name w:val="FollowedHyperlink"/>
    <w:basedOn w:val="DefaultParagraphFont"/>
    <w:uiPriority w:val="99"/>
    <w:semiHidden/>
    <w:unhideWhenUsed/>
    <w:rsid w:val="002B40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49178">
      <w:bodyDiv w:val="1"/>
      <w:marLeft w:val="0"/>
      <w:marRight w:val="0"/>
      <w:marTop w:val="0"/>
      <w:marBottom w:val="0"/>
      <w:divBdr>
        <w:top w:val="none" w:sz="0" w:space="0" w:color="auto"/>
        <w:left w:val="none" w:sz="0" w:space="0" w:color="auto"/>
        <w:bottom w:val="none" w:sz="0" w:space="0" w:color="auto"/>
        <w:right w:val="none" w:sz="0" w:space="0" w:color="auto"/>
      </w:divBdr>
      <w:divsChild>
        <w:div w:id="233709725">
          <w:marLeft w:val="0"/>
          <w:marRight w:val="0"/>
          <w:marTop w:val="0"/>
          <w:marBottom w:val="0"/>
          <w:divBdr>
            <w:top w:val="none" w:sz="0" w:space="0" w:color="auto"/>
            <w:left w:val="none" w:sz="0" w:space="0" w:color="auto"/>
            <w:bottom w:val="none" w:sz="0" w:space="0" w:color="auto"/>
            <w:right w:val="none" w:sz="0" w:space="0" w:color="auto"/>
          </w:divBdr>
        </w:div>
        <w:div w:id="250241456">
          <w:marLeft w:val="0"/>
          <w:marRight w:val="0"/>
          <w:marTop w:val="0"/>
          <w:marBottom w:val="0"/>
          <w:divBdr>
            <w:top w:val="none" w:sz="0" w:space="0" w:color="auto"/>
            <w:left w:val="none" w:sz="0" w:space="0" w:color="auto"/>
            <w:bottom w:val="none" w:sz="0" w:space="0" w:color="auto"/>
            <w:right w:val="none" w:sz="0" w:space="0" w:color="auto"/>
          </w:divBdr>
        </w:div>
        <w:div w:id="318730167">
          <w:marLeft w:val="0"/>
          <w:marRight w:val="0"/>
          <w:marTop w:val="0"/>
          <w:marBottom w:val="0"/>
          <w:divBdr>
            <w:top w:val="none" w:sz="0" w:space="0" w:color="auto"/>
            <w:left w:val="none" w:sz="0" w:space="0" w:color="auto"/>
            <w:bottom w:val="none" w:sz="0" w:space="0" w:color="auto"/>
            <w:right w:val="none" w:sz="0" w:space="0" w:color="auto"/>
          </w:divBdr>
        </w:div>
        <w:div w:id="463693419">
          <w:marLeft w:val="0"/>
          <w:marRight w:val="0"/>
          <w:marTop w:val="0"/>
          <w:marBottom w:val="0"/>
          <w:divBdr>
            <w:top w:val="none" w:sz="0" w:space="0" w:color="auto"/>
            <w:left w:val="none" w:sz="0" w:space="0" w:color="auto"/>
            <w:bottom w:val="none" w:sz="0" w:space="0" w:color="auto"/>
            <w:right w:val="none" w:sz="0" w:space="0" w:color="auto"/>
          </w:divBdr>
        </w:div>
        <w:div w:id="466050723">
          <w:marLeft w:val="0"/>
          <w:marRight w:val="0"/>
          <w:marTop w:val="0"/>
          <w:marBottom w:val="0"/>
          <w:divBdr>
            <w:top w:val="none" w:sz="0" w:space="0" w:color="auto"/>
            <w:left w:val="none" w:sz="0" w:space="0" w:color="auto"/>
            <w:bottom w:val="none" w:sz="0" w:space="0" w:color="auto"/>
            <w:right w:val="none" w:sz="0" w:space="0" w:color="auto"/>
          </w:divBdr>
        </w:div>
        <w:div w:id="511379282">
          <w:marLeft w:val="0"/>
          <w:marRight w:val="0"/>
          <w:marTop w:val="0"/>
          <w:marBottom w:val="0"/>
          <w:divBdr>
            <w:top w:val="none" w:sz="0" w:space="0" w:color="auto"/>
            <w:left w:val="none" w:sz="0" w:space="0" w:color="auto"/>
            <w:bottom w:val="none" w:sz="0" w:space="0" w:color="auto"/>
            <w:right w:val="none" w:sz="0" w:space="0" w:color="auto"/>
          </w:divBdr>
        </w:div>
        <w:div w:id="608247030">
          <w:marLeft w:val="0"/>
          <w:marRight w:val="0"/>
          <w:marTop w:val="0"/>
          <w:marBottom w:val="0"/>
          <w:divBdr>
            <w:top w:val="none" w:sz="0" w:space="0" w:color="auto"/>
            <w:left w:val="none" w:sz="0" w:space="0" w:color="auto"/>
            <w:bottom w:val="none" w:sz="0" w:space="0" w:color="auto"/>
            <w:right w:val="none" w:sz="0" w:space="0" w:color="auto"/>
          </w:divBdr>
        </w:div>
        <w:div w:id="625086852">
          <w:marLeft w:val="0"/>
          <w:marRight w:val="0"/>
          <w:marTop w:val="0"/>
          <w:marBottom w:val="0"/>
          <w:divBdr>
            <w:top w:val="none" w:sz="0" w:space="0" w:color="auto"/>
            <w:left w:val="none" w:sz="0" w:space="0" w:color="auto"/>
            <w:bottom w:val="none" w:sz="0" w:space="0" w:color="auto"/>
            <w:right w:val="none" w:sz="0" w:space="0" w:color="auto"/>
          </w:divBdr>
        </w:div>
        <w:div w:id="662708252">
          <w:marLeft w:val="0"/>
          <w:marRight w:val="0"/>
          <w:marTop w:val="0"/>
          <w:marBottom w:val="0"/>
          <w:divBdr>
            <w:top w:val="none" w:sz="0" w:space="0" w:color="auto"/>
            <w:left w:val="none" w:sz="0" w:space="0" w:color="auto"/>
            <w:bottom w:val="none" w:sz="0" w:space="0" w:color="auto"/>
            <w:right w:val="none" w:sz="0" w:space="0" w:color="auto"/>
          </w:divBdr>
        </w:div>
        <w:div w:id="675770725">
          <w:marLeft w:val="0"/>
          <w:marRight w:val="0"/>
          <w:marTop w:val="0"/>
          <w:marBottom w:val="0"/>
          <w:divBdr>
            <w:top w:val="none" w:sz="0" w:space="0" w:color="auto"/>
            <w:left w:val="none" w:sz="0" w:space="0" w:color="auto"/>
            <w:bottom w:val="none" w:sz="0" w:space="0" w:color="auto"/>
            <w:right w:val="none" w:sz="0" w:space="0" w:color="auto"/>
          </w:divBdr>
        </w:div>
        <w:div w:id="726994376">
          <w:marLeft w:val="0"/>
          <w:marRight w:val="0"/>
          <w:marTop w:val="0"/>
          <w:marBottom w:val="0"/>
          <w:divBdr>
            <w:top w:val="none" w:sz="0" w:space="0" w:color="auto"/>
            <w:left w:val="none" w:sz="0" w:space="0" w:color="auto"/>
            <w:bottom w:val="none" w:sz="0" w:space="0" w:color="auto"/>
            <w:right w:val="none" w:sz="0" w:space="0" w:color="auto"/>
          </w:divBdr>
        </w:div>
        <w:div w:id="777990328">
          <w:marLeft w:val="0"/>
          <w:marRight w:val="0"/>
          <w:marTop w:val="0"/>
          <w:marBottom w:val="0"/>
          <w:divBdr>
            <w:top w:val="none" w:sz="0" w:space="0" w:color="auto"/>
            <w:left w:val="none" w:sz="0" w:space="0" w:color="auto"/>
            <w:bottom w:val="none" w:sz="0" w:space="0" w:color="auto"/>
            <w:right w:val="none" w:sz="0" w:space="0" w:color="auto"/>
          </w:divBdr>
        </w:div>
        <w:div w:id="852770018">
          <w:marLeft w:val="0"/>
          <w:marRight w:val="0"/>
          <w:marTop w:val="0"/>
          <w:marBottom w:val="0"/>
          <w:divBdr>
            <w:top w:val="none" w:sz="0" w:space="0" w:color="auto"/>
            <w:left w:val="none" w:sz="0" w:space="0" w:color="auto"/>
            <w:bottom w:val="none" w:sz="0" w:space="0" w:color="auto"/>
            <w:right w:val="none" w:sz="0" w:space="0" w:color="auto"/>
          </w:divBdr>
        </w:div>
        <w:div w:id="923534925">
          <w:marLeft w:val="0"/>
          <w:marRight w:val="0"/>
          <w:marTop w:val="0"/>
          <w:marBottom w:val="0"/>
          <w:divBdr>
            <w:top w:val="none" w:sz="0" w:space="0" w:color="auto"/>
            <w:left w:val="none" w:sz="0" w:space="0" w:color="auto"/>
            <w:bottom w:val="none" w:sz="0" w:space="0" w:color="auto"/>
            <w:right w:val="none" w:sz="0" w:space="0" w:color="auto"/>
          </w:divBdr>
        </w:div>
        <w:div w:id="929435696">
          <w:marLeft w:val="0"/>
          <w:marRight w:val="0"/>
          <w:marTop w:val="0"/>
          <w:marBottom w:val="0"/>
          <w:divBdr>
            <w:top w:val="none" w:sz="0" w:space="0" w:color="auto"/>
            <w:left w:val="none" w:sz="0" w:space="0" w:color="auto"/>
            <w:bottom w:val="none" w:sz="0" w:space="0" w:color="auto"/>
            <w:right w:val="none" w:sz="0" w:space="0" w:color="auto"/>
          </w:divBdr>
        </w:div>
        <w:div w:id="965041031">
          <w:marLeft w:val="0"/>
          <w:marRight w:val="0"/>
          <w:marTop w:val="0"/>
          <w:marBottom w:val="0"/>
          <w:divBdr>
            <w:top w:val="none" w:sz="0" w:space="0" w:color="auto"/>
            <w:left w:val="none" w:sz="0" w:space="0" w:color="auto"/>
            <w:bottom w:val="none" w:sz="0" w:space="0" w:color="auto"/>
            <w:right w:val="none" w:sz="0" w:space="0" w:color="auto"/>
          </w:divBdr>
        </w:div>
        <w:div w:id="1092554655">
          <w:marLeft w:val="0"/>
          <w:marRight w:val="0"/>
          <w:marTop w:val="0"/>
          <w:marBottom w:val="0"/>
          <w:divBdr>
            <w:top w:val="none" w:sz="0" w:space="0" w:color="auto"/>
            <w:left w:val="none" w:sz="0" w:space="0" w:color="auto"/>
            <w:bottom w:val="none" w:sz="0" w:space="0" w:color="auto"/>
            <w:right w:val="none" w:sz="0" w:space="0" w:color="auto"/>
          </w:divBdr>
        </w:div>
        <w:div w:id="1263150665">
          <w:marLeft w:val="0"/>
          <w:marRight w:val="0"/>
          <w:marTop w:val="0"/>
          <w:marBottom w:val="0"/>
          <w:divBdr>
            <w:top w:val="none" w:sz="0" w:space="0" w:color="auto"/>
            <w:left w:val="none" w:sz="0" w:space="0" w:color="auto"/>
            <w:bottom w:val="none" w:sz="0" w:space="0" w:color="auto"/>
            <w:right w:val="none" w:sz="0" w:space="0" w:color="auto"/>
          </w:divBdr>
        </w:div>
        <w:div w:id="1265193729">
          <w:marLeft w:val="0"/>
          <w:marRight w:val="0"/>
          <w:marTop w:val="0"/>
          <w:marBottom w:val="0"/>
          <w:divBdr>
            <w:top w:val="none" w:sz="0" w:space="0" w:color="auto"/>
            <w:left w:val="none" w:sz="0" w:space="0" w:color="auto"/>
            <w:bottom w:val="none" w:sz="0" w:space="0" w:color="auto"/>
            <w:right w:val="none" w:sz="0" w:space="0" w:color="auto"/>
          </w:divBdr>
        </w:div>
        <w:div w:id="1298876588">
          <w:marLeft w:val="0"/>
          <w:marRight w:val="0"/>
          <w:marTop w:val="0"/>
          <w:marBottom w:val="0"/>
          <w:divBdr>
            <w:top w:val="none" w:sz="0" w:space="0" w:color="auto"/>
            <w:left w:val="none" w:sz="0" w:space="0" w:color="auto"/>
            <w:bottom w:val="none" w:sz="0" w:space="0" w:color="auto"/>
            <w:right w:val="none" w:sz="0" w:space="0" w:color="auto"/>
          </w:divBdr>
        </w:div>
        <w:div w:id="1329357910">
          <w:marLeft w:val="0"/>
          <w:marRight w:val="0"/>
          <w:marTop w:val="0"/>
          <w:marBottom w:val="0"/>
          <w:divBdr>
            <w:top w:val="none" w:sz="0" w:space="0" w:color="auto"/>
            <w:left w:val="none" w:sz="0" w:space="0" w:color="auto"/>
            <w:bottom w:val="none" w:sz="0" w:space="0" w:color="auto"/>
            <w:right w:val="none" w:sz="0" w:space="0" w:color="auto"/>
          </w:divBdr>
        </w:div>
        <w:div w:id="1348603159">
          <w:marLeft w:val="0"/>
          <w:marRight w:val="0"/>
          <w:marTop w:val="0"/>
          <w:marBottom w:val="0"/>
          <w:divBdr>
            <w:top w:val="none" w:sz="0" w:space="0" w:color="auto"/>
            <w:left w:val="none" w:sz="0" w:space="0" w:color="auto"/>
            <w:bottom w:val="none" w:sz="0" w:space="0" w:color="auto"/>
            <w:right w:val="none" w:sz="0" w:space="0" w:color="auto"/>
          </w:divBdr>
        </w:div>
        <w:div w:id="1514765438">
          <w:marLeft w:val="0"/>
          <w:marRight w:val="0"/>
          <w:marTop w:val="0"/>
          <w:marBottom w:val="0"/>
          <w:divBdr>
            <w:top w:val="none" w:sz="0" w:space="0" w:color="auto"/>
            <w:left w:val="none" w:sz="0" w:space="0" w:color="auto"/>
            <w:bottom w:val="none" w:sz="0" w:space="0" w:color="auto"/>
            <w:right w:val="none" w:sz="0" w:space="0" w:color="auto"/>
          </w:divBdr>
        </w:div>
        <w:div w:id="1621764459">
          <w:marLeft w:val="0"/>
          <w:marRight w:val="0"/>
          <w:marTop w:val="0"/>
          <w:marBottom w:val="0"/>
          <w:divBdr>
            <w:top w:val="none" w:sz="0" w:space="0" w:color="auto"/>
            <w:left w:val="none" w:sz="0" w:space="0" w:color="auto"/>
            <w:bottom w:val="none" w:sz="0" w:space="0" w:color="auto"/>
            <w:right w:val="none" w:sz="0" w:space="0" w:color="auto"/>
          </w:divBdr>
        </w:div>
        <w:div w:id="1688213430">
          <w:marLeft w:val="0"/>
          <w:marRight w:val="0"/>
          <w:marTop w:val="0"/>
          <w:marBottom w:val="0"/>
          <w:divBdr>
            <w:top w:val="none" w:sz="0" w:space="0" w:color="auto"/>
            <w:left w:val="none" w:sz="0" w:space="0" w:color="auto"/>
            <w:bottom w:val="none" w:sz="0" w:space="0" w:color="auto"/>
            <w:right w:val="none" w:sz="0" w:space="0" w:color="auto"/>
          </w:divBdr>
        </w:div>
        <w:div w:id="1689601646">
          <w:marLeft w:val="0"/>
          <w:marRight w:val="0"/>
          <w:marTop w:val="0"/>
          <w:marBottom w:val="0"/>
          <w:divBdr>
            <w:top w:val="none" w:sz="0" w:space="0" w:color="auto"/>
            <w:left w:val="none" w:sz="0" w:space="0" w:color="auto"/>
            <w:bottom w:val="none" w:sz="0" w:space="0" w:color="auto"/>
            <w:right w:val="none" w:sz="0" w:space="0" w:color="auto"/>
          </w:divBdr>
        </w:div>
        <w:div w:id="1744181556">
          <w:marLeft w:val="0"/>
          <w:marRight w:val="0"/>
          <w:marTop w:val="0"/>
          <w:marBottom w:val="0"/>
          <w:divBdr>
            <w:top w:val="none" w:sz="0" w:space="0" w:color="auto"/>
            <w:left w:val="none" w:sz="0" w:space="0" w:color="auto"/>
            <w:bottom w:val="none" w:sz="0" w:space="0" w:color="auto"/>
            <w:right w:val="none" w:sz="0" w:space="0" w:color="auto"/>
          </w:divBdr>
        </w:div>
        <w:div w:id="1899046688">
          <w:marLeft w:val="0"/>
          <w:marRight w:val="0"/>
          <w:marTop w:val="0"/>
          <w:marBottom w:val="0"/>
          <w:divBdr>
            <w:top w:val="none" w:sz="0" w:space="0" w:color="auto"/>
            <w:left w:val="none" w:sz="0" w:space="0" w:color="auto"/>
            <w:bottom w:val="none" w:sz="0" w:space="0" w:color="auto"/>
            <w:right w:val="none" w:sz="0" w:space="0" w:color="auto"/>
          </w:divBdr>
        </w:div>
        <w:div w:id="2031105905">
          <w:marLeft w:val="0"/>
          <w:marRight w:val="0"/>
          <w:marTop w:val="0"/>
          <w:marBottom w:val="0"/>
          <w:divBdr>
            <w:top w:val="none" w:sz="0" w:space="0" w:color="auto"/>
            <w:left w:val="none" w:sz="0" w:space="0" w:color="auto"/>
            <w:bottom w:val="none" w:sz="0" w:space="0" w:color="auto"/>
            <w:right w:val="none" w:sz="0" w:space="0" w:color="auto"/>
          </w:divBdr>
        </w:div>
      </w:divsChild>
    </w:div>
    <w:div w:id="1456407684">
      <w:bodyDiv w:val="1"/>
      <w:marLeft w:val="0"/>
      <w:marRight w:val="0"/>
      <w:marTop w:val="0"/>
      <w:marBottom w:val="0"/>
      <w:divBdr>
        <w:top w:val="none" w:sz="0" w:space="0" w:color="auto"/>
        <w:left w:val="none" w:sz="0" w:space="0" w:color="auto"/>
        <w:bottom w:val="none" w:sz="0" w:space="0" w:color="auto"/>
        <w:right w:val="none" w:sz="0" w:space="0" w:color="auto"/>
      </w:divBdr>
      <w:divsChild>
        <w:div w:id="27027317">
          <w:marLeft w:val="0"/>
          <w:marRight w:val="0"/>
          <w:marTop w:val="0"/>
          <w:marBottom w:val="0"/>
          <w:divBdr>
            <w:top w:val="none" w:sz="0" w:space="0" w:color="auto"/>
            <w:left w:val="none" w:sz="0" w:space="0" w:color="auto"/>
            <w:bottom w:val="none" w:sz="0" w:space="0" w:color="auto"/>
            <w:right w:val="none" w:sz="0" w:space="0" w:color="auto"/>
          </w:divBdr>
        </w:div>
        <w:div w:id="113335182">
          <w:marLeft w:val="0"/>
          <w:marRight w:val="0"/>
          <w:marTop w:val="0"/>
          <w:marBottom w:val="0"/>
          <w:divBdr>
            <w:top w:val="none" w:sz="0" w:space="0" w:color="auto"/>
            <w:left w:val="none" w:sz="0" w:space="0" w:color="auto"/>
            <w:bottom w:val="none" w:sz="0" w:space="0" w:color="auto"/>
            <w:right w:val="none" w:sz="0" w:space="0" w:color="auto"/>
          </w:divBdr>
        </w:div>
        <w:div w:id="161313698">
          <w:marLeft w:val="0"/>
          <w:marRight w:val="0"/>
          <w:marTop w:val="0"/>
          <w:marBottom w:val="0"/>
          <w:divBdr>
            <w:top w:val="none" w:sz="0" w:space="0" w:color="auto"/>
            <w:left w:val="none" w:sz="0" w:space="0" w:color="auto"/>
            <w:bottom w:val="none" w:sz="0" w:space="0" w:color="auto"/>
            <w:right w:val="none" w:sz="0" w:space="0" w:color="auto"/>
          </w:divBdr>
        </w:div>
        <w:div w:id="379716284">
          <w:marLeft w:val="0"/>
          <w:marRight w:val="0"/>
          <w:marTop w:val="0"/>
          <w:marBottom w:val="0"/>
          <w:divBdr>
            <w:top w:val="none" w:sz="0" w:space="0" w:color="auto"/>
            <w:left w:val="none" w:sz="0" w:space="0" w:color="auto"/>
            <w:bottom w:val="none" w:sz="0" w:space="0" w:color="auto"/>
            <w:right w:val="none" w:sz="0" w:space="0" w:color="auto"/>
          </w:divBdr>
        </w:div>
        <w:div w:id="385951322">
          <w:marLeft w:val="0"/>
          <w:marRight w:val="0"/>
          <w:marTop w:val="0"/>
          <w:marBottom w:val="0"/>
          <w:divBdr>
            <w:top w:val="none" w:sz="0" w:space="0" w:color="auto"/>
            <w:left w:val="none" w:sz="0" w:space="0" w:color="auto"/>
            <w:bottom w:val="none" w:sz="0" w:space="0" w:color="auto"/>
            <w:right w:val="none" w:sz="0" w:space="0" w:color="auto"/>
          </w:divBdr>
        </w:div>
        <w:div w:id="456874309">
          <w:marLeft w:val="0"/>
          <w:marRight w:val="0"/>
          <w:marTop w:val="0"/>
          <w:marBottom w:val="0"/>
          <w:divBdr>
            <w:top w:val="none" w:sz="0" w:space="0" w:color="auto"/>
            <w:left w:val="none" w:sz="0" w:space="0" w:color="auto"/>
            <w:bottom w:val="none" w:sz="0" w:space="0" w:color="auto"/>
            <w:right w:val="none" w:sz="0" w:space="0" w:color="auto"/>
          </w:divBdr>
        </w:div>
        <w:div w:id="538012059">
          <w:marLeft w:val="0"/>
          <w:marRight w:val="0"/>
          <w:marTop w:val="0"/>
          <w:marBottom w:val="0"/>
          <w:divBdr>
            <w:top w:val="none" w:sz="0" w:space="0" w:color="auto"/>
            <w:left w:val="none" w:sz="0" w:space="0" w:color="auto"/>
            <w:bottom w:val="none" w:sz="0" w:space="0" w:color="auto"/>
            <w:right w:val="none" w:sz="0" w:space="0" w:color="auto"/>
          </w:divBdr>
        </w:div>
        <w:div w:id="587202665">
          <w:marLeft w:val="0"/>
          <w:marRight w:val="0"/>
          <w:marTop w:val="0"/>
          <w:marBottom w:val="0"/>
          <w:divBdr>
            <w:top w:val="none" w:sz="0" w:space="0" w:color="auto"/>
            <w:left w:val="none" w:sz="0" w:space="0" w:color="auto"/>
            <w:bottom w:val="none" w:sz="0" w:space="0" w:color="auto"/>
            <w:right w:val="none" w:sz="0" w:space="0" w:color="auto"/>
          </w:divBdr>
        </w:div>
        <w:div w:id="799032821">
          <w:marLeft w:val="0"/>
          <w:marRight w:val="0"/>
          <w:marTop w:val="0"/>
          <w:marBottom w:val="0"/>
          <w:divBdr>
            <w:top w:val="none" w:sz="0" w:space="0" w:color="auto"/>
            <w:left w:val="none" w:sz="0" w:space="0" w:color="auto"/>
            <w:bottom w:val="none" w:sz="0" w:space="0" w:color="auto"/>
            <w:right w:val="none" w:sz="0" w:space="0" w:color="auto"/>
          </w:divBdr>
        </w:div>
        <w:div w:id="858281390">
          <w:marLeft w:val="0"/>
          <w:marRight w:val="0"/>
          <w:marTop w:val="0"/>
          <w:marBottom w:val="0"/>
          <w:divBdr>
            <w:top w:val="none" w:sz="0" w:space="0" w:color="auto"/>
            <w:left w:val="none" w:sz="0" w:space="0" w:color="auto"/>
            <w:bottom w:val="none" w:sz="0" w:space="0" w:color="auto"/>
            <w:right w:val="none" w:sz="0" w:space="0" w:color="auto"/>
          </w:divBdr>
        </w:div>
        <w:div w:id="918755497">
          <w:marLeft w:val="0"/>
          <w:marRight w:val="0"/>
          <w:marTop w:val="0"/>
          <w:marBottom w:val="0"/>
          <w:divBdr>
            <w:top w:val="none" w:sz="0" w:space="0" w:color="auto"/>
            <w:left w:val="none" w:sz="0" w:space="0" w:color="auto"/>
            <w:bottom w:val="none" w:sz="0" w:space="0" w:color="auto"/>
            <w:right w:val="none" w:sz="0" w:space="0" w:color="auto"/>
          </w:divBdr>
        </w:div>
        <w:div w:id="1011687810">
          <w:marLeft w:val="0"/>
          <w:marRight w:val="0"/>
          <w:marTop w:val="0"/>
          <w:marBottom w:val="0"/>
          <w:divBdr>
            <w:top w:val="none" w:sz="0" w:space="0" w:color="auto"/>
            <w:left w:val="none" w:sz="0" w:space="0" w:color="auto"/>
            <w:bottom w:val="none" w:sz="0" w:space="0" w:color="auto"/>
            <w:right w:val="none" w:sz="0" w:space="0" w:color="auto"/>
          </w:divBdr>
        </w:div>
        <w:div w:id="1258364763">
          <w:marLeft w:val="0"/>
          <w:marRight w:val="0"/>
          <w:marTop w:val="0"/>
          <w:marBottom w:val="0"/>
          <w:divBdr>
            <w:top w:val="none" w:sz="0" w:space="0" w:color="auto"/>
            <w:left w:val="none" w:sz="0" w:space="0" w:color="auto"/>
            <w:bottom w:val="none" w:sz="0" w:space="0" w:color="auto"/>
            <w:right w:val="none" w:sz="0" w:space="0" w:color="auto"/>
          </w:divBdr>
        </w:div>
        <w:div w:id="1386640462">
          <w:marLeft w:val="0"/>
          <w:marRight w:val="0"/>
          <w:marTop w:val="0"/>
          <w:marBottom w:val="0"/>
          <w:divBdr>
            <w:top w:val="none" w:sz="0" w:space="0" w:color="auto"/>
            <w:left w:val="none" w:sz="0" w:space="0" w:color="auto"/>
            <w:bottom w:val="none" w:sz="0" w:space="0" w:color="auto"/>
            <w:right w:val="none" w:sz="0" w:space="0" w:color="auto"/>
          </w:divBdr>
        </w:div>
        <w:div w:id="1478063470">
          <w:marLeft w:val="0"/>
          <w:marRight w:val="0"/>
          <w:marTop w:val="0"/>
          <w:marBottom w:val="0"/>
          <w:divBdr>
            <w:top w:val="none" w:sz="0" w:space="0" w:color="auto"/>
            <w:left w:val="none" w:sz="0" w:space="0" w:color="auto"/>
            <w:bottom w:val="none" w:sz="0" w:space="0" w:color="auto"/>
            <w:right w:val="none" w:sz="0" w:space="0" w:color="auto"/>
          </w:divBdr>
        </w:div>
        <w:div w:id="1489904357">
          <w:marLeft w:val="0"/>
          <w:marRight w:val="0"/>
          <w:marTop w:val="0"/>
          <w:marBottom w:val="0"/>
          <w:divBdr>
            <w:top w:val="none" w:sz="0" w:space="0" w:color="auto"/>
            <w:left w:val="none" w:sz="0" w:space="0" w:color="auto"/>
            <w:bottom w:val="none" w:sz="0" w:space="0" w:color="auto"/>
            <w:right w:val="none" w:sz="0" w:space="0" w:color="auto"/>
          </w:divBdr>
        </w:div>
        <w:div w:id="1672482810">
          <w:marLeft w:val="0"/>
          <w:marRight w:val="0"/>
          <w:marTop w:val="0"/>
          <w:marBottom w:val="0"/>
          <w:divBdr>
            <w:top w:val="none" w:sz="0" w:space="0" w:color="auto"/>
            <w:left w:val="none" w:sz="0" w:space="0" w:color="auto"/>
            <w:bottom w:val="none" w:sz="0" w:space="0" w:color="auto"/>
            <w:right w:val="none" w:sz="0" w:space="0" w:color="auto"/>
          </w:divBdr>
        </w:div>
        <w:div w:id="1678000985">
          <w:marLeft w:val="0"/>
          <w:marRight w:val="0"/>
          <w:marTop w:val="0"/>
          <w:marBottom w:val="0"/>
          <w:divBdr>
            <w:top w:val="none" w:sz="0" w:space="0" w:color="auto"/>
            <w:left w:val="none" w:sz="0" w:space="0" w:color="auto"/>
            <w:bottom w:val="none" w:sz="0" w:space="0" w:color="auto"/>
            <w:right w:val="none" w:sz="0" w:space="0" w:color="auto"/>
          </w:divBdr>
        </w:div>
        <w:div w:id="1699310248">
          <w:marLeft w:val="0"/>
          <w:marRight w:val="0"/>
          <w:marTop w:val="0"/>
          <w:marBottom w:val="0"/>
          <w:divBdr>
            <w:top w:val="none" w:sz="0" w:space="0" w:color="auto"/>
            <w:left w:val="none" w:sz="0" w:space="0" w:color="auto"/>
            <w:bottom w:val="none" w:sz="0" w:space="0" w:color="auto"/>
            <w:right w:val="none" w:sz="0" w:space="0" w:color="auto"/>
          </w:divBdr>
        </w:div>
        <w:div w:id="1796673083">
          <w:marLeft w:val="0"/>
          <w:marRight w:val="0"/>
          <w:marTop w:val="0"/>
          <w:marBottom w:val="0"/>
          <w:divBdr>
            <w:top w:val="none" w:sz="0" w:space="0" w:color="auto"/>
            <w:left w:val="none" w:sz="0" w:space="0" w:color="auto"/>
            <w:bottom w:val="none" w:sz="0" w:space="0" w:color="auto"/>
            <w:right w:val="none" w:sz="0" w:space="0" w:color="auto"/>
          </w:divBdr>
        </w:div>
        <w:div w:id="1842574841">
          <w:marLeft w:val="0"/>
          <w:marRight w:val="0"/>
          <w:marTop w:val="0"/>
          <w:marBottom w:val="0"/>
          <w:divBdr>
            <w:top w:val="none" w:sz="0" w:space="0" w:color="auto"/>
            <w:left w:val="none" w:sz="0" w:space="0" w:color="auto"/>
            <w:bottom w:val="none" w:sz="0" w:space="0" w:color="auto"/>
            <w:right w:val="none" w:sz="0" w:space="0" w:color="auto"/>
          </w:divBdr>
        </w:div>
        <w:div w:id="1884711120">
          <w:marLeft w:val="0"/>
          <w:marRight w:val="0"/>
          <w:marTop w:val="0"/>
          <w:marBottom w:val="0"/>
          <w:divBdr>
            <w:top w:val="none" w:sz="0" w:space="0" w:color="auto"/>
            <w:left w:val="none" w:sz="0" w:space="0" w:color="auto"/>
            <w:bottom w:val="none" w:sz="0" w:space="0" w:color="auto"/>
            <w:right w:val="none" w:sz="0" w:space="0" w:color="auto"/>
          </w:divBdr>
        </w:div>
        <w:div w:id="1893419094">
          <w:marLeft w:val="0"/>
          <w:marRight w:val="0"/>
          <w:marTop w:val="0"/>
          <w:marBottom w:val="0"/>
          <w:divBdr>
            <w:top w:val="none" w:sz="0" w:space="0" w:color="auto"/>
            <w:left w:val="none" w:sz="0" w:space="0" w:color="auto"/>
            <w:bottom w:val="none" w:sz="0" w:space="0" w:color="auto"/>
            <w:right w:val="none" w:sz="0" w:space="0" w:color="auto"/>
          </w:divBdr>
        </w:div>
        <w:div w:id="1926113429">
          <w:marLeft w:val="0"/>
          <w:marRight w:val="0"/>
          <w:marTop w:val="0"/>
          <w:marBottom w:val="0"/>
          <w:divBdr>
            <w:top w:val="none" w:sz="0" w:space="0" w:color="auto"/>
            <w:left w:val="none" w:sz="0" w:space="0" w:color="auto"/>
            <w:bottom w:val="none" w:sz="0" w:space="0" w:color="auto"/>
            <w:right w:val="none" w:sz="0" w:space="0" w:color="auto"/>
          </w:divBdr>
        </w:div>
        <w:div w:id="1958485304">
          <w:marLeft w:val="0"/>
          <w:marRight w:val="0"/>
          <w:marTop w:val="0"/>
          <w:marBottom w:val="0"/>
          <w:divBdr>
            <w:top w:val="none" w:sz="0" w:space="0" w:color="auto"/>
            <w:left w:val="none" w:sz="0" w:space="0" w:color="auto"/>
            <w:bottom w:val="none" w:sz="0" w:space="0" w:color="auto"/>
            <w:right w:val="none" w:sz="0" w:space="0" w:color="auto"/>
          </w:divBdr>
        </w:div>
        <w:div w:id="1971586997">
          <w:marLeft w:val="0"/>
          <w:marRight w:val="0"/>
          <w:marTop w:val="0"/>
          <w:marBottom w:val="0"/>
          <w:divBdr>
            <w:top w:val="none" w:sz="0" w:space="0" w:color="auto"/>
            <w:left w:val="none" w:sz="0" w:space="0" w:color="auto"/>
            <w:bottom w:val="none" w:sz="0" w:space="0" w:color="auto"/>
            <w:right w:val="none" w:sz="0" w:space="0" w:color="auto"/>
          </w:divBdr>
        </w:div>
        <w:div w:id="1982732637">
          <w:marLeft w:val="0"/>
          <w:marRight w:val="0"/>
          <w:marTop w:val="0"/>
          <w:marBottom w:val="0"/>
          <w:divBdr>
            <w:top w:val="none" w:sz="0" w:space="0" w:color="auto"/>
            <w:left w:val="none" w:sz="0" w:space="0" w:color="auto"/>
            <w:bottom w:val="none" w:sz="0" w:space="0" w:color="auto"/>
            <w:right w:val="none" w:sz="0" w:space="0" w:color="auto"/>
          </w:divBdr>
        </w:div>
        <w:div w:id="2003660889">
          <w:marLeft w:val="0"/>
          <w:marRight w:val="0"/>
          <w:marTop w:val="0"/>
          <w:marBottom w:val="0"/>
          <w:divBdr>
            <w:top w:val="none" w:sz="0" w:space="0" w:color="auto"/>
            <w:left w:val="none" w:sz="0" w:space="0" w:color="auto"/>
            <w:bottom w:val="none" w:sz="0" w:space="0" w:color="auto"/>
            <w:right w:val="none" w:sz="0" w:space="0" w:color="auto"/>
          </w:divBdr>
        </w:div>
        <w:div w:id="2067415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ga.com.au/wp-content/uploads/2025/04/ALGA-Submission-National-Transport-Commission-Consultation-Regulatory-Impact-Statement.pdf" TargetMode="External"/><Relationship Id="rId18" Type="http://schemas.openxmlformats.org/officeDocument/2006/relationships/hyperlink" Target="https://austroads.gov.au/drivers-and-vehicles/registration-and-licensing/heavy-vehicle-driver-competency-framewor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austroads.gov.au/latest-news/decarbonising-road-freight-balancing-infrastructure,-environment,-and-economy" TargetMode="External"/><Relationship Id="rId17" Type="http://schemas.openxmlformats.org/officeDocument/2006/relationships/hyperlink" Target="https://austlogistics.com.au/wp-content/uploads/2024/11/Submission-241030-Heavy-Vehicle-Productivity-Plan-2024-2029-2.pdf" TargetMode="External"/><Relationship Id="rId2" Type="http://schemas.openxmlformats.org/officeDocument/2006/relationships/customXml" Target="../customXml/item2.xml"/><Relationship Id="rId16" Type="http://schemas.openxmlformats.org/officeDocument/2006/relationships/hyperlink" Target="https://www.natroad.com.au/time-for-bold-action-eliminate-90-of-heavy-vehicle-access-permits-by-202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troads.gov.au/publications/freight/ap-r725-2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uck.net.au/sites/default/files/submissions/DAE%20Economic%20benefits%20of%20improved%20regulation%20in%20the%20Australian%20trucking%20industry%20March%202019%20Final.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reightaustralia.gov.au/annual-report/appendix-b/victorian-heavy-vehicle-roadmap"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s://thedriven.io/2022/09/26/sounds-of-silence-how-quiet-are-heavy-duty-electric-trucks/" TargetMode="External"/><Relationship Id="rId3" Type="http://schemas.openxmlformats.org/officeDocument/2006/relationships/hyperlink" Target="https://www.industryskillsaustralia.org.au/Transport-and-Logistics-Skilling-Heavy-Vehicle-Drivers-and-Licensing-Update/?tab=commencement" TargetMode="External"/><Relationship Id="rId7" Type="http://schemas.openxmlformats.org/officeDocument/2006/relationships/hyperlink" Target="https://www.man.eu/corporate/en/newsroom/stories/quieter-than-youve-ever-heard-before-126656.html" TargetMode="External"/><Relationship Id="rId2" Type="http://schemas.openxmlformats.org/officeDocument/2006/relationships/hyperlink" Target="https://acrs.org.au/wp-content/uploads/ACRS-submission-on-heavy-vehicle-driver-competency-RIS.pdf" TargetMode="External"/><Relationship Id="rId1" Type="http://schemas.openxmlformats.org/officeDocument/2006/relationships/hyperlink" Target="https://www.natroad.com.au/consultation-ris-national-heavy-vehicle-competency-framework/" TargetMode="External"/><Relationship Id="rId6" Type="http://schemas.openxmlformats.org/officeDocument/2006/relationships/hyperlink" Target="https://www.volvotrucks.com/en-en/news-stories/press-releases/2021/may/volvo-trucks-adds-unique-sounds-to-its-electric-trucks.html" TargetMode="External"/><Relationship Id="rId5" Type="http://schemas.openxmlformats.org/officeDocument/2006/relationships/hyperlink" Target="https://austroads.gov.au/__data/assets/pdf_file/0032/616964/NHVDCF_Decision_RIS.pdf" TargetMode="External"/><Relationship Id="rId4" Type="http://schemas.openxmlformats.org/officeDocument/2006/relationships/hyperlink" Target="https://oia.pmc.gov.au/sites/default/files/posts/2022/08/Publish%20Version%20-%20NHVDCF_Consultation-RIS_August202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TaxCatchAll xmlns="9beb6452-e7b0-403b-b32b-96f5450e506a">
      <Value>1</Value>
    </TaxCatchAll>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3" ma:contentTypeDescription="Create a new document." ma:contentTypeScope="" ma:versionID="99c2d769c449c6166c8217260181a4a1">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050faa5962f8d182531d1d318b826fb1"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063826c-3045-48f3-a924-99a4d06fde03}"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213A2-7A6D-4C8A-988D-E1659D87F391}">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2.xml><?xml version="1.0" encoding="utf-8"?>
<ds:datastoreItem xmlns:ds="http://schemas.openxmlformats.org/officeDocument/2006/customXml" ds:itemID="{50EEA812-37C5-0F4A-A606-0D4490756FB3}">
  <ds:schemaRefs>
    <ds:schemaRef ds:uri="http://schemas.openxmlformats.org/officeDocument/2006/bibliography"/>
  </ds:schemaRefs>
</ds:datastoreItem>
</file>

<file path=customXml/itemProps3.xml><?xml version="1.0" encoding="utf-8"?>
<ds:datastoreItem xmlns:ds="http://schemas.openxmlformats.org/officeDocument/2006/customXml" ds:itemID="{2E015637-0583-48ED-81B6-929FB1D0A3C0}">
  <ds:schemaRefs>
    <ds:schemaRef ds:uri="http://schemas.microsoft.com/sharepoint/v3/contenttype/forms"/>
  </ds:schemaRefs>
</ds:datastoreItem>
</file>

<file path=customXml/itemProps4.xml><?xml version="1.0" encoding="utf-8"?>
<ds:datastoreItem xmlns:ds="http://schemas.openxmlformats.org/officeDocument/2006/customXml" ds:itemID="{8257A700-2262-48DA-9EAF-A76A527B2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3554</Words>
  <Characters>20725</Characters>
  <Application>Microsoft Office Word</Application>
  <DocSecurity>0</DocSecurity>
  <Lines>291</Lines>
  <Paragraphs>133</Paragraphs>
  <ScaleCrop>false</ScaleCrop>
  <HeadingPairs>
    <vt:vector size="2" baseType="variant">
      <vt:variant>
        <vt:lpstr>Title</vt:lpstr>
      </vt:variant>
      <vt:variant>
        <vt:i4>1</vt:i4>
      </vt:variant>
    </vt:vector>
  </HeadingPairs>
  <TitlesOfParts>
    <vt:vector size="1" baseType="lpstr">
      <vt:lpstr>Submission 9 - Powering Australia - Impacts of heavy vehicle reform - Commissioned study</vt:lpstr>
    </vt:vector>
  </TitlesOfParts>
  <Company>Powering Australia</Company>
  <LinksUpToDate>false</LinksUpToDate>
  <CharactersWithSpaces>24146</CharactersWithSpaces>
  <SharedDoc>false</SharedDoc>
  <HLinks>
    <vt:vector size="144" baseType="variant">
      <vt:variant>
        <vt:i4>2687091</vt:i4>
      </vt:variant>
      <vt:variant>
        <vt:i4>3</vt:i4>
      </vt:variant>
      <vt:variant>
        <vt:i4>0</vt:i4>
      </vt:variant>
      <vt:variant>
        <vt:i4>5</vt:i4>
      </vt:variant>
      <vt:variant>
        <vt:lpwstr>https://arena.gov.au/projects/australian-biomass-for-bioenergy-assessment-project/</vt:lpwstr>
      </vt:variant>
      <vt:variant>
        <vt:lpwstr/>
      </vt:variant>
      <vt:variant>
        <vt:i4>3276914</vt:i4>
      </vt:variant>
      <vt:variant>
        <vt:i4>0</vt:i4>
      </vt:variant>
      <vt:variant>
        <vt:i4>0</vt:i4>
      </vt:variant>
      <vt:variant>
        <vt:i4>5</vt:i4>
      </vt:variant>
      <vt:variant>
        <vt:lpwstr>https://www.agriculture.gov.au/publications</vt:lpwstr>
      </vt:variant>
      <vt:variant>
        <vt:lpwstr/>
      </vt:variant>
      <vt:variant>
        <vt:i4>4063333</vt:i4>
      </vt:variant>
      <vt:variant>
        <vt:i4>57</vt:i4>
      </vt:variant>
      <vt:variant>
        <vt:i4>0</vt:i4>
      </vt:variant>
      <vt:variant>
        <vt:i4>5</vt:i4>
      </vt:variant>
      <vt:variant>
        <vt:lpwstr>https://cdn.revolutionise.com.au/cups/bioenergy/files/nyydxvvoi7belg4m.pdf</vt:lpwstr>
      </vt:variant>
      <vt:variant>
        <vt:lpwstr/>
      </vt:variant>
      <vt:variant>
        <vt:i4>2752638</vt:i4>
      </vt:variant>
      <vt:variant>
        <vt:i4>54</vt:i4>
      </vt:variant>
      <vt:variant>
        <vt:i4>0</vt:i4>
      </vt:variant>
      <vt:variant>
        <vt:i4>5</vt:i4>
      </vt:variant>
      <vt:variant>
        <vt:lpwstr>https://www.infrastructure.gov.au/sites/default/files/documents/low-carbon-liquid-fuels-consultation-paper.pdf</vt:lpwstr>
      </vt:variant>
      <vt:variant>
        <vt:lpwstr/>
      </vt:variant>
      <vt:variant>
        <vt:i4>2752638</vt:i4>
      </vt:variant>
      <vt:variant>
        <vt:i4>51</vt:i4>
      </vt:variant>
      <vt:variant>
        <vt:i4>0</vt:i4>
      </vt:variant>
      <vt:variant>
        <vt:i4>5</vt:i4>
      </vt:variant>
      <vt:variant>
        <vt:lpwstr>https://www.infrastructure.gov.au/sites/default/files/documents/low-carbon-liquid-fuels-consultation-paper.pdf</vt:lpwstr>
      </vt:variant>
      <vt:variant>
        <vt:lpwstr/>
      </vt:variant>
      <vt:variant>
        <vt:i4>3604563</vt:i4>
      </vt:variant>
      <vt:variant>
        <vt:i4>48</vt:i4>
      </vt:variant>
      <vt:variant>
        <vt:i4>0</vt:i4>
      </vt:variant>
      <vt:variant>
        <vt:i4>5</vt:i4>
      </vt:variant>
      <vt:variant>
        <vt:lpwstr>https://cleanenergycouncil.org.au/getmedia/b16066e7-190d-4288-8252-3f9c63bd29d7/clean-energy-council-lclf-submission_final.pdf</vt:lpwstr>
      </vt:variant>
      <vt:variant>
        <vt:lpwstr/>
      </vt:variant>
      <vt:variant>
        <vt:i4>5111894</vt:i4>
      </vt:variant>
      <vt:variant>
        <vt:i4>45</vt:i4>
      </vt:variant>
      <vt:variant>
        <vt:i4>0</vt:i4>
      </vt:variant>
      <vt:variant>
        <vt:i4>5</vt:i4>
      </vt:variant>
      <vt:variant>
        <vt:lpwstr>https://international.austrade.gov.au/en/news-and-analysis/news/australia-looks-to-sustainable-fuels-to-secure-energy-future</vt:lpwstr>
      </vt:variant>
      <vt:variant>
        <vt:lpwstr/>
      </vt:variant>
      <vt:variant>
        <vt:i4>4063333</vt:i4>
      </vt:variant>
      <vt:variant>
        <vt:i4>42</vt:i4>
      </vt:variant>
      <vt:variant>
        <vt:i4>0</vt:i4>
      </vt:variant>
      <vt:variant>
        <vt:i4>5</vt:i4>
      </vt:variant>
      <vt:variant>
        <vt:lpwstr>https://cdn.revolutionise.com.au/cups/bioenergy/files/nyydxvvoi7belg4m.pdf</vt:lpwstr>
      </vt:variant>
      <vt:variant>
        <vt:lpwstr/>
      </vt:variant>
      <vt:variant>
        <vt:i4>6225936</vt:i4>
      </vt:variant>
      <vt:variant>
        <vt:i4>39</vt:i4>
      </vt:variant>
      <vt:variant>
        <vt:i4>0</vt:i4>
      </vt:variant>
      <vt:variant>
        <vt:i4>5</vt:i4>
      </vt:variant>
      <vt:variant>
        <vt:lpwstr>https://www.csiro.au/-/media/Missions/TNZ/Opportunities-and-priorities-for-a-Low-Carbon-Liquid-Fuel-Industry.pdf</vt:lpwstr>
      </vt:variant>
      <vt:variant>
        <vt:lpwstr/>
      </vt:variant>
      <vt:variant>
        <vt:i4>6225936</vt:i4>
      </vt:variant>
      <vt:variant>
        <vt:i4>36</vt:i4>
      </vt:variant>
      <vt:variant>
        <vt:i4>0</vt:i4>
      </vt:variant>
      <vt:variant>
        <vt:i4>5</vt:i4>
      </vt:variant>
      <vt:variant>
        <vt:lpwstr>https://www.csiro.au/-/media/Missions/TNZ/Opportunities-and-priorities-for-a-Low-Carbon-Liquid-Fuel-Industry.pdf</vt:lpwstr>
      </vt:variant>
      <vt:variant>
        <vt:lpwstr/>
      </vt:variant>
      <vt:variant>
        <vt:i4>524297</vt:i4>
      </vt:variant>
      <vt:variant>
        <vt:i4>33</vt:i4>
      </vt:variant>
      <vt:variant>
        <vt:i4>0</vt:i4>
      </vt:variant>
      <vt:variant>
        <vt:i4>5</vt:i4>
      </vt:variant>
      <vt:variant>
        <vt:lpwstr>https://www.aer.gov.au/about/strategic-initiatives/renewable-energy-zones</vt:lpwstr>
      </vt:variant>
      <vt:variant>
        <vt:lpwstr/>
      </vt:variant>
      <vt:variant>
        <vt:i4>7077924</vt:i4>
      </vt:variant>
      <vt:variant>
        <vt:i4>30</vt:i4>
      </vt:variant>
      <vt:variant>
        <vt:i4>0</vt:i4>
      </vt:variant>
      <vt:variant>
        <vt:i4>5</vt:i4>
      </vt:variant>
      <vt:variant>
        <vt:lpwstr>https://www.agriculture.gov.au/abares/aclump/land-use/land-use-of-australia-2010-11-to-2020-21</vt:lpwstr>
      </vt:variant>
      <vt:variant>
        <vt:lpwstr/>
      </vt:variant>
      <vt:variant>
        <vt:i4>5570644</vt:i4>
      </vt:variant>
      <vt:variant>
        <vt:i4>27</vt:i4>
      </vt:variant>
      <vt:variant>
        <vt:i4>0</vt:i4>
      </vt:variant>
      <vt:variant>
        <vt:i4>5</vt:i4>
      </vt:variant>
      <vt:variant>
        <vt:lpwstr>https://arena.gov.au/resources/australias-bioenergy-roadmap/</vt:lpwstr>
      </vt:variant>
      <vt:variant>
        <vt:lpwstr/>
      </vt:variant>
      <vt:variant>
        <vt:i4>5046346</vt:i4>
      </vt:variant>
      <vt:variant>
        <vt:i4>24</vt:i4>
      </vt:variant>
      <vt:variant>
        <vt:i4>0</vt:i4>
      </vt:variant>
      <vt:variant>
        <vt:i4>5</vt:i4>
      </vt:variant>
      <vt:variant>
        <vt:lpwstr>https://www.ieabioenergy.com/wp-content/uploads/2024/12/CountryReport2024_Australia_final.pdf</vt:lpwstr>
      </vt:variant>
      <vt:variant>
        <vt:lpwstr/>
      </vt:variant>
      <vt:variant>
        <vt:i4>8060972</vt:i4>
      </vt:variant>
      <vt:variant>
        <vt:i4>21</vt:i4>
      </vt:variant>
      <vt:variant>
        <vt:i4>0</vt:i4>
      </vt:variant>
      <vt:variant>
        <vt:i4>5</vt:i4>
      </vt:variant>
      <vt:variant>
        <vt:lpwstr>https://soe.dcceew.gov.au/land</vt:lpwstr>
      </vt:variant>
      <vt:variant>
        <vt:lpwstr/>
      </vt:variant>
      <vt:variant>
        <vt:i4>6750330</vt:i4>
      </vt:variant>
      <vt:variant>
        <vt:i4>18</vt:i4>
      </vt:variant>
      <vt:variant>
        <vt:i4>0</vt:i4>
      </vt:variant>
      <vt:variant>
        <vt:i4>5</vt:i4>
      </vt:variant>
      <vt:variant>
        <vt:lpwstr>https://data.csiro.au/collection/61814</vt:lpwstr>
      </vt:variant>
      <vt:variant>
        <vt:lpwstr/>
      </vt:variant>
      <vt:variant>
        <vt:i4>3801140</vt:i4>
      </vt:variant>
      <vt:variant>
        <vt:i4>15</vt:i4>
      </vt:variant>
      <vt:variant>
        <vt:i4>0</vt:i4>
      </vt:variant>
      <vt:variant>
        <vt:i4>5</vt:i4>
      </vt:variant>
      <vt:variant>
        <vt:lpwstr>https://publications.csiro.au/publications/</vt:lpwstr>
      </vt:variant>
      <vt:variant>
        <vt:lpwstr/>
      </vt:variant>
      <vt:variant>
        <vt:i4>458768</vt:i4>
      </vt:variant>
      <vt:variant>
        <vt:i4>12</vt:i4>
      </vt:variant>
      <vt:variant>
        <vt:i4>0</vt:i4>
      </vt:variant>
      <vt:variant>
        <vt:i4>5</vt:i4>
      </vt:variant>
      <vt:variant>
        <vt:lpwstr>https://www.google.com/search?q=ISO+13065%3A2015%2C+Sustainability+criteria+for+bioenergy&amp;sca_esv=938a2813bfda1cd4&amp;rlz=1C1GCEA_enAU1175AU1175&amp;sxsrf=AE3TifNiCeSPyCEONl5bjmnWELV5ScGtkQ%3A1761026138790&amp;ei=WiD3aICBMOrn1e8P1oDXuAw&amp;ved=2ahUKEwjnt-vOzbSQAxUAmq8BHd3sOhgQgK4QegQIARAC&amp;uact=5&amp;oq=ISO+Standard+for+Sustainable+Biomass+Feedstocks&amp;gs_lp=Egxnd3Mtd2l6LXNlcnAiL0lTTyBTdGFuZGFyZCBmb3IgU3VzdGFpbmFibGUgQmlvbWFzcyBGZWVkc3RvY2tzMgUQABjvBTIIEAAYgAQYogQyBRAAGO8FSPwUUMEGWM0PcAJ4AZABAJgB2QGgAdUEqgEFMC4xLjK4AQPIAQD4AQGYAgSgAogDwgIKEAAYsAMY1gQYR5gDAIgGAZAGB5IHBTIuMS4xoAf1CLIHBTAuMS4xuAeAA8IHBTAuMy4xyAcH&amp;sclient=gws-wiz-serp&amp;mstk=AUtExfAdJtWc_vlUZUltWntgrjJT7w2Igmsn1Pj3VabcP9r7n34iVtxW9K2OUtsvw38Fm-8PeldvudCTiJT8FML8LyODiV7X89fx2JJx28dVMLDj81GLGAy4z9IS9IucWVuXAGWgSk2b6inqWl5wYVta6F70FrZmCOQbX42Gu2nXP-yp-Eeq3oPNlLV5Y9Kp8zjQNwIzcY9oOJgAmTBqlrQqPfXZpq8tP9H3yDYsl8-DQiZ4cNgEopljlzUbx2VAyIX4sVr-GpmK2k5JaoufmxNxtijvS_5SBUIwfgzJ64EUNlkg9lgvZhbjsHhiGzHy7Q6wd_93BwrOTRHqEbAbfFYo7u8KFaR4cHkriPEn0cPdpJig2D5juWOk6e-Z-mIytNZj_kUPYTFBDkbEIQpIi8XYNg&amp;csui=3</vt:lpwstr>
      </vt:variant>
      <vt:variant>
        <vt:lpwstr/>
      </vt:variant>
      <vt:variant>
        <vt:i4>5636189</vt:i4>
      </vt:variant>
      <vt:variant>
        <vt:i4>9</vt:i4>
      </vt:variant>
      <vt:variant>
        <vt:i4>0</vt:i4>
      </vt:variant>
      <vt:variant>
        <vt:i4>5</vt:i4>
      </vt:variant>
      <vt:variant>
        <vt:lpwstr>https://www.baltpool.eu/en/home-page/</vt:lpwstr>
      </vt:variant>
      <vt:variant>
        <vt:lpwstr/>
      </vt:variant>
      <vt:variant>
        <vt:i4>6225936</vt:i4>
      </vt:variant>
      <vt:variant>
        <vt:i4>6</vt:i4>
      </vt:variant>
      <vt:variant>
        <vt:i4>0</vt:i4>
      </vt:variant>
      <vt:variant>
        <vt:i4>5</vt:i4>
      </vt:variant>
      <vt:variant>
        <vt:lpwstr>https://www.csiro.au/-/media/Missions/TNZ/Opportunities-and-priorities-for-a-Low-Carbon-Liquid-Fuel-Industry.pdf</vt:lpwstr>
      </vt:variant>
      <vt:variant>
        <vt:lpwstr/>
      </vt:variant>
      <vt:variant>
        <vt:i4>6225936</vt:i4>
      </vt:variant>
      <vt:variant>
        <vt:i4>3</vt:i4>
      </vt:variant>
      <vt:variant>
        <vt:i4>0</vt:i4>
      </vt:variant>
      <vt:variant>
        <vt:i4>5</vt:i4>
      </vt:variant>
      <vt:variant>
        <vt:lpwstr>https://www.csiro.au/-/media/Missions/TNZ/Opportunities-and-priorities-for-a-Low-Carbon-Liquid-Fuel-Industry.pdf</vt:lpwstr>
      </vt:variant>
      <vt:variant>
        <vt:lpwstr/>
      </vt:variant>
      <vt:variant>
        <vt:i4>458768</vt:i4>
      </vt:variant>
      <vt:variant>
        <vt:i4>0</vt:i4>
      </vt:variant>
      <vt:variant>
        <vt:i4>0</vt:i4>
      </vt:variant>
      <vt:variant>
        <vt:i4>5</vt:i4>
      </vt:variant>
      <vt:variant>
        <vt:lpwstr>https://www.google.com/search?q=ISO+13065%3A2015%2C+Sustainability+criteria+for+bioenergy&amp;sca_esv=938a2813bfda1cd4&amp;rlz=1C1GCEA_enAU1175AU1175&amp;sxsrf=AE3TifNiCeSPyCEONl5bjmnWELV5ScGtkQ%3A1761026138790&amp;ei=WiD3aICBMOrn1e8P1oDXuAw&amp;ved=2ahUKEwjnt-vOzbSQAxUAmq8BHd3sOhgQgK4QegQIARAC&amp;uact=5&amp;oq=ISO+Standard+for+Sustainable+Biomass+Feedstocks&amp;gs_lp=Egxnd3Mtd2l6LXNlcnAiL0lTTyBTdGFuZGFyZCBmb3IgU3VzdGFpbmFibGUgQmlvbWFzcyBGZWVkc3RvY2tzMgUQABjvBTIIEAAYgAQYogQyBRAAGO8FSPwUUMEGWM0PcAJ4AZABAJgB2QGgAdUEqgEFMC4xLjK4AQPIAQD4AQGYAgSgAogDwgIKEAAYsAMY1gQYR5gDAIgGAZAGB5IHBTIuMS4xoAf1CLIHBTAuMS4xuAeAA8IHBTAuMy4xyAcH&amp;sclient=gws-wiz-serp&amp;mstk=AUtExfAdJtWc_vlUZUltWntgrjJT7w2Igmsn1Pj3VabcP9r7n34iVtxW9K2OUtsvw38Fm-8PeldvudCTiJT8FML8LyODiV7X89fx2JJx28dVMLDj81GLGAy4z9IS9IucWVuXAGWgSk2b6inqWl5wYVta6F70FrZmCOQbX42Gu2nXP-yp-Eeq3oPNlLV5Y9Kp8zjQNwIzcY9oOJgAmTBqlrQqPfXZpq8tP9H3yDYsl8-DQiZ4cNgEopljlzUbx2VAyIX4sVr-GpmK2k5JaoufmxNxtijvS_5SBUIwfgzJ64EUNlkg9lgvZhbjsHhiGzHy7Q6wd_93BwrOTRHqEbAbfFYo7u8KFaR4cHkriPEn0cPdpJig2D5juWOk6e-Z-mIytNZj_kUPYTFBDkbEIQpIi8XYNg&amp;csui=3</vt:lpwstr>
      </vt:variant>
      <vt:variant>
        <vt:lpwstr/>
      </vt:variant>
      <vt:variant>
        <vt:i4>5570624</vt:i4>
      </vt:variant>
      <vt:variant>
        <vt:i4>3</vt:i4>
      </vt:variant>
      <vt:variant>
        <vt:i4>0</vt:i4>
      </vt:variant>
      <vt:variant>
        <vt:i4>5</vt:i4>
      </vt:variant>
      <vt:variant>
        <vt:lpwstr>https://www.google.com/search?q=ISO+17225+series&amp;rlz=1C1GCEA_enAU1175AU1175&amp;oq=ISO+Sustainable+Bioamss&amp;gs_lcrp=EgZjaHJvbWUyBggAEEUYOTIJCAEQIRgKGKABMgkIAhAhGAoYoAEyBwgDECEYnwUyBwgEECEYnwUyBwgFECEYnwUyBwgGECEYnwUyBwgHECEYnwUyBwgIECEYnwUyBwgJECEYnwXSAQg0Njk1ajBqN6gCALACAA&amp;sourceid=chrome&amp;ie=UTF-8&amp;mstk=AUtExfA0xqUYqqbOM5wSrW28Kw7oeLcUzSbfa5NsBHFZEECNdgbtAGYWv6Plkr4MidQcIll_5Op-ozZAK-UX70xj2sx53o72oGGBwhFb7zEm03YK5LmHiLw_adTVqJ3WBoFqyGFV8pHUktLHdWoS0trP5D16dCp8H5A1J4c7pfkLyQ6zazrlS6hTDK-rO5qUy4VVFalPboQKgALCRO035O4R9IT7MQA_c8AyRePujFCqMcSMHaHUTgjDf9Zdaku7ny7P_QGl-h_y2FyHwdtb64A6_1OhVUyba7JVFa6L-Ut0EZtUyqBb-6gRXcHItnhxWK8EDYW0MMQ2gBQ43pPB3PVdTkb9tcvMmc8rFtGdQvmgUFlAlsJlmIXE0HQUDUc6YwUSc7yEtUq5dBROTcqOXbkktQ&amp;csui=3&amp;ved=2ahUKEwil3cmAp9qQAxVFkq8BHZCfDR0QgK4QegQIAxAD</vt:lpwstr>
      </vt:variant>
      <vt:variant>
        <vt:lpwstr/>
      </vt:variant>
      <vt:variant>
        <vt:i4>4194326</vt:i4>
      </vt:variant>
      <vt:variant>
        <vt:i4>0</vt:i4>
      </vt:variant>
      <vt:variant>
        <vt:i4>0</vt:i4>
      </vt:variant>
      <vt:variant>
        <vt:i4>5</vt:i4>
      </vt:variant>
      <vt:variant>
        <vt:lpwstr>https://www.google.com/search?q=ISO+13065%3A2015&amp;rlz=1C1GCEA_enAU1175AU1175&amp;oq=ISO+Sustainable+Bioamss&amp;gs_lcrp=EgZjaHJvbWUyBggAEEUYOTIJCAEQIRgKGKABMgkIAhAhGAoYoAEyBwgDECEYnwUyBwgEECEYnwUyBwgFECEYnwUyBwgGECEYnwUyBwgHECEYnwUyBwgIECEYnwUyBwgJECEYnwXSAQg0Njk1ajBqN6gCALACAA&amp;sourceid=chrome&amp;ie=UTF-8&amp;mstk=AUtExfA0xqUYqqbOM5wSrW28Kw7oeLcUzSbfa5NsBHFZEECNdgbtAGYWv6Plkr4MidQcIll_5Op-ozZAK-UX70xj2sx53o72oGGBwhFb7zEm03YK5LmHiLw_adTVqJ3WBoFqyGFV8pHUktLHdWoS0trP5D16dCp8H5A1J4c7pfkLyQ6zazrlS6hTDK-rO5qUy4VVFalPboQKgALCRO035O4R9IT7MQA_c8AyRePujFCqMcSMHaHUTgjDf9Zdaku7ny7P_QGl-h_y2FyHwdtb64A6_1OhVUyba7JVFa6L-Ut0EZtUyqBb-6gRXcHItnhxWK8EDYW0MMQ2gBQ43pPB3PVdTkb9tcvMmc8rFtGdQvmgUFlAlsJlmIXE0HQUDUc6YwUSc7yEtUq5dBROTcqOXbkktQ&amp;csui=3&amp;ved=2ahUKEwil3cmAp9qQAxVFkq8BHZCfDR0QgK4QegQIAx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Powering Australia - Impacts of heavy vehicle reform - Commissioned study</dc:title>
  <dc:subject/>
  <dc:creator>Powering Australia</dc:creator>
  <cp:keywords/>
  <dc:description/>
  <cp:lastModifiedBy>Chris Alston</cp:lastModifiedBy>
  <cp:revision>4</cp:revision>
  <dcterms:created xsi:type="dcterms:W3CDTF">2025-12-19T03:58:00Z</dcterms:created>
  <dcterms:modified xsi:type="dcterms:W3CDTF">2026-01-12T22:29:00Z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MediaServiceImageTags">
    <vt:lpwstr/>
  </property>
  <property fmtid="{D5CDD505-2E9C-101B-9397-08002B2CF9AE}" pid="4" name="MSIP_Label_c1f2b1ce-4212-46db-a901-dd8453f57141_Enabled">
    <vt:lpwstr>true</vt:lpwstr>
  </property>
  <property fmtid="{D5CDD505-2E9C-101B-9397-08002B2CF9AE}" pid="5" name="MSIP_Label_c1f2b1ce-4212-46db-a901-dd8453f57141_SetDate">
    <vt:lpwstr>2025-12-19T03:49:33Z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88f7cbe6-f839-4d63-b7a0-44b2319553bc</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y fmtid="{D5CDD505-2E9C-101B-9397-08002B2CF9AE}" pid="12" name="RevIMBCS">
    <vt:lpwstr>1;#Unclassified|3955eeb1-2d18-4582-aeb2-00144ec3aaf5</vt:lpwstr>
  </property>
  <property fmtid="{D5CDD505-2E9C-101B-9397-08002B2CF9AE}" pid="13" name="docLang">
    <vt:lpwstr>en</vt:lpwstr>
  </property>
</Properties>
</file>