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0A2E" w14:textId="77777777" w:rsidR="00F77C67" w:rsidRPr="00F77C67" w:rsidRDefault="00F77C67" w:rsidP="00F77C67">
      <w:pPr>
        <w:pStyle w:val="Heading1-nobackground"/>
        <w:spacing w:after="240"/>
        <w:rPr>
          <w:spacing w:val="-4"/>
          <w:sz w:val="40"/>
          <w:szCs w:val="40"/>
        </w:rPr>
      </w:pPr>
      <w:r w:rsidRPr="00F77C67">
        <w:rPr>
          <w:b/>
          <w:bCs/>
          <w:spacing w:val="-4"/>
          <w:sz w:val="40"/>
          <w:szCs w:val="40"/>
        </w:rPr>
        <w:t>Statutory review of the electric car discount</w:t>
      </w:r>
    </w:p>
    <w:p w14:paraId="5ECFE258" w14:textId="26ABB3F8" w:rsidR="00AB4627" w:rsidRDefault="005A71A8" w:rsidP="00F77C67">
      <w:pPr>
        <w:spacing w:after="360"/>
      </w:pPr>
      <w:r w:rsidRPr="005A71A8">
        <w:rPr>
          <w:rFonts w:ascii="Arial" w:eastAsia="Arial" w:hAnsi="Arial" w:cs="Arial"/>
          <w:color w:val="265A9A"/>
          <w:sz w:val="30"/>
          <w:szCs w:val="30"/>
        </w:rPr>
        <w:t>Productivity Commission submission</w:t>
      </w:r>
    </w:p>
    <w:tbl>
      <w:tblPr>
        <w:tblStyle w:val="Texttable-Paleblue"/>
        <w:tblW w:w="5000" w:type="pct"/>
        <w:shd w:val="clear" w:color="auto" w:fill="E7F6FD"/>
        <w:tblLook w:val="04A0" w:firstRow="1" w:lastRow="0" w:firstColumn="1" w:lastColumn="0" w:noHBand="0" w:noVBand="1"/>
      </w:tblPr>
      <w:tblGrid>
        <w:gridCol w:w="577"/>
        <w:gridCol w:w="9061"/>
      </w:tblGrid>
      <w:tr w:rsidR="00E642E7" w:rsidRPr="002F759A" w14:paraId="59BC3291" w14:textId="77777777">
        <w:tc>
          <w:tcPr>
            <w:tcW w:w="9638" w:type="dxa"/>
            <w:gridSpan w:val="2"/>
            <w:shd w:val="clear" w:color="auto" w:fill="E7F6FD"/>
            <w:tcMar>
              <w:left w:w="170" w:type="dxa"/>
            </w:tcMar>
          </w:tcPr>
          <w:p w14:paraId="6755982F" w14:textId="36E6645B" w:rsidR="00E642E7" w:rsidRPr="002F759A" w:rsidRDefault="00E642E7">
            <w:pPr>
              <w:pStyle w:val="Keypoints-heading"/>
            </w:pPr>
            <w:r w:rsidRPr="002F759A">
              <w:t>Key points</w:t>
            </w:r>
          </w:p>
        </w:tc>
      </w:tr>
      <w:tr w:rsidR="006E0B2F" w14:paraId="7A8FDB4D" w14:textId="77777777">
        <w:tc>
          <w:tcPr>
            <w:tcW w:w="577" w:type="dxa"/>
            <w:shd w:val="clear" w:color="auto" w:fill="E7F6FD"/>
            <w:tcMar>
              <w:top w:w="0" w:type="dxa"/>
              <w:bottom w:w="0" w:type="dxa"/>
              <w:right w:w="113" w:type="dxa"/>
            </w:tcMar>
          </w:tcPr>
          <w:p w14:paraId="3E1008CD" w14:textId="6D5882E0" w:rsidR="006E0B2F" w:rsidRPr="00A51374" w:rsidRDefault="006E0B2F" w:rsidP="006E0B2F">
            <w:pPr>
              <w:pStyle w:val="KeyPointsicon"/>
              <w:rPr>
                <w:noProof/>
              </w:rPr>
            </w:pPr>
            <w:r w:rsidRPr="00A51374">
              <w:rPr>
                <w:noProof/>
              </w:rPr>
              <w:drawing>
                <wp:inline distT="0" distB="0" distL="0" distR="0" wp14:anchorId="77A1B5EC" wp14:editId="11CD03F7">
                  <wp:extent cx="180000" cy="180000"/>
                  <wp:effectExtent l="0" t="0" r="0" b="0"/>
                  <wp:docPr id="1232965433" name="Graphic 1232965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082E7D76" w14:textId="3044D523" w:rsidR="006E0B2F" w:rsidRDefault="00B56DB2" w:rsidP="006E0B2F">
            <w:pPr>
              <w:pStyle w:val="KeyPoints-Bold"/>
            </w:pPr>
            <w:r>
              <w:t xml:space="preserve">The net zero transformation is a major </w:t>
            </w:r>
            <w:proofErr w:type="gramStart"/>
            <w:r w:rsidR="00D009E5">
              <w:t>undertaking</w:t>
            </w:r>
            <w:proofErr w:type="gramEnd"/>
            <w:r w:rsidR="00D009E5">
              <w:t xml:space="preserve"> and it is vital that Australia pursues its emissions reduction targets at least cost.</w:t>
            </w:r>
          </w:p>
        </w:tc>
      </w:tr>
      <w:tr w:rsidR="006E0B2F" w14:paraId="623C1999" w14:textId="77777777">
        <w:tc>
          <w:tcPr>
            <w:tcW w:w="577" w:type="dxa"/>
            <w:shd w:val="clear" w:color="auto" w:fill="E7F6FD"/>
            <w:tcMar>
              <w:top w:w="0" w:type="dxa"/>
              <w:bottom w:w="0" w:type="dxa"/>
              <w:right w:w="113" w:type="dxa"/>
            </w:tcMar>
          </w:tcPr>
          <w:p w14:paraId="23ECC94E" w14:textId="77777777" w:rsidR="006E0B2F" w:rsidRDefault="006E0B2F" w:rsidP="006E0B2F">
            <w:pPr>
              <w:pStyle w:val="KeyPointsicon"/>
            </w:pPr>
            <w:r w:rsidRPr="00A51374">
              <w:rPr>
                <w:noProof/>
              </w:rPr>
              <w:drawing>
                <wp:inline distT="0" distB="0" distL="0" distR="0" wp14:anchorId="029FF875" wp14:editId="4E0B46F2">
                  <wp:extent cx="180000" cy="180000"/>
                  <wp:effectExtent l="0" t="0" r="0" b="0"/>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4DF38D00" w14:textId="1CE681B2" w:rsidR="006E0B2F" w:rsidRPr="00610627" w:rsidRDefault="006E0B2F" w:rsidP="006E0B2F">
            <w:pPr>
              <w:pStyle w:val="KeyPoints-Bold"/>
            </w:pPr>
            <w:r>
              <w:t xml:space="preserve">The fringe benefits tax exemption for electric vehicles </w:t>
            </w:r>
            <w:r w:rsidR="00DF2429">
              <w:t>(EVs)</w:t>
            </w:r>
            <w:r>
              <w:t xml:space="preserve"> should be phased out because it is </w:t>
            </w:r>
            <w:r w:rsidR="00E217A3">
              <w:t xml:space="preserve">an </w:t>
            </w:r>
            <w:r>
              <w:t>unnecessarily costly way to reduce emissions.</w:t>
            </w:r>
          </w:p>
          <w:p w14:paraId="105D3161" w14:textId="2792A590" w:rsidR="006E0B2F" w:rsidRDefault="006E0B2F" w:rsidP="006E0B2F">
            <w:pPr>
              <w:pStyle w:val="KeyPoints-Bullet"/>
            </w:pPr>
            <w:r>
              <w:t>The PC has previously estimated that the exemption likely costs taxpayers between about $1,000 and $20,000 per tonne of avoided CO</w:t>
            </w:r>
            <w:r w:rsidRPr="00453509">
              <w:rPr>
                <w:vertAlign w:val="subscript"/>
              </w:rPr>
              <w:t>2</w:t>
            </w:r>
            <w:r>
              <w:t>-e, greatly exceeding the cost of other ways of reducing emissions.</w:t>
            </w:r>
          </w:p>
        </w:tc>
      </w:tr>
      <w:tr w:rsidR="006E0B2F" w14:paraId="79F7CF28" w14:textId="77777777">
        <w:tc>
          <w:tcPr>
            <w:tcW w:w="577" w:type="dxa"/>
            <w:shd w:val="clear" w:color="auto" w:fill="E7F6FD"/>
            <w:tcMar>
              <w:top w:w="0" w:type="dxa"/>
              <w:bottom w:w="0" w:type="dxa"/>
              <w:right w:w="113" w:type="dxa"/>
            </w:tcMar>
          </w:tcPr>
          <w:p w14:paraId="36AEE7BC" w14:textId="77777777" w:rsidR="006E0B2F" w:rsidRPr="00A51374" w:rsidRDefault="006E0B2F" w:rsidP="006E0B2F">
            <w:pPr>
              <w:pStyle w:val="KeyPointsicon"/>
            </w:pPr>
            <w:r w:rsidRPr="00F31E73">
              <w:rPr>
                <w:noProof/>
              </w:rPr>
              <w:drawing>
                <wp:inline distT="0" distB="0" distL="0" distR="0" wp14:anchorId="21AD835C" wp14:editId="18951D44">
                  <wp:extent cx="180000" cy="180000"/>
                  <wp:effectExtent l="0" t="0" r="0" b="0"/>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6EFCF960" w14:textId="3FAF8EB9" w:rsidR="002D4994" w:rsidRPr="00610627" w:rsidRDefault="00D009E5" w:rsidP="00114E9C">
            <w:pPr>
              <w:pStyle w:val="KeyPoints-Bold"/>
              <w:spacing w:after="240"/>
            </w:pPr>
            <w:r>
              <w:t>The</w:t>
            </w:r>
            <w:r w:rsidR="00246A43">
              <w:t xml:space="preserve"> New Vehicle Efficiency Standard</w:t>
            </w:r>
            <w:r w:rsidR="009C29F3">
              <w:t xml:space="preserve"> </w:t>
            </w:r>
            <w:r w:rsidR="00EF65F6">
              <w:t xml:space="preserve">now in place is </w:t>
            </w:r>
            <w:r w:rsidR="00743AF4">
              <w:t>a</w:t>
            </w:r>
            <w:r w:rsidR="000B7A12">
              <w:t xml:space="preserve"> more efficient way </w:t>
            </w:r>
            <w:r w:rsidR="00DC44FE">
              <w:t>to reduce</w:t>
            </w:r>
            <w:r w:rsidR="00FE2392">
              <w:t xml:space="preserve"> emissions from Australia’s light vehicle fleet</w:t>
            </w:r>
            <w:r w:rsidR="007673A7">
              <w:t xml:space="preserve">, and there are </w:t>
            </w:r>
            <w:r w:rsidR="00DF6212">
              <w:t>also</w:t>
            </w:r>
            <w:r w:rsidR="007673A7">
              <w:t xml:space="preserve"> policies in place to address </w:t>
            </w:r>
            <w:r w:rsidR="00B27AE4">
              <w:t xml:space="preserve">barriers </w:t>
            </w:r>
            <w:r w:rsidR="007673A7">
              <w:t>to EV take</w:t>
            </w:r>
            <w:r w:rsidR="00EA4BC1">
              <w:t>-up</w:t>
            </w:r>
            <w:r w:rsidR="00F641FF" w:rsidDel="007673A7">
              <w:t>.</w:t>
            </w:r>
          </w:p>
        </w:tc>
      </w:tr>
    </w:tbl>
    <w:p w14:paraId="4272BA4B" w14:textId="3D97BD16" w:rsidR="00E642E7" w:rsidRDefault="00E642E7">
      <w:pPr>
        <w:pStyle w:val="NoSpacing"/>
      </w:pPr>
    </w:p>
    <w:p w14:paraId="5AB4F522" w14:textId="73995811" w:rsidR="004B51EE" w:rsidRDefault="004B51EE" w:rsidP="00BE62F7">
      <w:pPr>
        <w:pStyle w:val="Heading2-nonumber"/>
        <w:spacing w:before="360"/>
        <w:rPr>
          <w:spacing w:val="-2"/>
        </w:rPr>
      </w:pPr>
      <w:r w:rsidRPr="004B51EE">
        <w:t>Introduction</w:t>
      </w:r>
    </w:p>
    <w:p w14:paraId="61B910C1" w14:textId="171A6F2B" w:rsidR="00D210DD" w:rsidRDefault="00EF048C" w:rsidP="00EF048C">
      <w:pPr>
        <w:pStyle w:val="BodyText"/>
        <w:rPr>
          <w:spacing w:val="-2"/>
        </w:rPr>
      </w:pPr>
      <w:r w:rsidRPr="00AC090B">
        <w:rPr>
          <w:spacing w:val="-2"/>
        </w:rPr>
        <w:t xml:space="preserve">The Productivity Commission welcomes the opportunity to make this submission to the </w:t>
      </w:r>
      <w:r w:rsidR="00D210DD">
        <w:rPr>
          <w:spacing w:val="-2"/>
        </w:rPr>
        <w:t>statutory review of the electric car discount. The</w:t>
      </w:r>
      <w:r w:rsidR="006145C2">
        <w:rPr>
          <w:spacing w:val="-2"/>
        </w:rPr>
        <w:t xml:space="preserve"> review will address both the fringe benefits tax </w:t>
      </w:r>
      <w:r w:rsidR="00F4432C">
        <w:rPr>
          <w:spacing w:val="-2"/>
        </w:rPr>
        <w:t>(FBT) exemption for electric vehicles (EVs) and the tariff exemption available for eligible EVs</w:t>
      </w:r>
      <w:r w:rsidR="007D0D87">
        <w:rPr>
          <w:spacing w:val="-2"/>
        </w:rPr>
        <w:t xml:space="preserve">. </w:t>
      </w:r>
      <w:r w:rsidR="00DE60FF">
        <w:rPr>
          <w:spacing w:val="-2"/>
        </w:rPr>
        <w:t xml:space="preserve">This </w:t>
      </w:r>
      <w:r w:rsidR="00F4432C">
        <w:rPr>
          <w:spacing w:val="-2"/>
        </w:rPr>
        <w:t>submission focus</w:t>
      </w:r>
      <w:r w:rsidR="006D456E">
        <w:rPr>
          <w:spacing w:val="-2"/>
        </w:rPr>
        <w:t>es</w:t>
      </w:r>
      <w:r w:rsidR="00F4432C">
        <w:rPr>
          <w:spacing w:val="-2"/>
        </w:rPr>
        <w:t xml:space="preserve"> on the FBT exemption, which </w:t>
      </w:r>
      <w:r w:rsidR="00D32231">
        <w:rPr>
          <w:spacing w:val="-2"/>
        </w:rPr>
        <w:t xml:space="preserve">the PC </w:t>
      </w:r>
      <w:r w:rsidR="003375D8">
        <w:rPr>
          <w:spacing w:val="-2"/>
        </w:rPr>
        <w:t xml:space="preserve">analysed </w:t>
      </w:r>
      <w:r w:rsidR="00F4432C">
        <w:rPr>
          <w:spacing w:val="-2"/>
        </w:rPr>
        <w:t>as pa</w:t>
      </w:r>
      <w:r w:rsidR="00316D03">
        <w:rPr>
          <w:spacing w:val="-2"/>
        </w:rPr>
        <w:t xml:space="preserve">rt of the most recent 5-year productivity inquiry </w:t>
      </w:r>
      <w:r w:rsidR="00FC581C" w:rsidRPr="00FC581C">
        <w:rPr>
          <w:rFonts w:ascii="Arial" w:hAnsi="Arial" w:cs="Arial"/>
        </w:rPr>
        <w:t>(PC 2023)</w:t>
      </w:r>
      <w:r w:rsidR="00316D03">
        <w:rPr>
          <w:spacing w:val="-2"/>
        </w:rPr>
        <w:t xml:space="preserve"> and our </w:t>
      </w:r>
      <w:r w:rsidR="007D0D87">
        <w:rPr>
          <w:spacing w:val="-2"/>
        </w:rPr>
        <w:t xml:space="preserve">inquiry into </w:t>
      </w:r>
      <w:r w:rsidR="00E55955">
        <w:rPr>
          <w:spacing w:val="-2"/>
        </w:rPr>
        <w:t xml:space="preserve">investing in </w:t>
      </w:r>
      <w:r w:rsidR="007D0D87">
        <w:rPr>
          <w:spacing w:val="-2"/>
        </w:rPr>
        <w:t xml:space="preserve">cheaper, cleaner energy and the net zero transformation </w:t>
      </w:r>
      <w:r w:rsidR="00D90BC9" w:rsidRPr="00D90BC9">
        <w:rPr>
          <w:rFonts w:ascii="Arial" w:hAnsi="Arial" w:cs="Arial"/>
        </w:rPr>
        <w:t>(PC 2025)</w:t>
      </w:r>
      <w:r w:rsidR="007D0D87">
        <w:rPr>
          <w:spacing w:val="-2"/>
        </w:rPr>
        <w:t>.</w:t>
      </w:r>
    </w:p>
    <w:p w14:paraId="3639B47D" w14:textId="4F543382" w:rsidR="005D632B" w:rsidRDefault="00521B1B" w:rsidP="0010253A">
      <w:pPr>
        <w:pStyle w:val="Heading2-nonumber"/>
      </w:pPr>
      <w:r>
        <w:t>The net zero transformation is still mostly ahead of us</w:t>
      </w:r>
    </w:p>
    <w:p w14:paraId="68609559" w14:textId="77777777" w:rsidR="001E5B6E" w:rsidRDefault="002F0DA6" w:rsidP="002F0DA6">
      <w:pPr>
        <w:pStyle w:val="BodyText"/>
      </w:pPr>
      <w:r w:rsidRPr="002F0DA6">
        <w:t>As</w:t>
      </w:r>
      <w:r>
        <w:t xml:space="preserve"> part of </w:t>
      </w:r>
      <w:r w:rsidRPr="002F0DA6">
        <w:t xml:space="preserve">global efforts to mitigate the effects of climate change, Australia has committed to </w:t>
      </w:r>
      <w:r w:rsidR="003741E8">
        <w:t>achieving net zero by 2050, as well as interim targets for 2030 and 2035.</w:t>
      </w:r>
    </w:p>
    <w:p w14:paraId="3051A673" w14:textId="1D5BA302" w:rsidR="003741E8" w:rsidRDefault="0067591D" w:rsidP="002F0DA6">
      <w:pPr>
        <w:pStyle w:val="BodyText"/>
      </w:pPr>
      <w:r>
        <w:t>The Department of Climate Change, Energy</w:t>
      </w:r>
      <w:r w:rsidR="00D86561">
        <w:t xml:space="preserve">, the Environment and Water projects that </w:t>
      </w:r>
      <w:r w:rsidR="00155364">
        <w:t xml:space="preserve">under current policies </w:t>
      </w:r>
      <w:r w:rsidR="00342E7F">
        <w:t xml:space="preserve">Australia </w:t>
      </w:r>
      <w:r w:rsidR="000570A3">
        <w:t xml:space="preserve">is within reach of the </w:t>
      </w:r>
      <w:r w:rsidR="00155364">
        <w:t>2</w:t>
      </w:r>
      <w:r w:rsidR="00342E7F">
        <w:t>030 target of 43% below 2005 levels</w:t>
      </w:r>
      <w:r w:rsidR="00975ED7">
        <w:t xml:space="preserve"> b</w:t>
      </w:r>
      <w:r w:rsidR="00992DB3">
        <w:t xml:space="preserve">ut </w:t>
      </w:r>
      <w:r w:rsidR="00787471">
        <w:t xml:space="preserve">that we are not on track to </w:t>
      </w:r>
      <w:r w:rsidR="00AF73A5">
        <w:t xml:space="preserve">meet our </w:t>
      </w:r>
      <w:r w:rsidR="00B60DEC">
        <w:t>2035 target of 62</w:t>
      </w:r>
      <w:r w:rsidR="005162ED">
        <w:t>–</w:t>
      </w:r>
      <w:r w:rsidR="00B60DEC">
        <w:t xml:space="preserve">70% below 2005 levels </w:t>
      </w:r>
      <w:r w:rsidR="00D90BC9" w:rsidRPr="00D90BC9">
        <w:rPr>
          <w:rFonts w:ascii="Arial" w:hAnsi="Arial" w:cs="Arial"/>
        </w:rPr>
        <w:t>(DCCEEW 2025, p. 3)</w:t>
      </w:r>
      <w:r w:rsidR="005830E1">
        <w:t>.</w:t>
      </w:r>
      <w:r w:rsidR="008828D1">
        <w:t xml:space="preserve"> </w:t>
      </w:r>
      <w:r w:rsidR="005830E1">
        <w:t>Meeting th</w:t>
      </w:r>
      <w:r w:rsidR="00D30128">
        <w:t xml:space="preserve">e top </w:t>
      </w:r>
      <w:r w:rsidR="00773355">
        <w:t xml:space="preserve">end </w:t>
      </w:r>
      <w:r w:rsidR="00D30128">
        <w:t xml:space="preserve">of this target band will require tripling our rate </w:t>
      </w:r>
      <w:r w:rsidR="00A5793A">
        <w:t xml:space="preserve">of emissions reduction between now and 2035 </w:t>
      </w:r>
      <w:r w:rsidR="00AA2984" w:rsidRPr="00AA2984">
        <w:rPr>
          <w:rFonts w:ascii="Arial" w:hAnsi="Arial" w:cs="Arial"/>
        </w:rPr>
        <w:t>(CCA 2025, p. 18)</w:t>
      </w:r>
      <w:r w:rsidR="00A5793A">
        <w:t>.</w:t>
      </w:r>
      <w:r w:rsidR="00555AFE">
        <w:t xml:space="preserve"> </w:t>
      </w:r>
      <w:r w:rsidR="00801FD5">
        <w:t>Achieving this sort of acceleration will require new policies and changes to existing policies</w:t>
      </w:r>
      <w:r w:rsidR="00CA0F2E">
        <w:t>.</w:t>
      </w:r>
    </w:p>
    <w:p w14:paraId="016C6ADE" w14:textId="0A5EF6B5" w:rsidR="0067663C" w:rsidRDefault="0067663C" w:rsidP="003B51B3">
      <w:pPr>
        <w:pStyle w:val="Heading2-nonumber"/>
      </w:pPr>
      <w:r>
        <w:lastRenderedPageBreak/>
        <w:t xml:space="preserve">Policies should </w:t>
      </w:r>
      <w:r w:rsidR="00854153">
        <w:t xml:space="preserve">aim for </w:t>
      </w:r>
      <w:r>
        <w:t xml:space="preserve">least-cost </w:t>
      </w:r>
      <w:r w:rsidR="00002F2A">
        <w:t>emissions reduction</w:t>
      </w:r>
    </w:p>
    <w:p w14:paraId="5CF18838" w14:textId="1994F63E" w:rsidR="00C034A6" w:rsidRDefault="00AF19DB" w:rsidP="00250FD0">
      <w:pPr>
        <w:pStyle w:val="BodyText"/>
      </w:pPr>
      <w:r>
        <w:t xml:space="preserve">Australian, state, territory and local governments have introduced a </w:t>
      </w:r>
      <w:r w:rsidR="00250FD0">
        <w:t xml:space="preserve">suite of measures to reduce emissions in different parts of the economy. </w:t>
      </w:r>
      <w:r w:rsidR="00443EB9">
        <w:t>And emissions reductions will be required throughout the economy if we are to achieve our emissions targets at least cost</w:t>
      </w:r>
      <w:r w:rsidR="00EC6FF1">
        <w:t>. B</w:t>
      </w:r>
      <w:r w:rsidR="007646CE">
        <w:t>ut achieving our emissions targets at least cost also requires that governments carefully desig</w:t>
      </w:r>
      <w:r w:rsidR="00C048D2">
        <w:t>n Australia’s various emissions reduction policies</w:t>
      </w:r>
      <w:r w:rsidR="00EC6FF1">
        <w:t xml:space="preserve"> to ensure the cost of emissions reductions is not unnecessarily high.</w:t>
      </w:r>
    </w:p>
    <w:p w14:paraId="51E09514" w14:textId="1D0D3496" w:rsidR="00C034A6" w:rsidRDefault="008B6B8D" w:rsidP="00C034A6">
      <w:pPr>
        <w:pStyle w:val="BodyText"/>
      </w:pPr>
      <w:r>
        <w:t xml:space="preserve">In this context, ‘unnecessarily high’ has a specific meaning. </w:t>
      </w:r>
      <w:r w:rsidR="00C034A6">
        <w:t xml:space="preserve">Emissions reduction policies </w:t>
      </w:r>
      <w:r w:rsidR="005B7467">
        <w:t>can</w:t>
      </w:r>
      <w:r w:rsidR="00C034A6">
        <w:t xml:space="preserve"> be unnecessarily costly if they </w:t>
      </w:r>
      <w:r w:rsidR="005B7467">
        <w:t xml:space="preserve">have implicit (or explicit) </w:t>
      </w:r>
      <w:r w:rsidR="00C034A6">
        <w:t xml:space="preserve">carbon prices above </w:t>
      </w:r>
      <w:r w:rsidR="005B7467">
        <w:t>target-consistent carbon values.</w:t>
      </w:r>
      <w:r w:rsidR="00C034A6">
        <w:t xml:space="preserve"> </w:t>
      </w:r>
    </w:p>
    <w:p w14:paraId="110ABDF8" w14:textId="6EC3EF16" w:rsidR="00C034A6" w:rsidRDefault="00EB4F2F" w:rsidP="00250FD0">
      <w:pPr>
        <w:pStyle w:val="BodyText"/>
      </w:pPr>
      <w:r>
        <w:t xml:space="preserve">Target-consistent carbon values (TCCVs) are estimates of the implied carbon prices needed to meet emissions targets. They can be estimated </w:t>
      </w:r>
      <w:r w:rsidR="00E0254D">
        <w:t xml:space="preserve">using information about potential opportunities to reduce emissions in different parts of the economy. </w:t>
      </w:r>
      <w:r w:rsidR="007D245B">
        <w:t xml:space="preserve">Treasury’s modelling for the </w:t>
      </w:r>
      <w:r w:rsidR="007D245B">
        <w:rPr>
          <w:i/>
          <w:iCs/>
        </w:rPr>
        <w:t xml:space="preserve">Net zero plan </w:t>
      </w:r>
      <w:r w:rsidR="007D245B">
        <w:t xml:space="preserve">included </w:t>
      </w:r>
      <w:r w:rsidR="00441184">
        <w:t xml:space="preserve">‘marginal abatement incentives’ </w:t>
      </w:r>
      <w:r w:rsidR="00CD75B7">
        <w:t>which are functionally equivalent to TCCVs. The</w:t>
      </w:r>
      <w:r w:rsidR="00BB442E">
        <w:t>se</w:t>
      </w:r>
      <w:r w:rsidR="00CD75B7">
        <w:t xml:space="preserve"> </w:t>
      </w:r>
      <w:r w:rsidR="00441184">
        <w:t xml:space="preserve">represent the most expensive abatement options taken up at different times to achieve emissions reductions consistent with Australian Government </w:t>
      </w:r>
      <w:r w:rsidR="00B34CEB">
        <w:t xml:space="preserve">targets </w:t>
      </w:r>
      <w:r w:rsidR="008350A8" w:rsidRPr="008350A8">
        <w:rPr>
          <w:rFonts w:ascii="Arial" w:hAnsi="Arial" w:cs="Arial"/>
        </w:rPr>
        <w:t>(2025, p. 17)</w:t>
      </w:r>
      <w:r w:rsidR="009B1C32">
        <w:t>,</w:t>
      </w:r>
      <w:r w:rsidR="001170F0">
        <w:t xml:space="preserve"> and </w:t>
      </w:r>
      <w:r w:rsidR="00C76FA2">
        <w:t xml:space="preserve">Treasury </w:t>
      </w:r>
      <w:r w:rsidR="00B12FB0">
        <w:t>estimate</w:t>
      </w:r>
      <w:r w:rsidR="009937DA">
        <w:t>s of</w:t>
      </w:r>
      <w:r w:rsidR="00B12FB0">
        <w:t xml:space="preserve"> their value</w:t>
      </w:r>
      <w:r w:rsidR="00881537">
        <w:t xml:space="preserve"> </w:t>
      </w:r>
      <w:r w:rsidR="00434388">
        <w:t xml:space="preserve">averages </w:t>
      </w:r>
      <w:r w:rsidR="00881537">
        <w:t>$67</w:t>
      </w:r>
      <w:r w:rsidR="001D4C10">
        <w:t>/tonne from 2026 to 2030. T</w:t>
      </w:r>
      <w:r w:rsidR="00B34CEB">
        <w:t xml:space="preserve">he PC has recommended </w:t>
      </w:r>
      <w:r w:rsidR="00B33153">
        <w:t xml:space="preserve">using them as a benchmark for assessing emissions reduction policies before a </w:t>
      </w:r>
      <w:r w:rsidR="00C034A6">
        <w:t>set of TCCVs are estimated by an independent agency.</w:t>
      </w:r>
    </w:p>
    <w:p w14:paraId="32E9D824" w14:textId="09713054" w:rsidR="00AE0B67" w:rsidRDefault="00271346" w:rsidP="00250FD0">
      <w:pPr>
        <w:pStyle w:val="BodyText"/>
      </w:pPr>
      <w:r>
        <w:t>By using TCCVs as a benchmark,</w:t>
      </w:r>
      <w:r w:rsidR="00132275">
        <w:t xml:space="preserve"> governments can design polic</w:t>
      </w:r>
      <w:r w:rsidR="009937DA">
        <w:t>ies</w:t>
      </w:r>
      <w:r w:rsidR="00132275">
        <w:t xml:space="preserve"> in wa</w:t>
      </w:r>
      <w:r w:rsidR="00D05AD6">
        <w:t>y</w:t>
      </w:r>
      <w:r w:rsidR="009937DA">
        <w:t>s</w:t>
      </w:r>
      <w:r w:rsidR="00132275">
        <w:t xml:space="preserve"> that achieve many of the </w:t>
      </w:r>
      <w:r w:rsidR="00862CE9">
        <w:t xml:space="preserve">benefits conferred by a broad-based, enduring, national carbon price – a policy supported by many, including the PC </w:t>
      </w:r>
      <w:r w:rsidR="00170B3C" w:rsidRPr="00170B3C">
        <w:rPr>
          <w:rFonts w:ascii="Arial" w:hAnsi="Arial" w:cs="Arial"/>
        </w:rPr>
        <w:t>(2008, 2011, 2023, p. 16)</w:t>
      </w:r>
      <w:r w:rsidR="00AE0B67">
        <w:t xml:space="preserve">. </w:t>
      </w:r>
      <w:r w:rsidR="00AE0B67">
        <w:rPr>
          <w:lang w:val="en-US"/>
        </w:rPr>
        <w:t>Policies that achieve emissions reduction at higher cost than TCCVs can be justified where they achieve other benefits</w:t>
      </w:r>
      <w:r w:rsidR="00FB29C8">
        <w:rPr>
          <w:lang w:val="en-US"/>
        </w:rPr>
        <w:t xml:space="preserve"> (</w:t>
      </w:r>
      <w:r w:rsidR="00A63D66">
        <w:rPr>
          <w:lang w:val="en-US"/>
        </w:rPr>
        <w:t xml:space="preserve">for example, </w:t>
      </w:r>
      <w:r w:rsidR="00A97249">
        <w:rPr>
          <w:lang w:val="en-US"/>
        </w:rPr>
        <w:t>increasing</w:t>
      </w:r>
      <w:r w:rsidR="00A43F3A">
        <w:rPr>
          <w:lang w:val="en-US"/>
        </w:rPr>
        <w:t xml:space="preserve"> the provision of </w:t>
      </w:r>
      <w:r w:rsidR="00AB0579">
        <w:rPr>
          <w:lang w:val="en-US"/>
        </w:rPr>
        <w:t xml:space="preserve">knowledge </w:t>
      </w:r>
      <w:r w:rsidR="005614C1">
        <w:rPr>
          <w:lang w:val="en-US"/>
        </w:rPr>
        <w:t>goods</w:t>
      </w:r>
      <w:r w:rsidR="008D49AF">
        <w:rPr>
          <w:lang w:val="en-US"/>
        </w:rPr>
        <w:t xml:space="preserve"> or addressing coordination failures)</w:t>
      </w:r>
      <w:r w:rsidR="00AE0B67">
        <w:rPr>
          <w:lang w:val="en-US"/>
        </w:rPr>
        <w:t>, and TCCVs estimated for future years can help policymakers assess the value of interventions designed to reduce costs over time.</w:t>
      </w:r>
    </w:p>
    <w:p w14:paraId="670440AF" w14:textId="77777777" w:rsidR="008B6B8D" w:rsidRDefault="008B6B8D" w:rsidP="008B6B8D">
      <w:pPr>
        <w:pStyle w:val="Heading2-nonumber"/>
      </w:pPr>
      <w:r>
        <w:t>The EV FBT exemption is costly and should be phased out</w:t>
      </w:r>
    </w:p>
    <w:p w14:paraId="601748CC" w14:textId="79E8416C" w:rsidR="00780BE3" w:rsidRDefault="008B6B8D" w:rsidP="008B6B8D">
      <w:pPr>
        <w:pStyle w:val="BodyText"/>
      </w:pPr>
      <w:r>
        <w:t xml:space="preserve">The EV FBT exemption </w:t>
      </w:r>
      <w:r w:rsidRPr="00AF0482">
        <w:t xml:space="preserve">may increase EV uptake and have other </w:t>
      </w:r>
      <w:proofErr w:type="gramStart"/>
      <w:r w:rsidRPr="00AF0482">
        <w:t>benefits</w:t>
      </w:r>
      <w:proofErr w:type="gramEnd"/>
      <w:r w:rsidR="00032871">
        <w:t xml:space="preserve"> but it </w:t>
      </w:r>
      <w:r w:rsidR="00BE7191">
        <w:t xml:space="preserve">is unlikely </w:t>
      </w:r>
      <w:r w:rsidRPr="00AF0482">
        <w:t xml:space="preserve">to be the most </w:t>
      </w:r>
      <w:r w:rsidRPr="00AF0482">
        <w:br/>
        <w:t>cost-effective way of achieving those outcomes.</w:t>
      </w:r>
    </w:p>
    <w:p w14:paraId="10227AFE" w14:textId="2BC3E884" w:rsidR="00F2770C" w:rsidRDefault="008B6B8D" w:rsidP="00710523">
      <w:pPr>
        <w:pStyle w:val="BodyText"/>
      </w:pPr>
      <w:r w:rsidRPr="00AF0482">
        <w:t>Previous work by the PC estimated that the FBT exemption likely costs Australian taxpayers between about $1,000 and $20,000 per tonne of avoided CO</w:t>
      </w:r>
      <w:r w:rsidRPr="00E30B89">
        <w:rPr>
          <w:vertAlign w:val="subscript"/>
        </w:rPr>
        <w:t>2</w:t>
      </w:r>
      <w:r w:rsidRPr="00AF0482">
        <w:noBreakHyphen/>
        <w:t xml:space="preserve">e </w:t>
      </w:r>
      <w:r w:rsidR="00170B3C" w:rsidRPr="00170B3C">
        <w:rPr>
          <w:rFonts w:ascii="Arial" w:hAnsi="Arial" w:cs="Arial"/>
        </w:rPr>
        <w:t>(2023, p. 14)</w:t>
      </w:r>
      <w:r w:rsidRPr="00AF0482">
        <w:t>.</w:t>
      </w:r>
    </w:p>
    <w:p w14:paraId="3504E934" w14:textId="06E57FE3" w:rsidR="00362002" w:rsidRDefault="00F2770C" w:rsidP="008B6B8D">
      <w:pPr>
        <w:pStyle w:val="BodyText"/>
      </w:pPr>
      <w:r>
        <w:t>Moreover, b</w:t>
      </w:r>
      <w:r w:rsidR="00732F4A">
        <w:t xml:space="preserve">y design, the exemption </w:t>
      </w:r>
      <w:r w:rsidR="00732F4A" w:rsidRPr="00AF0482">
        <w:t>does not provide an equal benefit to consumers based on emissions reduction.</w:t>
      </w:r>
      <w:r w:rsidR="00732F4A">
        <w:t xml:space="preserve"> It only rewards the purchase of </w:t>
      </w:r>
      <w:proofErr w:type="gramStart"/>
      <w:r w:rsidR="00732F4A">
        <w:t>EVs</w:t>
      </w:r>
      <w:r w:rsidR="00FD3A03">
        <w:t>, and</w:t>
      </w:r>
      <w:proofErr w:type="gramEnd"/>
      <w:r w:rsidR="00FD3A03">
        <w:t xml:space="preserve"> only rewards the purchase of EVs by people </w:t>
      </w:r>
      <w:r w:rsidR="008B6B8D" w:rsidRPr="00AF0482">
        <w:t>who can access salary packaging or novated leases</w:t>
      </w:r>
      <w:r w:rsidR="00FD3A03">
        <w:t>. It also incentivises m</w:t>
      </w:r>
      <w:r w:rsidR="008B6B8D" w:rsidRPr="00AF0482">
        <w:t>ore expensive car purchases (up to the exemption’s threshold of around $90,000)</w:t>
      </w:r>
      <w:r w:rsidR="00710523">
        <w:t>.</w:t>
      </w:r>
      <w:r w:rsidR="009846B3">
        <w:rPr>
          <w:rStyle w:val="FootnoteReference"/>
        </w:rPr>
        <w:footnoteReference w:id="2"/>
      </w:r>
      <w:r w:rsidR="00710523">
        <w:t xml:space="preserve"> </w:t>
      </w:r>
      <w:r w:rsidR="008B6B8D" w:rsidRPr="00AF0482">
        <w:t>These factors make the exemption more likely to be distortionary, since it rewards consumers for factors unrelated to the exemption’s policy goals.</w:t>
      </w:r>
    </w:p>
    <w:p w14:paraId="6C5E928D" w14:textId="3FD955E1" w:rsidR="007F4D80" w:rsidRDefault="000776BF" w:rsidP="008B6B8D">
      <w:pPr>
        <w:pStyle w:val="BodyText"/>
      </w:pPr>
      <w:r w:rsidRPr="000776BF">
        <w:t xml:space="preserve">The Australian Government may consider that </w:t>
      </w:r>
      <w:r w:rsidR="00CD0267">
        <w:t xml:space="preserve">some </w:t>
      </w:r>
      <w:r w:rsidR="00D81D45">
        <w:t>policy measure is needed to drive EV uptake</w:t>
      </w:r>
      <w:r w:rsidRPr="000776BF">
        <w:t xml:space="preserve"> </w:t>
      </w:r>
      <w:r w:rsidR="009640DE">
        <w:t>if the EV</w:t>
      </w:r>
      <w:r w:rsidR="004B51EE">
        <w:t> </w:t>
      </w:r>
      <w:r w:rsidR="009640DE">
        <w:t>FBT exemption is removed.</w:t>
      </w:r>
      <w:r w:rsidR="00081067">
        <w:t xml:space="preserve"> </w:t>
      </w:r>
      <w:r w:rsidR="00547658">
        <w:t>Any such measures should be assessed against TCCV</w:t>
      </w:r>
      <w:r w:rsidR="00AD51EC">
        <w:t xml:space="preserve">s and </w:t>
      </w:r>
      <w:r w:rsidRPr="000776BF">
        <w:t xml:space="preserve">broader policy criteria including efficiency, simplicity and distributional impacts. </w:t>
      </w:r>
      <w:r w:rsidR="005644B3">
        <w:t>In general,</w:t>
      </w:r>
      <w:r w:rsidR="00731C0A">
        <w:t xml:space="preserve"> tax concessions </w:t>
      </w:r>
      <w:r w:rsidR="006F4189">
        <w:t xml:space="preserve">that </w:t>
      </w:r>
      <w:r w:rsidR="00EF7E7A">
        <w:t xml:space="preserve">are more </w:t>
      </w:r>
      <w:r w:rsidR="00EF7E7A">
        <w:lastRenderedPageBreak/>
        <w:t xml:space="preserve">valuable for </w:t>
      </w:r>
      <w:r w:rsidR="00570912">
        <w:t xml:space="preserve">higher income earners are unlikely to be efficient or equitable </w:t>
      </w:r>
      <w:r w:rsidR="00731C0A">
        <w:t xml:space="preserve">in </w:t>
      </w:r>
      <w:r w:rsidR="00B578A6">
        <w:t xml:space="preserve">the context of Australia’s </w:t>
      </w:r>
      <w:r w:rsidR="00731C0A">
        <w:t>progressive income tax system</w:t>
      </w:r>
      <w:r w:rsidR="00570912">
        <w:t xml:space="preserve">. </w:t>
      </w:r>
    </w:p>
    <w:p w14:paraId="47D86B36" w14:textId="3B3B9701" w:rsidR="003723E1" w:rsidRDefault="00A917F4" w:rsidP="003723E1">
      <w:pPr>
        <w:pStyle w:val="BodyText"/>
      </w:pPr>
      <w:r>
        <w:t>T</w:t>
      </w:r>
      <w:r w:rsidR="00081067">
        <w:t xml:space="preserve">he Australian Government should </w:t>
      </w:r>
      <w:r w:rsidR="008F492F">
        <w:t>lean</w:t>
      </w:r>
      <w:r w:rsidR="00081067">
        <w:t xml:space="preserve"> on </w:t>
      </w:r>
      <w:r w:rsidR="0063661C">
        <w:t xml:space="preserve">the New Vehicle Efficiency Standard (NVES) </w:t>
      </w:r>
      <w:r w:rsidR="008049BC">
        <w:t>and complementary policies</w:t>
      </w:r>
      <w:r w:rsidR="0063661C">
        <w:t xml:space="preserve"> </w:t>
      </w:r>
      <w:r w:rsidR="00B836D2">
        <w:t xml:space="preserve">as the main </w:t>
      </w:r>
      <w:r w:rsidR="008049BC">
        <w:t>drivers</w:t>
      </w:r>
      <w:r w:rsidR="00B836D2">
        <w:t xml:space="preserve"> for decarbonising the light vehicle fleet.</w:t>
      </w:r>
      <w:r w:rsidR="00EF68C6">
        <w:t xml:space="preserve"> </w:t>
      </w:r>
      <w:r w:rsidR="000D449C">
        <w:t xml:space="preserve">For example, </w:t>
      </w:r>
      <w:r w:rsidR="00EF68C6">
        <w:t>Australia now ha</w:t>
      </w:r>
      <w:r w:rsidR="000D449C">
        <w:t>s</w:t>
      </w:r>
      <w:r w:rsidR="00EF68C6">
        <w:t xml:space="preserve"> in place </w:t>
      </w:r>
      <w:proofErr w:type="gramStart"/>
      <w:r w:rsidR="00EF68C6">
        <w:t>a number of</w:t>
      </w:r>
      <w:proofErr w:type="gramEnd"/>
      <w:r w:rsidR="00EF68C6">
        <w:t xml:space="preserve"> measures that specifically target non-price barriers to EV uptake, including the development of a national EV charging network.</w:t>
      </w:r>
    </w:p>
    <w:p w14:paraId="7193D3C4" w14:textId="11DF8AB1" w:rsidR="00253D71" w:rsidRPr="00253D71" w:rsidRDefault="00CE4E14" w:rsidP="003723E1">
      <w:pPr>
        <w:pStyle w:val="Heading2-nonumber"/>
      </w:pPr>
      <w:r>
        <w:t>T</w:t>
      </w:r>
      <w:r w:rsidR="00A25659">
        <w:t xml:space="preserve">he </w:t>
      </w:r>
      <w:r w:rsidR="0001680A">
        <w:t xml:space="preserve">NVES </w:t>
      </w:r>
      <w:r w:rsidR="001414A1">
        <w:t xml:space="preserve">is </w:t>
      </w:r>
      <w:r w:rsidR="00F21AE9">
        <w:t>an efficient policy</w:t>
      </w:r>
      <w:r w:rsidR="002249AF">
        <w:t xml:space="preserve"> </w:t>
      </w:r>
    </w:p>
    <w:p w14:paraId="1ABC94B1" w14:textId="1904D58C" w:rsidR="003723E1" w:rsidRPr="00B57654" w:rsidRDefault="003723E1" w:rsidP="003723E1">
      <w:pPr>
        <w:pStyle w:val="BodyText"/>
      </w:pPr>
      <w:r w:rsidRPr="00B57654">
        <w:t>Under the NVES, importers of new passenger cars and light commercial vehicles must ensure that the vehicles they supply on average meet certain emissions intensity standards. In 202</w:t>
      </w:r>
      <w:r w:rsidR="00C307D7">
        <w:t>6</w:t>
      </w:r>
      <w:r w:rsidRPr="00B57654">
        <w:t>, a supplier’s fleet of:</w:t>
      </w:r>
    </w:p>
    <w:p w14:paraId="4FA0FE27" w14:textId="4FBA22AE" w:rsidR="003723E1" w:rsidRPr="00B57654" w:rsidRDefault="003723E1" w:rsidP="003723E1">
      <w:pPr>
        <w:pStyle w:val="ListBullet"/>
      </w:pPr>
      <w:r w:rsidRPr="004033B5">
        <w:t>‘</w:t>
      </w:r>
      <w:r w:rsidRPr="00B57654">
        <w:t>Type 1’ vehicles must emit no more than 1</w:t>
      </w:r>
      <w:r w:rsidR="001E7C27">
        <w:t>17</w:t>
      </w:r>
      <w:r w:rsidRPr="00B57654">
        <w:t> grams of carbon dioxide per kilometre on average</w:t>
      </w:r>
    </w:p>
    <w:p w14:paraId="6E42EC51" w14:textId="0384AD30" w:rsidR="003723E1" w:rsidRPr="004033B5" w:rsidRDefault="003723E1" w:rsidP="003723E1">
      <w:pPr>
        <w:pStyle w:val="ListBullet"/>
      </w:pPr>
      <w:r w:rsidRPr="00B57654">
        <w:t xml:space="preserve">‘Type 2’ vehicles must emit no more than </w:t>
      </w:r>
      <w:r w:rsidR="001E7C27">
        <w:t>180</w:t>
      </w:r>
      <w:r w:rsidRPr="00B57654">
        <w:t> grams of carbon dioxide per kilometre on average.</w:t>
      </w:r>
      <w:r w:rsidRPr="00347211">
        <w:rPr>
          <w:rStyle w:val="FootnoteReference"/>
        </w:rPr>
        <w:footnoteReference w:id="3"/>
      </w:r>
    </w:p>
    <w:p w14:paraId="1870CA93" w14:textId="77777777" w:rsidR="003723E1" w:rsidRPr="00B57654" w:rsidRDefault="003723E1" w:rsidP="003723E1">
      <w:pPr>
        <w:pStyle w:val="BodyText"/>
      </w:pPr>
      <w:r w:rsidRPr="00B57654">
        <w:t xml:space="preserve">The standards become more stringent over time and currently have been set until 2029. </w:t>
      </w:r>
    </w:p>
    <w:p w14:paraId="3A1839A7" w14:textId="430C3BA2" w:rsidR="003723E1" w:rsidRPr="00B57654" w:rsidRDefault="003723E1" w:rsidP="003723E1">
      <w:pPr>
        <w:pStyle w:val="BodyText"/>
      </w:pPr>
      <w:r w:rsidRPr="00B57654">
        <w:t xml:space="preserve">Suppliers have flexibility in how they can comply. Those whose fleets are more emissions-intensive than the relevant standard can meet their obligations by buying credits – ‘units’ – from those whose fleets beat the standard </w:t>
      </w:r>
      <w:r w:rsidR="004254CC" w:rsidRPr="004254CC">
        <w:rPr>
          <w:rFonts w:ascii="Arial" w:hAnsi="Arial" w:cs="Arial"/>
        </w:rPr>
        <w:t>(NVES Regulator 2025)</w:t>
      </w:r>
      <w:r w:rsidRPr="00B57654">
        <w:t xml:space="preserve">. </w:t>
      </w:r>
    </w:p>
    <w:p w14:paraId="1EF967F5" w14:textId="2F230BB2" w:rsidR="00DB053C" w:rsidRDefault="003723E1" w:rsidP="003723E1">
      <w:pPr>
        <w:pStyle w:val="BodyText"/>
      </w:pPr>
      <w:r w:rsidRPr="00B57654">
        <w:t>As a market-based mechanism, the NVES is efficient. Compared with EV</w:t>
      </w:r>
      <w:r w:rsidRPr="00B57654">
        <w:noBreakHyphen/>
        <w:t>specific subsidies, the NVES incentivises a broader set of emissions-reduction options. Vehicle suppliers can meet the standard not just by selling EVs, but also by selling cleaner fossil-fuelled cars</w:t>
      </w:r>
      <w:r>
        <w:t>.</w:t>
      </w:r>
      <w:r w:rsidR="004334FF">
        <w:t xml:space="preserve"> </w:t>
      </w:r>
    </w:p>
    <w:p w14:paraId="7C82A38C" w14:textId="72A0A71F" w:rsidR="00743AF4" w:rsidRDefault="00743AF4" w:rsidP="00C57FB7">
      <w:pPr>
        <w:pStyle w:val="BodyText"/>
      </w:pPr>
      <w:r w:rsidRPr="00743AF4">
        <w:t>Modelling by Net Zero Australia indicates that if NVES limits continue to decline to 0 g CO</w:t>
      </w:r>
      <w:r w:rsidRPr="002B40D8">
        <w:rPr>
          <w:vertAlign w:val="subscript"/>
        </w:rPr>
        <w:t>2</w:t>
      </w:r>
      <w:r w:rsidRPr="00743AF4">
        <w:t xml:space="preserve">/km by 2050 (which is much slower than the current decline rate), the NVES will reduce emissions from light vehicles at a rate close to a least cost net zero by 2050 pathway </w:t>
      </w:r>
      <w:r w:rsidR="000A4FC0" w:rsidRPr="000A4FC0">
        <w:rPr>
          <w:rFonts w:ascii="Arial" w:hAnsi="Arial" w:cs="Arial"/>
        </w:rPr>
        <w:t>(Net Zero Australia 2025a, p. 23, 2025b, p. 26)</w:t>
      </w:r>
      <w:r w:rsidRPr="00743AF4">
        <w:t>.</w:t>
      </w:r>
    </w:p>
    <w:p w14:paraId="3BC01C55" w14:textId="77777777" w:rsidR="00353BB0" w:rsidRDefault="000776BF" w:rsidP="00C57FB7">
      <w:pPr>
        <w:pStyle w:val="BodyText"/>
        <w:sectPr w:rsidR="00353BB0" w:rsidSect="00295FC4">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94" w:footer="510" w:gutter="0"/>
          <w:cols w:space="708"/>
          <w:titlePg/>
          <w:docGrid w:linePitch="360"/>
        </w:sectPr>
      </w:pPr>
      <w:r w:rsidRPr="000776BF">
        <w:t>The 2026 review of the NVES should seek to ensure that the standard is calibrated to align with the Australian Government’s emissions reduction targets. To achieve alignment, the review may need to consider ways to strengthen the NVES, such as by setting lower emissions intensity limits. The NVES could also set a single limit for both Type 1 and Type 2 vehicles, to reduce incentives for entities to sell more Type</w:t>
      </w:r>
      <w:r w:rsidR="007F5702">
        <w:t> </w:t>
      </w:r>
      <w:r w:rsidRPr="000776BF">
        <w:t>2 vehicles (which are more emissions-intensive).</w:t>
      </w:r>
    </w:p>
    <w:p w14:paraId="5CF6C92D" w14:textId="23CD1884" w:rsidR="00A91551" w:rsidRDefault="00A53B59" w:rsidP="003642A5">
      <w:pPr>
        <w:pStyle w:val="Heading2-nonumber"/>
      </w:pPr>
      <w:r>
        <w:lastRenderedPageBreak/>
        <w:t>R</w:t>
      </w:r>
      <w:r w:rsidR="00A91551">
        <w:t>eference</w:t>
      </w:r>
      <w:r w:rsidR="003642A5">
        <w:t>s</w:t>
      </w:r>
    </w:p>
    <w:p w14:paraId="1E41B8AD" w14:textId="77777777" w:rsidR="00EB2FBB" w:rsidRDefault="00EB2FBB" w:rsidP="003642A5">
      <w:pPr>
        <w:pStyle w:val="Reference"/>
        <w:sectPr w:rsidR="00EB2FBB" w:rsidSect="00295FC4">
          <w:headerReference w:type="first" r:id="rId22"/>
          <w:footerReference w:type="first" r:id="rId23"/>
          <w:pgSz w:w="11906" w:h="16838" w:code="9"/>
          <w:pgMar w:top="1134" w:right="1134" w:bottom="1134" w:left="1134" w:header="794" w:footer="510" w:gutter="0"/>
          <w:cols w:space="708"/>
          <w:titlePg/>
          <w:docGrid w:linePitch="360"/>
        </w:sectPr>
      </w:pPr>
    </w:p>
    <w:p w14:paraId="3E5CE2E6" w14:textId="1AC89631" w:rsidR="00406DA9" w:rsidRPr="00406DA9" w:rsidRDefault="00406DA9" w:rsidP="003642A5">
      <w:pPr>
        <w:pStyle w:val="Reference"/>
      </w:pPr>
      <w:r w:rsidRPr="00406DA9">
        <w:t xml:space="preserve">CCA (Australian Government Climate Change Authority) 2025, </w:t>
      </w:r>
      <w:r w:rsidRPr="00406DA9">
        <w:rPr>
          <w:i/>
          <w:iCs/>
        </w:rPr>
        <w:t>2025 Annual progress report</w:t>
      </w:r>
      <w:r w:rsidRPr="00406DA9">
        <w:t>.</w:t>
      </w:r>
    </w:p>
    <w:p w14:paraId="0C796C25" w14:textId="77777777" w:rsidR="00406DA9" w:rsidRPr="00406DA9" w:rsidRDefault="00406DA9" w:rsidP="003642A5">
      <w:pPr>
        <w:pStyle w:val="Reference"/>
      </w:pPr>
      <w:r w:rsidRPr="00406DA9">
        <w:t xml:space="preserve">DCCEEW (Australian Government Department of Climate Change, Energy, the Environment and Water) 2025, </w:t>
      </w:r>
      <w:r w:rsidRPr="00406DA9">
        <w:rPr>
          <w:i/>
          <w:iCs/>
        </w:rPr>
        <w:t>Australia’s emissions projections 2025</w:t>
      </w:r>
      <w:r w:rsidRPr="00406DA9">
        <w:t>.</w:t>
      </w:r>
    </w:p>
    <w:p w14:paraId="29369212" w14:textId="77777777" w:rsidR="00406DA9" w:rsidRPr="00406DA9" w:rsidRDefault="00406DA9" w:rsidP="003642A5">
      <w:pPr>
        <w:pStyle w:val="Reference"/>
      </w:pPr>
      <w:r w:rsidRPr="00406DA9">
        <w:t xml:space="preserve">Magenta Advisory and Pragmatic Policy Group 2025, </w:t>
      </w:r>
      <w:r w:rsidRPr="00406DA9">
        <w:rPr>
          <w:i/>
          <w:iCs/>
        </w:rPr>
        <w:t>Building a self-sustaining Australian EV market</w:t>
      </w:r>
      <w:r w:rsidRPr="00406DA9">
        <w:t>, report commissioned by the National Automotive Leasing and Salary Packing Association, the Electric Vehicle Council and the Australian Finance Industry Association.</w:t>
      </w:r>
    </w:p>
    <w:p w14:paraId="2D8E9315" w14:textId="77777777" w:rsidR="00406DA9" w:rsidRPr="00406DA9" w:rsidRDefault="00406DA9" w:rsidP="003642A5">
      <w:pPr>
        <w:pStyle w:val="Reference"/>
      </w:pPr>
      <w:r w:rsidRPr="00406DA9">
        <w:t xml:space="preserve">Net Zero Australia 2025a, </w:t>
      </w:r>
      <w:r w:rsidRPr="00406DA9">
        <w:rPr>
          <w:i/>
          <w:iCs/>
        </w:rPr>
        <w:t>Methods, assumptions, scenarios &amp; sensitivities</w:t>
      </w:r>
      <w:r w:rsidRPr="00406DA9">
        <w:t>.</w:t>
      </w:r>
    </w:p>
    <w:p w14:paraId="51AD5E9A" w14:textId="71E1DC14" w:rsidR="00406DA9" w:rsidRPr="00406DA9" w:rsidRDefault="00406DA9" w:rsidP="003642A5">
      <w:pPr>
        <w:pStyle w:val="Reference"/>
      </w:pPr>
      <w:r w:rsidRPr="00406DA9">
        <w:t>——</w:t>
      </w:r>
      <w:r w:rsidR="003642A5">
        <w:t> </w:t>
      </w:r>
      <w:r w:rsidRPr="00406DA9">
        <w:t xml:space="preserve">2025b, </w:t>
      </w:r>
      <w:r w:rsidRPr="00406DA9">
        <w:rPr>
          <w:i/>
          <w:iCs/>
        </w:rPr>
        <w:t xml:space="preserve">Topical report #1 </w:t>
      </w:r>
      <w:r w:rsidRPr="00406DA9">
        <w:rPr>
          <w:rFonts w:ascii="Segoe UI Symbol" w:hAnsi="Segoe UI Symbol" w:cs="Segoe UI Symbol"/>
          <w:i/>
          <w:iCs/>
        </w:rPr>
        <w:t>⁠</w:t>
      </w:r>
      <w:r w:rsidRPr="00406DA9">
        <w:rPr>
          <w:rFonts w:ascii="Arial" w:hAnsi="Arial" w:cs="Arial"/>
          <w:i/>
          <w:iCs/>
        </w:rPr>
        <w:t>–</w:t>
      </w:r>
      <w:r w:rsidRPr="00406DA9">
        <w:rPr>
          <w:rFonts w:ascii="Segoe UI Symbol" w:hAnsi="Segoe UI Symbol" w:cs="Segoe UI Symbol"/>
          <w:i/>
          <w:iCs/>
        </w:rPr>
        <w:t>⁠</w:t>
      </w:r>
      <w:r w:rsidRPr="00406DA9">
        <w:rPr>
          <w:i/>
          <w:iCs/>
        </w:rPr>
        <w:t xml:space="preserve"> updated net zero pathways for Australia</w:t>
      </w:r>
      <w:r w:rsidRPr="00406DA9">
        <w:t>.</w:t>
      </w:r>
    </w:p>
    <w:p w14:paraId="031308D9" w14:textId="77777777" w:rsidR="00406DA9" w:rsidRPr="00406DA9" w:rsidRDefault="00406DA9" w:rsidP="003642A5">
      <w:pPr>
        <w:pStyle w:val="Reference"/>
      </w:pPr>
      <w:r w:rsidRPr="00406DA9">
        <w:t xml:space="preserve">NVES Regulator (Australian Government New Vehicle Efficiency Standard Regulator) 2025, </w:t>
      </w:r>
      <w:r w:rsidRPr="00406DA9">
        <w:rPr>
          <w:i/>
          <w:iCs/>
        </w:rPr>
        <w:t>How units are traded</w:t>
      </w:r>
      <w:r w:rsidRPr="00406DA9">
        <w:t>, https://www.nvesregulator.gov.au/complying-nves/how-units-are-traded (accessed 22 July 2025).</w:t>
      </w:r>
    </w:p>
    <w:p w14:paraId="0C472A94" w14:textId="3293B938" w:rsidR="00406DA9" w:rsidRPr="00406DA9" w:rsidRDefault="00406DA9" w:rsidP="003642A5">
      <w:pPr>
        <w:pStyle w:val="Reference"/>
      </w:pPr>
      <w:r w:rsidRPr="00406DA9">
        <w:t xml:space="preserve">PC (Productivity Commission) 2008, </w:t>
      </w:r>
      <w:r w:rsidRPr="00406DA9">
        <w:rPr>
          <w:i/>
          <w:iCs/>
        </w:rPr>
        <w:t xml:space="preserve">What role for policies to supplement an emissions trading scheme? Productivity </w:t>
      </w:r>
      <w:r w:rsidR="0042121B">
        <w:rPr>
          <w:i/>
          <w:iCs/>
        </w:rPr>
        <w:t>C</w:t>
      </w:r>
      <w:r w:rsidRPr="00406DA9">
        <w:rPr>
          <w:i/>
          <w:iCs/>
        </w:rPr>
        <w:t>ommission submission to the Garnaut climate change review</w:t>
      </w:r>
      <w:r w:rsidRPr="00406DA9">
        <w:t>, Canberra.</w:t>
      </w:r>
    </w:p>
    <w:p w14:paraId="213916A8" w14:textId="2309F034" w:rsidR="00406DA9" w:rsidRPr="00406DA9" w:rsidRDefault="00406DA9" w:rsidP="003642A5">
      <w:pPr>
        <w:pStyle w:val="Reference"/>
      </w:pPr>
      <w:r w:rsidRPr="00406DA9">
        <w:t>——</w:t>
      </w:r>
      <w:r w:rsidR="003642A5">
        <w:t> </w:t>
      </w:r>
      <w:r w:rsidRPr="00406DA9">
        <w:t xml:space="preserve">2011, </w:t>
      </w:r>
      <w:r w:rsidRPr="00406DA9">
        <w:rPr>
          <w:i/>
          <w:iCs/>
        </w:rPr>
        <w:t>Carbon emission policies in key economies</w:t>
      </w:r>
      <w:r w:rsidRPr="00406DA9">
        <w:t>, Research report, Canberra.</w:t>
      </w:r>
    </w:p>
    <w:p w14:paraId="2626FFEB" w14:textId="4C533C36" w:rsidR="00406DA9" w:rsidRPr="00406DA9" w:rsidRDefault="00406DA9" w:rsidP="003642A5">
      <w:pPr>
        <w:pStyle w:val="Reference"/>
      </w:pPr>
      <w:r w:rsidRPr="00406DA9">
        <w:t>——</w:t>
      </w:r>
      <w:r w:rsidR="003642A5">
        <w:t> </w:t>
      </w:r>
      <w:r w:rsidRPr="00406DA9">
        <w:t xml:space="preserve">2023, </w:t>
      </w:r>
      <w:r w:rsidRPr="00406DA9">
        <w:rPr>
          <w:i/>
          <w:iCs/>
        </w:rPr>
        <w:t>5-year Productivity Inquiry: Managing the climate transition</w:t>
      </w:r>
      <w:r w:rsidRPr="00406DA9">
        <w:t>, Inquiry report no. 100, vol. 6, Canberra.</w:t>
      </w:r>
    </w:p>
    <w:p w14:paraId="41349D3F" w14:textId="72E8CD51" w:rsidR="00406DA9" w:rsidRPr="00406DA9" w:rsidRDefault="00406DA9" w:rsidP="003642A5">
      <w:pPr>
        <w:pStyle w:val="Reference"/>
      </w:pPr>
      <w:r w:rsidRPr="00406DA9">
        <w:t>——</w:t>
      </w:r>
      <w:r w:rsidR="003642A5">
        <w:t> </w:t>
      </w:r>
      <w:r w:rsidRPr="00406DA9">
        <w:t xml:space="preserve">2025, </w:t>
      </w:r>
      <w:r w:rsidRPr="00406DA9">
        <w:rPr>
          <w:i/>
          <w:iCs/>
        </w:rPr>
        <w:t>Investing in cheaper, cleaner energy and the net zero transformation</w:t>
      </w:r>
      <w:r w:rsidRPr="00406DA9">
        <w:t>, Inquiry report no. 113, Canberra.</w:t>
      </w:r>
    </w:p>
    <w:p w14:paraId="35A3F900" w14:textId="77777777" w:rsidR="00EB2FBB" w:rsidRDefault="00406DA9" w:rsidP="003642A5">
      <w:pPr>
        <w:pStyle w:val="Reference"/>
      </w:pPr>
      <w:r w:rsidRPr="00406DA9">
        <w:t xml:space="preserve">Treasury 2025, </w:t>
      </w:r>
      <w:r w:rsidRPr="00406DA9">
        <w:rPr>
          <w:i/>
          <w:iCs/>
        </w:rPr>
        <w:t>Australia’s net zero transformation: Treasury modelling and analysis: technical appendices</w:t>
      </w:r>
      <w:r w:rsidRPr="00406DA9">
        <w:t>.</w:t>
      </w:r>
    </w:p>
    <w:p w14:paraId="2ED51515" w14:textId="77777777" w:rsidR="00EB2FBB" w:rsidRDefault="00EB2FBB" w:rsidP="003642A5">
      <w:pPr>
        <w:pStyle w:val="Reference"/>
      </w:pPr>
    </w:p>
    <w:p w14:paraId="6B2A4332" w14:textId="77777777" w:rsidR="009F2154" w:rsidRDefault="009F2154" w:rsidP="003642A5">
      <w:pPr>
        <w:pStyle w:val="Reference"/>
      </w:pPr>
    </w:p>
    <w:p w14:paraId="4FD5351B" w14:textId="77777777" w:rsidR="009F2154" w:rsidRDefault="009F2154" w:rsidP="003642A5">
      <w:pPr>
        <w:pStyle w:val="Reference"/>
      </w:pPr>
    </w:p>
    <w:p w14:paraId="309EBDF2" w14:textId="2349D27E" w:rsidR="00EB2FBB" w:rsidRDefault="00EB2FBB" w:rsidP="003642A5">
      <w:pPr>
        <w:pStyle w:val="Reference"/>
        <w:sectPr w:rsidR="00EB2FBB" w:rsidSect="00EB2FBB">
          <w:type w:val="continuous"/>
          <w:pgSz w:w="11906" w:h="16838" w:code="9"/>
          <w:pgMar w:top="1134" w:right="1134" w:bottom="1134" w:left="1134" w:header="794" w:footer="510" w:gutter="0"/>
          <w:cols w:num="2" w:space="708"/>
          <w:titlePg/>
          <w:docGrid w:linePitch="360"/>
        </w:sectPr>
      </w:pPr>
    </w:p>
    <w:p w14:paraId="0290A894" w14:textId="59C2DAD7" w:rsidR="00A91551" w:rsidRPr="00A91551" w:rsidRDefault="00A91551" w:rsidP="003642A5">
      <w:pPr>
        <w:pStyle w:val="Reference"/>
      </w:pPr>
    </w:p>
    <w:sectPr w:rsidR="00A91551" w:rsidRPr="00A91551" w:rsidSect="00EB2FBB">
      <w:type w:val="continuous"/>
      <w:pgSz w:w="11906" w:h="16838" w:code="9"/>
      <w:pgMar w:top="1134" w:right="1134" w:bottom="1134" w:left="1134" w:header="794" w:footer="51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4816" w14:textId="77777777" w:rsidR="00D10CB4" w:rsidRDefault="00D10CB4" w:rsidP="008017BC">
      <w:r>
        <w:separator/>
      </w:r>
    </w:p>
    <w:p w14:paraId="72EE3819" w14:textId="77777777" w:rsidR="00D10CB4" w:rsidRDefault="00D10CB4"/>
  </w:endnote>
  <w:endnote w:type="continuationSeparator" w:id="0">
    <w:p w14:paraId="518CF5D2" w14:textId="77777777" w:rsidR="00D10CB4" w:rsidRDefault="00D10CB4" w:rsidP="008017BC">
      <w:r>
        <w:continuationSeparator/>
      </w:r>
    </w:p>
    <w:p w14:paraId="27BF4DF6" w14:textId="77777777" w:rsidR="00D10CB4" w:rsidRDefault="00D10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6E76" w14:textId="6B62F883" w:rsidR="00D15113" w:rsidRDefault="00F04EA7" w:rsidP="001A2437">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05887818"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98638"/>
      <w:docPartObj>
        <w:docPartGallery w:val="Page Numbers (Top of Page)"/>
        <w:docPartUnique/>
      </w:docPartObj>
    </w:sdtPr>
    <w:sdtContent>
      <w:p w14:paraId="5A677779" w14:textId="30BC3C4E" w:rsidR="001A2437" w:rsidRDefault="001A2437" w:rsidP="001A2437">
        <w:pPr>
          <w:pStyle w:val="Footer-right"/>
        </w:pPr>
        <w:r w:rsidRPr="0042508F">
          <w:rPr>
            <w:sz w:val="24"/>
          </w:rPr>
          <w:fldChar w:fldCharType="begin"/>
        </w:r>
        <w:r w:rsidRPr="0042508F">
          <w:instrText xml:space="preserve"> PAGE </w:instrText>
        </w:r>
        <w:r w:rsidRPr="0042508F">
          <w:rPr>
            <w:sz w:val="24"/>
          </w:rPr>
          <w:fldChar w:fldCharType="separate"/>
        </w:r>
        <w:r>
          <w:rPr>
            <w:sz w:val="24"/>
          </w:rPr>
          <w:t>3</w:t>
        </w:r>
        <w:r w:rsidRPr="0042508F">
          <w:rPr>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42680"/>
      <w:docPartObj>
        <w:docPartGallery w:val="Page Numbers (Top of Page)"/>
        <w:docPartUnique/>
      </w:docPartObj>
    </w:sdtPr>
    <w:sdtContent>
      <w:p w14:paraId="465BD1E9" w14:textId="77777777" w:rsidR="007F3A6F" w:rsidRDefault="007F3A6F" w:rsidP="001A2437">
        <w:pPr>
          <w:pStyle w:val="Footer-right"/>
        </w:pPr>
        <w:r>
          <w:rPr>
            <w:noProof/>
          </w:rPr>
          <w:drawing>
            <wp:anchor distT="0" distB="0" distL="114300" distR="114300" simplePos="0" relativeHeight="251658241" behindDoc="0" locked="0" layoutInCell="1" allowOverlap="1" wp14:anchorId="4B90A771" wp14:editId="4FC4173C">
              <wp:simplePos x="0" y="0"/>
              <wp:positionH relativeFrom="column">
                <wp:posOffset>-99437</wp:posOffset>
              </wp:positionH>
              <wp:positionV relativeFrom="paragraph">
                <wp:posOffset>-44450</wp:posOffset>
              </wp:positionV>
              <wp:extent cx="1332000" cy="421571"/>
              <wp:effectExtent l="0" t="0" r="0" b="0"/>
              <wp:wrapNone/>
              <wp:docPr id="1592752487" name="Picture 6" descr="www.p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89330" name="Picture 6" descr="www.pc.gov.au"/>
                      <pic:cNvPicPr/>
                    </pic:nvPicPr>
                    <pic:blipFill>
                      <a:blip r:embed="rId1">
                        <a:extLst>
                          <a:ext uri="{28A0092B-C50C-407E-A947-70E740481C1C}">
                            <a14:useLocalDpi xmlns:a14="http://schemas.microsoft.com/office/drawing/2010/main" val="0"/>
                          </a:ext>
                        </a:extLst>
                      </a:blip>
                      <a:stretch>
                        <a:fillRect/>
                      </a:stretch>
                    </pic:blipFill>
                    <pic:spPr>
                      <a:xfrm>
                        <a:off x="0" y="0"/>
                        <a:ext cx="1332000" cy="421571"/>
                      </a:xfrm>
                      <a:prstGeom prst="rect">
                        <a:avLst/>
                      </a:prstGeom>
                    </pic:spPr>
                  </pic:pic>
                </a:graphicData>
              </a:graphic>
              <wp14:sizeRelH relativeFrom="page">
                <wp14:pctWidth>0</wp14:pctWidth>
              </wp14:sizeRelH>
              <wp14:sizeRelV relativeFrom="page">
                <wp14:pctHeight>0</wp14:pctHeight>
              </wp14:sizeRelV>
            </wp:anchor>
          </w:drawing>
        </w:r>
        <w:r w:rsidRPr="0042508F">
          <w:rPr>
            <w:sz w:val="24"/>
          </w:rPr>
          <w:fldChar w:fldCharType="begin"/>
        </w:r>
        <w:r w:rsidRPr="0042508F">
          <w:instrText xml:space="preserve"> PAGE </w:instrText>
        </w:r>
        <w:r w:rsidRPr="0042508F">
          <w:rPr>
            <w:sz w:val="24"/>
          </w:rPr>
          <w:fldChar w:fldCharType="separate"/>
        </w:r>
        <w:r>
          <w:rPr>
            <w:sz w:val="24"/>
          </w:rPr>
          <w:t>3</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2D3E" w14:textId="77777777" w:rsidR="00D10CB4" w:rsidRPr="00C238D1" w:rsidRDefault="00D10CB4" w:rsidP="00273E86">
      <w:pPr>
        <w:spacing w:after="0" w:line="240" w:lineRule="auto"/>
        <w:rPr>
          <w:rStyle w:val="ColourDarkBlue"/>
        </w:rPr>
      </w:pPr>
      <w:r w:rsidRPr="00C238D1">
        <w:rPr>
          <w:rStyle w:val="ColourDarkBlue"/>
        </w:rPr>
        <w:continuationSeparator/>
      </w:r>
    </w:p>
  </w:footnote>
  <w:footnote w:type="continuationSeparator" w:id="0">
    <w:p w14:paraId="4A63C5E0" w14:textId="77777777" w:rsidR="00D10CB4" w:rsidRPr="001D7D9B" w:rsidRDefault="00D10CB4" w:rsidP="001D7D9B">
      <w:pPr>
        <w:spacing w:after="0" w:line="240" w:lineRule="auto"/>
        <w:rPr>
          <w:color w:val="265A9A" w:themeColor="background2"/>
        </w:rPr>
      </w:pPr>
      <w:r w:rsidRPr="00C238D1">
        <w:rPr>
          <w:rStyle w:val="ColourDarkBlue"/>
        </w:rPr>
        <w:continuationSeparator/>
      </w:r>
    </w:p>
  </w:footnote>
  <w:footnote w:type="continuationNotice" w:id="1">
    <w:p w14:paraId="6941AB2B" w14:textId="77777777" w:rsidR="00D10CB4" w:rsidRDefault="00D10CB4"/>
  </w:footnote>
  <w:footnote w:id="2">
    <w:p w14:paraId="65874A6C" w14:textId="14DDB527" w:rsidR="009846B3" w:rsidRPr="009846B3" w:rsidRDefault="009846B3" w:rsidP="009846B3">
      <w:pPr>
        <w:pStyle w:val="BodyText"/>
        <w:rPr>
          <w:lang w:val="en-US"/>
        </w:rPr>
      </w:pPr>
      <w:r>
        <w:rPr>
          <w:rStyle w:val="FootnoteReference"/>
        </w:rPr>
        <w:footnoteRef/>
      </w:r>
      <w:r>
        <w:t xml:space="preserve"> </w:t>
      </w:r>
      <w:r w:rsidRPr="009846B3">
        <w:rPr>
          <w:sz w:val="18"/>
        </w:rPr>
        <w:t xml:space="preserve">Data from a large novated lease provider indicates that around 48% of </w:t>
      </w:r>
      <w:r w:rsidRPr="009846B3">
        <w:rPr>
          <w:sz w:val="18"/>
          <w:szCs w:val="18"/>
        </w:rPr>
        <w:t>EV or plug-in hybrid EV adopters have incomes over $150,000, while only 35% of Australian drivers have income</w:t>
      </w:r>
      <w:r w:rsidR="00AE3661">
        <w:rPr>
          <w:sz w:val="18"/>
          <w:szCs w:val="18"/>
        </w:rPr>
        <w:t>s</w:t>
      </w:r>
      <w:r w:rsidRPr="009846B3">
        <w:rPr>
          <w:sz w:val="18"/>
          <w:szCs w:val="18"/>
        </w:rPr>
        <w:t xml:space="preserve"> above this level </w:t>
      </w:r>
      <w:r w:rsidR="00E6337E">
        <w:rPr>
          <w:sz w:val="18"/>
          <w:szCs w:val="18"/>
        </w:rPr>
        <w:fldChar w:fldCharType="begin"/>
      </w:r>
      <w:r w:rsidR="00E6337E">
        <w:rPr>
          <w:sz w:val="18"/>
          <w:szCs w:val="18"/>
        </w:rPr>
        <w:instrText xml:space="preserve"> ADDIN ZOTERO_ITEM CSL_CITATION {"citationID":"MFiZlKpf","properties":{"unsorted":false,"formattedCitation":"(Magenta Advisory and Pragmatic Policy Group\\uc0\\u160{}2025, p.\\uc0\\u160{}38)","plainCitation":"(Magenta Advisory and Pragmatic Policy Group 2025, p. 38)","noteIndex":1},"citationItems":[{"id":7841,"uris":["http://zotero.org/groups/5478332/items/75UX6RJN"],"itemData":{"id":7841,"type":"report","genre":"report commissioned by the National Automotive Leasing and Salary Packing Association, the Electric Vehicle Council and the Australian Finance Industry Association","title":"Building a self-sustaining Australian EV market","author":[{"family":"Magenta Advisory","given":""},{"family":"Pragmatic Policy Group","given":""}],"issued":{"date-parts":[["2025"]]}},"locator":"38","label":"page"}],"schema":"https://github.com/citation-style-language/schema/raw/master/csl-citation.json"} </w:instrText>
      </w:r>
      <w:r w:rsidR="00E6337E">
        <w:rPr>
          <w:sz w:val="18"/>
          <w:szCs w:val="18"/>
        </w:rPr>
        <w:fldChar w:fldCharType="separate"/>
      </w:r>
      <w:r w:rsidR="00E6337E" w:rsidRPr="00E6337E">
        <w:rPr>
          <w:rFonts w:ascii="Arial" w:hAnsi="Arial" w:cs="Arial"/>
          <w:sz w:val="18"/>
        </w:rPr>
        <w:t>(Magenta Advisory and Pragmatic Policy Group 2025, p. 38)</w:t>
      </w:r>
      <w:r w:rsidR="00E6337E">
        <w:rPr>
          <w:sz w:val="18"/>
          <w:szCs w:val="18"/>
        </w:rPr>
        <w:fldChar w:fldCharType="end"/>
      </w:r>
      <w:r w:rsidRPr="009846B3">
        <w:rPr>
          <w:sz w:val="18"/>
          <w:szCs w:val="18"/>
        </w:rPr>
        <w:t>.</w:t>
      </w:r>
    </w:p>
  </w:footnote>
  <w:footnote w:id="3">
    <w:p w14:paraId="1A932C8D" w14:textId="76DACAE3" w:rsidR="003723E1" w:rsidRPr="00CA0DBD" w:rsidRDefault="003723E1" w:rsidP="003723E1">
      <w:pPr>
        <w:pStyle w:val="FootnoteText"/>
        <w:rPr>
          <w:lang w:val="en-US"/>
        </w:rPr>
      </w:pPr>
      <w:r w:rsidRPr="00D37974">
        <w:rPr>
          <w:rStyle w:val="FootnoteReference"/>
        </w:rPr>
        <w:footnoteRef/>
      </w:r>
      <w:r>
        <w:t xml:space="preserve"> </w:t>
      </w:r>
      <w:r w:rsidRPr="00CA0DBD">
        <w:rPr>
          <w:i/>
          <w:iCs/>
        </w:rPr>
        <w:t>New Vehicle Efficiency Standard Act 2024</w:t>
      </w:r>
      <w:r>
        <w:t xml:space="preserve">, s. 22. Type 1 vehicles are most passenger car models, while Type 2 vehicles are light commercial vehicles and some passenger cars.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3CE0" w14:textId="1E5F179F" w:rsidR="00F173EF" w:rsidRPr="00A2717B" w:rsidRDefault="00A2717B" w:rsidP="00584EDF">
    <w:pPr>
      <w:pStyle w:val="Header-Keyline"/>
      <w:jc w:val="right"/>
    </w:pPr>
    <w:r w:rsidRPr="00A2717B">
      <w:rPr>
        <w:rStyle w:val="Strong"/>
        <w:b w:val="0"/>
        <w:bCs w:val="0"/>
      </w:rPr>
      <w:t>PC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438E" w14:textId="00A1C0CF" w:rsidR="00F173EF" w:rsidRPr="001E5185" w:rsidRDefault="001E5185" w:rsidP="001E5185">
    <w:pPr>
      <w:pStyle w:val="Header-KeylineRight"/>
    </w:pPr>
    <w:r w:rsidRPr="001E5185">
      <w:t>Statutory review of the electric car discount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77C0" w14:textId="39528BB9" w:rsidR="00C7771C" w:rsidRDefault="00295FC4" w:rsidP="00F77C67">
    <w:pPr>
      <w:pStyle w:val="Header"/>
      <w:spacing w:after="1800"/>
    </w:pPr>
    <w:r>
      <w:rPr>
        <w:noProof/>
      </w:rPr>
      <w:drawing>
        <wp:anchor distT="0" distB="0" distL="114300" distR="114300" simplePos="0" relativeHeight="251658240" behindDoc="0" locked="0" layoutInCell="1" allowOverlap="1" wp14:anchorId="48A41AA6" wp14:editId="5EEA4237">
          <wp:simplePos x="0" y="0"/>
          <wp:positionH relativeFrom="page">
            <wp:posOffset>7243</wp:posOffset>
          </wp:positionH>
          <wp:positionV relativeFrom="paragraph">
            <wp:posOffset>-500380</wp:posOffset>
          </wp:positionV>
          <wp:extent cx="7560000" cy="1762536"/>
          <wp:effectExtent l="0" t="0" r="3175" b="9525"/>
          <wp:wrapNone/>
          <wp:docPr id="22279284" name="Picture 1" descr="Australian Government | Productivity Commission logo | PC submiss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9284" name="Picture 1" descr="Australian Government | Productivity Commission logo | PC submission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762536"/>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9759" w14:textId="195FE32F" w:rsidR="00353BB0" w:rsidRPr="001E5185" w:rsidRDefault="00353BB0" w:rsidP="00353BB0">
    <w:pPr>
      <w:pStyle w:val="Header-KeylineRight"/>
    </w:pPr>
    <w:r>
      <w:t>PC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4C2201"/>
    <w:multiLevelType w:val="hybridMultilevel"/>
    <w:tmpl w:val="3DD6BC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72768BCE"/>
    <w:numStyleLink w:val="AppendixHeadingList"/>
  </w:abstractNum>
  <w:abstractNum w:abstractNumId="1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2B0623"/>
    <w:multiLevelType w:val="hybridMultilevel"/>
    <w:tmpl w:val="36082644"/>
    <w:lvl w:ilvl="0" w:tplc="6ADE3B3A">
      <w:start w:val="1"/>
      <w:numFmt w:val="bullet"/>
      <w:lvlText w:val=""/>
      <w:lvlJc w:val="left"/>
      <w:pPr>
        <w:ind w:left="1020" w:hanging="360"/>
      </w:pPr>
      <w:rPr>
        <w:rFonts w:ascii="Symbol" w:hAnsi="Symbol"/>
      </w:rPr>
    </w:lvl>
    <w:lvl w:ilvl="1" w:tplc="81E22870">
      <w:start w:val="1"/>
      <w:numFmt w:val="bullet"/>
      <w:lvlText w:val=""/>
      <w:lvlJc w:val="left"/>
      <w:pPr>
        <w:ind w:left="1020" w:hanging="360"/>
      </w:pPr>
      <w:rPr>
        <w:rFonts w:ascii="Symbol" w:hAnsi="Symbol"/>
      </w:rPr>
    </w:lvl>
    <w:lvl w:ilvl="2" w:tplc="A782932C">
      <w:start w:val="1"/>
      <w:numFmt w:val="bullet"/>
      <w:lvlText w:val=""/>
      <w:lvlJc w:val="left"/>
      <w:pPr>
        <w:ind w:left="1020" w:hanging="360"/>
      </w:pPr>
      <w:rPr>
        <w:rFonts w:ascii="Symbol" w:hAnsi="Symbol"/>
      </w:rPr>
    </w:lvl>
    <w:lvl w:ilvl="3" w:tplc="67C468AE">
      <w:start w:val="1"/>
      <w:numFmt w:val="bullet"/>
      <w:lvlText w:val=""/>
      <w:lvlJc w:val="left"/>
      <w:pPr>
        <w:ind w:left="1020" w:hanging="360"/>
      </w:pPr>
      <w:rPr>
        <w:rFonts w:ascii="Symbol" w:hAnsi="Symbol"/>
      </w:rPr>
    </w:lvl>
    <w:lvl w:ilvl="4" w:tplc="6FEAFEC6">
      <w:start w:val="1"/>
      <w:numFmt w:val="bullet"/>
      <w:lvlText w:val=""/>
      <w:lvlJc w:val="left"/>
      <w:pPr>
        <w:ind w:left="1020" w:hanging="360"/>
      </w:pPr>
      <w:rPr>
        <w:rFonts w:ascii="Symbol" w:hAnsi="Symbol"/>
      </w:rPr>
    </w:lvl>
    <w:lvl w:ilvl="5" w:tplc="9CB694A4">
      <w:start w:val="1"/>
      <w:numFmt w:val="bullet"/>
      <w:lvlText w:val=""/>
      <w:lvlJc w:val="left"/>
      <w:pPr>
        <w:ind w:left="1020" w:hanging="360"/>
      </w:pPr>
      <w:rPr>
        <w:rFonts w:ascii="Symbol" w:hAnsi="Symbol"/>
      </w:rPr>
    </w:lvl>
    <w:lvl w:ilvl="6" w:tplc="FBB026DC">
      <w:start w:val="1"/>
      <w:numFmt w:val="bullet"/>
      <w:lvlText w:val=""/>
      <w:lvlJc w:val="left"/>
      <w:pPr>
        <w:ind w:left="1020" w:hanging="360"/>
      </w:pPr>
      <w:rPr>
        <w:rFonts w:ascii="Symbol" w:hAnsi="Symbol"/>
      </w:rPr>
    </w:lvl>
    <w:lvl w:ilvl="7" w:tplc="3930338A">
      <w:start w:val="1"/>
      <w:numFmt w:val="bullet"/>
      <w:lvlText w:val=""/>
      <w:lvlJc w:val="left"/>
      <w:pPr>
        <w:ind w:left="1020" w:hanging="360"/>
      </w:pPr>
      <w:rPr>
        <w:rFonts w:ascii="Symbol" w:hAnsi="Symbol"/>
      </w:rPr>
    </w:lvl>
    <w:lvl w:ilvl="8" w:tplc="BA1AF150">
      <w:start w:val="1"/>
      <w:numFmt w:val="bullet"/>
      <w:lvlText w:val=""/>
      <w:lvlJc w:val="left"/>
      <w:pPr>
        <w:ind w:left="1020" w:hanging="360"/>
      </w:pPr>
      <w:rPr>
        <w:rFonts w:ascii="Symbol" w:hAnsi="Symbol"/>
      </w:rPr>
    </w:lvl>
  </w:abstractNum>
  <w:abstractNum w:abstractNumId="16" w15:restartNumberingAfterBreak="0">
    <w:nsid w:val="50E407C9"/>
    <w:multiLevelType w:val="multilevel"/>
    <w:tmpl w:val="C23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67462"/>
    <w:multiLevelType w:val="multilevel"/>
    <w:tmpl w:val="27B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0" w15:restartNumberingAfterBreak="0">
    <w:nsid w:val="761B4A1B"/>
    <w:multiLevelType w:val="multilevel"/>
    <w:tmpl w:val="4F48000A"/>
    <w:numStyleLink w:val="Alphalist"/>
  </w:abstractNum>
  <w:num w:numId="1" w16cid:durableId="1835417846">
    <w:abstractNumId w:val="7"/>
  </w:num>
  <w:num w:numId="2" w16cid:durableId="1519077027">
    <w:abstractNumId w:val="2"/>
  </w:num>
  <w:num w:numId="3" w16cid:durableId="1468549479">
    <w:abstractNumId w:val="10"/>
  </w:num>
  <w:num w:numId="4" w16cid:durableId="915166386">
    <w:abstractNumId w:val="18"/>
  </w:num>
  <w:num w:numId="5" w16cid:durableId="1510681289">
    <w:abstractNumId w:val="19"/>
  </w:num>
  <w:num w:numId="6" w16cid:durableId="912081833">
    <w:abstractNumId w:val="14"/>
  </w:num>
  <w:num w:numId="7" w16cid:durableId="2023432934">
    <w:abstractNumId w:val="12"/>
  </w:num>
  <w:num w:numId="8" w16cid:durableId="192770611">
    <w:abstractNumId w:val="8"/>
  </w:num>
  <w:num w:numId="9" w16cid:durableId="485167421">
    <w:abstractNumId w:val="11"/>
  </w:num>
  <w:num w:numId="10" w16cid:durableId="775756382">
    <w:abstractNumId w:val="20"/>
  </w:num>
  <w:num w:numId="11" w16cid:durableId="1975406722">
    <w:abstractNumId w:val="0"/>
  </w:num>
  <w:num w:numId="12" w16cid:durableId="2055227720">
    <w:abstractNumId w:val="3"/>
  </w:num>
  <w:num w:numId="13" w16cid:durableId="432627348">
    <w:abstractNumId w:val="9"/>
  </w:num>
  <w:num w:numId="14" w16cid:durableId="1889947188">
    <w:abstractNumId w:val="6"/>
  </w:num>
  <w:num w:numId="15" w16cid:durableId="818545292">
    <w:abstractNumId w:val="1"/>
  </w:num>
  <w:num w:numId="16" w16cid:durableId="561333589">
    <w:abstractNumId w:val="13"/>
  </w:num>
  <w:num w:numId="17" w16cid:durableId="267082509">
    <w:abstractNumId w:val="5"/>
  </w:num>
  <w:num w:numId="18" w16cid:durableId="1801874209">
    <w:abstractNumId w:val="5"/>
  </w:num>
  <w:num w:numId="19" w16cid:durableId="159081980">
    <w:abstractNumId w:val="17"/>
  </w:num>
  <w:num w:numId="20" w16cid:durableId="1734935701">
    <w:abstractNumId w:val="16"/>
  </w:num>
  <w:num w:numId="21" w16cid:durableId="1467044439">
    <w:abstractNumId w:val="4"/>
  </w:num>
  <w:num w:numId="22" w16cid:durableId="53642976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B7"/>
    <w:rsid w:val="00000075"/>
    <w:rsid w:val="0000065B"/>
    <w:rsid w:val="00000F3C"/>
    <w:rsid w:val="0000145B"/>
    <w:rsid w:val="00002542"/>
    <w:rsid w:val="00002F2A"/>
    <w:rsid w:val="0000333B"/>
    <w:rsid w:val="00004489"/>
    <w:rsid w:val="00005C79"/>
    <w:rsid w:val="00012C96"/>
    <w:rsid w:val="00013897"/>
    <w:rsid w:val="00013DDC"/>
    <w:rsid w:val="000145A5"/>
    <w:rsid w:val="000149A8"/>
    <w:rsid w:val="0001532E"/>
    <w:rsid w:val="00015775"/>
    <w:rsid w:val="0001680A"/>
    <w:rsid w:val="00021A71"/>
    <w:rsid w:val="00021BB8"/>
    <w:rsid w:val="00026C04"/>
    <w:rsid w:val="00026E59"/>
    <w:rsid w:val="000300AF"/>
    <w:rsid w:val="00032871"/>
    <w:rsid w:val="000331E4"/>
    <w:rsid w:val="0003338D"/>
    <w:rsid w:val="00033619"/>
    <w:rsid w:val="000408F8"/>
    <w:rsid w:val="0004228F"/>
    <w:rsid w:val="00042749"/>
    <w:rsid w:val="00044678"/>
    <w:rsid w:val="00047894"/>
    <w:rsid w:val="0005151B"/>
    <w:rsid w:val="00053811"/>
    <w:rsid w:val="00054C95"/>
    <w:rsid w:val="000561CF"/>
    <w:rsid w:val="000570A3"/>
    <w:rsid w:val="000575A3"/>
    <w:rsid w:val="0005774F"/>
    <w:rsid w:val="000602A9"/>
    <w:rsid w:val="000606C7"/>
    <w:rsid w:val="00062A44"/>
    <w:rsid w:val="00066B27"/>
    <w:rsid w:val="000702ED"/>
    <w:rsid w:val="0007036C"/>
    <w:rsid w:val="000724AE"/>
    <w:rsid w:val="000769E8"/>
    <w:rsid w:val="00076E16"/>
    <w:rsid w:val="000773FA"/>
    <w:rsid w:val="000776BF"/>
    <w:rsid w:val="0007776A"/>
    <w:rsid w:val="00077A76"/>
    <w:rsid w:val="0008037D"/>
    <w:rsid w:val="00081067"/>
    <w:rsid w:val="000815CF"/>
    <w:rsid w:val="00081CA0"/>
    <w:rsid w:val="00081CFB"/>
    <w:rsid w:val="00084660"/>
    <w:rsid w:val="00085835"/>
    <w:rsid w:val="00085C0B"/>
    <w:rsid w:val="00085FB9"/>
    <w:rsid w:val="000902FC"/>
    <w:rsid w:val="00091286"/>
    <w:rsid w:val="000915C0"/>
    <w:rsid w:val="00091DF8"/>
    <w:rsid w:val="000930ED"/>
    <w:rsid w:val="000935DD"/>
    <w:rsid w:val="00094B9B"/>
    <w:rsid w:val="000951C6"/>
    <w:rsid w:val="00095B16"/>
    <w:rsid w:val="0009733D"/>
    <w:rsid w:val="000979E3"/>
    <w:rsid w:val="00097ECA"/>
    <w:rsid w:val="000A0A7B"/>
    <w:rsid w:val="000A0F08"/>
    <w:rsid w:val="000A1192"/>
    <w:rsid w:val="000A298B"/>
    <w:rsid w:val="000A38AA"/>
    <w:rsid w:val="000A3C21"/>
    <w:rsid w:val="000A4FC0"/>
    <w:rsid w:val="000A6902"/>
    <w:rsid w:val="000B0134"/>
    <w:rsid w:val="000B2872"/>
    <w:rsid w:val="000B2ED8"/>
    <w:rsid w:val="000B30E7"/>
    <w:rsid w:val="000B457B"/>
    <w:rsid w:val="000B497F"/>
    <w:rsid w:val="000B4A72"/>
    <w:rsid w:val="000B5105"/>
    <w:rsid w:val="000B7390"/>
    <w:rsid w:val="000B7A12"/>
    <w:rsid w:val="000C2BB8"/>
    <w:rsid w:val="000C5560"/>
    <w:rsid w:val="000C6B77"/>
    <w:rsid w:val="000D2547"/>
    <w:rsid w:val="000D32E9"/>
    <w:rsid w:val="000D34C2"/>
    <w:rsid w:val="000D449C"/>
    <w:rsid w:val="000E01CF"/>
    <w:rsid w:val="000E0782"/>
    <w:rsid w:val="000E43B0"/>
    <w:rsid w:val="000E5DE8"/>
    <w:rsid w:val="000E705D"/>
    <w:rsid w:val="000E7A53"/>
    <w:rsid w:val="000F3C0A"/>
    <w:rsid w:val="000F3DFD"/>
    <w:rsid w:val="000F444A"/>
    <w:rsid w:val="000F4488"/>
    <w:rsid w:val="000F6592"/>
    <w:rsid w:val="000F6A19"/>
    <w:rsid w:val="0010002E"/>
    <w:rsid w:val="001002CD"/>
    <w:rsid w:val="00100328"/>
    <w:rsid w:val="00100553"/>
    <w:rsid w:val="00100FAB"/>
    <w:rsid w:val="0010253A"/>
    <w:rsid w:val="0010567E"/>
    <w:rsid w:val="00106041"/>
    <w:rsid w:val="001119F3"/>
    <w:rsid w:val="00111AE6"/>
    <w:rsid w:val="00111E1C"/>
    <w:rsid w:val="0011217E"/>
    <w:rsid w:val="0011260C"/>
    <w:rsid w:val="00112B32"/>
    <w:rsid w:val="00112E8F"/>
    <w:rsid w:val="00114D78"/>
    <w:rsid w:val="00114E9C"/>
    <w:rsid w:val="00115CC5"/>
    <w:rsid w:val="001170F0"/>
    <w:rsid w:val="00120048"/>
    <w:rsid w:val="001202E4"/>
    <w:rsid w:val="00120792"/>
    <w:rsid w:val="001268BC"/>
    <w:rsid w:val="0013080E"/>
    <w:rsid w:val="00132275"/>
    <w:rsid w:val="00136EDF"/>
    <w:rsid w:val="0013722E"/>
    <w:rsid w:val="00137FAB"/>
    <w:rsid w:val="0014135F"/>
    <w:rsid w:val="001414A1"/>
    <w:rsid w:val="00141A4F"/>
    <w:rsid w:val="00141B62"/>
    <w:rsid w:val="00147B47"/>
    <w:rsid w:val="00147EBE"/>
    <w:rsid w:val="00151FAC"/>
    <w:rsid w:val="00152B9C"/>
    <w:rsid w:val="00153DD5"/>
    <w:rsid w:val="00154E0D"/>
    <w:rsid w:val="00155364"/>
    <w:rsid w:val="0015586D"/>
    <w:rsid w:val="001558A9"/>
    <w:rsid w:val="001566DB"/>
    <w:rsid w:val="00157922"/>
    <w:rsid w:val="001600E9"/>
    <w:rsid w:val="00160FEC"/>
    <w:rsid w:val="001610E5"/>
    <w:rsid w:val="001615B5"/>
    <w:rsid w:val="00161BC8"/>
    <w:rsid w:val="0016226A"/>
    <w:rsid w:val="001634C9"/>
    <w:rsid w:val="00164DF7"/>
    <w:rsid w:val="001657D0"/>
    <w:rsid w:val="00166F3E"/>
    <w:rsid w:val="00170B3C"/>
    <w:rsid w:val="001714F3"/>
    <w:rsid w:val="00172F19"/>
    <w:rsid w:val="0017428B"/>
    <w:rsid w:val="001766FB"/>
    <w:rsid w:val="00180117"/>
    <w:rsid w:val="00182450"/>
    <w:rsid w:val="00182940"/>
    <w:rsid w:val="00182A32"/>
    <w:rsid w:val="001879BB"/>
    <w:rsid w:val="00187C87"/>
    <w:rsid w:val="00187F05"/>
    <w:rsid w:val="00191AC8"/>
    <w:rsid w:val="001957BF"/>
    <w:rsid w:val="00195F25"/>
    <w:rsid w:val="00195F2D"/>
    <w:rsid w:val="001971D9"/>
    <w:rsid w:val="001974E7"/>
    <w:rsid w:val="001A0D77"/>
    <w:rsid w:val="001A196A"/>
    <w:rsid w:val="001A1D95"/>
    <w:rsid w:val="001A2437"/>
    <w:rsid w:val="001A2565"/>
    <w:rsid w:val="001A28AD"/>
    <w:rsid w:val="001A37A2"/>
    <w:rsid w:val="001A5BA7"/>
    <w:rsid w:val="001A7CE7"/>
    <w:rsid w:val="001B1762"/>
    <w:rsid w:val="001B17AC"/>
    <w:rsid w:val="001B2DDD"/>
    <w:rsid w:val="001B3F12"/>
    <w:rsid w:val="001B588D"/>
    <w:rsid w:val="001C32DD"/>
    <w:rsid w:val="001C3374"/>
    <w:rsid w:val="001C7835"/>
    <w:rsid w:val="001C7C2A"/>
    <w:rsid w:val="001D0742"/>
    <w:rsid w:val="001D0870"/>
    <w:rsid w:val="001D129E"/>
    <w:rsid w:val="001D25BA"/>
    <w:rsid w:val="001D2996"/>
    <w:rsid w:val="001D4050"/>
    <w:rsid w:val="001D4271"/>
    <w:rsid w:val="001D4406"/>
    <w:rsid w:val="001D46C9"/>
    <w:rsid w:val="001D4C10"/>
    <w:rsid w:val="001D7D9B"/>
    <w:rsid w:val="001E1521"/>
    <w:rsid w:val="001E5185"/>
    <w:rsid w:val="001E5B6E"/>
    <w:rsid w:val="001E77A6"/>
    <w:rsid w:val="001E7969"/>
    <w:rsid w:val="001E7C27"/>
    <w:rsid w:val="001F13C1"/>
    <w:rsid w:val="001F15E0"/>
    <w:rsid w:val="001F1E9A"/>
    <w:rsid w:val="001F21B8"/>
    <w:rsid w:val="001F28C8"/>
    <w:rsid w:val="001F446D"/>
    <w:rsid w:val="001F530C"/>
    <w:rsid w:val="001F6B0A"/>
    <w:rsid w:val="00200A5D"/>
    <w:rsid w:val="00201320"/>
    <w:rsid w:val="00201D8E"/>
    <w:rsid w:val="0020204A"/>
    <w:rsid w:val="00210F16"/>
    <w:rsid w:val="002110C7"/>
    <w:rsid w:val="002112EC"/>
    <w:rsid w:val="002207D9"/>
    <w:rsid w:val="00221800"/>
    <w:rsid w:val="00221AB7"/>
    <w:rsid w:val="00222469"/>
    <w:rsid w:val="00222915"/>
    <w:rsid w:val="002249AF"/>
    <w:rsid w:val="002259C4"/>
    <w:rsid w:val="00227712"/>
    <w:rsid w:val="00231150"/>
    <w:rsid w:val="002346C5"/>
    <w:rsid w:val="00241A14"/>
    <w:rsid w:val="00241A6F"/>
    <w:rsid w:val="002457DE"/>
    <w:rsid w:val="00246435"/>
    <w:rsid w:val="00246531"/>
    <w:rsid w:val="00246A43"/>
    <w:rsid w:val="00246A9C"/>
    <w:rsid w:val="00246BCF"/>
    <w:rsid w:val="00247C8C"/>
    <w:rsid w:val="00247DCD"/>
    <w:rsid w:val="00247E0B"/>
    <w:rsid w:val="00250FD0"/>
    <w:rsid w:val="00251245"/>
    <w:rsid w:val="00251CA2"/>
    <w:rsid w:val="00252999"/>
    <w:rsid w:val="00253995"/>
    <w:rsid w:val="00253D71"/>
    <w:rsid w:val="002568AC"/>
    <w:rsid w:val="002601BB"/>
    <w:rsid w:val="002612A4"/>
    <w:rsid w:val="00262087"/>
    <w:rsid w:val="00265918"/>
    <w:rsid w:val="00266A96"/>
    <w:rsid w:val="00267332"/>
    <w:rsid w:val="002677FF"/>
    <w:rsid w:val="00270834"/>
    <w:rsid w:val="00271346"/>
    <w:rsid w:val="00273736"/>
    <w:rsid w:val="00273E86"/>
    <w:rsid w:val="00277B5D"/>
    <w:rsid w:val="00280CC9"/>
    <w:rsid w:val="002814E6"/>
    <w:rsid w:val="00281A54"/>
    <w:rsid w:val="00281DE2"/>
    <w:rsid w:val="00282AE5"/>
    <w:rsid w:val="00282E38"/>
    <w:rsid w:val="00284E12"/>
    <w:rsid w:val="00284EA4"/>
    <w:rsid w:val="002856C9"/>
    <w:rsid w:val="00287114"/>
    <w:rsid w:val="002936B4"/>
    <w:rsid w:val="002951E6"/>
    <w:rsid w:val="00295330"/>
    <w:rsid w:val="00295DA0"/>
    <w:rsid w:val="00295FC4"/>
    <w:rsid w:val="002963EC"/>
    <w:rsid w:val="002A484E"/>
    <w:rsid w:val="002A4A7E"/>
    <w:rsid w:val="002A6479"/>
    <w:rsid w:val="002B0577"/>
    <w:rsid w:val="002B34E7"/>
    <w:rsid w:val="002B40D8"/>
    <w:rsid w:val="002B4D49"/>
    <w:rsid w:val="002B50E9"/>
    <w:rsid w:val="002B670D"/>
    <w:rsid w:val="002B71BC"/>
    <w:rsid w:val="002C0A34"/>
    <w:rsid w:val="002C60CB"/>
    <w:rsid w:val="002C797E"/>
    <w:rsid w:val="002C7DCE"/>
    <w:rsid w:val="002D2E74"/>
    <w:rsid w:val="002D4994"/>
    <w:rsid w:val="002D4BEE"/>
    <w:rsid w:val="002D50CB"/>
    <w:rsid w:val="002D551D"/>
    <w:rsid w:val="002D552D"/>
    <w:rsid w:val="002D5867"/>
    <w:rsid w:val="002E3F19"/>
    <w:rsid w:val="002E51D2"/>
    <w:rsid w:val="002E5C03"/>
    <w:rsid w:val="002E760F"/>
    <w:rsid w:val="002E7A0E"/>
    <w:rsid w:val="002E7EFA"/>
    <w:rsid w:val="002F0275"/>
    <w:rsid w:val="002F0DA6"/>
    <w:rsid w:val="002F1E4D"/>
    <w:rsid w:val="002F31B0"/>
    <w:rsid w:val="002F4F87"/>
    <w:rsid w:val="002F5EDB"/>
    <w:rsid w:val="002F6386"/>
    <w:rsid w:val="002F6D20"/>
    <w:rsid w:val="002F7314"/>
    <w:rsid w:val="002F7FDB"/>
    <w:rsid w:val="0030139D"/>
    <w:rsid w:val="0030317A"/>
    <w:rsid w:val="00303704"/>
    <w:rsid w:val="00305171"/>
    <w:rsid w:val="00305797"/>
    <w:rsid w:val="00306615"/>
    <w:rsid w:val="00306710"/>
    <w:rsid w:val="003140FF"/>
    <w:rsid w:val="0031415B"/>
    <w:rsid w:val="00316BBC"/>
    <w:rsid w:val="00316D03"/>
    <w:rsid w:val="003210B5"/>
    <w:rsid w:val="00323400"/>
    <w:rsid w:val="00324B5C"/>
    <w:rsid w:val="00326A36"/>
    <w:rsid w:val="00326AAE"/>
    <w:rsid w:val="003272AF"/>
    <w:rsid w:val="00334FCC"/>
    <w:rsid w:val="00336ECB"/>
    <w:rsid w:val="003375D8"/>
    <w:rsid w:val="00342E7F"/>
    <w:rsid w:val="0034305B"/>
    <w:rsid w:val="0034680A"/>
    <w:rsid w:val="003533BB"/>
    <w:rsid w:val="003539FB"/>
    <w:rsid w:val="00353BB0"/>
    <w:rsid w:val="00353D81"/>
    <w:rsid w:val="00354696"/>
    <w:rsid w:val="00354BE8"/>
    <w:rsid w:val="0035519A"/>
    <w:rsid w:val="0035694B"/>
    <w:rsid w:val="00357A7F"/>
    <w:rsid w:val="0036059A"/>
    <w:rsid w:val="00361766"/>
    <w:rsid w:val="00362002"/>
    <w:rsid w:val="0036361B"/>
    <w:rsid w:val="00363FF8"/>
    <w:rsid w:val="003640E1"/>
    <w:rsid w:val="003642A5"/>
    <w:rsid w:val="00367BD7"/>
    <w:rsid w:val="003723E1"/>
    <w:rsid w:val="003741E8"/>
    <w:rsid w:val="003747AC"/>
    <w:rsid w:val="003752A3"/>
    <w:rsid w:val="00376491"/>
    <w:rsid w:val="00376809"/>
    <w:rsid w:val="00376E1F"/>
    <w:rsid w:val="0037721D"/>
    <w:rsid w:val="00377DD5"/>
    <w:rsid w:val="00377FA0"/>
    <w:rsid w:val="0038015C"/>
    <w:rsid w:val="00380788"/>
    <w:rsid w:val="0038102A"/>
    <w:rsid w:val="00382618"/>
    <w:rsid w:val="00382751"/>
    <w:rsid w:val="003832E1"/>
    <w:rsid w:val="003833B4"/>
    <w:rsid w:val="00385173"/>
    <w:rsid w:val="0039019E"/>
    <w:rsid w:val="00391921"/>
    <w:rsid w:val="0039233D"/>
    <w:rsid w:val="003931FA"/>
    <w:rsid w:val="00397279"/>
    <w:rsid w:val="00397D61"/>
    <w:rsid w:val="003A2295"/>
    <w:rsid w:val="003A2862"/>
    <w:rsid w:val="003A743E"/>
    <w:rsid w:val="003A7ADE"/>
    <w:rsid w:val="003B29FC"/>
    <w:rsid w:val="003B2A34"/>
    <w:rsid w:val="003B3859"/>
    <w:rsid w:val="003B51B3"/>
    <w:rsid w:val="003B6932"/>
    <w:rsid w:val="003B6E2C"/>
    <w:rsid w:val="003B7DB1"/>
    <w:rsid w:val="003C01D4"/>
    <w:rsid w:val="003C2CC3"/>
    <w:rsid w:val="003C3039"/>
    <w:rsid w:val="003C44FB"/>
    <w:rsid w:val="003C5386"/>
    <w:rsid w:val="003C69BF"/>
    <w:rsid w:val="003C70AD"/>
    <w:rsid w:val="003C767F"/>
    <w:rsid w:val="003D09EE"/>
    <w:rsid w:val="003D0E4D"/>
    <w:rsid w:val="003D1FF4"/>
    <w:rsid w:val="003D23A3"/>
    <w:rsid w:val="003D5856"/>
    <w:rsid w:val="003D72AF"/>
    <w:rsid w:val="003E4924"/>
    <w:rsid w:val="003E6055"/>
    <w:rsid w:val="003F053E"/>
    <w:rsid w:val="003F4DDA"/>
    <w:rsid w:val="003F6A3A"/>
    <w:rsid w:val="003F6F1A"/>
    <w:rsid w:val="0040060F"/>
    <w:rsid w:val="00401C5A"/>
    <w:rsid w:val="00404E4F"/>
    <w:rsid w:val="004064F7"/>
    <w:rsid w:val="00406DA9"/>
    <w:rsid w:val="00410CA7"/>
    <w:rsid w:val="004137F3"/>
    <w:rsid w:val="00415A0E"/>
    <w:rsid w:val="00420F0E"/>
    <w:rsid w:val="0042121B"/>
    <w:rsid w:val="0042339A"/>
    <w:rsid w:val="00423B15"/>
    <w:rsid w:val="00424177"/>
    <w:rsid w:val="00424CB8"/>
    <w:rsid w:val="0042508F"/>
    <w:rsid w:val="004254CC"/>
    <w:rsid w:val="004310B9"/>
    <w:rsid w:val="0043326D"/>
    <w:rsid w:val="004334FF"/>
    <w:rsid w:val="004342BA"/>
    <w:rsid w:val="0043435D"/>
    <w:rsid w:val="00434388"/>
    <w:rsid w:val="004379C2"/>
    <w:rsid w:val="004400E8"/>
    <w:rsid w:val="00441184"/>
    <w:rsid w:val="00443EB9"/>
    <w:rsid w:val="00444880"/>
    <w:rsid w:val="00446C96"/>
    <w:rsid w:val="00450C80"/>
    <w:rsid w:val="00453509"/>
    <w:rsid w:val="004544D6"/>
    <w:rsid w:val="00461CE9"/>
    <w:rsid w:val="00462407"/>
    <w:rsid w:val="00462427"/>
    <w:rsid w:val="004631DD"/>
    <w:rsid w:val="00463495"/>
    <w:rsid w:val="004635FD"/>
    <w:rsid w:val="0047008A"/>
    <w:rsid w:val="00470129"/>
    <w:rsid w:val="004728A0"/>
    <w:rsid w:val="004738B0"/>
    <w:rsid w:val="00473FD8"/>
    <w:rsid w:val="004742DD"/>
    <w:rsid w:val="00475231"/>
    <w:rsid w:val="0047662F"/>
    <w:rsid w:val="00480081"/>
    <w:rsid w:val="00482029"/>
    <w:rsid w:val="00484E96"/>
    <w:rsid w:val="00485227"/>
    <w:rsid w:val="004854FD"/>
    <w:rsid w:val="00485F02"/>
    <w:rsid w:val="0048636A"/>
    <w:rsid w:val="004910A5"/>
    <w:rsid w:val="004933C0"/>
    <w:rsid w:val="00496416"/>
    <w:rsid w:val="00496700"/>
    <w:rsid w:val="00497BA7"/>
    <w:rsid w:val="004A0525"/>
    <w:rsid w:val="004A1AEF"/>
    <w:rsid w:val="004A2FB8"/>
    <w:rsid w:val="004A46B7"/>
    <w:rsid w:val="004A4F26"/>
    <w:rsid w:val="004A5586"/>
    <w:rsid w:val="004A55FE"/>
    <w:rsid w:val="004B05EA"/>
    <w:rsid w:val="004B1531"/>
    <w:rsid w:val="004B51EE"/>
    <w:rsid w:val="004B609E"/>
    <w:rsid w:val="004B6EAC"/>
    <w:rsid w:val="004B70B7"/>
    <w:rsid w:val="004B72CA"/>
    <w:rsid w:val="004C0CC3"/>
    <w:rsid w:val="004C0F49"/>
    <w:rsid w:val="004C34D2"/>
    <w:rsid w:val="004C3D04"/>
    <w:rsid w:val="004C4823"/>
    <w:rsid w:val="004C4DC8"/>
    <w:rsid w:val="004C5E14"/>
    <w:rsid w:val="004C6332"/>
    <w:rsid w:val="004C6783"/>
    <w:rsid w:val="004C7153"/>
    <w:rsid w:val="004C753F"/>
    <w:rsid w:val="004D262D"/>
    <w:rsid w:val="004D3BC4"/>
    <w:rsid w:val="004D6143"/>
    <w:rsid w:val="004D6622"/>
    <w:rsid w:val="004E1233"/>
    <w:rsid w:val="004E28C6"/>
    <w:rsid w:val="004E5070"/>
    <w:rsid w:val="004E6DE1"/>
    <w:rsid w:val="004F0D5F"/>
    <w:rsid w:val="004F10E0"/>
    <w:rsid w:val="004F138F"/>
    <w:rsid w:val="004F2D0A"/>
    <w:rsid w:val="004F420C"/>
    <w:rsid w:val="004F5CEA"/>
    <w:rsid w:val="004F7703"/>
    <w:rsid w:val="00500123"/>
    <w:rsid w:val="0050017F"/>
    <w:rsid w:val="005013AA"/>
    <w:rsid w:val="005019CA"/>
    <w:rsid w:val="00501FAC"/>
    <w:rsid w:val="0050670B"/>
    <w:rsid w:val="00511216"/>
    <w:rsid w:val="00511B29"/>
    <w:rsid w:val="005124ED"/>
    <w:rsid w:val="005125ED"/>
    <w:rsid w:val="00512985"/>
    <w:rsid w:val="005141E8"/>
    <w:rsid w:val="005162ED"/>
    <w:rsid w:val="00516A89"/>
    <w:rsid w:val="00517257"/>
    <w:rsid w:val="00517601"/>
    <w:rsid w:val="005177CC"/>
    <w:rsid w:val="00517A06"/>
    <w:rsid w:val="00521B1B"/>
    <w:rsid w:val="005224DC"/>
    <w:rsid w:val="00524705"/>
    <w:rsid w:val="00525019"/>
    <w:rsid w:val="00527213"/>
    <w:rsid w:val="00527A18"/>
    <w:rsid w:val="00532EFA"/>
    <w:rsid w:val="005351DD"/>
    <w:rsid w:val="0053524F"/>
    <w:rsid w:val="00536740"/>
    <w:rsid w:val="0054080C"/>
    <w:rsid w:val="00540B70"/>
    <w:rsid w:val="00542480"/>
    <w:rsid w:val="005462C4"/>
    <w:rsid w:val="00546AE6"/>
    <w:rsid w:val="00546BA3"/>
    <w:rsid w:val="00546C37"/>
    <w:rsid w:val="00547658"/>
    <w:rsid w:val="0054798E"/>
    <w:rsid w:val="00547A0A"/>
    <w:rsid w:val="00550C99"/>
    <w:rsid w:val="00551C55"/>
    <w:rsid w:val="00553413"/>
    <w:rsid w:val="0055498E"/>
    <w:rsid w:val="00555AB2"/>
    <w:rsid w:val="00555AFE"/>
    <w:rsid w:val="00561129"/>
    <w:rsid w:val="005614C1"/>
    <w:rsid w:val="00562410"/>
    <w:rsid w:val="005644B3"/>
    <w:rsid w:val="005649AA"/>
    <w:rsid w:val="00565A18"/>
    <w:rsid w:val="005707E1"/>
    <w:rsid w:val="00570912"/>
    <w:rsid w:val="00571371"/>
    <w:rsid w:val="00571AB0"/>
    <w:rsid w:val="00571C54"/>
    <w:rsid w:val="005754AB"/>
    <w:rsid w:val="005777E5"/>
    <w:rsid w:val="005804F4"/>
    <w:rsid w:val="0058200C"/>
    <w:rsid w:val="005826F4"/>
    <w:rsid w:val="005827A0"/>
    <w:rsid w:val="00582DED"/>
    <w:rsid w:val="005830E1"/>
    <w:rsid w:val="00583662"/>
    <w:rsid w:val="0058369E"/>
    <w:rsid w:val="00584EDF"/>
    <w:rsid w:val="00585395"/>
    <w:rsid w:val="00590D09"/>
    <w:rsid w:val="0059156A"/>
    <w:rsid w:val="00592D91"/>
    <w:rsid w:val="00593314"/>
    <w:rsid w:val="0059368E"/>
    <w:rsid w:val="00593BF5"/>
    <w:rsid w:val="00594496"/>
    <w:rsid w:val="005956D3"/>
    <w:rsid w:val="00596365"/>
    <w:rsid w:val="005965BC"/>
    <w:rsid w:val="005A097B"/>
    <w:rsid w:val="005A1F17"/>
    <w:rsid w:val="005A297E"/>
    <w:rsid w:val="005A35F6"/>
    <w:rsid w:val="005A3631"/>
    <w:rsid w:val="005A5445"/>
    <w:rsid w:val="005A71A8"/>
    <w:rsid w:val="005A7E78"/>
    <w:rsid w:val="005B03ED"/>
    <w:rsid w:val="005B1776"/>
    <w:rsid w:val="005B1BA3"/>
    <w:rsid w:val="005B32FB"/>
    <w:rsid w:val="005B370D"/>
    <w:rsid w:val="005B4C50"/>
    <w:rsid w:val="005B4E28"/>
    <w:rsid w:val="005B6827"/>
    <w:rsid w:val="005B7467"/>
    <w:rsid w:val="005B7FE4"/>
    <w:rsid w:val="005C05E0"/>
    <w:rsid w:val="005C37E0"/>
    <w:rsid w:val="005C54B9"/>
    <w:rsid w:val="005C5A1C"/>
    <w:rsid w:val="005C6618"/>
    <w:rsid w:val="005C7E80"/>
    <w:rsid w:val="005D0189"/>
    <w:rsid w:val="005D0F29"/>
    <w:rsid w:val="005D275A"/>
    <w:rsid w:val="005D632B"/>
    <w:rsid w:val="005D6B66"/>
    <w:rsid w:val="005D73AF"/>
    <w:rsid w:val="005E423E"/>
    <w:rsid w:val="005E4470"/>
    <w:rsid w:val="005E5794"/>
    <w:rsid w:val="005E7B2E"/>
    <w:rsid w:val="005F1A8A"/>
    <w:rsid w:val="005F49E8"/>
    <w:rsid w:val="005F59CB"/>
    <w:rsid w:val="00603FD5"/>
    <w:rsid w:val="00604827"/>
    <w:rsid w:val="00606934"/>
    <w:rsid w:val="0060792B"/>
    <w:rsid w:val="00607F03"/>
    <w:rsid w:val="00610627"/>
    <w:rsid w:val="00610F6C"/>
    <w:rsid w:val="00612E5A"/>
    <w:rsid w:val="00614439"/>
    <w:rsid w:val="00614458"/>
    <w:rsid w:val="006145C2"/>
    <w:rsid w:val="0061467B"/>
    <w:rsid w:val="00614F15"/>
    <w:rsid w:val="00616DC8"/>
    <w:rsid w:val="006173E5"/>
    <w:rsid w:val="00620548"/>
    <w:rsid w:val="0062379D"/>
    <w:rsid w:val="00624B90"/>
    <w:rsid w:val="006302A2"/>
    <w:rsid w:val="00630F02"/>
    <w:rsid w:val="0063199A"/>
    <w:rsid w:val="00632069"/>
    <w:rsid w:val="0063661C"/>
    <w:rsid w:val="00637215"/>
    <w:rsid w:val="00640F3A"/>
    <w:rsid w:val="00642857"/>
    <w:rsid w:val="00643D18"/>
    <w:rsid w:val="006475BD"/>
    <w:rsid w:val="006527FF"/>
    <w:rsid w:val="00653D35"/>
    <w:rsid w:val="00656A8A"/>
    <w:rsid w:val="00656EE1"/>
    <w:rsid w:val="00661FE3"/>
    <w:rsid w:val="00662209"/>
    <w:rsid w:val="006634D5"/>
    <w:rsid w:val="00667388"/>
    <w:rsid w:val="006746A1"/>
    <w:rsid w:val="0067591D"/>
    <w:rsid w:val="0067663C"/>
    <w:rsid w:val="00681434"/>
    <w:rsid w:val="006826E0"/>
    <w:rsid w:val="00682A3E"/>
    <w:rsid w:val="006830E4"/>
    <w:rsid w:val="00683F8B"/>
    <w:rsid w:val="0068724F"/>
    <w:rsid w:val="0068736B"/>
    <w:rsid w:val="006905A0"/>
    <w:rsid w:val="00693A6B"/>
    <w:rsid w:val="006A1DEF"/>
    <w:rsid w:val="006A3485"/>
    <w:rsid w:val="006A5502"/>
    <w:rsid w:val="006A69FA"/>
    <w:rsid w:val="006A7069"/>
    <w:rsid w:val="006A7C7E"/>
    <w:rsid w:val="006B25CA"/>
    <w:rsid w:val="006B265A"/>
    <w:rsid w:val="006B48E9"/>
    <w:rsid w:val="006B56B5"/>
    <w:rsid w:val="006B5C70"/>
    <w:rsid w:val="006B6D6C"/>
    <w:rsid w:val="006C36D5"/>
    <w:rsid w:val="006C4AF4"/>
    <w:rsid w:val="006C4B34"/>
    <w:rsid w:val="006C4C82"/>
    <w:rsid w:val="006C56B7"/>
    <w:rsid w:val="006D095B"/>
    <w:rsid w:val="006D3F2F"/>
    <w:rsid w:val="006D456E"/>
    <w:rsid w:val="006D4F09"/>
    <w:rsid w:val="006D5199"/>
    <w:rsid w:val="006D5F4F"/>
    <w:rsid w:val="006D62CB"/>
    <w:rsid w:val="006E0B2F"/>
    <w:rsid w:val="006E3536"/>
    <w:rsid w:val="006E38CB"/>
    <w:rsid w:val="006E4D6D"/>
    <w:rsid w:val="006E6431"/>
    <w:rsid w:val="006F01A1"/>
    <w:rsid w:val="006F3B3C"/>
    <w:rsid w:val="006F4189"/>
    <w:rsid w:val="006F45F4"/>
    <w:rsid w:val="006F4A83"/>
    <w:rsid w:val="006F7AB3"/>
    <w:rsid w:val="0070038B"/>
    <w:rsid w:val="00700CB1"/>
    <w:rsid w:val="00701100"/>
    <w:rsid w:val="007030BA"/>
    <w:rsid w:val="0070703C"/>
    <w:rsid w:val="007070E6"/>
    <w:rsid w:val="00710516"/>
    <w:rsid w:val="00710523"/>
    <w:rsid w:val="007121B5"/>
    <w:rsid w:val="007136C1"/>
    <w:rsid w:val="00714488"/>
    <w:rsid w:val="007158C6"/>
    <w:rsid w:val="00716917"/>
    <w:rsid w:val="00720507"/>
    <w:rsid w:val="007215EF"/>
    <w:rsid w:val="00721818"/>
    <w:rsid w:val="00721D39"/>
    <w:rsid w:val="00723608"/>
    <w:rsid w:val="00723946"/>
    <w:rsid w:val="00725321"/>
    <w:rsid w:val="00726D92"/>
    <w:rsid w:val="007301C9"/>
    <w:rsid w:val="00731C0A"/>
    <w:rsid w:val="007329B4"/>
    <w:rsid w:val="00732F4A"/>
    <w:rsid w:val="007373EA"/>
    <w:rsid w:val="007373F6"/>
    <w:rsid w:val="007377FB"/>
    <w:rsid w:val="00740804"/>
    <w:rsid w:val="00740BA0"/>
    <w:rsid w:val="00741CBB"/>
    <w:rsid w:val="00742F0D"/>
    <w:rsid w:val="00743548"/>
    <w:rsid w:val="00743AF4"/>
    <w:rsid w:val="00744120"/>
    <w:rsid w:val="0075386F"/>
    <w:rsid w:val="00754C47"/>
    <w:rsid w:val="00760005"/>
    <w:rsid w:val="00760304"/>
    <w:rsid w:val="00760E1B"/>
    <w:rsid w:val="00762F69"/>
    <w:rsid w:val="00763A0A"/>
    <w:rsid w:val="007646CE"/>
    <w:rsid w:val="00764FE1"/>
    <w:rsid w:val="00765FEB"/>
    <w:rsid w:val="007669DE"/>
    <w:rsid w:val="00766B8F"/>
    <w:rsid w:val="007673A7"/>
    <w:rsid w:val="0076763A"/>
    <w:rsid w:val="007676B1"/>
    <w:rsid w:val="00767EAE"/>
    <w:rsid w:val="00770DB0"/>
    <w:rsid w:val="00773355"/>
    <w:rsid w:val="00773A9F"/>
    <w:rsid w:val="00775165"/>
    <w:rsid w:val="00775928"/>
    <w:rsid w:val="007773A2"/>
    <w:rsid w:val="00777B38"/>
    <w:rsid w:val="00780BE3"/>
    <w:rsid w:val="00783706"/>
    <w:rsid w:val="0078533C"/>
    <w:rsid w:val="00787471"/>
    <w:rsid w:val="00794395"/>
    <w:rsid w:val="00795BF8"/>
    <w:rsid w:val="00797DE4"/>
    <w:rsid w:val="007A0363"/>
    <w:rsid w:val="007A20EF"/>
    <w:rsid w:val="007A295D"/>
    <w:rsid w:val="007A3856"/>
    <w:rsid w:val="007B226A"/>
    <w:rsid w:val="007B4DE1"/>
    <w:rsid w:val="007C0A45"/>
    <w:rsid w:val="007C3475"/>
    <w:rsid w:val="007C37BE"/>
    <w:rsid w:val="007C475F"/>
    <w:rsid w:val="007C4C37"/>
    <w:rsid w:val="007C6396"/>
    <w:rsid w:val="007C68A5"/>
    <w:rsid w:val="007C75B9"/>
    <w:rsid w:val="007C7E0B"/>
    <w:rsid w:val="007D02D5"/>
    <w:rsid w:val="007D0D87"/>
    <w:rsid w:val="007D1569"/>
    <w:rsid w:val="007D1BFF"/>
    <w:rsid w:val="007D245B"/>
    <w:rsid w:val="007D25EB"/>
    <w:rsid w:val="007D336D"/>
    <w:rsid w:val="007D55C9"/>
    <w:rsid w:val="007E1A38"/>
    <w:rsid w:val="007E5982"/>
    <w:rsid w:val="007F137D"/>
    <w:rsid w:val="007F3A6F"/>
    <w:rsid w:val="007F4D80"/>
    <w:rsid w:val="007F5702"/>
    <w:rsid w:val="007F79B8"/>
    <w:rsid w:val="008004FB"/>
    <w:rsid w:val="008011FB"/>
    <w:rsid w:val="008017BC"/>
    <w:rsid w:val="00801FD5"/>
    <w:rsid w:val="0080322B"/>
    <w:rsid w:val="008035C3"/>
    <w:rsid w:val="00803855"/>
    <w:rsid w:val="00803F26"/>
    <w:rsid w:val="00804153"/>
    <w:rsid w:val="008049BC"/>
    <w:rsid w:val="00804B8B"/>
    <w:rsid w:val="00806EE3"/>
    <w:rsid w:val="00806F63"/>
    <w:rsid w:val="008070C7"/>
    <w:rsid w:val="00807F06"/>
    <w:rsid w:val="00811196"/>
    <w:rsid w:val="0081533C"/>
    <w:rsid w:val="008157DA"/>
    <w:rsid w:val="00815B75"/>
    <w:rsid w:val="00816056"/>
    <w:rsid w:val="008161D7"/>
    <w:rsid w:val="00817B84"/>
    <w:rsid w:val="008203EC"/>
    <w:rsid w:val="00820661"/>
    <w:rsid w:val="00822EF8"/>
    <w:rsid w:val="0082437F"/>
    <w:rsid w:val="00826F06"/>
    <w:rsid w:val="00832838"/>
    <w:rsid w:val="0083428E"/>
    <w:rsid w:val="0083447F"/>
    <w:rsid w:val="008350A8"/>
    <w:rsid w:val="00836262"/>
    <w:rsid w:val="00836E3A"/>
    <w:rsid w:val="00837210"/>
    <w:rsid w:val="0084000F"/>
    <w:rsid w:val="008400E4"/>
    <w:rsid w:val="0084238D"/>
    <w:rsid w:val="008423EB"/>
    <w:rsid w:val="00842B50"/>
    <w:rsid w:val="00843B75"/>
    <w:rsid w:val="008472B8"/>
    <w:rsid w:val="008529A2"/>
    <w:rsid w:val="00852A2A"/>
    <w:rsid w:val="00854153"/>
    <w:rsid w:val="0085439B"/>
    <w:rsid w:val="00855FFA"/>
    <w:rsid w:val="008579B4"/>
    <w:rsid w:val="00862CE9"/>
    <w:rsid w:val="00864E6E"/>
    <w:rsid w:val="00871678"/>
    <w:rsid w:val="00871A6C"/>
    <w:rsid w:val="00872A6F"/>
    <w:rsid w:val="00873665"/>
    <w:rsid w:val="00873EF9"/>
    <w:rsid w:val="0087555C"/>
    <w:rsid w:val="00875B86"/>
    <w:rsid w:val="00875CCB"/>
    <w:rsid w:val="00876612"/>
    <w:rsid w:val="008770ED"/>
    <w:rsid w:val="00881537"/>
    <w:rsid w:val="008828D1"/>
    <w:rsid w:val="008833F3"/>
    <w:rsid w:val="00896994"/>
    <w:rsid w:val="00896FCB"/>
    <w:rsid w:val="00897793"/>
    <w:rsid w:val="00897C38"/>
    <w:rsid w:val="008A1632"/>
    <w:rsid w:val="008A2395"/>
    <w:rsid w:val="008A4636"/>
    <w:rsid w:val="008A6F83"/>
    <w:rsid w:val="008B05C3"/>
    <w:rsid w:val="008B0BE7"/>
    <w:rsid w:val="008B20A7"/>
    <w:rsid w:val="008B4965"/>
    <w:rsid w:val="008B5DAD"/>
    <w:rsid w:val="008B6B8D"/>
    <w:rsid w:val="008B78B1"/>
    <w:rsid w:val="008C1CCF"/>
    <w:rsid w:val="008C26B3"/>
    <w:rsid w:val="008C4693"/>
    <w:rsid w:val="008C616F"/>
    <w:rsid w:val="008D0A8F"/>
    <w:rsid w:val="008D1777"/>
    <w:rsid w:val="008D19FD"/>
    <w:rsid w:val="008D1ABD"/>
    <w:rsid w:val="008D25F0"/>
    <w:rsid w:val="008D3A0D"/>
    <w:rsid w:val="008D49AF"/>
    <w:rsid w:val="008D7D89"/>
    <w:rsid w:val="008E0638"/>
    <w:rsid w:val="008E0BE4"/>
    <w:rsid w:val="008E25D6"/>
    <w:rsid w:val="008E349E"/>
    <w:rsid w:val="008E521F"/>
    <w:rsid w:val="008E5F73"/>
    <w:rsid w:val="008E6867"/>
    <w:rsid w:val="008E792E"/>
    <w:rsid w:val="008E7BD4"/>
    <w:rsid w:val="008F099E"/>
    <w:rsid w:val="008F0A95"/>
    <w:rsid w:val="008F1792"/>
    <w:rsid w:val="008F492F"/>
    <w:rsid w:val="008F567D"/>
    <w:rsid w:val="008F67F5"/>
    <w:rsid w:val="008F6884"/>
    <w:rsid w:val="008F6F1A"/>
    <w:rsid w:val="008F7897"/>
    <w:rsid w:val="0090137A"/>
    <w:rsid w:val="00902692"/>
    <w:rsid w:val="00903370"/>
    <w:rsid w:val="00903911"/>
    <w:rsid w:val="00906752"/>
    <w:rsid w:val="00906E74"/>
    <w:rsid w:val="0091193A"/>
    <w:rsid w:val="009124CC"/>
    <w:rsid w:val="0091349A"/>
    <w:rsid w:val="00913700"/>
    <w:rsid w:val="00914399"/>
    <w:rsid w:val="0091530C"/>
    <w:rsid w:val="009158BF"/>
    <w:rsid w:val="00920008"/>
    <w:rsid w:val="00920851"/>
    <w:rsid w:val="00923016"/>
    <w:rsid w:val="0093017E"/>
    <w:rsid w:val="009317BA"/>
    <w:rsid w:val="00933E08"/>
    <w:rsid w:val="009342FC"/>
    <w:rsid w:val="009347E4"/>
    <w:rsid w:val="00935F2D"/>
    <w:rsid w:val="00936068"/>
    <w:rsid w:val="009402AA"/>
    <w:rsid w:val="00943806"/>
    <w:rsid w:val="00943EA6"/>
    <w:rsid w:val="00944630"/>
    <w:rsid w:val="00946351"/>
    <w:rsid w:val="00946D54"/>
    <w:rsid w:val="00950E8A"/>
    <w:rsid w:val="00951029"/>
    <w:rsid w:val="009517CC"/>
    <w:rsid w:val="00951F9A"/>
    <w:rsid w:val="00957F2D"/>
    <w:rsid w:val="009615D4"/>
    <w:rsid w:val="00961DAD"/>
    <w:rsid w:val="00962905"/>
    <w:rsid w:val="009640DE"/>
    <w:rsid w:val="009647F6"/>
    <w:rsid w:val="00966C97"/>
    <w:rsid w:val="00970A20"/>
    <w:rsid w:val="00970BC2"/>
    <w:rsid w:val="0097163D"/>
    <w:rsid w:val="00971743"/>
    <w:rsid w:val="009721F8"/>
    <w:rsid w:val="00974677"/>
    <w:rsid w:val="00975083"/>
    <w:rsid w:val="00975ED7"/>
    <w:rsid w:val="00976023"/>
    <w:rsid w:val="00980461"/>
    <w:rsid w:val="00980EFE"/>
    <w:rsid w:val="00983C09"/>
    <w:rsid w:val="00984464"/>
    <w:rsid w:val="009846B3"/>
    <w:rsid w:val="009864AF"/>
    <w:rsid w:val="00987FC5"/>
    <w:rsid w:val="009901F4"/>
    <w:rsid w:val="009905FE"/>
    <w:rsid w:val="009911D1"/>
    <w:rsid w:val="0099172E"/>
    <w:rsid w:val="00992DB3"/>
    <w:rsid w:val="009937DA"/>
    <w:rsid w:val="0099477D"/>
    <w:rsid w:val="009969C3"/>
    <w:rsid w:val="009A2D23"/>
    <w:rsid w:val="009A2F17"/>
    <w:rsid w:val="009A3C2B"/>
    <w:rsid w:val="009A5413"/>
    <w:rsid w:val="009A7DBA"/>
    <w:rsid w:val="009B0770"/>
    <w:rsid w:val="009B1435"/>
    <w:rsid w:val="009B1C32"/>
    <w:rsid w:val="009B1DE9"/>
    <w:rsid w:val="009B5548"/>
    <w:rsid w:val="009C086F"/>
    <w:rsid w:val="009C16C2"/>
    <w:rsid w:val="009C29F3"/>
    <w:rsid w:val="009C5AD6"/>
    <w:rsid w:val="009C6075"/>
    <w:rsid w:val="009D1513"/>
    <w:rsid w:val="009D19B5"/>
    <w:rsid w:val="009D24F5"/>
    <w:rsid w:val="009D4421"/>
    <w:rsid w:val="009E19A3"/>
    <w:rsid w:val="009E2BF5"/>
    <w:rsid w:val="009E2F1E"/>
    <w:rsid w:val="009E4DC0"/>
    <w:rsid w:val="009E61A8"/>
    <w:rsid w:val="009E7375"/>
    <w:rsid w:val="009F2154"/>
    <w:rsid w:val="009F352E"/>
    <w:rsid w:val="009F468C"/>
    <w:rsid w:val="009F4F53"/>
    <w:rsid w:val="009F56D3"/>
    <w:rsid w:val="009F7B67"/>
    <w:rsid w:val="009F7D0C"/>
    <w:rsid w:val="00A017BA"/>
    <w:rsid w:val="00A0757A"/>
    <w:rsid w:val="00A11038"/>
    <w:rsid w:val="00A128B7"/>
    <w:rsid w:val="00A13664"/>
    <w:rsid w:val="00A14CA7"/>
    <w:rsid w:val="00A17C93"/>
    <w:rsid w:val="00A25659"/>
    <w:rsid w:val="00A2717B"/>
    <w:rsid w:val="00A36095"/>
    <w:rsid w:val="00A36E47"/>
    <w:rsid w:val="00A3736F"/>
    <w:rsid w:val="00A405ED"/>
    <w:rsid w:val="00A416AD"/>
    <w:rsid w:val="00A42826"/>
    <w:rsid w:val="00A42F88"/>
    <w:rsid w:val="00A4303C"/>
    <w:rsid w:val="00A43F3A"/>
    <w:rsid w:val="00A458AB"/>
    <w:rsid w:val="00A471AE"/>
    <w:rsid w:val="00A50CD9"/>
    <w:rsid w:val="00A51374"/>
    <w:rsid w:val="00A52408"/>
    <w:rsid w:val="00A527EB"/>
    <w:rsid w:val="00A532AB"/>
    <w:rsid w:val="00A53B59"/>
    <w:rsid w:val="00A53B8D"/>
    <w:rsid w:val="00A54E54"/>
    <w:rsid w:val="00A5529A"/>
    <w:rsid w:val="00A56C4D"/>
    <w:rsid w:val="00A56F0B"/>
    <w:rsid w:val="00A5703F"/>
    <w:rsid w:val="00A5760E"/>
    <w:rsid w:val="00A5793A"/>
    <w:rsid w:val="00A604C2"/>
    <w:rsid w:val="00A612E2"/>
    <w:rsid w:val="00A61FE0"/>
    <w:rsid w:val="00A629AB"/>
    <w:rsid w:val="00A62CC7"/>
    <w:rsid w:val="00A63D66"/>
    <w:rsid w:val="00A640F0"/>
    <w:rsid w:val="00A65DA1"/>
    <w:rsid w:val="00A65DCB"/>
    <w:rsid w:val="00A668D5"/>
    <w:rsid w:val="00A70005"/>
    <w:rsid w:val="00A70820"/>
    <w:rsid w:val="00A71F7C"/>
    <w:rsid w:val="00A7200D"/>
    <w:rsid w:val="00A75DCB"/>
    <w:rsid w:val="00A769FD"/>
    <w:rsid w:val="00A8138A"/>
    <w:rsid w:val="00A8183A"/>
    <w:rsid w:val="00A842F9"/>
    <w:rsid w:val="00A86051"/>
    <w:rsid w:val="00A8625F"/>
    <w:rsid w:val="00A87AB4"/>
    <w:rsid w:val="00A90151"/>
    <w:rsid w:val="00A90256"/>
    <w:rsid w:val="00A91551"/>
    <w:rsid w:val="00A917F4"/>
    <w:rsid w:val="00A9359B"/>
    <w:rsid w:val="00A94116"/>
    <w:rsid w:val="00A9461E"/>
    <w:rsid w:val="00A9545C"/>
    <w:rsid w:val="00A96436"/>
    <w:rsid w:val="00A970A6"/>
    <w:rsid w:val="00A97249"/>
    <w:rsid w:val="00AA0AF4"/>
    <w:rsid w:val="00AA163B"/>
    <w:rsid w:val="00AA1A3E"/>
    <w:rsid w:val="00AA1BE2"/>
    <w:rsid w:val="00AA2984"/>
    <w:rsid w:val="00AA2C55"/>
    <w:rsid w:val="00AA30AA"/>
    <w:rsid w:val="00AA3569"/>
    <w:rsid w:val="00AA46BF"/>
    <w:rsid w:val="00AA61AE"/>
    <w:rsid w:val="00AA6B75"/>
    <w:rsid w:val="00AB0579"/>
    <w:rsid w:val="00AB10F4"/>
    <w:rsid w:val="00AB2D17"/>
    <w:rsid w:val="00AB3479"/>
    <w:rsid w:val="00AB34AD"/>
    <w:rsid w:val="00AB4085"/>
    <w:rsid w:val="00AB4399"/>
    <w:rsid w:val="00AB4627"/>
    <w:rsid w:val="00AB46E2"/>
    <w:rsid w:val="00AB6B84"/>
    <w:rsid w:val="00AB7799"/>
    <w:rsid w:val="00AC1CF6"/>
    <w:rsid w:val="00AC409C"/>
    <w:rsid w:val="00AC4F7C"/>
    <w:rsid w:val="00AC5071"/>
    <w:rsid w:val="00AC587D"/>
    <w:rsid w:val="00AC5F56"/>
    <w:rsid w:val="00AC6A11"/>
    <w:rsid w:val="00AD06DE"/>
    <w:rsid w:val="00AD1AA2"/>
    <w:rsid w:val="00AD2D84"/>
    <w:rsid w:val="00AD51EC"/>
    <w:rsid w:val="00AD7A30"/>
    <w:rsid w:val="00AD7EEB"/>
    <w:rsid w:val="00AD7FF2"/>
    <w:rsid w:val="00AE0B67"/>
    <w:rsid w:val="00AE3661"/>
    <w:rsid w:val="00AE528A"/>
    <w:rsid w:val="00AF0482"/>
    <w:rsid w:val="00AF0F2D"/>
    <w:rsid w:val="00AF19DB"/>
    <w:rsid w:val="00AF28A2"/>
    <w:rsid w:val="00AF3BD9"/>
    <w:rsid w:val="00AF4528"/>
    <w:rsid w:val="00AF479F"/>
    <w:rsid w:val="00AF6AF8"/>
    <w:rsid w:val="00AF73A5"/>
    <w:rsid w:val="00B027AA"/>
    <w:rsid w:val="00B02E99"/>
    <w:rsid w:val="00B03DBD"/>
    <w:rsid w:val="00B044BC"/>
    <w:rsid w:val="00B049A1"/>
    <w:rsid w:val="00B06803"/>
    <w:rsid w:val="00B11AB3"/>
    <w:rsid w:val="00B11F80"/>
    <w:rsid w:val="00B12853"/>
    <w:rsid w:val="00B12C44"/>
    <w:rsid w:val="00B12FB0"/>
    <w:rsid w:val="00B17053"/>
    <w:rsid w:val="00B20080"/>
    <w:rsid w:val="00B228B0"/>
    <w:rsid w:val="00B22F02"/>
    <w:rsid w:val="00B23258"/>
    <w:rsid w:val="00B23603"/>
    <w:rsid w:val="00B25CA7"/>
    <w:rsid w:val="00B26F55"/>
    <w:rsid w:val="00B2757F"/>
    <w:rsid w:val="00B27AE4"/>
    <w:rsid w:val="00B302FA"/>
    <w:rsid w:val="00B311AD"/>
    <w:rsid w:val="00B32D6C"/>
    <w:rsid w:val="00B33153"/>
    <w:rsid w:val="00B34048"/>
    <w:rsid w:val="00B34683"/>
    <w:rsid w:val="00B34CEB"/>
    <w:rsid w:val="00B35F09"/>
    <w:rsid w:val="00B36BFB"/>
    <w:rsid w:val="00B3749D"/>
    <w:rsid w:val="00B375E0"/>
    <w:rsid w:val="00B37B7B"/>
    <w:rsid w:val="00B4337F"/>
    <w:rsid w:val="00B43A84"/>
    <w:rsid w:val="00B443CC"/>
    <w:rsid w:val="00B50220"/>
    <w:rsid w:val="00B54971"/>
    <w:rsid w:val="00B55ACA"/>
    <w:rsid w:val="00B56D1F"/>
    <w:rsid w:val="00B56DB2"/>
    <w:rsid w:val="00B578A6"/>
    <w:rsid w:val="00B60DEC"/>
    <w:rsid w:val="00B64AC3"/>
    <w:rsid w:val="00B65DAA"/>
    <w:rsid w:val="00B6651B"/>
    <w:rsid w:val="00B66B2F"/>
    <w:rsid w:val="00B67318"/>
    <w:rsid w:val="00B67351"/>
    <w:rsid w:val="00B720EC"/>
    <w:rsid w:val="00B7258D"/>
    <w:rsid w:val="00B72A5F"/>
    <w:rsid w:val="00B731AD"/>
    <w:rsid w:val="00B74F7F"/>
    <w:rsid w:val="00B75B08"/>
    <w:rsid w:val="00B760F4"/>
    <w:rsid w:val="00B7663C"/>
    <w:rsid w:val="00B8111B"/>
    <w:rsid w:val="00B81B38"/>
    <w:rsid w:val="00B836D2"/>
    <w:rsid w:val="00B83C5D"/>
    <w:rsid w:val="00B84869"/>
    <w:rsid w:val="00B85A68"/>
    <w:rsid w:val="00B86607"/>
    <w:rsid w:val="00B87859"/>
    <w:rsid w:val="00B902B0"/>
    <w:rsid w:val="00B908B9"/>
    <w:rsid w:val="00B917AE"/>
    <w:rsid w:val="00B91D47"/>
    <w:rsid w:val="00B92548"/>
    <w:rsid w:val="00B92BAE"/>
    <w:rsid w:val="00B93D97"/>
    <w:rsid w:val="00B953E2"/>
    <w:rsid w:val="00B95ED0"/>
    <w:rsid w:val="00B9605D"/>
    <w:rsid w:val="00B96A89"/>
    <w:rsid w:val="00BA0486"/>
    <w:rsid w:val="00BA053F"/>
    <w:rsid w:val="00BA18DA"/>
    <w:rsid w:val="00BA3CB8"/>
    <w:rsid w:val="00BA4DB0"/>
    <w:rsid w:val="00BA7623"/>
    <w:rsid w:val="00BB138D"/>
    <w:rsid w:val="00BB2818"/>
    <w:rsid w:val="00BB442E"/>
    <w:rsid w:val="00BB4D19"/>
    <w:rsid w:val="00BB506D"/>
    <w:rsid w:val="00BB7119"/>
    <w:rsid w:val="00BB7820"/>
    <w:rsid w:val="00BC0DCE"/>
    <w:rsid w:val="00BC127C"/>
    <w:rsid w:val="00BC219C"/>
    <w:rsid w:val="00BC32E8"/>
    <w:rsid w:val="00BC5C87"/>
    <w:rsid w:val="00BC5D4C"/>
    <w:rsid w:val="00BC6606"/>
    <w:rsid w:val="00BC7C1B"/>
    <w:rsid w:val="00BD0CCF"/>
    <w:rsid w:val="00BD17AB"/>
    <w:rsid w:val="00BD190D"/>
    <w:rsid w:val="00BD3A50"/>
    <w:rsid w:val="00BD5D0E"/>
    <w:rsid w:val="00BD6185"/>
    <w:rsid w:val="00BE23AA"/>
    <w:rsid w:val="00BE245B"/>
    <w:rsid w:val="00BE62F7"/>
    <w:rsid w:val="00BE6554"/>
    <w:rsid w:val="00BE66E0"/>
    <w:rsid w:val="00BE7191"/>
    <w:rsid w:val="00BF0EF2"/>
    <w:rsid w:val="00BF11A0"/>
    <w:rsid w:val="00BF68C8"/>
    <w:rsid w:val="00BF6E79"/>
    <w:rsid w:val="00C016A3"/>
    <w:rsid w:val="00C01BF7"/>
    <w:rsid w:val="00C01E68"/>
    <w:rsid w:val="00C034A6"/>
    <w:rsid w:val="00C047D1"/>
    <w:rsid w:val="00C048D2"/>
    <w:rsid w:val="00C0739D"/>
    <w:rsid w:val="00C07EFE"/>
    <w:rsid w:val="00C11924"/>
    <w:rsid w:val="00C11B7F"/>
    <w:rsid w:val="00C13B34"/>
    <w:rsid w:val="00C14016"/>
    <w:rsid w:val="00C140FB"/>
    <w:rsid w:val="00C1498D"/>
    <w:rsid w:val="00C17B40"/>
    <w:rsid w:val="00C2199D"/>
    <w:rsid w:val="00C21D1F"/>
    <w:rsid w:val="00C221A0"/>
    <w:rsid w:val="00C238D1"/>
    <w:rsid w:val="00C240B3"/>
    <w:rsid w:val="00C25C46"/>
    <w:rsid w:val="00C26E28"/>
    <w:rsid w:val="00C306E6"/>
    <w:rsid w:val="00C307D7"/>
    <w:rsid w:val="00C31E23"/>
    <w:rsid w:val="00C326F9"/>
    <w:rsid w:val="00C35230"/>
    <w:rsid w:val="00C369DE"/>
    <w:rsid w:val="00C36FFC"/>
    <w:rsid w:val="00C37A29"/>
    <w:rsid w:val="00C441FA"/>
    <w:rsid w:val="00C461A8"/>
    <w:rsid w:val="00C46B18"/>
    <w:rsid w:val="00C57FB7"/>
    <w:rsid w:val="00C6098D"/>
    <w:rsid w:val="00C60B8A"/>
    <w:rsid w:val="00C60E5F"/>
    <w:rsid w:val="00C613BF"/>
    <w:rsid w:val="00C61877"/>
    <w:rsid w:val="00C62148"/>
    <w:rsid w:val="00C65C01"/>
    <w:rsid w:val="00C67E56"/>
    <w:rsid w:val="00C70D80"/>
    <w:rsid w:val="00C70EFC"/>
    <w:rsid w:val="00C71688"/>
    <w:rsid w:val="00C73753"/>
    <w:rsid w:val="00C75C56"/>
    <w:rsid w:val="00C76FA2"/>
    <w:rsid w:val="00C7771C"/>
    <w:rsid w:val="00C77BCF"/>
    <w:rsid w:val="00C77CF5"/>
    <w:rsid w:val="00C81D5D"/>
    <w:rsid w:val="00C876D2"/>
    <w:rsid w:val="00C87B5F"/>
    <w:rsid w:val="00C9052C"/>
    <w:rsid w:val="00C932F3"/>
    <w:rsid w:val="00C94B02"/>
    <w:rsid w:val="00C96039"/>
    <w:rsid w:val="00CA0B3F"/>
    <w:rsid w:val="00CA0F2E"/>
    <w:rsid w:val="00CA23D8"/>
    <w:rsid w:val="00CA2937"/>
    <w:rsid w:val="00CA3D5E"/>
    <w:rsid w:val="00CA4688"/>
    <w:rsid w:val="00CA7A1B"/>
    <w:rsid w:val="00CA7A7B"/>
    <w:rsid w:val="00CB2EE3"/>
    <w:rsid w:val="00CB48A8"/>
    <w:rsid w:val="00CB4ABC"/>
    <w:rsid w:val="00CB7666"/>
    <w:rsid w:val="00CC0381"/>
    <w:rsid w:val="00CC1264"/>
    <w:rsid w:val="00CC37A2"/>
    <w:rsid w:val="00CC3BA0"/>
    <w:rsid w:val="00CC3DE4"/>
    <w:rsid w:val="00CC4508"/>
    <w:rsid w:val="00CC459B"/>
    <w:rsid w:val="00CC5F5B"/>
    <w:rsid w:val="00CC6612"/>
    <w:rsid w:val="00CC6F05"/>
    <w:rsid w:val="00CD011E"/>
    <w:rsid w:val="00CD025A"/>
    <w:rsid w:val="00CD0267"/>
    <w:rsid w:val="00CD0ECA"/>
    <w:rsid w:val="00CD1507"/>
    <w:rsid w:val="00CD1D4D"/>
    <w:rsid w:val="00CD61EB"/>
    <w:rsid w:val="00CD725B"/>
    <w:rsid w:val="00CD75B7"/>
    <w:rsid w:val="00CD7EC6"/>
    <w:rsid w:val="00CD7F44"/>
    <w:rsid w:val="00CE023C"/>
    <w:rsid w:val="00CE02A6"/>
    <w:rsid w:val="00CE345C"/>
    <w:rsid w:val="00CE43AF"/>
    <w:rsid w:val="00CE4D3A"/>
    <w:rsid w:val="00CE4E14"/>
    <w:rsid w:val="00CE64FD"/>
    <w:rsid w:val="00CE7236"/>
    <w:rsid w:val="00CF02F0"/>
    <w:rsid w:val="00CF141F"/>
    <w:rsid w:val="00CF43CF"/>
    <w:rsid w:val="00CF4BC6"/>
    <w:rsid w:val="00CF7F06"/>
    <w:rsid w:val="00D009E5"/>
    <w:rsid w:val="00D01615"/>
    <w:rsid w:val="00D02145"/>
    <w:rsid w:val="00D02433"/>
    <w:rsid w:val="00D0352E"/>
    <w:rsid w:val="00D05AD6"/>
    <w:rsid w:val="00D07E6A"/>
    <w:rsid w:val="00D10CB4"/>
    <w:rsid w:val="00D10F14"/>
    <w:rsid w:val="00D10F93"/>
    <w:rsid w:val="00D12159"/>
    <w:rsid w:val="00D1301B"/>
    <w:rsid w:val="00D15113"/>
    <w:rsid w:val="00D15AB7"/>
    <w:rsid w:val="00D15B7C"/>
    <w:rsid w:val="00D15B7D"/>
    <w:rsid w:val="00D15F3A"/>
    <w:rsid w:val="00D16F74"/>
    <w:rsid w:val="00D210DD"/>
    <w:rsid w:val="00D21277"/>
    <w:rsid w:val="00D23225"/>
    <w:rsid w:val="00D23E87"/>
    <w:rsid w:val="00D27DEB"/>
    <w:rsid w:val="00D30128"/>
    <w:rsid w:val="00D30791"/>
    <w:rsid w:val="00D31DB9"/>
    <w:rsid w:val="00D31E3E"/>
    <w:rsid w:val="00D32231"/>
    <w:rsid w:val="00D330CA"/>
    <w:rsid w:val="00D3316D"/>
    <w:rsid w:val="00D3586D"/>
    <w:rsid w:val="00D367D3"/>
    <w:rsid w:val="00D3770A"/>
    <w:rsid w:val="00D37882"/>
    <w:rsid w:val="00D37C74"/>
    <w:rsid w:val="00D41DDC"/>
    <w:rsid w:val="00D41FA9"/>
    <w:rsid w:val="00D42549"/>
    <w:rsid w:val="00D44C1B"/>
    <w:rsid w:val="00D455CF"/>
    <w:rsid w:val="00D46A6A"/>
    <w:rsid w:val="00D46FD9"/>
    <w:rsid w:val="00D47519"/>
    <w:rsid w:val="00D50082"/>
    <w:rsid w:val="00D521AF"/>
    <w:rsid w:val="00D57BFD"/>
    <w:rsid w:val="00D60649"/>
    <w:rsid w:val="00D60DA8"/>
    <w:rsid w:val="00D61A00"/>
    <w:rsid w:val="00D61E88"/>
    <w:rsid w:val="00D6364B"/>
    <w:rsid w:val="00D63D48"/>
    <w:rsid w:val="00D65CE9"/>
    <w:rsid w:val="00D6650A"/>
    <w:rsid w:val="00D7031D"/>
    <w:rsid w:val="00D745D8"/>
    <w:rsid w:val="00D75406"/>
    <w:rsid w:val="00D76D1B"/>
    <w:rsid w:val="00D809A3"/>
    <w:rsid w:val="00D818DE"/>
    <w:rsid w:val="00D81D45"/>
    <w:rsid w:val="00D83923"/>
    <w:rsid w:val="00D86476"/>
    <w:rsid w:val="00D86561"/>
    <w:rsid w:val="00D90BC9"/>
    <w:rsid w:val="00D90FD2"/>
    <w:rsid w:val="00D93D16"/>
    <w:rsid w:val="00D940C2"/>
    <w:rsid w:val="00D9419D"/>
    <w:rsid w:val="00D96F65"/>
    <w:rsid w:val="00DA136C"/>
    <w:rsid w:val="00DA1BB9"/>
    <w:rsid w:val="00DA3017"/>
    <w:rsid w:val="00DA5484"/>
    <w:rsid w:val="00DA57F4"/>
    <w:rsid w:val="00DA591D"/>
    <w:rsid w:val="00DA6646"/>
    <w:rsid w:val="00DB053C"/>
    <w:rsid w:val="00DB1D0B"/>
    <w:rsid w:val="00DB26F2"/>
    <w:rsid w:val="00DB5717"/>
    <w:rsid w:val="00DB5EC6"/>
    <w:rsid w:val="00DB6950"/>
    <w:rsid w:val="00DB6A96"/>
    <w:rsid w:val="00DB7B28"/>
    <w:rsid w:val="00DB7E8D"/>
    <w:rsid w:val="00DB7F27"/>
    <w:rsid w:val="00DC0606"/>
    <w:rsid w:val="00DC1012"/>
    <w:rsid w:val="00DC18D8"/>
    <w:rsid w:val="00DC1B37"/>
    <w:rsid w:val="00DC25B8"/>
    <w:rsid w:val="00DC44FE"/>
    <w:rsid w:val="00DC5DFF"/>
    <w:rsid w:val="00DC696E"/>
    <w:rsid w:val="00DC74CB"/>
    <w:rsid w:val="00DD07FA"/>
    <w:rsid w:val="00DD134A"/>
    <w:rsid w:val="00DD1CD0"/>
    <w:rsid w:val="00DD26A7"/>
    <w:rsid w:val="00DD3907"/>
    <w:rsid w:val="00DD5CB0"/>
    <w:rsid w:val="00DD6473"/>
    <w:rsid w:val="00DD6504"/>
    <w:rsid w:val="00DD737B"/>
    <w:rsid w:val="00DE18F0"/>
    <w:rsid w:val="00DE5F00"/>
    <w:rsid w:val="00DE60FF"/>
    <w:rsid w:val="00DE7E5F"/>
    <w:rsid w:val="00DF1860"/>
    <w:rsid w:val="00DF23CF"/>
    <w:rsid w:val="00DF2429"/>
    <w:rsid w:val="00DF2F7E"/>
    <w:rsid w:val="00DF3F28"/>
    <w:rsid w:val="00DF4E3E"/>
    <w:rsid w:val="00DF57D9"/>
    <w:rsid w:val="00DF60B9"/>
    <w:rsid w:val="00DF6212"/>
    <w:rsid w:val="00DF63B7"/>
    <w:rsid w:val="00DF7137"/>
    <w:rsid w:val="00DF7DB3"/>
    <w:rsid w:val="00E008D8"/>
    <w:rsid w:val="00E010CD"/>
    <w:rsid w:val="00E0254D"/>
    <w:rsid w:val="00E0453D"/>
    <w:rsid w:val="00E046A6"/>
    <w:rsid w:val="00E05FA6"/>
    <w:rsid w:val="00E06A03"/>
    <w:rsid w:val="00E11669"/>
    <w:rsid w:val="00E122AD"/>
    <w:rsid w:val="00E12DA9"/>
    <w:rsid w:val="00E14790"/>
    <w:rsid w:val="00E15A2F"/>
    <w:rsid w:val="00E20FB4"/>
    <w:rsid w:val="00E217A3"/>
    <w:rsid w:val="00E25474"/>
    <w:rsid w:val="00E254E4"/>
    <w:rsid w:val="00E30AE2"/>
    <w:rsid w:val="00E30B89"/>
    <w:rsid w:val="00E32C38"/>
    <w:rsid w:val="00E32EE5"/>
    <w:rsid w:val="00E32F93"/>
    <w:rsid w:val="00E33A40"/>
    <w:rsid w:val="00E37290"/>
    <w:rsid w:val="00E3749B"/>
    <w:rsid w:val="00E379F7"/>
    <w:rsid w:val="00E42997"/>
    <w:rsid w:val="00E47107"/>
    <w:rsid w:val="00E50B75"/>
    <w:rsid w:val="00E50E8A"/>
    <w:rsid w:val="00E54ACD"/>
    <w:rsid w:val="00E54B2B"/>
    <w:rsid w:val="00E55955"/>
    <w:rsid w:val="00E615F1"/>
    <w:rsid w:val="00E61632"/>
    <w:rsid w:val="00E62887"/>
    <w:rsid w:val="00E6337E"/>
    <w:rsid w:val="00E63520"/>
    <w:rsid w:val="00E642E7"/>
    <w:rsid w:val="00E64FC4"/>
    <w:rsid w:val="00E6520F"/>
    <w:rsid w:val="00E66C01"/>
    <w:rsid w:val="00E67CA1"/>
    <w:rsid w:val="00E70DD7"/>
    <w:rsid w:val="00E72EE0"/>
    <w:rsid w:val="00E741FB"/>
    <w:rsid w:val="00E7478D"/>
    <w:rsid w:val="00E748F4"/>
    <w:rsid w:val="00E76DB1"/>
    <w:rsid w:val="00E77508"/>
    <w:rsid w:val="00E8003A"/>
    <w:rsid w:val="00E84D02"/>
    <w:rsid w:val="00E86636"/>
    <w:rsid w:val="00E91602"/>
    <w:rsid w:val="00E91A7E"/>
    <w:rsid w:val="00E91FED"/>
    <w:rsid w:val="00E92BCF"/>
    <w:rsid w:val="00E92F0E"/>
    <w:rsid w:val="00E93DD1"/>
    <w:rsid w:val="00E94FB3"/>
    <w:rsid w:val="00E974C7"/>
    <w:rsid w:val="00E97AAF"/>
    <w:rsid w:val="00EA09CB"/>
    <w:rsid w:val="00EA1943"/>
    <w:rsid w:val="00EA3064"/>
    <w:rsid w:val="00EA3612"/>
    <w:rsid w:val="00EA4BC1"/>
    <w:rsid w:val="00EA526E"/>
    <w:rsid w:val="00EA7956"/>
    <w:rsid w:val="00EB0BB6"/>
    <w:rsid w:val="00EB2FBB"/>
    <w:rsid w:val="00EB3F9D"/>
    <w:rsid w:val="00EB40B2"/>
    <w:rsid w:val="00EB4AA6"/>
    <w:rsid w:val="00EB4F2F"/>
    <w:rsid w:val="00EB5DC6"/>
    <w:rsid w:val="00EC0F8F"/>
    <w:rsid w:val="00EC1CDA"/>
    <w:rsid w:val="00EC4E1A"/>
    <w:rsid w:val="00EC6EBA"/>
    <w:rsid w:val="00EC6FF1"/>
    <w:rsid w:val="00EC710B"/>
    <w:rsid w:val="00ED1196"/>
    <w:rsid w:val="00ED1928"/>
    <w:rsid w:val="00ED4983"/>
    <w:rsid w:val="00ED5AF9"/>
    <w:rsid w:val="00EE0C73"/>
    <w:rsid w:val="00EE1E2E"/>
    <w:rsid w:val="00EE2F01"/>
    <w:rsid w:val="00EE5E9F"/>
    <w:rsid w:val="00EE6F14"/>
    <w:rsid w:val="00EE6F3D"/>
    <w:rsid w:val="00EE7F0C"/>
    <w:rsid w:val="00EF048C"/>
    <w:rsid w:val="00EF1ED0"/>
    <w:rsid w:val="00EF3F23"/>
    <w:rsid w:val="00EF3F9D"/>
    <w:rsid w:val="00EF53CF"/>
    <w:rsid w:val="00EF65F6"/>
    <w:rsid w:val="00EF68C6"/>
    <w:rsid w:val="00EF6C20"/>
    <w:rsid w:val="00EF7E7A"/>
    <w:rsid w:val="00F003E8"/>
    <w:rsid w:val="00F005CB"/>
    <w:rsid w:val="00F010C4"/>
    <w:rsid w:val="00F02D88"/>
    <w:rsid w:val="00F02FA5"/>
    <w:rsid w:val="00F04EA7"/>
    <w:rsid w:val="00F068EE"/>
    <w:rsid w:val="00F06E47"/>
    <w:rsid w:val="00F10ADF"/>
    <w:rsid w:val="00F10F0C"/>
    <w:rsid w:val="00F115E9"/>
    <w:rsid w:val="00F13A29"/>
    <w:rsid w:val="00F13CDD"/>
    <w:rsid w:val="00F16182"/>
    <w:rsid w:val="00F162D4"/>
    <w:rsid w:val="00F173EF"/>
    <w:rsid w:val="00F1749F"/>
    <w:rsid w:val="00F2058B"/>
    <w:rsid w:val="00F21AE9"/>
    <w:rsid w:val="00F24900"/>
    <w:rsid w:val="00F25AE6"/>
    <w:rsid w:val="00F26D2F"/>
    <w:rsid w:val="00F274FA"/>
    <w:rsid w:val="00F2770C"/>
    <w:rsid w:val="00F3209B"/>
    <w:rsid w:val="00F3214C"/>
    <w:rsid w:val="00F32D4A"/>
    <w:rsid w:val="00F3307B"/>
    <w:rsid w:val="00F33F8D"/>
    <w:rsid w:val="00F35292"/>
    <w:rsid w:val="00F366AD"/>
    <w:rsid w:val="00F37CB6"/>
    <w:rsid w:val="00F37F65"/>
    <w:rsid w:val="00F4010B"/>
    <w:rsid w:val="00F4432C"/>
    <w:rsid w:val="00F44F36"/>
    <w:rsid w:val="00F457F1"/>
    <w:rsid w:val="00F467E5"/>
    <w:rsid w:val="00F46A35"/>
    <w:rsid w:val="00F46E42"/>
    <w:rsid w:val="00F4702C"/>
    <w:rsid w:val="00F47466"/>
    <w:rsid w:val="00F477DC"/>
    <w:rsid w:val="00F504EF"/>
    <w:rsid w:val="00F505B8"/>
    <w:rsid w:val="00F53C78"/>
    <w:rsid w:val="00F53EFE"/>
    <w:rsid w:val="00F545F5"/>
    <w:rsid w:val="00F55BF3"/>
    <w:rsid w:val="00F60BA2"/>
    <w:rsid w:val="00F634F6"/>
    <w:rsid w:val="00F641FF"/>
    <w:rsid w:val="00F7113C"/>
    <w:rsid w:val="00F75A57"/>
    <w:rsid w:val="00F77B4D"/>
    <w:rsid w:val="00F77C67"/>
    <w:rsid w:val="00F77F5C"/>
    <w:rsid w:val="00F819AC"/>
    <w:rsid w:val="00F8380D"/>
    <w:rsid w:val="00F83C5C"/>
    <w:rsid w:val="00F87B07"/>
    <w:rsid w:val="00F94880"/>
    <w:rsid w:val="00FA33D2"/>
    <w:rsid w:val="00FA4574"/>
    <w:rsid w:val="00FA6297"/>
    <w:rsid w:val="00FA7052"/>
    <w:rsid w:val="00FB016C"/>
    <w:rsid w:val="00FB1D45"/>
    <w:rsid w:val="00FB29C8"/>
    <w:rsid w:val="00FB4E93"/>
    <w:rsid w:val="00FB7B55"/>
    <w:rsid w:val="00FC018A"/>
    <w:rsid w:val="00FC0E70"/>
    <w:rsid w:val="00FC1303"/>
    <w:rsid w:val="00FC2D8B"/>
    <w:rsid w:val="00FC3033"/>
    <w:rsid w:val="00FC30BD"/>
    <w:rsid w:val="00FC4481"/>
    <w:rsid w:val="00FC4A70"/>
    <w:rsid w:val="00FC52EC"/>
    <w:rsid w:val="00FC581C"/>
    <w:rsid w:val="00FD0047"/>
    <w:rsid w:val="00FD1A39"/>
    <w:rsid w:val="00FD2AA9"/>
    <w:rsid w:val="00FD3009"/>
    <w:rsid w:val="00FD3306"/>
    <w:rsid w:val="00FD36B1"/>
    <w:rsid w:val="00FD3A03"/>
    <w:rsid w:val="00FD3FE4"/>
    <w:rsid w:val="00FD6DE7"/>
    <w:rsid w:val="00FE126B"/>
    <w:rsid w:val="00FE1516"/>
    <w:rsid w:val="00FE1BB4"/>
    <w:rsid w:val="00FE2392"/>
    <w:rsid w:val="00FE4C90"/>
    <w:rsid w:val="00FE59FD"/>
    <w:rsid w:val="00FE7F98"/>
    <w:rsid w:val="00FF05D6"/>
    <w:rsid w:val="00FF05E4"/>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18E1E"/>
  <w15:chartTrackingRefBased/>
  <w15:docId w15:val="{C83B5CB5-4BCE-460B-A0C7-8073C76C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8"/>
      </w:numPr>
      <w:contextualSpacing/>
    </w:pPr>
  </w:style>
  <w:style w:type="paragraph" w:styleId="ListBullet2">
    <w:name w:val="List Bullet 2"/>
    <w:basedOn w:val="Normal"/>
    <w:uiPriority w:val="1"/>
    <w:qFormat/>
    <w:rsid w:val="00415A0E"/>
    <w:pPr>
      <w:numPr>
        <w:ilvl w:val="1"/>
        <w:numId w:val="18"/>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8"/>
      </w:numPr>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C7771C"/>
    <w:pPr>
      <w:spacing w:before="46" w:after="46"/>
      <w:ind w:left="170" w:hanging="113"/>
    </w:pPr>
    <w:rPr>
      <w:sz w:val="18"/>
    </w:rPr>
  </w:style>
  <w:style w:type="character" w:styleId="FollowedHyperlink">
    <w:name w:val="FollowedHyperlink"/>
    <w:basedOn w:val="DefaultParagraphFont"/>
    <w:uiPriority w:val="99"/>
    <w:semiHidden/>
    <w:unhideWhenUsed/>
    <w:rsid w:val="00BE23AA"/>
    <w:rPr>
      <w:color w:val="BFBFBF" w:themeColor="followedHyperlink"/>
      <w:u w:val="single"/>
    </w:rPr>
  </w:style>
  <w:style w:type="character" w:styleId="Mention">
    <w:name w:val="Mention"/>
    <w:basedOn w:val="DefaultParagraphFont"/>
    <w:uiPriority w:val="99"/>
    <w:unhideWhenUsed/>
    <w:rsid w:val="00DA6646"/>
    <w:rPr>
      <w:color w:val="2B579A"/>
      <w:shd w:val="clear" w:color="auto" w:fill="E1DFDD"/>
    </w:rPr>
  </w:style>
  <w:style w:type="paragraph" w:styleId="Bibliography">
    <w:name w:val="Bibliography"/>
    <w:basedOn w:val="Normal"/>
    <w:next w:val="Normal"/>
    <w:uiPriority w:val="37"/>
    <w:unhideWhenUsed/>
    <w:rsid w:val="00401C5A"/>
    <w:pPr>
      <w:spacing w:after="240" w:line="24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oss-emer\AppData\Local\Temp\Templafy\WordVsto\chapte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1c675e70fd5030a6b3416fa72badeb6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f7d0f7ca4dd802b4ae8efb887a50a4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MPWT-2140667901-94327</_dlc_DocId>
    <_dlc_DocIdUrl xmlns="20393cdf-440a-4521-8f19-00ba43423d00">
      <Url>https://pcgov.sharepoint.com/sites/sceteam/_layouts/15/DocIdRedir.aspx?ID=MPWT-2140667901-94327</Url>
      <Description>MPWT-2140667901-94327</Description>
    </_dlc_DocIdUrl>
  </documentManagement>
</p:properties>
</file>

<file path=customXml/item4.xml><?xml version="1.0" encoding="utf-8"?>
<TemplafyFormConfiguration><![CDATA[{"formFields":[],"formDataEntries":[]}]]></TemplafyForm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mplafyTemplateConfiguration><![CDATA[{"elementsMetadata":[],"transformationConfigurations":[],"templateName":"chapter","templateDescription":"","enableDocumentContentUpdater":false,"version":"2.0"}]]></TemplafyTemplateConfiguration>
</file>

<file path=customXml/itemProps1.xml><?xml version="1.0" encoding="utf-8"?>
<ds:datastoreItem xmlns:ds="http://schemas.openxmlformats.org/officeDocument/2006/customXml" ds:itemID="{A73DBEDD-AACE-4ACE-8F22-12215256A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A9375862-7444-4178-95BA-49A058BB7408}">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9897F752-2238-441E-ABA5-DB8C10DEA577}">
  <ds:schemaRefs/>
</ds:datastoreItem>
</file>

<file path=customXml/itemProps5.xml><?xml version="1.0" encoding="utf-8"?>
<ds:datastoreItem xmlns:ds="http://schemas.openxmlformats.org/officeDocument/2006/customXml" ds:itemID="{C092F8ED-2C31-4761-B499-D8EE920B8683}">
  <ds:schemaRefs>
    <ds:schemaRef ds:uri="http://schemas.microsoft.com/sharepoint/events"/>
  </ds:schemaRefs>
</ds:datastoreItem>
</file>

<file path=customXml/itemProps6.xml><?xml version="1.0" encoding="utf-8"?>
<ds:datastoreItem xmlns:ds="http://schemas.openxmlformats.org/officeDocument/2006/customXml" ds:itemID="{9AEC5FCB-ADF8-464D-9830-E76C268395B0}">
  <ds:schemaRefs>
    <ds:schemaRef ds:uri="http://schemas.microsoft.com/sharepoint/v3/contenttype/forms"/>
  </ds:schemaRefs>
</ds:datastoreItem>
</file>

<file path=customXml/itemProps7.xml><?xml version="1.0" encoding="utf-8"?>
<ds:datastoreItem xmlns:ds="http://schemas.openxmlformats.org/officeDocument/2006/customXml" ds:itemID="{5CCDCE8C-2FF2-479D-91C1-79A7A7683D3C}">
  <ds:schemaRefs/>
</ds:datastoreItem>
</file>

<file path=docProps/app.xml><?xml version="1.0" encoding="utf-8"?>
<Properties xmlns="http://schemas.openxmlformats.org/officeDocument/2006/extended-properties" xmlns:vt="http://schemas.openxmlformats.org/officeDocument/2006/docPropsVTypes">
  <Template>chapter.dotx</Template>
  <TotalTime>86</TotalTime>
  <Pages>4</Pages>
  <Words>1381</Words>
  <Characters>7723</Characters>
  <Application>Microsoft Office Word</Application>
  <DocSecurity>0</DocSecurity>
  <Lines>128</Lines>
  <Paragraphs>51</Paragraphs>
  <ScaleCrop>false</ScaleCrop>
  <HeadingPairs>
    <vt:vector size="2" baseType="variant">
      <vt:variant>
        <vt:lpstr>Title</vt:lpstr>
      </vt:variant>
      <vt:variant>
        <vt:i4>1</vt:i4>
      </vt:variant>
    </vt:vector>
  </HeadingPairs>
  <TitlesOfParts>
    <vt:vector size="1" baseType="lpstr">
      <vt:lpstr>Statutory review of the electric car discount - PC submission</vt:lpstr>
    </vt:vector>
  </TitlesOfParts>
  <Company>Productivity Commission</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review of the electric car discount - PC submission</dc:title>
  <dc:subject/>
  <dc:creator>Productivity Commission</dc:creator>
  <cp:keywords/>
  <dc:description/>
  <cp:lastModifiedBy>Chris Alston</cp:lastModifiedBy>
  <cp:revision>46</cp:revision>
  <cp:lastPrinted>2026-02-06T05:06:00Z</cp:lastPrinted>
  <dcterms:created xsi:type="dcterms:W3CDTF">2026-02-06T03:16:00Z</dcterms:created>
  <dcterms:modified xsi:type="dcterms:W3CDTF">2026-02-10T01:48:00Z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bd31a762-d8a5-4d89-836a-c3ef22d3ef0a</vt:lpwstr>
  </property>
  <property fmtid="{D5CDD505-2E9C-101B-9397-08002B2CF9AE}" pid="3" name="MediaServiceImageTags">
    <vt:lpwstr/>
  </property>
  <property fmtid="{D5CDD505-2E9C-101B-9397-08002B2CF9AE}" pid="4" name="TemplafyTenantId">
    <vt:lpwstr>productivitycommission</vt:lpwstr>
  </property>
  <property fmtid="{D5CDD505-2E9C-101B-9397-08002B2CF9AE}" pid="5" name="TemplafyTemplateId">
    <vt:lpwstr>637629323564275408</vt:lpwstr>
  </property>
  <property fmtid="{D5CDD505-2E9C-101B-9397-08002B2CF9AE}" pid="6" name="TemplafyUserProfileId">
    <vt:lpwstr>637870630037422538</vt:lpwstr>
  </property>
  <property fmtid="{D5CDD505-2E9C-101B-9397-08002B2CF9AE}" pid="7" name="TemplafyFromBlank">
    <vt:bool>false</vt:bool>
  </property>
  <property fmtid="{D5CDD505-2E9C-101B-9397-08002B2CF9AE}" pid="8" name="docLang">
    <vt:lpwstr>en</vt:lpwstr>
  </property>
  <property fmtid="{D5CDD505-2E9C-101B-9397-08002B2CF9AE}" pid="9" name="ZOTERO_PREF_1">
    <vt:lpwstr>&lt;data data-version="3" zotero-version="8.0.2"&gt;&lt;session id="lbqQqRQD"/&gt;&lt;style id="http://www.zotero.org/styles/Productivity-Commission" hasBibliography="1" bibliographyStyleHasBeenSet="1"/&gt;&lt;prefs&gt;&lt;pref name="fieldType" value="Field"/&gt;&lt;pref name="automaticJ</vt:lpwstr>
  </property>
  <property fmtid="{D5CDD505-2E9C-101B-9397-08002B2CF9AE}" pid="10" name="ZOTERO_PREF_2">
    <vt:lpwstr>ournalAbbreviations" value="true"/&gt;&lt;/prefs&gt;&lt;/data&gt;</vt:lpwstr>
  </property>
  <property fmtid="{D5CDD505-2E9C-101B-9397-08002B2CF9AE}" pid="11" name="MSIP_Label_c1f2b1ce-4212-46db-a901-dd8453f57141_Enabled">
    <vt:lpwstr>true</vt:lpwstr>
  </property>
  <property fmtid="{D5CDD505-2E9C-101B-9397-08002B2CF9AE}" pid="12" name="MSIP_Label_c1f2b1ce-4212-46db-a901-dd8453f57141_SetDate">
    <vt:lpwstr>2026-02-06T03:28:18Z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da659015-b3ad-430f-9dc6-8a2b25a65b34</vt:lpwstr>
  </property>
  <property fmtid="{D5CDD505-2E9C-101B-9397-08002B2CF9AE}" pid="17" name="MSIP_Label_c1f2b1ce-4212-46db-a901-dd8453f57141_ContentBits">
    <vt:lpwstr>0</vt:lpwstr>
  </property>
  <property fmtid="{D5CDD505-2E9C-101B-9397-08002B2CF9AE}" pid="18" name="MSIP_Label_c1f2b1ce-4212-46db-a901-dd8453f57141_Tag">
    <vt:lpwstr>10, 0, 1, 1</vt:lpwstr>
  </property>
  <property fmtid="{D5CDD505-2E9C-101B-9397-08002B2CF9AE}" pid="19" name="ContentTypeId">
    <vt:lpwstr>0x0101006C0B5E815648EF46B6FA6D42F17E5E9F000C963E276195B04F83BC027CFDC94A8D</vt:lpwstr>
  </property>
  <property fmtid="{D5CDD505-2E9C-101B-9397-08002B2CF9AE}" pid="20" name="RevIMBCS">
    <vt:lpwstr>1;#Unclassified|3955eeb1-2d18-4582-aeb2-00144ec3aaf5</vt:lpwstr>
  </property>
  <property fmtid="{D5CDD505-2E9C-101B-9397-08002B2CF9AE}" pid="21" name="ClassificationContentMarkingHeaderText">
    <vt:lpwstr> OFFICIAL</vt:lpwstr>
  </property>
  <property fmtid="{D5CDD505-2E9C-101B-9397-08002B2CF9AE}" pid="22" name="MSIP_Label_f7467c1a-e0ed-413c-a72b-aac8e8e94f41_Name">
    <vt:lpwstr>OFFICIAL</vt:lpwstr>
  </property>
  <property fmtid="{D5CDD505-2E9C-101B-9397-08002B2CF9AE}" pid="23" name="ClassificationContentMarkingHeaderFontProps">
    <vt:lpwstr>#000000,12,Calibri</vt:lpwstr>
  </property>
  <property fmtid="{D5CDD505-2E9C-101B-9397-08002B2CF9AE}" pid="24" name="MSIP_Label_f7467c1a-e0ed-413c-a72b-aac8e8e94f41_ActionId">
    <vt:lpwstr>db6641a2-4ed2-4c53-9d7b-24c8b4bcacbc</vt:lpwstr>
  </property>
  <property fmtid="{D5CDD505-2E9C-101B-9397-08002B2CF9AE}" pid="25" name="MSIP_Label_f7467c1a-e0ed-413c-a72b-aac8e8e94f41_SiteId">
    <vt:lpwstr>29f9330b-c0fe-4244-830e-ba9f275d6c34</vt:lpwstr>
  </property>
  <property fmtid="{D5CDD505-2E9C-101B-9397-08002B2CF9AE}" pid="26" name="MSIP_Label_f7467c1a-e0ed-413c-a72b-aac8e8e94f41_ContentBits">
    <vt:lpwstr>1</vt:lpwstr>
  </property>
  <property fmtid="{D5CDD505-2E9C-101B-9397-08002B2CF9AE}" pid="27" name="MSIP_Label_f7467c1a-e0ed-413c-a72b-aac8e8e94f41_Method">
    <vt:lpwstr>Privileged</vt:lpwstr>
  </property>
  <property fmtid="{D5CDD505-2E9C-101B-9397-08002B2CF9AE}" pid="28" name="ClassificationContentMarkingHeaderShapeIds">
    <vt:lpwstr>52e6898c,642ed84a,d04a9c6</vt:lpwstr>
  </property>
  <property fmtid="{D5CDD505-2E9C-101B-9397-08002B2CF9AE}" pid="29" name="MSIP_Label_f7467c1a-e0ed-413c-a72b-aac8e8e94f41_Enabled">
    <vt:lpwstr>true</vt:lpwstr>
  </property>
  <property fmtid="{D5CDD505-2E9C-101B-9397-08002B2CF9AE}" pid="30" name="MSIP_Label_f7467c1a-e0ed-413c-a72b-aac8e8e94f41_SetDate">
    <vt:lpwstr>2024-10-29T08:04:02Z</vt:lpwstr>
  </property>
</Properties>
</file>