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898D0" w14:textId="00E070D9" w:rsidR="00D67C52" w:rsidRPr="000B7E0E" w:rsidRDefault="00537A20" w:rsidP="00D67C52">
      <w:pPr>
        <w:pStyle w:val="Coverdate"/>
        <w:framePr w:w="2329" w:wrap="around" w:hAnchor="page" w:x="8449" w:y="15282"/>
        <w:jc w:val="right"/>
        <w:rPr>
          <w:rFonts w:ascii="Open Sans" w:hAnsi="Open Sans" w:cs="Open Sans"/>
          <w:color w:val="FFFFFF" w:themeColor="background1"/>
        </w:rPr>
      </w:pPr>
      <w:bookmarkStart w:id="0" w:name="_Toc219280596"/>
      <w:r>
        <w:rPr>
          <w:rFonts w:ascii="Open Sans" w:hAnsi="Open Sans" w:cs="Open Sans"/>
          <w:color w:val="FFFFFF" w:themeColor="background1"/>
        </w:rPr>
        <w:t>February</w:t>
      </w:r>
      <w:r w:rsidR="00D67C52" w:rsidRPr="000B7E0E">
        <w:rPr>
          <w:rFonts w:ascii="Open Sans" w:hAnsi="Open Sans" w:cs="Open Sans"/>
          <w:color w:val="FFFFFF" w:themeColor="background1"/>
        </w:rPr>
        <w:t xml:space="preserve"> 2026</w:t>
      </w:r>
    </w:p>
    <w:p w14:paraId="087B3217" w14:textId="3087A23C" w:rsidR="00D67C52" w:rsidRPr="00461CE9" w:rsidRDefault="00D67C52" w:rsidP="0028492E">
      <w:pPr>
        <w:tabs>
          <w:tab w:val="left" w:pos="3690"/>
        </w:tabs>
        <w:spacing w:after="0"/>
      </w:pPr>
    </w:p>
    <w:p w14:paraId="793D5D9D" w14:textId="159ACFD1" w:rsidR="00D67C52" w:rsidRPr="00BC2645" w:rsidRDefault="00DB5686" w:rsidP="00A83F51">
      <w:pPr>
        <w:pStyle w:val="Title"/>
        <w:spacing w:before="240"/>
        <w:ind w:right="1700"/>
        <w:rPr>
          <w:rFonts w:ascii="Open Sans Extrabold" w:hAnsi="Open Sans Extrabold" w:cs="Open Sans Extrabold"/>
        </w:rPr>
      </w:pPr>
      <w:r w:rsidRPr="00BC2645">
        <w:rPr>
          <w:rFonts w:ascii="Open Sans Extrabold" w:hAnsi="Open Sans Extrabold" w:cs="Open Sans Extrabold"/>
        </w:rPr>
        <w:t>Productivity in Australia: selected policy options for a more prosperous future</w:t>
      </w:r>
    </w:p>
    <w:p w14:paraId="423D5841" w14:textId="77777777" w:rsidR="00D67C52" w:rsidRPr="00ED240B" w:rsidRDefault="00D67C52" w:rsidP="00D67C52">
      <w:pPr>
        <w:pStyle w:val="Subtitle"/>
        <w:rPr>
          <w:rFonts w:ascii="Open Sans Semibold" w:hAnsi="Open Sans Semibold" w:cs="Open Sans Semibold"/>
          <w:szCs w:val="52"/>
        </w:rPr>
      </w:pPr>
      <w:r w:rsidRPr="00ED240B">
        <w:rPr>
          <w:rFonts w:ascii="Open Sans Semibold" w:hAnsi="Open Sans Semibold" w:cs="Open Sans Semibold"/>
          <w:noProof/>
          <w:szCs w:val="52"/>
        </w:rPr>
        <mc:AlternateContent>
          <mc:Choice Requires="wps">
            <w:drawing>
              <wp:anchor distT="0" distB="0" distL="114300" distR="114300" simplePos="0" relativeHeight="251658241" behindDoc="0" locked="0" layoutInCell="1" allowOverlap="1" wp14:anchorId="480C2434" wp14:editId="0F74892E">
                <wp:simplePos x="0" y="0"/>
                <wp:positionH relativeFrom="column">
                  <wp:posOffset>-126532</wp:posOffset>
                </wp:positionH>
                <wp:positionV relativeFrom="paragraph">
                  <wp:posOffset>5596789</wp:posOffset>
                </wp:positionV>
                <wp:extent cx="1968500" cy="943075"/>
                <wp:effectExtent l="0" t="0" r="0" b="9525"/>
                <wp:wrapNone/>
                <wp:docPr id="567170809" name="Text Box 1"/>
                <wp:cNvGraphicFramePr/>
                <a:graphic xmlns:a="http://schemas.openxmlformats.org/drawingml/2006/main">
                  <a:graphicData uri="http://schemas.microsoft.com/office/word/2010/wordprocessingShape">
                    <wps:wsp>
                      <wps:cNvSpPr txBox="1"/>
                      <wps:spPr>
                        <a:xfrm>
                          <a:off x="0" y="0"/>
                          <a:ext cx="1968500" cy="943075"/>
                        </a:xfrm>
                        <a:prstGeom prst="rect">
                          <a:avLst/>
                        </a:prstGeom>
                        <a:solidFill>
                          <a:schemeClr val="bg2"/>
                        </a:solidFill>
                        <a:ln w="6350">
                          <a:noFill/>
                        </a:ln>
                      </wps:spPr>
                      <wps:txbx>
                        <w:txbxContent>
                          <w:p w14:paraId="1CA91A49" w14:textId="7D434B1C" w:rsidR="00D67C52" w:rsidRPr="00265EF8" w:rsidRDefault="00D67C52" w:rsidP="00D67C52">
                            <w:pPr>
                              <w:spacing w:before="0" w:after="20"/>
                              <w:ind w:left="57"/>
                              <w:rPr>
                                <w:rFonts w:ascii="Open Sans" w:hAnsi="Open Sans" w:cs="Open Sans"/>
                                <w:color w:val="FFFFFF" w:themeColor="background1"/>
                              </w:rPr>
                            </w:pPr>
                            <w:r w:rsidRPr="00265EF8">
                              <w:rPr>
                                <w:rFonts w:ascii="Open Sans" w:hAnsi="Open Sans" w:cs="Open Sans"/>
                                <w:color w:val="FFFFFF" w:themeColor="background1"/>
                                <w:spacing w:val="-2"/>
                              </w:rPr>
                              <w:t xml:space="preserve">Submission to the Senate </w:t>
                            </w:r>
                            <w:r w:rsidR="00121301" w:rsidRPr="00121301">
                              <w:rPr>
                                <w:rFonts w:ascii="Open Sans" w:hAnsi="Open Sans" w:cs="Open Sans"/>
                                <w:color w:val="FFFFFF" w:themeColor="background1"/>
                                <w:spacing w:val="-2"/>
                              </w:rPr>
                              <w:t>Select Committee on Productivity in</w:t>
                            </w:r>
                            <w:r w:rsidR="003B11CD">
                              <w:rPr>
                                <w:rFonts w:ascii="Open Sans" w:hAnsi="Open Sans" w:cs="Open Sans"/>
                                <w:color w:val="FFFFFF" w:themeColor="background1"/>
                                <w:spacing w:val="-2"/>
                              </w:rPr>
                              <w:t> </w:t>
                            </w:r>
                            <w:r w:rsidR="00121301" w:rsidRPr="00121301">
                              <w:rPr>
                                <w:rFonts w:ascii="Open Sans" w:hAnsi="Open Sans" w:cs="Open Sans"/>
                                <w:color w:val="FFFFFF" w:themeColor="background1"/>
                                <w:spacing w:val="-2"/>
                              </w:rPr>
                              <w:t>Australia</w:t>
                            </w:r>
                            <w:r w:rsidR="00121301">
                              <w:rPr>
                                <w:rFonts w:ascii="Open Sans" w:hAnsi="Open Sans" w:cs="Open Sans"/>
                                <w:color w:val="FFFFFF" w:themeColor="background1"/>
                                <w:spacing w:val="-2"/>
                              </w:rPr>
                              <w:t xml:space="preserve"> </w:t>
                            </w:r>
                          </w:p>
                        </w:txbxContent>
                      </wps:txbx>
                      <wps:bodyPr rot="0" spcFirstLastPara="0" vertOverflow="overflow" horzOverflow="overflow" vert="horz" wrap="square" lIns="108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C2434" id="_x0000_t202" coordsize="21600,21600" o:spt="202" path="m,l,21600r21600,l21600,xe">
                <v:stroke joinstyle="miter"/>
                <v:path gradientshapeok="t" o:connecttype="rect"/>
              </v:shapetype>
              <v:shape id="Text Box 1" o:spid="_x0000_s1026" type="#_x0000_t202" style="position:absolute;margin-left:-9.95pt;margin-top:440.7pt;width:155pt;height:7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" fillcolor="#265a9a [3214]" stroked="f" strokeweight=".5pt">
                <v:textbox inset="3mm,2mm,2mm,2mm">
                  <w:txbxContent>
                    <w:p w14:paraId="1CA91A49" w14:textId="7D434B1C" w:rsidR="00D67C52" w:rsidRPr="00265EF8" w:rsidRDefault="00D67C52" w:rsidP="00D67C52">
                      <w:pPr>
                        <w:spacing w:before="0" w:after="20"/>
                        <w:ind w:left="57"/>
                        <w:rPr>
                          <w:rFonts w:ascii="Open Sans" w:hAnsi="Open Sans" w:cs="Open Sans"/>
                          <w:color w:val="FFFFFF" w:themeColor="background1"/>
                        </w:rPr>
                      </w:pPr>
                      <w:r w:rsidRPr="00265EF8">
                        <w:rPr>
                          <w:rFonts w:ascii="Open Sans" w:hAnsi="Open Sans" w:cs="Open Sans"/>
                          <w:color w:val="FFFFFF" w:themeColor="background1"/>
                          <w:spacing w:val="-2"/>
                        </w:rPr>
                        <w:t xml:space="preserve">Submission to the Senate </w:t>
                      </w:r>
                      <w:r w:rsidR="00121301" w:rsidRPr="00121301">
                        <w:rPr>
                          <w:rFonts w:ascii="Open Sans" w:hAnsi="Open Sans" w:cs="Open Sans"/>
                          <w:color w:val="FFFFFF" w:themeColor="background1"/>
                          <w:spacing w:val="-2"/>
                        </w:rPr>
                        <w:t>Select Committee on Productivity in</w:t>
                      </w:r>
                      <w:r w:rsidR="003B11CD">
                        <w:rPr>
                          <w:rFonts w:ascii="Open Sans" w:hAnsi="Open Sans" w:cs="Open Sans"/>
                          <w:color w:val="FFFFFF" w:themeColor="background1"/>
                          <w:spacing w:val="-2"/>
                        </w:rPr>
                        <w:t> </w:t>
                      </w:r>
                      <w:r w:rsidR="00121301" w:rsidRPr="00121301">
                        <w:rPr>
                          <w:rFonts w:ascii="Open Sans" w:hAnsi="Open Sans" w:cs="Open Sans"/>
                          <w:color w:val="FFFFFF" w:themeColor="background1"/>
                          <w:spacing w:val="-2"/>
                        </w:rPr>
                        <w:t>Australia</w:t>
                      </w:r>
                      <w:r w:rsidR="00121301">
                        <w:rPr>
                          <w:rFonts w:ascii="Open Sans" w:hAnsi="Open Sans" w:cs="Open Sans"/>
                          <w:color w:val="FFFFFF" w:themeColor="background1"/>
                          <w:spacing w:val="-2"/>
                        </w:rPr>
                        <w:t xml:space="preserve"> </w:t>
                      </w:r>
                    </w:p>
                  </w:txbxContent>
                </v:textbox>
              </v:shape>
            </w:pict>
          </mc:Fallback>
        </mc:AlternateContent>
      </w:r>
      <w:r>
        <w:rPr>
          <w:rFonts w:ascii="Open Sans Semibold" w:hAnsi="Open Sans Semibold" w:cs="Open Sans Semibold"/>
          <w:szCs w:val="52"/>
        </w:rPr>
        <w:t xml:space="preserve">PC </w:t>
      </w:r>
      <w:r w:rsidRPr="00ED240B">
        <w:rPr>
          <w:rFonts w:ascii="Open Sans Semibold" w:hAnsi="Open Sans Semibold" w:cs="Open Sans Semibold"/>
          <w:szCs w:val="52"/>
        </w:rPr>
        <w:t>submission</w:t>
      </w:r>
    </w:p>
    <w:p w14:paraId="466F9825" w14:textId="77777777" w:rsidR="00D67C52" w:rsidRPr="00470AD0" w:rsidRDefault="00D67C52" w:rsidP="00D67C52">
      <w:pPr>
        <w:sectPr w:rsidR="00D67C52" w:rsidRPr="00470AD0" w:rsidSect="00D67C52">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7F6FD"/>
        <w:tblLook w:val="04A0" w:firstRow="1" w:lastRow="0" w:firstColumn="1" w:lastColumn="0" w:noHBand="0" w:noVBand="1"/>
      </w:tblPr>
      <w:tblGrid>
        <w:gridCol w:w="9638"/>
      </w:tblGrid>
      <w:tr w:rsidR="00D67C52" w:rsidRPr="00096FC5" w14:paraId="324EE4F9" w14:textId="77777777" w:rsidTr="00055931">
        <w:trPr>
          <w:trHeight w:hRule="exact" w:val="12643"/>
        </w:trPr>
        <w:tc>
          <w:tcPr>
            <w:tcW w:w="9638" w:type="dxa"/>
            <w:shd w:val="clear" w:color="auto" w:fill="E7F6FD"/>
            <w:tcMar>
              <w:top w:w="113" w:type="dxa"/>
            </w:tcMar>
            <w:vAlign w:val="top"/>
          </w:tcPr>
          <w:p w14:paraId="422C97D0" w14:textId="77777777" w:rsidR="00D67C52" w:rsidRPr="002C6F44" w:rsidRDefault="00D67C52" w:rsidP="00055931">
            <w:pPr>
              <w:pStyle w:val="Copyrightpage-Heading"/>
              <w:spacing w:before="240" w:after="0"/>
              <w:ind w:right="-284"/>
              <w:rPr>
                <w:color w:val="auto"/>
              </w:rPr>
            </w:pPr>
            <w:r w:rsidRPr="000353F9">
              <w:rPr>
                <w:rStyle w:val="White"/>
                <w:color w:val="000000" w:themeColor="text1"/>
              </w:rPr>
              <w:lastRenderedPageBreak/>
              <w:br w:type="page"/>
            </w:r>
            <w:r w:rsidRPr="002C6F44">
              <w:rPr>
                <w:b/>
                <w:color w:val="auto"/>
              </w:rPr>
              <w:t>Acknowledgment of Country</w:t>
            </w:r>
          </w:p>
          <w:p w14:paraId="43C8CE45" w14:textId="77777777" w:rsidR="00D67C52" w:rsidRPr="000049DB" w:rsidRDefault="00D67C52" w:rsidP="00055931">
            <w:pPr>
              <w:pStyle w:val="Copyrightpage-BodyBold"/>
              <w:ind w:right="-284"/>
              <w:rPr>
                <w:rFonts w:ascii="Arial" w:hAnsi="Arial" w:cs="Arial"/>
                <w:b w:val="0"/>
                <w:bCs/>
                <w:color w:val="auto"/>
                <w:spacing w:val="2"/>
              </w:rPr>
            </w:pPr>
            <w:r w:rsidRPr="000049DB">
              <w:rPr>
                <w:rFonts w:ascii="Arial" w:hAnsi="Arial" w:cs="Arial"/>
                <w:b w:val="0"/>
                <w:bCs/>
                <w:noProof/>
                <w:color w:val="auto"/>
              </w:rPr>
              <w:drawing>
                <wp:anchor distT="0" distB="0" distL="114300" distR="114300" simplePos="0" relativeHeight="251658240" behindDoc="0" locked="0" layoutInCell="1" allowOverlap="1" wp14:anchorId="6869F517" wp14:editId="2DA5EF02">
                  <wp:simplePos x="0" y="0"/>
                  <wp:positionH relativeFrom="column">
                    <wp:posOffset>0</wp:posOffset>
                  </wp:positionH>
                  <wp:positionV relativeFrom="paragraph">
                    <wp:posOffset>32385</wp:posOffset>
                  </wp:positionV>
                  <wp:extent cx="629920" cy="640715"/>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920" cy="640715"/>
                          </a:xfrm>
                          <a:prstGeom prst="rect">
                            <a:avLst/>
                          </a:prstGeom>
                        </pic:spPr>
                      </pic:pic>
                    </a:graphicData>
                  </a:graphic>
                  <wp14:sizeRelH relativeFrom="margin">
                    <wp14:pctWidth>0</wp14:pctWidth>
                  </wp14:sizeRelH>
                  <wp14:sizeRelV relativeFrom="margin">
                    <wp14:pctHeight>0</wp14:pctHeight>
                  </wp14:sizeRelV>
                </wp:anchor>
              </w:drawing>
            </w: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099E0064" w14:textId="77777777" w:rsidR="00D67C52" w:rsidRPr="00157240" w:rsidRDefault="00D67C52" w:rsidP="00055931">
            <w:pPr>
              <w:pStyle w:val="Copyrightpage-Keylinenotext"/>
              <w:ind w:right="-284"/>
              <w:rPr>
                <w:color w:val="auto"/>
              </w:rPr>
            </w:pPr>
          </w:p>
          <w:p w14:paraId="0D81AF35" w14:textId="77777777" w:rsidR="00D67C52" w:rsidRPr="008564E1" w:rsidRDefault="00D67C52" w:rsidP="00055931">
            <w:pPr>
              <w:pStyle w:val="Copyrightpage-Heading"/>
              <w:ind w:right="-284"/>
              <w:rPr>
                <w:b/>
                <w:color w:val="auto"/>
              </w:rPr>
            </w:pPr>
            <w:r w:rsidRPr="008564E1">
              <w:rPr>
                <w:b/>
                <w:color w:val="auto"/>
              </w:rPr>
              <w:t>About us</w:t>
            </w:r>
          </w:p>
          <w:p w14:paraId="432B448B" w14:textId="77777777" w:rsidR="00D67C52" w:rsidRPr="00910D3A" w:rsidRDefault="00D67C52" w:rsidP="00055931">
            <w:pPr>
              <w:pStyle w:val="Copyrightpage-BodyBold"/>
              <w:rPr>
                <w:b w:val="0"/>
                <w:bCs/>
                <w:color w:val="000000" w:themeColor="text1"/>
              </w:rPr>
            </w:pPr>
            <w:r w:rsidRPr="00910D3A">
              <w:rPr>
                <w:b w:val="0"/>
                <w:bCs/>
                <w:color w:val="000000" w:themeColor="text1"/>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6DF15C7D" w14:textId="77777777" w:rsidR="00D67C52" w:rsidRPr="00910D3A" w:rsidRDefault="00D67C52" w:rsidP="00055931">
            <w:pPr>
              <w:pStyle w:val="Copyrightpage-BodyBold"/>
              <w:rPr>
                <w:b w:val="0"/>
                <w:bCs/>
                <w:color w:val="000000" w:themeColor="text1"/>
              </w:rPr>
            </w:pPr>
            <w:r w:rsidRPr="00910D3A">
              <w:rPr>
                <w:b w:val="0"/>
                <w:bCs/>
                <w:color w:val="000000" w:themeColor="text1"/>
              </w:rPr>
              <w:t xml:space="preserve">The PC’s independence is underpinned by an Act of Parliament. Its processes and outputs are open to public scrutiny and are driven by concern for the wellbeing of the </w:t>
            </w:r>
            <w:proofErr w:type="gramStart"/>
            <w:r w:rsidRPr="00910D3A">
              <w:rPr>
                <w:b w:val="0"/>
                <w:bCs/>
                <w:color w:val="000000" w:themeColor="text1"/>
              </w:rPr>
              <w:t>community as a whole</w:t>
            </w:r>
            <w:proofErr w:type="gramEnd"/>
            <w:r w:rsidRPr="00910D3A">
              <w:rPr>
                <w:b w:val="0"/>
                <w:bCs/>
                <w:color w:val="000000" w:themeColor="text1"/>
              </w:rPr>
              <w:t>.</w:t>
            </w:r>
          </w:p>
          <w:p w14:paraId="5F761900" w14:textId="77777777" w:rsidR="00D67C52" w:rsidRPr="00957E81" w:rsidRDefault="00D67C52" w:rsidP="00055931">
            <w:pPr>
              <w:pStyle w:val="Copyrightpage-BodyBold"/>
              <w:rPr>
                <w:b w:val="0"/>
                <w:bCs/>
                <w:color w:val="auto"/>
                <w:spacing w:val="-4"/>
              </w:rPr>
            </w:pPr>
            <w:r w:rsidRPr="00910D3A">
              <w:rPr>
                <w:b w:val="0"/>
                <w:bCs/>
                <w:color w:val="000000" w:themeColor="text1"/>
                <w:spacing w:val="-4"/>
              </w:rPr>
              <w:t xml:space="preserve">For more information, visit the PC’s </w:t>
            </w:r>
            <w:r w:rsidRPr="00957E81">
              <w:rPr>
                <w:b w:val="0"/>
                <w:bCs/>
                <w:color w:val="auto"/>
                <w:spacing w:val="-4"/>
              </w:rPr>
              <w:t>website: www.pc.gov.au</w:t>
            </w:r>
          </w:p>
          <w:p w14:paraId="50A9FCED" w14:textId="77777777" w:rsidR="00D67C52" w:rsidRPr="000353F9" w:rsidRDefault="00D67C52" w:rsidP="00055931">
            <w:pPr>
              <w:pStyle w:val="Copyrightpage-Keylinenotext"/>
              <w:ind w:right="-284"/>
              <w:rPr>
                <w:b/>
                <w:color w:val="000000" w:themeColor="text1"/>
              </w:rPr>
            </w:pPr>
          </w:p>
          <w:p w14:paraId="2458E777" w14:textId="77777777" w:rsidR="00D67C52" w:rsidRPr="00910D3A" w:rsidRDefault="00D67C52" w:rsidP="00055931">
            <w:pPr>
              <w:pStyle w:val="Copyrightpage-BodyBold"/>
              <w:rPr>
                <w:b w:val="0"/>
                <w:bCs/>
                <w:color w:val="000000" w:themeColor="text1"/>
              </w:rPr>
            </w:pPr>
            <w:r w:rsidRPr="00910D3A">
              <w:rPr>
                <w:b w:val="0"/>
                <w:bCs/>
                <w:color w:val="000000" w:themeColor="text1"/>
              </w:rPr>
              <w:t>© Commonwealth of Australia 202</w:t>
            </w:r>
            <w:r>
              <w:rPr>
                <w:b w:val="0"/>
                <w:bCs/>
                <w:color w:val="000000" w:themeColor="text1"/>
              </w:rPr>
              <w:t>6</w:t>
            </w:r>
          </w:p>
          <w:p w14:paraId="01B49222" w14:textId="77777777" w:rsidR="00D67C52" w:rsidRPr="00910D3A" w:rsidRDefault="00D67C52" w:rsidP="00055931">
            <w:pPr>
              <w:pStyle w:val="Copyrightpage-Heading2"/>
              <w:spacing w:before="0"/>
              <w:ind w:right="-284"/>
              <w:rPr>
                <w:b w:val="0"/>
                <w:bCs/>
                <w:color w:val="000000" w:themeColor="text1"/>
              </w:rPr>
            </w:pPr>
            <w:r w:rsidRPr="00910D3A">
              <w:rPr>
                <w:b w:val="0"/>
                <w:bCs/>
                <w:noProof/>
                <w:color w:val="000000" w:themeColor="text1"/>
              </w:rPr>
              <w:drawing>
                <wp:inline distT="0" distB="0" distL="0" distR="0" wp14:anchorId="60E928D1" wp14:editId="6BCFD302">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0756C3EC" w14:textId="77777777" w:rsidR="00D67C52" w:rsidRPr="00910D3A" w:rsidRDefault="00D67C52" w:rsidP="00055931">
            <w:pPr>
              <w:pStyle w:val="Copyrightpage-BodyBold"/>
              <w:ind w:right="-143"/>
              <w:rPr>
                <w:b w:val="0"/>
                <w:bCs/>
                <w:color w:val="000000" w:themeColor="text1"/>
              </w:rPr>
            </w:pPr>
            <w:proofErr w:type="gramStart"/>
            <w:r w:rsidRPr="00910D3A">
              <w:rPr>
                <w:b w:val="0"/>
                <w:bCs/>
                <w:color w:val="000000" w:themeColor="text1"/>
              </w:rPr>
              <w:t>With the exception of</w:t>
            </w:r>
            <w:proofErr w:type="gramEnd"/>
            <w:r w:rsidRPr="00910D3A">
              <w:rPr>
                <w:b w:val="0"/>
                <w:bCs/>
                <w:color w:val="000000" w:themeColor="text1"/>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910D3A">
              <w:rPr>
                <w:b w:val="0"/>
                <w:bCs/>
                <w:color w:val="000000" w:themeColor="text1"/>
              </w:rPr>
              <w:t>as long as</w:t>
            </w:r>
            <w:proofErr w:type="gramEnd"/>
            <w:r w:rsidRPr="00910D3A">
              <w:rPr>
                <w:b w:val="0"/>
                <w:bCs/>
                <w:color w:val="000000" w:themeColor="text1"/>
              </w:rPr>
              <w:t xml:space="preserve"> you attribute the work to the PC (but not in any way that suggests the PC endorses you or your use) and abide by the other licence terms. The licence can be viewed at: https://creativecommons.org/licenses/by/4.0.</w:t>
            </w:r>
          </w:p>
          <w:p w14:paraId="26A6F69A" w14:textId="77777777" w:rsidR="00D67C52" w:rsidRPr="00910D3A" w:rsidRDefault="00D67C52" w:rsidP="00055931">
            <w:pPr>
              <w:pStyle w:val="Copyrightpage-BodyBold"/>
              <w:rPr>
                <w:b w:val="0"/>
                <w:bCs/>
                <w:color w:val="000000" w:themeColor="text1"/>
              </w:rPr>
            </w:pPr>
            <w:r w:rsidRPr="00910D3A">
              <w:rPr>
                <w:b w:val="0"/>
                <w:bCs/>
                <w:color w:val="000000" w:themeColor="text1"/>
              </w:rPr>
              <w:t>The terms under which the Coat of Arms can be used are detailed at: www.pmc.gov.au/government/commonwealth-coat-arms.</w:t>
            </w:r>
          </w:p>
          <w:p w14:paraId="6E4F2F73" w14:textId="77777777" w:rsidR="00D67C52" w:rsidRPr="00752874" w:rsidRDefault="00D67C52" w:rsidP="00055931">
            <w:pPr>
              <w:pStyle w:val="Copyrightpage-BodyBold"/>
              <w:rPr>
                <w:b w:val="0"/>
                <w:bCs/>
                <w:color w:val="000000" w:themeColor="text1"/>
                <w:spacing w:val="-2"/>
              </w:rPr>
            </w:pPr>
            <w:r w:rsidRPr="00752874">
              <w:rPr>
                <w:b w:val="0"/>
                <w:bCs/>
                <w:color w:val="000000" w:themeColor="text1"/>
                <w:spacing w:val="-2"/>
              </w:rPr>
              <w:t>Wherever a third party holds copyright in this material the copyright remains with that party. Their permission may be required to use the material, please contact them directly.</w:t>
            </w:r>
          </w:p>
          <w:p w14:paraId="6EDC4499" w14:textId="066DB519" w:rsidR="00D67C52" w:rsidRPr="00910D3A" w:rsidRDefault="00D67C52" w:rsidP="00055931">
            <w:pPr>
              <w:pStyle w:val="Copyrightpage-BodyBold"/>
              <w:rPr>
                <w:b w:val="0"/>
                <w:bCs/>
                <w:color w:val="000000" w:themeColor="text1"/>
              </w:rPr>
            </w:pPr>
            <w:r w:rsidRPr="00910D3A">
              <w:rPr>
                <w:b w:val="0"/>
                <w:bCs/>
                <w:color w:val="000000" w:themeColor="text1"/>
              </w:rPr>
              <w:t>An appropriate reference for this publication is:</w:t>
            </w:r>
            <w:r w:rsidRPr="00910D3A">
              <w:rPr>
                <w:b w:val="0"/>
                <w:bCs/>
                <w:color w:val="000000" w:themeColor="text1"/>
              </w:rPr>
              <w:br/>
              <w:t>Productivity Commission 202</w:t>
            </w:r>
            <w:r>
              <w:rPr>
                <w:b w:val="0"/>
                <w:bCs/>
                <w:color w:val="000000" w:themeColor="text1"/>
              </w:rPr>
              <w:t>6</w:t>
            </w:r>
            <w:r w:rsidRPr="00910D3A">
              <w:rPr>
                <w:b w:val="0"/>
                <w:bCs/>
                <w:color w:val="000000" w:themeColor="text1"/>
              </w:rPr>
              <w:t xml:space="preserve">, </w:t>
            </w:r>
            <w:r>
              <w:rPr>
                <w:b w:val="0"/>
                <w:bCs/>
                <w:i/>
                <w:iCs/>
                <w:color w:val="auto"/>
              </w:rPr>
              <w:t>Productivity in Australia</w:t>
            </w:r>
            <w:r w:rsidR="00043DCA" w:rsidRPr="00043DCA">
              <w:rPr>
                <w:b w:val="0"/>
                <w:bCs/>
                <w:i/>
                <w:iCs/>
                <w:color w:val="auto"/>
              </w:rPr>
              <w:t>: selected policy options for a more prosperous future</w:t>
            </w:r>
            <w:r w:rsidRPr="00E9074E">
              <w:rPr>
                <w:b w:val="0"/>
                <w:bCs/>
                <w:color w:val="auto"/>
              </w:rPr>
              <w:t xml:space="preserve">, </w:t>
            </w:r>
            <w:r>
              <w:rPr>
                <w:b w:val="0"/>
                <w:bCs/>
                <w:color w:val="auto"/>
              </w:rPr>
              <w:t>PC s</w:t>
            </w:r>
            <w:r w:rsidRPr="00E9074E">
              <w:rPr>
                <w:b w:val="0"/>
                <w:bCs/>
                <w:color w:val="auto"/>
              </w:rPr>
              <w:t>ubmission</w:t>
            </w:r>
            <w:r>
              <w:rPr>
                <w:b w:val="0"/>
                <w:bCs/>
                <w:color w:val="000000" w:themeColor="text1"/>
              </w:rPr>
              <w:t xml:space="preserve">, </w:t>
            </w:r>
            <w:r w:rsidRPr="00910D3A">
              <w:rPr>
                <w:b w:val="0"/>
                <w:bCs/>
                <w:color w:val="000000" w:themeColor="text1"/>
              </w:rPr>
              <w:t>Canberra</w:t>
            </w:r>
          </w:p>
          <w:p w14:paraId="1340A6E2" w14:textId="77777777" w:rsidR="00D67C52" w:rsidRPr="00963620" w:rsidRDefault="00D67C52" w:rsidP="00055931">
            <w:pPr>
              <w:pStyle w:val="Copyrightpage-BodyBold"/>
              <w:ind w:right="-284"/>
              <w:rPr>
                <w:color w:val="000000" w:themeColor="text1"/>
                <w:lang w:val="fr-CA"/>
              </w:rPr>
            </w:pPr>
            <w:r w:rsidRPr="00963620">
              <w:rPr>
                <w:b w:val="0"/>
                <w:bCs/>
                <w:color w:val="000000" w:themeColor="text1"/>
                <w:lang w:val="fr-CA"/>
              </w:rPr>
              <w:t xml:space="preserve">Publication </w:t>
            </w:r>
            <w:proofErr w:type="spellStart"/>
            <w:r w:rsidRPr="00963620">
              <w:rPr>
                <w:b w:val="0"/>
                <w:bCs/>
                <w:color w:val="000000" w:themeColor="text1"/>
                <w:lang w:val="fr-CA"/>
              </w:rPr>
              <w:t>enquiries</w:t>
            </w:r>
            <w:proofErr w:type="spellEnd"/>
            <w:r w:rsidRPr="00963620">
              <w:rPr>
                <w:b w:val="0"/>
                <w:bCs/>
                <w:color w:val="000000" w:themeColor="text1"/>
                <w:lang w:val="fr-CA"/>
              </w:rPr>
              <w:t xml:space="preserve">: </w:t>
            </w:r>
            <w:r w:rsidRPr="00963620">
              <w:rPr>
                <w:b w:val="0"/>
                <w:bCs/>
                <w:color w:val="000000" w:themeColor="text1"/>
                <w:lang w:val="fr-CA"/>
              </w:rPr>
              <w:br/>
              <w:t xml:space="preserve">Phone 03 9653 2244 | </w:t>
            </w:r>
            <w:proofErr w:type="gramStart"/>
            <w:r w:rsidRPr="00963620">
              <w:rPr>
                <w:b w:val="0"/>
                <w:bCs/>
                <w:color w:val="000000" w:themeColor="text1"/>
                <w:lang w:val="fr-CA"/>
              </w:rPr>
              <w:t>Email</w:t>
            </w:r>
            <w:proofErr w:type="gramEnd"/>
            <w:r w:rsidRPr="00963620">
              <w:rPr>
                <w:b w:val="0"/>
                <w:bCs/>
                <w:color w:val="000000" w:themeColor="text1"/>
                <w:lang w:val="fr-CA"/>
              </w:rPr>
              <w:t xml:space="preserve"> publications@pc.gov.au</w:t>
            </w:r>
          </w:p>
        </w:tc>
      </w:tr>
    </w:tbl>
    <w:p w14:paraId="17B2F921" w14:textId="77777777" w:rsidR="00D67C52" w:rsidRPr="00096FC5" w:rsidRDefault="00D67C52" w:rsidP="00D67C52">
      <w:pPr>
        <w:spacing w:before="0" w:after="160" w:line="259" w:lineRule="auto"/>
        <w:rPr>
          <w:b/>
          <w:color w:val="FFFFFF" w:themeColor="background1"/>
          <w:lang w:val="fr-CA"/>
        </w:rPr>
        <w:sectPr w:rsidR="00D67C52" w:rsidRPr="00096FC5" w:rsidSect="00D67C52">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start="2"/>
          <w:cols w:space="708"/>
          <w:docGrid w:linePitch="360"/>
        </w:sectPr>
      </w:pPr>
    </w:p>
    <w:p w14:paraId="0D9C21FF" w14:textId="18B6FFF4" w:rsidR="00E52E9F" w:rsidRDefault="00134CDE" w:rsidP="00E52E9F">
      <w:pPr>
        <w:pStyle w:val="Heading2-nonumber"/>
      </w:pPr>
      <w:r>
        <w:lastRenderedPageBreak/>
        <w:t>Introduction</w:t>
      </w:r>
      <w:bookmarkEnd w:id="0"/>
    </w:p>
    <w:p w14:paraId="3B35BE21" w14:textId="69166B33" w:rsidR="00902F71" w:rsidRDefault="00A9401F" w:rsidP="00A9401F">
      <w:pPr>
        <w:pStyle w:val="BodyText"/>
      </w:pPr>
      <w:r w:rsidRPr="00A9401F">
        <w:t xml:space="preserve">The Productivity Commission </w:t>
      </w:r>
      <w:r w:rsidR="000A2360">
        <w:t>thanks</w:t>
      </w:r>
      <w:r w:rsidRPr="00A9401F">
        <w:t xml:space="preserve"> the </w:t>
      </w:r>
      <w:r w:rsidR="00902F71" w:rsidRPr="00902F71">
        <w:t>Select Committee on Productivity in Australia</w:t>
      </w:r>
      <w:r w:rsidR="000A2360" w:rsidRPr="00A9401F">
        <w:t xml:space="preserve"> </w:t>
      </w:r>
      <w:r w:rsidR="002B5C59">
        <w:t>for the invitation to make a submission on the current state of productivity in Australia.</w:t>
      </w:r>
      <w:r w:rsidRPr="00A9401F">
        <w:t xml:space="preserve"> </w:t>
      </w:r>
    </w:p>
    <w:p w14:paraId="63FF6C3C" w14:textId="42169CCC" w:rsidR="00066160" w:rsidRDefault="00CF53F7" w:rsidP="00F77419">
      <w:pPr>
        <w:pStyle w:val="BodyText"/>
      </w:pPr>
      <w:r w:rsidRPr="00296210">
        <w:t xml:space="preserve">Productivity growth is the key to long-term prosperity. </w:t>
      </w:r>
      <w:r>
        <w:t>Broadly measured as</w:t>
      </w:r>
      <w:r w:rsidR="009E743B">
        <w:t xml:space="preserve"> changes in</w:t>
      </w:r>
      <w:r>
        <w:t xml:space="preserve"> the output of an economy divided by the economy’s inputs (such as land, labour and capital), it </w:t>
      </w:r>
      <w:r w:rsidR="0030574C">
        <w:t>happens when</w:t>
      </w:r>
      <w:r>
        <w:t xml:space="preserve"> </w:t>
      </w:r>
      <w:r w:rsidR="00066160" w:rsidRPr="00066160">
        <w:t>we improve our skills, technology and ways of working so that for each hour worked we produce more and higher-quality goods and services</w:t>
      </w:r>
      <w:r w:rsidR="00F77419">
        <w:t>.</w:t>
      </w:r>
    </w:p>
    <w:p w14:paraId="5F870FAE" w14:textId="3B4B5670" w:rsidR="0034292A" w:rsidRDefault="003E14E9" w:rsidP="0054260B">
      <w:pPr>
        <w:pStyle w:val="BodyText"/>
      </w:pPr>
      <w:r>
        <w:t>S</w:t>
      </w:r>
      <w:r w:rsidR="00CF53F7">
        <w:t xml:space="preserve">ince Federation in 1901, </w:t>
      </w:r>
      <w:r>
        <w:t xml:space="preserve">improving labour productivity has </w:t>
      </w:r>
      <w:r w:rsidR="004F379A">
        <w:t xml:space="preserve">seen </w:t>
      </w:r>
      <w:r w:rsidR="00CF53F7">
        <w:t xml:space="preserve">Australians work an average of </w:t>
      </w:r>
      <w:r w:rsidR="00CF53F7" w:rsidRPr="00296210">
        <w:t>14 fewer hours per week</w:t>
      </w:r>
      <w:r>
        <w:t xml:space="preserve"> while </w:t>
      </w:r>
      <w:r w:rsidR="004C3D89">
        <w:t>incomes have increased by more than six</w:t>
      </w:r>
      <w:r>
        <w:noBreakHyphen/>
      </w:r>
      <w:r w:rsidR="004C3D89">
        <w:t>fold</w:t>
      </w:r>
      <w:r w:rsidR="00CF53F7">
        <w:t xml:space="preserve"> (in real terms)</w:t>
      </w:r>
      <w:r w:rsidR="003F6838">
        <w:t xml:space="preserve"> </w:t>
      </w:r>
      <w:r w:rsidR="003F6838">
        <w:fldChar w:fldCharType="begin"/>
      </w:r>
      <w:r w:rsidR="002A6739">
        <w:instrText xml:space="preserve"> ADDIN ZOTERO_ITEM CSL_CITATION {"citationID":"Sow6x4y7","properties":{"unsorted":false,"formattedCitation":"(PC\\uc0\\u160{}2023c, p.\\uc0\\u160{}1)","plainCitation":"(PC 2023c, p. 1)","noteIndex":0},"citationItems":[{"id":12,"uris":["http://zotero.org/groups/164861/items/7U2W9XSK"],"itemData":{"id":12,"type":"report","genre":"Inquiry report no. 100","number":"vol. 1","publisher-place":"Canberra","title":"5-year Productivity Inquiry: Advancing Prosperity","author":[{"family":"Productivity Commission","given":""}],"translator":[{"family":"PC","given":""}],"issued":{"date-parts":[["2023"]]}},"locator":"1","label":"page"}],"schema":"https://github.com/citation-style-language/schema/raw/master/csl-citation.json"} </w:instrText>
      </w:r>
      <w:r w:rsidR="003F6838">
        <w:fldChar w:fldCharType="separate"/>
      </w:r>
      <w:r w:rsidR="004C1741" w:rsidRPr="004C1741">
        <w:rPr>
          <w:rFonts w:ascii="Arial" w:hAnsi="Arial" w:cs="Arial"/>
        </w:rPr>
        <w:t>(PC 2023c, p. 1)</w:t>
      </w:r>
      <w:r w:rsidR="003F6838">
        <w:fldChar w:fldCharType="end"/>
      </w:r>
      <w:r w:rsidR="00CF53F7">
        <w:t xml:space="preserve">. However, </w:t>
      </w:r>
      <w:r w:rsidR="004C3D89">
        <w:t xml:space="preserve">recent years have seen </w:t>
      </w:r>
      <w:r w:rsidR="0054260B">
        <w:t xml:space="preserve">productivity </w:t>
      </w:r>
      <w:r w:rsidR="00530D68">
        <w:t xml:space="preserve">growth </w:t>
      </w:r>
      <w:r w:rsidR="0054260B">
        <w:t xml:space="preserve">in Australia </w:t>
      </w:r>
      <w:r w:rsidR="004C3D89">
        <w:t>slow</w:t>
      </w:r>
      <w:r w:rsidR="0054260B">
        <w:t xml:space="preserve"> – a phenomenon reflected widely internationally. W</w:t>
      </w:r>
      <w:r w:rsidR="00CF53F7">
        <w:t>ithout remedy</w:t>
      </w:r>
      <w:r w:rsidR="0054260B">
        <w:t>, this slowdown</w:t>
      </w:r>
      <w:r w:rsidR="00CF53F7">
        <w:t xml:space="preserve"> threatens </w:t>
      </w:r>
      <w:r w:rsidR="00DB3C2F">
        <w:t xml:space="preserve">ongoing </w:t>
      </w:r>
      <w:r w:rsidR="00BD1B90">
        <w:t>improvements in living standards.</w:t>
      </w:r>
    </w:p>
    <w:p w14:paraId="6980B8B7" w14:textId="543FD12A" w:rsidR="00E84D8C" w:rsidRDefault="00892458" w:rsidP="0054260B">
      <w:pPr>
        <w:pStyle w:val="BodyText"/>
      </w:pPr>
      <w:r>
        <w:t>T</w:t>
      </w:r>
      <w:r w:rsidR="001A20DE">
        <w:t xml:space="preserve">he </w:t>
      </w:r>
      <w:r w:rsidR="00EB26E6">
        <w:t xml:space="preserve">PC </w:t>
      </w:r>
      <w:r>
        <w:t>regularly</w:t>
      </w:r>
      <w:r w:rsidR="001A20DE">
        <w:t xml:space="preserve"> </w:t>
      </w:r>
      <w:r w:rsidR="00BF2657">
        <w:t>advise</w:t>
      </w:r>
      <w:r>
        <w:t>s</w:t>
      </w:r>
      <w:r w:rsidR="00BF2657">
        <w:t xml:space="preserve"> the government on long-term, productivity-enhancing policy recommendations and reforms</w:t>
      </w:r>
      <w:r>
        <w:t xml:space="preserve"> and has </w:t>
      </w:r>
      <w:r w:rsidR="00811934">
        <w:t>completed</w:t>
      </w:r>
      <w:r>
        <w:t xml:space="preserve"> an extensive body of inquiry and research reports</w:t>
      </w:r>
      <w:r w:rsidR="00B23240">
        <w:t xml:space="preserve"> to that end.</w:t>
      </w:r>
    </w:p>
    <w:p w14:paraId="7B85BACC" w14:textId="06533BE7" w:rsidR="0036127A" w:rsidRDefault="00257EA5" w:rsidP="00A9401F">
      <w:pPr>
        <w:pStyle w:val="BodyText"/>
      </w:pPr>
      <w:r>
        <w:t>Most recently</w:t>
      </w:r>
      <w:r w:rsidR="003823B3">
        <w:t xml:space="preserve">, the </w:t>
      </w:r>
      <w:r w:rsidR="001E6FA0">
        <w:t>PC</w:t>
      </w:r>
      <w:r w:rsidR="003823B3">
        <w:t xml:space="preserve"> completed </w:t>
      </w:r>
      <w:r w:rsidR="007B103D">
        <w:t>inquiries</w:t>
      </w:r>
      <w:r w:rsidR="00811934">
        <w:t xml:space="preserve"> </w:t>
      </w:r>
      <w:r w:rsidR="00803EB6">
        <w:t xml:space="preserve">into </w:t>
      </w:r>
      <w:r w:rsidR="00293146">
        <w:t>asp</w:t>
      </w:r>
      <w:r w:rsidR="00615D79">
        <w:t xml:space="preserve">ects of </w:t>
      </w:r>
      <w:r w:rsidR="00803EB6">
        <w:t>each of the Australian Government’s five pillar</w:t>
      </w:r>
      <w:r w:rsidR="00CD3461">
        <w:t xml:space="preserve">s </w:t>
      </w:r>
      <w:r w:rsidR="00CE2A66">
        <w:t>of</w:t>
      </w:r>
      <w:r w:rsidR="00CD3461">
        <w:t xml:space="preserve"> produc</w:t>
      </w:r>
      <w:r w:rsidR="00CE2A66">
        <w:t xml:space="preserve">tivity. </w:t>
      </w:r>
      <w:r w:rsidR="00471F08">
        <w:t xml:space="preserve">The </w:t>
      </w:r>
      <w:r w:rsidR="00184FD9">
        <w:t xml:space="preserve">resulting </w:t>
      </w:r>
      <w:r w:rsidR="00471F08">
        <w:t>report</w:t>
      </w:r>
      <w:r w:rsidR="00184FD9">
        <w:t>s</w:t>
      </w:r>
      <w:r w:rsidR="00811934">
        <w:t xml:space="preserve"> detailed</w:t>
      </w:r>
      <w:r w:rsidR="003823B3">
        <w:t xml:space="preserve"> 47 productivity-enhancing </w:t>
      </w:r>
      <w:r w:rsidR="0083000E">
        <w:t>policy recommendations</w:t>
      </w:r>
      <w:r w:rsidR="00371BFC">
        <w:t xml:space="preserve"> </w:t>
      </w:r>
      <w:r w:rsidR="00450262">
        <w:t xml:space="preserve">and were </w:t>
      </w:r>
      <w:r w:rsidR="00A54111">
        <w:t>released</w:t>
      </w:r>
      <w:r w:rsidR="00371BFC">
        <w:t xml:space="preserve"> in December 2025</w:t>
      </w:r>
      <w:r w:rsidR="0036127A">
        <w:t>. These reports included:</w:t>
      </w:r>
    </w:p>
    <w:p w14:paraId="02FFAFEE" w14:textId="537C7D61" w:rsidR="001138AC" w:rsidRPr="00191E9B" w:rsidRDefault="00F35B56" w:rsidP="00F35B56">
      <w:pPr>
        <w:pStyle w:val="ListBullet"/>
        <w:numPr>
          <w:ilvl w:val="0"/>
          <w:numId w:val="17"/>
        </w:numPr>
      </w:pPr>
      <w:r w:rsidRPr="00191E9B">
        <w:t xml:space="preserve">Growth mindset: how to boost Australia’s productivity </w:t>
      </w:r>
      <w:r w:rsidRPr="00191E9B">
        <w:fldChar w:fldCharType="begin"/>
      </w:r>
      <w:r w:rsidR="002A6739" w:rsidRPr="00191E9B">
        <w:instrText xml:space="preserve"> ADDIN ZOTERO_ITEM CSL_CITATION {"citationID":"fbuTZPt0","properties":{"unsorted":false,"formattedCitation":"(2025e)","plainCitation":"(2025e)","noteIndex":0},"citationItems":[{"id":2,"uris":["http://zotero.org/groups/164861/items/5HVPPF4N"],"itemData":{"id":2,"type":"report","publisher-place":"Canberra","title":"Growth mindset: how to boost Australia’s productivity,  5 productivity inquiries","author":[{"family":"Productivity Commission","given":""}],"translator":[{"family":"PC","given":""}],"issued":{"date-parts":[["2025"]]}},"suppress-author":true}],"schema":"https://github.com/citation-style-language/schema/raw/master/csl-citation.json"} </w:instrText>
      </w:r>
      <w:r w:rsidRPr="00191E9B">
        <w:fldChar w:fldCharType="separate"/>
      </w:r>
      <w:r w:rsidRPr="00191E9B">
        <w:rPr>
          <w:rFonts w:ascii="Arial" w:hAnsi="Arial" w:cs="Arial"/>
        </w:rPr>
        <w:t>(2025e)</w:t>
      </w:r>
      <w:r w:rsidRPr="00191E9B">
        <w:fldChar w:fldCharType="end"/>
      </w:r>
    </w:p>
    <w:p w14:paraId="74CA045D" w14:textId="1DC753AC" w:rsidR="0036127A" w:rsidRPr="00191E9B" w:rsidRDefault="0036127A" w:rsidP="008A7FEE">
      <w:pPr>
        <w:pStyle w:val="ListBullet"/>
        <w:numPr>
          <w:ilvl w:val="0"/>
          <w:numId w:val="17"/>
        </w:numPr>
      </w:pPr>
      <w:hyperlink r:id="rId28" w:history="1">
        <w:r w:rsidRPr="00191E9B">
          <w:t>Creating a more dynamic and resilient economy</w:t>
        </w:r>
      </w:hyperlink>
      <w:r w:rsidR="00BA5B06" w:rsidRPr="00191E9B">
        <w:t xml:space="preserve"> </w:t>
      </w:r>
      <w:r w:rsidR="00BA5B06" w:rsidRPr="00191E9B">
        <w:rPr>
          <w:rFonts w:cstheme="minorHAnsi"/>
        </w:rPr>
        <w:fldChar w:fldCharType="begin"/>
      </w:r>
      <w:r w:rsidR="002A6739" w:rsidRPr="00191E9B">
        <w:rPr>
          <w:rFonts w:cstheme="minorHAnsi"/>
        </w:rPr>
        <w:instrText xml:space="preserve"> ADDIN ZOTERO_ITEM CSL_CITATION {"citationID":"rw2xqVU6","properties":{"unsorted":false,"formattedCitation":"(2025b)","plainCitation":"(2025b)","noteIndex":0},"citationItems":[{"id":6,"uris":["http://zotero.org/groups/164861/items/XPUYJ8DB"],"itemData":{"id":6,"type":"report","genre":"Interim report","title":"Creating a more dynamic and resilient economy","author":[{"family":"Productivity Commission","given":""}],"translator":[{"family":"PC","given":""}],"issued":{"date-parts":[["2025",7]]}},"suppress-author":true}],"schema":"https://github.com/citation-style-language/schema/raw/master/csl-citation.json"} </w:instrText>
      </w:r>
      <w:r w:rsidR="00BA5B06" w:rsidRPr="00191E9B">
        <w:rPr>
          <w:rFonts w:cstheme="minorHAnsi"/>
        </w:rPr>
        <w:fldChar w:fldCharType="separate"/>
      </w:r>
      <w:r w:rsidR="00601475" w:rsidRPr="00191E9B">
        <w:rPr>
          <w:rFonts w:ascii="Arial" w:hAnsi="Arial" w:cs="Arial"/>
        </w:rPr>
        <w:t>(2025b)</w:t>
      </w:r>
      <w:r w:rsidR="00BA5B06" w:rsidRPr="00191E9B">
        <w:rPr>
          <w:rFonts w:cstheme="minorHAnsi"/>
        </w:rPr>
        <w:fldChar w:fldCharType="end"/>
      </w:r>
    </w:p>
    <w:p w14:paraId="05165C20" w14:textId="1FB25BE3" w:rsidR="0036127A" w:rsidRPr="00191E9B" w:rsidRDefault="0036127A" w:rsidP="008A7FEE">
      <w:pPr>
        <w:pStyle w:val="ListBullet"/>
        <w:numPr>
          <w:ilvl w:val="0"/>
          <w:numId w:val="17"/>
        </w:numPr>
      </w:pPr>
      <w:hyperlink r:id="rId29" w:history="1">
        <w:r w:rsidRPr="00191E9B">
          <w:t>Building a skilled and adaptable workforce</w:t>
        </w:r>
      </w:hyperlink>
      <w:r w:rsidR="00601475" w:rsidRPr="00191E9B">
        <w:t xml:space="preserve"> </w:t>
      </w:r>
      <w:r w:rsidR="00601475" w:rsidRPr="00191E9B">
        <w:fldChar w:fldCharType="begin"/>
      </w:r>
      <w:r w:rsidR="002A6739" w:rsidRPr="00191E9B">
        <w:instrText xml:space="preserve"> ADDIN ZOTERO_ITEM CSL_CITATION {"citationID":"5wBEbpOg","properties":{"unsorted":false,"formattedCitation":"(2025a)","plainCitation":"(2025a)","noteIndex":0},"citationItems":[{"id":2392,"uris":["http://zotero.org/groups/164861/items/TPWK788H"],"itemData":{"id":2392,"type":"report","number":"Inquiry report no. 110","publisher-place":"Canberra","title":"Building a skilled and adaptable workforce","author":[{"family":"Productivity Commission","given":""}],"translator":[{"family":"PC","given":""}],"issued":{"date-parts":[["2025"]]}},"suppress-author":true}],"schema":"https://github.com/citation-style-language/schema/raw/master/csl-citation.json"} </w:instrText>
      </w:r>
      <w:r w:rsidR="00601475" w:rsidRPr="00191E9B">
        <w:fldChar w:fldCharType="separate"/>
      </w:r>
      <w:r w:rsidR="00601475" w:rsidRPr="00191E9B">
        <w:rPr>
          <w:rFonts w:ascii="Arial" w:hAnsi="Arial" w:cs="Arial"/>
        </w:rPr>
        <w:t>(2025a)</w:t>
      </w:r>
      <w:r w:rsidR="00601475" w:rsidRPr="00191E9B">
        <w:fldChar w:fldCharType="end"/>
      </w:r>
    </w:p>
    <w:p w14:paraId="45D8E050" w14:textId="01681F70" w:rsidR="0036127A" w:rsidRPr="00191E9B" w:rsidRDefault="0036127A" w:rsidP="008A7FEE">
      <w:pPr>
        <w:pStyle w:val="ListBullet"/>
        <w:numPr>
          <w:ilvl w:val="0"/>
          <w:numId w:val="17"/>
        </w:numPr>
      </w:pPr>
      <w:hyperlink r:id="rId30" w:history="1">
        <w:r w:rsidRPr="00191E9B">
          <w:t>Harnessing data and digital technology</w:t>
        </w:r>
      </w:hyperlink>
      <w:r w:rsidR="007E50D3" w:rsidRPr="00191E9B">
        <w:t xml:space="preserve"> </w:t>
      </w:r>
      <w:r w:rsidR="00EB6362" w:rsidRPr="00191E9B">
        <w:fldChar w:fldCharType="begin"/>
      </w:r>
      <w:r w:rsidR="002A6739" w:rsidRPr="00191E9B">
        <w:instrText xml:space="preserve"> ADDIN ZOTERO_ITEM CSL_CITATION {"citationID":"UQsxGknI","properties":{"unsorted":false,"formattedCitation":"(2025f)","plainCitation":"(2025f)","noteIndex":0},"citationItems":[{"id":1,"uris":["http://zotero.org/groups/164861/items/8YRPX7JD"],"itemData":{"id":1,"type":"report","genre":"Interim report","title":"Harnessing data and digital technology","author":[{"family":"Productivity Commission","given":""}],"translator":[{"family":"PC","given":""}],"issued":{"date-parts":[["2025",8]]}},"suppress-author":true}],"schema":"https://github.com/citation-style-language/schema/raw/master/csl-citation.json"} </w:instrText>
      </w:r>
      <w:r w:rsidR="00EB6362" w:rsidRPr="00191E9B">
        <w:fldChar w:fldCharType="separate"/>
      </w:r>
      <w:r w:rsidR="00F35B56" w:rsidRPr="00191E9B">
        <w:rPr>
          <w:rFonts w:ascii="Arial" w:hAnsi="Arial" w:cs="Arial"/>
        </w:rPr>
        <w:t>(2025f)</w:t>
      </w:r>
      <w:r w:rsidR="00EB6362" w:rsidRPr="00191E9B">
        <w:fldChar w:fldCharType="end"/>
      </w:r>
    </w:p>
    <w:p w14:paraId="2C2228BE" w14:textId="5A2CE0C4" w:rsidR="0036127A" w:rsidRPr="00191E9B" w:rsidRDefault="0036127A" w:rsidP="008A7FEE">
      <w:pPr>
        <w:pStyle w:val="ListBullet"/>
        <w:numPr>
          <w:ilvl w:val="0"/>
          <w:numId w:val="17"/>
        </w:numPr>
      </w:pPr>
      <w:hyperlink r:id="rId31" w:history="1">
        <w:r w:rsidRPr="00191E9B">
          <w:t>Delivering quality care more efficiently</w:t>
        </w:r>
      </w:hyperlink>
      <w:r w:rsidR="007E50D3" w:rsidRPr="00191E9B">
        <w:t xml:space="preserve"> </w:t>
      </w:r>
      <w:r w:rsidR="007E50D3" w:rsidRPr="00191E9B">
        <w:fldChar w:fldCharType="begin"/>
      </w:r>
      <w:r w:rsidR="002A6739" w:rsidRPr="00191E9B">
        <w:instrText xml:space="preserve"> ADDIN ZOTERO_ITEM CSL_CITATION {"citationID":"sAW3LSAn","properties":{"unsorted":false,"formattedCitation":"(2025d)","plainCitation":"(2025d)","noteIndex":0},"citationItems":[{"id":2394,"uris":["http://zotero.org/groups/164861/items/GCFIUKWE"],"itemData":{"id":2394,"type":"report","number":"Inquiry report no. 112","publisher-place":"Canberra","title":"Delivering quality care more efficiently","author":[{"family":"Productivity Commission","given":""}],"translator":[{"family":"PC","given":""}],"issued":{"date-parts":[["2025"]]}},"suppress-author":true}],"schema":"https://github.com/citation-style-language/schema/raw/master/csl-citation.json"} </w:instrText>
      </w:r>
      <w:r w:rsidR="007E50D3" w:rsidRPr="00191E9B">
        <w:fldChar w:fldCharType="separate"/>
      </w:r>
      <w:r w:rsidR="000F356A" w:rsidRPr="00191E9B">
        <w:rPr>
          <w:rFonts w:ascii="Arial" w:hAnsi="Arial" w:cs="Arial"/>
        </w:rPr>
        <w:t>(2025d)</w:t>
      </w:r>
      <w:r w:rsidR="007E50D3" w:rsidRPr="00191E9B">
        <w:fldChar w:fldCharType="end"/>
      </w:r>
    </w:p>
    <w:p w14:paraId="3C0903CD" w14:textId="48888389" w:rsidR="0036127A" w:rsidRPr="00191E9B" w:rsidRDefault="0036127A" w:rsidP="008A7FEE">
      <w:pPr>
        <w:pStyle w:val="ListBullet"/>
        <w:numPr>
          <w:ilvl w:val="0"/>
          <w:numId w:val="17"/>
        </w:numPr>
      </w:pPr>
      <w:hyperlink r:id="rId32" w:history="1">
        <w:r w:rsidRPr="00191E9B">
          <w:t>Investing in cheaper, cleaner energy and the net zero transformation</w:t>
        </w:r>
        <w:r w:rsidR="004665A5" w:rsidRPr="00191E9B">
          <w:t xml:space="preserve"> </w:t>
        </w:r>
        <w:r w:rsidR="004665A5" w:rsidRPr="00191E9B">
          <w:fldChar w:fldCharType="begin"/>
        </w:r>
        <w:r w:rsidR="002A6739" w:rsidRPr="00191E9B">
          <w:instrText xml:space="preserve"> ADDIN ZOTERO_ITEM CSL_CITATION {"citationID":"HpanLN8p","properties":{"unsorted":false,"formattedCitation":"(2025g)","plainCitation":"(2025g)","noteIndex":0},"citationItems":[{"id":2395,"uris":["http://zotero.org/groups/164861/items/IMTM4ZN7"],"itemData":{"id":2395,"type":"report","number":"Inquiry report no. 113","publisher-place":"Canberra","title":"Investing in cheaper, cleaner energy and the net zero transformation","author":[{"family":"Productivity Commission","given":""}],"translator":[{"family":"PC","given":""}],"issued":{"date-parts":[["2025"]]}},"suppress-author":true}],"schema":"https://github.com/citation-style-language/schema/raw/master/csl-citation.json"} </w:instrText>
        </w:r>
        <w:r w:rsidR="004665A5" w:rsidRPr="00191E9B">
          <w:fldChar w:fldCharType="separate"/>
        </w:r>
        <w:r w:rsidR="00F35B56" w:rsidRPr="00191E9B">
          <w:rPr>
            <w:rFonts w:ascii="Arial" w:hAnsi="Arial" w:cs="Arial"/>
          </w:rPr>
          <w:t>(2025g)</w:t>
        </w:r>
        <w:r w:rsidR="004665A5" w:rsidRPr="00191E9B">
          <w:fldChar w:fldCharType="end"/>
        </w:r>
        <w:r w:rsidRPr="00191E9B">
          <w:t>.</w:t>
        </w:r>
      </w:hyperlink>
    </w:p>
    <w:p w14:paraId="21E1B62F" w14:textId="0FC5A708" w:rsidR="00F1550A" w:rsidRDefault="00BF5A4B" w:rsidP="00A9401F">
      <w:pPr>
        <w:pStyle w:val="BodyText"/>
      </w:pPr>
      <w:r>
        <w:t xml:space="preserve">This </w:t>
      </w:r>
      <w:r w:rsidR="00A9401F" w:rsidRPr="00A9401F">
        <w:t>submission</w:t>
      </w:r>
      <w:r w:rsidR="008366DC">
        <w:t xml:space="preserve"> </w:t>
      </w:r>
      <w:r w:rsidR="009E197F">
        <w:t xml:space="preserve">does not restrict itself </w:t>
      </w:r>
      <w:r w:rsidR="00817AE2">
        <w:t>to discussin</w:t>
      </w:r>
      <w:r w:rsidR="006E608D">
        <w:t>g</w:t>
      </w:r>
      <w:r w:rsidR="00817AE2">
        <w:t xml:space="preserve"> these reports. It also </w:t>
      </w:r>
      <w:r w:rsidR="00FC0250">
        <w:t xml:space="preserve">draws </w:t>
      </w:r>
      <w:r w:rsidR="006B2774">
        <w:t>upon</w:t>
      </w:r>
      <w:r w:rsidR="00113538">
        <w:t xml:space="preserve"> </w:t>
      </w:r>
      <w:r w:rsidR="00215755">
        <w:t xml:space="preserve">other </w:t>
      </w:r>
      <w:r w:rsidR="00113538">
        <w:t xml:space="preserve">key </w:t>
      </w:r>
      <w:r w:rsidR="00215755">
        <w:t>PC</w:t>
      </w:r>
      <w:r w:rsidR="00113538">
        <w:t xml:space="preserve"> reports and submissions</w:t>
      </w:r>
      <w:r w:rsidR="003C12E0">
        <w:t xml:space="preserve"> – primarily those published since 2020 to ensure relevance</w:t>
      </w:r>
      <w:r w:rsidR="00BB34A1">
        <w:t xml:space="preserve"> – to respond to </w:t>
      </w:r>
      <w:r w:rsidR="001D412E">
        <w:t xml:space="preserve">topics </w:t>
      </w:r>
      <w:r w:rsidR="00D4140D">
        <w:t>and questions</w:t>
      </w:r>
      <w:r w:rsidR="001D412E">
        <w:t xml:space="preserve"> outlined in the Senate Select Committee’s discussion paper. </w:t>
      </w:r>
      <w:proofErr w:type="gramStart"/>
      <w:r w:rsidR="001D412E">
        <w:t>In particular, it</w:t>
      </w:r>
      <w:proofErr w:type="gramEnd"/>
      <w:r w:rsidR="001D412E">
        <w:t xml:space="preserve"> considers topics relevan</w:t>
      </w:r>
      <w:r w:rsidR="007F29AE">
        <w:t>t</w:t>
      </w:r>
      <w:r w:rsidR="00B80126">
        <w:t xml:space="preserve"> to</w:t>
      </w:r>
      <w:r w:rsidR="00F1550A">
        <w:t xml:space="preserve"> </w:t>
      </w:r>
      <w:r w:rsidR="00D361C5">
        <w:t>Austral</w:t>
      </w:r>
      <w:r w:rsidR="001A0DA6">
        <w:t>ia’s</w:t>
      </w:r>
      <w:r w:rsidR="001C4AB5">
        <w:t>:</w:t>
      </w:r>
      <w:r w:rsidR="001A0DA6">
        <w:t xml:space="preserve"> performance </w:t>
      </w:r>
      <w:r w:rsidR="006C6248">
        <w:t>in a global context</w:t>
      </w:r>
      <w:r w:rsidR="00555694">
        <w:t>;</w:t>
      </w:r>
      <w:r w:rsidR="006C623A">
        <w:t xml:space="preserve"> industry-level performance</w:t>
      </w:r>
      <w:r w:rsidR="00555694">
        <w:t>;</w:t>
      </w:r>
      <w:r w:rsidR="006C623A">
        <w:t xml:space="preserve"> </w:t>
      </w:r>
      <w:r w:rsidR="00955CEA">
        <w:t>regulation</w:t>
      </w:r>
      <w:r w:rsidR="00C747F9">
        <w:t>;</w:t>
      </w:r>
      <w:r w:rsidR="00955CEA">
        <w:t xml:space="preserve"> tax</w:t>
      </w:r>
      <w:r w:rsidR="00C747F9">
        <w:t xml:space="preserve">; </w:t>
      </w:r>
      <w:r w:rsidR="00555694">
        <w:t>freight supply chains</w:t>
      </w:r>
      <w:r w:rsidR="00C747F9">
        <w:t>;</w:t>
      </w:r>
      <w:r w:rsidR="00555694">
        <w:t xml:space="preserve"> </w:t>
      </w:r>
      <w:r w:rsidR="007F29AE">
        <w:t>c</w:t>
      </w:r>
      <w:r w:rsidR="00C747F9">
        <w:t xml:space="preserve">ompetition </w:t>
      </w:r>
      <w:r w:rsidR="007F29AE">
        <w:t>p</w:t>
      </w:r>
      <w:r w:rsidR="00C747F9">
        <w:t>olicy</w:t>
      </w:r>
      <w:r w:rsidR="0077515F">
        <w:t xml:space="preserve">; </w:t>
      </w:r>
      <w:r w:rsidR="00821EB6">
        <w:t xml:space="preserve">and </w:t>
      </w:r>
      <w:r w:rsidR="0077515F">
        <w:t>labour markets</w:t>
      </w:r>
      <w:r w:rsidR="00821EB6">
        <w:t xml:space="preserve">. It also comments on </w:t>
      </w:r>
      <w:r w:rsidR="00927E2F">
        <w:t>challenges to measuring productivity.</w:t>
      </w:r>
      <w:r w:rsidR="00E002E6">
        <w:t xml:space="preserve"> </w:t>
      </w:r>
      <w:r w:rsidR="00BF4B90">
        <w:t xml:space="preserve">The submission does not comment on topics where the PC does not have recent work or where </w:t>
      </w:r>
      <w:r w:rsidR="00F60EF4">
        <w:t>there has been significant policy change since we last</w:t>
      </w:r>
      <w:r w:rsidR="00E8055D">
        <w:t xml:space="preserve"> considered an issue</w:t>
      </w:r>
      <w:r w:rsidR="006B2B4D">
        <w:t xml:space="preserve">, </w:t>
      </w:r>
      <w:r w:rsidR="00350478">
        <w:t>in particular</w:t>
      </w:r>
      <w:r w:rsidR="006B2B4D">
        <w:t>, w</w:t>
      </w:r>
      <w:r w:rsidR="00E002E6" w:rsidRPr="007F39FA">
        <w:t xml:space="preserve">orkplace relations and </w:t>
      </w:r>
      <w:r w:rsidR="00015FE3">
        <w:t xml:space="preserve">the </w:t>
      </w:r>
      <w:r w:rsidR="00E002E6" w:rsidRPr="007F39FA">
        <w:t xml:space="preserve">regulation of emerging forms of </w:t>
      </w:r>
      <w:r w:rsidR="00E002E6">
        <w:t>work</w:t>
      </w:r>
      <w:r w:rsidR="006B2B4D">
        <w:t>.</w:t>
      </w:r>
    </w:p>
    <w:p w14:paraId="32945AA5" w14:textId="54A97063" w:rsidR="005544CA" w:rsidRDefault="005544CA" w:rsidP="005544CA">
      <w:pPr>
        <w:pStyle w:val="Heading2-nonumber"/>
      </w:pPr>
      <w:bookmarkStart w:id="1" w:name="_Toc219280598"/>
      <w:r w:rsidRPr="003B0DAA">
        <w:t>Australia's global competitiveness</w:t>
      </w:r>
    </w:p>
    <w:p w14:paraId="3ED71DCC" w14:textId="65492FA7" w:rsidR="00A403B8" w:rsidRDefault="008C2A05" w:rsidP="00B406EC">
      <w:r>
        <w:t xml:space="preserve">The </w:t>
      </w:r>
      <w:r w:rsidR="00EA0A46">
        <w:t>speed</w:t>
      </w:r>
      <w:r>
        <w:t xml:space="preserve"> at which our economy grows</w:t>
      </w:r>
      <w:r w:rsidR="007351F2">
        <w:t xml:space="preserve"> is a function of </w:t>
      </w:r>
      <w:r w:rsidR="00033A75">
        <w:t xml:space="preserve">changes in </w:t>
      </w:r>
      <w:r w:rsidR="007351F2">
        <w:t xml:space="preserve">the size of our </w:t>
      </w:r>
      <w:r w:rsidR="00F7623A">
        <w:t>working</w:t>
      </w:r>
      <w:r w:rsidR="00916C87">
        <w:t>-</w:t>
      </w:r>
      <w:r w:rsidR="00F7623A">
        <w:t xml:space="preserve">age population, </w:t>
      </w:r>
      <w:r w:rsidR="00501F13">
        <w:t xml:space="preserve">the </w:t>
      </w:r>
      <w:r w:rsidR="00B345CD">
        <w:t xml:space="preserve">number of </w:t>
      </w:r>
      <w:r w:rsidR="00501F13">
        <w:t xml:space="preserve">hours </w:t>
      </w:r>
      <w:r w:rsidR="003C2A03">
        <w:t>people</w:t>
      </w:r>
      <w:r w:rsidR="00501F13">
        <w:t xml:space="preserve"> work (participation) and the </w:t>
      </w:r>
      <w:r w:rsidR="00176A83">
        <w:t xml:space="preserve">amount </w:t>
      </w:r>
      <w:r w:rsidR="00B345CD">
        <w:t xml:space="preserve">they produce while working, or </w:t>
      </w:r>
      <w:r w:rsidR="001028FB">
        <w:t>productivity</w:t>
      </w:r>
      <w:r w:rsidR="00B406EC">
        <w:t xml:space="preserve">. </w:t>
      </w:r>
      <w:r w:rsidR="0014698C">
        <w:t>P</w:t>
      </w:r>
      <w:r w:rsidR="00A25AE2">
        <w:t>roductivity</w:t>
      </w:r>
      <w:r w:rsidR="00273B47">
        <w:t>, in turn,</w:t>
      </w:r>
      <w:r w:rsidR="00A25AE2">
        <w:t xml:space="preserve"> </w:t>
      </w:r>
      <w:r w:rsidR="00E364CD">
        <w:t>is influenced by</w:t>
      </w:r>
      <w:r w:rsidR="00701896">
        <w:t xml:space="preserve"> </w:t>
      </w:r>
      <w:r w:rsidR="00304FF1">
        <w:t>factors</w:t>
      </w:r>
      <w:r w:rsidR="0014698C">
        <w:t xml:space="preserve"> like the </w:t>
      </w:r>
      <w:r w:rsidR="00701896">
        <w:t>skills and capacity</w:t>
      </w:r>
      <w:r w:rsidR="0014698C">
        <w:t xml:space="preserve"> of the workforce</w:t>
      </w:r>
      <w:r w:rsidR="00464A6B">
        <w:t xml:space="preserve"> and</w:t>
      </w:r>
      <w:r w:rsidR="00E364CD">
        <w:t xml:space="preserve"> </w:t>
      </w:r>
      <w:r w:rsidR="000D0F48">
        <w:t xml:space="preserve">the capital </w:t>
      </w:r>
      <w:r w:rsidR="00FE6335">
        <w:t>and raw materials</w:t>
      </w:r>
      <w:r w:rsidR="00E31B29">
        <w:t xml:space="preserve"> used in </w:t>
      </w:r>
      <w:r w:rsidR="00315464">
        <w:t>production processes</w:t>
      </w:r>
      <w:r w:rsidR="00FD5661">
        <w:t>.</w:t>
      </w:r>
    </w:p>
    <w:p w14:paraId="00D16C88" w14:textId="1CECB53C" w:rsidR="00B406EC" w:rsidRDefault="003F2B19" w:rsidP="00B406EC">
      <w:r>
        <w:t xml:space="preserve">Measures of productivity capture </w:t>
      </w:r>
      <w:r w:rsidR="00B406EC">
        <w:t>how efficiently labour, capital or raw materials</w:t>
      </w:r>
      <w:r w:rsidR="00A869A3">
        <w:t xml:space="preserve"> (that is, inputs</w:t>
      </w:r>
      <w:r w:rsidR="00B406EC">
        <w:t xml:space="preserve">) are used to produce </w:t>
      </w:r>
      <w:r w:rsidR="00A869A3">
        <w:t>goods and services (</w:t>
      </w:r>
      <w:r w:rsidR="00B406EC">
        <w:t>outputs</w:t>
      </w:r>
      <w:r w:rsidR="00A869A3">
        <w:t>)</w:t>
      </w:r>
      <w:r w:rsidR="00B406EC">
        <w:t>. Economists commonly use two main measures</w:t>
      </w:r>
      <w:r w:rsidR="007F618D">
        <w:t>.</w:t>
      </w:r>
    </w:p>
    <w:p w14:paraId="7D3D5C1E" w14:textId="255B31D9" w:rsidR="00B406EC" w:rsidRPr="00C059E4" w:rsidRDefault="00A96694" w:rsidP="00B406EC">
      <w:pPr>
        <w:pStyle w:val="ListBullet"/>
        <w:numPr>
          <w:ilvl w:val="0"/>
          <w:numId w:val="17"/>
        </w:numPr>
        <w:rPr>
          <w:rFonts w:cstheme="minorHAnsi"/>
        </w:rPr>
      </w:pPr>
      <w:r>
        <w:rPr>
          <w:rFonts w:cstheme="minorHAnsi"/>
        </w:rPr>
        <w:t>l</w:t>
      </w:r>
      <w:r w:rsidR="00B406EC" w:rsidRPr="00C059E4">
        <w:rPr>
          <w:rFonts w:cstheme="minorHAnsi"/>
        </w:rPr>
        <w:t xml:space="preserve">abour productivity: </w:t>
      </w:r>
      <w:r w:rsidR="00B406EC">
        <w:rPr>
          <w:rFonts w:cstheme="minorHAnsi"/>
        </w:rPr>
        <w:t>measured as output per hour worked</w:t>
      </w:r>
    </w:p>
    <w:p w14:paraId="3603EC60" w14:textId="597DBCF2" w:rsidR="00B406EC" w:rsidRPr="00C059E4" w:rsidRDefault="00A96694" w:rsidP="00B406EC">
      <w:pPr>
        <w:pStyle w:val="ListBullet"/>
        <w:numPr>
          <w:ilvl w:val="0"/>
          <w:numId w:val="17"/>
        </w:numPr>
        <w:rPr>
          <w:rFonts w:cstheme="minorHAnsi"/>
        </w:rPr>
      </w:pPr>
      <w:r>
        <w:rPr>
          <w:rFonts w:cstheme="minorHAnsi"/>
        </w:rPr>
        <w:t>m</w:t>
      </w:r>
      <w:r w:rsidR="00B406EC" w:rsidRPr="00C059E4">
        <w:rPr>
          <w:rFonts w:cstheme="minorHAnsi"/>
        </w:rPr>
        <w:t xml:space="preserve">ultifactor productivity (MFP): </w:t>
      </w:r>
      <w:r w:rsidR="00B406EC">
        <w:rPr>
          <w:rFonts w:cstheme="minorHAnsi"/>
        </w:rPr>
        <w:t xml:space="preserve">measured as output per unit of a combined bundle of labour and </w:t>
      </w:r>
      <w:r w:rsidR="00BF5AFA">
        <w:rPr>
          <w:rFonts w:cstheme="minorHAnsi"/>
        </w:rPr>
        <w:t>capital.</w:t>
      </w:r>
    </w:p>
    <w:p w14:paraId="4F8FFF75" w14:textId="535DCDA0" w:rsidR="00B406EC" w:rsidRDefault="00B406EC" w:rsidP="00B406EC">
      <w:r>
        <w:lastRenderedPageBreak/>
        <w:t>This submission uses the term productivity to refer to labour productivity, unless otherwise stipulated.</w:t>
      </w:r>
    </w:p>
    <w:p w14:paraId="62480A83" w14:textId="1D6D0B8E" w:rsidR="00B406EC" w:rsidRDefault="00B406EC" w:rsidP="006626C4">
      <w:pPr>
        <w:spacing w:before="0" w:after="160" w:line="259" w:lineRule="auto"/>
      </w:pPr>
      <w:r>
        <w:t>Productivity growth is driven by</w:t>
      </w:r>
      <w:r w:rsidR="00005DDC">
        <w:t xml:space="preserve"> a range of factors</w:t>
      </w:r>
      <w:r w:rsidR="00E70F97">
        <w:t>:</w:t>
      </w:r>
    </w:p>
    <w:p w14:paraId="00C829B9" w14:textId="77777777" w:rsidR="00B406EC" w:rsidRPr="00170930" w:rsidRDefault="00B406EC" w:rsidP="00B406EC">
      <w:pPr>
        <w:pStyle w:val="ListBullet"/>
        <w:numPr>
          <w:ilvl w:val="0"/>
          <w:numId w:val="17"/>
        </w:numPr>
        <w:rPr>
          <w:rFonts w:cstheme="minorHAnsi"/>
        </w:rPr>
      </w:pPr>
      <w:r w:rsidRPr="006239A5">
        <w:rPr>
          <w:rFonts w:cstheme="minorHAnsi"/>
          <w:b/>
          <w:bCs/>
        </w:rPr>
        <w:t>Technological improvements</w:t>
      </w:r>
      <w:r>
        <w:rPr>
          <w:rFonts w:cstheme="minorHAnsi"/>
        </w:rPr>
        <w:t>: New and better technologies allow firms to produce more with the same inputs.</w:t>
      </w:r>
    </w:p>
    <w:p w14:paraId="19F5416D" w14:textId="6CCCDDA8" w:rsidR="00B406EC" w:rsidRPr="00170930" w:rsidRDefault="00B406EC" w:rsidP="00B406EC">
      <w:pPr>
        <w:pStyle w:val="ListBullet"/>
        <w:numPr>
          <w:ilvl w:val="0"/>
          <w:numId w:val="17"/>
        </w:numPr>
        <w:rPr>
          <w:rFonts w:cstheme="minorHAnsi"/>
        </w:rPr>
      </w:pPr>
      <w:r w:rsidRPr="00A33C5E">
        <w:rPr>
          <w:rFonts w:cstheme="minorHAnsi"/>
          <w:b/>
          <w:bCs/>
        </w:rPr>
        <w:t>Economies of scale and scope</w:t>
      </w:r>
      <w:r>
        <w:rPr>
          <w:rFonts w:cstheme="minorHAnsi"/>
        </w:rPr>
        <w:t>: Large</w:t>
      </w:r>
      <w:r w:rsidR="00F56600">
        <w:rPr>
          <w:rFonts w:ascii="Cambria Math" w:hAnsi="Cambria Math" w:cstheme="minorHAnsi"/>
        </w:rPr>
        <w:t>‑</w:t>
      </w:r>
      <w:r>
        <w:rPr>
          <w:rFonts w:cstheme="minorHAnsi"/>
        </w:rPr>
        <w:t>scale or more diversified operations can reduce costs and raise productivity by spreading fixed costs and sharing systems.</w:t>
      </w:r>
    </w:p>
    <w:p w14:paraId="70DBB44F" w14:textId="77777777" w:rsidR="00B406EC" w:rsidRPr="00170930" w:rsidRDefault="00B406EC" w:rsidP="00B406EC">
      <w:pPr>
        <w:pStyle w:val="ListBullet"/>
        <w:numPr>
          <w:ilvl w:val="0"/>
          <w:numId w:val="17"/>
        </w:numPr>
        <w:rPr>
          <w:rFonts w:cstheme="minorHAnsi"/>
        </w:rPr>
      </w:pPr>
      <w:r w:rsidRPr="00A33C5E">
        <w:rPr>
          <w:rFonts w:cstheme="minorHAnsi"/>
          <w:b/>
          <w:bCs/>
        </w:rPr>
        <w:t>Workforce skills</w:t>
      </w:r>
      <w:r>
        <w:rPr>
          <w:rFonts w:cstheme="minorHAnsi"/>
        </w:rPr>
        <w:t>: A skilled workforce ensures labour can adapt to new technologies and changing industry needs.</w:t>
      </w:r>
    </w:p>
    <w:p w14:paraId="37A12B81" w14:textId="77777777" w:rsidR="00B406EC" w:rsidRPr="00170930" w:rsidRDefault="00B406EC" w:rsidP="00B406EC">
      <w:pPr>
        <w:pStyle w:val="ListBullet"/>
        <w:numPr>
          <w:ilvl w:val="0"/>
          <w:numId w:val="17"/>
        </w:numPr>
        <w:rPr>
          <w:rFonts w:cstheme="minorHAnsi"/>
        </w:rPr>
      </w:pPr>
      <w:r w:rsidRPr="00A33C5E">
        <w:rPr>
          <w:rFonts w:cstheme="minorHAnsi"/>
          <w:b/>
          <w:bCs/>
        </w:rPr>
        <w:t>Management practices</w:t>
      </w:r>
      <w:r>
        <w:rPr>
          <w:rFonts w:cstheme="minorHAnsi"/>
        </w:rPr>
        <w:t>: Good management helps firms organise work efficiently, adopt best practice and make better use of labour and capital.</w:t>
      </w:r>
    </w:p>
    <w:p w14:paraId="3D0ECC34" w14:textId="04B8573D" w:rsidR="00B406EC" w:rsidRPr="00170930" w:rsidRDefault="00B406EC" w:rsidP="00B406EC">
      <w:pPr>
        <w:pStyle w:val="ListBullet"/>
        <w:numPr>
          <w:ilvl w:val="0"/>
          <w:numId w:val="17"/>
        </w:numPr>
        <w:rPr>
          <w:rFonts w:cstheme="minorHAnsi"/>
        </w:rPr>
      </w:pPr>
      <w:r w:rsidRPr="00A33C5E">
        <w:rPr>
          <w:rFonts w:cstheme="minorHAnsi"/>
          <w:b/>
          <w:bCs/>
        </w:rPr>
        <w:t>Competitive pressures</w:t>
      </w:r>
      <w:r>
        <w:rPr>
          <w:rFonts w:cstheme="minorHAnsi"/>
        </w:rPr>
        <w:t xml:space="preserve">: Competition encourages firms to innovate and improve efficiency, </w:t>
      </w:r>
      <w:r w:rsidR="003E2AEE">
        <w:rPr>
          <w:rFonts w:cstheme="minorHAnsi"/>
        </w:rPr>
        <w:t>causing</w:t>
      </w:r>
      <w:r>
        <w:rPr>
          <w:rFonts w:cstheme="minorHAnsi"/>
        </w:rPr>
        <w:t xml:space="preserve"> less productive firms</w:t>
      </w:r>
      <w:r w:rsidR="003E2AEE">
        <w:rPr>
          <w:rFonts w:cstheme="minorHAnsi"/>
        </w:rPr>
        <w:t xml:space="preserve"> to</w:t>
      </w:r>
      <w:r>
        <w:rPr>
          <w:rFonts w:cstheme="minorHAnsi"/>
        </w:rPr>
        <w:t xml:space="preserve"> exit.</w:t>
      </w:r>
    </w:p>
    <w:p w14:paraId="7BBCC6A5" w14:textId="67F9097B" w:rsidR="00B406EC" w:rsidRPr="00A94CF0" w:rsidRDefault="00B406EC" w:rsidP="00B406EC">
      <w:pPr>
        <w:pStyle w:val="ListBullet"/>
        <w:numPr>
          <w:ilvl w:val="0"/>
          <w:numId w:val="17"/>
        </w:numPr>
        <w:rPr>
          <w:rFonts w:cstheme="minorHAnsi"/>
          <w:spacing w:val="-4"/>
        </w:rPr>
      </w:pPr>
      <w:r w:rsidRPr="00A33C5E">
        <w:rPr>
          <w:rFonts w:cstheme="minorHAnsi"/>
          <w:b/>
          <w:bCs/>
        </w:rPr>
        <w:t xml:space="preserve">The </w:t>
      </w:r>
      <w:r w:rsidRPr="00A94CF0">
        <w:rPr>
          <w:rFonts w:cstheme="minorHAnsi"/>
          <w:b/>
          <w:bCs/>
          <w:spacing w:val="-4"/>
        </w:rPr>
        <w:t>stage of the business cycle</w:t>
      </w:r>
      <w:r w:rsidRPr="00A94CF0">
        <w:rPr>
          <w:rFonts w:cstheme="minorHAnsi"/>
          <w:spacing w:val="-4"/>
        </w:rPr>
        <w:t>: Firms adjust employment and hours in response to economic conditions.</w:t>
      </w:r>
    </w:p>
    <w:p w14:paraId="044006BC" w14:textId="5C2525AD" w:rsidR="00A17341" w:rsidRDefault="002243DE" w:rsidP="00A17341">
      <w:pPr>
        <w:pStyle w:val="Heading3"/>
      </w:pPr>
      <w:r>
        <w:t>Labour p</w:t>
      </w:r>
      <w:r w:rsidR="00A91C57">
        <w:t xml:space="preserve">roductivity </w:t>
      </w:r>
      <w:r w:rsidR="00541F29">
        <w:t xml:space="preserve">growth </w:t>
      </w:r>
      <w:r w:rsidR="00A91C57">
        <w:t>is in decline globally</w:t>
      </w:r>
    </w:p>
    <w:p w14:paraId="4345ABD6" w14:textId="162C7ACC" w:rsidR="0019569C" w:rsidRPr="00847DA3" w:rsidRDefault="00B910C9" w:rsidP="00847DA3">
      <w:pPr>
        <w:pStyle w:val="BodyText"/>
      </w:pPr>
      <w:r w:rsidRPr="00847DA3">
        <w:t>Labou</w:t>
      </w:r>
      <w:r w:rsidR="006D01A8" w:rsidRPr="00847DA3">
        <w:t>r</w:t>
      </w:r>
      <w:r w:rsidRPr="00847DA3">
        <w:t xml:space="preserve"> productivity </w:t>
      </w:r>
      <w:r w:rsidR="00541F29" w:rsidRPr="00847DA3">
        <w:t>growth</w:t>
      </w:r>
      <w:r w:rsidRPr="00847DA3">
        <w:t xml:space="preserve"> across much of the developed world is in decline</w:t>
      </w:r>
      <w:r w:rsidR="004E1167" w:rsidRPr="00847DA3">
        <w:t>. Across ‘mature</w:t>
      </w:r>
      <w:r w:rsidR="006D01A8" w:rsidRPr="00847DA3">
        <w:t>’</w:t>
      </w:r>
      <w:r w:rsidR="004E1167" w:rsidRPr="00847DA3">
        <w:t xml:space="preserve"> econo</w:t>
      </w:r>
      <w:r w:rsidR="00891E64" w:rsidRPr="00847DA3">
        <w:t>mies</w:t>
      </w:r>
      <w:r w:rsidR="006D01A8" w:rsidRPr="00847DA3">
        <w:t>,</w:t>
      </w:r>
      <w:r w:rsidR="00891E64" w:rsidRPr="00847DA3">
        <w:t xml:space="preserve"> annualised growth over the past two decades has been </w:t>
      </w:r>
      <w:r w:rsidR="0090004A" w:rsidRPr="00847DA3">
        <w:t xml:space="preserve">just over 1% </w:t>
      </w:r>
      <w:r w:rsidR="0035312C" w:rsidRPr="00847DA3">
        <w:t xml:space="preserve">– </w:t>
      </w:r>
      <w:r w:rsidR="0090004A" w:rsidRPr="00847DA3">
        <w:t>about half the annualised growth of the preceding fo</w:t>
      </w:r>
      <w:r w:rsidR="00DE5CDE" w:rsidRPr="00847DA3">
        <w:t>rty years</w:t>
      </w:r>
      <w:r w:rsidR="006A7FA1" w:rsidRPr="00847DA3">
        <w:t xml:space="preserve"> </w:t>
      </w:r>
      <w:r w:rsidR="00FC2C83" w:rsidRPr="00847DA3">
        <w:t>(PC 2023d, p. 31)</w:t>
      </w:r>
      <w:r w:rsidR="00DE5CDE" w:rsidRPr="00847DA3">
        <w:t xml:space="preserve">. </w:t>
      </w:r>
      <w:r w:rsidR="00A06A11" w:rsidRPr="00847DA3">
        <w:t>Australia is no exception</w:t>
      </w:r>
      <w:r w:rsidR="009F2AA4" w:rsidRPr="00847DA3">
        <w:t>, with a</w:t>
      </w:r>
      <w:r w:rsidR="00364D8E" w:rsidRPr="00847DA3">
        <w:t>nalysis</w:t>
      </w:r>
      <w:r w:rsidR="009F2AA4" w:rsidRPr="00847DA3">
        <w:t xml:space="preserve"> suggesting</w:t>
      </w:r>
      <w:r w:rsidR="00474055" w:rsidRPr="00847DA3">
        <w:t xml:space="preserve"> </w:t>
      </w:r>
      <w:r w:rsidR="00904F32" w:rsidRPr="00847DA3">
        <w:t>Australia’s growth rate to</w:t>
      </w:r>
      <w:r w:rsidR="006D59D4" w:rsidRPr="00847DA3">
        <w:t xml:space="preserve"> have slowed </w:t>
      </w:r>
      <w:r w:rsidR="007932AD" w:rsidRPr="00847DA3">
        <w:t>in the 21st century</w:t>
      </w:r>
      <w:r w:rsidR="006D59D4" w:rsidRPr="00847DA3">
        <w:t xml:space="preserve"> </w:t>
      </w:r>
      <w:r w:rsidR="009F2AA4" w:rsidRPr="00847DA3">
        <w:t>in line with</w:t>
      </w:r>
      <w:r w:rsidR="00D247D5" w:rsidRPr="00847DA3">
        <w:t xml:space="preserve"> </w:t>
      </w:r>
      <w:r w:rsidR="001E2E29" w:rsidRPr="00847DA3">
        <w:t xml:space="preserve">the </w:t>
      </w:r>
      <w:r w:rsidR="00AA55E0" w:rsidRPr="00847DA3">
        <w:t xml:space="preserve">international </w:t>
      </w:r>
      <w:r w:rsidR="001E2E29" w:rsidRPr="00847DA3">
        <w:t xml:space="preserve">productivity slowdown </w:t>
      </w:r>
      <w:r w:rsidR="00AA55E0" w:rsidRPr="00847DA3">
        <w:t>dat</w:t>
      </w:r>
      <w:r w:rsidR="008A5868" w:rsidRPr="00847DA3">
        <w:t xml:space="preserve">ing back to </w:t>
      </w:r>
      <w:r w:rsidR="00E379BC" w:rsidRPr="00847DA3">
        <w:t xml:space="preserve">the </w:t>
      </w:r>
      <w:r w:rsidR="008A5868" w:rsidRPr="00847DA3">
        <w:t>1990</w:t>
      </w:r>
      <w:r w:rsidR="00E379BC" w:rsidRPr="00847DA3">
        <w:t>s</w:t>
      </w:r>
      <w:r w:rsidR="00FA5C0F" w:rsidRPr="00847DA3">
        <w:t xml:space="preserve"> (</w:t>
      </w:r>
      <w:r w:rsidR="00D84C54" w:rsidRPr="00847DA3">
        <w:t>f</w:t>
      </w:r>
      <w:r w:rsidR="00FA5C0F" w:rsidRPr="00847DA3">
        <w:t xml:space="preserve">igure </w:t>
      </w:r>
      <w:r w:rsidR="00F342CA" w:rsidRPr="00847DA3">
        <w:t>1)</w:t>
      </w:r>
      <w:r w:rsidR="008A5868" w:rsidRPr="00847DA3">
        <w:t>.</w:t>
      </w:r>
    </w:p>
    <w:p w14:paraId="14AB21FE" w14:textId="6777A3AF" w:rsidR="009A4CD4" w:rsidRPr="00F72401" w:rsidRDefault="009A4CD4" w:rsidP="00847DA3">
      <w:pPr>
        <w:pStyle w:val="FigureTableHeading"/>
        <w:rPr>
          <w:rFonts w:cs="Segoe UI"/>
          <w:shd w:val="clear" w:color="auto" w:fill="E1E3E6"/>
        </w:rPr>
      </w:pPr>
      <w:r>
        <w:rPr>
          <w:rStyle w:val="normaltextrun"/>
          <w:rFonts w:ascii="Arial Black" w:hAnsi="Arial Black"/>
          <w:color w:val="000000"/>
          <w:shd w:val="clear" w:color="auto" w:fill="FFFFFF"/>
          <w:lang w:val="en-GB"/>
        </w:rPr>
        <w:t>Figure 1 – </w:t>
      </w:r>
      <w:r w:rsidR="00010B23">
        <w:rPr>
          <w:rStyle w:val="normaltextrun"/>
          <w:rFonts w:ascii="Arial Black" w:hAnsi="Arial Black"/>
          <w:color w:val="000000"/>
          <w:shd w:val="clear" w:color="auto" w:fill="FFFFFF"/>
          <w:lang w:val="en-GB"/>
        </w:rPr>
        <w:t>Productivity</w:t>
      </w:r>
      <w:r w:rsidR="008968F7">
        <w:rPr>
          <w:rStyle w:val="normaltextrun"/>
          <w:rFonts w:ascii="Arial Black" w:hAnsi="Arial Black"/>
          <w:color w:val="000000"/>
          <w:shd w:val="clear" w:color="auto" w:fill="FFFFFF"/>
          <w:lang w:val="en-GB"/>
        </w:rPr>
        <w:t xml:space="preserve"> growth</w:t>
      </w:r>
      <w:r w:rsidR="00010B23">
        <w:rPr>
          <w:rStyle w:val="normaltextrun"/>
          <w:rFonts w:ascii="Arial Black" w:hAnsi="Arial Black"/>
          <w:color w:val="000000"/>
          <w:shd w:val="clear" w:color="auto" w:fill="FFFFFF"/>
          <w:lang w:val="en-GB"/>
        </w:rPr>
        <w:t xml:space="preserve"> has been declining </w:t>
      </w:r>
      <w:r w:rsidR="005309F7">
        <w:rPr>
          <w:rStyle w:val="normaltextrun"/>
          <w:rFonts w:ascii="Arial Black" w:hAnsi="Arial Black"/>
          <w:color w:val="000000"/>
          <w:shd w:val="clear" w:color="auto" w:fill="FFFFFF"/>
          <w:lang w:val="en-GB"/>
        </w:rPr>
        <w:t>internationally</w:t>
      </w:r>
      <w:r w:rsidR="00661E06">
        <w:rPr>
          <w:rStyle w:val="normaltextrun"/>
          <w:rFonts w:ascii="Arial Black" w:hAnsi="Arial Black"/>
          <w:color w:val="000000"/>
          <w:shd w:val="clear" w:color="auto" w:fill="FFFFFF"/>
          <w:lang w:val="en-GB"/>
        </w:rPr>
        <w:t>, 5-year rolling average</w:t>
      </w:r>
    </w:p>
    <w:p w14:paraId="0443B969" w14:textId="5CAB823B" w:rsidR="009A4CD4" w:rsidRDefault="00292690" w:rsidP="009A4CD4">
      <w:pPr>
        <w:pStyle w:val="BodyText"/>
        <w:keepNext/>
      </w:pPr>
      <w:r w:rsidRPr="00292690">
        <w:rPr>
          <w:noProof/>
        </w:rPr>
        <w:drawing>
          <wp:inline distT="0" distB="0" distL="0" distR="0" wp14:anchorId="5A279B7B" wp14:editId="525221B4">
            <wp:extent cx="6120130" cy="2861310"/>
            <wp:effectExtent l="0" t="0" r="0" b="0"/>
            <wp:docPr id="419042971" name="Picture 1" descr="This figure is a line chart showing the productivity trends of Australia, the United States, the United Kingdom, Japan, Germany, and France. It displays a general decline across these countries from 1990 to 2019. The point of decline varies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42971" name="Picture 1" descr="This figure is a line chart showing the productivity trends of Australia, the United States, the United Kingdom, Japan, Germany, and France. It displays a general decline across these countries from 1990 to 2019. The point of decline varies by count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861310"/>
                    </a:xfrm>
                    <a:prstGeom prst="rect">
                      <a:avLst/>
                    </a:prstGeom>
                    <a:noFill/>
                    <a:ln>
                      <a:noFill/>
                    </a:ln>
                  </pic:spPr>
                </pic:pic>
              </a:graphicData>
            </a:graphic>
          </wp:inline>
        </w:drawing>
      </w:r>
    </w:p>
    <w:p w14:paraId="352CA419" w14:textId="48FAFE82" w:rsidR="009A4CD4" w:rsidRDefault="005E12BA" w:rsidP="009A4CD4">
      <w:pPr>
        <w:pStyle w:val="Note"/>
      </w:pPr>
      <w:r>
        <w:t xml:space="preserve">Data from the COVID-19 pandemic period (2020–2022) has been excluded. </w:t>
      </w:r>
      <w:r w:rsidR="00B2493C">
        <w:t>5-year</w:t>
      </w:r>
      <w:r w:rsidR="00AE6330">
        <w:t xml:space="preserve"> rolling</w:t>
      </w:r>
      <w:r w:rsidR="00721869">
        <w:t xml:space="preserve"> </w:t>
      </w:r>
      <w:r w:rsidR="00B2493C">
        <w:t xml:space="preserve">average calculated </w:t>
      </w:r>
      <w:r w:rsidR="00141D31">
        <w:t>using</w:t>
      </w:r>
      <w:r w:rsidR="00B2493C">
        <w:t xml:space="preserve"> the </w:t>
      </w:r>
      <w:r w:rsidR="00AE6330">
        <w:t>four</w:t>
      </w:r>
      <w:r w:rsidR="00141D31">
        <w:t xml:space="preserve"> years prior to </w:t>
      </w:r>
      <w:r w:rsidR="00AE6330">
        <w:t>e</w:t>
      </w:r>
      <w:r w:rsidR="00141D31">
        <w:t>ach given year.</w:t>
      </w:r>
      <w:r w:rsidR="003602CA">
        <w:t xml:space="preserve"> Chart includes select countries for interpretability purposes.</w:t>
      </w:r>
    </w:p>
    <w:p w14:paraId="0CA01A58" w14:textId="61B92165" w:rsidR="009A4CD4" w:rsidRDefault="009A4CD4" w:rsidP="009A4CD4">
      <w:pPr>
        <w:pStyle w:val="Source"/>
      </w:pPr>
      <w:r w:rsidRPr="000307B9">
        <w:t>Source:</w:t>
      </w:r>
      <w:r>
        <w:t xml:space="preserve"> PC estimates based upon</w:t>
      </w:r>
      <w:r w:rsidR="00E45294" w:rsidRPr="00E45294">
        <w:t xml:space="preserve"> </w:t>
      </w:r>
      <w:proofErr w:type="spellStart"/>
      <w:r w:rsidR="00E45294" w:rsidRPr="00E45294">
        <w:t>Bergeaud</w:t>
      </w:r>
      <w:proofErr w:type="spellEnd"/>
      <w:r w:rsidR="00E45294" w:rsidRPr="00E45294">
        <w:t xml:space="preserve"> et al. </w:t>
      </w:r>
      <w:r w:rsidR="005136FC" w:rsidRPr="005136FC">
        <w:rPr>
          <w:rFonts w:ascii="Arial" w:hAnsi="Arial" w:cs="Arial"/>
        </w:rPr>
        <w:t>(2014, 2023)</w:t>
      </w:r>
      <w:r>
        <w:t>.</w:t>
      </w:r>
    </w:p>
    <w:p w14:paraId="3AC240D3" w14:textId="60A7560C" w:rsidR="00EE4427" w:rsidRDefault="00F733D5" w:rsidP="0007777D">
      <w:pPr>
        <w:pStyle w:val="BodyText"/>
      </w:pPr>
      <w:r>
        <w:t>A</w:t>
      </w:r>
      <w:r w:rsidR="004E33E9">
        <w:t>lthough</w:t>
      </w:r>
      <w:r w:rsidR="002825E3" w:rsidRPr="00577FD5">
        <w:t xml:space="preserve"> the timing differs, almost every OECD nation has experienced reduced rates of productivity growth between 2005 and 2019, compared with the previous 15 years. Indeed, average productivity growth halved across the OECD in that period</w:t>
      </w:r>
      <w:r w:rsidR="00B36B88">
        <w:t xml:space="preserve"> (figure 2)</w:t>
      </w:r>
      <w:r w:rsidR="008968F7">
        <w:t>.</w:t>
      </w:r>
    </w:p>
    <w:p w14:paraId="447BA896" w14:textId="6D66C123" w:rsidR="00BD1175" w:rsidRPr="00F72401" w:rsidRDefault="00BD1175" w:rsidP="00BD1175">
      <w:pPr>
        <w:pStyle w:val="BodyText"/>
        <w:keepNext/>
        <w:rPr>
          <w:rFonts w:ascii="Arial Black" w:hAnsi="Arial Black" w:cs="Segoe UI"/>
          <w:color w:val="000000"/>
          <w:shd w:val="clear" w:color="auto" w:fill="E1E3E6"/>
        </w:rPr>
      </w:pPr>
      <w:r>
        <w:rPr>
          <w:rStyle w:val="normaltextrun"/>
          <w:rFonts w:ascii="Arial Black" w:hAnsi="Arial Black"/>
          <w:color w:val="000000"/>
          <w:shd w:val="clear" w:color="auto" w:fill="FFFFFF"/>
          <w:lang w:val="en-GB"/>
        </w:rPr>
        <w:lastRenderedPageBreak/>
        <w:t xml:space="preserve">Figure </w:t>
      </w:r>
      <w:r w:rsidR="00B36B88">
        <w:rPr>
          <w:rStyle w:val="normaltextrun"/>
          <w:rFonts w:ascii="Arial Black" w:hAnsi="Arial Black"/>
          <w:color w:val="000000"/>
          <w:shd w:val="clear" w:color="auto" w:fill="FFFFFF"/>
          <w:lang w:val="en-GB"/>
        </w:rPr>
        <w:t>2</w:t>
      </w:r>
      <w:r>
        <w:rPr>
          <w:rStyle w:val="normaltextrun"/>
          <w:rFonts w:ascii="Arial Black" w:hAnsi="Arial Black"/>
          <w:color w:val="000000"/>
          <w:shd w:val="clear" w:color="auto" w:fill="FFFFFF"/>
          <w:lang w:val="en-GB"/>
        </w:rPr>
        <w:t> – </w:t>
      </w:r>
      <w:r w:rsidR="00E622B8">
        <w:rPr>
          <w:rStyle w:val="normaltextrun"/>
          <w:rFonts w:ascii="Arial Black" w:hAnsi="Arial Black"/>
          <w:color w:val="000000"/>
          <w:shd w:val="clear" w:color="auto" w:fill="FFFFFF"/>
          <w:lang w:val="en-GB"/>
        </w:rPr>
        <w:t xml:space="preserve">The productivity slowdown </w:t>
      </w:r>
      <w:r w:rsidR="00F36F32">
        <w:rPr>
          <w:rStyle w:val="normaltextrun"/>
          <w:rFonts w:ascii="Arial Black" w:hAnsi="Arial Black"/>
          <w:color w:val="000000"/>
          <w:shd w:val="clear" w:color="auto" w:fill="FFFFFF"/>
          <w:lang w:val="en-GB"/>
        </w:rPr>
        <w:t>starting point varies by country</w:t>
      </w:r>
    </w:p>
    <w:p w14:paraId="56FF6000" w14:textId="7E861160" w:rsidR="00BD1175" w:rsidRDefault="00250671" w:rsidP="00BD1175">
      <w:pPr>
        <w:pStyle w:val="BodyText"/>
        <w:keepNext/>
      </w:pPr>
      <w:r w:rsidRPr="00250671">
        <w:rPr>
          <w:noProof/>
        </w:rPr>
        <w:drawing>
          <wp:inline distT="0" distB="0" distL="0" distR="0" wp14:anchorId="0BF52758" wp14:editId="7F9E3E23">
            <wp:extent cx="6116320" cy="2881630"/>
            <wp:effectExtent l="0" t="0" r="0" b="0"/>
            <wp:docPr id="1089475170" name="Picture 19" descr="This figure is a bar chart which shows the annualised productivity growth from 1990 to 2005 and 2005 to 2019 of select OECD countries.  It demonstrates that the productivity decline has occurred across all countries, with the average annualised growth in productivity halving across the two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75170" name="Picture 19" descr="This figure is a bar chart which shows the annualised productivity growth from 1990 to 2005 and 2005 to 2019 of select OECD countries.  It demonstrates that the productivity decline has occurred across all countries, with the average annualised growth in productivity halving across the two perio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320" cy="2881630"/>
                    </a:xfrm>
                    <a:prstGeom prst="rect">
                      <a:avLst/>
                    </a:prstGeom>
                    <a:noFill/>
                    <a:ln>
                      <a:noFill/>
                    </a:ln>
                  </pic:spPr>
                </pic:pic>
              </a:graphicData>
            </a:graphic>
          </wp:inline>
        </w:drawing>
      </w:r>
    </w:p>
    <w:p w14:paraId="3593F789" w14:textId="21882546" w:rsidR="00443066" w:rsidRDefault="00C813C8" w:rsidP="005C01E7">
      <w:pPr>
        <w:pStyle w:val="Note"/>
      </w:pPr>
      <w:r w:rsidRPr="00C813C8">
        <w:t>Includes only the 24 longest standing OECD countries. For some countries, the historical average annual growth rate is calculated between 1995 and 2005 due to data limitations. Data from the COVID-19 pandemic period (2020–2022) has been excluded.</w:t>
      </w:r>
    </w:p>
    <w:p w14:paraId="521C42C1" w14:textId="4020BE7B" w:rsidR="00241A3A" w:rsidRDefault="00BD1175" w:rsidP="005C01E7">
      <w:pPr>
        <w:pStyle w:val="Source"/>
      </w:pPr>
      <w:r w:rsidRPr="00D53CBE">
        <w:t xml:space="preserve">Source: </w:t>
      </w:r>
      <w:r w:rsidR="00F1025B" w:rsidRPr="00D53CBE">
        <w:t>PC estimates based on OECD</w:t>
      </w:r>
      <w:r w:rsidR="00D53CBE" w:rsidRPr="00D53CBE">
        <w:t xml:space="preserve"> </w:t>
      </w:r>
      <w:r w:rsidR="00D53CBE" w:rsidRPr="00B45F91">
        <w:t>(2022)</w:t>
      </w:r>
      <w:r w:rsidR="00D53CBE" w:rsidRPr="00D53CBE">
        <w:t>.</w:t>
      </w:r>
    </w:p>
    <w:p w14:paraId="423071E1" w14:textId="5820DD49" w:rsidR="000A3A86" w:rsidRDefault="00391477" w:rsidP="00A615B4">
      <w:pPr>
        <w:pStyle w:val="BodyText"/>
      </w:pPr>
      <w:r>
        <w:t xml:space="preserve">Regardless of Australia’s position relative to the rest of the world, </w:t>
      </w:r>
      <w:proofErr w:type="gramStart"/>
      <w:r>
        <w:t xml:space="preserve">it </w:t>
      </w:r>
      <w:r w:rsidR="008A5868">
        <w:t>is clear</w:t>
      </w:r>
      <w:r w:rsidR="0031430D">
        <w:t xml:space="preserve"> </w:t>
      </w:r>
      <w:r w:rsidR="002C0FA4">
        <w:t>that Australia’s</w:t>
      </w:r>
      <w:proofErr w:type="gramEnd"/>
      <w:r w:rsidR="002C0FA4">
        <w:t xml:space="preserve"> labour productivity </w:t>
      </w:r>
      <w:r w:rsidR="00375E00">
        <w:t xml:space="preserve">growth </w:t>
      </w:r>
      <w:r w:rsidR="002C0FA4">
        <w:t xml:space="preserve">has slowed significantly. </w:t>
      </w:r>
      <w:r w:rsidR="00006A00">
        <w:t>L</w:t>
      </w:r>
      <w:r w:rsidR="002C0FA4">
        <w:t xml:space="preserve">abour productivity </w:t>
      </w:r>
      <w:r w:rsidR="00F56232">
        <w:t xml:space="preserve">growth </w:t>
      </w:r>
      <w:r w:rsidR="003E3D13">
        <w:t xml:space="preserve">over the </w:t>
      </w:r>
      <w:r w:rsidR="00160050">
        <w:t>period 2015–24</w:t>
      </w:r>
      <w:r w:rsidR="003E3D13">
        <w:t xml:space="preserve"> </w:t>
      </w:r>
      <w:r w:rsidR="00C57CE3">
        <w:t>was</w:t>
      </w:r>
      <w:r w:rsidR="002C0FA4">
        <w:t xml:space="preserve"> at its lowest </w:t>
      </w:r>
      <w:r w:rsidR="002C0FA4" w:rsidRPr="00FB46BA">
        <w:t xml:space="preserve">in </w:t>
      </w:r>
      <w:r w:rsidR="002967A5">
        <w:t xml:space="preserve">nearly </w:t>
      </w:r>
      <w:r w:rsidR="002C0FA4" w:rsidRPr="00FB46BA">
        <w:t>60</w:t>
      </w:r>
      <w:r w:rsidR="00B93EFB">
        <w:t> </w:t>
      </w:r>
      <w:r w:rsidR="002C0FA4" w:rsidRPr="00FB46BA">
        <w:t>years</w:t>
      </w:r>
      <w:r w:rsidR="002C0FA4">
        <w:t xml:space="preserve"> (figure </w:t>
      </w:r>
      <w:r w:rsidR="00A32FCF">
        <w:t>3</w:t>
      </w:r>
      <w:r w:rsidR="002C0FA4">
        <w:t>)</w:t>
      </w:r>
      <w:r w:rsidR="00611502">
        <w:t xml:space="preserve">, </w:t>
      </w:r>
      <w:r w:rsidR="00545F77">
        <w:t>which has</w:t>
      </w:r>
      <w:r w:rsidR="006C21E1">
        <w:t xml:space="preserve"> negative</w:t>
      </w:r>
      <w:r w:rsidR="00545F77">
        <w:t xml:space="preserve"> implications for incomes and living standards.</w:t>
      </w:r>
    </w:p>
    <w:p w14:paraId="5A7D3E40" w14:textId="6C6E7EE7" w:rsidR="006C27D7" w:rsidRDefault="006C27D7" w:rsidP="006C27D7">
      <w:pPr>
        <w:pStyle w:val="BodyText"/>
      </w:pPr>
      <w:r>
        <w:t xml:space="preserve">Several factors have contributed to this slowing productivity growth </w:t>
      </w:r>
      <w:r w:rsidRPr="00E6149C">
        <w:rPr>
          <w:rFonts w:ascii="Arial" w:hAnsi="Arial" w:cs="Arial"/>
        </w:rPr>
        <w:t>(PC 2025e)</w:t>
      </w:r>
      <w:r>
        <w:t>:</w:t>
      </w:r>
    </w:p>
    <w:p w14:paraId="11CA08C6" w14:textId="77777777" w:rsidR="006C27D7" w:rsidRDefault="006C27D7" w:rsidP="006C27D7">
      <w:pPr>
        <w:pStyle w:val="ListBullet"/>
        <w:numPr>
          <w:ilvl w:val="0"/>
          <w:numId w:val="17"/>
        </w:numPr>
      </w:pPr>
      <w:r w:rsidRPr="0052022A">
        <w:rPr>
          <w:b/>
          <w:bCs/>
        </w:rPr>
        <w:t>The rise (and rise) of the non-market services sector</w:t>
      </w:r>
      <w:r>
        <w:t>: In the last decade, non-market (government funded) health, education and care services have grown particularly rapidly in Australia. Since these sectors have lower measured productivity, their expansion weighs on overall productivity growth.</w:t>
      </w:r>
    </w:p>
    <w:p w14:paraId="0EBF6082" w14:textId="77777777" w:rsidR="006C27D7" w:rsidRDefault="006C27D7" w:rsidP="006C27D7">
      <w:pPr>
        <w:pStyle w:val="ListBullet"/>
        <w:numPr>
          <w:ilvl w:val="0"/>
          <w:numId w:val="17"/>
        </w:numPr>
      </w:pPr>
      <w:r w:rsidRPr="00DD13AC">
        <w:rPr>
          <w:b/>
          <w:bCs/>
        </w:rPr>
        <w:t>Smaller gains from technology and its diffusion</w:t>
      </w:r>
      <w:r>
        <w:t>: Recent technological advances have delivered smaller productivity gains than has been the case historically. In addition, Australia has become less good at adopting and adapting technologies from elsewhere, and Australian firms have increasingly fallen behind the global productivity frontier.</w:t>
      </w:r>
    </w:p>
    <w:p w14:paraId="5EE62721" w14:textId="77777777" w:rsidR="006C27D7" w:rsidRDefault="006C27D7" w:rsidP="006C27D7">
      <w:pPr>
        <w:pStyle w:val="ListBullet"/>
        <w:numPr>
          <w:ilvl w:val="0"/>
          <w:numId w:val="17"/>
        </w:numPr>
      </w:pPr>
      <w:r>
        <w:rPr>
          <w:b/>
          <w:bCs/>
        </w:rPr>
        <w:t>Stalling investment</w:t>
      </w:r>
      <w:r>
        <w:t>: Weak growth in business investment has constrained capital deepening.</w:t>
      </w:r>
    </w:p>
    <w:p w14:paraId="3E77F6E7" w14:textId="77777777" w:rsidR="006C27D7" w:rsidRDefault="006C27D7" w:rsidP="006C27D7">
      <w:pPr>
        <w:pStyle w:val="ListBullet"/>
        <w:numPr>
          <w:ilvl w:val="0"/>
          <w:numId w:val="17"/>
        </w:numPr>
      </w:pPr>
      <w:r w:rsidRPr="002445CD">
        <w:rPr>
          <w:b/>
          <w:bCs/>
        </w:rPr>
        <w:t>Declining economic dynamism could play a role</w:t>
      </w:r>
      <w:r>
        <w:t xml:space="preserve">: Labour mobility has been in decline since the 1990s, and there is growing evidence that workers are less likely to move to higher productivity jobs and firms when they do switch jobs. New business formation also fell somewhat between 2005 and </w:t>
      </w:r>
      <w:proofErr w:type="gramStart"/>
      <w:r>
        <w:t>2013, and</w:t>
      </w:r>
      <w:proofErr w:type="gramEnd"/>
      <w:r>
        <w:t xml:space="preserve"> has stagnated more recently.</w:t>
      </w:r>
    </w:p>
    <w:p w14:paraId="1B47D490" w14:textId="77777777" w:rsidR="006C27D7" w:rsidRDefault="006C27D7" w:rsidP="006C27D7">
      <w:pPr>
        <w:pStyle w:val="ListBullet"/>
        <w:numPr>
          <w:ilvl w:val="0"/>
          <w:numId w:val="17"/>
        </w:numPr>
      </w:pPr>
      <w:r>
        <w:rPr>
          <w:b/>
          <w:bCs/>
        </w:rPr>
        <w:t xml:space="preserve">Lack of appetite for economic </w:t>
      </w:r>
      <w:r w:rsidRPr="00EE0BFC">
        <w:rPr>
          <w:b/>
          <w:bCs/>
        </w:rPr>
        <w:t>policy reform</w:t>
      </w:r>
      <w:r>
        <w:t>: Fewer structural reforms in productivity-enhancing areas have reduced economy-wide incentives to lift efficiency.</w:t>
      </w:r>
    </w:p>
    <w:p w14:paraId="2DB24738" w14:textId="77777777" w:rsidR="006C27D7" w:rsidRDefault="006C27D7" w:rsidP="006C27D7">
      <w:pPr>
        <w:pStyle w:val="ListBullet"/>
        <w:numPr>
          <w:ilvl w:val="0"/>
          <w:numId w:val="17"/>
        </w:numPr>
      </w:pPr>
      <w:r w:rsidRPr="006E6EFC">
        <w:rPr>
          <w:b/>
          <w:bCs/>
        </w:rPr>
        <w:t>Other potential causes</w:t>
      </w:r>
      <w:r w:rsidRPr="00AD6111">
        <w:t>:</w:t>
      </w:r>
      <w:r>
        <w:t xml:space="preserve"> These include a reduction in the rate of growth of global trade (which has been shown to be a factor in other advanced economies), and declining returns from education.</w:t>
      </w:r>
    </w:p>
    <w:p w14:paraId="32417C73" w14:textId="7FD61DC5" w:rsidR="002C0FA4" w:rsidRPr="00F72401" w:rsidRDefault="002C0FA4" w:rsidP="00006A00">
      <w:pPr>
        <w:pStyle w:val="BodyText"/>
        <w:keepNext/>
        <w:rPr>
          <w:rFonts w:ascii="Arial Black" w:hAnsi="Arial Black" w:cs="Segoe UI"/>
          <w:color w:val="000000"/>
          <w:shd w:val="clear" w:color="auto" w:fill="E1E3E6"/>
        </w:rPr>
      </w:pPr>
      <w:r>
        <w:rPr>
          <w:rStyle w:val="normaltextrun"/>
          <w:rFonts w:ascii="Arial Black" w:hAnsi="Arial Black"/>
          <w:color w:val="000000"/>
          <w:shd w:val="clear" w:color="auto" w:fill="FFFFFF"/>
          <w:lang w:val="en-GB"/>
        </w:rPr>
        <w:lastRenderedPageBreak/>
        <w:t xml:space="preserve">Figure </w:t>
      </w:r>
      <w:r w:rsidR="00A32FCF">
        <w:rPr>
          <w:rStyle w:val="normaltextrun"/>
          <w:rFonts w:ascii="Arial Black" w:hAnsi="Arial Black"/>
          <w:color w:val="000000"/>
          <w:shd w:val="clear" w:color="auto" w:fill="FFFFFF"/>
          <w:lang w:val="en-GB"/>
        </w:rPr>
        <w:t>3</w:t>
      </w:r>
      <w:r>
        <w:rPr>
          <w:rStyle w:val="normaltextrun"/>
          <w:rFonts w:ascii="Arial Black" w:hAnsi="Arial Black"/>
          <w:color w:val="000000"/>
          <w:shd w:val="clear" w:color="auto" w:fill="FFFFFF"/>
          <w:lang w:val="en-GB"/>
        </w:rPr>
        <w:t> – Australia’s productivity growth is at its lowest rate in 59 years</w:t>
      </w:r>
    </w:p>
    <w:p w14:paraId="15501FBF" w14:textId="7FF51FB2" w:rsidR="002C0FA4" w:rsidRDefault="00E20AB9" w:rsidP="00192A92">
      <w:pPr>
        <w:pStyle w:val="BodyText"/>
        <w:keepNext/>
      </w:pPr>
      <w:r w:rsidRPr="00E20AB9">
        <w:rPr>
          <w:noProof/>
        </w:rPr>
        <w:drawing>
          <wp:inline distT="0" distB="0" distL="0" distR="0" wp14:anchorId="2EA1E160" wp14:editId="0A7403CD">
            <wp:extent cx="5770880" cy="2874010"/>
            <wp:effectExtent l="0" t="0" r="0" b="0"/>
            <wp:docPr id="848090217" name="Picture 18" descr="This figure is a bar chart which shows the average productivity growth for each of the last six decades in Australia. It shows that productivity was 2.4% from 1965 to 1975, 2.3% from 1975 to 1985, 1.1% from 1985 to 1995, 2.3% from 1995 to 2005, 1.3% from 2005 to 2015 and 0.4% from 2015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90217" name="Picture 18" descr="This figure is a bar chart which shows the average productivity growth for each of the last six decades in Australia. It shows that productivity was 2.4% from 1965 to 1975, 2.3% from 1975 to 1985, 1.1% from 1985 to 1995, 2.3% from 1995 to 2005, 1.3% from 2005 to 2015 and 0.4% from 2015 to 20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0880" cy="2874010"/>
                    </a:xfrm>
                    <a:prstGeom prst="rect">
                      <a:avLst/>
                    </a:prstGeom>
                    <a:noFill/>
                    <a:ln>
                      <a:noFill/>
                    </a:ln>
                  </pic:spPr>
                </pic:pic>
              </a:graphicData>
            </a:graphic>
          </wp:inline>
        </w:drawing>
      </w:r>
    </w:p>
    <w:p w14:paraId="5D721D2B" w14:textId="166EEEBF" w:rsidR="007D23E1" w:rsidRDefault="00697677" w:rsidP="003A67E0">
      <w:pPr>
        <w:pStyle w:val="Note"/>
      </w:pPr>
      <w:r>
        <w:t>*</w:t>
      </w:r>
      <w:r w:rsidR="002C0FA4" w:rsidRPr="00D83D74">
        <w:t>2015 to 2024 average is calculated over a nine-year period. Labour productivity calculated as GDP per hour worked</w:t>
      </w:r>
      <w:r w:rsidR="00AC07B5">
        <w:t>.</w:t>
      </w:r>
      <w:r w:rsidR="002C0FA4" w:rsidRPr="00D83D74">
        <w:t xml:space="preserve"> GDP data sourced from the ABS between 1964-65 and 2022-23. Hours worked data from Penn World Tables for between 1964-65 and 1973-74 and from the ABS between 1974-75 and 2023-24.</w:t>
      </w:r>
    </w:p>
    <w:p w14:paraId="53739DA4" w14:textId="40337E8C" w:rsidR="004D5BB9" w:rsidRDefault="004D5BB9" w:rsidP="00192A92">
      <w:pPr>
        <w:pStyle w:val="Source"/>
      </w:pPr>
      <w:r w:rsidRPr="000307B9">
        <w:t>Source:</w:t>
      </w:r>
      <w:r>
        <w:t xml:space="preserve"> PC estimates based upon ABS </w:t>
      </w:r>
      <w:r w:rsidRPr="00F75124">
        <w:rPr>
          <w:rFonts w:ascii="Arial" w:hAnsi="Arial" w:cs="Arial"/>
        </w:rPr>
        <w:t>(2025a)</w:t>
      </w:r>
      <w:r>
        <w:t xml:space="preserve"> and Feenstra et al. </w:t>
      </w:r>
      <w:r w:rsidRPr="007626A5">
        <w:rPr>
          <w:rFonts w:ascii="Arial" w:hAnsi="Arial" w:cs="Arial"/>
        </w:rPr>
        <w:t>(2015)</w:t>
      </w:r>
      <w:r>
        <w:t>.</w:t>
      </w:r>
    </w:p>
    <w:p w14:paraId="7DA9FE09" w14:textId="60FF7AFD" w:rsidR="00226108" w:rsidRDefault="00226108" w:rsidP="00226108">
      <w:pPr>
        <w:pStyle w:val="BodyText"/>
      </w:pPr>
      <w:r>
        <w:t>Many of the same structural factors have been at play internationally.</w:t>
      </w:r>
      <w:r w:rsidR="00E8779C" w:rsidRPr="00E8779C">
        <w:t xml:space="preserve"> </w:t>
      </w:r>
      <w:r w:rsidR="00E8779C" w:rsidRPr="00AD6111">
        <w:t xml:space="preserve">In addition to these causes, measurement issues (discussed </w:t>
      </w:r>
      <w:r w:rsidR="00E8779C">
        <w:t>later in the paper</w:t>
      </w:r>
      <w:r w:rsidR="00E8779C" w:rsidRPr="00AD6111">
        <w:t>) play a role.</w:t>
      </w:r>
    </w:p>
    <w:bookmarkEnd w:id="1"/>
    <w:p w14:paraId="186911A6" w14:textId="1AC561CA" w:rsidR="00072C4E" w:rsidRPr="00072C4E" w:rsidRDefault="002B39E3" w:rsidP="00072C4E">
      <w:pPr>
        <w:pStyle w:val="BodyText"/>
      </w:pPr>
      <w:r>
        <w:t>Improving m</w:t>
      </w:r>
      <w:r w:rsidR="00301C74">
        <w:t xml:space="preserve">any </w:t>
      </w:r>
      <w:r w:rsidR="00072C4E" w:rsidRPr="00072C4E">
        <w:t xml:space="preserve">of </w:t>
      </w:r>
      <w:r w:rsidR="00301C74">
        <w:t>these factors</w:t>
      </w:r>
      <w:r w:rsidR="00072C4E" w:rsidRPr="00072C4E">
        <w:t xml:space="preserve"> </w:t>
      </w:r>
      <w:r>
        <w:t>lie</w:t>
      </w:r>
      <w:r w:rsidR="00F40593">
        <w:t>s</w:t>
      </w:r>
      <w:r>
        <w:t xml:space="preserve"> largely </w:t>
      </w:r>
      <w:r w:rsidR="00072C4E" w:rsidRPr="00072C4E">
        <w:t xml:space="preserve">outside the control of Australian governments. </w:t>
      </w:r>
      <w:r w:rsidR="007C005B">
        <w:t>T</w:t>
      </w:r>
      <w:r w:rsidR="00072C4E" w:rsidRPr="00072C4E">
        <w:t xml:space="preserve">he pace of ideas generation around the globe, and global trade and security policy settings, </w:t>
      </w:r>
      <w:r w:rsidR="006B24F2">
        <w:t xml:space="preserve">for example, </w:t>
      </w:r>
      <w:r w:rsidR="00072C4E" w:rsidRPr="00072C4E">
        <w:t>as well as local factors like demographics, the structure of the economy, and the decisions and performance of Australian business leaders</w:t>
      </w:r>
      <w:r w:rsidR="00C20AC6">
        <w:t xml:space="preserve"> </w:t>
      </w:r>
      <w:r w:rsidR="00496ED9">
        <w:t>are factors over which Australian governments have little influence</w:t>
      </w:r>
      <w:r w:rsidR="00072C4E" w:rsidRPr="00072C4E">
        <w:t xml:space="preserve">. </w:t>
      </w:r>
    </w:p>
    <w:p w14:paraId="7B04F42F" w14:textId="386C3BA3" w:rsidR="00F111E3" w:rsidRDefault="00072C4E" w:rsidP="003A67E0">
      <w:pPr>
        <w:pStyle w:val="BodyText"/>
      </w:pPr>
      <w:r w:rsidRPr="00072C4E">
        <w:t>But even if they don’t control everything, the policy choices governments make can shape Australia’s future productivity and economic growth.</w:t>
      </w:r>
      <w:r w:rsidR="00EC11A0">
        <w:t xml:space="preserve"> </w:t>
      </w:r>
      <w:r w:rsidR="00F37C44" w:rsidRPr="00F37C44">
        <w:t xml:space="preserve">Governments steward future improvements in our living standards by supporting ‘enablers’ of productivity growth like education, skills and training, research, and health and care services. Tax and transfer policies, regulatory and competition policy settings influence incentives to work and invest, and the movement of workers and resources around the economy. </w:t>
      </w:r>
      <w:r w:rsidR="00CE1B39">
        <w:t>And government</w:t>
      </w:r>
      <w:r w:rsidR="00D82738">
        <w:t>s</w:t>
      </w:r>
      <w:r w:rsidR="00CE1B39">
        <w:t xml:space="preserve"> </w:t>
      </w:r>
      <w:r w:rsidR="000E3264">
        <w:t>fund</w:t>
      </w:r>
      <w:r w:rsidR="008D2DB5">
        <w:t>, and sometimes deliver,</w:t>
      </w:r>
      <w:r w:rsidR="00D82738">
        <w:t xml:space="preserve"> </w:t>
      </w:r>
      <w:r w:rsidR="0074628C">
        <w:t>infrastructure and services</w:t>
      </w:r>
      <w:r w:rsidR="00072E3F">
        <w:t>,</w:t>
      </w:r>
      <w:r w:rsidR="0074628C">
        <w:t xml:space="preserve"> </w:t>
      </w:r>
      <w:r w:rsidR="008D2DB5" w:rsidRPr="008D2DB5">
        <w:t>meaning the productivity of government</w:t>
      </w:r>
      <w:r w:rsidR="00072E3F">
        <w:t>-</w:t>
      </w:r>
      <w:r w:rsidR="008D2DB5" w:rsidRPr="008D2DB5">
        <w:t>delivered services has a direct impact on Australia’s overall productivity levels</w:t>
      </w:r>
      <w:r w:rsidR="00DF3A62">
        <w:t>.</w:t>
      </w:r>
    </w:p>
    <w:p w14:paraId="3EDAF4B5" w14:textId="294D53E7" w:rsidR="00D10504" w:rsidRDefault="00D10504" w:rsidP="009F6D03">
      <w:pPr>
        <w:pStyle w:val="Heading2-nonumber"/>
      </w:pPr>
      <w:bookmarkStart w:id="2" w:name="_Toc219280600"/>
      <w:r w:rsidRPr="00D10504">
        <w:t>Industry contributions to productivity</w:t>
      </w:r>
      <w:r w:rsidR="00822389">
        <w:t xml:space="preserve"> growth</w:t>
      </w:r>
      <w:r w:rsidRPr="00D10504">
        <w:t xml:space="preserve">, including </w:t>
      </w:r>
      <w:r w:rsidR="00822389">
        <w:t xml:space="preserve">in </w:t>
      </w:r>
      <w:r w:rsidRPr="00D10504">
        <w:t>the non-market sector</w:t>
      </w:r>
      <w:bookmarkEnd w:id="2"/>
    </w:p>
    <w:p w14:paraId="41580002" w14:textId="357AAC77" w:rsidR="00010D5F" w:rsidRDefault="003A60E1" w:rsidP="00010D5F">
      <w:pPr>
        <w:pStyle w:val="Heading3"/>
      </w:pPr>
      <w:r>
        <w:t>P</w:t>
      </w:r>
      <w:r w:rsidR="002A302B">
        <w:t xml:space="preserve">roductivity </w:t>
      </w:r>
      <w:r w:rsidR="00822389">
        <w:t xml:space="preserve">growth </w:t>
      </w:r>
      <w:r w:rsidR="002A302B">
        <w:t xml:space="preserve">varies </w:t>
      </w:r>
      <w:r w:rsidR="0034020A">
        <w:t xml:space="preserve">across </w:t>
      </w:r>
      <w:r w:rsidR="003F086D">
        <w:t>industr</w:t>
      </w:r>
      <w:r>
        <w:t>ies</w:t>
      </w:r>
      <w:r w:rsidR="003F086D">
        <w:t xml:space="preserve"> </w:t>
      </w:r>
    </w:p>
    <w:p w14:paraId="2235FFA5" w14:textId="6F736F28" w:rsidR="005F279C" w:rsidRPr="00DA79F6" w:rsidRDefault="00CD7374" w:rsidP="00DA79F6">
      <w:pPr>
        <w:rPr>
          <w:rStyle w:val="normaltextrun"/>
        </w:rPr>
      </w:pPr>
      <w:r>
        <w:t xml:space="preserve">Productivity </w:t>
      </w:r>
      <w:r w:rsidR="00662857">
        <w:t>growth</w:t>
      </w:r>
      <w:r>
        <w:t xml:space="preserve"> varies significantly </w:t>
      </w:r>
      <w:r w:rsidR="00B260A8">
        <w:t>at the indus</w:t>
      </w:r>
      <w:r w:rsidR="00D661E7">
        <w:t>try level</w:t>
      </w:r>
      <w:r w:rsidR="00DA79F6">
        <w:t xml:space="preserve"> (</w:t>
      </w:r>
      <w:r w:rsidR="00B260A8">
        <w:t>f</w:t>
      </w:r>
      <w:r w:rsidR="00DA79F6">
        <w:t xml:space="preserve">igure </w:t>
      </w:r>
      <w:r w:rsidR="00B260A8">
        <w:t>4</w:t>
      </w:r>
      <w:r w:rsidR="00DA79F6">
        <w:t>)</w:t>
      </w:r>
      <w:r w:rsidR="00EA5DAD">
        <w:t>.</w:t>
      </w:r>
      <w:r w:rsidR="00FD33C1">
        <w:t xml:space="preserve"> </w:t>
      </w:r>
      <w:r w:rsidR="009661E4">
        <w:t xml:space="preserve">For example, </w:t>
      </w:r>
      <w:r w:rsidR="0091028D">
        <w:t xml:space="preserve">the </w:t>
      </w:r>
      <w:r w:rsidR="005F279C" w:rsidRPr="005F279C">
        <w:t xml:space="preserve">information media and telecommunications </w:t>
      </w:r>
      <w:r w:rsidR="00D661E7">
        <w:t>industry</w:t>
      </w:r>
      <w:r w:rsidR="00541217">
        <w:t xml:space="preserve"> </w:t>
      </w:r>
      <w:proofErr w:type="gramStart"/>
      <w:r w:rsidR="00541217">
        <w:t>has</w:t>
      </w:r>
      <w:proofErr w:type="gramEnd"/>
      <w:r w:rsidR="00541217">
        <w:t xml:space="preserve"> taken the lead </w:t>
      </w:r>
      <w:r w:rsidR="00F4466F">
        <w:t>in productivity growth since 2020</w:t>
      </w:r>
      <w:r w:rsidR="007F238E">
        <w:t xml:space="preserve">, </w:t>
      </w:r>
      <w:r w:rsidR="00C4308F">
        <w:t>while m</w:t>
      </w:r>
      <w:r w:rsidR="005F279C" w:rsidRPr="005F279C">
        <w:t xml:space="preserve">ining, which has historically been a strong performer, has been on a general downward trend since around 2017. More </w:t>
      </w:r>
      <w:r w:rsidR="005F279C" w:rsidRPr="005F279C">
        <w:lastRenderedPageBreak/>
        <w:t xml:space="preserve">recently, productivity growth in utilities has been below average, and </w:t>
      </w:r>
      <w:r w:rsidR="00C6271F">
        <w:t>for at least a decade</w:t>
      </w:r>
      <w:r w:rsidR="00500B1F">
        <w:t>,</w:t>
      </w:r>
      <w:r w:rsidR="00C6271F">
        <w:t xml:space="preserve"> </w:t>
      </w:r>
      <w:r w:rsidR="005F279C" w:rsidRPr="005F279C">
        <w:t>construction has consistently detracted from economy-wide productivity growth.</w:t>
      </w:r>
      <w:r w:rsidR="00BE6130">
        <w:t xml:space="preserve"> </w:t>
      </w:r>
    </w:p>
    <w:p w14:paraId="7427648E" w14:textId="77777777" w:rsidR="006F27B9" w:rsidRDefault="00AF255E" w:rsidP="006F27B9">
      <w:pPr>
        <w:pStyle w:val="FigureTableHeading"/>
        <w:rPr>
          <w:rStyle w:val="normaltextrun"/>
          <w:rFonts w:ascii="Arial Black" w:hAnsi="Arial Black"/>
          <w:color w:val="000000"/>
          <w:shd w:val="clear" w:color="auto" w:fill="FFFFFF"/>
          <w:lang w:val="en-GB"/>
        </w:rPr>
      </w:pPr>
      <w:r w:rsidRPr="00A210A2">
        <w:rPr>
          <w:rStyle w:val="normaltextrun"/>
          <w:rFonts w:ascii="Arial Black" w:hAnsi="Arial Black"/>
          <w:color w:val="000000"/>
          <w:shd w:val="clear" w:color="auto" w:fill="FFFFFF"/>
          <w:lang w:val="en-GB"/>
        </w:rPr>
        <w:t xml:space="preserve">Figure </w:t>
      </w:r>
      <w:r w:rsidR="00E849F2">
        <w:rPr>
          <w:rStyle w:val="normaltextrun"/>
          <w:rFonts w:ascii="Arial Black" w:hAnsi="Arial Black"/>
          <w:color w:val="000000"/>
          <w:shd w:val="clear" w:color="auto" w:fill="FFFFFF"/>
          <w:lang w:val="en-GB"/>
        </w:rPr>
        <w:t>4</w:t>
      </w:r>
      <w:r w:rsidRPr="00A210A2">
        <w:rPr>
          <w:rStyle w:val="normaltextrun"/>
          <w:rFonts w:ascii="Arial Black" w:hAnsi="Arial Black"/>
          <w:color w:val="000000"/>
          <w:shd w:val="clear" w:color="auto" w:fill="FFFFFF"/>
          <w:lang w:val="en-GB"/>
        </w:rPr>
        <w:t> – </w:t>
      </w:r>
      <w:r w:rsidR="009633E4" w:rsidRPr="00A210A2">
        <w:rPr>
          <w:rStyle w:val="normaltextrun"/>
          <w:rFonts w:ascii="Arial Black" w:hAnsi="Arial Black"/>
          <w:color w:val="000000"/>
          <w:shd w:val="clear" w:color="auto" w:fill="FFFFFF"/>
          <w:lang w:val="en-GB"/>
        </w:rPr>
        <w:t>Productivity</w:t>
      </w:r>
      <w:r w:rsidR="00F859D2">
        <w:rPr>
          <w:rStyle w:val="normaltextrun"/>
          <w:rFonts w:ascii="Arial Black" w:hAnsi="Arial Black"/>
          <w:color w:val="000000"/>
          <w:shd w:val="clear" w:color="auto" w:fill="FFFFFF"/>
          <w:lang w:val="en-GB"/>
        </w:rPr>
        <w:t xml:space="preserve"> growth</w:t>
      </w:r>
      <w:r w:rsidR="009633E4" w:rsidRPr="00A210A2">
        <w:rPr>
          <w:rStyle w:val="normaltextrun"/>
          <w:rFonts w:ascii="Arial Black" w:hAnsi="Arial Black"/>
          <w:color w:val="000000"/>
          <w:shd w:val="clear" w:color="auto" w:fill="FFFFFF"/>
          <w:lang w:val="en-GB"/>
        </w:rPr>
        <w:t xml:space="preserve"> </w:t>
      </w:r>
      <w:r w:rsidR="00707F26" w:rsidRPr="00A210A2">
        <w:rPr>
          <w:rStyle w:val="normaltextrun"/>
          <w:rFonts w:ascii="Arial Black" w:hAnsi="Arial Black"/>
          <w:color w:val="000000"/>
          <w:shd w:val="clear" w:color="auto" w:fill="FFFFFF"/>
          <w:lang w:val="en-GB"/>
        </w:rPr>
        <w:t>varie</w:t>
      </w:r>
      <w:r w:rsidR="00001CCE">
        <w:rPr>
          <w:rStyle w:val="normaltextrun"/>
          <w:rFonts w:ascii="Arial Black" w:hAnsi="Arial Black"/>
          <w:color w:val="000000"/>
          <w:shd w:val="clear" w:color="auto" w:fill="FFFFFF"/>
          <w:lang w:val="en-GB"/>
        </w:rPr>
        <w:t>d</w:t>
      </w:r>
      <w:r w:rsidR="00707F26" w:rsidRPr="00A210A2">
        <w:rPr>
          <w:rStyle w:val="normaltextrun"/>
          <w:rFonts w:ascii="Arial Black" w:hAnsi="Arial Black"/>
          <w:color w:val="000000"/>
          <w:shd w:val="clear" w:color="auto" w:fill="FFFFFF"/>
          <w:lang w:val="en-GB"/>
        </w:rPr>
        <w:t xml:space="preserve"> significantly </w:t>
      </w:r>
      <w:r w:rsidR="00001CCE">
        <w:rPr>
          <w:rStyle w:val="normaltextrun"/>
          <w:rFonts w:ascii="Arial Black" w:hAnsi="Arial Black"/>
          <w:color w:val="000000"/>
          <w:shd w:val="clear" w:color="auto" w:fill="FFFFFF"/>
          <w:lang w:val="en-GB"/>
        </w:rPr>
        <w:t>by</w:t>
      </w:r>
      <w:r w:rsidR="00DB508C" w:rsidRPr="00A210A2">
        <w:rPr>
          <w:rStyle w:val="normaltextrun"/>
          <w:rFonts w:ascii="Arial Black" w:hAnsi="Arial Black"/>
          <w:color w:val="000000"/>
          <w:shd w:val="clear" w:color="auto" w:fill="FFFFFF"/>
          <w:lang w:val="en-GB"/>
        </w:rPr>
        <w:t xml:space="preserve"> industr</w:t>
      </w:r>
      <w:r w:rsidR="00001CCE">
        <w:rPr>
          <w:rStyle w:val="normaltextrun"/>
          <w:rFonts w:ascii="Arial Black" w:hAnsi="Arial Black"/>
          <w:color w:val="000000"/>
          <w:shd w:val="clear" w:color="auto" w:fill="FFFFFF"/>
          <w:lang w:val="en-GB"/>
        </w:rPr>
        <w:t>y from 2014 to 2024</w:t>
      </w:r>
    </w:p>
    <w:p w14:paraId="08959DAE" w14:textId="69C4DC94" w:rsidR="0081045D" w:rsidRPr="006F27B9" w:rsidRDefault="00FB22A3" w:rsidP="006F27B9">
      <w:pPr>
        <w:pStyle w:val="BodyText"/>
      </w:pPr>
      <w:r w:rsidRPr="00FB22A3">
        <w:rPr>
          <w:noProof/>
        </w:rPr>
        <w:drawing>
          <wp:inline distT="0" distB="0" distL="0" distR="0" wp14:anchorId="1E5E695A" wp14:editId="0E935B9C">
            <wp:extent cx="6120130" cy="3034665"/>
            <wp:effectExtent l="0" t="0" r="0" b="0"/>
            <wp:docPr id="253049346" name="Picture 20" descr="This figure is a bar chart showing the 10-year annualised productivity growth of Australian industries. IT has grown by approximately 5% per year, while most other industries have grown by up to 2% per year. Construction and utilities industries were the poorest performers, with productivity falling annually by 1.3% and 0.8%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49346" name="Picture 20" descr="This figure is a bar chart showing the 10-year annualised productivity growth of Australian industries. IT has grown by approximately 5% per year, while most other industries have grown by up to 2% per year. Construction and utilities industries were the poorest performers, with productivity falling annually by 1.3% and 0.8% respectivel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034665"/>
                    </a:xfrm>
                    <a:prstGeom prst="rect">
                      <a:avLst/>
                    </a:prstGeom>
                    <a:noFill/>
                    <a:ln>
                      <a:noFill/>
                    </a:ln>
                  </pic:spPr>
                </pic:pic>
              </a:graphicData>
            </a:graphic>
          </wp:inline>
        </w:drawing>
      </w:r>
    </w:p>
    <w:p w14:paraId="58FA2B0C" w14:textId="47FD9D74" w:rsidR="00D454D8" w:rsidRPr="00A210A2" w:rsidRDefault="0081045D" w:rsidP="00D661E7">
      <w:pPr>
        <w:pStyle w:val="Source"/>
      </w:pPr>
      <w:r w:rsidRPr="00A210A2">
        <w:t xml:space="preserve">Source: </w:t>
      </w:r>
      <w:r w:rsidR="00D661E7">
        <w:t xml:space="preserve">PC analysis using ABS </w:t>
      </w:r>
      <w:r w:rsidR="00F75124" w:rsidRPr="00617959">
        <w:t xml:space="preserve">(2025a, </w:t>
      </w:r>
      <w:r w:rsidR="00305773">
        <w:t>tabl</w:t>
      </w:r>
      <w:r w:rsidR="00DB74E6">
        <w:t>e</w:t>
      </w:r>
      <w:r w:rsidR="00F75124" w:rsidRPr="00617959">
        <w:t> 5)</w:t>
      </w:r>
      <w:r w:rsidRPr="00A210A2">
        <w:t>.</w:t>
      </w:r>
    </w:p>
    <w:p w14:paraId="105C3A27" w14:textId="3A786073" w:rsidR="00A615B4" w:rsidRDefault="00C4688F" w:rsidP="00A615B4">
      <w:pPr>
        <w:pStyle w:val="BodyText"/>
      </w:pPr>
      <w:r>
        <w:t>P</w:t>
      </w:r>
      <w:r w:rsidR="00076AD5">
        <w:t xml:space="preserve">roductivity </w:t>
      </w:r>
      <w:r w:rsidR="004F4638">
        <w:t xml:space="preserve">growth </w:t>
      </w:r>
      <w:r w:rsidR="00076AD5">
        <w:t xml:space="preserve">in the market sector </w:t>
      </w:r>
      <w:r w:rsidR="00773285">
        <w:t xml:space="preserve">is significantly outpacing </w:t>
      </w:r>
      <w:r w:rsidR="00E1700B">
        <w:t>growth in</w:t>
      </w:r>
      <w:r w:rsidR="00773285">
        <w:t xml:space="preserve"> the non-market sector (figure 5).</w:t>
      </w:r>
      <w:r w:rsidR="00BD4B20">
        <w:t xml:space="preserve"> Indeed,</w:t>
      </w:r>
      <w:r w:rsidR="006176C0">
        <w:t xml:space="preserve"> while aggregate productivity rose by 0.8% over the year to September 2025, the market sector rose by 1.0% while the non-market sector saw productivity decline by 0.3%</w:t>
      </w:r>
      <w:r w:rsidR="00BD4B20">
        <w:t>.</w:t>
      </w:r>
    </w:p>
    <w:p w14:paraId="1706C254" w14:textId="6D7981BF" w:rsidR="006176C0" w:rsidRPr="00661432" w:rsidRDefault="006176C0" w:rsidP="006F27B9">
      <w:pPr>
        <w:pStyle w:val="FigureTableHeading"/>
        <w:rPr>
          <w:rFonts w:cs="Segoe UI"/>
          <w:shd w:val="clear" w:color="auto" w:fill="E1E3E6"/>
        </w:rPr>
      </w:pPr>
      <w:r w:rsidRPr="00F72401">
        <w:t xml:space="preserve">Figure </w:t>
      </w:r>
      <w:r w:rsidR="00773285">
        <w:t>5</w:t>
      </w:r>
      <w:r w:rsidRPr="00F72401">
        <w:t xml:space="preserve"> – </w:t>
      </w:r>
      <w:r>
        <w:t xml:space="preserve">Productivity </w:t>
      </w:r>
      <w:r w:rsidR="00F859D2">
        <w:t xml:space="preserve">growth </w:t>
      </w:r>
      <w:r>
        <w:t>in t</w:t>
      </w:r>
      <w:r w:rsidRPr="00F72401">
        <w:t xml:space="preserve">he non-market sector is </w:t>
      </w:r>
      <w:r>
        <w:t>underperforming</w:t>
      </w:r>
    </w:p>
    <w:p w14:paraId="7959C915" w14:textId="150C0AF9" w:rsidR="006176C0" w:rsidRDefault="00F00061" w:rsidP="00B7149D">
      <w:pPr>
        <w:pStyle w:val="BodyText"/>
      </w:pPr>
      <w:r w:rsidRPr="00F00061">
        <w:rPr>
          <w:noProof/>
        </w:rPr>
        <w:drawing>
          <wp:inline distT="0" distB="0" distL="0" distR="0" wp14:anchorId="7D6508C7" wp14:editId="55772173">
            <wp:extent cx="6080760" cy="2823210"/>
            <wp:effectExtent l="0" t="0" r="0" b="0"/>
            <wp:docPr id="1244250036" name="Picture 7" descr="This figure is a line chart showing how productivity has grown over the last ten years, disaggregated by market and non-market sectors. It suggests that non-market sector productivity has fallen in recent years such that productivity is lower now than it was in 2014, while market sector productivity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0036" name="Picture 7" descr="This figure is a line chart showing how productivity has grown over the last ten years, disaggregated by market and non-market sectors. It suggests that non-market sector productivity has fallen in recent years such that productivity is lower now than it was in 2014, while market sector productivity has increas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0760" cy="2823210"/>
                    </a:xfrm>
                    <a:prstGeom prst="rect">
                      <a:avLst/>
                    </a:prstGeom>
                    <a:noFill/>
                    <a:ln>
                      <a:noFill/>
                    </a:ln>
                  </pic:spPr>
                </pic:pic>
              </a:graphicData>
            </a:graphic>
          </wp:inline>
        </w:drawing>
      </w:r>
    </w:p>
    <w:p w14:paraId="04843028" w14:textId="4D89E8BB" w:rsidR="006176C0" w:rsidRDefault="008D0550" w:rsidP="00127A75">
      <w:pPr>
        <w:pStyle w:val="Note"/>
      </w:pPr>
      <w:r>
        <w:t xml:space="preserve">The non-market sector is defined as </w:t>
      </w:r>
      <w:r w:rsidR="00DE07C0">
        <w:t>‘</w:t>
      </w:r>
      <w:r w:rsidR="0097601A">
        <w:t xml:space="preserve">Public </w:t>
      </w:r>
      <w:r w:rsidR="008C3575">
        <w:t>a</w:t>
      </w:r>
      <w:r w:rsidR="0097601A">
        <w:t xml:space="preserve">dministration and </w:t>
      </w:r>
      <w:r w:rsidR="008C3575">
        <w:t>s</w:t>
      </w:r>
      <w:r w:rsidR="0097601A">
        <w:t>afety</w:t>
      </w:r>
      <w:r w:rsidR="00DE07C0">
        <w:t>’</w:t>
      </w:r>
      <w:r w:rsidR="0097601A">
        <w:t xml:space="preserve">, </w:t>
      </w:r>
      <w:r w:rsidR="00DE07C0">
        <w:t>‘</w:t>
      </w:r>
      <w:r>
        <w:t xml:space="preserve">Education and </w:t>
      </w:r>
      <w:r w:rsidR="008C3575">
        <w:t>t</w:t>
      </w:r>
      <w:r>
        <w:t>raining</w:t>
      </w:r>
      <w:r w:rsidR="00DE07C0">
        <w:t>’</w:t>
      </w:r>
      <w:r w:rsidR="0097601A">
        <w:t xml:space="preserve"> and </w:t>
      </w:r>
      <w:r w:rsidR="00DE07C0">
        <w:t>‘</w:t>
      </w:r>
      <w:r w:rsidR="0097601A">
        <w:t>Health care and social assistance</w:t>
      </w:r>
      <w:r w:rsidR="00DE07C0">
        <w:t>’</w:t>
      </w:r>
      <w:r w:rsidR="0097601A">
        <w:t xml:space="preserve">; </w:t>
      </w:r>
      <w:r w:rsidR="008D46CC">
        <w:t>the market sector is defined to include all other industries.</w:t>
      </w:r>
    </w:p>
    <w:p w14:paraId="5A2A353B" w14:textId="40784519" w:rsidR="004D5BB9" w:rsidRDefault="004D5BB9" w:rsidP="004D5BB9">
      <w:pPr>
        <w:pStyle w:val="Source"/>
      </w:pPr>
      <w:r w:rsidRPr="000307B9">
        <w:t xml:space="preserve">Source: </w:t>
      </w:r>
      <w:r>
        <w:t xml:space="preserve">PC analysis using ABS </w:t>
      </w:r>
      <w:r w:rsidR="00F7357F" w:rsidRPr="00F7357F">
        <w:rPr>
          <w:rFonts w:ascii="Arial" w:hAnsi="Arial" w:cs="Arial"/>
        </w:rPr>
        <w:t xml:space="preserve">(2025a, </w:t>
      </w:r>
      <w:r w:rsidR="00B5397F">
        <w:rPr>
          <w:rFonts w:ascii="Arial" w:hAnsi="Arial" w:cs="Arial"/>
        </w:rPr>
        <w:t>table</w:t>
      </w:r>
      <w:r w:rsidR="00F7357F" w:rsidRPr="00F7357F">
        <w:rPr>
          <w:rFonts w:ascii="Arial" w:hAnsi="Arial" w:cs="Arial"/>
        </w:rPr>
        <w:t> 5)</w:t>
      </w:r>
      <w:r>
        <w:t>.</w:t>
      </w:r>
    </w:p>
    <w:p w14:paraId="5CF6B1AB" w14:textId="2D6AC0A9" w:rsidR="00737354" w:rsidRDefault="00E3407C" w:rsidP="00737354">
      <w:pPr>
        <w:pStyle w:val="Heading3"/>
      </w:pPr>
      <w:r>
        <w:lastRenderedPageBreak/>
        <w:t>L</w:t>
      </w:r>
      <w:r w:rsidR="00525C33">
        <w:t>agg</w:t>
      </w:r>
      <w:r w:rsidR="00C36115">
        <w:t>ing productivity in the</w:t>
      </w:r>
      <w:r w:rsidR="00525C33">
        <w:t xml:space="preserve"> n</w:t>
      </w:r>
      <w:r w:rsidR="00B93508">
        <w:t xml:space="preserve">on-market sector </w:t>
      </w:r>
      <w:r w:rsidR="003A5AC2">
        <w:t>reflects</w:t>
      </w:r>
      <w:r w:rsidR="009219BE">
        <w:t xml:space="preserve"> </w:t>
      </w:r>
      <w:r w:rsidR="000D3BC8">
        <w:t xml:space="preserve">more complex </w:t>
      </w:r>
      <w:r w:rsidR="00C36115">
        <w:t>outcomes and objectives</w:t>
      </w:r>
    </w:p>
    <w:p w14:paraId="6C19758A" w14:textId="161DAC99" w:rsidR="00FD5F33" w:rsidRDefault="00CC142D" w:rsidP="00B47A43">
      <w:pPr>
        <w:pStyle w:val="BodyText"/>
      </w:pPr>
      <w:r>
        <w:t>The</w:t>
      </w:r>
      <w:r w:rsidR="002D13EC">
        <w:t xml:space="preserve"> implications of</w:t>
      </w:r>
      <w:r>
        <w:t xml:space="preserve"> d</w:t>
      </w:r>
      <w:r w:rsidR="000B184F">
        <w:t>ecl</w:t>
      </w:r>
      <w:r w:rsidR="00A92059">
        <w:t xml:space="preserve">ining productivity in the </w:t>
      </w:r>
      <w:r>
        <w:t xml:space="preserve">non-market sector </w:t>
      </w:r>
      <w:r w:rsidR="002D13EC">
        <w:t xml:space="preserve">are heightened </w:t>
      </w:r>
      <w:r w:rsidR="00AE6DF6">
        <w:t xml:space="preserve">by </w:t>
      </w:r>
      <w:r w:rsidR="008A2960">
        <w:t xml:space="preserve">its </w:t>
      </w:r>
      <w:r w:rsidR="002D13EC">
        <w:t xml:space="preserve">increasing </w:t>
      </w:r>
      <w:r w:rsidR="008A2960">
        <w:t xml:space="preserve">share </w:t>
      </w:r>
      <w:r w:rsidR="00FF1EE9">
        <w:t>of the economy</w:t>
      </w:r>
      <w:r w:rsidR="00FD5F33">
        <w:t>.</w:t>
      </w:r>
      <w:r w:rsidR="00CC518B">
        <w:t xml:space="preserve"> </w:t>
      </w:r>
      <w:r w:rsidR="00457752">
        <w:t>P</w:t>
      </w:r>
      <w:r w:rsidR="009A0F48">
        <w:t xml:space="preserve">roductivity gains </w:t>
      </w:r>
      <w:r w:rsidR="006475F9">
        <w:t>in the non-market sector have been low</w:t>
      </w:r>
      <w:r w:rsidR="00840C71">
        <w:t>,</w:t>
      </w:r>
      <w:r w:rsidR="00831A76">
        <w:t xml:space="preserve"> and </w:t>
      </w:r>
      <w:r w:rsidR="001C3B29">
        <w:t xml:space="preserve">employment growth in the sector has </w:t>
      </w:r>
      <w:r w:rsidR="00264BA2">
        <w:t xml:space="preserve">negatively impacted </w:t>
      </w:r>
      <w:r w:rsidR="00E524FD">
        <w:t>Australia’s overall productivity</w:t>
      </w:r>
      <w:r w:rsidR="008D5C9D">
        <w:t xml:space="preserve"> (figure 6)</w:t>
      </w:r>
      <w:r w:rsidR="00E524FD">
        <w:t>.</w:t>
      </w:r>
      <w:r w:rsidR="00C671D4">
        <w:t xml:space="preserve"> </w:t>
      </w:r>
      <w:r w:rsidR="0074062A" w:rsidRPr="0074062A">
        <w:t xml:space="preserve">This is not always a problem – </w:t>
      </w:r>
      <w:r w:rsidR="0074062A">
        <w:t xml:space="preserve">growing employment in these </w:t>
      </w:r>
      <w:r w:rsidR="0074062A" w:rsidRPr="0074062A">
        <w:t xml:space="preserve">sectors </w:t>
      </w:r>
      <w:r w:rsidR="007F7F57">
        <w:t xml:space="preserve">likely means more Australians are able to access a range of </w:t>
      </w:r>
      <w:r w:rsidR="0074062A" w:rsidRPr="0074062A">
        <w:t>important supports, and some of the lower productivity in non</w:t>
      </w:r>
      <w:r w:rsidR="0074062A" w:rsidRPr="0074062A">
        <w:noBreakHyphen/>
        <w:t>market services likely reflects measurement issues.</w:t>
      </w:r>
      <w:r w:rsidR="00C3721C">
        <w:t xml:space="preserve"> </w:t>
      </w:r>
      <w:r w:rsidR="00C671D4">
        <w:t xml:space="preserve">Disaggregating the non-market sector by industry suggests declining productivity </w:t>
      </w:r>
      <w:r w:rsidR="00685CA8">
        <w:t>has</w:t>
      </w:r>
      <w:r w:rsidR="00C671D4">
        <w:t xml:space="preserve"> primarily </w:t>
      </w:r>
      <w:r w:rsidR="00685CA8">
        <w:t xml:space="preserve">been </w:t>
      </w:r>
      <w:r w:rsidR="00C671D4">
        <w:t>driven by the health care and social assistance industry (figure 7).</w:t>
      </w:r>
    </w:p>
    <w:p w14:paraId="54113DDB" w14:textId="75E57993" w:rsidR="008B19B8" w:rsidRPr="00155A28" w:rsidRDefault="008B19B8" w:rsidP="008B19B8">
      <w:pPr>
        <w:pStyle w:val="BodyText"/>
      </w:pPr>
      <w:r>
        <w:t>The p</w:t>
      </w:r>
      <w:r w:rsidRPr="00155A28">
        <w:t xml:space="preserve">roductivity performance in Australia’s non-market sector has been </w:t>
      </w:r>
      <w:r>
        <w:t>lacklustre</w:t>
      </w:r>
      <w:r w:rsidRPr="00155A28">
        <w:t xml:space="preserve"> for several reasons.</w:t>
      </w:r>
      <w:r w:rsidR="00FA3735">
        <w:t xml:space="preserve"> </w:t>
      </w:r>
      <w:r w:rsidRPr="00155A28">
        <w:t xml:space="preserve">First, </w:t>
      </w:r>
      <w:r>
        <w:t>non-market industries are</w:t>
      </w:r>
      <w:r w:rsidRPr="00155A28">
        <w:t xml:space="preserve"> highly labour-intensive, limiting the scope for productivity gains through automation and technology compared with many market industries. While digital tools and administrative efficiencies can improve performance at the margin, service quality in areas such as </w:t>
      </w:r>
      <w:r w:rsidR="00311E8B">
        <w:t xml:space="preserve">early </w:t>
      </w:r>
      <w:r w:rsidR="00467309">
        <w:t xml:space="preserve">childhood </w:t>
      </w:r>
      <w:r w:rsidR="00311E8B">
        <w:t xml:space="preserve">education and care </w:t>
      </w:r>
      <w:r w:rsidRPr="00155A28">
        <w:t>remains heavily dependent on human interaction.</w:t>
      </w:r>
    </w:p>
    <w:p w14:paraId="347ED692" w14:textId="25CDCA1B" w:rsidR="008B19B8" w:rsidRPr="00155A28" w:rsidRDefault="008B19B8" w:rsidP="008B19B8">
      <w:pPr>
        <w:pStyle w:val="BodyText"/>
      </w:pPr>
      <w:r w:rsidRPr="00155A28">
        <w:t>Second, policy settings</w:t>
      </w:r>
      <w:r>
        <w:t xml:space="preserve"> – </w:t>
      </w:r>
      <w:r w:rsidRPr="00155A28">
        <w:t>such as minimum aged care staffing requirements and early childhood education and care</w:t>
      </w:r>
      <w:r>
        <w:t xml:space="preserve"> staff</w:t>
      </w:r>
      <w:r w:rsidRPr="00155A28">
        <w:t xml:space="preserve"> ratios</w:t>
      </w:r>
      <w:r>
        <w:t xml:space="preserve"> – </w:t>
      </w:r>
      <w:r w:rsidRPr="00155A28">
        <w:t xml:space="preserve">deliberately prioritise service quality and consumer safety over measured output. Because improvements in quality </w:t>
      </w:r>
      <w:r>
        <w:t xml:space="preserve">or safety </w:t>
      </w:r>
      <w:r w:rsidRPr="00155A28">
        <w:t xml:space="preserve">are not fully captured in productivity measures, reforms in these sectors </w:t>
      </w:r>
      <w:r w:rsidR="00FE1963">
        <w:t>will reduce measured productivity</w:t>
      </w:r>
      <w:r w:rsidR="00DE7D9B">
        <w:t xml:space="preserve"> –</w:t>
      </w:r>
      <w:r w:rsidRPr="00155A28">
        <w:t xml:space="preserve"> even where they deliver substantial social value.</w:t>
      </w:r>
    </w:p>
    <w:p w14:paraId="57B9D197" w14:textId="00FA7AFB" w:rsidR="008B19B8" w:rsidRDefault="008B19B8" w:rsidP="008B19B8">
      <w:pPr>
        <w:pStyle w:val="BodyText"/>
      </w:pPr>
      <w:r w:rsidRPr="00155A28">
        <w:t xml:space="preserve">Third, productivity in non-market sectors is inherently difficult to measure. Output is typically proxied using inputs or costs rather than prices, which tends to understate improvements in quality over time, particularly in healthcare where technological change has been significant. These measurement challenges mean that observed productivity outcomes should be interpreted with caution and </w:t>
      </w:r>
      <w:r>
        <w:t xml:space="preserve">they </w:t>
      </w:r>
      <w:r w:rsidRPr="00155A28">
        <w:t xml:space="preserve">are explored </w:t>
      </w:r>
      <w:r>
        <w:t>in more depth</w:t>
      </w:r>
      <w:r w:rsidRPr="00155A28">
        <w:t xml:space="preserve"> later in th</w:t>
      </w:r>
      <w:r>
        <w:t>e section: Challenges in measuring productivity.</w:t>
      </w:r>
    </w:p>
    <w:p w14:paraId="6E050C39" w14:textId="6723376D" w:rsidR="00FD5F33" w:rsidRPr="00661432" w:rsidRDefault="00FD5F33" w:rsidP="00F00061">
      <w:pPr>
        <w:pStyle w:val="FigureTableHeading"/>
        <w:rPr>
          <w:rFonts w:cs="Segoe UI"/>
          <w:shd w:val="clear" w:color="auto" w:fill="E1E3E6"/>
        </w:rPr>
      </w:pPr>
      <w:r w:rsidRPr="00F72401">
        <w:t xml:space="preserve">Figure </w:t>
      </w:r>
      <w:r>
        <w:t>6</w:t>
      </w:r>
      <w:r w:rsidRPr="00F72401">
        <w:t xml:space="preserve"> – </w:t>
      </w:r>
      <w:r w:rsidR="00606EC8">
        <w:t>Increased n</w:t>
      </w:r>
      <w:r w:rsidR="005B33D5">
        <w:t xml:space="preserve">on-market </w:t>
      </w:r>
      <w:r w:rsidR="000851B2">
        <w:t>sector</w:t>
      </w:r>
      <w:r w:rsidR="00EA3D5C" w:rsidRPr="00EA3D5C">
        <w:t xml:space="preserve"> </w:t>
      </w:r>
      <w:r w:rsidR="00EA3D5C">
        <w:t>employment</w:t>
      </w:r>
      <w:r w:rsidR="000851B2">
        <w:t xml:space="preserve"> </w:t>
      </w:r>
      <w:r w:rsidR="00606EC8">
        <w:t>has reduced</w:t>
      </w:r>
      <w:r w:rsidR="00A45B92">
        <w:t xml:space="preserve"> productivity</w:t>
      </w:r>
      <w:r w:rsidR="00507B9A">
        <w:t xml:space="preserve"> growth</w:t>
      </w:r>
    </w:p>
    <w:p w14:paraId="52B2C6C4" w14:textId="0F73DC29" w:rsidR="00FD5F33" w:rsidRDefault="00F57366" w:rsidP="00B7149D">
      <w:pPr>
        <w:pStyle w:val="BodyText"/>
      </w:pPr>
      <w:r w:rsidRPr="00F57366">
        <w:rPr>
          <w:noProof/>
        </w:rPr>
        <w:drawing>
          <wp:inline distT="0" distB="0" distL="0" distR="0" wp14:anchorId="5AE474ED" wp14:editId="5AD1EE9B">
            <wp:extent cx="6120130" cy="2869565"/>
            <wp:effectExtent l="0" t="0" r="0" b="0"/>
            <wp:docPr id="1336309156" name="Picture 21" descr="This figure is a stacked area chart, showing the underlying drivers of productivity in the Australian economy. Of note is that non-market sector productivity has detracted from broader productivity gains due to a greater share of the labour supply shifting towards this sector and away from the more productive market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09156" name="Picture 21" descr="This figure is a stacked area chart, showing the underlying drivers of productivity in the Australian economy. Of note is that non-market sector productivity has detracted from broader productivity gains due to a greater share of the labour supply shifting towards this sector and away from the more productive market sect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2F8021F3" w14:textId="6E72478B" w:rsidR="00FD5F33" w:rsidRDefault="00AB5AE0" w:rsidP="00EA3D5C">
      <w:pPr>
        <w:pStyle w:val="Note"/>
      </w:pPr>
      <w:r>
        <w:t>‘</w:t>
      </w:r>
      <w:r w:rsidR="00A45B92">
        <w:t>Within</w:t>
      </w:r>
      <w:r>
        <w:t>’</w:t>
      </w:r>
      <w:r w:rsidR="00A45B92">
        <w:t xml:space="preserve"> refers to </w:t>
      </w:r>
      <w:r w:rsidR="00024432">
        <w:t xml:space="preserve">productivity improvements driven by </w:t>
      </w:r>
      <w:r w:rsidR="00FE0B76">
        <w:t xml:space="preserve">changes in practices within the economy or sector; ‘between’ refers to productivity improvements driven by </w:t>
      </w:r>
      <w:r w:rsidR="00DC0625">
        <w:t>increased labour allocated to the economy or sector.</w:t>
      </w:r>
    </w:p>
    <w:p w14:paraId="711109B0" w14:textId="49FC7CC0" w:rsidR="00012579" w:rsidRDefault="00012579" w:rsidP="004D5BB9">
      <w:pPr>
        <w:pStyle w:val="Source"/>
      </w:pPr>
      <w:r w:rsidRPr="004D5BB9">
        <w:t>Source</w:t>
      </w:r>
      <w:r w:rsidRPr="000307B9">
        <w:t xml:space="preserve">: </w:t>
      </w:r>
      <w:r>
        <w:t xml:space="preserve">PC analysis using ABS </w:t>
      </w:r>
      <w:r w:rsidR="00071ECE" w:rsidRPr="001D2702">
        <w:rPr>
          <w:rFonts w:ascii="Arial" w:hAnsi="Arial" w:cs="Arial"/>
        </w:rPr>
        <w:t>(2025a, 2025c)</w:t>
      </w:r>
      <w:r>
        <w:t>.</w:t>
      </w:r>
    </w:p>
    <w:p w14:paraId="0E2C8695" w14:textId="77777777" w:rsidR="003A5C5E" w:rsidRDefault="002C36A9" w:rsidP="00C65EFE">
      <w:pPr>
        <w:pStyle w:val="FigureTableHeading"/>
        <w:rPr>
          <w:shd w:val="clear" w:color="auto" w:fill="FFFFFF"/>
          <w:lang w:val="en-GB"/>
        </w:rPr>
      </w:pPr>
      <w:r>
        <w:rPr>
          <w:rStyle w:val="normaltextrun"/>
          <w:rFonts w:ascii="Arial Black" w:hAnsi="Arial Black"/>
          <w:color w:val="000000"/>
          <w:shd w:val="clear" w:color="auto" w:fill="FFFFFF"/>
          <w:lang w:val="en-GB"/>
        </w:rPr>
        <w:lastRenderedPageBreak/>
        <w:t xml:space="preserve">Figure </w:t>
      </w:r>
      <w:r w:rsidR="00E849F2">
        <w:rPr>
          <w:rStyle w:val="normaltextrun"/>
          <w:rFonts w:ascii="Arial Black" w:hAnsi="Arial Black"/>
          <w:color w:val="000000"/>
          <w:shd w:val="clear" w:color="auto" w:fill="FFFFFF"/>
          <w:lang w:val="en-GB"/>
        </w:rPr>
        <w:t>7</w:t>
      </w:r>
      <w:r>
        <w:rPr>
          <w:rStyle w:val="normaltextrun"/>
          <w:rFonts w:ascii="Arial Black" w:hAnsi="Arial Black"/>
          <w:color w:val="000000"/>
          <w:shd w:val="clear" w:color="auto" w:fill="FFFFFF"/>
          <w:lang w:val="en-GB"/>
        </w:rPr>
        <w:t> – Health care and social assistance have dragged down non-market sector</w:t>
      </w:r>
      <w:r w:rsidR="006176C0" w:rsidRPr="006176C0">
        <w:rPr>
          <w:shd w:val="clear" w:color="auto" w:fill="FFFFFF"/>
          <w:lang w:val="en-GB"/>
        </w:rPr>
        <w:t xml:space="preserve"> </w:t>
      </w:r>
      <w:r w:rsidR="005416E9">
        <w:rPr>
          <w:shd w:val="clear" w:color="auto" w:fill="FFFFFF"/>
          <w:lang w:val="en-GB"/>
        </w:rPr>
        <w:t>produ</w:t>
      </w:r>
      <w:r w:rsidR="00AD0D5C">
        <w:rPr>
          <w:shd w:val="clear" w:color="auto" w:fill="FFFFFF"/>
          <w:lang w:val="en-GB"/>
        </w:rPr>
        <w:t>ctivity</w:t>
      </w:r>
    </w:p>
    <w:p w14:paraId="1313B466" w14:textId="5D33BCDF" w:rsidR="002C36A9" w:rsidRPr="003A5C5E" w:rsidRDefault="003A5C5E" w:rsidP="003A5C5E">
      <w:pPr>
        <w:pStyle w:val="BodyText"/>
        <w:rPr>
          <w:rStyle w:val="BodyTextChar"/>
        </w:rPr>
      </w:pPr>
      <w:r w:rsidRPr="003A5C5E">
        <w:rPr>
          <w:rStyle w:val="BodyTextChar"/>
          <w:noProof/>
        </w:rPr>
        <w:drawing>
          <wp:inline distT="0" distB="0" distL="0" distR="0" wp14:anchorId="6D804C3D" wp14:editId="0F2A2921">
            <wp:extent cx="6120130" cy="2888615"/>
            <wp:effectExtent l="0" t="0" r="0" b="0"/>
            <wp:docPr id="769255154" name="Picture 9" descr="This figure is a stacked bar chart which disaggregates the non-market sector into the health care and social assistance, education and training, and public administration and safety sectors. In five-yearly periods, it shows that most of the decline in productivity has been driven by the health care and social assistance industry, which has declined in each five year increment since 2005-2010 through 2020-25. The public administration and safety industry only declined in the 2000-2005 period, and the education and training industry only declined slightly in the 2010-2015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5154" name="Picture 9" descr="This figure is a stacked bar chart which disaggregates the non-market sector into the health care and social assistance, education and training, and public administration and safety sectors. In five-yearly periods, it shows that most of the decline in productivity has been driven by the health care and social assistance industry, which has declined in each five year increment since 2005-2010 through 2020-25. The public administration and safety industry only declined in the 2000-2005 period, and the education and training industry only declined slightly in the 2010-2015 peri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2888615"/>
                    </a:xfrm>
                    <a:prstGeom prst="rect">
                      <a:avLst/>
                    </a:prstGeom>
                    <a:noFill/>
                    <a:ln>
                      <a:noFill/>
                    </a:ln>
                  </pic:spPr>
                </pic:pic>
              </a:graphicData>
            </a:graphic>
          </wp:inline>
        </w:drawing>
      </w:r>
    </w:p>
    <w:p w14:paraId="129E5EC1" w14:textId="2EE37BED" w:rsidR="0088183F" w:rsidRDefault="007702CD" w:rsidP="009A7F01">
      <w:pPr>
        <w:pStyle w:val="Note"/>
      </w:pPr>
      <w:r>
        <w:t>Chart reflects i</w:t>
      </w:r>
      <w:r w:rsidRPr="007702CD">
        <w:t xml:space="preserve">ndustry decomposition of non-market </w:t>
      </w:r>
      <w:r w:rsidR="00D57279">
        <w:t>sec</w:t>
      </w:r>
      <w:r w:rsidR="00861D40">
        <w:t xml:space="preserve">tor </w:t>
      </w:r>
      <w:r w:rsidRPr="007702CD">
        <w:t xml:space="preserve">labour productivity growth </w:t>
      </w:r>
      <w:r w:rsidR="009E1734">
        <w:t>between the March quarters of</w:t>
      </w:r>
      <w:r w:rsidRPr="007702CD">
        <w:t xml:space="preserve"> 5</w:t>
      </w:r>
      <w:r w:rsidR="000A3708">
        <w:noBreakHyphen/>
      </w:r>
      <w:r w:rsidRPr="007702CD">
        <w:t>year intervals</w:t>
      </w:r>
      <w:r w:rsidR="009E1734">
        <w:t>.</w:t>
      </w:r>
    </w:p>
    <w:p w14:paraId="308968D6" w14:textId="4F50496C" w:rsidR="006176C0" w:rsidRDefault="002C36A9" w:rsidP="00802F42">
      <w:pPr>
        <w:pStyle w:val="Source"/>
      </w:pPr>
      <w:r w:rsidRPr="000307B9">
        <w:t xml:space="preserve">Source: </w:t>
      </w:r>
      <w:r>
        <w:t xml:space="preserve">PC analysis using </w:t>
      </w:r>
      <w:r w:rsidR="0017555F">
        <w:t xml:space="preserve">ABS </w:t>
      </w:r>
      <w:r w:rsidR="001D2702" w:rsidRPr="001D2702">
        <w:rPr>
          <w:rFonts w:ascii="Arial" w:hAnsi="Arial" w:cs="Arial"/>
        </w:rPr>
        <w:t>(2025a, 2025c)</w:t>
      </w:r>
      <w:r w:rsidR="0017555F">
        <w:t>.</w:t>
      </w:r>
    </w:p>
    <w:p w14:paraId="4E8806B5" w14:textId="3130C6C8" w:rsidR="00FC3FE4" w:rsidRPr="00F82BD9" w:rsidRDefault="00FC3FE4" w:rsidP="004B292F">
      <w:pPr>
        <w:pStyle w:val="NoSpacing"/>
      </w:pPr>
    </w:p>
    <w:tbl>
      <w:tblPr>
        <w:tblStyle w:val="Boxtable"/>
        <w:tblW w:w="5000" w:type="pct"/>
        <w:tblLook w:val="04A0" w:firstRow="1" w:lastRow="0" w:firstColumn="1" w:lastColumn="0" w:noHBand="0" w:noVBand="1"/>
      </w:tblPr>
      <w:tblGrid>
        <w:gridCol w:w="9638"/>
      </w:tblGrid>
      <w:tr w:rsidR="00FC3FE4" w14:paraId="7527B76A" w14:textId="77777777" w:rsidTr="004B292F">
        <w:trPr>
          <w:tblHeader/>
        </w:trPr>
        <w:tc>
          <w:tcPr>
            <w:tcW w:w="9638" w:type="dxa"/>
            <w:shd w:val="clear" w:color="auto" w:fill="EBEBEB"/>
            <w:tcMar>
              <w:top w:w="170" w:type="dxa"/>
              <w:left w:w="170" w:type="dxa"/>
              <w:bottom w:w="113" w:type="dxa"/>
              <w:right w:w="170" w:type="dxa"/>
            </w:tcMar>
            <w:hideMark/>
          </w:tcPr>
          <w:p w14:paraId="53761C47" w14:textId="744E4F40" w:rsidR="00FC3FE4" w:rsidRDefault="00FC3FE4">
            <w:pPr>
              <w:pStyle w:val="BoxHeading1"/>
            </w:pPr>
            <w:r>
              <w:t xml:space="preserve">Key takeaways – </w:t>
            </w:r>
            <w:r w:rsidRPr="00B5239B">
              <w:t>Industry contributions to productivity</w:t>
            </w:r>
            <w:r>
              <w:t xml:space="preserve"> growth</w:t>
            </w:r>
            <w:r w:rsidRPr="00B5239B">
              <w:t xml:space="preserve">, including </w:t>
            </w:r>
            <w:r>
              <w:t xml:space="preserve">in </w:t>
            </w:r>
            <w:r w:rsidRPr="00B5239B">
              <w:t xml:space="preserve">the </w:t>
            </w:r>
            <w:r>
              <w:t>n</w:t>
            </w:r>
            <w:r w:rsidRPr="00B5239B">
              <w:t>on-market sector</w:t>
            </w:r>
          </w:p>
        </w:tc>
      </w:tr>
      <w:tr w:rsidR="00FC3FE4" w14:paraId="0ED16902" w14:textId="77777777" w:rsidTr="004B292F">
        <w:tc>
          <w:tcPr>
            <w:tcW w:w="9638" w:type="dxa"/>
            <w:shd w:val="clear" w:color="auto" w:fill="EBEBEB"/>
            <w:tcMar>
              <w:top w:w="28" w:type="dxa"/>
              <w:left w:w="170" w:type="dxa"/>
              <w:bottom w:w="170" w:type="dxa"/>
              <w:right w:w="170" w:type="dxa"/>
            </w:tcMar>
            <w:hideMark/>
          </w:tcPr>
          <w:p w14:paraId="6F4FBB76" w14:textId="77777777" w:rsidR="00FC3FE4" w:rsidRDefault="00FC3FE4" w:rsidP="00C65EFE">
            <w:pPr>
              <w:pStyle w:val="BodyText"/>
            </w:pPr>
            <w:r>
              <w:t>Productivity growth varies significantly when disaggregated in different ways, including by market/non-market sectors and by specific industries. This is in-part attributable to measurement challenges, discussed later in this submission. Nonetheless, key takeaways from a more disaggregated analysis include that:</w:t>
            </w:r>
          </w:p>
          <w:p w14:paraId="60D79D05" w14:textId="77777777" w:rsidR="00FC3FE4" w:rsidRDefault="00FC3FE4" w:rsidP="004B292F">
            <w:pPr>
              <w:pStyle w:val="ListBullet"/>
              <w:numPr>
                <w:ilvl w:val="0"/>
                <w:numId w:val="17"/>
              </w:numPr>
              <w:spacing w:before="94" w:after="94"/>
              <w:ind w:left="179" w:hanging="179"/>
            </w:pPr>
            <w:r>
              <w:t>the market sector has been systematically outperforming the non-market sector in productivity gains</w:t>
            </w:r>
          </w:p>
          <w:p w14:paraId="4AAFAC19" w14:textId="77777777" w:rsidR="00FC3FE4" w:rsidRDefault="00FC3FE4" w:rsidP="004B292F">
            <w:pPr>
              <w:pStyle w:val="ListBullet"/>
              <w:numPr>
                <w:ilvl w:val="0"/>
                <w:numId w:val="17"/>
              </w:numPr>
              <w:spacing w:before="94" w:after="94"/>
              <w:ind w:left="179" w:hanging="179"/>
            </w:pPr>
            <w:r>
              <w:t xml:space="preserve">on an industry level, overperformers include the </w:t>
            </w:r>
            <w:r w:rsidRPr="005F279C">
              <w:t>information media and telecommunications</w:t>
            </w:r>
            <w:r>
              <w:t xml:space="preserve"> and agriculture industries, while underperformers include the construction and utilities industries</w:t>
            </w:r>
          </w:p>
          <w:p w14:paraId="506A0868" w14:textId="77777777" w:rsidR="00FC3FE4" w:rsidRDefault="00FC3FE4" w:rsidP="00305773">
            <w:pPr>
              <w:pStyle w:val="ListBullet"/>
              <w:numPr>
                <w:ilvl w:val="0"/>
                <w:numId w:val="17"/>
              </w:numPr>
              <w:spacing w:before="94" w:after="240"/>
              <w:ind w:left="179" w:hanging="179"/>
            </w:pPr>
            <w:r>
              <w:t xml:space="preserve">subdued non-market sector productivity growth has been driven primarily by the health care and social assistance industry; however, this does not reflect quality improvements in </w:t>
            </w:r>
            <w:r w:rsidRPr="003F5445">
              <w:t xml:space="preserve">the </w:t>
            </w:r>
            <w:r>
              <w:t>sector</w:t>
            </w:r>
            <w:r w:rsidRPr="003F5445">
              <w:t>.</w:t>
            </w:r>
          </w:p>
        </w:tc>
      </w:tr>
      <w:tr w:rsidR="00FC3FE4" w14:paraId="771078F3" w14:textId="77777777" w:rsidTr="004B292F">
        <w:trPr>
          <w:hidden/>
        </w:trPr>
        <w:tc>
          <w:tcPr>
            <w:tcW w:w="9638" w:type="dxa"/>
            <w:shd w:val="clear" w:color="auto" w:fill="auto"/>
            <w:tcMar>
              <w:top w:w="0" w:type="dxa"/>
              <w:left w:w="170" w:type="dxa"/>
              <w:bottom w:w="0" w:type="dxa"/>
              <w:right w:w="170" w:type="dxa"/>
            </w:tcMar>
          </w:tcPr>
          <w:p w14:paraId="4F0B1424" w14:textId="3746AFA3" w:rsidR="00FC3FE4" w:rsidRPr="00465191" w:rsidRDefault="00FC3FE4">
            <w:pPr>
              <w:pStyle w:val="BodyText"/>
              <w:spacing w:before="0" w:after="0" w:line="80" w:lineRule="atLeast"/>
              <w:rPr>
                <w:smallCaps/>
                <w:vanish/>
              </w:rPr>
            </w:pPr>
          </w:p>
        </w:tc>
      </w:tr>
    </w:tbl>
    <w:p w14:paraId="57418FF0" w14:textId="054C72AD" w:rsidR="00B454D6" w:rsidRDefault="00D10504" w:rsidP="00B7149D">
      <w:pPr>
        <w:pStyle w:val="Heading2-nonumber"/>
      </w:pPr>
      <w:bookmarkStart w:id="3" w:name="_Toc219280601"/>
      <w:r w:rsidRPr="00D10504">
        <w:lastRenderedPageBreak/>
        <w:t>Australia's regulatory burdens that limit productivity</w:t>
      </w:r>
      <w:bookmarkEnd w:id="3"/>
    </w:p>
    <w:p w14:paraId="04B18CD7" w14:textId="77777777" w:rsidR="00F26D3A" w:rsidRDefault="00F26D3A" w:rsidP="00B7149D">
      <w:pPr>
        <w:pStyle w:val="Heading3"/>
      </w:pPr>
      <w:r>
        <w:t>The regulatory burden on businesses is growing</w:t>
      </w:r>
    </w:p>
    <w:p w14:paraId="68A2CDA7" w14:textId="69285438" w:rsidR="00F44FF2" w:rsidRPr="007B1A58" w:rsidRDefault="009F3FF9" w:rsidP="00B7149D">
      <w:pPr>
        <w:keepNext/>
        <w:keepLines/>
        <w:rPr>
          <w:rFonts w:cstheme="minorHAnsi"/>
        </w:rPr>
      </w:pPr>
      <w:r w:rsidRPr="009F3FF9">
        <w:rPr>
          <w:rFonts w:cstheme="minorHAnsi"/>
        </w:rPr>
        <w:t>Regulation serves important purposes, including improving health and welfare, protecting the environment and ensuring markets function effectively. When designed</w:t>
      </w:r>
      <w:r w:rsidR="00F03631">
        <w:rPr>
          <w:rFonts w:cstheme="minorHAnsi"/>
        </w:rPr>
        <w:t xml:space="preserve"> and applied</w:t>
      </w:r>
      <w:r w:rsidR="00012404">
        <w:rPr>
          <w:rFonts w:cstheme="minorHAnsi"/>
        </w:rPr>
        <w:t xml:space="preserve"> well</w:t>
      </w:r>
      <w:r w:rsidRPr="009F3FF9">
        <w:rPr>
          <w:rFonts w:cstheme="minorHAnsi"/>
        </w:rPr>
        <w:t xml:space="preserve">, </w:t>
      </w:r>
      <w:r w:rsidR="00012404">
        <w:rPr>
          <w:rFonts w:cstheme="minorHAnsi"/>
        </w:rPr>
        <w:t xml:space="preserve">regulation </w:t>
      </w:r>
      <w:r w:rsidRPr="009F3FF9">
        <w:rPr>
          <w:rFonts w:cstheme="minorHAnsi"/>
        </w:rPr>
        <w:t xml:space="preserve">can also support productivity </w:t>
      </w:r>
      <w:r w:rsidR="009226C4">
        <w:rPr>
          <w:rFonts w:cstheme="minorHAnsi"/>
        </w:rPr>
        <w:t xml:space="preserve">growth </w:t>
      </w:r>
      <w:r w:rsidRPr="009F3FF9">
        <w:rPr>
          <w:rFonts w:cstheme="minorHAnsi"/>
        </w:rPr>
        <w:t xml:space="preserve">by enabling efficient markets and reducing </w:t>
      </w:r>
      <w:r w:rsidR="00E02771" w:rsidRPr="009F3FF9">
        <w:rPr>
          <w:rFonts w:cstheme="minorHAnsi"/>
        </w:rPr>
        <w:t>risk.</w:t>
      </w:r>
      <w:r w:rsidR="00F44FF2" w:rsidRPr="007B1A58">
        <w:rPr>
          <w:rFonts w:cstheme="minorHAnsi"/>
        </w:rPr>
        <w:t xml:space="preserve"> However, excessive, outdated or poorly coordinated regulation can reduce economic dynamism and resilience.</w:t>
      </w:r>
    </w:p>
    <w:p w14:paraId="5CA675F9" w14:textId="668200D4" w:rsidR="00F26D3A" w:rsidRDefault="00C854B9" w:rsidP="00B7149D">
      <w:pPr>
        <w:keepNext/>
        <w:keepLines/>
        <w:rPr>
          <w:rFonts w:cstheme="minorHAnsi"/>
        </w:rPr>
      </w:pPr>
      <w:r>
        <w:rPr>
          <w:rFonts w:cstheme="minorHAnsi"/>
        </w:rPr>
        <w:t xml:space="preserve">In Australia, the burden </w:t>
      </w:r>
      <w:r w:rsidR="00F26D3A" w:rsidRPr="007B1A58">
        <w:rPr>
          <w:rFonts w:cstheme="minorHAnsi"/>
        </w:rPr>
        <w:t xml:space="preserve">of regulation has grown over time. </w:t>
      </w:r>
      <w:r w:rsidR="00F26D3A" w:rsidRPr="000747E6">
        <w:rPr>
          <w:rFonts w:cstheme="minorHAnsi"/>
        </w:rPr>
        <w:t>Restrictive terms in Commonwealth legislation increased sharply over the two decades to 2020</w:t>
      </w:r>
      <w:r w:rsidR="00F26D3A">
        <w:rPr>
          <w:rFonts w:cstheme="minorHAnsi"/>
        </w:rPr>
        <w:t xml:space="preserve"> (figure </w:t>
      </w:r>
      <w:r w:rsidR="00794502">
        <w:rPr>
          <w:rFonts w:cstheme="minorHAnsi"/>
        </w:rPr>
        <w:t>8</w:t>
      </w:r>
      <w:r w:rsidR="002B083E">
        <w:rPr>
          <w:rFonts w:cstheme="minorHAnsi"/>
        </w:rPr>
        <w:t>a</w:t>
      </w:r>
      <w:r w:rsidR="00F26D3A">
        <w:rPr>
          <w:rFonts w:cstheme="minorHAnsi"/>
        </w:rPr>
        <w:t>)</w:t>
      </w:r>
      <w:r w:rsidR="00F26D3A" w:rsidRPr="000747E6">
        <w:rPr>
          <w:rFonts w:cstheme="minorHAnsi"/>
        </w:rPr>
        <w:t>.</w:t>
      </w:r>
      <w:r w:rsidR="00F26D3A">
        <w:rPr>
          <w:rFonts w:cstheme="minorHAnsi"/>
          <w:vertAlign w:val="superscript"/>
        </w:rPr>
        <w:t xml:space="preserve"> </w:t>
      </w:r>
      <w:r w:rsidR="00F26D3A" w:rsidRPr="000747E6">
        <w:rPr>
          <w:rFonts w:cstheme="minorHAnsi"/>
        </w:rPr>
        <w:t>Employment-based indicators show mixed trends: while legal services and specialised compliance roles have grown since 2010, the share of wages devoted to compliance has been flat since 2014</w:t>
      </w:r>
      <w:r w:rsidR="004A0AF3">
        <w:rPr>
          <w:rFonts w:cstheme="minorHAnsi"/>
        </w:rPr>
        <w:t xml:space="preserve"> (figure </w:t>
      </w:r>
      <w:r w:rsidR="00794502">
        <w:rPr>
          <w:rFonts w:cstheme="minorHAnsi"/>
        </w:rPr>
        <w:t>8</w:t>
      </w:r>
      <w:r w:rsidR="004A0AF3">
        <w:rPr>
          <w:rFonts w:cstheme="minorHAnsi"/>
        </w:rPr>
        <w:t>b)</w:t>
      </w:r>
      <w:r w:rsidR="00F26D3A" w:rsidRPr="000747E6">
        <w:rPr>
          <w:rFonts w:cstheme="minorHAnsi"/>
        </w:rPr>
        <w:t xml:space="preserve">. </w:t>
      </w:r>
      <w:r w:rsidR="00D80BAD">
        <w:rPr>
          <w:rFonts w:cstheme="minorHAnsi"/>
        </w:rPr>
        <w:t>But c</w:t>
      </w:r>
      <w:r w:rsidR="00F26D3A" w:rsidRPr="000747E6">
        <w:rPr>
          <w:rFonts w:cstheme="minorHAnsi"/>
        </w:rPr>
        <w:t>orporate boards report a substantial increase in time spent on risk and compliance, rising from 24% in 2015 to 55% in 2025.</w:t>
      </w:r>
    </w:p>
    <w:p w14:paraId="12139031" w14:textId="3AD403E4" w:rsidR="00414AEA" w:rsidRDefault="00353B5B" w:rsidP="00F26D3A">
      <w:pPr>
        <w:rPr>
          <w:rFonts w:cstheme="minorHAnsi"/>
        </w:rPr>
      </w:pPr>
      <w:r>
        <w:rPr>
          <w:rFonts w:cstheme="minorHAnsi"/>
        </w:rPr>
        <w:t>Internationally,</w:t>
      </w:r>
      <w:r w:rsidR="00693759">
        <w:rPr>
          <w:rFonts w:cstheme="minorHAnsi"/>
        </w:rPr>
        <w:t xml:space="preserve"> </w:t>
      </w:r>
      <w:r w:rsidR="00414AEA" w:rsidRPr="00294C70">
        <w:rPr>
          <w:rFonts w:cstheme="minorHAnsi"/>
        </w:rPr>
        <w:t xml:space="preserve">Australia </w:t>
      </w:r>
      <w:r w:rsidR="00414AEA">
        <w:rPr>
          <w:rFonts w:cstheme="minorHAnsi"/>
        </w:rPr>
        <w:t>is falling behind its peers on economic regulation,</w:t>
      </w:r>
      <w:r w:rsidR="00414AEA" w:rsidRPr="00294C70">
        <w:rPr>
          <w:rFonts w:cstheme="minorHAnsi"/>
        </w:rPr>
        <w:t xml:space="preserve"> </w:t>
      </w:r>
      <w:r w:rsidR="00414AEA">
        <w:rPr>
          <w:rFonts w:cstheme="minorHAnsi"/>
        </w:rPr>
        <w:t>dropping</w:t>
      </w:r>
      <w:r w:rsidR="00414AEA" w:rsidRPr="00294C70">
        <w:rPr>
          <w:rFonts w:cstheme="minorHAnsi"/>
        </w:rPr>
        <w:t xml:space="preserve"> from fifth to 14th in the World Bank’s Ease of Doing Business index (2005–2020) and from </w:t>
      </w:r>
      <w:r w:rsidR="00880878">
        <w:rPr>
          <w:rFonts w:cstheme="minorHAnsi"/>
        </w:rPr>
        <w:t>3rd</w:t>
      </w:r>
      <w:r w:rsidR="00880878" w:rsidRPr="00294C70">
        <w:rPr>
          <w:rFonts w:cstheme="minorHAnsi"/>
        </w:rPr>
        <w:t xml:space="preserve"> </w:t>
      </w:r>
      <w:r w:rsidR="00414AEA" w:rsidRPr="00294C70">
        <w:rPr>
          <w:rFonts w:cstheme="minorHAnsi"/>
        </w:rPr>
        <w:t>to 16th in the OECD’s Product Market Regulation index (2003–2023)</w:t>
      </w:r>
      <w:r>
        <w:rPr>
          <w:rFonts w:cstheme="minorHAnsi"/>
        </w:rPr>
        <w:t xml:space="preserve"> (figure 8c)</w:t>
      </w:r>
      <w:r w:rsidR="00414AEA" w:rsidRPr="00294C70">
        <w:rPr>
          <w:rFonts w:cstheme="minorHAnsi"/>
        </w:rPr>
        <w:t>. While Australia made some improvements</w:t>
      </w:r>
      <w:r w:rsidR="00BA4420">
        <w:rPr>
          <w:rFonts w:cstheme="minorHAnsi"/>
        </w:rPr>
        <w:t xml:space="preserve"> </w:t>
      </w:r>
      <w:r w:rsidR="00A41D45">
        <w:rPr>
          <w:rFonts w:cstheme="minorHAnsi"/>
        </w:rPr>
        <w:t xml:space="preserve">in these measures </w:t>
      </w:r>
      <w:r w:rsidR="00BA4420">
        <w:rPr>
          <w:rFonts w:cstheme="minorHAnsi"/>
        </w:rPr>
        <w:t>in an absolute sense</w:t>
      </w:r>
      <w:r w:rsidR="00414AEA" w:rsidRPr="00294C70">
        <w:rPr>
          <w:rFonts w:cstheme="minorHAnsi"/>
        </w:rPr>
        <w:t>, th</w:t>
      </w:r>
      <w:r w:rsidR="00414AEA">
        <w:rPr>
          <w:rFonts w:cstheme="minorHAnsi"/>
        </w:rPr>
        <w:t>ese</w:t>
      </w:r>
      <w:r w:rsidR="00414AEA" w:rsidRPr="00294C70">
        <w:rPr>
          <w:rFonts w:cstheme="minorHAnsi"/>
        </w:rPr>
        <w:t xml:space="preserve"> </w:t>
      </w:r>
      <w:r w:rsidR="00631C26">
        <w:rPr>
          <w:rFonts w:cstheme="minorHAnsi"/>
        </w:rPr>
        <w:t xml:space="preserve">improvements </w:t>
      </w:r>
      <w:r w:rsidR="00F61F5A">
        <w:rPr>
          <w:rFonts w:cstheme="minorHAnsi"/>
        </w:rPr>
        <w:t xml:space="preserve">have been </w:t>
      </w:r>
      <w:r w:rsidR="00631C26">
        <w:rPr>
          <w:rFonts w:cstheme="minorHAnsi"/>
        </w:rPr>
        <w:t xml:space="preserve">smaller than in </w:t>
      </w:r>
      <w:r w:rsidR="00414AEA" w:rsidRPr="00294C70">
        <w:rPr>
          <w:rFonts w:cstheme="minorHAnsi"/>
        </w:rPr>
        <w:t>other countries.</w:t>
      </w:r>
    </w:p>
    <w:p w14:paraId="1F02C49E" w14:textId="08C44309" w:rsidR="0081045D" w:rsidRPr="00A950FA" w:rsidRDefault="0081045D" w:rsidP="003A5C5E">
      <w:pPr>
        <w:pStyle w:val="FigureTableHeading"/>
        <w:rPr>
          <w:shd w:val="clear" w:color="auto" w:fill="FFFFFF"/>
          <w:lang w:val="en-GB"/>
        </w:rPr>
      </w:pPr>
      <w:r>
        <w:rPr>
          <w:rStyle w:val="normaltextrun"/>
          <w:rFonts w:ascii="Arial Black" w:hAnsi="Arial Black"/>
          <w:color w:val="000000"/>
          <w:shd w:val="clear" w:color="auto" w:fill="FFFFFF"/>
          <w:lang w:val="en-GB"/>
        </w:rPr>
        <w:t xml:space="preserve">Figure </w:t>
      </w:r>
      <w:r w:rsidR="00794502">
        <w:rPr>
          <w:rStyle w:val="normaltextrun"/>
          <w:rFonts w:ascii="Arial Black" w:hAnsi="Arial Black"/>
          <w:color w:val="000000"/>
          <w:shd w:val="clear" w:color="auto" w:fill="FFFFFF"/>
          <w:lang w:val="en-GB"/>
        </w:rPr>
        <w:t>8</w:t>
      </w:r>
      <w:r>
        <w:rPr>
          <w:rStyle w:val="normaltextrun"/>
          <w:rFonts w:ascii="Arial Black" w:hAnsi="Arial Black"/>
          <w:color w:val="000000"/>
          <w:shd w:val="clear" w:color="auto" w:fill="FFFFFF"/>
          <w:lang w:val="en-GB"/>
        </w:rPr>
        <w:t> – Regulation trends are headed in the wrong direction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E9252D" w:rsidRPr="00916D59" w14:paraId="01B33AC4" w14:textId="77777777">
        <w:trPr>
          <w:tblHeader/>
        </w:trPr>
        <w:tc>
          <w:tcPr>
            <w:tcW w:w="1667" w:type="pct"/>
          </w:tcPr>
          <w:p w14:paraId="483D9D44" w14:textId="14BDD09A" w:rsidR="00E9252D" w:rsidRPr="00916D59" w:rsidRDefault="00FD7E22">
            <w:pPr>
              <w:pStyle w:val="TableBody"/>
              <w:spacing w:after="15"/>
              <w:ind w:left="0"/>
            </w:pPr>
            <w:r>
              <w:t>a</w:t>
            </w:r>
            <w:r w:rsidR="00432996">
              <w:t xml:space="preserve">. </w:t>
            </w:r>
            <w:r w:rsidR="0081175C">
              <w:t>Growth in legisla</w:t>
            </w:r>
            <w:r w:rsidR="00431B9A">
              <w:t>tion</w:t>
            </w:r>
            <w:r w:rsidR="000D28F2">
              <w:t xml:space="preserve"> </w:t>
            </w:r>
            <w:r w:rsidR="000D28F2" w:rsidRPr="000D28F2">
              <w:rPr>
                <w:noProof/>
              </w:rPr>
              <w:drawing>
                <wp:inline distT="0" distB="0" distL="0" distR="0" wp14:anchorId="5A754948" wp14:editId="620AF53C">
                  <wp:extent cx="1868906" cy="1812925"/>
                  <wp:effectExtent l="0" t="0" r="0" b="0"/>
                  <wp:docPr id="349293027" name="Picture 23" descr="This figure has three panels.&#10;Panel a shows Australia’s ranking in the World Bank Ease of Doing Business index and OECD Product Market Regulation index. Australia slipped from fifth to 14th in the Ease of Doing Business index between 2005 and 2020, and from third to 16th of 28 countries in the Product Market Regulation index between 2003 and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93027" name="Picture 23" descr="This figure has three panels.&#10;Panel a shows Australia’s ranking in the World Bank Ease of Doing Business index and OECD Product Market Regulation index. Australia slipped from fifth to 14th in the Ease of Doing Business index between 2005 and 2020, and from third to 16th of 28 countries in the Product Market Regulation index between 2003 and 2023.&#10;"/>
                          <pic:cNvPicPr>
                            <a:picLocks noChangeAspect="1" noChangeArrowheads="1"/>
                          </pic:cNvPicPr>
                        </pic:nvPicPr>
                        <pic:blipFill rotWithShape="1">
                          <a:blip r:embed="rId40">
                            <a:extLst>
                              <a:ext uri="{28A0092B-C50C-407E-A947-70E740481C1C}">
                                <a14:useLocalDpi xmlns:a14="http://schemas.microsoft.com/office/drawing/2010/main" val="0"/>
                              </a:ext>
                            </a:extLst>
                          </a:blip>
                          <a:srcRect l="5668"/>
                          <a:stretch>
                            <a:fillRect/>
                          </a:stretch>
                        </pic:blipFill>
                        <pic:spPr bwMode="auto">
                          <a:xfrm>
                            <a:off x="0" y="0"/>
                            <a:ext cx="1868906" cy="1812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tcPr>
          <w:p w14:paraId="7EC7188F" w14:textId="300A3854" w:rsidR="00E9252D" w:rsidRPr="00916D59" w:rsidRDefault="00E64560">
            <w:pPr>
              <w:pStyle w:val="TableBody"/>
              <w:spacing w:after="15"/>
              <w:ind w:left="0"/>
              <w:rPr>
                <w:noProof/>
              </w:rPr>
            </w:pPr>
            <w:r>
              <w:t>b</w:t>
            </w:r>
            <w:r w:rsidR="00432996">
              <w:t>. The economic burden of regulation</w:t>
            </w:r>
            <w:r w:rsidR="00CF15CE">
              <w:t xml:space="preserve"> </w:t>
            </w:r>
            <w:r w:rsidR="00CF15CE" w:rsidRPr="00CF15CE">
              <w:rPr>
                <w:noProof/>
              </w:rPr>
              <w:drawing>
                <wp:inline distT="0" distB="0" distL="0" distR="0" wp14:anchorId="4C7DEC58" wp14:editId="1C9EE2ED">
                  <wp:extent cx="1860884" cy="1820545"/>
                  <wp:effectExtent l="0" t="0" r="0" b="0"/>
                  <wp:docPr id="1089600790" name="Picture 24" descr="Panel b shows the number of restrictive terms in Commonwealth Acts of Parliament between 2000 and 2021 and legislative instruments between 2006 and 2021. The former grew by 43% and the latter grew by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00790" name="Picture 24" descr="Panel b shows the number of restrictive terms in Commonwealth Acts of Parliament between 2000 and 2021 and legislative instruments between 2006 and 2021. The former grew by 43% and the latter grew by 120%."/>
                          <pic:cNvPicPr>
                            <a:picLocks noChangeAspect="1" noChangeArrowheads="1"/>
                          </pic:cNvPicPr>
                        </pic:nvPicPr>
                        <pic:blipFill rotWithShape="1">
                          <a:blip r:embed="rId41">
                            <a:extLst>
                              <a:ext uri="{28A0092B-C50C-407E-A947-70E740481C1C}">
                                <a14:useLocalDpi xmlns:a14="http://schemas.microsoft.com/office/drawing/2010/main" val="0"/>
                              </a:ext>
                            </a:extLst>
                          </a:blip>
                          <a:srcRect l="6073"/>
                          <a:stretch>
                            <a:fillRect/>
                          </a:stretch>
                        </pic:blipFill>
                        <pic:spPr bwMode="auto">
                          <a:xfrm>
                            <a:off x="0" y="0"/>
                            <a:ext cx="1860884" cy="1820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6" w:type="pct"/>
          </w:tcPr>
          <w:p w14:paraId="37062481" w14:textId="0BF9670A" w:rsidR="00E9252D" w:rsidRPr="00916D59" w:rsidRDefault="00E64560">
            <w:pPr>
              <w:pStyle w:val="TableBody"/>
              <w:spacing w:after="15"/>
              <w:ind w:left="0"/>
            </w:pPr>
            <w:r>
              <w:t xml:space="preserve">c. </w:t>
            </w:r>
            <w:r w:rsidR="00B17D81">
              <w:t>Australia’s international standing</w:t>
            </w:r>
            <w:r w:rsidRPr="005044DA">
              <w:rPr>
                <w:noProof/>
                <w:color w:val="FF0000"/>
              </w:rPr>
              <w:t xml:space="preserve"> </w:t>
            </w:r>
            <w:r w:rsidR="00134658" w:rsidRPr="00134658">
              <w:rPr>
                <w:noProof/>
                <w:color w:val="FF0000"/>
              </w:rPr>
              <w:drawing>
                <wp:inline distT="0" distB="0" distL="0" distR="0" wp14:anchorId="05892A79" wp14:editId="6B01B158">
                  <wp:extent cx="1864658" cy="1819910"/>
                  <wp:effectExtent l="0" t="0" r="0" b="0"/>
                  <wp:docPr id="276211891" name="Picture 2" descr="Panel c shows the share of GDP spent on external legal services and the share of the workforce in compliance roles between 2010 and 2024, and the share of wages devoted to compliance tasks between 2014 and 2024. The first and second grew by 40% and the third did not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11891" name="Picture 2" descr="Panel c shows the share of GDP spent on external legal services and the share of the workforce in compliance roles between 2010 and 2024, and the share of wages devoted to compliance tasks between 2014 and 2024. The first and second grew by 40% and the third did not grow."/>
                          <pic:cNvPicPr>
                            <a:picLocks noChangeAspect="1" noChangeArrowheads="1"/>
                          </pic:cNvPicPr>
                        </pic:nvPicPr>
                        <pic:blipFill rotWithShape="1">
                          <a:blip r:embed="rId42">
                            <a:extLst>
                              <a:ext uri="{28A0092B-C50C-407E-A947-70E740481C1C}">
                                <a14:useLocalDpi xmlns:a14="http://schemas.microsoft.com/office/drawing/2010/main" val="0"/>
                              </a:ext>
                            </a:extLst>
                          </a:blip>
                          <a:srcRect l="5882"/>
                          <a:stretch>
                            <a:fillRect/>
                          </a:stretch>
                        </pic:blipFill>
                        <pic:spPr bwMode="auto">
                          <a:xfrm>
                            <a:off x="0" y="0"/>
                            <a:ext cx="1864658" cy="18199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90045C" w14:textId="17999078" w:rsidR="00473391" w:rsidRDefault="00D36C52" w:rsidP="00473391">
      <w:pPr>
        <w:pStyle w:val="Note"/>
      </w:pPr>
      <w:r w:rsidRPr="00D36C52">
        <w:t>‘Restrictive terms’ are: ‘shall’, ‘must’, ‘may not’, ‘prohibited’ and ‘required’. The</w:t>
      </w:r>
      <w:r w:rsidR="00AF1691">
        <w:t xml:space="preserve"> rank</w:t>
      </w:r>
      <w:r w:rsidR="00A41A31">
        <w:t xml:space="preserve"> of Australia</w:t>
      </w:r>
      <w:r w:rsidR="00AF1691">
        <w:t xml:space="preserve"> reported under the</w:t>
      </w:r>
      <w:r w:rsidRPr="00D36C52">
        <w:t xml:space="preserve"> OECD Product Market Regulation index </w:t>
      </w:r>
      <w:r w:rsidR="00AF1691">
        <w:t>is based upon</w:t>
      </w:r>
      <w:r w:rsidRPr="00D36C52">
        <w:t xml:space="preserve"> the 28 countries that reported data in every period. ‘Legal services’ includes external legal services only.</w:t>
      </w:r>
      <w:r w:rsidR="00FA3735">
        <w:t xml:space="preserve"> </w:t>
      </w:r>
    </w:p>
    <w:p w14:paraId="4D05E1AA" w14:textId="1F83E5B2" w:rsidR="00B95A59" w:rsidRPr="001F2DA6" w:rsidRDefault="00D36C52" w:rsidP="00B95A59">
      <w:pPr>
        <w:pStyle w:val="Source"/>
        <w:rPr>
          <w:spacing w:val="-4"/>
        </w:rPr>
      </w:pPr>
      <w:r w:rsidRPr="001F2DA6">
        <w:rPr>
          <w:spacing w:val="-4"/>
        </w:rPr>
        <w:t xml:space="preserve">Source: </w:t>
      </w:r>
      <w:r w:rsidR="00B95A59" w:rsidRPr="001F2DA6">
        <w:rPr>
          <w:spacing w:val="-4"/>
        </w:rPr>
        <w:t xml:space="preserve">Number of restrictive terms in Commonwealth acts and legislative instruments: PC estimates based on </w:t>
      </w:r>
      <w:proofErr w:type="spellStart"/>
      <w:r w:rsidR="00B95A59" w:rsidRPr="001F2DA6">
        <w:rPr>
          <w:spacing w:val="-4"/>
        </w:rPr>
        <w:t>QuantGov</w:t>
      </w:r>
      <w:proofErr w:type="spellEnd"/>
      <w:r w:rsidR="00B95A59" w:rsidRPr="001F2DA6">
        <w:rPr>
          <w:spacing w:val="-4"/>
        </w:rPr>
        <w:t xml:space="preserve"> (</w:t>
      </w:r>
      <w:proofErr w:type="spellStart"/>
      <w:r w:rsidR="00B95A59" w:rsidRPr="001F2DA6">
        <w:rPr>
          <w:spacing w:val="-4"/>
        </w:rPr>
        <w:t>nd</w:t>
      </w:r>
      <w:proofErr w:type="spellEnd"/>
      <w:r w:rsidR="00B95A59" w:rsidRPr="001F2DA6">
        <w:rPr>
          <w:spacing w:val="-4"/>
        </w:rPr>
        <w:t>)</w:t>
      </w:r>
      <w:r w:rsidR="003F450D" w:rsidRPr="001F2DA6">
        <w:rPr>
          <w:spacing w:val="-4"/>
        </w:rPr>
        <w:t>;</w:t>
      </w:r>
      <w:r w:rsidR="00B95A59" w:rsidRPr="001F2DA6">
        <w:rPr>
          <w:spacing w:val="-4"/>
        </w:rPr>
        <w:t xml:space="preserve"> share of GDP spend on external legal services and share of workforce in compliance roles: Mandala (2025)</w:t>
      </w:r>
      <w:r w:rsidR="00053AC4" w:rsidRPr="001F2DA6">
        <w:rPr>
          <w:spacing w:val="-4"/>
        </w:rPr>
        <w:t>;</w:t>
      </w:r>
      <w:r w:rsidR="00B95A59" w:rsidRPr="001F2DA6">
        <w:rPr>
          <w:spacing w:val="-4"/>
        </w:rPr>
        <w:t xml:space="preserve"> share of wages devoted to compliance tasks: OECD </w:t>
      </w:r>
      <w:r w:rsidR="007734C7" w:rsidRPr="001F2DA6">
        <w:rPr>
          <w:spacing w:val="-4"/>
        </w:rPr>
        <w:t>(2025a)</w:t>
      </w:r>
      <w:r w:rsidR="00923274" w:rsidRPr="001F2DA6">
        <w:rPr>
          <w:spacing w:val="-4"/>
        </w:rPr>
        <w:t>;</w:t>
      </w:r>
      <w:r w:rsidR="00B95A59" w:rsidRPr="001F2DA6">
        <w:rPr>
          <w:spacing w:val="-4"/>
        </w:rPr>
        <w:t xml:space="preserve"> World Bank Ease of Doing Business Index: World Bank Doing Business annual reports, 2005 to 2020 </w:t>
      </w:r>
      <w:r w:rsidR="00984D4E" w:rsidRPr="001F2DA6">
        <w:rPr>
          <w:spacing w:val="-4"/>
        </w:rPr>
        <w:t>(World Bank Group 2019)</w:t>
      </w:r>
      <w:r w:rsidR="00306537" w:rsidRPr="001F2DA6">
        <w:rPr>
          <w:bCs/>
          <w:spacing w:val="-4"/>
        </w:rPr>
        <w:t xml:space="preserve">; </w:t>
      </w:r>
      <w:r w:rsidR="00306537" w:rsidRPr="001F2DA6">
        <w:rPr>
          <w:spacing w:val="-4"/>
        </w:rPr>
        <w:t>OECD Product Market Regulation Index: World Bank (2025b)</w:t>
      </w:r>
      <w:r w:rsidR="00B95A59" w:rsidRPr="001F2DA6">
        <w:rPr>
          <w:spacing w:val="-4"/>
        </w:rPr>
        <w:t>.</w:t>
      </w:r>
    </w:p>
    <w:p w14:paraId="327A3C02" w14:textId="33535B0E" w:rsidR="00F26D3A" w:rsidRDefault="00117AF0" w:rsidP="009F6D03">
      <w:pPr>
        <w:pStyle w:val="Heading3"/>
      </w:pPr>
      <w:r>
        <w:t xml:space="preserve">The government should consider a series of </w:t>
      </w:r>
      <w:r w:rsidR="00EC6573">
        <w:t>approaches to</w:t>
      </w:r>
      <w:r>
        <w:t xml:space="preserve"> streamlining</w:t>
      </w:r>
      <w:r w:rsidR="00EC6573">
        <w:t xml:space="preserve"> regulation</w:t>
      </w:r>
    </w:p>
    <w:p w14:paraId="6DBE78A3" w14:textId="125D8346" w:rsidR="00205FA3" w:rsidRDefault="00806E7F" w:rsidP="00CE67C2">
      <w:pPr>
        <w:rPr>
          <w:rFonts w:cstheme="minorHAnsi"/>
        </w:rPr>
      </w:pPr>
      <w:r>
        <w:rPr>
          <w:rFonts w:cstheme="minorHAnsi"/>
        </w:rPr>
        <w:t>T</w:t>
      </w:r>
      <w:r w:rsidR="00BF7D86" w:rsidRPr="00157647">
        <w:rPr>
          <w:rFonts w:cstheme="minorHAnsi"/>
        </w:rPr>
        <w:t xml:space="preserve">he </w:t>
      </w:r>
      <w:r w:rsidR="00C439AC">
        <w:rPr>
          <w:rFonts w:cstheme="minorHAnsi"/>
        </w:rPr>
        <w:t>PC</w:t>
      </w:r>
      <w:r w:rsidR="00BF7D86" w:rsidRPr="00157647">
        <w:rPr>
          <w:rFonts w:cstheme="minorHAnsi"/>
        </w:rPr>
        <w:t xml:space="preserve"> </w:t>
      </w:r>
      <w:r w:rsidR="00323FDE">
        <w:rPr>
          <w:rFonts w:cstheme="minorHAnsi"/>
        </w:rPr>
        <w:t xml:space="preserve">has </w:t>
      </w:r>
      <w:r w:rsidR="00BF7D86" w:rsidRPr="00157647">
        <w:rPr>
          <w:rFonts w:cstheme="minorHAnsi"/>
        </w:rPr>
        <w:t>recommend</w:t>
      </w:r>
      <w:r w:rsidR="00684C55">
        <w:rPr>
          <w:rFonts w:cstheme="minorHAnsi"/>
        </w:rPr>
        <w:t>ed</w:t>
      </w:r>
      <w:r w:rsidR="00BF7D86" w:rsidRPr="00157647">
        <w:rPr>
          <w:rFonts w:cstheme="minorHAnsi"/>
        </w:rPr>
        <w:t xml:space="preserve"> a regulatory overhaul to improve productivity outcomes</w:t>
      </w:r>
      <w:r w:rsidR="004D0D23">
        <w:rPr>
          <w:rFonts w:cstheme="minorHAnsi"/>
        </w:rPr>
        <w:t xml:space="preserve"> </w:t>
      </w:r>
      <w:r w:rsidR="004D0D23" w:rsidRPr="004D0D23">
        <w:rPr>
          <w:rFonts w:ascii="Arial" w:hAnsi="Arial" w:cs="Arial"/>
        </w:rPr>
        <w:t>(PC 2025b, p. 33)</w:t>
      </w:r>
      <w:r w:rsidR="00BF7D86">
        <w:rPr>
          <w:rFonts w:cstheme="minorHAnsi"/>
        </w:rPr>
        <w:t xml:space="preserve">. </w:t>
      </w:r>
      <w:r w:rsidR="00CE67C2" w:rsidRPr="00CE67C2">
        <w:rPr>
          <w:rFonts w:cstheme="minorHAnsi"/>
        </w:rPr>
        <w:t>This includes</w:t>
      </w:r>
      <w:r w:rsidR="00224AF8">
        <w:rPr>
          <w:rFonts w:cstheme="minorHAnsi"/>
        </w:rPr>
        <w:t xml:space="preserve"> the Australian Government</w:t>
      </w:r>
      <w:r w:rsidR="00CE67C2" w:rsidRPr="00CE67C2">
        <w:rPr>
          <w:rFonts w:cstheme="minorHAnsi"/>
        </w:rPr>
        <w:t xml:space="preserve"> </w:t>
      </w:r>
      <w:r w:rsidR="00032331">
        <w:rPr>
          <w:rFonts w:cstheme="minorHAnsi"/>
        </w:rPr>
        <w:t>adopting a</w:t>
      </w:r>
      <w:r w:rsidR="00CE67C2" w:rsidRPr="00CE67C2">
        <w:rPr>
          <w:rFonts w:cstheme="minorHAnsi"/>
        </w:rPr>
        <w:t xml:space="preserve"> whole</w:t>
      </w:r>
      <w:r w:rsidR="002A1B77">
        <w:rPr>
          <w:rFonts w:cstheme="minorHAnsi"/>
        </w:rPr>
        <w:noBreakHyphen/>
      </w:r>
      <w:r w:rsidR="00CE67C2" w:rsidRPr="00CE67C2">
        <w:rPr>
          <w:rFonts w:cstheme="minorHAnsi"/>
        </w:rPr>
        <w:t>of</w:t>
      </w:r>
      <w:r w:rsidR="002A1B77">
        <w:rPr>
          <w:rFonts w:cstheme="minorHAnsi"/>
        </w:rPr>
        <w:noBreakHyphen/>
      </w:r>
      <w:r w:rsidR="00CE67C2" w:rsidRPr="00CE67C2">
        <w:rPr>
          <w:rFonts w:cstheme="minorHAnsi"/>
        </w:rPr>
        <w:t xml:space="preserve">government </w:t>
      </w:r>
      <w:r w:rsidR="00B67152">
        <w:rPr>
          <w:rFonts w:cstheme="minorHAnsi"/>
        </w:rPr>
        <w:t xml:space="preserve">statement on regulation </w:t>
      </w:r>
      <w:r w:rsidR="00940D53">
        <w:rPr>
          <w:rFonts w:cstheme="minorHAnsi"/>
        </w:rPr>
        <w:t xml:space="preserve">that makes it clear that regulatory reform in a core government </w:t>
      </w:r>
      <w:r w:rsidR="00CE67C2" w:rsidRPr="00CE67C2">
        <w:rPr>
          <w:rFonts w:cstheme="minorHAnsi"/>
        </w:rPr>
        <w:t>priority</w:t>
      </w:r>
      <w:r w:rsidR="00167A43">
        <w:rPr>
          <w:rFonts w:cstheme="minorHAnsi"/>
        </w:rPr>
        <w:t>. The statement should</w:t>
      </w:r>
      <w:r w:rsidR="005826FC">
        <w:rPr>
          <w:rFonts w:cstheme="minorHAnsi"/>
        </w:rPr>
        <w:t xml:space="preserve"> </w:t>
      </w:r>
      <w:r w:rsidR="00CE67C2" w:rsidRPr="00CE67C2">
        <w:rPr>
          <w:rFonts w:cstheme="minorHAnsi"/>
        </w:rPr>
        <w:t>set out concrete actions</w:t>
      </w:r>
      <w:r w:rsidR="00AD030D">
        <w:rPr>
          <w:rFonts w:cstheme="minorHAnsi"/>
        </w:rPr>
        <w:t xml:space="preserve"> to reduce regulatory burdens</w:t>
      </w:r>
      <w:r w:rsidR="00CE67C2" w:rsidRPr="00CE67C2">
        <w:rPr>
          <w:rFonts w:cstheme="minorHAnsi"/>
        </w:rPr>
        <w:t>,</w:t>
      </w:r>
      <w:r w:rsidR="005E34A8">
        <w:rPr>
          <w:rFonts w:cstheme="minorHAnsi"/>
        </w:rPr>
        <w:t xml:space="preserve"> specify</w:t>
      </w:r>
      <w:r w:rsidR="00CE67C2" w:rsidRPr="00CE67C2">
        <w:rPr>
          <w:rFonts w:cstheme="minorHAnsi"/>
        </w:rPr>
        <w:t xml:space="preserve"> principles of good regulation </w:t>
      </w:r>
      <w:r w:rsidR="00474995">
        <w:rPr>
          <w:rFonts w:cstheme="minorHAnsi"/>
        </w:rPr>
        <w:t>and establish a target for regulatory burden reduction and ongoing monitoring.</w:t>
      </w:r>
      <w:r w:rsidR="00AE1382">
        <w:rPr>
          <w:rFonts w:cstheme="minorHAnsi"/>
        </w:rPr>
        <w:t xml:space="preserve"> </w:t>
      </w:r>
      <w:r w:rsidR="00DA71ED">
        <w:rPr>
          <w:rFonts w:cstheme="minorHAnsi"/>
        </w:rPr>
        <w:t xml:space="preserve">Regarding </w:t>
      </w:r>
      <w:r w:rsidR="00FD407A">
        <w:rPr>
          <w:rFonts w:cstheme="minorHAnsi"/>
        </w:rPr>
        <w:t xml:space="preserve">the </w:t>
      </w:r>
      <w:r w:rsidR="0076043D">
        <w:rPr>
          <w:rFonts w:cstheme="minorHAnsi"/>
        </w:rPr>
        <w:t>target</w:t>
      </w:r>
      <w:r w:rsidR="00FD407A">
        <w:rPr>
          <w:rFonts w:cstheme="minorHAnsi"/>
        </w:rPr>
        <w:t>, t</w:t>
      </w:r>
      <w:r w:rsidR="00CE67C2" w:rsidRPr="00CE67C2">
        <w:rPr>
          <w:rFonts w:cstheme="minorHAnsi"/>
        </w:rPr>
        <w:t xml:space="preserve">he </w:t>
      </w:r>
      <w:r w:rsidR="00872360">
        <w:rPr>
          <w:rFonts w:cstheme="minorHAnsi"/>
        </w:rPr>
        <w:t>PC</w:t>
      </w:r>
      <w:r w:rsidR="00872360" w:rsidRPr="00CE67C2">
        <w:rPr>
          <w:rFonts w:cstheme="minorHAnsi"/>
        </w:rPr>
        <w:t xml:space="preserve"> </w:t>
      </w:r>
      <w:r w:rsidR="00447830">
        <w:rPr>
          <w:rFonts w:cstheme="minorHAnsi"/>
        </w:rPr>
        <w:t>suggested</w:t>
      </w:r>
      <w:r w:rsidR="00447830" w:rsidRPr="00CE67C2">
        <w:rPr>
          <w:rFonts w:cstheme="minorHAnsi"/>
        </w:rPr>
        <w:t xml:space="preserve"> </w:t>
      </w:r>
      <w:r w:rsidR="00D35602">
        <w:rPr>
          <w:rFonts w:cstheme="minorHAnsi"/>
        </w:rPr>
        <w:t>that</w:t>
      </w:r>
      <w:r w:rsidR="00DA71ED">
        <w:rPr>
          <w:rFonts w:cstheme="minorHAnsi"/>
        </w:rPr>
        <w:t xml:space="preserve"> administrative, compliance and delay costs</w:t>
      </w:r>
      <w:r w:rsidR="00D35602">
        <w:rPr>
          <w:rFonts w:cstheme="minorHAnsi"/>
        </w:rPr>
        <w:t xml:space="preserve"> should be reduced</w:t>
      </w:r>
      <w:r w:rsidR="00DA71ED">
        <w:rPr>
          <w:rFonts w:cstheme="minorHAnsi"/>
        </w:rPr>
        <w:t xml:space="preserve"> by</w:t>
      </w:r>
      <w:r w:rsidR="00CE67C2" w:rsidRPr="00CE67C2">
        <w:rPr>
          <w:rFonts w:cstheme="minorHAnsi"/>
        </w:rPr>
        <w:t xml:space="preserve"> $10 billion by 2030</w:t>
      </w:r>
      <w:r w:rsidR="00885D59">
        <w:rPr>
          <w:rFonts w:cstheme="minorHAnsi"/>
        </w:rPr>
        <w:t xml:space="preserve"> – </w:t>
      </w:r>
      <w:r w:rsidR="00CE67C2" w:rsidRPr="00CE67C2">
        <w:rPr>
          <w:rFonts w:cstheme="minorHAnsi"/>
        </w:rPr>
        <w:t xml:space="preserve">backed by regular public reporting through an </w:t>
      </w:r>
      <w:r w:rsidR="00CE67C2" w:rsidRPr="00CE67C2">
        <w:rPr>
          <w:rFonts w:cstheme="minorHAnsi"/>
        </w:rPr>
        <w:lastRenderedPageBreak/>
        <w:t xml:space="preserve">annual </w:t>
      </w:r>
      <w:r w:rsidR="00CE67C2" w:rsidRPr="00781389">
        <w:rPr>
          <w:rFonts w:cstheme="minorHAnsi"/>
          <w:i/>
        </w:rPr>
        <w:t xml:space="preserve">Regulation </w:t>
      </w:r>
      <w:r w:rsidR="00B44AA4" w:rsidRPr="00781389">
        <w:rPr>
          <w:rFonts w:cstheme="minorHAnsi"/>
          <w:i/>
          <w:iCs/>
        </w:rPr>
        <w:t>r</w:t>
      </w:r>
      <w:r w:rsidR="00CE67C2" w:rsidRPr="00781389">
        <w:rPr>
          <w:rFonts w:cstheme="minorHAnsi"/>
          <w:i/>
          <w:iCs/>
        </w:rPr>
        <w:t>eview</w:t>
      </w:r>
      <w:r w:rsidR="00CE67C2" w:rsidRPr="00CE67C2">
        <w:rPr>
          <w:rFonts w:cstheme="minorHAnsi"/>
        </w:rPr>
        <w:t>.</w:t>
      </w:r>
      <w:r w:rsidR="00FA3735">
        <w:rPr>
          <w:rFonts w:cstheme="minorHAnsi"/>
        </w:rPr>
        <w:t xml:space="preserve"> </w:t>
      </w:r>
      <w:r w:rsidR="00A26D02">
        <w:rPr>
          <w:rFonts w:cstheme="minorHAnsi"/>
        </w:rPr>
        <w:t>H</w:t>
      </w:r>
      <w:r w:rsidR="00B929DB">
        <w:rPr>
          <w:rFonts w:cstheme="minorHAnsi"/>
        </w:rPr>
        <w:t xml:space="preserve">eightened scrutiny will be essential to preventing </w:t>
      </w:r>
      <w:r w:rsidR="00370A95">
        <w:rPr>
          <w:rFonts w:cstheme="minorHAnsi"/>
        </w:rPr>
        <w:t>and reducing unnecessary regulation</w:t>
      </w:r>
      <w:r w:rsidR="00205FA3">
        <w:rPr>
          <w:rFonts w:cstheme="minorHAnsi"/>
        </w:rPr>
        <w:t>, including</w:t>
      </w:r>
      <w:r w:rsidR="006C2C3C">
        <w:rPr>
          <w:rFonts w:cstheme="minorHAnsi"/>
        </w:rPr>
        <w:t xml:space="preserve"> by</w:t>
      </w:r>
      <w:r w:rsidR="00B63C8E">
        <w:rPr>
          <w:rFonts w:cstheme="minorHAnsi"/>
        </w:rPr>
        <w:t xml:space="preserve"> </w:t>
      </w:r>
      <w:r w:rsidR="002A6739" w:rsidRPr="002A6739">
        <w:rPr>
          <w:rFonts w:ascii="Arial" w:hAnsi="Arial" w:cs="Arial"/>
        </w:rPr>
        <w:t>(PC 2025b, p. 46)</w:t>
      </w:r>
      <w:r w:rsidR="00DA479B">
        <w:rPr>
          <w:rFonts w:cstheme="minorHAnsi"/>
        </w:rPr>
        <w:t>:</w:t>
      </w:r>
      <w:r w:rsidR="00CE67C2" w:rsidRPr="00CE67C2">
        <w:rPr>
          <w:rFonts w:cstheme="minorHAnsi"/>
        </w:rPr>
        <w:t xml:space="preserve"> </w:t>
      </w:r>
    </w:p>
    <w:p w14:paraId="72872BAC" w14:textId="483576E3" w:rsidR="005351CB" w:rsidRDefault="005351CB" w:rsidP="00205FA3">
      <w:pPr>
        <w:pStyle w:val="ListBullet"/>
        <w:numPr>
          <w:ilvl w:val="0"/>
          <w:numId w:val="17"/>
        </w:numPr>
        <w:spacing w:before="94" w:after="94"/>
        <w:ind w:left="179" w:hanging="179"/>
      </w:pPr>
      <w:r w:rsidRPr="005351CB">
        <w:t>strengthen</w:t>
      </w:r>
      <w:r w:rsidR="006C2C3C">
        <w:t>in</w:t>
      </w:r>
      <w:r w:rsidR="00B63C8E">
        <w:t>g</w:t>
      </w:r>
      <w:r w:rsidRPr="005351CB">
        <w:t xml:space="preserve"> Cabinet’s scrutiny of regulatory proposals by applying similar methods used to scrutinise budget proposals </w:t>
      </w:r>
    </w:p>
    <w:p w14:paraId="4D5D430F" w14:textId="296A282F" w:rsidR="005351CB" w:rsidRDefault="005351CB" w:rsidP="00205FA3">
      <w:pPr>
        <w:pStyle w:val="ListBullet"/>
        <w:numPr>
          <w:ilvl w:val="0"/>
          <w:numId w:val="17"/>
        </w:numPr>
        <w:spacing w:before="94" w:after="94"/>
        <w:ind w:left="179" w:hanging="179"/>
      </w:pPr>
      <w:r w:rsidRPr="005351CB">
        <w:t>appoint</w:t>
      </w:r>
      <w:r w:rsidR="002A6739">
        <w:t>ing</w:t>
      </w:r>
      <w:r w:rsidRPr="005351CB">
        <w:t xml:space="preserve"> an independent statutory commissioner to oversee the Office of Impact Analysis and raise the standards for impact analyses </w:t>
      </w:r>
    </w:p>
    <w:p w14:paraId="59E05AA2" w14:textId="3DA7A77B" w:rsidR="005351CB" w:rsidRDefault="005351CB" w:rsidP="00205FA3">
      <w:pPr>
        <w:pStyle w:val="ListBullet"/>
        <w:numPr>
          <w:ilvl w:val="0"/>
          <w:numId w:val="17"/>
        </w:numPr>
        <w:spacing w:before="94" w:after="94"/>
        <w:ind w:left="179" w:hanging="179"/>
      </w:pPr>
      <w:r w:rsidRPr="005351CB">
        <w:t>mandat</w:t>
      </w:r>
      <w:r w:rsidR="002A6739">
        <w:t>ing</w:t>
      </w:r>
      <w:r w:rsidRPr="005351CB">
        <w:t xml:space="preserve"> a post-implementation review where impact analysis suggests the effects of a policy change are highly uncertain </w:t>
      </w:r>
    </w:p>
    <w:p w14:paraId="5D2970B8" w14:textId="7ACF3574" w:rsidR="005351CB" w:rsidRDefault="005351CB" w:rsidP="00205FA3">
      <w:pPr>
        <w:pStyle w:val="ListBullet"/>
        <w:numPr>
          <w:ilvl w:val="0"/>
          <w:numId w:val="17"/>
        </w:numPr>
        <w:spacing w:before="94" w:after="94"/>
        <w:ind w:left="179" w:hanging="179"/>
      </w:pPr>
      <w:r w:rsidRPr="005351CB">
        <w:t>expand</w:t>
      </w:r>
      <w:r w:rsidR="002A6739">
        <w:t>ing</w:t>
      </w:r>
      <w:r w:rsidRPr="005351CB">
        <w:t xml:space="preserve"> the terms of reference of scrutiny committees of the Australian Parliament to allow them to provide stronger scrutiny of new regulations </w:t>
      </w:r>
    </w:p>
    <w:p w14:paraId="4B1C5816" w14:textId="0D12603C" w:rsidR="005351CB" w:rsidRPr="00205FA3" w:rsidRDefault="005351CB" w:rsidP="00C33598">
      <w:pPr>
        <w:pStyle w:val="ListBullet"/>
        <w:numPr>
          <w:ilvl w:val="0"/>
          <w:numId w:val="17"/>
        </w:numPr>
        <w:spacing w:before="94" w:after="94"/>
        <w:ind w:left="179" w:hanging="179"/>
      </w:pPr>
      <w:r w:rsidRPr="005351CB">
        <w:t>commission</w:t>
      </w:r>
      <w:r w:rsidR="002A6739">
        <w:t>ing</w:t>
      </w:r>
      <w:r w:rsidRPr="005351CB">
        <w:t xml:space="preserve"> external root-and-branch reviews to reduce cumulative regulatory burdens in areas where thickets of regulation have accumulated. </w:t>
      </w:r>
    </w:p>
    <w:p w14:paraId="029F7531" w14:textId="07251827" w:rsidR="000A0820" w:rsidRDefault="00CE67C2" w:rsidP="00F26D3A">
      <w:pPr>
        <w:rPr>
          <w:rFonts w:cstheme="minorHAnsi"/>
        </w:rPr>
      </w:pPr>
      <w:r w:rsidRPr="00CE67C2">
        <w:rPr>
          <w:rFonts w:cstheme="minorHAnsi"/>
        </w:rPr>
        <w:t>Finally, regulatory practice</w:t>
      </w:r>
      <w:r w:rsidR="00370A95">
        <w:rPr>
          <w:rFonts w:cstheme="minorHAnsi"/>
        </w:rPr>
        <w:t>s</w:t>
      </w:r>
      <w:r w:rsidRPr="00CE67C2">
        <w:rPr>
          <w:rFonts w:cstheme="minorHAnsi"/>
        </w:rPr>
        <w:t xml:space="preserve"> should more clearly support growth, competition and innovation alongside traditional regulatory objectives. </w:t>
      </w:r>
      <w:r w:rsidRPr="00950104">
        <w:rPr>
          <w:rFonts w:cstheme="minorHAnsi"/>
          <w:spacing w:val="-2"/>
        </w:rPr>
        <w:t>This require</w:t>
      </w:r>
      <w:r w:rsidR="00950104" w:rsidRPr="00950104">
        <w:rPr>
          <w:rFonts w:cstheme="minorHAnsi"/>
          <w:spacing w:val="-2"/>
        </w:rPr>
        <w:t>s</w:t>
      </w:r>
      <w:r w:rsidRPr="00950104">
        <w:rPr>
          <w:rFonts w:cstheme="minorHAnsi"/>
          <w:spacing w:val="-2"/>
        </w:rPr>
        <w:t xml:space="preserve"> clearer expectations for regulators, reinforced through ministerial</w:t>
      </w:r>
      <w:r w:rsidRPr="00CE67C2">
        <w:rPr>
          <w:rFonts w:cstheme="minorHAnsi"/>
        </w:rPr>
        <w:t xml:space="preserve"> guidance, capability building, performance measures and stronger accountability for regulatory outcomes.</w:t>
      </w:r>
    </w:p>
    <w:p w14:paraId="100DB22A" w14:textId="6A4F9465" w:rsidR="000A0820" w:rsidRDefault="000A0820" w:rsidP="00F26D3A">
      <w:pPr>
        <w:rPr>
          <w:rFonts w:cstheme="minorHAnsi"/>
        </w:rPr>
      </w:pPr>
      <w:r>
        <w:rPr>
          <w:rFonts w:cstheme="minorHAnsi"/>
        </w:rPr>
        <w:t xml:space="preserve">Accompanying this overarching </w:t>
      </w:r>
      <w:r w:rsidR="00A81E45">
        <w:rPr>
          <w:rFonts w:cstheme="minorHAnsi"/>
        </w:rPr>
        <w:t xml:space="preserve">approach to streamlining regulation, the </w:t>
      </w:r>
      <w:r w:rsidR="00ED06CC">
        <w:rPr>
          <w:rFonts w:cstheme="minorHAnsi"/>
        </w:rPr>
        <w:t xml:space="preserve">PC </w:t>
      </w:r>
      <w:r w:rsidR="00A81E45">
        <w:rPr>
          <w:rFonts w:cstheme="minorHAnsi"/>
        </w:rPr>
        <w:t xml:space="preserve">has </w:t>
      </w:r>
      <w:r w:rsidR="00C20522">
        <w:rPr>
          <w:rFonts w:cstheme="minorHAnsi"/>
        </w:rPr>
        <w:t>identified</w:t>
      </w:r>
      <w:r w:rsidR="004F7FF4">
        <w:rPr>
          <w:rFonts w:cstheme="minorHAnsi"/>
        </w:rPr>
        <w:t xml:space="preserve"> </w:t>
      </w:r>
      <w:r w:rsidR="0028393B">
        <w:rPr>
          <w:rFonts w:cstheme="minorHAnsi"/>
        </w:rPr>
        <w:t>several</w:t>
      </w:r>
      <w:r w:rsidR="004F7FF4">
        <w:rPr>
          <w:rFonts w:cstheme="minorHAnsi"/>
        </w:rPr>
        <w:t xml:space="preserve"> </w:t>
      </w:r>
      <w:r w:rsidR="00D52168">
        <w:rPr>
          <w:rFonts w:cstheme="minorHAnsi"/>
        </w:rPr>
        <w:t xml:space="preserve">policy areas </w:t>
      </w:r>
      <w:r w:rsidR="0080467A">
        <w:rPr>
          <w:rFonts w:cstheme="minorHAnsi"/>
        </w:rPr>
        <w:t xml:space="preserve">where </w:t>
      </w:r>
      <w:r w:rsidR="00962024">
        <w:rPr>
          <w:rFonts w:cstheme="minorHAnsi"/>
        </w:rPr>
        <w:t>government</w:t>
      </w:r>
      <w:r w:rsidR="00B72E39">
        <w:rPr>
          <w:rFonts w:cstheme="minorHAnsi"/>
        </w:rPr>
        <w:t>s</w:t>
      </w:r>
      <w:r w:rsidR="00962024">
        <w:rPr>
          <w:rFonts w:cstheme="minorHAnsi"/>
        </w:rPr>
        <w:t xml:space="preserve"> </w:t>
      </w:r>
      <w:r w:rsidR="0080467A">
        <w:rPr>
          <w:rFonts w:cstheme="minorHAnsi"/>
        </w:rPr>
        <w:t>s</w:t>
      </w:r>
      <w:r w:rsidR="004F7FF4">
        <w:rPr>
          <w:rFonts w:cstheme="minorHAnsi"/>
        </w:rPr>
        <w:t>h</w:t>
      </w:r>
      <w:r w:rsidR="00962024">
        <w:rPr>
          <w:rFonts w:cstheme="minorHAnsi"/>
        </w:rPr>
        <w:t>ould consider</w:t>
      </w:r>
      <w:r w:rsidR="0080467A">
        <w:rPr>
          <w:rFonts w:cstheme="minorHAnsi"/>
        </w:rPr>
        <w:t xml:space="preserve"> regulatory reform.</w:t>
      </w:r>
    </w:p>
    <w:p w14:paraId="5343AE9C" w14:textId="2EC6728B" w:rsidR="00F26D3A" w:rsidRDefault="00D73A9F" w:rsidP="00F26D3A">
      <w:pPr>
        <w:rPr>
          <w:rFonts w:cstheme="minorHAnsi"/>
        </w:rPr>
      </w:pPr>
      <w:r>
        <w:rPr>
          <w:rFonts w:cstheme="minorHAnsi"/>
        </w:rPr>
        <w:t xml:space="preserve">In the </w:t>
      </w:r>
      <w:r w:rsidR="009866E0" w:rsidRPr="00D73A9F">
        <w:rPr>
          <w:rFonts w:cstheme="minorHAnsi"/>
          <w:i/>
          <w:iCs/>
        </w:rPr>
        <w:t>h</w:t>
      </w:r>
      <w:r w:rsidR="00F26D3A" w:rsidRPr="00D73A9F">
        <w:rPr>
          <w:rFonts w:cstheme="minorHAnsi"/>
          <w:i/>
          <w:iCs/>
        </w:rPr>
        <w:t>ousing construction</w:t>
      </w:r>
      <w:r w:rsidR="00581B4F">
        <w:rPr>
          <w:rFonts w:cstheme="minorHAnsi"/>
        </w:rPr>
        <w:t xml:space="preserve"> </w:t>
      </w:r>
      <w:r w:rsidR="00F10C0F" w:rsidRPr="00D73A9F">
        <w:rPr>
          <w:rFonts w:cstheme="minorHAnsi"/>
          <w:i/>
          <w:iCs/>
        </w:rPr>
        <w:t>sector,</w:t>
      </w:r>
      <w:r>
        <w:rPr>
          <w:rFonts w:cstheme="minorHAnsi"/>
          <w:i/>
          <w:iCs/>
        </w:rPr>
        <w:t xml:space="preserve"> </w:t>
      </w:r>
      <w:r w:rsidRPr="00D73A9F">
        <w:rPr>
          <w:rFonts w:cstheme="minorHAnsi"/>
        </w:rPr>
        <w:t>a</w:t>
      </w:r>
      <w:r w:rsidR="00F26D3A" w:rsidRPr="003F50EB">
        <w:rPr>
          <w:rFonts w:cstheme="minorHAnsi"/>
        </w:rPr>
        <w:t xml:space="preserve">ll levels of government regulate where housing can be built, how it is built and the standards it must meet. </w:t>
      </w:r>
      <w:r w:rsidR="00352CA5">
        <w:rPr>
          <w:rFonts w:cstheme="minorHAnsi"/>
        </w:rPr>
        <w:t xml:space="preserve">The </w:t>
      </w:r>
      <w:r w:rsidR="00AD150D">
        <w:rPr>
          <w:rFonts w:cstheme="minorHAnsi"/>
        </w:rPr>
        <w:t>PC</w:t>
      </w:r>
      <w:r w:rsidR="00F26D3A" w:rsidRPr="003F50EB">
        <w:rPr>
          <w:rFonts w:cstheme="minorHAnsi"/>
        </w:rPr>
        <w:t xml:space="preserve"> estimate</w:t>
      </w:r>
      <w:r w:rsidR="00D866AE">
        <w:rPr>
          <w:rFonts w:cstheme="minorHAnsi"/>
        </w:rPr>
        <w:t>d</w:t>
      </w:r>
      <w:r w:rsidR="00F26D3A" w:rsidRPr="003F50EB">
        <w:rPr>
          <w:rFonts w:cstheme="minorHAnsi"/>
        </w:rPr>
        <w:t xml:space="preserve"> that regulation adds $135,000–$320,000 to the cost of an average new house, and that housing-related regulation costs the economy $28.6 billion per year in aggregate (around 1</w:t>
      </w:r>
      <w:r w:rsidR="002749B2">
        <w:rPr>
          <w:rFonts w:cstheme="minorHAnsi"/>
        </w:rPr>
        <w:t>%</w:t>
      </w:r>
      <w:r w:rsidR="00F26D3A" w:rsidRPr="003F50EB">
        <w:rPr>
          <w:rFonts w:cstheme="minorHAnsi"/>
        </w:rPr>
        <w:t xml:space="preserve"> of GDP)</w:t>
      </w:r>
      <w:r w:rsidR="00901C3F">
        <w:rPr>
          <w:rFonts w:cstheme="minorHAnsi"/>
        </w:rPr>
        <w:t xml:space="preserve"> </w:t>
      </w:r>
      <w:r w:rsidR="00601475" w:rsidRPr="00601475">
        <w:rPr>
          <w:rFonts w:ascii="Arial" w:hAnsi="Arial" w:cs="Arial"/>
        </w:rPr>
        <w:t>(PC 2025b, p. 45)</w:t>
      </w:r>
      <w:r w:rsidR="00F26D3A" w:rsidRPr="003F50EB">
        <w:rPr>
          <w:rFonts w:cstheme="minorHAnsi"/>
        </w:rPr>
        <w:t>. While safety and quality benefits are important, the cumulative regulatory burden has contributed to around three decades of stagnant productivity in the housing construction sector.</w:t>
      </w:r>
      <w:r w:rsidR="00A15748">
        <w:rPr>
          <w:rFonts w:cstheme="minorHAnsi"/>
        </w:rPr>
        <w:t xml:space="preserve"> </w:t>
      </w:r>
      <w:r w:rsidR="00352CA5">
        <w:rPr>
          <w:rFonts w:cstheme="minorHAnsi"/>
        </w:rPr>
        <w:t xml:space="preserve">The </w:t>
      </w:r>
      <w:r w:rsidR="00446B80">
        <w:rPr>
          <w:rFonts w:cstheme="minorHAnsi"/>
        </w:rPr>
        <w:t>PC</w:t>
      </w:r>
      <w:r w:rsidR="00A15748">
        <w:rPr>
          <w:rFonts w:cstheme="minorHAnsi"/>
        </w:rPr>
        <w:t xml:space="preserve"> has recommended a review of regulation in the housing construction sector</w:t>
      </w:r>
      <w:r w:rsidR="0029404E">
        <w:rPr>
          <w:rFonts w:cstheme="minorHAnsi"/>
        </w:rPr>
        <w:t xml:space="preserve"> </w:t>
      </w:r>
      <w:r w:rsidR="007E20AA" w:rsidRPr="007E20AA">
        <w:rPr>
          <w:rFonts w:ascii="Arial" w:hAnsi="Arial" w:cs="Arial"/>
        </w:rPr>
        <w:t>(PC 2025b, p. 44)</w:t>
      </w:r>
      <w:r w:rsidR="007E20AA">
        <w:rPr>
          <w:rFonts w:cstheme="minorHAnsi"/>
        </w:rPr>
        <w:t>.</w:t>
      </w:r>
    </w:p>
    <w:p w14:paraId="44BA82FB" w14:textId="4E4AB8BD" w:rsidR="005E5EBE" w:rsidRDefault="00AE2962" w:rsidP="00F26D3A">
      <w:pPr>
        <w:rPr>
          <w:rFonts w:cstheme="minorHAnsi"/>
        </w:rPr>
      </w:pPr>
      <w:r w:rsidRPr="00AE2962">
        <w:rPr>
          <w:rFonts w:cstheme="minorHAnsi"/>
        </w:rPr>
        <w:t xml:space="preserve">In the </w:t>
      </w:r>
      <w:r w:rsidRPr="00F523D2">
        <w:rPr>
          <w:rFonts w:cstheme="minorHAnsi"/>
          <w:i/>
          <w:iCs/>
        </w:rPr>
        <w:t>digital and technology sector</w:t>
      </w:r>
      <w:r w:rsidRPr="00AE2962">
        <w:rPr>
          <w:rFonts w:cstheme="minorHAnsi"/>
        </w:rPr>
        <w:t xml:space="preserve">, the </w:t>
      </w:r>
      <w:r w:rsidRPr="00781389">
        <w:rPr>
          <w:rFonts w:cstheme="minorHAnsi"/>
          <w:i/>
        </w:rPr>
        <w:t>Privacy Act</w:t>
      </w:r>
      <w:r w:rsidRPr="00781389">
        <w:rPr>
          <w:rFonts w:cstheme="minorHAnsi"/>
          <w:i/>
          <w:iCs/>
        </w:rPr>
        <w:t xml:space="preserve"> </w:t>
      </w:r>
      <w:r w:rsidR="0047548D" w:rsidRPr="00781389">
        <w:rPr>
          <w:rFonts w:cstheme="minorHAnsi"/>
          <w:i/>
          <w:iCs/>
        </w:rPr>
        <w:t>1998</w:t>
      </w:r>
      <w:r w:rsidR="0047548D" w:rsidRPr="007E30A2">
        <w:rPr>
          <w:rFonts w:cstheme="minorHAnsi"/>
          <w:i/>
        </w:rPr>
        <w:t xml:space="preserve"> </w:t>
      </w:r>
      <w:r w:rsidR="0047548D" w:rsidRPr="00290C79">
        <w:rPr>
          <w:rFonts w:cstheme="minorHAnsi"/>
          <w:iCs/>
        </w:rPr>
        <w:t>(</w:t>
      </w:r>
      <w:proofErr w:type="spellStart"/>
      <w:r w:rsidR="0047548D" w:rsidRPr="00290C79">
        <w:rPr>
          <w:rFonts w:cstheme="minorHAnsi"/>
          <w:iCs/>
        </w:rPr>
        <w:t>Cth</w:t>
      </w:r>
      <w:proofErr w:type="spellEnd"/>
      <w:r w:rsidR="0047548D" w:rsidRPr="00290C79">
        <w:rPr>
          <w:rFonts w:cstheme="minorHAnsi"/>
          <w:iCs/>
        </w:rPr>
        <w:t>)</w:t>
      </w:r>
      <w:r w:rsidRPr="00AE2962">
        <w:rPr>
          <w:rFonts w:cstheme="minorHAnsi"/>
        </w:rPr>
        <w:t xml:space="preserve"> aims to ensure safe data use and access, but many of its requirements are not outcome</w:t>
      </w:r>
      <w:r w:rsidR="00B126C1">
        <w:rPr>
          <w:rFonts w:cstheme="minorHAnsi"/>
        </w:rPr>
        <w:t>s</w:t>
      </w:r>
      <w:r w:rsidRPr="00AE2962">
        <w:rPr>
          <w:rFonts w:cstheme="minorHAnsi"/>
        </w:rPr>
        <w:t>-based</w:t>
      </w:r>
      <w:r w:rsidR="003F3D48">
        <w:rPr>
          <w:rFonts w:cstheme="minorHAnsi"/>
        </w:rPr>
        <w:t>. This</w:t>
      </w:r>
      <w:r w:rsidRPr="00AE2962">
        <w:rPr>
          <w:rFonts w:cstheme="minorHAnsi"/>
        </w:rPr>
        <w:t xml:space="preserve"> impos</w:t>
      </w:r>
      <w:r w:rsidR="003F3D48">
        <w:rPr>
          <w:rFonts w:cstheme="minorHAnsi"/>
        </w:rPr>
        <w:t>es</w:t>
      </w:r>
      <w:r w:rsidRPr="00AE2962">
        <w:rPr>
          <w:rFonts w:cstheme="minorHAnsi"/>
        </w:rPr>
        <w:t xml:space="preserve"> significant compliance costs on businesses without delivering commensurate benefits for individuals</w:t>
      </w:r>
      <w:r w:rsidR="003C3AE1">
        <w:rPr>
          <w:rFonts w:cstheme="minorHAnsi"/>
        </w:rPr>
        <w:t xml:space="preserve"> </w:t>
      </w:r>
      <w:r w:rsidR="00F35B56" w:rsidRPr="00F35B56">
        <w:rPr>
          <w:rFonts w:ascii="Arial" w:hAnsi="Arial" w:cs="Arial"/>
        </w:rPr>
        <w:t>(PC 2025f, p. 69)</w:t>
      </w:r>
      <w:r w:rsidRPr="00AE2962">
        <w:rPr>
          <w:rFonts w:cstheme="minorHAnsi"/>
        </w:rPr>
        <w:t xml:space="preserve">. </w:t>
      </w:r>
      <w:r w:rsidR="00352CA5">
        <w:rPr>
          <w:rFonts w:cstheme="minorHAnsi"/>
        </w:rPr>
        <w:t xml:space="preserve">The </w:t>
      </w:r>
      <w:r w:rsidR="00C102A7">
        <w:rPr>
          <w:rFonts w:cstheme="minorHAnsi"/>
        </w:rPr>
        <w:t>PC</w:t>
      </w:r>
      <w:r w:rsidR="00AF0F9B">
        <w:rPr>
          <w:rFonts w:cstheme="minorHAnsi"/>
        </w:rPr>
        <w:t xml:space="preserve"> has</w:t>
      </w:r>
      <w:r w:rsidRPr="00AE2962">
        <w:rPr>
          <w:rFonts w:cstheme="minorHAnsi"/>
        </w:rPr>
        <w:t xml:space="preserve"> estimate</w:t>
      </w:r>
      <w:r w:rsidR="00BA3BB3">
        <w:rPr>
          <w:rFonts w:cstheme="minorHAnsi"/>
        </w:rPr>
        <w:t>d</w:t>
      </w:r>
      <w:r w:rsidRPr="00AE2962">
        <w:rPr>
          <w:rFonts w:cstheme="minorHAnsi"/>
        </w:rPr>
        <w:t xml:space="preserve"> that ongoing legal and administrative compliance costs across around 10</w:t>
      </w:r>
      <w:r w:rsidR="00ED360E">
        <w:rPr>
          <w:rFonts w:cstheme="minorHAnsi"/>
        </w:rPr>
        <w:t>,</w:t>
      </w:r>
      <w:r w:rsidRPr="00AE2962">
        <w:rPr>
          <w:rFonts w:cstheme="minorHAnsi"/>
        </w:rPr>
        <w:t>000 firms with at least $50 million in turnover amount to about $2 billion per year</w:t>
      </w:r>
      <w:r w:rsidR="0024368F">
        <w:rPr>
          <w:rFonts w:cstheme="minorHAnsi"/>
        </w:rPr>
        <w:t xml:space="preserve"> </w:t>
      </w:r>
      <w:r w:rsidR="00F35B56" w:rsidRPr="00F35B56">
        <w:rPr>
          <w:rFonts w:ascii="Arial" w:hAnsi="Arial" w:cs="Arial"/>
        </w:rPr>
        <w:t>(PC 2025f, p. 72)</w:t>
      </w:r>
      <w:r w:rsidRPr="00AE2962">
        <w:rPr>
          <w:rFonts w:cstheme="minorHAnsi"/>
        </w:rPr>
        <w:t xml:space="preserve">. </w:t>
      </w:r>
      <w:r w:rsidR="002E60F1">
        <w:rPr>
          <w:rFonts w:cstheme="minorHAnsi"/>
        </w:rPr>
        <w:t xml:space="preserve">To address this, </w:t>
      </w:r>
      <w:r w:rsidR="007C33DE">
        <w:rPr>
          <w:rFonts w:cstheme="minorHAnsi"/>
        </w:rPr>
        <w:t xml:space="preserve">the </w:t>
      </w:r>
      <w:r w:rsidR="00964092">
        <w:rPr>
          <w:rFonts w:cstheme="minorHAnsi"/>
        </w:rPr>
        <w:t>Australian G</w:t>
      </w:r>
      <w:r w:rsidR="007C33DE">
        <w:rPr>
          <w:rFonts w:cstheme="minorHAnsi"/>
        </w:rPr>
        <w:t xml:space="preserve">overnment should consider </w:t>
      </w:r>
      <w:r w:rsidR="006274B2">
        <w:rPr>
          <w:rFonts w:cstheme="minorHAnsi"/>
        </w:rPr>
        <w:t xml:space="preserve">reform to </w:t>
      </w:r>
      <w:r w:rsidR="00521971">
        <w:rPr>
          <w:rFonts w:cstheme="minorHAnsi"/>
        </w:rPr>
        <w:t>embed an outcomes-based privacy duty within the Privacy Act</w:t>
      </w:r>
      <w:r w:rsidR="007978CF">
        <w:rPr>
          <w:rFonts w:cstheme="minorHAnsi"/>
        </w:rPr>
        <w:t xml:space="preserve"> </w:t>
      </w:r>
      <w:r w:rsidR="007978CF" w:rsidRPr="007978CF">
        <w:rPr>
          <w:rFonts w:cstheme="minorHAnsi"/>
        </w:rPr>
        <w:t>and phase out the existing Australian Privacy Principles</w:t>
      </w:r>
      <w:r w:rsidR="00521971">
        <w:rPr>
          <w:rFonts w:cstheme="minorHAnsi"/>
        </w:rPr>
        <w:t xml:space="preserve"> </w:t>
      </w:r>
      <w:r w:rsidR="00F35B56" w:rsidRPr="00F35B56">
        <w:rPr>
          <w:rFonts w:ascii="Arial" w:hAnsi="Arial" w:cs="Arial"/>
        </w:rPr>
        <w:t>(PC 2025f)</w:t>
      </w:r>
      <w:r w:rsidR="00521971">
        <w:rPr>
          <w:rFonts w:cstheme="minorHAnsi"/>
        </w:rPr>
        <w:t>.</w:t>
      </w:r>
    </w:p>
    <w:p w14:paraId="3A307ADF" w14:textId="078ADFFD" w:rsidR="00F26D3A" w:rsidRDefault="00761A6A" w:rsidP="00F26D3A">
      <w:pPr>
        <w:rPr>
          <w:rFonts w:cstheme="minorHAnsi"/>
        </w:rPr>
      </w:pPr>
      <w:r>
        <w:rPr>
          <w:rFonts w:cstheme="minorHAnsi"/>
        </w:rPr>
        <w:t xml:space="preserve">These sorts of issues are also pervasive in </w:t>
      </w:r>
      <w:r w:rsidR="002A19BD" w:rsidDel="00761A6A">
        <w:rPr>
          <w:rFonts w:cstheme="minorHAnsi"/>
        </w:rPr>
        <w:t>the</w:t>
      </w:r>
      <w:r w:rsidR="002A19BD">
        <w:rPr>
          <w:rFonts w:cstheme="minorHAnsi"/>
        </w:rPr>
        <w:t xml:space="preserve"> </w:t>
      </w:r>
      <w:r w:rsidR="002A19BD" w:rsidRPr="004A6881">
        <w:rPr>
          <w:rFonts w:cstheme="minorHAnsi"/>
          <w:i/>
          <w:iCs/>
        </w:rPr>
        <w:t>non-market sector</w:t>
      </w:r>
      <w:r w:rsidR="004A6881">
        <w:rPr>
          <w:rFonts w:cstheme="minorHAnsi"/>
          <w:i/>
          <w:iCs/>
        </w:rPr>
        <w:t>.</w:t>
      </w:r>
      <w:r w:rsidR="00C443D5">
        <w:rPr>
          <w:rFonts w:cstheme="minorHAnsi"/>
        </w:rPr>
        <w:t xml:space="preserve"> </w:t>
      </w:r>
      <w:r w:rsidR="004A6881">
        <w:rPr>
          <w:rFonts w:cstheme="minorHAnsi"/>
        </w:rPr>
        <w:t>F</w:t>
      </w:r>
      <w:r w:rsidR="00C443D5">
        <w:rPr>
          <w:rFonts w:cstheme="minorHAnsi"/>
        </w:rPr>
        <w:t>or ex</w:t>
      </w:r>
      <w:r w:rsidR="00BE3E2B">
        <w:rPr>
          <w:rFonts w:cstheme="minorHAnsi"/>
        </w:rPr>
        <w:t>ample, the care sector faces</w:t>
      </w:r>
      <w:r w:rsidR="002A19BD" w:rsidDel="00BE3E2B">
        <w:rPr>
          <w:rFonts w:cstheme="minorHAnsi"/>
        </w:rPr>
        <w:t xml:space="preserve"> </w:t>
      </w:r>
      <w:r w:rsidR="00322077">
        <w:rPr>
          <w:rFonts w:cstheme="minorHAnsi"/>
        </w:rPr>
        <w:t>fragmented</w:t>
      </w:r>
      <w:r w:rsidR="002A19BD">
        <w:rPr>
          <w:rFonts w:cstheme="minorHAnsi"/>
        </w:rPr>
        <w:t xml:space="preserve"> s</w:t>
      </w:r>
      <w:r w:rsidR="00F26D3A" w:rsidRPr="00B61A75">
        <w:rPr>
          <w:rFonts w:cstheme="minorHAnsi"/>
        </w:rPr>
        <w:t xml:space="preserve">afety and quality regulation </w:t>
      </w:r>
      <w:r w:rsidR="00D94275">
        <w:rPr>
          <w:rFonts w:cstheme="minorHAnsi"/>
        </w:rPr>
        <w:t>which impacts both service provision and consumption</w:t>
      </w:r>
      <w:r w:rsidR="00F43315">
        <w:rPr>
          <w:rFonts w:cstheme="minorHAnsi"/>
        </w:rPr>
        <w:t xml:space="preserve">. On the </w:t>
      </w:r>
      <w:r w:rsidR="007978CF">
        <w:rPr>
          <w:rFonts w:cstheme="minorHAnsi"/>
        </w:rPr>
        <w:t>one hand</w:t>
      </w:r>
      <w:r w:rsidR="00F43315">
        <w:rPr>
          <w:rFonts w:cstheme="minorHAnsi"/>
        </w:rPr>
        <w:t xml:space="preserve">, </w:t>
      </w:r>
      <w:r w:rsidR="00F26D3A" w:rsidRPr="00B61A75">
        <w:rPr>
          <w:rFonts w:cstheme="minorHAnsi"/>
        </w:rPr>
        <w:t>differing requirements, standards and information access points creat</w:t>
      </w:r>
      <w:r w:rsidR="00F43315">
        <w:rPr>
          <w:rFonts w:cstheme="minorHAnsi"/>
        </w:rPr>
        <w:t>e</w:t>
      </w:r>
      <w:r w:rsidR="00F26D3A" w:rsidRPr="00B61A75">
        <w:rPr>
          <w:rFonts w:cstheme="minorHAnsi"/>
        </w:rPr>
        <w:t xml:space="preserve"> duplication and confusion for providers</w:t>
      </w:r>
      <w:r w:rsidR="00F43315">
        <w:rPr>
          <w:rFonts w:cstheme="minorHAnsi"/>
        </w:rPr>
        <w:t xml:space="preserve"> and</w:t>
      </w:r>
      <w:r w:rsidR="00F26D3A" w:rsidRPr="00B61A75">
        <w:rPr>
          <w:rFonts w:cstheme="minorHAnsi"/>
        </w:rPr>
        <w:t xml:space="preserve"> workers.</w:t>
      </w:r>
      <w:r w:rsidR="00F43315">
        <w:rPr>
          <w:rFonts w:cstheme="minorHAnsi"/>
        </w:rPr>
        <w:t xml:space="preserve"> On the </w:t>
      </w:r>
      <w:r w:rsidR="007978CF">
        <w:rPr>
          <w:rFonts w:cstheme="minorHAnsi"/>
        </w:rPr>
        <w:t>other hand</w:t>
      </w:r>
      <w:r w:rsidR="00F43315">
        <w:rPr>
          <w:rFonts w:cstheme="minorHAnsi"/>
        </w:rPr>
        <w:t>, c</w:t>
      </w:r>
      <w:r w:rsidR="002A38E3" w:rsidRPr="00B61A75">
        <w:rPr>
          <w:rFonts w:cstheme="minorHAnsi"/>
        </w:rPr>
        <w:t>are users can find it difficult to navigate the system or compare providers.</w:t>
      </w:r>
      <w:r w:rsidR="002A38E3">
        <w:rPr>
          <w:rFonts w:cstheme="minorHAnsi"/>
        </w:rPr>
        <w:t xml:space="preserve"> </w:t>
      </w:r>
      <w:r w:rsidR="002A3088">
        <w:rPr>
          <w:rFonts w:cstheme="minorHAnsi"/>
        </w:rPr>
        <w:t xml:space="preserve">The </w:t>
      </w:r>
      <w:r w:rsidR="00240BE5">
        <w:rPr>
          <w:rFonts w:cstheme="minorHAnsi"/>
        </w:rPr>
        <w:t xml:space="preserve">PC </w:t>
      </w:r>
      <w:r w:rsidR="002A3088">
        <w:rPr>
          <w:rFonts w:cstheme="minorHAnsi"/>
        </w:rPr>
        <w:t xml:space="preserve">has recommended reforms to </w:t>
      </w:r>
      <w:r w:rsidR="004D097E">
        <w:rPr>
          <w:rFonts w:cstheme="minorHAnsi"/>
        </w:rPr>
        <w:t>reduce duplicate and inconsistent regulation in the care economy</w:t>
      </w:r>
      <w:r w:rsidR="00D707EB">
        <w:rPr>
          <w:rFonts w:cstheme="minorHAnsi"/>
        </w:rPr>
        <w:t xml:space="preserve"> </w:t>
      </w:r>
      <w:r w:rsidR="000F356A" w:rsidRPr="000F356A">
        <w:rPr>
          <w:rFonts w:ascii="Arial" w:hAnsi="Arial" w:cs="Arial"/>
        </w:rPr>
        <w:t>(PC 2025d)</w:t>
      </w:r>
      <w:r w:rsidR="00463068">
        <w:rPr>
          <w:rFonts w:cstheme="minorHAnsi"/>
        </w:rPr>
        <w:t>.</w:t>
      </w:r>
    </w:p>
    <w:p w14:paraId="77EAA3B9" w14:textId="2D4AB850" w:rsidR="00426A38" w:rsidRDefault="00426A38">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CD5B20" w14:paraId="7FE6A0CE" w14:textId="77777777" w:rsidTr="004B292F">
        <w:trPr>
          <w:tblHeader/>
        </w:trPr>
        <w:tc>
          <w:tcPr>
            <w:tcW w:w="9638" w:type="dxa"/>
            <w:shd w:val="clear" w:color="auto" w:fill="EBEBEB"/>
            <w:tcMar>
              <w:top w:w="170" w:type="dxa"/>
              <w:left w:w="170" w:type="dxa"/>
              <w:bottom w:w="113" w:type="dxa"/>
              <w:right w:w="170" w:type="dxa"/>
            </w:tcMar>
            <w:hideMark/>
          </w:tcPr>
          <w:p w14:paraId="7F97DC2D" w14:textId="6535081C" w:rsidR="00CD5B20" w:rsidRDefault="00CD5B20">
            <w:pPr>
              <w:pStyle w:val="BoxHeading1"/>
            </w:pPr>
            <w:r>
              <w:lastRenderedPageBreak/>
              <w:t>Key takeaways</w:t>
            </w:r>
            <w:r w:rsidDel="00B5239B">
              <w:t xml:space="preserve"> </w:t>
            </w:r>
            <w:r>
              <w:t>– Australia’s regulatory burdens that limit productivity</w:t>
            </w:r>
          </w:p>
        </w:tc>
      </w:tr>
      <w:tr w:rsidR="00CD5B20" w14:paraId="74A88F78" w14:textId="77777777" w:rsidTr="004B292F">
        <w:tc>
          <w:tcPr>
            <w:tcW w:w="9638" w:type="dxa"/>
            <w:shd w:val="clear" w:color="auto" w:fill="EBEBEB"/>
            <w:tcMar>
              <w:top w:w="28" w:type="dxa"/>
              <w:left w:w="170" w:type="dxa"/>
              <w:bottom w:w="170" w:type="dxa"/>
              <w:right w:w="170" w:type="dxa"/>
            </w:tcMar>
            <w:hideMark/>
          </w:tcPr>
          <w:p w14:paraId="6C7708B0" w14:textId="77777777" w:rsidR="00CD5B20" w:rsidRDefault="00CD5B20" w:rsidP="00722E1E">
            <w:pPr>
              <w:pStyle w:val="BodyText"/>
            </w:pPr>
            <w:r w:rsidRPr="00157647">
              <w:t xml:space="preserve">The </w:t>
            </w:r>
            <w:r>
              <w:t>PC</w:t>
            </w:r>
            <w:r w:rsidRPr="00157647">
              <w:t xml:space="preserve"> </w:t>
            </w:r>
            <w:r>
              <w:t xml:space="preserve">has </w:t>
            </w:r>
            <w:r w:rsidRPr="00157647">
              <w:t>recommend</w:t>
            </w:r>
            <w:r>
              <w:t>ed</w:t>
            </w:r>
            <w:r w:rsidRPr="00157647">
              <w:t xml:space="preserve"> a regulatory overhaul to improve productivity outcomes</w:t>
            </w:r>
            <w:r>
              <w:t>. Recent inquiries</w:t>
            </w:r>
            <w:r w:rsidRPr="001738CE">
              <w:t xml:space="preserve">, </w:t>
            </w:r>
            <w:r>
              <w:t>for example, have recommended that the Australian Government should:</w:t>
            </w:r>
          </w:p>
          <w:p w14:paraId="2D952D64" w14:textId="213E4FFC" w:rsidR="00CD5B20" w:rsidRPr="00AD585C" w:rsidRDefault="00B20F23" w:rsidP="004B292F">
            <w:pPr>
              <w:pStyle w:val="ListBullet"/>
              <w:numPr>
                <w:ilvl w:val="0"/>
                <w:numId w:val="17"/>
              </w:numPr>
              <w:spacing w:before="94" w:after="94"/>
              <w:ind w:left="179" w:hanging="179"/>
              <w:rPr>
                <w:rFonts w:cstheme="minorHAnsi"/>
              </w:rPr>
            </w:pPr>
            <w:r w:rsidRPr="00AD6111">
              <w:rPr>
                <w:rFonts w:cstheme="minorHAnsi"/>
              </w:rPr>
              <w:t xml:space="preserve">adopt a whole-of-government statement on regulation to </w:t>
            </w:r>
            <w:r w:rsidR="00CD5B20" w:rsidRPr="00B20F23">
              <w:rPr>
                <w:rFonts w:cstheme="minorHAnsi"/>
              </w:rPr>
              <w:t xml:space="preserve">set a clear </w:t>
            </w:r>
            <w:r w:rsidR="00CD5B20" w:rsidRPr="00AD585C">
              <w:rPr>
                <w:rFonts w:cstheme="minorHAnsi"/>
              </w:rPr>
              <w:t xml:space="preserve">agenda for regulatory reform and regulatory burden reduction </w:t>
            </w:r>
            <w:r w:rsidR="00CD5B20" w:rsidRPr="00AD585C">
              <w:rPr>
                <w:rFonts w:ascii="Arial" w:hAnsi="Arial" w:cs="Arial"/>
              </w:rPr>
              <w:t>(PC 2025b)</w:t>
            </w:r>
          </w:p>
          <w:p w14:paraId="4EFB2D12" w14:textId="44A546B9" w:rsidR="00CD5B20" w:rsidRPr="00AD585C" w:rsidRDefault="00AD585C" w:rsidP="004B292F">
            <w:pPr>
              <w:pStyle w:val="ListBullet"/>
              <w:numPr>
                <w:ilvl w:val="0"/>
                <w:numId w:val="17"/>
              </w:numPr>
              <w:spacing w:before="94" w:after="94"/>
              <w:ind w:left="179" w:hanging="179"/>
              <w:rPr>
                <w:rFonts w:cstheme="minorHAnsi"/>
              </w:rPr>
            </w:pPr>
            <w:r w:rsidRPr="00AD6111">
              <w:rPr>
                <w:rFonts w:cstheme="minorHAnsi"/>
              </w:rPr>
              <w:t>set a target to reduce the compliance and delay costs of its regulation by $10 billion by 2030</w:t>
            </w:r>
            <w:r w:rsidR="00761D49">
              <w:rPr>
                <w:rFonts w:cstheme="minorHAnsi"/>
              </w:rPr>
              <w:t xml:space="preserve">, and should commission an annual Regulation Review to monitor progress </w:t>
            </w:r>
            <w:r w:rsidR="00CD5B20" w:rsidRPr="00AD585C">
              <w:rPr>
                <w:rFonts w:ascii="Arial" w:hAnsi="Arial" w:cs="Arial"/>
              </w:rPr>
              <w:t>(PC 2025b)</w:t>
            </w:r>
          </w:p>
          <w:p w14:paraId="27CEABEC" w14:textId="17E977E0" w:rsidR="00607E81" w:rsidRPr="00AD6111" w:rsidRDefault="00986841" w:rsidP="00A4084F">
            <w:pPr>
              <w:pStyle w:val="ListBullet"/>
              <w:numPr>
                <w:ilvl w:val="0"/>
                <w:numId w:val="17"/>
              </w:numPr>
              <w:spacing w:before="94" w:after="94"/>
              <w:ind w:left="179" w:hanging="179"/>
            </w:pPr>
            <w:r w:rsidRPr="00AD585C">
              <w:rPr>
                <w:rFonts w:cstheme="minorHAnsi"/>
              </w:rPr>
              <w:t>b</w:t>
            </w:r>
            <w:r w:rsidR="00971BF1" w:rsidRPr="00AD6111">
              <w:rPr>
                <w:rFonts w:cstheme="minorHAnsi"/>
              </w:rPr>
              <w:t>olster scrutiny of regulations through enhanced cabinet asses</w:t>
            </w:r>
            <w:r w:rsidR="00971BF1" w:rsidRPr="00AD585C">
              <w:rPr>
                <w:rFonts w:cstheme="minorHAnsi"/>
              </w:rPr>
              <w:t>s</w:t>
            </w:r>
            <w:r w:rsidR="00971BF1" w:rsidRPr="00AD6111">
              <w:rPr>
                <w:rFonts w:cstheme="minorHAnsi"/>
              </w:rPr>
              <w:t>ment, an ind</w:t>
            </w:r>
            <w:r w:rsidR="00971BF1" w:rsidRPr="00AD585C">
              <w:rPr>
                <w:rFonts w:cstheme="minorHAnsi"/>
              </w:rPr>
              <w:t>e</w:t>
            </w:r>
            <w:r w:rsidR="00971BF1" w:rsidRPr="00AD6111">
              <w:rPr>
                <w:rFonts w:cstheme="minorHAnsi"/>
              </w:rPr>
              <w:t>pendent commis</w:t>
            </w:r>
            <w:r w:rsidR="00971BF1" w:rsidRPr="00AD585C">
              <w:rPr>
                <w:rFonts w:cstheme="minorHAnsi"/>
              </w:rPr>
              <w:t>s</w:t>
            </w:r>
            <w:r w:rsidR="00971BF1" w:rsidRPr="00AD6111">
              <w:rPr>
                <w:rFonts w:cstheme="minorHAnsi"/>
              </w:rPr>
              <w:t>ioner for the office of Impact asse</w:t>
            </w:r>
            <w:r w:rsidR="00971BF1" w:rsidRPr="00AD585C">
              <w:rPr>
                <w:rFonts w:cstheme="minorHAnsi"/>
              </w:rPr>
              <w:t>s</w:t>
            </w:r>
            <w:r w:rsidR="00971BF1" w:rsidRPr="00AD6111">
              <w:rPr>
                <w:rFonts w:cstheme="minorHAnsi"/>
              </w:rPr>
              <w:t>sment and mandatory post-implem</w:t>
            </w:r>
            <w:r w:rsidRPr="00AD585C">
              <w:rPr>
                <w:rFonts w:cstheme="minorHAnsi"/>
              </w:rPr>
              <w:t>entation</w:t>
            </w:r>
            <w:r w:rsidR="00971BF1" w:rsidRPr="00AD6111">
              <w:rPr>
                <w:rFonts w:cstheme="minorHAnsi"/>
              </w:rPr>
              <w:t xml:space="preserve"> reviews</w:t>
            </w:r>
            <w:r w:rsidR="00971BF1" w:rsidRPr="00AD585C">
              <w:rPr>
                <w:rFonts w:cstheme="minorHAnsi"/>
              </w:rPr>
              <w:t xml:space="preserve"> </w:t>
            </w:r>
            <w:r w:rsidR="00CD5B20" w:rsidRPr="00AD585C">
              <w:rPr>
                <w:rFonts w:ascii="Arial" w:hAnsi="Arial" w:cs="Arial"/>
              </w:rPr>
              <w:t>(PC 2025b)</w:t>
            </w:r>
            <w:r w:rsidR="00A4084F" w:rsidRPr="00AD585C" w:rsidDel="00A4084F">
              <w:rPr>
                <w:rFonts w:cstheme="minorHAnsi"/>
              </w:rPr>
              <w:t xml:space="preserve"> </w:t>
            </w:r>
          </w:p>
          <w:p w14:paraId="4340BFB2" w14:textId="531683A3" w:rsidR="00CD5B20" w:rsidRPr="00A4084F" w:rsidRDefault="00E05474" w:rsidP="00A4084F">
            <w:pPr>
              <w:pStyle w:val="ListBullet"/>
              <w:numPr>
                <w:ilvl w:val="0"/>
                <w:numId w:val="17"/>
              </w:numPr>
              <w:spacing w:before="94" w:after="94"/>
              <w:ind w:left="179" w:hanging="179"/>
            </w:pPr>
            <w:r w:rsidRPr="00AD6111">
              <w:t>using m</w:t>
            </w:r>
            <w:r w:rsidR="00DD2321" w:rsidRPr="00AD6111">
              <w:t xml:space="preserve">inisterial statements of expectation </w:t>
            </w:r>
            <w:r w:rsidRPr="00AD6111">
              <w:t xml:space="preserve">to </w:t>
            </w:r>
            <w:r w:rsidR="00DD2321" w:rsidRPr="00AD6111">
              <w:t xml:space="preserve">provide guidance to regulators on how to </w:t>
            </w:r>
            <w:r w:rsidRPr="00AD6111">
              <w:t>deliver growth, competition and innovation through regulatory systems</w:t>
            </w:r>
            <w:r w:rsidR="00A4084F" w:rsidRPr="00AD6111">
              <w:t xml:space="preserve"> </w:t>
            </w:r>
            <w:r w:rsidR="00DD2321" w:rsidRPr="00AD6111">
              <w:t>including (among other things) how much risk public servants should tolerate in pursuit of business dynamism</w:t>
            </w:r>
            <w:r w:rsidR="00CD5B20" w:rsidRPr="00A4084F">
              <w:rPr>
                <w:rFonts w:cstheme="minorHAnsi"/>
              </w:rPr>
              <w:t xml:space="preserve"> </w:t>
            </w:r>
            <w:r w:rsidR="00CD5B20" w:rsidRPr="00A4084F">
              <w:rPr>
                <w:rFonts w:ascii="Arial" w:hAnsi="Arial" w:cs="Arial"/>
              </w:rPr>
              <w:t>(PC 2025b)</w:t>
            </w:r>
          </w:p>
          <w:p w14:paraId="7CDB914E" w14:textId="2F5AA85B" w:rsidR="00CD5B20" w:rsidRPr="007978CF" w:rsidRDefault="00CD5B20" w:rsidP="004B292F">
            <w:pPr>
              <w:pStyle w:val="ListBullet"/>
              <w:numPr>
                <w:ilvl w:val="0"/>
                <w:numId w:val="17"/>
              </w:numPr>
              <w:spacing w:before="94" w:after="94"/>
              <w:ind w:left="179" w:hanging="179"/>
            </w:pPr>
            <w:r>
              <w:t xml:space="preserve">undertake regulatory reviews of several policy areas, including housing construction </w:t>
            </w:r>
            <w:r w:rsidRPr="00E46B35">
              <w:rPr>
                <w:rFonts w:ascii="Arial" w:hAnsi="Arial" w:cs="Arial"/>
              </w:rPr>
              <w:t>(PC 2025b)</w:t>
            </w:r>
            <w:r w:rsidR="007978CF">
              <w:rPr>
                <w:rFonts w:cstheme="minorHAnsi"/>
              </w:rPr>
              <w:t xml:space="preserve"> </w:t>
            </w:r>
            <w:r>
              <w:rPr>
                <w:rFonts w:cstheme="minorHAnsi"/>
              </w:rPr>
              <w:t>and care economy s</w:t>
            </w:r>
            <w:r w:rsidRPr="00B61A75">
              <w:rPr>
                <w:rFonts w:cstheme="minorHAnsi"/>
              </w:rPr>
              <w:t>afety and quality regulation</w:t>
            </w:r>
            <w:r>
              <w:rPr>
                <w:rFonts w:cstheme="minorHAnsi"/>
              </w:rPr>
              <w:t xml:space="preserve"> </w:t>
            </w:r>
            <w:r w:rsidR="000F356A" w:rsidRPr="000F356A">
              <w:rPr>
                <w:rFonts w:ascii="Arial" w:hAnsi="Arial" w:cs="Arial"/>
              </w:rPr>
              <w:t>(PC 2025d)</w:t>
            </w:r>
          </w:p>
          <w:p w14:paraId="2606F9C4" w14:textId="14A33043" w:rsidR="007978CF" w:rsidRPr="00E95620" w:rsidRDefault="007978CF" w:rsidP="00305773">
            <w:pPr>
              <w:pStyle w:val="ListBullet"/>
              <w:numPr>
                <w:ilvl w:val="0"/>
                <w:numId w:val="17"/>
              </w:numPr>
              <w:spacing w:before="94" w:after="240"/>
              <w:ind w:left="179" w:hanging="179"/>
              <w:rPr>
                <w:spacing w:val="-2"/>
              </w:rPr>
            </w:pPr>
            <w:r w:rsidRPr="00E95620">
              <w:rPr>
                <w:rFonts w:cstheme="minorHAnsi"/>
                <w:spacing w:val="-2"/>
              </w:rPr>
              <w:t>Reform the Privacy Act so it is outcomes</w:t>
            </w:r>
            <w:r w:rsidR="005D4C9B" w:rsidRPr="00E95620">
              <w:rPr>
                <w:rFonts w:cstheme="minorHAnsi"/>
                <w:spacing w:val="-2"/>
              </w:rPr>
              <w:t>-</w:t>
            </w:r>
            <w:r w:rsidRPr="00E95620">
              <w:rPr>
                <w:rFonts w:cstheme="minorHAnsi"/>
                <w:spacing w:val="-2"/>
              </w:rPr>
              <w:t xml:space="preserve">focused, reducing unnecessary regulatory burden </w:t>
            </w:r>
            <w:r w:rsidRPr="00E95620">
              <w:rPr>
                <w:rFonts w:cs="Arial"/>
                <w:spacing w:val="-2"/>
              </w:rPr>
              <w:t>(PC 2025f)</w:t>
            </w:r>
            <w:r w:rsidR="00E95620" w:rsidRPr="00E95620">
              <w:rPr>
                <w:rFonts w:cs="Arial"/>
                <w:spacing w:val="-2"/>
              </w:rPr>
              <w:t>.</w:t>
            </w:r>
          </w:p>
        </w:tc>
      </w:tr>
      <w:tr w:rsidR="00CD5B20" w14:paraId="7166D80C" w14:textId="77777777" w:rsidTr="004B292F">
        <w:trPr>
          <w:hidden/>
        </w:trPr>
        <w:tc>
          <w:tcPr>
            <w:tcW w:w="9638" w:type="dxa"/>
            <w:shd w:val="clear" w:color="auto" w:fill="auto"/>
            <w:tcMar>
              <w:top w:w="0" w:type="dxa"/>
              <w:left w:w="170" w:type="dxa"/>
              <w:bottom w:w="0" w:type="dxa"/>
              <w:right w:w="170" w:type="dxa"/>
            </w:tcMar>
          </w:tcPr>
          <w:p w14:paraId="6E41E7CF" w14:textId="361EDD18" w:rsidR="00CD5B20" w:rsidRPr="00465191" w:rsidRDefault="00CD5B20">
            <w:pPr>
              <w:pStyle w:val="BodyText"/>
              <w:spacing w:before="0" w:after="0" w:line="80" w:lineRule="atLeast"/>
              <w:rPr>
                <w:smallCaps/>
                <w:vanish/>
              </w:rPr>
            </w:pPr>
          </w:p>
        </w:tc>
      </w:tr>
    </w:tbl>
    <w:p w14:paraId="768030F9" w14:textId="601E876E" w:rsidR="00AA245C" w:rsidRDefault="00AA245C" w:rsidP="009F6D03">
      <w:pPr>
        <w:pStyle w:val="Heading2-nonumber"/>
      </w:pPr>
      <w:bookmarkStart w:id="4" w:name="_Toc219280602"/>
      <w:r w:rsidRPr="00FB677F">
        <w:t>Investment and productivity</w:t>
      </w:r>
      <w:bookmarkEnd w:id="4"/>
    </w:p>
    <w:p w14:paraId="4B7E5D11" w14:textId="0E3E7CAD" w:rsidR="0036492C" w:rsidRPr="00EB27E4" w:rsidRDefault="0005196F" w:rsidP="009F6D03">
      <w:pPr>
        <w:pStyle w:val="Heading3"/>
      </w:pPr>
      <w:r>
        <w:t xml:space="preserve">Weak business investment is </w:t>
      </w:r>
      <w:r w:rsidR="00093D7F">
        <w:t>constraining productivity growth</w:t>
      </w:r>
    </w:p>
    <w:p w14:paraId="28362A06" w14:textId="57AE71BB" w:rsidR="00171786" w:rsidRDefault="00882F00" w:rsidP="00171786">
      <w:pPr>
        <w:rPr>
          <w:rFonts w:cstheme="minorHAnsi"/>
        </w:rPr>
      </w:pPr>
      <w:r w:rsidRPr="00882F00">
        <w:rPr>
          <w:rFonts w:cstheme="minorHAnsi"/>
        </w:rPr>
        <w:t>Business investment</w:t>
      </w:r>
      <w:r w:rsidR="008A3CE5">
        <w:rPr>
          <w:rFonts w:cstheme="minorHAnsi"/>
        </w:rPr>
        <w:t xml:space="preserve"> as a share of</w:t>
      </w:r>
      <w:r w:rsidR="00CF6B47">
        <w:rPr>
          <w:rFonts w:cstheme="minorHAnsi"/>
        </w:rPr>
        <w:t xml:space="preserve"> GDP </w:t>
      </w:r>
      <w:r w:rsidR="002B2BC4" w:rsidRPr="002B2BC4">
        <w:rPr>
          <w:rFonts w:cstheme="minorHAnsi"/>
        </w:rPr>
        <w:t xml:space="preserve">has declined by more than </w:t>
      </w:r>
      <w:r w:rsidR="000B6E6B">
        <w:rPr>
          <w:rFonts w:cstheme="minorHAnsi"/>
        </w:rPr>
        <w:t>three percentage points</w:t>
      </w:r>
      <w:r w:rsidR="002B2BC4" w:rsidRPr="002B2BC4">
        <w:rPr>
          <w:rFonts w:cstheme="minorHAnsi"/>
        </w:rPr>
        <w:t xml:space="preserve"> compared to its highs over the past 25 years</w:t>
      </w:r>
      <w:r w:rsidR="000B6E6B">
        <w:rPr>
          <w:rFonts w:cstheme="minorHAnsi"/>
        </w:rPr>
        <w:t xml:space="preserve"> </w:t>
      </w:r>
      <w:r w:rsidR="00A240BF">
        <w:rPr>
          <w:rFonts w:cstheme="minorHAnsi"/>
        </w:rPr>
        <w:t>–</w:t>
      </w:r>
      <w:r w:rsidR="008A32A5">
        <w:rPr>
          <w:rFonts w:cstheme="minorHAnsi"/>
        </w:rPr>
        <w:t xml:space="preserve"> </w:t>
      </w:r>
      <w:r w:rsidR="00A240BF">
        <w:rPr>
          <w:rFonts w:cstheme="minorHAnsi"/>
        </w:rPr>
        <w:t>a relationship which holds even when excluding mining investment</w:t>
      </w:r>
      <w:r>
        <w:rPr>
          <w:rFonts w:cstheme="minorHAnsi"/>
        </w:rPr>
        <w:t xml:space="preserve"> </w:t>
      </w:r>
      <w:r w:rsidR="00171786" w:rsidRPr="009678AE">
        <w:rPr>
          <w:rFonts w:cstheme="minorHAnsi"/>
        </w:rPr>
        <w:t xml:space="preserve">(figure </w:t>
      </w:r>
      <w:r w:rsidR="00986B70">
        <w:rPr>
          <w:rFonts w:cstheme="minorHAnsi"/>
        </w:rPr>
        <w:t>9</w:t>
      </w:r>
      <w:r w:rsidR="00171786" w:rsidRPr="009678AE">
        <w:rPr>
          <w:rFonts w:cstheme="minorHAnsi"/>
        </w:rPr>
        <w:t>).</w:t>
      </w:r>
      <w:r w:rsidR="00171786" w:rsidRPr="00C33B56">
        <w:rPr>
          <w:rFonts w:cstheme="minorHAnsi"/>
        </w:rPr>
        <w:t xml:space="preserve"> </w:t>
      </w:r>
      <w:r w:rsidR="00171786" w:rsidRPr="00B2164F">
        <w:rPr>
          <w:rFonts w:cstheme="minorHAnsi"/>
        </w:rPr>
        <w:t xml:space="preserve">Declining investment risks reducing </w:t>
      </w:r>
      <w:r w:rsidR="00171786">
        <w:rPr>
          <w:rFonts w:cstheme="minorHAnsi"/>
        </w:rPr>
        <w:t xml:space="preserve">the </w:t>
      </w:r>
      <w:r w:rsidR="00171786" w:rsidRPr="009678AE">
        <w:rPr>
          <w:rFonts w:cstheme="minorHAnsi"/>
        </w:rPr>
        <w:t>capital-to-labour ratio (</w:t>
      </w:r>
      <w:r w:rsidR="00171786">
        <w:rPr>
          <w:rFonts w:cstheme="minorHAnsi"/>
        </w:rPr>
        <w:t>sometimes referred to as</w:t>
      </w:r>
      <w:r w:rsidR="00171786" w:rsidRPr="009678AE">
        <w:rPr>
          <w:rFonts w:cstheme="minorHAnsi"/>
        </w:rPr>
        <w:t xml:space="preserve"> </w:t>
      </w:r>
      <w:r w:rsidR="00171786">
        <w:rPr>
          <w:rFonts w:cstheme="minorHAnsi"/>
        </w:rPr>
        <w:t>reducing</w:t>
      </w:r>
      <w:r w:rsidR="00171786" w:rsidRPr="009678AE">
        <w:rPr>
          <w:rFonts w:cstheme="minorHAnsi"/>
        </w:rPr>
        <w:t xml:space="preserve"> </w:t>
      </w:r>
      <w:r w:rsidR="00171786">
        <w:rPr>
          <w:rFonts w:cstheme="minorHAnsi"/>
        </w:rPr>
        <w:t>‘</w:t>
      </w:r>
      <w:r w:rsidR="00171786" w:rsidRPr="009678AE">
        <w:rPr>
          <w:rFonts w:cstheme="minorHAnsi"/>
        </w:rPr>
        <w:t>capital deepening</w:t>
      </w:r>
      <w:r w:rsidR="00171786">
        <w:rPr>
          <w:rFonts w:cstheme="minorHAnsi"/>
        </w:rPr>
        <w:t>’</w:t>
      </w:r>
      <w:r w:rsidR="00171786" w:rsidRPr="009678AE">
        <w:rPr>
          <w:rFonts w:cstheme="minorHAnsi"/>
        </w:rPr>
        <w:t>)</w:t>
      </w:r>
      <w:r w:rsidR="00171786" w:rsidRPr="00B2164F">
        <w:rPr>
          <w:rFonts w:cstheme="minorHAnsi"/>
        </w:rPr>
        <w:t xml:space="preserve">, which in turn lowers </w:t>
      </w:r>
      <w:r w:rsidR="00171786">
        <w:rPr>
          <w:rFonts w:cstheme="minorHAnsi"/>
        </w:rPr>
        <w:t>output per worker – or productivity</w:t>
      </w:r>
      <w:r w:rsidR="00171786" w:rsidRPr="00B2164F">
        <w:rPr>
          <w:rFonts w:cstheme="minorHAnsi"/>
        </w:rPr>
        <w:t>.</w:t>
      </w:r>
      <w:r w:rsidR="00171786" w:rsidRPr="009678AE">
        <w:rPr>
          <w:rFonts w:cstheme="minorHAnsi"/>
          <w:lang w:val="en-US"/>
        </w:rPr>
        <w:t xml:space="preserve"> </w:t>
      </w:r>
      <w:r w:rsidR="00171786" w:rsidRPr="0028061E">
        <w:rPr>
          <w:rFonts w:cstheme="minorHAnsi"/>
        </w:rPr>
        <w:t xml:space="preserve">These trends are not unique to Australia. </w:t>
      </w:r>
      <w:r w:rsidR="00171786">
        <w:rPr>
          <w:rFonts w:cstheme="minorHAnsi"/>
        </w:rPr>
        <w:t>In other</w:t>
      </w:r>
      <w:r w:rsidR="00171786" w:rsidRPr="0028061E">
        <w:rPr>
          <w:rFonts w:cstheme="minorHAnsi"/>
        </w:rPr>
        <w:t xml:space="preserve"> advanced economies, business investment</w:t>
      </w:r>
      <w:r w:rsidR="00171786">
        <w:rPr>
          <w:rFonts w:cstheme="minorHAnsi"/>
        </w:rPr>
        <w:t xml:space="preserve"> has also fallen</w:t>
      </w:r>
      <w:r w:rsidR="00171786" w:rsidRPr="0028061E">
        <w:rPr>
          <w:rFonts w:cstheme="minorHAnsi"/>
        </w:rPr>
        <w:t xml:space="preserve">, suggesting that </w:t>
      </w:r>
      <w:r w:rsidR="00171786">
        <w:rPr>
          <w:rFonts w:cstheme="minorHAnsi"/>
        </w:rPr>
        <w:t>broader</w:t>
      </w:r>
      <w:r w:rsidR="00171786" w:rsidRPr="0028061E">
        <w:rPr>
          <w:rFonts w:cstheme="minorHAnsi"/>
        </w:rPr>
        <w:t xml:space="preserve"> structural factors may be at play</w:t>
      </w:r>
      <w:r w:rsidR="006D4F34">
        <w:rPr>
          <w:rFonts w:cstheme="minorHAnsi"/>
        </w:rPr>
        <w:t xml:space="preserve"> </w:t>
      </w:r>
      <w:r w:rsidR="00713B5D" w:rsidRPr="00713B5D">
        <w:rPr>
          <w:rFonts w:ascii="Arial" w:hAnsi="Arial" w:cs="Arial"/>
        </w:rPr>
        <w:t>(PC 2023a, p. 39)</w:t>
      </w:r>
      <w:r w:rsidR="00171786" w:rsidRPr="009678AE">
        <w:rPr>
          <w:rFonts w:cstheme="minorHAnsi"/>
        </w:rPr>
        <w:t>.</w:t>
      </w:r>
    </w:p>
    <w:p w14:paraId="19211D1B" w14:textId="77777777" w:rsidR="00E73708" w:rsidRPr="00EB50AF" w:rsidRDefault="00E73708" w:rsidP="00E73708">
      <w:pPr>
        <w:pStyle w:val="Heading3"/>
      </w:pPr>
      <w:r>
        <w:t>Foreign investment plays a central role in Australia’s capital formation, but raises policy trade-offs</w:t>
      </w:r>
    </w:p>
    <w:p w14:paraId="26665F5D" w14:textId="77777777" w:rsidR="00E73708" w:rsidRDefault="00E73708" w:rsidP="00E73708">
      <w:pPr>
        <w:rPr>
          <w:rFonts w:cstheme="minorHAnsi"/>
          <w:lang w:val="en-US"/>
        </w:rPr>
      </w:pPr>
      <w:r>
        <w:t>F</w:t>
      </w:r>
      <w:r w:rsidRPr="00ED3E77">
        <w:t xml:space="preserve">oreign investment </w:t>
      </w:r>
      <w:r>
        <w:t xml:space="preserve">is an important source of capital for </w:t>
      </w:r>
      <w:r w:rsidRPr="00ED3E77">
        <w:t>Australia</w:t>
      </w:r>
      <w:r>
        <w:t>’s</w:t>
      </w:r>
      <w:r w:rsidRPr="00ED3E77">
        <w:t xml:space="preserve"> economy. By expanding access to capital beyond what domestic savings can provide, foreign investment increas</w:t>
      </w:r>
      <w:r>
        <w:t>es</w:t>
      </w:r>
      <w:r w:rsidRPr="00ED3E77">
        <w:t xml:space="preserve"> the amount of capital available to each worker and rais</w:t>
      </w:r>
      <w:r>
        <w:t>es</w:t>
      </w:r>
      <w:r w:rsidRPr="00ED3E77">
        <w:t xml:space="preserve"> labour productivity</w:t>
      </w:r>
      <w:r w:rsidRPr="00571048">
        <w:t xml:space="preserve">. Foreign investment also </w:t>
      </w:r>
      <w:r>
        <w:t xml:space="preserve">means we gain access to ideas and technologies from international firms. This </w:t>
      </w:r>
      <w:r w:rsidRPr="00571048">
        <w:t xml:space="preserve">generates productivity-enhancing spillovers across the wider economy, including </w:t>
      </w:r>
      <w:r>
        <w:t xml:space="preserve">through </w:t>
      </w:r>
      <w:r w:rsidRPr="00571048">
        <w:t>technology transfer, stronger competitive pressures, improved management practices and workforce upskilling through training and knowledge diffusion.</w:t>
      </w:r>
      <w:r>
        <w:t xml:space="preserve"> Foreign investment also enables multinational firms to set-up in Australia, bringing greater competition to the Australian domestic market.</w:t>
      </w:r>
    </w:p>
    <w:p w14:paraId="4065425C" w14:textId="77777777" w:rsidR="00E73708" w:rsidRPr="00552B6B" w:rsidRDefault="00E73708" w:rsidP="00E73708">
      <w:pPr>
        <w:rPr>
          <w:spacing w:val="-4"/>
        </w:rPr>
      </w:pPr>
      <w:r w:rsidRPr="00552B6B">
        <w:rPr>
          <w:rFonts w:cstheme="minorHAnsi"/>
          <w:spacing w:val="-4"/>
          <w:lang w:val="en-US"/>
        </w:rPr>
        <w:t xml:space="preserve">However, foreign investment is not without its drawbacks. Governments face challenges in balancing openness amid global shocks, geopolitical tensions, protectionism, the climate transition and supply-chain disruptions. They must also appropriately manage risks in some cases, for example with respect to foreign acquisition and control of assets, international tax arrangements and transitional adjustment effects </w:t>
      </w:r>
      <w:r w:rsidRPr="00552B6B">
        <w:rPr>
          <w:rFonts w:cs="Arial"/>
          <w:spacing w:val="-4"/>
        </w:rPr>
        <w:t>(PC 2020a, p. 51)</w:t>
      </w:r>
      <w:r w:rsidRPr="00552B6B">
        <w:rPr>
          <w:spacing w:val="-4"/>
        </w:rPr>
        <w:t>.</w:t>
      </w:r>
    </w:p>
    <w:p w14:paraId="6B32C715" w14:textId="631A4882" w:rsidR="00171786" w:rsidRPr="00237ABF" w:rsidRDefault="00171786" w:rsidP="007167A8">
      <w:pPr>
        <w:keepNext/>
        <w:rPr>
          <w:rStyle w:val="eop"/>
          <w:rFonts w:ascii="Arial Black" w:hAnsi="Arial Black" w:cs="Segoe UI"/>
          <w:color w:val="000000"/>
          <w:shd w:val="clear" w:color="auto" w:fill="E1E3E6"/>
        </w:rPr>
      </w:pPr>
      <w:r>
        <w:rPr>
          <w:rStyle w:val="normaltextrun"/>
          <w:rFonts w:ascii="Arial Black" w:hAnsi="Arial Black"/>
          <w:color w:val="000000"/>
          <w:shd w:val="clear" w:color="auto" w:fill="FFFFFF"/>
          <w:lang w:val="en-GB"/>
        </w:rPr>
        <w:lastRenderedPageBreak/>
        <w:t>Figure</w:t>
      </w:r>
      <w:r w:rsidR="00A210A2">
        <w:rPr>
          <w:rStyle w:val="normaltextrun"/>
          <w:rFonts w:ascii="Arial Black" w:hAnsi="Arial Black"/>
          <w:color w:val="000000"/>
          <w:shd w:val="clear" w:color="auto" w:fill="FFFFFF"/>
          <w:lang w:val="en-GB"/>
        </w:rPr>
        <w:t xml:space="preserve"> </w:t>
      </w:r>
      <w:r w:rsidR="00986B70">
        <w:rPr>
          <w:rStyle w:val="normaltextrun"/>
          <w:rFonts w:ascii="Arial Black" w:hAnsi="Arial Black"/>
          <w:color w:val="000000"/>
          <w:shd w:val="clear" w:color="auto" w:fill="FFFFFF"/>
          <w:lang w:val="en-GB"/>
        </w:rPr>
        <w:t>9</w:t>
      </w:r>
      <w:r>
        <w:rPr>
          <w:rStyle w:val="normaltextrun"/>
          <w:rFonts w:ascii="Arial Black" w:hAnsi="Arial Black"/>
          <w:color w:val="000000"/>
          <w:shd w:val="clear" w:color="auto" w:fill="FFFFFF"/>
          <w:lang w:val="en-GB"/>
        </w:rPr>
        <w:t> – </w:t>
      </w:r>
      <w:r w:rsidR="00B7411A">
        <w:rPr>
          <w:rStyle w:val="normaltextrun"/>
          <w:rFonts w:ascii="Arial Black" w:hAnsi="Arial Black"/>
          <w:color w:val="000000"/>
          <w:shd w:val="clear" w:color="auto" w:fill="FFFFFF"/>
          <w:lang w:val="en-GB"/>
        </w:rPr>
        <w:t>Private i</w:t>
      </w:r>
      <w:r>
        <w:rPr>
          <w:rStyle w:val="normaltextrun"/>
          <w:rFonts w:ascii="Arial Black" w:hAnsi="Arial Black"/>
          <w:color w:val="000000"/>
          <w:shd w:val="clear" w:color="auto" w:fill="FFFFFF"/>
          <w:lang w:val="en-GB"/>
        </w:rPr>
        <w:t xml:space="preserve">nvestment </w:t>
      </w:r>
      <w:r w:rsidR="003E19F1">
        <w:rPr>
          <w:rStyle w:val="normaltextrun"/>
          <w:rFonts w:ascii="Arial Black" w:hAnsi="Arial Black"/>
          <w:color w:val="000000"/>
          <w:shd w:val="clear" w:color="auto" w:fill="FFFFFF"/>
          <w:lang w:val="en-GB"/>
        </w:rPr>
        <w:t>in Australia</w:t>
      </w:r>
      <w:r>
        <w:rPr>
          <w:rStyle w:val="normaltextrun"/>
          <w:rFonts w:ascii="Arial Black" w:hAnsi="Arial Black"/>
          <w:color w:val="000000"/>
          <w:shd w:val="clear" w:color="auto" w:fill="FFFFFF"/>
          <w:lang w:val="en-GB"/>
        </w:rPr>
        <w:t xml:space="preserve"> has plateaued</w:t>
      </w:r>
    </w:p>
    <w:p w14:paraId="160C588F" w14:textId="58709B13" w:rsidR="00171786" w:rsidRPr="00722E1E" w:rsidRDefault="00F13FD3" w:rsidP="00722E1E">
      <w:pPr>
        <w:pStyle w:val="BodyText"/>
        <w:rPr>
          <w:rStyle w:val="eop"/>
        </w:rPr>
      </w:pPr>
      <w:r w:rsidRPr="00F13FD3">
        <w:rPr>
          <w:rStyle w:val="eop"/>
          <w:noProof/>
        </w:rPr>
        <w:drawing>
          <wp:inline distT="0" distB="0" distL="0" distR="0" wp14:anchorId="01754D0E" wp14:editId="2EBAAD66">
            <wp:extent cx="6018530" cy="2869565"/>
            <wp:effectExtent l="0" t="0" r="0" b="0"/>
            <wp:docPr id="1714049695" name="Picture 22" descr="This figure is a line chart which compares private investment as a share of GDP, with and without mining investment, from 1990 to 2025. It shows both categories of investment have been declining as a share of GDP in the last decade, though the investment share of GDP that includes mining investment remains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49695" name="Picture 22" descr="This figure is a line chart which compares private investment as a share of GDP, with and without mining investment, from 1990 to 2025. It shows both categories of investment have been declining as a share of GDP in the last decade, though the investment share of GDP that includes mining investment remains higher."/>
                    <pic:cNvPicPr>
                      <a:picLocks noChangeAspect="1" noChangeArrowheads="1"/>
                    </pic:cNvPicPr>
                  </pic:nvPicPr>
                  <pic:blipFill rotWithShape="1">
                    <a:blip r:embed="rId43">
                      <a:extLst>
                        <a:ext uri="{28A0092B-C50C-407E-A947-70E740481C1C}">
                          <a14:useLocalDpi xmlns:a14="http://schemas.microsoft.com/office/drawing/2010/main" val="0"/>
                        </a:ext>
                      </a:extLst>
                    </a:blip>
                    <a:srcRect l="1660"/>
                    <a:stretch>
                      <a:fillRect/>
                    </a:stretch>
                  </pic:blipFill>
                  <pic:spPr bwMode="auto">
                    <a:xfrm>
                      <a:off x="0" y="0"/>
                      <a:ext cx="6018530" cy="2869565"/>
                    </a:xfrm>
                    <a:prstGeom prst="rect">
                      <a:avLst/>
                    </a:prstGeom>
                    <a:noFill/>
                    <a:ln>
                      <a:noFill/>
                    </a:ln>
                    <a:extLst>
                      <a:ext uri="{53640926-AAD7-44D8-BBD7-CCE9431645EC}">
                        <a14:shadowObscured xmlns:a14="http://schemas.microsoft.com/office/drawing/2010/main"/>
                      </a:ext>
                    </a:extLst>
                  </pic:spPr>
                </pic:pic>
              </a:graphicData>
            </a:graphic>
          </wp:inline>
        </w:drawing>
      </w:r>
    </w:p>
    <w:p w14:paraId="72AE1706" w14:textId="67426387" w:rsidR="00171786" w:rsidRPr="009B6D87" w:rsidRDefault="00171786" w:rsidP="00B45F91">
      <w:pPr>
        <w:pStyle w:val="Source"/>
      </w:pPr>
      <w:r>
        <w:rPr>
          <w:rStyle w:val="normaltextrun"/>
          <w:rFonts w:cs="Arial"/>
          <w:color w:val="000000"/>
          <w:szCs w:val="18"/>
          <w:shd w:val="clear" w:color="auto" w:fill="FFFFFF"/>
        </w:rPr>
        <w:t>Source: PC estimates using ABS</w:t>
      </w:r>
      <w:r w:rsidR="00B64C46">
        <w:rPr>
          <w:rStyle w:val="normaltextrun"/>
          <w:rFonts w:cs="Arial"/>
          <w:color w:val="000000"/>
          <w:szCs w:val="18"/>
          <w:shd w:val="clear" w:color="auto" w:fill="FFFFFF"/>
        </w:rPr>
        <w:t xml:space="preserve"> </w:t>
      </w:r>
      <w:r w:rsidR="00BD2D01" w:rsidRPr="00BD2D01">
        <w:rPr>
          <w:rFonts w:ascii="Arial" w:hAnsi="Arial" w:cs="Arial"/>
        </w:rPr>
        <w:t>(2025b)</w:t>
      </w:r>
      <w:r w:rsidR="00B64C46">
        <w:t>.</w:t>
      </w:r>
    </w:p>
    <w:p w14:paraId="0756880A" w14:textId="1EFA91B8" w:rsidR="00171786" w:rsidRPr="007F00A1" w:rsidRDefault="00F231AB" w:rsidP="00E56881">
      <w:pPr>
        <w:pStyle w:val="Heading3"/>
      </w:pPr>
      <w:r>
        <w:t xml:space="preserve">Australia’s investment </w:t>
      </w:r>
      <w:r w:rsidR="00AB4588">
        <w:t>environment</w:t>
      </w:r>
      <w:r w:rsidR="00093329">
        <w:t xml:space="preserve"> </w:t>
      </w:r>
      <w:r w:rsidR="00887CDF">
        <w:t>requires reform to</w:t>
      </w:r>
      <w:r w:rsidR="00093329">
        <w:t xml:space="preserve"> </w:t>
      </w:r>
      <w:r w:rsidR="009B455B">
        <w:t xml:space="preserve">be </w:t>
      </w:r>
      <w:r w:rsidR="00887CDF">
        <w:t>more attractive</w:t>
      </w:r>
      <w:r w:rsidR="005E58C2">
        <w:t xml:space="preserve"> to foreign investors</w:t>
      </w:r>
    </w:p>
    <w:p w14:paraId="51523DB1" w14:textId="4525E3AD" w:rsidR="004043E0" w:rsidRDefault="00DC1687" w:rsidP="00EE7038">
      <w:pPr>
        <w:pStyle w:val="BodyText"/>
        <w:rPr>
          <w:rFonts w:cstheme="minorHAnsi"/>
          <w:lang w:val="en-US"/>
        </w:rPr>
      </w:pPr>
      <w:r>
        <w:rPr>
          <w:rFonts w:cstheme="minorHAnsi"/>
          <w:lang w:val="en-US"/>
        </w:rPr>
        <w:t xml:space="preserve">The </w:t>
      </w:r>
      <w:r w:rsidR="00891AF2">
        <w:rPr>
          <w:rFonts w:cstheme="minorHAnsi"/>
          <w:lang w:val="en-US"/>
        </w:rPr>
        <w:t>PC’s</w:t>
      </w:r>
      <w:r w:rsidR="00891AF2">
        <w:t xml:space="preserve"> </w:t>
      </w:r>
      <w:r w:rsidR="00620E30">
        <w:rPr>
          <w:i/>
        </w:rPr>
        <w:t xml:space="preserve">Advancing </w:t>
      </w:r>
      <w:r w:rsidR="00914F72">
        <w:rPr>
          <w:i/>
        </w:rPr>
        <w:t>p</w:t>
      </w:r>
      <w:r w:rsidR="00620E30">
        <w:rPr>
          <w:i/>
        </w:rPr>
        <w:t xml:space="preserve">rosperity </w:t>
      </w:r>
      <w:r>
        <w:t xml:space="preserve">inquiry </w:t>
      </w:r>
      <w:r w:rsidR="0082091C">
        <w:t>identified</w:t>
      </w:r>
      <w:r w:rsidR="00845F51">
        <w:t xml:space="preserve"> </w:t>
      </w:r>
      <w:r w:rsidR="005137AC">
        <w:t xml:space="preserve">policy levers </w:t>
      </w:r>
      <w:r w:rsidR="001A0248">
        <w:t xml:space="preserve">in </w:t>
      </w:r>
      <w:r w:rsidR="005137AC">
        <w:t>four key areas</w:t>
      </w:r>
      <w:r w:rsidR="001A0248">
        <w:t xml:space="preserve"> the government could utilise to</w:t>
      </w:r>
      <w:r w:rsidR="00F978CF">
        <w:rPr>
          <w:rFonts w:cstheme="minorHAnsi"/>
          <w:lang w:val="en-US"/>
        </w:rPr>
        <w:t xml:space="preserve"> </w:t>
      </w:r>
      <w:r w:rsidR="00E359E8">
        <w:rPr>
          <w:rFonts w:cstheme="minorHAnsi"/>
          <w:lang w:val="en-US"/>
        </w:rPr>
        <w:t xml:space="preserve">attract </w:t>
      </w:r>
      <w:r w:rsidR="00F978CF">
        <w:rPr>
          <w:rFonts w:cstheme="minorHAnsi"/>
          <w:lang w:val="en-US"/>
        </w:rPr>
        <w:t xml:space="preserve">foreign </w:t>
      </w:r>
      <w:r w:rsidR="005319A6">
        <w:rPr>
          <w:rFonts w:cstheme="minorHAnsi"/>
          <w:lang w:val="en-US"/>
        </w:rPr>
        <w:t>investment</w:t>
      </w:r>
      <w:r w:rsidR="005137AC" w:rsidRPr="006561C9">
        <w:rPr>
          <w:rFonts w:cstheme="minorHAnsi"/>
          <w:lang w:val="en-US"/>
        </w:rPr>
        <w:t>:</w:t>
      </w:r>
      <w:r w:rsidR="005137AC">
        <w:rPr>
          <w:rFonts w:cstheme="minorHAnsi"/>
          <w:lang w:val="en-US"/>
        </w:rPr>
        <w:t xml:space="preserve"> </w:t>
      </w:r>
      <w:r w:rsidR="00AB663D">
        <w:rPr>
          <w:rFonts w:cstheme="minorHAnsi"/>
          <w:lang w:val="en-US"/>
        </w:rPr>
        <w:t xml:space="preserve">enhancing trade resilience, </w:t>
      </w:r>
      <w:r w:rsidR="00C93D2D">
        <w:rPr>
          <w:rFonts w:cstheme="minorHAnsi"/>
          <w:lang w:val="en-US"/>
        </w:rPr>
        <w:t xml:space="preserve">increasing openness to trade, </w:t>
      </w:r>
      <w:r w:rsidR="00EF69CD">
        <w:rPr>
          <w:rFonts w:cstheme="minorHAnsi"/>
          <w:lang w:val="en-US"/>
        </w:rPr>
        <w:t xml:space="preserve">ensuring an </w:t>
      </w:r>
      <w:r w:rsidR="00D36FB8">
        <w:rPr>
          <w:rFonts w:cstheme="minorHAnsi"/>
          <w:lang w:val="en-US"/>
        </w:rPr>
        <w:br/>
      </w:r>
      <w:r w:rsidR="00EF69CD">
        <w:rPr>
          <w:rFonts w:cstheme="minorHAnsi"/>
          <w:lang w:val="en-US"/>
        </w:rPr>
        <w:t xml:space="preserve">up-to-date foreign investment review framework and </w:t>
      </w:r>
      <w:r w:rsidR="00327C34">
        <w:rPr>
          <w:rFonts w:cstheme="minorHAnsi"/>
          <w:lang w:val="en-US"/>
        </w:rPr>
        <w:t xml:space="preserve">reducing barriers to </w:t>
      </w:r>
      <w:r w:rsidR="00DE0D95">
        <w:rPr>
          <w:rFonts w:cstheme="minorHAnsi"/>
          <w:lang w:val="en-US"/>
        </w:rPr>
        <w:t>trade in services</w:t>
      </w:r>
      <w:r w:rsidR="00BE4BDB">
        <w:rPr>
          <w:rFonts w:cstheme="minorHAnsi"/>
          <w:lang w:val="en-US"/>
        </w:rPr>
        <w:t xml:space="preserve"> </w:t>
      </w:r>
      <w:r w:rsidR="0028488B" w:rsidRPr="0028488B">
        <w:rPr>
          <w:rFonts w:ascii="Arial" w:hAnsi="Arial" w:cs="Arial"/>
        </w:rPr>
        <w:t>(PC 2023a)</w:t>
      </w:r>
      <w:r w:rsidR="005137AC">
        <w:rPr>
          <w:rFonts w:cstheme="minorHAnsi"/>
          <w:lang w:val="en-US"/>
        </w:rPr>
        <w:t>.</w:t>
      </w:r>
    </w:p>
    <w:p w14:paraId="646B5B79" w14:textId="51BAB1AC" w:rsidR="00EE7038" w:rsidRPr="009B6D87" w:rsidRDefault="00601616" w:rsidP="00EE7038">
      <w:pPr>
        <w:pStyle w:val="BodyText"/>
        <w:rPr>
          <w:spacing w:val="-2"/>
        </w:rPr>
      </w:pPr>
      <w:r w:rsidRPr="009B6D87">
        <w:rPr>
          <w:spacing w:val="-2"/>
        </w:rPr>
        <w:t>Efforts to e</w:t>
      </w:r>
      <w:r w:rsidR="00EE7038" w:rsidRPr="009B6D87">
        <w:rPr>
          <w:spacing w:val="-2"/>
        </w:rPr>
        <w:t>nhanc</w:t>
      </w:r>
      <w:r w:rsidRPr="009B6D87">
        <w:rPr>
          <w:spacing w:val="-2"/>
        </w:rPr>
        <w:t>e</w:t>
      </w:r>
      <w:r w:rsidR="00EE7038" w:rsidRPr="009B6D87">
        <w:rPr>
          <w:spacing w:val="-2"/>
        </w:rPr>
        <w:t xml:space="preserve"> trade resilience should focus on maintaining open markets to reduce input cost volatility and support efficient resource allocation across the economy. Open trade allows firms to diversify suppliers, respond flexibly to shocks and acce</w:t>
      </w:r>
      <w:r w:rsidR="00B70368" w:rsidRPr="009B6D87">
        <w:rPr>
          <w:spacing w:val="-2"/>
        </w:rPr>
        <w:t>s</w:t>
      </w:r>
      <w:r w:rsidR="00EE7038" w:rsidRPr="009B6D87">
        <w:rPr>
          <w:spacing w:val="-2"/>
        </w:rPr>
        <w:t xml:space="preserve">s competitively priced inputs. Where vulnerabilities exist in critical supply chains, </w:t>
      </w:r>
      <w:r w:rsidR="00B0019C" w:rsidRPr="009B6D87">
        <w:rPr>
          <w:spacing w:val="-2"/>
        </w:rPr>
        <w:t xml:space="preserve">risks are best managed by firms using those supply chains </w:t>
      </w:r>
      <w:r w:rsidR="0013478F" w:rsidRPr="009B6D87">
        <w:rPr>
          <w:rFonts w:cs="Arial"/>
          <w:spacing w:val="-2"/>
        </w:rPr>
        <w:t>(PC 2021b, p. 15)</w:t>
      </w:r>
      <w:r w:rsidR="0013478F" w:rsidRPr="009B6D87">
        <w:rPr>
          <w:spacing w:val="-2"/>
        </w:rPr>
        <w:t xml:space="preserve"> </w:t>
      </w:r>
      <w:r w:rsidR="00445D02" w:rsidRPr="009B6D87">
        <w:rPr>
          <w:spacing w:val="-2"/>
        </w:rPr>
        <w:t>–</w:t>
      </w:r>
      <w:r w:rsidR="00B0019C" w:rsidRPr="009B6D87">
        <w:rPr>
          <w:spacing w:val="-2"/>
        </w:rPr>
        <w:t xml:space="preserve"> </w:t>
      </w:r>
      <w:r w:rsidR="00EE7038" w:rsidRPr="009B6D87">
        <w:rPr>
          <w:spacing w:val="-2"/>
        </w:rPr>
        <w:t>government action should be targeted and used only as a last resort, rather than as a substitute for well-functioning markets.</w:t>
      </w:r>
    </w:p>
    <w:p w14:paraId="7AB35CA9" w14:textId="5C4E04AE" w:rsidR="00064F43" w:rsidRDefault="00064F43" w:rsidP="00EE7038">
      <w:pPr>
        <w:pStyle w:val="BodyText"/>
      </w:pPr>
      <w:r>
        <w:t xml:space="preserve">The PC continues to support these principles, even given the current state of global trade policy settings. Indeed, </w:t>
      </w:r>
      <w:r w:rsidR="0003270A">
        <w:t>m</w:t>
      </w:r>
      <w:r>
        <w:t xml:space="preserve">odelling undertaken by the PC suggests that Australia would fare better economically should it choose not to implement retaliatory tariffs imposed by its trading partners – as it has so far </w:t>
      </w:r>
      <w:r w:rsidR="00120A55">
        <w:t>done</w:t>
      </w:r>
      <w:r>
        <w:t xml:space="preserve"> </w:t>
      </w:r>
      <w:r w:rsidRPr="0029357B">
        <w:rPr>
          <w:rFonts w:ascii="Arial" w:hAnsi="Arial" w:cs="Arial"/>
        </w:rPr>
        <w:t>(PC 2025i, p. 10)</w:t>
      </w:r>
      <w:r>
        <w:t xml:space="preserve">. </w:t>
      </w:r>
      <w:r w:rsidRPr="007256AD">
        <w:t>Australia’s best response is to continue to work towards open and free markets.</w:t>
      </w:r>
      <w:r>
        <w:t xml:space="preserve"> </w:t>
      </w:r>
    </w:p>
    <w:p w14:paraId="05A10B8D" w14:textId="428D1662" w:rsidR="00EE7038" w:rsidRPr="009B6D87" w:rsidRDefault="00EA6316" w:rsidP="00EE7038">
      <w:pPr>
        <w:pStyle w:val="BodyText"/>
        <w:rPr>
          <w:spacing w:val="-2"/>
        </w:rPr>
      </w:pPr>
      <w:r w:rsidRPr="009B6D87">
        <w:rPr>
          <w:spacing w:val="-2"/>
        </w:rPr>
        <w:t xml:space="preserve">To that end, </w:t>
      </w:r>
      <w:r w:rsidR="00EE7038" w:rsidRPr="009B6D87">
        <w:rPr>
          <w:spacing w:val="-2"/>
        </w:rPr>
        <w:t xml:space="preserve">Australia should </w:t>
      </w:r>
      <w:r w:rsidR="00060EC7" w:rsidRPr="009B6D87">
        <w:rPr>
          <w:spacing w:val="-2"/>
        </w:rPr>
        <w:t>take steps to</w:t>
      </w:r>
      <w:r w:rsidR="00EE7038" w:rsidRPr="009B6D87">
        <w:rPr>
          <w:spacing w:val="-2"/>
        </w:rPr>
        <w:t xml:space="preserve"> strengthen alignment with international standards to lift competitive pressures and support technology diffusion. </w:t>
      </w:r>
      <w:r w:rsidR="006B2246" w:rsidRPr="009B6D87">
        <w:rPr>
          <w:spacing w:val="-2"/>
        </w:rPr>
        <w:t xml:space="preserve">Means to these ends </w:t>
      </w:r>
      <w:r w:rsidR="00EE7038" w:rsidRPr="009B6D87">
        <w:rPr>
          <w:spacing w:val="-2"/>
        </w:rPr>
        <w:t>include continuing to liberalise goods trade by eliminating remaining tariffs, progressively winding back anti-dumping and countervailing measures and improving recognition of international product standards</w:t>
      </w:r>
      <w:r w:rsidR="00FC2C83" w:rsidRPr="009B6D87">
        <w:rPr>
          <w:spacing w:val="-2"/>
        </w:rPr>
        <w:t xml:space="preserve"> </w:t>
      </w:r>
      <w:r w:rsidR="00DE273F" w:rsidRPr="009B6D87">
        <w:rPr>
          <w:rFonts w:cs="Arial"/>
          <w:spacing w:val="-2"/>
        </w:rPr>
        <w:t>(PC 2023a, 2025h)</w:t>
      </w:r>
      <w:r w:rsidR="00EE7038" w:rsidRPr="009B6D87">
        <w:rPr>
          <w:spacing w:val="-2"/>
        </w:rPr>
        <w:t>. New or expanded trade protections should be subject to economy-wide cost</w:t>
      </w:r>
      <w:r w:rsidR="00F25C91" w:rsidRPr="009B6D87">
        <w:rPr>
          <w:spacing w:val="-2"/>
        </w:rPr>
        <w:t>-</w:t>
      </w:r>
      <w:r w:rsidR="00EE7038" w:rsidRPr="009B6D87">
        <w:rPr>
          <w:spacing w:val="-2"/>
        </w:rPr>
        <w:t>benefit analysis to ensure they deliver net benefits.</w:t>
      </w:r>
    </w:p>
    <w:p w14:paraId="7E2B4985" w14:textId="6869D6E4" w:rsidR="00AA1203" w:rsidRPr="00AA1203" w:rsidRDefault="00AA1203" w:rsidP="00AA1203">
      <w:pPr>
        <w:pStyle w:val="BodyText"/>
      </w:pPr>
      <w:r w:rsidRPr="00AA1203">
        <w:t>The foreign investment review framework should balance the management of strategic and integrity risks with the need to attract capital, skills, technology and management expertise. Reforms should aim to minimise unnecessary deterrence to foreign direct investment and ensure application fees do not function as an implicit tax, including by better aligning fees across investment categories</w:t>
      </w:r>
      <w:r w:rsidR="008E3B9A">
        <w:t xml:space="preserve"> </w:t>
      </w:r>
      <w:r w:rsidR="007745A4" w:rsidRPr="007745A4">
        <w:rPr>
          <w:rFonts w:ascii="Arial" w:hAnsi="Arial" w:cs="Arial"/>
        </w:rPr>
        <w:t>(PC 2023a, p. 91)</w:t>
      </w:r>
      <w:r w:rsidRPr="00AA1203">
        <w:t>.</w:t>
      </w:r>
    </w:p>
    <w:p w14:paraId="7F32C5F3" w14:textId="26158A3B" w:rsidR="00EE7038" w:rsidRDefault="00EE7038" w:rsidP="00EE7038">
      <w:pPr>
        <w:pStyle w:val="BodyText"/>
      </w:pPr>
      <w:r w:rsidRPr="00EE7038">
        <w:lastRenderedPageBreak/>
        <w:t>Governments should also support the growing role of services trade in the global economy. Reducing barriers to services trade would enable greater scale, specialisation and knowledge spillovers, strengthening productivity and competitiveness in service industries.</w:t>
      </w:r>
      <w:r w:rsidR="000966E1">
        <w:t xml:space="preserve"> </w:t>
      </w:r>
      <w:r w:rsidR="001662F1">
        <w:t xml:space="preserve">This will require the Australian Government to </w:t>
      </w:r>
      <w:r w:rsidR="00963D94">
        <w:t>reduce barriers ‘at the border’ (</w:t>
      </w:r>
      <w:r w:rsidR="002A0B0A">
        <w:t xml:space="preserve">such as tariffs and </w:t>
      </w:r>
      <w:r w:rsidR="00763326">
        <w:t xml:space="preserve">foreign investment </w:t>
      </w:r>
      <w:r w:rsidR="002A0B0A">
        <w:t>compliance requirements</w:t>
      </w:r>
      <w:r w:rsidR="00963D94">
        <w:t xml:space="preserve">) </w:t>
      </w:r>
      <w:r w:rsidR="000D36BB">
        <w:t>a</w:t>
      </w:r>
      <w:r w:rsidR="00963D94">
        <w:t>n</w:t>
      </w:r>
      <w:r w:rsidR="000D36BB">
        <w:t>d</w:t>
      </w:r>
      <w:r w:rsidR="00963D94">
        <w:t xml:space="preserve"> ‘behind the border’ (</w:t>
      </w:r>
      <w:r w:rsidR="00763326">
        <w:t xml:space="preserve">such as </w:t>
      </w:r>
      <w:r w:rsidR="00763326" w:rsidRPr="00763326">
        <w:t>regulatory rules, price controls, local ownership or foreign work</w:t>
      </w:r>
      <w:r w:rsidR="007A323E">
        <w:t xml:space="preserve"> </w:t>
      </w:r>
      <w:r w:rsidR="007A323E" w:rsidRPr="007A323E">
        <w:t>regulations, rules of origin, or data storage and privacy requirements</w:t>
      </w:r>
      <w:r w:rsidR="00963D94">
        <w:t xml:space="preserve">), </w:t>
      </w:r>
      <w:r w:rsidR="00013F88">
        <w:t xml:space="preserve">targeting a mixture of trade policy, tax </w:t>
      </w:r>
      <w:r w:rsidR="00F1621A">
        <w:t xml:space="preserve">settings, occupational licensing, foreign direct investment and recognition of overseas qualifications </w:t>
      </w:r>
      <w:r w:rsidR="005600B1" w:rsidRPr="005600B1">
        <w:rPr>
          <w:rFonts w:ascii="Arial" w:hAnsi="Arial" w:cs="Arial"/>
        </w:rPr>
        <w:t>(PC 2023a, p. 96)</w:t>
      </w:r>
      <w:r w:rsidR="00F1621A">
        <w:t>.</w:t>
      </w:r>
    </w:p>
    <w:p w14:paraId="488D700B" w14:textId="367AE5F4" w:rsidR="00EE7038" w:rsidRPr="009B6D87" w:rsidRDefault="000E7556" w:rsidP="00997BDF">
      <w:pPr>
        <w:pStyle w:val="BodyText"/>
      </w:pPr>
      <w:r w:rsidRPr="009B6D87">
        <w:rPr>
          <w:spacing w:val="-4"/>
        </w:rPr>
        <w:t xml:space="preserve">The </w:t>
      </w:r>
      <w:r w:rsidR="007C1DF9" w:rsidRPr="009B6D87">
        <w:rPr>
          <w:spacing w:val="-4"/>
        </w:rPr>
        <w:t xml:space="preserve">PC </w:t>
      </w:r>
      <w:r w:rsidRPr="009B6D87">
        <w:rPr>
          <w:spacing w:val="-4"/>
        </w:rPr>
        <w:t xml:space="preserve">has </w:t>
      </w:r>
      <w:r w:rsidR="00863A53" w:rsidRPr="009B6D87">
        <w:rPr>
          <w:spacing w:val="-4"/>
        </w:rPr>
        <w:t xml:space="preserve">also </w:t>
      </w:r>
      <w:r w:rsidRPr="009B6D87">
        <w:rPr>
          <w:spacing w:val="-4"/>
        </w:rPr>
        <w:t xml:space="preserve">recommended reforms to Australia’s tax system, in part to help attract more foreign investment. </w:t>
      </w:r>
      <w:r w:rsidRPr="009B6D87">
        <w:t>This is discussed in greater detail in the next section</w:t>
      </w:r>
      <w:r w:rsidR="004D4E8A" w:rsidRPr="009B6D87">
        <w:t>:</w:t>
      </w:r>
      <w:r w:rsidRPr="009B6D87">
        <w:t xml:space="preserve"> Australia’s tax system and impacts on productivity.</w:t>
      </w:r>
    </w:p>
    <w:p w14:paraId="5108B076" w14:textId="236D3275" w:rsidR="00653E30" w:rsidRPr="00F82BD9" w:rsidRDefault="00653E30" w:rsidP="004B292F">
      <w:pPr>
        <w:pStyle w:val="NoSpacing"/>
      </w:pPr>
    </w:p>
    <w:tbl>
      <w:tblPr>
        <w:tblStyle w:val="Boxtable"/>
        <w:tblW w:w="5000" w:type="pct"/>
        <w:tblLook w:val="04A0" w:firstRow="1" w:lastRow="0" w:firstColumn="1" w:lastColumn="0" w:noHBand="0" w:noVBand="1"/>
      </w:tblPr>
      <w:tblGrid>
        <w:gridCol w:w="9638"/>
      </w:tblGrid>
      <w:tr w:rsidR="00653E30" w14:paraId="5AA6E198" w14:textId="77777777" w:rsidTr="004B292F">
        <w:trPr>
          <w:tblHeader/>
        </w:trPr>
        <w:tc>
          <w:tcPr>
            <w:tcW w:w="9638" w:type="dxa"/>
            <w:shd w:val="clear" w:color="auto" w:fill="EBEBEB"/>
            <w:tcMar>
              <w:top w:w="170" w:type="dxa"/>
              <w:left w:w="170" w:type="dxa"/>
              <w:bottom w:w="113" w:type="dxa"/>
              <w:right w:w="170" w:type="dxa"/>
            </w:tcMar>
            <w:hideMark/>
          </w:tcPr>
          <w:p w14:paraId="55668FC8" w14:textId="45204F4E" w:rsidR="00653E30" w:rsidRDefault="00653E30">
            <w:pPr>
              <w:pStyle w:val="BoxHeading1"/>
            </w:pPr>
            <w:r>
              <w:t>Key takeaways</w:t>
            </w:r>
            <w:r w:rsidDel="006E487A">
              <w:t xml:space="preserve"> </w:t>
            </w:r>
            <w:r>
              <w:t>– Investment and productivity</w:t>
            </w:r>
          </w:p>
        </w:tc>
      </w:tr>
      <w:tr w:rsidR="00653E30" w14:paraId="66F8FC10" w14:textId="77777777" w:rsidTr="004B292F">
        <w:tc>
          <w:tcPr>
            <w:tcW w:w="9638" w:type="dxa"/>
            <w:shd w:val="clear" w:color="auto" w:fill="EBEBEB"/>
            <w:tcMar>
              <w:top w:w="28" w:type="dxa"/>
              <w:left w:w="170" w:type="dxa"/>
              <w:bottom w:w="170" w:type="dxa"/>
              <w:right w:w="170" w:type="dxa"/>
            </w:tcMar>
            <w:hideMark/>
          </w:tcPr>
          <w:p w14:paraId="52F0B60B" w14:textId="59F87235" w:rsidR="00653E30" w:rsidRPr="008B40C9" w:rsidRDefault="00653E30" w:rsidP="004B292F">
            <w:pPr>
              <w:pStyle w:val="BodyText"/>
              <w:spacing w:before="94" w:after="94"/>
            </w:pPr>
            <w:r>
              <w:rPr>
                <w:rFonts w:cstheme="minorHAnsi"/>
                <w:lang w:val="en-US"/>
              </w:rPr>
              <w:t>The PC</w:t>
            </w:r>
            <w:r>
              <w:t xml:space="preserve">’s </w:t>
            </w:r>
            <w:r>
              <w:rPr>
                <w:i/>
                <w:iCs/>
              </w:rPr>
              <w:t xml:space="preserve">Advancing prosperity </w:t>
            </w:r>
            <w:r>
              <w:t>inquiry suggested that to support foreign investment, the Australian Government should</w:t>
            </w:r>
            <w:r w:rsidR="00D85E75">
              <w:t xml:space="preserve"> </w:t>
            </w:r>
            <w:r w:rsidR="00D85E75" w:rsidRPr="00D85E75">
              <w:rPr>
                <w:rFonts w:ascii="Arial" w:hAnsi="Arial" w:cs="Arial"/>
              </w:rPr>
              <w:t>(PC 2023a)</w:t>
            </w:r>
            <w:r>
              <w:rPr>
                <w:rFonts w:cstheme="minorHAnsi"/>
                <w:lang w:val="en-US"/>
              </w:rPr>
              <w:t>:</w:t>
            </w:r>
          </w:p>
          <w:p w14:paraId="7784A88C" w14:textId="1C6B0361" w:rsidR="00653E30" w:rsidRPr="00F974D6" w:rsidRDefault="00653E30" w:rsidP="004B292F">
            <w:pPr>
              <w:pStyle w:val="ListBullet"/>
              <w:numPr>
                <w:ilvl w:val="0"/>
                <w:numId w:val="17"/>
              </w:numPr>
              <w:spacing w:before="94" w:after="94"/>
              <w:ind w:left="179" w:hanging="179"/>
            </w:pPr>
            <w:r>
              <w:t>pursue economic resilience by harnessing open trade</w:t>
            </w:r>
            <w:r w:rsidR="00A05F13">
              <w:t xml:space="preserve"> by reducing, removing and avoiding reciprocal tariffs</w:t>
            </w:r>
          </w:p>
          <w:p w14:paraId="1F7A9E57" w14:textId="09CA60EC" w:rsidR="00653E30" w:rsidRPr="00AB6811" w:rsidRDefault="00653E30" w:rsidP="004B292F">
            <w:pPr>
              <w:pStyle w:val="ListBullet"/>
              <w:numPr>
                <w:ilvl w:val="0"/>
                <w:numId w:val="17"/>
              </w:numPr>
              <w:spacing w:before="94" w:after="94"/>
              <w:ind w:left="179" w:hanging="179"/>
            </w:pPr>
            <w:r>
              <w:t>embrace</w:t>
            </w:r>
            <w:r w:rsidRPr="00A4328B">
              <w:t xml:space="preserve"> open trade and </w:t>
            </w:r>
            <w:r>
              <w:t xml:space="preserve">greater recognition of </w:t>
            </w:r>
            <w:r w:rsidRPr="00A4328B">
              <w:t>international standards</w:t>
            </w:r>
            <w:r w:rsidR="00FA3735">
              <w:t xml:space="preserve"> </w:t>
            </w:r>
            <w:r>
              <w:t>address potential chilling effects of</w:t>
            </w:r>
            <w:r w:rsidRPr="00A4328B">
              <w:t xml:space="preserve"> the Foreign Investment Review Framework</w:t>
            </w:r>
            <w:r w:rsidRPr="000B7383">
              <w:t xml:space="preserve"> </w:t>
            </w:r>
          </w:p>
          <w:p w14:paraId="3E192DA6" w14:textId="5C565F2D" w:rsidR="00653E30" w:rsidRDefault="00653E30" w:rsidP="00A55D7B">
            <w:pPr>
              <w:pStyle w:val="ListBullet"/>
              <w:numPr>
                <w:ilvl w:val="0"/>
                <w:numId w:val="17"/>
              </w:numPr>
              <w:spacing w:before="94" w:after="240"/>
              <w:ind w:left="179" w:hanging="179"/>
            </w:pPr>
            <w:r>
              <w:t xml:space="preserve">prepare for increased global trade </w:t>
            </w:r>
            <w:r w:rsidRPr="00A4328B">
              <w:t>in services</w:t>
            </w:r>
            <w:r w:rsidR="001E0944">
              <w:t xml:space="preserve"> </w:t>
            </w:r>
            <w:r w:rsidR="009B6B09">
              <w:t xml:space="preserve">by </w:t>
            </w:r>
            <w:r w:rsidR="00457D6E">
              <w:t>lowering barriers across trade policy, tax settings, occupational licensing, foreign direct investment and recognition of overseas qualifications</w:t>
            </w:r>
            <w:r>
              <w:t>.</w:t>
            </w:r>
          </w:p>
        </w:tc>
      </w:tr>
      <w:tr w:rsidR="00653E30" w14:paraId="5EA579D2" w14:textId="77777777" w:rsidTr="004B292F">
        <w:trPr>
          <w:hidden/>
        </w:trPr>
        <w:tc>
          <w:tcPr>
            <w:tcW w:w="9638" w:type="dxa"/>
            <w:shd w:val="clear" w:color="auto" w:fill="auto"/>
            <w:tcMar>
              <w:top w:w="0" w:type="dxa"/>
              <w:left w:w="170" w:type="dxa"/>
              <w:bottom w:w="0" w:type="dxa"/>
              <w:right w:w="170" w:type="dxa"/>
            </w:tcMar>
          </w:tcPr>
          <w:p w14:paraId="5D3F40CA" w14:textId="7D085445" w:rsidR="00653E30" w:rsidRPr="00465191" w:rsidRDefault="00653E30">
            <w:pPr>
              <w:pStyle w:val="BodyText"/>
              <w:spacing w:before="0" w:after="0" w:line="80" w:lineRule="atLeast"/>
              <w:rPr>
                <w:smallCaps/>
                <w:vanish/>
              </w:rPr>
            </w:pPr>
          </w:p>
        </w:tc>
      </w:tr>
    </w:tbl>
    <w:p w14:paraId="14BFC887" w14:textId="77777777" w:rsidR="003C230B" w:rsidRDefault="003C230B" w:rsidP="003C230B">
      <w:pPr>
        <w:pStyle w:val="Heading2-nonumber"/>
      </w:pPr>
      <w:bookmarkStart w:id="5" w:name="_Toc219280603"/>
      <w:r w:rsidRPr="003C230B">
        <w:t>Australia's tax system and impacts on productivity</w:t>
      </w:r>
      <w:bookmarkEnd w:id="5"/>
    </w:p>
    <w:p w14:paraId="739891D0" w14:textId="5FDBF7D6" w:rsidR="005F677E" w:rsidRPr="009B6D87" w:rsidRDefault="00433E29" w:rsidP="009F6D03">
      <w:pPr>
        <w:pStyle w:val="Heading3"/>
        <w:rPr>
          <w:spacing w:val="-4"/>
        </w:rPr>
      </w:pPr>
      <w:r w:rsidRPr="009B6D87">
        <w:rPr>
          <w:spacing w:val="-4"/>
        </w:rPr>
        <w:t>Taxes</w:t>
      </w:r>
      <w:r w:rsidR="00751C9E" w:rsidRPr="009B6D87">
        <w:rPr>
          <w:spacing w:val="-4"/>
        </w:rPr>
        <w:t xml:space="preserve"> </w:t>
      </w:r>
      <w:r w:rsidR="00F44FF2" w:rsidRPr="009B6D87">
        <w:rPr>
          <w:spacing w:val="-4"/>
        </w:rPr>
        <w:t>distort incentives, distorting labour and investment decisions</w:t>
      </w:r>
    </w:p>
    <w:p w14:paraId="6ABC6100" w14:textId="64303F77" w:rsidR="00AC31E7" w:rsidRDefault="00794B4D" w:rsidP="00CC68D7">
      <w:pPr>
        <w:pStyle w:val="BodyText"/>
      </w:pPr>
      <w:r>
        <w:t>D</w:t>
      </w:r>
      <w:r w:rsidR="000F20B9">
        <w:t xml:space="preserve">ifferent forms of taxation impact </w:t>
      </w:r>
      <w:r>
        <w:t xml:space="preserve">Australia’s </w:t>
      </w:r>
      <w:r w:rsidR="0014784E">
        <w:t xml:space="preserve">productivity </w:t>
      </w:r>
      <w:r w:rsidR="00DE1124">
        <w:t>by distorting</w:t>
      </w:r>
      <w:r w:rsidR="00137A74">
        <w:t xml:space="preserve"> economic decision</w:t>
      </w:r>
      <w:r w:rsidR="00E415EE">
        <w:t>-</w:t>
      </w:r>
      <w:r w:rsidR="00137A74">
        <w:t xml:space="preserve">making, </w:t>
      </w:r>
      <w:r w:rsidR="00CE4A84">
        <w:t xml:space="preserve">labour </w:t>
      </w:r>
      <w:r w:rsidR="0049278A">
        <w:t xml:space="preserve">supply and </w:t>
      </w:r>
      <w:r w:rsidR="002B4237">
        <w:t>investment</w:t>
      </w:r>
      <w:r w:rsidR="00DE1124">
        <w:t xml:space="preserve"> choices</w:t>
      </w:r>
      <w:r w:rsidR="00923FDB">
        <w:t>.</w:t>
      </w:r>
    </w:p>
    <w:p w14:paraId="4EB1A883" w14:textId="7A653EB6" w:rsidR="007A09FD" w:rsidRDefault="00494DEA" w:rsidP="00494DEA">
      <w:pPr>
        <w:pStyle w:val="BodyText"/>
      </w:pPr>
      <w:r w:rsidRPr="00494DEA">
        <w:t>The tax and transfer system has a direct influence on investment decisions. By taxing some activities at higher rates than others, the system can skew incentives and economic activity away from more productive activities</w:t>
      </w:r>
      <w:r w:rsidR="007A09FD">
        <w:t xml:space="preserve"> </w:t>
      </w:r>
      <w:r w:rsidR="007A09FD" w:rsidRPr="00977BB9">
        <w:rPr>
          <w:rFonts w:ascii="Arial" w:hAnsi="Arial" w:cs="Arial"/>
        </w:rPr>
        <w:t>(PC 2023a, pp. 49–50)</w:t>
      </w:r>
      <w:r w:rsidRPr="00494DEA">
        <w:t xml:space="preserve">. </w:t>
      </w:r>
    </w:p>
    <w:p w14:paraId="7C082DFA" w14:textId="0E8F5047" w:rsidR="00494DEA" w:rsidRPr="009B6D87" w:rsidRDefault="00494DEA" w:rsidP="00C33598">
      <w:pPr>
        <w:pStyle w:val="BodyText"/>
        <w:rPr>
          <w:spacing w:val="-4"/>
        </w:rPr>
      </w:pPr>
      <w:r w:rsidRPr="009B6D87">
        <w:rPr>
          <w:spacing w:val="-4"/>
        </w:rPr>
        <w:t>Transitioning Australia’s tax system towards less distortive, more efficient approaches is an enduring policy priority. It will become more salient as governments contend with the ageing population, changing consumption patterns and the need for fiscal repair. While specific tax incentives could aim at bringing forward investment, piecemeal tax incentives alone are unlikely to boost long</w:t>
      </w:r>
      <w:r w:rsidR="00012055" w:rsidRPr="009B6D87">
        <w:rPr>
          <w:spacing w:val="-4"/>
        </w:rPr>
        <w:t>-</w:t>
      </w:r>
      <w:r w:rsidRPr="009B6D87">
        <w:rPr>
          <w:spacing w:val="-4"/>
        </w:rPr>
        <w:t>term productivity growth. The effects of taxation on the incentive to invest are better dealt with via structural tax reform rather than one-off measures.</w:t>
      </w:r>
    </w:p>
    <w:p w14:paraId="1A9CC124" w14:textId="1E7AF125" w:rsidR="00FA7208" w:rsidRDefault="005C31A9" w:rsidP="005C31A9">
      <w:pPr>
        <w:pStyle w:val="BodyText"/>
      </w:pPr>
      <w:r>
        <w:t>The tax system can influence productivity growth through five main channels.</w:t>
      </w:r>
    </w:p>
    <w:p w14:paraId="0014862F" w14:textId="55EF154A" w:rsidR="00D34329" w:rsidRDefault="00245DDB" w:rsidP="00D34329">
      <w:pPr>
        <w:pStyle w:val="BodyText"/>
      </w:pPr>
      <w:r>
        <w:rPr>
          <w:bCs/>
        </w:rPr>
        <w:t>Particularly through income and payroll taxes, s</w:t>
      </w:r>
      <w:r w:rsidR="00D34329" w:rsidRPr="0094022F">
        <w:rPr>
          <w:bCs/>
        </w:rPr>
        <w:t>killed</w:t>
      </w:r>
      <w:r w:rsidR="00D34329" w:rsidRPr="0094022F">
        <w:t xml:space="preserve"> labour supply decisions</w:t>
      </w:r>
      <w:r w:rsidR="00F50098">
        <w:t xml:space="preserve"> </w:t>
      </w:r>
      <w:r w:rsidR="00020705">
        <w:t>can be distorted</w:t>
      </w:r>
      <w:r w:rsidR="00D34329" w:rsidRPr="00377B56">
        <w:t>, affect</w:t>
      </w:r>
      <w:r w:rsidR="00020705">
        <w:t>ing</w:t>
      </w:r>
      <w:r w:rsidR="00D34329" w:rsidRPr="00377B56">
        <w:t xml:space="preserve"> labour market participation, hours worked, incentives for further human capital investment and incentives to migrate to Australia. These effects can vary with gender, household structure, age and income. They can be compounded by aspects of the transfer system, which can lead to high effective marginal tax rates. Other payments, such as </w:t>
      </w:r>
      <w:r w:rsidR="00EA15E1" w:rsidRPr="00377B56">
        <w:t>childcare</w:t>
      </w:r>
      <w:r w:rsidR="00D34329" w:rsidRPr="00377B56">
        <w:t xml:space="preserve"> subsidies, can alleviate adverse incentives over some income ranges.</w:t>
      </w:r>
    </w:p>
    <w:p w14:paraId="39DE4DC8" w14:textId="77777777" w:rsidR="00D34329" w:rsidRDefault="00D34329" w:rsidP="00D34329">
      <w:pPr>
        <w:pStyle w:val="BodyText"/>
      </w:pPr>
      <w:r w:rsidRPr="005B021E">
        <w:lastRenderedPageBreak/>
        <w:t>Saving and investment decisions</w:t>
      </w:r>
      <w:r w:rsidRPr="00377B56">
        <w:t xml:space="preserve"> can be distorted due to the varying tax treatment of different savings and investment options. If investment and asset allocation decisions are based more on preferential tax treatment than underlying economic return, productivity can be adversely affected. Gaps between the corporate tax rate and marginal personal income tax rates, differential tax rates for large and small companies, differences in statutory depreciation rates and the non-deductibility of equity all have some potential to distort outcomes. </w:t>
      </w:r>
    </w:p>
    <w:p w14:paraId="47752B39" w14:textId="7525120D" w:rsidR="00D34329" w:rsidRDefault="00D34329" w:rsidP="00D34329">
      <w:pPr>
        <w:pStyle w:val="BodyText"/>
      </w:pPr>
      <w:r w:rsidRPr="005B021E">
        <w:t>Ease of asset transfers and efficient capital allocation</w:t>
      </w:r>
      <w:r w:rsidRPr="00377B56">
        <w:t xml:space="preserve"> can be significantly impacted by transaction taxes like stamp duty. These taxes can hamper worker mobility and housing choice, and be a barrier to efficient transactions, which would see assets transferred to a higher value use. </w:t>
      </w:r>
    </w:p>
    <w:p w14:paraId="4CB61A3D" w14:textId="3C1EB6C5" w:rsidR="00D34329" w:rsidRDefault="00D34329" w:rsidP="00D34329">
      <w:pPr>
        <w:pStyle w:val="BodyText"/>
      </w:pPr>
      <w:r w:rsidRPr="00D336A0">
        <w:t xml:space="preserve">Tax settings can affect the </w:t>
      </w:r>
      <w:r w:rsidRPr="005B021E">
        <w:t>ease of entry and competition</w:t>
      </w:r>
      <w:r w:rsidRPr="00D336A0">
        <w:t xml:space="preserve"> through both consolidation rules and the non</w:t>
      </w:r>
      <w:r w:rsidR="00A940C7">
        <w:noBreakHyphen/>
      </w:r>
      <w:r w:rsidRPr="00D336A0">
        <w:t xml:space="preserve">neutrality of taxation of corporate debt and equity </w:t>
      </w:r>
      <w:r w:rsidR="00A940C7">
        <w:t xml:space="preserve">– </w:t>
      </w:r>
      <w:r w:rsidRPr="00D336A0">
        <w:t xml:space="preserve">both of which could contribute to incumbency bias, particularly if new firms are more likely to initially be financed through equity. For example, some new firms in the services sector might have limited tangible business assets against which to borrow, relying more on equity to finance initial operations. Tax arrangements that become less favourable as businesses grow beyond a threshold size can also impede competitive pressure. </w:t>
      </w:r>
    </w:p>
    <w:p w14:paraId="790BFD48" w14:textId="76F4706B" w:rsidR="00D34329" w:rsidRDefault="00865198" w:rsidP="00C33598">
      <w:pPr>
        <w:pStyle w:val="BodyText"/>
      </w:pPr>
      <w:r>
        <w:rPr>
          <w:bCs/>
        </w:rPr>
        <w:t>Lastly, r</w:t>
      </w:r>
      <w:r w:rsidR="00D34329" w:rsidRPr="005B021E">
        <w:rPr>
          <w:bCs/>
        </w:rPr>
        <w:t>isk</w:t>
      </w:r>
      <w:r w:rsidR="00D34329" w:rsidRPr="005B021E">
        <w:t xml:space="preserve"> management</w:t>
      </w:r>
      <w:r w:rsidR="00D34329" w:rsidRPr="00D336A0">
        <w:t xml:space="preserve"> can be hampered at the margin by state insurance taxes. The asymmetric treatment of profits and losses could also work to diminish firms’ risk appetite. Alternatives that have been suggested (though none are necessarily straightforward) include some loss refundability (such as via a business </w:t>
      </w:r>
      <w:r w:rsidR="000F0201">
        <w:t>‘net</w:t>
      </w:r>
      <w:r w:rsidR="00D34329" w:rsidRPr="00D336A0">
        <w:t xml:space="preserve"> cashflow tax</w:t>
      </w:r>
      <w:r w:rsidR="000F0201">
        <w:t>’</w:t>
      </w:r>
      <w:r w:rsidR="00D34329" w:rsidRPr="00D336A0">
        <w:t>), the carry-back of losses or the indexation of losses carried forward.</w:t>
      </w:r>
    </w:p>
    <w:p w14:paraId="6F43AB71" w14:textId="1AB5792A" w:rsidR="004E7DAB" w:rsidRDefault="00D50A63" w:rsidP="009F6D03">
      <w:pPr>
        <w:pStyle w:val="Heading3"/>
      </w:pPr>
      <w:r>
        <w:t>The</w:t>
      </w:r>
      <w:r w:rsidR="005F677E">
        <w:t xml:space="preserve"> corporate tax system</w:t>
      </w:r>
      <w:r>
        <w:t xml:space="preserve"> should be reformed to reduce the taxation of normal economic returns</w:t>
      </w:r>
    </w:p>
    <w:p w14:paraId="3A72264C" w14:textId="2502156A" w:rsidR="00E835E4" w:rsidRDefault="001914AC" w:rsidP="004D6B9E">
      <w:pPr>
        <w:pStyle w:val="BodyText"/>
      </w:pPr>
      <w:r>
        <w:t>The</w:t>
      </w:r>
      <w:r w:rsidDel="00EF0A47">
        <w:t xml:space="preserve"> </w:t>
      </w:r>
      <w:r w:rsidR="00EF0A47">
        <w:t>PC’s</w:t>
      </w:r>
      <w:r>
        <w:t xml:space="preserve"> recent inquiry into </w:t>
      </w:r>
      <w:r w:rsidRPr="00463FB7">
        <w:rPr>
          <w:i/>
          <w:iCs/>
        </w:rPr>
        <w:t xml:space="preserve">Creating a </w:t>
      </w:r>
      <w:r w:rsidR="00FC1212">
        <w:rPr>
          <w:i/>
          <w:iCs/>
        </w:rPr>
        <w:t>m</w:t>
      </w:r>
      <w:r w:rsidRPr="00463FB7">
        <w:rPr>
          <w:i/>
          <w:iCs/>
        </w:rPr>
        <w:t xml:space="preserve">ore </w:t>
      </w:r>
      <w:r w:rsidR="00FC1212">
        <w:rPr>
          <w:i/>
          <w:iCs/>
        </w:rPr>
        <w:t>d</w:t>
      </w:r>
      <w:r w:rsidRPr="00463FB7">
        <w:rPr>
          <w:i/>
          <w:iCs/>
        </w:rPr>
        <w:t xml:space="preserve">ynamic and </w:t>
      </w:r>
      <w:r w:rsidR="00FC1212">
        <w:rPr>
          <w:i/>
          <w:iCs/>
        </w:rPr>
        <w:t>r</w:t>
      </w:r>
      <w:r w:rsidRPr="00463FB7">
        <w:rPr>
          <w:i/>
          <w:iCs/>
        </w:rPr>
        <w:t xml:space="preserve">esilient </w:t>
      </w:r>
      <w:r w:rsidR="00FC1212">
        <w:rPr>
          <w:i/>
          <w:iCs/>
        </w:rPr>
        <w:t>e</w:t>
      </w:r>
      <w:r w:rsidRPr="00463FB7">
        <w:rPr>
          <w:i/>
          <w:iCs/>
        </w:rPr>
        <w:t>conomy</w:t>
      </w:r>
      <w:r>
        <w:t xml:space="preserve"> considered </w:t>
      </w:r>
      <w:r w:rsidR="00CE6EAA">
        <w:t>the issue</w:t>
      </w:r>
      <w:r w:rsidR="00A70E44">
        <w:t xml:space="preserve"> of </w:t>
      </w:r>
      <w:r w:rsidR="007A104C">
        <w:t>how to improve company taxation to improve dynamism and productivity</w:t>
      </w:r>
      <w:r w:rsidR="00D40E97">
        <w:t xml:space="preserve"> </w:t>
      </w:r>
      <w:r w:rsidR="00601475" w:rsidRPr="00601475">
        <w:rPr>
          <w:rFonts w:ascii="Arial" w:hAnsi="Arial" w:cs="Arial"/>
        </w:rPr>
        <w:t>(2025b)</w:t>
      </w:r>
      <w:r w:rsidR="00CE6EAA">
        <w:t>.</w:t>
      </w:r>
    </w:p>
    <w:p w14:paraId="76266C19" w14:textId="284B6584" w:rsidR="00826F2A" w:rsidRDefault="00A47D11" w:rsidP="004D6B9E">
      <w:pPr>
        <w:pStyle w:val="BodyText"/>
      </w:pPr>
      <w:r>
        <w:t xml:space="preserve">A core guiding </w:t>
      </w:r>
      <w:r w:rsidR="00D24843">
        <w:t xml:space="preserve">principle </w:t>
      </w:r>
      <w:r w:rsidR="00617EF1">
        <w:t xml:space="preserve">through the inquiry was </w:t>
      </w:r>
      <w:r w:rsidR="00A35C75">
        <w:t xml:space="preserve">that </w:t>
      </w:r>
      <w:r w:rsidR="00617EF1">
        <w:t>decreas</w:t>
      </w:r>
      <w:r w:rsidR="00A35C75">
        <w:t>ing</w:t>
      </w:r>
      <w:r w:rsidR="00617EF1">
        <w:t xml:space="preserve"> the </w:t>
      </w:r>
      <w:r w:rsidR="00105DA1">
        <w:t>tax on ‘normal returns’</w:t>
      </w:r>
      <w:r w:rsidR="00A35C75">
        <w:t xml:space="preserve"> would </w:t>
      </w:r>
      <w:r w:rsidR="003F5DF4">
        <w:t>improve the corporate tax system</w:t>
      </w:r>
      <w:r w:rsidR="00105DA1">
        <w:t xml:space="preserve">. </w:t>
      </w:r>
      <w:r w:rsidR="00826F2A" w:rsidRPr="00826F2A">
        <w:t>Normal returns are best defined as the returns</w:t>
      </w:r>
      <w:r w:rsidR="00D314AE">
        <w:t>,</w:t>
      </w:r>
      <w:r w:rsidR="00826F2A" w:rsidRPr="00826F2A">
        <w:t xml:space="preserve"> or profits</w:t>
      </w:r>
      <w:r w:rsidR="00D314AE">
        <w:t>,</w:t>
      </w:r>
      <w:r w:rsidR="00826F2A" w:rsidRPr="00826F2A">
        <w:t xml:space="preserve"> required by a company to undertake an investment –</w:t>
      </w:r>
      <w:r w:rsidR="002A1740">
        <w:t xml:space="preserve"> a</w:t>
      </w:r>
      <w:r w:rsidR="00826F2A" w:rsidRPr="00826F2A">
        <w:t>ny returns above this rate may be considered excess returns, or economic rents, and are generally considered to be less distortionary to tax.</w:t>
      </w:r>
      <w:r w:rsidR="00826F2A" w:rsidRPr="00826F2A">
        <w:rPr>
          <w:vertAlign w:val="superscript"/>
        </w:rPr>
        <w:footnoteReference w:id="2"/>
      </w:r>
      <w:r w:rsidR="00826F2A" w:rsidRPr="00826F2A">
        <w:t xml:space="preserve"> Therefore, the extent to which Australia’s corporate tax system targets normal returns, rather than excess returns, will materially inhibit investment and productivity growth. </w:t>
      </w:r>
    </w:p>
    <w:p w14:paraId="6940DFA2" w14:textId="069AE2F9" w:rsidR="00494FDD" w:rsidRDefault="44432DF5" w:rsidP="004D6B9E">
      <w:pPr>
        <w:pStyle w:val="BodyText"/>
      </w:pPr>
      <w:r>
        <w:t>Australia’s</w:t>
      </w:r>
      <w:r w:rsidR="00FC1C55">
        <w:t xml:space="preserve"> corporate tax system </w:t>
      </w:r>
      <w:r w:rsidR="00D2322F">
        <w:t xml:space="preserve">has </w:t>
      </w:r>
      <w:r w:rsidR="12DF43C7">
        <w:t xml:space="preserve">several features </w:t>
      </w:r>
      <w:r w:rsidR="001F1066">
        <w:t xml:space="preserve">which lead to </w:t>
      </w:r>
      <w:r w:rsidR="5354918E">
        <w:t xml:space="preserve">relatively high rates of </w:t>
      </w:r>
      <w:r w:rsidR="001F1066">
        <w:t>taxation of normal returns</w:t>
      </w:r>
      <w:r w:rsidR="00FB39D9">
        <w:t>.</w:t>
      </w:r>
    </w:p>
    <w:p w14:paraId="4A1CC6D0" w14:textId="763810D7" w:rsidR="009A69EB" w:rsidRDefault="00A74BF1" w:rsidP="008A7FEE">
      <w:pPr>
        <w:pStyle w:val="ListBullet"/>
        <w:numPr>
          <w:ilvl w:val="0"/>
          <w:numId w:val="17"/>
        </w:numPr>
      </w:pPr>
      <w:r w:rsidRPr="001174D0">
        <w:rPr>
          <w:b/>
        </w:rPr>
        <w:t>Asset purchase</w:t>
      </w:r>
      <w:r w:rsidR="00BE07CA" w:rsidRPr="001174D0">
        <w:rPr>
          <w:b/>
        </w:rPr>
        <w:t>s</w:t>
      </w:r>
      <w:r w:rsidRPr="001174D0">
        <w:rPr>
          <w:b/>
        </w:rPr>
        <w:t xml:space="preserve"> are </w:t>
      </w:r>
      <w:r w:rsidR="00310560" w:rsidRPr="001174D0">
        <w:rPr>
          <w:b/>
        </w:rPr>
        <w:t>not immediately expensed</w:t>
      </w:r>
      <w:r>
        <w:t xml:space="preserve">: </w:t>
      </w:r>
      <w:r w:rsidR="0081371A">
        <w:t>A</w:t>
      </w:r>
      <w:r w:rsidR="00F1392B">
        <w:t>sset purchas</w:t>
      </w:r>
      <w:r w:rsidR="00083224">
        <w:t>e choic</w:t>
      </w:r>
      <w:r w:rsidR="00F1392B">
        <w:t xml:space="preserve">es </w:t>
      </w:r>
      <w:r w:rsidR="00392FFF">
        <w:t>are</w:t>
      </w:r>
      <w:r w:rsidR="00083224">
        <w:t xml:space="preserve"> distorted through special treatment </w:t>
      </w:r>
      <w:r w:rsidR="00752D28">
        <w:t>rather than expensed</w:t>
      </w:r>
      <w:r w:rsidR="007D1944">
        <w:t xml:space="preserve"> as any other business cost</w:t>
      </w:r>
      <w:r w:rsidR="00392FFF">
        <w:t xml:space="preserve">, </w:t>
      </w:r>
      <w:r w:rsidR="00752D28">
        <w:t>f</w:t>
      </w:r>
      <w:r w:rsidR="00392FFF">
        <w:t xml:space="preserve">ollowing either depreciation schedules, </w:t>
      </w:r>
      <w:r w:rsidR="000276F1">
        <w:t xml:space="preserve">capital gains rules or </w:t>
      </w:r>
      <w:r w:rsidR="00310C5D">
        <w:t xml:space="preserve">trading stock rules. Each of these approaches cause the purchase of assets to </w:t>
      </w:r>
      <w:r w:rsidR="00E62330">
        <w:t xml:space="preserve">be expensed in a manner which </w:t>
      </w:r>
      <w:r w:rsidR="000C4006">
        <w:t>is less than</w:t>
      </w:r>
      <w:r w:rsidR="00E62330">
        <w:t xml:space="preserve"> the true present-value of </w:t>
      </w:r>
      <w:r w:rsidR="000C4006">
        <w:t>the asset</w:t>
      </w:r>
      <w:r w:rsidR="00553549">
        <w:t>, reducing investment</w:t>
      </w:r>
      <w:r w:rsidR="00BA1430">
        <w:t>.</w:t>
      </w:r>
    </w:p>
    <w:p w14:paraId="7A709C4D" w14:textId="0F16C84B" w:rsidR="00BA1430" w:rsidRDefault="00DE5CED" w:rsidP="008A7FEE">
      <w:pPr>
        <w:pStyle w:val="ListBullet"/>
        <w:numPr>
          <w:ilvl w:val="0"/>
          <w:numId w:val="17"/>
        </w:numPr>
      </w:pPr>
      <w:r w:rsidRPr="001174D0">
        <w:rPr>
          <w:b/>
        </w:rPr>
        <w:t>There is a bias towards debt-financing</w:t>
      </w:r>
      <w:r>
        <w:t xml:space="preserve">: </w:t>
      </w:r>
      <w:r w:rsidR="001C6306">
        <w:t xml:space="preserve">The cost of financing </w:t>
      </w:r>
      <w:r w:rsidR="009F7F02">
        <w:t>can</w:t>
      </w:r>
      <w:r w:rsidR="001C6306">
        <w:t xml:space="preserve"> be treated as an expense for debt (interest costs), but not for equity (dividends). </w:t>
      </w:r>
      <w:r w:rsidR="00C86A77">
        <w:t>This</w:t>
      </w:r>
      <w:r w:rsidR="006E6029">
        <w:t xml:space="preserve"> </w:t>
      </w:r>
      <w:r w:rsidR="001C6306">
        <w:t>creates a bias towards debt financing</w:t>
      </w:r>
      <w:r w:rsidR="00FE1767">
        <w:t xml:space="preserve">. </w:t>
      </w:r>
      <w:r w:rsidR="009F7F02">
        <w:t>Because</w:t>
      </w:r>
      <w:r w:rsidR="00FE1767">
        <w:t xml:space="preserve"> </w:t>
      </w:r>
      <w:r w:rsidR="00563CAE">
        <w:t>smaller</w:t>
      </w:r>
      <w:r w:rsidR="0020638C">
        <w:t xml:space="preserve"> and more innovative</w:t>
      </w:r>
      <w:r w:rsidR="00563CAE">
        <w:t xml:space="preserve"> firms tend to be more dependent upon equity financing</w:t>
      </w:r>
      <w:r w:rsidR="006D3531">
        <w:t xml:space="preserve">, </w:t>
      </w:r>
      <w:r w:rsidR="003213CA">
        <w:t>this leads to a tax system</w:t>
      </w:r>
      <w:r w:rsidR="007509F2">
        <w:noBreakHyphen/>
      </w:r>
      <w:r w:rsidR="003213CA">
        <w:t>induced bias toward</w:t>
      </w:r>
      <w:r w:rsidR="009F7F02">
        <w:t>s</w:t>
      </w:r>
      <w:r w:rsidR="003213CA">
        <w:t xml:space="preserve"> larger, incumbent firms – inhibiting economic dynamism.</w:t>
      </w:r>
    </w:p>
    <w:p w14:paraId="0EBD7E65" w14:textId="7F022E43" w:rsidR="006E61E1" w:rsidRPr="00565948" w:rsidRDefault="007509F2" w:rsidP="00FE3A3C">
      <w:pPr>
        <w:pStyle w:val="ListBullet"/>
        <w:numPr>
          <w:ilvl w:val="0"/>
          <w:numId w:val="17"/>
        </w:numPr>
        <w:rPr>
          <w:bCs/>
        </w:rPr>
      </w:pPr>
      <w:r w:rsidRPr="001174D0">
        <w:rPr>
          <w:b/>
        </w:rPr>
        <w:lastRenderedPageBreak/>
        <w:t>Risk</w:t>
      </w:r>
      <w:r w:rsidR="00871F3B" w:rsidRPr="001174D0">
        <w:rPr>
          <w:b/>
        </w:rPr>
        <w:t xml:space="preserve"> </w:t>
      </w:r>
      <w:r w:rsidR="00781106" w:rsidRPr="001174D0">
        <w:rPr>
          <w:b/>
        </w:rPr>
        <w:t>is</w:t>
      </w:r>
      <w:r w:rsidR="00871F3B" w:rsidRPr="001174D0">
        <w:rPr>
          <w:b/>
        </w:rPr>
        <w:t xml:space="preserve"> insufficiently compensated</w:t>
      </w:r>
      <w:r w:rsidR="00871F3B" w:rsidRPr="00565948">
        <w:rPr>
          <w:bCs/>
        </w:rPr>
        <w:t xml:space="preserve">: </w:t>
      </w:r>
      <w:r w:rsidR="0020638C" w:rsidRPr="00565948">
        <w:rPr>
          <w:bCs/>
        </w:rPr>
        <w:t xml:space="preserve">Losses </w:t>
      </w:r>
      <w:r w:rsidR="00583DC9" w:rsidRPr="00565948">
        <w:rPr>
          <w:bCs/>
        </w:rPr>
        <w:t xml:space="preserve">are insufficiently compensated </w:t>
      </w:r>
      <w:r w:rsidR="0058401A" w:rsidRPr="00565948">
        <w:rPr>
          <w:bCs/>
        </w:rPr>
        <w:t xml:space="preserve">by being held constant at their nominal value </w:t>
      </w:r>
      <w:r w:rsidR="780B1E96" w:rsidRPr="00565948">
        <w:rPr>
          <w:bCs/>
        </w:rPr>
        <w:t xml:space="preserve">when carried forward, </w:t>
      </w:r>
      <w:r w:rsidR="0058401A" w:rsidRPr="00565948">
        <w:rPr>
          <w:bCs/>
        </w:rPr>
        <w:t xml:space="preserve">rather than being adjusted to account for the time-value of money. </w:t>
      </w:r>
      <w:r w:rsidR="00A64925" w:rsidRPr="00565948">
        <w:rPr>
          <w:bCs/>
        </w:rPr>
        <w:t xml:space="preserve">This has the effect of </w:t>
      </w:r>
      <w:r w:rsidR="5D37E692" w:rsidRPr="00565948">
        <w:rPr>
          <w:bCs/>
        </w:rPr>
        <w:t xml:space="preserve">penalising </w:t>
      </w:r>
      <w:r w:rsidR="00A64925" w:rsidRPr="00565948">
        <w:rPr>
          <w:bCs/>
        </w:rPr>
        <w:t xml:space="preserve">companies for taking risks by increasing the </w:t>
      </w:r>
      <w:r w:rsidR="00785D2D" w:rsidRPr="00565948">
        <w:rPr>
          <w:bCs/>
        </w:rPr>
        <w:t>impact</w:t>
      </w:r>
      <w:r w:rsidR="00A64925" w:rsidRPr="00565948">
        <w:rPr>
          <w:bCs/>
        </w:rPr>
        <w:t xml:space="preserve"> of losses.</w:t>
      </w:r>
    </w:p>
    <w:p w14:paraId="70677ACC" w14:textId="3576D4DC" w:rsidR="00166266" w:rsidRDefault="002B2DA0" w:rsidP="008A7FEE">
      <w:pPr>
        <w:pStyle w:val="ListBullet"/>
        <w:numPr>
          <w:ilvl w:val="0"/>
          <w:numId w:val="17"/>
        </w:numPr>
      </w:pPr>
      <w:r w:rsidRPr="00666BDD">
        <w:rPr>
          <w:b/>
        </w:rPr>
        <w:t>The tax rate is prohibitively</w:t>
      </w:r>
      <w:r w:rsidRPr="00FE3A3C">
        <w:t xml:space="preserve"> </w:t>
      </w:r>
      <w:r w:rsidRPr="001174D0">
        <w:rPr>
          <w:b/>
        </w:rPr>
        <w:t>high</w:t>
      </w:r>
      <w:r w:rsidRPr="009F6D03">
        <w:t>:</w:t>
      </w:r>
      <w:r>
        <w:t xml:space="preserve"> </w:t>
      </w:r>
      <w:r w:rsidR="001618C7">
        <w:t xml:space="preserve">Australia’s company income tax rate is among the highest in the OECD. This has the impact of </w:t>
      </w:r>
      <w:r w:rsidR="007B779A">
        <w:t xml:space="preserve">discouraging </w:t>
      </w:r>
      <w:r w:rsidR="00874BBF">
        <w:t xml:space="preserve">investment and foreign entry, as well as exacerbating the distortions </w:t>
      </w:r>
      <w:r w:rsidR="004A1609">
        <w:t>outlined above</w:t>
      </w:r>
      <w:r w:rsidR="00FB39D9">
        <w:t xml:space="preserve"> </w:t>
      </w:r>
      <w:r w:rsidR="00AC3D88" w:rsidRPr="00AC3D88">
        <w:rPr>
          <w:rFonts w:ascii="Arial" w:hAnsi="Arial" w:cs="Arial"/>
        </w:rPr>
        <w:t>(PC 2025c, pp. 13–14)</w:t>
      </w:r>
      <w:r w:rsidR="004A1609">
        <w:t>.</w:t>
      </w:r>
    </w:p>
    <w:p w14:paraId="49AFBB4C" w14:textId="090A391F" w:rsidR="00023549" w:rsidRDefault="00701668" w:rsidP="00765568">
      <w:pPr>
        <w:pStyle w:val="BodyText"/>
      </w:pPr>
      <w:r>
        <w:t>Addressing</w:t>
      </w:r>
      <w:r w:rsidR="001D1502">
        <w:t xml:space="preserve"> </w:t>
      </w:r>
      <w:r w:rsidR="00FB5091">
        <w:t>the</w:t>
      </w:r>
      <w:r w:rsidR="000A425B">
        <w:t>se distortion</w:t>
      </w:r>
      <w:r w:rsidR="008F2BF5">
        <w:t xml:space="preserve">s </w:t>
      </w:r>
      <w:r>
        <w:t xml:space="preserve">would </w:t>
      </w:r>
      <w:r w:rsidR="008C7AE2">
        <w:t>focus</w:t>
      </w:r>
      <w:r w:rsidR="00D72C1A">
        <w:t xml:space="preserve"> </w:t>
      </w:r>
      <w:r w:rsidR="00164989">
        <w:t xml:space="preserve">taxation </w:t>
      </w:r>
      <w:r w:rsidR="745326D6">
        <w:t xml:space="preserve">more </w:t>
      </w:r>
      <w:proofErr w:type="gramStart"/>
      <w:r w:rsidR="745326D6">
        <w:t>towards</w:t>
      </w:r>
      <w:proofErr w:type="gramEnd"/>
      <w:r w:rsidR="745326D6">
        <w:t xml:space="preserve"> </w:t>
      </w:r>
      <w:r w:rsidR="008C7AE2">
        <w:t xml:space="preserve">rents, </w:t>
      </w:r>
      <w:r w:rsidR="0078626A">
        <w:t>improving</w:t>
      </w:r>
      <w:r w:rsidR="001F1583">
        <w:t xml:space="preserve"> investment, economic dynamism and productivity.</w:t>
      </w:r>
      <w:r w:rsidR="00023549">
        <w:t xml:space="preserve"> </w:t>
      </w:r>
      <w:r w:rsidR="003625A7">
        <w:t xml:space="preserve">While there are </w:t>
      </w:r>
      <w:r w:rsidR="009F349A">
        <w:t>several</w:t>
      </w:r>
      <w:r w:rsidR="003625A7">
        <w:t xml:space="preserve"> a</w:t>
      </w:r>
      <w:r w:rsidR="00023549">
        <w:t>pproaches to reducing these distortions</w:t>
      </w:r>
      <w:r w:rsidR="00907618">
        <w:t xml:space="preserve">, the </w:t>
      </w:r>
      <w:r w:rsidR="0012645B">
        <w:t xml:space="preserve">PC’s </w:t>
      </w:r>
      <w:r w:rsidR="00CF217B">
        <w:t>recommended approach</w:t>
      </w:r>
      <w:r w:rsidR="00023549">
        <w:t xml:space="preserve"> </w:t>
      </w:r>
      <w:r w:rsidR="00F6298A">
        <w:t>(while remaining budget neutral within the corporate tax system</w:t>
      </w:r>
      <w:r w:rsidR="002B335D">
        <w:t>) is</w:t>
      </w:r>
      <w:r w:rsidR="00D75689">
        <w:t xml:space="preserve"> </w:t>
      </w:r>
      <w:r w:rsidR="66242DE7">
        <w:t xml:space="preserve">to </w:t>
      </w:r>
      <w:r w:rsidR="00964789">
        <w:t>l</w:t>
      </w:r>
      <w:r w:rsidR="00023549">
        <w:t>ower</w:t>
      </w:r>
      <w:r w:rsidR="65F46ACF">
        <w:t xml:space="preserve"> </w:t>
      </w:r>
      <w:r w:rsidR="00023549">
        <w:t xml:space="preserve">the company income tax rate </w:t>
      </w:r>
      <w:r w:rsidR="6AF8E5D3">
        <w:t xml:space="preserve">for </w:t>
      </w:r>
      <w:r w:rsidR="00023549">
        <w:t>a</w:t>
      </w:r>
      <w:r w:rsidR="6AF8E5D3">
        <w:t xml:space="preserve">ll companies </w:t>
      </w:r>
      <w:r w:rsidR="00023549">
        <w:t xml:space="preserve">and </w:t>
      </w:r>
      <w:r w:rsidR="6F30B408">
        <w:t xml:space="preserve">partially </w:t>
      </w:r>
      <w:r w:rsidR="00023549">
        <w:t>fund</w:t>
      </w:r>
      <w:r w:rsidR="63A28781">
        <w:t xml:space="preserve"> the revenue shortfall </w:t>
      </w:r>
      <w:r w:rsidR="00023549">
        <w:t xml:space="preserve">with a net cashflow tax </w:t>
      </w:r>
      <w:r w:rsidR="50BABD38">
        <w:t xml:space="preserve">on all companies, </w:t>
      </w:r>
      <w:r w:rsidR="00023549">
        <w:t xml:space="preserve">which </w:t>
      </w:r>
      <w:r w:rsidR="73C3F984">
        <w:t>would</w:t>
      </w:r>
      <w:r w:rsidR="00023549">
        <w:t xml:space="preserve"> better target excess profits</w:t>
      </w:r>
      <w:r w:rsidR="005C03A9">
        <w:t>.</w:t>
      </w:r>
    </w:p>
    <w:p w14:paraId="5910154D" w14:textId="44794A64" w:rsidR="00ED4494" w:rsidRDefault="008F5FF9" w:rsidP="00ED4494">
      <w:pPr>
        <w:pStyle w:val="BodyText"/>
      </w:pPr>
      <w:r>
        <w:t xml:space="preserve">If the government identifies savings opportunities elsewhere in the budget, </w:t>
      </w:r>
      <w:r w:rsidR="00BB48F4">
        <w:t>other options include:</w:t>
      </w:r>
    </w:p>
    <w:p w14:paraId="65D5563D" w14:textId="7F1A4D01" w:rsidR="00193BC6" w:rsidRDefault="005543D1" w:rsidP="008A7FEE">
      <w:pPr>
        <w:pStyle w:val="ListBullet"/>
        <w:numPr>
          <w:ilvl w:val="0"/>
          <w:numId w:val="17"/>
        </w:numPr>
      </w:pPr>
      <w:r>
        <w:t>i</w:t>
      </w:r>
      <w:r w:rsidR="00023549">
        <w:t xml:space="preserve">ntroducing a partial expensing model (which allows </w:t>
      </w:r>
      <w:r w:rsidR="00CB5879">
        <w:t>a third of</w:t>
      </w:r>
      <w:r w:rsidR="00023549">
        <w:t xml:space="preserve"> </w:t>
      </w:r>
      <w:r w:rsidR="00087F91">
        <w:t>capital expenditure to be expensed)</w:t>
      </w:r>
    </w:p>
    <w:p w14:paraId="52131D47" w14:textId="1E217308" w:rsidR="00193BC6" w:rsidRDefault="00BB23C4" w:rsidP="008A7FEE">
      <w:pPr>
        <w:pStyle w:val="ListBullet"/>
        <w:numPr>
          <w:ilvl w:val="0"/>
          <w:numId w:val="17"/>
        </w:numPr>
      </w:pPr>
      <w:r>
        <w:t>i</w:t>
      </w:r>
      <w:r w:rsidR="000E2C7A">
        <w:t>ntroducing</w:t>
      </w:r>
      <w:r w:rsidR="00087F91">
        <w:t xml:space="preserve"> a</w:t>
      </w:r>
      <w:r w:rsidR="00CB5879">
        <w:t xml:space="preserve"> 2.5% </w:t>
      </w:r>
      <w:r w:rsidR="00087F91">
        <w:t>allowance for corporate equity</w:t>
      </w:r>
    </w:p>
    <w:p w14:paraId="08B44FDA" w14:textId="27E9DEBF" w:rsidR="00CB5879" w:rsidRDefault="00BB23C4" w:rsidP="008A7FEE">
      <w:pPr>
        <w:pStyle w:val="ListBullet"/>
        <w:numPr>
          <w:ilvl w:val="0"/>
          <w:numId w:val="17"/>
        </w:numPr>
      </w:pPr>
      <w:r>
        <w:t>l</w:t>
      </w:r>
      <w:r w:rsidR="00CB5879">
        <w:t>owering the company income tax rate to a uniform 25%</w:t>
      </w:r>
      <w:r>
        <w:t>.</w:t>
      </w:r>
    </w:p>
    <w:p w14:paraId="4B01B664" w14:textId="4395CFF4" w:rsidR="004606F7" w:rsidRPr="00F82BD9" w:rsidRDefault="004606F7" w:rsidP="004B292F">
      <w:pPr>
        <w:pStyle w:val="NoSpacing"/>
      </w:pPr>
    </w:p>
    <w:tbl>
      <w:tblPr>
        <w:tblStyle w:val="Boxtable"/>
        <w:tblW w:w="5000" w:type="pct"/>
        <w:tblLook w:val="04A0" w:firstRow="1" w:lastRow="0" w:firstColumn="1" w:lastColumn="0" w:noHBand="0" w:noVBand="1"/>
      </w:tblPr>
      <w:tblGrid>
        <w:gridCol w:w="9638"/>
      </w:tblGrid>
      <w:tr w:rsidR="004606F7" w14:paraId="0573A0C6" w14:textId="77777777" w:rsidTr="004B292F">
        <w:trPr>
          <w:tblHeader/>
        </w:trPr>
        <w:tc>
          <w:tcPr>
            <w:tcW w:w="9638" w:type="dxa"/>
            <w:shd w:val="clear" w:color="auto" w:fill="EBEBEB"/>
            <w:tcMar>
              <w:top w:w="170" w:type="dxa"/>
              <w:left w:w="170" w:type="dxa"/>
              <w:bottom w:w="113" w:type="dxa"/>
              <w:right w:w="170" w:type="dxa"/>
            </w:tcMar>
            <w:hideMark/>
          </w:tcPr>
          <w:p w14:paraId="1BBEE569" w14:textId="1CD47915" w:rsidR="004606F7" w:rsidRDefault="0019405E">
            <w:pPr>
              <w:pStyle w:val="BoxHeading1"/>
            </w:pPr>
            <w:r>
              <w:t>Key takeaways – Australia’s tax system and impacts on productivity</w:t>
            </w:r>
          </w:p>
        </w:tc>
      </w:tr>
      <w:tr w:rsidR="0019405E" w14:paraId="1E21E7D6" w14:textId="77777777" w:rsidTr="004B292F">
        <w:tc>
          <w:tcPr>
            <w:tcW w:w="9638" w:type="dxa"/>
            <w:shd w:val="clear" w:color="auto" w:fill="EBEBEB"/>
            <w:tcMar>
              <w:top w:w="28" w:type="dxa"/>
              <w:left w:w="170" w:type="dxa"/>
              <w:bottom w:w="170" w:type="dxa"/>
              <w:right w:w="170" w:type="dxa"/>
            </w:tcMar>
            <w:hideMark/>
          </w:tcPr>
          <w:p w14:paraId="4BDF9392" w14:textId="77777777" w:rsidR="0019405E" w:rsidRDefault="0019405E" w:rsidP="004B292F">
            <w:pPr>
              <w:pStyle w:val="BodyText"/>
              <w:spacing w:before="94" w:after="94"/>
            </w:pPr>
            <w:r>
              <w:t>Australia should systematically transition its tax system to be more supportive of productivity growth. To achieve this outcome, the Australian Government should:</w:t>
            </w:r>
          </w:p>
          <w:p w14:paraId="5B2D1DE8" w14:textId="67EFF30D" w:rsidR="0019405E" w:rsidRDefault="0019405E" w:rsidP="004B292F">
            <w:pPr>
              <w:pStyle w:val="ListBullet"/>
              <w:numPr>
                <w:ilvl w:val="0"/>
                <w:numId w:val="17"/>
              </w:numPr>
              <w:spacing w:before="94" w:after="94"/>
              <w:ind w:left="179" w:hanging="179"/>
            </w:pPr>
            <w:r>
              <w:rPr>
                <w:b/>
                <w:bCs/>
              </w:rPr>
              <w:t>r</w:t>
            </w:r>
            <w:r w:rsidRPr="009F6D03">
              <w:rPr>
                <w:b/>
                <w:bCs/>
              </w:rPr>
              <w:t>educe its reliance on more distortionary taxes</w:t>
            </w:r>
            <w:r>
              <w:rPr>
                <w:b/>
              </w:rPr>
              <w:t xml:space="preserve"> </w:t>
            </w:r>
            <w:r w:rsidR="00977BB9" w:rsidRPr="00D85E75">
              <w:rPr>
                <w:rFonts w:ascii="Arial" w:hAnsi="Arial" w:cs="Arial"/>
              </w:rPr>
              <w:t>(PC 2023a)</w:t>
            </w:r>
            <w:r>
              <w:t xml:space="preserve">: At a system-wide level, this would involve reducing dependence upon forms of taxation which: distort labour market participation decisions; treat savings and investment choices in a non-neutral manner; or inhibit </w:t>
            </w:r>
            <w:r w:rsidRPr="00D22584">
              <w:t>capital mobility, competition and risk-taking</w:t>
            </w:r>
          </w:p>
          <w:p w14:paraId="6CE12D43" w14:textId="039E576D" w:rsidR="0019405E" w:rsidRDefault="0019405E" w:rsidP="004B292F">
            <w:pPr>
              <w:pStyle w:val="ListBullet"/>
              <w:numPr>
                <w:ilvl w:val="0"/>
                <w:numId w:val="17"/>
              </w:numPr>
              <w:spacing w:before="94" w:after="94"/>
              <w:ind w:left="179" w:hanging="179"/>
            </w:pPr>
            <w:r>
              <w:rPr>
                <w:b/>
                <w:bCs/>
              </w:rPr>
              <w:t>l</w:t>
            </w:r>
            <w:r w:rsidRPr="009F6D03">
              <w:rPr>
                <w:b/>
                <w:bCs/>
              </w:rPr>
              <w:t>ower the taxation of normal returns</w:t>
            </w:r>
            <w:r>
              <w:rPr>
                <w:b/>
              </w:rPr>
              <w:t xml:space="preserve"> </w:t>
            </w:r>
            <w:r w:rsidRPr="00A34EE6">
              <w:rPr>
                <w:rFonts w:ascii="Arial" w:hAnsi="Arial" w:cs="Arial"/>
              </w:rPr>
              <w:t>(PC 2025b)</w:t>
            </w:r>
            <w:r>
              <w:t>: At the corporate tax level, this would involve implementing reforms by either:</w:t>
            </w:r>
          </w:p>
          <w:p w14:paraId="0B65C503" w14:textId="77777777" w:rsidR="00AD194D" w:rsidRDefault="0019405E" w:rsidP="00E83667">
            <w:pPr>
              <w:pStyle w:val="ListBullet2"/>
              <w:numPr>
                <w:ilvl w:val="1"/>
                <w:numId w:val="17"/>
              </w:numPr>
              <w:spacing w:before="94" w:after="94"/>
              <w:ind w:left="358" w:hanging="179"/>
            </w:pPr>
            <w:r>
              <w:t>m</w:t>
            </w:r>
            <w:r w:rsidRPr="008F2706">
              <w:t>aintaining medium-term budget neutrality by introducing a 5% net cashflow tax to fund a reduction in the company income tax rate</w:t>
            </w:r>
            <w:r w:rsidR="00FA3735">
              <w:t xml:space="preserve"> </w:t>
            </w:r>
          </w:p>
          <w:p w14:paraId="2A2D1240" w14:textId="41542C48" w:rsidR="0019405E" w:rsidRDefault="0019405E" w:rsidP="00A55D7B">
            <w:pPr>
              <w:pStyle w:val="ListBullet2"/>
              <w:numPr>
                <w:ilvl w:val="1"/>
                <w:numId w:val="17"/>
              </w:numPr>
              <w:spacing w:before="94" w:after="240"/>
              <w:ind w:left="358" w:hanging="179"/>
            </w:pPr>
            <w:r>
              <w:t>implementing either a partial expensing model, an allowance for corporate equity or</w:t>
            </w:r>
            <w:r w:rsidR="00EB54F7">
              <w:t xml:space="preserve"> </w:t>
            </w:r>
            <w:r>
              <w:t>a simple reduction to the company income tax rate, at a long-term structural cost to the budget.</w:t>
            </w:r>
          </w:p>
        </w:tc>
      </w:tr>
      <w:tr w:rsidR="004606F7" w14:paraId="33A21B44" w14:textId="77777777" w:rsidTr="004B292F">
        <w:trPr>
          <w:hidden/>
        </w:trPr>
        <w:tc>
          <w:tcPr>
            <w:tcW w:w="9638" w:type="dxa"/>
            <w:shd w:val="clear" w:color="auto" w:fill="auto"/>
            <w:tcMar>
              <w:top w:w="0" w:type="dxa"/>
              <w:left w:w="170" w:type="dxa"/>
              <w:bottom w:w="0" w:type="dxa"/>
              <w:right w:w="170" w:type="dxa"/>
            </w:tcMar>
          </w:tcPr>
          <w:p w14:paraId="7A052D27" w14:textId="45551DB5" w:rsidR="004606F7" w:rsidRPr="00465191" w:rsidRDefault="004606F7">
            <w:pPr>
              <w:pStyle w:val="BodyText"/>
              <w:spacing w:before="0" w:after="0" w:line="80" w:lineRule="atLeast"/>
              <w:rPr>
                <w:smallCaps/>
                <w:vanish/>
              </w:rPr>
            </w:pPr>
          </w:p>
        </w:tc>
      </w:tr>
    </w:tbl>
    <w:p w14:paraId="4F888B66" w14:textId="46167867" w:rsidR="007F7F2E" w:rsidRDefault="007F7F2E" w:rsidP="009F6D03">
      <w:pPr>
        <w:pStyle w:val="Heading2-nonumber"/>
      </w:pPr>
      <w:bookmarkStart w:id="6" w:name="_Toc219280604"/>
      <w:r w:rsidRPr="007F7F2E">
        <w:t>Freight supply chains</w:t>
      </w:r>
      <w:bookmarkEnd w:id="6"/>
    </w:p>
    <w:p w14:paraId="07B4B9CE" w14:textId="77777777" w:rsidR="00DA13B7" w:rsidRPr="00E67ED9" w:rsidRDefault="00DA13B7" w:rsidP="0038624B">
      <w:pPr>
        <w:pStyle w:val="Heading3"/>
      </w:pPr>
      <w:r w:rsidRPr="00E67ED9">
        <w:t>Efficient supply chains are enablers of economic growth</w:t>
      </w:r>
    </w:p>
    <w:p w14:paraId="4C0A168B" w14:textId="1CEE7575" w:rsidR="00DA13B7" w:rsidRPr="000C3656" w:rsidRDefault="002514B5" w:rsidP="008F2CF7">
      <w:pPr>
        <w:pStyle w:val="BodyText"/>
      </w:pPr>
      <w:r>
        <w:t>The physical movement of goods to and from Australia, and within Australia, is accomplished by our freight system.</w:t>
      </w:r>
      <w:r w:rsidRPr="000C3656">
        <w:t xml:space="preserve"> </w:t>
      </w:r>
      <w:r w:rsidR="00DA13B7" w:rsidRPr="000C3656">
        <w:t>The domestic freight task is carried mainly by rail (57</w:t>
      </w:r>
      <w:r w:rsidR="002749B2">
        <w:t>%</w:t>
      </w:r>
      <w:r w:rsidR="00DA13B7" w:rsidRPr="000C3656">
        <w:t>) and road (28</w:t>
      </w:r>
      <w:r w:rsidR="002749B2">
        <w:t>%</w:t>
      </w:r>
      <w:r w:rsidR="00DA13B7" w:rsidRPr="000C3656">
        <w:t>), with heavy vehicles transporting over 94</w:t>
      </w:r>
      <w:r w:rsidR="002749B2">
        <w:t>%</w:t>
      </w:r>
      <w:r w:rsidR="00DA13B7" w:rsidRPr="000C3656">
        <w:t xml:space="preserve"> of road freight</w:t>
      </w:r>
      <w:r w:rsidR="00CF6E13">
        <w:t xml:space="preserve"> </w:t>
      </w:r>
      <w:r w:rsidR="000160DD" w:rsidRPr="000160DD">
        <w:rPr>
          <w:rFonts w:ascii="Arial" w:hAnsi="Arial" w:cs="Arial"/>
        </w:rPr>
        <w:t>(PC 2020b, p. 39)</w:t>
      </w:r>
      <w:r w:rsidR="00DA13B7" w:rsidRPr="000C3656">
        <w:t>.</w:t>
      </w:r>
      <w:r w:rsidR="00DA13B7" w:rsidRPr="000C3656">
        <w:rPr>
          <w:vertAlign w:val="superscript"/>
        </w:rPr>
        <w:t xml:space="preserve"> </w:t>
      </w:r>
      <w:r w:rsidR="00DA13B7" w:rsidRPr="000C3656">
        <w:t>Coastal shipping accounts for a further 14</w:t>
      </w:r>
      <w:r w:rsidR="00A13DCC">
        <w:t>%</w:t>
      </w:r>
      <w:r w:rsidR="00DA13B7" w:rsidRPr="000C3656">
        <w:t>, and air freight less than 1</w:t>
      </w:r>
      <w:r w:rsidR="002749B2">
        <w:t>%</w:t>
      </w:r>
      <w:r w:rsidR="007511A1">
        <w:t xml:space="preserve"> </w:t>
      </w:r>
      <w:r w:rsidR="000160DD" w:rsidRPr="000160DD">
        <w:rPr>
          <w:rFonts w:ascii="Arial" w:hAnsi="Arial" w:cs="Arial"/>
        </w:rPr>
        <w:t>(PC 2020b, p. 39)</w:t>
      </w:r>
      <w:r w:rsidR="00DA13B7" w:rsidRPr="000C3656">
        <w:t>.</w:t>
      </w:r>
      <w:r w:rsidR="007511A1">
        <w:t xml:space="preserve"> </w:t>
      </w:r>
      <w:r w:rsidR="00DA13B7" w:rsidRPr="000C3656">
        <w:t>Together, freight supply chains connect virtually all parts of the economy, supporting trade, production and consumption</w:t>
      </w:r>
      <w:r w:rsidR="009117BE">
        <w:t xml:space="preserve"> – </w:t>
      </w:r>
      <w:r w:rsidR="00DA13B7" w:rsidRPr="000C3656">
        <w:t>key drivers of economic growth and productivity.</w:t>
      </w:r>
    </w:p>
    <w:p w14:paraId="55DDA4CF" w14:textId="21231EF2" w:rsidR="00C02250" w:rsidRPr="00C02250" w:rsidRDefault="00DA13B7" w:rsidP="008F2CF7">
      <w:pPr>
        <w:pStyle w:val="BodyText"/>
        <w:rPr>
          <w:rStyle w:val="normaltextrun"/>
        </w:rPr>
      </w:pPr>
      <w:r>
        <w:lastRenderedPageBreak/>
        <w:t xml:space="preserve">Evidence suggests that </w:t>
      </w:r>
      <w:r w:rsidRPr="000C3656">
        <w:t xml:space="preserve">productivity has improved </w:t>
      </w:r>
      <w:r w:rsidR="00586DE3">
        <w:t xml:space="preserve">over the long-term </w:t>
      </w:r>
      <w:r w:rsidRPr="000C3656">
        <w:t xml:space="preserve">in Australia’s freight sector. </w:t>
      </w:r>
      <w:r w:rsidR="000B4970">
        <w:t>Productivity</w:t>
      </w:r>
      <w:r w:rsidRPr="000C3656">
        <w:t xml:space="preserve"> growth in transport, postal and warehousing rose steadily from the 1990s, although has </w:t>
      </w:r>
      <w:r w:rsidR="00DD25A4">
        <w:t>fluctuated more recently</w:t>
      </w:r>
      <w:r w:rsidRPr="000C3656">
        <w:t xml:space="preserve"> (figure </w:t>
      </w:r>
      <w:r w:rsidR="008F2CF7">
        <w:t>1</w:t>
      </w:r>
      <w:r w:rsidR="003E3EB9">
        <w:t>0</w:t>
      </w:r>
      <w:r w:rsidRPr="000C3656">
        <w:t>)</w:t>
      </w:r>
      <w:r w:rsidR="00F72A05">
        <w:t>.</w:t>
      </w:r>
      <w:r>
        <w:t xml:space="preserve"> The sector’s labour productivity </w:t>
      </w:r>
      <w:r w:rsidR="001E67DD">
        <w:t xml:space="preserve">growth was stronger than </w:t>
      </w:r>
      <w:r w:rsidRPr="00915B50">
        <w:t xml:space="preserve">the economy-wide trend, </w:t>
      </w:r>
      <w:r w:rsidR="001F60A6">
        <w:t>though with</w:t>
      </w:r>
      <w:r w:rsidRPr="00915B50">
        <w:t xml:space="preserve"> greater v</w:t>
      </w:r>
      <w:r w:rsidR="001F60A6">
        <w:t>ariability</w:t>
      </w:r>
      <w:r w:rsidRPr="00915B50">
        <w:t>.</w:t>
      </w:r>
    </w:p>
    <w:p w14:paraId="4AA66040" w14:textId="5B66F212" w:rsidR="00DA13B7" w:rsidRPr="0088616C" w:rsidRDefault="00DA13B7" w:rsidP="00867DD6">
      <w:pPr>
        <w:pStyle w:val="FigureTableHeading"/>
        <w:rPr>
          <w:rFonts w:cs="Segoe UI"/>
          <w:shd w:val="clear" w:color="auto" w:fill="E1E3E6"/>
        </w:rPr>
      </w:pPr>
      <w:r>
        <w:rPr>
          <w:rStyle w:val="normaltextrun"/>
          <w:rFonts w:ascii="Arial Black" w:hAnsi="Arial Black"/>
          <w:color w:val="000000"/>
          <w:shd w:val="clear" w:color="auto" w:fill="FFFFFF"/>
          <w:lang w:val="en-GB"/>
        </w:rPr>
        <w:t xml:space="preserve">Figure </w:t>
      </w:r>
      <w:r w:rsidR="00A210A2">
        <w:rPr>
          <w:rStyle w:val="normaltextrun"/>
          <w:rFonts w:ascii="Arial Black" w:hAnsi="Arial Black"/>
          <w:color w:val="000000"/>
          <w:shd w:val="clear" w:color="auto" w:fill="FFFFFF"/>
          <w:lang w:val="en-GB"/>
        </w:rPr>
        <w:t>1</w:t>
      </w:r>
      <w:r w:rsidR="003E3EB9">
        <w:rPr>
          <w:rStyle w:val="normaltextrun"/>
          <w:rFonts w:ascii="Arial Black" w:hAnsi="Arial Black"/>
          <w:color w:val="000000"/>
          <w:shd w:val="clear" w:color="auto" w:fill="FFFFFF"/>
          <w:lang w:val="en-GB"/>
        </w:rPr>
        <w:t>0</w:t>
      </w:r>
      <w:r>
        <w:rPr>
          <w:rStyle w:val="normaltextrun"/>
          <w:rFonts w:ascii="Arial Black" w:hAnsi="Arial Black"/>
          <w:color w:val="000000"/>
          <w:shd w:val="clear" w:color="auto" w:fill="FFFFFF"/>
          <w:lang w:val="en-GB"/>
        </w:rPr>
        <w:t> </w:t>
      </w:r>
      <w:r w:rsidRPr="00A3373B">
        <w:rPr>
          <w:rStyle w:val="normaltextrun"/>
          <w:rFonts w:ascii="Arial Black" w:hAnsi="Arial Black"/>
          <w:color w:val="000000"/>
          <w:shd w:val="clear" w:color="auto" w:fill="FFFFFF"/>
          <w:lang w:val="en-GB"/>
        </w:rPr>
        <w:t>–</w:t>
      </w:r>
      <w:r>
        <w:rPr>
          <w:rStyle w:val="normaltextrun"/>
          <w:rFonts w:ascii="Arial Black" w:hAnsi="Arial Black"/>
          <w:color w:val="000000"/>
          <w:shd w:val="clear" w:color="auto" w:fill="FFFFFF"/>
          <w:lang w:val="en-GB"/>
        </w:rPr>
        <w:t> </w:t>
      </w:r>
      <w:r w:rsidR="0013619E">
        <w:rPr>
          <w:rStyle w:val="normaltextrun"/>
          <w:rFonts w:ascii="Arial Black" w:hAnsi="Arial Black"/>
          <w:color w:val="000000"/>
          <w:shd w:val="clear" w:color="auto" w:fill="FFFFFF"/>
          <w:lang w:val="en-GB"/>
        </w:rPr>
        <w:t>Productivity</w:t>
      </w:r>
      <w:r w:rsidR="006C2748">
        <w:rPr>
          <w:rStyle w:val="normaltextrun"/>
          <w:rFonts w:ascii="Arial Black" w:hAnsi="Arial Black"/>
          <w:color w:val="000000"/>
          <w:shd w:val="clear" w:color="auto" w:fill="FFFFFF"/>
          <w:lang w:val="en-GB"/>
        </w:rPr>
        <w:t xml:space="preserve"> in the</w:t>
      </w:r>
      <w:r>
        <w:rPr>
          <w:rStyle w:val="normaltextrun"/>
          <w:rFonts w:ascii="Arial Black" w:hAnsi="Arial Black"/>
          <w:color w:val="000000"/>
          <w:shd w:val="clear" w:color="auto" w:fill="FFFFFF"/>
          <w:lang w:val="en-GB"/>
        </w:rPr>
        <w:t xml:space="preserve"> transport, postal and warehousing </w:t>
      </w:r>
      <w:r w:rsidR="005D5998">
        <w:rPr>
          <w:rStyle w:val="normaltextrun"/>
          <w:rFonts w:ascii="Arial Black" w:hAnsi="Arial Black"/>
          <w:color w:val="000000"/>
          <w:shd w:val="clear" w:color="auto" w:fill="FFFFFF"/>
          <w:lang w:val="en-GB"/>
        </w:rPr>
        <w:t>industry</w:t>
      </w:r>
      <w:r>
        <w:rPr>
          <w:rStyle w:val="normaltextrun"/>
          <w:rFonts w:ascii="Arial Black" w:hAnsi="Arial Black"/>
          <w:color w:val="000000"/>
          <w:shd w:val="clear" w:color="auto" w:fill="FFFFFF"/>
          <w:lang w:val="en-GB"/>
        </w:rPr>
        <w:t xml:space="preserve"> has increased </w:t>
      </w:r>
      <w:r w:rsidR="003F6EC5">
        <w:rPr>
          <w:rStyle w:val="normaltextrun"/>
          <w:rFonts w:ascii="Arial Black" w:hAnsi="Arial Black"/>
          <w:color w:val="000000"/>
          <w:shd w:val="clear" w:color="auto" w:fill="FFFFFF"/>
          <w:lang w:val="en-GB"/>
        </w:rPr>
        <w:t xml:space="preserve">more than </w:t>
      </w:r>
      <w:r w:rsidR="00A57BAF">
        <w:rPr>
          <w:rStyle w:val="normaltextrun"/>
          <w:rFonts w:ascii="Arial Black" w:hAnsi="Arial Black"/>
          <w:color w:val="000000"/>
          <w:shd w:val="clear" w:color="auto" w:fill="FFFFFF"/>
          <w:lang w:val="en-GB"/>
        </w:rPr>
        <w:t xml:space="preserve">productivity in </w:t>
      </w:r>
      <w:r w:rsidR="003F6EC5">
        <w:rPr>
          <w:rStyle w:val="normaltextrun"/>
          <w:rFonts w:ascii="Arial Black" w:hAnsi="Arial Black"/>
          <w:color w:val="000000"/>
          <w:shd w:val="clear" w:color="auto" w:fill="FFFFFF"/>
          <w:lang w:val="en-GB"/>
        </w:rPr>
        <w:t xml:space="preserve">the </w:t>
      </w:r>
      <w:r>
        <w:rPr>
          <w:rStyle w:val="normaltextrun"/>
          <w:rFonts w:ascii="Arial Black" w:hAnsi="Arial Black"/>
          <w:color w:val="000000"/>
          <w:shd w:val="clear" w:color="auto" w:fill="FFFFFF"/>
          <w:lang w:val="en-GB"/>
        </w:rPr>
        <w:t xml:space="preserve">whole economy </w:t>
      </w:r>
      <w:r w:rsidR="00E7495B">
        <w:rPr>
          <w:rStyle w:val="normaltextrun"/>
          <w:rFonts w:ascii="Arial Black" w:hAnsi="Arial Black"/>
          <w:color w:val="000000"/>
          <w:shd w:val="clear" w:color="auto" w:fill="FFFFFF"/>
          <w:lang w:val="en-GB"/>
        </w:rPr>
        <w:t>over the long</w:t>
      </w:r>
      <w:r w:rsidR="00A57BAF">
        <w:rPr>
          <w:rStyle w:val="normaltextrun"/>
          <w:rFonts w:ascii="Arial Black" w:hAnsi="Arial Black"/>
          <w:color w:val="000000"/>
          <w:shd w:val="clear" w:color="auto" w:fill="FFFFFF"/>
          <w:lang w:val="en-GB"/>
        </w:rPr>
        <w:t>er</w:t>
      </w:r>
      <w:r w:rsidR="00E7495B">
        <w:rPr>
          <w:rStyle w:val="normaltextrun"/>
          <w:rFonts w:ascii="Arial Black" w:hAnsi="Arial Black"/>
          <w:color w:val="000000"/>
          <w:shd w:val="clear" w:color="auto" w:fill="FFFFFF"/>
          <w:lang w:val="en-GB"/>
        </w:rPr>
        <w:t xml:space="preserve"> term</w:t>
      </w:r>
    </w:p>
    <w:p w14:paraId="6BC75BE0" w14:textId="42414697" w:rsidR="00DA13B7" w:rsidRDefault="00E00EEA" w:rsidP="005D5624">
      <w:pPr>
        <w:jc w:val="center"/>
        <w:rPr>
          <w:rStyle w:val="normaltextrun"/>
          <w:rFonts w:cs="Arial"/>
          <w:color w:val="000000"/>
          <w:sz w:val="18"/>
          <w:szCs w:val="18"/>
          <w:shd w:val="clear" w:color="auto" w:fill="FFFFFF"/>
        </w:rPr>
      </w:pPr>
      <w:r w:rsidRPr="00E00EEA">
        <w:rPr>
          <w:rStyle w:val="normaltextrun"/>
          <w:noProof/>
        </w:rPr>
        <w:drawing>
          <wp:inline distT="0" distB="0" distL="0" distR="0" wp14:anchorId="63A97BDE" wp14:editId="23C795A5">
            <wp:extent cx="6120130" cy="2877185"/>
            <wp:effectExtent l="0" t="0" r="0" b="0"/>
            <wp:docPr id="35822302" name="Picture 15" descr="This figure is a line chart comparing the change in productivity of the whole Australian economy to the transport, postal and warehousing industry from 1990 to 2024. It shows that the transport, postal and warehousing industry has been consistently above the productivity of the whole Australian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302" name="Picture 15" descr="This figure is a line chart comparing the change in productivity of the whole Australian economy to the transport, postal and warehousing industry from 1990 to 2024. It shows that the transport, postal and warehousing industry has been consistently above the productivity of the whole Australian econom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5A1C9E67" w14:textId="57137E91" w:rsidR="00DA13B7" w:rsidRPr="00FC1AB5" w:rsidRDefault="00CB79DA" w:rsidP="00BC75BA">
      <w:pPr>
        <w:pStyle w:val="Note"/>
        <w:rPr>
          <w:rFonts w:ascii="Arial" w:hAnsi="Arial" w:cs="Arial"/>
          <w:color w:val="000000"/>
          <w:szCs w:val="18"/>
          <w:shd w:val="clear" w:color="auto" w:fill="FFFFFF"/>
        </w:rPr>
      </w:pPr>
      <w:r>
        <w:rPr>
          <w:rStyle w:val="normaltextrun"/>
          <w:rFonts w:cs="Arial"/>
          <w:color w:val="000000"/>
          <w:szCs w:val="18"/>
          <w:shd w:val="clear" w:color="auto" w:fill="FFFFFF"/>
        </w:rPr>
        <w:t xml:space="preserve">The </w:t>
      </w:r>
      <w:r w:rsidR="00CE70A8">
        <w:rPr>
          <w:rStyle w:val="normaltextrun"/>
          <w:rFonts w:cs="Arial"/>
          <w:color w:val="000000"/>
          <w:szCs w:val="18"/>
          <w:shd w:val="clear" w:color="auto" w:fill="FFFFFF"/>
        </w:rPr>
        <w:t>‘</w:t>
      </w:r>
      <w:r>
        <w:rPr>
          <w:rStyle w:val="normaltextrun"/>
          <w:rFonts w:cs="Arial"/>
          <w:color w:val="000000"/>
          <w:szCs w:val="18"/>
          <w:shd w:val="clear" w:color="auto" w:fill="FFFFFF"/>
        </w:rPr>
        <w:t>transport, postal and warehousing</w:t>
      </w:r>
      <w:r w:rsidR="00CE70A8">
        <w:rPr>
          <w:rStyle w:val="normaltextrun"/>
          <w:rFonts w:cs="Arial"/>
          <w:color w:val="000000"/>
          <w:szCs w:val="18"/>
          <w:shd w:val="clear" w:color="auto" w:fill="FFFFFF"/>
        </w:rPr>
        <w:t>’</w:t>
      </w:r>
      <w:r w:rsidR="009027FE">
        <w:rPr>
          <w:rStyle w:val="normaltextrun"/>
          <w:rFonts w:cs="Arial"/>
          <w:color w:val="000000"/>
          <w:szCs w:val="18"/>
          <w:shd w:val="clear" w:color="auto" w:fill="FFFFFF"/>
        </w:rPr>
        <w:t xml:space="preserve"> series</w:t>
      </w:r>
      <w:r>
        <w:rPr>
          <w:rStyle w:val="normaltextrun"/>
          <w:rFonts w:cs="Arial"/>
          <w:color w:val="000000"/>
          <w:szCs w:val="18"/>
          <w:shd w:val="clear" w:color="auto" w:fill="FFFFFF"/>
        </w:rPr>
        <w:t xml:space="preserve"> includes </w:t>
      </w:r>
      <w:r w:rsidR="007F6865">
        <w:rPr>
          <w:rStyle w:val="normaltextrun"/>
          <w:rFonts w:cs="Arial"/>
          <w:color w:val="000000"/>
          <w:szCs w:val="18"/>
          <w:shd w:val="clear" w:color="auto" w:fill="FFFFFF"/>
        </w:rPr>
        <w:t xml:space="preserve">both freight and </w:t>
      </w:r>
      <w:r>
        <w:rPr>
          <w:rStyle w:val="normaltextrun"/>
          <w:rFonts w:cs="Arial"/>
          <w:color w:val="000000"/>
          <w:szCs w:val="18"/>
          <w:shd w:val="clear" w:color="auto" w:fill="FFFFFF"/>
        </w:rPr>
        <w:t>passenger services</w:t>
      </w:r>
      <w:r w:rsidR="00FD1E33">
        <w:rPr>
          <w:rStyle w:val="normaltextrun"/>
          <w:rFonts w:cs="Arial"/>
          <w:color w:val="000000"/>
          <w:szCs w:val="18"/>
          <w:shd w:val="clear" w:color="auto" w:fill="FFFFFF"/>
        </w:rPr>
        <w:t>. Therefore,</w:t>
      </w:r>
      <w:r w:rsidR="00D12554">
        <w:rPr>
          <w:rStyle w:val="normaltextrun"/>
          <w:rFonts w:cs="Arial"/>
          <w:color w:val="000000"/>
          <w:szCs w:val="18"/>
          <w:shd w:val="clear" w:color="auto" w:fill="FFFFFF"/>
        </w:rPr>
        <w:t xml:space="preserve"> it should only be considered indicative of how freight supply chain productivity has performed over time</w:t>
      </w:r>
      <w:r w:rsidR="007F6865">
        <w:rPr>
          <w:rStyle w:val="normaltextrun"/>
          <w:rFonts w:cs="Arial"/>
          <w:color w:val="000000"/>
          <w:szCs w:val="18"/>
          <w:shd w:val="clear" w:color="auto" w:fill="FFFFFF"/>
        </w:rPr>
        <w:t>.</w:t>
      </w:r>
    </w:p>
    <w:p w14:paraId="0D91B99B" w14:textId="5F6FF53A" w:rsidR="007E30A2" w:rsidRPr="00FC1AB5" w:rsidRDefault="007E30A2" w:rsidP="00BC75BA">
      <w:pPr>
        <w:pStyle w:val="Source"/>
        <w:rPr>
          <w:rFonts w:ascii="Arial" w:hAnsi="Arial"/>
          <w:shd w:val="clear" w:color="auto" w:fill="FFFFFF"/>
        </w:rPr>
      </w:pPr>
      <w:r>
        <w:rPr>
          <w:rStyle w:val="normaltextrun"/>
          <w:rFonts w:cs="Arial"/>
          <w:color w:val="000000"/>
          <w:szCs w:val="18"/>
          <w:shd w:val="clear" w:color="auto" w:fill="FFFFFF"/>
        </w:rPr>
        <w:t>Source: PC estimates using ABS </w:t>
      </w:r>
      <w:r w:rsidRPr="001D2702">
        <w:rPr>
          <w:rFonts w:ascii="Arial" w:hAnsi="Arial"/>
        </w:rPr>
        <w:t>(2025b)</w:t>
      </w:r>
      <w:r w:rsidR="00867DD6">
        <w:rPr>
          <w:rStyle w:val="normaltextrun"/>
          <w:rFonts w:cs="Arial"/>
          <w:color w:val="000000"/>
          <w:szCs w:val="18"/>
          <w:shd w:val="clear" w:color="auto" w:fill="FFFFFF"/>
        </w:rPr>
        <w:t>.</w:t>
      </w:r>
    </w:p>
    <w:p w14:paraId="16F5C357" w14:textId="4BF6A137" w:rsidR="00DA13B7" w:rsidRPr="00DA13B7" w:rsidRDefault="007C62C2" w:rsidP="0038624B">
      <w:pPr>
        <w:pStyle w:val="Heading3"/>
      </w:pPr>
      <w:r>
        <w:t>Maritime sector productivity could be improved</w:t>
      </w:r>
    </w:p>
    <w:p w14:paraId="2BD198FC" w14:textId="1CD8B9EF" w:rsidR="004C425A" w:rsidRDefault="00A57BAF" w:rsidP="007F38FB">
      <w:pPr>
        <w:pStyle w:val="BodyText"/>
      </w:pPr>
      <w:r>
        <w:t>In 2022, t</w:t>
      </w:r>
      <w:r w:rsidR="004C425A" w:rsidRPr="00C45040">
        <w:t xml:space="preserve">he </w:t>
      </w:r>
      <w:r w:rsidR="004C425A">
        <w:t>PC estimated that if Australia’s container ports could achieve global average ship turnaround times</w:t>
      </w:r>
      <w:r w:rsidR="001D4168">
        <w:t>,</w:t>
      </w:r>
      <w:r w:rsidR="004C425A">
        <w:t xml:space="preserve"> this could </w:t>
      </w:r>
      <w:r w:rsidR="004C425A" w:rsidRPr="00C45040">
        <w:t>deliver direct cost savings of around $600 million</w:t>
      </w:r>
      <w:r w:rsidR="004C425A">
        <w:t xml:space="preserve"> </w:t>
      </w:r>
      <w:r w:rsidR="004C425A" w:rsidRPr="00F72A05">
        <w:rPr>
          <w:rFonts w:ascii="Arial" w:hAnsi="Arial" w:cs="Arial"/>
        </w:rPr>
        <w:t>(PC 2022, p. 88)</w:t>
      </w:r>
      <w:r w:rsidR="004C425A">
        <w:t>.</w:t>
      </w:r>
      <w:r w:rsidR="004C425A" w:rsidRPr="00C45040">
        <w:t xml:space="preserve"> While private firms drive productivity outcomes, governments </w:t>
      </w:r>
      <w:r w:rsidR="004C425A">
        <w:t xml:space="preserve">could improve </w:t>
      </w:r>
      <w:r w:rsidR="004C425A" w:rsidRPr="00C45040">
        <w:t xml:space="preserve">the regulatory and institutional environment </w:t>
      </w:r>
      <w:r w:rsidR="004C425A">
        <w:t>to help bring about these cost savings</w:t>
      </w:r>
      <w:r w:rsidR="004C425A" w:rsidRPr="00C45040">
        <w:t>.</w:t>
      </w:r>
    </w:p>
    <w:p w14:paraId="387CF6BB" w14:textId="77777777" w:rsidR="003273F9" w:rsidRDefault="003273F9" w:rsidP="003273F9">
      <w:pPr>
        <w:pStyle w:val="BodyText"/>
      </w:pPr>
      <w:r>
        <w:t>The PC recommended:</w:t>
      </w:r>
    </w:p>
    <w:p w14:paraId="2D123D8D" w14:textId="77777777" w:rsidR="003273F9" w:rsidRPr="00867DD6" w:rsidRDefault="003273F9" w:rsidP="00867DD6">
      <w:pPr>
        <w:pStyle w:val="ListBullet"/>
      </w:pPr>
      <w:r w:rsidRPr="00867DD6">
        <w:t>repealing part X of the Competition and Consumer Act 2010 (</w:t>
      </w:r>
      <w:proofErr w:type="spellStart"/>
      <w:r w:rsidRPr="00867DD6">
        <w:t>Cth</w:t>
      </w:r>
      <w:proofErr w:type="spellEnd"/>
      <w:r w:rsidRPr="00867DD6">
        <w:t>), implementing a mandatory container terminal operator code and removing shipping contracts’ exemption from unfair terms provisions in Australian Consumer Law – these recommendations were intended to improve competition</w:t>
      </w:r>
    </w:p>
    <w:p w14:paraId="2FD006FE" w14:textId="77777777" w:rsidR="003273F9" w:rsidRPr="00867DD6" w:rsidRDefault="003273F9" w:rsidP="00867DD6">
      <w:pPr>
        <w:pStyle w:val="ListBullet"/>
      </w:pPr>
      <w:r w:rsidRPr="00867DD6">
        <w:t>a range of changes to workforce arrangements around ports, including prohibiting enterprise agreement content that imposes excessive constraints on productivity, increasing maximum penalties for unlawful industrial action and equipping the Fair Work Commission for an extended role in ports</w:t>
      </w:r>
    </w:p>
    <w:p w14:paraId="5AA8FDA9" w14:textId="77777777" w:rsidR="003273F9" w:rsidRPr="00867DD6" w:rsidRDefault="003273F9" w:rsidP="00867DD6">
      <w:pPr>
        <w:pStyle w:val="ListBullet"/>
      </w:pPr>
      <w:r w:rsidRPr="00867DD6">
        <w:t xml:space="preserve">changes to Australia’s coastal shipping laws to increase competition </w:t>
      </w:r>
    </w:p>
    <w:p w14:paraId="20182FDC" w14:textId="3706DCE6" w:rsidR="003273F9" w:rsidRPr="00867DD6" w:rsidRDefault="003273F9" w:rsidP="00867DD6">
      <w:pPr>
        <w:pStyle w:val="ListBullet"/>
      </w:pPr>
      <w:r w:rsidRPr="00867DD6">
        <w:t>periodic review of the (then) proposed Maritime Strategic Fleet (</w:t>
      </w:r>
      <w:r w:rsidR="009458DD" w:rsidRPr="00867DD6">
        <w:t>t</w:t>
      </w:r>
      <w:r w:rsidRPr="00867DD6">
        <w:t>he PC argued that such a fleet was not needed though.)</w:t>
      </w:r>
    </w:p>
    <w:p w14:paraId="5138601C" w14:textId="08C33B89" w:rsidR="00A322C8" w:rsidRPr="00DA13B7" w:rsidRDefault="006C3069" w:rsidP="0038624B">
      <w:pPr>
        <w:pStyle w:val="Heading3"/>
      </w:pPr>
      <w:r>
        <w:lastRenderedPageBreak/>
        <w:t>Risks to vulnerable s</w:t>
      </w:r>
      <w:r w:rsidR="002301E4">
        <w:t>upply chains</w:t>
      </w:r>
      <w:r>
        <w:t xml:space="preserve"> </w:t>
      </w:r>
      <w:r w:rsidR="00D14163">
        <w:t xml:space="preserve">are best managed by </w:t>
      </w:r>
      <w:r w:rsidR="00407BAF">
        <w:t>users</w:t>
      </w:r>
      <w:r w:rsidR="002301E4">
        <w:t xml:space="preserve"> </w:t>
      </w:r>
    </w:p>
    <w:p w14:paraId="05C77202" w14:textId="25DEE533" w:rsidR="00F501D7" w:rsidRDefault="00DA13B7" w:rsidP="00F501D7">
      <w:pPr>
        <w:pStyle w:val="BodyText"/>
      </w:pPr>
      <w:r w:rsidRPr="001C53C0">
        <w:t>The COVID-19 pandemic heightened concerns about</w:t>
      </w:r>
      <w:r w:rsidR="00384B4C" w:rsidRPr="00384B4C">
        <w:t xml:space="preserve"> </w:t>
      </w:r>
      <w:r w:rsidR="00384B4C">
        <w:t>access to goods and service during international supply chain disruptions</w:t>
      </w:r>
      <w:r w:rsidRPr="001C53C0">
        <w:t xml:space="preserve">. </w:t>
      </w:r>
      <w:r w:rsidR="00BE2C26" w:rsidRPr="001C53C0">
        <w:t xml:space="preserve">In response, the </w:t>
      </w:r>
      <w:r w:rsidR="00BE2C26">
        <w:t xml:space="preserve">PC was asked to </w:t>
      </w:r>
      <w:r w:rsidR="00BE2C26" w:rsidRPr="001C53C0">
        <w:t>examine the nature and sources of risks to the effective functioning of the Australian economy and Australians’ wellbeing arising from disruptions to global supply chains.</w:t>
      </w:r>
      <w:r w:rsidR="003B7C4C">
        <w:t xml:space="preserve"> </w:t>
      </w:r>
      <w:r w:rsidR="00F501D7">
        <w:t xml:space="preserve">The </w:t>
      </w:r>
      <w:r w:rsidR="008C680F" w:rsidRPr="001C53C0">
        <w:rPr>
          <w:i/>
          <w:iCs/>
        </w:rPr>
        <w:t>Vulnerable supply chains</w:t>
      </w:r>
      <w:r w:rsidRPr="001C53C0">
        <w:t xml:space="preserve"> </w:t>
      </w:r>
      <w:r w:rsidR="00083E16">
        <w:t>study</w:t>
      </w:r>
      <w:r w:rsidRPr="001C53C0">
        <w:t xml:space="preserve"> </w:t>
      </w:r>
      <w:r w:rsidR="00F501D7">
        <w:t xml:space="preserve">developed an analytical framework for identifying vulnerable, essential and critical goods and services, and </w:t>
      </w:r>
      <w:r w:rsidR="001738C6">
        <w:t xml:space="preserve">considered </w:t>
      </w:r>
      <w:r w:rsidR="00F501D7">
        <w:t xml:space="preserve">the role of government in managing supply chain risks </w:t>
      </w:r>
      <w:r w:rsidR="00F501D7" w:rsidRPr="00F65C50">
        <w:rPr>
          <w:rFonts w:ascii="Arial" w:hAnsi="Arial" w:cs="Arial"/>
        </w:rPr>
        <w:t>(PC 2021b)</w:t>
      </w:r>
      <w:r w:rsidR="00F501D7">
        <w:t>.</w:t>
      </w:r>
    </w:p>
    <w:p w14:paraId="1015F951" w14:textId="2B315068" w:rsidR="00DA13B7" w:rsidRDefault="00F501D7" w:rsidP="00F501D7">
      <w:pPr>
        <w:pStyle w:val="BodyText"/>
      </w:pPr>
      <w:r>
        <w:t>The PC argued that risks are best managed by those who have direct incentives to mitigate them. Firms generally have good incentives to manage their own risks, using a variety of strategies</w:t>
      </w:r>
      <w:r w:rsidR="003D32CE">
        <w:t>, and</w:t>
      </w:r>
      <w:r>
        <w:t xml:space="preserve"> governments have a responsibility and incentive to manage risks in supply chains where they purchase or deliver goods and services. Government</w:t>
      </w:r>
      <w:r w:rsidR="00001D4E">
        <w:t>s</w:t>
      </w:r>
      <w:r>
        <w:t xml:space="preserve"> can also play a role where there is a divergence between the risk appetite of firms and the community, or where disruptions can have spillover effects or affect national security. The PC also argued that governments could focus their efforts on ensuring firms do not face unnecessary constraints on how they plan for and respond to disruptions</w:t>
      </w:r>
      <w:r w:rsidR="003D32CE">
        <w:t xml:space="preserve"> – f</w:t>
      </w:r>
      <w:r>
        <w:t>or example, removing barriers to trade can give firms greater opportunities to diversify their suppliers</w:t>
      </w:r>
      <w:r w:rsidR="00927F8D">
        <w:t>.</w:t>
      </w:r>
    </w:p>
    <w:p w14:paraId="360A4130" w14:textId="689C4C11" w:rsidR="00DA13B7" w:rsidRPr="00DA13B7" w:rsidRDefault="00DA13B7" w:rsidP="0038624B">
      <w:pPr>
        <w:pStyle w:val="Heading3"/>
      </w:pPr>
      <w:r w:rsidRPr="00DA13B7">
        <w:t xml:space="preserve">Past attempts to harmonise </w:t>
      </w:r>
      <w:r w:rsidR="00400607">
        <w:t xml:space="preserve">national transport </w:t>
      </w:r>
      <w:r w:rsidRPr="00DA13B7">
        <w:t>regulation have delivered limited results</w:t>
      </w:r>
    </w:p>
    <w:p w14:paraId="68F789E1" w14:textId="223F406F" w:rsidR="00DA13B7" w:rsidRDefault="00DA13B7" w:rsidP="007235AF">
      <w:pPr>
        <w:pStyle w:val="BodyText"/>
      </w:pPr>
      <w:r w:rsidRPr="00520C7C">
        <w:t xml:space="preserve">Australian governments worked collaboratively for over a decade to improve freight and passenger transport outcomes through safer and more integrated national transport markets. In this context, the </w:t>
      </w:r>
      <w:r w:rsidR="004770B3">
        <w:t>PC</w:t>
      </w:r>
      <w:r w:rsidRPr="00520C7C">
        <w:t xml:space="preserve"> examined the long-run economic impacts of transport regulatory reforms agreed by the Council of Australian Governments (COAG) in 2008</w:t>
      </w:r>
      <w:r w:rsidR="00A40848">
        <w:rPr>
          <w:rFonts w:ascii="Cambria Math" w:hAnsi="Cambria Math"/>
        </w:rPr>
        <w:t>‑</w:t>
      </w:r>
      <w:r w:rsidRPr="00520C7C">
        <w:t xml:space="preserve">09 through its </w:t>
      </w:r>
      <w:proofErr w:type="gramStart"/>
      <w:r w:rsidRPr="00520C7C">
        <w:rPr>
          <w:i/>
          <w:iCs/>
        </w:rPr>
        <w:t>National</w:t>
      </w:r>
      <w:proofErr w:type="gramEnd"/>
      <w:r w:rsidRPr="00520C7C">
        <w:rPr>
          <w:i/>
          <w:iCs/>
        </w:rPr>
        <w:t xml:space="preserve"> </w:t>
      </w:r>
      <w:r>
        <w:rPr>
          <w:i/>
          <w:iCs/>
        </w:rPr>
        <w:t>t</w:t>
      </w:r>
      <w:r w:rsidRPr="00520C7C">
        <w:rPr>
          <w:i/>
          <w:iCs/>
        </w:rPr>
        <w:t xml:space="preserve">ransport </w:t>
      </w:r>
      <w:r>
        <w:rPr>
          <w:i/>
          <w:iCs/>
        </w:rPr>
        <w:t>r</w:t>
      </w:r>
      <w:r w:rsidRPr="00520C7C">
        <w:rPr>
          <w:i/>
          <w:iCs/>
        </w:rPr>
        <w:t xml:space="preserve">egulatory </w:t>
      </w:r>
      <w:r>
        <w:rPr>
          <w:i/>
          <w:iCs/>
        </w:rPr>
        <w:t>r</w:t>
      </w:r>
      <w:r w:rsidRPr="00520C7C">
        <w:rPr>
          <w:i/>
          <w:iCs/>
        </w:rPr>
        <w:t>eform</w:t>
      </w:r>
      <w:r w:rsidRPr="00520C7C">
        <w:t xml:space="preserve"> inquiry</w:t>
      </w:r>
      <w:r w:rsidR="00182A6E">
        <w:t xml:space="preserve"> </w:t>
      </w:r>
      <w:r w:rsidR="000160DD" w:rsidRPr="000160DD">
        <w:rPr>
          <w:rFonts w:ascii="Arial" w:hAnsi="Arial" w:cs="Arial"/>
        </w:rPr>
        <w:t>(PC 2020b)</w:t>
      </w:r>
      <w:r w:rsidRPr="00520C7C">
        <w:t>.</w:t>
      </w:r>
    </w:p>
    <w:p w14:paraId="63F9D4F1" w14:textId="408BD7F3" w:rsidR="000B4125" w:rsidRDefault="00DA13B7" w:rsidP="007235AF">
      <w:pPr>
        <w:pStyle w:val="BodyText"/>
      </w:pPr>
      <w:r w:rsidRPr="00520C7C">
        <w:t>In 2008</w:t>
      </w:r>
      <w:r w:rsidR="008C4C5C">
        <w:rPr>
          <w:rFonts w:ascii="Cambria Math" w:hAnsi="Cambria Math"/>
        </w:rPr>
        <w:t>‑</w:t>
      </w:r>
      <w:r w:rsidRPr="00520C7C">
        <w:t>09, COAG agreed to national reforms for heavy vehicles, rail and domestic commercial vessels, establishing national laws and regulators to harmonise safety regulation</w:t>
      </w:r>
      <w:r w:rsidR="00847981">
        <w:t>s</w:t>
      </w:r>
      <w:r w:rsidRPr="00520C7C">
        <w:t>. These reforms aimed to reduce compliance costs arising from inconsistent regulation across jurisdictions while improving safety outcomes,</w:t>
      </w:r>
      <w:r w:rsidR="007D44B5">
        <w:t xml:space="preserve"> though data limitations </w:t>
      </w:r>
      <w:r w:rsidR="00CB032D">
        <w:t xml:space="preserve">made it difficult to </w:t>
      </w:r>
      <w:r w:rsidR="00713045">
        <w:t>assess the impacts of the reforms</w:t>
      </w:r>
      <w:r w:rsidR="00FB4C12">
        <w:t xml:space="preserve"> </w:t>
      </w:r>
      <w:r w:rsidR="000160DD" w:rsidRPr="000160DD">
        <w:rPr>
          <w:rFonts w:ascii="Arial" w:hAnsi="Arial" w:cs="Arial"/>
        </w:rPr>
        <w:t>(PC 2020b, p. 177)</w:t>
      </w:r>
      <w:r w:rsidRPr="00520C7C">
        <w:t>.</w:t>
      </w:r>
    </w:p>
    <w:p w14:paraId="5BFC1ECB" w14:textId="2C9A6EED" w:rsidR="000B4125" w:rsidRPr="00867DD6" w:rsidRDefault="000B4125" w:rsidP="007235AF">
      <w:pPr>
        <w:pStyle w:val="BodyText"/>
        <w:rPr>
          <w:spacing w:val="-2"/>
        </w:rPr>
      </w:pPr>
      <w:r w:rsidRPr="00867DD6">
        <w:rPr>
          <w:spacing w:val="-2"/>
        </w:rPr>
        <w:t>The PC’s recommendations collectively reinforce that lifting both productivity and safety across road, rail and maritime transport requires regulatory frameworks that move beyond rigid prescription toward flexible, risk</w:t>
      </w:r>
      <w:r w:rsidR="00A46199" w:rsidRPr="00867DD6">
        <w:rPr>
          <w:rFonts w:ascii="Cambria Math" w:hAnsi="Cambria Math"/>
          <w:spacing w:val="-2"/>
        </w:rPr>
        <w:t>‑</w:t>
      </w:r>
      <w:r w:rsidRPr="00867DD6">
        <w:rPr>
          <w:spacing w:val="-2"/>
        </w:rPr>
        <w:t xml:space="preserve">based, outcomes-focused approaches while improving consistency, data use and national harmonisation. </w:t>
      </w:r>
      <w:proofErr w:type="gramStart"/>
      <w:r w:rsidRPr="00867DD6">
        <w:rPr>
          <w:spacing w:val="-2"/>
        </w:rPr>
        <w:t xml:space="preserve">In particular, </w:t>
      </w:r>
      <w:r w:rsidR="000146AF" w:rsidRPr="00867DD6">
        <w:rPr>
          <w:spacing w:val="-2"/>
        </w:rPr>
        <w:t>select</w:t>
      </w:r>
      <w:proofErr w:type="gramEnd"/>
      <w:r w:rsidR="000146AF" w:rsidRPr="00867DD6">
        <w:rPr>
          <w:spacing w:val="-2"/>
        </w:rPr>
        <w:t xml:space="preserve"> areas of recommendations from the PC include</w:t>
      </w:r>
      <w:r w:rsidR="00A01246" w:rsidRPr="00867DD6">
        <w:rPr>
          <w:spacing w:val="-2"/>
        </w:rPr>
        <w:t>d</w:t>
      </w:r>
      <w:r w:rsidR="000146AF" w:rsidRPr="00867DD6">
        <w:rPr>
          <w:spacing w:val="-2"/>
        </w:rPr>
        <w:t xml:space="preserve"> that</w:t>
      </w:r>
      <w:r w:rsidRPr="00867DD6">
        <w:rPr>
          <w:spacing w:val="-2"/>
        </w:rPr>
        <w:t xml:space="preserve"> </w:t>
      </w:r>
      <w:r w:rsidR="009C4236" w:rsidRPr="00867DD6">
        <w:rPr>
          <w:rFonts w:ascii="Arial" w:hAnsi="Arial" w:cs="Arial"/>
          <w:spacing w:val="-2"/>
        </w:rPr>
        <w:t>(PC 2020b, pp. 24–35)</w:t>
      </w:r>
      <w:r w:rsidRPr="00867DD6">
        <w:rPr>
          <w:spacing w:val="-2"/>
        </w:rPr>
        <w:t>:</w:t>
      </w:r>
    </w:p>
    <w:p w14:paraId="7F5F270F" w14:textId="39E3D0E1" w:rsidR="00E32FD3" w:rsidRDefault="000B4125" w:rsidP="00E32FD3">
      <w:pPr>
        <w:pStyle w:val="ListBullet"/>
      </w:pPr>
      <w:r w:rsidRPr="000B4125">
        <w:t>national regulators be directed to adopt a risk-based approach to regulation, enforcement and compliance to better target safety risks and reduce unnecessary prescriptive detail</w:t>
      </w:r>
    </w:p>
    <w:p w14:paraId="77C3368A" w14:textId="73D127CB" w:rsidR="000B4125" w:rsidRDefault="000B4125" w:rsidP="000B4125">
      <w:pPr>
        <w:pStyle w:val="ListBullet"/>
      </w:pPr>
      <w:r w:rsidRPr="000B4125">
        <w:t xml:space="preserve">Heavy Vehicle National Law be </w:t>
      </w:r>
      <w:r w:rsidR="00DD7FF2">
        <w:t>amended</w:t>
      </w:r>
      <w:r w:rsidR="003E79CB">
        <w:t xml:space="preserve"> to clarify obligations and </w:t>
      </w:r>
      <w:r w:rsidR="008D38E6">
        <w:t>remove unnecessar</w:t>
      </w:r>
      <w:r w:rsidR="004C2FC2">
        <w:t>ily prescriptive elements</w:t>
      </w:r>
      <w:r w:rsidR="003D1E9B">
        <w:t xml:space="preserve"> (for example, through the removal of </w:t>
      </w:r>
      <w:r w:rsidR="003D1E9B" w:rsidRPr="000B4125">
        <w:t>unjustified derogations</w:t>
      </w:r>
      <w:r w:rsidR="003D1E9B">
        <w:t>)</w:t>
      </w:r>
      <w:r w:rsidR="00161BC9">
        <w:t xml:space="preserve">. </w:t>
      </w:r>
      <w:r w:rsidR="00C76FE7">
        <w:t xml:space="preserve">Similar steps should be taken with </w:t>
      </w:r>
      <w:r w:rsidR="00161BC9" w:rsidRPr="000B4125">
        <w:t>Rail Safety National Law</w:t>
      </w:r>
      <w:r w:rsidR="00C76FE7">
        <w:t xml:space="preserve"> in the case of unjustified derogations</w:t>
      </w:r>
    </w:p>
    <w:p w14:paraId="6E7308A4" w14:textId="647B27DF" w:rsidR="000B4125" w:rsidRDefault="000B4125" w:rsidP="000B4125">
      <w:pPr>
        <w:pStyle w:val="ListBullet"/>
      </w:pPr>
      <w:r w:rsidRPr="000B4125">
        <w:t>fatigue management regulation in heavy vehicles and rail be reformed to empower regulators with flexible, risk-based tools and acceptable means of compliance rather than rigid rules</w:t>
      </w:r>
    </w:p>
    <w:p w14:paraId="67F927ED" w14:textId="39F091B4" w:rsidR="000B4125" w:rsidRDefault="000B4125" w:rsidP="000B4125">
      <w:pPr>
        <w:pStyle w:val="ListBullet"/>
      </w:pPr>
      <w:r w:rsidRPr="000B4125">
        <w:t>grandfathering provisions in maritime vessel survey requirements be ended to eliminate legacy inconsistencies</w:t>
      </w:r>
      <w:r w:rsidR="007F19E6">
        <w:t xml:space="preserve">, and </w:t>
      </w:r>
      <w:r w:rsidRPr="000B4125">
        <w:t>maritime hire and drive vessel regulation be returned to the states where appropriate to ensure fit-for-purpose oversight</w:t>
      </w:r>
    </w:p>
    <w:p w14:paraId="74D1C552" w14:textId="0DACBC76" w:rsidR="0076158F" w:rsidRPr="000979AE" w:rsidRDefault="000B4125">
      <w:pPr>
        <w:pStyle w:val="ListBullet"/>
      </w:pPr>
      <w:r w:rsidRPr="000B4125">
        <w:t xml:space="preserve">Australian Design Rules and transport technologies be modernised and streamlined to </w:t>
      </w:r>
      <w:r w:rsidR="00275E85" w:rsidRPr="00275E85">
        <w:t>allow for new transport technolog</w:t>
      </w:r>
      <w:r w:rsidR="00275E85" w:rsidRPr="000979AE">
        <w:t>ies, including automated technologies, with proven productivity or safety benefits</w:t>
      </w:r>
    </w:p>
    <w:p w14:paraId="4BA5E4A6" w14:textId="77C5BC4E" w:rsidR="000979AE" w:rsidRPr="00B45F91" w:rsidRDefault="00E6658E" w:rsidP="00275E85">
      <w:pPr>
        <w:pStyle w:val="ListBullet"/>
      </w:pPr>
      <w:r>
        <w:t>r</w:t>
      </w:r>
      <w:r w:rsidR="004C5F3D">
        <w:t>isk-based</w:t>
      </w:r>
      <w:r w:rsidR="006C2D30">
        <w:t xml:space="preserve"> assessment </w:t>
      </w:r>
      <w:r w:rsidR="00187C87">
        <w:t xml:space="preserve">be adopted for </w:t>
      </w:r>
      <w:r w:rsidR="006C2D30">
        <w:t>heav</w:t>
      </w:r>
      <w:r w:rsidR="00015948">
        <w:t>y</w:t>
      </w:r>
      <w:r w:rsidR="009F1BF5">
        <w:t xml:space="preserve"> vehicle </w:t>
      </w:r>
      <w:r w:rsidR="00187C87">
        <w:t xml:space="preserve">access </w:t>
      </w:r>
      <w:r w:rsidR="009F1BF5">
        <w:t>permit</w:t>
      </w:r>
      <w:r w:rsidR="00187C87">
        <w:t>s</w:t>
      </w:r>
      <w:r w:rsidR="000254DA">
        <w:t>,</w:t>
      </w:r>
      <w:r w:rsidR="009F1BF5">
        <w:t xml:space="preserve"> decisions</w:t>
      </w:r>
      <w:r w:rsidR="00602DDF">
        <w:t xml:space="preserve"> </w:t>
      </w:r>
      <w:r w:rsidR="00470C77">
        <w:t xml:space="preserve">about permit access </w:t>
      </w:r>
      <w:r w:rsidR="00E33EDD">
        <w:t xml:space="preserve">decisions </w:t>
      </w:r>
      <w:r w:rsidR="00E03686">
        <w:t xml:space="preserve">be </w:t>
      </w:r>
      <w:r w:rsidR="00BE2D0A">
        <w:t xml:space="preserve">published </w:t>
      </w:r>
      <w:r w:rsidR="00C56707">
        <w:t>and as-of-right heavy vehicle access networks</w:t>
      </w:r>
      <w:r w:rsidR="00C8018C">
        <w:t xml:space="preserve"> </w:t>
      </w:r>
      <w:r w:rsidR="00E03686">
        <w:t xml:space="preserve">be </w:t>
      </w:r>
      <w:r w:rsidR="00C8018C">
        <w:t>expanded</w:t>
      </w:r>
    </w:p>
    <w:p w14:paraId="3454E0E1" w14:textId="77D5F558" w:rsidR="000979AE" w:rsidRDefault="00EB544B" w:rsidP="00275E85">
      <w:pPr>
        <w:pStyle w:val="ListBullet"/>
      </w:pPr>
      <w:r>
        <w:lastRenderedPageBreak/>
        <w:t>reporting</w:t>
      </w:r>
      <w:r w:rsidR="00613EBC">
        <w:t>, data collection</w:t>
      </w:r>
      <w:r w:rsidR="008926E5">
        <w:t>,</w:t>
      </w:r>
      <w:r w:rsidR="00613EBC">
        <w:t xml:space="preserve"> investigation and research processes</w:t>
      </w:r>
      <w:r w:rsidR="00761108">
        <w:t xml:space="preserve"> across </w:t>
      </w:r>
      <w:r w:rsidR="00202FD4">
        <w:t>heavy vehicles and maritime services</w:t>
      </w:r>
      <w:r w:rsidR="00FE1FBF">
        <w:t xml:space="preserve"> be improved, for example through annualised reports and the publishing of disaggregated data.</w:t>
      </w:r>
    </w:p>
    <w:p w14:paraId="5035D778" w14:textId="77777777" w:rsidR="0047465D" w:rsidRPr="000979AE" w:rsidRDefault="0047465D" w:rsidP="00B45F91">
      <w:pPr>
        <w:pStyle w:val="NoSpacing"/>
      </w:pPr>
    </w:p>
    <w:tbl>
      <w:tblPr>
        <w:tblStyle w:val="Boxtable"/>
        <w:tblW w:w="5000" w:type="pct"/>
        <w:tblLook w:val="04A0" w:firstRow="1" w:lastRow="0" w:firstColumn="1" w:lastColumn="0" w:noHBand="0" w:noVBand="1"/>
      </w:tblPr>
      <w:tblGrid>
        <w:gridCol w:w="9638"/>
      </w:tblGrid>
      <w:tr w:rsidR="00157A7E" w14:paraId="04E8BBA8" w14:textId="77777777" w:rsidTr="004B292F">
        <w:trPr>
          <w:tblHeader/>
        </w:trPr>
        <w:tc>
          <w:tcPr>
            <w:tcW w:w="9638" w:type="dxa"/>
            <w:shd w:val="clear" w:color="auto" w:fill="EBEBEB"/>
            <w:tcMar>
              <w:top w:w="170" w:type="dxa"/>
              <w:left w:w="170" w:type="dxa"/>
              <w:bottom w:w="113" w:type="dxa"/>
              <w:right w:w="170" w:type="dxa"/>
            </w:tcMar>
            <w:hideMark/>
          </w:tcPr>
          <w:p w14:paraId="3A164F30" w14:textId="2938ED79" w:rsidR="00157A7E" w:rsidRDefault="00157A7E">
            <w:pPr>
              <w:pStyle w:val="BoxHeading1"/>
            </w:pPr>
            <w:r>
              <w:t>Key takeaways – Freight supply chains</w:t>
            </w:r>
          </w:p>
        </w:tc>
      </w:tr>
      <w:tr w:rsidR="00157A7E" w14:paraId="3E6A8A5F" w14:textId="77777777" w:rsidTr="004B292F">
        <w:tc>
          <w:tcPr>
            <w:tcW w:w="9638" w:type="dxa"/>
            <w:shd w:val="clear" w:color="auto" w:fill="EBEBEB"/>
            <w:tcMar>
              <w:top w:w="28" w:type="dxa"/>
              <w:left w:w="170" w:type="dxa"/>
              <w:bottom w:w="170" w:type="dxa"/>
              <w:right w:w="170" w:type="dxa"/>
            </w:tcMar>
            <w:hideMark/>
          </w:tcPr>
          <w:p w14:paraId="6C966896" w14:textId="3DDF4AE2" w:rsidR="00157A7E" w:rsidRPr="00A55D7B" w:rsidRDefault="00157A7E" w:rsidP="00A55D7B">
            <w:pPr>
              <w:pStyle w:val="BodyText"/>
              <w:rPr>
                <w:spacing w:val="2"/>
              </w:rPr>
            </w:pPr>
            <w:r w:rsidRPr="00A55D7B">
              <w:rPr>
                <w:spacing w:val="2"/>
              </w:rPr>
              <w:t xml:space="preserve">While existing PC analysis focuses on three specific areas – Australia’s maritime logistics system, vulnerable supply chains, and transport regulation – freight supply chains are broader and more far-reaching. Further reform and updated analysis – including the forthcoming PC report into the impacts of heavy vehicle </w:t>
            </w:r>
            <w:r w:rsidR="00654F59" w:rsidRPr="00A55D7B">
              <w:rPr>
                <w:spacing w:val="2"/>
              </w:rPr>
              <w:t>regulat</w:t>
            </w:r>
            <w:r w:rsidR="00807CF9" w:rsidRPr="00A55D7B">
              <w:rPr>
                <w:spacing w:val="2"/>
              </w:rPr>
              <w:t>ory</w:t>
            </w:r>
            <w:r w:rsidRPr="00A55D7B">
              <w:rPr>
                <w:spacing w:val="2"/>
              </w:rPr>
              <w:t xml:space="preserve"> reform – will add to the evidence base needed to better understand the links between freight supply chain policy and productivity. At a high level, </w:t>
            </w:r>
            <w:r w:rsidR="000314A9" w:rsidRPr="00A55D7B">
              <w:rPr>
                <w:spacing w:val="2"/>
              </w:rPr>
              <w:t>PC analysis</w:t>
            </w:r>
            <w:r w:rsidRPr="00A55D7B">
              <w:rPr>
                <w:spacing w:val="2"/>
              </w:rPr>
              <w:t xml:space="preserve"> points to the following priorities:</w:t>
            </w:r>
          </w:p>
          <w:p w14:paraId="61373E59" w14:textId="3BF72D8E" w:rsidR="00157A7E" w:rsidRPr="00744EC1" w:rsidRDefault="00157A7E" w:rsidP="004B292F">
            <w:pPr>
              <w:pStyle w:val="ListBullet"/>
              <w:numPr>
                <w:ilvl w:val="0"/>
                <w:numId w:val="17"/>
              </w:numPr>
              <w:spacing w:before="94" w:after="94"/>
              <w:ind w:left="179" w:hanging="179"/>
            </w:pPr>
            <w:r>
              <w:t>reform port competition, pricing and workplace arrangements</w:t>
            </w:r>
            <w:r w:rsidRPr="00DB49AD">
              <w:t xml:space="preserve"> </w:t>
            </w:r>
            <w:r w:rsidRPr="004F184F">
              <w:rPr>
                <w:rFonts w:ascii="Arial" w:hAnsi="Arial" w:cs="Arial"/>
              </w:rPr>
              <w:t>(PC 2022)</w:t>
            </w:r>
          </w:p>
          <w:p w14:paraId="1F5FCB74" w14:textId="298D35C8" w:rsidR="00157A7E" w:rsidRDefault="00157A7E" w:rsidP="004B292F">
            <w:pPr>
              <w:pStyle w:val="ListBullet"/>
              <w:numPr>
                <w:ilvl w:val="0"/>
                <w:numId w:val="17"/>
              </w:numPr>
              <w:spacing w:before="94" w:after="94"/>
              <w:ind w:left="179" w:hanging="179"/>
            </w:pPr>
            <w:r>
              <w:t>remove regulatory barriers and modernise border systems</w:t>
            </w:r>
            <w:r w:rsidRPr="00DB49AD">
              <w:t xml:space="preserve"> </w:t>
            </w:r>
            <w:r w:rsidRPr="004F184F">
              <w:rPr>
                <w:rFonts w:ascii="Arial" w:hAnsi="Arial" w:cs="Arial"/>
              </w:rPr>
              <w:t>(PC 2021b)</w:t>
            </w:r>
          </w:p>
          <w:p w14:paraId="390CE2EE" w14:textId="1B472A71" w:rsidR="00157A7E" w:rsidRDefault="00157A7E" w:rsidP="00B5397F">
            <w:pPr>
              <w:pStyle w:val="ListBullet"/>
              <w:numPr>
                <w:ilvl w:val="0"/>
                <w:numId w:val="17"/>
              </w:numPr>
              <w:spacing w:before="94" w:after="240"/>
              <w:ind w:left="179" w:hanging="179"/>
            </w:pPr>
            <w:r>
              <w:t>shift freight regulation to</w:t>
            </w:r>
            <w:r w:rsidR="00F873E1">
              <w:t>wards</w:t>
            </w:r>
            <w:r>
              <w:t xml:space="preserve"> nationally consistent, risk-based frameworks </w:t>
            </w:r>
            <w:r w:rsidR="000160DD" w:rsidRPr="000160DD">
              <w:rPr>
                <w:rFonts w:ascii="Arial" w:hAnsi="Arial" w:cs="Arial"/>
              </w:rPr>
              <w:t>(PC 2020b)</w:t>
            </w:r>
            <w:r>
              <w:t>.</w:t>
            </w:r>
          </w:p>
        </w:tc>
      </w:tr>
      <w:tr w:rsidR="00157A7E" w14:paraId="596646C5" w14:textId="77777777" w:rsidTr="004B292F">
        <w:trPr>
          <w:hidden/>
        </w:trPr>
        <w:tc>
          <w:tcPr>
            <w:tcW w:w="9638" w:type="dxa"/>
            <w:shd w:val="clear" w:color="auto" w:fill="auto"/>
            <w:tcMar>
              <w:top w:w="0" w:type="dxa"/>
              <w:left w:w="170" w:type="dxa"/>
              <w:bottom w:w="0" w:type="dxa"/>
              <w:right w:w="170" w:type="dxa"/>
            </w:tcMar>
          </w:tcPr>
          <w:p w14:paraId="15B4EFF5" w14:textId="3F432BDF" w:rsidR="00157A7E" w:rsidRPr="00465191" w:rsidRDefault="00157A7E">
            <w:pPr>
              <w:pStyle w:val="BodyText"/>
              <w:spacing w:before="0" w:after="0" w:line="80" w:lineRule="atLeast"/>
              <w:rPr>
                <w:smallCaps/>
                <w:vanish/>
              </w:rPr>
            </w:pPr>
          </w:p>
        </w:tc>
      </w:tr>
    </w:tbl>
    <w:p w14:paraId="058258C5" w14:textId="5E0812CF" w:rsidR="0043403B" w:rsidRPr="0022010A" w:rsidRDefault="0043403B" w:rsidP="0022010A">
      <w:pPr>
        <w:pStyle w:val="Heading2-nonumber"/>
      </w:pPr>
      <w:bookmarkStart w:id="7" w:name="_Toc219280606"/>
      <w:r w:rsidRPr="0022010A">
        <w:t>Effectiveness of Australia's competition policy</w:t>
      </w:r>
      <w:bookmarkEnd w:id="7"/>
    </w:p>
    <w:p w14:paraId="7DC72DD7" w14:textId="438D4712" w:rsidR="00DA4476" w:rsidRDefault="002F304B" w:rsidP="002F304B">
      <w:pPr>
        <w:pStyle w:val="Heading3"/>
      </w:pPr>
      <w:r>
        <w:t>Competition is a key driver of productivity</w:t>
      </w:r>
    </w:p>
    <w:p w14:paraId="095E9745" w14:textId="6EDF2D9A" w:rsidR="00E30F10" w:rsidRPr="00E30F10" w:rsidRDefault="00E30F10" w:rsidP="00E30F10">
      <w:pPr>
        <w:pStyle w:val="BodyText"/>
      </w:pPr>
      <w:r w:rsidRPr="00E30F10">
        <w:t>Competition drives economic efficiency and productivity.</w:t>
      </w:r>
      <w:r w:rsidR="00B45988">
        <w:rPr>
          <w:rStyle w:val="FootnoteReference"/>
        </w:rPr>
        <w:footnoteReference w:id="3"/>
      </w:r>
      <w:r w:rsidRPr="00E30F10">
        <w:t xml:space="preserve"> </w:t>
      </w:r>
      <w:r w:rsidR="00BB4CA7">
        <w:t xml:space="preserve">It achieves this by </w:t>
      </w:r>
      <w:r w:rsidRPr="00E30F10">
        <w:t>forc</w:t>
      </w:r>
      <w:r w:rsidR="00BB4CA7">
        <w:t>ing</w:t>
      </w:r>
      <w:r w:rsidRPr="00E30F10">
        <w:t xml:space="preserve"> businesses to fight for consumers by innovating to lower prices and production costs while raising quality. Successful competitors maximise the value for consumers (allocative efficiency) using the most effective means of production (productive efficiency).</w:t>
      </w:r>
      <w:r>
        <w:t xml:space="preserve"> </w:t>
      </w:r>
      <w:r w:rsidRPr="00E30F10">
        <w:t>Competition also drives ‘creative destruction’, where businesses that innovate and adopt best practice flourish while laggards decline and fail (dynamic efficiency).</w:t>
      </w:r>
      <w:r>
        <w:t xml:space="preserve"> </w:t>
      </w:r>
      <w:r w:rsidRPr="00E30F10">
        <w:t>By creating strong incentives for businesses to maximise consumer value at least cost while innovating over time, competition underpins ongoing productivity growth</w:t>
      </w:r>
      <w:r w:rsidR="001F0BA8">
        <w:t>.</w:t>
      </w:r>
    </w:p>
    <w:p w14:paraId="62FB6875" w14:textId="64E7C3E2" w:rsidR="00891ABD" w:rsidRDefault="001A466D" w:rsidP="001A466D">
      <w:pPr>
        <w:pStyle w:val="Heading3"/>
      </w:pPr>
      <w:r>
        <w:t xml:space="preserve">The recent National Competition Policy reforms </w:t>
      </w:r>
      <w:r w:rsidR="00FE0514">
        <w:t>are a step in the right direction</w:t>
      </w:r>
    </w:p>
    <w:p w14:paraId="061ECFE7" w14:textId="73B7E5A8" w:rsidR="00BF4DF0" w:rsidRPr="00E00EEA" w:rsidRDefault="00120BBB" w:rsidP="00D27C24">
      <w:pPr>
        <w:pStyle w:val="BodyText"/>
        <w:rPr>
          <w:spacing w:val="2"/>
        </w:rPr>
      </w:pPr>
      <w:r w:rsidRPr="00E00EEA">
        <w:rPr>
          <w:spacing w:val="2"/>
        </w:rPr>
        <w:t xml:space="preserve">In 2023, the Treasurer announced a </w:t>
      </w:r>
      <w:r w:rsidR="006A657F" w:rsidRPr="00E00EEA">
        <w:rPr>
          <w:spacing w:val="2"/>
        </w:rPr>
        <w:t>C</w:t>
      </w:r>
      <w:r w:rsidRPr="00E00EEA">
        <w:rPr>
          <w:spacing w:val="2"/>
        </w:rPr>
        <w:t xml:space="preserve">ompetition </w:t>
      </w:r>
      <w:r w:rsidR="006A657F" w:rsidRPr="00E00EEA">
        <w:rPr>
          <w:spacing w:val="2"/>
        </w:rPr>
        <w:t>R</w:t>
      </w:r>
      <w:r w:rsidRPr="00E00EEA">
        <w:rPr>
          <w:spacing w:val="2"/>
        </w:rPr>
        <w:t>eview</w:t>
      </w:r>
      <w:r w:rsidR="0095734E" w:rsidRPr="00E00EEA">
        <w:rPr>
          <w:spacing w:val="2"/>
        </w:rPr>
        <w:t xml:space="preserve"> –</w:t>
      </w:r>
      <w:r w:rsidR="001062B6" w:rsidRPr="00E00EEA">
        <w:rPr>
          <w:spacing w:val="2"/>
        </w:rPr>
        <w:t xml:space="preserve"> </w:t>
      </w:r>
      <w:r w:rsidR="00E25C88" w:rsidRPr="00E00EEA">
        <w:rPr>
          <w:spacing w:val="2"/>
        </w:rPr>
        <w:t>the first</w:t>
      </w:r>
      <w:r w:rsidR="00C26FEA" w:rsidRPr="00E00EEA">
        <w:rPr>
          <w:spacing w:val="2"/>
        </w:rPr>
        <w:t xml:space="preserve"> significant review</w:t>
      </w:r>
      <w:r w:rsidR="00E25C88" w:rsidRPr="00E00EEA">
        <w:rPr>
          <w:spacing w:val="2"/>
        </w:rPr>
        <w:t xml:space="preserve"> since the </w:t>
      </w:r>
      <w:r w:rsidR="0064107E" w:rsidRPr="00E00EEA">
        <w:rPr>
          <w:spacing w:val="2"/>
        </w:rPr>
        <w:t>2015 Competition Policy Review (Harper Review)</w:t>
      </w:r>
      <w:r w:rsidR="006A657F" w:rsidRPr="00E00EEA">
        <w:rPr>
          <w:spacing w:val="2"/>
        </w:rPr>
        <w:t xml:space="preserve">. </w:t>
      </w:r>
      <w:r w:rsidR="00BF4DF0" w:rsidRPr="00E00EEA">
        <w:rPr>
          <w:spacing w:val="2"/>
        </w:rPr>
        <w:t>Alongside specific consideration of mergers and acquisitions and non-compete clauses, the review included a renewal of National Competition Policy (NCP). The revival of National Competition Policy is significant because it provides an avenue for the Australian government to work with states and territories to reduce regulatory barriers and inconsistencies across the federation. Early reforms being progressed include commercial zoning rules and alignment of product standards</w:t>
      </w:r>
      <w:r w:rsidR="003A5C6C" w:rsidRPr="00E00EEA">
        <w:rPr>
          <w:spacing w:val="2"/>
        </w:rPr>
        <w:t xml:space="preserve"> </w:t>
      </w:r>
      <w:r w:rsidR="003A5C6C" w:rsidRPr="00E00EEA">
        <w:rPr>
          <w:rFonts w:cs="Arial"/>
          <w:spacing w:val="2"/>
        </w:rPr>
        <w:t>(Australian Treasury 2025)</w:t>
      </w:r>
      <w:r w:rsidR="003A5C6C" w:rsidRPr="00E00EEA">
        <w:rPr>
          <w:spacing w:val="2"/>
        </w:rPr>
        <w:t>.</w:t>
      </w:r>
    </w:p>
    <w:p w14:paraId="313C7733" w14:textId="6762F23B" w:rsidR="00515B48" w:rsidRPr="00E00EEA" w:rsidRDefault="000C685C">
      <w:pPr>
        <w:pStyle w:val="BodyText"/>
        <w:rPr>
          <w:spacing w:val="-2"/>
        </w:rPr>
      </w:pPr>
      <w:r w:rsidRPr="00E00EEA">
        <w:rPr>
          <w:spacing w:val="-2"/>
        </w:rPr>
        <w:lastRenderedPageBreak/>
        <w:t xml:space="preserve">The </w:t>
      </w:r>
      <w:r w:rsidR="00AB189C" w:rsidRPr="00E00EEA">
        <w:rPr>
          <w:spacing w:val="-2"/>
        </w:rPr>
        <w:t xml:space="preserve">PC’s </w:t>
      </w:r>
      <w:r w:rsidR="001B4AF0" w:rsidRPr="00E00EEA">
        <w:rPr>
          <w:spacing w:val="-2"/>
        </w:rPr>
        <w:t xml:space="preserve">2024 </w:t>
      </w:r>
      <w:r w:rsidR="00F37882" w:rsidRPr="00E00EEA">
        <w:rPr>
          <w:spacing w:val="-2"/>
        </w:rPr>
        <w:t>analysis</w:t>
      </w:r>
      <w:r w:rsidR="001B4AF0" w:rsidRPr="00E00EEA">
        <w:rPr>
          <w:spacing w:val="-2"/>
        </w:rPr>
        <w:t xml:space="preserve"> of </w:t>
      </w:r>
      <w:r w:rsidR="00B7659A" w:rsidRPr="00E00EEA">
        <w:rPr>
          <w:spacing w:val="-2"/>
        </w:rPr>
        <w:t xml:space="preserve">19 potential </w:t>
      </w:r>
      <w:r w:rsidR="005F2CE9" w:rsidRPr="00E00EEA">
        <w:rPr>
          <w:spacing w:val="-2"/>
        </w:rPr>
        <w:t xml:space="preserve">proposed </w:t>
      </w:r>
      <w:r w:rsidR="001B4AF0" w:rsidRPr="00E00EEA">
        <w:rPr>
          <w:spacing w:val="-2"/>
        </w:rPr>
        <w:t>NCP</w:t>
      </w:r>
      <w:r w:rsidR="00F37882" w:rsidRPr="00E00EEA">
        <w:rPr>
          <w:spacing w:val="-2"/>
        </w:rPr>
        <w:t xml:space="preserve"> </w:t>
      </w:r>
      <w:r w:rsidR="001B4AF0" w:rsidRPr="00E00EEA">
        <w:rPr>
          <w:spacing w:val="-2"/>
        </w:rPr>
        <w:t xml:space="preserve">reforms </w:t>
      </w:r>
      <w:r w:rsidR="00F37882" w:rsidRPr="00E00EEA">
        <w:rPr>
          <w:spacing w:val="-2"/>
        </w:rPr>
        <w:t>suggested th</w:t>
      </w:r>
      <w:r w:rsidR="001B4AF0" w:rsidRPr="00E00EEA">
        <w:rPr>
          <w:spacing w:val="-2"/>
        </w:rPr>
        <w:t>ey</w:t>
      </w:r>
      <w:r w:rsidR="00F37882" w:rsidRPr="00E00EEA">
        <w:rPr>
          <w:spacing w:val="-2"/>
        </w:rPr>
        <w:t xml:space="preserve"> could grow the Australian economy </w:t>
      </w:r>
      <w:r w:rsidR="00A53D03" w:rsidRPr="00E00EEA">
        <w:rPr>
          <w:spacing w:val="-2"/>
        </w:rPr>
        <w:t xml:space="preserve">in the long-run </w:t>
      </w:r>
      <w:r w:rsidR="00F37882" w:rsidRPr="00E00EEA">
        <w:rPr>
          <w:spacing w:val="-2"/>
        </w:rPr>
        <w:t>by $26</w:t>
      </w:r>
      <w:r w:rsidR="008420CF" w:rsidRPr="00E00EEA">
        <w:rPr>
          <w:spacing w:val="-2"/>
        </w:rPr>
        <w:t>–$</w:t>
      </w:r>
      <w:r w:rsidR="00F37882" w:rsidRPr="00E00EEA">
        <w:rPr>
          <w:spacing w:val="-2"/>
        </w:rPr>
        <w:t>45</w:t>
      </w:r>
      <w:r w:rsidR="00474AD6" w:rsidRPr="00E00EEA">
        <w:rPr>
          <w:spacing w:val="-2"/>
        </w:rPr>
        <w:t> </w:t>
      </w:r>
      <w:r w:rsidR="00F37882" w:rsidRPr="00E00EEA">
        <w:rPr>
          <w:spacing w:val="-2"/>
        </w:rPr>
        <w:t xml:space="preserve">billion </w:t>
      </w:r>
      <w:r w:rsidR="002A1AE4" w:rsidRPr="00E00EEA">
        <w:rPr>
          <w:spacing w:val="-2"/>
        </w:rPr>
        <w:t>in 2023-24 dollars</w:t>
      </w:r>
      <w:r w:rsidR="00F37882" w:rsidRPr="00E00EEA">
        <w:rPr>
          <w:spacing w:val="-2"/>
        </w:rPr>
        <w:t xml:space="preserve"> (1.0</w:t>
      </w:r>
      <w:r w:rsidR="00AB189C" w:rsidRPr="00E00EEA">
        <w:rPr>
          <w:spacing w:val="-2"/>
        </w:rPr>
        <w:t>%–</w:t>
      </w:r>
      <w:r w:rsidR="00F37882" w:rsidRPr="00E00EEA">
        <w:rPr>
          <w:spacing w:val="-2"/>
        </w:rPr>
        <w:t>1.7% of GDP)</w:t>
      </w:r>
      <w:r w:rsidR="00A734F1" w:rsidRPr="00E00EEA">
        <w:rPr>
          <w:spacing w:val="-2"/>
        </w:rPr>
        <w:t xml:space="preserve"> </w:t>
      </w:r>
      <w:r w:rsidR="00DC42E2" w:rsidRPr="00E00EEA">
        <w:rPr>
          <w:rFonts w:cs="Arial"/>
          <w:spacing w:val="-2"/>
        </w:rPr>
        <w:t>(PC 2024b)</w:t>
      </w:r>
      <w:r w:rsidR="00F37882" w:rsidRPr="00E00EEA">
        <w:rPr>
          <w:spacing w:val="-2"/>
        </w:rPr>
        <w:t>.</w:t>
      </w:r>
      <w:r w:rsidR="004B5A24" w:rsidRPr="00E00EEA">
        <w:rPr>
          <w:rStyle w:val="FootnoteReference"/>
          <w:spacing w:val="-2"/>
        </w:rPr>
        <w:footnoteReference w:id="4"/>
      </w:r>
      <w:r w:rsidR="001B4AF0" w:rsidRPr="00E00EEA">
        <w:rPr>
          <w:spacing w:val="-2"/>
        </w:rPr>
        <w:t xml:space="preserve"> On top of this, analysis </w:t>
      </w:r>
      <w:r w:rsidR="00AE58CF" w:rsidRPr="00E00EEA">
        <w:rPr>
          <w:spacing w:val="-2"/>
        </w:rPr>
        <w:t>in 2025</w:t>
      </w:r>
      <w:r w:rsidR="001B4AF0" w:rsidRPr="00E00EEA">
        <w:rPr>
          <w:spacing w:val="-2"/>
        </w:rPr>
        <w:t xml:space="preserve"> of reform options for occupational licensing and overseas standards adoption suggested these reforms </w:t>
      </w:r>
      <w:r w:rsidR="00295ABE" w:rsidRPr="00E00EEA">
        <w:rPr>
          <w:spacing w:val="-2"/>
        </w:rPr>
        <w:t>could</w:t>
      </w:r>
      <w:r w:rsidR="00295ABE" w:rsidRPr="00E00EEA" w:rsidDel="004868C9">
        <w:rPr>
          <w:spacing w:val="-2"/>
        </w:rPr>
        <w:t xml:space="preserve"> </w:t>
      </w:r>
      <w:r w:rsidR="004868C9" w:rsidRPr="00E00EEA">
        <w:rPr>
          <w:spacing w:val="-2"/>
        </w:rPr>
        <w:t>boost</w:t>
      </w:r>
      <w:r w:rsidR="00295ABE" w:rsidRPr="00E00EEA">
        <w:rPr>
          <w:spacing w:val="-2"/>
        </w:rPr>
        <w:t xml:space="preserve"> the economy by $1.1</w:t>
      </w:r>
      <w:r w:rsidR="004F4E72" w:rsidRPr="00E00EEA">
        <w:rPr>
          <w:spacing w:val="-2"/>
        </w:rPr>
        <w:t>–</w:t>
      </w:r>
      <w:r w:rsidR="00607D68" w:rsidRPr="00E00EEA">
        <w:rPr>
          <w:spacing w:val="-2"/>
        </w:rPr>
        <w:t>$</w:t>
      </w:r>
      <w:r w:rsidR="00295ABE" w:rsidRPr="00E00EEA">
        <w:rPr>
          <w:spacing w:val="-2"/>
        </w:rPr>
        <w:t xml:space="preserve">3.0 billion </w:t>
      </w:r>
      <w:r w:rsidR="0070762C" w:rsidRPr="00E00EEA">
        <w:rPr>
          <w:spacing w:val="-2"/>
        </w:rPr>
        <w:t>per year (or 0.04</w:t>
      </w:r>
      <w:r w:rsidR="00607D68" w:rsidRPr="00E00EEA">
        <w:rPr>
          <w:spacing w:val="-2"/>
        </w:rPr>
        <w:t>%</w:t>
      </w:r>
      <w:r w:rsidR="00CB6884" w:rsidRPr="00E00EEA">
        <w:rPr>
          <w:spacing w:val="-2"/>
        </w:rPr>
        <w:t>–</w:t>
      </w:r>
      <w:r w:rsidR="0070762C" w:rsidRPr="00E00EEA">
        <w:rPr>
          <w:spacing w:val="-2"/>
        </w:rPr>
        <w:t>0.11% of GDP)</w:t>
      </w:r>
      <w:r w:rsidR="00BF4C63" w:rsidRPr="00E00EEA">
        <w:rPr>
          <w:spacing w:val="-2"/>
        </w:rPr>
        <w:t xml:space="preserve"> </w:t>
      </w:r>
      <w:r w:rsidR="00F35B56" w:rsidRPr="00E00EEA">
        <w:rPr>
          <w:rFonts w:cs="Arial"/>
          <w:spacing w:val="-2"/>
        </w:rPr>
        <w:t>(PC 2025h)</w:t>
      </w:r>
      <w:r w:rsidR="001B4AF0" w:rsidRPr="00E00EEA">
        <w:rPr>
          <w:spacing w:val="-2"/>
        </w:rPr>
        <w:t>.</w:t>
      </w:r>
      <w:r w:rsidR="001B4AF0" w:rsidRPr="00E00EEA">
        <w:rPr>
          <w:rStyle w:val="FootnoteReference"/>
          <w:spacing w:val="-2"/>
        </w:rPr>
        <w:footnoteReference w:id="5"/>
      </w:r>
      <w:r w:rsidR="002B6274" w:rsidRPr="00E00EEA">
        <w:rPr>
          <w:spacing w:val="-2"/>
        </w:rPr>
        <w:t xml:space="preserve"> </w:t>
      </w:r>
      <w:r w:rsidR="002C775F" w:rsidRPr="00E00EEA">
        <w:rPr>
          <w:spacing w:val="-2"/>
        </w:rPr>
        <w:t xml:space="preserve">The latter analysis included a review of mandatory standards, finding that </w:t>
      </w:r>
      <w:r w:rsidR="00BF0BE4" w:rsidRPr="00E00EEA">
        <w:rPr>
          <w:spacing w:val="-2"/>
        </w:rPr>
        <w:t>they should be reviewed to more closely align with international standards and that they should be made freely accessible</w:t>
      </w:r>
      <w:r w:rsidR="003173E0" w:rsidRPr="00E00EEA">
        <w:rPr>
          <w:spacing w:val="-2"/>
        </w:rPr>
        <w:t xml:space="preserve"> </w:t>
      </w:r>
      <w:r w:rsidR="003173E0" w:rsidRPr="00E00EEA">
        <w:rPr>
          <w:rFonts w:cs="Arial"/>
          <w:spacing w:val="-2"/>
        </w:rPr>
        <w:t>(PC 2025h)</w:t>
      </w:r>
      <w:r w:rsidR="00BF0BE4" w:rsidRPr="00E00EEA">
        <w:rPr>
          <w:spacing w:val="-2"/>
        </w:rPr>
        <w:t>.</w:t>
      </w:r>
      <w:r w:rsidR="00BA6738" w:rsidRPr="00E00EEA">
        <w:rPr>
          <w:rStyle w:val="FootnoteReference"/>
          <w:spacing w:val="-2"/>
        </w:rPr>
        <w:footnoteReference w:id="6"/>
      </w:r>
    </w:p>
    <w:p w14:paraId="1BFFCF69" w14:textId="53BFDDC3" w:rsidR="00F1560D" w:rsidRDefault="008F4DE3" w:rsidP="00B45F91">
      <w:pPr>
        <w:pStyle w:val="BodyText"/>
      </w:pPr>
      <w:r>
        <w:t>Ultimately, t</w:t>
      </w:r>
      <w:r w:rsidR="009552FF">
        <w:t>h</w:t>
      </w:r>
      <w:r w:rsidR="0036393C">
        <w:t>ese impacts should be contemplated in the context of the Australian economy of today</w:t>
      </w:r>
      <w:r w:rsidR="009552FF">
        <w:t xml:space="preserve">; </w:t>
      </w:r>
      <w:r w:rsidR="005A1D61">
        <w:t xml:space="preserve">the big </w:t>
      </w:r>
      <w:r w:rsidR="007704B5">
        <w:t xml:space="preserve">competition </w:t>
      </w:r>
      <w:r w:rsidR="005A1D61">
        <w:t>reforms of the 1990s</w:t>
      </w:r>
      <w:r w:rsidR="0064048E">
        <w:t>, like the</w:t>
      </w:r>
      <w:r w:rsidR="00987D8C">
        <w:t xml:space="preserve"> introduction of competition to the telecommunications and aviation industries</w:t>
      </w:r>
      <w:r w:rsidR="0064048E">
        <w:t>,</w:t>
      </w:r>
      <w:r w:rsidR="005A1D61">
        <w:t xml:space="preserve"> can only be </w:t>
      </w:r>
      <w:r w:rsidR="007704B5">
        <w:t xml:space="preserve">meaningfully </w:t>
      </w:r>
      <w:r w:rsidR="005A1D61">
        <w:t>undertaken once.</w:t>
      </w:r>
      <w:r w:rsidR="00494297">
        <w:t xml:space="preserve"> </w:t>
      </w:r>
      <w:r w:rsidR="00014C8D">
        <w:t xml:space="preserve">The Australian economy benefitted from and has built upon </w:t>
      </w:r>
      <w:r w:rsidR="00A26B7F">
        <w:t>these competitio</w:t>
      </w:r>
      <w:r w:rsidR="003E3C73">
        <w:t xml:space="preserve">n policy reforms </w:t>
      </w:r>
      <w:r w:rsidR="003E3C73" w:rsidRPr="001E16F7">
        <w:rPr>
          <w:rFonts w:ascii="Arial" w:hAnsi="Arial" w:cs="Arial"/>
        </w:rPr>
        <w:t>(PC 2005)</w:t>
      </w:r>
      <w:r w:rsidR="003E3C73">
        <w:t xml:space="preserve">, </w:t>
      </w:r>
      <w:r w:rsidR="005C2401">
        <w:t>and the larger and more complex economy of today</w:t>
      </w:r>
      <w:r w:rsidR="00181BE0">
        <w:t xml:space="preserve"> will </w:t>
      </w:r>
      <w:r w:rsidR="00480EA7">
        <w:t>require similarly</w:t>
      </w:r>
      <w:r w:rsidR="001F2C17">
        <w:t xml:space="preserve"> degrees of </w:t>
      </w:r>
      <w:r w:rsidR="000C0978">
        <w:t>effort</w:t>
      </w:r>
      <w:r w:rsidR="00181BE0">
        <w:t xml:space="preserve"> </w:t>
      </w:r>
      <w:r w:rsidR="00A26B7F">
        <w:t>to successfully achieve further</w:t>
      </w:r>
      <w:r w:rsidR="003D3B17">
        <w:t xml:space="preserve"> competition policy reform.</w:t>
      </w:r>
      <w:r w:rsidR="008E7F75">
        <w:t xml:space="preserve"> </w:t>
      </w:r>
      <w:r w:rsidR="00F147DE">
        <w:t>To this end, i</w:t>
      </w:r>
      <w:r w:rsidR="008E7F75">
        <w:t xml:space="preserve">t is </w:t>
      </w:r>
      <w:r w:rsidR="00566FCA">
        <w:t xml:space="preserve">notable that </w:t>
      </w:r>
      <w:r w:rsidR="00566FCA" w:rsidRPr="00F06CC2">
        <w:t>incentive payments to subnational governments</w:t>
      </w:r>
      <w:r w:rsidR="00566FCA">
        <w:t xml:space="preserve"> to encourage implementation of competition reform were more than five times greater </w:t>
      </w:r>
      <w:r w:rsidR="00B16110">
        <w:t xml:space="preserve">under the Hilmer reforms </w:t>
      </w:r>
      <w:r w:rsidR="00566FCA">
        <w:t>(while Australia’s economy was half its current size)</w:t>
      </w:r>
      <w:r w:rsidR="00B16110">
        <w:t xml:space="preserve"> than the most recent reforms</w:t>
      </w:r>
      <w:r w:rsidR="00566FCA">
        <w:t xml:space="preserve"> </w:t>
      </w:r>
      <w:r w:rsidR="00566FCA" w:rsidRPr="00D419F9">
        <w:rPr>
          <w:rFonts w:ascii="Arial" w:hAnsi="Arial" w:cs="Arial"/>
        </w:rPr>
        <w:t>(OECD 2026, p. 90)</w:t>
      </w:r>
      <w:r w:rsidR="00E53F3B">
        <w:t xml:space="preserve"> – though</w:t>
      </w:r>
      <w:r w:rsidR="00FB0575">
        <w:t xml:space="preserve"> this is still</w:t>
      </w:r>
      <w:r w:rsidR="00E53F3B">
        <w:t xml:space="preserve"> more than </w:t>
      </w:r>
      <w:r w:rsidR="00670E8F">
        <w:t>the Harper reforms which had none</w:t>
      </w:r>
      <w:r w:rsidR="0029003B">
        <w:t>.</w:t>
      </w:r>
      <w:r w:rsidR="00494297">
        <w:t xml:space="preserve"> </w:t>
      </w:r>
      <w:r w:rsidR="00A975CD">
        <w:t>T</w:t>
      </w:r>
      <w:r w:rsidR="000122AD" w:rsidRPr="000122AD">
        <w:t>here are still gains to be made by improving competition policy settings</w:t>
      </w:r>
      <w:r w:rsidR="00A975CD">
        <w:t xml:space="preserve">, </w:t>
      </w:r>
      <w:r w:rsidR="00EE295D">
        <w:t xml:space="preserve">and the Australian Government should continue </w:t>
      </w:r>
      <w:r w:rsidR="00E479AF">
        <w:t>its reform efforts towards</w:t>
      </w:r>
      <w:r w:rsidR="00EE295D">
        <w:t xml:space="preserve"> this end</w:t>
      </w:r>
      <w:r w:rsidR="000122AD">
        <w:t>.</w:t>
      </w:r>
      <w:r w:rsidR="0054424E">
        <w:t xml:space="preserve"> </w:t>
      </w:r>
    </w:p>
    <w:p w14:paraId="3C0651AA" w14:textId="0EF6DF49" w:rsidR="00702834" w:rsidRPr="00F82BD9" w:rsidRDefault="00702834" w:rsidP="004B292F">
      <w:pPr>
        <w:pStyle w:val="NoSpacing"/>
      </w:pPr>
    </w:p>
    <w:tbl>
      <w:tblPr>
        <w:tblStyle w:val="Boxtable"/>
        <w:tblW w:w="5000" w:type="pct"/>
        <w:tblLook w:val="04A0" w:firstRow="1" w:lastRow="0" w:firstColumn="1" w:lastColumn="0" w:noHBand="0" w:noVBand="1"/>
      </w:tblPr>
      <w:tblGrid>
        <w:gridCol w:w="9638"/>
      </w:tblGrid>
      <w:tr w:rsidR="00702834" w14:paraId="5FAEFB93" w14:textId="77777777" w:rsidTr="004B292F">
        <w:trPr>
          <w:tblHeader/>
        </w:trPr>
        <w:tc>
          <w:tcPr>
            <w:tcW w:w="9638" w:type="dxa"/>
            <w:shd w:val="clear" w:color="auto" w:fill="EBEBEB"/>
            <w:tcMar>
              <w:top w:w="170" w:type="dxa"/>
              <w:left w:w="170" w:type="dxa"/>
              <w:bottom w:w="113" w:type="dxa"/>
              <w:right w:w="170" w:type="dxa"/>
            </w:tcMar>
            <w:hideMark/>
          </w:tcPr>
          <w:p w14:paraId="5977B030" w14:textId="6486F4EC" w:rsidR="00702834" w:rsidRDefault="00702834">
            <w:pPr>
              <w:pStyle w:val="BoxHeading1"/>
            </w:pPr>
            <w:r>
              <w:t>Key takeaways – Effectiveness of Australia’s competition policy</w:t>
            </w:r>
          </w:p>
        </w:tc>
      </w:tr>
      <w:tr w:rsidR="00702834" w14:paraId="5FD4C4E6" w14:textId="77777777" w:rsidTr="004B292F">
        <w:tc>
          <w:tcPr>
            <w:tcW w:w="9638" w:type="dxa"/>
            <w:shd w:val="clear" w:color="auto" w:fill="EBEBEB"/>
            <w:tcMar>
              <w:top w:w="28" w:type="dxa"/>
              <w:left w:w="170" w:type="dxa"/>
              <w:bottom w:w="170" w:type="dxa"/>
              <w:right w:w="170" w:type="dxa"/>
            </w:tcMar>
            <w:hideMark/>
          </w:tcPr>
          <w:p w14:paraId="2D137DFB" w14:textId="4C1ED806" w:rsidR="00702834" w:rsidRPr="00676D5C" w:rsidRDefault="00702834" w:rsidP="00676D5C">
            <w:pPr>
              <w:pStyle w:val="BodyText"/>
              <w:spacing w:after="240"/>
            </w:pPr>
            <w:r w:rsidRPr="00676D5C">
              <w:t>Australia should continue to engage with competition reform. Doing so will enhance the incentive for firms to reduce costs, reduce prices and introduce new products to the market</w:t>
            </w:r>
            <w:r w:rsidR="00F774E7" w:rsidRPr="00676D5C">
              <w:t xml:space="preserve">, with the potential to boost Australia’s GDP, productivity and broader consumer welfare </w:t>
            </w:r>
            <w:r w:rsidR="00DC42E2" w:rsidRPr="00676D5C">
              <w:t>(PC 2024b, 2025h)</w:t>
            </w:r>
            <w:r w:rsidRPr="00676D5C">
              <w:t xml:space="preserve">. </w:t>
            </w:r>
          </w:p>
        </w:tc>
      </w:tr>
      <w:tr w:rsidR="00702834" w14:paraId="5123D2B8" w14:textId="77777777" w:rsidTr="004B292F">
        <w:trPr>
          <w:hidden/>
        </w:trPr>
        <w:tc>
          <w:tcPr>
            <w:tcW w:w="9638" w:type="dxa"/>
            <w:shd w:val="clear" w:color="auto" w:fill="auto"/>
            <w:tcMar>
              <w:top w:w="0" w:type="dxa"/>
              <w:left w:w="170" w:type="dxa"/>
              <w:bottom w:w="0" w:type="dxa"/>
              <w:right w:w="170" w:type="dxa"/>
            </w:tcMar>
          </w:tcPr>
          <w:p w14:paraId="721600A6" w14:textId="2FE09BC2" w:rsidR="00702834" w:rsidRPr="00465191" w:rsidRDefault="00702834">
            <w:pPr>
              <w:pStyle w:val="BodyText"/>
              <w:spacing w:before="0" w:after="0" w:line="80" w:lineRule="atLeast"/>
              <w:rPr>
                <w:smallCaps/>
                <w:vanish/>
              </w:rPr>
            </w:pPr>
          </w:p>
        </w:tc>
      </w:tr>
    </w:tbl>
    <w:p w14:paraId="5A2EC32D" w14:textId="00B0A3A8" w:rsidR="00765297" w:rsidRPr="00AB0A98" w:rsidRDefault="00765297" w:rsidP="00765297">
      <w:pPr>
        <w:pStyle w:val="Heading2-nonumber"/>
      </w:pPr>
      <w:bookmarkStart w:id="8" w:name="_Toc219280607"/>
      <w:bookmarkStart w:id="9" w:name="_Toc219280609"/>
      <w:r w:rsidRPr="00AB0A98">
        <w:t>Dynamism of Australia's labour market</w:t>
      </w:r>
      <w:bookmarkEnd w:id="8"/>
    </w:p>
    <w:p w14:paraId="67A52A9D" w14:textId="559E8B2A" w:rsidR="00626AC8" w:rsidRPr="00AB0A98" w:rsidRDefault="00837689" w:rsidP="00B45F91">
      <w:pPr>
        <w:pStyle w:val="Heading3"/>
      </w:pPr>
      <w:r>
        <w:t xml:space="preserve">Australia’s strong labour market </w:t>
      </w:r>
      <w:r w:rsidR="003D24EB">
        <w:t xml:space="preserve">is </w:t>
      </w:r>
      <w:r w:rsidR="00A5752B">
        <w:t>in part the flipside of low productivity growth</w:t>
      </w:r>
    </w:p>
    <w:p w14:paraId="69D6EB35" w14:textId="77777777" w:rsidR="000E7A16" w:rsidRDefault="000E7A16" w:rsidP="000E7A16">
      <w:pPr>
        <w:pStyle w:val="BodyText"/>
      </w:pPr>
      <w:r>
        <w:t xml:space="preserve">Since the COVID 19 pandemic, Australia’s labour market has been at its strongest on record by </w:t>
      </w:r>
      <w:proofErr w:type="gramStart"/>
      <w:r>
        <w:t>a number of</w:t>
      </w:r>
      <w:proofErr w:type="gramEnd"/>
      <w:r>
        <w:t xml:space="preserve"> metrics. Vacancy rates are at their highest (figure 11a) and unemployment rates at their lowest levels in the past three decades. Employment to population ratios reached a record high in January 2025, and growth in total hours in hours worked has been at its fastest on record between December 2021 and December 2022. While this is in part reflective of broader trends across the OECD which, at the aggregate, has recently reached record high participation and employment rates, Australia is performing above the OECD average. </w:t>
      </w:r>
    </w:p>
    <w:p w14:paraId="750A2FC9" w14:textId="77777777" w:rsidR="000E7A16" w:rsidRDefault="000E7A16" w:rsidP="000E7A16">
      <w:pPr>
        <w:pStyle w:val="BodyText"/>
      </w:pPr>
      <w:r>
        <w:t>The strength in labour markets has resulted in a bounce-back in nominal wages; however, significant inflation has impeded real wage growth (chart 11b). Recent data from the ABS suggests annual real wage growth again turned negative at the end the 2025 calendar year.</w:t>
      </w:r>
    </w:p>
    <w:p w14:paraId="22D82290" w14:textId="77777777" w:rsidR="000E7A16" w:rsidRDefault="000E7A16" w:rsidP="000E7A16">
      <w:pPr>
        <w:pStyle w:val="BodyText"/>
      </w:pPr>
      <w:r>
        <w:lastRenderedPageBreak/>
        <w:t>Australia’s strong labour market in part reflects Australian government policy choices through the COVID 19 pandemic, which were designed to protect jobs and businesses. This included maintaining employees’ attachment to their jobs (through the JobKeeper scheme) or helping temporarily illiquid businesses stay afloat (through changes to insolvency laws). Policies which supported the workforce through the pandemic are worth celebrating, as they are generally associated with a range of social benefits such as reducing inequality and supporting the health and wellbeing of Australian’s who managed to stay attached to their job.</w:t>
      </w:r>
    </w:p>
    <w:p w14:paraId="58B2C18F" w14:textId="32306457" w:rsidR="000E7A16" w:rsidRPr="000F184B" w:rsidRDefault="000E7A16" w:rsidP="000F184B">
      <w:pPr>
        <w:pStyle w:val="BodyText"/>
        <w:rPr>
          <w:spacing w:val="-4"/>
        </w:rPr>
      </w:pPr>
      <w:r w:rsidRPr="000F184B">
        <w:rPr>
          <w:spacing w:val="-4"/>
        </w:rPr>
        <w:t xml:space="preserve">However, the strong labour force outcomes </w:t>
      </w:r>
      <w:r w:rsidR="005E2A95" w:rsidRPr="000F184B">
        <w:rPr>
          <w:spacing w:val="-4"/>
        </w:rPr>
        <w:t xml:space="preserve">likely explain part </w:t>
      </w:r>
      <w:r w:rsidR="00F9532A" w:rsidRPr="000F184B">
        <w:rPr>
          <w:spacing w:val="-4"/>
        </w:rPr>
        <w:t>of</w:t>
      </w:r>
      <w:r w:rsidR="00F9474A" w:rsidRPr="000F184B">
        <w:rPr>
          <w:spacing w:val="-4"/>
        </w:rPr>
        <w:t xml:space="preserve"> </w:t>
      </w:r>
      <w:r w:rsidRPr="000F184B">
        <w:rPr>
          <w:spacing w:val="-4"/>
        </w:rPr>
        <w:t xml:space="preserve">Australia’s recent weak productivity performance. </w:t>
      </w:r>
    </w:p>
    <w:p w14:paraId="0FE2F005" w14:textId="77777777" w:rsidR="008323D5" w:rsidRDefault="008323D5" w:rsidP="00867DD6">
      <w:pPr>
        <w:pStyle w:val="FigureTableHeading"/>
      </w:pPr>
      <w:r w:rsidRPr="000F184B">
        <w:t>Figure 1</w:t>
      </w:r>
      <w:r>
        <w:t>1 – Australia’s labour market is tight, but real wage growth is struggling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8A0315" w:rsidRPr="00916D59" w14:paraId="5F935D97" w14:textId="77777777">
        <w:trPr>
          <w:tblHeader/>
        </w:trPr>
        <w:tc>
          <w:tcPr>
            <w:tcW w:w="2500" w:type="pct"/>
          </w:tcPr>
          <w:p w14:paraId="43D8B390" w14:textId="0339EA9C" w:rsidR="008A0315" w:rsidRPr="00916D59" w:rsidRDefault="008A0315">
            <w:pPr>
              <w:pStyle w:val="TableBody"/>
              <w:spacing w:after="15"/>
              <w:ind w:left="0"/>
            </w:pPr>
            <w:r>
              <w:t xml:space="preserve">a. Job vacancies are historically high and unemployment </w:t>
            </w:r>
            <w:r w:rsidR="00867DD6">
              <w:br/>
            </w:r>
            <w:r>
              <w:t>is historically low</w:t>
            </w:r>
            <w:r w:rsidRPr="004826C9">
              <w:t xml:space="preserve"> </w:t>
            </w:r>
            <w:r w:rsidR="00B26013" w:rsidRPr="00B26013">
              <w:rPr>
                <w:noProof/>
              </w:rPr>
              <w:drawing>
                <wp:inline distT="0" distB="0" distL="0" distR="0" wp14:anchorId="3DE72086" wp14:editId="697D4F96">
                  <wp:extent cx="2994660" cy="2880360"/>
                  <wp:effectExtent l="0" t="0" r="0" b="0"/>
                  <wp:docPr id="53744568" name="Picture 16" descr="This figure has two panels&#10;The first panel is a line chart which plots Australia’s unemployment rate against the job vacancy rate. The line chart has three coloured lines: the first for the 1994-2008 period which shows a declining unemployment rate from just below 10% to about 4% and an increasing job vacancy rate from about 1% to 1.5%; the second is for the 2009-2019 period where the unemployment rate remained between 5% and 6% while the job vacancy rate fluctuated between about 1% and 1.5%; and the third is for 2020 to 2025, showing am increase in the unemployment rate to about 7% before declining to about 4% and an increase in the job vacancy rate from 1.5% to 3%, then down to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4568" name="Picture 16" descr="This figure has two panels&#10;The first panel is a line chart which plots Australia’s unemployment rate against the job vacancy rate. The line chart has three coloured lines: the first for the 1994-2008 period which shows a declining unemployment rate from just below 10% to about 4% and an increasing job vacancy rate from about 1% to 1.5%; the second is for the 2009-2019 period where the unemployment rate remained between 5% and 6% while the job vacancy rate fluctuated between about 1% and 1.5%; and the third is for 2020 to 2025, showing am increase in the unemployment rate to about 7% before declining to about 4% and an increase in the job vacancy rate from 1.5% to 3%, then down to 2%.&#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4660" cy="2880360"/>
                          </a:xfrm>
                          <a:prstGeom prst="rect">
                            <a:avLst/>
                          </a:prstGeom>
                          <a:noFill/>
                          <a:ln>
                            <a:noFill/>
                          </a:ln>
                        </pic:spPr>
                      </pic:pic>
                    </a:graphicData>
                  </a:graphic>
                </wp:inline>
              </w:drawing>
            </w:r>
          </w:p>
        </w:tc>
        <w:tc>
          <w:tcPr>
            <w:tcW w:w="2500" w:type="pct"/>
          </w:tcPr>
          <w:p w14:paraId="6B6D6A49" w14:textId="6F968EC0" w:rsidR="008A0315" w:rsidRPr="00916D59" w:rsidRDefault="008A0315">
            <w:pPr>
              <w:pStyle w:val="TableBody"/>
              <w:spacing w:after="15"/>
              <w:ind w:left="0"/>
            </w:pPr>
            <w:r>
              <w:t>b. Nominal wage growth has bounced back, but real wage growth is faltering</w:t>
            </w:r>
            <w:r w:rsidR="00F6498B">
              <w:t xml:space="preserve"> </w:t>
            </w:r>
            <w:r w:rsidR="00F6498B" w:rsidRPr="00F6498B">
              <w:rPr>
                <w:noProof/>
              </w:rPr>
              <w:drawing>
                <wp:inline distT="0" distB="0" distL="0" distR="0" wp14:anchorId="375A179B" wp14:editId="1B079190">
                  <wp:extent cx="2994660" cy="2880360"/>
                  <wp:effectExtent l="0" t="0" r="0" b="0"/>
                  <wp:docPr id="410612925" name="Picture 11" descr="The second panel is a line chart showing the growth rate in nominal and real wages over time. Nominal wage growth is shown to sit between 3% and 4% from 1998 to 2013, declining to about 1% by 2019, then growing to about 3.5% by 2025. Real wage growth is shown to be volatile, often ranging between 0% and 2%, with negative instances particularly from 1999 to 2001 and again from 2021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12925" name="Picture 11" descr="The second panel is a line chart showing the growth rate in nominal and real wages over time. Nominal wage growth is shown to sit between 3% and 4% from 1998 to 2013, declining to about 1% by 2019, then growing to about 3.5% by 2025. Real wage growth is shown to be volatile, often ranging between 0% and 2%, with negative instances particularly from 1999 to 2001 and again from 2021 to 20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4660" cy="2880360"/>
                          </a:xfrm>
                          <a:prstGeom prst="rect">
                            <a:avLst/>
                          </a:prstGeom>
                          <a:noFill/>
                          <a:ln>
                            <a:noFill/>
                          </a:ln>
                        </pic:spPr>
                      </pic:pic>
                    </a:graphicData>
                  </a:graphic>
                </wp:inline>
              </w:drawing>
            </w:r>
          </w:p>
        </w:tc>
      </w:tr>
    </w:tbl>
    <w:p w14:paraId="012394AA" w14:textId="77777777" w:rsidR="008323D5" w:rsidRDefault="008323D5" w:rsidP="008A0315">
      <w:pPr>
        <w:pStyle w:val="Note"/>
      </w:pPr>
      <w:r>
        <w:t>Job vacancy rates calculated as total vacancies divided by total jobs. Vacancy rate data are not available for some quarters from 2008 to 2009. Wage growth calculated as year-on-year change in wage price index. Real wage growth calculated by scaling the wage price index against growth in the Australian consumer price index.</w:t>
      </w:r>
    </w:p>
    <w:p w14:paraId="4D0AFA39" w14:textId="77777777" w:rsidR="008323D5" w:rsidRDefault="008323D5" w:rsidP="008A0315">
      <w:pPr>
        <w:pStyle w:val="Source"/>
      </w:pPr>
      <w:r>
        <w:t>Source: PC estimates based upon ABS (2025c; 2026a; 2026b; 2026c).</w:t>
      </w:r>
    </w:p>
    <w:p w14:paraId="2EFC9861" w14:textId="5F3C38CC" w:rsidR="00BA57B9" w:rsidRDefault="00BA57B9" w:rsidP="00BA57B9">
      <w:pPr>
        <w:pStyle w:val="BodyText"/>
      </w:pPr>
      <w:r>
        <w:t>The unprecedented growth in Australian employment reduced the capital per worker in the short term. The capital stock is inherently slower to move than hours worked because many forms of capital (like equipment or infrastructure) are lumpy, long-lived investments that cannot quickly be built up or scaled back in response to short-term economic changes. That meant the growth in Australia’s capital stock did not keep pace with our labour market.</w:t>
      </w:r>
    </w:p>
    <w:p w14:paraId="2B6E9323" w14:textId="77777777" w:rsidR="00BA57B9" w:rsidRDefault="00BA57B9" w:rsidP="00BA57B9">
      <w:pPr>
        <w:pStyle w:val="BodyText"/>
      </w:pPr>
      <w:r>
        <w:t>Further, by minimising labour market disruptions through the pandemic, the COVID-19 policy responses may have affected productivity growth by preventing the reallocation of labour away from less productive firms, and towards more productive firms.</w:t>
      </w:r>
    </w:p>
    <w:p w14:paraId="4C0F6DA5" w14:textId="77777777" w:rsidR="00BA57B9" w:rsidRPr="00867DD6" w:rsidRDefault="00BA57B9" w:rsidP="00BA57B9">
      <w:pPr>
        <w:pStyle w:val="BodyText"/>
        <w:rPr>
          <w:spacing w:val="-2"/>
        </w:rPr>
      </w:pPr>
      <w:r w:rsidRPr="00867DD6">
        <w:rPr>
          <w:spacing w:val="-2"/>
        </w:rPr>
        <w:t>This presents some apparent trade</w:t>
      </w:r>
      <w:r w:rsidRPr="00867DD6">
        <w:rPr>
          <w:rFonts w:ascii="Cambria Math" w:hAnsi="Cambria Math" w:cs="Shruti"/>
          <w:spacing w:val="-2"/>
        </w:rPr>
        <w:t>‑</w:t>
      </w:r>
      <w:r w:rsidRPr="00867DD6">
        <w:rPr>
          <w:spacing w:val="-2"/>
        </w:rPr>
        <w:t>offs in our productivity performance recently. Through the pandemic, Australia prioritised job security; and promoting high levels of participation and low levels of unemployment is broadly associated with positive social outcomes. However, this possibly occurred at the expense of productivity growth. This underscores the difficult decisions policymakers faced in obtaining the ‘right’ balance.</w:t>
      </w:r>
    </w:p>
    <w:p w14:paraId="06EE3B2C" w14:textId="53CB0A50" w:rsidR="00BA57B9" w:rsidRPr="000E7A16" w:rsidRDefault="00BA57B9" w:rsidP="00BA57B9">
      <w:pPr>
        <w:pStyle w:val="BodyText"/>
      </w:pPr>
      <w:r>
        <w:t xml:space="preserve">Australia has also seen a significant increase in the number of people working from home – a response to the COVID-19 pandemic. The emerging literature suggests well managed hybrid arrangements do not tend </w:t>
      </w:r>
      <w:r>
        <w:lastRenderedPageBreak/>
        <w:t xml:space="preserve">to have a negative impact on firm productivity and can generate considerable benefits to workers. Both businesses and workers have incentives to land on these arrangements where they make sense. We have warned that a legislated right to request working from home may impede or add cost to firms reaching these beneficial arrangements, depending on how it is applied </w:t>
      </w:r>
      <w:r w:rsidRPr="00D335E6">
        <w:rPr>
          <w:rFonts w:ascii="Arial" w:hAnsi="Arial" w:cs="Arial"/>
        </w:rPr>
        <w:t>(PC 2026)</w:t>
      </w:r>
      <w:r>
        <w:t>.</w:t>
      </w:r>
    </w:p>
    <w:p w14:paraId="15CC3652" w14:textId="77777777" w:rsidR="008323D5" w:rsidRDefault="008323D5" w:rsidP="008A0315">
      <w:pPr>
        <w:pStyle w:val="Heading3"/>
      </w:pPr>
      <w:r>
        <w:t>Efficient labour markets are enablers of productivity growth and can be impeded by supply constraints and restrictive labour laws</w:t>
      </w:r>
    </w:p>
    <w:p w14:paraId="564CA23B" w14:textId="77777777" w:rsidR="008323D5" w:rsidRPr="003D108D" w:rsidRDefault="008323D5" w:rsidP="008323D5">
      <w:pPr>
        <w:pStyle w:val="BodyText"/>
        <w:rPr>
          <w:spacing w:val="2"/>
        </w:rPr>
      </w:pPr>
      <w:r w:rsidRPr="003D108D">
        <w:rPr>
          <w:spacing w:val="2"/>
        </w:rPr>
        <w:t xml:space="preserve">More broadly, well-functioning labour markets are a key driver of productivity growth and wellbeing. A well-functioning labour market leads to an efficient allocation of labour – where workers </w:t>
      </w:r>
      <w:proofErr w:type="gramStart"/>
      <w:r w:rsidRPr="003D108D">
        <w:rPr>
          <w:spacing w:val="2"/>
        </w:rPr>
        <w:t>are able to</w:t>
      </w:r>
      <w:proofErr w:type="gramEnd"/>
      <w:r w:rsidRPr="003D108D">
        <w:rPr>
          <w:spacing w:val="2"/>
        </w:rPr>
        <w:t xml:space="preserve"> find jobs that align with their skills and preferences, and firms can find workers with the skills and knowledge to meet their demands. </w:t>
      </w:r>
    </w:p>
    <w:p w14:paraId="54F8A559" w14:textId="77777777" w:rsidR="008323D5" w:rsidRDefault="008323D5" w:rsidP="008323D5">
      <w:pPr>
        <w:pStyle w:val="BodyText"/>
      </w:pPr>
      <w:r>
        <w:t>Recent PC work has addressed key barriers to labour market productivity in Australia due to insufficient supply of appropriately skilled workers, with issues encompassing education and workforce training, migration settings and occupational licensing.</w:t>
      </w:r>
    </w:p>
    <w:p w14:paraId="4B85AF40" w14:textId="77777777" w:rsidR="00765297" w:rsidRPr="00680CFE" w:rsidRDefault="00765297" w:rsidP="00765297">
      <w:pPr>
        <w:pStyle w:val="Heading4"/>
      </w:pPr>
      <w:r w:rsidRPr="00680CFE">
        <w:t>Lagging outcomes in education and workforce training</w:t>
      </w:r>
      <w:r>
        <w:t xml:space="preserve"> are impeding workers’ productivity potential</w:t>
      </w:r>
    </w:p>
    <w:p w14:paraId="6CC96770" w14:textId="77777777" w:rsidR="002A322C" w:rsidRPr="002A322C" w:rsidRDefault="002A322C" w:rsidP="00087F94">
      <w:pPr>
        <w:pStyle w:val="BodyText"/>
      </w:pPr>
      <w:r w:rsidRPr="002A322C">
        <w:t xml:space="preserve">Improving the skills of the workforce is one of the most important levers to improve productivity – as high-skill economies such as Singapore attest. Workers with better skills are more productive and more innovative, boosting our ability to innovate and to harness overseas innovation. </w:t>
      </w:r>
    </w:p>
    <w:p w14:paraId="52C6DBA1" w14:textId="4011AE0E" w:rsidR="002A322C" w:rsidRPr="002A322C" w:rsidRDefault="002A322C" w:rsidP="00087F94">
      <w:pPr>
        <w:pStyle w:val="BodyText"/>
      </w:pPr>
      <w:r w:rsidRPr="002A322C">
        <w:t>There are three dimensions that policymakers can influence. First, the total quantity of skills can be boosted. Many have stressed the importance of boosting the share of the population with vocational and university qualifications</w:t>
      </w:r>
      <w:r w:rsidR="003B4388">
        <w:t xml:space="preserve"> </w:t>
      </w:r>
      <w:r w:rsidR="00C345E4" w:rsidRPr="00C345E4">
        <w:rPr>
          <w:rFonts w:ascii="Arial" w:hAnsi="Arial" w:cs="Arial"/>
        </w:rPr>
        <w:t>(Department of Education 2024; PC 2023b)</w:t>
      </w:r>
      <w:r w:rsidR="00C345E4">
        <w:t>.</w:t>
      </w:r>
      <w:r w:rsidRPr="002A322C">
        <w:t xml:space="preserve"> </w:t>
      </w:r>
    </w:p>
    <w:p w14:paraId="59A713F2" w14:textId="77777777" w:rsidR="00DB1BD9" w:rsidRDefault="002A322C" w:rsidP="00087F94">
      <w:pPr>
        <w:pStyle w:val="BodyText"/>
      </w:pPr>
      <w:r w:rsidRPr="002A322C">
        <w:t xml:space="preserve">But expanding post-secondary </w:t>
      </w:r>
      <w:r w:rsidR="00A0461D">
        <w:t>attainment</w:t>
      </w:r>
      <w:r w:rsidRPr="002A322C">
        <w:t xml:space="preserve"> relies on more students leaving school with strong foundation skills in literacy and numeracy, so they can be successful. One in five Australians have low basic skills, which limits their job opportunities, versatility, capacity to acquire further skills and lifetime wages (PC 2023d, p. 1). The PC has recommended that schools have better access to high-quality instructional materials and educational technology</w:t>
      </w:r>
      <w:r w:rsidR="0098629C">
        <w:t xml:space="preserve"> </w:t>
      </w:r>
      <w:r w:rsidR="0098629C" w:rsidRPr="002A322C">
        <w:t>(PC 2025a)</w:t>
      </w:r>
      <w:r w:rsidRPr="002A322C">
        <w:t xml:space="preserve">. These materials will support teachers at all levels of experience and allow struggling students to catch up with tailored help. </w:t>
      </w:r>
    </w:p>
    <w:p w14:paraId="2852833B" w14:textId="7AE260C3" w:rsidR="002A322C" w:rsidRPr="003D108D" w:rsidRDefault="002A322C" w:rsidP="00087F94">
      <w:pPr>
        <w:pStyle w:val="BodyText"/>
        <w:rPr>
          <w:spacing w:val="-4"/>
        </w:rPr>
      </w:pPr>
      <w:r w:rsidRPr="003D108D">
        <w:rPr>
          <w:spacing w:val="-4"/>
        </w:rPr>
        <w:t>Young people also need easy pathways back into post-secondary education, or into further study, through improved credit recognition between institutions and robust recognition of prior learning. Many tertiary education providers do not allow students to apply for credit before enrolment, which can restrict choices and movement towards alternative tertiary pathways; and recognition of prior learning is cumbersome and expensive.</w:t>
      </w:r>
    </w:p>
    <w:p w14:paraId="791DA9DA" w14:textId="7F91716A" w:rsidR="002A322C" w:rsidRPr="002A322C" w:rsidRDefault="002A322C" w:rsidP="00087F94">
      <w:pPr>
        <w:pStyle w:val="BodyText"/>
      </w:pPr>
      <w:r w:rsidRPr="002A322C">
        <w:t xml:space="preserve">The quantity of skills is not only about formal education. Work-related training is an important channel by which workers deepen their skills and keep </w:t>
      </w:r>
      <w:proofErr w:type="gramStart"/>
      <w:r w:rsidRPr="002A322C">
        <w:t>up</w:t>
      </w:r>
      <w:r w:rsidR="00705D21">
        <w:t>-</w:t>
      </w:r>
      <w:r w:rsidRPr="002A322C">
        <w:t>to</w:t>
      </w:r>
      <w:r w:rsidR="00705D21">
        <w:t>-</w:t>
      </w:r>
      <w:r w:rsidRPr="002A322C">
        <w:t>date</w:t>
      </w:r>
      <w:proofErr w:type="gramEnd"/>
      <w:r w:rsidRPr="002A322C">
        <w:t xml:space="preserve"> with new technology. Yet Australia’s training rates are low compared with other major economies, despite a small uplift since 2019. The PC recommends co</w:t>
      </w:r>
      <w:r w:rsidR="00505C55">
        <w:rPr>
          <w:rFonts w:ascii="Cambria Math" w:hAnsi="Cambria Math"/>
        </w:rPr>
        <w:t>‑</w:t>
      </w:r>
      <w:r w:rsidRPr="002A322C">
        <w:t>funding vouchers for work-related training and advisory supports for firms to choose training. The vouchers would be available to small and medium enterprises, where the rates of training are low.</w:t>
      </w:r>
    </w:p>
    <w:p w14:paraId="54A2F31B" w14:textId="726141A9" w:rsidR="002A322C" w:rsidRPr="006C6E09" w:rsidRDefault="002A322C" w:rsidP="00087F94">
      <w:pPr>
        <w:pStyle w:val="BodyText"/>
        <w:rPr>
          <w:spacing w:val="-4"/>
        </w:rPr>
      </w:pPr>
      <w:r w:rsidRPr="006C6E09">
        <w:rPr>
          <w:spacing w:val="-4"/>
        </w:rPr>
        <w:t xml:space="preserve">Second, the quality of skills can be improved. Curriculum materials in schools and tailored educational technology has been shown to boost the quality of learning in each grade. In post-secondary education, the University Accord called for a greater focus on the quality of teaching, as did the PC </w:t>
      </w:r>
      <w:r w:rsidR="00E25E3D" w:rsidRPr="006C6E09">
        <w:rPr>
          <w:rFonts w:cs="Arial"/>
          <w:spacing w:val="-4"/>
        </w:rPr>
        <w:t>(Department of Education 2024; PC 2023b)</w:t>
      </w:r>
      <w:r w:rsidRPr="006C6E09">
        <w:rPr>
          <w:spacing w:val="-4"/>
        </w:rPr>
        <w:t xml:space="preserve">. The mission-based compacts between universities and the Australian Tertiary Education Commission, the fruit of the University Accord process, are an opportunity to negotiate over the quality of learning outcomes (as measured </w:t>
      </w:r>
      <w:r w:rsidRPr="006C6E09">
        <w:rPr>
          <w:spacing w:val="-4"/>
        </w:rPr>
        <w:lastRenderedPageBreak/>
        <w:t>through the satisfaction of graduates and employers, regulatory outcomes, and complaints to the National Student Ombudsman). Measures of quality can be made more salient to students</w:t>
      </w:r>
      <w:r w:rsidR="0008528B" w:rsidRPr="006C6E09">
        <w:rPr>
          <w:spacing w:val="-4"/>
        </w:rPr>
        <w:t xml:space="preserve"> </w:t>
      </w:r>
      <w:r w:rsidR="0008528B" w:rsidRPr="006C6E09">
        <w:rPr>
          <w:rFonts w:cs="Arial"/>
          <w:spacing w:val="-4"/>
        </w:rPr>
        <w:t>(PC 2023b)</w:t>
      </w:r>
      <w:r w:rsidRPr="006C6E09">
        <w:rPr>
          <w:spacing w:val="-4"/>
        </w:rPr>
        <w:t>.</w:t>
      </w:r>
    </w:p>
    <w:p w14:paraId="195DCBAD" w14:textId="7C830722" w:rsidR="002A322C" w:rsidRPr="00D455FE" w:rsidRDefault="002A322C" w:rsidP="00087F94">
      <w:pPr>
        <w:pStyle w:val="BodyText"/>
      </w:pPr>
      <w:r w:rsidRPr="002A322C">
        <w:t>Third, policymakers can boost the adaptability of the workforce, by increasing the flexibility with which workers are used. Lowering the barriers to entering new occupations allows workers to find the occupation with the best fit. This is discussed in more detail below.</w:t>
      </w:r>
      <w:r w:rsidR="00C024A0">
        <w:t xml:space="preserve"> </w:t>
      </w:r>
    </w:p>
    <w:p w14:paraId="5F475A8E" w14:textId="77777777" w:rsidR="004D2AEA" w:rsidRPr="00BA2FE7" w:rsidRDefault="004D2AEA" w:rsidP="004D2AEA">
      <w:pPr>
        <w:keepNext/>
        <w:keepLines/>
        <w:spacing w:before="240" w:line="264" w:lineRule="atLeast"/>
        <w:outlineLvl w:val="3"/>
        <w:rPr>
          <w:rFonts w:ascii="Arial Black" w:eastAsia="SimHei" w:hAnsi="Arial Black" w:cs="Times New Roman"/>
          <w:iCs/>
          <w:color w:val="265A9A"/>
          <w:sz w:val="22"/>
          <w:szCs w:val="33"/>
        </w:rPr>
      </w:pPr>
      <w:r w:rsidRPr="00BA2FE7">
        <w:rPr>
          <w:rFonts w:ascii="Arial Black" w:eastAsia="SimHei" w:hAnsi="Arial Black" w:cs="Times New Roman"/>
          <w:iCs/>
          <w:color w:val="265A9A"/>
          <w:sz w:val="22"/>
          <w:szCs w:val="33"/>
        </w:rPr>
        <w:t>Improving productivity through skilled migration</w:t>
      </w:r>
    </w:p>
    <w:p w14:paraId="29A1911E" w14:textId="269E0AB9" w:rsidR="004D2AEA" w:rsidRPr="00BA2FE7" w:rsidRDefault="004D2AEA" w:rsidP="00B72FF2">
      <w:pPr>
        <w:pStyle w:val="BodyText"/>
      </w:pPr>
      <w:r w:rsidRPr="00BA2FE7">
        <w:t>Skilled migrants stimulate productivity and make net fiscal contributions over their lifetimes. They bring new ways of working and specialised technical know-how, important channel</w:t>
      </w:r>
      <w:r>
        <w:t>s</w:t>
      </w:r>
      <w:r w:rsidRPr="00BA2FE7">
        <w:t xml:space="preserve"> for innovation to spread from overseas. And they can push all workers to hone their skills and specialise more.</w:t>
      </w:r>
    </w:p>
    <w:p w14:paraId="41E4FCF9" w14:textId="13255209" w:rsidR="004D2AEA" w:rsidRPr="00BA2FE7" w:rsidRDefault="004D2AEA" w:rsidP="00B72FF2">
      <w:pPr>
        <w:pStyle w:val="BodyText"/>
      </w:pPr>
      <w:r w:rsidRPr="00BA2FE7">
        <w:t>Skilled migrants’ labour market outcomes, productivity, and fiscal contribution vary substantially across visa subclasses</w:t>
      </w:r>
      <w:r w:rsidR="00315D7B">
        <w:t xml:space="preserve"> </w:t>
      </w:r>
      <w:r w:rsidR="00315D7B" w:rsidRPr="00315D7B">
        <w:rPr>
          <w:rFonts w:ascii="Arial" w:hAnsi="Arial" w:cs="Arial"/>
        </w:rPr>
        <w:t>(PC 2023b, p. 18)</w:t>
      </w:r>
      <w:r w:rsidRPr="00BA2FE7">
        <w:t>. There is a significant opportunity to improve the permanent migration program by adjusting the intake to favour the better-performing visa subclasses, such as employer nominated and skilled independent visas. In addition, the selection process within visa subclasses could be improved. The points test for skilled visas should be adjusted to ensure the points allocated to different characteristics line up with evidence on the factors that predict better labour market and fiscal outcomes down the track.</w:t>
      </w:r>
    </w:p>
    <w:p w14:paraId="3E044C0A" w14:textId="6A402E1B" w:rsidR="004D2AEA" w:rsidRPr="00BA2FE7" w:rsidRDefault="004D2AEA" w:rsidP="00B72FF2">
      <w:pPr>
        <w:pStyle w:val="BodyText"/>
      </w:pPr>
      <w:r w:rsidRPr="00BA2FE7">
        <w:t xml:space="preserve">Another priority is ensuring migrants </w:t>
      </w:r>
      <w:proofErr w:type="gramStart"/>
      <w:r w:rsidRPr="00BA2FE7">
        <w:t>are able to</w:t>
      </w:r>
      <w:proofErr w:type="gramEnd"/>
      <w:r w:rsidRPr="00BA2FE7">
        <w:t xml:space="preserve"> fully use their skills when they arrive in Australia. In 2021, about 44% of recent permanent migrants were working below their nominated skill level or were unemployed</w:t>
      </w:r>
      <w:r w:rsidR="00F022A5">
        <w:t xml:space="preserve"> </w:t>
      </w:r>
      <w:r w:rsidR="00122568" w:rsidRPr="00122568">
        <w:rPr>
          <w:rFonts w:ascii="Arial" w:hAnsi="Arial" w:cs="Arial"/>
        </w:rPr>
        <w:t>(Settlement Services International 2024, p. 6)</w:t>
      </w:r>
      <w:r w:rsidRPr="00BA2FE7">
        <w:t>. Processes to obtain occupational licenses</w:t>
      </w:r>
      <w:r>
        <w:t xml:space="preserve"> can</w:t>
      </w:r>
      <w:r w:rsidRPr="00BA2FE7">
        <w:t xml:space="preserve"> duplicate visa assessment processes, and there can be lengthy delays and costs while migrants undertaken Minimum Australian Context Gap training</w:t>
      </w:r>
      <w:r w:rsidR="00A17B88">
        <w:t xml:space="preserve"> </w:t>
      </w:r>
      <w:r w:rsidR="00BB78C5" w:rsidRPr="00BB78C5">
        <w:rPr>
          <w:rFonts w:ascii="Arial" w:hAnsi="Arial" w:cs="Arial"/>
        </w:rPr>
        <w:t>(PC 2025a)</w:t>
      </w:r>
      <w:r w:rsidRPr="00BA2FE7">
        <w:t>. For example, the gap training for a refrigeration and air conditioning qualification costs at least $7,000 and can take 6 to 12 months to complete</w:t>
      </w:r>
      <w:r w:rsidR="00E02BCA" w:rsidRPr="00E02BCA" w:rsidDel="00E02BCA">
        <w:rPr>
          <w:rFonts w:ascii="Arial" w:hAnsi="Arial" w:cs="Arial"/>
        </w:rPr>
        <w:t xml:space="preserve"> </w:t>
      </w:r>
      <w:r w:rsidRPr="00BA2FE7">
        <w:t>(Get Skilled Training 2023; Superior Training Centre 2025).</w:t>
      </w:r>
    </w:p>
    <w:p w14:paraId="45E5F46C" w14:textId="663D37B8" w:rsidR="004D2AEA" w:rsidRPr="00BA2FE7" w:rsidRDefault="004D2AEA" w:rsidP="00B72FF2">
      <w:pPr>
        <w:pStyle w:val="BodyText"/>
      </w:pPr>
      <w:r w:rsidRPr="00BA2FE7">
        <w:t xml:space="preserve">Further work to better recognise the skills and qualifications of migrants emerged from the recent Economic Reform Roundtable, with Treasurers agreeing to work on embedding occupational licensing within the skills assessment process required for skilled visas </w:t>
      </w:r>
      <w:r w:rsidR="00E25E3D" w:rsidRPr="00E25E3D">
        <w:rPr>
          <w:rFonts w:ascii="Arial" w:hAnsi="Arial" w:cs="Arial"/>
        </w:rPr>
        <w:t>(Chalmers 2025)</w:t>
      </w:r>
      <w:r w:rsidRPr="00BA2FE7">
        <w:t>. The PC continues to endorse progress in this direction. And broader reforms to the occupational licensing system, such as practical assessments for experienced candidates, would help skilled migrants get to work faster.</w:t>
      </w:r>
    </w:p>
    <w:p w14:paraId="27B1085E" w14:textId="36D6F889" w:rsidR="00765297" w:rsidRPr="00680CFE" w:rsidRDefault="00765297" w:rsidP="00765297">
      <w:pPr>
        <w:pStyle w:val="Heading4"/>
      </w:pPr>
      <w:r>
        <w:t>Imbalanced and inconsistent occupational licensing limit labour market adjustments</w:t>
      </w:r>
    </w:p>
    <w:p w14:paraId="4D9AC9FA" w14:textId="1511D68F" w:rsidR="00765297" w:rsidRDefault="00765297" w:rsidP="00765297">
      <w:pPr>
        <w:spacing w:before="0"/>
      </w:pPr>
      <w:r w:rsidRPr="00B90D3E">
        <w:t xml:space="preserve">Cross-country analysis by the OECD </w:t>
      </w:r>
      <w:r>
        <w:t>has found</w:t>
      </w:r>
      <w:r w:rsidRPr="00B90D3E">
        <w:t xml:space="preserve"> that stronger occupational entry regulation is associated with lower firm dynamism and reduced labour mobility</w:t>
      </w:r>
      <w:r>
        <w:t xml:space="preserve">, because it makes it harder for workers to move to different jurisdictions for work </w:t>
      </w:r>
      <w:r w:rsidR="004C1741" w:rsidRPr="004C1741">
        <w:rPr>
          <w:rFonts w:ascii="Arial" w:hAnsi="Arial" w:cs="Arial"/>
        </w:rPr>
        <w:t>(PC 2023b)</w:t>
      </w:r>
      <w:r>
        <w:t>.</w:t>
      </w:r>
      <w:r w:rsidRPr="00A054E9">
        <w:t xml:space="preserve"> </w:t>
      </w:r>
      <w:r>
        <w:t>In Australia, o</w:t>
      </w:r>
      <w:r w:rsidRPr="00B90D3E">
        <w:t>ccupational licensing affects around one in five workers</w:t>
      </w:r>
      <w:r>
        <w:t>;</w:t>
      </w:r>
      <w:r w:rsidRPr="00B90D3E" w:rsidDel="00FF0610">
        <w:t xml:space="preserve"> </w:t>
      </w:r>
      <w:r>
        <w:t>however, considerable variation exist</w:t>
      </w:r>
      <w:r w:rsidR="00414A59">
        <w:t>s</w:t>
      </w:r>
      <w:r>
        <w:t xml:space="preserve"> in terms of minimum requirements, regulatory frameworks, terminology and legislative instruments</w:t>
      </w:r>
      <w:r w:rsidR="00C16266">
        <w:t xml:space="preserve">. </w:t>
      </w:r>
      <w:r w:rsidR="00045AA4">
        <w:t>Further still,</w:t>
      </w:r>
      <w:r w:rsidR="00C16266">
        <w:t xml:space="preserve"> occupational licenc</w:t>
      </w:r>
      <w:r w:rsidR="00045AA4">
        <w:t xml:space="preserve">ing </w:t>
      </w:r>
      <w:r w:rsidR="00C16266" w:rsidRPr="00B90D3E">
        <w:t>var</w:t>
      </w:r>
      <w:r w:rsidR="00045AA4">
        <w:t>ies</w:t>
      </w:r>
      <w:r w:rsidR="00C16266" w:rsidRPr="00B90D3E">
        <w:t xml:space="preserve"> across jurisdictions</w:t>
      </w:r>
      <w:r w:rsidR="00C16266">
        <w:t>.</w:t>
      </w:r>
      <w:r w:rsidRPr="00B90D3E">
        <w:t xml:space="preserve"> While designed to protect consumers and manage health and safety, licensing can inadvertently exacerbate shortages in key sectors and constrain productivity growth.</w:t>
      </w:r>
    </w:p>
    <w:p w14:paraId="1496D6BA" w14:textId="4C9E4EDF" w:rsidR="00765297" w:rsidRPr="00DE0AF7" w:rsidRDefault="005B565E" w:rsidP="00482AD4">
      <w:pPr>
        <w:pStyle w:val="BodyText"/>
      </w:pPr>
      <w:r w:rsidRPr="003C7C23">
        <w:t xml:space="preserve">To address these issues, the </w:t>
      </w:r>
      <w:r w:rsidR="00223101" w:rsidRPr="003C7C23">
        <w:t>PC</w:t>
      </w:r>
      <w:r w:rsidR="00350D8F" w:rsidRPr="003C7C23">
        <w:t xml:space="preserve"> has previously</w:t>
      </w:r>
      <w:r w:rsidR="00223101" w:rsidRPr="003C7C23">
        <w:t xml:space="preserve"> </w:t>
      </w:r>
      <w:r w:rsidR="00337DE7" w:rsidRPr="003C7C23">
        <w:t>recommended</w:t>
      </w:r>
      <w:r w:rsidR="004C28DE" w:rsidRPr="003C7C23">
        <w:t xml:space="preserve"> expanding the default recognition of international licences</w:t>
      </w:r>
      <w:r w:rsidR="005D3491" w:rsidRPr="003C7C23">
        <w:t xml:space="preserve">, </w:t>
      </w:r>
      <w:r w:rsidR="00E62AF7" w:rsidRPr="003C7C23">
        <w:t>address overly restrictive</w:t>
      </w:r>
      <w:r w:rsidR="00E11A25" w:rsidRPr="003C7C23">
        <w:t xml:space="preserve"> </w:t>
      </w:r>
      <w:r w:rsidR="00F0026A" w:rsidRPr="003C7C23">
        <w:t>scope</w:t>
      </w:r>
      <w:r w:rsidR="003830C2">
        <w:t>-</w:t>
      </w:r>
      <w:r w:rsidR="00F0026A" w:rsidRPr="003C7C23">
        <w:t>of</w:t>
      </w:r>
      <w:r w:rsidR="00C21DCC">
        <w:t>-</w:t>
      </w:r>
      <w:r w:rsidR="003573E3">
        <w:t>p</w:t>
      </w:r>
      <w:r w:rsidR="00F0026A" w:rsidRPr="003C7C23">
        <w:t>ractice</w:t>
      </w:r>
      <w:r w:rsidR="003573E3">
        <w:t>s</w:t>
      </w:r>
      <w:r w:rsidR="00E62AF7" w:rsidRPr="003C7C23">
        <w:t>,</w:t>
      </w:r>
      <w:r w:rsidR="00C817EB" w:rsidRPr="003C7C23">
        <w:t xml:space="preserve"> </w:t>
      </w:r>
      <w:r w:rsidR="00D466B6" w:rsidRPr="003C7C23">
        <w:t xml:space="preserve">and improve the process for regularly reviewing </w:t>
      </w:r>
      <w:r w:rsidR="00422ECB" w:rsidRPr="003C7C23">
        <w:t>and measuring</w:t>
      </w:r>
      <w:r w:rsidR="00D466B6" w:rsidRPr="003C7C23">
        <w:t xml:space="preserve"> occupation licencing settings</w:t>
      </w:r>
      <w:r w:rsidR="00126D87" w:rsidRPr="003C7C23">
        <w:t xml:space="preserve"> </w:t>
      </w:r>
      <w:r w:rsidR="004C1741" w:rsidRPr="003C7C23">
        <w:rPr>
          <w:rFonts w:ascii="Arial" w:hAnsi="Arial" w:cs="Arial"/>
        </w:rPr>
        <w:t>(PC 2023b)</w:t>
      </w:r>
      <w:r w:rsidR="00765297" w:rsidRPr="003C7C23">
        <w:t xml:space="preserve">. </w:t>
      </w:r>
      <w:r w:rsidR="00350D8F" w:rsidRPr="003C7C23">
        <w:t xml:space="preserve">The PC has also recommended expanding entry pathways into trade and incentivising occupational entry regulation reform through National Competition Policy </w:t>
      </w:r>
      <w:r w:rsidR="00350D8F" w:rsidRPr="003C7C23">
        <w:rPr>
          <w:rFonts w:ascii="Arial" w:hAnsi="Arial" w:cs="Arial"/>
        </w:rPr>
        <w:t>(PC 2025a, 2025h)</w:t>
      </w:r>
      <w:r w:rsidR="00350D8F" w:rsidRPr="003C7C23">
        <w:t>.</w:t>
      </w:r>
      <w:r w:rsidR="003C7C23" w:rsidRPr="00482AD4">
        <w:t xml:space="preserve"> </w:t>
      </w:r>
      <w:r w:rsidR="00765297" w:rsidRPr="003C7C23">
        <w:t xml:space="preserve">Reform can better support labour mobility by focusing regulation on </w:t>
      </w:r>
      <w:r w:rsidR="00765297" w:rsidRPr="003C7C23">
        <w:lastRenderedPageBreak/>
        <w:t xml:space="preserve">genuine risks, expanding scope-of-practices, improving evidence and evaluation, simplifying licensing processes, and reviewing mutual recognition arrangements. </w:t>
      </w:r>
    </w:p>
    <w:p w14:paraId="6C0B862D" w14:textId="25DE9F28" w:rsidR="00765297" w:rsidRPr="00F82BD9" w:rsidRDefault="00765297" w:rsidP="00765297">
      <w:pPr>
        <w:pStyle w:val="NoSpacing"/>
      </w:pPr>
    </w:p>
    <w:tbl>
      <w:tblPr>
        <w:tblStyle w:val="Boxtable"/>
        <w:tblW w:w="5000" w:type="pct"/>
        <w:tblLook w:val="04A0" w:firstRow="1" w:lastRow="0" w:firstColumn="1" w:lastColumn="0" w:noHBand="0" w:noVBand="1"/>
      </w:tblPr>
      <w:tblGrid>
        <w:gridCol w:w="9638"/>
      </w:tblGrid>
      <w:tr w:rsidR="00765297" w14:paraId="30C12BDE" w14:textId="77777777" w:rsidTr="004B292F">
        <w:trPr>
          <w:tblHeader/>
        </w:trPr>
        <w:tc>
          <w:tcPr>
            <w:tcW w:w="9638" w:type="dxa"/>
            <w:shd w:val="clear" w:color="auto" w:fill="EBEBEB"/>
            <w:tcMar>
              <w:top w:w="170" w:type="dxa"/>
              <w:left w:w="170" w:type="dxa"/>
              <w:bottom w:w="113" w:type="dxa"/>
              <w:right w:w="170" w:type="dxa"/>
            </w:tcMar>
            <w:hideMark/>
          </w:tcPr>
          <w:p w14:paraId="11276E5A" w14:textId="77777777" w:rsidR="00765297" w:rsidRDefault="00765297" w:rsidP="004B292F">
            <w:pPr>
              <w:pStyle w:val="BoxHeading1"/>
            </w:pPr>
            <w:r>
              <w:t>Key takeaways – Dynamism of Australia’s labour market</w:t>
            </w:r>
          </w:p>
        </w:tc>
      </w:tr>
      <w:tr w:rsidR="00765297" w14:paraId="5C518C72" w14:textId="77777777" w:rsidTr="004B292F">
        <w:tc>
          <w:tcPr>
            <w:tcW w:w="9638" w:type="dxa"/>
            <w:shd w:val="clear" w:color="auto" w:fill="EBEBEB"/>
            <w:tcMar>
              <w:top w:w="28" w:type="dxa"/>
              <w:left w:w="170" w:type="dxa"/>
              <w:bottom w:w="170" w:type="dxa"/>
              <w:right w:w="170" w:type="dxa"/>
            </w:tcMar>
            <w:hideMark/>
          </w:tcPr>
          <w:p w14:paraId="7DBCADD3" w14:textId="77777777" w:rsidR="00765297" w:rsidRPr="000B7383" w:rsidRDefault="00765297" w:rsidP="004B292F">
            <w:pPr>
              <w:spacing w:before="94" w:after="94"/>
            </w:pPr>
            <w:r w:rsidRPr="009832F0">
              <w:t xml:space="preserve">Governments can influence labour market dynamism by ensuring the workforce </w:t>
            </w:r>
            <w:r>
              <w:t>can acquire required</w:t>
            </w:r>
            <w:r w:rsidRPr="009832F0">
              <w:t xml:space="preserve"> skills, regulatory settings are proportionate and labour can be allocated efficiently. </w:t>
            </w:r>
            <w:r>
              <w:t>PC</w:t>
            </w:r>
            <w:r w:rsidRPr="009832F0">
              <w:t xml:space="preserve"> analysis identifies several key areas for policy in the labour market</w:t>
            </w:r>
            <w:r>
              <w:t>:</w:t>
            </w:r>
          </w:p>
          <w:p w14:paraId="4A65711C" w14:textId="77777777" w:rsidR="00765297" w:rsidRDefault="00765297" w:rsidP="004B292F">
            <w:pPr>
              <w:pStyle w:val="ListBullet"/>
              <w:numPr>
                <w:ilvl w:val="0"/>
                <w:numId w:val="17"/>
              </w:numPr>
            </w:pPr>
            <w:r>
              <w:t>improving access to high-quality instructional materials and educational technology (PC 2025a)</w:t>
            </w:r>
          </w:p>
          <w:p w14:paraId="30B129F2" w14:textId="77777777" w:rsidR="00765297" w:rsidRDefault="00765297" w:rsidP="004B292F">
            <w:pPr>
              <w:pStyle w:val="ListBullet"/>
              <w:numPr>
                <w:ilvl w:val="0"/>
                <w:numId w:val="17"/>
              </w:numPr>
            </w:pPr>
            <w:r>
              <w:t xml:space="preserve">increasing the quality and integrity of recognition of prior learning and improving recognition of </w:t>
            </w:r>
            <w:r>
              <w:br/>
              <w:t>work-related training (PC 2025a)</w:t>
            </w:r>
          </w:p>
          <w:p w14:paraId="17A2FC89" w14:textId="77777777" w:rsidR="00765297" w:rsidRDefault="00765297" w:rsidP="004B292F">
            <w:pPr>
              <w:pStyle w:val="ListBullet"/>
              <w:numPr>
                <w:ilvl w:val="0"/>
                <w:numId w:val="17"/>
              </w:numPr>
              <w:spacing w:before="94" w:after="94"/>
            </w:pPr>
            <w:r>
              <w:t>co-funding training vouchers and advisory supports to encourage small and medium enterprises to increase work-related training (PC 2025a)</w:t>
            </w:r>
          </w:p>
          <w:p w14:paraId="62BEE284" w14:textId="6C6B60AC" w:rsidR="00765297" w:rsidRDefault="00765297" w:rsidP="004B292F">
            <w:pPr>
              <w:pStyle w:val="ListBullet"/>
              <w:numPr>
                <w:ilvl w:val="0"/>
                <w:numId w:val="17"/>
              </w:numPr>
              <w:spacing w:before="94" w:after="94"/>
            </w:pPr>
            <w:r>
              <w:t>b</w:t>
            </w:r>
            <w:r w:rsidRPr="0018730F">
              <w:t>etter align</w:t>
            </w:r>
            <w:r>
              <w:t>ing</w:t>
            </w:r>
            <w:r w:rsidRPr="0018730F">
              <w:t xml:space="preserve"> skilled migration with labour market needs </w:t>
            </w:r>
            <w:r w:rsidRPr="006E3165">
              <w:rPr>
                <w:bCs/>
              </w:rPr>
              <w:t>through</w:t>
            </w:r>
            <w:r w:rsidRPr="0018730F">
              <w:t xml:space="preserve"> employer-led selection, </w:t>
            </w:r>
            <w:r w:rsidRPr="006E3165">
              <w:rPr>
                <w:bCs/>
              </w:rPr>
              <w:t>streamlined</w:t>
            </w:r>
            <w:r w:rsidRPr="0018730F">
              <w:t xml:space="preserve"> skills recognition </w:t>
            </w:r>
            <w:r w:rsidRPr="006E3165">
              <w:rPr>
                <w:bCs/>
              </w:rPr>
              <w:t>and clearer</w:t>
            </w:r>
            <w:r w:rsidRPr="0018730F">
              <w:t xml:space="preserve"> permanent pathways </w:t>
            </w:r>
            <w:r w:rsidRPr="004C1741">
              <w:rPr>
                <w:rFonts w:ascii="Arial" w:hAnsi="Arial" w:cs="Arial"/>
              </w:rPr>
              <w:t>(PC 2023b)</w:t>
            </w:r>
          </w:p>
          <w:p w14:paraId="2CFF61A4" w14:textId="045CFC86" w:rsidR="00765297" w:rsidRDefault="00765297" w:rsidP="00511110">
            <w:pPr>
              <w:pStyle w:val="ListBullet"/>
              <w:numPr>
                <w:ilvl w:val="0"/>
                <w:numId w:val="17"/>
              </w:numPr>
              <w:spacing w:before="94" w:after="240"/>
            </w:pPr>
            <w:r>
              <w:t>r</w:t>
            </w:r>
            <w:r w:rsidRPr="00CB682E">
              <w:t>eform</w:t>
            </w:r>
            <w:r>
              <w:t>ing</w:t>
            </w:r>
            <w:r w:rsidRPr="00CB682E">
              <w:t xml:space="preserve"> occupational licensing</w:t>
            </w:r>
            <w:r w:rsidRPr="000B7383">
              <w:t xml:space="preserve"> </w:t>
            </w:r>
            <w:r w:rsidRPr="00F903D5">
              <w:t>by focusing on genuine risks, expanding scope</w:t>
            </w:r>
            <w:r>
              <w:t xml:space="preserve">-of-practices, boosting entry pathways into trades, </w:t>
            </w:r>
            <w:r w:rsidRPr="00F903D5">
              <w:t xml:space="preserve">simplifying licensing and </w:t>
            </w:r>
            <w:r>
              <w:t xml:space="preserve">evaluating </w:t>
            </w:r>
            <w:r w:rsidRPr="00F903D5">
              <w:t xml:space="preserve">mutual recognition </w:t>
            </w:r>
            <w:r>
              <w:t>arrangements</w:t>
            </w:r>
            <w:r w:rsidRPr="00F903D5">
              <w:t xml:space="preserve"> </w:t>
            </w:r>
            <w:r w:rsidR="00E6149C" w:rsidRPr="00E6149C">
              <w:rPr>
                <w:rFonts w:ascii="Arial" w:hAnsi="Arial" w:cs="Arial"/>
              </w:rPr>
              <w:t>(PC 2023b, 2025a, 2025h)</w:t>
            </w:r>
            <w:r w:rsidR="00B72FF2">
              <w:t>.</w:t>
            </w:r>
          </w:p>
        </w:tc>
      </w:tr>
      <w:tr w:rsidR="00765297" w14:paraId="0B93E5A0" w14:textId="77777777" w:rsidTr="004B292F">
        <w:trPr>
          <w:hidden/>
        </w:trPr>
        <w:tc>
          <w:tcPr>
            <w:tcW w:w="9638" w:type="dxa"/>
            <w:shd w:val="clear" w:color="auto" w:fill="auto"/>
            <w:tcMar>
              <w:top w:w="0" w:type="dxa"/>
              <w:left w:w="170" w:type="dxa"/>
              <w:bottom w:w="0" w:type="dxa"/>
              <w:right w:w="170" w:type="dxa"/>
            </w:tcMar>
          </w:tcPr>
          <w:p w14:paraId="3F85D046" w14:textId="688C8EB5" w:rsidR="00765297" w:rsidRPr="00465191" w:rsidRDefault="00765297" w:rsidP="004B292F">
            <w:pPr>
              <w:pStyle w:val="BodyText"/>
              <w:spacing w:before="0" w:after="0" w:line="80" w:lineRule="atLeast"/>
              <w:rPr>
                <w:smallCaps/>
                <w:vanish/>
              </w:rPr>
            </w:pPr>
          </w:p>
        </w:tc>
      </w:tr>
    </w:tbl>
    <w:p w14:paraId="43DCD695" w14:textId="77777777" w:rsidR="00765297" w:rsidRDefault="00765297" w:rsidP="00765297">
      <w:pPr>
        <w:pStyle w:val="Heading2-nonumber"/>
      </w:pPr>
      <w:r>
        <w:t>Challenges in measuring productivity</w:t>
      </w:r>
    </w:p>
    <w:p w14:paraId="0A20F975" w14:textId="77777777" w:rsidR="00765297" w:rsidRDefault="00765297" w:rsidP="00765297">
      <w:pPr>
        <w:pStyle w:val="BodyText"/>
      </w:pPr>
      <w:r w:rsidRPr="00E14409">
        <w:t xml:space="preserve">Productivity statistics are an imperfect attempt to capture the </w:t>
      </w:r>
      <w:r>
        <w:t>economic value</w:t>
      </w:r>
      <w:r w:rsidRPr="00E14409">
        <w:t xml:space="preserve"> generated </w:t>
      </w:r>
      <w:r>
        <w:t>by</w:t>
      </w:r>
      <w:r w:rsidRPr="00E14409">
        <w:t xml:space="preserve"> </w:t>
      </w:r>
      <w:r>
        <w:t>innovation and efficiency improvements</w:t>
      </w:r>
      <w:r w:rsidRPr="00E14409">
        <w:t xml:space="preserve"> </w:t>
      </w:r>
      <w:r>
        <w:t>across</w:t>
      </w:r>
      <w:r w:rsidRPr="00E14409">
        <w:t xml:space="preserve"> the economy. Such estimates will always be prone to some degree of measurement error. </w:t>
      </w:r>
      <w:r>
        <w:t>That said, it is likely that measurement error has increased over time and contributed to the apparent decline in advanced economy productivity growth since 2005.</w:t>
      </w:r>
    </w:p>
    <w:p w14:paraId="2E0EC37D" w14:textId="1109FE7E" w:rsidR="00765297" w:rsidRDefault="00765297" w:rsidP="00765297">
      <w:pPr>
        <w:pStyle w:val="Heading3"/>
      </w:pPr>
      <w:r>
        <w:t>The rise of non-market sector activity challenges standard approaches to measuring productivity</w:t>
      </w:r>
    </w:p>
    <w:p w14:paraId="27F7781B" w14:textId="0629F852" w:rsidR="00F73FF3" w:rsidRPr="003D108D" w:rsidRDefault="00765297" w:rsidP="0052301A">
      <w:pPr>
        <w:pStyle w:val="BodyText"/>
        <w:rPr>
          <w:spacing w:val="-2"/>
        </w:rPr>
      </w:pPr>
      <w:r w:rsidRPr="003D108D">
        <w:rPr>
          <w:spacing w:val="-2"/>
        </w:rPr>
        <w:t>The expansion of the ‘non-market’ sector (health care</w:t>
      </w:r>
      <w:r w:rsidR="005F7751" w:rsidRPr="003D108D">
        <w:rPr>
          <w:spacing w:val="-2"/>
        </w:rPr>
        <w:t xml:space="preserve"> and social assistance</w:t>
      </w:r>
      <w:r w:rsidRPr="003D108D">
        <w:rPr>
          <w:spacing w:val="-2"/>
        </w:rPr>
        <w:t>, education</w:t>
      </w:r>
      <w:r w:rsidR="00E22DC7" w:rsidRPr="003D108D">
        <w:rPr>
          <w:spacing w:val="-2"/>
        </w:rPr>
        <w:t xml:space="preserve"> and training</w:t>
      </w:r>
      <w:r w:rsidRPr="003D108D">
        <w:rPr>
          <w:spacing w:val="-2"/>
        </w:rPr>
        <w:t xml:space="preserve">, </w:t>
      </w:r>
      <w:r w:rsidR="008D4B9F" w:rsidRPr="003D108D">
        <w:rPr>
          <w:spacing w:val="-2"/>
        </w:rPr>
        <w:t>public administration and safety</w:t>
      </w:r>
      <w:r w:rsidRPr="003D108D">
        <w:rPr>
          <w:spacing w:val="-2"/>
        </w:rPr>
        <w:t>) poses an increasing challenge to Australian productivity measurement. The non</w:t>
      </w:r>
      <w:r w:rsidR="00967EB2" w:rsidRPr="003D108D">
        <w:rPr>
          <w:spacing w:val="-2"/>
        </w:rPr>
        <w:noBreakHyphen/>
      </w:r>
      <w:r w:rsidRPr="003D108D">
        <w:rPr>
          <w:spacing w:val="-2"/>
        </w:rPr>
        <w:t>market sector expanded as a share of hours worked across the economy from about 20% in 1994</w:t>
      </w:r>
      <w:r w:rsidRPr="003D108D">
        <w:rPr>
          <w:spacing w:val="-2"/>
        </w:rPr>
        <w:noBreakHyphen/>
        <w:t>95 to about 28% in 2024</w:t>
      </w:r>
      <w:r w:rsidRPr="003D108D">
        <w:rPr>
          <w:spacing w:val="-2"/>
        </w:rPr>
        <w:noBreakHyphen/>
        <w:t>25 (with this almost entirely being driven by the expansion of hours worked in health care</w:t>
      </w:r>
      <w:r w:rsidR="00491E40" w:rsidRPr="003D108D">
        <w:rPr>
          <w:spacing w:val="-2"/>
        </w:rPr>
        <w:t xml:space="preserve"> and social assistance</w:t>
      </w:r>
      <w:r w:rsidRPr="003D108D">
        <w:rPr>
          <w:spacing w:val="-2"/>
        </w:rPr>
        <w:t xml:space="preserve">) (figure </w:t>
      </w:r>
      <w:r w:rsidR="003E3EB9" w:rsidRPr="003D108D">
        <w:rPr>
          <w:spacing w:val="-2"/>
        </w:rPr>
        <w:t>1</w:t>
      </w:r>
      <w:r w:rsidR="00756E05" w:rsidRPr="003D108D">
        <w:rPr>
          <w:spacing w:val="-2"/>
        </w:rPr>
        <w:t>2</w:t>
      </w:r>
      <w:r w:rsidRPr="003D108D">
        <w:rPr>
          <w:spacing w:val="-2"/>
        </w:rPr>
        <w:t xml:space="preserve">). </w:t>
      </w:r>
      <w:r w:rsidR="00963185" w:rsidRPr="003D108D">
        <w:rPr>
          <w:spacing w:val="-2"/>
        </w:rPr>
        <w:t xml:space="preserve">In </w:t>
      </w:r>
      <w:r w:rsidR="008B178C" w:rsidRPr="003D108D">
        <w:rPr>
          <w:spacing w:val="-2"/>
        </w:rPr>
        <w:t>non-market</w:t>
      </w:r>
      <w:r w:rsidR="00963185" w:rsidRPr="003D108D">
        <w:rPr>
          <w:spacing w:val="-2"/>
        </w:rPr>
        <w:t xml:space="preserve"> industries</w:t>
      </w:r>
      <w:r w:rsidR="004E213B" w:rsidRPr="003D108D">
        <w:rPr>
          <w:spacing w:val="-2"/>
        </w:rPr>
        <w:t>,</w:t>
      </w:r>
      <w:r w:rsidR="00E14409" w:rsidRPr="003D108D">
        <w:rPr>
          <w:spacing w:val="-2"/>
        </w:rPr>
        <w:t xml:space="preserve"> the absence of</w:t>
      </w:r>
      <w:r w:rsidR="00BC7193" w:rsidRPr="003D108D">
        <w:rPr>
          <w:spacing w:val="-2"/>
        </w:rPr>
        <w:t xml:space="preserve"> meaningful</w:t>
      </w:r>
      <w:r w:rsidR="00E14409" w:rsidRPr="003D108D">
        <w:rPr>
          <w:spacing w:val="-2"/>
        </w:rPr>
        <w:t xml:space="preserve"> market prices</w:t>
      </w:r>
      <w:r w:rsidR="00BC7193" w:rsidRPr="003D108D">
        <w:rPr>
          <w:spacing w:val="-2"/>
        </w:rPr>
        <w:t xml:space="preserve"> (due to government subsidies)</w:t>
      </w:r>
      <w:r w:rsidR="00E14409" w:rsidRPr="003D108D">
        <w:rPr>
          <w:spacing w:val="-2"/>
        </w:rPr>
        <w:t xml:space="preserve"> and an assumed zero return on capital mean </w:t>
      </w:r>
      <w:r w:rsidR="00BC7193" w:rsidRPr="003D108D">
        <w:rPr>
          <w:spacing w:val="-2"/>
        </w:rPr>
        <w:t xml:space="preserve">that </w:t>
      </w:r>
      <w:r w:rsidR="008B178C" w:rsidRPr="003D108D">
        <w:rPr>
          <w:spacing w:val="-2"/>
        </w:rPr>
        <w:t>economic</w:t>
      </w:r>
      <w:r w:rsidR="00E14409" w:rsidRPr="003D108D">
        <w:rPr>
          <w:spacing w:val="-2"/>
        </w:rPr>
        <w:t xml:space="preserve"> statistics </w:t>
      </w:r>
      <w:r w:rsidR="00BC7193" w:rsidRPr="003D108D">
        <w:rPr>
          <w:spacing w:val="-2"/>
        </w:rPr>
        <w:t>do not reflect</w:t>
      </w:r>
      <w:r w:rsidR="00E14409" w:rsidRPr="003D108D">
        <w:rPr>
          <w:spacing w:val="-2"/>
        </w:rPr>
        <w:t xml:space="preserve"> </w:t>
      </w:r>
      <w:r w:rsidR="005653B8" w:rsidRPr="003D108D">
        <w:rPr>
          <w:spacing w:val="-2"/>
        </w:rPr>
        <w:t xml:space="preserve">the </w:t>
      </w:r>
      <w:r w:rsidR="008B178C" w:rsidRPr="003D108D">
        <w:rPr>
          <w:spacing w:val="-2"/>
        </w:rPr>
        <w:t xml:space="preserve">productivity </w:t>
      </w:r>
      <w:r w:rsidR="00844DEE" w:rsidRPr="003D108D">
        <w:rPr>
          <w:spacing w:val="-2"/>
        </w:rPr>
        <w:t>changes</w:t>
      </w:r>
      <w:r w:rsidR="00E14409" w:rsidRPr="003D108D">
        <w:rPr>
          <w:spacing w:val="-2"/>
        </w:rPr>
        <w:t xml:space="preserve"> in these industries</w:t>
      </w:r>
      <w:r w:rsidR="002A4667" w:rsidRPr="003D108D">
        <w:rPr>
          <w:spacing w:val="-2"/>
        </w:rPr>
        <w:t xml:space="preserve"> </w:t>
      </w:r>
      <w:r w:rsidR="00052B70" w:rsidRPr="003D108D">
        <w:rPr>
          <w:rFonts w:cs="Arial"/>
          <w:spacing w:val="-2"/>
        </w:rPr>
        <w:t>(ABS 2020)</w:t>
      </w:r>
      <w:r w:rsidR="00E14409" w:rsidRPr="003D108D">
        <w:rPr>
          <w:spacing w:val="-2"/>
        </w:rPr>
        <w:t>.</w:t>
      </w:r>
      <w:r w:rsidR="00BC7193" w:rsidRPr="003D108D">
        <w:rPr>
          <w:spacing w:val="-2"/>
        </w:rPr>
        <w:t xml:space="preserve"> </w:t>
      </w:r>
      <w:r w:rsidR="002823EF" w:rsidRPr="003D108D">
        <w:rPr>
          <w:spacing w:val="-2"/>
        </w:rPr>
        <w:t xml:space="preserve">The methods used </w:t>
      </w:r>
      <w:r w:rsidR="00115C11" w:rsidRPr="003D108D">
        <w:rPr>
          <w:spacing w:val="-2"/>
        </w:rPr>
        <w:t>by the ABS</w:t>
      </w:r>
      <w:r w:rsidR="002823EF" w:rsidRPr="003D108D">
        <w:rPr>
          <w:spacing w:val="-2"/>
        </w:rPr>
        <w:t xml:space="preserve"> to estimate non</w:t>
      </w:r>
      <w:r w:rsidR="002823EF" w:rsidRPr="003D108D">
        <w:rPr>
          <w:spacing w:val="-2"/>
        </w:rPr>
        <w:noBreakHyphen/>
        <w:t xml:space="preserve">market </w:t>
      </w:r>
      <w:r w:rsidR="00126679" w:rsidRPr="003D108D">
        <w:rPr>
          <w:spacing w:val="-2"/>
        </w:rPr>
        <w:t xml:space="preserve">sector </w:t>
      </w:r>
      <w:r w:rsidR="002823EF" w:rsidRPr="003D108D">
        <w:rPr>
          <w:spacing w:val="-2"/>
        </w:rPr>
        <w:t>productivity vary</w:t>
      </w:r>
      <w:r w:rsidR="00126679" w:rsidRPr="003D108D">
        <w:rPr>
          <w:spacing w:val="-2"/>
        </w:rPr>
        <w:t xml:space="preserve"> by industry (and sub-industry)</w:t>
      </w:r>
      <w:r w:rsidR="003B4E89" w:rsidRPr="003D108D">
        <w:rPr>
          <w:spacing w:val="-2"/>
        </w:rPr>
        <w:t>.</w:t>
      </w:r>
      <w:r w:rsidR="00C55A77" w:rsidRPr="003D108D">
        <w:rPr>
          <w:spacing w:val="-2"/>
        </w:rPr>
        <w:t xml:space="preserve"> But </w:t>
      </w:r>
      <w:r w:rsidR="002C56AC" w:rsidRPr="003D108D">
        <w:rPr>
          <w:spacing w:val="-2"/>
        </w:rPr>
        <w:t>broadly</w:t>
      </w:r>
      <w:r w:rsidR="009C1B7C" w:rsidRPr="003D108D">
        <w:rPr>
          <w:spacing w:val="-2"/>
        </w:rPr>
        <w:t>,</w:t>
      </w:r>
      <w:r w:rsidR="004420E4" w:rsidRPr="003D108D">
        <w:rPr>
          <w:spacing w:val="-2"/>
        </w:rPr>
        <w:t xml:space="preserve"> </w:t>
      </w:r>
      <w:r w:rsidR="00C55A77" w:rsidRPr="003D108D">
        <w:rPr>
          <w:spacing w:val="-2"/>
        </w:rPr>
        <w:t xml:space="preserve">estimates of </w:t>
      </w:r>
      <w:r w:rsidR="002823EF" w:rsidRPr="003D108D">
        <w:rPr>
          <w:spacing w:val="-2"/>
        </w:rPr>
        <w:t>non</w:t>
      </w:r>
      <w:r w:rsidR="003F676E" w:rsidRPr="003D108D">
        <w:rPr>
          <w:spacing w:val="-2"/>
        </w:rPr>
        <w:noBreakHyphen/>
      </w:r>
      <w:r w:rsidR="002823EF" w:rsidRPr="003D108D">
        <w:rPr>
          <w:spacing w:val="-2"/>
        </w:rPr>
        <w:t>market</w:t>
      </w:r>
      <w:r w:rsidR="00C55A77" w:rsidRPr="003D108D">
        <w:rPr>
          <w:spacing w:val="-2"/>
        </w:rPr>
        <w:t xml:space="preserve"> productivity are thought to underestimate the level of innovation and efficiency improvement in these industries</w:t>
      </w:r>
      <w:r w:rsidR="00D617C5" w:rsidRPr="003D108D">
        <w:rPr>
          <w:spacing w:val="-2"/>
        </w:rPr>
        <w:t xml:space="preserve"> </w:t>
      </w:r>
      <w:r w:rsidR="00E25E3D" w:rsidRPr="003D108D">
        <w:rPr>
          <w:rFonts w:cs="Arial"/>
          <w:spacing w:val="-2"/>
        </w:rPr>
        <w:t>(ABS 2026)</w:t>
      </w:r>
      <w:r w:rsidR="00C55A77" w:rsidRPr="003D108D">
        <w:rPr>
          <w:spacing w:val="-2"/>
        </w:rPr>
        <w:t xml:space="preserve">. </w:t>
      </w:r>
      <w:r w:rsidR="003B4E89" w:rsidRPr="003D108D">
        <w:rPr>
          <w:spacing w:val="-2"/>
        </w:rPr>
        <w:t xml:space="preserve"> </w:t>
      </w:r>
    </w:p>
    <w:p w14:paraId="34BCFE08" w14:textId="6FB90F0C" w:rsidR="00AD1E22" w:rsidRDefault="00AD1E22" w:rsidP="00AD1E22">
      <w:pPr>
        <w:pStyle w:val="BodyText"/>
      </w:pPr>
      <w:r w:rsidRPr="00AD1E22">
        <w:t>For example, the PC measured expenditure on health care and valued the outcomes received from care, for diseases that form a third of healthcare expenditure, to develop a measure of multifactor productivity. From 2011-12 to 2017-18, productivity growth in that subset of healthcare was found to be higher than measured productivity in any sector</w:t>
      </w:r>
      <w:r w:rsidR="0006094D">
        <w:t xml:space="preserve"> </w:t>
      </w:r>
      <w:r w:rsidR="00163E01" w:rsidRPr="00163E01">
        <w:rPr>
          <w:rFonts w:ascii="Arial" w:hAnsi="Arial" w:cs="Arial"/>
        </w:rPr>
        <w:t>(2024a)</w:t>
      </w:r>
      <w:r w:rsidR="00FC4543">
        <w:t>.</w:t>
      </w:r>
    </w:p>
    <w:p w14:paraId="303BFBF1" w14:textId="6C70F9A1" w:rsidR="00765297" w:rsidRPr="009538D4" w:rsidRDefault="00765297" w:rsidP="00765297">
      <w:pPr>
        <w:pStyle w:val="FigureTableHeading"/>
      </w:pPr>
      <w:r w:rsidRPr="009538D4">
        <w:lastRenderedPageBreak/>
        <w:t xml:space="preserve">Figure </w:t>
      </w:r>
      <w:r w:rsidR="003E3EB9">
        <w:t>1</w:t>
      </w:r>
      <w:r w:rsidR="00756E05">
        <w:t>2</w:t>
      </w:r>
      <w:r w:rsidR="003E3EB9" w:rsidRPr="009538D4">
        <w:rPr>
          <w:noProof/>
        </w:rPr>
        <w:t xml:space="preserve"> </w:t>
      </w:r>
      <w:r w:rsidRPr="009538D4">
        <w:t xml:space="preserve">– Non-market employment has </w:t>
      </w:r>
      <w:r>
        <w:t>grown, mainly due to health care and social assistance</w:t>
      </w:r>
    </w:p>
    <w:p w14:paraId="083D2A97" w14:textId="6F0A3932" w:rsidR="00765297" w:rsidRPr="005550A0" w:rsidRDefault="005C0231" w:rsidP="005C0231">
      <w:pPr>
        <w:pStyle w:val="BodyText"/>
        <w:spacing w:before="0"/>
      </w:pPr>
      <w:r w:rsidRPr="005C0231">
        <w:rPr>
          <w:noProof/>
        </w:rPr>
        <w:drawing>
          <wp:inline distT="0" distB="0" distL="0" distR="0" wp14:anchorId="1B2303E0" wp14:editId="2C07DA48">
            <wp:extent cx="6120130" cy="2366010"/>
            <wp:effectExtent l="0" t="0" r="0" b="0"/>
            <wp:docPr id="916759461" name="Picture 13" descr="This figure is a line chart showing the share of aggregate labour hours split by non-market industries. It shows that total hours in these industries have been increasing since 1995, particularly in the health care and social assistanc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59461" name="Picture 13" descr="This figure is a line chart showing the share of aggregate labour hours split by non-market industries. It shows that total hours in these industries have been increasing since 1995, particularly in the health care and social assistance industry."/>
                    <pic:cNvPicPr>
                      <a:picLocks noChangeAspect="1" noChangeArrowheads="1"/>
                    </pic:cNvPicPr>
                  </pic:nvPicPr>
                  <pic:blipFill rotWithShape="1">
                    <a:blip r:embed="rId47">
                      <a:extLst>
                        <a:ext uri="{28A0092B-C50C-407E-A947-70E740481C1C}">
                          <a14:useLocalDpi xmlns:a14="http://schemas.microsoft.com/office/drawing/2010/main" val="0"/>
                        </a:ext>
                      </a:extLst>
                    </a:blip>
                    <a:srcRect b="11454"/>
                    <a:stretch>
                      <a:fillRect/>
                    </a:stretch>
                  </pic:blipFill>
                  <pic:spPr bwMode="auto">
                    <a:xfrm>
                      <a:off x="0" y="0"/>
                      <a:ext cx="6120130" cy="2366010"/>
                    </a:xfrm>
                    <a:prstGeom prst="rect">
                      <a:avLst/>
                    </a:prstGeom>
                    <a:noFill/>
                    <a:ln>
                      <a:noFill/>
                    </a:ln>
                    <a:extLst>
                      <a:ext uri="{53640926-AAD7-44D8-BBD7-CCE9431645EC}">
                        <a14:shadowObscured xmlns:a14="http://schemas.microsoft.com/office/drawing/2010/main"/>
                      </a:ext>
                    </a:extLst>
                  </pic:spPr>
                </pic:pic>
              </a:graphicData>
            </a:graphic>
          </wp:inline>
        </w:drawing>
      </w:r>
    </w:p>
    <w:p w14:paraId="2D9794C2" w14:textId="56CE0B54" w:rsidR="00765297" w:rsidRDefault="00C20454" w:rsidP="00765297">
      <w:pPr>
        <w:pStyle w:val="Source"/>
      </w:pPr>
      <w:r w:rsidRPr="00696447">
        <w:t>Source:</w:t>
      </w:r>
      <w:r w:rsidR="00373B11">
        <w:t xml:space="preserve"> ABS </w:t>
      </w:r>
      <w:r w:rsidR="000E3C0C" w:rsidRPr="000E3C0C">
        <w:rPr>
          <w:rFonts w:ascii="Arial" w:hAnsi="Arial" w:cs="Arial"/>
        </w:rPr>
        <w:t xml:space="preserve">(2025c, </w:t>
      </w:r>
      <w:r w:rsidR="00B5397F">
        <w:rPr>
          <w:rFonts w:ascii="Arial" w:hAnsi="Arial" w:cs="Arial"/>
        </w:rPr>
        <w:t>tables</w:t>
      </w:r>
      <w:r w:rsidR="000E3C0C" w:rsidRPr="000E3C0C">
        <w:rPr>
          <w:rFonts w:ascii="Arial" w:hAnsi="Arial" w:cs="Arial"/>
        </w:rPr>
        <w:t> 1, 16–18)</w:t>
      </w:r>
      <w:r w:rsidR="00D83148">
        <w:t>.</w:t>
      </w:r>
    </w:p>
    <w:p w14:paraId="2B32AF45" w14:textId="77777777" w:rsidR="00765297" w:rsidRDefault="00765297" w:rsidP="00765297">
      <w:pPr>
        <w:pStyle w:val="Heading3"/>
      </w:pPr>
      <w:r>
        <w:t>Even in the market sector, measuring productivity is challenging</w:t>
      </w:r>
    </w:p>
    <w:p w14:paraId="36438F5E" w14:textId="3CA59E72" w:rsidR="0052301A" w:rsidRDefault="00765297" w:rsidP="00AF72AD">
      <w:pPr>
        <w:pStyle w:val="BodyText"/>
      </w:pPr>
      <w:r>
        <w:t xml:space="preserve">In the market sector, the main measurement challenges relate to improvements in the quality of goods and services or the introduction of new goods and services. In the case of new or improved products, consumers benefit substantially, often at no extra cost. But statistical agencies have great difficulty adjusting productivity estimates for quality improvement and are slow to incorporate new goods and services into estimates (by the time they are included, most of the welfare effect of their introduction has already been missed) </w:t>
      </w:r>
      <w:r w:rsidR="00AA5665" w:rsidRPr="00AA5665">
        <w:rPr>
          <w:rFonts w:ascii="Arial" w:hAnsi="Arial" w:cs="Arial"/>
        </w:rPr>
        <w:t>(Hausman 2003, pp. 25–35)</w:t>
      </w:r>
      <w:r w:rsidR="00682FAB">
        <w:t>.</w:t>
      </w:r>
      <w:r w:rsidR="00FA3735">
        <w:t xml:space="preserve"> </w:t>
      </w:r>
      <w:r>
        <w:t>Overseas estimates suggest that the consumer price index is overestimated by between 0.37 and 0.6 percentage points annually due to improvements in quality and the introduction of new goods (which has the effect of causing productivity growth to be underestimated) (table 1).</w:t>
      </w:r>
      <w:r w:rsidRPr="00606F65">
        <w:rPr>
          <w:rStyle w:val="FootnoteReference"/>
        </w:rPr>
        <w:footnoteReference w:id="7"/>
      </w:r>
      <w:r w:rsidR="00FA3735">
        <w:t xml:space="preserve"> </w:t>
      </w:r>
    </w:p>
    <w:p w14:paraId="38809258" w14:textId="1AC94407" w:rsidR="00765297" w:rsidRDefault="00765297" w:rsidP="00765297">
      <w:pPr>
        <w:pStyle w:val="FigureTableHeading"/>
      </w:pPr>
      <w:r>
        <w:t>Table 1</w:t>
      </w:r>
      <w:r>
        <w:rPr>
          <w:noProof/>
        </w:rPr>
        <w:t xml:space="preserve"> – </w:t>
      </w:r>
      <w:r>
        <w:t>Quality improvements and new products bias economic statistics</w:t>
      </w:r>
    </w:p>
    <w:p w14:paraId="377B10A9" w14:textId="77777777" w:rsidR="00765297" w:rsidRDefault="00765297" w:rsidP="00765297">
      <w:pPr>
        <w:pStyle w:val="FigureTableSubheading"/>
      </w:pPr>
      <w:r>
        <w:t>Estimated CPI bias (annual percentage points) due to quality improvements and the introduction of new products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765297" w:rsidRPr="005C0231" w14:paraId="10262E21" w14:textId="77777777" w:rsidTr="004B292F">
        <w:trPr>
          <w:tblHeader/>
        </w:trPr>
        <w:tc>
          <w:tcPr>
            <w:tcW w:w="2500" w:type="pct"/>
            <w:tcBorders>
              <w:bottom w:val="single" w:sz="4" w:space="0" w:color="B3B3B3"/>
            </w:tcBorders>
            <w:shd w:val="clear" w:color="000000" w:fill="auto"/>
            <w:vAlign w:val="bottom"/>
          </w:tcPr>
          <w:p w14:paraId="073B034E" w14:textId="77777777" w:rsidR="00765297" w:rsidRPr="005C0231" w:rsidRDefault="00765297" w:rsidP="004B292F">
            <w:pPr>
              <w:spacing w:before="35" w:after="35"/>
              <w:ind w:right="85"/>
              <w:rPr>
                <w:rFonts w:cstheme="minorHAnsi"/>
                <w:b/>
                <w:bCs/>
                <w:color w:val="265A9A"/>
                <w:sz w:val="18"/>
                <w:szCs w:val="18"/>
              </w:rPr>
            </w:pPr>
            <w:r w:rsidRPr="005C0231">
              <w:rPr>
                <w:rFonts w:cstheme="minorHAnsi"/>
                <w:b/>
                <w:bCs/>
                <w:color w:val="265A9A"/>
                <w:sz w:val="18"/>
                <w:szCs w:val="18"/>
              </w:rPr>
              <w:t>Paper</w:t>
            </w:r>
          </w:p>
        </w:tc>
        <w:tc>
          <w:tcPr>
            <w:tcW w:w="2500" w:type="pct"/>
            <w:tcBorders>
              <w:bottom w:val="single" w:sz="4" w:space="0" w:color="B3B3B3"/>
            </w:tcBorders>
            <w:shd w:val="clear" w:color="000000" w:fill="auto"/>
            <w:vAlign w:val="bottom"/>
          </w:tcPr>
          <w:p w14:paraId="7DFA8DFD" w14:textId="77777777" w:rsidR="00765297" w:rsidRPr="005C0231" w:rsidRDefault="00765297" w:rsidP="004B292F">
            <w:pPr>
              <w:pStyle w:val="TableHeading"/>
              <w:spacing w:after="15"/>
              <w:ind w:left="45"/>
              <w:rPr>
                <w:rFonts w:cstheme="minorHAnsi"/>
                <w:szCs w:val="18"/>
              </w:rPr>
            </w:pPr>
            <w:r w:rsidRPr="005C0231">
              <w:rPr>
                <w:rFonts w:cstheme="minorHAnsi"/>
                <w:szCs w:val="18"/>
              </w:rPr>
              <w:t>Estimated bias (percentage points)</w:t>
            </w:r>
          </w:p>
        </w:tc>
      </w:tr>
      <w:tr w:rsidR="00765297" w:rsidRPr="005C0231" w14:paraId="00A074C2" w14:textId="77777777" w:rsidTr="004B292F">
        <w:tc>
          <w:tcPr>
            <w:tcW w:w="2500" w:type="pct"/>
            <w:tcBorders>
              <w:top w:val="single" w:sz="4" w:space="0" w:color="B3B3B3"/>
              <w:bottom w:val="nil"/>
            </w:tcBorders>
            <w:shd w:val="clear" w:color="000000" w:fill="F2F2F2"/>
          </w:tcPr>
          <w:p w14:paraId="23C46E59" w14:textId="77777777" w:rsidR="00765297" w:rsidRPr="005C0231" w:rsidRDefault="00765297" w:rsidP="004B292F">
            <w:pPr>
              <w:pStyle w:val="TableHeading"/>
              <w:spacing w:after="15"/>
              <w:ind w:left="45"/>
              <w:rPr>
                <w:b w:val="0"/>
                <w:bCs/>
                <w:color w:val="auto"/>
                <w:szCs w:val="18"/>
              </w:rPr>
            </w:pPr>
            <w:r w:rsidRPr="005C0231">
              <w:rPr>
                <w:b w:val="0"/>
                <w:bCs/>
                <w:color w:val="auto"/>
                <w:szCs w:val="18"/>
              </w:rPr>
              <w:t>Boskin Commission (1996)</w:t>
            </w:r>
          </w:p>
        </w:tc>
        <w:tc>
          <w:tcPr>
            <w:tcW w:w="2500" w:type="pct"/>
            <w:tcBorders>
              <w:top w:val="single" w:sz="4" w:space="0" w:color="B3B3B3"/>
              <w:bottom w:val="nil"/>
            </w:tcBorders>
            <w:shd w:val="clear" w:color="000000" w:fill="F2F2F2"/>
          </w:tcPr>
          <w:p w14:paraId="41CA1550" w14:textId="25978BC0" w:rsidR="00765297" w:rsidRPr="005C0231" w:rsidRDefault="00757DF4" w:rsidP="004B292F">
            <w:pPr>
              <w:pStyle w:val="TableBody"/>
              <w:spacing w:before="35" w:after="35"/>
              <w:ind w:left="45" w:right="85"/>
              <w:rPr>
                <w:rFonts w:ascii="Arial (Body)" w:hAnsi="Arial (Body)"/>
                <w:color w:val="000000"/>
                <w:szCs w:val="18"/>
              </w:rPr>
            </w:pPr>
            <w:r w:rsidRPr="005C0231">
              <w:rPr>
                <w:rFonts w:ascii="Arial (Body)" w:hAnsi="Arial (Body)"/>
                <w:color w:val="000000"/>
                <w:szCs w:val="18"/>
              </w:rPr>
              <w:t>0.6</w:t>
            </w:r>
          </w:p>
        </w:tc>
      </w:tr>
      <w:tr w:rsidR="00765297" w:rsidRPr="005C0231" w14:paraId="53DBEE19" w14:textId="77777777" w:rsidTr="004B292F">
        <w:tc>
          <w:tcPr>
            <w:tcW w:w="2500" w:type="pct"/>
            <w:tcBorders>
              <w:top w:val="nil"/>
              <w:bottom w:val="nil"/>
            </w:tcBorders>
            <w:shd w:val="clear" w:color="000000" w:fill="auto"/>
          </w:tcPr>
          <w:p w14:paraId="26ABF006" w14:textId="77777777" w:rsidR="00765297" w:rsidRPr="005C0231" w:rsidRDefault="00765297" w:rsidP="004B292F">
            <w:pPr>
              <w:pStyle w:val="TableHeading"/>
              <w:spacing w:after="15"/>
              <w:ind w:left="45"/>
              <w:rPr>
                <w:b w:val="0"/>
                <w:bCs/>
                <w:color w:val="auto"/>
                <w:szCs w:val="18"/>
              </w:rPr>
            </w:pPr>
            <w:r w:rsidRPr="005C0231">
              <w:rPr>
                <w:b w:val="0"/>
                <w:bCs/>
                <w:color w:val="auto"/>
                <w:szCs w:val="18"/>
              </w:rPr>
              <w:t>Lebow and Rudd (2003)</w:t>
            </w:r>
          </w:p>
        </w:tc>
        <w:tc>
          <w:tcPr>
            <w:tcW w:w="2500" w:type="pct"/>
            <w:tcBorders>
              <w:top w:val="nil"/>
              <w:bottom w:val="nil"/>
            </w:tcBorders>
            <w:shd w:val="clear" w:color="000000" w:fill="auto"/>
          </w:tcPr>
          <w:p w14:paraId="2D23DCD7" w14:textId="3C053740" w:rsidR="00765297" w:rsidRPr="005C0231" w:rsidRDefault="00765297" w:rsidP="004B292F">
            <w:pPr>
              <w:pStyle w:val="TableBody"/>
              <w:spacing w:before="35" w:after="35"/>
              <w:ind w:left="45" w:right="85"/>
              <w:rPr>
                <w:rFonts w:ascii="Arial (Body)" w:hAnsi="Arial (Body)"/>
                <w:color w:val="000000"/>
                <w:szCs w:val="18"/>
              </w:rPr>
            </w:pPr>
            <w:r w:rsidRPr="005C0231">
              <w:rPr>
                <w:rFonts w:ascii="Arial (Body)" w:hAnsi="Arial (Body)"/>
                <w:color w:val="000000"/>
                <w:szCs w:val="18"/>
              </w:rPr>
              <w:t>0.</w:t>
            </w:r>
            <w:r w:rsidR="00757DF4" w:rsidRPr="005C0231">
              <w:rPr>
                <w:rFonts w:ascii="Arial (Body)" w:hAnsi="Arial (Body)"/>
                <w:color w:val="000000"/>
                <w:szCs w:val="18"/>
              </w:rPr>
              <w:t>37</w:t>
            </w:r>
          </w:p>
        </w:tc>
      </w:tr>
      <w:tr w:rsidR="00765297" w:rsidRPr="005C0231" w14:paraId="04C96E62" w14:textId="77777777" w:rsidTr="004B292F">
        <w:tc>
          <w:tcPr>
            <w:tcW w:w="2500" w:type="pct"/>
            <w:shd w:val="clear" w:color="000000" w:fill="F2F2F2"/>
          </w:tcPr>
          <w:p w14:paraId="374A09F0" w14:textId="77777777" w:rsidR="00765297" w:rsidRPr="005C0231" w:rsidRDefault="00765297" w:rsidP="004B292F">
            <w:pPr>
              <w:pStyle w:val="TableHeading"/>
              <w:spacing w:after="15"/>
              <w:ind w:left="45"/>
              <w:rPr>
                <w:b w:val="0"/>
                <w:bCs/>
                <w:color w:val="auto"/>
                <w:szCs w:val="18"/>
              </w:rPr>
            </w:pPr>
            <w:r w:rsidRPr="005C0231">
              <w:rPr>
                <w:b w:val="0"/>
                <w:bCs/>
                <w:color w:val="auto"/>
                <w:szCs w:val="18"/>
              </w:rPr>
              <w:t>Gordon (2006)</w:t>
            </w:r>
          </w:p>
        </w:tc>
        <w:tc>
          <w:tcPr>
            <w:tcW w:w="2500" w:type="pct"/>
            <w:shd w:val="clear" w:color="000000" w:fill="F2F2F2"/>
          </w:tcPr>
          <w:p w14:paraId="2E6C1E0C" w14:textId="2F256F76" w:rsidR="00765297" w:rsidRPr="005C0231" w:rsidRDefault="00757DF4" w:rsidP="004B292F">
            <w:pPr>
              <w:pStyle w:val="TableBody"/>
              <w:spacing w:before="35" w:after="35"/>
              <w:ind w:left="45" w:right="85"/>
              <w:rPr>
                <w:rFonts w:ascii="Arial (Body)" w:hAnsi="Arial (Body)"/>
                <w:color w:val="000000"/>
                <w:szCs w:val="18"/>
              </w:rPr>
            </w:pPr>
            <w:r w:rsidRPr="005C0231">
              <w:rPr>
                <w:rFonts w:ascii="Arial (Body)" w:hAnsi="Arial (Body)"/>
                <w:color w:val="000000"/>
                <w:szCs w:val="18"/>
              </w:rPr>
              <w:t>0.4</w:t>
            </w:r>
          </w:p>
        </w:tc>
      </w:tr>
      <w:tr w:rsidR="00765297" w:rsidRPr="005C0231" w14:paraId="35091FE5" w14:textId="77777777" w:rsidTr="004B292F">
        <w:tc>
          <w:tcPr>
            <w:tcW w:w="2500" w:type="pct"/>
            <w:shd w:val="clear" w:color="auto" w:fill="FFFFFF" w:themeFill="background1"/>
          </w:tcPr>
          <w:p w14:paraId="3E9C45AC" w14:textId="77777777" w:rsidR="00765297" w:rsidRPr="005C0231" w:rsidRDefault="00765297" w:rsidP="004B292F">
            <w:pPr>
              <w:pStyle w:val="TableHeading"/>
              <w:spacing w:after="15"/>
              <w:ind w:left="45"/>
              <w:rPr>
                <w:b w:val="0"/>
                <w:bCs/>
                <w:color w:val="auto"/>
                <w:szCs w:val="18"/>
              </w:rPr>
            </w:pPr>
            <w:r w:rsidRPr="005C0231">
              <w:rPr>
                <w:b w:val="0"/>
                <w:bCs/>
                <w:color w:val="auto"/>
                <w:szCs w:val="18"/>
              </w:rPr>
              <w:t>Moulton (2018)</w:t>
            </w:r>
          </w:p>
        </w:tc>
        <w:tc>
          <w:tcPr>
            <w:tcW w:w="2500" w:type="pct"/>
            <w:shd w:val="clear" w:color="auto" w:fill="FFFFFF" w:themeFill="background1"/>
          </w:tcPr>
          <w:p w14:paraId="0C29A770" w14:textId="758D0302" w:rsidR="00765297" w:rsidRPr="005C0231" w:rsidRDefault="00765297" w:rsidP="004B292F">
            <w:pPr>
              <w:pStyle w:val="TableBody"/>
              <w:spacing w:before="35" w:after="35"/>
              <w:ind w:left="45" w:right="85"/>
              <w:rPr>
                <w:rFonts w:ascii="Arial (Body)" w:hAnsi="Arial (Body)"/>
                <w:color w:val="000000"/>
                <w:szCs w:val="18"/>
              </w:rPr>
            </w:pPr>
            <w:r w:rsidRPr="005C0231">
              <w:rPr>
                <w:rFonts w:ascii="Arial (Body)" w:hAnsi="Arial (Body)"/>
                <w:color w:val="000000"/>
                <w:szCs w:val="18"/>
              </w:rPr>
              <w:t>0.</w:t>
            </w:r>
            <w:r w:rsidR="003712EC" w:rsidRPr="005C0231">
              <w:rPr>
                <w:rFonts w:ascii="Arial (Body)" w:hAnsi="Arial (Body)"/>
                <w:color w:val="000000"/>
                <w:szCs w:val="18"/>
              </w:rPr>
              <w:t>37</w:t>
            </w:r>
          </w:p>
        </w:tc>
      </w:tr>
      <w:tr w:rsidR="00765297" w:rsidRPr="005C0231" w14:paraId="05A76BC2" w14:textId="77777777" w:rsidTr="004B292F">
        <w:tc>
          <w:tcPr>
            <w:tcW w:w="2500" w:type="pct"/>
            <w:shd w:val="clear" w:color="000000" w:fill="F2F2F2"/>
          </w:tcPr>
          <w:p w14:paraId="3A19747A" w14:textId="77777777" w:rsidR="00765297" w:rsidRPr="005C0231" w:rsidRDefault="00765297" w:rsidP="004B292F">
            <w:pPr>
              <w:pStyle w:val="TableHeading"/>
              <w:spacing w:after="15"/>
              <w:ind w:left="45"/>
              <w:rPr>
                <w:color w:val="auto"/>
                <w:szCs w:val="18"/>
              </w:rPr>
            </w:pPr>
            <w:r w:rsidRPr="005C0231">
              <w:rPr>
                <w:color w:val="auto"/>
                <w:szCs w:val="18"/>
              </w:rPr>
              <w:t>Total range</w:t>
            </w:r>
          </w:p>
        </w:tc>
        <w:tc>
          <w:tcPr>
            <w:tcW w:w="2500" w:type="pct"/>
            <w:shd w:val="clear" w:color="000000" w:fill="F2F2F2"/>
          </w:tcPr>
          <w:p w14:paraId="7D962F74" w14:textId="0D04AA29" w:rsidR="00765297" w:rsidRPr="005C0231" w:rsidRDefault="00765297" w:rsidP="004B292F">
            <w:pPr>
              <w:pStyle w:val="TableBody"/>
              <w:spacing w:before="35" w:after="35"/>
              <w:ind w:left="45" w:right="85"/>
              <w:rPr>
                <w:rFonts w:ascii="Arial (Body)" w:hAnsi="Arial (Body)"/>
                <w:b/>
                <w:color w:val="000000"/>
                <w:szCs w:val="18"/>
              </w:rPr>
            </w:pPr>
            <w:r w:rsidRPr="005C0231">
              <w:rPr>
                <w:rFonts w:ascii="Arial (Body)" w:hAnsi="Arial (Body)"/>
                <w:b/>
                <w:color w:val="000000"/>
                <w:szCs w:val="18"/>
              </w:rPr>
              <w:t>0.</w:t>
            </w:r>
            <w:r w:rsidR="003712EC" w:rsidRPr="005C0231">
              <w:rPr>
                <w:rFonts w:ascii="Arial (Body)" w:hAnsi="Arial (Body)"/>
                <w:b/>
                <w:color w:val="000000"/>
                <w:szCs w:val="18"/>
              </w:rPr>
              <w:t>37</w:t>
            </w:r>
            <w:r w:rsidRPr="005C0231">
              <w:rPr>
                <w:rFonts w:ascii="Arial (Body)" w:hAnsi="Arial (Body)"/>
                <w:b/>
                <w:color w:val="000000"/>
                <w:szCs w:val="18"/>
              </w:rPr>
              <w:t>–</w:t>
            </w:r>
            <w:r w:rsidR="003712EC" w:rsidRPr="005C0231">
              <w:rPr>
                <w:rFonts w:ascii="Arial (Body)" w:hAnsi="Arial (Body)"/>
                <w:b/>
                <w:color w:val="000000"/>
                <w:szCs w:val="18"/>
              </w:rPr>
              <w:t>0.6</w:t>
            </w:r>
          </w:p>
        </w:tc>
      </w:tr>
    </w:tbl>
    <w:p w14:paraId="02DD9346" w14:textId="65028E64" w:rsidR="00765297" w:rsidRDefault="006A661C" w:rsidP="00765297">
      <w:pPr>
        <w:pStyle w:val="Source"/>
      </w:pPr>
      <w:r w:rsidRPr="00696447">
        <w:t>Source:</w:t>
      </w:r>
      <w:r w:rsidR="00D9603C">
        <w:t xml:space="preserve"> </w:t>
      </w:r>
      <w:r w:rsidR="00D9603C" w:rsidRPr="00D9603C">
        <w:t>Boskin Commission</w:t>
      </w:r>
      <w:r w:rsidR="00D9603C">
        <w:t xml:space="preserve"> </w:t>
      </w:r>
      <w:r w:rsidR="00230366" w:rsidRPr="00230366">
        <w:rPr>
          <w:rFonts w:ascii="Arial" w:hAnsi="Arial" w:cs="Arial"/>
        </w:rPr>
        <w:t>(1996)</w:t>
      </w:r>
      <w:r w:rsidR="00D9603C" w:rsidRPr="00D9603C">
        <w:t xml:space="preserve">; Gordon </w:t>
      </w:r>
      <w:r w:rsidR="00922F4B" w:rsidRPr="00922F4B">
        <w:rPr>
          <w:rFonts w:ascii="Arial" w:hAnsi="Arial" w:cs="Arial"/>
        </w:rPr>
        <w:t>(2006)</w:t>
      </w:r>
      <w:r w:rsidR="00D9603C" w:rsidRPr="00D9603C">
        <w:t xml:space="preserve">; Lebow and Rudd </w:t>
      </w:r>
      <w:r w:rsidR="00137530" w:rsidRPr="00137530">
        <w:rPr>
          <w:rFonts w:ascii="Arial" w:hAnsi="Arial" w:cs="Arial"/>
        </w:rPr>
        <w:t>(2003)</w:t>
      </w:r>
      <w:r w:rsidR="00D9603C" w:rsidRPr="00D9603C">
        <w:t>; Moul</w:t>
      </w:r>
      <w:r w:rsidR="00291836">
        <w:t>t</w:t>
      </w:r>
      <w:r w:rsidR="00D9603C" w:rsidRPr="00D9603C">
        <w:t xml:space="preserve">on </w:t>
      </w:r>
      <w:r w:rsidR="000A0145" w:rsidRPr="000A0145">
        <w:rPr>
          <w:rFonts w:ascii="Arial" w:hAnsi="Arial" w:cs="Arial"/>
        </w:rPr>
        <w:t>(2018)</w:t>
      </w:r>
      <w:r w:rsidR="00D9603C" w:rsidRPr="00D9603C">
        <w:t>.</w:t>
      </w:r>
    </w:p>
    <w:p w14:paraId="330F1E01" w14:textId="77777777" w:rsidR="00D60B89" w:rsidRDefault="00D60B89" w:rsidP="00D60B89">
      <w:pPr>
        <w:pStyle w:val="BodyText"/>
      </w:pPr>
      <w:r>
        <w:t xml:space="preserve">As the economy has become dominated by services, innovation in the form of quality or novel products has likely become more important </w:t>
      </w:r>
      <w:r w:rsidRPr="00F65C50">
        <w:rPr>
          <w:rFonts w:ascii="Arial" w:hAnsi="Arial" w:cs="Arial"/>
        </w:rPr>
        <w:t>(PC 2021a, p. 2)</w:t>
      </w:r>
      <w:r>
        <w:t xml:space="preserve">. Service innovation often takes the form of improved quality rather than quantity. Likewise, digital products are also subject to measurement challenges. For example, </w:t>
      </w:r>
      <w:r>
        <w:lastRenderedPageBreak/>
        <w:t xml:space="preserve">one study found that improvements in smartphones alone – whose effect cannot be captured under current statistical agency methods – created economic wellbeing equivalent to an additional 0.68 percentage points of annual GDP growth between 2008 and 2017 </w:t>
      </w:r>
      <w:r w:rsidRPr="007C2E4F">
        <w:rPr>
          <w:rFonts w:ascii="Arial" w:hAnsi="Arial" w:cs="Arial"/>
        </w:rPr>
        <w:t>(Brynjolfsson et al. 2025, p. 331)</w:t>
      </w:r>
      <w:r>
        <w:t xml:space="preserve">. Many digital services – like non-market goods – are provided at low (below production cost) or no price due to being funded by advertisement. This means that their economic contribution is likely underestimated. </w:t>
      </w:r>
    </w:p>
    <w:p w14:paraId="68223B81" w14:textId="4888864B" w:rsidR="00765297" w:rsidRDefault="00765297" w:rsidP="00765297">
      <w:pPr>
        <w:pStyle w:val="Heading3"/>
      </w:pPr>
      <w:r>
        <w:t>No consensus about how much measurement issues have contributed to the current productivity slowdown</w:t>
      </w:r>
    </w:p>
    <w:p w14:paraId="0451B71B" w14:textId="49013748" w:rsidR="00765297" w:rsidRPr="00191E9B" w:rsidRDefault="00765297" w:rsidP="00765297">
      <w:pPr>
        <w:pStyle w:val="BodyText"/>
        <w:rPr>
          <w:spacing w:val="-2"/>
        </w:rPr>
      </w:pPr>
      <w:r w:rsidRPr="00191E9B">
        <w:rPr>
          <w:spacing w:val="-2"/>
        </w:rPr>
        <w:t xml:space="preserve">There is no consensus about how much, if at all, measurement error has contributed to the most recent slowdown in advanced economy productivity growth. Some studies argue that while mismeasurement has become more of an issue, the timing of the slowdown appears difficult to explain using mismeasurement alone. They argue that a productivity slowdown caused predominately by measurement error would be expected to slowly become an issue as errors steadily increase. However, the current productivity slowdown occurred quite suddenly in about 2005 and followed a period of above average productivity growth </w:t>
      </w:r>
      <w:r w:rsidR="007F2CCF" w:rsidRPr="00191E9B">
        <w:rPr>
          <w:rFonts w:cs="Arial"/>
          <w:spacing w:val="-2"/>
        </w:rPr>
        <w:t>(Syverson 2017)</w:t>
      </w:r>
      <w:r w:rsidR="00833A61" w:rsidRPr="00191E9B">
        <w:rPr>
          <w:spacing w:val="-2"/>
        </w:rPr>
        <w:t>.</w:t>
      </w:r>
    </w:p>
    <w:p w14:paraId="133C95D3" w14:textId="3418C592" w:rsidR="008C407D" w:rsidRPr="00F2098B" w:rsidRDefault="00765297" w:rsidP="00F2098B">
      <w:pPr>
        <w:pStyle w:val="BodyText"/>
      </w:pPr>
      <w:r>
        <w:t>That said, even if measurement error is not the main contributor to the most recent slowdown in measured advanced economy productivity growth, the issue is still becoming more important over time.</w:t>
      </w:r>
      <w:r w:rsidR="00FA3735">
        <w:t xml:space="preserve"> </w:t>
      </w:r>
      <w:r w:rsidR="00AD13AA">
        <w:t xml:space="preserve">Addressing </w:t>
      </w:r>
      <w:r w:rsidR="008A2EB0">
        <w:t>these</w:t>
      </w:r>
      <w:r w:rsidR="00AD13AA">
        <w:t xml:space="preserve"> measurement challenge</w:t>
      </w:r>
      <w:r w:rsidR="008A2EB0">
        <w:t>s</w:t>
      </w:r>
      <w:r w:rsidR="00AD13AA">
        <w:t xml:space="preserve"> is difficult and no statistical agency in any country has yet solved the issue completely. The U</w:t>
      </w:r>
      <w:r w:rsidR="00260B42">
        <w:t xml:space="preserve">nited </w:t>
      </w:r>
      <w:r w:rsidR="00AD13AA">
        <w:t>K</w:t>
      </w:r>
      <w:r w:rsidR="00260B42">
        <w:t>ingdom</w:t>
      </w:r>
      <w:r w:rsidR="00AD13AA">
        <w:t xml:space="preserve"> has taken steps towards improving measures of non</w:t>
      </w:r>
      <w:r w:rsidR="00B76EE3">
        <w:noBreakHyphen/>
      </w:r>
      <w:r w:rsidR="00AD13AA">
        <w:t xml:space="preserve">market productivity </w:t>
      </w:r>
      <w:r w:rsidR="00332BE1" w:rsidRPr="00EF5D52">
        <w:t>(Office for National Statistics 2025)</w:t>
      </w:r>
      <w:r w:rsidR="00AD13AA">
        <w:t xml:space="preserve"> and the US has for many decades used ‘hedonic pricing’ to adjust for the changing quality </w:t>
      </w:r>
      <w:r w:rsidR="00F14F2F" w:rsidRPr="00F2098B">
        <w:t>for a wide variety of products</w:t>
      </w:r>
      <w:r w:rsidR="00213248">
        <w:t xml:space="preserve"> </w:t>
      </w:r>
      <w:r w:rsidR="00C02A0B" w:rsidRPr="00C02A0B">
        <w:rPr>
          <w:rFonts w:ascii="Arial" w:hAnsi="Arial" w:cs="Arial"/>
        </w:rPr>
        <w:t>(Bureau of Labor Statistics 2022, 2025)</w:t>
      </w:r>
      <w:r w:rsidR="00AD13AA">
        <w:t xml:space="preserve">. </w:t>
      </w:r>
      <w:r w:rsidR="006A613F" w:rsidRPr="00F2098B">
        <w:t xml:space="preserve">The ABS has relied on the </w:t>
      </w:r>
      <w:r w:rsidR="00D771D2" w:rsidRPr="00F2098B">
        <w:t>hedonically adjusted PPI series on personal computers produced by the</w:t>
      </w:r>
      <w:r w:rsidR="006A613F" w:rsidRPr="00F2098B">
        <w:t xml:space="preserve"> US </w:t>
      </w:r>
      <w:r w:rsidR="00D771D2" w:rsidRPr="00F2098B">
        <w:t>Bureau of Labour Statistics</w:t>
      </w:r>
      <w:r w:rsidR="006A613F" w:rsidRPr="00F2098B">
        <w:t xml:space="preserve"> </w:t>
      </w:r>
      <w:r w:rsidR="00D771D2" w:rsidRPr="00F2098B">
        <w:t xml:space="preserve">as </w:t>
      </w:r>
      <w:r w:rsidR="00E75F68">
        <w:t xml:space="preserve">a </w:t>
      </w:r>
      <w:r w:rsidR="00D771D2" w:rsidRPr="00F2098B">
        <w:t>source of price information for the Australian CPI</w:t>
      </w:r>
      <w:r w:rsidR="002B6BA2">
        <w:t xml:space="preserve"> </w:t>
      </w:r>
      <w:r w:rsidR="001D3FF6" w:rsidRPr="001D3FF6">
        <w:rPr>
          <w:rFonts w:ascii="Arial" w:hAnsi="Arial" w:cs="Arial"/>
        </w:rPr>
        <w:t>(ABS 2025d)</w:t>
      </w:r>
      <w:r w:rsidR="00D771D2" w:rsidRPr="00F2098B">
        <w:t xml:space="preserve">. </w:t>
      </w:r>
      <w:r w:rsidR="002764B1">
        <w:t>F</w:t>
      </w:r>
      <w:r w:rsidR="002376A9" w:rsidRPr="00F2098B">
        <w:t xml:space="preserve">urther steps toward </w:t>
      </w:r>
      <w:r w:rsidR="002D4453" w:rsidRPr="00F2098B">
        <w:t>improving measurement of non-market productivity and adjusting for quality</w:t>
      </w:r>
      <w:r w:rsidR="005C194B">
        <w:t xml:space="preserve"> improvements</w:t>
      </w:r>
      <w:r w:rsidR="002D4453" w:rsidRPr="00F2098B">
        <w:t xml:space="preserve">, </w:t>
      </w:r>
      <w:r w:rsidR="005D4B51">
        <w:t xml:space="preserve">are likely to </w:t>
      </w:r>
      <w:r w:rsidR="00B913C0" w:rsidRPr="00F2098B">
        <w:t xml:space="preserve">require </w:t>
      </w:r>
      <w:r w:rsidR="005D4B51">
        <w:t xml:space="preserve">additional </w:t>
      </w:r>
      <w:r w:rsidR="00B913C0" w:rsidRPr="00F2098B">
        <w:t xml:space="preserve">resources. </w:t>
      </w:r>
      <w:r w:rsidR="00F8768F" w:rsidRPr="00F2098B">
        <w:t xml:space="preserve">Policymakers </w:t>
      </w:r>
      <w:r w:rsidR="00DA6427" w:rsidRPr="00F2098B">
        <w:t>would need to balance the desire for more accurate economic statistics a</w:t>
      </w:r>
      <w:r w:rsidR="00F2098B" w:rsidRPr="00F2098B">
        <w:t xml:space="preserve">gainst competing budgetary priorities. </w:t>
      </w:r>
    </w:p>
    <w:p w14:paraId="786424DA" w14:textId="3B6FDDB9" w:rsidR="00765297" w:rsidRPr="00F82BD9" w:rsidRDefault="00765297" w:rsidP="00765297">
      <w:pPr>
        <w:pStyle w:val="NoSpacing"/>
      </w:pPr>
    </w:p>
    <w:tbl>
      <w:tblPr>
        <w:tblStyle w:val="Boxtable"/>
        <w:tblW w:w="5000" w:type="pct"/>
        <w:tblLook w:val="04A0" w:firstRow="1" w:lastRow="0" w:firstColumn="1" w:lastColumn="0" w:noHBand="0" w:noVBand="1"/>
      </w:tblPr>
      <w:tblGrid>
        <w:gridCol w:w="9638"/>
      </w:tblGrid>
      <w:tr w:rsidR="00765297" w14:paraId="107DBE15" w14:textId="77777777" w:rsidTr="004B292F">
        <w:trPr>
          <w:tblHeader/>
        </w:trPr>
        <w:tc>
          <w:tcPr>
            <w:tcW w:w="9638" w:type="dxa"/>
            <w:shd w:val="clear" w:color="auto" w:fill="EBEBEB"/>
            <w:tcMar>
              <w:top w:w="170" w:type="dxa"/>
              <w:left w:w="170" w:type="dxa"/>
              <w:bottom w:w="113" w:type="dxa"/>
              <w:right w:w="170" w:type="dxa"/>
            </w:tcMar>
            <w:hideMark/>
          </w:tcPr>
          <w:p w14:paraId="34E6ACBE" w14:textId="77777777" w:rsidR="00765297" w:rsidRDefault="00765297" w:rsidP="004B292F">
            <w:pPr>
              <w:pStyle w:val="BoxHeading1"/>
            </w:pPr>
            <w:r>
              <w:t>Key takeaways – Challenges in measuring productivity</w:t>
            </w:r>
          </w:p>
        </w:tc>
      </w:tr>
      <w:tr w:rsidR="00765297" w14:paraId="3D291FF1" w14:textId="77777777" w:rsidTr="004B292F">
        <w:tc>
          <w:tcPr>
            <w:tcW w:w="9638" w:type="dxa"/>
            <w:shd w:val="clear" w:color="auto" w:fill="EBEBEB"/>
            <w:tcMar>
              <w:top w:w="28" w:type="dxa"/>
              <w:left w:w="170" w:type="dxa"/>
              <w:bottom w:w="170" w:type="dxa"/>
              <w:right w:w="170" w:type="dxa"/>
            </w:tcMar>
            <w:hideMark/>
          </w:tcPr>
          <w:p w14:paraId="3A251F28" w14:textId="569A732D" w:rsidR="00765297" w:rsidRDefault="00765297" w:rsidP="000B4B6F">
            <w:pPr>
              <w:pStyle w:val="BodyText"/>
              <w:spacing w:after="240"/>
            </w:pPr>
            <w:r>
              <w:t xml:space="preserve">Measurement issues are pervasive in productivity statistics, both for non-market and market activity. And this issue has likely worsened over time as the structure of the economy has changed. This does not imply measurement is without merit, but it does demonstrate room for methodological advancement both in Australia and internationally. The </w:t>
            </w:r>
            <w:r w:rsidR="00D153BD">
              <w:t>Australian Bureau of Statistics</w:t>
            </w:r>
            <w:r>
              <w:t xml:space="preserve"> should continue to monitor national and international progress in productivity measurement, adopting new approaches as they develop and become increasingly evidenced.</w:t>
            </w:r>
          </w:p>
        </w:tc>
      </w:tr>
    </w:tbl>
    <w:p w14:paraId="6DBB354B" w14:textId="4A1AB3C8" w:rsidR="00191E9B" w:rsidRDefault="00191E9B" w:rsidP="00765297">
      <w:pPr>
        <w:pStyle w:val="BodyText"/>
      </w:pPr>
      <w:r>
        <w:br w:type="page"/>
      </w:r>
    </w:p>
    <w:p w14:paraId="5CBC66B5" w14:textId="77777777" w:rsidR="00EB6BA4" w:rsidRDefault="005C0231" w:rsidP="00EB6BA4">
      <w:pPr>
        <w:pStyle w:val="Heading2-nonumber"/>
        <w:sectPr w:rsidR="00EB6BA4" w:rsidSect="002E3F19">
          <w:headerReference w:type="even" r:id="rId48"/>
          <w:headerReference w:type="default" r:id="rId49"/>
          <w:footerReference w:type="even" r:id="rId50"/>
          <w:footerReference w:type="default" r:id="rId51"/>
          <w:headerReference w:type="first" r:id="rId52"/>
          <w:pgSz w:w="11906" w:h="16838" w:code="9"/>
          <w:pgMar w:top="1134" w:right="1134" w:bottom="1134" w:left="1134" w:header="794" w:footer="510" w:gutter="0"/>
          <w:cols w:space="708"/>
          <w:docGrid w:linePitch="360"/>
        </w:sectPr>
      </w:pPr>
      <w:r>
        <w:lastRenderedPageBreak/>
        <w:t>R</w:t>
      </w:r>
      <w:r w:rsidR="00A91551">
        <w:t>eference</w:t>
      </w:r>
      <w:bookmarkEnd w:id="9"/>
      <w:r>
        <w:t>s</w:t>
      </w:r>
    </w:p>
    <w:p w14:paraId="0828B741" w14:textId="4D40F56C" w:rsidR="00D05BFC" w:rsidRDefault="00D05BFC" w:rsidP="00EB6BA4">
      <w:pPr>
        <w:pStyle w:val="Reference"/>
      </w:pPr>
      <w:r>
        <w:t xml:space="preserve">ABS (Australian Bureau of Statistics) 2020, </w:t>
      </w:r>
      <w:r>
        <w:rPr>
          <w:i/>
          <w:iCs/>
        </w:rPr>
        <w:t>Non-market output measures in the Australian National Accounts: a conceptual framework for enhancements</w:t>
      </w:r>
      <w:r>
        <w:t>, 31 August, https://www.abs.gov.au/statistics/research/non-market-output-measures-australian-national-accounts-conceptual-framework-enhancements-2020 (accessed 5 February 2026).</w:t>
      </w:r>
    </w:p>
    <w:p w14:paraId="1D0AE01A" w14:textId="2FB11142" w:rsidR="00D05BFC" w:rsidRDefault="00D05BFC" w:rsidP="00EB6BA4">
      <w:pPr>
        <w:pStyle w:val="Reference"/>
      </w:pPr>
      <w:r>
        <w:t>——</w:t>
      </w:r>
      <w:r w:rsidR="00EB6BA4">
        <w:t> </w:t>
      </w:r>
      <w:r>
        <w:t xml:space="preserve">2025a, </w:t>
      </w:r>
      <w:r>
        <w:rPr>
          <w:i/>
          <w:iCs/>
        </w:rPr>
        <w:t>Australian National Accounts: National Income, Expenditure and Product</w:t>
      </w:r>
      <w:r>
        <w:t>, 3 December, https://www.abs.gov.au/statistics/economy/national-accounts/australian-national-accounts-national-income-expenditure-and-product/latest-release (accessed 5 February 2026).</w:t>
      </w:r>
    </w:p>
    <w:p w14:paraId="454414B8" w14:textId="2D15E557" w:rsidR="00D05BFC" w:rsidRDefault="00D05BFC" w:rsidP="00EB6BA4">
      <w:pPr>
        <w:pStyle w:val="Reference"/>
      </w:pPr>
      <w:r>
        <w:t>——</w:t>
      </w:r>
      <w:r w:rsidR="00EB6BA4">
        <w:t> </w:t>
      </w:r>
      <w:r>
        <w:t xml:space="preserve">2025b, </w:t>
      </w:r>
      <w:r>
        <w:rPr>
          <w:i/>
          <w:iCs/>
        </w:rPr>
        <w:t>Australian System of National Accounts</w:t>
      </w:r>
      <w:r>
        <w:t>, 24 October, https://www.abs.gov.au/statistics/economy/national-accounts/australian-system-national-accounts/latest-release (accessed 5 February 2026).</w:t>
      </w:r>
    </w:p>
    <w:p w14:paraId="5FDBB76D" w14:textId="352BBA17" w:rsidR="00D05BFC" w:rsidRDefault="00D05BFC" w:rsidP="00EB6BA4">
      <w:pPr>
        <w:pStyle w:val="Reference"/>
      </w:pPr>
      <w:r>
        <w:t>——</w:t>
      </w:r>
      <w:r w:rsidR="00EB6BA4">
        <w:t> </w:t>
      </w:r>
      <w:r>
        <w:t xml:space="preserve">2025c, </w:t>
      </w:r>
      <w:r>
        <w:rPr>
          <w:i/>
          <w:iCs/>
        </w:rPr>
        <w:t>Labour Account Australia</w:t>
      </w:r>
      <w:r>
        <w:t>, 5 December, https://www.abs.gov.au/statistics/labour/labour-accounts/labour-account-australia/latest-release (accessed 9 February 2026).</w:t>
      </w:r>
    </w:p>
    <w:p w14:paraId="0B18AF9C" w14:textId="25C45A4F" w:rsidR="00D05BFC" w:rsidRDefault="00D05BFC" w:rsidP="00EB6BA4">
      <w:pPr>
        <w:pStyle w:val="Reference"/>
      </w:pPr>
      <w:r>
        <w:t>——</w:t>
      </w:r>
      <w:r w:rsidR="00EB6BA4">
        <w:t> </w:t>
      </w:r>
      <w:r>
        <w:t xml:space="preserve">2025d, </w:t>
      </w:r>
      <w:r>
        <w:rPr>
          <w:i/>
          <w:iCs/>
        </w:rPr>
        <w:t>Price collection</w:t>
      </w:r>
      <w:r>
        <w:t>, https://www.abs.gov.au/statistics/detailed-methodology-information/concepts-sources-methods/consumer-price-index-concepts-sources-and-methods/2025/price-collection (accessed 20 February 2026).</w:t>
      </w:r>
    </w:p>
    <w:p w14:paraId="4D15B36F" w14:textId="7BDD78A2" w:rsidR="00D05BFC" w:rsidRDefault="00D05BFC" w:rsidP="00EB6BA4">
      <w:pPr>
        <w:pStyle w:val="Reference"/>
      </w:pPr>
      <w:r>
        <w:t>——</w:t>
      </w:r>
      <w:r w:rsidR="00EB6BA4">
        <w:t> </w:t>
      </w:r>
      <w:r>
        <w:t xml:space="preserve">2026, </w:t>
      </w:r>
      <w:r>
        <w:rPr>
          <w:i/>
          <w:iCs/>
        </w:rPr>
        <w:t>Chapter 9 Gross Domestic Product - Production approach (GDP(P))</w:t>
      </w:r>
      <w:r>
        <w:t>, https://www.abs.gov.au/statistics/detailed-methodology-information/concepts-sources-methods/</w:t>
      </w:r>
      <w:r w:rsidR="00191E9B">
        <w:br/>
      </w:r>
      <w:r>
        <w:t>australian-system-national-accounts-concepts-sources-and-methods/edition-8/chapter-9-gross-domestic-product-production-approach-gdpp (accessed 23 February 2026).</w:t>
      </w:r>
    </w:p>
    <w:p w14:paraId="54919944" w14:textId="77777777" w:rsidR="00D05BFC" w:rsidRDefault="00D05BFC" w:rsidP="00EB6BA4">
      <w:pPr>
        <w:pStyle w:val="Reference"/>
      </w:pPr>
      <w:r>
        <w:t xml:space="preserve">Australian Treasury 2025, </w:t>
      </w:r>
      <w:r>
        <w:rPr>
          <w:i/>
          <w:iCs/>
        </w:rPr>
        <w:t>Revitalising National Competition Policy</w:t>
      </w:r>
      <w:r>
        <w:t>, https://treasury.gov.au/review/competition-review-2023/ncp (accessed 5 February 2026).</w:t>
      </w:r>
    </w:p>
    <w:p w14:paraId="70B1ADC7" w14:textId="77777777" w:rsidR="00D05BFC" w:rsidRDefault="00D05BFC" w:rsidP="00EB6BA4">
      <w:pPr>
        <w:pStyle w:val="Reference"/>
      </w:pPr>
      <w:r>
        <w:t xml:space="preserve">Bergeaud, A, Cette, G and Lecat, R 2014, </w:t>
      </w:r>
      <w:r>
        <w:rPr>
          <w:i/>
          <w:iCs/>
        </w:rPr>
        <w:t>Productivity Trends from 1890 to 2012 in Advanced Countries</w:t>
      </w:r>
      <w:r>
        <w:t>, SSRN Scholarly Paper, Social Science Research Network, Rochester, NY, https://papers.ssrn.com/abstract=2414367 (accessed 18 February 2026).</w:t>
      </w:r>
    </w:p>
    <w:p w14:paraId="6B649098" w14:textId="79286D6A" w:rsidR="00D05BFC" w:rsidRDefault="00D05BFC" w:rsidP="00EB6BA4">
      <w:pPr>
        <w:pStyle w:val="Reference"/>
      </w:pPr>
      <w:r>
        <w:t>——, —— and ——</w:t>
      </w:r>
      <w:r w:rsidR="00EB6BA4">
        <w:t> </w:t>
      </w:r>
      <w:r>
        <w:t xml:space="preserve">2023, </w:t>
      </w:r>
      <w:r>
        <w:rPr>
          <w:i/>
          <w:iCs/>
        </w:rPr>
        <w:t>Long-Term Productivity Database</w:t>
      </w:r>
      <w:r>
        <w:t>, https://www.longtermproductivity.com/ (accessed 16 February 2026).</w:t>
      </w:r>
    </w:p>
    <w:p w14:paraId="0C0C073D" w14:textId="77777777" w:rsidR="00D05BFC" w:rsidRDefault="00D05BFC" w:rsidP="00EB6BA4">
      <w:pPr>
        <w:pStyle w:val="Reference"/>
      </w:pPr>
      <w:r>
        <w:t xml:space="preserve">Boskin, MJ, Dulberger, ER, Gordon, RJ, Griliches, Z and Jorgenson, D 1996, </w:t>
      </w:r>
      <w:r>
        <w:rPr>
          <w:i/>
          <w:iCs/>
        </w:rPr>
        <w:t xml:space="preserve">Toward A More Accurate Measure </w:t>
      </w:r>
      <w:proofErr w:type="gramStart"/>
      <w:r>
        <w:rPr>
          <w:i/>
          <w:iCs/>
        </w:rPr>
        <w:t>Of</w:t>
      </w:r>
      <w:proofErr w:type="gramEnd"/>
      <w:r>
        <w:rPr>
          <w:i/>
          <w:iCs/>
        </w:rPr>
        <w:t xml:space="preserve"> </w:t>
      </w:r>
      <w:proofErr w:type="gramStart"/>
      <w:r>
        <w:rPr>
          <w:i/>
          <w:iCs/>
        </w:rPr>
        <w:t>The</w:t>
      </w:r>
      <w:proofErr w:type="gramEnd"/>
      <w:r>
        <w:rPr>
          <w:i/>
          <w:iCs/>
        </w:rPr>
        <w:t xml:space="preserve"> Cost </w:t>
      </w:r>
      <w:proofErr w:type="gramStart"/>
      <w:r>
        <w:rPr>
          <w:i/>
          <w:iCs/>
        </w:rPr>
        <w:t>Of</w:t>
      </w:r>
      <w:proofErr w:type="gramEnd"/>
      <w:r>
        <w:rPr>
          <w:i/>
          <w:iCs/>
        </w:rPr>
        <w:t xml:space="preserve"> Living</w:t>
      </w:r>
      <w:r>
        <w:t>, https://www.ssa.gov/history/reports/boskinrpt.html (accessed 5 February 2026).</w:t>
      </w:r>
    </w:p>
    <w:p w14:paraId="447E77EA" w14:textId="77777777" w:rsidR="00D05BFC" w:rsidRDefault="00D05BFC" w:rsidP="00EB6BA4">
      <w:pPr>
        <w:pStyle w:val="Reference"/>
      </w:pPr>
      <w:r>
        <w:t>Brynjolfsson, E, Diewert, WE, Collis, A, Eggers, F and Fox, KJ 2025, ‘GDP-B: Accounting for the Value of New and Free Goods’.</w:t>
      </w:r>
    </w:p>
    <w:p w14:paraId="42CB3429" w14:textId="77777777" w:rsidR="00D05BFC" w:rsidRDefault="00D05BFC" w:rsidP="00EB6BA4">
      <w:pPr>
        <w:pStyle w:val="Reference"/>
      </w:pPr>
      <w:r>
        <w:t xml:space="preserve">Bureau of Labor Statistics 2022, </w:t>
      </w:r>
      <w:r>
        <w:rPr>
          <w:i/>
          <w:iCs/>
        </w:rPr>
        <w:t>Hedonic Price Adjustment Techniques</w:t>
      </w:r>
      <w:r>
        <w:t>, Bureau of Labor Statistics, https://www.bls.gov/cpi/quality-adjustment/hedonic-price-adjustment-techniques.htm (accessed 5 February 2026).</w:t>
      </w:r>
    </w:p>
    <w:p w14:paraId="089CCECE" w14:textId="0B8DF9AD" w:rsidR="00D05BFC" w:rsidRDefault="00D05BFC" w:rsidP="00EB6BA4">
      <w:pPr>
        <w:pStyle w:val="Reference"/>
      </w:pPr>
      <w:r>
        <w:t>——</w:t>
      </w:r>
      <w:r w:rsidR="00EB6BA4">
        <w:t> </w:t>
      </w:r>
      <w:r>
        <w:t xml:space="preserve">2025, </w:t>
      </w:r>
      <w:r>
        <w:rPr>
          <w:i/>
          <w:iCs/>
        </w:rPr>
        <w:t>Quality Adjustment in the CPI</w:t>
      </w:r>
      <w:r>
        <w:t>, Bureau of Labor Statistics, https://www.bls.gov/cpi/quality-adjustment/ (accessed 20 February 2026).</w:t>
      </w:r>
    </w:p>
    <w:p w14:paraId="02B67A60" w14:textId="77777777" w:rsidR="00D05BFC" w:rsidRDefault="00D05BFC" w:rsidP="00EB6BA4">
      <w:pPr>
        <w:pStyle w:val="Reference"/>
      </w:pPr>
      <w:r>
        <w:t xml:space="preserve">Chalmers, J 2025, </w:t>
      </w:r>
      <w:r>
        <w:rPr>
          <w:i/>
          <w:iCs/>
        </w:rPr>
        <w:t>Treasurers agree reforms to increase competition and boost productivity | Treasury Ministers</w:t>
      </w:r>
      <w:r>
        <w:t xml:space="preserve">, Treasury Ministers, </w:t>
      </w:r>
      <w:r>
        <w:t>https://ministers.treasury.gov.au/ministers/jim-chalmers-2022/media-releases/treasurers-agree-reforms-increase-competition-and-boost (accessed 23 February 2026).</w:t>
      </w:r>
    </w:p>
    <w:p w14:paraId="2D815791" w14:textId="77777777" w:rsidR="00D05BFC" w:rsidRDefault="00D05BFC" w:rsidP="00EB6BA4">
      <w:pPr>
        <w:pStyle w:val="Reference"/>
      </w:pPr>
      <w:r>
        <w:t xml:space="preserve">Department of Education 2024, </w:t>
      </w:r>
      <w:r>
        <w:rPr>
          <w:i/>
          <w:iCs/>
        </w:rPr>
        <w:t>Australian Universities Accord Final Report</w:t>
      </w:r>
      <w:r>
        <w:t>, https://www.education.gov.au/australian-universities-accord/resources/final-report (accessed 23 February 2026).</w:t>
      </w:r>
    </w:p>
    <w:p w14:paraId="56093356" w14:textId="77777777" w:rsidR="00D05BFC" w:rsidRDefault="00D05BFC" w:rsidP="00EB6BA4">
      <w:pPr>
        <w:pStyle w:val="Reference"/>
      </w:pPr>
      <w:r>
        <w:t xml:space="preserve">Feenstra, RC, Inklaar, R and Timmer, MP 2015, ‘The Next Generation of the Penn World Table’, </w:t>
      </w:r>
      <w:r>
        <w:rPr>
          <w:i/>
          <w:iCs/>
        </w:rPr>
        <w:t>American Economic Review</w:t>
      </w:r>
      <w:r>
        <w:t>, vol. 105, no. 10, pp. 3150–3182.</w:t>
      </w:r>
    </w:p>
    <w:p w14:paraId="3A035D08" w14:textId="77777777" w:rsidR="00D05BFC" w:rsidRDefault="00D05BFC" w:rsidP="00EB6BA4">
      <w:pPr>
        <w:pStyle w:val="Reference"/>
      </w:pPr>
      <w:r>
        <w:t xml:space="preserve">Get Skilled Training 2023, </w:t>
      </w:r>
      <w:r>
        <w:rPr>
          <w:i/>
          <w:iCs/>
        </w:rPr>
        <w:t>10878NAT Gap Training</w:t>
      </w:r>
      <w:r>
        <w:t>, Get Skilled Training, https://www.getskilledtraining.com.au/air-conditioning-courses/10878nat-gap-training/ (accessed 23 February 2026).</w:t>
      </w:r>
    </w:p>
    <w:p w14:paraId="2E14E03D" w14:textId="77777777" w:rsidR="00D05BFC" w:rsidRDefault="00D05BFC" w:rsidP="00EB6BA4">
      <w:pPr>
        <w:pStyle w:val="Reference"/>
      </w:pPr>
      <w:r>
        <w:t xml:space="preserve">Gordon, RJ 2006, ‘The Boskin Commission Report: A Retrospective One Decade Later’, Centre for the Study of Living Standards, </w:t>
      </w:r>
      <w:r>
        <w:rPr>
          <w:i/>
          <w:iCs/>
        </w:rPr>
        <w:t>International Productivity Monitor</w:t>
      </w:r>
      <w:r>
        <w:t>, vol. 12, pp. 7–22.</w:t>
      </w:r>
    </w:p>
    <w:p w14:paraId="71EB3FF3" w14:textId="77777777" w:rsidR="00D05BFC" w:rsidRDefault="00D05BFC" w:rsidP="00EB6BA4">
      <w:pPr>
        <w:pStyle w:val="Reference"/>
      </w:pPr>
      <w:r>
        <w:t xml:space="preserve">Hausman, J 2003, ‘Sources of Bias and Solutions to Bias in the Consumer Price Index’, </w:t>
      </w:r>
      <w:r>
        <w:rPr>
          <w:i/>
          <w:iCs/>
        </w:rPr>
        <w:t>Journal of Economic Perspectives</w:t>
      </w:r>
      <w:r>
        <w:t>, vol. 17, no. 1, pp. 23–44.</w:t>
      </w:r>
    </w:p>
    <w:p w14:paraId="69014B88" w14:textId="77777777" w:rsidR="00D05BFC" w:rsidRDefault="00D05BFC" w:rsidP="00EB6BA4">
      <w:pPr>
        <w:pStyle w:val="Reference"/>
      </w:pPr>
      <w:r>
        <w:t xml:space="preserve">Lebow, DE and Rudd, JB 2003, ‘Measurement Error in the Consumer Price Index: Where Do We Stand?’, </w:t>
      </w:r>
      <w:r>
        <w:rPr>
          <w:i/>
          <w:iCs/>
        </w:rPr>
        <w:t>Journal of Economic Literature</w:t>
      </w:r>
      <w:r>
        <w:t>, vol. 41, no. 1, pp. 159–201.</w:t>
      </w:r>
    </w:p>
    <w:p w14:paraId="71BB7CCA" w14:textId="77777777" w:rsidR="00D05BFC" w:rsidRDefault="00D05BFC" w:rsidP="00EB6BA4">
      <w:pPr>
        <w:pStyle w:val="Reference"/>
      </w:pPr>
      <w:r>
        <w:t xml:space="preserve">Mandala 2025, </w:t>
      </w:r>
      <w:r>
        <w:rPr>
          <w:i/>
          <w:iCs/>
        </w:rPr>
        <w:t>$160 billion and counting: the cost of Commonwealth regulatory complexity</w:t>
      </w:r>
      <w:r>
        <w:t>, Report prepared for the Australian Institute of Company Directors, November.</w:t>
      </w:r>
    </w:p>
    <w:p w14:paraId="40AF5029" w14:textId="77777777" w:rsidR="00D05BFC" w:rsidRDefault="00D05BFC" w:rsidP="00EB6BA4">
      <w:pPr>
        <w:pStyle w:val="Reference"/>
      </w:pPr>
      <w:r>
        <w:t>Moulton, BR 2018, ‘The Measurement of Output, Prices, and Productivity</w:t>
      </w:r>
      <w:proofErr w:type="gramStart"/>
      <w:r>
        <w:t>’:,</w:t>
      </w:r>
      <w:proofErr w:type="gramEnd"/>
      <w:r>
        <w:t xml:space="preserve"> </w:t>
      </w:r>
      <w:r>
        <w:rPr>
          <w:i/>
          <w:iCs/>
        </w:rPr>
        <w:t>MONETARY POLICY</w:t>
      </w:r>
      <w:r>
        <w:t>.</w:t>
      </w:r>
    </w:p>
    <w:p w14:paraId="20A31BA0" w14:textId="77777777" w:rsidR="00D05BFC" w:rsidRDefault="00D05BFC" w:rsidP="00EB6BA4">
      <w:pPr>
        <w:pStyle w:val="Reference"/>
      </w:pPr>
      <w:r>
        <w:t xml:space="preserve">OECD (Organisation for Economic Co-operation and Development) 2022, </w:t>
      </w:r>
      <w:r>
        <w:rPr>
          <w:i/>
          <w:iCs/>
        </w:rPr>
        <w:t>OECD Data Explorer, Productivity growth rates</w:t>
      </w:r>
      <w:r>
        <w:t>, https://data-explorer.oecd.org/vis?lc=en&amp;df[ds]=DisseminateFinalDMZ&amp;df[id]=DSD_PDB%40DF_PDB_GR&amp;df[ag]=OECD.SDD.TPS&amp;df[vs]=1.0&amp;dq=FRA.A.......&amp;lom=LASTNPERIODS&amp;lo=5&amp;</w:t>
      </w:r>
      <w:proofErr w:type="gramStart"/>
      <w:r>
        <w:t>to[</w:t>
      </w:r>
      <w:proofErr w:type="gramEnd"/>
      <w:r>
        <w:t>TIME_</w:t>
      </w:r>
      <w:proofErr w:type="gramStart"/>
      <w:r>
        <w:t>PERIOD]=</w:t>
      </w:r>
      <w:proofErr w:type="gramEnd"/>
      <w:r>
        <w:t>false (accessed 23 February 2026).</w:t>
      </w:r>
    </w:p>
    <w:p w14:paraId="2C677DBA" w14:textId="5F6834BA" w:rsidR="00D05BFC" w:rsidRDefault="00D05BFC" w:rsidP="00EB6BA4">
      <w:pPr>
        <w:pStyle w:val="Reference"/>
      </w:pPr>
      <w:r>
        <w:t>——</w:t>
      </w:r>
      <w:r w:rsidR="00EB6BA4">
        <w:t> </w:t>
      </w:r>
      <w:r>
        <w:t xml:space="preserve">2025a, </w:t>
      </w:r>
      <w:r>
        <w:rPr>
          <w:i/>
          <w:iCs/>
        </w:rPr>
        <w:t>OECD economic outlook: resilient growth but with increasing fragilities</w:t>
      </w:r>
      <w:r>
        <w:t>, Preliminary version, December, Volume 2025/2, No. 118.</w:t>
      </w:r>
    </w:p>
    <w:p w14:paraId="194F0FAE" w14:textId="292DA453" w:rsidR="00D05BFC" w:rsidRDefault="00D05BFC" w:rsidP="00EB6BA4">
      <w:pPr>
        <w:pStyle w:val="Reference"/>
      </w:pPr>
      <w:r>
        <w:t>——</w:t>
      </w:r>
      <w:r w:rsidR="00EB6BA4">
        <w:t> </w:t>
      </w:r>
      <w:r>
        <w:t xml:space="preserve">2025b, </w:t>
      </w:r>
      <w:r>
        <w:rPr>
          <w:i/>
          <w:iCs/>
        </w:rPr>
        <w:t>Product market regulation</w:t>
      </w:r>
      <w:r>
        <w:t>, https://www.oecd.org/en/topics/product-market-regulation.html (accessed 18 November 2025).</w:t>
      </w:r>
    </w:p>
    <w:p w14:paraId="09194827" w14:textId="14FD23A6" w:rsidR="00D05BFC" w:rsidRDefault="00D05BFC" w:rsidP="00EB6BA4">
      <w:pPr>
        <w:pStyle w:val="Reference"/>
      </w:pPr>
      <w:r>
        <w:t>——</w:t>
      </w:r>
      <w:r w:rsidR="00EB6BA4">
        <w:t> </w:t>
      </w:r>
      <w:r>
        <w:t xml:space="preserve">2026, ‘OECD Economic Surveys: Australia 2026’, OECD Publishing, </w:t>
      </w:r>
      <w:r>
        <w:rPr>
          <w:i/>
          <w:iCs/>
        </w:rPr>
        <w:t>OECD Economic Surveys: Australia</w:t>
      </w:r>
      <w:r>
        <w:t>, vol. 2026, https://www.oecd.org/en/publications/oecd-economic-surveys-australia-2026_d22a1efd-en.html (accessed 3 February 2026).</w:t>
      </w:r>
    </w:p>
    <w:p w14:paraId="29F1ADA7" w14:textId="77777777" w:rsidR="00D05BFC" w:rsidRDefault="00D05BFC" w:rsidP="00EB6BA4">
      <w:pPr>
        <w:pStyle w:val="Reference"/>
      </w:pPr>
      <w:r>
        <w:t xml:space="preserve">Office for National Statistics 2025, </w:t>
      </w:r>
      <w:r>
        <w:rPr>
          <w:i/>
          <w:iCs/>
        </w:rPr>
        <w:t>National Statistician’s Independent Review of the Measurement of Public Services Productivity</w:t>
      </w:r>
      <w:r>
        <w:t>, https://uksa.statisticsauthority.gov.uk/wp-content/uploads/2025/03/National-Statisticians-Independent-Review-of-the-Measurement-of-Public-Services-Productivity.pdf (accessed 5 February 2026).</w:t>
      </w:r>
    </w:p>
    <w:p w14:paraId="379F9CF6" w14:textId="77777777" w:rsidR="00D05BFC" w:rsidRDefault="00D05BFC" w:rsidP="00EB6BA4">
      <w:pPr>
        <w:pStyle w:val="Reference"/>
      </w:pPr>
      <w:r>
        <w:t xml:space="preserve">PC (Productivity Commission) 2005, </w:t>
      </w:r>
      <w:r>
        <w:rPr>
          <w:i/>
          <w:iCs/>
        </w:rPr>
        <w:t>Review of National Competition Policy Reforms</w:t>
      </w:r>
      <w:r>
        <w:t>, Report no. 33, Canberra.</w:t>
      </w:r>
    </w:p>
    <w:p w14:paraId="0155532D" w14:textId="09232AD6" w:rsidR="00D05BFC" w:rsidRDefault="00D05BFC" w:rsidP="00EB6BA4">
      <w:pPr>
        <w:pStyle w:val="Reference"/>
      </w:pPr>
      <w:r>
        <w:t>——</w:t>
      </w:r>
      <w:r w:rsidR="00EB6BA4">
        <w:t> </w:t>
      </w:r>
      <w:r>
        <w:t xml:space="preserve">2014, </w:t>
      </w:r>
      <w:r>
        <w:rPr>
          <w:i/>
          <w:iCs/>
        </w:rPr>
        <w:t>Submission to the Competition Policy Review</w:t>
      </w:r>
      <w:r>
        <w:t>, Canberra.</w:t>
      </w:r>
    </w:p>
    <w:p w14:paraId="4164959A" w14:textId="19291607" w:rsidR="00D05BFC" w:rsidRDefault="00D05BFC" w:rsidP="00EB6BA4">
      <w:pPr>
        <w:pStyle w:val="Reference"/>
      </w:pPr>
      <w:r>
        <w:t>——</w:t>
      </w:r>
      <w:r w:rsidR="00EB6BA4">
        <w:t> </w:t>
      </w:r>
      <w:r>
        <w:t xml:space="preserve">2020a, </w:t>
      </w:r>
      <w:r>
        <w:rPr>
          <w:i/>
          <w:iCs/>
        </w:rPr>
        <w:t>Foreign Investment in Australia</w:t>
      </w:r>
      <w:r>
        <w:t>, Commission Research Paper, Canberra.</w:t>
      </w:r>
    </w:p>
    <w:p w14:paraId="4ACC0DE3" w14:textId="793AC0ED" w:rsidR="00D05BFC" w:rsidRDefault="00D05BFC" w:rsidP="00EB6BA4">
      <w:pPr>
        <w:pStyle w:val="Reference"/>
      </w:pPr>
      <w:r>
        <w:lastRenderedPageBreak/>
        <w:t>——</w:t>
      </w:r>
      <w:r w:rsidR="00EB6BA4">
        <w:t> </w:t>
      </w:r>
      <w:r>
        <w:t xml:space="preserve">2020b, </w:t>
      </w:r>
      <w:r>
        <w:rPr>
          <w:i/>
          <w:iCs/>
        </w:rPr>
        <w:t>National Transport Regulatory Reform</w:t>
      </w:r>
      <w:r>
        <w:t>, Report no. 94, Canberra.</w:t>
      </w:r>
    </w:p>
    <w:p w14:paraId="113D93B6" w14:textId="7D36FAE4" w:rsidR="00D05BFC" w:rsidRDefault="00D05BFC" w:rsidP="00EB6BA4">
      <w:pPr>
        <w:pStyle w:val="Reference"/>
      </w:pPr>
      <w:r>
        <w:t>——</w:t>
      </w:r>
      <w:r w:rsidR="00EB6BA4">
        <w:t> </w:t>
      </w:r>
      <w:r>
        <w:t xml:space="preserve">2021a, </w:t>
      </w:r>
      <w:r>
        <w:rPr>
          <w:i/>
          <w:iCs/>
        </w:rPr>
        <w:t>PC Productivity Insights: Things you can’t drop on your feet: An overview of Australia’s services sector productivity</w:t>
      </w:r>
      <w:r>
        <w:t>, Canberra, April.</w:t>
      </w:r>
    </w:p>
    <w:p w14:paraId="02586338" w14:textId="6A3A779C" w:rsidR="00D05BFC" w:rsidRDefault="00D05BFC" w:rsidP="00EB6BA4">
      <w:pPr>
        <w:pStyle w:val="Reference"/>
      </w:pPr>
      <w:r>
        <w:t>——</w:t>
      </w:r>
      <w:r w:rsidR="00EB6BA4">
        <w:t> </w:t>
      </w:r>
      <w:r>
        <w:t xml:space="preserve">2021b, </w:t>
      </w:r>
      <w:r>
        <w:rPr>
          <w:i/>
          <w:iCs/>
        </w:rPr>
        <w:t>Vulnerable Supply Chains</w:t>
      </w:r>
      <w:r>
        <w:t>, Study Report.</w:t>
      </w:r>
    </w:p>
    <w:p w14:paraId="13E3145E" w14:textId="384DD336" w:rsidR="00D05BFC" w:rsidRDefault="00D05BFC" w:rsidP="00EB6BA4">
      <w:pPr>
        <w:pStyle w:val="Reference"/>
      </w:pPr>
      <w:r>
        <w:t>——</w:t>
      </w:r>
      <w:r w:rsidR="00EB6BA4">
        <w:t> </w:t>
      </w:r>
      <w:r>
        <w:t xml:space="preserve">2022, </w:t>
      </w:r>
      <w:r>
        <w:rPr>
          <w:i/>
          <w:iCs/>
        </w:rPr>
        <w:t>Lifting productivity at Australia’s container ports: between water, wharf and warehouse</w:t>
      </w:r>
      <w:r>
        <w:t>, Report no. 99.</w:t>
      </w:r>
    </w:p>
    <w:p w14:paraId="09911666" w14:textId="241F7527" w:rsidR="00D05BFC" w:rsidRDefault="00D05BFC" w:rsidP="00EB6BA4">
      <w:pPr>
        <w:pStyle w:val="Reference"/>
      </w:pPr>
      <w:r>
        <w:t>——</w:t>
      </w:r>
      <w:r w:rsidR="00EB6BA4">
        <w:t> </w:t>
      </w:r>
      <w:r>
        <w:t xml:space="preserve">2023a, </w:t>
      </w:r>
      <w:r>
        <w:rPr>
          <w:i/>
          <w:iCs/>
        </w:rPr>
        <w:t>5-year Productivity inquiry: A competitive, dynamic and sustainable future</w:t>
      </w:r>
      <w:r>
        <w:t>, Inquiry report no. 100, 3, Canberra.</w:t>
      </w:r>
    </w:p>
    <w:p w14:paraId="1E14ECAC" w14:textId="153B6939" w:rsidR="00D05BFC" w:rsidRDefault="00D05BFC" w:rsidP="00EB6BA4">
      <w:pPr>
        <w:pStyle w:val="Reference"/>
      </w:pPr>
      <w:r>
        <w:t>——</w:t>
      </w:r>
      <w:r w:rsidR="00EB6BA4">
        <w:t> </w:t>
      </w:r>
      <w:r>
        <w:t xml:space="preserve">2023b, </w:t>
      </w:r>
      <w:r>
        <w:rPr>
          <w:i/>
          <w:iCs/>
        </w:rPr>
        <w:t>5-year Productivity Inquiry: A more productive labour market</w:t>
      </w:r>
      <w:r>
        <w:t>, Inquiry report no. 100, 7, Canberra.</w:t>
      </w:r>
    </w:p>
    <w:p w14:paraId="23C83D01" w14:textId="7C710278" w:rsidR="00D05BFC" w:rsidRDefault="00D05BFC" w:rsidP="00EB6BA4">
      <w:pPr>
        <w:pStyle w:val="Reference"/>
      </w:pPr>
      <w:r>
        <w:t>——</w:t>
      </w:r>
      <w:r w:rsidR="00EB6BA4">
        <w:t> </w:t>
      </w:r>
      <w:r>
        <w:t xml:space="preserve">2023c, </w:t>
      </w:r>
      <w:r>
        <w:rPr>
          <w:i/>
          <w:iCs/>
        </w:rPr>
        <w:t>5-year Productivity Inquiry: Advancing Prosperity</w:t>
      </w:r>
      <w:r>
        <w:t>, Inquiry report no. 100, 1, Canberra.</w:t>
      </w:r>
    </w:p>
    <w:p w14:paraId="53D923E2" w14:textId="303C40EC" w:rsidR="00D05BFC" w:rsidRDefault="00D05BFC" w:rsidP="00EB6BA4">
      <w:pPr>
        <w:pStyle w:val="Reference"/>
      </w:pPr>
      <w:r>
        <w:t>——</w:t>
      </w:r>
      <w:r w:rsidR="00EB6BA4">
        <w:t> </w:t>
      </w:r>
      <w:r>
        <w:t xml:space="preserve">2023d, </w:t>
      </w:r>
      <w:r>
        <w:rPr>
          <w:i/>
          <w:iCs/>
        </w:rPr>
        <w:t>5-year Productivity Inquiry: Keys to growth</w:t>
      </w:r>
      <w:r>
        <w:t>, Inquiry report no. 100, 2, Canberra.</w:t>
      </w:r>
    </w:p>
    <w:p w14:paraId="4C426ABF" w14:textId="3E7EB2A7" w:rsidR="00D05BFC" w:rsidRDefault="00D05BFC" w:rsidP="00EB6BA4">
      <w:pPr>
        <w:pStyle w:val="Reference"/>
      </w:pPr>
      <w:r>
        <w:t>——</w:t>
      </w:r>
      <w:r w:rsidR="00EB6BA4">
        <w:t> </w:t>
      </w:r>
      <w:r>
        <w:t xml:space="preserve">2024a, </w:t>
      </w:r>
      <w:r>
        <w:rPr>
          <w:i/>
          <w:iCs/>
        </w:rPr>
        <w:t>Advances in measuring healthcare productivity</w:t>
      </w:r>
      <w:r>
        <w:t>, Research paper, Canberra.</w:t>
      </w:r>
    </w:p>
    <w:p w14:paraId="2B05EC77" w14:textId="7EE9DBB3" w:rsidR="00D05BFC" w:rsidRDefault="00D05BFC" w:rsidP="00EB6BA4">
      <w:pPr>
        <w:pStyle w:val="Reference"/>
      </w:pPr>
      <w:r>
        <w:t>——</w:t>
      </w:r>
      <w:r w:rsidR="00EB6BA4">
        <w:t> </w:t>
      </w:r>
      <w:r>
        <w:t xml:space="preserve">2024b, </w:t>
      </w:r>
      <w:r>
        <w:rPr>
          <w:i/>
          <w:iCs/>
        </w:rPr>
        <w:t>National Competition Policy: modelling proposed reforms</w:t>
      </w:r>
      <w:r>
        <w:t>, Study report, Canberra.</w:t>
      </w:r>
    </w:p>
    <w:p w14:paraId="1D4D6B39" w14:textId="11007C38" w:rsidR="00D05BFC" w:rsidRDefault="00D05BFC" w:rsidP="00EB6BA4">
      <w:pPr>
        <w:pStyle w:val="Reference"/>
      </w:pPr>
      <w:r>
        <w:t>——</w:t>
      </w:r>
      <w:r w:rsidR="00EB6BA4">
        <w:t> </w:t>
      </w:r>
      <w:r>
        <w:t xml:space="preserve">2025a, </w:t>
      </w:r>
      <w:r>
        <w:rPr>
          <w:i/>
          <w:iCs/>
        </w:rPr>
        <w:t>Building a skilled and adaptable workforce</w:t>
      </w:r>
      <w:r>
        <w:t>, Inquiry report no. 110, Canberra.</w:t>
      </w:r>
    </w:p>
    <w:p w14:paraId="3E1722F4" w14:textId="4CAB7B45" w:rsidR="00D05BFC" w:rsidRDefault="00D05BFC" w:rsidP="00EB6BA4">
      <w:pPr>
        <w:pStyle w:val="Reference"/>
      </w:pPr>
      <w:r>
        <w:t>——</w:t>
      </w:r>
      <w:r w:rsidR="00EB6BA4">
        <w:t> </w:t>
      </w:r>
      <w:r>
        <w:t xml:space="preserve">2025b, </w:t>
      </w:r>
      <w:r>
        <w:rPr>
          <w:i/>
          <w:iCs/>
        </w:rPr>
        <w:t>Creating a more dynamic and resilient economy</w:t>
      </w:r>
      <w:r>
        <w:t>, Interim report, July.</w:t>
      </w:r>
    </w:p>
    <w:p w14:paraId="18A4BBCA" w14:textId="76AFC79F" w:rsidR="00D05BFC" w:rsidRDefault="00D05BFC" w:rsidP="00EB6BA4">
      <w:pPr>
        <w:pStyle w:val="Reference"/>
      </w:pPr>
      <w:r>
        <w:t>——</w:t>
      </w:r>
      <w:r w:rsidR="00EB6BA4">
        <w:t> </w:t>
      </w:r>
      <w:r>
        <w:t xml:space="preserve">2025c, </w:t>
      </w:r>
      <w:r>
        <w:rPr>
          <w:i/>
          <w:iCs/>
        </w:rPr>
        <w:t>Creating a more dynamic and resilient economy</w:t>
      </w:r>
      <w:r>
        <w:t>, Inquiry report no. 109, Canberra.</w:t>
      </w:r>
    </w:p>
    <w:p w14:paraId="02C5035C" w14:textId="5B7CD660" w:rsidR="00D05BFC" w:rsidRDefault="00D05BFC" w:rsidP="00EB6BA4">
      <w:pPr>
        <w:pStyle w:val="Reference"/>
      </w:pPr>
      <w:r>
        <w:t>——</w:t>
      </w:r>
      <w:r w:rsidR="00EB6BA4">
        <w:t> </w:t>
      </w:r>
      <w:r>
        <w:t xml:space="preserve">2025d, </w:t>
      </w:r>
      <w:r>
        <w:rPr>
          <w:i/>
          <w:iCs/>
        </w:rPr>
        <w:t>Delivering quality care more efficiently</w:t>
      </w:r>
      <w:r>
        <w:t>, Inquiry report no. 112, Canberra.</w:t>
      </w:r>
    </w:p>
    <w:p w14:paraId="5B1EA521" w14:textId="2AEB0E24" w:rsidR="00D05BFC" w:rsidRDefault="00D05BFC" w:rsidP="00EB6BA4">
      <w:pPr>
        <w:pStyle w:val="Reference"/>
      </w:pPr>
      <w:r>
        <w:t>——</w:t>
      </w:r>
      <w:r w:rsidR="00EB6BA4">
        <w:t> </w:t>
      </w:r>
      <w:r>
        <w:t xml:space="preserve">2025e, </w:t>
      </w:r>
      <w:r>
        <w:rPr>
          <w:i/>
          <w:iCs/>
        </w:rPr>
        <w:t>Growth mindset: how to boost Australia’s productivity, 5 productivity inquiries</w:t>
      </w:r>
      <w:r>
        <w:t>, Canberra.</w:t>
      </w:r>
    </w:p>
    <w:p w14:paraId="41B1D27C" w14:textId="52647E80" w:rsidR="00D05BFC" w:rsidRDefault="00D05BFC" w:rsidP="00EB6BA4">
      <w:pPr>
        <w:pStyle w:val="Reference"/>
      </w:pPr>
      <w:r>
        <w:t>——</w:t>
      </w:r>
      <w:r w:rsidR="00EB6BA4">
        <w:t> </w:t>
      </w:r>
      <w:r>
        <w:t xml:space="preserve">2025f, </w:t>
      </w:r>
      <w:r>
        <w:rPr>
          <w:i/>
          <w:iCs/>
        </w:rPr>
        <w:t>Harnessing data and digital technology</w:t>
      </w:r>
      <w:r>
        <w:t>, Interim report, August.</w:t>
      </w:r>
    </w:p>
    <w:p w14:paraId="5DE4B450" w14:textId="1DAB30D2" w:rsidR="00D05BFC" w:rsidRDefault="00D05BFC" w:rsidP="00EB6BA4">
      <w:pPr>
        <w:pStyle w:val="Reference"/>
      </w:pPr>
      <w:r>
        <w:t>——</w:t>
      </w:r>
      <w:r w:rsidR="00EB6BA4">
        <w:t> </w:t>
      </w:r>
      <w:r>
        <w:t xml:space="preserve">2025g, </w:t>
      </w:r>
      <w:r>
        <w:rPr>
          <w:i/>
          <w:iCs/>
        </w:rPr>
        <w:t>Investing in cheaper, cleaner energy and the net zero transformation</w:t>
      </w:r>
      <w:r>
        <w:t>, Inquiry report no. 113, Canberra.</w:t>
      </w:r>
    </w:p>
    <w:p w14:paraId="29E65607" w14:textId="0698BE11" w:rsidR="00D05BFC" w:rsidRDefault="00D05BFC" w:rsidP="00EB6BA4">
      <w:pPr>
        <w:pStyle w:val="Reference"/>
      </w:pPr>
      <w:r>
        <w:t>——</w:t>
      </w:r>
      <w:r w:rsidR="00EB6BA4">
        <w:t> </w:t>
      </w:r>
      <w:r>
        <w:t xml:space="preserve">2025h, </w:t>
      </w:r>
      <w:r>
        <w:rPr>
          <w:i/>
          <w:iCs/>
        </w:rPr>
        <w:t>National Competition Policy analysis 2025</w:t>
      </w:r>
      <w:r>
        <w:t>, Interim report, Canberra.</w:t>
      </w:r>
    </w:p>
    <w:p w14:paraId="047F12C7" w14:textId="6A05C944" w:rsidR="00D05BFC" w:rsidRDefault="00D05BFC" w:rsidP="00EB6BA4">
      <w:pPr>
        <w:pStyle w:val="Reference"/>
      </w:pPr>
      <w:r>
        <w:t>——</w:t>
      </w:r>
      <w:r w:rsidR="00EB6BA4">
        <w:t> </w:t>
      </w:r>
      <w:r>
        <w:t xml:space="preserve">2025i, </w:t>
      </w:r>
      <w:r>
        <w:rPr>
          <w:i/>
          <w:iCs/>
        </w:rPr>
        <w:t>Trade and Assistance Review 2023-24</w:t>
      </w:r>
      <w:r>
        <w:t>, Annual report series, Canberra.</w:t>
      </w:r>
    </w:p>
    <w:p w14:paraId="613380FB" w14:textId="5AEBC226" w:rsidR="00D05BFC" w:rsidRDefault="00D05BFC" w:rsidP="00EB6BA4">
      <w:pPr>
        <w:pStyle w:val="Reference"/>
      </w:pPr>
      <w:r>
        <w:t>——</w:t>
      </w:r>
      <w:r w:rsidR="00EB6BA4">
        <w:t> </w:t>
      </w:r>
      <w:r>
        <w:t xml:space="preserve">2026, </w:t>
      </w:r>
      <w:r>
        <w:rPr>
          <w:i/>
          <w:iCs/>
        </w:rPr>
        <w:t>Working from home can work itself out</w:t>
      </w:r>
      <w:r>
        <w:t>, Productivity Commission, Canberra.</w:t>
      </w:r>
    </w:p>
    <w:p w14:paraId="1A0013AB" w14:textId="77777777" w:rsidR="00D05BFC" w:rsidRDefault="00D05BFC" w:rsidP="00EB6BA4">
      <w:pPr>
        <w:pStyle w:val="Reference"/>
      </w:pPr>
      <w:r>
        <w:t xml:space="preserve">QuantGov nd, </w:t>
      </w:r>
      <w:r>
        <w:rPr>
          <w:i/>
          <w:iCs/>
        </w:rPr>
        <w:t>Download QuantGov data in bulk</w:t>
      </w:r>
      <w:r>
        <w:t>, https://www.quantgov.org/csv-download (accessed 25 June 2025).</w:t>
      </w:r>
    </w:p>
    <w:p w14:paraId="0FFF4384" w14:textId="77777777" w:rsidR="00D05BFC" w:rsidRDefault="00D05BFC" w:rsidP="00EB6BA4">
      <w:pPr>
        <w:pStyle w:val="Reference"/>
      </w:pPr>
      <w:r>
        <w:t xml:space="preserve">Settlement Services International 2024, </w:t>
      </w:r>
      <w:r>
        <w:rPr>
          <w:i/>
          <w:iCs/>
        </w:rPr>
        <w:t>Billion Dollar Benefit: The economic impact of unlocking the skills potential of migrants</w:t>
      </w:r>
      <w:r>
        <w:t>, 20 June.</w:t>
      </w:r>
    </w:p>
    <w:p w14:paraId="4ECDE1DD" w14:textId="77777777" w:rsidR="00D05BFC" w:rsidRDefault="00D05BFC" w:rsidP="00EB6BA4">
      <w:pPr>
        <w:pStyle w:val="Reference"/>
      </w:pPr>
      <w:r>
        <w:t xml:space="preserve">Superior Training Centre 2025, </w:t>
      </w:r>
      <w:r>
        <w:rPr>
          <w:i/>
          <w:iCs/>
        </w:rPr>
        <w:t>10878NAT Gap Training</w:t>
      </w:r>
      <w:r>
        <w:t>, https://www.stc.nsw.edu.au/course/10878nat-course-in-air-conditioning-minimum-australian-context-gap/ (accessed 23 February 2026).</w:t>
      </w:r>
    </w:p>
    <w:p w14:paraId="4B5EBCFE" w14:textId="77777777" w:rsidR="00D05BFC" w:rsidRDefault="00D05BFC" w:rsidP="00EB6BA4">
      <w:pPr>
        <w:pStyle w:val="Reference"/>
      </w:pPr>
      <w:r>
        <w:t xml:space="preserve">Syverson, C 2017, ‘Challenges to Mismeasurement Explanations for the US Productivity Slowdown’, </w:t>
      </w:r>
      <w:r>
        <w:rPr>
          <w:i/>
          <w:iCs/>
        </w:rPr>
        <w:t>Journal of Economic Perspectives</w:t>
      </w:r>
      <w:r>
        <w:t>, vol. 31, no. 2, pp. 165–186.</w:t>
      </w:r>
    </w:p>
    <w:p w14:paraId="0C8530B9" w14:textId="6015E568" w:rsidR="00D05BFC" w:rsidRDefault="00D05BFC" w:rsidP="00EB6BA4">
      <w:pPr>
        <w:pStyle w:val="Reference"/>
      </w:pPr>
      <w:r>
        <w:t xml:space="preserve">World Bank Group 2019, </w:t>
      </w:r>
      <w:r>
        <w:rPr>
          <w:i/>
          <w:iCs/>
        </w:rPr>
        <w:t xml:space="preserve">Doing Business - World Bank Data </w:t>
      </w:r>
      <w:proofErr w:type="spellStart"/>
      <w:r>
        <w:rPr>
          <w:i/>
          <w:iCs/>
        </w:rPr>
        <w:t>Catalog</w:t>
      </w:r>
      <w:proofErr w:type="spellEnd"/>
      <w:r>
        <w:t>, https://datacatalog.worldbank.org/search/dataset/</w:t>
      </w:r>
      <w:r w:rsidR="00EB6BA4">
        <w:br/>
      </w:r>
      <w:r>
        <w:t>0038564/doing-business (accessed 13 February 2026).</w:t>
      </w:r>
    </w:p>
    <w:p w14:paraId="2184008D" w14:textId="77777777" w:rsidR="00EB6BA4" w:rsidRDefault="00EB6BA4" w:rsidP="00F20933">
      <w:pPr>
        <w:spacing w:after="0"/>
        <w:sectPr w:rsidR="00EB6BA4" w:rsidSect="00EB6BA4">
          <w:type w:val="continuous"/>
          <w:pgSz w:w="11906" w:h="16838" w:code="9"/>
          <w:pgMar w:top="1134" w:right="1134" w:bottom="1134" w:left="1134" w:header="794" w:footer="510" w:gutter="0"/>
          <w:cols w:num="2" w:space="708"/>
          <w:docGrid w:linePitch="360"/>
        </w:sectPr>
      </w:pPr>
    </w:p>
    <w:p w14:paraId="5E8A5865" w14:textId="4A0F6FCD" w:rsidR="00A91551" w:rsidRPr="00A91551" w:rsidRDefault="00A91551" w:rsidP="00F20933">
      <w:pPr>
        <w:spacing w:after="0"/>
      </w:pPr>
    </w:p>
    <w:sectPr w:rsidR="00A91551" w:rsidRPr="00A91551" w:rsidSect="00EB6BA4">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51451" w14:textId="77777777" w:rsidR="00F81309" w:rsidRDefault="00F81309" w:rsidP="008017BC">
      <w:r>
        <w:separator/>
      </w:r>
    </w:p>
    <w:p w14:paraId="70094E73" w14:textId="77777777" w:rsidR="00F81309" w:rsidRDefault="00F81309"/>
  </w:endnote>
  <w:endnote w:type="continuationSeparator" w:id="0">
    <w:p w14:paraId="786FABF7" w14:textId="77777777" w:rsidR="00F81309" w:rsidRDefault="00F81309" w:rsidP="008017BC">
      <w:r>
        <w:continuationSeparator/>
      </w:r>
    </w:p>
    <w:p w14:paraId="6F250F60" w14:textId="77777777" w:rsidR="00F81309" w:rsidRDefault="00F81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9DB9" w14:textId="77777777" w:rsidR="00D67C52" w:rsidRPr="00187F05" w:rsidRDefault="00D67C5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C238" w14:textId="77777777" w:rsidR="00D67C52" w:rsidRDefault="00D67C5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5DEC" w14:textId="77777777" w:rsidR="00D67C52" w:rsidRDefault="00D67C5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8EE61" w14:textId="77777777" w:rsidR="00D67C52" w:rsidRDefault="00D67C52"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966565"/>
      <w:docPartObj>
        <w:docPartGallery w:val="Page Numbers (Bottom of Page)"/>
        <w:docPartUnique/>
      </w:docPartObj>
    </w:sdtPr>
    <w:sdtContent>
      <w:sdt>
        <w:sdtPr>
          <w:id w:val="-700089816"/>
          <w:docPartObj>
            <w:docPartGallery w:val="Page Numbers (Top of Page)"/>
            <w:docPartUnique/>
          </w:docPartObj>
        </w:sdtPr>
        <w:sdtContent>
          <w:p w14:paraId="458FA3C1" w14:textId="77777777" w:rsidR="00D67C52" w:rsidRDefault="00D67C52"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09E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74CD9B5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265AA" w14:textId="77777777" w:rsidR="00F81309" w:rsidRPr="00C238D1" w:rsidRDefault="00F81309" w:rsidP="00273E86">
      <w:pPr>
        <w:spacing w:after="0" w:line="240" w:lineRule="auto"/>
        <w:rPr>
          <w:rStyle w:val="ColourDarkBlue"/>
        </w:rPr>
      </w:pPr>
      <w:r w:rsidRPr="00C238D1">
        <w:rPr>
          <w:rStyle w:val="ColourDarkBlue"/>
        </w:rPr>
        <w:continuationSeparator/>
      </w:r>
    </w:p>
  </w:footnote>
  <w:footnote w:type="continuationSeparator" w:id="0">
    <w:p w14:paraId="5478AF85" w14:textId="77777777" w:rsidR="00F81309" w:rsidRPr="001D7D9B" w:rsidRDefault="00F81309" w:rsidP="001D7D9B">
      <w:pPr>
        <w:spacing w:after="0" w:line="240" w:lineRule="auto"/>
        <w:rPr>
          <w:color w:val="265A9A" w:themeColor="background2"/>
        </w:rPr>
      </w:pPr>
      <w:r w:rsidRPr="00C238D1">
        <w:rPr>
          <w:rStyle w:val="ColourDarkBlue"/>
        </w:rPr>
        <w:continuationSeparator/>
      </w:r>
    </w:p>
  </w:footnote>
  <w:footnote w:type="continuationNotice" w:id="1">
    <w:p w14:paraId="529E1849" w14:textId="77777777" w:rsidR="00F81309" w:rsidRDefault="00F81309"/>
  </w:footnote>
  <w:footnote w:id="2">
    <w:p w14:paraId="2CC1B352" w14:textId="24BF4CC8" w:rsidR="00826F2A" w:rsidRPr="009F6D03" w:rsidRDefault="00826F2A" w:rsidP="00826F2A">
      <w:pPr>
        <w:pStyle w:val="FootnoteText"/>
        <w:rPr>
          <w:lang w:val="en-US"/>
        </w:rPr>
      </w:pPr>
      <w:r>
        <w:rPr>
          <w:rStyle w:val="FootnoteReference"/>
        </w:rPr>
        <w:footnoteRef/>
      </w:r>
      <w:r w:rsidR="00EE72A4" w:rsidRPr="00826F2A">
        <w:t xml:space="preserve"> </w:t>
      </w:r>
      <w:r w:rsidRPr="00AA4D35">
        <w:rPr>
          <w:spacing w:val="-6"/>
          <w:lang w:val="en-US"/>
        </w:rPr>
        <w:t xml:space="preserve">For a more detailed overview of economic rents, see </w:t>
      </w:r>
      <w:r w:rsidR="00AA4D35" w:rsidRPr="00AA4D35">
        <w:rPr>
          <w:spacing w:val="-6"/>
          <w:lang w:val="en-US"/>
        </w:rPr>
        <w:t>a</w:t>
      </w:r>
      <w:r w:rsidRPr="00AA4D35">
        <w:rPr>
          <w:spacing w:val="-6"/>
          <w:lang w:val="en-US"/>
        </w:rPr>
        <w:t xml:space="preserve">ppendix B.1 of </w:t>
      </w:r>
      <w:r w:rsidRPr="00AA4D35">
        <w:rPr>
          <w:i/>
          <w:iCs/>
          <w:spacing w:val="-6"/>
        </w:rPr>
        <w:t xml:space="preserve">Creating a more dynamic and resilient economy </w:t>
      </w:r>
      <w:r w:rsidRPr="00AA4D35">
        <w:rPr>
          <w:rFonts w:cstheme="minorHAnsi"/>
          <w:spacing w:val="-6"/>
        </w:rPr>
        <w:fldChar w:fldCharType="begin"/>
      </w:r>
      <w:r w:rsidRPr="00AA4D35">
        <w:rPr>
          <w:rFonts w:cstheme="minorHAnsi"/>
          <w:spacing w:val="-6"/>
        </w:rPr>
        <w:instrText xml:space="preserve"> ADDIN ZOTERO_ITEM CSL_CITATION {"citationID":"Oqna4Eme","properties":{"unsorted":false,"formattedCitation":"(2025b)","plainCitation":"(2025b)","noteIndex":1},"citationItems":[{"id":6,"uris":["http://zotero.org/groups/164861/items/XPUYJ8DB"],"itemData":{"id":6,"type":"report","genre":"Interim report","title":"Creating a more dynamic and resilient economy","author":[{"family":"Productivity Commission","given":""}],"translator":[{"family":"PC","given":""}],"issued":{"date-parts":[["2025",7]]}},"suppress-author":true}],"schema":"https://github.com/citation-style-language/schema/raw/master/csl-citation.json"} </w:instrText>
      </w:r>
      <w:r w:rsidRPr="00AA4D35">
        <w:rPr>
          <w:rFonts w:cstheme="minorHAnsi"/>
          <w:spacing w:val="-6"/>
        </w:rPr>
        <w:fldChar w:fldCharType="separate"/>
      </w:r>
      <w:r w:rsidRPr="00AA4D35">
        <w:rPr>
          <w:rFonts w:cs="Arial"/>
          <w:spacing w:val="-6"/>
          <w:szCs w:val="18"/>
        </w:rPr>
        <w:t>(2025b)</w:t>
      </w:r>
      <w:r w:rsidRPr="00AA4D35">
        <w:rPr>
          <w:rFonts w:cstheme="minorHAnsi"/>
          <w:spacing w:val="-6"/>
        </w:rPr>
        <w:fldChar w:fldCharType="end"/>
      </w:r>
      <w:r w:rsidRPr="00AA4D35">
        <w:rPr>
          <w:spacing w:val="-6"/>
        </w:rPr>
        <w:t>.</w:t>
      </w:r>
    </w:p>
  </w:footnote>
  <w:footnote w:id="3">
    <w:p w14:paraId="70DFF048" w14:textId="5C749A7D" w:rsidR="00B45988" w:rsidRPr="0024368F" w:rsidRDefault="00B45988" w:rsidP="00B45988">
      <w:pPr>
        <w:pStyle w:val="FootnoteText"/>
      </w:pPr>
      <w:r>
        <w:rPr>
          <w:rStyle w:val="FootnoteReference"/>
        </w:rPr>
        <w:footnoteRef/>
      </w:r>
      <w:r>
        <w:t xml:space="preserve"> Competition is only one contributing element to efficient markets. For an overview of all elements of market failure, see the extensive discussion in the PC’s submission to the Competition Policy Review </w:t>
      </w:r>
      <w:r>
        <w:fldChar w:fldCharType="begin"/>
      </w:r>
      <w:r w:rsidR="002A6739">
        <w:instrText xml:space="preserve"> ADDIN ZOTERO_ITEM CSL_CITATION {"citationID":"hEPJbWZm","properties":{"unsorted":false,"formattedCitation":"(2014)","plainCitation":"(2014)","noteIndex":2},"citationItems":[{"id":96,"uris":["http://zotero.org/groups/164861/items/W82KZETC"],"itemData":{"id":96,"type":"report","publisher-place":"Canberra","title":"Submission to the Competition Policy Review","author":[{"family":"Productivity Commission","given":""}],"translator":[{"family":"PC","given":""}],"issued":{"date-parts":[["2014"]]}},"suppress-author":true}],"schema":"https://github.com/citation-style-language/schema/raw/master/csl-citation.json"} </w:instrText>
      </w:r>
      <w:r>
        <w:fldChar w:fldCharType="separate"/>
      </w:r>
      <w:r w:rsidRPr="000B0587">
        <w:rPr>
          <w:rFonts w:ascii="Arial" w:hAnsi="Arial" w:cs="Arial"/>
        </w:rPr>
        <w:t>(2014)</w:t>
      </w:r>
      <w:r>
        <w:fldChar w:fldCharType="end"/>
      </w:r>
      <w:r>
        <w:t>.</w:t>
      </w:r>
    </w:p>
  </w:footnote>
  <w:footnote w:id="4">
    <w:p w14:paraId="6DBEFD70" w14:textId="1AB86F98" w:rsidR="004B5A24" w:rsidRPr="004C363E" w:rsidRDefault="004B5A24" w:rsidP="004B5A24">
      <w:pPr>
        <w:pStyle w:val="FootnoteText"/>
        <w:rPr>
          <w:lang w:val="en-US"/>
        </w:rPr>
      </w:pPr>
      <w:r>
        <w:rPr>
          <w:rStyle w:val="FootnoteReference"/>
        </w:rPr>
        <w:footnoteRef/>
      </w:r>
      <w:r>
        <w:t xml:space="preserve"> </w:t>
      </w:r>
      <w:r>
        <w:rPr>
          <w:lang w:val="en-US"/>
        </w:rPr>
        <w:t xml:space="preserve">The </w:t>
      </w:r>
      <w:r w:rsidR="00E66D01">
        <w:rPr>
          <w:lang w:val="en-US"/>
        </w:rPr>
        <w:t xml:space="preserve">PC </w:t>
      </w:r>
      <w:r>
        <w:rPr>
          <w:lang w:val="en-US"/>
        </w:rPr>
        <w:t xml:space="preserve">analysed 26 reforms, but only 19 were amenable to economic modelling. </w:t>
      </w:r>
    </w:p>
  </w:footnote>
  <w:footnote w:id="5">
    <w:p w14:paraId="7FB2F1AE" w14:textId="0380D2D0" w:rsidR="001B4AF0" w:rsidRPr="001B4AF0" w:rsidRDefault="001B4AF0">
      <w:pPr>
        <w:pStyle w:val="FootnoteText"/>
        <w:rPr>
          <w:lang w:val="en-US"/>
        </w:rPr>
      </w:pPr>
      <w:r>
        <w:rPr>
          <w:rStyle w:val="FootnoteReference"/>
        </w:rPr>
        <w:footnoteRef/>
      </w:r>
      <w:r>
        <w:t xml:space="preserve"> </w:t>
      </w:r>
      <w:r w:rsidR="003A2E7F">
        <w:rPr>
          <w:lang w:val="en-US"/>
        </w:rPr>
        <w:t xml:space="preserve">Notably, the impact of </w:t>
      </w:r>
      <w:r w:rsidR="00AF4917">
        <w:rPr>
          <w:lang w:val="en-US"/>
        </w:rPr>
        <w:t xml:space="preserve">occupational licensing reforms </w:t>
      </w:r>
      <w:r w:rsidR="00A5577C">
        <w:rPr>
          <w:lang w:val="en-US"/>
        </w:rPr>
        <w:t>was</w:t>
      </w:r>
      <w:r w:rsidR="008D5244">
        <w:rPr>
          <w:lang w:val="en-US"/>
        </w:rPr>
        <w:t xml:space="preserve"> </w:t>
      </w:r>
      <w:r w:rsidR="00903B52">
        <w:rPr>
          <w:lang w:val="en-US"/>
        </w:rPr>
        <w:t xml:space="preserve">suggested to </w:t>
      </w:r>
      <w:r w:rsidR="00B423AF">
        <w:rPr>
          <w:lang w:val="en-US"/>
        </w:rPr>
        <w:t>have a more subdued</w:t>
      </w:r>
      <w:r w:rsidR="00387A27">
        <w:rPr>
          <w:lang w:val="en-US"/>
        </w:rPr>
        <w:t xml:space="preserve"> economic impact.</w:t>
      </w:r>
    </w:p>
  </w:footnote>
  <w:footnote w:id="6">
    <w:p w14:paraId="4DA9D23E" w14:textId="0D4C5F47" w:rsidR="00BA6738" w:rsidRPr="009A7F01" w:rsidRDefault="00BA6738" w:rsidP="00BA6738">
      <w:pPr>
        <w:pStyle w:val="FootnoteText"/>
        <w:rPr>
          <w:lang w:val="en-US"/>
        </w:rPr>
      </w:pPr>
      <w:r>
        <w:rPr>
          <w:rStyle w:val="FootnoteReference"/>
        </w:rPr>
        <w:footnoteRef/>
      </w:r>
      <w:r>
        <w:t xml:space="preserve"> PC analysis has</w:t>
      </w:r>
      <w:r w:rsidRPr="006D4693">
        <w:t xml:space="preserve"> excluded consideration of other competition reforms being considered or pursued through the NCP process, such as aviation and merger and acquisition reform.</w:t>
      </w:r>
    </w:p>
  </w:footnote>
  <w:footnote w:id="7">
    <w:p w14:paraId="4DCC946F" w14:textId="77777777" w:rsidR="00765297" w:rsidRPr="00E80C1D" w:rsidRDefault="00765297" w:rsidP="00765297">
      <w:pPr>
        <w:pStyle w:val="FootnoteText"/>
      </w:pPr>
      <w:r w:rsidRPr="00606F65">
        <w:rPr>
          <w:rStyle w:val="FootnoteReference"/>
        </w:rPr>
        <w:footnoteRef/>
      </w:r>
      <w:r>
        <w:t xml:space="preserve"> The various price series that comprise the consumer price index data are typically used as inputs in the construction of productivity statistics, so these biases have a downstream effect on productivity estimates.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EE1F3" w14:textId="78AB0795" w:rsidR="00D67C52" w:rsidRDefault="00000000">
    <w:pPr>
      <w:pStyle w:val="Header-Keyline"/>
    </w:pP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Content>
        <w:r w:rsidR="00096FC5">
          <w:rPr>
            <w:rStyle w:val="Strong"/>
          </w:rPr>
          <w:t>Productivity in Australia: selected policy options for a more prosperous future</w:t>
        </w:r>
      </w:sdtContent>
    </w:sdt>
    <w:r w:rsidR="00D67C52">
      <w:t xml:space="preserve"> Staff working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A62DA" w14:textId="3587CA25" w:rsidR="00D67C52" w:rsidRDefault="00D67C52">
    <w:pPr>
      <w:pStyle w:val="Header-KeylineRight"/>
    </w:pPr>
    <w:r>
      <w:fldChar w:fldCharType="begin"/>
    </w:r>
    <w:r>
      <w:instrText xml:space="preserve"> STYLEREF  "Heading 1"  \* MERGEFORMAT </w:instrText>
    </w:r>
    <w:r>
      <w:fldChar w:fldCharType="separate"/>
    </w:r>
    <w:r w:rsidR="00C5129F">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A11EC" w14:textId="77777777" w:rsidR="00D67C52" w:rsidRPr="005965BC" w:rsidRDefault="00D67C52">
    <w:r>
      <w:rPr>
        <w:noProof/>
      </w:rPr>
      <w:drawing>
        <wp:anchor distT="0" distB="0" distL="114300" distR="114300" simplePos="0" relativeHeight="251658240" behindDoc="0" locked="0" layoutInCell="1" allowOverlap="1" wp14:anchorId="7DBD5C9B" wp14:editId="28B732D0">
          <wp:simplePos x="0" y="0"/>
          <wp:positionH relativeFrom="page">
            <wp:align>right</wp:align>
          </wp:positionH>
          <wp:positionV relativeFrom="paragraph">
            <wp:posOffset>-385646</wp:posOffset>
          </wp:positionV>
          <wp:extent cx="7556306" cy="10685576"/>
          <wp:effectExtent l="0" t="0" r="6985" b="1905"/>
          <wp:wrapNone/>
          <wp:docPr id="1067495118" name="Picture 3" descr="Australian Government Productivity Commission logo | PC submissi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95118" name="Picture 3" descr="Australian Government Productivity Commission logo | PC submission cover"/>
                  <pic:cNvPicPr/>
                </pic:nvPicPr>
                <pic:blipFill>
                  <a:blip r:embed="rId1">
                    <a:extLst>
                      <a:ext uri="{28A0092B-C50C-407E-A947-70E740481C1C}">
                        <a14:useLocalDpi xmlns:a14="http://schemas.microsoft.com/office/drawing/2010/main" val="0"/>
                      </a:ext>
                    </a:extLst>
                  </a:blip>
                  <a:stretch>
                    <a:fillRect/>
                  </a:stretch>
                </pic:blipFill>
                <pic:spPr>
                  <a:xfrm>
                    <a:off x="0" y="0"/>
                    <a:ext cx="7556306" cy="1068557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71D6C" w14:textId="768358B8" w:rsidR="00D67C52" w:rsidRPr="00E36BE8" w:rsidRDefault="00C6230B">
    <w:pPr>
      <w:pStyle w:val="Header-Keyline"/>
      <w:rPr>
        <w:rStyle w:val="Strong"/>
      </w:rPr>
    </w:pPr>
    <w:r>
      <w:rPr>
        <w:rStyle w:val="Strong"/>
        <w:b w:val="0"/>
        <w:bCs w:val="0"/>
      </w:rPr>
      <w:t xml:space="preserve">PC </w:t>
    </w:r>
    <w:r w:rsidR="00D67C52" w:rsidRPr="00E36BE8">
      <w:rPr>
        <w:rStyle w:val="Strong"/>
        <w:b w:val="0"/>
        <w:bCs w:val="0"/>
      </w:rPr>
      <w:t>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385CA" w14:textId="77777777" w:rsidR="00D67C52" w:rsidRDefault="00D67C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5811" w14:textId="77777777" w:rsidR="00D67C52" w:rsidRDefault="00D67C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0BF7A" w14:textId="1F8CE7ED" w:rsidR="00F173EF" w:rsidRDefault="00F92EFE" w:rsidP="00F173EF">
    <w:pPr>
      <w:pStyle w:val="Header-Keyline"/>
    </w:pPr>
    <w:r>
      <w:t>PC submission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03E34" w14:textId="63A5E0EF" w:rsidR="00F173EF" w:rsidRDefault="00F92EFE" w:rsidP="00F173EF">
    <w:pPr>
      <w:pStyle w:val="Header-KeylineRight"/>
    </w:pPr>
    <w:r>
      <w:t xml:space="preserve">Productivity </w:t>
    </w:r>
    <w:r w:rsidR="00C6230B">
      <w:t>in Australia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18B60" w14:textId="64BB0080" w:rsidR="00C7771C" w:rsidRDefault="00C777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29F4ED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52837B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874D01"/>
    <w:multiLevelType w:val="hybridMultilevel"/>
    <w:tmpl w:val="A93A882C"/>
    <w:lvl w:ilvl="0" w:tplc="8732F0AE">
      <w:start w:val="1"/>
      <w:numFmt w:val="bullet"/>
      <w:lvlText w:val=""/>
      <w:lvlJc w:val="left"/>
      <w:pPr>
        <w:ind w:left="1080" w:hanging="360"/>
      </w:pPr>
      <w:rPr>
        <w:rFonts w:ascii="Symbol" w:hAnsi="Symbol"/>
      </w:rPr>
    </w:lvl>
    <w:lvl w:ilvl="1" w:tplc="E0525C92">
      <w:start w:val="1"/>
      <w:numFmt w:val="bullet"/>
      <w:lvlText w:val=""/>
      <w:lvlJc w:val="left"/>
      <w:pPr>
        <w:ind w:left="1080" w:hanging="360"/>
      </w:pPr>
      <w:rPr>
        <w:rFonts w:ascii="Symbol" w:hAnsi="Symbol"/>
      </w:rPr>
    </w:lvl>
    <w:lvl w:ilvl="2" w:tplc="A4802E90">
      <w:start w:val="1"/>
      <w:numFmt w:val="bullet"/>
      <w:lvlText w:val=""/>
      <w:lvlJc w:val="left"/>
      <w:pPr>
        <w:ind w:left="1080" w:hanging="360"/>
      </w:pPr>
      <w:rPr>
        <w:rFonts w:ascii="Symbol" w:hAnsi="Symbol"/>
      </w:rPr>
    </w:lvl>
    <w:lvl w:ilvl="3" w:tplc="C55E6280">
      <w:start w:val="1"/>
      <w:numFmt w:val="bullet"/>
      <w:lvlText w:val=""/>
      <w:lvlJc w:val="left"/>
      <w:pPr>
        <w:ind w:left="1080" w:hanging="360"/>
      </w:pPr>
      <w:rPr>
        <w:rFonts w:ascii="Symbol" w:hAnsi="Symbol"/>
      </w:rPr>
    </w:lvl>
    <w:lvl w:ilvl="4" w:tplc="5D028846">
      <w:start w:val="1"/>
      <w:numFmt w:val="bullet"/>
      <w:lvlText w:val=""/>
      <w:lvlJc w:val="left"/>
      <w:pPr>
        <w:ind w:left="1080" w:hanging="360"/>
      </w:pPr>
      <w:rPr>
        <w:rFonts w:ascii="Symbol" w:hAnsi="Symbol"/>
      </w:rPr>
    </w:lvl>
    <w:lvl w:ilvl="5" w:tplc="813A0B16">
      <w:start w:val="1"/>
      <w:numFmt w:val="bullet"/>
      <w:lvlText w:val=""/>
      <w:lvlJc w:val="left"/>
      <w:pPr>
        <w:ind w:left="1080" w:hanging="360"/>
      </w:pPr>
      <w:rPr>
        <w:rFonts w:ascii="Symbol" w:hAnsi="Symbol"/>
      </w:rPr>
    </w:lvl>
    <w:lvl w:ilvl="6" w:tplc="A66AC97A">
      <w:start w:val="1"/>
      <w:numFmt w:val="bullet"/>
      <w:lvlText w:val=""/>
      <w:lvlJc w:val="left"/>
      <w:pPr>
        <w:ind w:left="1080" w:hanging="360"/>
      </w:pPr>
      <w:rPr>
        <w:rFonts w:ascii="Symbol" w:hAnsi="Symbol"/>
      </w:rPr>
    </w:lvl>
    <w:lvl w:ilvl="7" w:tplc="C17E77AC">
      <w:start w:val="1"/>
      <w:numFmt w:val="bullet"/>
      <w:lvlText w:val=""/>
      <w:lvlJc w:val="left"/>
      <w:pPr>
        <w:ind w:left="1080" w:hanging="360"/>
      </w:pPr>
      <w:rPr>
        <w:rFonts w:ascii="Symbol" w:hAnsi="Symbol"/>
      </w:rPr>
    </w:lvl>
    <w:lvl w:ilvl="8" w:tplc="9D6A6980">
      <w:start w:val="1"/>
      <w:numFmt w:val="bullet"/>
      <w:lvlText w:val=""/>
      <w:lvlJc w:val="left"/>
      <w:pPr>
        <w:ind w:left="1080" w:hanging="360"/>
      </w:pPr>
      <w:rPr>
        <w:rFonts w:ascii="Symbol" w:hAnsi="Symbol"/>
      </w:rPr>
    </w:lvl>
  </w:abstractNum>
  <w:abstractNum w:abstractNumId="4" w15:restartNumberingAfterBreak="0">
    <w:nsid w:val="04526925"/>
    <w:multiLevelType w:val="hybridMultilevel"/>
    <w:tmpl w:val="FE629D6C"/>
    <w:lvl w:ilvl="0" w:tplc="9ECA3C6A">
      <w:start w:val="1"/>
      <w:numFmt w:val="bullet"/>
      <w:lvlText w:val=""/>
      <w:lvlJc w:val="left"/>
      <w:pPr>
        <w:ind w:left="1440" w:hanging="360"/>
      </w:pPr>
      <w:rPr>
        <w:rFonts w:ascii="Symbol" w:hAnsi="Symbol"/>
      </w:rPr>
    </w:lvl>
    <w:lvl w:ilvl="1" w:tplc="19E023D4">
      <w:start w:val="1"/>
      <w:numFmt w:val="bullet"/>
      <w:lvlText w:val=""/>
      <w:lvlJc w:val="left"/>
      <w:pPr>
        <w:ind w:left="1440" w:hanging="360"/>
      </w:pPr>
      <w:rPr>
        <w:rFonts w:ascii="Symbol" w:hAnsi="Symbol"/>
      </w:rPr>
    </w:lvl>
    <w:lvl w:ilvl="2" w:tplc="E5A44C44">
      <w:start w:val="1"/>
      <w:numFmt w:val="bullet"/>
      <w:lvlText w:val=""/>
      <w:lvlJc w:val="left"/>
      <w:pPr>
        <w:ind w:left="1440" w:hanging="360"/>
      </w:pPr>
      <w:rPr>
        <w:rFonts w:ascii="Symbol" w:hAnsi="Symbol"/>
      </w:rPr>
    </w:lvl>
    <w:lvl w:ilvl="3" w:tplc="564C2788">
      <w:start w:val="1"/>
      <w:numFmt w:val="bullet"/>
      <w:lvlText w:val=""/>
      <w:lvlJc w:val="left"/>
      <w:pPr>
        <w:ind w:left="1440" w:hanging="360"/>
      </w:pPr>
      <w:rPr>
        <w:rFonts w:ascii="Symbol" w:hAnsi="Symbol"/>
      </w:rPr>
    </w:lvl>
    <w:lvl w:ilvl="4" w:tplc="174C34DE">
      <w:start w:val="1"/>
      <w:numFmt w:val="bullet"/>
      <w:lvlText w:val=""/>
      <w:lvlJc w:val="left"/>
      <w:pPr>
        <w:ind w:left="1440" w:hanging="360"/>
      </w:pPr>
      <w:rPr>
        <w:rFonts w:ascii="Symbol" w:hAnsi="Symbol"/>
      </w:rPr>
    </w:lvl>
    <w:lvl w:ilvl="5" w:tplc="93DE2848">
      <w:start w:val="1"/>
      <w:numFmt w:val="bullet"/>
      <w:lvlText w:val=""/>
      <w:lvlJc w:val="left"/>
      <w:pPr>
        <w:ind w:left="1440" w:hanging="360"/>
      </w:pPr>
      <w:rPr>
        <w:rFonts w:ascii="Symbol" w:hAnsi="Symbol"/>
      </w:rPr>
    </w:lvl>
    <w:lvl w:ilvl="6" w:tplc="AD623ABE">
      <w:start w:val="1"/>
      <w:numFmt w:val="bullet"/>
      <w:lvlText w:val=""/>
      <w:lvlJc w:val="left"/>
      <w:pPr>
        <w:ind w:left="1440" w:hanging="360"/>
      </w:pPr>
      <w:rPr>
        <w:rFonts w:ascii="Symbol" w:hAnsi="Symbol"/>
      </w:rPr>
    </w:lvl>
    <w:lvl w:ilvl="7" w:tplc="18CA779E">
      <w:start w:val="1"/>
      <w:numFmt w:val="bullet"/>
      <w:lvlText w:val=""/>
      <w:lvlJc w:val="left"/>
      <w:pPr>
        <w:ind w:left="1440" w:hanging="360"/>
      </w:pPr>
      <w:rPr>
        <w:rFonts w:ascii="Symbol" w:hAnsi="Symbol"/>
      </w:rPr>
    </w:lvl>
    <w:lvl w:ilvl="8" w:tplc="532E737E">
      <w:start w:val="1"/>
      <w:numFmt w:val="bullet"/>
      <w:lvlText w:val=""/>
      <w:lvlJc w:val="left"/>
      <w:pPr>
        <w:ind w:left="1440" w:hanging="360"/>
      </w:pPr>
      <w:rPr>
        <w:rFonts w:ascii="Symbol" w:hAnsi="Symbol"/>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0FCA5ECA"/>
    <w:multiLevelType w:val="hybridMultilevel"/>
    <w:tmpl w:val="5A0E46DA"/>
    <w:lvl w:ilvl="0" w:tplc="6926397A">
      <w:start w:val="1"/>
      <w:numFmt w:val="bullet"/>
      <w:lvlText w:val=""/>
      <w:lvlJc w:val="left"/>
      <w:pPr>
        <w:ind w:left="1080" w:hanging="360"/>
      </w:pPr>
      <w:rPr>
        <w:rFonts w:ascii="Symbol" w:hAnsi="Symbol"/>
      </w:rPr>
    </w:lvl>
    <w:lvl w:ilvl="1" w:tplc="8CECACEA">
      <w:start w:val="1"/>
      <w:numFmt w:val="bullet"/>
      <w:lvlText w:val=""/>
      <w:lvlJc w:val="left"/>
      <w:pPr>
        <w:ind w:left="1080" w:hanging="360"/>
      </w:pPr>
      <w:rPr>
        <w:rFonts w:ascii="Symbol" w:hAnsi="Symbol"/>
      </w:rPr>
    </w:lvl>
    <w:lvl w:ilvl="2" w:tplc="0534D56A">
      <w:start w:val="1"/>
      <w:numFmt w:val="bullet"/>
      <w:lvlText w:val=""/>
      <w:lvlJc w:val="left"/>
      <w:pPr>
        <w:ind w:left="1080" w:hanging="360"/>
      </w:pPr>
      <w:rPr>
        <w:rFonts w:ascii="Symbol" w:hAnsi="Symbol"/>
      </w:rPr>
    </w:lvl>
    <w:lvl w:ilvl="3" w:tplc="C596AE5A">
      <w:start w:val="1"/>
      <w:numFmt w:val="bullet"/>
      <w:lvlText w:val=""/>
      <w:lvlJc w:val="left"/>
      <w:pPr>
        <w:ind w:left="1080" w:hanging="360"/>
      </w:pPr>
      <w:rPr>
        <w:rFonts w:ascii="Symbol" w:hAnsi="Symbol"/>
      </w:rPr>
    </w:lvl>
    <w:lvl w:ilvl="4" w:tplc="3B64F1E6">
      <w:start w:val="1"/>
      <w:numFmt w:val="bullet"/>
      <w:lvlText w:val=""/>
      <w:lvlJc w:val="left"/>
      <w:pPr>
        <w:ind w:left="1080" w:hanging="360"/>
      </w:pPr>
      <w:rPr>
        <w:rFonts w:ascii="Symbol" w:hAnsi="Symbol"/>
      </w:rPr>
    </w:lvl>
    <w:lvl w:ilvl="5" w:tplc="B3E008B8">
      <w:start w:val="1"/>
      <w:numFmt w:val="bullet"/>
      <w:lvlText w:val=""/>
      <w:lvlJc w:val="left"/>
      <w:pPr>
        <w:ind w:left="1080" w:hanging="360"/>
      </w:pPr>
      <w:rPr>
        <w:rFonts w:ascii="Symbol" w:hAnsi="Symbol"/>
      </w:rPr>
    </w:lvl>
    <w:lvl w:ilvl="6" w:tplc="D808628A">
      <w:start w:val="1"/>
      <w:numFmt w:val="bullet"/>
      <w:lvlText w:val=""/>
      <w:lvlJc w:val="left"/>
      <w:pPr>
        <w:ind w:left="1080" w:hanging="360"/>
      </w:pPr>
      <w:rPr>
        <w:rFonts w:ascii="Symbol" w:hAnsi="Symbol"/>
      </w:rPr>
    </w:lvl>
    <w:lvl w:ilvl="7" w:tplc="9E6875EE">
      <w:start w:val="1"/>
      <w:numFmt w:val="bullet"/>
      <w:lvlText w:val=""/>
      <w:lvlJc w:val="left"/>
      <w:pPr>
        <w:ind w:left="1080" w:hanging="360"/>
      </w:pPr>
      <w:rPr>
        <w:rFonts w:ascii="Symbol" w:hAnsi="Symbol"/>
      </w:rPr>
    </w:lvl>
    <w:lvl w:ilvl="8" w:tplc="A92A1CAA">
      <w:start w:val="1"/>
      <w:numFmt w:val="bullet"/>
      <w:lvlText w:val=""/>
      <w:lvlJc w:val="left"/>
      <w:pPr>
        <w:ind w:left="1080" w:hanging="360"/>
      </w:pPr>
      <w:rPr>
        <w:rFonts w:ascii="Symbol" w:hAnsi="Symbol"/>
      </w:rPr>
    </w:lvl>
  </w:abstractNum>
  <w:abstractNum w:abstractNumId="11" w15:restartNumberingAfterBreak="0">
    <w:nsid w:val="0FF60F62"/>
    <w:multiLevelType w:val="hybridMultilevel"/>
    <w:tmpl w:val="C2721DA2"/>
    <w:lvl w:ilvl="0" w:tplc="169E239C">
      <w:start w:val="1"/>
      <w:numFmt w:val="bullet"/>
      <w:lvlText w:val=""/>
      <w:lvlJc w:val="left"/>
      <w:pPr>
        <w:ind w:left="1080" w:hanging="360"/>
      </w:pPr>
      <w:rPr>
        <w:rFonts w:ascii="Symbol" w:hAnsi="Symbol"/>
      </w:rPr>
    </w:lvl>
    <w:lvl w:ilvl="1" w:tplc="8D44D484">
      <w:start w:val="1"/>
      <w:numFmt w:val="bullet"/>
      <w:lvlText w:val=""/>
      <w:lvlJc w:val="left"/>
      <w:pPr>
        <w:ind w:left="1080" w:hanging="360"/>
      </w:pPr>
      <w:rPr>
        <w:rFonts w:ascii="Symbol" w:hAnsi="Symbol"/>
      </w:rPr>
    </w:lvl>
    <w:lvl w:ilvl="2" w:tplc="62F49BA0">
      <w:start w:val="1"/>
      <w:numFmt w:val="bullet"/>
      <w:lvlText w:val=""/>
      <w:lvlJc w:val="left"/>
      <w:pPr>
        <w:ind w:left="1080" w:hanging="360"/>
      </w:pPr>
      <w:rPr>
        <w:rFonts w:ascii="Symbol" w:hAnsi="Symbol"/>
      </w:rPr>
    </w:lvl>
    <w:lvl w:ilvl="3" w:tplc="F3B29FFC">
      <w:start w:val="1"/>
      <w:numFmt w:val="bullet"/>
      <w:lvlText w:val=""/>
      <w:lvlJc w:val="left"/>
      <w:pPr>
        <w:ind w:left="1080" w:hanging="360"/>
      </w:pPr>
      <w:rPr>
        <w:rFonts w:ascii="Symbol" w:hAnsi="Symbol"/>
      </w:rPr>
    </w:lvl>
    <w:lvl w:ilvl="4" w:tplc="218C643C">
      <w:start w:val="1"/>
      <w:numFmt w:val="bullet"/>
      <w:lvlText w:val=""/>
      <w:lvlJc w:val="left"/>
      <w:pPr>
        <w:ind w:left="1080" w:hanging="360"/>
      </w:pPr>
      <w:rPr>
        <w:rFonts w:ascii="Symbol" w:hAnsi="Symbol"/>
      </w:rPr>
    </w:lvl>
    <w:lvl w:ilvl="5" w:tplc="E110DE96">
      <w:start w:val="1"/>
      <w:numFmt w:val="bullet"/>
      <w:lvlText w:val=""/>
      <w:lvlJc w:val="left"/>
      <w:pPr>
        <w:ind w:left="1080" w:hanging="360"/>
      </w:pPr>
      <w:rPr>
        <w:rFonts w:ascii="Symbol" w:hAnsi="Symbol"/>
      </w:rPr>
    </w:lvl>
    <w:lvl w:ilvl="6" w:tplc="CF20A788">
      <w:start w:val="1"/>
      <w:numFmt w:val="bullet"/>
      <w:lvlText w:val=""/>
      <w:lvlJc w:val="left"/>
      <w:pPr>
        <w:ind w:left="1080" w:hanging="360"/>
      </w:pPr>
      <w:rPr>
        <w:rFonts w:ascii="Symbol" w:hAnsi="Symbol"/>
      </w:rPr>
    </w:lvl>
    <w:lvl w:ilvl="7" w:tplc="859E62AE">
      <w:start w:val="1"/>
      <w:numFmt w:val="bullet"/>
      <w:lvlText w:val=""/>
      <w:lvlJc w:val="left"/>
      <w:pPr>
        <w:ind w:left="1080" w:hanging="360"/>
      </w:pPr>
      <w:rPr>
        <w:rFonts w:ascii="Symbol" w:hAnsi="Symbol"/>
      </w:rPr>
    </w:lvl>
    <w:lvl w:ilvl="8" w:tplc="284C4470">
      <w:start w:val="1"/>
      <w:numFmt w:val="bullet"/>
      <w:lvlText w:val=""/>
      <w:lvlJc w:val="left"/>
      <w:pPr>
        <w:ind w:left="1080" w:hanging="360"/>
      </w:pPr>
      <w:rPr>
        <w:rFonts w:ascii="Symbol" w:hAnsi="Symbol"/>
      </w:rPr>
    </w:lvl>
  </w:abstractNum>
  <w:abstractNum w:abstractNumId="12"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B1E7C13"/>
    <w:multiLevelType w:val="hybridMultilevel"/>
    <w:tmpl w:val="68DEAE6C"/>
    <w:lvl w:ilvl="0" w:tplc="F6EC48EA">
      <w:start w:val="1"/>
      <w:numFmt w:val="bullet"/>
      <w:lvlText w:val=""/>
      <w:lvlJc w:val="left"/>
      <w:pPr>
        <w:ind w:left="720" w:hanging="360"/>
      </w:pPr>
      <w:rPr>
        <w:rFonts w:ascii="Symbol" w:hAnsi="Symbol"/>
      </w:rPr>
    </w:lvl>
    <w:lvl w:ilvl="1" w:tplc="A3B871EE">
      <w:start w:val="1"/>
      <w:numFmt w:val="bullet"/>
      <w:lvlText w:val=""/>
      <w:lvlJc w:val="left"/>
      <w:pPr>
        <w:ind w:left="720" w:hanging="360"/>
      </w:pPr>
      <w:rPr>
        <w:rFonts w:ascii="Symbol" w:hAnsi="Symbol"/>
      </w:rPr>
    </w:lvl>
    <w:lvl w:ilvl="2" w:tplc="22FA1B38">
      <w:start w:val="1"/>
      <w:numFmt w:val="bullet"/>
      <w:lvlText w:val=""/>
      <w:lvlJc w:val="left"/>
      <w:pPr>
        <w:ind w:left="720" w:hanging="360"/>
      </w:pPr>
      <w:rPr>
        <w:rFonts w:ascii="Symbol" w:hAnsi="Symbol"/>
      </w:rPr>
    </w:lvl>
    <w:lvl w:ilvl="3" w:tplc="A4FE280C">
      <w:start w:val="1"/>
      <w:numFmt w:val="bullet"/>
      <w:lvlText w:val=""/>
      <w:lvlJc w:val="left"/>
      <w:pPr>
        <w:ind w:left="720" w:hanging="360"/>
      </w:pPr>
      <w:rPr>
        <w:rFonts w:ascii="Symbol" w:hAnsi="Symbol"/>
      </w:rPr>
    </w:lvl>
    <w:lvl w:ilvl="4" w:tplc="A3B83F2C">
      <w:start w:val="1"/>
      <w:numFmt w:val="bullet"/>
      <w:lvlText w:val=""/>
      <w:lvlJc w:val="left"/>
      <w:pPr>
        <w:ind w:left="720" w:hanging="360"/>
      </w:pPr>
      <w:rPr>
        <w:rFonts w:ascii="Symbol" w:hAnsi="Symbol"/>
      </w:rPr>
    </w:lvl>
    <w:lvl w:ilvl="5" w:tplc="EE468050">
      <w:start w:val="1"/>
      <w:numFmt w:val="bullet"/>
      <w:lvlText w:val=""/>
      <w:lvlJc w:val="left"/>
      <w:pPr>
        <w:ind w:left="720" w:hanging="360"/>
      </w:pPr>
      <w:rPr>
        <w:rFonts w:ascii="Symbol" w:hAnsi="Symbol"/>
      </w:rPr>
    </w:lvl>
    <w:lvl w:ilvl="6" w:tplc="0C9042E8">
      <w:start w:val="1"/>
      <w:numFmt w:val="bullet"/>
      <w:lvlText w:val=""/>
      <w:lvlJc w:val="left"/>
      <w:pPr>
        <w:ind w:left="720" w:hanging="360"/>
      </w:pPr>
      <w:rPr>
        <w:rFonts w:ascii="Symbol" w:hAnsi="Symbol"/>
      </w:rPr>
    </w:lvl>
    <w:lvl w:ilvl="7" w:tplc="13A4F054">
      <w:start w:val="1"/>
      <w:numFmt w:val="bullet"/>
      <w:lvlText w:val=""/>
      <w:lvlJc w:val="left"/>
      <w:pPr>
        <w:ind w:left="720" w:hanging="360"/>
      </w:pPr>
      <w:rPr>
        <w:rFonts w:ascii="Symbol" w:hAnsi="Symbol"/>
      </w:rPr>
    </w:lvl>
    <w:lvl w:ilvl="8" w:tplc="5A7E2556">
      <w:start w:val="1"/>
      <w:numFmt w:val="bullet"/>
      <w:lvlText w:val=""/>
      <w:lvlJc w:val="left"/>
      <w:pPr>
        <w:ind w:left="720" w:hanging="360"/>
      </w:pPr>
      <w:rPr>
        <w:rFonts w:ascii="Symbol" w:hAnsi="Symbol"/>
      </w:r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5FF6345"/>
    <w:multiLevelType w:val="hybridMultilevel"/>
    <w:tmpl w:val="48045290"/>
    <w:lvl w:ilvl="0" w:tplc="D47AF97E">
      <w:start w:val="1"/>
      <w:numFmt w:val="bullet"/>
      <w:lvlText w:val=""/>
      <w:lvlJc w:val="left"/>
      <w:pPr>
        <w:ind w:left="720" w:hanging="360"/>
      </w:pPr>
      <w:rPr>
        <w:rFonts w:ascii="Symbol" w:hAnsi="Symbol"/>
      </w:rPr>
    </w:lvl>
    <w:lvl w:ilvl="1" w:tplc="1E74B36E">
      <w:start w:val="1"/>
      <w:numFmt w:val="bullet"/>
      <w:lvlText w:val=""/>
      <w:lvlJc w:val="left"/>
      <w:pPr>
        <w:ind w:left="720" w:hanging="360"/>
      </w:pPr>
      <w:rPr>
        <w:rFonts w:ascii="Symbol" w:hAnsi="Symbol"/>
      </w:rPr>
    </w:lvl>
    <w:lvl w:ilvl="2" w:tplc="0D0A7A0E">
      <w:start w:val="1"/>
      <w:numFmt w:val="bullet"/>
      <w:lvlText w:val=""/>
      <w:lvlJc w:val="left"/>
      <w:pPr>
        <w:ind w:left="720" w:hanging="360"/>
      </w:pPr>
      <w:rPr>
        <w:rFonts w:ascii="Symbol" w:hAnsi="Symbol"/>
      </w:rPr>
    </w:lvl>
    <w:lvl w:ilvl="3" w:tplc="01D0CFB0">
      <w:start w:val="1"/>
      <w:numFmt w:val="bullet"/>
      <w:lvlText w:val=""/>
      <w:lvlJc w:val="left"/>
      <w:pPr>
        <w:ind w:left="720" w:hanging="360"/>
      </w:pPr>
      <w:rPr>
        <w:rFonts w:ascii="Symbol" w:hAnsi="Symbol"/>
      </w:rPr>
    </w:lvl>
    <w:lvl w:ilvl="4" w:tplc="3BB61870">
      <w:start w:val="1"/>
      <w:numFmt w:val="bullet"/>
      <w:lvlText w:val=""/>
      <w:lvlJc w:val="left"/>
      <w:pPr>
        <w:ind w:left="720" w:hanging="360"/>
      </w:pPr>
      <w:rPr>
        <w:rFonts w:ascii="Symbol" w:hAnsi="Symbol"/>
      </w:rPr>
    </w:lvl>
    <w:lvl w:ilvl="5" w:tplc="E548AE60">
      <w:start w:val="1"/>
      <w:numFmt w:val="bullet"/>
      <w:lvlText w:val=""/>
      <w:lvlJc w:val="left"/>
      <w:pPr>
        <w:ind w:left="720" w:hanging="360"/>
      </w:pPr>
      <w:rPr>
        <w:rFonts w:ascii="Symbol" w:hAnsi="Symbol"/>
      </w:rPr>
    </w:lvl>
    <w:lvl w:ilvl="6" w:tplc="4D9002B8">
      <w:start w:val="1"/>
      <w:numFmt w:val="bullet"/>
      <w:lvlText w:val=""/>
      <w:lvlJc w:val="left"/>
      <w:pPr>
        <w:ind w:left="720" w:hanging="360"/>
      </w:pPr>
      <w:rPr>
        <w:rFonts w:ascii="Symbol" w:hAnsi="Symbol"/>
      </w:rPr>
    </w:lvl>
    <w:lvl w:ilvl="7" w:tplc="C6F64BB4">
      <w:start w:val="1"/>
      <w:numFmt w:val="bullet"/>
      <w:lvlText w:val=""/>
      <w:lvlJc w:val="left"/>
      <w:pPr>
        <w:ind w:left="720" w:hanging="360"/>
      </w:pPr>
      <w:rPr>
        <w:rFonts w:ascii="Symbol" w:hAnsi="Symbol"/>
      </w:rPr>
    </w:lvl>
    <w:lvl w:ilvl="8" w:tplc="C8D41D52">
      <w:start w:val="1"/>
      <w:numFmt w:val="bullet"/>
      <w:lvlText w:val=""/>
      <w:lvlJc w:val="left"/>
      <w:pPr>
        <w:ind w:left="720" w:hanging="360"/>
      </w:pPr>
      <w:rPr>
        <w:rFonts w:ascii="Symbol" w:hAnsi="Symbol"/>
      </w:rPr>
    </w:lvl>
  </w:abstractNum>
  <w:abstractNum w:abstractNumId="18" w15:restartNumberingAfterBreak="0">
    <w:nsid w:val="2D665246"/>
    <w:multiLevelType w:val="multilevel"/>
    <w:tmpl w:val="55366B42"/>
    <w:numStyleLink w:val="LetteredList"/>
  </w:abstractNum>
  <w:abstractNum w:abstractNumId="19" w15:restartNumberingAfterBreak="0">
    <w:nsid w:val="2DFE29AF"/>
    <w:multiLevelType w:val="multilevel"/>
    <w:tmpl w:val="72768BCE"/>
    <w:numStyleLink w:val="AppendixHeadingList"/>
  </w:abstractNum>
  <w:abstractNum w:abstractNumId="20" w15:restartNumberingAfterBreak="0">
    <w:nsid w:val="33CD0724"/>
    <w:multiLevelType w:val="hybridMultilevel"/>
    <w:tmpl w:val="5616F85A"/>
    <w:lvl w:ilvl="0" w:tplc="6194EA06">
      <w:start w:val="1"/>
      <w:numFmt w:val="bullet"/>
      <w:lvlText w:val=""/>
      <w:lvlJc w:val="left"/>
      <w:pPr>
        <w:ind w:left="1440" w:hanging="360"/>
      </w:pPr>
      <w:rPr>
        <w:rFonts w:ascii="Symbol" w:hAnsi="Symbol"/>
      </w:rPr>
    </w:lvl>
    <w:lvl w:ilvl="1" w:tplc="6B9821A2">
      <w:start w:val="1"/>
      <w:numFmt w:val="bullet"/>
      <w:lvlText w:val=""/>
      <w:lvlJc w:val="left"/>
      <w:pPr>
        <w:ind w:left="1440" w:hanging="360"/>
      </w:pPr>
      <w:rPr>
        <w:rFonts w:ascii="Symbol" w:hAnsi="Symbol"/>
      </w:rPr>
    </w:lvl>
    <w:lvl w:ilvl="2" w:tplc="9EB282C0">
      <w:start w:val="1"/>
      <w:numFmt w:val="bullet"/>
      <w:lvlText w:val=""/>
      <w:lvlJc w:val="left"/>
      <w:pPr>
        <w:ind w:left="1440" w:hanging="360"/>
      </w:pPr>
      <w:rPr>
        <w:rFonts w:ascii="Symbol" w:hAnsi="Symbol"/>
      </w:rPr>
    </w:lvl>
    <w:lvl w:ilvl="3" w:tplc="6226D0DA">
      <w:start w:val="1"/>
      <w:numFmt w:val="bullet"/>
      <w:lvlText w:val=""/>
      <w:lvlJc w:val="left"/>
      <w:pPr>
        <w:ind w:left="1440" w:hanging="360"/>
      </w:pPr>
      <w:rPr>
        <w:rFonts w:ascii="Symbol" w:hAnsi="Symbol"/>
      </w:rPr>
    </w:lvl>
    <w:lvl w:ilvl="4" w:tplc="B01499CE">
      <w:start w:val="1"/>
      <w:numFmt w:val="bullet"/>
      <w:lvlText w:val=""/>
      <w:lvlJc w:val="left"/>
      <w:pPr>
        <w:ind w:left="1440" w:hanging="360"/>
      </w:pPr>
      <w:rPr>
        <w:rFonts w:ascii="Symbol" w:hAnsi="Symbol"/>
      </w:rPr>
    </w:lvl>
    <w:lvl w:ilvl="5" w:tplc="F8300EDE">
      <w:start w:val="1"/>
      <w:numFmt w:val="bullet"/>
      <w:lvlText w:val=""/>
      <w:lvlJc w:val="left"/>
      <w:pPr>
        <w:ind w:left="1440" w:hanging="360"/>
      </w:pPr>
      <w:rPr>
        <w:rFonts w:ascii="Symbol" w:hAnsi="Symbol"/>
      </w:rPr>
    </w:lvl>
    <w:lvl w:ilvl="6" w:tplc="C6066E5C">
      <w:start w:val="1"/>
      <w:numFmt w:val="bullet"/>
      <w:lvlText w:val=""/>
      <w:lvlJc w:val="left"/>
      <w:pPr>
        <w:ind w:left="1440" w:hanging="360"/>
      </w:pPr>
      <w:rPr>
        <w:rFonts w:ascii="Symbol" w:hAnsi="Symbol"/>
      </w:rPr>
    </w:lvl>
    <w:lvl w:ilvl="7" w:tplc="5936C8B6">
      <w:start w:val="1"/>
      <w:numFmt w:val="bullet"/>
      <w:lvlText w:val=""/>
      <w:lvlJc w:val="left"/>
      <w:pPr>
        <w:ind w:left="1440" w:hanging="360"/>
      </w:pPr>
      <w:rPr>
        <w:rFonts w:ascii="Symbol" w:hAnsi="Symbol"/>
      </w:rPr>
    </w:lvl>
    <w:lvl w:ilvl="8" w:tplc="888E1C94">
      <w:start w:val="1"/>
      <w:numFmt w:val="bullet"/>
      <w:lvlText w:val=""/>
      <w:lvlJc w:val="left"/>
      <w:pPr>
        <w:ind w:left="1440" w:hanging="360"/>
      </w:pPr>
      <w:rPr>
        <w:rFonts w:ascii="Symbol" w:hAnsi="Symbol"/>
      </w:rPr>
    </w:lvl>
  </w:abstractNum>
  <w:abstractNum w:abstractNumId="21"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C111E8"/>
    <w:multiLevelType w:val="hybridMultilevel"/>
    <w:tmpl w:val="62C0EE0A"/>
    <w:lvl w:ilvl="0" w:tplc="B32ACDDE">
      <w:start w:val="1"/>
      <w:numFmt w:val="bullet"/>
      <w:lvlText w:val=""/>
      <w:lvlJc w:val="left"/>
      <w:pPr>
        <w:ind w:left="1080" w:hanging="360"/>
      </w:pPr>
      <w:rPr>
        <w:rFonts w:ascii="Symbol" w:hAnsi="Symbol"/>
      </w:rPr>
    </w:lvl>
    <w:lvl w:ilvl="1" w:tplc="60BC8DA4">
      <w:start w:val="1"/>
      <w:numFmt w:val="bullet"/>
      <w:lvlText w:val=""/>
      <w:lvlJc w:val="left"/>
      <w:pPr>
        <w:ind w:left="1080" w:hanging="360"/>
      </w:pPr>
      <w:rPr>
        <w:rFonts w:ascii="Symbol" w:hAnsi="Symbol"/>
      </w:rPr>
    </w:lvl>
    <w:lvl w:ilvl="2" w:tplc="4888F78C">
      <w:start w:val="1"/>
      <w:numFmt w:val="bullet"/>
      <w:lvlText w:val=""/>
      <w:lvlJc w:val="left"/>
      <w:pPr>
        <w:ind w:left="1080" w:hanging="360"/>
      </w:pPr>
      <w:rPr>
        <w:rFonts w:ascii="Symbol" w:hAnsi="Symbol"/>
      </w:rPr>
    </w:lvl>
    <w:lvl w:ilvl="3" w:tplc="66F07748">
      <w:start w:val="1"/>
      <w:numFmt w:val="bullet"/>
      <w:lvlText w:val=""/>
      <w:lvlJc w:val="left"/>
      <w:pPr>
        <w:ind w:left="1080" w:hanging="360"/>
      </w:pPr>
      <w:rPr>
        <w:rFonts w:ascii="Symbol" w:hAnsi="Symbol"/>
      </w:rPr>
    </w:lvl>
    <w:lvl w:ilvl="4" w:tplc="615A3012">
      <w:start w:val="1"/>
      <w:numFmt w:val="bullet"/>
      <w:lvlText w:val=""/>
      <w:lvlJc w:val="left"/>
      <w:pPr>
        <w:ind w:left="1080" w:hanging="360"/>
      </w:pPr>
      <w:rPr>
        <w:rFonts w:ascii="Symbol" w:hAnsi="Symbol"/>
      </w:rPr>
    </w:lvl>
    <w:lvl w:ilvl="5" w:tplc="98FC8A04">
      <w:start w:val="1"/>
      <w:numFmt w:val="bullet"/>
      <w:lvlText w:val=""/>
      <w:lvlJc w:val="left"/>
      <w:pPr>
        <w:ind w:left="1080" w:hanging="360"/>
      </w:pPr>
      <w:rPr>
        <w:rFonts w:ascii="Symbol" w:hAnsi="Symbol"/>
      </w:rPr>
    </w:lvl>
    <w:lvl w:ilvl="6" w:tplc="2774D012">
      <w:start w:val="1"/>
      <w:numFmt w:val="bullet"/>
      <w:lvlText w:val=""/>
      <w:lvlJc w:val="left"/>
      <w:pPr>
        <w:ind w:left="1080" w:hanging="360"/>
      </w:pPr>
      <w:rPr>
        <w:rFonts w:ascii="Symbol" w:hAnsi="Symbol"/>
      </w:rPr>
    </w:lvl>
    <w:lvl w:ilvl="7" w:tplc="034E3002">
      <w:start w:val="1"/>
      <w:numFmt w:val="bullet"/>
      <w:lvlText w:val=""/>
      <w:lvlJc w:val="left"/>
      <w:pPr>
        <w:ind w:left="1080" w:hanging="360"/>
      </w:pPr>
      <w:rPr>
        <w:rFonts w:ascii="Symbol" w:hAnsi="Symbol"/>
      </w:rPr>
    </w:lvl>
    <w:lvl w:ilvl="8" w:tplc="256891D4">
      <w:start w:val="1"/>
      <w:numFmt w:val="bullet"/>
      <w:lvlText w:val=""/>
      <w:lvlJc w:val="left"/>
      <w:pPr>
        <w:ind w:left="1080" w:hanging="360"/>
      </w:pPr>
      <w:rPr>
        <w:rFonts w:ascii="Symbol" w:hAnsi="Symbol"/>
      </w:rPr>
    </w:lvl>
  </w:abstractNum>
  <w:abstractNum w:abstractNumId="23" w15:restartNumberingAfterBreak="0">
    <w:nsid w:val="37DA5634"/>
    <w:multiLevelType w:val="hybridMultilevel"/>
    <w:tmpl w:val="7E108C6C"/>
    <w:lvl w:ilvl="0" w:tplc="97F2C056">
      <w:start w:val="1"/>
      <w:numFmt w:val="decimal"/>
      <w:lvlText w:val="%1."/>
      <w:lvlJc w:val="left"/>
      <w:pPr>
        <w:ind w:left="1020" w:hanging="360"/>
      </w:pPr>
    </w:lvl>
    <w:lvl w:ilvl="1" w:tplc="17D49622">
      <w:start w:val="1"/>
      <w:numFmt w:val="decimal"/>
      <w:lvlText w:val="%2."/>
      <w:lvlJc w:val="left"/>
      <w:pPr>
        <w:ind w:left="1020" w:hanging="360"/>
      </w:pPr>
    </w:lvl>
    <w:lvl w:ilvl="2" w:tplc="38CA0CA6">
      <w:start w:val="1"/>
      <w:numFmt w:val="decimal"/>
      <w:lvlText w:val="%3."/>
      <w:lvlJc w:val="left"/>
      <w:pPr>
        <w:ind w:left="1020" w:hanging="360"/>
      </w:pPr>
    </w:lvl>
    <w:lvl w:ilvl="3" w:tplc="94EA4C9C">
      <w:start w:val="1"/>
      <w:numFmt w:val="decimal"/>
      <w:lvlText w:val="%4."/>
      <w:lvlJc w:val="left"/>
      <w:pPr>
        <w:ind w:left="1020" w:hanging="360"/>
      </w:pPr>
    </w:lvl>
    <w:lvl w:ilvl="4" w:tplc="6606578E">
      <w:start w:val="1"/>
      <w:numFmt w:val="decimal"/>
      <w:lvlText w:val="%5."/>
      <w:lvlJc w:val="left"/>
      <w:pPr>
        <w:ind w:left="1020" w:hanging="360"/>
      </w:pPr>
    </w:lvl>
    <w:lvl w:ilvl="5" w:tplc="6A6414DC">
      <w:start w:val="1"/>
      <w:numFmt w:val="decimal"/>
      <w:lvlText w:val="%6."/>
      <w:lvlJc w:val="left"/>
      <w:pPr>
        <w:ind w:left="1020" w:hanging="360"/>
      </w:pPr>
    </w:lvl>
    <w:lvl w:ilvl="6" w:tplc="AA609546">
      <w:start w:val="1"/>
      <w:numFmt w:val="decimal"/>
      <w:lvlText w:val="%7."/>
      <w:lvlJc w:val="left"/>
      <w:pPr>
        <w:ind w:left="1020" w:hanging="360"/>
      </w:pPr>
    </w:lvl>
    <w:lvl w:ilvl="7" w:tplc="30601F96">
      <w:start w:val="1"/>
      <w:numFmt w:val="decimal"/>
      <w:lvlText w:val="%8."/>
      <w:lvlJc w:val="left"/>
      <w:pPr>
        <w:ind w:left="1020" w:hanging="360"/>
      </w:pPr>
    </w:lvl>
    <w:lvl w:ilvl="8" w:tplc="1E0AC248">
      <w:start w:val="1"/>
      <w:numFmt w:val="decimal"/>
      <w:lvlText w:val="%9."/>
      <w:lvlJc w:val="left"/>
      <w:pPr>
        <w:ind w:left="1020" w:hanging="360"/>
      </w:p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D784CA8"/>
    <w:multiLevelType w:val="hybridMultilevel"/>
    <w:tmpl w:val="3894D00E"/>
    <w:lvl w:ilvl="0" w:tplc="2714755C">
      <w:start w:val="1"/>
      <w:numFmt w:val="bullet"/>
      <w:lvlText w:val=""/>
      <w:lvlJc w:val="left"/>
      <w:pPr>
        <w:ind w:left="1440" w:hanging="360"/>
      </w:pPr>
      <w:rPr>
        <w:rFonts w:ascii="Symbol" w:hAnsi="Symbol"/>
      </w:rPr>
    </w:lvl>
    <w:lvl w:ilvl="1" w:tplc="EC6EDC38">
      <w:start w:val="1"/>
      <w:numFmt w:val="bullet"/>
      <w:lvlText w:val=""/>
      <w:lvlJc w:val="left"/>
      <w:pPr>
        <w:ind w:left="1440" w:hanging="360"/>
      </w:pPr>
      <w:rPr>
        <w:rFonts w:ascii="Symbol" w:hAnsi="Symbol"/>
      </w:rPr>
    </w:lvl>
    <w:lvl w:ilvl="2" w:tplc="EB20D8BA">
      <w:start w:val="1"/>
      <w:numFmt w:val="bullet"/>
      <w:lvlText w:val=""/>
      <w:lvlJc w:val="left"/>
      <w:pPr>
        <w:ind w:left="1440" w:hanging="360"/>
      </w:pPr>
      <w:rPr>
        <w:rFonts w:ascii="Symbol" w:hAnsi="Symbol"/>
      </w:rPr>
    </w:lvl>
    <w:lvl w:ilvl="3" w:tplc="EE7A85FA">
      <w:start w:val="1"/>
      <w:numFmt w:val="bullet"/>
      <w:lvlText w:val=""/>
      <w:lvlJc w:val="left"/>
      <w:pPr>
        <w:ind w:left="1440" w:hanging="360"/>
      </w:pPr>
      <w:rPr>
        <w:rFonts w:ascii="Symbol" w:hAnsi="Symbol"/>
      </w:rPr>
    </w:lvl>
    <w:lvl w:ilvl="4" w:tplc="39D2AFDE">
      <w:start w:val="1"/>
      <w:numFmt w:val="bullet"/>
      <w:lvlText w:val=""/>
      <w:lvlJc w:val="left"/>
      <w:pPr>
        <w:ind w:left="1440" w:hanging="360"/>
      </w:pPr>
      <w:rPr>
        <w:rFonts w:ascii="Symbol" w:hAnsi="Symbol"/>
      </w:rPr>
    </w:lvl>
    <w:lvl w:ilvl="5" w:tplc="5594998C">
      <w:start w:val="1"/>
      <w:numFmt w:val="bullet"/>
      <w:lvlText w:val=""/>
      <w:lvlJc w:val="left"/>
      <w:pPr>
        <w:ind w:left="1440" w:hanging="360"/>
      </w:pPr>
      <w:rPr>
        <w:rFonts w:ascii="Symbol" w:hAnsi="Symbol"/>
      </w:rPr>
    </w:lvl>
    <w:lvl w:ilvl="6" w:tplc="0B8A11FC">
      <w:start w:val="1"/>
      <w:numFmt w:val="bullet"/>
      <w:lvlText w:val=""/>
      <w:lvlJc w:val="left"/>
      <w:pPr>
        <w:ind w:left="1440" w:hanging="360"/>
      </w:pPr>
      <w:rPr>
        <w:rFonts w:ascii="Symbol" w:hAnsi="Symbol"/>
      </w:rPr>
    </w:lvl>
    <w:lvl w:ilvl="7" w:tplc="5470B0F4">
      <w:start w:val="1"/>
      <w:numFmt w:val="bullet"/>
      <w:lvlText w:val=""/>
      <w:lvlJc w:val="left"/>
      <w:pPr>
        <w:ind w:left="1440" w:hanging="360"/>
      </w:pPr>
      <w:rPr>
        <w:rFonts w:ascii="Symbol" w:hAnsi="Symbol"/>
      </w:rPr>
    </w:lvl>
    <w:lvl w:ilvl="8" w:tplc="04AC769A">
      <w:start w:val="1"/>
      <w:numFmt w:val="bullet"/>
      <w:lvlText w:val=""/>
      <w:lvlJc w:val="left"/>
      <w:pPr>
        <w:ind w:left="1440" w:hanging="360"/>
      </w:pPr>
      <w:rPr>
        <w:rFonts w:ascii="Symbol" w:hAnsi="Symbol"/>
      </w:rPr>
    </w:lvl>
  </w:abstractNum>
  <w:abstractNum w:abstractNumId="26" w15:restartNumberingAfterBreak="0">
    <w:nsid w:val="573C6C6F"/>
    <w:multiLevelType w:val="hybridMultilevel"/>
    <w:tmpl w:val="4232FF62"/>
    <w:lvl w:ilvl="0" w:tplc="1046D45C">
      <w:start w:val="1"/>
      <w:numFmt w:val="bullet"/>
      <w:lvlText w:val=""/>
      <w:lvlJc w:val="left"/>
      <w:pPr>
        <w:ind w:left="1020" w:hanging="360"/>
      </w:pPr>
      <w:rPr>
        <w:rFonts w:ascii="Symbol" w:hAnsi="Symbol"/>
      </w:rPr>
    </w:lvl>
    <w:lvl w:ilvl="1" w:tplc="87BA9312">
      <w:start w:val="1"/>
      <w:numFmt w:val="bullet"/>
      <w:lvlText w:val=""/>
      <w:lvlJc w:val="left"/>
      <w:pPr>
        <w:ind w:left="1020" w:hanging="360"/>
      </w:pPr>
      <w:rPr>
        <w:rFonts w:ascii="Symbol" w:hAnsi="Symbol"/>
      </w:rPr>
    </w:lvl>
    <w:lvl w:ilvl="2" w:tplc="B8DC65A4">
      <w:start w:val="1"/>
      <w:numFmt w:val="bullet"/>
      <w:lvlText w:val=""/>
      <w:lvlJc w:val="left"/>
      <w:pPr>
        <w:ind w:left="1020" w:hanging="360"/>
      </w:pPr>
      <w:rPr>
        <w:rFonts w:ascii="Symbol" w:hAnsi="Symbol"/>
      </w:rPr>
    </w:lvl>
    <w:lvl w:ilvl="3" w:tplc="D18220F6">
      <w:start w:val="1"/>
      <w:numFmt w:val="bullet"/>
      <w:lvlText w:val=""/>
      <w:lvlJc w:val="left"/>
      <w:pPr>
        <w:ind w:left="1020" w:hanging="360"/>
      </w:pPr>
      <w:rPr>
        <w:rFonts w:ascii="Symbol" w:hAnsi="Symbol"/>
      </w:rPr>
    </w:lvl>
    <w:lvl w:ilvl="4" w:tplc="06E024F4">
      <w:start w:val="1"/>
      <w:numFmt w:val="bullet"/>
      <w:lvlText w:val=""/>
      <w:lvlJc w:val="left"/>
      <w:pPr>
        <w:ind w:left="1020" w:hanging="360"/>
      </w:pPr>
      <w:rPr>
        <w:rFonts w:ascii="Symbol" w:hAnsi="Symbol"/>
      </w:rPr>
    </w:lvl>
    <w:lvl w:ilvl="5" w:tplc="0FF8FCC4">
      <w:start w:val="1"/>
      <w:numFmt w:val="bullet"/>
      <w:lvlText w:val=""/>
      <w:lvlJc w:val="left"/>
      <w:pPr>
        <w:ind w:left="1020" w:hanging="360"/>
      </w:pPr>
      <w:rPr>
        <w:rFonts w:ascii="Symbol" w:hAnsi="Symbol"/>
      </w:rPr>
    </w:lvl>
    <w:lvl w:ilvl="6" w:tplc="756C5588">
      <w:start w:val="1"/>
      <w:numFmt w:val="bullet"/>
      <w:lvlText w:val=""/>
      <w:lvlJc w:val="left"/>
      <w:pPr>
        <w:ind w:left="1020" w:hanging="360"/>
      </w:pPr>
      <w:rPr>
        <w:rFonts w:ascii="Symbol" w:hAnsi="Symbol"/>
      </w:rPr>
    </w:lvl>
    <w:lvl w:ilvl="7" w:tplc="ADD079C0">
      <w:start w:val="1"/>
      <w:numFmt w:val="bullet"/>
      <w:lvlText w:val=""/>
      <w:lvlJc w:val="left"/>
      <w:pPr>
        <w:ind w:left="1020" w:hanging="360"/>
      </w:pPr>
      <w:rPr>
        <w:rFonts w:ascii="Symbol" w:hAnsi="Symbol"/>
      </w:rPr>
    </w:lvl>
    <w:lvl w:ilvl="8" w:tplc="32428F34">
      <w:start w:val="1"/>
      <w:numFmt w:val="bullet"/>
      <w:lvlText w:val=""/>
      <w:lvlJc w:val="left"/>
      <w:pPr>
        <w:ind w:left="1020" w:hanging="360"/>
      </w:pPr>
      <w:rPr>
        <w:rFonts w:ascii="Symbol" w:hAnsi="Symbol"/>
      </w:rPr>
    </w:lvl>
  </w:abstractNum>
  <w:abstractNum w:abstractNumId="2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9" w15:restartNumberingAfterBreak="0">
    <w:nsid w:val="68B8280C"/>
    <w:multiLevelType w:val="hybridMultilevel"/>
    <w:tmpl w:val="094C2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D46D13"/>
    <w:multiLevelType w:val="hybridMultilevel"/>
    <w:tmpl w:val="8858F9CE"/>
    <w:lvl w:ilvl="0" w:tplc="2042E8D4">
      <w:start w:val="1"/>
      <w:numFmt w:val="bullet"/>
      <w:lvlText w:val=""/>
      <w:lvlJc w:val="left"/>
      <w:pPr>
        <w:ind w:left="1080" w:hanging="360"/>
      </w:pPr>
      <w:rPr>
        <w:rFonts w:ascii="Symbol" w:hAnsi="Symbol"/>
      </w:rPr>
    </w:lvl>
    <w:lvl w:ilvl="1" w:tplc="CE0895D6">
      <w:start w:val="1"/>
      <w:numFmt w:val="bullet"/>
      <w:lvlText w:val=""/>
      <w:lvlJc w:val="left"/>
      <w:pPr>
        <w:ind w:left="1080" w:hanging="360"/>
      </w:pPr>
      <w:rPr>
        <w:rFonts w:ascii="Symbol" w:hAnsi="Symbol"/>
      </w:rPr>
    </w:lvl>
    <w:lvl w:ilvl="2" w:tplc="D15C3D0E">
      <w:start w:val="1"/>
      <w:numFmt w:val="bullet"/>
      <w:lvlText w:val=""/>
      <w:lvlJc w:val="left"/>
      <w:pPr>
        <w:ind w:left="1080" w:hanging="360"/>
      </w:pPr>
      <w:rPr>
        <w:rFonts w:ascii="Symbol" w:hAnsi="Symbol"/>
      </w:rPr>
    </w:lvl>
    <w:lvl w:ilvl="3" w:tplc="A336EB26">
      <w:start w:val="1"/>
      <w:numFmt w:val="bullet"/>
      <w:lvlText w:val=""/>
      <w:lvlJc w:val="left"/>
      <w:pPr>
        <w:ind w:left="1080" w:hanging="360"/>
      </w:pPr>
      <w:rPr>
        <w:rFonts w:ascii="Symbol" w:hAnsi="Symbol"/>
      </w:rPr>
    </w:lvl>
    <w:lvl w:ilvl="4" w:tplc="9D649316">
      <w:start w:val="1"/>
      <w:numFmt w:val="bullet"/>
      <w:lvlText w:val=""/>
      <w:lvlJc w:val="left"/>
      <w:pPr>
        <w:ind w:left="1080" w:hanging="360"/>
      </w:pPr>
      <w:rPr>
        <w:rFonts w:ascii="Symbol" w:hAnsi="Symbol"/>
      </w:rPr>
    </w:lvl>
    <w:lvl w:ilvl="5" w:tplc="5C0A63AE">
      <w:start w:val="1"/>
      <w:numFmt w:val="bullet"/>
      <w:lvlText w:val=""/>
      <w:lvlJc w:val="left"/>
      <w:pPr>
        <w:ind w:left="1080" w:hanging="360"/>
      </w:pPr>
      <w:rPr>
        <w:rFonts w:ascii="Symbol" w:hAnsi="Symbol"/>
      </w:rPr>
    </w:lvl>
    <w:lvl w:ilvl="6" w:tplc="74E262AE">
      <w:start w:val="1"/>
      <w:numFmt w:val="bullet"/>
      <w:lvlText w:val=""/>
      <w:lvlJc w:val="left"/>
      <w:pPr>
        <w:ind w:left="1080" w:hanging="360"/>
      </w:pPr>
      <w:rPr>
        <w:rFonts w:ascii="Symbol" w:hAnsi="Symbol"/>
      </w:rPr>
    </w:lvl>
    <w:lvl w:ilvl="7" w:tplc="47CA9C18">
      <w:start w:val="1"/>
      <w:numFmt w:val="bullet"/>
      <w:lvlText w:val=""/>
      <w:lvlJc w:val="left"/>
      <w:pPr>
        <w:ind w:left="1080" w:hanging="360"/>
      </w:pPr>
      <w:rPr>
        <w:rFonts w:ascii="Symbol" w:hAnsi="Symbol"/>
      </w:rPr>
    </w:lvl>
    <w:lvl w:ilvl="8" w:tplc="DD7C9588">
      <w:start w:val="1"/>
      <w:numFmt w:val="bullet"/>
      <w:lvlText w:val=""/>
      <w:lvlJc w:val="left"/>
      <w:pPr>
        <w:ind w:left="1080" w:hanging="360"/>
      </w:pPr>
      <w:rPr>
        <w:rFonts w:ascii="Symbol" w:hAnsi="Symbol"/>
      </w:rPr>
    </w:lvl>
  </w:abstractNum>
  <w:abstractNum w:abstractNumId="31" w15:restartNumberingAfterBreak="0">
    <w:nsid w:val="70FC4E0F"/>
    <w:multiLevelType w:val="hybridMultilevel"/>
    <w:tmpl w:val="C820EEA8"/>
    <w:lvl w:ilvl="0" w:tplc="6CBCC1BE">
      <w:start w:val="1"/>
      <w:numFmt w:val="bullet"/>
      <w:lvlText w:val=""/>
      <w:lvlJc w:val="left"/>
      <w:pPr>
        <w:ind w:left="1440" w:hanging="360"/>
      </w:pPr>
      <w:rPr>
        <w:rFonts w:ascii="Symbol" w:hAnsi="Symbol"/>
      </w:rPr>
    </w:lvl>
    <w:lvl w:ilvl="1" w:tplc="32CE972C">
      <w:start w:val="1"/>
      <w:numFmt w:val="bullet"/>
      <w:lvlText w:val=""/>
      <w:lvlJc w:val="left"/>
      <w:pPr>
        <w:ind w:left="1440" w:hanging="360"/>
      </w:pPr>
      <w:rPr>
        <w:rFonts w:ascii="Symbol" w:hAnsi="Symbol"/>
      </w:rPr>
    </w:lvl>
    <w:lvl w:ilvl="2" w:tplc="E25A146A">
      <w:start w:val="1"/>
      <w:numFmt w:val="bullet"/>
      <w:lvlText w:val=""/>
      <w:lvlJc w:val="left"/>
      <w:pPr>
        <w:ind w:left="1440" w:hanging="360"/>
      </w:pPr>
      <w:rPr>
        <w:rFonts w:ascii="Symbol" w:hAnsi="Symbol"/>
      </w:rPr>
    </w:lvl>
    <w:lvl w:ilvl="3" w:tplc="62D4E3AE">
      <w:start w:val="1"/>
      <w:numFmt w:val="bullet"/>
      <w:lvlText w:val=""/>
      <w:lvlJc w:val="left"/>
      <w:pPr>
        <w:ind w:left="1440" w:hanging="360"/>
      </w:pPr>
      <w:rPr>
        <w:rFonts w:ascii="Symbol" w:hAnsi="Symbol"/>
      </w:rPr>
    </w:lvl>
    <w:lvl w:ilvl="4" w:tplc="1C9E4D10">
      <w:start w:val="1"/>
      <w:numFmt w:val="bullet"/>
      <w:lvlText w:val=""/>
      <w:lvlJc w:val="left"/>
      <w:pPr>
        <w:ind w:left="1440" w:hanging="360"/>
      </w:pPr>
      <w:rPr>
        <w:rFonts w:ascii="Symbol" w:hAnsi="Symbol"/>
      </w:rPr>
    </w:lvl>
    <w:lvl w:ilvl="5" w:tplc="C2722510">
      <w:start w:val="1"/>
      <w:numFmt w:val="bullet"/>
      <w:lvlText w:val=""/>
      <w:lvlJc w:val="left"/>
      <w:pPr>
        <w:ind w:left="1440" w:hanging="360"/>
      </w:pPr>
      <w:rPr>
        <w:rFonts w:ascii="Symbol" w:hAnsi="Symbol"/>
      </w:rPr>
    </w:lvl>
    <w:lvl w:ilvl="6" w:tplc="32544AE2">
      <w:start w:val="1"/>
      <w:numFmt w:val="bullet"/>
      <w:lvlText w:val=""/>
      <w:lvlJc w:val="left"/>
      <w:pPr>
        <w:ind w:left="1440" w:hanging="360"/>
      </w:pPr>
      <w:rPr>
        <w:rFonts w:ascii="Symbol" w:hAnsi="Symbol"/>
      </w:rPr>
    </w:lvl>
    <w:lvl w:ilvl="7" w:tplc="33A0E8C0">
      <w:start w:val="1"/>
      <w:numFmt w:val="bullet"/>
      <w:lvlText w:val=""/>
      <w:lvlJc w:val="left"/>
      <w:pPr>
        <w:ind w:left="1440" w:hanging="360"/>
      </w:pPr>
      <w:rPr>
        <w:rFonts w:ascii="Symbol" w:hAnsi="Symbol"/>
      </w:rPr>
    </w:lvl>
    <w:lvl w:ilvl="8" w:tplc="AB4E4E6A">
      <w:start w:val="1"/>
      <w:numFmt w:val="bullet"/>
      <w:lvlText w:val=""/>
      <w:lvlJc w:val="left"/>
      <w:pPr>
        <w:ind w:left="1440" w:hanging="360"/>
      </w:pPr>
      <w:rPr>
        <w:rFonts w:ascii="Symbol" w:hAnsi="Symbol"/>
      </w:rPr>
    </w:lvl>
  </w:abstractNum>
  <w:abstractNum w:abstractNumId="32" w15:restartNumberingAfterBreak="0">
    <w:nsid w:val="761B4A1B"/>
    <w:multiLevelType w:val="multilevel"/>
    <w:tmpl w:val="4F48000A"/>
    <w:numStyleLink w:val="Alphalist"/>
  </w:abstractNum>
  <w:abstractNum w:abstractNumId="33" w15:restartNumberingAfterBreak="0">
    <w:nsid w:val="77E14792"/>
    <w:multiLevelType w:val="hybridMultilevel"/>
    <w:tmpl w:val="F5F8EF8A"/>
    <w:lvl w:ilvl="0" w:tplc="2F22A700">
      <w:start w:val="1"/>
      <w:numFmt w:val="decimal"/>
      <w:lvlText w:val="%1)"/>
      <w:lvlJc w:val="left"/>
      <w:pPr>
        <w:ind w:left="1020" w:hanging="360"/>
      </w:pPr>
    </w:lvl>
    <w:lvl w:ilvl="1" w:tplc="16B0C1D6">
      <w:start w:val="1"/>
      <w:numFmt w:val="decimal"/>
      <w:lvlText w:val="%2)"/>
      <w:lvlJc w:val="left"/>
      <w:pPr>
        <w:ind w:left="1020" w:hanging="360"/>
      </w:pPr>
    </w:lvl>
    <w:lvl w:ilvl="2" w:tplc="E004BA36">
      <w:start w:val="1"/>
      <w:numFmt w:val="decimal"/>
      <w:lvlText w:val="%3)"/>
      <w:lvlJc w:val="left"/>
      <w:pPr>
        <w:ind w:left="1020" w:hanging="360"/>
      </w:pPr>
    </w:lvl>
    <w:lvl w:ilvl="3" w:tplc="1F207C1A">
      <w:start w:val="1"/>
      <w:numFmt w:val="decimal"/>
      <w:lvlText w:val="%4)"/>
      <w:lvlJc w:val="left"/>
      <w:pPr>
        <w:ind w:left="1020" w:hanging="360"/>
      </w:pPr>
    </w:lvl>
    <w:lvl w:ilvl="4" w:tplc="82C4356A">
      <w:start w:val="1"/>
      <w:numFmt w:val="decimal"/>
      <w:lvlText w:val="%5)"/>
      <w:lvlJc w:val="left"/>
      <w:pPr>
        <w:ind w:left="1020" w:hanging="360"/>
      </w:pPr>
    </w:lvl>
    <w:lvl w:ilvl="5" w:tplc="740A0A68">
      <w:start w:val="1"/>
      <w:numFmt w:val="decimal"/>
      <w:lvlText w:val="%6)"/>
      <w:lvlJc w:val="left"/>
      <w:pPr>
        <w:ind w:left="1020" w:hanging="360"/>
      </w:pPr>
    </w:lvl>
    <w:lvl w:ilvl="6" w:tplc="B8BC8F06">
      <w:start w:val="1"/>
      <w:numFmt w:val="decimal"/>
      <w:lvlText w:val="%7)"/>
      <w:lvlJc w:val="left"/>
      <w:pPr>
        <w:ind w:left="1020" w:hanging="360"/>
      </w:pPr>
    </w:lvl>
    <w:lvl w:ilvl="7" w:tplc="6B306838">
      <w:start w:val="1"/>
      <w:numFmt w:val="decimal"/>
      <w:lvlText w:val="%8)"/>
      <w:lvlJc w:val="left"/>
      <w:pPr>
        <w:ind w:left="1020" w:hanging="360"/>
      </w:pPr>
    </w:lvl>
    <w:lvl w:ilvl="8" w:tplc="C20CE1D4">
      <w:start w:val="1"/>
      <w:numFmt w:val="decimal"/>
      <w:lvlText w:val="%9)"/>
      <w:lvlJc w:val="left"/>
      <w:pPr>
        <w:ind w:left="1020" w:hanging="360"/>
      </w:pPr>
    </w:lvl>
  </w:abstractNum>
  <w:abstractNum w:abstractNumId="34" w15:restartNumberingAfterBreak="0">
    <w:nsid w:val="793B1978"/>
    <w:multiLevelType w:val="hybridMultilevel"/>
    <w:tmpl w:val="69207D16"/>
    <w:lvl w:ilvl="0" w:tplc="5C14DE46">
      <w:start w:val="1"/>
      <w:numFmt w:val="bullet"/>
      <w:lvlText w:val=""/>
      <w:lvlJc w:val="left"/>
      <w:pPr>
        <w:ind w:left="720" w:hanging="360"/>
      </w:pPr>
      <w:rPr>
        <w:rFonts w:ascii="Symbol" w:hAnsi="Symbol"/>
      </w:rPr>
    </w:lvl>
    <w:lvl w:ilvl="1" w:tplc="9E743DC0">
      <w:start w:val="1"/>
      <w:numFmt w:val="bullet"/>
      <w:lvlText w:val=""/>
      <w:lvlJc w:val="left"/>
      <w:pPr>
        <w:ind w:left="720" w:hanging="360"/>
      </w:pPr>
      <w:rPr>
        <w:rFonts w:ascii="Symbol" w:hAnsi="Symbol"/>
      </w:rPr>
    </w:lvl>
    <w:lvl w:ilvl="2" w:tplc="8132EAFC">
      <w:start w:val="1"/>
      <w:numFmt w:val="bullet"/>
      <w:lvlText w:val=""/>
      <w:lvlJc w:val="left"/>
      <w:pPr>
        <w:ind w:left="720" w:hanging="360"/>
      </w:pPr>
      <w:rPr>
        <w:rFonts w:ascii="Symbol" w:hAnsi="Symbol"/>
      </w:rPr>
    </w:lvl>
    <w:lvl w:ilvl="3" w:tplc="581489AE">
      <w:start w:val="1"/>
      <w:numFmt w:val="bullet"/>
      <w:lvlText w:val=""/>
      <w:lvlJc w:val="left"/>
      <w:pPr>
        <w:ind w:left="720" w:hanging="360"/>
      </w:pPr>
      <w:rPr>
        <w:rFonts w:ascii="Symbol" w:hAnsi="Symbol"/>
      </w:rPr>
    </w:lvl>
    <w:lvl w:ilvl="4" w:tplc="54362C3A">
      <w:start w:val="1"/>
      <w:numFmt w:val="bullet"/>
      <w:lvlText w:val=""/>
      <w:lvlJc w:val="left"/>
      <w:pPr>
        <w:ind w:left="720" w:hanging="360"/>
      </w:pPr>
      <w:rPr>
        <w:rFonts w:ascii="Symbol" w:hAnsi="Symbol"/>
      </w:rPr>
    </w:lvl>
    <w:lvl w:ilvl="5" w:tplc="F42CFE0E">
      <w:start w:val="1"/>
      <w:numFmt w:val="bullet"/>
      <w:lvlText w:val=""/>
      <w:lvlJc w:val="left"/>
      <w:pPr>
        <w:ind w:left="720" w:hanging="360"/>
      </w:pPr>
      <w:rPr>
        <w:rFonts w:ascii="Symbol" w:hAnsi="Symbol"/>
      </w:rPr>
    </w:lvl>
    <w:lvl w:ilvl="6" w:tplc="0DE2174E">
      <w:start w:val="1"/>
      <w:numFmt w:val="bullet"/>
      <w:lvlText w:val=""/>
      <w:lvlJc w:val="left"/>
      <w:pPr>
        <w:ind w:left="720" w:hanging="360"/>
      </w:pPr>
      <w:rPr>
        <w:rFonts w:ascii="Symbol" w:hAnsi="Symbol"/>
      </w:rPr>
    </w:lvl>
    <w:lvl w:ilvl="7" w:tplc="6B365B52">
      <w:start w:val="1"/>
      <w:numFmt w:val="bullet"/>
      <w:lvlText w:val=""/>
      <w:lvlJc w:val="left"/>
      <w:pPr>
        <w:ind w:left="720" w:hanging="360"/>
      </w:pPr>
      <w:rPr>
        <w:rFonts w:ascii="Symbol" w:hAnsi="Symbol"/>
      </w:rPr>
    </w:lvl>
    <w:lvl w:ilvl="8" w:tplc="F20A1834">
      <w:start w:val="1"/>
      <w:numFmt w:val="bullet"/>
      <w:lvlText w:val=""/>
      <w:lvlJc w:val="left"/>
      <w:pPr>
        <w:ind w:left="720" w:hanging="360"/>
      </w:pPr>
      <w:rPr>
        <w:rFonts w:ascii="Symbol" w:hAnsi="Symbol"/>
      </w:rPr>
    </w:lvl>
  </w:abstractNum>
  <w:abstractNum w:abstractNumId="35" w15:restartNumberingAfterBreak="0">
    <w:nsid w:val="7F5C4F34"/>
    <w:multiLevelType w:val="hybridMultilevel"/>
    <w:tmpl w:val="7C822570"/>
    <w:lvl w:ilvl="0" w:tplc="9B069D44">
      <w:start w:val="1"/>
      <w:numFmt w:val="bullet"/>
      <w:lvlText w:val=""/>
      <w:lvlJc w:val="left"/>
      <w:pPr>
        <w:ind w:left="1440" w:hanging="360"/>
      </w:pPr>
      <w:rPr>
        <w:rFonts w:ascii="Symbol" w:hAnsi="Symbol"/>
      </w:rPr>
    </w:lvl>
    <w:lvl w:ilvl="1" w:tplc="E9087504">
      <w:start w:val="1"/>
      <w:numFmt w:val="bullet"/>
      <w:lvlText w:val=""/>
      <w:lvlJc w:val="left"/>
      <w:pPr>
        <w:ind w:left="1440" w:hanging="360"/>
      </w:pPr>
      <w:rPr>
        <w:rFonts w:ascii="Symbol" w:hAnsi="Symbol"/>
      </w:rPr>
    </w:lvl>
    <w:lvl w:ilvl="2" w:tplc="78EEA534">
      <w:start w:val="1"/>
      <w:numFmt w:val="bullet"/>
      <w:lvlText w:val=""/>
      <w:lvlJc w:val="left"/>
      <w:pPr>
        <w:ind w:left="1440" w:hanging="360"/>
      </w:pPr>
      <w:rPr>
        <w:rFonts w:ascii="Symbol" w:hAnsi="Symbol"/>
      </w:rPr>
    </w:lvl>
    <w:lvl w:ilvl="3" w:tplc="24FE942A">
      <w:start w:val="1"/>
      <w:numFmt w:val="bullet"/>
      <w:lvlText w:val=""/>
      <w:lvlJc w:val="left"/>
      <w:pPr>
        <w:ind w:left="1440" w:hanging="360"/>
      </w:pPr>
      <w:rPr>
        <w:rFonts w:ascii="Symbol" w:hAnsi="Symbol"/>
      </w:rPr>
    </w:lvl>
    <w:lvl w:ilvl="4" w:tplc="8012DA26">
      <w:start w:val="1"/>
      <w:numFmt w:val="bullet"/>
      <w:lvlText w:val=""/>
      <w:lvlJc w:val="left"/>
      <w:pPr>
        <w:ind w:left="1440" w:hanging="360"/>
      </w:pPr>
      <w:rPr>
        <w:rFonts w:ascii="Symbol" w:hAnsi="Symbol"/>
      </w:rPr>
    </w:lvl>
    <w:lvl w:ilvl="5" w:tplc="9CACE6BC">
      <w:start w:val="1"/>
      <w:numFmt w:val="bullet"/>
      <w:lvlText w:val=""/>
      <w:lvlJc w:val="left"/>
      <w:pPr>
        <w:ind w:left="1440" w:hanging="360"/>
      </w:pPr>
      <w:rPr>
        <w:rFonts w:ascii="Symbol" w:hAnsi="Symbol"/>
      </w:rPr>
    </w:lvl>
    <w:lvl w:ilvl="6" w:tplc="771026C2">
      <w:start w:val="1"/>
      <w:numFmt w:val="bullet"/>
      <w:lvlText w:val=""/>
      <w:lvlJc w:val="left"/>
      <w:pPr>
        <w:ind w:left="1440" w:hanging="360"/>
      </w:pPr>
      <w:rPr>
        <w:rFonts w:ascii="Symbol" w:hAnsi="Symbol"/>
      </w:rPr>
    </w:lvl>
    <w:lvl w:ilvl="7" w:tplc="26B8E99C">
      <w:start w:val="1"/>
      <w:numFmt w:val="bullet"/>
      <w:lvlText w:val=""/>
      <w:lvlJc w:val="left"/>
      <w:pPr>
        <w:ind w:left="1440" w:hanging="360"/>
      </w:pPr>
      <w:rPr>
        <w:rFonts w:ascii="Symbol" w:hAnsi="Symbol"/>
      </w:rPr>
    </w:lvl>
    <w:lvl w:ilvl="8" w:tplc="8654E840">
      <w:start w:val="1"/>
      <w:numFmt w:val="bullet"/>
      <w:lvlText w:val=""/>
      <w:lvlJc w:val="left"/>
      <w:pPr>
        <w:ind w:left="1440" w:hanging="360"/>
      </w:pPr>
      <w:rPr>
        <w:rFonts w:ascii="Symbol" w:hAnsi="Symbol"/>
      </w:rPr>
    </w:lvl>
  </w:abstractNum>
  <w:num w:numId="1" w16cid:durableId="1835417846">
    <w:abstractNumId w:val="12"/>
  </w:num>
  <w:num w:numId="2" w16cid:durableId="1519077027">
    <w:abstractNumId w:val="6"/>
  </w:num>
  <w:num w:numId="3" w16cid:durableId="1468549479">
    <w:abstractNumId w:val="16"/>
  </w:num>
  <w:num w:numId="4" w16cid:durableId="915166386">
    <w:abstractNumId w:val="27"/>
  </w:num>
  <w:num w:numId="5" w16cid:durableId="1510681289">
    <w:abstractNumId w:val="28"/>
  </w:num>
  <w:num w:numId="6" w16cid:durableId="912081833">
    <w:abstractNumId w:val="24"/>
  </w:num>
  <w:num w:numId="7" w16cid:durableId="2023432934">
    <w:abstractNumId w:val="19"/>
  </w:num>
  <w:num w:numId="8" w16cid:durableId="192770611">
    <w:abstractNumId w:val="13"/>
  </w:num>
  <w:num w:numId="9" w16cid:durableId="485167421">
    <w:abstractNumId w:val="18"/>
  </w:num>
  <w:num w:numId="10" w16cid:durableId="775756382">
    <w:abstractNumId w:val="32"/>
  </w:num>
  <w:num w:numId="11" w16cid:durableId="1975406722">
    <w:abstractNumId w:val="0"/>
  </w:num>
  <w:num w:numId="12" w16cid:durableId="2055227720">
    <w:abstractNumId w:val="7"/>
  </w:num>
  <w:num w:numId="13" w16cid:durableId="432627348">
    <w:abstractNumId w:val="14"/>
  </w:num>
  <w:num w:numId="14" w16cid:durableId="1889947188">
    <w:abstractNumId w:val="9"/>
  </w:num>
  <w:num w:numId="15" w16cid:durableId="818545292">
    <w:abstractNumId w:val="5"/>
  </w:num>
  <w:num w:numId="16" w16cid:durableId="561333589">
    <w:abstractNumId w:val="21"/>
  </w:num>
  <w:num w:numId="17" w16cid:durableId="1801874209">
    <w:abstractNumId w:val="8"/>
  </w:num>
  <w:num w:numId="18" w16cid:durableId="536772173">
    <w:abstractNumId w:val="2"/>
  </w:num>
  <w:num w:numId="19" w16cid:durableId="272249157">
    <w:abstractNumId w:val="10"/>
  </w:num>
  <w:num w:numId="20" w16cid:durableId="1929649778">
    <w:abstractNumId w:val="11"/>
  </w:num>
  <w:num w:numId="21" w16cid:durableId="1388725489">
    <w:abstractNumId w:val="31"/>
  </w:num>
  <w:num w:numId="22" w16cid:durableId="274798303">
    <w:abstractNumId w:val="4"/>
  </w:num>
  <w:num w:numId="23" w16cid:durableId="2037611562">
    <w:abstractNumId w:val="3"/>
  </w:num>
  <w:num w:numId="24" w16cid:durableId="85349313">
    <w:abstractNumId w:val="22"/>
  </w:num>
  <w:num w:numId="25" w16cid:durableId="930699681">
    <w:abstractNumId w:val="25"/>
  </w:num>
  <w:num w:numId="26" w16cid:durableId="354306108">
    <w:abstractNumId w:val="30"/>
  </w:num>
  <w:num w:numId="27" w16cid:durableId="391588526">
    <w:abstractNumId w:val="26"/>
  </w:num>
  <w:num w:numId="28" w16cid:durableId="1638991891">
    <w:abstractNumId w:val="29"/>
  </w:num>
  <w:num w:numId="29" w16cid:durableId="2012295867">
    <w:abstractNumId w:val="2"/>
  </w:num>
  <w:num w:numId="30" w16cid:durableId="181864635">
    <w:abstractNumId w:val="1"/>
  </w:num>
  <w:num w:numId="31" w16cid:durableId="1479615881">
    <w:abstractNumId w:val="15"/>
  </w:num>
  <w:num w:numId="32" w16cid:durableId="1934900031">
    <w:abstractNumId w:val="23"/>
  </w:num>
  <w:num w:numId="33" w16cid:durableId="499656731">
    <w:abstractNumId w:val="2"/>
  </w:num>
  <w:num w:numId="34" w16cid:durableId="90663027">
    <w:abstractNumId w:val="33"/>
  </w:num>
  <w:num w:numId="35" w16cid:durableId="1148285608">
    <w:abstractNumId w:val="2"/>
  </w:num>
  <w:num w:numId="36" w16cid:durableId="1477189493">
    <w:abstractNumId w:val="20"/>
  </w:num>
  <w:num w:numId="37" w16cid:durableId="431710611">
    <w:abstractNumId w:val="17"/>
  </w:num>
  <w:num w:numId="38" w16cid:durableId="1368489332">
    <w:abstractNumId w:val="35"/>
  </w:num>
  <w:num w:numId="39" w16cid:durableId="1983802888">
    <w:abstractNumId w:val="34"/>
  </w:num>
  <w:num w:numId="40" w16cid:durableId="496114231">
    <w:abstractNumId w:val="2"/>
  </w:num>
  <w:num w:numId="41" w16cid:durableId="1366636845">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50"/>
    <w:rsid w:val="00000075"/>
    <w:rsid w:val="00000106"/>
    <w:rsid w:val="00000313"/>
    <w:rsid w:val="00000325"/>
    <w:rsid w:val="0000039B"/>
    <w:rsid w:val="00000648"/>
    <w:rsid w:val="00000751"/>
    <w:rsid w:val="000007BD"/>
    <w:rsid w:val="00000809"/>
    <w:rsid w:val="00000826"/>
    <w:rsid w:val="00000977"/>
    <w:rsid w:val="000009A6"/>
    <w:rsid w:val="00000AAE"/>
    <w:rsid w:val="00000B28"/>
    <w:rsid w:val="00000CBB"/>
    <w:rsid w:val="00000CCA"/>
    <w:rsid w:val="00000D95"/>
    <w:rsid w:val="00000DFB"/>
    <w:rsid w:val="00000E47"/>
    <w:rsid w:val="00000E81"/>
    <w:rsid w:val="00000F3C"/>
    <w:rsid w:val="00000FC7"/>
    <w:rsid w:val="00001061"/>
    <w:rsid w:val="0000108A"/>
    <w:rsid w:val="00001257"/>
    <w:rsid w:val="00001357"/>
    <w:rsid w:val="000013BB"/>
    <w:rsid w:val="0000148B"/>
    <w:rsid w:val="000016D1"/>
    <w:rsid w:val="000018AC"/>
    <w:rsid w:val="000018BB"/>
    <w:rsid w:val="0000197D"/>
    <w:rsid w:val="000019E9"/>
    <w:rsid w:val="00001A5B"/>
    <w:rsid w:val="00001BBD"/>
    <w:rsid w:val="00001CCE"/>
    <w:rsid w:val="00001D4E"/>
    <w:rsid w:val="00001FA0"/>
    <w:rsid w:val="00002222"/>
    <w:rsid w:val="00002274"/>
    <w:rsid w:val="00002284"/>
    <w:rsid w:val="0000229C"/>
    <w:rsid w:val="000022B8"/>
    <w:rsid w:val="000023EE"/>
    <w:rsid w:val="00002431"/>
    <w:rsid w:val="00002497"/>
    <w:rsid w:val="00002502"/>
    <w:rsid w:val="00002876"/>
    <w:rsid w:val="00002979"/>
    <w:rsid w:val="00002AB3"/>
    <w:rsid w:val="00002AF1"/>
    <w:rsid w:val="00002BA6"/>
    <w:rsid w:val="00002E57"/>
    <w:rsid w:val="00002F18"/>
    <w:rsid w:val="00003065"/>
    <w:rsid w:val="00003135"/>
    <w:rsid w:val="00003180"/>
    <w:rsid w:val="000032EB"/>
    <w:rsid w:val="00003357"/>
    <w:rsid w:val="00003551"/>
    <w:rsid w:val="0000358A"/>
    <w:rsid w:val="000035CE"/>
    <w:rsid w:val="00003734"/>
    <w:rsid w:val="00003859"/>
    <w:rsid w:val="0000394D"/>
    <w:rsid w:val="00003A09"/>
    <w:rsid w:val="00003AF9"/>
    <w:rsid w:val="00003B88"/>
    <w:rsid w:val="00003CDC"/>
    <w:rsid w:val="00003E10"/>
    <w:rsid w:val="00003E46"/>
    <w:rsid w:val="00003EAF"/>
    <w:rsid w:val="00003EEA"/>
    <w:rsid w:val="00003F9B"/>
    <w:rsid w:val="0000421C"/>
    <w:rsid w:val="00004489"/>
    <w:rsid w:val="00004588"/>
    <w:rsid w:val="00004636"/>
    <w:rsid w:val="00004890"/>
    <w:rsid w:val="00004990"/>
    <w:rsid w:val="00004AE3"/>
    <w:rsid w:val="00004D8A"/>
    <w:rsid w:val="00004DDE"/>
    <w:rsid w:val="00004E82"/>
    <w:rsid w:val="00004ED7"/>
    <w:rsid w:val="000052A8"/>
    <w:rsid w:val="000052C5"/>
    <w:rsid w:val="0000533F"/>
    <w:rsid w:val="000053AA"/>
    <w:rsid w:val="0000545A"/>
    <w:rsid w:val="000054F0"/>
    <w:rsid w:val="0000553F"/>
    <w:rsid w:val="00005679"/>
    <w:rsid w:val="000057CE"/>
    <w:rsid w:val="000057DA"/>
    <w:rsid w:val="00005852"/>
    <w:rsid w:val="00005912"/>
    <w:rsid w:val="0000599D"/>
    <w:rsid w:val="00005B19"/>
    <w:rsid w:val="00005B1D"/>
    <w:rsid w:val="00005B59"/>
    <w:rsid w:val="00005C18"/>
    <w:rsid w:val="00005C33"/>
    <w:rsid w:val="00005C60"/>
    <w:rsid w:val="00005C79"/>
    <w:rsid w:val="00005C85"/>
    <w:rsid w:val="00005CD4"/>
    <w:rsid w:val="00005D82"/>
    <w:rsid w:val="00005DDC"/>
    <w:rsid w:val="00005FFD"/>
    <w:rsid w:val="0000601D"/>
    <w:rsid w:val="000061AF"/>
    <w:rsid w:val="000062A8"/>
    <w:rsid w:val="00006328"/>
    <w:rsid w:val="00006379"/>
    <w:rsid w:val="0000649C"/>
    <w:rsid w:val="00006570"/>
    <w:rsid w:val="0000674B"/>
    <w:rsid w:val="00006811"/>
    <w:rsid w:val="00006887"/>
    <w:rsid w:val="00006945"/>
    <w:rsid w:val="000069DF"/>
    <w:rsid w:val="00006A00"/>
    <w:rsid w:val="00006C4E"/>
    <w:rsid w:val="00006C7A"/>
    <w:rsid w:val="00006CDE"/>
    <w:rsid w:val="00006D63"/>
    <w:rsid w:val="00006D97"/>
    <w:rsid w:val="00007143"/>
    <w:rsid w:val="00007210"/>
    <w:rsid w:val="00007252"/>
    <w:rsid w:val="000073B2"/>
    <w:rsid w:val="00007419"/>
    <w:rsid w:val="000075A8"/>
    <w:rsid w:val="00007715"/>
    <w:rsid w:val="0000791E"/>
    <w:rsid w:val="0000799B"/>
    <w:rsid w:val="00007A19"/>
    <w:rsid w:val="00007CA5"/>
    <w:rsid w:val="00007D06"/>
    <w:rsid w:val="00010052"/>
    <w:rsid w:val="0001007C"/>
    <w:rsid w:val="000101B2"/>
    <w:rsid w:val="000101E2"/>
    <w:rsid w:val="000102A6"/>
    <w:rsid w:val="0001030C"/>
    <w:rsid w:val="00010457"/>
    <w:rsid w:val="00010483"/>
    <w:rsid w:val="0001057A"/>
    <w:rsid w:val="0001067D"/>
    <w:rsid w:val="000106E7"/>
    <w:rsid w:val="00010722"/>
    <w:rsid w:val="00010A96"/>
    <w:rsid w:val="00010AF1"/>
    <w:rsid w:val="00010B23"/>
    <w:rsid w:val="00010C29"/>
    <w:rsid w:val="00010D42"/>
    <w:rsid w:val="00010D5F"/>
    <w:rsid w:val="00010E0D"/>
    <w:rsid w:val="00010E9F"/>
    <w:rsid w:val="0001102B"/>
    <w:rsid w:val="0001108A"/>
    <w:rsid w:val="00011143"/>
    <w:rsid w:val="00011147"/>
    <w:rsid w:val="00011438"/>
    <w:rsid w:val="00011481"/>
    <w:rsid w:val="000114C9"/>
    <w:rsid w:val="0001157D"/>
    <w:rsid w:val="0001188E"/>
    <w:rsid w:val="00011A86"/>
    <w:rsid w:val="00011B0C"/>
    <w:rsid w:val="00011D36"/>
    <w:rsid w:val="00011D57"/>
    <w:rsid w:val="00011EBE"/>
    <w:rsid w:val="00011EE4"/>
    <w:rsid w:val="00011F45"/>
    <w:rsid w:val="00012055"/>
    <w:rsid w:val="000120D4"/>
    <w:rsid w:val="000122AD"/>
    <w:rsid w:val="000122C9"/>
    <w:rsid w:val="00012404"/>
    <w:rsid w:val="0001240B"/>
    <w:rsid w:val="00012439"/>
    <w:rsid w:val="00012579"/>
    <w:rsid w:val="0001267B"/>
    <w:rsid w:val="000128BA"/>
    <w:rsid w:val="00012A3A"/>
    <w:rsid w:val="00012BE4"/>
    <w:rsid w:val="00012BEE"/>
    <w:rsid w:val="00012BFE"/>
    <w:rsid w:val="00012CB5"/>
    <w:rsid w:val="00012CCE"/>
    <w:rsid w:val="00012D77"/>
    <w:rsid w:val="00012E92"/>
    <w:rsid w:val="00012F14"/>
    <w:rsid w:val="00013065"/>
    <w:rsid w:val="00013212"/>
    <w:rsid w:val="000132D0"/>
    <w:rsid w:val="00013367"/>
    <w:rsid w:val="000133B3"/>
    <w:rsid w:val="000133EA"/>
    <w:rsid w:val="00013459"/>
    <w:rsid w:val="00013577"/>
    <w:rsid w:val="00013897"/>
    <w:rsid w:val="00013A63"/>
    <w:rsid w:val="00013BA0"/>
    <w:rsid w:val="00013CC8"/>
    <w:rsid w:val="00013D10"/>
    <w:rsid w:val="00013D4A"/>
    <w:rsid w:val="00013F88"/>
    <w:rsid w:val="00014067"/>
    <w:rsid w:val="00014071"/>
    <w:rsid w:val="000140F4"/>
    <w:rsid w:val="0001415C"/>
    <w:rsid w:val="00014185"/>
    <w:rsid w:val="00014264"/>
    <w:rsid w:val="00014326"/>
    <w:rsid w:val="000143CC"/>
    <w:rsid w:val="00014641"/>
    <w:rsid w:val="000146AF"/>
    <w:rsid w:val="000146BB"/>
    <w:rsid w:val="0001472D"/>
    <w:rsid w:val="00014A4C"/>
    <w:rsid w:val="00014C8D"/>
    <w:rsid w:val="00014D80"/>
    <w:rsid w:val="00014E8F"/>
    <w:rsid w:val="00014F38"/>
    <w:rsid w:val="00015246"/>
    <w:rsid w:val="00015283"/>
    <w:rsid w:val="00015296"/>
    <w:rsid w:val="00015573"/>
    <w:rsid w:val="000155A7"/>
    <w:rsid w:val="000155BA"/>
    <w:rsid w:val="000155F6"/>
    <w:rsid w:val="00015628"/>
    <w:rsid w:val="00015663"/>
    <w:rsid w:val="00015674"/>
    <w:rsid w:val="000158B2"/>
    <w:rsid w:val="00015948"/>
    <w:rsid w:val="00015B62"/>
    <w:rsid w:val="00015BAC"/>
    <w:rsid w:val="00015DA6"/>
    <w:rsid w:val="00015E5D"/>
    <w:rsid w:val="00015FE3"/>
    <w:rsid w:val="00016042"/>
    <w:rsid w:val="000160DD"/>
    <w:rsid w:val="000163F6"/>
    <w:rsid w:val="000164C7"/>
    <w:rsid w:val="000166AB"/>
    <w:rsid w:val="0001673C"/>
    <w:rsid w:val="00016900"/>
    <w:rsid w:val="00016988"/>
    <w:rsid w:val="00016C42"/>
    <w:rsid w:val="00016E1B"/>
    <w:rsid w:val="00016F85"/>
    <w:rsid w:val="00016FB6"/>
    <w:rsid w:val="00017088"/>
    <w:rsid w:val="0001709B"/>
    <w:rsid w:val="00017216"/>
    <w:rsid w:val="000172E2"/>
    <w:rsid w:val="000172E6"/>
    <w:rsid w:val="0001733E"/>
    <w:rsid w:val="0001746A"/>
    <w:rsid w:val="000174C4"/>
    <w:rsid w:val="00017699"/>
    <w:rsid w:val="0001783E"/>
    <w:rsid w:val="00017938"/>
    <w:rsid w:val="00017A72"/>
    <w:rsid w:val="00017A8B"/>
    <w:rsid w:val="00017ABB"/>
    <w:rsid w:val="00017CC5"/>
    <w:rsid w:val="00017ED8"/>
    <w:rsid w:val="00020219"/>
    <w:rsid w:val="000206A1"/>
    <w:rsid w:val="00020702"/>
    <w:rsid w:val="00020705"/>
    <w:rsid w:val="00020729"/>
    <w:rsid w:val="00020897"/>
    <w:rsid w:val="00020B9C"/>
    <w:rsid w:val="00020C38"/>
    <w:rsid w:val="00020E1F"/>
    <w:rsid w:val="00020E6D"/>
    <w:rsid w:val="00020EA0"/>
    <w:rsid w:val="00020EDB"/>
    <w:rsid w:val="00021191"/>
    <w:rsid w:val="00021212"/>
    <w:rsid w:val="00021305"/>
    <w:rsid w:val="000213ED"/>
    <w:rsid w:val="00021460"/>
    <w:rsid w:val="000215F3"/>
    <w:rsid w:val="000215FC"/>
    <w:rsid w:val="00021735"/>
    <w:rsid w:val="000218E3"/>
    <w:rsid w:val="0002190C"/>
    <w:rsid w:val="000219B1"/>
    <w:rsid w:val="000219DD"/>
    <w:rsid w:val="00021A0B"/>
    <w:rsid w:val="00021AD6"/>
    <w:rsid w:val="00021B35"/>
    <w:rsid w:val="00021B8C"/>
    <w:rsid w:val="00021E42"/>
    <w:rsid w:val="0002203B"/>
    <w:rsid w:val="00022170"/>
    <w:rsid w:val="00022243"/>
    <w:rsid w:val="000222AC"/>
    <w:rsid w:val="00022327"/>
    <w:rsid w:val="000223EB"/>
    <w:rsid w:val="0002274E"/>
    <w:rsid w:val="000227D0"/>
    <w:rsid w:val="00022897"/>
    <w:rsid w:val="000228E4"/>
    <w:rsid w:val="00022A7D"/>
    <w:rsid w:val="00022B05"/>
    <w:rsid w:val="00022C30"/>
    <w:rsid w:val="00022C3E"/>
    <w:rsid w:val="00022D2F"/>
    <w:rsid w:val="00022DA2"/>
    <w:rsid w:val="00022DEB"/>
    <w:rsid w:val="00022E7D"/>
    <w:rsid w:val="00022EED"/>
    <w:rsid w:val="00023049"/>
    <w:rsid w:val="0002313C"/>
    <w:rsid w:val="000231B3"/>
    <w:rsid w:val="000231DF"/>
    <w:rsid w:val="000232ED"/>
    <w:rsid w:val="000233AE"/>
    <w:rsid w:val="0002341E"/>
    <w:rsid w:val="0002347D"/>
    <w:rsid w:val="000234F3"/>
    <w:rsid w:val="00023549"/>
    <w:rsid w:val="00023573"/>
    <w:rsid w:val="00023751"/>
    <w:rsid w:val="00023753"/>
    <w:rsid w:val="000237FA"/>
    <w:rsid w:val="000238E9"/>
    <w:rsid w:val="000238EE"/>
    <w:rsid w:val="00023963"/>
    <w:rsid w:val="00023A5C"/>
    <w:rsid w:val="00023AE3"/>
    <w:rsid w:val="00023CE8"/>
    <w:rsid w:val="00023D1F"/>
    <w:rsid w:val="00023DDB"/>
    <w:rsid w:val="00023E41"/>
    <w:rsid w:val="00023E4E"/>
    <w:rsid w:val="00023EA1"/>
    <w:rsid w:val="00023F5A"/>
    <w:rsid w:val="00024017"/>
    <w:rsid w:val="00024151"/>
    <w:rsid w:val="00024432"/>
    <w:rsid w:val="00024721"/>
    <w:rsid w:val="000248DF"/>
    <w:rsid w:val="00024938"/>
    <w:rsid w:val="00024941"/>
    <w:rsid w:val="00024CC6"/>
    <w:rsid w:val="00024DDC"/>
    <w:rsid w:val="00024DDD"/>
    <w:rsid w:val="00024E00"/>
    <w:rsid w:val="00024E0B"/>
    <w:rsid w:val="00024E7A"/>
    <w:rsid w:val="00025081"/>
    <w:rsid w:val="000250F1"/>
    <w:rsid w:val="00025217"/>
    <w:rsid w:val="00025258"/>
    <w:rsid w:val="00025263"/>
    <w:rsid w:val="000252B9"/>
    <w:rsid w:val="00025337"/>
    <w:rsid w:val="000253F0"/>
    <w:rsid w:val="00025424"/>
    <w:rsid w:val="00025472"/>
    <w:rsid w:val="000254DA"/>
    <w:rsid w:val="00025607"/>
    <w:rsid w:val="00025732"/>
    <w:rsid w:val="00025744"/>
    <w:rsid w:val="0002578B"/>
    <w:rsid w:val="000257C2"/>
    <w:rsid w:val="00025920"/>
    <w:rsid w:val="00025B11"/>
    <w:rsid w:val="00025C0F"/>
    <w:rsid w:val="00025E1C"/>
    <w:rsid w:val="00025ED5"/>
    <w:rsid w:val="00025EEC"/>
    <w:rsid w:val="000261EC"/>
    <w:rsid w:val="0002621B"/>
    <w:rsid w:val="0002628C"/>
    <w:rsid w:val="00026363"/>
    <w:rsid w:val="000263F1"/>
    <w:rsid w:val="000265CF"/>
    <w:rsid w:val="000265E6"/>
    <w:rsid w:val="00026675"/>
    <w:rsid w:val="000266EE"/>
    <w:rsid w:val="00026936"/>
    <w:rsid w:val="000269F7"/>
    <w:rsid w:val="00026A57"/>
    <w:rsid w:val="00026ABC"/>
    <w:rsid w:val="00026B11"/>
    <w:rsid w:val="00026C04"/>
    <w:rsid w:val="00026D42"/>
    <w:rsid w:val="00026FA5"/>
    <w:rsid w:val="0002726D"/>
    <w:rsid w:val="0002738D"/>
    <w:rsid w:val="000274BA"/>
    <w:rsid w:val="00027551"/>
    <w:rsid w:val="00027558"/>
    <w:rsid w:val="000275F0"/>
    <w:rsid w:val="0002764B"/>
    <w:rsid w:val="000276F1"/>
    <w:rsid w:val="00027A8F"/>
    <w:rsid w:val="00027C5F"/>
    <w:rsid w:val="00027D2A"/>
    <w:rsid w:val="00027DD1"/>
    <w:rsid w:val="00027E08"/>
    <w:rsid w:val="00027E3D"/>
    <w:rsid w:val="000300AF"/>
    <w:rsid w:val="00030197"/>
    <w:rsid w:val="0003031C"/>
    <w:rsid w:val="00030523"/>
    <w:rsid w:val="000305B7"/>
    <w:rsid w:val="000305C5"/>
    <w:rsid w:val="000307D2"/>
    <w:rsid w:val="00030A0C"/>
    <w:rsid w:val="00030AD6"/>
    <w:rsid w:val="00030B26"/>
    <w:rsid w:val="00030B81"/>
    <w:rsid w:val="00030DAF"/>
    <w:rsid w:val="00030DB8"/>
    <w:rsid w:val="00030E1E"/>
    <w:rsid w:val="00030E84"/>
    <w:rsid w:val="00030E9E"/>
    <w:rsid w:val="00030FDD"/>
    <w:rsid w:val="00030FFD"/>
    <w:rsid w:val="000312C4"/>
    <w:rsid w:val="0003130A"/>
    <w:rsid w:val="00031402"/>
    <w:rsid w:val="000314A9"/>
    <w:rsid w:val="0003176B"/>
    <w:rsid w:val="00031791"/>
    <w:rsid w:val="0003188E"/>
    <w:rsid w:val="00031901"/>
    <w:rsid w:val="000319A8"/>
    <w:rsid w:val="000319F5"/>
    <w:rsid w:val="00031A36"/>
    <w:rsid w:val="00031AED"/>
    <w:rsid w:val="00031B2D"/>
    <w:rsid w:val="00031B61"/>
    <w:rsid w:val="00031BCD"/>
    <w:rsid w:val="00031D04"/>
    <w:rsid w:val="00031D2B"/>
    <w:rsid w:val="00031E58"/>
    <w:rsid w:val="00031E5D"/>
    <w:rsid w:val="00031F62"/>
    <w:rsid w:val="00031FC3"/>
    <w:rsid w:val="00031FF0"/>
    <w:rsid w:val="00032080"/>
    <w:rsid w:val="00032144"/>
    <w:rsid w:val="0003217C"/>
    <w:rsid w:val="00032289"/>
    <w:rsid w:val="00032331"/>
    <w:rsid w:val="000323A4"/>
    <w:rsid w:val="00032462"/>
    <w:rsid w:val="0003255E"/>
    <w:rsid w:val="0003270A"/>
    <w:rsid w:val="00032843"/>
    <w:rsid w:val="00032864"/>
    <w:rsid w:val="000329AD"/>
    <w:rsid w:val="000329C3"/>
    <w:rsid w:val="00032A07"/>
    <w:rsid w:val="00032A1A"/>
    <w:rsid w:val="00032A27"/>
    <w:rsid w:val="00032ACA"/>
    <w:rsid w:val="00032C17"/>
    <w:rsid w:val="00032EF3"/>
    <w:rsid w:val="00032F5A"/>
    <w:rsid w:val="00032FC0"/>
    <w:rsid w:val="000331E4"/>
    <w:rsid w:val="00033291"/>
    <w:rsid w:val="000332C0"/>
    <w:rsid w:val="00033305"/>
    <w:rsid w:val="0003338D"/>
    <w:rsid w:val="000333E4"/>
    <w:rsid w:val="00033415"/>
    <w:rsid w:val="0003342F"/>
    <w:rsid w:val="00033619"/>
    <w:rsid w:val="000337B0"/>
    <w:rsid w:val="000338CB"/>
    <w:rsid w:val="00033A75"/>
    <w:rsid w:val="00033AA7"/>
    <w:rsid w:val="00033BC2"/>
    <w:rsid w:val="00033CF2"/>
    <w:rsid w:val="00033D9E"/>
    <w:rsid w:val="00033EA0"/>
    <w:rsid w:val="00033EDA"/>
    <w:rsid w:val="0003401E"/>
    <w:rsid w:val="00034195"/>
    <w:rsid w:val="0003428B"/>
    <w:rsid w:val="00034366"/>
    <w:rsid w:val="00034386"/>
    <w:rsid w:val="000345B3"/>
    <w:rsid w:val="0003476E"/>
    <w:rsid w:val="0003488F"/>
    <w:rsid w:val="000348A5"/>
    <w:rsid w:val="00034A71"/>
    <w:rsid w:val="00034B87"/>
    <w:rsid w:val="00034C47"/>
    <w:rsid w:val="00034DA1"/>
    <w:rsid w:val="00034F61"/>
    <w:rsid w:val="00035308"/>
    <w:rsid w:val="0003540B"/>
    <w:rsid w:val="0003554C"/>
    <w:rsid w:val="0003558D"/>
    <w:rsid w:val="000355F2"/>
    <w:rsid w:val="000356AF"/>
    <w:rsid w:val="00035C89"/>
    <w:rsid w:val="00035D8F"/>
    <w:rsid w:val="00036032"/>
    <w:rsid w:val="00036288"/>
    <w:rsid w:val="0003633E"/>
    <w:rsid w:val="00036512"/>
    <w:rsid w:val="00036665"/>
    <w:rsid w:val="00036705"/>
    <w:rsid w:val="0003694A"/>
    <w:rsid w:val="000369A9"/>
    <w:rsid w:val="000369E4"/>
    <w:rsid w:val="00036BB9"/>
    <w:rsid w:val="00036CBF"/>
    <w:rsid w:val="00036E04"/>
    <w:rsid w:val="00036EFA"/>
    <w:rsid w:val="00036F25"/>
    <w:rsid w:val="00036F66"/>
    <w:rsid w:val="0003711A"/>
    <w:rsid w:val="000373D8"/>
    <w:rsid w:val="0003742E"/>
    <w:rsid w:val="000374E9"/>
    <w:rsid w:val="0003756D"/>
    <w:rsid w:val="000375B7"/>
    <w:rsid w:val="000376E5"/>
    <w:rsid w:val="000377B6"/>
    <w:rsid w:val="00037C52"/>
    <w:rsid w:val="00037C88"/>
    <w:rsid w:val="00037C95"/>
    <w:rsid w:val="00037E2F"/>
    <w:rsid w:val="00037E30"/>
    <w:rsid w:val="00037FDE"/>
    <w:rsid w:val="0004001B"/>
    <w:rsid w:val="0004009B"/>
    <w:rsid w:val="0004010B"/>
    <w:rsid w:val="0004010D"/>
    <w:rsid w:val="0004012C"/>
    <w:rsid w:val="00040202"/>
    <w:rsid w:val="0004021C"/>
    <w:rsid w:val="0004051F"/>
    <w:rsid w:val="0004068C"/>
    <w:rsid w:val="00040771"/>
    <w:rsid w:val="0004093F"/>
    <w:rsid w:val="00040A89"/>
    <w:rsid w:val="00040A92"/>
    <w:rsid w:val="00040A93"/>
    <w:rsid w:val="00040AE3"/>
    <w:rsid w:val="00040B26"/>
    <w:rsid w:val="00040C1D"/>
    <w:rsid w:val="00040C51"/>
    <w:rsid w:val="00040D30"/>
    <w:rsid w:val="00040FF7"/>
    <w:rsid w:val="00041084"/>
    <w:rsid w:val="0004117B"/>
    <w:rsid w:val="0004123C"/>
    <w:rsid w:val="00041368"/>
    <w:rsid w:val="00041391"/>
    <w:rsid w:val="000414A5"/>
    <w:rsid w:val="00041685"/>
    <w:rsid w:val="00041793"/>
    <w:rsid w:val="000417D4"/>
    <w:rsid w:val="00041D50"/>
    <w:rsid w:val="00041F2B"/>
    <w:rsid w:val="00042198"/>
    <w:rsid w:val="000421AA"/>
    <w:rsid w:val="0004221E"/>
    <w:rsid w:val="0004235E"/>
    <w:rsid w:val="000423A7"/>
    <w:rsid w:val="0004246A"/>
    <w:rsid w:val="000424AF"/>
    <w:rsid w:val="000424DB"/>
    <w:rsid w:val="0004258B"/>
    <w:rsid w:val="000425BE"/>
    <w:rsid w:val="00042774"/>
    <w:rsid w:val="00042837"/>
    <w:rsid w:val="000428A5"/>
    <w:rsid w:val="00042986"/>
    <w:rsid w:val="00042D21"/>
    <w:rsid w:val="00042EEA"/>
    <w:rsid w:val="00043059"/>
    <w:rsid w:val="00043181"/>
    <w:rsid w:val="0004328A"/>
    <w:rsid w:val="00043322"/>
    <w:rsid w:val="00043640"/>
    <w:rsid w:val="000437C0"/>
    <w:rsid w:val="000438E3"/>
    <w:rsid w:val="0004398D"/>
    <w:rsid w:val="000439D2"/>
    <w:rsid w:val="000439DA"/>
    <w:rsid w:val="00043A69"/>
    <w:rsid w:val="00043A83"/>
    <w:rsid w:val="00043B86"/>
    <w:rsid w:val="00043DCA"/>
    <w:rsid w:val="00043DED"/>
    <w:rsid w:val="00043F06"/>
    <w:rsid w:val="00043F12"/>
    <w:rsid w:val="00043F6A"/>
    <w:rsid w:val="00043FB7"/>
    <w:rsid w:val="00044021"/>
    <w:rsid w:val="000441C7"/>
    <w:rsid w:val="000441F3"/>
    <w:rsid w:val="000443A9"/>
    <w:rsid w:val="000444F1"/>
    <w:rsid w:val="000445E3"/>
    <w:rsid w:val="00044667"/>
    <w:rsid w:val="00044723"/>
    <w:rsid w:val="000448D0"/>
    <w:rsid w:val="0004491A"/>
    <w:rsid w:val="000449D8"/>
    <w:rsid w:val="00044AAA"/>
    <w:rsid w:val="00044B7B"/>
    <w:rsid w:val="00044C27"/>
    <w:rsid w:val="00044DF3"/>
    <w:rsid w:val="00045212"/>
    <w:rsid w:val="00045444"/>
    <w:rsid w:val="00045457"/>
    <w:rsid w:val="00045716"/>
    <w:rsid w:val="00045800"/>
    <w:rsid w:val="00045838"/>
    <w:rsid w:val="000458A2"/>
    <w:rsid w:val="000458EC"/>
    <w:rsid w:val="00045AA4"/>
    <w:rsid w:val="00045B76"/>
    <w:rsid w:val="00045B78"/>
    <w:rsid w:val="00045B91"/>
    <w:rsid w:val="00045DBC"/>
    <w:rsid w:val="00045E93"/>
    <w:rsid w:val="00045F03"/>
    <w:rsid w:val="00045F63"/>
    <w:rsid w:val="0004601E"/>
    <w:rsid w:val="0004605D"/>
    <w:rsid w:val="00046076"/>
    <w:rsid w:val="000460EC"/>
    <w:rsid w:val="00046102"/>
    <w:rsid w:val="00046185"/>
    <w:rsid w:val="0004626D"/>
    <w:rsid w:val="0004636A"/>
    <w:rsid w:val="0004640B"/>
    <w:rsid w:val="0004653C"/>
    <w:rsid w:val="00046949"/>
    <w:rsid w:val="00046C7B"/>
    <w:rsid w:val="00046CF7"/>
    <w:rsid w:val="00046D28"/>
    <w:rsid w:val="00046D94"/>
    <w:rsid w:val="00046E46"/>
    <w:rsid w:val="00046E59"/>
    <w:rsid w:val="00047070"/>
    <w:rsid w:val="00047155"/>
    <w:rsid w:val="00047164"/>
    <w:rsid w:val="0004720D"/>
    <w:rsid w:val="000473CC"/>
    <w:rsid w:val="000474BB"/>
    <w:rsid w:val="00047627"/>
    <w:rsid w:val="00047792"/>
    <w:rsid w:val="0004788F"/>
    <w:rsid w:val="00047894"/>
    <w:rsid w:val="00047FA9"/>
    <w:rsid w:val="00050051"/>
    <w:rsid w:val="00050179"/>
    <w:rsid w:val="000501E9"/>
    <w:rsid w:val="0005021A"/>
    <w:rsid w:val="000502CC"/>
    <w:rsid w:val="00050436"/>
    <w:rsid w:val="000505DF"/>
    <w:rsid w:val="00050691"/>
    <w:rsid w:val="000506AE"/>
    <w:rsid w:val="000507C1"/>
    <w:rsid w:val="0005088F"/>
    <w:rsid w:val="000508C3"/>
    <w:rsid w:val="000508FC"/>
    <w:rsid w:val="00050929"/>
    <w:rsid w:val="00050CC8"/>
    <w:rsid w:val="00050D1C"/>
    <w:rsid w:val="00050D71"/>
    <w:rsid w:val="00050E05"/>
    <w:rsid w:val="00050E6C"/>
    <w:rsid w:val="00050EA9"/>
    <w:rsid w:val="00050F5A"/>
    <w:rsid w:val="00050FD9"/>
    <w:rsid w:val="00051010"/>
    <w:rsid w:val="0005103D"/>
    <w:rsid w:val="00051059"/>
    <w:rsid w:val="0005115C"/>
    <w:rsid w:val="000514E2"/>
    <w:rsid w:val="0005151B"/>
    <w:rsid w:val="00051608"/>
    <w:rsid w:val="00051759"/>
    <w:rsid w:val="00051774"/>
    <w:rsid w:val="00051847"/>
    <w:rsid w:val="0005184D"/>
    <w:rsid w:val="0005188E"/>
    <w:rsid w:val="00051938"/>
    <w:rsid w:val="0005196F"/>
    <w:rsid w:val="00051C10"/>
    <w:rsid w:val="00051C47"/>
    <w:rsid w:val="00051CA5"/>
    <w:rsid w:val="00051D49"/>
    <w:rsid w:val="00051E6D"/>
    <w:rsid w:val="00051F21"/>
    <w:rsid w:val="00051FB5"/>
    <w:rsid w:val="0005202E"/>
    <w:rsid w:val="00052205"/>
    <w:rsid w:val="0005233B"/>
    <w:rsid w:val="00052437"/>
    <w:rsid w:val="000524D1"/>
    <w:rsid w:val="000525FF"/>
    <w:rsid w:val="00052698"/>
    <w:rsid w:val="000527D1"/>
    <w:rsid w:val="00052805"/>
    <w:rsid w:val="0005284A"/>
    <w:rsid w:val="0005292C"/>
    <w:rsid w:val="000529E7"/>
    <w:rsid w:val="00052A42"/>
    <w:rsid w:val="00052AA9"/>
    <w:rsid w:val="00052B70"/>
    <w:rsid w:val="00052BB9"/>
    <w:rsid w:val="00052BE3"/>
    <w:rsid w:val="00052FFE"/>
    <w:rsid w:val="00053258"/>
    <w:rsid w:val="00053305"/>
    <w:rsid w:val="00053474"/>
    <w:rsid w:val="000534F5"/>
    <w:rsid w:val="000534FB"/>
    <w:rsid w:val="0005353C"/>
    <w:rsid w:val="000539DB"/>
    <w:rsid w:val="00053AC2"/>
    <w:rsid w:val="00053AC3"/>
    <w:rsid w:val="00053AC4"/>
    <w:rsid w:val="00053AFF"/>
    <w:rsid w:val="00053B3D"/>
    <w:rsid w:val="00053C68"/>
    <w:rsid w:val="00053C84"/>
    <w:rsid w:val="00053D12"/>
    <w:rsid w:val="00053D34"/>
    <w:rsid w:val="00053D77"/>
    <w:rsid w:val="00053F72"/>
    <w:rsid w:val="00053FDE"/>
    <w:rsid w:val="0005403C"/>
    <w:rsid w:val="000542BF"/>
    <w:rsid w:val="000542DC"/>
    <w:rsid w:val="000542FF"/>
    <w:rsid w:val="000543E0"/>
    <w:rsid w:val="000545E7"/>
    <w:rsid w:val="000546EF"/>
    <w:rsid w:val="000547CC"/>
    <w:rsid w:val="00054842"/>
    <w:rsid w:val="00054865"/>
    <w:rsid w:val="00054AB0"/>
    <w:rsid w:val="00054B34"/>
    <w:rsid w:val="00054C26"/>
    <w:rsid w:val="00054C95"/>
    <w:rsid w:val="00054CE0"/>
    <w:rsid w:val="00054D12"/>
    <w:rsid w:val="00054E27"/>
    <w:rsid w:val="00054E8B"/>
    <w:rsid w:val="00054FAC"/>
    <w:rsid w:val="0005512E"/>
    <w:rsid w:val="00055233"/>
    <w:rsid w:val="000552AE"/>
    <w:rsid w:val="00055635"/>
    <w:rsid w:val="000557CF"/>
    <w:rsid w:val="000558CD"/>
    <w:rsid w:val="0005591B"/>
    <w:rsid w:val="0005591E"/>
    <w:rsid w:val="0005596E"/>
    <w:rsid w:val="00055991"/>
    <w:rsid w:val="00055CA7"/>
    <w:rsid w:val="00055DC2"/>
    <w:rsid w:val="00055DCD"/>
    <w:rsid w:val="00055E08"/>
    <w:rsid w:val="00055E61"/>
    <w:rsid w:val="0005601A"/>
    <w:rsid w:val="00056126"/>
    <w:rsid w:val="00056193"/>
    <w:rsid w:val="000561CF"/>
    <w:rsid w:val="000562B5"/>
    <w:rsid w:val="000562CD"/>
    <w:rsid w:val="000563C1"/>
    <w:rsid w:val="00056548"/>
    <w:rsid w:val="00056556"/>
    <w:rsid w:val="0005656C"/>
    <w:rsid w:val="0005658E"/>
    <w:rsid w:val="0005668D"/>
    <w:rsid w:val="00056924"/>
    <w:rsid w:val="000569E9"/>
    <w:rsid w:val="00056A41"/>
    <w:rsid w:val="00056AA1"/>
    <w:rsid w:val="00056AAA"/>
    <w:rsid w:val="00056AD4"/>
    <w:rsid w:val="00056CDB"/>
    <w:rsid w:val="00056D70"/>
    <w:rsid w:val="00056DA0"/>
    <w:rsid w:val="00056DD0"/>
    <w:rsid w:val="00056FC0"/>
    <w:rsid w:val="00057011"/>
    <w:rsid w:val="00057189"/>
    <w:rsid w:val="000571D2"/>
    <w:rsid w:val="00057211"/>
    <w:rsid w:val="0005724F"/>
    <w:rsid w:val="0005726A"/>
    <w:rsid w:val="00057276"/>
    <w:rsid w:val="000572FF"/>
    <w:rsid w:val="000573F2"/>
    <w:rsid w:val="00057491"/>
    <w:rsid w:val="000574DA"/>
    <w:rsid w:val="000575EB"/>
    <w:rsid w:val="0005765D"/>
    <w:rsid w:val="00057727"/>
    <w:rsid w:val="0005774F"/>
    <w:rsid w:val="000577BA"/>
    <w:rsid w:val="00057944"/>
    <w:rsid w:val="0005797E"/>
    <w:rsid w:val="0005799D"/>
    <w:rsid w:val="000579C7"/>
    <w:rsid w:val="00057A11"/>
    <w:rsid w:val="00057A38"/>
    <w:rsid w:val="00057CDC"/>
    <w:rsid w:val="00060252"/>
    <w:rsid w:val="0006033A"/>
    <w:rsid w:val="00060341"/>
    <w:rsid w:val="0006036E"/>
    <w:rsid w:val="000603A0"/>
    <w:rsid w:val="0006049C"/>
    <w:rsid w:val="0006052E"/>
    <w:rsid w:val="0006066F"/>
    <w:rsid w:val="0006073B"/>
    <w:rsid w:val="0006088E"/>
    <w:rsid w:val="0006094D"/>
    <w:rsid w:val="00060EC7"/>
    <w:rsid w:val="00061040"/>
    <w:rsid w:val="0006118B"/>
    <w:rsid w:val="0006129D"/>
    <w:rsid w:val="0006158E"/>
    <w:rsid w:val="00061639"/>
    <w:rsid w:val="00061B02"/>
    <w:rsid w:val="00061C4B"/>
    <w:rsid w:val="00061C4E"/>
    <w:rsid w:val="00061D13"/>
    <w:rsid w:val="00061D73"/>
    <w:rsid w:val="00061FCB"/>
    <w:rsid w:val="0006206D"/>
    <w:rsid w:val="0006207F"/>
    <w:rsid w:val="0006209A"/>
    <w:rsid w:val="0006216D"/>
    <w:rsid w:val="00062346"/>
    <w:rsid w:val="00062528"/>
    <w:rsid w:val="00062574"/>
    <w:rsid w:val="000626AE"/>
    <w:rsid w:val="000626E3"/>
    <w:rsid w:val="000626EE"/>
    <w:rsid w:val="00062747"/>
    <w:rsid w:val="0006274E"/>
    <w:rsid w:val="0006293F"/>
    <w:rsid w:val="00062A44"/>
    <w:rsid w:val="00062AEA"/>
    <w:rsid w:val="00062D42"/>
    <w:rsid w:val="00062DD6"/>
    <w:rsid w:val="00062F10"/>
    <w:rsid w:val="00062F6F"/>
    <w:rsid w:val="00062FDC"/>
    <w:rsid w:val="00063015"/>
    <w:rsid w:val="000631BE"/>
    <w:rsid w:val="000633A8"/>
    <w:rsid w:val="00063424"/>
    <w:rsid w:val="00063600"/>
    <w:rsid w:val="00063656"/>
    <w:rsid w:val="000636AC"/>
    <w:rsid w:val="00063724"/>
    <w:rsid w:val="000637F2"/>
    <w:rsid w:val="00063844"/>
    <w:rsid w:val="00063848"/>
    <w:rsid w:val="00063959"/>
    <w:rsid w:val="00063B45"/>
    <w:rsid w:val="00063C67"/>
    <w:rsid w:val="00063E60"/>
    <w:rsid w:val="00064064"/>
    <w:rsid w:val="0006407B"/>
    <w:rsid w:val="000640A7"/>
    <w:rsid w:val="0006432C"/>
    <w:rsid w:val="0006442C"/>
    <w:rsid w:val="0006449B"/>
    <w:rsid w:val="000644F8"/>
    <w:rsid w:val="00064576"/>
    <w:rsid w:val="0006465D"/>
    <w:rsid w:val="00064720"/>
    <w:rsid w:val="0006485A"/>
    <w:rsid w:val="00064A3F"/>
    <w:rsid w:val="00064AAD"/>
    <w:rsid w:val="00064BC0"/>
    <w:rsid w:val="00064DAD"/>
    <w:rsid w:val="00064E25"/>
    <w:rsid w:val="00064F43"/>
    <w:rsid w:val="00064FB7"/>
    <w:rsid w:val="00064FE5"/>
    <w:rsid w:val="00065133"/>
    <w:rsid w:val="0006517F"/>
    <w:rsid w:val="000653BC"/>
    <w:rsid w:val="000654F2"/>
    <w:rsid w:val="000654FF"/>
    <w:rsid w:val="00065505"/>
    <w:rsid w:val="00065690"/>
    <w:rsid w:val="00065804"/>
    <w:rsid w:val="00065891"/>
    <w:rsid w:val="00065987"/>
    <w:rsid w:val="00065B89"/>
    <w:rsid w:val="00065CA3"/>
    <w:rsid w:val="00065D93"/>
    <w:rsid w:val="00065D9F"/>
    <w:rsid w:val="00066055"/>
    <w:rsid w:val="00066160"/>
    <w:rsid w:val="000662DA"/>
    <w:rsid w:val="00066308"/>
    <w:rsid w:val="00066390"/>
    <w:rsid w:val="00066593"/>
    <w:rsid w:val="00066620"/>
    <w:rsid w:val="0006675A"/>
    <w:rsid w:val="00066B7D"/>
    <w:rsid w:val="00066D29"/>
    <w:rsid w:val="00066DB9"/>
    <w:rsid w:val="00066E53"/>
    <w:rsid w:val="00066F46"/>
    <w:rsid w:val="00066F4B"/>
    <w:rsid w:val="00066F65"/>
    <w:rsid w:val="000670DA"/>
    <w:rsid w:val="00067251"/>
    <w:rsid w:val="000674E6"/>
    <w:rsid w:val="00067551"/>
    <w:rsid w:val="000675B6"/>
    <w:rsid w:val="00067712"/>
    <w:rsid w:val="000677D6"/>
    <w:rsid w:val="0006786C"/>
    <w:rsid w:val="000679F9"/>
    <w:rsid w:val="00067AC4"/>
    <w:rsid w:val="00067CDC"/>
    <w:rsid w:val="00067E1A"/>
    <w:rsid w:val="00067E5F"/>
    <w:rsid w:val="00067F37"/>
    <w:rsid w:val="00067FF1"/>
    <w:rsid w:val="00070126"/>
    <w:rsid w:val="00070207"/>
    <w:rsid w:val="00070211"/>
    <w:rsid w:val="00070317"/>
    <w:rsid w:val="0007045D"/>
    <w:rsid w:val="000704E3"/>
    <w:rsid w:val="00070574"/>
    <w:rsid w:val="0007096C"/>
    <w:rsid w:val="000709F9"/>
    <w:rsid w:val="00070A64"/>
    <w:rsid w:val="00070AFB"/>
    <w:rsid w:val="00070B04"/>
    <w:rsid w:val="00070DF3"/>
    <w:rsid w:val="00070FD9"/>
    <w:rsid w:val="00070FE4"/>
    <w:rsid w:val="00071221"/>
    <w:rsid w:val="0007131F"/>
    <w:rsid w:val="0007134B"/>
    <w:rsid w:val="000714A8"/>
    <w:rsid w:val="000714D4"/>
    <w:rsid w:val="00071500"/>
    <w:rsid w:val="000715AE"/>
    <w:rsid w:val="00071856"/>
    <w:rsid w:val="000719F7"/>
    <w:rsid w:val="00071B43"/>
    <w:rsid w:val="00071B72"/>
    <w:rsid w:val="00071CFD"/>
    <w:rsid w:val="00071DB2"/>
    <w:rsid w:val="00071EA2"/>
    <w:rsid w:val="00071ECE"/>
    <w:rsid w:val="00071F52"/>
    <w:rsid w:val="0007217F"/>
    <w:rsid w:val="000721E2"/>
    <w:rsid w:val="000723C3"/>
    <w:rsid w:val="000724AE"/>
    <w:rsid w:val="00072524"/>
    <w:rsid w:val="00072553"/>
    <w:rsid w:val="0007255D"/>
    <w:rsid w:val="0007287E"/>
    <w:rsid w:val="00072A3E"/>
    <w:rsid w:val="00072AB8"/>
    <w:rsid w:val="00072AD7"/>
    <w:rsid w:val="00072B70"/>
    <w:rsid w:val="00072C4E"/>
    <w:rsid w:val="00072C76"/>
    <w:rsid w:val="00072D3B"/>
    <w:rsid w:val="00072D5B"/>
    <w:rsid w:val="00072DAE"/>
    <w:rsid w:val="00072DB4"/>
    <w:rsid w:val="00072E3F"/>
    <w:rsid w:val="00072F10"/>
    <w:rsid w:val="00072F4A"/>
    <w:rsid w:val="00072FA7"/>
    <w:rsid w:val="0007310B"/>
    <w:rsid w:val="000734D3"/>
    <w:rsid w:val="00073517"/>
    <w:rsid w:val="00073557"/>
    <w:rsid w:val="0007359D"/>
    <w:rsid w:val="0007362B"/>
    <w:rsid w:val="0007369D"/>
    <w:rsid w:val="00073932"/>
    <w:rsid w:val="00073985"/>
    <w:rsid w:val="000739C0"/>
    <w:rsid w:val="00073A7D"/>
    <w:rsid w:val="00073ACD"/>
    <w:rsid w:val="00073B39"/>
    <w:rsid w:val="00073BA0"/>
    <w:rsid w:val="000740D0"/>
    <w:rsid w:val="00074469"/>
    <w:rsid w:val="00074554"/>
    <w:rsid w:val="0007461F"/>
    <w:rsid w:val="00074621"/>
    <w:rsid w:val="000747C9"/>
    <w:rsid w:val="000747D6"/>
    <w:rsid w:val="00074922"/>
    <w:rsid w:val="000749FE"/>
    <w:rsid w:val="00074B00"/>
    <w:rsid w:val="00074B0A"/>
    <w:rsid w:val="00074B48"/>
    <w:rsid w:val="00074B51"/>
    <w:rsid w:val="00074C86"/>
    <w:rsid w:val="00074DF3"/>
    <w:rsid w:val="00074F78"/>
    <w:rsid w:val="00075054"/>
    <w:rsid w:val="00075246"/>
    <w:rsid w:val="000752FD"/>
    <w:rsid w:val="000758EA"/>
    <w:rsid w:val="0007593F"/>
    <w:rsid w:val="00075B0A"/>
    <w:rsid w:val="00075BA9"/>
    <w:rsid w:val="00075BD9"/>
    <w:rsid w:val="00075C05"/>
    <w:rsid w:val="00075C99"/>
    <w:rsid w:val="00075CC0"/>
    <w:rsid w:val="00075D5F"/>
    <w:rsid w:val="00075E2E"/>
    <w:rsid w:val="000760B3"/>
    <w:rsid w:val="00076318"/>
    <w:rsid w:val="00076320"/>
    <w:rsid w:val="00076384"/>
    <w:rsid w:val="0007644E"/>
    <w:rsid w:val="0007647A"/>
    <w:rsid w:val="00076591"/>
    <w:rsid w:val="000765D7"/>
    <w:rsid w:val="0007672B"/>
    <w:rsid w:val="00076732"/>
    <w:rsid w:val="000768B1"/>
    <w:rsid w:val="00076AD5"/>
    <w:rsid w:val="00076CBE"/>
    <w:rsid w:val="00076D6D"/>
    <w:rsid w:val="00076DF9"/>
    <w:rsid w:val="00076E9B"/>
    <w:rsid w:val="00076F49"/>
    <w:rsid w:val="0007750B"/>
    <w:rsid w:val="00077586"/>
    <w:rsid w:val="00077599"/>
    <w:rsid w:val="00077663"/>
    <w:rsid w:val="0007776A"/>
    <w:rsid w:val="0007777D"/>
    <w:rsid w:val="00077986"/>
    <w:rsid w:val="00077A29"/>
    <w:rsid w:val="00077A76"/>
    <w:rsid w:val="00077AB2"/>
    <w:rsid w:val="00077ADB"/>
    <w:rsid w:val="00077C64"/>
    <w:rsid w:val="00077C68"/>
    <w:rsid w:val="00077CA3"/>
    <w:rsid w:val="00077E55"/>
    <w:rsid w:val="00077EF7"/>
    <w:rsid w:val="00077FED"/>
    <w:rsid w:val="00080022"/>
    <w:rsid w:val="00080158"/>
    <w:rsid w:val="0008037D"/>
    <w:rsid w:val="000805A7"/>
    <w:rsid w:val="000807C9"/>
    <w:rsid w:val="000808FF"/>
    <w:rsid w:val="000809E0"/>
    <w:rsid w:val="00080AA8"/>
    <w:rsid w:val="00080ADE"/>
    <w:rsid w:val="00080D0F"/>
    <w:rsid w:val="00080D99"/>
    <w:rsid w:val="00081102"/>
    <w:rsid w:val="000811DE"/>
    <w:rsid w:val="0008126E"/>
    <w:rsid w:val="00081412"/>
    <w:rsid w:val="0008142C"/>
    <w:rsid w:val="00081518"/>
    <w:rsid w:val="00081750"/>
    <w:rsid w:val="000817E3"/>
    <w:rsid w:val="0008181E"/>
    <w:rsid w:val="00081824"/>
    <w:rsid w:val="000818C3"/>
    <w:rsid w:val="000818CE"/>
    <w:rsid w:val="0008192D"/>
    <w:rsid w:val="00081A4C"/>
    <w:rsid w:val="00081B24"/>
    <w:rsid w:val="00081C03"/>
    <w:rsid w:val="00081C78"/>
    <w:rsid w:val="00081CAE"/>
    <w:rsid w:val="00081F7F"/>
    <w:rsid w:val="00081F83"/>
    <w:rsid w:val="000821DF"/>
    <w:rsid w:val="00082243"/>
    <w:rsid w:val="0008227A"/>
    <w:rsid w:val="00082521"/>
    <w:rsid w:val="0008287B"/>
    <w:rsid w:val="00082A66"/>
    <w:rsid w:val="00082CF2"/>
    <w:rsid w:val="00082D31"/>
    <w:rsid w:val="00082D49"/>
    <w:rsid w:val="00082F5D"/>
    <w:rsid w:val="00082FA5"/>
    <w:rsid w:val="0008300E"/>
    <w:rsid w:val="00083224"/>
    <w:rsid w:val="000832A7"/>
    <w:rsid w:val="000832F7"/>
    <w:rsid w:val="00083370"/>
    <w:rsid w:val="0008351A"/>
    <w:rsid w:val="000835C4"/>
    <w:rsid w:val="00083633"/>
    <w:rsid w:val="000837C1"/>
    <w:rsid w:val="00083967"/>
    <w:rsid w:val="00083A3F"/>
    <w:rsid w:val="00083C4C"/>
    <w:rsid w:val="00083C69"/>
    <w:rsid w:val="00083E16"/>
    <w:rsid w:val="0008407E"/>
    <w:rsid w:val="00084370"/>
    <w:rsid w:val="000843B5"/>
    <w:rsid w:val="00084404"/>
    <w:rsid w:val="0008441C"/>
    <w:rsid w:val="0008443B"/>
    <w:rsid w:val="000845EA"/>
    <w:rsid w:val="00084660"/>
    <w:rsid w:val="00084690"/>
    <w:rsid w:val="00084880"/>
    <w:rsid w:val="00084912"/>
    <w:rsid w:val="00084965"/>
    <w:rsid w:val="00084A0D"/>
    <w:rsid w:val="00084ACA"/>
    <w:rsid w:val="00084AF5"/>
    <w:rsid w:val="00084BBF"/>
    <w:rsid w:val="00084C47"/>
    <w:rsid w:val="00084D77"/>
    <w:rsid w:val="00084EBF"/>
    <w:rsid w:val="00084FA6"/>
    <w:rsid w:val="000850AB"/>
    <w:rsid w:val="00085148"/>
    <w:rsid w:val="0008514B"/>
    <w:rsid w:val="000851B2"/>
    <w:rsid w:val="0008528B"/>
    <w:rsid w:val="000852A3"/>
    <w:rsid w:val="000853BB"/>
    <w:rsid w:val="000857A3"/>
    <w:rsid w:val="000859D7"/>
    <w:rsid w:val="00085A24"/>
    <w:rsid w:val="00085A52"/>
    <w:rsid w:val="00085BB6"/>
    <w:rsid w:val="00085C12"/>
    <w:rsid w:val="00085E0A"/>
    <w:rsid w:val="00085E2B"/>
    <w:rsid w:val="00085ED5"/>
    <w:rsid w:val="00085F39"/>
    <w:rsid w:val="00085FB9"/>
    <w:rsid w:val="00085FC6"/>
    <w:rsid w:val="00086154"/>
    <w:rsid w:val="00086217"/>
    <w:rsid w:val="00086307"/>
    <w:rsid w:val="00086360"/>
    <w:rsid w:val="000863E1"/>
    <w:rsid w:val="000864C8"/>
    <w:rsid w:val="0008655B"/>
    <w:rsid w:val="00086764"/>
    <w:rsid w:val="00086942"/>
    <w:rsid w:val="000869AA"/>
    <w:rsid w:val="00086ABC"/>
    <w:rsid w:val="00086B1D"/>
    <w:rsid w:val="00086B2E"/>
    <w:rsid w:val="00086DA7"/>
    <w:rsid w:val="00086E4F"/>
    <w:rsid w:val="00086FA8"/>
    <w:rsid w:val="000871A8"/>
    <w:rsid w:val="000872F0"/>
    <w:rsid w:val="00087380"/>
    <w:rsid w:val="00087565"/>
    <w:rsid w:val="00087A7D"/>
    <w:rsid w:val="00087AD2"/>
    <w:rsid w:val="00087CA0"/>
    <w:rsid w:val="00087CFB"/>
    <w:rsid w:val="00087CFC"/>
    <w:rsid w:val="00087E5E"/>
    <w:rsid w:val="00087F6F"/>
    <w:rsid w:val="00087F91"/>
    <w:rsid w:val="00087F94"/>
    <w:rsid w:val="000900B4"/>
    <w:rsid w:val="000901E8"/>
    <w:rsid w:val="00090231"/>
    <w:rsid w:val="00090342"/>
    <w:rsid w:val="00090496"/>
    <w:rsid w:val="000904B8"/>
    <w:rsid w:val="000904FE"/>
    <w:rsid w:val="0009058D"/>
    <w:rsid w:val="000906F5"/>
    <w:rsid w:val="00090825"/>
    <w:rsid w:val="0009084B"/>
    <w:rsid w:val="00090A71"/>
    <w:rsid w:val="00090B00"/>
    <w:rsid w:val="00090D77"/>
    <w:rsid w:val="00090E1D"/>
    <w:rsid w:val="00090E36"/>
    <w:rsid w:val="00090F4D"/>
    <w:rsid w:val="000910A2"/>
    <w:rsid w:val="00091178"/>
    <w:rsid w:val="00091286"/>
    <w:rsid w:val="00091385"/>
    <w:rsid w:val="00091620"/>
    <w:rsid w:val="000916AD"/>
    <w:rsid w:val="00091750"/>
    <w:rsid w:val="000917D7"/>
    <w:rsid w:val="000919C3"/>
    <w:rsid w:val="00091A89"/>
    <w:rsid w:val="00091C0B"/>
    <w:rsid w:val="00091C35"/>
    <w:rsid w:val="00091C69"/>
    <w:rsid w:val="00091E99"/>
    <w:rsid w:val="000920C6"/>
    <w:rsid w:val="0009211D"/>
    <w:rsid w:val="0009220F"/>
    <w:rsid w:val="0009254E"/>
    <w:rsid w:val="000929A8"/>
    <w:rsid w:val="00092B14"/>
    <w:rsid w:val="00092B8D"/>
    <w:rsid w:val="00092CB4"/>
    <w:rsid w:val="00092F7F"/>
    <w:rsid w:val="00092FFA"/>
    <w:rsid w:val="000930E3"/>
    <w:rsid w:val="000932C5"/>
    <w:rsid w:val="000932DB"/>
    <w:rsid w:val="000932F6"/>
    <w:rsid w:val="00093329"/>
    <w:rsid w:val="000933B3"/>
    <w:rsid w:val="0009347B"/>
    <w:rsid w:val="00093683"/>
    <w:rsid w:val="00093698"/>
    <w:rsid w:val="00093872"/>
    <w:rsid w:val="0009389D"/>
    <w:rsid w:val="00093909"/>
    <w:rsid w:val="000939BA"/>
    <w:rsid w:val="00093A6A"/>
    <w:rsid w:val="00093B4B"/>
    <w:rsid w:val="00093C0D"/>
    <w:rsid w:val="00093C61"/>
    <w:rsid w:val="00093CEB"/>
    <w:rsid w:val="00093D7F"/>
    <w:rsid w:val="00093D91"/>
    <w:rsid w:val="00093DC5"/>
    <w:rsid w:val="0009409C"/>
    <w:rsid w:val="00094119"/>
    <w:rsid w:val="00094258"/>
    <w:rsid w:val="00094401"/>
    <w:rsid w:val="00094421"/>
    <w:rsid w:val="00094447"/>
    <w:rsid w:val="00094459"/>
    <w:rsid w:val="00094769"/>
    <w:rsid w:val="000948AA"/>
    <w:rsid w:val="0009490F"/>
    <w:rsid w:val="00094B1E"/>
    <w:rsid w:val="00094C22"/>
    <w:rsid w:val="00094D1A"/>
    <w:rsid w:val="00094EEF"/>
    <w:rsid w:val="00094F2F"/>
    <w:rsid w:val="00094F57"/>
    <w:rsid w:val="00094F8F"/>
    <w:rsid w:val="00094FDE"/>
    <w:rsid w:val="0009508B"/>
    <w:rsid w:val="000951A5"/>
    <w:rsid w:val="00095280"/>
    <w:rsid w:val="000952F9"/>
    <w:rsid w:val="000953A8"/>
    <w:rsid w:val="000955E1"/>
    <w:rsid w:val="00095609"/>
    <w:rsid w:val="000956CD"/>
    <w:rsid w:val="00095808"/>
    <w:rsid w:val="00095895"/>
    <w:rsid w:val="0009592C"/>
    <w:rsid w:val="000959E4"/>
    <w:rsid w:val="00095B38"/>
    <w:rsid w:val="00095E8B"/>
    <w:rsid w:val="00096113"/>
    <w:rsid w:val="00096150"/>
    <w:rsid w:val="0009622E"/>
    <w:rsid w:val="00096339"/>
    <w:rsid w:val="000963A1"/>
    <w:rsid w:val="00096482"/>
    <w:rsid w:val="000966D9"/>
    <w:rsid w:val="000966E1"/>
    <w:rsid w:val="0009670F"/>
    <w:rsid w:val="00096720"/>
    <w:rsid w:val="000967E7"/>
    <w:rsid w:val="00096838"/>
    <w:rsid w:val="0009685D"/>
    <w:rsid w:val="000969B4"/>
    <w:rsid w:val="00096A37"/>
    <w:rsid w:val="00096B28"/>
    <w:rsid w:val="00096D05"/>
    <w:rsid w:val="00096D6E"/>
    <w:rsid w:val="00096EC5"/>
    <w:rsid w:val="00096FC5"/>
    <w:rsid w:val="00096FF9"/>
    <w:rsid w:val="000970CB"/>
    <w:rsid w:val="00097118"/>
    <w:rsid w:val="00097186"/>
    <w:rsid w:val="0009720C"/>
    <w:rsid w:val="00097277"/>
    <w:rsid w:val="0009727E"/>
    <w:rsid w:val="000972C8"/>
    <w:rsid w:val="0009733E"/>
    <w:rsid w:val="000973B0"/>
    <w:rsid w:val="000973D6"/>
    <w:rsid w:val="000974BB"/>
    <w:rsid w:val="00097517"/>
    <w:rsid w:val="00097579"/>
    <w:rsid w:val="000975BC"/>
    <w:rsid w:val="000977AB"/>
    <w:rsid w:val="000977EF"/>
    <w:rsid w:val="0009790E"/>
    <w:rsid w:val="000979AE"/>
    <w:rsid w:val="00097A4D"/>
    <w:rsid w:val="00097CED"/>
    <w:rsid w:val="00097D4C"/>
    <w:rsid w:val="00097D5E"/>
    <w:rsid w:val="00097D69"/>
    <w:rsid w:val="00097DB4"/>
    <w:rsid w:val="00097E20"/>
    <w:rsid w:val="00097E8A"/>
    <w:rsid w:val="000A0145"/>
    <w:rsid w:val="000A018D"/>
    <w:rsid w:val="000A0235"/>
    <w:rsid w:val="000A02B4"/>
    <w:rsid w:val="000A02DC"/>
    <w:rsid w:val="000A0355"/>
    <w:rsid w:val="000A04CC"/>
    <w:rsid w:val="000A065C"/>
    <w:rsid w:val="000A0705"/>
    <w:rsid w:val="000A0721"/>
    <w:rsid w:val="000A0820"/>
    <w:rsid w:val="000A08AB"/>
    <w:rsid w:val="000A08BE"/>
    <w:rsid w:val="000A0979"/>
    <w:rsid w:val="000A09EC"/>
    <w:rsid w:val="000A0F08"/>
    <w:rsid w:val="000A0F7B"/>
    <w:rsid w:val="000A1167"/>
    <w:rsid w:val="000A127F"/>
    <w:rsid w:val="000A12B7"/>
    <w:rsid w:val="000A1313"/>
    <w:rsid w:val="000A13ED"/>
    <w:rsid w:val="000A142C"/>
    <w:rsid w:val="000A15DB"/>
    <w:rsid w:val="000A1630"/>
    <w:rsid w:val="000A184D"/>
    <w:rsid w:val="000A1A2E"/>
    <w:rsid w:val="000A1A9A"/>
    <w:rsid w:val="000A1B25"/>
    <w:rsid w:val="000A1B43"/>
    <w:rsid w:val="000A1E87"/>
    <w:rsid w:val="000A20D8"/>
    <w:rsid w:val="000A2188"/>
    <w:rsid w:val="000A2360"/>
    <w:rsid w:val="000A23A9"/>
    <w:rsid w:val="000A23DF"/>
    <w:rsid w:val="000A2414"/>
    <w:rsid w:val="000A2472"/>
    <w:rsid w:val="000A24F8"/>
    <w:rsid w:val="000A2671"/>
    <w:rsid w:val="000A2837"/>
    <w:rsid w:val="000A2907"/>
    <w:rsid w:val="000A2A2F"/>
    <w:rsid w:val="000A2A4F"/>
    <w:rsid w:val="000A2AED"/>
    <w:rsid w:val="000A2C1A"/>
    <w:rsid w:val="000A2C5D"/>
    <w:rsid w:val="000A2D41"/>
    <w:rsid w:val="000A2EB4"/>
    <w:rsid w:val="000A2F37"/>
    <w:rsid w:val="000A3102"/>
    <w:rsid w:val="000A3108"/>
    <w:rsid w:val="000A32EC"/>
    <w:rsid w:val="000A3328"/>
    <w:rsid w:val="000A339F"/>
    <w:rsid w:val="000A33A9"/>
    <w:rsid w:val="000A33C9"/>
    <w:rsid w:val="000A3459"/>
    <w:rsid w:val="000A347D"/>
    <w:rsid w:val="000A3708"/>
    <w:rsid w:val="000A3847"/>
    <w:rsid w:val="000A38AA"/>
    <w:rsid w:val="000A3A86"/>
    <w:rsid w:val="000A3B2F"/>
    <w:rsid w:val="000A3B78"/>
    <w:rsid w:val="000A3BA4"/>
    <w:rsid w:val="000A3D07"/>
    <w:rsid w:val="000A3D36"/>
    <w:rsid w:val="000A3DD8"/>
    <w:rsid w:val="000A4007"/>
    <w:rsid w:val="000A41C5"/>
    <w:rsid w:val="000A425B"/>
    <w:rsid w:val="000A4716"/>
    <w:rsid w:val="000A47D4"/>
    <w:rsid w:val="000A484D"/>
    <w:rsid w:val="000A49F5"/>
    <w:rsid w:val="000A4C52"/>
    <w:rsid w:val="000A4D6D"/>
    <w:rsid w:val="000A4F17"/>
    <w:rsid w:val="000A50B8"/>
    <w:rsid w:val="000A5280"/>
    <w:rsid w:val="000A554B"/>
    <w:rsid w:val="000A559F"/>
    <w:rsid w:val="000A56C9"/>
    <w:rsid w:val="000A595D"/>
    <w:rsid w:val="000A59D2"/>
    <w:rsid w:val="000A5AA1"/>
    <w:rsid w:val="000A5D0A"/>
    <w:rsid w:val="000A5D3E"/>
    <w:rsid w:val="000A5E83"/>
    <w:rsid w:val="000A603B"/>
    <w:rsid w:val="000A6260"/>
    <w:rsid w:val="000A6639"/>
    <w:rsid w:val="000A66ED"/>
    <w:rsid w:val="000A676F"/>
    <w:rsid w:val="000A67A1"/>
    <w:rsid w:val="000A67A2"/>
    <w:rsid w:val="000A6980"/>
    <w:rsid w:val="000A69CF"/>
    <w:rsid w:val="000A6A71"/>
    <w:rsid w:val="000A6A7B"/>
    <w:rsid w:val="000A6BC6"/>
    <w:rsid w:val="000A6C84"/>
    <w:rsid w:val="000A6DB2"/>
    <w:rsid w:val="000A703D"/>
    <w:rsid w:val="000A7494"/>
    <w:rsid w:val="000A7595"/>
    <w:rsid w:val="000A75E4"/>
    <w:rsid w:val="000A785E"/>
    <w:rsid w:val="000A79E1"/>
    <w:rsid w:val="000A7A3B"/>
    <w:rsid w:val="000A7BB4"/>
    <w:rsid w:val="000A7D04"/>
    <w:rsid w:val="000A7DDC"/>
    <w:rsid w:val="000A7EFB"/>
    <w:rsid w:val="000B00DE"/>
    <w:rsid w:val="000B0161"/>
    <w:rsid w:val="000B02F4"/>
    <w:rsid w:val="000B03C1"/>
    <w:rsid w:val="000B0430"/>
    <w:rsid w:val="000B0587"/>
    <w:rsid w:val="000B06E2"/>
    <w:rsid w:val="000B06F5"/>
    <w:rsid w:val="000B0775"/>
    <w:rsid w:val="000B090B"/>
    <w:rsid w:val="000B0955"/>
    <w:rsid w:val="000B0A54"/>
    <w:rsid w:val="000B0AD0"/>
    <w:rsid w:val="000B0BC3"/>
    <w:rsid w:val="000B0BCF"/>
    <w:rsid w:val="000B0C2B"/>
    <w:rsid w:val="000B0C45"/>
    <w:rsid w:val="000B0D77"/>
    <w:rsid w:val="000B0EAB"/>
    <w:rsid w:val="000B0EDA"/>
    <w:rsid w:val="000B0EE5"/>
    <w:rsid w:val="000B1050"/>
    <w:rsid w:val="000B10E2"/>
    <w:rsid w:val="000B1202"/>
    <w:rsid w:val="000B1386"/>
    <w:rsid w:val="000B1393"/>
    <w:rsid w:val="000B1482"/>
    <w:rsid w:val="000B14F2"/>
    <w:rsid w:val="000B15C5"/>
    <w:rsid w:val="000B1657"/>
    <w:rsid w:val="000B167F"/>
    <w:rsid w:val="000B16DB"/>
    <w:rsid w:val="000B1807"/>
    <w:rsid w:val="000B1844"/>
    <w:rsid w:val="000B184F"/>
    <w:rsid w:val="000B186D"/>
    <w:rsid w:val="000B1943"/>
    <w:rsid w:val="000B1AC7"/>
    <w:rsid w:val="000B1CAE"/>
    <w:rsid w:val="000B1E6C"/>
    <w:rsid w:val="000B1F12"/>
    <w:rsid w:val="000B212D"/>
    <w:rsid w:val="000B213A"/>
    <w:rsid w:val="000B2168"/>
    <w:rsid w:val="000B2273"/>
    <w:rsid w:val="000B242C"/>
    <w:rsid w:val="000B24D8"/>
    <w:rsid w:val="000B259C"/>
    <w:rsid w:val="000B2724"/>
    <w:rsid w:val="000B279E"/>
    <w:rsid w:val="000B27D1"/>
    <w:rsid w:val="000B28A2"/>
    <w:rsid w:val="000B2A21"/>
    <w:rsid w:val="000B2BAE"/>
    <w:rsid w:val="000B2C4F"/>
    <w:rsid w:val="000B2CE7"/>
    <w:rsid w:val="000B2D9A"/>
    <w:rsid w:val="000B2DB1"/>
    <w:rsid w:val="000B2DDC"/>
    <w:rsid w:val="000B2F72"/>
    <w:rsid w:val="000B2F8E"/>
    <w:rsid w:val="000B3402"/>
    <w:rsid w:val="000B3513"/>
    <w:rsid w:val="000B379A"/>
    <w:rsid w:val="000B38E6"/>
    <w:rsid w:val="000B392A"/>
    <w:rsid w:val="000B39F3"/>
    <w:rsid w:val="000B3ACD"/>
    <w:rsid w:val="000B3C42"/>
    <w:rsid w:val="000B3E07"/>
    <w:rsid w:val="000B3E38"/>
    <w:rsid w:val="000B3E51"/>
    <w:rsid w:val="000B3EEA"/>
    <w:rsid w:val="000B4007"/>
    <w:rsid w:val="000B40EC"/>
    <w:rsid w:val="000B4125"/>
    <w:rsid w:val="000B4127"/>
    <w:rsid w:val="000B41C5"/>
    <w:rsid w:val="000B41E9"/>
    <w:rsid w:val="000B41F1"/>
    <w:rsid w:val="000B42D4"/>
    <w:rsid w:val="000B431F"/>
    <w:rsid w:val="000B4506"/>
    <w:rsid w:val="000B4550"/>
    <w:rsid w:val="000B45A3"/>
    <w:rsid w:val="000B46A4"/>
    <w:rsid w:val="000B4802"/>
    <w:rsid w:val="000B48F8"/>
    <w:rsid w:val="000B493B"/>
    <w:rsid w:val="000B4942"/>
    <w:rsid w:val="000B4970"/>
    <w:rsid w:val="000B497F"/>
    <w:rsid w:val="000B4986"/>
    <w:rsid w:val="000B4A72"/>
    <w:rsid w:val="000B4B6F"/>
    <w:rsid w:val="000B4DED"/>
    <w:rsid w:val="000B4F7F"/>
    <w:rsid w:val="000B5105"/>
    <w:rsid w:val="000B51B2"/>
    <w:rsid w:val="000B52A4"/>
    <w:rsid w:val="000B5392"/>
    <w:rsid w:val="000B539C"/>
    <w:rsid w:val="000B5420"/>
    <w:rsid w:val="000B5444"/>
    <w:rsid w:val="000B5668"/>
    <w:rsid w:val="000B5953"/>
    <w:rsid w:val="000B5A0E"/>
    <w:rsid w:val="000B5A5B"/>
    <w:rsid w:val="000B5A76"/>
    <w:rsid w:val="000B5C39"/>
    <w:rsid w:val="000B5E3E"/>
    <w:rsid w:val="000B5E92"/>
    <w:rsid w:val="000B5EF9"/>
    <w:rsid w:val="000B5F47"/>
    <w:rsid w:val="000B5FB3"/>
    <w:rsid w:val="000B604E"/>
    <w:rsid w:val="000B60A5"/>
    <w:rsid w:val="000B62D1"/>
    <w:rsid w:val="000B630C"/>
    <w:rsid w:val="000B6490"/>
    <w:rsid w:val="000B656F"/>
    <w:rsid w:val="000B6691"/>
    <w:rsid w:val="000B678C"/>
    <w:rsid w:val="000B680F"/>
    <w:rsid w:val="000B6911"/>
    <w:rsid w:val="000B6974"/>
    <w:rsid w:val="000B6A04"/>
    <w:rsid w:val="000B6BC7"/>
    <w:rsid w:val="000B6C50"/>
    <w:rsid w:val="000B6C97"/>
    <w:rsid w:val="000B6E65"/>
    <w:rsid w:val="000B6E66"/>
    <w:rsid w:val="000B6E6B"/>
    <w:rsid w:val="000B6ECB"/>
    <w:rsid w:val="000B6EEE"/>
    <w:rsid w:val="000B6F38"/>
    <w:rsid w:val="000B6FE6"/>
    <w:rsid w:val="000B6FF2"/>
    <w:rsid w:val="000B7383"/>
    <w:rsid w:val="000B739A"/>
    <w:rsid w:val="000B73E8"/>
    <w:rsid w:val="000B76B8"/>
    <w:rsid w:val="000B784C"/>
    <w:rsid w:val="000B79DC"/>
    <w:rsid w:val="000B7B51"/>
    <w:rsid w:val="000B7B88"/>
    <w:rsid w:val="000B7C39"/>
    <w:rsid w:val="000B7CA4"/>
    <w:rsid w:val="000B7E1A"/>
    <w:rsid w:val="000B7ECD"/>
    <w:rsid w:val="000B7EE8"/>
    <w:rsid w:val="000C013B"/>
    <w:rsid w:val="000C0286"/>
    <w:rsid w:val="000C029A"/>
    <w:rsid w:val="000C02C2"/>
    <w:rsid w:val="000C039E"/>
    <w:rsid w:val="000C063F"/>
    <w:rsid w:val="000C06C3"/>
    <w:rsid w:val="000C06E8"/>
    <w:rsid w:val="000C06FB"/>
    <w:rsid w:val="000C084F"/>
    <w:rsid w:val="000C0978"/>
    <w:rsid w:val="000C0A4B"/>
    <w:rsid w:val="000C0C73"/>
    <w:rsid w:val="000C0C99"/>
    <w:rsid w:val="000C0EAB"/>
    <w:rsid w:val="000C1127"/>
    <w:rsid w:val="000C11FE"/>
    <w:rsid w:val="000C11FF"/>
    <w:rsid w:val="000C1290"/>
    <w:rsid w:val="000C1411"/>
    <w:rsid w:val="000C1491"/>
    <w:rsid w:val="000C14A4"/>
    <w:rsid w:val="000C1501"/>
    <w:rsid w:val="000C1553"/>
    <w:rsid w:val="000C162A"/>
    <w:rsid w:val="000C17DD"/>
    <w:rsid w:val="000C1A2A"/>
    <w:rsid w:val="000C1A9D"/>
    <w:rsid w:val="000C1AA5"/>
    <w:rsid w:val="000C1AEA"/>
    <w:rsid w:val="000C1B7A"/>
    <w:rsid w:val="000C1D90"/>
    <w:rsid w:val="000C1E84"/>
    <w:rsid w:val="000C1EA9"/>
    <w:rsid w:val="000C2232"/>
    <w:rsid w:val="000C22EE"/>
    <w:rsid w:val="000C238F"/>
    <w:rsid w:val="000C2409"/>
    <w:rsid w:val="000C241F"/>
    <w:rsid w:val="000C2BBF"/>
    <w:rsid w:val="000C2C8E"/>
    <w:rsid w:val="000C2CF1"/>
    <w:rsid w:val="000C2DF5"/>
    <w:rsid w:val="000C2FA0"/>
    <w:rsid w:val="000C3057"/>
    <w:rsid w:val="000C30BA"/>
    <w:rsid w:val="000C31FC"/>
    <w:rsid w:val="000C324F"/>
    <w:rsid w:val="000C32A9"/>
    <w:rsid w:val="000C32E8"/>
    <w:rsid w:val="000C3332"/>
    <w:rsid w:val="000C3474"/>
    <w:rsid w:val="000C3633"/>
    <w:rsid w:val="000C3CB7"/>
    <w:rsid w:val="000C3EA5"/>
    <w:rsid w:val="000C3EEE"/>
    <w:rsid w:val="000C3F1A"/>
    <w:rsid w:val="000C3F38"/>
    <w:rsid w:val="000C3F4F"/>
    <w:rsid w:val="000C3F5C"/>
    <w:rsid w:val="000C4006"/>
    <w:rsid w:val="000C412D"/>
    <w:rsid w:val="000C4387"/>
    <w:rsid w:val="000C4392"/>
    <w:rsid w:val="000C44F1"/>
    <w:rsid w:val="000C46D4"/>
    <w:rsid w:val="000C4723"/>
    <w:rsid w:val="000C4927"/>
    <w:rsid w:val="000C4A64"/>
    <w:rsid w:val="000C4A73"/>
    <w:rsid w:val="000C4C6F"/>
    <w:rsid w:val="000C4CCC"/>
    <w:rsid w:val="000C4EAA"/>
    <w:rsid w:val="000C4F00"/>
    <w:rsid w:val="000C4F5A"/>
    <w:rsid w:val="000C5262"/>
    <w:rsid w:val="000C52A8"/>
    <w:rsid w:val="000C52D9"/>
    <w:rsid w:val="000C54B9"/>
    <w:rsid w:val="000C5511"/>
    <w:rsid w:val="000C5532"/>
    <w:rsid w:val="000C5629"/>
    <w:rsid w:val="000C567B"/>
    <w:rsid w:val="000C56EF"/>
    <w:rsid w:val="000C572B"/>
    <w:rsid w:val="000C58E3"/>
    <w:rsid w:val="000C5B21"/>
    <w:rsid w:val="000C5C96"/>
    <w:rsid w:val="000C5D04"/>
    <w:rsid w:val="000C5E77"/>
    <w:rsid w:val="000C6008"/>
    <w:rsid w:val="000C625D"/>
    <w:rsid w:val="000C633D"/>
    <w:rsid w:val="000C658E"/>
    <w:rsid w:val="000C6798"/>
    <w:rsid w:val="000C685C"/>
    <w:rsid w:val="000C6A14"/>
    <w:rsid w:val="000C6B77"/>
    <w:rsid w:val="000C6CC1"/>
    <w:rsid w:val="000C6FC3"/>
    <w:rsid w:val="000C70CD"/>
    <w:rsid w:val="000C7377"/>
    <w:rsid w:val="000C73BC"/>
    <w:rsid w:val="000C73EE"/>
    <w:rsid w:val="000C74C2"/>
    <w:rsid w:val="000C74E5"/>
    <w:rsid w:val="000C7561"/>
    <w:rsid w:val="000C76E7"/>
    <w:rsid w:val="000C776B"/>
    <w:rsid w:val="000C786D"/>
    <w:rsid w:val="000C78E0"/>
    <w:rsid w:val="000C799C"/>
    <w:rsid w:val="000C7B39"/>
    <w:rsid w:val="000C7E0A"/>
    <w:rsid w:val="000D0080"/>
    <w:rsid w:val="000D019F"/>
    <w:rsid w:val="000D01E6"/>
    <w:rsid w:val="000D0294"/>
    <w:rsid w:val="000D02EA"/>
    <w:rsid w:val="000D0302"/>
    <w:rsid w:val="000D0348"/>
    <w:rsid w:val="000D06E1"/>
    <w:rsid w:val="000D0857"/>
    <w:rsid w:val="000D098C"/>
    <w:rsid w:val="000D099D"/>
    <w:rsid w:val="000D09D6"/>
    <w:rsid w:val="000D0A51"/>
    <w:rsid w:val="000D0BE3"/>
    <w:rsid w:val="000D0C6A"/>
    <w:rsid w:val="000D0CBF"/>
    <w:rsid w:val="000D0E13"/>
    <w:rsid w:val="000D0F48"/>
    <w:rsid w:val="000D1003"/>
    <w:rsid w:val="000D10C5"/>
    <w:rsid w:val="000D119F"/>
    <w:rsid w:val="000D12AF"/>
    <w:rsid w:val="000D12D8"/>
    <w:rsid w:val="000D13C6"/>
    <w:rsid w:val="000D1445"/>
    <w:rsid w:val="000D14A6"/>
    <w:rsid w:val="000D1527"/>
    <w:rsid w:val="000D15AE"/>
    <w:rsid w:val="000D15CC"/>
    <w:rsid w:val="000D1667"/>
    <w:rsid w:val="000D1686"/>
    <w:rsid w:val="000D1875"/>
    <w:rsid w:val="000D1ABD"/>
    <w:rsid w:val="000D1B19"/>
    <w:rsid w:val="000D1B36"/>
    <w:rsid w:val="000D1E17"/>
    <w:rsid w:val="000D1ED9"/>
    <w:rsid w:val="000D2094"/>
    <w:rsid w:val="000D2133"/>
    <w:rsid w:val="000D2259"/>
    <w:rsid w:val="000D2396"/>
    <w:rsid w:val="000D24B8"/>
    <w:rsid w:val="000D2553"/>
    <w:rsid w:val="000D2685"/>
    <w:rsid w:val="000D26FB"/>
    <w:rsid w:val="000D2736"/>
    <w:rsid w:val="000D28C6"/>
    <w:rsid w:val="000D28F2"/>
    <w:rsid w:val="000D29F1"/>
    <w:rsid w:val="000D2A3F"/>
    <w:rsid w:val="000D2A59"/>
    <w:rsid w:val="000D2A6A"/>
    <w:rsid w:val="000D2A93"/>
    <w:rsid w:val="000D2AFF"/>
    <w:rsid w:val="000D2B6A"/>
    <w:rsid w:val="000D2CA9"/>
    <w:rsid w:val="000D2CDB"/>
    <w:rsid w:val="000D2E4E"/>
    <w:rsid w:val="000D2FC5"/>
    <w:rsid w:val="000D3018"/>
    <w:rsid w:val="000D3327"/>
    <w:rsid w:val="000D33EA"/>
    <w:rsid w:val="000D35E3"/>
    <w:rsid w:val="000D36BB"/>
    <w:rsid w:val="000D3937"/>
    <w:rsid w:val="000D39C6"/>
    <w:rsid w:val="000D39D5"/>
    <w:rsid w:val="000D3AED"/>
    <w:rsid w:val="000D3B78"/>
    <w:rsid w:val="000D3B94"/>
    <w:rsid w:val="000D3BC8"/>
    <w:rsid w:val="000D3BCA"/>
    <w:rsid w:val="000D3D0D"/>
    <w:rsid w:val="000D3D1C"/>
    <w:rsid w:val="000D3F85"/>
    <w:rsid w:val="000D4154"/>
    <w:rsid w:val="000D417C"/>
    <w:rsid w:val="000D41A9"/>
    <w:rsid w:val="000D44E3"/>
    <w:rsid w:val="000D45FA"/>
    <w:rsid w:val="000D464E"/>
    <w:rsid w:val="000D4666"/>
    <w:rsid w:val="000D4686"/>
    <w:rsid w:val="000D4725"/>
    <w:rsid w:val="000D4742"/>
    <w:rsid w:val="000D475B"/>
    <w:rsid w:val="000D48E3"/>
    <w:rsid w:val="000D4968"/>
    <w:rsid w:val="000D4A28"/>
    <w:rsid w:val="000D4AFE"/>
    <w:rsid w:val="000D4C30"/>
    <w:rsid w:val="000D4CA0"/>
    <w:rsid w:val="000D4DCF"/>
    <w:rsid w:val="000D5336"/>
    <w:rsid w:val="000D541D"/>
    <w:rsid w:val="000D546F"/>
    <w:rsid w:val="000D5762"/>
    <w:rsid w:val="000D5821"/>
    <w:rsid w:val="000D58FA"/>
    <w:rsid w:val="000D5997"/>
    <w:rsid w:val="000D59B4"/>
    <w:rsid w:val="000D5A8B"/>
    <w:rsid w:val="000D5BD9"/>
    <w:rsid w:val="000D5C79"/>
    <w:rsid w:val="000D5D87"/>
    <w:rsid w:val="000D5E6D"/>
    <w:rsid w:val="000D5EBC"/>
    <w:rsid w:val="000D5F9A"/>
    <w:rsid w:val="000D607F"/>
    <w:rsid w:val="000D6114"/>
    <w:rsid w:val="000D6281"/>
    <w:rsid w:val="000D62AE"/>
    <w:rsid w:val="000D638F"/>
    <w:rsid w:val="000D645B"/>
    <w:rsid w:val="000D658C"/>
    <w:rsid w:val="000D68B7"/>
    <w:rsid w:val="000D6A81"/>
    <w:rsid w:val="000D6AD3"/>
    <w:rsid w:val="000D6CAA"/>
    <w:rsid w:val="000D6D7A"/>
    <w:rsid w:val="000D6F59"/>
    <w:rsid w:val="000D70DE"/>
    <w:rsid w:val="000D716C"/>
    <w:rsid w:val="000D7173"/>
    <w:rsid w:val="000D71CB"/>
    <w:rsid w:val="000D726D"/>
    <w:rsid w:val="000D72A3"/>
    <w:rsid w:val="000D774A"/>
    <w:rsid w:val="000D774E"/>
    <w:rsid w:val="000D77A5"/>
    <w:rsid w:val="000D786E"/>
    <w:rsid w:val="000D7956"/>
    <w:rsid w:val="000D7AF0"/>
    <w:rsid w:val="000D7B62"/>
    <w:rsid w:val="000D7DCC"/>
    <w:rsid w:val="000D7EAF"/>
    <w:rsid w:val="000D7F60"/>
    <w:rsid w:val="000E007F"/>
    <w:rsid w:val="000E022A"/>
    <w:rsid w:val="000E02BE"/>
    <w:rsid w:val="000E04FB"/>
    <w:rsid w:val="000E053E"/>
    <w:rsid w:val="000E0680"/>
    <w:rsid w:val="000E078E"/>
    <w:rsid w:val="000E080C"/>
    <w:rsid w:val="000E09B5"/>
    <w:rsid w:val="000E0C02"/>
    <w:rsid w:val="000E0D9E"/>
    <w:rsid w:val="000E0F99"/>
    <w:rsid w:val="000E0FF8"/>
    <w:rsid w:val="000E1011"/>
    <w:rsid w:val="000E10F7"/>
    <w:rsid w:val="000E117E"/>
    <w:rsid w:val="000E1237"/>
    <w:rsid w:val="000E131A"/>
    <w:rsid w:val="000E13AE"/>
    <w:rsid w:val="000E1521"/>
    <w:rsid w:val="000E1612"/>
    <w:rsid w:val="000E1681"/>
    <w:rsid w:val="000E16FD"/>
    <w:rsid w:val="000E176A"/>
    <w:rsid w:val="000E199C"/>
    <w:rsid w:val="000E19EE"/>
    <w:rsid w:val="000E1A0E"/>
    <w:rsid w:val="000E1A2A"/>
    <w:rsid w:val="000E1BD3"/>
    <w:rsid w:val="000E1CBC"/>
    <w:rsid w:val="000E1CDD"/>
    <w:rsid w:val="000E1FCC"/>
    <w:rsid w:val="000E20CD"/>
    <w:rsid w:val="000E214E"/>
    <w:rsid w:val="000E217E"/>
    <w:rsid w:val="000E21BD"/>
    <w:rsid w:val="000E22DD"/>
    <w:rsid w:val="000E2309"/>
    <w:rsid w:val="000E2329"/>
    <w:rsid w:val="000E2335"/>
    <w:rsid w:val="000E2349"/>
    <w:rsid w:val="000E2444"/>
    <w:rsid w:val="000E2672"/>
    <w:rsid w:val="000E26EA"/>
    <w:rsid w:val="000E272D"/>
    <w:rsid w:val="000E2BBD"/>
    <w:rsid w:val="000E2C7A"/>
    <w:rsid w:val="000E2C89"/>
    <w:rsid w:val="000E2CD2"/>
    <w:rsid w:val="000E2D5F"/>
    <w:rsid w:val="000E2F25"/>
    <w:rsid w:val="000E2F93"/>
    <w:rsid w:val="000E3096"/>
    <w:rsid w:val="000E30B8"/>
    <w:rsid w:val="000E3118"/>
    <w:rsid w:val="000E3143"/>
    <w:rsid w:val="000E3261"/>
    <w:rsid w:val="000E3264"/>
    <w:rsid w:val="000E3267"/>
    <w:rsid w:val="000E32C9"/>
    <w:rsid w:val="000E3493"/>
    <w:rsid w:val="000E34F3"/>
    <w:rsid w:val="000E35EC"/>
    <w:rsid w:val="000E36BF"/>
    <w:rsid w:val="000E3933"/>
    <w:rsid w:val="000E3953"/>
    <w:rsid w:val="000E39A2"/>
    <w:rsid w:val="000E3A07"/>
    <w:rsid w:val="000E3C0C"/>
    <w:rsid w:val="000E3DF0"/>
    <w:rsid w:val="000E3EBC"/>
    <w:rsid w:val="000E3EC2"/>
    <w:rsid w:val="000E43B0"/>
    <w:rsid w:val="000E4635"/>
    <w:rsid w:val="000E46AB"/>
    <w:rsid w:val="000E49A8"/>
    <w:rsid w:val="000E4A76"/>
    <w:rsid w:val="000E4C81"/>
    <w:rsid w:val="000E4DD9"/>
    <w:rsid w:val="000E4E5D"/>
    <w:rsid w:val="000E4E70"/>
    <w:rsid w:val="000E4E91"/>
    <w:rsid w:val="000E5347"/>
    <w:rsid w:val="000E53D3"/>
    <w:rsid w:val="000E54BB"/>
    <w:rsid w:val="000E56F0"/>
    <w:rsid w:val="000E5A45"/>
    <w:rsid w:val="000E5A82"/>
    <w:rsid w:val="000E5DB3"/>
    <w:rsid w:val="000E5E59"/>
    <w:rsid w:val="000E5EA2"/>
    <w:rsid w:val="000E5F2A"/>
    <w:rsid w:val="000E6048"/>
    <w:rsid w:val="000E6106"/>
    <w:rsid w:val="000E6117"/>
    <w:rsid w:val="000E6156"/>
    <w:rsid w:val="000E637E"/>
    <w:rsid w:val="000E64FF"/>
    <w:rsid w:val="000E65DD"/>
    <w:rsid w:val="000E6726"/>
    <w:rsid w:val="000E674D"/>
    <w:rsid w:val="000E6CA9"/>
    <w:rsid w:val="000E6DE8"/>
    <w:rsid w:val="000E6FE2"/>
    <w:rsid w:val="000E7025"/>
    <w:rsid w:val="000E720C"/>
    <w:rsid w:val="000E7236"/>
    <w:rsid w:val="000E72A9"/>
    <w:rsid w:val="000E72DE"/>
    <w:rsid w:val="000E72FF"/>
    <w:rsid w:val="000E736C"/>
    <w:rsid w:val="000E7556"/>
    <w:rsid w:val="000E7655"/>
    <w:rsid w:val="000E7768"/>
    <w:rsid w:val="000E7774"/>
    <w:rsid w:val="000E7962"/>
    <w:rsid w:val="000E79F6"/>
    <w:rsid w:val="000E7A16"/>
    <w:rsid w:val="000E7B74"/>
    <w:rsid w:val="000F0046"/>
    <w:rsid w:val="000F0144"/>
    <w:rsid w:val="000F01DB"/>
    <w:rsid w:val="000F0201"/>
    <w:rsid w:val="000F0228"/>
    <w:rsid w:val="000F039F"/>
    <w:rsid w:val="000F042F"/>
    <w:rsid w:val="000F0475"/>
    <w:rsid w:val="000F053F"/>
    <w:rsid w:val="000F068B"/>
    <w:rsid w:val="000F0AB4"/>
    <w:rsid w:val="000F0B0E"/>
    <w:rsid w:val="000F0CF2"/>
    <w:rsid w:val="000F1059"/>
    <w:rsid w:val="000F1067"/>
    <w:rsid w:val="000F10FF"/>
    <w:rsid w:val="000F1171"/>
    <w:rsid w:val="000F1177"/>
    <w:rsid w:val="000F1246"/>
    <w:rsid w:val="000F129C"/>
    <w:rsid w:val="000F12CA"/>
    <w:rsid w:val="000F1499"/>
    <w:rsid w:val="000F158F"/>
    <w:rsid w:val="000F16D1"/>
    <w:rsid w:val="000F17E3"/>
    <w:rsid w:val="000F184B"/>
    <w:rsid w:val="000F1886"/>
    <w:rsid w:val="000F1A50"/>
    <w:rsid w:val="000F1B45"/>
    <w:rsid w:val="000F1B6B"/>
    <w:rsid w:val="000F1C12"/>
    <w:rsid w:val="000F1C6D"/>
    <w:rsid w:val="000F1D38"/>
    <w:rsid w:val="000F1D3F"/>
    <w:rsid w:val="000F1D6C"/>
    <w:rsid w:val="000F1ECA"/>
    <w:rsid w:val="000F1FC6"/>
    <w:rsid w:val="000F1FF6"/>
    <w:rsid w:val="000F2023"/>
    <w:rsid w:val="000F2030"/>
    <w:rsid w:val="000F2073"/>
    <w:rsid w:val="000F20B9"/>
    <w:rsid w:val="000F21AF"/>
    <w:rsid w:val="000F2272"/>
    <w:rsid w:val="000F24C0"/>
    <w:rsid w:val="000F24C3"/>
    <w:rsid w:val="000F25AA"/>
    <w:rsid w:val="000F274D"/>
    <w:rsid w:val="000F274E"/>
    <w:rsid w:val="000F275E"/>
    <w:rsid w:val="000F28D0"/>
    <w:rsid w:val="000F2945"/>
    <w:rsid w:val="000F29C3"/>
    <w:rsid w:val="000F2A14"/>
    <w:rsid w:val="000F2A28"/>
    <w:rsid w:val="000F2AAE"/>
    <w:rsid w:val="000F2AC9"/>
    <w:rsid w:val="000F2C2B"/>
    <w:rsid w:val="000F2FC1"/>
    <w:rsid w:val="000F300C"/>
    <w:rsid w:val="000F307D"/>
    <w:rsid w:val="000F30B1"/>
    <w:rsid w:val="000F316D"/>
    <w:rsid w:val="000F319D"/>
    <w:rsid w:val="000F31EE"/>
    <w:rsid w:val="000F3300"/>
    <w:rsid w:val="000F330D"/>
    <w:rsid w:val="000F3413"/>
    <w:rsid w:val="000F343C"/>
    <w:rsid w:val="000F34F4"/>
    <w:rsid w:val="000F356A"/>
    <w:rsid w:val="000F3703"/>
    <w:rsid w:val="000F3851"/>
    <w:rsid w:val="000F38CE"/>
    <w:rsid w:val="000F392F"/>
    <w:rsid w:val="000F3AF6"/>
    <w:rsid w:val="000F3B21"/>
    <w:rsid w:val="000F3B30"/>
    <w:rsid w:val="000F3D28"/>
    <w:rsid w:val="000F433F"/>
    <w:rsid w:val="000F434A"/>
    <w:rsid w:val="000F4488"/>
    <w:rsid w:val="000F44A7"/>
    <w:rsid w:val="000F451B"/>
    <w:rsid w:val="000F4535"/>
    <w:rsid w:val="000F4583"/>
    <w:rsid w:val="000F4684"/>
    <w:rsid w:val="000F47E8"/>
    <w:rsid w:val="000F4867"/>
    <w:rsid w:val="000F4CDE"/>
    <w:rsid w:val="000F4D13"/>
    <w:rsid w:val="000F4D2C"/>
    <w:rsid w:val="000F4FD1"/>
    <w:rsid w:val="000F5019"/>
    <w:rsid w:val="000F50AB"/>
    <w:rsid w:val="000F52CC"/>
    <w:rsid w:val="000F536C"/>
    <w:rsid w:val="000F538C"/>
    <w:rsid w:val="000F5453"/>
    <w:rsid w:val="000F54A8"/>
    <w:rsid w:val="000F55D3"/>
    <w:rsid w:val="000F56D1"/>
    <w:rsid w:val="000F5956"/>
    <w:rsid w:val="000F596A"/>
    <w:rsid w:val="000F5A5E"/>
    <w:rsid w:val="000F5AD1"/>
    <w:rsid w:val="000F5B07"/>
    <w:rsid w:val="000F5B1A"/>
    <w:rsid w:val="000F5C35"/>
    <w:rsid w:val="000F5D84"/>
    <w:rsid w:val="000F5DF1"/>
    <w:rsid w:val="000F5F61"/>
    <w:rsid w:val="000F5F9E"/>
    <w:rsid w:val="000F5FD8"/>
    <w:rsid w:val="000F5FE2"/>
    <w:rsid w:val="000F6139"/>
    <w:rsid w:val="000F6335"/>
    <w:rsid w:val="000F6490"/>
    <w:rsid w:val="000F6724"/>
    <w:rsid w:val="000F67FB"/>
    <w:rsid w:val="000F680B"/>
    <w:rsid w:val="000F6846"/>
    <w:rsid w:val="000F6870"/>
    <w:rsid w:val="000F6984"/>
    <w:rsid w:val="000F6BAD"/>
    <w:rsid w:val="000F6C58"/>
    <w:rsid w:val="000F6E35"/>
    <w:rsid w:val="000F6FFE"/>
    <w:rsid w:val="000F726F"/>
    <w:rsid w:val="000F72F1"/>
    <w:rsid w:val="000F7346"/>
    <w:rsid w:val="000F736C"/>
    <w:rsid w:val="000F75F5"/>
    <w:rsid w:val="000F7780"/>
    <w:rsid w:val="000F7862"/>
    <w:rsid w:val="000F78AA"/>
    <w:rsid w:val="000F7900"/>
    <w:rsid w:val="000F79AD"/>
    <w:rsid w:val="000F7A50"/>
    <w:rsid w:val="000F7A87"/>
    <w:rsid w:val="000F7C1D"/>
    <w:rsid w:val="000F7C3C"/>
    <w:rsid w:val="000F7C80"/>
    <w:rsid w:val="000F7E02"/>
    <w:rsid w:val="000F7E32"/>
    <w:rsid w:val="000F7ED8"/>
    <w:rsid w:val="000F7F27"/>
    <w:rsid w:val="0010033A"/>
    <w:rsid w:val="00100354"/>
    <w:rsid w:val="00100445"/>
    <w:rsid w:val="0010047E"/>
    <w:rsid w:val="00100523"/>
    <w:rsid w:val="001007BC"/>
    <w:rsid w:val="0010086A"/>
    <w:rsid w:val="001008B3"/>
    <w:rsid w:val="001008CA"/>
    <w:rsid w:val="00100E20"/>
    <w:rsid w:val="00100FAB"/>
    <w:rsid w:val="00100FF2"/>
    <w:rsid w:val="001010B1"/>
    <w:rsid w:val="001012E1"/>
    <w:rsid w:val="0010131A"/>
    <w:rsid w:val="0010141B"/>
    <w:rsid w:val="001015A2"/>
    <w:rsid w:val="00101649"/>
    <w:rsid w:val="0010165E"/>
    <w:rsid w:val="001018D9"/>
    <w:rsid w:val="0010190E"/>
    <w:rsid w:val="00101982"/>
    <w:rsid w:val="001019E7"/>
    <w:rsid w:val="00101A15"/>
    <w:rsid w:val="00101A41"/>
    <w:rsid w:val="00101BA2"/>
    <w:rsid w:val="00101BC0"/>
    <w:rsid w:val="00101C81"/>
    <w:rsid w:val="00101D92"/>
    <w:rsid w:val="00101E39"/>
    <w:rsid w:val="00101E72"/>
    <w:rsid w:val="00101FF6"/>
    <w:rsid w:val="001020B1"/>
    <w:rsid w:val="0010226F"/>
    <w:rsid w:val="0010236F"/>
    <w:rsid w:val="0010240B"/>
    <w:rsid w:val="0010242B"/>
    <w:rsid w:val="00102507"/>
    <w:rsid w:val="0010268D"/>
    <w:rsid w:val="001026A7"/>
    <w:rsid w:val="001027A2"/>
    <w:rsid w:val="001028FB"/>
    <w:rsid w:val="0010298E"/>
    <w:rsid w:val="00102A86"/>
    <w:rsid w:val="00102C9C"/>
    <w:rsid w:val="00102D6C"/>
    <w:rsid w:val="00102F44"/>
    <w:rsid w:val="00103040"/>
    <w:rsid w:val="0010322F"/>
    <w:rsid w:val="00103267"/>
    <w:rsid w:val="001032D1"/>
    <w:rsid w:val="00103372"/>
    <w:rsid w:val="0010362B"/>
    <w:rsid w:val="00103791"/>
    <w:rsid w:val="0010391B"/>
    <w:rsid w:val="00103961"/>
    <w:rsid w:val="00103987"/>
    <w:rsid w:val="001039E1"/>
    <w:rsid w:val="00103A41"/>
    <w:rsid w:val="00103B68"/>
    <w:rsid w:val="00103DB7"/>
    <w:rsid w:val="0010400C"/>
    <w:rsid w:val="0010401D"/>
    <w:rsid w:val="001040B9"/>
    <w:rsid w:val="001041FA"/>
    <w:rsid w:val="001041FE"/>
    <w:rsid w:val="00104555"/>
    <w:rsid w:val="001047EE"/>
    <w:rsid w:val="001048E9"/>
    <w:rsid w:val="001049B9"/>
    <w:rsid w:val="00104AC5"/>
    <w:rsid w:val="00104B36"/>
    <w:rsid w:val="00104C39"/>
    <w:rsid w:val="00104E7D"/>
    <w:rsid w:val="00104F5D"/>
    <w:rsid w:val="00104FB5"/>
    <w:rsid w:val="0010500B"/>
    <w:rsid w:val="00105053"/>
    <w:rsid w:val="00105075"/>
    <w:rsid w:val="00105096"/>
    <w:rsid w:val="0010514D"/>
    <w:rsid w:val="001053EA"/>
    <w:rsid w:val="00105449"/>
    <w:rsid w:val="00105687"/>
    <w:rsid w:val="00105788"/>
    <w:rsid w:val="00105BB4"/>
    <w:rsid w:val="00105C7F"/>
    <w:rsid w:val="00105DA1"/>
    <w:rsid w:val="00105EC4"/>
    <w:rsid w:val="00106102"/>
    <w:rsid w:val="0010616D"/>
    <w:rsid w:val="00106235"/>
    <w:rsid w:val="001062B6"/>
    <w:rsid w:val="0010632E"/>
    <w:rsid w:val="00106459"/>
    <w:rsid w:val="001064E2"/>
    <w:rsid w:val="00106570"/>
    <w:rsid w:val="0010689D"/>
    <w:rsid w:val="00106AA5"/>
    <w:rsid w:val="00106B1E"/>
    <w:rsid w:val="00106BDB"/>
    <w:rsid w:val="00106DA5"/>
    <w:rsid w:val="00106F18"/>
    <w:rsid w:val="00107152"/>
    <w:rsid w:val="00107365"/>
    <w:rsid w:val="00107565"/>
    <w:rsid w:val="001075FD"/>
    <w:rsid w:val="00107802"/>
    <w:rsid w:val="00107D23"/>
    <w:rsid w:val="00107F26"/>
    <w:rsid w:val="00107F7A"/>
    <w:rsid w:val="0011000B"/>
    <w:rsid w:val="00110173"/>
    <w:rsid w:val="00110275"/>
    <w:rsid w:val="00110327"/>
    <w:rsid w:val="001103A4"/>
    <w:rsid w:val="001107CB"/>
    <w:rsid w:val="001108BB"/>
    <w:rsid w:val="00110978"/>
    <w:rsid w:val="001109FA"/>
    <w:rsid w:val="00110A3C"/>
    <w:rsid w:val="00110A88"/>
    <w:rsid w:val="00110EFD"/>
    <w:rsid w:val="00110FB0"/>
    <w:rsid w:val="00111115"/>
    <w:rsid w:val="00111375"/>
    <w:rsid w:val="00111379"/>
    <w:rsid w:val="00111450"/>
    <w:rsid w:val="0011145F"/>
    <w:rsid w:val="00111494"/>
    <w:rsid w:val="001114E8"/>
    <w:rsid w:val="00111A69"/>
    <w:rsid w:val="00111BE0"/>
    <w:rsid w:val="00111DA9"/>
    <w:rsid w:val="00111DAA"/>
    <w:rsid w:val="00111E70"/>
    <w:rsid w:val="00111E7C"/>
    <w:rsid w:val="001120A3"/>
    <w:rsid w:val="001120AB"/>
    <w:rsid w:val="00112105"/>
    <w:rsid w:val="0011213C"/>
    <w:rsid w:val="0011217E"/>
    <w:rsid w:val="0011225B"/>
    <w:rsid w:val="00112329"/>
    <w:rsid w:val="001124D9"/>
    <w:rsid w:val="0011259C"/>
    <w:rsid w:val="0011264E"/>
    <w:rsid w:val="0011265E"/>
    <w:rsid w:val="0011289D"/>
    <w:rsid w:val="00112983"/>
    <w:rsid w:val="001129D5"/>
    <w:rsid w:val="00112C2B"/>
    <w:rsid w:val="00112D29"/>
    <w:rsid w:val="00112E8F"/>
    <w:rsid w:val="00112FBF"/>
    <w:rsid w:val="001131E4"/>
    <w:rsid w:val="0011345A"/>
    <w:rsid w:val="001134A2"/>
    <w:rsid w:val="00113538"/>
    <w:rsid w:val="00113828"/>
    <w:rsid w:val="001138AC"/>
    <w:rsid w:val="00113917"/>
    <w:rsid w:val="00113918"/>
    <w:rsid w:val="00113A31"/>
    <w:rsid w:val="00113C0E"/>
    <w:rsid w:val="00113C73"/>
    <w:rsid w:val="00113ED8"/>
    <w:rsid w:val="00114451"/>
    <w:rsid w:val="00114496"/>
    <w:rsid w:val="00114558"/>
    <w:rsid w:val="001145E9"/>
    <w:rsid w:val="0011469C"/>
    <w:rsid w:val="001147B3"/>
    <w:rsid w:val="0011484D"/>
    <w:rsid w:val="0011488C"/>
    <w:rsid w:val="00114958"/>
    <w:rsid w:val="00114D64"/>
    <w:rsid w:val="00114E0B"/>
    <w:rsid w:val="00114F1F"/>
    <w:rsid w:val="00115015"/>
    <w:rsid w:val="00115064"/>
    <w:rsid w:val="001150AD"/>
    <w:rsid w:val="001150EF"/>
    <w:rsid w:val="00115124"/>
    <w:rsid w:val="001153EA"/>
    <w:rsid w:val="00115439"/>
    <w:rsid w:val="001154A1"/>
    <w:rsid w:val="0011558F"/>
    <w:rsid w:val="00115593"/>
    <w:rsid w:val="00115722"/>
    <w:rsid w:val="001157AC"/>
    <w:rsid w:val="0011585C"/>
    <w:rsid w:val="00115B6D"/>
    <w:rsid w:val="00115C11"/>
    <w:rsid w:val="00115C37"/>
    <w:rsid w:val="00115E0B"/>
    <w:rsid w:val="00115FB0"/>
    <w:rsid w:val="00115FF7"/>
    <w:rsid w:val="001160DC"/>
    <w:rsid w:val="00116236"/>
    <w:rsid w:val="00116365"/>
    <w:rsid w:val="00116393"/>
    <w:rsid w:val="00116504"/>
    <w:rsid w:val="0011664B"/>
    <w:rsid w:val="00116728"/>
    <w:rsid w:val="00116A1C"/>
    <w:rsid w:val="00116A77"/>
    <w:rsid w:val="00116A79"/>
    <w:rsid w:val="00116B72"/>
    <w:rsid w:val="00116C8B"/>
    <w:rsid w:val="00116D60"/>
    <w:rsid w:val="00116DD9"/>
    <w:rsid w:val="00116F0E"/>
    <w:rsid w:val="00116F6E"/>
    <w:rsid w:val="00116FCD"/>
    <w:rsid w:val="001172EC"/>
    <w:rsid w:val="00117462"/>
    <w:rsid w:val="001174C3"/>
    <w:rsid w:val="001174D0"/>
    <w:rsid w:val="0011758B"/>
    <w:rsid w:val="00117608"/>
    <w:rsid w:val="00117697"/>
    <w:rsid w:val="0011779B"/>
    <w:rsid w:val="00117985"/>
    <w:rsid w:val="00117A3B"/>
    <w:rsid w:val="00117A89"/>
    <w:rsid w:val="00117AF0"/>
    <w:rsid w:val="00117B76"/>
    <w:rsid w:val="00117D17"/>
    <w:rsid w:val="00117FD1"/>
    <w:rsid w:val="00120187"/>
    <w:rsid w:val="001201D6"/>
    <w:rsid w:val="0012021A"/>
    <w:rsid w:val="00120397"/>
    <w:rsid w:val="00120398"/>
    <w:rsid w:val="001205F2"/>
    <w:rsid w:val="001206E6"/>
    <w:rsid w:val="00120792"/>
    <w:rsid w:val="00120927"/>
    <w:rsid w:val="00120A55"/>
    <w:rsid w:val="00120B24"/>
    <w:rsid w:val="00120BBB"/>
    <w:rsid w:val="00120BFF"/>
    <w:rsid w:val="00120E06"/>
    <w:rsid w:val="00120E48"/>
    <w:rsid w:val="00120F45"/>
    <w:rsid w:val="00120FF7"/>
    <w:rsid w:val="0012105E"/>
    <w:rsid w:val="00121301"/>
    <w:rsid w:val="001213B4"/>
    <w:rsid w:val="001214E9"/>
    <w:rsid w:val="00121568"/>
    <w:rsid w:val="0012179E"/>
    <w:rsid w:val="001218EC"/>
    <w:rsid w:val="00121902"/>
    <w:rsid w:val="0012194B"/>
    <w:rsid w:val="001219FA"/>
    <w:rsid w:val="00121A6C"/>
    <w:rsid w:val="00121B34"/>
    <w:rsid w:val="00121C8A"/>
    <w:rsid w:val="00121DE3"/>
    <w:rsid w:val="001220F6"/>
    <w:rsid w:val="00122568"/>
    <w:rsid w:val="001225EF"/>
    <w:rsid w:val="0012266F"/>
    <w:rsid w:val="00122A27"/>
    <w:rsid w:val="00122C92"/>
    <w:rsid w:val="00123080"/>
    <w:rsid w:val="00123203"/>
    <w:rsid w:val="001233FD"/>
    <w:rsid w:val="001236A3"/>
    <w:rsid w:val="00123711"/>
    <w:rsid w:val="001237D4"/>
    <w:rsid w:val="001238C7"/>
    <w:rsid w:val="001238D1"/>
    <w:rsid w:val="00123A34"/>
    <w:rsid w:val="00123D2D"/>
    <w:rsid w:val="00123DFE"/>
    <w:rsid w:val="00123E67"/>
    <w:rsid w:val="00123E70"/>
    <w:rsid w:val="00123F12"/>
    <w:rsid w:val="001240AF"/>
    <w:rsid w:val="001241C4"/>
    <w:rsid w:val="001242FB"/>
    <w:rsid w:val="00124355"/>
    <w:rsid w:val="00124445"/>
    <w:rsid w:val="0012444C"/>
    <w:rsid w:val="00124468"/>
    <w:rsid w:val="001245EC"/>
    <w:rsid w:val="001245FA"/>
    <w:rsid w:val="00124607"/>
    <w:rsid w:val="0012460A"/>
    <w:rsid w:val="00124726"/>
    <w:rsid w:val="00124737"/>
    <w:rsid w:val="0012483E"/>
    <w:rsid w:val="00124B99"/>
    <w:rsid w:val="00124CC0"/>
    <w:rsid w:val="00124F5B"/>
    <w:rsid w:val="001250D0"/>
    <w:rsid w:val="001251AD"/>
    <w:rsid w:val="0012551B"/>
    <w:rsid w:val="00125588"/>
    <w:rsid w:val="0012578E"/>
    <w:rsid w:val="00125932"/>
    <w:rsid w:val="001259CE"/>
    <w:rsid w:val="00125BE8"/>
    <w:rsid w:val="00125C0C"/>
    <w:rsid w:val="00125D9A"/>
    <w:rsid w:val="00125EF6"/>
    <w:rsid w:val="00125F08"/>
    <w:rsid w:val="00125F4B"/>
    <w:rsid w:val="0012605D"/>
    <w:rsid w:val="0012609D"/>
    <w:rsid w:val="0012645B"/>
    <w:rsid w:val="001264A3"/>
    <w:rsid w:val="00126517"/>
    <w:rsid w:val="0012664C"/>
    <w:rsid w:val="00126668"/>
    <w:rsid w:val="00126679"/>
    <w:rsid w:val="001266AE"/>
    <w:rsid w:val="001267C1"/>
    <w:rsid w:val="00126802"/>
    <w:rsid w:val="001268BC"/>
    <w:rsid w:val="00126982"/>
    <w:rsid w:val="00126AF9"/>
    <w:rsid w:val="00126B5D"/>
    <w:rsid w:val="00126BE5"/>
    <w:rsid w:val="00126C1C"/>
    <w:rsid w:val="00126C31"/>
    <w:rsid w:val="00126C7A"/>
    <w:rsid w:val="00126D4C"/>
    <w:rsid w:val="00126D87"/>
    <w:rsid w:val="00126DA2"/>
    <w:rsid w:val="00126E4C"/>
    <w:rsid w:val="00126EBD"/>
    <w:rsid w:val="00127103"/>
    <w:rsid w:val="00127155"/>
    <w:rsid w:val="00127195"/>
    <w:rsid w:val="0012720E"/>
    <w:rsid w:val="001272A5"/>
    <w:rsid w:val="00127543"/>
    <w:rsid w:val="00127654"/>
    <w:rsid w:val="0012769B"/>
    <w:rsid w:val="001276A3"/>
    <w:rsid w:val="001276D2"/>
    <w:rsid w:val="001278A1"/>
    <w:rsid w:val="001278CB"/>
    <w:rsid w:val="00127951"/>
    <w:rsid w:val="001279A6"/>
    <w:rsid w:val="00127A72"/>
    <w:rsid w:val="00127A75"/>
    <w:rsid w:val="00127AB4"/>
    <w:rsid w:val="00127BDF"/>
    <w:rsid w:val="00127DD9"/>
    <w:rsid w:val="00127FBB"/>
    <w:rsid w:val="001302B4"/>
    <w:rsid w:val="001302EC"/>
    <w:rsid w:val="001305DB"/>
    <w:rsid w:val="0013098B"/>
    <w:rsid w:val="001309E7"/>
    <w:rsid w:val="00130A25"/>
    <w:rsid w:val="00130BAE"/>
    <w:rsid w:val="00130C86"/>
    <w:rsid w:val="00130C99"/>
    <w:rsid w:val="00130E2D"/>
    <w:rsid w:val="00130E9E"/>
    <w:rsid w:val="00130FA0"/>
    <w:rsid w:val="001310D2"/>
    <w:rsid w:val="001310F9"/>
    <w:rsid w:val="0013114B"/>
    <w:rsid w:val="0013115D"/>
    <w:rsid w:val="0013121E"/>
    <w:rsid w:val="00131322"/>
    <w:rsid w:val="00131368"/>
    <w:rsid w:val="00131389"/>
    <w:rsid w:val="001315AE"/>
    <w:rsid w:val="0013183E"/>
    <w:rsid w:val="0013196F"/>
    <w:rsid w:val="00131994"/>
    <w:rsid w:val="00131A56"/>
    <w:rsid w:val="00131C7F"/>
    <w:rsid w:val="00131D10"/>
    <w:rsid w:val="00131D94"/>
    <w:rsid w:val="00131E72"/>
    <w:rsid w:val="00132056"/>
    <w:rsid w:val="0013215F"/>
    <w:rsid w:val="00132178"/>
    <w:rsid w:val="00132245"/>
    <w:rsid w:val="001322BF"/>
    <w:rsid w:val="001325B7"/>
    <w:rsid w:val="001326C4"/>
    <w:rsid w:val="00132719"/>
    <w:rsid w:val="00132AA0"/>
    <w:rsid w:val="00132C88"/>
    <w:rsid w:val="00132E0A"/>
    <w:rsid w:val="00132E65"/>
    <w:rsid w:val="00132EC6"/>
    <w:rsid w:val="0013308E"/>
    <w:rsid w:val="00133110"/>
    <w:rsid w:val="00133276"/>
    <w:rsid w:val="001333E8"/>
    <w:rsid w:val="0013374C"/>
    <w:rsid w:val="001337D3"/>
    <w:rsid w:val="001339F7"/>
    <w:rsid w:val="00133A72"/>
    <w:rsid w:val="00133AAB"/>
    <w:rsid w:val="00133B99"/>
    <w:rsid w:val="00133C28"/>
    <w:rsid w:val="00133C47"/>
    <w:rsid w:val="00133CF0"/>
    <w:rsid w:val="00133D73"/>
    <w:rsid w:val="00133E82"/>
    <w:rsid w:val="00133E95"/>
    <w:rsid w:val="00133FB1"/>
    <w:rsid w:val="00133FE8"/>
    <w:rsid w:val="00134364"/>
    <w:rsid w:val="001343C9"/>
    <w:rsid w:val="001345A3"/>
    <w:rsid w:val="00134658"/>
    <w:rsid w:val="0013465F"/>
    <w:rsid w:val="0013478F"/>
    <w:rsid w:val="00134834"/>
    <w:rsid w:val="00134905"/>
    <w:rsid w:val="00134CDE"/>
    <w:rsid w:val="00134E0D"/>
    <w:rsid w:val="00134F3C"/>
    <w:rsid w:val="00134F6D"/>
    <w:rsid w:val="0013503B"/>
    <w:rsid w:val="001350F7"/>
    <w:rsid w:val="00135133"/>
    <w:rsid w:val="0013517B"/>
    <w:rsid w:val="001351B6"/>
    <w:rsid w:val="001354A4"/>
    <w:rsid w:val="001354E5"/>
    <w:rsid w:val="00135797"/>
    <w:rsid w:val="00135841"/>
    <w:rsid w:val="001358B2"/>
    <w:rsid w:val="00135A69"/>
    <w:rsid w:val="00135B0D"/>
    <w:rsid w:val="00135BCC"/>
    <w:rsid w:val="00135BDD"/>
    <w:rsid w:val="00135D5F"/>
    <w:rsid w:val="00135D61"/>
    <w:rsid w:val="00135DCC"/>
    <w:rsid w:val="00135E3C"/>
    <w:rsid w:val="00136144"/>
    <w:rsid w:val="0013619E"/>
    <w:rsid w:val="00136244"/>
    <w:rsid w:val="001362EF"/>
    <w:rsid w:val="001363B6"/>
    <w:rsid w:val="00136678"/>
    <w:rsid w:val="0013680F"/>
    <w:rsid w:val="0013683D"/>
    <w:rsid w:val="00136898"/>
    <w:rsid w:val="00136A86"/>
    <w:rsid w:val="00136B13"/>
    <w:rsid w:val="00136C6B"/>
    <w:rsid w:val="00136CCE"/>
    <w:rsid w:val="00136D33"/>
    <w:rsid w:val="00136E61"/>
    <w:rsid w:val="001370AE"/>
    <w:rsid w:val="001371C5"/>
    <w:rsid w:val="0013722E"/>
    <w:rsid w:val="001373B6"/>
    <w:rsid w:val="0013749B"/>
    <w:rsid w:val="00137530"/>
    <w:rsid w:val="00137665"/>
    <w:rsid w:val="001376C7"/>
    <w:rsid w:val="00137789"/>
    <w:rsid w:val="0013778B"/>
    <w:rsid w:val="00137A74"/>
    <w:rsid w:val="00137C16"/>
    <w:rsid w:val="00137C6F"/>
    <w:rsid w:val="00137CFC"/>
    <w:rsid w:val="00137D31"/>
    <w:rsid w:val="00137DB3"/>
    <w:rsid w:val="00137FAB"/>
    <w:rsid w:val="0014007A"/>
    <w:rsid w:val="00140163"/>
    <w:rsid w:val="001401A5"/>
    <w:rsid w:val="0014052B"/>
    <w:rsid w:val="0014067D"/>
    <w:rsid w:val="0014073C"/>
    <w:rsid w:val="00140A57"/>
    <w:rsid w:val="00140C0B"/>
    <w:rsid w:val="00140E4E"/>
    <w:rsid w:val="0014104B"/>
    <w:rsid w:val="00141057"/>
    <w:rsid w:val="001410A2"/>
    <w:rsid w:val="001410B6"/>
    <w:rsid w:val="001410F7"/>
    <w:rsid w:val="00141172"/>
    <w:rsid w:val="00141484"/>
    <w:rsid w:val="001415D8"/>
    <w:rsid w:val="00141692"/>
    <w:rsid w:val="00141944"/>
    <w:rsid w:val="00141C66"/>
    <w:rsid w:val="00141D31"/>
    <w:rsid w:val="00141D77"/>
    <w:rsid w:val="00141E25"/>
    <w:rsid w:val="0014217C"/>
    <w:rsid w:val="00142188"/>
    <w:rsid w:val="00142245"/>
    <w:rsid w:val="00142260"/>
    <w:rsid w:val="00142410"/>
    <w:rsid w:val="00142430"/>
    <w:rsid w:val="00142672"/>
    <w:rsid w:val="0014275E"/>
    <w:rsid w:val="001428DB"/>
    <w:rsid w:val="00142A17"/>
    <w:rsid w:val="00142B7D"/>
    <w:rsid w:val="00142C6C"/>
    <w:rsid w:val="00142D58"/>
    <w:rsid w:val="00142D5A"/>
    <w:rsid w:val="00142E82"/>
    <w:rsid w:val="0014309D"/>
    <w:rsid w:val="00143116"/>
    <w:rsid w:val="0014324F"/>
    <w:rsid w:val="001433A9"/>
    <w:rsid w:val="001433AA"/>
    <w:rsid w:val="0014344C"/>
    <w:rsid w:val="00143461"/>
    <w:rsid w:val="00143700"/>
    <w:rsid w:val="00143A11"/>
    <w:rsid w:val="00143A73"/>
    <w:rsid w:val="00143B2F"/>
    <w:rsid w:val="00143D5D"/>
    <w:rsid w:val="00143D63"/>
    <w:rsid w:val="00143DE7"/>
    <w:rsid w:val="00143FEA"/>
    <w:rsid w:val="0014408A"/>
    <w:rsid w:val="00144091"/>
    <w:rsid w:val="00144288"/>
    <w:rsid w:val="001445A3"/>
    <w:rsid w:val="00144620"/>
    <w:rsid w:val="0014482C"/>
    <w:rsid w:val="001449CA"/>
    <w:rsid w:val="00144A36"/>
    <w:rsid w:val="00144A9E"/>
    <w:rsid w:val="00144D86"/>
    <w:rsid w:val="001450BF"/>
    <w:rsid w:val="00145144"/>
    <w:rsid w:val="001451F1"/>
    <w:rsid w:val="001453B9"/>
    <w:rsid w:val="0014560D"/>
    <w:rsid w:val="001456FA"/>
    <w:rsid w:val="001458E1"/>
    <w:rsid w:val="00145938"/>
    <w:rsid w:val="00145A71"/>
    <w:rsid w:val="00145B26"/>
    <w:rsid w:val="00145B4A"/>
    <w:rsid w:val="00145F72"/>
    <w:rsid w:val="001460D5"/>
    <w:rsid w:val="001461C9"/>
    <w:rsid w:val="001461D2"/>
    <w:rsid w:val="001461FB"/>
    <w:rsid w:val="001463BA"/>
    <w:rsid w:val="001464E5"/>
    <w:rsid w:val="0014654E"/>
    <w:rsid w:val="0014664E"/>
    <w:rsid w:val="00146879"/>
    <w:rsid w:val="001468C8"/>
    <w:rsid w:val="0014698C"/>
    <w:rsid w:val="00146A1C"/>
    <w:rsid w:val="00146B3E"/>
    <w:rsid w:val="00146D8C"/>
    <w:rsid w:val="00146EAE"/>
    <w:rsid w:val="00146EC7"/>
    <w:rsid w:val="00146F54"/>
    <w:rsid w:val="00146F75"/>
    <w:rsid w:val="0014705E"/>
    <w:rsid w:val="00147450"/>
    <w:rsid w:val="00147571"/>
    <w:rsid w:val="00147643"/>
    <w:rsid w:val="0014778B"/>
    <w:rsid w:val="0014783B"/>
    <w:rsid w:val="0014784E"/>
    <w:rsid w:val="00147863"/>
    <w:rsid w:val="00147915"/>
    <w:rsid w:val="00147A49"/>
    <w:rsid w:val="00147BC6"/>
    <w:rsid w:val="00147E99"/>
    <w:rsid w:val="0015020A"/>
    <w:rsid w:val="001502AF"/>
    <w:rsid w:val="00150332"/>
    <w:rsid w:val="0015035F"/>
    <w:rsid w:val="00150431"/>
    <w:rsid w:val="001504A1"/>
    <w:rsid w:val="001505DB"/>
    <w:rsid w:val="001505F4"/>
    <w:rsid w:val="00150620"/>
    <w:rsid w:val="0015078C"/>
    <w:rsid w:val="001507CC"/>
    <w:rsid w:val="0015081F"/>
    <w:rsid w:val="0015088B"/>
    <w:rsid w:val="0015089D"/>
    <w:rsid w:val="001509BB"/>
    <w:rsid w:val="00150B21"/>
    <w:rsid w:val="00150BA9"/>
    <w:rsid w:val="00150F41"/>
    <w:rsid w:val="001511CC"/>
    <w:rsid w:val="00151401"/>
    <w:rsid w:val="00151546"/>
    <w:rsid w:val="0015179E"/>
    <w:rsid w:val="0015189F"/>
    <w:rsid w:val="001519C2"/>
    <w:rsid w:val="001519CF"/>
    <w:rsid w:val="00151AE8"/>
    <w:rsid w:val="00151B3B"/>
    <w:rsid w:val="00151BA1"/>
    <w:rsid w:val="00151BD1"/>
    <w:rsid w:val="00151BE4"/>
    <w:rsid w:val="00151BED"/>
    <w:rsid w:val="00151E30"/>
    <w:rsid w:val="00151E55"/>
    <w:rsid w:val="00151EB3"/>
    <w:rsid w:val="0015211D"/>
    <w:rsid w:val="00152173"/>
    <w:rsid w:val="001521B9"/>
    <w:rsid w:val="00152527"/>
    <w:rsid w:val="001525F5"/>
    <w:rsid w:val="00152726"/>
    <w:rsid w:val="001528C3"/>
    <w:rsid w:val="00152D5A"/>
    <w:rsid w:val="00152DE4"/>
    <w:rsid w:val="00152F09"/>
    <w:rsid w:val="001531B0"/>
    <w:rsid w:val="001532D7"/>
    <w:rsid w:val="0015365F"/>
    <w:rsid w:val="001536C7"/>
    <w:rsid w:val="001536E8"/>
    <w:rsid w:val="001538A2"/>
    <w:rsid w:val="001538AE"/>
    <w:rsid w:val="001538DF"/>
    <w:rsid w:val="00153965"/>
    <w:rsid w:val="00153B81"/>
    <w:rsid w:val="00153C66"/>
    <w:rsid w:val="00153CDD"/>
    <w:rsid w:val="00153F0C"/>
    <w:rsid w:val="001541A7"/>
    <w:rsid w:val="0015428A"/>
    <w:rsid w:val="001542C7"/>
    <w:rsid w:val="001542F8"/>
    <w:rsid w:val="00154315"/>
    <w:rsid w:val="00154321"/>
    <w:rsid w:val="0015436C"/>
    <w:rsid w:val="001543E1"/>
    <w:rsid w:val="001545B7"/>
    <w:rsid w:val="0015467C"/>
    <w:rsid w:val="00154875"/>
    <w:rsid w:val="001549F5"/>
    <w:rsid w:val="00154A69"/>
    <w:rsid w:val="00154C8D"/>
    <w:rsid w:val="00154C8F"/>
    <w:rsid w:val="00154D64"/>
    <w:rsid w:val="00154E0D"/>
    <w:rsid w:val="00154E60"/>
    <w:rsid w:val="00155520"/>
    <w:rsid w:val="00155579"/>
    <w:rsid w:val="00155614"/>
    <w:rsid w:val="001556DE"/>
    <w:rsid w:val="00155809"/>
    <w:rsid w:val="00155846"/>
    <w:rsid w:val="0015599C"/>
    <w:rsid w:val="001559B2"/>
    <w:rsid w:val="00155A28"/>
    <w:rsid w:val="00155B7F"/>
    <w:rsid w:val="00155BC5"/>
    <w:rsid w:val="00155BF5"/>
    <w:rsid w:val="00155DE5"/>
    <w:rsid w:val="0015634B"/>
    <w:rsid w:val="001563E0"/>
    <w:rsid w:val="0015643F"/>
    <w:rsid w:val="00156483"/>
    <w:rsid w:val="001564EA"/>
    <w:rsid w:val="0015684E"/>
    <w:rsid w:val="00156955"/>
    <w:rsid w:val="00156B3F"/>
    <w:rsid w:val="00156BA8"/>
    <w:rsid w:val="00156CE9"/>
    <w:rsid w:val="00156D89"/>
    <w:rsid w:val="00156DCF"/>
    <w:rsid w:val="00156EC1"/>
    <w:rsid w:val="00156F97"/>
    <w:rsid w:val="001570D0"/>
    <w:rsid w:val="001570DF"/>
    <w:rsid w:val="0015714C"/>
    <w:rsid w:val="001571C6"/>
    <w:rsid w:val="00157353"/>
    <w:rsid w:val="0015768C"/>
    <w:rsid w:val="0015783B"/>
    <w:rsid w:val="001578D7"/>
    <w:rsid w:val="0015796F"/>
    <w:rsid w:val="001579B3"/>
    <w:rsid w:val="00157A35"/>
    <w:rsid w:val="00157A7E"/>
    <w:rsid w:val="00157BC1"/>
    <w:rsid w:val="00157EDD"/>
    <w:rsid w:val="00160050"/>
    <w:rsid w:val="001600E9"/>
    <w:rsid w:val="0016010F"/>
    <w:rsid w:val="001601EF"/>
    <w:rsid w:val="00160346"/>
    <w:rsid w:val="001603E6"/>
    <w:rsid w:val="001604AB"/>
    <w:rsid w:val="001606C4"/>
    <w:rsid w:val="00160868"/>
    <w:rsid w:val="00160D01"/>
    <w:rsid w:val="00160F2B"/>
    <w:rsid w:val="00160FEC"/>
    <w:rsid w:val="001610B3"/>
    <w:rsid w:val="001610E5"/>
    <w:rsid w:val="001610F5"/>
    <w:rsid w:val="001611EF"/>
    <w:rsid w:val="00161399"/>
    <w:rsid w:val="0016155B"/>
    <w:rsid w:val="00161563"/>
    <w:rsid w:val="00161632"/>
    <w:rsid w:val="0016172C"/>
    <w:rsid w:val="0016183F"/>
    <w:rsid w:val="001618C5"/>
    <w:rsid w:val="001618C7"/>
    <w:rsid w:val="001619F6"/>
    <w:rsid w:val="00161BC8"/>
    <w:rsid w:val="00161BC9"/>
    <w:rsid w:val="00161E1E"/>
    <w:rsid w:val="00161F1B"/>
    <w:rsid w:val="00161F58"/>
    <w:rsid w:val="001621E5"/>
    <w:rsid w:val="001622DF"/>
    <w:rsid w:val="001622F6"/>
    <w:rsid w:val="00162308"/>
    <w:rsid w:val="00162356"/>
    <w:rsid w:val="001629E4"/>
    <w:rsid w:val="00162AD4"/>
    <w:rsid w:val="00162D45"/>
    <w:rsid w:val="00162DA5"/>
    <w:rsid w:val="00162EA4"/>
    <w:rsid w:val="00162EC6"/>
    <w:rsid w:val="00162F38"/>
    <w:rsid w:val="00162FFF"/>
    <w:rsid w:val="0016309F"/>
    <w:rsid w:val="00163223"/>
    <w:rsid w:val="001635B7"/>
    <w:rsid w:val="00163922"/>
    <w:rsid w:val="001639A8"/>
    <w:rsid w:val="001639B1"/>
    <w:rsid w:val="00163ACE"/>
    <w:rsid w:val="00163B8A"/>
    <w:rsid w:val="00163BF6"/>
    <w:rsid w:val="00163C37"/>
    <w:rsid w:val="00163C95"/>
    <w:rsid w:val="00163DC1"/>
    <w:rsid w:val="00163E01"/>
    <w:rsid w:val="00163FCE"/>
    <w:rsid w:val="00164106"/>
    <w:rsid w:val="001641FA"/>
    <w:rsid w:val="001644C7"/>
    <w:rsid w:val="0016452E"/>
    <w:rsid w:val="00164988"/>
    <w:rsid w:val="00164989"/>
    <w:rsid w:val="00164AED"/>
    <w:rsid w:val="00164CCB"/>
    <w:rsid w:val="00164D8B"/>
    <w:rsid w:val="00164DF7"/>
    <w:rsid w:val="00164E11"/>
    <w:rsid w:val="00164F52"/>
    <w:rsid w:val="0016500F"/>
    <w:rsid w:val="001651A2"/>
    <w:rsid w:val="0016525C"/>
    <w:rsid w:val="0016529C"/>
    <w:rsid w:val="001652ED"/>
    <w:rsid w:val="00165426"/>
    <w:rsid w:val="00165499"/>
    <w:rsid w:val="001655C8"/>
    <w:rsid w:val="00165729"/>
    <w:rsid w:val="0016572E"/>
    <w:rsid w:val="0016597C"/>
    <w:rsid w:val="00165AEB"/>
    <w:rsid w:val="00165D9B"/>
    <w:rsid w:val="00165F7A"/>
    <w:rsid w:val="0016606E"/>
    <w:rsid w:val="001660ED"/>
    <w:rsid w:val="001661D5"/>
    <w:rsid w:val="00166266"/>
    <w:rsid w:val="001662F1"/>
    <w:rsid w:val="001663C9"/>
    <w:rsid w:val="001663DE"/>
    <w:rsid w:val="00166483"/>
    <w:rsid w:val="0016651A"/>
    <w:rsid w:val="00166658"/>
    <w:rsid w:val="001666B0"/>
    <w:rsid w:val="0016678B"/>
    <w:rsid w:val="00166A61"/>
    <w:rsid w:val="00166C13"/>
    <w:rsid w:val="00166E4B"/>
    <w:rsid w:val="00166E55"/>
    <w:rsid w:val="00166E6C"/>
    <w:rsid w:val="00166EE0"/>
    <w:rsid w:val="001671F3"/>
    <w:rsid w:val="00167221"/>
    <w:rsid w:val="00167297"/>
    <w:rsid w:val="001672BA"/>
    <w:rsid w:val="0016746A"/>
    <w:rsid w:val="0016746D"/>
    <w:rsid w:val="0016755B"/>
    <w:rsid w:val="001676F2"/>
    <w:rsid w:val="00167758"/>
    <w:rsid w:val="0016789D"/>
    <w:rsid w:val="00167A43"/>
    <w:rsid w:val="00167AA0"/>
    <w:rsid w:val="00167AA5"/>
    <w:rsid w:val="00167BB4"/>
    <w:rsid w:val="00167BE2"/>
    <w:rsid w:val="00167C31"/>
    <w:rsid w:val="00167DA4"/>
    <w:rsid w:val="00167DC1"/>
    <w:rsid w:val="00167E31"/>
    <w:rsid w:val="00167F97"/>
    <w:rsid w:val="0017022B"/>
    <w:rsid w:val="001703C1"/>
    <w:rsid w:val="001704E6"/>
    <w:rsid w:val="00170515"/>
    <w:rsid w:val="0017063B"/>
    <w:rsid w:val="001706AE"/>
    <w:rsid w:val="0017090E"/>
    <w:rsid w:val="00170930"/>
    <w:rsid w:val="001709B9"/>
    <w:rsid w:val="00170AB3"/>
    <w:rsid w:val="00170BDE"/>
    <w:rsid w:val="00170D7D"/>
    <w:rsid w:val="00170DC1"/>
    <w:rsid w:val="00170EAC"/>
    <w:rsid w:val="001711B1"/>
    <w:rsid w:val="00171227"/>
    <w:rsid w:val="00171310"/>
    <w:rsid w:val="00171394"/>
    <w:rsid w:val="001714F3"/>
    <w:rsid w:val="00171786"/>
    <w:rsid w:val="00171BEB"/>
    <w:rsid w:val="00171D13"/>
    <w:rsid w:val="00171EFA"/>
    <w:rsid w:val="00171FE2"/>
    <w:rsid w:val="00171FE9"/>
    <w:rsid w:val="00171FEA"/>
    <w:rsid w:val="00172094"/>
    <w:rsid w:val="001720C8"/>
    <w:rsid w:val="0017222A"/>
    <w:rsid w:val="001723A4"/>
    <w:rsid w:val="001724E1"/>
    <w:rsid w:val="001725DE"/>
    <w:rsid w:val="001726E4"/>
    <w:rsid w:val="0017273D"/>
    <w:rsid w:val="00172783"/>
    <w:rsid w:val="001727B3"/>
    <w:rsid w:val="00172849"/>
    <w:rsid w:val="00172951"/>
    <w:rsid w:val="00172C75"/>
    <w:rsid w:val="00172D71"/>
    <w:rsid w:val="00172DA0"/>
    <w:rsid w:val="00172E30"/>
    <w:rsid w:val="001730EC"/>
    <w:rsid w:val="0017314B"/>
    <w:rsid w:val="001731B9"/>
    <w:rsid w:val="0017358B"/>
    <w:rsid w:val="001735A2"/>
    <w:rsid w:val="00173769"/>
    <w:rsid w:val="00173810"/>
    <w:rsid w:val="001738C6"/>
    <w:rsid w:val="00173A3D"/>
    <w:rsid w:val="00173A5E"/>
    <w:rsid w:val="00173BCE"/>
    <w:rsid w:val="00173D2A"/>
    <w:rsid w:val="00173E49"/>
    <w:rsid w:val="00174029"/>
    <w:rsid w:val="00174303"/>
    <w:rsid w:val="00174304"/>
    <w:rsid w:val="001744E9"/>
    <w:rsid w:val="00174510"/>
    <w:rsid w:val="00174516"/>
    <w:rsid w:val="0017467B"/>
    <w:rsid w:val="00174724"/>
    <w:rsid w:val="00174887"/>
    <w:rsid w:val="00174951"/>
    <w:rsid w:val="00174A50"/>
    <w:rsid w:val="00174C6F"/>
    <w:rsid w:val="00174D7E"/>
    <w:rsid w:val="00175186"/>
    <w:rsid w:val="001752C8"/>
    <w:rsid w:val="00175301"/>
    <w:rsid w:val="001753A5"/>
    <w:rsid w:val="001753D5"/>
    <w:rsid w:val="001754AE"/>
    <w:rsid w:val="0017555F"/>
    <w:rsid w:val="001758F8"/>
    <w:rsid w:val="00175B26"/>
    <w:rsid w:val="00175C8F"/>
    <w:rsid w:val="00175CAB"/>
    <w:rsid w:val="00175DFF"/>
    <w:rsid w:val="00175EA1"/>
    <w:rsid w:val="00175EA2"/>
    <w:rsid w:val="00175EC8"/>
    <w:rsid w:val="00175F3C"/>
    <w:rsid w:val="00175F88"/>
    <w:rsid w:val="001761AC"/>
    <w:rsid w:val="001761E6"/>
    <w:rsid w:val="00176253"/>
    <w:rsid w:val="00176330"/>
    <w:rsid w:val="001763F9"/>
    <w:rsid w:val="00176630"/>
    <w:rsid w:val="00176692"/>
    <w:rsid w:val="001767D1"/>
    <w:rsid w:val="00176A83"/>
    <w:rsid w:val="00176AAA"/>
    <w:rsid w:val="00176B65"/>
    <w:rsid w:val="00176C03"/>
    <w:rsid w:val="00176C04"/>
    <w:rsid w:val="00176DE3"/>
    <w:rsid w:val="00176E32"/>
    <w:rsid w:val="00176EB6"/>
    <w:rsid w:val="00176F18"/>
    <w:rsid w:val="00176F88"/>
    <w:rsid w:val="00177053"/>
    <w:rsid w:val="00177086"/>
    <w:rsid w:val="001770E3"/>
    <w:rsid w:val="0017734F"/>
    <w:rsid w:val="00177426"/>
    <w:rsid w:val="00177485"/>
    <w:rsid w:val="001774A5"/>
    <w:rsid w:val="001776D5"/>
    <w:rsid w:val="00177839"/>
    <w:rsid w:val="0017791B"/>
    <w:rsid w:val="00177947"/>
    <w:rsid w:val="00177CA8"/>
    <w:rsid w:val="00177EB8"/>
    <w:rsid w:val="00177F00"/>
    <w:rsid w:val="00180017"/>
    <w:rsid w:val="001802C7"/>
    <w:rsid w:val="001802D1"/>
    <w:rsid w:val="001803E5"/>
    <w:rsid w:val="001806E2"/>
    <w:rsid w:val="00180759"/>
    <w:rsid w:val="0018077D"/>
    <w:rsid w:val="00180795"/>
    <w:rsid w:val="0018079B"/>
    <w:rsid w:val="001808C3"/>
    <w:rsid w:val="00180A70"/>
    <w:rsid w:val="00180AE0"/>
    <w:rsid w:val="00180C70"/>
    <w:rsid w:val="00180D13"/>
    <w:rsid w:val="00181054"/>
    <w:rsid w:val="0018107B"/>
    <w:rsid w:val="0018124F"/>
    <w:rsid w:val="001812B9"/>
    <w:rsid w:val="0018137D"/>
    <w:rsid w:val="00181530"/>
    <w:rsid w:val="00181659"/>
    <w:rsid w:val="00181A25"/>
    <w:rsid w:val="00181A9E"/>
    <w:rsid w:val="00181AC0"/>
    <w:rsid w:val="00181B34"/>
    <w:rsid w:val="00181BE0"/>
    <w:rsid w:val="00181BFF"/>
    <w:rsid w:val="00181C01"/>
    <w:rsid w:val="00181C63"/>
    <w:rsid w:val="00181EE4"/>
    <w:rsid w:val="00182092"/>
    <w:rsid w:val="001823E5"/>
    <w:rsid w:val="00182441"/>
    <w:rsid w:val="001824D4"/>
    <w:rsid w:val="0018264E"/>
    <w:rsid w:val="001826FB"/>
    <w:rsid w:val="00182806"/>
    <w:rsid w:val="00182A0F"/>
    <w:rsid w:val="00182A32"/>
    <w:rsid w:val="00182A6E"/>
    <w:rsid w:val="00182C0C"/>
    <w:rsid w:val="00182E8D"/>
    <w:rsid w:val="00182F7D"/>
    <w:rsid w:val="0018303A"/>
    <w:rsid w:val="00183258"/>
    <w:rsid w:val="001832D4"/>
    <w:rsid w:val="00183386"/>
    <w:rsid w:val="00183434"/>
    <w:rsid w:val="00183642"/>
    <w:rsid w:val="001836C8"/>
    <w:rsid w:val="001836D4"/>
    <w:rsid w:val="0018370C"/>
    <w:rsid w:val="0018375E"/>
    <w:rsid w:val="00183900"/>
    <w:rsid w:val="001839A0"/>
    <w:rsid w:val="00183BA8"/>
    <w:rsid w:val="00183BD4"/>
    <w:rsid w:val="00183C1C"/>
    <w:rsid w:val="00183C84"/>
    <w:rsid w:val="00183CFD"/>
    <w:rsid w:val="00183D09"/>
    <w:rsid w:val="00183EB2"/>
    <w:rsid w:val="00184022"/>
    <w:rsid w:val="0018402B"/>
    <w:rsid w:val="00184138"/>
    <w:rsid w:val="001842D4"/>
    <w:rsid w:val="00184389"/>
    <w:rsid w:val="00184569"/>
    <w:rsid w:val="00184585"/>
    <w:rsid w:val="00184658"/>
    <w:rsid w:val="001847DA"/>
    <w:rsid w:val="001848A0"/>
    <w:rsid w:val="0018493A"/>
    <w:rsid w:val="00184A39"/>
    <w:rsid w:val="00184A55"/>
    <w:rsid w:val="00184B0C"/>
    <w:rsid w:val="00184D66"/>
    <w:rsid w:val="00184DC4"/>
    <w:rsid w:val="00184F15"/>
    <w:rsid w:val="00184FD9"/>
    <w:rsid w:val="001850F6"/>
    <w:rsid w:val="001851E6"/>
    <w:rsid w:val="0018534F"/>
    <w:rsid w:val="001853AB"/>
    <w:rsid w:val="001853E7"/>
    <w:rsid w:val="001854E5"/>
    <w:rsid w:val="00185642"/>
    <w:rsid w:val="001856C2"/>
    <w:rsid w:val="001856D2"/>
    <w:rsid w:val="0018576B"/>
    <w:rsid w:val="001857EC"/>
    <w:rsid w:val="00185813"/>
    <w:rsid w:val="001858B0"/>
    <w:rsid w:val="00185AC1"/>
    <w:rsid w:val="00185EF3"/>
    <w:rsid w:val="00185FB9"/>
    <w:rsid w:val="001861CD"/>
    <w:rsid w:val="00186318"/>
    <w:rsid w:val="001863BC"/>
    <w:rsid w:val="00186599"/>
    <w:rsid w:val="0018665D"/>
    <w:rsid w:val="001868AB"/>
    <w:rsid w:val="001869B2"/>
    <w:rsid w:val="00186A02"/>
    <w:rsid w:val="00186B67"/>
    <w:rsid w:val="00186C03"/>
    <w:rsid w:val="00186C80"/>
    <w:rsid w:val="00186D89"/>
    <w:rsid w:val="00186E9F"/>
    <w:rsid w:val="00186FB3"/>
    <w:rsid w:val="00187091"/>
    <w:rsid w:val="0018712A"/>
    <w:rsid w:val="0018724C"/>
    <w:rsid w:val="001872A0"/>
    <w:rsid w:val="001872DD"/>
    <w:rsid w:val="0018730F"/>
    <w:rsid w:val="001873A2"/>
    <w:rsid w:val="001873C8"/>
    <w:rsid w:val="001873F9"/>
    <w:rsid w:val="001874F2"/>
    <w:rsid w:val="001876AD"/>
    <w:rsid w:val="0018772F"/>
    <w:rsid w:val="00187771"/>
    <w:rsid w:val="00187978"/>
    <w:rsid w:val="00187A1D"/>
    <w:rsid w:val="00187BEE"/>
    <w:rsid w:val="00187C87"/>
    <w:rsid w:val="00187F05"/>
    <w:rsid w:val="00187F71"/>
    <w:rsid w:val="001900FF"/>
    <w:rsid w:val="0019048E"/>
    <w:rsid w:val="00190546"/>
    <w:rsid w:val="001905BD"/>
    <w:rsid w:val="00190888"/>
    <w:rsid w:val="00190E31"/>
    <w:rsid w:val="00190EBA"/>
    <w:rsid w:val="00190FB8"/>
    <w:rsid w:val="001911AD"/>
    <w:rsid w:val="001911B3"/>
    <w:rsid w:val="001913B1"/>
    <w:rsid w:val="001914AC"/>
    <w:rsid w:val="001914EA"/>
    <w:rsid w:val="00191525"/>
    <w:rsid w:val="001915C9"/>
    <w:rsid w:val="0019175A"/>
    <w:rsid w:val="00191795"/>
    <w:rsid w:val="0019188C"/>
    <w:rsid w:val="00191A75"/>
    <w:rsid w:val="00191CA4"/>
    <w:rsid w:val="00191D79"/>
    <w:rsid w:val="00191E9B"/>
    <w:rsid w:val="00191EB4"/>
    <w:rsid w:val="00192098"/>
    <w:rsid w:val="001924C2"/>
    <w:rsid w:val="001924D7"/>
    <w:rsid w:val="00192844"/>
    <w:rsid w:val="00192995"/>
    <w:rsid w:val="00192A92"/>
    <w:rsid w:val="00192B98"/>
    <w:rsid w:val="00192D0D"/>
    <w:rsid w:val="00192D8F"/>
    <w:rsid w:val="00192DA7"/>
    <w:rsid w:val="00192F43"/>
    <w:rsid w:val="00193024"/>
    <w:rsid w:val="00193032"/>
    <w:rsid w:val="00193198"/>
    <w:rsid w:val="0019341B"/>
    <w:rsid w:val="001934A4"/>
    <w:rsid w:val="00193598"/>
    <w:rsid w:val="00193900"/>
    <w:rsid w:val="00193B09"/>
    <w:rsid w:val="00193BA2"/>
    <w:rsid w:val="00193BC6"/>
    <w:rsid w:val="00193D1F"/>
    <w:rsid w:val="00193E2D"/>
    <w:rsid w:val="00193E77"/>
    <w:rsid w:val="0019405E"/>
    <w:rsid w:val="00194187"/>
    <w:rsid w:val="001945F3"/>
    <w:rsid w:val="00194706"/>
    <w:rsid w:val="00194865"/>
    <w:rsid w:val="0019486B"/>
    <w:rsid w:val="001948EE"/>
    <w:rsid w:val="00194942"/>
    <w:rsid w:val="0019494E"/>
    <w:rsid w:val="00194A42"/>
    <w:rsid w:val="00194B99"/>
    <w:rsid w:val="00194C9E"/>
    <w:rsid w:val="00194CD4"/>
    <w:rsid w:val="00194CF3"/>
    <w:rsid w:val="00194DAC"/>
    <w:rsid w:val="00194E71"/>
    <w:rsid w:val="0019504F"/>
    <w:rsid w:val="001950E2"/>
    <w:rsid w:val="0019518B"/>
    <w:rsid w:val="001951BA"/>
    <w:rsid w:val="001952BC"/>
    <w:rsid w:val="00195434"/>
    <w:rsid w:val="001954D3"/>
    <w:rsid w:val="001955A6"/>
    <w:rsid w:val="00195661"/>
    <w:rsid w:val="0019569C"/>
    <w:rsid w:val="001957BF"/>
    <w:rsid w:val="00195999"/>
    <w:rsid w:val="001959DA"/>
    <w:rsid w:val="00195A3E"/>
    <w:rsid w:val="00195A44"/>
    <w:rsid w:val="00195AF7"/>
    <w:rsid w:val="00195B9C"/>
    <w:rsid w:val="00195C3B"/>
    <w:rsid w:val="00195D8A"/>
    <w:rsid w:val="00195EBE"/>
    <w:rsid w:val="0019601E"/>
    <w:rsid w:val="001961C9"/>
    <w:rsid w:val="0019620B"/>
    <w:rsid w:val="00196253"/>
    <w:rsid w:val="0019637F"/>
    <w:rsid w:val="00196436"/>
    <w:rsid w:val="0019648D"/>
    <w:rsid w:val="001964E8"/>
    <w:rsid w:val="0019655E"/>
    <w:rsid w:val="001965D4"/>
    <w:rsid w:val="001966C7"/>
    <w:rsid w:val="00196822"/>
    <w:rsid w:val="00196AB0"/>
    <w:rsid w:val="00196B05"/>
    <w:rsid w:val="00196BEA"/>
    <w:rsid w:val="00196D52"/>
    <w:rsid w:val="00196E3B"/>
    <w:rsid w:val="00196E88"/>
    <w:rsid w:val="00196EB9"/>
    <w:rsid w:val="00196ECB"/>
    <w:rsid w:val="00196EE1"/>
    <w:rsid w:val="00196F64"/>
    <w:rsid w:val="00196F8C"/>
    <w:rsid w:val="00196F8D"/>
    <w:rsid w:val="00196FE3"/>
    <w:rsid w:val="00196FE8"/>
    <w:rsid w:val="0019706C"/>
    <w:rsid w:val="001972A4"/>
    <w:rsid w:val="001972DF"/>
    <w:rsid w:val="001973EA"/>
    <w:rsid w:val="0019749F"/>
    <w:rsid w:val="00197677"/>
    <w:rsid w:val="001977C0"/>
    <w:rsid w:val="001977FF"/>
    <w:rsid w:val="001978FE"/>
    <w:rsid w:val="00197A32"/>
    <w:rsid w:val="00197A63"/>
    <w:rsid w:val="00197B12"/>
    <w:rsid w:val="00197BF7"/>
    <w:rsid w:val="00197D59"/>
    <w:rsid w:val="00197DE0"/>
    <w:rsid w:val="00197DF4"/>
    <w:rsid w:val="001A00B0"/>
    <w:rsid w:val="001A0248"/>
    <w:rsid w:val="001A02DB"/>
    <w:rsid w:val="001A03B6"/>
    <w:rsid w:val="001A06A6"/>
    <w:rsid w:val="001A06E4"/>
    <w:rsid w:val="001A0962"/>
    <w:rsid w:val="001A0A2D"/>
    <w:rsid w:val="001A0AEB"/>
    <w:rsid w:val="001A0C8A"/>
    <w:rsid w:val="001A0D52"/>
    <w:rsid w:val="001A0D6E"/>
    <w:rsid w:val="001A0D74"/>
    <w:rsid w:val="001A0D77"/>
    <w:rsid w:val="001A0DA6"/>
    <w:rsid w:val="001A10D0"/>
    <w:rsid w:val="001A10EA"/>
    <w:rsid w:val="001A10F6"/>
    <w:rsid w:val="001A112D"/>
    <w:rsid w:val="001A1188"/>
    <w:rsid w:val="001A11D3"/>
    <w:rsid w:val="001A121C"/>
    <w:rsid w:val="001A12BE"/>
    <w:rsid w:val="001A13C3"/>
    <w:rsid w:val="001A15AA"/>
    <w:rsid w:val="001A18BD"/>
    <w:rsid w:val="001A196A"/>
    <w:rsid w:val="001A19F9"/>
    <w:rsid w:val="001A1AD7"/>
    <w:rsid w:val="001A1B60"/>
    <w:rsid w:val="001A1C40"/>
    <w:rsid w:val="001A1D95"/>
    <w:rsid w:val="001A1DFF"/>
    <w:rsid w:val="001A1E3C"/>
    <w:rsid w:val="001A1F52"/>
    <w:rsid w:val="001A20DE"/>
    <w:rsid w:val="001A2152"/>
    <w:rsid w:val="001A2281"/>
    <w:rsid w:val="001A2320"/>
    <w:rsid w:val="001A23E8"/>
    <w:rsid w:val="001A2565"/>
    <w:rsid w:val="001A2651"/>
    <w:rsid w:val="001A2747"/>
    <w:rsid w:val="001A2748"/>
    <w:rsid w:val="001A27C1"/>
    <w:rsid w:val="001A27F3"/>
    <w:rsid w:val="001A287A"/>
    <w:rsid w:val="001A28D8"/>
    <w:rsid w:val="001A2C5F"/>
    <w:rsid w:val="001A2D8E"/>
    <w:rsid w:val="001A2E4C"/>
    <w:rsid w:val="001A302E"/>
    <w:rsid w:val="001A31AD"/>
    <w:rsid w:val="001A3292"/>
    <w:rsid w:val="001A3311"/>
    <w:rsid w:val="001A33C3"/>
    <w:rsid w:val="001A33F9"/>
    <w:rsid w:val="001A3425"/>
    <w:rsid w:val="001A34C7"/>
    <w:rsid w:val="001A358C"/>
    <w:rsid w:val="001A3755"/>
    <w:rsid w:val="001A376C"/>
    <w:rsid w:val="001A378C"/>
    <w:rsid w:val="001A37A2"/>
    <w:rsid w:val="001A3A04"/>
    <w:rsid w:val="001A3BA9"/>
    <w:rsid w:val="001A3CB2"/>
    <w:rsid w:val="001A4212"/>
    <w:rsid w:val="001A42C9"/>
    <w:rsid w:val="001A43A1"/>
    <w:rsid w:val="001A452B"/>
    <w:rsid w:val="001A459C"/>
    <w:rsid w:val="001A466D"/>
    <w:rsid w:val="001A474C"/>
    <w:rsid w:val="001A47BD"/>
    <w:rsid w:val="001A498E"/>
    <w:rsid w:val="001A4A98"/>
    <w:rsid w:val="001A4BA7"/>
    <w:rsid w:val="001A4D09"/>
    <w:rsid w:val="001A4E21"/>
    <w:rsid w:val="001A4E9A"/>
    <w:rsid w:val="001A4EEE"/>
    <w:rsid w:val="001A4F5F"/>
    <w:rsid w:val="001A5191"/>
    <w:rsid w:val="001A5192"/>
    <w:rsid w:val="001A52AC"/>
    <w:rsid w:val="001A5623"/>
    <w:rsid w:val="001A562B"/>
    <w:rsid w:val="001A5651"/>
    <w:rsid w:val="001A5800"/>
    <w:rsid w:val="001A5821"/>
    <w:rsid w:val="001A5AF3"/>
    <w:rsid w:val="001A5D64"/>
    <w:rsid w:val="001A5F39"/>
    <w:rsid w:val="001A5F93"/>
    <w:rsid w:val="001A605F"/>
    <w:rsid w:val="001A6184"/>
    <w:rsid w:val="001A6443"/>
    <w:rsid w:val="001A65D7"/>
    <w:rsid w:val="001A65FE"/>
    <w:rsid w:val="001A662D"/>
    <w:rsid w:val="001A66EF"/>
    <w:rsid w:val="001A677F"/>
    <w:rsid w:val="001A6872"/>
    <w:rsid w:val="001A69AA"/>
    <w:rsid w:val="001A6A41"/>
    <w:rsid w:val="001A6A5A"/>
    <w:rsid w:val="001A6A7F"/>
    <w:rsid w:val="001A6B1B"/>
    <w:rsid w:val="001A6BBC"/>
    <w:rsid w:val="001A6C6E"/>
    <w:rsid w:val="001A6E78"/>
    <w:rsid w:val="001A6F61"/>
    <w:rsid w:val="001A72A6"/>
    <w:rsid w:val="001A7581"/>
    <w:rsid w:val="001A7680"/>
    <w:rsid w:val="001A7725"/>
    <w:rsid w:val="001A77B2"/>
    <w:rsid w:val="001A7982"/>
    <w:rsid w:val="001A79A9"/>
    <w:rsid w:val="001A7C58"/>
    <w:rsid w:val="001A7CC8"/>
    <w:rsid w:val="001A7CE7"/>
    <w:rsid w:val="001A7D91"/>
    <w:rsid w:val="001A7EE2"/>
    <w:rsid w:val="001B00DD"/>
    <w:rsid w:val="001B0222"/>
    <w:rsid w:val="001B0325"/>
    <w:rsid w:val="001B034A"/>
    <w:rsid w:val="001B0398"/>
    <w:rsid w:val="001B040C"/>
    <w:rsid w:val="001B0827"/>
    <w:rsid w:val="001B0A5F"/>
    <w:rsid w:val="001B0AFF"/>
    <w:rsid w:val="001B0D79"/>
    <w:rsid w:val="001B0E22"/>
    <w:rsid w:val="001B0EAA"/>
    <w:rsid w:val="001B0EB9"/>
    <w:rsid w:val="001B0F96"/>
    <w:rsid w:val="001B1015"/>
    <w:rsid w:val="001B129C"/>
    <w:rsid w:val="001B1308"/>
    <w:rsid w:val="001B1543"/>
    <w:rsid w:val="001B15A5"/>
    <w:rsid w:val="001B15BA"/>
    <w:rsid w:val="001B15F1"/>
    <w:rsid w:val="001B1749"/>
    <w:rsid w:val="001B1762"/>
    <w:rsid w:val="001B1787"/>
    <w:rsid w:val="001B17AC"/>
    <w:rsid w:val="001B1805"/>
    <w:rsid w:val="001B18A8"/>
    <w:rsid w:val="001B18AC"/>
    <w:rsid w:val="001B18BE"/>
    <w:rsid w:val="001B1BA9"/>
    <w:rsid w:val="001B1BAB"/>
    <w:rsid w:val="001B1BC8"/>
    <w:rsid w:val="001B1D87"/>
    <w:rsid w:val="001B1D92"/>
    <w:rsid w:val="001B1E52"/>
    <w:rsid w:val="001B1EE9"/>
    <w:rsid w:val="001B1FB9"/>
    <w:rsid w:val="001B21C0"/>
    <w:rsid w:val="001B22DE"/>
    <w:rsid w:val="001B2328"/>
    <w:rsid w:val="001B23C6"/>
    <w:rsid w:val="001B2468"/>
    <w:rsid w:val="001B254D"/>
    <w:rsid w:val="001B261A"/>
    <w:rsid w:val="001B2747"/>
    <w:rsid w:val="001B2809"/>
    <w:rsid w:val="001B28E5"/>
    <w:rsid w:val="001B29E3"/>
    <w:rsid w:val="001B2AF2"/>
    <w:rsid w:val="001B2CA6"/>
    <w:rsid w:val="001B2E0D"/>
    <w:rsid w:val="001B2F9E"/>
    <w:rsid w:val="001B300D"/>
    <w:rsid w:val="001B3147"/>
    <w:rsid w:val="001B31CA"/>
    <w:rsid w:val="001B3222"/>
    <w:rsid w:val="001B3413"/>
    <w:rsid w:val="001B354E"/>
    <w:rsid w:val="001B358F"/>
    <w:rsid w:val="001B3799"/>
    <w:rsid w:val="001B3909"/>
    <w:rsid w:val="001B39E5"/>
    <w:rsid w:val="001B3A7E"/>
    <w:rsid w:val="001B3DBA"/>
    <w:rsid w:val="001B427E"/>
    <w:rsid w:val="001B4335"/>
    <w:rsid w:val="001B4744"/>
    <w:rsid w:val="001B475F"/>
    <w:rsid w:val="001B4979"/>
    <w:rsid w:val="001B499D"/>
    <w:rsid w:val="001B4AF0"/>
    <w:rsid w:val="001B4B7C"/>
    <w:rsid w:val="001B4DD3"/>
    <w:rsid w:val="001B4F31"/>
    <w:rsid w:val="001B4F37"/>
    <w:rsid w:val="001B519A"/>
    <w:rsid w:val="001B53AA"/>
    <w:rsid w:val="001B53AD"/>
    <w:rsid w:val="001B53BC"/>
    <w:rsid w:val="001B540D"/>
    <w:rsid w:val="001B546C"/>
    <w:rsid w:val="001B567B"/>
    <w:rsid w:val="001B5748"/>
    <w:rsid w:val="001B57E5"/>
    <w:rsid w:val="001B584B"/>
    <w:rsid w:val="001B588C"/>
    <w:rsid w:val="001B588D"/>
    <w:rsid w:val="001B5B6C"/>
    <w:rsid w:val="001B5C93"/>
    <w:rsid w:val="001B5EE0"/>
    <w:rsid w:val="001B5F7D"/>
    <w:rsid w:val="001B60C4"/>
    <w:rsid w:val="001B60F8"/>
    <w:rsid w:val="001B6122"/>
    <w:rsid w:val="001B613C"/>
    <w:rsid w:val="001B624A"/>
    <w:rsid w:val="001B646E"/>
    <w:rsid w:val="001B6506"/>
    <w:rsid w:val="001B6598"/>
    <w:rsid w:val="001B65C4"/>
    <w:rsid w:val="001B6706"/>
    <w:rsid w:val="001B6804"/>
    <w:rsid w:val="001B680F"/>
    <w:rsid w:val="001B6816"/>
    <w:rsid w:val="001B69D1"/>
    <w:rsid w:val="001B6A4C"/>
    <w:rsid w:val="001B6B19"/>
    <w:rsid w:val="001B6E8E"/>
    <w:rsid w:val="001B6EFB"/>
    <w:rsid w:val="001B6F18"/>
    <w:rsid w:val="001B70C0"/>
    <w:rsid w:val="001B739E"/>
    <w:rsid w:val="001B7549"/>
    <w:rsid w:val="001B792B"/>
    <w:rsid w:val="001B7ACF"/>
    <w:rsid w:val="001B7B61"/>
    <w:rsid w:val="001B7CA0"/>
    <w:rsid w:val="001B7DCF"/>
    <w:rsid w:val="001B7E09"/>
    <w:rsid w:val="001B7E61"/>
    <w:rsid w:val="001B7EF6"/>
    <w:rsid w:val="001B7EF8"/>
    <w:rsid w:val="001B7FA6"/>
    <w:rsid w:val="001C002D"/>
    <w:rsid w:val="001C0077"/>
    <w:rsid w:val="001C01BD"/>
    <w:rsid w:val="001C02E4"/>
    <w:rsid w:val="001C0320"/>
    <w:rsid w:val="001C045E"/>
    <w:rsid w:val="001C057C"/>
    <w:rsid w:val="001C097A"/>
    <w:rsid w:val="001C097D"/>
    <w:rsid w:val="001C099D"/>
    <w:rsid w:val="001C0B7E"/>
    <w:rsid w:val="001C0BD1"/>
    <w:rsid w:val="001C0C90"/>
    <w:rsid w:val="001C0CA5"/>
    <w:rsid w:val="001C0D11"/>
    <w:rsid w:val="001C0EFE"/>
    <w:rsid w:val="001C0F92"/>
    <w:rsid w:val="001C1203"/>
    <w:rsid w:val="001C12EC"/>
    <w:rsid w:val="001C13DD"/>
    <w:rsid w:val="001C1412"/>
    <w:rsid w:val="001C1468"/>
    <w:rsid w:val="001C14F9"/>
    <w:rsid w:val="001C16C7"/>
    <w:rsid w:val="001C18ED"/>
    <w:rsid w:val="001C1900"/>
    <w:rsid w:val="001C19AA"/>
    <w:rsid w:val="001C1B27"/>
    <w:rsid w:val="001C1BA9"/>
    <w:rsid w:val="001C1DCA"/>
    <w:rsid w:val="001C1ED8"/>
    <w:rsid w:val="001C1F99"/>
    <w:rsid w:val="001C211B"/>
    <w:rsid w:val="001C2386"/>
    <w:rsid w:val="001C23BD"/>
    <w:rsid w:val="001C24B3"/>
    <w:rsid w:val="001C25D5"/>
    <w:rsid w:val="001C268D"/>
    <w:rsid w:val="001C2715"/>
    <w:rsid w:val="001C28EE"/>
    <w:rsid w:val="001C28F6"/>
    <w:rsid w:val="001C2B40"/>
    <w:rsid w:val="001C2ED8"/>
    <w:rsid w:val="001C305B"/>
    <w:rsid w:val="001C3201"/>
    <w:rsid w:val="001C3208"/>
    <w:rsid w:val="001C33E7"/>
    <w:rsid w:val="001C348E"/>
    <w:rsid w:val="001C3766"/>
    <w:rsid w:val="001C3B29"/>
    <w:rsid w:val="001C3CA0"/>
    <w:rsid w:val="001C3DBA"/>
    <w:rsid w:val="001C3DCC"/>
    <w:rsid w:val="001C3FD4"/>
    <w:rsid w:val="001C40BF"/>
    <w:rsid w:val="001C424C"/>
    <w:rsid w:val="001C429E"/>
    <w:rsid w:val="001C43AE"/>
    <w:rsid w:val="001C44BA"/>
    <w:rsid w:val="001C46F0"/>
    <w:rsid w:val="001C4804"/>
    <w:rsid w:val="001C493E"/>
    <w:rsid w:val="001C4AB5"/>
    <w:rsid w:val="001C4ADC"/>
    <w:rsid w:val="001C4EEE"/>
    <w:rsid w:val="001C4FAB"/>
    <w:rsid w:val="001C4FE6"/>
    <w:rsid w:val="001C518F"/>
    <w:rsid w:val="001C533B"/>
    <w:rsid w:val="001C545A"/>
    <w:rsid w:val="001C54ED"/>
    <w:rsid w:val="001C571B"/>
    <w:rsid w:val="001C57AF"/>
    <w:rsid w:val="001C587B"/>
    <w:rsid w:val="001C5899"/>
    <w:rsid w:val="001C58BB"/>
    <w:rsid w:val="001C5935"/>
    <w:rsid w:val="001C5B9E"/>
    <w:rsid w:val="001C5C46"/>
    <w:rsid w:val="001C5DAB"/>
    <w:rsid w:val="001C5EAC"/>
    <w:rsid w:val="001C603E"/>
    <w:rsid w:val="001C604E"/>
    <w:rsid w:val="001C6085"/>
    <w:rsid w:val="001C60DB"/>
    <w:rsid w:val="001C6306"/>
    <w:rsid w:val="001C6355"/>
    <w:rsid w:val="001C6461"/>
    <w:rsid w:val="001C6469"/>
    <w:rsid w:val="001C6572"/>
    <w:rsid w:val="001C661C"/>
    <w:rsid w:val="001C678B"/>
    <w:rsid w:val="001C67F1"/>
    <w:rsid w:val="001C6991"/>
    <w:rsid w:val="001C6A14"/>
    <w:rsid w:val="001C6A19"/>
    <w:rsid w:val="001C6A4C"/>
    <w:rsid w:val="001C6AE3"/>
    <w:rsid w:val="001C6C4E"/>
    <w:rsid w:val="001C6DA8"/>
    <w:rsid w:val="001C6E29"/>
    <w:rsid w:val="001C72E6"/>
    <w:rsid w:val="001C73B6"/>
    <w:rsid w:val="001C73DF"/>
    <w:rsid w:val="001C759A"/>
    <w:rsid w:val="001C77C9"/>
    <w:rsid w:val="001C7835"/>
    <w:rsid w:val="001C78E1"/>
    <w:rsid w:val="001C7968"/>
    <w:rsid w:val="001C79B3"/>
    <w:rsid w:val="001C7AC7"/>
    <w:rsid w:val="001C7AC8"/>
    <w:rsid w:val="001C7AE4"/>
    <w:rsid w:val="001C7C87"/>
    <w:rsid w:val="001C7E47"/>
    <w:rsid w:val="001D0107"/>
    <w:rsid w:val="001D01A1"/>
    <w:rsid w:val="001D0402"/>
    <w:rsid w:val="001D0466"/>
    <w:rsid w:val="001D07EE"/>
    <w:rsid w:val="001D0876"/>
    <w:rsid w:val="001D0977"/>
    <w:rsid w:val="001D0A96"/>
    <w:rsid w:val="001D0B54"/>
    <w:rsid w:val="001D0C3C"/>
    <w:rsid w:val="001D0CA8"/>
    <w:rsid w:val="001D0DAF"/>
    <w:rsid w:val="001D0E86"/>
    <w:rsid w:val="001D103A"/>
    <w:rsid w:val="001D13E0"/>
    <w:rsid w:val="001D1502"/>
    <w:rsid w:val="001D1638"/>
    <w:rsid w:val="001D16E1"/>
    <w:rsid w:val="001D18C1"/>
    <w:rsid w:val="001D1BFB"/>
    <w:rsid w:val="001D1C08"/>
    <w:rsid w:val="001D1C11"/>
    <w:rsid w:val="001D1CB8"/>
    <w:rsid w:val="001D1DB6"/>
    <w:rsid w:val="001D1DD5"/>
    <w:rsid w:val="001D1F58"/>
    <w:rsid w:val="001D1FAE"/>
    <w:rsid w:val="001D1FD2"/>
    <w:rsid w:val="001D1FFD"/>
    <w:rsid w:val="001D20D8"/>
    <w:rsid w:val="001D21CC"/>
    <w:rsid w:val="001D222C"/>
    <w:rsid w:val="001D2291"/>
    <w:rsid w:val="001D24BA"/>
    <w:rsid w:val="001D24DC"/>
    <w:rsid w:val="001D256C"/>
    <w:rsid w:val="001D257E"/>
    <w:rsid w:val="001D2635"/>
    <w:rsid w:val="001D2647"/>
    <w:rsid w:val="001D2702"/>
    <w:rsid w:val="001D29CB"/>
    <w:rsid w:val="001D2AE8"/>
    <w:rsid w:val="001D2BB2"/>
    <w:rsid w:val="001D2E61"/>
    <w:rsid w:val="001D2E8C"/>
    <w:rsid w:val="001D32B5"/>
    <w:rsid w:val="001D3331"/>
    <w:rsid w:val="001D353E"/>
    <w:rsid w:val="001D35FB"/>
    <w:rsid w:val="001D3697"/>
    <w:rsid w:val="001D36FA"/>
    <w:rsid w:val="001D3704"/>
    <w:rsid w:val="001D3919"/>
    <w:rsid w:val="001D3A08"/>
    <w:rsid w:val="001D3BC2"/>
    <w:rsid w:val="001D3D40"/>
    <w:rsid w:val="001D3F02"/>
    <w:rsid w:val="001D3FF6"/>
    <w:rsid w:val="001D4033"/>
    <w:rsid w:val="001D4050"/>
    <w:rsid w:val="001D410F"/>
    <w:rsid w:val="001D412E"/>
    <w:rsid w:val="001D4168"/>
    <w:rsid w:val="001D422A"/>
    <w:rsid w:val="001D4268"/>
    <w:rsid w:val="001D42AB"/>
    <w:rsid w:val="001D42D5"/>
    <w:rsid w:val="001D43AD"/>
    <w:rsid w:val="001D45D2"/>
    <w:rsid w:val="001D47CF"/>
    <w:rsid w:val="001D4811"/>
    <w:rsid w:val="001D4940"/>
    <w:rsid w:val="001D4A7B"/>
    <w:rsid w:val="001D4BEB"/>
    <w:rsid w:val="001D4EEE"/>
    <w:rsid w:val="001D4F2D"/>
    <w:rsid w:val="001D5013"/>
    <w:rsid w:val="001D5021"/>
    <w:rsid w:val="001D5255"/>
    <w:rsid w:val="001D539A"/>
    <w:rsid w:val="001D550F"/>
    <w:rsid w:val="001D5573"/>
    <w:rsid w:val="001D5719"/>
    <w:rsid w:val="001D5869"/>
    <w:rsid w:val="001D58C4"/>
    <w:rsid w:val="001D5BAE"/>
    <w:rsid w:val="001D5CC2"/>
    <w:rsid w:val="001D5D55"/>
    <w:rsid w:val="001D5E0A"/>
    <w:rsid w:val="001D5E2A"/>
    <w:rsid w:val="001D5E38"/>
    <w:rsid w:val="001D5F1A"/>
    <w:rsid w:val="001D604A"/>
    <w:rsid w:val="001D605F"/>
    <w:rsid w:val="001D641C"/>
    <w:rsid w:val="001D663E"/>
    <w:rsid w:val="001D6648"/>
    <w:rsid w:val="001D66CE"/>
    <w:rsid w:val="001D67DD"/>
    <w:rsid w:val="001D6857"/>
    <w:rsid w:val="001D6890"/>
    <w:rsid w:val="001D6E4F"/>
    <w:rsid w:val="001D6E86"/>
    <w:rsid w:val="001D6EA2"/>
    <w:rsid w:val="001D6EE8"/>
    <w:rsid w:val="001D6FFB"/>
    <w:rsid w:val="001D7031"/>
    <w:rsid w:val="001D7103"/>
    <w:rsid w:val="001D72FB"/>
    <w:rsid w:val="001D7376"/>
    <w:rsid w:val="001D74BB"/>
    <w:rsid w:val="001D7558"/>
    <w:rsid w:val="001D7809"/>
    <w:rsid w:val="001D789F"/>
    <w:rsid w:val="001D78D0"/>
    <w:rsid w:val="001D792E"/>
    <w:rsid w:val="001D79B1"/>
    <w:rsid w:val="001D7C9D"/>
    <w:rsid w:val="001D7D48"/>
    <w:rsid w:val="001D7D9B"/>
    <w:rsid w:val="001D7F25"/>
    <w:rsid w:val="001D7F76"/>
    <w:rsid w:val="001E0013"/>
    <w:rsid w:val="001E0033"/>
    <w:rsid w:val="001E02AF"/>
    <w:rsid w:val="001E0341"/>
    <w:rsid w:val="001E04CC"/>
    <w:rsid w:val="001E064B"/>
    <w:rsid w:val="001E07E3"/>
    <w:rsid w:val="001E081C"/>
    <w:rsid w:val="001E0822"/>
    <w:rsid w:val="001E0944"/>
    <w:rsid w:val="001E0B78"/>
    <w:rsid w:val="001E0C3F"/>
    <w:rsid w:val="001E0C4E"/>
    <w:rsid w:val="001E1001"/>
    <w:rsid w:val="001E1030"/>
    <w:rsid w:val="001E138E"/>
    <w:rsid w:val="001E139B"/>
    <w:rsid w:val="001E1418"/>
    <w:rsid w:val="001E1490"/>
    <w:rsid w:val="001E1608"/>
    <w:rsid w:val="001E167A"/>
    <w:rsid w:val="001E1691"/>
    <w:rsid w:val="001E1698"/>
    <w:rsid w:val="001E16F7"/>
    <w:rsid w:val="001E18F3"/>
    <w:rsid w:val="001E1901"/>
    <w:rsid w:val="001E1CE8"/>
    <w:rsid w:val="001E1D40"/>
    <w:rsid w:val="001E1D50"/>
    <w:rsid w:val="001E1ED6"/>
    <w:rsid w:val="001E2051"/>
    <w:rsid w:val="001E21B3"/>
    <w:rsid w:val="001E21FD"/>
    <w:rsid w:val="001E22D0"/>
    <w:rsid w:val="001E2320"/>
    <w:rsid w:val="001E24DB"/>
    <w:rsid w:val="001E25DA"/>
    <w:rsid w:val="001E268F"/>
    <w:rsid w:val="001E26B6"/>
    <w:rsid w:val="001E2A0F"/>
    <w:rsid w:val="001E2A6B"/>
    <w:rsid w:val="001E2AFC"/>
    <w:rsid w:val="001E2B4D"/>
    <w:rsid w:val="001E2B90"/>
    <w:rsid w:val="001E2E29"/>
    <w:rsid w:val="001E2EC4"/>
    <w:rsid w:val="001E2F8A"/>
    <w:rsid w:val="001E30B1"/>
    <w:rsid w:val="001E3199"/>
    <w:rsid w:val="001E3402"/>
    <w:rsid w:val="001E3430"/>
    <w:rsid w:val="001E3833"/>
    <w:rsid w:val="001E3877"/>
    <w:rsid w:val="001E388B"/>
    <w:rsid w:val="001E38C0"/>
    <w:rsid w:val="001E39AE"/>
    <w:rsid w:val="001E3AFC"/>
    <w:rsid w:val="001E3B4F"/>
    <w:rsid w:val="001E3BBC"/>
    <w:rsid w:val="001E3E72"/>
    <w:rsid w:val="001E3F24"/>
    <w:rsid w:val="001E400E"/>
    <w:rsid w:val="001E425F"/>
    <w:rsid w:val="001E4290"/>
    <w:rsid w:val="001E42A0"/>
    <w:rsid w:val="001E43C0"/>
    <w:rsid w:val="001E45D7"/>
    <w:rsid w:val="001E46A4"/>
    <w:rsid w:val="001E47C8"/>
    <w:rsid w:val="001E49C4"/>
    <w:rsid w:val="001E4D3A"/>
    <w:rsid w:val="001E4DD0"/>
    <w:rsid w:val="001E50B8"/>
    <w:rsid w:val="001E50EB"/>
    <w:rsid w:val="001E512D"/>
    <w:rsid w:val="001E52F3"/>
    <w:rsid w:val="001E539D"/>
    <w:rsid w:val="001E54EC"/>
    <w:rsid w:val="001E576F"/>
    <w:rsid w:val="001E57B8"/>
    <w:rsid w:val="001E5A4C"/>
    <w:rsid w:val="001E5D07"/>
    <w:rsid w:val="001E5E69"/>
    <w:rsid w:val="001E5F38"/>
    <w:rsid w:val="001E6064"/>
    <w:rsid w:val="001E6122"/>
    <w:rsid w:val="001E6126"/>
    <w:rsid w:val="001E612D"/>
    <w:rsid w:val="001E619C"/>
    <w:rsid w:val="001E62E1"/>
    <w:rsid w:val="001E6354"/>
    <w:rsid w:val="001E6397"/>
    <w:rsid w:val="001E63CD"/>
    <w:rsid w:val="001E6516"/>
    <w:rsid w:val="001E654A"/>
    <w:rsid w:val="001E67DD"/>
    <w:rsid w:val="001E68AE"/>
    <w:rsid w:val="001E6B89"/>
    <w:rsid w:val="001E6BD3"/>
    <w:rsid w:val="001E6C5C"/>
    <w:rsid w:val="001E6C6A"/>
    <w:rsid w:val="001E6FA0"/>
    <w:rsid w:val="001E731F"/>
    <w:rsid w:val="001E7341"/>
    <w:rsid w:val="001E738F"/>
    <w:rsid w:val="001E7447"/>
    <w:rsid w:val="001E7487"/>
    <w:rsid w:val="001E74DD"/>
    <w:rsid w:val="001E759C"/>
    <w:rsid w:val="001E7666"/>
    <w:rsid w:val="001E7684"/>
    <w:rsid w:val="001E76C9"/>
    <w:rsid w:val="001E76F1"/>
    <w:rsid w:val="001E76FC"/>
    <w:rsid w:val="001E7770"/>
    <w:rsid w:val="001E7875"/>
    <w:rsid w:val="001E78A5"/>
    <w:rsid w:val="001E78CB"/>
    <w:rsid w:val="001E78DA"/>
    <w:rsid w:val="001E790E"/>
    <w:rsid w:val="001E79C8"/>
    <w:rsid w:val="001E7AC4"/>
    <w:rsid w:val="001E7B29"/>
    <w:rsid w:val="001E7CE6"/>
    <w:rsid w:val="001E7E28"/>
    <w:rsid w:val="001E7F73"/>
    <w:rsid w:val="001F0367"/>
    <w:rsid w:val="001F0587"/>
    <w:rsid w:val="001F08A6"/>
    <w:rsid w:val="001F0902"/>
    <w:rsid w:val="001F091B"/>
    <w:rsid w:val="001F0BA8"/>
    <w:rsid w:val="001F0BB1"/>
    <w:rsid w:val="001F0DCE"/>
    <w:rsid w:val="001F0DF2"/>
    <w:rsid w:val="001F0E17"/>
    <w:rsid w:val="001F0E1F"/>
    <w:rsid w:val="001F0E42"/>
    <w:rsid w:val="001F0F16"/>
    <w:rsid w:val="001F0F1B"/>
    <w:rsid w:val="001F1066"/>
    <w:rsid w:val="001F1380"/>
    <w:rsid w:val="001F13C1"/>
    <w:rsid w:val="001F13F3"/>
    <w:rsid w:val="001F1486"/>
    <w:rsid w:val="001F14AB"/>
    <w:rsid w:val="001F14DC"/>
    <w:rsid w:val="001F1583"/>
    <w:rsid w:val="001F15E0"/>
    <w:rsid w:val="001F1661"/>
    <w:rsid w:val="001F171E"/>
    <w:rsid w:val="001F18BF"/>
    <w:rsid w:val="001F1A18"/>
    <w:rsid w:val="001F1AD2"/>
    <w:rsid w:val="001F1BAE"/>
    <w:rsid w:val="001F1C26"/>
    <w:rsid w:val="001F1D6C"/>
    <w:rsid w:val="001F1E65"/>
    <w:rsid w:val="001F1E9A"/>
    <w:rsid w:val="001F2275"/>
    <w:rsid w:val="001F2585"/>
    <w:rsid w:val="001F25D4"/>
    <w:rsid w:val="001F2782"/>
    <w:rsid w:val="001F2783"/>
    <w:rsid w:val="001F28DA"/>
    <w:rsid w:val="001F28DD"/>
    <w:rsid w:val="001F294F"/>
    <w:rsid w:val="001F296F"/>
    <w:rsid w:val="001F2A76"/>
    <w:rsid w:val="001F2B51"/>
    <w:rsid w:val="001F2BAC"/>
    <w:rsid w:val="001F2C12"/>
    <w:rsid w:val="001F2C17"/>
    <w:rsid w:val="001F2D23"/>
    <w:rsid w:val="001F2DA6"/>
    <w:rsid w:val="001F2E02"/>
    <w:rsid w:val="001F30A0"/>
    <w:rsid w:val="001F3144"/>
    <w:rsid w:val="001F31C6"/>
    <w:rsid w:val="001F326F"/>
    <w:rsid w:val="001F3275"/>
    <w:rsid w:val="001F3517"/>
    <w:rsid w:val="001F35D1"/>
    <w:rsid w:val="001F38A2"/>
    <w:rsid w:val="001F39DB"/>
    <w:rsid w:val="001F3A0A"/>
    <w:rsid w:val="001F3B6D"/>
    <w:rsid w:val="001F3CE0"/>
    <w:rsid w:val="001F3D6E"/>
    <w:rsid w:val="001F3EB2"/>
    <w:rsid w:val="001F3F49"/>
    <w:rsid w:val="001F42A3"/>
    <w:rsid w:val="001F4316"/>
    <w:rsid w:val="001F43E7"/>
    <w:rsid w:val="001F43EA"/>
    <w:rsid w:val="001F446D"/>
    <w:rsid w:val="001F483A"/>
    <w:rsid w:val="001F49D4"/>
    <w:rsid w:val="001F4AA4"/>
    <w:rsid w:val="001F4B1E"/>
    <w:rsid w:val="001F4EA4"/>
    <w:rsid w:val="001F4F68"/>
    <w:rsid w:val="001F5079"/>
    <w:rsid w:val="001F52DD"/>
    <w:rsid w:val="001F5438"/>
    <w:rsid w:val="001F54F8"/>
    <w:rsid w:val="001F5534"/>
    <w:rsid w:val="001F5597"/>
    <w:rsid w:val="001F5A45"/>
    <w:rsid w:val="001F5B91"/>
    <w:rsid w:val="001F5CFE"/>
    <w:rsid w:val="001F5D10"/>
    <w:rsid w:val="001F6037"/>
    <w:rsid w:val="001F6044"/>
    <w:rsid w:val="001F6057"/>
    <w:rsid w:val="001F60A6"/>
    <w:rsid w:val="001F6154"/>
    <w:rsid w:val="001F626C"/>
    <w:rsid w:val="001F652A"/>
    <w:rsid w:val="001F65CC"/>
    <w:rsid w:val="001F6692"/>
    <w:rsid w:val="001F681D"/>
    <w:rsid w:val="001F68ED"/>
    <w:rsid w:val="001F69BC"/>
    <w:rsid w:val="001F6B0A"/>
    <w:rsid w:val="001F6C4F"/>
    <w:rsid w:val="001F6C89"/>
    <w:rsid w:val="001F6DFB"/>
    <w:rsid w:val="001F6EEA"/>
    <w:rsid w:val="001F7069"/>
    <w:rsid w:val="001F7129"/>
    <w:rsid w:val="001F7205"/>
    <w:rsid w:val="001F733A"/>
    <w:rsid w:val="001F744C"/>
    <w:rsid w:val="001F7574"/>
    <w:rsid w:val="001F7669"/>
    <w:rsid w:val="001F76C3"/>
    <w:rsid w:val="001F77CD"/>
    <w:rsid w:val="001F7849"/>
    <w:rsid w:val="001F784A"/>
    <w:rsid w:val="001F7863"/>
    <w:rsid w:val="001F797B"/>
    <w:rsid w:val="001F7AA1"/>
    <w:rsid w:val="001F7D3C"/>
    <w:rsid w:val="001F7DFC"/>
    <w:rsid w:val="001F7F46"/>
    <w:rsid w:val="001F7FE9"/>
    <w:rsid w:val="0020026A"/>
    <w:rsid w:val="0020053C"/>
    <w:rsid w:val="00200669"/>
    <w:rsid w:val="00200712"/>
    <w:rsid w:val="0020071A"/>
    <w:rsid w:val="002007BE"/>
    <w:rsid w:val="00200946"/>
    <w:rsid w:val="00200982"/>
    <w:rsid w:val="00200B48"/>
    <w:rsid w:val="00200B94"/>
    <w:rsid w:val="00200BDA"/>
    <w:rsid w:val="00200BEC"/>
    <w:rsid w:val="00200D0B"/>
    <w:rsid w:val="00200D18"/>
    <w:rsid w:val="00200D7F"/>
    <w:rsid w:val="00200DDE"/>
    <w:rsid w:val="00200EAD"/>
    <w:rsid w:val="00200F3A"/>
    <w:rsid w:val="00200F68"/>
    <w:rsid w:val="00200FB2"/>
    <w:rsid w:val="00201320"/>
    <w:rsid w:val="0020132A"/>
    <w:rsid w:val="00201350"/>
    <w:rsid w:val="0020142F"/>
    <w:rsid w:val="00201452"/>
    <w:rsid w:val="002014E0"/>
    <w:rsid w:val="00201620"/>
    <w:rsid w:val="002017AA"/>
    <w:rsid w:val="002017DE"/>
    <w:rsid w:val="002017FB"/>
    <w:rsid w:val="0020183B"/>
    <w:rsid w:val="00201859"/>
    <w:rsid w:val="002018EE"/>
    <w:rsid w:val="00201932"/>
    <w:rsid w:val="002019AA"/>
    <w:rsid w:val="00201B49"/>
    <w:rsid w:val="00201BA5"/>
    <w:rsid w:val="00201CA8"/>
    <w:rsid w:val="00201DC6"/>
    <w:rsid w:val="00201E2C"/>
    <w:rsid w:val="00201E70"/>
    <w:rsid w:val="0020204A"/>
    <w:rsid w:val="00202056"/>
    <w:rsid w:val="00202586"/>
    <w:rsid w:val="002026E1"/>
    <w:rsid w:val="00202700"/>
    <w:rsid w:val="0020294E"/>
    <w:rsid w:val="00202A16"/>
    <w:rsid w:val="00202B4A"/>
    <w:rsid w:val="00202F70"/>
    <w:rsid w:val="00202FD4"/>
    <w:rsid w:val="00203106"/>
    <w:rsid w:val="002031E3"/>
    <w:rsid w:val="00203259"/>
    <w:rsid w:val="00203570"/>
    <w:rsid w:val="002037A9"/>
    <w:rsid w:val="002037EA"/>
    <w:rsid w:val="00203952"/>
    <w:rsid w:val="00203983"/>
    <w:rsid w:val="00203AB2"/>
    <w:rsid w:val="00203BF5"/>
    <w:rsid w:val="00203C56"/>
    <w:rsid w:val="00203D05"/>
    <w:rsid w:val="00203EDD"/>
    <w:rsid w:val="00203F8B"/>
    <w:rsid w:val="00203FC6"/>
    <w:rsid w:val="00204282"/>
    <w:rsid w:val="002042F7"/>
    <w:rsid w:val="00204327"/>
    <w:rsid w:val="00204351"/>
    <w:rsid w:val="002044E3"/>
    <w:rsid w:val="0020463D"/>
    <w:rsid w:val="002049B1"/>
    <w:rsid w:val="002049DD"/>
    <w:rsid w:val="00204A41"/>
    <w:rsid w:val="00204A50"/>
    <w:rsid w:val="00204A9A"/>
    <w:rsid w:val="00204B2C"/>
    <w:rsid w:val="00204BF8"/>
    <w:rsid w:val="00204C3D"/>
    <w:rsid w:val="00204C7A"/>
    <w:rsid w:val="00204D34"/>
    <w:rsid w:val="00204DC6"/>
    <w:rsid w:val="00204E32"/>
    <w:rsid w:val="00204EE1"/>
    <w:rsid w:val="00204F0B"/>
    <w:rsid w:val="00204F6F"/>
    <w:rsid w:val="00205027"/>
    <w:rsid w:val="00205095"/>
    <w:rsid w:val="002051A2"/>
    <w:rsid w:val="002053A7"/>
    <w:rsid w:val="00205536"/>
    <w:rsid w:val="002055D3"/>
    <w:rsid w:val="002055DE"/>
    <w:rsid w:val="002056EA"/>
    <w:rsid w:val="00205718"/>
    <w:rsid w:val="00205A3F"/>
    <w:rsid w:val="00205A80"/>
    <w:rsid w:val="00205A8F"/>
    <w:rsid w:val="00205AE9"/>
    <w:rsid w:val="00205C29"/>
    <w:rsid w:val="00205D1F"/>
    <w:rsid w:val="00205EFC"/>
    <w:rsid w:val="00205FA3"/>
    <w:rsid w:val="00205FE4"/>
    <w:rsid w:val="00206068"/>
    <w:rsid w:val="0020607F"/>
    <w:rsid w:val="002060ED"/>
    <w:rsid w:val="0020638C"/>
    <w:rsid w:val="002064C9"/>
    <w:rsid w:val="0020653C"/>
    <w:rsid w:val="00206764"/>
    <w:rsid w:val="0020689C"/>
    <w:rsid w:val="0020695F"/>
    <w:rsid w:val="002069B0"/>
    <w:rsid w:val="00206CA8"/>
    <w:rsid w:val="00206D83"/>
    <w:rsid w:val="00206DD1"/>
    <w:rsid w:val="00206FE2"/>
    <w:rsid w:val="002070CE"/>
    <w:rsid w:val="00207120"/>
    <w:rsid w:val="002071C0"/>
    <w:rsid w:val="0020729B"/>
    <w:rsid w:val="0020733A"/>
    <w:rsid w:val="002074DF"/>
    <w:rsid w:val="002074E7"/>
    <w:rsid w:val="00207910"/>
    <w:rsid w:val="00207A9F"/>
    <w:rsid w:val="00207B16"/>
    <w:rsid w:val="00207C40"/>
    <w:rsid w:val="00207E79"/>
    <w:rsid w:val="00207F72"/>
    <w:rsid w:val="00210458"/>
    <w:rsid w:val="00210585"/>
    <w:rsid w:val="00210643"/>
    <w:rsid w:val="002106C0"/>
    <w:rsid w:val="00210783"/>
    <w:rsid w:val="00210974"/>
    <w:rsid w:val="00210A17"/>
    <w:rsid w:val="00210BF5"/>
    <w:rsid w:val="00210BFB"/>
    <w:rsid w:val="00210C8E"/>
    <w:rsid w:val="00210E3F"/>
    <w:rsid w:val="00210F6C"/>
    <w:rsid w:val="00210FA4"/>
    <w:rsid w:val="0021118E"/>
    <w:rsid w:val="002112EC"/>
    <w:rsid w:val="00211571"/>
    <w:rsid w:val="0021158F"/>
    <w:rsid w:val="00211677"/>
    <w:rsid w:val="00211733"/>
    <w:rsid w:val="00211953"/>
    <w:rsid w:val="00211BFC"/>
    <w:rsid w:val="00211E37"/>
    <w:rsid w:val="00211E74"/>
    <w:rsid w:val="00211E9D"/>
    <w:rsid w:val="00211F08"/>
    <w:rsid w:val="00211F39"/>
    <w:rsid w:val="0021235A"/>
    <w:rsid w:val="00212539"/>
    <w:rsid w:val="0021264D"/>
    <w:rsid w:val="0021282D"/>
    <w:rsid w:val="0021295E"/>
    <w:rsid w:val="002129E1"/>
    <w:rsid w:val="00212A25"/>
    <w:rsid w:val="00212A9E"/>
    <w:rsid w:val="00212AAD"/>
    <w:rsid w:val="00212B46"/>
    <w:rsid w:val="00212F9C"/>
    <w:rsid w:val="002130FE"/>
    <w:rsid w:val="00213248"/>
    <w:rsid w:val="002132D3"/>
    <w:rsid w:val="0021358F"/>
    <w:rsid w:val="002137D5"/>
    <w:rsid w:val="00213C7D"/>
    <w:rsid w:val="00213C9C"/>
    <w:rsid w:val="00213CA3"/>
    <w:rsid w:val="00213D3C"/>
    <w:rsid w:val="00213EC7"/>
    <w:rsid w:val="00213EF9"/>
    <w:rsid w:val="002140B1"/>
    <w:rsid w:val="0021436E"/>
    <w:rsid w:val="00214760"/>
    <w:rsid w:val="00214800"/>
    <w:rsid w:val="00214804"/>
    <w:rsid w:val="002148B0"/>
    <w:rsid w:val="002148B1"/>
    <w:rsid w:val="00214AE3"/>
    <w:rsid w:val="00214BB4"/>
    <w:rsid w:val="00214C2B"/>
    <w:rsid w:val="00214C63"/>
    <w:rsid w:val="00214C76"/>
    <w:rsid w:val="00214C97"/>
    <w:rsid w:val="00214D2D"/>
    <w:rsid w:val="00214F37"/>
    <w:rsid w:val="00214F91"/>
    <w:rsid w:val="0021501B"/>
    <w:rsid w:val="002150C5"/>
    <w:rsid w:val="0021518D"/>
    <w:rsid w:val="00215233"/>
    <w:rsid w:val="002152BB"/>
    <w:rsid w:val="00215467"/>
    <w:rsid w:val="00215567"/>
    <w:rsid w:val="00215681"/>
    <w:rsid w:val="00215755"/>
    <w:rsid w:val="00215766"/>
    <w:rsid w:val="002159FB"/>
    <w:rsid w:val="00215C94"/>
    <w:rsid w:val="00215D19"/>
    <w:rsid w:val="00215EE7"/>
    <w:rsid w:val="00216155"/>
    <w:rsid w:val="0021628A"/>
    <w:rsid w:val="002164F8"/>
    <w:rsid w:val="0021651F"/>
    <w:rsid w:val="002166B0"/>
    <w:rsid w:val="0021672B"/>
    <w:rsid w:val="00216762"/>
    <w:rsid w:val="00216893"/>
    <w:rsid w:val="00216A27"/>
    <w:rsid w:val="00216B2D"/>
    <w:rsid w:val="00216C3E"/>
    <w:rsid w:val="00216C40"/>
    <w:rsid w:val="00216F84"/>
    <w:rsid w:val="00217228"/>
    <w:rsid w:val="00217325"/>
    <w:rsid w:val="00217380"/>
    <w:rsid w:val="00217439"/>
    <w:rsid w:val="00217445"/>
    <w:rsid w:val="002176A7"/>
    <w:rsid w:val="002177A1"/>
    <w:rsid w:val="002177CE"/>
    <w:rsid w:val="00217B97"/>
    <w:rsid w:val="00217B9E"/>
    <w:rsid w:val="00217BA7"/>
    <w:rsid w:val="00217BCC"/>
    <w:rsid w:val="00217D28"/>
    <w:rsid w:val="00217DFC"/>
    <w:rsid w:val="00217E45"/>
    <w:rsid w:val="00217E8F"/>
    <w:rsid w:val="00217EE8"/>
    <w:rsid w:val="00217F4E"/>
    <w:rsid w:val="0022007A"/>
    <w:rsid w:val="0022010A"/>
    <w:rsid w:val="00220120"/>
    <w:rsid w:val="00220256"/>
    <w:rsid w:val="0022028B"/>
    <w:rsid w:val="002202D3"/>
    <w:rsid w:val="00220321"/>
    <w:rsid w:val="00220342"/>
    <w:rsid w:val="0022085C"/>
    <w:rsid w:val="00220929"/>
    <w:rsid w:val="002209AD"/>
    <w:rsid w:val="002209ED"/>
    <w:rsid w:val="00220A97"/>
    <w:rsid w:val="00220BCE"/>
    <w:rsid w:val="00220D7F"/>
    <w:rsid w:val="00220DC1"/>
    <w:rsid w:val="00220EDF"/>
    <w:rsid w:val="00220EE6"/>
    <w:rsid w:val="00220FA7"/>
    <w:rsid w:val="00220FC3"/>
    <w:rsid w:val="0022123E"/>
    <w:rsid w:val="00221417"/>
    <w:rsid w:val="00221623"/>
    <w:rsid w:val="00221800"/>
    <w:rsid w:val="0022181D"/>
    <w:rsid w:val="00221883"/>
    <w:rsid w:val="00221920"/>
    <w:rsid w:val="00221A64"/>
    <w:rsid w:val="00221AB7"/>
    <w:rsid w:val="00221B49"/>
    <w:rsid w:val="00221CDA"/>
    <w:rsid w:val="00221EB3"/>
    <w:rsid w:val="00221EED"/>
    <w:rsid w:val="00221F99"/>
    <w:rsid w:val="002221E6"/>
    <w:rsid w:val="002222DA"/>
    <w:rsid w:val="00222306"/>
    <w:rsid w:val="0022241B"/>
    <w:rsid w:val="002224B8"/>
    <w:rsid w:val="00222641"/>
    <w:rsid w:val="002226A3"/>
    <w:rsid w:val="002226DC"/>
    <w:rsid w:val="00222704"/>
    <w:rsid w:val="00222740"/>
    <w:rsid w:val="00222853"/>
    <w:rsid w:val="002228CD"/>
    <w:rsid w:val="002229A7"/>
    <w:rsid w:val="002229BE"/>
    <w:rsid w:val="00222CE5"/>
    <w:rsid w:val="00222D11"/>
    <w:rsid w:val="00222FFC"/>
    <w:rsid w:val="00223091"/>
    <w:rsid w:val="00223101"/>
    <w:rsid w:val="00223299"/>
    <w:rsid w:val="002235F6"/>
    <w:rsid w:val="0022388C"/>
    <w:rsid w:val="00223920"/>
    <w:rsid w:val="002239B4"/>
    <w:rsid w:val="00223A0B"/>
    <w:rsid w:val="00223A41"/>
    <w:rsid w:val="00223B28"/>
    <w:rsid w:val="00223CE4"/>
    <w:rsid w:val="00223F8E"/>
    <w:rsid w:val="0022404C"/>
    <w:rsid w:val="002240AC"/>
    <w:rsid w:val="00224119"/>
    <w:rsid w:val="0022428E"/>
    <w:rsid w:val="002242CE"/>
    <w:rsid w:val="002243DE"/>
    <w:rsid w:val="0022464A"/>
    <w:rsid w:val="00224851"/>
    <w:rsid w:val="00224AF8"/>
    <w:rsid w:val="00224B6E"/>
    <w:rsid w:val="00224C2D"/>
    <w:rsid w:val="00224C97"/>
    <w:rsid w:val="00224EC9"/>
    <w:rsid w:val="00224F18"/>
    <w:rsid w:val="00225000"/>
    <w:rsid w:val="002250B4"/>
    <w:rsid w:val="002250E7"/>
    <w:rsid w:val="002250EB"/>
    <w:rsid w:val="002251D8"/>
    <w:rsid w:val="002252AE"/>
    <w:rsid w:val="002255BA"/>
    <w:rsid w:val="0022581D"/>
    <w:rsid w:val="00225861"/>
    <w:rsid w:val="00225C33"/>
    <w:rsid w:val="00225C39"/>
    <w:rsid w:val="00225D5A"/>
    <w:rsid w:val="00225E71"/>
    <w:rsid w:val="00225FEC"/>
    <w:rsid w:val="00226108"/>
    <w:rsid w:val="0022623A"/>
    <w:rsid w:val="00226326"/>
    <w:rsid w:val="00226597"/>
    <w:rsid w:val="00226694"/>
    <w:rsid w:val="00226726"/>
    <w:rsid w:val="00226873"/>
    <w:rsid w:val="0022699C"/>
    <w:rsid w:val="00226B62"/>
    <w:rsid w:val="00226E74"/>
    <w:rsid w:val="00227109"/>
    <w:rsid w:val="00227381"/>
    <w:rsid w:val="00227428"/>
    <w:rsid w:val="0022744B"/>
    <w:rsid w:val="002276B5"/>
    <w:rsid w:val="00227712"/>
    <w:rsid w:val="00227857"/>
    <w:rsid w:val="002278A1"/>
    <w:rsid w:val="0022797E"/>
    <w:rsid w:val="00227BE0"/>
    <w:rsid w:val="00227C83"/>
    <w:rsid w:val="00227E53"/>
    <w:rsid w:val="00227F18"/>
    <w:rsid w:val="00230041"/>
    <w:rsid w:val="00230049"/>
    <w:rsid w:val="00230050"/>
    <w:rsid w:val="002301D3"/>
    <w:rsid w:val="002301E4"/>
    <w:rsid w:val="00230230"/>
    <w:rsid w:val="002302BA"/>
    <w:rsid w:val="00230366"/>
    <w:rsid w:val="0023056D"/>
    <w:rsid w:val="002307FC"/>
    <w:rsid w:val="00230856"/>
    <w:rsid w:val="00230967"/>
    <w:rsid w:val="002309E4"/>
    <w:rsid w:val="002309EB"/>
    <w:rsid w:val="00230A0F"/>
    <w:rsid w:val="00230A9C"/>
    <w:rsid w:val="00230DC1"/>
    <w:rsid w:val="0023116B"/>
    <w:rsid w:val="0023130B"/>
    <w:rsid w:val="002313FC"/>
    <w:rsid w:val="002314A3"/>
    <w:rsid w:val="0023177A"/>
    <w:rsid w:val="00231A29"/>
    <w:rsid w:val="00231AB2"/>
    <w:rsid w:val="00231AB6"/>
    <w:rsid w:val="00231B4D"/>
    <w:rsid w:val="00231CA9"/>
    <w:rsid w:val="0023222B"/>
    <w:rsid w:val="00232259"/>
    <w:rsid w:val="002325D4"/>
    <w:rsid w:val="00232608"/>
    <w:rsid w:val="0023263E"/>
    <w:rsid w:val="002328D0"/>
    <w:rsid w:val="00232927"/>
    <w:rsid w:val="00232AD2"/>
    <w:rsid w:val="00232AE1"/>
    <w:rsid w:val="00232B18"/>
    <w:rsid w:val="00232BF9"/>
    <w:rsid w:val="00232C53"/>
    <w:rsid w:val="00232D71"/>
    <w:rsid w:val="00232E1E"/>
    <w:rsid w:val="00232E4C"/>
    <w:rsid w:val="00232EE5"/>
    <w:rsid w:val="00232F68"/>
    <w:rsid w:val="002330B6"/>
    <w:rsid w:val="00233138"/>
    <w:rsid w:val="002331AA"/>
    <w:rsid w:val="00233209"/>
    <w:rsid w:val="00233242"/>
    <w:rsid w:val="002332AF"/>
    <w:rsid w:val="00233441"/>
    <w:rsid w:val="002336B9"/>
    <w:rsid w:val="0023370C"/>
    <w:rsid w:val="00233842"/>
    <w:rsid w:val="00233879"/>
    <w:rsid w:val="00233D6A"/>
    <w:rsid w:val="00233D82"/>
    <w:rsid w:val="00233DD2"/>
    <w:rsid w:val="0023428F"/>
    <w:rsid w:val="0023435C"/>
    <w:rsid w:val="0023453F"/>
    <w:rsid w:val="00234630"/>
    <w:rsid w:val="002346E4"/>
    <w:rsid w:val="00234935"/>
    <w:rsid w:val="002349A3"/>
    <w:rsid w:val="00234AA4"/>
    <w:rsid w:val="00234AC7"/>
    <w:rsid w:val="00234CCE"/>
    <w:rsid w:val="00234D70"/>
    <w:rsid w:val="00234DFE"/>
    <w:rsid w:val="00234F10"/>
    <w:rsid w:val="0023516D"/>
    <w:rsid w:val="002356D9"/>
    <w:rsid w:val="0023570C"/>
    <w:rsid w:val="00235748"/>
    <w:rsid w:val="00235ADC"/>
    <w:rsid w:val="00235B62"/>
    <w:rsid w:val="00235C9F"/>
    <w:rsid w:val="00235CC4"/>
    <w:rsid w:val="00235D48"/>
    <w:rsid w:val="00235D8F"/>
    <w:rsid w:val="00235D94"/>
    <w:rsid w:val="00236171"/>
    <w:rsid w:val="002365C2"/>
    <w:rsid w:val="00236802"/>
    <w:rsid w:val="00236845"/>
    <w:rsid w:val="002368D8"/>
    <w:rsid w:val="00236914"/>
    <w:rsid w:val="00236B05"/>
    <w:rsid w:val="00236C0C"/>
    <w:rsid w:val="00236CB4"/>
    <w:rsid w:val="00236EC3"/>
    <w:rsid w:val="00236FAF"/>
    <w:rsid w:val="0023703D"/>
    <w:rsid w:val="00237099"/>
    <w:rsid w:val="00237114"/>
    <w:rsid w:val="00237281"/>
    <w:rsid w:val="00237433"/>
    <w:rsid w:val="0023745F"/>
    <w:rsid w:val="00237534"/>
    <w:rsid w:val="00237592"/>
    <w:rsid w:val="002375A4"/>
    <w:rsid w:val="00237602"/>
    <w:rsid w:val="002376A9"/>
    <w:rsid w:val="002379A2"/>
    <w:rsid w:val="00237A7A"/>
    <w:rsid w:val="00237BAA"/>
    <w:rsid w:val="00237BBA"/>
    <w:rsid w:val="00237C44"/>
    <w:rsid w:val="00237C92"/>
    <w:rsid w:val="00237F59"/>
    <w:rsid w:val="00237F6F"/>
    <w:rsid w:val="00237F8D"/>
    <w:rsid w:val="00240039"/>
    <w:rsid w:val="002404FE"/>
    <w:rsid w:val="0024063C"/>
    <w:rsid w:val="002406D5"/>
    <w:rsid w:val="002409AA"/>
    <w:rsid w:val="00240A8F"/>
    <w:rsid w:val="00240AF1"/>
    <w:rsid w:val="00240B1E"/>
    <w:rsid w:val="00240BE5"/>
    <w:rsid w:val="00240CF8"/>
    <w:rsid w:val="00240D1B"/>
    <w:rsid w:val="00240F06"/>
    <w:rsid w:val="00241050"/>
    <w:rsid w:val="00241087"/>
    <w:rsid w:val="002411CC"/>
    <w:rsid w:val="0024151A"/>
    <w:rsid w:val="0024152B"/>
    <w:rsid w:val="00241594"/>
    <w:rsid w:val="002415E7"/>
    <w:rsid w:val="00241670"/>
    <w:rsid w:val="00241866"/>
    <w:rsid w:val="00241A3A"/>
    <w:rsid w:val="00241A6A"/>
    <w:rsid w:val="00241ABD"/>
    <w:rsid w:val="00241BFC"/>
    <w:rsid w:val="00241C66"/>
    <w:rsid w:val="00241ED3"/>
    <w:rsid w:val="00241F18"/>
    <w:rsid w:val="00241FB4"/>
    <w:rsid w:val="002420B9"/>
    <w:rsid w:val="002423AE"/>
    <w:rsid w:val="002423DE"/>
    <w:rsid w:val="00242423"/>
    <w:rsid w:val="002424CA"/>
    <w:rsid w:val="00242715"/>
    <w:rsid w:val="0024288F"/>
    <w:rsid w:val="00242AA3"/>
    <w:rsid w:val="00242AC3"/>
    <w:rsid w:val="00242BE7"/>
    <w:rsid w:val="00242C29"/>
    <w:rsid w:val="00242D94"/>
    <w:rsid w:val="00242DC7"/>
    <w:rsid w:val="00242EBE"/>
    <w:rsid w:val="00242ED2"/>
    <w:rsid w:val="002430C0"/>
    <w:rsid w:val="002430CD"/>
    <w:rsid w:val="0024344A"/>
    <w:rsid w:val="002434CD"/>
    <w:rsid w:val="0024368F"/>
    <w:rsid w:val="0024380F"/>
    <w:rsid w:val="00243B1D"/>
    <w:rsid w:val="00243BAA"/>
    <w:rsid w:val="00243C1E"/>
    <w:rsid w:val="00243C40"/>
    <w:rsid w:val="00243F90"/>
    <w:rsid w:val="002440C8"/>
    <w:rsid w:val="002441CD"/>
    <w:rsid w:val="00244279"/>
    <w:rsid w:val="0024436A"/>
    <w:rsid w:val="0024437E"/>
    <w:rsid w:val="0024448C"/>
    <w:rsid w:val="002445CD"/>
    <w:rsid w:val="002445E1"/>
    <w:rsid w:val="002446E3"/>
    <w:rsid w:val="002447A6"/>
    <w:rsid w:val="00244920"/>
    <w:rsid w:val="002449EA"/>
    <w:rsid w:val="00244A5E"/>
    <w:rsid w:val="00244D1D"/>
    <w:rsid w:val="00244E0E"/>
    <w:rsid w:val="00244E21"/>
    <w:rsid w:val="00244E74"/>
    <w:rsid w:val="0024502B"/>
    <w:rsid w:val="002450A7"/>
    <w:rsid w:val="00245462"/>
    <w:rsid w:val="00245476"/>
    <w:rsid w:val="0024554A"/>
    <w:rsid w:val="00245581"/>
    <w:rsid w:val="00245676"/>
    <w:rsid w:val="002457DE"/>
    <w:rsid w:val="0024583F"/>
    <w:rsid w:val="002458DD"/>
    <w:rsid w:val="00245DB8"/>
    <w:rsid w:val="00245DDB"/>
    <w:rsid w:val="00245E24"/>
    <w:rsid w:val="00245F59"/>
    <w:rsid w:val="00246056"/>
    <w:rsid w:val="00246435"/>
    <w:rsid w:val="00246486"/>
    <w:rsid w:val="002465AB"/>
    <w:rsid w:val="002465E5"/>
    <w:rsid w:val="002465FA"/>
    <w:rsid w:val="002466B2"/>
    <w:rsid w:val="002466B3"/>
    <w:rsid w:val="0024680C"/>
    <w:rsid w:val="002468C7"/>
    <w:rsid w:val="00246914"/>
    <w:rsid w:val="002469DC"/>
    <w:rsid w:val="00246A33"/>
    <w:rsid w:val="00246AE8"/>
    <w:rsid w:val="00246BCF"/>
    <w:rsid w:val="00246C76"/>
    <w:rsid w:val="00246CAD"/>
    <w:rsid w:val="00247020"/>
    <w:rsid w:val="00247037"/>
    <w:rsid w:val="00247459"/>
    <w:rsid w:val="002474EB"/>
    <w:rsid w:val="002474FD"/>
    <w:rsid w:val="002475E3"/>
    <w:rsid w:val="00247706"/>
    <w:rsid w:val="00247715"/>
    <w:rsid w:val="002478AB"/>
    <w:rsid w:val="002479A0"/>
    <w:rsid w:val="002479F6"/>
    <w:rsid w:val="00247C4F"/>
    <w:rsid w:val="00247D8D"/>
    <w:rsid w:val="00247F5D"/>
    <w:rsid w:val="00247F89"/>
    <w:rsid w:val="00247F96"/>
    <w:rsid w:val="00250280"/>
    <w:rsid w:val="002504A2"/>
    <w:rsid w:val="002504A6"/>
    <w:rsid w:val="002504B4"/>
    <w:rsid w:val="00250537"/>
    <w:rsid w:val="002505DD"/>
    <w:rsid w:val="00250648"/>
    <w:rsid w:val="00250671"/>
    <w:rsid w:val="00250A23"/>
    <w:rsid w:val="00250B79"/>
    <w:rsid w:val="00250CDC"/>
    <w:rsid w:val="00250CDE"/>
    <w:rsid w:val="00250D51"/>
    <w:rsid w:val="00250E8A"/>
    <w:rsid w:val="00250ED2"/>
    <w:rsid w:val="00250F2A"/>
    <w:rsid w:val="00250F38"/>
    <w:rsid w:val="00250F84"/>
    <w:rsid w:val="0025104E"/>
    <w:rsid w:val="0025118A"/>
    <w:rsid w:val="002511AD"/>
    <w:rsid w:val="0025122C"/>
    <w:rsid w:val="00251245"/>
    <w:rsid w:val="0025136B"/>
    <w:rsid w:val="002514B5"/>
    <w:rsid w:val="002514D8"/>
    <w:rsid w:val="002515C4"/>
    <w:rsid w:val="00251679"/>
    <w:rsid w:val="002516D0"/>
    <w:rsid w:val="00251705"/>
    <w:rsid w:val="0025173A"/>
    <w:rsid w:val="00251775"/>
    <w:rsid w:val="002517D1"/>
    <w:rsid w:val="00251AE8"/>
    <w:rsid w:val="00251C68"/>
    <w:rsid w:val="00251C95"/>
    <w:rsid w:val="00251CA2"/>
    <w:rsid w:val="00251F26"/>
    <w:rsid w:val="00252014"/>
    <w:rsid w:val="0025217D"/>
    <w:rsid w:val="002521A5"/>
    <w:rsid w:val="002521D7"/>
    <w:rsid w:val="0025220D"/>
    <w:rsid w:val="00252212"/>
    <w:rsid w:val="002522CD"/>
    <w:rsid w:val="0025238F"/>
    <w:rsid w:val="00252436"/>
    <w:rsid w:val="002524B2"/>
    <w:rsid w:val="0025255A"/>
    <w:rsid w:val="0025275D"/>
    <w:rsid w:val="00252861"/>
    <w:rsid w:val="00252A41"/>
    <w:rsid w:val="00252A7C"/>
    <w:rsid w:val="00252B9F"/>
    <w:rsid w:val="00252C05"/>
    <w:rsid w:val="00252C53"/>
    <w:rsid w:val="00252C6B"/>
    <w:rsid w:val="00252CDD"/>
    <w:rsid w:val="00252D26"/>
    <w:rsid w:val="00252D5C"/>
    <w:rsid w:val="00252E14"/>
    <w:rsid w:val="00252E37"/>
    <w:rsid w:val="00252E3A"/>
    <w:rsid w:val="00252E8F"/>
    <w:rsid w:val="00252EFC"/>
    <w:rsid w:val="00253245"/>
    <w:rsid w:val="0025329D"/>
    <w:rsid w:val="002532A2"/>
    <w:rsid w:val="002534FF"/>
    <w:rsid w:val="002535F3"/>
    <w:rsid w:val="002536BE"/>
    <w:rsid w:val="00253C15"/>
    <w:rsid w:val="00253D12"/>
    <w:rsid w:val="00253DC2"/>
    <w:rsid w:val="002540E2"/>
    <w:rsid w:val="00254451"/>
    <w:rsid w:val="002545CE"/>
    <w:rsid w:val="002546A3"/>
    <w:rsid w:val="00254795"/>
    <w:rsid w:val="0025486D"/>
    <w:rsid w:val="00254A8D"/>
    <w:rsid w:val="00254AA1"/>
    <w:rsid w:val="00254AE6"/>
    <w:rsid w:val="00254B6B"/>
    <w:rsid w:val="00254BF6"/>
    <w:rsid w:val="00254C12"/>
    <w:rsid w:val="00254C5B"/>
    <w:rsid w:val="00254E0C"/>
    <w:rsid w:val="00254E3B"/>
    <w:rsid w:val="002550CE"/>
    <w:rsid w:val="00255100"/>
    <w:rsid w:val="00255287"/>
    <w:rsid w:val="00255289"/>
    <w:rsid w:val="002554DF"/>
    <w:rsid w:val="0025560A"/>
    <w:rsid w:val="002556B1"/>
    <w:rsid w:val="002556FE"/>
    <w:rsid w:val="0025573C"/>
    <w:rsid w:val="00255757"/>
    <w:rsid w:val="002557C6"/>
    <w:rsid w:val="0025585C"/>
    <w:rsid w:val="002558BA"/>
    <w:rsid w:val="002558BD"/>
    <w:rsid w:val="002559E5"/>
    <w:rsid w:val="00255A00"/>
    <w:rsid w:val="00255A94"/>
    <w:rsid w:val="00255AF6"/>
    <w:rsid w:val="00255B06"/>
    <w:rsid w:val="00255FC0"/>
    <w:rsid w:val="0025620F"/>
    <w:rsid w:val="0025632B"/>
    <w:rsid w:val="002566F5"/>
    <w:rsid w:val="00256804"/>
    <w:rsid w:val="00256943"/>
    <w:rsid w:val="0025694C"/>
    <w:rsid w:val="0025698B"/>
    <w:rsid w:val="00256A0E"/>
    <w:rsid w:val="00256A68"/>
    <w:rsid w:val="00256A6D"/>
    <w:rsid w:val="00256AC9"/>
    <w:rsid w:val="00256BB9"/>
    <w:rsid w:val="00256BF1"/>
    <w:rsid w:val="00256CDE"/>
    <w:rsid w:val="00256F60"/>
    <w:rsid w:val="00256FA7"/>
    <w:rsid w:val="00257137"/>
    <w:rsid w:val="002571A7"/>
    <w:rsid w:val="0025723D"/>
    <w:rsid w:val="002572FE"/>
    <w:rsid w:val="002576F1"/>
    <w:rsid w:val="00257882"/>
    <w:rsid w:val="002578AB"/>
    <w:rsid w:val="00257954"/>
    <w:rsid w:val="00257A71"/>
    <w:rsid w:val="00257AED"/>
    <w:rsid w:val="00257CDB"/>
    <w:rsid w:val="00257DA2"/>
    <w:rsid w:val="00257DC5"/>
    <w:rsid w:val="00257EA5"/>
    <w:rsid w:val="002600C6"/>
    <w:rsid w:val="00260183"/>
    <w:rsid w:val="002601BB"/>
    <w:rsid w:val="002603D3"/>
    <w:rsid w:val="002604A3"/>
    <w:rsid w:val="002605BD"/>
    <w:rsid w:val="002606C7"/>
    <w:rsid w:val="002607C8"/>
    <w:rsid w:val="00260808"/>
    <w:rsid w:val="0026080A"/>
    <w:rsid w:val="002609D1"/>
    <w:rsid w:val="00260B42"/>
    <w:rsid w:val="00260B4C"/>
    <w:rsid w:val="00260C58"/>
    <w:rsid w:val="00260EA4"/>
    <w:rsid w:val="00260FA5"/>
    <w:rsid w:val="0026109C"/>
    <w:rsid w:val="002612BE"/>
    <w:rsid w:val="002612C1"/>
    <w:rsid w:val="00261438"/>
    <w:rsid w:val="0026146D"/>
    <w:rsid w:val="0026148C"/>
    <w:rsid w:val="002614A1"/>
    <w:rsid w:val="002614EE"/>
    <w:rsid w:val="002615B1"/>
    <w:rsid w:val="0026167C"/>
    <w:rsid w:val="00261681"/>
    <w:rsid w:val="0026173D"/>
    <w:rsid w:val="0026178F"/>
    <w:rsid w:val="00261854"/>
    <w:rsid w:val="002618D4"/>
    <w:rsid w:val="00261930"/>
    <w:rsid w:val="0026199E"/>
    <w:rsid w:val="002619D9"/>
    <w:rsid w:val="00261B1E"/>
    <w:rsid w:val="00261BAF"/>
    <w:rsid w:val="00261E68"/>
    <w:rsid w:val="00261E86"/>
    <w:rsid w:val="00261F4B"/>
    <w:rsid w:val="00261FD5"/>
    <w:rsid w:val="0026200B"/>
    <w:rsid w:val="00262039"/>
    <w:rsid w:val="002622B9"/>
    <w:rsid w:val="002623C1"/>
    <w:rsid w:val="0026261C"/>
    <w:rsid w:val="0026267A"/>
    <w:rsid w:val="00262686"/>
    <w:rsid w:val="00262A09"/>
    <w:rsid w:val="00262A2A"/>
    <w:rsid w:val="00262E45"/>
    <w:rsid w:val="00262E5F"/>
    <w:rsid w:val="00263047"/>
    <w:rsid w:val="00263154"/>
    <w:rsid w:val="00263174"/>
    <w:rsid w:val="0026317B"/>
    <w:rsid w:val="00263289"/>
    <w:rsid w:val="002632E5"/>
    <w:rsid w:val="002633B8"/>
    <w:rsid w:val="002634F8"/>
    <w:rsid w:val="002635E2"/>
    <w:rsid w:val="002636E5"/>
    <w:rsid w:val="002636FD"/>
    <w:rsid w:val="0026383A"/>
    <w:rsid w:val="0026387B"/>
    <w:rsid w:val="002638BD"/>
    <w:rsid w:val="002638ED"/>
    <w:rsid w:val="002639D2"/>
    <w:rsid w:val="00263CBD"/>
    <w:rsid w:val="00263E39"/>
    <w:rsid w:val="00263EA3"/>
    <w:rsid w:val="00263F74"/>
    <w:rsid w:val="00263FA6"/>
    <w:rsid w:val="00263FD7"/>
    <w:rsid w:val="00264038"/>
    <w:rsid w:val="002640D7"/>
    <w:rsid w:val="002641E8"/>
    <w:rsid w:val="0026426B"/>
    <w:rsid w:val="002642C8"/>
    <w:rsid w:val="00264310"/>
    <w:rsid w:val="0026439B"/>
    <w:rsid w:val="002644D8"/>
    <w:rsid w:val="0026463B"/>
    <w:rsid w:val="002646E4"/>
    <w:rsid w:val="002647F0"/>
    <w:rsid w:val="002648CB"/>
    <w:rsid w:val="002648E9"/>
    <w:rsid w:val="00264958"/>
    <w:rsid w:val="002649E0"/>
    <w:rsid w:val="00264A45"/>
    <w:rsid w:val="00264AB3"/>
    <w:rsid w:val="00264B93"/>
    <w:rsid w:val="00264BA2"/>
    <w:rsid w:val="00264BA8"/>
    <w:rsid w:val="00264BFC"/>
    <w:rsid w:val="00264C23"/>
    <w:rsid w:val="00264C2E"/>
    <w:rsid w:val="00264CBF"/>
    <w:rsid w:val="00264DED"/>
    <w:rsid w:val="00264F0B"/>
    <w:rsid w:val="0026529D"/>
    <w:rsid w:val="00265479"/>
    <w:rsid w:val="0026549A"/>
    <w:rsid w:val="002654A6"/>
    <w:rsid w:val="002655AE"/>
    <w:rsid w:val="002655E3"/>
    <w:rsid w:val="00265616"/>
    <w:rsid w:val="00265656"/>
    <w:rsid w:val="00265918"/>
    <w:rsid w:val="002659DE"/>
    <w:rsid w:val="00265AB5"/>
    <w:rsid w:val="00265E6E"/>
    <w:rsid w:val="00265EAC"/>
    <w:rsid w:val="00265F81"/>
    <w:rsid w:val="00265FA6"/>
    <w:rsid w:val="00266180"/>
    <w:rsid w:val="002661AA"/>
    <w:rsid w:val="002661C7"/>
    <w:rsid w:val="0026629D"/>
    <w:rsid w:val="002662DC"/>
    <w:rsid w:val="00266373"/>
    <w:rsid w:val="0026655F"/>
    <w:rsid w:val="002667EC"/>
    <w:rsid w:val="0026682E"/>
    <w:rsid w:val="00266888"/>
    <w:rsid w:val="00266907"/>
    <w:rsid w:val="00266921"/>
    <w:rsid w:val="00266954"/>
    <w:rsid w:val="00266AA0"/>
    <w:rsid w:val="00266B1A"/>
    <w:rsid w:val="00266B7F"/>
    <w:rsid w:val="00266E22"/>
    <w:rsid w:val="00266F40"/>
    <w:rsid w:val="00266F58"/>
    <w:rsid w:val="0026703E"/>
    <w:rsid w:val="002672E5"/>
    <w:rsid w:val="0026732D"/>
    <w:rsid w:val="0026777E"/>
    <w:rsid w:val="002679A1"/>
    <w:rsid w:val="002679A4"/>
    <w:rsid w:val="00267AAD"/>
    <w:rsid w:val="00267AD8"/>
    <w:rsid w:val="00267E3D"/>
    <w:rsid w:val="002700BE"/>
    <w:rsid w:val="00270331"/>
    <w:rsid w:val="00270349"/>
    <w:rsid w:val="002703F9"/>
    <w:rsid w:val="0027045C"/>
    <w:rsid w:val="00270545"/>
    <w:rsid w:val="0027058F"/>
    <w:rsid w:val="002706EA"/>
    <w:rsid w:val="002706F7"/>
    <w:rsid w:val="00270732"/>
    <w:rsid w:val="00270756"/>
    <w:rsid w:val="002707F7"/>
    <w:rsid w:val="00270810"/>
    <w:rsid w:val="00270834"/>
    <w:rsid w:val="002708F8"/>
    <w:rsid w:val="0027095F"/>
    <w:rsid w:val="00270A2C"/>
    <w:rsid w:val="00270ADC"/>
    <w:rsid w:val="00270C20"/>
    <w:rsid w:val="00270CC6"/>
    <w:rsid w:val="00270DAC"/>
    <w:rsid w:val="00270DB6"/>
    <w:rsid w:val="00270E17"/>
    <w:rsid w:val="00270EC5"/>
    <w:rsid w:val="00270FDB"/>
    <w:rsid w:val="0027106B"/>
    <w:rsid w:val="002712E7"/>
    <w:rsid w:val="00271302"/>
    <w:rsid w:val="0027148D"/>
    <w:rsid w:val="002714B2"/>
    <w:rsid w:val="002714B3"/>
    <w:rsid w:val="0027156C"/>
    <w:rsid w:val="0027169C"/>
    <w:rsid w:val="00271779"/>
    <w:rsid w:val="0027179C"/>
    <w:rsid w:val="002718B1"/>
    <w:rsid w:val="002718E1"/>
    <w:rsid w:val="00271966"/>
    <w:rsid w:val="00271AF5"/>
    <w:rsid w:val="00271D63"/>
    <w:rsid w:val="00271E0A"/>
    <w:rsid w:val="00271E25"/>
    <w:rsid w:val="00271EAD"/>
    <w:rsid w:val="00272139"/>
    <w:rsid w:val="00272428"/>
    <w:rsid w:val="0027258C"/>
    <w:rsid w:val="0027264F"/>
    <w:rsid w:val="002726FF"/>
    <w:rsid w:val="00272743"/>
    <w:rsid w:val="0027281D"/>
    <w:rsid w:val="002728CC"/>
    <w:rsid w:val="00272971"/>
    <w:rsid w:val="00272A69"/>
    <w:rsid w:val="00272A6C"/>
    <w:rsid w:val="00272C33"/>
    <w:rsid w:val="00272C37"/>
    <w:rsid w:val="00272CCD"/>
    <w:rsid w:val="00272D89"/>
    <w:rsid w:val="00272E4E"/>
    <w:rsid w:val="00272E71"/>
    <w:rsid w:val="00272EFA"/>
    <w:rsid w:val="00273012"/>
    <w:rsid w:val="00273101"/>
    <w:rsid w:val="00273271"/>
    <w:rsid w:val="002732DA"/>
    <w:rsid w:val="002733BF"/>
    <w:rsid w:val="00273432"/>
    <w:rsid w:val="002734C4"/>
    <w:rsid w:val="002735B0"/>
    <w:rsid w:val="002736EA"/>
    <w:rsid w:val="002737A8"/>
    <w:rsid w:val="00273838"/>
    <w:rsid w:val="00273902"/>
    <w:rsid w:val="0027392E"/>
    <w:rsid w:val="002739EF"/>
    <w:rsid w:val="00273B47"/>
    <w:rsid w:val="00273C4C"/>
    <w:rsid w:val="00273DC3"/>
    <w:rsid w:val="00273E3C"/>
    <w:rsid w:val="00273E86"/>
    <w:rsid w:val="00273E94"/>
    <w:rsid w:val="00273F57"/>
    <w:rsid w:val="00274211"/>
    <w:rsid w:val="002742D9"/>
    <w:rsid w:val="00274318"/>
    <w:rsid w:val="00274339"/>
    <w:rsid w:val="002743AD"/>
    <w:rsid w:val="002746F1"/>
    <w:rsid w:val="00274711"/>
    <w:rsid w:val="00274761"/>
    <w:rsid w:val="0027477F"/>
    <w:rsid w:val="002747A8"/>
    <w:rsid w:val="002748D5"/>
    <w:rsid w:val="002748D6"/>
    <w:rsid w:val="00274921"/>
    <w:rsid w:val="0027492A"/>
    <w:rsid w:val="0027495B"/>
    <w:rsid w:val="002749B2"/>
    <w:rsid w:val="00274BBE"/>
    <w:rsid w:val="00274D59"/>
    <w:rsid w:val="00274E3E"/>
    <w:rsid w:val="00274F54"/>
    <w:rsid w:val="00274FBB"/>
    <w:rsid w:val="00275098"/>
    <w:rsid w:val="002750BF"/>
    <w:rsid w:val="002750D9"/>
    <w:rsid w:val="002750FA"/>
    <w:rsid w:val="002751D5"/>
    <w:rsid w:val="002753BE"/>
    <w:rsid w:val="0027564D"/>
    <w:rsid w:val="00275896"/>
    <w:rsid w:val="00275ABA"/>
    <w:rsid w:val="00275AFE"/>
    <w:rsid w:val="00275C5B"/>
    <w:rsid w:val="00275CA6"/>
    <w:rsid w:val="00275DDB"/>
    <w:rsid w:val="00275E78"/>
    <w:rsid w:val="00275E85"/>
    <w:rsid w:val="00275E98"/>
    <w:rsid w:val="00275FD2"/>
    <w:rsid w:val="0027601A"/>
    <w:rsid w:val="0027601B"/>
    <w:rsid w:val="00276027"/>
    <w:rsid w:val="00276187"/>
    <w:rsid w:val="002761C8"/>
    <w:rsid w:val="0027640A"/>
    <w:rsid w:val="0027643A"/>
    <w:rsid w:val="00276479"/>
    <w:rsid w:val="00276497"/>
    <w:rsid w:val="002764B1"/>
    <w:rsid w:val="002764EC"/>
    <w:rsid w:val="002765E4"/>
    <w:rsid w:val="002769D6"/>
    <w:rsid w:val="002770DF"/>
    <w:rsid w:val="0027716E"/>
    <w:rsid w:val="00277207"/>
    <w:rsid w:val="00277221"/>
    <w:rsid w:val="0027732F"/>
    <w:rsid w:val="00277801"/>
    <w:rsid w:val="002778E9"/>
    <w:rsid w:val="00277957"/>
    <w:rsid w:val="002779CF"/>
    <w:rsid w:val="00277C37"/>
    <w:rsid w:val="00277D5E"/>
    <w:rsid w:val="00277DD7"/>
    <w:rsid w:val="00277E10"/>
    <w:rsid w:val="00277E15"/>
    <w:rsid w:val="00277E1E"/>
    <w:rsid w:val="00277E6F"/>
    <w:rsid w:val="0028003E"/>
    <w:rsid w:val="002802C2"/>
    <w:rsid w:val="002803B9"/>
    <w:rsid w:val="002803BB"/>
    <w:rsid w:val="00280494"/>
    <w:rsid w:val="0028050A"/>
    <w:rsid w:val="0028069E"/>
    <w:rsid w:val="00280850"/>
    <w:rsid w:val="0028089C"/>
    <w:rsid w:val="002808E4"/>
    <w:rsid w:val="00280924"/>
    <w:rsid w:val="0028092B"/>
    <w:rsid w:val="00280CE7"/>
    <w:rsid w:val="00280E50"/>
    <w:rsid w:val="00280E87"/>
    <w:rsid w:val="00280F53"/>
    <w:rsid w:val="0028105C"/>
    <w:rsid w:val="0028105D"/>
    <w:rsid w:val="0028116B"/>
    <w:rsid w:val="002812E5"/>
    <w:rsid w:val="002813CD"/>
    <w:rsid w:val="002814E6"/>
    <w:rsid w:val="00281737"/>
    <w:rsid w:val="00281816"/>
    <w:rsid w:val="0028182B"/>
    <w:rsid w:val="00281898"/>
    <w:rsid w:val="002818E6"/>
    <w:rsid w:val="002819A6"/>
    <w:rsid w:val="002819C9"/>
    <w:rsid w:val="00281A54"/>
    <w:rsid w:val="00281E60"/>
    <w:rsid w:val="00281FB6"/>
    <w:rsid w:val="00282034"/>
    <w:rsid w:val="002822F9"/>
    <w:rsid w:val="002823EF"/>
    <w:rsid w:val="00282476"/>
    <w:rsid w:val="002824B4"/>
    <w:rsid w:val="002824F3"/>
    <w:rsid w:val="00282555"/>
    <w:rsid w:val="002825E3"/>
    <w:rsid w:val="002826DB"/>
    <w:rsid w:val="00282954"/>
    <w:rsid w:val="00282A8E"/>
    <w:rsid w:val="00282AE5"/>
    <w:rsid w:val="00282B63"/>
    <w:rsid w:val="00282B8C"/>
    <w:rsid w:val="00282BB9"/>
    <w:rsid w:val="00282C4E"/>
    <w:rsid w:val="00282CDB"/>
    <w:rsid w:val="00282D02"/>
    <w:rsid w:val="0028305B"/>
    <w:rsid w:val="0028306F"/>
    <w:rsid w:val="00283198"/>
    <w:rsid w:val="002834BD"/>
    <w:rsid w:val="002834F6"/>
    <w:rsid w:val="00283542"/>
    <w:rsid w:val="002836D2"/>
    <w:rsid w:val="0028373D"/>
    <w:rsid w:val="002837C0"/>
    <w:rsid w:val="0028393B"/>
    <w:rsid w:val="00283B49"/>
    <w:rsid w:val="00283BC4"/>
    <w:rsid w:val="00283BFE"/>
    <w:rsid w:val="00283C24"/>
    <w:rsid w:val="00283D35"/>
    <w:rsid w:val="00283DB4"/>
    <w:rsid w:val="00283DE6"/>
    <w:rsid w:val="00283F7F"/>
    <w:rsid w:val="00284244"/>
    <w:rsid w:val="002844A3"/>
    <w:rsid w:val="00284545"/>
    <w:rsid w:val="00284548"/>
    <w:rsid w:val="0028479E"/>
    <w:rsid w:val="002847A1"/>
    <w:rsid w:val="0028488B"/>
    <w:rsid w:val="002848AF"/>
    <w:rsid w:val="0028492E"/>
    <w:rsid w:val="00284A2B"/>
    <w:rsid w:val="00284A4A"/>
    <w:rsid w:val="00284B36"/>
    <w:rsid w:val="00284C3F"/>
    <w:rsid w:val="00284E9D"/>
    <w:rsid w:val="002850AF"/>
    <w:rsid w:val="00285124"/>
    <w:rsid w:val="00285171"/>
    <w:rsid w:val="00285186"/>
    <w:rsid w:val="0028545C"/>
    <w:rsid w:val="0028547F"/>
    <w:rsid w:val="00285858"/>
    <w:rsid w:val="00285953"/>
    <w:rsid w:val="002859EF"/>
    <w:rsid w:val="00285AC5"/>
    <w:rsid w:val="00285BDC"/>
    <w:rsid w:val="00285CC3"/>
    <w:rsid w:val="00285EE3"/>
    <w:rsid w:val="00285EF0"/>
    <w:rsid w:val="0028601F"/>
    <w:rsid w:val="00286221"/>
    <w:rsid w:val="00286364"/>
    <w:rsid w:val="0028639D"/>
    <w:rsid w:val="002863C1"/>
    <w:rsid w:val="00286530"/>
    <w:rsid w:val="00286564"/>
    <w:rsid w:val="002865DB"/>
    <w:rsid w:val="002866E1"/>
    <w:rsid w:val="002868AE"/>
    <w:rsid w:val="00286988"/>
    <w:rsid w:val="00286B74"/>
    <w:rsid w:val="00286B86"/>
    <w:rsid w:val="00286BC9"/>
    <w:rsid w:val="00286C85"/>
    <w:rsid w:val="00286ED8"/>
    <w:rsid w:val="00287114"/>
    <w:rsid w:val="00287183"/>
    <w:rsid w:val="002871B7"/>
    <w:rsid w:val="00287273"/>
    <w:rsid w:val="0028729D"/>
    <w:rsid w:val="002872C4"/>
    <w:rsid w:val="00287307"/>
    <w:rsid w:val="00287459"/>
    <w:rsid w:val="002875C7"/>
    <w:rsid w:val="002875CF"/>
    <w:rsid w:val="002877DA"/>
    <w:rsid w:val="00287A38"/>
    <w:rsid w:val="00287A70"/>
    <w:rsid w:val="00287AB7"/>
    <w:rsid w:val="00287BFC"/>
    <w:rsid w:val="00287D20"/>
    <w:rsid w:val="00287D55"/>
    <w:rsid w:val="00287E1F"/>
    <w:rsid w:val="00287F87"/>
    <w:rsid w:val="00287FAC"/>
    <w:rsid w:val="0029003B"/>
    <w:rsid w:val="002902BE"/>
    <w:rsid w:val="00290626"/>
    <w:rsid w:val="0029066D"/>
    <w:rsid w:val="002906A7"/>
    <w:rsid w:val="002906FC"/>
    <w:rsid w:val="0029071B"/>
    <w:rsid w:val="00290871"/>
    <w:rsid w:val="00290AEB"/>
    <w:rsid w:val="00290BA2"/>
    <w:rsid w:val="00290C79"/>
    <w:rsid w:val="00290CA2"/>
    <w:rsid w:val="00290CFC"/>
    <w:rsid w:val="00290D28"/>
    <w:rsid w:val="00290E07"/>
    <w:rsid w:val="00291061"/>
    <w:rsid w:val="002910FA"/>
    <w:rsid w:val="00291123"/>
    <w:rsid w:val="002911A7"/>
    <w:rsid w:val="00291655"/>
    <w:rsid w:val="002916A8"/>
    <w:rsid w:val="00291836"/>
    <w:rsid w:val="002919A5"/>
    <w:rsid w:val="00291A1B"/>
    <w:rsid w:val="00291A67"/>
    <w:rsid w:val="00291AA0"/>
    <w:rsid w:val="00291BA1"/>
    <w:rsid w:val="00291CBF"/>
    <w:rsid w:val="00291D3E"/>
    <w:rsid w:val="00291E15"/>
    <w:rsid w:val="00291F90"/>
    <w:rsid w:val="00292079"/>
    <w:rsid w:val="002920A1"/>
    <w:rsid w:val="00292459"/>
    <w:rsid w:val="002924D0"/>
    <w:rsid w:val="002924D9"/>
    <w:rsid w:val="00292524"/>
    <w:rsid w:val="002925E6"/>
    <w:rsid w:val="00292690"/>
    <w:rsid w:val="002926D6"/>
    <w:rsid w:val="002927F9"/>
    <w:rsid w:val="0029287B"/>
    <w:rsid w:val="0029291B"/>
    <w:rsid w:val="00292936"/>
    <w:rsid w:val="00292944"/>
    <w:rsid w:val="00292993"/>
    <w:rsid w:val="00292DA5"/>
    <w:rsid w:val="00292DF3"/>
    <w:rsid w:val="00292E00"/>
    <w:rsid w:val="00292ECE"/>
    <w:rsid w:val="00293026"/>
    <w:rsid w:val="00293146"/>
    <w:rsid w:val="00293397"/>
    <w:rsid w:val="0029353E"/>
    <w:rsid w:val="0029357B"/>
    <w:rsid w:val="002936B4"/>
    <w:rsid w:val="00293756"/>
    <w:rsid w:val="002937C8"/>
    <w:rsid w:val="002938EE"/>
    <w:rsid w:val="00293A93"/>
    <w:rsid w:val="00293CBD"/>
    <w:rsid w:val="00293E8F"/>
    <w:rsid w:val="0029404E"/>
    <w:rsid w:val="002940A8"/>
    <w:rsid w:val="00294265"/>
    <w:rsid w:val="0029436A"/>
    <w:rsid w:val="00294477"/>
    <w:rsid w:val="002945D2"/>
    <w:rsid w:val="002945D9"/>
    <w:rsid w:val="002947E9"/>
    <w:rsid w:val="0029487E"/>
    <w:rsid w:val="002949D9"/>
    <w:rsid w:val="00294A08"/>
    <w:rsid w:val="00294C02"/>
    <w:rsid w:val="00294D15"/>
    <w:rsid w:val="0029500A"/>
    <w:rsid w:val="00295162"/>
    <w:rsid w:val="002951E6"/>
    <w:rsid w:val="002952E7"/>
    <w:rsid w:val="002952EB"/>
    <w:rsid w:val="00295330"/>
    <w:rsid w:val="0029537D"/>
    <w:rsid w:val="00295417"/>
    <w:rsid w:val="00295472"/>
    <w:rsid w:val="002954A5"/>
    <w:rsid w:val="002954E3"/>
    <w:rsid w:val="00295509"/>
    <w:rsid w:val="002955F6"/>
    <w:rsid w:val="0029597E"/>
    <w:rsid w:val="00295ABE"/>
    <w:rsid w:val="00295B4B"/>
    <w:rsid w:val="00295CFD"/>
    <w:rsid w:val="00295E9B"/>
    <w:rsid w:val="00296210"/>
    <w:rsid w:val="00296277"/>
    <w:rsid w:val="00296316"/>
    <w:rsid w:val="002963AE"/>
    <w:rsid w:val="00296476"/>
    <w:rsid w:val="002965B0"/>
    <w:rsid w:val="00296668"/>
    <w:rsid w:val="0029678B"/>
    <w:rsid w:val="0029679C"/>
    <w:rsid w:val="002967A5"/>
    <w:rsid w:val="00296838"/>
    <w:rsid w:val="0029684B"/>
    <w:rsid w:val="00296A1A"/>
    <w:rsid w:val="00296A6B"/>
    <w:rsid w:val="00296A7A"/>
    <w:rsid w:val="00296B5E"/>
    <w:rsid w:val="00296B64"/>
    <w:rsid w:val="00296BE8"/>
    <w:rsid w:val="00296C3F"/>
    <w:rsid w:val="00296C53"/>
    <w:rsid w:val="00296D93"/>
    <w:rsid w:val="00296ED5"/>
    <w:rsid w:val="00297211"/>
    <w:rsid w:val="002973C9"/>
    <w:rsid w:val="00297579"/>
    <w:rsid w:val="002976C0"/>
    <w:rsid w:val="002976D8"/>
    <w:rsid w:val="00297704"/>
    <w:rsid w:val="002979F3"/>
    <w:rsid w:val="00297A33"/>
    <w:rsid w:val="00297BBF"/>
    <w:rsid w:val="00297BCD"/>
    <w:rsid w:val="00297E90"/>
    <w:rsid w:val="002A00C5"/>
    <w:rsid w:val="002A0141"/>
    <w:rsid w:val="002A01E6"/>
    <w:rsid w:val="002A0272"/>
    <w:rsid w:val="002A02C8"/>
    <w:rsid w:val="002A059D"/>
    <w:rsid w:val="002A0616"/>
    <w:rsid w:val="002A0755"/>
    <w:rsid w:val="002A0901"/>
    <w:rsid w:val="002A09E9"/>
    <w:rsid w:val="002A0B0A"/>
    <w:rsid w:val="002A0D93"/>
    <w:rsid w:val="002A0F12"/>
    <w:rsid w:val="002A0FA7"/>
    <w:rsid w:val="002A1060"/>
    <w:rsid w:val="002A1215"/>
    <w:rsid w:val="002A121A"/>
    <w:rsid w:val="002A1237"/>
    <w:rsid w:val="002A125D"/>
    <w:rsid w:val="002A128D"/>
    <w:rsid w:val="002A1345"/>
    <w:rsid w:val="002A150D"/>
    <w:rsid w:val="002A15F1"/>
    <w:rsid w:val="002A1684"/>
    <w:rsid w:val="002A1740"/>
    <w:rsid w:val="002A1929"/>
    <w:rsid w:val="002A19BD"/>
    <w:rsid w:val="002A1AE4"/>
    <w:rsid w:val="002A1AFB"/>
    <w:rsid w:val="002A1B77"/>
    <w:rsid w:val="002A1BAD"/>
    <w:rsid w:val="002A1CAE"/>
    <w:rsid w:val="002A20A3"/>
    <w:rsid w:val="002A245B"/>
    <w:rsid w:val="002A302B"/>
    <w:rsid w:val="002A3088"/>
    <w:rsid w:val="002A3192"/>
    <w:rsid w:val="002A322C"/>
    <w:rsid w:val="002A3297"/>
    <w:rsid w:val="002A32D0"/>
    <w:rsid w:val="002A3452"/>
    <w:rsid w:val="002A3674"/>
    <w:rsid w:val="002A36A9"/>
    <w:rsid w:val="002A373B"/>
    <w:rsid w:val="002A379B"/>
    <w:rsid w:val="002A38E3"/>
    <w:rsid w:val="002A3AA4"/>
    <w:rsid w:val="002A3C95"/>
    <w:rsid w:val="002A3CE0"/>
    <w:rsid w:val="002A3D28"/>
    <w:rsid w:val="002A3F15"/>
    <w:rsid w:val="002A3FA8"/>
    <w:rsid w:val="002A3FF6"/>
    <w:rsid w:val="002A4058"/>
    <w:rsid w:val="002A418A"/>
    <w:rsid w:val="002A41CD"/>
    <w:rsid w:val="002A4209"/>
    <w:rsid w:val="002A4616"/>
    <w:rsid w:val="002A4667"/>
    <w:rsid w:val="002A473E"/>
    <w:rsid w:val="002A47DE"/>
    <w:rsid w:val="002A4A73"/>
    <w:rsid w:val="002A4B77"/>
    <w:rsid w:val="002A4BA7"/>
    <w:rsid w:val="002A4C3C"/>
    <w:rsid w:val="002A4CE1"/>
    <w:rsid w:val="002A4DCC"/>
    <w:rsid w:val="002A4F61"/>
    <w:rsid w:val="002A4FD8"/>
    <w:rsid w:val="002A4FE7"/>
    <w:rsid w:val="002A5302"/>
    <w:rsid w:val="002A5678"/>
    <w:rsid w:val="002A579E"/>
    <w:rsid w:val="002A5B48"/>
    <w:rsid w:val="002A601D"/>
    <w:rsid w:val="002A6045"/>
    <w:rsid w:val="002A6210"/>
    <w:rsid w:val="002A6449"/>
    <w:rsid w:val="002A6477"/>
    <w:rsid w:val="002A66C4"/>
    <w:rsid w:val="002A66D2"/>
    <w:rsid w:val="002A6739"/>
    <w:rsid w:val="002A6775"/>
    <w:rsid w:val="002A692B"/>
    <w:rsid w:val="002A694D"/>
    <w:rsid w:val="002A695A"/>
    <w:rsid w:val="002A69BB"/>
    <w:rsid w:val="002A6CAF"/>
    <w:rsid w:val="002A6D35"/>
    <w:rsid w:val="002A6D97"/>
    <w:rsid w:val="002A6E93"/>
    <w:rsid w:val="002A6F8A"/>
    <w:rsid w:val="002A7009"/>
    <w:rsid w:val="002A72B0"/>
    <w:rsid w:val="002A72B3"/>
    <w:rsid w:val="002A72D0"/>
    <w:rsid w:val="002A72E5"/>
    <w:rsid w:val="002A7629"/>
    <w:rsid w:val="002A7707"/>
    <w:rsid w:val="002A7760"/>
    <w:rsid w:val="002A7782"/>
    <w:rsid w:val="002A77CE"/>
    <w:rsid w:val="002A792A"/>
    <w:rsid w:val="002A7AF5"/>
    <w:rsid w:val="002A7CA6"/>
    <w:rsid w:val="002A7D46"/>
    <w:rsid w:val="002A7FD9"/>
    <w:rsid w:val="002B0256"/>
    <w:rsid w:val="002B0321"/>
    <w:rsid w:val="002B0368"/>
    <w:rsid w:val="002B03C7"/>
    <w:rsid w:val="002B0577"/>
    <w:rsid w:val="002B0736"/>
    <w:rsid w:val="002B07C3"/>
    <w:rsid w:val="002B07E9"/>
    <w:rsid w:val="002B0813"/>
    <w:rsid w:val="002B0821"/>
    <w:rsid w:val="002B083B"/>
    <w:rsid w:val="002B083E"/>
    <w:rsid w:val="002B08C6"/>
    <w:rsid w:val="002B08E6"/>
    <w:rsid w:val="002B096A"/>
    <w:rsid w:val="002B09F0"/>
    <w:rsid w:val="002B0C52"/>
    <w:rsid w:val="002B0CA7"/>
    <w:rsid w:val="002B0CDA"/>
    <w:rsid w:val="002B0D8C"/>
    <w:rsid w:val="002B0E73"/>
    <w:rsid w:val="002B0F6B"/>
    <w:rsid w:val="002B0FAB"/>
    <w:rsid w:val="002B0FCF"/>
    <w:rsid w:val="002B108A"/>
    <w:rsid w:val="002B10F6"/>
    <w:rsid w:val="002B118F"/>
    <w:rsid w:val="002B123C"/>
    <w:rsid w:val="002B12E4"/>
    <w:rsid w:val="002B15B2"/>
    <w:rsid w:val="002B162E"/>
    <w:rsid w:val="002B19C3"/>
    <w:rsid w:val="002B1D2E"/>
    <w:rsid w:val="002B1E75"/>
    <w:rsid w:val="002B1F11"/>
    <w:rsid w:val="002B1F6A"/>
    <w:rsid w:val="002B2030"/>
    <w:rsid w:val="002B2042"/>
    <w:rsid w:val="002B2158"/>
    <w:rsid w:val="002B217D"/>
    <w:rsid w:val="002B21F1"/>
    <w:rsid w:val="002B22E5"/>
    <w:rsid w:val="002B2337"/>
    <w:rsid w:val="002B2437"/>
    <w:rsid w:val="002B24E2"/>
    <w:rsid w:val="002B2576"/>
    <w:rsid w:val="002B25A5"/>
    <w:rsid w:val="002B262E"/>
    <w:rsid w:val="002B28F3"/>
    <w:rsid w:val="002B2933"/>
    <w:rsid w:val="002B2960"/>
    <w:rsid w:val="002B29F4"/>
    <w:rsid w:val="002B2A63"/>
    <w:rsid w:val="002B2BC4"/>
    <w:rsid w:val="002B2C77"/>
    <w:rsid w:val="002B2DA0"/>
    <w:rsid w:val="002B2DCA"/>
    <w:rsid w:val="002B2EAD"/>
    <w:rsid w:val="002B2EC3"/>
    <w:rsid w:val="002B2FB1"/>
    <w:rsid w:val="002B30AD"/>
    <w:rsid w:val="002B30FD"/>
    <w:rsid w:val="002B3100"/>
    <w:rsid w:val="002B31ED"/>
    <w:rsid w:val="002B3335"/>
    <w:rsid w:val="002B333B"/>
    <w:rsid w:val="002B335D"/>
    <w:rsid w:val="002B35F9"/>
    <w:rsid w:val="002B382B"/>
    <w:rsid w:val="002B38C3"/>
    <w:rsid w:val="002B39B4"/>
    <w:rsid w:val="002B39E3"/>
    <w:rsid w:val="002B3B6E"/>
    <w:rsid w:val="002B3BA1"/>
    <w:rsid w:val="002B3C75"/>
    <w:rsid w:val="002B3D38"/>
    <w:rsid w:val="002B400F"/>
    <w:rsid w:val="002B4237"/>
    <w:rsid w:val="002B455F"/>
    <w:rsid w:val="002B468B"/>
    <w:rsid w:val="002B47F0"/>
    <w:rsid w:val="002B4937"/>
    <w:rsid w:val="002B4A26"/>
    <w:rsid w:val="002B4C09"/>
    <w:rsid w:val="002B4EFA"/>
    <w:rsid w:val="002B5112"/>
    <w:rsid w:val="002B51ED"/>
    <w:rsid w:val="002B5201"/>
    <w:rsid w:val="002B528D"/>
    <w:rsid w:val="002B537D"/>
    <w:rsid w:val="002B5429"/>
    <w:rsid w:val="002B548B"/>
    <w:rsid w:val="002B55FE"/>
    <w:rsid w:val="002B56B9"/>
    <w:rsid w:val="002B56C9"/>
    <w:rsid w:val="002B5837"/>
    <w:rsid w:val="002B5A2F"/>
    <w:rsid w:val="002B5B16"/>
    <w:rsid w:val="002B5B7A"/>
    <w:rsid w:val="002B5C39"/>
    <w:rsid w:val="002B5C59"/>
    <w:rsid w:val="002B5E82"/>
    <w:rsid w:val="002B5F96"/>
    <w:rsid w:val="002B6180"/>
    <w:rsid w:val="002B61CA"/>
    <w:rsid w:val="002B626D"/>
    <w:rsid w:val="002B6274"/>
    <w:rsid w:val="002B62AB"/>
    <w:rsid w:val="002B64FC"/>
    <w:rsid w:val="002B6B81"/>
    <w:rsid w:val="002B6BA2"/>
    <w:rsid w:val="002B6BA7"/>
    <w:rsid w:val="002B6BB5"/>
    <w:rsid w:val="002B6C0F"/>
    <w:rsid w:val="002B6C6E"/>
    <w:rsid w:val="002B6FC4"/>
    <w:rsid w:val="002B720F"/>
    <w:rsid w:val="002B725D"/>
    <w:rsid w:val="002B733E"/>
    <w:rsid w:val="002B743C"/>
    <w:rsid w:val="002B7442"/>
    <w:rsid w:val="002B7563"/>
    <w:rsid w:val="002B758A"/>
    <w:rsid w:val="002B7718"/>
    <w:rsid w:val="002B771E"/>
    <w:rsid w:val="002B7762"/>
    <w:rsid w:val="002B7850"/>
    <w:rsid w:val="002B78C1"/>
    <w:rsid w:val="002B7985"/>
    <w:rsid w:val="002B7BC8"/>
    <w:rsid w:val="002B7C7E"/>
    <w:rsid w:val="002B7D49"/>
    <w:rsid w:val="002B7D94"/>
    <w:rsid w:val="002B7D9D"/>
    <w:rsid w:val="002B7E65"/>
    <w:rsid w:val="002B7EE3"/>
    <w:rsid w:val="002C0001"/>
    <w:rsid w:val="002C0114"/>
    <w:rsid w:val="002C01D1"/>
    <w:rsid w:val="002C032B"/>
    <w:rsid w:val="002C046A"/>
    <w:rsid w:val="002C059D"/>
    <w:rsid w:val="002C0663"/>
    <w:rsid w:val="002C0683"/>
    <w:rsid w:val="002C0723"/>
    <w:rsid w:val="002C0740"/>
    <w:rsid w:val="002C076E"/>
    <w:rsid w:val="002C09CE"/>
    <w:rsid w:val="002C09FA"/>
    <w:rsid w:val="002C0DCB"/>
    <w:rsid w:val="002C0DCF"/>
    <w:rsid w:val="002C0FA4"/>
    <w:rsid w:val="002C1039"/>
    <w:rsid w:val="002C10A3"/>
    <w:rsid w:val="002C10BB"/>
    <w:rsid w:val="002C11BC"/>
    <w:rsid w:val="002C1400"/>
    <w:rsid w:val="002C151D"/>
    <w:rsid w:val="002C1921"/>
    <w:rsid w:val="002C1A1F"/>
    <w:rsid w:val="002C1A80"/>
    <w:rsid w:val="002C1AF0"/>
    <w:rsid w:val="002C2291"/>
    <w:rsid w:val="002C23E2"/>
    <w:rsid w:val="002C2542"/>
    <w:rsid w:val="002C261E"/>
    <w:rsid w:val="002C28D7"/>
    <w:rsid w:val="002C2A22"/>
    <w:rsid w:val="002C2C22"/>
    <w:rsid w:val="002C3027"/>
    <w:rsid w:val="002C30A4"/>
    <w:rsid w:val="002C3198"/>
    <w:rsid w:val="002C3228"/>
    <w:rsid w:val="002C3545"/>
    <w:rsid w:val="002C355B"/>
    <w:rsid w:val="002C3637"/>
    <w:rsid w:val="002C36A9"/>
    <w:rsid w:val="002C38DD"/>
    <w:rsid w:val="002C3925"/>
    <w:rsid w:val="002C3E9B"/>
    <w:rsid w:val="002C3FEE"/>
    <w:rsid w:val="002C413D"/>
    <w:rsid w:val="002C417F"/>
    <w:rsid w:val="002C4266"/>
    <w:rsid w:val="002C43AF"/>
    <w:rsid w:val="002C43B3"/>
    <w:rsid w:val="002C4513"/>
    <w:rsid w:val="002C451C"/>
    <w:rsid w:val="002C46D6"/>
    <w:rsid w:val="002C47DA"/>
    <w:rsid w:val="002C4989"/>
    <w:rsid w:val="002C49F9"/>
    <w:rsid w:val="002C4A9E"/>
    <w:rsid w:val="002C4BAE"/>
    <w:rsid w:val="002C4D0F"/>
    <w:rsid w:val="002C5038"/>
    <w:rsid w:val="002C5120"/>
    <w:rsid w:val="002C527A"/>
    <w:rsid w:val="002C56AC"/>
    <w:rsid w:val="002C56E2"/>
    <w:rsid w:val="002C58BC"/>
    <w:rsid w:val="002C5A90"/>
    <w:rsid w:val="002C5AD8"/>
    <w:rsid w:val="002C5AE1"/>
    <w:rsid w:val="002C5D5E"/>
    <w:rsid w:val="002C5DBD"/>
    <w:rsid w:val="002C5F8D"/>
    <w:rsid w:val="002C5FB1"/>
    <w:rsid w:val="002C6146"/>
    <w:rsid w:val="002C6150"/>
    <w:rsid w:val="002C61AB"/>
    <w:rsid w:val="002C6240"/>
    <w:rsid w:val="002C62C5"/>
    <w:rsid w:val="002C6366"/>
    <w:rsid w:val="002C63CB"/>
    <w:rsid w:val="002C6418"/>
    <w:rsid w:val="002C6477"/>
    <w:rsid w:val="002C6494"/>
    <w:rsid w:val="002C6535"/>
    <w:rsid w:val="002C65B8"/>
    <w:rsid w:val="002C66A5"/>
    <w:rsid w:val="002C66D4"/>
    <w:rsid w:val="002C6802"/>
    <w:rsid w:val="002C681A"/>
    <w:rsid w:val="002C68D0"/>
    <w:rsid w:val="002C69A7"/>
    <w:rsid w:val="002C6A24"/>
    <w:rsid w:val="002C6A6C"/>
    <w:rsid w:val="002C6C05"/>
    <w:rsid w:val="002C6C48"/>
    <w:rsid w:val="002C6D05"/>
    <w:rsid w:val="002C6D2D"/>
    <w:rsid w:val="002C6EA9"/>
    <w:rsid w:val="002C6FE6"/>
    <w:rsid w:val="002C7103"/>
    <w:rsid w:val="002C7148"/>
    <w:rsid w:val="002C7260"/>
    <w:rsid w:val="002C72C6"/>
    <w:rsid w:val="002C73A2"/>
    <w:rsid w:val="002C75B2"/>
    <w:rsid w:val="002C7698"/>
    <w:rsid w:val="002C7705"/>
    <w:rsid w:val="002C775F"/>
    <w:rsid w:val="002C77A4"/>
    <w:rsid w:val="002C797E"/>
    <w:rsid w:val="002C79AE"/>
    <w:rsid w:val="002C7CF3"/>
    <w:rsid w:val="002C7EB6"/>
    <w:rsid w:val="002C7FEA"/>
    <w:rsid w:val="002D0125"/>
    <w:rsid w:val="002D01B2"/>
    <w:rsid w:val="002D044A"/>
    <w:rsid w:val="002D04CF"/>
    <w:rsid w:val="002D0539"/>
    <w:rsid w:val="002D058D"/>
    <w:rsid w:val="002D0671"/>
    <w:rsid w:val="002D0716"/>
    <w:rsid w:val="002D087E"/>
    <w:rsid w:val="002D0889"/>
    <w:rsid w:val="002D0A34"/>
    <w:rsid w:val="002D0A45"/>
    <w:rsid w:val="002D0AB0"/>
    <w:rsid w:val="002D0AD2"/>
    <w:rsid w:val="002D0F3F"/>
    <w:rsid w:val="002D0F79"/>
    <w:rsid w:val="002D0FD0"/>
    <w:rsid w:val="002D100B"/>
    <w:rsid w:val="002D111A"/>
    <w:rsid w:val="002D13EA"/>
    <w:rsid w:val="002D13EC"/>
    <w:rsid w:val="002D179C"/>
    <w:rsid w:val="002D18A7"/>
    <w:rsid w:val="002D1AB2"/>
    <w:rsid w:val="002D1D7F"/>
    <w:rsid w:val="002D1DAF"/>
    <w:rsid w:val="002D1DFB"/>
    <w:rsid w:val="002D1F63"/>
    <w:rsid w:val="002D203A"/>
    <w:rsid w:val="002D210A"/>
    <w:rsid w:val="002D2332"/>
    <w:rsid w:val="002D23B1"/>
    <w:rsid w:val="002D26A5"/>
    <w:rsid w:val="002D271F"/>
    <w:rsid w:val="002D2722"/>
    <w:rsid w:val="002D27A7"/>
    <w:rsid w:val="002D2847"/>
    <w:rsid w:val="002D2AD7"/>
    <w:rsid w:val="002D2CA7"/>
    <w:rsid w:val="002D2DC3"/>
    <w:rsid w:val="002D2EA2"/>
    <w:rsid w:val="002D3119"/>
    <w:rsid w:val="002D3127"/>
    <w:rsid w:val="002D3144"/>
    <w:rsid w:val="002D31E8"/>
    <w:rsid w:val="002D3570"/>
    <w:rsid w:val="002D38CC"/>
    <w:rsid w:val="002D3A2E"/>
    <w:rsid w:val="002D3B19"/>
    <w:rsid w:val="002D3BD5"/>
    <w:rsid w:val="002D3CA4"/>
    <w:rsid w:val="002D3CC0"/>
    <w:rsid w:val="002D3D76"/>
    <w:rsid w:val="002D3D96"/>
    <w:rsid w:val="002D3EB6"/>
    <w:rsid w:val="002D40C8"/>
    <w:rsid w:val="002D41FB"/>
    <w:rsid w:val="002D42E8"/>
    <w:rsid w:val="002D4453"/>
    <w:rsid w:val="002D462F"/>
    <w:rsid w:val="002D49D2"/>
    <w:rsid w:val="002D4A35"/>
    <w:rsid w:val="002D4C2D"/>
    <w:rsid w:val="002D4C39"/>
    <w:rsid w:val="002D4DB7"/>
    <w:rsid w:val="002D50CB"/>
    <w:rsid w:val="002D51EA"/>
    <w:rsid w:val="002D52E6"/>
    <w:rsid w:val="002D538A"/>
    <w:rsid w:val="002D5485"/>
    <w:rsid w:val="002D54E7"/>
    <w:rsid w:val="002D555D"/>
    <w:rsid w:val="002D55E3"/>
    <w:rsid w:val="002D561C"/>
    <w:rsid w:val="002D5846"/>
    <w:rsid w:val="002D58D0"/>
    <w:rsid w:val="002D58FE"/>
    <w:rsid w:val="002D5965"/>
    <w:rsid w:val="002D5AAF"/>
    <w:rsid w:val="002D5AB3"/>
    <w:rsid w:val="002D5BAE"/>
    <w:rsid w:val="002D5BDC"/>
    <w:rsid w:val="002D5C0B"/>
    <w:rsid w:val="002D5C3D"/>
    <w:rsid w:val="002D5C61"/>
    <w:rsid w:val="002D5C7F"/>
    <w:rsid w:val="002D5E21"/>
    <w:rsid w:val="002D5ECC"/>
    <w:rsid w:val="002D6077"/>
    <w:rsid w:val="002D613F"/>
    <w:rsid w:val="002D63C5"/>
    <w:rsid w:val="002D63E3"/>
    <w:rsid w:val="002D64A5"/>
    <w:rsid w:val="002D66FC"/>
    <w:rsid w:val="002D682C"/>
    <w:rsid w:val="002D6B95"/>
    <w:rsid w:val="002D6D1E"/>
    <w:rsid w:val="002D6F8F"/>
    <w:rsid w:val="002D7055"/>
    <w:rsid w:val="002D7329"/>
    <w:rsid w:val="002D74AD"/>
    <w:rsid w:val="002D74E6"/>
    <w:rsid w:val="002D7B0A"/>
    <w:rsid w:val="002D7B21"/>
    <w:rsid w:val="002D7BA4"/>
    <w:rsid w:val="002D7BC3"/>
    <w:rsid w:val="002D7BE4"/>
    <w:rsid w:val="002D7C02"/>
    <w:rsid w:val="002D7C1B"/>
    <w:rsid w:val="002D7CAE"/>
    <w:rsid w:val="002D7F8A"/>
    <w:rsid w:val="002E000E"/>
    <w:rsid w:val="002E00C3"/>
    <w:rsid w:val="002E00E9"/>
    <w:rsid w:val="002E01DC"/>
    <w:rsid w:val="002E0344"/>
    <w:rsid w:val="002E0495"/>
    <w:rsid w:val="002E0940"/>
    <w:rsid w:val="002E0AE3"/>
    <w:rsid w:val="002E0FC2"/>
    <w:rsid w:val="002E123A"/>
    <w:rsid w:val="002E1833"/>
    <w:rsid w:val="002E18A2"/>
    <w:rsid w:val="002E1A4F"/>
    <w:rsid w:val="002E1D56"/>
    <w:rsid w:val="002E1F22"/>
    <w:rsid w:val="002E1F91"/>
    <w:rsid w:val="002E20EE"/>
    <w:rsid w:val="002E2121"/>
    <w:rsid w:val="002E2257"/>
    <w:rsid w:val="002E2279"/>
    <w:rsid w:val="002E233C"/>
    <w:rsid w:val="002E2365"/>
    <w:rsid w:val="002E23D2"/>
    <w:rsid w:val="002E23ED"/>
    <w:rsid w:val="002E2405"/>
    <w:rsid w:val="002E2515"/>
    <w:rsid w:val="002E27BD"/>
    <w:rsid w:val="002E2865"/>
    <w:rsid w:val="002E2939"/>
    <w:rsid w:val="002E2B67"/>
    <w:rsid w:val="002E2B7F"/>
    <w:rsid w:val="002E2CE6"/>
    <w:rsid w:val="002E2DBF"/>
    <w:rsid w:val="002E2F69"/>
    <w:rsid w:val="002E2FDE"/>
    <w:rsid w:val="002E2FE2"/>
    <w:rsid w:val="002E2FE5"/>
    <w:rsid w:val="002E3058"/>
    <w:rsid w:val="002E307B"/>
    <w:rsid w:val="002E327B"/>
    <w:rsid w:val="002E32EF"/>
    <w:rsid w:val="002E33D0"/>
    <w:rsid w:val="002E3473"/>
    <w:rsid w:val="002E34AD"/>
    <w:rsid w:val="002E351F"/>
    <w:rsid w:val="002E361E"/>
    <w:rsid w:val="002E3679"/>
    <w:rsid w:val="002E36C7"/>
    <w:rsid w:val="002E38DC"/>
    <w:rsid w:val="002E395A"/>
    <w:rsid w:val="002E3A35"/>
    <w:rsid w:val="002E3AF0"/>
    <w:rsid w:val="002E3BED"/>
    <w:rsid w:val="002E3E51"/>
    <w:rsid w:val="002E3EB2"/>
    <w:rsid w:val="002E3F19"/>
    <w:rsid w:val="002E3FFA"/>
    <w:rsid w:val="002E4020"/>
    <w:rsid w:val="002E411A"/>
    <w:rsid w:val="002E4204"/>
    <w:rsid w:val="002E43F7"/>
    <w:rsid w:val="002E44F7"/>
    <w:rsid w:val="002E4509"/>
    <w:rsid w:val="002E456B"/>
    <w:rsid w:val="002E4610"/>
    <w:rsid w:val="002E470B"/>
    <w:rsid w:val="002E4721"/>
    <w:rsid w:val="002E473F"/>
    <w:rsid w:val="002E4BF9"/>
    <w:rsid w:val="002E4F29"/>
    <w:rsid w:val="002E5069"/>
    <w:rsid w:val="002E51D2"/>
    <w:rsid w:val="002E51F9"/>
    <w:rsid w:val="002E525E"/>
    <w:rsid w:val="002E5263"/>
    <w:rsid w:val="002E53E1"/>
    <w:rsid w:val="002E540C"/>
    <w:rsid w:val="002E559A"/>
    <w:rsid w:val="002E5718"/>
    <w:rsid w:val="002E58C4"/>
    <w:rsid w:val="002E591C"/>
    <w:rsid w:val="002E5AEA"/>
    <w:rsid w:val="002E5B44"/>
    <w:rsid w:val="002E5C10"/>
    <w:rsid w:val="002E5DEF"/>
    <w:rsid w:val="002E5FB7"/>
    <w:rsid w:val="002E60A3"/>
    <w:rsid w:val="002E60F1"/>
    <w:rsid w:val="002E64BA"/>
    <w:rsid w:val="002E6599"/>
    <w:rsid w:val="002E65E7"/>
    <w:rsid w:val="002E6685"/>
    <w:rsid w:val="002E67B3"/>
    <w:rsid w:val="002E67F7"/>
    <w:rsid w:val="002E6852"/>
    <w:rsid w:val="002E69F6"/>
    <w:rsid w:val="002E6B95"/>
    <w:rsid w:val="002E6BB2"/>
    <w:rsid w:val="002E6E98"/>
    <w:rsid w:val="002E6F39"/>
    <w:rsid w:val="002E719F"/>
    <w:rsid w:val="002E75D1"/>
    <w:rsid w:val="002E7669"/>
    <w:rsid w:val="002E7800"/>
    <w:rsid w:val="002E7944"/>
    <w:rsid w:val="002E7A0E"/>
    <w:rsid w:val="002E7A2C"/>
    <w:rsid w:val="002E7AE9"/>
    <w:rsid w:val="002E7AF9"/>
    <w:rsid w:val="002E7D05"/>
    <w:rsid w:val="002E7D29"/>
    <w:rsid w:val="002E7D97"/>
    <w:rsid w:val="002E7EB0"/>
    <w:rsid w:val="002E7EFA"/>
    <w:rsid w:val="002E7F96"/>
    <w:rsid w:val="002E7FA2"/>
    <w:rsid w:val="002F0007"/>
    <w:rsid w:val="002F00AF"/>
    <w:rsid w:val="002F01CC"/>
    <w:rsid w:val="002F028C"/>
    <w:rsid w:val="002F0371"/>
    <w:rsid w:val="002F03AC"/>
    <w:rsid w:val="002F04D3"/>
    <w:rsid w:val="002F0508"/>
    <w:rsid w:val="002F058D"/>
    <w:rsid w:val="002F059B"/>
    <w:rsid w:val="002F069A"/>
    <w:rsid w:val="002F076B"/>
    <w:rsid w:val="002F08B4"/>
    <w:rsid w:val="002F0913"/>
    <w:rsid w:val="002F0A35"/>
    <w:rsid w:val="002F0D37"/>
    <w:rsid w:val="002F0DA9"/>
    <w:rsid w:val="002F0E1A"/>
    <w:rsid w:val="002F0FA4"/>
    <w:rsid w:val="002F1055"/>
    <w:rsid w:val="002F1074"/>
    <w:rsid w:val="002F10EC"/>
    <w:rsid w:val="002F146A"/>
    <w:rsid w:val="002F148C"/>
    <w:rsid w:val="002F14F3"/>
    <w:rsid w:val="002F1594"/>
    <w:rsid w:val="002F163D"/>
    <w:rsid w:val="002F1648"/>
    <w:rsid w:val="002F1765"/>
    <w:rsid w:val="002F1785"/>
    <w:rsid w:val="002F1804"/>
    <w:rsid w:val="002F183A"/>
    <w:rsid w:val="002F1885"/>
    <w:rsid w:val="002F18D9"/>
    <w:rsid w:val="002F1AAE"/>
    <w:rsid w:val="002F1B27"/>
    <w:rsid w:val="002F1B89"/>
    <w:rsid w:val="002F1E1F"/>
    <w:rsid w:val="002F1F06"/>
    <w:rsid w:val="002F228B"/>
    <w:rsid w:val="002F2290"/>
    <w:rsid w:val="002F236B"/>
    <w:rsid w:val="002F24DA"/>
    <w:rsid w:val="002F261E"/>
    <w:rsid w:val="002F265D"/>
    <w:rsid w:val="002F268D"/>
    <w:rsid w:val="002F28D6"/>
    <w:rsid w:val="002F29D0"/>
    <w:rsid w:val="002F2ABC"/>
    <w:rsid w:val="002F2BBC"/>
    <w:rsid w:val="002F2BF3"/>
    <w:rsid w:val="002F2D40"/>
    <w:rsid w:val="002F2D52"/>
    <w:rsid w:val="002F2F4A"/>
    <w:rsid w:val="002F2F85"/>
    <w:rsid w:val="002F304B"/>
    <w:rsid w:val="002F31D7"/>
    <w:rsid w:val="002F31F8"/>
    <w:rsid w:val="002F339B"/>
    <w:rsid w:val="002F33A2"/>
    <w:rsid w:val="002F33C8"/>
    <w:rsid w:val="002F34F0"/>
    <w:rsid w:val="002F35F2"/>
    <w:rsid w:val="002F3723"/>
    <w:rsid w:val="002F3890"/>
    <w:rsid w:val="002F3967"/>
    <w:rsid w:val="002F399D"/>
    <w:rsid w:val="002F3A63"/>
    <w:rsid w:val="002F3B90"/>
    <w:rsid w:val="002F3C06"/>
    <w:rsid w:val="002F3C46"/>
    <w:rsid w:val="002F3CE4"/>
    <w:rsid w:val="002F3DDE"/>
    <w:rsid w:val="002F3EA0"/>
    <w:rsid w:val="002F40F1"/>
    <w:rsid w:val="002F425A"/>
    <w:rsid w:val="002F4359"/>
    <w:rsid w:val="002F43E9"/>
    <w:rsid w:val="002F4443"/>
    <w:rsid w:val="002F456D"/>
    <w:rsid w:val="002F4751"/>
    <w:rsid w:val="002F494F"/>
    <w:rsid w:val="002F4A6E"/>
    <w:rsid w:val="002F4A96"/>
    <w:rsid w:val="002F4C8C"/>
    <w:rsid w:val="002F4CF0"/>
    <w:rsid w:val="002F4E3F"/>
    <w:rsid w:val="002F4F80"/>
    <w:rsid w:val="002F5295"/>
    <w:rsid w:val="002F52A6"/>
    <w:rsid w:val="002F52C8"/>
    <w:rsid w:val="002F55BC"/>
    <w:rsid w:val="002F55DA"/>
    <w:rsid w:val="002F5670"/>
    <w:rsid w:val="002F5671"/>
    <w:rsid w:val="002F59A3"/>
    <w:rsid w:val="002F59DC"/>
    <w:rsid w:val="002F5AB5"/>
    <w:rsid w:val="002F5C2F"/>
    <w:rsid w:val="002F5C88"/>
    <w:rsid w:val="002F5D26"/>
    <w:rsid w:val="002F5D98"/>
    <w:rsid w:val="002F5DF2"/>
    <w:rsid w:val="002F6314"/>
    <w:rsid w:val="002F6386"/>
    <w:rsid w:val="002F66BA"/>
    <w:rsid w:val="002F6744"/>
    <w:rsid w:val="002F6765"/>
    <w:rsid w:val="002F67CF"/>
    <w:rsid w:val="002F67E0"/>
    <w:rsid w:val="002F68FE"/>
    <w:rsid w:val="002F6A1F"/>
    <w:rsid w:val="002F6A89"/>
    <w:rsid w:val="002F6A8F"/>
    <w:rsid w:val="002F6B5E"/>
    <w:rsid w:val="002F6BA2"/>
    <w:rsid w:val="002F6C6D"/>
    <w:rsid w:val="002F6CCE"/>
    <w:rsid w:val="002F6DC2"/>
    <w:rsid w:val="002F6F7D"/>
    <w:rsid w:val="002F6F8B"/>
    <w:rsid w:val="002F7058"/>
    <w:rsid w:val="002F70AD"/>
    <w:rsid w:val="002F710C"/>
    <w:rsid w:val="002F7134"/>
    <w:rsid w:val="002F7144"/>
    <w:rsid w:val="002F718A"/>
    <w:rsid w:val="002F7266"/>
    <w:rsid w:val="002F73AB"/>
    <w:rsid w:val="002F73D0"/>
    <w:rsid w:val="002F74E9"/>
    <w:rsid w:val="002F7650"/>
    <w:rsid w:val="002F7708"/>
    <w:rsid w:val="002F7861"/>
    <w:rsid w:val="002F78F1"/>
    <w:rsid w:val="002F7A32"/>
    <w:rsid w:val="002F7AFC"/>
    <w:rsid w:val="002F7B4E"/>
    <w:rsid w:val="002F7C86"/>
    <w:rsid w:val="002F7D07"/>
    <w:rsid w:val="002F7FDB"/>
    <w:rsid w:val="002F7FE7"/>
    <w:rsid w:val="003004AB"/>
    <w:rsid w:val="00300531"/>
    <w:rsid w:val="0030057E"/>
    <w:rsid w:val="0030075C"/>
    <w:rsid w:val="00300766"/>
    <w:rsid w:val="003007FA"/>
    <w:rsid w:val="003009DC"/>
    <w:rsid w:val="00300CAB"/>
    <w:rsid w:val="00300D7B"/>
    <w:rsid w:val="00300E2E"/>
    <w:rsid w:val="00300EB2"/>
    <w:rsid w:val="00300F4A"/>
    <w:rsid w:val="00301114"/>
    <w:rsid w:val="00301489"/>
    <w:rsid w:val="0030152F"/>
    <w:rsid w:val="003015BF"/>
    <w:rsid w:val="003019DD"/>
    <w:rsid w:val="00301C74"/>
    <w:rsid w:val="00301CD9"/>
    <w:rsid w:val="00301D19"/>
    <w:rsid w:val="00301D8A"/>
    <w:rsid w:val="00301D8C"/>
    <w:rsid w:val="00301DE3"/>
    <w:rsid w:val="00301F2F"/>
    <w:rsid w:val="00301FB4"/>
    <w:rsid w:val="003021E8"/>
    <w:rsid w:val="00302227"/>
    <w:rsid w:val="00302275"/>
    <w:rsid w:val="00302560"/>
    <w:rsid w:val="00302616"/>
    <w:rsid w:val="0030261E"/>
    <w:rsid w:val="0030262B"/>
    <w:rsid w:val="0030266A"/>
    <w:rsid w:val="00302719"/>
    <w:rsid w:val="003027B5"/>
    <w:rsid w:val="00302950"/>
    <w:rsid w:val="00302AFC"/>
    <w:rsid w:val="00302B86"/>
    <w:rsid w:val="00302C56"/>
    <w:rsid w:val="00302C60"/>
    <w:rsid w:val="00302CC4"/>
    <w:rsid w:val="00302D32"/>
    <w:rsid w:val="00303095"/>
    <w:rsid w:val="00303393"/>
    <w:rsid w:val="003033BD"/>
    <w:rsid w:val="00303446"/>
    <w:rsid w:val="003034B5"/>
    <w:rsid w:val="003035A7"/>
    <w:rsid w:val="00303646"/>
    <w:rsid w:val="00303704"/>
    <w:rsid w:val="0030382B"/>
    <w:rsid w:val="003038D9"/>
    <w:rsid w:val="00303A6C"/>
    <w:rsid w:val="00303C2C"/>
    <w:rsid w:val="00303DDA"/>
    <w:rsid w:val="00303F49"/>
    <w:rsid w:val="003040F4"/>
    <w:rsid w:val="0030410C"/>
    <w:rsid w:val="0030412B"/>
    <w:rsid w:val="0030423A"/>
    <w:rsid w:val="003042DE"/>
    <w:rsid w:val="00304378"/>
    <w:rsid w:val="0030447F"/>
    <w:rsid w:val="00304557"/>
    <w:rsid w:val="00304558"/>
    <w:rsid w:val="003045C9"/>
    <w:rsid w:val="003045ED"/>
    <w:rsid w:val="0030461D"/>
    <w:rsid w:val="0030462B"/>
    <w:rsid w:val="00304720"/>
    <w:rsid w:val="003049B8"/>
    <w:rsid w:val="003049CB"/>
    <w:rsid w:val="00304B25"/>
    <w:rsid w:val="00304DA7"/>
    <w:rsid w:val="00304DF6"/>
    <w:rsid w:val="00304E6D"/>
    <w:rsid w:val="00304EB4"/>
    <w:rsid w:val="00304F36"/>
    <w:rsid w:val="00304F97"/>
    <w:rsid w:val="00304FF1"/>
    <w:rsid w:val="00305143"/>
    <w:rsid w:val="00305171"/>
    <w:rsid w:val="00305235"/>
    <w:rsid w:val="00305322"/>
    <w:rsid w:val="003053D7"/>
    <w:rsid w:val="0030574C"/>
    <w:rsid w:val="00305750"/>
    <w:rsid w:val="00305773"/>
    <w:rsid w:val="003057ED"/>
    <w:rsid w:val="003058A4"/>
    <w:rsid w:val="00305A6E"/>
    <w:rsid w:val="00305B6B"/>
    <w:rsid w:val="00305DFA"/>
    <w:rsid w:val="00305E86"/>
    <w:rsid w:val="00305F53"/>
    <w:rsid w:val="00305FBE"/>
    <w:rsid w:val="00305FDD"/>
    <w:rsid w:val="003060AD"/>
    <w:rsid w:val="0030622E"/>
    <w:rsid w:val="00306244"/>
    <w:rsid w:val="00306537"/>
    <w:rsid w:val="00306544"/>
    <w:rsid w:val="00306640"/>
    <w:rsid w:val="00306654"/>
    <w:rsid w:val="00306746"/>
    <w:rsid w:val="00306C44"/>
    <w:rsid w:val="00306D3E"/>
    <w:rsid w:val="00306D6C"/>
    <w:rsid w:val="00306E1A"/>
    <w:rsid w:val="00306F85"/>
    <w:rsid w:val="003070A6"/>
    <w:rsid w:val="003071D1"/>
    <w:rsid w:val="003072E4"/>
    <w:rsid w:val="003073A8"/>
    <w:rsid w:val="00307639"/>
    <w:rsid w:val="003077CE"/>
    <w:rsid w:val="003079AC"/>
    <w:rsid w:val="003079DB"/>
    <w:rsid w:val="00307BA7"/>
    <w:rsid w:val="00307C5E"/>
    <w:rsid w:val="00307D5F"/>
    <w:rsid w:val="00310184"/>
    <w:rsid w:val="00310236"/>
    <w:rsid w:val="00310442"/>
    <w:rsid w:val="00310553"/>
    <w:rsid w:val="00310560"/>
    <w:rsid w:val="0031057D"/>
    <w:rsid w:val="0031061E"/>
    <w:rsid w:val="00310634"/>
    <w:rsid w:val="00310897"/>
    <w:rsid w:val="00310B7C"/>
    <w:rsid w:val="00310BCA"/>
    <w:rsid w:val="00310C21"/>
    <w:rsid w:val="00310C5D"/>
    <w:rsid w:val="00310D60"/>
    <w:rsid w:val="00310D91"/>
    <w:rsid w:val="00310DED"/>
    <w:rsid w:val="00310E4A"/>
    <w:rsid w:val="00310EE0"/>
    <w:rsid w:val="003111A0"/>
    <w:rsid w:val="00311263"/>
    <w:rsid w:val="0031132B"/>
    <w:rsid w:val="00311471"/>
    <w:rsid w:val="00311483"/>
    <w:rsid w:val="003114B2"/>
    <w:rsid w:val="00311548"/>
    <w:rsid w:val="00311571"/>
    <w:rsid w:val="00311608"/>
    <w:rsid w:val="00311994"/>
    <w:rsid w:val="00311A20"/>
    <w:rsid w:val="00311A89"/>
    <w:rsid w:val="00311AEA"/>
    <w:rsid w:val="00311BE5"/>
    <w:rsid w:val="00311C1F"/>
    <w:rsid w:val="00311C90"/>
    <w:rsid w:val="00311D2B"/>
    <w:rsid w:val="00311D88"/>
    <w:rsid w:val="00311E8B"/>
    <w:rsid w:val="0031205D"/>
    <w:rsid w:val="00312257"/>
    <w:rsid w:val="00312524"/>
    <w:rsid w:val="003128CA"/>
    <w:rsid w:val="00312B77"/>
    <w:rsid w:val="00312C1B"/>
    <w:rsid w:val="00312C8A"/>
    <w:rsid w:val="00312DC4"/>
    <w:rsid w:val="00312E1B"/>
    <w:rsid w:val="00312E62"/>
    <w:rsid w:val="00312F87"/>
    <w:rsid w:val="00313214"/>
    <w:rsid w:val="003132FB"/>
    <w:rsid w:val="00313327"/>
    <w:rsid w:val="003133B4"/>
    <w:rsid w:val="003133BE"/>
    <w:rsid w:val="0031350A"/>
    <w:rsid w:val="003137DB"/>
    <w:rsid w:val="003137E5"/>
    <w:rsid w:val="0031388B"/>
    <w:rsid w:val="00313982"/>
    <w:rsid w:val="00313A52"/>
    <w:rsid w:val="00313A8B"/>
    <w:rsid w:val="00313C2E"/>
    <w:rsid w:val="00313C65"/>
    <w:rsid w:val="00313E5B"/>
    <w:rsid w:val="00313EF0"/>
    <w:rsid w:val="00313EF8"/>
    <w:rsid w:val="00313F2C"/>
    <w:rsid w:val="00314012"/>
    <w:rsid w:val="003140EE"/>
    <w:rsid w:val="0031430D"/>
    <w:rsid w:val="00314331"/>
    <w:rsid w:val="003143DE"/>
    <w:rsid w:val="00314547"/>
    <w:rsid w:val="003145C6"/>
    <w:rsid w:val="00314915"/>
    <w:rsid w:val="0031497D"/>
    <w:rsid w:val="00314A8D"/>
    <w:rsid w:val="00314A99"/>
    <w:rsid w:val="00314C77"/>
    <w:rsid w:val="00314C93"/>
    <w:rsid w:val="00314C97"/>
    <w:rsid w:val="00314D46"/>
    <w:rsid w:val="00314ED1"/>
    <w:rsid w:val="00314FE1"/>
    <w:rsid w:val="00315088"/>
    <w:rsid w:val="003150A4"/>
    <w:rsid w:val="00315222"/>
    <w:rsid w:val="00315378"/>
    <w:rsid w:val="00315464"/>
    <w:rsid w:val="00315518"/>
    <w:rsid w:val="00315536"/>
    <w:rsid w:val="00315717"/>
    <w:rsid w:val="00315787"/>
    <w:rsid w:val="003157A9"/>
    <w:rsid w:val="00315807"/>
    <w:rsid w:val="0031582E"/>
    <w:rsid w:val="003158C0"/>
    <w:rsid w:val="00315933"/>
    <w:rsid w:val="003159A3"/>
    <w:rsid w:val="00315B14"/>
    <w:rsid w:val="00315CDC"/>
    <w:rsid w:val="00315D7B"/>
    <w:rsid w:val="00315F74"/>
    <w:rsid w:val="00315F7A"/>
    <w:rsid w:val="00316161"/>
    <w:rsid w:val="0031618D"/>
    <w:rsid w:val="0031621A"/>
    <w:rsid w:val="003165CD"/>
    <w:rsid w:val="0031662F"/>
    <w:rsid w:val="00316662"/>
    <w:rsid w:val="00316740"/>
    <w:rsid w:val="003169BF"/>
    <w:rsid w:val="00316A17"/>
    <w:rsid w:val="00316A1E"/>
    <w:rsid w:val="00316D54"/>
    <w:rsid w:val="00316F0A"/>
    <w:rsid w:val="00316FDA"/>
    <w:rsid w:val="00317102"/>
    <w:rsid w:val="00317246"/>
    <w:rsid w:val="003172F8"/>
    <w:rsid w:val="003173E0"/>
    <w:rsid w:val="0031744A"/>
    <w:rsid w:val="003174C4"/>
    <w:rsid w:val="003174D3"/>
    <w:rsid w:val="003174DB"/>
    <w:rsid w:val="00317740"/>
    <w:rsid w:val="00317829"/>
    <w:rsid w:val="003178D2"/>
    <w:rsid w:val="003178DB"/>
    <w:rsid w:val="003178E8"/>
    <w:rsid w:val="003178EF"/>
    <w:rsid w:val="00317C78"/>
    <w:rsid w:val="00317D0A"/>
    <w:rsid w:val="00317DC2"/>
    <w:rsid w:val="00317E09"/>
    <w:rsid w:val="00317E8B"/>
    <w:rsid w:val="00317FEF"/>
    <w:rsid w:val="00320237"/>
    <w:rsid w:val="003202A3"/>
    <w:rsid w:val="00320337"/>
    <w:rsid w:val="00320358"/>
    <w:rsid w:val="003203F6"/>
    <w:rsid w:val="00320494"/>
    <w:rsid w:val="003204FC"/>
    <w:rsid w:val="00320622"/>
    <w:rsid w:val="00320695"/>
    <w:rsid w:val="003208D7"/>
    <w:rsid w:val="003208DA"/>
    <w:rsid w:val="003208DB"/>
    <w:rsid w:val="00320A8D"/>
    <w:rsid w:val="00320CFB"/>
    <w:rsid w:val="00320E42"/>
    <w:rsid w:val="00320F2C"/>
    <w:rsid w:val="0032110D"/>
    <w:rsid w:val="00321142"/>
    <w:rsid w:val="003212A0"/>
    <w:rsid w:val="003213CA"/>
    <w:rsid w:val="0032143A"/>
    <w:rsid w:val="0032146C"/>
    <w:rsid w:val="003214C2"/>
    <w:rsid w:val="00321553"/>
    <w:rsid w:val="0032162B"/>
    <w:rsid w:val="0032165E"/>
    <w:rsid w:val="003216CD"/>
    <w:rsid w:val="003216DE"/>
    <w:rsid w:val="0032184E"/>
    <w:rsid w:val="00321863"/>
    <w:rsid w:val="003219DE"/>
    <w:rsid w:val="00321A3B"/>
    <w:rsid w:val="00321AD9"/>
    <w:rsid w:val="00321C46"/>
    <w:rsid w:val="00321C47"/>
    <w:rsid w:val="00321C68"/>
    <w:rsid w:val="00321E33"/>
    <w:rsid w:val="00321F13"/>
    <w:rsid w:val="00322077"/>
    <w:rsid w:val="003220AC"/>
    <w:rsid w:val="003221A8"/>
    <w:rsid w:val="00322249"/>
    <w:rsid w:val="00322336"/>
    <w:rsid w:val="00322346"/>
    <w:rsid w:val="00322423"/>
    <w:rsid w:val="003225C2"/>
    <w:rsid w:val="0032264A"/>
    <w:rsid w:val="00322902"/>
    <w:rsid w:val="0032294D"/>
    <w:rsid w:val="003229A9"/>
    <w:rsid w:val="003229B0"/>
    <w:rsid w:val="003229E7"/>
    <w:rsid w:val="00322B42"/>
    <w:rsid w:val="00322BBB"/>
    <w:rsid w:val="00322C1B"/>
    <w:rsid w:val="00322CDB"/>
    <w:rsid w:val="00322CF8"/>
    <w:rsid w:val="00322E1F"/>
    <w:rsid w:val="00322ED0"/>
    <w:rsid w:val="00322EE1"/>
    <w:rsid w:val="00322F12"/>
    <w:rsid w:val="00322F40"/>
    <w:rsid w:val="00322F96"/>
    <w:rsid w:val="00323066"/>
    <w:rsid w:val="003230F7"/>
    <w:rsid w:val="003231A1"/>
    <w:rsid w:val="00323325"/>
    <w:rsid w:val="00323400"/>
    <w:rsid w:val="00323441"/>
    <w:rsid w:val="0032347E"/>
    <w:rsid w:val="00323694"/>
    <w:rsid w:val="003236C8"/>
    <w:rsid w:val="00323905"/>
    <w:rsid w:val="0032399C"/>
    <w:rsid w:val="00323A35"/>
    <w:rsid w:val="00323B2C"/>
    <w:rsid w:val="00323B8A"/>
    <w:rsid w:val="00323D0B"/>
    <w:rsid w:val="00323D53"/>
    <w:rsid w:val="00323E68"/>
    <w:rsid w:val="00323FDE"/>
    <w:rsid w:val="0032400B"/>
    <w:rsid w:val="00324161"/>
    <w:rsid w:val="00324199"/>
    <w:rsid w:val="003242B7"/>
    <w:rsid w:val="003246E7"/>
    <w:rsid w:val="003248CB"/>
    <w:rsid w:val="003249ED"/>
    <w:rsid w:val="003249F7"/>
    <w:rsid w:val="00324AAF"/>
    <w:rsid w:val="00324BB3"/>
    <w:rsid w:val="00324BC5"/>
    <w:rsid w:val="00324BF9"/>
    <w:rsid w:val="00324C37"/>
    <w:rsid w:val="00324C48"/>
    <w:rsid w:val="00324CD3"/>
    <w:rsid w:val="00324DC1"/>
    <w:rsid w:val="00324FAF"/>
    <w:rsid w:val="00324FCB"/>
    <w:rsid w:val="0032514C"/>
    <w:rsid w:val="003252D6"/>
    <w:rsid w:val="00325362"/>
    <w:rsid w:val="0032551E"/>
    <w:rsid w:val="003257E8"/>
    <w:rsid w:val="0032585D"/>
    <w:rsid w:val="0032596C"/>
    <w:rsid w:val="003259D7"/>
    <w:rsid w:val="00325A1E"/>
    <w:rsid w:val="00325D2E"/>
    <w:rsid w:val="00325DA4"/>
    <w:rsid w:val="00325DA7"/>
    <w:rsid w:val="00325DC2"/>
    <w:rsid w:val="0032606E"/>
    <w:rsid w:val="003262A6"/>
    <w:rsid w:val="00326371"/>
    <w:rsid w:val="003263A1"/>
    <w:rsid w:val="00326578"/>
    <w:rsid w:val="00326658"/>
    <w:rsid w:val="00326781"/>
    <w:rsid w:val="00326854"/>
    <w:rsid w:val="00326A36"/>
    <w:rsid w:val="00326A5A"/>
    <w:rsid w:val="00326D07"/>
    <w:rsid w:val="00326D47"/>
    <w:rsid w:val="00326D87"/>
    <w:rsid w:val="00326FE6"/>
    <w:rsid w:val="00326FF4"/>
    <w:rsid w:val="00327069"/>
    <w:rsid w:val="003270F5"/>
    <w:rsid w:val="0032726C"/>
    <w:rsid w:val="00327275"/>
    <w:rsid w:val="003273F9"/>
    <w:rsid w:val="0032759A"/>
    <w:rsid w:val="0032780E"/>
    <w:rsid w:val="0032786C"/>
    <w:rsid w:val="00327A04"/>
    <w:rsid w:val="00327A41"/>
    <w:rsid w:val="00327C34"/>
    <w:rsid w:val="00327C61"/>
    <w:rsid w:val="00327CC8"/>
    <w:rsid w:val="00327E3E"/>
    <w:rsid w:val="00327E6B"/>
    <w:rsid w:val="00327F3F"/>
    <w:rsid w:val="00327F5F"/>
    <w:rsid w:val="00327F95"/>
    <w:rsid w:val="003300A6"/>
    <w:rsid w:val="003304AB"/>
    <w:rsid w:val="00330843"/>
    <w:rsid w:val="00330A07"/>
    <w:rsid w:val="00330C98"/>
    <w:rsid w:val="00330CDF"/>
    <w:rsid w:val="00330D51"/>
    <w:rsid w:val="00330F13"/>
    <w:rsid w:val="00331187"/>
    <w:rsid w:val="00331190"/>
    <w:rsid w:val="0033120B"/>
    <w:rsid w:val="00331216"/>
    <w:rsid w:val="003312FD"/>
    <w:rsid w:val="003313AC"/>
    <w:rsid w:val="00331550"/>
    <w:rsid w:val="0033161B"/>
    <w:rsid w:val="0033177D"/>
    <w:rsid w:val="00331791"/>
    <w:rsid w:val="00331920"/>
    <w:rsid w:val="00331A36"/>
    <w:rsid w:val="00331B3C"/>
    <w:rsid w:val="00331E17"/>
    <w:rsid w:val="00331E2C"/>
    <w:rsid w:val="00332114"/>
    <w:rsid w:val="00332175"/>
    <w:rsid w:val="00332451"/>
    <w:rsid w:val="003324BE"/>
    <w:rsid w:val="003326A4"/>
    <w:rsid w:val="003326CE"/>
    <w:rsid w:val="00332A8A"/>
    <w:rsid w:val="00332BE1"/>
    <w:rsid w:val="00332D30"/>
    <w:rsid w:val="00332D5D"/>
    <w:rsid w:val="00332E59"/>
    <w:rsid w:val="00332F7B"/>
    <w:rsid w:val="00332F89"/>
    <w:rsid w:val="00333077"/>
    <w:rsid w:val="003330FF"/>
    <w:rsid w:val="00333123"/>
    <w:rsid w:val="003331B8"/>
    <w:rsid w:val="003331C5"/>
    <w:rsid w:val="003332F1"/>
    <w:rsid w:val="0033340F"/>
    <w:rsid w:val="0033344C"/>
    <w:rsid w:val="003335EA"/>
    <w:rsid w:val="003336AB"/>
    <w:rsid w:val="003337E8"/>
    <w:rsid w:val="003337F4"/>
    <w:rsid w:val="003338D8"/>
    <w:rsid w:val="00333AFA"/>
    <w:rsid w:val="00333B33"/>
    <w:rsid w:val="00333C3C"/>
    <w:rsid w:val="00333C62"/>
    <w:rsid w:val="00333D86"/>
    <w:rsid w:val="00333E2E"/>
    <w:rsid w:val="00333FE2"/>
    <w:rsid w:val="0033406C"/>
    <w:rsid w:val="00334380"/>
    <w:rsid w:val="0033460C"/>
    <w:rsid w:val="00334699"/>
    <w:rsid w:val="003346ED"/>
    <w:rsid w:val="00334708"/>
    <w:rsid w:val="00334787"/>
    <w:rsid w:val="0033484F"/>
    <w:rsid w:val="00334854"/>
    <w:rsid w:val="00334905"/>
    <w:rsid w:val="00334A44"/>
    <w:rsid w:val="00334AB0"/>
    <w:rsid w:val="00334ACB"/>
    <w:rsid w:val="00334BBF"/>
    <w:rsid w:val="00334D02"/>
    <w:rsid w:val="00334D43"/>
    <w:rsid w:val="00334EF7"/>
    <w:rsid w:val="00334FB3"/>
    <w:rsid w:val="00335036"/>
    <w:rsid w:val="00335291"/>
    <w:rsid w:val="003352F4"/>
    <w:rsid w:val="00335445"/>
    <w:rsid w:val="0033546A"/>
    <w:rsid w:val="003354A9"/>
    <w:rsid w:val="0033560D"/>
    <w:rsid w:val="00335675"/>
    <w:rsid w:val="003356A6"/>
    <w:rsid w:val="0033574F"/>
    <w:rsid w:val="003357CC"/>
    <w:rsid w:val="00335825"/>
    <w:rsid w:val="0033582C"/>
    <w:rsid w:val="0033595F"/>
    <w:rsid w:val="00335A5D"/>
    <w:rsid w:val="00335ACB"/>
    <w:rsid w:val="00335C1A"/>
    <w:rsid w:val="00335CCD"/>
    <w:rsid w:val="00335CDF"/>
    <w:rsid w:val="00335DFF"/>
    <w:rsid w:val="00335E12"/>
    <w:rsid w:val="00335E76"/>
    <w:rsid w:val="00335F49"/>
    <w:rsid w:val="00335FE8"/>
    <w:rsid w:val="00336013"/>
    <w:rsid w:val="003360BA"/>
    <w:rsid w:val="003362DD"/>
    <w:rsid w:val="003367F0"/>
    <w:rsid w:val="0033699B"/>
    <w:rsid w:val="00336AB5"/>
    <w:rsid w:val="00336AB7"/>
    <w:rsid w:val="00336B5C"/>
    <w:rsid w:val="00336B6B"/>
    <w:rsid w:val="00336D75"/>
    <w:rsid w:val="00336DBE"/>
    <w:rsid w:val="00336E5B"/>
    <w:rsid w:val="00336ECB"/>
    <w:rsid w:val="003371AE"/>
    <w:rsid w:val="0033736A"/>
    <w:rsid w:val="00337491"/>
    <w:rsid w:val="00337676"/>
    <w:rsid w:val="003376C4"/>
    <w:rsid w:val="00337748"/>
    <w:rsid w:val="00337784"/>
    <w:rsid w:val="00337972"/>
    <w:rsid w:val="00337AFE"/>
    <w:rsid w:val="00337DE7"/>
    <w:rsid w:val="00337E8E"/>
    <w:rsid w:val="00337FD0"/>
    <w:rsid w:val="00337FE4"/>
    <w:rsid w:val="0034016D"/>
    <w:rsid w:val="0034016E"/>
    <w:rsid w:val="0034020A"/>
    <w:rsid w:val="003403DE"/>
    <w:rsid w:val="00340468"/>
    <w:rsid w:val="003404D6"/>
    <w:rsid w:val="00340676"/>
    <w:rsid w:val="003407A4"/>
    <w:rsid w:val="003407BF"/>
    <w:rsid w:val="00340835"/>
    <w:rsid w:val="0034089D"/>
    <w:rsid w:val="003408A6"/>
    <w:rsid w:val="00340954"/>
    <w:rsid w:val="00340CA5"/>
    <w:rsid w:val="00340E12"/>
    <w:rsid w:val="00340FC9"/>
    <w:rsid w:val="0034109C"/>
    <w:rsid w:val="003412CC"/>
    <w:rsid w:val="0034133E"/>
    <w:rsid w:val="003413FF"/>
    <w:rsid w:val="0034146A"/>
    <w:rsid w:val="003414A7"/>
    <w:rsid w:val="003416DE"/>
    <w:rsid w:val="003416E1"/>
    <w:rsid w:val="00341797"/>
    <w:rsid w:val="003417A1"/>
    <w:rsid w:val="003417C2"/>
    <w:rsid w:val="003417D8"/>
    <w:rsid w:val="0034181D"/>
    <w:rsid w:val="00341940"/>
    <w:rsid w:val="00341AE0"/>
    <w:rsid w:val="00341B89"/>
    <w:rsid w:val="00341CF7"/>
    <w:rsid w:val="00341DC1"/>
    <w:rsid w:val="00341E11"/>
    <w:rsid w:val="00341E6C"/>
    <w:rsid w:val="00341FC1"/>
    <w:rsid w:val="00341FC3"/>
    <w:rsid w:val="00342034"/>
    <w:rsid w:val="0034208C"/>
    <w:rsid w:val="003420C8"/>
    <w:rsid w:val="003423DE"/>
    <w:rsid w:val="00342461"/>
    <w:rsid w:val="0034254C"/>
    <w:rsid w:val="00342560"/>
    <w:rsid w:val="0034272C"/>
    <w:rsid w:val="003427F9"/>
    <w:rsid w:val="0034292A"/>
    <w:rsid w:val="0034294C"/>
    <w:rsid w:val="00342A3B"/>
    <w:rsid w:val="00342B25"/>
    <w:rsid w:val="00342B7A"/>
    <w:rsid w:val="00342C74"/>
    <w:rsid w:val="00342D23"/>
    <w:rsid w:val="00342DEE"/>
    <w:rsid w:val="00342F33"/>
    <w:rsid w:val="00343025"/>
    <w:rsid w:val="00343159"/>
    <w:rsid w:val="0034317D"/>
    <w:rsid w:val="00343340"/>
    <w:rsid w:val="00343350"/>
    <w:rsid w:val="00343397"/>
    <w:rsid w:val="003433ED"/>
    <w:rsid w:val="00343404"/>
    <w:rsid w:val="0034341F"/>
    <w:rsid w:val="00343473"/>
    <w:rsid w:val="0034354B"/>
    <w:rsid w:val="00343894"/>
    <w:rsid w:val="00343A23"/>
    <w:rsid w:val="00343ACC"/>
    <w:rsid w:val="00343B8E"/>
    <w:rsid w:val="00343EBD"/>
    <w:rsid w:val="00343EC3"/>
    <w:rsid w:val="00343F86"/>
    <w:rsid w:val="00343FFA"/>
    <w:rsid w:val="00344028"/>
    <w:rsid w:val="00344040"/>
    <w:rsid w:val="00344223"/>
    <w:rsid w:val="003442F4"/>
    <w:rsid w:val="0034461D"/>
    <w:rsid w:val="003446D2"/>
    <w:rsid w:val="0034481A"/>
    <w:rsid w:val="00344A34"/>
    <w:rsid w:val="00344A55"/>
    <w:rsid w:val="00344AB3"/>
    <w:rsid w:val="00344DA2"/>
    <w:rsid w:val="00344E6A"/>
    <w:rsid w:val="00345066"/>
    <w:rsid w:val="0034532C"/>
    <w:rsid w:val="00345579"/>
    <w:rsid w:val="00345684"/>
    <w:rsid w:val="00345788"/>
    <w:rsid w:val="0034579A"/>
    <w:rsid w:val="00345860"/>
    <w:rsid w:val="00345916"/>
    <w:rsid w:val="00345988"/>
    <w:rsid w:val="00345A26"/>
    <w:rsid w:val="00345A90"/>
    <w:rsid w:val="00345B31"/>
    <w:rsid w:val="00345C7B"/>
    <w:rsid w:val="00345CA4"/>
    <w:rsid w:val="00345DAF"/>
    <w:rsid w:val="00345E45"/>
    <w:rsid w:val="003460FC"/>
    <w:rsid w:val="003462F4"/>
    <w:rsid w:val="0034635B"/>
    <w:rsid w:val="003463AA"/>
    <w:rsid w:val="003466AA"/>
    <w:rsid w:val="00346724"/>
    <w:rsid w:val="00346773"/>
    <w:rsid w:val="0034680A"/>
    <w:rsid w:val="00346A37"/>
    <w:rsid w:val="00346A7B"/>
    <w:rsid w:val="00346ACA"/>
    <w:rsid w:val="00346B0E"/>
    <w:rsid w:val="00346BB6"/>
    <w:rsid w:val="00346BF1"/>
    <w:rsid w:val="00346DA4"/>
    <w:rsid w:val="00346DE4"/>
    <w:rsid w:val="00347047"/>
    <w:rsid w:val="00347281"/>
    <w:rsid w:val="003472E3"/>
    <w:rsid w:val="00347501"/>
    <w:rsid w:val="0034769F"/>
    <w:rsid w:val="0034775F"/>
    <w:rsid w:val="00347798"/>
    <w:rsid w:val="0034780B"/>
    <w:rsid w:val="0034792C"/>
    <w:rsid w:val="00347A5E"/>
    <w:rsid w:val="00347BED"/>
    <w:rsid w:val="00347D29"/>
    <w:rsid w:val="00347D74"/>
    <w:rsid w:val="00347D99"/>
    <w:rsid w:val="00347DD5"/>
    <w:rsid w:val="00347F02"/>
    <w:rsid w:val="003500FA"/>
    <w:rsid w:val="00350248"/>
    <w:rsid w:val="003502C4"/>
    <w:rsid w:val="003502D5"/>
    <w:rsid w:val="00350478"/>
    <w:rsid w:val="003504C7"/>
    <w:rsid w:val="003506CA"/>
    <w:rsid w:val="00350A1C"/>
    <w:rsid w:val="00350A34"/>
    <w:rsid w:val="00350B2B"/>
    <w:rsid w:val="00350C5D"/>
    <w:rsid w:val="00350CF6"/>
    <w:rsid w:val="00350D02"/>
    <w:rsid w:val="00350D8F"/>
    <w:rsid w:val="003511D2"/>
    <w:rsid w:val="003512D1"/>
    <w:rsid w:val="0035152E"/>
    <w:rsid w:val="0035157E"/>
    <w:rsid w:val="00351752"/>
    <w:rsid w:val="003518AA"/>
    <w:rsid w:val="003518F6"/>
    <w:rsid w:val="00351909"/>
    <w:rsid w:val="00351912"/>
    <w:rsid w:val="00351B27"/>
    <w:rsid w:val="00351BAD"/>
    <w:rsid w:val="00351D31"/>
    <w:rsid w:val="00351D61"/>
    <w:rsid w:val="00351DEF"/>
    <w:rsid w:val="00351E54"/>
    <w:rsid w:val="00351E80"/>
    <w:rsid w:val="0035206B"/>
    <w:rsid w:val="00352186"/>
    <w:rsid w:val="003521CB"/>
    <w:rsid w:val="00352250"/>
    <w:rsid w:val="0035243E"/>
    <w:rsid w:val="00352630"/>
    <w:rsid w:val="003526F6"/>
    <w:rsid w:val="0035272A"/>
    <w:rsid w:val="0035280C"/>
    <w:rsid w:val="00352B20"/>
    <w:rsid w:val="00352B5E"/>
    <w:rsid w:val="00352CA5"/>
    <w:rsid w:val="00352D11"/>
    <w:rsid w:val="00352F62"/>
    <w:rsid w:val="00352FB3"/>
    <w:rsid w:val="00353103"/>
    <w:rsid w:val="0035312C"/>
    <w:rsid w:val="0035322D"/>
    <w:rsid w:val="00353352"/>
    <w:rsid w:val="0035338C"/>
    <w:rsid w:val="00353482"/>
    <w:rsid w:val="0035350B"/>
    <w:rsid w:val="00353564"/>
    <w:rsid w:val="00353651"/>
    <w:rsid w:val="00353721"/>
    <w:rsid w:val="0035377F"/>
    <w:rsid w:val="0035387C"/>
    <w:rsid w:val="00353880"/>
    <w:rsid w:val="00353942"/>
    <w:rsid w:val="00353B2E"/>
    <w:rsid w:val="00353B5B"/>
    <w:rsid w:val="00353B69"/>
    <w:rsid w:val="00353C3A"/>
    <w:rsid w:val="00353C74"/>
    <w:rsid w:val="00353C79"/>
    <w:rsid w:val="00353CAC"/>
    <w:rsid w:val="00353CD3"/>
    <w:rsid w:val="00353DD0"/>
    <w:rsid w:val="00353E4B"/>
    <w:rsid w:val="00353E51"/>
    <w:rsid w:val="00353E90"/>
    <w:rsid w:val="00354415"/>
    <w:rsid w:val="003544C8"/>
    <w:rsid w:val="00354551"/>
    <w:rsid w:val="00354605"/>
    <w:rsid w:val="00354646"/>
    <w:rsid w:val="00354657"/>
    <w:rsid w:val="0035467A"/>
    <w:rsid w:val="00354696"/>
    <w:rsid w:val="003546F8"/>
    <w:rsid w:val="00354905"/>
    <w:rsid w:val="003549B6"/>
    <w:rsid w:val="00354CE9"/>
    <w:rsid w:val="00354D02"/>
    <w:rsid w:val="00354D7B"/>
    <w:rsid w:val="00354DB6"/>
    <w:rsid w:val="0035507C"/>
    <w:rsid w:val="003550ED"/>
    <w:rsid w:val="0035519A"/>
    <w:rsid w:val="0035536C"/>
    <w:rsid w:val="003554C8"/>
    <w:rsid w:val="003556C4"/>
    <w:rsid w:val="003558FE"/>
    <w:rsid w:val="0035599A"/>
    <w:rsid w:val="00355A31"/>
    <w:rsid w:val="00355A45"/>
    <w:rsid w:val="00355C2B"/>
    <w:rsid w:val="00355D0B"/>
    <w:rsid w:val="00355D15"/>
    <w:rsid w:val="00355E49"/>
    <w:rsid w:val="00356303"/>
    <w:rsid w:val="003563A2"/>
    <w:rsid w:val="0035662A"/>
    <w:rsid w:val="0035698F"/>
    <w:rsid w:val="00356995"/>
    <w:rsid w:val="00356C69"/>
    <w:rsid w:val="00356D26"/>
    <w:rsid w:val="00356DEB"/>
    <w:rsid w:val="00356DF8"/>
    <w:rsid w:val="00356E32"/>
    <w:rsid w:val="00356E87"/>
    <w:rsid w:val="00356FDB"/>
    <w:rsid w:val="0035708B"/>
    <w:rsid w:val="003570D7"/>
    <w:rsid w:val="003573E3"/>
    <w:rsid w:val="00357538"/>
    <w:rsid w:val="0035787E"/>
    <w:rsid w:val="0035787F"/>
    <w:rsid w:val="003578D7"/>
    <w:rsid w:val="00357A36"/>
    <w:rsid w:val="00357AE9"/>
    <w:rsid w:val="00357B25"/>
    <w:rsid w:val="00357D2C"/>
    <w:rsid w:val="00357FBF"/>
    <w:rsid w:val="00357FC3"/>
    <w:rsid w:val="0036025E"/>
    <w:rsid w:val="003602CA"/>
    <w:rsid w:val="003603F2"/>
    <w:rsid w:val="0036059A"/>
    <w:rsid w:val="00360742"/>
    <w:rsid w:val="00360983"/>
    <w:rsid w:val="003609FC"/>
    <w:rsid w:val="00360A6E"/>
    <w:rsid w:val="00360C22"/>
    <w:rsid w:val="00360CE7"/>
    <w:rsid w:val="00360EA7"/>
    <w:rsid w:val="00360EE9"/>
    <w:rsid w:val="00360F1A"/>
    <w:rsid w:val="003610A8"/>
    <w:rsid w:val="003611AD"/>
    <w:rsid w:val="003611CF"/>
    <w:rsid w:val="00361262"/>
    <w:rsid w:val="0036127A"/>
    <w:rsid w:val="003613E7"/>
    <w:rsid w:val="0036187D"/>
    <w:rsid w:val="003618C1"/>
    <w:rsid w:val="00361900"/>
    <w:rsid w:val="00361973"/>
    <w:rsid w:val="00361C8B"/>
    <w:rsid w:val="00361D93"/>
    <w:rsid w:val="00361E47"/>
    <w:rsid w:val="00361F1E"/>
    <w:rsid w:val="00362072"/>
    <w:rsid w:val="003620CB"/>
    <w:rsid w:val="00362101"/>
    <w:rsid w:val="00362151"/>
    <w:rsid w:val="00362171"/>
    <w:rsid w:val="003621CF"/>
    <w:rsid w:val="003621DD"/>
    <w:rsid w:val="00362516"/>
    <w:rsid w:val="00362578"/>
    <w:rsid w:val="003625A7"/>
    <w:rsid w:val="003626EA"/>
    <w:rsid w:val="003629FC"/>
    <w:rsid w:val="00362BC4"/>
    <w:rsid w:val="00362CF3"/>
    <w:rsid w:val="00362F0A"/>
    <w:rsid w:val="00362F5B"/>
    <w:rsid w:val="0036302D"/>
    <w:rsid w:val="003630C0"/>
    <w:rsid w:val="00363146"/>
    <w:rsid w:val="003631BE"/>
    <w:rsid w:val="0036358E"/>
    <w:rsid w:val="00363612"/>
    <w:rsid w:val="003636A5"/>
    <w:rsid w:val="003637AA"/>
    <w:rsid w:val="0036385B"/>
    <w:rsid w:val="0036388F"/>
    <w:rsid w:val="0036393C"/>
    <w:rsid w:val="00363AA6"/>
    <w:rsid w:val="00363BD5"/>
    <w:rsid w:val="00363BEC"/>
    <w:rsid w:val="00363C63"/>
    <w:rsid w:val="00363DD5"/>
    <w:rsid w:val="00363F1F"/>
    <w:rsid w:val="00363F53"/>
    <w:rsid w:val="00363FF8"/>
    <w:rsid w:val="003640E1"/>
    <w:rsid w:val="003640ED"/>
    <w:rsid w:val="00364170"/>
    <w:rsid w:val="00364323"/>
    <w:rsid w:val="0036434A"/>
    <w:rsid w:val="0036448B"/>
    <w:rsid w:val="003645AE"/>
    <w:rsid w:val="003645BC"/>
    <w:rsid w:val="003645EC"/>
    <w:rsid w:val="003646EF"/>
    <w:rsid w:val="003647F8"/>
    <w:rsid w:val="00364831"/>
    <w:rsid w:val="003648CD"/>
    <w:rsid w:val="003648D5"/>
    <w:rsid w:val="0036492C"/>
    <w:rsid w:val="00364A27"/>
    <w:rsid w:val="00364AAE"/>
    <w:rsid w:val="00364ACF"/>
    <w:rsid w:val="00364C4C"/>
    <w:rsid w:val="00364D8E"/>
    <w:rsid w:val="00364D9B"/>
    <w:rsid w:val="00365003"/>
    <w:rsid w:val="00365190"/>
    <w:rsid w:val="00365230"/>
    <w:rsid w:val="003653A2"/>
    <w:rsid w:val="0036558D"/>
    <w:rsid w:val="0036581F"/>
    <w:rsid w:val="003659FB"/>
    <w:rsid w:val="00365A95"/>
    <w:rsid w:val="00365BE6"/>
    <w:rsid w:val="00365C57"/>
    <w:rsid w:val="00365C5F"/>
    <w:rsid w:val="00365DB8"/>
    <w:rsid w:val="00365F30"/>
    <w:rsid w:val="00365F4C"/>
    <w:rsid w:val="0036619F"/>
    <w:rsid w:val="00366258"/>
    <w:rsid w:val="003663FB"/>
    <w:rsid w:val="00366427"/>
    <w:rsid w:val="00366445"/>
    <w:rsid w:val="00366485"/>
    <w:rsid w:val="0036650B"/>
    <w:rsid w:val="00366547"/>
    <w:rsid w:val="003665CB"/>
    <w:rsid w:val="00366630"/>
    <w:rsid w:val="0036667A"/>
    <w:rsid w:val="003667BA"/>
    <w:rsid w:val="00366823"/>
    <w:rsid w:val="00366A86"/>
    <w:rsid w:val="00366B10"/>
    <w:rsid w:val="00366B3D"/>
    <w:rsid w:val="00366C17"/>
    <w:rsid w:val="00366DB4"/>
    <w:rsid w:val="00366E51"/>
    <w:rsid w:val="00367044"/>
    <w:rsid w:val="003670AA"/>
    <w:rsid w:val="00367186"/>
    <w:rsid w:val="00367234"/>
    <w:rsid w:val="003673BC"/>
    <w:rsid w:val="00367453"/>
    <w:rsid w:val="003674ED"/>
    <w:rsid w:val="003676D5"/>
    <w:rsid w:val="003676F4"/>
    <w:rsid w:val="00367A3F"/>
    <w:rsid w:val="00367B2A"/>
    <w:rsid w:val="00367C2A"/>
    <w:rsid w:val="00367EED"/>
    <w:rsid w:val="00367F63"/>
    <w:rsid w:val="0037020D"/>
    <w:rsid w:val="0037031A"/>
    <w:rsid w:val="00370352"/>
    <w:rsid w:val="003704A7"/>
    <w:rsid w:val="003704FA"/>
    <w:rsid w:val="00370590"/>
    <w:rsid w:val="0037065F"/>
    <w:rsid w:val="00370660"/>
    <w:rsid w:val="0037069F"/>
    <w:rsid w:val="0037096B"/>
    <w:rsid w:val="00370A95"/>
    <w:rsid w:val="00370A99"/>
    <w:rsid w:val="00370BA9"/>
    <w:rsid w:val="00370C4C"/>
    <w:rsid w:val="00370D8A"/>
    <w:rsid w:val="00370F4A"/>
    <w:rsid w:val="00370FBF"/>
    <w:rsid w:val="003711D3"/>
    <w:rsid w:val="003711F5"/>
    <w:rsid w:val="0037120A"/>
    <w:rsid w:val="003712C8"/>
    <w:rsid w:val="003712EC"/>
    <w:rsid w:val="003714CF"/>
    <w:rsid w:val="003715A4"/>
    <w:rsid w:val="003715A7"/>
    <w:rsid w:val="0037162C"/>
    <w:rsid w:val="00371886"/>
    <w:rsid w:val="003718F4"/>
    <w:rsid w:val="003719C1"/>
    <w:rsid w:val="00371B2B"/>
    <w:rsid w:val="00371BFC"/>
    <w:rsid w:val="00371CDC"/>
    <w:rsid w:val="00371D31"/>
    <w:rsid w:val="00371D81"/>
    <w:rsid w:val="00371E22"/>
    <w:rsid w:val="00371EB8"/>
    <w:rsid w:val="00372016"/>
    <w:rsid w:val="003720F1"/>
    <w:rsid w:val="003721DE"/>
    <w:rsid w:val="0037241F"/>
    <w:rsid w:val="003724AF"/>
    <w:rsid w:val="003724B8"/>
    <w:rsid w:val="00372736"/>
    <w:rsid w:val="00372789"/>
    <w:rsid w:val="0037280F"/>
    <w:rsid w:val="00372902"/>
    <w:rsid w:val="00372982"/>
    <w:rsid w:val="00372A1F"/>
    <w:rsid w:val="00372B9D"/>
    <w:rsid w:val="00372C80"/>
    <w:rsid w:val="00372CE4"/>
    <w:rsid w:val="00372EA5"/>
    <w:rsid w:val="00372EFE"/>
    <w:rsid w:val="00372FA9"/>
    <w:rsid w:val="00373072"/>
    <w:rsid w:val="003730DA"/>
    <w:rsid w:val="00373197"/>
    <w:rsid w:val="00373358"/>
    <w:rsid w:val="00373503"/>
    <w:rsid w:val="00373750"/>
    <w:rsid w:val="00373867"/>
    <w:rsid w:val="00373946"/>
    <w:rsid w:val="00373A2A"/>
    <w:rsid w:val="00373B0E"/>
    <w:rsid w:val="00373B11"/>
    <w:rsid w:val="00373B2B"/>
    <w:rsid w:val="00373BF8"/>
    <w:rsid w:val="00373DF7"/>
    <w:rsid w:val="00373F89"/>
    <w:rsid w:val="00374067"/>
    <w:rsid w:val="00374071"/>
    <w:rsid w:val="003740E1"/>
    <w:rsid w:val="00374190"/>
    <w:rsid w:val="003741A8"/>
    <w:rsid w:val="00374427"/>
    <w:rsid w:val="00374448"/>
    <w:rsid w:val="0037444E"/>
    <w:rsid w:val="00374558"/>
    <w:rsid w:val="003745C1"/>
    <w:rsid w:val="003746DE"/>
    <w:rsid w:val="00374962"/>
    <w:rsid w:val="00374AB7"/>
    <w:rsid w:val="00374BD5"/>
    <w:rsid w:val="0037503D"/>
    <w:rsid w:val="003750A6"/>
    <w:rsid w:val="00375108"/>
    <w:rsid w:val="003751E5"/>
    <w:rsid w:val="00375223"/>
    <w:rsid w:val="00375292"/>
    <w:rsid w:val="0037532E"/>
    <w:rsid w:val="00375427"/>
    <w:rsid w:val="0037553A"/>
    <w:rsid w:val="0037565D"/>
    <w:rsid w:val="00375688"/>
    <w:rsid w:val="003756A9"/>
    <w:rsid w:val="003757F9"/>
    <w:rsid w:val="00375810"/>
    <w:rsid w:val="0037581E"/>
    <w:rsid w:val="00375860"/>
    <w:rsid w:val="003759C0"/>
    <w:rsid w:val="00375A20"/>
    <w:rsid w:val="00375A4D"/>
    <w:rsid w:val="00375DC3"/>
    <w:rsid w:val="00375E00"/>
    <w:rsid w:val="00375E10"/>
    <w:rsid w:val="00375EC3"/>
    <w:rsid w:val="00375FD3"/>
    <w:rsid w:val="0037609B"/>
    <w:rsid w:val="003762C3"/>
    <w:rsid w:val="003762FD"/>
    <w:rsid w:val="0037643B"/>
    <w:rsid w:val="0037645B"/>
    <w:rsid w:val="00376491"/>
    <w:rsid w:val="003764AB"/>
    <w:rsid w:val="0037675C"/>
    <w:rsid w:val="0037679F"/>
    <w:rsid w:val="00376898"/>
    <w:rsid w:val="00376930"/>
    <w:rsid w:val="003769A4"/>
    <w:rsid w:val="00376A89"/>
    <w:rsid w:val="00376CF4"/>
    <w:rsid w:val="00376ECA"/>
    <w:rsid w:val="00376F9C"/>
    <w:rsid w:val="0037705A"/>
    <w:rsid w:val="003771A2"/>
    <w:rsid w:val="0037721D"/>
    <w:rsid w:val="00377230"/>
    <w:rsid w:val="003772F7"/>
    <w:rsid w:val="003773FA"/>
    <w:rsid w:val="003774E5"/>
    <w:rsid w:val="003777D6"/>
    <w:rsid w:val="00377931"/>
    <w:rsid w:val="003779E4"/>
    <w:rsid w:val="00377A02"/>
    <w:rsid w:val="00377A17"/>
    <w:rsid w:val="00377A44"/>
    <w:rsid w:val="00377B55"/>
    <w:rsid w:val="00377B56"/>
    <w:rsid w:val="00377C8D"/>
    <w:rsid w:val="00377C9B"/>
    <w:rsid w:val="00377DAF"/>
    <w:rsid w:val="00377FB6"/>
    <w:rsid w:val="00380011"/>
    <w:rsid w:val="003801E6"/>
    <w:rsid w:val="00380328"/>
    <w:rsid w:val="0038045F"/>
    <w:rsid w:val="00380580"/>
    <w:rsid w:val="0038071C"/>
    <w:rsid w:val="003807CB"/>
    <w:rsid w:val="003808BC"/>
    <w:rsid w:val="00380A3B"/>
    <w:rsid w:val="00380AFE"/>
    <w:rsid w:val="00380C7A"/>
    <w:rsid w:val="00380CA9"/>
    <w:rsid w:val="00380F8D"/>
    <w:rsid w:val="0038102A"/>
    <w:rsid w:val="00381106"/>
    <w:rsid w:val="00381192"/>
    <w:rsid w:val="0038124D"/>
    <w:rsid w:val="00381444"/>
    <w:rsid w:val="003815DC"/>
    <w:rsid w:val="003815DD"/>
    <w:rsid w:val="0038163B"/>
    <w:rsid w:val="00381815"/>
    <w:rsid w:val="00381B43"/>
    <w:rsid w:val="00381BE9"/>
    <w:rsid w:val="00381DFC"/>
    <w:rsid w:val="00381E46"/>
    <w:rsid w:val="00381F9A"/>
    <w:rsid w:val="0038203C"/>
    <w:rsid w:val="00382099"/>
    <w:rsid w:val="003823B3"/>
    <w:rsid w:val="003824F1"/>
    <w:rsid w:val="00382538"/>
    <w:rsid w:val="00382545"/>
    <w:rsid w:val="003826FA"/>
    <w:rsid w:val="00382886"/>
    <w:rsid w:val="003829BE"/>
    <w:rsid w:val="00382D77"/>
    <w:rsid w:val="00382E80"/>
    <w:rsid w:val="00382EE0"/>
    <w:rsid w:val="00382FDC"/>
    <w:rsid w:val="003830C2"/>
    <w:rsid w:val="0038321C"/>
    <w:rsid w:val="003832CB"/>
    <w:rsid w:val="003832F7"/>
    <w:rsid w:val="0038336D"/>
    <w:rsid w:val="003833B4"/>
    <w:rsid w:val="00383417"/>
    <w:rsid w:val="003834BC"/>
    <w:rsid w:val="003834DC"/>
    <w:rsid w:val="0038352C"/>
    <w:rsid w:val="0038359F"/>
    <w:rsid w:val="003835AD"/>
    <w:rsid w:val="003835B1"/>
    <w:rsid w:val="00383741"/>
    <w:rsid w:val="00383794"/>
    <w:rsid w:val="003837E6"/>
    <w:rsid w:val="0038384C"/>
    <w:rsid w:val="00383AB6"/>
    <w:rsid w:val="00383B66"/>
    <w:rsid w:val="0038406B"/>
    <w:rsid w:val="003842BB"/>
    <w:rsid w:val="00384323"/>
    <w:rsid w:val="003844EC"/>
    <w:rsid w:val="00384674"/>
    <w:rsid w:val="00384AFF"/>
    <w:rsid w:val="00384B4C"/>
    <w:rsid w:val="00384B4F"/>
    <w:rsid w:val="00384C93"/>
    <w:rsid w:val="00384D95"/>
    <w:rsid w:val="00385066"/>
    <w:rsid w:val="0038507B"/>
    <w:rsid w:val="00385096"/>
    <w:rsid w:val="003851CB"/>
    <w:rsid w:val="003852A1"/>
    <w:rsid w:val="00385326"/>
    <w:rsid w:val="00385344"/>
    <w:rsid w:val="003855F1"/>
    <w:rsid w:val="0038588B"/>
    <w:rsid w:val="00385C92"/>
    <w:rsid w:val="00385E88"/>
    <w:rsid w:val="00385F0B"/>
    <w:rsid w:val="00385FE3"/>
    <w:rsid w:val="0038624B"/>
    <w:rsid w:val="00386521"/>
    <w:rsid w:val="0038669E"/>
    <w:rsid w:val="00386834"/>
    <w:rsid w:val="00386918"/>
    <w:rsid w:val="003869F2"/>
    <w:rsid w:val="00386B9A"/>
    <w:rsid w:val="00386C17"/>
    <w:rsid w:val="00386C8B"/>
    <w:rsid w:val="00386D0F"/>
    <w:rsid w:val="00386D97"/>
    <w:rsid w:val="00386E50"/>
    <w:rsid w:val="00386F02"/>
    <w:rsid w:val="00387188"/>
    <w:rsid w:val="003871E9"/>
    <w:rsid w:val="0038737B"/>
    <w:rsid w:val="003874A0"/>
    <w:rsid w:val="00387651"/>
    <w:rsid w:val="0038779A"/>
    <w:rsid w:val="003877DD"/>
    <w:rsid w:val="003879F9"/>
    <w:rsid w:val="00387A27"/>
    <w:rsid w:val="00387BC4"/>
    <w:rsid w:val="0039003F"/>
    <w:rsid w:val="00390044"/>
    <w:rsid w:val="00390137"/>
    <w:rsid w:val="00390238"/>
    <w:rsid w:val="003905FD"/>
    <w:rsid w:val="003907CB"/>
    <w:rsid w:val="00390BFB"/>
    <w:rsid w:val="00390C0D"/>
    <w:rsid w:val="00390CC8"/>
    <w:rsid w:val="00390FA9"/>
    <w:rsid w:val="0039104E"/>
    <w:rsid w:val="003911D6"/>
    <w:rsid w:val="0039138C"/>
    <w:rsid w:val="00391435"/>
    <w:rsid w:val="00391477"/>
    <w:rsid w:val="00391508"/>
    <w:rsid w:val="0039154A"/>
    <w:rsid w:val="0039176D"/>
    <w:rsid w:val="00391885"/>
    <w:rsid w:val="003919BD"/>
    <w:rsid w:val="00391ABC"/>
    <w:rsid w:val="00391C7F"/>
    <w:rsid w:val="00391DD5"/>
    <w:rsid w:val="003920DF"/>
    <w:rsid w:val="0039234A"/>
    <w:rsid w:val="003926A6"/>
    <w:rsid w:val="003926DF"/>
    <w:rsid w:val="00392752"/>
    <w:rsid w:val="0039283A"/>
    <w:rsid w:val="00392949"/>
    <w:rsid w:val="00392AD3"/>
    <w:rsid w:val="00392B18"/>
    <w:rsid w:val="00392BBB"/>
    <w:rsid w:val="00392CF1"/>
    <w:rsid w:val="00392FFF"/>
    <w:rsid w:val="0039303A"/>
    <w:rsid w:val="0039345E"/>
    <w:rsid w:val="003935B3"/>
    <w:rsid w:val="0039362F"/>
    <w:rsid w:val="003938CB"/>
    <w:rsid w:val="00393A8A"/>
    <w:rsid w:val="00393BAB"/>
    <w:rsid w:val="00393C5E"/>
    <w:rsid w:val="00393E2D"/>
    <w:rsid w:val="00393E59"/>
    <w:rsid w:val="00393F00"/>
    <w:rsid w:val="00393FE5"/>
    <w:rsid w:val="003941D7"/>
    <w:rsid w:val="003942FA"/>
    <w:rsid w:val="003944D3"/>
    <w:rsid w:val="003945A6"/>
    <w:rsid w:val="0039499D"/>
    <w:rsid w:val="00394A2B"/>
    <w:rsid w:val="00394C00"/>
    <w:rsid w:val="00394CE4"/>
    <w:rsid w:val="00394D07"/>
    <w:rsid w:val="00394EA0"/>
    <w:rsid w:val="00394EB7"/>
    <w:rsid w:val="00394ED6"/>
    <w:rsid w:val="00395270"/>
    <w:rsid w:val="00395523"/>
    <w:rsid w:val="00395566"/>
    <w:rsid w:val="00395593"/>
    <w:rsid w:val="003955C8"/>
    <w:rsid w:val="003956C2"/>
    <w:rsid w:val="003957D1"/>
    <w:rsid w:val="00395828"/>
    <w:rsid w:val="00395850"/>
    <w:rsid w:val="003958C2"/>
    <w:rsid w:val="00395997"/>
    <w:rsid w:val="003959D0"/>
    <w:rsid w:val="00395BBB"/>
    <w:rsid w:val="00395C14"/>
    <w:rsid w:val="00395D40"/>
    <w:rsid w:val="00395D5C"/>
    <w:rsid w:val="00395D5D"/>
    <w:rsid w:val="00395E9C"/>
    <w:rsid w:val="00395F76"/>
    <w:rsid w:val="00396095"/>
    <w:rsid w:val="00396195"/>
    <w:rsid w:val="003962C1"/>
    <w:rsid w:val="0039640F"/>
    <w:rsid w:val="0039648E"/>
    <w:rsid w:val="00396494"/>
    <w:rsid w:val="00396629"/>
    <w:rsid w:val="003966B2"/>
    <w:rsid w:val="0039685B"/>
    <w:rsid w:val="003968B0"/>
    <w:rsid w:val="003968D0"/>
    <w:rsid w:val="0039695D"/>
    <w:rsid w:val="0039696E"/>
    <w:rsid w:val="003969BF"/>
    <w:rsid w:val="003969EB"/>
    <w:rsid w:val="003969FD"/>
    <w:rsid w:val="00396B59"/>
    <w:rsid w:val="00396BCA"/>
    <w:rsid w:val="00396BCB"/>
    <w:rsid w:val="00396DFB"/>
    <w:rsid w:val="00396F24"/>
    <w:rsid w:val="00397000"/>
    <w:rsid w:val="0039707F"/>
    <w:rsid w:val="00397214"/>
    <w:rsid w:val="003972F6"/>
    <w:rsid w:val="00397343"/>
    <w:rsid w:val="00397581"/>
    <w:rsid w:val="0039764E"/>
    <w:rsid w:val="003976EA"/>
    <w:rsid w:val="003977FE"/>
    <w:rsid w:val="0039799D"/>
    <w:rsid w:val="00397CC0"/>
    <w:rsid w:val="00397CC5"/>
    <w:rsid w:val="00397EEF"/>
    <w:rsid w:val="003A0037"/>
    <w:rsid w:val="003A0201"/>
    <w:rsid w:val="003A0210"/>
    <w:rsid w:val="003A0359"/>
    <w:rsid w:val="003A03A5"/>
    <w:rsid w:val="003A0477"/>
    <w:rsid w:val="003A04B1"/>
    <w:rsid w:val="003A05C9"/>
    <w:rsid w:val="003A05E5"/>
    <w:rsid w:val="003A0682"/>
    <w:rsid w:val="003A0726"/>
    <w:rsid w:val="003A0892"/>
    <w:rsid w:val="003A08B1"/>
    <w:rsid w:val="003A0A2A"/>
    <w:rsid w:val="003A0A6F"/>
    <w:rsid w:val="003A0BF4"/>
    <w:rsid w:val="003A0F9C"/>
    <w:rsid w:val="003A0FDA"/>
    <w:rsid w:val="003A127E"/>
    <w:rsid w:val="003A12EC"/>
    <w:rsid w:val="003A132B"/>
    <w:rsid w:val="003A1348"/>
    <w:rsid w:val="003A1860"/>
    <w:rsid w:val="003A18BD"/>
    <w:rsid w:val="003A19BB"/>
    <w:rsid w:val="003A19F1"/>
    <w:rsid w:val="003A1A3D"/>
    <w:rsid w:val="003A1B19"/>
    <w:rsid w:val="003A1B9E"/>
    <w:rsid w:val="003A1BA0"/>
    <w:rsid w:val="003A1C8E"/>
    <w:rsid w:val="003A1F6E"/>
    <w:rsid w:val="003A20CC"/>
    <w:rsid w:val="003A20FF"/>
    <w:rsid w:val="003A239E"/>
    <w:rsid w:val="003A2570"/>
    <w:rsid w:val="003A294B"/>
    <w:rsid w:val="003A2A09"/>
    <w:rsid w:val="003A2A63"/>
    <w:rsid w:val="003A2D6D"/>
    <w:rsid w:val="003A2E40"/>
    <w:rsid w:val="003A2E7F"/>
    <w:rsid w:val="003A2EAA"/>
    <w:rsid w:val="003A3007"/>
    <w:rsid w:val="003A3057"/>
    <w:rsid w:val="003A340D"/>
    <w:rsid w:val="003A34D8"/>
    <w:rsid w:val="003A358A"/>
    <w:rsid w:val="003A35AB"/>
    <w:rsid w:val="003A3665"/>
    <w:rsid w:val="003A377A"/>
    <w:rsid w:val="003A39E6"/>
    <w:rsid w:val="003A3A43"/>
    <w:rsid w:val="003A3ACC"/>
    <w:rsid w:val="003A3C29"/>
    <w:rsid w:val="003A3C85"/>
    <w:rsid w:val="003A3CB2"/>
    <w:rsid w:val="003A3F24"/>
    <w:rsid w:val="003A400C"/>
    <w:rsid w:val="003A417E"/>
    <w:rsid w:val="003A4183"/>
    <w:rsid w:val="003A41B0"/>
    <w:rsid w:val="003A4245"/>
    <w:rsid w:val="003A4398"/>
    <w:rsid w:val="003A43B9"/>
    <w:rsid w:val="003A43E3"/>
    <w:rsid w:val="003A45C5"/>
    <w:rsid w:val="003A46E1"/>
    <w:rsid w:val="003A472F"/>
    <w:rsid w:val="003A4802"/>
    <w:rsid w:val="003A480D"/>
    <w:rsid w:val="003A4914"/>
    <w:rsid w:val="003A4A72"/>
    <w:rsid w:val="003A4B75"/>
    <w:rsid w:val="003A4C2C"/>
    <w:rsid w:val="003A4D1B"/>
    <w:rsid w:val="003A4D85"/>
    <w:rsid w:val="003A4E76"/>
    <w:rsid w:val="003A4EE6"/>
    <w:rsid w:val="003A5013"/>
    <w:rsid w:val="003A5558"/>
    <w:rsid w:val="003A56EB"/>
    <w:rsid w:val="003A5862"/>
    <w:rsid w:val="003A593F"/>
    <w:rsid w:val="003A597E"/>
    <w:rsid w:val="003A5AC2"/>
    <w:rsid w:val="003A5C5E"/>
    <w:rsid w:val="003A5C65"/>
    <w:rsid w:val="003A5C6C"/>
    <w:rsid w:val="003A5D7A"/>
    <w:rsid w:val="003A5DA9"/>
    <w:rsid w:val="003A60E1"/>
    <w:rsid w:val="003A6141"/>
    <w:rsid w:val="003A61BC"/>
    <w:rsid w:val="003A626E"/>
    <w:rsid w:val="003A63CB"/>
    <w:rsid w:val="003A63EC"/>
    <w:rsid w:val="003A6433"/>
    <w:rsid w:val="003A643E"/>
    <w:rsid w:val="003A644A"/>
    <w:rsid w:val="003A669F"/>
    <w:rsid w:val="003A66FC"/>
    <w:rsid w:val="003A679C"/>
    <w:rsid w:val="003A67E0"/>
    <w:rsid w:val="003A681C"/>
    <w:rsid w:val="003A6875"/>
    <w:rsid w:val="003A692F"/>
    <w:rsid w:val="003A69E0"/>
    <w:rsid w:val="003A6E13"/>
    <w:rsid w:val="003A6E54"/>
    <w:rsid w:val="003A6EB0"/>
    <w:rsid w:val="003A701B"/>
    <w:rsid w:val="003A7234"/>
    <w:rsid w:val="003A7287"/>
    <w:rsid w:val="003A729E"/>
    <w:rsid w:val="003A73F7"/>
    <w:rsid w:val="003A742D"/>
    <w:rsid w:val="003A743E"/>
    <w:rsid w:val="003A7510"/>
    <w:rsid w:val="003A75EC"/>
    <w:rsid w:val="003A7961"/>
    <w:rsid w:val="003A79E6"/>
    <w:rsid w:val="003A7A4A"/>
    <w:rsid w:val="003A7ADE"/>
    <w:rsid w:val="003A7B62"/>
    <w:rsid w:val="003A7CEE"/>
    <w:rsid w:val="003A7E22"/>
    <w:rsid w:val="003A7E2C"/>
    <w:rsid w:val="003A7E7C"/>
    <w:rsid w:val="003A7F95"/>
    <w:rsid w:val="003B01FE"/>
    <w:rsid w:val="003B0202"/>
    <w:rsid w:val="003B02AA"/>
    <w:rsid w:val="003B0345"/>
    <w:rsid w:val="003B03D6"/>
    <w:rsid w:val="003B04CB"/>
    <w:rsid w:val="003B06FB"/>
    <w:rsid w:val="003B0796"/>
    <w:rsid w:val="003B0813"/>
    <w:rsid w:val="003B0828"/>
    <w:rsid w:val="003B082D"/>
    <w:rsid w:val="003B08C5"/>
    <w:rsid w:val="003B0BBF"/>
    <w:rsid w:val="003B0CEC"/>
    <w:rsid w:val="003B0D1E"/>
    <w:rsid w:val="003B0DAA"/>
    <w:rsid w:val="003B0E2D"/>
    <w:rsid w:val="003B0E2E"/>
    <w:rsid w:val="003B0F49"/>
    <w:rsid w:val="003B1014"/>
    <w:rsid w:val="003B1034"/>
    <w:rsid w:val="003B11CD"/>
    <w:rsid w:val="003B16AF"/>
    <w:rsid w:val="003B1D6C"/>
    <w:rsid w:val="003B1EB7"/>
    <w:rsid w:val="003B210A"/>
    <w:rsid w:val="003B21BE"/>
    <w:rsid w:val="003B2227"/>
    <w:rsid w:val="003B2252"/>
    <w:rsid w:val="003B2347"/>
    <w:rsid w:val="003B23F5"/>
    <w:rsid w:val="003B241C"/>
    <w:rsid w:val="003B2425"/>
    <w:rsid w:val="003B24AB"/>
    <w:rsid w:val="003B251C"/>
    <w:rsid w:val="003B271E"/>
    <w:rsid w:val="003B2913"/>
    <w:rsid w:val="003B29F2"/>
    <w:rsid w:val="003B29FC"/>
    <w:rsid w:val="003B2A34"/>
    <w:rsid w:val="003B2AC5"/>
    <w:rsid w:val="003B2AEF"/>
    <w:rsid w:val="003B2B48"/>
    <w:rsid w:val="003B2D00"/>
    <w:rsid w:val="003B2F74"/>
    <w:rsid w:val="003B31C2"/>
    <w:rsid w:val="003B348E"/>
    <w:rsid w:val="003B34B8"/>
    <w:rsid w:val="003B3582"/>
    <w:rsid w:val="003B358D"/>
    <w:rsid w:val="003B3697"/>
    <w:rsid w:val="003B370E"/>
    <w:rsid w:val="003B37E2"/>
    <w:rsid w:val="003B394A"/>
    <w:rsid w:val="003B3A1B"/>
    <w:rsid w:val="003B3A27"/>
    <w:rsid w:val="003B3A66"/>
    <w:rsid w:val="003B3C1F"/>
    <w:rsid w:val="003B3C2B"/>
    <w:rsid w:val="003B3CF8"/>
    <w:rsid w:val="003B3E4D"/>
    <w:rsid w:val="003B3E9D"/>
    <w:rsid w:val="003B3EFF"/>
    <w:rsid w:val="003B409F"/>
    <w:rsid w:val="003B4138"/>
    <w:rsid w:val="003B41A0"/>
    <w:rsid w:val="003B4219"/>
    <w:rsid w:val="003B42EE"/>
    <w:rsid w:val="003B437B"/>
    <w:rsid w:val="003B4386"/>
    <w:rsid w:val="003B4388"/>
    <w:rsid w:val="003B45FE"/>
    <w:rsid w:val="003B4662"/>
    <w:rsid w:val="003B46C5"/>
    <w:rsid w:val="003B4A3A"/>
    <w:rsid w:val="003B4B1E"/>
    <w:rsid w:val="003B4BBB"/>
    <w:rsid w:val="003B4CC2"/>
    <w:rsid w:val="003B4E89"/>
    <w:rsid w:val="003B4EFA"/>
    <w:rsid w:val="003B504C"/>
    <w:rsid w:val="003B513A"/>
    <w:rsid w:val="003B5239"/>
    <w:rsid w:val="003B52FC"/>
    <w:rsid w:val="003B5349"/>
    <w:rsid w:val="003B53E5"/>
    <w:rsid w:val="003B5533"/>
    <w:rsid w:val="003B5786"/>
    <w:rsid w:val="003B57CF"/>
    <w:rsid w:val="003B5A3B"/>
    <w:rsid w:val="003B5A4A"/>
    <w:rsid w:val="003B5A78"/>
    <w:rsid w:val="003B5B7F"/>
    <w:rsid w:val="003B5C25"/>
    <w:rsid w:val="003B60AC"/>
    <w:rsid w:val="003B6142"/>
    <w:rsid w:val="003B61E0"/>
    <w:rsid w:val="003B6328"/>
    <w:rsid w:val="003B63C6"/>
    <w:rsid w:val="003B64D7"/>
    <w:rsid w:val="003B64EE"/>
    <w:rsid w:val="003B66D0"/>
    <w:rsid w:val="003B68C5"/>
    <w:rsid w:val="003B6AF7"/>
    <w:rsid w:val="003B6B30"/>
    <w:rsid w:val="003B6CAC"/>
    <w:rsid w:val="003B6CF3"/>
    <w:rsid w:val="003B6E2C"/>
    <w:rsid w:val="003B6E5B"/>
    <w:rsid w:val="003B6E5C"/>
    <w:rsid w:val="003B6EE7"/>
    <w:rsid w:val="003B6EF3"/>
    <w:rsid w:val="003B71E4"/>
    <w:rsid w:val="003B7230"/>
    <w:rsid w:val="003B731A"/>
    <w:rsid w:val="003B73E3"/>
    <w:rsid w:val="003B73F4"/>
    <w:rsid w:val="003B74AE"/>
    <w:rsid w:val="003B7552"/>
    <w:rsid w:val="003B7579"/>
    <w:rsid w:val="003B75E6"/>
    <w:rsid w:val="003B7686"/>
    <w:rsid w:val="003B771E"/>
    <w:rsid w:val="003B7745"/>
    <w:rsid w:val="003B787F"/>
    <w:rsid w:val="003B79BD"/>
    <w:rsid w:val="003B79CC"/>
    <w:rsid w:val="003B7B6A"/>
    <w:rsid w:val="003B7C4C"/>
    <w:rsid w:val="003B7C77"/>
    <w:rsid w:val="003B7CFB"/>
    <w:rsid w:val="003B7DB1"/>
    <w:rsid w:val="003B7DEF"/>
    <w:rsid w:val="003B7DFB"/>
    <w:rsid w:val="003B7E32"/>
    <w:rsid w:val="003C0051"/>
    <w:rsid w:val="003C01D4"/>
    <w:rsid w:val="003C027C"/>
    <w:rsid w:val="003C0288"/>
    <w:rsid w:val="003C02CE"/>
    <w:rsid w:val="003C06AA"/>
    <w:rsid w:val="003C0845"/>
    <w:rsid w:val="003C08DC"/>
    <w:rsid w:val="003C0BC3"/>
    <w:rsid w:val="003C12E0"/>
    <w:rsid w:val="003C1331"/>
    <w:rsid w:val="003C1498"/>
    <w:rsid w:val="003C1591"/>
    <w:rsid w:val="003C15EC"/>
    <w:rsid w:val="003C168E"/>
    <w:rsid w:val="003C16AB"/>
    <w:rsid w:val="003C17C2"/>
    <w:rsid w:val="003C18A3"/>
    <w:rsid w:val="003C1B7C"/>
    <w:rsid w:val="003C1B86"/>
    <w:rsid w:val="003C1CF9"/>
    <w:rsid w:val="003C1D08"/>
    <w:rsid w:val="003C1D15"/>
    <w:rsid w:val="003C1E11"/>
    <w:rsid w:val="003C1EC1"/>
    <w:rsid w:val="003C1F3F"/>
    <w:rsid w:val="003C20C6"/>
    <w:rsid w:val="003C20CD"/>
    <w:rsid w:val="003C21D6"/>
    <w:rsid w:val="003C22B6"/>
    <w:rsid w:val="003C230B"/>
    <w:rsid w:val="003C23AC"/>
    <w:rsid w:val="003C24A5"/>
    <w:rsid w:val="003C2518"/>
    <w:rsid w:val="003C2552"/>
    <w:rsid w:val="003C2A03"/>
    <w:rsid w:val="003C2B27"/>
    <w:rsid w:val="003C2CC3"/>
    <w:rsid w:val="003C2E38"/>
    <w:rsid w:val="003C2F9C"/>
    <w:rsid w:val="003C2FCB"/>
    <w:rsid w:val="003C31BA"/>
    <w:rsid w:val="003C3383"/>
    <w:rsid w:val="003C3590"/>
    <w:rsid w:val="003C36AF"/>
    <w:rsid w:val="003C3761"/>
    <w:rsid w:val="003C3795"/>
    <w:rsid w:val="003C37DC"/>
    <w:rsid w:val="003C3986"/>
    <w:rsid w:val="003C3A3F"/>
    <w:rsid w:val="003C3A9D"/>
    <w:rsid w:val="003C3AE1"/>
    <w:rsid w:val="003C3B11"/>
    <w:rsid w:val="003C3CA2"/>
    <w:rsid w:val="003C3CDD"/>
    <w:rsid w:val="003C3DBD"/>
    <w:rsid w:val="003C3E86"/>
    <w:rsid w:val="003C3E91"/>
    <w:rsid w:val="003C3F22"/>
    <w:rsid w:val="003C3FCB"/>
    <w:rsid w:val="003C415B"/>
    <w:rsid w:val="003C4345"/>
    <w:rsid w:val="003C43BB"/>
    <w:rsid w:val="003C4438"/>
    <w:rsid w:val="003C468E"/>
    <w:rsid w:val="003C4E43"/>
    <w:rsid w:val="003C50CB"/>
    <w:rsid w:val="003C52B1"/>
    <w:rsid w:val="003C54FA"/>
    <w:rsid w:val="003C54FB"/>
    <w:rsid w:val="003C55CB"/>
    <w:rsid w:val="003C5740"/>
    <w:rsid w:val="003C5748"/>
    <w:rsid w:val="003C580C"/>
    <w:rsid w:val="003C591F"/>
    <w:rsid w:val="003C5AC4"/>
    <w:rsid w:val="003C5BE8"/>
    <w:rsid w:val="003C5BED"/>
    <w:rsid w:val="003C5E50"/>
    <w:rsid w:val="003C64C8"/>
    <w:rsid w:val="003C69BF"/>
    <w:rsid w:val="003C69F7"/>
    <w:rsid w:val="003C6C5D"/>
    <w:rsid w:val="003C6E02"/>
    <w:rsid w:val="003C6E49"/>
    <w:rsid w:val="003C6E63"/>
    <w:rsid w:val="003C6F18"/>
    <w:rsid w:val="003C6F6F"/>
    <w:rsid w:val="003C6F8B"/>
    <w:rsid w:val="003C7050"/>
    <w:rsid w:val="003C720C"/>
    <w:rsid w:val="003C7339"/>
    <w:rsid w:val="003C7507"/>
    <w:rsid w:val="003C754C"/>
    <w:rsid w:val="003C765B"/>
    <w:rsid w:val="003C7663"/>
    <w:rsid w:val="003C7672"/>
    <w:rsid w:val="003C782C"/>
    <w:rsid w:val="003C7861"/>
    <w:rsid w:val="003C7B89"/>
    <w:rsid w:val="003C7C23"/>
    <w:rsid w:val="003C7D7F"/>
    <w:rsid w:val="003C7E7D"/>
    <w:rsid w:val="003C7F30"/>
    <w:rsid w:val="003D0015"/>
    <w:rsid w:val="003D006D"/>
    <w:rsid w:val="003D0095"/>
    <w:rsid w:val="003D00E5"/>
    <w:rsid w:val="003D017B"/>
    <w:rsid w:val="003D017F"/>
    <w:rsid w:val="003D03A2"/>
    <w:rsid w:val="003D0435"/>
    <w:rsid w:val="003D04CD"/>
    <w:rsid w:val="003D04D1"/>
    <w:rsid w:val="003D05A2"/>
    <w:rsid w:val="003D05FD"/>
    <w:rsid w:val="003D0602"/>
    <w:rsid w:val="003D0615"/>
    <w:rsid w:val="003D071B"/>
    <w:rsid w:val="003D0894"/>
    <w:rsid w:val="003D09C3"/>
    <w:rsid w:val="003D09EE"/>
    <w:rsid w:val="003D0CE5"/>
    <w:rsid w:val="003D0DC2"/>
    <w:rsid w:val="003D0E04"/>
    <w:rsid w:val="003D0FCA"/>
    <w:rsid w:val="003D103F"/>
    <w:rsid w:val="003D108D"/>
    <w:rsid w:val="003D111F"/>
    <w:rsid w:val="003D12C4"/>
    <w:rsid w:val="003D1377"/>
    <w:rsid w:val="003D1561"/>
    <w:rsid w:val="003D169F"/>
    <w:rsid w:val="003D16A8"/>
    <w:rsid w:val="003D1A57"/>
    <w:rsid w:val="003D1E99"/>
    <w:rsid w:val="003D1E9B"/>
    <w:rsid w:val="003D1FD8"/>
    <w:rsid w:val="003D2096"/>
    <w:rsid w:val="003D20CE"/>
    <w:rsid w:val="003D225B"/>
    <w:rsid w:val="003D237F"/>
    <w:rsid w:val="003D23A3"/>
    <w:rsid w:val="003D23AC"/>
    <w:rsid w:val="003D24EB"/>
    <w:rsid w:val="003D282C"/>
    <w:rsid w:val="003D2883"/>
    <w:rsid w:val="003D28DC"/>
    <w:rsid w:val="003D2A18"/>
    <w:rsid w:val="003D2A25"/>
    <w:rsid w:val="003D2B93"/>
    <w:rsid w:val="003D2BAF"/>
    <w:rsid w:val="003D2C02"/>
    <w:rsid w:val="003D2C7C"/>
    <w:rsid w:val="003D2CBB"/>
    <w:rsid w:val="003D2D48"/>
    <w:rsid w:val="003D2D7A"/>
    <w:rsid w:val="003D2D92"/>
    <w:rsid w:val="003D2FA6"/>
    <w:rsid w:val="003D305A"/>
    <w:rsid w:val="003D30CF"/>
    <w:rsid w:val="003D32CE"/>
    <w:rsid w:val="003D3388"/>
    <w:rsid w:val="003D345A"/>
    <w:rsid w:val="003D3486"/>
    <w:rsid w:val="003D357D"/>
    <w:rsid w:val="003D38C1"/>
    <w:rsid w:val="003D3A90"/>
    <w:rsid w:val="003D3B17"/>
    <w:rsid w:val="003D3B4B"/>
    <w:rsid w:val="003D3BEE"/>
    <w:rsid w:val="003D3BF7"/>
    <w:rsid w:val="003D3C79"/>
    <w:rsid w:val="003D3CDF"/>
    <w:rsid w:val="003D3DC5"/>
    <w:rsid w:val="003D3E4E"/>
    <w:rsid w:val="003D3F2D"/>
    <w:rsid w:val="003D3F3B"/>
    <w:rsid w:val="003D4191"/>
    <w:rsid w:val="003D4232"/>
    <w:rsid w:val="003D427E"/>
    <w:rsid w:val="003D4664"/>
    <w:rsid w:val="003D4723"/>
    <w:rsid w:val="003D49F3"/>
    <w:rsid w:val="003D4B3B"/>
    <w:rsid w:val="003D4BDC"/>
    <w:rsid w:val="003D4D49"/>
    <w:rsid w:val="003D4D59"/>
    <w:rsid w:val="003D4DAD"/>
    <w:rsid w:val="003D4FA7"/>
    <w:rsid w:val="003D4FD4"/>
    <w:rsid w:val="003D515F"/>
    <w:rsid w:val="003D51E4"/>
    <w:rsid w:val="003D52E5"/>
    <w:rsid w:val="003D530D"/>
    <w:rsid w:val="003D537B"/>
    <w:rsid w:val="003D5388"/>
    <w:rsid w:val="003D53DA"/>
    <w:rsid w:val="003D53EE"/>
    <w:rsid w:val="003D53F0"/>
    <w:rsid w:val="003D5477"/>
    <w:rsid w:val="003D547B"/>
    <w:rsid w:val="003D5482"/>
    <w:rsid w:val="003D5589"/>
    <w:rsid w:val="003D55F5"/>
    <w:rsid w:val="003D5799"/>
    <w:rsid w:val="003D581C"/>
    <w:rsid w:val="003D5856"/>
    <w:rsid w:val="003D5D0F"/>
    <w:rsid w:val="003D5D3E"/>
    <w:rsid w:val="003D5DA7"/>
    <w:rsid w:val="003D5EAA"/>
    <w:rsid w:val="003D5FEA"/>
    <w:rsid w:val="003D6054"/>
    <w:rsid w:val="003D6148"/>
    <w:rsid w:val="003D6201"/>
    <w:rsid w:val="003D63FB"/>
    <w:rsid w:val="003D64CD"/>
    <w:rsid w:val="003D6589"/>
    <w:rsid w:val="003D65B8"/>
    <w:rsid w:val="003D666D"/>
    <w:rsid w:val="003D68A4"/>
    <w:rsid w:val="003D6999"/>
    <w:rsid w:val="003D6A68"/>
    <w:rsid w:val="003D6A6E"/>
    <w:rsid w:val="003D6B59"/>
    <w:rsid w:val="003D6C86"/>
    <w:rsid w:val="003D6CAF"/>
    <w:rsid w:val="003D6D07"/>
    <w:rsid w:val="003D6D4D"/>
    <w:rsid w:val="003D6D93"/>
    <w:rsid w:val="003D6E89"/>
    <w:rsid w:val="003D6EE3"/>
    <w:rsid w:val="003D6FD2"/>
    <w:rsid w:val="003D6FE1"/>
    <w:rsid w:val="003D6FF2"/>
    <w:rsid w:val="003D7022"/>
    <w:rsid w:val="003D703A"/>
    <w:rsid w:val="003D7167"/>
    <w:rsid w:val="003D71B1"/>
    <w:rsid w:val="003D76BE"/>
    <w:rsid w:val="003D77C7"/>
    <w:rsid w:val="003D785E"/>
    <w:rsid w:val="003D7A97"/>
    <w:rsid w:val="003D7AF5"/>
    <w:rsid w:val="003D7CCF"/>
    <w:rsid w:val="003D7DA3"/>
    <w:rsid w:val="003D7DDA"/>
    <w:rsid w:val="003D7E96"/>
    <w:rsid w:val="003D7F7E"/>
    <w:rsid w:val="003D7F8B"/>
    <w:rsid w:val="003E007D"/>
    <w:rsid w:val="003E01A0"/>
    <w:rsid w:val="003E01B6"/>
    <w:rsid w:val="003E02CC"/>
    <w:rsid w:val="003E033B"/>
    <w:rsid w:val="003E03BC"/>
    <w:rsid w:val="003E0426"/>
    <w:rsid w:val="003E0468"/>
    <w:rsid w:val="003E0508"/>
    <w:rsid w:val="003E0998"/>
    <w:rsid w:val="003E0A84"/>
    <w:rsid w:val="003E0B07"/>
    <w:rsid w:val="003E0B14"/>
    <w:rsid w:val="003E0B22"/>
    <w:rsid w:val="003E0C1F"/>
    <w:rsid w:val="003E0C9D"/>
    <w:rsid w:val="003E0CFB"/>
    <w:rsid w:val="003E0D99"/>
    <w:rsid w:val="003E0E02"/>
    <w:rsid w:val="003E1129"/>
    <w:rsid w:val="003E13A9"/>
    <w:rsid w:val="003E147D"/>
    <w:rsid w:val="003E14A0"/>
    <w:rsid w:val="003E14E9"/>
    <w:rsid w:val="003E1551"/>
    <w:rsid w:val="003E163A"/>
    <w:rsid w:val="003E1645"/>
    <w:rsid w:val="003E172A"/>
    <w:rsid w:val="003E1788"/>
    <w:rsid w:val="003E19F1"/>
    <w:rsid w:val="003E1A05"/>
    <w:rsid w:val="003E1C4E"/>
    <w:rsid w:val="003E1D67"/>
    <w:rsid w:val="003E1E1D"/>
    <w:rsid w:val="003E1E7B"/>
    <w:rsid w:val="003E1F45"/>
    <w:rsid w:val="003E1FE5"/>
    <w:rsid w:val="003E2049"/>
    <w:rsid w:val="003E2079"/>
    <w:rsid w:val="003E2168"/>
    <w:rsid w:val="003E2216"/>
    <w:rsid w:val="003E2243"/>
    <w:rsid w:val="003E225A"/>
    <w:rsid w:val="003E23D0"/>
    <w:rsid w:val="003E23D1"/>
    <w:rsid w:val="003E252E"/>
    <w:rsid w:val="003E2545"/>
    <w:rsid w:val="003E2580"/>
    <w:rsid w:val="003E27B5"/>
    <w:rsid w:val="003E27B9"/>
    <w:rsid w:val="003E28A3"/>
    <w:rsid w:val="003E292D"/>
    <w:rsid w:val="003E2AB9"/>
    <w:rsid w:val="003E2AEE"/>
    <w:rsid w:val="003E2BA8"/>
    <w:rsid w:val="003E2DEC"/>
    <w:rsid w:val="003E2DF7"/>
    <w:rsid w:val="003E2E18"/>
    <w:rsid w:val="003E2E1C"/>
    <w:rsid w:val="003E2E43"/>
    <w:rsid w:val="003E3271"/>
    <w:rsid w:val="003E331D"/>
    <w:rsid w:val="003E33F3"/>
    <w:rsid w:val="003E3902"/>
    <w:rsid w:val="003E3904"/>
    <w:rsid w:val="003E3969"/>
    <w:rsid w:val="003E3A0C"/>
    <w:rsid w:val="003E3B97"/>
    <w:rsid w:val="003E3BF8"/>
    <w:rsid w:val="003E3C73"/>
    <w:rsid w:val="003E3D13"/>
    <w:rsid w:val="003E3D7C"/>
    <w:rsid w:val="003E3E70"/>
    <w:rsid w:val="003E3EB9"/>
    <w:rsid w:val="003E3FE4"/>
    <w:rsid w:val="003E4217"/>
    <w:rsid w:val="003E4294"/>
    <w:rsid w:val="003E4411"/>
    <w:rsid w:val="003E4607"/>
    <w:rsid w:val="003E47E4"/>
    <w:rsid w:val="003E49DC"/>
    <w:rsid w:val="003E4AA4"/>
    <w:rsid w:val="003E4CA5"/>
    <w:rsid w:val="003E4CF9"/>
    <w:rsid w:val="003E4DC1"/>
    <w:rsid w:val="003E4ED2"/>
    <w:rsid w:val="003E4F5A"/>
    <w:rsid w:val="003E4FB4"/>
    <w:rsid w:val="003E5040"/>
    <w:rsid w:val="003E51A9"/>
    <w:rsid w:val="003E553B"/>
    <w:rsid w:val="003E55A3"/>
    <w:rsid w:val="003E57EA"/>
    <w:rsid w:val="003E58C3"/>
    <w:rsid w:val="003E5A11"/>
    <w:rsid w:val="003E5B82"/>
    <w:rsid w:val="003E5C42"/>
    <w:rsid w:val="003E5CE9"/>
    <w:rsid w:val="003E5CFA"/>
    <w:rsid w:val="003E6055"/>
    <w:rsid w:val="003E606D"/>
    <w:rsid w:val="003E613C"/>
    <w:rsid w:val="003E6173"/>
    <w:rsid w:val="003E621D"/>
    <w:rsid w:val="003E6733"/>
    <w:rsid w:val="003E6B07"/>
    <w:rsid w:val="003E6C4A"/>
    <w:rsid w:val="003E6D3E"/>
    <w:rsid w:val="003E6D75"/>
    <w:rsid w:val="003E6E12"/>
    <w:rsid w:val="003E6E51"/>
    <w:rsid w:val="003E6F21"/>
    <w:rsid w:val="003E7014"/>
    <w:rsid w:val="003E709A"/>
    <w:rsid w:val="003E70EB"/>
    <w:rsid w:val="003E7111"/>
    <w:rsid w:val="003E7139"/>
    <w:rsid w:val="003E72C7"/>
    <w:rsid w:val="003E744A"/>
    <w:rsid w:val="003E7453"/>
    <w:rsid w:val="003E7528"/>
    <w:rsid w:val="003E7607"/>
    <w:rsid w:val="003E77B2"/>
    <w:rsid w:val="003E79BE"/>
    <w:rsid w:val="003E79C6"/>
    <w:rsid w:val="003E79CB"/>
    <w:rsid w:val="003E79F2"/>
    <w:rsid w:val="003E7A9B"/>
    <w:rsid w:val="003E7BA9"/>
    <w:rsid w:val="003E7D27"/>
    <w:rsid w:val="003E7DCA"/>
    <w:rsid w:val="003E7E2D"/>
    <w:rsid w:val="003E7E7F"/>
    <w:rsid w:val="003E7EFE"/>
    <w:rsid w:val="003E7F25"/>
    <w:rsid w:val="003E7F26"/>
    <w:rsid w:val="003E7F42"/>
    <w:rsid w:val="003F012E"/>
    <w:rsid w:val="003F0383"/>
    <w:rsid w:val="003F03CD"/>
    <w:rsid w:val="003F0534"/>
    <w:rsid w:val="003F0562"/>
    <w:rsid w:val="003F05B3"/>
    <w:rsid w:val="003F077F"/>
    <w:rsid w:val="003F086D"/>
    <w:rsid w:val="003F0962"/>
    <w:rsid w:val="003F09FE"/>
    <w:rsid w:val="003F0BD2"/>
    <w:rsid w:val="003F0C21"/>
    <w:rsid w:val="003F0CC8"/>
    <w:rsid w:val="003F0E52"/>
    <w:rsid w:val="003F0EBA"/>
    <w:rsid w:val="003F0FBD"/>
    <w:rsid w:val="003F1033"/>
    <w:rsid w:val="003F107F"/>
    <w:rsid w:val="003F114D"/>
    <w:rsid w:val="003F1168"/>
    <w:rsid w:val="003F11B2"/>
    <w:rsid w:val="003F1314"/>
    <w:rsid w:val="003F1352"/>
    <w:rsid w:val="003F13C3"/>
    <w:rsid w:val="003F1444"/>
    <w:rsid w:val="003F161E"/>
    <w:rsid w:val="003F1631"/>
    <w:rsid w:val="003F16E5"/>
    <w:rsid w:val="003F171B"/>
    <w:rsid w:val="003F1818"/>
    <w:rsid w:val="003F1848"/>
    <w:rsid w:val="003F186C"/>
    <w:rsid w:val="003F18E2"/>
    <w:rsid w:val="003F1916"/>
    <w:rsid w:val="003F197B"/>
    <w:rsid w:val="003F1A2E"/>
    <w:rsid w:val="003F1E00"/>
    <w:rsid w:val="003F1EDF"/>
    <w:rsid w:val="003F1F0F"/>
    <w:rsid w:val="003F1F75"/>
    <w:rsid w:val="003F1FDD"/>
    <w:rsid w:val="003F2090"/>
    <w:rsid w:val="003F20AE"/>
    <w:rsid w:val="003F2112"/>
    <w:rsid w:val="003F22D1"/>
    <w:rsid w:val="003F23A3"/>
    <w:rsid w:val="003F256A"/>
    <w:rsid w:val="003F261E"/>
    <w:rsid w:val="003F26B8"/>
    <w:rsid w:val="003F26E6"/>
    <w:rsid w:val="003F2866"/>
    <w:rsid w:val="003F2892"/>
    <w:rsid w:val="003F29D1"/>
    <w:rsid w:val="003F2B19"/>
    <w:rsid w:val="003F2BAF"/>
    <w:rsid w:val="003F2BD8"/>
    <w:rsid w:val="003F2EDA"/>
    <w:rsid w:val="003F2FCC"/>
    <w:rsid w:val="003F2FE0"/>
    <w:rsid w:val="003F2FE6"/>
    <w:rsid w:val="003F304D"/>
    <w:rsid w:val="003F30CD"/>
    <w:rsid w:val="003F32AC"/>
    <w:rsid w:val="003F32D2"/>
    <w:rsid w:val="003F3694"/>
    <w:rsid w:val="003F394B"/>
    <w:rsid w:val="003F3977"/>
    <w:rsid w:val="003F3ABB"/>
    <w:rsid w:val="003F3BEF"/>
    <w:rsid w:val="003F3C0C"/>
    <w:rsid w:val="003F3C21"/>
    <w:rsid w:val="003F3D05"/>
    <w:rsid w:val="003F3D48"/>
    <w:rsid w:val="003F3D4E"/>
    <w:rsid w:val="003F3D87"/>
    <w:rsid w:val="003F3E98"/>
    <w:rsid w:val="003F3F09"/>
    <w:rsid w:val="003F3F78"/>
    <w:rsid w:val="003F3F7A"/>
    <w:rsid w:val="003F415A"/>
    <w:rsid w:val="003F4162"/>
    <w:rsid w:val="003F423D"/>
    <w:rsid w:val="003F429E"/>
    <w:rsid w:val="003F450D"/>
    <w:rsid w:val="003F4804"/>
    <w:rsid w:val="003F4895"/>
    <w:rsid w:val="003F496D"/>
    <w:rsid w:val="003F49DF"/>
    <w:rsid w:val="003F4A5C"/>
    <w:rsid w:val="003F4AE1"/>
    <w:rsid w:val="003F4C00"/>
    <w:rsid w:val="003F4EA6"/>
    <w:rsid w:val="003F4EE2"/>
    <w:rsid w:val="003F4F0F"/>
    <w:rsid w:val="003F5129"/>
    <w:rsid w:val="003F526B"/>
    <w:rsid w:val="003F52C7"/>
    <w:rsid w:val="003F5392"/>
    <w:rsid w:val="003F539E"/>
    <w:rsid w:val="003F5490"/>
    <w:rsid w:val="003F5513"/>
    <w:rsid w:val="003F559B"/>
    <w:rsid w:val="003F55FF"/>
    <w:rsid w:val="003F5654"/>
    <w:rsid w:val="003F5805"/>
    <w:rsid w:val="003F5923"/>
    <w:rsid w:val="003F59FA"/>
    <w:rsid w:val="003F5B26"/>
    <w:rsid w:val="003F5D3A"/>
    <w:rsid w:val="003F5D58"/>
    <w:rsid w:val="003F5DF4"/>
    <w:rsid w:val="003F5FC4"/>
    <w:rsid w:val="003F5FFA"/>
    <w:rsid w:val="003F606A"/>
    <w:rsid w:val="003F60FC"/>
    <w:rsid w:val="003F6165"/>
    <w:rsid w:val="003F6218"/>
    <w:rsid w:val="003F6360"/>
    <w:rsid w:val="003F642C"/>
    <w:rsid w:val="003F64C6"/>
    <w:rsid w:val="003F657E"/>
    <w:rsid w:val="003F658F"/>
    <w:rsid w:val="003F65D3"/>
    <w:rsid w:val="003F6751"/>
    <w:rsid w:val="003F676E"/>
    <w:rsid w:val="003F6773"/>
    <w:rsid w:val="003F67C5"/>
    <w:rsid w:val="003F6838"/>
    <w:rsid w:val="003F6D47"/>
    <w:rsid w:val="003F6DFC"/>
    <w:rsid w:val="003F6EC5"/>
    <w:rsid w:val="003F6F1A"/>
    <w:rsid w:val="003F6F35"/>
    <w:rsid w:val="003F6FCB"/>
    <w:rsid w:val="003F7091"/>
    <w:rsid w:val="003F719A"/>
    <w:rsid w:val="003F725F"/>
    <w:rsid w:val="003F740D"/>
    <w:rsid w:val="003F7549"/>
    <w:rsid w:val="003F7564"/>
    <w:rsid w:val="003F782F"/>
    <w:rsid w:val="003F78B8"/>
    <w:rsid w:val="003F793E"/>
    <w:rsid w:val="003F799D"/>
    <w:rsid w:val="003F7CF1"/>
    <w:rsid w:val="003F7D44"/>
    <w:rsid w:val="003F7DE7"/>
    <w:rsid w:val="003F7F41"/>
    <w:rsid w:val="00400174"/>
    <w:rsid w:val="00400251"/>
    <w:rsid w:val="00400309"/>
    <w:rsid w:val="00400397"/>
    <w:rsid w:val="004003B6"/>
    <w:rsid w:val="00400517"/>
    <w:rsid w:val="00400607"/>
    <w:rsid w:val="0040060F"/>
    <w:rsid w:val="0040066A"/>
    <w:rsid w:val="00400849"/>
    <w:rsid w:val="004008FD"/>
    <w:rsid w:val="00401104"/>
    <w:rsid w:val="00401157"/>
    <w:rsid w:val="004011B4"/>
    <w:rsid w:val="00401279"/>
    <w:rsid w:val="00401418"/>
    <w:rsid w:val="0040155F"/>
    <w:rsid w:val="00401712"/>
    <w:rsid w:val="0040192F"/>
    <w:rsid w:val="00401A49"/>
    <w:rsid w:val="00401C36"/>
    <w:rsid w:val="00401C57"/>
    <w:rsid w:val="00401C6A"/>
    <w:rsid w:val="00401C7A"/>
    <w:rsid w:val="00401CEC"/>
    <w:rsid w:val="00401DBF"/>
    <w:rsid w:val="00401DE4"/>
    <w:rsid w:val="00401E04"/>
    <w:rsid w:val="00401EF2"/>
    <w:rsid w:val="00402160"/>
    <w:rsid w:val="004021DD"/>
    <w:rsid w:val="0040232F"/>
    <w:rsid w:val="004025F4"/>
    <w:rsid w:val="0040269A"/>
    <w:rsid w:val="00402700"/>
    <w:rsid w:val="00402781"/>
    <w:rsid w:val="004028D7"/>
    <w:rsid w:val="004028FC"/>
    <w:rsid w:val="00402A25"/>
    <w:rsid w:val="00402D09"/>
    <w:rsid w:val="00402D94"/>
    <w:rsid w:val="00402D9D"/>
    <w:rsid w:val="00402DF8"/>
    <w:rsid w:val="00402E38"/>
    <w:rsid w:val="00402FC2"/>
    <w:rsid w:val="0040320D"/>
    <w:rsid w:val="004032AC"/>
    <w:rsid w:val="00403389"/>
    <w:rsid w:val="0040341A"/>
    <w:rsid w:val="004035B5"/>
    <w:rsid w:val="004035BD"/>
    <w:rsid w:val="00403789"/>
    <w:rsid w:val="0040381E"/>
    <w:rsid w:val="0040387A"/>
    <w:rsid w:val="004038DE"/>
    <w:rsid w:val="004039D2"/>
    <w:rsid w:val="00403A11"/>
    <w:rsid w:val="00403A18"/>
    <w:rsid w:val="00403C3E"/>
    <w:rsid w:val="00403D50"/>
    <w:rsid w:val="00403D8A"/>
    <w:rsid w:val="00403E94"/>
    <w:rsid w:val="004042AF"/>
    <w:rsid w:val="00404325"/>
    <w:rsid w:val="00404334"/>
    <w:rsid w:val="00404363"/>
    <w:rsid w:val="00404392"/>
    <w:rsid w:val="004043DB"/>
    <w:rsid w:val="004043E0"/>
    <w:rsid w:val="00404563"/>
    <w:rsid w:val="0040465E"/>
    <w:rsid w:val="0040497B"/>
    <w:rsid w:val="00404992"/>
    <w:rsid w:val="00404A67"/>
    <w:rsid w:val="00404AC0"/>
    <w:rsid w:val="00404DB1"/>
    <w:rsid w:val="00404E4F"/>
    <w:rsid w:val="00405109"/>
    <w:rsid w:val="00405228"/>
    <w:rsid w:val="00405242"/>
    <w:rsid w:val="00405244"/>
    <w:rsid w:val="00405254"/>
    <w:rsid w:val="00405338"/>
    <w:rsid w:val="00405516"/>
    <w:rsid w:val="0040551E"/>
    <w:rsid w:val="00405749"/>
    <w:rsid w:val="0040585B"/>
    <w:rsid w:val="00405861"/>
    <w:rsid w:val="00405878"/>
    <w:rsid w:val="00405BF5"/>
    <w:rsid w:val="00405BF8"/>
    <w:rsid w:val="00405FF3"/>
    <w:rsid w:val="00406135"/>
    <w:rsid w:val="00406230"/>
    <w:rsid w:val="00406395"/>
    <w:rsid w:val="004064D1"/>
    <w:rsid w:val="004064F7"/>
    <w:rsid w:val="004065AD"/>
    <w:rsid w:val="0040667E"/>
    <w:rsid w:val="004066CC"/>
    <w:rsid w:val="0040671A"/>
    <w:rsid w:val="00406760"/>
    <w:rsid w:val="0040680F"/>
    <w:rsid w:val="0040695D"/>
    <w:rsid w:val="00406A5C"/>
    <w:rsid w:val="00406B58"/>
    <w:rsid w:val="00406BF3"/>
    <w:rsid w:val="00406C31"/>
    <w:rsid w:val="00406C69"/>
    <w:rsid w:val="00406C75"/>
    <w:rsid w:val="00406D1B"/>
    <w:rsid w:val="00406F62"/>
    <w:rsid w:val="00406F8B"/>
    <w:rsid w:val="00406FA7"/>
    <w:rsid w:val="00407070"/>
    <w:rsid w:val="00407074"/>
    <w:rsid w:val="00407170"/>
    <w:rsid w:val="004073D0"/>
    <w:rsid w:val="00407403"/>
    <w:rsid w:val="00407562"/>
    <w:rsid w:val="00407613"/>
    <w:rsid w:val="00407886"/>
    <w:rsid w:val="00407BAF"/>
    <w:rsid w:val="00407BCA"/>
    <w:rsid w:val="00407CE1"/>
    <w:rsid w:val="00407CF3"/>
    <w:rsid w:val="00407F81"/>
    <w:rsid w:val="004100CC"/>
    <w:rsid w:val="00410138"/>
    <w:rsid w:val="0041034D"/>
    <w:rsid w:val="004103DE"/>
    <w:rsid w:val="004105F4"/>
    <w:rsid w:val="00410699"/>
    <w:rsid w:val="004106B8"/>
    <w:rsid w:val="0041071E"/>
    <w:rsid w:val="0041077F"/>
    <w:rsid w:val="004108B0"/>
    <w:rsid w:val="004109D5"/>
    <w:rsid w:val="00410A37"/>
    <w:rsid w:val="00410A68"/>
    <w:rsid w:val="00411317"/>
    <w:rsid w:val="00411328"/>
    <w:rsid w:val="004113A6"/>
    <w:rsid w:val="004113EC"/>
    <w:rsid w:val="00411467"/>
    <w:rsid w:val="00411795"/>
    <w:rsid w:val="004117D1"/>
    <w:rsid w:val="0041183C"/>
    <w:rsid w:val="004118B2"/>
    <w:rsid w:val="004118DC"/>
    <w:rsid w:val="00411A52"/>
    <w:rsid w:val="00411B06"/>
    <w:rsid w:val="00411B7C"/>
    <w:rsid w:val="00411D0C"/>
    <w:rsid w:val="00411EBB"/>
    <w:rsid w:val="00412034"/>
    <w:rsid w:val="0041237B"/>
    <w:rsid w:val="004125CA"/>
    <w:rsid w:val="0041260E"/>
    <w:rsid w:val="00412610"/>
    <w:rsid w:val="00412736"/>
    <w:rsid w:val="00412755"/>
    <w:rsid w:val="004127F8"/>
    <w:rsid w:val="00412815"/>
    <w:rsid w:val="00412979"/>
    <w:rsid w:val="004129F2"/>
    <w:rsid w:val="00412A60"/>
    <w:rsid w:val="00412B00"/>
    <w:rsid w:val="00412BE2"/>
    <w:rsid w:val="00412C1C"/>
    <w:rsid w:val="00412C82"/>
    <w:rsid w:val="004130E1"/>
    <w:rsid w:val="00413137"/>
    <w:rsid w:val="00413174"/>
    <w:rsid w:val="004132DB"/>
    <w:rsid w:val="0041337E"/>
    <w:rsid w:val="00413602"/>
    <w:rsid w:val="00413761"/>
    <w:rsid w:val="0041376B"/>
    <w:rsid w:val="004137B0"/>
    <w:rsid w:val="004138DB"/>
    <w:rsid w:val="0041391A"/>
    <w:rsid w:val="00413A17"/>
    <w:rsid w:val="00413B4C"/>
    <w:rsid w:val="00413B91"/>
    <w:rsid w:val="00413BEF"/>
    <w:rsid w:val="00413C38"/>
    <w:rsid w:val="00413C4C"/>
    <w:rsid w:val="00413CC3"/>
    <w:rsid w:val="00413E4A"/>
    <w:rsid w:val="00413F65"/>
    <w:rsid w:val="00413FC9"/>
    <w:rsid w:val="00414152"/>
    <w:rsid w:val="00414354"/>
    <w:rsid w:val="00414530"/>
    <w:rsid w:val="004145A8"/>
    <w:rsid w:val="00414629"/>
    <w:rsid w:val="00414643"/>
    <w:rsid w:val="00414697"/>
    <w:rsid w:val="00414724"/>
    <w:rsid w:val="00414A59"/>
    <w:rsid w:val="00414AEA"/>
    <w:rsid w:val="00414D7E"/>
    <w:rsid w:val="00414F13"/>
    <w:rsid w:val="004150F1"/>
    <w:rsid w:val="004150FF"/>
    <w:rsid w:val="0041510C"/>
    <w:rsid w:val="004151DF"/>
    <w:rsid w:val="00415479"/>
    <w:rsid w:val="004154F8"/>
    <w:rsid w:val="00415564"/>
    <w:rsid w:val="004156CB"/>
    <w:rsid w:val="004156D8"/>
    <w:rsid w:val="004158B6"/>
    <w:rsid w:val="00415A0E"/>
    <w:rsid w:val="00415B43"/>
    <w:rsid w:val="00415D38"/>
    <w:rsid w:val="00415EA6"/>
    <w:rsid w:val="00415ECA"/>
    <w:rsid w:val="0041607E"/>
    <w:rsid w:val="004162CD"/>
    <w:rsid w:val="004162ED"/>
    <w:rsid w:val="0041639C"/>
    <w:rsid w:val="00416577"/>
    <w:rsid w:val="004165B2"/>
    <w:rsid w:val="00416804"/>
    <w:rsid w:val="00416B78"/>
    <w:rsid w:val="00416BA0"/>
    <w:rsid w:val="00416C50"/>
    <w:rsid w:val="00416DC5"/>
    <w:rsid w:val="00416E84"/>
    <w:rsid w:val="00416E8B"/>
    <w:rsid w:val="004170E0"/>
    <w:rsid w:val="004171B1"/>
    <w:rsid w:val="004171C3"/>
    <w:rsid w:val="00417393"/>
    <w:rsid w:val="004173A2"/>
    <w:rsid w:val="00417403"/>
    <w:rsid w:val="0041755C"/>
    <w:rsid w:val="00417573"/>
    <w:rsid w:val="004175CB"/>
    <w:rsid w:val="00417984"/>
    <w:rsid w:val="00417A78"/>
    <w:rsid w:val="00417BDE"/>
    <w:rsid w:val="00417C15"/>
    <w:rsid w:val="00417F06"/>
    <w:rsid w:val="004200B4"/>
    <w:rsid w:val="004200D1"/>
    <w:rsid w:val="004203F8"/>
    <w:rsid w:val="004204A6"/>
    <w:rsid w:val="004204D4"/>
    <w:rsid w:val="0042059D"/>
    <w:rsid w:val="0042066B"/>
    <w:rsid w:val="004206F7"/>
    <w:rsid w:val="0042073D"/>
    <w:rsid w:val="00420793"/>
    <w:rsid w:val="004207DE"/>
    <w:rsid w:val="004208B7"/>
    <w:rsid w:val="0042098B"/>
    <w:rsid w:val="00420B4B"/>
    <w:rsid w:val="00420D62"/>
    <w:rsid w:val="00420E00"/>
    <w:rsid w:val="00420F0E"/>
    <w:rsid w:val="00420FD8"/>
    <w:rsid w:val="00421239"/>
    <w:rsid w:val="00421252"/>
    <w:rsid w:val="004212EC"/>
    <w:rsid w:val="0042150A"/>
    <w:rsid w:val="004215EC"/>
    <w:rsid w:val="00421A93"/>
    <w:rsid w:val="00421AB3"/>
    <w:rsid w:val="00421AC0"/>
    <w:rsid w:val="00421BB0"/>
    <w:rsid w:val="00421CB3"/>
    <w:rsid w:val="00421CC3"/>
    <w:rsid w:val="00421D50"/>
    <w:rsid w:val="00421D82"/>
    <w:rsid w:val="00421EE8"/>
    <w:rsid w:val="00421F6A"/>
    <w:rsid w:val="00421FD1"/>
    <w:rsid w:val="00422061"/>
    <w:rsid w:val="004220B9"/>
    <w:rsid w:val="0042221B"/>
    <w:rsid w:val="0042230C"/>
    <w:rsid w:val="0042234C"/>
    <w:rsid w:val="0042238B"/>
    <w:rsid w:val="004223D3"/>
    <w:rsid w:val="0042247E"/>
    <w:rsid w:val="004224E6"/>
    <w:rsid w:val="004227D6"/>
    <w:rsid w:val="004228C0"/>
    <w:rsid w:val="00422BFB"/>
    <w:rsid w:val="00422C9D"/>
    <w:rsid w:val="00422DCF"/>
    <w:rsid w:val="00422DFF"/>
    <w:rsid w:val="00422ECB"/>
    <w:rsid w:val="00423064"/>
    <w:rsid w:val="00423193"/>
    <w:rsid w:val="0042339A"/>
    <w:rsid w:val="004233A6"/>
    <w:rsid w:val="00423575"/>
    <w:rsid w:val="00423620"/>
    <w:rsid w:val="0042366D"/>
    <w:rsid w:val="00423769"/>
    <w:rsid w:val="004237DF"/>
    <w:rsid w:val="00423857"/>
    <w:rsid w:val="00423A0B"/>
    <w:rsid w:val="00423A1C"/>
    <w:rsid w:val="00423B15"/>
    <w:rsid w:val="00423B21"/>
    <w:rsid w:val="00423CCB"/>
    <w:rsid w:val="00423D88"/>
    <w:rsid w:val="00423DC6"/>
    <w:rsid w:val="00423E61"/>
    <w:rsid w:val="00424146"/>
    <w:rsid w:val="00424255"/>
    <w:rsid w:val="004242EB"/>
    <w:rsid w:val="004244AB"/>
    <w:rsid w:val="00424515"/>
    <w:rsid w:val="0042479F"/>
    <w:rsid w:val="0042482A"/>
    <w:rsid w:val="00424843"/>
    <w:rsid w:val="00424BEF"/>
    <w:rsid w:val="00424CB8"/>
    <w:rsid w:val="00424D46"/>
    <w:rsid w:val="0042508F"/>
    <w:rsid w:val="0042511A"/>
    <w:rsid w:val="0042512D"/>
    <w:rsid w:val="00425209"/>
    <w:rsid w:val="0042531D"/>
    <w:rsid w:val="0042535C"/>
    <w:rsid w:val="00425529"/>
    <w:rsid w:val="004256B2"/>
    <w:rsid w:val="00425709"/>
    <w:rsid w:val="00425857"/>
    <w:rsid w:val="00425870"/>
    <w:rsid w:val="00425AD6"/>
    <w:rsid w:val="00425B47"/>
    <w:rsid w:val="00425BF4"/>
    <w:rsid w:val="00425DDB"/>
    <w:rsid w:val="00425F18"/>
    <w:rsid w:val="004262E5"/>
    <w:rsid w:val="00426357"/>
    <w:rsid w:val="004266EE"/>
    <w:rsid w:val="0042673D"/>
    <w:rsid w:val="004267B9"/>
    <w:rsid w:val="00426994"/>
    <w:rsid w:val="004269E9"/>
    <w:rsid w:val="00426A38"/>
    <w:rsid w:val="00426AB4"/>
    <w:rsid w:val="00426B66"/>
    <w:rsid w:val="00426D59"/>
    <w:rsid w:val="00426EBA"/>
    <w:rsid w:val="00426EDC"/>
    <w:rsid w:val="00426F3B"/>
    <w:rsid w:val="00426FDA"/>
    <w:rsid w:val="00426FE8"/>
    <w:rsid w:val="00426FF9"/>
    <w:rsid w:val="00427157"/>
    <w:rsid w:val="004272D9"/>
    <w:rsid w:val="00427452"/>
    <w:rsid w:val="00427648"/>
    <w:rsid w:val="0042774E"/>
    <w:rsid w:val="00427751"/>
    <w:rsid w:val="0042775B"/>
    <w:rsid w:val="004277B3"/>
    <w:rsid w:val="00427B72"/>
    <w:rsid w:val="004300EB"/>
    <w:rsid w:val="00430110"/>
    <w:rsid w:val="00430260"/>
    <w:rsid w:val="004302D4"/>
    <w:rsid w:val="00430311"/>
    <w:rsid w:val="004303D2"/>
    <w:rsid w:val="004303DD"/>
    <w:rsid w:val="00430402"/>
    <w:rsid w:val="00430455"/>
    <w:rsid w:val="00430498"/>
    <w:rsid w:val="004304A3"/>
    <w:rsid w:val="004304E1"/>
    <w:rsid w:val="00430552"/>
    <w:rsid w:val="004305CB"/>
    <w:rsid w:val="004305DB"/>
    <w:rsid w:val="00430695"/>
    <w:rsid w:val="00430731"/>
    <w:rsid w:val="00430928"/>
    <w:rsid w:val="00430933"/>
    <w:rsid w:val="0043098E"/>
    <w:rsid w:val="00430A96"/>
    <w:rsid w:val="00430B2E"/>
    <w:rsid w:val="00430BA1"/>
    <w:rsid w:val="00430CDB"/>
    <w:rsid w:val="00430EE1"/>
    <w:rsid w:val="00430F40"/>
    <w:rsid w:val="00430FA0"/>
    <w:rsid w:val="00430FAF"/>
    <w:rsid w:val="00430FC5"/>
    <w:rsid w:val="00431024"/>
    <w:rsid w:val="004311D8"/>
    <w:rsid w:val="004312A2"/>
    <w:rsid w:val="0043142F"/>
    <w:rsid w:val="00431524"/>
    <w:rsid w:val="00431551"/>
    <w:rsid w:val="00431556"/>
    <w:rsid w:val="0043168B"/>
    <w:rsid w:val="004317DD"/>
    <w:rsid w:val="00431838"/>
    <w:rsid w:val="00431B60"/>
    <w:rsid w:val="00431B9A"/>
    <w:rsid w:val="00431C26"/>
    <w:rsid w:val="00431E7E"/>
    <w:rsid w:val="00431F61"/>
    <w:rsid w:val="00431FC1"/>
    <w:rsid w:val="00432129"/>
    <w:rsid w:val="0043214D"/>
    <w:rsid w:val="00432206"/>
    <w:rsid w:val="00432269"/>
    <w:rsid w:val="004322E2"/>
    <w:rsid w:val="00432512"/>
    <w:rsid w:val="00432749"/>
    <w:rsid w:val="004328E3"/>
    <w:rsid w:val="00432996"/>
    <w:rsid w:val="0043299A"/>
    <w:rsid w:val="004329AA"/>
    <w:rsid w:val="00432A4D"/>
    <w:rsid w:val="00432AD6"/>
    <w:rsid w:val="00432B0B"/>
    <w:rsid w:val="00432BC2"/>
    <w:rsid w:val="00432DAC"/>
    <w:rsid w:val="00432F85"/>
    <w:rsid w:val="0043303D"/>
    <w:rsid w:val="0043307E"/>
    <w:rsid w:val="00433096"/>
    <w:rsid w:val="004331FB"/>
    <w:rsid w:val="0043324D"/>
    <w:rsid w:val="00433252"/>
    <w:rsid w:val="0043326D"/>
    <w:rsid w:val="00433354"/>
    <w:rsid w:val="0043339F"/>
    <w:rsid w:val="00433566"/>
    <w:rsid w:val="00433613"/>
    <w:rsid w:val="004336F9"/>
    <w:rsid w:val="00433965"/>
    <w:rsid w:val="004339D9"/>
    <w:rsid w:val="00433A00"/>
    <w:rsid w:val="00433AD9"/>
    <w:rsid w:val="00433B93"/>
    <w:rsid w:val="00433BA5"/>
    <w:rsid w:val="00433BCD"/>
    <w:rsid w:val="00433D57"/>
    <w:rsid w:val="00433E29"/>
    <w:rsid w:val="00433F46"/>
    <w:rsid w:val="0043403B"/>
    <w:rsid w:val="004340C8"/>
    <w:rsid w:val="00434317"/>
    <w:rsid w:val="0043455E"/>
    <w:rsid w:val="00434729"/>
    <w:rsid w:val="00434755"/>
    <w:rsid w:val="004347A9"/>
    <w:rsid w:val="00434835"/>
    <w:rsid w:val="004348D4"/>
    <w:rsid w:val="00434A5C"/>
    <w:rsid w:val="00434BAC"/>
    <w:rsid w:val="00434BDB"/>
    <w:rsid w:val="00434C1F"/>
    <w:rsid w:val="00434E3D"/>
    <w:rsid w:val="00435167"/>
    <w:rsid w:val="004351A4"/>
    <w:rsid w:val="004352AA"/>
    <w:rsid w:val="004353B5"/>
    <w:rsid w:val="004353E2"/>
    <w:rsid w:val="00435452"/>
    <w:rsid w:val="004354AD"/>
    <w:rsid w:val="00435521"/>
    <w:rsid w:val="00435560"/>
    <w:rsid w:val="00435717"/>
    <w:rsid w:val="004357AE"/>
    <w:rsid w:val="00435820"/>
    <w:rsid w:val="004358ED"/>
    <w:rsid w:val="00435967"/>
    <w:rsid w:val="00435ED9"/>
    <w:rsid w:val="00435F43"/>
    <w:rsid w:val="00435F7D"/>
    <w:rsid w:val="00435F87"/>
    <w:rsid w:val="00435FFC"/>
    <w:rsid w:val="0043600D"/>
    <w:rsid w:val="004362A8"/>
    <w:rsid w:val="0043681E"/>
    <w:rsid w:val="00436B48"/>
    <w:rsid w:val="00436C63"/>
    <w:rsid w:val="00436D94"/>
    <w:rsid w:val="00436DB0"/>
    <w:rsid w:val="00436E06"/>
    <w:rsid w:val="0043706E"/>
    <w:rsid w:val="004370A2"/>
    <w:rsid w:val="004370A4"/>
    <w:rsid w:val="004371E9"/>
    <w:rsid w:val="004372FA"/>
    <w:rsid w:val="00437554"/>
    <w:rsid w:val="004376BF"/>
    <w:rsid w:val="004376FA"/>
    <w:rsid w:val="00437934"/>
    <w:rsid w:val="004379C2"/>
    <w:rsid w:val="00437A62"/>
    <w:rsid w:val="00437C50"/>
    <w:rsid w:val="00437EDD"/>
    <w:rsid w:val="00437F6A"/>
    <w:rsid w:val="004400A4"/>
    <w:rsid w:val="004400CB"/>
    <w:rsid w:val="004400E8"/>
    <w:rsid w:val="00440138"/>
    <w:rsid w:val="00440143"/>
    <w:rsid w:val="00440166"/>
    <w:rsid w:val="004401D1"/>
    <w:rsid w:val="00440256"/>
    <w:rsid w:val="0044028A"/>
    <w:rsid w:val="0044071B"/>
    <w:rsid w:val="00440735"/>
    <w:rsid w:val="0044074A"/>
    <w:rsid w:val="00440759"/>
    <w:rsid w:val="00440868"/>
    <w:rsid w:val="00440913"/>
    <w:rsid w:val="00440971"/>
    <w:rsid w:val="00440A24"/>
    <w:rsid w:val="00440C5C"/>
    <w:rsid w:val="00440DE0"/>
    <w:rsid w:val="00440E40"/>
    <w:rsid w:val="004410A1"/>
    <w:rsid w:val="0044131C"/>
    <w:rsid w:val="004414C4"/>
    <w:rsid w:val="0044160A"/>
    <w:rsid w:val="00441731"/>
    <w:rsid w:val="00441810"/>
    <w:rsid w:val="004419BD"/>
    <w:rsid w:val="00441A2A"/>
    <w:rsid w:val="00441BA1"/>
    <w:rsid w:val="00441C02"/>
    <w:rsid w:val="00441C83"/>
    <w:rsid w:val="00441CE9"/>
    <w:rsid w:val="00441D41"/>
    <w:rsid w:val="004420E4"/>
    <w:rsid w:val="00442185"/>
    <w:rsid w:val="004421BB"/>
    <w:rsid w:val="004421F5"/>
    <w:rsid w:val="004421F7"/>
    <w:rsid w:val="004422E9"/>
    <w:rsid w:val="00442339"/>
    <w:rsid w:val="0044236E"/>
    <w:rsid w:val="0044243B"/>
    <w:rsid w:val="004424C1"/>
    <w:rsid w:val="004424DD"/>
    <w:rsid w:val="00442566"/>
    <w:rsid w:val="004426AB"/>
    <w:rsid w:val="00442AEA"/>
    <w:rsid w:val="00442B13"/>
    <w:rsid w:val="00442F14"/>
    <w:rsid w:val="00442FD0"/>
    <w:rsid w:val="00443066"/>
    <w:rsid w:val="00443230"/>
    <w:rsid w:val="0044329F"/>
    <w:rsid w:val="004432F9"/>
    <w:rsid w:val="0044332C"/>
    <w:rsid w:val="004433D3"/>
    <w:rsid w:val="0044342A"/>
    <w:rsid w:val="00443500"/>
    <w:rsid w:val="004435A3"/>
    <w:rsid w:val="004435B5"/>
    <w:rsid w:val="004436AB"/>
    <w:rsid w:val="00443806"/>
    <w:rsid w:val="0044383F"/>
    <w:rsid w:val="00443966"/>
    <w:rsid w:val="004439E5"/>
    <w:rsid w:val="00443A0E"/>
    <w:rsid w:val="00443CF8"/>
    <w:rsid w:val="00444298"/>
    <w:rsid w:val="0044429F"/>
    <w:rsid w:val="0044438D"/>
    <w:rsid w:val="00444699"/>
    <w:rsid w:val="004446F5"/>
    <w:rsid w:val="004448E9"/>
    <w:rsid w:val="00444942"/>
    <w:rsid w:val="0044496C"/>
    <w:rsid w:val="00444C9F"/>
    <w:rsid w:val="00444D1F"/>
    <w:rsid w:val="00444DE5"/>
    <w:rsid w:val="00444EAA"/>
    <w:rsid w:val="00444F4B"/>
    <w:rsid w:val="00445054"/>
    <w:rsid w:val="00445117"/>
    <w:rsid w:val="004451A5"/>
    <w:rsid w:val="00445261"/>
    <w:rsid w:val="004452C4"/>
    <w:rsid w:val="0044531C"/>
    <w:rsid w:val="004453FE"/>
    <w:rsid w:val="0044568E"/>
    <w:rsid w:val="004456C1"/>
    <w:rsid w:val="004456F3"/>
    <w:rsid w:val="00445762"/>
    <w:rsid w:val="004457BB"/>
    <w:rsid w:val="004457C3"/>
    <w:rsid w:val="00445806"/>
    <w:rsid w:val="0044595E"/>
    <w:rsid w:val="00445BA8"/>
    <w:rsid w:val="00445D02"/>
    <w:rsid w:val="00445E9C"/>
    <w:rsid w:val="0044600A"/>
    <w:rsid w:val="00446314"/>
    <w:rsid w:val="00446478"/>
    <w:rsid w:val="0044655A"/>
    <w:rsid w:val="004465D5"/>
    <w:rsid w:val="004467F8"/>
    <w:rsid w:val="00446A2B"/>
    <w:rsid w:val="00446A45"/>
    <w:rsid w:val="00446B80"/>
    <w:rsid w:val="00446CC7"/>
    <w:rsid w:val="00446D52"/>
    <w:rsid w:val="00446E21"/>
    <w:rsid w:val="00446F05"/>
    <w:rsid w:val="00446F54"/>
    <w:rsid w:val="004470BC"/>
    <w:rsid w:val="004470D8"/>
    <w:rsid w:val="00447573"/>
    <w:rsid w:val="0044758E"/>
    <w:rsid w:val="0044763D"/>
    <w:rsid w:val="00447784"/>
    <w:rsid w:val="004477E7"/>
    <w:rsid w:val="00447830"/>
    <w:rsid w:val="00447895"/>
    <w:rsid w:val="004478CD"/>
    <w:rsid w:val="00447B81"/>
    <w:rsid w:val="00447CCC"/>
    <w:rsid w:val="00447D0B"/>
    <w:rsid w:val="00447E90"/>
    <w:rsid w:val="00447EDA"/>
    <w:rsid w:val="00447F98"/>
    <w:rsid w:val="00450226"/>
    <w:rsid w:val="00450262"/>
    <w:rsid w:val="0045032E"/>
    <w:rsid w:val="00450381"/>
    <w:rsid w:val="004505A4"/>
    <w:rsid w:val="004505D5"/>
    <w:rsid w:val="00450619"/>
    <w:rsid w:val="00450715"/>
    <w:rsid w:val="00450750"/>
    <w:rsid w:val="004507AE"/>
    <w:rsid w:val="00450872"/>
    <w:rsid w:val="00450976"/>
    <w:rsid w:val="00450A20"/>
    <w:rsid w:val="00450A95"/>
    <w:rsid w:val="00450BF5"/>
    <w:rsid w:val="00450C80"/>
    <w:rsid w:val="00450CDD"/>
    <w:rsid w:val="00450D36"/>
    <w:rsid w:val="00450E8A"/>
    <w:rsid w:val="00450F36"/>
    <w:rsid w:val="00450FB4"/>
    <w:rsid w:val="0045106B"/>
    <w:rsid w:val="004512F2"/>
    <w:rsid w:val="00451356"/>
    <w:rsid w:val="004514E9"/>
    <w:rsid w:val="00451508"/>
    <w:rsid w:val="004515BC"/>
    <w:rsid w:val="004515CA"/>
    <w:rsid w:val="004516CF"/>
    <w:rsid w:val="004516DC"/>
    <w:rsid w:val="0045170A"/>
    <w:rsid w:val="004517DC"/>
    <w:rsid w:val="004517F1"/>
    <w:rsid w:val="00451911"/>
    <w:rsid w:val="00451B9B"/>
    <w:rsid w:val="00451BF1"/>
    <w:rsid w:val="00451CEE"/>
    <w:rsid w:val="00451D2B"/>
    <w:rsid w:val="00451E97"/>
    <w:rsid w:val="00451F94"/>
    <w:rsid w:val="0045223C"/>
    <w:rsid w:val="00452328"/>
    <w:rsid w:val="0045234C"/>
    <w:rsid w:val="00452560"/>
    <w:rsid w:val="0045271E"/>
    <w:rsid w:val="0045272E"/>
    <w:rsid w:val="004527C1"/>
    <w:rsid w:val="004528EF"/>
    <w:rsid w:val="004529C5"/>
    <w:rsid w:val="004529E5"/>
    <w:rsid w:val="00452AE8"/>
    <w:rsid w:val="00452AEE"/>
    <w:rsid w:val="00452CA2"/>
    <w:rsid w:val="00452CF0"/>
    <w:rsid w:val="00452D23"/>
    <w:rsid w:val="00452D30"/>
    <w:rsid w:val="00452F6A"/>
    <w:rsid w:val="00453228"/>
    <w:rsid w:val="004532F2"/>
    <w:rsid w:val="00453524"/>
    <w:rsid w:val="0045355A"/>
    <w:rsid w:val="004537B0"/>
    <w:rsid w:val="0045384D"/>
    <w:rsid w:val="00453850"/>
    <w:rsid w:val="00453A20"/>
    <w:rsid w:val="00453A9E"/>
    <w:rsid w:val="00453ACF"/>
    <w:rsid w:val="00453BDC"/>
    <w:rsid w:val="00453C22"/>
    <w:rsid w:val="00453E66"/>
    <w:rsid w:val="00453EBF"/>
    <w:rsid w:val="004540F0"/>
    <w:rsid w:val="00454152"/>
    <w:rsid w:val="00454211"/>
    <w:rsid w:val="00454489"/>
    <w:rsid w:val="004544D6"/>
    <w:rsid w:val="004544D8"/>
    <w:rsid w:val="0045471E"/>
    <w:rsid w:val="0045473C"/>
    <w:rsid w:val="00454B5E"/>
    <w:rsid w:val="00454CCC"/>
    <w:rsid w:val="00454D48"/>
    <w:rsid w:val="0045529D"/>
    <w:rsid w:val="0045543E"/>
    <w:rsid w:val="0045552B"/>
    <w:rsid w:val="004556E2"/>
    <w:rsid w:val="0045589C"/>
    <w:rsid w:val="00455960"/>
    <w:rsid w:val="0045597B"/>
    <w:rsid w:val="00455996"/>
    <w:rsid w:val="00455A50"/>
    <w:rsid w:val="00455B5C"/>
    <w:rsid w:val="00455BB5"/>
    <w:rsid w:val="00455CAE"/>
    <w:rsid w:val="00455E23"/>
    <w:rsid w:val="00455E3A"/>
    <w:rsid w:val="0045601D"/>
    <w:rsid w:val="004560F3"/>
    <w:rsid w:val="0045617E"/>
    <w:rsid w:val="00456341"/>
    <w:rsid w:val="004563D9"/>
    <w:rsid w:val="0045658C"/>
    <w:rsid w:val="004565B4"/>
    <w:rsid w:val="004565C1"/>
    <w:rsid w:val="004568D8"/>
    <w:rsid w:val="0045694F"/>
    <w:rsid w:val="00456973"/>
    <w:rsid w:val="00456BCE"/>
    <w:rsid w:val="00456E7E"/>
    <w:rsid w:val="00456E96"/>
    <w:rsid w:val="00456ED9"/>
    <w:rsid w:val="0045705D"/>
    <w:rsid w:val="00457205"/>
    <w:rsid w:val="0045735F"/>
    <w:rsid w:val="004573DB"/>
    <w:rsid w:val="0045752F"/>
    <w:rsid w:val="0045753B"/>
    <w:rsid w:val="00457545"/>
    <w:rsid w:val="004576F4"/>
    <w:rsid w:val="00457752"/>
    <w:rsid w:val="0045778B"/>
    <w:rsid w:val="0045796E"/>
    <w:rsid w:val="00457A28"/>
    <w:rsid w:val="00457A65"/>
    <w:rsid w:val="00457B10"/>
    <w:rsid w:val="00457D33"/>
    <w:rsid w:val="00457D6E"/>
    <w:rsid w:val="00457D84"/>
    <w:rsid w:val="00457FB5"/>
    <w:rsid w:val="0046002E"/>
    <w:rsid w:val="00460062"/>
    <w:rsid w:val="0046013C"/>
    <w:rsid w:val="004601B3"/>
    <w:rsid w:val="00460607"/>
    <w:rsid w:val="004606A7"/>
    <w:rsid w:val="004606F7"/>
    <w:rsid w:val="00460890"/>
    <w:rsid w:val="00460902"/>
    <w:rsid w:val="00460935"/>
    <w:rsid w:val="00460B02"/>
    <w:rsid w:val="00460BE2"/>
    <w:rsid w:val="00460BEB"/>
    <w:rsid w:val="00460D44"/>
    <w:rsid w:val="00460EAE"/>
    <w:rsid w:val="00460EB6"/>
    <w:rsid w:val="00461014"/>
    <w:rsid w:val="00461106"/>
    <w:rsid w:val="0046110A"/>
    <w:rsid w:val="00461175"/>
    <w:rsid w:val="004614E8"/>
    <w:rsid w:val="004617D6"/>
    <w:rsid w:val="0046188E"/>
    <w:rsid w:val="00461C06"/>
    <w:rsid w:val="00461C11"/>
    <w:rsid w:val="00461C72"/>
    <w:rsid w:val="00461CE9"/>
    <w:rsid w:val="00461F49"/>
    <w:rsid w:val="00461FA3"/>
    <w:rsid w:val="0046212A"/>
    <w:rsid w:val="00462195"/>
    <w:rsid w:val="00462407"/>
    <w:rsid w:val="0046252E"/>
    <w:rsid w:val="0046279E"/>
    <w:rsid w:val="004627BD"/>
    <w:rsid w:val="00462867"/>
    <w:rsid w:val="00462898"/>
    <w:rsid w:val="004629F7"/>
    <w:rsid w:val="00462CF5"/>
    <w:rsid w:val="00462D08"/>
    <w:rsid w:val="00462DB9"/>
    <w:rsid w:val="00462E83"/>
    <w:rsid w:val="00462ED8"/>
    <w:rsid w:val="00462FF2"/>
    <w:rsid w:val="00463042"/>
    <w:rsid w:val="00463068"/>
    <w:rsid w:val="004631DD"/>
    <w:rsid w:val="004635FD"/>
    <w:rsid w:val="00463655"/>
    <w:rsid w:val="004636B7"/>
    <w:rsid w:val="0046383C"/>
    <w:rsid w:val="004638D8"/>
    <w:rsid w:val="004639A2"/>
    <w:rsid w:val="004639D1"/>
    <w:rsid w:val="00463D16"/>
    <w:rsid w:val="00463EDC"/>
    <w:rsid w:val="00463FB7"/>
    <w:rsid w:val="00464074"/>
    <w:rsid w:val="0046407B"/>
    <w:rsid w:val="004640A8"/>
    <w:rsid w:val="0046427F"/>
    <w:rsid w:val="00464296"/>
    <w:rsid w:val="00464441"/>
    <w:rsid w:val="00464517"/>
    <w:rsid w:val="004647EA"/>
    <w:rsid w:val="0046482D"/>
    <w:rsid w:val="004648CE"/>
    <w:rsid w:val="004648EA"/>
    <w:rsid w:val="004649BA"/>
    <w:rsid w:val="004649E0"/>
    <w:rsid w:val="00464A1C"/>
    <w:rsid w:val="00464A6B"/>
    <w:rsid w:val="00464AE9"/>
    <w:rsid w:val="00464B23"/>
    <w:rsid w:val="00464B35"/>
    <w:rsid w:val="00464D2B"/>
    <w:rsid w:val="00464E59"/>
    <w:rsid w:val="00464EEC"/>
    <w:rsid w:val="0046501C"/>
    <w:rsid w:val="00465061"/>
    <w:rsid w:val="00465082"/>
    <w:rsid w:val="00465192"/>
    <w:rsid w:val="004654BF"/>
    <w:rsid w:val="004655A9"/>
    <w:rsid w:val="004658D1"/>
    <w:rsid w:val="004658EA"/>
    <w:rsid w:val="004658F4"/>
    <w:rsid w:val="00465919"/>
    <w:rsid w:val="00465C5C"/>
    <w:rsid w:val="00465CA5"/>
    <w:rsid w:val="00465CA9"/>
    <w:rsid w:val="00465DB9"/>
    <w:rsid w:val="00465FD2"/>
    <w:rsid w:val="0046600C"/>
    <w:rsid w:val="00466096"/>
    <w:rsid w:val="00466483"/>
    <w:rsid w:val="004665A5"/>
    <w:rsid w:val="004665C5"/>
    <w:rsid w:val="00466606"/>
    <w:rsid w:val="0046663B"/>
    <w:rsid w:val="00466674"/>
    <w:rsid w:val="004666BC"/>
    <w:rsid w:val="00466771"/>
    <w:rsid w:val="0046680D"/>
    <w:rsid w:val="00466966"/>
    <w:rsid w:val="00466A29"/>
    <w:rsid w:val="00466A3A"/>
    <w:rsid w:val="00466AA9"/>
    <w:rsid w:val="00466AC9"/>
    <w:rsid w:val="00466B2D"/>
    <w:rsid w:val="00466BC6"/>
    <w:rsid w:val="00466CF0"/>
    <w:rsid w:val="00466D67"/>
    <w:rsid w:val="00466D84"/>
    <w:rsid w:val="00466DEE"/>
    <w:rsid w:val="00466E3D"/>
    <w:rsid w:val="00466EA6"/>
    <w:rsid w:val="00466F97"/>
    <w:rsid w:val="00466F9B"/>
    <w:rsid w:val="0046700B"/>
    <w:rsid w:val="00467192"/>
    <w:rsid w:val="004671F8"/>
    <w:rsid w:val="00467309"/>
    <w:rsid w:val="004673CB"/>
    <w:rsid w:val="004673EE"/>
    <w:rsid w:val="00467418"/>
    <w:rsid w:val="00467435"/>
    <w:rsid w:val="00467505"/>
    <w:rsid w:val="00467513"/>
    <w:rsid w:val="00467528"/>
    <w:rsid w:val="00467689"/>
    <w:rsid w:val="00467804"/>
    <w:rsid w:val="004678E9"/>
    <w:rsid w:val="004679F9"/>
    <w:rsid w:val="00467B96"/>
    <w:rsid w:val="00467C0A"/>
    <w:rsid w:val="00467C67"/>
    <w:rsid w:val="00467E04"/>
    <w:rsid w:val="00467E24"/>
    <w:rsid w:val="0047008A"/>
    <w:rsid w:val="004700A5"/>
    <w:rsid w:val="004700B7"/>
    <w:rsid w:val="00470129"/>
    <w:rsid w:val="004701F0"/>
    <w:rsid w:val="0047031F"/>
    <w:rsid w:val="0047042B"/>
    <w:rsid w:val="004704D7"/>
    <w:rsid w:val="004707B3"/>
    <w:rsid w:val="00470837"/>
    <w:rsid w:val="00470885"/>
    <w:rsid w:val="0047091C"/>
    <w:rsid w:val="00470A3A"/>
    <w:rsid w:val="00470AA8"/>
    <w:rsid w:val="00470BBC"/>
    <w:rsid w:val="00470C56"/>
    <w:rsid w:val="00470C77"/>
    <w:rsid w:val="00470C94"/>
    <w:rsid w:val="00470D89"/>
    <w:rsid w:val="00470DB0"/>
    <w:rsid w:val="00470F6D"/>
    <w:rsid w:val="00470F87"/>
    <w:rsid w:val="00470FF7"/>
    <w:rsid w:val="00471057"/>
    <w:rsid w:val="004710E9"/>
    <w:rsid w:val="0047115A"/>
    <w:rsid w:val="0047129D"/>
    <w:rsid w:val="00471378"/>
    <w:rsid w:val="004713CB"/>
    <w:rsid w:val="00471793"/>
    <w:rsid w:val="004719A4"/>
    <w:rsid w:val="00471A67"/>
    <w:rsid w:val="00471C02"/>
    <w:rsid w:val="00471F08"/>
    <w:rsid w:val="00471F15"/>
    <w:rsid w:val="00472164"/>
    <w:rsid w:val="004722E5"/>
    <w:rsid w:val="0047233D"/>
    <w:rsid w:val="004723E7"/>
    <w:rsid w:val="004723FD"/>
    <w:rsid w:val="004724F5"/>
    <w:rsid w:val="0047252E"/>
    <w:rsid w:val="00472563"/>
    <w:rsid w:val="004725A4"/>
    <w:rsid w:val="00472615"/>
    <w:rsid w:val="0047281A"/>
    <w:rsid w:val="004728A0"/>
    <w:rsid w:val="004728E9"/>
    <w:rsid w:val="004729DB"/>
    <w:rsid w:val="00472BCB"/>
    <w:rsid w:val="00472C45"/>
    <w:rsid w:val="00472D95"/>
    <w:rsid w:val="00472DEE"/>
    <w:rsid w:val="00472FDB"/>
    <w:rsid w:val="00473028"/>
    <w:rsid w:val="00473059"/>
    <w:rsid w:val="004730EC"/>
    <w:rsid w:val="00473281"/>
    <w:rsid w:val="00473391"/>
    <w:rsid w:val="00473555"/>
    <w:rsid w:val="00473759"/>
    <w:rsid w:val="00473762"/>
    <w:rsid w:val="0047381D"/>
    <w:rsid w:val="004738B0"/>
    <w:rsid w:val="004739BA"/>
    <w:rsid w:val="00473BA0"/>
    <w:rsid w:val="00473BA6"/>
    <w:rsid w:val="00473D50"/>
    <w:rsid w:val="00473ECC"/>
    <w:rsid w:val="00474055"/>
    <w:rsid w:val="004740D4"/>
    <w:rsid w:val="004740EC"/>
    <w:rsid w:val="00474195"/>
    <w:rsid w:val="004742DD"/>
    <w:rsid w:val="004743B1"/>
    <w:rsid w:val="0047457A"/>
    <w:rsid w:val="00474584"/>
    <w:rsid w:val="004745C2"/>
    <w:rsid w:val="0047465D"/>
    <w:rsid w:val="00474925"/>
    <w:rsid w:val="00474965"/>
    <w:rsid w:val="00474995"/>
    <w:rsid w:val="00474A7B"/>
    <w:rsid w:val="00474AD3"/>
    <w:rsid w:val="00474AD6"/>
    <w:rsid w:val="00474D5F"/>
    <w:rsid w:val="00474EDA"/>
    <w:rsid w:val="00474F61"/>
    <w:rsid w:val="00475051"/>
    <w:rsid w:val="00475231"/>
    <w:rsid w:val="00475264"/>
    <w:rsid w:val="004753D1"/>
    <w:rsid w:val="0047548D"/>
    <w:rsid w:val="004754E5"/>
    <w:rsid w:val="004756D7"/>
    <w:rsid w:val="004757A9"/>
    <w:rsid w:val="00475926"/>
    <w:rsid w:val="00475932"/>
    <w:rsid w:val="004759DD"/>
    <w:rsid w:val="004759EF"/>
    <w:rsid w:val="00475A04"/>
    <w:rsid w:val="00475A6A"/>
    <w:rsid w:val="00475D31"/>
    <w:rsid w:val="00475D44"/>
    <w:rsid w:val="00475DD4"/>
    <w:rsid w:val="00475ED4"/>
    <w:rsid w:val="00476319"/>
    <w:rsid w:val="004765EE"/>
    <w:rsid w:val="004765FC"/>
    <w:rsid w:val="00476786"/>
    <w:rsid w:val="00476824"/>
    <w:rsid w:val="004768D8"/>
    <w:rsid w:val="00476A1B"/>
    <w:rsid w:val="00476B18"/>
    <w:rsid w:val="00476BA8"/>
    <w:rsid w:val="00476DA2"/>
    <w:rsid w:val="00476DCF"/>
    <w:rsid w:val="00477028"/>
    <w:rsid w:val="0047705B"/>
    <w:rsid w:val="004770B3"/>
    <w:rsid w:val="004774E6"/>
    <w:rsid w:val="004775E7"/>
    <w:rsid w:val="00477674"/>
    <w:rsid w:val="004776D6"/>
    <w:rsid w:val="004776F6"/>
    <w:rsid w:val="0047793C"/>
    <w:rsid w:val="00477AD9"/>
    <w:rsid w:val="00477B17"/>
    <w:rsid w:val="00477C98"/>
    <w:rsid w:val="00477D3E"/>
    <w:rsid w:val="00477DB0"/>
    <w:rsid w:val="00477E8D"/>
    <w:rsid w:val="00480039"/>
    <w:rsid w:val="00480138"/>
    <w:rsid w:val="004803F1"/>
    <w:rsid w:val="00480534"/>
    <w:rsid w:val="0048074C"/>
    <w:rsid w:val="00480865"/>
    <w:rsid w:val="004809F9"/>
    <w:rsid w:val="00480A37"/>
    <w:rsid w:val="00480B03"/>
    <w:rsid w:val="00480B6B"/>
    <w:rsid w:val="00480E7D"/>
    <w:rsid w:val="00480EA7"/>
    <w:rsid w:val="0048142B"/>
    <w:rsid w:val="0048143D"/>
    <w:rsid w:val="0048145F"/>
    <w:rsid w:val="00481539"/>
    <w:rsid w:val="0048168C"/>
    <w:rsid w:val="004817A4"/>
    <w:rsid w:val="004817BD"/>
    <w:rsid w:val="00481805"/>
    <w:rsid w:val="00481901"/>
    <w:rsid w:val="00481915"/>
    <w:rsid w:val="00481BD0"/>
    <w:rsid w:val="00481C38"/>
    <w:rsid w:val="00481DED"/>
    <w:rsid w:val="00481F1A"/>
    <w:rsid w:val="00481FAE"/>
    <w:rsid w:val="00482016"/>
    <w:rsid w:val="004822EE"/>
    <w:rsid w:val="00482345"/>
    <w:rsid w:val="004824AD"/>
    <w:rsid w:val="00482533"/>
    <w:rsid w:val="00482641"/>
    <w:rsid w:val="0048266E"/>
    <w:rsid w:val="004826C9"/>
    <w:rsid w:val="0048289B"/>
    <w:rsid w:val="00482A6F"/>
    <w:rsid w:val="00482AD4"/>
    <w:rsid w:val="00482B28"/>
    <w:rsid w:val="00482DDA"/>
    <w:rsid w:val="00482FB5"/>
    <w:rsid w:val="0048321E"/>
    <w:rsid w:val="0048328A"/>
    <w:rsid w:val="004833F3"/>
    <w:rsid w:val="00483412"/>
    <w:rsid w:val="0048342F"/>
    <w:rsid w:val="00483576"/>
    <w:rsid w:val="004835B9"/>
    <w:rsid w:val="00483892"/>
    <w:rsid w:val="00483921"/>
    <w:rsid w:val="00483A9F"/>
    <w:rsid w:val="00483BD6"/>
    <w:rsid w:val="00483D67"/>
    <w:rsid w:val="00483D8B"/>
    <w:rsid w:val="00483E48"/>
    <w:rsid w:val="004841C1"/>
    <w:rsid w:val="004842CE"/>
    <w:rsid w:val="00484646"/>
    <w:rsid w:val="00484703"/>
    <w:rsid w:val="0048475A"/>
    <w:rsid w:val="00484896"/>
    <w:rsid w:val="004848BD"/>
    <w:rsid w:val="004848D9"/>
    <w:rsid w:val="00484A5B"/>
    <w:rsid w:val="00484A9D"/>
    <w:rsid w:val="00484AEB"/>
    <w:rsid w:val="00484B69"/>
    <w:rsid w:val="00484BC8"/>
    <w:rsid w:val="00484C70"/>
    <w:rsid w:val="00484CB0"/>
    <w:rsid w:val="00484CEF"/>
    <w:rsid w:val="00484CFF"/>
    <w:rsid w:val="00484E62"/>
    <w:rsid w:val="00484E96"/>
    <w:rsid w:val="00484EBF"/>
    <w:rsid w:val="00484EED"/>
    <w:rsid w:val="0048514D"/>
    <w:rsid w:val="00485231"/>
    <w:rsid w:val="0048525B"/>
    <w:rsid w:val="004852FB"/>
    <w:rsid w:val="004854CA"/>
    <w:rsid w:val="004854D1"/>
    <w:rsid w:val="00485729"/>
    <w:rsid w:val="004859E4"/>
    <w:rsid w:val="00485B10"/>
    <w:rsid w:val="00485C18"/>
    <w:rsid w:val="00485CD3"/>
    <w:rsid w:val="00485D63"/>
    <w:rsid w:val="00485DDF"/>
    <w:rsid w:val="00485DE4"/>
    <w:rsid w:val="00485DEE"/>
    <w:rsid w:val="004860E8"/>
    <w:rsid w:val="004863C9"/>
    <w:rsid w:val="00486409"/>
    <w:rsid w:val="0048643A"/>
    <w:rsid w:val="004864D9"/>
    <w:rsid w:val="004866FD"/>
    <w:rsid w:val="00486885"/>
    <w:rsid w:val="004868C9"/>
    <w:rsid w:val="00486B0E"/>
    <w:rsid w:val="00486B27"/>
    <w:rsid w:val="00486B34"/>
    <w:rsid w:val="00486BA6"/>
    <w:rsid w:val="00486BB6"/>
    <w:rsid w:val="00486C4A"/>
    <w:rsid w:val="00486CFF"/>
    <w:rsid w:val="00486F10"/>
    <w:rsid w:val="00486F25"/>
    <w:rsid w:val="00486F85"/>
    <w:rsid w:val="00487218"/>
    <w:rsid w:val="00487265"/>
    <w:rsid w:val="004874BA"/>
    <w:rsid w:val="0048762A"/>
    <w:rsid w:val="0048764F"/>
    <w:rsid w:val="00487718"/>
    <w:rsid w:val="004878CC"/>
    <w:rsid w:val="00487B0C"/>
    <w:rsid w:val="00487DDA"/>
    <w:rsid w:val="00487F35"/>
    <w:rsid w:val="00487F52"/>
    <w:rsid w:val="0049021D"/>
    <w:rsid w:val="00490236"/>
    <w:rsid w:val="00490296"/>
    <w:rsid w:val="004902FC"/>
    <w:rsid w:val="004904E4"/>
    <w:rsid w:val="004906AC"/>
    <w:rsid w:val="004906BD"/>
    <w:rsid w:val="00490B2A"/>
    <w:rsid w:val="00490BA1"/>
    <w:rsid w:val="00490BB1"/>
    <w:rsid w:val="00490E1D"/>
    <w:rsid w:val="00490EBE"/>
    <w:rsid w:val="00490F44"/>
    <w:rsid w:val="00490FE0"/>
    <w:rsid w:val="0049121B"/>
    <w:rsid w:val="004913DE"/>
    <w:rsid w:val="0049144C"/>
    <w:rsid w:val="0049151F"/>
    <w:rsid w:val="0049174D"/>
    <w:rsid w:val="0049175C"/>
    <w:rsid w:val="00491776"/>
    <w:rsid w:val="004917F4"/>
    <w:rsid w:val="00491862"/>
    <w:rsid w:val="0049187C"/>
    <w:rsid w:val="0049190A"/>
    <w:rsid w:val="00491B06"/>
    <w:rsid w:val="00491CFA"/>
    <w:rsid w:val="00491DB4"/>
    <w:rsid w:val="00491E40"/>
    <w:rsid w:val="00491ECB"/>
    <w:rsid w:val="00492083"/>
    <w:rsid w:val="00492277"/>
    <w:rsid w:val="00492291"/>
    <w:rsid w:val="0049244F"/>
    <w:rsid w:val="00492499"/>
    <w:rsid w:val="00492650"/>
    <w:rsid w:val="0049274F"/>
    <w:rsid w:val="0049278A"/>
    <w:rsid w:val="004927D5"/>
    <w:rsid w:val="0049280E"/>
    <w:rsid w:val="004928BC"/>
    <w:rsid w:val="00492923"/>
    <w:rsid w:val="0049295E"/>
    <w:rsid w:val="00492973"/>
    <w:rsid w:val="00492A63"/>
    <w:rsid w:val="00492A82"/>
    <w:rsid w:val="00492D4F"/>
    <w:rsid w:val="00492F27"/>
    <w:rsid w:val="0049309F"/>
    <w:rsid w:val="00493177"/>
    <w:rsid w:val="004931FB"/>
    <w:rsid w:val="00493225"/>
    <w:rsid w:val="00493226"/>
    <w:rsid w:val="0049345A"/>
    <w:rsid w:val="004934B3"/>
    <w:rsid w:val="004935EF"/>
    <w:rsid w:val="0049375F"/>
    <w:rsid w:val="00493884"/>
    <w:rsid w:val="004939DA"/>
    <w:rsid w:val="00493AE8"/>
    <w:rsid w:val="00493B85"/>
    <w:rsid w:val="00493DC2"/>
    <w:rsid w:val="00493E2D"/>
    <w:rsid w:val="00493F08"/>
    <w:rsid w:val="00494197"/>
    <w:rsid w:val="004941D6"/>
    <w:rsid w:val="0049420A"/>
    <w:rsid w:val="00494297"/>
    <w:rsid w:val="004943AE"/>
    <w:rsid w:val="004943B8"/>
    <w:rsid w:val="004943BC"/>
    <w:rsid w:val="0049444B"/>
    <w:rsid w:val="0049452C"/>
    <w:rsid w:val="004946D5"/>
    <w:rsid w:val="0049484D"/>
    <w:rsid w:val="00494B45"/>
    <w:rsid w:val="00494B9E"/>
    <w:rsid w:val="00494CA1"/>
    <w:rsid w:val="00494D06"/>
    <w:rsid w:val="00494DEA"/>
    <w:rsid w:val="00494FDD"/>
    <w:rsid w:val="0049502A"/>
    <w:rsid w:val="0049505C"/>
    <w:rsid w:val="00495193"/>
    <w:rsid w:val="00495232"/>
    <w:rsid w:val="004952D9"/>
    <w:rsid w:val="004954F8"/>
    <w:rsid w:val="0049563A"/>
    <w:rsid w:val="00495790"/>
    <w:rsid w:val="00495880"/>
    <w:rsid w:val="0049589F"/>
    <w:rsid w:val="00495977"/>
    <w:rsid w:val="00495A55"/>
    <w:rsid w:val="00495AA5"/>
    <w:rsid w:val="00495B98"/>
    <w:rsid w:val="00495B9E"/>
    <w:rsid w:val="00495CA8"/>
    <w:rsid w:val="00495F2B"/>
    <w:rsid w:val="00495F2C"/>
    <w:rsid w:val="00495F6A"/>
    <w:rsid w:val="0049602F"/>
    <w:rsid w:val="0049604D"/>
    <w:rsid w:val="0049615B"/>
    <w:rsid w:val="004961CF"/>
    <w:rsid w:val="004962B5"/>
    <w:rsid w:val="004962BA"/>
    <w:rsid w:val="004965D1"/>
    <w:rsid w:val="00496700"/>
    <w:rsid w:val="0049674B"/>
    <w:rsid w:val="0049677C"/>
    <w:rsid w:val="004969CC"/>
    <w:rsid w:val="00496A6A"/>
    <w:rsid w:val="00496B57"/>
    <w:rsid w:val="00496CB8"/>
    <w:rsid w:val="00496D72"/>
    <w:rsid w:val="00496ED9"/>
    <w:rsid w:val="00496F66"/>
    <w:rsid w:val="00496F97"/>
    <w:rsid w:val="00497073"/>
    <w:rsid w:val="004970BC"/>
    <w:rsid w:val="00497231"/>
    <w:rsid w:val="0049735B"/>
    <w:rsid w:val="00497474"/>
    <w:rsid w:val="004974B5"/>
    <w:rsid w:val="004974CF"/>
    <w:rsid w:val="00497582"/>
    <w:rsid w:val="004975C7"/>
    <w:rsid w:val="00497660"/>
    <w:rsid w:val="0049788F"/>
    <w:rsid w:val="00497A91"/>
    <w:rsid w:val="00497BC0"/>
    <w:rsid w:val="00497C21"/>
    <w:rsid w:val="00497E2D"/>
    <w:rsid w:val="00497E5C"/>
    <w:rsid w:val="00497F14"/>
    <w:rsid w:val="00497FA7"/>
    <w:rsid w:val="00497FFC"/>
    <w:rsid w:val="004A0035"/>
    <w:rsid w:val="004A025E"/>
    <w:rsid w:val="004A02C7"/>
    <w:rsid w:val="004A0481"/>
    <w:rsid w:val="004A050B"/>
    <w:rsid w:val="004A071A"/>
    <w:rsid w:val="004A0817"/>
    <w:rsid w:val="004A08D1"/>
    <w:rsid w:val="004A0AD4"/>
    <w:rsid w:val="004A0AF3"/>
    <w:rsid w:val="004A0D2E"/>
    <w:rsid w:val="004A0D4D"/>
    <w:rsid w:val="004A0DBA"/>
    <w:rsid w:val="004A0E08"/>
    <w:rsid w:val="004A0E31"/>
    <w:rsid w:val="004A0EF8"/>
    <w:rsid w:val="004A10E8"/>
    <w:rsid w:val="004A1183"/>
    <w:rsid w:val="004A11DC"/>
    <w:rsid w:val="004A1245"/>
    <w:rsid w:val="004A1298"/>
    <w:rsid w:val="004A12C9"/>
    <w:rsid w:val="004A1609"/>
    <w:rsid w:val="004A1A95"/>
    <w:rsid w:val="004A1C01"/>
    <w:rsid w:val="004A1CEE"/>
    <w:rsid w:val="004A1E7E"/>
    <w:rsid w:val="004A25C5"/>
    <w:rsid w:val="004A2732"/>
    <w:rsid w:val="004A27B8"/>
    <w:rsid w:val="004A2811"/>
    <w:rsid w:val="004A2846"/>
    <w:rsid w:val="004A28C1"/>
    <w:rsid w:val="004A28F2"/>
    <w:rsid w:val="004A2951"/>
    <w:rsid w:val="004A2AAF"/>
    <w:rsid w:val="004A2AF1"/>
    <w:rsid w:val="004A2C64"/>
    <w:rsid w:val="004A2F93"/>
    <w:rsid w:val="004A2FB8"/>
    <w:rsid w:val="004A2FC3"/>
    <w:rsid w:val="004A315C"/>
    <w:rsid w:val="004A318A"/>
    <w:rsid w:val="004A32C0"/>
    <w:rsid w:val="004A32CA"/>
    <w:rsid w:val="004A3422"/>
    <w:rsid w:val="004A3576"/>
    <w:rsid w:val="004A3655"/>
    <w:rsid w:val="004A3684"/>
    <w:rsid w:val="004A3687"/>
    <w:rsid w:val="004A38E5"/>
    <w:rsid w:val="004A399F"/>
    <w:rsid w:val="004A3A34"/>
    <w:rsid w:val="004A3B8E"/>
    <w:rsid w:val="004A3CFE"/>
    <w:rsid w:val="004A3E7F"/>
    <w:rsid w:val="004A3FF2"/>
    <w:rsid w:val="004A3FFE"/>
    <w:rsid w:val="004A4355"/>
    <w:rsid w:val="004A4378"/>
    <w:rsid w:val="004A43C8"/>
    <w:rsid w:val="004A4454"/>
    <w:rsid w:val="004A4656"/>
    <w:rsid w:val="004A48B6"/>
    <w:rsid w:val="004A4956"/>
    <w:rsid w:val="004A49A2"/>
    <w:rsid w:val="004A4AF3"/>
    <w:rsid w:val="004A4C88"/>
    <w:rsid w:val="004A4D01"/>
    <w:rsid w:val="004A4D99"/>
    <w:rsid w:val="004A4E66"/>
    <w:rsid w:val="004A4E88"/>
    <w:rsid w:val="004A4FA1"/>
    <w:rsid w:val="004A5004"/>
    <w:rsid w:val="004A501F"/>
    <w:rsid w:val="004A53F6"/>
    <w:rsid w:val="004A5586"/>
    <w:rsid w:val="004A55BB"/>
    <w:rsid w:val="004A55FA"/>
    <w:rsid w:val="004A5684"/>
    <w:rsid w:val="004A56C4"/>
    <w:rsid w:val="004A56FA"/>
    <w:rsid w:val="004A57FA"/>
    <w:rsid w:val="004A59DC"/>
    <w:rsid w:val="004A5AA3"/>
    <w:rsid w:val="004A5AE9"/>
    <w:rsid w:val="004A5D94"/>
    <w:rsid w:val="004A5DA0"/>
    <w:rsid w:val="004A5DEF"/>
    <w:rsid w:val="004A5DFE"/>
    <w:rsid w:val="004A5E04"/>
    <w:rsid w:val="004A5E28"/>
    <w:rsid w:val="004A5EFE"/>
    <w:rsid w:val="004A5FC2"/>
    <w:rsid w:val="004A5FE9"/>
    <w:rsid w:val="004A60FA"/>
    <w:rsid w:val="004A64F6"/>
    <w:rsid w:val="004A651A"/>
    <w:rsid w:val="004A6591"/>
    <w:rsid w:val="004A6704"/>
    <w:rsid w:val="004A6881"/>
    <w:rsid w:val="004A6971"/>
    <w:rsid w:val="004A6B25"/>
    <w:rsid w:val="004A6B35"/>
    <w:rsid w:val="004A6BC3"/>
    <w:rsid w:val="004A6FAB"/>
    <w:rsid w:val="004A6FD7"/>
    <w:rsid w:val="004A6FE4"/>
    <w:rsid w:val="004A70CD"/>
    <w:rsid w:val="004A7104"/>
    <w:rsid w:val="004A73DD"/>
    <w:rsid w:val="004A73EE"/>
    <w:rsid w:val="004A7543"/>
    <w:rsid w:val="004A7544"/>
    <w:rsid w:val="004A7621"/>
    <w:rsid w:val="004A76ED"/>
    <w:rsid w:val="004A77FE"/>
    <w:rsid w:val="004A780D"/>
    <w:rsid w:val="004A7AD6"/>
    <w:rsid w:val="004A7B43"/>
    <w:rsid w:val="004A7C00"/>
    <w:rsid w:val="004A7C10"/>
    <w:rsid w:val="004A7C8D"/>
    <w:rsid w:val="004A7D2D"/>
    <w:rsid w:val="004A7DC7"/>
    <w:rsid w:val="004B0033"/>
    <w:rsid w:val="004B02C1"/>
    <w:rsid w:val="004B02F1"/>
    <w:rsid w:val="004B05E4"/>
    <w:rsid w:val="004B06C7"/>
    <w:rsid w:val="004B06D4"/>
    <w:rsid w:val="004B07F4"/>
    <w:rsid w:val="004B082A"/>
    <w:rsid w:val="004B08B8"/>
    <w:rsid w:val="004B0AE3"/>
    <w:rsid w:val="004B0CA7"/>
    <w:rsid w:val="004B0E6E"/>
    <w:rsid w:val="004B0EAF"/>
    <w:rsid w:val="004B0F0B"/>
    <w:rsid w:val="004B1095"/>
    <w:rsid w:val="004B10C0"/>
    <w:rsid w:val="004B1171"/>
    <w:rsid w:val="004B1411"/>
    <w:rsid w:val="004B151F"/>
    <w:rsid w:val="004B1531"/>
    <w:rsid w:val="004B1578"/>
    <w:rsid w:val="004B15D0"/>
    <w:rsid w:val="004B176C"/>
    <w:rsid w:val="004B177A"/>
    <w:rsid w:val="004B17DD"/>
    <w:rsid w:val="004B184B"/>
    <w:rsid w:val="004B1854"/>
    <w:rsid w:val="004B1869"/>
    <w:rsid w:val="004B191F"/>
    <w:rsid w:val="004B19A3"/>
    <w:rsid w:val="004B1C8F"/>
    <w:rsid w:val="004B1D3F"/>
    <w:rsid w:val="004B1EBE"/>
    <w:rsid w:val="004B2034"/>
    <w:rsid w:val="004B2172"/>
    <w:rsid w:val="004B2752"/>
    <w:rsid w:val="004B287E"/>
    <w:rsid w:val="004B292F"/>
    <w:rsid w:val="004B2A6B"/>
    <w:rsid w:val="004B2AEF"/>
    <w:rsid w:val="004B2D30"/>
    <w:rsid w:val="004B2D4D"/>
    <w:rsid w:val="004B2FF8"/>
    <w:rsid w:val="004B301C"/>
    <w:rsid w:val="004B30A4"/>
    <w:rsid w:val="004B3140"/>
    <w:rsid w:val="004B3162"/>
    <w:rsid w:val="004B3176"/>
    <w:rsid w:val="004B3188"/>
    <w:rsid w:val="004B334D"/>
    <w:rsid w:val="004B3668"/>
    <w:rsid w:val="004B376B"/>
    <w:rsid w:val="004B37F6"/>
    <w:rsid w:val="004B38BB"/>
    <w:rsid w:val="004B392E"/>
    <w:rsid w:val="004B3C5B"/>
    <w:rsid w:val="004B3C93"/>
    <w:rsid w:val="004B3DD7"/>
    <w:rsid w:val="004B3E03"/>
    <w:rsid w:val="004B40FD"/>
    <w:rsid w:val="004B410C"/>
    <w:rsid w:val="004B4180"/>
    <w:rsid w:val="004B4299"/>
    <w:rsid w:val="004B4485"/>
    <w:rsid w:val="004B454C"/>
    <w:rsid w:val="004B46D6"/>
    <w:rsid w:val="004B476C"/>
    <w:rsid w:val="004B4779"/>
    <w:rsid w:val="004B4889"/>
    <w:rsid w:val="004B48CF"/>
    <w:rsid w:val="004B4AFF"/>
    <w:rsid w:val="004B4BA4"/>
    <w:rsid w:val="004B4D1D"/>
    <w:rsid w:val="004B4E9D"/>
    <w:rsid w:val="004B4EC2"/>
    <w:rsid w:val="004B50E2"/>
    <w:rsid w:val="004B50E6"/>
    <w:rsid w:val="004B5219"/>
    <w:rsid w:val="004B52C0"/>
    <w:rsid w:val="004B557F"/>
    <w:rsid w:val="004B558D"/>
    <w:rsid w:val="004B562C"/>
    <w:rsid w:val="004B585C"/>
    <w:rsid w:val="004B587C"/>
    <w:rsid w:val="004B588B"/>
    <w:rsid w:val="004B5894"/>
    <w:rsid w:val="004B5A24"/>
    <w:rsid w:val="004B5D17"/>
    <w:rsid w:val="004B5F55"/>
    <w:rsid w:val="004B5F66"/>
    <w:rsid w:val="004B606A"/>
    <w:rsid w:val="004B609E"/>
    <w:rsid w:val="004B6155"/>
    <w:rsid w:val="004B615E"/>
    <w:rsid w:val="004B624C"/>
    <w:rsid w:val="004B62E9"/>
    <w:rsid w:val="004B6385"/>
    <w:rsid w:val="004B63B2"/>
    <w:rsid w:val="004B64FB"/>
    <w:rsid w:val="004B65C2"/>
    <w:rsid w:val="004B696A"/>
    <w:rsid w:val="004B6FBB"/>
    <w:rsid w:val="004B7246"/>
    <w:rsid w:val="004B729C"/>
    <w:rsid w:val="004B72DE"/>
    <w:rsid w:val="004B740D"/>
    <w:rsid w:val="004B74EA"/>
    <w:rsid w:val="004B76CA"/>
    <w:rsid w:val="004B779E"/>
    <w:rsid w:val="004B77AD"/>
    <w:rsid w:val="004B7853"/>
    <w:rsid w:val="004B793F"/>
    <w:rsid w:val="004B797E"/>
    <w:rsid w:val="004B7A9D"/>
    <w:rsid w:val="004B7C19"/>
    <w:rsid w:val="004B7C63"/>
    <w:rsid w:val="004B7CDA"/>
    <w:rsid w:val="004B7EE2"/>
    <w:rsid w:val="004B7F1D"/>
    <w:rsid w:val="004B7FE4"/>
    <w:rsid w:val="004C004D"/>
    <w:rsid w:val="004C0059"/>
    <w:rsid w:val="004C01AA"/>
    <w:rsid w:val="004C01AB"/>
    <w:rsid w:val="004C01F4"/>
    <w:rsid w:val="004C02C2"/>
    <w:rsid w:val="004C02F3"/>
    <w:rsid w:val="004C0315"/>
    <w:rsid w:val="004C0502"/>
    <w:rsid w:val="004C054C"/>
    <w:rsid w:val="004C06BF"/>
    <w:rsid w:val="004C0708"/>
    <w:rsid w:val="004C0825"/>
    <w:rsid w:val="004C0AB4"/>
    <w:rsid w:val="004C0ECE"/>
    <w:rsid w:val="004C10C8"/>
    <w:rsid w:val="004C10E8"/>
    <w:rsid w:val="004C112A"/>
    <w:rsid w:val="004C11CC"/>
    <w:rsid w:val="004C13EC"/>
    <w:rsid w:val="004C14E2"/>
    <w:rsid w:val="004C14E5"/>
    <w:rsid w:val="004C15A2"/>
    <w:rsid w:val="004C1668"/>
    <w:rsid w:val="004C1741"/>
    <w:rsid w:val="004C1B7D"/>
    <w:rsid w:val="004C1C3C"/>
    <w:rsid w:val="004C1CE0"/>
    <w:rsid w:val="004C1EB0"/>
    <w:rsid w:val="004C1F66"/>
    <w:rsid w:val="004C1F6B"/>
    <w:rsid w:val="004C1FBB"/>
    <w:rsid w:val="004C2453"/>
    <w:rsid w:val="004C2483"/>
    <w:rsid w:val="004C24FE"/>
    <w:rsid w:val="004C2530"/>
    <w:rsid w:val="004C2586"/>
    <w:rsid w:val="004C28DE"/>
    <w:rsid w:val="004C2A39"/>
    <w:rsid w:val="004C2B3E"/>
    <w:rsid w:val="004C2BAB"/>
    <w:rsid w:val="004C2F8F"/>
    <w:rsid w:val="004C2FC2"/>
    <w:rsid w:val="004C3048"/>
    <w:rsid w:val="004C3290"/>
    <w:rsid w:val="004C3391"/>
    <w:rsid w:val="004C3460"/>
    <w:rsid w:val="004C347C"/>
    <w:rsid w:val="004C3486"/>
    <w:rsid w:val="004C34D1"/>
    <w:rsid w:val="004C34D2"/>
    <w:rsid w:val="004C3541"/>
    <w:rsid w:val="004C35C6"/>
    <w:rsid w:val="004C3633"/>
    <w:rsid w:val="004C3829"/>
    <w:rsid w:val="004C3D73"/>
    <w:rsid w:val="004C3D89"/>
    <w:rsid w:val="004C3EC7"/>
    <w:rsid w:val="004C40B8"/>
    <w:rsid w:val="004C40BF"/>
    <w:rsid w:val="004C40D1"/>
    <w:rsid w:val="004C412F"/>
    <w:rsid w:val="004C417B"/>
    <w:rsid w:val="004C425A"/>
    <w:rsid w:val="004C4320"/>
    <w:rsid w:val="004C4374"/>
    <w:rsid w:val="004C437C"/>
    <w:rsid w:val="004C43ED"/>
    <w:rsid w:val="004C4447"/>
    <w:rsid w:val="004C4658"/>
    <w:rsid w:val="004C4823"/>
    <w:rsid w:val="004C4838"/>
    <w:rsid w:val="004C4954"/>
    <w:rsid w:val="004C4A90"/>
    <w:rsid w:val="004C4C1C"/>
    <w:rsid w:val="004C4D01"/>
    <w:rsid w:val="004C4D10"/>
    <w:rsid w:val="004C4D9B"/>
    <w:rsid w:val="004C4E0F"/>
    <w:rsid w:val="004C4E37"/>
    <w:rsid w:val="004C5023"/>
    <w:rsid w:val="004C5055"/>
    <w:rsid w:val="004C5245"/>
    <w:rsid w:val="004C54FE"/>
    <w:rsid w:val="004C5562"/>
    <w:rsid w:val="004C55DE"/>
    <w:rsid w:val="004C5694"/>
    <w:rsid w:val="004C56DC"/>
    <w:rsid w:val="004C5720"/>
    <w:rsid w:val="004C5795"/>
    <w:rsid w:val="004C57EE"/>
    <w:rsid w:val="004C59FC"/>
    <w:rsid w:val="004C5A2A"/>
    <w:rsid w:val="004C5A36"/>
    <w:rsid w:val="004C5AE8"/>
    <w:rsid w:val="004C5D3A"/>
    <w:rsid w:val="004C5EE4"/>
    <w:rsid w:val="004C5EF9"/>
    <w:rsid w:val="004C5F09"/>
    <w:rsid w:val="004C5F3D"/>
    <w:rsid w:val="004C5F81"/>
    <w:rsid w:val="004C6159"/>
    <w:rsid w:val="004C6160"/>
    <w:rsid w:val="004C660C"/>
    <w:rsid w:val="004C683E"/>
    <w:rsid w:val="004C6B12"/>
    <w:rsid w:val="004C6B41"/>
    <w:rsid w:val="004C6B9F"/>
    <w:rsid w:val="004C6C01"/>
    <w:rsid w:val="004C6C6A"/>
    <w:rsid w:val="004C6C8F"/>
    <w:rsid w:val="004C6D37"/>
    <w:rsid w:val="004C6F04"/>
    <w:rsid w:val="004C7044"/>
    <w:rsid w:val="004C7191"/>
    <w:rsid w:val="004C71CB"/>
    <w:rsid w:val="004C720F"/>
    <w:rsid w:val="004C7580"/>
    <w:rsid w:val="004C75E9"/>
    <w:rsid w:val="004C7686"/>
    <w:rsid w:val="004C78B9"/>
    <w:rsid w:val="004C7A1D"/>
    <w:rsid w:val="004C7A50"/>
    <w:rsid w:val="004C7A6C"/>
    <w:rsid w:val="004C7B92"/>
    <w:rsid w:val="004C7C29"/>
    <w:rsid w:val="004C7D20"/>
    <w:rsid w:val="004C7E14"/>
    <w:rsid w:val="004C7E8D"/>
    <w:rsid w:val="004C7EE3"/>
    <w:rsid w:val="004D00CB"/>
    <w:rsid w:val="004D02B5"/>
    <w:rsid w:val="004D0322"/>
    <w:rsid w:val="004D033D"/>
    <w:rsid w:val="004D045F"/>
    <w:rsid w:val="004D04EA"/>
    <w:rsid w:val="004D05CB"/>
    <w:rsid w:val="004D073C"/>
    <w:rsid w:val="004D0786"/>
    <w:rsid w:val="004D0815"/>
    <w:rsid w:val="004D097E"/>
    <w:rsid w:val="004D0ACB"/>
    <w:rsid w:val="004D0D23"/>
    <w:rsid w:val="004D0D67"/>
    <w:rsid w:val="004D0FEA"/>
    <w:rsid w:val="004D10F7"/>
    <w:rsid w:val="004D11F8"/>
    <w:rsid w:val="004D1245"/>
    <w:rsid w:val="004D146E"/>
    <w:rsid w:val="004D14B3"/>
    <w:rsid w:val="004D14F2"/>
    <w:rsid w:val="004D15F1"/>
    <w:rsid w:val="004D1817"/>
    <w:rsid w:val="004D18EA"/>
    <w:rsid w:val="004D1D8D"/>
    <w:rsid w:val="004D1D91"/>
    <w:rsid w:val="004D1E48"/>
    <w:rsid w:val="004D1ED3"/>
    <w:rsid w:val="004D2122"/>
    <w:rsid w:val="004D225E"/>
    <w:rsid w:val="004D23E2"/>
    <w:rsid w:val="004D2480"/>
    <w:rsid w:val="004D2508"/>
    <w:rsid w:val="004D2671"/>
    <w:rsid w:val="004D26BB"/>
    <w:rsid w:val="004D2708"/>
    <w:rsid w:val="004D27B5"/>
    <w:rsid w:val="004D2891"/>
    <w:rsid w:val="004D28A6"/>
    <w:rsid w:val="004D28F6"/>
    <w:rsid w:val="004D2A72"/>
    <w:rsid w:val="004D2AAE"/>
    <w:rsid w:val="004D2AEA"/>
    <w:rsid w:val="004D2D0C"/>
    <w:rsid w:val="004D2F35"/>
    <w:rsid w:val="004D30AE"/>
    <w:rsid w:val="004D325C"/>
    <w:rsid w:val="004D34F9"/>
    <w:rsid w:val="004D3555"/>
    <w:rsid w:val="004D3591"/>
    <w:rsid w:val="004D365F"/>
    <w:rsid w:val="004D36CC"/>
    <w:rsid w:val="004D3752"/>
    <w:rsid w:val="004D3A4A"/>
    <w:rsid w:val="004D3A62"/>
    <w:rsid w:val="004D3B9D"/>
    <w:rsid w:val="004D3C7D"/>
    <w:rsid w:val="004D3E71"/>
    <w:rsid w:val="004D3F8B"/>
    <w:rsid w:val="004D4170"/>
    <w:rsid w:val="004D418A"/>
    <w:rsid w:val="004D41F9"/>
    <w:rsid w:val="004D4242"/>
    <w:rsid w:val="004D432B"/>
    <w:rsid w:val="004D446F"/>
    <w:rsid w:val="004D4607"/>
    <w:rsid w:val="004D4696"/>
    <w:rsid w:val="004D498C"/>
    <w:rsid w:val="004D4B4E"/>
    <w:rsid w:val="004D4C66"/>
    <w:rsid w:val="004D4CC8"/>
    <w:rsid w:val="004D4E4C"/>
    <w:rsid w:val="004D4E8A"/>
    <w:rsid w:val="004D4E98"/>
    <w:rsid w:val="004D4EB2"/>
    <w:rsid w:val="004D4FC1"/>
    <w:rsid w:val="004D5053"/>
    <w:rsid w:val="004D5341"/>
    <w:rsid w:val="004D544F"/>
    <w:rsid w:val="004D557A"/>
    <w:rsid w:val="004D57E5"/>
    <w:rsid w:val="004D5842"/>
    <w:rsid w:val="004D5894"/>
    <w:rsid w:val="004D58E7"/>
    <w:rsid w:val="004D5B5D"/>
    <w:rsid w:val="004D5BB9"/>
    <w:rsid w:val="004D5C9E"/>
    <w:rsid w:val="004D5E29"/>
    <w:rsid w:val="004D5E6C"/>
    <w:rsid w:val="004D5F30"/>
    <w:rsid w:val="004D6003"/>
    <w:rsid w:val="004D61C4"/>
    <w:rsid w:val="004D6305"/>
    <w:rsid w:val="004D63AD"/>
    <w:rsid w:val="004D64F9"/>
    <w:rsid w:val="004D6677"/>
    <w:rsid w:val="004D6771"/>
    <w:rsid w:val="004D67B0"/>
    <w:rsid w:val="004D6AFA"/>
    <w:rsid w:val="004D6B41"/>
    <w:rsid w:val="004D6B9E"/>
    <w:rsid w:val="004D6D48"/>
    <w:rsid w:val="004D6E26"/>
    <w:rsid w:val="004D6EFB"/>
    <w:rsid w:val="004D6F1F"/>
    <w:rsid w:val="004D6F30"/>
    <w:rsid w:val="004D7136"/>
    <w:rsid w:val="004D727F"/>
    <w:rsid w:val="004D7299"/>
    <w:rsid w:val="004D72CF"/>
    <w:rsid w:val="004D72E6"/>
    <w:rsid w:val="004D7373"/>
    <w:rsid w:val="004D741C"/>
    <w:rsid w:val="004D7547"/>
    <w:rsid w:val="004D7ACC"/>
    <w:rsid w:val="004D7D02"/>
    <w:rsid w:val="004D7F86"/>
    <w:rsid w:val="004E0013"/>
    <w:rsid w:val="004E005E"/>
    <w:rsid w:val="004E012A"/>
    <w:rsid w:val="004E01BB"/>
    <w:rsid w:val="004E02D5"/>
    <w:rsid w:val="004E0509"/>
    <w:rsid w:val="004E0523"/>
    <w:rsid w:val="004E065D"/>
    <w:rsid w:val="004E0A3F"/>
    <w:rsid w:val="004E0CB3"/>
    <w:rsid w:val="004E0FE1"/>
    <w:rsid w:val="004E1167"/>
    <w:rsid w:val="004E1233"/>
    <w:rsid w:val="004E159A"/>
    <w:rsid w:val="004E15B2"/>
    <w:rsid w:val="004E15CE"/>
    <w:rsid w:val="004E168D"/>
    <w:rsid w:val="004E16E8"/>
    <w:rsid w:val="004E1826"/>
    <w:rsid w:val="004E18D7"/>
    <w:rsid w:val="004E1BB2"/>
    <w:rsid w:val="004E1C53"/>
    <w:rsid w:val="004E1C94"/>
    <w:rsid w:val="004E1E1B"/>
    <w:rsid w:val="004E213B"/>
    <w:rsid w:val="004E239F"/>
    <w:rsid w:val="004E259C"/>
    <w:rsid w:val="004E25BC"/>
    <w:rsid w:val="004E285B"/>
    <w:rsid w:val="004E288F"/>
    <w:rsid w:val="004E28C6"/>
    <w:rsid w:val="004E29D2"/>
    <w:rsid w:val="004E2AAB"/>
    <w:rsid w:val="004E2B54"/>
    <w:rsid w:val="004E2BB4"/>
    <w:rsid w:val="004E2D10"/>
    <w:rsid w:val="004E316C"/>
    <w:rsid w:val="004E319F"/>
    <w:rsid w:val="004E32D2"/>
    <w:rsid w:val="004E33E9"/>
    <w:rsid w:val="004E34DC"/>
    <w:rsid w:val="004E35E9"/>
    <w:rsid w:val="004E3716"/>
    <w:rsid w:val="004E3914"/>
    <w:rsid w:val="004E3A03"/>
    <w:rsid w:val="004E3A5C"/>
    <w:rsid w:val="004E3B36"/>
    <w:rsid w:val="004E3E05"/>
    <w:rsid w:val="004E4024"/>
    <w:rsid w:val="004E4058"/>
    <w:rsid w:val="004E40C6"/>
    <w:rsid w:val="004E4189"/>
    <w:rsid w:val="004E426E"/>
    <w:rsid w:val="004E42BF"/>
    <w:rsid w:val="004E434A"/>
    <w:rsid w:val="004E43B2"/>
    <w:rsid w:val="004E43F6"/>
    <w:rsid w:val="004E4469"/>
    <w:rsid w:val="004E4580"/>
    <w:rsid w:val="004E4853"/>
    <w:rsid w:val="004E487C"/>
    <w:rsid w:val="004E48B6"/>
    <w:rsid w:val="004E48C4"/>
    <w:rsid w:val="004E495F"/>
    <w:rsid w:val="004E4B1B"/>
    <w:rsid w:val="004E4D78"/>
    <w:rsid w:val="004E4E65"/>
    <w:rsid w:val="004E50AF"/>
    <w:rsid w:val="004E50C0"/>
    <w:rsid w:val="004E51DB"/>
    <w:rsid w:val="004E52E4"/>
    <w:rsid w:val="004E5349"/>
    <w:rsid w:val="004E537A"/>
    <w:rsid w:val="004E5451"/>
    <w:rsid w:val="004E5778"/>
    <w:rsid w:val="004E596E"/>
    <w:rsid w:val="004E5AF5"/>
    <w:rsid w:val="004E5B23"/>
    <w:rsid w:val="004E5B64"/>
    <w:rsid w:val="004E5BC5"/>
    <w:rsid w:val="004E5BCA"/>
    <w:rsid w:val="004E5C59"/>
    <w:rsid w:val="004E5D5D"/>
    <w:rsid w:val="004E5DD4"/>
    <w:rsid w:val="004E5E51"/>
    <w:rsid w:val="004E5E73"/>
    <w:rsid w:val="004E6038"/>
    <w:rsid w:val="004E60BE"/>
    <w:rsid w:val="004E612C"/>
    <w:rsid w:val="004E62BC"/>
    <w:rsid w:val="004E6366"/>
    <w:rsid w:val="004E63D5"/>
    <w:rsid w:val="004E63DB"/>
    <w:rsid w:val="004E6459"/>
    <w:rsid w:val="004E671E"/>
    <w:rsid w:val="004E6A24"/>
    <w:rsid w:val="004E6B82"/>
    <w:rsid w:val="004E6CC6"/>
    <w:rsid w:val="004E6D05"/>
    <w:rsid w:val="004E6DE1"/>
    <w:rsid w:val="004E6F30"/>
    <w:rsid w:val="004E70AD"/>
    <w:rsid w:val="004E716E"/>
    <w:rsid w:val="004E729B"/>
    <w:rsid w:val="004E73CB"/>
    <w:rsid w:val="004E76E9"/>
    <w:rsid w:val="004E77EA"/>
    <w:rsid w:val="004E783F"/>
    <w:rsid w:val="004E7853"/>
    <w:rsid w:val="004E7911"/>
    <w:rsid w:val="004E7AEC"/>
    <w:rsid w:val="004E7D39"/>
    <w:rsid w:val="004E7DAB"/>
    <w:rsid w:val="004F00D4"/>
    <w:rsid w:val="004F024D"/>
    <w:rsid w:val="004F0261"/>
    <w:rsid w:val="004F0306"/>
    <w:rsid w:val="004F0349"/>
    <w:rsid w:val="004F0541"/>
    <w:rsid w:val="004F06EC"/>
    <w:rsid w:val="004F0771"/>
    <w:rsid w:val="004F07DE"/>
    <w:rsid w:val="004F0836"/>
    <w:rsid w:val="004F08DE"/>
    <w:rsid w:val="004F0967"/>
    <w:rsid w:val="004F0A3F"/>
    <w:rsid w:val="004F0AC9"/>
    <w:rsid w:val="004F0D24"/>
    <w:rsid w:val="004F0E1E"/>
    <w:rsid w:val="004F0E35"/>
    <w:rsid w:val="004F0F8F"/>
    <w:rsid w:val="004F0FEF"/>
    <w:rsid w:val="004F109A"/>
    <w:rsid w:val="004F10E0"/>
    <w:rsid w:val="004F130F"/>
    <w:rsid w:val="004F138F"/>
    <w:rsid w:val="004F1431"/>
    <w:rsid w:val="004F1772"/>
    <w:rsid w:val="004F184F"/>
    <w:rsid w:val="004F18F4"/>
    <w:rsid w:val="004F1990"/>
    <w:rsid w:val="004F19DE"/>
    <w:rsid w:val="004F1A51"/>
    <w:rsid w:val="004F1F06"/>
    <w:rsid w:val="004F20FA"/>
    <w:rsid w:val="004F2155"/>
    <w:rsid w:val="004F24FB"/>
    <w:rsid w:val="004F2688"/>
    <w:rsid w:val="004F2B9D"/>
    <w:rsid w:val="004F2D0A"/>
    <w:rsid w:val="004F2E95"/>
    <w:rsid w:val="004F2E96"/>
    <w:rsid w:val="004F2FB6"/>
    <w:rsid w:val="004F2FBB"/>
    <w:rsid w:val="004F2FF9"/>
    <w:rsid w:val="004F305C"/>
    <w:rsid w:val="004F3309"/>
    <w:rsid w:val="004F33A2"/>
    <w:rsid w:val="004F3501"/>
    <w:rsid w:val="004F379A"/>
    <w:rsid w:val="004F38C2"/>
    <w:rsid w:val="004F3984"/>
    <w:rsid w:val="004F39FC"/>
    <w:rsid w:val="004F3A35"/>
    <w:rsid w:val="004F3BE9"/>
    <w:rsid w:val="004F3BEA"/>
    <w:rsid w:val="004F3D29"/>
    <w:rsid w:val="004F409A"/>
    <w:rsid w:val="004F40FC"/>
    <w:rsid w:val="004F4114"/>
    <w:rsid w:val="004F420C"/>
    <w:rsid w:val="004F431E"/>
    <w:rsid w:val="004F439A"/>
    <w:rsid w:val="004F446F"/>
    <w:rsid w:val="004F448C"/>
    <w:rsid w:val="004F44E3"/>
    <w:rsid w:val="004F4638"/>
    <w:rsid w:val="004F4742"/>
    <w:rsid w:val="004F4776"/>
    <w:rsid w:val="004F487C"/>
    <w:rsid w:val="004F4A6D"/>
    <w:rsid w:val="004F4A71"/>
    <w:rsid w:val="004F4BF1"/>
    <w:rsid w:val="004F4CA2"/>
    <w:rsid w:val="004F4DD6"/>
    <w:rsid w:val="004F4DDE"/>
    <w:rsid w:val="004F4E4F"/>
    <w:rsid w:val="004F4E72"/>
    <w:rsid w:val="004F4E80"/>
    <w:rsid w:val="004F4F4B"/>
    <w:rsid w:val="004F4FE1"/>
    <w:rsid w:val="004F5054"/>
    <w:rsid w:val="004F50D4"/>
    <w:rsid w:val="004F50E6"/>
    <w:rsid w:val="004F514D"/>
    <w:rsid w:val="004F51E0"/>
    <w:rsid w:val="004F533E"/>
    <w:rsid w:val="004F5560"/>
    <w:rsid w:val="004F56F9"/>
    <w:rsid w:val="004F5AD8"/>
    <w:rsid w:val="004F5BCC"/>
    <w:rsid w:val="004F5BE0"/>
    <w:rsid w:val="004F5C6B"/>
    <w:rsid w:val="004F5D65"/>
    <w:rsid w:val="004F5DE6"/>
    <w:rsid w:val="004F5F34"/>
    <w:rsid w:val="004F5F71"/>
    <w:rsid w:val="004F5FB1"/>
    <w:rsid w:val="004F6216"/>
    <w:rsid w:val="004F622C"/>
    <w:rsid w:val="004F63AF"/>
    <w:rsid w:val="004F63E6"/>
    <w:rsid w:val="004F6437"/>
    <w:rsid w:val="004F65A0"/>
    <w:rsid w:val="004F66C0"/>
    <w:rsid w:val="004F67D2"/>
    <w:rsid w:val="004F685D"/>
    <w:rsid w:val="004F697C"/>
    <w:rsid w:val="004F6D80"/>
    <w:rsid w:val="004F6EE5"/>
    <w:rsid w:val="004F6FCE"/>
    <w:rsid w:val="004F7036"/>
    <w:rsid w:val="004F7166"/>
    <w:rsid w:val="004F73E3"/>
    <w:rsid w:val="004F73E8"/>
    <w:rsid w:val="004F75B4"/>
    <w:rsid w:val="004F75FC"/>
    <w:rsid w:val="004F774D"/>
    <w:rsid w:val="004F7804"/>
    <w:rsid w:val="004F78D0"/>
    <w:rsid w:val="004F7D1D"/>
    <w:rsid w:val="004F7E4C"/>
    <w:rsid w:val="004F7FF4"/>
    <w:rsid w:val="00500035"/>
    <w:rsid w:val="00500040"/>
    <w:rsid w:val="00500092"/>
    <w:rsid w:val="00500123"/>
    <w:rsid w:val="005001A5"/>
    <w:rsid w:val="005001CF"/>
    <w:rsid w:val="0050024E"/>
    <w:rsid w:val="005002A1"/>
    <w:rsid w:val="005003AE"/>
    <w:rsid w:val="0050047C"/>
    <w:rsid w:val="00500567"/>
    <w:rsid w:val="005005E8"/>
    <w:rsid w:val="005006B3"/>
    <w:rsid w:val="00500774"/>
    <w:rsid w:val="005008EA"/>
    <w:rsid w:val="00500A30"/>
    <w:rsid w:val="00500B1F"/>
    <w:rsid w:val="00500B70"/>
    <w:rsid w:val="00500B73"/>
    <w:rsid w:val="00500CD9"/>
    <w:rsid w:val="00500D76"/>
    <w:rsid w:val="00500D93"/>
    <w:rsid w:val="00500EF5"/>
    <w:rsid w:val="0050102C"/>
    <w:rsid w:val="005011E0"/>
    <w:rsid w:val="005011E1"/>
    <w:rsid w:val="005013E2"/>
    <w:rsid w:val="00501408"/>
    <w:rsid w:val="00501485"/>
    <w:rsid w:val="00501570"/>
    <w:rsid w:val="005017B0"/>
    <w:rsid w:val="00501940"/>
    <w:rsid w:val="005019EC"/>
    <w:rsid w:val="00501F13"/>
    <w:rsid w:val="0050215E"/>
    <w:rsid w:val="005021A7"/>
    <w:rsid w:val="005021C8"/>
    <w:rsid w:val="00502258"/>
    <w:rsid w:val="00502286"/>
    <w:rsid w:val="0050241E"/>
    <w:rsid w:val="00502441"/>
    <w:rsid w:val="00502802"/>
    <w:rsid w:val="00502997"/>
    <w:rsid w:val="0050299F"/>
    <w:rsid w:val="00502A18"/>
    <w:rsid w:val="00502B55"/>
    <w:rsid w:val="00502B67"/>
    <w:rsid w:val="00502BB3"/>
    <w:rsid w:val="00502E2B"/>
    <w:rsid w:val="00502E35"/>
    <w:rsid w:val="005030C2"/>
    <w:rsid w:val="005032F1"/>
    <w:rsid w:val="005033DF"/>
    <w:rsid w:val="0050352F"/>
    <w:rsid w:val="0050374C"/>
    <w:rsid w:val="0050378E"/>
    <w:rsid w:val="005037DE"/>
    <w:rsid w:val="005038D6"/>
    <w:rsid w:val="005039B9"/>
    <w:rsid w:val="00503BA2"/>
    <w:rsid w:val="00503BAA"/>
    <w:rsid w:val="00503C0A"/>
    <w:rsid w:val="00503C0D"/>
    <w:rsid w:val="00503C35"/>
    <w:rsid w:val="00504292"/>
    <w:rsid w:val="005043DB"/>
    <w:rsid w:val="005043F3"/>
    <w:rsid w:val="005044DA"/>
    <w:rsid w:val="005048E7"/>
    <w:rsid w:val="00504AAF"/>
    <w:rsid w:val="00504BD7"/>
    <w:rsid w:val="00504EF5"/>
    <w:rsid w:val="00504F2A"/>
    <w:rsid w:val="00504F8F"/>
    <w:rsid w:val="005050F2"/>
    <w:rsid w:val="005052C8"/>
    <w:rsid w:val="005052ED"/>
    <w:rsid w:val="005054B8"/>
    <w:rsid w:val="0050561E"/>
    <w:rsid w:val="0050570A"/>
    <w:rsid w:val="0050578C"/>
    <w:rsid w:val="00505808"/>
    <w:rsid w:val="00505A21"/>
    <w:rsid w:val="00505B1F"/>
    <w:rsid w:val="00505C09"/>
    <w:rsid w:val="00505C55"/>
    <w:rsid w:val="00505D04"/>
    <w:rsid w:val="00505DDE"/>
    <w:rsid w:val="00505E06"/>
    <w:rsid w:val="00505F58"/>
    <w:rsid w:val="0050605F"/>
    <w:rsid w:val="005061BF"/>
    <w:rsid w:val="005061CF"/>
    <w:rsid w:val="0050621D"/>
    <w:rsid w:val="005062A9"/>
    <w:rsid w:val="005062E7"/>
    <w:rsid w:val="005062EB"/>
    <w:rsid w:val="005063BA"/>
    <w:rsid w:val="00506598"/>
    <w:rsid w:val="0050660B"/>
    <w:rsid w:val="0050670B"/>
    <w:rsid w:val="0050677A"/>
    <w:rsid w:val="00506784"/>
    <w:rsid w:val="00506816"/>
    <w:rsid w:val="00506830"/>
    <w:rsid w:val="0050692F"/>
    <w:rsid w:val="00506960"/>
    <w:rsid w:val="00506D57"/>
    <w:rsid w:val="00506EA1"/>
    <w:rsid w:val="0050747F"/>
    <w:rsid w:val="0050774A"/>
    <w:rsid w:val="00507773"/>
    <w:rsid w:val="00507811"/>
    <w:rsid w:val="0050781A"/>
    <w:rsid w:val="00507994"/>
    <w:rsid w:val="005079E8"/>
    <w:rsid w:val="00507A01"/>
    <w:rsid w:val="00507A22"/>
    <w:rsid w:val="00507AE7"/>
    <w:rsid w:val="00507B20"/>
    <w:rsid w:val="00507B9A"/>
    <w:rsid w:val="00507C39"/>
    <w:rsid w:val="00507E5E"/>
    <w:rsid w:val="00507EDB"/>
    <w:rsid w:val="00507F76"/>
    <w:rsid w:val="00507FA8"/>
    <w:rsid w:val="00510016"/>
    <w:rsid w:val="00510266"/>
    <w:rsid w:val="00510350"/>
    <w:rsid w:val="00510493"/>
    <w:rsid w:val="005105C0"/>
    <w:rsid w:val="005106EE"/>
    <w:rsid w:val="005108D9"/>
    <w:rsid w:val="00510907"/>
    <w:rsid w:val="00510B6B"/>
    <w:rsid w:val="00510B8A"/>
    <w:rsid w:val="00510BD1"/>
    <w:rsid w:val="00510C02"/>
    <w:rsid w:val="00510C5E"/>
    <w:rsid w:val="00510D33"/>
    <w:rsid w:val="00510F36"/>
    <w:rsid w:val="00511110"/>
    <w:rsid w:val="0051115D"/>
    <w:rsid w:val="00511166"/>
    <w:rsid w:val="005111FF"/>
    <w:rsid w:val="00511336"/>
    <w:rsid w:val="00511745"/>
    <w:rsid w:val="005117BB"/>
    <w:rsid w:val="00511AA6"/>
    <w:rsid w:val="00511B29"/>
    <w:rsid w:val="0051203F"/>
    <w:rsid w:val="005120BC"/>
    <w:rsid w:val="00512191"/>
    <w:rsid w:val="00512310"/>
    <w:rsid w:val="00512317"/>
    <w:rsid w:val="0051246F"/>
    <w:rsid w:val="005124ED"/>
    <w:rsid w:val="00512526"/>
    <w:rsid w:val="0051252E"/>
    <w:rsid w:val="00512570"/>
    <w:rsid w:val="005127DD"/>
    <w:rsid w:val="005129B5"/>
    <w:rsid w:val="00512A58"/>
    <w:rsid w:val="00512A9C"/>
    <w:rsid w:val="00512AD4"/>
    <w:rsid w:val="00512CB9"/>
    <w:rsid w:val="00512D70"/>
    <w:rsid w:val="00512E90"/>
    <w:rsid w:val="00513037"/>
    <w:rsid w:val="0051313C"/>
    <w:rsid w:val="00513141"/>
    <w:rsid w:val="005131DE"/>
    <w:rsid w:val="00513457"/>
    <w:rsid w:val="00513623"/>
    <w:rsid w:val="0051367D"/>
    <w:rsid w:val="005136FC"/>
    <w:rsid w:val="005137AC"/>
    <w:rsid w:val="00513975"/>
    <w:rsid w:val="00513989"/>
    <w:rsid w:val="00513A53"/>
    <w:rsid w:val="00513A82"/>
    <w:rsid w:val="00513D7B"/>
    <w:rsid w:val="00513FC8"/>
    <w:rsid w:val="00514057"/>
    <w:rsid w:val="00514186"/>
    <w:rsid w:val="005141E8"/>
    <w:rsid w:val="005143AB"/>
    <w:rsid w:val="005143E2"/>
    <w:rsid w:val="005145CE"/>
    <w:rsid w:val="005145FE"/>
    <w:rsid w:val="0051464F"/>
    <w:rsid w:val="00514679"/>
    <w:rsid w:val="0051469A"/>
    <w:rsid w:val="00514964"/>
    <w:rsid w:val="005149D8"/>
    <w:rsid w:val="00514A4A"/>
    <w:rsid w:val="00514A5A"/>
    <w:rsid w:val="00514B1B"/>
    <w:rsid w:val="00514B2D"/>
    <w:rsid w:val="00514C31"/>
    <w:rsid w:val="00514C68"/>
    <w:rsid w:val="00514CCE"/>
    <w:rsid w:val="00514D0E"/>
    <w:rsid w:val="00515145"/>
    <w:rsid w:val="00515173"/>
    <w:rsid w:val="0051527D"/>
    <w:rsid w:val="0051531A"/>
    <w:rsid w:val="0051532A"/>
    <w:rsid w:val="00515330"/>
    <w:rsid w:val="0051539E"/>
    <w:rsid w:val="0051548F"/>
    <w:rsid w:val="0051557C"/>
    <w:rsid w:val="005155DD"/>
    <w:rsid w:val="00515649"/>
    <w:rsid w:val="005156DD"/>
    <w:rsid w:val="005156FD"/>
    <w:rsid w:val="00515709"/>
    <w:rsid w:val="0051592A"/>
    <w:rsid w:val="00515957"/>
    <w:rsid w:val="00515A84"/>
    <w:rsid w:val="00515B48"/>
    <w:rsid w:val="00515D40"/>
    <w:rsid w:val="00516304"/>
    <w:rsid w:val="0051639D"/>
    <w:rsid w:val="00516520"/>
    <w:rsid w:val="00516772"/>
    <w:rsid w:val="00516A7A"/>
    <w:rsid w:val="00516A89"/>
    <w:rsid w:val="00516B61"/>
    <w:rsid w:val="00516C5A"/>
    <w:rsid w:val="00516CE7"/>
    <w:rsid w:val="00516D00"/>
    <w:rsid w:val="00516D43"/>
    <w:rsid w:val="00516DDA"/>
    <w:rsid w:val="00516DEC"/>
    <w:rsid w:val="00517257"/>
    <w:rsid w:val="00517376"/>
    <w:rsid w:val="005177C3"/>
    <w:rsid w:val="0051782B"/>
    <w:rsid w:val="0051784F"/>
    <w:rsid w:val="005178FE"/>
    <w:rsid w:val="00517A20"/>
    <w:rsid w:val="00517A29"/>
    <w:rsid w:val="00517B14"/>
    <w:rsid w:val="00517F78"/>
    <w:rsid w:val="00517FD6"/>
    <w:rsid w:val="0052008D"/>
    <w:rsid w:val="0052022A"/>
    <w:rsid w:val="005203E1"/>
    <w:rsid w:val="005205AB"/>
    <w:rsid w:val="00520678"/>
    <w:rsid w:val="00520683"/>
    <w:rsid w:val="005206EF"/>
    <w:rsid w:val="00520743"/>
    <w:rsid w:val="005207F1"/>
    <w:rsid w:val="00520BC0"/>
    <w:rsid w:val="00520E9A"/>
    <w:rsid w:val="00520FB8"/>
    <w:rsid w:val="00520FBC"/>
    <w:rsid w:val="00521007"/>
    <w:rsid w:val="0052109A"/>
    <w:rsid w:val="005211D1"/>
    <w:rsid w:val="00521451"/>
    <w:rsid w:val="0052151E"/>
    <w:rsid w:val="00521971"/>
    <w:rsid w:val="00521BAE"/>
    <w:rsid w:val="00521BBA"/>
    <w:rsid w:val="00521C4C"/>
    <w:rsid w:val="00521DFC"/>
    <w:rsid w:val="00521E03"/>
    <w:rsid w:val="0052217F"/>
    <w:rsid w:val="00522307"/>
    <w:rsid w:val="00522622"/>
    <w:rsid w:val="00522627"/>
    <w:rsid w:val="0052272A"/>
    <w:rsid w:val="00522871"/>
    <w:rsid w:val="005228FB"/>
    <w:rsid w:val="005228FE"/>
    <w:rsid w:val="00522965"/>
    <w:rsid w:val="00522975"/>
    <w:rsid w:val="00522ACA"/>
    <w:rsid w:val="00522B5C"/>
    <w:rsid w:val="00522CD4"/>
    <w:rsid w:val="00522DA5"/>
    <w:rsid w:val="00522E70"/>
    <w:rsid w:val="0052301A"/>
    <w:rsid w:val="005230DF"/>
    <w:rsid w:val="00523137"/>
    <w:rsid w:val="00523139"/>
    <w:rsid w:val="0052326B"/>
    <w:rsid w:val="00523340"/>
    <w:rsid w:val="005233F6"/>
    <w:rsid w:val="0052350D"/>
    <w:rsid w:val="005236FF"/>
    <w:rsid w:val="0052384D"/>
    <w:rsid w:val="005238EE"/>
    <w:rsid w:val="00523966"/>
    <w:rsid w:val="00523BA3"/>
    <w:rsid w:val="00523EA4"/>
    <w:rsid w:val="0052413D"/>
    <w:rsid w:val="0052418B"/>
    <w:rsid w:val="0052437B"/>
    <w:rsid w:val="005243B1"/>
    <w:rsid w:val="005243FC"/>
    <w:rsid w:val="005244AE"/>
    <w:rsid w:val="00524665"/>
    <w:rsid w:val="00524B7A"/>
    <w:rsid w:val="00524F4C"/>
    <w:rsid w:val="00524FE7"/>
    <w:rsid w:val="00525169"/>
    <w:rsid w:val="0052522B"/>
    <w:rsid w:val="0052526C"/>
    <w:rsid w:val="0052536D"/>
    <w:rsid w:val="00525418"/>
    <w:rsid w:val="0052541D"/>
    <w:rsid w:val="005256F5"/>
    <w:rsid w:val="00525838"/>
    <w:rsid w:val="005258DD"/>
    <w:rsid w:val="00525903"/>
    <w:rsid w:val="00525912"/>
    <w:rsid w:val="005259CE"/>
    <w:rsid w:val="005259F5"/>
    <w:rsid w:val="00525C33"/>
    <w:rsid w:val="00526234"/>
    <w:rsid w:val="0052638C"/>
    <w:rsid w:val="00526446"/>
    <w:rsid w:val="0052682F"/>
    <w:rsid w:val="0052697D"/>
    <w:rsid w:val="005269A5"/>
    <w:rsid w:val="00526A82"/>
    <w:rsid w:val="00526D76"/>
    <w:rsid w:val="00526EC4"/>
    <w:rsid w:val="00526F40"/>
    <w:rsid w:val="005270CA"/>
    <w:rsid w:val="005271BD"/>
    <w:rsid w:val="0052725F"/>
    <w:rsid w:val="0052737A"/>
    <w:rsid w:val="00527420"/>
    <w:rsid w:val="00527481"/>
    <w:rsid w:val="005274EA"/>
    <w:rsid w:val="00527543"/>
    <w:rsid w:val="0052769A"/>
    <w:rsid w:val="00527783"/>
    <w:rsid w:val="005277D6"/>
    <w:rsid w:val="00527897"/>
    <w:rsid w:val="0052789A"/>
    <w:rsid w:val="00527A18"/>
    <w:rsid w:val="00527D08"/>
    <w:rsid w:val="00527F62"/>
    <w:rsid w:val="00527F64"/>
    <w:rsid w:val="0053005E"/>
    <w:rsid w:val="00530183"/>
    <w:rsid w:val="0053026A"/>
    <w:rsid w:val="00530305"/>
    <w:rsid w:val="005305E4"/>
    <w:rsid w:val="005305FA"/>
    <w:rsid w:val="005306E0"/>
    <w:rsid w:val="005307AB"/>
    <w:rsid w:val="005307B4"/>
    <w:rsid w:val="005309F7"/>
    <w:rsid w:val="00530A84"/>
    <w:rsid w:val="00530C71"/>
    <w:rsid w:val="00530D68"/>
    <w:rsid w:val="00530DA0"/>
    <w:rsid w:val="00530E27"/>
    <w:rsid w:val="00530EC5"/>
    <w:rsid w:val="00530EDF"/>
    <w:rsid w:val="00531036"/>
    <w:rsid w:val="00531092"/>
    <w:rsid w:val="005311B6"/>
    <w:rsid w:val="005311E7"/>
    <w:rsid w:val="0053128F"/>
    <w:rsid w:val="00531379"/>
    <w:rsid w:val="00531453"/>
    <w:rsid w:val="0053160D"/>
    <w:rsid w:val="0053169B"/>
    <w:rsid w:val="0053181B"/>
    <w:rsid w:val="005318AE"/>
    <w:rsid w:val="005319A6"/>
    <w:rsid w:val="00531A0E"/>
    <w:rsid w:val="00531B12"/>
    <w:rsid w:val="00531B4D"/>
    <w:rsid w:val="00531B79"/>
    <w:rsid w:val="00531BAD"/>
    <w:rsid w:val="00531CCC"/>
    <w:rsid w:val="00531DFD"/>
    <w:rsid w:val="00531FD4"/>
    <w:rsid w:val="00532099"/>
    <w:rsid w:val="00532167"/>
    <w:rsid w:val="00532313"/>
    <w:rsid w:val="005323BD"/>
    <w:rsid w:val="005323E2"/>
    <w:rsid w:val="005323F1"/>
    <w:rsid w:val="005323F8"/>
    <w:rsid w:val="005324D3"/>
    <w:rsid w:val="005324DF"/>
    <w:rsid w:val="005324F9"/>
    <w:rsid w:val="005326DB"/>
    <w:rsid w:val="005328A1"/>
    <w:rsid w:val="0053298B"/>
    <w:rsid w:val="00532A2A"/>
    <w:rsid w:val="00532BFB"/>
    <w:rsid w:val="00532DFB"/>
    <w:rsid w:val="00532EEC"/>
    <w:rsid w:val="005330E8"/>
    <w:rsid w:val="00533155"/>
    <w:rsid w:val="005332DE"/>
    <w:rsid w:val="00533559"/>
    <w:rsid w:val="005335C7"/>
    <w:rsid w:val="00533637"/>
    <w:rsid w:val="005336CD"/>
    <w:rsid w:val="00533708"/>
    <w:rsid w:val="00533AE2"/>
    <w:rsid w:val="00533B26"/>
    <w:rsid w:val="00533C6C"/>
    <w:rsid w:val="00533CD8"/>
    <w:rsid w:val="00533CE7"/>
    <w:rsid w:val="00533D3B"/>
    <w:rsid w:val="005342C3"/>
    <w:rsid w:val="00534342"/>
    <w:rsid w:val="00534469"/>
    <w:rsid w:val="005345F3"/>
    <w:rsid w:val="005347E4"/>
    <w:rsid w:val="0053484F"/>
    <w:rsid w:val="00534A04"/>
    <w:rsid w:val="00534A25"/>
    <w:rsid w:val="00534A3E"/>
    <w:rsid w:val="00534A7D"/>
    <w:rsid w:val="00534C12"/>
    <w:rsid w:val="00534C38"/>
    <w:rsid w:val="00534D6B"/>
    <w:rsid w:val="00534D7E"/>
    <w:rsid w:val="00534F13"/>
    <w:rsid w:val="00535060"/>
    <w:rsid w:val="0053506A"/>
    <w:rsid w:val="005351C2"/>
    <w:rsid w:val="005351CB"/>
    <w:rsid w:val="005351DD"/>
    <w:rsid w:val="00535216"/>
    <w:rsid w:val="0053527E"/>
    <w:rsid w:val="00535377"/>
    <w:rsid w:val="005353FE"/>
    <w:rsid w:val="00535619"/>
    <w:rsid w:val="005356B9"/>
    <w:rsid w:val="005357BB"/>
    <w:rsid w:val="0053589A"/>
    <w:rsid w:val="00535AC5"/>
    <w:rsid w:val="00535ADF"/>
    <w:rsid w:val="00535B27"/>
    <w:rsid w:val="00535BB1"/>
    <w:rsid w:val="00535CC9"/>
    <w:rsid w:val="00535E2D"/>
    <w:rsid w:val="00535E44"/>
    <w:rsid w:val="0053618F"/>
    <w:rsid w:val="00536195"/>
    <w:rsid w:val="005361D7"/>
    <w:rsid w:val="005362A8"/>
    <w:rsid w:val="00536324"/>
    <w:rsid w:val="00536334"/>
    <w:rsid w:val="0053646E"/>
    <w:rsid w:val="0053666C"/>
    <w:rsid w:val="005366E6"/>
    <w:rsid w:val="0053673D"/>
    <w:rsid w:val="00536740"/>
    <w:rsid w:val="00536751"/>
    <w:rsid w:val="005368FD"/>
    <w:rsid w:val="00536911"/>
    <w:rsid w:val="005369E5"/>
    <w:rsid w:val="00536A0F"/>
    <w:rsid w:val="00536AE9"/>
    <w:rsid w:val="00536B18"/>
    <w:rsid w:val="00536CAD"/>
    <w:rsid w:val="00536CEF"/>
    <w:rsid w:val="00536D92"/>
    <w:rsid w:val="00537135"/>
    <w:rsid w:val="0053716F"/>
    <w:rsid w:val="005372F0"/>
    <w:rsid w:val="0053759E"/>
    <w:rsid w:val="00537719"/>
    <w:rsid w:val="005378AA"/>
    <w:rsid w:val="005378EB"/>
    <w:rsid w:val="00537927"/>
    <w:rsid w:val="0053792A"/>
    <w:rsid w:val="00537993"/>
    <w:rsid w:val="00537A20"/>
    <w:rsid w:val="00537A75"/>
    <w:rsid w:val="00537ACD"/>
    <w:rsid w:val="00537DA2"/>
    <w:rsid w:val="00537DB6"/>
    <w:rsid w:val="00537F24"/>
    <w:rsid w:val="00537FF7"/>
    <w:rsid w:val="00540102"/>
    <w:rsid w:val="00540275"/>
    <w:rsid w:val="00540371"/>
    <w:rsid w:val="0054042F"/>
    <w:rsid w:val="005407B1"/>
    <w:rsid w:val="0054089A"/>
    <w:rsid w:val="00540A5C"/>
    <w:rsid w:val="00540B01"/>
    <w:rsid w:val="00540B70"/>
    <w:rsid w:val="00540BD4"/>
    <w:rsid w:val="00540CEA"/>
    <w:rsid w:val="00540E59"/>
    <w:rsid w:val="00540E6C"/>
    <w:rsid w:val="00540F6C"/>
    <w:rsid w:val="00541217"/>
    <w:rsid w:val="00541231"/>
    <w:rsid w:val="005413ED"/>
    <w:rsid w:val="00541564"/>
    <w:rsid w:val="005416E3"/>
    <w:rsid w:val="005416E9"/>
    <w:rsid w:val="00541805"/>
    <w:rsid w:val="005418EB"/>
    <w:rsid w:val="005419D2"/>
    <w:rsid w:val="00541B05"/>
    <w:rsid w:val="00541BE2"/>
    <w:rsid w:val="00541EB1"/>
    <w:rsid w:val="00541EC7"/>
    <w:rsid w:val="00541EE3"/>
    <w:rsid w:val="00541EEF"/>
    <w:rsid w:val="00541F29"/>
    <w:rsid w:val="005421BD"/>
    <w:rsid w:val="00542217"/>
    <w:rsid w:val="0054227E"/>
    <w:rsid w:val="0054228B"/>
    <w:rsid w:val="0054260B"/>
    <w:rsid w:val="005427A7"/>
    <w:rsid w:val="005429F5"/>
    <w:rsid w:val="00542AAD"/>
    <w:rsid w:val="00542B3E"/>
    <w:rsid w:val="00542C77"/>
    <w:rsid w:val="00542CDC"/>
    <w:rsid w:val="00542D0D"/>
    <w:rsid w:val="00542D97"/>
    <w:rsid w:val="00542F77"/>
    <w:rsid w:val="005430E8"/>
    <w:rsid w:val="00543374"/>
    <w:rsid w:val="005433CC"/>
    <w:rsid w:val="005434F5"/>
    <w:rsid w:val="005435CE"/>
    <w:rsid w:val="005436CA"/>
    <w:rsid w:val="0054394E"/>
    <w:rsid w:val="005439AD"/>
    <w:rsid w:val="005439E2"/>
    <w:rsid w:val="00543AB4"/>
    <w:rsid w:val="00543AF3"/>
    <w:rsid w:val="00543FAD"/>
    <w:rsid w:val="00544152"/>
    <w:rsid w:val="005441E0"/>
    <w:rsid w:val="0054422B"/>
    <w:rsid w:val="0054424E"/>
    <w:rsid w:val="00544736"/>
    <w:rsid w:val="005447BA"/>
    <w:rsid w:val="00544901"/>
    <w:rsid w:val="00544A44"/>
    <w:rsid w:val="00544B2E"/>
    <w:rsid w:val="00544BCD"/>
    <w:rsid w:val="00544BF8"/>
    <w:rsid w:val="00544CC8"/>
    <w:rsid w:val="005450B7"/>
    <w:rsid w:val="00545117"/>
    <w:rsid w:val="00545167"/>
    <w:rsid w:val="005451BC"/>
    <w:rsid w:val="005451FB"/>
    <w:rsid w:val="005453B1"/>
    <w:rsid w:val="005454C6"/>
    <w:rsid w:val="00545715"/>
    <w:rsid w:val="005457FD"/>
    <w:rsid w:val="005458C6"/>
    <w:rsid w:val="00545976"/>
    <w:rsid w:val="00545A94"/>
    <w:rsid w:val="00545DA6"/>
    <w:rsid w:val="00545E2C"/>
    <w:rsid w:val="00545EBF"/>
    <w:rsid w:val="00545F33"/>
    <w:rsid w:val="00545F53"/>
    <w:rsid w:val="00545F77"/>
    <w:rsid w:val="00545FBC"/>
    <w:rsid w:val="0054616C"/>
    <w:rsid w:val="00546522"/>
    <w:rsid w:val="005467CE"/>
    <w:rsid w:val="00546862"/>
    <w:rsid w:val="00546A9D"/>
    <w:rsid w:val="00546AB6"/>
    <w:rsid w:val="00546AEF"/>
    <w:rsid w:val="00546AF1"/>
    <w:rsid w:val="00546B03"/>
    <w:rsid w:val="00546BA0"/>
    <w:rsid w:val="00546BA3"/>
    <w:rsid w:val="00546C6F"/>
    <w:rsid w:val="00546D18"/>
    <w:rsid w:val="00546E73"/>
    <w:rsid w:val="00546F6B"/>
    <w:rsid w:val="005472B5"/>
    <w:rsid w:val="0054744A"/>
    <w:rsid w:val="00547821"/>
    <w:rsid w:val="0054792D"/>
    <w:rsid w:val="00547A6B"/>
    <w:rsid w:val="00547BBB"/>
    <w:rsid w:val="005502B1"/>
    <w:rsid w:val="00550309"/>
    <w:rsid w:val="00550341"/>
    <w:rsid w:val="0055044E"/>
    <w:rsid w:val="00550500"/>
    <w:rsid w:val="00550504"/>
    <w:rsid w:val="005507B0"/>
    <w:rsid w:val="00550872"/>
    <w:rsid w:val="00550AF7"/>
    <w:rsid w:val="00550C99"/>
    <w:rsid w:val="00550D94"/>
    <w:rsid w:val="00550F77"/>
    <w:rsid w:val="00551153"/>
    <w:rsid w:val="00551154"/>
    <w:rsid w:val="0055122A"/>
    <w:rsid w:val="005512D9"/>
    <w:rsid w:val="0055146A"/>
    <w:rsid w:val="005514BD"/>
    <w:rsid w:val="005516B6"/>
    <w:rsid w:val="00551B39"/>
    <w:rsid w:val="00551C4B"/>
    <w:rsid w:val="00551C87"/>
    <w:rsid w:val="00551EAC"/>
    <w:rsid w:val="00551F02"/>
    <w:rsid w:val="00551F87"/>
    <w:rsid w:val="0055214E"/>
    <w:rsid w:val="005521F2"/>
    <w:rsid w:val="005522D3"/>
    <w:rsid w:val="0055234C"/>
    <w:rsid w:val="00552627"/>
    <w:rsid w:val="0055294F"/>
    <w:rsid w:val="005529BB"/>
    <w:rsid w:val="00552A4A"/>
    <w:rsid w:val="00552B6B"/>
    <w:rsid w:val="00552C1C"/>
    <w:rsid w:val="00552D32"/>
    <w:rsid w:val="00552DDC"/>
    <w:rsid w:val="00552E8A"/>
    <w:rsid w:val="00552E98"/>
    <w:rsid w:val="00552EB5"/>
    <w:rsid w:val="00552F16"/>
    <w:rsid w:val="005530BF"/>
    <w:rsid w:val="0055311E"/>
    <w:rsid w:val="0055312B"/>
    <w:rsid w:val="00553154"/>
    <w:rsid w:val="0055325B"/>
    <w:rsid w:val="005532BF"/>
    <w:rsid w:val="005532DC"/>
    <w:rsid w:val="00553321"/>
    <w:rsid w:val="005533A4"/>
    <w:rsid w:val="00553413"/>
    <w:rsid w:val="0055347A"/>
    <w:rsid w:val="005534C5"/>
    <w:rsid w:val="0055352C"/>
    <w:rsid w:val="00553549"/>
    <w:rsid w:val="005535C9"/>
    <w:rsid w:val="00553626"/>
    <w:rsid w:val="005538DD"/>
    <w:rsid w:val="00553B34"/>
    <w:rsid w:val="00553D12"/>
    <w:rsid w:val="00553D19"/>
    <w:rsid w:val="00553FF1"/>
    <w:rsid w:val="0055401C"/>
    <w:rsid w:val="005540C0"/>
    <w:rsid w:val="0055428A"/>
    <w:rsid w:val="0055438D"/>
    <w:rsid w:val="005543D1"/>
    <w:rsid w:val="0055441C"/>
    <w:rsid w:val="00554499"/>
    <w:rsid w:val="005544CA"/>
    <w:rsid w:val="005544D4"/>
    <w:rsid w:val="00554744"/>
    <w:rsid w:val="005547E4"/>
    <w:rsid w:val="0055486E"/>
    <w:rsid w:val="00554889"/>
    <w:rsid w:val="005548C1"/>
    <w:rsid w:val="005548D2"/>
    <w:rsid w:val="0055491B"/>
    <w:rsid w:val="00554995"/>
    <w:rsid w:val="00554B87"/>
    <w:rsid w:val="00554BD4"/>
    <w:rsid w:val="00554C6D"/>
    <w:rsid w:val="00554E88"/>
    <w:rsid w:val="00554FB5"/>
    <w:rsid w:val="00555042"/>
    <w:rsid w:val="005552A4"/>
    <w:rsid w:val="0055560E"/>
    <w:rsid w:val="00555694"/>
    <w:rsid w:val="005556CC"/>
    <w:rsid w:val="005558AE"/>
    <w:rsid w:val="005559EB"/>
    <w:rsid w:val="00555AB2"/>
    <w:rsid w:val="00555B61"/>
    <w:rsid w:val="00555BB8"/>
    <w:rsid w:val="00555D41"/>
    <w:rsid w:val="00555D86"/>
    <w:rsid w:val="00555DE3"/>
    <w:rsid w:val="00555E2F"/>
    <w:rsid w:val="005560B0"/>
    <w:rsid w:val="00556413"/>
    <w:rsid w:val="00556499"/>
    <w:rsid w:val="00556616"/>
    <w:rsid w:val="0055662C"/>
    <w:rsid w:val="0055677A"/>
    <w:rsid w:val="0055699A"/>
    <w:rsid w:val="0055699C"/>
    <w:rsid w:val="00556A1A"/>
    <w:rsid w:val="00556A9E"/>
    <w:rsid w:val="00556AAB"/>
    <w:rsid w:val="00556B34"/>
    <w:rsid w:val="00556B61"/>
    <w:rsid w:val="00556B66"/>
    <w:rsid w:val="00556B8E"/>
    <w:rsid w:val="00556C52"/>
    <w:rsid w:val="00556D36"/>
    <w:rsid w:val="00556DE8"/>
    <w:rsid w:val="00556E41"/>
    <w:rsid w:val="00556E72"/>
    <w:rsid w:val="00556E80"/>
    <w:rsid w:val="00556FC9"/>
    <w:rsid w:val="0055712A"/>
    <w:rsid w:val="005575C8"/>
    <w:rsid w:val="005575E5"/>
    <w:rsid w:val="005575FE"/>
    <w:rsid w:val="0055760E"/>
    <w:rsid w:val="005578AC"/>
    <w:rsid w:val="0055797D"/>
    <w:rsid w:val="00557CA8"/>
    <w:rsid w:val="00557D9D"/>
    <w:rsid w:val="00557EA3"/>
    <w:rsid w:val="00557EB5"/>
    <w:rsid w:val="00557FC8"/>
    <w:rsid w:val="0056001C"/>
    <w:rsid w:val="005600B1"/>
    <w:rsid w:val="0056014B"/>
    <w:rsid w:val="00560366"/>
    <w:rsid w:val="005603A9"/>
    <w:rsid w:val="005603C1"/>
    <w:rsid w:val="005603EA"/>
    <w:rsid w:val="005606B6"/>
    <w:rsid w:val="00560750"/>
    <w:rsid w:val="00560871"/>
    <w:rsid w:val="00560A39"/>
    <w:rsid w:val="00560C4D"/>
    <w:rsid w:val="00560CA3"/>
    <w:rsid w:val="00560F5B"/>
    <w:rsid w:val="00561044"/>
    <w:rsid w:val="00561108"/>
    <w:rsid w:val="00561129"/>
    <w:rsid w:val="0056135F"/>
    <w:rsid w:val="005614A1"/>
    <w:rsid w:val="005614B6"/>
    <w:rsid w:val="00561525"/>
    <w:rsid w:val="00561616"/>
    <w:rsid w:val="005616E4"/>
    <w:rsid w:val="0056172F"/>
    <w:rsid w:val="00561737"/>
    <w:rsid w:val="00561770"/>
    <w:rsid w:val="005617FE"/>
    <w:rsid w:val="005618D1"/>
    <w:rsid w:val="00561C3D"/>
    <w:rsid w:val="00561CD8"/>
    <w:rsid w:val="00561E6B"/>
    <w:rsid w:val="00561EFE"/>
    <w:rsid w:val="00561F39"/>
    <w:rsid w:val="00562410"/>
    <w:rsid w:val="005624C0"/>
    <w:rsid w:val="005625E3"/>
    <w:rsid w:val="005626AE"/>
    <w:rsid w:val="005628C8"/>
    <w:rsid w:val="00562A2E"/>
    <w:rsid w:val="00562ADD"/>
    <w:rsid w:val="00562B5E"/>
    <w:rsid w:val="00562C07"/>
    <w:rsid w:val="00562C4F"/>
    <w:rsid w:val="00562CBD"/>
    <w:rsid w:val="00562DD3"/>
    <w:rsid w:val="00562F1A"/>
    <w:rsid w:val="005632C9"/>
    <w:rsid w:val="0056337D"/>
    <w:rsid w:val="005633D8"/>
    <w:rsid w:val="005633F5"/>
    <w:rsid w:val="005634D0"/>
    <w:rsid w:val="005634F9"/>
    <w:rsid w:val="00563653"/>
    <w:rsid w:val="00563658"/>
    <w:rsid w:val="0056371A"/>
    <w:rsid w:val="0056377C"/>
    <w:rsid w:val="00563872"/>
    <w:rsid w:val="00563AC7"/>
    <w:rsid w:val="00563BF8"/>
    <w:rsid w:val="00563BFA"/>
    <w:rsid w:val="00563CAE"/>
    <w:rsid w:val="00563D3F"/>
    <w:rsid w:val="00563E1E"/>
    <w:rsid w:val="00563E30"/>
    <w:rsid w:val="00563EC5"/>
    <w:rsid w:val="00563F02"/>
    <w:rsid w:val="0056404F"/>
    <w:rsid w:val="00564135"/>
    <w:rsid w:val="005642EB"/>
    <w:rsid w:val="00564321"/>
    <w:rsid w:val="00564331"/>
    <w:rsid w:val="00564350"/>
    <w:rsid w:val="005643E1"/>
    <w:rsid w:val="005646FD"/>
    <w:rsid w:val="00564720"/>
    <w:rsid w:val="0056477F"/>
    <w:rsid w:val="0056486F"/>
    <w:rsid w:val="0056488F"/>
    <w:rsid w:val="005648C1"/>
    <w:rsid w:val="00564964"/>
    <w:rsid w:val="005649F5"/>
    <w:rsid w:val="00564A0C"/>
    <w:rsid w:val="00564B77"/>
    <w:rsid w:val="00564C79"/>
    <w:rsid w:val="00564CCA"/>
    <w:rsid w:val="00564D7E"/>
    <w:rsid w:val="00564EEF"/>
    <w:rsid w:val="0056511C"/>
    <w:rsid w:val="0056512E"/>
    <w:rsid w:val="00565132"/>
    <w:rsid w:val="0056520E"/>
    <w:rsid w:val="00565304"/>
    <w:rsid w:val="005653B8"/>
    <w:rsid w:val="005654B9"/>
    <w:rsid w:val="005655DA"/>
    <w:rsid w:val="00565799"/>
    <w:rsid w:val="00565925"/>
    <w:rsid w:val="00565948"/>
    <w:rsid w:val="0056596E"/>
    <w:rsid w:val="005659A6"/>
    <w:rsid w:val="005659FB"/>
    <w:rsid w:val="00565A1C"/>
    <w:rsid w:val="00565C2D"/>
    <w:rsid w:val="00565D4D"/>
    <w:rsid w:val="00565D7B"/>
    <w:rsid w:val="00565DDF"/>
    <w:rsid w:val="00565E2B"/>
    <w:rsid w:val="00565FE4"/>
    <w:rsid w:val="005662B1"/>
    <w:rsid w:val="00566333"/>
    <w:rsid w:val="00566555"/>
    <w:rsid w:val="005666FE"/>
    <w:rsid w:val="00566875"/>
    <w:rsid w:val="00566976"/>
    <w:rsid w:val="00566AC6"/>
    <w:rsid w:val="00566AC9"/>
    <w:rsid w:val="00566BC2"/>
    <w:rsid w:val="00566EDE"/>
    <w:rsid w:val="00566F72"/>
    <w:rsid w:val="00566FCA"/>
    <w:rsid w:val="00567189"/>
    <w:rsid w:val="005672B5"/>
    <w:rsid w:val="0056745A"/>
    <w:rsid w:val="00567462"/>
    <w:rsid w:val="00567535"/>
    <w:rsid w:val="005675CD"/>
    <w:rsid w:val="0056786A"/>
    <w:rsid w:val="005679AD"/>
    <w:rsid w:val="00567A82"/>
    <w:rsid w:val="00567A8A"/>
    <w:rsid w:val="00567AB7"/>
    <w:rsid w:val="00567BA3"/>
    <w:rsid w:val="00567C86"/>
    <w:rsid w:val="00567C88"/>
    <w:rsid w:val="00567CFC"/>
    <w:rsid w:val="00567D2A"/>
    <w:rsid w:val="00567D70"/>
    <w:rsid w:val="00567DAB"/>
    <w:rsid w:val="00567DE8"/>
    <w:rsid w:val="005700A9"/>
    <w:rsid w:val="00570137"/>
    <w:rsid w:val="0057015A"/>
    <w:rsid w:val="00570191"/>
    <w:rsid w:val="00570205"/>
    <w:rsid w:val="005702AE"/>
    <w:rsid w:val="0057043D"/>
    <w:rsid w:val="00570A43"/>
    <w:rsid w:val="00570CAF"/>
    <w:rsid w:val="00570D2D"/>
    <w:rsid w:val="00570E62"/>
    <w:rsid w:val="00570EC2"/>
    <w:rsid w:val="00570EF0"/>
    <w:rsid w:val="0057113C"/>
    <w:rsid w:val="00571273"/>
    <w:rsid w:val="00571371"/>
    <w:rsid w:val="00571540"/>
    <w:rsid w:val="005715EE"/>
    <w:rsid w:val="00571660"/>
    <w:rsid w:val="00571780"/>
    <w:rsid w:val="0057184B"/>
    <w:rsid w:val="00571895"/>
    <w:rsid w:val="0057189B"/>
    <w:rsid w:val="00571A03"/>
    <w:rsid w:val="00571B0A"/>
    <w:rsid w:val="00571C54"/>
    <w:rsid w:val="00571D63"/>
    <w:rsid w:val="00571EF8"/>
    <w:rsid w:val="00572281"/>
    <w:rsid w:val="00572431"/>
    <w:rsid w:val="0057245A"/>
    <w:rsid w:val="00572500"/>
    <w:rsid w:val="00572849"/>
    <w:rsid w:val="00572897"/>
    <w:rsid w:val="005728C8"/>
    <w:rsid w:val="00572ACC"/>
    <w:rsid w:val="00572BDC"/>
    <w:rsid w:val="00572CFA"/>
    <w:rsid w:val="00572E4A"/>
    <w:rsid w:val="00572FF7"/>
    <w:rsid w:val="00573068"/>
    <w:rsid w:val="005733F4"/>
    <w:rsid w:val="00573527"/>
    <w:rsid w:val="0057361C"/>
    <w:rsid w:val="00573627"/>
    <w:rsid w:val="0057366E"/>
    <w:rsid w:val="00573C18"/>
    <w:rsid w:val="00573CC5"/>
    <w:rsid w:val="00573DC4"/>
    <w:rsid w:val="00573EB9"/>
    <w:rsid w:val="00573F62"/>
    <w:rsid w:val="00574049"/>
    <w:rsid w:val="005740A5"/>
    <w:rsid w:val="005742DB"/>
    <w:rsid w:val="00574360"/>
    <w:rsid w:val="00574370"/>
    <w:rsid w:val="005743A9"/>
    <w:rsid w:val="005743B6"/>
    <w:rsid w:val="00574776"/>
    <w:rsid w:val="00574994"/>
    <w:rsid w:val="00574996"/>
    <w:rsid w:val="00574B18"/>
    <w:rsid w:val="00574BCD"/>
    <w:rsid w:val="00574CD1"/>
    <w:rsid w:val="00574DC6"/>
    <w:rsid w:val="00574DFD"/>
    <w:rsid w:val="00574ED5"/>
    <w:rsid w:val="0057515A"/>
    <w:rsid w:val="00575194"/>
    <w:rsid w:val="005754AB"/>
    <w:rsid w:val="005754C5"/>
    <w:rsid w:val="005755F3"/>
    <w:rsid w:val="0057562F"/>
    <w:rsid w:val="005757A6"/>
    <w:rsid w:val="0057598E"/>
    <w:rsid w:val="005759EA"/>
    <w:rsid w:val="00575A27"/>
    <w:rsid w:val="00575A6F"/>
    <w:rsid w:val="00575AE7"/>
    <w:rsid w:val="00575B96"/>
    <w:rsid w:val="00575C90"/>
    <w:rsid w:val="00575D2D"/>
    <w:rsid w:val="00575EC1"/>
    <w:rsid w:val="00576050"/>
    <w:rsid w:val="00576204"/>
    <w:rsid w:val="00576242"/>
    <w:rsid w:val="005763DF"/>
    <w:rsid w:val="00576892"/>
    <w:rsid w:val="0057689E"/>
    <w:rsid w:val="005769D8"/>
    <w:rsid w:val="00576B1E"/>
    <w:rsid w:val="00576EA7"/>
    <w:rsid w:val="00576FEB"/>
    <w:rsid w:val="00577183"/>
    <w:rsid w:val="0057730C"/>
    <w:rsid w:val="0057733E"/>
    <w:rsid w:val="0057744C"/>
    <w:rsid w:val="005775AA"/>
    <w:rsid w:val="0057774C"/>
    <w:rsid w:val="00577773"/>
    <w:rsid w:val="00577838"/>
    <w:rsid w:val="00577856"/>
    <w:rsid w:val="005778EB"/>
    <w:rsid w:val="00577A2C"/>
    <w:rsid w:val="00577AE2"/>
    <w:rsid w:val="00577E21"/>
    <w:rsid w:val="00577E4F"/>
    <w:rsid w:val="00577FD5"/>
    <w:rsid w:val="005800DC"/>
    <w:rsid w:val="00580323"/>
    <w:rsid w:val="00580362"/>
    <w:rsid w:val="0058085C"/>
    <w:rsid w:val="00580A49"/>
    <w:rsid w:val="00580A86"/>
    <w:rsid w:val="00580AEE"/>
    <w:rsid w:val="00580B97"/>
    <w:rsid w:val="00580C15"/>
    <w:rsid w:val="00580D6F"/>
    <w:rsid w:val="00580D97"/>
    <w:rsid w:val="00580E43"/>
    <w:rsid w:val="00580E75"/>
    <w:rsid w:val="00580F01"/>
    <w:rsid w:val="00580FDE"/>
    <w:rsid w:val="0058123E"/>
    <w:rsid w:val="005813C1"/>
    <w:rsid w:val="00581506"/>
    <w:rsid w:val="00581626"/>
    <w:rsid w:val="00581646"/>
    <w:rsid w:val="005818B5"/>
    <w:rsid w:val="005818C7"/>
    <w:rsid w:val="005818E3"/>
    <w:rsid w:val="00581905"/>
    <w:rsid w:val="00581B4F"/>
    <w:rsid w:val="00581F98"/>
    <w:rsid w:val="005821E8"/>
    <w:rsid w:val="005823F4"/>
    <w:rsid w:val="005824BE"/>
    <w:rsid w:val="0058265D"/>
    <w:rsid w:val="005826A4"/>
    <w:rsid w:val="005826EB"/>
    <w:rsid w:val="005826EF"/>
    <w:rsid w:val="005826F4"/>
    <w:rsid w:val="005826FC"/>
    <w:rsid w:val="0058287A"/>
    <w:rsid w:val="005828A2"/>
    <w:rsid w:val="005829B6"/>
    <w:rsid w:val="00582AA8"/>
    <w:rsid w:val="00582B78"/>
    <w:rsid w:val="00582BE2"/>
    <w:rsid w:val="00582EB2"/>
    <w:rsid w:val="00582F02"/>
    <w:rsid w:val="00582F0F"/>
    <w:rsid w:val="00582F84"/>
    <w:rsid w:val="00582F96"/>
    <w:rsid w:val="00582FE2"/>
    <w:rsid w:val="00583011"/>
    <w:rsid w:val="00583050"/>
    <w:rsid w:val="00583150"/>
    <w:rsid w:val="00583200"/>
    <w:rsid w:val="005832EE"/>
    <w:rsid w:val="00583413"/>
    <w:rsid w:val="0058348E"/>
    <w:rsid w:val="005834A4"/>
    <w:rsid w:val="0058363A"/>
    <w:rsid w:val="0058369E"/>
    <w:rsid w:val="00583740"/>
    <w:rsid w:val="00583777"/>
    <w:rsid w:val="005839BC"/>
    <w:rsid w:val="005839FD"/>
    <w:rsid w:val="00583B4C"/>
    <w:rsid w:val="00583C07"/>
    <w:rsid w:val="00583CA5"/>
    <w:rsid w:val="00583DC9"/>
    <w:rsid w:val="00584002"/>
    <w:rsid w:val="0058401A"/>
    <w:rsid w:val="00584065"/>
    <w:rsid w:val="00584363"/>
    <w:rsid w:val="005844F1"/>
    <w:rsid w:val="00584572"/>
    <w:rsid w:val="00584800"/>
    <w:rsid w:val="0058480B"/>
    <w:rsid w:val="00584996"/>
    <w:rsid w:val="00584A5C"/>
    <w:rsid w:val="00584CA4"/>
    <w:rsid w:val="00584D22"/>
    <w:rsid w:val="00584DF0"/>
    <w:rsid w:val="00584EC2"/>
    <w:rsid w:val="00584FD4"/>
    <w:rsid w:val="00585139"/>
    <w:rsid w:val="005851D3"/>
    <w:rsid w:val="0058536C"/>
    <w:rsid w:val="00585395"/>
    <w:rsid w:val="005854D7"/>
    <w:rsid w:val="00585666"/>
    <w:rsid w:val="005858AF"/>
    <w:rsid w:val="00585973"/>
    <w:rsid w:val="005859BE"/>
    <w:rsid w:val="005859D3"/>
    <w:rsid w:val="00585AFD"/>
    <w:rsid w:val="00585C89"/>
    <w:rsid w:val="00585D8D"/>
    <w:rsid w:val="00585DC4"/>
    <w:rsid w:val="00585DE9"/>
    <w:rsid w:val="00585F24"/>
    <w:rsid w:val="00586221"/>
    <w:rsid w:val="00586254"/>
    <w:rsid w:val="00586322"/>
    <w:rsid w:val="005863E7"/>
    <w:rsid w:val="005863EA"/>
    <w:rsid w:val="005864B6"/>
    <w:rsid w:val="005864C6"/>
    <w:rsid w:val="00586558"/>
    <w:rsid w:val="005866CA"/>
    <w:rsid w:val="0058673B"/>
    <w:rsid w:val="005868C4"/>
    <w:rsid w:val="00586A92"/>
    <w:rsid w:val="00586BE5"/>
    <w:rsid w:val="00586C66"/>
    <w:rsid w:val="00586DE3"/>
    <w:rsid w:val="00586E62"/>
    <w:rsid w:val="00586EE3"/>
    <w:rsid w:val="005870A3"/>
    <w:rsid w:val="005872EE"/>
    <w:rsid w:val="005873A3"/>
    <w:rsid w:val="005874CE"/>
    <w:rsid w:val="0058787C"/>
    <w:rsid w:val="00587A1E"/>
    <w:rsid w:val="00587B70"/>
    <w:rsid w:val="00587C6E"/>
    <w:rsid w:val="00587DD4"/>
    <w:rsid w:val="00587E61"/>
    <w:rsid w:val="00587E79"/>
    <w:rsid w:val="0059002C"/>
    <w:rsid w:val="00590072"/>
    <w:rsid w:val="00590076"/>
    <w:rsid w:val="005900C5"/>
    <w:rsid w:val="0059018C"/>
    <w:rsid w:val="00590275"/>
    <w:rsid w:val="005903EA"/>
    <w:rsid w:val="00590482"/>
    <w:rsid w:val="005904F0"/>
    <w:rsid w:val="0059053C"/>
    <w:rsid w:val="00590557"/>
    <w:rsid w:val="00590611"/>
    <w:rsid w:val="0059061E"/>
    <w:rsid w:val="005906F9"/>
    <w:rsid w:val="0059084C"/>
    <w:rsid w:val="0059088B"/>
    <w:rsid w:val="005908A1"/>
    <w:rsid w:val="0059094F"/>
    <w:rsid w:val="00590A28"/>
    <w:rsid w:val="00590C15"/>
    <w:rsid w:val="00590C75"/>
    <w:rsid w:val="00590C91"/>
    <w:rsid w:val="00590CCF"/>
    <w:rsid w:val="00590D09"/>
    <w:rsid w:val="00590D15"/>
    <w:rsid w:val="00590DC3"/>
    <w:rsid w:val="00590DDC"/>
    <w:rsid w:val="00590E69"/>
    <w:rsid w:val="00590F00"/>
    <w:rsid w:val="00590F78"/>
    <w:rsid w:val="005910DD"/>
    <w:rsid w:val="00591177"/>
    <w:rsid w:val="0059156A"/>
    <w:rsid w:val="00591573"/>
    <w:rsid w:val="0059158F"/>
    <w:rsid w:val="005915BA"/>
    <w:rsid w:val="00591665"/>
    <w:rsid w:val="00591728"/>
    <w:rsid w:val="005917F6"/>
    <w:rsid w:val="00591906"/>
    <w:rsid w:val="005919F0"/>
    <w:rsid w:val="005919F2"/>
    <w:rsid w:val="00591C75"/>
    <w:rsid w:val="00591EBF"/>
    <w:rsid w:val="00591F77"/>
    <w:rsid w:val="00591F9E"/>
    <w:rsid w:val="0059210B"/>
    <w:rsid w:val="00592137"/>
    <w:rsid w:val="0059223A"/>
    <w:rsid w:val="00592551"/>
    <w:rsid w:val="00592612"/>
    <w:rsid w:val="00592773"/>
    <w:rsid w:val="0059278F"/>
    <w:rsid w:val="0059289D"/>
    <w:rsid w:val="005928CE"/>
    <w:rsid w:val="005928E7"/>
    <w:rsid w:val="00592A61"/>
    <w:rsid w:val="00592ACF"/>
    <w:rsid w:val="00592B89"/>
    <w:rsid w:val="00592DC3"/>
    <w:rsid w:val="00592E2B"/>
    <w:rsid w:val="00593022"/>
    <w:rsid w:val="00593314"/>
    <w:rsid w:val="0059338E"/>
    <w:rsid w:val="00593474"/>
    <w:rsid w:val="0059358A"/>
    <w:rsid w:val="0059368E"/>
    <w:rsid w:val="005937E5"/>
    <w:rsid w:val="00593824"/>
    <w:rsid w:val="005938C7"/>
    <w:rsid w:val="005939B3"/>
    <w:rsid w:val="00593AC4"/>
    <w:rsid w:val="00593BF5"/>
    <w:rsid w:val="00593EA9"/>
    <w:rsid w:val="00593FB4"/>
    <w:rsid w:val="0059404E"/>
    <w:rsid w:val="00594280"/>
    <w:rsid w:val="00594292"/>
    <w:rsid w:val="005943D0"/>
    <w:rsid w:val="00594496"/>
    <w:rsid w:val="00594711"/>
    <w:rsid w:val="00594751"/>
    <w:rsid w:val="00594796"/>
    <w:rsid w:val="00594799"/>
    <w:rsid w:val="005948FD"/>
    <w:rsid w:val="00594991"/>
    <w:rsid w:val="00594A18"/>
    <w:rsid w:val="00594A1F"/>
    <w:rsid w:val="00594A96"/>
    <w:rsid w:val="00594AB2"/>
    <w:rsid w:val="00594BD3"/>
    <w:rsid w:val="00594CD7"/>
    <w:rsid w:val="00594D8C"/>
    <w:rsid w:val="00594E3A"/>
    <w:rsid w:val="00594E5E"/>
    <w:rsid w:val="00595146"/>
    <w:rsid w:val="00595222"/>
    <w:rsid w:val="0059522E"/>
    <w:rsid w:val="00595264"/>
    <w:rsid w:val="0059528C"/>
    <w:rsid w:val="005952D8"/>
    <w:rsid w:val="0059537E"/>
    <w:rsid w:val="0059556B"/>
    <w:rsid w:val="00595594"/>
    <w:rsid w:val="0059561A"/>
    <w:rsid w:val="005956BF"/>
    <w:rsid w:val="005956D3"/>
    <w:rsid w:val="0059585C"/>
    <w:rsid w:val="00595935"/>
    <w:rsid w:val="00595A20"/>
    <w:rsid w:val="00595D95"/>
    <w:rsid w:val="00595F28"/>
    <w:rsid w:val="00596365"/>
    <w:rsid w:val="00596483"/>
    <w:rsid w:val="005964A5"/>
    <w:rsid w:val="005965BC"/>
    <w:rsid w:val="00596850"/>
    <w:rsid w:val="00596875"/>
    <w:rsid w:val="005969D3"/>
    <w:rsid w:val="00596AFC"/>
    <w:rsid w:val="00596B6C"/>
    <w:rsid w:val="00596BDC"/>
    <w:rsid w:val="00596D30"/>
    <w:rsid w:val="00597205"/>
    <w:rsid w:val="00597370"/>
    <w:rsid w:val="0059742D"/>
    <w:rsid w:val="005974AF"/>
    <w:rsid w:val="0059753C"/>
    <w:rsid w:val="00597806"/>
    <w:rsid w:val="0059795F"/>
    <w:rsid w:val="0059798F"/>
    <w:rsid w:val="00597A0A"/>
    <w:rsid w:val="00597D55"/>
    <w:rsid w:val="00597E20"/>
    <w:rsid w:val="00597F66"/>
    <w:rsid w:val="00597F83"/>
    <w:rsid w:val="005A00DA"/>
    <w:rsid w:val="005A04DE"/>
    <w:rsid w:val="005A0664"/>
    <w:rsid w:val="005A06C5"/>
    <w:rsid w:val="005A06DC"/>
    <w:rsid w:val="005A07DC"/>
    <w:rsid w:val="005A08DB"/>
    <w:rsid w:val="005A09B5"/>
    <w:rsid w:val="005A09B6"/>
    <w:rsid w:val="005A0AF1"/>
    <w:rsid w:val="005A0BC3"/>
    <w:rsid w:val="005A0C07"/>
    <w:rsid w:val="005A0C4C"/>
    <w:rsid w:val="005A0E38"/>
    <w:rsid w:val="005A0EA0"/>
    <w:rsid w:val="005A0EEB"/>
    <w:rsid w:val="005A0F46"/>
    <w:rsid w:val="005A0FE5"/>
    <w:rsid w:val="005A1134"/>
    <w:rsid w:val="005A1217"/>
    <w:rsid w:val="005A1458"/>
    <w:rsid w:val="005A148E"/>
    <w:rsid w:val="005A176C"/>
    <w:rsid w:val="005A1898"/>
    <w:rsid w:val="005A18C1"/>
    <w:rsid w:val="005A199F"/>
    <w:rsid w:val="005A19C2"/>
    <w:rsid w:val="005A1AA4"/>
    <w:rsid w:val="005A1B08"/>
    <w:rsid w:val="005A1B1D"/>
    <w:rsid w:val="005A1BB6"/>
    <w:rsid w:val="005A1C9A"/>
    <w:rsid w:val="005A1D25"/>
    <w:rsid w:val="005A1D61"/>
    <w:rsid w:val="005A1E8A"/>
    <w:rsid w:val="005A22C0"/>
    <w:rsid w:val="005A25DB"/>
    <w:rsid w:val="005A2659"/>
    <w:rsid w:val="005A2662"/>
    <w:rsid w:val="005A267D"/>
    <w:rsid w:val="005A26DC"/>
    <w:rsid w:val="005A2713"/>
    <w:rsid w:val="005A274B"/>
    <w:rsid w:val="005A2791"/>
    <w:rsid w:val="005A2959"/>
    <w:rsid w:val="005A29BB"/>
    <w:rsid w:val="005A2D48"/>
    <w:rsid w:val="005A2F7B"/>
    <w:rsid w:val="005A2FB9"/>
    <w:rsid w:val="005A33CB"/>
    <w:rsid w:val="005A35F6"/>
    <w:rsid w:val="005A3603"/>
    <w:rsid w:val="005A3631"/>
    <w:rsid w:val="005A36D1"/>
    <w:rsid w:val="005A36DD"/>
    <w:rsid w:val="005A3890"/>
    <w:rsid w:val="005A38BE"/>
    <w:rsid w:val="005A3974"/>
    <w:rsid w:val="005A3AFE"/>
    <w:rsid w:val="005A3B40"/>
    <w:rsid w:val="005A3D33"/>
    <w:rsid w:val="005A3E18"/>
    <w:rsid w:val="005A3F0A"/>
    <w:rsid w:val="005A3F70"/>
    <w:rsid w:val="005A45DA"/>
    <w:rsid w:val="005A4626"/>
    <w:rsid w:val="005A46DB"/>
    <w:rsid w:val="005A474D"/>
    <w:rsid w:val="005A4885"/>
    <w:rsid w:val="005A489B"/>
    <w:rsid w:val="005A4941"/>
    <w:rsid w:val="005A4A85"/>
    <w:rsid w:val="005A4E0F"/>
    <w:rsid w:val="005A4E9F"/>
    <w:rsid w:val="005A50F2"/>
    <w:rsid w:val="005A512E"/>
    <w:rsid w:val="005A52A9"/>
    <w:rsid w:val="005A5403"/>
    <w:rsid w:val="005A5533"/>
    <w:rsid w:val="005A5630"/>
    <w:rsid w:val="005A5683"/>
    <w:rsid w:val="005A5A69"/>
    <w:rsid w:val="005A5AB3"/>
    <w:rsid w:val="005A5AC8"/>
    <w:rsid w:val="005A5BCF"/>
    <w:rsid w:val="005A5C12"/>
    <w:rsid w:val="005A5C52"/>
    <w:rsid w:val="005A5E2B"/>
    <w:rsid w:val="005A5F61"/>
    <w:rsid w:val="005A601C"/>
    <w:rsid w:val="005A605C"/>
    <w:rsid w:val="005A6152"/>
    <w:rsid w:val="005A61EA"/>
    <w:rsid w:val="005A62BC"/>
    <w:rsid w:val="005A62E5"/>
    <w:rsid w:val="005A653A"/>
    <w:rsid w:val="005A6836"/>
    <w:rsid w:val="005A6B41"/>
    <w:rsid w:val="005A6F52"/>
    <w:rsid w:val="005A70C2"/>
    <w:rsid w:val="005A70CE"/>
    <w:rsid w:val="005A71D0"/>
    <w:rsid w:val="005A7791"/>
    <w:rsid w:val="005A77C5"/>
    <w:rsid w:val="005A787D"/>
    <w:rsid w:val="005A7C2F"/>
    <w:rsid w:val="005A7C4A"/>
    <w:rsid w:val="005A7E78"/>
    <w:rsid w:val="005A7E92"/>
    <w:rsid w:val="005B0019"/>
    <w:rsid w:val="005B0027"/>
    <w:rsid w:val="005B0044"/>
    <w:rsid w:val="005B00F0"/>
    <w:rsid w:val="005B021E"/>
    <w:rsid w:val="005B0269"/>
    <w:rsid w:val="005B02B7"/>
    <w:rsid w:val="005B02EC"/>
    <w:rsid w:val="005B0371"/>
    <w:rsid w:val="005B037A"/>
    <w:rsid w:val="005B03ED"/>
    <w:rsid w:val="005B0441"/>
    <w:rsid w:val="005B04B6"/>
    <w:rsid w:val="005B0511"/>
    <w:rsid w:val="005B0533"/>
    <w:rsid w:val="005B0589"/>
    <w:rsid w:val="005B064D"/>
    <w:rsid w:val="005B06F3"/>
    <w:rsid w:val="005B07E0"/>
    <w:rsid w:val="005B07F4"/>
    <w:rsid w:val="005B0829"/>
    <w:rsid w:val="005B08D3"/>
    <w:rsid w:val="005B0984"/>
    <w:rsid w:val="005B0B95"/>
    <w:rsid w:val="005B0CBE"/>
    <w:rsid w:val="005B0E64"/>
    <w:rsid w:val="005B1040"/>
    <w:rsid w:val="005B1177"/>
    <w:rsid w:val="005B119B"/>
    <w:rsid w:val="005B1284"/>
    <w:rsid w:val="005B13AF"/>
    <w:rsid w:val="005B13C4"/>
    <w:rsid w:val="005B1776"/>
    <w:rsid w:val="005B184B"/>
    <w:rsid w:val="005B19D3"/>
    <w:rsid w:val="005B1A7D"/>
    <w:rsid w:val="005B1BA3"/>
    <w:rsid w:val="005B1D0D"/>
    <w:rsid w:val="005B1E59"/>
    <w:rsid w:val="005B1F6F"/>
    <w:rsid w:val="005B226C"/>
    <w:rsid w:val="005B2330"/>
    <w:rsid w:val="005B2476"/>
    <w:rsid w:val="005B2494"/>
    <w:rsid w:val="005B24FA"/>
    <w:rsid w:val="005B2704"/>
    <w:rsid w:val="005B2941"/>
    <w:rsid w:val="005B296D"/>
    <w:rsid w:val="005B29DF"/>
    <w:rsid w:val="005B2A31"/>
    <w:rsid w:val="005B2ACD"/>
    <w:rsid w:val="005B2BF9"/>
    <w:rsid w:val="005B2C8E"/>
    <w:rsid w:val="005B2D84"/>
    <w:rsid w:val="005B2F43"/>
    <w:rsid w:val="005B3052"/>
    <w:rsid w:val="005B3103"/>
    <w:rsid w:val="005B3129"/>
    <w:rsid w:val="005B313F"/>
    <w:rsid w:val="005B3154"/>
    <w:rsid w:val="005B32FB"/>
    <w:rsid w:val="005B3308"/>
    <w:rsid w:val="005B33D5"/>
    <w:rsid w:val="005B33F1"/>
    <w:rsid w:val="005B3481"/>
    <w:rsid w:val="005B35C5"/>
    <w:rsid w:val="005B370F"/>
    <w:rsid w:val="005B3747"/>
    <w:rsid w:val="005B3766"/>
    <w:rsid w:val="005B3814"/>
    <w:rsid w:val="005B39BB"/>
    <w:rsid w:val="005B3AB3"/>
    <w:rsid w:val="005B3B2A"/>
    <w:rsid w:val="005B3B49"/>
    <w:rsid w:val="005B3BC9"/>
    <w:rsid w:val="005B3E33"/>
    <w:rsid w:val="005B3F60"/>
    <w:rsid w:val="005B4028"/>
    <w:rsid w:val="005B4053"/>
    <w:rsid w:val="005B41E8"/>
    <w:rsid w:val="005B43CA"/>
    <w:rsid w:val="005B44AF"/>
    <w:rsid w:val="005B47DE"/>
    <w:rsid w:val="005B490C"/>
    <w:rsid w:val="005B4987"/>
    <w:rsid w:val="005B4A6C"/>
    <w:rsid w:val="005B4C04"/>
    <w:rsid w:val="005B4C06"/>
    <w:rsid w:val="005B4C62"/>
    <w:rsid w:val="005B4CA7"/>
    <w:rsid w:val="005B4D28"/>
    <w:rsid w:val="005B4D68"/>
    <w:rsid w:val="005B4F48"/>
    <w:rsid w:val="005B5025"/>
    <w:rsid w:val="005B5084"/>
    <w:rsid w:val="005B50D6"/>
    <w:rsid w:val="005B520E"/>
    <w:rsid w:val="005B52A2"/>
    <w:rsid w:val="005B53D4"/>
    <w:rsid w:val="005B543B"/>
    <w:rsid w:val="005B565E"/>
    <w:rsid w:val="005B56A8"/>
    <w:rsid w:val="005B58CB"/>
    <w:rsid w:val="005B5929"/>
    <w:rsid w:val="005B5998"/>
    <w:rsid w:val="005B5A64"/>
    <w:rsid w:val="005B5BDA"/>
    <w:rsid w:val="005B5C50"/>
    <w:rsid w:val="005B5C80"/>
    <w:rsid w:val="005B5CFB"/>
    <w:rsid w:val="005B5EAF"/>
    <w:rsid w:val="005B5F1E"/>
    <w:rsid w:val="005B5FC8"/>
    <w:rsid w:val="005B606C"/>
    <w:rsid w:val="005B6096"/>
    <w:rsid w:val="005B60B1"/>
    <w:rsid w:val="005B6121"/>
    <w:rsid w:val="005B61DB"/>
    <w:rsid w:val="005B6246"/>
    <w:rsid w:val="005B627D"/>
    <w:rsid w:val="005B63B3"/>
    <w:rsid w:val="005B63B6"/>
    <w:rsid w:val="005B64C9"/>
    <w:rsid w:val="005B64FC"/>
    <w:rsid w:val="005B653C"/>
    <w:rsid w:val="005B665A"/>
    <w:rsid w:val="005B66BC"/>
    <w:rsid w:val="005B6A49"/>
    <w:rsid w:val="005B6ADB"/>
    <w:rsid w:val="005B6AF7"/>
    <w:rsid w:val="005B6DA4"/>
    <w:rsid w:val="005B6F02"/>
    <w:rsid w:val="005B7161"/>
    <w:rsid w:val="005B7175"/>
    <w:rsid w:val="005B7259"/>
    <w:rsid w:val="005B7296"/>
    <w:rsid w:val="005B7C35"/>
    <w:rsid w:val="005B7C40"/>
    <w:rsid w:val="005B7D0C"/>
    <w:rsid w:val="005B7D7A"/>
    <w:rsid w:val="005B7D8E"/>
    <w:rsid w:val="005B7EDB"/>
    <w:rsid w:val="005B7F21"/>
    <w:rsid w:val="005B7FB6"/>
    <w:rsid w:val="005B7FE4"/>
    <w:rsid w:val="005C0084"/>
    <w:rsid w:val="005C0103"/>
    <w:rsid w:val="005C013F"/>
    <w:rsid w:val="005C015C"/>
    <w:rsid w:val="005C01D6"/>
    <w:rsid w:val="005C01E7"/>
    <w:rsid w:val="005C0231"/>
    <w:rsid w:val="005C03A9"/>
    <w:rsid w:val="005C03FA"/>
    <w:rsid w:val="005C0553"/>
    <w:rsid w:val="005C0591"/>
    <w:rsid w:val="005C05E0"/>
    <w:rsid w:val="005C06FC"/>
    <w:rsid w:val="005C08EA"/>
    <w:rsid w:val="005C096B"/>
    <w:rsid w:val="005C0B0F"/>
    <w:rsid w:val="005C0B4B"/>
    <w:rsid w:val="005C0CC1"/>
    <w:rsid w:val="005C0E2D"/>
    <w:rsid w:val="005C0F00"/>
    <w:rsid w:val="005C0F25"/>
    <w:rsid w:val="005C0F4B"/>
    <w:rsid w:val="005C100F"/>
    <w:rsid w:val="005C10A3"/>
    <w:rsid w:val="005C10E9"/>
    <w:rsid w:val="005C115A"/>
    <w:rsid w:val="005C1515"/>
    <w:rsid w:val="005C181A"/>
    <w:rsid w:val="005C194B"/>
    <w:rsid w:val="005C19B8"/>
    <w:rsid w:val="005C1AC7"/>
    <w:rsid w:val="005C1AD1"/>
    <w:rsid w:val="005C1C32"/>
    <w:rsid w:val="005C1CD6"/>
    <w:rsid w:val="005C1CE9"/>
    <w:rsid w:val="005C1FAF"/>
    <w:rsid w:val="005C20A0"/>
    <w:rsid w:val="005C2113"/>
    <w:rsid w:val="005C2175"/>
    <w:rsid w:val="005C217B"/>
    <w:rsid w:val="005C227E"/>
    <w:rsid w:val="005C2401"/>
    <w:rsid w:val="005C2429"/>
    <w:rsid w:val="005C2532"/>
    <w:rsid w:val="005C2668"/>
    <w:rsid w:val="005C2688"/>
    <w:rsid w:val="005C26BA"/>
    <w:rsid w:val="005C26EE"/>
    <w:rsid w:val="005C28B6"/>
    <w:rsid w:val="005C29C4"/>
    <w:rsid w:val="005C2A5E"/>
    <w:rsid w:val="005C2BBD"/>
    <w:rsid w:val="005C2BC3"/>
    <w:rsid w:val="005C2BF1"/>
    <w:rsid w:val="005C2C97"/>
    <w:rsid w:val="005C2E03"/>
    <w:rsid w:val="005C2EA4"/>
    <w:rsid w:val="005C2F39"/>
    <w:rsid w:val="005C302F"/>
    <w:rsid w:val="005C31A9"/>
    <w:rsid w:val="005C354F"/>
    <w:rsid w:val="005C3720"/>
    <w:rsid w:val="005C37E0"/>
    <w:rsid w:val="005C385B"/>
    <w:rsid w:val="005C38F3"/>
    <w:rsid w:val="005C39DC"/>
    <w:rsid w:val="005C3C5F"/>
    <w:rsid w:val="005C3C8D"/>
    <w:rsid w:val="005C3D1A"/>
    <w:rsid w:val="005C3D46"/>
    <w:rsid w:val="005C3D57"/>
    <w:rsid w:val="005C3E43"/>
    <w:rsid w:val="005C3E95"/>
    <w:rsid w:val="005C3F69"/>
    <w:rsid w:val="005C40BF"/>
    <w:rsid w:val="005C4137"/>
    <w:rsid w:val="005C4187"/>
    <w:rsid w:val="005C427B"/>
    <w:rsid w:val="005C43AC"/>
    <w:rsid w:val="005C43E2"/>
    <w:rsid w:val="005C442F"/>
    <w:rsid w:val="005C44E7"/>
    <w:rsid w:val="005C4576"/>
    <w:rsid w:val="005C4644"/>
    <w:rsid w:val="005C46AD"/>
    <w:rsid w:val="005C49ED"/>
    <w:rsid w:val="005C4AD5"/>
    <w:rsid w:val="005C4BC8"/>
    <w:rsid w:val="005C4BE7"/>
    <w:rsid w:val="005C4D0C"/>
    <w:rsid w:val="005C4D51"/>
    <w:rsid w:val="005C4E65"/>
    <w:rsid w:val="005C4FC0"/>
    <w:rsid w:val="005C50C0"/>
    <w:rsid w:val="005C50EC"/>
    <w:rsid w:val="005C5294"/>
    <w:rsid w:val="005C5390"/>
    <w:rsid w:val="005C5416"/>
    <w:rsid w:val="005C5463"/>
    <w:rsid w:val="005C546E"/>
    <w:rsid w:val="005C54B9"/>
    <w:rsid w:val="005C557D"/>
    <w:rsid w:val="005C571B"/>
    <w:rsid w:val="005C58F3"/>
    <w:rsid w:val="005C5A03"/>
    <w:rsid w:val="005C5A1C"/>
    <w:rsid w:val="005C5A9D"/>
    <w:rsid w:val="005C5BEA"/>
    <w:rsid w:val="005C5CA3"/>
    <w:rsid w:val="005C5D6D"/>
    <w:rsid w:val="005C5E16"/>
    <w:rsid w:val="005C5EF1"/>
    <w:rsid w:val="005C5F01"/>
    <w:rsid w:val="005C5F69"/>
    <w:rsid w:val="005C5F9A"/>
    <w:rsid w:val="005C60C0"/>
    <w:rsid w:val="005C61A2"/>
    <w:rsid w:val="005C621D"/>
    <w:rsid w:val="005C65F5"/>
    <w:rsid w:val="005C6618"/>
    <w:rsid w:val="005C6658"/>
    <w:rsid w:val="005C67D2"/>
    <w:rsid w:val="005C68A1"/>
    <w:rsid w:val="005C692E"/>
    <w:rsid w:val="005C697E"/>
    <w:rsid w:val="005C6A12"/>
    <w:rsid w:val="005C6A90"/>
    <w:rsid w:val="005C6AB7"/>
    <w:rsid w:val="005C6AF1"/>
    <w:rsid w:val="005C6C6A"/>
    <w:rsid w:val="005C6D71"/>
    <w:rsid w:val="005C6E0A"/>
    <w:rsid w:val="005C6E17"/>
    <w:rsid w:val="005C6E78"/>
    <w:rsid w:val="005C6EE9"/>
    <w:rsid w:val="005C7064"/>
    <w:rsid w:val="005C70E5"/>
    <w:rsid w:val="005C7318"/>
    <w:rsid w:val="005C744C"/>
    <w:rsid w:val="005C74E6"/>
    <w:rsid w:val="005C75AB"/>
    <w:rsid w:val="005C761E"/>
    <w:rsid w:val="005C76F3"/>
    <w:rsid w:val="005C7767"/>
    <w:rsid w:val="005C777C"/>
    <w:rsid w:val="005C78D8"/>
    <w:rsid w:val="005C790D"/>
    <w:rsid w:val="005C7985"/>
    <w:rsid w:val="005C79E5"/>
    <w:rsid w:val="005C7B79"/>
    <w:rsid w:val="005C7C83"/>
    <w:rsid w:val="005C7D6B"/>
    <w:rsid w:val="005C7EAD"/>
    <w:rsid w:val="005D0022"/>
    <w:rsid w:val="005D0056"/>
    <w:rsid w:val="005D0189"/>
    <w:rsid w:val="005D0244"/>
    <w:rsid w:val="005D03FB"/>
    <w:rsid w:val="005D0508"/>
    <w:rsid w:val="005D0550"/>
    <w:rsid w:val="005D06E4"/>
    <w:rsid w:val="005D0A81"/>
    <w:rsid w:val="005D0B45"/>
    <w:rsid w:val="005D0C3D"/>
    <w:rsid w:val="005D0EFF"/>
    <w:rsid w:val="005D0F5E"/>
    <w:rsid w:val="005D1218"/>
    <w:rsid w:val="005D1401"/>
    <w:rsid w:val="005D14AE"/>
    <w:rsid w:val="005D153A"/>
    <w:rsid w:val="005D15DD"/>
    <w:rsid w:val="005D15F4"/>
    <w:rsid w:val="005D1622"/>
    <w:rsid w:val="005D1683"/>
    <w:rsid w:val="005D1776"/>
    <w:rsid w:val="005D17AF"/>
    <w:rsid w:val="005D17FD"/>
    <w:rsid w:val="005D1A1B"/>
    <w:rsid w:val="005D1A72"/>
    <w:rsid w:val="005D1A94"/>
    <w:rsid w:val="005D1B01"/>
    <w:rsid w:val="005D1D3E"/>
    <w:rsid w:val="005D1DE1"/>
    <w:rsid w:val="005D1F60"/>
    <w:rsid w:val="005D21F9"/>
    <w:rsid w:val="005D2228"/>
    <w:rsid w:val="005D23B2"/>
    <w:rsid w:val="005D23DB"/>
    <w:rsid w:val="005D242D"/>
    <w:rsid w:val="005D24AA"/>
    <w:rsid w:val="005D24DB"/>
    <w:rsid w:val="005D259C"/>
    <w:rsid w:val="005D25F7"/>
    <w:rsid w:val="005D26EA"/>
    <w:rsid w:val="005D2744"/>
    <w:rsid w:val="005D275A"/>
    <w:rsid w:val="005D2781"/>
    <w:rsid w:val="005D291F"/>
    <w:rsid w:val="005D2933"/>
    <w:rsid w:val="005D2934"/>
    <w:rsid w:val="005D2968"/>
    <w:rsid w:val="005D2CBD"/>
    <w:rsid w:val="005D2D54"/>
    <w:rsid w:val="005D2DF1"/>
    <w:rsid w:val="005D30C0"/>
    <w:rsid w:val="005D31A4"/>
    <w:rsid w:val="005D33AC"/>
    <w:rsid w:val="005D3411"/>
    <w:rsid w:val="005D3491"/>
    <w:rsid w:val="005D3510"/>
    <w:rsid w:val="005D3584"/>
    <w:rsid w:val="005D3912"/>
    <w:rsid w:val="005D3B29"/>
    <w:rsid w:val="005D3B4F"/>
    <w:rsid w:val="005D3BC6"/>
    <w:rsid w:val="005D3C50"/>
    <w:rsid w:val="005D3CD5"/>
    <w:rsid w:val="005D3D0A"/>
    <w:rsid w:val="005D3D8C"/>
    <w:rsid w:val="005D3E25"/>
    <w:rsid w:val="005D41AA"/>
    <w:rsid w:val="005D4320"/>
    <w:rsid w:val="005D433F"/>
    <w:rsid w:val="005D435A"/>
    <w:rsid w:val="005D4517"/>
    <w:rsid w:val="005D47C9"/>
    <w:rsid w:val="005D47F0"/>
    <w:rsid w:val="005D4B20"/>
    <w:rsid w:val="005D4B51"/>
    <w:rsid w:val="005D4C4B"/>
    <w:rsid w:val="005D4C82"/>
    <w:rsid w:val="005D4C9B"/>
    <w:rsid w:val="005D4D1E"/>
    <w:rsid w:val="005D4D90"/>
    <w:rsid w:val="005D4EE3"/>
    <w:rsid w:val="005D4F67"/>
    <w:rsid w:val="005D500C"/>
    <w:rsid w:val="005D500F"/>
    <w:rsid w:val="005D5094"/>
    <w:rsid w:val="005D5107"/>
    <w:rsid w:val="005D5624"/>
    <w:rsid w:val="005D5708"/>
    <w:rsid w:val="005D5998"/>
    <w:rsid w:val="005D5A32"/>
    <w:rsid w:val="005D5AD6"/>
    <w:rsid w:val="005D5BF8"/>
    <w:rsid w:val="005D5BFA"/>
    <w:rsid w:val="005D5DAF"/>
    <w:rsid w:val="005D5FEE"/>
    <w:rsid w:val="005D6003"/>
    <w:rsid w:val="005D60C9"/>
    <w:rsid w:val="005D6180"/>
    <w:rsid w:val="005D61EB"/>
    <w:rsid w:val="005D6221"/>
    <w:rsid w:val="005D62E6"/>
    <w:rsid w:val="005D65A9"/>
    <w:rsid w:val="005D6619"/>
    <w:rsid w:val="005D6649"/>
    <w:rsid w:val="005D667D"/>
    <w:rsid w:val="005D6696"/>
    <w:rsid w:val="005D66DC"/>
    <w:rsid w:val="005D68E2"/>
    <w:rsid w:val="005D6AD5"/>
    <w:rsid w:val="005D6B66"/>
    <w:rsid w:val="005D6CB1"/>
    <w:rsid w:val="005D6E2B"/>
    <w:rsid w:val="005D70E5"/>
    <w:rsid w:val="005D7189"/>
    <w:rsid w:val="005D7190"/>
    <w:rsid w:val="005D72F7"/>
    <w:rsid w:val="005D72F8"/>
    <w:rsid w:val="005D73EF"/>
    <w:rsid w:val="005D7466"/>
    <w:rsid w:val="005D7469"/>
    <w:rsid w:val="005D7497"/>
    <w:rsid w:val="005D7731"/>
    <w:rsid w:val="005D7826"/>
    <w:rsid w:val="005D7834"/>
    <w:rsid w:val="005D7921"/>
    <w:rsid w:val="005D7B16"/>
    <w:rsid w:val="005D7B6D"/>
    <w:rsid w:val="005D7C87"/>
    <w:rsid w:val="005D7CCB"/>
    <w:rsid w:val="005D7D0C"/>
    <w:rsid w:val="005D7D30"/>
    <w:rsid w:val="005D7D92"/>
    <w:rsid w:val="005D7F78"/>
    <w:rsid w:val="005E038F"/>
    <w:rsid w:val="005E0403"/>
    <w:rsid w:val="005E052F"/>
    <w:rsid w:val="005E0598"/>
    <w:rsid w:val="005E06E9"/>
    <w:rsid w:val="005E0871"/>
    <w:rsid w:val="005E08CE"/>
    <w:rsid w:val="005E0A89"/>
    <w:rsid w:val="005E0ADF"/>
    <w:rsid w:val="005E0C06"/>
    <w:rsid w:val="005E0C76"/>
    <w:rsid w:val="005E0FC1"/>
    <w:rsid w:val="005E0FFE"/>
    <w:rsid w:val="005E1009"/>
    <w:rsid w:val="005E12AD"/>
    <w:rsid w:val="005E12BA"/>
    <w:rsid w:val="005E1518"/>
    <w:rsid w:val="005E19A4"/>
    <w:rsid w:val="005E1ACB"/>
    <w:rsid w:val="005E1B19"/>
    <w:rsid w:val="005E1C37"/>
    <w:rsid w:val="005E1D5F"/>
    <w:rsid w:val="005E1EBE"/>
    <w:rsid w:val="005E1FC9"/>
    <w:rsid w:val="005E2122"/>
    <w:rsid w:val="005E218F"/>
    <w:rsid w:val="005E2239"/>
    <w:rsid w:val="005E2290"/>
    <w:rsid w:val="005E2347"/>
    <w:rsid w:val="005E2446"/>
    <w:rsid w:val="005E24DB"/>
    <w:rsid w:val="005E2513"/>
    <w:rsid w:val="005E25E7"/>
    <w:rsid w:val="005E26B9"/>
    <w:rsid w:val="005E274E"/>
    <w:rsid w:val="005E2771"/>
    <w:rsid w:val="005E28A0"/>
    <w:rsid w:val="005E2A1E"/>
    <w:rsid w:val="005E2A95"/>
    <w:rsid w:val="005E2B3A"/>
    <w:rsid w:val="005E2C90"/>
    <w:rsid w:val="005E2C91"/>
    <w:rsid w:val="005E2CC7"/>
    <w:rsid w:val="005E2D92"/>
    <w:rsid w:val="005E2E70"/>
    <w:rsid w:val="005E30CF"/>
    <w:rsid w:val="005E3116"/>
    <w:rsid w:val="005E313B"/>
    <w:rsid w:val="005E32F2"/>
    <w:rsid w:val="005E3417"/>
    <w:rsid w:val="005E3424"/>
    <w:rsid w:val="005E34A8"/>
    <w:rsid w:val="005E34BE"/>
    <w:rsid w:val="005E3667"/>
    <w:rsid w:val="005E38EA"/>
    <w:rsid w:val="005E39DD"/>
    <w:rsid w:val="005E3AC4"/>
    <w:rsid w:val="005E3B13"/>
    <w:rsid w:val="005E3C67"/>
    <w:rsid w:val="005E3CE7"/>
    <w:rsid w:val="005E3FA4"/>
    <w:rsid w:val="005E403B"/>
    <w:rsid w:val="005E42DE"/>
    <w:rsid w:val="005E439B"/>
    <w:rsid w:val="005E4453"/>
    <w:rsid w:val="005E4470"/>
    <w:rsid w:val="005E4499"/>
    <w:rsid w:val="005E45A4"/>
    <w:rsid w:val="005E487A"/>
    <w:rsid w:val="005E48EF"/>
    <w:rsid w:val="005E4ABB"/>
    <w:rsid w:val="005E4B20"/>
    <w:rsid w:val="005E4D2D"/>
    <w:rsid w:val="005E4D42"/>
    <w:rsid w:val="005E5016"/>
    <w:rsid w:val="005E5062"/>
    <w:rsid w:val="005E5340"/>
    <w:rsid w:val="005E535F"/>
    <w:rsid w:val="005E551F"/>
    <w:rsid w:val="005E558E"/>
    <w:rsid w:val="005E55F0"/>
    <w:rsid w:val="005E56D3"/>
    <w:rsid w:val="005E5744"/>
    <w:rsid w:val="005E574B"/>
    <w:rsid w:val="005E5794"/>
    <w:rsid w:val="005E57CE"/>
    <w:rsid w:val="005E58A0"/>
    <w:rsid w:val="005E58A2"/>
    <w:rsid w:val="005E58C2"/>
    <w:rsid w:val="005E59AB"/>
    <w:rsid w:val="005E5A0F"/>
    <w:rsid w:val="005E5ABB"/>
    <w:rsid w:val="005E5B03"/>
    <w:rsid w:val="005E5B46"/>
    <w:rsid w:val="005E5B8A"/>
    <w:rsid w:val="005E5EBE"/>
    <w:rsid w:val="005E609F"/>
    <w:rsid w:val="005E6222"/>
    <w:rsid w:val="005E6917"/>
    <w:rsid w:val="005E6A10"/>
    <w:rsid w:val="005E6AC3"/>
    <w:rsid w:val="005E6AEA"/>
    <w:rsid w:val="005E6B32"/>
    <w:rsid w:val="005E6B3F"/>
    <w:rsid w:val="005E6EC4"/>
    <w:rsid w:val="005E6EFB"/>
    <w:rsid w:val="005E6FEB"/>
    <w:rsid w:val="005E70AE"/>
    <w:rsid w:val="005E717E"/>
    <w:rsid w:val="005E7405"/>
    <w:rsid w:val="005E7448"/>
    <w:rsid w:val="005E7610"/>
    <w:rsid w:val="005E7613"/>
    <w:rsid w:val="005E770F"/>
    <w:rsid w:val="005E7782"/>
    <w:rsid w:val="005E7841"/>
    <w:rsid w:val="005E7864"/>
    <w:rsid w:val="005E79A3"/>
    <w:rsid w:val="005E79BF"/>
    <w:rsid w:val="005E7A18"/>
    <w:rsid w:val="005E7A84"/>
    <w:rsid w:val="005E7B06"/>
    <w:rsid w:val="005E7BFB"/>
    <w:rsid w:val="005E7D95"/>
    <w:rsid w:val="005E7E60"/>
    <w:rsid w:val="005E7FC7"/>
    <w:rsid w:val="005E7FC8"/>
    <w:rsid w:val="005F021B"/>
    <w:rsid w:val="005F02D9"/>
    <w:rsid w:val="005F0318"/>
    <w:rsid w:val="005F0591"/>
    <w:rsid w:val="005F0722"/>
    <w:rsid w:val="005F0C10"/>
    <w:rsid w:val="005F0C91"/>
    <w:rsid w:val="005F0EA5"/>
    <w:rsid w:val="005F0ED4"/>
    <w:rsid w:val="005F0FE2"/>
    <w:rsid w:val="005F1289"/>
    <w:rsid w:val="005F1297"/>
    <w:rsid w:val="005F13AF"/>
    <w:rsid w:val="005F13D8"/>
    <w:rsid w:val="005F145D"/>
    <w:rsid w:val="005F14A3"/>
    <w:rsid w:val="005F1669"/>
    <w:rsid w:val="005F17FE"/>
    <w:rsid w:val="005F19B7"/>
    <w:rsid w:val="005F1B54"/>
    <w:rsid w:val="005F1E8E"/>
    <w:rsid w:val="005F21B1"/>
    <w:rsid w:val="005F262A"/>
    <w:rsid w:val="005F266F"/>
    <w:rsid w:val="005F2696"/>
    <w:rsid w:val="005F279C"/>
    <w:rsid w:val="005F2828"/>
    <w:rsid w:val="005F28CA"/>
    <w:rsid w:val="005F290D"/>
    <w:rsid w:val="005F2B28"/>
    <w:rsid w:val="005F2B6D"/>
    <w:rsid w:val="005F2CE9"/>
    <w:rsid w:val="005F2D66"/>
    <w:rsid w:val="005F2E2C"/>
    <w:rsid w:val="005F2E63"/>
    <w:rsid w:val="005F2EFC"/>
    <w:rsid w:val="005F2F53"/>
    <w:rsid w:val="005F2FBF"/>
    <w:rsid w:val="005F3118"/>
    <w:rsid w:val="005F326D"/>
    <w:rsid w:val="005F34A4"/>
    <w:rsid w:val="005F34C8"/>
    <w:rsid w:val="005F3545"/>
    <w:rsid w:val="005F3566"/>
    <w:rsid w:val="005F356B"/>
    <w:rsid w:val="005F35C5"/>
    <w:rsid w:val="005F3657"/>
    <w:rsid w:val="005F3666"/>
    <w:rsid w:val="005F380A"/>
    <w:rsid w:val="005F381D"/>
    <w:rsid w:val="005F385D"/>
    <w:rsid w:val="005F3885"/>
    <w:rsid w:val="005F3894"/>
    <w:rsid w:val="005F38F1"/>
    <w:rsid w:val="005F392C"/>
    <w:rsid w:val="005F397C"/>
    <w:rsid w:val="005F3A09"/>
    <w:rsid w:val="005F3A40"/>
    <w:rsid w:val="005F3BD9"/>
    <w:rsid w:val="005F3C11"/>
    <w:rsid w:val="005F3D23"/>
    <w:rsid w:val="005F41BD"/>
    <w:rsid w:val="005F425E"/>
    <w:rsid w:val="005F44F0"/>
    <w:rsid w:val="005F451D"/>
    <w:rsid w:val="005F4572"/>
    <w:rsid w:val="005F46E2"/>
    <w:rsid w:val="005F487F"/>
    <w:rsid w:val="005F48DE"/>
    <w:rsid w:val="005F492A"/>
    <w:rsid w:val="005F4B6C"/>
    <w:rsid w:val="005F4B8F"/>
    <w:rsid w:val="005F4CD6"/>
    <w:rsid w:val="005F4D3B"/>
    <w:rsid w:val="005F4D9F"/>
    <w:rsid w:val="005F4F5C"/>
    <w:rsid w:val="005F5029"/>
    <w:rsid w:val="005F51FF"/>
    <w:rsid w:val="005F5356"/>
    <w:rsid w:val="005F53A3"/>
    <w:rsid w:val="005F5443"/>
    <w:rsid w:val="005F5541"/>
    <w:rsid w:val="005F5546"/>
    <w:rsid w:val="005F56BD"/>
    <w:rsid w:val="005F56F1"/>
    <w:rsid w:val="005F571A"/>
    <w:rsid w:val="005F574A"/>
    <w:rsid w:val="005F578F"/>
    <w:rsid w:val="005F57A6"/>
    <w:rsid w:val="005F591D"/>
    <w:rsid w:val="005F5A4A"/>
    <w:rsid w:val="005F5D26"/>
    <w:rsid w:val="005F5DD2"/>
    <w:rsid w:val="005F5F11"/>
    <w:rsid w:val="005F5F17"/>
    <w:rsid w:val="005F605B"/>
    <w:rsid w:val="005F608E"/>
    <w:rsid w:val="005F620E"/>
    <w:rsid w:val="005F623D"/>
    <w:rsid w:val="005F63E8"/>
    <w:rsid w:val="005F6507"/>
    <w:rsid w:val="005F65E3"/>
    <w:rsid w:val="005F671F"/>
    <w:rsid w:val="005F6749"/>
    <w:rsid w:val="005F6767"/>
    <w:rsid w:val="005F677E"/>
    <w:rsid w:val="005F680B"/>
    <w:rsid w:val="005F695F"/>
    <w:rsid w:val="005F6A83"/>
    <w:rsid w:val="005F6ABE"/>
    <w:rsid w:val="005F6BCD"/>
    <w:rsid w:val="005F6BEF"/>
    <w:rsid w:val="005F6C5F"/>
    <w:rsid w:val="005F6FC1"/>
    <w:rsid w:val="005F7012"/>
    <w:rsid w:val="005F74A6"/>
    <w:rsid w:val="005F7699"/>
    <w:rsid w:val="005F76A5"/>
    <w:rsid w:val="005F76BA"/>
    <w:rsid w:val="005F76ED"/>
    <w:rsid w:val="005F7713"/>
    <w:rsid w:val="005F7751"/>
    <w:rsid w:val="005F78E8"/>
    <w:rsid w:val="005F7949"/>
    <w:rsid w:val="005F79C9"/>
    <w:rsid w:val="005F79CB"/>
    <w:rsid w:val="005F79DA"/>
    <w:rsid w:val="005F7B57"/>
    <w:rsid w:val="005F7BC2"/>
    <w:rsid w:val="005F7C98"/>
    <w:rsid w:val="005F7D6F"/>
    <w:rsid w:val="005F7E2B"/>
    <w:rsid w:val="005F7E98"/>
    <w:rsid w:val="005F7FE8"/>
    <w:rsid w:val="006001C0"/>
    <w:rsid w:val="006001F6"/>
    <w:rsid w:val="006001FA"/>
    <w:rsid w:val="006001FF"/>
    <w:rsid w:val="0060021A"/>
    <w:rsid w:val="0060026F"/>
    <w:rsid w:val="0060043B"/>
    <w:rsid w:val="00600524"/>
    <w:rsid w:val="0060061F"/>
    <w:rsid w:val="006008F6"/>
    <w:rsid w:val="0060095C"/>
    <w:rsid w:val="00600AEB"/>
    <w:rsid w:val="00600B6B"/>
    <w:rsid w:val="00600EC0"/>
    <w:rsid w:val="00600FA4"/>
    <w:rsid w:val="00600FE1"/>
    <w:rsid w:val="006010C4"/>
    <w:rsid w:val="006010EE"/>
    <w:rsid w:val="006010EF"/>
    <w:rsid w:val="00601469"/>
    <w:rsid w:val="00601475"/>
    <w:rsid w:val="00601616"/>
    <w:rsid w:val="00601832"/>
    <w:rsid w:val="0060190A"/>
    <w:rsid w:val="0060196B"/>
    <w:rsid w:val="00601A86"/>
    <w:rsid w:val="00601ACA"/>
    <w:rsid w:val="00601C66"/>
    <w:rsid w:val="00601E86"/>
    <w:rsid w:val="00602124"/>
    <w:rsid w:val="0060231F"/>
    <w:rsid w:val="006023A3"/>
    <w:rsid w:val="00602508"/>
    <w:rsid w:val="00602573"/>
    <w:rsid w:val="006027A8"/>
    <w:rsid w:val="006028FA"/>
    <w:rsid w:val="00602A7B"/>
    <w:rsid w:val="00602BAD"/>
    <w:rsid w:val="00602BC2"/>
    <w:rsid w:val="00602C01"/>
    <w:rsid w:val="00602CD5"/>
    <w:rsid w:val="00602D88"/>
    <w:rsid w:val="00602DBD"/>
    <w:rsid w:val="00602DDF"/>
    <w:rsid w:val="00602E27"/>
    <w:rsid w:val="00602E49"/>
    <w:rsid w:val="00602E96"/>
    <w:rsid w:val="00602ECF"/>
    <w:rsid w:val="00602EE0"/>
    <w:rsid w:val="00602FE8"/>
    <w:rsid w:val="006031D2"/>
    <w:rsid w:val="00603210"/>
    <w:rsid w:val="00603343"/>
    <w:rsid w:val="00603503"/>
    <w:rsid w:val="00603579"/>
    <w:rsid w:val="006035D8"/>
    <w:rsid w:val="00603619"/>
    <w:rsid w:val="00603629"/>
    <w:rsid w:val="00603645"/>
    <w:rsid w:val="00603691"/>
    <w:rsid w:val="00603A17"/>
    <w:rsid w:val="00603A30"/>
    <w:rsid w:val="00603B32"/>
    <w:rsid w:val="00603DD4"/>
    <w:rsid w:val="00603DFB"/>
    <w:rsid w:val="00603E88"/>
    <w:rsid w:val="00603FD5"/>
    <w:rsid w:val="00604011"/>
    <w:rsid w:val="00604124"/>
    <w:rsid w:val="0060439B"/>
    <w:rsid w:val="006043CE"/>
    <w:rsid w:val="00604433"/>
    <w:rsid w:val="0060453D"/>
    <w:rsid w:val="00604801"/>
    <w:rsid w:val="00604863"/>
    <w:rsid w:val="00604C62"/>
    <w:rsid w:val="00604F6F"/>
    <w:rsid w:val="00604F76"/>
    <w:rsid w:val="00604F7A"/>
    <w:rsid w:val="00605069"/>
    <w:rsid w:val="006050D4"/>
    <w:rsid w:val="006052A2"/>
    <w:rsid w:val="00605327"/>
    <w:rsid w:val="006053D8"/>
    <w:rsid w:val="006053ED"/>
    <w:rsid w:val="006054CD"/>
    <w:rsid w:val="00605549"/>
    <w:rsid w:val="0060554A"/>
    <w:rsid w:val="0060561B"/>
    <w:rsid w:val="00605648"/>
    <w:rsid w:val="0060567F"/>
    <w:rsid w:val="006056EF"/>
    <w:rsid w:val="006057FE"/>
    <w:rsid w:val="00605900"/>
    <w:rsid w:val="0060599C"/>
    <w:rsid w:val="006059FC"/>
    <w:rsid w:val="00605AE3"/>
    <w:rsid w:val="00605BF4"/>
    <w:rsid w:val="00605CC1"/>
    <w:rsid w:val="00605CCD"/>
    <w:rsid w:val="00605E27"/>
    <w:rsid w:val="00605E76"/>
    <w:rsid w:val="00605FF1"/>
    <w:rsid w:val="00606015"/>
    <w:rsid w:val="00606162"/>
    <w:rsid w:val="00606180"/>
    <w:rsid w:val="006062B7"/>
    <w:rsid w:val="006064F9"/>
    <w:rsid w:val="00606679"/>
    <w:rsid w:val="0060678C"/>
    <w:rsid w:val="00606829"/>
    <w:rsid w:val="00606947"/>
    <w:rsid w:val="00606A21"/>
    <w:rsid w:val="00606B0E"/>
    <w:rsid w:val="00606B79"/>
    <w:rsid w:val="00606BB0"/>
    <w:rsid w:val="00606C55"/>
    <w:rsid w:val="00606C5E"/>
    <w:rsid w:val="00606C60"/>
    <w:rsid w:val="00606E15"/>
    <w:rsid w:val="00606E46"/>
    <w:rsid w:val="00606E54"/>
    <w:rsid w:val="00606EC8"/>
    <w:rsid w:val="00606FE1"/>
    <w:rsid w:val="0060713E"/>
    <w:rsid w:val="006073EF"/>
    <w:rsid w:val="00607458"/>
    <w:rsid w:val="006075CF"/>
    <w:rsid w:val="006075ED"/>
    <w:rsid w:val="0060764D"/>
    <w:rsid w:val="00607738"/>
    <w:rsid w:val="0060792B"/>
    <w:rsid w:val="00607A6A"/>
    <w:rsid w:val="00607BEB"/>
    <w:rsid w:val="00607BF9"/>
    <w:rsid w:val="00607CA0"/>
    <w:rsid w:val="00607CD6"/>
    <w:rsid w:val="00607D10"/>
    <w:rsid w:val="00607D68"/>
    <w:rsid w:val="00607DC8"/>
    <w:rsid w:val="00607E68"/>
    <w:rsid w:val="00607E81"/>
    <w:rsid w:val="00607F03"/>
    <w:rsid w:val="00607F09"/>
    <w:rsid w:val="00607FE9"/>
    <w:rsid w:val="0061002C"/>
    <w:rsid w:val="00610049"/>
    <w:rsid w:val="00610191"/>
    <w:rsid w:val="00610205"/>
    <w:rsid w:val="006102DE"/>
    <w:rsid w:val="006103B7"/>
    <w:rsid w:val="00610461"/>
    <w:rsid w:val="00610627"/>
    <w:rsid w:val="006107E6"/>
    <w:rsid w:val="00610870"/>
    <w:rsid w:val="006108CB"/>
    <w:rsid w:val="006109D3"/>
    <w:rsid w:val="00610B8F"/>
    <w:rsid w:val="00610D02"/>
    <w:rsid w:val="00610D15"/>
    <w:rsid w:val="00610DA3"/>
    <w:rsid w:val="00610E76"/>
    <w:rsid w:val="00610F31"/>
    <w:rsid w:val="00610F6C"/>
    <w:rsid w:val="0061104B"/>
    <w:rsid w:val="0061127B"/>
    <w:rsid w:val="00611502"/>
    <w:rsid w:val="00611510"/>
    <w:rsid w:val="0061152A"/>
    <w:rsid w:val="00611625"/>
    <w:rsid w:val="006117B5"/>
    <w:rsid w:val="00611A05"/>
    <w:rsid w:val="00611A32"/>
    <w:rsid w:val="00611CEF"/>
    <w:rsid w:val="00611DF7"/>
    <w:rsid w:val="00611E74"/>
    <w:rsid w:val="00611F20"/>
    <w:rsid w:val="00611FD5"/>
    <w:rsid w:val="00612267"/>
    <w:rsid w:val="006123C3"/>
    <w:rsid w:val="006124E1"/>
    <w:rsid w:val="006126B2"/>
    <w:rsid w:val="0061278B"/>
    <w:rsid w:val="006128AD"/>
    <w:rsid w:val="00612930"/>
    <w:rsid w:val="00612A3F"/>
    <w:rsid w:val="00612C83"/>
    <w:rsid w:val="00612DF6"/>
    <w:rsid w:val="00612E60"/>
    <w:rsid w:val="00612EB9"/>
    <w:rsid w:val="0061302C"/>
    <w:rsid w:val="00613087"/>
    <w:rsid w:val="0061309E"/>
    <w:rsid w:val="00613164"/>
    <w:rsid w:val="00613271"/>
    <w:rsid w:val="00613305"/>
    <w:rsid w:val="00613595"/>
    <w:rsid w:val="00613ADB"/>
    <w:rsid w:val="00613E19"/>
    <w:rsid w:val="00613EBC"/>
    <w:rsid w:val="00613EEF"/>
    <w:rsid w:val="0061401F"/>
    <w:rsid w:val="006141A7"/>
    <w:rsid w:val="00614516"/>
    <w:rsid w:val="0061468D"/>
    <w:rsid w:val="006146C0"/>
    <w:rsid w:val="0061474E"/>
    <w:rsid w:val="0061486C"/>
    <w:rsid w:val="0061487C"/>
    <w:rsid w:val="00614905"/>
    <w:rsid w:val="0061499B"/>
    <w:rsid w:val="00614A4E"/>
    <w:rsid w:val="00614A6A"/>
    <w:rsid w:val="00614CF1"/>
    <w:rsid w:val="00614E8A"/>
    <w:rsid w:val="00614F9B"/>
    <w:rsid w:val="0061501A"/>
    <w:rsid w:val="0061512E"/>
    <w:rsid w:val="0061524E"/>
    <w:rsid w:val="0061525C"/>
    <w:rsid w:val="00615403"/>
    <w:rsid w:val="00615440"/>
    <w:rsid w:val="006154B9"/>
    <w:rsid w:val="00615544"/>
    <w:rsid w:val="0061554D"/>
    <w:rsid w:val="006155F9"/>
    <w:rsid w:val="00615654"/>
    <w:rsid w:val="00615668"/>
    <w:rsid w:val="006156CE"/>
    <w:rsid w:val="006158E1"/>
    <w:rsid w:val="006159FB"/>
    <w:rsid w:val="00615CA3"/>
    <w:rsid w:val="00615CC8"/>
    <w:rsid w:val="00615D4D"/>
    <w:rsid w:val="00615D79"/>
    <w:rsid w:val="00615DE6"/>
    <w:rsid w:val="00615FCC"/>
    <w:rsid w:val="00616060"/>
    <w:rsid w:val="006163DB"/>
    <w:rsid w:val="006164A5"/>
    <w:rsid w:val="00616554"/>
    <w:rsid w:val="0061691F"/>
    <w:rsid w:val="00616CA6"/>
    <w:rsid w:val="00616DC8"/>
    <w:rsid w:val="00616DCE"/>
    <w:rsid w:val="00616EC6"/>
    <w:rsid w:val="006172DC"/>
    <w:rsid w:val="006174F9"/>
    <w:rsid w:val="00617501"/>
    <w:rsid w:val="006175A7"/>
    <w:rsid w:val="006175DC"/>
    <w:rsid w:val="006176C0"/>
    <w:rsid w:val="006176C7"/>
    <w:rsid w:val="00617752"/>
    <w:rsid w:val="0061778B"/>
    <w:rsid w:val="006177E9"/>
    <w:rsid w:val="00617959"/>
    <w:rsid w:val="00617A17"/>
    <w:rsid w:val="00617A3A"/>
    <w:rsid w:val="00617AA5"/>
    <w:rsid w:val="00617C71"/>
    <w:rsid w:val="00617CA0"/>
    <w:rsid w:val="00617D40"/>
    <w:rsid w:val="00617E7B"/>
    <w:rsid w:val="00617E87"/>
    <w:rsid w:val="00617EF1"/>
    <w:rsid w:val="00617FF5"/>
    <w:rsid w:val="006201ED"/>
    <w:rsid w:val="00620251"/>
    <w:rsid w:val="00620437"/>
    <w:rsid w:val="006204B8"/>
    <w:rsid w:val="00620548"/>
    <w:rsid w:val="00620700"/>
    <w:rsid w:val="00620844"/>
    <w:rsid w:val="006208A0"/>
    <w:rsid w:val="006208D2"/>
    <w:rsid w:val="006209F9"/>
    <w:rsid w:val="00620B49"/>
    <w:rsid w:val="00620C99"/>
    <w:rsid w:val="00620DDC"/>
    <w:rsid w:val="00620E27"/>
    <w:rsid w:val="00620E30"/>
    <w:rsid w:val="00620EF2"/>
    <w:rsid w:val="00620F32"/>
    <w:rsid w:val="00620FA3"/>
    <w:rsid w:val="00620FD9"/>
    <w:rsid w:val="00620FF8"/>
    <w:rsid w:val="0062116C"/>
    <w:rsid w:val="00621355"/>
    <w:rsid w:val="0062137C"/>
    <w:rsid w:val="00621585"/>
    <w:rsid w:val="0062158B"/>
    <w:rsid w:val="0062160C"/>
    <w:rsid w:val="00621876"/>
    <w:rsid w:val="00621A62"/>
    <w:rsid w:val="00621C3C"/>
    <w:rsid w:val="00621CFF"/>
    <w:rsid w:val="00622027"/>
    <w:rsid w:val="006220C9"/>
    <w:rsid w:val="00622114"/>
    <w:rsid w:val="00622397"/>
    <w:rsid w:val="006223A7"/>
    <w:rsid w:val="00622716"/>
    <w:rsid w:val="0062283B"/>
    <w:rsid w:val="00622C47"/>
    <w:rsid w:val="00622E08"/>
    <w:rsid w:val="00622E18"/>
    <w:rsid w:val="00622E71"/>
    <w:rsid w:val="00622F47"/>
    <w:rsid w:val="00623070"/>
    <w:rsid w:val="006231C8"/>
    <w:rsid w:val="006232C7"/>
    <w:rsid w:val="0062353A"/>
    <w:rsid w:val="006235DD"/>
    <w:rsid w:val="00623682"/>
    <w:rsid w:val="006236CF"/>
    <w:rsid w:val="0062370D"/>
    <w:rsid w:val="0062379D"/>
    <w:rsid w:val="00623888"/>
    <w:rsid w:val="006239A5"/>
    <w:rsid w:val="006239E1"/>
    <w:rsid w:val="00623A2E"/>
    <w:rsid w:val="00623A37"/>
    <w:rsid w:val="00623C79"/>
    <w:rsid w:val="00623D83"/>
    <w:rsid w:val="00623DFA"/>
    <w:rsid w:val="00623E06"/>
    <w:rsid w:val="00623E72"/>
    <w:rsid w:val="00624048"/>
    <w:rsid w:val="00624136"/>
    <w:rsid w:val="006241BE"/>
    <w:rsid w:val="0062423C"/>
    <w:rsid w:val="006242DF"/>
    <w:rsid w:val="006243C2"/>
    <w:rsid w:val="00624446"/>
    <w:rsid w:val="00624531"/>
    <w:rsid w:val="00624541"/>
    <w:rsid w:val="006245E3"/>
    <w:rsid w:val="0062481E"/>
    <w:rsid w:val="006248B3"/>
    <w:rsid w:val="00624A51"/>
    <w:rsid w:val="00624ABA"/>
    <w:rsid w:val="00624B78"/>
    <w:rsid w:val="00624B90"/>
    <w:rsid w:val="00624BED"/>
    <w:rsid w:val="00624D45"/>
    <w:rsid w:val="00624E51"/>
    <w:rsid w:val="00624F2E"/>
    <w:rsid w:val="006250EC"/>
    <w:rsid w:val="00625176"/>
    <w:rsid w:val="00625191"/>
    <w:rsid w:val="0062519C"/>
    <w:rsid w:val="00625263"/>
    <w:rsid w:val="0062528B"/>
    <w:rsid w:val="0062546B"/>
    <w:rsid w:val="006254E2"/>
    <w:rsid w:val="0062553E"/>
    <w:rsid w:val="006255DE"/>
    <w:rsid w:val="006258DA"/>
    <w:rsid w:val="006259E3"/>
    <w:rsid w:val="00625A4C"/>
    <w:rsid w:val="00625A58"/>
    <w:rsid w:val="00625B91"/>
    <w:rsid w:val="00625D66"/>
    <w:rsid w:val="00625D67"/>
    <w:rsid w:val="00626036"/>
    <w:rsid w:val="006260BD"/>
    <w:rsid w:val="006261F1"/>
    <w:rsid w:val="006263A8"/>
    <w:rsid w:val="0062647B"/>
    <w:rsid w:val="006264F8"/>
    <w:rsid w:val="0062658A"/>
    <w:rsid w:val="006265AB"/>
    <w:rsid w:val="006266E9"/>
    <w:rsid w:val="006267EA"/>
    <w:rsid w:val="0062685D"/>
    <w:rsid w:val="00626925"/>
    <w:rsid w:val="00626ABF"/>
    <w:rsid w:val="00626AC8"/>
    <w:rsid w:val="00626BC3"/>
    <w:rsid w:val="00626DA4"/>
    <w:rsid w:val="00626E31"/>
    <w:rsid w:val="00626EDF"/>
    <w:rsid w:val="00627068"/>
    <w:rsid w:val="006271CE"/>
    <w:rsid w:val="0062724E"/>
    <w:rsid w:val="0062736F"/>
    <w:rsid w:val="006273DF"/>
    <w:rsid w:val="006274B2"/>
    <w:rsid w:val="00627520"/>
    <w:rsid w:val="006275B5"/>
    <w:rsid w:val="00627757"/>
    <w:rsid w:val="006277ED"/>
    <w:rsid w:val="00627814"/>
    <w:rsid w:val="0062784F"/>
    <w:rsid w:val="006279C2"/>
    <w:rsid w:val="00627A57"/>
    <w:rsid w:val="00627A94"/>
    <w:rsid w:val="00627AB0"/>
    <w:rsid w:val="00627AB9"/>
    <w:rsid w:val="00627BC9"/>
    <w:rsid w:val="00627CDB"/>
    <w:rsid w:val="00627EB3"/>
    <w:rsid w:val="00627ECD"/>
    <w:rsid w:val="006300D7"/>
    <w:rsid w:val="00630477"/>
    <w:rsid w:val="006304C4"/>
    <w:rsid w:val="006307BF"/>
    <w:rsid w:val="00630851"/>
    <w:rsid w:val="00630863"/>
    <w:rsid w:val="006309EA"/>
    <w:rsid w:val="00630A85"/>
    <w:rsid w:val="00630ABA"/>
    <w:rsid w:val="00630CBE"/>
    <w:rsid w:val="00630CCD"/>
    <w:rsid w:val="00630CD6"/>
    <w:rsid w:val="00630F02"/>
    <w:rsid w:val="00630F20"/>
    <w:rsid w:val="00630FCD"/>
    <w:rsid w:val="006310EE"/>
    <w:rsid w:val="006311EF"/>
    <w:rsid w:val="006315AC"/>
    <w:rsid w:val="006315F3"/>
    <w:rsid w:val="0063162B"/>
    <w:rsid w:val="006316F4"/>
    <w:rsid w:val="00631985"/>
    <w:rsid w:val="00631ADB"/>
    <w:rsid w:val="00631BDA"/>
    <w:rsid w:val="00631C26"/>
    <w:rsid w:val="00631C9D"/>
    <w:rsid w:val="00631CE6"/>
    <w:rsid w:val="00631CF3"/>
    <w:rsid w:val="00631E20"/>
    <w:rsid w:val="0063202E"/>
    <w:rsid w:val="006320EA"/>
    <w:rsid w:val="006322A9"/>
    <w:rsid w:val="006322BF"/>
    <w:rsid w:val="00632322"/>
    <w:rsid w:val="00632691"/>
    <w:rsid w:val="006326F5"/>
    <w:rsid w:val="00632719"/>
    <w:rsid w:val="006329A6"/>
    <w:rsid w:val="00632B62"/>
    <w:rsid w:val="00632B76"/>
    <w:rsid w:val="00632CE1"/>
    <w:rsid w:val="00632EA4"/>
    <w:rsid w:val="00632ED4"/>
    <w:rsid w:val="00632EE4"/>
    <w:rsid w:val="00632F82"/>
    <w:rsid w:val="006330B4"/>
    <w:rsid w:val="006331A8"/>
    <w:rsid w:val="006331BF"/>
    <w:rsid w:val="006332BD"/>
    <w:rsid w:val="0063330E"/>
    <w:rsid w:val="0063336C"/>
    <w:rsid w:val="006333BB"/>
    <w:rsid w:val="00633459"/>
    <w:rsid w:val="00633482"/>
    <w:rsid w:val="006334B6"/>
    <w:rsid w:val="006335F2"/>
    <w:rsid w:val="006336E4"/>
    <w:rsid w:val="0063381B"/>
    <w:rsid w:val="00633C88"/>
    <w:rsid w:val="00633C90"/>
    <w:rsid w:val="00633D88"/>
    <w:rsid w:val="00633F63"/>
    <w:rsid w:val="00634035"/>
    <w:rsid w:val="006340BD"/>
    <w:rsid w:val="00634105"/>
    <w:rsid w:val="00634311"/>
    <w:rsid w:val="0063449B"/>
    <w:rsid w:val="006344CB"/>
    <w:rsid w:val="0063457D"/>
    <w:rsid w:val="006345B9"/>
    <w:rsid w:val="006346F2"/>
    <w:rsid w:val="00634899"/>
    <w:rsid w:val="006349AE"/>
    <w:rsid w:val="00634A49"/>
    <w:rsid w:val="00634AAA"/>
    <w:rsid w:val="00634B5F"/>
    <w:rsid w:val="00634B8D"/>
    <w:rsid w:val="00634C58"/>
    <w:rsid w:val="00634D0D"/>
    <w:rsid w:val="00634ECD"/>
    <w:rsid w:val="00634EE3"/>
    <w:rsid w:val="006350C8"/>
    <w:rsid w:val="006350E8"/>
    <w:rsid w:val="00635291"/>
    <w:rsid w:val="006352B0"/>
    <w:rsid w:val="00635327"/>
    <w:rsid w:val="0063535C"/>
    <w:rsid w:val="006356E2"/>
    <w:rsid w:val="006356F6"/>
    <w:rsid w:val="0063580D"/>
    <w:rsid w:val="0063581C"/>
    <w:rsid w:val="00635997"/>
    <w:rsid w:val="00635A60"/>
    <w:rsid w:val="00635B1E"/>
    <w:rsid w:val="00635B70"/>
    <w:rsid w:val="00635D83"/>
    <w:rsid w:val="00635FE1"/>
    <w:rsid w:val="00636153"/>
    <w:rsid w:val="006361C3"/>
    <w:rsid w:val="00636241"/>
    <w:rsid w:val="00636349"/>
    <w:rsid w:val="006363C8"/>
    <w:rsid w:val="0063642E"/>
    <w:rsid w:val="006364B5"/>
    <w:rsid w:val="006364D6"/>
    <w:rsid w:val="00636652"/>
    <w:rsid w:val="0063687A"/>
    <w:rsid w:val="00636889"/>
    <w:rsid w:val="006369D9"/>
    <w:rsid w:val="00636A0C"/>
    <w:rsid w:val="00636A6B"/>
    <w:rsid w:val="00636A9F"/>
    <w:rsid w:val="00636B7E"/>
    <w:rsid w:val="00636BFE"/>
    <w:rsid w:val="00636EFA"/>
    <w:rsid w:val="00637125"/>
    <w:rsid w:val="00637209"/>
    <w:rsid w:val="00637363"/>
    <w:rsid w:val="00637413"/>
    <w:rsid w:val="0063742E"/>
    <w:rsid w:val="006374E7"/>
    <w:rsid w:val="00637534"/>
    <w:rsid w:val="006377A4"/>
    <w:rsid w:val="006378E4"/>
    <w:rsid w:val="006378EF"/>
    <w:rsid w:val="00637B6C"/>
    <w:rsid w:val="00637E3D"/>
    <w:rsid w:val="00637EF0"/>
    <w:rsid w:val="00637F22"/>
    <w:rsid w:val="00637FB1"/>
    <w:rsid w:val="006400A7"/>
    <w:rsid w:val="0064010A"/>
    <w:rsid w:val="0064014C"/>
    <w:rsid w:val="0064019E"/>
    <w:rsid w:val="006401EF"/>
    <w:rsid w:val="0064048E"/>
    <w:rsid w:val="006404D8"/>
    <w:rsid w:val="006407A8"/>
    <w:rsid w:val="006407B7"/>
    <w:rsid w:val="00640863"/>
    <w:rsid w:val="00640A5B"/>
    <w:rsid w:val="00640A7E"/>
    <w:rsid w:val="00640B09"/>
    <w:rsid w:val="00640FDC"/>
    <w:rsid w:val="0064107E"/>
    <w:rsid w:val="0064108D"/>
    <w:rsid w:val="00641099"/>
    <w:rsid w:val="00641144"/>
    <w:rsid w:val="0064117D"/>
    <w:rsid w:val="0064118A"/>
    <w:rsid w:val="00641731"/>
    <w:rsid w:val="00641785"/>
    <w:rsid w:val="00641894"/>
    <w:rsid w:val="006418D5"/>
    <w:rsid w:val="006419C8"/>
    <w:rsid w:val="006419ED"/>
    <w:rsid w:val="00641BC6"/>
    <w:rsid w:val="00641CD2"/>
    <w:rsid w:val="00641D84"/>
    <w:rsid w:val="00641DA7"/>
    <w:rsid w:val="0064218B"/>
    <w:rsid w:val="006421A8"/>
    <w:rsid w:val="006421C0"/>
    <w:rsid w:val="0064221C"/>
    <w:rsid w:val="0064224F"/>
    <w:rsid w:val="00642256"/>
    <w:rsid w:val="006422D0"/>
    <w:rsid w:val="006423F1"/>
    <w:rsid w:val="0064249D"/>
    <w:rsid w:val="006427AF"/>
    <w:rsid w:val="006427ED"/>
    <w:rsid w:val="00642A3B"/>
    <w:rsid w:val="00642A84"/>
    <w:rsid w:val="00642C07"/>
    <w:rsid w:val="00642CDB"/>
    <w:rsid w:val="00642D6C"/>
    <w:rsid w:val="00642DF3"/>
    <w:rsid w:val="00642E58"/>
    <w:rsid w:val="00642E5C"/>
    <w:rsid w:val="00642E66"/>
    <w:rsid w:val="00642EEB"/>
    <w:rsid w:val="00643221"/>
    <w:rsid w:val="0064323E"/>
    <w:rsid w:val="0064329B"/>
    <w:rsid w:val="00643493"/>
    <w:rsid w:val="00643502"/>
    <w:rsid w:val="00643542"/>
    <w:rsid w:val="0064371D"/>
    <w:rsid w:val="0064383E"/>
    <w:rsid w:val="006439EA"/>
    <w:rsid w:val="00643B8A"/>
    <w:rsid w:val="00643E80"/>
    <w:rsid w:val="00643F9E"/>
    <w:rsid w:val="00643FDE"/>
    <w:rsid w:val="006440B5"/>
    <w:rsid w:val="00644150"/>
    <w:rsid w:val="006441E8"/>
    <w:rsid w:val="00644369"/>
    <w:rsid w:val="006443D3"/>
    <w:rsid w:val="00644432"/>
    <w:rsid w:val="0064451E"/>
    <w:rsid w:val="006445C3"/>
    <w:rsid w:val="00644778"/>
    <w:rsid w:val="00644794"/>
    <w:rsid w:val="00644949"/>
    <w:rsid w:val="006449AB"/>
    <w:rsid w:val="006449F6"/>
    <w:rsid w:val="00644AB7"/>
    <w:rsid w:val="00644CC1"/>
    <w:rsid w:val="00644D2E"/>
    <w:rsid w:val="00644F62"/>
    <w:rsid w:val="00644F6A"/>
    <w:rsid w:val="006450DA"/>
    <w:rsid w:val="006451A5"/>
    <w:rsid w:val="00645209"/>
    <w:rsid w:val="0064532F"/>
    <w:rsid w:val="00645407"/>
    <w:rsid w:val="00645450"/>
    <w:rsid w:val="006454CA"/>
    <w:rsid w:val="0064554C"/>
    <w:rsid w:val="006455A8"/>
    <w:rsid w:val="006456C0"/>
    <w:rsid w:val="006456C1"/>
    <w:rsid w:val="006457D2"/>
    <w:rsid w:val="006457DD"/>
    <w:rsid w:val="0064581B"/>
    <w:rsid w:val="006459BD"/>
    <w:rsid w:val="00645DC0"/>
    <w:rsid w:val="00645ED8"/>
    <w:rsid w:val="00645F03"/>
    <w:rsid w:val="00645FC1"/>
    <w:rsid w:val="00646071"/>
    <w:rsid w:val="0064615E"/>
    <w:rsid w:val="00646328"/>
    <w:rsid w:val="006463B6"/>
    <w:rsid w:val="006465A1"/>
    <w:rsid w:val="00646682"/>
    <w:rsid w:val="00646873"/>
    <w:rsid w:val="00646906"/>
    <w:rsid w:val="00646A62"/>
    <w:rsid w:val="00646BCB"/>
    <w:rsid w:val="00646C31"/>
    <w:rsid w:val="00646C43"/>
    <w:rsid w:val="00646CF0"/>
    <w:rsid w:val="00646D6A"/>
    <w:rsid w:val="00646DCC"/>
    <w:rsid w:val="00647108"/>
    <w:rsid w:val="006472FD"/>
    <w:rsid w:val="006473AA"/>
    <w:rsid w:val="006475BD"/>
    <w:rsid w:val="006475D1"/>
    <w:rsid w:val="006475F9"/>
    <w:rsid w:val="00647691"/>
    <w:rsid w:val="006476F9"/>
    <w:rsid w:val="00647755"/>
    <w:rsid w:val="006477B5"/>
    <w:rsid w:val="006477F1"/>
    <w:rsid w:val="00647836"/>
    <w:rsid w:val="006478C4"/>
    <w:rsid w:val="0064798D"/>
    <w:rsid w:val="00647A6C"/>
    <w:rsid w:val="00647AC1"/>
    <w:rsid w:val="00647BE1"/>
    <w:rsid w:val="00647D9E"/>
    <w:rsid w:val="00647DBC"/>
    <w:rsid w:val="00647F16"/>
    <w:rsid w:val="00650114"/>
    <w:rsid w:val="006501A7"/>
    <w:rsid w:val="0065076A"/>
    <w:rsid w:val="006507C3"/>
    <w:rsid w:val="00650947"/>
    <w:rsid w:val="00650B08"/>
    <w:rsid w:val="00650CE2"/>
    <w:rsid w:val="00650ED4"/>
    <w:rsid w:val="00650EF0"/>
    <w:rsid w:val="006511BD"/>
    <w:rsid w:val="006512E4"/>
    <w:rsid w:val="00651659"/>
    <w:rsid w:val="006516EC"/>
    <w:rsid w:val="00651782"/>
    <w:rsid w:val="00651828"/>
    <w:rsid w:val="0065198B"/>
    <w:rsid w:val="006519A2"/>
    <w:rsid w:val="006519D7"/>
    <w:rsid w:val="00651C76"/>
    <w:rsid w:val="00651DE8"/>
    <w:rsid w:val="00651E28"/>
    <w:rsid w:val="00651E37"/>
    <w:rsid w:val="00651EB1"/>
    <w:rsid w:val="00651EE8"/>
    <w:rsid w:val="00651F9E"/>
    <w:rsid w:val="006520BD"/>
    <w:rsid w:val="0065228C"/>
    <w:rsid w:val="00652540"/>
    <w:rsid w:val="006527FF"/>
    <w:rsid w:val="00652911"/>
    <w:rsid w:val="00652992"/>
    <w:rsid w:val="00652D1E"/>
    <w:rsid w:val="00652DD6"/>
    <w:rsid w:val="00652FB6"/>
    <w:rsid w:val="00653011"/>
    <w:rsid w:val="00653086"/>
    <w:rsid w:val="006535F8"/>
    <w:rsid w:val="00653650"/>
    <w:rsid w:val="0065365F"/>
    <w:rsid w:val="00653762"/>
    <w:rsid w:val="00653854"/>
    <w:rsid w:val="00653BA8"/>
    <w:rsid w:val="00653CE0"/>
    <w:rsid w:val="00653D97"/>
    <w:rsid w:val="00653E30"/>
    <w:rsid w:val="00653E39"/>
    <w:rsid w:val="00653F0F"/>
    <w:rsid w:val="00654014"/>
    <w:rsid w:val="00654072"/>
    <w:rsid w:val="0065410F"/>
    <w:rsid w:val="0065411B"/>
    <w:rsid w:val="0065419F"/>
    <w:rsid w:val="006541C7"/>
    <w:rsid w:val="006541FF"/>
    <w:rsid w:val="00654266"/>
    <w:rsid w:val="006542D6"/>
    <w:rsid w:val="006543AF"/>
    <w:rsid w:val="006543EE"/>
    <w:rsid w:val="00654445"/>
    <w:rsid w:val="006544A1"/>
    <w:rsid w:val="0065458E"/>
    <w:rsid w:val="0065472B"/>
    <w:rsid w:val="00654775"/>
    <w:rsid w:val="006547DD"/>
    <w:rsid w:val="00654812"/>
    <w:rsid w:val="00654925"/>
    <w:rsid w:val="006549BC"/>
    <w:rsid w:val="00654A2E"/>
    <w:rsid w:val="00654CD3"/>
    <w:rsid w:val="00654E75"/>
    <w:rsid w:val="00654F59"/>
    <w:rsid w:val="00654F9A"/>
    <w:rsid w:val="00654FB2"/>
    <w:rsid w:val="00655124"/>
    <w:rsid w:val="006552AB"/>
    <w:rsid w:val="006552E4"/>
    <w:rsid w:val="00655339"/>
    <w:rsid w:val="00655447"/>
    <w:rsid w:val="006554B1"/>
    <w:rsid w:val="00655500"/>
    <w:rsid w:val="006555A7"/>
    <w:rsid w:val="006556D6"/>
    <w:rsid w:val="006559C2"/>
    <w:rsid w:val="00655CC3"/>
    <w:rsid w:val="00655D43"/>
    <w:rsid w:val="00655E6D"/>
    <w:rsid w:val="00655E8A"/>
    <w:rsid w:val="00655F53"/>
    <w:rsid w:val="00656001"/>
    <w:rsid w:val="00656077"/>
    <w:rsid w:val="006562FA"/>
    <w:rsid w:val="00656397"/>
    <w:rsid w:val="006566C0"/>
    <w:rsid w:val="006566C6"/>
    <w:rsid w:val="00656A8A"/>
    <w:rsid w:val="00656B8F"/>
    <w:rsid w:val="00656BDA"/>
    <w:rsid w:val="00656C23"/>
    <w:rsid w:val="00656C69"/>
    <w:rsid w:val="00657001"/>
    <w:rsid w:val="00657017"/>
    <w:rsid w:val="00657097"/>
    <w:rsid w:val="0065710F"/>
    <w:rsid w:val="00657257"/>
    <w:rsid w:val="0065753F"/>
    <w:rsid w:val="00657586"/>
    <w:rsid w:val="006575B5"/>
    <w:rsid w:val="006575B7"/>
    <w:rsid w:val="006579C6"/>
    <w:rsid w:val="00657AA8"/>
    <w:rsid w:val="00657B66"/>
    <w:rsid w:val="00657EA1"/>
    <w:rsid w:val="00657EC1"/>
    <w:rsid w:val="00657F79"/>
    <w:rsid w:val="006601AA"/>
    <w:rsid w:val="006602A2"/>
    <w:rsid w:val="006603D4"/>
    <w:rsid w:val="00660406"/>
    <w:rsid w:val="0066040F"/>
    <w:rsid w:val="006604B7"/>
    <w:rsid w:val="006604C8"/>
    <w:rsid w:val="006604DC"/>
    <w:rsid w:val="006605A7"/>
    <w:rsid w:val="00660731"/>
    <w:rsid w:val="006607A7"/>
    <w:rsid w:val="00660966"/>
    <w:rsid w:val="00660D82"/>
    <w:rsid w:val="00660DAD"/>
    <w:rsid w:val="00660F08"/>
    <w:rsid w:val="00660F42"/>
    <w:rsid w:val="0066110A"/>
    <w:rsid w:val="006612E8"/>
    <w:rsid w:val="00661432"/>
    <w:rsid w:val="006614E1"/>
    <w:rsid w:val="00661542"/>
    <w:rsid w:val="006615F8"/>
    <w:rsid w:val="00661636"/>
    <w:rsid w:val="00661650"/>
    <w:rsid w:val="006617BA"/>
    <w:rsid w:val="0066186F"/>
    <w:rsid w:val="00661995"/>
    <w:rsid w:val="006619EB"/>
    <w:rsid w:val="00661A8A"/>
    <w:rsid w:val="00661AC6"/>
    <w:rsid w:val="00661B11"/>
    <w:rsid w:val="00661C4F"/>
    <w:rsid w:val="00661E06"/>
    <w:rsid w:val="00661F33"/>
    <w:rsid w:val="006620EA"/>
    <w:rsid w:val="00662209"/>
    <w:rsid w:val="00662314"/>
    <w:rsid w:val="0066233F"/>
    <w:rsid w:val="006623C9"/>
    <w:rsid w:val="00662462"/>
    <w:rsid w:val="00662654"/>
    <w:rsid w:val="006626C4"/>
    <w:rsid w:val="00662857"/>
    <w:rsid w:val="00662974"/>
    <w:rsid w:val="00662B31"/>
    <w:rsid w:val="00662CFA"/>
    <w:rsid w:val="00662E27"/>
    <w:rsid w:val="00662E79"/>
    <w:rsid w:val="00663278"/>
    <w:rsid w:val="006632B9"/>
    <w:rsid w:val="006632F5"/>
    <w:rsid w:val="00663338"/>
    <w:rsid w:val="00663448"/>
    <w:rsid w:val="00663538"/>
    <w:rsid w:val="0066359A"/>
    <w:rsid w:val="006635AD"/>
    <w:rsid w:val="00663795"/>
    <w:rsid w:val="006637D0"/>
    <w:rsid w:val="00663883"/>
    <w:rsid w:val="00663C84"/>
    <w:rsid w:val="00663D7C"/>
    <w:rsid w:val="00663D93"/>
    <w:rsid w:val="00663EAC"/>
    <w:rsid w:val="00663F02"/>
    <w:rsid w:val="00664434"/>
    <w:rsid w:val="0066462A"/>
    <w:rsid w:val="00664BBB"/>
    <w:rsid w:val="00664BE5"/>
    <w:rsid w:val="00664DF8"/>
    <w:rsid w:val="00664E50"/>
    <w:rsid w:val="00664F0B"/>
    <w:rsid w:val="006650E1"/>
    <w:rsid w:val="00665168"/>
    <w:rsid w:val="006651A6"/>
    <w:rsid w:val="006651E6"/>
    <w:rsid w:val="006652B2"/>
    <w:rsid w:val="00665881"/>
    <w:rsid w:val="006658FA"/>
    <w:rsid w:val="006659E8"/>
    <w:rsid w:val="00665D9C"/>
    <w:rsid w:val="00665F85"/>
    <w:rsid w:val="0066611B"/>
    <w:rsid w:val="006665DE"/>
    <w:rsid w:val="00666648"/>
    <w:rsid w:val="006667E6"/>
    <w:rsid w:val="006668A7"/>
    <w:rsid w:val="006668FE"/>
    <w:rsid w:val="006669DB"/>
    <w:rsid w:val="00666B88"/>
    <w:rsid w:val="00666BDD"/>
    <w:rsid w:val="00666DD3"/>
    <w:rsid w:val="00666EAD"/>
    <w:rsid w:val="00667041"/>
    <w:rsid w:val="006670D1"/>
    <w:rsid w:val="0066713E"/>
    <w:rsid w:val="0066719A"/>
    <w:rsid w:val="0066723D"/>
    <w:rsid w:val="00667286"/>
    <w:rsid w:val="0066736B"/>
    <w:rsid w:val="006673BB"/>
    <w:rsid w:val="00667583"/>
    <w:rsid w:val="006675E9"/>
    <w:rsid w:val="00667708"/>
    <w:rsid w:val="00667868"/>
    <w:rsid w:val="006679E9"/>
    <w:rsid w:val="00667B00"/>
    <w:rsid w:val="00667BE9"/>
    <w:rsid w:val="00667C47"/>
    <w:rsid w:val="00667D77"/>
    <w:rsid w:val="0067017D"/>
    <w:rsid w:val="006702EA"/>
    <w:rsid w:val="006703C3"/>
    <w:rsid w:val="00670536"/>
    <w:rsid w:val="0067084A"/>
    <w:rsid w:val="00670900"/>
    <w:rsid w:val="006709E8"/>
    <w:rsid w:val="00670B55"/>
    <w:rsid w:val="00670BB2"/>
    <w:rsid w:val="00670BBB"/>
    <w:rsid w:val="00670BF4"/>
    <w:rsid w:val="00670C32"/>
    <w:rsid w:val="00670DBF"/>
    <w:rsid w:val="00670E8F"/>
    <w:rsid w:val="00670EB3"/>
    <w:rsid w:val="00671052"/>
    <w:rsid w:val="00671633"/>
    <w:rsid w:val="0067165F"/>
    <w:rsid w:val="0067170E"/>
    <w:rsid w:val="0067181B"/>
    <w:rsid w:val="00671825"/>
    <w:rsid w:val="006719A9"/>
    <w:rsid w:val="00671B46"/>
    <w:rsid w:val="00671D63"/>
    <w:rsid w:val="00671EA6"/>
    <w:rsid w:val="00671FF7"/>
    <w:rsid w:val="00672074"/>
    <w:rsid w:val="00672233"/>
    <w:rsid w:val="0067231A"/>
    <w:rsid w:val="0067286B"/>
    <w:rsid w:val="0067288F"/>
    <w:rsid w:val="006728B0"/>
    <w:rsid w:val="00672958"/>
    <w:rsid w:val="00672ACA"/>
    <w:rsid w:val="00672AD6"/>
    <w:rsid w:val="00672BCF"/>
    <w:rsid w:val="00672BE0"/>
    <w:rsid w:val="00672C47"/>
    <w:rsid w:val="00672D3F"/>
    <w:rsid w:val="00672E19"/>
    <w:rsid w:val="00672FC5"/>
    <w:rsid w:val="00673042"/>
    <w:rsid w:val="006730C2"/>
    <w:rsid w:val="0067314D"/>
    <w:rsid w:val="006731F1"/>
    <w:rsid w:val="006733E0"/>
    <w:rsid w:val="006735A8"/>
    <w:rsid w:val="006735E5"/>
    <w:rsid w:val="0067360C"/>
    <w:rsid w:val="00673669"/>
    <w:rsid w:val="00673924"/>
    <w:rsid w:val="00673ABA"/>
    <w:rsid w:val="00673D2B"/>
    <w:rsid w:val="00673F0C"/>
    <w:rsid w:val="00673F3C"/>
    <w:rsid w:val="006741F4"/>
    <w:rsid w:val="0067427E"/>
    <w:rsid w:val="00674441"/>
    <w:rsid w:val="006747F3"/>
    <w:rsid w:val="00674869"/>
    <w:rsid w:val="00674A25"/>
    <w:rsid w:val="00674A5B"/>
    <w:rsid w:val="0067501B"/>
    <w:rsid w:val="00675251"/>
    <w:rsid w:val="00675613"/>
    <w:rsid w:val="00675754"/>
    <w:rsid w:val="0067577F"/>
    <w:rsid w:val="006758B2"/>
    <w:rsid w:val="00675B44"/>
    <w:rsid w:val="00675C10"/>
    <w:rsid w:val="00675CD5"/>
    <w:rsid w:val="00675D89"/>
    <w:rsid w:val="00675F83"/>
    <w:rsid w:val="0067616E"/>
    <w:rsid w:val="0067628E"/>
    <w:rsid w:val="00676290"/>
    <w:rsid w:val="006762FD"/>
    <w:rsid w:val="006764A1"/>
    <w:rsid w:val="00676516"/>
    <w:rsid w:val="0067665B"/>
    <w:rsid w:val="006767D0"/>
    <w:rsid w:val="00676833"/>
    <w:rsid w:val="00676900"/>
    <w:rsid w:val="0067698E"/>
    <w:rsid w:val="00676AA2"/>
    <w:rsid w:val="00676B37"/>
    <w:rsid w:val="00676B61"/>
    <w:rsid w:val="00676BB7"/>
    <w:rsid w:val="00676CBA"/>
    <w:rsid w:val="00676D5C"/>
    <w:rsid w:val="00676E15"/>
    <w:rsid w:val="00677049"/>
    <w:rsid w:val="00677130"/>
    <w:rsid w:val="006771CF"/>
    <w:rsid w:val="00677271"/>
    <w:rsid w:val="0067729D"/>
    <w:rsid w:val="006772FF"/>
    <w:rsid w:val="0067772F"/>
    <w:rsid w:val="00677749"/>
    <w:rsid w:val="00677786"/>
    <w:rsid w:val="006777A6"/>
    <w:rsid w:val="00677982"/>
    <w:rsid w:val="006779E8"/>
    <w:rsid w:val="00677A52"/>
    <w:rsid w:val="00677CE7"/>
    <w:rsid w:val="00677D98"/>
    <w:rsid w:val="00677F15"/>
    <w:rsid w:val="00677F44"/>
    <w:rsid w:val="00680214"/>
    <w:rsid w:val="00680288"/>
    <w:rsid w:val="006802F3"/>
    <w:rsid w:val="00680558"/>
    <w:rsid w:val="006805F4"/>
    <w:rsid w:val="00680677"/>
    <w:rsid w:val="00680716"/>
    <w:rsid w:val="006808A5"/>
    <w:rsid w:val="00680AB6"/>
    <w:rsid w:val="00680D90"/>
    <w:rsid w:val="00680FEA"/>
    <w:rsid w:val="006810FB"/>
    <w:rsid w:val="006811EC"/>
    <w:rsid w:val="006811EF"/>
    <w:rsid w:val="00681434"/>
    <w:rsid w:val="0068146B"/>
    <w:rsid w:val="00681487"/>
    <w:rsid w:val="006814A3"/>
    <w:rsid w:val="006815C1"/>
    <w:rsid w:val="006815DF"/>
    <w:rsid w:val="00681A99"/>
    <w:rsid w:val="00681AE1"/>
    <w:rsid w:val="00681B0F"/>
    <w:rsid w:val="00681B1B"/>
    <w:rsid w:val="00681D19"/>
    <w:rsid w:val="00681DE3"/>
    <w:rsid w:val="00681E04"/>
    <w:rsid w:val="00681F62"/>
    <w:rsid w:val="00682148"/>
    <w:rsid w:val="006824A4"/>
    <w:rsid w:val="00682642"/>
    <w:rsid w:val="006826AC"/>
    <w:rsid w:val="006827F9"/>
    <w:rsid w:val="0068288C"/>
    <w:rsid w:val="006828C2"/>
    <w:rsid w:val="006828CC"/>
    <w:rsid w:val="00682986"/>
    <w:rsid w:val="00682B92"/>
    <w:rsid w:val="00682C07"/>
    <w:rsid w:val="00682C25"/>
    <w:rsid w:val="00682C8B"/>
    <w:rsid w:val="00682DB1"/>
    <w:rsid w:val="00682E2F"/>
    <w:rsid w:val="00682E63"/>
    <w:rsid w:val="00682FAB"/>
    <w:rsid w:val="00683014"/>
    <w:rsid w:val="00683193"/>
    <w:rsid w:val="00683237"/>
    <w:rsid w:val="006832C8"/>
    <w:rsid w:val="00683306"/>
    <w:rsid w:val="0068336C"/>
    <w:rsid w:val="00683383"/>
    <w:rsid w:val="006833E1"/>
    <w:rsid w:val="006834B2"/>
    <w:rsid w:val="006834CB"/>
    <w:rsid w:val="0068363B"/>
    <w:rsid w:val="006836A1"/>
    <w:rsid w:val="006836AE"/>
    <w:rsid w:val="00683735"/>
    <w:rsid w:val="0068374B"/>
    <w:rsid w:val="00683763"/>
    <w:rsid w:val="00683A6A"/>
    <w:rsid w:val="00683A97"/>
    <w:rsid w:val="00683D44"/>
    <w:rsid w:val="00683D9F"/>
    <w:rsid w:val="00683F3D"/>
    <w:rsid w:val="00684046"/>
    <w:rsid w:val="006840D7"/>
    <w:rsid w:val="0068423D"/>
    <w:rsid w:val="00684542"/>
    <w:rsid w:val="00684550"/>
    <w:rsid w:val="00684672"/>
    <w:rsid w:val="0068485C"/>
    <w:rsid w:val="00684C55"/>
    <w:rsid w:val="00684CE6"/>
    <w:rsid w:val="00684CEA"/>
    <w:rsid w:val="00684D6E"/>
    <w:rsid w:val="00684D8A"/>
    <w:rsid w:val="00684DAC"/>
    <w:rsid w:val="00684EBA"/>
    <w:rsid w:val="00684EFC"/>
    <w:rsid w:val="00684FB6"/>
    <w:rsid w:val="0068503E"/>
    <w:rsid w:val="006850A0"/>
    <w:rsid w:val="00685165"/>
    <w:rsid w:val="00685255"/>
    <w:rsid w:val="00685411"/>
    <w:rsid w:val="00685561"/>
    <w:rsid w:val="0068557F"/>
    <w:rsid w:val="006856F4"/>
    <w:rsid w:val="0068579E"/>
    <w:rsid w:val="0068582A"/>
    <w:rsid w:val="006858B6"/>
    <w:rsid w:val="00685C38"/>
    <w:rsid w:val="00685CA8"/>
    <w:rsid w:val="00685CED"/>
    <w:rsid w:val="00685DA3"/>
    <w:rsid w:val="00685DAE"/>
    <w:rsid w:val="00685DC5"/>
    <w:rsid w:val="00685E38"/>
    <w:rsid w:val="00685FE1"/>
    <w:rsid w:val="006861F2"/>
    <w:rsid w:val="0068625A"/>
    <w:rsid w:val="00686283"/>
    <w:rsid w:val="00686310"/>
    <w:rsid w:val="0068632E"/>
    <w:rsid w:val="006863F5"/>
    <w:rsid w:val="006863FB"/>
    <w:rsid w:val="00686411"/>
    <w:rsid w:val="0068644A"/>
    <w:rsid w:val="00686613"/>
    <w:rsid w:val="0068666D"/>
    <w:rsid w:val="006866BB"/>
    <w:rsid w:val="00686726"/>
    <w:rsid w:val="00686790"/>
    <w:rsid w:val="006867E1"/>
    <w:rsid w:val="0068680C"/>
    <w:rsid w:val="0068681E"/>
    <w:rsid w:val="006868A4"/>
    <w:rsid w:val="00686943"/>
    <w:rsid w:val="0068695B"/>
    <w:rsid w:val="00686AD4"/>
    <w:rsid w:val="00686AF1"/>
    <w:rsid w:val="00686CB6"/>
    <w:rsid w:val="00686D49"/>
    <w:rsid w:val="00687102"/>
    <w:rsid w:val="006871E1"/>
    <w:rsid w:val="00687221"/>
    <w:rsid w:val="0068724F"/>
    <w:rsid w:val="0068733F"/>
    <w:rsid w:val="0068736B"/>
    <w:rsid w:val="00687523"/>
    <w:rsid w:val="00687822"/>
    <w:rsid w:val="00687B07"/>
    <w:rsid w:val="00687B15"/>
    <w:rsid w:val="00687F29"/>
    <w:rsid w:val="00690039"/>
    <w:rsid w:val="00690284"/>
    <w:rsid w:val="00690317"/>
    <w:rsid w:val="0069053A"/>
    <w:rsid w:val="00690598"/>
    <w:rsid w:val="006905DF"/>
    <w:rsid w:val="00690657"/>
    <w:rsid w:val="006907E2"/>
    <w:rsid w:val="00690860"/>
    <w:rsid w:val="006908CD"/>
    <w:rsid w:val="006909AC"/>
    <w:rsid w:val="00690A2C"/>
    <w:rsid w:val="00690A2E"/>
    <w:rsid w:val="00690B7B"/>
    <w:rsid w:val="00690C17"/>
    <w:rsid w:val="00690CFC"/>
    <w:rsid w:val="00690ED2"/>
    <w:rsid w:val="00691343"/>
    <w:rsid w:val="0069164F"/>
    <w:rsid w:val="0069175A"/>
    <w:rsid w:val="00691A51"/>
    <w:rsid w:val="00691B61"/>
    <w:rsid w:val="00691C86"/>
    <w:rsid w:val="00691CC0"/>
    <w:rsid w:val="00691D4E"/>
    <w:rsid w:val="00691DAD"/>
    <w:rsid w:val="0069209C"/>
    <w:rsid w:val="006920D6"/>
    <w:rsid w:val="00692128"/>
    <w:rsid w:val="006922E1"/>
    <w:rsid w:val="006922FB"/>
    <w:rsid w:val="006922FE"/>
    <w:rsid w:val="0069239E"/>
    <w:rsid w:val="00692529"/>
    <w:rsid w:val="0069260C"/>
    <w:rsid w:val="00692684"/>
    <w:rsid w:val="00692839"/>
    <w:rsid w:val="00692864"/>
    <w:rsid w:val="00692915"/>
    <w:rsid w:val="006929B0"/>
    <w:rsid w:val="00692AA0"/>
    <w:rsid w:val="00692C3B"/>
    <w:rsid w:val="00692C6F"/>
    <w:rsid w:val="00692C86"/>
    <w:rsid w:val="00692CC9"/>
    <w:rsid w:val="00692CD6"/>
    <w:rsid w:val="00692D45"/>
    <w:rsid w:val="00692D98"/>
    <w:rsid w:val="00693162"/>
    <w:rsid w:val="006931C3"/>
    <w:rsid w:val="006932A5"/>
    <w:rsid w:val="00693759"/>
    <w:rsid w:val="006937F3"/>
    <w:rsid w:val="00693874"/>
    <w:rsid w:val="00693C43"/>
    <w:rsid w:val="00693C73"/>
    <w:rsid w:val="00693CC8"/>
    <w:rsid w:val="00693DC8"/>
    <w:rsid w:val="00693F80"/>
    <w:rsid w:val="0069403D"/>
    <w:rsid w:val="00694062"/>
    <w:rsid w:val="00694205"/>
    <w:rsid w:val="00694249"/>
    <w:rsid w:val="0069424E"/>
    <w:rsid w:val="006942BC"/>
    <w:rsid w:val="00694476"/>
    <w:rsid w:val="00694505"/>
    <w:rsid w:val="00694628"/>
    <w:rsid w:val="006946C7"/>
    <w:rsid w:val="00694774"/>
    <w:rsid w:val="006947AC"/>
    <w:rsid w:val="0069487A"/>
    <w:rsid w:val="006948AC"/>
    <w:rsid w:val="006948B4"/>
    <w:rsid w:val="00694924"/>
    <w:rsid w:val="00694955"/>
    <w:rsid w:val="00694BFD"/>
    <w:rsid w:val="00694C75"/>
    <w:rsid w:val="00694D53"/>
    <w:rsid w:val="00694EE8"/>
    <w:rsid w:val="006951B8"/>
    <w:rsid w:val="00695306"/>
    <w:rsid w:val="0069565C"/>
    <w:rsid w:val="00695718"/>
    <w:rsid w:val="0069574E"/>
    <w:rsid w:val="00695825"/>
    <w:rsid w:val="00695879"/>
    <w:rsid w:val="006958A0"/>
    <w:rsid w:val="0069592C"/>
    <w:rsid w:val="00695991"/>
    <w:rsid w:val="006959E9"/>
    <w:rsid w:val="00695B54"/>
    <w:rsid w:val="00695BC6"/>
    <w:rsid w:val="00695BE9"/>
    <w:rsid w:val="00695C6F"/>
    <w:rsid w:val="006961B9"/>
    <w:rsid w:val="00696348"/>
    <w:rsid w:val="00696425"/>
    <w:rsid w:val="00696682"/>
    <w:rsid w:val="00696855"/>
    <w:rsid w:val="0069688C"/>
    <w:rsid w:val="006969CA"/>
    <w:rsid w:val="00696AD6"/>
    <w:rsid w:val="00696B36"/>
    <w:rsid w:val="00696B68"/>
    <w:rsid w:val="00696C6F"/>
    <w:rsid w:val="00696CA8"/>
    <w:rsid w:val="00696D53"/>
    <w:rsid w:val="00696E65"/>
    <w:rsid w:val="00696E8B"/>
    <w:rsid w:val="0069712E"/>
    <w:rsid w:val="00697173"/>
    <w:rsid w:val="006971F2"/>
    <w:rsid w:val="006973E1"/>
    <w:rsid w:val="00697428"/>
    <w:rsid w:val="006974F0"/>
    <w:rsid w:val="00697648"/>
    <w:rsid w:val="00697677"/>
    <w:rsid w:val="006977AE"/>
    <w:rsid w:val="006977B9"/>
    <w:rsid w:val="006979D5"/>
    <w:rsid w:val="00697CC4"/>
    <w:rsid w:val="00697D6E"/>
    <w:rsid w:val="006A0295"/>
    <w:rsid w:val="006A02CE"/>
    <w:rsid w:val="006A031A"/>
    <w:rsid w:val="006A035B"/>
    <w:rsid w:val="006A03BF"/>
    <w:rsid w:val="006A0427"/>
    <w:rsid w:val="006A044E"/>
    <w:rsid w:val="006A055B"/>
    <w:rsid w:val="006A0567"/>
    <w:rsid w:val="006A05ED"/>
    <w:rsid w:val="006A0765"/>
    <w:rsid w:val="006A08F0"/>
    <w:rsid w:val="006A0953"/>
    <w:rsid w:val="006A0B99"/>
    <w:rsid w:val="006A0CBC"/>
    <w:rsid w:val="006A0D2C"/>
    <w:rsid w:val="006A0FC8"/>
    <w:rsid w:val="006A1025"/>
    <w:rsid w:val="006A11B2"/>
    <w:rsid w:val="006A15B1"/>
    <w:rsid w:val="006A1703"/>
    <w:rsid w:val="006A1A1C"/>
    <w:rsid w:val="006A1C76"/>
    <w:rsid w:val="006A1CDD"/>
    <w:rsid w:val="006A1DEF"/>
    <w:rsid w:val="006A1E49"/>
    <w:rsid w:val="006A1EF8"/>
    <w:rsid w:val="006A1F1F"/>
    <w:rsid w:val="006A1FEF"/>
    <w:rsid w:val="006A22E6"/>
    <w:rsid w:val="006A22F1"/>
    <w:rsid w:val="006A24AF"/>
    <w:rsid w:val="006A254B"/>
    <w:rsid w:val="006A25B4"/>
    <w:rsid w:val="006A25C1"/>
    <w:rsid w:val="006A2657"/>
    <w:rsid w:val="006A2718"/>
    <w:rsid w:val="006A2763"/>
    <w:rsid w:val="006A28E3"/>
    <w:rsid w:val="006A2A27"/>
    <w:rsid w:val="006A2AC4"/>
    <w:rsid w:val="006A2AE2"/>
    <w:rsid w:val="006A2BB7"/>
    <w:rsid w:val="006A2BE4"/>
    <w:rsid w:val="006A2D4C"/>
    <w:rsid w:val="006A2D4D"/>
    <w:rsid w:val="006A2DFC"/>
    <w:rsid w:val="006A2EE6"/>
    <w:rsid w:val="006A2F78"/>
    <w:rsid w:val="006A2F9B"/>
    <w:rsid w:val="006A2FC6"/>
    <w:rsid w:val="006A2FE8"/>
    <w:rsid w:val="006A3009"/>
    <w:rsid w:val="006A317B"/>
    <w:rsid w:val="006A31B8"/>
    <w:rsid w:val="006A3216"/>
    <w:rsid w:val="006A32A4"/>
    <w:rsid w:val="006A3457"/>
    <w:rsid w:val="006A34F6"/>
    <w:rsid w:val="006A3679"/>
    <w:rsid w:val="006A36CD"/>
    <w:rsid w:val="006A3739"/>
    <w:rsid w:val="006A3749"/>
    <w:rsid w:val="006A38D2"/>
    <w:rsid w:val="006A39D0"/>
    <w:rsid w:val="006A3AFB"/>
    <w:rsid w:val="006A3B43"/>
    <w:rsid w:val="006A3BCC"/>
    <w:rsid w:val="006A3C66"/>
    <w:rsid w:val="006A3CE1"/>
    <w:rsid w:val="006A3E3F"/>
    <w:rsid w:val="006A3E84"/>
    <w:rsid w:val="006A3ECE"/>
    <w:rsid w:val="006A3FF0"/>
    <w:rsid w:val="006A4071"/>
    <w:rsid w:val="006A4167"/>
    <w:rsid w:val="006A41D8"/>
    <w:rsid w:val="006A42C6"/>
    <w:rsid w:val="006A44E2"/>
    <w:rsid w:val="006A464C"/>
    <w:rsid w:val="006A465A"/>
    <w:rsid w:val="006A46B3"/>
    <w:rsid w:val="006A48C9"/>
    <w:rsid w:val="006A49EF"/>
    <w:rsid w:val="006A4BF9"/>
    <w:rsid w:val="006A4CC0"/>
    <w:rsid w:val="006A4FB3"/>
    <w:rsid w:val="006A4FE2"/>
    <w:rsid w:val="006A5197"/>
    <w:rsid w:val="006A51BF"/>
    <w:rsid w:val="006A57F4"/>
    <w:rsid w:val="006A57F6"/>
    <w:rsid w:val="006A582C"/>
    <w:rsid w:val="006A5897"/>
    <w:rsid w:val="006A5A42"/>
    <w:rsid w:val="006A5B52"/>
    <w:rsid w:val="006A5C6F"/>
    <w:rsid w:val="006A5E76"/>
    <w:rsid w:val="006A5E98"/>
    <w:rsid w:val="006A5F4B"/>
    <w:rsid w:val="006A5F95"/>
    <w:rsid w:val="006A613F"/>
    <w:rsid w:val="006A63ED"/>
    <w:rsid w:val="006A6543"/>
    <w:rsid w:val="006A6562"/>
    <w:rsid w:val="006A657F"/>
    <w:rsid w:val="006A661C"/>
    <w:rsid w:val="006A6622"/>
    <w:rsid w:val="006A67C5"/>
    <w:rsid w:val="006A6819"/>
    <w:rsid w:val="006A68CD"/>
    <w:rsid w:val="006A6913"/>
    <w:rsid w:val="006A6A2E"/>
    <w:rsid w:val="006A6B38"/>
    <w:rsid w:val="006A6BFC"/>
    <w:rsid w:val="006A6D85"/>
    <w:rsid w:val="006A6F34"/>
    <w:rsid w:val="006A7069"/>
    <w:rsid w:val="006A71EA"/>
    <w:rsid w:val="006A7445"/>
    <w:rsid w:val="006A7460"/>
    <w:rsid w:val="006A7498"/>
    <w:rsid w:val="006A75F8"/>
    <w:rsid w:val="006A76E5"/>
    <w:rsid w:val="006A78E9"/>
    <w:rsid w:val="006A790F"/>
    <w:rsid w:val="006A797E"/>
    <w:rsid w:val="006A7A39"/>
    <w:rsid w:val="006A7C04"/>
    <w:rsid w:val="006A7D1D"/>
    <w:rsid w:val="006A7EF5"/>
    <w:rsid w:val="006A7FA1"/>
    <w:rsid w:val="006B011D"/>
    <w:rsid w:val="006B01EC"/>
    <w:rsid w:val="006B02B0"/>
    <w:rsid w:val="006B0304"/>
    <w:rsid w:val="006B0309"/>
    <w:rsid w:val="006B035B"/>
    <w:rsid w:val="006B0374"/>
    <w:rsid w:val="006B049D"/>
    <w:rsid w:val="006B04C6"/>
    <w:rsid w:val="006B06A4"/>
    <w:rsid w:val="006B06C3"/>
    <w:rsid w:val="006B07CB"/>
    <w:rsid w:val="006B0A4B"/>
    <w:rsid w:val="006B0ACE"/>
    <w:rsid w:val="006B0C33"/>
    <w:rsid w:val="006B0C4A"/>
    <w:rsid w:val="006B0C5E"/>
    <w:rsid w:val="006B0EAD"/>
    <w:rsid w:val="006B1096"/>
    <w:rsid w:val="006B113C"/>
    <w:rsid w:val="006B11EE"/>
    <w:rsid w:val="006B13A4"/>
    <w:rsid w:val="006B144B"/>
    <w:rsid w:val="006B14D4"/>
    <w:rsid w:val="006B16CC"/>
    <w:rsid w:val="006B16EC"/>
    <w:rsid w:val="006B16FE"/>
    <w:rsid w:val="006B186B"/>
    <w:rsid w:val="006B18FD"/>
    <w:rsid w:val="006B1A36"/>
    <w:rsid w:val="006B1E9A"/>
    <w:rsid w:val="006B1ED9"/>
    <w:rsid w:val="006B1FE6"/>
    <w:rsid w:val="006B223F"/>
    <w:rsid w:val="006B2246"/>
    <w:rsid w:val="006B2308"/>
    <w:rsid w:val="006B231A"/>
    <w:rsid w:val="006B234F"/>
    <w:rsid w:val="006B23CF"/>
    <w:rsid w:val="006B242D"/>
    <w:rsid w:val="006B2477"/>
    <w:rsid w:val="006B24F2"/>
    <w:rsid w:val="006B2774"/>
    <w:rsid w:val="006B2A3E"/>
    <w:rsid w:val="006B2AFD"/>
    <w:rsid w:val="006B2B4D"/>
    <w:rsid w:val="006B2C1D"/>
    <w:rsid w:val="006B2CF5"/>
    <w:rsid w:val="006B2E32"/>
    <w:rsid w:val="006B2E97"/>
    <w:rsid w:val="006B2EE0"/>
    <w:rsid w:val="006B2F85"/>
    <w:rsid w:val="006B2FA1"/>
    <w:rsid w:val="006B305D"/>
    <w:rsid w:val="006B3299"/>
    <w:rsid w:val="006B32C9"/>
    <w:rsid w:val="006B33C4"/>
    <w:rsid w:val="006B3441"/>
    <w:rsid w:val="006B3490"/>
    <w:rsid w:val="006B3546"/>
    <w:rsid w:val="006B3599"/>
    <w:rsid w:val="006B35F8"/>
    <w:rsid w:val="006B38D0"/>
    <w:rsid w:val="006B38E2"/>
    <w:rsid w:val="006B3990"/>
    <w:rsid w:val="006B39CA"/>
    <w:rsid w:val="006B3AF5"/>
    <w:rsid w:val="006B3D09"/>
    <w:rsid w:val="006B3F08"/>
    <w:rsid w:val="006B4163"/>
    <w:rsid w:val="006B437B"/>
    <w:rsid w:val="006B4660"/>
    <w:rsid w:val="006B496E"/>
    <w:rsid w:val="006B4EC6"/>
    <w:rsid w:val="006B5077"/>
    <w:rsid w:val="006B509E"/>
    <w:rsid w:val="006B5268"/>
    <w:rsid w:val="006B5357"/>
    <w:rsid w:val="006B5842"/>
    <w:rsid w:val="006B586E"/>
    <w:rsid w:val="006B58CA"/>
    <w:rsid w:val="006B5997"/>
    <w:rsid w:val="006B5A0C"/>
    <w:rsid w:val="006B5A55"/>
    <w:rsid w:val="006B5C7E"/>
    <w:rsid w:val="006B5D7D"/>
    <w:rsid w:val="006B5D8D"/>
    <w:rsid w:val="006B5DC8"/>
    <w:rsid w:val="006B5E5A"/>
    <w:rsid w:val="006B5FDF"/>
    <w:rsid w:val="006B6000"/>
    <w:rsid w:val="006B60D9"/>
    <w:rsid w:val="006B6200"/>
    <w:rsid w:val="006B628E"/>
    <w:rsid w:val="006B636E"/>
    <w:rsid w:val="006B6433"/>
    <w:rsid w:val="006B6803"/>
    <w:rsid w:val="006B6BEB"/>
    <w:rsid w:val="006B6C31"/>
    <w:rsid w:val="006B6CA7"/>
    <w:rsid w:val="006B6D95"/>
    <w:rsid w:val="006B6D9E"/>
    <w:rsid w:val="006B6EA0"/>
    <w:rsid w:val="006B7080"/>
    <w:rsid w:val="006B7179"/>
    <w:rsid w:val="006B7298"/>
    <w:rsid w:val="006B73DE"/>
    <w:rsid w:val="006B763E"/>
    <w:rsid w:val="006B77F1"/>
    <w:rsid w:val="006B79EF"/>
    <w:rsid w:val="006B7BD8"/>
    <w:rsid w:val="006B7C7F"/>
    <w:rsid w:val="006B7CCF"/>
    <w:rsid w:val="006B7D36"/>
    <w:rsid w:val="006B7D7C"/>
    <w:rsid w:val="006B7D9A"/>
    <w:rsid w:val="006B7F2F"/>
    <w:rsid w:val="006C015D"/>
    <w:rsid w:val="006C0257"/>
    <w:rsid w:val="006C0267"/>
    <w:rsid w:val="006C0347"/>
    <w:rsid w:val="006C03BB"/>
    <w:rsid w:val="006C03C3"/>
    <w:rsid w:val="006C042A"/>
    <w:rsid w:val="006C04EB"/>
    <w:rsid w:val="006C0529"/>
    <w:rsid w:val="006C068C"/>
    <w:rsid w:val="006C06F6"/>
    <w:rsid w:val="006C07E4"/>
    <w:rsid w:val="006C0824"/>
    <w:rsid w:val="006C0834"/>
    <w:rsid w:val="006C08A5"/>
    <w:rsid w:val="006C0916"/>
    <w:rsid w:val="006C0966"/>
    <w:rsid w:val="006C096B"/>
    <w:rsid w:val="006C09BB"/>
    <w:rsid w:val="006C0D74"/>
    <w:rsid w:val="006C1239"/>
    <w:rsid w:val="006C16C6"/>
    <w:rsid w:val="006C171D"/>
    <w:rsid w:val="006C1790"/>
    <w:rsid w:val="006C17D0"/>
    <w:rsid w:val="006C1809"/>
    <w:rsid w:val="006C1886"/>
    <w:rsid w:val="006C197D"/>
    <w:rsid w:val="006C1A76"/>
    <w:rsid w:val="006C1D87"/>
    <w:rsid w:val="006C202B"/>
    <w:rsid w:val="006C21E1"/>
    <w:rsid w:val="006C21ED"/>
    <w:rsid w:val="006C224A"/>
    <w:rsid w:val="006C230D"/>
    <w:rsid w:val="006C237F"/>
    <w:rsid w:val="006C2494"/>
    <w:rsid w:val="006C25C9"/>
    <w:rsid w:val="006C2667"/>
    <w:rsid w:val="006C26AD"/>
    <w:rsid w:val="006C2720"/>
    <w:rsid w:val="006C2748"/>
    <w:rsid w:val="006C27D7"/>
    <w:rsid w:val="006C2989"/>
    <w:rsid w:val="006C2AA3"/>
    <w:rsid w:val="006C2B4D"/>
    <w:rsid w:val="006C2B58"/>
    <w:rsid w:val="006C2C3C"/>
    <w:rsid w:val="006C2D30"/>
    <w:rsid w:val="006C2DC8"/>
    <w:rsid w:val="006C2EDD"/>
    <w:rsid w:val="006C2F05"/>
    <w:rsid w:val="006C2F14"/>
    <w:rsid w:val="006C303E"/>
    <w:rsid w:val="006C3069"/>
    <w:rsid w:val="006C32EA"/>
    <w:rsid w:val="006C33BB"/>
    <w:rsid w:val="006C33DF"/>
    <w:rsid w:val="006C3457"/>
    <w:rsid w:val="006C3532"/>
    <w:rsid w:val="006C35D2"/>
    <w:rsid w:val="006C35EC"/>
    <w:rsid w:val="006C36D5"/>
    <w:rsid w:val="006C37E1"/>
    <w:rsid w:val="006C3965"/>
    <w:rsid w:val="006C3BB8"/>
    <w:rsid w:val="006C3CDA"/>
    <w:rsid w:val="006C3D43"/>
    <w:rsid w:val="006C3EE8"/>
    <w:rsid w:val="006C435A"/>
    <w:rsid w:val="006C4431"/>
    <w:rsid w:val="006C448F"/>
    <w:rsid w:val="006C459D"/>
    <w:rsid w:val="006C465F"/>
    <w:rsid w:val="006C4AEE"/>
    <w:rsid w:val="006C4AF4"/>
    <w:rsid w:val="006C4B27"/>
    <w:rsid w:val="006C4B34"/>
    <w:rsid w:val="006C4C82"/>
    <w:rsid w:val="006C4C99"/>
    <w:rsid w:val="006C4CC8"/>
    <w:rsid w:val="006C4EA2"/>
    <w:rsid w:val="006C4F11"/>
    <w:rsid w:val="006C525D"/>
    <w:rsid w:val="006C53F8"/>
    <w:rsid w:val="006C54E6"/>
    <w:rsid w:val="006C5507"/>
    <w:rsid w:val="006C56B7"/>
    <w:rsid w:val="006C59EC"/>
    <w:rsid w:val="006C5B51"/>
    <w:rsid w:val="006C5D88"/>
    <w:rsid w:val="006C5D96"/>
    <w:rsid w:val="006C5E2E"/>
    <w:rsid w:val="006C5E9F"/>
    <w:rsid w:val="006C5F11"/>
    <w:rsid w:val="006C6126"/>
    <w:rsid w:val="006C61B4"/>
    <w:rsid w:val="006C61BE"/>
    <w:rsid w:val="006C623A"/>
    <w:rsid w:val="006C6248"/>
    <w:rsid w:val="006C6315"/>
    <w:rsid w:val="006C63B3"/>
    <w:rsid w:val="006C63DD"/>
    <w:rsid w:val="006C65CA"/>
    <w:rsid w:val="006C6984"/>
    <w:rsid w:val="006C69B2"/>
    <w:rsid w:val="006C6B3D"/>
    <w:rsid w:val="006C6D2F"/>
    <w:rsid w:val="006C6DDE"/>
    <w:rsid w:val="006C6E09"/>
    <w:rsid w:val="006C6E98"/>
    <w:rsid w:val="006C7086"/>
    <w:rsid w:val="006C70EC"/>
    <w:rsid w:val="006C7265"/>
    <w:rsid w:val="006C7347"/>
    <w:rsid w:val="006C7351"/>
    <w:rsid w:val="006C73D7"/>
    <w:rsid w:val="006C74F6"/>
    <w:rsid w:val="006C75AB"/>
    <w:rsid w:val="006C7776"/>
    <w:rsid w:val="006C7870"/>
    <w:rsid w:val="006C78CE"/>
    <w:rsid w:val="006C78DB"/>
    <w:rsid w:val="006C7A22"/>
    <w:rsid w:val="006C7A80"/>
    <w:rsid w:val="006C7BAB"/>
    <w:rsid w:val="006C7C9B"/>
    <w:rsid w:val="006C7D04"/>
    <w:rsid w:val="006C7F6A"/>
    <w:rsid w:val="006D0061"/>
    <w:rsid w:val="006D0083"/>
    <w:rsid w:val="006D01A8"/>
    <w:rsid w:val="006D03E2"/>
    <w:rsid w:val="006D0446"/>
    <w:rsid w:val="006D05EF"/>
    <w:rsid w:val="006D0623"/>
    <w:rsid w:val="006D0655"/>
    <w:rsid w:val="006D071B"/>
    <w:rsid w:val="006D0773"/>
    <w:rsid w:val="006D086A"/>
    <w:rsid w:val="006D089E"/>
    <w:rsid w:val="006D095B"/>
    <w:rsid w:val="006D0C6C"/>
    <w:rsid w:val="006D0E7B"/>
    <w:rsid w:val="006D0F47"/>
    <w:rsid w:val="006D1056"/>
    <w:rsid w:val="006D1142"/>
    <w:rsid w:val="006D1156"/>
    <w:rsid w:val="006D1227"/>
    <w:rsid w:val="006D129C"/>
    <w:rsid w:val="006D1632"/>
    <w:rsid w:val="006D17B4"/>
    <w:rsid w:val="006D1931"/>
    <w:rsid w:val="006D1A5B"/>
    <w:rsid w:val="006D1A75"/>
    <w:rsid w:val="006D1BD3"/>
    <w:rsid w:val="006D1C13"/>
    <w:rsid w:val="006D1DC7"/>
    <w:rsid w:val="006D1E05"/>
    <w:rsid w:val="006D1F32"/>
    <w:rsid w:val="006D20BC"/>
    <w:rsid w:val="006D20FE"/>
    <w:rsid w:val="006D231A"/>
    <w:rsid w:val="006D2385"/>
    <w:rsid w:val="006D245F"/>
    <w:rsid w:val="006D24EE"/>
    <w:rsid w:val="006D254C"/>
    <w:rsid w:val="006D256E"/>
    <w:rsid w:val="006D26EA"/>
    <w:rsid w:val="006D28B2"/>
    <w:rsid w:val="006D2978"/>
    <w:rsid w:val="006D2A92"/>
    <w:rsid w:val="006D2AA2"/>
    <w:rsid w:val="006D2BA4"/>
    <w:rsid w:val="006D2C8C"/>
    <w:rsid w:val="006D2D0B"/>
    <w:rsid w:val="006D2DEF"/>
    <w:rsid w:val="006D2E1A"/>
    <w:rsid w:val="006D2F99"/>
    <w:rsid w:val="006D2FEF"/>
    <w:rsid w:val="006D302D"/>
    <w:rsid w:val="006D3090"/>
    <w:rsid w:val="006D329E"/>
    <w:rsid w:val="006D3531"/>
    <w:rsid w:val="006D35C1"/>
    <w:rsid w:val="006D36B7"/>
    <w:rsid w:val="006D396F"/>
    <w:rsid w:val="006D3CDE"/>
    <w:rsid w:val="006D3D11"/>
    <w:rsid w:val="006D3DC5"/>
    <w:rsid w:val="006D3EFD"/>
    <w:rsid w:val="006D3F2F"/>
    <w:rsid w:val="006D405E"/>
    <w:rsid w:val="006D40EC"/>
    <w:rsid w:val="006D4188"/>
    <w:rsid w:val="006D41A6"/>
    <w:rsid w:val="006D41F4"/>
    <w:rsid w:val="006D42ED"/>
    <w:rsid w:val="006D4325"/>
    <w:rsid w:val="006D445A"/>
    <w:rsid w:val="006D4481"/>
    <w:rsid w:val="006D4682"/>
    <w:rsid w:val="006D4693"/>
    <w:rsid w:val="006D4779"/>
    <w:rsid w:val="006D4853"/>
    <w:rsid w:val="006D49AF"/>
    <w:rsid w:val="006D4B43"/>
    <w:rsid w:val="006D4BEB"/>
    <w:rsid w:val="006D4C36"/>
    <w:rsid w:val="006D4C92"/>
    <w:rsid w:val="006D4D9B"/>
    <w:rsid w:val="006D4EC3"/>
    <w:rsid w:val="006D4EE6"/>
    <w:rsid w:val="006D4EFD"/>
    <w:rsid w:val="006D4F09"/>
    <w:rsid w:val="006D4F34"/>
    <w:rsid w:val="006D4F6A"/>
    <w:rsid w:val="006D5094"/>
    <w:rsid w:val="006D52DF"/>
    <w:rsid w:val="006D5351"/>
    <w:rsid w:val="006D57B3"/>
    <w:rsid w:val="006D57FC"/>
    <w:rsid w:val="006D5816"/>
    <w:rsid w:val="006D59D4"/>
    <w:rsid w:val="006D5AAE"/>
    <w:rsid w:val="006D5B17"/>
    <w:rsid w:val="006D5C2A"/>
    <w:rsid w:val="006D5DF7"/>
    <w:rsid w:val="006D5E8C"/>
    <w:rsid w:val="006D5F4F"/>
    <w:rsid w:val="006D5FA4"/>
    <w:rsid w:val="006D5FA7"/>
    <w:rsid w:val="006D60D9"/>
    <w:rsid w:val="006D6161"/>
    <w:rsid w:val="006D63C4"/>
    <w:rsid w:val="006D6444"/>
    <w:rsid w:val="006D645E"/>
    <w:rsid w:val="006D6556"/>
    <w:rsid w:val="006D6885"/>
    <w:rsid w:val="006D68DD"/>
    <w:rsid w:val="006D6925"/>
    <w:rsid w:val="006D6A25"/>
    <w:rsid w:val="006D6ADB"/>
    <w:rsid w:val="006D6D36"/>
    <w:rsid w:val="006D6EC1"/>
    <w:rsid w:val="006D6EE7"/>
    <w:rsid w:val="006D708E"/>
    <w:rsid w:val="006D7284"/>
    <w:rsid w:val="006D7552"/>
    <w:rsid w:val="006D76B3"/>
    <w:rsid w:val="006D7829"/>
    <w:rsid w:val="006D78B4"/>
    <w:rsid w:val="006D7917"/>
    <w:rsid w:val="006D79AF"/>
    <w:rsid w:val="006D7B15"/>
    <w:rsid w:val="006D7B49"/>
    <w:rsid w:val="006D7C8B"/>
    <w:rsid w:val="006D7D7F"/>
    <w:rsid w:val="006D7DF0"/>
    <w:rsid w:val="006D7FA7"/>
    <w:rsid w:val="006D7FD0"/>
    <w:rsid w:val="006E03B7"/>
    <w:rsid w:val="006E0511"/>
    <w:rsid w:val="006E0546"/>
    <w:rsid w:val="006E055B"/>
    <w:rsid w:val="006E0591"/>
    <w:rsid w:val="006E0670"/>
    <w:rsid w:val="006E06A8"/>
    <w:rsid w:val="006E0730"/>
    <w:rsid w:val="006E0997"/>
    <w:rsid w:val="006E09E3"/>
    <w:rsid w:val="006E0CF7"/>
    <w:rsid w:val="006E0D2E"/>
    <w:rsid w:val="006E1246"/>
    <w:rsid w:val="006E12C7"/>
    <w:rsid w:val="006E139B"/>
    <w:rsid w:val="006E1682"/>
    <w:rsid w:val="006E16A6"/>
    <w:rsid w:val="006E16D6"/>
    <w:rsid w:val="006E1702"/>
    <w:rsid w:val="006E18AB"/>
    <w:rsid w:val="006E1994"/>
    <w:rsid w:val="006E19DF"/>
    <w:rsid w:val="006E19F6"/>
    <w:rsid w:val="006E1B0D"/>
    <w:rsid w:val="006E1C20"/>
    <w:rsid w:val="006E1F48"/>
    <w:rsid w:val="006E2006"/>
    <w:rsid w:val="006E201C"/>
    <w:rsid w:val="006E20E3"/>
    <w:rsid w:val="006E226D"/>
    <w:rsid w:val="006E2347"/>
    <w:rsid w:val="006E23D1"/>
    <w:rsid w:val="006E2460"/>
    <w:rsid w:val="006E24B3"/>
    <w:rsid w:val="006E24CC"/>
    <w:rsid w:val="006E2507"/>
    <w:rsid w:val="006E2597"/>
    <w:rsid w:val="006E261B"/>
    <w:rsid w:val="006E274D"/>
    <w:rsid w:val="006E27F2"/>
    <w:rsid w:val="006E2946"/>
    <w:rsid w:val="006E2B65"/>
    <w:rsid w:val="006E2C41"/>
    <w:rsid w:val="006E312C"/>
    <w:rsid w:val="006E3165"/>
    <w:rsid w:val="006E3285"/>
    <w:rsid w:val="006E352A"/>
    <w:rsid w:val="006E3536"/>
    <w:rsid w:val="006E36C1"/>
    <w:rsid w:val="006E36F4"/>
    <w:rsid w:val="006E373B"/>
    <w:rsid w:val="006E388E"/>
    <w:rsid w:val="006E3C23"/>
    <w:rsid w:val="006E3CDA"/>
    <w:rsid w:val="006E3D1B"/>
    <w:rsid w:val="006E3F05"/>
    <w:rsid w:val="006E3F20"/>
    <w:rsid w:val="006E4072"/>
    <w:rsid w:val="006E40C6"/>
    <w:rsid w:val="006E4124"/>
    <w:rsid w:val="006E41D9"/>
    <w:rsid w:val="006E4377"/>
    <w:rsid w:val="006E44FC"/>
    <w:rsid w:val="006E4575"/>
    <w:rsid w:val="006E46E7"/>
    <w:rsid w:val="006E4813"/>
    <w:rsid w:val="006E487A"/>
    <w:rsid w:val="006E4A56"/>
    <w:rsid w:val="006E4B0E"/>
    <w:rsid w:val="006E4B1C"/>
    <w:rsid w:val="006E4B48"/>
    <w:rsid w:val="006E4B7F"/>
    <w:rsid w:val="006E4D1E"/>
    <w:rsid w:val="006E4DE9"/>
    <w:rsid w:val="006E4E0E"/>
    <w:rsid w:val="006E5173"/>
    <w:rsid w:val="006E51B2"/>
    <w:rsid w:val="006E5380"/>
    <w:rsid w:val="006E53E1"/>
    <w:rsid w:val="006E5810"/>
    <w:rsid w:val="006E5AFE"/>
    <w:rsid w:val="006E5B0B"/>
    <w:rsid w:val="006E5BAF"/>
    <w:rsid w:val="006E5C13"/>
    <w:rsid w:val="006E5D03"/>
    <w:rsid w:val="006E5E82"/>
    <w:rsid w:val="006E5F37"/>
    <w:rsid w:val="006E5F77"/>
    <w:rsid w:val="006E6029"/>
    <w:rsid w:val="006E6044"/>
    <w:rsid w:val="006E6060"/>
    <w:rsid w:val="006E608D"/>
    <w:rsid w:val="006E61B2"/>
    <w:rsid w:val="006E61E1"/>
    <w:rsid w:val="006E6232"/>
    <w:rsid w:val="006E6317"/>
    <w:rsid w:val="006E6412"/>
    <w:rsid w:val="006E64EA"/>
    <w:rsid w:val="006E6506"/>
    <w:rsid w:val="006E6546"/>
    <w:rsid w:val="006E6555"/>
    <w:rsid w:val="006E6604"/>
    <w:rsid w:val="006E660F"/>
    <w:rsid w:val="006E6898"/>
    <w:rsid w:val="006E69D2"/>
    <w:rsid w:val="006E69E9"/>
    <w:rsid w:val="006E6A5E"/>
    <w:rsid w:val="006E6AB7"/>
    <w:rsid w:val="006E6B0C"/>
    <w:rsid w:val="006E6C8E"/>
    <w:rsid w:val="006E6CB1"/>
    <w:rsid w:val="006E6EFC"/>
    <w:rsid w:val="006E7138"/>
    <w:rsid w:val="006E724E"/>
    <w:rsid w:val="006E7368"/>
    <w:rsid w:val="006E74FD"/>
    <w:rsid w:val="006E75B2"/>
    <w:rsid w:val="006E763A"/>
    <w:rsid w:val="006E77C0"/>
    <w:rsid w:val="006E7981"/>
    <w:rsid w:val="006E7AAA"/>
    <w:rsid w:val="006E7C6A"/>
    <w:rsid w:val="006E7DAF"/>
    <w:rsid w:val="006E7E22"/>
    <w:rsid w:val="006E7E5D"/>
    <w:rsid w:val="006E7F64"/>
    <w:rsid w:val="006F01C0"/>
    <w:rsid w:val="006F0218"/>
    <w:rsid w:val="006F022C"/>
    <w:rsid w:val="006F0420"/>
    <w:rsid w:val="006F0706"/>
    <w:rsid w:val="006F073E"/>
    <w:rsid w:val="006F074B"/>
    <w:rsid w:val="006F08A9"/>
    <w:rsid w:val="006F0A7C"/>
    <w:rsid w:val="006F0AA3"/>
    <w:rsid w:val="006F0CB7"/>
    <w:rsid w:val="006F0D68"/>
    <w:rsid w:val="006F0F6D"/>
    <w:rsid w:val="006F0FD6"/>
    <w:rsid w:val="006F1021"/>
    <w:rsid w:val="006F10BA"/>
    <w:rsid w:val="006F1192"/>
    <w:rsid w:val="006F1216"/>
    <w:rsid w:val="006F17A8"/>
    <w:rsid w:val="006F1891"/>
    <w:rsid w:val="006F1935"/>
    <w:rsid w:val="006F1AF6"/>
    <w:rsid w:val="006F1C33"/>
    <w:rsid w:val="006F1D65"/>
    <w:rsid w:val="006F1E2F"/>
    <w:rsid w:val="006F1F54"/>
    <w:rsid w:val="006F20D9"/>
    <w:rsid w:val="006F2111"/>
    <w:rsid w:val="006F23C5"/>
    <w:rsid w:val="006F24D8"/>
    <w:rsid w:val="006F2656"/>
    <w:rsid w:val="006F27B9"/>
    <w:rsid w:val="006F2989"/>
    <w:rsid w:val="006F2ADA"/>
    <w:rsid w:val="006F2C51"/>
    <w:rsid w:val="006F2D32"/>
    <w:rsid w:val="006F2D76"/>
    <w:rsid w:val="006F2E1E"/>
    <w:rsid w:val="006F30B6"/>
    <w:rsid w:val="006F3110"/>
    <w:rsid w:val="006F3204"/>
    <w:rsid w:val="006F33FF"/>
    <w:rsid w:val="006F3553"/>
    <w:rsid w:val="006F3882"/>
    <w:rsid w:val="006F3962"/>
    <w:rsid w:val="006F3A56"/>
    <w:rsid w:val="006F3A9E"/>
    <w:rsid w:val="006F3B16"/>
    <w:rsid w:val="006F3B30"/>
    <w:rsid w:val="006F3C10"/>
    <w:rsid w:val="006F3DF9"/>
    <w:rsid w:val="006F3F6E"/>
    <w:rsid w:val="006F4006"/>
    <w:rsid w:val="006F4066"/>
    <w:rsid w:val="006F4228"/>
    <w:rsid w:val="006F43A6"/>
    <w:rsid w:val="006F4432"/>
    <w:rsid w:val="006F4552"/>
    <w:rsid w:val="006F45EA"/>
    <w:rsid w:val="006F47F3"/>
    <w:rsid w:val="006F484D"/>
    <w:rsid w:val="006F48B2"/>
    <w:rsid w:val="006F490C"/>
    <w:rsid w:val="006F4915"/>
    <w:rsid w:val="006F4BEB"/>
    <w:rsid w:val="006F4C08"/>
    <w:rsid w:val="006F535D"/>
    <w:rsid w:val="006F5544"/>
    <w:rsid w:val="006F55F5"/>
    <w:rsid w:val="006F5710"/>
    <w:rsid w:val="006F57E6"/>
    <w:rsid w:val="006F5853"/>
    <w:rsid w:val="006F58B9"/>
    <w:rsid w:val="006F5A30"/>
    <w:rsid w:val="006F5B24"/>
    <w:rsid w:val="006F5D73"/>
    <w:rsid w:val="006F6135"/>
    <w:rsid w:val="006F61EB"/>
    <w:rsid w:val="006F6294"/>
    <w:rsid w:val="006F62F1"/>
    <w:rsid w:val="006F63B0"/>
    <w:rsid w:val="006F646F"/>
    <w:rsid w:val="006F6503"/>
    <w:rsid w:val="006F6599"/>
    <w:rsid w:val="006F68C4"/>
    <w:rsid w:val="006F69DC"/>
    <w:rsid w:val="006F6B46"/>
    <w:rsid w:val="006F6CBB"/>
    <w:rsid w:val="006F6F7C"/>
    <w:rsid w:val="006F6F95"/>
    <w:rsid w:val="006F712C"/>
    <w:rsid w:val="006F71A6"/>
    <w:rsid w:val="006F7347"/>
    <w:rsid w:val="006F74BB"/>
    <w:rsid w:val="006F7712"/>
    <w:rsid w:val="006F780E"/>
    <w:rsid w:val="006F79E9"/>
    <w:rsid w:val="006F7A06"/>
    <w:rsid w:val="006F7AE2"/>
    <w:rsid w:val="006F7BC9"/>
    <w:rsid w:val="006F7BD6"/>
    <w:rsid w:val="006F7C96"/>
    <w:rsid w:val="006F7CF1"/>
    <w:rsid w:val="006F7D2C"/>
    <w:rsid w:val="0070016E"/>
    <w:rsid w:val="007002A5"/>
    <w:rsid w:val="00700309"/>
    <w:rsid w:val="00700747"/>
    <w:rsid w:val="0070089F"/>
    <w:rsid w:val="00700963"/>
    <w:rsid w:val="007009AD"/>
    <w:rsid w:val="00700A10"/>
    <w:rsid w:val="00700A1E"/>
    <w:rsid w:val="00700A73"/>
    <w:rsid w:val="00700AA8"/>
    <w:rsid w:val="00700B97"/>
    <w:rsid w:val="00701076"/>
    <w:rsid w:val="00701092"/>
    <w:rsid w:val="007010A4"/>
    <w:rsid w:val="007010AF"/>
    <w:rsid w:val="00701100"/>
    <w:rsid w:val="007011B3"/>
    <w:rsid w:val="007011F2"/>
    <w:rsid w:val="00701420"/>
    <w:rsid w:val="00701472"/>
    <w:rsid w:val="007015CA"/>
    <w:rsid w:val="007015E3"/>
    <w:rsid w:val="007015FD"/>
    <w:rsid w:val="00701657"/>
    <w:rsid w:val="00701666"/>
    <w:rsid w:val="00701668"/>
    <w:rsid w:val="00701737"/>
    <w:rsid w:val="00701896"/>
    <w:rsid w:val="0070189C"/>
    <w:rsid w:val="0070191C"/>
    <w:rsid w:val="00701A26"/>
    <w:rsid w:val="00701B1A"/>
    <w:rsid w:val="00701DC9"/>
    <w:rsid w:val="00701E1F"/>
    <w:rsid w:val="00701E34"/>
    <w:rsid w:val="00701E9F"/>
    <w:rsid w:val="00701F5F"/>
    <w:rsid w:val="007020AE"/>
    <w:rsid w:val="00702130"/>
    <w:rsid w:val="00702167"/>
    <w:rsid w:val="00702194"/>
    <w:rsid w:val="00702299"/>
    <w:rsid w:val="00702316"/>
    <w:rsid w:val="007023E0"/>
    <w:rsid w:val="00702512"/>
    <w:rsid w:val="00702519"/>
    <w:rsid w:val="0070262A"/>
    <w:rsid w:val="0070266E"/>
    <w:rsid w:val="007026BD"/>
    <w:rsid w:val="0070273C"/>
    <w:rsid w:val="00702834"/>
    <w:rsid w:val="007028DA"/>
    <w:rsid w:val="007028E6"/>
    <w:rsid w:val="0070299C"/>
    <w:rsid w:val="007029B8"/>
    <w:rsid w:val="007029C2"/>
    <w:rsid w:val="00702AFE"/>
    <w:rsid w:val="00702C32"/>
    <w:rsid w:val="00702E8A"/>
    <w:rsid w:val="007030C9"/>
    <w:rsid w:val="007031DB"/>
    <w:rsid w:val="007033E1"/>
    <w:rsid w:val="007033EB"/>
    <w:rsid w:val="0070353B"/>
    <w:rsid w:val="00703567"/>
    <w:rsid w:val="0070368B"/>
    <w:rsid w:val="007036BC"/>
    <w:rsid w:val="007036DB"/>
    <w:rsid w:val="00703710"/>
    <w:rsid w:val="00703728"/>
    <w:rsid w:val="00703951"/>
    <w:rsid w:val="00703980"/>
    <w:rsid w:val="00703A47"/>
    <w:rsid w:val="00703A8F"/>
    <w:rsid w:val="00703E25"/>
    <w:rsid w:val="00703FF8"/>
    <w:rsid w:val="0070421F"/>
    <w:rsid w:val="007046EC"/>
    <w:rsid w:val="0070494E"/>
    <w:rsid w:val="007049F9"/>
    <w:rsid w:val="00704A73"/>
    <w:rsid w:val="00704B32"/>
    <w:rsid w:val="00704B72"/>
    <w:rsid w:val="00704BE1"/>
    <w:rsid w:val="00704C49"/>
    <w:rsid w:val="00704DD5"/>
    <w:rsid w:val="00704FEA"/>
    <w:rsid w:val="0070521D"/>
    <w:rsid w:val="0070524B"/>
    <w:rsid w:val="00705360"/>
    <w:rsid w:val="0070547B"/>
    <w:rsid w:val="007054E2"/>
    <w:rsid w:val="00705512"/>
    <w:rsid w:val="0070567F"/>
    <w:rsid w:val="007056A2"/>
    <w:rsid w:val="00705831"/>
    <w:rsid w:val="0070596B"/>
    <w:rsid w:val="00705A05"/>
    <w:rsid w:val="00705ADD"/>
    <w:rsid w:val="00705B4C"/>
    <w:rsid w:val="00705CFB"/>
    <w:rsid w:val="00705D21"/>
    <w:rsid w:val="00705D96"/>
    <w:rsid w:val="00705E18"/>
    <w:rsid w:val="00705E3F"/>
    <w:rsid w:val="00705F51"/>
    <w:rsid w:val="00705F90"/>
    <w:rsid w:val="007061C7"/>
    <w:rsid w:val="007062CA"/>
    <w:rsid w:val="00706615"/>
    <w:rsid w:val="0070679A"/>
    <w:rsid w:val="0070695A"/>
    <w:rsid w:val="00706A05"/>
    <w:rsid w:val="00706B3A"/>
    <w:rsid w:val="00706C4B"/>
    <w:rsid w:val="00706FEA"/>
    <w:rsid w:val="00707029"/>
    <w:rsid w:val="00707065"/>
    <w:rsid w:val="007070AF"/>
    <w:rsid w:val="0070741D"/>
    <w:rsid w:val="00707437"/>
    <w:rsid w:val="007074D3"/>
    <w:rsid w:val="007074FC"/>
    <w:rsid w:val="0070762C"/>
    <w:rsid w:val="00707819"/>
    <w:rsid w:val="007078E1"/>
    <w:rsid w:val="007078FF"/>
    <w:rsid w:val="00707A25"/>
    <w:rsid w:val="00707B0B"/>
    <w:rsid w:val="00707BE0"/>
    <w:rsid w:val="00707C42"/>
    <w:rsid w:val="00707C69"/>
    <w:rsid w:val="00707D29"/>
    <w:rsid w:val="00707E92"/>
    <w:rsid w:val="00707F26"/>
    <w:rsid w:val="00707F33"/>
    <w:rsid w:val="00707F84"/>
    <w:rsid w:val="00710042"/>
    <w:rsid w:val="007100A4"/>
    <w:rsid w:val="007100A7"/>
    <w:rsid w:val="0071011C"/>
    <w:rsid w:val="007101C2"/>
    <w:rsid w:val="0071028F"/>
    <w:rsid w:val="007102A8"/>
    <w:rsid w:val="00710659"/>
    <w:rsid w:val="00710760"/>
    <w:rsid w:val="0071076D"/>
    <w:rsid w:val="007107F1"/>
    <w:rsid w:val="00710922"/>
    <w:rsid w:val="00710E16"/>
    <w:rsid w:val="00710E67"/>
    <w:rsid w:val="00710F60"/>
    <w:rsid w:val="0071106C"/>
    <w:rsid w:val="007113C1"/>
    <w:rsid w:val="00711658"/>
    <w:rsid w:val="00711A2A"/>
    <w:rsid w:val="00711A32"/>
    <w:rsid w:val="00711B15"/>
    <w:rsid w:val="00711B86"/>
    <w:rsid w:val="00711D2E"/>
    <w:rsid w:val="00711E52"/>
    <w:rsid w:val="00711EEC"/>
    <w:rsid w:val="00711F04"/>
    <w:rsid w:val="00711F29"/>
    <w:rsid w:val="0071208D"/>
    <w:rsid w:val="0071220F"/>
    <w:rsid w:val="007124CA"/>
    <w:rsid w:val="0071253C"/>
    <w:rsid w:val="0071267D"/>
    <w:rsid w:val="007126B4"/>
    <w:rsid w:val="007127F8"/>
    <w:rsid w:val="00712A34"/>
    <w:rsid w:val="00712AC4"/>
    <w:rsid w:val="00712C2C"/>
    <w:rsid w:val="00712D48"/>
    <w:rsid w:val="00712D9B"/>
    <w:rsid w:val="00712F74"/>
    <w:rsid w:val="00712FFA"/>
    <w:rsid w:val="00713045"/>
    <w:rsid w:val="00713049"/>
    <w:rsid w:val="00713099"/>
    <w:rsid w:val="007131A4"/>
    <w:rsid w:val="00713347"/>
    <w:rsid w:val="007133EF"/>
    <w:rsid w:val="00713494"/>
    <w:rsid w:val="00713646"/>
    <w:rsid w:val="00713796"/>
    <w:rsid w:val="007138B8"/>
    <w:rsid w:val="00713955"/>
    <w:rsid w:val="0071398E"/>
    <w:rsid w:val="00713B5D"/>
    <w:rsid w:val="00713B5F"/>
    <w:rsid w:val="00713D1E"/>
    <w:rsid w:val="00713D6A"/>
    <w:rsid w:val="00713DC7"/>
    <w:rsid w:val="00713DDE"/>
    <w:rsid w:val="007140A5"/>
    <w:rsid w:val="0071415B"/>
    <w:rsid w:val="00714198"/>
    <w:rsid w:val="007141D3"/>
    <w:rsid w:val="0071437D"/>
    <w:rsid w:val="00714472"/>
    <w:rsid w:val="00714488"/>
    <w:rsid w:val="007146E2"/>
    <w:rsid w:val="007146EB"/>
    <w:rsid w:val="007147EA"/>
    <w:rsid w:val="00714878"/>
    <w:rsid w:val="007149CB"/>
    <w:rsid w:val="00714A89"/>
    <w:rsid w:val="00714ADF"/>
    <w:rsid w:val="00714B19"/>
    <w:rsid w:val="00714CEC"/>
    <w:rsid w:val="00714F58"/>
    <w:rsid w:val="00714F77"/>
    <w:rsid w:val="00714FFC"/>
    <w:rsid w:val="007152E7"/>
    <w:rsid w:val="00715652"/>
    <w:rsid w:val="00715751"/>
    <w:rsid w:val="00715842"/>
    <w:rsid w:val="007158C6"/>
    <w:rsid w:val="007159AF"/>
    <w:rsid w:val="00715A84"/>
    <w:rsid w:val="00715AA1"/>
    <w:rsid w:val="00715BD3"/>
    <w:rsid w:val="00715C3E"/>
    <w:rsid w:val="00715D27"/>
    <w:rsid w:val="00715D6E"/>
    <w:rsid w:val="00715DB5"/>
    <w:rsid w:val="00715EBF"/>
    <w:rsid w:val="00715EEA"/>
    <w:rsid w:val="00715EF9"/>
    <w:rsid w:val="00715F8D"/>
    <w:rsid w:val="0071610C"/>
    <w:rsid w:val="00716498"/>
    <w:rsid w:val="0071649A"/>
    <w:rsid w:val="007165A5"/>
    <w:rsid w:val="007166F0"/>
    <w:rsid w:val="007167A8"/>
    <w:rsid w:val="00716946"/>
    <w:rsid w:val="0071699E"/>
    <w:rsid w:val="00716A60"/>
    <w:rsid w:val="00716ACC"/>
    <w:rsid w:val="00716BAA"/>
    <w:rsid w:val="00716C50"/>
    <w:rsid w:val="00716C92"/>
    <w:rsid w:val="00716D58"/>
    <w:rsid w:val="00716FAF"/>
    <w:rsid w:val="00716FEA"/>
    <w:rsid w:val="007171CA"/>
    <w:rsid w:val="007172F5"/>
    <w:rsid w:val="007173E4"/>
    <w:rsid w:val="0071741F"/>
    <w:rsid w:val="00717545"/>
    <w:rsid w:val="007175C4"/>
    <w:rsid w:val="00717887"/>
    <w:rsid w:val="00717A59"/>
    <w:rsid w:val="00717B2C"/>
    <w:rsid w:val="00717D4C"/>
    <w:rsid w:val="00717DDE"/>
    <w:rsid w:val="00717EBB"/>
    <w:rsid w:val="00717ED7"/>
    <w:rsid w:val="0072004D"/>
    <w:rsid w:val="00720052"/>
    <w:rsid w:val="007201A8"/>
    <w:rsid w:val="007202A9"/>
    <w:rsid w:val="007203E6"/>
    <w:rsid w:val="0072041B"/>
    <w:rsid w:val="00720507"/>
    <w:rsid w:val="00720566"/>
    <w:rsid w:val="007205E3"/>
    <w:rsid w:val="00720708"/>
    <w:rsid w:val="007209A1"/>
    <w:rsid w:val="00720DBB"/>
    <w:rsid w:val="00720DF5"/>
    <w:rsid w:val="00720EB3"/>
    <w:rsid w:val="00720ED3"/>
    <w:rsid w:val="007210E5"/>
    <w:rsid w:val="0072114B"/>
    <w:rsid w:val="0072127B"/>
    <w:rsid w:val="00721418"/>
    <w:rsid w:val="00721431"/>
    <w:rsid w:val="0072148F"/>
    <w:rsid w:val="0072149F"/>
    <w:rsid w:val="007215EF"/>
    <w:rsid w:val="00721640"/>
    <w:rsid w:val="00721663"/>
    <w:rsid w:val="00721688"/>
    <w:rsid w:val="00721772"/>
    <w:rsid w:val="0072181E"/>
    <w:rsid w:val="00721869"/>
    <w:rsid w:val="007218DC"/>
    <w:rsid w:val="00721A31"/>
    <w:rsid w:val="00721B77"/>
    <w:rsid w:val="00721BE8"/>
    <w:rsid w:val="00721E05"/>
    <w:rsid w:val="00721E1E"/>
    <w:rsid w:val="00721EC4"/>
    <w:rsid w:val="00721EFC"/>
    <w:rsid w:val="00722450"/>
    <w:rsid w:val="0072256E"/>
    <w:rsid w:val="00722576"/>
    <w:rsid w:val="0072258A"/>
    <w:rsid w:val="00722596"/>
    <w:rsid w:val="00722644"/>
    <w:rsid w:val="00722819"/>
    <w:rsid w:val="00722951"/>
    <w:rsid w:val="007229A6"/>
    <w:rsid w:val="00722B18"/>
    <w:rsid w:val="00722D13"/>
    <w:rsid w:val="00722D18"/>
    <w:rsid w:val="00722D87"/>
    <w:rsid w:val="00722E1E"/>
    <w:rsid w:val="00722E62"/>
    <w:rsid w:val="00722F06"/>
    <w:rsid w:val="00723035"/>
    <w:rsid w:val="0072308F"/>
    <w:rsid w:val="007230C4"/>
    <w:rsid w:val="0072312E"/>
    <w:rsid w:val="0072315C"/>
    <w:rsid w:val="00723163"/>
    <w:rsid w:val="0072336E"/>
    <w:rsid w:val="007235AF"/>
    <w:rsid w:val="007235B1"/>
    <w:rsid w:val="0072361D"/>
    <w:rsid w:val="0072367C"/>
    <w:rsid w:val="007236CA"/>
    <w:rsid w:val="00723716"/>
    <w:rsid w:val="007237C7"/>
    <w:rsid w:val="007237DF"/>
    <w:rsid w:val="0072383C"/>
    <w:rsid w:val="0072387D"/>
    <w:rsid w:val="0072388D"/>
    <w:rsid w:val="007238CC"/>
    <w:rsid w:val="00723D79"/>
    <w:rsid w:val="00723E46"/>
    <w:rsid w:val="00723E6B"/>
    <w:rsid w:val="00723FFB"/>
    <w:rsid w:val="00724233"/>
    <w:rsid w:val="00724397"/>
    <w:rsid w:val="00724475"/>
    <w:rsid w:val="007246DA"/>
    <w:rsid w:val="00724842"/>
    <w:rsid w:val="0072486E"/>
    <w:rsid w:val="007249C5"/>
    <w:rsid w:val="00724A35"/>
    <w:rsid w:val="00724B84"/>
    <w:rsid w:val="00724BA3"/>
    <w:rsid w:val="00724D76"/>
    <w:rsid w:val="00724D9F"/>
    <w:rsid w:val="00724DE9"/>
    <w:rsid w:val="00724FBD"/>
    <w:rsid w:val="00725027"/>
    <w:rsid w:val="00725063"/>
    <w:rsid w:val="00725066"/>
    <w:rsid w:val="0072509D"/>
    <w:rsid w:val="00725128"/>
    <w:rsid w:val="00725143"/>
    <w:rsid w:val="0072534A"/>
    <w:rsid w:val="007256AD"/>
    <w:rsid w:val="00725793"/>
    <w:rsid w:val="00725806"/>
    <w:rsid w:val="00725816"/>
    <w:rsid w:val="007258FE"/>
    <w:rsid w:val="00725A28"/>
    <w:rsid w:val="00725B6E"/>
    <w:rsid w:val="00725C45"/>
    <w:rsid w:val="00725C4B"/>
    <w:rsid w:val="00725CB9"/>
    <w:rsid w:val="00725CE2"/>
    <w:rsid w:val="00725D4F"/>
    <w:rsid w:val="00725F2E"/>
    <w:rsid w:val="00725F5D"/>
    <w:rsid w:val="00725FE0"/>
    <w:rsid w:val="00725FF7"/>
    <w:rsid w:val="00726267"/>
    <w:rsid w:val="007262E2"/>
    <w:rsid w:val="0072637B"/>
    <w:rsid w:val="00726407"/>
    <w:rsid w:val="00726441"/>
    <w:rsid w:val="00726442"/>
    <w:rsid w:val="0072648E"/>
    <w:rsid w:val="00726539"/>
    <w:rsid w:val="007266DF"/>
    <w:rsid w:val="00726771"/>
    <w:rsid w:val="00726880"/>
    <w:rsid w:val="00726AF3"/>
    <w:rsid w:val="00726C28"/>
    <w:rsid w:val="00726C35"/>
    <w:rsid w:val="00726C53"/>
    <w:rsid w:val="00726C91"/>
    <w:rsid w:val="00726E4F"/>
    <w:rsid w:val="0072712F"/>
    <w:rsid w:val="00727321"/>
    <w:rsid w:val="007276C5"/>
    <w:rsid w:val="00727913"/>
    <w:rsid w:val="00727A82"/>
    <w:rsid w:val="00727AA5"/>
    <w:rsid w:val="00727CC7"/>
    <w:rsid w:val="00727DE2"/>
    <w:rsid w:val="00727F5A"/>
    <w:rsid w:val="00727F61"/>
    <w:rsid w:val="00730084"/>
    <w:rsid w:val="00730138"/>
    <w:rsid w:val="007301C9"/>
    <w:rsid w:val="00730323"/>
    <w:rsid w:val="0073063A"/>
    <w:rsid w:val="00730652"/>
    <w:rsid w:val="007307AD"/>
    <w:rsid w:val="007307DF"/>
    <w:rsid w:val="00730800"/>
    <w:rsid w:val="00730A37"/>
    <w:rsid w:val="00730ABA"/>
    <w:rsid w:val="00730CDE"/>
    <w:rsid w:val="00730DDF"/>
    <w:rsid w:val="00730E1F"/>
    <w:rsid w:val="00730E72"/>
    <w:rsid w:val="0073122F"/>
    <w:rsid w:val="007312B5"/>
    <w:rsid w:val="007314DB"/>
    <w:rsid w:val="00731755"/>
    <w:rsid w:val="0073185A"/>
    <w:rsid w:val="0073197B"/>
    <w:rsid w:val="007319D9"/>
    <w:rsid w:val="00731A2D"/>
    <w:rsid w:val="00731A4D"/>
    <w:rsid w:val="00731F79"/>
    <w:rsid w:val="007324AB"/>
    <w:rsid w:val="007324C5"/>
    <w:rsid w:val="007324D5"/>
    <w:rsid w:val="00732508"/>
    <w:rsid w:val="0073250B"/>
    <w:rsid w:val="0073265A"/>
    <w:rsid w:val="00732701"/>
    <w:rsid w:val="00732795"/>
    <w:rsid w:val="0073281E"/>
    <w:rsid w:val="0073289F"/>
    <w:rsid w:val="00732B1C"/>
    <w:rsid w:val="00732BE8"/>
    <w:rsid w:val="00732F87"/>
    <w:rsid w:val="00732F99"/>
    <w:rsid w:val="007330A8"/>
    <w:rsid w:val="007330DA"/>
    <w:rsid w:val="00733177"/>
    <w:rsid w:val="007332A3"/>
    <w:rsid w:val="00733311"/>
    <w:rsid w:val="007333D2"/>
    <w:rsid w:val="00733506"/>
    <w:rsid w:val="00733709"/>
    <w:rsid w:val="0073372B"/>
    <w:rsid w:val="00733750"/>
    <w:rsid w:val="0073376B"/>
    <w:rsid w:val="007337AB"/>
    <w:rsid w:val="00733B24"/>
    <w:rsid w:val="00733CE7"/>
    <w:rsid w:val="00733D29"/>
    <w:rsid w:val="00733E25"/>
    <w:rsid w:val="00733F1C"/>
    <w:rsid w:val="00734074"/>
    <w:rsid w:val="007340C8"/>
    <w:rsid w:val="00734127"/>
    <w:rsid w:val="00734327"/>
    <w:rsid w:val="007343B0"/>
    <w:rsid w:val="0073443F"/>
    <w:rsid w:val="007345B1"/>
    <w:rsid w:val="007348B8"/>
    <w:rsid w:val="00734945"/>
    <w:rsid w:val="007349CB"/>
    <w:rsid w:val="00734A18"/>
    <w:rsid w:val="00734B40"/>
    <w:rsid w:val="00734B9D"/>
    <w:rsid w:val="00734E24"/>
    <w:rsid w:val="00734E58"/>
    <w:rsid w:val="00734F1C"/>
    <w:rsid w:val="007351F2"/>
    <w:rsid w:val="00735360"/>
    <w:rsid w:val="00735402"/>
    <w:rsid w:val="007355F3"/>
    <w:rsid w:val="007356A3"/>
    <w:rsid w:val="00735795"/>
    <w:rsid w:val="007358F2"/>
    <w:rsid w:val="007359D2"/>
    <w:rsid w:val="00735A1B"/>
    <w:rsid w:val="00735C44"/>
    <w:rsid w:val="00735DF1"/>
    <w:rsid w:val="00735F3B"/>
    <w:rsid w:val="00735FEC"/>
    <w:rsid w:val="0073602E"/>
    <w:rsid w:val="00736310"/>
    <w:rsid w:val="007363F9"/>
    <w:rsid w:val="007364B7"/>
    <w:rsid w:val="00736611"/>
    <w:rsid w:val="0073669D"/>
    <w:rsid w:val="00736730"/>
    <w:rsid w:val="007368E5"/>
    <w:rsid w:val="007369D4"/>
    <w:rsid w:val="00736A9C"/>
    <w:rsid w:val="00736B30"/>
    <w:rsid w:val="00736E70"/>
    <w:rsid w:val="00737050"/>
    <w:rsid w:val="007370DD"/>
    <w:rsid w:val="00737158"/>
    <w:rsid w:val="007372BD"/>
    <w:rsid w:val="00737354"/>
    <w:rsid w:val="007373F6"/>
    <w:rsid w:val="0073741A"/>
    <w:rsid w:val="007374A5"/>
    <w:rsid w:val="0073752A"/>
    <w:rsid w:val="00737726"/>
    <w:rsid w:val="0073798E"/>
    <w:rsid w:val="00737F57"/>
    <w:rsid w:val="00737FFC"/>
    <w:rsid w:val="00740137"/>
    <w:rsid w:val="00740193"/>
    <w:rsid w:val="00740256"/>
    <w:rsid w:val="0074026B"/>
    <w:rsid w:val="007402D3"/>
    <w:rsid w:val="00740391"/>
    <w:rsid w:val="00740614"/>
    <w:rsid w:val="0074062A"/>
    <w:rsid w:val="007406E7"/>
    <w:rsid w:val="00740804"/>
    <w:rsid w:val="0074087F"/>
    <w:rsid w:val="007408E9"/>
    <w:rsid w:val="00740A05"/>
    <w:rsid w:val="00740AEA"/>
    <w:rsid w:val="00740B4F"/>
    <w:rsid w:val="00740B5C"/>
    <w:rsid w:val="00740BB0"/>
    <w:rsid w:val="00740C9C"/>
    <w:rsid w:val="00740D2F"/>
    <w:rsid w:val="00740FAA"/>
    <w:rsid w:val="007412B0"/>
    <w:rsid w:val="007412BA"/>
    <w:rsid w:val="007415DA"/>
    <w:rsid w:val="00741626"/>
    <w:rsid w:val="00741634"/>
    <w:rsid w:val="00741783"/>
    <w:rsid w:val="0074184D"/>
    <w:rsid w:val="007418D3"/>
    <w:rsid w:val="007418EE"/>
    <w:rsid w:val="007419CC"/>
    <w:rsid w:val="007419EA"/>
    <w:rsid w:val="00741B03"/>
    <w:rsid w:val="00741DBA"/>
    <w:rsid w:val="00741F48"/>
    <w:rsid w:val="00742023"/>
    <w:rsid w:val="0074211E"/>
    <w:rsid w:val="00742155"/>
    <w:rsid w:val="007421B1"/>
    <w:rsid w:val="00742254"/>
    <w:rsid w:val="00742427"/>
    <w:rsid w:val="0074242F"/>
    <w:rsid w:val="00742568"/>
    <w:rsid w:val="007427DF"/>
    <w:rsid w:val="00742943"/>
    <w:rsid w:val="0074295C"/>
    <w:rsid w:val="00742AC9"/>
    <w:rsid w:val="00742BA8"/>
    <w:rsid w:val="00742C68"/>
    <w:rsid w:val="00742D53"/>
    <w:rsid w:val="00742D98"/>
    <w:rsid w:val="00742DB4"/>
    <w:rsid w:val="00742EB7"/>
    <w:rsid w:val="00742ECF"/>
    <w:rsid w:val="00742F0D"/>
    <w:rsid w:val="00742FB1"/>
    <w:rsid w:val="00742FE0"/>
    <w:rsid w:val="00742FF5"/>
    <w:rsid w:val="0074344E"/>
    <w:rsid w:val="00743499"/>
    <w:rsid w:val="007434EC"/>
    <w:rsid w:val="00743516"/>
    <w:rsid w:val="00743548"/>
    <w:rsid w:val="007435E7"/>
    <w:rsid w:val="00743711"/>
    <w:rsid w:val="0074372E"/>
    <w:rsid w:val="00743740"/>
    <w:rsid w:val="0074385F"/>
    <w:rsid w:val="00743918"/>
    <w:rsid w:val="00743A85"/>
    <w:rsid w:val="00743B3A"/>
    <w:rsid w:val="00743B5D"/>
    <w:rsid w:val="00743E78"/>
    <w:rsid w:val="00743ECD"/>
    <w:rsid w:val="00743F34"/>
    <w:rsid w:val="00744017"/>
    <w:rsid w:val="0074409A"/>
    <w:rsid w:val="00744120"/>
    <w:rsid w:val="00744211"/>
    <w:rsid w:val="00744370"/>
    <w:rsid w:val="007446F6"/>
    <w:rsid w:val="00744897"/>
    <w:rsid w:val="00744923"/>
    <w:rsid w:val="00744928"/>
    <w:rsid w:val="00744ADA"/>
    <w:rsid w:val="00744C94"/>
    <w:rsid w:val="00744EE3"/>
    <w:rsid w:val="00744F93"/>
    <w:rsid w:val="00745347"/>
    <w:rsid w:val="007453CD"/>
    <w:rsid w:val="007454FA"/>
    <w:rsid w:val="00745637"/>
    <w:rsid w:val="00745708"/>
    <w:rsid w:val="00745802"/>
    <w:rsid w:val="0074596F"/>
    <w:rsid w:val="00745D32"/>
    <w:rsid w:val="00745D3E"/>
    <w:rsid w:val="00745D43"/>
    <w:rsid w:val="00745EFB"/>
    <w:rsid w:val="00745F3C"/>
    <w:rsid w:val="00745FF9"/>
    <w:rsid w:val="00746138"/>
    <w:rsid w:val="00746152"/>
    <w:rsid w:val="00746206"/>
    <w:rsid w:val="00746209"/>
    <w:rsid w:val="0074628C"/>
    <w:rsid w:val="00746310"/>
    <w:rsid w:val="00746373"/>
    <w:rsid w:val="00746388"/>
    <w:rsid w:val="007464A0"/>
    <w:rsid w:val="00746594"/>
    <w:rsid w:val="007465E7"/>
    <w:rsid w:val="00746700"/>
    <w:rsid w:val="007468D0"/>
    <w:rsid w:val="0074691D"/>
    <w:rsid w:val="00746950"/>
    <w:rsid w:val="007469DA"/>
    <w:rsid w:val="007469ED"/>
    <w:rsid w:val="00746E26"/>
    <w:rsid w:val="00746FC3"/>
    <w:rsid w:val="0074708B"/>
    <w:rsid w:val="007470AE"/>
    <w:rsid w:val="0074721B"/>
    <w:rsid w:val="00747288"/>
    <w:rsid w:val="007472BC"/>
    <w:rsid w:val="007472D1"/>
    <w:rsid w:val="00747324"/>
    <w:rsid w:val="007473FD"/>
    <w:rsid w:val="00747428"/>
    <w:rsid w:val="00747533"/>
    <w:rsid w:val="00747607"/>
    <w:rsid w:val="007476AE"/>
    <w:rsid w:val="007476DA"/>
    <w:rsid w:val="007477B1"/>
    <w:rsid w:val="007477E0"/>
    <w:rsid w:val="007479B0"/>
    <w:rsid w:val="00747A09"/>
    <w:rsid w:val="00747A46"/>
    <w:rsid w:val="00747ACF"/>
    <w:rsid w:val="00747CC9"/>
    <w:rsid w:val="00747F80"/>
    <w:rsid w:val="0075000F"/>
    <w:rsid w:val="00750175"/>
    <w:rsid w:val="007501E9"/>
    <w:rsid w:val="00750384"/>
    <w:rsid w:val="0075055D"/>
    <w:rsid w:val="007506A6"/>
    <w:rsid w:val="007507F9"/>
    <w:rsid w:val="0075093D"/>
    <w:rsid w:val="007509F2"/>
    <w:rsid w:val="00750B14"/>
    <w:rsid w:val="00750BD9"/>
    <w:rsid w:val="00750BFB"/>
    <w:rsid w:val="00750C20"/>
    <w:rsid w:val="00750C38"/>
    <w:rsid w:val="00750C95"/>
    <w:rsid w:val="00750D17"/>
    <w:rsid w:val="00750D9A"/>
    <w:rsid w:val="00750DDB"/>
    <w:rsid w:val="00750E31"/>
    <w:rsid w:val="00750F10"/>
    <w:rsid w:val="007510FA"/>
    <w:rsid w:val="007510FD"/>
    <w:rsid w:val="007511A1"/>
    <w:rsid w:val="007511CD"/>
    <w:rsid w:val="007512D9"/>
    <w:rsid w:val="00751325"/>
    <w:rsid w:val="007513BF"/>
    <w:rsid w:val="007513D1"/>
    <w:rsid w:val="00751436"/>
    <w:rsid w:val="0075174C"/>
    <w:rsid w:val="00751957"/>
    <w:rsid w:val="00751A04"/>
    <w:rsid w:val="00751A6F"/>
    <w:rsid w:val="00751BC1"/>
    <w:rsid w:val="00751BCF"/>
    <w:rsid w:val="00751C9E"/>
    <w:rsid w:val="00751D54"/>
    <w:rsid w:val="00751F9B"/>
    <w:rsid w:val="00751FF8"/>
    <w:rsid w:val="00752072"/>
    <w:rsid w:val="007520FE"/>
    <w:rsid w:val="00752131"/>
    <w:rsid w:val="0075220F"/>
    <w:rsid w:val="0075227D"/>
    <w:rsid w:val="00752383"/>
    <w:rsid w:val="007523BC"/>
    <w:rsid w:val="0075247B"/>
    <w:rsid w:val="007527C8"/>
    <w:rsid w:val="00752822"/>
    <w:rsid w:val="007529C5"/>
    <w:rsid w:val="00752A39"/>
    <w:rsid w:val="00752B30"/>
    <w:rsid w:val="00752B43"/>
    <w:rsid w:val="00752D0D"/>
    <w:rsid w:val="00752D28"/>
    <w:rsid w:val="0075306D"/>
    <w:rsid w:val="0075323B"/>
    <w:rsid w:val="0075324B"/>
    <w:rsid w:val="0075341A"/>
    <w:rsid w:val="00753448"/>
    <w:rsid w:val="0075345C"/>
    <w:rsid w:val="007535D6"/>
    <w:rsid w:val="0075386F"/>
    <w:rsid w:val="00753891"/>
    <w:rsid w:val="007539E3"/>
    <w:rsid w:val="007539F0"/>
    <w:rsid w:val="00753A15"/>
    <w:rsid w:val="00753BD8"/>
    <w:rsid w:val="00753D90"/>
    <w:rsid w:val="00753F44"/>
    <w:rsid w:val="00753FBE"/>
    <w:rsid w:val="00753FDB"/>
    <w:rsid w:val="00754332"/>
    <w:rsid w:val="00754402"/>
    <w:rsid w:val="007544E2"/>
    <w:rsid w:val="007546AE"/>
    <w:rsid w:val="007546B4"/>
    <w:rsid w:val="00754BBC"/>
    <w:rsid w:val="00754C1B"/>
    <w:rsid w:val="00754D3F"/>
    <w:rsid w:val="00754D8D"/>
    <w:rsid w:val="00754E09"/>
    <w:rsid w:val="007550A7"/>
    <w:rsid w:val="00755140"/>
    <w:rsid w:val="007551D9"/>
    <w:rsid w:val="0075526B"/>
    <w:rsid w:val="007552B2"/>
    <w:rsid w:val="007552C3"/>
    <w:rsid w:val="0075554B"/>
    <w:rsid w:val="00755657"/>
    <w:rsid w:val="00755698"/>
    <w:rsid w:val="007556CB"/>
    <w:rsid w:val="007557A1"/>
    <w:rsid w:val="007558B5"/>
    <w:rsid w:val="00755915"/>
    <w:rsid w:val="00755981"/>
    <w:rsid w:val="007559B1"/>
    <w:rsid w:val="007559CA"/>
    <w:rsid w:val="00755A28"/>
    <w:rsid w:val="00755A55"/>
    <w:rsid w:val="00755B6D"/>
    <w:rsid w:val="00755D06"/>
    <w:rsid w:val="00755D6C"/>
    <w:rsid w:val="00755EF2"/>
    <w:rsid w:val="00755F3B"/>
    <w:rsid w:val="00755F88"/>
    <w:rsid w:val="0075601F"/>
    <w:rsid w:val="00756081"/>
    <w:rsid w:val="007562A3"/>
    <w:rsid w:val="007562CB"/>
    <w:rsid w:val="007564CA"/>
    <w:rsid w:val="007566F2"/>
    <w:rsid w:val="0075671C"/>
    <w:rsid w:val="007568A9"/>
    <w:rsid w:val="00756987"/>
    <w:rsid w:val="00756A0B"/>
    <w:rsid w:val="00756A2B"/>
    <w:rsid w:val="00756AD3"/>
    <w:rsid w:val="00756C67"/>
    <w:rsid w:val="00756CDE"/>
    <w:rsid w:val="00756CEE"/>
    <w:rsid w:val="00756D08"/>
    <w:rsid w:val="00756E05"/>
    <w:rsid w:val="00757017"/>
    <w:rsid w:val="00757185"/>
    <w:rsid w:val="0075726C"/>
    <w:rsid w:val="0075745C"/>
    <w:rsid w:val="0075779F"/>
    <w:rsid w:val="0075790D"/>
    <w:rsid w:val="007579E2"/>
    <w:rsid w:val="00757AE5"/>
    <w:rsid w:val="00757CE0"/>
    <w:rsid w:val="00757DC7"/>
    <w:rsid w:val="00757DCC"/>
    <w:rsid w:val="00757DF4"/>
    <w:rsid w:val="00757ED6"/>
    <w:rsid w:val="00757F3B"/>
    <w:rsid w:val="00760005"/>
    <w:rsid w:val="0076007D"/>
    <w:rsid w:val="007600B9"/>
    <w:rsid w:val="007601DD"/>
    <w:rsid w:val="00760304"/>
    <w:rsid w:val="007603DF"/>
    <w:rsid w:val="0076043D"/>
    <w:rsid w:val="00760455"/>
    <w:rsid w:val="00760571"/>
    <w:rsid w:val="007606F4"/>
    <w:rsid w:val="00760729"/>
    <w:rsid w:val="00760864"/>
    <w:rsid w:val="00760A16"/>
    <w:rsid w:val="00760B7B"/>
    <w:rsid w:val="00760BCB"/>
    <w:rsid w:val="00760D94"/>
    <w:rsid w:val="00760E1B"/>
    <w:rsid w:val="00760F59"/>
    <w:rsid w:val="0076100A"/>
    <w:rsid w:val="007610BE"/>
    <w:rsid w:val="00761108"/>
    <w:rsid w:val="00761199"/>
    <w:rsid w:val="00761586"/>
    <w:rsid w:val="0076158F"/>
    <w:rsid w:val="0076159C"/>
    <w:rsid w:val="007615DA"/>
    <w:rsid w:val="00761A6A"/>
    <w:rsid w:val="00761AA9"/>
    <w:rsid w:val="00761ABF"/>
    <w:rsid w:val="00761C3B"/>
    <w:rsid w:val="00761D14"/>
    <w:rsid w:val="00761D49"/>
    <w:rsid w:val="00761F7B"/>
    <w:rsid w:val="00761F97"/>
    <w:rsid w:val="00762008"/>
    <w:rsid w:val="00762057"/>
    <w:rsid w:val="007622B4"/>
    <w:rsid w:val="00762322"/>
    <w:rsid w:val="00762439"/>
    <w:rsid w:val="0076251A"/>
    <w:rsid w:val="00762586"/>
    <w:rsid w:val="007625D7"/>
    <w:rsid w:val="0076263B"/>
    <w:rsid w:val="007626A5"/>
    <w:rsid w:val="0076282E"/>
    <w:rsid w:val="00762863"/>
    <w:rsid w:val="00762E4C"/>
    <w:rsid w:val="00762F69"/>
    <w:rsid w:val="00763090"/>
    <w:rsid w:val="0076328D"/>
    <w:rsid w:val="00763326"/>
    <w:rsid w:val="00763457"/>
    <w:rsid w:val="007635AD"/>
    <w:rsid w:val="007636A4"/>
    <w:rsid w:val="007636BD"/>
    <w:rsid w:val="0076376A"/>
    <w:rsid w:val="00763914"/>
    <w:rsid w:val="00763949"/>
    <w:rsid w:val="00763996"/>
    <w:rsid w:val="00763B1B"/>
    <w:rsid w:val="00763CBD"/>
    <w:rsid w:val="00763D00"/>
    <w:rsid w:val="007640B6"/>
    <w:rsid w:val="00764331"/>
    <w:rsid w:val="007644F6"/>
    <w:rsid w:val="0076456F"/>
    <w:rsid w:val="007645E9"/>
    <w:rsid w:val="00764746"/>
    <w:rsid w:val="007647C2"/>
    <w:rsid w:val="00764843"/>
    <w:rsid w:val="007648C6"/>
    <w:rsid w:val="00764A08"/>
    <w:rsid w:val="00764ACD"/>
    <w:rsid w:val="00764E89"/>
    <w:rsid w:val="00764F16"/>
    <w:rsid w:val="00764F1E"/>
    <w:rsid w:val="00764F54"/>
    <w:rsid w:val="00764FD8"/>
    <w:rsid w:val="00764FE1"/>
    <w:rsid w:val="007651BC"/>
    <w:rsid w:val="00765297"/>
    <w:rsid w:val="007652EA"/>
    <w:rsid w:val="007653CA"/>
    <w:rsid w:val="00765423"/>
    <w:rsid w:val="007654A6"/>
    <w:rsid w:val="00765568"/>
    <w:rsid w:val="0076556C"/>
    <w:rsid w:val="0076559A"/>
    <w:rsid w:val="00765617"/>
    <w:rsid w:val="007657CA"/>
    <w:rsid w:val="007657D1"/>
    <w:rsid w:val="00765825"/>
    <w:rsid w:val="00765880"/>
    <w:rsid w:val="007658FA"/>
    <w:rsid w:val="00765927"/>
    <w:rsid w:val="00765B89"/>
    <w:rsid w:val="00765E42"/>
    <w:rsid w:val="00765EEE"/>
    <w:rsid w:val="00766117"/>
    <w:rsid w:val="0076614F"/>
    <w:rsid w:val="0076623E"/>
    <w:rsid w:val="00766446"/>
    <w:rsid w:val="00766487"/>
    <w:rsid w:val="007666A7"/>
    <w:rsid w:val="00766778"/>
    <w:rsid w:val="0076695D"/>
    <w:rsid w:val="007669DE"/>
    <w:rsid w:val="00766C4B"/>
    <w:rsid w:val="00766C78"/>
    <w:rsid w:val="00766CAC"/>
    <w:rsid w:val="00766CD8"/>
    <w:rsid w:val="00766D0C"/>
    <w:rsid w:val="00766D99"/>
    <w:rsid w:val="00766F6D"/>
    <w:rsid w:val="00767248"/>
    <w:rsid w:val="007673F5"/>
    <w:rsid w:val="007674B3"/>
    <w:rsid w:val="00767639"/>
    <w:rsid w:val="00767680"/>
    <w:rsid w:val="0076776F"/>
    <w:rsid w:val="00767792"/>
    <w:rsid w:val="00767A7C"/>
    <w:rsid w:val="00767B5B"/>
    <w:rsid w:val="00767B6A"/>
    <w:rsid w:val="00767C55"/>
    <w:rsid w:val="00767E67"/>
    <w:rsid w:val="00767EAE"/>
    <w:rsid w:val="00767F23"/>
    <w:rsid w:val="00767F93"/>
    <w:rsid w:val="00770092"/>
    <w:rsid w:val="007700D5"/>
    <w:rsid w:val="007702CD"/>
    <w:rsid w:val="00770318"/>
    <w:rsid w:val="0077032F"/>
    <w:rsid w:val="007703A8"/>
    <w:rsid w:val="007704B5"/>
    <w:rsid w:val="007704CA"/>
    <w:rsid w:val="00770509"/>
    <w:rsid w:val="00770589"/>
    <w:rsid w:val="0077064B"/>
    <w:rsid w:val="00770732"/>
    <w:rsid w:val="007707BC"/>
    <w:rsid w:val="007707E1"/>
    <w:rsid w:val="0077083B"/>
    <w:rsid w:val="00770887"/>
    <w:rsid w:val="00770BF9"/>
    <w:rsid w:val="00770D31"/>
    <w:rsid w:val="00770DB0"/>
    <w:rsid w:val="00770E1D"/>
    <w:rsid w:val="00770F00"/>
    <w:rsid w:val="00770FA3"/>
    <w:rsid w:val="00770FC8"/>
    <w:rsid w:val="00771158"/>
    <w:rsid w:val="00771178"/>
    <w:rsid w:val="00771181"/>
    <w:rsid w:val="0077138D"/>
    <w:rsid w:val="00771411"/>
    <w:rsid w:val="00771461"/>
    <w:rsid w:val="00771577"/>
    <w:rsid w:val="007715CE"/>
    <w:rsid w:val="00771619"/>
    <w:rsid w:val="00771779"/>
    <w:rsid w:val="007719CA"/>
    <w:rsid w:val="00771AFB"/>
    <w:rsid w:val="00771BA2"/>
    <w:rsid w:val="00771C18"/>
    <w:rsid w:val="00771C39"/>
    <w:rsid w:val="00771C6B"/>
    <w:rsid w:val="00771D5E"/>
    <w:rsid w:val="00771D70"/>
    <w:rsid w:val="00771E77"/>
    <w:rsid w:val="00771FEB"/>
    <w:rsid w:val="0077202F"/>
    <w:rsid w:val="00772069"/>
    <w:rsid w:val="00772122"/>
    <w:rsid w:val="00772151"/>
    <w:rsid w:val="00772291"/>
    <w:rsid w:val="00772665"/>
    <w:rsid w:val="007727F2"/>
    <w:rsid w:val="00772801"/>
    <w:rsid w:val="00772B0C"/>
    <w:rsid w:val="00772B7D"/>
    <w:rsid w:val="00772DE6"/>
    <w:rsid w:val="00772E1A"/>
    <w:rsid w:val="00773068"/>
    <w:rsid w:val="007730B6"/>
    <w:rsid w:val="0077311B"/>
    <w:rsid w:val="00773217"/>
    <w:rsid w:val="00773285"/>
    <w:rsid w:val="0077331F"/>
    <w:rsid w:val="007734C7"/>
    <w:rsid w:val="007734EE"/>
    <w:rsid w:val="00773510"/>
    <w:rsid w:val="0077357D"/>
    <w:rsid w:val="007736ED"/>
    <w:rsid w:val="00773740"/>
    <w:rsid w:val="007738FE"/>
    <w:rsid w:val="007739B5"/>
    <w:rsid w:val="00773C24"/>
    <w:rsid w:val="00773C4E"/>
    <w:rsid w:val="00773C78"/>
    <w:rsid w:val="00773DBD"/>
    <w:rsid w:val="00773E0B"/>
    <w:rsid w:val="00773F26"/>
    <w:rsid w:val="00773F8E"/>
    <w:rsid w:val="00773FD1"/>
    <w:rsid w:val="00774001"/>
    <w:rsid w:val="007740F4"/>
    <w:rsid w:val="0077417A"/>
    <w:rsid w:val="007743B1"/>
    <w:rsid w:val="0077456C"/>
    <w:rsid w:val="007745A4"/>
    <w:rsid w:val="007745A8"/>
    <w:rsid w:val="007745C6"/>
    <w:rsid w:val="00774702"/>
    <w:rsid w:val="00774B4F"/>
    <w:rsid w:val="00774D18"/>
    <w:rsid w:val="00774F2F"/>
    <w:rsid w:val="0077510E"/>
    <w:rsid w:val="0077515F"/>
    <w:rsid w:val="00775165"/>
    <w:rsid w:val="007752A0"/>
    <w:rsid w:val="00775341"/>
    <w:rsid w:val="00775378"/>
    <w:rsid w:val="007753A9"/>
    <w:rsid w:val="00775454"/>
    <w:rsid w:val="0077560C"/>
    <w:rsid w:val="0077577C"/>
    <w:rsid w:val="007758E4"/>
    <w:rsid w:val="007759E2"/>
    <w:rsid w:val="00775C6A"/>
    <w:rsid w:val="00775C90"/>
    <w:rsid w:val="00775D64"/>
    <w:rsid w:val="00775FD8"/>
    <w:rsid w:val="00776151"/>
    <w:rsid w:val="007761CC"/>
    <w:rsid w:val="00776239"/>
    <w:rsid w:val="00776301"/>
    <w:rsid w:val="0077631C"/>
    <w:rsid w:val="00776332"/>
    <w:rsid w:val="0077641F"/>
    <w:rsid w:val="007764CC"/>
    <w:rsid w:val="007765A4"/>
    <w:rsid w:val="007766B0"/>
    <w:rsid w:val="00776705"/>
    <w:rsid w:val="0077680A"/>
    <w:rsid w:val="0077685A"/>
    <w:rsid w:val="00776A45"/>
    <w:rsid w:val="00776A8D"/>
    <w:rsid w:val="00776AA7"/>
    <w:rsid w:val="00776BFC"/>
    <w:rsid w:val="00776E03"/>
    <w:rsid w:val="00776E7A"/>
    <w:rsid w:val="00776F12"/>
    <w:rsid w:val="00776F68"/>
    <w:rsid w:val="00776FE8"/>
    <w:rsid w:val="007770C5"/>
    <w:rsid w:val="007771D7"/>
    <w:rsid w:val="00777213"/>
    <w:rsid w:val="00777356"/>
    <w:rsid w:val="00777392"/>
    <w:rsid w:val="007774CA"/>
    <w:rsid w:val="0077756E"/>
    <w:rsid w:val="00777582"/>
    <w:rsid w:val="00777688"/>
    <w:rsid w:val="007777F5"/>
    <w:rsid w:val="0077790A"/>
    <w:rsid w:val="00777B39"/>
    <w:rsid w:val="00777CA2"/>
    <w:rsid w:val="00777F7C"/>
    <w:rsid w:val="00777FAB"/>
    <w:rsid w:val="00780204"/>
    <w:rsid w:val="0078026E"/>
    <w:rsid w:val="007802B8"/>
    <w:rsid w:val="00780326"/>
    <w:rsid w:val="007804D8"/>
    <w:rsid w:val="0078057D"/>
    <w:rsid w:val="00780652"/>
    <w:rsid w:val="0078068C"/>
    <w:rsid w:val="00780813"/>
    <w:rsid w:val="00780B50"/>
    <w:rsid w:val="00780C2C"/>
    <w:rsid w:val="00780D06"/>
    <w:rsid w:val="00780D0C"/>
    <w:rsid w:val="00780E32"/>
    <w:rsid w:val="00780E61"/>
    <w:rsid w:val="00780EF7"/>
    <w:rsid w:val="00780F06"/>
    <w:rsid w:val="00780FDE"/>
    <w:rsid w:val="00781106"/>
    <w:rsid w:val="007811A8"/>
    <w:rsid w:val="00781383"/>
    <w:rsid w:val="00781389"/>
    <w:rsid w:val="007813DA"/>
    <w:rsid w:val="0078141E"/>
    <w:rsid w:val="00781554"/>
    <w:rsid w:val="007815D3"/>
    <w:rsid w:val="00781612"/>
    <w:rsid w:val="007817DD"/>
    <w:rsid w:val="00781806"/>
    <w:rsid w:val="00781846"/>
    <w:rsid w:val="00781883"/>
    <w:rsid w:val="00781ACC"/>
    <w:rsid w:val="00781C06"/>
    <w:rsid w:val="00781D8D"/>
    <w:rsid w:val="00781E74"/>
    <w:rsid w:val="00782138"/>
    <w:rsid w:val="0078237E"/>
    <w:rsid w:val="00782589"/>
    <w:rsid w:val="00782760"/>
    <w:rsid w:val="0078281D"/>
    <w:rsid w:val="00782BA0"/>
    <w:rsid w:val="00782CCA"/>
    <w:rsid w:val="00782DC1"/>
    <w:rsid w:val="00782EFC"/>
    <w:rsid w:val="00782FA6"/>
    <w:rsid w:val="00783007"/>
    <w:rsid w:val="007831D9"/>
    <w:rsid w:val="007833A5"/>
    <w:rsid w:val="00783435"/>
    <w:rsid w:val="00783478"/>
    <w:rsid w:val="00783504"/>
    <w:rsid w:val="00783706"/>
    <w:rsid w:val="00783760"/>
    <w:rsid w:val="00783774"/>
    <w:rsid w:val="00783915"/>
    <w:rsid w:val="0078396A"/>
    <w:rsid w:val="00783B0F"/>
    <w:rsid w:val="00783BC6"/>
    <w:rsid w:val="00783CAE"/>
    <w:rsid w:val="00783CCB"/>
    <w:rsid w:val="00783D65"/>
    <w:rsid w:val="007840A3"/>
    <w:rsid w:val="00784107"/>
    <w:rsid w:val="00784189"/>
    <w:rsid w:val="007842D4"/>
    <w:rsid w:val="0078430C"/>
    <w:rsid w:val="00784371"/>
    <w:rsid w:val="00784448"/>
    <w:rsid w:val="0078445F"/>
    <w:rsid w:val="0078451A"/>
    <w:rsid w:val="00784848"/>
    <w:rsid w:val="00784BAF"/>
    <w:rsid w:val="00784DF2"/>
    <w:rsid w:val="00784E68"/>
    <w:rsid w:val="00784E9A"/>
    <w:rsid w:val="0078533C"/>
    <w:rsid w:val="007855F9"/>
    <w:rsid w:val="00785898"/>
    <w:rsid w:val="0078599D"/>
    <w:rsid w:val="00785A8D"/>
    <w:rsid w:val="00785B8B"/>
    <w:rsid w:val="00785D2D"/>
    <w:rsid w:val="00785D38"/>
    <w:rsid w:val="007860EA"/>
    <w:rsid w:val="00786173"/>
    <w:rsid w:val="0078621D"/>
    <w:rsid w:val="0078624F"/>
    <w:rsid w:val="0078626A"/>
    <w:rsid w:val="00786457"/>
    <w:rsid w:val="00786500"/>
    <w:rsid w:val="007865E3"/>
    <w:rsid w:val="00786650"/>
    <w:rsid w:val="007867DB"/>
    <w:rsid w:val="00786E8D"/>
    <w:rsid w:val="0078706F"/>
    <w:rsid w:val="007870C7"/>
    <w:rsid w:val="0078723B"/>
    <w:rsid w:val="007872C2"/>
    <w:rsid w:val="00787463"/>
    <w:rsid w:val="00787829"/>
    <w:rsid w:val="00787AFD"/>
    <w:rsid w:val="00787BB0"/>
    <w:rsid w:val="00787C3F"/>
    <w:rsid w:val="00787C8E"/>
    <w:rsid w:val="00787D57"/>
    <w:rsid w:val="00787E0E"/>
    <w:rsid w:val="00790238"/>
    <w:rsid w:val="007902CF"/>
    <w:rsid w:val="007902DF"/>
    <w:rsid w:val="0079041A"/>
    <w:rsid w:val="00790537"/>
    <w:rsid w:val="007906F1"/>
    <w:rsid w:val="007907D0"/>
    <w:rsid w:val="0079088B"/>
    <w:rsid w:val="0079090F"/>
    <w:rsid w:val="00790938"/>
    <w:rsid w:val="007909EE"/>
    <w:rsid w:val="00790A1B"/>
    <w:rsid w:val="00790B37"/>
    <w:rsid w:val="00790B67"/>
    <w:rsid w:val="0079100A"/>
    <w:rsid w:val="007910ED"/>
    <w:rsid w:val="00791101"/>
    <w:rsid w:val="00791146"/>
    <w:rsid w:val="0079114A"/>
    <w:rsid w:val="0079119E"/>
    <w:rsid w:val="0079124F"/>
    <w:rsid w:val="0079168B"/>
    <w:rsid w:val="00791810"/>
    <w:rsid w:val="00791828"/>
    <w:rsid w:val="0079190D"/>
    <w:rsid w:val="007919A0"/>
    <w:rsid w:val="00791A20"/>
    <w:rsid w:val="00791A47"/>
    <w:rsid w:val="00791A6E"/>
    <w:rsid w:val="00791C57"/>
    <w:rsid w:val="00791DA5"/>
    <w:rsid w:val="00791E68"/>
    <w:rsid w:val="00791EAF"/>
    <w:rsid w:val="00791ED5"/>
    <w:rsid w:val="00792076"/>
    <w:rsid w:val="007920C1"/>
    <w:rsid w:val="0079225F"/>
    <w:rsid w:val="0079240D"/>
    <w:rsid w:val="00792427"/>
    <w:rsid w:val="00792470"/>
    <w:rsid w:val="00792505"/>
    <w:rsid w:val="00792D93"/>
    <w:rsid w:val="00792F6B"/>
    <w:rsid w:val="007930DE"/>
    <w:rsid w:val="0079317C"/>
    <w:rsid w:val="00793202"/>
    <w:rsid w:val="00793206"/>
    <w:rsid w:val="007932AD"/>
    <w:rsid w:val="007933F5"/>
    <w:rsid w:val="007935F4"/>
    <w:rsid w:val="00793673"/>
    <w:rsid w:val="007936EA"/>
    <w:rsid w:val="0079379A"/>
    <w:rsid w:val="00793970"/>
    <w:rsid w:val="00793998"/>
    <w:rsid w:val="00793AC2"/>
    <w:rsid w:val="00793B05"/>
    <w:rsid w:val="00793BBF"/>
    <w:rsid w:val="00793BC6"/>
    <w:rsid w:val="00793C61"/>
    <w:rsid w:val="00793C81"/>
    <w:rsid w:val="00793EB1"/>
    <w:rsid w:val="00793FC6"/>
    <w:rsid w:val="007940F0"/>
    <w:rsid w:val="007942A0"/>
    <w:rsid w:val="007942A6"/>
    <w:rsid w:val="00794333"/>
    <w:rsid w:val="00794482"/>
    <w:rsid w:val="007944C8"/>
    <w:rsid w:val="007944E9"/>
    <w:rsid w:val="00794502"/>
    <w:rsid w:val="007945C6"/>
    <w:rsid w:val="00794670"/>
    <w:rsid w:val="007946A0"/>
    <w:rsid w:val="007946BF"/>
    <w:rsid w:val="007946C6"/>
    <w:rsid w:val="00794828"/>
    <w:rsid w:val="00794845"/>
    <w:rsid w:val="00794892"/>
    <w:rsid w:val="00794998"/>
    <w:rsid w:val="00794A07"/>
    <w:rsid w:val="00794A17"/>
    <w:rsid w:val="00794A9D"/>
    <w:rsid w:val="00794AC1"/>
    <w:rsid w:val="00794AFF"/>
    <w:rsid w:val="00794B4D"/>
    <w:rsid w:val="00794BCE"/>
    <w:rsid w:val="00794DD8"/>
    <w:rsid w:val="00794E2A"/>
    <w:rsid w:val="00794EE8"/>
    <w:rsid w:val="00794FE5"/>
    <w:rsid w:val="00795002"/>
    <w:rsid w:val="0079523B"/>
    <w:rsid w:val="00795345"/>
    <w:rsid w:val="00795447"/>
    <w:rsid w:val="007954CF"/>
    <w:rsid w:val="007955B9"/>
    <w:rsid w:val="00795684"/>
    <w:rsid w:val="007956D3"/>
    <w:rsid w:val="00795828"/>
    <w:rsid w:val="00795A85"/>
    <w:rsid w:val="00795CA1"/>
    <w:rsid w:val="00795D82"/>
    <w:rsid w:val="00795E37"/>
    <w:rsid w:val="00795E52"/>
    <w:rsid w:val="00795F30"/>
    <w:rsid w:val="00796079"/>
    <w:rsid w:val="00796238"/>
    <w:rsid w:val="007965BF"/>
    <w:rsid w:val="0079661E"/>
    <w:rsid w:val="007969A2"/>
    <w:rsid w:val="00796A4E"/>
    <w:rsid w:val="00796DFD"/>
    <w:rsid w:val="00796FF1"/>
    <w:rsid w:val="0079705A"/>
    <w:rsid w:val="00797114"/>
    <w:rsid w:val="007973D4"/>
    <w:rsid w:val="007974FB"/>
    <w:rsid w:val="00797652"/>
    <w:rsid w:val="007976AE"/>
    <w:rsid w:val="007978CF"/>
    <w:rsid w:val="007978DF"/>
    <w:rsid w:val="00797A3F"/>
    <w:rsid w:val="00797B3E"/>
    <w:rsid w:val="00797E6C"/>
    <w:rsid w:val="007A0070"/>
    <w:rsid w:val="007A00DE"/>
    <w:rsid w:val="007A015A"/>
    <w:rsid w:val="007A0363"/>
    <w:rsid w:val="007A03C8"/>
    <w:rsid w:val="007A0560"/>
    <w:rsid w:val="007A06FB"/>
    <w:rsid w:val="007A07BA"/>
    <w:rsid w:val="007A0882"/>
    <w:rsid w:val="007A09FD"/>
    <w:rsid w:val="007A0AE8"/>
    <w:rsid w:val="007A104C"/>
    <w:rsid w:val="007A116B"/>
    <w:rsid w:val="007A1244"/>
    <w:rsid w:val="007A12BF"/>
    <w:rsid w:val="007A13BD"/>
    <w:rsid w:val="007A1637"/>
    <w:rsid w:val="007A164C"/>
    <w:rsid w:val="007A183C"/>
    <w:rsid w:val="007A18C7"/>
    <w:rsid w:val="007A18EA"/>
    <w:rsid w:val="007A18F5"/>
    <w:rsid w:val="007A1CA3"/>
    <w:rsid w:val="007A1CDA"/>
    <w:rsid w:val="007A1E9A"/>
    <w:rsid w:val="007A1F34"/>
    <w:rsid w:val="007A1FF3"/>
    <w:rsid w:val="007A208D"/>
    <w:rsid w:val="007A213B"/>
    <w:rsid w:val="007A22F4"/>
    <w:rsid w:val="007A24BB"/>
    <w:rsid w:val="007A2550"/>
    <w:rsid w:val="007A258B"/>
    <w:rsid w:val="007A25D6"/>
    <w:rsid w:val="007A262A"/>
    <w:rsid w:val="007A26E1"/>
    <w:rsid w:val="007A28EF"/>
    <w:rsid w:val="007A2995"/>
    <w:rsid w:val="007A2A1F"/>
    <w:rsid w:val="007A2AAA"/>
    <w:rsid w:val="007A2BB5"/>
    <w:rsid w:val="007A2CD1"/>
    <w:rsid w:val="007A2DAE"/>
    <w:rsid w:val="007A2E1A"/>
    <w:rsid w:val="007A3040"/>
    <w:rsid w:val="007A3195"/>
    <w:rsid w:val="007A323E"/>
    <w:rsid w:val="007A338F"/>
    <w:rsid w:val="007A3391"/>
    <w:rsid w:val="007A33B2"/>
    <w:rsid w:val="007A34E6"/>
    <w:rsid w:val="007A354A"/>
    <w:rsid w:val="007A3572"/>
    <w:rsid w:val="007A36C8"/>
    <w:rsid w:val="007A3769"/>
    <w:rsid w:val="007A37E9"/>
    <w:rsid w:val="007A38ED"/>
    <w:rsid w:val="007A3943"/>
    <w:rsid w:val="007A3A4D"/>
    <w:rsid w:val="007A3AD1"/>
    <w:rsid w:val="007A3D54"/>
    <w:rsid w:val="007A3E60"/>
    <w:rsid w:val="007A3FCA"/>
    <w:rsid w:val="007A411F"/>
    <w:rsid w:val="007A4204"/>
    <w:rsid w:val="007A4270"/>
    <w:rsid w:val="007A429A"/>
    <w:rsid w:val="007A4316"/>
    <w:rsid w:val="007A43F2"/>
    <w:rsid w:val="007A4464"/>
    <w:rsid w:val="007A44CF"/>
    <w:rsid w:val="007A44D2"/>
    <w:rsid w:val="007A45B4"/>
    <w:rsid w:val="007A48E1"/>
    <w:rsid w:val="007A494A"/>
    <w:rsid w:val="007A4B14"/>
    <w:rsid w:val="007A4E97"/>
    <w:rsid w:val="007A4EC4"/>
    <w:rsid w:val="007A4FFB"/>
    <w:rsid w:val="007A5165"/>
    <w:rsid w:val="007A5485"/>
    <w:rsid w:val="007A54A0"/>
    <w:rsid w:val="007A56C7"/>
    <w:rsid w:val="007A573E"/>
    <w:rsid w:val="007A57D3"/>
    <w:rsid w:val="007A5881"/>
    <w:rsid w:val="007A59FC"/>
    <w:rsid w:val="007A5ABC"/>
    <w:rsid w:val="007A5C7B"/>
    <w:rsid w:val="007A5CE2"/>
    <w:rsid w:val="007A5DE5"/>
    <w:rsid w:val="007A601E"/>
    <w:rsid w:val="007A63DF"/>
    <w:rsid w:val="007A649F"/>
    <w:rsid w:val="007A6772"/>
    <w:rsid w:val="007A6936"/>
    <w:rsid w:val="007A69FF"/>
    <w:rsid w:val="007A6BF2"/>
    <w:rsid w:val="007A6BFA"/>
    <w:rsid w:val="007A6C98"/>
    <w:rsid w:val="007A6D1D"/>
    <w:rsid w:val="007A6D99"/>
    <w:rsid w:val="007A6DCC"/>
    <w:rsid w:val="007A6EB0"/>
    <w:rsid w:val="007A6ECB"/>
    <w:rsid w:val="007A72A8"/>
    <w:rsid w:val="007A7345"/>
    <w:rsid w:val="007A74EF"/>
    <w:rsid w:val="007A7739"/>
    <w:rsid w:val="007A79EF"/>
    <w:rsid w:val="007A7B48"/>
    <w:rsid w:val="007A7B8D"/>
    <w:rsid w:val="007A7CD1"/>
    <w:rsid w:val="007A7D60"/>
    <w:rsid w:val="007A7F19"/>
    <w:rsid w:val="007B01CC"/>
    <w:rsid w:val="007B0338"/>
    <w:rsid w:val="007B03FF"/>
    <w:rsid w:val="007B041F"/>
    <w:rsid w:val="007B054D"/>
    <w:rsid w:val="007B0845"/>
    <w:rsid w:val="007B0852"/>
    <w:rsid w:val="007B0981"/>
    <w:rsid w:val="007B0A77"/>
    <w:rsid w:val="007B0AF2"/>
    <w:rsid w:val="007B0B01"/>
    <w:rsid w:val="007B0B5F"/>
    <w:rsid w:val="007B0C54"/>
    <w:rsid w:val="007B0DDC"/>
    <w:rsid w:val="007B0F67"/>
    <w:rsid w:val="007B0FC9"/>
    <w:rsid w:val="007B1023"/>
    <w:rsid w:val="007B103D"/>
    <w:rsid w:val="007B1047"/>
    <w:rsid w:val="007B11C1"/>
    <w:rsid w:val="007B11EB"/>
    <w:rsid w:val="007B144B"/>
    <w:rsid w:val="007B16A5"/>
    <w:rsid w:val="007B17C9"/>
    <w:rsid w:val="007B17E2"/>
    <w:rsid w:val="007B1800"/>
    <w:rsid w:val="007B18AF"/>
    <w:rsid w:val="007B193C"/>
    <w:rsid w:val="007B1985"/>
    <w:rsid w:val="007B19A4"/>
    <w:rsid w:val="007B1A49"/>
    <w:rsid w:val="007B1B6B"/>
    <w:rsid w:val="007B1EA5"/>
    <w:rsid w:val="007B1F4A"/>
    <w:rsid w:val="007B1FED"/>
    <w:rsid w:val="007B20FF"/>
    <w:rsid w:val="007B220F"/>
    <w:rsid w:val="007B22C7"/>
    <w:rsid w:val="007B244C"/>
    <w:rsid w:val="007B2504"/>
    <w:rsid w:val="007B25B5"/>
    <w:rsid w:val="007B25C4"/>
    <w:rsid w:val="007B26DD"/>
    <w:rsid w:val="007B270F"/>
    <w:rsid w:val="007B2747"/>
    <w:rsid w:val="007B29C5"/>
    <w:rsid w:val="007B2A88"/>
    <w:rsid w:val="007B2BD6"/>
    <w:rsid w:val="007B2D15"/>
    <w:rsid w:val="007B2EBB"/>
    <w:rsid w:val="007B3092"/>
    <w:rsid w:val="007B3164"/>
    <w:rsid w:val="007B34FC"/>
    <w:rsid w:val="007B3527"/>
    <w:rsid w:val="007B35AE"/>
    <w:rsid w:val="007B3611"/>
    <w:rsid w:val="007B3635"/>
    <w:rsid w:val="007B39FE"/>
    <w:rsid w:val="007B3AFD"/>
    <w:rsid w:val="007B3B47"/>
    <w:rsid w:val="007B3B76"/>
    <w:rsid w:val="007B3EB2"/>
    <w:rsid w:val="007B3F01"/>
    <w:rsid w:val="007B41BF"/>
    <w:rsid w:val="007B4319"/>
    <w:rsid w:val="007B46D5"/>
    <w:rsid w:val="007B46F1"/>
    <w:rsid w:val="007B478B"/>
    <w:rsid w:val="007B493A"/>
    <w:rsid w:val="007B4AC9"/>
    <w:rsid w:val="007B4AF7"/>
    <w:rsid w:val="007B4B01"/>
    <w:rsid w:val="007B4C5B"/>
    <w:rsid w:val="007B4CA7"/>
    <w:rsid w:val="007B4D4D"/>
    <w:rsid w:val="007B4D96"/>
    <w:rsid w:val="007B4E4C"/>
    <w:rsid w:val="007B4E51"/>
    <w:rsid w:val="007B4EC0"/>
    <w:rsid w:val="007B51C8"/>
    <w:rsid w:val="007B5236"/>
    <w:rsid w:val="007B52B0"/>
    <w:rsid w:val="007B546B"/>
    <w:rsid w:val="007B54CF"/>
    <w:rsid w:val="007B5560"/>
    <w:rsid w:val="007B5579"/>
    <w:rsid w:val="007B559A"/>
    <w:rsid w:val="007B55C3"/>
    <w:rsid w:val="007B5998"/>
    <w:rsid w:val="007B5B70"/>
    <w:rsid w:val="007B5DF8"/>
    <w:rsid w:val="007B5E1F"/>
    <w:rsid w:val="007B5E94"/>
    <w:rsid w:val="007B5FE0"/>
    <w:rsid w:val="007B61B0"/>
    <w:rsid w:val="007B61CF"/>
    <w:rsid w:val="007B6336"/>
    <w:rsid w:val="007B680D"/>
    <w:rsid w:val="007B6982"/>
    <w:rsid w:val="007B6C4C"/>
    <w:rsid w:val="007B6E6A"/>
    <w:rsid w:val="007B6E72"/>
    <w:rsid w:val="007B6F1A"/>
    <w:rsid w:val="007B70F6"/>
    <w:rsid w:val="007B7263"/>
    <w:rsid w:val="007B73B4"/>
    <w:rsid w:val="007B7495"/>
    <w:rsid w:val="007B74D9"/>
    <w:rsid w:val="007B7573"/>
    <w:rsid w:val="007B779A"/>
    <w:rsid w:val="007B77A4"/>
    <w:rsid w:val="007B78E9"/>
    <w:rsid w:val="007B7949"/>
    <w:rsid w:val="007B7D0F"/>
    <w:rsid w:val="007B7DD4"/>
    <w:rsid w:val="007C005B"/>
    <w:rsid w:val="007C0206"/>
    <w:rsid w:val="007C02A6"/>
    <w:rsid w:val="007C036F"/>
    <w:rsid w:val="007C040E"/>
    <w:rsid w:val="007C0518"/>
    <w:rsid w:val="007C0655"/>
    <w:rsid w:val="007C0672"/>
    <w:rsid w:val="007C0893"/>
    <w:rsid w:val="007C08B2"/>
    <w:rsid w:val="007C0923"/>
    <w:rsid w:val="007C0BF2"/>
    <w:rsid w:val="007C0D38"/>
    <w:rsid w:val="007C0D8B"/>
    <w:rsid w:val="007C0E19"/>
    <w:rsid w:val="007C0E1D"/>
    <w:rsid w:val="007C0F13"/>
    <w:rsid w:val="007C1014"/>
    <w:rsid w:val="007C10CC"/>
    <w:rsid w:val="007C1380"/>
    <w:rsid w:val="007C14C2"/>
    <w:rsid w:val="007C14D3"/>
    <w:rsid w:val="007C15FF"/>
    <w:rsid w:val="007C177C"/>
    <w:rsid w:val="007C1A0D"/>
    <w:rsid w:val="007C1BFC"/>
    <w:rsid w:val="007C1CE0"/>
    <w:rsid w:val="007C1DF9"/>
    <w:rsid w:val="007C1E17"/>
    <w:rsid w:val="007C1E36"/>
    <w:rsid w:val="007C1E39"/>
    <w:rsid w:val="007C1E77"/>
    <w:rsid w:val="007C1EB7"/>
    <w:rsid w:val="007C1FAE"/>
    <w:rsid w:val="007C1FCB"/>
    <w:rsid w:val="007C2018"/>
    <w:rsid w:val="007C2044"/>
    <w:rsid w:val="007C2100"/>
    <w:rsid w:val="007C21B2"/>
    <w:rsid w:val="007C22B6"/>
    <w:rsid w:val="007C22E5"/>
    <w:rsid w:val="007C237E"/>
    <w:rsid w:val="007C28B1"/>
    <w:rsid w:val="007C28C9"/>
    <w:rsid w:val="007C2960"/>
    <w:rsid w:val="007C2A03"/>
    <w:rsid w:val="007C2A2D"/>
    <w:rsid w:val="007C2CC4"/>
    <w:rsid w:val="007C2CD1"/>
    <w:rsid w:val="007C2E25"/>
    <w:rsid w:val="007C2E4F"/>
    <w:rsid w:val="007C2F86"/>
    <w:rsid w:val="007C2FB2"/>
    <w:rsid w:val="007C3010"/>
    <w:rsid w:val="007C30EF"/>
    <w:rsid w:val="007C33DE"/>
    <w:rsid w:val="007C3475"/>
    <w:rsid w:val="007C34D5"/>
    <w:rsid w:val="007C352F"/>
    <w:rsid w:val="007C378C"/>
    <w:rsid w:val="007C3887"/>
    <w:rsid w:val="007C3ABA"/>
    <w:rsid w:val="007C3B95"/>
    <w:rsid w:val="007C3BE7"/>
    <w:rsid w:val="007C3CC6"/>
    <w:rsid w:val="007C3D7D"/>
    <w:rsid w:val="007C3F16"/>
    <w:rsid w:val="007C3F57"/>
    <w:rsid w:val="007C3F63"/>
    <w:rsid w:val="007C3FA5"/>
    <w:rsid w:val="007C3FCA"/>
    <w:rsid w:val="007C417E"/>
    <w:rsid w:val="007C468E"/>
    <w:rsid w:val="007C475F"/>
    <w:rsid w:val="007C47DD"/>
    <w:rsid w:val="007C4825"/>
    <w:rsid w:val="007C4897"/>
    <w:rsid w:val="007C4B25"/>
    <w:rsid w:val="007C4C5E"/>
    <w:rsid w:val="007C4F97"/>
    <w:rsid w:val="007C4FE8"/>
    <w:rsid w:val="007C534A"/>
    <w:rsid w:val="007C53F1"/>
    <w:rsid w:val="007C56A4"/>
    <w:rsid w:val="007C587F"/>
    <w:rsid w:val="007C59C6"/>
    <w:rsid w:val="007C5AA9"/>
    <w:rsid w:val="007C5C5A"/>
    <w:rsid w:val="007C5CCB"/>
    <w:rsid w:val="007C6070"/>
    <w:rsid w:val="007C61AD"/>
    <w:rsid w:val="007C6232"/>
    <w:rsid w:val="007C629F"/>
    <w:rsid w:val="007C62C2"/>
    <w:rsid w:val="007C636E"/>
    <w:rsid w:val="007C6390"/>
    <w:rsid w:val="007C65D7"/>
    <w:rsid w:val="007C666C"/>
    <w:rsid w:val="007C668B"/>
    <w:rsid w:val="007C69BC"/>
    <w:rsid w:val="007C6B7F"/>
    <w:rsid w:val="007C6C99"/>
    <w:rsid w:val="007C6DC4"/>
    <w:rsid w:val="007C6E29"/>
    <w:rsid w:val="007C701E"/>
    <w:rsid w:val="007C71B4"/>
    <w:rsid w:val="007C739C"/>
    <w:rsid w:val="007C7424"/>
    <w:rsid w:val="007C74B8"/>
    <w:rsid w:val="007C7577"/>
    <w:rsid w:val="007C760D"/>
    <w:rsid w:val="007C76EB"/>
    <w:rsid w:val="007C773B"/>
    <w:rsid w:val="007C78A9"/>
    <w:rsid w:val="007C78AF"/>
    <w:rsid w:val="007C7947"/>
    <w:rsid w:val="007C7A3C"/>
    <w:rsid w:val="007C7D89"/>
    <w:rsid w:val="007C7E92"/>
    <w:rsid w:val="007C7EC0"/>
    <w:rsid w:val="007D0059"/>
    <w:rsid w:val="007D0289"/>
    <w:rsid w:val="007D0793"/>
    <w:rsid w:val="007D07A1"/>
    <w:rsid w:val="007D08F2"/>
    <w:rsid w:val="007D0998"/>
    <w:rsid w:val="007D0A05"/>
    <w:rsid w:val="007D0A4B"/>
    <w:rsid w:val="007D0AD0"/>
    <w:rsid w:val="007D0AD5"/>
    <w:rsid w:val="007D0CE9"/>
    <w:rsid w:val="007D0E85"/>
    <w:rsid w:val="007D0F35"/>
    <w:rsid w:val="007D0F8A"/>
    <w:rsid w:val="007D0F9B"/>
    <w:rsid w:val="007D102E"/>
    <w:rsid w:val="007D1104"/>
    <w:rsid w:val="007D1156"/>
    <w:rsid w:val="007D139B"/>
    <w:rsid w:val="007D1418"/>
    <w:rsid w:val="007D14A0"/>
    <w:rsid w:val="007D1569"/>
    <w:rsid w:val="007D1670"/>
    <w:rsid w:val="007D1944"/>
    <w:rsid w:val="007D1A20"/>
    <w:rsid w:val="007D1B5B"/>
    <w:rsid w:val="007D1F6D"/>
    <w:rsid w:val="007D206F"/>
    <w:rsid w:val="007D20E5"/>
    <w:rsid w:val="007D2107"/>
    <w:rsid w:val="007D2331"/>
    <w:rsid w:val="007D23E1"/>
    <w:rsid w:val="007D2453"/>
    <w:rsid w:val="007D25EB"/>
    <w:rsid w:val="007D2636"/>
    <w:rsid w:val="007D264F"/>
    <w:rsid w:val="007D27BD"/>
    <w:rsid w:val="007D2823"/>
    <w:rsid w:val="007D297F"/>
    <w:rsid w:val="007D2AC9"/>
    <w:rsid w:val="007D2CFF"/>
    <w:rsid w:val="007D2EEE"/>
    <w:rsid w:val="007D3232"/>
    <w:rsid w:val="007D3319"/>
    <w:rsid w:val="007D3359"/>
    <w:rsid w:val="007D335F"/>
    <w:rsid w:val="007D35F5"/>
    <w:rsid w:val="007D3728"/>
    <w:rsid w:val="007D383E"/>
    <w:rsid w:val="007D38C5"/>
    <w:rsid w:val="007D3A9A"/>
    <w:rsid w:val="007D3AAF"/>
    <w:rsid w:val="007D3B37"/>
    <w:rsid w:val="007D3B5B"/>
    <w:rsid w:val="007D3B6B"/>
    <w:rsid w:val="007D3EDC"/>
    <w:rsid w:val="007D3F8F"/>
    <w:rsid w:val="007D3FDE"/>
    <w:rsid w:val="007D40A4"/>
    <w:rsid w:val="007D4169"/>
    <w:rsid w:val="007D41F0"/>
    <w:rsid w:val="007D428C"/>
    <w:rsid w:val="007D42C0"/>
    <w:rsid w:val="007D4368"/>
    <w:rsid w:val="007D44B5"/>
    <w:rsid w:val="007D4507"/>
    <w:rsid w:val="007D49D5"/>
    <w:rsid w:val="007D4A71"/>
    <w:rsid w:val="007D4AC2"/>
    <w:rsid w:val="007D4BAB"/>
    <w:rsid w:val="007D4E06"/>
    <w:rsid w:val="007D4F05"/>
    <w:rsid w:val="007D4F13"/>
    <w:rsid w:val="007D5144"/>
    <w:rsid w:val="007D5241"/>
    <w:rsid w:val="007D5490"/>
    <w:rsid w:val="007D5492"/>
    <w:rsid w:val="007D54D6"/>
    <w:rsid w:val="007D5816"/>
    <w:rsid w:val="007D58D5"/>
    <w:rsid w:val="007D58E9"/>
    <w:rsid w:val="007D59CD"/>
    <w:rsid w:val="007D5BC1"/>
    <w:rsid w:val="007D5D4E"/>
    <w:rsid w:val="007D5DDD"/>
    <w:rsid w:val="007D5EE8"/>
    <w:rsid w:val="007D5F8C"/>
    <w:rsid w:val="007D5F97"/>
    <w:rsid w:val="007D6140"/>
    <w:rsid w:val="007D615C"/>
    <w:rsid w:val="007D6234"/>
    <w:rsid w:val="007D658C"/>
    <w:rsid w:val="007D66CF"/>
    <w:rsid w:val="007D66E7"/>
    <w:rsid w:val="007D676A"/>
    <w:rsid w:val="007D67B5"/>
    <w:rsid w:val="007D690A"/>
    <w:rsid w:val="007D6921"/>
    <w:rsid w:val="007D6AAA"/>
    <w:rsid w:val="007D6BC5"/>
    <w:rsid w:val="007D6C29"/>
    <w:rsid w:val="007D6CD8"/>
    <w:rsid w:val="007D6D0A"/>
    <w:rsid w:val="007D6E55"/>
    <w:rsid w:val="007D6F02"/>
    <w:rsid w:val="007D71D3"/>
    <w:rsid w:val="007D7347"/>
    <w:rsid w:val="007D736A"/>
    <w:rsid w:val="007D75D5"/>
    <w:rsid w:val="007D762B"/>
    <w:rsid w:val="007D7836"/>
    <w:rsid w:val="007D7974"/>
    <w:rsid w:val="007D79E6"/>
    <w:rsid w:val="007D79F1"/>
    <w:rsid w:val="007D7A04"/>
    <w:rsid w:val="007D7A22"/>
    <w:rsid w:val="007D7C36"/>
    <w:rsid w:val="007D7C48"/>
    <w:rsid w:val="007D7DE6"/>
    <w:rsid w:val="007D7E35"/>
    <w:rsid w:val="007D7F5D"/>
    <w:rsid w:val="007D7F8D"/>
    <w:rsid w:val="007E0082"/>
    <w:rsid w:val="007E0110"/>
    <w:rsid w:val="007E0114"/>
    <w:rsid w:val="007E0400"/>
    <w:rsid w:val="007E0529"/>
    <w:rsid w:val="007E07DE"/>
    <w:rsid w:val="007E0CB2"/>
    <w:rsid w:val="007E11C4"/>
    <w:rsid w:val="007E12CB"/>
    <w:rsid w:val="007E1392"/>
    <w:rsid w:val="007E1411"/>
    <w:rsid w:val="007E1461"/>
    <w:rsid w:val="007E15E6"/>
    <w:rsid w:val="007E164A"/>
    <w:rsid w:val="007E170E"/>
    <w:rsid w:val="007E182C"/>
    <w:rsid w:val="007E1920"/>
    <w:rsid w:val="007E1954"/>
    <w:rsid w:val="007E1997"/>
    <w:rsid w:val="007E1A23"/>
    <w:rsid w:val="007E1A38"/>
    <w:rsid w:val="007E1B3D"/>
    <w:rsid w:val="007E1BE0"/>
    <w:rsid w:val="007E1D40"/>
    <w:rsid w:val="007E1D7D"/>
    <w:rsid w:val="007E1D94"/>
    <w:rsid w:val="007E1DF1"/>
    <w:rsid w:val="007E1EF1"/>
    <w:rsid w:val="007E20AA"/>
    <w:rsid w:val="007E22D2"/>
    <w:rsid w:val="007E23C9"/>
    <w:rsid w:val="007E2660"/>
    <w:rsid w:val="007E2710"/>
    <w:rsid w:val="007E275E"/>
    <w:rsid w:val="007E28E8"/>
    <w:rsid w:val="007E2935"/>
    <w:rsid w:val="007E2CB6"/>
    <w:rsid w:val="007E2D52"/>
    <w:rsid w:val="007E3048"/>
    <w:rsid w:val="007E30A2"/>
    <w:rsid w:val="007E324F"/>
    <w:rsid w:val="007E3356"/>
    <w:rsid w:val="007E35A0"/>
    <w:rsid w:val="007E3786"/>
    <w:rsid w:val="007E37AE"/>
    <w:rsid w:val="007E3894"/>
    <w:rsid w:val="007E38AC"/>
    <w:rsid w:val="007E395C"/>
    <w:rsid w:val="007E3A54"/>
    <w:rsid w:val="007E3B04"/>
    <w:rsid w:val="007E3BA5"/>
    <w:rsid w:val="007E3CFF"/>
    <w:rsid w:val="007E3E26"/>
    <w:rsid w:val="007E3EC1"/>
    <w:rsid w:val="007E3F41"/>
    <w:rsid w:val="007E40C1"/>
    <w:rsid w:val="007E43C9"/>
    <w:rsid w:val="007E458C"/>
    <w:rsid w:val="007E45A4"/>
    <w:rsid w:val="007E45F1"/>
    <w:rsid w:val="007E45FA"/>
    <w:rsid w:val="007E4800"/>
    <w:rsid w:val="007E4842"/>
    <w:rsid w:val="007E4848"/>
    <w:rsid w:val="007E4B0F"/>
    <w:rsid w:val="007E4B45"/>
    <w:rsid w:val="007E4D7F"/>
    <w:rsid w:val="007E4EC5"/>
    <w:rsid w:val="007E4FE4"/>
    <w:rsid w:val="007E50B7"/>
    <w:rsid w:val="007E50D3"/>
    <w:rsid w:val="007E5295"/>
    <w:rsid w:val="007E5569"/>
    <w:rsid w:val="007E5A7E"/>
    <w:rsid w:val="007E5B13"/>
    <w:rsid w:val="007E5E35"/>
    <w:rsid w:val="007E5F15"/>
    <w:rsid w:val="007E5F48"/>
    <w:rsid w:val="007E60AE"/>
    <w:rsid w:val="007E60EA"/>
    <w:rsid w:val="007E60F8"/>
    <w:rsid w:val="007E6247"/>
    <w:rsid w:val="007E6272"/>
    <w:rsid w:val="007E6292"/>
    <w:rsid w:val="007E631F"/>
    <w:rsid w:val="007E686A"/>
    <w:rsid w:val="007E691F"/>
    <w:rsid w:val="007E6AB3"/>
    <w:rsid w:val="007E6C06"/>
    <w:rsid w:val="007E6C98"/>
    <w:rsid w:val="007E6CA9"/>
    <w:rsid w:val="007E6E7F"/>
    <w:rsid w:val="007E71DB"/>
    <w:rsid w:val="007E72F7"/>
    <w:rsid w:val="007E7318"/>
    <w:rsid w:val="007E7791"/>
    <w:rsid w:val="007E7A3E"/>
    <w:rsid w:val="007E7A68"/>
    <w:rsid w:val="007E7AE8"/>
    <w:rsid w:val="007E7B96"/>
    <w:rsid w:val="007E7C79"/>
    <w:rsid w:val="007E7CE4"/>
    <w:rsid w:val="007E7DFB"/>
    <w:rsid w:val="007F00A1"/>
    <w:rsid w:val="007F0134"/>
    <w:rsid w:val="007F022A"/>
    <w:rsid w:val="007F0263"/>
    <w:rsid w:val="007F02C2"/>
    <w:rsid w:val="007F035C"/>
    <w:rsid w:val="007F056C"/>
    <w:rsid w:val="007F057A"/>
    <w:rsid w:val="007F0621"/>
    <w:rsid w:val="007F0753"/>
    <w:rsid w:val="007F0890"/>
    <w:rsid w:val="007F0973"/>
    <w:rsid w:val="007F0B4F"/>
    <w:rsid w:val="007F0CFD"/>
    <w:rsid w:val="007F0D88"/>
    <w:rsid w:val="007F0EBF"/>
    <w:rsid w:val="007F0FC1"/>
    <w:rsid w:val="007F0FCE"/>
    <w:rsid w:val="007F1143"/>
    <w:rsid w:val="007F122F"/>
    <w:rsid w:val="007F123B"/>
    <w:rsid w:val="007F1519"/>
    <w:rsid w:val="007F1568"/>
    <w:rsid w:val="007F1869"/>
    <w:rsid w:val="007F18BF"/>
    <w:rsid w:val="007F18E6"/>
    <w:rsid w:val="007F19E6"/>
    <w:rsid w:val="007F1A22"/>
    <w:rsid w:val="007F1A96"/>
    <w:rsid w:val="007F1B06"/>
    <w:rsid w:val="007F1C68"/>
    <w:rsid w:val="007F1D25"/>
    <w:rsid w:val="007F21B3"/>
    <w:rsid w:val="007F238E"/>
    <w:rsid w:val="007F2424"/>
    <w:rsid w:val="007F25A3"/>
    <w:rsid w:val="007F2671"/>
    <w:rsid w:val="007F27A5"/>
    <w:rsid w:val="007F286F"/>
    <w:rsid w:val="007F293F"/>
    <w:rsid w:val="007F29AE"/>
    <w:rsid w:val="007F29DD"/>
    <w:rsid w:val="007F2A58"/>
    <w:rsid w:val="007F2A7E"/>
    <w:rsid w:val="007F2B68"/>
    <w:rsid w:val="007F2C89"/>
    <w:rsid w:val="007F2CCF"/>
    <w:rsid w:val="007F2D3F"/>
    <w:rsid w:val="007F2DF3"/>
    <w:rsid w:val="007F2DF8"/>
    <w:rsid w:val="007F2E4F"/>
    <w:rsid w:val="007F3339"/>
    <w:rsid w:val="007F3502"/>
    <w:rsid w:val="007F357D"/>
    <w:rsid w:val="007F3621"/>
    <w:rsid w:val="007F37DD"/>
    <w:rsid w:val="007F37FF"/>
    <w:rsid w:val="007F3838"/>
    <w:rsid w:val="007F38FB"/>
    <w:rsid w:val="007F3AE8"/>
    <w:rsid w:val="007F3F3B"/>
    <w:rsid w:val="007F3FD9"/>
    <w:rsid w:val="007F40C5"/>
    <w:rsid w:val="007F40FA"/>
    <w:rsid w:val="007F4175"/>
    <w:rsid w:val="007F4299"/>
    <w:rsid w:val="007F42D0"/>
    <w:rsid w:val="007F45F6"/>
    <w:rsid w:val="007F4950"/>
    <w:rsid w:val="007F4A27"/>
    <w:rsid w:val="007F4A57"/>
    <w:rsid w:val="007F4DE6"/>
    <w:rsid w:val="007F4F13"/>
    <w:rsid w:val="007F4F34"/>
    <w:rsid w:val="007F5056"/>
    <w:rsid w:val="007F55D0"/>
    <w:rsid w:val="007F566B"/>
    <w:rsid w:val="007F574F"/>
    <w:rsid w:val="007F578D"/>
    <w:rsid w:val="007F57A4"/>
    <w:rsid w:val="007F57E0"/>
    <w:rsid w:val="007F596D"/>
    <w:rsid w:val="007F5A10"/>
    <w:rsid w:val="007F5ADD"/>
    <w:rsid w:val="007F5C7B"/>
    <w:rsid w:val="007F5D2E"/>
    <w:rsid w:val="007F5D3D"/>
    <w:rsid w:val="007F5EC5"/>
    <w:rsid w:val="007F5F3A"/>
    <w:rsid w:val="007F5F4B"/>
    <w:rsid w:val="007F6103"/>
    <w:rsid w:val="007F615B"/>
    <w:rsid w:val="007F618D"/>
    <w:rsid w:val="007F6299"/>
    <w:rsid w:val="007F64CC"/>
    <w:rsid w:val="007F65FB"/>
    <w:rsid w:val="007F66C3"/>
    <w:rsid w:val="007F6865"/>
    <w:rsid w:val="007F6C7A"/>
    <w:rsid w:val="007F6CDF"/>
    <w:rsid w:val="007F6CF3"/>
    <w:rsid w:val="007F6DB6"/>
    <w:rsid w:val="007F7013"/>
    <w:rsid w:val="007F7084"/>
    <w:rsid w:val="007F71A8"/>
    <w:rsid w:val="007F71E7"/>
    <w:rsid w:val="007F724C"/>
    <w:rsid w:val="007F7300"/>
    <w:rsid w:val="007F73A4"/>
    <w:rsid w:val="007F73BC"/>
    <w:rsid w:val="007F749E"/>
    <w:rsid w:val="007F74DB"/>
    <w:rsid w:val="007F7545"/>
    <w:rsid w:val="007F75F6"/>
    <w:rsid w:val="007F77A9"/>
    <w:rsid w:val="007F7889"/>
    <w:rsid w:val="007F78BF"/>
    <w:rsid w:val="007F7BB2"/>
    <w:rsid w:val="007F7CF1"/>
    <w:rsid w:val="007F7D7A"/>
    <w:rsid w:val="007F7E7C"/>
    <w:rsid w:val="007F7F2E"/>
    <w:rsid w:val="007F7F57"/>
    <w:rsid w:val="00800043"/>
    <w:rsid w:val="00800182"/>
    <w:rsid w:val="0080027F"/>
    <w:rsid w:val="00800295"/>
    <w:rsid w:val="00800325"/>
    <w:rsid w:val="0080032A"/>
    <w:rsid w:val="00800356"/>
    <w:rsid w:val="00800498"/>
    <w:rsid w:val="00800528"/>
    <w:rsid w:val="00800661"/>
    <w:rsid w:val="00800688"/>
    <w:rsid w:val="008006DF"/>
    <w:rsid w:val="0080089B"/>
    <w:rsid w:val="00800B4B"/>
    <w:rsid w:val="00800E55"/>
    <w:rsid w:val="00800EDA"/>
    <w:rsid w:val="008012AE"/>
    <w:rsid w:val="00801451"/>
    <w:rsid w:val="00801481"/>
    <w:rsid w:val="008014BF"/>
    <w:rsid w:val="008015A8"/>
    <w:rsid w:val="008015CC"/>
    <w:rsid w:val="008015F6"/>
    <w:rsid w:val="008017BC"/>
    <w:rsid w:val="008017FD"/>
    <w:rsid w:val="00801826"/>
    <w:rsid w:val="0080187D"/>
    <w:rsid w:val="00801A77"/>
    <w:rsid w:val="00801A82"/>
    <w:rsid w:val="00801AB5"/>
    <w:rsid w:val="00801B59"/>
    <w:rsid w:val="00801B98"/>
    <w:rsid w:val="00801D76"/>
    <w:rsid w:val="00801F41"/>
    <w:rsid w:val="00802109"/>
    <w:rsid w:val="008022BA"/>
    <w:rsid w:val="00802366"/>
    <w:rsid w:val="008023D0"/>
    <w:rsid w:val="008023FE"/>
    <w:rsid w:val="008024F9"/>
    <w:rsid w:val="00802569"/>
    <w:rsid w:val="008026A1"/>
    <w:rsid w:val="008029C7"/>
    <w:rsid w:val="00802C22"/>
    <w:rsid w:val="00802C89"/>
    <w:rsid w:val="00802DB0"/>
    <w:rsid w:val="00802F42"/>
    <w:rsid w:val="00802FDE"/>
    <w:rsid w:val="00803038"/>
    <w:rsid w:val="00803125"/>
    <w:rsid w:val="00803129"/>
    <w:rsid w:val="008031E5"/>
    <w:rsid w:val="0080322B"/>
    <w:rsid w:val="00803285"/>
    <w:rsid w:val="00803341"/>
    <w:rsid w:val="008034F2"/>
    <w:rsid w:val="008035C3"/>
    <w:rsid w:val="00803760"/>
    <w:rsid w:val="00803792"/>
    <w:rsid w:val="008039C3"/>
    <w:rsid w:val="00803CEE"/>
    <w:rsid w:val="00803D30"/>
    <w:rsid w:val="00803D8B"/>
    <w:rsid w:val="00803EB6"/>
    <w:rsid w:val="00803F26"/>
    <w:rsid w:val="00803FAF"/>
    <w:rsid w:val="0080403A"/>
    <w:rsid w:val="00804053"/>
    <w:rsid w:val="0080416D"/>
    <w:rsid w:val="0080419E"/>
    <w:rsid w:val="008042C1"/>
    <w:rsid w:val="0080467A"/>
    <w:rsid w:val="00804AC2"/>
    <w:rsid w:val="00804B8B"/>
    <w:rsid w:val="00804BAB"/>
    <w:rsid w:val="00804D6F"/>
    <w:rsid w:val="00804DA7"/>
    <w:rsid w:val="00804E65"/>
    <w:rsid w:val="00804FE1"/>
    <w:rsid w:val="00805018"/>
    <w:rsid w:val="00805069"/>
    <w:rsid w:val="00805120"/>
    <w:rsid w:val="00805144"/>
    <w:rsid w:val="008051D6"/>
    <w:rsid w:val="008051F0"/>
    <w:rsid w:val="008052BF"/>
    <w:rsid w:val="0080544E"/>
    <w:rsid w:val="0080552B"/>
    <w:rsid w:val="00805630"/>
    <w:rsid w:val="00805639"/>
    <w:rsid w:val="00805772"/>
    <w:rsid w:val="008057D4"/>
    <w:rsid w:val="008057D6"/>
    <w:rsid w:val="00805839"/>
    <w:rsid w:val="008058FE"/>
    <w:rsid w:val="00805A95"/>
    <w:rsid w:val="00805AD9"/>
    <w:rsid w:val="00805D5A"/>
    <w:rsid w:val="00805D61"/>
    <w:rsid w:val="00805ED0"/>
    <w:rsid w:val="00805F81"/>
    <w:rsid w:val="0080603F"/>
    <w:rsid w:val="00806117"/>
    <w:rsid w:val="0080629F"/>
    <w:rsid w:val="0080633D"/>
    <w:rsid w:val="0080647A"/>
    <w:rsid w:val="00806864"/>
    <w:rsid w:val="008069B0"/>
    <w:rsid w:val="008069D0"/>
    <w:rsid w:val="00806A27"/>
    <w:rsid w:val="00806BB9"/>
    <w:rsid w:val="00806DC4"/>
    <w:rsid w:val="00806E7F"/>
    <w:rsid w:val="00806ECD"/>
    <w:rsid w:val="00806F63"/>
    <w:rsid w:val="00806FA6"/>
    <w:rsid w:val="0080702F"/>
    <w:rsid w:val="00807162"/>
    <w:rsid w:val="0080720C"/>
    <w:rsid w:val="008073B0"/>
    <w:rsid w:val="00807521"/>
    <w:rsid w:val="00807528"/>
    <w:rsid w:val="008075FE"/>
    <w:rsid w:val="0080772B"/>
    <w:rsid w:val="008077A7"/>
    <w:rsid w:val="008077DD"/>
    <w:rsid w:val="0080795C"/>
    <w:rsid w:val="008079CA"/>
    <w:rsid w:val="00807B2D"/>
    <w:rsid w:val="00807CF9"/>
    <w:rsid w:val="00807D34"/>
    <w:rsid w:val="00807D63"/>
    <w:rsid w:val="00807D73"/>
    <w:rsid w:val="00807E74"/>
    <w:rsid w:val="00807F06"/>
    <w:rsid w:val="00810011"/>
    <w:rsid w:val="00810072"/>
    <w:rsid w:val="00810356"/>
    <w:rsid w:val="008103D2"/>
    <w:rsid w:val="0081042C"/>
    <w:rsid w:val="0081045D"/>
    <w:rsid w:val="00810475"/>
    <w:rsid w:val="00810670"/>
    <w:rsid w:val="008106B5"/>
    <w:rsid w:val="008107A9"/>
    <w:rsid w:val="0081086B"/>
    <w:rsid w:val="008108BC"/>
    <w:rsid w:val="00810A9E"/>
    <w:rsid w:val="00810C45"/>
    <w:rsid w:val="00810CA4"/>
    <w:rsid w:val="00810DE8"/>
    <w:rsid w:val="00810EC0"/>
    <w:rsid w:val="00810F3E"/>
    <w:rsid w:val="00810F94"/>
    <w:rsid w:val="00811001"/>
    <w:rsid w:val="00811011"/>
    <w:rsid w:val="00811190"/>
    <w:rsid w:val="00811196"/>
    <w:rsid w:val="0081128E"/>
    <w:rsid w:val="008113BC"/>
    <w:rsid w:val="0081143B"/>
    <w:rsid w:val="0081161F"/>
    <w:rsid w:val="0081175C"/>
    <w:rsid w:val="008117E5"/>
    <w:rsid w:val="00811934"/>
    <w:rsid w:val="00811964"/>
    <w:rsid w:val="008119A8"/>
    <w:rsid w:val="00811A8C"/>
    <w:rsid w:val="00811D02"/>
    <w:rsid w:val="00811E23"/>
    <w:rsid w:val="00811E2F"/>
    <w:rsid w:val="008125FF"/>
    <w:rsid w:val="0081261C"/>
    <w:rsid w:val="0081270A"/>
    <w:rsid w:val="0081287F"/>
    <w:rsid w:val="008128C3"/>
    <w:rsid w:val="00812D8A"/>
    <w:rsid w:val="00812DFB"/>
    <w:rsid w:val="00812E53"/>
    <w:rsid w:val="00812F2E"/>
    <w:rsid w:val="0081300B"/>
    <w:rsid w:val="00813098"/>
    <w:rsid w:val="0081326C"/>
    <w:rsid w:val="008132E8"/>
    <w:rsid w:val="008134B5"/>
    <w:rsid w:val="008134C7"/>
    <w:rsid w:val="008134FB"/>
    <w:rsid w:val="0081359D"/>
    <w:rsid w:val="008136DE"/>
    <w:rsid w:val="00813715"/>
    <w:rsid w:val="0081371A"/>
    <w:rsid w:val="00813863"/>
    <w:rsid w:val="008138AD"/>
    <w:rsid w:val="008138E2"/>
    <w:rsid w:val="00813928"/>
    <w:rsid w:val="00813A85"/>
    <w:rsid w:val="00813CB8"/>
    <w:rsid w:val="00813D89"/>
    <w:rsid w:val="00813FD8"/>
    <w:rsid w:val="008140EA"/>
    <w:rsid w:val="00814211"/>
    <w:rsid w:val="008142AA"/>
    <w:rsid w:val="008142D8"/>
    <w:rsid w:val="00814312"/>
    <w:rsid w:val="008144AD"/>
    <w:rsid w:val="00814689"/>
    <w:rsid w:val="008149D0"/>
    <w:rsid w:val="00814A09"/>
    <w:rsid w:val="00814CFC"/>
    <w:rsid w:val="00814F9B"/>
    <w:rsid w:val="00814FF3"/>
    <w:rsid w:val="00815215"/>
    <w:rsid w:val="0081533C"/>
    <w:rsid w:val="00815364"/>
    <w:rsid w:val="0081541B"/>
    <w:rsid w:val="0081544F"/>
    <w:rsid w:val="00815603"/>
    <w:rsid w:val="008157C6"/>
    <w:rsid w:val="008157F8"/>
    <w:rsid w:val="00815C26"/>
    <w:rsid w:val="00815D13"/>
    <w:rsid w:val="00815D50"/>
    <w:rsid w:val="00815F08"/>
    <w:rsid w:val="00815F37"/>
    <w:rsid w:val="00815FF1"/>
    <w:rsid w:val="008160CE"/>
    <w:rsid w:val="008161B4"/>
    <w:rsid w:val="008161D7"/>
    <w:rsid w:val="00816536"/>
    <w:rsid w:val="00816564"/>
    <w:rsid w:val="00816642"/>
    <w:rsid w:val="0081666B"/>
    <w:rsid w:val="008167DC"/>
    <w:rsid w:val="00816804"/>
    <w:rsid w:val="00816904"/>
    <w:rsid w:val="00816951"/>
    <w:rsid w:val="00816A5B"/>
    <w:rsid w:val="00816A71"/>
    <w:rsid w:val="00816B6C"/>
    <w:rsid w:val="00816BCD"/>
    <w:rsid w:val="00816EA9"/>
    <w:rsid w:val="00816FAE"/>
    <w:rsid w:val="0081708F"/>
    <w:rsid w:val="008170BE"/>
    <w:rsid w:val="008170D1"/>
    <w:rsid w:val="008174DE"/>
    <w:rsid w:val="008175DC"/>
    <w:rsid w:val="0081780F"/>
    <w:rsid w:val="00817841"/>
    <w:rsid w:val="008178F6"/>
    <w:rsid w:val="00817949"/>
    <w:rsid w:val="00817A9F"/>
    <w:rsid w:val="00817AE2"/>
    <w:rsid w:val="00817C17"/>
    <w:rsid w:val="00817E1A"/>
    <w:rsid w:val="00817E5D"/>
    <w:rsid w:val="00817FAC"/>
    <w:rsid w:val="00820019"/>
    <w:rsid w:val="00820232"/>
    <w:rsid w:val="00820422"/>
    <w:rsid w:val="00820425"/>
    <w:rsid w:val="008204A9"/>
    <w:rsid w:val="00820589"/>
    <w:rsid w:val="00820661"/>
    <w:rsid w:val="008208A0"/>
    <w:rsid w:val="0082091C"/>
    <w:rsid w:val="00820AB5"/>
    <w:rsid w:val="00820AD4"/>
    <w:rsid w:val="00820CCC"/>
    <w:rsid w:val="00820CFA"/>
    <w:rsid w:val="00820E37"/>
    <w:rsid w:val="00820EC4"/>
    <w:rsid w:val="00820EDB"/>
    <w:rsid w:val="00820F54"/>
    <w:rsid w:val="00820FA9"/>
    <w:rsid w:val="0082107A"/>
    <w:rsid w:val="0082109C"/>
    <w:rsid w:val="008210DD"/>
    <w:rsid w:val="00821394"/>
    <w:rsid w:val="00821399"/>
    <w:rsid w:val="00821456"/>
    <w:rsid w:val="0082150E"/>
    <w:rsid w:val="0082151A"/>
    <w:rsid w:val="0082156C"/>
    <w:rsid w:val="00821572"/>
    <w:rsid w:val="008218CB"/>
    <w:rsid w:val="008218FC"/>
    <w:rsid w:val="00821AA9"/>
    <w:rsid w:val="00821D4C"/>
    <w:rsid w:val="00821EB6"/>
    <w:rsid w:val="00822181"/>
    <w:rsid w:val="008221CC"/>
    <w:rsid w:val="00822389"/>
    <w:rsid w:val="0082242C"/>
    <w:rsid w:val="00822514"/>
    <w:rsid w:val="00822594"/>
    <w:rsid w:val="008226AE"/>
    <w:rsid w:val="00822757"/>
    <w:rsid w:val="008227E7"/>
    <w:rsid w:val="0082280F"/>
    <w:rsid w:val="0082284A"/>
    <w:rsid w:val="00822A10"/>
    <w:rsid w:val="00822C58"/>
    <w:rsid w:val="00822D04"/>
    <w:rsid w:val="00822D36"/>
    <w:rsid w:val="0082314D"/>
    <w:rsid w:val="008231AA"/>
    <w:rsid w:val="008231D7"/>
    <w:rsid w:val="0082330C"/>
    <w:rsid w:val="008235D5"/>
    <w:rsid w:val="008235DB"/>
    <w:rsid w:val="0082368A"/>
    <w:rsid w:val="008237F7"/>
    <w:rsid w:val="00823B13"/>
    <w:rsid w:val="00823B38"/>
    <w:rsid w:val="00823C77"/>
    <w:rsid w:val="00823D88"/>
    <w:rsid w:val="00823E08"/>
    <w:rsid w:val="00823F0B"/>
    <w:rsid w:val="00823F76"/>
    <w:rsid w:val="008240CD"/>
    <w:rsid w:val="0082437F"/>
    <w:rsid w:val="008243B9"/>
    <w:rsid w:val="00824428"/>
    <w:rsid w:val="0082453D"/>
    <w:rsid w:val="008245B2"/>
    <w:rsid w:val="008246C6"/>
    <w:rsid w:val="0082487D"/>
    <w:rsid w:val="0082493A"/>
    <w:rsid w:val="00824BAC"/>
    <w:rsid w:val="00824BE5"/>
    <w:rsid w:val="00824D66"/>
    <w:rsid w:val="00824DE6"/>
    <w:rsid w:val="00824EBF"/>
    <w:rsid w:val="00824FFB"/>
    <w:rsid w:val="0082545D"/>
    <w:rsid w:val="00825579"/>
    <w:rsid w:val="008255B1"/>
    <w:rsid w:val="0082568C"/>
    <w:rsid w:val="0082579B"/>
    <w:rsid w:val="008258DE"/>
    <w:rsid w:val="00825AC3"/>
    <w:rsid w:val="00825B4D"/>
    <w:rsid w:val="00825BA2"/>
    <w:rsid w:val="00825CDD"/>
    <w:rsid w:val="00825E1D"/>
    <w:rsid w:val="00825E55"/>
    <w:rsid w:val="00825F24"/>
    <w:rsid w:val="00825F65"/>
    <w:rsid w:val="00825FFD"/>
    <w:rsid w:val="00826033"/>
    <w:rsid w:val="0082606F"/>
    <w:rsid w:val="008260A3"/>
    <w:rsid w:val="008260D2"/>
    <w:rsid w:val="00826106"/>
    <w:rsid w:val="0082614A"/>
    <w:rsid w:val="008262E3"/>
    <w:rsid w:val="008264B6"/>
    <w:rsid w:val="008266A0"/>
    <w:rsid w:val="00826B19"/>
    <w:rsid w:val="00826B2D"/>
    <w:rsid w:val="00826BE0"/>
    <w:rsid w:val="00826C4F"/>
    <w:rsid w:val="00826F02"/>
    <w:rsid w:val="00826F2A"/>
    <w:rsid w:val="00826FB7"/>
    <w:rsid w:val="00826FFF"/>
    <w:rsid w:val="008271BC"/>
    <w:rsid w:val="00827224"/>
    <w:rsid w:val="00827231"/>
    <w:rsid w:val="008272F4"/>
    <w:rsid w:val="00827327"/>
    <w:rsid w:val="008273C9"/>
    <w:rsid w:val="008273E6"/>
    <w:rsid w:val="00827431"/>
    <w:rsid w:val="0082749D"/>
    <w:rsid w:val="00827587"/>
    <w:rsid w:val="0082759A"/>
    <w:rsid w:val="00827680"/>
    <w:rsid w:val="00827766"/>
    <w:rsid w:val="00827871"/>
    <w:rsid w:val="008278D0"/>
    <w:rsid w:val="00827923"/>
    <w:rsid w:val="00827939"/>
    <w:rsid w:val="0082795E"/>
    <w:rsid w:val="00827964"/>
    <w:rsid w:val="00827B98"/>
    <w:rsid w:val="00827C2A"/>
    <w:rsid w:val="00827F45"/>
    <w:rsid w:val="0083000E"/>
    <w:rsid w:val="00830082"/>
    <w:rsid w:val="0083046D"/>
    <w:rsid w:val="0083066D"/>
    <w:rsid w:val="0083093B"/>
    <w:rsid w:val="008309DF"/>
    <w:rsid w:val="00830AD9"/>
    <w:rsid w:val="00830B6B"/>
    <w:rsid w:val="00830C19"/>
    <w:rsid w:val="00830D32"/>
    <w:rsid w:val="00830DC1"/>
    <w:rsid w:val="00831175"/>
    <w:rsid w:val="008311BD"/>
    <w:rsid w:val="008312A4"/>
    <w:rsid w:val="008313BA"/>
    <w:rsid w:val="008313D5"/>
    <w:rsid w:val="008314FE"/>
    <w:rsid w:val="008315CB"/>
    <w:rsid w:val="00831638"/>
    <w:rsid w:val="008316B9"/>
    <w:rsid w:val="00831762"/>
    <w:rsid w:val="0083193D"/>
    <w:rsid w:val="00831985"/>
    <w:rsid w:val="008319D5"/>
    <w:rsid w:val="00831A76"/>
    <w:rsid w:val="00831D27"/>
    <w:rsid w:val="00831D4E"/>
    <w:rsid w:val="00831F9C"/>
    <w:rsid w:val="00832019"/>
    <w:rsid w:val="00832202"/>
    <w:rsid w:val="00832297"/>
    <w:rsid w:val="0083239B"/>
    <w:rsid w:val="008323D5"/>
    <w:rsid w:val="00832466"/>
    <w:rsid w:val="00832469"/>
    <w:rsid w:val="00832565"/>
    <w:rsid w:val="008325C6"/>
    <w:rsid w:val="008325F8"/>
    <w:rsid w:val="0083273C"/>
    <w:rsid w:val="0083282E"/>
    <w:rsid w:val="008329C0"/>
    <w:rsid w:val="00832AB8"/>
    <w:rsid w:val="00832BBF"/>
    <w:rsid w:val="00832DFD"/>
    <w:rsid w:val="00832DFE"/>
    <w:rsid w:val="00832EA4"/>
    <w:rsid w:val="00832FFC"/>
    <w:rsid w:val="008331EB"/>
    <w:rsid w:val="0083340E"/>
    <w:rsid w:val="00833448"/>
    <w:rsid w:val="00833600"/>
    <w:rsid w:val="0083361A"/>
    <w:rsid w:val="0083368B"/>
    <w:rsid w:val="00833851"/>
    <w:rsid w:val="008339AF"/>
    <w:rsid w:val="00833A61"/>
    <w:rsid w:val="00833A9C"/>
    <w:rsid w:val="00833BE8"/>
    <w:rsid w:val="00833C0B"/>
    <w:rsid w:val="00833C7C"/>
    <w:rsid w:val="00833D2B"/>
    <w:rsid w:val="00833FF1"/>
    <w:rsid w:val="00834071"/>
    <w:rsid w:val="00834121"/>
    <w:rsid w:val="008341E5"/>
    <w:rsid w:val="008341F1"/>
    <w:rsid w:val="0083428E"/>
    <w:rsid w:val="00834385"/>
    <w:rsid w:val="008345E1"/>
    <w:rsid w:val="00834985"/>
    <w:rsid w:val="00834ABE"/>
    <w:rsid w:val="00834B66"/>
    <w:rsid w:val="00834F04"/>
    <w:rsid w:val="00835133"/>
    <w:rsid w:val="008351B2"/>
    <w:rsid w:val="008355BA"/>
    <w:rsid w:val="0083579F"/>
    <w:rsid w:val="008358BF"/>
    <w:rsid w:val="008358CD"/>
    <w:rsid w:val="008358E9"/>
    <w:rsid w:val="00835974"/>
    <w:rsid w:val="00835BCE"/>
    <w:rsid w:val="00835C79"/>
    <w:rsid w:val="00835E39"/>
    <w:rsid w:val="00835EC3"/>
    <w:rsid w:val="00835FC9"/>
    <w:rsid w:val="00836262"/>
    <w:rsid w:val="008362A8"/>
    <w:rsid w:val="00836438"/>
    <w:rsid w:val="00836673"/>
    <w:rsid w:val="008366DC"/>
    <w:rsid w:val="008367B2"/>
    <w:rsid w:val="00836889"/>
    <w:rsid w:val="008369F0"/>
    <w:rsid w:val="00836AC7"/>
    <w:rsid w:val="00836BE6"/>
    <w:rsid w:val="00836E3A"/>
    <w:rsid w:val="00836E73"/>
    <w:rsid w:val="00836EFA"/>
    <w:rsid w:val="00836F9E"/>
    <w:rsid w:val="0083706C"/>
    <w:rsid w:val="008370D9"/>
    <w:rsid w:val="00837210"/>
    <w:rsid w:val="00837240"/>
    <w:rsid w:val="00837380"/>
    <w:rsid w:val="00837487"/>
    <w:rsid w:val="0083750D"/>
    <w:rsid w:val="00837604"/>
    <w:rsid w:val="00837654"/>
    <w:rsid w:val="0083767C"/>
    <w:rsid w:val="00837689"/>
    <w:rsid w:val="00837763"/>
    <w:rsid w:val="008378FB"/>
    <w:rsid w:val="008379E9"/>
    <w:rsid w:val="00837A4C"/>
    <w:rsid w:val="00837AA5"/>
    <w:rsid w:val="00837C88"/>
    <w:rsid w:val="00837CCE"/>
    <w:rsid w:val="00837CF1"/>
    <w:rsid w:val="008401D8"/>
    <w:rsid w:val="00840201"/>
    <w:rsid w:val="0084036E"/>
    <w:rsid w:val="00840409"/>
    <w:rsid w:val="0084042D"/>
    <w:rsid w:val="00840454"/>
    <w:rsid w:val="0084065B"/>
    <w:rsid w:val="008407CE"/>
    <w:rsid w:val="00840912"/>
    <w:rsid w:val="00840C51"/>
    <w:rsid w:val="00840C71"/>
    <w:rsid w:val="00840D07"/>
    <w:rsid w:val="00840DCC"/>
    <w:rsid w:val="00840E5C"/>
    <w:rsid w:val="00840FA0"/>
    <w:rsid w:val="00841086"/>
    <w:rsid w:val="0084118B"/>
    <w:rsid w:val="008411BA"/>
    <w:rsid w:val="00841215"/>
    <w:rsid w:val="0084122C"/>
    <w:rsid w:val="008412E6"/>
    <w:rsid w:val="0084145C"/>
    <w:rsid w:val="00841577"/>
    <w:rsid w:val="0084181C"/>
    <w:rsid w:val="00841AB7"/>
    <w:rsid w:val="00841B87"/>
    <w:rsid w:val="00841BE4"/>
    <w:rsid w:val="00841D27"/>
    <w:rsid w:val="00841EE9"/>
    <w:rsid w:val="00841F19"/>
    <w:rsid w:val="008420A5"/>
    <w:rsid w:val="008420CF"/>
    <w:rsid w:val="008420EA"/>
    <w:rsid w:val="00842337"/>
    <w:rsid w:val="00842344"/>
    <w:rsid w:val="0084238D"/>
    <w:rsid w:val="008423D2"/>
    <w:rsid w:val="008423D5"/>
    <w:rsid w:val="008423EB"/>
    <w:rsid w:val="008425D7"/>
    <w:rsid w:val="008425F3"/>
    <w:rsid w:val="00842630"/>
    <w:rsid w:val="0084276C"/>
    <w:rsid w:val="008429E3"/>
    <w:rsid w:val="00842A67"/>
    <w:rsid w:val="00842B12"/>
    <w:rsid w:val="00842B9A"/>
    <w:rsid w:val="00842CDF"/>
    <w:rsid w:val="00842CF5"/>
    <w:rsid w:val="0084304E"/>
    <w:rsid w:val="00843167"/>
    <w:rsid w:val="00843349"/>
    <w:rsid w:val="0084343C"/>
    <w:rsid w:val="008434B0"/>
    <w:rsid w:val="008434EF"/>
    <w:rsid w:val="0084369C"/>
    <w:rsid w:val="008437A4"/>
    <w:rsid w:val="00843A64"/>
    <w:rsid w:val="00843AE6"/>
    <w:rsid w:val="00843B61"/>
    <w:rsid w:val="00843C0D"/>
    <w:rsid w:val="00843C38"/>
    <w:rsid w:val="00844055"/>
    <w:rsid w:val="008440B1"/>
    <w:rsid w:val="008440FB"/>
    <w:rsid w:val="0084426B"/>
    <w:rsid w:val="0084429F"/>
    <w:rsid w:val="008442AE"/>
    <w:rsid w:val="00844368"/>
    <w:rsid w:val="008443E3"/>
    <w:rsid w:val="008444F3"/>
    <w:rsid w:val="008445C4"/>
    <w:rsid w:val="008445E6"/>
    <w:rsid w:val="00844772"/>
    <w:rsid w:val="008447FA"/>
    <w:rsid w:val="00844A0C"/>
    <w:rsid w:val="00844A27"/>
    <w:rsid w:val="00844AE8"/>
    <w:rsid w:val="00844C59"/>
    <w:rsid w:val="00844D68"/>
    <w:rsid w:val="00844DB8"/>
    <w:rsid w:val="00844DEE"/>
    <w:rsid w:val="00844DF6"/>
    <w:rsid w:val="00844E5F"/>
    <w:rsid w:val="00844EFF"/>
    <w:rsid w:val="00844F96"/>
    <w:rsid w:val="0084527A"/>
    <w:rsid w:val="00845321"/>
    <w:rsid w:val="0084535D"/>
    <w:rsid w:val="0084557A"/>
    <w:rsid w:val="00845584"/>
    <w:rsid w:val="00845647"/>
    <w:rsid w:val="0084565F"/>
    <w:rsid w:val="00845ABA"/>
    <w:rsid w:val="00845B86"/>
    <w:rsid w:val="00845CA1"/>
    <w:rsid w:val="00845D9C"/>
    <w:rsid w:val="00845F51"/>
    <w:rsid w:val="0084605D"/>
    <w:rsid w:val="0084627A"/>
    <w:rsid w:val="00846348"/>
    <w:rsid w:val="008463C4"/>
    <w:rsid w:val="008463FE"/>
    <w:rsid w:val="008464C3"/>
    <w:rsid w:val="008466EE"/>
    <w:rsid w:val="0084676C"/>
    <w:rsid w:val="0084695E"/>
    <w:rsid w:val="00846A75"/>
    <w:rsid w:val="00846BF7"/>
    <w:rsid w:val="00846C6B"/>
    <w:rsid w:val="00846DFD"/>
    <w:rsid w:val="008472A1"/>
    <w:rsid w:val="008472B8"/>
    <w:rsid w:val="008472C7"/>
    <w:rsid w:val="008472D6"/>
    <w:rsid w:val="008472E8"/>
    <w:rsid w:val="008472E9"/>
    <w:rsid w:val="008473BD"/>
    <w:rsid w:val="00847405"/>
    <w:rsid w:val="0084740F"/>
    <w:rsid w:val="00847436"/>
    <w:rsid w:val="00847446"/>
    <w:rsid w:val="008474F8"/>
    <w:rsid w:val="00847547"/>
    <w:rsid w:val="00847597"/>
    <w:rsid w:val="008475CA"/>
    <w:rsid w:val="008478A6"/>
    <w:rsid w:val="008478EF"/>
    <w:rsid w:val="00847981"/>
    <w:rsid w:val="008479BE"/>
    <w:rsid w:val="00847A02"/>
    <w:rsid w:val="00847A78"/>
    <w:rsid w:val="00847AEF"/>
    <w:rsid w:val="00847B97"/>
    <w:rsid w:val="00847BDE"/>
    <w:rsid w:val="00847C45"/>
    <w:rsid w:val="00847D9E"/>
    <w:rsid w:val="00847DA3"/>
    <w:rsid w:val="00847E2A"/>
    <w:rsid w:val="00847ECA"/>
    <w:rsid w:val="00847EFA"/>
    <w:rsid w:val="00850259"/>
    <w:rsid w:val="00850276"/>
    <w:rsid w:val="008502CA"/>
    <w:rsid w:val="0085037C"/>
    <w:rsid w:val="0085046C"/>
    <w:rsid w:val="0085068E"/>
    <w:rsid w:val="0085077C"/>
    <w:rsid w:val="0085081E"/>
    <w:rsid w:val="0085087E"/>
    <w:rsid w:val="00850A2D"/>
    <w:rsid w:val="00850B67"/>
    <w:rsid w:val="00850BEC"/>
    <w:rsid w:val="00850BF4"/>
    <w:rsid w:val="00850C7C"/>
    <w:rsid w:val="00850E19"/>
    <w:rsid w:val="00850E59"/>
    <w:rsid w:val="00850F5B"/>
    <w:rsid w:val="008511CC"/>
    <w:rsid w:val="008511F4"/>
    <w:rsid w:val="00851292"/>
    <w:rsid w:val="00851566"/>
    <w:rsid w:val="0085158B"/>
    <w:rsid w:val="008516B0"/>
    <w:rsid w:val="00851706"/>
    <w:rsid w:val="0085174D"/>
    <w:rsid w:val="008517BC"/>
    <w:rsid w:val="008517CA"/>
    <w:rsid w:val="0085198B"/>
    <w:rsid w:val="00851A0E"/>
    <w:rsid w:val="00851A32"/>
    <w:rsid w:val="00851AF9"/>
    <w:rsid w:val="00851DC1"/>
    <w:rsid w:val="00851DCB"/>
    <w:rsid w:val="00851DE7"/>
    <w:rsid w:val="00851E0E"/>
    <w:rsid w:val="00851E61"/>
    <w:rsid w:val="00851EBC"/>
    <w:rsid w:val="00851F13"/>
    <w:rsid w:val="00851FEB"/>
    <w:rsid w:val="0085202E"/>
    <w:rsid w:val="00852190"/>
    <w:rsid w:val="0085229B"/>
    <w:rsid w:val="0085236A"/>
    <w:rsid w:val="0085246F"/>
    <w:rsid w:val="00852527"/>
    <w:rsid w:val="00852632"/>
    <w:rsid w:val="0085270E"/>
    <w:rsid w:val="008527FD"/>
    <w:rsid w:val="008529A2"/>
    <w:rsid w:val="00852A61"/>
    <w:rsid w:val="00852A93"/>
    <w:rsid w:val="00852C4F"/>
    <w:rsid w:val="00852CC6"/>
    <w:rsid w:val="00852D44"/>
    <w:rsid w:val="00852FFA"/>
    <w:rsid w:val="00853008"/>
    <w:rsid w:val="00853147"/>
    <w:rsid w:val="008531A5"/>
    <w:rsid w:val="008531BC"/>
    <w:rsid w:val="0085337C"/>
    <w:rsid w:val="00853380"/>
    <w:rsid w:val="0085338B"/>
    <w:rsid w:val="008536DD"/>
    <w:rsid w:val="0085386F"/>
    <w:rsid w:val="00853960"/>
    <w:rsid w:val="00853974"/>
    <w:rsid w:val="00853BB4"/>
    <w:rsid w:val="00853D88"/>
    <w:rsid w:val="00853DE2"/>
    <w:rsid w:val="00853F20"/>
    <w:rsid w:val="00854076"/>
    <w:rsid w:val="0085411A"/>
    <w:rsid w:val="00854120"/>
    <w:rsid w:val="00854208"/>
    <w:rsid w:val="0085439B"/>
    <w:rsid w:val="008543D2"/>
    <w:rsid w:val="00854662"/>
    <w:rsid w:val="0085466F"/>
    <w:rsid w:val="008546A9"/>
    <w:rsid w:val="0085476D"/>
    <w:rsid w:val="00854809"/>
    <w:rsid w:val="0085480F"/>
    <w:rsid w:val="0085485C"/>
    <w:rsid w:val="0085486B"/>
    <w:rsid w:val="008549DF"/>
    <w:rsid w:val="008549E0"/>
    <w:rsid w:val="00854D8A"/>
    <w:rsid w:val="00854E2E"/>
    <w:rsid w:val="00854F42"/>
    <w:rsid w:val="00854F69"/>
    <w:rsid w:val="0085505D"/>
    <w:rsid w:val="008550B0"/>
    <w:rsid w:val="0085520B"/>
    <w:rsid w:val="00855248"/>
    <w:rsid w:val="00855417"/>
    <w:rsid w:val="00855576"/>
    <w:rsid w:val="0085579C"/>
    <w:rsid w:val="00855949"/>
    <w:rsid w:val="00855975"/>
    <w:rsid w:val="00855A84"/>
    <w:rsid w:val="00855CB6"/>
    <w:rsid w:val="00855DBF"/>
    <w:rsid w:val="00855E4C"/>
    <w:rsid w:val="00855EB9"/>
    <w:rsid w:val="00855F2F"/>
    <w:rsid w:val="00855F7B"/>
    <w:rsid w:val="00856449"/>
    <w:rsid w:val="00856551"/>
    <w:rsid w:val="008565A5"/>
    <w:rsid w:val="00856713"/>
    <w:rsid w:val="00856876"/>
    <w:rsid w:val="00856A33"/>
    <w:rsid w:val="00856B83"/>
    <w:rsid w:val="00856BAC"/>
    <w:rsid w:val="00856C16"/>
    <w:rsid w:val="00856C64"/>
    <w:rsid w:val="00856D0E"/>
    <w:rsid w:val="00856DC9"/>
    <w:rsid w:val="00856E7B"/>
    <w:rsid w:val="00856F92"/>
    <w:rsid w:val="008571C9"/>
    <w:rsid w:val="008571D0"/>
    <w:rsid w:val="00857240"/>
    <w:rsid w:val="0085724F"/>
    <w:rsid w:val="0085725B"/>
    <w:rsid w:val="0085727A"/>
    <w:rsid w:val="008573E0"/>
    <w:rsid w:val="008575B0"/>
    <w:rsid w:val="00857608"/>
    <w:rsid w:val="0085772C"/>
    <w:rsid w:val="00857794"/>
    <w:rsid w:val="00857979"/>
    <w:rsid w:val="008579B4"/>
    <w:rsid w:val="00857B18"/>
    <w:rsid w:val="00857C8C"/>
    <w:rsid w:val="00857D37"/>
    <w:rsid w:val="00857EFA"/>
    <w:rsid w:val="0086005B"/>
    <w:rsid w:val="008600B6"/>
    <w:rsid w:val="00860278"/>
    <w:rsid w:val="0086058B"/>
    <w:rsid w:val="0086074B"/>
    <w:rsid w:val="00860769"/>
    <w:rsid w:val="0086080F"/>
    <w:rsid w:val="00860830"/>
    <w:rsid w:val="00860D10"/>
    <w:rsid w:val="00860D5E"/>
    <w:rsid w:val="00860E84"/>
    <w:rsid w:val="0086100B"/>
    <w:rsid w:val="00861027"/>
    <w:rsid w:val="008612AD"/>
    <w:rsid w:val="00861564"/>
    <w:rsid w:val="0086158C"/>
    <w:rsid w:val="008615D9"/>
    <w:rsid w:val="0086168C"/>
    <w:rsid w:val="008616B5"/>
    <w:rsid w:val="00861D40"/>
    <w:rsid w:val="00861ED0"/>
    <w:rsid w:val="00862051"/>
    <w:rsid w:val="008620D6"/>
    <w:rsid w:val="0086213E"/>
    <w:rsid w:val="00862313"/>
    <w:rsid w:val="008623BD"/>
    <w:rsid w:val="00862489"/>
    <w:rsid w:val="008624D9"/>
    <w:rsid w:val="00862674"/>
    <w:rsid w:val="008627FB"/>
    <w:rsid w:val="00862BD4"/>
    <w:rsid w:val="00862CA0"/>
    <w:rsid w:val="00862EB5"/>
    <w:rsid w:val="00862EF5"/>
    <w:rsid w:val="00862F29"/>
    <w:rsid w:val="008630FF"/>
    <w:rsid w:val="0086320C"/>
    <w:rsid w:val="008633C4"/>
    <w:rsid w:val="008633F4"/>
    <w:rsid w:val="008633FE"/>
    <w:rsid w:val="008636D1"/>
    <w:rsid w:val="00863A53"/>
    <w:rsid w:val="00863AAD"/>
    <w:rsid w:val="00863AD5"/>
    <w:rsid w:val="00863B98"/>
    <w:rsid w:val="00863C21"/>
    <w:rsid w:val="00863CA6"/>
    <w:rsid w:val="00863CDB"/>
    <w:rsid w:val="00863D1D"/>
    <w:rsid w:val="008642A8"/>
    <w:rsid w:val="008642F6"/>
    <w:rsid w:val="00864368"/>
    <w:rsid w:val="00864386"/>
    <w:rsid w:val="0086446A"/>
    <w:rsid w:val="0086457D"/>
    <w:rsid w:val="0086479B"/>
    <w:rsid w:val="008648E5"/>
    <w:rsid w:val="00864B99"/>
    <w:rsid w:val="00864C65"/>
    <w:rsid w:val="00864C9A"/>
    <w:rsid w:val="00864D33"/>
    <w:rsid w:val="00864D41"/>
    <w:rsid w:val="00864DB5"/>
    <w:rsid w:val="0086503C"/>
    <w:rsid w:val="00865045"/>
    <w:rsid w:val="008650DE"/>
    <w:rsid w:val="00865198"/>
    <w:rsid w:val="00865378"/>
    <w:rsid w:val="00865437"/>
    <w:rsid w:val="00865452"/>
    <w:rsid w:val="0086569C"/>
    <w:rsid w:val="00865712"/>
    <w:rsid w:val="008658DE"/>
    <w:rsid w:val="00865C02"/>
    <w:rsid w:val="00865C1B"/>
    <w:rsid w:val="00865D20"/>
    <w:rsid w:val="00865D6C"/>
    <w:rsid w:val="00865DDC"/>
    <w:rsid w:val="00865E09"/>
    <w:rsid w:val="00865E8E"/>
    <w:rsid w:val="008661D8"/>
    <w:rsid w:val="00866281"/>
    <w:rsid w:val="00866432"/>
    <w:rsid w:val="0086644F"/>
    <w:rsid w:val="00866545"/>
    <w:rsid w:val="00866644"/>
    <w:rsid w:val="00866814"/>
    <w:rsid w:val="0086688B"/>
    <w:rsid w:val="00866927"/>
    <w:rsid w:val="008669C7"/>
    <w:rsid w:val="00866ADD"/>
    <w:rsid w:val="00866AF6"/>
    <w:rsid w:val="00866B40"/>
    <w:rsid w:val="00866BB7"/>
    <w:rsid w:val="00866BB8"/>
    <w:rsid w:val="00866C30"/>
    <w:rsid w:val="00866C45"/>
    <w:rsid w:val="00866EEB"/>
    <w:rsid w:val="00866FD2"/>
    <w:rsid w:val="00866FEB"/>
    <w:rsid w:val="00866FF9"/>
    <w:rsid w:val="008671B6"/>
    <w:rsid w:val="008671C9"/>
    <w:rsid w:val="008671FC"/>
    <w:rsid w:val="008674CC"/>
    <w:rsid w:val="008674D5"/>
    <w:rsid w:val="008675C0"/>
    <w:rsid w:val="0086762F"/>
    <w:rsid w:val="00867666"/>
    <w:rsid w:val="00867676"/>
    <w:rsid w:val="0086788F"/>
    <w:rsid w:val="00867C0B"/>
    <w:rsid w:val="00867DD6"/>
    <w:rsid w:val="00867E37"/>
    <w:rsid w:val="00867F4F"/>
    <w:rsid w:val="00867F88"/>
    <w:rsid w:val="00867FCF"/>
    <w:rsid w:val="008701E6"/>
    <w:rsid w:val="008702F9"/>
    <w:rsid w:val="008704F6"/>
    <w:rsid w:val="008706C9"/>
    <w:rsid w:val="0087082F"/>
    <w:rsid w:val="00870874"/>
    <w:rsid w:val="00870974"/>
    <w:rsid w:val="00870A4F"/>
    <w:rsid w:val="00870D55"/>
    <w:rsid w:val="00870DF2"/>
    <w:rsid w:val="00870E36"/>
    <w:rsid w:val="0087102F"/>
    <w:rsid w:val="008710BF"/>
    <w:rsid w:val="008711A8"/>
    <w:rsid w:val="008711FD"/>
    <w:rsid w:val="00871277"/>
    <w:rsid w:val="00871431"/>
    <w:rsid w:val="00871442"/>
    <w:rsid w:val="00871637"/>
    <w:rsid w:val="00871862"/>
    <w:rsid w:val="00871890"/>
    <w:rsid w:val="008718A8"/>
    <w:rsid w:val="0087196D"/>
    <w:rsid w:val="00871A6C"/>
    <w:rsid w:val="00871BFA"/>
    <w:rsid w:val="00871C68"/>
    <w:rsid w:val="00871F3B"/>
    <w:rsid w:val="00872360"/>
    <w:rsid w:val="0087243C"/>
    <w:rsid w:val="0087248E"/>
    <w:rsid w:val="008726E8"/>
    <w:rsid w:val="008728B6"/>
    <w:rsid w:val="008728ED"/>
    <w:rsid w:val="00872A0B"/>
    <w:rsid w:val="00872A60"/>
    <w:rsid w:val="00872A6F"/>
    <w:rsid w:val="00872B77"/>
    <w:rsid w:val="00872E29"/>
    <w:rsid w:val="00872E87"/>
    <w:rsid w:val="008730A1"/>
    <w:rsid w:val="00873134"/>
    <w:rsid w:val="00873165"/>
    <w:rsid w:val="00873401"/>
    <w:rsid w:val="00873467"/>
    <w:rsid w:val="008737CF"/>
    <w:rsid w:val="00873994"/>
    <w:rsid w:val="00873B56"/>
    <w:rsid w:val="00873F04"/>
    <w:rsid w:val="00873FA2"/>
    <w:rsid w:val="00874029"/>
    <w:rsid w:val="00874099"/>
    <w:rsid w:val="0087412D"/>
    <w:rsid w:val="008742E1"/>
    <w:rsid w:val="00874491"/>
    <w:rsid w:val="008744B8"/>
    <w:rsid w:val="0087453E"/>
    <w:rsid w:val="0087454D"/>
    <w:rsid w:val="0087465C"/>
    <w:rsid w:val="00874735"/>
    <w:rsid w:val="0087491B"/>
    <w:rsid w:val="00874947"/>
    <w:rsid w:val="00874BB2"/>
    <w:rsid w:val="00874BBF"/>
    <w:rsid w:val="00874D51"/>
    <w:rsid w:val="008750B3"/>
    <w:rsid w:val="0087510E"/>
    <w:rsid w:val="00875130"/>
    <w:rsid w:val="0087523F"/>
    <w:rsid w:val="0087526B"/>
    <w:rsid w:val="0087527B"/>
    <w:rsid w:val="0087534B"/>
    <w:rsid w:val="0087536C"/>
    <w:rsid w:val="008753A9"/>
    <w:rsid w:val="008753CA"/>
    <w:rsid w:val="00875878"/>
    <w:rsid w:val="00875933"/>
    <w:rsid w:val="00875BA3"/>
    <w:rsid w:val="00875C07"/>
    <w:rsid w:val="00875C0B"/>
    <w:rsid w:val="00875C60"/>
    <w:rsid w:val="00875CCB"/>
    <w:rsid w:val="008760B4"/>
    <w:rsid w:val="008762C2"/>
    <w:rsid w:val="00876420"/>
    <w:rsid w:val="00876491"/>
    <w:rsid w:val="008765E3"/>
    <w:rsid w:val="00876936"/>
    <w:rsid w:val="0087696A"/>
    <w:rsid w:val="00876977"/>
    <w:rsid w:val="00876AB5"/>
    <w:rsid w:val="00876ACF"/>
    <w:rsid w:val="00876AEA"/>
    <w:rsid w:val="00876B88"/>
    <w:rsid w:val="00876BF7"/>
    <w:rsid w:val="00876CAD"/>
    <w:rsid w:val="00876E6D"/>
    <w:rsid w:val="00876F8F"/>
    <w:rsid w:val="0087707A"/>
    <w:rsid w:val="0087776C"/>
    <w:rsid w:val="008779F6"/>
    <w:rsid w:val="00877A88"/>
    <w:rsid w:val="00877CA3"/>
    <w:rsid w:val="00877CC6"/>
    <w:rsid w:val="00877E05"/>
    <w:rsid w:val="00877E5F"/>
    <w:rsid w:val="00877F37"/>
    <w:rsid w:val="00880125"/>
    <w:rsid w:val="00880246"/>
    <w:rsid w:val="008802CE"/>
    <w:rsid w:val="00880598"/>
    <w:rsid w:val="00880602"/>
    <w:rsid w:val="00880712"/>
    <w:rsid w:val="0088076A"/>
    <w:rsid w:val="00880878"/>
    <w:rsid w:val="0088091F"/>
    <w:rsid w:val="00880964"/>
    <w:rsid w:val="00880B77"/>
    <w:rsid w:val="00880E86"/>
    <w:rsid w:val="00880ECC"/>
    <w:rsid w:val="008811BC"/>
    <w:rsid w:val="0088123D"/>
    <w:rsid w:val="00881295"/>
    <w:rsid w:val="008813B1"/>
    <w:rsid w:val="00881405"/>
    <w:rsid w:val="0088156A"/>
    <w:rsid w:val="008815AB"/>
    <w:rsid w:val="0088180A"/>
    <w:rsid w:val="0088183F"/>
    <w:rsid w:val="0088184C"/>
    <w:rsid w:val="00881956"/>
    <w:rsid w:val="008819CB"/>
    <w:rsid w:val="00881A2F"/>
    <w:rsid w:val="00881B6C"/>
    <w:rsid w:val="00881C26"/>
    <w:rsid w:val="00881CF7"/>
    <w:rsid w:val="00881DB5"/>
    <w:rsid w:val="00881E55"/>
    <w:rsid w:val="00881ED7"/>
    <w:rsid w:val="00881F1E"/>
    <w:rsid w:val="00882094"/>
    <w:rsid w:val="00882154"/>
    <w:rsid w:val="0088227E"/>
    <w:rsid w:val="00882421"/>
    <w:rsid w:val="008825E2"/>
    <w:rsid w:val="0088270C"/>
    <w:rsid w:val="00882AB0"/>
    <w:rsid w:val="00882B7A"/>
    <w:rsid w:val="00882B9B"/>
    <w:rsid w:val="00882D55"/>
    <w:rsid w:val="00882D7D"/>
    <w:rsid w:val="00882DAE"/>
    <w:rsid w:val="00882E27"/>
    <w:rsid w:val="00882E54"/>
    <w:rsid w:val="00882EA5"/>
    <w:rsid w:val="00882F00"/>
    <w:rsid w:val="00882F1B"/>
    <w:rsid w:val="00883266"/>
    <w:rsid w:val="008832F4"/>
    <w:rsid w:val="0088330C"/>
    <w:rsid w:val="008833F3"/>
    <w:rsid w:val="00883556"/>
    <w:rsid w:val="008836DD"/>
    <w:rsid w:val="0088373C"/>
    <w:rsid w:val="0088374F"/>
    <w:rsid w:val="00883800"/>
    <w:rsid w:val="0088381E"/>
    <w:rsid w:val="00883859"/>
    <w:rsid w:val="00883973"/>
    <w:rsid w:val="0088397F"/>
    <w:rsid w:val="00883A73"/>
    <w:rsid w:val="00883B12"/>
    <w:rsid w:val="00883D14"/>
    <w:rsid w:val="00883E8F"/>
    <w:rsid w:val="00883F32"/>
    <w:rsid w:val="008841EB"/>
    <w:rsid w:val="00884201"/>
    <w:rsid w:val="00884285"/>
    <w:rsid w:val="00884325"/>
    <w:rsid w:val="00884327"/>
    <w:rsid w:val="008843E9"/>
    <w:rsid w:val="008843F0"/>
    <w:rsid w:val="00884498"/>
    <w:rsid w:val="008844B9"/>
    <w:rsid w:val="00884520"/>
    <w:rsid w:val="00884702"/>
    <w:rsid w:val="008847F3"/>
    <w:rsid w:val="008848B5"/>
    <w:rsid w:val="008849A5"/>
    <w:rsid w:val="00884A3C"/>
    <w:rsid w:val="00884AA0"/>
    <w:rsid w:val="00884B0B"/>
    <w:rsid w:val="00884BD9"/>
    <w:rsid w:val="00884E4E"/>
    <w:rsid w:val="00884ECD"/>
    <w:rsid w:val="00884F3F"/>
    <w:rsid w:val="00884F5A"/>
    <w:rsid w:val="00884FC4"/>
    <w:rsid w:val="00885005"/>
    <w:rsid w:val="0088500E"/>
    <w:rsid w:val="00885144"/>
    <w:rsid w:val="00885291"/>
    <w:rsid w:val="008852EC"/>
    <w:rsid w:val="0088545A"/>
    <w:rsid w:val="008854A3"/>
    <w:rsid w:val="008854CC"/>
    <w:rsid w:val="008854FA"/>
    <w:rsid w:val="0088557D"/>
    <w:rsid w:val="00885580"/>
    <w:rsid w:val="00885614"/>
    <w:rsid w:val="0088568A"/>
    <w:rsid w:val="00885693"/>
    <w:rsid w:val="00885809"/>
    <w:rsid w:val="008858F7"/>
    <w:rsid w:val="00885A12"/>
    <w:rsid w:val="00885AAB"/>
    <w:rsid w:val="00885C04"/>
    <w:rsid w:val="00885CD7"/>
    <w:rsid w:val="00885D59"/>
    <w:rsid w:val="00885FB0"/>
    <w:rsid w:val="0088607C"/>
    <w:rsid w:val="008864AB"/>
    <w:rsid w:val="00886572"/>
    <w:rsid w:val="0088668A"/>
    <w:rsid w:val="0088673C"/>
    <w:rsid w:val="008867C8"/>
    <w:rsid w:val="008868A5"/>
    <w:rsid w:val="0088698A"/>
    <w:rsid w:val="00886996"/>
    <w:rsid w:val="00886EB6"/>
    <w:rsid w:val="00886ED0"/>
    <w:rsid w:val="00886F5E"/>
    <w:rsid w:val="008874AD"/>
    <w:rsid w:val="0088751A"/>
    <w:rsid w:val="008876AF"/>
    <w:rsid w:val="008876C1"/>
    <w:rsid w:val="008876DC"/>
    <w:rsid w:val="008876F9"/>
    <w:rsid w:val="0088795F"/>
    <w:rsid w:val="00887A49"/>
    <w:rsid w:val="00887CDF"/>
    <w:rsid w:val="00887D37"/>
    <w:rsid w:val="00887FBD"/>
    <w:rsid w:val="00887FC6"/>
    <w:rsid w:val="0089001C"/>
    <w:rsid w:val="00890068"/>
    <w:rsid w:val="00890134"/>
    <w:rsid w:val="00890251"/>
    <w:rsid w:val="00890316"/>
    <w:rsid w:val="0089041A"/>
    <w:rsid w:val="008904AE"/>
    <w:rsid w:val="0089050A"/>
    <w:rsid w:val="0089068D"/>
    <w:rsid w:val="008908B2"/>
    <w:rsid w:val="008908E2"/>
    <w:rsid w:val="00890900"/>
    <w:rsid w:val="00890915"/>
    <w:rsid w:val="0089099F"/>
    <w:rsid w:val="00890B0C"/>
    <w:rsid w:val="00890B37"/>
    <w:rsid w:val="00890B49"/>
    <w:rsid w:val="00890C37"/>
    <w:rsid w:val="00890CE9"/>
    <w:rsid w:val="00890D24"/>
    <w:rsid w:val="00890D32"/>
    <w:rsid w:val="00890E2A"/>
    <w:rsid w:val="00890E31"/>
    <w:rsid w:val="00890E43"/>
    <w:rsid w:val="00890E47"/>
    <w:rsid w:val="00890EC2"/>
    <w:rsid w:val="00890F16"/>
    <w:rsid w:val="0089100F"/>
    <w:rsid w:val="008910F6"/>
    <w:rsid w:val="00891177"/>
    <w:rsid w:val="0089134B"/>
    <w:rsid w:val="00891361"/>
    <w:rsid w:val="00891586"/>
    <w:rsid w:val="008916A5"/>
    <w:rsid w:val="0089184A"/>
    <w:rsid w:val="00891ABD"/>
    <w:rsid w:val="00891AF2"/>
    <w:rsid w:val="00891BCC"/>
    <w:rsid w:val="00891C7A"/>
    <w:rsid w:val="00891E64"/>
    <w:rsid w:val="00891F43"/>
    <w:rsid w:val="008921E2"/>
    <w:rsid w:val="008921E4"/>
    <w:rsid w:val="00892354"/>
    <w:rsid w:val="00892401"/>
    <w:rsid w:val="00892458"/>
    <w:rsid w:val="008925E8"/>
    <w:rsid w:val="008926DC"/>
    <w:rsid w:val="008926E5"/>
    <w:rsid w:val="008927F8"/>
    <w:rsid w:val="0089299D"/>
    <w:rsid w:val="00892C84"/>
    <w:rsid w:val="00892D46"/>
    <w:rsid w:val="00892D58"/>
    <w:rsid w:val="00892FD1"/>
    <w:rsid w:val="00893193"/>
    <w:rsid w:val="008931B9"/>
    <w:rsid w:val="008932C4"/>
    <w:rsid w:val="008932D7"/>
    <w:rsid w:val="008933E3"/>
    <w:rsid w:val="00893417"/>
    <w:rsid w:val="0089345E"/>
    <w:rsid w:val="0089353B"/>
    <w:rsid w:val="00893749"/>
    <w:rsid w:val="0089380A"/>
    <w:rsid w:val="00893A60"/>
    <w:rsid w:val="00893A6E"/>
    <w:rsid w:val="00893ACD"/>
    <w:rsid w:val="00893B6E"/>
    <w:rsid w:val="00893C0E"/>
    <w:rsid w:val="00893DC0"/>
    <w:rsid w:val="00893E2B"/>
    <w:rsid w:val="00893F54"/>
    <w:rsid w:val="008940CD"/>
    <w:rsid w:val="00894119"/>
    <w:rsid w:val="0089421F"/>
    <w:rsid w:val="00894232"/>
    <w:rsid w:val="00894254"/>
    <w:rsid w:val="00894366"/>
    <w:rsid w:val="0089438A"/>
    <w:rsid w:val="0089442C"/>
    <w:rsid w:val="0089446F"/>
    <w:rsid w:val="008946D8"/>
    <w:rsid w:val="0089471D"/>
    <w:rsid w:val="008947A2"/>
    <w:rsid w:val="00894808"/>
    <w:rsid w:val="00894A25"/>
    <w:rsid w:val="00894C22"/>
    <w:rsid w:val="00894EA9"/>
    <w:rsid w:val="00894FCB"/>
    <w:rsid w:val="0089518E"/>
    <w:rsid w:val="008952F1"/>
    <w:rsid w:val="0089540D"/>
    <w:rsid w:val="0089548C"/>
    <w:rsid w:val="008954D3"/>
    <w:rsid w:val="008954DA"/>
    <w:rsid w:val="008955A0"/>
    <w:rsid w:val="008955D9"/>
    <w:rsid w:val="0089560F"/>
    <w:rsid w:val="00895757"/>
    <w:rsid w:val="008958B2"/>
    <w:rsid w:val="008958ED"/>
    <w:rsid w:val="008959A8"/>
    <w:rsid w:val="00895A55"/>
    <w:rsid w:val="00895EE5"/>
    <w:rsid w:val="0089614D"/>
    <w:rsid w:val="00896189"/>
    <w:rsid w:val="008961E3"/>
    <w:rsid w:val="008962D1"/>
    <w:rsid w:val="008962DF"/>
    <w:rsid w:val="00896324"/>
    <w:rsid w:val="008964A7"/>
    <w:rsid w:val="008965AE"/>
    <w:rsid w:val="00896681"/>
    <w:rsid w:val="00896730"/>
    <w:rsid w:val="008968F7"/>
    <w:rsid w:val="00896938"/>
    <w:rsid w:val="00896AEC"/>
    <w:rsid w:val="00896CD4"/>
    <w:rsid w:val="00896CE9"/>
    <w:rsid w:val="00896D6E"/>
    <w:rsid w:val="00896F18"/>
    <w:rsid w:val="00897236"/>
    <w:rsid w:val="008973CC"/>
    <w:rsid w:val="00897549"/>
    <w:rsid w:val="008975F4"/>
    <w:rsid w:val="00897663"/>
    <w:rsid w:val="00897766"/>
    <w:rsid w:val="00897768"/>
    <w:rsid w:val="00897785"/>
    <w:rsid w:val="00897793"/>
    <w:rsid w:val="00897805"/>
    <w:rsid w:val="00897AA3"/>
    <w:rsid w:val="00897B2C"/>
    <w:rsid w:val="00897BE6"/>
    <w:rsid w:val="00897CC4"/>
    <w:rsid w:val="00897DC6"/>
    <w:rsid w:val="00897F3B"/>
    <w:rsid w:val="00897F9C"/>
    <w:rsid w:val="008A0030"/>
    <w:rsid w:val="008A01F5"/>
    <w:rsid w:val="008A0315"/>
    <w:rsid w:val="008A0477"/>
    <w:rsid w:val="008A0619"/>
    <w:rsid w:val="008A062A"/>
    <w:rsid w:val="008A0B14"/>
    <w:rsid w:val="008A0CA9"/>
    <w:rsid w:val="008A0CAA"/>
    <w:rsid w:val="008A0DEB"/>
    <w:rsid w:val="008A0F6F"/>
    <w:rsid w:val="008A1138"/>
    <w:rsid w:val="008A1237"/>
    <w:rsid w:val="008A1632"/>
    <w:rsid w:val="008A169F"/>
    <w:rsid w:val="008A16AC"/>
    <w:rsid w:val="008A19D7"/>
    <w:rsid w:val="008A1C2E"/>
    <w:rsid w:val="008A1E16"/>
    <w:rsid w:val="008A1EFF"/>
    <w:rsid w:val="008A1F60"/>
    <w:rsid w:val="008A1FDC"/>
    <w:rsid w:val="008A2158"/>
    <w:rsid w:val="008A2268"/>
    <w:rsid w:val="008A22C9"/>
    <w:rsid w:val="008A23A7"/>
    <w:rsid w:val="008A240C"/>
    <w:rsid w:val="008A25BA"/>
    <w:rsid w:val="008A2688"/>
    <w:rsid w:val="008A2747"/>
    <w:rsid w:val="008A27D1"/>
    <w:rsid w:val="008A2960"/>
    <w:rsid w:val="008A2A25"/>
    <w:rsid w:val="008A2A2D"/>
    <w:rsid w:val="008A2AA9"/>
    <w:rsid w:val="008A2C9C"/>
    <w:rsid w:val="008A2E05"/>
    <w:rsid w:val="008A2E57"/>
    <w:rsid w:val="008A2E82"/>
    <w:rsid w:val="008A2EB0"/>
    <w:rsid w:val="008A2F9A"/>
    <w:rsid w:val="008A32A5"/>
    <w:rsid w:val="008A3367"/>
    <w:rsid w:val="008A3423"/>
    <w:rsid w:val="008A35A2"/>
    <w:rsid w:val="008A363D"/>
    <w:rsid w:val="008A36E6"/>
    <w:rsid w:val="008A3815"/>
    <w:rsid w:val="008A3A0C"/>
    <w:rsid w:val="008A3A86"/>
    <w:rsid w:val="008A3BC2"/>
    <w:rsid w:val="008A3CE5"/>
    <w:rsid w:val="008A3D4D"/>
    <w:rsid w:val="008A3D9C"/>
    <w:rsid w:val="008A40BC"/>
    <w:rsid w:val="008A4378"/>
    <w:rsid w:val="008A4441"/>
    <w:rsid w:val="008A44FC"/>
    <w:rsid w:val="008A4588"/>
    <w:rsid w:val="008A4627"/>
    <w:rsid w:val="008A481C"/>
    <w:rsid w:val="008A4901"/>
    <w:rsid w:val="008A4999"/>
    <w:rsid w:val="008A4C7C"/>
    <w:rsid w:val="008A4C82"/>
    <w:rsid w:val="008A4F11"/>
    <w:rsid w:val="008A4F5D"/>
    <w:rsid w:val="008A4F7A"/>
    <w:rsid w:val="008A4FDA"/>
    <w:rsid w:val="008A52B8"/>
    <w:rsid w:val="008A5374"/>
    <w:rsid w:val="008A53BB"/>
    <w:rsid w:val="008A53D0"/>
    <w:rsid w:val="008A54E1"/>
    <w:rsid w:val="008A55EE"/>
    <w:rsid w:val="008A5868"/>
    <w:rsid w:val="008A5958"/>
    <w:rsid w:val="008A5AD6"/>
    <w:rsid w:val="008A5C22"/>
    <w:rsid w:val="008A5C25"/>
    <w:rsid w:val="008A5CB7"/>
    <w:rsid w:val="008A5CD6"/>
    <w:rsid w:val="008A5D7F"/>
    <w:rsid w:val="008A5DCE"/>
    <w:rsid w:val="008A5DF2"/>
    <w:rsid w:val="008A5ECB"/>
    <w:rsid w:val="008A5ED2"/>
    <w:rsid w:val="008A5F3E"/>
    <w:rsid w:val="008A5FD3"/>
    <w:rsid w:val="008A6079"/>
    <w:rsid w:val="008A624C"/>
    <w:rsid w:val="008A631C"/>
    <w:rsid w:val="008A633C"/>
    <w:rsid w:val="008A6360"/>
    <w:rsid w:val="008A6374"/>
    <w:rsid w:val="008A6415"/>
    <w:rsid w:val="008A6473"/>
    <w:rsid w:val="008A64DA"/>
    <w:rsid w:val="008A64DC"/>
    <w:rsid w:val="008A64EE"/>
    <w:rsid w:val="008A6521"/>
    <w:rsid w:val="008A679F"/>
    <w:rsid w:val="008A682B"/>
    <w:rsid w:val="008A6A62"/>
    <w:rsid w:val="008A6A6E"/>
    <w:rsid w:val="008A6D7C"/>
    <w:rsid w:val="008A6F61"/>
    <w:rsid w:val="008A6F83"/>
    <w:rsid w:val="008A7118"/>
    <w:rsid w:val="008A71D0"/>
    <w:rsid w:val="008A73F8"/>
    <w:rsid w:val="008A7769"/>
    <w:rsid w:val="008A7780"/>
    <w:rsid w:val="008A77B1"/>
    <w:rsid w:val="008A7857"/>
    <w:rsid w:val="008A7917"/>
    <w:rsid w:val="008A7FEE"/>
    <w:rsid w:val="008B00D9"/>
    <w:rsid w:val="008B051F"/>
    <w:rsid w:val="008B05B4"/>
    <w:rsid w:val="008B05C3"/>
    <w:rsid w:val="008B05FF"/>
    <w:rsid w:val="008B073D"/>
    <w:rsid w:val="008B07BC"/>
    <w:rsid w:val="008B0803"/>
    <w:rsid w:val="008B0866"/>
    <w:rsid w:val="008B0BE7"/>
    <w:rsid w:val="008B0C8B"/>
    <w:rsid w:val="008B0D37"/>
    <w:rsid w:val="008B0E2C"/>
    <w:rsid w:val="008B112D"/>
    <w:rsid w:val="008B121C"/>
    <w:rsid w:val="008B1669"/>
    <w:rsid w:val="008B1708"/>
    <w:rsid w:val="008B178C"/>
    <w:rsid w:val="008B18A6"/>
    <w:rsid w:val="008B19B8"/>
    <w:rsid w:val="008B19E0"/>
    <w:rsid w:val="008B1A25"/>
    <w:rsid w:val="008B1A81"/>
    <w:rsid w:val="008B1B16"/>
    <w:rsid w:val="008B1D9B"/>
    <w:rsid w:val="008B1E02"/>
    <w:rsid w:val="008B1E09"/>
    <w:rsid w:val="008B2084"/>
    <w:rsid w:val="008B2364"/>
    <w:rsid w:val="008B24FE"/>
    <w:rsid w:val="008B2670"/>
    <w:rsid w:val="008B2772"/>
    <w:rsid w:val="008B2795"/>
    <w:rsid w:val="008B28BC"/>
    <w:rsid w:val="008B28DA"/>
    <w:rsid w:val="008B29D2"/>
    <w:rsid w:val="008B2A77"/>
    <w:rsid w:val="008B2C11"/>
    <w:rsid w:val="008B2C62"/>
    <w:rsid w:val="008B2CA8"/>
    <w:rsid w:val="008B2E84"/>
    <w:rsid w:val="008B2EAA"/>
    <w:rsid w:val="008B31B1"/>
    <w:rsid w:val="008B31D8"/>
    <w:rsid w:val="008B31E2"/>
    <w:rsid w:val="008B3214"/>
    <w:rsid w:val="008B3461"/>
    <w:rsid w:val="008B3491"/>
    <w:rsid w:val="008B34A8"/>
    <w:rsid w:val="008B356D"/>
    <w:rsid w:val="008B364C"/>
    <w:rsid w:val="008B376C"/>
    <w:rsid w:val="008B37E2"/>
    <w:rsid w:val="008B3838"/>
    <w:rsid w:val="008B38A5"/>
    <w:rsid w:val="008B39A8"/>
    <w:rsid w:val="008B39E6"/>
    <w:rsid w:val="008B3AB8"/>
    <w:rsid w:val="008B40C9"/>
    <w:rsid w:val="008B4111"/>
    <w:rsid w:val="008B41B5"/>
    <w:rsid w:val="008B4321"/>
    <w:rsid w:val="008B4353"/>
    <w:rsid w:val="008B4591"/>
    <w:rsid w:val="008B4706"/>
    <w:rsid w:val="008B4731"/>
    <w:rsid w:val="008B4965"/>
    <w:rsid w:val="008B4B32"/>
    <w:rsid w:val="008B4C85"/>
    <w:rsid w:val="008B4DB9"/>
    <w:rsid w:val="008B4F4A"/>
    <w:rsid w:val="008B51A4"/>
    <w:rsid w:val="008B521B"/>
    <w:rsid w:val="008B527C"/>
    <w:rsid w:val="008B52DD"/>
    <w:rsid w:val="008B5360"/>
    <w:rsid w:val="008B5487"/>
    <w:rsid w:val="008B56B9"/>
    <w:rsid w:val="008B5728"/>
    <w:rsid w:val="008B5819"/>
    <w:rsid w:val="008B5942"/>
    <w:rsid w:val="008B5A2B"/>
    <w:rsid w:val="008B5AC8"/>
    <w:rsid w:val="008B5CF5"/>
    <w:rsid w:val="008B5D1B"/>
    <w:rsid w:val="008B5DA9"/>
    <w:rsid w:val="008B5DD0"/>
    <w:rsid w:val="008B5E3C"/>
    <w:rsid w:val="008B5E88"/>
    <w:rsid w:val="008B5EEA"/>
    <w:rsid w:val="008B5FA9"/>
    <w:rsid w:val="008B620B"/>
    <w:rsid w:val="008B627F"/>
    <w:rsid w:val="008B6284"/>
    <w:rsid w:val="008B62EF"/>
    <w:rsid w:val="008B6306"/>
    <w:rsid w:val="008B645F"/>
    <w:rsid w:val="008B664A"/>
    <w:rsid w:val="008B66F1"/>
    <w:rsid w:val="008B67CC"/>
    <w:rsid w:val="008B69FB"/>
    <w:rsid w:val="008B6D68"/>
    <w:rsid w:val="008B6DA6"/>
    <w:rsid w:val="008B6E6E"/>
    <w:rsid w:val="008B6F0D"/>
    <w:rsid w:val="008B6F24"/>
    <w:rsid w:val="008B6FBC"/>
    <w:rsid w:val="008B701E"/>
    <w:rsid w:val="008B7315"/>
    <w:rsid w:val="008B759B"/>
    <w:rsid w:val="008B75B2"/>
    <w:rsid w:val="008B76FC"/>
    <w:rsid w:val="008B78B1"/>
    <w:rsid w:val="008B78FD"/>
    <w:rsid w:val="008B7964"/>
    <w:rsid w:val="008B79DE"/>
    <w:rsid w:val="008B7A85"/>
    <w:rsid w:val="008B7AEE"/>
    <w:rsid w:val="008B7B5D"/>
    <w:rsid w:val="008B7B64"/>
    <w:rsid w:val="008B7BC6"/>
    <w:rsid w:val="008B7C2E"/>
    <w:rsid w:val="008B7EB4"/>
    <w:rsid w:val="008B7F2D"/>
    <w:rsid w:val="008B7F59"/>
    <w:rsid w:val="008B7FA8"/>
    <w:rsid w:val="008C0014"/>
    <w:rsid w:val="008C004A"/>
    <w:rsid w:val="008C00E1"/>
    <w:rsid w:val="008C0207"/>
    <w:rsid w:val="008C0248"/>
    <w:rsid w:val="008C0275"/>
    <w:rsid w:val="008C02BA"/>
    <w:rsid w:val="008C0425"/>
    <w:rsid w:val="008C049D"/>
    <w:rsid w:val="008C0670"/>
    <w:rsid w:val="008C0788"/>
    <w:rsid w:val="008C07DB"/>
    <w:rsid w:val="008C07DD"/>
    <w:rsid w:val="008C0948"/>
    <w:rsid w:val="008C09AB"/>
    <w:rsid w:val="008C0ADD"/>
    <w:rsid w:val="008C0C65"/>
    <w:rsid w:val="008C0E06"/>
    <w:rsid w:val="008C0ED3"/>
    <w:rsid w:val="008C0F92"/>
    <w:rsid w:val="008C0FCC"/>
    <w:rsid w:val="008C1105"/>
    <w:rsid w:val="008C113C"/>
    <w:rsid w:val="008C140E"/>
    <w:rsid w:val="008C1490"/>
    <w:rsid w:val="008C15CB"/>
    <w:rsid w:val="008C177F"/>
    <w:rsid w:val="008C181C"/>
    <w:rsid w:val="008C182E"/>
    <w:rsid w:val="008C198B"/>
    <w:rsid w:val="008C1A0A"/>
    <w:rsid w:val="008C1AD9"/>
    <w:rsid w:val="008C1B01"/>
    <w:rsid w:val="008C1C6F"/>
    <w:rsid w:val="008C1CCF"/>
    <w:rsid w:val="008C1E2F"/>
    <w:rsid w:val="008C1ECE"/>
    <w:rsid w:val="008C1FBC"/>
    <w:rsid w:val="008C2019"/>
    <w:rsid w:val="008C2147"/>
    <w:rsid w:val="008C21C8"/>
    <w:rsid w:val="008C2279"/>
    <w:rsid w:val="008C237E"/>
    <w:rsid w:val="008C2391"/>
    <w:rsid w:val="008C259C"/>
    <w:rsid w:val="008C2660"/>
    <w:rsid w:val="008C266B"/>
    <w:rsid w:val="008C266C"/>
    <w:rsid w:val="008C26E9"/>
    <w:rsid w:val="008C2875"/>
    <w:rsid w:val="008C296C"/>
    <w:rsid w:val="008C2993"/>
    <w:rsid w:val="008C2A05"/>
    <w:rsid w:val="008C2BB1"/>
    <w:rsid w:val="008C2C5B"/>
    <w:rsid w:val="008C2D60"/>
    <w:rsid w:val="008C2E6E"/>
    <w:rsid w:val="008C2EDB"/>
    <w:rsid w:val="008C3093"/>
    <w:rsid w:val="008C318F"/>
    <w:rsid w:val="008C3575"/>
    <w:rsid w:val="008C37CF"/>
    <w:rsid w:val="008C37E3"/>
    <w:rsid w:val="008C3882"/>
    <w:rsid w:val="008C39A9"/>
    <w:rsid w:val="008C3AC2"/>
    <w:rsid w:val="008C3DBD"/>
    <w:rsid w:val="008C3E0D"/>
    <w:rsid w:val="008C3E50"/>
    <w:rsid w:val="008C3E8C"/>
    <w:rsid w:val="008C3F01"/>
    <w:rsid w:val="008C3F30"/>
    <w:rsid w:val="008C407D"/>
    <w:rsid w:val="008C44C6"/>
    <w:rsid w:val="008C458B"/>
    <w:rsid w:val="008C47FA"/>
    <w:rsid w:val="008C48B5"/>
    <w:rsid w:val="008C4A3C"/>
    <w:rsid w:val="008C4ACB"/>
    <w:rsid w:val="008C4C5C"/>
    <w:rsid w:val="008C4CC5"/>
    <w:rsid w:val="008C4D73"/>
    <w:rsid w:val="008C4E59"/>
    <w:rsid w:val="008C4F93"/>
    <w:rsid w:val="008C5148"/>
    <w:rsid w:val="008C533C"/>
    <w:rsid w:val="008C54E2"/>
    <w:rsid w:val="008C557A"/>
    <w:rsid w:val="008C567D"/>
    <w:rsid w:val="008C571F"/>
    <w:rsid w:val="008C5724"/>
    <w:rsid w:val="008C578B"/>
    <w:rsid w:val="008C59C0"/>
    <w:rsid w:val="008C59F9"/>
    <w:rsid w:val="008C5A69"/>
    <w:rsid w:val="008C5BD1"/>
    <w:rsid w:val="008C5D0D"/>
    <w:rsid w:val="008C5DD6"/>
    <w:rsid w:val="008C5F98"/>
    <w:rsid w:val="008C5FDA"/>
    <w:rsid w:val="008C60B0"/>
    <w:rsid w:val="008C60E8"/>
    <w:rsid w:val="008C636B"/>
    <w:rsid w:val="008C6488"/>
    <w:rsid w:val="008C6613"/>
    <w:rsid w:val="008C671B"/>
    <w:rsid w:val="008C6727"/>
    <w:rsid w:val="008C680F"/>
    <w:rsid w:val="008C6848"/>
    <w:rsid w:val="008C6A0A"/>
    <w:rsid w:val="008C6A8B"/>
    <w:rsid w:val="008C6ABF"/>
    <w:rsid w:val="008C6B5F"/>
    <w:rsid w:val="008C6BCD"/>
    <w:rsid w:val="008C6BE3"/>
    <w:rsid w:val="008C6C23"/>
    <w:rsid w:val="008C6CDE"/>
    <w:rsid w:val="008C6CE0"/>
    <w:rsid w:val="008C6CF3"/>
    <w:rsid w:val="008C6D50"/>
    <w:rsid w:val="008C6E8B"/>
    <w:rsid w:val="008C6F3C"/>
    <w:rsid w:val="008C6F86"/>
    <w:rsid w:val="008C6F90"/>
    <w:rsid w:val="008C72B9"/>
    <w:rsid w:val="008C72E3"/>
    <w:rsid w:val="008C736E"/>
    <w:rsid w:val="008C74FB"/>
    <w:rsid w:val="008C7661"/>
    <w:rsid w:val="008C77F4"/>
    <w:rsid w:val="008C7813"/>
    <w:rsid w:val="008C7A3A"/>
    <w:rsid w:val="008C7AE2"/>
    <w:rsid w:val="008C7BFB"/>
    <w:rsid w:val="008C7C32"/>
    <w:rsid w:val="008C7C81"/>
    <w:rsid w:val="008C7DD6"/>
    <w:rsid w:val="008D0306"/>
    <w:rsid w:val="008D03C6"/>
    <w:rsid w:val="008D0536"/>
    <w:rsid w:val="008D0550"/>
    <w:rsid w:val="008D05C0"/>
    <w:rsid w:val="008D0655"/>
    <w:rsid w:val="008D0787"/>
    <w:rsid w:val="008D0861"/>
    <w:rsid w:val="008D0A02"/>
    <w:rsid w:val="008D0A50"/>
    <w:rsid w:val="008D0C1B"/>
    <w:rsid w:val="008D0C9F"/>
    <w:rsid w:val="008D0E36"/>
    <w:rsid w:val="008D0E64"/>
    <w:rsid w:val="008D0F73"/>
    <w:rsid w:val="008D0FE5"/>
    <w:rsid w:val="008D1023"/>
    <w:rsid w:val="008D109E"/>
    <w:rsid w:val="008D10D2"/>
    <w:rsid w:val="008D10F1"/>
    <w:rsid w:val="008D128A"/>
    <w:rsid w:val="008D1685"/>
    <w:rsid w:val="008D16F6"/>
    <w:rsid w:val="008D171F"/>
    <w:rsid w:val="008D1783"/>
    <w:rsid w:val="008D183A"/>
    <w:rsid w:val="008D18BE"/>
    <w:rsid w:val="008D19FD"/>
    <w:rsid w:val="008D1ABD"/>
    <w:rsid w:val="008D1B6B"/>
    <w:rsid w:val="008D1B7D"/>
    <w:rsid w:val="008D1B9C"/>
    <w:rsid w:val="008D1BD1"/>
    <w:rsid w:val="008D1CA2"/>
    <w:rsid w:val="008D1EC9"/>
    <w:rsid w:val="008D1ECE"/>
    <w:rsid w:val="008D1F6D"/>
    <w:rsid w:val="008D1FB3"/>
    <w:rsid w:val="008D206E"/>
    <w:rsid w:val="008D21B8"/>
    <w:rsid w:val="008D224A"/>
    <w:rsid w:val="008D22A7"/>
    <w:rsid w:val="008D234E"/>
    <w:rsid w:val="008D235E"/>
    <w:rsid w:val="008D2410"/>
    <w:rsid w:val="008D2414"/>
    <w:rsid w:val="008D2563"/>
    <w:rsid w:val="008D2614"/>
    <w:rsid w:val="008D2746"/>
    <w:rsid w:val="008D2994"/>
    <w:rsid w:val="008D2ABB"/>
    <w:rsid w:val="008D2B47"/>
    <w:rsid w:val="008D2B50"/>
    <w:rsid w:val="008D2B5C"/>
    <w:rsid w:val="008D2CB5"/>
    <w:rsid w:val="008D2CD2"/>
    <w:rsid w:val="008D2DB5"/>
    <w:rsid w:val="008D307A"/>
    <w:rsid w:val="008D3139"/>
    <w:rsid w:val="008D324F"/>
    <w:rsid w:val="008D3419"/>
    <w:rsid w:val="008D3448"/>
    <w:rsid w:val="008D35AC"/>
    <w:rsid w:val="008D36BC"/>
    <w:rsid w:val="008D38A7"/>
    <w:rsid w:val="008D38E6"/>
    <w:rsid w:val="008D3954"/>
    <w:rsid w:val="008D39E4"/>
    <w:rsid w:val="008D3A0D"/>
    <w:rsid w:val="008D3D49"/>
    <w:rsid w:val="008D3EA4"/>
    <w:rsid w:val="008D3F39"/>
    <w:rsid w:val="008D3FB3"/>
    <w:rsid w:val="008D424A"/>
    <w:rsid w:val="008D42E9"/>
    <w:rsid w:val="008D441B"/>
    <w:rsid w:val="008D44D3"/>
    <w:rsid w:val="008D44D9"/>
    <w:rsid w:val="008D4597"/>
    <w:rsid w:val="008D46CC"/>
    <w:rsid w:val="008D48A0"/>
    <w:rsid w:val="008D48D0"/>
    <w:rsid w:val="008D49A1"/>
    <w:rsid w:val="008D4B18"/>
    <w:rsid w:val="008D4B9F"/>
    <w:rsid w:val="008D4BC5"/>
    <w:rsid w:val="008D4DCA"/>
    <w:rsid w:val="008D51FF"/>
    <w:rsid w:val="008D5244"/>
    <w:rsid w:val="008D52A6"/>
    <w:rsid w:val="008D5388"/>
    <w:rsid w:val="008D53F1"/>
    <w:rsid w:val="008D5468"/>
    <w:rsid w:val="008D5530"/>
    <w:rsid w:val="008D55A3"/>
    <w:rsid w:val="008D5676"/>
    <w:rsid w:val="008D5801"/>
    <w:rsid w:val="008D59E0"/>
    <w:rsid w:val="008D5ADC"/>
    <w:rsid w:val="008D5C6A"/>
    <w:rsid w:val="008D5C9D"/>
    <w:rsid w:val="008D5D84"/>
    <w:rsid w:val="008D5DDB"/>
    <w:rsid w:val="008D5F3F"/>
    <w:rsid w:val="008D60A7"/>
    <w:rsid w:val="008D62E8"/>
    <w:rsid w:val="008D63C6"/>
    <w:rsid w:val="008D6504"/>
    <w:rsid w:val="008D6654"/>
    <w:rsid w:val="008D67DE"/>
    <w:rsid w:val="008D695F"/>
    <w:rsid w:val="008D698B"/>
    <w:rsid w:val="008D6A9D"/>
    <w:rsid w:val="008D6ACC"/>
    <w:rsid w:val="008D6BB8"/>
    <w:rsid w:val="008D6C81"/>
    <w:rsid w:val="008D6D18"/>
    <w:rsid w:val="008D7023"/>
    <w:rsid w:val="008D7029"/>
    <w:rsid w:val="008D7067"/>
    <w:rsid w:val="008D70E0"/>
    <w:rsid w:val="008D70E6"/>
    <w:rsid w:val="008D711E"/>
    <w:rsid w:val="008D71AF"/>
    <w:rsid w:val="008D71B7"/>
    <w:rsid w:val="008D7200"/>
    <w:rsid w:val="008D736C"/>
    <w:rsid w:val="008D73B1"/>
    <w:rsid w:val="008D781F"/>
    <w:rsid w:val="008D78FC"/>
    <w:rsid w:val="008D7913"/>
    <w:rsid w:val="008D794D"/>
    <w:rsid w:val="008D7D89"/>
    <w:rsid w:val="008D7DCE"/>
    <w:rsid w:val="008D7E5F"/>
    <w:rsid w:val="008E0218"/>
    <w:rsid w:val="008E02AC"/>
    <w:rsid w:val="008E035B"/>
    <w:rsid w:val="008E0734"/>
    <w:rsid w:val="008E0898"/>
    <w:rsid w:val="008E0D51"/>
    <w:rsid w:val="008E0D65"/>
    <w:rsid w:val="008E0E8B"/>
    <w:rsid w:val="008E0E93"/>
    <w:rsid w:val="008E10A4"/>
    <w:rsid w:val="008E13B1"/>
    <w:rsid w:val="008E13EA"/>
    <w:rsid w:val="008E14C6"/>
    <w:rsid w:val="008E14FF"/>
    <w:rsid w:val="008E174E"/>
    <w:rsid w:val="008E177C"/>
    <w:rsid w:val="008E1784"/>
    <w:rsid w:val="008E1822"/>
    <w:rsid w:val="008E1A3A"/>
    <w:rsid w:val="008E1B19"/>
    <w:rsid w:val="008E1CB4"/>
    <w:rsid w:val="008E1DF8"/>
    <w:rsid w:val="008E1E38"/>
    <w:rsid w:val="008E1ED3"/>
    <w:rsid w:val="008E20E1"/>
    <w:rsid w:val="008E2400"/>
    <w:rsid w:val="008E25D6"/>
    <w:rsid w:val="008E260D"/>
    <w:rsid w:val="008E278D"/>
    <w:rsid w:val="008E286A"/>
    <w:rsid w:val="008E289E"/>
    <w:rsid w:val="008E291E"/>
    <w:rsid w:val="008E292B"/>
    <w:rsid w:val="008E29E7"/>
    <w:rsid w:val="008E2AAA"/>
    <w:rsid w:val="008E2C5B"/>
    <w:rsid w:val="008E2D82"/>
    <w:rsid w:val="008E2E40"/>
    <w:rsid w:val="008E30B2"/>
    <w:rsid w:val="008E330E"/>
    <w:rsid w:val="008E3354"/>
    <w:rsid w:val="008E338A"/>
    <w:rsid w:val="008E34AF"/>
    <w:rsid w:val="008E36C4"/>
    <w:rsid w:val="008E379F"/>
    <w:rsid w:val="008E37CD"/>
    <w:rsid w:val="008E383C"/>
    <w:rsid w:val="008E38A6"/>
    <w:rsid w:val="008E38D6"/>
    <w:rsid w:val="008E3A33"/>
    <w:rsid w:val="008E3A71"/>
    <w:rsid w:val="008E3AFC"/>
    <w:rsid w:val="008E3B9A"/>
    <w:rsid w:val="008E3C53"/>
    <w:rsid w:val="008E3C98"/>
    <w:rsid w:val="008E3E7C"/>
    <w:rsid w:val="008E3EEF"/>
    <w:rsid w:val="008E4374"/>
    <w:rsid w:val="008E4446"/>
    <w:rsid w:val="008E4535"/>
    <w:rsid w:val="008E4769"/>
    <w:rsid w:val="008E477C"/>
    <w:rsid w:val="008E48EB"/>
    <w:rsid w:val="008E4BA2"/>
    <w:rsid w:val="008E4C0F"/>
    <w:rsid w:val="008E4DF2"/>
    <w:rsid w:val="008E4FA9"/>
    <w:rsid w:val="008E4FE1"/>
    <w:rsid w:val="008E518C"/>
    <w:rsid w:val="008E5362"/>
    <w:rsid w:val="008E5448"/>
    <w:rsid w:val="008E554D"/>
    <w:rsid w:val="008E56BA"/>
    <w:rsid w:val="008E5821"/>
    <w:rsid w:val="008E5870"/>
    <w:rsid w:val="008E5885"/>
    <w:rsid w:val="008E5925"/>
    <w:rsid w:val="008E5ABF"/>
    <w:rsid w:val="008E5ADC"/>
    <w:rsid w:val="008E5C48"/>
    <w:rsid w:val="008E5E60"/>
    <w:rsid w:val="008E5F71"/>
    <w:rsid w:val="008E5FA5"/>
    <w:rsid w:val="008E6022"/>
    <w:rsid w:val="008E60C1"/>
    <w:rsid w:val="008E616E"/>
    <w:rsid w:val="008E6262"/>
    <w:rsid w:val="008E629D"/>
    <w:rsid w:val="008E655D"/>
    <w:rsid w:val="008E6569"/>
    <w:rsid w:val="008E66AA"/>
    <w:rsid w:val="008E66BA"/>
    <w:rsid w:val="008E67A0"/>
    <w:rsid w:val="008E688A"/>
    <w:rsid w:val="008E6987"/>
    <w:rsid w:val="008E6AD1"/>
    <w:rsid w:val="008E6ADC"/>
    <w:rsid w:val="008E6B90"/>
    <w:rsid w:val="008E6BCE"/>
    <w:rsid w:val="008E6D44"/>
    <w:rsid w:val="008E7139"/>
    <w:rsid w:val="008E716C"/>
    <w:rsid w:val="008E72B7"/>
    <w:rsid w:val="008E733A"/>
    <w:rsid w:val="008E753E"/>
    <w:rsid w:val="008E75C8"/>
    <w:rsid w:val="008E761C"/>
    <w:rsid w:val="008E79C3"/>
    <w:rsid w:val="008E7BD4"/>
    <w:rsid w:val="008E7C45"/>
    <w:rsid w:val="008E7DCA"/>
    <w:rsid w:val="008E7F75"/>
    <w:rsid w:val="008E7FE6"/>
    <w:rsid w:val="008F00F6"/>
    <w:rsid w:val="008F01A0"/>
    <w:rsid w:val="008F02B0"/>
    <w:rsid w:val="008F0342"/>
    <w:rsid w:val="008F058D"/>
    <w:rsid w:val="008F05A6"/>
    <w:rsid w:val="008F05CC"/>
    <w:rsid w:val="008F0700"/>
    <w:rsid w:val="008F0954"/>
    <w:rsid w:val="008F0A95"/>
    <w:rsid w:val="008F0C8E"/>
    <w:rsid w:val="008F0E87"/>
    <w:rsid w:val="008F102C"/>
    <w:rsid w:val="008F109D"/>
    <w:rsid w:val="008F10C2"/>
    <w:rsid w:val="008F112C"/>
    <w:rsid w:val="008F1145"/>
    <w:rsid w:val="008F134B"/>
    <w:rsid w:val="008F1517"/>
    <w:rsid w:val="008F16DD"/>
    <w:rsid w:val="008F1739"/>
    <w:rsid w:val="008F18BE"/>
    <w:rsid w:val="008F1993"/>
    <w:rsid w:val="008F19CE"/>
    <w:rsid w:val="008F1CF9"/>
    <w:rsid w:val="008F1D06"/>
    <w:rsid w:val="008F1D20"/>
    <w:rsid w:val="008F1F45"/>
    <w:rsid w:val="008F1F7D"/>
    <w:rsid w:val="008F2179"/>
    <w:rsid w:val="008F2271"/>
    <w:rsid w:val="008F229A"/>
    <w:rsid w:val="008F24A6"/>
    <w:rsid w:val="008F26F4"/>
    <w:rsid w:val="008F2706"/>
    <w:rsid w:val="008F27BA"/>
    <w:rsid w:val="008F295F"/>
    <w:rsid w:val="008F2B02"/>
    <w:rsid w:val="008F2B7D"/>
    <w:rsid w:val="008F2B9E"/>
    <w:rsid w:val="008F2BB6"/>
    <w:rsid w:val="008F2BF5"/>
    <w:rsid w:val="008F2CD2"/>
    <w:rsid w:val="008F2CF7"/>
    <w:rsid w:val="008F2DF1"/>
    <w:rsid w:val="008F2E26"/>
    <w:rsid w:val="008F2F66"/>
    <w:rsid w:val="008F304F"/>
    <w:rsid w:val="008F30A1"/>
    <w:rsid w:val="008F31A4"/>
    <w:rsid w:val="008F31B6"/>
    <w:rsid w:val="008F33E7"/>
    <w:rsid w:val="008F3648"/>
    <w:rsid w:val="008F368D"/>
    <w:rsid w:val="008F378A"/>
    <w:rsid w:val="008F39E9"/>
    <w:rsid w:val="008F3C4D"/>
    <w:rsid w:val="008F3D60"/>
    <w:rsid w:val="008F3DDC"/>
    <w:rsid w:val="008F3EDE"/>
    <w:rsid w:val="008F402E"/>
    <w:rsid w:val="008F4189"/>
    <w:rsid w:val="008F41CB"/>
    <w:rsid w:val="008F4529"/>
    <w:rsid w:val="008F454D"/>
    <w:rsid w:val="008F458F"/>
    <w:rsid w:val="008F4641"/>
    <w:rsid w:val="008F46AA"/>
    <w:rsid w:val="008F47EE"/>
    <w:rsid w:val="008F4859"/>
    <w:rsid w:val="008F49C5"/>
    <w:rsid w:val="008F49FD"/>
    <w:rsid w:val="008F4CF1"/>
    <w:rsid w:val="008F4D98"/>
    <w:rsid w:val="008F4DE3"/>
    <w:rsid w:val="008F4F2F"/>
    <w:rsid w:val="008F4FD8"/>
    <w:rsid w:val="008F51BD"/>
    <w:rsid w:val="008F5231"/>
    <w:rsid w:val="008F52CD"/>
    <w:rsid w:val="008F5340"/>
    <w:rsid w:val="008F567D"/>
    <w:rsid w:val="008F56F3"/>
    <w:rsid w:val="008F5822"/>
    <w:rsid w:val="008F58AD"/>
    <w:rsid w:val="008F5A1F"/>
    <w:rsid w:val="008F5D92"/>
    <w:rsid w:val="008F5F04"/>
    <w:rsid w:val="008F5F0F"/>
    <w:rsid w:val="008F5FF9"/>
    <w:rsid w:val="008F601F"/>
    <w:rsid w:val="008F6188"/>
    <w:rsid w:val="008F6223"/>
    <w:rsid w:val="008F6470"/>
    <w:rsid w:val="008F64A8"/>
    <w:rsid w:val="008F6533"/>
    <w:rsid w:val="008F6541"/>
    <w:rsid w:val="008F66DB"/>
    <w:rsid w:val="008F6819"/>
    <w:rsid w:val="008F681D"/>
    <w:rsid w:val="008F6884"/>
    <w:rsid w:val="008F688A"/>
    <w:rsid w:val="008F68B7"/>
    <w:rsid w:val="008F6996"/>
    <w:rsid w:val="008F6A93"/>
    <w:rsid w:val="008F6AC4"/>
    <w:rsid w:val="008F6B6B"/>
    <w:rsid w:val="008F6B70"/>
    <w:rsid w:val="008F6C12"/>
    <w:rsid w:val="008F6EBA"/>
    <w:rsid w:val="008F6F1A"/>
    <w:rsid w:val="008F6F35"/>
    <w:rsid w:val="008F7030"/>
    <w:rsid w:val="008F70D8"/>
    <w:rsid w:val="008F7300"/>
    <w:rsid w:val="008F73C8"/>
    <w:rsid w:val="008F741A"/>
    <w:rsid w:val="008F7431"/>
    <w:rsid w:val="008F7448"/>
    <w:rsid w:val="008F74E5"/>
    <w:rsid w:val="008F771C"/>
    <w:rsid w:val="008F771F"/>
    <w:rsid w:val="008F783B"/>
    <w:rsid w:val="008F7897"/>
    <w:rsid w:val="008F78FB"/>
    <w:rsid w:val="008F791F"/>
    <w:rsid w:val="008F7935"/>
    <w:rsid w:val="008F794D"/>
    <w:rsid w:val="008F79A4"/>
    <w:rsid w:val="008F7A94"/>
    <w:rsid w:val="008F7A9B"/>
    <w:rsid w:val="008F7CAB"/>
    <w:rsid w:val="008F7CB1"/>
    <w:rsid w:val="008F7DB5"/>
    <w:rsid w:val="008F7F91"/>
    <w:rsid w:val="008F7FF5"/>
    <w:rsid w:val="00900019"/>
    <w:rsid w:val="0090004A"/>
    <w:rsid w:val="009000DD"/>
    <w:rsid w:val="009001BE"/>
    <w:rsid w:val="009003C1"/>
    <w:rsid w:val="009003DF"/>
    <w:rsid w:val="009003F2"/>
    <w:rsid w:val="00900559"/>
    <w:rsid w:val="00900698"/>
    <w:rsid w:val="009007D0"/>
    <w:rsid w:val="00900968"/>
    <w:rsid w:val="00900BC4"/>
    <w:rsid w:val="00900CEC"/>
    <w:rsid w:val="00900D14"/>
    <w:rsid w:val="00900E12"/>
    <w:rsid w:val="00900E20"/>
    <w:rsid w:val="00900EAD"/>
    <w:rsid w:val="00901009"/>
    <w:rsid w:val="0090109B"/>
    <w:rsid w:val="009011C7"/>
    <w:rsid w:val="0090137A"/>
    <w:rsid w:val="009013AC"/>
    <w:rsid w:val="009013B2"/>
    <w:rsid w:val="009013BA"/>
    <w:rsid w:val="009014BF"/>
    <w:rsid w:val="009014C6"/>
    <w:rsid w:val="0090154B"/>
    <w:rsid w:val="00901552"/>
    <w:rsid w:val="00901567"/>
    <w:rsid w:val="00901586"/>
    <w:rsid w:val="009015F5"/>
    <w:rsid w:val="009016BF"/>
    <w:rsid w:val="00901851"/>
    <w:rsid w:val="0090198E"/>
    <w:rsid w:val="009019E0"/>
    <w:rsid w:val="00901A14"/>
    <w:rsid w:val="00901A15"/>
    <w:rsid w:val="00901B7C"/>
    <w:rsid w:val="00901BCC"/>
    <w:rsid w:val="00901C3F"/>
    <w:rsid w:val="00901CB9"/>
    <w:rsid w:val="00901E0F"/>
    <w:rsid w:val="00901F25"/>
    <w:rsid w:val="009020A4"/>
    <w:rsid w:val="00902182"/>
    <w:rsid w:val="009021A2"/>
    <w:rsid w:val="0090221A"/>
    <w:rsid w:val="009023D5"/>
    <w:rsid w:val="00902449"/>
    <w:rsid w:val="0090246A"/>
    <w:rsid w:val="009024D9"/>
    <w:rsid w:val="009027FE"/>
    <w:rsid w:val="00902848"/>
    <w:rsid w:val="00902B11"/>
    <w:rsid w:val="00902F71"/>
    <w:rsid w:val="009030E3"/>
    <w:rsid w:val="009030F4"/>
    <w:rsid w:val="0090315C"/>
    <w:rsid w:val="0090319B"/>
    <w:rsid w:val="0090327F"/>
    <w:rsid w:val="00903370"/>
    <w:rsid w:val="009033A6"/>
    <w:rsid w:val="009035EC"/>
    <w:rsid w:val="00903827"/>
    <w:rsid w:val="009039FD"/>
    <w:rsid w:val="00903B52"/>
    <w:rsid w:val="00903C72"/>
    <w:rsid w:val="00903DBE"/>
    <w:rsid w:val="00903F08"/>
    <w:rsid w:val="00903F19"/>
    <w:rsid w:val="0090415A"/>
    <w:rsid w:val="00904379"/>
    <w:rsid w:val="009043B8"/>
    <w:rsid w:val="009043EC"/>
    <w:rsid w:val="009044DC"/>
    <w:rsid w:val="00904735"/>
    <w:rsid w:val="009047C3"/>
    <w:rsid w:val="0090488B"/>
    <w:rsid w:val="00904C33"/>
    <w:rsid w:val="00904C92"/>
    <w:rsid w:val="00904F32"/>
    <w:rsid w:val="00904F67"/>
    <w:rsid w:val="0090539B"/>
    <w:rsid w:val="00905477"/>
    <w:rsid w:val="0090548F"/>
    <w:rsid w:val="00905658"/>
    <w:rsid w:val="00905673"/>
    <w:rsid w:val="009056C1"/>
    <w:rsid w:val="00905753"/>
    <w:rsid w:val="009058E9"/>
    <w:rsid w:val="00905AB0"/>
    <w:rsid w:val="00905ACC"/>
    <w:rsid w:val="00905B1D"/>
    <w:rsid w:val="00905CF9"/>
    <w:rsid w:val="00905DCA"/>
    <w:rsid w:val="00905E00"/>
    <w:rsid w:val="00905E12"/>
    <w:rsid w:val="00905FE6"/>
    <w:rsid w:val="00906163"/>
    <w:rsid w:val="00906289"/>
    <w:rsid w:val="00906369"/>
    <w:rsid w:val="00906495"/>
    <w:rsid w:val="00906683"/>
    <w:rsid w:val="009066CE"/>
    <w:rsid w:val="009067A1"/>
    <w:rsid w:val="0090687A"/>
    <w:rsid w:val="00906A59"/>
    <w:rsid w:val="00906BEF"/>
    <w:rsid w:val="00906C4A"/>
    <w:rsid w:val="00906C5E"/>
    <w:rsid w:val="00906D01"/>
    <w:rsid w:val="00906D70"/>
    <w:rsid w:val="00906DDA"/>
    <w:rsid w:val="00906FBF"/>
    <w:rsid w:val="009070FA"/>
    <w:rsid w:val="0090714C"/>
    <w:rsid w:val="00907151"/>
    <w:rsid w:val="0090742E"/>
    <w:rsid w:val="00907432"/>
    <w:rsid w:val="00907544"/>
    <w:rsid w:val="0090756C"/>
    <w:rsid w:val="00907589"/>
    <w:rsid w:val="009075A7"/>
    <w:rsid w:val="00907618"/>
    <w:rsid w:val="0090764D"/>
    <w:rsid w:val="00907690"/>
    <w:rsid w:val="00907723"/>
    <w:rsid w:val="009078C4"/>
    <w:rsid w:val="009079F3"/>
    <w:rsid w:val="00907C8E"/>
    <w:rsid w:val="009100F7"/>
    <w:rsid w:val="00910115"/>
    <w:rsid w:val="0091028D"/>
    <w:rsid w:val="009103C1"/>
    <w:rsid w:val="0091052E"/>
    <w:rsid w:val="009105CD"/>
    <w:rsid w:val="009105F1"/>
    <w:rsid w:val="00910778"/>
    <w:rsid w:val="0091077E"/>
    <w:rsid w:val="00910818"/>
    <w:rsid w:val="009108A0"/>
    <w:rsid w:val="009109D1"/>
    <w:rsid w:val="00910A37"/>
    <w:rsid w:val="00910AAD"/>
    <w:rsid w:val="00910D12"/>
    <w:rsid w:val="00910D25"/>
    <w:rsid w:val="00910DD9"/>
    <w:rsid w:val="009110C8"/>
    <w:rsid w:val="00911291"/>
    <w:rsid w:val="009112D4"/>
    <w:rsid w:val="0091134D"/>
    <w:rsid w:val="009113D2"/>
    <w:rsid w:val="009113E7"/>
    <w:rsid w:val="009113F6"/>
    <w:rsid w:val="009115FF"/>
    <w:rsid w:val="00911601"/>
    <w:rsid w:val="00911711"/>
    <w:rsid w:val="009117BE"/>
    <w:rsid w:val="00911847"/>
    <w:rsid w:val="0091186C"/>
    <w:rsid w:val="009118F5"/>
    <w:rsid w:val="00911A47"/>
    <w:rsid w:val="00911CCE"/>
    <w:rsid w:val="00911CED"/>
    <w:rsid w:val="00911D7E"/>
    <w:rsid w:val="00911DC2"/>
    <w:rsid w:val="00911F0A"/>
    <w:rsid w:val="00911FE7"/>
    <w:rsid w:val="00912097"/>
    <w:rsid w:val="009121D5"/>
    <w:rsid w:val="009121ED"/>
    <w:rsid w:val="0091228A"/>
    <w:rsid w:val="009123A2"/>
    <w:rsid w:val="009127B6"/>
    <w:rsid w:val="00912976"/>
    <w:rsid w:val="009129D4"/>
    <w:rsid w:val="009129DA"/>
    <w:rsid w:val="00912A60"/>
    <w:rsid w:val="00912E49"/>
    <w:rsid w:val="00912F6E"/>
    <w:rsid w:val="00913373"/>
    <w:rsid w:val="009133D7"/>
    <w:rsid w:val="0091348C"/>
    <w:rsid w:val="0091349A"/>
    <w:rsid w:val="0091383D"/>
    <w:rsid w:val="00913912"/>
    <w:rsid w:val="00913D9B"/>
    <w:rsid w:val="00913E5B"/>
    <w:rsid w:val="00913E9F"/>
    <w:rsid w:val="0091406F"/>
    <w:rsid w:val="009141D7"/>
    <w:rsid w:val="00914399"/>
    <w:rsid w:val="00914406"/>
    <w:rsid w:val="009144FB"/>
    <w:rsid w:val="009146DA"/>
    <w:rsid w:val="0091487E"/>
    <w:rsid w:val="00914A0A"/>
    <w:rsid w:val="00914A8F"/>
    <w:rsid w:val="00914AB8"/>
    <w:rsid w:val="00914F72"/>
    <w:rsid w:val="009151A6"/>
    <w:rsid w:val="0091530C"/>
    <w:rsid w:val="00915337"/>
    <w:rsid w:val="009153A0"/>
    <w:rsid w:val="00915412"/>
    <w:rsid w:val="00915440"/>
    <w:rsid w:val="00915511"/>
    <w:rsid w:val="0091553F"/>
    <w:rsid w:val="00915639"/>
    <w:rsid w:val="0091568E"/>
    <w:rsid w:val="009158BF"/>
    <w:rsid w:val="0091591C"/>
    <w:rsid w:val="00915955"/>
    <w:rsid w:val="00915ACA"/>
    <w:rsid w:val="00915B43"/>
    <w:rsid w:val="00915BD0"/>
    <w:rsid w:val="00915BF8"/>
    <w:rsid w:val="00915C0D"/>
    <w:rsid w:val="00915C24"/>
    <w:rsid w:val="00915D26"/>
    <w:rsid w:val="00915D5B"/>
    <w:rsid w:val="00915DA4"/>
    <w:rsid w:val="00915F70"/>
    <w:rsid w:val="00916362"/>
    <w:rsid w:val="0091644B"/>
    <w:rsid w:val="009167B0"/>
    <w:rsid w:val="00916826"/>
    <w:rsid w:val="009168BF"/>
    <w:rsid w:val="009168FB"/>
    <w:rsid w:val="00916B15"/>
    <w:rsid w:val="00916C87"/>
    <w:rsid w:val="00916C8A"/>
    <w:rsid w:val="00916D36"/>
    <w:rsid w:val="0091706A"/>
    <w:rsid w:val="00917089"/>
    <w:rsid w:val="00917198"/>
    <w:rsid w:val="009172E8"/>
    <w:rsid w:val="00917331"/>
    <w:rsid w:val="00917367"/>
    <w:rsid w:val="009173C5"/>
    <w:rsid w:val="009176ED"/>
    <w:rsid w:val="0091776A"/>
    <w:rsid w:val="009177FF"/>
    <w:rsid w:val="00917858"/>
    <w:rsid w:val="00917919"/>
    <w:rsid w:val="009179A6"/>
    <w:rsid w:val="009179AE"/>
    <w:rsid w:val="00917A3F"/>
    <w:rsid w:val="00917B22"/>
    <w:rsid w:val="00917B54"/>
    <w:rsid w:val="00917C02"/>
    <w:rsid w:val="00917CBD"/>
    <w:rsid w:val="00917E9B"/>
    <w:rsid w:val="00917F7D"/>
    <w:rsid w:val="0092024C"/>
    <w:rsid w:val="0092024E"/>
    <w:rsid w:val="009202A3"/>
    <w:rsid w:val="00920377"/>
    <w:rsid w:val="00920497"/>
    <w:rsid w:val="009204AD"/>
    <w:rsid w:val="0092054D"/>
    <w:rsid w:val="009207A1"/>
    <w:rsid w:val="009207A5"/>
    <w:rsid w:val="0092096C"/>
    <w:rsid w:val="00920A59"/>
    <w:rsid w:val="00920B59"/>
    <w:rsid w:val="00920CA9"/>
    <w:rsid w:val="00920CE5"/>
    <w:rsid w:val="00920D6A"/>
    <w:rsid w:val="00920D7D"/>
    <w:rsid w:val="00920EC4"/>
    <w:rsid w:val="00920ED4"/>
    <w:rsid w:val="00920EF0"/>
    <w:rsid w:val="00920F1B"/>
    <w:rsid w:val="0092100E"/>
    <w:rsid w:val="009210A9"/>
    <w:rsid w:val="00921332"/>
    <w:rsid w:val="00921344"/>
    <w:rsid w:val="0092137F"/>
    <w:rsid w:val="009214C1"/>
    <w:rsid w:val="00921522"/>
    <w:rsid w:val="009215B7"/>
    <w:rsid w:val="00921659"/>
    <w:rsid w:val="00921719"/>
    <w:rsid w:val="009217D3"/>
    <w:rsid w:val="00921845"/>
    <w:rsid w:val="009218B4"/>
    <w:rsid w:val="009218DF"/>
    <w:rsid w:val="00921921"/>
    <w:rsid w:val="009219BE"/>
    <w:rsid w:val="00921D13"/>
    <w:rsid w:val="00921F7F"/>
    <w:rsid w:val="00921FD1"/>
    <w:rsid w:val="00922002"/>
    <w:rsid w:val="00922101"/>
    <w:rsid w:val="009221A2"/>
    <w:rsid w:val="009224EE"/>
    <w:rsid w:val="0092260D"/>
    <w:rsid w:val="009226C4"/>
    <w:rsid w:val="00922721"/>
    <w:rsid w:val="0092285D"/>
    <w:rsid w:val="009228FA"/>
    <w:rsid w:val="00922A85"/>
    <w:rsid w:val="00922AA7"/>
    <w:rsid w:val="00922B48"/>
    <w:rsid w:val="00922C8B"/>
    <w:rsid w:val="00922CFC"/>
    <w:rsid w:val="00922D3A"/>
    <w:rsid w:val="00922D9B"/>
    <w:rsid w:val="00922F4B"/>
    <w:rsid w:val="0092306F"/>
    <w:rsid w:val="00923274"/>
    <w:rsid w:val="009233E5"/>
    <w:rsid w:val="0092351C"/>
    <w:rsid w:val="0092354B"/>
    <w:rsid w:val="00923596"/>
    <w:rsid w:val="0092378F"/>
    <w:rsid w:val="009237DF"/>
    <w:rsid w:val="009237F4"/>
    <w:rsid w:val="00923862"/>
    <w:rsid w:val="00923889"/>
    <w:rsid w:val="00923A43"/>
    <w:rsid w:val="00923C14"/>
    <w:rsid w:val="00923C40"/>
    <w:rsid w:val="00923C5A"/>
    <w:rsid w:val="00923D07"/>
    <w:rsid w:val="00923D3D"/>
    <w:rsid w:val="00923D4C"/>
    <w:rsid w:val="00923FDB"/>
    <w:rsid w:val="00924067"/>
    <w:rsid w:val="0092406A"/>
    <w:rsid w:val="0092418C"/>
    <w:rsid w:val="00924305"/>
    <w:rsid w:val="00924331"/>
    <w:rsid w:val="009243E4"/>
    <w:rsid w:val="00924688"/>
    <w:rsid w:val="00924842"/>
    <w:rsid w:val="009248DD"/>
    <w:rsid w:val="009248FA"/>
    <w:rsid w:val="0092490F"/>
    <w:rsid w:val="00924A34"/>
    <w:rsid w:val="00924A5F"/>
    <w:rsid w:val="00924AE2"/>
    <w:rsid w:val="00924AF5"/>
    <w:rsid w:val="00924BA0"/>
    <w:rsid w:val="00924D3D"/>
    <w:rsid w:val="00924E59"/>
    <w:rsid w:val="00924EC0"/>
    <w:rsid w:val="00924F54"/>
    <w:rsid w:val="009250FA"/>
    <w:rsid w:val="00925165"/>
    <w:rsid w:val="00925264"/>
    <w:rsid w:val="0092527E"/>
    <w:rsid w:val="00925339"/>
    <w:rsid w:val="00925389"/>
    <w:rsid w:val="00925402"/>
    <w:rsid w:val="009255BF"/>
    <w:rsid w:val="009258AB"/>
    <w:rsid w:val="00925A48"/>
    <w:rsid w:val="00925BFC"/>
    <w:rsid w:val="00925C81"/>
    <w:rsid w:val="00925DB0"/>
    <w:rsid w:val="00925DC6"/>
    <w:rsid w:val="00925E7B"/>
    <w:rsid w:val="009260C0"/>
    <w:rsid w:val="009260DB"/>
    <w:rsid w:val="009261FD"/>
    <w:rsid w:val="00926350"/>
    <w:rsid w:val="00926463"/>
    <w:rsid w:val="00926620"/>
    <w:rsid w:val="009266EE"/>
    <w:rsid w:val="0092678F"/>
    <w:rsid w:val="009269BC"/>
    <w:rsid w:val="009269EE"/>
    <w:rsid w:val="00926D95"/>
    <w:rsid w:val="00926DD1"/>
    <w:rsid w:val="00926E6C"/>
    <w:rsid w:val="00926E71"/>
    <w:rsid w:val="00926E72"/>
    <w:rsid w:val="00927162"/>
    <w:rsid w:val="009273C4"/>
    <w:rsid w:val="009273E3"/>
    <w:rsid w:val="00927484"/>
    <w:rsid w:val="009275BA"/>
    <w:rsid w:val="00927683"/>
    <w:rsid w:val="00927779"/>
    <w:rsid w:val="009277AC"/>
    <w:rsid w:val="00927A9F"/>
    <w:rsid w:val="00927BB7"/>
    <w:rsid w:val="00927C22"/>
    <w:rsid w:val="00927D7E"/>
    <w:rsid w:val="00927E2F"/>
    <w:rsid w:val="00927F8D"/>
    <w:rsid w:val="00930063"/>
    <w:rsid w:val="00930069"/>
    <w:rsid w:val="00930104"/>
    <w:rsid w:val="009301F5"/>
    <w:rsid w:val="00930214"/>
    <w:rsid w:val="009302E4"/>
    <w:rsid w:val="009302F0"/>
    <w:rsid w:val="009303A8"/>
    <w:rsid w:val="009306F7"/>
    <w:rsid w:val="00930A2E"/>
    <w:rsid w:val="00930BED"/>
    <w:rsid w:val="00930E36"/>
    <w:rsid w:val="00930EBA"/>
    <w:rsid w:val="00930EEB"/>
    <w:rsid w:val="00930F11"/>
    <w:rsid w:val="00930F61"/>
    <w:rsid w:val="009310A5"/>
    <w:rsid w:val="009311A7"/>
    <w:rsid w:val="009311C5"/>
    <w:rsid w:val="0093133F"/>
    <w:rsid w:val="0093134E"/>
    <w:rsid w:val="00931474"/>
    <w:rsid w:val="00931500"/>
    <w:rsid w:val="00931562"/>
    <w:rsid w:val="009315A8"/>
    <w:rsid w:val="00931741"/>
    <w:rsid w:val="009318EB"/>
    <w:rsid w:val="00931AF8"/>
    <w:rsid w:val="00931B2E"/>
    <w:rsid w:val="00931B8F"/>
    <w:rsid w:val="00931C52"/>
    <w:rsid w:val="00931C55"/>
    <w:rsid w:val="00931D22"/>
    <w:rsid w:val="00931F09"/>
    <w:rsid w:val="0093205B"/>
    <w:rsid w:val="0093207B"/>
    <w:rsid w:val="009320C5"/>
    <w:rsid w:val="00932131"/>
    <w:rsid w:val="009321A7"/>
    <w:rsid w:val="0093229E"/>
    <w:rsid w:val="00932422"/>
    <w:rsid w:val="00932605"/>
    <w:rsid w:val="009326E1"/>
    <w:rsid w:val="0093279B"/>
    <w:rsid w:val="009327F4"/>
    <w:rsid w:val="00932800"/>
    <w:rsid w:val="009328AC"/>
    <w:rsid w:val="00932923"/>
    <w:rsid w:val="009329E6"/>
    <w:rsid w:val="00932B71"/>
    <w:rsid w:val="00932BF3"/>
    <w:rsid w:val="00932C0B"/>
    <w:rsid w:val="00932EE1"/>
    <w:rsid w:val="009330B3"/>
    <w:rsid w:val="00933146"/>
    <w:rsid w:val="009332DF"/>
    <w:rsid w:val="009333AF"/>
    <w:rsid w:val="009336C4"/>
    <w:rsid w:val="009337CD"/>
    <w:rsid w:val="00933A79"/>
    <w:rsid w:val="00933B9A"/>
    <w:rsid w:val="00933BF2"/>
    <w:rsid w:val="00933E08"/>
    <w:rsid w:val="00933ECD"/>
    <w:rsid w:val="00933FF7"/>
    <w:rsid w:val="00934048"/>
    <w:rsid w:val="009342FC"/>
    <w:rsid w:val="00934318"/>
    <w:rsid w:val="00934515"/>
    <w:rsid w:val="0093454E"/>
    <w:rsid w:val="0093455F"/>
    <w:rsid w:val="00934561"/>
    <w:rsid w:val="0093457C"/>
    <w:rsid w:val="009346BB"/>
    <w:rsid w:val="009346D7"/>
    <w:rsid w:val="0093475B"/>
    <w:rsid w:val="009348BC"/>
    <w:rsid w:val="009349BC"/>
    <w:rsid w:val="00934B2B"/>
    <w:rsid w:val="00934B49"/>
    <w:rsid w:val="00934C33"/>
    <w:rsid w:val="00934CD5"/>
    <w:rsid w:val="00934D77"/>
    <w:rsid w:val="00934D99"/>
    <w:rsid w:val="00934EC5"/>
    <w:rsid w:val="00934EDE"/>
    <w:rsid w:val="009350C7"/>
    <w:rsid w:val="00935123"/>
    <w:rsid w:val="009351FF"/>
    <w:rsid w:val="009352C7"/>
    <w:rsid w:val="0093531F"/>
    <w:rsid w:val="00935650"/>
    <w:rsid w:val="00935729"/>
    <w:rsid w:val="0093572A"/>
    <w:rsid w:val="00935754"/>
    <w:rsid w:val="009357A1"/>
    <w:rsid w:val="00935824"/>
    <w:rsid w:val="00935A0C"/>
    <w:rsid w:val="00935AAC"/>
    <w:rsid w:val="00935CCC"/>
    <w:rsid w:val="00935DA2"/>
    <w:rsid w:val="00935DE1"/>
    <w:rsid w:val="00935EF8"/>
    <w:rsid w:val="00935FCC"/>
    <w:rsid w:val="0093602B"/>
    <w:rsid w:val="00936068"/>
    <w:rsid w:val="00936132"/>
    <w:rsid w:val="00936172"/>
    <w:rsid w:val="009361C3"/>
    <w:rsid w:val="00936A44"/>
    <w:rsid w:val="00936A49"/>
    <w:rsid w:val="00936B50"/>
    <w:rsid w:val="00936BBA"/>
    <w:rsid w:val="00936C65"/>
    <w:rsid w:val="00936CC9"/>
    <w:rsid w:val="00936D9D"/>
    <w:rsid w:val="00936E38"/>
    <w:rsid w:val="00936F07"/>
    <w:rsid w:val="00936FEA"/>
    <w:rsid w:val="00937104"/>
    <w:rsid w:val="0093723C"/>
    <w:rsid w:val="00937263"/>
    <w:rsid w:val="0093727C"/>
    <w:rsid w:val="00937834"/>
    <w:rsid w:val="00937A15"/>
    <w:rsid w:val="00937A60"/>
    <w:rsid w:val="00937C98"/>
    <w:rsid w:val="00937D58"/>
    <w:rsid w:val="00937DC2"/>
    <w:rsid w:val="00940036"/>
    <w:rsid w:val="009400D2"/>
    <w:rsid w:val="00940136"/>
    <w:rsid w:val="00940220"/>
    <w:rsid w:val="0094022F"/>
    <w:rsid w:val="0094024A"/>
    <w:rsid w:val="0094029B"/>
    <w:rsid w:val="00940747"/>
    <w:rsid w:val="009407BE"/>
    <w:rsid w:val="0094086A"/>
    <w:rsid w:val="0094086C"/>
    <w:rsid w:val="00940901"/>
    <w:rsid w:val="00940C57"/>
    <w:rsid w:val="00940D53"/>
    <w:rsid w:val="00940DCA"/>
    <w:rsid w:val="00940DF3"/>
    <w:rsid w:val="00940DF7"/>
    <w:rsid w:val="00940E18"/>
    <w:rsid w:val="00940EDE"/>
    <w:rsid w:val="00940EFC"/>
    <w:rsid w:val="00940FD6"/>
    <w:rsid w:val="00941000"/>
    <w:rsid w:val="009411C7"/>
    <w:rsid w:val="009413E3"/>
    <w:rsid w:val="009413FD"/>
    <w:rsid w:val="0094143E"/>
    <w:rsid w:val="00941500"/>
    <w:rsid w:val="00941599"/>
    <w:rsid w:val="00941803"/>
    <w:rsid w:val="00941A60"/>
    <w:rsid w:val="00941E40"/>
    <w:rsid w:val="00942009"/>
    <w:rsid w:val="00942291"/>
    <w:rsid w:val="009422D9"/>
    <w:rsid w:val="0094275B"/>
    <w:rsid w:val="009427C0"/>
    <w:rsid w:val="009427D3"/>
    <w:rsid w:val="00942923"/>
    <w:rsid w:val="00942C39"/>
    <w:rsid w:val="00942D2B"/>
    <w:rsid w:val="00942D41"/>
    <w:rsid w:val="00942E13"/>
    <w:rsid w:val="00942FDC"/>
    <w:rsid w:val="00943102"/>
    <w:rsid w:val="00943111"/>
    <w:rsid w:val="00943119"/>
    <w:rsid w:val="00943333"/>
    <w:rsid w:val="00943355"/>
    <w:rsid w:val="009433F7"/>
    <w:rsid w:val="00943555"/>
    <w:rsid w:val="009436B4"/>
    <w:rsid w:val="009437DD"/>
    <w:rsid w:val="00943806"/>
    <w:rsid w:val="009438BB"/>
    <w:rsid w:val="009439AF"/>
    <w:rsid w:val="00943A6F"/>
    <w:rsid w:val="00943B99"/>
    <w:rsid w:val="00943C5A"/>
    <w:rsid w:val="00943D5B"/>
    <w:rsid w:val="00943DC7"/>
    <w:rsid w:val="00943DE2"/>
    <w:rsid w:val="00943E12"/>
    <w:rsid w:val="00943FBA"/>
    <w:rsid w:val="00944134"/>
    <w:rsid w:val="0094414E"/>
    <w:rsid w:val="00944180"/>
    <w:rsid w:val="009445EE"/>
    <w:rsid w:val="009446E8"/>
    <w:rsid w:val="00944713"/>
    <w:rsid w:val="0094493B"/>
    <w:rsid w:val="0094494F"/>
    <w:rsid w:val="009449B8"/>
    <w:rsid w:val="009449FC"/>
    <w:rsid w:val="00944A18"/>
    <w:rsid w:val="00944AE5"/>
    <w:rsid w:val="00944AFC"/>
    <w:rsid w:val="00944C4C"/>
    <w:rsid w:val="00944DB6"/>
    <w:rsid w:val="00944DFE"/>
    <w:rsid w:val="00944E09"/>
    <w:rsid w:val="00944E0B"/>
    <w:rsid w:val="00944F73"/>
    <w:rsid w:val="00944FDC"/>
    <w:rsid w:val="00945021"/>
    <w:rsid w:val="0094503C"/>
    <w:rsid w:val="00945070"/>
    <w:rsid w:val="009450E9"/>
    <w:rsid w:val="0094520E"/>
    <w:rsid w:val="00945393"/>
    <w:rsid w:val="0094539D"/>
    <w:rsid w:val="0094549B"/>
    <w:rsid w:val="0094554D"/>
    <w:rsid w:val="00945658"/>
    <w:rsid w:val="009456D1"/>
    <w:rsid w:val="009458DD"/>
    <w:rsid w:val="009459F4"/>
    <w:rsid w:val="00945B39"/>
    <w:rsid w:val="00945D78"/>
    <w:rsid w:val="00945DBF"/>
    <w:rsid w:val="00945DFF"/>
    <w:rsid w:val="00945F61"/>
    <w:rsid w:val="009460C3"/>
    <w:rsid w:val="009461D6"/>
    <w:rsid w:val="00946269"/>
    <w:rsid w:val="00946351"/>
    <w:rsid w:val="00946562"/>
    <w:rsid w:val="00946611"/>
    <w:rsid w:val="009466EF"/>
    <w:rsid w:val="00946947"/>
    <w:rsid w:val="009469D1"/>
    <w:rsid w:val="00946A59"/>
    <w:rsid w:val="00946A68"/>
    <w:rsid w:val="00946B6F"/>
    <w:rsid w:val="00946D14"/>
    <w:rsid w:val="00946EFB"/>
    <w:rsid w:val="00946F39"/>
    <w:rsid w:val="00946F89"/>
    <w:rsid w:val="00946FC9"/>
    <w:rsid w:val="00947102"/>
    <w:rsid w:val="009471BB"/>
    <w:rsid w:val="009472B6"/>
    <w:rsid w:val="00947684"/>
    <w:rsid w:val="009476FD"/>
    <w:rsid w:val="00947836"/>
    <w:rsid w:val="00947867"/>
    <w:rsid w:val="00947937"/>
    <w:rsid w:val="00947ADB"/>
    <w:rsid w:val="00947C47"/>
    <w:rsid w:val="00947D8E"/>
    <w:rsid w:val="00947DDF"/>
    <w:rsid w:val="00947ECD"/>
    <w:rsid w:val="00947EFB"/>
    <w:rsid w:val="00950036"/>
    <w:rsid w:val="00950104"/>
    <w:rsid w:val="00950304"/>
    <w:rsid w:val="00950626"/>
    <w:rsid w:val="00950817"/>
    <w:rsid w:val="00950879"/>
    <w:rsid w:val="009508F8"/>
    <w:rsid w:val="00950954"/>
    <w:rsid w:val="00950984"/>
    <w:rsid w:val="00950A06"/>
    <w:rsid w:val="00950AE3"/>
    <w:rsid w:val="00950B13"/>
    <w:rsid w:val="00950CDF"/>
    <w:rsid w:val="00950DEA"/>
    <w:rsid w:val="00950E66"/>
    <w:rsid w:val="00951047"/>
    <w:rsid w:val="00951049"/>
    <w:rsid w:val="00951067"/>
    <w:rsid w:val="00951078"/>
    <w:rsid w:val="009510E0"/>
    <w:rsid w:val="009511AF"/>
    <w:rsid w:val="009512F9"/>
    <w:rsid w:val="009513BC"/>
    <w:rsid w:val="0095142B"/>
    <w:rsid w:val="0095145E"/>
    <w:rsid w:val="0095159E"/>
    <w:rsid w:val="009516DA"/>
    <w:rsid w:val="0095177F"/>
    <w:rsid w:val="009517BC"/>
    <w:rsid w:val="009517CC"/>
    <w:rsid w:val="00951841"/>
    <w:rsid w:val="0095189F"/>
    <w:rsid w:val="009518B1"/>
    <w:rsid w:val="00951B7C"/>
    <w:rsid w:val="00951BBB"/>
    <w:rsid w:val="00951BDA"/>
    <w:rsid w:val="00951D31"/>
    <w:rsid w:val="00951FA6"/>
    <w:rsid w:val="00951FD5"/>
    <w:rsid w:val="009523E0"/>
    <w:rsid w:val="009523F9"/>
    <w:rsid w:val="0095241B"/>
    <w:rsid w:val="0095258B"/>
    <w:rsid w:val="009526BC"/>
    <w:rsid w:val="009527B6"/>
    <w:rsid w:val="009528BE"/>
    <w:rsid w:val="009528CF"/>
    <w:rsid w:val="00952957"/>
    <w:rsid w:val="00952CD6"/>
    <w:rsid w:val="00952DB9"/>
    <w:rsid w:val="00952DCB"/>
    <w:rsid w:val="00952ECD"/>
    <w:rsid w:val="00952F65"/>
    <w:rsid w:val="0095319D"/>
    <w:rsid w:val="0095320E"/>
    <w:rsid w:val="0095328A"/>
    <w:rsid w:val="0095345E"/>
    <w:rsid w:val="00953616"/>
    <w:rsid w:val="009538D4"/>
    <w:rsid w:val="0095397F"/>
    <w:rsid w:val="00953B06"/>
    <w:rsid w:val="00953C40"/>
    <w:rsid w:val="00953F2B"/>
    <w:rsid w:val="009540A5"/>
    <w:rsid w:val="009540EF"/>
    <w:rsid w:val="00954128"/>
    <w:rsid w:val="00954129"/>
    <w:rsid w:val="009541E1"/>
    <w:rsid w:val="00954452"/>
    <w:rsid w:val="00954668"/>
    <w:rsid w:val="0095485E"/>
    <w:rsid w:val="00954996"/>
    <w:rsid w:val="00954AB7"/>
    <w:rsid w:val="00955044"/>
    <w:rsid w:val="0095513A"/>
    <w:rsid w:val="00955150"/>
    <w:rsid w:val="00955177"/>
    <w:rsid w:val="0095518E"/>
    <w:rsid w:val="00955227"/>
    <w:rsid w:val="00955255"/>
    <w:rsid w:val="009552FF"/>
    <w:rsid w:val="00955524"/>
    <w:rsid w:val="00955598"/>
    <w:rsid w:val="009557DF"/>
    <w:rsid w:val="0095589A"/>
    <w:rsid w:val="00955927"/>
    <w:rsid w:val="00955A05"/>
    <w:rsid w:val="00955A37"/>
    <w:rsid w:val="00955A64"/>
    <w:rsid w:val="00955A6A"/>
    <w:rsid w:val="00955C37"/>
    <w:rsid w:val="00955CEA"/>
    <w:rsid w:val="00955F17"/>
    <w:rsid w:val="00955FA9"/>
    <w:rsid w:val="0095693A"/>
    <w:rsid w:val="00956B1B"/>
    <w:rsid w:val="00956B3E"/>
    <w:rsid w:val="00956B55"/>
    <w:rsid w:val="00956BAB"/>
    <w:rsid w:val="00956E8F"/>
    <w:rsid w:val="00956EE7"/>
    <w:rsid w:val="00956EF1"/>
    <w:rsid w:val="00957288"/>
    <w:rsid w:val="0095734E"/>
    <w:rsid w:val="0095771B"/>
    <w:rsid w:val="0095780C"/>
    <w:rsid w:val="0095791E"/>
    <w:rsid w:val="00957A03"/>
    <w:rsid w:val="00957A7F"/>
    <w:rsid w:val="00957DB3"/>
    <w:rsid w:val="00957E25"/>
    <w:rsid w:val="0096010B"/>
    <w:rsid w:val="009602A8"/>
    <w:rsid w:val="0096037F"/>
    <w:rsid w:val="009604CC"/>
    <w:rsid w:val="00960625"/>
    <w:rsid w:val="00960791"/>
    <w:rsid w:val="00960986"/>
    <w:rsid w:val="00960A0B"/>
    <w:rsid w:val="00960BE8"/>
    <w:rsid w:val="00960C9D"/>
    <w:rsid w:val="00960CF7"/>
    <w:rsid w:val="00960E48"/>
    <w:rsid w:val="00961337"/>
    <w:rsid w:val="00961534"/>
    <w:rsid w:val="009615D4"/>
    <w:rsid w:val="00961614"/>
    <w:rsid w:val="00961691"/>
    <w:rsid w:val="00961869"/>
    <w:rsid w:val="00961B37"/>
    <w:rsid w:val="00961B70"/>
    <w:rsid w:val="00961BFE"/>
    <w:rsid w:val="00961CB1"/>
    <w:rsid w:val="00961D79"/>
    <w:rsid w:val="00961D89"/>
    <w:rsid w:val="00961DB1"/>
    <w:rsid w:val="00961E05"/>
    <w:rsid w:val="00961E5E"/>
    <w:rsid w:val="00962024"/>
    <w:rsid w:val="009625F8"/>
    <w:rsid w:val="0096267A"/>
    <w:rsid w:val="009627C3"/>
    <w:rsid w:val="00962905"/>
    <w:rsid w:val="00962A8B"/>
    <w:rsid w:val="00962AA0"/>
    <w:rsid w:val="00962AE2"/>
    <w:rsid w:val="00962C55"/>
    <w:rsid w:val="00962C9C"/>
    <w:rsid w:val="00962D42"/>
    <w:rsid w:val="00963074"/>
    <w:rsid w:val="00963185"/>
    <w:rsid w:val="009631CD"/>
    <w:rsid w:val="00963362"/>
    <w:rsid w:val="009633E4"/>
    <w:rsid w:val="00963581"/>
    <w:rsid w:val="009635B1"/>
    <w:rsid w:val="009635B8"/>
    <w:rsid w:val="009636D4"/>
    <w:rsid w:val="00963751"/>
    <w:rsid w:val="0096376B"/>
    <w:rsid w:val="009639B0"/>
    <w:rsid w:val="00963A50"/>
    <w:rsid w:val="00963C96"/>
    <w:rsid w:val="00963CE8"/>
    <w:rsid w:val="00963D94"/>
    <w:rsid w:val="00963E62"/>
    <w:rsid w:val="00963E8B"/>
    <w:rsid w:val="00963FE2"/>
    <w:rsid w:val="0096400A"/>
    <w:rsid w:val="00964092"/>
    <w:rsid w:val="00964167"/>
    <w:rsid w:val="00964212"/>
    <w:rsid w:val="009642C0"/>
    <w:rsid w:val="009642EA"/>
    <w:rsid w:val="009642FF"/>
    <w:rsid w:val="0096431D"/>
    <w:rsid w:val="00964700"/>
    <w:rsid w:val="00964789"/>
    <w:rsid w:val="00964836"/>
    <w:rsid w:val="00964903"/>
    <w:rsid w:val="0096493B"/>
    <w:rsid w:val="00964C81"/>
    <w:rsid w:val="00964D32"/>
    <w:rsid w:val="00964E53"/>
    <w:rsid w:val="00964E58"/>
    <w:rsid w:val="00964F21"/>
    <w:rsid w:val="00964F35"/>
    <w:rsid w:val="00964F84"/>
    <w:rsid w:val="0096513C"/>
    <w:rsid w:val="00965168"/>
    <w:rsid w:val="009651C7"/>
    <w:rsid w:val="009651D7"/>
    <w:rsid w:val="00965298"/>
    <w:rsid w:val="009652D8"/>
    <w:rsid w:val="00965448"/>
    <w:rsid w:val="009655A7"/>
    <w:rsid w:val="00965606"/>
    <w:rsid w:val="00965650"/>
    <w:rsid w:val="009656F9"/>
    <w:rsid w:val="009658D7"/>
    <w:rsid w:val="00965927"/>
    <w:rsid w:val="0096592D"/>
    <w:rsid w:val="009659E9"/>
    <w:rsid w:val="00965A1C"/>
    <w:rsid w:val="00965A69"/>
    <w:rsid w:val="00965A8C"/>
    <w:rsid w:val="00965AA4"/>
    <w:rsid w:val="00965CED"/>
    <w:rsid w:val="00965DD3"/>
    <w:rsid w:val="00965F12"/>
    <w:rsid w:val="00966021"/>
    <w:rsid w:val="0096603D"/>
    <w:rsid w:val="0096614A"/>
    <w:rsid w:val="0096616C"/>
    <w:rsid w:val="009661E4"/>
    <w:rsid w:val="009665CE"/>
    <w:rsid w:val="0096664F"/>
    <w:rsid w:val="009667EB"/>
    <w:rsid w:val="009668EA"/>
    <w:rsid w:val="00966C63"/>
    <w:rsid w:val="00966E0C"/>
    <w:rsid w:val="00966E2D"/>
    <w:rsid w:val="00966E43"/>
    <w:rsid w:val="0096718C"/>
    <w:rsid w:val="0096718E"/>
    <w:rsid w:val="0096730B"/>
    <w:rsid w:val="0096747B"/>
    <w:rsid w:val="00967507"/>
    <w:rsid w:val="00967860"/>
    <w:rsid w:val="00967C2B"/>
    <w:rsid w:val="00967EB2"/>
    <w:rsid w:val="00970008"/>
    <w:rsid w:val="0097003B"/>
    <w:rsid w:val="00970041"/>
    <w:rsid w:val="0097007F"/>
    <w:rsid w:val="009700B9"/>
    <w:rsid w:val="009700FD"/>
    <w:rsid w:val="009701B6"/>
    <w:rsid w:val="00970293"/>
    <w:rsid w:val="009702CB"/>
    <w:rsid w:val="009702F1"/>
    <w:rsid w:val="00970353"/>
    <w:rsid w:val="00970367"/>
    <w:rsid w:val="009703D5"/>
    <w:rsid w:val="009703EC"/>
    <w:rsid w:val="0097041E"/>
    <w:rsid w:val="009705AB"/>
    <w:rsid w:val="009706EC"/>
    <w:rsid w:val="00970762"/>
    <w:rsid w:val="0097090D"/>
    <w:rsid w:val="009709A9"/>
    <w:rsid w:val="009709DD"/>
    <w:rsid w:val="00970A20"/>
    <w:rsid w:val="00970AF9"/>
    <w:rsid w:val="00970B95"/>
    <w:rsid w:val="00970CF7"/>
    <w:rsid w:val="00970D93"/>
    <w:rsid w:val="00970E16"/>
    <w:rsid w:val="00970E76"/>
    <w:rsid w:val="00971063"/>
    <w:rsid w:val="009710B0"/>
    <w:rsid w:val="009712A1"/>
    <w:rsid w:val="00971316"/>
    <w:rsid w:val="0097163D"/>
    <w:rsid w:val="009717E6"/>
    <w:rsid w:val="00971A9E"/>
    <w:rsid w:val="00971AB2"/>
    <w:rsid w:val="00971ABA"/>
    <w:rsid w:val="00971BF1"/>
    <w:rsid w:val="00971DB3"/>
    <w:rsid w:val="00971E16"/>
    <w:rsid w:val="00971E39"/>
    <w:rsid w:val="00971FE1"/>
    <w:rsid w:val="00972019"/>
    <w:rsid w:val="00972104"/>
    <w:rsid w:val="009721F8"/>
    <w:rsid w:val="00972625"/>
    <w:rsid w:val="0097269D"/>
    <w:rsid w:val="00972869"/>
    <w:rsid w:val="00972912"/>
    <w:rsid w:val="009729B0"/>
    <w:rsid w:val="009729B6"/>
    <w:rsid w:val="00972AF6"/>
    <w:rsid w:val="00972D17"/>
    <w:rsid w:val="00973049"/>
    <w:rsid w:val="00973053"/>
    <w:rsid w:val="00973068"/>
    <w:rsid w:val="0097334B"/>
    <w:rsid w:val="009733D2"/>
    <w:rsid w:val="009734F9"/>
    <w:rsid w:val="00973573"/>
    <w:rsid w:val="00973697"/>
    <w:rsid w:val="00973783"/>
    <w:rsid w:val="00973828"/>
    <w:rsid w:val="00973962"/>
    <w:rsid w:val="00973A5C"/>
    <w:rsid w:val="00973D18"/>
    <w:rsid w:val="00973FAA"/>
    <w:rsid w:val="009740DA"/>
    <w:rsid w:val="009740F8"/>
    <w:rsid w:val="00974158"/>
    <w:rsid w:val="009741A4"/>
    <w:rsid w:val="00974202"/>
    <w:rsid w:val="009742D9"/>
    <w:rsid w:val="0097441D"/>
    <w:rsid w:val="009744B2"/>
    <w:rsid w:val="0097452E"/>
    <w:rsid w:val="0097454C"/>
    <w:rsid w:val="00974677"/>
    <w:rsid w:val="0097487A"/>
    <w:rsid w:val="0097491F"/>
    <w:rsid w:val="00974939"/>
    <w:rsid w:val="00974A75"/>
    <w:rsid w:val="00974B20"/>
    <w:rsid w:val="00974B44"/>
    <w:rsid w:val="00974C72"/>
    <w:rsid w:val="00974D21"/>
    <w:rsid w:val="00974D27"/>
    <w:rsid w:val="00974FC9"/>
    <w:rsid w:val="00975087"/>
    <w:rsid w:val="00975285"/>
    <w:rsid w:val="009753F8"/>
    <w:rsid w:val="00975469"/>
    <w:rsid w:val="00975575"/>
    <w:rsid w:val="00975810"/>
    <w:rsid w:val="00975832"/>
    <w:rsid w:val="00975838"/>
    <w:rsid w:val="009758CB"/>
    <w:rsid w:val="0097597D"/>
    <w:rsid w:val="00975A96"/>
    <w:rsid w:val="00975B45"/>
    <w:rsid w:val="00975C80"/>
    <w:rsid w:val="00975CC4"/>
    <w:rsid w:val="00975D94"/>
    <w:rsid w:val="00975DE6"/>
    <w:rsid w:val="00975DF9"/>
    <w:rsid w:val="00975F67"/>
    <w:rsid w:val="00975F94"/>
    <w:rsid w:val="00975FC5"/>
    <w:rsid w:val="0097601A"/>
    <w:rsid w:val="0097601E"/>
    <w:rsid w:val="00976023"/>
    <w:rsid w:val="00976077"/>
    <w:rsid w:val="0097609A"/>
    <w:rsid w:val="009760D6"/>
    <w:rsid w:val="009762BD"/>
    <w:rsid w:val="009762E4"/>
    <w:rsid w:val="00976347"/>
    <w:rsid w:val="00976491"/>
    <w:rsid w:val="009764E3"/>
    <w:rsid w:val="0097653E"/>
    <w:rsid w:val="009767AD"/>
    <w:rsid w:val="00976A0F"/>
    <w:rsid w:val="00976A4F"/>
    <w:rsid w:val="00976A55"/>
    <w:rsid w:val="00976EEE"/>
    <w:rsid w:val="00976FB9"/>
    <w:rsid w:val="00977230"/>
    <w:rsid w:val="00977270"/>
    <w:rsid w:val="00977379"/>
    <w:rsid w:val="009775CE"/>
    <w:rsid w:val="009775EC"/>
    <w:rsid w:val="00977764"/>
    <w:rsid w:val="00977783"/>
    <w:rsid w:val="00977AC1"/>
    <w:rsid w:val="00977BB9"/>
    <w:rsid w:val="00977C63"/>
    <w:rsid w:val="00977C69"/>
    <w:rsid w:val="00977D73"/>
    <w:rsid w:val="00977E2F"/>
    <w:rsid w:val="00977E71"/>
    <w:rsid w:val="00977FA4"/>
    <w:rsid w:val="00980461"/>
    <w:rsid w:val="009804C1"/>
    <w:rsid w:val="0098050F"/>
    <w:rsid w:val="00980717"/>
    <w:rsid w:val="009807BC"/>
    <w:rsid w:val="00980931"/>
    <w:rsid w:val="00980A22"/>
    <w:rsid w:val="00980A46"/>
    <w:rsid w:val="00980BAF"/>
    <w:rsid w:val="00980CFE"/>
    <w:rsid w:val="00980DF8"/>
    <w:rsid w:val="00980E0A"/>
    <w:rsid w:val="00981400"/>
    <w:rsid w:val="00981641"/>
    <w:rsid w:val="0098169D"/>
    <w:rsid w:val="009816B8"/>
    <w:rsid w:val="009818B9"/>
    <w:rsid w:val="0098193D"/>
    <w:rsid w:val="009819EE"/>
    <w:rsid w:val="00981A06"/>
    <w:rsid w:val="00981A99"/>
    <w:rsid w:val="00981ACC"/>
    <w:rsid w:val="00981BC9"/>
    <w:rsid w:val="00981C19"/>
    <w:rsid w:val="00981DC9"/>
    <w:rsid w:val="00981DD3"/>
    <w:rsid w:val="00981E45"/>
    <w:rsid w:val="009820BA"/>
    <w:rsid w:val="009820DB"/>
    <w:rsid w:val="00982227"/>
    <w:rsid w:val="00982238"/>
    <w:rsid w:val="00982402"/>
    <w:rsid w:val="00982438"/>
    <w:rsid w:val="009824D4"/>
    <w:rsid w:val="00982500"/>
    <w:rsid w:val="0098257B"/>
    <w:rsid w:val="009825F7"/>
    <w:rsid w:val="0098260D"/>
    <w:rsid w:val="0098264B"/>
    <w:rsid w:val="009826EB"/>
    <w:rsid w:val="0098275D"/>
    <w:rsid w:val="0098276E"/>
    <w:rsid w:val="00982996"/>
    <w:rsid w:val="00982B3F"/>
    <w:rsid w:val="00982C2B"/>
    <w:rsid w:val="00982C2F"/>
    <w:rsid w:val="00982CBD"/>
    <w:rsid w:val="00982D32"/>
    <w:rsid w:val="00982FA2"/>
    <w:rsid w:val="00982FD0"/>
    <w:rsid w:val="00983007"/>
    <w:rsid w:val="00983052"/>
    <w:rsid w:val="0098307E"/>
    <w:rsid w:val="009830A1"/>
    <w:rsid w:val="009831CF"/>
    <w:rsid w:val="0098338F"/>
    <w:rsid w:val="00983593"/>
    <w:rsid w:val="0098398F"/>
    <w:rsid w:val="009839C9"/>
    <w:rsid w:val="00983A76"/>
    <w:rsid w:val="00983AE9"/>
    <w:rsid w:val="00983B00"/>
    <w:rsid w:val="00983B67"/>
    <w:rsid w:val="00983E69"/>
    <w:rsid w:val="00983FB7"/>
    <w:rsid w:val="00983FD8"/>
    <w:rsid w:val="00983FED"/>
    <w:rsid w:val="0098422B"/>
    <w:rsid w:val="0098428D"/>
    <w:rsid w:val="009843A6"/>
    <w:rsid w:val="00984406"/>
    <w:rsid w:val="00984448"/>
    <w:rsid w:val="009845D1"/>
    <w:rsid w:val="009845DF"/>
    <w:rsid w:val="00984707"/>
    <w:rsid w:val="0098496E"/>
    <w:rsid w:val="00984A91"/>
    <w:rsid w:val="00984B46"/>
    <w:rsid w:val="00984BFF"/>
    <w:rsid w:val="00984C81"/>
    <w:rsid w:val="00984D4E"/>
    <w:rsid w:val="009852C8"/>
    <w:rsid w:val="00985337"/>
    <w:rsid w:val="00985517"/>
    <w:rsid w:val="00985527"/>
    <w:rsid w:val="00985547"/>
    <w:rsid w:val="00985606"/>
    <w:rsid w:val="00985847"/>
    <w:rsid w:val="009858B7"/>
    <w:rsid w:val="00985989"/>
    <w:rsid w:val="009859F7"/>
    <w:rsid w:val="00985A07"/>
    <w:rsid w:val="00985A91"/>
    <w:rsid w:val="00985B48"/>
    <w:rsid w:val="00985BC8"/>
    <w:rsid w:val="00985C05"/>
    <w:rsid w:val="00985CA1"/>
    <w:rsid w:val="00985EC8"/>
    <w:rsid w:val="00985FD4"/>
    <w:rsid w:val="00986064"/>
    <w:rsid w:val="0098629C"/>
    <w:rsid w:val="009863D1"/>
    <w:rsid w:val="00986419"/>
    <w:rsid w:val="009864AF"/>
    <w:rsid w:val="009864E1"/>
    <w:rsid w:val="00986533"/>
    <w:rsid w:val="009866E0"/>
    <w:rsid w:val="00986708"/>
    <w:rsid w:val="00986841"/>
    <w:rsid w:val="009869E5"/>
    <w:rsid w:val="00986A2A"/>
    <w:rsid w:val="00986B05"/>
    <w:rsid w:val="00986B27"/>
    <w:rsid w:val="00986B70"/>
    <w:rsid w:val="00986BB1"/>
    <w:rsid w:val="00986C04"/>
    <w:rsid w:val="00986EDD"/>
    <w:rsid w:val="009870B4"/>
    <w:rsid w:val="00987187"/>
    <w:rsid w:val="009873DF"/>
    <w:rsid w:val="009873E6"/>
    <w:rsid w:val="00987536"/>
    <w:rsid w:val="00987574"/>
    <w:rsid w:val="009875AA"/>
    <w:rsid w:val="009875CA"/>
    <w:rsid w:val="00987707"/>
    <w:rsid w:val="00987890"/>
    <w:rsid w:val="00987922"/>
    <w:rsid w:val="00987991"/>
    <w:rsid w:val="009879E6"/>
    <w:rsid w:val="00987AD1"/>
    <w:rsid w:val="00987BF6"/>
    <w:rsid w:val="00987BFE"/>
    <w:rsid w:val="00987CB8"/>
    <w:rsid w:val="00987D4B"/>
    <w:rsid w:val="00987D8C"/>
    <w:rsid w:val="00987E43"/>
    <w:rsid w:val="00987E8E"/>
    <w:rsid w:val="009901A8"/>
    <w:rsid w:val="009901AE"/>
    <w:rsid w:val="009901F4"/>
    <w:rsid w:val="00990207"/>
    <w:rsid w:val="0099021B"/>
    <w:rsid w:val="00990768"/>
    <w:rsid w:val="00990907"/>
    <w:rsid w:val="00990B15"/>
    <w:rsid w:val="00990B67"/>
    <w:rsid w:val="00990C6C"/>
    <w:rsid w:val="00990CA0"/>
    <w:rsid w:val="00990D18"/>
    <w:rsid w:val="00990D3D"/>
    <w:rsid w:val="00990D4E"/>
    <w:rsid w:val="00990DF4"/>
    <w:rsid w:val="00990E7C"/>
    <w:rsid w:val="00990ECD"/>
    <w:rsid w:val="009911C2"/>
    <w:rsid w:val="009912E0"/>
    <w:rsid w:val="0099147E"/>
    <w:rsid w:val="00991589"/>
    <w:rsid w:val="00991622"/>
    <w:rsid w:val="00991688"/>
    <w:rsid w:val="0099172E"/>
    <w:rsid w:val="0099179B"/>
    <w:rsid w:val="00991928"/>
    <w:rsid w:val="00991950"/>
    <w:rsid w:val="0099195B"/>
    <w:rsid w:val="00991C88"/>
    <w:rsid w:val="00991FFF"/>
    <w:rsid w:val="0099206E"/>
    <w:rsid w:val="00992090"/>
    <w:rsid w:val="009920B0"/>
    <w:rsid w:val="00992121"/>
    <w:rsid w:val="0099217D"/>
    <w:rsid w:val="009921C7"/>
    <w:rsid w:val="00992496"/>
    <w:rsid w:val="009924BF"/>
    <w:rsid w:val="00992520"/>
    <w:rsid w:val="00992690"/>
    <w:rsid w:val="009928FF"/>
    <w:rsid w:val="00992B27"/>
    <w:rsid w:val="00992B4B"/>
    <w:rsid w:val="00992B69"/>
    <w:rsid w:val="00992BC3"/>
    <w:rsid w:val="00992D8B"/>
    <w:rsid w:val="00992DEA"/>
    <w:rsid w:val="00992F97"/>
    <w:rsid w:val="0099319B"/>
    <w:rsid w:val="009931A8"/>
    <w:rsid w:val="00993374"/>
    <w:rsid w:val="0099352E"/>
    <w:rsid w:val="00993554"/>
    <w:rsid w:val="009935DD"/>
    <w:rsid w:val="009936CD"/>
    <w:rsid w:val="00993A2E"/>
    <w:rsid w:val="00993BE1"/>
    <w:rsid w:val="00993CA3"/>
    <w:rsid w:val="00993FBA"/>
    <w:rsid w:val="0099444A"/>
    <w:rsid w:val="0099456A"/>
    <w:rsid w:val="0099459F"/>
    <w:rsid w:val="00994690"/>
    <w:rsid w:val="0099469D"/>
    <w:rsid w:val="00994817"/>
    <w:rsid w:val="009948FB"/>
    <w:rsid w:val="00994A3E"/>
    <w:rsid w:val="00994A7F"/>
    <w:rsid w:val="00994CA1"/>
    <w:rsid w:val="00994CF0"/>
    <w:rsid w:val="00994D39"/>
    <w:rsid w:val="00994DB8"/>
    <w:rsid w:val="00994EA9"/>
    <w:rsid w:val="00994ED7"/>
    <w:rsid w:val="00994F7F"/>
    <w:rsid w:val="00994F86"/>
    <w:rsid w:val="00995197"/>
    <w:rsid w:val="0099522D"/>
    <w:rsid w:val="009952B1"/>
    <w:rsid w:val="009952DE"/>
    <w:rsid w:val="0099530C"/>
    <w:rsid w:val="00995B7D"/>
    <w:rsid w:val="00995C02"/>
    <w:rsid w:val="00995C5C"/>
    <w:rsid w:val="00995C5E"/>
    <w:rsid w:val="00995C95"/>
    <w:rsid w:val="00995DE4"/>
    <w:rsid w:val="00995DEE"/>
    <w:rsid w:val="00995EE8"/>
    <w:rsid w:val="009961A3"/>
    <w:rsid w:val="009961B3"/>
    <w:rsid w:val="0099623C"/>
    <w:rsid w:val="00996260"/>
    <w:rsid w:val="00996331"/>
    <w:rsid w:val="009963FA"/>
    <w:rsid w:val="00996435"/>
    <w:rsid w:val="009969C3"/>
    <w:rsid w:val="00996B52"/>
    <w:rsid w:val="00996C7A"/>
    <w:rsid w:val="00997059"/>
    <w:rsid w:val="0099705E"/>
    <w:rsid w:val="009970D4"/>
    <w:rsid w:val="00997240"/>
    <w:rsid w:val="00997288"/>
    <w:rsid w:val="00997336"/>
    <w:rsid w:val="009976D7"/>
    <w:rsid w:val="00997AAF"/>
    <w:rsid w:val="00997B9C"/>
    <w:rsid w:val="00997BDF"/>
    <w:rsid w:val="00997DB2"/>
    <w:rsid w:val="00997ED6"/>
    <w:rsid w:val="00997F6A"/>
    <w:rsid w:val="00997F99"/>
    <w:rsid w:val="00997FEC"/>
    <w:rsid w:val="009A01F2"/>
    <w:rsid w:val="009A02C4"/>
    <w:rsid w:val="009A035B"/>
    <w:rsid w:val="009A03D2"/>
    <w:rsid w:val="009A05BA"/>
    <w:rsid w:val="009A0641"/>
    <w:rsid w:val="009A068E"/>
    <w:rsid w:val="009A06A8"/>
    <w:rsid w:val="009A0A75"/>
    <w:rsid w:val="009A0CA4"/>
    <w:rsid w:val="009A0ED4"/>
    <w:rsid w:val="009A0F14"/>
    <w:rsid w:val="009A0F48"/>
    <w:rsid w:val="009A1147"/>
    <w:rsid w:val="009A12D7"/>
    <w:rsid w:val="009A13A7"/>
    <w:rsid w:val="009A14D9"/>
    <w:rsid w:val="009A1553"/>
    <w:rsid w:val="009A15DD"/>
    <w:rsid w:val="009A1649"/>
    <w:rsid w:val="009A173D"/>
    <w:rsid w:val="009A1793"/>
    <w:rsid w:val="009A1940"/>
    <w:rsid w:val="009A19B7"/>
    <w:rsid w:val="009A19DD"/>
    <w:rsid w:val="009A1B1E"/>
    <w:rsid w:val="009A1C36"/>
    <w:rsid w:val="009A1F8B"/>
    <w:rsid w:val="009A1FB8"/>
    <w:rsid w:val="009A2256"/>
    <w:rsid w:val="009A23DE"/>
    <w:rsid w:val="009A2454"/>
    <w:rsid w:val="009A24C6"/>
    <w:rsid w:val="009A2673"/>
    <w:rsid w:val="009A26D8"/>
    <w:rsid w:val="009A2706"/>
    <w:rsid w:val="009A2721"/>
    <w:rsid w:val="009A277F"/>
    <w:rsid w:val="009A2894"/>
    <w:rsid w:val="009A2898"/>
    <w:rsid w:val="009A289D"/>
    <w:rsid w:val="009A291A"/>
    <w:rsid w:val="009A292A"/>
    <w:rsid w:val="009A2951"/>
    <w:rsid w:val="009A2B00"/>
    <w:rsid w:val="009A2B64"/>
    <w:rsid w:val="009A2BEC"/>
    <w:rsid w:val="009A2C7A"/>
    <w:rsid w:val="009A2C83"/>
    <w:rsid w:val="009A2CD1"/>
    <w:rsid w:val="009A2CE0"/>
    <w:rsid w:val="009A2D4A"/>
    <w:rsid w:val="009A2D7E"/>
    <w:rsid w:val="009A2D83"/>
    <w:rsid w:val="009A2DEB"/>
    <w:rsid w:val="009A2F17"/>
    <w:rsid w:val="009A31CB"/>
    <w:rsid w:val="009A35CF"/>
    <w:rsid w:val="009A36CA"/>
    <w:rsid w:val="009A37EC"/>
    <w:rsid w:val="009A37FA"/>
    <w:rsid w:val="009A3833"/>
    <w:rsid w:val="009A39F5"/>
    <w:rsid w:val="009A3A18"/>
    <w:rsid w:val="009A3A90"/>
    <w:rsid w:val="009A3AE8"/>
    <w:rsid w:val="009A3BBC"/>
    <w:rsid w:val="009A3C2B"/>
    <w:rsid w:val="009A3E05"/>
    <w:rsid w:val="009A3E70"/>
    <w:rsid w:val="009A4064"/>
    <w:rsid w:val="009A4070"/>
    <w:rsid w:val="009A411B"/>
    <w:rsid w:val="009A41A6"/>
    <w:rsid w:val="009A432A"/>
    <w:rsid w:val="009A43A2"/>
    <w:rsid w:val="009A43C7"/>
    <w:rsid w:val="009A44A1"/>
    <w:rsid w:val="009A451D"/>
    <w:rsid w:val="009A4575"/>
    <w:rsid w:val="009A49E1"/>
    <w:rsid w:val="009A4BAE"/>
    <w:rsid w:val="009A4C81"/>
    <w:rsid w:val="009A4CD4"/>
    <w:rsid w:val="009A4D33"/>
    <w:rsid w:val="009A4D6D"/>
    <w:rsid w:val="009A4FB1"/>
    <w:rsid w:val="009A5045"/>
    <w:rsid w:val="009A51E1"/>
    <w:rsid w:val="009A525C"/>
    <w:rsid w:val="009A533B"/>
    <w:rsid w:val="009A5541"/>
    <w:rsid w:val="009A55C8"/>
    <w:rsid w:val="009A5812"/>
    <w:rsid w:val="009A58BB"/>
    <w:rsid w:val="009A5924"/>
    <w:rsid w:val="009A5996"/>
    <w:rsid w:val="009A5C33"/>
    <w:rsid w:val="009A5C7A"/>
    <w:rsid w:val="009A5DFE"/>
    <w:rsid w:val="009A5EA6"/>
    <w:rsid w:val="009A6036"/>
    <w:rsid w:val="009A6318"/>
    <w:rsid w:val="009A63FB"/>
    <w:rsid w:val="009A64A6"/>
    <w:rsid w:val="009A6606"/>
    <w:rsid w:val="009A69EB"/>
    <w:rsid w:val="009A69FD"/>
    <w:rsid w:val="009A6AAE"/>
    <w:rsid w:val="009A6B9D"/>
    <w:rsid w:val="009A6C44"/>
    <w:rsid w:val="009A6E62"/>
    <w:rsid w:val="009A6E91"/>
    <w:rsid w:val="009A6EE2"/>
    <w:rsid w:val="009A6F8A"/>
    <w:rsid w:val="009A72BF"/>
    <w:rsid w:val="009A73A6"/>
    <w:rsid w:val="009A73EE"/>
    <w:rsid w:val="009A7443"/>
    <w:rsid w:val="009A7491"/>
    <w:rsid w:val="009A75D1"/>
    <w:rsid w:val="009A76A0"/>
    <w:rsid w:val="009A76C0"/>
    <w:rsid w:val="009A76C4"/>
    <w:rsid w:val="009A77D1"/>
    <w:rsid w:val="009A78B0"/>
    <w:rsid w:val="009A796B"/>
    <w:rsid w:val="009A79F2"/>
    <w:rsid w:val="009A7BF9"/>
    <w:rsid w:val="009A7CBE"/>
    <w:rsid w:val="009A7D78"/>
    <w:rsid w:val="009A7E04"/>
    <w:rsid w:val="009A7F01"/>
    <w:rsid w:val="009B00E9"/>
    <w:rsid w:val="009B00FA"/>
    <w:rsid w:val="009B01A6"/>
    <w:rsid w:val="009B0207"/>
    <w:rsid w:val="009B0295"/>
    <w:rsid w:val="009B02D3"/>
    <w:rsid w:val="009B02F6"/>
    <w:rsid w:val="009B0350"/>
    <w:rsid w:val="009B044A"/>
    <w:rsid w:val="009B04E9"/>
    <w:rsid w:val="009B069A"/>
    <w:rsid w:val="009B09DD"/>
    <w:rsid w:val="009B0B24"/>
    <w:rsid w:val="009B0C0F"/>
    <w:rsid w:val="009B0CAC"/>
    <w:rsid w:val="009B0D2C"/>
    <w:rsid w:val="009B0D68"/>
    <w:rsid w:val="009B0DE7"/>
    <w:rsid w:val="009B12A7"/>
    <w:rsid w:val="009B1460"/>
    <w:rsid w:val="009B156F"/>
    <w:rsid w:val="009B1824"/>
    <w:rsid w:val="009B18C3"/>
    <w:rsid w:val="009B190F"/>
    <w:rsid w:val="009B1A1A"/>
    <w:rsid w:val="009B1AA0"/>
    <w:rsid w:val="009B1B56"/>
    <w:rsid w:val="009B1BA4"/>
    <w:rsid w:val="009B1C2C"/>
    <w:rsid w:val="009B1D07"/>
    <w:rsid w:val="009B1D9E"/>
    <w:rsid w:val="009B1F0F"/>
    <w:rsid w:val="009B1FB5"/>
    <w:rsid w:val="009B20DB"/>
    <w:rsid w:val="009B2125"/>
    <w:rsid w:val="009B21BA"/>
    <w:rsid w:val="009B220D"/>
    <w:rsid w:val="009B237D"/>
    <w:rsid w:val="009B2510"/>
    <w:rsid w:val="009B25CE"/>
    <w:rsid w:val="009B26AB"/>
    <w:rsid w:val="009B276D"/>
    <w:rsid w:val="009B286C"/>
    <w:rsid w:val="009B2D8D"/>
    <w:rsid w:val="009B2DFC"/>
    <w:rsid w:val="009B3471"/>
    <w:rsid w:val="009B3507"/>
    <w:rsid w:val="009B36B2"/>
    <w:rsid w:val="009B36C9"/>
    <w:rsid w:val="009B36F0"/>
    <w:rsid w:val="009B39C5"/>
    <w:rsid w:val="009B3AC9"/>
    <w:rsid w:val="009B3BA4"/>
    <w:rsid w:val="009B3C48"/>
    <w:rsid w:val="009B3C4D"/>
    <w:rsid w:val="009B3FF1"/>
    <w:rsid w:val="009B4056"/>
    <w:rsid w:val="009B43E6"/>
    <w:rsid w:val="009B455B"/>
    <w:rsid w:val="009B47C5"/>
    <w:rsid w:val="009B47CA"/>
    <w:rsid w:val="009B491C"/>
    <w:rsid w:val="009B49CE"/>
    <w:rsid w:val="009B4B42"/>
    <w:rsid w:val="009B4B75"/>
    <w:rsid w:val="009B4B85"/>
    <w:rsid w:val="009B4C1E"/>
    <w:rsid w:val="009B4D98"/>
    <w:rsid w:val="009B4F4E"/>
    <w:rsid w:val="009B4F8A"/>
    <w:rsid w:val="009B5144"/>
    <w:rsid w:val="009B526F"/>
    <w:rsid w:val="009B535B"/>
    <w:rsid w:val="009B53E7"/>
    <w:rsid w:val="009B5491"/>
    <w:rsid w:val="009B5746"/>
    <w:rsid w:val="009B58B2"/>
    <w:rsid w:val="009B59C0"/>
    <w:rsid w:val="009B59C1"/>
    <w:rsid w:val="009B5D39"/>
    <w:rsid w:val="009B5F5E"/>
    <w:rsid w:val="009B6576"/>
    <w:rsid w:val="009B65C8"/>
    <w:rsid w:val="009B661E"/>
    <w:rsid w:val="009B678B"/>
    <w:rsid w:val="009B67C1"/>
    <w:rsid w:val="009B6889"/>
    <w:rsid w:val="009B6A5E"/>
    <w:rsid w:val="009B6A89"/>
    <w:rsid w:val="009B6AC3"/>
    <w:rsid w:val="009B6B09"/>
    <w:rsid w:val="009B6BF9"/>
    <w:rsid w:val="009B6C53"/>
    <w:rsid w:val="009B6D87"/>
    <w:rsid w:val="009B6DB2"/>
    <w:rsid w:val="009B6E1A"/>
    <w:rsid w:val="009B6E4D"/>
    <w:rsid w:val="009B6EA0"/>
    <w:rsid w:val="009B7282"/>
    <w:rsid w:val="009B73CD"/>
    <w:rsid w:val="009B7496"/>
    <w:rsid w:val="009B74E0"/>
    <w:rsid w:val="009B791B"/>
    <w:rsid w:val="009B7AC6"/>
    <w:rsid w:val="009B7DA2"/>
    <w:rsid w:val="009B7DB1"/>
    <w:rsid w:val="009B7ECA"/>
    <w:rsid w:val="009B7F1C"/>
    <w:rsid w:val="009B7F97"/>
    <w:rsid w:val="009C0109"/>
    <w:rsid w:val="009C019A"/>
    <w:rsid w:val="009C01E9"/>
    <w:rsid w:val="009C027B"/>
    <w:rsid w:val="009C038C"/>
    <w:rsid w:val="009C03BA"/>
    <w:rsid w:val="009C0707"/>
    <w:rsid w:val="009C0A2E"/>
    <w:rsid w:val="009C0AAC"/>
    <w:rsid w:val="009C0B3F"/>
    <w:rsid w:val="009C0B81"/>
    <w:rsid w:val="009C0E16"/>
    <w:rsid w:val="009C1048"/>
    <w:rsid w:val="009C1059"/>
    <w:rsid w:val="009C1174"/>
    <w:rsid w:val="009C11C2"/>
    <w:rsid w:val="009C11FF"/>
    <w:rsid w:val="009C13BB"/>
    <w:rsid w:val="009C144A"/>
    <w:rsid w:val="009C14F3"/>
    <w:rsid w:val="009C17D4"/>
    <w:rsid w:val="009C19BC"/>
    <w:rsid w:val="009C1A66"/>
    <w:rsid w:val="009C1B1E"/>
    <w:rsid w:val="009C1B7C"/>
    <w:rsid w:val="009C1BAE"/>
    <w:rsid w:val="009C1C2C"/>
    <w:rsid w:val="009C1F4C"/>
    <w:rsid w:val="009C1FD5"/>
    <w:rsid w:val="009C21CA"/>
    <w:rsid w:val="009C2348"/>
    <w:rsid w:val="009C2391"/>
    <w:rsid w:val="009C260E"/>
    <w:rsid w:val="009C26DB"/>
    <w:rsid w:val="009C26FE"/>
    <w:rsid w:val="009C287E"/>
    <w:rsid w:val="009C2A03"/>
    <w:rsid w:val="009C2B42"/>
    <w:rsid w:val="009C2BA0"/>
    <w:rsid w:val="009C2C0A"/>
    <w:rsid w:val="009C2C18"/>
    <w:rsid w:val="009C2C1B"/>
    <w:rsid w:val="009C31B2"/>
    <w:rsid w:val="009C3205"/>
    <w:rsid w:val="009C3299"/>
    <w:rsid w:val="009C36FD"/>
    <w:rsid w:val="009C3701"/>
    <w:rsid w:val="009C370D"/>
    <w:rsid w:val="009C3984"/>
    <w:rsid w:val="009C3A0B"/>
    <w:rsid w:val="009C3CAA"/>
    <w:rsid w:val="009C4236"/>
    <w:rsid w:val="009C429F"/>
    <w:rsid w:val="009C42BB"/>
    <w:rsid w:val="009C4528"/>
    <w:rsid w:val="009C45F5"/>
    <w:rsid w:val="009C4818"/>
    <w:rsid w:val="009C4869"/>
    <w:rsid w:val="009C4895"/>
    <w:rsid w:val="009C489E"/>
    <w:rsid w:val="009C490E"/>
    <w:rsid w:val="009C4A40"/>
    <w:rsid w:val="009C4AC8"/>
    <w:rsid w:val="009C4C2B"/>
    <w:rsid w:val="009C4ED4"/>
    <w:rsid w:val="009C501F"/>
    <w:rsid w:val="009C51C3"/>
    <w:rsid w:val="009C5247"/>
    <w:rsid w:val="009C53F1"/>
    <w:rsid w:val="009C5641"/>
    <w:rsid w:val="009C57C1"/>
    <w:rsid w:val="009C57E0"/>
    <w:rsid w:val="009C580E"/>
    <w:rsid w:val="009C58ED"/>
    <w:rsid w:val="009C5A7A"/>
    <w:rsid w:val="009C5B56"/>
    <w:rsid w:val="009C5B5A"/>
    <w:rsid w:val="009C5B9B"/>
    <w:rsid w:val="009C5CA6"/>
    <w:rsid w:val="009C5D2E"/>
    <w:rsid w:val="009C5F5B"/>
    <w:rsid w:val="009C6023"/>
    <w:rsid w:val="009C6035"/>
    <w:rsid w:val="009C6041"/>
    <w:rsid w:val="009C606A"/>
    <w:rsid w:val="009C6075"/>
    <w:rsid w:val="009C61EC"/>
    <w:rsid w:val="009C625B"/>
    <w:rsid w:val="009C643B"/>
    <w:rsid w:val="009C646F"/>
    <w:rsid w:val="009C652E"/>
    <w:rsid w:val="009C656F"/>
    <w:rsid w:val="009C6720"/>
    <w:rsid w:val="009C6833"/>
    <w:rsid w:val="009C68E2"/>
    <w:rsid w:val="009C6B26"/>
    <w:rsid w:val="009C6B82"/>
    <w:rsid w:val="009C6BE8"/>
    <w:rsid w:val="009C6DFA"/>
    <w:rsid w:val="009C6FA9"/>
    <w:rsid w:val="009C71FC"/>
    <w:rsid w:val="009C72F1"/>
    <w:rsid w:val="009C736B"/>
    <w:rsid w:val="009C74BE"/>
    <w:rsid w:val="009C7564"/>
    <w:rsid w:val="009C758D"/>
    <w:rsid w:val="009C7826"/>
    <w:rsid w:val="009C7835"/>
    <w:rsid w:val="009C7C21"/>
    <w:rsid w:val="009C7C9D"/>
    <w:rsid w:val="009C7DBA"/>
    <w:rsid w:val="009C7DFF"/>
    <w:rsid w:val="009C7F54"/>
    <w:rsid w:val="009D02C2"/>
    <w:rsid w:val="009D0322"/>
    <w:rsid w:val="009D03BD"/>
    <w:rsid w:val="009D04B7"/>
    <w:rsid w:val="009D0760"/>
    <w:rsid w:val="009D07CA"/>
    <w:rsid w:val="009D0806"/>
    <w:rsid w:val="009D080B"/>
    <w:rsid w:val="009D0AD9"/>
    <w:rsid w:val="009D0C7B"/>
    <w:rsid w:val="009D0D46"/>
    <w:rsid w:val="009D0DB6"/>
    <w:rsid w:val="009D0E10"/>
    <w:rsid w:val="009D0EB6"/>
    <w:rsid w:val="009D0F9E"/>
    <w:rsid w:val="009D139D"/>
    <w:rsid w:val="009D1656"/>
    <w:rsid w:val="009D1748"/>
    <w:rsid w:val="009D19F4"/>
    <w:rsid w:val="009D1B5C"/>
    <w:rsid w:val="009D1E15"/>
    <w:rsid w:val="009D1F28"/>
    <w:rsid w:val="009D1F43"/>
    <w:rsid w:val="009D1FA9"/>
    <w:rsid w:val="009D21AA"/>
    <w:rsid w:val="009D230A"/>
    <w:rsid w:val="009D235C"/>
    <w:rsid w:val="009D23C2"/>
    <w:rsid w:val="009D24F5"/>
    <w:rsid w:val="009D276F"/>
    <w:rsid w:val="009D279E"/>
    <w:rsid w:val="009D282F"/>
    <w:rsid w:val="009D2863"/>
    <w:rsid w:val="009D2872"/>
    <w:rsid w:val="009D2D1D"/>
    <w:rsid w:val="009D3241"/>
    <w:rsid w:val="009D32C9"/>
    <w:rsid w:val="009D347C"/>
    <w:rsid w:val="009D3488"/>
    <w:rsid w:val="009D34BB"/>
    <w:rsid w:val="009D34C7"/>
    <w:rsid w:val="009D352D"/>
    <w:rsid w:val="009D3598"/>
    <w:rsid w:val="009D36CA"/>
    <w:rsid w:val="009D37B5"/>
    <w:rsid w:val="009D3840"/>
    <w:rsid w:val="009D3891"/>
    <w:rsid w:val="009D3CEC"/>
    <w:rsid w:val="009D3E31"/>
    <w:rsid w:val="009D40DB"/>
    <w:rsid w:val="009D40F8"/>
    <w:rsid w:val="009D417C"/>
    <w:rsid w:val="009D420B"/>
    <w:rsid w:val="009D43DD"/>
    <w:rsid w:val="009D4506"/>
    <w:rsid w:val="009D4566"/>
    <w:rsid w:val="009D45B8"/>
    <w:rsid w:val="009D47C2"/>
    <w:rsid w:val="009D4C31"/>
    <w:rsid w:val="009D4CFB"/>
    <w:rsid w:val="009D4D1B"/>
    <w:rsid w:val="009D4F48"/>
    <w:rsid w:val="009D5195"/>
    <w:rsid w:val="009D5243"/>
    <w:rsid w:val="009D526B"/>
    <w:rsid w:val="009D527A"/>
    <w:rsid w:val="009D52BE"/>
    <w:rsid w:val="009D52D9"/>
    <w:rsid w:val="009D569F"/>
    <w:rsid w:val="009D571A"/>
    <w:rsid w:val="009D575A"/>
    <w:rsid w:val="009D57B6"/>
    <w:rsid w:val="009D5890"/>
    <w:rsid w:val="009D58E1"/>
    <w:rsid w:val="009D597A"/>
    <w:rsid w:val="009D5B3B"/>
    <w:rsid w:val="009D5B6C"/>
    <w:rsid w:val="009D5B9C"/>
    <w:rsid w:val="009D5E1F"/>
    <w:rsid w:val="009D5E5B"/>
    <w:rsid w:val="009D5EEA"/>
    <w:rsid w:val="009D602A"/>
    <w:rsid w:val="009D62A8"/>
    <w:rsid w:val="009D6442"/>
    <w:rsid w:val="009D6697"/>
    <w:rsid w:val="009D66B9"/>
    <w:rsid w:val="009D67CD"/>
    <w:rsid w:val="009D68E9"/>
    <w:rsid w:val="009D6A56"/>
    <w:rsid w:val="009D6BC5"/>
    <w:rsid w:val="009D6C8D"/>
    <w:rsid w:val="009D6D10"/>
    <w:rsid w:val="009D6E0A"/>
    <w:rsid w:val="009D6E23"/>
    <w:rsid w:val="009D6E5B"/>
    <w:rsid w:val="009D6F0A"/>
    <w:rsid w:val="009D6FFD"/>
    <w:rsid w:val="009D7055"/>
    <w:rsid w:val="009D70DA"/>
    <w:rsid w:val="009D71C3"/>
    <w:rsid w:val="009D7222"/>
    <w:rsid w:val="009D722A"/>
    <w:rsid w:val="009D7295"/>
    <w:rsid w:val="009D7373"/>
    <w:rsid w:val="009D745B"/>
    <w:rsid w:val="009D7817"/>
    <w:rsid w:val="009D7A04"/>
    <w:rsid w:val="009D7A16"/>
    <w:rsid w:val="009D7BCC"/>
    <w:rsid w:val="009D7C21"/>
    <w:rsid w:val="009D7D4B"/>
    <w:rsid w:val="009E00C5"/>
    <w:rsid w:val="009E0104"/>
    <w:rsid w:val="009E0202"/>
    <w:rsid w:val="009E0220"/>
    <w:rsid w:val="009E02BB"/>
    <w:rsid w:val="009E0337"/>
    <w:rsid w:val="009E05FA"/>
    <w:rsid w:val="009E05FF"/>
    <w:rsid w:val="009E0639"/>
    <w:rsid w:val="009E071A"/>
    <w:rsid w:val="009E0792"/>
    <w:rsid w:val="009E0834"/>
    <w:rsid w:val="009E08DF"/>
    <w:rsid w:val="009E09B6"/>
    <w:rsid w:val="009E0A17"/>
    <w:rsid w:val="009E0AAD"/>
    <w:rsid w:val="009E0CAE"/>
    <w:rsid w:val="009E0D95"/>
    <w:rsid w:val="009E0DFC"/>
    <w:rsid w:val="009E0F4E"/>
    <w:rsid w:val="009E13B4"/>
    <w:rsid w:val="009E14B1"/>
    <w:rsid w:val="009E15DE"/>
    <w:rsid w:val="009E1626"/>
    <w:rsid w:val="009E1677"/>
    <w:rsid w:val="009E1734"/>
    <w:rsid w:val="009E17CA"/>
    <w:rsid w:val="009E195E"/>
    <w:rsid w:val="009E197F"/>
    <w:rsid w:val="009E19A3"/>
    <w:rsid w:val="009E1E68"/>
    <w:rsid w:val="009E1F84"/>
    <w:rsid w:val="009E204D"/>
    <w:rsid w:val="009E2147"/>
    <w:rsid w:val="009E23A9"/>
    <w:rsid w:val="009E23B3"/>
    <w:rsid w:val="009E240A"/>
    <w:rsid w:val="009E245F"/>
    <w:rsid w:val="009E2498"/>
    <w:rsid w:val="009E24DF"/>
    <w:rsid w:val="009E26B1"/>
    <w:rsid w:val="009E2785"/>
    <w:rsid w:val="009E279E"/>
    <w:rsid w:val="009E27A0"/>
    <w:rsid w:val="009E287F"/>
    <w:rsid w:val="009E292F"/>
    <w:rsid w:val="009E2AD1"/>
    <w:rsid w:val="009E2BF5"/>
    <w:rsid w:val="009E2BF7"/>
    <w:rsid w:val="009E2D42"/>
    <w:rsid w:val="009E2DC5"/>
    <w:rsid w:val="009E2E1C"/>
    <w:rsid w:val="009E2F42"/>
    <w:rsid w:val="009E2FAF"/>
    <w:rsid w:val="009E304D"/>
    <w:rsid w:val="009E308F"/>
    <w:rsid w:val="009E30AA"/>
    <w:rsid w:val="009E31DB"/>
    <w:rsid w:val="009E339B"/>
    <w:rsid w:val="009E34B4"/>
    <w:rsid w:val="009E3A32"/>
    <w:rsid w:val="009E3A7D"/>
    <w:rsid w:val="009E3BB8"/>
    <w:rsid w:val="009E3C5D"/>
    <w:rsid w:val="009E3D45"/>
    <w:rsid w:val="009E3E35"/>
    <w:rsid w:val="009E3F80"/>
    <w:rsid w:val="009E4135"/>
    <w:rsid w:val="009E427E"/>
    <w:rsid w:val="009E431F"/>
    <w:rsid w:val="009E44B1"/>
    <w:rsid w:val="009E4504"/>
    <w:rsid w:val="009E45B7"/>
    <w:rsid w:val="009E462E"/>
    <w:rsid w:val="009E4719"/>
    <w:rsid w:val="009E478C"/>
    <w:rsid w:val="009E4796"/>
    <w:rsid w:val="009E48AA"/>
    <w:rsid w:val="009E48D7"/>
    <w:rsid w:val="009E4A5D"/>
    <w:rsid w:val="009E4BA8"/>
    <w:rsid w:val="009E4DC0"/>
    <w:rsid w:val="009E511B"/>
    <w:rsid w:val="009E5142"/>
    <w:rsid w:val="009E51E1"/>
    <w:rsid w:val="009E53DB"/>
    <w:rsid w:val="009E5482"/>
    <w:rsid w:val="009E55DE"/>
    <w:rsid w:val="009E56FB"/>
    <w:rsid w:val="009E5839"/>
    <w:rsid w:val="009E5947"/>
    <w:rsid w:val="009E5BC8"/>
    <w:rsid w:val="009E5BCE"/>
    <w:rsid w:val="009E5CD3"/>
    <w:rsid w:val="009E5E2D"/>
    <w:rsid w:val="009E5EB4"/>
    <w:rsid w:val="009E5FD8"/>
    <w:rsid w:val="009E609A"/>
    <w:rsid w:val="009E60B7"/>
    <w:rsid w:val="009E61A8"/>
    <w:rsid w:val="009E6221"/>
    <w:rsid w:val="009E6336"/>
    <w:rsid w:val="009E64E6"/>
    <w:rsid w:val="009E6588"/>
    <w:rsid w:val="009E664E"/>
    <w:rsid w:val="009E66EF"/>
    <w:rsid w:val="009E6742"/>
    <w:rsid w:val="009E67AA"/>
    <w:rsid w:val="009E6876"/>
    <w:rsid w:val="009E68E9"/>
    <w:rsid w:val="009E6940"/>
    <w:rsid w:val="009E6972"/>
    <w:rsid w:val="009E69DD"/>
    <w:rsid w:val="009E6A29"/>
    <w:rsid w:val="009E6A3D"/>
    <w:rsid w:val="009E6BB2"/>
    <w:rsid w:val="009E6CC4"/>
    <w:rsid w:val="009E6F1D"/>
    <w:rsid w:val="009E6FD9"/>
    <w:rsid w:val="009E6FDA"/>
    <w:rsid w:val="009E6FF3"/>
    <w:rsid w:val="009E70DC"/>
    <w:rsid w:val="009E7177"/>
    <w:rsid w:val="009E7227"/>
    <w:rsid w:val="009E724E"/>
    <w:rsid w:val="009E743B"/>
    <w:rsid w:val="009E7505"/>
    <w:rsid w:val="009E768C"/>
    <w:rsid w:val="009E76C2"/>
    <w:rsid w:val="009E76FD"/>
    <w:rsid w:val="009E772B"/>
    <w:rsid w:val="009E7A5B"/>
    <w:rsid w:val="009E7D71"/>
    <w:rsid w:val="009E7E4D"/>
    <w:rsid w:val="009E7FD5"/>
    <w:rsid w:val="009F01FF"/>
    <w:rsid w:val="009F0789"/>
    <w:rsid w:val="009F0894"/>
    <w:rsid w:val="009F0934"/>
    <w:rsid w:val="009F0979"/>
    <w:rsid w:val="009F0980"/>
    <w:rsid w:val="009F0A6F"/>
    <w:rsid w:val="009F0B21"/>
    <w:rsid w:val="009F0B6F"/>
    <w:rsid w:val="009F0C2E"/>
    <w:rsid w:val="009F0C52"/>
    <w:rsid w:val="009F0CDD"/>
    <w:rsid w:val="009F0D9B"/>
    <w:rsid w:val="009F0E42"/>
    <w:rsid w:val="009F0EB1"/>
    <w:rsid w:val="009F109F"/>
    <w:rsid w:val="009F1310"/>
    <w:rsid w:val="009F1352"/>
    <w:rsid w:val="009F13C5"/>
    <w:rsid w:val="009F13CC"/>
    <w:rsid w:val="009F14C0"/>
    <w:rsid w:val="009F1651"/>
    <w:rsid w:val="009F1679"/>
    <w:rsid w:val="009F16DA"/>
    <w:rsid w:val="009F173D"/>
    <w:rsid w:val="009F179F"/>
    <w:rsid w:val="009F1BF5"/>
    <w:rsid w:val="009F1D21"/>
    <w:rsid w:val="009F20B6"/>
    <w:rsid w:val="009F20D8"/>
    <w:rsid w:val="009F2249"/>
    <w:rsid w:val="009F2292"/>
    <w:rsid w:val="009F2544"/>
    <w:rsid w:val="009F2630"/>
    <w:rsid w:val="009F272F"/>
    <w:rsid w:val="009F2730"/>
    <w:rsid w:val="009F27C0"/>
    <w:rsid w:val="009F2825"/>
    <w:rsid w:val="009F2A97"/>
    <w:rsid w:val="009F2AA4"/>
    <w:rsid w:val="009F2E58"/>
    <w:rsid w:val="009F2F2E"/>
    <w:rsid w:val="009F328E"/>
    <w:rsid w:val="009F32CF"/>
    <w:rsid w:val="009F32EC"/>
    <w:rsid w:val="009F337E"/>
    <w:rsid w:val="009F349A"/>
    <w:rsid w:val="009F385C"/>
    <w:rsid w:val="009F3910"/>
    <w:rsid w:val="009F3B4F"/>
    <w:rsid w:val="009F3B9F"/>
    <w:rsid w:val="009F3C89"/>
    <w:rsid w:val="009F3D6F"/>
    <w:rsid w:val="009F3DF8"/>
    <w:rsid w:val="009F3EF2"/>
    <w:rsid w:val="009F3F33"/>
    <w:rsid w:val="009F3F6B"/>
    <w:rsid w:val="009F3FF9"/>
    <w:rsid w:val="009F4007"/>
    <w:rsid w:val="009F4193"/>
    <w:rsid w:val="009F4259"/>
    <w:rsid w:val="009F4515"/>
    <w:rsid w:val="009F459E"/>
    <w:rsid w:val="009F460C"/>
    <w:rsid w:val="009F4612"/>
    <w:rsid w:val="009F4794"/>
    <w:rsid w:val="009F4877"/>
    <w:rsid w:val="009F4893"/>
    <w:rsid w:val="009F4918"/>
    <w:rsid w:val="009F49A8"/>
    <w:rsid w:val="009F49BB"/>
    <w:rsid w:val="009F4A16"/>
    <w:rsid w:val="009F4BA8"/>
    <w:rsid w:val="009F4BDA"/>
    <w:rsid w:val="009F4BE6"/>
    <w:rsid w:val="009F4D1A"/>
    <w:rsid w:val="009F4D33"/>
    <w:rsid w:val="009F4D94"/>
    <w:rsid w:val="009F4E6B"/>
    <w:rsid w:val="009F5091"/>
    <w:rsid w:val="009F50A0"/>
    <w:rsid w:val="009F510A"/>
    <w:rsid w:val="009F528B"/>
    <w:rsid w:val="009F53C0"/>
    <w:rsid w:val="009F5403"/>
    <w:rsid w:val="009F547A"/>
    <w:rsid w:val="009F5552"/>
    <w:rsid w:val="009F5590"/>
    <w:rsid w:val="009F5817"/>
    <w:rsid w:val="009F5ACC"/>
    <w:rsid w:val="009F5C13"/>
    <w:rsid w:val="009F5E0C"/>
    <w:rsid w:val="009F5E3B"/>
    <w:rsid w:val="009F5E44"/>
    <w:rsid w:val="009F5E5F"/>
    <w:rsid w:val="009F5E6B"/>
    <w:rsid w:val="009F5E92"/>
    <w:rsid w:val="009F5EE2"/>
    <w:rsid w:val="009F5EEF"/>
    <w:rsid w:val="009F60C2"/>
    <w:rsid w:val="009F61A3"/>
    <w:rsid w:val="009F61E2"/>
    <w:rsid w:val="009F61FC"/>
    <w:rsid w:val="009F6CFC"/>
    <w:rsid w:val="009F6D03"/>
    <w:rsid w:val="009F6E5E"/>
    <w:rsid w:val="009F6F99"/>
    <w:rsid w:val="009F6FC0"/>
    <w:rsid w:val="009F6FDE"/>
    <w:rsid w:val="009F72DC"/>
    <w:rsid w:val="009F72E4"/>
    <w:rsid w:val="009F7370"/>
    <w:rsid w:val="009F744D"/>
    <w:rsid w:val="009F7498"/>
    <w:rsid w:val="009F7568"/>
    <w:rsid w:val="009F7777"/>
    <w:rsid w:val="009F777E"/>
    <w:rsid w:val="009F7899"/>
    <w:rsid w:val="009F7942"/>
    <w:rsid w:val="009F795D"/>
    <w:rsid w:val="009F7A46"/>
    <w:rsid w:val="009F7B4F"/>
    <w:rsid w:val="009F7C3B"/>
    <w:rsid w:val="009F7D37"/>
    <w:rsid w:val="009F7F02"/>
    <w:rsid w:val="00A0009C"/>
    <w:rsid w:val="00A00162"/>
    <w:rsid w:val="00A001BA"/>
    <w:rsid w:val="00A0020A"/>
    <w:rsid w:val="00A002DA"/>
    <w:rsid w:val="00A003A5"/>
    <w:rsid w:val="00A0048A"/>
    <w:rsid w:val="00A00779"/>
    <w:rsid w:val="00A0092C"/>
    <w:rsid w:val="00A009D2"/>
    <w:rsid w:val="00A00A6B"/>
    <w:rsid w:val="00A00BEE"/>
    <w:rsid w:val="00A00D56"/>
    <w:rsid w:val="00A00EC6"/>
    <w:rsid w:val="00A010C5"/>
    <w:rsid w:val="00A01246"/>
    <w:rsid w:val="00A012BD"/>
    <w:rsid w:val="00A01319"/>
    <w:rsid w:val="00A0136C"/>
    <w:rsid w:val="00A0137F"/>
    <w:rsid w:val="00A013A4"/>
    <w:rsid w:val="00A0148B"/>
    <w:rsid w:val="00A01501"/>
    <w:rsid w:val="00A01563"/>
    <w:rsid w:val="00A01588"/>
    <w:rsid w:val="00A015C3"/>
    <w:rsid w:val="00A01660"/>
    <w:rsid w:val="00A016D4"/>
    <w:rsid w:val="00A017BA"/>
    <w:rsid w:val="00A01929"/>
    <w:rsid w:val="00A01AA1"/>
    <w:rsid w:val="00A01AEC"/>
    <w:rsid w:val="00A01B8D"/>
    <w:rsid w:val="00A01E63"/>
    <w:rsid w:val="00A01E67"/>
    <w:rsid w:val="00A01E95"/>
    <w:rsid w:val="00A01EC4"/>
    <w:rsid w:val="00A01FC0"/>
    <w:rsid w:val="00A021BA"/>
    <w:rsid w:val="00A022D6"/>
    <w:rsid w:val="00A02438"/>
    <w:rsid w:val="00A02722"/>
    <w:rsid w:val="00A028B6"/>
    <w:rsid w:val="00A02A18"/>
    <w:rsid w:val="00A02A56"/>
    <w:rsid w:val="00A02BBF"/>
    <w:rsid w:val="00A02D3F"/>
    <w:rsid w:val="00A02D78"/>
    <w:rsid w:val="00A02DE1"/>
    <w:rsid w:val="00A02F27"/>
    <w:rsid w:val="00A03139"/>
    <w:rsid w:val="00A03307"/>
    <w:rsid w:val="00A03409"/>
    <w:rsid w:val="00A03410"/>
    <w:rsid w:val="00A037ED"/>
    <w:rsid w:val="00A03A0E"/>
    <w:rsid w:val="00A03A93"/>
    <w:rsid w:val="00A03B41"/>
    <w:rsid w:val="00A03C53"/>
    <w:rsid w:val="00A03DAB"/>
    <w:rsid w:val="00A03FA1"/>
    <w:rsid w:val="00A04092"/>
    <w:rsid w:val="00A041E5"/>
    <w:rsid w:val="00A042B0"/>
    <w:rsid w:val="00A042B4"/>
    <w:rsid w:val="00A0445C"/>
    <w:rsid w:val="00A0461D"/>
    <w:rsid w:val="00A04623"/>
    <w:rsid w:val="00A04692"/>
    <w:rsid w:val="00A046B6"/>
    <w:rsid w:val="00A04742"/>
    <w:rsid w:val="00A04782"/>
    <w:rsid w:val="00A047A9"/>
    <w:rsid w:val="00A04874"/>
    <w:rsid w:val="00A04882"/>
    <w:rsid w:val="00A048EF"/>
    <w:rsid w:val="00A04950"/>
    <w:rsid w:val="00A049C6"/>
    <w:rsid w:val="00A04CD9"/>
    <w:rsid w:val="00A04D28"/>
    <w:rsid w:val="00A04D84"/>
    <w:rsid w:val="00A04E75"/>
    <w:rsid w:val="00A04EC7"/>
    <w:rsid w:val="00A04F01"/>
    <w:rsid w:val="00A05115"/>
    <w:rsid w:val="00A0532A"/>
    <w:rsid w:val="00A054E9"/>
    <w:rsid w:val="00A05668"/>
    <w:rsid w:val="00A0581E"/>
    <w:rsid w:val="00A058A9"/>
    <w:rsid w:val="00A058AD"/>
    <w:rsid w:val="00A05D55"/>
    <w:rsid w:val="00A05D57"/>
    <w:rsid w:val="00A05EFF"/>
    <w:rsid w:val="00A05F13"/>
    <w:rsid w:val="00A05F4A"/>
    <w:rsid w:val="00A061A9"/>
    <w:rsid w:val="00A0637D"/>
    <w:rsid w:val="00A06385"/>
    <w:rsid w:val="00A063F8"/>
    <w:rsid w:val="00A06596"/>
    <w:rsid w:val="00A065B0"/>
    <w:rsid w:val="00A0661D"/>
    <w:rsid w:val="00A066F0"/>
    <w:rsid w:val="00A06754"/>
    <w:rsid w:val="00A06779"/>
    <w:rsid w:val="00A06876"/>
    <w:rsid w:val="00A0691D"/>
    <w:rsid w:val="00A06A11"/>
    <w:rsid w:val="00A06B4E"/>
    <w:rsid w:val="00A06BAE"/>
    <w:rsid w:val="00A06C05"/>
    <w:rsid w:val="00A06C2B"/>
    <w:rsid w:val="00A06C85"/>
    <w:rsid w:val="00A06CF9"/>
    <w:rsid w:val="00A06F1A"/>
    <w:rsid w:val="00A0720F"/>
    <w:rsid w:val="00A07538"/>
    <w:rsid w:val="00A0757A"/>
    <w:rsid w:val="00A07649"/>
    <w:rsid w:val="00A076E4"/>
    <w:rsid w:val="00A0771E"/>
    <w:rsid w:val="00A077A1"/>
    <w:rsid w:val="00A077E2"/>
    <w:rsid w:val="00A07B20"/>
    <w:rsid w:val="00A07BC0"/>
    <w:rsid w:val="00A07EA3"/>
    <w:rsid w:val="00A07EAA"/>
    <w:rsid w:val="00A07F5B"/>
    <w:rsid w:val="00A07F79"/>
    <w:rsid w:val="00A101B0"/>
    <w:rsid w:val="00A102A1"/>
    <w:rsid w:val="00A10314"/>
    <w:rsid w:val="00A103FF"/>
    <w:rsid w:val="00A1041C"/>
    <w:rsid w:val="00A104F9"/>
    <w:rsid w:val="00A10503"/>
    <w:rsid w:val="00A10512"/>
    <w:rsid w:val="00A10608"/>
    <w:rsid w:val="00A10747"/>
    <w:rsid w:val="00A107D6"/>
    <w:rsid w:val="00A10810"/>
    <w:rsid w:val="00A10896"/>
    <w:rsid w:val="00A1093F"/>
    <w:rsid w:val="00A1097A"/>
    <w:rsid w:val="00A109AB"/>
    <w:rsid w:val="00A10A2F"/>
    <w:rsid w:val="00A1105C"/>
    <w:rsid w:val="00A110AC"/>
    <w:rsid w:val="00A1111E"/>
    <w:rsid w:val="00A11180"/>
    <w:rsid w:val="00A111C6"/>
    <w:rsid w:val="00A11210"/>
    <w:rsid w:val="00A1134A"/>
    <w:rsid w:val="00A11506"/>
    <w:rsid w:val="00A1153F"/>
    <w:rsid w:val="00A11599"/>
    <w:rsid w:val="00A115B4"/>
    <w:rsid w:val="00A116EA"/>
    <w:rsid w:val="00A117D1"/>
    <w:rsid w:val="00A119FA"/>
    <w:rsid w:val="00A11A84"/>
    <w:rsid w:val="00A11AF5"/>
    <w:rsid w:val="00A11DC9"/>
    <w:rsid w:val="00A11F13"/>
    <w:rsid w:val="00A12020"/>
    <w:rsid w:val="00A1214B"/>
    <w:rsid w:val="00A121F9"/>
    <w:rsid w:val="00A12278"/>
    <w:rsid w:val="00A123D3"/>
    <w:rsid w:val="00A12536"/>
    <w:rsid w:val="00A12813"/>
    <w:rsid w:val="00A128B7"/>
    <w:rsid w:val="00A129C9"/>
    <w:rsid w:val="00A129FA"/>
    <w:rsid w:val="00A12B92"/>
    <w:rsid w:val="00A12BD7"/>
    <w:rsid w:val="00A12C4C"/>
    <w:rsid w:val="00A12C6F"/>
    <w:rsid w:val="00A12EED"/>
    <w:rsid w:val="00A131D0"/>
    <w:rsid w:val="00A133FC"/>
    <w:rsid w:val="00A1344C"/>
    <w:rsid w:val="00A13476"/>
    <w:rsid w:val="00A13564"/>
    <w:rsid w:val="00A1357D"/>
    <w:rsid w:val="00A13664"/>
    <w:rsid w:val="00A1368E"/>
    <w:rsid w:val="00A136B7"/>
    <w:rsid w:val="00A1371C"/>
    <w:rsid w:val="00A13744"/>
    <w:rsid w:val="00A137A5"/>
    <w:rsid w:val="00A13A3F"/>
    <w:rsid w:val="00A13B38"/>
    <w:rsid w:val="00A13DCC"/>
    <w:rsid w:val="00A13E09"/>
    <w:rsid w:val="00A13EE8"/>
    <w:rsid w:val="00A13F05"/>
    <w:rsid w:val="00A1405E"/>
    <w:rsid w:val="00A14453"/>
    <w:rsid w:val="00A144EF"/>
    <w:rsid w:val="00A145A2"/>
    <w:rsid w:val="00A14614"/>
    <w:rsid w:val="00A14664"/>
    <w:rsid w:val="00A147B7"/>
    <w:rsid w:val="00A148CD"/>
    <w:rsid w:val="00A14B86"/>
    <w:rsid w:val="00A14B9A"/>
    <w:rsid w:val="00A14EE2"/>
    <w:rsid w:val="00A1503D"/>
    <w:rsid w:val="00A151DC"/>
    <w:rsid w:val="00A1524C"/>
    <w:rsid w:val="00A153BC"/>
    <w:rsid w:val="00A1541C"/>
    <w:rsid w:val="00A155D5"/>
    <w:rsid w:val="00A15748"/>
    <w:rsid w:val="00A15762"/>
    <w:rsid w:val="00A1576D"/>
    <w:rsid w:val="00A159CE"/>
    <w:rsid w:val="00A15A0C"/>
    <w:rsid w:val="00A15AA1"/>
    <w:rsid w:val="00A15F28"/>
    <w:rsid w:val="00A1601A"/>
    <w:rsid w:val="00A16220"/>
    <w:rsid w:val="00A16362"/>
    <w:rsid w:val="00A16416"/>
    <w:rsid w:val="00A164D2"/>
    <w:rsid w:val="00A16526"/>
    <w:rsid w:val="00A1660D"/>
    <w:rsid w:val="00A1681F"/>
    <w:rsid w:val="00A168D1"/>
    <w:rsid w:val="00A16C78"/>
    <w:rsid w:val="00A16C91"/>
    <w:rsid w:val="00A16DA0"/>
    <w:rsid w:val="00A16DD9"/>
    <w:rsid w:val="00A16EC2"/>
    <w:rsid w:val="00A16EC3"/>
    <w:rsid w:val="00A16F46"/>
    <w:rsid w:val="00A16F8C"/>
    <w:rsid w:val="00A171B0"/>
    <w:rsid w:val="00A172B3"/>
    <w:rsid w:val="00A17341"/>
    <w:rsid w:val="00A175F7"/>
    <w:rsid w:val="00A17880"/>
    <w:rsid w:val="00A1788F"/>
    <w:rsid w:val="00A17B88"/>
    <w:rsid w:val="00A2005B"/>
    <w:rsid w:val="00A20135"/>
    <w:rsid w:val="00A2014F"/>
    <w:rsid w:val="00A201B4"/>
    <w:rsid w:val="00A203C6"/>
    <w:rsid w:val="00A203C7"/>
    <w:rsid w:val="00A20572"/>
    <w:rsid w:val="00A20599"/>
    <w:rsid w:val="00A207A1"/>
    <w:rsid w:val="00A208A7"/>
    <w:rsid w:val="00A208B5"/>
    <w:rsid w:val="00A20A8E"/>
    <w:rsid w:val="00A2104F"/>
    <w:rsid w:val="00A210A2"/>
    <w:rsid w:val="00A21137"/>
    <w:rsid w:val="00A21341"/>
    <w:rsid w:val="00A21579"/>
    <w:rsid w:val="00A215D6"/>
    <w:rsid w:val="00A216D7"/>
    <w:rsid w:val="00A218A3"/>
    <w:rsid w:val="00A21BF9"/>
    <w:rsid w:val="00A21EBF"/>
    <w:rsid w:val="00A21FE1"/>
    <w:rsid w:val="00A22037"/>
    <w:rsid w:val="00A22075"/>
    <w:rsid w:val="00A220D5"/>
    <w:rsid w:val="00A2217C"/>
    <w:rsid w:val="00A2220F"/>
    <w:rsid w:val="00A22443"/>
    <w:rsid w:val="00A22497"/>
    <w:rsid w:val="00A22557"/>
    <w:rsid w:val="00A22776"/>
    <w:rsid w:val="00A2277D"/>
    <w:rsid w:val="00A228AC"/>
    <w:rsid w:val="00A22937"/>
    <w:rsid w:val="00A2309B"/>
    <w:rsid w:val="00A230AE"/>
    <w:rsid w:val="00A23171"/>
    <w:rsid w:val="00A23194"/>
    <w:rsid w:val="00A2323C"/>
    <w:rsid w:val="00A233F9"/>
    <w:rsid w:val="00A23A19"/>
    <w:rsid w:val="00A23A5A"/>
    <w:rsid w:val="00A23ACE"/>
    <w:rsid w:val="00A23B4E"/>
    <w:rsid w:val="00A23BD6"/>
    <w:rsid w:val="00A23D27"/>
    <w:rsid w:val="00A23E27"/>
    <w:rsid w:val="00A23E72"/>
    <w:rsid w:val="00A24069"/>
    <w:rsid w:val="00A240BF"/>
    <w:rsid w:val="00A24164"/>
    <w:rsid w:val="00A242F4"/>
    <w:rsid w:val="00A24395"/>
    <w:rsid w:val="00A243AF"/>
    <w:rsid w:val="00A244B3"/>
    <w:rsid w:val="00A24631"/>
    <w:rsid w:val="00A24632"/>
    <w:rsid w:val="00A246AD"/>
    <w:rsid w:val="00A24719"/>
    <w:rsid w:val="00A24737"/>
    <w:rsid w:val="00A247D4"/>
    <w:rsid w:val="00A24A9A"/>
    <w:rsid w:val="00A24CE6"/>
    <w:rsid w:val="00A24D37"/>
    <w:rsid w:val="00A250E8"/>
    <w:rsid w:val="00A252B1"/>
    <w:rsid w:val="00A2537E"/>
    <w:rsid w:val="00A253BD"/>
    <w:rsid w:val="00A25855"/>
    <w:rsid w:val="00A2590F"/>
    <w:rsid w:val="00A2594A"/>
    <w:rsid w:val="00A25A9B"/>
    <w:rsid w:val="00A25AE2"/>
    <w:rsid w:val="00A25CA1"/>
    <w:rsid w:val="00A25F55"/>
    <w:rsid w:val="00A26005"/>
    <w:rsid w:val="00A26050"/>
    <w:rsid w:val="00A26365"/>
    <w:rsid w:val="00A26408"/>
    <w:rsid w:val="00A264C4"/>
    <w:rsid w:val="00A264DA"/>
    <w:rsid w:val="00A26521"/>
    <w:rsid w:val="00A265B6"/>
    <w:rsid w:val="00A265ED"/>
    <w:rsid w:val="00A26604"/>
    <w:rsid w:val="00A26666"/>
    <w:rsid w:val="00A26713"/>
    <w:rsid w:val="00A267E5"/>
    <w:rsid w:val="00A26986"/>
    <w:rsid w:val="00A26A2A"/>
    <w:rsid w:val="00A26A7E"/>
    <w:rsid w:val="00A26B7F"/>
    <w:rsid w:val="00A26BB4"/>
    <w:rsid w:val="00A26BBE"/>
    <w:rsid w:val="00A26C22"/>
    <w:rsid w:val="00A26C36"/>
    <w:rsid w:val="00A26D02"/>
    <w:rsid w:val="00A26D81"/>
    <w:rsid w:val="00A26EEA"/>
    <w:rsid w:val="00A2705D"/>
    <w:rsid w:val="00A27155"/>
    <w:rsid w:val="00A2722D"/>
    <w:rsid w:val="00A27454"/>
    <w:rsid w:val="00A2771E"/>
    <w:rsid w:val="00A278CE"/>
    <w:rsid w:val="00A279BA"/>
    <w:rsid w:val="00A27C39"/>
    <w:rsid w:val="00A27C5C"/>
    <w:rsid w:val="00A27DB5"/>
    <w:rsid w:val="00A27EF6"/>
    <w:rsid w:val="00A27F1B"/>
    <w:rsid w:val="00A27FD8"/>
    <w:rsid w:val="00A3021D"/>
    <w:rsid w:val="00A303F7"/>
    <w:rsid w:val="00A30524"/>
    <w:rsid w:val="00A3060E"/>
    <w:rsid w:val="00A30792"/>
    <w:rsid w:val="00A30A32"/>
    <w:rsid w:val="00A30ADF"/>
    <w:rsid w:val="00A30BDA"/>
    <w:rsid w:val="00A30CD4"/>
    <w:rsid w:val="00A30E63"/>
    <w:rsid w:val="00A30EFA"/>
    <w:rsid w:val="00A3102A"/>
    <w:rsid w:val="00A310BF"/>
    <w:rsid w:val="00A31162"/>
    <w:rsid w:val="00A31316"/>
    <w:rsid w:val="00A31457"/>
    <w:rsid w:val="00A316EF"/>
    <w:rsid w:val="00A3171B"/>
    <w:rsid w:val="00A3173E"/>
    <w:rsid w:val="00A31ABE"/>
    <w:rsid w:val="00A31AFD"/>
    <w:rsid w:val="00A31B34"/>
    <w:rsid w:val="00A31C38"/>
    <w:rsid w:val="00A31E61"/>
    <w:rsid w:val="00A31F8C"/>
    <w:rsid w:val="00A32075"/>
    <w:rsid w:val="00A3213D"/>
    <w:rsid w:val="00A321CC"/>
    <w:rsid w:val="00A32292"/>
    <w:rsid w:val="00A322C8"/>
    <w:rsid w:val="00A322E8"/>
    <w:rsid w:val="00A3231B"/>
    <w:rsid w:val="00A323AA"/>
    <w:rsid w:val="00A32503"/>
    <w:rsid w:val="00A325A6"/>
    <w:rsid w:val="00A328BF"/>
    <w:rsid w:val="00A3298A"/>
    <w:rsid w:val="00A32A62"/>
    <w:rsid w:val="00A32B3C"/>
    <w:rsid w:val="00A32C2C"/>
    <w:rsid w:val="00A32DE4"/>
    <w:rsid w:val="00A32FCF"/>
    <w:rsid w:val="00A330A4"/>
    <w:rsid w:val="00A330D0"/>
    <w:rsid w:val="00A330D3"/>
    <w:rsid w:val="00A33265"/>
    <w:rsid w:val="00A33440"/>
    <w:rsid w:val="00A33530"/>
    <w:rsid w:val="00A335F0"/>
    <w:rsid w:val="00A3373B"/>
    <w:rsid w:val="00A337F3"/>
    <w:rsid w:val="00A33ABB"/>
    <w:rsid w:val="00A33AD8"/>
    <w:rsid w:val="00A33C5E"/>
    <w:rsid w:val="00A33C92"/>
    <w:rsid w:val="00A33D33"/>
    <w:rsid w:val="00A33D5C"/>
    <w:rsid w:val="00A33DC8"/>
    <w:rsid w:val="00A33E36"/>
    <w:rsid w:val="00A33E3E"/>
    <w:rsid w:val="00A33FF3"/>
    <w:rsid w:val="00A34112"/>
    <w:rsid w:val="00A34176"/>
    <w:rsid w:val="00A3419B"/>
    <w:rsid w:val="00A3438A"/>
    <w:rsid w:val="00A344CF"/>
    <w:rsid w:val="00A34640"/>
    <w:rsid w:val="00A34829"/>
    <w:rsid w:val="00A3499A"/>
    <w:rsid w:val="00A34A3F"/>
    <w:rsid w:val="00A34AB7"/>
    <w:rsid w:val="00A34D4C"/>
    <w:rsid w:val="00A34EE6"/>
    <w:rsid w:val="00A34FCC"/>
    <w:rsid w:val="00A350C5"/>
    <w:rsid w:val="00A35180"/>
    <w:rsid w:val="00A3523B"/>
    <w:rsid w:val="00A3534D"/>
    <w:rsid w:val="00A35557"/>
    <w:rsid w:val="00A3559E"/>
    <w:rsid w:val="00A3568F"/>
    <w:rsid w:val="00A35735"/>
    <w:rsid w:val="00A358E0"/>
    <w:rsid w:val="00A35B54"/>
    <w:rsid w:val="00A35C6E"/>
    <w:rsid w:val="00A35C75"/>
    <w:rsid w:val="00A35D4B"/>
    <w:rsid w:val="00A35DE3"/>
    <w:rsid w:val="00A35EF8"/>
    <w:rsid w:val="00A35F08"/>
    <w:rsid w:val="00A35F33"/>
    <w:rsid w:val="00A3603D"/>
    <w:rsid w:val="00A360AF"/>
    <w:rsid w:val="00A3616A"/>
    <w:rsid w:val="00A361B3"/>
    <w:rsid w:val="00A36248"/>
    <w:rsid w:val="00A36376"/>
    <w:rsid w:val="00A36378"/>
    <w:rsid w:val="00A364D3"/>
    <w:rsid w:val="00A364F8"/>
    <w:rsid w:val="00A365EA"/>
    <w:rsid w:val="00A36639"/>
    <w:rsid w:val="00A3689C"/>
    <w:rsid w:val="00A36A7E"/>
    <w:rsid w:val="00A36AF2"/>
    <w:rsid w:val="00A36BC5"/>
    <w:rsid w:val="00A36C7D"/>
    <w:rsid w:val="00A36CD3"/>
    <w:rsid w:val="00A36CF8"/>
    <w:rsid w:val="00A36D6D"/>
    <w:rsid w:val="00A36FB8"/>
    <w:rsid w:val="00A373E4"/>
    <w:rsid w:val="00A37458"/>
    <w:rsid w:val="00A37471"/>
    <w:rsid w:val="00A374DB"/>
    <w:rsid w:val="00A37885"/>
    <w:rsid w:val="00A378CB"/>
    <w:rsid w:val="00A3790B"/>
    <w:rsid w:val="00A379EA"/>
    <w:rsid w:val="00A37A79"/>
    <w:rsid w:val="00A37B67"/>
    <w:rsid w:val="00A37C44"/>
    <w:rsid w:val="00A37D1D"/>
    <w:rsid w:val="00A37DE9"/>
    <w:rsid w:val="00A37ED2"/>
    <w:rsid w:val="00A37F6D"/>
    <w:rsid w:val="00A40014"/>
    <w:rsid w:val="00A40064"/>
    <w:rsid w:val="00A400E1"/>
    <w:rsid w:val="00A4032F"/>
    <w:rsid w:val="00A40364"/>
    <w:rsid w:val="00A403B8"/>
    <w:rsid w:val="00A40431"/>
    <w:rsid w:val="00A40545"/>
    <w:rsid w:val="00A4054D"/>
    <w:rsid w:val="00A405D0"/>
    <w:rsid w:val="00A40726"/>
    <w:rsid w:val="00A40848"/>
    <w:rsid w:val="00A4084F"/>
    <w:rsid w:val="00A40870"/>
    <w:rsid w:val="00A4090B"/>
    <w:rsid w:val="00A409D4"/>
    <w:rsid w:val="00A40B16"/>
    <w:rsid w:val="00A40DE9"/>
    <w:rsid w:val="00A40E70"/>
    <w:rsid w:val="00A40EED"/>
    <w:rsid w:val="00A40F7F"/>
    <w:rsid w:val="00A40FE3"/>
    <w:rsid w:val="00A4102C"/>
    <w:rsid w:val="00A411A4"/>
    <w:rsid w:val="00A41212"/>
    <w:rsid w:val="00A412B4"/>
    <w:rsid w:val="00A415C0"/>
    <w:rsid w:val="00A41642"/>
    <w:rsid w:val="00A4166B"/>
    <w:rsid w:val="00A416AD"/>
    <w:rsid w:val="00A416E1"/>
    <w:rsid w:val="00A4180B"/>
    <w:rsid w:val="00A41870"/>
    <w:rsid w:val="00A419AE"/>
    <w:rsid w:val="00A41A31"/>
    <w:rsid w:val="00A41C2B"/>
    <w:rsid w:val="00A41D45"/>
    <w:rsid w:val="00A41E04"/>
    <w:rsid w:val="00A41ECA"/>
    <w:rsid w:val="00A420F4"/>
    <w:rsid w:val="00A42195"/>
    <w:rsid w:val="00A4221E"/>
    <w:rsid w:val="00A425E8"/>
    <w:rsid w:val="00A426B2"/>
    <w:rsid w:val="00A428D6"/>
    <w:rsid w:val="00A42B70"/>
    <w:rsid w:val="00A42D3C"/>
    <w:rsid w:val="00A42D3E"/>
    <w:rsid w:val="00A42F03"/>
    <w:rsid w:val="00A42F9E"/>
    <w:rsid w:val="00A42FC8"/>
    <w:rsid w:val="00A42FE4"/>
    <w:rsid w:val="00A43174"/>
    <w:rsid w:val="00A4328B"/>
    <w:rsid w:val="00A43477"/>
    <w:rsid w:val="00A4368D"/>
    <w:rsid w:val="00A436E1"/>
    <w:rsid w:val="00A438A9"/>
    <w:rsid w:val="00A438F7"/>
    <w:rsid w:val="00A43950"/>
    <w:rsid w:val="00A43AF5"/>
    <w:rsid w:val="00A43C44"/>
    <w:rsid w:val="00A43D45"/>
    <w:rsid w:val="00A43DD8"/>
    <w:rsid w:val="00A4417D"/>
    <w:rsid w:val="00A442AC"/>
    <w:rsid w:val="00A442BF"/>
    <w:rsid w:val="00A442FC"/>
    <w:rsid w:val="00A4431D"/>
    <w:rsid w:val="00A4436D"/>
    <w:rsid w:val="00A444C1"/>
    <w:rsid w:val="00A444E4"/>
    <w:rsid w:val="00A44578"/>
    <w:rsid w:val="00A446B8"/>
    <w:rsid w:val="00A446CE"/>
    <w:rsid w:val="00A44996"/>
    <w:rsid w:val="00A44A08"/>
    <w:rsid w:val="00A44ACC"/>
    <w:rsid w:val="00A44AEB"/>
    <w:rsid w:val="00A44C94"/>
    <w:rsid w:val="00A44DF5"/>
    <w:rsid w:val="00A44E23"/>
    <w:rsid w:val="00A44F67"/>
    <w:rsid w:val="00A44F77"/>
    <w:rsid w:val="00A44FB7"/>
    <w:rsid w:val="00A45168"/>
    <w:rsid w:val="00A45327"/>
    <w:rsid w:val="00A454E9"/>
    <w:rsid w:val="00A45622"/>
    <w:rsid w:val="00A4597E"/>
    <w:rsid w:val="00A45B92"/>
    <w:rsid w:val="00A45CA6"/>
    <w:rsid w:val="00A45CB8"/>
    <w:rsid w:val="00A45D16"/>
    <w:rsid w:val="00A45F7C"/>
    <w:rsid w:val="00A46019"/>
    <w:rsid w:val="00A4606B"/>
    <w:rsid w:val="00A46199"/>
    <w:rsid w:val="00A46387"/>
    <w:rsid w:val="00A46400"/>
    <w:rsid w:val="00A464FE"/>
    <w:rsid w:val="00A4653C"/>
    <w:rsid w:val="00A4667B"/>
    <w:rsid w:val="00A46704"/>
    <w:rsid w:val="00A46776"/>
    <w:rsid w:val="00A46780"/>
    <w:rsid w:val="00A46BA4"/>
    <w:rsid w:val="00A46C8C"/>
    <w:rsid w:val="00A46CFE"/>
    <w:rsid w:val="00A46DFB"/>
    <w:rsid w:val="00A46E59"/>
    <w:rsid w:val="00A46ED6"/>
    <w:rsid w:val="00A46F28"/>
    <w:rsid w:val="00A47060"/>
    <w:rsid w:val="00A471AE"/>
    <w:rsid w:val="00A472A9"/>
    <w:rsid w:val="00A4734F"/>
    <w:rsid w:val="00A47374"/>
    <w:rsid w:val="00A473CC"/>
    <w:rsid w:val="00A475CE"/>
    <w:rsid w:val="00A47919"/>
    <w:rsid w:val="00A479A0"/>
    <w:rsid w:val="00A479A1"/>
    <w:rsid w:val="00A47A35"/>
    <w:rsid w:val="00A47B82"/>
    <w:rsid w:val="00A47C80"/>
    <w:rsid w:val="00A47C9C"/>
    <w:rsid w:val="00A47D11"/>
    <w:rsid w:val="00A47DDF"/>
    <w:rsid w:val="00A47E17"/>
    <w:rsid w:val="00A47F35"/>
    <w:rsid w:val="00A50188"/>
    <w:rsid w:val="00A50228"/>
    <w:rsid w:val="00A50261"/>
    <w:rsid w:val="00A5027E"/>
    <w:rsid w:val="00A5036C"/>
    <w:rsid w:val="00A50420"/>
    <w:rsid w:val="00A50490"/>
    <w:rsid w:val="00A50759"/>
    <w:rsid w:val="00A5083D"/>
    <w:rsid w:val="00A50C42"/>
    <w:rsid w:val="00A50CD9"/>
    <w:rsid w:val="00A50E68"/>
    <w:rsid w:val="00A51267"/>
    <w:rsid w:val="00A51374"/>
    <w:rsid w:val="00A51469"/>
    <w:rsid w:val="00A514B3"/>
    <w:rsid w:val="00A514F4"/>
    <w:rsid w:val="00A51720"/>
    <w:rsid w:val="00A51A3F"/>
    <w:rsid w:val="00A51A6E"/>
    <w:rsid w:val="00A51A90"/>
    <w:rsid w:val="00A51C72"/>
    <w:rsid w:val="00A51C7B"/>
    <w:rsid w:val="00A51E16"/>
    <w:rsid w:val="00A51E29"/>
    <w:rsid w:val="00A51EFD"/>
    <w:rsid w:val="00A523A4"/>
    <w:rsid w:val="00A524A0"/>
    <w:rsid w:val="00A5250A"/>
    <w:rsid w:val="00A52625"/>
    <w:rsid w:val="00A5277B"/>
    <w:rsid w:val="00A52816"/>
    <w:rsid w:val="00A52900"/>
    <w:rsid w:val="00A52982"/>
    <w:rsid w:val="00A52A29"/>
    <w:rsid w:val="00A52BBD"/>
    <w:rsid w:val="00A52F17"/>
    <w:rsid w:val="00A52F43"/>
    <w:rsid w:val="00A52F7F"/>
    <w:rsid w:val="00A530B1"/>
    <w:rsid w:val="00A53116"/>
    <w:rsid w:val="00A531C0"/>
    <w:rsid w:val="00A532D7"/>
    <w:rsid w:val="00A5334A"/>
    <w:rsid w:val="00A53566"/>
    <w:rsid w:val="00A535BA"/>
    <w:rsid w:val="00A5362B"/>
    <w:rsid w:val="00A5368A"/>
    <w:rsid w:val="00A536AF"/>
    <w:rsid w:val="00A538A3"/>
    <w:rsid w:val="00A539C5"/>
    <w:rsid w:val="00A53ABE"/>
    <w:rsid w:val="00A53D03"/>
    <w:rsid w:val="00A53E22"/>
    <w:rsid w:val="00A53EAF"/>
    <w:rsid w:val="00A540B2"/>
    <w:rsid w:val="00A54111"/>
    <w:rsid w:val="00A54285"/>
    <w:rsid w:val="00A54371"/>
    <w:rsid w:val="00A5437B"/>
    <w:rsid w:val="00A5442A"/>
    <w:rsid w:val="00A5442C"/>
    <w:rsid w:val="00A54449"/>
    <w:rsid w:val="00A54521"/>
    <w:rsid w:val="00A546C5"/>
    <w:rsid w:val="00A54A90"/>
    <w:rsid w:val="00A54CCA"/>
    <w:rsid w:val="00A54E5D"/>
    <w:rsid w:val="00A54FC5"/>
    <w:rsid w:val="00A550E2"/>
    <w:rsid w:val="00A55128"/>
    <w:rsid w:val="00A551D6"/>
    <w:rsid w:val="00A5529A"/>
    <w:rsid w:val="00A5532E"/>
    <w:rsid w:val="00A5536D"/>
    <w:rsid w:val="00A5563F"/>
    <w:rsid w:val="00A55758"/>
    <w:rsid w:val="00A5577C"/>
    <w:rsid w:val="00A5582C"/>
    <w:rsid w:val="00A55939"/>
    <w:rsid w:val="00A5595A"/>
    <w:rsid w:val="00A55A6D"/>
    <w:rsid w:val="00A55AFC"/>
    <w:rsid w:val="00A55BEF"/>
    <w:rsid w:val="00A55D7B"/>
    <w:rsid w:val="00A560AD"/>
    <w:rsid w:val="00A563A4"/>
    <w:rsid w:val="00A563CA"/>
    <w:rsid w:val="00A56773"/>
    <w:rsid w:val="00A56778"/>
    <w:rsid w:val="00A568CE"/>
    <w:rsid w:val="00A569CB"/>
    <w:rsid w:val="00A56A07"/>
    <w:rsid w:val="00A56A71"/>
    <w:rsid w:val="00A56B4C"/>
    <w:rsid w:val="00A56BA0"/>
    <w:rsid w:val="00A5703F"/>
    <w:rsid w:val="00A5726B"/>
    <w:rsid w:val="00A57356"/>
    <w:rsid w:val="00A573E4"/>
    <w:rsid w:val="00A57452"/>
    <w:rsid w:val="00A5745B"/>
    <w:rsid w:val="00A5752B"/>
    <w:rsid w:val="00A57570"/>
    <w:rsid w:val="00A57A66"/>
    <w:rsid w:val="00A57B9F"/>
    <w:rsid w:val="00A57BAF"/>
    <w:rsid w:val="00A57CB7"/>
    <w:rsid w:val="00A57D2B"/>
    <w:rsid w:val="00A57FF6"/>
    <w:rsid w:val="00A601BE"/>
    <w:rsid w:val="00A6036A"/>
    <w:rsid w:val="00A60743"/>
    <w:rsid w:val="00A607A0"/>
    <w:rsid w:val="00A60926"/>
    <w:rsid w:val="00A60B83"/>
    <w:rsid w:val="00A60BEF"/>
    <w:rsid w:val="00A60CBF"/>
    <w:rsid w:val="00A60CC7"/>
    <w:rsid w:val="00A60D59"/>
    <w:rsid w:val="00A60E5A"/>
    <w:rsid w:val="00A60F63"/>
    <w:rsid w:val="00A6118D"/>
    <w:rsid w:val="00A61251"/>
    <w:rsid w:val="00A61460"/>
    <w:rsid w:val="00A615B4"/>
    <w:rsid w:val="00A617AD"/>
    <w:rsid w:val="00A61894"/>
    <w:rsid w:val="00A61908"/>
    <w:rsid w:val="00A61A29"/>
    <w:rsid w:val="00A61A31"/>
    <w:rsid w:val="00A61AE8"/>
    <w:rsid w:val="00A61B27"/>
    <w:rsid w:val="00A61BDF"/>
    <w:rsid w:val="00A61C20"/>
    <w:rsid w:val="00A61E27"/>
    <w:rsid w:val="00A61EE1"/>
    <w:rsid w:val="00A61F9A"/>
    <w:rsid w:val="00A61FE3"/>
    <w:rsid w:val="00A62227"/>
    <w:rsid w:val="00A62251"/>
    <w:rsid w:val="00A62252"/>
    <w:rsid w:val="00A622F0"/>
    <w:rsid w:val="00A62338"/>
    <w:rsid w:val="00A62580"/>
    <w:rsid w:val="00A625E6"/>
    <w:rsid w:val="00A6262F"/>
    <w:rsid w:val="00A62726"/>
    <w:rsid w:val="00A6273B"/>
    <w:rsid w:val="00A627A0"/>
    <w:rsid w:val="00A62804"/>
    <w:rsid w:val="00A628F0"/>
    <w:rsid w:val="00A62BA7"/>
    <w:rsid w:val="00A62D87"/>
    <w:rsid w:val="00A62E95"/>
    <w:rsid w:val="00A62EE5"/>
    <w:rsid w:val="00A62F5B"/>
    <w:rsid w:val="00A63207"/>
    <w:rsid w:val="00A6321B"/>
    <w:rsid w:val="00A6323A"/>
    <w:rsid w:val="00A63455"/>
    <w:rsid w:val="00A63472"/>
    <w:rsid w:val="00A63493"/>
    <w:rsid w:val="00A634C7"/>
    <w:rsid w:val="00A63511"/>
    <w:rsid w:val="00A6356E"/>
    <w:rsid w:val="00A635FE"/>
    <w:rsid w:val="00A63672"/>
    <w:rsid w:val="00A636DE"/>
    <w:rsid w:val="00A63827"/>
    <w:rsid w:val="00A63A48"/>
    <w:rsid w:val="00A63A57"/>
    <w:rsid w:val="00A63B27"/>
    <w:rsid w:val="00A63B43"/>
    <w:rsid w:val="00A63C5E"/>
    <w:rsid w:val="00A63C9F"/>
    <w:rsid w:val="00A63D0A"/>
    <w:rsid w:val="00A63D15"/>
    <w:rsid w:val="00A63EEE"/>
    <w:rsid w:val="00A63F1E"/>
    <w:rsid w:val="00A64016"/>
    <w:rsid w:val="00A6402D"/>
    <w:rsid w:val="00A6405D"/>
    <w:rsid w:val="00A640BD"/>
    <w:rsid w:val="00A64199"/>
    <w:rsid w:val="00A641A3"/>
    <w:rsid w:val="00A641BE"/>
    <w:rsid w:val="00A642C2"/>
    <w:rsid w:val="00A642E4"/>
    <w:rsid w:val="00A643FB"/>
    <w:rsid w:val="00A64415"/>
    <w:rsid w:val="00A64449"/>
    <w:rsid w:val="00A64532"/>
    <w:rsid w:val="00A6485C"/>
    <w:rsid w:val="00A64925"/>
    <w:rsid w:val="00A649C7"/>
    <w:rsid w:val="00A64CAA"/>
    <w:rsid w:val="00A64CD9"/>
    <w:rsid w:val="00A64CFB"/>
    <w:rsid w:val="00A64DB6"/>
    <w:rsid w:val="00A64E18"/>
    <w:rsid w:val="00A64FE8"/>
    <w:rsid w:val="00A651DE"/>
    <w:rsid w:val="00A653F2"/>
    <w:rsid w:val="00A65475"/>
    <w:rsid w:val="00A65525"/>
    <w:rsid w:val="00A65641"/>
    <w:rsid w:val="00A659A4"/>
    <w:rsid w:val="00A65CC0"/>
    <w:rsid w:val="00A65CE1"/>
    <w:rsid w:val="00A65DCB"/>
    <w:rsid w:val="00A65F4E"/>
    <w:rsid w:val="00A65F75"/>
    <w:rsid w:val="00A65FC9"/>
    <w:rsid w:val="00A6609B"/>
    <w:rsid w:val="00A6617E"/>
    <w:rsid w:val="00A66247"/>
    <w:rsid w:val="00A6635F"/>
    <w:rsid w:val="00A663AE"/>
    <w:rsid w:val="00A66491"/>
    <w:rsid w:val="00A6655A"/>
    <w:rsid w:val="00A66599"/>
    <w:rsid w:val="00A66613"/>
    <w:rsid w:val="00A666E2"/>
    <w:rsid w:val="00A666F5"/>
    <w:rsid w:val="00A66735"/>
    <w:rsid w:val="00A6676C"/>
    <w:rsid w:val="00A6682C"/>
    <w:rsid w:val="00A6688E"/>
    <w:rsid w:val="00A668D5"/>
    <w:rsid w:val="00A66970"/>
    <w:rsid w:val="00A669BF"/>
    <w:rsid w:val="00A66A2B"/>
    <w:rsid w:val="00A66C19"/>
    <w:rsid w:val="00A66E90"/>
    <w:rsid w:val="00A66E94"/>
    <w:rsid w:val="00A6700A"/>
    <w:rsid w:val="00A67101"/>
    <w:rsid w:val="00A6710D"/>
    <w:rsid w:val="00A67175"/>
    <w:rsid w:val="00A67265"/>
    <w:rsid w:val="00A67401"/>
    <w:rsid w:val="00A67849"/>
    <w:rsid w:val="00A67952"/>
    <w:rsid w:val="00A67969"/>
    <w:rsid w:val="00A6798F"/>
    <w:rsid w:val="00A67ADF"/>
    <w:rsid w:val="00A67B62"/>
    <w:rsid w:val="00A67D6D"/>
    <w:rsid w:val="00A67EAA"/>
    <w:rsid w:val="00A67EC7"/>
    <w:rsid w:val="00A67F9D"/>
    <w:rsid w:val="00A70280"/>
    <w:rsid w:val="00A70623"/>
    <w:rsid w:val="00A70A23"/>
    <w:rsid w:val="00A70AAE"/>
    <w:rsid w:val="00A70BEF"/>
    <w:rsid w:val="00A70D6D"/>
    <w:rsid w:val="00A70DFA"/>
    <w:rsid w:val="00A70E02"/>
    <w:rsid w:val="00A70E22"/>
    <w:rsid w:val="00A70E44"/>
    <w:rsid w:val="00A70FA6"/>
    <w:rsid w:val="00A71018"/>
    <w:rsid w:val="00A710FF"/>
    <w:rsid w:val="00A7120F"/>
    <w:rsid w:val="00A7128F"/>
    <w:rsid w:val="00A71595"/>
    <w:rsid w:val="00A715FC"/>
    <w:rsid w:val="00A7178B"/>
    <w:rsid w:val="00A71899"/>
    <w:rsid w:val="00A7198D"/>
    <w:rsid w:val="00A71C5F"/>
    <w:rsid w:val="00A71E4D"/>
    <w:rsid w:val="00A71FCF"/>
    <w:rsid w:val="00A72011"/>
    <w:rsid w:val="00A72278"/>
    <w:rsid w:val="00A722AD"/>
    <w:rsid w:val="00A722E8"/>
    <w:rsid w:val="00A72333"/>
    <w:rsid w:val="00A723DB"/>
    <w:rsid w:val="00A723E4"/>
    <w:rsid w:val="00A7253F"/>
    <w:rsid w:val="00A7281E"/>
    <w:rsid w:val="00A729AB"/>
    <w:rsid w:val="00A72A0D"/>
    <w:rsid w:val="00A72B0E"/>
    <w:rsid w:val="00A72B57"/>
    <w:rsid w:val="00A72BAB"/>
    <w:rsid w:val="00A72BC8"/>
    <w:rsid w:val="00A72F14"/>
    <w:rsid w:val="00A7310A"/>
    <w:rsid w:val="00A731E9"/>
    <w:rsid w:val="00A732A5"/>
    <w:rsid w:val="00A732A7"/>
    <w:rsid w:val="00A732CE"/>
    <w:rsid w:val="00A7331D"/>
    <w:rsid w:val="00A733F3"/>
    <w:rsid w:val="00A734F1"/>
    <w:rsid w:val="00A7363F"/>
    <w:rsid w:val="00A736D2"/>
    <w:rsid w:val="00A73798"/>
    <w:rsid w:val="00A73975"/>
    <w:rsid w:val="00A73B07"/>
    <w:rsid w:val="00A73C28"/>
    <w:rsid w:val="00A73E7C"/>
    <w:rsid w:val="00A73F89"/>
    <w:rsid w:val="00A74054"/>
    <w:rsid w:val="00A7418A"/>
    <w:rsid w:val="00A74317"/>
    <w:rsid w:val="00A74393"/>
    <w:rsid w:val="00A743DF"/>
    <w:rsid w:val="00A74525"/>
    <w:rsid w:val="00A745E3"/>
    <w:rsid w:val="00A746AB"/>
    <w:rsid w:val="00A74716"/>
    <w:rsid w:val="00A7486C"/>
    <w:rsid w:val="00A74948"/>
    <w:rsid w:val="00A749C9"/>
    <w:rsid w:val="00A74AD9"/>
    <w:rsid w:val="00A74B28"/>
    <w:rsid w:val="00A74B29"/>
    <w:rsid w:val="00A74B50"/>
    <w:rsid w:val="00A74B68"/>
    <w:rsid w:val="00A74BF1"/>
    <w:rsid w:val="00A74C51"/>
    <w:rsid w:val="00A74CD8"/>
    <w:rsid w:val="00A74CDD"/>
    <w:rsid w:val="00A74E08"/>
    <w:rsid w:val="00A74EEF"/>
    <w:rsid w:val="00A74F35"/>
    <w:rsid w:val="00A7511D"/>
    <w:rsid w:val="00A75156"/>
    <w:rsid w:val="00A751EB"/>
    <w:rsid w:val="00A75281"/>
    <w:rsid w:val="00A75295"/>
    <w:rsid w:val="00A752BA"/>
    <w:rsid w:val="00A75309"/>
    <w:rsid w:val="00A75399"/>
    <w:rsid w:val="00A754EC"/>
    <w:rsid w:val="00A75720"/>
    <w:rsid w:val="00A7591E"/>
    <w:rsid w:val="00A75976"/>
    <w:rsid w:val="00A75BC8"/>
    <w:rsid w:val="00A75DCB"/>
    <w:rsid w:val="00A75FDB"/>
    <w:rsid w:val="00A76219"/>
    <w:rsid w:val="00A76258"/>
    <w:rsid w:val="00A76263"/>
    <w:rsid w:val="00A765B4"/>
    <w:rsid w:val="00A766FE"/>
    <w:rsid w:val="00A768FA"/>
    <w:rsid w:val="00A769C7"/>
    <w:rsid w:val="00A76C0D"/>
    <w:rsid w:val="00A76E16"/>
    <w:rsid w:val="00A76E29"/>
    <w:rsid w:val="00A76E8B"/>
    <w:rsid w:val="00A76F4A"/>
    <w:rsid w:val="00A7703B"/>
    <w:rsid w:val="00A77576"/>
    <w:rsid w:val="00A776B0"/>
    <w:rsid w:val="00A77747"/>
    <w:rsid w:val="00A777EB"/>
    <w:rsid w:val="00A778FA"/>
    <w:rsid w:val="00A77A2B"/>
    <w:rsid w:val="00A77C39"/>
    <w:rsid w:val="00A77CD7"/>
    <w:rsid w:val="00A77D9C"/>
    <w:rsid w:val="00A77DB3"/>
    <w:rsid w:val="00A77E31"/>
    <w:rsid w:val="00A77E57"/>
    <w:rsid w:val="00A77FE9"/>
    <w:rsid w:val="00A80011"/>
    <w:rsid w:val="00A80123"/>
    <w:rsid w:val="00A801EE"/>
    <w:rsid w:val="00A80252"/>
    <w:rsid w:val="00A80431"/>
    <w:rsid w:val="00A80485"/>
    <w:rsid w:val="00A80579"/>
    <w:rsid w:val="00A80654"/>
    <w:rsid w:val="00A808A2"/>
    <w:rsid w:val="00A80B99"/>
    <w:rsid w:val="00A80DFF"/>
    <w:rsid w:val="00A80E76"/>
    <w:rsid w:val="00A80EC7"/>
    <w:rsid w:val="00A8102E"/>
    <w:rsid w:val="00A81167"/>
    <w:rsid w:val="00A8126E"/>
    <w:rsid w:val="00A812A8"/>
    <w:rsid w:val="00A8134F"/>
    <w:rsid w:val="00A815D7"/>
    <w:rsid w:val="00A8167B"/>
    <w:rsid w:val="00A8183A"/>
    <w:rsid w:val="00A81A22"/>
    <w:rsid w:val="00A81A9B"/>
    <w:rsid w:val="00A81BF3"/>
    <w:rsid w:val="00A81BF9"/>
    <w:rsid w:val="00A81C79"/>
    <w:rsid w:val="00A81CD5"/>
    <w:rsid w:val="00A81D2D"/>
    <w:rsid w:val="00A81DC4"/>
    <w:rsid w:val="00A81E45"/>
    <w:rsid w:val="00A81EBD"/>
    <w:rsid w:val="00A81EF6"/>
    <w:rsid w:val="00A81F28"/>
    <w:rsid w:val="00A81F48"/>
    <w:rsid w:val="00A81FAA"/>
    <w:rsid w:val="00A82104"/>
    <w:rsid w:val="00A82155"/>
    <w:rsid w:val="00A82185"/>
    <w:rsid w:val="00A822AA"/>
    <w:rsid w:val="00A824A5"/>
    <w:rsid w:val="00A824BA"/>
    <w:rsid w:val="00A82587"/>
    <w:rsid w:val="00A825BD"/>
    <w:rsid w:val="00A8270F"/>
    <w:rsid w:val="00A82728"/>
    <w:rsid w:val="00A827E3"/>
    <w:rsid w:val="00A827E4"/>
    <w:rsid w:val="00A827FF"/>
    <w:rsid w:val="00A82A5A"/>
    <w:rsid w:val="00A82B6F"/>
    <w:rsid w:val="00A82B96"/>
    <w:rsid w:val="00A82D28"/>
    <w:rsid w:val="00A82E15"/>
    <w:rsid w:val="00A82FC9"/>
    <w:rsid w:val="00A8301F"/>
    <w:rsid w:val="00A8310C"/>
    <w:rsid w:val="00A83203"/>
    <w:rsid w:val="00A83208"/>
    <w:rsid w:val="00A83250"/>
    <w:rsid w:val="00A83295"/>
    <w:rsid w:val="00A832F4"/>
    <w:rsid w:val="00A83437"/>
    <w:rsid w:val="00A834AD"/>
    <w:rsid w:val="00A834DD"/>
    <w:rsid w:val="00A834F9"/>
    <w:rsid w:val="00A83584"/>
    <w:rsid w:val="00A83759"/>
    <w:rsid w:val="00A837D4"/>
    <w:rsid w:val="00A838A1"/>
    <w:rsid w:val="00A838B7"/>
    <w:rsid w:val="00A838DF"/>
    <w:rsid w:val="00A83913"/>
    <w:rsid w:val="00A83955"/>
    <w:rsid w:val="00A839F0"/>
    <w:rsid w:val="00A83AD3"/>
    <w:rsid w:val="00A83E0C"/>
    <w:rsid w:val="00A83E24"/>
    <w:rsid w:val="00A83F4C"/>
    <w:rsid w:val="00A83F51"/>
    <w:rsid w:val="00A83FB2"/>
    <w:rsid w:val="00A840ED"/>
    <w:rsid w:val="00A842DF"/>
    <w:rsid w:val="00A84334"/>
    <w:rsid w:val="00A84492"/>
    <w:rsid w:val="00A84495"/>
    <w:rsid w:val="00A845A1"/>
    <w:rsid w:val="00A84866"/>
    <w:rsid w:val="00A8486C"/>
    <w:rsid w:val="00A849B7"/>
    <w:rsid w:val="00A84B38"/>
    <w:rsid w:val="00A84B69"/>
    <w:rsid w:val="00A84B8C"/>
    <w:rsid w:val="00A84C83"/>
    <w:rsid w:val="00A84D88"/>
    <w:rsid w:val="00A84DE8"/>
    <w:rsid w:val="00A84E55"/>
    <w:rsid w:val="00A84EB5"/>
    <w:rsid w:val="00A850E1"/>
    <w:rsid w:val="00A8522B"/>
    <w:rsid w:val="00A85269"/>
    <w:rsid w:val="00A853C1"/>
    <w:rsid w:val="00A85483"/>
    <w:rsid w:val="00A85567"/>
    <w:rsid w:val="00A8556C"/>
    <w:rsid w:val="00A85618"/>
    <w:rsid w:val="00A856AC"/>
    <w:rsid w:val="00A8575C"/>
    <w:rsid w:val="00A857ED"/>
    <w:rsid w:val="00A858C6"/>
    <w:rsid w:val="00A859E4"/>
    <w:rsid w:val="00A85A95"/>
    <w:rsid w:val="00A85B6D"/>
    <w:rsid w:val="00A85BD6"/>
    <w:rsid w:val="00A85C2A"/>
    <w:rsid w:val="00A85F84"/>
    <w:rsid w:val="00A86051"/>
    <w:rsid w:val="00A8625F"/>
    <w:rsid w:val="00A86267"/>
    <w:rsid w:val="00A863E8"/>
    <w:rsid w:val="00A8644E"/>
    <w:rsid w:val="00A864B2"/>
    <w:rsid w:val="00A866AF"/>
    <w:rsid w:val="00A866D9"/>
    <w:rsid w:val="00A867E9"/>
    <w:rsid w:val="00A868AC"/>
    <w:rsid w:val="00A869A3"/>
    <w:rsid w:val="00A869F6"/>
    <w:rsid w:val="00A86AA5"/>
    <w:rsid w:val="00A86ABB"/>
    <w:rsid w:val="00A86B4F"/>
    <w:rsid w:val="00A86BE0"/>
    <w:rsid w:val="00A86CD7"/>
    <w:rsid w:val="00A86D58"/>
    <w:rsid w:val="00A86EED"/>
    <w:rsid w:val="00A86EF7"/>
    <w:rsid w:val="00A8706D"/>
    <w:rsid w:val="00A87095"/>
    <w:rsid w:val="00A87216"/>
    <w:rsid w:val="00A87224"/>
    <w:rsid w:val="00A87AAF"/>
    <w:rsid w:val="00A87AB4"/>
    <w:rsid w:val="00A87AD0"/>
    <w:rsid w:val="00A87BCA"/>
    <w:rsid w:val="00A87E04"/>
    <w:rsid w:val="00A87FFC"/>
    <w:rsid w:val="00A90080"/>
    <w:rsid w:val="00A90151"/>
    <w:rsid w:val="00A90256"/>
    <w:rsid w:val="00A902FE"/>
    <w:rsid w:val="00A90357"/>
    <w:rsid w:val="00A90522"/>
    <w:rsid w:val="00A90569"/>
    <w:rsid w:val="00A9060A"/>
    <w:rsid w:val="00A9069D"/>
    <w:rsid w:val="00A909B6"/>
    <w:rsid w:val="00A909BD"/>
    <w:rsid w:val="00A90A87"/>
    <w:rsid w:val="00A90AF1"/>
    <w:rsid w:val="00A90B77"/>
    <w:rsid w:val="00A90E12"/>
    <w:rsid w:val="00A90E8C"/>
    <w:rsid w:val="00A90F27"/>
    <w:rsid w:val="00A90F78"/>
    <w:rsid w:val="00A911EA"/>
    <w:rsid w:val="00A913B1"/>
    <w:rsid w:val="00A913B8"/>
    <w:rsid w:val="00A91551"/>
    <w:rsid w:val="00A9162B"/>
    <w:rsid w:val="00A916C5"/>
    <w:rsid w:val="00A916F6"/>
    <w:rsid w:val="00A91834"/>
    <w:rsid w:val="00A91C57"/>
    <w:rsid w:val="00A91D60"/>
    <w:rsid w:val="00A91E7A"/>
    <w:rsid w:val="00A91EB6"/>
    <w:rsid w:val="00A91F8B"/>
    <w:rsid w:val="00A92059"/>
    <w:rsid w:val="00A92073"/>
    <w:rsid w:val="00A920F3"/>
    <w:rsid w:val="00A9231E"/>
    <w:rsid w:val="00A9234C"/>
    <w:rsid w:val="00A92384"/>
    <w:rsid w:val="00A925A5"/>
    <w:rsid w:val="00A925E7"/>
    <w:rsid w:val="00A92739"/>
    <w:rsid w:val="00A92B05"/>
    <w:rsid w:val="00A92BD4"/>
    <w:rsid w:val="00A92F15"/>
    <w:rsid w:val="00A931F6"/>
    <w:rsid w:val="00A932A3"/>
    <w:rsid w:val="00A93372"/>
    <w:rsid w:val="00A9359B"/>
    <w:rsid w:val="00A93619"/>
    <w:rsid w:val="00A936ED"/>
    <w:rsid w:val="00A9374D"/>
    <w:rsid w:val="00A9376C"/>
    <w:rsid w:val="00A938CC"/>
    <w:rsid w:val="00A93A27"/>
    <w:rsid w:val="00A93A3C"/>
    <w:rsid w:val="00A93C98"/>
    <w:rsid w:val="00A93CC3"/>
    <w:rsid w:val="00A93D0B"/>
    <w:rsid w:val="00A93D4C"/>
    <w:rsid w:val="00A93DEF"/>
    <w:rsid w:val="00A93E3C"/>
    <w:rsid w:val="00A93EEC"/>
    <w:rsid w:val="00A9401F"/>
    <w:rsid w:val="00A940A9"/>
    <w:rsid w:val="00A940C7"/>
    <w:rsid w:val="00A9423A"/>
    <w:rsid w:val="00A942A8"/>
    <w:rsid w:val="00A942FB"/>
    <w:rsid w:val="00A94348"/>
    <w:rsid w:val="00A943D4"/>
    <w:rsid w:val="00A9451A"/>
    <w:rsid w:val="00A945A3"/>
    <w:rsid w:val="00A94704"/>
    <w:rsid w:val="00A9476F"/>
    <w:rsid w:val="00A948A0"/>
    <w:rsid w:val="00A948E0"/>
    <w:rsid w:val="00A94ACA"/>
    <w:rsid w:val="00A94CF0"/>
    <w:rsid w:val="00A94D82"/>
    <w:rsid w:val="00A94E5F"/>
    <w:rsid w:val="00A94F6D"/>
    <w:rsid w:val="00A94F77"/>
    <w:rsid w:val="00A9506A"/>
    <w:rsid w:val="00A950FA"/>
    <w:rsid w:val="00A9518C"/>
    <w:rsid w:val="00A953B8"/>
    <w:rsid w:val="00A9541C"/>
    <w:rsid w:val="00A9545C"/>
    <w:rsid w:val="00A9553B"/>
    <w:rsid w:val="00A95575"/>
    <w:rsid w:val="00A9561E"/>
    <w:rsid w:val="00A9571F"/>
    <w:rsid w:val="00A9573C"/>
    <w:rsid w:val="00A95810"/>
    <w:rsid w:val="00A9583C"/>
    <w:rsid w:val="00A95927"/>
    <w:rsid w:val="00A9594C"/>
    <w:rsid w:val="00A95ACB"/>
    <w:rsid w:val="00A95B4D"/>
    <w:rsid w:val="00A95CE9"/>
    <w:rsid w:val="00A95DB8"/>
    <w:rsid w:val="00A95ED8"/>
    <w:rsid w:val="00A95F77"/>
    <w:rsid w:val="00A96337"/>
    <w:rsid w:val="00A96504"/>
    <w:rsid w:val="00A96589"/>
    <w:rsid w:val="00A96608"/>
    <w:rsid w:val="00A96694"/>
    <w:rsid w:val="00A967FD"/>
    <w:rsid w:val="00A96ABE"/>
    <w:rsid w:val="00A96C59"/>
    <w:rsid w:val="00A96C6E"/>
    <w:rsid w:val="00A96CF7"/>
    <w:rsid w:val="00A96EF9"/>
    <w:rsid w:val="00A96F97"/>
    <w:rsid w:val="00A9707B"/>
    <w:rsid w:val="00A970A6"/>
    <w:rsid w:val="00A97460"/>
    <w:rsid w:val="00A9748D"/>
    <w:rsid w:val="00A974C4"/>
    <w:rsid w:val="00A975CD"/>
    <w:rsid w:val="00A97661"/>
    <w:rsid w:val="00A976DB"/>
    <w:rsid w:val="00A977C7"/>
    <w:rsid w:val="00A9782D"/>
    <w:rsid w:val="00A97919"/>
    <w:rsid w:val="00A979AA"/>
    <w:rsid w:val="00A97A57"/>
    <w:rsid w:val="00A97A9E"/>
    <w:rsid w:val="00A97AFE"/>
    <w:rsid w:val="00A97E24"/>
    <w:rsid w:val="00A97E8E"/>
    <w:rsid w:val="00A97ED6"/>
    <w:rsid w:val="00AA00CE"/>
    <w:rsid w:val="00AA025B"/>
    <w:rsid w:val="00AA0337"/>
    <w:rsid w:val="00AA0378"/>
    <w:rsid w:val="00AA0476"/>
    <w:rsid w:val="00AA047D"/>
    <w:rsid w:val="00AA0484"/>
    <w:rsid w:val="00AA062F"/>
    <w:rsid w:val="00AA063F"/>
    <w:rsid w:val="00AA0852"/>
    <w:rsid w:val="00AA089F"/>
    <w:rsid w:val="00AA08A5"/>
    <w:rsid w:val="00AA0AF4"/>
    <w:rsid w:val="00AA0B27"/>
    <w:rsid w:val="00AA0B7A"/>
    <w:rsid w:val="00AA0CE1"/>
    <w:rsid w:val="00AA0E83"/>
    <w:rsid w:val="00AA0F18"/>
    <w:rsid w:val="00AA11EF"/>
    <w:rsid w:val="00AA1203"/>
    <w:rsid w:val="00AA1242"/>
    <w:rsid w:val="00AA1294"/>
    <w:rsid w:val="00AA1467"/>
    <w:rsid w:val="00AA163B"/>
    <w:rsid w:val="00AA1660"/>
    <w:rsid w:val="00AA1BE2"/>
    <w:rsid w:val="00AA1CA8"/>
    <w:rsid w:val="00AA1CB1"/>
    <w:rsid w:val="00AA1D43"/>
    <w:rsid w:val="00AA1D8B"/>
    <w:rsid w:val="00AA1EE5"/>
    <w:rsid w:val="00AA1EF4"/>
    <w:rsid w:val="00AA1F2D"/>
    <w:rsid w:val="00AA202F"/>
    <w:rsid w:val="00AA2247"/>
    <w:rsid w:val="00AA23AB"/>
    <w:rsid w:val="00AA23E6"/>
    <w:rsid w:val="00AA245C"/>
    <w:rsid w:val="00AA24A5"/>
    <w:rsid w:val="00AA2561"/>
    <w:rsid w:val="00AA264E"/>
    <w:rsid w:val="00AA2707"/>
    <w:rsid w:val="00AA278D"/>
    <w:rsid w:val="00AA282D"/>
    <w:rsid w:val="00AA2838"/>
    <w:rsid w:val="00AA285B"/>
    <w:rsid w:val="00AA28C4"/>
    <w:rsid w:val="00AA2B70"/>
    <w:rsid w:val="00AA2D63"/>
    <w:rsid w:val="00AA2DAF"/>
    <w:rsid w:val="00AA2E42"/>
    <w:rsid w:val="00AA2F1A"/>
    <w:rsid w:val="00AA30A2"/>
    <w:rsid w:val="00AA3145"/>
    <w:rsid w:val="00AA3201"/>
    <w:rsid w:val="00AA322F"/>
    <w:rsid w:val="00AA3569"/>
    <w:rsid w:val="00AA37B6"/>
    <w:rsid w:val="00AA37E1"/>
    <w:rsid w:val="00AA3A02"/>
    <w:rsid w:val="00AA3B85"/>
    <w:rsid w:val="00AA3B89"/>
    <w:rsid w:val="00AA3C4A"/>
    <w:rsid w:val="00AA3D28"/>
    <w:rsid w:val="00AA3DB8"/>
    <w:rsid w:val="00AA3E36"/>
    <w:rsid w:val="00AA3ECB"/>
    <w:rsid w:val="00AA3FE8"/>
    <w:rsid w:val="00AA4003"/>
    <w:rsid w:val="00AA41B9"/>
    <w:rsid w:val="00AA42E4"/>
    <w:rsid w:val="00AA4304"/>
    <w:rsid w:val="00AA43C4"/>
    <w:rsid w:val="00AA4410"/>
    <w:rsid w:val="00AA458F"/>
    <w:rsid w:val="00AA4674"/>
    <w:rsid w:val="00AA473F"/>
    <w:rsid w:val="00AA48A6"/>
    <w:rsid w:val="00AA48C4"/>
    <w:rsid w:val="00AA4C40"/>
    <w:rsid w:val="00AA4CC3"/>
    <w:rsid w:val="00AA4D35"/>
    <w:rsid w:val="00AA4DDF"/>
    <w:rsid w:val="00AA4E2F"/>
    <w:rsid w:val="00AA4E98"/>
    <w:rsid w:val="00AA5031"/>
    <w:rsid w:val="00AA50F2"/>
    <w:rsid w:val="00AA5120"/>
    <w:rsid w:val="00AA5424"/>
    <w:rsid w:val="00AA54EF"/>
    <w:rsid w:val="00AA55E0"/>
    <w:rsid w:val="00AA5665"/>
    <w:rsid w:val="00AA567F"/>
    <w:rsid w:val="00AA56A2"/>
    <w:rsid w:val="00AA5700"/>
    <w:rsid w:val="00AA571A"/>
    <w:rsid w:val="00AA577D"/>
    <w:rsid w:val="00AA5A4C"/>
    <w:rsid w:val="00AA5BDE"/>
    <w:rsid w:val="00AA5CEE"/>
    <w:rsid w:val="00AA5DD4"/>
    <w:rsid w:val="00AA5FFD"/>
    <w:rsid w:val="00AA6011"/>
    <w:rsid w:val="00AA611B"/>
    <w:rsid w:val="00AA616B"/>
    <w:rsid w:val="00AA6443"/>
    <w:rsid w:val="00AA648B"/>
    <w:rsid w:val="00AA64A1"/>
    <w:rsid w:val="00AA65F3"/>
    <w:rsid w:val="00AA65F4"/>
    <w:rsid w:val="00AA6671"/>
    <w:rsid w:val="00AA6690"/>
    <w:rsid w:val="00AA6725"/>
    <w:rsid w:val="00AA68D0"/>
    <w:rsid w:val="00AA6976"/>
    <w:rsid w:val="00AA6B68"/>
    <w:rsid w:val="00AA6BB2"/>
    <w:rsid w:val="00AA6C99"/>
    <w:rsid w:val="00AA6D95"/>
    <w:rsid w:val="00AA6F74"/>
    <w:rsid w:val="00AA728A"/>
    <w:rsid w:val="00AA74D2"/>
    <w:rsid w:val="00AA7749"/>
    <w:rsid w:val="00AA791A"/>
    <w:rsid w:val="00AA79D7"/>
    <w:rsid w:val="00AA7A0B"/>
    <w:rsid w:val="00AA7BF0"/>
    <w:rsid w:val="00AA7C55"/>
    <w:rsid w:val="00AA7D00"/>
    <w:rsid w:val="00AA7D78"/>
    <w:rsid w:val="00AA7D85"/>
    <w:rsid w:val="00AA7F8B"/>
    <w:rsid w:val="00AB0229"/>
    <w:rsid w:val="00AB02F7"/>
    <w:rsid w:val="00AB0342"/>
    <w:rsid w:val="00AB045C"/>
    <w:rsid w:val="00AB05CD"/>
    <w:rsid w:val="00AB06FC"/>
    <w:rsid w:val="00AB0779"/>
    <w:rsid w:val="00AB077C"/>
    <w:rsid w:val="00AB0A98"/>
    <w:rsid w:val="00AB0B93"/>
    <w:rsid w:val="00AB0D1A"/>
    <w:rsid w:val="00AB0D58"/>
    <w:rsid w:val="00AB0D8A"/>
    <w:rsid w:val="00AB0D91"/>
    <w:rsid w:val="00AB1080"/>
    <w:rsid w:val="00AB10F4"/>
    <w:rsid w:val="00AB1379"/>
    <w:rsid w:val="00AB15A6"/>
    <w:rsid w:val="00AB184D"/>
    <w:rsid w:val="00AB189C"/>
    <w:rsid w:val="00AB18AC"/>
    <w:rsid w:val="00AB18C4"/>
    <w:rsid w:val="00AB194D"/>
    <w:rsid w:val="00AB1A4D"/>
    <w:rsid w:val="00AB1B03"/>
    <w:rsid w:val="00AB1B38"/>
    <w:rsid w:val="00AB1BF5"/>
    <w:rsid w:val="00AB1CE4"/>
    <w:rsid w:val="00AB1DAF"/>
    <w:rsid w:val="00AB1E64"/>
    <w:rsid w:val="00AB1E6C"/>
    <w:rsid w:val="00AB20A5"/>
    <w:rsid w:val="00AB20BB"/>
    <w:rsid w:val="00AB20BD"/>
    <w:rsid w:val="00AB219F"/>
    <w:rsid w:val="00AB23AB"/>
    <w:rsid w:val="00AB23F6"/>
    <w:rsid w:val="00AB2436"/>
    <w:rsid w:val="00AB2438"/>
    <w:rsid w:val="00AB2566"/>
    <w:rsid w:val="00AB25AC"/>
    <w:rsid w:val="00AB25F1"/>
    <w:rsid w:val="00AB2782"/>
    <w:rsid w:val="00AB28D3"/>
    <w:rsid w:val="00AB29BD"/>
    <w:rsid w:val="00AB2B9C"/>
    <w:rsid w:val="00AB2BFE"/>
    <w:rsid w:val="00AB2CA2"/>
    <w:rsid w:val="00AB2D17"/>
    <w:rsid w:val="00AB2DD6"/>
    <w:rsid w:val="00AB2ED6"/>
    <w:rsid w:val="00AB2F01"/>
    <w:rsid w:val="00AB2F39"/>
    <w:rsid w:val="00AB3066"/>
    <w:rsid w:val="00AB30C8"/>
    <w:rsid w:val="00AB31CA"/>
    <w:rsid w:val="00AB3343"/>
    <w:rsid w:val="00AB34AD"/>
    <w:rsid w:val="00AB37A1"/>
    <w:rsid w:val="00AB37F8"/>
    <w:rsid w:val="00AB38CC"/>
    <w:rsid w:val="00AB39A4"/>
    <w:rsid w:val="00AB39AA"/>
    <w:rsid w:val="00AB39FD"/>
    <w:rsid w:val="00AB3A74"/>
    <w:rsid w:val="00AB3DC5"/>
    <w:rsid w:val="00AB3F4E"/>
    <w:rsid w:val="00AB3FE7"/>
    <w:rsid w:val="00AB4192"/>
    <w:rsid w:val="00AB42AE"/>
    <w:rsid w:val="00AB4588"/>
    <w:rsid w:val="00AB459E"/>
    <w:rsid w:val="00AB4678"/>
    <w:rsid w:val="00AB46E2"/>
    <w:rsid w:val="00AB4988"/>
    <w:rsid w:val="00AB49C4"/>
    <w:rsid w:val="00AB4A4F"/>
    <w:rsid w:val="00AB4AC8"/>
    <w:rsid w:val="00AB4AE0"/>
    <w:rsid w:val="00AB4B82"/>
    <w:rsid w:val="00AB4D55"/>
    <w:rsid w:val="00AB5085"/>
    <w:rsid w:val="00AB5173"/>
    <w:rsid w:val="00AB5194"/>
    <w:rsid w:val="00AB53F5"/>
    <w:rsid w:val="00AB568D"/>
    <w:rsid w:val="00AB56BE"/>
    <w:rsid w:val="00AB57F7"/>
    <w:rsid w:val="00AB58D0"/>
    <w:rsid w:val="00AB5A94"/>
    <w:rsid w:val="00AB5AC4"/>
    <w:rsid w:val="00AB5AE0"/>
    <w:rsid w:val="00AB5B23"/>
    <w:rsid w:val="00AB5C8C"/>
    <w:rsid w:val="00AB5D01"/>
    <w:rsid w:val="00AB5DEC"/>
    <w:rsid w:val="00AB5E1B"/>
    <w:rsid w:val="00AB60D5"/>
    <w:rsid w:val="00AB61EB"/>
    <w:rsid w:val="00AB62EE"/>
    <w:rsid w:val="00AB648F"/>
    <w:rsid w:val="00AB663D"/>
    <w:rsid w:val="00AB6660"/>
    <w:rsid w:val="00AB6714"/>
    <w:rsid w:val="00AB6AB9"/>
    <w:rsid w:val="00AB6AE8"/>
    <w:rsid w:val="00AB6B73"/>
    <w:rsid w:val="00AB6C95"/>
    <w:rsid w:val="00AB6DC0"/>
    <w:rsid w:val="00AB6F67"/>
    <w:rsid w:val="00AB7002"/>
    <w:rsid w:val="00AB70C1"/>
    <w:rsid w:val="00AB72DF"/>
    <w:rsid w:val="00AB7360"/>
    <w:rsid w:val="00AB74F3"/>
    <w:rsid w:val="00AB750D"/>
    <w:rsid w:val="00AB7571"/>
    <w:rsid w:val="00AB76E4"/>
    <w:rsid w:val="00AB7997"/>
    <w:rsid w:val="00AB7A81"/>
    <w:rsid w:val="00AB7AE4"/>
    <w:rsid w:val="00AB7C6F"/>
    <w:rsid w:val="00AB7CC5"/>
    <w:rsid w:val="00AB7F13"/>
    <w:rsid w:val="00AC008E"/>
    <w:rsid w:val="00AC01D8"/>
    <w:rsid w:val="00AC025B"/>
    <w:rsid w:val="00AC03A1"/>
    <w:rsid w:val="00AC06A7"/>
    <w:rsid w:val="00AC07B5"/>
    <w:rsid w:val="00AC099A"/>
    <w:rsid w:val="00AC0B36"/>
    <w:rsid w:val="00AC0D5D"/>
    <w:rsid w:val="00AC1114"/>
    <w:rsid w:val="00AC121B"/>
    <w:rsid w:val="00AC1338"/>
    <w:rsid w:val="00AC14A7"/>
    <w:rsid w:val="00AC1642"/>
    <w:rsid w:val="00AC1681"/>
    <w:rsid w:val="00AC173C"/>
    <w:rsid w:val="00AC19B0"/>
    <w:rsid w:val="00AC1AAB"/>
    <w:rsid w:val="00AC1BE2"/>
    <w:rsid w:val="00AC1BFE"/>
    <w:rsid w:val="00AC1D0D"/>
    <w:rsid w:val="00AC1E23"/>
    <w:rsid w:val="00AC1EE4"/>
    <w:rsid w:val="00AC20C8"/>
    <w:rsid w:val="00AC2382"/>
    <w:rsid w:val="00AC238E"/>
    <w:rsid w:val="00AC2683"/>
    <w:rsid w:val="00AC268D"/>
    <w:rsid w:val="00AC2804"/>
    <w:rsid w:val="00AC2A8E"/>
    <w:rsid w:val="00AC2ABA"/>
    <w:rsid w:val="00AC2BBE"/>
    <w:rsid w:val="00AC2F8B"/>
    <w:rsid w:val="00AC3040"/>
    <w:rsid w:val="00AC316F"/>
    <w:rsid w:val="00AC31E7"/>
    <w:rsid w:val="00AC32A9"/>
    <w:rsid w:val="00AC3389"/>
    <w:rsid w:val="00AC364A"/>
    <w:rsid w:val="00AC3903"/>
    <w:rsid w:val="00AC3BD3"/>
    <w:rsid w:val="00AC3C09"/>
    <w:rsid w:val="00AC3D31"/>
    <w:rsid w:val="00AC3D88"/>
    <w:rsid w:val="00AC4036"/>
    <w:rsid w:val="00AC4078"/>
    <w:rsid w:val="00AC41CF"/>
    <w:rsid w:val="00AC427C"/>
    <w:rsid w:val="00AC4477"/>
    <w:rsid w:val="00AC44F5"/>
    <w:rsid w:val="00AC45CD"/>
    <w:rsid w:val="00AC464E"/>
    <w:rsid w:val="00AC465F"/>
    <w:rsid w:val="00AC4925"/>
    <w:rsid w:val="00AC4939"/>
    <w:rsid w:val="00AC49B5"/>
    <w:rsid w:val="00AC4A6E"/>
    <w:rsid w:val="00AC4B16"/>
    <w:rsid w:val="00AC4BDD"/>
    <w:rsid w:val="00AC4D66"/>
    <w:rsid w:val="00AC4F7C"/>
    <w:rsid w:val="00AC5152"/>
    <w:rsid w:val="00AC52CA"/>
    <w:rsid w:val="00AC53B1"/>
    <w:rsid w:val="00AC55E6"/>
    <w:rsid w:val="00AC5604"/>
    <w:rsid w:val="00AC5607"/>
    <w:rsid w:val="00AC566B"/>
    <w:rsid w:val="00AC56E4"/>
    <w:rsid w:val="00AC5734"/>
    <w:rsid w:val="00AC579C"/>
    <w:rsid w:val="00AC57A6"/>
    <w:rsid w:val="00AC587D"/>
    <w:rsid w:val="00AC588A"/>
    <w:rsid w:val="00AC5AD0"/>
    <w:rsid w:val="00AC5BE5"/>
    <w:rsid w:val="00AC5CBF"/>
    <w:rsid w:val="00AC5CE9"/>
    <w:rsid w:val="00AC5DF6"/>
    <w:rsid w:val="00AC5E1C"/>
    <w:rsid w:val="00AC5F0D"/>
    <w:rsid w:val="00AC60D7"/>
    <w:rsid w:val="00AC6183"/>
    <w:rsid w:val="00AC6569"/>
    <w:rsid w:val="00AC6683"/>
    <w:rsid w:val="00AC67D0"/>
    <w:rsid w:val="00AC693B"/>
    <w:rsid w:val="00AC6B54"/>
    <w:rsid w:val="00AC6BDD"/>
    <w:rsid w:val="00AC6C19"/>
    <w:rsid w:val="00AC6C42"/>
    <w:rsid w:val="00AC6F1E"/>
    <w:rsid w:val="00AC70AC"/>
    <w:rsid w:val="00AC70B3"/>
    <w:rsid w:val="00AC70BA"/>
    <w:rsid w:val="00AC7134"/>
    <w:rsid w:val="00AC7148"/>
    <w:rsid w:val="00AC7155"/>
    <w:rsid w:val="00AC72BD"/>
    <w:rsid w:val="00AC72C9"/>
    <w:rsid w:val="00AC7741"/>
    <w:rsid w:val="00AC7891"/>
    <w:rsid w:val="00AC7900"/>
    <w:rsid w:val="00AC7937"/>
    <w:rsid w:val="00AC7A4E"/>
    <w:rsid w:val="00AC7A7D"/>
    <w:rsid w:val="00AC7B14"/>
    <w:rsid w:val="00AC7C9D"/>
    <w:rsid w:val="00AC7CE5"/>
    <w:rsid w:val="00AC7DB3"/>
    <w:rsid w:val="00AC7DDE"/>
    <w:rsid w:val="00AD0127"/>
    <w:rsid w:val="00AD016B"/>
    <w:rsid w:val="00AD0275"/>
    <w:rsid w:val="00AD030D"/>
    <w:rsid w:val="00AD062F"/>
    <w:rsid w:val="00AD0652"/>
    <w:rsid w:val="00AD071E"/>
    <w:rsid w:val="00AD0749"/>
    <w:rsid w:val="00AD07A3"/>
    <w:rsid w:val="00AD0838"/>
    <w:rsid w:val="00AD0885"/>
    <w:rsid w:val="00AD0D00"/>
    <w:rsid w:val="00AD0D16"/>
    <w:rsid w:val="00AD0D53"/>
    <w:rsid w:val="00AD0D5C"/>
    <w:rsid w:val="00AD0E99"/>
    <w:rsid w:val="00AD0EDF"/>
    <w:rsid w:val="00AD10F9"/>
    <w:rsid w:val="00AD117B"/>
    <w:rsid w:val="00AD13AA"/>
    <w:rsid w:val="00AD13C7"/>
    <w:rsid w:val="00AD149B"/>
    <w:rsid w:val="00AD150D"/>
    <w:rsid w:val="00AD158A"/>
    <w:rsid w:val="00AD15D9"/>
    <w:rsid w:val="00AD1626"/>
    <w:rsid w:val="00AD1635"/>
    <w:rsid w:val="00AD1751"/>
    <w:rsid w:val="00AD18DA"/>
    <w:rsid w:val="00AD1921"/>
    <w:rsid w:val="00AD194D"/>
    <w:rsid w:val="00AD1A0A"/>
    <w:rsid w:val="00AD1A87"/>
    <w:rsid w:val="00AD1AA2"/>
    <w:rsid w:val="00AD1ABE"/>
    <w:rsid w:val="00AD1B09"/>
    <w:rsid w:val="00AD1C29"/>
    <w:rsid w:val="00AD1C7A"/>
    <w:rsid w:val="00AD1C7E"/>
    <w:rsid w:val="00AD1D21"/>
    <w:rsid w:val="00AD1E22"/>
    <w:rsid w:val="00AD1EB2"/>
    <w:rsid w:val="00AD1F4B"/>
    <w:rsid w:val="00AD1F55"/>
    <w:rsid w:val="00AD1F76"/>
    <w:rsid w:val="00AD2005"/>
    <w:rsid w:val="00AD20E4"/>
    <w:rsid w:val="00AD2284"/>
    <w:rsid w:val="00AD2382"/>
    <w:rsid w:val="00AD2457"/>
    <w:rsid w:val="00AD2557"/>
    <w:rsid w:val="00AD2609"/>
    <w:rsid w:val="00AD29F3"/>
    <w:rsid w:val="00AD2D45"/>
    <w:rsid w:val="00AD30D9"/>
    <w:rsid w:val="00AD3202"/>
    <w:rsid w:val="00AD32A9"/>
    <w:rsid w:val="00AD32B0"/>
    <w:rsid w:val="00AD32E4"/>
    <w:rsid w:val="00AD32F3"/>
    <w:rsid w:val="00AD33AC"/>
    <w:rsid w:val="00AD34DD"/>
    <w:rsid w:val="00AD34E4"/>
    <w:rsid w:val="00AD35F9"/>
    <w:rsid w:val="00AD36FB"/>
    <w:rsid w:val="00AD3798"/>
    <w:rsid w:val="00AD3804"/>
    <w:rsid w:val="00AD3828"/>
    <w:rsid w:val="00AD3B19"/>
    <w:rsid w:val="00AD3B57"/>
    <w:rsid w:val="00AD4293"/>
    <w:rsid w:val="00AD4473"/>
    <w:rsid w:val="00AD4530"/>
    <w:rsid w:val="00AD456E"/>
    <w:rsid w:val="00AD473E"/>
    <w:rsid w:val="00AD47BF"/>
    <w:rsid w:val="00AD4841"/>
    <w:rsid w:val="00AD48B6"/>
    <w:rsid w:val="00AD4B12"/>
    <w:rsid w:val="00AD4B15"/>
    <w:rsid w:val="00AD4B6D"/>
    <w:rsid w:val="00AD4B6F"/>
    <w:rsid w:val="00AD4B90"/>
    <w:rsid w:val="00AD4BC1"/>
    <w:rsid w:val="00AD4BDE"/>
    <w:rsid w:val="00AD4CAE"/>
    <w:rsid w:val="00AD4F43"/>
    <w:rsid w:val="00AD4F69"/>
    <w:rsid w:val="00AD5092"/>
    <w:rsid w:val="00AD50FB"/>
    <w:rsid w:val="00AD5385"/>
    <w:rsid w:val="00AD5672"/>
    <w:rsid w:val="00AD56B8"/>
    <w:rsid w:val="00AD56E2"/>
    <w:rsid w:val="00AD5748"/>
    <w:rsid w:val="00AD5789"/>
    <w:rsid w:val="00AD585C"/>
    <w:rsid w:val="00AD59B8"/>
    <w:rsid w:val="00AD5A56"/>
    <w:rsid w:val="00AD5AD6"/>
    <w:rsid w:val="00AD5D10"/>
    <w:rsid w:val="00AD5D68"/>
    <w:rsid w:val="00AD5E3F"/>
    <w:rsid w:val="00AD60B4"/>
    <w:rsid w:val="00AD6111"/>
    <w:rsid w:val="00AD61CB"/>
    <w:rsid w:val="00AD6203"/>
    <w:rsid w:val="00AD62F6"/>
    <w:rsid w:val="00AD6323"/>
    <w:rsid w:val="00AD638C"/>
    <w:rsid w:val="00AD64A1"/>
    <w:rsid w:val="00AD64C9"/>
    <w:rsid w:val="00AD6565"/>
    <w:rsid w:val="00AD670D"/>
    <w:rsid w:val="00AD6775"/>
    <w:rsid w:val="00AD67CF"/>
    <w:rsid w:val="00AD69A0"/>
    <w:rsid w:val="00AD6A06"/>
    <w:rsid w:val="00AD6D2E"/>
    <w:rsid w:val="00AD6EFF"/>
    <w:rsid w:val="00AD7143"/>
    <w:rsid w:val="00AD71A9"/>
    <w:rsid w:val="00AD731C"/>
    <w:rsid w:val="00AD763D"/>
    <w:rsid w:val="00AD7649"/>
    <w:rsid w:val="00AD7927"/>
    <w:rsid w:val="00AD79D2"/>
    <w:rsid w:val="00AD7A30"/>
    <w:rsid w:val="00AD7BFD"/>
    <w:rsid w:val="00AD7C02"/>
    <w:rsid w:val="00AD7DAA"/>
    <w:rsid w:val="00AD7F03"/>
    <w:rsid w:val="00AE0044"/>
    <w:rsid w:val="00AE0083"/>
    <w:rsid w:val="00AE0183"/>
    <w:rsid w:val="00AE025B"/>
    <w:rsid w:val="00AE0264"/>
    <w:rsid w:val="00AE0467"/>
    <w:rsid w:val="00AE056D"/>
    <w:rsid w:val="00AE069C"/>
    <w:rsid w:val="00AE07AE"/>
    <w:rsid w:val="00AE09E7"/>
    <w:rsid w:val="00AE0C05"/>
    <w:rsid w:val="00AE0C6A"/>
    <w:rsid w:val="00AE0CC4"/>
    <w:rsid w:val="00AE0CF8"/>
    <w:rsid w:val="00AE0F0D"/>
    <w:rsid w:val="00AE10C2"/>
    <w:rsid w:val="00AE1187"/>
    <w:rsid w:val="00AE11A5"/>
    <w:rsid w:val="00AE1243"/>
    <w:rsid w:val="00AE1274"/>
    <w:rsid w:val="00AE1373"/>
    <w:rsid w:val="00AE1382"/>
    <w:rsid w:val="00AE1422"/>
    <w:rsid w:val="00AE1513"/>
    <w:rsid w:val="00AE15CF"/>
    <w:rsid w:val="00AE17EA"/>
    <w:rsid w:val="00AE180C"/>
    <w:rsid w:val="00AE18F2"/>
    <w:rsid w:val="00AE19E3"/>
    <w:rsid w:val="00AE1A22"/>
    <w:rsid w:val="00AE1A64"/>
    <w:rsid w:val="00AE1C3D"/>
    <w:rsid w:val="00AE1C48"/>
    <w:rsid w:val="00AE1C81"/>
    <w:rsid w:val="00AE1CC0"/>
    <w:rsid w:val="00AE1D6F"/>
    <w:rsid w:val="00AE20A6"/>
    <w:rsid w:val="00AE20F1"/>
    <w:rsid w:val="00AE2147"/>
    <w:rsid w:val="00AE219B"/>
    <w:rsid w:val="00AE21CD"/>
    <w:rsid w:val="00AE23E5"/>
    <w:rsid w:val="00AE24F7"/>
    <w:rsid w:val="00AE27D4"/>
    <w:rsid w:val="00AE2918"/>
    <w:rsid w:val="00AE2962"/>
    <w:rsid w:val="00AE2B28"/>
    <w:rsid w:val="00AE2C30"/>
    <w:rsid w:val="00AE2C7C"/>
    <w:rsid w:val="00AE2EE8"/>
    <w:rsid w:val="00AE301A"/>
    <w:rsid w:val="00AE30F5"/>
    <w:rsid w:val="00AE31AE"/>
    <w:rsid w:val="00AE330B"/>
    <w:rsid w:val="00AE3433"/>
    <w:rsid w:val="00AE34E2"/>
    <w:rsid w:val="00AE36E0"/>
    <w:rsid w:val="00AE37A2"/>
    <w:rsid w:val="00AE3963"/>
    <w:rsid w:val="00AE3A0A"/>
    <w:rsid w:val="00AE3C8F"/>
    <w:rsid w:val="00AE3DCD"/>
    <w:rsid w:val="00AE3E2D"/>
    <w:rsid w:val="00AE3E61"/>
    <w:rsid w:val="00AE3E7F"/>
    <w:rsid w:val="00AE3ED9"/>
    <w:rsid w:val="00AE3F97"/>
    <w:rsid w:val="00AE4344"/>
    <w:rsid w:val="00AE43D0"/>
    <w:rsid w:val="00AE44FC"/>
    <w:rsid w:val="00AE4796"/>
    <w:rsid w:val="00AE4798"/>
    <w:rsid w:val="00AE491F"/>
    <w:rsid w:val="00AE4955"/>
    <w:rsid w:val="00AE4988"/>
    <w:rsid w:val="00AE49C7"/>
    <w:rsid w:val="00AE4AF0"/>
    <w:rsid w:val="00AE4D16"/>
    <w:rsid w:val="00AE4D31"/>
    <w:rsid w:val="00AE4EAF"/>
    <w:rsid w:val="00AE4EBC"/>
    <w:rsid w:val="00AE500D"/>
    <w:rsid w:val="00AE5107"/>
    <w:rsid w:val="00AE5128"/>
    <w:rsid w:val="00AE528A"/>
    <w:rsid w:val="00AE537A"/>
    <w:rsid w:val="00AE55AA"/>
    <w:rsid w:val="00AE55C8"/>
    <w:rsid w:val="00AE5669"/>
    <w:rsid w:val="00AE5695"/>
    <w:rsid w:val="00AE56EC"/>
    <w:rsid w:val="00AE5703"/>
    <w:rsid w:val="00AE5770"/>
    <w:rsid w:val="00AE5787"/>
    <w:rsid w:val="00AE57E8"/>
    <w:rsid w:val="00AE58CF"/>
    <w:rsid w:val="00AE5962"/>
    <w:rsid w:val="00AE59E7"/>
    <w:rsid w:val="00AE5A91"/>
    <w:rsid w:val="00AE5BF0"/>
    <w:rsid w:val="00AE5C4F"/>
    <w:rsid w:val="00AE5D41"/>
    <w:rsid w:val="00AE5E10"/>
    <w:rsid w:val="00AE5E6A"/>
    <w:rsid w:val="00AE5EF0"/>
    <w:rsid w:val="00AE5F95"/>
    <w:rsid w:val="00AE5FD0"/>
    <w:rsid w:val="00AE60A6"/>
    <w:rsid w:val="00AE61C1"/>
    <w:rsid w:val="00AE6330"/>
    <w:rsid w:val="00AE6388"/>
    <w:rsid w:val="00AE65D0"/>
    <w:rsid w:val="00AE664D"/>
    <w:rsid w:val="00AE6933"/>
    <w:rsid w:val="00AE695F"/>
    <w:rsid w:val="00AE697A"/>
    <w:rsid w:val="00AE6B4D"/>
    <w:rsid w:val="00AE6DF6"/>
    <w:rsid w:val="00AE6EF8"/>
    <w:rsid w:val="00AE6FC1"/>
    <w:rsid w:val="00AE743A"/>
    <w:rsid w:val="00AE7523"/>
    <w:rsid w:val="00AE7577"/>
    <w:rsid w:val="00AE75DC"/>
    <w:rsid w:val="00AE785A"/>
    <w:rsid w:val="00AE7918"/>
    <w:rsid w:val="00AE7AA3"/>
    <w:rsid w:val="00AE7AD6"/>
    <w:rsid w:val="00AE7E9D"/>
    <w:rsid w:val="00AE7F16"/>
    <w:rsid w:val="00AF0072"/>
    <w:rsid w:val="00AF01F1"/>
    <w:rsid w:val="00AF02AA"/>
    <w:rsid w:val="00AF05EC"/>
    <w:rsid w:val="00AF069B"/>
    <w:rsid w:val="00AF06B3"/>
    <w:rsid w:val="00AF09B3"/>
    <w:rsid w:val="00AF0C5C"/>
    <w:rsid w:val="00AF0CF3"/>
    <w:rsid w:val="00AF0D4A"/>
    <w:rsid w:val="00AF0D78"/>
    <w:rsid w:val="00AF0DDE"/>
    <w:rsid w:val="00AF0F1A"/>
    <w:rsid w:val="00AF0F68"/>
    <w:rsid w:val="00AF0F9B"/>
    <w:rsid w:val="00AF0FE5"/>
    <w:rsid w:val="00AF1039"/>
    <w:rsid w:val="00AF1088"/>
    <w:rsid w:val="00AF1175"/>
    <w:rsid w:val="00AF1196"/>
    <w:rsid w:val="00AF12B5"/>
    <w:rsid w:val="00AF14D3"/>
    <w:rsid w:val="00AF1691"/>
    <w:rsid w:val="00AF1837"/>
    <w:rsid w:val="00AF19DC"/>
    <w:rsid w:val="00AF1A37"/>
    <w:rsid w:val="00AF1AE8"/>
    <w:rsid w:val="00AF1B3B"/>
    <w:rsid w:val="00AF1D77"/>
    <w:rsid w:val="00AF1E6B"/>
    <w:rsid w:val="00AF1E7E"/>
    <w:rsid w:val="00AF1F17"/>
    <w:rsid w:val="00AF2001"/>
    <w:rsid w:val="00AF20ED"/>
    <w:rsid w:val="00AF2150"/>
    <w:rsid w:val="00AF2192"/>
    <w:rsid w:val="00AF2443"/>
    <w:rsid w:val="00AF2461"/>
    <w:rsid w:val="00AF255E"/>
    <w:rsid w:val="00AF2565"/>
    <w:rsid w:val="00AF26DB"/>
    <w:rsid w:val="00AF2774"/>
    <w:rsid w:val="00AF283D"/>
    <w:rsid w:val="00AF28A2"/>
    <w:rsid w:val="00AF2933"/>
    <w:rsid w:val="00AF29BD"/>
    <w:rsid w:val="00AF29FF"/>
    <w:rsid w:val="00AF2B8C"/>
    <w:rsid w:val="00AF2D00"/>
    <w:rsid w:val="00AF2D36"/>
    <w:rsid w:val="00AF2D82"/>
    <w:rsid w:val="00AF31BF"/>
    <w:rsid w:val="00AF326A"/>
    <w:rsid w:val="00AF3655"/>
    <w:rsid w:val="00AF3B30"/>
    <w:rsid w:val="00AF3BD9"/>
    <w:rsid w:val="00AF3C35"/>
    <w:rsid w:val="00AF3D1C"/>
    <w:rsid w:val="00AF3DD7"/>
    <w:rsid w:val="00AF3E7F"/>
    <w:rsid w:val="00AF3E98"/>
    <w:rsid w:val="00AF3EEA"/>
    <w:rsid w:val="00AF4099"/>
    <w:rsid w:val="00AF4259"/>
    <w:rsid w:val="00AF42AB"/>
    <w:rsid w:val="00AF437A"/>
    <w:rsid w:val="00AF4402"/>
    <w:rsid w:val="00AF44CB"/>
    <w:rsid w:val="00AF462F"/>
    <w:rsid w:val="00AF466B"/>
    <w:rsid w:val="00AF479F"/>
    <w:rsid w:val="00AF484C"/>
    <w:rsid w:val="00AF4917"/>
    <w:rsid w:val="00AF498E"/>
    <w:rsid w:val="00AF4E27"/>
    <w:rsid w:val="00AF4E57"/>
    <w:rsid w:val="00AF4ED2"/>
    <w:rsid w:val="00AF509A"/>
    <w:rsid w:val="00AF50B8"/>
    <w:rsid w:val="00AF5475"/>
    <w:rsid w:val="00AF5488"/>
    <w:rsid w:val="00AF54BF"/>
    <w:rsid w:val="00AF56C0"/>
    <w:rsid w:val="00AF56F8"/>
    <w:rsid w:val="00AF59CC"/>
    <w:rsid w:val="00AF5A78"/>
    <w:rsid w:val="00AF5B20"/>
    <w:rsid w:val="00AF5B4C"/>
    <w:rsid w:val="00AF5B70"/>
    <w:rsid w:val="00AF5BB7"/>
    <w:rsid w:val="00AF5C13"/>
    <w:rsid w:val="00AF5C85"/>
    <w:rsid w:val="00AF5D35"/>
    <w:rsid w:val="00AF5E2A"/>
    <w:rsid w:val="00AF5E56"/>
    <w:rsid w:val="00AF5F51"/>
    <w:rsid w:val="00AF5F92"/>
    <w:rsid w:val="00AF631A"/>
    <w:rsid w:val="00AF63F7"/>
    <w:rsid w:val="00AF64AB"/>
    <w:rsid w:val="00AF66FE"/>
    <w:rsid w:val="00AF6A45"/>
    <w:rsid w:val="00AF6A66"/>
    <w:rsid w:val="00AF6AC1"/>
    <w:rsid w:val="00AF6B57"/>
    <w:rsid w:val="00AF6CB5"/>
    <w:rsid w:val="00AF6DB6"/>
    <w:rsid w:val="00AF6DC9"/>
    <w:rsid w:val="00AF7046"/>
    <w:rsid w:val="00AF707A"/>
    <w:rsid w:val="00AF71CE"/>
    <w:rsid w:val="00AF7204"/>
    <w:rsid w:val="00AF72AD"/>
    <w:rsid w:val="00AF7369"/>
    <w:rsid w:val="00AF73A9"/>
    <w:rsid w:val="00AF74B1"/>
    <w:rsid w:val="00AF75C1"/>
    <w:rsid w:val="00AF7674"/>
    <w:rsid w:val="00AF7856"/>
    <w:rsid w:val="00AF7927"/>
    <w:rsid w:val="00AF7A81"/>
    <w:rsid w:val="00AF7B33"/>
    <w:rsid w:val="00AF7C85"/>
    <w:rsid w:val="00AF7CC0"/>
    <w:rsid w:val="00AF7CE3"/>
    <w:rsid w:val="00AF7CE8"/>
    <w:rsid w:val="00AF7D09"/>
    <w:rsid w:val="00AF7D66"/>
    <w:rsid w:val="00AF7E65"/>
    <w:rsid w:val="00AF7FBB"/>
    <w:rsid w:val="00AF7FC6"/>
    <w:rsid w:val="00B0019C"/>
    <w:rsid w:val="00B0037C"/>
    <w:rsid w:val="00B00394"/>
    <w:rsid w:val="00B0054E"/>
    <w:rsid w:val="00B006FC"/>
    <w:rsid w:val="00B00737"/>
    <w:rsid w:val="00B0101C"/>
    <w:rsid w:val="00B012D9"/>
    <w:rsid w:val="00B01347"/>
    <w:rsid w:val="00B014D2"/>
    <w:rsid w:val="00B0151F"/>
    <w:rsid w:val="00B015E8"/>
    <w:rsid w:val="00B0177E"/>
    <w:rsid w:val="00B01798"/>
    <w:rsid w:val="00B0196D"/>
    <w:rsid w:val="00B01B52"/>
    <w:rsid w:val="00B01B6C"/>
    <w:rsid w:val="00B01F06"/>
    <w:rsid w:val="00B01FEF"/>
    <w:rsid w:val="00B0200B"/>
    <w:rsid w:val="00B0210C"/>
    <w:rsid w:val="00B021A7"/>
    <w:rsid w:val="00B024FC"/>
    <w:rsid w:val="00B026EA"/>
    <w:rsid w:val="00B0294B"/>
    <w:rsid w:val="00B029F3"/>
    <w:rsid w:val="00B02A3A"/>
    <w:rsid w:val="00B02B04"/>
    <w:rsid w:val="00B02B3B"/>
    <w:rsid w:val="00B02C8C"/>
    <w:rsid w:val="00B02D28"/>
    <w:rsid w:val="00B02D82"/>
    <w:rsid w:val="00B02DCF"/>
    <w:rsid w:val="00B02DDA"/>
    <w:rsid w:val="00B02EDF"/>
    <w:rsid w:val="00B03191"/>
    <w:rsid w:val="00B03346"/>
    <w:rsid w:val="00B033ED"/>
    <w:rsid w:val="00B03694"/>
    <w:rsid w:val="00B03706"/>
    <w:rsid w:val="00B037A4"/>
    <w:rsid w:val="00B037DD"/>
    <w:rsid w:val="00B0390D"/>
    <w:rsid w:val="00B03BF3"/>
    <w:rsid w:val="00B03D79"/>
    <w:rsid w:val="00B03DDE"/>
    <w:rsid w:val="00B03EB6"/>
    <w:rsid w:val="00B03EBF"/>
    <w:rsid w:val="00B04120"/>
    <w:rsid w:val="00B042EE"/>
    <w:rsid w:val="00B043E9"/>
    <w:rsid w:val="00B044BC"/>
    <w:rsid w:val="00B0452B"/>
    <w:rsid w:val="00B04610"/>
    <w:rsid w:val="00B047DC"/>
    <w:rsid w:val="00B04A36"/>
    <w:rsid w:val="00B04B6E"/>
    <w:rsid w:val="00B04E34"/>
    <w:rsid w:val="00B04EED"/>
    <w:rsid w:val="00B05171"/>
    <w:rsid w:val="00B0529F"/>
    <w:rsid w:val="00B05694"/>
    <w:rsid w:val="00B0574A"/>
    <w:rsid w:val="00B05917"/>
    <w:rsid w:val="00B059D7"/>
    <w:rsid w:val="00B05AA8"/>
    <w:rsid w:val="00B05D0F"/>
    <w:rsid w:val="00B05D39"/>
    <w:rsid w:val="00B0601E"/>
    <w:rsid w:val="00B06058"/>
    <w:rsid w:val="00B0606B"/>
    <w:rsid w:val="00B060F5"/>
    <w:rsid w:val="00B064D9"/>
    <w:rsid w:val="00B064F6"/>
    <w:rsid w:val="00B06606"/>
    <w:rsid w:val="00B0674E"/>
    <w:rsid w:val="00B068DE"/>
    <w:rsid w:val="00B0690D"/>
    <w:rsid w:val="00B06986"/>
    <w:rsid w:val="00B06989"/>
    <w:rsid w:val="00B06AA9"/>
    <w:rsid w:val="00B06B79"/>
    <w:rsid w:val="00B06E53"/>
    <w:rsid w:val="00B06ED9"/>
    <w:rsid w:val="00B06EF7"/>
    <w:rsid w:val="00B0725D"/>
    <w:rsid w:val="00B073A9"/>
    <w:rsid w:val="00B07582"/>
    <w:rsid w:val="00B076DB"/>
    <w:rsid w:val="00B077F3"/>
    <w:rsid w:val="00B07865"/>
    <w:rsid w:val="00B07BEE"/>
    <w:rsid w:val="00B07E75"/>
    <w:rsid w:val="00B07FC8"/>
    <w:rsid w:val="00B1009F"/>
    <w:rsid w:val="00B1015A"/>
    <w:rsid w:val="00B102BC"/>
    <w:rsid w:val="00B1031B"/>
    <w:rsid w:val="00B10451"/>
    <w:rsid w:val="00B105BA"/>
    <w:rsid w:val="00B109A3"/>
    <w:rsid w:val="00B10BA2"/>
    <w:rsid w:val="00B10C16"/>
    <w:rsid w:val="00B10D1E"/>
    <w:rsid w:val="00B10D73"/>
    <w:rsid w:val="00B10E6D"/>
    <w:rsid w:val="00B11069"/>
    <w:rsid w:val="00B11137"/>
    <w:rsid w:val="00B11172"/>
    <w:rsid w:val="00B11221"/>
    <w:rsid w:val="00B11222"/>
    <w:rsid w:val="00B112A0"/>
    <w:rsid w:val="00B1139D"/>
    <w:rsid w:val="00B11412"/>
    <w:rsid w:val="00B11522"/>
    <w:rsid w:val="00B115FA"/>
    <w:rsid w:val="00B11672"/>
    <w:rsid w:val="00B117C9"/>
    <w:rsid w:val="00B1187F"/>
    <w:rsid w:val="00B11994"/>
    <w:rsid w:val="00B119C9"/>
    <w:rsid w:val="00B11BF9"/>
    <w:rsid w:val="00B11C2B"/>
    <w:rsid w:val="00B11CC0"/>
    <w:rsid w:val="00B11E5C"/>
    <w:rsid w:val="00B11F80"/>
    <w:rsid w:val="00B120C5"/>
    <w:rsid w:val="00B120E5"/>
    <w:rsid w:val="00B120F3"/>
    <w:rsid w:val="00B1210B"/>
    <w:rsid w:val="00B12149"/>
    <w:rsid w:val="00B121CD"/>
    <w:rsid w:val="00B12388"/>
    <w:rsid w:val="00B1239B"/>
    <w:rsid w:val="00B123C3"/>
    <w:rsid w:val="00B123EF"/>
    <w:rsid w:val="00B12451"/>
    <w:rsid w:val="00B125D3"/>
    <w:rsid w:val="00B126C1"/>
    <w:rsid w:val="00B1272C"/>
    <w:rsid w:val="00B1286D"/>
    <w:rsid w:val="00B129C5"/>
    <w:rsid w:val="00B129FD"/>
    <w:rsid w:val="00B12A92"/>
    <w:rsid w:val="00B12B7A"/>
    <w:rsid w:val="00B12D09"/>
    <w:rsid w:val="00B12E3B"/>
    <w:rsid w:val="00B13287"/>
    <w:rsid w:val="00B132A3"/>
    <w:rsid w:val="00B13436"/>
    <w:rsid w:val="00B13455"/>
    <w:rsid w:val="00B134E5"/>
    <w:rsid w:val="00B13767"/>
    <w:rsid w:val="00B13A00"/>
    <w:rsid w:val="00B13DAC"/>
    <w:rsid w:val="00B13F11"/>
    <w:rsid w:val="00B1419B"/>
    <w:rsid w:val="00B14309"/>
    <w:rsid w:val="00B1431E"/>
    <w:rsid w:val="00B14365"/>
    <w:rsid w:val="00B143A7"/>
    <w:rsid w:val="00B144FE"/>
    <w:rsid w:val="00B14563"/>
    <w:rsid w:val="00B145DE"/>
    <w:rsid w:val="00B14793"/>
    <w:rsid w:val="00B14A0A"/>
    <w:rsid w:val="00B14A72"/>
    <w:rsid w:val="00B14AF3"/>
    <w:rsid w:val="00B14B2D"/>
    <w:rsid w:val="00B14C9A"/>
    <w:rsid w:val="00B14DAA"/>
    <w:rsid w:val="00B14DBE"/>
    <w:rsid w:val="00B14EAE"/>
    <w:rsid w:val="00B14F1E"/>
    <w:rsid w:val="00B1511A"/>
    <w:rsid w:val="00B15152"/>
    <w:rsid w:val="00B15331"/>
    <w:rsid w:val="00B15356"/>
    <w:rsid w:val="00B1555C"/>
    <w:rsid w:val="00B1564E"/>
    <w:rsid w:val="00B156F2"/>
    <w:rsid w:val="00B157BA"/>
    <w:rsid w:val="00B15848"/>
    <w:rsid w:val="00B15AA4"/>
    <w:rsid w:val="00B15AF9"/>
    <w:rsid w:val="00B15B49"/>
    <w:rsid w:val="00B15B71"/>
    <w:rsid w:val="00B15E42"/>
    <w:rsid w:val="00B16110"/>
    <w:rsid w:val="00B161B4"/>
    <w:rsid w:val="00B162A9"/>
    <w:rsid w:val="00B16336"/>
    <w:rsid w:val="00B16574"/>
    <w:rsid w:val="00B165E6"/>
    <w:rsid w:val="00B16706"/>
    <w:rsid w:val="00B1679C"/>
    <w:rsid w:val="00B16826"/>
    <w:rsid w:val="00B1683C"/>
    <w:rsid w:val="00B16B46"/>
    <w:rsid w:val="00B16B98"/>
    <w:rsid w:val="00B16BF1"/>
    <w:rsid w:val="00B16DB1"/>
    <w:rsid w:val="00B16F1B"/>
    <w:rsid w:val="00B16FCC"/>
    <w:rsid w:val="00B17341"/>
    <w:rsid w:val="00B173B5"/>
    <w:rsid w:val="00B17613"/>
    <w:rsid w:val="00B176B8"/>
    <w:rsid w:val="00B17796"/>
    <w:rsid w:val="00B177BF"/>
    <w:rsid w:val="00B17B53"/>
    <w:rsid w:val="00B17CB6"/>
    <w:rsid w:val="00B17D40"/>
    <w:rsid w:val="00B17D68"/>
    <w:rsid w:val="00B17D81"/>
    <w:rsid w:val="00B17DB5"/>
    <w:rsid w:val="00B2006A"/>
    <w:rsid w:val="00B20102"/>
    <w:rsid w:val="00B2042E"/>
    <w:rsid w:val="00B205A3"/>
    <w:rsid w:val="00B20689"/>
    <w:rsid w:val="00B2071F"/>
    <w:rsid w:val="00B207D4"/>
    <w:rsid w:val="00B209CD"/>
    <w:rsid w:val="00B20AA5"/>
    <w:rsid w:val="00B20BBD"/>
    <w:rsid w:val="00B20F23"/>
    <w:rsid w:val="00B20F64"/>
    <w:rsid w:val="00B20FAC"/>
    <w:rsid w:val="00B211C9"/>
    <w:rsid w:val="00B21228"/>
    <w:rsid w:val="00B21246"/>
    <w:rsid w:val="00B2125E"/>
    <w:rsid w:val="00B2129C"/>
    <w:rsid w:val="00B2131F"/>
    <w:rsid w:val="00B21686"/>
    <w:rsid w:val="00B217EE"/>
    <w:rsid w:val="00B2180B"/>
    <w:rsid w:val="00B219D1"/>
    <w:rsid w:val="00B21BAE"/>
    <w:rsid w:val="00B21BB5"/>
    <w:rsid w:val="00B21BC7"/>
    <w:rsid w:val="00B21BF6"/>
    <w:rsid w:val="00B21D8F"/>
    <w:rsid w:val="00B21E2A"/>
    <w:rsid w:val="00B21E77"/>
    <w:rsid w:val="00B22144"/>
    <w:rsid w:val="00B22488"/>
    <w:rsid w:val="00B22656"/>
    <w:rsid w:val="00B22972"/>
    <w:rsid w:val="00B229C8"/>
    <w:rsid w:val="00B22A56"/>
    <w:rsid w:val="00B22A7D"/>
    <w:rsid w:val="00B22B12"/>
    <w:rsid w:val="00B22B23"/>
    <w:rsid w:val="00B22B5B"/>
    <w:rsid w:val="00B22CD8"/>
    <w:rsid w:val="00B22DAC"/>
    <w:rsid w:val="00B22DDC"/>
    <w:rsid w:val="00B22F28"/>
    <w:rsid w:val="00B22F31"/>
    <w:rsid w:val="00B2304C"/>
    <w:rsid w:val="00B230B4"/>
    <w:rsid w:val="00B23136"/>
    <w:rsid w:val="00B2319C"/>
    <w:rsid w:val="00B23240"/>
    <w:rsid w:val="00B23258"/>
    <w:rsid w:val="00B23405"/>
    <w:rsid w:val="00B23482"/>
    <w:rsid w:val="00B23502"/>
    <w:rsid w:val="00B23541"/>
    <w:rsid w:val="00B23603"/>
    <w:rsid w:val="00B237D1"/>
    <w:rsid w:val="00B23965"/>
    <w:rsid w:val="00B23AEA"/>
    <w:rsid w:val="00B23B0E"/>
    <w:rsid w:val="00B23BAC"/>
    <w:rsid w:val="00B23C1E"/>
    <w:rsid w:val="00B23E15"/>
    <w:rsid w:val="00B23F54"/>
    <w:rsid w:val="00B23F7B"/>
    <w:rsid w:val="00B23FED"/>
    <w:rsid w:val="00B2421A"/>
    <w:rsid w:val="00B2434A"/>
    <w:rsid w:val="00B243AB"/>
    <w:rsid w:val="00B2441D"/>
    <w:rsid w:val="00B24428"/>
    <w:rsid w:val="00B244E8"/>
    <w:rsid w:val="00B2452B"/>
    <w:rsid w:val="00B24739"/>
    <w:rsid w:val="00B24890"/>
    <w:rsid w:val="00B2493C"/>
    <w:rsid w:val="00B2497F"/>
    <w:rsid w:val="00B24A41"/>
    <w:rsid w:val="00B24B77"/>
    <w:rsid w:val="00B24C0C"/>
    <w:rsid w:val="00B24C48"/>
    <w:rsid w:val="00B24D27"/>
    <w:rsid w:val="00B24DA2"/>
    <w:rsid w:val="00B24E5B"/>
    <w:rsid w:val="00B24E7B"/>
    <w:rsid w:val="00B24F7A"/>
    <w:rsid w:val="00B24FB7"/>
    <w:rsid w:val="00B25030"/>
    <w:rsid w:val="00B25064"/>
    <w:rsid w:val="00B25110"/>
    <w:rsid w:val="00B2527C"/>
    <w:rsid w:val="00B253F0"/>
    <w:rsid w:val="00B25408"/>
    <w:rsid w:val="00B25512"/>
    <w:rsid w:val="00B25695"/>
    <w:rsid w:val="00B256C8"/>
    <w:rsid w:val="00B256D7"/>
    <w:rsid w:val="00B258D3"/>
    <w:rsid w:val="00B25CA7"/>
    <w:rsid w:val="00B25CE8"/>
    <w:rsid w:val="00B25D69"/>
    <w:rsid w:val="00B25E19"/>
    <w:rsid w:val="00B25E7C"/>
    <w:rsid w:val="00B25F08"/>
    <w:rsid w:val="00B25F4B"/>
    <w:rsid w:val="00B25F8D"/>
    <w:rsid w:val="00B26013"/>
    <w:rsid w:val="00B2601F"/>
    <w:rsid w:val="00B260A8"/>
    <w:rsid w:val="00B26220"/>
    <w:rsid w:val="00B2627D"/>
    <w:rsid w:val="00B263DC"/>
    <w:rsid w:val="00B26611"/>
    <w:rsid w:val="00B2672A"/>
    <w:rsid w:val="00B2681C"/>
    <w:rsid w:val="00B268F9"/>
    <w:rsid w:val="00B2691D"/>
    <w:rsid w:val="00B269E8"/>
    <w:rsid w:val="00B26A0D"/>
    <w:rsid w:val="00B26A8F"/>
    <w:rsid w:val="00B26F69"/>
    <w:rsid w:val="00B27056"/>
    <w:rsid w:val="00B27096"/>
    <w:rsid w:val="00B2737D"/>
    <w:rsid w:val="00B274CD"/>
    <w:rsid w:val="00B27507"/>
    <w:rsid w:val="00B27580"/>
    <w:rsid w:val="00B27918"/>
    <w:rsid w:val="00B279BB"/>
    <w:rsid w:val="00B279E3"/>
    <w:rsid w:val="00B27B29"/>
    <w:rsid w:val="00B27B3D"/>
    <w:rsid w:val="00B27D36"/>
    <w:rsid w:val="00B27E01"/>
    <w:rsid w:val="00B27E81"/>
    <w:rsid w:val="00B27E8B"/>
    <w:rsid w:val="00B27FB6"/>
    <w:rsid w:val="00B30055"/>
    <w:rsid w:val="00B301B6"/>
    <w:rsid w:val="00B3026B"/>
    <w:rsid w:val="00B302FA"/>
    <w:rsid w:val="00B30342"/>
    <w:rsid w:val="00B30476"/>
    <w:rsid w:val="00B30563"/>
    <w:rsid w:val="00B305DE"/>
    <w:rsid w:val="00B30725"/>
    <w:rsid w:val="00B308FF"/>
    <w:rsid w:val="00B30990"/>
    <w:rsid w:val="00B30A13"/>
    <w:rsid w:val="00B30B40"/>
    <w:rsid w:val="00B30DB9"/>
    <w:rsid w:val="00B30DBB"/>
    <w:rsid w:val="00B30EAA"/>
    <w:rsid w:val="00B30F6D"/>
    <w:rsid w:val="00B31040"/>
    <w:rsid w:val="00B31237"/>
    <w:rsid w:val="00B31242"/>
    <w:rsid w:val="00B312B7"/>
    <w:rsid w:val="00B312DA"/>
    <w:rsid w:val="00B31391"/>
    <w:rsid w:val="00B315BA"/>
    <w:rsid w:val="00B31614"/>
    <w:rsid w:val="00B31692"/>
    <w:rsid w:val="00B317EA"/>
    <w:rsid w:val="00B31A0F"/>
    <w:rsid w:val="00B31B01"/>
    <w:rsid w:val="00B31B1C"/>
    <w:rsid w:val="00B31BC6"/>
    <w:rsid w:val="00B320E1"/>
    <w:rsid w:val="00B320ED"/>
    <w:rsid w:val="00B321FF"/>
    <w:rsid w:val="00B32320"/>
    <w:rsid w:val="00B3234D"/>
    <w:rsid w:val="00B3236B"/>
    <w:rsid w:val="00B324DB"/>
    <w:rsid w:val="00B328EB"/>
    <w:rsid w:val="00B329E7"/>
    <w:rsid w:val="00B32A18"/>
    <w:rsid w:val="00B32AB7"/>
    <w:rsid w:val="00B32B3F"/>
    <w:rsid w:val="00B32BD2"/>
    <w:rsid w:val="00B32CCC"/>
    <w:rsid w:val="00B32D6C"/>
    <w:rsid w:val="00B32DE9"/>
    <w:rsid w:val="00B32F19"/>
    <w:rsid w:val="00B32FB2"/>
    <w:rsid w:val="00B331F5"/>
    <w:rsid w:val="00B33277"/>
    <w:rsid w:val="00B332D6"/>
    <w:rsid w:val="00B334C9"/>
    <w:rsid w:val="00B33556"/>
    <w:rsid w:val="00B33696"/>
    <w:rsid w:val="00B33785"/>
    <w:rsid w:val="00B337CB"/>
    <w:rsid w:val="00B33937"/>
    <w:rsid w:val="00B339E7"/>
    <w:rsid w:val="00B33A1D"/>
    <w:rsid w:val="00B33A2D"/>
    <w:rsid w:val="00B33A74"/>
    <w:rsid w:val="00B33BCA"/>
    <w:rsid w:val="00B33C73"/>
    <w:rsid w:val="00B33D36"/>
    <w:rsid w:val="00B33E09"/>
    <w:rsid w:val="00B33E12"/>
    <w:rsid w:val="00B33E3B"/>
    <w:rsid w:val="00B33E44"/>
    <w:rsid w:val="00B33EE2"/>
    <w:rsid w:val="00B33FDC"/>
    <w:rsid w:val="00B34048"/>
    <w:rsid w:val="00B3406E"/>
    <w:rsid w:val="00B3416D"/>
    <w:rsid w:val="00B34181"/>
    <w:rsid w:val="00B341E0"/>
    <w:rsid w:val="00B34280"/>
    <w:rsid w:val="00B3433D"/>
    <w:rsid w:val="00B34562"/>
    <w:rsid w:val="00B3456E"/>
    <w:rsid w:val="00B345BC"/>
    <w:rsid w:val="00B345CD"/>
    <w:rsid w:val="00B345D7"/>
    <w:rsid w:val="00B3461C"/>
    <w:rsid w:val="00B34627"/>
    <w:rsid w:val="00B34636"/>
    <w:rsid w:val="00B3466E"/>
    <w:rsid w:val="00B3467E"/>
    <w:rsid w:val="00B34683"/>
    <w:rsid w:val="00B349A5"/>
    <w:rsid w:val="00B34A8E"/>
    <w:rsid w:val="00B34B0F"/>
    <w:rsid w:val="00B34B5F"/>
    <w:rsid w:val="00B34C05"/>
    <w:rsid w:val="00B34C56"/>
    <w:rsid w:val="00B34CBE"/>
    <w:rsid w:val="00B34E8C"/>
    <w:rsid w:val="00B350BF"/>
    <w:rsid w:val="00B350E8"/>
    <w:rsid w:val="00B35211"/>
    <w:rsid w:val="00B352E5"/>
    <w:rsid w:val="00B35512"/>
    <w:rsid w:val="00B35571"/>
    <w:rsid w:val="00B355BB"/>
    <w:rsid w:val="00B355F7"/>
    <w:rsid w:val="00B35764"/>
    <w:rsid w:val="00B35815"/>
    <w:rsid w:val="00B35866"/>
    <w:rsid w:val="00B358C5"/>
    <w:rsid w:val="00B35906"/>
    <w:rsid w:val="00B35914"/>
    <w:rsid w:val="00B35999"/>
    <w:rsid w:val="00B35A52"/>
    <w:rsid w:val="00B35B0A"/>
    <w:rsid w:val="00B35BAC"/>
    <w:rsid w:val="00B35BEB"/>
    <w:rsid w:val="00B35D78"/>
    <w:rsid w:val="00B35DAE"/>
    <w:rsid w:val="00B35FD5"/>
    <w:rsid w:val="00B36032"/>
    <w:rsid w:val="00B361D3"/>
    <w:rsid w:val="00B3626D"/>
    <w:rsid w:val="00B36312"/>
    <w:rsid w:val="00B36326"/>
    <w:rsid w:val="00B36327"/>
    <w:rsid w:val="00B36428"/>
    <w:rsid w:val="00B3670A"/>
    <w:rsid w:val="00B36872"/>
    <w:rsid w:val="00B368BB"/>
    <w:rsid w:val="00B369FA"/>
    <w:rsid w:val="00B36B1A"/>
    <w:rsid w:val="00B36B77"/>
    <w:rsid w:val="00B36B88"/>
    <w:rsid w:val="00B36D9F"/>
    <w:rsid w:val="00B370DD"/>
    <w:rsid w:val="00B370F7"/>
    <w:rsid w:val="00B37108"/>
    <w:rsid w:val="00B3711F"/>
    <w:rsid w:val="00B371DD"/>
    <w:rsid w:val="00B371E9"/>
    <w:rsid w:val="00B372F8"/>
    <w:rsid w:val="00B37397"/>
    <w:rsid w:val="00B3749D"/>
    <w:rsid w:val="00B37505"/>
    <w:rsid w:val="00B37575"/>
    <w:rsid w:val="00B37603"/>
    <w:rsid w:val="00B37708"/>
    <w:rsid w:val="00B37728"/>
    <w:rsid w:val="00B37745"/>
    <w:rsid w:val="00B37796"/>
    <w:rsid w:val="00B3782B"/>
    <w:rsid w:val="00B3785B"/>
    <w:rsid w:val="00B37975"/>
    <w:rsid w:val="00B3798E"/>
    <w:rsid w:val="00B37D6F"/>
    <w:rsid w:val="00B37D9C"/>
    <w:rsid w:val="00B37E45"/>
    <w:rsid w:val="00B37E78"/>
    <w:rsid w:val="00B40025"/>
    <w:rsid w:val="00B40099"/>
    <w:rsid w:val="00B400FF"/>
    <w:rsid w:val="00B40249"/>
    <w:rsid w:val="00B40493"/>
    <w:rsid w:val="00B406EC"/>
    <w:rsid w:val="00B4070C"/>
    <w:rsid w:val="00B40793"/>
    <w:rsid w:val="00B40B2F"/>
    <w:rsid w:val="00B40B83"/>
    <w:rsid w:val="00B40BEA"/>
    <w:rsid w:val="00B40BF8"/>
    <w:rsid w:val="00B40D62"/>
    <w:rsid w:val="00B40F63"/>
    <w:rsid w:val="00B4122C"/>
    <w:rsid w:val="00B4135F"/>
    <w:rsid w:val="00B41496"/>
    <w:rsid w:val="00B4164F"/>
    <w:rsid w:val="00B416BE"/>
    <w:rsid w:val="00B41778"/>
    <w:rsid w:val="00B418E5"/>
    <w:rsid w:val="00B419B3"/>
    <w:rsid w:val="00B41A91"/>
    <w:rsid w:val="00B41BC9"/>
    <w:rsid w:val="00B41C67"/>
    <w:rsid w:val="00B41D88"/>
    <w:rsid w:val="00B422EB"/>
    <w:rsid w:val="00B423AF"/>
    <w:rsid w:val="00B423D2"/>
    <w:rsid w:val="00B426B4"/>
    <w:rsid w:val="00B42733"/>
    <w:rsid w:val="00B42A46"/>
    <w:rsid w:val="00B42B03"/>
    <w:rsid w:val="00B42B90"/>
    <w:rsid w:val="00B42CA1"/>
    <w:rsid w:val="00B42CF3"/>
    <w:rsid w:val="00B42D0D"/>
    <w:rsid w:val="00B42DFB"/>
    <w:rsid w:val="00B42E50"/>
    <w:rsid w:val="00B42E55"/>
    <w:rsid w:val="00B42EAE"/>
    <w:rsid w:val="00B42EDB"/>
    <w:rsid w:val="00B4309D"/>
    <w:rsid w:val="00B430C9"/>
    <w:rsid w:val="00B43251"/>
    <w:rsid w:val="00B4326C"/>
    <w:rsid w:val="00B432A7"/>
    <w:rsid w:val="00B43379"/>
    <w:rsid w:val="00B4355C"/>
    <w:rsid w:val="00B43596"/>
    <w:rsid w:val="00B43599"/>
    <w:rsid w:val="00B4364F"/>
    <w:rsid w:val="00B4366C"/>
    <w:rsid w:val="00B438B1"/>
    <w:rsid w:val="00B43945"/>
    <w:rsid w:val="00B439EA"/>
    <w:rsid w:val="00B43B10"/>
    <w:rsid w:val="00B43C6F"/>
    <w:rsid w:val="00B43D0C"/>
    <w:rsid w:val="00B43EB3"/>
    <w:rsid w:val="00B43ECE"/>
    <w:rsid w:val="00B43F94"/>
    <w:rsid w:val="00B4407A"/>
    <w:rsid w:val="00B442C6"/>
    <w:rsid w:val="00B442E0"/>
    <w:rsid w:val="00B44380"/>
    <w:rsid w:val="00B443CC"/>
    <w:rsid w:val="00B4441B"/>
    <w:rsid w:val="00B44548"/>
    <w:rsid w:val="00B44586"/>
    <w:rsid w:val="00B4467B"/>
    <w:rsid w:val="00B447E0"/>
    <w:rsid w:val="00B44808"/>
    <w:rsid w:val="00B448BD"/>
    <w:rsid w:val="00B44A1A"/>
    <w:rsid w:val="00B44A81"/>
    <w:rsid w:val="00B44AA4"/>
    <w:rsid w:val="00B44B9F"/>
    <w:rsid w:val="00B44BC4"/>
    <w:rsid w:val="00B44E5D"/>
    <w:rsid w:val="00B44F03"/>
    <w:rsid w:val="00B44F6A"/>
    <w:rsid w:val="00B4511C"/>
    <w:rsid w:val="00B4534F"/>
    <w:rsid w:val="00B4540D"/>
    <w:rsid w:val="00B454C5"/>
    <w:rsid w:val="00B454D0"/>
    <w:rsid w:val="00B454D6"/>
    <w:rsid w:val="00B455D1"/>
    <w:rsid w:val="00B456FD"/>
    <w:rsid w:val="00B4577C"/>
    <w:rsid w:val="00B45988"/>
    <w:rsid w:val="00B45A08"/>
    <w:rsid w:val="00B45A97"/>
    <w:rsid w:val="00B45C6B"/>
    <w:rsid w:val="00B45E45"/>
    <w:rsid w:val="00B45F91"/>
    <w:rsid w:val="00B45F9E"/>
    <w:rsid w:val="00B4603B"/>
    <w:rsid w:val="00B46113"/>
    <w:rsid w:val="00B461E2"/>
    <w:rsid w:val="00B46296"/>
    <w:rsid w:val="00B46392"/>
    <w:rsid w:val="00B4644C"/>
    <w:rsid w:val="00B4657E"/>
    <w:rsid w:val="00B465CE"/>
    <w:rsid w:val="00B466E3"/>
    <w:rsid w:val="00B467BD"/>
    <w:rsid w:val="00B46BC2"/>
    <w:rsid w:val="00B46C0D"/>
    <w:rsid w:val="00B47095"/>
    <w:rsid w:val="00B470E9"/>
    <w:rsid w:val="00B470F4"/>
    <w:rsid w:val="00B47193"/>
    <w:rsid w:val="00B47553"/>
    <w:rsid w:val="00B47699"/>
    <w:rsid w:val="00B4776E"/>
    <w:rsid w:val="00B47852"/>
    <w:rsid w:val="00B47955"/>
    <w:rsid w:val="00B4796D"/>
    <w:rsid w:val="00B47A43"/>
    <w:rsid w:val="00B47B1C"/>
    <w:rsid w:val="00B47C9D"/>
    <w:rsid w:val="00B47D4F"/>
    <w:rsid w:val="00B47DEB"/>
    <w:rsid w:val="00B47EA7"/>
    <w:rsid w:val="00B47EE4"/>
    <w:rsid w:val="00B47F98"/>
    <w:rsid w:val="00B47FBE"/>
    <w:rsid w:val="00B50024"/>
    <w:rsid w:val="00B50099"/>
    <w:rsid w:val="00B50113"/>
    <w:rsid w:val="00B501A8"/>
    <w:rsid w:val="00B50208"/>
    <w:rsid w:val="00B50490"/>
    <w:rsid w:val="00B50641"/>
    <w:rsid w:val="00B50692"/>
    <w:rsid w:val="00B5073C"/>
    <w:rsid w:val="00B50A04"/>
    <w:rsid w:val="00B50BBA"/>
    <w:rsid w:val="00B50BDA"/>
    <w:rsid w:val="00B50D5C"/>
    <w:rsid w:val="00B50DCA"/>
    <w:rsid w:val="00B50E07"/>
    <w:rsid w:val="00B50FE0"/>
    <w:rsid w:val="00B50FED"/>
    <w:rsid w:val="00B50FF1"/>
    <w:rsid w:val="00B51079"/>
    <w:rsid w:val="00B5111F"/>
    <w:rsid w:val="00B511E4"/>
    <w:rsid w:val="00B512C1"/>
    <w:rsid w:val="00B51442"/>
    <w:rsid w:val="00B514C0"/>
    <w:rsid w:val="00B51534"/>
    <w:rsid w:val="00B515B9"/>
    <w:rsid w:val="00B5161C"/>
    <w:rsid w:val="00B51A91"/>
    <w:rsid w:val="00B51C3F"/>
    <w:rsid w:val="00B51C45"/>
    <w:rsid w:val="00B51D44"/>
    <w:rsid w:val="00B51D50"/>
    <w:rsid w:val="00B51E4F"/>
    <w:rsid w:val="00B51E8F"/>
    <w:rsid w:val="00B5223C"/>
    <w:rsid w:val="00B52261"/>
    <w:rsid w:val="00B5236E"/>
    <w:rsid w:val="00B5239B"/>
    <w:rsid w:val="00B52483"/>
    <w:rsid w:val="00B5266F"/>
    <w:rsid w:val="00B526EF"/>
    <w:rsid w:val="00B52856"/>
    <w:rsid w:val="00B52B27"/>
    <w:rsid w:val="00B52B2D"/>
    <w:rsid w:val="00B52B5C"/>
    <w:rsid w:val="00B52B72"/>
    <w:rsid w:val="00B52C0E"/>
    <w:rsid w:val="00B52C5E"/>
    <w:rsid w:val="00B52EAE"/>
    <w:rsid w:val="00B52F0B"/>
    <w:rsid w:val="00B52F1B"/>
    <w:rsid w:val="00B53034"/>
    <w:rsid w:val="00B530B4"/>
    <w:rsid w:val="00B530B8"/>
    <w:rsid w:val="00B530E3"/>
    <w:rsid w:val="00B53126"/>
    <w:rsid w:val="00B53321"/>
    <w:rsid w:val="00B536A0"/>
    <w:rsid w:val="00B5384D"/>
    <w:rsid w:val="00B5397F"/>
    <w:rsid w:val="00B53AE7"/>
    <w:rsid w:val="00B53C6D"/>
    <w:rsid w:val="00B53CBA"/>
    <w:rsid w:val="00B53E70"/>
    <w:rsid w:val="00B53EC7"/>
    <w:rsid w:val="00B53ED3"/>
    <w:rsid w:val="00B5430E"/>
    <w:rsid w:val="00B54441"/>
    <w:rsid w:val="00B54538"/>
    <w:rsid w:val="00B54568"/>
    <w:rsid w:val="00B54784"/>
    <w:rsid w:val="00B547E6"/>
    <w:rsid w:val="00B54BA0"/>
    <w:rsid w:val="00B54C24"/>
    <w:rsid w:val="00B54C2A"/>
    <w:rsid w:val="00B54D3C"/>
    <w:rsid w:val="00B54EA4"/>
    <w:rsid w:val="00B54F95"/>
    <w:rsid w:val="00B55010"/>
    <w:rsid w:val="00B550E6"/>
    <w:rsid w:val="00B55133"/>
    <w:rsid w:val="00B5527C"/>
    <w:rsid w:val="00B552DF"/>
    <w:rsid w:val="00B555CE"/>
    <w:rsid w:val="00B55703"/>
    <w:rsid w:val="00B5590E"/>
    <w:rsid w:val="00B55A2A"/>
    <w:rsid w:val="00B55AB0"/>
    <w:rsid w:val="00B55AC2"/>
    <w:rsid w:val="00B55B17"/>
    <w:rsid w:val="00B55B38"/>
    <w:rsid w:val="00B55BD0"/>
    <w:rsid w:val="00B55C51"/>
    <w:rsid w:val="00B55EE2"/>
    <w:rsid w:val="00B55FB3"/>
    <w:rsid w:val="00B56634"/>
    <w:rsid w:val="00B56702"/>
    <w:rsid w:val="00B56906"/>
    <w:rsid w:val="00B56922"/>
    <w:rsid w:val="00B56968"/>
    <w:rsid w:val="00B56C1F"/>
    <w:rsid w:val="00B56C45"/>
    <w:rsid w:val="00B56CD5"/>
    <w:rsid w:val="00B56D9E"/>
    <w:rsid w:val="00B56DDA"/>
    <w:rsid w:val="00B5706D"/>
    <w:rsid w:val="00B57074"/>
    <w:rsid w:val="00B57211"/>
    <w:rsid w:val="00B574CC"/>
    <w:rsid w:val="00B57523"/>
    <w:rsid w:val="00B57568"/>
    <w:rsid w:val="00B57600"/>
    <w:rsid w:val="00B5785B"/>
    <w:rsid w:val="00B57C8C"/>
    <w:rsid w:val="00B57D24"/>
    <w:rsid w:val="00B57D8E"/>
    <w:rsid w:val="00B57FA6"/>
    <w:rsid w:val="00B6002B"/>
    <w:rsid w:val="00B6015D"/>
    <w:rsid w:val="00B6020A"/>
    <w:rsid w:val="00B605FE"/>
    <w:rsid w:val="00B60ACA"/>
    <w:rsid w:val="00B60AE2"/>
    <w:rsid w:val="00B60C0B"/>
    <w:rsid w:val="00B60FC6"/>
    <w:rsid w:val="00B610DD"/>
    <w:rsid w:val="00B61170"/>
    <w:rsid w:val="00B6123B"/>
    <w:rsid w:val="00B613B9"/>
    <w:rsid w:val="00B6146F"/>
    <w:rsid w:val="00B61775"/>
    <w:rsid w:val="00B617DE"/>
    <w:rsid w:val="00B6188C"/>
    <w:rsid w:val="00B61917"/>
    <w:rsid w:val="00B619ED"/>
    <w:rsid w:val="00B61B86"/>
    <w:rsid w:val="00B61CAC"/>
    <w:rsid w:val="00B61D3A"/>
    <w:rsid w:val="00B61D52"/>
    <w:rsid w:val="00B61D53"/>
    <w:rsid w:val="00B61DA5"/>
    <w:rsid w:val="00B61E23"/>
    <w:rsid w:val="00B61F9E"/>
    <w:rsid w:val="00B61FC6"/>
    <w:rsid w:val="00B62098"/>
    <w:rsid w:val="00B62570"/>
    <w:rsid w:val="00B625C3"/>
    <w:rsid w:val="00B625F0"/>
    <w:rsid w:val="00B626BC"/>
    <w:rsid w:val="00B6278B"/>
    <w:rsid w:val="00B629BC"/>
    <w:rsid w:val="00B629EB"/>
    <w:rsid w:val="00B62B0D"/>
    <w:rsid w:val="00B62B8F"/>
    <w:rsid w:val="00B62BF0"/>
    <w:rsid w:val="00B62D1F"/>
    <w:rsid w:val="00B62D96"/>
    <w:rsid w:val="00B62E3E"/>
    <w:rsid w:val="00B62F90"/>
    <w:rsid w:val="00B63221"/>
    <w:rsid w:val="00B6325C"/>
    <w:rsid w:val="00B6328A"/>
    <w:rsid w:val="00B632F0"/>
    <w:rsid w:val="00B63323"/>
    <w:rsid w:val="00B63371"/>
    <w:rsid w:val="00B6337D"/>
    <w:rsid w:val="00B633B2"/>
    <w:rsid w:val="00B633ED"/>
    <w:rsid w:val="00B634E1"/>
    <w:rsid w:val="00B636D4"/>
    <w:rsid w:val="00B637CC"/>
    <w:rsid w:val="00B63824"/>
    <w:rsid w:val="00B6388B"/>
    <w:rsid w:val="00B6389C"/>
    <w:rsid w:val="00B638DD"/>
    <w:rsid w:val="00B63A3D"/>
    <w:rsid w:val="00B63B5D"/>
    <w:rsid w:val="00B63B9B"/>
    <w:rsid w:val="00B63C8E"/>
    <w:rsid w:val="00B63C9B"/>
    <w:rsid w:val="00B63CE2"/>
    <w:rsid w:val="00B63CF4"/>
    <w:rsid w:val="00B63E17"/>
    <w:rsid w:val="00B63FB0"/>
    <w:rsid w:val="00B6405F"/>
    <w:rsid w:val="00B640B9"/>
    <w:rsid w:val="00B641C6"/>
    <w:rsid w:val="00B64227"/>
    <w:rsid w:val="00B642EF"/>
    <w:rsid w:val="00B642F6"/>
    <w:rsid w:val="00B642FC"/>
    <w:rsid w:val="00B64327"/>
    <w:rsid w:val="00B643AF"/>
    <w:rsid w:val="00B643BB"/>
    <w:rsid w:val="00B644BE"/>
    <w:rsid w:val="00B646F0"/>
    <w:rsid w:val="00B64813"/>
    <w:rsid w:val="00B64826"/>
    <w:rsid w:val="00B6484B"/>
    <w:rsid w:val="00B64B72"/>
    <w:rsid w:val="00B64C46"/>
    <w:rsid w:val="00B64D7B"/>
    <w:rsid w:val="00B64DB6"/>
    <w:rsid w:val="00B64F0A"/>
    <w:rsid w:val="00B64F93"/>
    <w:rsid w:val="00B64FD0"/>
    <w:rsid w:val="00B6505F"/>
    <w:rsid w:val="00B6510B"/>
    <w:rsid w:val="00B65167"/>
    <w:rsid w:val="00B651E9"/>
    <w:rsid w:val="00B65335"/>
    <w:rsid w:val="00B653AA"/>
    <w:rsid w:val="00B6544D"/>
    <w:rsid w:val="00B6548C"/>
    <w:rsid w:val="00B65506"/>
    <w:rsid w:val="00B6559D"/>
    <w:rsid w:val="00B655B4"/>
    <w:rsid w:val="00B655E2"/>
    <w:rsid w:val="00B657CE"/>
    <w:rsid w:val="00B6594A"/>
    <w:rsid w:val="00B65AF8"/>
    <w:rsid w:val="00B65B39"/>
    <w:rsid w:val="00B65CF0"/>
    <w:rsid w:val="00B65DAA"/>
    <w:rsid w:val="00B65E2B"/>
    <w:rsid w:val="00B65F94"/>
    <w:rsid w:val="00B65FF4"/>
    <w:rsid w:val="00B660A8"/>
    <w:rsid w:val="00B66263"/>
    <w:rsid w:val="00B663B0"/>
    <w:rsid w:val="00B663F8"/>
    <w:rsid w:val="00B66432"/>
    <w:rsid w:val="00B6644F"/>
    <w:rsid w:val="00B6649F"/>
    <w:rsid w:val="00B66534"/>
    <w:rsid w:val="00B66641"/>
    <w:rsid w:val="00B667C7"/>
    <w:rsid w:val="00B66A6A"/>
    <w:rsid w:val="00B66B2F"/>
    <w:rsid w:val="00B66B55"/>
    <w:rsid w:val="00B66BDC"/>
    <w:rsid w:val="00B66EF3"/>
    <w:rsid w:val="00B66F4C"/>
    <w:rsid w:val="00B67050"/>
    <w:rsid w:val="00B67060"/>
    <w:rsid w:val="00B67092"/>
    <w:rsid w:val="00B670D4"/>
    <w:rsid w:val="00B67152"/>
    <w:rsid w:val="00B67397"/>
    <w:rsid w:val="00B674A0"/>
    <w:rsid w:val="00B6762B"/>
    <w:rsid w:val="00B6782A"/>
    <w:rsid w:val="00B67A27"/>
    <w:rsid w:val="00B67C58"/>
    <w:rsid w:val="00B67CDC"/>
    <w:rsid w:val="00B67D0E"/>
    <w:rsid w:val="00B67DF0"/>
    <w:rsid w:val="00B67F88"/>
    <w:rsid w:val="00B701EC"/>
    <w:rsid w:val="00B701F7"/>
    <w:rsid w:val="00B70368"/>
    <w:rsid w:val="00B70391"/>
    <w:rsid w:val="00B703A9"/>
    <w:rsid w:val="00B70452"/>
    <w:rsid w:val="00B7051C"/>
    <w:rsid w:val="00B706EA"/>
    <w:rsid w:val="00B70794"/>
    <w:rsid w:val="00B7083F"/>
    <w:rsid w:val="00B708A8"/>
    <w:rsid w:val="00B70926"/>
    <w:rsid w:val="00B70A37"/>
    <w:rsid w:val="00B70BDC"/>
    <w:rsid w:val="00B70D52"/>
    <w:rsid w:val="00B70E1C"/>
    <w:rsid w:val="00B711AF"/>
    <w:rsid w:val="00B711B0"/>
    <w:rsid w:val="00B711F3"/>
    <w:rsid w:val="00B71323"/>
    <w:rsid w:val="00B713D0"/>
    <w:rsid w:val="00B7149D"/>
    <w:rsid w:val="00B714CD"/>
    <w:rsid w:val="00B7161C"/>
    <w:rsid w:val="00B71625"/>
    <w:rsid w:val="00B71639"/>
    <w:rsid w:val="00B7163C"/>
    <w:rsid w:val="00B7167F"/>
    <w:rsid w:val="00B71863"/>
    <w:rsid w:val="00B719C6"/>
    <w:rsid w:val="00B71A59"/>
    <w:rsid w:val="00B71A9A"/>
    <w:rsid w:val="00B71AAC"/>
    <w:rsid w:val="00B71ABC"/>
    <w:rsid w:val="00B71B77"/>
    <w:rsid w:val="00B71C60"/>
    <w:rsid w:val="00B71D02"/>
    <w:rsid w:val="00B71D2A"/>
    <w:rsid w:val="00B71D3F"/>
    <w:rsid w:val="00B71D79"/>
    <w:rsid w:val="00B71FA2"/>
    <w:rsid w:val="00B72070"/>
    <w:rsid w:val="00B720E9"/>
    <w:rsid w:val="00B720EC"/>
    <w:rsid w:val="00B72156"/>
    <w:rsid w:val="00B72241"/>
    <w:rsid w:val="00B7230E"/>
    <w:rsid w:val="00B7254E"/>
    <w:rsid w:val="00B725CD"/>
    <w:rsid w:val="00B72969"/>
    <w:rsid w:val="00B72AEA"/>
    <w:rsid w:val="00B72D24"/>
    <w:rsid w:val="00B72E16"/>
    <w:rsid w:val="00B72E2E"/>
    <w:rsid w:val="00B72E39"/>
    <w:rsid w:val="00B72FF2"/>
    <w:rsid w:val="00B73075"/>
    <w:rsid w:val="00B731E7"/>
    <w:rsid w:val="00B733C4"/>
    <w:rsid w:val="00B736E0"/>
    <w:rsid w:val="00B7370D"/>
    <w:rsid w:val="00B737DE"/>
    <w:rsid w:val="00B7382D"/>
    <w:rsid w:val="00B73946"/>
    <w:rsid w:val="00B73975"/>
    <w:rsid w:val="00B73A77"/>
    <w:rsid w:val="00B73CB1"/>
    <w:rsid w:val="00B73D3E"/>
    <w:rsid w:val="00B73D8A"/>
    <w:rsid w:val="00B73E03"/>
    <w:rsid w:val="00B7411A"/>
    <w:rsid w:val="00B7413B"/>
    <w:rsid w:val="00B744B0"/>
    <w:rsid w:val="00B74597"/>
    <w:rsid w:val="00B746C8"/>
    <w:rsid w:val="00B746E3"/>
    <w:rsid w:val="00B747FC"/>
    <w:rsid w:val="00B74A34"/>
    <w:rsid w:val="00B74B1A"/>
    <w:rsid w:val="00B74B61"/>
    <w:rsid w:val="00B74C41"/>
    <w:rsid w:val="00B74CFE"/>
    <w:rsid w:val="00B74D8F"/>
    <w:rsid w:val="00B74DF9"/>
    <w:rsid w:val="00B74E2C"/>
    <w:rsid w:val="00B74EB4"/>
    <w:rsid w:val="00B74F7F"/>
    <w:rsid w:val="00B74F9A"/>
    <w:rsid w:val="00B75075"/>
    <w:rsid w:val="00B75137"/>
    <w:rsid w:val="00B751CD"/>
    <w:rsid w:val="00B751DE"/>
    <w:rsid w:val="00B75271"/>
    <w:rsid w:val="00B752D1"/>
    <w:rsid w:val="00B75503"/>
    <w:rsid w:val="00B7561C"/>
    <w:rsid w:val="00B75708"/>
    <w:rsid w:val="00B75726"/>
    <w:rsid w:val="00B7582F"/>
    <w:rsid w:val="00B759FF"/>
    <w:rsid w:val="00B75A00"/>
    <w:rsid w:val="00B75A03"/>
    <w:rsid w:val="00B75A0D"/>
    <w:rsid w:val="00B75A19"/>
    <w:rsid w:val="00B75A90"/>
    <w:rsid w:val="00B75B08"/>
    <w:rsid w:val="00B75BD6"/>
    <w:rsid w:val="00B75CBC"/>
    <w:rsid w:val="00B75E0E"/>
    <w:rsid w:val="00B75F67"/>
    <w:rsid w:val="00B761BB"/>
    <w:rsid w:val="00B7622D"/>
    <w:rsid w:val="00B76265"/>
    <w:rsid w:val="00B7627C"/>
    <w:rsid w:val="00B7633D"/>
    <w:rsid w:val="00B76465"/>
    <w:rsid w:val="00B764BA"/>
    <w:rsid w:val="00B7657A"/>
    <w:rsid w:val="00B7659A"/>
    <w:rsid w:val="00B7663C"/>
    <w:rsid w:val="00B7668A"/>
    <w:rsid w:val="00B76740"/>
    <w:rsid w:val="00B76833"/>
    <w:rsid w:val="00B768DD"/>
    <w:rsid w:val="00B76A08"/>
    <w:rsid w:val="00B76A83"/>
    <w:rsid w:val="00B76C85"/>
    <w:rsid w:val="00B76CB3"/>
    <w:rsid w:val="00B76D31"/>
    <w:rsid w:val="00B76EC6"/>
    <w:rsid w:val="00B76EE3"/>
    <w:rsid w:val="00B76EEA"/>
    <w:rsid w:val="00B76F86"/>
    <w:rsid w:val="00B77116"/>
    <w:rsid w:val="00B7714C"/>
    <w:rsid w:val="00B771ED"/>
    <w:rsid w:val="00B77307"/>
    <w:rsid w:val="00B7733B"/>
    <w:rsid w:val="00B773E3"/>
    <w:rsid w:val="00B7746A"/>
    <w:rsid w:val="00B77543"/>
    <w:rsid w:val="00B7759F"/>
    <w:rsid w:val="00B775F1"/>
    <w:rsid w:val="00B77680"/>
    <w:rsid w:val="00B778B0"/>
    <w:rsid w:val="00B77A16"/>
    <w:rsid w:val="00B77B72"/>
    <w:rsid w:val="00B77CDD"/>
    <w:rsid w:val="00B77DC6"/>
    <w:rsid w:val="00B77E7D"/>
    <w:rsid w:val="00B77F19"/>
    <w:rsid w:val="00B77F36"/>
    <w:rsid w:val="00B77F8B"/>
    <w:rsid w:val="00B80126"/>
    <w:rsid w:val="00B801C3"/>
    <w:rsid w:val="00B80423"/>
    <w:rsid w:val="00B804CE"/>
    <w:rsid w:val="00B805C0"/>
    <w:rsid w:val="00B806CC"/>
    <w:rsid w:val="00B808E6"/>
    <w:rsid w:val="00B809A1"/>
    <w:rsid w:val="00B80ABC"/>
    <w:rsid w:val="00B80BDF"/>
    <w:rsid w:val="00B80E78"/>
    <w:rsid w:val="00B80E7B"/>
    <w:rsid w:val="00B80F16"/>
    <w:rsid w:val="00B80F37"/>
    <w:rsid w:val="00B80F7C"/>
    <w:rsid w:val="00B8116E"/>
    <w:rsid w:val="00B81195"/>
    <w:rsid w:val="00B812B0"/>
    <w:rsid w:val="00B812F6"/>
    <w:rsid w:val="00B815F9"/>
    <w:rsid w:val="00B81653"/>
    <w:rsid w:val="00B81658"/>
    <w:rsid w:val="00B81776"/>
    <w:rsid w:val="00B818BF"/>
    <w:rsid w:val="00B818DC"/>
    <w:rsid w:val="00B81964"/>
    <w:rsid w:val="00B819B5"/>
    <w:rsid w:val="00B81A4A"/>
    <w:rsid w:val="00B81A62"/>
    <w:rsid w:val="00B81B46"/>
    <w:rsid w:val="00B81B68"/>
    <w:rsid w:val="00B81D59"/>
    <w:rsid w:val="00B81DAF"/>
    <w:rsid w:val="00B81E9F"/>
    <w:rsid w:val="00B81EC1"/>
    <w:rsid w:val="00B81FF0"/>
    <w:rsid w:val="00B82412"/>
    <w:rsid w:val="00B82533"/>
    <w:rsid w:val="00B826E4"/>
    <w:rsid w:val="00B82885"/>
    <w:rsid w:val="00B829FD"/>
    <w:rsid w:val="00B82A0B"/>
    <w:rsid w:val="00B82A9E"/>
    <w:rsid w:val="00B82B63"/>
    <w:rsid w:val="00B82EEA"/>
    <w:rsid w:val="00B82F37"/>
    <w:rsid w:val="00B82F56"/>
    <w:rsid w:val="00B82F68"/>
    <w:rsid w:val="00B83072"/>
    <w:rsid w:val="00B8309A"/>
    <w:rsid w:val="00B8312C"/>
    <w:rsid w:val="00B831DC"/>
    <w:rsid w:val="00B83274"/>
    <w:rsid w:val="00B83302"/>
    <w:rsid w:val="00B83557"/>
    <w:rsid w:val="00B835C6"/>
    <w:rsid w:val="00B835EA"/>
    <w:rsid w:val="00B8368E"/>
    <w:rsid w:val="00B83844"/>
    <w:rsid w:val="00B83896"/>
    <w:rsid w:val="00B838E9"/>
    <w:rsid w:val="00B83975"/>
    <w:rsid w:val="00B839D0"/>
    <w:rsid w:val="00B83A13"/>
    <w:rsid w:val="00B83BB4"/>
    <w:rsid w:val="00B83C9E"/>
    <w:rsid w:val="00B83CC0"/>
    <w:rsid w:val="00B83F65"/>
    <w:rsid w:val="00B83FF3"/>
    <w:rsid w:val="00B84013"/>
    <w:rsid w:val="00B8413B"/>
    <w:rsid w:val="00B843BA"/>
    <w:rsid w:val="00B84405"/>
    <w:rsid w:val="00B8441D"/>
    <w:rsid w:val="00B84434"/>
    <w:rsid w:val="00B8447A"/>
    <w:rsid w:val="00B8450D"/>
    <w:rsid w:val="00B846B2"/>
    <w:rsid w:val="00B84761"/>
    <w:rsid w:val="00B847CC"/>
    <w:rsid w:val="00B84850"/>
    <w:rsid w:val="00B84868"/>
    <w:rsid w:val="00B84869"/>
    <w:rsid w:val="00B84DA2"/>
    <w:rsid w:val="00B85041"/>
    <w:rsid w:val="00B8506A"/>
    <w:rsid w:val="00B850BD"/>
    <w:rsid w:val="00B850C6"/>
    <w:rsid w:val="00B8524C"/>
    <w:rsid w:val="00B854D7"/>
    <w:rsid w:val="00B855FC"/>
    <w:rsid w:val="00B8598E"/>
    <w:rsid w:val="00B85BB1"/>
    <w:rsid w:val="00B85D88"/>
    <w:rsid w:val="00B85E70"/>
    <w:rsid w:val="00B85F4C"/>
    <w:rsid w:val="00B86056"/>
    <w:rsid w:val="00B8608A"/>
    <w:rsid w:val="00B860FE"/>
    <w:rsid w:val="00B86554"/>
    <w:rsid w:val="00B86607"/>
    <w:rsid w:val="00B86934"/>
    <w:rsid w:val="00B86A3E"/>
    <w:rsid w:val="00B86B46"/>
    <w:rsid w:val="00B86C79"/>
    <w:rsid w:val="00B86C91"/>
    <w:rsid w:val="00B86D16"/>
    <w:rsid w:val="00B86D7B"/>
    <w:rsid w:val="00B86F96"/>
    <w:rsid w:val="00B86FBD"/>
    <w:rsid w:val="00B86FD7"/>
    <w:rsid w:val="00B87083"/>
    <w:rsid w:val="00B870B0"/>
    <w:rsid w:val="00B870D0"/>
    <w:rsid w:val="00B8724D"/>
    <w:rsid w:val="00B87331"/>
    <w:rsid w:val="00B873FA"/>
    <w:rsid w:val="00B87420"/>
    <w:rsid w:val="00B875A2"/>
    <w:rsid w:val="00B87859"/>
    <w:rsid w:val="00B87A55"/>
    <w:rsid w:val="00B90028"/>
    <w:rsid w:val="00B900FB"/>
    <w:rsid w:val="00B903EC"/>
    <w:rsid w:val="00B903EE"/>
    <w:rsid w:val="00B9043F"/>
    <w:rsid w:val="00B90447"/>
    <w:rsid w:val="00B904B8"/>
    <w:rsid w:val="00B9068B"/>
    <w:rsid w:val="00B906D9"/>
    <w:rsid w:val="00B9077E"/>
    <w:rsid w:val="00B908AC"/>
    <w:rsid w:val="00B90ABC"/>
    <w:rsid w:val="00B90CA6"/>
    <w:rsid w:val="00B90D01"/>
    <w:rsid w:val="00B90D2E"/>
    <w:rsid w:val="00B90D6B"/>
    <w:rsid w:val="00B90D8E"/>
    <w:rsid w:val="00B90F5D"/>
    <w:rsid w:val="00B90F6C"/>
    <w:rsid w:val="00B90FB3"/>
    <w:rsid w:val="00B910C9"/>
    <w:rsid w:val="00B91140"/>
    <w:rsid w:val="00B91243"/>
    <w:rsid w:val="00B912B4"/>
    <w:rsid w:val="00B913C0"/>
    <w:rsid w:val="00B9144D"/>
    <w:rsid w:val="00B91454"/>
    <w:rsid w:val="00B91526"/>
    <w:rsid w:val="00B91567"/>
    <w:rsid w:val="00B916E0"/>
    <w:rsid w:val="00B917D5"/>
    <w:rsid w:val="00B917E4"/>
    <w:rsid w:val="00B91A57"/>
    <w:rsid w:val="00B91A86"/>
    <w:rsid w:val="00B91C92"/>
    <w:rsid w:val="00B91D31"/>
    <w:rsid w:val="00B91D34"/>
    <w:rsid w:val="00B91D47"/>
    <w:rsid w:val="00B91FD4"/>
    <w:rsid w:val="00B92234"/>
    <w:rsid w:val="00B9224A"/>
    <w:rsid w:val="00B923C8"/>
    <w:rsid w:val="00B9253E"/>
    <w:rsid w:val="00B92568"/>
    <w:rsid w:val="00B92654"/>
    <w:rsid w:val="00B927F0"/>
    <w:rsid w:val="00B928BF"/>
    <w:rsid w:val="00B9292E"/>
    <w:rsid w:val="00B929DB"/>
    <w:rsid w:val="00B92AA4"/>
    <w:rsid w:val="00B92ACB"/>
    <w:rsid w:val="00B92BB2"/>
    <w:rsid w:val="00B92D21"/>
    <w:rsid w:val="00B92EB9"/>
    <w:rsid w:val="00B92FD8"/>
    <w:rsid w:val="00B931DD"/>
    <w:rsid w:val="00B932B0"/>
    <w:rsid w:val="00B93508"/>
    <w:rsid w:val="00B935EB"/>
    <w:rsid w:val="00B9388F"/>
    <w:rsid w:val="00B93A4F"/>
    <w:rsid w:val="00B93AF0"/>
    <w:rsid w:val="00B93B1F"/>
    <w:rsid w:val="00B93BDA"/>
    <w:rsid w:val="00B93BF6"/>
    <w:rsid w:val="00B93D97"/>
    <w:rsid w:val="00B93EFB"/>
    <w:rsid w:val="00B94058"/>
    <w:rsid w:val="00B94198"/>
    <w:rsid w:val="00B943DB"/>
    <w:rsid w:val="00B9451D"/>
    <w:rsid w:val="00B9459F"/>
    <w:rsid w:val="00B94604"/>
    <w:rsid w:val="00B947D8"/>
    <w:rsid w:val="00B9483C"/>
    <w:rsid w:val="00B949A6"/>
    <w:rsid w:val="00B94B98"/>
    <w:rsid w:val="00B94E73"/>
    <w:rsid w:val="00B95001"/>
    <w:rsid w:val="00B95143"/>
    <w:rsid w:val="00B95173"/>
    <w:rsid w:val="00B951A1"/>
    <w:rsid w:val="00B953E2"/>
    <w:rsid w:val="00B9541E"/>
    <w:rsid w:val="00B955EF"/>
    <w:rsid w:val="00B95627"/>
    <w:rsid w:val="00B956F1"/>
    <w:rsid w:val="00B95758"/>
    <w:rsid w:val="00B9590E"/>
    <w:rsid w:val="00B9595F"/>
    <w:rsid w:val="00B95A59"/>
    <w:rsid w:val="00B95D22"/>
    <w:rsid w:val="00B95D24"/>
    <w:rsid w:val="00B95E6D"/>
    <w:rsid w:val="00B96064"/>
    <w:rsid w:val="00B961B4"/>
    <w:rsid w:val="00B961C4"/>
    <w:rsid w:val="00B96229"/>
    <w:rsid w:val="00B962E4"/>
    <w:rsid w:val="00B9635E"/>
    <w:rsid w:val="00B9642F"/>
    <w:rsid w:val="00B964A4"/>
    <w:rsid w:val="00B964E6"/>
    <w:rsid w:val="00B96595"/>
    <w:rsid w:val="00B968D9"/>
    <w:rsid w:val="00B96B1F"/>
    <w:rsid w:val="00B96B92"/>
    <w:rsid w:val="00B96C3D"/>
    <w:rsid w:val="00B96C58"/>
    <w:rsid w:val="00B96D74"/>
    <w:rsid w:val="00B96FFB"/>
    <w:rsid w:val="00B97034"/>
    <w:rsid w:val="00B971D7"/>
    <w:rsid w:val="00B971E9"/>
    <w:rsid w:val="00B97342"/>
    <w:rsid w:val="00B973F3"/>
    <w:rsid w:val="00B974A5"/>
    <w:rsid w:val="00B9752A"/>
    <w:rsid w:val="00B975E2"/>
    <w:rsid w:val="00B976A5"/>
    <w:rsid w:val="00B976FA"/>
    <w:rsid w:val="00B979AC"/>
    <w:rsid w:val="00B97A3B"/>
    <w:rsid w:val="00B97A7F"/>
    <w:rsid w:val="00B97A80"/>
    <w:rsid w:val="00B97AB8"/>
    <w:rsid w:val="00B97AD3"/>
    <w:rsid w:val="00B97B06"/>
    <w:rsid w:val="00B97D0E"/>
    <w:rsid w:val="00B97D75"/>
    <w:rsid w:val="00B97EDA"/>
    <w:rsid w:val="00B97F8D"/>
    <w:rsid w:val="00BA002E"/>
    <w:rsid w:val="00BA0348"/>
    <w:rsid w:val="00BA049C"/>
    <w:rsid w:val="00BA05D7"/>
    <w:rsid w:val="00BA0698"/>
    <w:rsid w:val="00BA081D"/>
    <w:rsid w:val="00BA083E"/>
    <w:rsid w:val="00BA09D7"/>
    <w:rsid w:val="00BA0BBD"/>
    <w:rsid w:val="00BA0C6C"/>
    <w:rsid w:val="00BA0CAE"/>
    <w:rsid w:val="00BA0D4D"/>
    <w:rsid w:val="00BA0FD4"/>
    <w:rsid w:val="00BA10D5"/>
    <w:rsid w:val="00BA111E"/>
    <w:rsid w:val="00BA1122"/>
    <w:rsid w:val="00BA1430"/>
    <w:rsid w:val="00BA1527"/>
    <w:rsid w:val="00BA16DC"/>
    <w:rsid w:val="00BA1840"/>
    <w:rsid w:val="00BA1AC1"/>
    <w:rsid w:val="00BA208F"/>
    <w:rsid w:val="00BA2164"/>
    <w:rsid w:val="00BA2179"/>
    <w:rsid w:val="00BA21C4"/>
    <w:rsid w:val="00BA2655"/>
    <w:rsid w:val="00BA2706"/>
    <w:rsid w:val="00BA27EC"/>
    <w:rsid w:val="00BA29A0"/>
    <w:rsid w:val="00BA2B90"/>
    <w:rsid w:val="00BA2C01"/>
    <w:rsid w:val="00BA2CA4"/>
    <w:rsid w:val="00BA2D2C"/>
    <w:rsid w:val="00BA2D61"/>
    <w:rsid w:val="00BA2DCF"/>
    <w:rsid w:val="00BA2DE3"/>
    <w:rsid w:val="00BA2E81"/>
    <w:rsid w:val="00BA2EF3"/>
    <w:rsid w:val="00BA3069"/>
    <w:rsid w:val="00BA3177"/>
    <w:rsid w:val="00BA339C"/>
    <w:rsid w:val="00BA34B9"/>
    <w:rsid w:val="00BA370F"/>
    <w:rsid w:val="00BA37A5"/>
    <w:rsid w:val="00BA37E2"/>
    <w:rsid w:val="00BA3BB3"/>
    <w:rsid w:val="00BA3C2E"/>
    <w:rsid w:val="00BA3CB8"/>
    <w:rsid w:val="00BA3CE0"/>
    <w:rsid w:val="00BA3D70"/>
    <w:rsid w:val="00BA3DA7"/>
    <w:rsid w:val="00BA3DF6"/>
    <w:rsid w:val="00BA3E69"/>
    <w:rsid w:val="00BA3EC4"/>
    <w:rsid w:val="00BA3EF2"/>
    <w:rsid w:val="00BA3F51"/>
    <w:rsid w:val="00BA3FA4"/>
    <w:rsid w:val="00BA41B2"/>
    <w:rsid w:val="00BA4246"/>
    <w:rsid w:val="00BA435A"/>
    <w:rsid w:val="00BA4364"/>
    <w:rsid w:val="00BA4420"/>
    <w:rsid w:val="00BA443A"/>
    <w:rsid w:val="00BA44CD"/>
    <w:rsid w:val="00BA4519"/>
    <w:rsid w:val="00BA4550"/>
    <w:rsid w:val="00BA45E3"/>
    <w:rsid w:val="00BA4617"/>
    <w:rsid w:val="00BA4871"/>
    <w:rsid w:val="00BA4AFD"/>
    <w:rsid w:val="00BA4C54"/>
    <w:rsid w:val="00BA4C56"/>
    <w:rsid w:val="00BA4D5C"/>
    <w:rsid w:val="00BA4E34"/>
    <w:rsid w:val="00BA4E6E"/>
    <w:rsid w:val="00BA4FE1"/>
    <w:rsid w:val="00BA5109"/>
    <w:rsid w:val="00BA51C3"/>
    <w:rsid w:val="00BA5460"/>
    <w:rsid w:val="00BA5471"/>
    <w:rsid w:val="00BA54F2"/>
    <w:rsid w:val="00BA554E"/>
    <w:rsid w:val="00BA567A"/>
    <w:rsid w:val="00BA569D"/>
    <w:rsid w:val="00BA57B9"/>
    <w:rsid w:val="00BA5808"/>
    <w:rsid w:val="00BA58AF"/>
    <w:rsid w:val="00BA5948"/>
    <w:rsid w:val="00BA599D"/>
    <w:rsid w:val="00BA5A73"/>
    <w:rsid w:val="00BA5B06"/>
    <w:rsid w:val="00BA5C02"/>
    <w:rsid w:val="00BA5D34"/>
    <w:rsid w:val="00BA5ED5"/>
    <w:rsid w:val="00BA6047"/>
    <w:rsid w:val="00BA60B8"/>
    <w:rsid w:val="00BA60ED"/>
    <w:rsid w:val="00BA62E6"/>
    <w:rsid w:val="00BA6389"/>
    <w:rsid w:val="00BA6451"/>
    <w:rsid w:val="00BA6738"/>
    <w:rsid w:val="00BA67F5"/>
    <w:rsid w:val="00BA6A51"/>
    <w:rsid w:val="00BA6C5A"/>
    <w:rsid w:val="00BA6C9B"/>
    <w:rsid w:val="00BA6CAC"/>
    <w:rsid w:val="00BA6F47"/>
    <w:rsid w:val="00BA703A"/>
    <w:rsid w:val="00BA703E"/>
    <w:rsid w:val="00BA7087"/>
    <w:rsid w:val="00BA70C5"/>
    <w:rsid w:val="00BA711B"/>
    <w:rsid w:val="00BA7126"/>
    <w:rsid w:val="00BA7144"/>
    <w:rsid w:val="00BA7352"/>
    <w:rsid w:val="00BA7418"/>
    <w:rsid w:val="00BA746A"/>
    <w:rsid w:val="00BA7541"/>
    <w:rsid w:val="00BA7623"/>
    <w:rsid w:val="00BA76CB"/>
    <w:rsid w:val="00BA7737"/>
    <w:rsid w:val="00BA7790"/>
    <w:rsid w:val="00BA7803"/>
    <w:rsid w:val="00BA78E1"/>
    <w:rsid w:val="00BA7AAD"/>
    <w:rsid w:val="00BA7CF1"/>
    <w:rsid w:val="00BA7E62"/>
    <w:rsid w:val="00BA7E88"/>
    <w:rsid w:val="00BA7EE0"/>
    <w:rsid w:val="00BA7F6F"/>
    <w:rsid w:val="00BB0004"/>
    <w:rsid w:val="00BB0045"/>
    <w:rsid w:val="00BB00BF"/>
    <w:rsid w:val="00BB011C"/>
    <w:rsid w:val="00BB0293"/>
    <w:rsid w:val="00BB052E"/>
    <w:rsid w:val="00BB064E"/>
    <w:rsid w:val="00BB0660"/>
    <w:rsid w:val="00BB06F6"/>
    <w:rsid w:val="00BB0796"/>
    <w:rsid w:val="00BB098E"/>
    <w:rsid w:val="00BB0B09"/>
    <w:rsid w:val="00BB0B4C"/>
    <w:rsid w:val="00BB0B92"/>
    <w:rsid w:val="00BB0D0C"/>
    <w:rsid w:val="00BB0D30"/>
    <w:rsid w:val="00BB0E53"/>
    <w:rsid w:val="00BB14C2"/>
    <w:rsid w:val="00BB14FD"/>
    <w:rsid w:val="00BB1515"/>
    <w:rsid w:val="00BB15C9"/>
    <w:rsid w:val="00BB1765"/>
    <w:rsid w:val="00BB17B5"/>
    <w:rsid w:val="00BB17C3"/>
    <w:rsid w:val="00BB1810"/>
    <w:rsid w:val="00BB182B"/>
    <w:rsid w:val="00BB1C03"/>
    <w:rsid w:val="00BB1CC6"/>
    <w:rsid w:val="00BB1DAE"/>
    <w:rsid w:val="00BB1E1F"/>
    <w:rsid w:val="00BB1E67"/>
    <w:rsid w:val="00BB1E8F"/>
    <w:rsid w:val="00BB1E9D"/>
    <w:rsid w:val="00BB1F4A"/>
    <w:rsid w:val="00BB2043"/>
    <w:rsid w:val="00BB2066"/>
    <w:rsid w:val="00BB2205"/>
    <w:rsid w:val="00BB2286"/>
    <w:rsid w:val="00BB22C9"/>
    <w:rsid w:val="00BB22E5"/>
    <w:rsid w:val="00BB23C4"/>
    <w:rsid w:val="00BB2443"/>
    <w:rsid w:val="00BB2807"/>
    <w:rsid w:val="00BB292F"/>
    <w:rsid w:val="00BB2AAA"/>
    <w:rsid w:val="00BB2B21"/>
    <w:rsid w:val="00BB2C8B"/>
    <w:rsid w:val="00BB2D63"/>
    <w:rsid w:val="00BB3048"/>
    <w:rsid w:val="00BB3082"/>
    <w:rsid w:val="00BB325D"/>
    <w:rsid w:val="00BB33A1"/>
    <w:rsid w:val="00BB34A1"/>
    <w:rsid w:val="00BB3773"/>
    <w:rsid w:val="00BB379F"/>
    <w:rsid w:val="00BB37AE"/>
    <w:rsid w:val="00BB38A4"/>
    <w:rsid w:val="00BB38A8"/>
    <w:rsid w:val="00BB3AF7"/>
    <w:rsid w:val="00BB3BFE"/>
    <w:rsid w:val="00BB3CB0"/>
    <w:rsid w:val="00BB3CDB"/>
    <w:rsid w:val="00BB3D18"/>
    <w:rsid w:val="00BB3D69"/>
    <w:rsid w:val="00BB3E0A"/>
    <w:rsid w:val="00BB3E93"/>
    <w:rsid w:val="00BB4061"/>
    <w:rsid w:val="00BB42D8"/>
    <w:rsid w:val="00BB43D0"/>
    <w:rsid w:val="00BB44A9"/>
    <w:rsid w:val="00BB47D2"/>
    <w:rsid w:val="00BB48CB"/>
    <w:rsid w:val="00BB48F4"/>
    <w:rsid w:val="00BB4901"/>
    <w:rsid w:val="00BB4997"/>
    <w:rsid w:val="00BB49FF"/>
    <w:rsid w:val="00BB4A1B"/>
    <w:rsid w:val="00BB4B50"/>
    <w:rsid w:val="00BB4B74"/>
    <w:rsid w:val="00BB4CA7"/>
    <w:rsid w:val="00BB4E8E"/>
    <w:rsid w:val="00BB4F15"/>
    <w:rsid w:val="00BB4F5E"/>
    <w:rsid w:val="00BB4F9D"/>
    <w:rsid w:val="00BB506E"/>
    <w:rsid w:val="00BB518F"/>
    <w:rsid w:val="00BB5209"/>
    <w:rsid w:val="00BB5391"/>
    <w:rsid w:val="00BB53A4"/>
    <w:rsid w:val="00BB5440"/>
    <w:rsid w:val="00BB5504"/>
    <w:rsid w:val="00BB5617"/>
    <w:rsid w:val="00BB564C"/>
    <w:rsid w:val="00BB57B1"/>
    <w:rsid w:val="00BB5803"/>
    <w:rsid w:val="00BB5C9A"/>
    <w:rsid w:val="00BB5D14"/>
    <w:rsid w:val="00BB5D55"/>
    <w:rsid w:val="00BB5DD9"/>
    <w:rsid w:val="00BB5E75"/>
    <w:rsid w:val="00BB5EB5"/>
    <w:rsid w:val="00BB5F6F"/>
    <w:rsid w:val="00BB6062"/>
    <w:rsid w:val="00BB620D"/>
    <w:rsid w:val="00BB64F6"/>
    <w:rsid w:val="00BB6528"/>
    <w:rsid w:val="00BB6882"/>
    <w:rsid w:val="00BB68E0"/>
    <w:rsid w:val="00BB692E"/>
    <w:rsid w:val="00BB6B57"/>
    <w:rsid w:val="00BB6BEA"/>
    <w:rsid w:val="00BB6C0E"/>
    <w:rsid w:val="00BB6C24"/>
    <w:rsid w:val="00BB6CA7"/>
    <w:rsid w:val="00BB6D9C"/>
    <w:rsid w:val="00BB702B"/>
    <w:rsid w:val="00BB70DA"/>
    <w:rsid w:val="00BB7119"/>
    <w:rsid w:val="00BB715B"/>
    <w:rsid w:val="00BB742B"/>
    <w:rsid w:val="00BB7465"/>
    <w:rsid w:val="00BB7665"/>
    <w:rsid w:val="00BB78C5"/>
    <w:rsid w:val="00BB79DC"/>
    <w:rsid w:val="00BB7A31"/>
    <w:rsid w:val="00BB7C22"/>
    <w:rsid w:val="00BB7CB4"/>
    <w:rsid w:val="00BB7E73"/>
    <w:rsid w:val="00BB7EAB"/>
    <w:rsid w:val="00BB7FCE"/>
    <w:rsid w:val="00BC012D"/>
    <w:rsid w:val="00BC018A"/>
    <w:rsid w:val="00BC027D"/>
    <w:rsid w:val="00BC02EA"/>
    <w:rsid w:val="00BC03E6"/>
    <w:rsid w:val="00BC0518"/>
    <w:rsid w:val="00BC05FB"/>
    <w:rsid w:val="00BC0709"/>
    <w:rsid w:val="00BC07F7"/>
    <w:rsid w:val="00BC08F4"/>
    <w:rsid w:val="00BC0C36"/>
    <w:rsid w:val="00BC0D89"/>
    <w:rsid w:val="00BC0DA8"/>
    <w:rsid w:val="00BC0DCE"/>
    <w:rsid w:val="00BC0E52"/>
    <w:rsid w:val="00BC0FD6"/>
    <w:rsid w:val="00BC1086"/>
    <w:rsid w:val="00BC112C"/>
    <w:rsid w:val="00BC127C"/>
    <w:rsid w:val="00BC130B"/>
    <w:rsid w:val="00BC13DF"/>
    <w:rsid w:val="00BC1422"/>
    <w:rsid w:val="00BC16ED"/>
    <w:rsid w:val="00BC186F"/>
    <w:rsid w:val="00BC189C"/>
    <w:rsid w:val="00BC18E2"/>
    <w:rsid w:val="00BC18FA"/>
    <w:rsid w:val="00BC1954"/>
    <w:rsid w:val="00BC19A4"/>
    <w:rsid w:val="00BC1A05"/>
    <w:rsid w:val="00BC1AC1"/>
    <w:rsid w:val="00BC1D63"/>
    <w:rsid w:val="00BC1F51"/>
    <w:rsid w:val="00BC1FAD"/>
    <w:rsid w:val="00BC1FBC"/>
    <w:rsid w:val="00BC2139"/>
    <w:rsid w:val="00BC219C"/>
    <w:rsid w:val="00BC2437"/>
    <w:rsid w:val="00BC2481"/>
    <w:rsid w:val="00BC24D2"/>
    <w:rsid w:val="00BC260D"/>
    <w:rsid w:val="00BC2645"/>
    <w:rsid w:val="00BC273E"/>
    <w:rsid w:val="00BC2803"/>
    <w:rsid w:val="00BC292F"/>
    <w:rsid w:val="00BC2C7D"/>
    <w:rsid w:val="00BC2D2A"/>
    <w:rsid w:val="00BC2D88"/>
    <w:rsid w:val="00BC2F48"/>
    <w:rsid w:val="00BC2F60"/>
    <w:rsid w:val="00BC301B"/>
    <w:rsid w:val="00BC3037"/>
    <w:rsid w:val="00BC31C7"/>
    <w:rsid w:val="00BC3233"/>
    <w:rsid w:val="00BC336A"/>
    <w:rsid w:val="00BC35B4"/>
    <w:rsid w:val="00BC35B8"/>
    <w:rsid w:val="00BC3723"/>
    <w:rsid w:val="00BC385D"/>
    <w:rsid w:val="00BC388D"/>
    <w:rsid w:val="00BC39D2"/>
    <w:rsid w:val="00BC3A52"/>
    <w:rsid w:val="00BC3BB0"/>
    <w:rsid w:val="00BC3BCE"/>
    <w:rsid w:val="00BC3C09"/>
    <w:rsid w:val="00BC3CA5"/>
    <w:rsid w:val="00BC3DB0"/>
    <w:rsid w:val="00BC3E22"/>
    <w:rsid w:val="00BC3E64"/>
    <w:rsid w:val="00BC40B5"/>
    <w:rsid w:val="00BC42BC"/>
    <w:rsid w:val="00BC4348"/>
    <w:rsid w:val="00BC4443"/>
    <w:rsid w:val="00BC449F"/>
    <w:rsid w:val="00BC450F"/>
    <w:rsid w:val="00BC4734"/>
    <w:rsid w:val="00BC4781"/>
    <w:rsid w:val="00BC47D9"/>
    <w:rsid w:val="00BC47F9"/>
    <w:rsid w:val="00BC489D"/>
    <w:rsid w:val="00BC4A0E"/>
    <w:rsid w:val="00BC4AA3"/>
    <w:rsid w:val="00BC4ADA"/>
    <w:rsid w:val="00BC4B2B"/>
    <w:rsid w:val="00BC4C32"/>
    <w:rsid w:val="00BC4C74"/>
    <w:rsid w:val="00BC4C76"/>
    <w:rsid w:val="00BC4F74"/>
    <w:rsid w:val="00BC4F8F"/>
    <w:rsid w:val="00BC4F96"/>
    <w:rsid w:val="00BC5040"/>
    <w:rsid w:val="00BC5056"/>
    <w:rsid w:val="00BC510E"/>
    <w:rsid w:val="00BC513A"/>
    <w:rsid w:val="00BC51B7"/>
    <w:rsid w:val="00BC5229"/>
    <w:rsid w:val="00BC5341"/>
    <w:rsid w:val="00BC54D8"/>
    <w:rsid w:val="00BC575E"/>
    <w:rsid w:val="00BC5782"/>
    <w:rsid w:val="00BC59EE"/>
    <w:rsid w:val="00BC5C03"/>
    <w:rsid w:val="00BC5D8F"/>
    <w:rsid w:val="00BC5EF7"/>
    <w:rsid w:val="00BC5F77"/>
    <w:rsid w:val="00BC6002"/>
    <w:rsid w:val="00BC6041"/>
    <w:rsid w:val="00BC61B9"/>
    <w:rsid w:val="00BC622B"/>
    <w:rsid w:val="00BC6303"/>
    <w:rsid w:val="00BC6606"/>
    <w:rsid w:val="00BC66C8"/>
    <w:rsid w:val="00BC6702"/>
    <w:rsid w:val="00BC6782"/>
    <w:rsid w:val="00BC6928"/>
    <w:rsid w:val="00BC6A6A"/>
    <w:rsid w:val="00BC6CB9"/>
    <w:rsid w:val="00BC6E56"/>
    <w:rsid w:val="00BC6FA5"/>
    <w:rsid w:val="00BC6FA7"/>
    <w:rsid w:val="00BC6FE8"/>
    <w:rsid w:val="00BC702E"/>
    <w:rsid w:val="00BC70FC"/>
    <w:rsid w:val="00BC7177"/>
    <w:rsid w:val="00BC7193"/>
    <w:rsid w:val="00BC71B3"/>
    <w:rsid w:val="00BC7240"/>
    <w:rsid w:val="00BC726A"/>
    <w:rsid w:val="00BC75BA"/>
    <w:rsid w:val="00BC799F"/>
    <w:rsid w:val="00BC7BA0"/>
    <w:rsid w:val="00BC7C1B"/>
    <w:rsid w:val="00BC7C76"/>
    <w:rsid w:val="00BC7F96"/>
    <w:rsid w:val="00BD0162"/>
    <w:rsid w:val="00BD0386"/>
    <w:rsid w:val="00BD0502"/>
    <w:rsid w:val="00BD0519"/>
    <w:rsid w:val="00BD051D"/>
    <w:rsid w:val="00BD0575"/>
    <w:rsid w:val="00BD0616"/>
    <w:rsid w:val="00BD06C7"/>
    <w:rsid w:val="00BD0B3A"/>
    <w:rsid w:val="00BD0BA8"/>
    <w:rsid w:val="00BD0CB8"/>
    <w:rsid w:val="00BD0DBE"/>
    <w:rsid w:val="00BD0F4E"/>
    <w:rsid w:val="00BD0FF1"/>
    <w:rsid w:val="00BD1175"/>
    <w:rsid w:val="00BD1198"/>
    <w:rsid w:val="00BD1307"/>
    <w:rsid w:val="00BD131D"/>
    <w:rsid w:val="00BD139E"/>
    <w:rsid w:val="00BD13E3"/>
    <w:rsid w:val="00BD188B"/>
    <w:rsid w:val="00BD18D5"/>
    <w:rsid w:val="00BD190D"/>
    <w:rsid w:val="00BD1AE1"/>
    <w:rsid w:val="00BD1B80"/>
    <w:rsid w:val="00BD1B90"/>
    <w:rsid w:val="00BD1E77"/>
    <w:rsid w:val="00BD1F5F"/>
    <w:rsid w:val="00BD1F6F"/>
    <w:rsid w:val="00BD22C3"/>
    <w:rsid w:val="00BD23E4"/>
    <w:rsid w:val="00BD2479"/>
    <w:rsid w:val="00BD25AB"/>
    <w:rsid w:val="00BD25C8"/>
    <w:rsid w:val="00BD2665"/>
    <w:rsid w:val="00BD26BD"/>
    <w:rsid w:val="00BD2760"/>
    <w:rsid w:val="00BD285E"/>
    <w:rsid w:val="00BD2919"/>
    <w:rsid w:val="00BD2A55"/>
    <w:rsid w:val="00BD2A78"/>
    <w:rsid w:val="00BD2BD8"/>
    <w:rsid w:val="00BD2D01"/>
    <w:rsid w:val="00BD2D02"/>
    <w:rsid w:val="00BD2D95"/>
    <w:rsid w:val="00BD2EDF"/>
    <w:rsid w:val="00BD315A"/>
    <w:rsid w:val="00BD31E0"/>
    <w:rsid w:val="00BD32DC"/>
    <w:rsid w:val="00BD33A1"/>
    <w:rsid w:val="00BD33EE"/>
    <w:rsid w:val="00BD3440"/>
    <w:rsid w:val="00BD3704"/>
    <w:rsid w:val="00BD3788"/>
    <w:rsid w:val="00BD3A0E"/>
    <w:rsid w:val="00BD3AC9"/>
    <w:rsid w:val="00BD3D07"/>
    <w:rsid w:val="00BD3D34"/>
    <w:rsid w:val="00BD3D50"/>
    <w:rsid w:val="00BD3DE5"/>
    <w:rsid w:val="00BD3F60"/>
    <w:rsid w:val="00BD3F70"/>
    <w:rsid w:val="00BD41F5"/>
    <w:rsid w:val="00BD4344"/>
    <w:rsid w:val="00BD4388"/>
    <w:rsid w:val="00BD45CF"/>
    <w:rsid w:val="00BD47E9"/>
    <w:rsid w:val="00BD4AF3"/>
    <w:rsid w:val="00BD4B20"/>
    <w:rsid w:val="00BD4BE1"/>
    <w:rsid w:val="00BD4D32"/>
    <w:rsid w:val="00BD4DCF"/>
    <w:rsid w:val="00BD4F1B"/>
    <w:rsid w:val="00BD502D"/>
    <w:rsid w:val="00BD523F"/>
    <w:rsid w:val="00BD5262"/>
    <w:rsid w:val="00BD52DF"/>
    <w:rsid w:val="00BD5341"/>
    <w:rsid w:val="00BD554D"/>
    <w:rsid w:val="00BD56EB"/>
    <w:rsid w:val="00BD57E7"/>
    <w:rsid w:val="00BD58DC"/>
    <w:rsid w:val="00BD58E2"/>
    <w:rsid w:val="00BD59C6"/>
    <w:rsid w:val="00BD5A79"/>
    <w:rsid w:val="00BD5B3B"/>
    <w:rsid w:val="00BD5B7A"/>
    <w:rsid w:val="00BD5D62"/>
    <w:rsid w:val="00BD5DF5"/>
    <w:rsid w:val="00BD5EE3"/>
    <w:rsid w:val="00BD60E5"/>
    <w:rsid w:val="00BD619C"/>
    <w:rsid w:val="00BD63CB"/>
    <w:rsid w:val="00BD63D6"/>
    <w:rsid w:val="00BD640F"/>
    <w:rsid w:val="00BD6475"/>
    <w:rsid w:val="00BD6574"/>
    <w:rsid w:val="00BD66AB"/>
    <w:rsid w:val="00BD682B"/>
    <w:rsid w:val="00BD68D8"/>
    <w:rsid w:val="00BD699B"/>
    <w:rsid w:val="00BD6B09"/>
    <w:rsid w:val="00BD6CBC"/>
    <w:rsid w:val="00BD6DAB"/>
    <w:rsid w:val="00BD6EC1"/>
    <w:rsid w:val="00BD6F85"/>
    <w:rsid w:val="00BD7271"/>
    <w:rsid w:val="00BD72D7"/>
    <w:rsid w:val="00BD730D"/>
    <w:rsid w:val="00BD7394"/>
    <w:rsid w:val="00BD74F7"/>
    <w:rsid w:val="00BD7558"/>
    <w:rsid w:val="00BD755A"/>
    <w:rsid w:val="00BD76AB"/>
    <w:rsid w:val="00BD7713"/>
    <w:rsid w:val="00BD77DD"/>
    <w:rsid w:val="00BD7839"/>
    <w:rsid w:val="00BD78B5"/>
    <w:rsid w:val="00BD78CB"/>
    <w:rsid w:val="00BD7ABA"/>
    <w:rsid w:val="00BD7BA7"/>
    <w:rsid w:val="00BD7C23"/>
    <w:rsid w:val="00BD7D29"/>
    <w:rsid w:val="00BD7D81"/>
    <w:rsid w:val="00BD7F3A"/>
    <w:rsid w:val="00BE0083"/>
    <w:rsid w:val="00BE00EA"/>
    <w:rsid w:val="00BE0187"/>
    <w:rsid w:val="00BE03A5"/>
    <w:rsid w:val="00BE0479"/>
    <w:rsid w:val="00BE0750"/>
    <w:rsid w:val="00BE07CA"/>
    <w:rsid w:val="00BE08B0"/>
    <w:rsid w:val="00BE09C1"/>
    <w:rsid w:val="00BE0A23"/>
    <w:rsid w:val="00BE0E0A"/>
    <w:rsid w:val="00BE10D7"/>
    <w:rsid w:val="00BE1262"/>
    <w:rsid w:val="00BE1340"/>
    <w:rsid w:val="00BE1376"/>
    <w:rsid w:val="00BE1604"/>
    <w:rsid w:val="00BE1860"/>
    <w:rsid w:val="00BE1A13"/>
    <w:rsid w:val="00BE1A9F"/>
    <w:rsid w:val="00BE1AE4"/>
    <w:rsid w:val="00BE1BC4"/>
    <w:rsid w:val="00BE1CAD"/>
    <w:rsid w:val="00BE1D26"/>
    <w:rsid w:val="00BE1E89"/>
    <w:rsid w:val="00BE1EBF"/>
    <w:rsid w:val="00BE212E"/>
    <w:rsid w:val="00BE21D2"/>
    <w:rsid w:val="00BE2260"/>
    <w:rsid w:val="00BE2635"/>
    <w:rsid w:val="00BE272D"/>
    <w:rsid w:val="00BE2733"/>
    <w:rsid w:val="00BE279E"/>
    <w:rsid w:val="00BE27F7"/>
    <w:rsid w:val="00BE292F"/>
    <w:rsid w:val="00BE2971"/>
    <w:rsid w:val="00BE2A11"/>
    <w:rsid w:val="00BE2AC8"/>
    <w:rsid w:val="00BE2AEE"/>
    <w:rsid w:val="00BE2AF3"/>
    <w:rsid w:val="00BE2C26"/>
    <w:rsid w:val="00BE2CE5"/>
    <w:rsid w:val="00BE2D0A"/>
    <w:rsid w:val="00BE2D2A"/>
    <w:rsid w:val="00BE2DBD"/>
    <w:rsid w:val="00BE310B"/>
    <w:rsid w:val="00BE34A0"/>
    <w:rsid w:val="00BE34D6"/>
    <w:rsid w:val="00BE362F"/>
    <w:rsid w:val="00BE364E"/>
    <w:rsid w:val="00BE3717"/>
    <w:rsid w:val="00BE39EA"/>
    <w:rsid w:val="00BE3A0F"/>
    <w:rsid w:val="00BE3AFB"/>
    <w:rsid w:val="00BE3C2E"/>
    <w:rsid w:val="00BE3D59"/>
    <w:rsid w:val="00BE3E2B"/>
    <w:rsid w:val="00BE3E8F"/>
    <w:rsid w:val="00BE3ECA"/>
    <w:rsid w:val="00BE40E3"/>
    <w:rsid w:val="00BE4123"/>
    <w:rsid w:val="00BE4160"/>
    <w:rsid w:val="00BE41B1"/>
    <w:rsid w:val="00BE4375"/>
    <w:rsid w:val="00BE44D7"/>
    <w:rsid w:val="00BE455D"/>
    <w:rsid w:val="00BE4577"/>
    <w:rsid w:val="00BE460B"/>
    <w:rsid w:val="00BE4AE5"/>
    <w:rsid w:val="00BE4BBB"/>
    <w:rsid w:val="00BE4BDB"/>
    <w:rsid w:val="00BE4C18"/>
    <w:rsid w:val="00BE4DB4"/>
    <w:rsid w:val="00BE4E8E"/>
    <w:rsid w:val="00BE4FF1"/>
    <w:rsid w:val="00BE520B"/>
    <w:rsid w:val="00BE52BC"/>
    <w:rsid w:val="00BE52F8"/>
    <w:rsid w:val="00BE5462"/>
    <w:rsid w:val="00BE54F2"/>
    <w:rsid w:val="00BE5632"/>
    <w:rsid w:val="00BE5820"/>
    <w:rsid w:val="00BE58DF"/>
    <w:rsid w:val="00BE59CE"/>
    <w:rsid w:val="00BE5A2B"/>
    <w:rsid w:val="00BE5C51"/>
    <w:rsid w:val="00BE5D0B"/>
    <w:rsid w:val="00BE5D95"/>
    <w:rsid w:val="00BE5DBE"/>
    <w:rsid w:val="00BE5DE2"/>
    <w:rsid w:val="00BE6021"/>
    <w:rsid w:val="00BE6060"/>
    <w:rsid w:val="00BE6116"/>
    <w:rsid w:val="00BE6130"/>
    <w:rsid w:val="00BE6236"/>
    <w:rsid w:val="00BE6283"/>
    <w:rsid w:val="00BE6290"/>
    <w:rsid w:val="00BE65ED"/>
    <w:rsid w:val="00BE6684"/>
    <w:rsid w:val="00BE66DF"/>
    <w:rsid w:val="00BE6725"/>
    <w:rsid w:val="00BE6831"/>
    <w:rsid w:val="00BE6847"/>
    <w:rsid w:val="00BE68C2"/>
    <w:rsid w:val="00BE6AE9"/>
    <w:rsid w:val="00BE6B74"/>
    <w:rsid w:val="00BE6C25"/>
    <w:rsid w:val="00BE6DC8"/>
    <w:rsid w:val="00BE6E95"/>
    <w:rsid w:val="00BE7259"/>
    <w:rsid w:val="00BE732F"/>
    <w:rsid w:val="00BE7376"/>
    <w:rsid w:val="00BE750E"/>
    <w:rsid w:val="00BE7534"/>
    <w:rsid w:val="00BE7629"/>
    <w:rsid w:val="00BE76EB"/>
    <w:rsid w:val="00BE7840"/>
    <w:rsid w:val="00BE793B"/>
    <w:rsid w:val="00BE79F0"/>
    <w:rsid w:val="00BE7B1A"/>
    <w:rsid w:val="00BE7BB9"/>
    <w:rsid w:val="00BE7C62"/>
    <w:rsid w:val="00BE7DEB"/>
    <w:rsid w:val="00BE7E55"/>
    <w:rsid w:val="00BF0103"/>
    <w:rsid w:val="00BF02A0"/>
    <w:rsid w:val="00BF03DA"/>
    <w:rsid w:val="00BF0466"/>
    <w:rsid w:val="00BF065C"/>
    <w:rsid w:val="00BF06FC"/>
    <w:rsid w:val="00BF0798"/>
    <w:rsid w:val="00BF0AB6"/>
    <w:rsid w:val="00BF0B15"/>
    <w:rsid w:val="00BF0B3C"/>
    <w:rsid w:val="00BF0BE4"/>
    <w:rsid w:val="00BF0CA2"/>
    <w:rsid w:val="00BF0CD7"/>
    <w:rsid w:val="00BF0CDB"/>
    <w:rsid w:val="00BF0D48"/>
    <w:rsid w:val="00BF0EE6"/>
    <w:rsid w:val="00BF0EF2"/>
    <w:rsid w:val="00BF1114"/>
    <w:rsid w:val="00BF11A0"/>
    <w:rsid w:val="00BF1318"/>
    <w:rsid w:val="00BF1339"/>
    <w:rsid w:val="00BF13A4"/>
    <w:rsid w:val="00BF1415"/>
    <w:rsid w:val="00BF1426"/>
    <w:rsid w:val="00BF14E7"/>
    <w:rsid w:val="00BF1561"/>
    <w:rsid w:val="00BF1719"/>
    <w:rsid w:val="00BF173B"/>
    <w:rsid w:val="00BF17BE"/>
    <w:rsid w:val="00BF17F9"/>
    <w:rsid w:val="00BF18DB"/>
    <w:rsid w:val="00BF1A35"/>
    <w:rsid w:val="00BF1BF6"/>
    <w:rsid w:val="00BF1CCE"/>
    <w:rsid w:val="00BF2010"/>
    <w:rsid w:val="00BF202E"/>
    <w:rsid w:val="00BF2126"/>
    <w:rsid w:val="00BF21C0"/>
    <w:rsid w:val="00BF21D8"/>
    <w:rsid w:val="00BF2384"/>
    <w:rsid w:val="00BF2434"/>
    <w:rsid w:val="00BF247A"/>
    <w:rsid w:val="00BF2551"/>
    <w:rsid w:val="00BF2657"/>
    <w:rsid w:val="00BF2741"/>
    <w:rsid w:val="00BF2813"/>
    <w:rsid w:val="00BF2945"/>
    <w:rsid w:val="00BF2A1E"/>
    <w:rsid w:val="00BF2B37"/>
    <w:rsid w:val="00BF2C03"/>
    <w:rsid w:val="00BF2D8C"/>
    <w:rsid w:val="00BF2D91"/>
    <w:rsid w:val="00BF2ECD"/>
    <w:rsid w:val="00BF2F71"/>
    <w:rsid w:val="00BF2FD5"/>
    <w:rsid w:val="00BF3025"/>
    <w:rsid w:val="00BF306A"/>
    <w:rsid w:val="00BF3156"/>
    <w:rsid w:val="00BF3208"/>
    <w:rsid w:val="00BF32BE"/>
    <w:rsid w:val="00BF32E4"/>
    <w:rsid w:val="00BF33D1"/>
    <w:rsid w:val="00BF350D"/>
    <w:rsid w:val="00BF354E"/>
    <w:rsid w:val="00BF3666"/>
    <w:rsid w:val="00BF3737"/>
    <w:rsid w:val="00BF37D3"/>
    <w:rsid w:val="00BF37E3"/>
    <w:rsid w:val="00BF39D7"/>
    <w:rsid w:val="00BF39FA"/>
    <w:rsid w:val="00BF3A63"/>
    <w:rsid w:val="00BF3CE7"/>
    <w:rsid w:val="00BF3F1F"/>
    <w:rsid w:val="00BF3FF7"/>
    <w:rsid w:val="00BF400B"/>
    <w:rsid w:val="00BF40D6"/>
    <w:rsid w:val="00BF41B8"/>
    <w:rsid w:val="00BF4210"/>
    <w:rsid w:val="00BF42C0"/>
    <w:rsid w:val="00BF446D"/>
    <w:rsid w:val="00BF44DD"/>
    <w:rsid w:val="00BF45BF"/>
    <w:rsid w:val="00BF45FD"/>
    <w:rsid w:val="00BF4634"/>
    <w:rsid w:val="00BF4752"/>
    <w:rsid w:val="00BF4769"/>
    <w:rsid w:val="00BF4880"/>
    <w:rsid w:val="00BF48A0"/>
    <w:rsid w:val="00BF4947"/>
    <w:rsid w:val="00BF4B61"/>
    <w:rsid w:val="00BF4B90"/>
    <w:rsid w:val="00BF4C45"/>
    <w:rsid w:val="00BF4C47"/>
    <w:rsid w:val="00BF4C63"/>
    <w:rsid w:val="00BF4DAB"/>
    <w:rsid w:val="00BF4DF0"/>
    <w:rsid w:val="00BF4EA6"/>
    <w:rsid w:val="00BF4EF2"/>
    <w:rsid w:val="00BF4F16"/>
    <w:rsid w:val="00BF4F9B"/>
    <w:rsid w:val="00BF516D"/>
    <w:rsid w:val="00BF51DC"/>
    <w:rsid w:val="00BF522A"/>
    <w:rsid w:val="00BF528B"/>
    <w:rsid w:val="00BF536F"/>
    <w:rsid w:val="00BF551D"/>
    <w:rsid w:val="00BF5850"/>
    <w:rsid w:val="00BF5A4B"/>
    <w:rsid w:val="00BF5AB7"/>
    <w:rsid w:val="00BF5AF5"/>
    <w:rsid w:val="00BF5AFA"/>
    <w:rsid w:val="00BF5D24"/>
    <w:rsid w:val="00BF5E2F"/>
    <w:rsid w:val="00BF5F2C"/>
    <w:rsid w:val="00BF5F4E"/>
    <w:rsid w:val="00BF6085"/>
    <w:rsid w:val="00BF60FC"/>
    <w:rsid w:val="00BF6252"/>
    <w:rsid w:val="00BF6411"/>
    <w:rsid w:val="00BF684D"/>
    <w:rsid w:val="00BF68C8"/>
    <w:rsid w:val="00BF69BB"/>
    <w:rsid w:val="00BF6AF2"/>
    <w:rsid w:val="00BF6B10"/>
    <w:rsid w:val="00BF6C12"/>
    <w:rsid w:val="00BF6C19"/>
    <w:rsid w:val="00BF6D1F"/>
    <w:rsid w:val="00BF6EB3"/>
    <w:rsid w:val="00BF6EFD"/>
    <w:rsid w:val="00BF702D"/>
    <w:rsid w:val="00BF7086"/>
    <w:rsid w:val="00BF72DB"/>
    <w:rsid w:val="00BF7378"/>
    <w:rsid w:val="00BF742A"/>
    <w:rsid w:val="00BF7439"/>
    <w:rsid w:val="00BF7455"/>
    <w:rsid w:val="00BF7463"/>
    <w:rsid w:val="00BF74D5"/>
    <w:rsid w:val="00BF75D9"/>
    <w:rsid w:val="00BF784C"/>
    <w:rsid w:val="00BF7943"/>
    <w:rsid w:val="00BF7A9C"/>
    <w:rsid w:val="00BF7B46"/>
    <w:rsid w:val="00BF7B53"/>
    <w:rsid w:val="00BF7B7A"/>
    <w:rsid w:val="00BF7C13"/>
    <w:rsid w:val="00BF7D0B"/>
    <w:rsid w:val="00BF7D86"/>
    <w:rsid w:val="00BF7F5C"/>
    <w:rsid w:val="00C00080"/>
    <w:rsid w:val="00C000CC"/>
    <w:rsid w:val="00C00197"/>
    <w:rsid w:val="00C0038E"/>
    <w:rsid w:val="00C00549"/>
    <w:rsid w:val="00C005CE"/>
    <w:rsid w:val="00C005FB"/>
    <w:rsid w:val="00C006F4"/>
    <w:rsid w:val="00C00807"/>
    <w:rsid w:val="00C0087B"/>
    <w:rsid w:val="00C00984"/>
    <w:rsid w:val="00C00B3C"/>
    <w:rsid w:val="00C00B8D"/>
    <w:rsid w:val="00C00DB8"/>
    <w:rsid w:val="00C00DCD"/>
    <w:rsid w:val="00C00E5D"/>
    <w:rsid w:val="00C00E70"/>
    <w:rsid w:val="00C00F15"/>
    <w:rsid w:val="00C01355"/>
    <w:rsid w:val="00C013DE"/>
    <w:rsid w:val="00C014BF"/>
    <w:rsid w:val="00C01500"/>
    <w:rsid w:val="00C0157E"/>
    <w:rsid w:val="00C01582"/>
    <w:rsid w:val="00C0160D"/>
    <w:rsid w:val="00C0164B"/>
    <w:rsid w:val="00C016A3"/>
    <w:rsid w:val="00C0172F"/>
    <w:rsid w:val="00C017C2"/>
    <w:rsid w:val="00C017E4"/>
    <w:rsid w:val="00C01954"/>
    <w:rsid w:val="00C01A00"/>
    <w:rsid w:val="00C01A04"/>
    <w:rsid w:val="00C01AA6"/>
    <w:rsid w:val="00C01AF9"/>
    <w:rsid w:val="00C01BB7"/>
    <w:rsid w:val="00C01DC4"/>
    <w:rsid w:val="00C01E55"/>
    <w:rsid w:val="00C01E68"/>
    <w:rsid w:val="00C01F26"/>
    <w:rsid w:val="00C0208C"/>
    <w:rsid w:val="00C02092"/>
    <w:rsid w:val="00C020EB"/>
    <w:rsid w:val="00C0217D"/>
    <w:rsid w:val="00C02250"/>
    <w:rsid w:val="00C02252"/>
    <w:rsid w:val="00C022B5"/>
    <w:rsid w:val="00C02301"/>
    <w:rsid w:val="00C0248A"/>
    <w:rsid w:val="00C024A0"/>
    <w:rsid w:val="00C02556"/>
    <w:rsid w:val="00C02779"/>
    <w:rsid w:val="00C02939"/>
    <w:rsid w:val="00C02A0B"/>
    <w:rsid w:val="00C02A1D"/>
    <w:rsid w:val="00C02F52"/>
    <w:rsid w:val="00C031CE"/>
    <w:rsid w:val="00C0326B"/>
    <w:rsid w:val="00C032E2"/>
    <w:rsid w:val="00C033D7"/>
    <w:rsid w:val="00C03662"/>
    <w:rsid w:val="00C03668"/>
    <w:rsid w:val="00C03670"/>
    <w:rsid w:val="00C036E5"/>
    <w:rsid w:val="00C037A8"/>
    <w:rsid w:val="00C0387A"/>
    <w:rsid w:val="00C03CF4"/>
    <w:rsid w:val="00C0403A"/>
    <w:rsid w:val="00C042F8"/>
    <w:rsid w:val="00C04485"/>
    <w:rsid w:val="00C0477D"/>
    <w:rsid w:val="00C047D1"/>
    <w:rsid w:val="00C04813"/>
    <w:rsid w:val="00C0484B"/>
    <w:rsid w:val="00C04988"/>
    <w:rsid w:val="00C049CB"/>
    <w:rsid w:val="00C04BB2"/>
    <w:rsid w:val="00C04DB3"/>
    <w:rsid w:val="00C04E95"/>
    <w:rsid w:val="00C04F24"/>
    <w:rsid w:val="00C0540C"/>
    <w:rsid w:val="00C054D7"/>
    <w:rsid w:val="00C05500"/>
    <w:rsid w:val="00C056E5"/>
    <w:rsid w:val="00C05735"/>
    <w:rsid w:val="00C0578B"/>
    <w:rsid w:val="00C057DD"/>
    <w:rsid w:val="00C05994"/>
    <w:rsid w:val="00C059E4"/>
    <w:rsid w:val="00C05A15"/>
    <w:rsid w:val="00C05A1C"/>
    <w:rsid w:val="00C05B2D"/>
    <w:rsid w:val="00C05B88"/>
    <w:rsid w:val="00C05BAD"/>
    <w:rsid w:val="00C05BFC"/>
    <w:rsid w:val="00C05C15"/>
    <w:rsid w:val="00C05C8B"/>
    <w:rsid w:val="00C05D1D"/>
    <w:rsid w:val="00C05DA1"/>
    <w:rsid w:val="00C05ED6"/>
    <w:rsid w:val="00C05F33"/>
    <w:rsid w:val="00C060A8"/>
    <w:rsid w:val="00C060FF"/>
    <w:rsid w:val="00C06171"/>
    <w:rsid w:val="00C0619C"/>
    <w:rsid w:val="00C0621F"/>
    <w:rsid w:val="00C065D4"/>
    <w:rsid w:val="00C06688"/>
    <w:rsid w:val="00C066A2"/>
    <w:rsid w:val="00C06837"/>
    <w:rsid w:val="00C068D0"/>
    <w:rsid w:val="00C06BF6"/>
    <w:rsid w:val="00C06D35"/>
    <w:rsid w:val="00C06E18"/>
    <w:rsid w:val="00C06E8D"/>
    <w:rsid w:val="00C06E9E"/>
    <w:rsid w:val="00C06EA5"/>
    <w:rsid w:val="00C06F2D"/>
    <w:rsid w:val="00C06FE3"/>
    <w:rsid w:val="00C07183"/>
    <w:rsid w:val="00C07197"/>
    <w:rsid w:val="00C07213"/>
    <w:rsid w:val="00C072F5"/>
    <w:rsid w:val="00C07393"/>
    <w:rsid w:val="00C07597"/>
    <w:rsid w:val="00C075F0"/>
    <w:rsid w:val="00C0766A"/>
    <w:rsid w:val="00C0776F"/>
    <w:rsid w:val="00C07847"/>
    <w:rsid w:val="00C0788A"/>
    <w:rsid w:val="00C07900"/>
    <w:rsid w:val="00C07A86"/>
    <w:rsid w:val="00C07B71"/>
    <w:rsid w:val="00C07E11"/>
    <w:rsid w:val="00C07E6F"/>
    <w:rsid w:val="00C07E76"/>
    <w:rsid w:val="00C1011C"/>
    <w:rsid w:val="00C102A7"/>
    <w:rsid w:val="00C10343"/>
    <w:rsid w:val="00C103A1"/>
    <w:rsid w:val="00C1049C"/>
    <w:rsid w:val="00C1063F"/>
    <w:rsid w:val="00C106AA"/>
    <w:rsid w:val="00C1072B"/>
    <w:rsid w:val="00C10910"/>
    <w:rsid w:val="00C109A5"/>
    <w:rsid w:val="00C10D4A"/>
    <w:rsid w:val="00C10E2B"/>
    <w:rsid w:val="00C10F10"/>
    <w:rsid w:val="00C10FB5"/>
    <w:rsid w:val="00C1103B"/>
    <w:rsid w:val="00C11158"/>
    <w:rsid w:val="00C1117C"/>
    <w:rsid w:val="00C111A9"/>
    <w:rsid w:val="00C112F4"/>
    <w:rsid w:val="00C11331"/>
    <w:rsid w:val="00C114C2"/>
    <w:rsid w:val="00C114C4"/>
    <w:rsid w:val="00C1156D"/>
    <w:rsid w:val="00C1180C"/>
    <w:rsid w:val="00C11924"/>
    <w:rsid w:val="00C11B60"/>
    <w:rsid w:val="00C11C7A"/>
    <w:rsid w:val="00C11D36"/>
    <w:rsid w:val="00C11DDF"/>
    <w:rsid w:val="00C11E1E"/>
    <w:rsid w:val="00C11F02"/>
    <w:rsid w:val="00C11F3F"/>
    <w:rsid w:val="00C12033"/>
    <w:rsid w:val="00C120DA"/>
    <w:rsid w:val="00C120DC"/>
    <w:rsid w:val="00C1223F"/>
    <w:rsid w:val="00C12383"/>
    <w:rsid w:val="00C1239D"/>
    <w:rsid w:val="00C12459"/>
    <w:rsid w:val="00C12697"/>
    <w:rsid w:val="00C1277C"/>
    <w:rsid w:val="00C127F2"/>
    <w:rsid w:val="00C1285C"/>
    <w:rsid w:val="00C128B6"/>
    <w:rsid w:val="00C129BB"/>
    <w:rsid w:val="00C129EA"/>
    <w:rsid w:val="00C12BC8"/>
    <w:rsid w:val="00C12CE0"/>
    <w:rsid w:val="00C12CEB"/>
    <w:rsid w:val="00C12D18"/>
    <w:rsid w:val="00C12D61"/>
    <w:rsid w:val="00C12EBE"/>
    <w:rsid w:val="00C12FFB"/>
    <w:rsid w:val="00C131E1"/>
    <w:rsid w:val="00C13252"/>
    <w:rsid w:val="00C132EC"/>
    <w:rsid w:val="00C13406"/>
    <w:rsid w:val="00C13447"/>
    <w:rsid w:val="00C134B6"/>
    <w:rsid w:val="00C13967"/>
    <w:rsid w:val="00C139AB"/>
    <w:rsid w:val="00C139C2"/>
    <w:rsid w:val="00C13B81"/>
    <w:rsid w:val="00C13D29"/>
    <w:rsid w:val="00C13E36"/>
    <w:rsid w:val="00C13F5D"/>
    <w:rsid w:val="00C13FEB"/>
    <w:rsid w:val="00C14016"/>
    <w:rsid w:val="00C1405F"/>
    <w:rsid w:val="00C14095"/>
    <w:rsid w:val="00C14131"/>
    <w:rsid w:val="00C143FA"/>
    <w:rsid w:val="00C144B6"/>
    <w:rsid w:val="00C144CF"/>
    <w:rsid w:val="00C1469B"/>
    <w:rsid w:val="00C1469C"/>
    <w:rsid w:val="00C1472A"/>
    <w:rsid w:val="00C1476E"/>
    <w:rsid w:val="00C147DC"/>
    <w:rsid w:val="00C14809"/>
    <w:rsid w:val="00C1498B"/>
    <w:rsid w:val="00C14990"/>
    <w:rsid w:val="00C1499E"/>
    <w:rsid w:val="00C149CD"/>
    <w:rsid w:val="00C149EF"/>
    <w:rsid w:val="00C14B2E"/>
    <w:rsid w:val="00C14C6C"/>
    <w:rsid w:val="00C14D48"/>
    <w:rsid w:val="00C14F4A"/>
    <w:rsid w:val="00C14F79"/>
    <w:rsid w:val="00C14FAD"/>
    <w:rsid w:val="00C151A0"/>
    <w:rsid w:val="00C151F4"/>
    <w:rsid w:val="00C15220"/>
    <w:rsid w:val="00C15409"/>
    <w:rsid w:val="00C15890"/>
    <w:rsid w:val="00C15A3D"/>
    <w:rsid w:val="00C15AF0"/>
    <w:rsid w:val="00C15B23"/>
    <w:rsid w:val="00C15D00"/>
    <w:rsid w:val="00C15DE4"/>
    <w:rsid w:val="00C15EFB"/>
    <w:rsid w:val="00C15F04"/>
    <w:rsid w:val="00C15F50"/>
    <w:rsid w:val="00C16107"/>
    <w:rsid w:val="00C16266"/>
    <w:rsid w:val="00C162F8"/>
    <w:rsid w:val="00C1647C"/>
    <w:rsid w:val="00C1648C"/>
    <w:rsid w:val="00C165DA"/>
    <w:rsid w:val="00C167BE"/>
    <w:rsid w:val="00C16813"/>
    <w:rsid w:val="00C16955"/>
    <w:rsid w:val="00C16A99"/>
    <w:rsid w:val="00C16AEB"/>
    <w:rsid w:val="00C16B11"/>
    <w:rsid w:val="00C16C13"/>
    <w:rsid w:val="00C16CD1"/>
    <w:rsid w:val="00C16D01"/>
    <w:rsid w:val="00C16D06"/>
    <w:rsid w:val="00C16D70"/>
    <w:rsid w:val="00C16DC5"/>
    <w:rsid w:val="00C16DE0"/>
    <w:rsid w:val="00C16E82"/>
    <w:rsid w:val="00C16F2E"/>
    <w:rsid w:val="00C16F76"/>
    <w:rsid w:val="00C17089"/>
    <w:rsid w:val="00C17169"/>
    <w:rsid w:val="00C17225"/>
    <w:rsid w:val="00C1727F"/>
    <w:rsid w:val="00C17347"/>
    <w:rsid w:val="00C1734E"/>
    <w:rsid w:val="00C174C0"/>
    <w:rsid w:val="00C17673"/>
    <w:rsid w:val="00C178EB"/>
    <w:rsid w:val="00C179C3"/>
    <w:rsid w:val="00C179D4"/>
    <w:rsid w:val="00C17A59"/>
    <w:rsid w:val="00C17B40"/>
    <w:rsid w:val="00C17D1D"/>
    <w:rsid w:val="00C17F92"/>
    <w:rsid w:val="00C17FF1"/>
    <w:rsid w:val="00C20051"/>
    <w:rsid w:val="00C20202"/>
    <w:rsid w:val="00C20214"/>
    <w:rsid w:val="00C20290"/>
    <w:rsid w:val="00C20364"/>
    <w:rsid w:val="00C20454"/>
    <w:rsid w:val="00C2047E"/>
    <w:rsid w:val="00C204A0"/>
    <w:rsid w:val="00C20522"/>
    <w:rsid w:val="00C20545"/>
    <w:rsid w:val="00C205B8"/>
    <w:rsid w:val="00C2082E"/>
    <w:rsid w:val="00C20980"/>
    <w:rsid w:val="00C20AC6"/>
    <w:rsid w:val="00C20B62"/>
    <w:rsid w:val="00C20E0B"/>
    <w:rsid w:val="00C21043"/>
    <w:rsid w:val="00C21144"/>
    <w:rsid w:val="00C2121D"/>
    <w:rsid w:val="00C2126A"/>
    <w:rsid w:val="00C213F0"/>
    <w:rsid w:val="00C2177D"/>
    <w:rsid w:val="00C21849"/>
    <w:rsid w:val="00C21A3C"/>
    <w:rsid w:val="00C21B78"/>
    <w:rsid w:val="00C21BC0"/>
    <w:rsid w:val="00C21BF0"/>
    <w:rsid w:val="00C21CE6"/>
    <w:rsid w:val="00C21DAF"/>
    <w:rsid w:val="00C21DCC"/>
    <w:rsid w:val="00C21E99"/>
    <w:rsid w:val="00C21EF8"/>
    <w:rsid w:val="00C21FB2"/>
    <w:rsid w:val="00C2208C"/>
    <w:rsid w:val="00C2209F"/>
    <w:rsid w:val="00C221A0"/>
    <w:rsid w:val="00C222FE"/>
    <w:rsid w:val="00C223F0"/>
    <w:rsid w:val="00C225C3"/>
    <w:rsid w:val="00C226C4"/>
    <w:rsid w:val="00C228D4"/>
    <w:rsid w:val="00C22935"/>
    <w:rsid w:val="00C22A74"/>
    <w:rsid w:val="00C22B28"/>
    <w:rsid w:val="00C22BAC"/>
    <w:rsid w:val="00C22DC8"/>
    <w:rsid w:val="00C22E24"/>
    <w:rsid w:val="00C22EE8"/>
    <w:rsid w:val="00C22F34"/>
    <w:rsid w:val="00C23085"/>
    <w:rsid w:val="00C230C3"/>
    <w:rsid w:val="00C230D5"/>
    <w:rsid w:val="00C230F5"/>
    <w:rsid w:val="00C23288"/>
    <w:rsid w:val="00C2344C"/>
    <w:rsid w:val="00C23670"/>
    <w:rsid w:val="00C23895"/>
    <w:rsid w:val="00C238C0"/>
    <w:rsid w:val="00C238D1"/>
    <w:rsid w:val="00C2392B"/>
    <w:rsid w:val="00C23B79"/>
    <w:rsid w:val="00C2401F"/>
    <w:rsid w:val="00C24072"/>
    <w:rsid w:val="00C240F1"/>
    <w:rsid w:val="00C243B4"/>
    <w:rsid w:val="00C2443A"/>
    <w:rsid w:val="00C24514"/>
    <w:rsid w:val="00C245C8"/>
    <w:rsid w:val="00C2471B"/>
    <w:rsid w:val="00C24766"/>
    <w:rsid w:val="00C24B8C"/>
    <w:rsid w:val="00C24C68"/>
    <w:rsid w:val="00C24CA6"/>
    <w:rsid w:val="00C24E2D"/>
    <w:rsid w:val="00C25080"/>
    <w:rsid w:val="00C251FA"/>
    <w:rsid w:val="00C252C2"/>
    <w:rsid w:val="00C252D8"/>
    <w:rsid w:val="00C2545E"/>
    <w:rsid w:val="00C255F2"/>
    <w:rsid w:val="00C257FA"/>
    <w:rsid w:val="00C25A7E"/>
    <w:rsid w:val="00C25B62"/>
    <w:rsid w:val="00C25C45"/>
    <w:rsid w:val="00C25C46"/>
    <w:rsid w:val="00C25D24"/>
    <w:rsid w:val="00C25E0D"/>
    <w:rsid w:val="00C25FB5"/>
    <w:rsid w:val="00C25FBB"/>
    <w:rsid w:val="00C26143"/>
    <w:rsid w:val="00C261D7"/>
    <w:rsid w:val="00C2624C"/>
    <w:rsid w:val="00C26317"/>
    <w:rsid w:val="00C26761"/>
    <w:rsid w:val="00C26812"/>
    <w:rsid w:val="00C26856"/>
    <w:rsid w:val="00C2687C"/>
    <w:rsid w:val="00C26986"/>
    <w:rsid w:val="00C26A7D"/>
    <w:rsid w:val="00C26C10"/>
    <w:rsid w:val="00C26C4F"/>
    <w:rsid w:val="00C26C50"/>
    <w:rsid w:val="00C26D3C"/>
    <w:rsid w:val="00C26E28"/>
    <w:rsid w:val="00C26F83"/>
    <w:rsid w:val="00C26FEA"/>
    <w:rsid w:val="00C270DE"/>
    <w:rsid w:val="00C2787E"/>
    <w:rsid w:val="00C27ACA"/>
    <w:rsid w:val="00C27B4E"/>
    <w:rsid w:val="00C27B85"/>
    <w:rsid w:val="00C27BA1"/>
    <w:rsid w:val="00C27C47"/>
    <w:rsid w:val="00C27D1D"/>
    <w:rsid w:val="00C27FD5"/>
    <w:rsid w:val="00C27FF0"/>
    <w:rsid w:val="00C30067"/>
    <w:rsid w:val="00C30105"/>
    <w:rsid w:val="00C30123"/>
    <w:rsid w:val="00C30148"/>
    <w:rsid w:val="00C301BB"/>
    <w:rsid w:val="00C303FA"/>
    <w:rsid w:val="00C305F5"/>
    <w:rsid w:val="00C30611"/>
    <w:rsid w:val="00C30681"/>
    <w:rsid w:val="00C30B70"/>
    <w:rsid w:val="00C30B95"/>
    <w:rsid w:val="00C30BFA"/>
    <w:rsid w:val="00C30C1D"/>
    <w:rsid w:val="00C30CE2"/>
    <w:rsid w:val="00C30D91"/>
    <w:rsid w:val="00C30F63"/>
    <w:rsid w:val="00C30F88"/>
    <w:rsid w:val="00C30FEC"/>
    <w:rsid w:val="00C3104C"/>
    <w:rsid w:val="00C31211"/>
    <w:rsid w:val="00C31273"/>
    <w:rsid w:val="00C31362"/>
    <w:rsid w:val="00C31412"/>
    <w:rsid w:val="00C3144E"/>
    <w:rsid w:val="00C314A9"/>
    <w:rsid w:val="00C31708"/>
    <w:rsid w:val="00C31857"/>
    <w:rsid w:val="00C3189C"/>
    <w:rsid w:val="00C318E8"/>
    <w:rsid w:val="00C31C00"/>
    <w:rsid w:val="00C31C30"/>
    <w:rsid w:val="00C31E23"/>
    <w:rsid w:val="00C31E71"/>
    <w:rsid w:val="00C31F84"/>
    <w:rsid w:val="00C31F9A"/>
    <w:rsid w:val="00C32004"/>
    <w:rsid w:val="00C32021"/>
    <w:rsid w:val="00C32190"/>
    <w:rsid w:val="00C32196"/>
    <w:rsid w:val="00C32225"/>
    <w:rsid w:val="00C32370"/>
    <w:rsid w:val="00C32547"/>
    <w:rsid w:val="00C326C5"/>
    <w:rsid w:val="00C326F9"/>
    <w:rsid w:val="00C3272C"/>
    <w:rsid w:val="00C3282F"/>
    <w:rsid w:val="00C328D7"/>
    <w:rsid w:val="00C3295C"/>
    <w:rsid w:val="00C32BAD"/>
    <w:rsid w:val="00C32BE6"/>
    <w:rsid w:val="00C32E30"/>
    <w:rsid w:val="00C32EA6"/>
    <w:rsid w:val="00C330AA"/>
    <w:rsid w:val="00C330AC"/>
    <w:rsid w:val="00C3331A"/>
    <w:rsid w:val="00C3331D"/>
    <w:rsid w:val="00C33374"/>
    <w:rsid w:val="00C333D0"/>
    <w:rsid w:val="00C33485"/>
    <w:rsid w:val="00C33512"/>
    <w:rsid w:val="00C3356E"/>
    <w:rsid w:val="00C33598"/>
    <w:rsid w:val="00C335E8"/>
    <w:rsid w:val="00C338F1"/>
    <w:rsid w:val="00C33A13"/>
    <w:rsid w:val="00C33AEC"/>
    <w:rsid w:val="00C33BF2"/>
    <w:rsid w:val="00C33BFF"/>
    <w:rsid w:val="00C33C1C"/>
    <w:rsid w:val="00C33C69"/>
    <w:rsid w:val="00C33D90"/>
    <w:rsid w:val="00C33FA4"/>
    <w:rsid w:val="00C3405D"/>
    <w:rsid w:val="00C340C4"/>
    <w:rsid w:val="00C343A6"/>
    <w:rsid w:val="00C345E4"/>
    <w:rsid w:val="00C347CE"/>
    <w:rsid w:val="00C3489A"/>
    <w:rsid w:val="00C349FB"/>
    <w:rsid w:val="00C34A57"/>
    <w:rsid w:val="00C34AA0"/>
    <w:rsid w:val="00C34AB4"/>
    <w:rsid w:val="00C34B09"/>
    <w:rsid w:val="00C34B84"/>
    <w:rsid w:val="00C34B88"/>
    <w:rsid w:val="00C34BDC"/>
    <w:rsid w:val="00C34D12"/>
    <w:rsid w:val="00C34DD9"/>
    <w:rsid w:val="00C34E0B"/>
    <w:rsid w:val="00C34E0F"/>
    <w:rsid w:val="00C3526A"/>
    <w:rsid w:val="00C352F1"/>
    <w:rsid w:val="00C35493"/>
    <w:rsid w:val="00C354A4"/>
    <w:rsid w:val="00C35764"/>
    <w:rsid w:val="00C357AA"/>
    <w:rsid w:val="00C35818"/>
    <w:rsid w:val="00C359D5"/>
    <w:rsid w:val="00C35A8F"/>
    <w:rsid w:val="00C35AA0"/>
    <w:rsid w:val="00C35B63"/>
    <w:rsid w:val="00C35C6F"/>
    <w:rsid w:val="00C35DC1"/>
    <w:rsid w:val="00C35F7D"/>
    <w:rsid w:val="00C36045"/>
    <w:rsid w:val="00C3604D"/>
    <w:rsid w:val="00C360CE"/>
    <w:rsid w:val="00C36114"/>
    <w:rsid w:val="00C36115"/>
    <w:rsid w:val="00C3617C"/>
    <w:rsid w:val="00C36401"/>
    <w:rsid w:val="00C3652D"/>
    <w:rsid w:val="00C36591"/>
    <w:rsid w:val="00C365AC"/>
    <w:rsid w:val="00C36649"/>
    <w:rsid w:val="00C36651"/>
    <w:rsid w:val="00C366F2"/>
    <w:rsid w:val="00C366FB"/>
    <w:rsid w:val="00C3671E"/>
    <w:rsid w:val="00C367A9"/>
    <w:rsid w:val="00C367C8"/>
    <w:rsid w:val="00C368DC"/>
    <w:rsid w:val="00C36916"/>
    <w:rsid w:val="00C36A13"/>
    <w:rsid w:val="00C36A4E"/>
    <w:rsid w:val="00C36AC8"/>
    <w:rsid w:val="00C36B44"/>
    <w:rsid w:val="00C36B74"/>
    <w:rsid w:val="00C36DE3"/>
    <w:rsid w:val="00C36EA5"/>
    <w:rsid w:val="00C36F3C"/>
    <w:rsid w:val="00C36FFC"/>
    <w:rsid w:val="00C37035"/>
    <w:rsid w:val="00C37163"/>
    <w:rsid w:val="00C37211"/>
    <w:rsid w:val="00C3721C"/>
    <w:rsid w:val="00C37298"/>
    <w:rsid w:val="00C37367"/>
    <w:rsid w:val="00C37555"/>
    <w:rsid w:val="00C3765F"/>
    <w:rsid w:val="00C37738"/>
    <w:rsid w:val="00C377B4"/>
    <w:rsid w:val="00C37947"/>
    <w:rsid w:val="00C37A29"/>
    <w:rsid w:val="00C37B5B"/>
    <w:rsid w:val="00C37D37"/>
    <w:rsid w:val="00C37D9C"/>
    <w:rsid w:val="00C37EF6"/>
    <w:rsid w:val="00C37F60"/>
    <w:rsid w:val="00C400D3"/>
    <w:rsid w:val="00C4026E"/>
    <w:rsid w:val="00C4038E"/>
    <w:rsid w:val="00C40400"/>
    <w:rsid w:val="00C4061C"/>
    <w:rsid w:val="00C40752"/>
    <w:rsid w:val="00C40920"/>
    <w:rsid w:val="00C409A6"/>
    <w:rsid w:val="00C40B1A"/>
    <w:rsid w:val="00C40B30"/>
    <w:rsid w:val="00C40B58"/>
    <w:rsid w:val="00C40C16"/>
    <w:rsid w:val="00C40CA3"/>
    <w:rsid w:val="00C40ED1"/>
    <w:rsid w:val="00C4156E"/>
    <w:rsid w:val="00C415F8"/>
    <w:rsid w:val="00C41C59"/>
    <w:rsid w:val="00C41DD5"/>
    <w:rsid w:val="00C41ED7"/>
    <w:rsid w:val="00C41FCB"/>
    <w:rsid w:val="00C42185"/>
    <w:rsid w:val="00C421A7"/>
    <w:rsid w:val="00C4222D"/>
    <w:rsid w:val="00C4258E"/>
    <w:rsid w:val="00C426AA"/>
    <w:rsid w:val="00C426C6"/>
    <w:rsid w:val="00C4280D"/>
    <w:rsid w:val="00C4284A"/>
    <w:rsid w:val="00C42858"/>
    <w:rsid w:val="00C429D6"/>
    <w:rsid w:val="00C42A6C"/>
    <w:rsid w:val="00C42D3A"/>
    <w:rsid w:val="00C42E67"/>
    <w:rsid w:val="00C42EFA"/>
    <w:rsid w:val="00C4308F"/>
    <w:rsid w:val="00C430CC"/>
    <w:rsid w:val="00C43208"/>
    <w:rsid w:val="00C432F4"/>
    <w:rsid w:val="00C4358D"/>
    <w:rsid w:val="00C43629"/>
    <w:rsid w:val="00C4371A"/>
    <w:rsid w:val="00C438CE"/>
    <w:rsid w:val="00C43902"/>
    <w:rsid w:val="00C439AC"/>
    <w:rsid w:val="00C43B50"/>
    <w:rsid w:val="00C43C0C"/>
    <w:rsid w:val="00C4402D"/>
    <w:rsid w:val="00C442D4"/>
    <w:rsid w:val="00C442F0"/>
    <w:rsid w:val="00C443D5"/>
    <w:rsid w:val="00C4456D"/>
    <w:rsid w:val="00C44597"/>
    <w:rsid w:val="00C44654"/>
    <w:rsid w:val="00C446E9"/>
    <w:rsid w:val="00C44892"/>
    <w:rsid w:val="00C44968"/>
    <w:rsid w:val="00C44BDA"/>
    <w:rsid w:val="00C44C2B"/>
    <w:rsid w:val="00C44DA4"/>
    <w:rsid w:val="00C44DBA"/>
    <w:rsid w:val="00C44EED"/>
    <w:rsid w:val="00C4509B"/>
    <w:rsid w:val="00C4529A"/>
    <w:rsid w:val="00C458A6"/>
    <w:rsid w:val="00C45A18"/>
    <w:rsid w:val="00C45A85"/>
    <w:rsid w:val="00C45D28"/>
    <w:rsid w:val="00C45DC6"/>
    <w:rsid w:val="00C45DEE"/>
    <w:rsid w:val="00C45E3B"/>
    <w:rsid w:val="00C45E94"/>
    <w:rsid w:val="00C45EA0"/>
    <w:rsid w:val="00C4616E"/>
    <w:rsid w:val="00C46183"/>
    <w:rsid w:val="00C4623C"/>
    <w:rsid w:val="00C46264"/>
    <w:rsid w:val="00C4627C"/>
    <w:rsid w:val="00C4629F"/>
    <w:rsid w:val="00C4632D"/>
    <w:rsid w:val="00C4633B"/>
    <w:rsid w:val="00C4633F"/>
    <w:rsid w:val="00C46364"/>
    <w:rsid w:val="00C465E3"/>
    <w:rsid w:val="00C466CA"/>
    <w:rsid w:val="00C4670B"/>
    <w:rsid w:val="00C46813"/>
    <w:rsid w:val="00C4688F"/>
    <w:rsid w:val="00C46897"/>
    <w:rsid w:val="00C468AC"/>
    <w:rsid w:val="00C46900"/>
    <w:rsid w:val="00C46AAB"/>
    <w:rsid w:val="00C46B1E"/>
    <w:rsid w:val="00C46BA2"/>
    <w:rsid w:val="00C46D4D"/>
    <w:rsid w:val="00C46D9E"/>
    <w:rsid w:val="00C46F1B"/>
    <w:rsid w:val="00C4722D"/>
    <w:rsid w:val="00C472E4"/>
    <w:rsid w:val="00C47437"/>
    <w:rsid w:val="00C474BD"/>
    <w:rsid w:val="00C47618"/>
    <w:rsid w:val="00C4773B"/>
    <w:rsid w:val="00C477EB"/>
    <w:rsid w:val="00C47AA9"/>
    <w:rsid w:val="00C47B3B"/>
    <w:rsid w:val="00C47B66"/>
    <w:rsid w:val="00C47F42"/>
    <w:rsid w:val="00C500C3"/>
    <w:rsid w:val="00C5012F"/>
    <w:rsid w:val="00C50375"/>
    <w:rsid w:val="00C504E8"/>
    <w:rsid w:val="00C5069E"/>
    <w:rsid w:val="00C506C5"/>
    <w:rsid w:val="00C5070A"/>
    <w:rsid w:val="00C5077C"/>
    <w:rsid w:val="00C508E3"/>
    <w:rsid w:val="00C5097C"/>
    <w:rsid w:val="00C50AF4"/>
    <w:rsid w:val="00C50C50"/>
    <w:rsid w:val="00C50CDD"/>
    <w:rsid w:val="00C50D72"/>
    <w:rsid w:val="00C50D73"/>
    <w:rsid w:val="00C50E67"/>
    <w:rsid w:val="00C50EC3"/>
    <w:rsid w:val="00C50F81"/>
    <w:rsid w:val="00C5109C"/>
    <w:rsid w:val="00C510F4"/>
    <w:rsid w:val="00C511C1"/>
    <w:rsid w:val="00C511F6"/>
    <w:rsid w:val="00C51232"/>
    <w:rsid w:val="00C5125E"/>
    <w:rsid w:val="00C5129F"/>
    <w:rsid w:val="00C513B1"/>
    <w:rsid w:val="00C514E3"/>
    <w:rsid w:val="00C51563"/>
    <w:rsid w:val="00C5169F"/>
    <w:rsid w:val="00C51812"/>
    <w:rsid w:val="00C51836"/>
    <w:rsid w:val="00C5186F"/>
    <w:rsid w:val="00C519B4"/>
    <w:rsid w:val="00C51AE3"/>
    <w:rsid w:val="00C51C5E"/>
    <w:rsid w:val="00C51E32"/>
    <w:rsid w:val="00C520EF"/>
    <w:rsid w:val="00C52138"/>
    <w:rsid w:val="00C52232"/>
    <w:rsid w:val="00C5234A"/>
    <w:rsid w:val="00C52350"/>
    <w:rsid w:val="00C523D5"/>
    <w:rsid w:val="00C525DB"/>
    <w:rsid w:val="00C525F6"/>
    <w:rsid w:val="00C526B3"/>
    <w:rsid w:val="00C52895"/>
    <w:rsid w:val="00C5296D"/>
    <w:rsid w:val="00C52AD1"/>
    <w:rsid w:val="00C52C44"/>
    <w:rsid w:val="00C52C68"/>
    <w:rsid w:val="00C52CAF"/>
    <w:rsid w:val="00C52E16"/>
    <w:rsid w:val="00C52E9F"/>
    <w:rsid w:val="00C52EEC"/>
    <w:rsid w:val="00C52F75"/>
    <w:rsid w:val="00C52F9C"/>
    <w:rsid w:val="00C52FBF"/>
    <w:rsid w:val="00C52FE4"/>
    <w:rsid w:val="00C530FC"/>
    <w:rsid w:val="00C5318A"/>
    <w:rsid w:val="00C532F3"/>
    <w:rsid w:val="00C533F5"/>
    <w:rsid w:val="00C53405"/>
    <w:rsid w:val="00C53627"/>
    <w:rsid w:val="00C536A6"/>
    <w:rsid w:val="00C536DD"/>
    <w:rsid w:val="00C53714"/>
    <w:rsid w:val="00C537F7"/>
    <w:rsid w:val="00C538A4"/>
    <w:rsid w:val="00C53A4F"/>
    <w:rsid w:val="00C53A87"/>
    <w:rsid w:val="00C53AD8"/>
    <w:rsid w:val="00C53B1B"/>
    <w:rsid w:val="00C53BBA"/>
    <w:rsid w:val="00C53BE5"/>
    <w:rsid w:val="00C53D41"/>
    <w:rsid w:val="00C53D4B"/>
    <w:rsid w:val="00C53E99"/>
    <w:rsid w:val="00C53E9E"/>
    <w:rsid w:val="00C53EDA"/>
    <w:rsid w:val="00C540AA"/>
    <w:rsid w:val="00C54186"/>
    <w:rsid w:val="00C54345"/>
    <w:rsid w:val="00C54347"/>
    <w:rsid w:val="00C54363"/>
    <w:rsid w:val="00C5449C"/>
    <w:rsid w:val="00C54717"/>
    <w:rsid w:val="00C54726"/>
    <w:rsid w:val="00C547C4"/>
    <w:rsid w:val="00C54BBC"/>
    <w:rsid w:val="00C54E17"/>
    <w:rsid w:val="00C54EF7"/>
    <w:rsid w:val="00C55175"/>
    <w:rsid w:val="00C551B3"/>
    <w:rsid w:val="00C5524D"/>
    <w:rsid w:val="00C5549D"/>
    <w:rsid w:val="00C5574B"/>
    <w:rsid w:val="00C55897"/>
    <w:rsid w:val="00C5589B"/>
    <w:rsid w:val="00C558FF"/>
    <w:rsid w:val="00C55A77"/>
    <w:rsid w:val="00C55D68"/>
    <w:rsid w:val="00C55E68"/>
    <w:rsid w:val="00C56028"/>
    <w:rsid w:val="00C5607B"/>
    <w:rsid w:val="00C561DC"/>
    <w:rsid w:val="00C56236"/>
    <w:rsid w:val="00C5624F"/>
    <w:rsid w:val="00C5646F"/>
    <w:rsid w:val="00C56474"/>
    <w:rsid w:val="00C56651"/>
    <w:rsid w:val="00C56702"/>
    <w:rsid w:val="00C56707"/>
    <w:rsid w:val="00C568AA"/>
    <w:rsid w:val="00C568EC"/>
    <w:rsid w:val="00C5695D"/>
    <w:rsid w:val="00C56B5F"/>
    <w:rsid w:val="00C56F39"/>
    <w:rsid w:val="00C57069"/>
    <w:rsid w:val="00C570A2"/>
    <w:rsid w:val="00C570D6"/>
    <w:rsid w:val="00C57305"/>
    <w:rsid w:val="00C5731E"/>
    <w:rsid w:val="00C57340"/>
    <w:rsid w:val="00C57555"/>
    <w:rsid w:val="00C575B5"/>
    <w:rsid w:val="00C575C3"/>
    <w:rsid w:val="00C57608"/>
    <w:rsid w:val="00C57671"/>
    <w:rsid w:val="00C57795"/>
    <w:rsid w:val="00C577A2"/>
    <w:rsid w:val="00C5787E"/>
    <w:rsid w:val="00C578C4"/>
    <w:rsid w:val="00C57AF4"/>
    <w:rsid w:val="00C57CE3"/>
    <w:rsid w:val="00C57EC6"/>
    <w:rsid w:val="00C6008E"/>
    <w:rsid w:val="00C6014A"/>
    <w:rsid w:val="00C60176"/>
    <w:rsid w:val="00C6018F"/>
    <w:rsid w:val="00C601AE"/>
    <w:rsid w:val="00C6026C"/>
    <w:rsid w:val="00C60270"/>
    <w:rsid w:val="00C60282"/>
    <w:rsid w:val="00C60343"/>
    <w:rsid w:val="00C6038B"/>
    <w:rsid w:val="00C6051F"/>
    <w:rsid w:val="00C605D1"/>
    <w:rsid w:val="00C60661"/>
    <w:rsid w:val="00C606FA"/>
    <w:rsid w:val="00C60A0D"/>
    <w:rsid w:val="00C60A65"/>
    <w:rsid w:val="00C60A71"/>
    <w:rsid w:val="00C60AED"/>
    <w:rsid w:val="00C60BFD"/>
    <w:rsid w:val="00C60C20"/>
    <w:rsid w:val="00C60CBD"/>
    <w:rsid w:val="00C60E8B"/>
    <w:rsid w:val="00C60FAB"/>
    <w:rsid w:val="00C611D5"/>
    <w:rsid w:val="00C612B5"/>
    <w:rsid w:val="00C6133C"/>
    <w:rsid w:val="00C61416"/>
    <w:rsid w:val="00C61452"/>
    <w:rsid w:val="00C6147D"/>
    <w:rsid w:val="00C61484"/>
    <w:rsid w:val="00C6160F"/>
    <w:rsid w:val="00C6197B"/>
    <w:rsid w:val="00C61990"/>
    <w:rsid w:val="00C619D0"/>
    <w:rsid w:val="00C61A83"/>
    <w:rsid w:val="00C61B58"/>
    <w:rsid w:val="00C61E6B"/>
    <w:rsid w:val="00C61F0A"/>
    <w:rsid w:val="00C6202B"/>
    <w:rsid w:val="00C621C6"/>
    <w:rsid w:val="00C621EB"/>
    <w:rsid w:val="00C62292"/>
    <w:rsid w:val="00C622B9"/>
    <w:rsid w:val="00C6230B"/>
    <w:rsid w:val="00C6240A"/>
    <w:rsid w:val="00C624FE"/>
    <w:rsid w:val="00C6251A"/>
    <w:rsid w:val="00C62534"/>
    <w:rsid w:val="00C6264D"/>
    <w:rsid w:val="00C62692"/>
    <w:rsid w:val="00C6271F"/>
    <w:rsid w:val="00C62A06"/>
    <w:rsid w:val="00C62A40"/>
    <w:rsid w:val="00C62AD0"/>
    <w:rsid w:val="00C62DF6"/>
    <w:rsid w:val="00C62EBB"/>
    <w:rsid w:val="00C6308E"/>
    <w:rsid w:val="00C632CF"/>
    <w:rsid w:val="00C633D8"/>
    <w:rsid w:val="00C63426"/>
    <w:rsid w:val="00C63467"/>
    <w:rsid w:val="00C634A9"/>
    <w:rsid w:val="00C6354F"/>
    <w:rsid w:val="00C638E7"/>
    <w:rsid w:val="00C63959"/>
    <w:rsid w:val="00C639F3"/>
    <w:rsid w:val="00C63A8C"/>
    <w:rsid w:val="00C63BFA"/>
    <w:rsid w:val="00C63CC7"/>
    <w:rsid w:val="00C63D2C"/>
    <w:rsid w:val="00C63D53"/>
    <w:rsid w:val="00C63D5E"/>
    <w:rsid w:val="00C63DC2"/>
    <w:rsid w:val="00C63DFD"/>
    <w:rsid w:val="00C63F39"/>
    <w:rsid w:val="00C64055"/>
    <w:rsid w:val="00C6419F"/>
    <w:rsid w:val="00C6420E"/>
    <w:rsid w:val="00C642ED"/>
    <w:rsid w:val="00C6435B"/>
    <w:rsid w:val="00C6491D"/>
    <w:rsid w:val="00C6493C"/>
    <w:rsid w:val="00C649FF"/>
    <w:rsid w:val="00C64A49"/>
    <w:rsid w:val="00C64A87"/>
    <w:rsid w:val="00C64D13"/>
    <w:rsid w:val="00C64D3C"/>
    <w:rsid w:val="00C64DE3"/>
    <w:rsid w:val="00C6501C"/>
    <w:rsid w:val="00C6505C"/>
    <w:rsid w:val="00C652C9"/>
    <w:rsid w:val="00C65320"/>
    <w:rsid w:val="00C65381"/>
    <w:rsid w:val="00C654EF"/>
    <w:rsid w:val="00C6569B"/>
    <w:rsid w:val="00C6571D"/>
    <w:rsid w:val="00C6598A"/>
    <w:rsid w:val="00C65A65"/>
    <w:rsid w:val="00C65CC0"/>
    <w:rsid w:val="00C65EFE"/>
    <w:rsid w:val="00C65F0C"/>
    <w:rsid w:val="00C6606B"/>
    <w:rsid w:val="00C660FF"/>
    <w:rsid w:val="00C6619C"/>
    <w:rsid w:val="00C661B2"/>
    <w:rsid w:val="00C6633C"/>
    <w:rsid w:val="00C663A2"/>
    <w:rsid w:val="00C66402"/>
    <w:rsid w:val="00C664C8"/>
    <w:rsid w:val="00C664CE"/>
    <w:rsid w:val="00C6658A"/>
    <w:rsid w:val="00C66AA6"/>
    <w:rsid w:val="00C66DF7"/>
    <w:rsid w:val="00C66E86"/>
    <w:rsid w:val="00C671D4"/>
    <w:rsid w:val="00C671DA"/>
    <w:rsid w:val="00C672A2"/>
    <w:rsid w:val="00C672D0"/>
    <w:rsid w:val="00C6742D"/>
    <w:rsid w:val="00C6754B"/>
    <w:rsid w:val="00C675EF"/>
    <w:rsid w:val="00C67776"/>
    <w:rsid w:val="00C6781C"/>
    <w:rsid w:val="00C678A2"/>
    <w:rsid w:val="00C67A1A"/>
    <w:rsid w:val="00C67A63"/>
    <w:rsid w:val="00C67B06"/>
    <w:rsid w:val="00C67C45"/>
    <w:rsid w:val="00C67D0C"/>
    <w:rsid w:val="00C67E17"/>
    <w:rsid w:val="00C70427"/>
    <w:rsid w:val="00C70430"/>
    <w:rsid w:val="00C70547"/>
    <w:rsid w:val="00C705D4"/>
    <w:rsid w:val="00C70863"/>
    <w:rsid w:val="00C7089C"/>
    <w:rsid w:val="00C70995"/>
    <w:rsid w:val="00C70B42"/>
    <w:rsid w:val="00C70B7A"/>
    <w:rsid w:val="00C70C49"/>
    <w:rsid w:val="00C70D80"/>
    <w:rsid w:val="00C70E77"/>
    <w:rsid w:val="00C70E84"/>
    <w:rsid w:val="00C70EFC"/>
    <w:rsid w:val="00C70F4C"/>
    <w:rsid w:val="00C7102F"/>
    <w:rsid w:val="00C71124"/>
    <w:rsid w:val="00C7123F"/>
    <w:rsid w:val="00C7126B"/>
    <w:rsid w:val="00C71330"/>
    <w:rsid w:val="00C7133D"/>
    <w:rsid w:val="00C713FB"/>
    <w:rsid w:val="00C7141C"/>
    <w:rsid w:val="00C71618"/>
    <w:rsid w:val="00C71688"/>
    <w:rsid w:val="00C716E5"/>
    <w:rsid w:val="00C71845"/>
    <w:rsid w:val="00C71876"/>
    <w:rsid w:val="00C71897"/>
    <w:rsid w:val="00C718B4"/>
    <w:rsid w:val="00C718CD"/>
    <w:rsid w:val="00C718F5"/>
    <w:rsid w:val="00C71AC6"/>
    <w:rsid w:val="00C71C33"/>
    <w:rsid w:val="00C71E1F"/>
    <w:rsid w:val="00C71E81"/>
    <w:rsid w:val="00C71FB3"/>
    <w:rsid w:val="00C720C8"/>
    <w:rsid w:val="00C720D5"/>
    <w:rsid w:val="00C7213B"/>
    <w:rsid w:val="00C7215D"/>
    <w:rsid w:val="00C7218E"/>
    <w:rsid w:val="00C72195"/>
    <w:rsid w:val="00C721FE"/>
    <w:rsid w:val="00C72273"/>
    <w:rsid w:val="00C72441"/>
    <w:rsid w:val="00C7267C"/>
    <w:rsid w:val="00C726AB"/>
    <w:rsid w:val="00C72730"/>
    <w:rsid w:val="00C727DB"/>
    <w:rsid w:val="00C72865"/>
    <w:rsid w:val="00C7298B"/>
    <w:rsid w:val="00C72AB6"/>
    <w:rsid w:val="00C72B19"/>
    <w:rsid w:val="00C72B94"/>
    <w:rsid w:val="00C72BAB"/>
    <w:rsid w:val="00C72CA9"/>
    <w:rsid w:val="00C72CF6"/>
    <w:rsid w:val="00C72D10"/>
    <w:rsid w:val="00C72E69"/>
    <w:rsid w:val="00C73021"/>
    <w:rsid w:val="00C7311E"/>
    <w:rsid w:val="00C73133"/>
    <w:rsid w:val="00C7315A"/>
    <w:rsid w:val="00C73204"/>
    <w:rsid w:val="00C7320D"/>
    <w:rsid w:val="00C73249"/>
    <w:rsid w:val="00C73323"/>
    <w:rsid w:val="00C7332E"/>
    <w:rsid w:val="00C7348E"/>
    <w:rsid w:val="00C736DD"/>
    <w:rsid w:val="00C73829"/>
    <w:rsid w:val="00C739FA"/>
    <w:rsid w:val="00C73A45"/>
    <w:rsid w:val="00C73B8C"/>
    <w:rsid w:val="00C73C09"/>
    <w:rsid w:val="00C73C81"/>
    <w:rsid w:val="00C73D5A"/>
    <w:rsid w:val="00C73DA7"/>
    <w:rsid w:val="00C73E5C"/>
    <w:rsid w:val="00C73EDB"/>
    <w:rsid w:val="00C73F24"/>
    <w:rsid w:val="00C73F49"/>
    <w:rsid w:val="00C7406F"/>
    <w:rsid w:val="00C740A6"/>
    <w:rsid w:val="00C742BD"/>
    <w:rsid w:val="00C74362"/>
    <w:rsid w:val="00C74387"/>
    <w:rsid w:val="00C743D3"/>
    <w:rsid w:val="00C74656"/>
    <w:rsid w:val="00C747F9"/>
    <w:rsid w:val="00C74897"/>
    <w:rsid w:val="00C748E0"/>
    <w:rsid w:val="00C74941"/>
    <w:rsid w:val="00C74A04"/>
    <w:rsid w:val="00C74DCD"/>
    <w:rsid w:val="00C74DCE"/>
    <w:rsid w:val="00C74EC5"/>
    <w:rsid w:val="00C7525C"/>
    <w:rsid w:val="00C75449"/>
    <w:rsid w:val="00C756B7"/>
    <w:rsid w:val="00C75850"/>
    <w:rsid w:val="00C75AAC"/>
    <w:rsid w:val="00C75B32"/>
    <w:rsid w:val="00C75C56"/>
    <w:rsid w:val="00C75CC7"/>
    <w:rsid w:val="00C75F0D"/>
    <w:rsid w:val="00C75F14"/>
    <w:rsid w:val="00C75F9B"/>
    <w:rsid w:val="00C7605C"/>
    <w:rsid w:val="00C76267"/>
    <w:rsid w:val="00C76307"/>
    <w:rsid w:val="00C76403"/>
    <w:rsid w:val="00C76404"/>
    <w:rsid w:val="00C764DE"/>
    <w:rsid w:val="00C765BB"/>
    <w:rsid w:val="00C7663C"/>
    <w:rsid w:val="00C76699"/>
    <w:rsid w:val="00C7679B"/>
    <w:rsid w:val="00C768FD"/>
    <w:rsid w:val="00C7692F"/>
    <w:rsid w:val="00C7693D"/>
    <w:rsid w:val="00C76A0A"/>
    <w:rsid w:val="00C76AEE"/>
    <w:rsid w:val="00C76B7F"/>
    <w:rsid w:val="00C76C3D"/>
    <w:rsid w:val="00C76D34"/>
    <w:rsid w:val="00C76E82"/>
    <w:rsid w:val="00C76FE7"/>
    <w:rsid w:val="00C7706B"/>
    <w:rsid w:val="00C770A4"/>
    <w:rsid w:val="00C771CF"/>
    <w:rsid w:val="00C7721E"/>
    <w:rsid w:val="00C77221"/>
    <w:rsid w:val="00C772C1"/>
    <w:rsid w:val="00C775A9"/>
    <w:rsid w:val="00C7771C"/>
    <w:rsid w:val="00C77B5B"/>
    <w:rsid w:val="00C77B7B"/>
    <w:rsid w:val="00C77E13"/>
    <w:rsid w:val="00C77F3E"/>
    <w:rsid w:val="00C80031"/>
    <w:rsid w:val="00C8018C"/>
    <w:rsid w:val="00C801A4"/>
    <w:rsid w:val="00C80245"/>
    <w:rsid w:val="00C8027D"/>
    <w:rsid w:val="00C802AA"/>
    <w:rsid w:val="00C80393"/>
    <w:rsid w:val="00C8049A"/>
    <w:rsid w:val="00C804BC"/>
    <w:rsid w:val="00C805C4"/>
    <w:rsid w:val="00C805D1"/>
    <w:rsid w:val="00C807D3"/>
    <w:rsid w:val="00C808A2"/>
    <w:rsid w:val="00C80911"/>
    <w:rsid w:val="00C80920"/>
    <w:rsid w:val="00C80AFE"/>
    <w:rsid w:val="00C80BF1"/>
    <w:rsid w:val="00C80CAE"/>
    <w:rsid w:val="00C80F01"/>
    <w:rsid w:val="00C80FD7"/>
    <w:rsid w:val="00C8104C"/>
    <w:rsid w:val="00C8108D"/>
    <w:rsid w:val="00C8113D"/>
    <w:rsid w:val="00C811BE"/>
    <w:rsid w:val="00C812E3"/>
    <w:rsid w:val="00C813B7"/>
    <w:rsid w:val="00C813C8"/>
    <w:rsid w:val="00C8140C"/>
    <w:rsid w:val="00C815E3"/>
    <w:rsid w:val="00C8167D"/>
    <w:rsid w:val="00C817DB"/>
    <w:rsid w:val="00C817EB"/>
    <w:rsid w:val="00C817EE"/>
    <w:rsid w:val="00C818FD"/>
    <w:rsid w:val="00C8199B"/>
    <w:rsid w:val="00C81A2F"/>
    <w:rsid w:val="00C81B22"/>
    <w:rsid w:val="00C81C39"/>
    <w:rsid w:val="00C81CB4"/>
    <w:rsid w:val="00C81DEA"/>
    <w:rsid w:val="00C81E10"/>
    <w:rsid w:val="00C81E3F"/>
    <w:rsid w:val="00C81E65"/>
    <w:rsid w:val="00C81EB6"/>
    <w:rsid w:val="00C81FF1"/>
    <w:rsid w:val="00C82017"/>
    <w:rsid w:val="00C8234B"/>
    <w:rsid w:val="00C8241E"/>
    <w:rsid w:val="00C825AA"/>
    <w:rsid w:val="00C82661"/>
    <w:rsid w:val="00C8269F"/>
    <w:rsid w:val="00C8270E"/>
    <w:rsid w:val="00C8274E"/>
    <w:rsid w:val="00C82855"/>
    <w:rsid w:val="00C8295E"/>
    <w:rsid w:val="00C8296D"/>
    <w:rsid w:val="00C829DC"/>
    <w:rsid w:val="00C82BEE"/>
    <w:rsid w:val="00C82EA4"/>
    <w:rsid w:val="00C82F8B"/>
    <w:rsid w:val="00C830AA"/>
    <w:rsid w:val="00C8327B"/>
    <w:rsid w:val="00C8343A"/>
    <w:rsid w:val="00C8352D"/>
    <w:rsid w:val="00C83558"/>
    <w:rsid w:val="00C836D7"/>
    <w:rsid w:val="00C837EC"/>
    <w:rsid w:val="00C83801"/>
    <w:rsid w:val="00C838B1"/>
    <w:rsid w:val="00C838FC"/>
    <w:rsid w:val="00C83937"/>
    <w:rsid w:val="00C839BA"/>
    <w:rsid w:val="00C83B2A"/>
    <w:rsid w:val="00C83B44"/>
    <w:rsid w:val="00C83D6A"/>
    <w:rsid w:val="00C83E56"/>
    <w:rsid w:val="00C83F4A"/>
    <w:rsid w:val="00C83FD2"/>
    <w:rsid w:val="00C840B5"/>
    <w:rsid w:val="00C84332"/>
    <w:rsid w:val="00C84428"/>
    <w:rsid w:val="00C845FF"/>
    <w:rsid w:val="00C846B2"/>
    <w:rsid w:val="00C846EB"/>
    <w:rsid w:val="00C8478D"/>
    <w:rsid w:val="00C84928"/>
    <w:rsid w:val="00C84931"/>
    <w:rsid w:val="00C84A29"/>
    <w:rsid w:val="00C84ADE"/>
    <w:rsid w:val="00C84B04"/>
    <w:rsid w:val="00C84BA6"/>
    <w:rsid w:val="00C84DE1"/>
    <w:rsid w:val="00C84FE2"/>
    <w:rsid w:val="00C851A7"/>
    <w:rsid w:val="00C85470"/>
    <w:rsid w:val="00C8547C"/>
    <w:rsid w:val="00C854A6"/>
    <w:rsid w:val="00C854B9"/>
    <w:rsid w:val="00C85517"/>
    <w:rsid w:val="00C85537"/>
    <w:rsid w:val="00C85579"/>
    <w:rsid w:val="00C85759"/>
    <w:rsid w:val="00C85834"/>
    <w:rsid w:val="00C8587C"/>
    <w:rsid w:val="00C8589A"/>
    <w:rsid w:val="00C85A4E"/>
    <w:rsid w:val="00C85A50"/>
    <w:rsid w:val="00C85AD8"/>
    <w:rsid w:val="00C85C50"/>
    <w:rsid w:val="00C85F32"/>
    <w:rsid w:val="00C85F40"/>
    <w:rsid w:val="00C85F80"/>
    <w:rsid w:val="00C8617C"/>
    <w:rsid w:val="00C863FA"/>
    <w:rsid w:val="00C8640C"/>
    <w:rsid w:val="00C86459"/>
    <w:rsid w:val="00C865B0"/>
    <w:rsid w:val="00C86992"/>
    <w:rsid w:val="00C86A77"/>
    <w:rsid w:val="00C86B73"/>
    <w:rsid w:val="00C86CE3"/>
    <w:rsid w:val="00C86D65"/>
    <w:rsid w:val="00C86EBC"/>
    <w:rsid w:val="00C86EEE"/>
    <w:rsid w:val="00C86FE4"/>
    <w:rsid w:val="00C8703F"/>
    <w:rsid w:val="00C870DF"/>
    <w:rsid w:val="00C87256"/>
    <w:rsid w:val="00C872C4"/>
    <w:rsid w:val="00C87400"/>
    <w:rsid w:val="00C8751C"/>
    <w:rsid w:val="00C87525"/>
    <w:rsid w:val="00C878CB"/>
    <w:rsid w:val="00C87942"/>
    <w:rsid w:val="00C879ED"/>
    <w:rsid w:val="00C87A01"/>
    <w:rsid w:val="00C87AD7"/>
    <w:rsid w:val="00C87B78"/>
    <w:rsid w:val="00C87BB5"/>
    <w:rsid w:val="00C87C67"/>
    <w:rsid w:val="00C87CF5"/>
    <w:rsid w:val="00C87E1D"/>
    <w:rsid w:val="00C87E3B"/>
    <w:rsid w:val="00C90080"/>
    <w:rsid w:val="00C90181"/>
    <w:rsid w:val="00C9025F"/>
    <w:rsid w:val="00C90308"/>
    <w:rsid w:val="00C90395"/>
    <w:rsid w:val="00C90443"/>
    <w:rsid w:val="00C904F7"/>
    <w:rsid w:val="00C90550"/>
    <w:rsid w:val="00C9055B"/>
    <w:rsid w:val="00C905B0"/>
    <w:rsid w:val="00C90658"/>
    <w:rsid w:val="00C9074D"/>
    <w:rsid w:val="00C90A52"/>
    <w:rsid w:val="00C90A75"/>
    <w:rsid w:val="00C90BEE"/>
    <w:rsid w:val="00C90CFB"/>
    <w:rsid w:val="00C90E58"/>
    <w:rsid w:val="00C90E8F"/>
    <w:rsid w:val="00C90F27"/>
    <w:rsid w:val="00C90FD4"/>
    <w:rsid w:val="00C90FFB"/>
    <w:rsid w:val="00C9101F"/>
    <w:rsid w:val="00C9128E"/>
    <w:rsid w:val="00C912F5"/>
    <w:rsid w:val="00C91435"/>
    <w:rsid w:val="00C9185A"/>
    <w:rsid w:val="00C91A92"/>
    <w:rsid w:val="00C91B86"/>
    <w:rsid w:val="00C91D25"/>
    <w:rsid w:val="00C91D31"/>
    <w:rsid w:val="00C91FCF"/>
    <w:rsid w:val="00C92034"/>
    <w:rsid w:val="00C92259"/>
    <w:rsid w:val="00C92369"/>
    <w:rsid w:val="00C92456"/>
    <w:rsid w:val="00C926B4"/>
    <w:rsid w:val="00C92713"/>
    <w:rsid w:val="00C9279F"/>
    <w:rsid w:val="00C928F3"/>
    <w:rsid w:val="00C92AC2"/>
    <w:rsid w:val="00C92AF7"/>
    <w:rsid w:val="00C92B0A"/>
    <w:rsid w:val="00C92B35"/>
    <w:rsid w:val="00C92B36"/>
    <w:rsid w:val="00C92B43"/>
    <w:rsid w:val="00C92D4C"/>
    <w:rsid w:val="00C92DFC"/>
    <w:rsid w:val="00C93076"/>
    <w:rsid w:val="00C930C5"/>
    <w:rsid w:val="00C930E6"/>
    <w:rsid w:val="00C93143"/>
    <w:rsid w:val="00C931D6"/>
    <w:rsid w:val="00C932F3"/>
    <w:rsid w:val="00C93453"/>
    <w:rsid w:val="00C935E1"/>
    <w:rsid w:val="00C93719"/>
    <w:rsid w:val="00C9375F"/>
    <w:rsid w:val="00C93891"/>
    <w:rsid w:val="00C93950"/>
    <w:rsid w:val="00C93B0A"/>
    <w:rsid w:val="00C93B41"/>
    <w:rsid w:val="00C93C32"/>
    <w:rsid w:val="00C93C86"/>
    <w:rsid w:val="00C93CFB"/>
    <w:rsid w:val="00C93D2D"/>
    <w:rsid w:val="00C93D92"/>
    <w:rsid w:val="00C93DA9"/>
    <w:rsid w:val="00C9407B"/>
    <w:rsid w:val="00C94334"/>
    <w:rsid w:val="00C943C6"/>
    <w:rsid w:val="00C94601"/>
    <w:rsid w:val="00C94619"/>
    <w:rsid w:val="00C94707"/>
    <w:rsid w:val="00C94737"/>
    <w:rsid w:val="00C947FE"/>
    <w:rsid w:val="00C9489F"/>
    <w:rsid w:val="00C949E8"/>
    <w:rsid w:val="00C94A2B"/>
    <w:rsid w:val="00C94AFC"/>
    <w:rsid w:val="00C94F23"/>
    <w:rsid w:val="00C94F5C"/>
    <w:rsid w:val="00C9507C"/>
    <w:rsid w:val="00C950AC"/>
    <w:rsid w:val="00C95205"/>
    <w:rsid w:val="00C95419"/>
    <w:rsid w:val="00C95500"/>
    <w:rsid w:val="00C9554A"/>
    <w:rsid w:val="00C95566"/>
    <w:rsid w:val="00C956B3"/>
    <w:rsid w:val="00C95D62"/>
    <w:rsid w:val="00C95D63"/>
    <w:rsid w:val="00C95DDB"/>
    <w:rsid w:val="00C95E94"/>
    <w:rsid w:val="00C95EDC"/>
    <w:rsid w:val="00C95EE9"/>
    <w:rsid w:val="00C95F7B"/>
    <w:rsid w:val="00C96098"/>
    <w:rsid w:val="00C96125"/>
    <w:rsid w:val="00C9618E"/>
    <w:rsid w:val="00C9626F"/>
    <w:rsid w:val="00C96325"/>
    <w:rsid w:val="00C96396"/>
    <w:rsid w:val="00C965F6"/>
    <w:rsid w:val="00C96686"/>
    <w:rsid w:val="00C967FB"/>
    <w:rsid w:val="00C9682B"/>
    <w:rsid w:val="00C96974"/>
    <w:rsid w:val="00C96AE7"/>
    <w:rsid w:val="00C96BCB"/>
    <w:rsid w:val="00C96C8E"/>
    <w:rsid w:val="00C96D2F"/>
    <w:rsid w:val="00C96D38"/>
    <w:rsid w:val="00C96D4B"/>
    <w:rsid w:val="00C96DB7"/>
    <w:rsid w:val="00C96EF4"/>
    <w:rsid w:val="00C96F2F"/>
    <w:rsid w:val="00C96F67"/>
    <w:rsid w:val="00C97075"/>
    <w:rsid w:val="00C97171"/>
    <w:rsid w:val="00C9719E"/>
    <w:rsid w:val="00C97384"/>
    <w:rsid w:val="00C97423"/>
    <w:rsid w:val="00C97495"/>
    <w:rsid w:val="00C97780"/>
    <w:rsid w:val="00C97817"/>
    <w:rsid w:val="00C978CC"/>
    <w:rsid w:val="00C97B2E"/>
    <w:rsid w:val="00C97D2D"/>
    <w:rsid w:val="00C97DB0"/>
    <w:rsid w:val="00C97EC3"/>
    <w:rsid w:val="00C97F64"/>
    <w:rsid w:val="00CA0027"/>
    <w:rsid w:val="00CA009D"/>
    <w:rsid w:val="00CA0471"/>
    <w:rsid w:val="00CA061B"/>
    <w:rsid w:val="00CA0699"/>
    <w:rsid w:val="00CA0989"/>
    <w:rsid w:val="00CA0A69"/>
    <w:rsid w:val="00CA0AD4"/>
    <w:rsid w:val="00CA0B3F"/>
    <w:rsid w:val="00CA0BEE"/>
    <w:rsid w:val="00CA0D40"/>
    <w:rsid w:val="00CA0FC4"/>
    <w:rsid w:val="00CA116A"/>
    <w:rsid w:val="00CA1217"/>
    <w:rsid w:val="00CA1263"/>
    <w:rsid w:val="00CA12B9"/>
    <w:rsid w:val="00CA147A"/>
    <w:rsid w:val="00CA1672"/>
    <w:rsid w:val="00CA172A"/>
    <w:rsid w:val="00CA17B5"/>
    <w:rsid w:val="00CA17E3"/>
    <w:rsid w:val="00CA1994"/>
    <w:rsid w:val="00CA19F4"/>
    <w:rsid w:val="00CA1AB3"/>
    <w:rsid w:val="00CA1B81"/>
    <w:rsid w:val="00CA1B8A"/>
    <w:rsid w:val="00CA1CF2"/>
    <w:rsid w:val="00CA1DBC"/>
    <w:rsid w:val="00CA1E36"/>
    <w:rsid w:val="00CA1F15"/>
    <w:rsid w:val="00CA21A8"/>
    <w:rsid w:val="00CA23A0"/>
    <w:rsid w:val="00CA23B7"/>
    <w:rsid w:val="00CA2712"/>
    <w:rsid w:val="00CA272A"/>
    <w:rsid w:val="00CA28CD"/>
    <w:rsid w:val="00CA28E4"/>
    <w:rsid w:val="00CA28FD"/>
    <w:rsid w:val="00CA2CD2"/>
    <w:rsid w:val="00CA2CDA"/>
    <w:rsid w:val="00CA2D18"/>
    <w:rsid w:val="00CA2DF6"/>
    <w:rsid w:val="00CA2DFF"/>
    <w:rsid w:val="00CA2E53"/>
    <w:rsid w:val="00CA3138"/>
    <w:rsid w:val="00CA32A2"/>
    <w:rsid w:val="00CA3411"/>
    <w:rsid w:val="00CA3482"/>
    <w:rsid w:val="00CA36A9"/>
    <w:rsid w:val="00CA38E9"/>
    <w:rsid w:val="00CA39A5"/>
    <w:rsid w:val="00CA3A18"/>
    <w:rsid w:val="00CA3B6C"/>
    <w:rsid w:val="00CA3DD1"/>
    <w:rsid w:val="00CA3DDB"/>
    <w:rsid w:val="00CA3E09"/>
    <w:rsid w:val="00CA3E83"/>
    <w:rsid w:val="00CA3FBC"/>
    <w:rsid w:val="00CA3FD0"/>
    <w:rsid w:val="00CA4021"/>
    <w:rsid w:val="00CA40DC"/>
    <w:rsid w:val="00CA41CC"/>
    <w:rsid w:val="00CA41E6"/>
    <w:rsid w:val="00CA43F2"/>
    <w:rsid w:val="00CA49B6"/>
    <w:rsid w:val="00CA4C9A"/>
    <w:rsid w:val="00CA4D50"/>
    <w:rsid w:val="00CA4D91"/>
    <w:rsid w:val="00CA4ECB"/>
    <w:rsid w:val="00CA4FBC"/>
    <w:rsid w:val="00CA503E"/>
    <w:rsid w:val="00CA51A4"/>
    <w:rsid w:val="00CA5267"/>
    <w:rsid w:val="00CA5280"/>
    <w:rsid w:val="00CA52A1"/>
    <w:rsid w:val="00CA52A3"/>
    <w:rsid w:val="00CA54D4"/>
    <w:rsid w:val="00CA5533"/>
    <w:rsid w:val="00CA586C"/>
    <w:rsid w:val="00CA596A"/>
    <w:rsid w:val="00CA59A5"/>
    <w:rsid w:val="00CA5A04"/>
    <w:rsid w:val="00CA5BD7"/>
    <w:rsid w:val="00CA5CE8"/>
    <w:rsid w:val="00CA5D1A"/>
    <w:rsid w:val="00CA5D8C"/>
    <w:rsid w:val="00CA5FFA"/>
    <w:rsid w:val="00CA6014"/>
    <w:rsid w:val="00CA604C"/>
    <w:rsid w:val="00CA6117"/>
    <w:rsid w:val="00CA6137"/>
    <w:rsid w:val="00CA617F"/>
    <w:rsid w:val="00CA6214"/>
    <w:rsid w:val="00CA62E8"/>
    <w:rsid w:val="00CA6305"/>
    <w:rsid w:val="00CA633D"/>
    <w:rsid w:val="00CA6375"/>
    <w:rsid w:val="00CA647D"/>
    <w:rsid w:val="00CA64B4"/>
    <w:rsid w:val="00CA651B"/>
    <w:rsid w:val="00CA65AE"/>
    <w:rsid w:val="00CA65ED"/>
    <w:rsid w:val="00CA66D7"/>
    <w:rsid w:val="00CA681E"/>
    <w:rsid w:val="00CA6AC6"/>
    <w:rsid w:val="00CA6AEB"/>
    <w:rsid w:val="00CA6AF1"/>
    <w:rsid w:val="00CA6B49"/>
    <w:rsid w:val="00CA6BF0"/>
    <w:rsid w:val="00CA6C06"/>
    <w:rsid w:val="00CA6D56"/>
    <w:rsid w:val="00CA6EDC"/>
    <w:rsid w:val="00CA7250"/>
    <w:rsid w:val="00CA7284"/>
    <w:rsid w:val="00CA7384"/>
    <w:rsid w:val="00CA7466"/>
    <w:rsid w:val="00CA7554"/>
    <w:rsid w:val="00CA7A29"/>
    <w:rsid w:val="00CA7AD4"/>
    <w:rsid w:val="00CA7B07"/>
    <w:rsid w:val="00CA7C56"/>
    <w:rsid w:val="00CA7D7A"/>
    <w:rsid w:val="00CA7DEC"/>
    <w:rsid w:val="00CA7EA8"/>
    <w:rsid w:val="00CA7ECF"/>
    <w:rsid w:val="00CA7F12"/>
    <w:rsid w:val="00CB00F7"/>
    <w:rsid w:val="00CB014C"/>
    <w:rsid w:val="00CB0160"/>
    <w:rsid w:val="00CB01B1"/>
    <w:rsid w:val="00CB0247"/>
    <w:rsid w:val="00CB026D"/>
    <w:rsid w:val="00CB032D"/>
    <w:rsid w:val="00CB036A"/>
    <w:rsid w:val="00CB0772"/>
    <w:rsid w:val="00CB0838"/>
    <w:rsid w:val="00CB08D0"/>
    <w:rsid w:val="00CB097C"/>
    <w:rsid w:val="00CB0B6B"/>
    <w:rsid w:val="00CB0B96"/>
    <w:rsid w:val="00CB0BB6"/>
    <w:rsid w:val="00CB0D25"/>
    <w:rsid w:val="00CB0E3F"/>
    <w:rsid w:val="00CB0E8A"/>
    <w:rsid w:val="00CB0FB7"/>
    <w:rsid w:val="00CB0FCB"/>
    <w:rsid w:val="00CB0FF7"/>
    <w:rsid w:val="00CB1025"/>
    <w:rsid w:val="00CB1047"/>
    <w:rsid w:val="00CB1148"/>
    <w:rsid w:val="00CB1264"/>
    <w:rsid w:val="00CB12B7"/>
    <w:rsid w:val="00CB134E"/>
    <w:rsid w:val="00CB13B7"/>
    <w:rsid w:val="00CB13CE"/>
    <w:rsid w:val="00CB153C"/>
    <w:rsid w:val="00CB1701"/>
    <w:rsid w:val="00CB178A"/>
    <w:rsid w:val="00CB185E"/>
    <w:rsid w:val="00CB198F"/>
    <w:rsid w:val="00CB19BE"/>
    <w:rsid w:val="00CB1BA2"/>
    <w:rsid w:val="00CB1C80"/>
    <w:rsid w:val="00CB1D58"/>
    <w:rsid w:val="00CB1FB4"/>
    <w:rsid w:val="00CB1FC9"/>
    <w:rsid w:val="00CB2037"/>
    <w:rsid w:val="00CB2060"/>
    <w:rsid w:val="00CB2073"/>
    <w:rsid w:val="00CB20A7"/>
    <w:rsid w:val="00CB2183"/>
    <w:rsid w:val="00CB2198"/>
    <w:rsid w:val="00CB21D6"/>
    <w:rsid w:val="00CB2219"/>
    <w:rsid w:val="00CB230F"/>
    <w:rsid w:val="00CB2447"/>
    <w:rsid w:val="00CB263C"/>
    <w:rsid w:val="00CB2696"/>
    <w:rsid w:val="00CB2710"/>
    <w:rsid w:val="00CB27A7"/>
    <w:rsid w:val="00CB2856"/>
    <w:rsid w:val="00CB2B2E"/>
    <w:rsid w:val="00CB2CE5"/>
    <w:rsid w:val="00CB2D5D"/>
    <w:rsid w:val="00CB2EF4"/>
    <w:rsid w:val="00CB300C"/>
    <w:rsid w:val="00CB3043"/>
    <w:rsid w:val="00CB306A"/>
    <w:rsid w:val="00CB3083"/>
    <w:rsid w:val="00CB30AE"/>
    <w:rsid w:val="00CB313F"/>
    <w:rsid w:val="00CB3149"/>
    <w:rsid w:val="00CB31E1"/>
    <w:rsid w:val="00CB324E"/>
    <w:rsid w:val="00CB328B"/>
    <w:rsid w:val="00CB34CC"/>
    <w:rsid w:val="00CB35AA"/>
    <w:rsid w:val="00CB3656"/>
    <w:rsid w:val="00CB3774"/>
    <w:rsid w:val="00CB3878"/>
    <w:rsid w:val="00CB38D5"/>
    <w:rsid w:val="00CB3913"/>
    <w:rsid w:val="00CB396A"/>
    <w:rsid w:val="00CB39B1"/>
    <w:rsid w:val="00CB3ADD"/>
    <w:rsid w:val="00CB3B3A"/>
    <w:rsid w:val="00CB3B89"/>
    <w:rsid w:val="00CB3C02"/>
    <w:rsid w:val="00CB3C55"/>
    <w:rsid w:val="00CB3DA7"/>
    <w:rsid w:val="00CB3F3B"/>
    <w:rsid w:val="00CB3F91"/>
    <w:rsid w:val="00CB4028"/>
    <w:rsid w:val="00CB4390"/>
    <w:rsid w:val="00CB45EB"/>
    <w:rsid w:val="00CB469D"/>
    <w:rsid w:val="00CB4766"/>
    <w:rsid w:val="00CB47EE"/>
    <w:rsid w:val="00CB4835"/>
    <w:rsid w:val="00CB493C"/>
    <w:rsid w:val="00CB4A61"/>
    <w:rsid w:val="00CB4BA3"/>
    <w:rsid w:val="00CB4CAA"/>
    <w:rsid w:val="00CB4D60"/>
    <w:rsid w:val="00CB4D9B"/>
    <w:rsid w:val="00CB5068"/>
    <w:rsid w:val="00CB5320"/>
    <w:rsid w:val="00CB532A"/>
    <w:rsid w:val="00CB53D4"/>
    <w:rsid w:val="00CB53F7"/>
    <w:rsid w:val="00CB543C"/>
    <w:rsid w:val="00CB570C"/>
    <w:rsid w:val="00CB5740"/>
    <w:rsid w:val="00CB5758"/>
    <w:rsid w:val="00CB5813"/>
    <w:rsid w:val="00CB5879"/>
    <w:rsid w:val="00CB5910"/>
    <w:rsid w:val="00CB593A"/>
    <w:rsid w:val="00CB5A9F"/>
    <w:rsid w:val="00CB5C95"/>
    <w:rsid w:val="00CB5CC9"/>
    <w:rsid w:val="00CB5D81"/>
    <w:rsid w:val="00CB5DD7"/>
    <w:rsid w:val="00CB6000"/>
    <w:rsid w:val="00CB6086"/>
    <w:rsid w:val="00CB6389"/>
    <w:rsid w:val="00CB6403"/>
    <w:rsid w:val="00CB655E"/>
    <w:rsid w:val="00CB6599"/>
    <w:rsid w:val="00CB682E"/>
    <w:rsid w:val="00CB6831"/>
    <w:rsid w:val="00CB6884"/>
    <w:rsid w:val="00CB6ACF"/>
    <w:rsid w:val="00CB6C0C"/>
    <w:rsid w:val="00CB6C41"/>
    <w:rsid w:val="00CB6C83"/>
    <w:rsid w:val="00CB6D40"/>
    <w:rsid w:val="00CB6DBF"/>
    <w:rsid w:val="00CB6E95"/>
    <w:rsid w:val="00CB723A"/>
    <w:rsid w:val="00CB73A0"/>
    <w:rsid w:val="00CB749E"/>
    <w:rsid w:val="00CB75EC"/>
    <w:rsid w:val="00CB762D"/>
    <w:rsid w:val="00CB77D2"/>
    <w:rsid w:val="00CB7956"/>
    <w:rsid w:val="00CB79DA"/>
    <w:rsid w:val="00CB7A96"/>
    <w:rsid w:val="00CB7BE1"/>
    <w:rsid w:val="00CB7D27"/>
    <w:rsid w:val="00CB7D99"/>
    <w:rsid w:val="00CB7E38"/>
    <w:rsid w:val="00CB7F7E"/>
    <w:rsid w:val="00CC0022"/>
    <w:rsid w:val="00CC0252"/>
    <w:rsid w:val="00CC0261"/>
    <w:rsid w:val="00CC0312"/>
    <w:rsid w:val="00CC0330"/>
    <w:rsid w:val="00CC0498"/>
    <w:rsid w:val="00CC04CD"/>
    <w:rsid w:val="00CC053E"/>
    <w:rsid w:val="00CC0544"/>
    <w:rsid w:val="00CC0622"/>
    <w:rsid w:val="00CC06C6"/>
    <w:rsid w:val="00CC07CB"/>
    <w:rsid w:val="00CC07D0"/>
    <w:rsid w:val="00CC0832"/>
    <w:rsid w:val="00CC085A"/>
    <w:rsid w:val="00CC08C1"/>
    <w:rsid w:val="00CC09F5"/>
    <w:rsid w:val="00CC0C4E"/>
    <w:rsid w:val="00CC0C9B"/>
    <w:rsid w:val="00CC0DDC"/>
    <w:rsid w:val="00CC0E1D"/>
    <w:rsid w:val="00CC0FFD"/>
    <w:rsid w:val="00CC105A"/>
    <w:rsid w:val="00CC11CC"/>
    <w:rsid w:val="00CC127A"/>
    <w:rsid w:val="00CC13F2"/>
    <w:rsid w:val="00CC142D"/>
    <w:rsid w:val="00CC1677"/>
    <w:rsid w:val="00CC171F"/>
    <w:rsid w:val="00CC199D"/>
    <w:rsid w:val="00CC19C8"/>
    <w:rsid w:val="00CC1A2C"/>
    <w:rsid w:val="00CC1B2C"/>
    <w:rsid w:val="00CC1BC2"/>
    <w:rsid w:val="00CC1C0C"/>
    <w:rsid w:val="00CC1D34"/>
    <w:rsid w:val="00CC1D97"/>
    <w:rsid w:val="00CC1E76"/>
    <w:rsid w:val="00CC1F33"/>
    <w:rsid w:val="00CC1F83"/>
    <w:rsid w:val="00CC2304"/>
    <w:rsid w:val="00CC271A"/>
    <w:rsid w:val="00CC2743"/>
    <w:rsid w:val="00CC2AC4"/>
    <w:rsid w:val="00CC2B7C"/>
    <w:rsid w:val="00CC2CD4"/>
    <w:rsid w:val="00CC2D49"/>
    <w:rsid w:val="00CC300B"/>
    <w:rsid w:val="00CC30F2"/>
    <w:rsid w:val="00CC3183"/>
    <w:rsid w:val="00CC3379"/>
    <w:rsid w:val="00CC3396"/>
    <w:rsid w:val="00CC3554"/>
    <w:rsid w:val="00CC36E0"/>
    <w:rsid w:val="00CC3A41"/>
    <w:rsid w:val="00CC3B61"/>
    <w:rsid w:val="00CC3BA5"/>
    <w:rsid w:val="00CC3C51"/>
    <w:rsid w:val="00CC3C7D"/>
    <w:rsid w:val="00CC3D09"/>
    <w:rsid w:val="00CC3D3B"/>
    <w:rsid w:val="00CC3DA5"/>
    <w:rsid w:val="00CC3DE4"/>
    <w:rsid w:val="00CC3E03"/>
    <w:rsid w:val="00CC3F5C"/>
    <w:rsid w:val="00CC4076"/>
    <w:rsid w:val="00CC4096"/>
    <w:rsid w:val="00CC412E"/>
    <w:rsid w:val="00CC4393"/>
    <w:rsid w:val="00CC459B"/>
    <w:rsid w:val="00CC46D4"/>
    <w:rsid w:val="00CC47CF"/>
    <w:rsid w:val="00CC496D"/>
    <w:rsid w:val="00CC4A76"/>
    <w:rsid w:val="00CC4B1B"/>
    <w:rsid w:val="00CC4C1C"/>
    <w:rsid w:val="00CC4CBF"/>
    <w:rsid w:val="00CC4E02"/>
    <w:rsid w:val="00CC4E83"/>
    <w:rsid w:val="00CC4F21"/>
    <w:rsid w:val="00CC5142"/>
    <w:rsid w:val="00CC518B"/>
    <w:rsid w:val="00CC51FF"/>
    <w:rsid w:val="00CC576F"/>
    <w:rsid w:val="00CC578F"/>
    <w:rsid w:val="00CC5915"/>
    <w:rsid w:val="00CC599B"/>
    <w:rsid w:val="00CC5A2A"/>
    <w:rsid w:val="00CC5A3E"/>
    <w:rsid w:val="00CC5C1B"/>
    <w:rsid w:val="00CC5D4B"/>
    <w:rsid w:val="00CC5F5B"/>
    <w:rsid w:val="00CC5FAD"/>
    <w:rsid w:val="00CC5FE0"/>
    <w:rsid w:val="00CC6018"/>
    <w:rsid w:val="00CC64E2"/>
    <w:rsid w:val="00CC67AF"/>
    <w:rsid w:val="00CC6851"/>
    <w:rsid w:val="00CC686B"/>
    <w:rsid w:val="00CC689D"/>
    <w:rsid w:val="00CC68CC"/>
    <w:rsid w:val="00CC68D7"/>
    <w:rsid w:val="00CC68DC"/>
    <w:rsid w:val="00CC68E5"/>
    <w:rsid w:val="00CC6A30"/>
    <w:rsid w:val="00CC6B53"/>
    <w:rsid w:val="00CC6D92"/>
    <w:rsid w:val="00CC6E1A"/>
    <w:rsid w:val="00CC70E9"/>
    <w:rsid w:val="00CC7286"/>
    <w:rsid w:val="00CC737F"/>
    <w:rsid w:val="00CC747E"/>
    <w:rsid w:val="00CC74A8"/>
    <w:rsid w:val="00CC74F4"/>
    <w:rsid w:val="00CC75D3"/>
    <w:rsid w:val="00CC76BD"/>
    <w:rsid w:val="00CC7795"/>
    <w:rsid w:val="00CC77BE"/>
    <w:rsid w:val="00CC78B2"/>
    <w:rsid w:val="00CC78B7"/>
    <w:rsid w:val="00CC7A6C"/>
    <w:rsid w:val="00CC7E3D"/>
    <w:rsid w:val="00CC7F80"/>
    <w:rsid w:val="00CD0003"/>
    <w:rsid w:val="00CD0039"/>
    <w:rsid w:val="00CD020E"/>
    <w:rsid w:val="00CD0573"/>
    <w:rsid w:val="00CD07CB"/>
    <w:rsid w:val="00CD07CC"/>
    <w:rsid w:val="00CD0B51"/>
    <w:rsid w:val="00CD0C5B"/>
    <w:rsid w:val="00CD0CBC"/>
    <w:rsid w:val="00CD0CFB"/>
    <w:rsid w:val="00CD0D76"/>
    <w:rsid w:val="00CD0E83"/>
    <w:rsid w:val="00CD0E96"/>
    <w:rsid w:val="00CD0ECA"/>
    <w:rsid w:val="00CD0F0E"/>
    <w:rsid w:val="00CD0FE8"/>
    <w:rsid w:val="00CD1099"/>
    <w:rsid w:val="00CD1247"/>
    <w:rsid w:val="00CD1264"/>
    <w:rsid w:val="00CD1388"/>
    <w:rsid w:val="00CD13FD"/>
    <w:rsid w:val="00CD142F"/>
    <w:rsid w:val="00CD1484"/>
    <w:rsid w:val="00CD1507"/>
    <w:rsid w:val="00CD169B"/>
    <w:rsid w:val="00CD16C9"/>
    <w:rsid w:val="00CD16DD"/>
    <w:rsid w:val="00CD1773"/>
    <w:rsid w:val="00CD1805"/>
    <w:rsid w:val="00CD1909"/>
    <w:rsid w:val="00CD193F"/>
    <w:rsid w:val="00CD19A6"/>
    <w:rsid w:val="00CD19AC"/>
    <w:rsid w:val="00CD19C8"/>
    <w:rsid w:val="00CD1AEB"/>
    <w:rsid w:val="00CD1B2D"/>
    <w:rsid w:val="00CD1C7A"/>
    <w:rsid w:val="00CD1D4D"/>
    <w:rsid w:val="00CD1DCA"/>
    <w:rsid w:val="00CD1FD0"/>
    <w:rsid w:val="00CD209C"/>
    <w:rsid w:val="00CD20AD"/>
    <w:rsid w:val="00CD246C"/>
    <w:rsid w:val="00CD24D6"/>
    <w:rsid w:val="00CD2651"/>
    <w:rsid w:val="00CD26AD"/>
    <w:rsid w:val="00CD2776"/>
    <w:rsid w:val="00CD27F1"/>
    <w:rsid w:val="00CD2813"/>
    <w:rsid w:val="00CD2BE4"/>
    <w:rsid w:val="00CD2DDF"/>
    <w:rsid w:val="00CD2E2D"/>
    <w:rsid w:val="00CD2F5C"/>
    <w:rsid w:val="00CD3175"/>
    <w:rsid w:val="00CD3178"/>
    <w:rsid w:val="00CD3348"/>
    <w:rsid w:val="00CD338E"/>
    <w:rsid w:val="00CD3461"/>
    <w:rsid w:val="00CD3549"/>
    <w:rsid w:val="00CD3555"/>
    <w:rsid w:val="00CD35C7"/>
    <w:rsid w:val="00CD3651"/>
    <w:rsid w:val="00CD39AE"/>
    <w:rsid w:val="00CD3BC2"/>
    <w:rsid w:val="00CD3C0D"/>
    <w:rsid w:val="00CD40B0"/>
    <w:rsid w:val="00CD40EA"/>
    <w:rsid w:val="00CD4287"/>
    <w:rsid w:val="00CD44C9"/>
    <w:rsid w:val="00CD45D6"/>
    <w:rsid w:val="00CD4746"/>
    <w:rsid w:val="00CD48C5"/>
    <w:rsid w:val="00CD4A3A"/>
    <w:rsid w:val="00CD4AC7"/>
    <w:rsid w:val="00CD4AD5"/>
    <w:rsid w:val="00CD4B55"/>
    <w:rsid w:val="00CD4E50"/>
    <w:rsid w:val="00CD4EE6"/>
    <w:rsid w:val="00CD4F61"/>
    <w:rsid w:val="00CD51C0"/>
    <w:rsid w:val="00CD5340"/>
    <w:rsid w:val="00CD54B8"/>
    <w:rsid w:val="00CD55AD"/>
    <w:rsid w:val="00CD55DD"/>
    <w:rsid w:val="00CD5676"/>
    <w:rsid w:val="00CD56BA"/>
    <w:rsid w:val="00CD5713"/>
    <w:rsid w:val="00CD5B20"/>
    <w:rsid w:val="00CD5EB2"/>
    <w:rsid w:val="00CD5F2F"/>
    <w:rsid w:val="00CD60E6"/>
    <w:rsid w:val="00CD613E"/>
    <w:rsid w:val="00CD61EB"/>
    <w:rsid w:val="00CD6273"/>
    <w:rsid w:val="00CD6304"/>
    <w:rsid w:val="00CD63B3"/>
    <w:rsid w:val="00CD64E1"/>
    <w:rsid w:val="00CD6630"/>
    <w:rsid w:val="00CD6674"/>
    <w:rsid w:val="00CD672E"/>
    <w:rsid w:val="00CD6792"/>
    <w:rsid w:val="00CD67E9"/>
    <w:rsid w:val="00CD6866"/>
    <w:rsid w:val="00CD6C1D"/>
    <w:rsid w:val="00CD6CD6"/>
    <w:rsid w:val="00CD6DC1"/>
    <w:rsid w:val="00CD6EB9"/>
    <w:rsid w:val="00CD735A"/>
    <w:rsid w:val="00CD735B"/>
    <w:rsid w:val="00CD7374"/>
    <w:rsid w:val="00CD73C2"/>
    <w:rsid w:val="00CD7472"/>
    <w:rsid w:val="00CD780F"/>
    <w:rsid w:val="00CD783B"/>
    <w:rsid w:val="00CD799E"/>
    <w:rsid w:val="00CD7A19"/>
    <w:rsid w:val="00CD7E0B"/>
    <w:rsid w:val="00CD7EAE"/>
    <w:rsid w:val="00CD7EDD"/>
    <w:rsid w:val="00CD7F44"/>
    <w:rsid w:val="00CE0035"/>
    <w:rsid w:val="00CE010A"/>
    <w:rsid w:val="00CE05E9"/>
    <w:rsid w:val="00CE05EC"/>
    <w:rsid w:val="00CE070E"/>
    <w:rsid w:val="00CE09F3"/>
    <w:rsid w:val="00CE0B55"/>
    <w:rsid w:val="00CE0D62"/>
    <w:rsid w:val="00CE0D9E"/>
    <w:rsid w:val="00CE0E98"/>
    <w:rsid w:val="00CE0FB8"/>
    <w:rsid w:val="00CE1153"/>
    <w:rsid w:val="00CE12D4"/>
    <w:rsid w:val="00CE1472"/>
    <w:rsid w:val="00CE153D"/>
    <w:rsid w:val="00CE15D4"/>
    <w:rsid w:val="00CE160C"/>
    <w:rsid w:val="00CE18C6"/>
    <w:rsid w:val="00CE1B39"/>
    <w:rsid w:val="00CE1D0F"/>
    <w:rsid w:val="00CE1D13"/>
    <w:rsid w:val="00CE1D69"/>
    <w:rsid w:val="00CE1EB0"/>
    <w:rsid w:val="00CE1F6A"/>
    <w:rsid w:val="00CE2027"/>
    <w:rsid w:val="00CE206D"/>
    <w:rsid w:val="00CE21AF"/>
    <w:rsid w:val="00CE223B"/>
    <w:rsid w:val="00CE22CF"/>
    <w:rsid w:val="00CE2357"/>
    <w:rsid w:val="00CE2601"/>
    <w:rsid w:val="00CE280C"/>
    <w:rsid w:val="00CE283A"/>
    <w:rsid w:val="00CE28FA"/>
    <w:rsid w:val="00CE29AE"/>
    <w:rsid w:val="00CE29D2"/>
    <w:rsid w:val="00CE2A29"/>
    <w:rsid w:val="00CE2A66"/>
    <w:rsid w:val="00CE2ADE"/>
    <w:rsid w:val="00CE2B8F"/>
    <w:rsid w:val="00CE2B92"/>
    <w:rsid w:val="00CE2D5D"/>
    <w:rsid w:val="00CE2D80"/>
    <w:rsid w:val="00CE2E52"/>
    <w:rsid w:val="00CE2E61"/>
    <w:rsid w:val="00CE2F1F"/>
    <w:rsid w:val="00CE303A"/>
    <w:rsid w:val="00CE308F"/>
    <w:rsid w:val="00CE3285"/>
    <w:rsid w:val="00CE33C7"/>
    <w:rsid w:val="00CE33F0"/>
    <w:rsid w:val="00CE3434"/>
    <w:rsid w:val="00CE3616"/>
    <w:rsid w:val="00CE39A4"/>
    <w:rsid w:val="00CE39E8"/>
    <w:rsid w:val="00CE3D10"/>
    <w:rsid w:val="00CE3D49"/>
    <w:rsid w:val="00CE3E27"/>
    <w:rsid w:val="00CE3E95"/>
    <w:rsid w:val="00CE3EA2"/>
    <w:rsid w:val="00CE3EFE"/>
    <w:rsid w:val="00CE4263"/>
    <w:rsid w:val="00CE439B"/>
    <w:rsid w:val="00CE43AF"/>
    <w:rsid w:val="00CE448A"/>
    <w:rsid w:val="00CE449E"/>
    <w:rsid w:val="00CE44A9"/>
    <w:rsid w:val="00CE45C7"/>
    <w:rsid w:val="00CE4631"/>
    <w:rsid w:val="00CE472C"/>
    <w:rsid w:val="00CE4A32"/>
    <w:rsid w:val="00CE4A6D"/>
    <w:rsid w:val="00CE4A72"/>
    <w:rsid w:val="00CE4A84"/>
    <w:rsid w:val="00CE4C12"/>
    <w:rsid w:val="00CE4D3A"/>
    <w:rsid w:val="00CE4EB1"/>
    <w:rsid w:val="00CE5025"/>
    <w:rsid w:val="00CE5080"/>
    <w:rsid w:val="00CE5086"/>
    <w:rsid w:val="00CE54CE"/>
    <w:rsid w:val="00CE55A6"/>
    <w:rsid w:val="00CE55E3"/>
    <w:rsid w:val="00CE56FF"/>
    <w:rsid w:val="00CE570E"/>
    <w:rsid w:val="00CE57B2"/>
    <w:rsid w:val="00CE57F7"/>
    <w:rsid w:val="00CE5815"/>
    <w:rsid w:val="00CE5832"/>
    <w:rsid w:val="00CE5D03"/>
    <w:rsid w:val="00CE5D3E"/>
    <w:rsid w:val="00CE5E29"/>
    <w:rsid w:val="00CE63C1"/>
    <w:rsid w:val="00CE64C1"/>
    <w:rsid w:val="00CE64FD"/>
    <w:rsid w:val="00CE65A4"/>
    <w:rsid w:val="00CE65DC"/>
    <w:rsid w:val="00CE6678"/>
    <w:rsid w:val="00CE67C2"/>
    <w:rsid w:val="00CE6879"/>
    <w:rsid w:val="00CE6971"/>
    <w:rsid w:val="00CE69B7"/>
    <w:rsid w:val="00CE6A14"/>
    <w:rsid w:val="00CE6A8C"/>
    <w:rsid w:val="00CE6B0C"/>
    <w:rsid w:val="00CE6B30"/>
    <w:rsid w:val="00CE6CE4"/>
    <w:rsid w:val="00CE6EAA"/>
    <w:rsid w:val="00CE6F4D"/>
    <w:rsid w:val="00CE7048"/>
    <w:rsid w:val="00CE70A8"/>
    <w:rsid w:val="00CE70B4"/>
    <w:rsid w:val="00CE7236"/>
    <w:rsid w:val="00CE7294"/>
    <w:rsid w:val="00CE73B5"/>
    <w:rsid w:val="00CE75AE"/>
    <w:rsid w:val="00CE75D7"/>
    <w:rsid w:val="00CE75EE"/>
    <w:rsid w:val="00CE762B"/>
    <w:rsid w:val="00CE7826"/>
    <w:rsid w:val="00CE7872"/>
    <w:rsid w:val="00CE7907"/>
    <w:rsid w:val="00CE7964"/>
    <w:rsid w:val="00CE7998"/>
    <w:rsid w:val="00CE7EAF"/>
    <w:rsid w:val="00CF004B"/>
    <w:rsid w:val="00CF021F"/>
    <w:rsid w:val="00CF0252"/>
    <w:rsid w:val="00CF02F0"/>
    <w:rsid w:val="00CF03E1"/>
    <w:rsid w:val="00CF0599"/>
    <w:rsid w:val="00CF05D4"/>
    <w:rsid w:val="00CF0655"/>
    <w:rsid w:val="00CF0670"/>
    <w:rsid w:val="00CF06A6"/>
    <w:rsid w:val="00CF08F7"/>
    <w:rsid w:val="00CF0933"/>
    <w:rsid w:val="00CF0B14"/>
    <w:rsid w:val="00CF0BE2"/>
    <w:rsid w:val="00CF0D5E"/>
    <w:rsid w:val="00CF0E48"/>
    <w:rsid w:val="00CF0EAF"/>
    <w:rsid w:val="00CF0F07"/>
    <w:rsid w:val="00CF0FC6"/>
    <w:rsid w:val="00CF0FFF"/>
    <w:rsid w:val="00CF11B5"/>
    <w:rsid w:val="00CF11BB"/>
    <w:rsid w:val="00CF12F9"/>
    <w:rsid w:val="00CF13A1"/>
    <w:rsid w:val="00CF13B4"/>
    <w:rsid w:val="00CF144E"/>
    <w:rsid w:val="00CF146C"/>
    <w:rsid w:val="00CF14AC"/>
    <w:rsid w:val="00CF14BC"/>
    <w:rsid w:val="00CF15CE"/>
    <w:rsid w:val="00CF15DE"/>
    <w:rsid w:val="00CF15FA"/>
    <w:rsid w:val="00CF163B"/>
    <w:rsid w:val="00CF16D8"/>
    <w:rsid w:val="00CF1769"/>
    <w:rsid w:val="00CF180F"/>
    <w:rsid w:val="00CF195D"/>
    <w:rsid w:val="00CF1995"/>
    <w:rsid w:val="00CF1B8D"/>
    <w:rsid w:val="00CF1BD5"/>
    <w:rsid w:val="00CF1EE5"/>
    <w:rsid w:val="00CF1F66"/>
    <w:rsid w:val="00CF217B"/>
    <w:rsid w:val="00CF2250"/>
    <w:rsid w:val="00CF2285"/>
    <w:rsid w:val="00CF24C4"/>
    <w:rsid w:val="00CF2671"/>
    <w:rsid w:val="00CF27A4"/>
    <w:rsid w:val="00CF280F"/>
    <w:rsid w:val="00CF2850"/>
    <w:rsid w:val="00CF288C"/>
    <w:rsid w:val="00CF294A"/>
    <w:rsid w:val="00CF2990"/>
    <w:rsid w:val="00CF299D"/>
    <w:rsid w:val="00CF2A70"/>
    <w:rsid w:val="00CF2A95"/>
    <w:rsid w:val="00CF2C5A"/>
    <w:rsid w:val="00CF2F06"/>
    <w:rsid w:val="00CF2F88"/>
    <w:rsid w:val="00CF3134"/>
    <w:rsid w:val="00CF31C5"/>
    <w:rsid w:val="00CF3401"/>
    <w:rsid w:val="00CF356B"/>
    <w:rsid w:val="00CF3599"/>
    <w:rsid w:val="00CF374E"/>
    <w:rsid w:val="00CF376C"/>
    <w:rsid w:val="00CF37AF"/>
    <w:rsid w:val="00CF39B1"/>
    <w:rsid w:val="00CF39DC"/>
    <w:rsid w:val="00CF3A63"/>
    <w:rsid w:val="00CF3A96"/>
    <w:rsid w:val="00CF3D45"/>
    <w:rsid w:val="00CF407B"/>
    <w:rsid w:val="00CF45FB"/>
    <w:rsid w:val="00CF4661"/>
    <w:rsid w:val="00CF4677"/>
    <w:rsid w:val="00CF4716"/>
    <w:rsid w:val="00CF473A"/>
    <w:rsid w:val="00CF47A8"/>
    <w:rsid w:val="00CF47DF"/>
    <w:rsid w:val="00CF4960"/>
    <w:rsid w:val="00CF498D"/>
    <w:rsid w:val="00CF49FD"/>
    <w:rsid w:val="00CF4B06"/>
    <w:rsid w:val="00CF4BC6"/>
    <w:rsid w:val="00CF4E62"/>
    <w:rsid w:val="00CF4F65"/>
    <w:rsid w:val="00CF4FB9"/>
    <w:rsid w:val="00CF5135"/>
    <w:rsid w:val="00CF519D"/>
    <w:rsid w:val="00CF5203"/>
    <w:rsid w:val="00CF52E1"/>
    <w:rsid w:val="00CF530A"/>
    <w:rsid w:val="00CF5332"/>
    <w:rsid w:val="00CF53F7"/>
    <w:rsid w:val="00CF5445"/>
    <w:rsid w:val="00CF55A7"/>
    <w:rsid w:val="00CF55FD"/>
    <w:rsid w:val="00CF5601"/>
    <w:rsid w:val="00CF56F8"/>
    <w:rsid w:val="00CF570D"/>
    <w:rsid w:val="00CF585C"/>
    <w:rsid w:val="00CF5933"/>
    <w:rsid w:val="00CF5A4D"/>
    <w:rsid w:val="00CF5AFF"/>
    <w:rsid w:val="00CF5B49"/>
    <w:rsid w:val="00CF5B6E"/>
    <w:rsid w:val="00CF5BA5"/>
    <w:rsid w:val="00CF5CC7"/>
    <w:rsid w:val="00CF6057"/>
    <w:rsid w:val="00CF615E"/>
    <w:rsid w:val="00CF6221"/>
    <w:rsid w:val="00CF6393"/>
    <w:rsid w:val="00CF63CE"/>
    <w:rsid w:val="00CF657F"/>
    <w:rsid w:val="00CF658C"/>
    <w:rsid w:val="00CF65FC"/>
    <w:rsid w:val="00CF669F"/>
    <w:rsid w:val="00CF684A"/>
    <w:rsid w:val="00CF6962"/>
    <w:rsid w:val="00CF6AA0"/>
    <w:rsid w:val="00CF6ADC"/>
    <w:rsid w:val="00CF6B04"/>
    <w:rsid w:val="00CF6B45"/>
    <w:rsid w:val="00CF6B47"/>
    <w:rsid w:val="00CF6BBA"/>
    <w:rsid w:val="00CF6C86"/>
    <w:rsid w:val="00CF6C9B"/>
    <w:rsid w:val="00CF6D0C"/>
    <w:rsid w:val="00CF6D16"/>
    <w:rsid w:val="00CF6E13"/>
    <w:rsid w:val="00CF6F91"/>
    <w:rsid w:val="00CF7001"/>
    <w:rsid w:val="00CF7018"/>
    <w:rsid w:val="00CF7116"/>
    <w:rsid w:val="00CF7214"/>
    <w:rsid w:val="00CF722B"/>
    <w:rsid w:val="00CF736B"/>
    <w:rsid w:val="00CF74FB"/>
    <w:rsid w:val="00CF7543"/>
    <w:rsid w:val="00CF75EF"/>
    <w:rsid w:val="00CF762A"/>
    <w:rsid w:val="00CF771C"/>
    <w:rsid w:val="00CF78E8"/>
    <w:rsid w:val="00CF7BD3"/>
    <w:rsid w:val="00CF7D7B"/>
    <w:rsid w:val="00CF7DD8"/>
    <w:rsid w:val="00CF7F06"/>
    <w:rsid w:val="00CF7FC0"/>
    <w:rsid w:val="00D00254"/>
    <w:rsid w:val="00D00273"/>
    <w:rsid w:val="00D002A5"/>
    <w:rsid w:val="00D002D7"/>
    <w:rsid w:val="00D0036C"/>
    <w:rsid w:val="00D003CA"/>
    <w:rsid w:val="00D00608"/>
    <w:rsid w:val="00D008B3"/>
    <w:rsid w:val="00D00D48"/>
    <w:rsid w:val="00D00D88"/>
    <w:rsid w:val="00D00EDE"/>
    <w:rsid w:val="00D010AB"/>
    <w:rsid w:val="00D0119F"/>
    <w:rsid w:val="00D0138B"/>
    <w:rsid w:val="00D01480"/>
    <w:rsid w:val="00D01615"/>
    <w:rsid w:val="00D01775"/>
    <w:rsid w:val="00D0196E"/>
    <w:rsid w:val="00D01A1A"/>
    <w:rsid w:val="00D01AEE"/>
    <w:rsid w:val="00D01B2C"/>
    <w:rsid w:val="00D01B6A"/>
    <w:rsid w:val="00D01BC1"/>
    <w:rsid w:val="00D01D96"/>
    <w:rsid w:val="00D01D9C"/>
    <w:rsid w:val="00D01FB2"/>
    <w:rsid w:val="00D02072"/>
    <w:rsid w:val="00D022B6"/>
    <w:rsid w:val="00D023DB"/>
    <w:rsid w:val="00D02433"/>
    <w:rsid w:val="00D0247C"/>
    <w:rsid w:val="00D02705"/>
    <w:rsid w:val="00D0274C"/>
    <w:rsid w:val="00D028A1"/>
    <w:rsid w:val="00D02932"/>
    <w:rsid w:val="00D02953"/>
    <w:rsid w:val="00D02984"/>
    <w:rsid w:val="00D02A81"/>
    <w:rsid w:val="00D02B84"/>
    <w:rsid w:val="00D02BFA"/>
    <w:rsid w:val="00D02CDF"/>
    <w:rsid w:val="00D02DA3"/>
    <w:rsid w:val="00D02E30"/>
    <w:rsid w:val="00D02F7C"/>
    <w:rsid w:val="00D02FEC"/>
    <w:rsid w:val="00D033B4"/>
    <w:rsid w:val="00D0352E"/>
    <w:rsid w:val="00D0354D"/>
    <w:rsid w:val="00D03554"/>
    <w:rsid w:val="00D036A6"/>
    <w:rsid w:val="00D03731"/>
    <w:rsid w:val="00D03797"/>
    <w:rsid w:val="00D03799"/>
    <w:rsid w:val="00D0397E"/>
    <w:rsid w:val="00D03A11"/>
    <w:rsid w:val="00D03A5F"/>
    <w:rsid w:val="00D03BCC"/>
    <w:rsid w:val="00D03D36"/>
    <w:rsid w:val="00D03E9B"/>
    <w:rsid w:val="00D03EBB"/>
    <w:rsid w:val="00D03EE5"/>
    <w:rsid w:val="00D03F36"/>
    <w:rsid w:val="00D04139"/>
    <w:rsid w:val="00D04182"/>
    <w:rsid w:val="00D041A5"/>
    <w:rsid w:val="00D04356"/>
    <w:rsid w:val="00D04972"/>
    <w:rsid w:val="00D049CA"/>
    <w:rsid w:val="00D049F7"/>
    <w:rsid w:val="00D04B7E"/>
    <w:rsid w:val="00D04E53"/>
    <w:rsid w:val="00D052A7"/>
    <w:rsid w:val="00D055EF"/>
    <w:rsid w:val="00D05618"/>
    <w:rsid w:val="00D056B9"/>
    <w:rsid w:val="00D059C6"/>
    <w:rsid w:val="00D05A20"/>
    <w:rsid w:val="00D05AD5"/>
    <w:rsid w:val="00D05B24"/>
    <w:rsid w:val="00D05BFC"/>
    <w:rsid w:val="00D05C43"/>
    <w:rsid w:val="00D05CF6"/>
    <w:rsid w:val="00D05E10"/>
    <w:rsid w:val="00D05E75"/>
    <w:rsid w:val="00D05EF8"/>
    <w:rsid w:val="00D05F37"/>
    <w:rsid w:val="00D05F42"/>
    <w:rsid w:val="00D05FAE"/>
    <w:rsid w:val="00D06000"/>
    <w:rsid w:val="00D0602F"/>
    <w:rsid w:val="00D060A7"/>
    <w:rsid w:val="00D060B7"/>
    <w:rsid w:val="00D060C4"/>
    <w:rsid w:val="00D06194"/>
    <w:rsid w:val="00D061F8"/>
    <w:rsid w:val="00D065BB"/>
    <w:rsid w:val="00D0678C"/>
    <w:rsid w:val="00D0697A"/>
    <w:rsid w:val="00D069DD"/>
    <w:rsid w:val="00D06A23"/>
    <w:rsid w:val="00D06BC7"/>
    <w:rsid w:val="00D06CF7"/>
    <w:rsid w:val="00D06D60"/>
    <w:rsid w:val="00D06E2F"/>
    <w:rsid w:val="00D06EFF"/>
    <w:rsid w:val="00D07039"/>
    <w:rsid w:val="00D07294"/>
    <w:rsid w:val="00D072CB"/>
    <w:rsid w:val="00D073E9"/>
    <w:rsid w:val="00D075C3"/>
    <w:rsid w:val="00D0763F"/>
    <w:rsid w:val="00D07965"/>
    <w:rsid w:val="00D07B82"/>
    <w:rsid w:val="00D07BC9"/>
    <w:rsid w:val="00D07CA5"/>
    <w:rsid w:val="00D07CF0"/>
    <w:rsid w:val="00D07DBB"/>
    <w:rsid w:val="00D07F30"/>
    <w:rsid w:val="00D10016"/>
    <w:rsid w:val="00D1002A"/>
    <w:rsid w:val="00D100B3"/>
    <w:rsid w:val="00D10162"/>
    <w:rsid w:val="00D10167"/>
    <w:rsid w:val="00D102C9"/>
    <w:rsid w:val="00D104C1"/>
    <w:rsid w:val="00D10504"/>
    <w:rsid w:val="00D10536"/>
    <w:rsid w:val="00D1089A"/>
    <w:rsid w:val="00D108F0"/>
    <w:rsid w:val="00D1093A"/>
    <w:rsid w:val="00D10A9A"/>
    <w:rsid w:val="00D10B8D"/>
    <w:rsid w:val="00D10BED"/>
    <w:rsid w:val="00D10CA7"/>
    <w:rsid w:val="00D10DBE"/>
    <w:rsid w:val="00D10E4B"/>
    <w:rsid w:val="00D10E72"/>
    <w:rsid w:val="00D10F14"/>
    <w:rsid w:val="00D10FDE"/>
    <w:rsid w:val="00D1105C"/>
    <w:rsid w:val="00D111A0"/>
    <w:rsid w:val="00D11270"/>
    <w:rsid w:val="00D112BD"/>
    <w:rsid w:val="00D112CD"/>
    <w:rsid w:val="00D113F4"/>
    <w:rsid w:val="00D11465"/>
    <w:rsid w:val="00D114BA"/>
    <w:rsid w:val="00D115A9"/>
    <w:rsid w:val="00D116F1"/>
    <w:rsid w:val="00D11775"/>
    <w:rsid w:val="00D117D7"/>
    <w:rsid w:val="00D11A26"/>
    <w:rsid w:val="00D11A5D"/>
    <w:rsid w:val="00D11B78"/>
    <w:rsid w:val="00D11CA7"/>
    <w:rsid w:val="00D11D59"/>
    <w:rsid w:val="00D11E41"/>
    <w:rsid w:val="00D11EB5"/>
    <w:rsid w:val="00D11F6E"/>
    <w:rsid w:val="00D12074"/>
    <w:rsid w:val="00D12089"/>
    <w:rsid w:val="00D12111"/>
    <w:rsid w:val="00D12177"/>
    <w:rsid w:val="00D12187"/>
    <w:rsid w:val="00D12315"/>
    <w:rsid w:val="00D12397"/>
    <w:rsid w:val="00D123C3"/>
    <w:rsid w:val="00D12554"/>
    <w:rsid w:val="00D125AE"/>
    <w:rsid w:val="00D1274E"/>
    <w:rsid w:val="00D12852"/>
    <w:rsid w:val="00D129E2"/>
    <w:rsid w:val="00D12CCF"/>
    <w:rsid w:val="00D12E7B"/>
    <w:rsid w:val="00D131E5"/>
    <w:rsid w:val="00D1322D"/>
    <w:rsid w:val="00D13333"/>
    <w:rsid w:val="00D13483"/>
    <w:rsid w:val="00D1386D"/>
    <w:rsid w:val="00D138FB"/>
    <w:rsid w:val="00D13C66"/>
    <w:rsid w:val="00D13D7E"/>
    <w:rsid w:val="00D13F6F"/>
    <w:rsid w:val="00D14163"/>
    <w:rsid w:val="00D1423F"/>
    <w:rsid w:val="00D143BD"/>
    <w:rsid w:val="00D14458"/>
    <w:rsid w:val="00D14607"/>
    <w:rsid w:val="00D14638"/>
    <w:rsid w:val="00D146DA"/>
    <w:rsid w:val="00D14BB8"/>
    <w:rsid w:val="00D14BFA"/>
    <w:rsid w:val="00D14CD2"/>
    <w:rsid w:val="00D14EFF"/>
    <w:rsid w:val="00D14F04"/>
    <w:rsid w:val="00D15113"/>
    <w:rsid w:val="00D1512E"/>
    <w:rsid w:val="00D151B3"/>
    <w:rsid w:val="00D152AC"/>
    <w:rsid w:val="00D153BD"/>
    <w:rsid w:val="00D154C4"/>
    <w:rsid w:val="00D15538"/>
    <w:rsid w:val="00D156B9"/>
    <w:rsid w:val="00D156FF"/>
    <w:rsid w:val="00D159EB"/>
    <w:rsid w:val="00D15AE2"/>
    <w:rsid w:val="00D15B7C"/>
    <w:rsid w:val="00D15B7D"/>
    <w:rsid w:val="00D15CEA"/>
    <w:rsid w:val="00D15E30"/>
    <w:rsid w:val="00D15FAB"/>
    <w:rsid w:val="00D162DC"/>
    <w:rsid w:val="00D163F3"/>
    <w:rsid w:val="00D16439"/>
    <w:rsid w:val="00D16535"/>
    <w:rsid w:val="00D16749"/>
    <w:rsid w:val="00D1682E"/>
    <w:rsid w:val="00D1688C"/>
    <w:rsid w:val="00D169B1"/>
    <w:rsid w:val="00D169C3"/>
    <w:rsid w:val="00D16A3B"/>
    <w:rsid w:val="00D16ABA"/>
    <w:rsid w:val="00D16C5A"/>
    <w:rsid w:val="00D16D67"/>
    <w:rsid w:val="00D16DE1"/>
    <w:rsid w:val="00D16EF5"/>
    <w:rsid w:val="00D16F74"/>
    <w:rsid w:val="00D170EE"/>
    <w:rsid w:val="00D171AC"/>
    <w:rsid w:val="00D171F3"/>
    <w:rsid w:val="00D172D0"/>
    <w:rsid w:val="00D174D4"/>
    <w:rsid w:val="00D1756D"/>
    <w:rsid w:val="00D17819"/>
    <w:rsid w:val="00D17942"/>
    <w:rsid w:val="00D17A68"/>
    <w:rsid w:val="00D17BD7"/>
    <w:rsid w:val="00D17D09"/>
    <w:rsid w:val="00D17F2C"/>
    <w:rsid w:val="00D17F4B"/>
    <w:rsid w:val="00D17FB0"/>
    <w:rsid w:val="00D17FBD"/>
    <w:rsid w:val="00D200DC"/>
    <w:rsid w:val="00D20163"/>
    <w:rsid w:val="00D20393"/>
    <w:rsid w:val="00D203EA"/>
    <w:rsid w:val="00D20449"/>
    <w:rsid w:val="00D2044A"/>
    <w:rsid w:val="00D20606"/>
    <w:rsid w:val="00D20672"/>
    <w:rsid w:val="00D20737"/>
    <w:rsid w:val="00D207B2"/>
    <w:rsid w:val="00D20808"/>
    <w:rsid w:val="00D20911"/>
    <w:rsid w:val="00D20C09"/>
    <w:rsid w:val="00D20C5F"/>
    <w:rsid w:val="00D20D5D"/>
    <w:rsid w:val="00D20E99"/>
    <w:rsid w:val="00D21089"/>
    <w:rsid w:val="00D21168"/>
    <w:rsid w:val="00D211BA"/>
    <w:rsid w:val="00D21333"/>
    <w:rsid w:val="00D2149D"/>
    <w:rsid w:val="00D214CC"/>
    <w:rsid w:val="00D2154D"/>
    <w:rsid w:val="00D2188B"/>
    <w:rsid w:val="00D2194E"/>
    <w:rsid w:val="00D21B89"/>
    <w:rsid w:val="00D21BC7"/>
    <w:rsid w:val="00D21C16"/>
    <w:rsid w:val="00D21DCD"/>
    <w:rsid w:val="00D21E18"/>
    <w:rsid w:val="00D21E68"/>
    <w:rsid w:val="00D21F09"/>
    <w:rsid w:val="00D21F0A"/>
    <w:rsid w:val="00D21F59"/>
    <w:rsid w:val="00D2203D"/>
    <w:rsid w:val="00D22169"/>
    <w:rsid w:val="00D22174"/>
    <w:rsid w:val="00D221C8"/>
    <w:rsid w:val="00D2238B"/>
    <w:rsid w:val="00D2240B"/>
    <w:rsid w:val="00D224F2"/>
    <w:rsid w:val="00D22504"/>
    <w:rsid w:val="00D22584"/>
    <w:rsid w:val="00D2264C"/>
    <w:rsid w:val="00D226DA"/>
    <w:rsid w:val="00D227CA"/>
    <w:rsid w:val="00D22825"/>
    <w:rsid w:val="00D22B08"/>
    <w:rsid w:val="00D22BB8"/>
    <w:rsid w:val="00D22D33"/>
    <w:rsid w:val="00D22DE9"/>
    <w:rsid w:val="00D22E9D"/>
    <w:rsid w:val="00D22F53"/>
    <w:rsid w:val="00D22F71"/>
    <w:rsid w:val="00D23021"/>
    <w:rsid w:val="00D23225"/>
    <w:rsid w:val="00D2322F"/>
    <w:rsid w:val="00D2324C"/>
    <w:rsid w:val="00D23332"/>
    <w:rsid w:val="00D233DB"/>
    <w:rsid w:val="00D23476"/>
    <w:rsid w:val="00D23568"/>
    <w:rsid w:val="00D23631"/>
    <w:rsid w:val="00D23714"/>
    <w:rsid w:val="00D239AA"/>
    <w:rsid w:val="00D23A22"/>
    <w:rsid w:val="00D23A9B"/>
    <w:rsid w:val="00D23BAF"/>
    <w:rsid w:val="00D23CE7"/>
    <w:rsid w:val="00D23DCC"/>
    <w:rsid w:val="00D23E1D"/>
    <w:rsid w:val="00D23E39"/>
    <w:rsid w:val="00D23E87"/>
    <w:rsid w:val="00D23E9C"/>
    <w:rsid w:val="00D23EAC"/>
    <w:rsid w:val="00D23ED3"/>
    <w:rsid w:val="00D2414F"/>
    <w:rsid w:val="00D241ED"/>
    <w:rsid w:val="00D24209"/>
    <w:rsid w:val="00D24233"/>
    <w:rsid w:val="00D2436B"/>
    <w:rsid w:val="00D2437E"/>
    <w:rsid w:val="00D243C0"/>
    <w:rsid w:val="00D2454A"/>
    <w:rsid w:val="00D245F6"/>
    <w:rsid w:val="00D247D5"/>
    <w:rsid w:val="00D24843"/>
    <w:rsid w:val="00D24AA7"/>
    <w:rsid w:val="00D24B11"/>
    <w:rsid w:val="00D24B78"/>
    <w:rsid w:val="00D24E86"/>
    <w:rsid w:val="00D25151"/>
    <w:rsid w:val="00D2534E"/>
    <w:rsid w:val="00D25489"/>
    <w:rsid w:val="00D254E0"/>
    <w:rsid w:val="00D255A2"/>
    <w:rsid w:val="00D256A7"/>
    <w:rsid w:val="00D257D5"/>
    <w:rsid w:val="00D25A61"/>
    <w:rsid w:val="00D25AAD"/>
    <w:rsid w:val="00D25DD8"/>
    <w:rsid w:val="00D25E25"/>
    <w:rsid w:val="00D26036"/>
    <w:rsid w:val="00D26212"/>
    <w:rsid w:val="00D2626A"/>
    <w:rsid w:val="00D263A7"/>
    <w:rsid w:val="00D2646E"/>
    <w:rsid w:val="00D265E5"/>
    <w:rsid w:val="00D26684"/>
    <w:rsid w:val="00D26695"/>
    <w:rsid w:val="00D266D9"/>
    <w:rsid w:val="00D26755"/>
    <w:rsid w:val="00D267B4"/>
    <w:rsid w:val="00D26874"/>
    <w:rsid w:val="00D2696F"/>
    <w:rsid w:val="00D26A26"/>
    <w:rsid w:val="00D26D6A"/>
    <w:rsid w:val="00D26DCC"/>
    <w:rsid w:val="00D26E1E"/>
    <w:rsid w:val="00D26FDD"/>
    <w:rsid w:val="00D27069"/>
    <w:rsid w:val="00D2707D"/>
    <w:rsid w:val="00D270F3"/>
    <w:rsid w:val="00D274CD"/>
    <w:rsid w:val="00D274E8"/>
    <w:rsid w:val="00D27508"/>
    <w:rsid w:val="00D2754E"/>
    <w:rsid w:val="00D277EA"/>
    <w:rsid w:val="00D2787A"/>
    <w:rsid w:val="00D278DC"/>
    <w:rsid w:val="00D27C24"/>
    <w:rsid w:val="00D27CCB"/>
    <w:rsid w:val="00D27EFB"/>
    <w:rsid w:val="00D27F4E"/>
    <w:rsid w:val="00D301F7"/>
    <w:rsid w:val="00D3039A"/>
    <w:rsid w:val="00D30425"/>
    <w:rsid w:val="00D304ED"/>
    <w:rsid w:val="00D30580"/>
    <w:rsid w:val="00D305C0"/>
    <w:rsid w:val="00D306F5"/>
    <w:rsid w:val="00D30791"/>
    <w:rsid w:val="00D308DC"/>
    <w:rsid w:val="00D308EE"/>
    <w:rsid w:val="00D30DAC"/>
    <w:rsid w:val="00D30F24"/>
    <w:rsid w:val="00D30F2C"/>
    <w:rsid w:val="00D30F5B"/>
    <w:rsid w:val="00D30FBC"/>
    <w:rsid w:val="00D311DA"/>
    <w:rsid w:val="00D31280"/>
    <w:rsid w:val="00D31326"/>
    <w:rsid w:val="00D313AC"/>
    <w:rsid w:val="00D314AE"/>
    <w:rsid w:val="00D3158A"/>
    <w:rsid w:val="00D31642"/>
    <w:rsid w:val="00D31654"/>
    <w:rsid w:val="00D31684"/>
    <w:rsid w:val="00D3169F"/>
    <w:rsid w:val="00D31756"/>
    <w:rsid w:val="00D31A19"/>
    <w:rsid w:val="00D31AE1"/>
    <w:rsid w:val="00D31CAD"/>
    <w:rsid w:val="00D31E3E"/>
    <w:rsid w:val="00D3214D"/>
    <w:rsid w:val="00D322C8"/>
    <w:rsid w:val="00D322EA"/>
    <w:rsid w:val="00D32529"/>
    <w:rsid w:val="00D32563"/>
    <w:rsid w:val="00D325AE"/>
    <w:rsid w:val="00D328D5"/>
    <w:rsid w:val="00D32C03"/>
    <w:rsid w:val="00D32C08"/>
    <w:rsid w:val="00D32C4C"/>
    <w:rsid w:val="00D32D5A"/>
    <w:rsid w:val="00D32DAF"/>
    <w:rsid w:val="00D32EA3"/>
    <w:rsid w:val="00D32F23"/>
    <w:rsid w:val="00D32F49"/>
    <w:rsid w:val="00D32FE7"/>
    <w:rsid w:val="00D330CA"/>
    <w:rsid w:val="00D3316D"/>
    <w:rsid w:val="00D3326F"/>
    <w:rsid w:val="00D3339E"/>
    <w:rsid w:val="00D3355B"/>
    <w:rsid w:val="00D335E6"/>
    <w:rsid w:val="00D335EE"/>
    <w:rsid w:val="00D3362D"/>
    <w:rsid w:val="00D336A0"/>
    <w:rsid w:val="00D336CC"/>
    <w:rsid w:val="00D337EF"/>
    <w:rsid w:val="00D33A36"/>
    <w:rsid w:val="00D33AC6"/>
    <w:rsid w:val="00D33AD8"/>
    <w:rsid w:val="00D33AF5"/>
    <w:rsid w:val="00D33B92"/>
    <w:rsid w:val="00D33C7A"/>
    <w:rsid w:val="00D33F07"/>
    <w:rsid w:val="00D34132"/>
    <w:rsid w:val="00D341E5"/>
    <w:rsid w:val="00D34230"/>
    <w:rsid w:val="00D34329"/>
    <w:rsid w:val="00D346C3"/>
    <w:rsid w:val="00D34859"/>
    <w:rsid w:val="00D348CE"/>
    <w:rsid w:val="00D34A15"/>
    <w:rsid w:val="00D34A1B"/>
    <w:rsid w:val="00D34A85"/>
    <w:rsid w:val="00D34AAF"/>
    <w:rsid w:val="00D34B32"/>
    <w:rsid w:val="00D34BD9"/>
    <w:rsid w:val="00D34C6C"/>
    <w:rsid w:val="00D34D77"/>
    <w:rsid w:val="00D34E91"/>
    <w:rsid w:val="00D3502F"/>
    <w:rsid w:val="00D351E1"/>
    <w:rsid w:val="00D3548D"/>
    <w:rsid w:val="00D35534"/>
    <w:rsid w:val="00D35602"/>
    <w:rsid w:val="00D356A8"/>
    <w:rsid w:val="00D35767"/>
    <w:rsid w:val="00D35902"/>
    <w:rsid w:val="00D35BFD"/>
    <w:rsid w:val="00D35DB3"/>
    <w:rsid w:val="00D35EC5"/>
    <w:rsid w:val="00D36012"/>
    <w:rsid w:val="00D3604C"/>
    <w:rsid w:val="00D36072"/>
    <w:rsid w:val="00D360F2"/>
    <w:rsid w:val="00D361C5"/>
    <w:rsid w:val="00D362C1"/>
    <w:rsid w:val="00D3643D"/>
    <w:rsid w:val="00D3646F"/>
    <w:rsid w:val="00D365E9"/>
    <w:rsid w:val="00D366EC"/>
    <w:rsid w:val="00D36717"/>
    <w:rsid w:val="00D36886"/>
    <w:rsid w:val="00D368A3"/>
    <w:rsid w:val="00D369EA"/>
    <w:rsid w:val="00D36B13"/>
    <w:rsid w:val="00D36C52"/>
    <w:rsid w:val="00D36C9D"/>
    <w:rsid w:val="00D36CC1"/>
    <w:rsid w:val="00D36CDE"/>
    <w:rsid w:val="00D36DF7"/>
    <w:rsid w:val="00D36E07"/>
    <w:rsid w:val="00D36E1C"/>
    <w:rsid w:val="00D36FB8"/>
    <w:rsid w:val="00D37075"/>
    <w:rsid w:val="00D3708C"/>
    <w:rsid w:val="00D37574"/>
    <w:rsid w:val="00D3766F"/>
    <w:rsid w:val="00D376CA"/>
    <w:rsid w:val="00D37821"/>
    <w:rsid w:val="00D37882"/>
    <w:rsid w:val="00D378AB"/>
    <w:rsid w:val="00D37959"/>
    <w:rsid w:val="00D37B12"/>
    <w:rsid w:val="00D37BA2"/>
    <w:rsid w:val="00D37C0C"/>
    <w:rsid w:val="00D37E29"/>
    <w:rsid w:val="00D37F55"/>
    <w:rsid w:val="00D37F94"/>
    <w:rsid w:val="00D40132"/>
    <w:rsid w:val="00D401AE"/>
    <w:rsid w:val="00D4029B"/>
    <w:rsid w:val="00D40303"/>
    <w:rsid w:val="00D403FE"/>
    <w:rsid w:val="00D4048A"/>
    <w:rsid w:val="00D40628"/>
    <w:rsid w:val="00D406EC"/>
    <w:rsid w:val="00D4076B"/>
    <w:rsid w:val="00D408EA"/>
    <w:rsid w:val="00D4091E"/>
    <w:rsid w:val="00D409E8"/>
    <w:rsid w:val="00D40C20"/>
    <w:rsid w:val="00D40C95"/>
    <w:rsid w:val="00D40D0F"/>
    <w:rsid w:val="00D40E97"/>
    <w:rsid w:val="00D4104A"/>
    <w:rsid w:val="00D4116A"/>
    <w:rsid w:val="00D4129F"/>
    <w:rsid w:val="00D41344"/>
    <w:rsid w:val="00D4134C"/>
    <w:rsid w:val="00D41378"/>
    <w:rsid w:val="00D4140D"/>
    <w:rsid w:val="00D41548"/>
    <w:rsid w:val="00D4157A"/>
    <w:rsid w:val="00D417D2"/>
    <w:rsid w:val="00D41816"/>
    <w:rsid w:val="00D41873"/>
    <w:rsid w:val="00D419F9"/>
    <w:rsid w:val="00D41A32"/>
    <w:rsid w:val="00D41CD1"/>
    <w:rsid w:val="00D41D2A"/>
    <w:rsid w:val="00D41D2C"/>
    <w:rsid w:val="00D41DA1"/>
    <w:rsid w:val="00D41DDC"/>
    <w:rsid w:val="00D41F54"/>
    <w:rsid w:val="00D4204A"/>
    <w:rsid w:val="00D420D0"/>
    <w:rsid w:val="00D420DB"/>
    <w:rsid w:val="00D42109"/>
    <w:rsid w:val="00D42132"/>
    <w:rsid w:val="00D4226C"/>
    <w:rsid w:val="00D4232E"/>
    <w:rsid w:val="00D4233D"/>
    <w:rsid w:val="00D42354"/>
    <w:rsid w:val="00D4253F"/>
    <w:rsid w:val="00D427B4"/>
    <w:rsid w:val="00D4288B"/>
    <w:rsid w:val="00D42953"/>
    <w:rsid w:val="00D42AC2"/>
    <w:rsid w:val="00D42D14"/>
    <w:rsid w:val="00D42F26"/>
    <w:rsid w:val="00D42F7D"/>
    <w:rsid w:val="00D43088"/>
    <w:rsid w:val="00D433A9"/>
    <w:rsid w:val="00D433B9"/>
    <w:rsid w:val="00D4343B"/>
    <w:rsid w:val="00D4343F"/>
    <w:rsid w:val="00D43578"/>
    <w:rsid w:val="00D43631"/>
    <w:rsid w:val="00D4369C"/>
    <w:rsid w:val="00D437AE"/>
    <w:rsid w:val="00D437C2"/>
    <w:rsid w:val="00D43A1E"/>
    <w:rsid w:val="00D43A62"/>
    <w:rsid w:val="00D43C86"/>
    <w:rsid w:val="00D43CE9"/>
    <w:rsid w:val="00D43D53"/>
    <w:rsid w:val="00D43D58"/>
    <w:rsid w:val="00D43DF3"/>
    <w:rsid w:val="00D43E8B"/>
    <w:rsid w:val="00D440D2"/>
    <w:rsid w:val="00D44111"/>
    <w:rsid w:val="00D441C3"/>
    <w:rsid w:val="00D44237"/>
    <w:rsid w:val="00D4436C"/>
    <w:rsid w:val="00D4437C"/>
    <w:rsid w:val="00D44657"/>
    <w:rsid w:val="00D448D2"/>
    <w:rsid w:val="00D44AE8"/>
    <w:rsid w:val="00D44B38"/>
    <w:rsid w:val="00D44C5D"/>
    <w:rsid w:val="00D44DE9"/>
    <w:rsid w:val="00D44EFA"/>
    <w:rsid w:val="00D44F33"/>
    <w:rsid w:val="00D44F76"/>
    <w:rsid w:val="00D4504D"/>
    <w:rsid w:val="00D45104"/>
    <w:rsid w:val="00D453F4"/>
    <w:rsid w:val="00D454D8"/>
    <w:rsid w:val="00D45535"/>
    <w:rsid w:val="00D455FE"/>
    <w:rsid w:val="00D456EB"/>
    <w:rsid w:val="00D45793"/>
    <w:rsid w:val="00D4580D"/>
    <w:rsid w:val="00D458F4"/>
    <w:rsid w:val="00D4594E"/>
    <w:rsid w:val="00D45980"/>
    <w:rsid w:val="00D459BC"/>
    <w:rsid w:val="00D45A10"/>
    <w:rsid w:val="00D45DB7"/>
    <w:rsid w:val="00D45DF2"/>
    <w:rsid w:val="00D45EBF"/>
    <w:rsid w:val="00D45ED8"/>
    <w:rsid w:val="00D45F5C"/>
    <w:rsid w:val="00D45F8F"/>
    <w:rsid w:val="00D45FE9"/>
    <w:rsid w:val="00D4629E"/>
    <w:rsid w:val="00D462EF"/>
    <w:rsid w:val="00D464DD"/>
    <w:rsid w:val="00D4652F"/>
    <w:rsid w:val="00D46621"/>
    <w:rsid w:val="00D466B6"/>
    <w:rsid w:val="00D4672A"/>
    <w:rsid w:val="00D46742"/>
    <w:rsid w:val="00D46925"/>
    <w:rsid w:val="00D46A43"/>
    <w:rsid w:val="00D46C44"/>
    <w:rsid w:val="00D46C4B"/>
    <w:rsid w:val="00D46FA8"/>
    <w:rsid w:val="00D46FD9"/>
    <w:rsid w:val="00D470EF"/>
    <w:rsid w:val="00D4715C"/>
    <w:rsid w:val="00D472BD"/>
    <w:rsid w:val="00D472CA"/>
    <w:rsid w:val="00D4736D"/>
    <w:rsid w:val="00D4739F"/>
    <w:rsid w:val="00D4747B"/>
    <w:rsid w:val="00D4758A"/>
    <w:rsid w:val="00D47987"/>
    <w:rsid w:val="00D47BB7"/>
    <w:rsid w:val="00D47D77"/>
    <w:rsid w:val="00D47E07"/>
    <w:rsid w:val="00D47E38"/>
    <w:rsid w:val="00D47EAC"/>
    <w:rsid w:val="00D47EBE"/>
    <w:rsid w:val="00D47EF1"/>
    <w:rsid w:val="00D50093"/>
    <w:rsid w:val="00D501D0"/>
    <w:rsid w:val="00D50396"/>
    <w:rsid w:val="00D50644"/>
    <w:rsid w:val="00D5079B"/>
    <w:rsid w:val="00D50825"/>
    <w:rsid w:val="00D50A63"/>
    <w:rsid w:val="00D50C0A"/>
    <w:rsid w:val="00D50EC1"/>
    <w:rsid w:val="00D5116F"/>
    <w:rsid w:val="00D513A7"/>
    <w:rsid w:val="00D5141F"/>
    <w:rsid w:val="00D51602"/>
    <w:rsid w:val="00D51A29"/>
    <w:rsid w:val="00D51A68"/>
    <w:rsid w:val="00D51B94"/>
    <w:rsid w:val="00D51BD0"/>
    <w:rsid w:val="00D51C27"/>
    <w:rsid w:val="00D51D67"/>
    <w:rsid w:val="00D51D87"/>
    <w:rsid w:val="00D51E13"/>
    <w:rsid w:val="00D51EE3"/>
    <w:rsid w:val="00D51F90"/>
    <w:rsid w:val="00D51FD6"/>
    <w:rsid w:val="00D520E2"/>
    <w:rsid w:val="00D52168"/>
    <w:rsid w:val="00D521AF"/>
    <w:rsid w:val="00D521F3"/>
    <w:rsid w:val="00D52293"/>
    <w:rsid w:val="00D524E0"/>
    <w:rsid w:val="00D526F6"/>
    <w:rsid w:val="00D52772"/>
    <w:rsid w:val="00D5277E"/>
    <w:rsid w:val="00D529E7"/>
    <w:rsid w:val="00D52A4C"/>
    <w:rsid w:val="00D52AC7"/>
    <w:rsid w:val="00D52B60"/>
    <w:rsid w:val="00D52BB5"/>
    <w:rsid w:val="00D52DFD"/>
    <w:rsid w:val="00D52EEA"/>
    <w:rsid w:val="00D53228"/>
    <w:rsid w:val="00D53238"/>
    <w:rsid w:val="00D5338E"/>
    <w:rsid w:val="00D53440"/>
    <w:rsid w:val="00D537BC"/>
    <w:rsid w:val="00D5385C"/>
    <w:rsid w:val="00D53864"/>
    <w:rsid w:val="00D5398F"/>
    <w:rsid w:val="00D53A06"/>
    <w:rsid w:val="00D53A9E"/>
    <w:rsid w:val="00D53C39"/>
    <w:rsid w:val="00D53CBE"/>
    <w:rsid w:val="00D53D1C"/>
    <w:rsid w:val="00D53E8F"/>
    <w:rsid w:val="00D54182"/>
    <w:rsid w:val="00D5418D"/>
    <w:rsid w:val="00D541A1"/>
    <w:rsid w:val="00D5427E"/>
    <w:rsid w:val="00D5456B"/>
    <w:rsid w:val="00D54749"/>
    <w:rsid w:val="00D547AC"/>
    <w:rsid w:val="00D548AD"/>
    <w:rsid w:val="00D54C73"/>
    <w:rsid w:val="00D54D38"/>
    <w:rsid w:val="00D54D71"/>
    <w:rsid w:val="00D54DF3"/>
    <w:rsid w:val="00D54E12"/>
    <w:rsid w:val="00D5505F"/>
    <w:rsid w:val="00D55123"/>
    <w:rsid w:val="00D5523D"/>
    <w:rsid w:val="00D5555A"/>
    <w:rsid w:val="00D55808"/>
    <w:rsid w:val="00D55AC7"/>
    <w:rsid w:val="00D55B5B"/>
    <w:rsid w:val="00D55C51"/>
    <w:rsid w:val="00D55CC9"/>
    <w:rsid w:val="00D55CF6"/>
    <w:rsid w:val="00D55DD3"/>
    <w:rsid w:val="00D55E12"/>
    <w:rsid w:val="00D56051"/>
    <w:rsid w:val="00D5613B"/>
    <w:rsid w:val="00D56150"/>
    <w:rsid w:val="00D5615A"/>
    <w:rsid w:val="00D5615F"/>
    <w:rsid w:val="00D562C8"/>
    <w:rsid w:val="00D562FB"/>
    <w:rsid w:val="00D5644C"/>
    <w:rsid w:val="00D56909"/>
    <w:rsid w:val="00D569C2"/>
    <w:rsid w:val="00D56A17"/>
    <w:rsid w:val="00D56AEC"/>
    <w:rsid w:val="00D56CF3"/>
    <w:rsid w:val="00D56DC0"/>
    <w:rsid w:val="00D56E6E"/>
    <w:rsid w:val="00D56EA7"/>
    <w:rsid w:val="00D56EED"/>
    <w:rsid w:val="00D570B7"/>
    <w:rsid w:val="00D5718A"/>
    <w:rsid w:val="00D571F8"/>
    <w:rsid w:val="00D57279"/>
    <w:rsid w:val="00D572BC"/>
    <w:rsid w:val="00D572FB"/>
    <w:rsid w:val="00D5732F"/>
    <w:rsid w:val="00D57342"/>
    <w:rsid w:val="00D573F8"/>
    <w:rsid w:val="00D57509"/>
    <w:rsid w:val="00D576AE"/>
    <w:rsid w:val="00D577C6"/>
    <w:rsid w:val="00D57945"/>
    <w:rsid w:val="00D57A17"/>
    <w:rsid w:val="00D57ACD"/>
    <w:rsid w:val="00D57C6A"/>
    <w:rsid w:val="00D60094"/>
    <w:rsid w:val="00D60273"/>
    <w:rsid w:val="00D6029A"/>
    <w:rsid w:val="00D602B2"/>
    <w:rsid w:val="00D60649"/>
    <w:rsid w:val="00D6079A"/>
    <w:rsid w:val="00D60938"/>
    <w:rsid w:val="00D60A0A"/>
    <w:rsid w:val="00D60AB7"/>
    <w:rsid w:val="00D60B89"/>
    <w:rsid w:val="00D60CB9"/>
    <w:rsid w:val="00D60D4F"/>
    <w:rsid w:val="00D60DD7"/>
    <w:rsid w:val="00D60E33"/>
    <w:rsid w:val="00D60E36"/>
    <w:rsid w:val="00D60E80"/>
    <w:rsid w:val="00D60EC4"/>
    <w:rsid w:val="00D60EFD"/>
    <w:rsid w:val="00D6106A"/>
    <w:rsid w:val="00D61171"/>
    <w:rsid w:val="00D61453"/>
    <w:rsid w:val="00D617C5"/>
    <w:rsid w:val="00D619D1"/>
    <w:rsid w:val="00D61E0F"/>
    <w:rsid w:val="00D61E88"/>
    <w:rsid w:val="00D61ECF"/>
    <w:rsid w:val="00D61F6E"/>
    <w:rsid w:val="00D61F9A"/>
    <w:rsid w:val="00D62098"/>
    <w:rsid w:val="00D621BE"/>
    <w:rsid w:val="00D622AB"/>
    <w:rsid w:val="00D62378"/>
    <w:rsid w:val="00D623E8"/>
    <w:rsid w:val="00D625E6"/>
    <w:rsid w:val="00D625F7"/>
    <w:rsid w:val="00D626AC"/>
    <w:rsid w:val="00D62713"/>
    <w:rsid w:val="00D6282E"/>
    <w:rsid w:val="00D628CF"/>
    <w:rsid w:val="00D62921"/>
    <w:rsid w:val="00D629AA"/>
    <w:rsid w:val="00D62A77"/>
    <w:rsid w:val="00D62BD6"/>
    <w:rsid w:val="00D62C58"/>
    <w:rsid w:val="00D6319A"/>
    <w:rsid w:val="00D6338D"/>
    <w:rsid w:val="00D6348B"/>
    <w:rsid w:val="00D63602"/>
    <w:rsid w:val="00D63685"/>
    <w:rsid w:val="00D636F1"/>
    <w:rsid w:val="00D637D3"/>
    <w:rsid w:val="00D637F1"/>
    <w:rsid w:val="00D63AF5"/>
    <w:rsid w:val="00D63B3E"/>
    <w:rsid w:val="00D63D0A"/>
    <w:rsid w:val="00D63E38"/>
    <w:rsid w:val="00D640DC"/>
    <w:rsid w:val="00D6437A"/>
    <w:rsid w:val="00D64425"/>
    <w:rsid w:val="00D644FD"/>
    <w:rsid w:val="00D6454F"/>
    <w:rsid w:val="00D645AC"/>
    <w:rsid w:val="00D645FF"/>
    <w:rsid w:val="00D648AF"/>
    <w:rsid w:val="00D64E2A"/>
    <w:rsid w:val="00D64E4C"/>
    <w:rsid w:val="00D64ED5"/>
    <w:rsid w:val="00D64F5E"/>
    <w:rsid w:val="00D64F9E"/>
    <w:rsid w:val="00D64FB3"/>
    <w:rsid w:val="00D65230"/>
    <w:rsid w:val="00D652CE"/>
    <w:rsid w:val="00D65545"/>
    <w:rsid w:val="00D6558F"/>
    <w:rsid w:val="00D65698"/>
    <w:rsid w:val="00D6578F"/>
    <w:rsid w:val="00D657DA"/>
    <w:rsid w:val="00D65930"/>
    <w:rsid w:val="00D659E2"/>
    <w:rsid w:val="00D65A5D"/>
    <w:rsid w:val="00D65A81"/>
    <w:rsid w:val="00D65BEF"/>
    <w:rsid w:val="00D65CD0"/>
    <w:rsid w:val="00D65E57"/>
    <w:rsid w:val="00D65F16"/>
    <w:rsid w:val="00D65FB1"/>
    <w:rsid w:val="00D6616F"/>
    <w:rsid w:val="00D661E7"/>
    <w:rsid w:val="00D663FE"/>
    <w:rsid w:val="00D664E9"/>
    <w:rsid w:val="00D6650A"/>
    <w:rsid w:val="00D66673"/>
    <w:rsid w:val="00D66749"/>
    <w:rsid w:val="00D66824"/>
    <w:rsid w:val="00D669EE"/>
    <w:rsid w:val="00D66A0D"/>
    <w:rsid w:val="00D66AD5"/>
    <w:rsid w:val="00D66B14"/>
    <w:rsid w:val="00D66C1A"/>
    <w:rsid w:val="00D66C3F"/>
    <w:rsid w:val="00D66CBC"/>
    <w:rsid w:val="00D66D98"/>
    <w:rsid w:val="00D66E0C"/>
    <w:rsid w:val="00D67158"/>
    <w:rsid w:val="00D67380"/>
    <w:rsid w:val="00D67406"/>
    <w:rsid w:val="00D6740B"/>
    <w:rsid w:val="00D6741C"/>
    <w:rsid w:val="00D674E3"/>
    <w:rsid w:val="00D675B3"/>
    <w:rsid w:val="00D67765"/>
    <w:rsid w:val="00D67776"/>
    <w:rsid w:val="00D6793F"/>
    <w:rsid w:val="00D67961"/>
    <w:rsid w:val="00D67B8D"/>
    <w:rsid w:val="00D67C52"/>
    <w:rsid w:val="00D67CBB"/>
    <w:rsid w:val="00D67D3A"/>
    <w:rsid w:val="00D70130"/>
    <w:rsid w:val="00D7015C"/>
    <w:rsid w:val="00D70200"/>
    <w:rsid w:val="00D7022A"/>
    <w:rsid w:val="00D702E4"/>
    <w:rsid w:val="00D7032C"/>
    <w:rsid w:val="00D70384"/>
    <w:rsid w:val="00D7053B"/>
    <w:rsid w:val="00D70691"/>
    <w:rsid w:val="00D706D1"/>
    <w:rsid w:val="00D706D4"/>
    <w:rsid w:val="00D707EB"/>
    <w:rsid w:val="00D70907"/>
    <w:rsid w:val="00D70929"/>
    <w:rsid w:val="00D709DD"/>
    <w:rsid w:val="00D709F1"/>
    <w:rsid w:val="00D70A56"/>
    <w:rsid w:val="00D70B63"/>
    <w:rsid w:val="00D70CDA"/>
    <w:rsid w:val="00D71229"/>
    <w:rsid w:val="00D7143C"/>
    <w:rsid w:val="00D7146A"/>
    <w:rsid w:val="00D714FC"/>
    <w:rsid w:val="00D71617"/>
    <w:rsid w:val="00D716DD"/>
    <w:rsid w:val="00D719CF"/>
    <w:rsid w:val="00D71A0E"/>
    <w:rsid w:val="00D71D52"/>
    <w:rsid w:val="00D71E2A"/>
    <w:rsid w:val="00D71E5E"/>
    <w:rsid w:val="00D7208B"/>
    <w:rsid w:val="00D720C4"/>
    <w:rsid w:val="00D7213C"/>
    <w:rsid w:val="00D72499"/>
    <w:rsid w:val="00D72530"/>
    <w:rsid w:val="00D725C2"/>
    <w:rsid w:val="00D725DC"/>
    <w:rsid w:val="00D728B4"/>
    <w:rsid w:val="00D728D6"/>
    <w:rsid w:val="00D729CD"/>
    <w:rsid w:val="00D729D1"/>
    <w:rsid w:val="00D72A26"/>
    <w:rsid w:val="00D72C1A"/>
    <w:rsid w:val="00D72C8F"/>
    <w:rsid w:val="00D72CEA"/>
    <w:rsid w:val="00D72D18"/>
    <w:rsid w:val="00D72D36"/>
    <w:rsid w:val="00D72D81"/>
    <w:rsid w:val="00D72E9C"/>
    <w:rsid w:val="00D72F34"/>
    <w:rsid w:val="00D72F5C"/>
    <w:rsid w:val="00D7302E"/>
    <w:rsid w:val="00D73060"/>
    <w:rsid w:val="00D734BE"/>
    <w:rsid w:val="00D73631"/>
    <w:rsid w:val="00D7375B"/>
    <w:rsid w:val="00D737C8"/>
    <w:rsid w:val="00D7386B"/>
    <w:rsid w:val="00D73A9F"/>
    <w:rsid w:val="00D73ADD"/>
    <w:rsid w:val="00D73D64"/>
    <w:rsid w:val="00D73E4C"/>
    <w:rsid w:val="00D73FE3"/>
    <w:rsid w:val="00D740A0"/>
    <w:rsid w:val="00D740B6"/>
    <w:rsid w:val="00D74122"/>
    <w:rsid w:val="00D742DD"/>
    <w:rsid w:val="00D7458F"/>
    <w:rsid w:val="00D74630"/>
    <w:rsid w:val="00D74670"/>
    <w:rsid w:val="00D74699"/>
    <w:rsid w:val="00D74741"/>
    <w:rsid w:val="00D74781"/>
    <w:rsid w:val="00D74810"/>
    <w:rsid w:val="00D74891"/>
    <w:rsid w:val="00D748B7"/>
    <w:rsid w:val="00D74A20"/>
    <w:rsid w:val="00D74AC7"/>
    <w:rsid w:val="00D74BCB"/>
    <w:rsid w:val="00D74CE8"/>
    <w:rsid w:val="00D74F84"/>
    <w:rsid w:val="00D7524B"/>
    <w:rsid w:val="00D752E4"/>
    <w:rsid w:val="00D753A2"/>
    <w:rsid w:val="00D7543D"/>
    <w:rsid w:val="00D754B3"/>
    <w:rsid w:val="00D754EC"/>
    <w:rsid w:val="00D754EE"/>
    <w:rsid w:val="00D75689"/>
    <w:rsid w:val="00D756E5"/>
    <w:rsid w:val="00D758AE"/>
    <w:rsid w:val="00D75AFB"/>
    <w:rsid w:val="00D75D4E"/>
    <w:rsid w:val="00D75D99"/>
    <w:rsid w:val="00D75DF9"/>
    <w:rsid w:val="00D76059"/>
    <w:rsid w:val="00D760F4"/>
    <w:rsid w:val="00D76159"/>
    <w:rsid w:val="00D7618E"/>
    <w:rsid w:val="00D76258"/>
    <w:rsid w:val="00D76288"/>
    <w:rsid w:val="00D764A9"/>
    <w:rsid w:val="00D764AE"/>
    <w:rsid w:val="00D76A20"/>
    <w:rsid w:val="00D76B59"/>
    <w:rsid w:val="00D76C9E"/>
    <w:rsid w:val="00D76D24"/>
    <w:rsid w:val="00D76D47"/>
    <w:rsid w:val="00D76D52"/>
    <w:rsid w:val="00D76DAB"/>
    <w:rsid w:val="00D76ED5"/>
    <w:rsid w:val="00D771D2"/>
    <w:rsid w:val="00D772B0"/>
    <w:rsid w:val="00D77650"/>
    <w:rsid w:val="00D778B1"/>
    <w:rsid w:val="00D77943"/>
    <w:rsid w:val="00D77A7A"/>
    <w:rsid w:val="00D77A9F"/>
    <w:rsid w:val="00D77C40"/>
    <w:rsid w:val="00D77E58"/>
    <w:rsid w:val="00D77EA1"/>
    <w:rsid w:val="00D77F2D"/>
    <w:rsid w:val="00D77F37"/>
    <w:rsid w:val="00D80176"/>
    <w:rsid w:val="00D802F3"/>
    <w:rsid w:val="00D803E3"/>
    <w:rsid w:val="00D80420"/>
    <w:rsid w:val="00D80465"/>
    <w:rsid w:val="00D806BB"/>
    <w:rsid w:val="00D807D6"/>
    <w:rsid w:val="00D80994"/>
    <w:rsid w:val="00D80A3B"/>
    <w:rsid w:val="00D80BAD"/>
    <w:rsid w:val="00D80CD4"/>
    <w:rsid w:val="00D80DE3"/>
    <w:rsid w:val="00D80F37"/>
    <w:rsid w:val="00D80FF4"/>
    <w:rsid w:val="00D81045"/>
    <w:rsid w:val="00D812C8"/>
    <w:rsid w:val="00D813DB"/>
    <w:rsid w:val="00D81473"/>
    <w:rsid w:val="00D81587"/>
    <w:rsid w:val="00D815E4"/>
    <w:rsid w:val="00D816C2"/>
    <w:rsid w:val="00D816E8"/>
    <w:rsid w:val="00D81972"/>
    <w:rsid w:val="00D819AC"/>
    <w:rsid w:val="00D81BB8"/>
    <w:rsid w:val="00D81FC0"/>
    <w:rsid w:val="00D82046"/>
    <w:rsid w:val="00D82070"/>
    <w:rsid w:val="00D82130"/>
    <w:rsid w:val="00D8259A"/>
    <w:rsid w:val="00D82669"/>
    <w:rsid w:val="00D82738"/>
    <w:rsid w:val="00D827B5"/>
    <w:rsid w:val="00D82918"/>
    <w:rsid w:val="00D82C32"/>
    <w:rsid w:val="00D82D06"/>
    <w:rsid w:val="00D82F67"/>
    <w:rsid w:val="00D83087"/>
    <w:rsid w:val="00D830E7"/>
    <w:rsid w:val="00D83148"/>
    <w:rsid w:val="00D83388"/>
    <w:rsid w:val="00D83609"/>
    <w:rsid w:val="00D83720"/>
    <w:rsid w:val="00D83722"/>
    <w:rsid w:val="00D837AC"/>
    <w:rsid w:val="00D83827"/>
    <w:rsid w:val="00D83923"/>
    <w:rsid w:val="00D83984"/>
    <w:rsid w:val="00D83A1E"/>
    <w:rsid w:val="00D83A2B"/>
    <w:rsid w:val="00D83A74"/>
    <w:rsid w:val="00D83B38"/>
    <w:rsid w:val="00D83BC3"/>
    <w:rsid w:val="00D83C3D"/>
    <w:rsid w:val="00D83C73"/>
    <w:rsid w:val="00D83D74"/>
    <w:rsid w:val="00D83E8D"/>
    <w:rsid w:val="00D83F1C"/>
    <w:rsid w:val="00D83F5C"/>
    <w:rsid w:val="00D84274"/>
    <w:rsid w:val="00D84281"/>
    <w:rsid w:val="00D8433A"/>
    <w:rsid w:val="00D843A9"/>
    <w:rsid w:val="00D8448F"/>
    <w:rsid w:val="00D844ED"/>
    <w:rsid w:val="00D844EF"/>
    <w:rsid w:val="00D8456A"/>
    <w:rsid w:val="00D845A9"/>
    <w:rsid w:val="00D8464C"/>
    <w:rsid w:val="00D846CD"/>
    <w:rsid w:val="00D847B8"/>
    <w:rsid w:val="00D8486D"/>
    <w:rsid w:val="00D84872"/>
    <w:rsid w:val="00D84A10"/>
    <w:rsid w:val="00D84B01"/>
    <w:rsid w:val="00D84B1F"/>
    <w:rsid w:val="00D84BFC"/>
    <w:rsid w:val="00D84C54"/>
    <w:rsid w:val="00D84D3E"/>
    <w:rsid w:val="00D84D59"/>
    <w:rsid w:val="00D84FAE"/>
    <w:rsid w:val="00D84FB3"/>
    <w:rsid w:val="00D85136"/>
    <w:rsid w:val="00D8520F"/>
    <w:rsid w:val="00D8541F"/>
    <w:rsid w:val="00D858B0"/>
    <w:rsid w:val="00D858DC"/>
    <w:rsid w:val="00D85979"/>
    <w:rsid w:val="00D85A0C"/>
    <w:rsid w:val="00D85A30"/>
    <w:rsid w:val="00D85A59"/>
    <w:rsid w:val="00D85AEB"/>
    <w:rsid w:val="00D85C47"/>
    <w:rsid w:val="00D85D4D"/>
    <w:rsid w:val="00D85D5E"/>
    <w:rsid w:val="00D85E15"/>
    <w:rsid w:val="00D85E75"/>
    <w:rsid w:val="00D861C0"/>
    <w:rsid w:val="00D862E5"/>
    <w:rsid w:val="00D86440"/>
    <w:rsid w:val="00D864FE"/>
    <w:rsid w:val="00D865BD"/>
    <w:rsid w:val="00D865FF"/>
    <w:rsid w:val="00D866AE"/>
    <w:rsid w:val="00D8673A"/>
    <w:rsid w:val="00D86747"/>
    <w:rsid w:val="00D867DD"/>
    <w:rsid w:val="00D8685B"/>
    <w:rsid w:val="00D86B49"/>
    <w:rsid w:val="00D86C40"/>
    <w:rsid w:val="00D86DB6"/>
    <w:rsid w:val="00D86F9A"/>
    <w:rsid w:val="00D870AC"/>
    <w:rsid w:val="00D8710D"/>
    <w:rsid w:val="00D87150"/>
    <w:rsid w:val="00D8720B"/>
    <w:rsid w:val="00D8720F"/>
    <w:rsid w:val="00D87318"/>
    <w:rsid w:val="00D8734A"/>
    <w:rsid w:val="00D876A9"/>
    <w:rsid w:val="00D87831"/>
    <w:rsid w:val="00D87874"/>
    <w:rsid w:val="00D879F1"/>
    <w:rsid w:val="00D87A9D"/>
    <w:rsid w:val="00D87E2A"/>
    <w:rsid w:val="00D87EB4"/>
    <w:rsid w:val="00D87EF4"/>
    <w:rsid w:val="00D87F4C"/>
    <w:rsid w:val="00D90311"/>
    <w:rsid w:val="00D90314"/>
    <w:rsid w:val="00D905CA"/>
    <w:rsid w:val="00D90652"/>
    <w:rsid w:val="00D90693"/>
    <w:rsid w:val="00D909C5"/>
    <w:rsid w:val="00D90AC7"/>
    <w:rsid w:val="00D90BE1"/>
    <w:rsid w:val="00D90EBB"/>
    <w:rsid w:val="00D90F24"/>
    <w:rsid w:val="00D91073"/>
    <w:rsid w:val="00D910F2"/>
    <w:rsid w:val="00D91150"/>
    <w:rsid w:val="00D91367"/>
    <w:rsid w:val="00D91388"/>
    <w:rsid w:val="00D91390"/>
    <w:rsid w:val="00D9149B"/>
    <w:rsid w:val="00D914D2"/>
    <w:rsid w:val="00D91556"/>
    <w:rsid w:val="00D915DA"/>
    <w:rsid w:val="00D91644"/>
    <w:rsid w:val="00D91788"/>
    <w:rsid w:val="00D91844"/>
    <w:rsid w:val="00D918E7"/>
    <w:rsid w:val="00D9198B"/>
    <w:rsid w:val="00D91B71"/>
    <w:rsid w:val="00D91BCF"/>
    <w:rsid w:val="00D91D60"/>
    <w:rsid w:val="00D91E25"/>
    <w:rsid w:val="00D91F27"/>
    <w:rsid w:val="00D923F8"/>
    <w:rsid w:val="00D92462"/>
    <w:rsid w:val="00D9247B"/>
    <w:rsid w:val="00D924B6"/>
    <w:rsid w:val="00D92501"/>
    <w:rsid w:val="00D92562"/>
    <w:rsid w:val="00D92641"/>
    <w:rsid w:val="00D92779"/>
    <w:rsid w:val="00D927A4"/>
    <w:rsid w:val="00D92849"/>
    <w:rsid w:val="00D92A5D"/>
    <w:rsid w:val="00D92A91"/>
    <w:rsid w:val="00D92AC9"/>
    <w:rsid w:val="00D92B27"/>
    <w:rsid w:val="00D92C00"/>
    <w:rsid w:val="00D92C42"/>
    <w:rsid w:val="00D92CC0"/>
    <w:rsid w:val="00D92CD5"/>
    <w:rsid w:val="00D92CDE"/>
    <w:rsid w:val="00D92D00"/>
    <w:rsid w:val="00D92D9E"/>
    <w:rsid w:val="00D92FAA"/>
    <w:rsid w:val="00D92FAB"/>
    <w:rsid w:val="00D92FC3"/>
    <w:rsid w:val="00D93146"/>
    <w:rsid w:val="00D93150"/>
    <w:rsid w:val="00D93186"/>
    <w:rsid w:val="00D9334D"/>
    <w:rsid w:val="00D933C7"/>
    <w:rsid w:val="00D9355B"/>
    <w:rsid w:val="00D93695"/>
    <w:rsid w:val="00D9369E"/>
    <w:rsid w:val="00D937E9"/>
    <w:rsid w:val="00D937F4"/>
    <w:rsid w:val="00D93839"/>
    <w:rsid w:val="00D938BB"/>
    <w:rsid w:val="00D93A28"/>
    <w:rsid w:val="00D93B80"/>
    <w:rsid w:val="00D93BE2"/>
    <w:rsid w:val="00D93C57"/>
    <w:rsid w:val="00D94039"/>
    <w:rsid w:val="00D9403A"/>
    <w:rsid w:val="00D9419D"/>
    <w:rsid w:val="00D94275"/>
    <w:rsid w:val="00D9434F"/>
    <w:rsid w:val="00D94498"/>
    <w:rsid w:val="00D944CA"/>
    <w:rsid w:val="00D9460D"/>
    <w:rsid w:val="00D94762"/>
    <w:rsid w:val="00D9484C"/>
    <w:rsid w:val="00D9497D"/>
    <w:rsid w:val="00D949E2"/>
    <w:rsid w:val="00D94A90"/>
    <w:rsid w:val="00D94CA8"/>
    <w:rsid w:val="00D94D4F"/>
    <w:rsid w:val="00D94E0D"/>
    <w:rsid w:val="00D94F20"/>
    <w:rsid w:val="00D950CD"/>
    <w:rsid w:val="00D9519A"/>
    <w:rsid w:val="00D95313"/>
    <w:rsid w:val="00D9538A"/>
    <w:rsid w:val="00D954A6"/>
    <w:rsid w:val="00D954C0"/>
    <w:rsid w:val="00D95693"/>
    <w:rsid w:val="00D95792"/>
    <w:rsid w:val="00D957CE"/>
    <w:rsid w:val="00D95933"/>
    <w:rsid w:val="00D959A9"/>
    <w:rsid w:val="00D95CD7"/>
    <w:rsid w:val="00D95D4C"/>
    <w:rsid w:val="00D95DB8"/>
    <w:rsid w:val="00D95DB9"/>
    <w:rsid w:val="00D95E31"/>
    <w:rsid w:val="00D95ED6"/>
    <w:rsid w:val="00D9602D"/>
    <w:rsid w:val="00D9603C"/>
    <w:rsid w:val="00D96072"/>
    <w:rsid w:val="00D9629D"/>
    <w:rsid w:val="00D963CD"/>
    <w:rsid w:val="00D964CD"/>
    <w:rsid w:val="00D96587"/>
    <w:rsid w:val="00D966D6"/>
    <w:rsid w:val="00D967A4"/>
    <w:rsid w:val="00D967C9"/>
    <w:rsid w:val="00D96A0A"/>
    <w:rsid w:val="00D96AA5"/>
    <w:rsid w:val="00D96B29"/>
    <w:rsid w:val="00D96C23"/>
    <w:rsid w:val="00D96CED"/>
    <w:rsid w:val="00D96D67"/>
    <w:rsid w:val="00D96DF6"/>
    <w:rsid w:val="00D96E81"/>
    <w:rsid w:val="00D96F65"/>
    <w:rsid w:val="00D96FF2"/>
    <w:rsid w:val="00D96FF9"/>
    <w:rsid w:val="00D9714C"/>
    <w:rsid w:val="00D97290"/>
    <w:rsid w:val="00D97298"/>
    <w:rsid w:val="00D974E5"/>
    <w:rsid w:val="00D9755F"/>
    <w:rsid w:val="00D9756C"/>
    <w:rsid w:val="00D97809"/>
    <w:rsid w:val="00D979BF"/>
    <w:rsid w:val="00D979DA"/>
    <w:rsid w:val="00D97C4A"/>
    <w:rsid w:val="00D97D88"/>
    <w:rsid w:val="00D97DA2"/>
    <w:rsid w:val="00D97E0B"/>
    <w:rsid w:val="00DA0002"/>
    <w:rsid w:val="00DA0019"/>
    <w:rsid w:val="00DA01DC"/>
    <w:rsid w:val="00DA039D"/>
    <w:rsid w:val="00DA0459"/>
    <w:rsid w:val="00DA052A"/>
    <w:rsid w:val="00DA05D2"/>
    <w:rsid w:val="00DA066D"/>
    <w:rsid w:val="00DA06C8"/>
    <w:rsid w:val="00DA073C"/>
    <w:rsid w:val="00DA0780"/>
    <w:rsid w:val="00DA08E3"/>
    <w:rsid w:val="00DA0996"/>
    <w:rsid w:val="00DA09B3"/>
    <w:rsid w:val="00DA09BB"/>
    <w:rsid w:val="00DA0B06"/>
    <w:rsid w:val="00DA0D95"/>
    <w:rsid w:val="00DA0DF0"/>
    <w:rsid w:val="00DA0E43"/>
    <w:rsid w:val="00DA0E59"/>
    <w:rsid w:val="00DA1067"/>
    <w:rsid w:val="00DA136C"/>
    <w:rsid w:val="00DA13B7"/>
    <w:rsid w:val="00DA151E"/>
    <w:rsid w:val="00DA16C4"/>
    <w:rsid w:val="00DA177B"/>
    <w:rsid w:val="00DA1861"/>
    <w:rsid w:val="00DA19FA"/>
    <w:rsid w:val="00DA1A7D"/>
    <w:rsid w:val="00DA1B9E"/>
    <w:rsid w:val="00DA1C33"/>
    <w:rsid w:val="00DA1CBE"/>
    <w:rsid w:val="00DA1DC2"/>
    <w:rsid w:val="00DA1DD3"/>
    <w:rsid w:val="00DA1E19"/>
    <w:rsid w:val="00DA1E95"/>
    <w:rsid w:val="00DA1FE1"/>
    <w:rsid w:val="00DA2001"/>
    <w:rsid w:val="00DA20CE"/>
    <w:rsid w:val="00DA232A"/>
    <w:rsid w:val="00DA2401"/>
    <w:rsid w:val="00DA25EA"/>
    <w:rsid w:val="00DA2770"/>
    <w:rsid w:val="00DA2858"/>
    <w:rsid w:val="00DA2BC2"/>
    <w:rsid w:val="00DA2DF5"/>
    <w:rsid w:val="00DA2E6D"/>
    <w:rsid w:val="00DA2E99"/>
    <w:rsid w:val="00DA2F89"/>
    <w:rsid w:val="00DA2FEC"/>
    <w:rsid w:val="00DA3017"/>
    <w:rsid w:val="00DA3363"/>
    <w:rsid w:val="00DA34FF"/>
    <w:rsid w:val="00DA3510"/>
    <w:rsid w:val="00DA3532"/>
    <w:rsid w:val="00DA369B"/>
    <w:rsid w:val="00DA3739"/>
    <w:rsid w:val="00DA386C"/>
    <w:rsid w:val="00DA3915"/>
    <w:rsid w:val="00DA3970"/>
    <w:rsid w:val="00DA39A9"/>
    <w:rsid w:val="00DA3A70"/>
    <w:rsid w:val="00DA3A71"/>
    <w:rsid w:val="00DA3AD4"/>
    <w:rsid w:val="00DA3AED"/>
    <w:rsid w:val="00DA3F47"/>
    <w:rsid w:val="00DA4046"/>
    <w:rsid w:val="00DA41E6"/>
    <w:rsid w:val="00DA4476"/>
    <w:rsid w:val="00DA453E"/>
    <w:rsid w:val="00DA4684"/>
    <w:rsid w:val="00DA479B"/>
    <w:rsid w:val="00DA48F3"/>
    <w:rsid w:val="00DA4900"/>
    <w:rsid w:val="00DA495F"/>
    <w:rsid w:val="00DA497A"/>
    <w:rsid w:val="00DA4BC7"/>
    <w:rsid w:val="00DA4BE9"/>
    <w:rsid w:val="00DA4C10"/>
    <w:rsid w:val="00DA4C88"/>
    <w:rsid w:val="00DA4D76"/>
    <w:rsid w:val="00DA4F23"/>
    <w:rsid w:val="00DA508D"/>
    <w:rsid w:val="00DA50DB"/>
    <w:rsid w:val="00DA51A7"/>
    <w:rsid w:val="00DA5226"/>
    <w:rsid w:val="00DA53B6"/>
    <w:rsid w:val="00DA53F6"/>
    <w:rsid w:val="00DA53FA"/>
    <w:rsid w:val="00DA5484"/>
    <w:rsid w:val="00DA571E"/>
    <w:rsid w:val="00DA577F"/>
    <w:rsid w:val="00DA57A3"/>
    <w:rsid w:val="00DA580B"/>
    <w:rsid w:val="00DA5944"/>
    <w:rsid w:val="00DA5B61"/>
    <w:rsid w:val="00DA5C2D"/>
    <w:rsid w:val="00DA5DE7"/>
    <w:rsid w:val="00DA5DFA"/>
    <w:rsid w:val="00DA5F1E"/>
    <w:rsid w:val="00DA606F"/>
    <w:rsid w:val="00DA60B4"/>
    <w:rsid w:val="00DA613D"/>
    <w:rsid w:val="00DA6427"/>
    <w:rsid w:val="00DA6543"/>
    <w:rsid w:val="00DA65BA"/>
    <w:rsid w:val="00DA6648"/>
    <w:rsid w:val="00DA6815"/>
    <w:rsid w:val="00DA6880"/>
    <w:rsid w:val="00DA68AF"/>
    <w:rsid w:val="00DA695B"/>
    <w:rsid w:val="00DA6966"/>
    <w:rsid w:val="00DA6A51"/>
    <w:rsid w:val="00DA6BD5"/>
    <w:rsid w:val="00DA6C9C"/>
    <w:rsid w:val="00DA6E1D"/>
    <w:rsid w:val="00DA6EFE"/>
    <w:rsid w:val="00DA6FC0"/>
    <w:rsid w:val="00DA7101"/>
    <w:rsid w:val="00DA7175"/>
    <w:rsid w:val="00DA71ED"/>
    <w:rsid w:val="00DA73DC"/>
    <w:rsid w:val="00DA756A"/>
    <w:rsid w:val="00DA75DB"/>
    <w:rsid w:val="00DA772D"/>
    <w:rsid w:val="00DA7858"/>
    <w:rsid w:val="00DA79B2"/>
    <w:rsid w:val="00DA79F6"/>
    <w:rsid w:val="00DA7AAA"/>
    <w:rsid w:val="00DA7AFA"/>
    <w:rsid w:val="00DA7B13"/>
    <w:rsid w:val="00DA7C41"/>
    <w:rsid w:val="00DA7C86"/>
    <w:rsid w:val="00DA7CA2"/>
    <w:rsid w:val="00DA7D30"/>
    <w:rsid w:val="00DA7F1D"/>
    <w:rsid w:val="00DB0106"/>
    <w:rsid w:val="00DB02CD"/>
    <w:rsid w:val="00DB032B"/>
    <w:rsid w:val="00DB0350"/>
    <w:rsid w:val="00DB04B2"/>
    <w:rsid w:val="00DB04E1"/>
    <w:rsid w:val="00DB0623"/>
    <w:rsid w:val="00DB0630"/>
    <w:rsid w:val="00DB08E6"/>
    <w:rsid w:val="00DB0B42"/>
    <w:rsid w:val="00DB0C1C"/>
    <w:rsid w:val="00DB0D12"/>
    <w:rsid w:val="00DB1000"/>
    <w:rsid w:val="00DB104F"/>
    <w:rsid w:val="00DB10D8"/>
    <w:rsid w:val="00DB1209"/>
    <w:rsid w:val="00DB1210"/>
    <w:rsid w:val="00DB13E5"/>
    <w:rsid w:val="00DB13F7"/>
    <w:rsid w:val="00DB145C"/>
    <w:rsid w:val="00DB155B"/>
    <w:rsid w:val="00DB1600"/>
    <w:rsid w:val="00DB1860"/>
    <w:rsid w:val="00DB1963"/>
    <w:rsid w:val="00DB1AE2"/>
    <w:rsid w:val="00DB1BD9"/>
    <w:rsid w:val="00DB1EB6"/>
    <w:rsid w:val="00DB20FB"/>
    <w:rsid w:val="00DB21F5"/>
    <w:rsid w:val="00DB23C9"/>
    <w:rsid w:val="00DB23DF"/>
    <w:rsid w:val="00DB245C"/>
    <w:rsid w:val="00DB258D"/>
    <w:rsid w:val="00DB27B2"/>
    <w:rsid w:val="00DB2966"/>
    <w:rsid w:val="00DB29EC"/>
    <w:rsid w:val="00DB2AC2"/>
    <w:rsid w:val="00DB2AF4"/>
    <w:rsid w:val="00DB2C2B"/>
    <w:rsid w:val="00DB2D09"/>
    <w:rsid w:val="00DB2D29"/>
    <w:rsid w:val="00DB2D62"/>
    <w:rsid w:val="00DB2ED2"/>
    <w:rsid w:val="00DB30FC"/>
    <w:rsid w:val="00DB3115"/>
    <w:rsid w:val="00DB32A0"/>
    <w:rsid w:val="00DB34CB"/>
    <w:rsid w:val="00DB35E0"/>
    <w:rsid w:val="00DB36DB"/>
    <w:rsid w:val="00DB3849"/>
    <w:rsid w:val="00DB38DF"/>
    <w:rsid w:val="00DB3981"/>
    <w:rsid w:val="00DB3AE3"/>
    <w:rsid w:val="00DB3C2F"/>
    <w:rsid w:val="00DB3D52"/>
    <w:rsid w:val="00DB3E41"/>
    <w:rsid w:val="00DB3EF5"/>
    <w:rsid w:val="00DB3F13"/>
    <w:rsid w:val="00DB40B7"/>
    <w:rsid w:val="00DB4170"/>
    <w:rsid w:val="00DB430B"/>
    <w:rsid w:val="00DB4416"/>
    <w:rsid w:val="00DB444F"/>
    <w:rsid w:val="00DB44D4"/>
    <w:rsid w:val="00DB45BA"/>
    <w:rsid w:val="00DB46F0"/>
    <w:rsid w:val="00DB4903"/>
    <w:rsid w:val="00DB49AD"/>
    <w:rsid w:val="00DB4AF4"/>
    <w:rsid w:val="00DB4B08"/>
    <w:rsid w:val="00DB4C3D"/>
    <w:rsid w:val="00DB4CF6"/>
    <w:rsid w:val="00DB4D95"/>
    <w:rsid w:val="00DB4EE8"/>
    <w:rsid w:val="00DB508C"/>
    <w:rsid w:val="00DB50F7"/>
    <w:rsid w:val="00DB5113"/>
    <w:rsid w:val="00DB5150"/>
    <w:rsid w:val="00DB522C"/>
    <w:rsid w:val="00DB5516"/>
    <w:rsid w:val="00DB55E7"/>
    <w:rsid w:val="00DB5686"/>
    <w:rsid w:val="00DB5895"/>
    <w:rsid w:val="00DB594B"/>
    <w:rsid w:val="00DB5C24"/>
    <w:rsid w:val="00DB6058"/>
    <w:rsid w:val="00DB60DC"/>
    <w:rsid w:val="00DB612F"/>
    <w:rsid w:val="00DB6139"/>
    <w:rsid w:val="00DB6182"/>
    <w:rsid w:val="00DB61BA"/>
    <w:rsid w:val="00DB624E"/>
    <w:rsid w:val="00DB6268"/>
    <w:rsid w:val="00DB62A4"/>
    <w:rsid w:val="00DB6338"/>
    <w:rsid w:val="00DB63D8"/>
    <w:rsid w:val="00DB645F"/>
    <w:rsid w:val="00DB6524"/>
    <w:rsid w:val="00DB65CE"/>
    <w:rsid w:val="00DB66A4"/>
    <w:rsid w:val="00DB6854"/>
    <w:rsid w:val="00DB68B8"/>
    <w:rsid w:val="00DB6966"/>
    <w:rsid w:val="00DB6B13"/>
    <w:rsid w:val="00DB6B55"/>
    <w:rsid w:val="00DB6B95"/>
    <w:rsid w:val="00DB6C6F"/>
    <w:rsid w:val="00DB6CED"/>
    <w:rsid w:val="00DB6EEC"/>
    <w:rsid w:val="00DB6F5B"/>
    <w:rsid w:val="00DB707B"/>
    <w:rsid w:val="00DB70CA"/>
    <w:rsid w:val="00DB71EE"/>
    <w:rsid w:val="00DB72B1"/>
    <w:rsid w:val="00DB7397"/>
    <w:rsid w:val="00DB74DC"/>
    <w:rsid w:val="00DB74E6"/>
    <w:rsid w:val="00DB76FF"/>
    <w:rsid w:val="00DB78B7"/>
    <w:rsid w:val="00DB7AF9"/>
    <w:rsid w:val="00DB7E8D"/>
    <w:rsid w:val="00DB7E9F"/>
    <w:rsid w:val="00DB7FCC"/>
    <w:rsid w:val="00DB7FE6"/>
    <w:rsid w:val="00DC00E3"/>
    <w:rsid w:val="00DC028F"/>
    <w:rsid w:val="00DC0564"/>
    <w:rsid w:val="00DC0591"/>
    <w:rsid w:val="00DC05DF"/>
    <w:rsid w:val="00DC05EA"/>
    <w:rsid w:val="00DC0625"/>
    <w:rsid w:val="00DC0899"/>
    <w:rsid w:val="00DC0972"/>
    <w:rsid w:val="00DC09A8"/>
    <w:rsid w:val="00DC0A1E"/>
    <w:rsid w:val="00DC0D78"/>
    <w:rsid w:val="00DC1012"/>
    <w:rsid w:val="00DC1175"/>
    <w:rsid w:val="00DC1458"/>
    <w:rsid w:val="00DC1462"/>
    <w:rsid w:val="00DC1687"/>
    <w:rsid w:val="00DC16D3"/>
    <w:rsid w:val="00DC175C"/>
    <w:rsid w:val="00DC18D8"/>
    <w:rsid w:val="00DC1ADD"/>
    <w:rsid w:val="00DC1AEA"/>
    <w:rsid w:val="00DC1B37"/>
    <w:rsid w:val="00DC1B9D"/>
    <w:rsid w:val="00DC1CB1"/>
    <w:rsid w:val="00DC2118"/>
    <w:rsid w:val="00DC22E6"/>
    <w:rsid w:val="00DC22F0"/>
    <w:rsid w:val="00DC241B"/>
    <w:rsid w:val="00DC25B8"/>
    <w:rsid w:val="00DC26BB"/>
    <w:rsid w:val="00DC2769"/>
    <w:rsid w:val="00DC29B2"/>
    <w:rsid w:val="00DC2A72"/>
    <w:rsid w:val="00DC2C71"/>
    <w:rsid w:val="00DC2CD6"/>
    <w:rsid w:val="00DC30C6"/>
    <w:rsid w:val="00DC33C2"/>
    <w:rsid w:val="00DC33DB"/>
    <w:rsid w:val="00DC3412"/>
    <w:rsid w:val="00DC359E"/>
    <w:rsid w:val="00DC3734"/>
    <w:rsid w:val="00DC376E"/>
    <w:rsid w:val="00DC37C1"/>
    <w:rsid w:val="00DC391A"/>
    <w:rsid w:val="00DC3B40"/>
    <w:rsid w:val="00DC3B63"/>
    <w:rsid w:val="00DC3B6C"/>
    <w:rsid w:val="00DC3BCB"/>
    <w:rsid w:val="00DC3C00"/>
    <w:rsid w:val="00DC3E2B"/>
    <w:rsid w:val="00DC3E37"/>
    <w:rsid w:val="00DC3E75"/>
    <w:rsid w:val="00DC3EEF"/>
    <w:rsid w:val="00DC4014"/>
    <w:rsid w:val="00DC4122"/>
    <w:rsid w:val="00DC4137"/>
    <w:rsid w:val="00DC42E2"/>
    <w:rsid w:val="00DC4368"/>
    <w:rsid w:val="00DC4431"/>
    <w:rsid w:val="00DC463C"/>
    <w:rsid w:val="00DC465F"/>
    <w:rsid w:val="00DC46D5"/>
    <w:rsid w:val="00DC4A25"/>
    <w:rsid w:val="00DC4A3F"/>
    <w:rsid w:val="00DC4A5A"/>
    <w:rsid w:val="00DC4AA3"/>
    <w:rsid w:val="00DC4EE0"/>
    <w:rsid w:val="00DC4F02"/>
    <w:rsid w:val="00DC50F9"/>
    <w:rsid w:val="00DC5274"/>
    <w:rsid w:val="00DC53AF"/>
    <w:rsid w:val="00DC53C4"/>
    <w:rsid w:val="00DC546D"/>
    <w:rsid w:val="00DC54B1"/>
    <w:rsid w:val="00DC54D3"/>
    <w:rsid w:val="00DC5935"/>
    <w:rsid w:val="00DC5C4F"/>
    <w:rsid w:val="00DC5C96"/>
    <w:rsid w:val="00DC5D54"/>
    <w:rsid w:val="00DC5DFF"/>
    <w:rsid w:val="00DC5E12"/>
    <w:rsid w:val="00DC5EFE"/>
    <w:rsid w:val="00DC6270"/>
    <w:rsid w:val="00DC62C8"/>
    <w:rsid w:val="00DC63BE"/>
    <w:rsid w:val="00DC645E"/>
    <w:rsid w:val="00DC6476"/>
    <w:rsid w:val="00DC64E7"/>
    <w:rsid w:val="00DC675F"/>
    <w:rsid w:val="00DC6BE2"/>
    <w:rsid w:val="00DC6C47"/>
    <w:rsid w:val="00DC6C96"/>
    <w:rsid w:val="00DC6CC1"/>
    <w:rsid w:val="00DC6F23"/>
    <w:rsid w:val="00DC702C"/>
    <w:rsid w:val="00DC72A0"/>
    <w:rsid w:val="00DC72C8"/>
    <w:rsid w:val="00DC7355"/>
    <w:rsid w:val="00DC749A"/>
    <w:rsid w:val="00DC74CB"/>
    <w:rsid w:val="00DC756F"/>
    <w:rsid w:val="00DC75F4"/>
    <w:rsid w:val="00DC78D2"/>
    <w:rsid w:val="00DC7A49"/>
    <w:rsid w:val="00DC7B50"/>
    <w:rsid w:val="00DC7E70"/>
    <w:rsid w:val="00DC7E95"/>
    <w:rsid w:val="00DC7E97"/>
    <w:rsid w:val="00DC7F79"/>
    <w:rsid w:val="00DD022E"/>
    <w:rsid w:val="00DD0278"/>
    <w:rsid w:val="00DD02D3"/>
    <w:rsid w:val="00DD03EF"/>
    <w:rsid w:val="00DD065D"/>
    <w:rsid w:val="00DD06C9"/>
    <w:rsid w:val="00DD06D4"/>
    <w:rsid w:val="00DD079B"/>
    <w:rsid w:val="00DD0A40"/>
    <w:rsid w:val="00DD0BF9"/>
    <w:rsid w:val="00DD0F37"/>
    <w:rsid w:val="00DD0F43"/>
    <w:rsid w:val="00DD0FA4"/>
    <w:rsid w:val="00DD10EE"/>
    <w:rsid w:val="00DD1215"/>
    <w:rsid w:val="00DD125B"/>
    <w:rsid w:val="00DD12F1"/>
    <w:rsid w:val="00DD133A"/>
    <w:rsid w:val="00DD134A"/>
    <w:rsid w:val="00DD1367"/>
    <w:rsid w:val="00DD13AC"/>
    <w:rsid w:val="00DD1415"/>
    <w:rsid w:val="00DD152C"/>
    <w:rsid w:val="00DD16F0"/>
    <w:rsid w:val="00DD1726"/>
    <w:rsid w:val="00DD17EF"/>
    <w:rsid w:val="00DD19AF"/>
    <w:rsid w:val="00DD1A1C"/>
    <w:rsid w:val="00DD1A78"/>
    <w:rsid w:val="00DD1A7A"/>
    <w:rsid w:val="00DD1AF6"/>
    <w:rsid w:val="00DD1B8B"/>
    <w:rsid w:val="00DD1C08"/>
    <w:rsid w:val="00DD1CA8"/>
    <w:rsid w:val="00DD1DCE"/>
    <w:rsid w:val="00DD1F6E"/>
    <w:rsid w:val="00DD219A"/>
    <w:rsid w:val="00DD2321"/>
    <w:rsid w:val="00DD234F"/>
    <w:rsid w:val="00DD2559"/>
    <w:rsid w:val="00DD25A4"/>
    <w:rsid w:val="00DD2719"/>
    <w:rsid w:val="00DD28F2"/>
    <w:rsid w:val="00DD2970"/>
    <w:rsid w:val="00DD2AC4"/>
    <w:rsid w:val="00DD2BFF"/>
    <w:rsid w:val="00DD2EB6"/>
    <w:rsid w:val="00DD2ED1"/>
    <w:rsid w:val="00DD2EE9"/>
    <w:rsid w:val="00DD3073"/>
    <w:rsid w:val="00DD30E5"/>
    <w:rsid w:val="00DD32AF"/>
    <w:rsid w:val="00DD33C2"/>
    <w:rsid w:val="00DD3428"/>
    <w:rsid w:val="00DD3480"/>
    <w:rsid w:val="00DD3503"/>
    <w:rsid w:val="00DD363B"/>
    <w:rsid w:val="00DD3720"/>
    <w:rsid w:val="00DD374D"/>
    <w:rsid w:val="00DD3765"/>
    <w:rsid w:val="00DD3801"/>
    <w:rsid w:val="00DD382D"/>
    <w:rsid w:val="00DD3AC7"/>
    <w:rsid w:val="00DD3BAF"/>
    <w:rsid w:val="00DD3C05"/>
    <w:rsid w:val="00DD3C2D"/>
    <w:rsid w:val="00DD3DF2"/>
    <w:rsid w:val="00DD3EE1"/>
    <w:rsid w:val="00DD3FB4"/>
    <w:rsid w:val="00DD40F1"/>
    <w:rsid w:val="00DD41C0"/>
    <w:rsid w:val="00DD4270"/>
    <w:rsid w:val="00DD44E6"/>
    <w:rsid w:val="00DD451F"/>
    <w:rsid w:val="00DD455A"/>
    <w:rsid w:val="00DD4609"/>
    <w:rsid w:val="00DD4734"/>
    <w:rsid w:val="00DD47B4"/>
    <w:rsid w:val="00DD47EA"/>
    <w:rsid w:val="00DD485D"/>
    <w:rsid w:val="00DD492A"/>
    <w:rsid w:val="00DD49B5"/>
    <w:rsid w:val="00DD49CA"/>
    <w:rsid w:val="00DD4A75"/>
    <w:rsid w:val="00DD4B6C"/>
    <w:rsid w:val="00DD4EBB"/>
    <w:rsid w:val="00DD4F52"/>
    <w:rsid w:val="00DD5283"/>
    <w:rsid w:val="00DD5284"/>
    <w:rsid w:val="00DD5289"/>
    <w:rsid w:val="00DD55E4"/>
    <w:rsid w:val="00DD59EA"/>
    <w:rsid w:val="00DD5AEF"/>
    <w:rsid w:val="00DD5B34"/>
    <w:rsid w:val="00DD5C84"/>
    <w:rsid w:val="00DD5E58"/>
    <w:rsid w:val="00DD6023"/>
    <w:rsid w:val="00DD6132"/>
    <w:rsid w:val="00DD6430"/>
    <w:rsid w:val="00DD6473"/>
    <w:rsid w:val="00DD665E"/>
    <w:rsid w:val="00DD668F"/>
    <w:rsid w:val="00DD6793"/>
    <w:rsid w:val="00DD68E8"/>
    <w:rsid w:val="00DD69E2"/>
    <w:rsid w:val="00DD6A34"/>
    <w:rsid w:val="00DD6C65"/>
    <w:rsid w:val="00DD6D4E"/>
    <w:rsid w:val="00DD6DC3"/>
    <w:rsid w:val="00DD6DC4"/>
    <w:rsid w:val="00DD6DED"/>
    <w:rsid w:val="00DD6E52"/>
    <w:rsid w:val="00DD703B"/>
    <w:rsid w:val="00DD715B"/>
    <w:rsid w:val="00DD71B6"/>
    <w:rsid w:val="00DD723D"/>
    <w:rsid w:val="00DD743D"/>
    <w:rsid w:val="00DD7478"/>
    <w:rsid w:val="00DD74A4"/>
    <w:rsid w:val="00DD7734"/>
    <w:rsid w:val="00DD7806"/>
    <w:rsid w:val="00DD78AC"/>
    <w:rsid w:val="00DD795C"/>
    <w:rsid w:val="00DD7A15"/>
    <w:rsid w:val="00DD7AE1"/>
    <w:rsid w:val="00DD7B0A"/>
    <w:rsid w:val="00DD7BCC"/>
    <w:rsid w:val="00DD7CDB"/>
    <w:rsid w:val="00DD7D43"/>
    <w:rsid w:val="00DD7D5F"/>
    <w:rsid w:val="00DD7DC6"/>
    <w:rsid w:val="00DD7E00"/>
    <w:rsid w:val="00DD7E76"/>
    <w:rsid w:val="00DD7FF2"/>
    <w:rsid w:val="00DE0017"/>
    <w:rsid w:val="00DE0087"/>
    <w:rsid w:val="00DE00DE"/>
    <w:rsid w:val="00DE030A"/>
    <w:rsid w:val="00DE0482"/>
    <w:rsid w:val="00DE0602"/>
    <w:rsid w:val="00DE07C0"/>
    <w:rsid w:val="00DE0865"/>
    <w:rsid w:val="00DE0908"/>
    <w:rsid w:val="00DE0B1A"/>
    <w:rsid w:val="00DE0B2D"/>
    <w:rsid w:val="00DE0C74"/>
    <w:rsid w:val="00DE0CDB"/>
    <w:rsid w:val="00DE0D64"/>
    <w:rsid w:val="00DE0D95"/>
    <w:rsid w:val="00DE0DA0"/>
    <w:rsid w:val="00DE0E43"/>
    <w:rsid w:val="00DE0EA2"/>
    <w:rsid w:val="00DE0FBE"/>
    <w:rsid w:val="00DE1124"/>
    <w:rsid w:val="00DE1146"/>
    <w:rsid w:val="00DE115B"/>
    <w:rsid w:val="00DE130A"/>
    <w:rsid w:val="00DE148C"/>
    <w:rsid w:val="00DE1853"/>
    <w:rsid w:val="00DE1FF9"/>
    <w:rsid w:val="00DE2015"/>
    <w:rsid w:val="00DE2079"/>
    <w:rsid w:val="00DE2154"/>
    <w:rsid w:val="00DE21FF"/>
    <w:rsid w:val="00DE231C"/>
    <w:rsid w:val="00DE237B"/>
    <w:rsid w:val="00DE25E8"/>
    <w:rsid w:val="00DE260F"/>
    <w:rsid w:val="00DE26FD"/>
    <w:rsid w:val="00DE273F"/>
    <w:rsid w:val="00DE279F"/>
    <w:rsid w:val="00DE27A0"/>
    <w:rsid w:val="00DE28C7"/>
    <w:rsid w:val="00DE2903"/>
    <w:rsid w:val="00DE2956"/>
    <w:rsid w:val="00DE2B8B"/>
    <w:rsid w:val="00DE2C80"/>
    <w:rsid w:val="00DE2D48"/>
    <w:rsid w:val="00DE2F98"/>
    <w:rsid w:val="00DE3107"/>
    <w:rsid w:val="00DE333A"/>
    <w:rsid w:val="00DE34DE"/>
    <w:rsid w:val="00DE3993"/>
    <w:rsid w:val="00DE3D35"/>
    <w:rsid w:val="00DE3E4C"/>
    <w:rsid w:val="00DE40F8"/>
    <w:rsid w:val="00DE4294"/>
    <w:rsid w:val="00DE42D4"/>
    <w:rsid w:val="00DE46D1"/>
    <w:rsid w:val="00DE4811"/>
    <w:rsid w:val="00DE481D"/>
    <w:rsid w:val="00DE486F"/>
    <w:rsid w:val="00DE49D0"/>
    <w:rsid w:val="00DE4AA0"/>
    <w:rsid w:val="00DE4B2C"/>
    <w:rsid w:val="00DE4BCC"/>
    <w:rsid w:val="00DE4C13"/>
    <w:rsid w:val="00DE4D6C"/>
    <w:rsid w:val="00DE50DD"/>
    <w:rsid w:val="00DE5123"/>
    <w:rsid w:val="00DE5217"/>
    <w:rsid w:val="00DE5220"/>
    <w:rsid w:val="00DE5329"/>
    <w:rsid w:val="00DE539F"/>
    <w:rsid w:val="00DE53B9"/>
    <w:rsid w:val="00DE55D8"/>
    <w:rsid w:val="00DE5786"/>
    <w:rsid w:val="00DE59C3"/>
    <w:rsid w:val="00DE5ACE"/>
    <w:rsid w:val="00DE5B4C"/>
    <w:rsid w:val="00DE5B90"/>
    <w:rsid w:val="00DE5C42"/>
    <w:rsid w:val="00DE5CDE"/>
    <w:rsid w:val="00DE5CED"/>
    <w:rsid w:val="00DE5E50"/>
    <w:rsid w:val="00DE5F4C"/>
    <w:rsid w:val="00DE5F57"/>
    <w:rsid w:val="00DE6230"/>
    <w:rsid w:val="00DE64E5"/>
    <w:rsid w:val="00DE64F2"/>
    <w:rsid w:val="00DE6799"/>
    <w:rsid w:val="00DE6925"/>
    <w:rsid w:val="00DE6B59"/>
    <w:rsid w:val="00DE6B70"/>
    <w:rsid w:val="00DE6B9A"/>
    <w:rsid w:val="00DE6C46"/>
    <w:rsid w:val="00DE6E0A"/>
    <w:rsid w:val="00DE6E88"/>
    <w:rsid w:val="00DE6F99"/>
    <w:rsid w:val="00DE701A"/>
    <w:rsid w:val="00DE70A6"/>
    <w:rsid w:val="00DE73DB"/>
    <w:rsid w:val="00DE76CB"/>
    <w:rsid w:val="00DE7763"/>
    <w:rsid w:val="00DE795F"/>
    <w:rsid w:val="00DE7B29"/>
    <w:rsid w:val="00DE7B8E"/>
    <w:rsid w:val="00DE7BD0"/>
    <w:rsid w:val="00DE7D85"/>
    <w:rsid w:val="00DE7D9B"/>
    <w:rsid w:val="00DE7DDB"/>
    <w:rsid w:val="00DE7E1A"/>
    <w:rsid w:val="00DE7E3D"/>
    <w:rsid w:val="00DE7F35"/>
    <w:rsid w:val="00DE7FEA"/>
    <w:rsid w:val="00DF00EE"/>
    <w:rsid w:val="00DF0571"/>
    <w:rsid w:val="00DF0674"/>
    <w:rsid w:val="00DF0745"/>
    <w:rsid w:val="00DF08AE"/>
    <w:rsid w:val="00DF0901"/>
    <w:rsid w:val="00DF0A29"/>
    <w:rsid w:val="00DF0CBF"/>
    <w:rsid w:val="00DF0DC1"/>
    <w:rsid w:val="00DF0DD0"/>
    <w:rsid w:val="00DF0DF7"/>
    <w:rsid w:val="00DF1013"/>
    <w:rsid w:val="00DF11A1"/>
    <w:rsid w:val="00DF152D"/>
    <w:rsid w:val="00DF169C"/>
    <w:rsid w:val="00DF16E2"/>
    <w:rsid w:val="00DF1839"/>
    <w:rsid w:val="00DF183A"/>
    <w:rsid w:val="00DF18F9"/>
    <w:rsid w:val="00DF1903"/>
    <w:rsid w:val="00DF1A58"/>
    <w:rsid w:val="00DF1B6E"/>
    <w:rsid w:val="00DF1BC9"/>
    <w:rsid w:val="00DF1D7C"/>
    <w:rsid w:val="00DF1D92"/>
    <w:rsid w:val="00DF1DA0"/>
    <w:rsid w:val="00DF1DAE"/>
    <w:rsid w:val="00DF1DDA"/>
    <w:rsid w:val="00DF1FB6"/>
    <w:rsid w:val="00DF2099"/>
    <w:rsid w:val="00DF20B1"/>
    <w:rsid w:val="00DF20BE"/>
    <w:rsid w:val="00DF2148"/>
    <w:rsid w:val="00DF250C"/>
    <w:rsid w:val="00DF273A"/>
    <w:rsid w:val="00DF287A"/>
    <w:rsid w:val="00DF2933"/>
    <w:rsid w:val="00DF29E1"/>
    <w:rsid w:val="00DF29E7"/>
    <w:rsid w:val="00DF2A2C"/>
    <w:rsid w:val="00DF2B16"/>
    <w:rsid w:val="00DF2C55"/>
    <w:rsid w:val="00DF2CB4"/>
    <w:rsid w:val="00DF2D6C"/>
    <w:rsid w:val="00DF2DAF"/>
    <w:rsid w:val="00DF2E49"/>
    <w:rsid w:val="00DF2EBA"/>
    <w:rsid w:val="00DF3024"/>
    <w:rsid w:val="00DF33E4"/>
    <w:rsid w:val="00DF3423"/>
    <w:rsid w:val="00DF34D2"/>
    <w:rsid w:val="00DF379C"/>
    <w:rsid w:val="00DF393D"/>
    <w:rsid w:val="00DF3A62"/>
    <w:rsid w:val="00DF3D18"/>
    <w:rsid w:val="00DF3E22"/>
    <w:rsid w:val="00DF3E8D"/>
    <w:rsid w:val="00DF3F0B"/>
    <w:rsid w:val="00DF3F9A"/>
    <w:rsid w:val="00DF4023"/>
    <w:rsid w:val="00DF45F6"/>
    <w:rsid w:val="00DF46E7"/>
    <w:rsid w:val="00DF4767"/>
    <w:rsid w:val="00DF4887"/>
    <w:rsid w:val="00DF4907"/>
    <w:rsid w:val="00DF4A8B"/>
    <w:rsid w:val="00DF4AE3"/>
    <w:rsid w:val="00DF4CDE"/>
    <w:rsid w:val="00DF4DCA"/>
    <w:rsid w:val="00DF4E3E"/>
    <w:rsid w:val="00DF4ED6"/>
    <w:rsid w:val="00DF4EDF"/>
    <w:rsid w:val="00DF500F"/>
    <w:rsid w:val="00DF5163"/>
    <w:rsid w:val="00DF53FA"/>
    <w:rsid w:val="00DF563E"/>
    <w:rsid w:val="00DF5716"/>
    <w:rsid w:val="00DF57D9"/>
    <w:rsid w:val="00DF5A1F"/>
    <w:rsid w:val="00DF5AD5"/>
    <w:rsid w:val="00DF5B29"/>
    <w:rsid w:val="00DF5CB6"/>
    <w:rsid w:val="00DF5EA6"/>
    <w:rsid w:val="00DF5EB5"/>
    <w:rsid w:val="00DF5EB8"/>
    <w:rsid w:val="00DF60AC"/>
    <w:rsid w:val="00DF60B9"/>
    <w:rsid w:val="00DF6142"/>
    <w:rsid w:val="00DF61D0"/>
    <w:rsid w:val="00DF620F"/>
    <w:rsid w:val="00DF6303"/>
    <w:rsid w:val="00DF63B7"/>
    <w:rsid w:val="00DF643C"/>
    <w:rsid w:val="00DF646D"/>
    <w:rsid w:val="00DF683F"/>
    <w:rsid w:val="00DF69DC"/>
    <w:rsid w:val="00DF6A05"/>
    <w:rsid w:val="00DF6A9B"/>
    <w:rsid w:val="00DF6ADA"/>
    <w:rsid w:val="00DF6B02"/>
    <w:rsid w:val="00DF6C0E"/>
    <w:rsid w:val="00DF6D80"/>
    <w:rsid w:val="00DF6E55"/>
    <w:rsid w:val="00DF6ED7"/>
    <w:rsid w:val="00DF6F38"/>
    <w:rsid w:val="00DF6FD0"/>
    <w:rsid w:val="00DF70A0"/>
    <w:rsid w:val="00DF7137"/>
    <w:rsid w:val="00DF7266"/>
    <w:rsid w:val="00DF726F"/>
    <w:rsid w:val="00DF7475"/>
    <w:rsid w:val="00DF752A"/>
    <w:rsid w:val="00DF75C2"/>
    <w:rsid w:val="00DF75D5"/>
    <w:rsid w:val="00DF7915"/>
    <w:rsid w:val="00DF79D2"/>
    <w:rsid w:val="00DF7A15"/>
    <w:rsid w:val="00DF7A18"/>
    <w:rsid w:val="00DF7BB9"/>
    <w:rsid w:val="00DF7DB3"/>
    <w:rsid w:val="00DF7EA2"/>
    <w:rsid w:val="00E0001F"/>
    <w:rsid w:val="00E0010D"/>
    <w:rsid w:val="00E00119"/>
    <w:rsid w:val="00E001C6"/>
    <w:rsid w:val="00E00277"/>
    <w:rsid w:val="00E002D2"/>
    <w:rsid w:val="00E002E6"/>
    <w:rsid w:val="00E00349"/>
    <w:rsid w:val="00E00446"/>
    <w:rsid w:val="00E00449"/>
    <w:rsid w:val="00E00528"/>
    <w:rsid w:val="00E00549"/>
    <w:rsid w:val="00E0055C"/>
    <w:rsid w:val="00E006AE"/>
    <w:rsid w:val="00E007C7"/>
    <w:rsid w:val="00E009B7"/>
    <w:rsid w:val="00E009F9"/>
    <w:rsid w:val="00E00B6D"/>
    <w:rsid w:val="00E00BDF"/>
    <w:rsid w:val="00E00DAC"/>
    <w:rsid w:val="00E00EA5"/>
    <w:rsid w:val="00E00EEA"/>
    <w:rsid w:val="00E00FF0"/>
    <w:rsid w:val="00E01070"/>
    <w:rsid w:val="00E010C4"/>
    <w:rsid w:val="00E010CD"/>
    <w:rsid w:val="00E0112C"/>
    <w:rsid w:val="00E012BF"/>
    <w:rsid w:val="00E01300"/>
    <w:rsid w:val="00E013F2"/>
    <w:rsid w:val="00E01421"/>
    <w:rsid w:val="00E0142B"/>
    <w:rsid w:val="00E0144E"/>
    <w:rsid w:val="00E01474"/>
    <w:rsid w:val="00E0149F"/>
    <w:rsid w:val="00E014B5"/>
    <w:rsid w:val="00E01536"/>
    <w:rsid w:val="00E0189B"/>
    <w:rsid w:val="00E018B6"/>
    <w:rsid w:val="00E01926"/>
    <w:rsid w:val="00E01A44"/>
    <w:rsid w:val="00E01C73"/>
    <w:rsid w:val="00E01C9E"/>
    <w:rsid w:val="00E01E0D"/>
    <w:rsid w:val="00E01ED7"/>
    <w:rsid w:val="00E01FD5"/>
    <w:rsid w:val="00E0207C"/>
    <w:rsid w:val="00E021D1"/>
    <w:rsid w:val="00E022A2"/>
    <w:rsid w:val="00E02420"/>
    <w:rsid w:val="00E02562"/>
    <w:rsid w:val="00E02771"/>
    <w:rsid w:val="00E0282D"/>
    <w:rsid w:val="00E029FB"/>
    <w:rsid w:val="00E02BCA"/>
    <w:rsid w:val="00E02D44"/>
    <w:rsid w:val="00E02E03"/>
    <w:rsid w:val="00E02ECE"/>
    <w:rsid w:val="00E02F49"/>
    <w:rsid w:val="00E02F56"/>
    <w:rsid w:val="00E030EC"/>
    <w:rsid w:val="00E03277"/>
    <w:rsid w:val="00E03408"/>
    <w:rsid w:val="00E03472"/>
    <w:rsid w:val="00E035F6"/>
    <w:rsid w:val="00E0365F"/>
    <w:rsid w:val="00E03686"/>
    <w:rsid w:val="00E03814"/>
    <w:rsid w:val="00E03946"/>
    <w:rsid w:val="00E039E0"/>
    <w:rsid w:val="00E03A24"/>
    <w:rsid w:val="00E03B98"/>
    <w:rsid w:val="00E03BEC"/>
    <w:rsid w:val="00E03D3A"/>
    <w:rsid w:val="00E03D49"/>
    <w:rsid w:val="00E03D59"/>
    <w:rsid w:val="00E03EAD"/>
    <w:rsid w:val="00E03ED2"/>
    <w:rsid w:val="00E03F36"/>
    <w:rsid w:val="00E0413F"/>
    <w:rsid w:val="00E042CA"/>
    <w:rsid w:val="00E042ED"/>
    <w:rsid w:val="00E04339"/>
    <w:rsid w:val="00E0433D"/>
    <w:rsid w:val="00E0447B"/>
    <w:rsid w:val="00E044DB"/>
    <w:rsid w:val="00E0453D"/>
    <w:rsid w:val="00E04684"/>
    <w:rsid w:val="00E04C1A"/>
    <w:rsid w:val="00E04C60"/>
    <w:rsid w:val="00E04D86"/>
    <w:rsid w:val="00E04E0E"/>
    <w:rsid w:val="00E04E67"/>
    <w:rsid w:val="00E04E85"/>
    <w:rsid w:val="00E04FCB"/>
    <w:rsid w:val="00E05040"/>
    <w:rsid w:val="00E051E7"/>
    <w:rsid w:val="00E052D5"/>
    <w:rsid w:val="00E05474"/>
    <w:rsid w:val="00E058BB"/>
    <w:rsid w:val="00E058BD"/>
    <w:rsid w:val="00E05AA1"/>
    <w:rsid w:val="00E05B93"/>
    <w:rsid w:val="00E05C9A"/>
    <w:rsid w:val="00E05FA6"/>
    <w:rsid w:val="00E060BC"/>
    <w:rsid w:val="00E06140"/>
    <w:rsid w:val="00E06186"/>
    <w:rsid w:val="00E062D9"/>
    <w:rsid w:val="00E0632C"/>
    <w:rsid w:val="00E065CE"/>
    <w:rsid w:val="00E065E8"/>
    <w:rsid w:val="00E06655"/>
    <w:rsid w:val="00E06763"/>
    <w:rsid w:val="00E067F4"/>
    <w:rsid w:val="00E068B4"/>
    <w:rsid w:val="00E06921"/>
    <w:rsid w:val="00E06B96"/>
    <w:rsid w:val="00E06CFB"/>
    <w:rsid w:val="00E06D1D"/>
    <w:rsid w:val="00E06EC1"/>
    <w:rsid w:val="00E06F83"/>
    <w:rsid w:val="00E07007"/>
    <w:rsid w:val="00E07088"/>
    <w:rsid w:val="00E07124"/>
    <w:rsid w:val="00E071C2"/>
    <w:rsid w:val="00E07270"/>
    <w:rsid w:val="00E073D8"/>
    <w:rsid w:val="00E0752C"/>
    <w:rsid w:val="00E075C9"/>
    <w:rsid w:val="00E07628"/>
    <w:rsid w:val="00E076DF"/>
    <w:rsid w:val="00E0773A"/>
    <w:rsid w:val="00E078E6"/>
    <w:rsid w:val="00E07904"/>
    <w:rsid w:val="00E079D3"/>
    <w:rsid w:val="00E07B5C"/>
    <w:rsid w:val="00E07DB0"/>
    <w:rsid w:val="00E07E19"/>
    <w:rsid w:val="00E07E26"/>
    <w:rsid w:val="00E07E95"/>
    <w:rsid w:val="00E10115"/>
    <w:rsid w:val="00E10182"/>
    <w:rsid w:val="00E103F2"/>
    <w:rsid w:val="00E10461"/>
    <w:rsid w:val="00E10586"/>
    <w:rsid w:val="00E10770"/>
    <w:rsid w:val="00E107B5"/>
    <w:rsid w:val="00E107FE"/>
    <w:rsid w:val="00E108E6"/>
    <w:rsid w:val="00E10928"/>
    <w:rsid w:val="00E10999"/>
    <w:rsid w:val="00E109D0"/>
    <w:rsid w:val="00E10AAC"/>
    <w:rsid w:val="00E10C17"/>
    <w:rsid w:val="00E10C87"/>
    <w:rsid w:val="00E10E2B"/>
    <w:rsid w:val="00E10E58"/>
    <w:rsid w:val="00E10E67"/>
    <w:rsid w:val="00E10F37"/>
    <w:rsid w:val="00E110FA"/>
    <w:rsid w:val="00E11342"/>
    <w:rsid w:val="00E11681"/>
    <w:rsid w:val="00E116B7"/>
    <w:rsid w:val="00E116ED"/>
    <w:rsid w:val="00E119A8"/>
    <w:rsid w:val="00E119DA"/>
    <w:rsid w:val="00E11A25"/>
    <w:rsid w:val="00E11B12"/>
    <w:rsid w:val="00E11E14"/>
    <w:rsid w:val="00E11E27"/>
    <w:rsid w:val="00E1216A"/>
    <w:rsid w:val="00E122AD"/>
    <w:rsid w:val="00E12327"/>
    <w:rsid w:val="00E123AC"/>
    <w:rsid w:val="00E123EE"/>
    <w:rsid w:val="00E123F3"/>
    <w:rsid w:val="00E12A22"/>
    <w:rsid w:val="00E12CD1"/>
    <w:rsid w:val="00E12D47"/>
    <w:rsid w:val="00E12FF1"/>
    <w:rsid w:val="00E13090"/>
    <w:rsid w:val="00E13109"/>
    <w:rsid w:val="00E133BA"/>
    <w:rsid w:val="00E13405"/>
    <w:rsid w:val="00E13517"/>
    <w:rsid w:val="00E13665"/>
    <w:rsid w:val="00E13900"/>
    <w:rsid w:val="00E1392B"/>
    <w:rsid w:val="00E13981"/>
    <w:rsid w:val="00E13B03"/>
    <w:rsid w:val="00E13B0E"/>
    <w:rsid w:val="00E13C8F"/>
    <w:rsid w:val="00E13CEA"/>
    <w:rsid w:val="00E13D29"/>
    <w:rsid w:val="00E13DF3"/>
    <w:rsid w:val="00E13E21"/>
    <w:rsid w:val="00E13FB7"/>
    <w:rsid w:val="00E14046"/>
    <w:rsid w:val="00E14114"/>
    <w:rsid w:val="00E141B4"/>
    <w:rsid w:val="00E141C2"/>
    <w:rsid w:val="00E14409"/>
    <w:rsid w:val="00E1448E"/>
    <w:rsid w:val="00E14526"/>
    <w:rsid w:val="00E14530"/>
    <w:rsid w:val="00E1457D"/>
    <w:rsid w:val="00E1468B"/>
    <w:rsid w:val="00E1475E"/>
    <w:rsid w:val="00E148D4"/>
    <w:rsid w:val="00E14B31"/>
    <w:rsid w:val="00E14B9D"/>
    <w:rsid w:val="00E14BDA"/>
    <w:rsid w:val="00E14BF8"/>
    <w:rsid w:val="00E14C08"/>
    <w:rsid w:val="00E14C23"/>
    <w:rsid w:val="00E14D20"/>
    <w:rsid w:val="00E14E0C"/>
    <w:rsid w:val="00E1500A"/>
    <w:rsid w:val="00E15134"/>
    <w:rsid w:val="00E15218"/>
    <w:rsid w:val="00E15345"/>
    <w:rsid w:val="00E153ED"/>
    <w:rsid w:val="00E1544F"/>
    <w:rsid w:val="00E15493"/>
    <w:rsid w:val="00E15638"/>
    <w:rsid w:val="00E156FF"/>
    <w:rsid w:val="00E15750"/>
    <w:rsid w:val="00E15751"/>
    <w:rsid w:val="00E15968"/>
    <w:rsid w:val="00E159B2"/>
    <w:rsid w:val="00E159D9"/>
    <w:rsid w:val="00E15A2F"/>
    <w:rsid w:val="00E15A5C"/>
    <w:rsid w:val="00E15AA7"/>
    <w:rsid w:val="00E15D61"/>
    <w:rsid w:val="00E15E20"/>
    <w:rsid w:val="00E15ED5"/>
    <w:rsid w:val="00E15F9E"/>
    <w:rsid w:val="00E160E9"/>
    <w:rsid w:val="00E16278"/>
    <w:rsid w:val="00E16280"/>
    <w:rsid w:val="00E164C8"/>
    <w:rsid w:val="00E1653F"/>
    <w:rsid w:val="00E16603"/>
    <w:rsid w:val="00E167CF"/>
    <w:rsid w:val="00E16A89"/>
    <w:rsid w:val="00E16C78"/>
    <w:rsid w:val="00E16EE7"/>
    <w:rsid w:val="00E1700B"/>
    <w:rsid w:val="00E17072"/>
    <w:rsid w:val="00E17175"/>
    <w:rsid w:val="00E171E0"/>
    <w:rsid w:val="00E172ED"/>
    <w:rsid w:val="00E17492"/>
    <w:rsid w:val="00E174B1"/>
    <w:rsid w:val="00E176E4"/>
    <w:rsid w:val="00E176EF"/>
    <w:rsid w:val="00E17737"/>
    <w:rsid w:val="00E17758"/>
    <w:rsid w:val="00E17878"/>
    <w:rsid w:val="00E17946"/>
    <w:rsid w:val="00E17A91"/>
    <w:rsid w:val="00E17AEB"/>
    <w:rsid w:val="00E17BE3"/>
    <w:rsid w:val="00E17CAE"/>
    <w:rsid w:val="00E17D12"/>
    <w:rsid w:val="00E17EAD"/>
    <w:rsid w:val="00E17FE7"/>
    <w:rsid w:val="00E20013"/>
    <w:rsid w:val="00E200B7"/>
    <w:rsid w:val="00E20106"/>
    <w:rsid w:val="00E201A4"/>
    <w:rsid w:val="00E20237"/>
    <w:rsid w:val="00E20274"/>
    <w:rsid w:val="00E202AD"/>
    <w:rsid w:val="00E20433"/>
    <w:rsid w:val="00E20474"/>
    <w:rsid w:val="00E204C2"/>
    <w:rsid w:val="00E20593"/>
    <w:rsid w:val="00E205D5"/>
    <w:rsid w:val="00E20679"/>
    <w:rsid w:val="00E20A20"/>
    <w:rsid w:val="00E20AB9"/>
    <w:rsid w:val="00E20B31"/>
    <w:rsid w:val="00E20F0B"/>
    <w:rsid w:val="00E20FB2"/>
    <w:rsid w:val="00E21262"/>
    <w:rsid w:val="00E2161B"/>
    <w:rsid w:val="00E21AD0"/>
    <w:rsid w:val="00E21C35"/>
    <w:rsid w:val="00E21D0B"/>
    <w:rsid w:val="00E21D51"/>
    <w:rsid w:val="00E21D97"/>
    <w:rsid w:val="00E21EA9"/>
    <w:rsid w:val="00E22039"/>
    <w:rsid w:val="00E22143"/>
    <w:rsid w:val="00E22186"/>
    <w:rsid w:val="00E22209"/>
    <w:rsid w:val="00E22247"/>
    <w:rsid w:val="00E22341"/>
    <w:rsid w:val="00E22343"/>
    <w:rsid w:val="00E223F8"/>
    <w:rsid w:val="00E22404"/>
    <w:rsid w:val="00E224BC"/>
    <w:rsid w:val="00E2250F"/>
    <w:rsid w:val="00E22544"/>
    <w:rsid w:val="00E22597"/>
    <w:rsid w:val="00E22650"/>
    <w:rsid w:val="00E226F1"/>
    <w:rsid w:val="00E227E4"/>
    <w:rsid w:val="00E227EE"/>
    <w:rsid w:val="00E22ADA"/>
    <w:rsid w:val="00E22BA6"/>
    <w:rsid w:val="00E22BFE"/>
    <w:rsid w:val="00E22C91"/>
    <w:rsid w:val="00E22DC7"/>
    <w:rsid w:val="00E22F1E"/>
    <w:rsid w:val="00E22F22"/>
    <w:rsid w:val="00E22F3A"/>
    <w:rsid w:val="00E22F98"/>
    <w:rsid w:val="00E23074"/>
    <w:rsid w:val="00E230C6"/>
    <w:rsid w:val="00E231E5"/>
    <w:rsid w:val="00E23222"/>
    <w:rsid w:val="00E23252"/>
    <w:rsid w:val="00E232FE"/>
    <w:rsid w:val="00E23381"/>
    <w:rsid w:val="00E234CF"/>
    <w:rsid w:val="00E23579"/>
    <w:rsid w:val="00E2359D"/>
    <w:rsid w:val="00E235D5"/>
    <w:rsid w:val="00E2364E"/>
    <w:rsid w:val="00E2367B"/>
    <w:rsid w:val="00E236E0"/>
    <w:rsid w:val="00E23992"/>
    <w:rsid w:val="00E23ACA"/>
    <w:rsid w:val="00E23BF4"/>
    <w:rsid w:val="00E23E3C"/>
    <w:rsid w:val="00E23E90"/>
    <w:rsid w:val="00E23F10"/>
    <w:rsid w:val="00E24035"/>
    <w:rsid w:val="00E24078"/>
    <w:rsid w:val="00E24084"/>
    <w:rsid w:val="00E241FC"/>
    <w:rsid w:val="00E2433D"/>
    <w:rsid w:val="00E24544"/>
    <w:rsid w:val="00E245D0"/>
    <w:rsid w:val="00E2466C"/>
    <w:rsid w:val="00E246B4"/>
    <w:rsid w:val="00E24736"/>
    <w:rsid w:val="00E248F1"/>
    <w:rsid w:val="00E249C4"/>
    <w:rsid w:val="00E24A5F"/>
    <w:rsid w:val="00E24B4D"/>
    <w:rsid w:val="00E24BED"/>
    <w:rsid w:val="00E24D31"/>
    <w:rsid w:val="00E24DF9"/>
    <w:rsid w:val="00E24F37"/>
    <w:rsid w:val="00E24F49"/>
    <w:rsid w:val="00E24F66"/>
    <w:rsid w:val="00E24FBC"/>
    <w:rsid w:val="00E251C9"/>
    <w:rsid w:val="00E252EF"/>
    <w:rsid w:val="00E253F1"/>
    <w:rsid w:val="00E25474"/>
    <w:rsid w:val="00E25601"/>
    <w:rsid w:val="00E2575B"/>
    <w:rsid w:val="00E258C7"/>
    <w:rsid w:val="00E25B18"/>
    <w:rsid w:val="00E25C88"/>
    <w:rsid w:val="00E25CDF"/>
    <w:rsid w:val="00E25D2D"/>
    <w:rsid w:val="00E25D38"/>
    <w:rsid w:val="00E25DCB"/>
    <w:rsid w:val="00E25E3D"/>
    <w:rsid w:val="00E25E72"/>
    <w:rsid w:val="00E25F31"/>
    <w:rsid w:val="00E25F72"/>
    <w:rsid w:val="00E260FA"/>
    <w:rsid w:val="00E2620B"/>
    <w:rsid w:val="00E263B5"/>
    <w:rsid w:val="00E26431"/>
    <w:rsid w:val="00E2643F"/>
    <w:rsid w:val="00E26469"/>
    <w:rsid w:val="00E26500"/>
    <w:rsid w:val="00E265C9"/>
    <w:rsid w:val="00E2660E"/>
    <w:rsid w:val="00E2677C"/>
    <w:rsid w:val="00E2693E"/>
    <w:rsid w:val="00E26945"/>
    <w:rsid w:val="00E26B03"/>
    <w:rsid w:val="00E26B9C"/>
    <w:rsid w:val="00E26BE9"/>
    <w:rsid w:val="00E26CF7"/>
    <w:rsid w:val="00E26EC5"/>
    <w:rsid w:val="00E26F4D"/>
    <w:rsid w:val="00E26FB4"/>
    <w:rsid w:val="00E2700D"/>
    <w:rsid w:val="00E272D8"/>
    <w:rsid w:val="00E27403"/>
    <w:rsid w:val="00E27453"/>
    <w:rsid w:val="00E2758C"/>
    <w:rsid w:val="00E27630"/>
    <w:rsid w:val="00E27655"/>
    <w:rsid w:val="00E27887"/>
    <w:rsid w:val="00E279CA"/>
    <w:rsid w:val="00E27AE3"/>
    <w:rsid w:val="00E27AFF"/>
    <w:rsid w:val="00E27BC2"/>
    <w:rsid w:val="00E27C7A"/>
    <w:rsid w:val="00E27C97"/>
    <w:rsid w:val="00E27CB7"/>
    <w:rsid w:val="00E27D01"/>
    <w:rsid w:val="00E27EFB"/>
    <w:rsid w:val="00E3017A"/>
    <w:rsid w:val="00E30297"/>
    <w:rsid w:val="00E302DE"/>
    <w:rsid w:val="00E30360"/>
    <w:rsid w:val="00E3077A"/>
    <w:rsid w:val="00E30A72"/>
    <w:rsid w:val="00E30A89"/>
    <w:rsid w:val="00E30BB6"/>
    <w:rsid w:val="00E30BE3"/>
    <w:rsid w:val="00E30D14"/>
    <w:rsid w:val="00E30DF9"/>
    <w:rsid w:val="00E30E87"/>
    <w:rsid w:val="00E30F10"/>
    <w:rsid w:val="00E31002"/>
    <w:rsid w:val="00E31428"/>
    <w:rsid w:val="00E31791"/>
    <w:rsid w:val="00E31AB4"/>
    <w:rsid w:val="00E31AD8"/>
    <w:rsid w:val="00E31B29"/>
    <w:rsid w:val="00E31B7F"/>
    <w:rsid w:val="00E31BB2"/>
    <w:rsid w:val="00E31BB9"/>
    <w:rsid w:val="00E31C15"/>
    <w:rsid w:val="00E31EEF"/>
    <w:rsid w:val="00E31F03"/>
    <w:rsid w:val="00E3214B"/>
    <w:rsid w:val="00E32229"/>
    <w:rsid w:val="00E322BC"/>
    <w:rsid w:val="00E32318"/>
    <w:rsid w:val="00E32411"/>
    <w:rsid w:val="00E3247D"/>
    <w:rsid w:val="00E3249C"/>
    <w:rsid w:val="00E3255E"/>
    <w:rsid w:val="00E32682"/>
    <w:rsid w:val="00E3275B"/>
    <w:rsid w:val="00E328AA"/>
    <w:rsid w:val="00E32A06"/>
    <w:rsid w:val="00E32AE1"/>
    <w:rsid w:val="00E32CFA"/>
    <w:rsid w:val="00E32E3E"/>
    <w:rsid w:val="00E32E77"/>
    <w:rsid w:val="00E32E9A"/>
    <w:rsid w:val="00E32ECA"/>
    <w:rsid w:val="00E32EE5"/>
    <w:rsid w:val="00E32F93"/>
    <w:rsid w:val="00E32FD3"/>
    <w:rsid w:val="00E330A1"/>
    <w:rsid w:val="00E330AF"/>
    <w:rsid w:val="00E33111"/>
    <w:rsid w:val="00E331E0"/>
    <w:rsid w:val="00E332FC"/>
    <w:rsid w:val="00E3347A"/>
    <w:rsid w:val="00E334E6"/>
    <w:rsid w:val="00E33513"/>
    <w:rsid w:val="00E33558"/>
    <w:rsid w:val="00E3360A"/>
    <w:rsid w:val="00E337CF"/>
    <w:rsid w:val="00E33963"/>
    <w:rsid w:val="00E33987"/>
    <w:rsid w:val="00E3398D"/>
    <w:rsid w:val="00E33A10"/>
    <w:rsid w:val="00E33B5B"/>
    <w:rsid w:val="00E33C92"/>
    <w:rsid w:val="00E33D13"/>
    <w:rsid w:val="00E33EDD"/>
    <w:rsid w:val="00E33EEE"/>
    <w:rsid w:val="00E33F6D"/>
    <w:rsid w:val="00E3407C"/>
    <w:rsid w:val="00E3407D"/>
    <w:rsid w:val="00E34269"/>
    <w:rsid w:val="00E3430D"/>
    <w:rsid w:val="00E343B5"/>
    <w:rsid w:val="00E343DC"/>
    <w:rsid w:val="00E343F7"/>
    <w:rsid w:val="00E34770"/>
    <w:rsid w:val="00E3480E"/>
    <w:rsid w:val="00E3488A"/>
    <w:rsid w:val="00E348D4"/>
    <w:rsid w:val="00E34932"/>
    <w:rsid w:val="00E34AF1"/>
    <w:rsid w:val="00E34BFB"/>
    <w:rsid w:val="00E34D4E"/>
    <w:rsid w:val="00E34DA6"/>
    <w:rsid w:val="00E34E28"/>
    <w:rsid w:val="00E3505B"/>
    <w:rsid w:val="00E350AF"/>
    <w:rsid w:val="00E35196"/>
    <w:rsid w:val="00E351F4"/>
    <w:rsid w:val="00E3525C"/>
    <w:rsid w:val="00E353F3"/>
    <w:rsid w:val="00E35504"/>
    <w:rsid w:val="00E35524"/>
    <w:rsid w:val="00E355C8"/>
    <w:rsid w:val="00E356D0"/>
    <w:rsid w:val="00E357CA"/>
    <w:rsid w:val="00E35888"/>
    <w:rsid w:val="00E359DB"/>
    <w:rsid w:val="00E359DE"/>
    <w:rsid w:val="00E359E8"/>
    <w:rsid w:val="00E35C03"/>
    <w:rsid w:val="00E35C09"/>
    <w:rsid w:val="00E35C5C"/>
    <w:rsid w:val="00E35C86"/>
    <w:rsid w:val="00E35CBA"/>
    <w:rsid w:val="00E35D7C"/>
    <w:rsid w:val="00E35DBE"/>
    <w:rsid w:val="00E35DF6"/>
    <w:rsid w:val="00E35E97"/>
    <w:rsid w:val="00E35EE3"/>
    <w:rsid w:val="00E35EE4"/>
    <w:rsid w:val="00E36238"/>
    <w:rsid w:val="00E36256"/>
    <w:rsid w:val="00E363AA"/>
    <w:rsid w:val="00E363CE"/>
    <w:rsid w:val="00E364CD"/>
    <w:rsid w:val="00E366A3"/>
    <w:rsid w:val="00E367DA"/>
    <w:rsid w:val="00E3681C"/>
    <w:rsid w:val="00E3692C"/>
    <w:rsid w:val="00E369AB"/>
    <w:rsid w:val="00E36C75"/>
    <w:rsid w:val="00E36DA1"/>
    <w:rsid w:val="00E36FB5"/>
    <w:rsid w:val="00E36FCA"/>
    <w:rsid w:val="00E37044"/>
    <w:rsid w:val="00E37096"/>
    <w:rsid w:val="00E371B8"/>
    <w:rsid w:val="00E37396"/>
    <w:rsid w:val="00E376B9"/>
    <w:rsid w:val="00E37823"/>
    <w:rsid w:val="00E37855"/>
    <w:rsid w:val="00E37927"/>
    <w:rsid w:val="00E37989"/>
    <w:rsid w:val="00E379B4"/>
    <w:rsid w:val="00E379BC"/>
    <w:rsid w:val="00E379C3"/>
    <w:rsid w:val="00E379F7"/>
    <w:rsid w:val="00E37A8E"/>
    <w:rsid w:val="00E37A9F"/>
    <w:rsid w:val="00E37CB0"/>
    <w:rsid w:val="00E37E54"/>
    <w:rsid w:val="00E37E9C"/>
    <w:rsid w:val="00E37EE6"/>
    <w:rsid w:val="00E37EF6"/>
    <w:rsid w:val="00E37FB1"/>
    <w:rsid w:val="00E400A0"/>
    <w:rsid w:val="00E40282"/>
    <w:rsid w:val="00E405F5"/>
    <w:rsid w:val="00E4073C"/>
    <w:rsid w:val="00E40A62"/>
    <w:rsid w:val="00E40E0F"/>
    <w:rsid w:val="00E40E5E"/>
    <w:rsid w:val="00E40FD3"/>
    <w:rsid w:val="00E411D2"/>
    <w:rsid w:val="00E41437"/>
    <w:rsid w:val="00E414FC"/>
    <w:rsid w:val="00E415EE"/>
    <w:rsid w:val="00E4165D"/>
    <w:rsid w:val="00E41790"/>
    <w:rsid w:val="00E417CF"/>
    <w:rsid w:val="00E4188F"/>
    <w:rsid w:val="00E418F3"/>
    <w:rsid w:val="00E4195F"/>
    <w:rsid w:val="00E41AD6"/>
    <w:rsid w:val="00E41B5F"/>
    <w:rsid w:val="00E41BFD"/>
    <w:rsid w:val="00E41C34"/>
    <w:rsid w:val="00E41D1E"/>
    <w:rsid w:val="00E41E66"/>
    <w:rsid w:val="00E41F7E"/>
    <w:rsid w:val="00E42060"/>
    <w:rsid w:val="00E4226C"/>
    <w:rsid w:val="00E42384"/>
    <w:rsid w:val="00E42510"/>
    <w:rsid w:val="00E4280A"/>
    <w:rsid w:val="00E4280B"/>
    <w:rsid w:val="00E4292D"/>
    <w:rsid w:val="00E42A86"/>
    <w:rsid w:val="00E42B12"/>
    <w:rsid w:val="00E42B75"/>
    <w:rsid w:val="00E42C20"/>
    <w:rsid w:val="00E42DAF"/>
    <w:rsid w:val="00E42E96"/>
    <w:rsid w:val="00E42EC6"/>
    <w:rsid w:val="00E430CF"/>
    <w:rsid w:val="00E430E8"/>
    <w:rsid w:val="00E430F9"/>
    <w:rsid w:val="00E43121"/>
    <w:rsid w:val="00E431B1"/>
    <w:rsid w:val="00E431D2"/>
    <w:rsid w:val="00E4320B"/>
    <w:rsid w:val="00E4322D"/>
    <w:rsid w:val="00E43351"/>
    <w:rsid w:val="00E4350A"/>
    <w:rsid w:val="00E43749"/>
    <w:rsid w:val="00E43A43"/>
    <w:rsid w:val="00E43A46"/>
    <w:rsid w:val="00E43A7F"/>
    <w:rsid w:val="00E43B49"/>
    <w:rsid w:val="00E43C6A"/>
    <w:rsid w:val="00E43CFF"/>
    <w:rsid w:val="00E43D59"/>
    <w:rsid w:val="00E43E72"/>
    <w:rsid w:val="00E43F83"/>
    <w:rsid w:val="00E444F8"/>
    <w:rsid w:val="00E4488C"/>
    <w:rsid w:val="00E448C0"/>
    <w:rsid w:val="00E448C7"/>
    <w:rsid w:val="00E4496E"/>
    <w:rsid w:val="00E4498A"/>
    <w:rsid w:val="00E449A7"/>
    <w:rsid w:val="00E44A1B"/>
    <w:rsid w:val="00E44A56"/>
    <w:rsid w:val="00E44A5B"/>
    <w:rsid w:val="00E44B61"/>
    <w:rsid w:val="00E44CAA"/>
    <w:rsid w:val="00E44D4D"/>
    <w:rsid w:val="00E44DCC"/>
    <w:rsid w:val="00E44F1B"/>
    <w:rsid w:val="00E4509C"/>
    <w:rsid w:val="00E45162"/>
    <w:rsid w:val="00E45174"/>
    <w:rsid w:val="00E45294"/>
    <w:rsid w:val="00E452C5"/>
    <w:rsid w:val="00E4548D"/>
    <w:rsid w:val="00E458B8"/>
    <w:rsid w:val="00E45952"/>
    <w:rsid w:val="00E45960"/>
    <w:rsid w:val="00E45A72"/>
    <w:rsid w:val="00E45AE1"/>
    <w:rsid w:val="00E45B3B"/>
    <w:rsid w:val="00E45B8D"/>
    <w:rsid w:val="00E45CC4"/>
    <w:rsid w:val="00E45D04"/>
    <w:rsid w:val="00E45D08"/>
    <w:rsid w:val="00E45D16"/>
    <w:rsid w:val="00E45D2A"/>
    <w:rsid w:val="00E45DB6"/>
    <w:rsid w:val="00E45E69"/>
    <w:rsid w:val="00E45E87"/>
    <w:rsid w:val="00E45F3A"/>
    <w:rsid w:val="00E46005"/>
    <w:rsid w:val="00E4605A"/>
    <w:rsid w:val="00E4644E"/>
    <w:rsid w:val="00E46536"/>
    <w:rsid w:val="00E46631"/>
    <w:rsid w:val="00E46658"/>
    <w:rsid w:val="00E4665D"/>
    <w:rsid w:val="00E46944"/>
    <w:rsid w:val="00E46B35"/>
    <w:rsid w:val="00E46BB0"/>
    <w:rsid w:val="00E46CAF"/>
    <w:rsid w:val="00E46D26"/>
    <w:rsid w:val="00E46EBE"/>
    <w:rsid w:val="00E47046"/>
    <w:rsid w:val="00E47052"/>
    <w:rsid w:val="00E47107"/>
    <w:rsid w:val="00E471A5"/>
    <w:rsid w:val="00E47306"/>
    <w:rsid w:val="00E475FE"/>
    <w:rsid w:val="00E476A8"/>
    <w:rsid w:val="00E4777D"/>
    <w:rsid w:val="00E478D5"/>
    <w:rsid w:val="00E47939"/>
    <w:rsid w:val="00E47990"/>
    <w:rsid w:val="00E479AF"/>
    <w:rsid w:val="00E47A06"/>
    <w:rsid w:val="00E47A6A"/>
    <w:rsid w:val="00E47DBB"/>
    <w:rsid w:val="00E5008E"/>
    <w:rsid w:val="00E50194"/>
    <w:rsid w:val="00E505E7"/>
    <w:rsid w:val="00E50668"/>
    <w:rsid w:val="00E50689"/>
    <w:rsid w:val="00E506C1"/>
    <w:rsid w:val="00E506F5"/>
    <w:rsid w:val="00E50AAB"/>
    <w:rsid w:val="00E50B13"/>
    <w:rsid w:val="00E50BD5"/>
    <w:rsid w:val="00E50F34"/>
    <w:rsid w:val="00E5109F"/>
    <w:rsid w:val="00E510B7"/>
    <w:rsid w:val="00E511C7"/>
    <w:rsid w:val="00E51286"/>
    <w:rsid w:val="00E51397"/>
    <w:rsid w:val="00E51443"/>
    <w:rsid w:val="00E514A6"/>
    <w:rsid w:val="00E51501"/>
    <w:rsid w:val="00E516D0"/>
    <w:rsid w:val="00E51962"/>
    <w:rsid w:val="00E5196E"/>
    <w:rsid w:val="00E51A49"/>
    <w:rsid w:val="00E51A91"/>
    <w:rsid w:val="00E51AA3"/>
    <w:rsid w:val="00E51BE7"/>
    <w:rsid w:val="00E51C11"/>
    <w:rsid w:val="00E51C7D"/>
    <w:rsid w:val="00E51D0E"/>
    <w:rsid w:val="00E51D37"/>
    <w:rsid w:val="00E51D4F"/>
    <w:rsid w:val="00E51E65"/>
    <w:rsid w:val="00E51EEA"/>
    <w:rsid w:val="00E51F40"/>
    <w:rsid w:val="00E5218C"/>
    <w:rsid w:val="00E5221E"/>
    <w:rsid w:val="00E522BE"/>
    <w:rsid w:val="00E5233A"/>
    <w:rsid w:val="00E523DD"/>
    <w:rsid w:val="00E5246A"/>
    <w:rsid w:val="00E524FD"/>
    <w:rsid w:val="00E52586"/>
    <w:rsid w:val="00E525D7"/>
    <w:rsid w:val="00E5276A"/>
    <w:rsid w:val="00E52A27"/>
    <w:rsid w:val="00E52A98"/>
    <w:rsid w:val="00E52B0A"/>
    <w:rsid w:val="00E52B2D"/>
    <w:rsid w:val="00E52B8C"/>
    <w:rsid w:val="00E52E48"/>
    <w:rsid w:val="00E52E9F"/>
    <w:rsid w:val="00E52EB0"/>
    <w:rsid w:val="00E534A5"/>
    <w:rsid w:val="00E53703"/>
    <w:rsid w:val="00E53786"/>
    <w:rsid w:val="00E5390E"/>
    <w:rsid w:val="00E53BB7"/>
    <w:rsid w:val="00E53DAA"/>
    <w:rsid w:val="00E53E9C"/>
    <w:rsid w:val="00E53F16"/>
    <w:rsid w:val="00E53F3B"/>
    <w:rsid w:val="00E53F91"/>
    <w:rsid w:val="00E54041"/>
    <w:rsid w:val="00E54084"/>
    <w:rsid w:val="00E540DA"/>
    <w:rsid w:val="00E54126"/>
    <w:rsid w:val="00E541B4"/>
    <w:rsid w:val="00E54382"/>
    <w:rsid w:val="00E5439F"/>
    <w:rsid w:val="00E543B7"/>
    <w:rsid w:val="00E54460"/>
    <w:rsid w:val="00E546BF"/>
    <w:rsid w:val="00E5479C"/>
    <w:rsid w:val="00E54821"/>
    <w:rsid w:val="00E54906"/>
    <w:rsid w:val="00E5498B"/>
    <w:rsid w:val="00E54AAF"/>
    <w:rsid w:val="00E54ACD"/>
    <w:rsid w:val="00E54B2B"/>
    <w:rsid w:val="00E54C06"/>
    <w:rsid w:val="00E54C63"/>
    <w:rsid w:val="00E54C83"/>
    <w:rsid w:val="00E54C95"/>
    <w:rsid w:val="00E54D88"/>
    <w:rsid w:val="00E54DB2"/>
    <w:rsid w:val="00E54F27"/>
    <w:rsid w:val="00E551B1"/>
    <w:rsid w:val="00E551D1"/>
    <w:rsid w:val="00E55271"/>
    <w:rsid w:val="00E55398"/>
    <w:rsid w:val="00E556DD"/>
    <w:rsid w:val="00E559B2"/>
    <w:rsid w:val="00E55A0F"/>
    <w:rsid w:val="00E55AF3"/>
    <w:rsid w:val="00E55D1C"/>
    <w:rsid w:val="00E55D4F"/>
    <w:rsid w:val="00E55D7B"/>
    <w:rsid w:val="00E560B8"/>
    <w:rsid w:val="00E56125"/>
    <w:rsid w:val="00E56314"/>
    <w:rsid w:val="00E56327"/>
    <w:rsid w:val="00E56399"/>
    <w:rsid w:val="00E563CD"/>
    <w:rsid w:val="00E56421"/>
    <w:rsid w:val="00E5655B"/>
    <w:rsid w:val="00E566A7"/>
    <w:rsid w:val="00E56881"/>
    <w:rsid w:val="00E56982"/>
    <w:rsid w:val="00E56AA9"/>
    <w:rsid w:val="00E56BB4"/>
    <w:rsid w:val="00E56BC1"/>
    <w:rsid w:val="00E56C1C"/>
    <w:rsid w:val="00E56CFE"/>
    <w:rsid w:val="00E56F05"/>
    <w:rsid w:val="00E570BD"/>
    <w:rsid w:val="00E571FC"/>
    <w:rsid w:val="00E57258"/>
    <w:rsid w:val="00E5732E"/>
    <w:rsid w:val="00E57382"/>
    <w:rsid w:val="00E573F9"/>
    <w:rsid w:val="00E5741D"/>
    <w:rsid w:val="00E5744B"/>
    <w:rsid w:val="00E574DB"/>
    <w:rsid w:val="00E5768A"/>
    <w:rsid w:val="00E57691"/>
    <w:rsid w:val="00E576A8"/>
    <w:rsid w:val="00E57701"/>
    <w:rsid w:val="00E5790E"/>
    <w:rsid w:val="00E57BED"/>
    <w:rsid w:val="00E57F16"/>
    <w:rsid w:val="00E57F2F"/>
    <w:rsid w:val="00E60159"/>
    <w:rsid w:val="00E601F6"/>
    <w:rsid w:val="00E60285"/>
    <w:rsid w:val="00E602C2"/>
    <w:rsid w:val="00E603FC"/>
    <w:rsid w:val="00E6049D"/>
    <w:rsid w:val="00E6053C"/>
    <w:rsid w:val="00E6059C"/>
    <w:rsid w:val="00E606F0"/>
    <w:rsid w:val="00E6078D"/>
    <w:rsid w:val="00E608CC"/>
    <w:rsid w:val="00E6099A"/>
    <w:rsid w:val="00E60AA1"/>
    <w:rsid w:val="00E60C98"/>
    <w:rsid w:val="00E60D77"/>
    <w:rsid w:val="00E60E04"/>
    <w:rsid w:val="00E60EFE"/>
    <w:rsid w:val="00E61070"/>
    <w:rsid w:val="00E61138"/>
    <w:rsid w:val="00E611FF"/>
    <w:rsid w:val="00E61412"/>
    <w:rsid w:val="00E61435"/>
    <w:rsid w:val="00E6149C"/>
    <w:rsid w:val="00E61574"/>
    <w:rsid w:val="00E61595"/>
    <w:rsid w:val="00E615BF"/>
    <w:rsid w:val="00E61619"/>
    <w:rsid w:val="00E61632"/>
    <w:rsid w:val="00E61714"/>
    <w:rsid w:val="00E619A5"/>
    <w:rsid w:val="00E619CF"/>
    <w:rsid w:val="00E61B83"/>
    <w:rsid w:val="00E61D41"/>
    <w:rsid w:val="00E61E74"/>
    <w:rsid w:val="00E61F2B"/>
    <w:rsid w:val="00E622B2"/>
    <w:rsid w:val="00E622B8"/>
    <w:rsid w:val="00E62309"/>
    <w:rsid w:val="00E62330"/>
    <w:rsid w:val="00E6234C"/>
    <w:rsid w:val="00E623B8"/>
    <w:rsid w:val="00E625D0"/>
    <w:rsid w:val="00E625FA"/>
    <w:rsid w:val="00E6280A"/>
    <w:rsid w:val="00E6287A"/>
    <w:rsid w:val="00E6292F"/>
    <w:rsid w:val="00E62A6B"/>
    <w:rsid w:val="00E62AF7"/>
    <w:rsid w:val="00E62C3B"/>
    <w:rsid w:val="00E62DFF"/>
    <w:rsid w:val="00E62E7A"/>
    <w:rsid w:val="00E62FA3"/>
    <w:rsid w:val="00E6313D"/>
    <w:rsid w:val="00E631C5"/>
    <w:rsid w:val="00E63207"/>
    <w:rsid w:val="00E63366"/>
    <w:rsid w:val="00E63381"/>
    <w:rsid w:val="00E6338A"/>
    <w:rsid w:val="00E6352A"/>
    <w:rsid w:val="00E63710"/>
    <w:rsid w:val="00E63791"/>
    <w:rsid w:val="00E63800"/>
    <w:rsid w:val="00E63883"/>
    <w:rsid w:val="00E638BA"/>
    <w:rsid w:val="00E638BC"/>
    <w:rsid w:val="00E639F2"/>
    <w:rsid w:val="00E63A4E"/>
    <w:rsid w:val="00E63A4F"/>
    <w:rsid w:val="00E63A71"/>
    <w:rsid w:val="00E63A75"/>
    <w:rsid w:val="00E63BA4"/>
    <w:rsid w:val="00E63D9F"/>
    <w:rsid w:val="00E63EC1"/>
    <w:rsid w:val="00E63ED9"/>
    <w:rsid w:val="00E63FC5"/>
    <w:rsid w:val="00E63FD8"/>
    <w:rsid w:val="00E640FB"/>
    <w:rsid w:val="00E6414F"/>
    <w:rsid w:val="00E642E7"/>
    <w:rsid w:val="00E64515"/>
    <w:rsid w:val="00E64560"/>
    <w:rsid w:val="00E64593"/>
    <w:rsid w:val="00E645B5"/>
    <w:rsid w:val="00E64616"/>
    <w:rsid w:val="00E6470D"/>
    <w:rsid w:val="00E64754"/>
    <w:rsid w:val="00E648D8"/>
    <w:rsid w:val="00E64A62"/>
    <w:rsid w:val="00E64B5A"/>
    <w:rsid w:val="00E64BD6"/>
    <w:rsid w:val="00E64D59"/>
    <w:rsid w:val="00E64DD7"/>
    <w:rsid w:val="00E65049"/>
    <w:rsid w:val="00E6511D"/>
    <w:rsid w:val="00E651A0"/>
    <w:rsid w:val="00E651C5"/>
    <w:rsid w:val="00E653CE"/>
    <w:rsid w:val="00E654B8"/>
    <w:rsid w:val="00E65521"/>
    <w:rsid w:val="00E655DB"/>
    <w:rsid w:val="00E656AB"/>
    <w:rsid w:val="00E658B7"/>
    <w:rsid w:val="00E65A35"/>
    <w:rsid w:val="00E65DE6"/>
    <w:rsid w:val="00E65FE4"/>
    <w:rsid w:val="00E65FEF"/>
    <w:rsid w:val="00E66038"/>
    <w:rsid w:val="00E66045"/>
    <w:rsid w:val="00E660B6"/>
    <w:rsid w:val="00E6627D"/>
    <w:rsid w:val="00E663BC"/>
    <w:rsid w:val="00E664AB"/>
    <w:rsid w:val="00E66511"/>
    <w:rsid w:val="00E6658E"/>
    <w:rsid w:val="00E665D9"/>
    <w:rsid w:val="00E666BA"/>
    <w:rsid w:val="00E66759"/>
    <w:rsid w:val="00E6679F"/>
    <w:rsid w:val="00E6684F"/>
    <w:rsid w:val="00E66851"/>
    <w:rsid w:val="00E6694F"/>
    <w:rsid w:val="00E66C8A"/>
    <w:rsid w:val="00E66CA1"/>
    <w:rsid w:val="00E66D01"/>
    <w:rsid w:val="00E66D1B"/>
    <w:rsid w:val="00E66DD8"/>
    <w:rsid w:val="00E66E91"/>
    <w:rsid w:val="00E67124"/>
    <w:rsid w:val="00E671F1"/>
    <w:rsid w:val="00E67252"/>
    <w:rsid w:val="00E673EF"/>
    <w:rsid w:val="00E67459"/>
    <w:rsid w:val="00E67659"/>
    <w:rsid w:val="00E676B1"/>
    <w:rsid w:val="00E678D9"/>
    <w:rsid w:val="00E678E1"/>
    <w:rsid w:val="00E67BD1"/>
    <w:rsid w:val="00E67D35"/>
    <w:rsid w:val="00E67DFF"/>
    <w:rsid w:val="00E67E5C"/>
    <w:rsid w:val="00E67E80"/>
    <w:rsid w:val="00E67ED9"/>
    <w:rsid w:val="00E70276"/>
    <w:rsid w:val="00E70371"/>
    <w:rsid w:val="00E70408"/>
    <w:rsid w:val="00E70425"/>
    <w:rsid w:val="00E7052D"/>
    <w:rsid w:val="00E70606"/>
    <w:rsid w:val="00E70644"/>
    <w:rsid w:val="00E706F7"/>
    <w:rsid w:val="00E70793"/>
    <w:rsid w:val="00E707F5"/>
    <w:rsid w:val="00E70836"/>
    <w:rsid w:val="00E70896"/>
    <w:rsid w:val="00E70C0D"/>
    <w:rsid w:val="00E70D96"/>
    <w:rsid w:val="00E70DD7"/>
    <w:rsid w:val="00E70E88"/>
    <w:rsid w:val="00E70F97"/>
    <w:rsid w:val="00E7100F"/>
    <w:rsid w:val="00E712F8"/>
    <w:rsid w:val="00E71302"/>
    <w:rsid w:val="00E71416"/>
    <w:rsid w:val="00E716A6"/>
    <w:rsid w:val="00E718C8"/>
    <w:rsid w:val="00E719BE"/>
    <w:rsid w:val="00E71A90"/>
    <w:rsid w:val="00E71B40"/>
    <w:rsid w:val="00E71B83"/>
    <w:rsid w:val="00E71BC9"/>
    <w:rsid w:val="00E71D95"/>
    <w:rsid w:val="00E71DD7"/>
    <w:rsid w:val="00E71EC6"/>
    <w:rsid w:val="00E71F48"/>
    <w:rsid w:val="00E71FEF"/>
    <w:rsid w:val="00E72138"/>
    <w:rsid w:val="00E721FD"/>
    <w:rsid w:val="00E72217"/>
    <w:rsid w:val="00E72328"/>
    <w:rsid w:val="00E72396"/>
    <w:rsid w:val="00E723C9"/>
    <w:rsid w:val="00E72410"/>
    <w:rsid w:val="00E72505"/>
    <w:rsid w:val="00E72550"/>
    <w:rsid w:val="00E725C7"/>
    <w:rsid w:val="00E725FB"/>
    <w:rsid w:val="00E7264F"/>
    <w:rsid w:val="00E7288D"/>
    <w:rsid w:val="00E72A95"/>
    <w:rsid w:val="00E72B60"/>
    <w:rsid w:val="00E72C1D"/>
    <w:rsid w:val="00E72EE0"/>
    <w:rsid w:val="00E72F7F"/>
    <w:rsid w:val="00E72FCF"/>
    <w:rsid w:val="00E732E6"/>
    <w:rsid w:val="00E73398"/>
    <w:rsid w:val="00E734E3"/>
    <w:rsid w:val="00E73706"/>
    <w:rsid w:val="00E73708"/>
    <w:rsid w:val="00E738B9"/>
    <w:rsid w:val="00E73AAB"/>
    <w:rsid w:val="00E73B40"/>
    <w:rsid w:val="00E73BF9"/>
    <w:rsid w:val="00E73E12"/>
    <w:rsid w:val="00E73E72"/>
    <w:rsid w:val="00E73EB4"/>
    <w:rsid w:val="00E73F24"/>
    <w:rsid w:val="00E73F8D"/>
    <w:rsid w:val="00E74095"/>
    <w:rsid w:val="00E740EE"/>
    <w:rsid w:val="00E741A4"/>
    <w:rsid w:val="00E741F4"/>
    <w:rsid w:val="00E741FB"/>
    <w:rsid w:val="00E7464E"/>
    <w:rsid w:val="00E7467B"/>
    <w:rsid w:val="00E7469B"/>
    <w:rsid w:val="00E7478D"/>
    <w:rsid w:val="00E7482A"/>
    <w:rsid w:val="00E74916"/>
    <w:rsid w:val="00E7495B"/>
    <w:rsid w:val="00E749FB"/>
    <w:rsid w:val="00E74A43"/>
    <w:rsid w:val="00E74B77"/>
    <w:rsid w:val="00E74BB6"/>
    <w:rsid w:val="00E74C74"/>
    <w:rsid w:val="00E74C75"/>
    <w:rsid w:val="00E74D18"/>
    <w:rsid w:val="00E74D33"/>
    <w:rsid w:val="00E74F5F"/>
    <w:rsid w:val="00E75031"/>
    <w:rsid w:val="00E751C3"/>
    <w:rsid w:val="00E7531B"/>
    <w:rsid w:val="00E75339"/>
    <w:rsid w:val="00E753FD"/>
    <w:rsid w:val="00E75472"/>
    <w:rsid w:val="00E75564"/>
    <w:rsid w:val="00E755AA"/>
    <w:rsid w:val="00E7568F"/>
    <w:rsid w:val="00E756C2"/>
    <w:rsid w:val="00E75713"/>
    <w:rsid w:val="00E75746"/>
    <w:rsid w:val="00E75810"/>
    <w:rsid w:val="00E75844"/>
    <w:rsid w:val="00E758EC"/>
    <w:rsid w:val="00E75C0A"/>
    <w:rsid w:val="00E75C57"/>
    <w:rsid w:val="00E75E31"/>
    <w:rsid w:val="00E75E62"/>
    <w:rsid w:val="00E75F68"/>
    <w:rsid w:val="00E76087"/>
    <w:rsid w:val="00E76094"/>
    <w:rsid w:val="00E7609F"/>
    <w:rsid w:val="00E76282"/>
    <w:rsid w:val="00E76338"/>
    <w:rsid w:val="00E7635C"/>
    <w:rsid w:val="00E7641E"/>
    <w:rsid w:val="00E76696"/>
    <w:rsid w:val="00E766CE"/>
    <w:rsid w:val="00E76749"/>
    <w:rsid w:val="00E76773"/>
    <w:rsid w:val="00E7696B"/>
    <w:rsid w:val="00E7698D"/>
    <w:rsid w:val="00E76A68"/>
    <w:rsid w:val="00E76A78"/>
    <w:rsid w:val="00E76B4C"/>
    <w:rsid w:val="00E76B9B"/>
    <w:rsid w:val="00E76C1D"/>
    <w:rsid w:val="00E76EAB"/>
    <w:rsid w:val="00E76EFF"/>
    <w:rsid w:val="00E77081"/>
    <w:rsid w:val="00E770CD"/>
    <w:rsid w:val="00E7713A"/>
    <w:rsid w:val="00E772AC"/>
    <w:rsid w:val="00E77372"/>
    <w:rsid w:val="00E773DA"/>
    <w:rsid w:val="00E773E5"/>
    <w:rsid w:val="00E77464"/>
    <w:rsid w:val="00E77466"/>
    <w:rsid w:val="00E774EC"/>
    <w:rsid w:val="00E775B0"/>
    <w:rsid w:val="00E77691"/>
    <w:rsid w:val="00E77A9E"/>
    <w:rsid w:val="00E77BBF"/>
    <w:rsid w:val="00E77E7F"/>
    <w:rsid w:val="00E77FE8"/>
    <w:rsid w:val="00E8002E"/>
    <w:rsid w:val="00E80150"/>
    <w:rsid w:val="00E801C7"/>
    <w:rsid w:val="00E80260"/>
    <w:rsid w:val="00E802C0"/>
    <w:rsid w:val="00E8041B"/>
    <w:rsid w:val="00E804AB"/>
    <w:rsid w:val="00E804D9"/>
    <w:rsid w:val="00E8055D"/>
    <w:rsid w:val="00E805EE"/>
    <w:rsid w:val="00E8085F"/>
    <w:rsid w:val="00E80890"/>
    <w:rsid w:val="00E809BB"/>
    <w:rsid w:val="00E80A0A"/>
    <w:rsid w:val="00E80AD0"/>
    <w:rsid w:val="00E80BAC"/>
    <w:rsid w:val="00E80C1D"/>
    <w:rsid w:val="00E80D52"/>
    <w:rsid w:val="00E80D70"/>
    <w:rsid w:val="00E80F17"/>
    <w:rsid w:val="00E8119C"/>
    <w:rsid w:val="00E81206"/>
    <w:rsid w:val="00E812CD"/>
    <w:rsid w:val="00E81350"/>
    <w:rsid w:val="00E813B5"/>
    <w:rsid w:val="00E813E5"/>
    <w:rsid w:val="00E81412"/>
    <w:rsid w:val="00E81621"/>
    <w:rsid w:val="00E81622"/>
    <w:rsid w:val="00E81726"/>
    <w:rsid w:val="00E817B3"/>
    <w:rsid w:val="00E81870"/>
    <w:rsid w:val="00E8194A"/>
    <w:rsid w:val="00E819E7"/>
    <w:rsid w:val="00E81B07"/>
    <w:rsid w:val="00E81BF2"/>
    <w:rsid w:val="00E81BFA"/>
    <w:rsid w:val="00E81CB8"/>
    <w:rsid w:val="00E81F79"/>
    <w:rsid w:val="00E82259"/>
    <w:rsid w:val="00E82346"/>
    <w:rsid w:val="00E82451"/>
    <w:rsid w:val="00E82538"/>
    <w:rsid w:val="00E8268B"/>
    <w:rsid w:val="00E827E9"/>
    <w:rsid w:val="00E827F8"/>
    <w:rsid w:val="00E8282F"/>
    <w:rsid w:val="00E82885"/>
    <w:rsid w:val="00E82887"/>
    <w:rsid w:val="00E828B3"/>
    <w:rsid w:val="00E82941"/>
    <w:rsid w:val="00E82A9C"/>
    <w:rsid w:val="00E82BC5"/>
    <w:rsid w:val="00E82C20"/>
    <w:rsid w:val="00E82FB8"/>
    <w:rsid w:val="00E83069"/>
    <w:rsid w:val="00E832EB"/>
    <w:rsid w:val="00E8338F"/>
    <w:rsid w:val="00E833D7"/>
    <w:rsid w:val="00E833E2"/>
    <w:rsid w:val="00E83441"/>
    <w:rsid w:val="00E835E4"/>
    <w:rsid w:val="00E8365A"/>
    <w:rsid w:val="00E83667"/>
    <w:rsid w:val="00E836F4"/>
    <w:rsid w:val="00E837F2"/>
    <w:rsid w:val="00E83871"/>
    <w:rsid w:val="00E83910"/>
    <w:rsid w:val="00E839BC"/>
    <w:rsid w:val="00E839D0"/>
    <w:rsid w:val="00E83A89"/>
    <w:rsid w:val="00E83AAC"/>
    <w:rsid w:val="00E83B02"/>
    <w:rsid w:val="00E83CE5"/>
    <w:rsid w:val="00E83D48"/>
    <w:rsid w:val="00E83E03"/>
    <w:rsid w:val="00E83E24"/>
    <w:rsid w:val="00E840C0"/>
    <w:rsid w:val="00E8444B"/>
    <w:rsid w:val="00E84473"/>
    <w:rsid w:val="00E844BB"/>
    <w:rsid w:val="00E8459B"/>
    <w:rsid w:val="00E84671"/>
    <w:rsid w:val="00E846A3"/>
    <w:rsid w:val="00E847C7"/>
    <w:rsid w:val="00E84821"/>
    <w:rsid w:val="00E8486C"/>
    <w:rsid w:val="00E849F2"/>
    <w:rsid w:val="00E84A49"/>
    <w:rsid w:val="00E84CD6"/>
    <w:rsid w:val="00E84D8C"/>
    <w:rsid w:val="00E84DA3"/>
    <w:rsid w:val="00E84ECA"/>
    <w:rsid w:val="00E84F0F"/>
    <w:rsid w:val="00E84FD9"/>
    <w:rsid w:val="00E84FF7"/>
    <w:rsid w:val="00E8515D"/>
    <w:rsid w:val="00E8519A"/>
    <w:rsid w:val="00E85289"/>
    <w:rsid w:val="00E852E3"/>
    <w:rsid w:val="00E8553C"/>
    <w:rsid w:val="00E855AB"/>
    <w:rsid w:val="00E85716"/>
    <w:rsid w:val="00E8575E"/>
    <w:rsid w:val="00E857A2"/>
    <w:rsid w:val="00E857D9"/>
    <w:rsid w:val="00E85BDF"/>
    <w:rsid w:val="00E85BFC"/>
    <w:rsid w:val="00E85C19"/>
    <w:rsid w:val="00E85E9F"/>
    <w:rsid w:val="00E85F4C"/>
    <w:rsid w:val="00E85F63"/>
    <w:rsid w:val="00E85FC2"/>
    <w:rsid w:val="00E86041"/>
    <w:rsid w:val="00E8616B"/>
    <w:rsid w:val="00E863A0"/>
    <w:rsid w:val="00E86427"/>
    <w:rsid w:val="00E865A8"/>
    <w:rsid w:val="00E8664D"/>
    <w:rsid w:val="00E867FF"/>
    <w:rsid w:val="00E868BF"/>
    <w:rsid w:val="00E86CAC"/>
    <w:rsid w:val="00E86E5B"/>
    <w:rsid w:val="00E86F31"/>
    <w:rsid w:val="00E87006"/>
    <w:rsid w:val="00E8701B"/>
    <w:rsid w:val="00E870A9"/>
    <w:rsid w:val="00E870C8"/>
    <w:rsid w:val="00E87191"/>
    <w:rsid w:val="00E872CC"/>
    <w:rsid w:val="00E873FC"/>
    <w:rsid w:val="00E8741D"/>
    <w:rsid w:val="00E8749A"/>
    <w:rsid w:val="00E875E8"/>
    <w:rsid w:val="00E8773A"/>
    <w:rsid w:val="00E8779C"/>
    <w:rsid w:val="00E87851"/>
    <w:rsid w:val="00E87CE9"/>
    <w:rsid w:val="00E87D02"/>
    <w:rsid w:val="00E87E02"/>
    <w:rsid w:val="00E90248"/>
    <w:rsid w:val="00E9027D"/>
    <w:rsid w:val="00E902A6"/>
    <w:rsid w:val="00E903E5"/>
    <w:rsid w:val="00E9043C"/>
    <w:rsid w:val="00E90462"/>
    <w:rsid w:val="00E90554"/>
    <w:rsid w:val="00E90AEE"/>
    <w:rsid w:val="00E90C61"/>
    <w:rsid w:val="00E90DCA"/>
    <w:rsid w:val="00E90DDD"/>
    <w:rsid w:val="00E90FD1"/>
    <w:rsid w:val="00E9101D"/>
    <w:rsid w:val="00E91025"/>
    <w:rsid w:val="00E910B9"/>
    <w:rsid w:val="00E91326"/>
    <w:rsid w:val="00E91389"/>
    <w:rsid w:val="00E91401"/>
    <w:rsid w:val="00E91522"/>
    <w:rsid w:val="00E91569"/>
    <w:rsid w:val="00E917A2"/>
    <w:rsid w:val="00E9181A"/>
    <w:rsid w:val="00E9182D"/>
    <w:rsid w:val="00E91883"/>
    <w:rsid w:val="00E9189F"/>
    <w:rsid w:val="00E91A7E"/>
    <w:rsid w:val="00E91B00"/>
    <w:rsid w:val="00E91CBE"/>
    <w:rsid w:val="00E91D81"/>
    <w:rsid w:val="00E91F63"/>
    <w:rsid w:val="00E91FED"/>
    <w:rsid w:val="00E921A9"/>
    <w:rsid w:val="00E922F9"/>
    <w:rsid w:val="00E923D0"/>
    <w:rsid w:val="00E9252D"/>
    <w:rsid w:val="00E925FF"/>
    <w:rsid w:val="00E9274E"/>
    <w:rsid w:val="00E927D2"/>
    <w:rsid w:val="00E929CC"/>
    <w:rsid w:val="00E92A23"/>
    <w:rsid w:val="00E92A2B"/>
    <w:rsid w:val="00E92AF2"/>
    <w:rsid w:val="00E92BB7"/>
    <w:rsid w:val="00E92CD4"/>
    <w:rsid w:val="00E92E7D"/>
    <w:rsid w:val="00E93030"/>
    <w:rsid w:val="00E93097"/>
    <w:rsid w:val="00E93187"/>
    <w:rsid w:val="00E9321F"/>
    <w:rsid w:val="00E93256"/>
    <w:rsid w:val="00E932C6"/>
    <w:rsid w:val="00E936DB"/>
    <w:rsid w:val="00E9371F"/>
    <w:rsid w:val="00E93728"/>
    <w:rsid w:val="00E9384E"/>
    <w:rsid w:val="00E93989"/>
    <w:rsid w:val="00E93B4A"/>
    <w:rsid w:val="00E93BC4"/>
    <w:rsid w:val="00E93DCC"/>
    <w:rsid w:val="00E93EBA"/>
    <w:rsid w:val="00E94083"/>
    <w:rsid w:val="00E940DC"/>
    <w:rsid w:val="00E9431A"/>
    <w:rsid w:val="00E94348"/>
    <w:rsid w:val="00E946EF"/>
    <w:rsid w:val="00E947E3"/>
    <w:rsid w:val="00E947E9"/>
    <w:rsid w:val="00E9498D"/>
    <w:rsid w:val="00E9499C"/>
    <w:rsid w:val="00E94A45"/>
    <w:rsid w:val="00E94AA7"/>
    <w:rsid w:val="00E94C1C"/>
    <w:rsid w:val="00E94D06"/>
    <w:rsid w:val="00E94E1E"/>
    <w:rsid w:val="00E94FAD"/>
    <w:rsid w:val="00E9505F"/>
    <w:rsid w:val="00E95075"/>
    <w:rsid w:val="00E950A3"/>
    <w:rsid w:val="00E950EB"/>
    <w:rsid w:val="00E951CA"/>
    <w:rsid w:val="00E95297"/>
    <w:rsid w:val="00E952C0"/>
    <w:rsid w:val="00E95576"/>
    <w:rsid w:val="00E9557E"/>
    <w:rsid w:val="00E95620"/>
    <w:rsid w:val="00E95703"/>
    <w:rsid w:val="00E95776"/>
    <w:rsid w:val="00E958BA"/>
    <w:rsid w:val="00E959BC"/>
    <w:rsid w:val="00E95B0D"/>
    <w:rsid w:val="00E95BAE"/>
    <w:rsid w:val="00E95DCA"/>
    <w:rsid w:val="00E95F64"/>
    <w:rsid w:val="00E96095"/>
    <w:rsid w:val="00E96188"/>
    <w:rsid w:val="00E9647C"/>
    <w:rsid w:val="00E96525"/>
    <w:rsid w:val="00E96603"/>
    <w:rsid w:val="00E9663F"/>
    <w:rsid w:val="00E96657"/>
    <w:rsid w:val="00E9677C"/>
    <w:rsid w:val="00E967DB"/>
    <w:rsid w:val="00E9686C"/>
    <w:rsid w:val="00E9695D"/>
    <w:rsid w:val="00E9699B"/>
    <w:rsid w:val="00E96BBC"/>
    <w:rsid w:val="00E96CB7"/>
    <w:rsid w:val="00E96CFF"/>
    <w:rsid w:val="00E96EB0"/>
    <w:rsid w:val="00E96EDF"/>
    <w:rsid w:val="00E9710D"/>
    <w:rsid w:val="00E97330"/>
    <w:rsid w:val="00E97357"/>
    <w:rsid w:val="00E9737D"/>
    <w:rsid w:val="00E974AD"/>
    <w:rsid w:val="00E974CF"/>
    <w:rsid w:val="00E97620"/>
    <w:rsid w:val="00E97A2B"/>
    <w:rsid w:val="00E97A62"/>
    <w:rsid w:val="00E97A75"/>
    <w:rsid w:val="00E97AAF"/>
    <w:rsid w:val="00E97C5B"/>
    <w:rsid w:val="00E97CF1"/>
    <w:rsid w:val="00E97DE7"/>
    <w:rsid w:val="00E97EA1"/>
    <w:rsid w:val="00E97FA5"/>
    <w:rsid w:val="00EA0288"/>
    <w:rsid w:val="00EA045D"/>
    <w:rsid w:val="00EA04C3"/>
    <w:rsid w:val="00EA04F7"/>
    <w:rsid w:val="00EA05D3"/>
    <w:rsid w:val="00EA080E"/>
    <w:rsid w:val="00EA0923"/>
    <w:rsid w:val="00EA0966"/>
    <w:rsid w:val="00EA096E"/>
    <w:rsid w:val="00EA0A46"/>
    <w:rsid w:val="00EA0A80"/>
    <w:rsid w:val="00EA0A96"/>
    <w:rsid w:val="00EA0AC7"/>
    <w:rsid w:val="00EA0B25"/>
    <w:rsid w:val="00EA0B92"/>
    <w:rsid w:val="00EA0D83"/>
    <w:rsid w:val="00EA0E53"/>
    <w:rsid w:val="00EA10F3"/>
    <w:rsid w:val="00EA1234"/>
    <w:rsid w:val="00EA138D"/>
    <w:rsid w:val="00EA154F"/>
    <w:rsid w:val="00EA1553"/>
    <w:rsid w:val="00EA158F"/>
    <w:rsid w:val="00EA15BB"/>
    <w:rsid w:val="00EA15E1"/>
    <w:rsid w:val="00EA175A"/>
    <w:rsid w:val="00EA1943"/>
    <w:rsid w:val="00EA1956"/>
    <w:rsid w:val="00EA1A93"/>
    <w:rsid w:val="00EA1B09"/>
    <w:rsid w:val="00EA1B28"/>
    <w:rsid w:val="00EA1B31"/>
    <w:rsid w:val="00EA1DDD"/>
    <w:rsid w:val="00EA1FC7"/>
    <w:rsid w:val="00EA2067"/>
    <w:rsid w:val="00EA20E1"/>
    <w:rsid w:val="00EA219B"/>
    <w:rsid w:val="00EA2360"/>
    <w:rsid w:val="00EA2361"/>
    <w:rsid w:val="00EA2504"/>
    <w:rsid w:val="00EA2518"/>
    <w:rsid w:val="00EA25D9"/>
    <w:rsid w:val="00EA26D6"/>
    <w:rsid w:val="00EA28ED"/>
    <w:rsid w:val="00EA29AA"/>
    <w:rsid w:val="00EA29B7"/>
    <w:rsid w:val="00EA2A5B"/>
    <w:rsid w:val="00EA2B3B"/>
    <w:rsid w:val="00EA2C7B"/>
    <w:rsid w:val="00EA2D15"/>
    <w:rsid w:val="00EA2FCC"/>
    <w:rsid w:val="00EA3066"/>
    <w:rsid w:val="00EA310F"/>
    <w:rsid w:val="00EA3234"/>
    <w:rsid w:val="00EA3333"/>
    <w:rsid w:val="00EA33E6"/>
    <w:rsid w:val="00EA34BA"/>
    <w:rsid w:val="00EA367A"/>
    <w:rsid w:val="00EA382E"/>
    <w:rsid w:val="00EA38F3"/>
    <w:rsid w:val="00EA3A72"/>
    <w:rsid w:val="00EA3C86"/>
    <w:rsid w:val="00EA3D5C"/>
    <w:rsid w:val="00EA410B"/>
    <w:rsid w:val="00EA411B"/>
    <w:rsid w:val="00EA43A2"/>
    <w:rsid w:val="00EA47F3"/>
    <w:rsid w:val="00EA48D2"/>
    <w:rsid w:val="00EA4973"/>
    <w:rsid w:val="00EA4BFD"/>
    <w:rsid w:val="00EA4C85"/>
    <w:rsid w:val="00EA4D44"/>
    <w:rsid w:val="00EA4EAA"/>
    <w:rsid w:val="00EA4F61"/>
    <w:rsid w:val="00EA5136"/>
    <w:rsid w:val="00EA5168"/>
    <w:rsid w:val="00EA5265"/>
    <w:rsid w:val="00EA52AA"/>
    <w:rsid w:val="00EA53DD"/>
    <w:rsid w:val="00EA5682"/>
    <w:rsid w:val="00EA59D0"/>
    <w:rsid w:val="00EA5B32"/>
    <w:rsid w:val="00EA5C33"/>
    <w:rsid w:val="00EA5D59"/>
    <w:rsid w:val="00EA5DAD"/>
    <w:rsid w:val="00EA5DBC"/>
    <w:rsid w:val="00EA5F3A"/>
    <w:rsid w:val="00EA5F86"/>
    <w:rsid w:val="00EA5FA3"/>
    <w:rsid w:val="00EA6043"/>
    <w:rsid w:val="00EA60C6"/>
    <w:rsid w:val="00EA61C9"/>
    <w:rsid w:val="00EA6316"/>
    <w:rsid w:val="00EA64A5"/>
    <w:rsid w:val="00EA64A7"/>
    <w:rsid w:val="00EA6695"/>
    <w:rsid w:val="00EA677E"/>
    <w:rsid w:val="00EA6801"/>
    <w:rsid w:val="00EA682C"/>
    <w:rsid w:val="00EA68D8"/>
    <w:rsid w:val="00EA6B5C"/>
    <w:rsid w:val="00EA7178"/>
    <w:rsid w:val="00EA7243"/>
    <w:rsid w:val="00EA7401"/>
    <w:rsid w:val="00EA7483"/>
    <w:rsid w:val="00EA748E"/>
    <w:rsid w:val="00EA7733"/>
    <w:rsid w:val="00EA77AC"/>
    <w:rsid w:val="00EA77EB"/>
    <w:rsid w:val="00EA7A11"/>
    <w:rsid w:val="00EA7AEE"/>
    <w:rsid w:val="00EA7D02"/>
    <w:rsid w:val="00EA7D07"/>
    <w:rsid w:val="00EA7D76"/>
    <w:rsid w:val="00EA7E1D"/>
    <w:rsid w:val="00EA7E94"/>
    <w:rsid w:val="00EA7ECF"/>
    <w:rsid w:val="00EB014B"/>
    <w:rsid w:val="00EB0193"/>
    <w:rsid w:val="00EB0232"/>
    <w:rsid w:val="00EB042C"/>
    <w:rsid w:val="00EB046F"/>
    <w:rsid w:val="00EB083B"/>
    <w:rsid w:val="00EB0869"/>
    <w:rsid w:val="00EB08B7"/>
    <w:rsid w:val="00EB0BBD"/>
    <w:rsid w:val="00EB0C70"/>
    <w:rsid w:val="00EB0D22"/>
    <w:rsid w:val="00EB0D3C"/>
    <w:rsid w:val="00EB0DA0"/>
    <w:rsid w:val="00EB0EDE"/>
    <w:rsid w:val="00EB0F0C"/>
    <w:rsid w:val="00EB1022"/>
    <w:rsid w:val="00EB11F7"/>
    <w:rsid w:val="00EB12EA"/>
    <w:rsid w:val="00EB16EE"/>
    <w:rsid w:val="00EB173B"/>
    <w:rsid w:val="00EB1770"/>
    <w:rsid w:val="00EB1887"/>
    <w:rsid w:val="00EB1C0D"/>
    <w:rsid w:val="00EB1CDF"/>
    <w:rsid w:val="00EB1DB2"/>
    <w:rsid w:val="00EB1DFA"/>
    <w:rsid w:val="00EB1F42"/>
    <w:rsid w:val="00EB2080"/>
    <w:rsid w:val="00EB21CA"/>
    <w:rsid w:val="00EB2260"/>
    <w:rsid w:val="00EB22CD"/>
    <w:rsid w:val="00EB2476"/>
    <w:rsid w:val="00EB26E6"/>
    <w:rsid w:val="00EB27E4"/>
    <w:rsid w:val="00EB2AA5"/>
    <w:rsid w:val="00EB2B0E"/>
    <w:rsid w:val="00EB2C18"/>
    <w:rsid w:val="00EB2C76"/>
    <w:rsid w:val="00EB2C7C"/>
    <w:rsid w:val="00EB2D67"/>
    <w:rsid w:val="00EB2D7C"/>
    <w:rsid w:val="00EB306D"/>
    <w:rsid w:val="00EB30E9"/>
    <w:rsid w:val="00EB31A8"/>
    <w:rsid w:val="00EB327F"/>
    <w:rsid w:val="00EB330E"/>
    <w:rsid w:val="00EB390C"/>
    <w:rsid w:val="00EB3AB6"/>
    <w:rsid w:val="00EB3D51"/>
    <w:rsid w:val="00EB3DA8"/>
    <w:rsid w:val="00EB3DB9"/>
    <w:rsid w:val="00EB3E49"/>
    <w:rsid w:val="00EB3F72"/>
    <w:rsid w:val="00EB3F80"/>
    <w:rsid w:val="00EB3F9D"/>
    <w:rsid w:val="00EB4005"/>
    <w:rsid w:val="00EB4051"/>
    <w:rsid w:val="00EB40E7"/>
    <w:rsid w:val="00EB411C"/>
    <w:rsid w:val="00EB4209"/>
    <w:rsid w:val="00EB438E"/>
    <w:rsid w:val="00EB43F0"/>
    <w:rsid w:val="00EB442A"/>
    <w:rsid w:val="00EB45A5"/>
    <w:rsid w:val="00EB461B"/>
    <w:rsid w:val="00EB4629"/>
    <w:rsid w:val="00EB47B2"/>
    <w:rsid w:val="00EB47C5"/>
    <w:rsid w:val="00EB48CB"/>
    <w:rsid w:val="00EB49BD"/>
    <w:rsid w:val="00EB4B4A"/>
    <w:rsid w:val="00EB4B90"/>
    <w:rsid w:val="00EB4BF3"/>
    <w:rsid w:val="00EB4D69"/>
    <w:rsid w:val="00EB4D77"/>
    <w:rsid w:val="00EB4F52"/>
    <w:rsid w:val="00EB50AF"/>
    <w:rsid w:val="00EB50E4"/>
    <w:rsid w:val="00EB50E5"/>
    <w:rsid w:val="00EB53C5"/>
    <w:rsid w:val="00EB544B"/>
    <w:rsid w:val="00EB54F7"/>
    <w:rsid w:val="00EB563F"/>
    <w:rsid w:val="00EB5860"/>
    <w:rsid w:val="00EB595F"/>
    <w:rsid w:val="00EB59A2"/>
    <w:rsid w:val="00EB5A73"/>
    <w:rsid w:val="00EB5A76"/>
    <w:rsid w:val="00EB5B43"/>
    <w:rsid w:val="00EB5DC6"/>
    <w:rsid w:val="00EB5FE4"/>
    <w:rsid w:val="00EB6052"/>
    <w:rsid w:val="00EB605B"/>
    <w:rsid w:val="00EB60EC"/>
    <w:rsid w:val="00EB6154"/>
    <w:rsid w:val="00EB6288"/>
    <w:rsid w:val="00EB6311"/>
    <w:rsid w:val="00EB6362"/>
    <w:rsid w:val="00EB64A6"/>
    <w:rsid w:val="00EB6747"/>
    <w:rsid w:val="00EB68DC"/>
    <w:rsid w:val="00EB693C"/>
    <w:rsid w:val="00EB6950"/>
    <w:rsid w:val="00EB69C6"/>
    <w:rsid w:val="00EB6BA4"/>
    <w:rsid w:val="00EB6C98"/>
    <w:rsid w:val="00EB6CCA"/>
    <w:rsid w:val="00EB6DD3"/>
    <w:rsid w:val="00EB6E19"/>
    <w:rsid w:val="00EB6E9E"/>
    <w:rsid w:val="00EB701A"/>
    <w:rsid w:val="00EB7022"/>
    <w:rsid w:val="00EB702C"/>
    <w:rsid w:val="00EB7463"/>
    <w:rsid w:val="00EB751C"/>
    <w:rsid w:val="00EB75AC"/>
    <w:rsid w:val="00EB7683"/>
    <w:rsid w:val="00EB76F6"/>
    <w:rsid w:val="00EB799B"/>
    <w:rsid w:val="00EB7AD8"/>
    <w:rsid w:val="00EB7B7A"/>
    <w:rsid w:val="00EB7C7A"/>
    <w:rsid w:val="00EB7CB3"/>
    <w:rsid w:val="00EB7DCF"/>
    <w:rsid w:val="00EB7EC6"/>
    <w:rsid w:val="00EB7EF9"/>
    <w:rsid w:val="00EB7F18"/>
    <w:rsid w:val="00EC006E"/>
    <w:rsid w:val="00EC0087"/>
    <w:rsid w:val="00EC015D"/>
    <w:rsid w:val="00EC0182"/>
    <w:rsid w:val="00EC02EB"/>
    <w:rsid w:val="00EC031C"/>
    <w:rsid w:val="00EC0356"/>
    <w:rsid w:val="00EC03A6"/>
    <w:rsid w:val="00EC06FB"/>
    <w:rsid w:val="00EC071A"/>
    <w:rsid w:val="00EC091C"/>
    <w:rsid w:val="00EC0A47"/>
    <w:rsid w:val="00EC0B1C"/>
    <w:rsid w:val="00EC0B93"/>
    <w:rsid w:val="00EC0B97"/>
    <w:rsid w:val="00EC0BC7"/>
    <w:rsid w:val="00EC0D43"/>
    <w:rsid w:val="00EC0D83"/>
    <w:rsid w:val="00EC0E87"/>
    <w:rsid w:val="00EC1088"/>
    <w:rsid w:val="00EC11A0"/>
    <w:rsid w:val="00EC11EE"/>
    <w:rsid w:val="00EC124A"/>
    <w:rsid w:val="00EC13A3"/>
    <w:rsid w:val="00EC16BE"/>
    <w:rsid w:val="00EC16F2"/>
    <w:rsid w:val="00EC16F9"/>
    <w:rsid w:val="00EC1995"/>
    <w:rsid w:val="00EC1BF8"/>
    <w:rsid w:val="00EC1D2E"/>
    <w:rsid w:val="00EC1E1D"/>
    <w:rsid w:val="00EC1E53"/>
    <w:rsid w:val="00EC1ED6"/>
    <w:rsid w:val="00EC1EF9"/>
    <w:rsid w:val="00EC200C"/>
    <w:rsid w:val="00EC201E"/>
    <w:rsid w:val="00EC202C"/>
    <w:rsid w:val="00EC20FE"/>
    <w:rsid w:val="00EC21FC"/>
    <w:rsid w:val="00EC2381"/>
    <w:rsid w:val="00EC23D0"/>
    <w:rsid w:val="00EC23FB"/>
    <w:rsid w:val="00EC2428"/>
    <w:rsid w:val="00EC24DF"/>
    <w:rsid w:val="00EC24E7"/>
    <w:rsid w:val="00EC2509"/>
    <w:rsid w:val="00EC2517"/>
    <w:rsid w:val="00EC25A0"/>
    <w:rsid w:val="00EC269F"/>
    <w:rsid w:val="00EC26B4"/>
    <w:rsid w:val="00EC2784"/>
    <w:rsid w:val="00EC2957"/>
    <w:rsid w:val="00EC2A5F"/>
    <w:rsid w:val="00EC2BFD"/>
    <w:rsid w:val="00EC2C7B"/>
    <w:rsid w:val="00EC2DE9"/>
    <w:rsid w:val="00EC2E8E"/>
    <w:rsid w:val="00EC2F6B"/>
    <w:rsid w:val="00EC2FB8"/>
    <w:rsid w:val="00EC312D"/>
    <w:rsid w:val="00EC31F7"/>
    <w:rsid w:val="00EC3467"/>
    <w:rsid w:val="00EC352E"/>
    <w:rsid w:val="00EC38E1"/>
    <w:rsid w:val="00EC38E8"/>
    <w:rsid w:val="00EC3A13"/>
    <w:rsid w:val="00EC3A71"/>
    <w:rsid w:val="00EC3CE4"/>
    <w:rsid w:val="00EC4023"/>
    <w:rsid w:val="00EC404B"/>
    <w:rsid w:val="00EC407F"/>
    <w:rsid w:val="00EC411E"/>
    <w:rsid w:val="00EC4244"/>
    <w:rsid w:val="00EC4292"/>
    <w:rsid w:val="00EC42AE"/>
    <w:rsid w:val="00EC42BA"/>
    <w:rsid w:val="00EC4309"/>
    <w:rsid w:val="00EC4430"/>
    <w:rsid w:val="00EC46C1"/>
    <w:rsid w:val="00EC4A40"/>
    <w:rsid w:val="00EC4D9E"/>
    <w:rsid w:val="00EC4E23"/>
    <w:rsid w:val="00EC4E9C"/>
    <w:rsid w:val="00EC5013"/>
    <w:rsid w:val="00EC5076"/>
    <w:rsid w:val="00EC51D0"/>
    <w:rsid w:val="00EC52D9"/>
    <w:rsid w:val="00EC538B"/>
    <w:rsid w:val="00EC55EF"/>
    <w:rsid w:val="00EC56F1"/>
    <w:rsid w:val="00EC5744"/>
    <w:rsid w:val="00EC596B"/>
    <w:rsid w:val="00EC5B89"/>
    <w:rsid w:val="00EC5B95"/>
    <w:rsid w:val="00EC5B9E"/>
    <w:rsid w:val="00EC5CCD"/>
    <w:rsid w:val="00EC5E39"/>
    <w:rsid w:val="00EC611D"/>
    <w:rsid w:val="00EC6155"/>
    <w:rsid w:val="00EC63C1"/>
    <w:rsid w:val="00EC653E"/>
    <w:rsid w:val="00EC6573"/>
    <w:rsid w:val="00EC6688"/>
    <w:rsid w:val="00EC6865"/>
    <w:rsid w:val="00EC6884"/>
    <w:rsid w:val="00EC68DF"/>
    <w:rsid w:val="00EC6907"/>
    <w:rsid w:val="00EC6A9E"/>
    <w:rsid w:val="00EC6D80"/>
    <w:rsid w:val="00EC7123"/>
    <w:rsid w:val="00EC71B9"/>
    <w:rsid w:val="00EC7464"/>
    <w:rsid w:val="00EC7634"/>
    <w:rsid w:val="00EC7684"/>
    <w:rsid w:val="00EC779B"/>
    <w:rsid w:val="00EC7850"/>
    <w:rsid w:val="00EC78E4"/>
    <w:rsid w:val="00EC7933"/>
    <w:rsid w:val="00EC7ADE"/>
    <w:rsid w:val="00EC7B3E"/>
    <w:rsid w:val="00EC7B95"/>
    <w:rsid w:val="00EC7C2A"/>
    <w:rsid w:val="00EC7F97"/>
    <w:rsid w:val="00ED01BB"/>
    <w:rsid w:val="00ED03BA"/>
    <w:rsid w:val="00ED04DC"/>
    <w:rsid w:val="00ED0516"/>
    <w:rsid w:val="00ED06CC"/>
    <w:rsid w:val="00ED06D2"/>
    <w:rsid w:val="00ED0727"/>
    <w:rsid w:val="00ED083B"/>
    <w:rsid w:val="00ED0988"/>
    <w:rsid w:val="00ED0A05"/>
    <w:rsid w:val="00ED0A70"/>
    <w:rsid w:val="00ED0C29"/>
    <w:rsid w:val="00ED0CA3"/>
    <w:rsid w:val="00ED0DB0"/>
    <w:rsid w:val="00ED0E8A"/>
    <w:rsid w:val="00ED1014"/>
    <w:rsid w:val="00ED103B"/>
    <w:rsid w:val="00ED1086"/>
    <w:rsid w:val="00ED11FF"/>
    <w:rsid w:val="00ED12AA"/>
    <w:rsid w:val="00ED141B"/>
    <w:rsid w:val="00ED1437"/>
    <w:rsid w:val="00ED1456"/>
    <w:rsid w:val="00ED1463"/>
    <w:rsid w:val="00ED14E7"/>
    <w:rsid w:val="00ED1500"/>
    <w:rsid w:val="00ED162A"/>
    <w:rsid w:val="00ED1680"/>
    <w:rsid w:val="00ED184D"/>
    <w:rsid w:val="00ED1855"/>
    <w:rsid w:val="00ED1869"/>
    <w:rsid w:val="00ED1995"/>
    <w:rsid w:val="00ED1998"/>
    <w:rsid w:val="00ED1A55"/>
    <w:rsid w:val="00ED1B6A"/>
    <w:rsid w:val="00ED1C08"/>
    <w:rsid w:val="00ED1D68"/>
    <w:rsid w:val="00ED1F61"/>
    <w:rsid w:val="00ED202A"/>
    <w:rsid w:val="00ED2098"/>
    <w:rsid w:val="00ED2150"/>
    <w:rsid w:val="00ED242F"/>
    <w:rsid w:val="00ED24CF"/>
    <w:rsid w:val="00ED29B9"/>
    <w:rsid w:val="00ED2B45"/>
    <w:rsid w:val="00ED2C32"/>
    <w:rsid w:val="00ED2C8F"/>
    <w:rsid w:val="00ED2E1E"/>
    <w:rsid w:val="00ED2E91"/>
    <w:rsid w:val="00ED2F18"/>
    <w:rsid w:val="00ED311F"/>
    <w:rsid w:val="00ED3129"/>
    <w:rsid w:val="00ED321B"/>
    <w:rsid w:val="00ED331D"/>
    <w:rsid w:val="00ED33DD"/>
    <w:rsid w:val="00ED3520"/>
    <w:rsid w:val="00ED3588"/>
    <w:rsid w:val="00ED360E"/>
    <w:rsid w:val="00ED3626"/>
    <w:rsid w:val="00ED36F4"/>
    <w:rsid w:val="00ED372A"/>
    <w:rsid w:val="00ED3743"/>
    <w:rsid w:val="00ED3754"/>
    <w:rsid w:val="00ED3A6F"/>
    <w:rsid w:val="00ED3B3F"/>
    <w:rsid w:val="00ED3C95"/>
    <w:rsid w:val="00ED3D33"/>
    <w:rsid w:val="00ED3DD8"/>
    <w:rsid w:val="00ED3E3E"/>
    <w:rsid w:val="00ED3E77"/>
    <w:rsid w:val="00ED3ED0"/>
    <w:rsid w:val="00ED3F70"/>
    <w:rsid w:val="00ED3FEC"/>
    <w:rsid w:val="00ED4304"/>
    <w:rsid w:val="00ED43F2"/>
    <w:rsid w:val="00ED4494"/>
    <w:rsid w:val="00ED4693"/>
    <w:rsid w:val="00ED4785"/>
    <w:rsid w:val="00ED4863"/>
    <w:rsid w:val="00ED48D5"/>
    <w:rsid w:val="00ED4938"/>
    <w:rsid w:val="00ED4983"/>
    <w:rsid w:val="00ED499E"/>
    <w:rsid w:val="00ED49D6"/>
    <w:rsid w:val="00ED4CBC"/>
    <w:rsid w:val="00ED5064"/>
    <w:rsid w:val="00ED50C7"/>
    <w:rsid w:val="00ED510F"/>
    <w:rsid w:val="00ED513D"/>
    <w:rsid w:val="00ED5145"/>
    <w:rsid w:val="00ED5344"/>
    <w:rsid w:val="00ED544E"/>
    <w:rsid w:val="00ED569C"/>
    <w:rsid w:val="00ED5A2F"/>
    <w:rsid w:val="00ED5A41"/>
    <w:rsid w:val="00ED5B7A"/>
    <w:rsid w:val="00ED5B87"/>
    <w:rsid w:val="00ED5EBB"/>
    <w:rsid w:val="00ED5FA0"/>
    <w:rsid w:val="00ED6079"/>
    <w:rsid w:val="00ED6273"/>
    <w:rsid w:val="00ED6281"/>
    <w:rsid w:val="00ED64F5"/>
    <w:rsid w:val="00ED65BF"/>
    <w:rsid w:val="00ED667E"/>
    <w:rsid w:val="00ED66EF"/>
    <w:rsid w:val="00ED6ADA"/>
    <w:rsid w:val="00ED6C22"/>
    <w:rsid w:val="00ED6C9E"/>
    <w:rsid w:val="00ED6CC4"/>
    <w:rsid w:val="00ED7228"/>
    <w:rsid w:val="00ED7357"/>
    <w:rsid w:val="00ED741E"/>
    <w:rsid w:val="00ED7490"/>
    <w:rsid w:val="00ED74F5"/>
    <w:rsid w:val="00ED7554"/>
    <w:rsid w:val="00ED761F"/>
    <w:rsid w:val="00ED7679"/>
    <w:rsid w:val="00ED76EB"/>
    <w:rsid w:val="00ED7764"/>
    <w:rsid w:val="00ED77DA"/>
    <w:rsid w:val="00ED78D5"/>
    <w:rsid w:val="00ED78F3"/>
    <w:rsid w:val="00ED7920"/>
    <w:rsid w:val="00ED7BCD"/>
    <w:rsid w:val="00ED7C6A"/>
    <w:rsid w:val="00ED7CBB"/>
    <w:rsid w:val="00ED7D26"/>
    <w:rsid w:val="00ED7DEF"/>
    <w:rsid w:val="00ED7ECC"/>
    <w:rsid w:val="00ED7EE5"/>
    <w:rsid w:val="00EE0070"/>
    <w:rsid w:val="00EE0123"/>
    <w:rsid w:val="00EE0491"/>
    <w:rsid w:val="00EE059B"/>
    <w:rsid w:val="00EE0738"/>
    <w:rsid w:val="00EE077C"/>
    <w:rsid w:val="00EE0784"/>
    <w:rsid w:val="00EE07EB"/>
    <w:rsid w:val="00EE0A52"/>
    <w:rsid w:val="00EE0BA0"/>
    <w:rsid w:val="00EE0BC0"/>
    <w:rsid w:val="00EE0BEE"/>
    <w:rsid w:val="00EE0BFC"/>
    <w:rsid w:val="00EE0C58"/>
    <w:rsid w:val="00EE0D54"/>
    <w:rsid w:val="00EE1029"/>
    <w:rsid w:val="00EE1044"/>
    <w:rsid w:val="00EE1049"/>
    <w:rsid w:val="00EE10A2"/>
    <w:rsid w:val="00EE126D"/>
    <w:rsid w:val="00EE134F"/>
    <w:rsid w:val="00EE136B"/>
    <w:rsid w:val="00EE14F9"/>
    <w:rsid w:val="00EE15EF"/>
    <w:rsid w:val="00EE1623"/>
    <w:rsid w:val="00EE16D9"/>
    <w:rsid w:val="00EE19AF"/>
    <w:rsid w:val="00EE1A94"/>
    <w:rsid w:val="00EE1D03"/>
    <w:rsid w:val="00EE2128"/>
    <w:rsid w:val="00EE25F5"/>
    <w:rsid w:val="00EE295D"/>
    <w:rsid w:val="00EE2BB6"/>
    <w:rsid w:val="00EE2CC7"/>
    <w:rsid w:val="00EE2D1A"/>
    <w:rsid w:val="00EE2D9B"/>
    <w:rsid w:val="00EE30EF"/>
    <w:rsid w:val="00EE3264"/>
    <w:rsid w:val="00EE32DC"/>
    <w:rsid w:val="00EE3475"/>
    <w:rsid w:val="00EE34BB"/>
    <w:rsid w:val="00EE34CD"/>
    <w:rsid w:val="00EE35C7"/>
    <w:rsid w:val="00EE35D8"/>
    <w:rsid w:val="00EE3706"/>
    <w:rsid w:val="00EE3987"/>
    <w:rsid w:val="00EE39DE"/>
    <w:rsid w:val="00EE3B00"/>
    <w:rsid w:val="00EE3C5B"/>
    <w:rsid w:val="00EE3C6E"/>
    <w:rsid w:val="00EE3FBC"/>
    <w:rsid w:val="00EE410C"/>
    <w:rsid w:val="00EE412C"/>
    <w:rsid w:val="00EE4402"/>
    <w:rsid w:val="00EE4427"/>
    <w:rsid w:val="00EE4A20"/>
    <w:rsid w:val="00EE4C71"/>
    <w:rsid w:val="00EE4E96"/>
    <w:rsid w:val="00EE4EC8"/>
    <w:rsid w:val="00EE4EE3"/>
    <w:rsid w:val="00EE50B8"/>
    <w:rsid w:val="00EE5286"/>
    <w:rsid w:val="00EE5292"/>
    <w:rsid w:val="00EE530D"/>
    <w:rsid w:val="00EE5546"/>
    <w:rsid w:val="00EE5556"/>
    <w:rsid w:val="00EE5615"/>
    <w:rsid w:val="00EE570F"/>
    <w:rsid w:val="00EE5A51"/>
    <w:rsid w:val="00EE5AC1"/>
    <w:rsid w:val="00EE5AD9"/>
    <w:rsid w:val="00EE5AF7"/>
    <w:rsid w:val="00EE5B36"/>
    <w:rsid w:val="00EE5CC4"/>
    <w:rsid w:val="00EE5E76"/>
    <w:rsid w:val="00EE5F30"/>
    <w:rsid w:val="00EE5FC3"/>
    <w:rsid w:val="00EE609F"/>
    <w:rsid w:val="00EE618A"/>
    <w:rsid w:val="00EE61E6"/>
    <w:rsid w:val="00EE622E"/>
    <w:rsid w:val="00EE62BB"/>
    <w:rsid w:val="00EE635E"/>
    <w:rsid w:val="00EE65D0"/>
    <w:rsid w:val="00EE6669"/>
    <w:rsid w:val="00EE6728"/>
    <w:rsid w:val="00EE6A15"/>
    <w:rsid w:val="00EE6A46"/>
    <w:rsid w:val="00EE6B34"/>
    <w:rsid w:val="00EE6C58"/>
    <w:rsid w:val="00EE6C68"/>
    <w:rsid w:val="00EE6CCF"/>
    <w:rsid w:val="00EE6F14"/>
    <w:rsid w:val="00EE6F61"/>
    <w:rsid w:val="00EE7038"/>
    <w:rsid w:val="00EE72A4"/>
    <w:rsid w:val="00EE7467"/>
    <w:rsid w:val="00EE7646"/>
    <w:rsid w:val="00EE7741"/>
    <w:rsid w:val="00EE7748"/>
    <w:rsid w:val="00EE7823"/>
    <w:rsid w:val="00EE78AD"/>
    <w:rsid w:val="00EE78DD"/>
    <w:rsid w:val="00EE7A69"/>
    <w:rsid w:val="00EE7B2D"/>
    <w:rsid w:val="00EE7CB7"/>
    <w:rsid w:val="00EE7E37"/>
    <w:rsid w:val="00EE7F82"/>
    <w:rsid w:val="00EF01CD"/>
    <w:rsid w:val="00EF01D4"/>
    <w:rsid w:val="00EF0205"/>
    <w:rsid w:val="00EF037A"/>
    <w:rsid w:val="00EF07E6"/>
    <w:rsid w:val="00EF0A28"/>
    <w:rsid w:val="00EF0A47"/>
    <w:rsid w:val="00EF0A4D"/>
    <w:rsid w:val="00EF0A51"/>
    <w:rsid w:val="00EF0CAE"/>
    <w:rsid w:val="00EF0DBC"/>
    <w:rsid w:val="00EF0E1D"/>
    <w:rsid w:val="00EF0EAE"/>
    <w:rsid w:val="00EF1145"/>
    <w:rsid w:val="00EF145D"/>
    <w:rsid w:val="00EF17B9"/>
    <w:rsid w:val="00EF186B"/>
    <w:rsid w:val="00EF1922"/>
    <w:rsid w:val="00EF195C"/>
    <w:rsid w:val="00EF1BCF"/>
    <w:rsid w:val="00EF1D5C"/>
    <w:rsid w:val="00EF1DF3"/>
    <w:rsid w:val="00EF1DFC"/>
    <w:rsid w:val="00EF1E54"/>
    <w:rsid w:val="00EF1F1C"/>
    <w:rsid w:val="00EF1F95"/>
    <w:rsid w:val="00EF1FAA"/>
    <w:rsid w:val="00EF20A2"/>
    <w:rsid w:val="00EF20F5"/>
    <w:rsid w:val="00EF2143"/>
    <w:rsid w:val="00EF21ED"/>
    <w:rsid w:val="00EF2317"/>
    <w:rsid w:val="00EF2384"/>
    <w:rsid w:val="00EF23B6"/>
    <w:rsid w:val="00EF240B"/>
    <w:rsid w:val="00EF2580"/>
    <w:rsid w:val="00EF2731"/>
    <w:rsid w:val="00EF27CD"/>
    <w:rsid w:val="00EF2A86"/>
    <w:rsid w:val="00EF2D39"/>
    <w:rsid w:val="00EF2D6B"/>
    <w:rsid w:val="00EF2ED8"/>
    <w:rsid w:val="00EF2EFA"/>
    <w:rsid w:val="00EF30A1"/>
    <w:rsid w:val="00EF3326"/>
    <w:rsid w:val="00EF34A3"/>
    <w:rsid w:val="00EF3533"/>
    <w:rsid w:val="00EF3651"/>
    <w:rsid w:val="00EF36CF"/>
    <w:rsid w:val="00EF36D3"/>
    <w:rsid w:val="00EF3825"/>
    <w:rsid w:val="00EF3D45"/>
    <w:rsid w:val="00EF3D86"/>
    <w:rsid w:val="00EF3E9D"/>
    <w:rsid w:val="00EF3EB0"/>
    <w:rsid w:val="00EF3F23"/>
    <w:rsid w:val="00EF3F3A"/>
    <w:rsid w:val="00EF3F56"/>
    <w:rsid w:val="00EF405F"/>
    <w:rsid w:val="00EF4221"/>
    <w:rsid w:val="00EF453A"/>
    <w:rsid w:val="00EF4855"/>
    <w:rsid w:val="00EF4856"/>
    <w:rsid w:val="00EF48A0"/>
    <w:rsid w:val="00EF49B7"/>
    <w:rsid w:val="00EF4A4A"/>
    <w:rsid w:val="00EF4A84"/>
    <w:rsid w:val="00EF4B55"/>
    <w:rsid w:val="00EF4B80"/>
    <w:rsid w:val="00EF4C41"/>
    <w:rsid w:val="00EF4DFC"/>
    <w:rsid w:val="00EF4E2F"/>
    <w:rsid w:val="00EF50EE"/>
    <w:rsid w:val="00EF5116"/>
    <w:rsid w:val="00EF5131"/>
    <w:rsid w:val="00EF5147"/>
    <w:rsid w:val="00EF51E4"/>
    <w:rsid w:val="00EF5391"/>
    <w:rsid w:val="00EF54AA"/>
    <w:rsid w:val="00EF5526"/>
    <w:rsid w:val="00EF5736"/>
    <w:rsid w:val="00EF58E1"/>
    <w:rsid w:val="00EF5913"/>
    <w:rsid w:val="00EF5967"/>
    <w:rsid w:val="00EF5B03"/>
    <w:rsid w:val="00EF5D52"/>
    <w:rsid w:val="00EF5DA9"/>
    <w:rsid w:val="00EF5DEC"/>
    <w:rsid w:val="00EF5F0D"/>
    <w:rsid w:val="00EF5F2A"/>
    <w:rsid w:val="00EF5F8B"/>
    <w:rsid w:val="00EF5F96"/>
    <w:rsid w:val="00EF641B"/>
    <w:rsid w:val="00EF65E1"/>
    <w:rsid w:val="00EF66A9"/>
    <w:rsid w:val="00EF6737"/>
    <w:rsid w:val="00EF6911"/>
    <w:rsid w:val="00EF69B7"/>
    <w:rsid w:val="00EF69CD"/>
    <w:rsid w:val="00EF6AAC"/>
    <w:rsid w:val="00EF6BEC"/>
    <w:rsid w:val="00EF6C20"/>
    <w:rsid w:val="00EF6E40"/>
    <w:rsid w:val="00EF6E53"/>
    <w:rsid w:val="00EF6E9D"/>
    <w:rsid w:val="00EF6F18"/>
    <w:rsid w:val="00EF6F4F"/>
    <w:rsid w:val="00EF7189"/>
    <w:rsid w:val="00EF7246"/>
    <w:rsid w:val="00EF7255"/>
    <w:rsid w:val="00EF73EA"/>
    <w:rsid w:val="00EF74FD"/>
    <w:rsid w:val="00EF761C"/>
    <w:rsid w:val="00EF770F"/>
    <w:rsid w:val="00EF7715"/>
    <w:rsid w:val="00EF7815"/>
    <w:rsid w:val="00EF7851"/>
    <w:rsid w:val="00EF78E1"/>
    <w:rsid w:val="00EF790B"/>
    <w:rsid w:val="00EF7974"/>
    <w:rsid w:val="00EF7B11"/>
    <w:rsid w:val="00EF7C22"/>
    <w:rsid w:val="00EF7C46"/>
    <w:rsid w:val="00EF7EA7"/>
    <w:rsid w:val="00EF7EEF"/>
    <w:rsid w:val="00F0002A"/>
    <w:rsid w:val="00F00061"/>
    <w:rsid w:val="00F0026A"/>
    <w:rsid w:val="00F0044A"/>
    <w:rsid w:val="00F00523"/>
    <w:rsid w:val="00F0061B"/>
    <w:rsid w:val="00F0064C"/>
    <w:rsid w:val="00F006D0"/>
    <w:rsid w:val="00F00B08"/>
    <w:rsid w:val="00F00D99"/>
    <w:rsid w:val="00F00DB1"/>
    <w:rsid w:val="00F01260"/>
    <w:rsid w:val="00F013B6"/>
    <w:rsid w:val="00F0145A"/>
    <w:rsid w:val="00F01495"/>
    <w:rsid w:val="00F014EC"/>
    <w:rsid w:val="00F01675"/>
    <w:rsid w:val="00F01698"/>
    <w:rsid w:val="00F016D5"/>
    <w:rsid w:val="00F016E7"/>
    <w:rsid w:val="00F01773"/>
    <w:rsid w:val="00F017E5"/>
    <w:rsid w:val="00F0180D"/>
    <w:rsid w:val="00F01886"/>
    <w:rsid w:val="00F01C02"/>
    <w:rsid w:val="00F01C1B"/>
    <w:rsid w:val="00F01C31"/>
    <w:rsid w:val="00F01C6D"/>
    <w:rsid w:val="00F01CC3"/>
    <w:rsid w:val="00F01E4C"/>
    <w:rsid w:val="00F02035"/>
    <w:rsid w:val="00F022A5"/>
    <w:rsid w:val="00F02324"/>
    <w:rsid w:val="00F0232C"/>
    <w:rsid w:val="00F02583"/>
    <w:rsid w:val="00F0271F"/>
    <w:rsid w:val="00F027B7"/>
    <w:rsid w:val="00F028C1"/>
    <w:rsid w:val="00F029D5"/>
    <w:rsid w:val="00F02D52"/>
    <w:rsid w:val="00F02E70"/>
    <w:rsid w:val="00F02EBE"/>
    <w:rsid w:val="00F02F1E"/>
    <w:rsid w:val="00F02F54"/>
    <w:rsid w:val="00F02F78"/>
    <w:rsid w:val="00F03197"/>
    <w:rsid w:val="00F0332F"/>
    <w:rsid w:val="00F0344C"/>
    <w:rsid w:val="00F03631"/>
    <w:rsid w:val="00F0383A"/>
    <w:rsid w:val="00F03B33"/>
    <w:rsid w:val="00F03C3D"/>
    <w:rsid w:val="00F03D28"/>
    <w:rsid w:val="00F03D7B"/>
    <w:rsid w:val="00F0403E"/>
    <w:rsid w:val="00F040BF"/>
    <w:rsid w:val="00F04390"/>
    <w:rsid w:val="00F045A4"/>
    <w:rsid w:val="00F045BE"/>
    <w:rsid w:val="00F0466E"/>
    <w:rsid w:val="00F04768"/>
    <w:rsid w:val="00F0497A"/>
    <w:rsid w:val="00F04A8D"/>
    <w:rsid w:val="00F04DA0"/>
    <w:rsid w:val="00F04DD8"/>
    <w:rsid w:val="00F04EA7"/>
    <w:rsid w:val="00F04F2B"/>
    <w:rsid w:val="00F04F7A"/>
    <w:rsid w:val="00F05055"/>
    <w:rsid w:val="00F051A4"/>
    <w:rsid w:val="00F05208"/>
    <w:rsid w:val="00F05234"/>
    <w:rsid w:val="00F054F7"/>
    <w:rsid w:val="00F056F5"/>
    <w:rsid w:val="00F057A3"/>
    <w:rsid w:val="00F0594A"/>
    <w:rsid w:val="00F05C5D"/>
    <w:rsid w:val="00F05C97"/>
    <w:rsid w:val="00F05CFF"/>
    <w:rsid w:val="00F05D35"/>
    <w:rsid w:val="00F05E1B"/>
    <w:rsid w:val="00F05F89"/>
    <w:rsid w:val="00F0613B"/>
    <w:rsid w:val="00F0651B"/>
    <w:rsid w:val="00F06720"/>
    <w:rsid w:val="00F067A0"/>
    <w:rsid w:val="00F06ABB"/>
    <w:rsid w:val="00F06ACE"/>
    <w:rsid w:val="00F06B0D"/>
    <w:rsid w:val="00F06B4C"/>
    <w:rsid w:val="00F06C3B"/>
    <w:rsid w:val="00F06C53"/>
    <w:rsid w:val="00F06CC2"/>
    <w:rsid w:val="00F06D2C"/>
    <w:rsid w:val="00F06D45"/>
    <w:rsid w:val="00F06E07"/>
    <w:rsid w:val="00F0755D"/>
    <w:rsid w:val="00F07569"/>
    <w:rsid w:val="00F0759C"/>
    <w:rsid w:val="00F075C4"/>
    <w:rsid w:val="00F07704"/>
    <w:rsid w:val="00F07809"/>
    <w:rsid w:val="00F07A12"/>
    <w:rsid w:val="00F07B71"/>
    <w:rsid w:val="00F07C02"/>
    <w:rsid w:val="00F07C64"/>
    <w:rsid w:val="00F07C78"/>
    <w:rsid w:val="00F07CA2"/>
    <w:rsid w:val="00F07DC6"/>
    <w:rsid w:val="00F07E65"/>
    <w:rsid w:val="00F07EA3"/>
    <w:rsid w:val="00F100AA"/>
    <w:rsid w:val="00F1014B"/>
    <w:rsid w:val="00F1025B"/>
    <w:rsid w:val="00F1030A"/>
    <w:rsid w:val="00F1034B"/>
    <w:rsid w:val="00F1072F"/>
    <w:rsid w:val="00F1075F"/>
    <w:rsid w:val="00F10789"/>
    <w:rsid w:val="00F10897"/>
    <w:rsid w:val="00F108B4"/>
    <w:rsid w:val="00F108C2"/>
    <w:rsid w:val="00F108E7"/>
    <w:rsid w:val="00F109DB"/>
    <w:rsid w:val="00F10A29"/>
    <w:rsid w:val="00F10AB5"/>
    <w:rsid w:val="00F10BDD"/>
    <w:rsid w:val="00F10C0F"/>
    <w:rsid w:val="00F10D1C"/>
    <w:rsid w:val="00F10DAD"/>
    <w:rsid w:val="00F10DB9"/>
    <w:rsid w:val="00F10E09"/>
    <w:rsid w:val="00F10E4A"/>
    <w:rsid w:val="00F10FF6"/>
    <w:rsid w:val="00F111E3"/>
    <w:rsid w:val="00F11457"/>
    <w:rsid w:val="00F114D7"/>
    <w:rsid w:val="00F11551"/>
    <w:rsid w:val="00F11640"/>
    <w:rsid w:val="00F1177D"/>
    <w:rsid w:val="00F11884"/>
    <w:rsid w:val="00F11A0C"/>
    <w:rsid w:val="00F11A63"/>
    <w:rsid w:val="00F11B71"/>
    <w:rsid w:val="00F11C95"/>
    <w:rsid w:val="00F11EF3"/>
    <w:rsid w:val="00F11F97"/>
    <w:rsid w:val="00F11FC3"/>
    <w:rsid w:val="00F120B7"/>
    <w:rsid w:val="00F121DE"/>
    <w:rsid w:val="00F121E8"/>
    <w:rsid w:val="00F1230B"/>
    <w:rsid w:val="00F123B9"/>
    <w:rsid w:val="00F12442"/>
    <w:rsid w:val="00F124E1"/>
    <w:rsid w:val="00F12749"/>
    <w:rsid w:val="00F12780"/>
    <w:rsid w:val="00F127D3"/>
    <w:rsid w:val="00F12809"/>
    <w:rsid w:val="00F12994"/>
    <w:rsid w:val="00F129CE"/>
    <w:rsid w:val="00F12A07"/>
    <w:rsid w:val="00F12A15"/>
    <w:rsid w:val="00F12A6D"/>
    <w:rsid w:val="00F12CF8"/>
    <w:rsid w:val="00F12DD4"/>
    <w:rsid w:val="00F12EC0"/>
    <w:rsid w:val="00F13474"/>
    <w:rsid w:val="00F1348D"/>
    <w:rsid w:val="00F13629"/>
    <w:rsid w:val="00F136F0"/>
    <w:rsid w:val="00F13737"/>
    <w:rsid w:val="00F1376A"/>
    <w:rsid w:val="00F13883"/>
    <w:rsid w:val="00F1392B"/>
    <w:rsid w:val="00F139C7"/>
    <w:rsid w:val="00F13A46"/>
    <w:rsid w:val="00F13A9D"/>
    <w:rsid w:val="00F13CDD"/>
    <w:rsid w:val="00F13D19"/>
    <w:rsid w:val="00F13D22"/>
    <w:rsid w:val="00F13EEC"/>
    <w:rsid w:val="00F13FD3"/>
    <w:rsid w:val="00F13FF6"/>
    <w:rsid w:val="00F14057"/>
    <w:rsid w:val="00F14092"/>
    <w:rsid w:val="00F14241"/>
    <w:rsid w:val="00F142AB"/>
    <w:rsid w:val="00F14545"/>
    <w:rsid w:val="00F14681"/>
    <w:rsid w:val="00F14718"/>
    <w:rsid w:val="00F147DE"/>
    <w:rsid w:val="00F148E7"/>
    <w:rsid w:val="00F14A51"/>
    <w:rsid w:val="00F14A9B"/>
    <w:rsid w:val="00F14B1D"/>
    <w:rsid w:val="00F14B3E"/>
    <w:rsid w:val="00F14C34"/>
    <w:rsid w:val="00F14C69"/>
    <w:rsid w:val="00F14CC7"/>
    <w:rsid w:val="00F14DAF"/>
    <w:rsid w:val="00F14E20"/>
    <w:rsid w:val="00F14F2F"/>
    <w:rsid w:val="00F15011"/>
    <w:rsid w:val="00F15014"/>
    <w:rsid w:val="00F15077"/>
    <w:rsid w:val="00F15087"/>
    <w:rsid w:val="00F150C1"/>
    <w:rsid w:val="00F151D7"/>
    <w:rsid w:val="00F152EA"/>
    <w:rsid w:val="00F1546B"/>
    <w:rsid w:val="00F154CE"/>
    <w:rsid w:val="00F1550A"/>
    <w:rsid w:val="00F155D5"/>
    <w:rsid w:val="00F1560D"/>
    <w:rsid w:val="00F15687"/>
    <w:rsid w:val="00F156CE"/>
    <w:rsid w:val="00F156E1"/>
    <w:rsid w:val="00F15759"/>
    <w:rsid w:val="00F15768"/>
    <w:rsid w:val="00F1578D"/>
    <w:rsid w:val="00F15897"/>
    <w:rsid w:val="00F159A5"/>
    <w:rsid w:val="00F15A4A"/>
    <w:rsid w:val="00F15A73"/>
    <w:rsid w:val="00F15CD4"/>
    <w:rsid w:val="00F15D3C"/>
    <w:rsid w:val="00F15D48"/>
    <w:rsid w:val="00F15DC8"/>
    <w:rsid w:val="00F15DE6"/>
    <w:rsid w:val="00F15DEF"/>
    <w:rsid w:val="00F15E60"/>
    <w:rsid w:val="00F15F49"/>
    <w:rsid w:val="00F15F97"/>
    <w:rsid w:val="00F1621A"/>
    <w:rsid w:val="00F16280"/>
    <w:rsid w:val="00F162D4"/>
    <w:rsid w:val="00F16414"/>
    <w:rsid w:val="00F1658C"/>
    <w:rsid w:val="00F16678"/>
    <w:rsid w:val="00F16808"/>
    <w:rsid w:val="00F168FF"/>
    <w:rsid w:val="00F16903"/>
    <w:rsid w:val="00F16B29"/>
    <w:rsid w:val="00F16BF5"/>
    <w:rsid w:val="00F16C0A"/>
    <w:rsid w:val="00F16E34"/>
    <w:rsid w:val="00F16F82"/>
    <w:rsid w:val="00F17194"/>
    <w:rsid w:val="00F17217"/>
    <w:rsid w:val="00F173EF"/>
    <w:rsid w:val="00F17471"/>
    <w:rsid w:val="00F17512"/>
    <w:rsid w:val="00F1753B"/>
    <w:rsid w:val="00F176F4"/>
    <w:rsid w:val="00F178B4"/>
    <w:rsid w:val="00F179B7"/>
    <w:rsid w:val="00F17AC7"/>
    <w:rsid w:val="00F17AF0"/>
    <w:rsid w:val="00F17BEA"/>
    <w:rsid w:val="00F17C44"/>
    <w:rsid w:val="00F17C85"/>
    <w:rsid w:val="00F17CE4"/>
    <w:rsid w:val="00F17CFD"/>
    <w:rsid w:val="00F17D3F"/>
    <w:rsid w:val="00F17D93"/>
    <w:rsid w:val="00F17D97"/>
    <w:rsid w:val="00F17F73"/>
    <w:rsid w:val="00F17FEF"/>
    <w:rsid w:val="00F203CC"/>
    <w:rsid w:val="00F2058B"/>
    <w:rsid w:val="00F2068F"/>
    <w:rsid w:val="00F206E3"/>
    <w:rsid w:val="00F2081A"/>
    <w:rsid w:val="00F20900"/>
    <w:rsid w:val="00F20933"/>
    <w:rsid w:val="00F2098B"/>
    <w:rsid w:val="00F20CE3"/>
    <w:rsid w:val="00F20D7A"/>
    <w:rsid w:val="00F20DC0"/>
    <w:rsid w:val="00F20DF7"/>
    <w:rsid w:val="00F20F67"/>
    <w:rsid w:val="00F21012"/>
    <w:rsid w:val="00F210C9"/>
    <w:rsid w:val="00F210D4"/>
    <w:rsid w:val="00F2125D"/>
    <w:rsid w:val="00F212B7"/>
    <w:rsid w:val="00F21319"/>
    <w:rsid w:val="00F214C0"/>
    <w:rsid w:val="00F21580"/>
    <w:rsid w:val="00F21738"/>
    <w:rsid w:val="00F217F0"/>
    <w:rsid w:val="00F21828"/>
    <w:rsid w:val="00F2187E"/>
    <w:rsid w:val="00F21A37"/>
    <w:rsid w:val="00F21AA3"/>
    <w:rsid w:val="00F21D20"/>
    <w:rsid w:val="00F21E2A"/>
    <w:rsid w:val="00F21E8A"/>
    <w:rsid w:val="00F21ED3"/>
    <w:rsid w:val="00F22101"/>
    <w:rsid w:val="00F22300"/>
    <w:rsid w:val="00F22318"/>
    <w:rsid w:val="00F22359"/>
    <w:rsid w:val="00F2238F"/>
    <w:rsid w:val="00F22467"/>
    <w:rsid w:val="00F224DE"/>
    <w:rsid w:val="00F2256A"/>
    <w:rsid w:val="00F22578"/>
    <w:rsid w:val="00F2264C"/>
    <w:rsid w:val="00F22758"/>
    <w:rsid w:val="00F2295E"/>
    <w:rsid w:val="00F229E4"/>
    <w:rsid w:val="00F22CB6"/>
    <w:rsid w:val="00F22ED0"/>
    <w:rsid w:val="00F22ED5"/>
    <w:rsid w:val="00F22F07"/>
    <w:rsid w:val="00F23048"/>
    <w:rsid w:val="00F231AB"/>
    <w:rsid w:val="00F231AE"/>
    <w:rsid w:val="00F233E7"/>
    <w:rsid w:val="00F234D7"/>
    <w:rsid w:val="00F235DA"/>
    <w:rsid w:val="00F23621"/>
    <w:rsid w:val="00F2388E"/>
    <w:rsid w:val="00F238BA"/>
    <w:rsid w:val="00F239A3"/>
    <w:rsid w:val="00F239CB"/>
    <w:rsid w:val="00F23A2E"/>
    <w:rsid w:val="00F23A2F"/>
    <w:rsid w:val="00F23A93"/>
    <w:rsid w:val="00F23C58"/>
    <w:rsid w:val="00F23D0E"/>
    <w:rsid w:val="00F23D27"/>
    <w:rsid w:val="00F23D73"/>
    <w:rsid w:val="00F23E08"/>
    <w:rsid w:val="00F23E47"/>
    <w:rsid w:val="00F23F0B"/>
    <w:rsid w:val="00F241E4"/>
    <w:rsid w:val="00F2447F"/>
    <w:rsid w:val="00F244D5"/>
    <w:rsid w:val="00F244E7"/>
    <w:rsid w:val="00F2459C"/>
    <w:rsid w:val="00F2459F"/>
    <w:rsid w:val="00F2482C"/>
    <w:rsid w:val="00F248C4"/>
    <w:rsid w:val="00F24937"/>
    <w:rsid w:val="00F24B6E"/>
    <w:rsid w:val="00F24FF0"/>
    <w:rsid w:val="00F25127"/>
    <w:rsid w:val="00F2519B"/>
    <w:rsid w:val="00F252C5"/>
    <w:rsid w:val="00F2537D"/>
    <w:rsid w:val="00F25396"/>
    <w:rsid w:val="00F254F0"/>
    <w:rsid w:val="00F259EE"/>
    <w:rsid w:val="00F25A2A"/>
    <w:rsid w:val="00F25A94"/>
    <w:rsid w:val="00F25AE6"/>
    <w:rsid w:val="00F25AF5"/>
    <w:rsid w:val="00F25C91"/>
    <w:rsid w:val="00F25D50"/>
    <w:rsid w:val="00F2604C"/>
    <w:rsid w:val="00F26052"/>
    <w:rsid w:val="00F261C3"/>
    <w:rsid w:val="00F26263"/>
    <w:rsid w:val="00F2636E"/>
    <w:rsid w:val="00F263DD"/>
    <w:rsid w:val="00F26421"/>
    <w:rsid w:val="00F264D0"/>
    <w:rsid w:val="00F264D9"/>
    <w:rsid w:val="00F264F8"/>
    <w:rsid w:val="00F26539"/>
    <w:rsid w:val="00F26540"/>
    <w:rsid w:val="00F26572"/>
    <w:rsid w:val="00F26585"/>
    <w:rsid w:val="00F266B4"/>
    <w:rsid w:val="00F266FF"/>
    <w:rsid w:val="00F26716"/>
    <w:rsid w:val="00F268E9"/>
    <w:rsid w:val="00F26B5D"/>
    <w:rsid w:val="00F26B66"/>
    <w:rsid w:val="00F26BBF"/>
    <w:rsid w:val="00F26BD9"/>
    <w:rsid w:val="00F26BFC"/>
    <w:rsid w:val="00F26CE2"/>
    <w:rsid w:val="00F26D3A"/>
    <w:rsid w:val="00F26DF3"/>
    <w:rsid w:val="00F26E07"/>
    <w:rsid w:val="00F26E19"/>
    <w:rsid w:val="00F26EE5"/>
    <w:rsid w:val="00F26FFE"/>
    <w:rsid w:val="00F2700D"/>
    <w:rsid w:val="00F27133"/>
    <w:rsid w:val="00F2718F"/>
    <w:rsid w:val="00F271CD"/>
    <w:rsid w:val="00F27282"/>
    <w:rsid w:val="00F272BC"/>
    <w:rsid w:val="00F2738D"/>
    <w:rsid w:val="00F27414"/>
    <w:rsid w:val="00F2752D"/>
    <w:rsid w:val="00F27577"/>
    <w:rsid w:val="00F27808"/>
    <w:rsid w:val="00F2793F"/>
    <w:rsid w:val="00F27A52"/>
    <w:rsid w:val="00F27CC0"/>
    <w:rsid w:val="00F27D87"/>
    <w:rsid w:val="00F27F18"/>
    <w:rsid w:val="00F27F9D"/>
    <w:rsid w:val="00F301A4"/>
    <w:rsid w:val="00F30204"/>
    <w:rsid w:val="00F302B4"/>
    <w:rsid w:val="00F303AE"/>
    <w:rsid w:val="00F30411"/>
    <w:rsid w:val="00F30460"/>
    <w:rsid w:val="00F304E7"/>
    <w:rsid w:val="00F307C6"/>
    <w:rsid w:val="00F30901"/>
    <w:rsid w:val="00F3093D"/>
    <w:rsid w:val="00F30976"/>
    <w:rsid w:val="00F30AE5"/>
    <w:rsid w:val="00F30B32"/>
    <w:rsid w:val="00F30FC5"/>
    <w:rsid w:val="00F3103C"/>
    <w:rsid w:val="00F3121B"/>
    <w:rsid w:val="00F312EA"/>
    <w:rsid w:val="00F312F6"/>
    <w:rsid w:val="00F31309"/>
    <w:rsid w:val="00F31358"/>
    <w:rsid w:val="00F3135C"/>
    <w:rsid w:val="00F31370"/>
    <w:rsid w:val="00F313E9"/>
    <w:rsid w:val="00F31428"/>
    <w:rsid w:val="00F3146D"/>
    <w:rsid w:val="00F314B6"/>
    <w:rsid w:val="00F31572"/>
    <w:rsid w:val="00F31656"/>
    <w:rsid w:val="00F316D4"/>
    <w:rsid w:val="00F3171D"/>
    <w:rsid w:val="00F318B0"/>
    <w:rsid w:val="00F318C8"/>
    <w:rsid w:val="00F319D2"/>
    <w:rsid w:val="00F319EE"/>
    <w:rsid w:val="00F31A85"/>
    <w:rsid w:val="00F31BE8"/>
    <w:rsid w:val="00F31CA4"/>
    <w:rsid w:val="00F31CDB"/>
    <w:rsid w:val="00F31D06"/>
    <w:rsid w:val="00F31D4B"/>
    <w:rsid w:val="00F31E64"/>
    <w:rsid w:val="00F31E84"/>
    <w:rsid w:val="00F31FB8"/>
    <w:rsid w:val="00F32074"/>
    <w:rsid w:val="00F3209B"/>
    <w:rsid w:val="00F320FD"/>
    <w:rsid w:val="00F3214C"/>
    <w:rsid w:val="00F32169"/>
    <w:rsid w:val="00F32269"/>
    <w:rsid w:val="00F3226A"/>
    <w:rsid w:val="00F32296"/>
    <w:rsid w:val="00F322C1"/>
    <w:rsid w:val="00F3234A"/>
    <w:rsid w:val="00F324B0"/>
    <w:rsid w:val="00F324B6"/>
    <w:rsid w:val="00F324B8"/>
    <w:rsid w:val="00F324E7"/>
    <w:rsid w:val="00F3250F"/>
    <w:rsid w:val="00F325D6"/>
    <w:rsid w:val="00F32729"/>
    <w:rsid w:val="00F327F7"/>
    <w:rsid w:val="00F328A5"/>
    <w:rsid w:val="00F32CC5"/>
    <w:rsid w:val="00F32DAE"/>
    <w:rsid w:val="00F33103"/>
    <w:rsid w:val="00F33120"/>
    <w:rsid w:val="00F334AB"/>
    <w:rsid w:val="00F336C6"/>
    <w:rsid w:val="00F33991"/>
    <w:rsid w:val="00F339BE"/>
    <w:rsid w:val="00F33A68"/>
    <w:rsid w:val="00F33A6C"/>
    <w:rsid w:val="00F33B2F"/>
    <w:rsid w:val="00F33D3C"/>
    <w:rsid w:val="00F33DFF"/>
    <w:rsid w:val="00F33F52"/>
    <w:rsid w:val="00F33F84"/>
    <w:rsid w:val="00F33F8D"/>
    <w:rsid w:val="00F33F91"/>
    <w:rsid w:val="00F34030"/>
    <w:rsid w:val="00F3422F"/>
    <w:rsid w:val="00F34258"/>
    <w:rsid w:val="00F3429C"/>
    <w:rsid w:val="00F342CA"/>
    <w:rsid w:val="00F3434F"/>
    <w:rsid w:val="00F343B8"/>
    <w:rsid w:val="00F34450"/>
    <w:rsid w:val="00F3453F"/>
    <w:rsid w:val="00F3477E"/>
    <w:rsid w:val="00F347AF"/>
    <w:rsid w:val="00F34ABF"/>
    <w:rsid w:val="00F34B1E"/>
    <w:rsid w:val="00F34B37"/>
    <w:rsid w:val="00F34F8C"/>
    <w:rsid w:val="00F353A1"/>
    <w:rsid w:val="00F355D6"/>
    <w:rsid w:val="00F35639"/>
    <w:rsid w:val="00F356E7"/>
    <w:rsid w:val="00F35736"/>
    <w:rsid w:val="00F358F1"/>
    <w:rsid w:val="00F35909"/>
    <w:rsid w:val="00F3594B"/>
    <w:rsid w:val="00F35999"/>
    <w:rsid w:val="00F35A56"/>
    <w:rsid w:val="00F35AB8"/>
    <w:rsid w:val="00F35B56"/>
    <w:rsid w:val="00F35C65"/>
    <w:rsid w:val="00F35C68"/>
    <w:rsid w:val="00F35C9B"/>
    <w:rsid w:val="00F35CB5"/>
    <w:rsid w:val="00F35D10"/>
    <w:rsid w:val="00F35F69"/>
    <w:rsid w:val="00F3603D"/>
    <w:rsid w:val="00F36839"/>
    <w:rsid w:val="00F3689A"/>
    <w:rsid w:val="00F368C8"/>
    <w:rsid w:val="00F36930"/>
    <w:rsid w:val="00F36AF4"/>
    <w:rsid w:val="00F36B97"/>
    <w:rsid w:val="00F36C74"/>
    <w:rsid w:val="00F36CA0"/>
    <w:rsid w:val="00F36CC5"/>
    <w:rsid w:val="00F36CD0"/>
    <w:rsid w:val="00F36CFB"/>
    <w:rsid w:val="00F36F32"/>
    <w:rsid w:val="00F36FB5"/>
    <w:rsid w:val="00F37662"/>
    <w:rsid w:val="00F376AB"/>
    <w:rsid w:val="00F376CF"/>
    <w:rsid w:val="00F37770"/>
    <w:rsid w:val="00F37882"/>
    <w:rsid w:val="00F37A1C"/>
    <w:rsid w:val="00F37B38"/>
    <w:rsid w:val="00F37BAB"/>
    <w:rsid w:val="00F37C44"/>
    <w:rsid w:val="00F37C5B"/>
    <w:rsid w:val="00F37CA2"/>
    <w:rsid w:val="00F37CB6"/>
    <w:rsid w:val="00F37D87"/>
    <w:rsid w:val="00F37DAF"/>
    <w:rsid w:val="00F37EAD"/>
    <w:rsid w:val="00F37F65"/>
    <w:rsid w:val="00F4000A"/>
    <w:rsid w:val="00F4010B"/>
    <w:rsid w:val="00F40160"/>
    <w:rsid w:val="00F401A5"/>
    <w:rsid w:val="00F401C4"/>
    <w:rsid w:val="00F40297"/>
    <w:rsid w:val="00F40413"/>
    <w:rsid w:val="00F404C5"/>
    <w:rsid w:val="00F40593"/>
    <w:rsid w:val="00F405A3"/>
    <w:rsid w:val="00F40690"/>
    <w:rsid w:val="00F406B0"/>
    <w:rsid w:val="00F40A6B"/>
    <w:rsid w:val="00F40A95"/>
    <w:rsid w:val="00F40B05"/>
    <w:rsid w:val="00F40D96"/>
    <w:rsid w:val="00F4114B"/>
    <w:rsid w:val="00F4123D"/>
    <w:rsid w:val="00F41497"/>
    <w:rsid w:val="00F4163D"/>
    <w:rsid w:val="00F4175A"/>
    <w:rsid w:val="00F41BD1"/>
    <w:rsid w:val="00F41C60"/>
    <w:rsid w:val="00F41CA7"/>
    <w:rsid w:val="00F41E9F"/>
    <w:rsid w:val="00F4202F"/>
    <w:rsid w:val="00F420B0"/>
    <w:rsid w:val="00F4220F"/>
    <w:rsid w:val="00F4251C"/>
    <w:rsid w:val="00F425FC"/>
    <w:rsid w:val="00F42646"/>
    <w:rsid w:val="00F42691"/>
    <w:rsid w:val="00F426F9"/>
    <w:rsid w:val="00F4274F"/>
    <w:rsid w:val="00F42A00"/>
    <w:rsid w:val="00F42A75"/>
    <w:rsid w:val="00F42C43"/>
    <w:rsid w:val="00F42DC7"/>
    <w:rsid w:val="00F42F3D"/>
    <w:rsid w:val="00F43046"/>
    <w:rsid w:val="00F432A4"/>
    <w:rsid w:val="00F43315"/>
    <w:rsid w:val="00F433F7"/>
    <w:rsid w:val="00F43483"/>
    <w:rsid w:val="00F435B6"/>
    <w:rsid w:val="00F43726"/>
    <w:rsid w:val="00F4383F"/>
    <w:rsid w:val="00F438C7"/>
    <w:rsid w:val="00F43921"/>
    <w:rsid w:val="00F43937"/>
    <w:rsid w:val="00F439F5"/>
    <w:rsid w:val="00F43A2B"/>
    <w:rsid w:val="00F43B7D"/>
    <w:rsid w:val="00F43BAB"/>
    <w:rsid w:val="00F43D03"/>
    <w:rsid w:val="00F43D34"/>
    <w:rsid w:val="00F44118"/>
    <w:rsid w:val="00F44258"/>
    <w:rsid w:val="00F443F9"/>
    <w:rsid w:val="00F44457"/>
    <w:rsid w:val="00F44471"/>
    <w:rsid w:val="00F4453C"/>
    <w:rsid w:val="00F4466F"/>
    <w:rsid w:val="00F44B2B"/>
    <w:rsid w:val="00F44B64"/>
    <w:rsid w:val="00F44C80"/>
    <w:rsid w:val="00F44CFC"/>
    <w:rsid w:val="00F44DF2"/>
    <w:rsid w:val="00F44FF2"/>
    <w:rsid w:val="00F450A9"/>
    <w:rsid w:val="00F45132"/>
    <w:rsid w:val="00F45153"/>
    <w:rsid w:val="00F452F7"/>
    <w:rsid w:val="00F45327"/>
    <w:rsid w:val="00F453DD"/>
    <w:rsid w:val="00F454FD"/>
    <w:rsid w:val="00F45774"/>
    <w:rsid w:val="00F4582B"/>
    <w:rsid w:val="00F458B4"/>
    <w:rsid w:val="00F459B4"/>
    <w:rsid w:val="00F45A68"/>
    <w:rsid w:val="00F45B08"/>
    <w:rsid w:val="00F45B4B"/>
    <w:rsid w:val="00F45BE9"/>
    <w:rsid w:val="00F45C4E"/>
    <w:rsid w:val="00F45CD6"/>
    <w:rsid w:val="00F45CEE"/>
    <w:rsid w:val="00F45D47"/>
    <w:rsid w:val="00F45E5E"/>
    <w:rsid w:val="00F45F5D"/>
    <w:rsid w:val="00F462A0"/>
    <w:rsid w:val="00F4660A"/>
    <w:rsid w:val="00F467C6"/>
    <w:rsid w:val="00F4680F"/>
    <w:rsid w:val="00F46861"/>
    <w:rsid w:val="00F4699C"/>
    <w:rsid w:val="00F46A97"/>
    <w:rsid w:val="00F46C2E"/>
    <w:rsid w:val="00F46C97"/>
    <w:rsid w:val="00F46CAF"/>
    <w:rsid w:val="00F46D45"/>
    <w:rsid w:val="00F46D4D"/>
    <w:rsid w:val="00F46E42"/>
    <w:rsid w:val="00F4702C"/>
    <w:rsid w:val="00F47060"/>
    <w:rsid w:val="00F471F3"/>
    <w:rsid w:val="00F474C6"/>
    <w:rsid w:val="00F478BD"/>
    <w:rsid w:val="00F478D0"/>
    <w:rsid w:val="00F4794B"/>
    <w:rsid w:val="00F47952"/>
    <w:rsid w:val="00F47B97"/>
    <w:rsid w:val="00F47C22"/>
    <w:rsid w:val="00F47D21"/>
    <w:rsid w:val="00F47F2F"/>
    <w:rsid w:val="00F50059"/>
    <w:rsid w:val="00F50098"/>
    <w:rsid w:val="00F501D7"/>
    <w:rsid w:val="00F5021D"/>
    <w:rsid w:val="00F502FB"/>
    <w:rsid w:val="00F5041C"/>
    <w:rsid w:val="00F504A5"/>
    <w:rsid w:val="00F504C2"/>
    <w:rsid w:val="00F504EB"/>
    <w:rsid w:val="00F50586"/>
    <w:rsid w:val="00F505B8"/>
    <w:rsid w:val="00F505C2"/>
    <w:rsid w:val="00F505F9"/>
    <w:rsid w:val="00F5078C"/>
    <w:rsid w:val="00F509DA"/>
    <w:rsid w:val="00F509DE"/>
    <w:rsid w:val="00F50C67"/>
    <w:rsid w:val="00F50E7A"/>
    <w:rsid w:val="00F50FEE"/>
    <w:rsid w:val="00F510D9"/>
    <w:rsid w:val="00F511A6"/>
    <w:rsid w:val="00F511CF"/>
    <w:rsid w:val="00F511EC"/>
    <w:rsid w:val="00F5148F"/>
    <w:rsid w:val="00F51496"/>
    <w:rsid w:val="00F51726"/>
    <w:rsid w:val="00F51B71"/>
    <w:rsid w:val="00F51C2D"/>
    <w:rsid w:val="00F51F91"/>
    <w:rsid w:val="00F52086"/>
    <w:rsid w:val="00F52143"/>
    <w:rsid w:val="00F52241"/>
    <w:rsid w:val="00F52353"/>
    <w:rsid w:val="00F523D2"/>
    <w:rsid w:val="00F52487"/>
    <w:rsid w:val="00F524E1"/>
    <w:rsid w:val="00F52813"/>
    <w:rsid w:val="00F52B9E"/>
    <w:rsid w:val="00F52C5D"/>
    <w:rsid w:val="00F53080"/>
    <w:rsid w:val="00F531E5"/>
    <w:rsid w:val="00F53265"/>
    <w:rsid w:val="00F53334"/>
    <w:rsid w:val="00F53483"/>
    <w:rsid w:val="00F5360A"/>
    <w:rsid w:val="00F537EB"/>
    <w:rsid w:val="00F53874"/>
    <w:rsid w:val="00F53938"/>
    <w:rsid w:val="00F53971"/>
    <w:rsid w:val="00F53A33"/>
    <w:rsid w:val="00F53A78"/>
    <w:rsid w:val="00F53B6D"/>
    <w:rsid w:val="00F53B8F"/>
    <w:rsid w:val="00F53DD4"/>
    <w:rsid w:val="00F53DFC"/>
    <w:rsid w:val="00F53E73"/>
    <w:rsid w:val="00F53EFE"/>
    <w:rsid w:val="00F53FB4"/>
    <w:rsid w:val="00F54000"/>
    <w:rsid w:val="00F5407A"/>
    <w:rsid w:val="00F5417E"/>
    <w:rsid w:val="00F5419B"/>
    <w:rsid w:val="00F541BD"/>
    <w:rsid w:val="00F541FE"/>
    <w:rsid w:val="00F5421C"/>
    <w:rsid w:val="00F544B4"/>
    <w:rsid w:val="00F545E4"/>
    <w:rsid w:val="00F547CD"/>
    <w:rsid w:val="00F547EE"/>
    <w:rsid w:val="00F54831"/>
    <w:rsid w:val="00F54863"/>
    <w:rsid w:val="00F54A93"/>
    <w:rsid w:val="00F54B0C"/>
    <w:rsid w:val="00F54DC1"/>
    <w:rsid w:val="00F54E8B"/>
    <w:rsid w:val="00F54FC5"/>
    <w:rsid w:val="00F5512C"/>
    <w:rsid w:val="00F55228"/>
    <w:rsid w:val="00F55374"/>
    <w:rsid w:val="00F553D1"/>
    <w:rsid w:val="00F55463"/>
    <w:rsid w:val="00F55475"/>
    <w:rsid w:val="00F554D2"/>
    <w:rsid w:val="00F5554D"/>
    <w:rsid w:val="00F557B5"/>
    <w:rsid w:val="00F5595E"/>
    <w:rsid w:val="00F559BE"/>
    <w:rsid w:val="00F55B41"/>
    <w:rsid w:val="00F55B4F"/>
    <w:rsid w:val="00F55FC6"/>
    <w:rsid w:val="00F5608C"/>
    <w:rsid w:val="00F5609C"/>
    <w:rsid w:val="00F56232"/>
    <w:rsid w:val="00F56241"/>
    <w:rsid w:val="00F56459"/>
    <w:rsid w:val="00F56555"/>
    <w:rsid w:val="00F56600"/>
    <w:rsid w:val="00F56724"/>
    <w:rsid w:val="00F5674C"/>
    <w:rsid w:val="00F568AE"/>
    <w:rsid w:val="00F568BC"/>
    <w:rsid w:val="00F56A81"/>
    <w:rsid w:val="00F56AD0"/>
    <w:rsid w:val="00F56F81"/>
    <w:rsid w:val="00F56FEA"/>
    <w:rsid w:val="00F57366"/>
    <w:rsid w:val="00F5738D"/>
    <w:rsid w:val="00F5752D"/>
    <w:rsid w:val="00F575F9"/>
    <w:rsid w:val="00F576AB"/>
    <w:rsid w:val="00F57880"/>
    <w:rsid w:val="00F57960"/>
    <w:rsid w:val="00F57A9F"/>
    <w:rsid w:val="00F57B60"/>
    <w:rsid w:val="00F57CF4"/>
    <w:rsid w:val="00F57E72"/>
    <w:rsid w:val="00F57EB9"/>
    <w:rsid w:val="00F60166"/>
    <w:rsid w:val="00F6030C"/>
    <w:rsid w:val="00F603F4"/>
    <w:rsid w:val="00F6062E"/>
    <w:rsid w:val="00F606D0"/>
    <w:rsid w:val="00F60966"/>
    <w:rsid w:val="00F6096E"/>
    <w:rsid w:val="00F60AA6"/>
    <w:rsid w:val="00F60AF6"/>
    <w:rsid w:val="00F60B3B"/>
    <w:rsid w:val="00F60B81"/>
    <w:rsid w:val="00F60BA2"/>
    <w:rsid w:val="00F60CBC"/>
    <w:rsid w:val="00F60CEC"/>
    <w:rsid w:val="00F60D12"/>
    <w:rsid w:val="00F60E61"/>
    <w:rsid w:val="00F60EF4"/>
    <w:rsid w:val="00F60F8D"/>
    <w:rsid w:val="00F61059"/>
    <w:rsid w:val="00F61170"/>
    <w:rsid w:val="00F611A5"/>
    <w:rsid w:val="00F61232"/>
    <w:rsid w:val="00F6135D"/>
    <w:rsid w:val="00F613E7"/>
    <w:rsid w:val="00F61794"/>
    <w:rsid w:val="00F617DC"/>
    <w:rsid w:val="00F617EC"/>
    <w:rsid w:val="00F618B5"/>
    <w:rsid w:val="00F61A3C"/>
    <w:rsid w:val="00F61A5F"/>
    <w:rsid w:val="00F61AE9"/>
    <w:rsid w:val="00F61C92"/>
    <w:rsid w:val="00F61CB0"/>
    <w:rsid w:val="00F61F00"/>
    <w:rsid w:val="00F61F5A"/>
    <w:rsid w:val="00F621AE"/>
    <w:rsid w:val="00F62221"/>
    <w:rsid w:val="00F62245"/>
    <w:rsid w:val="00F622E9"/>
    <w:rsid w:val="00F62373"/>
    <w:rsid w:val="00F623F7"/>
    <w:rsid w:val="00F624EC"/>
    <w:rsid w:val="00F625D5"/>
    <w:rsid w:val="00F625D9"/>
    <w:rsid w:val="00F62638"/>
    <w:rsid w:val="00F6270C"/>
    <w:rsid w:val="00F627EB"/>
    <w:rsid w:val="00F62824"/>
    <w:rsid w:val="00F6298A"/>
    <w:rsid w:val="00F62A26"/>
    <w:rsid w:val="00F62B2A"/>
    <w:rsid w:val="00F62CAB"/>
    <w:rsid w:val="00F62D18"/>
    <w:rsid w:val="00F62DED"/>
    <w:rsid w:val="00F63022"/>
    <w:rsid w:val="00F630FD"/>
    <w:rsid w:val="00F63269"/>
    <w:rsid w:val="00F6330D"/>
    <w:rsid w:val="00F6341C"/>
    <w:rsid w:val="00F63443"/>
    <w:rsid w:val="00F634B3"/>
    <w:rsid w:val="00F634F6"/>
    <w:rsid w:val="00F63572"/>
    <w:rsid w:val="00F635A2"/>
    <w:rsid w:val="00F635C0"/>
    <w:rsid w:val="00F63618"/>
    <w:rsid w:val="00F638AB"/>
    <w:rsid w:val="00F639DA"/>
    <w:rsid w:val="00F639EA"/>
    <w:rsid w:val="00F63CC7"/>
    <w:rsid w:val="00F63D9F"/>
    <w:rsid w:val="00F63DA5"/>
    <w:rsid w:val="00F63F32"/>
    <w:rsid w:val="00F63F49"/>
    <w:rsid w:val="00F6441A"/>
    <w:rsid w:val="00F647F1"/>
    <w:rsid w:val="00F648B8"/>
    <w:rsid w:val="00F6490E"/>
    <w:rsid w:val="00F6498B"/>
    <w:rsid w:val="00F64AAC"/>
    <w:rsid w:val="00F64AED"/>
    <w:rsid w:val="00F64D93"/>
    <w:rsid w:val="00F65006"/>
    <w:rsid w:val="00F65027"/>
    <w:rsid w:val="00F6505C"/>
    <w:rsid w:val="00F651B9"/>
    <w:rsid w:val="00F651F8"/>
    <w:rsid w:val="00F6524E"/>
    <w:rsid w:val="00F65281"/>
    <w:rsid w:val="00F6535D"/>
    <w:rsid w:val="00F653E8"/>
    <w:rsid w:val="00F656B9"/>
    <w:rsid w:val="00F656D6"/>
    <w:rsid w:val="00F6571A"/>
    <w:rsid w:val="00F657B9"/>
    <w:rsid w:val="00F65841"/>
    <w:rsid w:val="00F65923"/>
    <w:rsid w:val="00F6592E"/>
    <w:rsid w:val="00F65A98"/>
    <w:rsid w:val="00F65B93"/>
    <w:rsid w:val="00F65BBE"/>
    <w:rsid w:val="00F65C21"/>
    <w:rsid w:val="00F65C50"/>
    <w:rsid w:val="00F65D33"/>
    <w:rsid w:val="00F65D38"/>
    <w:rsid w:val="00F65DBA"/>
    <w:rsid w:val="00F65E8A"/>
    <w:rsid w:val="00F65FA9"/>
    <w:rsid w:val="00F66004"/>
    <w:rsid w:val="00F66052"/>
    <w:rsid w:val="00F66155"/>
    <w:rsid w:val="00F663A9"/>
    <w:rsid w:val="00F6643B"/>
    <w:rsid w:val="00F66610"/>
    <w:rsid w:val="00F66831"/>
    <w:rsid w:val="00F66834"/>
    <w:rsid w:val="00F66CF7"/>
    <w:rsid w:val="00F66D22"/>
    <w:rsid w:val="00F66F5C"/>
    <w:rsid w:val="00F66F69"/>
    <w:rsid w:val="00F66F91"/>
    <w:rsid w:val="00F66FC7"/>
    <w:rsid w:val="00F66FE6"/>
    <w:rsid w:val="00F671F2"/>
    <w:rsid w:val="00F671FF"/>
    <w:rsid w:val="00F67331"/>
    <w:rsid w:val="00F67672"/>
    <w:rsid w:val="00F67675"/>
    <w:rsid w:val="00F676DC"/>
    <w:rsid w:val="00F679A9"/>
    <w:rsid w:val="00F67BF9"/>
    <w:rsid w:val="00F67EE5"/>
    <w:rsid w:val="00F70239"/>
    <w:rsid w:val="00F704A2"/>
    <w:rsid w:val="00F704A8"/>
    <w:rsid w:val="00F706F1"/>
    <w:rsid w:val="00F70737"/>
    <w:rsid w:val="00F7075D"/>
    <w:rsid w:val="00F7087A"/>
    <w:rsid w:val="00F708DF"/>
    <w:rsid w:val="00F7092F"/>
    <w:rsid w:val="00F7095A"/>
    <w:rsid w:val="00F70B44"/>
    <w:rsid w:val="00F70BE8"/>
    <w:rsid w:val="00F70D2A"/>
    <w:rsid w:val="00F70DEF"/>
    <w:rsid w:val="00F70E2B"/>
    <w:rsid w:val="00F70E31"/>
    <w:rsid w:val="00F710B0"/>
    <w:rsid w:val="00F71195"/>
    <w:rsid w:val="00F7119A"/>
    <w:rsid w:val="00F71458"/>
    <w:rsid w:val="00F7148F"/>
    <w:rsid w:val="00F715B5"/>
    <w:rsid w:val="00F715BC"/>
    <w:rsid w:val="00F71724"/>
    <w:rsid w:val="00F7176F"/>
    <w:rsid w:val="00F7183E"/>
    <w:rsid w:val="00F718EC"/>
    <w:rsid w:val="00F719B9"/>
    <w:rsid w:val="00F71A2F"/>
    <w:rsid w:val="00F71A56"/>
    <w:rsid w:val="00F71BE4"/>
    <w:rsid w:val="00F71D03"/>
    <w:rsid w:val="00F71DED"/>
    <w:rsid w:val="00F71E8C"/>
    <w:rsid w:val="00F71EA9"/>
    <w:rsid w:val="00F71F5C"/>
    <w:rsid w:val="00F7200D"/>
    <w:rsid w:val="00F7233E"/>
    <w:rsid w:val="00F72401"/>
    <w:rsid w:val="00F72681"/>
    <w:rsid w:val="00F72813"/>
    <w:rsid w:val="00F728FA"/>
    <w:rsid w:val="00F7290D"/>
    <w:rsid w:val="00F72A05"/>
    <w:rsid w:val="00F72D31"/>
    <w:rsid w:val="00F72D3F"/>
    <w:rsid w:val="00F72E00"/>
    <w:rsid w:val="00F7308E"/>
    <w:rsid w:val="00F73218"/>
    <w:rsid w:val="00F733C8"/>
    <w:rsid w:val="00F733D5"/>
    <w:rsid w:val="00F73408"/>
    <w:rsid w:val="00F73419"/>
    <w:rsid w:val="00F73441"/>
    <w:rsid w:val="00F7357F"/>
    <w:rsid w:val="00F735C2"/>
    <w:rsid w:val="00F7366D"/>
    <w:rsid w:val="00F736A0"/>
    <w:rsid w:val="00F7376A"/>
    <w:rsid w:val="00F737EC"/>
    <w:rsid w:val="00F73854"/>
    <w:rsid w:val="00F7386E"/>
    <w:rsid w:val="00F7387C"/>
    <w:rsid w:val="00F73A57"/>
    <w:rsid w:val="00F73D7D"/>
    <w:rsid w:val="00F73EBE"/>
    <w:rsid w:val="00F73FF3"/>
    <w:rsid w:val="00F740C2"/>
    <w:rsid w:val="00F7418C"/>
    <w:rsid w:val="00F743A7"/>
    <w:rsid w:val="00F7473B"/>
    <w:rsid w:val="00F747D1"/>
    <w:rsid w:val="00F7484B"/>
    <w:rsid w:val="00F74A23"/>
    <w:rsid w:val="00F74A4E"/>
    <w:rsid w:val="00F74BB6"/>
    <w:rsid w:val="00F74BF3"/>
    <w:rsid w:val="00F74D44"/>
    <w:rsid w:val="00F74E52"/>
    <w:rsid w:val="00F74F69"/>
    <w:rsid w:val="00F74FB9"/>
    <w:rsid w:val="00F750AC"/>
    <w:rsid w:val="00F75124"/>
    <w:rsid w:val="00F75485"/>
    <w:rsid w:val="00F7549E"/>
    <w:rsid w:val="00F754A3"/>
    <w:rsid w:val="00F756CF"/>
    <w:rsid w:val="00F75A8A"/>
    <w:rsid w:val="00F75AD4"/>
    <w:rsid w:val="00F75AEE"/>
    <w:rsid w:val="00F75B50"/>
    <w:rsid w:val="00F75B57"/>
    <w:rsid w:val="00F75CA8"/>
    <w:rsid w:val="00F75EB9"/>
    <w:rsid w:val="00F7623A"/>
    <w:rsid w:val="00F76385"/>
    <w:rsid w:val="00F763B2"/>
    <w:rsid w:val="00F765D8"/>
    <w:rsid w:val="00F76732"/>
    <w:rsid w:val="00F767DD"/>
    <w:rsid w:val="00F76957"/>
    <w:rsid w:val="00F76981"/>
    <w:rsid w:val="00F76AB0"/>
    <w:rsid w:val="00F76ACD"/>
    <w:rsid w:val="00F76B07"/>
    <w:rsid w:val="00F76BA8"/>
    <w:rsid w:val="00F76BE8"/>
    <w:rsid w:val="00F76C5B"/>
    <w:rsid w:val="00F76CA0"/>
    <w:rsid w:val="00F76D45"/>
    <w:rsid w:val="00F76D83"/>
    <w:rsid w:val="00F76DFB"/>
    <w:rsid w:val="00F76FE3"/>
    <w:rsid w:val="00F77111"/>
    <w:rsid w:val="00F77419"/>
    <w:rsid w:val="00F774AF"/>
    <w:rsid w:val="00F774E7"/>
    <w:rsid w:val="00F7750E"/>
    <w:rsid w:val="00F7760B"/>
    <w:rsid w:val="00F77657"/>
    <w:rsid w:val="00F77678"/>
    <w:rsid w:val="00F7777D"/>
    <w:rsid w:val="00F779B3"/>
    <w:rsid w:val="00F77B4D"/>
    <w:rsid w:val="00F77B65"/>
    <w:rsid w:val="00F77BED"/>
    <w:rsid w:val="00F77EAC"/>
    <w:rsid w:val="00F77EF1"/>
    <w:rsid w:val="00F77F54"/>
    <w:rsid w:val="00F77F89"/>
    <w:rsid w:val="00F8000C"/>
    <w:rsid w:val="00F80165"/>
    <w:rsid w:val="00F80345"/>
    <w:rsid w:val="00F80430"/>
    <w:rsid w:val="00F80643"/>
    <w:rsid w:val="00F80740"/>
    <w:rsid w:val="00F8074E"/>
    <w:rsid w:val="00F80856"/>
    <w:rsid w:val="00F808EA"/>
    <w:rsid w:val="00F80982"/>
    <w:rsid w:val="00F809FE"/>
    <w:rsid w:val="00F80B3D"/>
    <w:rsid w:val="00F80CB7"/>
    <w:rsid w:val="00F80D52"/>
    <w:rsid w:val="00F80E08"/>
    <w:rsid w:val="00F80EE7"/>
    <w:rsid w:val="00F80EF3"/>
    <w:rsid w:val="00F80F58"/>
    <w:rsid w:val="00F80FE0"/>
    <w:rsid w:val="00F810C6"/>
    <w:rsid w:val="00F812FA"/>
    <w:rsid w:val="00F81309"/>
    <w:rsid w:val="00F8134C"/>
    <w:rsid w:val="00F81396"/>
    <w:rsid w:val="00F81427"/>
    <w:rsid w:val="00F815EE"/>
    <w:rsid w:val="00F816A1"/>
    <w:rsid w:val="00F816E3"/>
    <w:rsid w:val="00F8172D"/>
    <w:rsid w:val="00F817A3"/>
    <w:rsid w:val="00F81834"/>
    <w:rsid w:val="00F818AA"/>
    <w:rsid w:val="00F8191A"/>
    <w:rsid w:val="00F81CBC"/>
    <w:rsid w:val="00F81DEE"/>
    <w:rsid w:val="00F81EBB"/>
    <w:rsid w:val="00F81F43"/>
    <w:rsid w:val="00F81F65"/>
    <w:rsid w:val="00F81FB9"/>
    <w:rsid w:val="00F820DF"/>
    <w:rsid w:val="00F8216E"/>
    <w:rsid w:val="00F821E5"/>
    <w:rsid w:val="00F82216"/>
    <w:rsid w:val="00F823C3"/>
    <w:rsid w:val="00F825A0"/>
    <w:rsid w:val="00F827B7"/>
    <w:rsid w:val="00F82806"/>
    <w:rsid w:val="00F8288F"/>
    <w:rsid w:val="00F82977"/>
    <w:rsid w:val="00F8299C"/>
    <w:rsid w:val="00F82A57"/>
    <w:rsid w:val="00F82BED"/>
    <w:rsid w:val="00F82C05"/>
    <w:rsid w:val="00F82C50"/>
    <w:rsid w:val="00F82D9E"/>
    <w:rsid w:val="00F82DAB"/>
    <w:rsid w:val="00F82DEA"/>
    <w:rsid w:val="00F82DED"/>
    <w:rsid w:val="00F82F06"/>
    <w:rsid w:val="00F82F4D"/>
    <w:rsid w:val="00F83001"/>
    <w:rsid w:val="00F83222"/>
    <w:rsid w:val="00F8327E"/>
    <w:rsid w:val="00F8328A"/>
    <w:rsid w:val="00F83752"/>
    <w:rsid w:val="00F837B2"/>
    <w:rsid w:val="00F83863"/>
    <w:rsid w:val="00F83961"/>
    <w:rsid w:val="00F83A0E"/>
    <w:rsid w:val="00F83B2B"/>
    <w:rsid w:val="00F83C52"/>
    <w:rsid w:val="00F83C5C"/>
    <w:rsid w:val="00F83CBD"/>
    <w:rsid w:val="00F83CFE"/>
    <w:rsid w:val="00F83F74"/>
    <w:rsid w:val="00F84110"/>
    <w:rsid w:val="00F843E7"/>
    <w:rsid w:val="00F844FF"/>
    <w:rsid w:val="00F8452E"/>
    <w:rsid w:val="00F84669"/>
    <w:rsid w:val="00F849FD"/>
    <w:rsid w:val="00F84A92"/>
    <w:rsid w:val="00F84AC7"/>
    <w:rsid w:val="00F84B0E"/>
    <w:rsid w:val="00F84CAE"/>
    <w:rsid w:val="00F84CE0"/>
    <w:rsid w:val="00F84DE1"/>
    <w:rsid w:val="00F84FC2"/>
    <w:rsid w:val="00F851BE"/>
    <w:rsid w:val="00F85236"/>
    <w:rsid w:val="00F852BC"/>
    <w:rsid w:val="00F853A0"/>
    <w:rsid w:val="00F853E4"/>
    <w:rsid w:val="00F85461"/>
    <w:rsid w:val="00F8551C"/>
    <w:rsid w:val="00F85584"/>
    <w:rsid w:val="00F85609"/>
    <w:rsid w:val="00F858F5"/>
    <w:rsid w:val="00F859A8"/>
    <w:rsid w:val="00F859D2"/>
    <w:rsid w:val="00F85A62"/>
    <w:rsid w:val="00F85A9F"/>
    <w:rsid w:val="00F85AB2"/>
    <w:rsid w:val="00F85C18"/>
    <w:rsid w:val="00F85C5B"/>
    <w:rsid w:val="00F85C87"/>
    <w:rsid w:val="00F85FB1"/>
    <w:rsid w:val="00F85FB7"/>
    <w:rsid w:val="00F86076"/>
    <w:rsid w:val="00F86198"/>
    <w:rsid w:val="00F861B1"/>
    <w:rsid w:val="00F86253"/>
    <w:rsid w:val="00F86256"/>
    <w:rsid w:val="00F86363"/>
    <w:rsid w:val="00F863E2"/>
    <w:rsid w:val="00F8658F"/>
    <w:rsid w:val="00F86652"/>
    <w:rsid w:val="00F866E5"/>
    <w:rsid w:val="00F86771"/>
    <w:rsid w:val="00F86949"/>
    <w:rsid w:val="00F86BC8"/>
    <w:rsid w:val="00F86F70"/>
    <w:rsid w:val="00F87054"/>
    <w:rsid w:val="00F870AC"/>
    <w:rsid w:val="00F870E4"/>
    <w:rsid w:val="00F8715C"/>
    <w:rsid w:val="00F87223"/>
    <w:rsid w:val="00F87358"/>
    <w:rsid w:val="00F873E1"/>
    <w:rsid w:val="00F8750A"/>
    <w:rsid w:val="00F8754F"/>
    <w:rsid w:val="00F87688"/>
    <w:rsid w:val="00F8768F"/>
    <w:rsid w:val="00F876B7"/>
    <w:rsid w:val="00F879F0"/>
    <w:rsid w:val="00F87B07"/>
    <w:rsid w:val="00F900F9"/>
    <w:rsid w:val="00F90145"/>
    <w:rsid w:val="00F9025E"/>
    <w:rsid w:val="00F903D5"/>
    <w:rsid w:val="00F90635"/>
    <w:rsid w:val="00F90763"/>
    <w:rsid w:val="00F9085F"/>
    <w:rsid w:val="00F90AFF"/>
    <w:rsid w:val="00F90B0B"/>
    <w:rsid w:val="00F90CB8"/>
    <w:rsid w:val="00F90CBA"/>
    <w:rsid w:val="00F90CC2"/>
    <w:rsid w:val="00F90D9E"/>
    <w:rsid w:val="00F90DD6"/>
    <w:rsid w:val="00F90E80"/>
    <w:rsid w:val="00F90FA0"/>
    <w:rsid w:val="00F90FFB"/>
    <w:rsid w:val="00F910A5"/>
    <w:rsid w:val="00F9141E"/>
    <w:rsid w:val="00F9145D"/>
    <w:rsid w:val="00F918A6"/>
    <w:rsid w:val="00F91906"/>
    <w:rsid w:val="00F91A1C"/>
    <w:rsid w:val="00F91C3C"/>
    <w:rsid w:val="00F91EAD"/>
    <w:rsid w:val="00F91F0A"/>
    <w:rsid w:val="00F922EE"/>
    <w:rsid w:val="00F923CC"/>
    <w:rsid w:val="00F924DA"/>
    <w:rsid w:val="00F92B1F"/>
    <w:rsid w:val="00F92DA8"/>
    <w:rsid w:val="00F92E11"/>
    <w:rsid w:val="00F92E3A"/>
    <w:rsid w:val="00F92EFE"/>
    <w:rsid w:val="00F92F86"/>
    <w:rsid w:val="00F92FDD"/>
    <w:rsid w:val="00F930E2"/>
    <w:rsid w:val="00F9346F"/>
    <w:rsid w:val="00F934A4"/>
    <w:rsid w:val="00F9357A"/>
    <w:rsid w:val="00F93678"/>
    <w:rsid w:val="00F93944"/>
    <w:rsid w:val="00F939E1"/>
    <w:rsid w:val="00F93C0E"/>
    <w:rsid w:val="00F93E1F"/>
    <w:rsid w:val="00F93E9D"/>
    <w:rsid w:val="00F94124"/>
    <w:rsid w:val="00F9422D"/>
    <w:rsid w:val="00F943BB"/>
    <w:rsid w:val="00F944D8"/>
    <w:rsid w:val="00F94636"/>
    <w:rsid w:val="00F946A1"/>
    <w:rsid w:val="00F9474A"/>
    <w:rsid w:val="00F947C6"/>
    <w:rsid w:val="00F94880"/>
    <w:rsid w:val="00F949AC"/>
    <w:rsid w:val="00F94AB1"/>
    <w:rsid w:val="00F94F2B"/>
    <w:rsid w:val="00F94F3A"/>
    <w:rsid w:val="00F950FE"/>
    <w:rsid w:val="00F9513A"/>
    <w:rsid w:val="00F95160"/>
    <w:rsid w:val="00F9532A"/>
    <w:rsid w:val="00F953BB"/>
    <w:rsid w:val="00F955DF"/>
    <w:rsid w:val="00F9575E"/>
    <w:rsid w:val="00F95848"/>
    <w:rsid w:val="00F95A04"/>
    <w:rsid w:val="00F95A54"/>
    <w:rsid w:val="00F95BF3"/>
    <w:rsid w:val="00F95D24"/>
    <w:rsid w:val="00F95D29"/>
    <w:rsid w:val="00F95D5D"/>
    <w:rsid w:val="00F95F73"/>
    <w:rsid w:val="00F96124"/>
    <w:rsid w:val="00F96182"/>
    <w:rsid w:val="00F963F4"/>
    <w:rsid w:val="00F96693"/>
    <w:rsid w:val="00F96724"/>
    <w:rsid w:val="00F96871"/>
    <w:rsid w:val="00F96A03"/>
    <w:rsid w:val="00F96AEE"/>
    <w:rsid w:val="00F96B01"/>
    <w:rsid w:val="00F96BB7"/>
    <w:rsid w:val="00F96C9E"/>
    <w:rsid w:val="00F96EB4"/>
    <w:rsid w:val="00F96F1A"/>
    <w:rsid w:val="00F9701D"/>
    <w:rsid w:val="00F970A2"/>
    <w:rsid w:val="00F9727C"/>
    <w:rsid w:val="00F972B6"/>
    <w:rsid w:val="00F97362"/>
    <w:rsid w:val="00F9750C"/>
    <w:rsid w:val="00F97557"/>
    <w:rsid w:val="00F97559"/>
    <w:rsid w:val="00F97615"/>
    <w:rsid w:val="00F97714"/>
    <w:rsid w:val="00F977DB"/>
    <w:rsid w:val="00F9781E"/>
    <w:rsid w:val="00F978CF"/>
    <w:rsid w:val="00F97B79"/>
    <w:rsid w:val="00F97C5D"/>
    <w:rsid w:val="00F97C6D"/>
    <w:rsid w:val="00F97CAD"/>
    <w:rsid w:val="00F97D71"/>
    <w:rsid w:val="00F97DD4"/>
    <w:rsid w:val="00FA00E4"/>
    <w:rsid w:val="00FA014B"/>
    <w:rsid w:val="00FA01F8"/>
    <w:rsid w:val="00FA037E"/>
    <w:rsid w:val="00FA051A"/>
    <w:rsid w:val="00FA063A"/>
    <w:rsid w:val="00FA0900"/>
    <w:rsid w:val="00FA0913"/>
    <w:rsid w:val="00FA0A63"/>
    <w:rsid w:val="00FA0A8F"/>
    <w:rsid w:val="00FA0ADF"/>
    <w:rsid w:val="00FA0C27"/>
    <w:rsid w:val="00FA0CE5"/>
    <w:rsid w:val="00FA0E07"/>
    <w:rsid w:val="00FA12F3"/>
    <w:rsid w:val="00FA1466"/>
    <w:rsid w:val="00FA146B"/>
    <w:rsid w:val="00FA1509"/>
    <w:rsid w:val="00FA168D"/>
    <w:rsid w:val="00FA16BB"/>
    <w:rsid w:val="00FA1761"/>
    <w:rsid w:val="00FA1881"/>
    <w:rsid w:val="00FA188C"/>
    <w:rsid w:val="00FA1AFB"/>
    <w:rsid w:val="00FA1BF1"/>
    <w:rsid w:val="00FA1F55"/>
    <w:rsid w:val="00FA20D4"/>
    <w:rsid w:val="00FA2175"/>
    <w:rsid w:val="00FA22FA"/>
    <w:rsid w:val="00FA23DF"/>
    <w:rsid w:val="00FA24DD"/>
    <w:rsid w:val="00FA25E6"/>
    <w:rsid w:val="00FA26DF"/>
    <w:rsid w:val="00FA26F8"/>
    <w:rsid w:val="00FA2770"/>
    <w:rsid w:val="00FA277E"/>
    <w:rsid w:val="00FA27CC"/>
    <w:rsid w:val="00FA27E0"/>
    <w:rsid w:val="00FA2840"/>
    <w:rsid w:val="00FA28FE"/>
    <w:rsid w:val="00FA2AA1"/>
    <w:rsid w:val="00FA2B53"/>
    <w:rsid w:val="00FA2C51"/>
    <w:rsid w:val="00FA2DDD"/>
    <w:rsid w:val="00FA2F58"/>
    <w:rsid w:val="00FA3194"/>
    <w:rsid w:val="00FA328B"/>
    <w:rsid w:val="00FA3357"/>
    <w:rsid w:val="00FA33D2"/>
    <w:rsid w:val="00FA34D3"/>
    <w:rsid w:val="00FA35B1"/>
    <w:rsid w:val="00FA3735"/>
    <w:rsid w:val="00FA375B"/>
    <w:rsid w:val="00FA37D6"/>
    <w:rsid w:val="00FA3869"/>
    <w:rsid w:val="00FA3891"/>
    <w:rsid w:val="00FA3C88"/>
    <w:rsid w:val="00FA3E0F"/>
    <w:rsid w:val="00FA4013"/>
    <w:rsid w:val="00FA406B"/>
    <w:rsid w:val="00FA41DC"/>
    <w:rsid w:val="00FA42A9"/>
    <w:rsid w:val="00FA43D3"/>
    <w:rsid w:val="00FA4428"/>
    <w:rsid w:val="00FA4458"/>
    <w:rsid w:val="00FA44B7"/>
    <w:rsid w:val="00FA47C4"/>
    <w:rsid w:val="00FA4878"/>
    <w:rsid w:val="00FA495B"/>
    <w:rsid w:val="00FA4974"/>
    <w:rsid w:val="00FA49B7"/>
    <w:rsid w:val="00FA49DF"/>
    <w:rsid w:val="00FA49F5"/>
    <w:rsid w:val="00FA4BA2"/>
    <w:rsid w:val="00FA4C45"/>
    <w:rsid w:val="00FA4D4C"/>
    <w:rsid w:val="00FA4E62"/>
    <w:rsid w:val="00FA4EF7"/>
    <w:rsid w:val="00FA4F83"/>
    <w:rsid w:val="00FA4FC2"/>
    <w:rsid w:val="00FA509B"/>
    <w:rsid w:val="00FA5152"/>
    <w:rsid w:val="00FA535E"/>
    <w:rsid w:val="00FA5385"/>
    <w:rsid w:val="00FA53CD"/>
    <w:rsid w:val="00FA540F"/>
    <w:rsid w:val="00FA54D7"/>
    <w:rsid w:val="00FA5524"/>
    <w:rsid w:val="00FA5643"/>
    <w:rsid w:val="00FA565C"/>
    <w:rsid w:val="00FA5856"/>
    <w:rsid w:val="00FA59EE"/>
    <w:rsid w:val="00FA5B3B"/>
    <w:rsid w:val="00FA5C0F"/>
    <w:rsid w:val="00FA5C72"/>
    <w:rsid w:val="00FA5D7C"/>
    <w:rsid w:val="00FA5D85"/>
    <w:rsid w:val="00FA5E63"/>
    <w:rsid w:val="00FA5ED6"/>
    <w:rsid w:val="00FA5F53"/>
    <w:rsid w:val="00FA5F6A"/>
    <w:rsid w:val="00FA5F7F"/>
    <w:rsid w:val="00FA5FB4"/>
    <w:rsid w:val="00FA619A"/>
    <w:rsid w:val="00FA61A4"/>
    <w:rsid w:val="00FA6241"/>
    <w:rsid w:val="00FA629B"/>
    <w:rsid w:val="00FA6493"/>
    <w:rsid w:val="00FA649E"/>
    <w:rsid w:val="00FA65ED"/>
    <w:rsid w:val="00FA673A"/>
    <w:rsid w:val="00FA682D"/>
    <w:rsid w:val="00FA68DE"/>
    <w:rsid w:val="00FA68EB"/>
    <w:rsid w:val="00FA69BE"/>
    <w:rsid w:val="00FA6ABF"/>
    <w:rsid w:val="00FA6AEB"/>
    <w:rsid w:val="00FA6C30"/>
    <w:rsid w:val="00FA6E32"/>
    <w:rsid w:val="00FA6E82"/>
    <w:rsid w:val="00FA6F44"/>
    <w:rsid w:val="00FA702B"/>
    <w:rsid w:val="00FA709A"/>
    <w:rsid w:val="00FA7208"/>
    <w:rsid w:val="00FA7277"/>
    <w:rsid w:val="00FA764B"/>
    <w:rsid w:val="00FA76CA"/>
    <w:rsid w:val="00FA79E7"/>
    <w:rsid w:val="00FA7A2B"/>
    <w:rsid w:val="00FA7AE1"/>
    <w:rsid w:val="00FA7BBF"/>
    <w:rsid w:val="00FA7BED"/>
    <w:rsid w:val="00FA7CF1"/>
    <w:rsid w:val="00FB002D"/>
    <w:rsid w:val="00FB016C"/>
    <w:rsid w:val="00FB01F8"/>
    <w:rsid w:val="00FB02A7"/>
    <w:rsid w:val="00FB040F"/>
    <w:rsid w:val="00FB04D7"/>
    <w:rsid w:val="00FB0575"/>
    <w:rsid w:val="00FB05B0"/>
    <w:rsid w:val="00FB0842"/>
    <w:rsid w:val="00FB087B"/>
    <w:rsid w:val="00FB08D4"/>
    <w:rsid w:val="00FB095E"/>
    <w:rsid w:val="00FB0976"/>
    <w:rsid w:val="00FB0B4B"/>
    <w:rsid w:val="00FB0DD1"/>
    <w:rsid w:val="00FB0E12"/>
    <w:rsid w:val="00FB111A"/>
    <w:rsid w:val="00FB1225"/>
    <w:rsid w:val="00FB12A2"/>
    <w:rsid w:val="00FB150C"/>
    <w:rsid w:val="00FB155B"/>
    <w:rsid w:val="00FB15A0"/>
    <w:rsid w:val="00FB17BA"/>
    <w:rsid w:val="00FB18F5"/>
    <w:rsid w:val="00FB195C"/>
    <w:rsid w:val="00FB19F0"/>
    <w:rsid w:val="00FB1AEC"/>
    <w:rsid w:val="00FB1DA7"/>
    <w:rsid w:val="00FB1EB0"/>
    <w:rsid w:val="00FB1ED8"/>
    <w:rsid w:val="00FB1EDF"/>
    <w:rsid w:val="00FB2090"/>
    <w:rsid w:val="00FB20DD"/>
    <w:rsid w:val="00FB2158"/>
    <w:rsid w:val="00FB2268"/>
    <w:rsid w:val="00FB22A3"/>
    <w:rsid w:val="00FB22DF"/>
    <w:rsid w:val="00FB233C"/>
    <w:rsid w:val="00FB2516"/>
    <w:rsid w:val="00FB251C"/>
    <w:rsid w:val="00FB2574"/>
    <w:rsid w:val="00FB257E"/>
    <w:rsid w:val="00FB25C6"/>
    <w:rsid w:val="00FB2632"/>
    <w:rsid w:val="00FB27BE"/>
    <w:rsid w:val="00FB2A6A"/>
    <w:rsid w:val="00FB2AA4"/>
    <w:rsid w:val="00FB2B0B"/>
    <w:rsid w:val="00FB2BE1"/>
    <w:rsid w:val="00FB2C3D"/>
    <w:rsid w:val="00FB2C47"/>
    <w:rsid w:val="00FB2C79"/>
    <w:rsid w:val="00FB2D47"/>
    <w:rsid w:val="00FB2E20"/>
    <w:rsid w:val="00FB2F73"/>
    <w:rsid w:val="00FB30D0"/>
    <w:rsid w:val="00FB313D"/>
    <w:rsid w:val="00FB31DA"/>
    <w:rsid w:val="00FB32AB"/>
    <w:rsid w:val="00FB340B"/>
    <w:rsid w:val="00FB344F"/>
    <w:rsid w:val="00FB3457"/>
    <w:rsid w:val="00FB35C3"/>
    <w:rsid w:val="00FB35C6"/>
    <w:rsid w:val="00FB3899"/>
    <w:rsid w:val="00FB397E"/>
    <w:rsid w:val="00FB39D9"/>
    <w:rsid w:val="00FB3C3E"/>
    <w:rsid w:val="00FB3C9E"/>
    <w:rsid w:val="00FB3DB8"/>
    <w:rsid w:val="00FB3E1D"/>
    <w:rsid w:val="00FB3E5E"/>
    <w:rsid w:val="00FB3FB5"/>
    <w:rsid w:val="00FB4290"/>
    <w:rsid w:val="00FB433C"/>
    <w:rsid w:val="00FB4436"/>
    <w:rsid w:val="00FB44AA"/>
    <w:rsid w:val="00FB45CF"/>
    <w:rsid w:val="00FB46D8"/>
    <w:rsid w:val="00FB475B"/>
    <w:rsid w:val="00FB48C2"/>
    <w:rsid w:val="00FB48D3"/>
    <w:rsid w:val="00FB497D"/>
    <w:rsid w:val="00FB4C12"/>
    <w:rsid w:val="00FB4E3F"/>
    <w:rsid w:val="00FB4E93"/>
    <w:rsid w:val="00FB4EAA"/>
    <w:rsid w:val="00FB4FAF"/>
    <w:rsid w:val="00FB5091"/>
    <w:rsid w:val="00FB50AE"/>
    <w:rsid w:val="00FB51FE"/>
    <w:rsid w:val="00FB533A"/>
    <w:rsid w:val="00FB533E"/>
    <w:rsid w:val="00FB5365"/>
    <w:rsid w:val="00FB5420"/>
    <w:rsid w:val="00FB5572"/>
    <w:rsid w:val="00FB5928"/>
    <w:rsid w:val="00FB5D67"/>
    <w:rsid w:val="00FB5E9B"/>
    <w:rsid w:val="00FB5EBC"/>
    <w:rsid w:val="00FB6024"/>
    <w:rsid w:val="00FB6177"/>
    <w:rsid w:val="00FB6228"/>
    <w:rsid w:val="00FB6370"/>
    <w:rsid w:val="00FB6485"/>
    <w:rsid w:val="00FB6654"/>
    <w:rsid w:val="00FB677F"/>
    <w:rsid w:val="00FB6858"/>
    <w:rsid w:val="00FB68AC"/>
    <w:rsid w:val="00FB68E0"/>
    <w:rsid w:val="00FB6989"/>
    <w:rsid w:val="00FB6A37"/>
    <w:rsid w:val="00FB6A9E"/>
    <w:rsid w:val="00FB6B79"/>
    <w:rsid w:val="00FB6C72"/>
    <w:rsid w:val="00FB6C90"/>
    <w:rsid w:val="00FB6F96"/>
    <w:rsid w:val="00FB7059"/>
    <w:rsid w:val="00FB705E"/>
    <w:rsid w:val="00FB7199"/>
    <w:rsid w:val="00FB7331"/>
    <w:rsid w:val="00FB73EE"/>
    <w:rsid w:val="00FB7591"/>
    <w:rsid w:val="00FB75BE"/>
    <w:rsid w:val="00FB7620"/>
    <w:rsid w:val="00FB76F9"/>
    <w:rsid w:val="00FB7832"/>
    <w:rsid w:val="00FB7933"/>
    <w:rsid w:val="00FB798C"/>
    <w:rsid w:val="00FB79F2"/>
    <w:rsid w:val="00FB7A45"/>
    <w:rsid w:val="00FB7AD1"/>
    <w:rsid w:val="00FB7AE6"/>
    <w:rsid w:val="00FB7B13"/>
    <w:rsid w:val="00FB7B53"/>
    <w:rsid w:val="00FB7C4E"/>
    <w:rsid w:val="00FB7CD7"/>
    <w:rsid w:val="00FB7DB8"/>
    <w:rsid w:val="00FB7E27"/>
    <w:rsid w:val="00FB7F88"/>
    <w:rsid w:val="00FC0013"/>
    <w:rsid w:val="00FC0029"/>
    <w:rsid w:val="00FC0030"/>
    <w:rsid w:val="00FC00EB"/>
    <w:rsid w:val="00FC01D8"/>
    <w:rsid w:val="00FC0250"/>
    <w:rsid w:val="00FC0259"/>
    <w:rsid w:val="00FC0300"/>
    <w:rsid w:val="00FC03A8"/>
    <w:rsid w:val="00FC042E"/>
    <w:rsid w:val="00FC04C5"/>
    <w:rsid w:val="00FC04D8"/>
    <w:rsid w:val="00FC05E7"/>
    <w:rsid w:val="00FC099F"/>
    <w:rsid w:val="00FC0B84"/>
    <w:rsid w:val="00FC0E82"/>
    <w:rsid w:val="00FC0F30"/>
    <w:rsid w:val="00FC10D0"/>
    <w:rsid w:val="00FC10E2"/>
    <w:rsid w:val="00FC11A1"/>
    <w:rsid w:val="00FC11CF"/>
    <w:rsid w:val="00FC1212"/>
    <w:rsid w:val="00FC1298"/>
    <w:rsid w:val="00FC147E"/>
    <w:rsid w:val="00FC150C"/>
    <w:rsid w:val="00FC1651"/>
    <w:rsid w:val="00FC1728"/>
    <w:rsid w:val="00FC1948"/>
    <w:rsid w:val="00FC1AA6"/>
    <w:rsid w:val="00FC1C55"/>
    <w:rsid w:val="00FC1D86"/>
    <w:rsid w:val="00FC1DE2"/>
    <w:rsid w:val="00FC1FAD"/>
    <w:rsid w:val="00FC1FFD"/>
    <w:rsid w:val="00FC2046"/>
    <w:rsid w:val="00FC2144"/>
    <w:rsid w:val="00FC21AE"/>
    <w:rsid w:val="00FC21CD"/>
    <w:rsid w:val="00FC2706"/>
    <w:rsid w:val="00FC29AE"/>
    <w:rsid w:val="00FC2A59"/>
    <w:rsid w:val="00FC2A5F"/>
    <w:rsid w:val="00FC2AEF"/>
    <w:rsid w:val="00FC2B49"/>
    <w:rsid w:val="00FC2B50"/>
    <w:rsid w:val="00FC2C83"/>
    <w:rsid w:val="00FC2D62"/>
    <w:rsid w:val="00FC2D8B"/>
    <w:rsid w:val="00FC2E32"/>
    <w:rsid w:val="00FC2E60"/>
    <w:rsid w:val="00FC2EEA"/>
    <w:rsid w:val="00FC2F97"/>
    <w:rsid w:val="00FC2FD0"/>
    <w:rsid w:val="00FC31A1"/>
    <w:rsid w:val="00FC34AA"/>
    <w:rsid w:val="00FC34C9"/>
    <w:rsid w:val="00FC366F"/>
    <w:rsid w:val="00FC39B7"/>
    <w:rsid w:val="00FC39D5"/>
    <w:rsid w:val="00FC3D35"/>
    <w:rsid w:val="00FC3D93"/>
    <w:rsid w:val="00FC3DC8"/>
    <w:rsid w:val="00FC3E31"/>
    <w:rsid w:val="00FC3E4F"/>
    <w:rsid w:val="00FC3E9C"/>
    <w:rsid w:val="00FC3EB0"/>
    <w:rsid w:val="00FC3FAD"/>
    <w:rsid w:val="00FC3FD0"/>
    <w:rsid w:val="00FC3FE4"/>
    <w:rsid w:val="00FC402F"/>
    <w:rsid w:val="00FC4074"/>
    <w:rsid w:val="00FC40FC"/>
    <w:rsid w:val="00FC423B"/>
    <w:rsid w:val="00FC42E6"/>
    <w:rsid w:val="00FC4404"/>
    <w:rsid w:val="00FC4466"/>
    <w:rsid w:val="00FC44C2"/>
    <w:rsid w:val="00FC44DE"/>
    <w:rsid w:val="00FC4543"/>
    <w:rsid w:val="00FC46C0"/>
    <w:rsid w:val="00FC4771"/>
    <w:rsid w:val="00FC477B"/>
    <w:rsid w:val="00FC483D"/>
    <w:rsid w:val="00FC4852"/>
    <w:rsid w:val="00FC4EB4"/>
    <w:rsid w:val="00FC4FFA"/>
    <w:rsid w:val="00FC4FFC"/>
    <w:rsid w:val="00FC52D7"/>
    <w:rsid w:val="00FC536A"/>
    <w:rsid w:val="00FC538C"/>
    <w:rsid w:val="00FC5645"/>
    <w:rsid w:val="00FC5DAE"/>
    <w:rsid w:val="00FC5E3A"/>
    <w:rsid w:val="00FC635F"/>
    <w:rsid w:val="00FC653A"/>
    <w:rsid w:val="00FC65A2"/>
    <w:rsid w:val="00FC6767"/>
    <w:rsid w:val="00FC6816"/>
    <w:rsid w:val="00FC689C"/>
    <w:rsid w:val="00FC68C7"/>
    <w:rsid w:val="00FC6941"/>
    <w:rsid w:val="00FC6A89"/>
    <w:rsid w:val="00FC6AC1"/>
    <w:rsid w:val="00FC6B7E"/>
    <w:rsid w:val="00FC6BBC"/>
    <w:rsid w:val="00FC6BD1"/>
    <w:rsid w:val="00FC6DC7"/>
    <w:rsid w:val="00FC703D"/>
    <w:rsid w:val="00FC7110"/>
    <w:rsid w:val="00FC72D2"/>
    <w:rsid w:val="00FC7384"/>
    <w:rsid w:val="00FC74CC"/>
    <w:rsid w:val="00FC7720"/>
    <w:rsid w:val="00FC7724"/>
    <w:rsid w:val="00FC7867"/>
    <w:rsid w:val="00FC7893"/>
    <w:rsid w:val="00FC7934"/>
    <w:rsid w:val="00FC7AD8"/>
    <w:rsid w:val="00FC7B5C"/>
    <w:rsid w:val="00FC7BDC"/>
    <w:rsid w:val="00FC7C86"/>
    <w:rsid w:val="00FC7D1F"/>
    <w:rsid w:val="00FC7D2A"/>
    <w:rsid w:val="00FC7D59"/>
    <w:rsid w:val="00FC7DE8"/>
    <w:rsid w:val="00FC7FBD"/>
    <w:rsid w:val="00FD0253"/>
    <w:rsid w:val="00FD02A6"/>
    <w:rsid w:val="00FD033D"/>
    <w:rsid w:val="00FD06E0"/>
    <w:rsid w:val="00FD06EF"/>
    <w:rsid w:val="00FD0717"/>
    <w:rsid w:val="00FD079E"/>
    <w:rsid w:val="00FD08E5"/>
    <w:rsid w:val="00FD0A65"/>
    <w:rsid w:val="00FD0B01"/>
    <w:rsid w:val="00FD0C45"/>
    <w:rsid w:val="00FD0E6D"/>
    <w:rsid w:val="00FD0EE5"/>
    <w:rsid w:val="00FD1008"/>
    <w:rsid w:val="00FD1123"/>
    <w:rsid w:val="00FD11FF"/>
    <w:rsid w:val="00FD1275"/>
    <w:rsid w:val="00FD136E"/>
    <w:rsid w:val="00FD1450"/>
    <w:rsid w:val="00FD1528"/>
    <w:rsid w:val="00FD15C6"/>
    <w:rsid w:val="00FD15E9"/>
    <w:rsid w:val="00FD1832"/>
    <w:rsid w:val="00FD1895"/>
    <w:rsid w:val="00FD1A83"/>
    <w:rsid w:val="00FD1B7C"/>
    <w:rsid w:val="00FD1C8D"/>
    <w:rsid w:val="00FD1CA2"/>
    <w:rsid w:val="00FD1CC0"/>
    <w:rsid w:val="00FD1CE2"/>
    <w:rsid w:val="00FD1E0E"/>
    <w:rsid w:val="00FD1E33"/>
    <w:rsid w:val="00FD1F34"/>
    <w:rsid w:val="00FD216E"/>
    <w:rsid w:val="00FD21E3"/>
    <w:rsid w:val="00FD21E6"/>
    <w:rsid w:val="00FD2353"/>
    <w:rsid w:val="00FD2392"/>
    <w:rsid w:val="00FD249C"/>
    <w:rsid w:val="00FD25F2"/>
    <w:rsid w:val="00FD260D"/>
    <w:rsid w:val="00FD2656"/>
    <w:rsid w:val="00FD271C"/>
    <w:rsid w:val="00FD2813"/>
    <w:rsid w:val="00FD2864"/>
    <w:rsid w:val="00FD2869"/>
    <w:rsid w:val="00FD28CB"/>
    <w:rsid w:val="00FD293A"/>
    <w:rsid w:val="00FD29D7"/>
    <w:rsid w:val="00FD2AB3"/>
    <w:rsid w:val="00FD2B63"/>
    <w:rsid w:val="00FD2BB7"/>
    <w:rsid w:val="00FD2D05"/>
    <w:rsid w:val="00FD2F92"/>
    <w:rsid w:val="00FD3009"/>
    <w:rsid w:val="00FD3197"/>
    <w:rsid w:val="00FD326E"/>
    <w:rsid w:val="00FD32F5"/>
    <w:rsid w:val="00FD3306"/>
    <w:rsid w:val="00FD3395"/>
    <w:rsid w:val="00FD33C1"/>
    <w:rsid w:val="00FD3686"/>
    <w:rsid w:val="00FD36B1"/>
    <w:rsid w:val="00FD3774"/>
    <w:rsid w:val="00FD37EA"/>
    <w:rsid w:val="00FD38D2"/>
    <w:rsid w:val="00FD39B1"/>
    <w:rsid w:val="00FD3B09"/>
    <w:rsid w:val="00FD3C42"/>
    <w:rsid w:val="00FD3CAE"/>
    <w:rsid w:val="00FD3CAF"/>
    <w:rsid w:val="00FD3D54"/>
    <w:rsid w:val="00FD3F18"/>
    <w:rsid w:val="00FD3F28"/>
    <w:rsid w:val="00FD3F87"/>
    <w:rsid w:val="00FD3FE4"/>
    <w:rsid w:val="00FD4014"/>
    <w:rsid w:val="00FD407A"/>
    <w:rsid w:val="00FD440B"/>
    <w:rsid w:val="00FD445B"/>
    <w:rsid w:val="00FD4465"/>
    <w:rsid w:val="00FD4671"/>
    <w:rsid w:val="00FD4708"/>
    <w:rsid w:val="00FD4749"/>
    <w:rsid w:val="00FD47C8"/>
    <w:rsid w:val="00FD480D"/>
    <w:rsid w:val="00FD49AF"/>
    <w:rsid w:val="00FD4C4D"/>
    <w:rsid w:val="00FD4E03"/>
    <w:rsid w:val="00FD4E04"/>
    <w:rsid w:val="00FD4F24"/>
    <w:rsid w:val="00FD4FA2"/>
    <w:rsid w:val="00FD50CE"/>
    <w:rsid w:val="00FD50DD"/>
    <w:rsid w:val="00FD517E"/>
    <w:rsid w:val="00FD5191"/>
    <w:rsid w:val="00FD51B2"/>
    <w:rsid w:val="00FD52A5"/>
    <w:rsid w:val="00FD52FF"/>
    <w:rsid w:val="00FD5318"/>
    <w:rsid w:val="00FD5353"/>
    <w:rsid w:val="00FD53D3"/>
    <w:rsid w:val="00FD5501"/>
    <w:rsid w:val="00FD5584"/>
    <w:rsid w:val="00FD55B2"/>
    <w:rsid w:val="00FD5661"/>
    <w:rsid w:val="00FD5687"/>
    <w:rsid w:val="00FD5756"/>
    <w:rsid w:val="00FD57C8"/>
    <w:rsid w:val="00FD5827"/>
    <w:rsid w:val="00FD58CC"/>
    <w:rsid w:val="00FD5AB3"/>
    <w:rsid w:val="00FD5C1E"/>
    <w:rsid w:val="00FD5D1C"/>
    <w:rsid w:val="00FD5F33"/>
    <w:rsid w:val="00FD60CF"/>
    <w:rsid w:val="00FD618F"/>
    <w:rsid w:val="00FD6297"/>
    <w:rsid w:val="00FD637B"/>
    <w:rsid w:val="00FD6518"/>
    <w:rsid w:val="00FD6631"/>
    <w:rsid w:val="00FD66D0"/>
    <w:rsid w:val="00FD685C"/>
    <w:rsid w:val="00FD68D0"/>
    <w:rsid w:val="00FD69A9"/>
    <w:rsid w:val="00FD6A2C"/>
    <w:rsid w:val="00FD6E55"/>
    <w:rsid w:val="00FD6F09"/>
    <w:rsid w:val="00FD6F9B"/>
    <w:rsid w:val="00FD6FF1"/>
    <w:rsid w:val="00FD7089"/>
    <w:rsid w:val="00FD713B"/>
    <w:rsid w:val="00FD72CE"/>
    <w:rsid w:val="00FD7367"/>
    <w:rsid w:val="00FD7412"/>
    <w:rsid w:val="00FD747C"/>
    <w:rsid w:val="00FD7549"/>
    <w:rsid w:val="00FD76D9"/>
    <w:rsid w:val="00FD79AC"/>
    <w:rsid w:val="00FD7A2B"/>
    <w:rsid w:val="00FD7AA6"/>
    <w:rsid w:val="00FD7B5B"/>
    <w:rsid w:val="00FD7CE4"/>
    <w:rsid w:val="00FD7DDA"/>
    <w:rsid w:val="00FD7E22"/>
    <w:rsid w:val="00FE0142"/>
    <w:rsid w:val="00FE0166"/>
    <w:rsid w:val="00FE01AC"/>
    <w:rsid w:val="00FE03E2"/>
    <w:rsid w:val="00FE0514"/>
    <w:rsid w:val="00FE052C"/>
    <w:rsid w:val="00FE0675"/>
    <w:rsid w:val="00FE06A9"/>
    <w:rsid w:val="00FE0ACA"/>
    <w:rsid w:val="00FE0AD1"/>
    <w:rsid w:val="00FE0AE1"/>
    <w:rsid w:val="00FE0B76"/>
    <w:rsid w:val="00FE0CC9"/>
    <w:rsid w:val="00FE0D01"/>
    <w:rsid w:val="00FE0D17"/>
    <w:rsid w:val="00FE0ECC"/>
    <w:rsid w:val="00FE12C7"/>
    <w:rsid w:val="00FE14F2"/>
    <w:rsid w:val="00FE1767"/>
    <w:rsid w:val="00FE1795"/>
    <w:rsid w:val="00FE17F7"/>
    <w:rsid w:val="00FE1803"/>
    <w:rsid w:val="00FE1963"/>
    <w:rsid w:val="00FE1A00"/>
    <w:rsid w:val="00FE1EF9"/>
    <w:rsid w:val="00FE1FBF"/>
    <w:rsid w:val="00FE204A"/>
    <w:rsid w:val="00FE2067"/>
    <w:rsid w:val="00FE218F"/>
    <w:rsid w:val="00FE231A"/>
    <w:rsid w:val="00FE231C"/>
    <w:rsid w:val="00FE235D"/>
    <w:rsid w:val="00FE23A3"/>
    <w:rsid w:val="00FE24D3"/>
    <w:rsid w:val="00FE2529"/>
    <w:rsid w:val="00FE2556"/>
    <w:rsid w:val="00FE26E2"/>
    <w:rsid w:val="00FE274D"/>
    <w:rsid w:val="00FE2843"/>
    <w:rsid w:val="00FE2B27"/>
    <w:rsid w:val="00FE2BAF"/>
    <w:rsid w:val="00FE2BB7"/>
    <w:rsid w:val="00FE2C94"/>
    <w:rsid w:val="00FE2D2F"/>
    <w:rsid w:val="00FE2D87"/>
    <w:rsid w:val="00FE2ECE"/>
    <w:rsid w:val="00FE3073"/>
    <w:rsid w:val="00FE3130"/>
    <w:rsid w:val="00FE33C0"/>
    <w:rsid w:val="00FE3470"/>
    <w:rsid w:val="00FE3524"/>
    <w:rsid w:val="00FE3A3C"/>
    <w:rsid w:val="00FE3AE3"/>
    <w:rsid w:val="00FE3B69"/>
    <w:rsid w:val="00FE3CA2"/>
    <w:rsid w:val="00FE3DAA"/>
    <w:rsid w:val="00FE3E03"/>
    <w:rsid w:val="00FE4232"/>
    <w:rsid w:val="00FE423C"/>
    <w:rsid w:val="00FE4314"/>
    <w:rsid w:val="00FE4682"/>
    <w:rsid w:val="00FE471F"/>
    <w:rsid w:val="00FE4739"/>
    <w:rsid w:val="00FE4799"/>
    <w:rsid w:val="00FE49FF"/>
    <w:rsid w:val="00FE4CB2"/>
    <w:rsid w:val="00FE4E5A"/>
    <w:rsid w:val="00FE4E93"/>
    <w:rsid w:val="00FE4F60"/>
    <w:rsid w:val="00FE4F70"/>
    <w:rsid w:val="00FE5046"/>
    <w:rsid w:val="00FE50D2"/>
    <w:rsid w:val="00FE51B8"/>
    <w:rsid w:val="00FE5219"/>
    <w:rsid w:val="00FE547A"/>
    <w:rsid w:val="00FE5623"/>
    <w:rsid w:val="00FE56C1"/>
    <w:rsid w:val="00FE56C3"/>
    <w:rsid w:val="00FE57D3"/>
    <w:rsid w:val="00FE57DD"/>
    <w:rsid w:val="00FE593A"/>
    <w:rsid w:val="00FE59D9"/>
    <w:rsid w:val="00FE59FD"/>
    <w:rsid w:val="00FE5A4D"/>
    <w:rsid w:val="00FE5D09"/>
    <w:rsid w:val="00FE5D33"/>
    <w:rsid w:val="00FE5D6C"/>
    <w:rsid w:val="00FE5DC9"/>
    <w:rsid w:val="00FE5E9A"/>
    <w:rsid w:val="00FE5F1A"/>
    <w:rsid w:val="00FE5F82"/>
    <w:rsid w:val="00FE620A"/>
    <w:rsid w:val="00FE6335"/>
    <w:rsid w:val="00FE639E"/>
    <w:rsid w:val="00FE6651"/>
    <w:rsid w:val="00FE66DC"/>
    <w:rsid w:val="00FE67CD"/>
    <w:rsid w:val="00FE69BD"/>
    <w:rsid w:val="00FE6C88"/>
    <w:rsid w:val="00FE6CF3"/>
    <w:rsid w:val="00FE6E23"/>
    <w:rsid w:val="00FE7177"/>
    <w:rsid w:val="00FE72AC"/>
    <w:rsid w:val="00FE762F"/>
    <w:rsid w:val="00FE7773"/>
    <w:rsid w:val="00FE7938"/>
    <w:rsid w:val="00FE7B57"/>
    <w:rsid w:val="00FE7BAC"/>
    <w:rsid w:val="00FE7BF5"/>
    <w:rsid w:val="00FE7C34"/>
    <w:rsid w:val="00FE7DC6"/>
    <w:rsid w:val="00FE7F98"/>
    <w:rsid w:val="00FF020C"/>
    <w:rsid w:val="00FF05A4"/>
    <w:rsid w:val="00FF0610"/>
    <w:rsid w:val="00FF06D4"/>
    <w:rsid w:val="00FF075A"/>
    <w:rsid w:val="00FF07E0"/>
    <w:rsid w:val="00FF0BD8"/>
    <w:rsid w:val="00FF0C44"/>
    <w:rsid w:val="00FF0CA5"/>
    <w:rsid w:val="00FF0DF3"/>
    <w:rsid w:val="00FF0E08"/>
    <w:rsid w:val="00FF0F62"/>
    <w:rsid w:val="00FF1069"/>
    <w:rsid w:val="00FF1082"/>
    <w:rsid w:val="00FF1408"/>
    <w:rsid w:val="00FF1429"/>
    <w:rsid w:val="00FF1549"/>
    <w:rsid w:val="00FF155B"/>
    <w:rsid w:val="00FF155D"/>
    <w:rsid w:val="00FF15C6"/>
    <w:rsid w:val="00FF1755"/>
    <w:rsid w:val="00FF1900"/>
    <w:rsid w:val="00FF197B"/>
    <w:rsid w:val="00FF1A1F"/>
    <w:rsid w:val="00FF1E69"/>
    <w:rsid w:val="00FF1EE9"/>
    <w:rsid w:val="00FF1FB2"/>
    <w:rsid w:val="00FF2067"/>
    <w:rsid w:val="00FF207A"/>
    <w:rsid w:val="00FF20D3"/>
    <w:rsid w:val="00FF2127"/>
    <w:rsid w:val="00FF21B9"/>
    <w:rsid w:val="00FF22DD"/>
    <w:rsid w:val="00FF2355"/>
    <w:rsid w:val="00FF254C"/>
    <w:rsid w:val="00FF2626"/>
    <w:rsid w:val="00FF2793"/>
    <w:rsid w:val="00FF27EB"/>
    <w:rsid w:val="00FF2ACD"/>
    <w:rsid w:val="00FF2B38"/>
    <w:rsid w:val="00FF2C5B"/>
    <w:rsid w:val="00FF2DD9"/>
    <w:rsid w:val="00FF2E7F"/>
    <w:rsid w:val="00FF2FD1"/>
    <w:rsid w:val="00FF306D"/>
    <w:rsid w:val="00FF31DC"/>
    <w:rsid w:val="00FF31E7"/>
    <w:rsid w:val="00FF31F4"/>
    <w:rsid w:val="00FF350B"/>
    <w:rsid w:val="00FF35D4"/>
    <w:rsid w:val="00FF3608"/>
    <w:rsid w:val="00FF36F4"/>
    <w:rsid w:val="00FF371A"/>
    <w:rsid w:val="00FF38C7"/>
    <w:rsid w:val="00FF38DF"/>
    <w:rsid w:val="00FF3AB3"/>
    <w:rsid w:val="00FF3DC1"/>
    <w:rsid w:val="00FF3ED8"/>
    <w:rsid w:val="00FF3F82"/>
    <w:rsid w:val="00FF4078"/>
    <w:rsid w:val="00FF42C5"/>
    <w:rsid w:val="00FF48F0"/>
    <w:rsid w:val="00FF49E0"/>
    <w:rsid w:val="00FF4A46"/>
    <w:rsid w:val="00FF4D7C"/>
    <w:rsid w:val="00FF4D83"/>
    <w:rsid w:val="00FF51E4"/>
    <w:rsid w:val="00FF539F"/>
    <w:rsid w:val="00FF5547"/>
    <w:rsid w:val="00FF556C"/>
    <w:rsid w:val="00FF5834"/>
    <w:rsid w:val="00FF594D"/>
    <w:rsid w:val="00FF595E"/>
    <w:rsid w:val="00FF5A32"/>
    <w:rsid w:val="00FF5A91"/>
    <w:rsid w:val="00FF5B1F"/>
    <w:rsid w:val="00FF5C1A"/>
    <w:rsid w:val="00FF5C84"/>
    <w:rsid w:val="00FF5D47"/>
    <w:rsid w:val="00FF61B2"/>
    <w:rsid w:val="00FF61CC"/>
    <w:rsid w:val="00FF62D6"/>
    <w:rsid w:val="00FF63E3"/>
    <w:rsid w:val="00FF64C1"/>
    <w:rsid w:val="00FF64C4"/>
    <w:rsid w:val="00FF64CB"/>
    <w:rsid w:val="00FF6507"/>
    <w:rsid w:val="00FF672A"/>
    <w:rsid w:val="00FF6744"/>
    <w:rsid w:val="00FF687D"/>
    <w:rsid w:val="00FF69D1"/>
    <w:rsid w:val="00FF6B3F"/>
    <w:rsid w:val="00FF6DD9"/>
    <w:rsid w:val="00FF6DE7"/>
    <w:rsid w:val="00FF6E27"/>
    <w:rsid w:val="00FF6E4E"/>
    <w:rsid w:val="00FF7007"/>
    <w:rsid w:val="00FF70F8"/>
    <w:rsid w:val="00FF7103"/>
    <w:rsid w:val="00FF721A"/>
    <w:rsid w:val="00FF7339"/>
    <w:rsid w:val="00FF7399"/>
    <w:rsid w:val="00FF7422"/>
    <w:rsid w:val="00FF7490"/>
    <w:rsid w:val="00FF7698"/>
    <w:rsid w:val="00FF7734"/>
    <w:rsid w:val="00FF7745"/>
    <w:rsid w:val="00FF78B9"/>
    <w:rsid w:val="00FF795C"/>
    <w:rsid w:val="00FF796E"/>
    <w:rsid w:val="00FF799F"/>
    <w:rsid w:val="00FF79C7"/>
    <w:rsid w:val="00FF7AE7"/>
    <w:rsid w:val="00FF7B76"/>
    <w:rsid w:val="00FF7B8E"/>
    <w:rsid w:val="00FF7E74"/>
    <w:rsid w:val="00FF7EC5"/>
    <w:rsid w:val="012C9DF2"/>
    <w:rsid w:val="0666FF78"/>
    <w:rsid w:val="09FAA2C5"/>
    <w:rsid w:val="0A0DC03C"/>
    <w:rsid w:val="0AB4FB56"/>
    <w:rsid w:val="0AC7AD18"/>
    <w:rsid w:val="0B714632"/>
    <w:rsid w:val="0B827E0F"/>
    <w:rsid w:val="0D356071"/>
    <w:rsid w:val="12DF43C7"/>
    <w:rsid w:val="1389D1F2"/>
    <w:rsid w:val="1404DC40"/>
    <w:rsid w:val="16669964"/>
    <w:rsid w:val="17FD313C"/>
    <w:rsid w:val="1B1D95B5"/>
    <w:rsid w:val="1BAA1C18"/>
    <w:rsid w:val="1BAEFFD0"/>
    <w:rsid w:val="1D545950"/>
    <w:rsid w:val="21C8DF4E"/>
    <w:rsid w:val="228C456F"/>
    <w:rsid w:val="22D9EF5B"/>
    <w:rsid w:val="2600B77E"/>
    <w:rsid w:val="2736E603"/>
    <w:rsid w:val="2F10B1E8"/>
    <w:rsid w:val="35091E80"/>
    <w:rsid w:val="3686C522"/>
    <w:rsid w:val="37B0D080"/>
    <w:rsid w:val="381C1605"/>
    <w:rsid w:val="3A492D12"/>
    <w:rsid w:val="3A794004"/>
    <w:rsid w:val="3E2B2BCF"/>
    <w:rsid w:val="4398233E"/>
    <w:rsid w:val="43A4BCD3"/>
    <w:rsid w:val="44432DF5"/>
    <w:rsid w:val="490B6B57"/>
    <w:rsid w:val="4B8A9CD5"/>
    <w:rsid w:val="4D6B93AC"/>
    <w:rsid w:val="50BABD38"/>
    <w:rsid w:val="5354918E"/>
    <w:rsid w:val="58B71B93"/>
    <w:rsid w:val="59A95ECD"/>
    <w:rsid w:val="59AC3361"/>
    <w:rsid w:val="5A6C9856"/>
    <w:rsid w:val="5AAA1B17"/>
    <w:rsid w:val="5B35EF13"/>
    <w:rsid w:val="5CEB4D61"/>
    <w:rsid w:val="5D37E692"/>
    <w:rsid w:val="601774E7"/>
    <w:rsid w:val="63A28781"/>
    <w:rsid w:val="63DBF99B"/>
    <w:rsid w:val="650BF119"/>
    <w:rsid w:val="65F46ACF"/>
    <w:rsid w:val="66242DE7"/>
    <w:rsid w:val="6822E289"/>
    <w:rsid w:val="6A2E32E7"/>
    <w:rsid w:val="6A55A289"/>
    <w:rsid w:val="6AF8E5D3"/>
    <w:rsid w:val="6DCCE2D4"/>
    <w:rsid w:val="6F30B408"/>
    <w:rsid w:val="716894F2"/>
    <w:rsid w:val="7353C8EA"/>
    <w:rsid w:val="73C3F984"/>
    <w:rsid w:val="745326D6"/>
    <w:rsid w:val="74B1D372"/>
    <w:rsid w:val="780B1E96"/>
    <w:rsid w:val="78894428"/>
    <w:rsid w:val="7A9A5361"/>
    <w:rsid w:val="7B9D1EE9"/>
    <w:rsid w:val="7E07D33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94205"/>
  <w15:chartTrackingRefBased/>
  <w15:docId w15:val="{3FEA93D3-4090-4141-9D9D-59CF2CC2A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867DD6"/>
    <w:pPr>
      <w:numPr>
        <w:numId w:val="41"/>
      </w:numPr>
      <w:contextualSpacing/>
    </w:pPr>
  </w:style>
  <w:style w:type="paragraph" w:styleId="ListBullet2">
    <w:name w:val="List Bullet 2"/>
    <w:basedOn w:val="Normal"/>
    <w:uiPriority w:val="1"/>
    <w:qFormat/>
    <w:rsid w:val="00B05AA8"/>
    <w:pPr>
      <w:numPr>
        <w:ilvl w:val="1"/>
        <w:numId w:val="41"/>
      </w:numPr>
      <w:contextualSpacing/>
    </w:pPr>
  </w:style>
  <w:style w:type="paragraph" w:styleId="ListNumber">
    <w:name w:val="List Number"/>
    <w:basedOn w:val="Normal"/>
    <w:uiPriority w:val="2"/>
    <w:qFormat/>
    <w:rsid w:val="00F17C44"/>
    <w:pPr>
      <w:numPr>
        <w:numId w:val="14"/>
      </w:numPr>
      <w:spacing w:before="60"/>
      <w:contextualSpacing/>
    </w:pPr>
  </w:style>
  <w:style w:type="numbering" w:customStyle="1" w:styleId="Bullets">
    <w:name w:val="Bullets"/>
    <w:uiPriority w:val="99"/>
    <w:rsid w:val="00481C38"/>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17C44"/>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481C38"/>
    <w:pPr>
      <w:numPr>
        <w:numId w:val="14"/>
      </w:numPr>
    </w:pPr>
  </w:style>
  <w:style w:type="paragraph" w:styleId="ListBullet3">
    <w:name w:val="List Bullet 3"/>
    <w:basedOn w:val="Normal"/>
    <w:uiPriority w:val="1"/>
    <w:qFormat/>
    <w:rsid w:val="00AE528A"/>
    <w:pPr>
      <w:numPr>
        <w:ilvl w:val="2"/>
        <w:numId w:val="41"/>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481C38"/>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17C44"/>
    <w:pPr>
      <w:numPr>
        <w:numId w:val="9"/>
      </w:numPr>
      <w:spacing w:before="60"/>
    </w:pPr>
  </w:style>
  <w:style w:type="paragraph" w:styleId="List2">
    <w:name w:val="List 2"/>
    <w:basedOn w:val="Normal"/>
    <w:uiPriority w:val="99"/>
    <w:semiHidden/>
    <w:qFormat/>
    <w:rsid w:val="00F17C44"/>
    <w:pPr>
      <w:numPr>
        <w:ilvl w:val="1"/>
        <w:numId w:val="9"/>
      </w:numPr>
      <w:spacing w:before="60"/>
    </w:pPr>
  </w:style>
  <w:style w:type="numbering" w:customStyle="1" w:styleId="LetteredList">
    <w:name w:val="Lettered List"/>
    <w:uiPriority w:val="99"/>
    <w:rsid w:val="00481C38"/>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17C44"/>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17C44"/>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17C44"/>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481C38"/>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481C38"/>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481C38"/>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17C44"/>
    <w:pPr>
      <w:numPr>
        <w:ilvl w:val="3"/>
        <w:numId w:val="9"/>
      </w:numPr>
      <w:contextualSpacing/>
    </w:pPr>
  </w:style>
  <w:style w:type="paragraph" w:styleId="List3">
    <w:name w:val="List 3"/>
    <w:basedOn w:val="Normal"/>
    <w:uiPriority w:val="99"/>
    <w:semiHidden/>
    <w:rsid w:val="00F17C44"/>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17C44"/>
    <w:pPr>
      <w:numPr>
        <w:numId w:val="10"/>
      </w:numPr>
      <w:spacing w:before="60"/>
      <w:contextualSpacing/>
    </w:pPr>
  </w:style>
  <w:style w:type="paragraph" w:customStyle="1" w:styleId="ListAlpha2">
    <w:name w:val="List Alpha 2"/>
    <w:basedOn w:val="ListAlpha1"/>
    <w:uiPriority w:val="3"/>
    <w:qFormat/>
    <w:rsid w:val="00F17C44"/>
    <w:pPr>
      <w:numPr>
        <w:ilvl w:val="1"/>
      </w:numPr>
    </w:pPr>
  </w:style>
  <w:style w:type="paragraph" w:customStyle="1" w:styleId="ListAlpha3">
    <w:name w:val="List Alpha 3"/>
    <w:basedOn w:val="ListAlpha2"/>
    <w:uiPriority w:val="3"/>
    <w:qFormat/>
    <w:rsid w:val="00F17C44"/>
    <w:pPr>
      <w:numPr>
        <w:ilvl w:val="2"/>
      </w:numPr>
    </w:pPr>
  </w:style>
  <w:style w:type="paragraph" w:customStyle="1" w:styleId="ListAlpha4">
    <w:name w:val="List Alpha 4"/>
    <w:basedOn w:val="ListAlpha3"/>
    <w:uiPriority w:val="3"/>
    <w:semiHidden/>
    <w:qFormat/>
    <w:rsid w:val="00F17C44"/>
    <w:pPr>
      <w:numPr>
        <w:ilvl w:val="3"/>
      </w:numPr>
    </w:pPr>
  </w:style>
  <w:style w:type="numbering" w:customStyle="1" w:styleId="Alphalist">
    <w:name w:val="Alpha list"/>
    <w:uiPriority w:val="99"/>
    <w:rsid w:val="00481C38"/>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17C44"/>
    <w:pPr>
      <w:numPr>
        <w:numId w:val="15"/>
      </w:numPr>
      <w:spacing w:before="60"/>
      <w:contextualSpacing/>
    </w:pPr>
    <w:rPr>
      <w:b/>
      <w:color w:val="265A9A" w:themeColor="background2"/>
    </w:rPr>
  </w:style>
  <w:style w:type="numbering" w:customStyle="1" w:styleId="TableList">
    <w:name w:val="TableList"/>
    <w:uiPriority w:val="99"/>
    <w:rsid w:val="00481C38"/>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17C44"/>
    <w:pPr>
      <w:numPr>
        <w:numId w:val="7"/>
      </w:numPr>
    </w:pPr>
  </w:style>
  <w:style w:type="numbering" w:customStyle="1" w:styleId="AppendixHeading">
    <w:name w:val="AppendixHeading"/>
    <w:uiPriority w:val="99"/>
    <w:rsid w:val="00481C38"/>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17C44"/>
    <w:pPr>
      <w:numPr>
        <w:ilvl w:val="1"/>
        <w:numId w:val="7"/>
      </w:numPr>
    </w:pPr>
  </w:style>
  <w:style w:type="numbering" w:customStyle="1" w:styleId="AppendixHeadingList">
    <w:name w:val="Appendix Heading List"/>
    <w:uiPriority w:val="99"/>
    <w:rsid w:val="00481C38"/>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867DD6"/>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C7771C"/>
    <w:pPr>
      <w:spacing w:before="46" w:after="46"/>
      <w:ind w:left="170" w:hanging="113"/>
    </w:pPr>
    <w:rPr>
      <w:sz w:val="18"/>
    </w:rPr>
  </w:style>
  <w:style w:type="character" w:styleId="FollowedHyperlink">
    <w:name w:val="FollowedHyperlink"/>
    <w:basedOn w:val="DefaultParagraphFont"/>
    <w:uiPriority w:val="99"/>
    <w:semiHidden/>
    <w:unhideWhenUsed/>
    <w:rsid w:val="009B0350"/>
    <w:rPr>
      <w:color w:val="BFBFBF" w:themeColor="followedHyperlink"/>
      <w:u w:val="single"/>
    </w:rPr>
  </w:style>
  <w:style w:type="character" w:styleId="Mention">
    <w:name w:val="Mention"/>
    <w:basedOn w:val="DefaultParagraphFont"/>
    <w:uiPriority w:val="99"/>
    <w:unhideWhenUsed/>
    <w:rsid w:val="00A03410"/>
    <w:rPr>
      <w:color w:val="2B579A"/>
      <w:shd w:val="clear" w:color="auto" w:fill="E1DFDD"/>
    </w:rPr>
  </w:style>
  <w:style w:type="character" w:customStyle="1" w:styleId="normaltextrun">
    <w:name w:val="normaltextrun"/>
    <w:basedOn w:val="DefaultParagraphFont"/>
    <w:rsid w:val="003009DC"/>
  </w:style>
  <w:style w:type="character" w:customStyle="1" w:styleId="eop">
    <w:name w:val="eop"/>
    <w:basedOn w:val="DefaultParagraphFont"/>
    <w:rsid w:val="003009DC"/>
  </w:style>
  <w:style w:type="paragraph" w:styleId="NormalWeb">
    <w:name w:val="Normal (Web)"/>
    <w:basedOn w:val="Normal"/>
    <w:uiPriority w:val="99"/>
    <w:unhideWhenUsed/>
    <w:rsid w:val="00217B9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671633"/>
    <w:pPr>
      <w:spacing w:after="240" w:line="240" w:lineRule="atLeast"/>
      <w:ind w:left="720" w:hanging="720"/>
    </w:pPr>
  </w:style>
  <w:style w:type="character" w:styleId="EndnoteReference">
    <w:name w:val="endnote reference"/>
    <w:basedOn w:val="DefaultParagraphFont"/>
    <w:uiPriority w:val="99"/>
    <w:semiHidden/>
    <w:unhideWhenUsed/>
    <w:rsid w:val="00B55FB3"/>
    <w:rPr>
      <w:vertAlign w:val="superscript"/>
    </w:rPr>
  </w:style>
  <w:style w:type="character" w:customStyle="1" w:styleId="cf01">
    <w:name w:val="cf01"/>
    <w:basedOn w:val="DefaultParagraphFont"/>
    <w:rsid w:val="003B438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image" Target="media/image11.emf"/><Relationship Id="rId21" Type="http://schemas.openxmlformats.org/officeDocument/2006/relationships/image" Target="media/image3.png"/><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footer" Target="footer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pc.gov.au/inquiries-and-research/adaptable-workforce/" TargetMode="Externa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yperlink" Target="https://www.pc.gov.au/inquiries-and-research/net-zero/" TargetMode="Externa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pc.gov.au/inquiries-and-research/quality-care/" TargetMode="External"/><Relationship Id="rId44" Type="http://schemas.openxmlformats.org/officeDocument/2006/relationships/image" Target="media/image16.emf"/><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svg"/><Relationship Id="rId27" Type="http://schemas.openxmlformats.org/officeDocument/2006/relationships/header" Target="header6.xml"/><Relationship Id="rId30" Type="http://schemas.openxmlformats.org/officeDocument/2006/relationships/hyperlink" Target="https://www.pc.gov.au/inquiries-and-research/data-digital/" TargetMode="Externa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header" Target="header7.xml"/><Relationship Id="rId8" Type="http://schemas.openxmlformats.org/officeDocument/2006/relationships/numbering" Target="numbering.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image" Target="media/image18.emf"/><Relationship Id="rId20" Type="http://schemas.openxmlformats.org/officeDocument/2006/relationships/image" Target="media/image2.png"/><Relationship Id="rId41" Type="http://schemas.openxmlformats.org/officeDocument/2006/relationships/image" Target="media/image1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www.pc.gov.au/inquiries-and-research/resilient-economy/report/" TargetMode="External"/><Relationship Id="rId36" Type="http://schemas.openxmlformats.org/officeDocument/2006/relationships/image" Target="media/image8.emf"/><Relationship Id="rId49"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a5de78fe48841f0cc21f809c91104159">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9c8c0110f73c3a7c78ce149a6f3883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TemplateConfiguration><![CDATA[{"elementsMetadata":[],"transformationConfigurations":[],"templateName":"chapter","templateDescription":"","enableDocumentContentUpdater":false,"version":"2.0"}]]></TemplafyTemplate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MPWT-2140667901-94832</_dlc_DocId>
    <_dlc_DocIdUrl xmlns="20393cdf-440a-4521-8f19-00ba43423d00">
      <Url>https://pcgov.sharepoint.com/sites/sceteam/_layouts/15/DocIdRedir.aspx?ID=MPWT-2140667901-94832</Url>
      <Description>MPWT-2140667901-94832</Description>
    </_dlc_DocIdUrl>
  </documentManagement>
</p:propertie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34447569-3637-49FA-B187-EBD14A67E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9AEC5FCB-ADF8-464D-9830-E76C268395B0}">
  <ds:schemaRefs>
    <ds:schemaRef ds:uri="http://schemas.microsoft.com/sharepoint/v3/contenttype/forms"/>
  </ds:schemaRefs>
</ds:datastoreItem>
</file>

<file path=customXml/itemProps6.xml><?xml version="1.0" encoding="utf-8"?>
<ds:datastoreItem xmlns:ds="http://schemas.openxmlformats.org/officeDocument/2006/customXml" ds:itemID="{4E0B1D2F-49C0-4054-8455-934CD85A4FFE}">
  <ds:schemaRefs>
    <ds:schemaRef ds:uri="http://schemas.microsoft.com/sharepoint/events"/>
  </ds:schemaRefs>
</ds:datastoreItem>
</file>

<file path=customXml/itemProps7.xml><?xml version="1.0" encoding="utf-8"?>
<ds:datastoreItem xmlns:ds="http://schemas.openxmlformats.org/officeDocument/2006/customXml" ds:itemID="{A9375862-7444-4178-95BA-49A058BB7408}">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317</TotalTime>
  <Pages>1</Pages>
  <Words>11314</Words>
  <Characters>69583</Characters>
  <Application>Microsoft Office Word</Application>
  <DocSecurity>0</DocSecurity>
  <Lines>1070</Lines>
  <Paragraphs>421</Paragraphs>
  <ScaleCrop>false</ScaleCrop>
  <HeadingPairs>
    <vt:vector size="2" baseType="variant">
      <vt:variant>
        <vt:lpstr>Title</vt:lpstr>
      </vt:variant>
      <vt:variant>
        <vt:i4>1</vt:i4>
      </vt:variant>
    </vt:vector>
  </HeadingPairs>
  <TitlesOfParts>
    <vt:vector size="1" baseType="lpstr">
      <vt:lpstr>Productivity in Australia: selected policy options for a more prosperous future</vt:lpstr>
    </vt:vector>
  </TitlesOfParts>
  <Company>Productivity Commission</Company>
  <LinksUpToDate>false</LinksUpToDate>
  <CharactersWithSpaces>80476</CharactersWithSpaces>
  <SharedDoc>false</SharedDoc>
  <HLinks>
    <vt:vector size="30" baseType="variant">
      <vt:variant>
        <vt:i4>3211306</vt:i4>
      </vt:variant>
      <vt:variant>
        <vt:i4>30</vt:i4>
      </vt:variant>
      <vt:variant>
        <vt:i4>0</vt:i4>
      </vt:variant>
      <vt:variant>
        <vt:i4>5</vt:i4>
      </vt:variant>
      <vt:variant>
        <vt:lpwstr>https://www.pc.gov.au/inquiries-and-research/net-zero/</vt:lpwstr>
      </vt:variant>
      <vt:variant>
        <vt:lpwstr/>
      </vt:variant>
      <vt:variant>
        <vt:i4>3276844</vt:i4>
      </vt:variant>
      <vt:variant>
        <vt:i4>24</vt:i4>
      </vt:variant>
      <vt:variant>
        <vt:i4>0</vt:i4>
      </vt:variant>
      <vt:variant>
        <vt:i4>5</vt:i4>
      </vt:variant>
      <vt:variant>
        <vt:lpwstr>https://www.pc.gov.au/inquiries-and-research/quality-care/</vt:lpwstr>
      </vt:variant>
      <vt:variant>
        <vt:lpwstr/>
      </vt:variant>
      <vt:variant>
        <vt:i4>8323187</vt:i4>
      </vt:variant>
      <vt:variant>
        <vt:i4>18</vt:i4>
      </vt:variant>
      <vt:variant>
        <vt:i4>0</vt:i4>
      </vt:variant>
      <vt:variant>
        <vt:i4>5</vt:i4>
      </vt:variant>
      <vt:variant>
        <vt:lpwstr>https://www.pc.gov.au/inquiries-and-research/data-digital/</vt:lpwstr>
      </vt:variant>
      <vt:variant>
        <vt:lpwstr/>
      </vt:variant>
      <vt:variant>
        <vt:i4>720980</vt:i4>
      </vt:variant>
      <vt:variant>
        <vt:i4>12</vt:i4>
      </vt:variant>
      <vt:variant>
        <vt:i4>0</vt:i4>
      </vt:variant>
      <vt:variant>
        <vt:i4>5</vt:i4>
      </vt:variant>
      <vt:variant>
        <vt:lpwstr>https://www.pc.gov.au/inquiries-and-research/adaptable-workforce/</vt:lpwstr>
      </vt:variant>
      <vt:variant>
        <vt:lpwstr/>
      </vt:variant>
      <vt:variant>
        <vt:i4>3342463</vt:i4>
      </vt:variant>
      <vt:variant>
        <vt:i4>6</vt:i4>
      </vt:variant>
      <vt:variant>
        <vt:i4>0</vt:i4>
      </vt:variant>
      <vt:variant>
        <vt:i4>5</vt:i4>
      </vt:variant>
      <vt:variant>
        <vt:lpwstr>https://www.pc.gov.au/inquiries-and-research/resilient-economy/report/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Productivity in Australia: selected policy options for a more prosperous future</dc:title>
  <dc:subject>PC submission</dc:subject>
  <dc:creator>Productivity Commission</dc:creator>
  <cp:keywords/>
  <dc:description/>
  <cp:lastModifiedBy>Chris Alston</cp:lastModifiedBy>
  <cp:revision>110</cp:revision>
  <cp:lastPrinted>2026-02-25T23:13:00Z</cp:lastPrinted>
  <dcterms:created xsi:type="dcterms:W3CDTF">2026-02-25T01:30:00Z</dcterms:created>
  <dcterms:modified xsi:type="dcterms:W3CDTF">2026-02-25T23:54:00Z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ournalAbbreviations" value="true"/&gt;&lt;/prefs&gt;&lt;/data&gt;</vt:lpwstr>
  </property>
  <property fmtid="{D5CDD505-2E9C-101B-9397-08002B2CF9AE}" pid="3" name="ContentTypeId">
    <vt:lpwstr>0x0101006C0B5E815648EF46B6FA6D42F17E5E9F000C963E276195B04F83BC027CFDC94A8D</vt:lpwstr>
  </property>
  <property fmtid="{D5CDD505-2E9C-101B-9397-08002B2CF9AE}" pid="4" name="MediaServiceImageTags">
    <vt:lpwstr/>
  </property>
  <property fmtid="{D5CDD505-2E9C-101B-9397-08002B2CF9AE}" pid="5" name="TemplafyTenantId">
    <vt:lpwstr>productivitycommission</vt:lpwstr>
  </property>
  <property fmtid="{D5CDD505-2E9C-101B-9397-08002B2CF9AE}" pid="6" name="TemplafyTemplateId">
    <vt:lpwstr>637629323564275408</vt:lpwstr>
  </property>
  <property fmtid="{D5CDD505-2E9C-101B-9397-08002B2CF9AE}" pid="7" name="TemplafyUserProfileId">
    <vt:lpwstr>1120044664001921056</vt:lpwstr>
  </property>
  <property fmtid="{D5CDD505-2E9C-101B-9397-08002B2CF9AE}" pid="8" name="TemplafyFromBlank">
    <vt:bool>false</vt:bool>
  </property>
  <property fmtid="{D5CDD505-2E9C-101B-9397-08002B2CF9AE}" pid="9" name="docLang">
    <vt:lpwstr>en</vt:lpwstr>
  </property>
  <property fmtid="{D5CDD505-2E9C-101B-9397-08002B2CF9AE}" pid="10" name="ZOTERO_PREF_1">
    <vt:lpwstr>&lt;data data-version="3" zotero-version="8.0.3"&gt;&lt;session id="sH4L7rxH"/&gt;&lt;style id="http://www.zotero.org/styles/Productivity-Commission" hasBibliography="1" bibliographyStyleHasBeenSet="1"/&gt;&lt;prefs&gt;&lt;pref name="fieldType" value="Field"/&gt;&lt;pref name="automaticJ</vt:lpwstr>
  </property>
  <property fmtid="{D5CDD505-2E9C-101B-9397-08002B2CF9AE}" pid="11" name="MSIP_Label_c1f2b1ce-4212-46db-a901-dd8453f57141_Enabled">
    <vt:lpwstr>true</vt:lpwstr>
  </property>
  <property fmtid="{D5CDD505-2E9C-101B-9397-08002B2CF9AE}" pid="12" name="MSIP_Label_c1f2b1ce-4212-46db-a901-dd8453f57141_SetDate">
    <vt:lpwstr>2026-02-25T01:30:48Z</vt:lpwstr>
  </property>
  <property fmtid="{D5CDD505-2E9C-101B-9397-08002B2CF9AE}" pid="13" name="MSIP_Label_c1f2b1ce-4212-46db-a901-dd8453f57141_Method">
    <vt:lpwstr>Privileged</vt:lpwstr>
  </property>
  <property fmtid="{D5CDD505-2E9C-101B-9397-08002B2CF9AE}" pid="14" name="MSIP_Label_c1f2b1ce-4212-46db-a901-dd8453f57141_Name">
    <vt:lpwstr>Publish</vt:lpwstr>
  </property>
  <property fmtid="{D5CDD505-2E9C-101B-9397-08002B2CF9AE}" pid="15" name="MSIP_Label_c1f2b1ce-4212-46db-a901-dd8453f57141_SiteId">
    <vt:lpwstr>29f9330b-c0fe-4244-830e-ba9f275d6c34</vt:lpwstr>
  </property>
  <property fmtid="{D5CDD505-2E9C-101B-9397-08002B2CF9AE}" pid="16" name="MSIP_Label_c1f2b1ce-4212-46db-a901-dd8453f57141_ActionId">
    <vt:lpwstr>e57e0af0-e255-4278-a3a5-a87d1cd83ecb</vt:lpwstr>
  </property>
  <property fmtid="{D5CDD505-2E9C-101B-9397-08002B2CF9AE}" pid="17" name="MSIP_Label_c1f2b1ce-4212-46db-a901-dd8453f57141_ContentBits">
    <vt:lpwstr>0</vt:lpwstr>
  </property>
  <property fmtid="{D5CDD505-2E9C-101B-9397-08002B2CF9AE}" pid="18" name="MSIP_Label_c1f2b1ce-4212-46db-a901-dd8453f57141_Tag">
    <vt:lpwstr>10, 0, 1, 1</vt:lpwstr>
  </property>
  <property fmtid="{D5CDD505-2E9C-101B-9397-08002B2CF9AE}" pid="19" name="_dlc_DocIdItemGuid">
    <vt:lpwstr>8f3dabca-c0ae-44f4-8864-4ff05581ca4c</vt:lpwstr>
  </property>
  <property fmtid="{D5CDD505-2E9C-101B-9397-08002B2CF9AE}" pid="20" name="RevIMBCS">
    <vt:lpwstr>1;#Unclassified|3955eeb1-2d18-4582-aeb2-00144ec3aaf5</vt:lpwstr>
  </property>
</Properties>
</file>