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43C2F" w14:textId="2C2A0FF8" w:rsidR="00B57B27" w:rsidRDefault="00BB220F" w:rsidP="00471C6A">
      <w:pPr>
        <w:pStyle w:val="ListParagraph"/>
      </w:pPr>
      <w:r>
        <w:rPr>
          <w:noProof/>
        </w:rPr>
        <w:drawing>
          <wp:anchor distT="0" distB="0" distL="114300" distR="114300" simplePos="0" relativeHeight="251658240" behindDoc="0" locked="0" layoutInCell="1" allowOverlap="1" wp14:anchorId="5FDFE706" wp14:editId="1A619187">
            <wp:simplePos x="0" y="0"/>
            <wp:positionH relativeFrom="page">
              <wp:posOffset>0</wp:posOffset>
            </wp:positionH>
            <wp:positionV relativeFrom="page">
              <wp:posOffset>0</wp:posOffset>
            </wp:positionV>
            <wp:extent cx="7563600" cy="10724400"/>
            <wp:effectExtent l="0" t="0" r="0"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3600" cy="10724400"/>
                    </a:xfrm>
                    <a:prstGeom prst="rect">
                      <a:avLst/>
                    </a:prstGeom>
                  </pic:spPr>
                </pic:pic>
              </a:graphicData>
            </a:graphic>
            <wp14:sizeRelH relativeFrom="page">
              <wp14:pctWidth>0</wp14:pctWidth>
            </wp14:sizeRelH>
            <wp14:sizeRelV relativeFrom="page">
              <wp14:pctHeight>0</wp14:pctHeight>
            </wp14:sizeRelV>
          </wp:anchor>
        </w:drawing>
      </w:r>
    </w:p>
    <w:p w14:paraId="2ABF85F7" w14:textId="445C117E" w:rsidR="00A73837" w:rsidRDefault="00A73837" w:rsidP="00471C6A">
      <w:pPr>
        <w:pStyle w:val="ListParagraph"/>
      </w:pPr>
    </w:p>
    <w:sdt>
      <w:sdtPr>
        <w:id w:val="-1442289537"/>
        <w:docPartObj>
          <w:docPartGallery w:val="Cover Pages"/>
          <w:docPartUnique/>
        </w:docPartObj>
      </w:sdtPr>
      <w:sdtEndPr/>
      <w:sdtContent>
        <w:p w14:paraId="5204C1FB" w14:textId="61C3B600" w:rsidR="00471C6A" w:rsidRDefault="00471C6A" w:rsidP="00471C6A">
          <w:pPr>
            <w:pStyle w:val="ListParagraph"/>
          </w:pPr>
        </w:p>
        <w:p w14:paraId="13756C3A" w14:textId="5BF7F1D1" w:rsidR="00A97160" w:rsidRDefault="00A97160" w:rsidP="00471C6A">
          <w:pPr>
            <w:pStyle w:val="ListParagraph"/>
          </w:pPr>
          <w:r>
            <w:br w:type="page"/>
          </w:r>
        </w:p>
      </w:sdtContent>
    </w:sdt>
    <w:p w14:paraId="161C2485" w14:textId="28F37B59" w:rsidR="000E0B74" w:rsidRDefault="000E0B74" w:rsidP="005877AC">
      <w:r w:rsidRPr="00661BF0">
        <w:lastRenderedPageBreak/>
        <w:t xml:space="preserve">© Commonwealth of Australia </w:t>
      </w:r>
      <w:r w:rsidR="0001125E">
        <w:t>2024</w:t>
      </w:r>
    </w:p>
    <w:p w14:paraId="50B1D230" w14:textId="3DC6A906" w:rsidR="006469CC" w:rsidRPr="00444CDB" w:rsidRDefault="006469CC" w:rsidP="005877AC">
      <w:pPr>
        <w:rPr>
          <w:noProof/>
        </w:rPr>
      </w:pPr>
      <w:r>
        <w:t xml:space="preserve">ISBN: </w:t>
      </w:r>
      <w:r w:rsidR="00A1473B" w:rsidRPr="00A1473B">
        <w:t>978-1-923278-06-6</w:t>
      </w:r>
    </w:p>
    <w:p w14:paraId="50D96D67" w14:textId="77777777"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8" w:history="1">
        <w:r w:rsidR="00444CDB">
          <w:rPr>
            <w:rStyle w:val="Hyperlink"/>
          </w:rPr>
          <w:t>Creative Commons Attribution 4.0 International</w:t>
        </w:r>
      </w:hyperlink>
      <w:r w:rsidRPr="00476F09">
        <w:rPr>
          <w:rFonts w:cstheme="minorHAnsi"/>
          <w:sz w:val="24"/>
          <w:szCs w:val="24"/>
        </w:rPr>
        <w:t xml:space="preserve"> </w:t>
      </w:r>
      <w:r w:rsidRPr="002F1BC2">
        <w:t>licence, with the exception of the Commonwealth Coat of Arms, the Treasury logo</w:t>
      </w:r>
      <w:r>
        <w:t xml:space="preserve">, photographs, images, </w:t>
      </w:r>
      <w:r w:rsidR="00444CDB" w:rsidRPr="004F5ACF">
        <w:t>third party materials, materials protected by a trademark,</w:t>
      </w:r>
      <w:r w:rsidR="00444CDB">
        <w:t xml:space="preserve"> </w:t>
      </w:r>
      <w:r>
        <w:t xml:space="preserve">signatures </w:t>
      </w:r>
      <w:r w:rsidRPr="002F1BC2">
        <w:t>and where otherwise stated</w:t>
      </w:r>
      <w:r w:rsidR="00444CDB">
        <w:t xml:space="preserve">. </w:t>
      </w:r>
      <w:r w:rsidRPr="002F1BC2">
        <w:t>The full licence terms are available from</w:t>
      </w:r>
      <w:r w:rsidRPr="00476F09">
        <w:rPr>
          <w:rFonts w:cstheme="minorHAnsi"/>
          <w:sz w:val="24"/>
          <w:szCs w:val="24"/>
        </w:rPr>
        <w:t xml:space="preserve"> </w:t>
      </w:r>
      <w:hyperlink r:id="rId9" w:history="1">
        <w:r w:rsidR="00444CDB">
          <w:rPr>
            <w:rStyle w:val="Hyperlink"/>
          </w:rPr>
          <w:t>creativecommons.org/licenses/by/4.0/legalcode</w:t>
        </w:r>
      </w:hyperlink>
      <w:r w:rsidRPr="00444CDB">
        <w:t>.</w:t>
      </w:r>
      <w:r w:rsidRPr="00D06A21">
        <w:rPr>
          <w:sz w:val="24"/>
          <w:szCs w:val="24"/>
        </w:rPr>
        <w:t xml:space="preserve"> </w:t>
      </w:r>
    </w:p>
    <w:p w14:paraId="4046ECD2" w14:textId="77777777" w:rsidR="000E0B74" w:rsidRDefault="000E0B74" w:rsidP="000E0B74">
      <w:pPr>
        <w:pStyle w:val="ChartGraphic"/>
        <w:jc w:val="left"/>
      </w:pPr>
      <w:r w:rsidRPr="00E56DFB">
        <w:rPr>
          <w:noProof/>
        </w:rPr>
        <w:drawing>
          <wp:inline distT="0" distB="0" distL="0" distR="0" wp14:anchorId="4BD5B835" wp14:editId="6108A111">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BF81D69"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icence requires you to attribute the work (but not in any way that suggests that the Treasury endorse</w:t>
      </w:r>
      <w:r>
        <w:t>s you or your use of the work).</w:t>
      </w:r>
    </w:p>
    <w:p w14:paraId="788D3F46" w14:textId="77777777" w:rsidR="000E0B74" w:rsidRPr="00444CDB" w:rsidRDefault="000E0B74" w:rsidP="006469CC">
      <w:pPr>
        <w:spacing w:before="240"/>
        <w:rPr>
          <w:rStyle w:val="Strong"/>
        </w:rPr>
      </w:pPr>
      <w:r w:rsidRPr="00444CDB">
        <w:rPr>
          <w:rStyle w:val="Strong"/>
        </w:rPr>
        <w:t>Treasury material used ‘as supplied’</w:t>
      </w:r>
    </w:p>
    <w:p w14:paraId="5DC163A1"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w:t>
      </w:r>
      <w:r w:rsidR="00444CDB">
        <w:rPr>
          <w:rFonts w:cs="Calibri Light"/>
        </w:rPr>
        <w:t>–</w:t>
      </w:r>
      <w:r>
        <w:t xml:space="preserve"> then Treasury prefers t</w:t>
      </w:r>
      <w:r w:rsidRPr="00476F09">
        <w:t xml:space="preserve">he following attribution: </w:t>
      </w:r>
    </w:p>
    <w:p w14:paraId="5F17F36C" w14:textId="77777777" w:rsidR="00444CDB" w:rsidRPr="00A13A11" w:rsidRDefault="00444CDB" w:rsidP="00444CDB">
      <w:pPr>
        <w:ind w:firstLine="720"/>
      </w:pPr>
      <w:r w:rsidRPr="00E17231">
        <w:rPr>
          <w:iCs/>
        </w:rPr>
        <w:t>Source:</w:t>
      </w:r>
      <w:r w:rsidRPr="002F1BC2">
        <w:rPr>
          <w:i/>
        </w:rPr>
        <w:t xml:space="preserve"> </w:t>
      </w:r>
      <w:r w:rsidRPr="00AC2B70">
        <w:rPr>
          <w:rStyle w:val="Emphasis"/>
        </w:rPr>
        <w:t>The Commonwealth of Australia.</w:t>
      </w:r>
    </w:p>
    <w:p w14:paraId="34E27191" w14:textId="77777777" w:rsidR="000E0B74" w:rsidRPr="00444CDB" w:rsidRDefault="000E0B74" w:rsidP="000E0B74">
      <w:pPr>
        <w:spacing w:before="240"/>
        <w:rPr>
          <w:rStyle w:val="Strong"/>
        </w:rPr>
      </w:pPr>
      <w:r w:rsidRPr="00444CDB">
        <w:rPr>
          <w:rStyle w:val="Strong"/>
        </w:rPr>
        <w:t>Derivative material</w:t>
      </w:r>
    </w:p>
    <w:p w14:paraId="6E2BA0C3"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AC357EC" w14:textId="77777777" w:rsidR="00444CDB" w:rsidRPr="00AC2B70" w:rsidRDefault="00444CDB" w:rsidP="00444CD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5310AE9B" w14:textId="77777777" w:rsidR="000E0B74" w:rsidRPr="00444CDB" w:rsidRDefault="000E0B74" w:rsidP="000E0B74">
      <w:pPr>
        <w:spacing w:before="240"/>
        <w:rPr>
          <w:rStyle w:val="Strong"/>
        </w:rPr>
      </w:pPr>
      <w:r w:rsidRPr="00444CDB">
        <w:rPr>
          <w:rStyle w:val="Strong"/>
        </w:rPr>
        <w:t>Use of the Coat of Arms</w:t>
      </w:r>
    </w:p>
    <w:p w14:paraId="42076127" w14:textId="05308FDF"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w:t>
        </w:r>
        <w:r w:rsidR="00CE1949">
          <w:rPr>
            <w:rStyle w:val="Hyperlink"/>
          </w:rPr>
          <w:t>–</w:t>
        </w:r>
        <w:r w:rsidR="00444CDB">
          <w:rPr>
            <w:rStyle w:val="Hyperlink"/>
          </w:rPr>
          <w:t>coat</w:t>
        </w:r>
        <w:r w:rsidR="00CE1949">
          <w:rPr>
            <w:rStyle w:val="Hyperlink"/>
          </w:rPr>
          <w:t>–</w:t>
        </w:r>
        <w:r w:rsidR="00444CDB">
          <w:rPr>
            <w:rStyle w:val="Hyperlink"/>
          </w:rPr>
          <w:t>arms</w:t>
        </w:r>
      </w:hyperlink>
      <w:r w:rsidRPr="005C503A">
        <w:t>).</w:t>
      </w:r>
    </w:p>
    <w:p w14:paraId="3026DDC6" w14:textId="77777777" w:rsidR="000E0B74" w:rsidRPr="00444CDB" w:rsidRDefault="000E0B74" w:rsidP="000E0B74">
      <w:pPr>
        <w:spacing w:before="240"/>
        <w:rPr>
          <w:rStyle w:val="Strong"/>
        </w:rPr>
      </w:pPr>
      <w:r w:rsidRPr="00444CDB">
        <w:rPr>
          <w:rStyle w:val="Strong"/>
        </w:rPr>
        <w:t>Other uses</w:t>
      </w:r>
    </w:p>
    <w:p w14:paraId="5E16CF24" w14:textId="77777777" w:rsidR="000E0B74" w:rsidRPr="006627B4" w:rsidRDefault="000E0B74" w:rsidP="000E0B74">
      <w:r>
        <w:t>E</w:t>
      </w:r>
      <w:r w:rsidRPr="006627B4">
        <w:t>nquiries regarding this licence and any other use of this document are welcome at:</w:t>
      </w:r>
    </w:p>
    <w:p w14:paraId="2C158C98" w14:textId="77777777" w:rsidR="00DF7CBD" w:rsidRDefault="000E0B74" w:rsidP="00DF7CBD">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3" w:history="1">
        <w:r w:rsidR="00386297">
          <w:rPr>
            <w:rStyle w:val="Hyperlink"/>
          </w:rPr>
          <w:t>media@treasury.gov.au</w:t>
        </w:r>
      </w:hyperlink>
    </w:p>
    <w:p w14:paraId="3705BE76" w14:textId="5DC789D8" w:rsidR="00D32709" w:rsidRDefault="00D32709" w:rsidP="00D32709">
      <w:r w:rsidRPr="003F1597">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7268955F" w14:textId="77777777" w:rsidR="00D32709" w:rsidRPr="00D32709" w:rsidRDefault="00D32709" w:rsidP="00D32709">
      <w:pPr>
        <w:sectPr w:rsidR="00D32709" w:rsidRPr="00D32709" w:rsidSect="00E91CB7">
          <w:headerReference w:type="even" r:id="rId14"/>
          <w:headerReference w:type="first" r:id="rId15"/>
          <w:pgSz w:w="11906" w:h="16838" w:code="9"/>
          <w:pgMar w:top="1843" w:right="1418" w:bottom="1418" w:left="1418" w:header="709" w:footer="709" w:gutter="0"/>
          <w:pgNumType w:fmt="lowerRoman" w:start="0"/>
          <w:cols w:space="708"/>
          <w:docGrid w:linePitch="360"/>
        </w:sectPr>
      </w:pPr>
    </w:p>
    <w:p w14:paraId="7E19C424" w14:textId="77777777" w:rsidR="005C1E9E" w:rsidRDefault="000E0B74" w:rsidP="00C74F9F">
      <w:pPr>
        <w:pStyle w:val="Heading1"/>
        <w:rPr>
          <w:noProof/>
        </w:rPr>
      </w:pPr>
      <w:bookmarkStart w:id="0" w:name="_Toc189559042"/>
      <w:bookmarkStart w:id="1" w:name="_Toc111026801"/>
      <w:bookmarkStart w:id="2" w:name="_Toc180408681"/>
      <w:bookmarkStart w:id="3" w:name="_Toc180408712"/>
      <w:r w:rsidRPr="00DB4EEB">
        <w:lastRenderedPageBreak/>
        <w:t>Contents</w:t>
      </w:r>
      <w:bookmarkEnd w:id="0"/>
      <w:r w:rsidR="00DD3948">
        <w:fldChar w:fldCharType="begin"/>
      </w:r>
      <w:r w:rsidR="00DD3948">
        <w:instrText xml:space="preserve"> TOC \o "1-1" \h \z \u </w:instrText>
      </w:r>
      <w:r w:rsidR="00DD3948">
        <w:fldChar w:fldCharType="separate"/>
      </w:r>
    </w:p>
    <w:p w14:paraId="3D86A2F2" w14:textId="6A3C42BA" w:rsidR="005C1E9E" w:rsidRDefault="002F21D7">
      <w:pPr>
        <w:pStyle w:val="TOC1"/>
        <w:rPr>
          <w:rFonts w:eastAsiaTheme="minorEastAsia"/>
          <w:b w:val="0"/>
          <w:color w:val="auto"/>
          <w:sz w:val="24"/>
          <w:szCs w:val="24"/>
        </w:rPr>
      </w:pPr>
      <w:hyperlink w:anchor="_Toc189559042" w:history="1">
        <w:r w:rsidR="005C1E9E" w:rsidRPr="00695D27">
          <w:rPr>
            <w:rStyle w:val="Hyperlink"/>
          </w:rPr>
          <w:t>Contents</w:t>
        </w:r>
        <w:r w:rsidR="005C1E9E">
          <w:rPr>
            <w:webHidden/>
          </w:rPr>
          <w:tab/>
        </w:r>
        <w:r w:rsidR="005C1E9E">
          <w:rPr>
            <w:webHidden/>
          </w:rPr>
          <w:fldChar w:fldCharType="begin"/>
        </w:r>
        <w:r w:rsidR="005C1E9E">
          <w:rPr>
            <w:webHidden/>
          </w:rPr>
          <w:instrText xml:space="preserve"> PAGEREF _Toc189559042 \h </w:instrText>
        </w:r>
        <w:r w:rsidR="005C1E9E">
          <w:rPr>
            <w:webHidden/>
          </w:rPr>
        </w:r>
        <w:r w:rsidR="005C1E9E">
          <w:rPr>
            <w:webHidden/>
          </w:rPr>
          <w:fldChar w:fldCharType="separate"/>
        </w:r>
        <w:r w:rsidR="00D276C7">
          <w:rPr>
            <w:webHidden/>
          </w:rPr>
          <w:t>iii</w:t>
        </w:r>
        <w:r w:rsidR="005C1E9E">
          <w:rPr>
            <w:webHidden/>
          </w:rPr>
          <w:fldChar w:fldCharType="end"/>
        </w:r>
      </w:hyperlink>
    </w:p>
    <w:p w14:paraId="71260024" w14:textId="33000590" w:rsidR="005C1E9E" w:rsidRDefault="002F21D7">
      <w:pPr>
        <w:pStyle w:val="TOC1"/>
        <w:rPr>
          <w:rFonts w:eastAsiaTheme="minorEastAsia"/>
          <w:b w:val="0"/>
          <w:color w:val="auto"/>
          <w:sz w:val="24"/>
          <w:szCs w:val="24"/>
        </w:rPr>
      </w:pPr>
      <w:hyperlink w:anchor="_Toc189559043" w:history="1">
        <w:r w:rsidR="005C1E9E" w:rsidRPr="00695D27">
          <w:rPr>
            <w:rStyle w:val="Hyperlink"/>
          </w:rPr>
          <w:t>Executive summary</w:t>
        </w:r>
        <w:r w:rsidR="005C1E9E">
          <w:rPr>
            <w:webHidden/>
          </w:rPr>
          <w:tab/>
        </w:r>
        <w:r w:rsidR="005C1E9E">
          <w:rPr>
            <w:webHidden/>
          </w:rPr>
          <w:fldChar w:fldCharType="begin"/>
        </w:r>
        <w:r w:rsidR="005C1E9E">
          <w:rPr>
            <w:webHidden/>
          </w:rPr>
          <w:instrText xml:space="preserve"> PAGEREF _Toc189559043 \h </w:instrText>
        </w:r>
        <w:r w:rsidR="005C1E9E">
          <w:rPr>
            <w:webHidden/>
          </w:rPr>
        </w:r>
        <w:r w:rsidR="005C1E9E">
          <w:rPr>
            <w:webHidden/>
          </w:rPr>
          <w:fldChar w:fldCharType="separate"/>
        </w:r>
        <w:r w:rsidR="00D276C7">
          <w:rPr>
            <w:webHidden/>
          </w:rPr>
          <w:t>1</w:t>
        </w:r>
        <w:r w:rsidR="005C1E9E">
          <w:rPr>
            <w:webHidden/>
          </w:rPr>
          <w:fldChar w:fldCharType="end"/>
        </w:r>
      </w:hyperlink>
    </w:p>
    <w:p w14:paraId="59E06A4D" w14:textId="5A646672" w:rsidR="005C1E9E" w:rsidRDefault="002F21D7">
      <w:pPr>
        <w:pStyle w:val="TOC1"/>
        <w:rPr>
          <w:rFonts w:eastAsiaTheme="minorEastAsia"/>
          <w:b w:val="0"/>
          <w:color w:val="auto"/>
          <w:sz w:val="24"/>
          <w:szCs w:val="24"/>
        </w:rPr>
      </w:pPr>
      <w:hyperlink w:anchor="_Toc189559044" w:history="1">
        <w:r w:rsidR="005C1E9E" w:rsidRPr="00695D27">
          <w:rPr>
            <w:rStyle w:val="Hyperlink"/>
          </w:rPr>
          <w:t>Findings and recommendations</w:t>
        </w:r>
        <w:r w:rsidR="005C1E9E">
          <w:rPr>
            <w:webHidden/>
          </w:rPr>
          <w:tab/>
        </w:r>
        <w:r w:rsidR="005C1E9E">
          <w:rPr>
            <w:webHidden/>
          </w:rPr>
          <w:fldChar w:fldCharType="begin"/>
        </w:r>
        <w:r w:rsidR="005C1E9E">
          <w:rPr>
            <w:webHidden/>
          </w:rPr>
          <w:instrText xml:space="preserve"> PAGEREF _Toc189559044 \h </w:instrText>
        </w:r>
        <w:r w:rsidR="005C1E9E">
          <w:rPr>
            <w:webHidden/>
          </w:rPr>
        </w:r>
        <w:r w:rsidR="005C1E9E">
          <w:rPr>
            <w:webHidden/>
          </w:rPr>
          <w:fldChar w:fldCharType="separate"/>
        </w:r>
        <w:r w:rsidR="00D276C7">
          <w:rPr>
            <w:webHidden/>
          </w:rPr>
          <w:t>3</w:t>
        </w:r>
        <w:r w:rsidR="005C1E9E">
          <w:rPr>
            <w:webHidden/>
          </w:rPr>
          <w:fldChar w:fldCharType="end"/>
        </w:r>
      </w:hyperlink>
    </w:p>
    <w:p w14:paraId="115AE451" w14:textId="1A0DE737" w:rsidR="005C1E9E" w:rsidRDefault="002F21D7">
      <w:pPr>
        <w:pStyle w:val="TOC1"/>
        <w:rPr>
          <w:rFonts w:eastAsiaTheme="minorEastAsia"/>
          <w:b w:val="0"/>
          <w:color w:val="auto"/>
          <w:sz w:val="24"/>
          <w:szCs w:val="24"/>
        </w:rPr>
      </w:pPr>
      <w:hyperlink w:anchor="_Toc189559045" w:history="1">
        <w:r w:rsidR="005C1E9E" w:rsidRPr="00695D27">
          <w:rPr>
            <w:rStyle w:val="Hyperlink"/>
          </w:rPr>
          <w:t>Chapter 1: About this Review</w:t>
        </w:r>
        <w:r w:rsidR="005C1E9E">
          <w:rPr>
            <w:webHidden/>
          </w:rPr>
          <w:tab/>
        </w:r>
        <w:r w:rsidR="005C1E9E">
          <w:rPr>
            <w:webHidden/>
          </w:rPr>
          <w:fldChar w:fldCharType="begin"/>
        </w:r>
        <w:r w:rsidR="005C1E9E">
          <w:rPr>
            <w:webHidden/>
          </w:rPr>
          <w:instrText xml:space="preserve"> PAGEREF _Toc189559045 \h </w:instrText>
        </w:r>
        <w:r w:rsidR="005C1E9E">
          <w:rPr>
            <w:webHidden/>
          </w:rPr>
        </w:r>
        <w:r w:rsidR="005C1E9E">
          <w:rPr>
            <w:webHidden/>
          </w:rPr>
          <w:fldChar w:fldCharType="separate"/>
        </w:r>
        <w:r w:rsidR="00D276C7">
          <w:rPr>
            <w:webHidden/>
          </w:rPr>
          <w:t>6</w:t>
        </w:r>
        <w:r w:rsidR="005C1E9E">
          <w:rPr>
            <w:webHidden/>
          </w:rPr>
          <w:fldChar w:fldCharType="end"/>
        </w:r>
      </w:hyperlink>
    </w:p>
    <w:p w14:paraId="66F5B0D2" w14:textId="239B50A3" w:rsidR="005C1E9E" w:rsidRDefault="002F21D7">
      <w:pPr>
        <w:pStyle w:val="TOC1"/>
        <w:rPr>
          <w:rFonts w:eastAsiaTheme="minorEastAsia"/>
          <w:b w:val="0"/>
          <w:color w:val="auto"/>
          <w:sz w:val="24"/>
          <w:szCs w:val="24"/>
        </w:rPr>
      </w:pPr>
      <w:hyperlink w:anchor="_Toc189559046" w:history="1">
        <w:r w:rsidR="005C1E9E" w:rsidRPr="00695D27">
          <w:rPr>
            <w:rStyle w:val="Hyperlink"/>
          </w:rPr>
          <w:t>Chapter 2: Overview of the reporting products</w:t>
        </w:r>
        <w:r w:rsidR="005C1E9E">
          <w:rPr>
            <w:webHidden/>
          </w:rPr>
          <w:tab/>
        </w:r>
        <w:r w:rsidR="005C1E9E">
          <w:rPr>
            <w:webHidden/>
          </w:rPr>
          <w:fldChar w:fldCharType="begin"/>
        </w:r>
        <w:r w:rsidR="005C1E9E">
          <w:rPr>
            <w:webHidden/>
          </w:rPr>
          <w:instrText xml:space="preserve"> PAGEREF _Toc189559046 \h </w:instrText>
        </w:r>
        <w:r w:rsidR="005C1E9E">
          <w:rPr>
            <w:webHidden/>
          </w:rPr>
        </w:r>
        <w:r w:rsidR="005C1E9E">
          <w:rPr>
            <w:webHidden/>
          </w:rPr>
          <w:fldChar w:fldCharType="separate"/>
        </w:r>
        <w:r w:rsidR="00D276C7">
          <w:rPr>
            <w:webHidden/>
          </w:rPr>
          <w:t>8</w:t>
        </w:r>
        <w:r w:rsidR="005C1E9E">
          <w:rPr>
            <w:webHidden/>
          </w:rPr>
          <w:fldChar w:fldCharType="end"/>
        </w:r>
      </w:hyperlink>
    </w:p>
    <w:p w14:paraId="7A8D475F" w14:textId="4C5CA5D5" w:rsidR="005C1E9E" w:rsidRDefault="002F21D7">
      <w:pPr>
        <w:pStyle w:val="TOC1"/>
        <w:rPr>
          <w:rFonts w:eastAsiaTheme="minorEastAsia"/>
          <w:b w:val="0"/>
          <w:color w:val="auto"/>
          <w:sz w:val="24"/>
          <w:szCs w:val="24"/>
        </w:rPr>
      </w:pPr>
      <w:hyperlink w:anchor="_Toc189559047" w:history="1">
        <w:r w:rsidR="005C1E9E" w:rsidRPr="00695D27">
          <w:rPr>
            <w:rStyle w:val="Hyperlink"/>
          </w:rPr>
          <w:t>Chapter 3: The approach to performance reporting</w:t>
        </w:r>
        <w:r w:rsidR="005C1E9E">
          <w:rPr>
            <w:webHidden/>
          </w:rPr>
          <w:tab/>
        </w:r>
        <w:r w:rsidR="005C1E9E">
          <w:rPr>
            <w:webHidden/>
          </w:rPr>
          <w:fldChar w:fldCharType="begin"/>
        </w:r>
        <w:r w:rsidR="005C1E9E">
          <w:rPr>
            <w:webHidden/>
          </w:rPr>
          <w:instrText xml:space="preserve"> PAGEREF _Toc189559047 \h </w:instrText>
        </w:r>
        <w:r w:rsidR="005C1E9E">
          <w:rPr>
            <w:webHidden/>
          </w:rPr>
        </w:r>
        <w:r w:rsidR="005C1E9E">
          <w:rPr>
            <w:webHidden/>
          </w:rPr>
          <w:fldChar w:fldCharType="separate"/>
        </w:r>
        <w:r w:rsidR="00D276C7">
          <w:rPr>
            <w:webHidden/>
          </w:rPr>
          <w:t>19</w:t>
        </w:r>
        <w:r w:rsidR="005C1E9E">
          <w:rPr>
            <w:webHidden/>
          </w:rPr>
          <w:fldChar w:fldCharType="end"/>
        </w:r>
      </w:hyperlink>
    </w:p>
    <w:p w14:paraId="18F7F49C" w14:textId="13032C97" w:rsidR="005C1E9E" w:rsidRDefault="002F21D7">
      <w:pPr>
        <w:pStyle w:val="TOC1"/>
        <w:rPr>
          <w:rFonts w:eastAsiaTheme="minorEastAsia"/>
          <w:b w:val="0"/>
          <w:color w:val="auto"/>
          <w:sz w:val="24"/>
          <w:szCs w:val="24"/>
        </w:rPr>
      </w:pPr>
      <w:hyperlink w:anchor="_Toc189559048" w:history="1">
        <w:r w:rsidR="005C1E9E" w:rsidRPr="00695D27">
          <w:rPr>
            <w:rStyle w:val="Hyperlink"/>
          </w:rPr>
          <w:t>Chapter 4: The usefulness and accessibility of the information</w:t>
        </w:r>
        <w:r w:rsidR="005C1E9E">
          <w:rPr>
            <w:webHidden/>
          </w:rPr>
          <w:tab/>
        </w:r>
        <w:r w:rsidR="005C1E9E">
          <w:rPr>
            <w:webHidden/>
          </w:rPr>
          <w:fldChar w:fldCharType="begin"/>
        </w:r>
        <w:r w:rsidR="005C1E9E">
          <w:rPr>
            <w:webHidden/>
          </w:rPr>
          <w:instrText xml:space="preserve"> PAGEREF _Toc189559048 \h </w:instrText>
        </w:r>
        <w:r w:rsidR="005C1E9E">
          <w:rPr>
            <w:webHidden/>
          </w:rPr>
        </w:r>
        <w:r w:rsidR="005C1E9E">
          <w:rPr>
            <w:webHidden/>
          </w:rPr>
          <w:fldChar w:fldCharType="separate"/>
        </w:r>
        <w:r w:rsidR="00D276C7">
          <w:rPr>
            <w:webHidden/>
          </w:rPr>
          <w:t>35</w:t>
        </w:r>
        <w:r w:rsidR="005C1E9E">
          <w:rPr>
            <w:webHidden/>
          </w:rPr>
          <w:fldChar w:fldCharType="end"/>
        </w:r>
      </w:hyperlink>
    </w:p>
    <w:p w14:paraId="7B6FCA21" w14:textId="50AB042B" w:rsidR="005C1E9E" w:rsidRDefault="002F21D7">
      <w:pPr>
        <w:pStyle w:val="TOC1"/>
        <w:rPr>
          <w:rFonts w:eastAsiaTheme="minorEastAsia"/>
          <w:b w:val="0"/>
          <w:color w:val="auto"/>
          <w:sz w:val="24"/>
          <w:szCs w:val="24"/>
        </w:rPr>
      </w:pPr>
      <w:hyperlink w:anchor="_Toc189559049" w:history="1">
        <w:r w:rsidR="005C1E9E" w:rsidRPr="00695D27">
          <w:rPr>
            <w:rStyle w:val="Hyperlink"/>
          </w:rPr>
          <w:t>Chapter 5: The broader data and reporting ecosystem</w:t>
        </w:r>
        <w:r w:rsidR="005C1E9E">
          <w:rPr>
            <w:webHidden/>
          </w:rPr>
          <w:tab/>
        </w:r>
        <w:r w:rsidR="005C1E9E">
          <w:rPr>
            <w:webHidden/>
          </w:rPr>
          <w:fldChar w:fldCharType="begin"/>
        </w:r>
        <w:r w:rsidR="005C1E9E">
          <w:rPr>
            <w:webHidden/>
          </w:rPr>
          <w:instrText xml:space="preserve"> PAGEREF _Toc189559049 \h </w:instrText>
        </w:r>
        <w:r w:rsidR="005C1E9E">
          <w:rPr>
            <w:webHidden/>
          </w:rPr>
        </w:r>
        <w:r w:rsidR="005C1E9E">
          <w:rPr>
            <w:webHidden/>
          </w:rPr>
          <w:fldChar w:fldCharType="separate"/>
        </w:r>
        <w:r w:rsidR="00D276C7">
          <w:rPr>
            <w:webHidden/>
          </w:rPr>
          <w:t>49</w:t>
        </w:r>
        <w:r w:rsidR="005C1E9E">
          <w:rPr>
            <w:webHidden/>
          </w:rPr>
          <w:fldChar w:fldCharType="end"/>
        </w:r>
      </w:hyperlink>
    </w:p>
    <w:p w14:paraId="0AAA3C71" w14:textId="62EFDE5D" w:rsidR="005C1E9E" w:rsidRDefault="002F21D7">
      <w:pPr>
        <w:pStyle w:val="TOC1"/>
        <w:rPr>
          <w:rFonts w:eastAsiaTheme="minorEastAsia"/>
          <w:b w:val="0"/>
          <w:color w:val="auto"/>
          <w:sz w:val="24"/>
          <w:szCs w:val="24"/>
        </w:rPr>
      </w:pPr>
      <w:hyperlink w:anchor="_Toc189559050" w:history="1">
        <w:r w:rsidR="005C1E9E" w:rsidRPr="00695D27">
          <w:rPr>
            <w:rStyle w:val="Hyperlink"/>
          </w:rPr>
          <w:t>Appendix 1: Review terms of reference</w:t>
        </w:r>
        <w:r w:rsidR="005C1E9E">
          <w:rPr>
            <w:webHidden/>
          </w:rPr>
          <w:tab/>
        </w:r>
        <w:r w:rsidR="005C1E9E">
          <w:rPr>
            <w:webHidden/>
          </w:rPr>
          <w:fldChar w:fldCharType="begin"/>
        </w:r>
        <w:r w:rsidR="005C1E9E">
          <w:rPr>
            <w:webHidden/>
          </w:rPr>
          <w:instrText xml:space="preserve"> PAGEREF _Toc189559050 \h </w:instrText>
        </w:r>
        <w:r w:rsidR="005C1E9E">
          <w:rPr>
            <w:webHidden/>
          </w:rPr>
        </w:r>
        <w:r w:rsidR="005C1E9E">
          <w:rPr>
            <w:webHidden/>
          </w:rPr>
          <w:fldChar w:fldCharType="separate"/>
        </w:r>
        <w:r w:rsidR="00D276C7">
          <w:rPr>
            <w:webHidden/>
          </w:rPr>
          <w:t>56</w:t>
        </w:r>
        <w:r w:rsidR="005C1E9E">
          <w:rPr>
            <w:webHidden/>
          </w:rPr>
          <w:fldChar w:fldCharType="end"/>
        </w:r>
      </w:hyperlink>
    </w:p>
    <w:p w14:paraId="3FDD769E" w14:textId="58EAB104" w:rsidR="005C1E9E" w:rsidRDefault="002F21D7">
      <w:pPr>
        <w:pStyle w:val="TOC1"/>
        <w:rPr>
          <w:rFonts w:eastAsiaTheme="minorEastAsia"/>
          <w:b w:val="0"/>
          <w:color w:val="auto"/>
          <w:sz w:val="24"/>
          <w:szCs w:val="24"/>
        </w:rPr>
      </w:pPr>
      <w:hyperlink w:anchor="_Toc189559051" w:history="1">
        <w:r w:rsidR="005C1E9E" w:rsidRPr="00695D27">
          <w:rPr>
            <w:rStyle w:val="Hyperlink"/>
          </w:rPr>
          <w:t>Appendix 2: Data analysis methodology</w:t>
        </w:r>
        <w:r w:rsidR="005C1E9E">
          <w:rPr>
            <w:webHidden/>
          </w:rPr>
          <w:tab/>
        </w:r>
        <w:r w:rsidR="005C1E9E">
          <w:rPr>
            <w:webHidden/>
          </w:rPr>
          <w:fldChar w:fldCharType="begin"/>
        </w:r>
        <w:r w:rsidR="005C1E9E">
          <w:rPr>
            <w:webHidden/>
          </w:rPr>
          <w:instrText xml:space="preserve"> PAGEREF _Toc189559051 \h </w:instrText>
        </w:r>
        <w:r w:rsidR="005C1E9E">
          <w:rPr>
            <w:webHidden/>
          </w:rPr>
        </w:r>
        <w:r w:rsidR="005C1E9E">
          <w:rPr>
            <w:webHidden/>
          </w:rPr>
          <w:fldChar w:fldCharType="separate"/>
        </w:r>
        <w:r w:rsidR="00D276C7">
          <w:rPr>
            <w:webHidden/>
          </w:rPr>
          <w:t>57</w:t>
        </w:r>
        <w:r w:rsidR="005C1E9E">
          <w:rPr>
            <w:webHidden/>
          </w:rPr>
          <w:fldChar w:fldCharType="end"/>
        </w:r>
      </w:hyperlink>
    </w:p>
    <w:p w14:paraId="2E1C74C0" w14:textId="11C55182" w:rsidR="005C1E9E" w:rsidRDefault="002F21D7">
      <w:pPr>
        <w:pStyle w:val="TOC1"/>
        <w:rPr>
          <w:rFonts w:eastAsiaTheme="minorEastAsia"/>
          <w:b w:val="0"/>
          <w:color w:val="auto"/>
          <w:sz w:val="24"/>
          <w:szCs w:val="24"/>
        </w:rPr>
      </w:pPr>
      <w:hyperlink w:anchor="_Toc189559052" w:history="1">
        <w:r w:rsidR="005C1E9E" w:rsidRPr="00695D27">
          <w:rPr>
            <w:rStyle w:val="Hyperlink"/>
          </w:rPr>
          <w:t>Appendix 3: Consultation process</w:t>
        </w:r>
        <w:r w:rsidR="005C1E9E">
          <w:rPr>
            <w:webHidden/>
          </w:rPr>
          <w:tab/>
        </w:r>
        <w:r w:rsidR="005C1E9E">
          <w:rPr>
            <w:webHidden/>
          </w:rPr>
          <w:fldChar w:fldCharType="begin"/>
        </w:r>
        <w:r w:rsidR="005C1E9E">
          <w:rPr>
            <w:webHidden/>
          </w:rPr>
          <w:instrText xml:space="preserve"> PAGEREF _Toc189559052 \h </w:instrText>
        </w:r>
        <w:r w:rsidR="005C1E9E">
          <w:rPr>
            <w:webHidden/>
          </w:rPr>
        </w:r>
        <w:r w:rsidR="005C1E9E">
          <w:rPr>
            <w:webHidden/>
          </w:rPr>
          <w:fldChar w:fldCharType="separate"/>
        </w:r>
        <w:r w:rsidR="00D276C7">
          <w:rPr>
            <w:webHidden/>
          </w:rPr>
          <w:t>68</w:t>
        </w:r>
        <w:r w:rsidR="005C1E9E">
          <w:rPr>
            <w:webHidden/>
          </w:rPr>
          <w:fldChar w:fldCharType="end"/>
        </w:r>
      </w:hyperlink>
    </w:p>
    <w:p w14:paraId="14B7AC11" w14:textId="4D2F5102" w:rsidR="005C1E9E" w:rsidRDefault="002F21D7">
      <w:pPr>
        <w:pStyle w:val="TOC1"/>
        <w:rPr>
          <w:rFonts w:eastAsiaTheme="minorEastAsia"/>
          <w:b w:val="0"/>
          <w:color w:val="auto"/>
          <w:sz w:val="24"/>
          <w:szCs w:val="24"/>
        </w:rPr>
      </w:pPr>
      <w:hyperlink w:anchor="_Toc189559053" w:history="1">
        <w:r w:rsidR="005C1E9E" w:rsidRPr="00695D27">
          <w:rPr>
            <w:rStyle w:val="Hyperlink"/>
          </w:rPr>
          <w:t>Appendix 4: Stakeholder suggestions to strengthen performance indicators</w:t>
        </w:r>
        <w:r w:rsidR="005C1E9E">
          <w:rPr>
            <w:webHidden/>
          </w:rPr>
          <w:tab/>
        </w:r>
        <w:r w:rsidR="005C1E9E">
          <w:rPr>
            <w:webHidden/>
          </w:rPr>
          <w:fldChar w:fldCharType="begin"/>
        </w:r>
        <w:r w:rsidR="005C1E9E">
          <w:rPr>
            <w:webHidden/>
          </w:rPr>
          <w:instrText xml:space="preserve"> PAGEREF _Toc189559053 \h </w:instrText>
        </w:r>
        <w:r w:rsidR="005C1E9E">
          <w:rPr>
            <w:webHidden/>
          </w:rPr>
        </w:r>
        <w:r w:rsidR="005C1E9E">
          <w:rPr>
            <w:webHidden/>
          </w:rPr>
          <w:fldChar w:fldCharType="separate"/>
        </w:r>
        <w:r w:rsidR="00D276C7">
          <w:rPr>
            <w:webHidden/>
          </w:rPr>
          <w:t>70</w:t>
        </w:r>
        <w:r w:rsidR="005C1E9E">
          <w:rPr>
            <w:webHidden/>
          </w:rPr>
          <w:fldChar w:fldCharType="end"/>
        </w:r>
      </w:hyperlink>
    </w:p>
    <w:p w14:paraId="6550B222" w14:textId="6EAFAE86" w:rsidR="005C1E9E" w:rsidRDefault="002F21D7">
      <w:pPr>
        <w:pStyle w:val="TOC1"/>
        <w:rPr>
          <w:rFonts w:eastAsiaTheme="minorEastAsia"/>
          <w:b w:val="0"/>
          <w:color w:val="auto"/>
          <w:sz w:val="24"/>
          <w:szCs w:val="24"/>
        </w:rPr>
      </w:pPr>
      <w:hyperlink w:anchor="_Toc189559054" w:history="1">
        <w:r w:rsidR="005C1E9E" w:rsidRPr="00695D27">
          <w:rPr>
            <w:rStyle w:val="Hyperlink"/>
          </w:rPr>
          <w:t>Appendix 5: References</w:t>
        </w:r>
        <w:r w:rsidR="005C1E9E">
          <w:rPr>
            <w:webHidden/>
          </w:rPr>
          <w:tab/>
        </w:r>
        <w:r w:rsidR="005C1E9E">
          <w:rPr>
            <w:webHidden/>
          </w:rPr>
          <w:fldChar w:fldCharType="begin"/>
        </w:r>
        <w:r w:rsidR="005C1E9E">
          <w:rPr>
            <w:webHidden/>
          </w:rPr>
          <w:instrText xml:space="preserve"> PAGEREF _Toc189559054 \h </w:instrText>
        </w:r>
        <w:r w:rsidR="005C1E9E">
          <w:rPr>
            <w:webHidden/>
          </w:rPr>
        </w:r>
        <w:r w:rsidR="005C1E9E">
          <w:rPr>
            <w:webHidden/>
          </w:rPr>
          <w:fldChar w:fldCharType="separate"/>
        </w:r>
        <w:r w:rsidR="00D276C7">
          <w:rPr>
            <w:webHidden/>
          </w:rPr>
          <w:t>71</w:t>
        </w:r>
        <w:r w:rsidR="005C1E9E">
          <w:rPr>
            <w:webHidden/>
          </w:rPr>
          <w:fldChar w:fldCharType="end"/>
        </w:r>
      </w:hyperlink>
    </w:p>
    <w:p w14:paraId="7CDCC41D" w14:textId="40E1199A" w:rsidR="00B775EE" w:rsidRDefault="00DD3948" w:rsidP="000560C7">
      <w:r>
        <w:rPr>
          <w:rFonts w:asciiTheme="majorHAnsi" w:hAnsiTheme="majorHAnsi" w:cstheme="majorHAnsi"/>
          <w:b/>
          <w:bCs/>
          <w:noProof/>
          <w:color w:val="004A7F"/>
          <w:kern w:val="32"/>
          <w:sz w:val="44"/>
          <w:szCs w:val="44"/>
        </w:rPr>
        <w:fldChar w:fldCharType="end"/>
      </w:r>
      <w:bookmarkStart w:id="4" w:name="_Toc432067103"/>
      <w:bookmarkStart w:id="5" w:name="_Toc452635030"/>
      <w:bookmarkEnd w:id="1"/>
      <w:bookmarkEnd w:id="2"/>
      <w:bookmarkEnd w:id="3"/>
    </w:p>
    <w:p w14:paraId="423A46E4" w14:textId="0B2C6AB8" w:rsidR="00B775EE" w:rsidRPr="00B775EE" w:rsidRDefault="00B775EE" w:rsidP="0056582C">
      <w:pPr>
        <w:pStyle w:val="SingleParagraph"/>
        <w:ind w:right="-2"/>
        <w:rPr>
          <w:b/>
          <w:bCs/>
        </w:rPr>
        <w:sectPr w:rsidR="00B775EE" w:rsidRPr="00B775EE" w:rsidSect="00045EA1">
          <w:headerReference w:type="even" r:id="rId16"/>
          <w:footerReference w:type="even" r:id="rId17"/>
          <w:footerReference w:type="first" r:id="rId18"/>
          <w:pgSz w:w="11906" w:h="16838" w:code="9"/>
          <w:pgMar w:top="1843" w:right="1418" w:bottom="1418" w:left="1418" w:header="709" w:footer="709" w:gutter="0"/>
          <w:pgNumType w:fmt="lowerRoman" w:start="3"/>
          <w:cols w:space="708"/>
          <w:titlePg/>
          <w:docGrid w:linePitch="360"/>
        </w:sectPr>
      </w:pPr>
    </w:p>
    <w:p w14:paraId="4E485873" w14:textId="7385468F" w:rsidR="001521DC" w:rsidRDefault="001521DC" w:rsidP="001521DC">
      <w:pPr>
        <w:pStyle w:val="Heading1"/>
      </w:pPr>
      <w:bookmarkStart w:id="6" w:name="_Toc189559043"/>
      <w:bookmarkEnd w:id="4"/>
      <w:bookmarkEnd w:id="5"/>
      <w:r>
        <w:lastRenderedPageBreak/>
        <w:t>Executive summary</w:t>
      </w:r>
      <w:bookmarkEnd w:id="6"/>
    </w:p>
    <w:p w14:paraId="600D3029" w14:textId="75E33B14" w:rsidR="00A475C1" w:rsidRPr="00A475C1" w:rsidRDefault="00A475C1" w:rsidP="00662B24">
      <w:r w:rsidRPr="00A475C1">
        <w:t>In 2023, National Cabinet asked the Council on Federal Financial Relations (CFFR) to review the Report on Government Services (the RoGS) and the Performance Reporting Dashboard (the Dashboard) to identify opportunities to improve these performance reporting arrangements</w:t>
      </w:r>
      <w:r w:rsidR="00F42980">
        <w:t>. Any changes should</w:t>
      </w:r>
      <w:r w:rsidRPr="00A475C1">
        <w:t xml:space="preserve"> help drive reform and lift productivity</w:t>
      </w:r>
      <w:r w:rsidR="00295736">
        <w:t xml:space="preserve"> (see </w:t>
      </w:r>
      <w:r w:rsidR="00D276C7" w:rsidRPr="00D276C7">
        <w:rPr>
          <w:rStyle w:val="Hyperlink"/>
          <w:i/>
          <w:iCs/>
        </w:rPr>
        <w:t>Appendix 1: Review terms of reference</w:t>
      </w:r>
      <w:r w:rsidR="00120ED7">
        <w:t>)</w:t>
      </w:r>
      <w:r w:rsidRPr="00A475C1">
        <w:t xml:space="preserve">. </w:t>
      </w:r>
    </w:p>
    <w:p w14:paraId="74FD7E8A" w14:textId="14E14D64" w:rsidR="00A475C1" w:rsidRPr="00A475C1" w:rsidRDefault="00A475C1" w:rsidP="00662B24">
      <w:r w:rsidRPr="00A475C1">
        <w:t xml:space="preserve">The RoGS and the Dashboard </w:t>
      </w:r>
      <w:r w:rsidR="00AC6050" w:rsidRPr="00AC6050">
        <w:t>show how governments are doing in delivering their services</w:t>
      </w:r>
      <w:r w:rsidR="00E33839">
        <w:t>. They</w:t>
      </w:r>
      <w:r w:rsidR="005A1A62">
        <w:t xml:space="preserve"> </w:t>
      </w:r>
      <w:r w:rsidR="00AC6050">
        <w:t>seek</w:t>
      </w:r>
      <w:r w:rsidR="001A3ACA">
        <w:t xml:space="preserve"> to</w:t>
      </w:r>
      <w:r w:rsidRPr="00A475C1">
        <w:t xml:space="preserve"> help </w:t>
      </w:r>
      <w:r w:rsidR="0002424A">
        <w:t xml:space="preserve">governments </w:t>
      </w:r>
      <w:r w:rsidRPr="00A475C1">
        <w:t>improve service</w:t>
      </w:r>
      <w:r w:rsidR="002474B5">
        <w:t>s</w:t>
      </w:r>
      <w:r w:rsidRPr="00A475C1">
        <w:t xml:space="preserve"> and outcomes for Australians.</w:t>
      </w:r>
    </w:p>
    <w:p w14:paraId="3BEC78AE" w14:textId="37DD534B" w:rsidR="00A475C1" w:rsidRPr="00A475C1" w:rsidRDefault="001C4E56" w:rsidP="00662B24">
      <w:r>
        <w:t>Each year t</w:t>
      </w:r>
      <w:r w:rsidR="00A475C1" w:rsidRPr="00A475C1">
        <w:t>he RoGS provides information on the equity, efficiency and effectiveness of government services. The 2024 RoGS reported against 185 output and 51 outcome indicators across education, justice, emergency management, health, community services, and housing and homelessness services delivered in Australia.</w:t>
      </w:r>
    </w:p>
    <w:p w14:paraId="79DE917C" w14:textId="13A9A406" w:rsidR="00A475C1" w:rsidRPr="00A475C1" w:rsidRDefault="00A475C1" w:rsidP="00662B24">
      <w:r w:rsidRPr="00A475C1">
        <w:t>The Review found that the RoGS is a valued, trusted and consistently used source of information on government services</w:t>
      </w:r>
      <w:r w:rsidR="003B1926">
        <w:t>. T</w:t>
      </w:r>
      <w:r w:rsidRPr="00A475C1">
        <w:t xml:space="preserve">here is widespread support for its continued production. Governments use </w:t>
      </w:r>
      <w:r w:rsidR="009951E6">
        <w:t>the RoGS</w:t>
      </w:r>
      <w:r w:rsidRPr="00A475C1">
        <w:t xml:space="preserve"> to evaluate and compare their performance relative to other jurisdictions and over time</w:t>
      </w:r>
      <w:r w:rsidR="009951E6">
        <w:t>.</w:t>
      </w:r>
      <w:r w:rsidRPr="00A475C1">
        <w:t xml:space="preserve"> </w:t>
      </w:r>
      <w:r w:rsidR="0091779A">
        <w:t>N</w:t>
      </w:r>
      <w:r w:rsidRPr="00A475C1">
        <w:t>on</w:t>
      </w:r>
      <w:r w:rsidR="00912AB5">
        <w:noBreakHyphen/>
      </w:r>
      <w:r w:rsidRPr="00A475C1">
        <w:t xml:space="preserve">government and community groups </w:t>
      </w:r>
      <w:r w:rsidR="003D7259">
        <w:t xml:space="preserve">also </w:t>
      </w:r>
      <w:r w:rsidRPr="00A475C1">
        <w:t>use it to advocate for change</w:t>
      </w:r>
      <w:r w:rsidR="00A16F5B">
        <w:t>,</w:t>
      </w:r>
      <w:r w:rsidRPr="00A475C1">
        <w:t xml:space="preserve"> and highlight areas where services are not meeting community needs or expectations. The ongoing effectiveness of the RoGS relies on active engagement from the Commonwealth, State and Territory governments to provide data and implement improvements. </w:t>
      </w:r>
    </w:p>
    <w:p w14:paraId="6A803FED" w14:textId="38C98D07" w:rsidR="00A475C1" w:rsidRPr="00A475C1" w:rsidRDefault="00A475C1" w:rsidP="00662B24">
      <w:r w:rsidRPr="00A475C1">
        <w:t xml:space="preserve">The </w:t>
      </w:r>
      <w:r w:rsidR="00F01653">
        <w:t xml:space="preserve">Steering Committee which produces the </w:t>
      </w:r>
      <w:r w:rsidRPr="00A475C1">
        <w:t xml:space="preserve">RoGS </w:t>
      </w:r>
      <w:r w:rsidR="00127A30">
        <w:t>includes senior officials</w:t>
      </w:r>
      <w:r w:rsidR="00DE4CE4">
        <w:t xml:space="preserve"> from all jurisdictions</w:t>
      </w:r>
      <w:r w:rsidR="00AB7494">
        <w:t xml:space="preserve"> and is supported by </w:t>
      </w:r>
      <w:r w:rsidR="002500B6">
        <w:t>a</w:t>
      </w:r>
      <w:r w:rsidR="00AB7494" w:rsidRPr="00A475C1">
        <w:t xml:space="preserve"> Secretariat</w:t>
      </w:r>
      <w:r w:rsidR="00AB7494">
        <w:t xml:space="preserve"> in the Productivity Commission (PC)</w:t>
      </w:r>
      <w:r w:rsidR="00DE4CE4">
        <w:t xml:space="preserve">. It </w:t>
      </w:r>
      <w:r w:rsidRPr="00A475C1">
        <w:t xml:space="preserve">is </w:t>
      </w:r>
      <w:r w:rsidR="00827A6E">
        <w:t>a valued group for engag</w:t>
      </w:r>
      <w:r w:rsidR="00FD53E5">
        <w:t xml:space="preserve">ing </w:t>
      </w:r>
      <w:r w:rsidR="00827A6E">
        <w:t xml:space="preserve">and </w:t>
      </w:r>
      <w:r w:rsidR="00FD53E5">
        <w:t xml:space="preserve">building </w:t>
      </w:r>
      <w:r w:rsidR="00827A6E">
        <w:t xml:space="preserve">consensus across governments. </w:t>
      </w:r>
      <w:r w:rsidR="00282267">
        <w:t>T</w:t>
      </w:r>
      <w:r w:rsidRPr="00A475C1">
        <w:t xml:space="preserve">he Steering Committee </w:t>
      </w:r>
      <w:r w:rsidR="00DC33BE" w:rsidRPr="00A475C1">
        <w:t>h</w:t>
      </w:r>
      <w:r w:rsidR="00DC33BE">
        <w:t>as</w:t>
      </w:r>
      <w:r w:rsidR="00DC33BE" w:rsidRPr="00A475C1">
        <w:t xml:space="preserve"> </w:t>
      </w:r>
      <w:r w:rsidRPr="00A475C1">
        <w:t xml:space="preserve">more than 30 years of experience in measuring </w:t>
      </w:r>
      <w:r w:rsidR="00282267">
        <w:t xml:space="preserve">how </w:t>
      </w:r>
      <w:r w:rsidRPr="00A475C1">
        <w:t>government</w:t>
      </w:r>
      <w:r w:rsidR="00282267">
        <w:t>s are performing</w:t>
      </w:r>
      <w:r w:rsidRPr="00A475C1">
        <w:t xml:space="preserve">. </w:t>
      </w:r>
      <w:r w:rsidR="00061E85">
        <w:t>T</w:t>
      </w:r>
      <w:r w:rsidRPr="00A475C1">
        <w:t>his expertise</w:t>
      </w:r>
      <w:r w:rsidR="00CC178F">
        <w:t xml:space="preserve"> has been drawn on</w:t>
      </w:r>
      <w:r w:rsidRPr="00A475C1">
        <w:t xml:space="preserve">, including </w:t>
      </w:r>
      <w:r w:rsidR="000E64AC">
        <w:t>in</w:t>
      </w:r>
      <w:r w:rsidR="002A76A0">
        <w:t xml:space="preserve"> develop</w:t>
      </w:r>
      <w:r w:rsidR="000E64AC">
        <w:t>ing</w:t>
      </w:r>
      <w:r w:rsidRPr="00A475C1">
        <w:t xml:space="preserve"> National Agreement</w:t>
      </w:r>
      <w:r w:rsidR="0060649C">
        <w:t>s</w:t>
      </w:r>
      <w:r w:rsidR="000E64AC">
        <w:t xml:space="preserve">, but </w:t>
      </w:r>
      <w:r w:rsidR="005A5C34">
        <w:t xml:space="preserve">its </w:t>
      </w:r>
      <w:r w:rsidR="0060649C">
        <w:t>use</w:t>
      </w:r>
      <w:r w:rsidR="000E64AC">
        <w:t xml:space="preserve"> has not been systematic</w:t>
      </w:r>
      <w:r w:rsidR="004B0DFC">
        <w:t>.</w:t>
      </w:r>
    </w:p>
    <w:p w14:paraId="552146EE" w14:textId="75675A16" w:rsidR="00A475C1" w:rsidRPr="00A475C1" w:rsidRDefault="00A475C1" w:rsidP="00662B24">
      <w:r w:rsidRPr="00A475C1">
        <w:t>The Steering Committee has significantly enhance</w:t>
      </w:r>
      <w:r w:rsidR="0096243D">
        <w:t xml:space="preserve">d </w:t>
      </w:r>
      <w:r w:rsidRPr="00A475C1">
        <w:t xml:space="preserve">the RoGS since it was introduced. </w:t>
      </w:r>
      <w:r w:rsidR="0096243D">
        <w:t>It has</w:t>
      </w:r>
      <w:r w:rsidR="0096243D" w:rsidRPr="00A475C1">
        <w:t xml:space="preserve"> </w:t>
      </w:r>
      <w:r w:rsidRPr="00A475C1">
        <w:t>improve</w:t>
      </w:r>
      <w:r w:rsidR="0096243D">
        <w:t>d</w:t>
      </w:r>
      <w:r w:rsidRPr="00A475C1">
        <w:t xml:space="preserve"> both the quality of performance measurement and the accessibility of data. However, the continuous improvement process can be slow</w:t>
      </w:r>
      <w:r w:rsidR="003F6C09">
        <w:t>. I</w:t>
      </w:r>
      <w:r w:rsidRPr="00A475C1">
        <w:t>t depend</w:t>
      </w:r>
      <w:r w:rsidR="003F6C09">
        <w:t>s on reaching</w:t>
      </w:r>
      <w:r w:rsidR="003008C7">
        <w:t xml:space="preserve"> </w:t>
      </w:r>
      <w:r w:rsidR="000E64AC">
        <w:t>consensus</w:t>
      </w:r>
      <w:r w:rsidR="0098009F">
        <w:t xml:space="preserve"> </w:t>
      </w:r>
      <w:r w:rsidRPr="00A475C1">
        <w:t xml:space="preserve">and </w:t>
      </w:r>
      <w:r w:rsidR="00547546">
        <w:t xml:space="preserve">action by </w:t>
      </w:r>
      <w:r w:rsidR="0098009F">
        <w:t>relevant</w:t>
      </w:r>
      <w:r w:rsidRPr="00A475C1">
        <w:t xml:space="preserve"> jurisdictions. </w:t>
      </w:r>
      <w:r w:rsidR="003008C7">
        <w:t>Some indicators are not</w:t>
      </w:r>
      <w:r w:rsidR="009502C8">
        <w:t xml:space="preserve"> </w:t>
      </w:r>
      <w:r w:rsidR="00210B5E">
        <w:t xml:space="preserve">complete and </w:t>
      </w:r>
      <w:r w:rsidR="009502C8">
        <w:t>comparab</w:t>
      </w:r>
      <w:r w:rsidR="00D17DC5">
        <w:t>le, which is a</w:t>
      </w:r>
      <w:r w:rsidR="009502C8">
        <w:t xml:space="preserve"> concern.</w:t>
      </w:r>
      <w:r w:rsidR="00070EF4">
        <w:t xml:space="preserve"> </w:t>
      </w:r>
      <w:r w:rsidR="00A129DB">
        <w:t>Also, t</w:t>
      </w:r>
      <w:r w:rsidRPr="00A475C1">
        <w:t xml:space="preserve">he </w:t>
      </w:r>
      <w:r w:rsidR="00A129DB">
        <w:t xml:space="preserve">needs and </w:t>
      </w:r>
      <w:r w:rsidRPr="00A475C1">
        <w:t>perspectives of the community, including First Nations people</w:t>
      </w:r>
      <w:r w:rsidR="008D0E8F">
        <w:t xml:space="preserve">, are not </w:t>
      </w:r>
      <w:r w:rsidR="00874A38">
        <w:t xml:space="preserve">directly </w:t>
      </w:r>
      <w:r w:rsidR="008D0E8F">
        <w:t>included in</w:t>
      </w:r>
      <w:r w:rsidR="00C43557">
        <w:t xml:space="preserve"> the</w:t>
      </w:r>
      <w:r w:rsidR="00874A38">
        <w:t xml:space="preserve"> </w:t>
      </w:r>
      <w:r w:rsidR="00874A38" w:rsidRPr="00A475C1">
        <w:t>governance arrangements and production process of the RoGS</w:t>
      </w:r>
      <w:r w:rsidR="00C43557">
        <w:t>.</w:t>
      </w:r>
    </w:p>
    <w:p w14:paraId="78AAFE83" w14:textId="4EC92F4D" w:rsidR="00A475C1" w:rsidRPr="00A475C1" w:rsidRDefault="00A475C1" w:rsidP="00662B24">
      <w:r w:rsidRPr="00A475C1">
        <w:t xml:space="preserve">A central objective of the RoGS is to facilitate improvements in service delivery, efficiency and performance. While officials use it in developing policy, allocating resources, and identifying where services could be improved, the Review found it difficult to identify where the RoGS had been a key input to reform. The RoGS includes limited </w:t>
      </w:r>
      <w:r w:rsidR="00F43E12">
        <w:t xml:space="preserve">quantitative and </w:t>
      </w:r>
      <w:r w:rsidRPr="00A475C1">
        <w:t xml:space="preserve">qualitative material and </w:t>
      </w:r>
      <w:r w:rsidR="00F43E12">
        <w:t>analysis. It</w:t>
      </w:r>
      <w:r w:rsidRPr="00A475C1">
        <w:t xml:space="preserve"> does not discuss</w:t>
      </w:r>
      <w:r w:rsidR="00C4394A">
        <w:t xml:space="preserve"> </w:t>
      </w:r>
      <w:r w:rsidRPr="00A475C1">
        <w:t>which programs, policies and strategies are working</w:t>
      </w:r>
      <w:r w:rsidR="00F70BDD">
        <w:t>, or</w:t>
      </w:r>
      <w:r w:rsidR="00007DBA">
        <w:t xml:space="preserve"> </w:t>
      </w:r>
      <w:r w:rsidRPr="00A475C1">
        <w:t>highlight</w:t>
      </w:r>
      <w:r w:rsidR="00007DBA">
        <w:t xml:space="preserve"> areas of</w:t>
      </w:r>
      <w:r w:rsidR="00B477D5">
        <w:t xml:space="preserve"> service</w:t>
      </w:r>
      <w:r w:rsidRPr="00A475C1">
        <w:t xml:space="preserve"> improvement and innovation. </w:t>
      </w:r>
    </w:p>
    <w:p w14:paraId="52F2D090" w14:textId="7CF6A309" w:rsidR="00A475C1" w:rsidRPr="00A475C1" w:rsidRDefault="00837413" w:rsidP="00662B24">
      <w:r>
        <w:t>S</w:t>
      </w:r>
      <w:r w:rsidR="00A475C1" w:rsidRPr="00A475C1">
        <w:t xml:space="preserve">takeholders </w:t>
      </w:r>
      <w:r w:rsidR="00DE2D40">
        <w:t>find th</w:t>
      </w:r>
      <w:r w:rsidR="007773D0">
        <w:t>e</w:t>
      </w:r>
      <w:r w:rsidR="00A475C1" w:rsidRPr="00A475C1">
        <w:t xml:space="preserve"> depth and breadth of the RoGS to be a strength</w:t>
      </w:r>
      <w:r w:rsidR="00FC5A73">
        <w:t xml:space="preserve">. However, they </w:t>
      </w:r>
      <w:r w:rsidR="00FA5961">
        <w:t>find that</w:t>
      </w:r>
      <w:r w:rsidR="00A475C1" w:rsidRPr="00A475C1">
        <w:t xml:space="preserve"> the number </w:t>
      </w:r>
      <w:r w:rsidR="00F36C14">
        <w:t xml:space="preserve">and presentation </w:t>
      </w:r>
      <w:r w:rsidR="00A475C1" w:rsidRPr="00A475C1">
        <w:t xml:space="preserve">of indicators can make it difficult for users to navigate, interact with and analyse the data. For example, First Nations data is spread across service areas rather than being presented together. </w:t>
      </w:r>
      <w:r w:rsidR="0081049D">
        <w:t>N</w:t>
      </w:r>
      <w:r w:rsidR="00A475C1" w:rsidRPr="00A475C1">
        <w:t>on</w:t>
      </w:r>
      <w:r w:rsidR="00B65D32">
        <w:t>-</w:t>
      </w:r>
      <w:r w:rsidR="00A475C1" w:rsidRPr="00A475C1">
        <w:t xml:space="preserve">government users </w:t>
      </w:r>
      <w:r w:rsidR="007257CA">
        <w:t xml:space="preserve">also </w:t>
      </w:r>
      <w:r w:rsidR="00A475C1" w:rsidRPr="00A475C1">
        <w:t xml:space="preserve">reported that the RoGS does not always </w:t>
      </w:r>
      <w:r w:rsidR="00E97EFB">
        <w:t xml:space="preserve">include </w:t>
      </w:r>
      <w:r w:rsidR="00E97EFB">
        <w:lastRenderedPageBreak/>
        <w:t xml:space="preserve">timely information, </w:t>
      </w:r>
      <w:r w:rsidR="005A1818">
        <w:t xml:space="preserve">relevant </w:t>
      </w:r>
      <w:r w:rsidR="00E97EFB">
        <w:t>outcomes</w:t>
      </w:r>
      <w:r w:rsidR="005A1818">
        <w:t>,</w:t>
      </w:r>
      <w:r w:rsidR="00E97EFB" w:rsidRPr="00A475C1">
        <w:t xml:space="preserve"> </w:t>
      </w:r>
      <w:r w:rsidR="005A1818">
        <w:t xml:space="preserve">and </w:t>
      </w:r>
      <w:r w:rsidR="00A475C1" w:rsidRPr="00A475C1">
        <w:t xml:space="preserve">what they consider to be key measures of government performance. Stakeholders </w:t>
      </w:r>
      <w:r w:rsidR="00107E98">
        <w:t>wanted</w:t>
      </w:r>
      <w:r w:rsidR="00A475C1" w:rsidRPr="00A475C1">
        <w:t xml:space="preserve"> to see </w:t>
      </w:r>
      <w:r w:rsidR="005E5BBE">
        <w:t>more focus on the relationship</w:t>
      </w:r>
      <w:r w:rsidR="00A475C1" w:rsidRPr="00A475C1">
        <w:t xml:space="preserve"> between sectors, better reporting on equity groups and more </w:t>
      </w:r>
      <w:r w:rsidR="00C1200F">
        <w:t xml:space="preserve">quantitative and </w:t>
      </w:r>
      <w:r w:rsidR="00A475C1" w:rsidRPr="00A475C1">
        <w:t xml:space="preserve">qualitative analysis. </w:t>
      </w:r>
    </w:p>
    <w:p w14:paraId="48381095" w14:textId="6523DD94" w:rsidR="00A475C1" w:rsidRPr="00A475C1" w:rsidRDefault="00EA28C5" w:rsidP="00662B24">
      <w:r>
        <w:t>T</w:t>
      </w:r>
      <w:r w:rsidR="00A475C1" w:rsidRPr="00A475C1">
        <w:t>he Dashboard provides a high</w:t>
      </w:r>
      <w:r w:rsidR="00B65D32">
        <w:t>-</w:t>
      </w:r>
      <w:r w:rsidR="00A475C1" w:rsidRPr="00A475C1">
        <w:t xml:space="preserve">level overview of progress on key policy commitments in housing, education, skills, healthcare, </w:t>
      </w:r>
      <w:r w:rsidR="00725614">
        <w:t xml:space="preserve">enhancing quality of life and community participation for people with a </w:t>
      </w:r>
      <w:r w:rsidR="00A475C1" w:rsidRPr="00A475C1">
        <w:t xml:space="preserve">disability, </w:t>
      </w:r>
      <w:r w:rsidR="00725614">
        <w:t>closing the gap in</w:t>
      </w:r>
      <w:r w:rsidR="00A475C1" w:rsidRPr="00A475C1">
        <w:t xml:space="preserve"> Indigenous</w:t>
      </w:r>
      <w:r w:rsidR="00725614">
        <w:t xml:space="preserve"> disadvantage</w:t>
      </w:r>
      <w:r w:rsidR="00A475C1" w:rsidRPr="00A475C1">
        <w:t xml:space="preserve">, infrastructure and legal </w:t>
      </w:r>
      <w:r w:rsidR="00DA6929">
        <w:t xml:space="preserve">assistance </w:t>
      </w:r>
      <w:r w:rsidR="00A475C1" w:rsidRPr="00A475C1">
        <w:t>services. The Dashboard covers 52 indicators, including benchmarks and targets.</w:t>
      </w:r>
    </w:p>
    <w:p w14:paraId="29E11007" w14:textId="420B9191" w:rsidR="00A475C1" w:rsidRPr="00A475C1" w:rsidRDefault="00A475C1" w:rsidP="00662B24">
      <w:r w:rsidRPr="00A475C1">
        <w:t>The Dashboard’s simple interface and presentation style is easy for users to understand but it</w:t>
      </w:r>
      <w:r w:rsidR="00EA28C5">
        <w:t xml:space="preserve"> ha</w:t>
      </w:r>
      <w:r w:rsidR="00895E0E">
        <w:t>s</w:t>
      </w:r>
      <w:r w:rsidR="00EA28C5">
        <w:t xml:space="preserve"> become less relevant over time.</w:t>
      </w:r>
      <w:r w:rsidRPr="00A475C1">
        <w:t xml:space="preserve"> When </w:t>
      </w:r>
      <w:r w:rsidR="00705BAE">
        <w:t xml:space="preserve">it was </w:t>
      </w:r>
      <w:r w:rsidRPr="00A475C1">
        <w:t>first released, the Dashboard measur</w:t>
      </w:r>
      <w:r w:rsidR="00BD5653">
        <w:t>ed</w:t>
      </w:r>
      <w:r w:rsidRPr="00A475C1">
        <w:t xml:space="preserve"> progress against </w:t>
      </w:r>
      <w:r w:rsidR="0007374F">
        <w:t xml:space="preserve">performance benchmarks and targets </w:t>
      </w:r>
      <w:r w:rsidR="00FE260A">
        <w:t xml:space="preserve">in priority areas, as </w:t>
      </w:r>
      <w:r w:rsidR="0007374F">
        <w:t xml:space="preserve">agreed by </w:t>
      </w:r>
      <w:r w:rsidRPr="00A475C1">
        <w:t>the then Council of Australian Governments</w:t>
      </w:r>
      <w:r w:rsidR="00AB7494">
        <w:t xml:space="preserve"> (COAG)</w:t>
      </w:r>
      <w:r w:rsidRPr="00A475C1">
        <w:t>. However, some government priorities and how they are measured have naturally changed</w:t>
      </w:r>
      <w:r w:rsidR="00DD58CB">
        <w:t>. T</w:t>
      </w:r>
      <w:r w:rsidRPr="00A475C1">
        <w:t>he Dashboard has not always kept pace</w:t>
      </w:r>
      <w:r w:rsidR="00DD58CB">
        <w:t xml:space="preserve"> with these changes</w:t>
      </w:r>
      <w:r w:rsidRPr="00A475C1">
        <w:t>. Current government priorities are outlined in the major Commonwealth</w:t>
      </w:r>
      <w:r w:rsidR="00B65D32">
        <w:t>-</w:t>
      </w:r>
      <w:r w:rsidRPr="00A475C1">
        <w:t xml:space="preserve">State funding agreements, including the 5 major National Agreements, the </w:t>
      </w:r>
      <w:r w:rsidRPr="00DC159F">
        <w:rPr>
          <w:i/>
          <w:iCs/>
        </w:rPr>
        <w:t>Land Transport Infrastructure Projects Agreement</w:t>
      </w:r>
      <w:r w:rsidRPr="00A475C1">
        <w:t xml:space="preserve">, and the </w:t>
      </w:r>
      <w:r w:rsidRPr="00DC159F">
        <w:rPr>
          <w:i/>
          <w:iCs/>
        </w:rPr>
        <w:t>National Legal Assistance Partnership</w:t>
      </w:r>
      <w:r w:rsidRPr="00A475C1">
        <w:t xml:space="preserve">. </w:t>
      </w:r>
      <w:r w:rsidR="000D5F00">
        <w:t>U</w:t>
      </w:r>
      <w:r w:rsidRPr="00A475C1">
        <w:t>nlike the RoGS, the Dashboard does not have a clear objective, effective govern</w:t>
      </w:r>
      <w:r w:rsidR="001661F2">
        <w:t>ance</w:t>
      </w:r>
      <w:r w:rsidRPr="00A475C1">
        <w:t xml:space="preserve"> arrangements or </w:t>
      </w:r>
      <w:r w:rsidR="007E30A3">
        <w:t xml:space="preserve">a </w:t>
      </w:r>
      <w:r w:rsidRPr="00A475C1">
        <w:t>program of continuous improvement.</w:t>
      </w:r>
    </w:p>
    <w:p w14:paraId="3A30A599" w14:textId="6B6EA2DD" w:rsidR="00A475C1" w:rsidRPr="00A475C1" w:rsidRDefault="000D5F00" w:rsidP="00662B24">
      <w:r>
        <w:t>T</w:t>
      </w:r>
      <w:r w:rsidR="00A475C1" w:rsidRPr="00A475C1">
        <w:t xml:space="preserve">he RoGS </w:t>
      </w:r>
      <w:r>
        <w:t xml:space="preserve">and </w:t>
      </w:r>
      <w:r w:rsidR="00A475C1" w:rsidRPr="00A475C1">
        <w:t xml:space="preserve">the Dashboard are </w:t>
      </w:r>
      <w:r>
        <w:t xml:space="preserve">not </w:t>
      </w:r>
      <w:r w:rsidR="00A475C1" w:rsidRPr="00A475C1">
        <w:t>formally connected to any key decision</w:t>
      </w:r>
      <w:r w:rsidR="00B65D32">
        <w:t>-</w:t>
      </w:r>
      <w:r w:rsidR="00A475C1" w:rsidRPr="00A475C1">
        <w:t>making bod</w:t>
      </w:r>
      <w:r w:rsidR="00DD58CB">
        <w:t>y</w:t>
      </w:r>
      <w:r w:rsidR="00E42AB8">
        <w:t>. This</w:t>
      </w:r>
      <w:r w:rsidR="00A475C1" w:rsidRPr="00A475C1">
        <w:t xml:space="preserve"> potentially limit</w:t>
      </w:r>
      <w:r w:rsidR="00FE260A">
        <w:t>s</w:t>
      </w:r>
      <w:r w:rsidR="00A475C1" w:rsidRPr="00A475C1">
        <w:t xml:space="preserve"> opportunities for performance reporting to contribute to conversations on cross</w:t>
      </w:r>
      <w:r w:rsidR="00912AB5">
        <w:noBreakHyphen/>
      </w:r>
      <w:r w:rsidR="00A475C1" w:rsidRPr="00A475C1">
        <w:t>jurisdictional reform.</w:t>
      </w:r>
    </w:p>
    <w:p w14:paraId="774DBC3D" w14:textId="74620641" w:rsidR="00A475C1" w:rsidRPr="00A475C1" w:rsidRDefault="00D4607B" w:rsidP="00662B24">
      <w:r>
        <w:t>Broadly</w:t>
      </w:r>
      <w:r w:rsidR="00A475C1" w:rsidRPr="00A475C1">
        <w:t>, the RoGS and the Dashboard operate i</w:t>
      </w:r>
      <w:r w:rsidR="00DA2E31">
        <w:t>n a</w:t>
      </w:r>
      <w:r w:rsidR="00A475C1" w:rsidRPr="00A475C1">
        <w:t xml:space="preserve"> crowded</w:t>
      </w:r>
      <w:r w:rsidR="00DA2E31">
        <w:t xml:space="preserve"> </w:t>
      </w:r>
      <w:r w:rsidR="00DA2E31" w:rsidRPr="00A475C1">
        <w:t>data and performance reporting environment</w:t>
      </w:r>
      <w:r w:rsidR="00A475C1" w:rsidRPr="00A475C1">
        <w:t>. A range of different bodies publish information on Australian government performance across different policy areas</w:t>
      </w:r>
      <w:r w:rsidR="00BA4AA6">
        <w:t>. This information</w:t>
      </w:r>
      <w:r w:rsidR="00842A23">
        <w:t xml:space="preserve"> can overlap</w:t>
      </w:r>
      <w:r w:rsidR="00A475C1" w:rsidRPr="00A475C1">
        <w:t xml:space="preserve"> with the RoGS and the Dashboard</w:t>
      </w:r>
      <w:r w:rsidR="00BA4AA6">
        <w:t xml:space="preserve">, </w:t>
      </w:r>
      <w:r w:rsidR="00A475C1" w:rsidRPr="00A475C1">
        <w:t>confus</w:t>
      </w:r>
      <w:r w:rsidR="00BA4AA6">
        <w:t>ing</w:t>
      </w:r>
      <w:r w:rsidR="00A475C1" w:rsidRPr="00A475C1">
        <w:t xml:space="preserve"> users. </w:t>
      </w:r>
      <w:r w:rsidR="00D97ED2">
        <w:t>N</w:t>
      </w:r>
      <w:r w:rsidR="00FD6EA0">
        <w:t xml:space="preserve">ew technologies </w:t>
      </w:r>
      <w:r w:rsidR="003E6BCC">
        <w:t>c</w:t>
      </w:r>
      <w:r w:rsidR="00B60CAB">
        <w:t>ould</w:t>
      </w:r>
      <w:r w:rsidR="00D97ED2">
        <w:t xml:space="preserve"> provid</w:t>
      </w:r>
      <w:r w:rsidR="00981687">
        <w:t>e</w:t>
      </w:r>
      <w:r w:rsidR="00D97ED2">
        <w:t xml:space="preserve"> opportunities </w:t>
      </w:r>
      <w:r w:rsidR="00E419C9">
        <w:t xml:space="preserve">to </w:t>
      </w:r>
      <w:r w:rsidR="00A475C1" w:rsidRPr="00A475C1">
        <w:t xml:space="preserve">better understand </w:t>
      </w:r>
      <w:r w:rsidR="00791BC1">
        <w:t>people’s</w:t>
      </w:r>
      <w:r w:rsidR="00A475C1" w:rsidRPr="00A475C1">
        <w:t xml:space="preserve"> experience </w:t>
      </w:r>
      <w:r w:rsidR="00E419C9">
        <w:t xml:space="preserve">of services </w:t>
      </w:r>
      <w:r w:rsidR="00A475C1" w:rsidRPr="00A475C1">
        <w:t>and produce actionable insights.</w:t>
      </w:r>
    </w:p>
    <w:p w14:paraId="7C3B724F" w14:textId="0DB62A02" w:rsidR="00A475C1" w:rsidRPr="00A475C1" w:rsidRDefault="00A475C1" w:rsidP="00662B24">
      <w:r w:rsidRPr="00A475C1">
        <w:t>The Review makes 10 practical recommendations to enhance the current performance reporting arrangements. These recommendations</w:t>
      </w:r>
      <w:r w:rsidR="00AF574F">
        <w:t xml:space="preserve"> build </w:t>
      </w:r>
      <w:r w:rsidR="009F0F5C">
        <w:t>on</w:t>
      </w:r>
      <w:r w:rsidR="00AF574F">
        <w:t xml:space="preserve"> </w:t>
      </w:r>
      <w:r w:rsidR="007B4702">
        <w:t xml:space="preserve">the </w:t>
      </w:r>
      <w:r w:rsidR="009F0F5C">
        <w:t>strong foundation of</w:t>
      </w:r>
      <w:r w:rsidR="007B4702">
        <w:t xml:space="preserve"> </w:t>
      </w:r>
      <w:r w:rsidR="009F0F5C">
        <w:t xml:space="preserve">the </w:t>
      </w:r>
      <w:r w:rsidR="007B4702" w:rsidRPr="00A475C1">
        <w:t>RoGS and the Dashboard</w:t>
      </w:r>
      <w:r w:rsidR="007B4702">
        <w:t xml:space="preserve"> and </w:t>
      </w:r>
      <w:r w:rsidRPr="00A475C1">
        <w:t>seek to:</w:t>
      </w:r>
    </w:p>
    <w:p w14:paraId="0F9D2E2C" w14:textId="07B0CE5E" w:rsidR="00A475C1" w:rsidRPr="00A475C1" w:rsidRDefault="00E876B5" w:rsidP="000A3389">
      <w:pPr>
        <w:pStyle w:val="Bullet"/>
        <w:spacing w:line="240" w:lineRule="auto"/>
        <w:ind w:left="357" w:hanging="357"/>
      </w:pPr>
      <w:r>
        <w:t>r</w:t>
      </w:r>
      <w:r w:rsidR="00A475C1" w:rsidRPr="00A475C1">
        <w:t>einvigorate the approach to performance reporting</w:t>
      </w:r>
    </w:p>
    <w:p w14:paraId="1C011000" w14:textId="0B1DB391" w:rsidR="00A475C1" w:rsidRPr="00A475C1" w:rsidRDefault="00E876B5" w:rsidP="000A3389">
      <w:pPr>
        <w:pStyle w:val="Bullet"/>
        <w:spacing w:line="240" w:lineRule="auto"/>
        <w:ind w:left="357" w:hanging="357"/>
      </w:pPr>
      <w:r>
        <w:t>i</w:t>
      </w:r>
      <w:r w:rsidR="00A475C1" w:rsidRPr="00A475C1">
        <w:t>ncrease the usefulness and accessibility of the information</w:t>
      </w:r>
    </w:p>
    <w:p w14:paraId="6FCF8472" w14:textId="2EB10B4D" w:rsidR="00A475C1" w:rsidRPr="00A475C1" w:rsidRDefault="00E876B5" w:rsidP="000A3389">
      <w:pPr>
        <w:pStyle w:val="Bullet"/>
        <w:spacing w:line="240" w:lineRule="auto"/>
        <w:ind w:left="357" w:hanging="357"/>
      </w:pPr>
      <w:r>
        <w:t>e</w:t>
      </w:r>
      <w:r w:rsidR="00A475C1" w:rsidRPr="00A475C1">
        <w:t>nhance connections with the broader data and reporting ecosystem.</w:t>
      </w:r>
    </w:p>
    <w:p w14:paraId="07190F51" w14:textId="36C3427A" w:rsidR="00A475C1" w:rsidRDefault="00A475C1" w:rsidP="00662B24">
      <w:r w:rsidRPr="00A475C1">
        <w:t xml:space="preserve">These recommendations will modernise and strengthen the RoGS and Dashboard, </w:t>
      </w:r>
      <w:r w:rsidR="007F1969" w:rsidRPr="00A475C1">
        <w:t>provid</w:t>
      </w:r>
      <w:r w:rsidR="007F1969">
        <w:t>e</w:t>
      </w:r>
      <w:r w:rsidR="007F1969" w:rsidRPr="00A475C1">
        <w:t xml:space="preserve"> </w:t>
      </w:r>
      <w:r w:rsidRPr="00A475C1">
        <w:t>better information for users</w:t>
      </w:r>
      <w:r w:rsidR="007F1969">
        <w:t>,</w:t>
      </w:r>
      <w:r w:rsidRPr="00A475C1">
        <w:t xml:space="preserve"> and help improve the way government services are delivered. </w:t>
      </w:r>
    </w:p>
    <w:p w14:paraId="06E1626A" w14:textId="66D1CF43" w:rsidR="000F49C5" w:rsidRPr="00A475C1" w:rsidRDefault="00DB7F94" w:rsidP="00662B24">
      <w:r>
        <w:t>T</w:t>
      </w:r>
      <w:r w:rsidR="000F49C5">
        <w:t xml:space="preserve">he </w:t>
      </w:r>
      <w:r w:rsidR="00BC34F5">
        <w:t xml:space="preserve">Review </w:t>
      </w:r>
      <w:r w:rsidR="001E4EF0">
        <w:t xml:space="preserve">recommends </w:t>
      </w:r>
      <w:r w:rsidR="003C550F">
        <w:t xml:space="preserve">a </w:t>
      </w:r>
      <w:r w:rsidR="00F86843">
        <w:t>broad direction</w:t>
      </w:r>
      <w:r w:rsidR="00BC34F5">
        <w:t xml:space="preserve"> and includes </w:t>
      </w:r>
      <w:r w:rsidR="003D63C9">
        <w:t>implementation suggestions</w:t>
      </w:r>
      <w:r w:rsidR="00EC43CA">
        <w:t xml:space="preserve">. It recognises </w:t>
      </w:r>
      <w:r w:rsidR="001A74A8">
        <w:t xml:space="preserve">that </w:t>
      </w:r>
      <w:r w:rsidR="00467FEB">
        <w:t>the</w:t>
      </w:r>
      <w:r w:rsidR="00770C63">
        <w:t xml:space="preserve"> expertise of the</w:t>
      </w:r>
      <w:r w:rsidR="00467FEB">
        <w:t xml:space="preserve"> Steering Committee</w:t>
      </w:r>
      <w:r w:rsidR="00CB1E4A">
        <w:t xml:space="preserve"> </w:t>
      </w:r>
      <w:r w:rsidR="001A74A8">
        <w:t>means they are</w:t>
      </w:r>
      <w:r w:rsidR="0052554A">
        <w:t xml:space="preserve"> likely to be better placed</w:t>
      </w:r>
      <w:r w:rsidR="007F165E">
        <w:t xml:space="preserve"> </w:t>
      </w:r>
      <w:r w:rsidR="00467FEB">
        <w:t xml:space="preserve">to </w:t>
      </w:r>
      <w:r w:rsidR="003C550F">
        <w:t xml:space="preserve">determine </w:t>
      </w:r>
      <w:r w:rsidR="00467FEB">
        <w:t>implemen</w:t>
      </w:r>
      <w:r w:rsidR="001A74A8">
        <w:t>tation</w:t>
      </w:r>
      <w:r w:rsidR="00676FFF">
        <w:t xml:space="preserve"> specifics</w:t>
      </w:r>
      <w:r w:rsidR="001F535E">
        <w:t>.</w:t>
      </w:r>
      <w:r w:rsidR="00F86843">
        <w:t xml:space="preserve"> </w:t>
      </w:r>
    </w:p>
    <w:p w14:paraId="676D3A50" w14:textId="2664C77B" w:rsidR="00A475C1" w:rsidRPr="00A475C1" w:rsidRDefault="00A475C1" w:rsidP="00662B24">
      <w:r w:rsidRPr="00A475C1">
        <w:t>The Review consulted with relevant providers and users of reporting products in preparing this report</w:t>
      </w:r>
      <w:r w:rsidR="00192C26">
        <w:t xml:space="preserve"> (see </w:t>
      </w:r>
      <w:r w:rsidR="00D276C7" w:rsidRPr="00D276C7">
        <w:rPr>
          <w:i/>
        </w:rPr>
        <w:t>Appendix 3: Consultation process</w:t>
      </w:r>
      <w:r w:rsidR="00200DBD">
        <w:t>).</w:t>
      </w:r>
    </w:p>
    <w:p w14:paraId="603B0AE4" w14:textId="4A87D54B" w:rsidR="001521DC" w:rsidRPr="001521DC" w:rsidRDefault="00A475C1" w:rsidP="00662B24">
      <w:r w:rsidRPr="00A475C1">
        <w:t>The following pages outline the key findings and recommendations identified during this Review</w:t>
      </w:r>
      <w:r w:rsidR="00402F26">
        <w:t xml:space="preserve">, which </w:t>
      </w:r>
      <w:r w:rsidRPr="00A475C1">
        <w:t>can be implemented within existing Secretariat</w:t>
      </w:r>
      <w:r w:rsidR="005A263E">
        <w:t xml:space="preserve"> </w:t>
      </w:r>
      <w:r w:rsidR="005A263E" w:rsidRPr="00A475C1">
        <w:t>resources</w:t>
      </w:r>
      <w:r w:rsidRPr="00A475C1">
        <w:t>. However</w:t>
      </w:r>
      <w:r w:rsidR="00AC3DF6">
        <w:t xml:space="preserve">, </w:t>
      </w:r>
      <w:r w:rsidR="00BA26ED">
        <w:t>these recommendations</w:t>
      </w:r>
      <w:r w:rsidR="0040287E">
        <w:t xml:space="preserve"> will need to be phased in over time</w:t>
      </w:r>
      <w:r w:rsidR="001D09DF">
        <w:t>.</w:t>
      </w:r>
    </w:p>
    <w:p w14:paraId="6077D75C" w14:textId="4AF7A5F9" w:rsidR="00D12809" w:rsidRDefault="00D12809">
      <w:r>
        <w:br w:type="page"/>
      </w:r>
    </w:p>
    <w:p w14:paraId="65B05C48" w14:textId="77777777" w:rsidR="00DB4EEB" w:rsidRDefault="00DB4EEB" w:rsidP="00662B24">
      <w:pPr>
        <w:pStyle w:val="Heading1"/>
        <w:spacing w:line="240" w:lineRule="auto"/>
      </w:pPr>
      <w:bookmarkStart w:id="7" w:name="_Toc189559044"/>
      <w:r>
        <w:t>Findings and recommendations</w:t>
      </w:r>
      <w:bookmarkEnd w:id="7"/>
    </w:p>
    <w:p w14:paraId="55FF7394" w14:textId="686BB362" w:rsidR="008D4A9B" w:rsidRDefault="001840FF" w:rsidP="00A67166">
      <w:pPr>
        <w:pStyle w:val="Heading2"/>
        <w:spacing w:line="240" w:lineRule="auto"/>
      </w:pPr>
      <w:r>
        <w:t>The approach to performance reporting</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8D4A9B" w14:paraId="628909A4" w14:textId="77777777" w:rsidTr="00D64CEC">
        <w:tc>
          <w:tcPr>
            <w:tcW w:w="5000" w:type="pct"/>
            <w:shd w:val="clear" w:color="auto" w:fill="F2F9FC"/>
            <w:hideMark/>
          </w:tcPr>
          <w:p w14:paraId="4401DAE5" w14:textId="6F8C6EA3" w:rsidR="008D4A9B" w:rsidRDefault="008D4A9B">
            <w:pPr>
              <w:pStyle w:val="BoxHeading"/>
              <w:rPr>
                <w:sz w:val="28"/>
                <w:szCs w:val="28"/>
              </w:rPr>
            </w:pPr>
            <w:r w:rsidRPr="008D4A9B">
              <w:rPr>
                <w:sz w:val="28"/>
                <w:szCs w:val="28"/>
              </w:rPr>
              <w:t>Finding</w:t>
            </w:r>
            <w:r w:rsidR="00836C3A">
              <w:rPr>
                <w:sz w:val="28"/>
                <w:szCs w:val="28"/>
              </w:rPr>
              <w:t>s</w:t>
            </w:r>
          </w:p>
          <w:p w14:paraId="43FCBE34" w14:textId="77777777" w:rsidR="008D4A9B" w:rsidRDefault="008D4A9B" w:rsidP="0007703A">
            <w:pPr>
              <w:pStyle w:val="BoxText"/>
              <w:numPr>
                <w:ilvl w:val="0"/>
                <w:numId w:val="9"/>
              </w:numPr>
            </w:pPr>
            <w:r w:rsidRPr="008D4A9B">
              <w:t>The RoGS is a trusted source of information for governments and the public that relies on active engagement from all jurisdictions.</w:t>
            </w:r>
          </w:p>
          <w:p w14:paraId="28EBF218" w14:textId="77777777" w:rsidR="008D4A9B" w:rsidRPr="008D4A9B" w:rsidRDefault="008D4A9B" w:rsidP="0007703A">
            <w:pPr>
              <w:pStyle w:val="BoxText"/>
              <w:numPr>
                <w:ilvl w:val="0"/>
                <w:numId w:val="9"/>
              </w:numPr>
            </w:pPr>
            <w:r w:rsidRPr="008D4A9B">
              <w:t>The Steering Committee has made significant progress in improving the RoGS over time, but more can be done to ensure it remains fit for purpose into the future.</w:t>
            </w:r>
          </w:p>
          <w:p w14:paraId="4F6E2C2D" w14:textId="77777777" w:rsidR="00836C3A" w:rsidRPr="00836C3A" w:rsidRDefault="00836C3A" w:rsidP="0007703A">
            <w:pPr>
              <w:pStyle w:val="ListParagraph"/>
              <w:numPr>
                <w:ilvl w:val="0"/>
                <w:numId w:val="9"/>
              </w:numPr>
            </w:pPr>
            <w:r w:rsidRPr="00836C3A">
              <w:t>The Dashboard is a clear and concise way of presenting progress on selected government commitments in major Commonwealth-State funding agreements at a point in time, but it doesn’t reflect current priorities and lacks a clear objective and effective governance structures.</w:t>
            </w:r>
          </w:p>
          <w:p w14:paraId="3592509C" w14:textId="79DA25A7" w:rsidR="008D4A9B" w:rsidRPr="008D4A9B" w:rsidRDefault="00921FB2" w:rsidP="0007703A">
            <w:pPr>
              <w:pStyle w:val="BoxText"/>
              <w:numPr>
                <w:ilvl w:val="0"/>
                <w:numId w:val="9"/>
              </w:numPr>
            </w:pPr>
            <w:r w:rsidRPr="00921FB2">
              <w:t>The Steering Committee provides a valuable forum for interjurisdictional engagement but without a connection to an external decision-making body, opportunities for performance reporting to contribute to national policy and reform may be missed.</w:t>
            </w:r>
          </w:p>
          <w:p w14:paraId="176BAA7C" w14:textId="77777777" w:rsidR="008D4A9B" w:rsidRDefault="00D80D3C" w:rsidP="00D80D3C">
            <w:pPr>
              <w:pStyle w:val="BoxHeading"/>
              <w:rPr>
                <w:sz w:val="28"/>
                <w:szCs w:val="28"/>
              </w:rPr>
            </w:pPr>
            <w:r w:rsidRPr="00D80D3C">
              <w:rPr>
                <w:sz w:val="28"/>
                <w:szCs w:val="28"/>
              </w:rPr>
              <w:t>Recommendations</w:t>
            </w:r>
          </w:p>
          <w:p w14:paraId="2821A9CC" w14:textId="77777777" w:rsidR="00D80D3C" w:rsidRPr="0092469B" w:rsidRDefault="00D80D3C" w:rsidP="005241B9">
            <w:pPr>
              <w:pStyle w:val="BoxText"/>
              <w:numPr>
                <w:ilvl w:val="0"/>
                <w:numId w:val="31"/>
              </w:numPr>
              <w:rPr>
                <w:rStyle w:val="Strong"/>
              </w:rPr>
            </w:pPr>
            <w:r w:rsidRPr="0092469B">
              <w:rPr>
                <w:rStyle w:val="Strong"/>
              </w:rPr>
              <w:t>Reinvigorate the approach to performance reporting</w:t>
            </w:r>
          </w:p>
          <w:p w14:paraId="2E7BB514" w14:textId="77777777" w:rsidR="00D80D3C" w:rsidRPr="00D80D3C" w:rsidRDefault="00D80D3C" w:rsidP="005241B9">
            <w:pPr>
              <w:pStyle w:val="BoxText"/>
              <w:numPr>
                <w:ilvl w:val="1"/>
                <w:numId w:val="31"/>
              </w:numPr>
              <w:tabs>
                <w:tab w:val="clear" w:pos="1087"/>
              </w:tabs>
            </w:pPr>
            <w:r w:rsidRPr="00D80D3C">
              <w:t>CFFR to publicly endorse the RoGS, including its contribution to transparency and accountability and reaffirm all jurisdictions’ commitment to engaging in the process.</w:t>
            </w:r>
          </w:p>
          <w:p w14:paraId="5ADE7C0F" w14:textId="77777777" w:rsidR="00D80D3C" w:rsidRPr="00D80D3C" w:rsidRDefault="00D80D3C" w:rsidP="005241B9">
            <w:pPr>
              <w:pStyle w:val="BoxText"/>
              <w:numPr>
                <w:ilvl w:val="1"/>
                <w:numId w:val="31"/>
              </w:numPr>
              <w:tabs>
                <w:tab w:val="clear" w:pos="1087"/>
              </w:tabs>
            </w:pPr>
            <w:r w:rsidRPr="00D80D3C">
              <w:t>The Steering Committee to prioritise action on continuous improvement in the RoGS, particularly in relation to indicator completeness and comparability.</w:t>
            </w:r>
          </w:p>
          <w:p w14:paraId="244A2358" w14:textId="77777777" w:rsidR="00D80D3C" w:rsidRPr="00D80D3C" w:rsidRDefault="00D80D3C" w:rsidP="005241B9">
            <w:pPr>
              <w:pStyle w:val="BoxText"/>
              <w:numPr>
                <w:ilvl w:val="1"/>
                <w:numId w:val="31"/>
              </w:numPr>
              <w:tabs>
                <w:tab w:val="clear" w:pos="1087"/>
              </w:tabs>
            </w:pPr>
            <w:r w:rsidRPr="00D80D3C">
              <w:t>The Steering Committee to assume responsibility for the Dashboard and update it to cover major Commonwealth-State funding agreements by 2027–28.</w:t>
            </w:r>
          </w:p>
          <w:p w14:paraId="16374CC6" w14:textId="18DF1497" w:rsidR="00D80D3C" w:rsidRPr="00D80D3C" w:rsidRDefault="00D80D3C" w:rsidP="005241B9">
            <w:pPr>
              <w:pStyle w:val="BoxText"/>
              <w:numPr>
                <w:ilvl w:val="1"/>
                <w:numId w:val="31"/>
              </w:numPr>
              <w:tabs>
                <w:tab w:val="clear" w:pos="1087"/>
              </w:tabs>
            </w:pPr>
            <w:r w:rsidRPr="00D80D3C">
              <w:t>CFFR to assume oversight of the RoGS and the Dashboard and the Chair of the Steering Committee to report annually from 2026 to Heads of Treasuries on performance in government service delivery and major Commonwealth-State funding agreements</w:t>
            </w:r>
            <w:r>
              <w:t>.</w:t>
            </w:r>
          </w:p>
        </w:tc>
      </w:tr>
    </w:tbl>
    <w:p w14:paraId="69747A89" w14:textId="77777777" w:rsidR="00BC1554" w:rsidRDefault="00BC1554">
      <w:pPr>
        <w:rPr>
          <w:rFonts w:ascii="Calibri" w:hAnsi="Calibri" w:cs="Arial"/>
          <w:iCs/>
          <w:color w:val="2C384A" w:themeColor="accent1"/>
          <w:kern w:val="32"/>
          <w:sz w:val="36"/>
          <w:szCs w:val="28"/>
        </w:rPr>
      </w:pPr>
      <w:r>
        <w:br w:type="page"/>
      </w:r>
    </w:p>
    <w:p w14:paraId="5DD096A1" w14:textId="3AE2A218" w:rsidR="000F47E4" w:rsidRDefault="001840FF" w:rsidP="00A67166">
      <w:pPr>
        <w:pStyle w:val="Heading2"/>
        <w:spacing w:line="240" w:lineRule="auto"/>
      </w:pPr>
      <w:r>
        <w:t>The usefulness and accessibility of the information</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0F47E4" w14:paraId="70A4C621" w14:textId="77777777" w:rsidTr="00D64CEC">
        <w:tc>
          <w:tcPr>
            <w:tcW w:w="5000" w:type="pct"/>
            <w:shd w:val="clear" w:color="auto" w:fill="F2F9FC"/>
            <w:hideMark/>
          </w:tcPr>
          <w:p w14:paraId="262F8524" w14:textId="5BEE05E3" w:rsidR="000F47E4" w:rsidRDefault="000F47E4">
            <w:pPr>
              <w:pStyle w:val="BoxHeading"/>
              <w:rPr>
                <w:sz w:val="28"/>
                <w:szCs w:val="28"/>
              </w:rPr>
            </w:pPr>
            <w:r>
              <w:rPr>
                <w:sz w:val="28"/>
                <w:szCs w:val="28"/>
              </w:rPr>
              <w:t>Findings</w:t>
            </w:r>
          </w:p>
          <w:p w14:paraId="7A1AE352" w14:textId="77777777" w:rsidR="000F47E4" w:rsidRPr="000F47E4" w:rsidRDefault="000F47E4" w:rsidP="0092469B">
            <w:pPr>
              <w:pStyle w:val="BoxText"/>
              <w:numPr>
                <w:ilvl w:val="0"/>
                <w:numId w:val="9"/>
              </w:numPr>
            </w:pPr>
            <w:r w:rsidRPr="000F47E4">
              <w:t>The RoGS performance reporting methodology is robust but does not extend to qualitative or quantitative analysis, which appears to limit the RoGS’ practical contribution to service delivery improvement.</w:t>
            </w:r>
          </w:p>
          <w:p w14:paraId="748FBD8B" w14:textId="77777777" w:rsidR="000F47E4" w:rsidRPr="000F47E4" w:rsidRDefault="000F47E4" w:rsidP="0092469B">
            <w:pPr>
              <w:pStyle w:val="BoxText"/>
              <w:numPr>
                <w:ilvl w:val="0"/>
                <w:numId w:val="9"/>
              </w:numPr>
            </w:pPr>
            <w:r w:rsidRPr="000F47E4">
              <w:t xml:space="preserve">Users outside of governments appreciate the RoGS as a transparency mechanism and an official source of data but it doesn’t fully meet their needs due to difficulty accessing and understanding the information. </w:t>
            </w:r>
          </w:p>
          <w:p w14:paraId="2ECB4A8D" w14:textId="77777777" w:rsidR="000F47E4" w:rsidRDefault="000F47E4" w:rsidP="0092469B">
            <w:pPr>
              <w:pStyle w:val="BoxText"/>
              <w:numPr>
                <w:ilvl w:val="0"/>
                <w:numId w:val="9"/>
              </w:numPr>
            </w:pPr>
            <w:r w:rsidRPr="000F47E4">
              <w:t>The governance and production of the RoGS do not directly include and benefit from the community perspectives, including First Nations people. Performance indicators at times do not reflect what these groups consider to be key measures of government service deliver</w:t>
            </w:r>
            <w:r>
              <w:t>y.</w:t>
            </w:r>
          </w:p>
          <w:p w14:paraId="506BB83F" w14:textId="4698FBB8" w:rsidR="00A230CF" w:rsidRPr="00A230CF" w:rsidRDefault="00A230CF" w:rsidP="00A230CF">
            <w:pPr>
              <w:pStyle w:val="BoxHeading"/>
              <w:rPr>
                <w:sz w:val="28"/>
                <w:szCs w:val="28"/>
              </w:rPr>
            </w:pPr>
            <w:r w:rsidRPr="00A230CF">
              <w:rPr>
                <w:sz w:val="28"/>
                <w:szCs w:val="28"/>
              </w:rPr>
              <w:t>Recommendations</w:t>
            </w:r>
          </w:p>
          <w:p w14:paraId="6ACC9464" w14:textId="77777777" w:rsidR="00A230CF" w:rsidRPr="00CB74ED" w:rsidRDefault="00A230CF" w:rsidP="005241B9">
            <w:pPr>
              <w:pStyle w:val="BoxText"/>
              <w:numPr>
                <w:ilvl w:val="0"/>
                <w:numId w:val="32"/>
              </w:numPr>
              <w:tabs>
                <w:tab w:val="clear" w:pos="567"/>
              </w:tabs>
              <w:rPr>
                <w:rStyle w:val="Strong"/>
              </w:rPr>
            </w:pPr>
            <w:r w:rsidRPr="00CB74ED">
              <w:rPr>
                <w:rStyle w:val="Strong"/>
              </w:rPr>
              <w:t>Increase the usefulness and accessibility of the information</w:t>
            </w:r>
          </w:p>
          <w:p w14:paraId="4565A57B" w14:textId="77777777" w:rsidR="00A230CF" w:rsidRPr="00CB74ED" w:rsidRDefault="00A230CF" w:rsidP="005241B9">
            <w:pPr>
              <w:pStyle w:val="BoxText"/>
              <w:numPr>
                <w:ilvl w:val="1"/>
                <w:numId w:val="32"/>
              </w:numPr>
              <w:tabs>
                <w:tab w:val="clear" w:pos="1087"/>
              </w:tabs>
            </w:pPr>
            <w:r w:rsidRPr="00A230CF">
              <w:t>The Productivity Commission to include additional quantitative, cross-sectoral and qualitative analysis in the RoGS, including with an initial focus on case studies of innovative or high-impact policies and programs in government services, to encourage improvements in delivery and effectiveness from 2026.</w:t>
            </w:r>
          </w:p>
          <w:p w14:paraId="678A41EA" w14:textId="77777777" w:rsidR="00A230CF" w:rsidRPr="00CB74ED" w:rsidRDefault="00A230CF" w:rsidP="005241B9">
            <w:pPr>
              <w:pStyle w:val="BoxText"/>
              <w:numPr>
                <w:ilvl w:val="1"/>
                <w:numId w:val="32"/>
              </w:numPr>
              <w:tabs>
                <w:tab w:val="clear" w:pos="1087"/>
              </w:tabs>
            </w:pPr>
            <w:r w:rsidRPr="00A230CF">
              <w:t xml:space="preserve">The Steering Committee to revamp the presentation of the RoGS indicator data by 2027 and enhance engagement with the community, drawing on relevant Australian and international examples. </w:t>
            </w:r>
          </w:p>
          <w:p w14:paraId="08138A14" w14:textId="3E0F8CDE" w:rsidR="00A230CF" w:rsidRDefault="00A230CF" w:rsidP="005241B9">
            <w:pPr>
              <w:pStyle w:val="BoxText"/>
              <w:numPr>
                <w:ilvl w:val="1"/>
                <w:numId w:val="32"/>
              </w:numPr>
              <w:tabs>
                <w:tab w:val="clear" w:pos="1087"/>
              </w:tabs>
            </w:pPr>
            <w:r w:rsidRPr="00A230CF">
              <w:t>The Steering Committee to engage more closely with the Australian community in the governance and production of the RoGS and, where appropriate, the Dashboard by 2026, to ensure it better reflects their needs and perspectives. Engagement with First Nations people and organisations should be prioritised.</w:t>
            </w:r>
          </w:p>
        </w:tc>
      </w:tr>
    </w:tbl>
    <w:p w14:paraId="269F359A" w14:textId="77777777" w:rsidR="00BC1554" w:rsidRDefault="00BC1554" w:rsidP="00662B24">
      <w:pPr>
        <w:rPr>
          <w:rFonts w:ascii="Calibri" w:hAnsi="Calibri" w:cs="Arial"/>
          <w:iCs/>
          <w:color w:val="2C384A" w:themeColor="accent1"/>
          <w:kern w:val="32"/>
          <w:sz w:val="36"/>
          <w:szCs w:val="28"/>
        </w:rPr>
      </w:pPr>
      <w:r>
        <w:br w:type="page"/>
      </w:r>
    </w:p>
    <w:p w14:paraId="47269510" w14:textId="18E49E8B" w:rsidR="00DD20B1" w:rsidRDefault="001840FF" w:rsidP="00A67166">
      <w:pPr>
        <w:pStyle w:val="Heading2"/>
        <w:spacing w:line="240" w:lineRule="auto"/>
      </w:pPr>
      <w:r>
        <w:t>The broader data and reporting ecosystem</w:t>
      </w:r>
    </w:p>
    <w:tbl>
      <w:tblP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0"/>
      </w:tblGrid>
      <w:tr w:rsidR="00DD20B1" w14:paraId="0A07FFA4" w14:textId="77777777" w:rsidTr="00D64CEC">
        <w:tc>
          <w:tcPr>
            <w:tcW w:w="5000" w:type="pct"/>
            <w:shd w:val="clear" w:color="auto" w:fill="F2F9FC"/>
            <w:hideMark/>
          </w:tcPr>
          <w:p w14:paraId="1C0D301E" w14:textId="1AB35606" w:rsidR="00DD20B1" w:rsidRDefault="00DD20B1">
            <w:pPr>
              <w:pStyle w:val="BoxText"/>
              <w:rPr>
                <w:b/>
                <w:color w:val="2C384A" w:themeColor="accent1"/>
                <w:sz w:val="28"/>
                <w:szCs w:val="28"/>
              </w:rPr>
            </w:pPr>
            <w:r w:rsidRPr="00DD20B1">
              <w:rPr>
                <w:b/>
                <w:color w:val="2C384A" w:themeColor="accent1"/>
                <w:sz w:val="28"/>
                <w:szCs w:val="28"/>
              </w:rPr>
              <w:t>Findings</w:t>
            </w:r>
          </w:p>
          <w:p w14:paraId="0DAABB25" w14:textId="77777777" w:rsidR="00DD20B1" w:rsidRPr="00DD20B1" w:rsidRDefault="00DD20B1" w:rsidP="005241B9">
            <w:pPr>
              <w:pStyle w:val="BoxText"/>
              <w:numPr>
                <w:ilvl w:val="0"/>
                <w:numId w:val="33"/>
              </w:numPr>
            </w:pPr>
            <w:r w:rsidRPr="00DD20B1">
              <w:t xml:space="preserve">The RoGS and the Dashboard operate in a crowded environment for data and reporting and more could be done to join up different processes and products to reduce confusion for users. </w:t>
            </w:r>
          </w:p>
          <w:p w14:paraId="69DA2ED0" w14:textId="77777777" w:rsidR="00DD20B1" w:rsidRPr="00DD20B1" w:rsidRDefault="00DD20B1" w:rsidP="005241B9">
            <w:pPr>
              <w:pStyle w:val="BoxText"/>
              <w:numPr>
                <w:ilvl w:val="0"/>
                <w:numId w:val="33"/>
              </w:numPr>
            </w:pPr>
            <w:r w:rsidRPr="00DD20B1">
              <w:t>Linked datasets could improve the measurement of government service performance and reduce the reporting burden on jurisdictions.</w:t>
            </w:r>
          </w:p>
          <w:p w14:paraId="4E87DC5D" w14:textId="77777777" w:rsidR="00DD20B1" w:rsidRDefault="00DD20B1" w:rsidP="005241B9">
            <w:pPr>
              <w:pStyle w:val="BoxText"/>
              <w:numPr>
                <w:ilvl w:val="0"/>
                <w:numId w:val="33"/>
              </w:numPr>
            </w:pPr>
            <w:r w:rsidRPr="00DD20B1">
              <w:t>The Steering Committee has significant expertise in performance measurement that could be better used across governments</w:t>
            </w:r>
            <w:r>
              <w:t>.</w:t>
            </w:r>
          </w:p>
          <w:p w14:paraId="6F7640F6" w14:textId="77777777" w:rsidR="00DD20B1" w:rsidRDefault="00DD20B1" w:rsidP="00DD20B1">
            <w:pPr>
              <w:pStyle w:val="BoxText"/>
              <w:rPr>
                <w:b/>
                <w:color w:val="2C384A" w:themeColor="accent1"/>
                <w:sz w:val="28"/>
                <w:szCs w:val="28"/>
              </w:rPr>
            </w:pPr>
            <w:r w:rsidRPr="00DD20B1">
              <w:rPr>
                <w:b/>
                <w:color w:val="2C384A" w:themeColor="accent1"/>
                <w:sz w:val="28"/>
                <w:szCs w:val="28"/>
              </w:rPr>
              <w:t>Recommendations</w:t>
            </w:r>
          </w:p>
          <w:p w14:paraId="4B4B5047" w14:textId="77777777" w:rsidR="00DD20B1" w:rsidRPr="00CB74ED" w:rsidRDefault="00DD20B1" w:rsidP="005241B9">
            <w:pPr>
              <w:pStyle w:val="BoxText"/>
              <w:numPr>
                <w:ilvl w:val="0"/>
                <w:numId w:val="34"/>
              </w:numPr>
              <w:rPr>
                <w:rStyle w:val="Strong"/>
              </w:rPr>
            </w:pPr>
            <w:r w:rsidRPr="00CB74ED">
              <w:rPr>
                <w:rStyle w:val="Strong"/>
              </w:rPr>
              <w:t>Enhance connections to the broader data and reporting ecosystem</w:t>
            </w:r>
          </w:p>
          <w:p w14:paraId="23538804" w14:textId="77777777" w:rsidR="00DD20B1" w:rsidRPr="00CB74ED" w:rsidRDefault="00DD20B1" w:rsidP="005241B9">
            <w:pPr>
              <w:pStyle w:val="BoxText"/>
              <w:numPr>
                <w:ilvl w:val="1"/>
                <w:numId w:val="34"/>
              </w:numPr>
              <w:tabs>
                <w:tab w:val="clear" w:pos="1087"/>
              </w:tabs>
            </w:pPr>
            <w:r w:rsidRPr="00DD20B1">
              <w:t>The Steering Committee to expand its formal connections to other technical experts to help reduce duplication, and better use other data sources and technological developments.</w:t>
            </w:r>
          </w:p>
          <w:p w14:paraId="5695BB39" w14:textId="77777777" w:rsidR="00DD20B1" w:rsidRPr="00CB74ED" w:rsidRDefault="00DD20B1" w:rsidP="005241B9">
            <w:pPr>
              <w:pStyle w:val="BoxText"/>
              <w:numPr>
                <w:ilvl w:val="1"/>
                <w:numId w:val="34"/>
              </w:numPr>
              <w:tabs>
                <w:tab w:val="clear" w:pos="1087"/>
              </w:tabs>
            </w:pPr>
            <w:r w:rsidRPr="00DD20B1">
              <w:t>The Steering Committee to explore new opportunities for linked datasets to improve measurement and reduce the burden on data providers for the RoGS and the Dashboard.</w:t>
            </w:r>
          </w:p>
          <w:p w14:paraId="37E29201" w14:textId="493C5545" w:rsidR="00DD20B1" w:rsidRDefault="00DD20B1" w:rsidP="005241B9">
            <w:pPr>
              <w:pStyle w:val="BoxText"/>
              <w:numPr>
                <w:ilvl w:val="1"/>
                <w:numId w:val="34"/>
              </w:numPr>
              <w:tabs>
                <w:tab w:val="clear" w:pos="1087"/>
              </w:tabs>
            </w:pPr>
            <w:r w:rsidRPr="00DD20B1">
              <w:t>The Steering Committee to be consulted in the development of performance reporting frameworks for new major Commonwealth-State funding agreements negotiated from 2025 where parties agree.</w:t>
            </w:r>
          </w:p>
        </w:tc>
      </w:tr>
    </w:tbl>
    <w:p w14:paraId="25C6E226" w14:textId="77777777" w:rsidR="00DB4EEB" w:rsidRPr="00340F3B" w:rsidRDefault="00DB4EEB">
      <w:pPr>
        <w:rPr>
          <w:rFonts w:ascii="Calibri" w:hAnsi="Calibri" w:cs="Arial"/>
          <w:b/>
          <w:kern w:val="32"/>
          <w:sz w:val="44"/>
          <w:szCs w:val="36"/>
        </w:rPr>
      </w:pPr>
      <w:r>
        <w:br w:type="page"/>
      </w:r>
    </w:p>
    <w:p w14:paraId="708DC17B" w14:textId="39D1195D" w:rsidR="006C5B73" w:rsidRDefault="0064418F" w:rsidP="006C5B73">
      <w:pPr>
        <w:pStyle w:val="Heading1"/>
      </w:pPr>
      <w:bookmarkStart w:id="8" w:name="_Ref180484622"/>
      <w:bookmarkStart w:id="9" w:name="_Toc189559045"/>
      <w:r>
        <w:t xml:space="preserve">Chapter 1: </w:t>
      </w:r>
      <w:r w:rsidR="001521DC">
        <w:t>About this Review</w:t>
      </w:r>
      <w:bookmarkEnd w:id="8"/>
      <w:bookmarkEnd w:id="9"/>
    </w:p>
    <w:p w14:paraId="25AEECD7" w14:textId="5BBAD0E5" w:rsidR="00FB45C9" w:rsidRDefault="00631186" w:rsidP="00631186">
      <w:pPr>
        <w:pStyle w:val="Heading2"/>
      </w:pPr>
      <w:r>
        <w:t>Review context</w:t>
      </w:r>
    </w:p>
    <w:p w14:paraId="0CFAD972" w14:textId="41AC926B" w:rsidR="00820A30" w:rsidRPr="00602F7E" w:rsidRDefault="00820A30" w:rsidP="00662B24">
      <w:pPr>
        <w:rPr>
          <w:rFonts w:cs="Calibri Light"/>
        </w:rPr>
      </w:pPr>
      <w:r w:rsidRPr="00234D7E">
        <w:rPr>
          <w:rFonts w:cs="Calibri Light"/>
        </w:rPr>
        <w:t>In 2023, National Cabinet asked the Council on Federal Financial Relations (CFFR) to review the Report on Government Services (the RoGS) and the Performance Reporting Dashboard (the Dashboard)</w:t>
      </w:r>
      <w:r>
        <w:rPr>
          <w:rFonts w:cs="Calibri Light"/>
        </w:rPr>
        <w:t xml:space="preserve">. The terms of reference broadly required the </w:t>
      </w:r>
      <w:r w:rsidRPr="00602F7E">
        <w:rPr>
          <w:rFonts w:cs="Calibri Light"/>
        </w:rPr>
        <w:t>Review to:</w:t>
      </w:r>
    </w:p>
    <w:p w14:paraId="0E74A22A" w14:textId="7D31F082" w:rsidR="00820A30" w:rsidRPr="004A5E46" w:rsidRDefault="008716AF" w:rsidP="000A3389">
      <w:pPr>
        <w:pStyle w:val="Bullet"/>
        <w:spacing w:line="240" w:lineRule="auto"/>
        <w:ind w:left="357" w:hanging="357"/>
      </w:pPr>
      <w:r>
        <w:t>c</w:t>
      </w:r>
      <w:r w:rsidR="00820A30" w:rsidRPr="004A5E46">
        <w:t>onsider the objectives, scope, use and effectiveness of the RoGS and the Dashboard</w:t>
      </w:r>
    </w:p>
    <w:p w14:paraId="2B7DDE21" w14:textId="744A120A" w:rsidR="00820A30" w:rsidRPr="004A5E46" w:rsidRDefault="008716AF" w:rsidP="000A3389">
      <w:pPr>
        <w:pStyle w:val="Bullet"/>
        <w:spacing w:line="240" w:lineRule="auto"/>
        <w:ind w:left="357" w:hanging="357"/>
      </w:pPr>
      <w:r>
        <w:t>i</w:t>
      </w:r>
      <w:r w:rsidR="00820A30" w:rsidRPr="004A5E46">
        <w:t>dentify opportunities to streamline and improve these performance reporting arrangements to improve government service delivery and drive productivity enhancing reform</w:t>
      </w:r>
    </w:p>
    <w:p w14:paraId="16BF6CA9" w14:textId="1A806BFB" w:rsidR="00820A30" w:rsidRPr="004A5E46" w:rsidRDefault="008716AF" w:rsidP="000A3389">
      <w:pPr>
        <w:pStyle w:val="Bullet"/>
        <w:spacing w:line="240" w:lineRule="auto"/>
        <w:ind w:left="357" w:hanging="357"/>
      </w:pPr>
      <w:r>
        <w:t>c</w:t>
      </w:r>
      <w:r w:rsidR="00820A30" w:rsidRPr="004A5E46">
        <w:t>onsult with relevant providers and users of products</w:t>
      </w:r>
    </w:p>
    <w:p w14:paraId="48B84C9C" w14:textId="1CF78759" w:rsidR="00820A30" w:rsidRPr="004A5E46" w:rsidRDefault="008716AF" w:rsidP="000A3389">
      <w:pPr>
        <w:pStyle w:val="Bullet"/>
        <w:spacing w:line="240" w:lineRule="auto"/>
        <w:ind w:left="357" w:hanging="357"/>
      </w:pPr>
      <w:r>
        <w:t>p</w:t>
      </w:r>
      <w:r w:rsidR="00820A30" w:rsidRPr="004A5E46">
        <w:t>rovide CFFR with a mid</w:t>
      </w:r>
      <w:r w:rsidR="00B65D32">
        <w:t>-</w:t>
      </w:r>
      <w:r w:rsidR="00820A30" w:rsidRPr="004A5E46">
        <w:t>year update and a final report in December 2024</w:t>
      </w:r>
      <w:r w:rsidR="00A04C59">
        <w:t xml:space="preserve"> </w:t>
      </w:r>
      <w:r w:rsidR="00A04C59">
        <w:rPr>
          <w:rFonts w:cs="Calibri Light"/>
        </w:rPr>
        <w:t xml:space="preserve">(for full terms of reference see </w:t>
      </w:r>
      <w:r w:rsidR="00D276C7" w:rsidRPr="00D276C7">
        <w:rPr>
          <w:i/>
          <w:iCs/>
        </w:rPr>
        <w:t>Appendix 1</w:t>
      </w:r>
      <w:r w:rsidR="00D276C7">
        <w:t xml:space="preserve">: </w:t>
      </w:r>
      <w:r w:rsidR="00D276C7" w:rsidRPr="00D276C7">
        <w:rPr>
          <w:i/>
          <w:iCs/>
        </w:rPr>
        <w:t>Review terms of reference</w:t>
      </w:r>
      <w:r w:rsidR="00A04C59">
        <w:rPr>
          <w:rFonts w:cs="Calibri Light"/>
        </w:rPr>
        <w:t>)</w:t>
      </w:r>
      <w:r w:rsidR="00820A30" w:rsidRPr="004A5E46">
        <w:t>.</w:t>
      </w:r>
    </w:p>
    <w:p w14:paraId="683F738E" w14:textId="63BD892D" w:rsidR="00CC5ACE" w:rsidRDefault="00F0517C" w:rsidP="00662B24">
      <w:pPr>
        <w:rPr>
          <w:rFonts w:cs="Calibri Light"/>
        </w:rPr>
      </w:pPr>
      <w:r w:rsidRPr="00602F7E">
        <w:rPr>
          <w:rFonts w:cs="Calibri Light"/>
        </w:rPr>
        <w:t>Much has changed since the last review of the RoGS in 2009 and the 2017 inception of the Dashboard</w:t>
      </w:r>
      <w:r w:rsidR="004A62AB">
        <w:rPr>
          <w:rFonts w:cs="Calibri Light"/>
        </w:rPr>
        <w:t xml:space="preserve">, </w:t>
      </w:r>
      <w:r w:rsidR="00A167F4">
        <w:rPr>
          <w:rFonts w:cs="Calibri Light"/>
        </w:rPr>
        <w:t>meaning</w:t>
      </w:r>
      <w:r w:rsidR="004A62AB" w:rsidRPr="004E2171">
        <w:rPr>
          <w:rFonts w:cs="Calibri Light"/>
        </w:rPr>
        <w:t xml:space="preserve"> a review to ensure </w:t>
      </w:r>
      <w:r w:rsidR="004A62AB">
        <w:rPr>
          <w:rFonts w:cs="Calibri Light"/>
        </w:rPr>
        <w:t xml:space="preserve">the RoGS and Dashboard </w:t>
      </w:r>
      <w:r w:rsidR="004A62AB" w:rsidRPr="004E2171">
        <w:rPr>
          <w:rFonts w:cs="Calibri Light"/>
        </w:rPr>
        <w:t>remain fit</w:t>
      </w:r>
      <w:r w:rsidR="00D53F80">
        <w:rPr>
          <w:rFonts w:cs="Calibri Light"/>
        </w:rPr>
        <w:t xml:space="preserve"> </w:t>
      </w:r>
      <w:r w:rsidR="004A62AB">
        <w:rPr>
          <w:rFonts w:cs="Calibri Light"/>
        </w:rPr>
        <w:t>for</w:t>
      </w:r>
      <w:r w:rsidR="00D53F80">
        <w:rPr>
          <w:rFonts w:cs="Calibri Light"/>
        </w:rPr>
        <w:t xml:space="preserve"> </w:t>
      </w:r>
      <w:r w:rsidR="004A62AB">
        <w:rPr>
          <w:rFonts w:cs="Calibri Light"/>
        </w:rPr>
        <w:t xml:space="preserve">purpose </w:t>
      </w:r>
      <w:r w:rsidR="00A167F4">
        <w:rPr>
          <w:rFonts w:cs="Calibri Light"/>
        </w:rPr>
        <w:t xml:space="preserve">is </w:t>
      </w:r>
      <w:r w:rsidR="004A62AB" w:rsidRPr="004E2171">
        <w:rPr>
          <w:rFonts w:cs="Calibri Light"/>
        </w:rPr>
        <w:t>timely</w:t>
      </w:r>
      <w:r w:rsidRPr="00602F7E">
        <w:rPr>
          <w:rFonts w:cs="Calibri Light"/>
        </w:rPr>
        <w:t xml:space="preserve">. </w:t>
      </w:r>
      <w:r w:rsidR="00CC5ACE">
        <w:rPr>
          <w:rFonts w:cs="Calibri Light"/>
        </w:rPr>
        <w:t xml:space="preserve">Key developments include: </w:t>
      </w:r>
    </w:p>
    <w:p w14:paraId="3CF9A9EB" w14:textId="77777777" w:rsidR="008716AF" w:rsidRDefault="008716AF" w:rsidP="000A3389">
      <w:pPr>
        <w:pStyle w:val="Bullet"/>
        <w:spacing w:line="240" w:lineRule="auto"/>
        <w:ind w:left="357" w:hanging="357"/>
      </w:pPr>
      <w:r>
        <w:rPr>
          <w:rFonts w:cs="Calibri Light"/>
        </w:rPr>
        <w:t>c</w:t>
      </w:r>
      <w:r w:rsidR="00F0517C" w:rsidRPr="001B4D86">
        <w:rPr>
          <w:rFonts w:cs="Calibri Light"/>
        </w:rPr>
        <w:t xml:space="preserve">hanges to the </w:t>
      </w:r>
      <w:r w:rsidR="00AD2EB6">
        <w:rPr>
          <w:rFonts w:cs="Calibri Light"/>
        </w:rPr>
        <w:t>F</w:t>
      </w:r>
      <w:r w:rsidR="00F0517C" w:rsidRPr="001B4D86">
        <w:rPr>
          <w:rFonts w:cs="Calibri Light"/>
        </w:rPr>
        <w:t xml:space="preserve">ederation architecture </w:t>
      </w:r>
    </w:p>
    <w:p w14:paraId="39E7E242" w14:textId="327E93D2" w:rsidR="00CC5ACE" w:rsidRDefault="008716AF" w:rsidP="000A3389">
      <w:pPr>
        <w:pStyle w:val="Bullet"/>
        <w:spacing w:line="240" w:lineRule="auto"/>
        <w:ind w:left="357" w:hanging="357"/>
      </w:pPr>
      <w:r>
        <w:t>t</w:t>
      </w:r>
      <w:r w:rsidR="00F0517C" w:rsidRPr="008716AF">
        <w:rPr>
          <w:rFonts w:cs="Calibri Light"/>
        </w:rPr>
        <w:t>echnological advancements</w:t>
      </w:r>
    </w:p>
    <w:p w14:paraId="14326E15" w14:textId="7D7EDC7A" w:rsidR="00F04E64" w:rsidRDefault="008716AF" w:rsidP="000A3389">
      <w:pPr>
        <w:pStyle w:val="Bullet"/>
        <w:spacing w:line="240" w:lineRule="auto"/>
        <w:ind w:left="357" w:hanging="357"/>
        <w:rPr>
          <w:rFonts w:cs="Calibri Light"/>
        </w:rPr>
      </w:pPr>
      <w:r>
        <w:t>u</w:t>
      </w:r>
      <w:r w:rsidR="00F0517C" w:rsidRPr="004E2171">
        <w:t>pdated</w:t>
      </w:r>
      <w:r w:rsidR="00F0517C" w:rsidRPr="004E2171">
        <w:rPr>
          <w:rFonts w:cs="Calibri Light"/>
        </w:rPr>
        <w:t xml:space="preserve"> government priorities (including via new </w:t>
      </w:r>
      <w:r w:rsidR="00532F5C">
        <w:rPr>
          <w:rFonts w:cs="Calibri Light"/>
        </w:rPr>
        <w:t>Commonwealth</w:t>
      </w:r>
      <w:r w:rsidR="00B65D32">
        <w:rPr>
          <w:rFonts w:cs="Calibri Light"/>
        </w:rPr>
        <w:t>-</w:t>
      </w:r>
      <w:r w:rsidR="00532F5C">
        <w:rPr>
          <w:rFonts w:cs="Calibri Light"/>
        </w:rPr>
        <w:t xml:space="preserve">State funding </w:t>
      </w:r>
      <w:r w:rsidR="00F0517C" w:rsidRPr="004E2171">
        <w:rPr>
          <w:rFonts w:cs="Calibri Light"/>
        </w:rPr>
        <w:t>agreements)</w:t>
      </w:r>
    </w:p>
    <w:p w14:paraId="2CD98F30" w14:textId="2C0D6E69" w:rsidR="00F0517C" w:rsidRDefault="008716AF" w:rsidP="000A3389">
      <w:pPr>
        <w:pStyle w:val="Bullet"/>
        <w:spacing w:line="240" w:lineRule="auto"/>
        <w:ind w:left="357" w:hanging="357"/>
        <w:rPr>
          <w:rFonts w:cs="Calibri Light"/>
        </w:rPr>
      </w:pPr>
      <w:r>
        <w:rPr>
          <w:rFonts w:cs="Calibri Light"/>
        </w:rPr>
        <w:t>s</w:t>
      </w:r>
      <w:r w:rsidR="00D3423D">
        <w:rPr>
          <w:rFonts w:cs="Calibri Light"/>
        </w:rPr>
        <w:t>ociet</w:t>
      </w:r>
      <w:r w:rsidR="00E938F8">
        <w:rPr>
          <w:rFonts w:cs="Calibri Light"/>
        </w:rPr>
        <w:t>y-wide</w:t>
      </w:r>
      <w:r w:rsidR="003A5208">
        <w:rPr>
          <w:rFonts w:cs="Calibri Light"/>
        </w:rPr>
        <w:t xml:space="preserve"> </w:t>
      </w:r>
      <w:r w:rsidR="00267655">
        <w:rPr>
          <w:rFonts w:cs="Calibri Light"/>
        </w:rPr>
        <w:t>shifts</w:t>
      </w:r>
      <w:r w:rsidR="008D67C4">
        <w:rPr>
          <w:rFonts w:cs="Calibri Light"/>
        </w:rPr>
        <w:t xml:space="preserve">, such as </w:t>
      </w:r>
      <w:r w:rsidR="00D3423D">
        <w:rPr>
          <w:rFonts w:cs="Calibri Light"/>
        </w:rPr>
        <w:t>low</w:t>
      </w:r>
      <w:r w:rsidR="003A5208">
        <w:rPr>
          <w:rFonts w:cs="Calibri Light"/>
        </w:rPr>
        <w:t xml:space="preserve"> productivity and</w:t>
      </w:r>
      <w:r w:rsidR="00F0517C" w:rsidRPr="004E2171">
        <w:rPr>
          <w:rFonts w:cs="Calibri Light"/>
        </w:rPr>
        <w:t xml:space="preserve"> </w:t>
      </w:r>
      <w:r w:rsidR="00D3423D">
        <w:rPr>
          <w:rFonts w:cs="Calibri Light"/>
        </w:rPr>
        <w:t>greater emphasis on non-economic</w:t>
      </w:r>
      <w:r>
        <w:rPr>
          <w:rFonts w:cs="Calibri Light"/>
        </w:rPr>
        <w:t xml:space="preserve"> wellbeing.</w:t>
      </w:r>
    </w:p>
    <w:p w14:paraId="2BAEF461" w14:textId="4236B7D9" w:rsidR="00163FFE" w:rsidRDefault="00F0517C" w:rsidP="00D10ADA">
      <w:pPr>
        <w:pStyle w:val="Heading2"/>
      </w:pPr>
      <w:r>
        <w:t>Changes to the Federation architecture</w:t>
      </w:r>
    </w:p>
    <w:p w14:paraId="3787015F" w14:textId="1D03823E" w:rsidR="0041067D" w:rsidRDefault="0041067D" w:rsidP="0041067D">
      <w:pPr>
        <w:rPr>
          <w:rFonts w:cs="Calibri Light"/>
        </w:rPr>
      </w:pPr>
      <w:r w:rsidRPr="37A71D73">
        <w:rPr>
          <w:rFonts w:cs="Calibri Light"/>
        </w:rPr>
        <w:t xml:space="preserve">The federal </w:t>
      </w:r>
      <w:r w:rsidRPr="5F20FB99">
        <w:rPr>
          <w:rFonts w:cs="Calibri Light"/>
        </w:rPr>
        <w:t>architecture</w:t>
      </w:r>
      <w:r w:rsidRPr="2C3494DD">
        <w:rPr>
          <w:rFonts w:cs="Calibri Light"/>
        </w:rPr>
        <w:t xml:space="preserve"> </w:t>
      </w:r>
      <w:r w:rsidRPr="436E091F">
        <w:rPr>
          <w:rFonts w:cs="Calibri Light"/>
        </w:rPr>
        <w:t xml:space="preserve">changed with the </w:t>
      </w:r>
      <w:r>
        <w:rPr>
          <w:rFonts w:cs="Calibri Light"/>
        </w:rPr>
        <w:t xml:space="preserve">dissolution of the Council of Australian Governments (COAG) and the </w:t>
      </w:r>
      <w:r w:rsidRPr="0D76893E">
        <w:rPr>
          <w:rFonts w:cs="Calibri Light"/>
        </w:rPr>
        <w:t xml:space="preserve">establishment of </w:t>
      </w:r>
      <w:r w:rsidRPr="0401090C">
        <w:rPr>
          <w:rFonts w:cs="Calibri Light"/>
        </w:rPr>
        <w:t xml:space="preserve">National </w:t>
      </w:r>
      <w:r w:rsidRPr="7F806750">
        <w:rPr>
          <w:rFonts w:cs="Calibri Light"/>
        </w:rPr>
        <w:t>Cabinet</w:t>
      </w:r>
      <w:r w:rsidRPr="3BC08A39">
        <w:rPr>
          <w:rFonts w:cs="Calibri Light"/>
        </w:rPr>
        <w:t xml:space="preserve"> </w:t>
      </w:r>
      <w:r w:rsidRPr="4B0CDF04">
        <w:rPr>
          <w:rFonts w:cs="Calibri Light"/>
        </w:rPr>
        <w:t xml:space="preserve">and </w:t>
      </w:r>
      <w:r>
        <w:rPr>
          <w:rFonts w:cs="Calibri Light"/>
        </w:rPr>
        <w:t xml:space="preserve">the </w:t>
      </w:r>
      <w:r w:rsidRPr="008716AF">
        <w:rPr>
          <w:rFonts w:cs="Calibri Light"/>
          <w:i/>
        </w:rPr>
        <w:t xml:space="preserve">Federation Funding Agreements Framework </w:t>
      </w:r>
      <w:r>
        <w:rPr>
          <w:rFonts w:cs="Calibri Light"/>
        </w:rPr>
        <w:t xml:space="preserve">(the Framework) </w:t>
      </w:r>
      <w:r w:rsidRPr="271A9BCC">
        <w:rPr>
          <w:rFonts w:cs="Calibri Light"/>
        </w:rPr>
        <w:t>in</w:t>
      </w:r>
      <w:r w:rsidRPr="3BC08A39">
        <w:rPr>
          <w:rFonts w:cs="Calibri Light"/>
        </w:rPr>
        <w:t xml:space="preserve"> </w:t>
      </w:r>
      <w:r w:rsidRPr="07CA8BF8">
        <w:rPr>
          <w:rFonts w:cs="Calibri Light"/>
        </w:rPr>
        <w:t>2020</w:t>
      </w:r>
      <w:r w:rsidRPr="167D465D">
        <w:rPr>
          <w:rFonts w:cs="Calibri Light"/>
        </w:rPr>
        <w:t>.</w:t>
      </w:r>
      <w:r w:rsidRPr="07CA8BF8">
        <w:rPr>
          <w:rFonts w:cs="Calibri Light"/>
        </w:rPr>
        <w:t xml:space="preserve"> </w:t>
      </w:r>
      <w:r>
        <w:rPr>
          <w:rFonts w:cs="Calibri Light"/>
        </w:rPr>
        <w:t xml:space="preserve">National Cabinet provides the Prime Minister, Premiers and Chief Ministers with a forum to work collaboratively on issues of national significance. </w:t>
      </w:r>
      <w:r w:rsidRPr="20FD50E9">
        <w:rPr>
          <w:rFonts w:cs="Calibri Light"/>
        </w:rPr>
        <w:t xml:space="preserve">The </w:t>
      </w:r>
      <w:r>
        <w:rPr>
          <w:rFonts w:cs="Calibri Light"/>
        </w:rPr>
        <w:t>F</w:t>
      </w:r>
      <w:r w:rsidRPr="20FD50E9">
        <w:rPr>
          <w:rFonts w:cs="Calibri Light"/>
        </w:rPr>
        <w:t xml:space="preserve">ramework </w:t>
      </w:r>
      <w:r w:rsidRPr="617FE2B8">
        <w:rPr>
          <w:rFonts w:cs="Calibri Light"/>
        </w:rPr>
        <w:t xml:space="preserve">recognises </w:t>
      </w:r>
      <w:r w:rsidRPr="007A024E">
        <w:rPr>
          <w:rFonts w:cs="Calibri Light"/>
        </w:rPr>
        <w:t>that</w:t>
      </w:r>
      <w:r w:rsidRPr="0C6AC981">
        <w:rPr>
          <w:rFonts w:ascii="Roboto" w:eastAsia="Roboto" w:hAnsi="Roboto" w:cs="Roboto"/>
          <w:color w:val="212529"/>
          <w:sz w:val="24"/>
          <w:szCs w:val="24"/>
        </w:rPr>
        <w:t xml:space="preserve"> </w:t>
      </w:r>
      <w:r w:rsidR="00B9359E">
        <w:rPr>
          <w:rFonts w:cs="Calibri Light"/>
        </w:rPr>
        <w:t>S</w:t>
      </w:r>
      <w:r w:rsidRPr="00AD544C">
        <w:rPr>
          <w:rFonts w:cs="Calibri Light"/>
        </w:rPr>
        <w:t>tates</w:t>
      </w:r>
      <w:r>
        <w:rPr>
          <w:rFonts w:cs="Calibri Light"/>
        </w:rPr>
        <w:t xml:space="preserve"> and </w:t>
      </w:r>
      <w:r w:rsidR="00B9359E">
        <w:rPr>
          <w:rFonts w:cs="Calibri Light"/>
        </w:rPr>
        <w:t>T</w:t>
      </w:r>
      <w:r>
        <w:rPr>
          <w:rFonts w:cs="Calibri Light"/>
        </w:rPr>
        <w:t>erritories</w:t>
      </w:r>
      <w:r w:rsidRPr="0C6AC981">
        <w:rPr>
          <w:rFonts w:ascii="Roboto" w:eastAsia="Roboto" w:hAnsi="Roboto" w:cs="Roboto"/>
          <w:color w:val="212529"/>
          <w:sz w:val="24"/>
          <w:szCs w:val="24"/>
        </w:rPr>
        <w:t xml:space="preserve"> </w:t>
      </w:r>
      <w:r w:rsidRPr="00AD544C">
        <w:rPr>
          <w:rFonts w:eastAsia="Roboto" w:cs="Calibri Light"/>
          <w:color w:val="212529"/>
        </w:rPr>
        <w:t>have primary responsibility for many areas of service delivery, but that coordinated action is necessary to address Australia’s economic</w:t>
      </w:r>
      <w:r>
        <w:rPr>
          <w:rFonts w:eastAsia="Roboto" w:cs="Calibri Light"/>
          <w:color w:val="212529"/>
        </w:rPr>
        <w:t>, fiscal</w:t>
      </w:r>
      <w:r w:rsidRPr="00AD544C">
        <w:rPr>
          <w:rFonts w:eastAsia="Roboto" w:cs="Calibri Light"/>
          <w:color w:val="212529"/>
        </w:rPr>
        <w:t xml:space="preserve"> and social challenges</w:t>
      </w:r>
      <w:r>
        <w:rPr>
          <w:rFonts w:eastAsia="Roboto" w:cs="Calibri Light"/>
          <w:color w:val="212529"/>
        </w:rPr>
        <w:t xml:space="preserve">. The Framework </w:t>
      </w:r>
      <w:r w:rsidRPr="001762C3">
        <w:rPr>
          <w:rFonts w:eastAsia="Roboto" w:cs="Calibri Light"/>
          <w:color w:val="212529"/>
        </w:rPr>
        <w:t>provide</w:t>
      </w:r>
      <w:r>
        <w:rPr>
          <w:rFonts w:eastAsia="Roboto" w:cs="Calibri Light"/>
          <w:color w:val="212529"/>
        </w:rPr>
        <w:t>s</w:t>
      </w:r>
      <w:r w:rsidRPr="001762C3">
        <w:rPr>
          <w:rFonts w:eastAsia="Roboto" w:cs="Calibri Light"/>
          <w:color w:val="212529"/>
        </w:rPr>
        <w:t xml:space="preserve"> </w:t>
      </w:r>
      <w:r w:rsidR="00B9359E">
        <w:rPr>
          <w:rFonts w:eastAsia="Roboto" w:cs="Calibri Light"/>
          <w:color w:val="212529"/>
        </w:rPr>
        <w:t>S</w:t>
      </w:r>
      <w:r w:rsidRPr="001762C3">
        <w:rPr>
          <w:rFonts w:eastAsia="Roboto" w:cs="Calibri Light"/>
          <w:color w:val="212529"/>
        </w:rPr>
        <w:t xml:space="preserve">tates </w:t>
      </w:r>
      <w:r>
        <w:rPr>
          <w:rFonts w:eastAsia="Roboto" w:cs="Calibri Light"/>
          <w:color w:val="212529"/>
        </w:rPr>
        <w:t xml:space="preserve">and </w:t>
      </w:r>
      <w:r w:rsidR="00B9359E">
        <w:rPr>
          <w:rFonts w:eastAsia="Roboto" w:cs="Calibri Light"/>
          <w:color w:val="212529"/>
        </w:rPr>
        <w:t>T</w:t>
      </w:r>
      <w:r>
        <w:rPr>
          <w:rFonts w:eastAsia="Roboto" w:cs="Calibri Light"/>
          <w:color w:val="212529"/>
        </w:rPr>
        <w:t xml:space="preserve">erritories </w:t>
      </w:r>
      <w:r w:rsidRPr="001762C3">
        <w:rPr>
          <w:rFonts w:eastAsia="Roboto" w:cs="Calibri Light"/>
          <w:color w:val="212529"/>
        </w:rPr>
        <w:t>with budget autonomy and flexibility, where practical, to deliver services and infrastructure in a way that they consider will most effectively and efficiently improve outcomes for Australians.</w:t>
      </w:r>
      <w:r>
        <w:rPr>
          <w:rFonts w:eastAsia="Roboto" w:cs="Calibri Light"/>
          <w:color w:val="212529"/>
        </w:rPr>
        <w:t xml:space="preserve"> The Framework acknowledges the importance of promoting accountability and transparency through reporting on outcomes achieved and effectiveness of money spent</w:t>
      </w:r>
      <w:r w:rsidR="001958BF">
        <w:rPr>
          <w:rFonts w:eastAsia="Roboto" w:cs="Calibri Light"/>
          <w:color w:val="212529"/>
        </w:rPr>
        <w:t xml:space="preserve"> </w:t>
      </w:r>
      <w:sdt>
        <w:sdtPr>
          <w:rPr>
            <w:rFonts w:eastAsia="Roboto" w:cs="Calibri Light"/>
            <w:color w:val="212529"/>
          </w:rPr>
          <w:id w:val="1442955120"/>
          <w:citation/>
        </w:sdtPr>
        <w:sdtEndPr/>
        <w:sdtContent>
          <w:r w:rsidR="001958BF">
            <w:rPr>
              <w:rFonts w:eastAsia="Roboto" w:cs="Calibri Light"/>
              <w:color w:val="212529"/>
            </w:rPr>
            <w:fldChar w:fldCharType="begin"/>
          </w:r>
          <w:r w:rsidR="00C74E55">
            <w:rPr>
              <w:rFonts w:eastAsia="Roboto" w:cs="Calibri Light"/>
              <w:color w:val="212529"/>
            </w:rPr>
            <w:instrText xml:space="preserve">CITATION Cou20 \l 3081 </w:instrText>
          </w:r>
          <w:r w:rsidR="001958BF">
            <w:rPr>
              <w:rFonts w:eastAsia="Roboto" w:cs="Calibri Light"/>
              <w:color w:val="212529"/>
            </w:rPr>
            <w:fldChar w:fldCharType="separate"/>
          </w:r>
          <w:r w:rsidR="003003B3" w:rsidRPr="003003B3">
            <w:rPr>
              <w:rFonts w:eastAsia="Roboto" w:cs="Calibri Light"/>
              <w:noProof/>
              <w:color w:val="212529"/>
            </w:rPr>
            <w:t>(CFFR 2020)</w:t>
          </w:r>
          <w:r w:rsidR="001958BF">
            <w:rPr>
              <w:rFonts w:eastAsia="Roboto" w:cs="Calibri Light"/>
              <w:color w:val="212529"/>
            </w:rPr>
            <w:fldChar w:fldCharType="end"/>
          </w:r>
        </w:sdtContent>
      </w:sdt>
      <w:r>
        <w:rPr>
          <w:rFonts w:eastAsia="Roboto" w:cs="Calibri Light"/>
          <w:color w:val="212529"/>
        </w:rPr>
        <w:t xml:space="preserve">. </w:t>
      </w:r>
      <w:r w:rsidRPr="00C55AB2">
        <w:rPr>
          <w:rFonts w:cs="Calibri Light"/>
        </w:rPr>
        <w:t xml:space="preserve">The introduction of these new </w:t>
      </w:r>
      <w:r>
        <w:rPr>
          <w:rFonts w:cs="Calibri Light"/>
        </w:rPr>
        <w:t>intergovernmental a</w:t>
      </w:r>
      <w:r w:rsidRPr="00C55AB2">
        <w:rPr>
          <w:rFonts w:cs="Calibri Light"/>
        </w:rPr>
        <w:t>rrangements presents an opportunity to review current mechanisms for reporting against performance in the delivery of government services</w:t>
      </w:r>
      <w:r>
        <w:rPr>
          <w:rFonts w:cs="Calibri Light"/>
        </w:rPr>
        <w:t xml:space="preserve">. </w:t>
      </w:r>
    </w:p>
    <w:p w14:paraId="04E267B8" w14:textId="10168296" w:rsidR="00F0517C" w:rsidRDefault="0041067D" w:rsidP="00D10ADA">
      <w:pPr>
        <w:pStyle w:val="Heading2"/>
      </w:pPr>
      <w:r>
        <w:t>Technological advancements</w:t>
      </w:r>
    </w:p>
    <w:p w14:paraId="6AA211F8" w14:textId="6FB84F52" w:rsidR="003860CD" w:rsidRPr="004A520E" w:rsidRDefault="00617964" w:rsidP="00617964">
      <w:pPr>
        <w:rPr>
          <w:rFonts w:cs="Calibri Light"/>
        </w:rPr>
      </w:pPr>
      <w:r w:rsidRPr="00617964">
        <w:rPr>
          <w:rFonts w:cs="Calibri Light"/>
        </w:rPr>
        <w:t xml:space="preserve">Data and digital technologies already </w:t>
      </w:r>
      <w:r w:rsidR="00A53A5F">
        <w:rPr>
          <w:rFonts w:cs="Calibri Light"/>
        </w:rPr>
        <w:t>used widely</w:t>
      </w:r>
      <w:r w:rsidRPr="00617964">
        <w:rPr>
          <w:rFonts w:cs="Calibri Light"/>
        </w:rPr>
        <w:t xml:space="preserve"> </w:t>
      </w:r>
      <w:r w:rsidR="00A53A5F">
        <w:rPr>
          <w:rFonts w:cs="Calibri Light"/>
        </w:rPr>
        <w:t>across</w:t>
      </w:r>
      <w:r w:rsidRPr="00617964">
        <w:rPr>
          <w:rFonts w:cs="Calibri Light"/>
        </w:rPr>
        <w:t xml:space="preserve"> the economy and </w:t>
      </w:r>
      <w:r w:rsidR="0017360E">
        <w:rPr>
          <w:rFonts w:cs="Calibri Light"/>
        </w:rPr>
        <w:t xml:space="preserve">in delivering </w:t>
      </w:r>
      <w:r w:rsidRPr="00617964">
        <w:rPr>
          <w:rFonts w:cs="Calibri Light"/>
        </w:rPr>
        <w:t>government services</w:t>
      </w:r>
      <w:r w:rsidR="005058BD">
        <w:rPr>
          <w:rFonts w:cs="Calibri Light"/>
        </w:rPr>
        <w:t xml:space="preserve"> and</w:t>
      </w:r>
      <w:r w:rsidR="0017360E">
        <w:rPr>
          <w:rFonts w:cs="Calibri Light"/>
        </w:rPr>
        <w:t xml:space="preserve"> </w:t>
      </w:r>
      <w:r w:rsidRPr="00617964">
        <w:rPr>
          <w:rFonts w:cs="Calibri Light"/>
        </w:rPr>
        <w:t xml:space="preserve">will continue to grow in importance. </w:t>
      </w:r>
      <w:r w:rsidR="003860CD">
        <w:rPr>
          <w:rFonts w:cs="Calibri Light"/>
        </w:rPr>
        <w:t>G</w:t>
      </w:r>
      <w:r w:rsidR="003860CD" w:rsidRPr="004A520E">
        <w:rPr>
          <w:rFonts w:cs="Calibri Light"/>
        </w:rPr>
        <w:t xml:space="preserve">overnments </w:t>
      </w:r>
      <w:r w:rsidR="00B65D32">
        <w:rPr>
          <w:rFonts w:ascii="Calibri" w:hAnsi="Calibri" w:cs="Calibri"/>
        </w:rPr>
        <w:t>—</w:t>
      </w:r>
      <w:r w:rsidR="00E56CC1">
        <w:rPr>
          <w:rFonts w:cs="Calibri Light"/>
        </w:rPr>
        <w:t xml:space="preserve"> in Australia and internationally </w:t>
      </w:r>
      <w:r w:rsidR="00B65D32">
        <w:rPr>
          <w:rFonts w:ascii="Calibri" w:hAnsi="Calibri" w:cs="Calibri"/>
        </w:rPr>
        <w:t>—</w:t>
      </w:r>
      <w:r w:rsidR="003860CD" w:rsidRPr="004A520E">
        <w:rPr>
          <w:rFonts w:cs="Calibri Light"/>
        </w:rPr>
        <w:t xml:space="preserve"> are </w:t>
      </w:r>
      <w:r w:rsidR="003860CD">
        <w:rPr>
          <w:rFonts w:cs="Calibri Light"/>
        </w:rPr>
        <w:t xml:space="preserve">increasingly </w:t>
      </w:r>
      <w:r w:rsidR="003860CD" w:rsidRPr="004A520E">
        <w:rPr>
          <w:rFonts w:cs="Calibri Light"/>
        </w:rPr>
        <w:t>focused on unlocking the potential of government</w:t>
      </w:r>
      <w:r w:rsidR="00B65D32">
        <w:rPr>
          <w:rFonts w:cs="Calibri Light"/>
        </w:rPr>
        <w:t>-</w:t>
      </w:r>
      <w:r w:rsidR="003860CD" w:rsidRPr="004A520E">
        <w:rPr>
          <w:rFonts w:cs="Calibri Light"/>
        </w:rPr>
        <w:t xml:space="preserve">held data to </w:t>
      </w:r>
      <w:r w:rsidR="003860CD" w:rsidRPr="00CB55A7">
        <w:rPr>
          <w:rFonts w:cs="Calibri Light"/>
        </w:rPr>
        <w:t>design and administer policies and program</w:t>
      </w:r>
      <w:r w:rsidR="003860CD">
        <w:rPr>
          <w:rFonts w:cs="Calibri Light"/>
        </w:rPr>
        <w:t>s</w:t>
      </w:r>
      <w:r w:rsidR="004F0A5B">
        <w:rPr>
          <w:rFonts w:cs="Calibri Light"/>
        </w:rPr>
        <w:t xml:space="preserve">. This data can </w:t>
      </w:r>
      <w:r w:rsidR="009859B2">
        <w:rPr>
          <w:rFonts w:cs="Calibri Light"/>
        </w:rPr>
        <w:t>contribute to</w:t>
      </w:r>
      <w:r w:rsidR="003860CD" w:rsidRPr="00CB55A7">
        <w:rPr>
          <w:rFonts w:cs="Calibri Light"/>
        </w:rPr>
        <w:t xml:space="preserve"> more effective research and evaluation to assess the effectiveness of programs and policies</w:t>
      </w:r>
      <w:r w:rsidR="00FD54B3">
        <w:rPr>
          <w:rFonts w:cs="Calibri Light"/>
        </w:rPr>
        <w:t xml:space="preserve"> </w:t>
      </w:r>
      <w:sdt>
        <w:sdtPr>
          <w:rPr>
            <w:rFonts w:cs="Calibri Light"/>
          </w:rPr>
          <w:id w:val="-531874978"/>
          <w:citation/>
        </w:sdtPr>
        <w:sdtEndPr/>
        <w:sdtContent>
          <w:r w:rsidR="00B1272C">
            <w:rPr>
              <w:rFonts w:cs="Calibri Light"/>
            </w:rPr>
            <w:fldChar w:fldCharType="begin"/>
          </w:r>
          <w:r w:rsidR="00B1272C">
            <w:rPr>
              <w:rFonts w:cs="Calibri Light"/>
            </w:rPr>
            <w:instrText xml:space="preserve"> CITATION Com232 \l 3081 </w:instrText>
          </w:r>
          <w:r w:rsidR="00B1272C">
            <w:rPr>
              <w:rFonts w:cs="Calibri Light"/>
            </w:rPr>
            <w:fldChar w:fldCharType="separate"/>
          </w:r>
          <w:r w:rsidR="003003B3" w:rsidRPr="003003B3">
            <w:rPr>
              <w:rFonts w:cs="Calibri Light"/>
              <w:noProof/>
            </w:rPr>
            <w:t>(Commonwealth of Australia 2023a)</w:t>
          </w:r>
          <w:r w:rsidR="00B1272C">
            <w:rPr>
              <w:rFonts w:cs="Calibri Light"/>
            </w:rPr>
            <w:fldChar w:fldCharType="end"/>
          </w:r>
        </w:sdtContent>
      </w:sdt>
      <w:r w:rsidR="00B1272C">
        <w:rPr>
          <w:rFonts w:cs="Calibri Light"/>
        </w:rPr>
        <w:t>.</w:t>
      </w:r>
      <w:r w:rsidR="003860CD">
        <w:rPr>
          <w:rFonts w:cs="Calibri Light"/>
        </w:rPr>
        <w:t xml:space="preserve"> Further, through </w:t>
      </w:r>
      <w:r w:rsidR="003860CD" w:rsidRPr="004A520E">
        <w:rPr>
          <w:rFonts w:cs="Calibri Light"/>
        </w:rPr>
        <w:t>‘open data’ policies</w:t>
      </w:r>
      <w:r w:rsidR="003860CD">
        <w:rPr>
          <w:rFonts w:cs="Calibri Light"/>
        </w:rPr>
        <w:t>,</w:t>
      </w:r>
      <w:r w:rsidR="003860CD" w:rsidRPr="004A520E">
        <w:rPr>
          <w:rFonts w:cs="Calibri Light"/>
        </w:rPr>
        <w:t xml:space="preserve"> </w:t>
      </w:r>
      <w:r w:rsidR="003860CD">
        <w:rPr>
          <w:rFonts w:cs="Calibri Light"/>
        </w:rPr>
        <w:t>governments have</w:t>
      </w:r>
      <w:r w:rsidR="003860CD" w:rsidRPr="004A520E">
        <w:rPr>
          <w:rFonts w:cs="Calibri Light"/>
        </w:rPr>
        <w:t xml:space="preserve"> agreed to share public sector data by default to support policy development, service delivery, and decision</w:t>
      </w:r>
      <w:r w:rsidR="00B65D32">
        <w:rPr>
          <w:rFonts w:cs="Calibri Light"/>
        </w:rPr>
        <w:t>-</w:t>
      </w:r>
      <w:r w:rsidR="003860CD" w:rsidRPr="004A520E">
        <w:rPr>
          <w:rFonts w:cs="Calibri Light"/>
        </w:rPr>
        <w:t>making</w:t>
      </w:r>
      <w:r w:rsidR="003C03D6">
        <w:rPr>
          <w:rFonts w:cs="Calibri Light"/>
        </w:rPr>
        <w:t xml:space="preserve"> </w:t>
      </w:r>
      <w:sdt>
        <w:sdtPr>
          <w:rPr>
            <w:rFonts w:cs="Calibri Light"/>
          </w:rPr>
          <w:id w:val="983127624"/>
          <w:citation/>
        </w:sdtPr>
        <w:sdtEndPr/>
        <w:sdtContent>
          <w:r w:rsidR="003C03D6">
            <w:rPr>
              <w:rFonts w:cs="Calibri Light"/>
            </w:rPr>
            <w:fldChar w:fldCharType="begin"/>
          </w:r>
          <w:r w:rsidR="00C74E55">
            <w:rPr>
              <w:rFonts w:cs="Calibri Light"/>
            </w:rPr>
            <w:instrText xml:space="preserve">CITATION Org24 \l 3081 </w:instrText>
          </w:r>
          <w:r w:rsidR="003C03D6">
            <w:rPr>
              <w:rFonts w:cs="Calibri Light"/>
            </w:rPr>
            <w:fldChar w:fldCharType="separate"/>
          </w:r>
          <w:r w:rsidR="003003B3" w:rsidRPr="003003B3">
            <w:rPr>
              <w:rFonts w:cs="Calibri Light"/>
              <w:noProof/>
            </w:rPr>
            <w:t>(OECD 2022)</w:t>
          </w:r>
          <w:r w:rsidR="003C03D6">
            <w:rPr>
              <w:rFonts w:cs="Calibri Light"/>
            </w:rPr>
            <w:fldChar w:fldCharType="end"/>
          </w:r>
        </w:sdtContent>
      </w:sdt>
      <w:r w:rsidR="003860CD" w:rsidRPr="004A520E">
        <w:rPr>
          <w:rFonts w:cs="Calibri Light"/>
        </w:rPr>
        <w:t>.</w:t>
      </w:r>
    </w:p>
    <w:p w14:paraId="0F980FDA" w14:textId="706E464A" w:rsidR="0041067D" w:rsidRDefault="00AB458B" w:rsidP="00662B24">
      <w:pPr>
        <w:pStyle w:val="Heading2"/>
        <w:spacing w:line="240" w:lineRule="auto"/>
      </w:pPr>
      <w:r>
        <w:t>Citizen wellbeing and productivity</w:t>
      </w:r>
    </w:p>
    <w:p w14:paraId="57268B38" w14:textId="71788E8D" w:rsidR="00313137" w:rsidRPr="00602F7E" w:rsidRDefault="00313137" w:rsidP="00662B24">
      <w:pPr>
        <w:rPr>
          <w:rFonts w:cs="Calibri Light"/>
        </w:rPr>
      </w:pPr>
      <w:r w:rsidRPr="00571F70">
        <w:rPr>
          <w:rFonts w:cs="Calibri Light"/>
        </w:rPr>
        <w:t xml:space="preserve">The services </w:t>
      </w:r>
      <w:r w:rsidR="00530CE8">
        <w:rPr>
          <w:rFonts w:cs="Calibri Light"/>
        </w:rPr>
        <w:t>reported on</w:t>
      </w:r>
      <w:r w:rsidR="00530CE8" w:rsidRPr="00571F70">
        <w:rPr>
          <w:rFonts w:cs="Calibri Light"/>
        </w:rPr>
        <w:t xml:space="preserve"> </w:t>
      </w:r>
      <w:r w:rsidR="00530CE8">
        <w:rPr>
          <w:rFonts w:cs="Calibri Light"/>
        </w:rPr>
        <w:t>through</w:t>
      </w:r>
      <w:r w:rsidRPr="00571F70">
        <w:rPr>
          <w:rFonts w:cs="Calibri Light"/>
        </w:rPr>
        <w:t xml:space="preserve"> the RoGS and Dashboard affect the wellbeing of all Australians</w:t>
      </w:r>
      <w:r>
        <w:rPr>
          <w:rFonts w:cs="Calibri Light"/>
        </w:rPr>
        <w:t xml:space="preserve"> and c</w:t>
      </w:r>
      <w:r w:rsidRPr="00571F70">
        <w:rPr>
          <w:rFonts w:cs="Calibri Light"/>
        </w:rPr>
        <w:t xml:space="preserve">ontribute to economic growth in a number of ways. For example, the skills and health of the workforce are affected by the </w:t>
      </w:r>
      <w:r w:rsidR="00765EFF">
        <w:rPr>
          <w:rFonts w:cs="Calibri Light"/>
        </w:rPr>
        <w:t xml:space="preserve">provision of </w:t>
      </w:r>
      <w:r w:rsidRPr="00571F70">
        <w:rPr>
          <w:rFonts w:cs="Calibri Light"/>
        </w:rPr>
        <w:t>health</w:t>
      </w:r>
      <w:r>
        <w:rPr>
          <w:rFonts w:cs="Calibri Light"/>
        </w:rPr>
        <w:t>,</w:t>
      </w:r>
      <w:r w:rsidRPr="00571F70">
        <w:rPr>
          <w:rFonts w:cs="Calibri Light"/>
        </w:rPr>
        <w:t xml:space="preserve"> education</w:t>
      </w:r>
      <w:r>
        <w:rPr>
          <w:rFonts w:cs="Calibri Light"/>
        </w:rPr>
        <w:t xml:space="preserve"> and housing </w:t>
      </w:r>
      <w:r w:rsidR="00765EFF">
        <w:rPr>
          <w:rFonts w:cs="Calibri Light"/>
        </w:rPr>
        <w:t xml:space="preserve">services, </w:t>
      </w:r>
      <w:r w:rsidR="0099298A">
        <w:rPr>
          <w:rFonts w:cs="Calibri Light"/>
        </w:rPr>
        <w:t>which</w:t>
      </w:r>
      <w:r w:rsidR="00765EFF">
        <w:rPr>
          <w:rFonts w:cs="Calibri Light"/>
        </w:rPr>
        <w:t xml:space="preserve"> in turn affect productivity</w:t>
      </w:r>
      <w:r>
        <w:rPr>
          <w:rFonts w:cs="Calibri Light"/>
        </w:rPr>
        <w:t xml:space="preserve">. </w:t>
      </w:r>
      <w:r w:rsidR="00905AF6">
        <w:rPr>
          <w:rFonts w:cs="Calibri Light"/>
        </w:rPr>
        <w:t>T</w:t>
      </w:r>
      <w:r w:rsidRPr="00571F70">
        <w:rPr>
          <w:rFonts w:cs="Calibri Light"/>
        </w:rPr>
        <w:t xml:space="preserve">he services covered by RoGS </w:t>
      </w:r>
      <w:r w:rsidR="00DB2F64">
        <w:rPr>
          <w:rFonts w:cs="Calibri Light"/>
        </w:rPr>
        <w:t xml:space="preserve">reporting </w:t>
      </w:r>
      <w:r w:rsidRPr="00571F70">
        <w:rPr>
          <w:rFonts w:cs="Calibri Light"/>
        </w:rPr>
        <w:t>receive significant government funding — approximately $348 billion in 2021</w:t>
      </w:r>
      <w:r w:rsidR="00CE1949">
        <w:rPr>
          <w:rFonts w:cs="Calibri Light"/>
        </w:rPr>
        <w:t>–</w:t>
      </w:r>
      <w:r w:rsidRPr="00571F70">
        <w:rPr>
          <w:rFonts w:cs="Calibri Light"/>
        </w:rPr>
        <w:t>22</w:t>
      </w:r>
      <w:r w:rsidR="001D6A3C">
        <w:rPr>
          <w:rFonts w:cs="Calibri Light"/>
        </w:rPr>
        <w:t>. This is</w:t>
      </w:r>
      <w:r w:rsidRPr="00571F70">
        <w:rPr>
          <w:rFonts w:cs="Calibri Light"/>
        </w:rPr>
        <w:t xml:space="preserve"> around 7</w:t>
      </w:r>
      <w:r w:rsidR="003C03D6">
        <w:rPr>
          <w:rFonts w:cs="Calibri Light"/>
        </w:rPr>
        <w:t>0</w:t>
      </w:r>
      <w:r>
        <w:rPr>
          <w:rFonts w:cs="Calibri Light"/>
        </w:rPr>
        <w:t xml:space="preserve"> per cent</w:t>
      </w:r>
      <w:r w:rsidRPr="00571F70">
        <w:rPr>
          <w:rFonts w:cs="Calibri Light"/>
        </w:rPr>
        <w:t xml:space="preserve"> of government recurrent expenditure and </w:t>
      </w:r>
      <w:r w:rsidR="001D6A3C">
        <w:rPr>
          <w:rFonts w:cs="Calibri Light"/>
        </w:rPr>
        <w:t xml:space="preserve">is </w:t>
      </w:r>
      <w:r w:rsidRPr="00571F70">
        <w:rPr>
          <w:rFonts w:cs="Calibri Light"/>
        </w:rPr>
        <w:t>equivalent to around 15</w:t>
      </w:r>
      <w:r w:rsidR="00906DD3">
        <w:rPr>
          <w:rFonts w:cs="Calibri Light"/>
        </w:rPr>
        <w:t xml:space="preserve"> per cent </w:t>
      </w:r>
      <w:r w:rsidRPr="00571F70">
        <w:rPr>
          <w:rFonts w:cs="Calibri Light"/>
        </w:rPr>
        <w:t>of gross domestic product</w:t>
      </w:r>
      <w:r w:rsidR="00EA1EE2">
        <w:rPr>
          <w:rFonts w:cs="Calibri Light"/>
        </w:rPr>
        <w:t xml:space="preserve"> (GDP)</w:t>
      </w:r>
      <w:r w:rsidR="00B86095">
        <w:rPr>
          <w:rFonts w:cs="Calibri Light"/>
        </w:rPr>
        <w:t xml:space="preserve"> </w:t>
      </w:r>
      <w:sdt>
        <w:sdtPr>
          <w:rPr>
            <w:rFonts w:cs="Calibri Light"/>
          </w:rPr>
          <w:id w:val="2116931699"/>
          <w:citation/>
        </w:sdtPr>
        <w:sdtEndPr/>
        <w:sdtContent>
          <w:r w:rsidR="00302B53">
            <w:rPr>
              <w:rFonts w:cs="Calibri Light"/>
            </w:rPr>
            <w:fldChar w:fldCharType="begin"/>
          </w:r>
          <w:r w:rsidR="00C74E55">
            <w:rPr>
              <w:rFonts w:cs="Calibri Light"/>
            </w:rPr>
            <w:instrText xml:space="preserve">CITATION Ste241 \l 3081 </w:instrText>
          </w:r>
          <w:r w:rsidR="00302B53">
            <w:rPr>
              <w:rFonts w:cs="Calibri Light"/>
            </w:rPr>
            <w:fldChar w:fldCharType="separate"/>
          </w:r>
          <w:r w:rsidR="003003B3" w:rsidRPr="003003B3">
            <w:rPr>
              <w:rFonts w:cs="Calibri Light"/>
              <w:noProof/>
            </w:rPr>
            <w:t>(Steering Committee 2024a)</w:t>
          </w:r>
          <w:r w:rsidR="00302B53">
            <w:rPr>
              <w:rFonts w:cs="Calibri Light"/>
            </w:rPr>
            <w:fldChar w:fldCharType="end"/>
          </w:r>
        </w:sdtContent>
      </w:sdt>
      <w:r w:rsidRPr="00571F70">
        <w:rPr>
          <w:rFonts w:cs="Calibri Light"/>
        </w:rPr>
        <w:t xml:space="preserve">. </w:t>
      </w:r>
      <w:r w:rsidRPr="00C344B6">
        <w:rPr>
          <w:rFonts w:cs="Calibri Light"/>
        </w:rPr>
        <w:t xml:space="preserve">At a time when </w:t>
      </w:r>
      <w:r>
        <w:rPr>
          <w:rFonts w:cs="Calibri Light"/>
        </w:rPr>
        <w:t>productivity in government</w:t>
      </w:r>
      <w:r w:rsidR="00B65D32">
        <w:rPr>
          <w:rFonts w:cs="Calibri Light"/>
        </w:rPr>
        <w:t>-</w:t>
      </w:r>
      <w:r>
        <w:rPr>
          <w:rFonts w:cs="Calibri Light"/>
        </w:rPr>
        <w:t>funded services, and the non</w:t>
      </w:r>
      <w:r w:rsidR="00B65D32">
        <w:rPr>
          <w:rFonts w:cs="Calibri Light"/>
        </w:rPr>
        <w:t>-</w:t>
      </w:r>
      <w:r>
        <w:rPr>
          <w:rFonts w:cs="Calibri Light"/>
        </w:rPr>
        <w:t>market sector more broadly, is declining, ensuring that both the RoGS and Dashboard are fit</w:t>
      </w:r>
      <w:r w:rsidR="008A409E">
        <w:rPr>
          <w:rFonts w:cs="Calibri Light"/>
        </w:rPr>
        <w:t xml:space="preserve"> </w:t>
      </w:r>
      <w:r>
        <w:rPr>
          <w:rFonts w:cs="Calibri Light"/>
        </w:rPr>
        <w:t>for</w:t>
      </w:r>
      <w:r w:rsidR="008A409E">
        <w:rPr>
          <w:rFonts w:cs="Calibri Light"/>
        </w:rPr>
        <w:t xml:space="preserve"> </w:t>
      </w:r>
      <w:r>
        <w:rPr>
          <w:rFonts w:cs="Calibri Light"/>
        </w:rPr>
        <w:t xml:space="preserve">purpose </w:t>
      </w:r>
      <w:r w:rsidR="00DF041D">
        <w:rPr>
          <w:rFonts w:cs="Calibri Light"/>
        </w:rPr>
        <w:t xml:space="preserve">to </w:t>
      </w:r>
      <w:r>
        <w:rPr>
          <w:rFonts w:cs="Calibri Light"/>
        </w:rPr>
        <w:t xml:space="preserve">assist governments </w:t>
      </w:r>
      <w:r w:rsidR="00DF041D">
        <w:rPr>
          <w:rFonts w:cs="Calibri Light"/>
        </w:rPr>
        <w:t xml:space="preserve">in </w:t>
      </w:r>
      <w:r>
        <w:rPr>
          <w:rFonts w:cs="Calibri Light"/>
        </w:rPr>
        <w:t>deliver</w:t>
      </w:r>
      <w:r w:rsidR="00DF041D">
        <w:rPr>
          <w:rFonts w:cs="Calibri Light"/>
        </w:rPr>
        <w:t>ing</w:t>
      </w:r>
      <w:r>
        <w:rPr>
          <w:rFonts w:cs="Calibri Light"/>
        </w:rPr>
        <w:t xml:space="preserve"> </w:t>
      </w:r>
      <w:r w:rsidRPr="00C344B6">
        <w:rPr>
          <w:rFonts w:cs="Calibri Light"/>
        </w:rPr>
        <w:t>better quality outcomes alongside better value for money</w:t>
      </w:r>
      <w:r>
        <w:rPr>
          <w:rFonts w:cs="Calibri Light"/>
        </w:rPr>
        <w:t xml:space="preserve"> </w:t>
      </w:r>
      <w:r w:rsidRPr="00C344B6">
        <w:rPr>
          <w:rFonts w:cs="Calibri Light"/>
        </w:rPr>
        <w:t xml:space="preserve">is </w:t>
      </w:r>
      <w:r w:rsidR="00BB4875">
        <w:rPr>
          <w:rFonts w:cs="Calibri Light"/>
        </w:rPr>
        <w:t xml:space="preserve">particularly </w:t>
      </w:r>
      <w:r w:rsidR="00C050CF">
        <w:rPr>
          <w:rFonts w:cs="Calibri Light"/>
        </w:rPr>
        <w:t>important</w:t>
      </w:r>
      <w:r w:rsidR="00906DD3">
        <w:rPr>
          <w:rFonts w:cs="Calibri Light"/>
        </w:rPr>
        <w:t xml:space="preserve"> </w:t>
      </w:r>
      <w:sdt>
        <w:sdtPr>
          <w:rPr>
            <w:rFonts w:cs="Calibri Light"/>
          </w:rPr>
          <w:id w:val="-1657980705"/>
          <w:citation/>
        </w:sdtPr>
        <w:sdtEndPr/>
        <w:sdtContent>
          <w:r w:rsidR="00162B4C">
            <w:rPr>
              <w:rFonts w:cs="Calibri Light"/>
            </w:rPr>
            <w:fldChar w:fldCharType="begin"/>
          </w:r>
          <w:r w:rsidR="00D508FD">
            <w:rPr>
              <w:rFonts w:cs="Calibri Light"/>
            </w:rPr>
            <w:instrText xml:space="preserve">CITATION ProQPB24 \l 3081 </w:instrText>
          </w:r>
          <w:r w:rsidR="00162B4C">
            <w:rPr>
              <w:rFonts w:cs="Calibri Light"/>
            </w:rPr>
            <w:fldChar w:fldCharType="separate"/>
          </w:r>
          <w:r w:rsidR="00D508FD" w:rsidRPr="00D508FD">
            <w:rPr>
              <w:rFonts w:cs="Calibri Light"/>
              <w:noProof/>
            </w:rPr>
            <w:t>(PC 2024a)</w:t>
          </w:r>
          <w:r w:rsidR="00162B4C">
            <w:rPr>
              <w:rFonts w:cs="Calibri Light"/>
            </w:rPr>
            <w:fldChar w:fldCharType="end"/>
          </w:r>
        </w:sdtContent>
      </w:sdt>
      <w:r w:rsidRPr="00C344B6">
        <w:rPr>
          <w:rFonts w:cs="Calibri Light"/>
        </w:rPr>
        <w:t>.</w:t>
      </w:r>
    </w:p>
    <w:p w14:paraId="41A6110F" w14:textId="5014BD8E" w:rsidR="00AB458B" w:rsidRDefault="00AE09B4" w:rsidP="00662B24">
      <w:pPr>
        <w:pStyle w:val="Heading2"/>
        <w:spacing w:line="240" w:lineRule="auto"/>
      </w:pPr>
      <w:r>
        <w:t>The value of government performance reporting</w:t>
      </w:r>
    </w:p>
    <w:p w14:paraId="0760E47F" w14:textId="45624F56" w:rsidR="008F6BBA" w:rsidRDefault="008F6BBA" w:rsidP="002D1FD1">
      <w:r w:rsidRPr="005869DA">
        <w:t>International and Australian research and experience finds that performance reporting can enhance the effectiveness and efficiency of the delivery of government services</w:t>
      </w:r>
      <w:r w:rsidR="006E5AB0">
        <w:t xml:space="preserve"> </w:t>
      </w:r>
      <w:sdt>
        <w:sdtPr>
          <w:id w:val="-1812394247"/>
          <w:citation/>
        </w:sdtPr>
        <w:sdtEndPr/>
        <w:sdtContent>
          <w:r w:rsidR="006E5AB0">
            <w:fldChar w:fldCharType="begin"/>
          </w:r>
          <w:r w:rsidR="006E5AB0">
            <w:instrText xml:space="preserve"> CITATION Phi18 \l 3081 </w:instrText>
          </w:r>
          <w:r w:rsidR="006E5AB0">
            <w:fldChar w:fldCharType="separate"/>
          </w:r>
          <w:r w:rsidR="003003B3" w:rsidRPr="003003B3">
            <w:t>(Phillips 2018)</w:t>
          </w:r>
          <w:r w:rsidR="006E5AB0">
            <w:fldChar w:fldCharType="end"/>
          </w:r>
        </w:sdtContent>
      </w:sdt>
      <w:r w:rsidRPr="005869DA">
        <w:t xml:space="preserve">. </w:t>
      </w:r>
      <w:r>
        <w:t>However, this research acknowledges that measuring outcomes in the public sector can be challenging</w:t>
      </w:r>
      <w:r w:rsidR="00872D9B">
        <w:t>.</w:t>
      </w:r>
      <w:r>
        <w:t xml:space="preserve"> </w:t>
      </w:r>
      <w:r w:rsidR="00482973">
        <w:t>Challenges include</w:t>
      </w:r>
      <w:r>
        <w:t xml:space="preserve"> the absence of market prices, </w:t>
      </w:r>
      <w:r w:rsidR="0041212D">
        <w:t xml:space="preserve">different </w:t>
      </w:r>
      <w:r w:rsidR="00840D49">
        <w:t xml:space="preserve">government </w:t>
      </w:r>
      <w:r>
        <w:t>objectives</w:t>
      </w:r>
      <w:r w:rsidR="00840D49">
        <w:t xml:space="preserve">, </w:t>
      </w:r>
      <w:r>
        <w:t xml:space="preserve">and delays between implementing policies and </w:t>
      </w:r>
      <w:r w:rsidR="00985FFE">
        <w:t xml:space="preserve">being able to measure </w:t>
      </w:r>
      <w:r>
        <w:t>their impact.</w:t>
      </w:r>
    </w:p>
    <w:p w14:paraId="2B2A85E0" w14:textId="30C40039" w:rsidR="008F6BBA" w:rsidRPr="000177F8" w:rsidRDefault="008F6BBA" w:rsidP="002D1FD1">
      <w:r w:rsidRPr="005869DA">
        <w:t>Good performance reporting provides the public with meaningful information on what governments have done and the results achieved</w:t>
      </w:r>
      <w:r w:rsidR="003B2FB9">
        <w:t xml:space="preserve"> </w:t>
      </w:r>
      <w:sdt>
        <w:sdtPr>
          <w:id w:val="368883707"/>
          <w:citation/>
        </w:sdtPr>
        <w:sdtEndPr/>
        <w:sdtContent>
          <w:r w:rsidR="003B2FB9">
            <w:fldChar w:fldCharType="begin"/>
          </w:r>
          <w:r w:rsidR="003B2FB9">
            <w:instrText xml:space="preserve"> CITATION Aus231 \l 3081 </w:instrText>
          </w:r>
          <w:r w:rsidR="003B2FB9">
            <w:fldChar w:fldCharType="separate"/>
          </w:r>
          <w:r w:rsidR="003003B3" w:rsidRPr="003003B3">
            <w:t>(Australian National Audit Office 2023)</w:t>
          </w:r>
          <w:r w:rsidR="003B2FB9">
            <w:fldChar w:fldCharType="end"/>
          </w:r>
        </w:sdtContent>
      </w:sdt>
      <w:r w:rsidRPr="005869DA">
        <w:t>. It helps improve outcomes for users, decision</w:t>
      </w:r>
      <w:r w:rsidR="00B65D32">
        <w:t>-</w:t>
      </w:r>
      <w:r w:rsidRPr="005869DA">
        <w:t>making and performance, increases accountability, openness and transparency, and helps build trust in the public sector</w:t>
      </w:r>
      <w:r w:rsidR="003B2FB9">
        <w:t xml:space="preserve"> </w:t>
      </w:r>
      <w:sdt>
        <w:sdtPr>
          <w:id w:val="-1645726347"/>
          <w:citation/>
        </w:sdtPr>
        <w:sdtEndPr/>
        <w:sdtContent>
          <w:r w:rsidR="009C2068">
            <w:fldChar w:fldCharType="begin"/>
          </w:r>
          <w:r w:rsidR="009C2068">
            <w:instrText xml:space="preserve"> CITATION Con16 \l 3081 </w:instrText>
          </w:r>
          <w:r w:rsidR="009C2068">
            <w:fldChar w:fldCharType="separate"/>
          </w:r>
          <w:r w:rsidR="003003B3" w:rsidRPr="003003B3">
            <w:t>(Controller and Auditor-General of New Zealand 2016)</w:t>
          </w:r>
          <w:r w:rsidR="009C2068">
            <w:fldChar w:fldCharType="end"/>
          </w:r>
        </w:sdtContent>
      </w:sdt>
      <w:r w:rsidRPr="005869DA">
        <w:t xml:space="preserve">. </w:t>
      </w:r>
      <w:r w:rsidRPr="002F4B1C">
        <w:t>The RoGS and Dashboard pursue, or support the pursuit of, all these objectives</w:t>
      </w:r>
      <w:r>
        <w:t xml:space="preserve">. </w:t>
      </w:r>
    </w:p>
    <w:p w14:paraId="324B0CC8" w14:textId="77777777" w:rsidR="0064418F" w:rsidRPr="00AB438A" w:rsidRDefault="0064418F">
      <w:pPr>
        <w:rPr>
          <w:rFonts w:ascii="Calibri" w:hAnsi="Calibri" w:cs="Arial"/>
          <w:b/>
          <w:kern w:val="32"/>
          <w:sz w:val="44"/>
          <w:szCs w:val="36"/>
        </w:rPr>
      </w:pPr>
      <w:r>
        <w:br w:type="page"/>
      </w:r>
    </w:p>
    <w:p w14:paraId="4D072ACC" w14:textId="77777777" w:rsidR="00E545D8" w:rsidRDefault="003E59F9" w:rsidP="003E59F9">
      <w:pPr>
        <w:pStyle w:val="Heading1"/>
      </w:pPr>
      <w:bookmarkStart w:id="10" w:name="_Ref180484529"/>
      <w:bookmarkStart w:id="11" w:name="_Toc189559046"/>
      <w:r>
        <w:t>Chapter 2: Overview of the reporting products</w:t>
      </w:r>
      <w:bookmarkEnd w:id="10"/>
      <w:bookmarkEnd w:id="11"/>
    </w:p>
    <w:p w14:paraId="0DD2FF63" w14:textId="2548F6EB" w:rsidR="00E545D8" w:rsidRDefault="00751309" w:rsidP="00662B24">
      <w:pPr>
        <w:pStyle w:val="Heading2"/>
        <w:spacing w:line="240" w:lineRule="auto"/>
      </w:pPr>
      <w:r>
        <w:t>The Report on Government Services</w:t>
      </w:r>
    </w:p>
    <w:p w14:paraId="7AD3F858" w14:textId="49943E2A" w:rsidR="00796D55" w:rsidRPr="00796D55" w:rsidRDefault="00796D55" w:rsidP="00662B24">
      <w:r w:rsidRPr="00796D55">
        <w:t>The RoGS provides information on the equity, efficiency and effectiveness of government service delivery in Australia. The first RoGS was released in 1995.</w:t>
      </w:r>
    </w:p>
    <w:p w14:paraId="30EB5117" w14:textId="2DBE9EDB" w:rsidR="00796D55" w:rsidRPr="00796D55" w:rsidRDefault="00796D55" w:rsidP="00662B24">
      <w:r w:rsidRPr="00796D55">
        <w:t>The RoGS is produced by the Steering Committee for the Review of Government Service Provision (the Steering Committee)</w:t>
      </w:r>
      <w:r w:rsidR="00EC717C">
        <w:t xml:space="preserve"> which was</w:t>
      </w:r>
      <w:r w:rsidRPr="00796D55">
        <w:t xml:space="preserve"> established </w:t>
      </w:r>
      <w:r w:rsidR="00A717F3">
        <w:t xml:space="preserve">by </w:t>
      </w:r>
      <w:r w:rsidRPr="00796D55">
        <w:t xml:space="preserve">COAG in 1993 </w:t>
      </w:r>
      <w:sdt>
        <w:sdtPr>
          <w:id w:val="310381551"/>
          <w:citation/>
        </w:sdtPr>
        <w:sdtEndPr/>
        <w:sdtContent>
          <w:r w:rsidRPr="00796D55">
            <w:fldChar w:fldCharType="begin"/>
          </w:r>
          <w:r w:rsidR="001D498A">
            <w:instrText xml:space="preserve">CITATION Placeholder1 \l 3081 </w:instrText>
          </w:r>
          <w:r w:rsidRPr="00796D55">
            <w:fldChar w:fldCharType="separate"/>
          </w:r>
          <w:r w:rsidR="001D498A">
            <w:rPr>
              <w:noProof/>
            </w:rPr>
            <w:t>(Steering Committee for Review of Commonwealth/State Service Provision 1995)</w:t>
          </w:r>
          <w:r w:rsidRPr="00796D55">
            <w:fldChar w:fldCharType="end"/>
          </w:r>
        </w:sdtContent>
      </w:sdt>
      <w:r w:rsidRPr="00796D55">
        <w:t>.</w:t>
      </w:r>
    </w:p>
    <w:p w14:paraId="4E92A26A" w14:textId="450A6060" w:rsidR="00796D55" w:rsidRPr="00796D55" w:rsidRDefault="00796D55" w:rsidP="00662B24">
      <w:r w:rsidRPr="00796D55">
        <w:t xml:space="preserve">Since 1997, the RoGS has been released </w:t>
      </w:r>
      <w:r w:rsidR="008B5EF1">
        <w:t xml:space="preserve">in </w:t>
      </w:r>
      <w:r w:rsidRPr="00796D55">
        <w:t>late January and early February</w:t>
      </w:r>
      <w:r w:rsidR="007C60BA">
        <w:t xml:space="preserve"> each year</w:t>
      </w:r>
      <w:r w:rsidRPr="00796D55">
        <w:t xml:space="preserve">. </w:t>
      </w:r>
      <w:r w:rsidR="00A717F3">
        <w:t>A</w:t>
      </w:r>
      <w:r w:rsidRPr="00796D55">
        <w:t xml:space="preserve"> mid</w:t>
      </w:r>
      <w:r w:rsidR="00B65D32">
        <w:t>-</w:t>
      </w:r>
      <w:r w:rsidRPr="00796D55">
        <w:t xml:space="preserve">year release </w:t>
      </w:r>
      <w:r w:rsidR="00A717F3">
        <w:t>around</w:t>
      </w:r>
      <w:r w:rsidRPr="00796D55">
        <w:t xml:space="preserve"> May</w:t>
      </w:r>
      <w:r w:rsidR="00885BBD">
        <w:t xml:space="preserve"> was</w:t>
      </w:r>
      <w:r w:rsidR="00A717F3">
        <w:t xml:space="preserve"> introduced in 2020,</w:t>
      </w:r>
      <w:r w:rsidRPr="00796D55">
        <w:t xml:space="preserve"> </w:t>
      </w:r>
      <w:r w:rsidR="00885BBD">
        <w:t xml:space="preserve">and </w:t>
      </w:r>
      <w:r w:rsidRPr="00796D55">
        <w:t xml:space="preserve">provides updated data for a subset of indicators on education, justice, and housing services. </w:t>
      </w:r>
    </w:p>
    <w:p w14:paraId="6523438B" w14:textId="0417B028" w:rsidR="00751309" w:rsidRDefault="00796D55" w:rsidP="002D1FD1">
      <w:pPr>
        <w:pStyle w:val="Heading3"/>
      </w:pPr>
      <w:r>
        <w:t>Scope and coverage</w:t>
      </w:r>
    </w:p>
    <w:p w14:paraId="1A232A8A" w14:textId="455C7AD3" w:rsidR="00E66640" w:rsidRPr="00E66640" w:rsidRDefault="00E66640" w:rsidP="00662B24">
      <w:r w:rsidRPr="00E66640">
        <w:t xml:space="preserve">The </w:t>
      </w:r>
      <w:r w:rsidR="00ED1526">
        <w:t>first</w:t>
      </w:r>
      <w:r w:rsidR="00ED1526" w:rsidRPr="00E66640">
        <w:t xml:space="preserve"> </w:t>
      </w:r>
      <w:r w:rsidRPr="00E66640">
        <w:t>RoGS in 1995 reported against 94 indicators across 10 service sectors</w:t>
      </w:r>
      <w:r w:rsidR="00ED1526">
        <w:t>,</w:t>
      </w:r>
      <w:r w:rsidRPr="00E66640">
        <w:t xml:space="preserve"> which accounted for 9</w:t>
      </w:r>
      <w:r w:rsidR="00B26944">
        <w:t> </w:t>
      </w:r>
      <w:r w:rsidRPr="00E66640">
        <w:t>per cent of Australia’s GDP at the time</w:t>
      </w:r>
      <w:sdt>
        <w:sdtPr>
          <w:id w:val="-1102024470"/>
          <w:citation/>
        </w:sdtPr>
        <w:sdtEndPr/>
        <w:sdtContent>
          <w:r w:rsidRPr="00E66640">
            <w:fldChar w:fldCharType="begin"/>
          </w:r>
          <w:r w:rsidR="001D498A">
            <w:instrText xml:space="preserve">CITATION Placeholder1 \l 3081 </w:instrText>
          </w:r>
          <w:r w:rsidRPr="00E66640">
            <w:fldChar w:fldCharType="separate"/>
          </w:r>
          <w:r w:rsidR="001D498A">
            <w:rPr>
              <w:noProof/>
            </w:rPr>
            <w:t xml:space="preserve"> (Steering Committee for Review of Commonwealth/State Service Provision 1995)</w:t>
          </w:r>
          <w:r w:rsidRPr="00E66640">
            <w:fldChar w:fldCharType="end"/>
          </w:r>
        </w:sdtContent>
      </w:sdt>
      <w:r w:rsidRPr="00E66640">
        <w:t xml:space="preserve">. </w:t>
      </w:r>
      <w:r w:rsidR="00A74CFD" w:rsidRPr="00A74CFD">
        <w:t>It was not practical to cover all significant government services in the early years of the RoGS.</w:t>
      </w:r>
      <w:r w:rsidR="00A74CFD" w:rsidRPr="00A74CFD" w:rsidDel="00A74CFD">
        <w:t xml:space="preserve"> </w:t>
      </w:r>
      <w:r w:rsidR="00982D39">
        <w:t xml:space="preserve">The </w:t>
      </w:r>
      <w:r w:rsidR="004A274C">
        <w:t>coverage</w:t>
      </w:r>
      <w:r w:rsidR="00FA4A35">
        <w:t xml:space="preserve"> of the</w:t>
      </w:r>
      <w:r w:rsidR="00943B26" w:rsidRPr="00943B26">
        <w:t xml:space="preserve"> 1995 R</w:t>
      </w:r>
      <w:r w:rsidR="00802591">
        <w:t>oGS</w:t>
      </w:r>
      <w:r w:rsidR="00943B26" w:rsidRPr="00943B26">
        <w:t xml:space="preserve"> was based on </w:t>
      </w:r>
      <w:r w:rsidR="009A0B61">
        <w:t>the size of sectors</w:t>
      </w:r>
      <w:r w:rsidR="00822F37">
        <w:t xml:space="preserve">, how easy </w:t>
      </w:r>
      <w:r w:rsidR="0016047B">
        <w:t xml:space="preserve">it was to monitor </w:t>
      </w:r>
      <w:r w:rsidR="00E426E6">
        <w:t>and</w:t>
      </w:r>
      <w:r w:rsidR="0071650F">
        <w:t xml:space="preserve"> influence performance improvement, </w:t>
      </w:r>
      <w:r w:rsidR="00292351">
        <w:t xml:space="preserve">and </w:t>
      </w:r>
      <w:r w:rsidR="00943B26" w:rsidRPr="00943B26">
        <w:t xml:space="preserve">the ability to </w:t>
      </w:r>
      <w:r w:rsidR="000D160A">
        <w:t>create</w:t>
      </w:r>
      <w:r w:rsidR="00943B26" w:rsidRPr="00943B26">
        <w:t xml:space="preserve"> appropriate quantitative indicators. The </w:t>
      </w:r>
      <w:r w:rsidR="00802591">
        <w:t>1995 RoGS</w:t>
      </w:r>
      <w:r w:rsidR="00943B26" w:rsidRPr="00943B26">
        <w:t xml:space="preserve"> encouraged jurisdictions to collect better information about their performance</w:t>
      </w:r>
      <w:r w:rsidR="00236CCC">
        <w:t>,</w:t>
      </w:r>
      <w:r w:rsidR="00943B26" w:rsidRPr="00943B26">
        <w:t xml:space="preserve"> and encouraged the Steering Committee to expand the Report to cover additional areas of government </w:t>
      </w:r>
      <w:r w:rsidR="00001D11">
        <w:t>expenditure</w:t>
      </w:r>
      <w:r w:rsidR="004B62DA">
        <w:t xml:space="preserve"> </w:t>
      </w:r>
      <w:sdt>
        <w:sdtPr>
          <w:id w:val="1968083235"/>
          <w:citation/>
        </w:sdtPr>
        <w:sdtEndPr/>
        <w:sdtContent>
          <w:r w:rsidR="004B62DA">
            <w:fldChar w:fldCharType="begin"/>
          </w:r>
          <w:r w:rsidR="001D498A">
            <w:instrText xml:space="preserve">CITATION Ste97 \l 3081 </w:instrText>
          </w:r>
          <w:r w:rsidR="004B62DA">
            <w:fldChar w:fldCharType="separate"/>
          </w:r>
          <w:r w:rsidR="001D498A">
            <w:rPr>
              <w:noProof/>
            </w:rPr>
            <w:t>(Steering Committee for Review of Commonwealth/State Service Provision 1997)</w:t>
          </w:r>
          <w:r w:rsidR="004B62DA">
            <w:fldChar w:fldCharType="end"/>
          </w:r>
        </w:sdtContent>
      </w:sdt>
      <w:r w:rsidR="00001D11">
        <w:t xml:space="preserve">. </w:t>
      </w:r>
      <w:r w:rsidRPr="00E66640">
        <w:t xml:space="preserve">Over time, the RoGS has expanded its </w:t>
      </w:r>
      <w:r w:rsidR="0005358B">
        <w:t>scop</w:t>
      </w:r>
      <w:r w:rsidR="0005358B" w:rsidRPr="00E66640">
        <w:t>e</w:t>
      </w:r>
      <w:r w:rsidR="00797563">
        <w:t xml:space="preserve">. </w:t>
      </w:r>
      <w:r w:rsidR="00D55CC7">
        <w:t xml:space="preserve">In </w:t>
      </w:r>
      <w:r w:rsidRPr="00E66640">
        <w:t xml:space="preserve">2024 </w:t>
      </w:r>
      <w:r w:rsidR="00D55CC7">
        <w:t xml:space="preserve">the </w:t>
      </w:r>
      <w:r w:rsidRPr="00E66640">
        <w:t>RoGS include</w:t>
      </w:r>
      <w:r w:rsidR="00D55CC7">
        <w:t>d</w:t>
      </w:r>
      <w:r w:rsidRPr="00E66640">
        <w:t xml:space="preserve"> 236</w:t>
      </w:r>
      <w:r w:rsidR="00BC2F32">
        <w:t> </w:t>
      </w:r>
      <w:r w:rsidRPr="00E66640">
        <w:t xml:space="preserve">indicators across </w:t>
      </w:r>
      <w:r w:rsidR="009B3E7D">
        <w:t xml:space="preserve">6 sectors and </w:t>
      </w:r>
      <w:r w:rsidRPr="00E66640">
        <w:t xml:space="preserve">17 service </w:t>
      </w:r>
      <w:r w:rsidR="009B3E7D">
        <w:t>areas</w:t>
      </w:r>
      <w:r w:rsidR="000C670A">
        <w:t>. T</w:t>
      </w:r>
      <w:r w:rsidRPr="00E66640">
        <w:t xml:space="preserve">ogether </w:t>
      </w:r>
      <w:r w:rsidR="000C670A">
        <w:t xml:space="preserve">this </w:t>
      </w:r>
      <w:r w:rsidRPr="00E66640">
        <w:t>account</w:t>
      </w:r>
      <w:r w:rsidR="000C670A">
        <w:t>ed</w:t>
      </w:r>
      <w:r w:rsidRPr="00E66640">
        <w:t xml:space="preserve"> for 15 per cent of gross domestic product (GDP) and around 70 per cent of recurrent government expenditure </w:t>
      </w:r>
      <w:sdt>
        <w:sdtPr>
          <w:id w:val="388922444"/>
          <w:citation/>
        </w:sdtPr>
        <w:sdtEndPr/>
        <w:sdtContent>
          <w:r w:rsidR="00372B13">
            <w:fldChar w:fldCharType="begin"/>
          </w:r>
          <w:r w:rsidR="00C74E55">
            <w:instrText xml:space="preserve">CITATION Ste241 \l 3081 </w:instrText>
          </w:r>
          <w:r w:rsidR="00372B13">
            <w:fldChar w:fldCharType="separate"/>
          </w:r>
          <w:r w:rsidR="003003B3">
            <w:rPr>
              <w:noProof/>
            </w:rPr>
            <w:t>(Steering Committee 2024a)</w:t>
          </w:r>
          <w:r w:rsidR="00372B13">
            <w:fldChar w:fldCharType="end"/>
          </w:r>
        </w:sdtContent>
      </w:sdt>
      <w:r w:rsidRPr="00E66640">
        <w:t>.</w:t>
      </w:r>
    </w:p>
    <w:p w14:paraId="420A96D4" w14:textId="78D41B6F" w:rsidR="00E66640" w:rsidRDefault="004B7F9A" w:rsidP="002D1FD1">
      <w:pPr>
        <w:pStyle w:val="Heading3"/>
      </w:pPr>
      <w:r>
        <w:t>Performance reporting model</w:t>
      </w:r>
    </w:p>
    <w:p w14:paraId="33288B4E" w14:textId="0A50EB78" w:rsidR="002B4D7E" w:rsidRDefault="00D67755" w:rsidP="00DD3612">
      <w:pPr>
        <w:rPr>
          <w:rFonts w:cs="Calibri Light"/>
          <w:noProof/>
          <w:color w:val="C00000"/>
        </w:rPr>
      </w:pPr>
      <w:r w:rsidRPr="007B1047">
        <w:rPr>
          <w:rFonts w:cs="Calibri Light"/>
          <w:color w:val="000000" w:themeColor="text1"/>
        </w:rPr>
        <w:t>Performance indicators form the basis of the measurement approach in the RoGS</w:t>
      </w:r>
      <w:r w:rsidR="00926DD3">
        <w:rPr>
          <w:rFonts w:cs="Calibri Light"/>
          <w:color w:val="000000" w:themeColor="text1"/>
        </w:rPr>
        <w:t>. This is</w:t>
      </w:r>
      <w:r w:rsidRPr="007B1047">
        <w:rPr>
          <w:rFonts w:cs="Calibri Light"/>
          <w:color w:val="000000" w:themeColor="text1"/>
        </w:rPr>
        <w:t xml:space="preserve"> underpinned by </w:t>
      </w:r>
      <w:r w:rsidRPr="002F731F">
        <w:rPr>
          <w:rFonts w:cs="Calibri Light"/>
          <w:color w:val="000000" w:themeColor="text1"/>
        </w:rPr>
        <w:t xml:space="preserve">a </w:t>
      </w:r>
      <w:r w:rsidRPr="00E80E7B">
        <w:rPr>
          <w:rFonts w:cs="Calibri Light"/>
          <w:color w:val="000000" w:themeColor="text1"/>
        </w:rPr>
        <w:t>common performance indicator framework</w:t>
      </w:r>
      <w:r w:rsidR="00926DD3">
        <w:rPr>
          <w:rFonts w:cs="Calibri Light"/>
          <w:color w:val="000000" w:themeColor="text1"/>
        </w:rPr>
        <w:t xml:space="preserve"> which is </w:t>
      </w:r>
      <w:r w:rsidRPr="00E80E7B">
        <w:rPr>
          <w:rFonts w:cs="Calibri Light"/>
          <w:color w:val="000000" w:themeColor="text1"/>
        </w:rPr>
        <w:t>tailored to each service area. The RoGS performance indicator framework is based on a program logic model that links government objectives to inputs, outputs</w:t>
      </w:r>
      <w:r w:rsidR="00FA2732">
        <w:rPr>
          <w:rFonts w:cs="Calibri Light"/>
          <w:color w:val="000000" w:themeColor="text1"/>
        </w:rPr>
        <w:t>, and outcomes. Outputs are</w:t>
      </w:r>
      <w:r w:rsidRPr="002F731F">
        <w:rPr>
          <w:rFonts w:cs="Calibri Light"/>
          <w:color w:val="000000" w:themeColor="text1"/>
        </w:rPr>
        <w:t xml:space="preserve"> grouped under </w:t>
      </w:r>
      <w:r>
        <w:rPr>
          <w:rFonts w:cs="Calibri Light"/>
          <w:color w:val="000000" w:themeColor="text1"/>
        </w:rPr>
        <w:t xml:space="preserve">the </w:t>
      </w:r>
      <w:r w:rsidR="00FA1DD3">
        <w:rPr>
          <w:rFonts w:cs="Calibri Light"/>
          <w:color w:val="000000" w:themeColor="text1"/>
        </w:rPr>
        <w:t>3</w:t>
      </w:r>
      <w:r>
        <w:rPr>
          <w:rFonts w:cs="Calibri Light"/>
          <w:color w:val="000000" w:themeColor="text1"/>
        </w:rPr>
        <w:t xml:space="preserve"> overarching </w:t>
      </w:r>
      <w:r w:rsidRPr="00FF03A4">
        <w:rPr>
          <w:rFonts w:cs="Calibri Light"/>
          <w:color w:val="000000" w:themeColor="text1"/>
        </w:rPr>
        <w:t>dimensions of service</w:t>
      </w:r>
      <w:r w:rsidRPr="00B2593D">
        <w:rPr>
          <w:rFonts w:cs="Calibri Light"/>
          <w:color w:val="000000" w:themeColor="text1"/>
        </w:rPr>
        <w:t xml:space="preserve"> delivery performance</w:t>
      </w:r>
      <w:r>
        <w:rPr>
          <w:rFonts w:cs="Calibri Light"/>
          <w:color w:val="000000" w:themeColor="text1"/>
        </w:rPr>
        <w:t xml:space="preserve"> </w:t>
      </w:r>
      <w:r w:rsidR="00B65D32">
        <w:rPr>
          <w:rFonts w:ascii="Calibri" w:hAnsi="Calibri" w:cs="Calibri"/>
          <w:color w:val="000000" w:themeColor="text1"/>
        </w:rPr>
        <w:t>—</w:t>
      </w:r>
      <w:r>
        <w:rPr>
          <w:rFonts w:cs="Calibri Light"/>
          <w:color w:val="000000" w:themeColor="text1"/>
        </w:rPr>
        <w:t xml:space="preserve"> e</w:t>
      </w:r>
      <w:r w:rsidRPr="002F731F">
        <w:rPr>
          <w:rFonts w:cs="Calibri Light"/>
          <w:color w:val="000000" w:themeColor="text1"/>
        </w:rPr>
        <w:t xml:space="preserve">quity, </w:t>
      </w:r>
      <w:r>
        <w:rPr>
          <w:rFonts w:cs="Calibri Light"/>
          <w:color w:val="000000" w:themeColor="text1"/>
        </w:rPr>
        <w:t>e</w:t>
      </w:r>
      <w:r w:rsidRPr="002F731F">
        <w:rPr>
          <w:rFonts w:cs="Calibri Light"/>
          <w:color w:val="000000" w:themeColor="text1"/>
        </w:rPr>
        <w:t>ffectiveness and efficiency</w:t>
      </w:r>
      <w:r>
        <w:rPr>
          <w:rFonts w:cs="Calibri Light"/>
          <w:color w:val="000000" w:themeColor="text1"/>
        </w:rPr>
        <w:t xml:space="preserve"> </w:t>
      </w:r>
      <w:r w:rsidRPr="00FF03A4">
        <w:rPr>
          <w:rFonts w:cs="Calibri Light"/>
          <w:color w:val="000000" w:themeColor="text1"/>
        </w:rPr>
        <w:t>(</w:t>
      </w:r>
      <w:r w:rsidR="009318D5" w:rsidRPr="009318D5">
        <w:rPr>
          <w:rFonts w:cs="Calibri Light"/>
          <w:i/>
          <w:iCs/>
        </w:rPr>
        <w:t xml:space="preserve">Figure </w:t>
      </w:r>
      <w:r w:rsidR="009318D5" w:rsidRPr="009318D5">
        <w:rPr>
          <w:rFonts w:cs="Calibri Light"/>
          <w:i/>
          <w:iCs/>
          <w:noProof/>
        </w:rPr>
        <w:t>1</w:t>
      </w:r>
      <w:r w:rsidRPr="00FF03A4">
        <w:rPr>
          <w:rFonts w:cs="Calibri Light"/>
          <w:color w:val="000000" w:themeColor="text1"/>
        </w:rPr>
        <w:t>).</w:t>
      </w:r>
    </w:p>
    <w:p w14:paraId="5CACD6E1" w14:textId="31F8DC4F" w:rsidR="00D67755" w:rsidRDefault="00D67755" w:rsidP="00662B24">
      <w:pPr>
        <w:keepNext/>
      </w:pPr>
      <w:r w:rsidRPr="007B1047">
        <w:rPr>
          <w:rFonts w:cs="Calibri Light"/>
          <w:noProof/>
          <w:color w:val="C00000"/>
        </w:rPr>
        <w:drawing>
          <wp:inline distT="0" distB="0" distL="0" distR="0" wp14:anchorId="59C22EF6" wp14:editId="0033C307">
            <wp:extent cx="5731510" cy="2668905"/>
            <wp:effectExtent l="0" t="0" r="2540" b="0"/>
            <wp:docPr id="1493471941" name="Picture 1493471941" descr="Figure 1 is a flowchart diagram of the general RoGS performance indicator framework. It shows the links between objectives, performance, outputs, and outcomes. It shows outputs across the three dimensions of equity, effectiveness and efficiency, including equity of access indicators, access indicators, appropriateness indicators, quality indicators and technical efficiency indicators. Outcomes include equity of outcome indicators, program effectiveness indicators and cost effectiveness indicators. ">
              <a:extLst xmlns:a="http://schemas.openxmlformats.org/drawingml/2006/main">
                <a:ext uri="{FF2B5EF4-FFF2-40B4-BE49-F238E27FC236}">
                  <a16:creationId xmlns:a16="http://schemas.microsoft.com/office/drawing/2014/main" id="{F361D2CF-8565-CC13-7C0F-24A0022D7A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71941" name="Picture 1493471941" descr="Figure 1 is a flowchart diagram of the general RoGS performance indicator framework. It shows the links between objectives, performance, outputs, and outcomes. It shows outputs across the three dimensions of equity, effectiveness and efficiency, including equity of access indicators, access indicators, appropriateness indicators, quality indicators and technical efficiency indicators. Outcomes include equity of outcome indicators, program effectiveness indicators and cost effectiveness indicators. ">
                      <a:extLst>
                        <a:ext uri="{FF2B5EF4-FFF2-40B4-BE49-F238E27FC236}">
                          <a16:creationId xmlns:a16="http://schemas.microsoft.com/office/drawing/2014/main" id="{F361D2CF-8565-CC13-7C0F-24A0022D7A27}"/>
                        </a:ext>
                      </a:extLst>
                    </pic:cNvPr>
                    <pic:cNvPicPr>
                      <a:picLocks noChangeAspect="1"/>
                    </pic:cNvPicPr>
                  </pic:nvPicPr>
                  <pic:blipFill>
                    <a:blip r:embed="rId19"/>
                    <a:stretch>
                      <a:fillRect/>
                    </a:stretch>
                  </pic:blipFill>
                  <pic:spPr>
                    <a:xfrm>
                      <a:off x="0" y="0"/>
                      <a:ext cx="5731510" cy="2668905"/>
                    </a:xfrm>
                    <a:prstGeom prst="rect">
                      <a:avLst/>
                    </a:prstGeom>
                  </pic:spPr>
                </pic:pic>
              </a:graphicData>
            </a:graphic>
          </wp:inline>
        </w:drawing>
      </w:r>
    </w:p>
    <w:p w14:paraId="6DBC562B" w14:textId="4FA526E6" w:rsidR="00D67755" w:rsidRPr="00BE09F3" w:rsidRDefault="00D67755" w:rsidP="00FE27DD">
      <w:pPr>
        <w:pStyle w:val="ChartorTableNote"/>
      </w:pPr>
      <w:bookmarkStart w:id="12" w:name="_Ref180149375"/>
      <w:r w:rsidRPr="00BE09F3">
        <w:t xml:space="preserve">Figure </w:t>
      </w:r>
      <w:r w:rsidR="004776DE">
        <w:fldChar w:fldCharType="begin"/>
      </w:r>
      <w:r w:rsidR="004776DE">
        <w:instrText xml:space="preserve"> SEQ Figure \* ARABIC </w:instrText>
      </w:r>
      <w:r w:rsidR="004776DE">
        <w:fldChar w:fldCharType="separate"/>
      </w:r>
      <w:r w:rsidR="00D276C7">
        <w:rPr>
          <w:noProof/>
        </w:rPr>
        <w:t>1</w:t>
      </w:r>
      <w:r w:rsidR="004776DE">
        <w:rPr>
          <w:noProof/>
        </w:rPr>
        <w:fldChar w:fldCharType="end"/>
      </w:r>
      <w:bookmarkEnd w:id="12"/>
      <w:r w:rsidRPr="00BE09F3">
        <w:t>: RoGS performance indicator framework</w:t>
      </w:r>
    </w:p>
    <w:p w14:paraId="6D42A70E" w14:textId="562F7EEF" w:rsidR="00D67755" w:rsidRPr="003F19B3" w:rsidRDefault="00D67755" w:rsidP="00FE27DD">
      <w:pPr>
        <w:pStyle w:val="ChartorTableNote"/>
      </w:pPr>
      <w:r w:rsidRPr="003F19B3">
        <w:t xml:space="preserve">Source: </w:t>
      </w:r>
      <w:sdt>
        <w:sdtPr>
          <w:id w:val="99772335"/>
          <w:citation/>
        </w:sdtPr>
        <w:sdtEndPr/>
        <w:sdtContent>
          <w:r w:rsidR="007F7404">
            <w:fldChar w:fldCharType="begin"/>
          </w:r>
          <w:r w:rsidR="00C74E55">
            <w:instrText xml:space="preserve">CITATION Ste241 \l 3081 </w:instrText>
          </w:r>
          <w:r w:rsidR="007F7404">
            <w:fldChar w:fldCharType="separate"/>
          </w:r>
          <w:r w:rsidR="003003B3">
            <w:rPr>
              <w:noProof/>
            </w:rPr>
            <w:t>(Steering Committee 2024a)</w:t>
          </w:r>
          <w:r w:rsidR="007F7404">
            <w:fldChar w:fldCharType="end"/>
          </w:r>
        </w:sdtContent>
      </w:sdt>
    </w:p>
    <w:p w14:paraId="310FB29B" w14:textId="77777777" w:rsidR="00D67755" w:rsidRPr="00024EB7" w:rsidRDefault="00D67755" w:rsidP="00662B24">
      <w:pPr>
        <w:rPr>
          <w:rFonts w:cs="Calibri Light"/>
          <w:color w:val="000000" w:themeColor="text1"/>
        </w:rPr>
      </w:pPr>
      <w:r w:rsidRPr="00024EB7">
        <w:rPr>
          <w:rFonts w:cs="Calibri Light"/>
          <w:color w:val="000000" w:themeColor="text1"/>
        </w:rPr>
        <w:t>Of the 236 indicators</w:t>
      </w:r>
      <w:r>
        <w:rPr>
          <w:rFonts w:cs="Calibri Light"/>
          <w:color w:val="000000" w:themeColor="text1"/>
        </w:rPr>
        <w:t xml:space="preserve"> in the 2024 RoGS, </w:t>
      </w:r>
      <w:r w:rsidRPr="00024EB7">
        <w:rPr>
          <w:rFonts w:cs="Calibri Light"/>
          <w:color w:val="000000" w:themeColor="text1"/>
        </w:rPr>
        <w:t>185 measure outputs and 51 measure outcomes.</w:t>
      </w:r>
      <w:r>
        <w:rPr>
          <w:rFonts w:cs="Calibri Light"/>
        </w:rPr>
        <w:t xml:space="preserve"> </w:t>
      </w:r>
    </w:p>
    <w:p w14:paraId="4243BB27" w14:textId="6863E60C" w:rsidR="00D67755" w:rsidRPr="00024EB7" w:rsidRDefault="00D67755" w:rsidP="00662B24">
      <w:pPr>
        <w:rPr>
          <w:rFonts w:cs="Calibri Light"/>
        </w:rPr>
      </w:pPr>
      <w:r w:rsidRPr="00024EB7">
        <w:rPr>
          <w:rFonts w:cs="Calibri Light"/>
          <w:color w:val="000000" w:themeColor="text1"/>
        </w:rPr>
        <w:t xml:space="preserve">A focus of the </w:t>
      </w:r>
      <w:r w:rsidR="008E26DE">
        <w:rPr>
          <w:rFonts w:cs="Calibri Light"/>
          <w:color w:val="000000" w:themeColor="text1"/>
        </w:rPr>
        <w:t>RoGS</w:t>
      </w:r>
      <w:r w:rsidRPr="00024EB7">
        <w:rPr>
          <w:rFonts w:cs="Calibri Light"/>
          <w:color w:val="000000" w:themeColor="text1"/>
        </w:rPr>
        <w:t xml:space="preserve"> is measuring the </w:t>
      </w:r>
      <w:r w:rsidRPr="00FE27DD">
        <w:rPr>
          <w:rStyle w:val="Emphasis"/>
        </w:rPr>
        <w:t>comparative</w:t>
      </w:r>
      <w:r w:rsidRPr="00024EB7">
        <w:rPr>
          <w:rFonts w:cs="Calibri Light"/>
          <w:color w:val="000000" w:themeColor="text1"/>
        </w:rPr>
        <w:t xml:space="preserve"> performance of government services across jurisdictions</w:t>
      </w:r>
      <w:r w:rsidR="003760D2">
        <w:rPr>
          <w:rFonts w:cs="Calibri Light"/>
          <w:color w:val="000000" w:themeColor="text1"/>
        </w:rPr>
        <w:t>. This</w:t>
      </w:r>
      <w:r w:rsidRPr="00024EB7">
        <w:rPr>
          <w:rFonts w:cs="Calibri Light"/>
          <w:color w:val="000000" w:themeColor="text1"/>
        </w:rPr>
        <w:t xml:space="preserve"> </w:t>
      </w:r>
      <w:r w:rsidR="003760D2" w:rsidRPr="00024EB7">
        <w:rPr>
          <w:rFonts w:cs="Calibri Light"/>
          <w:color w:val="000000" w:themeColor="text1"/>
        </w:rPr>
        <w:t>allow</w:t>
      </w:r>
      <w:r w:rsidR="003760D2">
        <w:rPr>
          <w:rFonts w:cs="Calibri Light"/>
          <w:color w:val="000000" w:themeColor="text1"/>
        </w:rPr>
        <w:t>s</w:t>
      </w:r>
      <w:r w:rsidR="003760D2" w:rsidRPr="00024EB7">
        <w:rPr>
          <w:rFonts w:cs="Calibri Light"/>
          <w:color w:val="000000" w:themeColor="text1"/>
        </w:rPr>
        <w:t xml:space="preserve"> </w:t>
      </w:r>
      <w:r w:rsidRPr="00024EB7">
        <w:rPr>
          <w:rFonts w:cs="Calibri Light"/>
          <w:color w:val="000000" w:themeColor="text1"/>
        </w:rPr>
        <w:t xml:space="preserve">governments to reflect on their relative performance and potentially learn from each other. In </w:t>
      </w:r>
      <w:r w:rsidRPr="00024EB7">
        <w:rPr>
          <w:rFonts w:cs="Calibri Light"/>
        </w:rPr>
        <w:t>the 2024 RoGS, more than half of the indicators are nationally comparable:</w:t>
      </w:r>
    </w:p>
    <w:p w14:paraId="3B6F8EA6" w14:textId="4AFAF377" w:rsidR="00D67755" w:rsidRPr="00024EB7" w:rsidRDefault="00D67755" w:rsidP="005241B9">
      <w:pPr>
        <w:pStyle w:val="Bullet"/>
        <w:numPr>
          <w:ilvl w:val="0"/>
          <w:numId w:val="14"/>
        </w:numPr>
        <w:tabs>
          <w:tab w:val="clear" w:pos="720"/>
        </w:tabs>
        <w:spacing w:before="120" w:after="0" w:line="240" w:lineRule="auto"/>
        <w:ind w:left="357" w:hanging="357"/>
        <w:rPr>
          <w:rFonts w:cs="Calibri Light"/>
          <w:color w:val="000000" w:themeColor="text1"/>
        </w:rPr>
      </w:pPr>
      <w:r w:rsidRPr="00024EB7">
        <w:rPr>
          <w:rFonts w:cs="Calibri Light"/>
        </w:rPr>
        <w:t>130 indicators are nationally comparable across jurisdictions where most recent data for all measures is comparable and complete</w:t>
      </w:r>
    </w:p>
    <w:p w14:paraId="41C05B15" w14:textId="77777777" w:rsidR="00D67755" w:rsidRPr="00D909D4" w:rsidRDefault="00D67755" w:rsidP="005241B9">
      <w:pPr>
        <w:pStyle w:val="Bullet"/>
        <w:numPr>
          <w:ilvl w:val="0"/>
          <w:numId w:val="14"/>
        </w:numPr>
        <w:tabs>
          <w:tab w:val="clear" w:pos="720"/>
        </w:tabs>
        <w:spacing w:before="120" w:line="240" w:lineRule="auto"/>
        <w:ind w:left="357" w:hanging="357"/>
        <w:rPr>
          <w:rFonts w:cs="Calibri Light"/>
          <w:color w:val="000000" w:themeColor="text1"/>
        </w:rPr>
      </w:pPr>
      <w:r w:rsidRPr="00024EB7">
        <w:rPr>
          <w:rFonts w:cs="Calibri Light"/>
        </w:rPr>
        <w:t>15 indicators are nationally comparable where most recent data for at least one measure is comparable and complete.</w:t>
      </w:r>
      <w:r w:rsidRPr="00024EB7">
        <w:rPr>
          <w:rFonts w:cs="Calibri Light"/>
          <w:color w:val="000000" w:themeColor="text1"/>
        </w:rPr>
        <w:t xml:space="preserve"> </w:t>
      </w:r>
    </w:p>
    <w:p w14:paraId="0B731A3C" w14:textId="2E56644D" w:rsidR="00D67755" w:rsidRPr="007C20C4" w:rsidRDefault="00D67755" w:rsidP="00662B24">
      <w:pPr>
        <w:rPr>
          <w:rFonts w:cs="Calibri Light"/>
          <w:lang w:val="en-US"/>
        </w:rPr>
      </w:pPr>
      <w:r w:rsidRPr="00024EB7">
        <w:rPr>
          <w:rFonts w:cs="Calibri Light"/>
        </w:rPr>
        <w:t xml:space="preserve">The RoGS </w:t>
      </w:r>
      <w:r>
        <w:rPr>
          <w:rFonts w:cs="Calibri Light"/>
        </w:rPr>
        <w:t xml:space="preserve">also </w:t>
      </w:r>
      <w:r w:rsidRPr="00024EB7">
        <w:rPr>
          <w:rFonts w:cs="Calibri Light"/>
        </w:rPr>
        <w:t xml:space="preserve">has a set of guiding principles for reporting performance across service sectors. For example, data should be meaningful, timely, accurate, understandable, </w:t>
      </w:r>
      <w:r w:rsidR="00FA038E">
        <w:rPr>
          <w:rFonts w:cs="Calibri Light"/>
        </w:rPr>
        <w:t>streamlined</w:t>
      </w:r>
      <w:r w:rsidR="008E26DE">
        <w:rPr>
          <w:rFonts w:cs="Calibri Light"/>
        </w:rPr>
        <w:t>,</w:t>
      </w:r>
      <w:r w:rsidR="00FA038E">
        <w:rPr>
          <w:rFonts w:cs="Calibri Light"/>
        </w:rPr>
        <w:t xml:space="preserve"> and </w:t>
      </w:r>
      <w:r w:rsidRPr="00024EB7">
        <w:rPr>
          <w:rFonts w:cs="Calibri Light"/>
        </w:rPr>
        <w:t>comparable across jurisdictions and over time</w:t>
      </w:r>
      <w:sdt>
        <w:sdtPr>
          <w:rPr>
            <w:rFonts w:cs="Calibri Light"/>
          </w:rPr>
          <w:id w:val="-1895268225"/>
          <w:citation/>
        </w:sdtPr>
        <w:sdtEndPr/>
        <w:sdtContent>
          <w:r w:rsidR="000549D8">
            <w:rPr>
              <w:rFonts w:cs="Calibri Light"/>
            </w:rPr>
            <w:fldChar w:fldCharType="begin"/>
          </w:r>
          <w:r w:rsidR="00C74E55">
            <w:rPr>
              <w:rFonts w:cs="Calibri Light"/>
            </w:rPr>
            <w:instrText xml:space="preserve">CITATION Ste241 \l 3081 </w:instrText>
          </w:r>
          <w:r w:rsidR="000549D8">
            <w:rPr>
              <w:rFonts w:cs="Calibri Light"/>
            </w:rPr>
            <w:fldChar w:fldCharType="separate"/>
          </w:r>
          <w:r w:rsidR="003003B3">
            <w:rPr>
              <w:rFonts w:cs="Calibri Light"/>
              <w:noProof/>
            </w:rPr>
            <w:t xml:space="preserve"> </w:t>
          </w:r>
          <w:r w:rsidR="003003B3" w:rsidRPr="003003B3">
            <w:rPr>
              <w:rFonts w:cs="Calibri Light"/>
              <w:noProof/>
            </w:rPr>
            <w:t>(Steering Committee 2024a)</w:t>
          </w:r>
          <w:r w:rsidR="000549D8">
            <w:rPr>
              <w:rFonts w:cs="Calibri Light"/>
            </w:rPr>
            <w:fldChar w:fldCharType="end"/>
          </w:r>
        </w:sdtContent>
      </w:sdt>
      <w:r w:rsidRPr="00024EB7">
        <w:rPr>
          <w:rFonts w:cs="Calibri Light"/>
        </w:rPr>
        <w:t xml:space="preserve">. </w:t>
      </w:r>
      <w:r w:rsidRPr="007C20C4">
        <w:rPr>
          <w:rFonts w:cs="Calibri Light"/>
        </w:rPr>
        <w:t xml:space="preserve">The Steering Committee uses criteria for reviewing existing </w:t>
      </w:r>
      <w:r w:rsidR="00DE3A19">
        <w:rPr>
          <w:rFonts w:cs="Calibri Light"/>
        </w:rPr>
        <w:t xml:space="preserve">service </w:t>
      </w:r>
      <w:r w:rsidRPr="007C20C4">
        <w:rPr>
          <w:rFonts w:cs="Calibri Light"/>
        </w:rPr>
        <w:t>area</w:t>
      </w:r>
      <w:r w:rsidR="006B0FC5">
        <w:rPr>
          <w:rFonts w:cs="Calibri Light"/>
        </w:rPr>
        <w:t>s</w:t>
      </w:r>
      <w:r w:rsidRPr="007C20C4">
        <w:rPr>
          <w:rFonts w:cs="Calibri Light"/>
        </w:rPr>
        <w:t xml:space="preserve"> and selecting new service provision areas (</w:t>
      </w:r>
      <w:r w:rsidR="0075439C" w:rsidRPr="00D276C7">
        <w:t>Information</w:t>
      </w:r>
      <w:r w:rsidR="0075439C">
        <w:t xml:space="preserve"> Box 1</w:t>
      </w:r>
      <w:r w:rsidR="0075439C" w:rsidRPr="007153E8">
        <w:t>: Criteria for selecting service areas in the RoGS</w:t>
      </w:r>
      <w:r w:rsidR="000549D8">
        <w:rPr>
          <w:rFonts w:cs="Calibri Light"/>
        </w:rPr>
        <w:t>)</w:t>
      </w:r>
      <w:r>
        <w:rPr>
          <w:rFonts w:cs="Calibri Light"/>
        </w:rPr>
        <w:t>.</w:t>
      </w:r>
    </w:p>
    <w:tbl>
      <w:tblPr>
        <w:tblStyle w:val="TableGrid"/>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D76910" w14:paraId="1D563359" w14:textId="77777777" w:rsidTr="00B11057">
        <w:tc>
          <w:tcPr>
            <w:tcW w:w="5000" w:type="pct"/>
            <w:shd w:val="clear" w:color="auto" w:fill="EEEEEE" w:themeFill="background2"/>
          </w:tcPr>
          <w:p w14:paraId="23B1CB15" w14:textId="7366C83F" w:rsidR="00D76910" w:rsidRPr="007153E8" w:rsidRDefault="00407789" w:rsidP="00D276C7">
            <w:pPr>
              <w:pStyle w:val="BoxHeading"/>
              <w:rPr>
                <w:lang w:eastAsia="en-US"/>
              </w:rPr>
            </w:pPr>
            <w:bookmarkStart w:id="13" w:name="_Ref180482491"/>
            <w:r w:rsidRPr="00D276C7">
              <w:t>Information</w:t>
            </w:r>
            <w:r>
              <w:rPr>
                <w:lang w:eastAsia="en-US"/>
              </w:rPr>
              <w:t xml:space="preserve"> Box 1</w:t>
            </w:r>
            <w:r w:rsidR="00D76910" w:rsidRPr="007153E8">
              <w:rPr>
                <w:lang w:eastAsia="en-US"/>
              </w:rPr>
              <w:t>: Criteria for selecting service areas in the RoGS</w:t>
            </w:r>
            <w:bookmarkEnd w:id="13"/>
          </w:p>
          <w:p w14:paraId="3691CF1C" w14:textId="77777777" w:rsidR="00292F4A" w:rsidRPr="007153E8" w:rsidRDefault="00292F4A" w:rsidP="00407789">
            <w:pPr>
              <w:pStyle w:val="BoxText"/>
            </w:pPr>
            <w:r w:rsidRPr="007153E8">
              <w:t>Services included in the RoGS either:</w:t>
            </w:r>
          </w:p>
          <w:p w14:paraId="12C348D4" w14:textId="76753C49" w:rsidR="00292F4A" w:rsidRPr="007153E8" w:rsidRDefault="00292F4A" w:rsidP="00407789">
            <w:pPr>
              <w:pStyle w:val="Boxbullet"/>
            </w:pPr>
            <w:r w:rsidRPr="007153E8">
              <w:t>have common or similar objectives across jurisdictions, lending themselves to comparative performance reporting; or if jurisdiction</w:t>
            </w:r>
            <w:r w:rsidR="00B65D32">
              <w:t>-</w:t>
            </w:r>
            <w:r w:rsidRPr="007153E8">
              <w:t xml:space="preserve">specific </w:t>
            </w:r>
          </w:p>
          <w:p w14:paraId="68CDB6D1" w14:textId="313FCA55" w:rsidR="00292F4A" w:rsidRPr="007153E8" w:rsidRDefault="009308F0" w:rsidP="00407789">
            <w:pPr>
              <w:pStyle w:val="Boxdash"/>
            </w:pPr>
            <w:r>
              <w:t>are</w:t>
            </w:r>
            <w:r w:rsidR="00292F4A" w:rsidRPr="007153E8">
              <w:t xml:space="preserve"> of such community or economic significance to the national context in its own right that time series </w:t>
            </w:r>
            <w:r w:rsidR="00292F4A" w:rsidRPr="007153E8">
              <w:rPr>
                <w:lang w:val="en-US"/>
              </w:rPr>
              <w:t>analysis in RoGS is appropriate</w:t>
            </w:r>
          </w:p>
          <w:p w14:paraId="36EB6CE8" w14:textId="77777777" w:rsidR="00292F4A" w:rsidRPr="007153E8" w:rsidRDefault="00292F4A" w:rsidP="00407789">
            <w:pPr>
              <w:pStyle w:val="Boxdash"/>
            </w:pPr>
            <w:r w:rsidRPr="007153E8">
              <w:t>make a significant contribution to the outcomes of services provided by other governments</w:t>
            </w:r>
          </w:p>
          <w:p w14:paraId="00BDD93A" w14:textId="473B47BF" w:rsidR="00292F4A" w:rsidRPr="007153E8" w:rsidRDefault="00CA3547" w:rsidP="00407789">
            <w:pPr>
              <w:pStyle w:val="Boxdash"/>
            </w:pPr>
            <w:r>
              <w:t>are</w:t>
            </w:r>
            <w:r w:rsidR="00292F4A" w:rsidRPr="007153E8">
              <w:t xml:space="preserve"> part of a suite of services delivered across government</w:t>
            </w:r>
          </w:p>
          <w:p w14:paraId="0E432A7D" w14:textId="77777777" w:rsidR="00292F4A" w:rsidRPr="007153E8" w:rsidRDefault="00292F4A" w:rsidP="00407789">
            <w:pPr>
              <w:pStyle w:val="Boxbullet"/>
              <w:rPr>
                <w:b/>
              </w:rPr>
            </w:pPr>
            <w:r w:rsidRPr="007153E8">
              <w:t>or make an important contribution to the community and/or economy, such that there is a significant public interest in the effectiveness and efficiency of service provision.</w:t>
            </w:r>
          </w:p>
          <w:p w14:paraId="4A33E37C" w14:textId="6ECE354F" w:rsidR="00D76910" w:rsidRPr="007153E8" w:rsidRDefault="00292F4A" w:rsidP="00407789">
            <w:pPr>
              <w:pStyle w:val="BoxText"/>
              <w:rPr>
                <w:highlight w:val="yellow"/>
              </w:rPr>
            </w:pPr>
            <w:r w:rsidRPr="007153E8">
              <w:t>Significance to the community may be indicated by the recognition of a service as a National Cabinet priority or other measures of national</w:t>
            </w:r>
            <w:r w:rsidR="00740886">
              <w:t xml:space="preserve"> interest</w:t>
            </w:r>
            <w:r w:rsidRPr="007153E8">
              <w:t>. Significance to the economy may be indicated by the level of government expenditure or by the direct or indirect economic impact of a service.</w:t>
            </w:r>
          </w:p>
          <w:p w14:paraId="667122F0" w14:textId="651154BF" w:rsidR="00D76910" w:rsidRPr="000549D8" w:rsidRDefault="00D76910" w:rsidP="00FE27DD">
            <w:pPr>
              <w:pStyle w:val="ChartorTableNote"/>
              <w:rPr>
                <w:b/>
                <w:bCs/>
              </w:rPr>
            </w:pPr>
            <w:r w:rsidRPr="000549D8">
              <w:t xml:space="preserve">Source: </w:t>
            </w:r>
            <w:sdt>
              <w:sdtPr>
                <w:id w:val="-1986465177"/>
                <w:citation/>
              </w:sdtPr>
              <w:sdtEndPr/>
              <w:sdtContent>
                <w:r w:rsidR="000549D8" w:rsidRPr="000549D8">
                  <w:fldChar w:fldCharType="begin"/>
                </w:r>
                <w:r w:rsidR="00C74E55">
                  <w:instrText xml:space="preserve">CITATION Ste241 \l 3081 </w:instrText>
                </w:r>
                <w:r w:rsidR="000549D8" w:rsidRPr="000549D8">
                  <w:fldChar w:fldCharType="separate"/>
                </w:r>
                <w:r w:rsidR="003003B3">
                  <w:rPr>
                    <w:noProof/>
                  </w:rPr>
                  <w:t>(Steering Committee 2024a)</w:t>
                </w:r>
                <w:r w:rsidR="000549D8" w:rsidRPr="000549D8">
                  <w:fldChar w:fldCharType="end"/>
                </w:r>
              </w:sdtContent>
            </w:sdt>
          </w:p>
        </w:tc>
      </w:tr>
    </w:tbl>
    <w:p w14:paraId="020F60BB" w14:textId="55E59302" w:rsidR="00E66640" w:rsidRDefault="00292F4A" w:rsidP="00662B24">
      <w:pPr>
        <w:pStyle w:val="Heading3"/>
        <w:spacing w:line="240" w:lineRule="auto"/>
      </w:pPr>
      <w:r>
        <w:t>Presentation</w:t>
      </w:r>
    </w:p>
    <w:p w14:paraId="22674971" w14:textId="53BF2223" w:rsidR="000C0BC2" w:rsidRDefault="000C0BC2" w:rsidP="00662B24">
      <w:pPr>
        <w:rPr>
          <w:rFonts w:cs="Calibri Light"/>
        </w:rPr>
      </w:pPr>
      <w:r w:rsidRPr="001A749B">
        <w:rPr>
          <w:rFonts w:cs="Calibri Light"/>
        </w:rPr>
        <w:t>The RoGS presents indicator results primarily through data</w:t>
      </w:r>
      <w:r w:rsidR="00B65D32">
        <w:rPr>
          <w:rFonts w:cs="Calibri Light"/>
        </w:rPr>
        <w:t>-</w:t>
      </w:r>
      <w:r w:rsidRPr="001A749B">
        <w:rPr>
          <w:rFonts w:cs="Calibri Light"/>
        </w:rPr>
        <w:t>rich formats, including downloadable raw data (Excel data tables and CSV datasets)</w:t>
      </w:r>
      <w:r>
        <w:rPr>
          <w:rFonts w:cs="Calibri Light"/>
        </w:rPr>
        <w:t xml:space="preserve"> and </w:t>
      </w:r>
      <w:r w:rsidRPr="001A749B">
        <w:rPr>
          <w:rFonts w:cs="Calibri Light"/>
        </w:rPr>
        <w:t>interactive Tableau charts</w:t>
      </w:r>
      <w:r>
        <w:rPr>
          <w:rFonts w:cs="Calibri Light"/>
        </w:rPr>
        <w:t xml:space="preserve"> (</w:t>
      </w:r>
      <w:r w:rsidR="00D276C7" w:rsidRPr="00D276C7">
        <w:rPr>
          <w:i/>
          <w:iCs/>
        </w:rPr>
        <w:t xml:space="preserve">Figure </w:t>
      </w:r>
      <w:r w:rsidR="00D276C7" w:rsidRPr="00D276C7">
        <w:rPr>
          <w:i/>
          <w:iCs/>
          <w:noProof/>
        </w:rPr>
        <w:t>2</w:t>
      </w:r>
      <w:r>
        <w:rPr>
          <w:rFonts w:cs="Calibri Light"/>
        </w:rPr>
        <w:t>)</w:t>
      </w:r>
      <w:r w:rsidRPr="001A749B">
        <w:rPr>
          <w:rFonts w:cs="Calibri Light"/>
        </w:rPr>
        <w:t xml:space="preserve">. </w:t>
      </w:r>
    </w:p>
    <w:p w14:paraId="6F794113" w14:textId="77777777" w:rsidR="000C0BC2" w:rsidRDefault="000C0BC2" w:rsidP="00662B24">
      <w:pPr>
        <w:keepNext/>
        <w:jc w:val="center"/>
      </w:pPr>
      <w:r w:rsidRPr="008B2154">
        <w:rPr>
          <w:rFonts w:cs="Calibri Light"/>
          <w:noProof/>
        </w:rPr>
        <w:drawing>
          <wp:inline distT="0" distB="0" distL="0" distR="0" wp14:anchorId="000A2FA3" wp14:editId="24F91E38">
            <wp:extent cx="4985697" cy="3101009"/>
            <wp:effectExtent l="0" t="0" r="5715" b="4445"/>
            <wp:docPr id="7" name="Picture 7" descr="Figure 2 is a screenshot of a column chart on hospital admissions due to fire injury from 2021-22. It has been taken from the 2024 RoGS and shows options for users to adjust figures by year, Indigenous status, remoteness and Socio-Economic Indexes for Areas – a measure of relative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is a screenshot of a column chart on hospital admissions due to fire injury from 2021-22. It has been taken from the 2024 RoGS and shows options for users to adjust figures by year, Indigenous status, remoteness and Socio-Economic Indexes for Areas – a measure of relative disadvantage."/>
                    <pic:cNvPicPr/>
                  </pic:nvPicPr>
                  <pic:blipFill>
                    <a:blip r:embed="rId20"/>
                    <a:stretch>
                      <a:fillRect/>
                    </a:stretch>
                  </pic:blipFill>
                  <pic:spPr>
                    <a:xfrm>
                      <a:off x="0" y="0"/>
                      <a:ext cx="4991715" cy="3104752"/>
                    </a:xfrm>
                    <a:prstGeom prst="rect">
                      <a:avLst/>
                    </a:prstGeom>
                  </pic:spPr>
                </pic:pic>
              </a:graphicData>
            </a:graphic>
          </wp:inline>
        </w:drawing>
      </w:r>
    </w:p>
    <w:p w14:paraId="19C26B9E" w14:textId="37D86C7E" w:rsidR="000C0BC2" w:rsidRDefault="000C0BC2" w:rsidP="00FE27DD">
      <w:pPr>
        <w:pStyle w:val="ChartorTableNote"/>
      </w:pPr>
      <w:bookmarkStart w:id="14" w:name="_Ref180406425"/>
      <w:r>
        <w:t xml:space="preserve">Figure </w:t>
      </w:r>
      <w:r w:rsidR="004776DE">
        <w:fldChar w:fldCharType="begin"/>
      </w:r>
      <w:r w:rsidR="004776DE">
        <w:instrText xml:space="preserve"> SEQ Figure \* ARABIC </w:instrText>
      </w:r>
      <w:r w:rsidR="004776DE">
        <w:fldChar w:fldCharType="separate"/>
      </w:r>
      <w:r w:rsidR="00D276C7">
        <w:rPr>
          <w:noProof/>
        </w:rPr>
        <w:t>2</w:t>
      </w:r>
      <w:r w:rsidR="004776DE">
        <w:rPr>
          <w:noProof/>
        </w:rPr>
        <w:fldChar w:fldCharType="end"/>
      </w:r>
      <w:bookmarkEnd w:id="14"/>
      <w:r>
        <w:t xml:space="preserve">: </w:t>
      </w:r>
      <w:bookmarkStart w:id="15" w:name="_Hlk180405464"/>
      <w:r>
        <w:t>Hospital admissions due to fire injury, 2021</w:t>
      </w:r>
      <w:r w:rsidR="00CE1949">
        <w:t>–</w:t>
      </w:r>
      <w:r>
        <w:t>22 – Tableau</w:t>
      </w:r>
      <w:bookmarkEnd w:id="15"/>
      <w:r>
        <w:t xml:space="preserve"> interactive chart </w:t>
      </w:r>
    </w:p>
    <w:p w14:paraId="52A74DA9" w14:textId="60A6FFF2" w:rsidR="000C0BC2" w:rsidRPr="003F19B3" w:rsidRDefault="000C0BC2" w:rsidP="00FE27DD">
      <w:pPr>
        <w:pStyle w:val="ChartorTableNote"/>
      </w:pPr>
      <w:r w:rsidRPr="003F19B3">
        <w:t xml:space="preserve">Source: </w:t>
      </w:r>
      <w:sdt>
        <w:sdtPr>
          <w:id w:val="-619687707"/>
          <w:citation/>
        </w:sdtPr>
        <w:sdtEndPr/>
        <w:sdtContent>
          <w:r w:rsidR="000549D8" w:rsidRPr="000549D8">
            <w:fldChar w:fldCharType="begin"/>
          </w:r>
          <w:r w:rsidR="00C74E55">
            <w:instrText xml:space="preserve">CITATION Ste241 \l 3081 </w:instrText>
          </w:r>
          <w:r w:rsidR="000549D8" w:rsidRPr="000549D8">
            <w:fldChar w:fldCharType="separate"/>
          </w:r>
          <w:r w:rsidR="003003B3">
            <w:rPr>
              <w:noProof/>
            </w:rPr>
            <w:t>(Steering Committee 2024a)</w:t>
          </w:r>
          <w:r w:rsidR="000549D8" w:rsidRPr="000549D8">
            <w:fldChar w:fldCharType="end"/>
          </w:r>
        </w:sdtContent>
      </w:sdt>
    </w:p>
    <w:p w14:paraId="775B2E3F" w14:textId="46A26F1E" w:rsidR="000C0BC2" w:rsidRPr="001A749B" w:rsidRDefault="000C0BC2" w:rsidP="00662B24">
      <w:pPr>
        <w:rPr>
          <w:rFonts w:cs="Calibri Light"/>
        </w:rPr>
      </w:pPr>
      <w:r w:rsidRPr="001A749B">
        <w:rPr>
          <w:rFonts w:cs="Calibri Light"/>
        </w:rPr>
        <w:t xml:space="preserve">Each service sector’s </w:t>
      </w:r>
      <w:r w:rsidRPr="00CA3547">
        <w:rPr>
          <w:rFonts w:cs="Calibri Light"/>
        </w:rPr>
        <w:t>Overview</w:t>
      </w:r>
      <w:r w:rsidRPr="001A749B">
        <w:rPr>
          <w:rFonts w:cs="Calibri Light"/>
        </w:rPr>
        <w:t xml:space="preserve"> section includes information on scope, expenditure, sector flows and relevant sector</w:t>
      </w:r>
      <w:r w:rsidR="00B65D32">
        <w:rPr>
          <w:rFonts w:cs="Calibri Light"/>
        </w:rPr>
        <w:t>-</w:t>
      </w:r>
      <w:r w:rsidRPr="001A749B">
        <w:rPr>
          <w:rFonts w:cs="Calibri Light"/>
        </w:rPr>
        <w:t xml:space="preserve">wide indicators. The </w:t>
      </w:r>
      <w:r w:rsidRPr="00CA3547">
        <w:rPr>
          <w:rFonts w:cs="Calibri Light"/>
        </w:rPr>
        <w:t>Context</w:t>
      </w:r>
      <w:r w:rsidRPr="001A749B">
        <w:rPr>
          <w:rFonts w:cs="Calibri Light"/>
        </w:rPr>
        <w:t xml:space="preserve"> section for each service area within a sector includes information on the objectives, roles and responsibilities, funding, and size and scope of the services. The interpretation of data is largely left to users</w:t>
      </w:r>
      <w:r w:rsidR="00E2162E">
        <w:rPr>
          <w:rFonts w:cs="Calibri Light"/>
        </w:rPr>
        <w:t>.</w:t>
      </w:r>
      <w:r w:rsidR="003C6EA7">
        <w:rPr>
          <w:rFonts w:cs="Calibri Light"/>
        </w:rPr>
        <w:t xml:space="preserve"> T</w:t>
      </w:r>
      <w:r w:rsidRPr="001A749B">
        <w:rPr>
          <w:rFonts w:cs="Calibri Light"/>
        </w:rPr>
        <w:t>he RoGS does not currently identify or provide any analysis o</w:t>
      </w:r>
      <w:r w:rsidR="00B80F0C">
        <w:rPr>
          <w:rFonts w:cs="Calibri Light"/>
        </w:rPr>
        <w:t>n</w:t>
      </w:r>
      <w:r w:rsidRPr="001A749B">
        <w:rPr>
          <w:rFonts w:cs="Calibri Light"/>
        </w:rPr>
        <w:t xml:space="preserve"> areas of improv</w:t>
      </w:r>
      <w:r w:rsidR="00B80F0C">
        <w:rPr>
          <w:rFonts w:cs="Calibri Light"/>
        </w:rPr>
        <w:t>ed</w:t>
      </w:r>
      <w:r w:rsidRPr="001A749B">
        <w:rPr>
          <w:rFonts w:cs="Calibri Light"/>
        </w:rPr>
        <w:t xml:space="preserve"> performance or innovation, including which local programs, policies and strategies drove those improvements.</w:t>
      </w:r>
    </w:p>
    <w:p w14:paraId="360E07BB" w14:textId="5B034258" w:rsidR="00FA313A" w:rsidRDefault="00FA313A" w:rsidP="00662B24">
      <w:pPr>
        <w:pStyle w:val="Heading3"/>
        <w:spacing w:line="240" w:lineRule="auto"/>
      </w:pPr>
      <w:r>
        <w:t>Governance</w:t>
      </w:r>
    </w:p>
    <w:p w14:paraId="0603B9AD" w14:textId="0AF12C03" w:rsidR="005325F0" w:rsidRDefault="00C80602" w:rsidP="00662B24">
      <w:pPr>
        <w:rPr>
          <w:rFonts w:cs="Calibri Light"/>
        </w:rPr>
      </w:pPr>
      <w:r>
        <w:rPr>
          <w:rFonts w:cs="Calibri Light"/>
        </w:rPr>
        <w:t>The</w:t>
      </w:r>
      <w:r w:rsidR="005325F0">
        <w:rPr>
          <w:rFonts w:cs="Calibri Light"/>
        </w:rPr>
        <w:t xml:space="preserve"> Steering Committee</w:t>
      </w:r>
      <w:r w:rsidR="006C00B6">
        <w:rPr>
          <w:rFonts w:cs="Calibri Light"/>
        </w:rPr>
        <w:t xml:space="preserve"> continues to </w:t>
      </w:r>
      <w:r>
        <w:rPr>
          <w:rFonts w:cs="Calibri Light"/>
        </w:rPr>
        <w:t>produce the RoGS and has</w:t>
      </w:r>
      <w:r w:rsidR="005325F0">
        <w:rPr>
          <w:rFonts w:cs="Calibri Light"/>
        </w:rPr>
        <w:t xml:space="preserve"> operational support from the </w:t>
      </w:r>
      <w:r w:rsidR="007E4DF8" w:rsidRPr="00A475C1">
        <w:t>R</w:t>
      </w:r>
      <w:r w:rsidR="007E4DF8">
        <w:t xml:space="preserve">eview of Government Service Provision </w:t>
      </w:r>
      <w:r w:rsidR="005325F0">
        <w:rPr>
          <w:rFonts w:cs="Calibri Light"/>
        </w:rPr>
        <w:t xml:space="preserve">Secretariat </w:t>
      </w:r>
      <w:r w:rsidR="002D50C5">
        <w:t>(</w:t>
      </w:r>
      <w:r w:rsidR="002D50C5" w:rsidRPr="00024EB7">
        <w:rPr>
          <w:rFonts w:cs="Calibri Light"/>
        </w:rPr>
        <w:t>RGSP</w:t>
      </w:r>
      <w:r w:rsidR="002D50C5">
        <w:rPr>
          <w:rFonts w:cs="Calibri Light"/>
        </w:rPr>
        <w:t xml:space="preserve"> Secretariat) </w:t>
      </w:r>
      <w:r w:rsidR="005325F0">
        <w:rPr>
          <w:rFonts w:cs="Calibri Light"/>
        </w:rPr>
        <w:t>within the PC</w:t>
      </w:r>
      <w:r w:rsidR="005325F0" w:rsidRPr="00024EB7">
        <w:rPr>
          <w:rFonts w:cs="Calibri Light"/>
        </w:rPr>
        <w:t xml:space="preserve"> </w:t>
      </w:r>
      <w:sdt>
        <w:sdtPr>
          <w:rPr>
            <w:rFonts w:cs="Calibri Light"/>
          </w:rPr>
          <w:id w:val="-1967881939"/>
          <w:citation/>
        </w:sdtPr>
        <w:sdtEndPr/>
        <w:sdtContent>
          <w:r w:rsidR="006855D0">
            <w:rPr>
              <w:rFonts w:cs="Calibri Light"/>
            </w:rPr>
            <w:fldChar w:fldCharType="begin"/>
          </w:r>
          <w:r w:rsidR="00C74E55">
            <w:rPr>
              <w:rFonts w:cs="Calibri Light"/>
            </w:rPr>
            <w:instrText xml:space="preserve">CITATION Ste241 \l 3081 </w:instrText>
          </w:r>
          <w:r w:rsidR="006855D0">
            <w:rPr>
              <w:rFonts w:cs="Calibri Light"/>
            </w:rPr>
            <w:fldChar w:fldCharType="separate"/>
          </w:r>
          <w:r w:rsidR="003003B3" w:rsidRPr="003003B3">
            <w:rPr>
              <w:rFonts w:cs="Calibri Light"/>
              <w:noProof/>
            </w:rPr>
            <w:t>(Steering Committee 2024a)</w:t>
          </w:r>
          <w:r w:rsidR="006855D0">
            <w:rPr>
              <w:rFonts w:cs="Calibri Light"/>
            </w:rPr>
            <w:fldChar w:fldCharType="end"/>
          </w:r>
        </w:sdtContent>
      </w:sdt>
      <w:r w:rsidR="005325F0" w:rsidRPr="00024EB7">
        <w:rPr>
          <w:rFonts w:cs="Calibri Light"/>
        </w:rPr>
        <w:t>.</w:t>
      </w:r>
      <w:r w:rsidR="005325F0">
        <w:rPr>
          <w:rFonts w:cs="Calibri Light"/>
        </w:rPr>
        <w:t xml:space="preserve"> </w:t>
      </w:r>
      <w:r w:rsidR="00EC717C">
        <w:rPr>
          <w:rFonts w:cs="Calibri Light"/>
        </w:rPr>
        <w:t xml:space="preserve">It currently operates </w:t>
      </w:r>
      <w:r w:rsidR="00EC717C" w:rsidRPr="00796D55">
        <w:t>under a terms of reference endorsed by COAG in 2010 (</w:t>
      </w:r>
      <w:r w:rsidR="0075439C" w:rsidRPr="009A177C">
        <w:t>Information Box 2: RoGS terms of reference</w:t>
      </w:r>
      <w:r w:rsidR="00EC717C" w:rsidRPr="00796D55">
        <w:t>).</w:t>
      </w:r>
    </w:p>
    <w:tbl>
      <w:tblPr>
        <w:tblStyle w:val="TableGrid"/>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0"/>
      </w:tblGrid>
      <w:tr w:rsidR="005325F0" w14:paraId="228F30E6" w14:textId="77777777" w:rsidTr="00B11057">
        <w:tc>
          <w:tcPr>
            <w:tcW w:w="5000" w:type="pct"/>
            <w:shd w:val="clear" w:color="auto" w:fill="EEEEEE" w:themeFill="background2"/>
          </w:tcPr>
          <w:p w14:paraId="2EF8E0D3" w14:textId="7CE84962" w:rsidR="005325F0" w:rsidRPr="009A177C" w:rsidRDefault="009A177C" w:rsidP="009A177C">
            <w:pPr>
              <w:pStyle w:val="BoxHeading"/>
            </w:pPr>
            <w:bookmarkStart w:id="16" w:name="_Ref180567544"/>
            <w:r w:rsidRPr="009A177C">
              <w:t>Information Box 2</w:t>
            </w:r>
            <w:r w:rsidR="005325F0" w:rsidRPr="009A177C">
              <w:t>: RoGS terms of reference</w:t>
            </w:r>
            <w:bookmarkEnd w:id="16"/>
          </w:p>
          <w:p w14:paraId="5503CD81" w14:textId="18A69FF9" w:rsidR="00612D6F" w:rsidRPr="001F2344" w:rsidRDefault="00612D6F" w:rsidP="001F2344">
            <w:pPr>
              <w:pStyle w:val="BoxText"/>
              <w:rPr>
                <w:rStyle w:val="Strong"/>
              </w:rPr>
            </w:pPr>
            <w:r w:rsidRPr="001F2344">
              <w:rPr>
                <w:rStyle w:val="Strong"/>
              </w:rPr>
              <w:t>Outputs and objectives</w:t>
            </w:r>
          </w:p>
          <w:p w14:paraId="0DEF9ECA" w14:textId="77777777" w:rsidR="00612D6F" w:rsidRPr="007153E8" w:rsidRDefault="00612D6F" w:rsidP="005241B9">
            <w:pPr>
              <w:pStyle w:val="Boxbullet"/>
              <w:numPr>
                <w:ilvl w:val="0"/>
                <w:numId w:val="23"/>
              </w:numPr>
            </w:pPr>
            <w:r w:rsidRPr="007153E8">
              <w:t>The Steering Committee will measure and publish annually data on the equity, efficiency and cost effectiveness of government services through the Report on Government Services (ROGS).</w:t>
            </w:r>
          </w:p>
          <w:p w14:paraId="3CAB6574" w14:textId="77777777" w:rsidR="00612D6F" w:rsidRPr="007153E8" w:rsidRDefault="00612D6F" w:rsidP="005241B9">
            <w:pPr>
              <w:pStyle w:val="Boxbullet"/>
              <w:numPr>
                <w:ilvl w:val="0"/>
                <w:numId w:val="23"/>
              </w:numPr>
            </w:pPr>
            <w:r w:rsidRPr="007153E8">
              <w:t xml:space="preserve">The ROGS facilitates </w:t>
            </w:r>
            <w:bookmarkStart w:id="17" w:name="_Hlk172124202"/>
            <w:r w:rsidRPr="007153E8">
              <w:t>improved service delivery, efficiency and performance</w:t>
            </w:r>
            <w:bookmarkEnd w:id="17"/>
            <w:r w:rsidRPr="007153E8">
              <w:t>, and accountability to governments and the public by providing a repository of meaningful, balanced, credible, comparative information on the provision of government services, capturing qualitative as well as quantitative change. The Steering Committee will seek to ensure that the performance indicators are administratively simple and cost effective.</w:t>
            </w:r>
          </w:p>
          <w:p w14:paraId="165FE437" w14:textId="33EB1224" w:rsidR="00612D6F" w:rsidRPr="007153E8" w:rsidRDefault="00612D6F" w:rsidP="005241B9">
            <w:pPr>
              <w:pStyle w:val="Boxbullet"/>
              <w:numPr>
                <w:ilvl w:val="0"/>
                <w:numId w:val="23"/>
              </w:numPr>
            </w:pPr>
            <w:r w:rsidRPr="007153E8">
              <w:t>The ROGS should include a robust set of performance indicators, consistent with the principles set out in the Intergovernmental Agreement on Federal Financial Relations</w:t>
            </w:r>
            <w:r w:rsidR="003C3EC2" w:rsidRPr="007153E8">
              <w:t>,</w:t>
            </w:r>
            <w:r w:rsidRPr="007153E8">
              <w:t xml:space="preserve"> and an emphasis on longitudinal reporting, subject to a program of continual improvement in reporting.</w:t>
            </w:r>
          </w:p>
          <w:p w14:paraId="77C2D9FC" w14:textId="77777777" w:rsidR="00612D6F" w:rsidRPr="007153E8" w:rsidRDefault="00612D6F" w:rsidP="005241B9">
            <w:pPr>
              <w:pStyle w:val="Boxbullet"/>
              <w:numPr>
                <w:ilvl w:val="0"/>
                <w:numId w:val="23"/>
              </w:numPr>
            </w:pPr>
            <w:r w:rsidRPr="007153E8">
              <w:t>To encourage improvements in service delivery and effectiveness, ROGS should also highlight improvements and innovation.</w:t>
            </w:r>
          </w:p>
          <w:p w14:paraId="093187BE" w14:textId="77777777" w:rsidR="00612D6F" w:rsidRPr="001F2344" w:rsidRDefault="00612D6F" w:rsidP="001F2344">
            <w:pPr>
              <w:pStyle w:val="BoxText"/>
              <w:rPr>
                <w:rStyle w:val="Strong"/>
              </w:rPr>
            </w:pPr>
            <w:r w:rsidRPr="001F2344">
              <w:rPr>
                <w:rStyle w:val="Strong"/>
              </w:rPr>
              <w:t>Steering Committee authority</w:t>
            </w:r>
          </w:p>
          <w:p w14:paraId="4C314CC7" w14:textId="77777777" w:rsidR="00612D6F" w:rsidRPr="007153E8" w:rsidRDefault="00612D6F" w:rsidP="005241B9">
            <w:pPr>
              <w:pStyle w:val="Boxbullet"/>
              <w:numPr>
                <w:ilvl w:val="0"/>
                <w:numId w:val="24"/>
              </w:numPr>
            </w:pPr>
            <w:r w:rsidRPr="007153E8">
              <w:t>The Steering Committee exercises overall authority within the ROGS reporting process, including determining the coverage of its reporting and the specific performance indicators that will be published, taking into account the scope of National Agreement reporting and avoiding unnecessary data provision burdens for jurisdictions.</w:t>
            </w:r>
          </w:p>
          <w:p w14:paraId="1A5B5672" w14:textId="77777777" w:rsidR="00612D6F" w:rsidRPr="007153E8" w:rsidRDefault="00612D6F" w:rsidP="005241B9">
            <w:pPr>
              <w:pStyle w:val="Boxbullet"/>
              <w:numPr>
                <w:ilvl w:val="0"/>
                <w:numId w:val="24"/>
              </w:numPr>
            </w:pPr>
            <w:r w:rsidRPr="007153E8">
              <w:t>The Steering Committee will implement a program of review and continuous improvement that will allow for changes to the scope of the ROGS over time, including reporting on new service areas and significant service delivery areas that are jurisdiction specific.</w:t>
            </w:r>
          </w:p>
          <w:p w14:paraId="3D101953" w14:textId="77777777" w:rsidR="00612D6F" w:rsidRPr="0001165F" w:rsidRDefault="00612D6F" w:rsidP="0001165F">
            <w:pPr>
              <w:pStyle w:val="BoxText"/>
              <w:rPr>
                <w:rStyle w:val="Strong"/>
              </w:rPr>
            </w:pPr>
            <w:r w:rsidRPr="0001165F">
              <w:rPr>
                <w:rStyle w:val="Strong"/>
              </w:rPr>
              <w:t>Reporting to COAG</w:t>
            </w:r>
          </w:p>
          <w:p w14:paraId="0E5FA575" w14:textId="75032F46" w:rsidR="00612D6F" w:rsidRPr="00B405A2" w:rsidRDefault="00612D6F" w:rsidP="005241B9">
            <w:pPr>
              <w:pStyle w:val="Boxbullet"/>
              <w:numPr>
                <w:ilvl w:val="0"/>
                <w:numId w:val="25"/>
              </w:numPr>
            </w:pPr>
            <w:r w:rsidRPr="00B405A2">
              <w:t>The Steering Committee will review the ROGS every three years and advise COAG on jurisdictions’ compliance with data provision requirements and of potential improvements in data collection. It may also report on other matters, for example, ROGS’s scope, relevance and usefulness</w:t>
            </w:r>
            <w:r w:rsidR="00FE026F" w:rsidRPr="00B405A2">
              <w:t>,</w:t>
            </w:r>
            <w:r w:rsidRPr="00B405A2">
              <w:t xml:space="preserve"> and other matters consistent with the Steering Committee’s terms of reference and charter of operations.</w:t>
            </w:r>
          </w:p>
          <w:p w14:paraId="1231FBA2" w14:textId="602E3E56" w:rsidR="005325F0" w:rsidRPr="006F255F" w:rsidRDefault="005325F0" w:rsidP="00ED5ECE">
            <w:pPr>
              <w:pStyle w:val="ChartorTableNote"/>
            </w:pPr>
            <w:r w:rsidRPr="0099743D">
              <w:t>Source:</w:t>
            </w:r>
            <w:r w:rsidR="0099743D" w:rsidRPr="0099743D">
              <w:t xml:space="preserve"> </w:t>
            </w:r>
            <w:sdt>
              <w:sdtPr>
                <w:id w:val="-834909562"/>
                <w:citation/>
              </w:sdtPr>
              <w:sdtEndPr/>
              <w:sdtContent>
                <w:r w:rsidR="0099743D" w:rsidRPr="0099743D">
                  <w:fldChar w:fldCharType="begin"/>
                </w:r>
                <w:r w:rsidR="00C74E55">
                  <w:instrText xml:space="preserve">CITATION Ste24 \l 3081 </w:instrText>
                </w:r>
                <w:r w:rsidR="0099743D" w:rsidRPr="0099743D">
                  <w:fldChar w:fldCharType="separate"/>
                </w:r>
                <w:r w:rsidR="003003B3">
                  <w:rPr>
                    <w:noProof/>
                  </w:rPr>
                  <w:t>(Steering Committee 2024b)</w:t>
                </w:r>
                <w:r w:rsidR="0099743D" w:rsidRPr="0099743D">
                  <w:fldChar w:fldCharType="end"/>
                </w:r>
              </w:sdtContent>
            </w:sdt>
          </w:p>
        </w:tc>
      </w:tr>
    </w:tbl>
    <w:p w14:paraId="58CDC1DF" w14:textId="339A6750" w:rsidR="00987F31" w:rsidRDefault="00987F31" w:rsidP="00662B24">
      <w:pPr>
        <w:spacing w:before="240"/>
        <w:rPr>
          <w:rFonts w:cs="Calibri Light"/>
          <w:color w:val="000000" w:themeColor="text1"/>
        </w:rPr>
      </w:pPr>
      <w:r w:rsidRPr="001A3DA5">
        <w:rPr>
          <w:rFonts w:cs="Calibri Light"/>
          <w:color w:val="000000" w:themeColor="text1"/>
        </w:rPr>
        <w:t xml:space="preserve">The Steering Committee </w:t>
      </w:r>
      <w:r w:rsidR="00254BCA">
        <w:rPr>
          <w:rFonts w:cs="Calibri Light"/>
          <w:color w:val="000000" w:themeColor="text1"/>
        </w:rPr>
        <w:t>includes</w:t>
      </w:r>
      <w:r w:rsidRPr="001A3DA5">
        <w:rPr>
          <w:rFonts w:cs="Calibri Light"/>
          <w:color w:val="000000" w:themeColor="text1"/>
        </w:rPr>
        <w:t xml:space="preserve"> senior officials from </w:t>
      </w:r>
      <w:r w:rsidR="002B3509" w:rsidRPr="001A3DA5">
        <w:rPr>
          <w:rFonts w:cs="Calibri Light"/>
          <w:color w:val="000000" w:themeColor="text1"/>
        </w:rPr>
        <w:t>Commonwealth</w:t>
      </w:r>
      <w:r w:rsidR="002B3509">
        <w:rPr>
          <w:rFonts w:cs="Calibri Light"/>
          <w:color w:val="000000" w:themeColor="text1"/>
        </w:rPr>
        <w:t>,</w:t>
      </w:r>
      <w:r w:rsidR="002B3509" w:rsidRPr="001A3DA5">
        <w:rPr>
          <w:rFonts w:cs="Calibri Light"/>
          <w:color w:val="000000" w:themeColor="text1"/>
        </w:rPr>
        <w:t xml:space="preserve"> </w:t>
      </w:r>
      <w:r w:rsidRPr="001A3DA5">
        <w:rPr>
          <w:rFonts w:cs="Calibri Light"/>
          <w:color w:val="000000" w:themeColor="text1"/>
        </w:rPr>
        <w:t>State,</w:t>
      </w:r>
      <w:r w:rsidR="002B3509">
        <w:rPr>
          <w:rFonts w:cs="Calibri Light"/>
          <w:color w:val="000000" w:themeColor="text1"/>
        </w:rPr>
        <w:t xml:space="preserve"> and</w:t>
      </w:r>
      <w:r w:rsidRPr="001A3DA5">
        <w:rPr>
          <w:rFonts w:cs="Calibri Light"/>
          <w:color w:val="000000" w:themeColor="text1"/>
        </w:rPr>
        <w:t xml:space="preserve"> </w:t>
      </w:r>
      <w:r w:rsidRPr="001A3DA5" w:rsidDel="00557440">
        <w:rPr>
          <w:rFonts w:cs="Calibri Light"/>
          <w:color w:val="000000" w:themeColor="text1"/>
        </w:rPr>
        <w:t>T</w:t>
      </w:r>
      <w:r w:rsidRPr="001A3DA5">
        <w:rPr>
          <w:rFonts w:cs="Calibri Light"/>
          <w:color w:val="000000" w:themeColor="text1"/>
        </w:rPr>
        <w:t>erritory central agencies and is chaired by the Chair of the PC.</w:t>
      </w:r>
      <w:r w:rsidRPr="006855D0">
        <w:rPr>
          <w:rStyle w:val="FootnoteReference"/>
          <w:rFonts w:cs="Calibri Light"/>
          <w:color w:val="000000" w:themeColor="text1"/>
          <w:vertAlign w:val="superscript"/>
        </w:rPr>
        <w:footnoteReference w:id="2"/>
      </w:r>
      <w:r w:rsidRPr="001A3DA5">
        <w:rPr>
          <w:rFonts w:cs="Calibri Light"/>
          <w:color w:val="000000" w:themeColor="text1"/>
        </w:rPr>
        <w:t xml:space="preserve"> </w:t>
      </w:r>
      <w:r w:rsidR="00FE0B18">
        <w:rPr>
          <w:rFonts w:cs="Calibri Light"/>
          <w:color w:val="000000" w:themeColor="text1"/>
        </w:rPr>
        <w:t xml:space="preserve">It meets </w:t>
      </w:r>
      <w:r w:rsidR="00FE0B18" w:rsidRPr="001A3DA5">
        <w:rPr>
          <w:rFonts w:cs="Calibri Light"/>
          <w:color w:val="000000" w:themeColor="text1"/>
        </w:rPr>
        <w:t>3 times per yea</w:t>
      </w:r>
      <w:r w:rsidR="00FE0B18">
        <w:rPr>
          <w:rFonts w:cs="Calibri Light"/>
          <w:color w:val="000000" w:themeColor="text1"/>
        </w:rPr>
        <w:t>r.</w:t>
      </w:r>
      <w:r w:rsidR="00FE0B18" w:rsidRPr="001A3DA5">
        <w:rPr>
          <w:rFonts w:cs="Calibri Light"/>
          <w:color w:val="000000" w:themeColor="text1"/>
        </w:rPr>
        <w:t xml:space="preserve"> </w:t>
      </w:r>
      <w:r w:rsidRPr="001A3DA5">
        <w:rPr>
          <w:rFonts w:cs="Calibri Light"/>
          <w:color w:val="000000" w:themeColor="text1"/>
        </w:rPr>
        <w:t>Cross</w:t>
      </w:r>
      <w:r w:rsidR="00B65D32">
        <w:rPr>
          <w:rFonts w:cs="Calibri Light"/>
          <w:color w:val="000000" w:themeColor="text1"/>
        </w:rPr>
        <w:t>-</w:t>
      </w:r>
      <w:r w:rsidRPr="001A3DA5">
        <w:rPr>
          <w:rFonts w:cs="Calibri Light"/>
          <w:color w:val="000000" w:themeColor="text1"/>
        </w:rPr>
        <w:t>jurisdictional working groups support the Steering Committee by providing expert advice on the development, improvement and reporting of performance indicators and related contextual material</w:t>
      </w:r>
      <w:r w:rsidR="000C05E0">
        <w:rPr>
          <w:rFonts w:cs="Calibri Light"/>
          <w:color w:val="000000" w:themeColor="text1"/>
        </w:rPr>
        <w:t xml:space="preserve">. This </w:t>
      </w:r>
      <w:r w:rsidR="007A54F1">
        <w:rPr>
          <w:rFonts w:cs="Calibri Light"/>
          <w:color w:val="000000" w:themeColor="text1"/>
        </w:rPr>
        <w:t>assists</w:t>
      </w:r>
      <w:r w:rsidRPr="001A3DA5">
        <w:rPr>
          <w:rFonts w:cs="Calibri Light"/>
          <w:color w:val="000000" w:themeColor="text1"/>
        </w:rPr>
        <w:t xml:space="preserve"> communication between the Steering Committee and service areas and improv</w:t>
      </w:r>
      <w:r w:rsidR="000C05E0">
        <w:rPr>
          <w:rFonts w:cs="Calibri Light"/>
          <w:color w:val="000000" w:themeColor="text1"/>
        </w:rPr>
        <w:t>es</w:t>
      </w:r>
      <w:r w:rsidRPr="001A3DA5">
        <w:rPr>
          <w:rFonts w:cs="Calibri Light"/>
          <w:color w:val="000000" w:themeColor="text1"/>
        </w:rPr>
        <w:t xml:space="preserve"> </w:t>
      </w:r>
      <w:r w:rsidR="002C6B23">
        <w:rPr>
          <w:rFonts w:cs="Calibri Light"/>
          <w:color w:val="000000" w:themeColor="text1"/>
        </w:rPr>
        <w:t>data</w:t>
      </w:r>
      <w:r w:rsidR="002C6B23" w:rsidRPr="001A3DA5">
        <w:rPr>
          <w:rFonts w:cs="Calibri Light"/>
          <w:color w:val="000000" w:themeColor="text1"/>
        </w:rPr>
        <w:t xml:space="preserve"> </w:t>
      </w:r>
      <w:r w:rsidRPr="001A3DA5">
        <w:rPr>
          <w:rFonts w:cs="Calibri Light"/>
          <w:color w:val="000000" w:themeColor="text1"/>
        </w:rPr>
        <w:t>comparability. The Steering Committee also receives technical</w:t>
      </w:r>
      <w:r w:rsidRPr="001A3DA5" w:rsidDel="000360AD">
        <w:rPr>
          <w:rFonts w:cs="Calibri Light"/>
          <w:color w:val="000000" w:themeColor="text1"/>
        </w:rPr>
        <w:t xml:space="preserve"> </w:t>
      </w:r>
      <w:r w:rsidRPr="001A3DA5">
        <w:rPr>
          <w:rFonts w:cs="Calibri Light"/>
          <w:color w:val="000000" w:themeColor="text1"/>
        </w:rPr>
        <w:t>advice from the Australian Bureau of Statistics (ABS) and the Australian Institute of Health and Welfare (AIHW).</w:t>
      </w:r>
    </w:p>
    <w:p w14:paraId="68937A80" w14:textId="3814A0D6" w:rsidR="00987F31" w:rsidRPr="001A3DA5" w:rsidRDefault="00987F31" w:rsidP="00662B24">
      <w:pPr>
        <w:spacing w:before="240"/>
        <w:rPr>
          <w:rFonts w:cs="Calibri Light"/>
          <w:color w:val="000000" w:themeColor="text1"/>
        </w:rPr>
      </w:pPr>
      <w:r w:rsidRPr="00915D42">
        <w:rPr>
          <w:rFonts w:eastAsiaTheme="majorEastAsia" w:cs="Calibri Light"/>
        </w:rPr>
        <w:t xml:space="preserve">RoGS governance arrangements </w:t>
      </w:r>
      <w:r>
        <w:rPr>
          <w:rFonts w:eastAsiaTheme="majorEastAsia" w:cs="Calibri Light"/>
        </w:rPr>
        <w:t>combine</w:t>
      </w:r>
      <w:r w:rsidRPr="00915D42">
        <w:rPr>
          <w:rFonts w:eastAsiaTheme="majorEastAsia" w:cs="Calibri Light"/>
        </w:rPr>
        <w:t xml:space="preserve"> ‘top down’ authority </w:t>
      </w:r>
      <w:r w:rsidR="009E145D">
        <w:rPr>
          <w:rFonts w:eastAsiaTheme="majorEastAsia" w:cs="Calibri Light"/>
        </w:rPr>
        <w:t>from</w:t>
      </w:r>
      <w:r w:rsidRPr="00915D42">
        <w:rPr>
          <w:rFonts w:eastAsiaTheme="majorEastAsia" w:cs="Calibri Light"/>
        </w:rPr>
        <w:t xml:space="preserve"> </w:t>
      </w:r>
      <w:r>
        <w:rPr>
          <w:rFonts w:eastAsiaTheme="majorEastAsia" w:cs="Calibri Light"/>
        </w:rPr>
        <w:t>the</w:t>
      </w:r>
      <w:r w:rsidRPr="00915D42">
        <w:rPr>
          <w:rFonts w:eastAsiaTheme="majorEastAsia" w:cs="Calibri Light"/>
        </w:rPr>
        <w:t xml:space="preserve"> Steering Committee with </w:t>
      </w:r>
      <w:r w:rsidR="00922603">
        <w:rPr>
          <w:rFonts w:eastAsiaTheme="majorEastAsia" w:cs="Calibri Light"/>
        </w:rPr>
        <w:t xml:space="preserve">the </w:t>
      </w:r>
      <w:r w:rsidRPr="00915D42">
        <w:rPr>
          <w:rFonts w:eastAsiaTheme="majorEastAsia" w:cs="Calibri Light"/>
        </w:rPr>
        <w:t xml:space="preserve">‘bottom up’ expertise </w:t>
      </w:r>
      <w:r w:rsidR="00735314">
        <w:rPr>
          <w:rFonts w:eastAsiaTheme="majorEastAsia" w:cs="Calibri Light"/>
        </w:rPr>
        <w:t xml:space="preserve">line </w:t>
      </w:r>
      <w:r w:rsidRPr="00915D42">
        <w:rPr>
          <w:rFonts w:eastAsiaTheme="majorEastAsia" w:cs="Calibri Light"/>
        </w:rPr>
        <w:t>agency working groups</w:t>
      </w:r>
      <w:r w:rsidR="00922603">
        <w:rPr>
          <w:rFonts w:eastAsiaTheme="majorEastAsia" w:cs="Calibri Light"/>
        </w:rPr>
        <w:t xml:space="preserve"> provide</w:t>
      </w:r>
      <w:r w:rsidRPr="00915D42">
        <w:rPr>
          <w:rFonts w:eastAsiaTheme="majorEastAsia" w:cs="Calibri Light"/>
        </w:rPr>
        <w:t xml:space="preserve">. This design </w:t>
      </w:r>
      <w:r w:rsidR="00922603">
        <w:rPr>
          <w:rFonts w:eastAsiaTheme="majorEastAsia" w:cs="Calibri Light"/>
        </w:rPr>
        <w:t>helps balance</w:t>
      </w:r>
      <w:r w:rsidRPr="00915D42">
        <w:rPr>
          <w:rFonts w:eastAsiaTheme="majorEastAsia" w:cs="Calibri Light"/>
        </w:rPr>
        <w:t xml:space="preserve"> the strategic direction and intent of the report, sector</w:t>
      </w:r>
      <w:r w:rsidR="00D87855">
        <w:rPr>
          <w:rFonts w:eastAsiaTheme="majorEastAsia" w:cs="Calibri Light"/>
        </w:rPr>
        <w:noBreakHyphen/>
      </w:r>
      <w:r w:rsidRPr="00915D42">
        <w:rPr>
          <w:rFonts w:eastAsiaTheme="majorEastAsia" w:cs="Calibri Light"/>
        </w:rPr>
        <w:t>specific knowledge and a practical understanding of relevant data collections.</w:t>
      </w:r>
      <w:r>
        <w:rPr>
          <w:rFonts w:eastAsiaTheme="majorEastAsia" w:cs="Calibri Light"/>
        </w:rPr>
        <w:t xml:space="preserve"> </w:t>
      </w:r>
    </w:p>
    <w:p w14:paraId="7CCF6F51" w14:textId="5ACC8D33" w:rsidR="00987F31" w:rsidRDefault="000B1EB5" w:rsidP="00662B24">
      <w:pPr>
        <w:spacing w:before="240"/>
        <w:rPr>
          <w:rFonts w:cs="Calibri Light"/>
        </w:rPr>
      </w:pPr>
      <w:r>
        <w:rPr>
          <w:rFonts w:cs="Calibri Light"/>
        </w:rPr>
        <w:t>T</w:t>
      </w:r>
      <w:r w:rsidR="00987F31" w:rsidRPr="00024EB7">
        <w:rPr>
          <w:rFonts w:cs="Calibri Light"/>
        </w:rPr>
        <w:t xml:space="preserve">he RoGS has </w:t>
      </w:r>
      <w:r>
        <w:rPr>
          <w:rFonts w:cs="Calibri Light"/>
        </w:rPr>
        <w:t xml:space="preserve">had </w:t>
      </w:r>
      <w:r w:rsidR="00987F31" w:rsidRPr="00024EB7">
        <w:rPr>
          <w:rFonts w:cs="Calibri Light"/>
        </w:rPr>
        <w:t xml:space="preserve">no formal reporting relationship with external bodies </w:t>
      </w:r>
      <w:r w:rsidR="00F56678">
        <w:rPr>
          <w:rFonts w:cs="Calibri Light"/>
        </w:rPr>
        <w:t xml:space="preserve">since the </w:t>
      </w:r>
      <w:r w:rsidR="00F56678" w:rsidRPr="00024EB7">
        <w:rPr>
          <w:rFonts w:cs="Calibri Light"/>
        </w:rPr>
        <w:t>dissolution of COAG in 2020</w:t>
      </w:r>
      <w:r w:rsidR="00F56678">
        <w:rPr>
          <w:rFonts w:cs="Calibri Light"/>
        </w:rPr>
        <w:t xml:space="preserve"> </w:t>
      </w:r>
      <w:r w:rsidR="00987F31" w:rsidRPr="00024EB7">
        <w:rPr>
          <w:rFonts w:cs="Calibri Light"/>
        </w:rPr>
        <w:t>but continues to be overseen by the Steering Committee</w:t>
      </w:r>
      <w:r w:rsidR="00987F31">
        <w:rPr>
          <w:rFonts w:cs="Calibri Light"/>
        </w:rPr>
        <w:t xml:space="preserve"> (</w:t>
      </w:r>
      <w:r w:rsidR="0075439C" w:rsidRPr="0075439C">
        <w:rPr>
          <w:i/>
          <w:iCs/>
        </w:rPr>
        <w:t xml:space="preserve">Figure </w:t>
      </w:r>
      <w:r w:rsidR="0075439C" w:rsidRPr="0075439C">
        <w:rPr>
          <w:i/>
          <w:iCs/>
          <w:noProof/>
        </w:rPr>
        <w:t>3</w:t>
      </w:r>
      <w:r w:rsidR="00987F31">
        <w:rPr>
          <w:rFonts w:cs="Calibri Light"/>
        </w:rPr>
        <w:t>)</w:t>
      </w:r>
      <w:r w:rsidR="0003345C">
        <w:rPr>
          <w:rFonts w:cs="Calibri Light"/>
        </w:rPr>
        <w:t>.</w:t>
      </w:r>
    </w:p>
    <w:p w14:paraId="4ABF9A83" w14:textId="77777777" w:rsidR="00987F31" w:rsidRDefault="00987F31" w:rsidP="00FA313A"/>
    <w:p w14:paraId="6C0E5150" w14:textId="77777777" w:rsidR="00E91CB7" w:rsidRDefault="00E91CB7" w:rsidP="00FA313A">
      <w:pPr>
        <w:sectPr w:rsidR="00E91CB7" w:rsidSect="00EF75AA">
          <w:headerReference w:type="even" r:id="rId21"/>
          <w:headerReference w:type="default" r:id="rId22"/>
          <w:footerReference w:type="even" r:id="rId23"/>
          <w:footerReference w:type="default" r:id="rId24"/>
          <w:headerReference w:type="first" r:id="rId25"/>
          <w:footerReference w:type="first" r:id="rId26"/>
          <w:pgSz w:w="11906" w:h="16838" w:code="9"/>
          <w:pgMar w:top="1843" w:right="1418" w:bottom="1418" w:left="1418" w:header="709" w:footer="709" w:gutter="0"/>
          <w:pgNumType w:start="1"/>
          <w:cols w:space="708"/>
          <w:docGrid w:linePitch="360"/>
        </w:sectPr>
      </w:pPr>
    </w:p>
    <w:p w14:paraId="2BC4A87C" w14:textId="77C54045" w:rsidR="00FA313A" w:rsidRPr="00FA313A" w:rsidRDefault="00D72CD1" w:rsidP="00D72CD1">
      <w:pPr>
        <w:jc w:val="center"/>
      </w:pPr>
      <w:r>
        <w:rPr>
          <w:rFonts w:ascii="Times New Roman" w:hAnsi="Times New Roman"/>
          <w:noProof/>
          <w:sz w:val="24"/>
          <w:szCs w:val="24"/>
        </w:rPr>
        <w:drawing>
          <wp:inline distT="0" distB="0" distL="0" distR="0" wp14:anchorId="653F9CE3" wp14:editId="7AE6AF1C">
            <wp:extent cx="8372835" cy="5001307"/>
            <wp:effectExtent l="0" t="0" r="9525" b="8890"/>
            <wp:docPr id="24" name="Picture 24" descr="Figure 3 is an organisational diagram of the RoGS governance structure. The Steering Committee is at the centre of the structure with inputs from the Secretariat, government agencies and technical working groups. It also shows the Steering Committee reported to the Council of Australian Governments once every 3 years between 200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is an organisational diagram of the RoGS governance structure. The Steering Committee is at the centre of the structure with inputs from the Secretariat, government agencies and technical working groups. It also shows the Steering Committee reported to the Council of Australian Governments once every 3 years between 2009 and 20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8372835" cy="5001307"/>
                    </a:xfrm>
                    <a:prstGeom prst="rect">
                      <a:avLst/>
                    </a:prstGeom>
                    <a:noFill/>
                    <a:ln>
                      <a:noFill/>
                    </a:ln>
                  </pic:spPr>
                </pic:pic>
              </a:graphicData>
            </a:graphic>
          </wp:inline>
        </w:drawing>
      </w:r>
    </w:p>
    <w:p w14:paraId="053865CA" w14:textId="1CAFAF7F" w:rsidR="00987F31" w:rsidRDefault="00D72CD1" w:rsidP="00521521">
      <w:pPr>
        <w:pStyle w:val="ChartorTableNote"/>
      </w:pPr>
      <w:bookmarkStart w:id="18" w:name="_Ref180406663"/>
      <w:r>
        <w:t xml:space="preserve">Figure </w:t>
      </w:r>
      <w:r w:rsidR="004776DE">
        <w:fldChar w:fldCharType="begin"/>
      </w:r>
      <w:r w:rsidR="004776DE">
        <w:instrText xml:space="preserve"> SEQ Figure \* ARABIC </w:instrText>
      </w:r>
      <w:r w:rsidR="004776DE">
        <w:fldChar w:fldCharType="separate"/>
      </w:r>
      <w:r w:rsidR="00D276C7">
        <w:rPr>
          <w:noProof/>
        </w:rPr>
        <w:t>3</w:t>
      </w:r>
      <w:r w:rsidR="004776DE">
        <w:rPr>
          <w:noProof/>
        </w:rPr>
        <w:fldChar w:fldCharType="end"/>
      </w:r>
      <w:bookmarkEnd w:id="18"/>
      <w:r>
        <w:t>: RoGS governance structure</w:t>
      </w:r>
    </w:p>
    <w:p w14:paraId="4D160CBC" w14:textId="5F981C02" w:rsidR="00987F31" w:rsidRDefault="005835C3" w:rsidP="00521521">
      <w:pPr>
        <w:pStyle w:val="ChartorTableNote"/>
      </w:pPr>
      <w:r w:rsidRPr="000A6298">
        <w:t>Source: Analysis undertaken by the Review</w:t>
      </w:r>
    </w:p>
    <w:p w14:paraId="7CF7366C" w14:textId="77777777" w:rsidR="00987F31" w:rsidRPr="00987F31" w:rsidRDefault="00987F31" w:rsidP="00987F31">
      <w:pPr>
        <w:sectPr w:rsidR="00987F31" w:rsidRPr="00987F31" w:rsidSect="00987F31">
          <w:headerReference w:type="default" r:id="rId28"/>
          <w:footerReference w:type="default" r:id="rId29"/>
          <w:pgSz w:w="16838" w:h="11906" w:orient="landscape" w:code="9"/>
          <w:pgMar w:top="1417" w:right="1843" w:bottom="1417" w:left="1417" w:header="709" w:footer="709" w:gutter="0"/>
          <w:cols w:space="708"/>
          <w:docGrid w:linePitch="360"/>
        </w:sectPr>
      </w:pPr>
    </w:p>
    <w:p w14:paraId="25119B95" w14:textId="6E510A88" w:rsidR="00292F4A" w:rsidRDefault="000C0BC2" w:rsidP="00662B24">
      <w:pPr>
        <w:pStyle w:val="Heading3"/>
        <w:spacing w:line="240" w:lineRule="auto"/>
      </w:pPr>
      <w:r>
        <w:t>Previous reviews</w:t>
      </w:r>
    </w:p>
    <w:p w14:paraId="5C7B351C" w14:textId="4EDD7022" w:rsidR="00FA313A" w:rsidRDefault="00260165" w:rsidP="00662B24">
      <w:pPr>
        <w:rPr>
          <w:rFonts w:cs="Calibri Light"/>
        </w:rPr>
      </w:pPr>
      <w:r>
        <w:rPr>
          <w:rFonts w:cs="Calibri Light"/>
        </w:rPr>
        <w:t xml:space="preserve">In 2008, </w:t>
      </w:r>
      <w:r w:rsidR="00FA313A">
        <w:rPr>
          <w:rFonts w:cs="Calibri Light"/>
        </w:rPr>
        <w:t>COAG</w:t>
      </w:r>
      <w:r w:rsidR="00FA313A" w:rsidRPr="00595277">
        <w:rPr>
          <w:rFonts w:cs="Calibri Light"/>
        </w:rPr>
        <w:t xml:space="preserve"> asked a combined Senior Officials/Heads of Treasuries working group to undertake a review of the</w:t>
      </w:r>
      <w:r w:rsidR="00FA313A">
        <w:rPr>
          <w:rFonts w:cs="Calibri Light"/>
        </w:rPr>
        <w:t xml:space="preserve"> RoGS </w:t>
      </w:r>
      <w:r w:rsidR="00310ED4">
        <w:rPr>
          <w:rFonts w:cs="Calibri Light"/>
        </w:rPr>
        <w:t>a</w:t>
      </w:r>
      <w:r w:rsidR="00310ED4" w:rsidRPr="00595277">
        <w:rPr>
          <w:rFonts w:cs="Calibri Light"/>
        </w:rPr>
        <w:t>s part of its reform agenda</w:t>
      </w:r>
      <w:r w:rsidR="00310ED4">
        <w:rPr>
          <w:rFonts w:cs="Calibri Light"/>
        </w:rPr>
        <w:t xml:space="preserve">. This </w:t>
      </w:r>
      <w:r>
        <w:rPr>
          <w:rFonts w:cs="Calibri Light"/>
        </w:rPr>
        <w:t>covered</w:t>
      </w:r>
      <w:r w:rsidR="00310ED4">
        <w:rPr>
          <w:rFonts w:cs="Calibri Light"/>
        </w:rPr>
        <w:t xml:space="preserve"> an assessment of</w:t>
      </w:r>
      <w:r w:rsidR="00FA313A" w:rsidRPr="00E60A5A">
        <w:rPr>
          <w:rFonts w:cs="Calibri Light"/>
        </w:rPr>
        <w:t xml:space="preserve"> </w:t>
      </w:r>
      <w:r w:rsidR="00FA313A">
        <w:rPr>
          <w:rFonts w:cs="Calibri Light"/>
        </w:rPr>
        <w:t>its relevance and usefulness. Th</w:t>
      </w:r>
      <w:r w:rsidR="00E50882">
        <w:rPr>
          <w:rFonts w:cs="Calibri Light"/>
        </w:rPr>
        <w:t>is</w:t>
      </w:r>
      <w:r w:rsidR="00FA313A">
        <w:rPr>
          <w:rFonts w:cs="Calibri Light"/>
        </w:rPr>
        <w:t xml:space="preserve"> review was completed in 2009 and recommendations included: </w:t>
      </w:r>
    </w:p>
    <w:p w14:paraId="7DB14956" w14:textId="00B36B61" w:rsidR="00FA313A" w:rsidRDefault="00143A83" w:rsidP="005241B9">
      <w:pPr>
        <w:pStyle w:val="Bullet"/>
        <w:numPr>
          <w:ilvl w:val="0"/>
          <w:numId w:val="14"/>
        </w:numPr>
        <w:tabs>
          <w:tab w:val="clear" w:pos="720"/>
        </w:tabs>
        <w:spacing w:before="120" w:after="0" w:line="240" w:lineRule="auto"/>
        <w:ind w:left="357" w:hanging="357"/>
      </w:pPr>
      <w:r>
        <w:t>s</w:t>
      </w:r>
      <w:r w:rsidR="00FA313A">
        <w:t>treamlining its presentation and making it more accessible to the public</w:t>
      </w:r>
    </w:p>
    <w:p w14:paraId="1557641A" w14:textId="547D280D" w:rsidR="00FA313A" w:rsidRDefault="00143A83" w:rsidP="005241B9">
      <w:pPr>
        <w:pStyle w:val="Bullet"/>
        <w:numPr>
          <w:ilvl w:val="0"/>
          <w:numId w:val="14"/>
        </w:numPr>
        <w:tabs>
          <w:tab w:val="clear" w:pos="720"/>
        </w:tabs>
        <w:spacing w:before="120" w:after="0" w:line="240" w:lineRule="auto"/>
        <w:ind w:left="357" w:hanging="357"/>
      </w:pPr>
      <w:r>
        <w:t>r</w:t>
      </w:r>
      <w:r w:rsidR="00FA313A">
        <w:t>einforcing the culture of continuous improvement</w:t>
      </w:r>
    </w:p>
    <w:p w14:paraId="54A7F6A9" w14:textId="60A4B454" w:rsidR="00FA313A" w:rsidRDefault="00FF70CD" w:rsidP="005241B9">
      <w:pPr>
        <w:pStyle w:val="Bullet"/>
        <w:numPr>
          <w:ilvl w:val="0"/>
          <w:numId w:val="14"/>
        </w:numPr>
        <w:tabs>
          <w:tab w:val="clear" w:pos="720"/>
        </w:tabs>
        <w:spacing w:before="120" w:after="0" w:line="240" w:lineRule="auto"/>
        <w:ind w:left="357" w:hanging="357"/>
      </w:pPr>
      <w:r>
        <w:t>h</w:t>
      </w:r>
      <w:r w:rsidR="00FA313A">
        <w:t>ighlighting improvements and innovation through case studies</w:t>
      </w:r>
    </w:p>
    <w:p w14:paraId="4AAE9A98" w14:textId="36D74F46" w:rsidR="00FA313A" w:rsidRDefault="00FF70CD" w:rsidP="005241B9">
      <w:pPr>
        <w:pStyle w:val="Bullet"/>
        <w:numPr>
          <w:ilvl w:val="0"/>
          <w:numId w:val="14"/>
        </w:numPr>
        <w:tabs>
          <w:tab w:val="clear" w:pos="720"/>
        </w:tabs>
        <w:spacing w:before="120" w:after="0" w:line="240" w:lineRule="auto"/>
        <w:ind w:left="357" w:hanging="357"/>
      </w:pPr>
      <w:r>
        <w:t xml:space="preserve">reviewing </w:t>
      </w:r>
      <w:r w:rsidR="00FA313A">
        <w:t>its operation and report</w:t>
      </w:r>
      <w:r w:rsidR="00AD68D5">
        <w:t>ing</w:t>
      </w:r>
      <w:r w:rsidR="00FA313A">
        <w:t xml:space="preserve"> to COAG</w:t>
      </w:r>
      <w:r w:rsidR="00AF52EB">
        <w:t xml:space="preserve"> every 3 years</w:t>
      </w:r>
    </w:p>
    <w:p w14:paraId="276D93F5" w14:textId="363FA431" w:rsidR="00FA313A" w:rsidRDefault="00AF52EB" w:rsidP="005241B9">
      <w:pPr>
        <w:pStyle w:val="Bullet"/>
        <w:numPr>
          <w:ilvl w:val="0"/>
          <w:numId w:val="14"/>
        </w:numPr>
        <w:tabs>
          <w:tab w:val="clear" w:pos="720"/>
        </w:tabs>
        <w:spacing w:before="120" w:after="0" w:line="240" w:lineRule="auto"/>
        <w:ind w:left="357" w:hanging="357"/>
      </w:pPr>
      <w:r>
        <w:t>u</w:t>
      </w:r>
      <w:r w:rsidR="00FA313A">
        <w:t xml:space="preserve">ndertaking a separate review of the </w:t>
      </w:r>
      <w:r w:rsidR="00FA313A" w:rsidRPr="00192B84">
        <w:t>performance indicator framework and individual performance indicators</w:t>
      </w:r>
      <w:r w:rsidR="00E50882">
        <w:t xml:space="preserve"> </w:t>
      </w:r>
      <w:sdt>
        <w:sdtPr>
          <w:id w:val="-1455632412"/>
          <w:citation/>
        </w:sdtPr>
        <w:sdtEndPr/>
        <w:sdtContent>
          <w:r w:rsidR="00E50882">
            <w:fldChar w:fldCharType="begin"/>
          </w:r>
          <w:r w:rsidR="00E50882">
            <w:instrText xml:space="preserve"> CITATION Rev09 \l 3081 </w:instrText>
          </w:r>
          <w:r w:rsidR="00E50882">
            <w:fldChar w:fldCharType="separate"/>
          </w:r>
          <w:r w:rsidR="003003B3">
            <w:rPr>
              <w:noProof/>
            </w:rPr>
            <w:t>(Senior Officials/Heads of Treasuries Working Group 2009)</w:t>
          </w:r>
          <w:r w:rsidR="00E50882">
            <w:fldChar w:fldCharType="end"/>
          </w:r>
        </w:sdtContent>
      </w:sdt>
      <w:r w:rsidR="00FA313A">
        <w:t>.</w:t>
      </w:r>
    </w:p>
    <w:p w14:paraId="767E735D" w14:textId="691246CE" w:rsidR="005957D2" w:rsidRDefault="00FA313A" w:rsidP="00662B24">
      <w:r>
        <w:rPr>
          <w:rFonts w:cs="Calibri Light"/>
        </w:rPr>
        <w:t>Th</w:t>
      </w:r>
      <w:r w:rsidR="00E50882">
        <w:rPr>
          <w:rFonts w:cs="Calibri Light"/>
        </w:rPr>
        <w:t>e</w:t>
      </w:r>
      <w:r>
        <w:rPr>
          <w:rFonts w:cs="Calibri Light"/>
        </w:rPr>
        <w:t xml:space="preserve"> </w:t>
      </w:r>
      <w:r w:rsidR="00260165">
        <w:rPr>
          <w:rFonts w:cs="Calibri Light"/>
        </w:rPr>
        <w:t>separate</w:t>
      </w:r>
      <w:r w:rsidR="003C6CB3">
        <w:rPr>
          <w:rFonts w:cs="Calibri Light"/>
        </w:rPr>
        <w:t xml:space="preserve"> </w:t>
      </w:r>
      <w:r>
        <w:rPr>
          <w:rFonts w:cs="Calibri Light"/>
        </w:rPr>
        <w:t>review of the performance indicator framework was completed in 2010</w:t>
      </w:r>
      <w:r w:rsidR="008A1B6A">
        <w:rPr>
          <w:rFonts w:cs="Calibri Light"/>
        </w:rPr>
        <w:t>.</w:t>
      </w:r>
      <w:r>
        <w:rPr>
          <w:rFonts w:cs="Calibri Light"/>
        </w:rPr>
        <w:t xml:space="preserve"> </w:t>
      </w:r>
      <w:r w:rsidR="008A1B6A">
        <w:rPr>
          <w:rFonts w:cs="Calibri Light"/>
        </w:rPr>
        <w:t>It</w:t>
      </w:r>
      <w:r>
        <w:rPr>
          <w:rFonts w:cs="Calibri Light"/>
        </w:rPr>
        <w:t xml:space="preserve"> made 8</w:t>
      </w:r>
      <w:r w:rsidR="00630DA1">
        <w:rPr>
          <w:rFonts w:cs="Calibri Light"/>
        </w:rPr>
        <w:t> </w:t>
      </w:r>
      <w:r>
        <w:rPr>
          <w:rFonts w:cs="Calibri Light"/>
        </w:rPr>
        <w:t xml:space="preserve">recommendations, including </w:t>
      </w:r>
      <w:r w:rsidR="0039002F">
        <w:rPr>
          <w:rFonts w:cs="Calibri Light"/>
        </w:rPr>
        <w:t>to consider how</w:t>
      </w:r>
      <w:r>
        <w:rPr>
          <w:rFonts w:cs="Calibri Light"/>
        </w:rPr>
        <w:t xml:space="preserve"> </w:t>
      </w:r>
      <w:r w:rsidR="0045580D">
        <w:rPr>
          <w:rFonts w:cs="Calibri Light"/>
        </w:rPr>
        <w:t xml:space="preserve">targeted </w:t>
      </w:r>
      <w:r w:rsidR="007563AB">
        <w:rPr>
          <w:rFonts w:cs="Calibri Light"/>
        </w:rPr>
        <w:t>consultation with non</w:t>
      </w:r>
      <w:r w:rsidR="00B65D32">
        <w:rPr>
          <w:rFonts w:cs="Calibri Light"/>
        </w:rPr>
        <w:t>-</w:t>
      </w:r>
      <w:r w:rsidR="007563AB">
        <w:rPr>
          <w:rFonts w:cs="Calibri Light"/>
        </w:rPr>
        <w:t>government organisations (NGOs) could inform</w:t>
      </w:r>
      <w:r>
        <w:rPr>
          <w:rFonts w:cs="Calibri Light"/>
        </w:rPr>
        <w:t xml:space="preserve"> reporting and access </w:t>
      </w:r>
      <w:sdt>
        <w:sdtPr>
          <w:rPr>
            <w:rFonts w:cs="Calibri Light"/>
          </w:rPr>
          <w:id w:val="1125960941"/>
          <w:citation/>
        </w:sdtPr>
        <w:sdtEndPr/>
        <w:sdtContent>
          <w:r w:rsidR="00F166BE">
            <w:rPr>
              <w:rFonts w:cs="Calibri Light"/>
            </w:rPr>
            <w:fldChar w:fldCharType="begin"/>
          </w:r>
          <w:r w:rsidR="00F166BE">
            <w:rPr>
              <w:rFonts w:cs="Calibri Light"/>
            </w:rPr>
            <w:instrText xml:space="preserve"> CITATION Ind10 \l 3081 </w:instrText>
          </w:r>
          <w:r w:rsidR="00F166BE">
            <w:rPr>
              <w:rFonts w:cs="Calibri Light"/>
            </w:rPr>
            <w:fldChar w:fldCharType="separate"/>
          </w:r>
          <w:r w:rsidR="003003B3" w:rsidRPr="003003B3">
            <w:rPr>
              <w:rFonts w:cs="Calibri Light"/>
              <w:noProof/>
            </w:rPr>
            <w:t>(Independent Reference Group 2010)</w:t>
          </w:r>
          <w:r w:rsidR="00F166BE">
            <w:rPr>
              <w:rFonts w:cs="Calibri Light"/>
            </w:rPr>
            <w:fldChar w:fldCharType="end"/>
          </w:r>
        </w:sdtContent>
      </w:sdt>
      <w:r>
        <w:rPr>
          <w:rFonts w:cs="Calibri Light"/>
        </w:rPr>
        <w:t>.</w:t>
      </w:r>
      <w:r w:rsidRPr="00FA454B">
        <w:t xml:space="preserve"> </w:t>
      </w:r>
    </w:p>
    <w:p w14:paraId="31D1F692" w14:textId="6D16511F" w:rsidR="00FA313A" w:rsidRPr="00B7574E" w:rsidRDefault="004C0066" w:rsidP="00662B24">
      <w:r>
        <w:t>The Steering Committee has made improvements to the RoGS</w:t>
      </w:r>
      <w:r w:rsidR="005957D2">
        <w:t xml:space="preserve"> in the years since the reviews</w:t>
      </w:r>
      <w:r w:rsidR="00B7574E">
        <w:t xml:space="preserve">, including in relation to </w:t>
      </w:r>
      <w:r w:rsidR="00952619">
        <w:rPr>
          <w:rFonts w:cs="Calibri Light"/>
        </w:rPr>
        <w:t xml:space="preserve">streamlining, </w:t>
      </w:r>
      <w:r w:rsidR="00FC5132">
        <w:rPr>
          <w:rFonts w:cs="Calibri Light"/>
        </w:rPr>
        <w:t>reporting timeliness and the</w:t>
      </w:r>
      <w:r w:rsidR="00FA313A" w:rsidRPr="00FA454B">
        <w:rPr>
          <w:rFonts w:cs="Calibri Light"/>
        </w:rPr>
        <w:t xml:space="preserve"> comprehensiveness, </w:t>
      </w:r>
      <w:r w:rsidR="0086358C" w:rsidRPr="00FA454B">
        <w:rPr>
          <w:rFonts w:cs="Calibri Light"/>
        </w:rPr>
        <w:t>comparability,</w:t>
      </w:r>
      <w:r w:rsidR="00FA313A" w:rsidRPr="00FA454B">
        <w:rPr>
          <w:rFonts w:cs="Calibri Light"/>
        </w:rPr>
        <w:t xml:space="preserve"> and quality of data</w:t>
      </w:r>
      <w:r w:rsidR="00B7574E">
        <w:rPr>
          <w:rFonts w:cs="Calibri Light"/>
        </w:rPr>
        <w:t>.</w:t>
      </w:r>
    </w:p>
    <w:p w14:paraId="0C1BB610" w14:textId="18E23FFD" w:rsidR="00D72CD1" w:rsidRDefault="00495F2B" w:rsidP="00662B24">
      <w:pPr>
        <w:pStyle w:val="Heading2"/>
        <w:spacing w:line="240" w:lineRule="auto"/>
      </w:pPr>
      <w:r>
        <w:t>The Performance Reporting Dashboard</w:t>
      </w:r>
    </w:p>
    <w:p w14:paraId="28F8E776" w14:textId="29A72B5B" w:rsidR="00495F2B" w:rsidRDefault="00495F2B" w:rsidP="00662B24">
      <w:pPr>
        <w:pStyle w:val="Heading3"/>
        <w:spacing w:line="240" w:lineRule="auto"/>
      </w:pPr>
      <w:r>
        <w:t>Scope and coverage</w:t>
      </w:r>
    </w:p>
    <w:p w14:paraId="4EBC5C41" w14:textId="17047F37" w:rsidR="001A6936" w:rsidRDefault="001A6936" w:rsidP="00662B24">
      <w:pPr>
        <w:rPr>
          <w:rFonts w:cs="Calibri Light"/>
        </w:rPr>
      </w:pPr>
      <w:r w:rsidRPr="00024EB7">
        <w:rPr>
          <w:rFonts w:cs="Calibri Light"/>
        </w:rPr>
        <w:t xml:space="preserve">The Dashboard reports on progress in </w:t>
      </w:r>
      <w:r w:rsidRPr="00C972FE">
        <w:rPr>
          <w:rFonts w:cs="Calibri Light"/>
        </w:rPr>
        <w:t xml:space="preserve">housing, education, skills, healthcare, </w:t>
      </w:r>
      <w:r>
        <w:rPr>
          <w:rFonts w:cs="Calibri Light"/>
        </w:rPr>
        <w:t xml:space="preserve">enhancing quality of life and community participation for people with a </w:t>
      </w:r>
      <w:r w:rsidRPr="00C972FE">
        <w:rPr>
          <w:rFonts w:cs="Calibri Light"/>
        </w:rPr>
        <w:t xml:space="preserve">disability, </w:t>
      </w:r>
      <w:r>
        <w:rPr>
          <w:rFonts w:cs="Calibri Light"/>
        </w:rPr>
        <w:t xml:space="preserve">closing the gap in </w:t>
      </w:r>
      <w:r w:rsidRPr="00C972FE">
        <w:rPr>
          <w:rFonts w:cs="Calibri Light"/>
        </w:rPr>
        <w:t>Indigenous</w:t>
      </w:r>
      <w:r>
        <w:rPr>
          <w:rFonts w:cs="Calibri Light"/>
        </w:rPr>
        <w:t xml:space="preserve"> disadvantage</w:t>
      </w:r>
      <w:r w:rsidRPr="00C972FE">
        <w:rPr>
          <w:rFonts w:cs="Calibri Light"/>
        </w:rPr>
        <w:t>, infrastructure</w:t>
      </w:r>
      <w:r w:rsidR="00764ADF">
        <w:rPr>
          <w:rFonts w:cs="Calibri Light"/>
        </w:rPr>
        <w:t>,</w:t>
      </w:r>
      <w:r w:rsidRPr="00C972FE">
        <w:rPr>
          <w:rFonts w:cs="Calibri Light"/>
        </w:rPr>
        <w:t xml:space="preserve"> </w:t>
      </w:r>
      <w:r>
        <w:rPr>
          <w:rFonts w:cs="Calibri Light"/>
        </w:rPr>
        <w:t>and</w:t>
      </w:r>
      <w:r w:rsidRPr="00C972FE">
        <w:rPr>
          <w:rFonts w:cs="Calibri Light"/>
        </w:rPr>
        <w:t xml:space="preserve"> legal assistance </w:t>
      </w:r>
      <w:r w:rsidRPr="00024EB7">
        <w:rPr>
          <w:rFonts w:cs="Calibri Light"/>
        </w:rPr>
        <w:t>against a range of economic, health and social indicators. These policy areas and indicators were identified by COAG in 2017</w:t>
      </w:r>
      <w:r>
        <w:rPr>
          <w:rFonts w:cs="Calibri Light"/>
        </w:rPr>
        <w:t xml:space="preserve"> </w:t>
      </w:r>
      <w:r w:rsidRPr="00024EB7">
        <w:rPr>
          <w:rFonts w:cs="Calibri Light"/>
        </w:rPr>
        <w:t>from National Agreements and National Partnership Agreements. The Dashboard covers 52 indicators across 9 National Agreements and 7</w:t>
      </w:r>
      <w:r w:rsidR="00BE567D">
        <w:rPr>
          <w:rFonts w:cs="Calibri Light"/>
        </w:rPr>
        <w:t> </w:t>
      </w:r>
      <w:r w:rsidRPr="00024EB7">
        <w:rPr>
          <w:rFonts w:cs="Calibri Light"/>
        </w:rPr>
        <w:t xml:space="preserve">National Partnership Agreements. </w:t>
      </w:r>
      <w:r>
        <w:rPr>
          <w:rFonts w:cs="Calibri Light"/>
        </w:rPr>
        <w:t>The Dashboard is released annually</w:t>
      </w:r>
      <w:r w:rsidR="00ED0E5C" w:rsidRPr="00ED0E5C">
        <w:rPr>
          <w:rFonts w:cs="Calibri Light"/>
        </w:rPr>
        <w:t xml:space="preserve"> </w:t>
      </w:r>
      <w:sdt>
        <w:sdtPr>
          <w:rPr>
            <w:rFonts w:cs="Calibri Light"/>
          </w:rPr>
          <w:id w:val="2101666979"/>
          <w:citation/>
        </w:sdtPr>
        <w:sdtEndPr/>
        <w:sdtContent>
          <w:r w:rsidR="00ED0E5C">
            <w:rPr>
              <w:rFonts w:cs="Calibri Light"/>
            </w:rPr>
            <w:fldChar w:fldCharType="begin"/>
          </w:r>
          <w:r w:rsidR="00D72A3C">
            <w:rPr>
              <w:rFonts w:cs="Calibri Light"/>
            </w:rPr>
            <w:instrText xml:space="preserve">CITATION Pro4e \l 3081 </w:instrText>
          </w:r>
          <w:r w:rsidR="00ED0E5C">
            <w:rPr>
              <w:rFonts w:cs="Calibri Light"/>
            </w:rPr>
            <w:fldChar w:fldCharType="separate"/>
          </w:r>
          <w:r w:rsidR="00D72A3C" w:rsidRPr="00D72A3C">
            <w:rPr>
              <w:rFonts w:cs="Calibri Light"/>
              <w:noProof/>
            </w:rPr>
            <w:t>(PC 2023a)</w:t>
          </w:r>
          <w:r w:rsidR="00ED0E5C">
            <w:rPr>
              <w:rFonts w:cs="Calibri Light"/>
            </w:rPr>
            <w:fldChar w:fldCharType="end"/>
          </w:r>
        </w:sdtContent>
      </w:sdt>
      <w:r>
        <w:rPr>
          <w:rFonts w:cs="Calibri Light"/>
        </w:rPr>
        <w:t xml:space="preserve">. </w:t>
      </w:r>
    </w:p>
    <w:p w14:paraId="37686BBE" w14:textId="0B07765A" w:rsidR="00F75C8E" w:rsidRDefault="001A6936" w:rsidP="00662B24">
      <w:pPr>
        <w:pStyle w:val="Heading3"/>
        <w:spacing w:line="240" w:lineRule="auto"/>
      </w:pPr>
      <w:r>
        <w:t>Presentation</w:t>
      </w:r>
    </w:p>
    <w:p w14:paraId="2E7FF2EB" w14:textId="01DF95B1" w:rsidR="00B127A6" w:rsidRPr="00024EB7" w:rsidRDefault="00B127A6" w:rsidP="00662B24">
      <w:pPr>
        <w:rPr>
          <w:rFonts w:cs="Calibri Light"/>
        </w:rPr>
      </w:pPr>
      <w:r w:rsidRPr="00024EB7">
        <w:rPr>
          <w:rFonts w:cs="Calibri Light"/>
        </w:rPr>
        <w:t>In many areas, the Dashboard assesses progress towards meeting benchmarks</w:t>
      </w:r>
      <w:r w:rsidR="00000669">
        <w:rPr>
          <w:rFonts w:cs="Calibri Light"/>
        </w:rPr>
        <w:t xml:space="preserve">. This is </w:t>
      </w:r>
      <w:r w:rsidRPr="00024EB7">
        <w:rPr>
          <w:rFonts w:cs="Calibri Light"/>
        </w:rPr>
        <w:t>typically set at a national level, by a particular point in time</w:t>
      </w:r>
      <w:r w:rsidR="005835C3">
        <w:rPr>
          <w:rFonts w:cs="Calibri Light"/>
        </w:rPr>
        <w:t xml:space="preserve"> </w:t>
      </w:r>
      <w:r w:rsidR="00151F05">
        <w:rPr>
          <w:rFonts w:cs="Calibri Light"/>
        </w:rPr>
        <w:t>(</w:t>
      </w:r>
      <w:r w:rsidR="00D276C7" w:rsidRPr="00D276C7">
        <w:rPr>
          <w:i/>
          <w:iCs/>
        </w:rPr>
        <w:t xml:space="preserve">Figure </w:t>
      </w:r>
      <w:r w:rsidR="00D276C7" w:rsidRPr="00D276C7">
        <w:rPr>
          <w:i/>
          <w:iCs/>
          <w:noProof/>
        </w:rPr>
        <w:t>4</w:t>
      </w:r>
      <w:r w:rsidR="005835C3">
        <w:rPr>
          <w:rFonts w:cs="Calibri Light"/>
        </w:rPr>
        <w:t>)</w:t>
      </w:r>
      <w:r w:rsidRPr="00024EB7">
        <w:rPr>
          <w:rFonts w:cs="Calibri Light"/>
        </w:rPr>
        <w:t>. For example:</w:t>
      </w:r>
    </w:p>
    <w:p w14:paraId="7D96ECAC" w14:textId="77777777" w:rsidR="00B127A6" w:rsidRDefault="00B127A6" w:rsidP="002C7AA2">
      <w:pPr>
        <w:pStyle w:val="Quote"/>
        <w:jc w:val="left"/>
      </w:pPr>
      <w:r w:rsidRPr="00024EB7">
        <w:t>By 2018, increase by five percentage points the proportion of Australian adults at a healthy body weight from 2009.</w:t>
      </w:r>
    </w:p>
    <w:p w14:paraId="22027161" w14:textId="56772110" w:rsidR="00B127A6" w:rsidRDefault="00B127A6" w:rsidP="00662B24">
      <w:pPr>
        <w:pStyle w:val="Bullet"/>
        <w:keepNext/>
        <w:numPr>
          <w:ilvl w:val="0"/>
          <w:numId w:val="0"/>
        </w:numPr>
        <w:spacing w:line="240" w:lineRule="auto"/>
        <w:ind w:left="520"/>
        <w:jc w:val="center"/>
      </w:pPr>
      <w:r w:rsidRPr="00123932">
        <w:rPr>
          <w:rFonts w:cs="Calibri Light"/>
          <w:noProof/>
        </w:rPr>
        <w:drawing>
          <wp:inline distT="0" distB="0" distL="0" distR="0" wp14:anchorId="334019D1" wp14:editId="14C649F4">
            <wp:extent cx="5381680" cy="2075935"/>
            <wp:effectExtent l="0" t="0" r="0" b="635"/>
            <wp:docPr id="586512723" name="Picture 586512723" descr="Figure 4 shows that the proportion of adults with healthy body weight between 2008 and 2018. The agreed national benchmark has not been met after 2008. It is a screenshot of a line graph taken from the Performance Reporting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12723" name="Picture 586512723" descr="Figure 4 shows that the proportion of adults with healthy body weight between 2008 and 2018. The agreed national benchmark has not been met after 2008. It is a screenshot of a line graph taken from the Performance Reporting Dashboard. "/>
                    <pic:cNvPicPr/>
                  </pic:nvPicPr>
                  <pic:blipFill rotWithShape="1">
                    <a:blip r:embed="rId30"/>
                    <a:srcRect t="12465" b="26319"/>
                    <a:stretch/>
                  </pic:blipFill>
                  <pic:spPr bwMode="auto">
                    <a:xfrm>
                      <a:off x="0" y="0"/>
                      <a:ext cx="5405747" cy="2085219"/>
                    </a:xfrm>
                    <a:prstGeom prst="rect">
                      <a:avLst/>
                    </a:prstGeom>
                    <a:ln>
                      <a:noFill/>
                    </a:ln>
                    <a:extLst>
                      <a:ext uri="{53640926-AAD7-44D8-BBD7-CCE9431645EC}">
                        <a14:shadowObscured xmlns:a14="http://schemas.microsoft.com/office/drawing/2010/main"/>
                      </a:ext>
                    </a:extLst>
                  </pic:spPr>
                </pic:pic>
              </a:graphicData>
            </a:graphic>
          </wp:inline>
        </w:drawing>
      </w:r>
    </w:p>
    <w:p w14:paraId="52C4697C" w14:textId="1C510FEF" w:rsidR="00B127A6" w:rsidRPr="00ED0E5C" w:rsidRDefault="00B127A6" w:rsidP="00234E83">
      <w:pPr>
        <w:pStyle w:val="ChartorTableNote"/>
      </w:pPr>
      <w:bookmarkStart w:id="19" w:name="_Ref181270153"/>
      <w:bookmarkStart w:id="20" w:name="_Ref181270150"/>
      <w:r w:rsidRPr="00ED0E5C">
        <w:t xml:space="preserve">Figure </w:t>
      </w:r>
      <w:r w:rsidR="004776DE">
        <w:fldChar w:fldCharType="begin"/>
      </w:r>
      <w:r w:rsidR="004776DE">
        <w:instrText xml:space="preserve"> SEQ Figure \* ARABIC </w:instrText>
      </w:r>
      <w:r w:rsidR="004776DE">
        <w:fldChar w:fldCharType="separate"/>
      </w:r>
      <w:r w:rsidR="00D276C7">
        <w:rPr>
          <w:noProof/>
        </w:rPr>
        <w:t>4</w:t>
      </w:r>
      <w:r w:rsidR="004776DE">
        <w:rPr>
          <w:noProof/>
        </w:rPr>
        <w:fldChar w:fldCharType="end"/>
      </w:r>
      <w:bookmarkEnd w:id="19"/>
      <w:r w:rsidRPr="00ED0E5C">
        <w:t>: Example of benchmark indicator in the Dashboard</w:t>
      </w:r>
      <w:bookmarkEnd w:id="20"/>
    </w:p>
    <w:p w14:paraId="540F8C51" w14:textId="224DA81B" w:rsidR="00B127A6" w:rsidRPr="00ED0E5C" w:rsidRDefault="00B127A6" w:rsidP="00234E83">
      <w:pPr>
        <w:pStyle w:val="ChartorTableNote"/>
      </w:pPr>
      <w:r w:rsidRPr="00ED0E5C">
        <w:t xml:space="preserve">Source: </w:t>
      </w:r>
      <w:sdt>
        <w:sdtPr>
          <w:id w:val="1038091189"/>
          <w:citation/>
        </w:sdtPr>
        <w:sdtEndPr/>
        <w:sdtContent>
          <w:r w:rsidR="00ED0E5C" w:rsidRPr="00ED0E5C">
            <w:fldChar w:fldCharType="begin"/>
          </w:r>
          <w:r w:rsidR="00D72A3C">
            <w:instrText xml:space="preserve">CITATION Pro4e \l 3081 </w:instrText>
          </w:r>
          <w:r w:rsidR="00ED0E5C" w:rsidRPr="00ED0E5C">
            <w:fldChar w:fldCharType="separate"/>
          </w:r>
          <w:r w:rsidR="00D72A3C">
            <w:rPr>
              <w:noProof/>
            </w:rPr>
            <w:t>(PC 2023a)</w:t>
          </w:r>
          <w:r w:rsidR="00ED0E5C" w:rsidRPr="00ED0E5C">
            <w:fldChar w:fldCharType="end"/>
          </w:r>
        </w:sdtContent>
      </w:sdt>
    </w:p>
    <w:p w14:paraId="7386EA32" w14:textId="7C8D7712" w:rsidR="00B127A6" w:rsidRPr="00024EB7" w:rsidRDefault="00B127A6" w:rsidP="002C7AA2">
      <w:r w:rsidRPr="00024EB7">
        <w:t xml:space="preserve">In other areas, </w:t>
      </w:r>
      <w:r w:rsidR="00000669">
        <w:t>the Dashboard</w:t>
      </w:r>
      <w:r w:rsidRPr="00024EB7">
        <w:t xml:space="preserve"> monitors performance over time</w:t>
      </w:r>
      <w:r w:rsidR="00000669">
        <w:t xml:space="preserve"> (</w:t>
      </w:r>
      <w:r w:rsidR="00427FAB" w:rsidRPr="00427FAB">
        <w:rPr>
          <w:i/>
          <w:iCs/>
        </w:rPr>
        <w:t xml:space="preserve">Figure </w:t>
      </w:r>
      <w:r w:rsidR="00427FAB" w:rsidRPr="00427FAB">
        <w:rPr>
          <w:i/>
          <w:iCs/>
          <w:noProof/>
        </w:rPr>
        <w:t>5</w:t>
      </w:r>
      <w:r w:rsidR="0087586F">
        <w:t xml:space="preserve">). </w:t>
      </w:r>
      <w:r w:rsidRPr="00024EB7">
        <w:t>For example:</w:t>
      </w:r>
    </w:p>
    <w:p w14:paraId="19D37A26" w14:textId="659E4E1B" w:rsidR="00B127A6" w:rsidRDefault="00B127A6" w:rsidP="002C7AA2">
      <w:pPr>
        <w:pStyle w:val="Quote"/>
        <w:jc w:val="left"/>
      </w:pPr>
      <w:r w:rsidRPr="005262E9">
        <w:t xml:space="preserve">The proportion of </w:t>
      </w:r>
      <w:r>
        <w:t xml:space="preserve">VET </w:t>
      </w:r>
      <w:r w:rsidR="00F606F7" w:rsidRPr="002C7AA2">
        <w:rPr>
          <w:i w:val="0"/>
        </w:rPr>
        <w:t>[vocational education and training]</w:t>
      </w:r>
      <w:r w:rsidR="00F606F7">
        <w:t xml:space="preserve"> </w:t>
      </w:r>
      <w:r>
        <w:t>graduates with improved employment status after training</w:t>
      </w:r>
    </w:p>
    <w:p w14:paraId="6101D28D" w14:textId="720A43D2" w:rsidR="00B127A6" w:rsidRDefault="009516E7" w:rsidP="00662B24">
      <w:pPr>
        <w:pStyle w:val="Bullet"/>
        <w:keepNext/>
        <w:numPr>
          <w:ilvl w:val="0"/>
          <w:numId w:val="0"/>
        </w:numPr>
        <w:spacing w:line="240" w:lineRule="auto"/>
        <w:ind w:left="522"/>
        <w:jc w:val="center"/>
      </w:pPr>
      <w:r w:rsidRPr="009516E7">
        <w:rPr>
          <w:noProof/>
        </w:rPr>
        <w:drawing>
          <wp:inline distT="0" distB="0" distL="0" distR="0" wp14:anchorId="199621D7" wp14:editId="64FC3A8C">
            <wp:extent cx="5392800" cy="1929600"/>
            <wp:effectExtent l="0" t="0" r="0" b="0"/>
            <wp:docPr id="20939943" name="Picture 20939943" descr="Figure 5 shows the proportion of Vocational Education and Training graduates in Australia with improved employment status after training from 2008 to 2022. The proportion decreased from 2008 to 2016, but increased from 2016 to 2022. The indicator has been assessed as improving. The figure is a screenshot of a line graph taken from the Performance Reporting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943" name="Picture 20939943" descr="Figure 5 shows the proportion of Vocational Education and Training graduates in Australia with improved employment status after training from 2008 to 2022. The proportion decreased from 2008 to 2016, but increased from 2016 to 2022. The indicator has been assessed as improving. The figure is a screenshot of a line graph taken from the Performance Reporting Dashboard. "/>
                    <pic:cNvPicPr/>
                  </pic:nvPicPr>
                  <pic:blipFill>
                    <a:blip r:embed="rId31"/>
                    <a:stretch>
                      <a:fillRect/>
                    </a:stretch>
                  </pic:blipFill>
                  <pic:spPr>
                    <a:xfrm>
                      <a:off x="0" y="0"/>
                      <a:ext cx="5392800" cy="1929600"/>
                    </a:xfrm>
                    <a:prstGeom prst="rect">
                      <a:avLst/>
                    </a:prstGeom>
                  </pic:spPr>
                </pic:pic>
              </a:graphicData>
            </a:graphic>
          </wp:inline>
        </w:drawing>
      </w:r>
    </w:p>
    <w:p w14:paraId="1DF767C2" w14:textId="71BD9405" w:rsidR="00B127A6" w:rsidRDefault="00B127A6" w:rsidP="00A20825">
      <w:pPr>
        <w:pStyle w:val="ChartorTableNote"/>
      </w:pPr>
      <w:bookmarkStart w:id="21" w:name="_Ref181270221"/>
      <w:r>
        <w:t xml:space="preserve">Figure </w:t>
      </w:r>
      <w:r w:rsidR="004776DE">
        <w:fldChar w:fldCharType="begin"/>
      </w:r>
      <w:r w:rsidR="004776DE">
        <w:instrText xml:space="preserve"> SEQ Figure \* ARABIC </w:instrText>
      </w:r>
      <w:r w:rsidR="004776DE">
        <w:fldChar w:fldCharType="separate"/>
      </w:r>
      <w:r w:rsidR="00D276C7">
        <w:rPr>
          <w:noProof/>
        </w:rPr>
        <w:t>5</w:t>
      </w:r>
      <w:r w:rsidR="004776DE">
        <w:rPr>
          <w:noProof/>
        </w:rPr>
        <w:fldChar w:fldCharType="end"/>
      </w:r>
      <w:bookmarkEnd w:id="21"/>
      <w:r>
        <w:t>: Example of monitoring over time in the Dashboard</w:t>
      </w:r>
    </w:p>
    <w:p w14:paraId="2D47B20A" w14:textId="7CF6188F" w:rsidR="00ED0E5C" w:rsidRPr="00ED0E5C" w:rsidRDefault="00ED0E5C" w:rsidP="00A20825">
      <w:pPr>
        <w:pStyle w:val="ChartorTableNote"/>
      </w:pPr>
      <w:r w:rsidRPr="00ED0E5C">
        <w:t xml:space="preserve">Source: </w:t>
      </w:r>
      <w:sdt>
        <w:sdtPr>
          <w:id w:val="231287762"/>
          <w:citation/>
        </w:sdtPr>
        <w:sdtEndPr/>
        <w:sdtContent>
          <w:r w:rsidRPr="00ED0E5C">
            <w:fldChar w:fldCharType="begin"/>
          </w:r>
          <w:r w:rsidR="00D72A3C">
            <w:instrText xml:space="preserve">CITATION Pro4e \l 3081 </w:instrText>
          </w:r>
          <w:r w:rsidRPr="00ED0E5C">
            <w:fldChar w:fldCharType="separate"/>
          </w:r>
          <w:r w:rsidR="00D72A3C">
            <w:rPr>
              <w:noProof/>
            </w:rPr>
            <w:t>(PC 2023a)</w:t>
          </w:r>
          <w:r w:rsidRPr="00ED0E5C">
            <w:fldChar w:fldCharType="end"/>
          </w:r>
        </w:sdtContent>
      </w:sdt>
    </w:p>
    <w:p w14:paraId="29F151CB" w14:textId="6C19A99D" w:rsidR="001A6936" w:rsidRPr="001A6936" w:rsidRDefault="007D093B" w:rsidP="00662B24">
      <w:pPr>
        <w:pStyle w:val="Heading2"/>
        <w:spacing w:line="240" w:lineRule="auto"/>
      </w:pPr>
      <w:r>
        <w:t xml:space="preserve">Performance reporting and the role of COAG Reform Council </w:t>
      </w:r>
    </w:p>
    <w:p w14:paraId="4471CC55" w14:textId="10DC4DE3" w:rsidR="001651CB" w:rsidRPr="001651CB" w:rsidRDefault="008052A6" w:rsidP="00662B24">
      <w:r>
        <w:t>The</w:t>
      </w:r>
      <w:r w:rsidR="001651CB" w:rsidRPr="001651CB">
        <w:t xml:space="preserve"> COAG Reform Council</w:t>
      </w:r>
      <w:r w:rsidR="00087F74">
        <w:t xml:space="preserve"> (the CRC)</w:t>
      </w:r>
      <w:r w:rsidR="001651CB" w:rsidRPr="001651CB">
        <w:t xml:space="preserve"> was responsible for assessing the performance of governments </w:t>
      </w:r>
      <w:r w:rsidR="002367AF">
        <w:t xml:space="preserve">against National Agreements </w:t>
      </w:r>
      <w:r w:rsidR="002026D2">
        <w:t xml:space="preserve">before the </w:t>
      </w:r>
      <w:r w:rsidR="008B1DF2">
        <w:t xml:space="preserve">introduction of the Dashboard in 2017. </w:t>
      </w:r>
      <w:r w:rsidR="002367AF">
        <w:t xml:space="preserve">This was </w:t>
      </w:r>
      <w:r w:rsidR="007F4A3D">
        <w:t>undertaken in</w:t>
      </w:r>
      <w:r w:rsidR="001651CB" w:rsidRPr="001651CB">
        <w:t xml:space="preserve"> accordance with </w:t>
      </w:r>
      <w:r w:rsidR="001651CB" w:rsidRPr="001651CB">
        <w:rPr>
          <w:i/>
          <w:iCs/>
        </w:rPr>
        <w:t>Schedule C: Public Accountability and Performance Reporting</w:t>
      </w:r>
      <w:r w:rsidR="00BB4B6A">
        <w:t xml:space="preserve"> of the </w:t>
      </w:r>
      <w:r w:rsidR="00BB4B6A">
        <w:rPr>
          <w:i/>
          <w:iCs/>
        </w:rPr>
        <w:t xml:space="preserve">Intergovernmental Agreement on Federal Financial Relations </w:t>
      </w:r>
      <w:r w:rsidR="00BB4B6A">
        <w:t xml:space="preserve">(IGA FFR). </w:t>
      </w:r>
      <w:r w:rsidR="007F4A3D" w:rsidRPr="007F4A3D">
        <w:rPr>
          <w:i/>
          <w:iCs/>
        </w:rPr>
        <w:t>Schedule C</w:t>
      </w:r>
      <w:r w:rsidR="001651CB" w:rsidRPr="001651CB">
        <w:t xml:space="preserve"> required the assessment of high</w:t>
      </w:r>
      <w:r w:rsidR="00B65D32">
        <w:t>-</w:t>
      </w:r>
      <w:r w:rsidR="001651CB" w:rsidRPr="001651CB">
        <w:t>level performance indicators for each National Agreement along with a comparative analysis of performance information that:</w:t>
      </w:r>
    </w:p>
    <w:p w14:paraId="5CB8C11A" w14:textId="6F3968C2" w:rsidR="001651CB" w:rsidRPr="001651CB" w:rsidRDefault="00D84F0E" w:rsidP="005241B9">
      <w:pPr>
        <w:pStyle w:val="Bullet"/>
        <w:numPr>
          <w:ilvl w:val="0"/>
          <w:numId w:val="14"/>
        </w:numPr>
        <w:tabs>
          <w:tab w:val="clear" w:pos="720"/>
        </w:tabs>
        <w:spacing w:before="120" w:after="0" w:line="240" w:lineRule="auto"/>
        <w:ind w:left="357" w:hanging="357"/>
      </w:pPr>
      <w:r>
        <w:t>f</w:t>
      </w:r>
      <w:r w:rsidR="001651CB" w:rsidRPr="001651CB">
        <w:t>ocuse</w:t>
      </w:r>
      <w:r>
        <w:t>d</w:t>
      </w:r>
      <w:r w:rsidR="001651CB" w:rsidRPr="001651CB">
        <w:t xml:space="preserve"> on the high</w:t>
      </w:r>
      <w:r w:rsidR="00B65D32">
        <w:t>-</w:t>
      </w:r>
      <w:r w:rsidR="001651CB" w:rsidRPr="001651CB">
        <w:t>level National Agreement performance indicators</w:t>
      </w:r>
    </w:p>
    <w:p w14:paraId="36D4F5B0" w14:textId="0370BFA1" w:rsidR="001651CB" w:rsidRPr="001651CB" w:rsidRDefault="00D84F0E" w:rsidP="005241B9">
      <w:pPr>
        <w:pStyle w:val="Bullet"/>
        <w:numPr>
          <w:ilvl w:val="0"/>
          <w:numId w:val="14"/>
        </w:numPr>
        <w:tabs>
          <w:tab w:val="clear" w:pos="720"/>
        </w:tabs>
        <w:spacing w:before="120" w:after="0" w:line="240" w:lineRule="auto"/>
        <w:ind w:left="357" w:hanging="357"/>
      </w:pPr>
      <w:r>
        <w:t>h</w:t>
      </w:r>
      <w:r w:rsidR="001651CB" w:rsidRPr="001651CB">
        <w:t>ighlight</w:t>
      </w:r>
      <w:r>
        <w:t>ed</w:t>
      </w:r>
      <w:r w:rsidR="001651CB" w:rsidRPr="001651CB">
        <w:t xml:space="preserve"> examples of good practice</w:t>
      </w:r>
    </w:p>
    <w:p w14:paraId="22E2225A" w14:textId="00828279" w:rsidR="001651CB" w:rsidRPr="001651CB" w:rsidRDefault="00D84F0E" w:rsidP="005241B9">
      <w:pPr>
        <w:pStyle w:val="Bullet"/>
        <w:numPr>
          <w:ilvl w:val="0"/>
          <w:numId w:val="14"/>
        </w:numPr>
        <w:tabs>
          <w:tab w:val="clear" w:pos="720"/>
        </w:tabs>
        <w:spacing w:before="120" w:after="0" w:line="240" w:lineRule="auto"/>
        <w:ind w:left="357" w:hanging="357"/>
      </w:pPr>
      <w:r>
        <w:t>h</w:t>
      </w:r>
      <w:r w:rsidR="001651CB" w:rsidRPr="001651CB">
        <w:t>ighlight</w:t>
      </w:r>
      <w:r>
        <w:t>ed</w:t>
      </w:r>
      <w:r w:rsidR="001651CB" w:rsidRPr="001651CB">
        <w:t xml:space="preserve"> contextual differences between jurisdictions which are relevant to interpreting the data</w:t>
      </w:r>
    </w:p>
    <w:p w14:paraId="584CA020" w14:textId="37722280" w:rsidR="001651CB" w:rsidRPr="001651CB" w:rsidRDefault="00D84F0E" w:rsidP="005241B9">
      <w:pPr>
        <w:pStyle w:val="Bullet"/>
        <w:numPr>
          <w:ilvl w:val="0"/>
          <w:numId w:val="14"/>
        </w:numPr>
        <w:tabs>
          <w:tab w:val="clear" w:pos="720"/>
        </w:tabs>
        <w:spacing w:before="120" w:after="0" w:line="240" w:lineRule="auto"/>
        <w:ind w:left="357" w:hanging="357"/>
      </w:pPr>
      <w:r>
        <w:t>o</w:t>
      </w:r>
      <w:r w:rsidR="001651CB" w:rsidRPr="001651CB">
        <w:t>utline</w:t>
      </w:r>
      <w:r>
        <w:t>d</w:t>
      </w:r>
      <w:r w:rsidR="001651CB" w:rsidRPr="001651CB">
        <w:t xml:space="preserve"> the contribution of both levels of government to improving performance against outcomes and reform directions</w:t>
      </w:r>
      <w:r w:rsidR="00087F74">
        <w:t xml:space="preserve"> </w:t>
      </w:r>
      <w:sdt>
        <w:sdtPr>
          <w:id w:val="-1528250628"/>
          <w:citation/>
        </w:sdtPr>
        <w:sdtEndPr/>
        <w:sdtContent>
          <w:r w:rsidR="00BD2B54">
            <w:fldChar w:fldCharType="begin"/>
          </w:r>
          <w:r w:rsidR="00BD2B54">
            <w:instrText xml:space="preserve"> CITATION COA14 \l 3081 </w:instrText>
          </w:r>
          <w:r w:rsidR="00BD2B54">
            <w:fldChar w:fldCharType="separate"/>
          </w:r>
          <w:r w:rsidR="003003B3">
            <w:rPr>
              <w:noProof/>
            </w:rPr>
            <w:t>(COAG Reform Council 2014)</w:t>
          </w:r>
          <w:r w:rsidR="00BD2B54">
            <w:fldChar w:fldCharType="end"/>
          </w:r>
        </w:sdtContent>
      </w:sdt>
      <w:r w:rsidR="001651CB" w:rsidRPr="001651CB">
        <w:t>.</w:t>
      </w:r>
    </w:p>
    <w:p w14:paraId="0EA7C5C4" w14:textId="2E2682E9" w:rsidR="001651CB" w:rsidRPr="001651CB" w:rsidRDefault="001651CB" w:rsidP="00662B24">
      <w:r w:rsidRPr="001651CB">
        <w:t xml:space="preserve">From 2010 to 2014, the CRC provided annual public reports to COAG. </w:t>
      </w:r>
      <w:r w:rsidR="0029572F">
        <w:t>T</w:t>
      </w:r>
      <w:r w:rsidRPr="001651CB">
        <w:t xml:space="preserve">he Steering Committee was responsible for </w:t>
      </w:r>
      <w:r w:rsidR="00D84F0E">
        <w:t xml:space="preserve">providing </w:t>
      </w:r>
      <w:r w:rsidR="0029572F">
        <w:t xml:space="preserve">performance </w:t>
      </w:r>
      <w:r w:rsidRPr="001651CB">
        <w:t xml:space="preserve">data to the CRC. The CRC was required to present </w:t>
      </w:r>
      <w:r w:rsidR="00D84F0E">
        <w:t>its</w:t>
      </w:r>
      <w:r w:rsidR="00612677">
        <w:t xml:space="preserve"> report</w:t>
      </w:r>
      <w:r w:rsidRPr="001651CB">
        <w:t xml:space="preserve"> to COAG within 3 months of receiving the data. The CRC was also required to formally consult with jurisdictions on this report </w:t>
      </w:r>
      <w:r w:rsidR="007B7114">
        <w:t>before it was</w:t>
      </w:r>
      <w:r w:rsidRPr="001651CB">
        <w:t xml:space="preserve"> releas</w:t>
      </w:r>
      <w:r w:rsidR="00F206EC">
        <w:t>e</w:t>
      </w:r>
      <w:r w:rsidR="007B7114">
        <w:t>d</w:t>
      </w:r>
      <w:r w:rsidRPr="001651CB">
        <w:t xml:space="preserve"> to COAG</w:t>
      </w:r>
      <w:r w:rsidR="002A6BAC" w:rsidRPr="002A6BAC">
        <w:t xml:space="preserve"> </w:t>
      </w:r>
      <w:sdt>
        <w:sdtPr>
          <w:id w:val="-628785494"/>
          <w:citation/>
        </w:sdtPr>
        <w:sdtEndPr/>
        <w:sdtContent>
          <w:r w:rsidR="00D05067">
            <w:fldChar w:fldCharType="begin"/>
          </w:r>
          <w:r w:rsidR="009B2E6A">
            <w:instrText xml:space="preserve">CITATION Int22 \l 3081 </w:instrText>
          </w:r>
          <w:r w:rsidR="00D05067">
            <w:fldChar w:fldCharType="separate"/>
          </w:r>
          <w:r w:rsidR="003003B3">
            <w:rPr>
              <w:noProof/>
            </w:rPr>
            <w:t>(Commonwealth of Australia and Australian States and Territories 2022)</w:t>
          </w:r>
          <w:r w:rsidR="00D05067">
            <w:fldChar w:fldCharType="end"/>
          </w:r>
        </w:sdtContent>
      </w:sdt>
      <w:r w:rsidRPr="001651CB">
        <w:t>. The CRC</w:t>
      </w:r>
      <w:r w:rsidR="00BB2102">
        <w:t xml:space="preserve"> </w:t>
      </w:r>
      <w:r w:rsidRPr="001651CB">
        <w:t>assess</w:t>
      </w:r>
      <w:r w:rsidR="00BB2102">
        <w:t>ed</w:t>
      </w:r>
      <w:r w:rsidRPr="001651CB">
        <w:t xml:space="preserve"> performance </w:t>
      </w:r>
      <w:r w:rsidR="00920F6F">
        <w:t>us</w:t>
      </w:r>
      <w:r w:rsidR="00BB2102">
        <w:t xml:space="preserve">ing </w:t>
      </w:r>
      <w:r w:rsidR="00920F6F">
        <w:t>a range of information source</w:t>
      </w:r>
      <w:r w:rsidR="00D84F0E">
        <w:t>s</w:t>
      </w:r>
      <w:r w:rsidR="00BB2102">
        <w:t xml:space="preserve">. These included </w:t>
      </w:r>
      <w:r w:rsidRPr="001651CB">
        <w:t xml:space="preserve">progress reports from jurisdictions, </w:t>
      </w:r>
      <w:r w:rsidR="00467FCC" w:rsidRPr="001651CB">
        <w:t>independent research on legislative and regulatory activities of governments</w:t>
      </w:r>
      <w:r w:rsidR="00BB2102">
        <w:t>,</w:t>
      </w:r>
      <w:r w:rsidR="00467FCC">
        <w:t xml:space="preserve"> and</w:t>
      </w:r>
      <w:r w:rsidR="00467FCC" w:rsidRPr="001651CB">
        <w:t xml:space="preserve"> </w:t>
      </w:r>
      <w:r w:rsidRPr="001651CB">
        <w:t xml:space="preserve">additional information requested by the CRC. </w:t>
      </w:r>
    </w:p>
    <w:p w14:paraId="555AB762" w14:textId="64C2EE24" w:rsidR="001651CB" w:rsidRPr="001651CB" w:rsidRDefault="001651CB" w:rsidP="00662B24">
      <w:r w:rsidRPr="001651CB">
        <w:t>The CRC</w:t>
      </w:r>
      <w:r w:rsidR="00BB2102">
        <w:t xml:space="preserve">’s role was to help </w:t>
      </w:r>
      <w:r w:rsidRPr="001651CB">
        <w:t>COAG</w:t>
      </w:r>
      <w:r w:rsidR="003C4E58">
        <w:t xml:space="preserve"> </w:t>
      </w:r>
      <w:r w:rsidR="004D392E">
        <w:t>drive</w:t>
      </w:r>
      <w:r w:rsidRPr="001651CB">
        <w:t xml:space="preserve"> its national reform agenda by strengthening accountability for results</w:t>
      </w:r>
      <w:r w:rsidR="009B3BCE">
        <w:t xml:space="preserve">. </w:t>
      </w:r>
      <w:r w:rsidRPr="001651CB">
        <w:t>The CRC was funded by all governments but was independent of individual governments and reported directly to COAG</w:t>
      </w:r>
      <w:r w:rsidR="00F529C3">
        <w:t xml:space="preserve"> </w:t>
      </w:r>
      <w:sdt>
        <w:sdtPr>
          <w:id w:val="-1417322743"/>
          <w:citation/>
        </w:sdtPr>
        <w:sdtEndPr/>
        <w:sdtContent>
          <w:r w:rsidR="00F529C3">
            <w:fldChar w:fldCharType="begin"/>
          </w:r>
          <w:r w:rsidR="00F529C3">
            <w:instrText xml:space="preserve"> CITATION COA14 \l 3081 </w:instrText>
          </w:r>
          <w:r w:rsidR="00F529C3">
            <w:fldChar w:fldCharType="separate"/>
          </w:r>
          <w:r w:rsidR="003003B3">
            <w:rPr>
              <w:noProof/>
            </w:rPr>
            <w:t>(COAG Reform Council 2014)</w:t>
          </w:r>
          <w:r w:rsidR="00F529C3">
            <w:fldChar w:fldCharType="end"/>
          </w:r>
        </w:sdtContent>
      </w:sdt>
      <w:r w:rsidRPr="001651CB">
        <w:t>.</w:t>
      </w:r>
    </w:p>
    <w:p w14:paraId="143A19E0" w14:textId="578A9B03" w:rsidR="001651CB" w:rsidRPr="001651CB" w:rsidRDefault="001651CB" w:rsidP="00662B24">
      <w:r w:rsidRPr="001651CB">
        <w:t xml:space="preserve">The CRC faced significant challenges with </w:t>
      </w:r>
      <w:r w:rsidR="00465987">
        <w:t xml:space="preserve">reporting on </w:t>
      </w:r>
      <w:r w:rsidR="002F0F66">
        <w:t>National</w:t>
      </w:r>
      <w:r w:rsidRPr="001651CB">
        <w:t xml:space="preserve"> </w:t>
      </w:r>
      <w:r w:rsidR="002F0F66">
        <w:t>A</w:t>
      </w:r>
      <w:r w:rsidRPr="001651CB">
        <w:t xml:space="preserve">greements. In its reports to COAG, the CRC advised that major improvements were needed to the performance reporting framework, particularly in </w:t>
      </w:r>
      <w:r w:rsidR="00BA1FD5">
        <w:t>2</w:t>
      </w:r>
      <w:r w:rsidRPr="001651CB">
        <w:t xml:space="preserve"> areas</w:t>
      </w:r>
      <w:r w:rsidR="00465987">
        <w:t>:</w:t>
      </w:r>
    </w:p>
    <w:p w14:paraId="13FF4FBD" w14:textId="0EC32729" w:rsidR="001651CB" w:rsidRPr="001651CB" w:rsidRDefault="002413CA" w:rsidP="005241B9">
      <w:pPr>
        <w:pStyle w:val="Bullet"/>
        <w:numPr>
          <w:ilvl w:val="0"/>
          <w:numId w:val="14"/>
        </w:numPr>
        <w:tabs>
          <w:tab w:val="clear" w:pos="720"/>
        </w:tabs>
        <w:spacing w:before="120" w:after="0" w:line="240" w:lineRule="auto"/>
        <w:ind w:left="357" w:hanging="357"/>
      </w:pPr>
      <w:r>
        <w:t>S</w:t>
      </w:r>
      <w:r w:rsidR="001651CB" w:rsidRPr="001651CB">
        <w:t xml:space="preserve">ome indicators </w:t>
      </w:r>
      <w:r>
        <w:t>were not</w:t>
      </w:r>
      <w:r w:rsidR="001651CB" w:rsidRPr="001651CB">
        <w:t xml:space="preserve"> closely connected to the objectives and outcomes of the agreements.</w:t>
      </w:r>
    </w:p>
    <w:p w14:paraId="44A2C354" w14:textId="136066EE" w:rsidR="001651CB" w:rsidRPr="001651CB" w:rsidRDefault="002413CA" w:rsidP="005241B9">
      <w:pPr>
        <w:pStyle w:val="Bullet"/>
        <w:numPr>
          <w:ilvl w:val="0"/>
          <w:numId w:val="14"/>
        </w:numPr>
        <w:tabs>
          <w:tab w:val="clear" w:pos="720"/>
        </w:tabs>
        <w:spacing w:before="120" w:after="0" w:line="240" w:lineRule="auto"/>
        <w:ind w:left="357" w:hanging="357"/>
      </w:pPr>
      <w:r>
        <w:t>A</w:t>
      </w:r>
      <w:r w:rsidR="001651CB" w:rsidRPr="001651CB">
        <w:t>dequate data for reporting progress against performance indicators and benchmarks</w:t>
      </w:r>
      <w:r w:rsidR="007B12D5">
        <w:t xml:space="preserve"> </w:t>
      </w:r>
      <w:r>
        <w:t xml:space="preserve">was not available </w:t>
      </w:r>
      <w:sdt>
        <w:sdtPr>
          <w:id w:val="-203477566"/>
          <w:citation/>
        </w:sdtPr>
        <w:sdtEndPr/>
        <w:sdtContent>
          <w:r w:rsidR="0062528B">
            <w:fldChar w:fldCharType="begin"/>
          </w:r>
          <w:r w:rsidR="000916CE">
            <w:instrText xml:space="preserve">CITATION Pro12 \l 3081 </w:instrText>
          </w:r>
          <w:r w:rsidR="0062528B">
            <w:fldChar w:fldCharType="separate"/>
          </w:r>
          <w:r w:rsidR="003003B3">
            <w:rPr>
              <w:noProof/>
            </w:rPr>
            <w:t>(PC and Forum of Federations 2012)</w:t>
          </w:r>
          <w:r w:rsidR="0062528B">
            <w:fldChar w:fldCharType="end"/>
          </w:r>
        </w:sdtContent>
      </w:sdt>
      <w:r w:rsidR="0062528B">
        <w:t>.</w:t>
      </w:r>
    </w:p>
    <w:p w14:paraId="3DED09F0" w14:textId="14A49B5B" w:rsidR="003077D1" w:rsidRDefault="002144EA" w:rsidP="00662B24">
      <w:pPr>
        <w:pStyle w:val="Heading3"/>
        <w:spacing w:line="240" w:lineRule="auto"/>
      </w:pPr>
      <w:r>
        <w:t>Governance</w:t>
      </w:r>
    </w:p>
    <w:p w14:paraId="2415792B" w14:textId="2CF190F3" w:rsidR="00354D19" w:rsidRDefault="00354D19" w:rsidP="00662B24">
      <w:pPr>
        <w:rPr>
          <w:rFonts w:cs="Calibri Light"/>
          <w:color w:val="000000" w:themeColor="text1"/>
        </w:rPr>
      </w:pPr>
      <w:r w:rsidRPr="00024EB7">
        <w:rPr>
          <w:rFonts w:cs="Calibri Light"/>
          <w:color w:val="000000" w:themeColor="text1"/>
        </w:rPr>
        <w:t xml:space="preserve">The Dashboard was initially maintained by the Department of Prime Minister </w:t>
      </w:r>
      <w:r>
        <w:rPr>
          <w:rFonts w:cs="Calibri Light"/>
          <w:color w:val="000000" w:themeColor="text1"/>
        </w:rPr>
        <w:t>and</w:t>
      </w:r>
      <w:r w:rsidRPr="00024EB7">
        <w:rPr>
          <w:rFonts w:cs="Calibri Light"/>
          <w:color w:val="000000" w:themeColor="text1"/>
        </w:rPr>
        <w:t xml:space="preserve"> Cabinet</w:t>
      </w:r>
      <w:r w:rsidR="006B3CE4">
        <w:rPr>
          <w:rFonts w:cs="Calibri Light"/>
          <w:color w:val="000000" w:themeColor="text1"/>
        </w:rPr>
        <w:t>, but</w:t>
      </w:r>
      <w:r w:rsidRPr="00024EB7">
        <w:rPr>
          <w:rFonts w:cs="Calibri Light"/>
          <w:color w:val="000000" w:themeColor="text1"/>
        </w:rPr>
        <w:t xml:space="preserve"> responsibility </w:t>
      </w:r>
      <w:r w:rsidR="006B3CE4">
        <w:rPr>
          <w:rFonts w:cs="Calibri Light"/>
          <w:color w:val="000000" w:themeColor="text1"/>
        </w:rPr>
        <w:t xml:space="preserve">was </w:t>
      </w:r>
      <w:r w:rsidRPr="00024EB7">
        <w:rPr>
          <w:rFonts w:cs="Calibri Light"/>
          <w:color w:val="000000" w:themeColor="text1"/>
        </w:rPr>
        <w:t xml:space="preserve">transferred to the </w:t>
      </w:r>
      <w:r w:rsidR="001A7672">
        <w:rPr>
          <w:rFonts w:cs="Calibri Light"/>
          <w:color w:val="000000" w:themeColor="text1"/>
        </w:rPr>
        <w:t>PC</w:t>
      </w:r>
      <w:r w:rsidRPr="00024EB7">
        <w:rPr>
          <w:rFonts w:cs="Calibri Light"/>
          <w:color w:val="000000" w:themeColor="text1"/>
        </w:rPr>
        <w:t xml:space="preserve"> in the 2017</w:t>
      </w:r>
      <w:r w:rsidR="00CE1949">
        <w:rPr>
          <w:rFonts w:cs="Calibri Light"/>
          <w:color w:val="000000" w:themeColor="text1"/>
        </w:rPr>
        <w:t>–</w:t>
      </w:r>
      <w:r w:rsidRPr="00024EB7">
        <w:rPr>
          <w:rFonts w:cs="Calibri Light"/>
          <w:color w:val="000000" w:themeColor="text1"/>
        </w:rPr>
        <w:t xml:space="preserve">18 financial year. The Dashboard was developed in partnership with Data61, </w:t>
      </w:r>
      <w:r w:rsidR="00B67253">
        <w:rPr>
          <w:rFonts w:cs="Calibri Light"/>
          <w:color w:val="000000" w:themeColor="text1"/>
        </w:rPr>
        <w:t xml:space="preserve">which is </w:t>
      </w:r>
      <w:r w:rsidRPr="00024EB7">
        <w:rPr>
          <w:rFonts w:cs="Calibri Light"/>
          <w:color w:val="000000" w:themeColor="text1"/>
        </w:rPr>
        <w:t xml:space="preserve">the data and digital specialist arm of the Commonwealth Scientific and Industrial Research Organisation (CSIRO) </w:t>
      </w:r>
      <w:sdt>
        <w:sdtPr>
          <w:rPr>
            <w:rFonts w:cs="Calibri Light"/>
            <w:color w:val="000000" w:themeColor="text1"/>
          </w:rPr>
          <w:id w:val="-1123228633"/>
          <w:citation/>
        </w:sdtPr>
        <w:sdtEndPr/>
        <w:sdtContent>
          <w:r w:rsidRPr="00024EB7">
            <w:rPr>
              <w:rFonts w:cs="Calibri Light"/>
              <w:color w:val="000000" w:themeColor="text1"/>
            </w:rPr>
            <w:fldChar w:fldCharType="begin"/>
          </w:r>
          <w:r w:rsidR="00BE5666">
            <w:rPr>
              <w:rFonts w:cs="Calibri Light"/>
              <w:color w:val="000000" w:themeColor="text1"/>
            </w:rPr>
            <w:instrText xml:space="preserve">CITATION Placeholder2 \l 3081 </w:instrText>
          </w:r>
          <w:r w:rsidRPr="00024EB7">
            <w:rPr>
              <w:rFonts w:cs="Calibri Light"/>
              <w:color w:val="000000" w:themeColor="text1"/>
            </w:rPr>
            <w:fldChar w:fldCharType="separate"/>
          </w:r>
          <w:r w:rsidR="00BE5666" w:rsidRPr="00BE5666">
            <w:rPr>
              <w:rFonts w:cs="Calibri Light"/>
              <w:noProof/>
              <w:color w:val="000000" w:themeColor="text1"/>
            </w:rPr>
            <w:t>(PC 2023b)</w:t>
          </w:r>
          <w:r w:rsidRPr="00024EB7">
            <w:rPr>
              <w:rFonts w:cs="Calibri Light"/>
              <w:color w:val="000000" w:themeColor="text1"/>
            </w:rPr>
            <w:fldChar w:fldCharType="end"/>
          </w:r>
        </w:sdtContent>
      </w:sdt>
      <w:r w:rsidRPr="00024EB7">
        <w:rPr>
          <w:rFonts w:cs="Calibri Light"/>
          <w:color w:val="000000" w:themeColor="text1"/>
        </w:rPr>
        <w:t>.</w:t>
      </w:r>
      <w:r>
        <w:rPr>
          <w:rFonts w:cs="Calibri Light"/>
          <w:color w:val="000000" w:themeColor="text1"/>
        </w:rPr>
        <w:t xml:space="preserve"> </w:t>
      </w:r>
    </w:p>
    <w:p w14:paraId="66D6330C" w14:textId="5C162387" w:rsidR="00354D19" w:rsidRDefault="00354D19" w:rsidP="00662B24">
      <w:pPr>
        <w:rPr>
          <w:rFonts w:cs="Calibri Light"/>
        </w:rPr>
      </w:pPr>
      <w:r w:rsidRPr="00024EB7">
        <w:rPr>
          <w:rFonts w:cs="Calibri Light"/>
        </w:rPr>
        <w:t xml:space="preserve">The Dashboard does not have a terms of reference that describes its objectives and governance in the same way as the RoGS. However, the COAG Report on Performance </w:t>
      </w:r>
      <w:r w:rsidR="00B65D32">
        <w:rPr>
          <w:rFonts w:ascii="Calibri" w:hAnsi="Calibri" w:cs="Calibri"/>
        </w:rPr>
        <w:t>—</w:t>
      </w:r>
      <w:r w:rsidRPr="00024EB7">
        <w:rPr>
          <w:rFonts w:cs="Calibri Light"/>
        </w:rPr>
        <w:t xml:space="preserve"> which the Dashboard functionally replaced </w:t>
      </w:r>
      <w:r w:rsidR="00B65D32">
        <w:rPr>
          <w:rFonts w:ascii="Calibri" w:hAnsi="Calibri" w:cs="Calibri"/>
        </w:rPr>
        <w:t>—</w:t>
      </w:r>
      <w:r w:rsidRPr="00024EB7">
        <w:rPr>
          <w:rFonts w:cs="Calibri Light"/>
        </w:rPr>
        <w:t xml:space="preserve"> did describe its purpose and intended audience (</w:t>
      </w:r>
      <w:r w:rsidR="00427FAB" w:rsidRPr="00427FAB">
        <w:rPr>
          <w:rFonts w:cs="Calibri Light"/>
          <w:i/>
          <w:iCs/>
        </w:rPr>
        <w:t>Information</w:t>
      </w:r>
      <w:r w:rsidR="00427FAB" w:rsidRPr="008B7B4E">
        <w:t xml:space="preserve"> Box 3: Purpose of the COAG Report on Performance</w:t>
      </w:r>
      <w:r w:rsidRPr="00024EB7">
        <w:rPr>
          <w:rFonts w:cs="Calibri Light"/>
        </w:rPr>
        <w:t xml:space="preserve">) </w:t>
      </w:r>
      <w:sdt>
        <w:sdtPr>
          <w:rPr>
            <w:rFonts w:cs="Calibri Light"/>
          </w:rPr>
          <w:id w:val="-881017133"/>
          <w:citation/>
        </w:sdtPr>
        <w:sdtEndPr/>
        <w:sdtContent>
          <w:r w:rsidRPr="00024EB7">
            <w:rPr>
              <w:rFonts w:cs="Calibri Light"/>
            </w:rPr>
            <w:fldChar w:fldCharType="begin"/>
          </w:r>
          <w:r w:rsidRPr="00024EB7">
            <w:rPr>
              <w:rFonts w:cs="Calibri Light"/>
            </w:rPr>
            <w:instrText xml:space="preserve"> CITATION Dep16 \l 3081 </w:instrText>
          </w:r>
          <w:r w:rsidRPr="00024EB7">
            <w:rPr>
              <w:rFonts w:cs="Calibri Light"/>
            </w:rPr>
            <w:fldChar w:fldCharType="separate"/>
          </w:r>
          <w:r w:rsidR="003003B3" w:rsidRPr="003003B3">
            <w:rPr>
              <w:rFonts w:cs="Calibri Light"/>
              <w:noProof/>
            </w:rPr>
            <w:t>(Department of the Prime Minister and Cabinet 2016)</w:t>
          </w:r>
          <w:r w:rsidRPr="00024EB7">
            <w:rPr>
              <w:rFonts w:cs="Calibri Light"/>
            </w:rPr>
            <w:fldChar w:fldCharType="end"/>
          </w:r>
        </w:sdtContent>
      </w:sdt>
      <w:r w:rsidRPr="00024EB7">
        <w:rPr>
          <w:rFonts w:cs="Calibri Light"/>
        </w:rPr>
        <w:t>.</w:t>
      </w:r>
    </w:p>
    <w:tbl>
      <w:tblPr>
        <w:tblStyle w:val="TableGrid"/>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72"/>
      </w:tblGrid>
      <w:tr w:rsidR="00061D8D" w14:paraId="7AF5622E" w14:textId="77777777" w:rsidTr="00B11057">
        <w:tc>
          <w:tcPr>
            <w:tcW w:w="5000" w:type="pct"/>
            <w:shd w:val="clear" w:color="auto" w:fill="EEEEEE" w:themeFill="background2"/>
          </w:tcPr>
          <w:p w14:paraId="29C38E5E" w14:textId="07874485" w:rsidR="00061D8D" w:rsidRPr="008B7B4E" w:rsidRDefault="008B7B4E" w:rsidP="008B7B4E">
            <w:pPr>
              <w:pStyle w:val="BoxHeading"/>
            </w:pPr>
            <w:bookmarkStart w:id="22" w:name="_Ref180567790"/>
            <w:r w:rsidRPr="008B7B4E">
              <w:t>Information Box 3</w:t>
            </w:r>
            <w:r w:rsidR="00061D8D" w:rsidRPr="008B7B4E">
              <w:t>: Purpose of the COAG Report on Performance</w:t>
            </w:r>
            <w:bookmarkEnd w:id="22"/>
          </w:p>
          <w:p w14:paraId="4C72FC7C" w14:textId="77777777" w:rsidR="00D36393" w:rsidRPr="007153E8" w:rsidRDefault="00D36393" w:rsidP="008B7B4E">
            <w:pPr>
              <w:pStyle w:val="BoxText"/>
              <w:rPr>
                <w:lang w:val="en-US"/>
              </w:rPr>
            </w:pPr>
            <w:r w:rsidRPr="007153E8">
              <w:rPr>
                <w:lang w:val="en-US"/>
              </w:rPr>
              <w:t xml:space="preserve">This report aims to: </w:t>
            </w:r>
          </w:p>
          <w:p w14:paraId="724D09B8" w14:textId="77777777" w:rsidR="00D36393" w:rsidRPr="007153E8" w:rsidRDefault="00D36393" w:rsidP="00AC6549">
            <w:pPr>
              <w:pStyle w:val="OutlineNumbered1"/>
              <w:spacing w:before="60" w:line="276" w:lineRule="auto"/>
              <w:ind w:left="284" w:hanging="284"/>
              <w:rPr>
                <w:rFonts w:cs="Calibri Light"/>
                <w:sz w:val="20"/>
                <w:lang w:val="en-US"/>
              </w:rPr>
            </w:pPr>
            <w:r w:rsidRPr="004A787E" w:rsidDel="00427342">
              <w:rPr>
                <w:rStyle w:val="Strong"/>
              </w:rPr>
              <w:t>P</w:t>
            </w:r>
            <w:r w:rsidRPr="004A787E">
              <w:rPr>
                <w:rStyle w:val="Strong"/>
              </w:rPr>
              <w:t>rovide timely, transparent feedback</w:t>
            </w:r>
            <w:r w:rsidRPr="007153E8">
              <w:rPr>
                <w:rFonts w:cs="Calibri Light"/>
                <w:sz w:val="20"/>
                <w:lang w:val="en-US"/>
              </w:rPr>
              <w:t xml:space="preserve"> </w:t>
            </w:r>
            <w:r w:rsidRPr="004A787E">
              <w:t>to First Ministers on the progress of Australian governments in advancing key COAG commitments and so</w:t>
            </w:r>
            <w:r w:rsidRPr="007153E8">
              <w:rPr>
                <w:rFonts w:cs="Calibri Light"/>
                <w:sz w:val="20"/>
                <w:lang w:val="en-US"/>
              </w:rPr>
              <w:t xml:space="preserve"> </w:t>
            </w:r>
            <w:r w:rsidRPr="004A787E">
              <w:rPr>
                <w:rStyle w:val="Strong"/>
              </w:rPr>
              <w:t>facilitate meaningful reflection on overall performance and areas for improvement.</w:t>
            </w:r>
          </w:p>
          <w:p w14:paraId="7C9C1BE6" w14:textId="77777777" w:rsidR="00D36393" w:rsidRPr="007153E8" w:rsidRDefault="00D36393" w:rsidP="00AC6549">
            <w:pPr>
              <w:pStyle w:val="OutlineNumbered1"/>
              <w:spacing w:before="60" w:line="276" w:lineRule="auto"/>
              <w:ind w:left="284" w:hanging="284"/>
              <w:rPr>
                <w:rFonts w:cs="Calibri Light"/>
                <w:sz w:val="20"/>
                <w:lang w:val="en-US"/>
              </w:rPr>
            </w:pPr>
            <w:r w:rsidRPr="004A787E" w:rsidDel="00427342">
              <w:rPr>
                <w:rStyle w:val="Strong"/>
              </w:rPr>
              <w:t>P</w:t>
            </w:r>
            <w:r w:rsidRPr="004A787E">
              <w:rPr>
                <w:rStyle w:val="Strong"/>
              </w:rPr>
              <w:t>romote greater accountability of Australian governments to the general public</w:t>
            </w:r>
            <w:r w:rsidRPr="007153E8">
              <w:rPr>
                <w:rFonts w:cs="Calibri Light"/>
                <w:sz w:val="20"/>
                <w:lang w:val="en-US"/>
              </w:rPr>
              <w:t xml:space="preserve"> </w:t>
            </w:r>
            <w:r w:rsidRPr="004A787E">
              <w:t>by providing a simple, straightforward assessment of their progress towards achieving their commitments.</w:t>
            </w:r>
          </w:p>
          <w:p w14:paraId="06B81B0C" w14:textId="5DFE374B" w:rsidR="00801610" w:rsidRPr="007153E8" w:rsidRDefault="00D36393" w:rsidP="00AC6549">
            <w:pPr>
              <w:pStyle w:val="OutlineNumbered1"/>
              <w:spacing w:before="60" w:line="276" w:lineRule="auto"/>
              <w:ind w:left="284" w:hanging="284"/>
              <w:rPr>
                <w:rFonts w:cs="Calibri Light"/>
                <w:sz w:val="20"/>
                <w:lang w:val="en-US"/>
              </w:rPr>
            </w:pPr>
            <w:r w:rsidRPr="004A787E">
              <w:rPr>
                <w:rStyle w:val="Strong"/>
              </w:rPr>
              <w:t>Support a culture of continuous improvement</w:t>
            </w:r>
            <w:r w:rsidRPr="004A787E">
              <w:t>, whereby</w:t>
            </w:r>
            <w:r w:rsidRPr="007153E8">
              <w:rPr>
                <w:rFonts w:cs="Calibri Light"/>
                <w:sz w:val="20"/>
                <w:lang w:val="en-US"/>
              </w:rPr>
              <w:t xml:space="preserve"> </w:t>
            </w:r>
            <w:r w:rsidRPr="004A787E">
              <w:rPr>
                <w:rStyle w:val="Strong"/>
              </w:rPr>
              <w:t xml:space="preserve">Australian governments acknowledge and learn from the performance of their peers </w:t>
            </w:r>
            <w:r w:rsidRPr="004A787E">
              <w:t>to deliver better outcomes for all Australians.</w:t>
            </w:r>
          </w:p>
          <w:p w14:paraId="7F124531" w14:textId="4BA00661" w:rsidR="00061D8D" w:rsidRPr="006F255F" w:rsidRDefault="00061D8D" w:rsidP="00A7345B">
            <w:pPr>
              <w:pStyle w:val="ChartorTableNote"/>
            </w:pPr>
            <w:r w:rsidRPr="005152CE">
              <w:t xml:space="preserve">Source: </w:t>
            </w:r>
            <w:sdt>
              <w:sdtPr>
                <w:id w:val="1056503949"/>
                <w:citation/>
              </w:sdtPr>
              <w:sdtEndPr/>
              <w:sdtContent>
                <w:r w:rsidR="005152CE" w:rsidRPr="005152CE">
                  <w:fldChar w:fldCharType="begin"/>
                </w:r>
                <w:r w:rsidR="00C74E55">
                  <w:instrText xml:space="preserve">CITATION COA16 \l 3081 </w:instrText>
                </w:r>
                <w:r w:rsidR="005152CE" w:rsidRPr="005152CE">
                  <w:fldChar w:fldCharType="separate"/>
                </w:r>
                <w:r w:rsidR="003003B3">
                  <w:rPr>
                    <w:noProof/>
                  </w:rPr>
                  <w:t>(COAG 2016)</w:t>
                </w:r>
                <w:r w:rsidR="005152CE" w:rsidRPr="005152CE">
                  <w:fldChar w:fldCharType="end"/>
                </w:r>
              </w:sdtContent>
            </w:sdt>
          </w:p>
        </w:tc>
      </w:tr>
    </w:tbl>
    <w:p w14:paraId="06B1D683" w14:textId="79CE48A4" w:rsidR="00D34F03" w:rsidRPr="00D34F03" w:rsidRDefault="00D34F03" w:rsidP="00662B24">
      <w:r w:rsidRPr="00D34F03">
        <w:t xml:space="preserve">Following the dissolution of the CRC in 2014 and the establishment of the new intergovernmental relations architecture </w:t>
      </w:r>
      <w:r w:rsidR="00B45FE2">
        <w:t xml:space="preserve">in </w:t>
      </w:r>
      <w:r w:rsidRPr="00D34F03">
        <w:t>2020, not all COAG’s reporting responsibilities were assumed by other bodies</w:t>
      </w:r>
      <w:r w:rsidR="001C4E29" w:rsidRPr="00D34F03">
        <w:t xml:space="preserve">. </w:t>
      </w:r>
      <w:r w:rsidRPr="00D34F03">
        <w:t>CFFR is responsible for overseeing the financial relationship between the Commonwealth and State and Territory governments under the IGA FFR</w:t>
      </w:r>
      <w:r w:rsidR="00404BC3">
        <w:t>.</w:t>
      </w:r>
      <w:r w:rsidR="007F39FD">
        <w:t xml:space="preserve"> T</w:t>
      </w:r>
      <w:r w:rsidRPr="00D34F03">
        <w:t xml:space="preserve">he actual performance assessment, monitoring and reporting for National Agreements and National Partnership Agreements is spread across different bodies. </w:t>
      </w:r>
      <w:r w:rsidR="004D3DA8">
        <w:t>Ministerial Councils and data agencies play v</w:t>
      </w:r>
      <w:r w:rsidRPr="00D34F03">
        <w:t xml:space="preserve">arying roles for different agreements, such as the AIHW under the </w:t>
      </w:r>
      <w:r w:rsidRPr="00B86B32">
        <w:rPr>
          <w:i/>
          <w:iCs/>
        </w:rPr>
        <w:t>National Health Reform Agreement</w:t>
      </w:r>
      <w:r w:rsidRPr="00D34F03">
        <w:t xml:space="preserve">. Some National Agreement performance indicators are also captured in the RoGS, where consistent with its methodology. </w:t>
      </w:r>
    </w:p>
    <w:p w14:paraId="3CD75D6D" w14:textId="20B254AE" w:rsidR="00354D19" w:rsidRDefault="004F5ADA" w:rsidP="00662B24">
      <w:r w:rsidRPr="00D34F03">
        <w:t xml:space="preserve">The </w:t>
      </w:r>
      <w:r>
        <w:t>PC</w:t>
      </w:r>
      <w:r w:rsidRPr="00D34F03">
        <w:t xml:space="preserve"> is not required to formally report on the Dashboard to CFFR</w:t>
      </w:r>
      <w:r>
        <w:t>,</w:t>
      </w:r>
      <w:r w:rsidRPr="00D34F03">
        <w:t xml:space="preserve"> or another body.</w:t>
      </w:r>
      <w:r>
        <w:t xml:space="preserve"> </w:t>
      </w:r>
      <w:r w:rsidR="00D34F03" w:rsidRPr="00D34F03">
        <w:t>In the absence of supporting governance arrangements, a clear authorising environment and resourcing beyond 2020</w:t>
      </w:r>
      <w:r w:rsidR="00CE1949">
        <w:t>–</w:t>
      </w:r>
      <w:r w:rsidR="00D34F03" w:rsidRPr="00D34F03">
        <w:t xml:space="preserve">21, the </w:t>
      </w:r>
      <w:r w:rsidR="00245168">
        <w:t>PC</w:t>
      </w:r>
      <w:r w:rsidR="00D34F03" w:rsidRPr="00D34F03">
        <w:t xml:space="preserve"> has maintained the Dashboard in line with its initial structure in 2017. The </w:t>
      </w:r>
      <w:r w:rsidR="00977BE0">
        <w:t>initial</w:t>
      </w:r>
      <w:r w:rsidR="00D34F03" w:rsidRPr="00D34F03">
        <w:t xml:space="preserve"> targets and subset of indicators </w:t>
      </w:r>
      <w:r w:rsidR="00977BE0">
        <w:t>selected for the Dashboard have</w:t>
      </w:r>
      <w:r w:rsidR="00D34F03" w:rsidRPr="00D34F03">
        <w:t xml:space="preserve"> remain</w:t>
      </w:r>
      <w:r w:rsidR="00977BE0">
        <w:t>ed</w:t>
      </w:r>
      <w:r w:rsidR="00D34F03" w:rsidRPr="00D34F03">
        <w:t xml:space="preserve">, and agreements have only been updated for </w:t>
      </w:r>
      <w:r w:rsidR="00944D1F">
        <w:t xml:space="preserve">similar </w:t>
      </w:r>
      <w:r w:rsidR="002228B1">
        <w:t>replacement</w:t>
      </w:r>
      <w:r w:rsidR="00D34F03" w:rsidRPr="00D34F03">
        <w:t xml:space="preserve"> agreements, such as housing </w:t>
      </w:r>
      <w:r w:rsidR="002228B1">
        <w:t xml:space="preserve">in </w:t>
      </w:r>
      <w:r w:rsidR="00D34F03" w:rsidRPr="00D34F03">
        <w:t>201</w:t>
      </w:r>
      <w:r w:rsidR="002228B1">
        <w:t>8</w:t>
      </w:r>
      <w:r w:rsidR="00D34F03" w:rsidRPr="00D34F03">
        <w:t xml:space="preserve"> and education </w:t>
      </w:r>
      <w:r w:rsidR="002228B1">
        <w:t xml:space="preserve">in </w:t>
      </w:r>
      <w:r w:rsidR="00D34F03" w:rsidRPr="00D34F03">
        <w:t>201</w:t>
      </w:r>
      <w:r w:rsidR="001106D0">
        <w:t>9</w:t>
      </w:r>
      <w:r w:rsidR="00D34F03" w:rsidRPr="00D34F03">
        <w:t xml:space="preserve">. While relevant data is updated annually by the </w:t>
      </w:r>
      <w:r w:rsidR="00245168">
        <w:t>PC</w:t>
      </w:r>
      <w:r w:rsidR="00D34F03" w:rsidRPr="00D34F03">
        <w:t>, the Dashboard does not reflect contemporary major Commonwealth</w:t>
      </w:r>
      <w:r w:rsidR="00B65D32">
        <w:t>-</w:t>
      </w:r>
      <w:r w:rsidR="00D34F03" w:rsidRPr="00D34F03">
        <w:t>State funding agreements. The Dashboard has not been reviewed since it was introduced.</w:t>
      </w:r>
    </w:p>
    <w:p w14:paraId="64D15E8C" w14:textId="36FE6669" w:rsidR="00BD6ADD" w:rsidRDefault="00BD6ADD" w:rsidP="00662B24">
      <w:pPr>
        <w:pStyle w:val="Heading2"/>
        <w:spacing w:line="240" w:lineRule="auto"/>
      </w:pPr>
      <w:r>
        <w:t>Costs</w:t>
      </w:r>
    </w:p>
    <w:p w14:paraId="1858EFAF" w14:textId="2B19A445" w:rsidR="00B255F3" w:rsidRPr="00B255F3" w:rsidRDefault="00B255F3" w:rsidP="00662B24">
      <w:r w:rsidRPr="00B255F3">
        <w:t>For the 2024</w:t>
      </w:r>
      <w:r w:rsidR="00CE1949">
        <w:t>–</w:t>
      </w:r>
      <w:r w:rsidRPr="00B255F3">
        <w:t xml:space="preserve">25 financial year, the direct cost to the </w:t>
      </w:r>
      <w:r w:rsidR="00D45675">
        <w:t>PC</w:t>
      </w:r>
      <w:r w:rsidRPr="00B255F3">
        <w:t xml:space="preserve"> of producing the RoGS is </w:t>
      </w:r>
      <w:r w:rsidR="00DE7D73">
        <w:t xml:space="preserve">around </w:t>
      </w:r>
      <w:r w:rsidRPr="00B255F3">
        <w:t>$2.25</w:t>
      </w:r>
      <w:r w:rsidR="005E6359">
        <w:t> </w:t>
      </w:r>
      <w:r w:rsidRPr="00B255F3">
        <w:t>million</w:t>
      </w:r>
      <w:r w:rsidR="00091517">
        <w:t>. This does</w:t>
      </w:r>
      <w:r w:rsidRPr="00B255F3">
        <w:t xml:space="preserve"> not </w:t>
      </w:r>
      <w:r w:rsidR="000362A1" w:rsidRPr="00B255F3">
        <w:t>includ</w:t>
      </w:r>
      <w:r w:rsidR="000362A1">
        <w:t>e</w:t>
      </w:r>
      <w:r w:rsidR="000362A1" w:rsidRPr="00B255F3">
        <w:t xml:space="preserve"> </w:t>
      </w:r>
      <w:r w:rsidRPr="00B255F3">
        <w:t xml:space="preserve">shared corporate functions and costs to other data providers and government agencies. </w:t>
      </w:r>
    </w:p>
    <w:p w14:paraId="26EFC11A" w14:textId="7E445B6F" w:rsidR="00B255F3" w:rsidRPr="00B255F3" w:rsidRDefault="00B255F3" w:rsidP="00662B24">
      <w:r w:rsidRPr="00B255F3">
        <w:t xml:space="preserve">Government departments and agencies across jurisdictions also incur costs in collecting data, providing and commenting on material and participating in the Steering Committee and working groups. </w:t>
      </w:r>
      <w:r w:rsidR="006E5C74">
        <w:t>T</w:t>
      </w:r>
      <w:r w:rsidRPr="00B255F3">
        <w:t xml:space="preserve">he Review </w:t>
      </w:r>
      <w:r w:rsidR="001C04ED">
        <w:t xml:space="preserve">has not been able </w:t>
      </w:r>
      <w:r w:rsidRPr="00B255F3">
        <w:t xml:space="preserve">to accurately estimate these costs, </w:t>
      </w:r>
      <w:r w:rsidR="006E5C74">
        <w:t>but</w:t>
      </w:r>
      <w:r w:rsidRPr="00B255F3">
        <w:t xml:space="preserve"> the total cost </w:t>
      </w:r>
      <w:r w:rsidR="00D45675">
        <w:t>is</w:t>
      </w:r>
      <w:r w:rsidRPr="00B255F3">
        <w:t xml:space="preserve"> likely to be </w:t>
      </w:r>
      <w:r w:rsidR="003967AF">
        <w:t>much</w:t>
      </w:r>
      <w:r w:rsidRPr="00B255F3">
        <w:t xml:space="preserve"> higher than </w:t>
      </w:r>
      <w:r w:rsidR="008F7A4A" w:rsidRPr="00B255F3">
        <w:t>direct cost</w:t>
      </w:r>
      <w:r w:rsidR="00683E6B">
        <w:t>s</w:t>
      </w:r>
      <w:r w:rsidRPr="00B255F3">
        <w:t xml:space="preserve">. </w:t>
      </w:r>
    </w:p>
    <w:p w14:paraId="3C0CD1A9" w14:textId="2FAFAAFC" w:rsidR="00B255F3" w:rsidRDefault="00E677C1" w:rsidP="00662B24">
      <w:r>
        <w:t>When</w:t>
      </w:r>
      <w:r w:rsidRPr="00B255F3">
        <w:t xml:space="preserve"> responsibility for the Dashboard was transferred to the </w:t>
      </w:r>
      <w:r>
        <w:t>PC in 2017-18, the</w:t>
      </w:r>
      <w:r w:rsidR="00B255F3" w:rsidRPr="00B255F3">
        <w:t xml:space="preserve"> Budget </w:t>
      </w:r>
      <w:r w:rsidR="00D85188">
        <w:t>provided non-ongoing</w:t>
      </w:r>
      <w:r w:rsidR="00B255F3" w:rsidRPr="00B255F3">
        <w:t xml:space="preserve"> funding until 2020</w:t>
      </w:r>
      <w:r w:rsidR="00CE1949">
        <w:t>–</w:t>
      </w:r>
      <w:r w:rsidR="00B255F3" w:rsidRPr="00B255F3">
        <w:t>21</w:t>
      </w:r>
      <w:r w:rsidR="00966E8C">
        <w:t xml:space="preserve">. </w:t>
      </w:r>
      <w:r w:rsidR="00B255F3" w:rsidRPr="00B255F3">
        <w:t>Since 2021</w:t>
      </w:r>
      <w:r w:rsidR="00CE1949">
        <w:t>–</w:t>
      </w:r>
      <w:r w:rsidR="00B255F3" w:rsidRPr="00B255F3">
        <w:t xml:space="preserve">22, costs associated with maintaining the Dashboard have been absorbed by the </w:t>
      </w:r>
      <w:r w:rsidR="00345BB3">
        <w:t>PC</w:t>
      </w:r>
      <w:r w:rsidR="00B255F3" w:rsidRPr="00B255F3">
        <w:t xml:space="preserve">. </w:t>
      </w:r>
      <w:r w:rsidR="00CD6508">
        <w:t>T</w:t>
      </w:r>
      <w:r w:rsidR="00D909EF">
        <w:t>hese costs were a</w:t>
      </w:r>
      <w:r w:rsidR="00CD6508">
        <w:t>round</w:t>
      </w:r>
      <w:r w:rsidR="00B255F3" w:rsidRPr="00B255F3">
        <w:t xml:space="preserve"> $81,000</w:t>
      </w:r>
      <w:r w:rsidR="00CD6508">
        <w:t xml:space="preserve"> i</w:t>
      </w:r>
      <w:r w:rsidR="00CD6508" w:rsidRPr="00B255F3">
        <w:t>n 2023</w:t>
      </w:r>
      <w:r w:rsidR="00CD6508">
        <w:t>–</w:t>
      </w:r>
      <w:r w:rsidR="00CD6508" w:rsidRPr="00B255F3">
        <w:t>24</w:t>
      </w:r>
      <w:r w:rsidR="00B255F3" w:rsidRPr="00B255F3">
        <w:t xml:space="preserve">, </w:t>
      </w:r>
      <w:r w:rsidR="00D909EF">
        <w:t>which included</w:t>
      </w:r>
      <w:r w:rsidR="00B255F3" w:rsidRPr="00B255F3">
        <w:t xml:space="preserve"> approximately $39,000 in direct staffing costs and $42,000 to engage an external contractor to host the Dashboard and update its data.</w:t>
      </w:r>
      <w:r w:rsidR="00345BB3" w:rsidRPr="00345BB3">
        <w:rPr>
          <w:rStyle w:val="FootnoteReference"/>
          <w:vertAlign w:val="superscript"/>
        </w:rPr>
        <w:footnoteReference w:id="3"/>
      </w:r>
      <w:r w:rsidR="00B255F3" w:rsidRPr="00345BB3">
        <w:rPr>
          <w:vertAlign w:val="superscript"/>
        </w:rPr>
        <w:t xml:space="preserve"> </w:t>
      </w:r>
      <w:r w:rsidR="00A62B2F">
        <w:t xml:space="preserve"> In 2024, the </w:t>
      </w:r>
      <w:r w:rsidR="00B92B44">
        <w:t>PC</w:t>
      </w:r>
      <w:r w:rsidR="00A62B2F">
        <w:t xml:space="preserve"> transitioned web hosting and maintenance of the Dashboard in-house.</w:t>
      </w:r>
    </w:p>
    <w:p w14:paraId="378D20D8" w14:textId="149357CC" w:rsidR="00B255F3" w:rsidRDefault="00B255F3" w:rsidP="00662B24">
      <w:pPr>
        <w:pStyle w:val="Heading2"/>
        <w:spacing w:line="240" w:lineRule="auto"/>
      </w:pPr>
      <w:r>
        <w:t>Timeline of key developments</w:t>
      </w:r>
    </w:p>
    <w:p w14:paraId="7FF3EF30" w14:textId="49BA9DD2" w:rsidR="000124EA" w:rsidRDefault="00427FAB" w:rsidP="00662B24">
      <w:pPr>
        <w:rPr>
          <w:rFonts w:cs="Calibri Light"/>
        </w:rPr>
      </w:pPr>
      <w:r w:rsidRPr="00427FAB">
        <w:rPr>
          <w:i/>
          <w:iCs/>
        </w:rPr>
        <w:t xml:space="preserve">Figure </w:t>
      </w:r>
      <w:r w:rsidRPr="00427FAB">
        <w:rPr>
          <w:i/>
          <w:iCs/>
          <w:noProof/>
        </w:rPr>
        <w:t>6</w:t>
      </w:r>
      <w:r w:rsidR="00A06550">
        <w:rPr>
          <w:rFonts w:cs="Calibri Light"/>
        </w:rPr>
        <w:t xml:space="preserve"> </w:t>
      </w:r>
      <w:r w:rsidR="000124EA">
        <w:rPr>
          <w:rFonts w:cs="Calibri Light"/>
        </w:rPr>
        <w:t xml:space="preserve">presents a summary of the key developments over the lifetime of the RoGS and Dashboard. </w:t>
      </w:r>
    </w:p>
    <w:p w14:paraId="32EF8287" w14:textId="77777777" w:rsidR="001A5935" w:rsidRDefault="001A5935" w:rsidP="00B255F3">
      <w:pPr>
        <w:sectPr w:rsidR="001A5935" w:rsidSect="00295B30">
          <w:headerReference w:type="default" r:id="rId32"/>
          <w:footerReference w:type="default" r:id="rId33"/>
          <w:pgSz w:w="11906" w:h="16838" w:code="9"/>
          <w:pgMar w:top="1843" w:right="1417" w:bottom="1417" w:left="1417" w:header="709" w:footer="709" w:gutter="0"/>
          <w:cols w:space="708"/>
          <w:docGrid w:linePitch="360"/>
        </w:sectPr>
      </w:pPr>
    </w:p>
    <w:p w14:paraId="6832D195" w14:textId="52A4D3B5" w:rsidR="001A5935" w:rsidRPr="008A0820" w:rsidRDefault="008A0820" w:rsidP="00A7345B">
      <w:pPr>
        <w:pStyle w:val="ChartorTableNote"/>
      </w:pPr>
      <w:bookmarkStart w:id="23" w:name="_Ref189571478"/>
      <w:r>
        <w:rPr>
          <w:noProof/>
        </w:rPr>
        <w:drawing>
          <wp:anchor distT="0" distB="0" distL="114300" distR="114300" simplePos="0" relativeHeight="251658241" behindDoc="0" locked="0" layoutInCell="1" allowOverlap="1" wp14:anchorId="4B3A1851" wp14:editId="10C6A026">
            <wp:simplePos x="0" y="0"/>
            <wp:positionH relativeFrom="column">
              <wp:posOffset>-3175</wp:posOffset>
            </wp:positionH>
            <wp:positionV relativeFrom="paragraph">
              <wp:posOffset>0</wp:posOffset>
            </wp:positionV>
            <wp:extent cx="6866255" cy="5216525"/>
            <wp:effectExtent l="0" t="0" r="0" b="3175"/>
            <wp:wrapTopAndBottom/>
            <wp:docPr id="155777896" name="Picture 155777896" descr="Figure 6 shows a timeline of key developments in the RoGS since 1993. It highlights changes to the scope of RoGS, its governance and the introduction of the Performance Reporting Dashboard in 2017, and the start of th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6 shows a timeline of key developments in the RoGS since 1993. It highlights changes to the scope of RoGS, its governance and the introduction of the Performance Reporting Dashboard in 2017, and the start of the Review."/>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866255" cy="521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820">
        <w:t xml:space="preserve">Figure </w:t>
      </w:r>
      <w:r w:rsidR="00427FAB">
        <w:fldChar w:fldCharType="begin"/>
      </w:r>
      <w:r w:rsidR="00427FAB">
        <w:instrText>SEQ Figure \* ARABIC</w:instrText>
      </w:r>
      <w:r w:rsidR="00427FAB">
        <w:fldChar w:fldCharType="separate"/>
      </w:r>
      <w:r w:rsidR="00427FAB">
        <w:rPr>
          <w:noProof/>
        </w:rPr>
        <w:t>6</w:t>
      </w:r>
      <w:r w:rsidR="00427FAB">
        <w:fldChar w:fldCharType="end"/>
      </w:r>
      <w:bookmarkEnd w:id="23"/>
      <w:r w:rsidR="00427FAB">
        <w:t>:</w:t>
      </w:r>
      <w:r w:rsidR="001A5935" w:rsidRPr="008A0820">
        <w:t xml:space="preserve"> Timeline of key developments in the RoGS and the Dashboard</w:t>
      </w:r>
    </w:p>
    <w:p w14:paraId="4E5C2478" w14:textId="47AE8C9B" w:rsidR="008A0820" w:rsidRDefault="001A5935" w:rsidP="00A7345B">
      <w:pPr>
        <w:pStyle w:val="ChartorTableNote"/>
        <w:sectPr w:rsidR="008A0820" w:rsidSect="00974C64">
          <w:headerReference w:type="default" r:id="rId35"/>
          <w:footerReference w:type="default" r:id="rId36"/>
          <w:pgSz w:w="16838" w:h="11906" w:orient="landscape" w:code="9"/>
          <w:pgMar w:top="1417" w:right="1843" w:bottom="1417" w:left="1417" w:header="709" w:footer="709" w:gutter="0"/>
          <w:cols w:space="708"/>
          <w:docGrid w:linePitch="360"/>
        </w:sectPr>
      </w:pPr>
      <w:r w:rsidRPr="008A0820">
        <w:t>Source: Analysis undertaken by the Review</w:t>
      </w:r>
    </w:p>
    <w:p w14:paraId="4ACB0276" w14:textId="414944CD" w:rsidR="003E59F9" w:rsidRDefault="003E59F9" w:rsidP="00421B30">
      <w:pPr>
        <w:pStyle w:val="Heading1"/>
      </w:pPr>
      <w:bookmarkStart w:id="24" w:name="_Ref180498561"/>
      <w:bookmarkStart w:id="25" w:name="_Ref180499917"/>
      <w:bookmarkStart w:id="26" w:name="_Ref180500390"/>
      <w:bookmarkStart w:id="27" w:name="_Toc189559047"/>
      <w:r>
        <w:t>Chapter 3: The approach to performance reporting</w:t>
      </w:r>
      <w:bookmarkEnd w:id="24"/>
      <w:bookmarkEnd w:id="25"/>
      <w:bookmarkEnd w:id="26"/>
      <w:bookmarkEnd w:id="27"/>
    </w:p>
    <w:p w14:paraId="30FD3504" w14:textId="4C776465" w:rsidR="00D10ADA" w:rsidRDefault="00290C2E" w:rsidP="00662B24">
      <w:pPr>
        <w:pStyle w:val="Heading2"/>
        <w:spacing w:line="240" w:lineRule="auto"/>
      </w:pPr>
      <w:r>
        <w:t>The Report on Government Services</w:t>
      </w:r>
    </w:p>
    <w:p w14:paraId="2C591162" w14:textId="0B05C58E" w:rsidR="00290C2E" w:rsidRDefault="00290C2E" w:rsidP="00662B24">
      <w:pPr>
        <w:pStyle w:val="Heading3"/>
        <w:spacing w:line="240" w:lineRule="auto"/>
      </w:pPr>
      <w:r>
        <w:t>A valued and trusted source of information</w:t>
      </w:r>
    </w:p>
    <w:p w14:paraId="28A5D39C" w14:textId="23CD72F8" w:rsidR="00227956" w:rsidRPr="00227956" w:rsidRDefault="00227956" w:rsidP="00662B24">
      <w:r w:rsidRPr="00227956">
        <w:t>As laid out in</w:t>
      </w:r>
      <w:r w:rsidR="00F27035">
        <w:t xml:space="preserve"> the RoGS terms of reference </w:t>
      </w:r>
      <w:r w:rsidR="008749DF">
        <w:t>(</w:t>
      </w:r>
      <w:r w:rsidR="00D276C7" w:rsidRPr="00D276C7">
        <w:rPr>
          <w:i/>
          <w:iCs/>
        </w:rPr>
        <w:t>Chapter 2: Overview of the reporting products</w:t>
      </w:r>
      <w:r w:rsidR="00D346D0">
        <w:t>)</w:t>
      </w:r>
      <w:r w:rsidRPr="00227956">
        <w:t xml:space="preserve">, the key objective </w:t>
      </w:r>
      <w:r w:rsidR="008F775F">
        <w:t>of the RoGS is</w:t>
      </w:r>
      <w:r w:rsidRPr="00227956">
        <w:t xml:space="preserve"> to facilitate improved service delivery and accountability to governments and the public by highlighting government performance, improvements and innovation. The terms of reference set out roles for both governments and the public as users of the RoGS data </w:t>
      </w:r>
      <w:sdt>
        <w:sdtPr>
          <w:id w:val="1342130453"/>
          <w:citation/>
        </w:sdtPr>
        <w:sdtEndPr/>
        <w:sdtContent>
          <w:r w:rsidRPr="00227956">
            <w:fldChar w:fldCharType="begin"/>
          </w:r>
          <w:r w:rsidR="00C74E55">
            <w:instrText xml:space="preserve">CITATION Ste24 \l 3081 </w:instrText>
          </w:r>
          <w:r w:rsidRPr="00227956">
            <w:fldChar w:fldCharType="separate"/>
          </w:r>
          <w:r w:rsidR="003003B3">
            <w:rPr>
              <w:noProof/>
            </w:rPr>
            <w:t>(Steering Committee 2024b)</w:t>
          </w:r>
          <w:r w:rsidRPr="00227956">
            <w:fldChar w:fldCharType="end"/>
          </w:r>
        </w:sdtContent>
      </w:sdt>
      <w:r w:rsidRPr="00227956">
        <w:t xml:space="preserve">. </w:t>
      </w:r>
    </w:p>
    <w:p w14:paraId="7CB3CF60" w14:textId="697681E0" w:rsidR="00227956" w:rsidRPr="00227956" w:rsidRDefault="00227956" w:rsidP="00662B24">
      <w:r w:rsidRPr="00227956">
        <w:t>The first release of the RoGS</w:t>
      </w:r>
      <w:r w:rsidR="004258AC">
        <w:t>,</w:t>
      </w:r>
      <w:r w:rsidRPr="00227956">
        <w:t xml:space="preserve"> almost 3 decades ago</w:t>
      </w:r>
      <w:r w:rsidR="0073138C">
        <w:t>,</w:t>
      </w:r>
      <w:r w:rsidRPr="00227956">
        <w:t xml:space="preserve"> was seen as a </w:t>
      </w:r>
      <w:r w:rsidR="0073138C">
        <w:t>new</w:t>
      </w:r>
      <w:r w:rsidR="0073138C" w:rsidRPr="00227956">
        <w:t xml:space="preserve"> </w:t>
      </w:r>
      <w:r w:rsidRPr="00227956">
        <w:t xml:space="preserve">way of understanding how effectively Commonwealth and State and Territory governments delivered services to the public. </w:t>
      </w:r>
      <w:r w:rsidR="000C6AE0">
        <w:t xml:space="preserve">The </w:t>
      </w:r>
      <w:r w:rsidRPr="00227956">
        <w:t>first edition of the RoGS notes</w:t>
      </w:r>
      <w:r w:rsidR="000C6AE0">
        <w:t xml:space="preserve"> that</w:t>
      </w:r>
      <w:r w:rsidRPr="00227956">
        <w:t xml:space="preserve"> it represented a ‘significant departure from past practice in this country’ by seeking to make comparisons ‘beyond the cost of delivering services’ </w:t>
      </w:r>
      <w:sdt>
        <w:sdtPr>
          <w:id w:val="1635825215"/>
          <w:citation/>
        </w:sdtPr>
        <w:sdtEndPr/>
        <w:sdtContent>
          <w:r w:rsidRPr="00227956">
            <w:fldChar w:fldCharType="begin"/>
          </w:r>
          <w:r w:rsidR="001D498A">
            <w:instrText xml:space="preserve">CITATION Ste95 \l 3081 </w:instrText>
          </w:r>
          <w:r w:rsidRPr="00227956">
            <w:fldChar w:fldCharType="separate"/>
          </w:r>
          <w:r w:rsidR="001D498A">
            <w:rPr>
              <w:noProof/>
            </w:rPr>
            <w:t>(Steering Committee for Review of Commonwealth/State Service Provision 1995)</w:t>
          </w:r>
          <w:r w:rsidRPr="00227956">
            <w:fldChar w:fldCharType="end"/>
          </w:r>
        </w:sdtContent>
      </w:sdt>
      <w:r w:rsidRPr="00227956">
        <w:t xml:space="preserve">. It also aimed to comprehensively consider ‘the outputs and outcomes of government service provision’ across ‘all the relevant governments in the service areas identified’ </w:t>
      </w:r>
      <w:sdt>
        <w:sdtPr>
          <w:id w:val="-1450308588"/>
          <w:citation/>
        </w:sdtPr>
        <w:sdtEndPr/>
        <w:sdtContent>
          <w:r w:rsidRPr="00227956">
            <w:fldChar w:fldCharType="begin"/>
          </w:r>
          <w:r w:rsidR="001D498A">
            <w:instrText xml:space="preserve">CITATION Ste95 \l 3081 </w:instrText>
          </w:r>
          <w:r w:rsidRPr="00227956">
            <w:fldChar w:fldCharType="separate"/>
          </w:r>
          <w:r w:rsidR="001D498A">
            <w:rPr>
              <w:noProof/>
            </w:rPr>
            <w:t>(Steering Committee for Review of Commonwealth/State Service Provision 1995)</w:t>
          </w:r>
          <w:r w:rsidRPr="00227956">
            <w:fldChar w:fldCharType="end"/>
          </w:r>
        </w:sdtContent>
      </w:sdt>
      <w:r w:rsidRPr="00227956">
        <w:t xml:space="preserve">. This approach </w:t>
      </w:r>
      <w:r w:rsidR="00F64123">
        <w:t>aimed</w:t>
      </w:r>
      <w:r w:rsidR="00F64123" w:rsidRPr="00227956">
        <w:t xml:space="preserve"> </w:t>
      </w:r>
      <w:r w:rsidRPr="00227956">
        <w:t xml:space="preserve">to improve transparency of performance and accountability, clarify and define objectives and responsibilities, and assist governments to improve their service delivery through ‘yardstick competition’ </w:t>
      </w:r>
      <w:sdt>
        <w:sdtPr>
          <w:id w:val="1514424390"/>
          <w:citation/>
        </w:sdtPr>
        <w:sdtEndPr/>
        <w:sdtContent>
          <w:r w:rsidRPr="00227956">
            <w:fldChar w:fldCharType="begin"/>
          </w:r>
          <w:r w:rsidR="001D498A">
            <w:instrText xml:space="preserve">CITATION Ste95 \l 3081 </w:instrText>
          </w:r>
          <w:r w:rsidRPr="00227956">
            <w:fldChar w:fldCharType="separate"/>
          </w:r>
          <w:r w:rsidR="001D498A">
            <w:rPr>
              <w:noProof/>
            </w:rPr>
            <w:t>(Steering Committee for Review of Commonwealth/State Service Provision 1995)</w:t>
          </w:r>
          <w:r w:rsidRPr="00227956">
            <w:fldChar w:fldCharType="end"/>
          </w:r>
        </w:sdtContent>
      </w:sdt>
      <w:r w:rsidRPr="00227956">
        <w:t>. Almost 15 years on from its first release, the 2009 review of the RoGS found that even though ‘significant refinements’ were needed</w:t>
      </w:r>
      <w:r w:rsidR="007258EE">
        <w:t>:</w:t>
      </w:r>
    </w:p>
    <w:p w14:paraId="19278F90" w14:textId="71E30783" w:rsidR="00227956" w:rsidRPr="00227956" w:rsidRDefault="004E767F" w:rsidP="00662B24">
      <w:pPr>
        <w:ind w:left="720"/>
        <w:rPr>
          <w:bCs/>
        </w:rPr>
      </w:pPr>
      <w:r w:rsidRPr="008B7B4E">
        <w:rPr>
          <w:rStyle w:val="QuoteChar"/>
          <w:rFonts w:eastAsiaTheme="minorHAnsi"/>
        </w:rPr>
        <w:t>The</w:t>
      </w:r>
      <w:r w:rsidR="00227956" w:rsidRPr="008B7B4E">
        <w:rPr>
          <w:rStyle w:val="QuoteChar"/>
          <w:rFonts w:eastAsiaTheme="minorHAnsi"/>
        </w:rPr>
        <w:t xml:space="preserve"> core reason for the establishment of the ROGS remains enduring; that is, to enable the comparison of the efficiency and effectiveness of government service delivery.</w:t>
      </w:r>
      <w:r w:rsidR="00227956" w:rsidRPr="00227956">
        <w:rPr>
          <w:i/>
          <w:iCs/>
        </w:rPr>
        <w:t xml:space="preserve"> </w:t>
      </w:r>
      <w:sdt>
        <w:sdtPr>
          <w:rPr>
            <w:i/>
            <w:iCs/>
          </w:rPr>
          <w:id w:val="-763694366"/>
          <w:citation/>
        </w:sdtPr>
        <w:sdtEndPr/>
        <w:sdtContent>
          <w:r w:rsidR="00227956" w:rsidRPr="00227956">
            <w:rPr>
              <w:i/>
              <w:iCs/>
            </w:rPr>
            <w:fldChar w:fldCharType="begin"/>
          </w:r>
          <w:r w:rsidR="00227956" w:rsidRPr="00227956">
            <w:rPr>
              <w:i/>
              <w:iCs/>
            </w:rPr>
            <w:instrText xml:space="preserve">CITATION Rev09 \l 3081 </w:instrText>
          </w:r>
          <w:r w:rsidR="00227956" w:rsidRPr="00227956">
            <w:rPr>
              <w:i/>
              <w:iCs/>
            </w:rPr>
            <w:fldChar w:fldCharType="separate"/>
          </w:r>
          <w:r w:rsidR="003003B3">
            <w:rPr>
              <w:noProof/>
            </w:rPr>
            <w:t>(Senior Officials/Heads of Treasuries Working Group 2009)</w:t>
          </w:r>
          <w:r w:rsidR="00227956" w:rsidRPr="00227956">
            <w:fldChar w:fldCharType="end"/>
          </w:r>
        </w:sdtContent>
      </w:sdt>
    </w:p>
    <w:p w14:paraId="1DBB3A31" w14:textId="3FA8229C" w:rsidR="00227956" w:rsidRPr="00227956" w:rsidRDefault="00227956" w:rsidP="00662B24">
      <w:r w:rsidRPr="00227956">
        <w:t xml:space="preserve">Since the last review, changes </w:t>
      </w:r>
      <w:r w:rsidR="00970E99">
        <w:t xml:space="preserve">have </w:t>
      </w:r>
      <w:r w:rsidRPr="00227956">
        <w:t>impact</w:t>
      </w:r>
      <w:r w:rsidR="00970E99">
        <w:t>ed</w:t>
      </w:r>
      <w:r w:rsidRPr="00227956">
        <w:t xml:space="preserve"> government service </w:t>
      </w:r>
      <w:r w:rsidR="000C63DA" w:rsidRPr="00227956">
        <w:t>delivery</w:t>
      </w:r>
      <w:r w:rsidRPr="00227956">
        <w:t xml:space="preserve"> and assess</w:t>
      </w:r>
      <w:r w:rsidR="00F5091D">
        <w:t>ment</w:t>
      </w:r>
      <w:r w:rsidRPr="00227956">
        <w:t xml:space="preserve"> (</w:t>
      </w:r>
      <w:r w:rsidR="00D276C7" w:rsidRPr="00D276C7">
        <w:rPr>
          <w:i/>
          <w:iCs/>
        </w:rPr>
        <w:t>Chapter 1: About this Review</w:t>
      </w:r>
      <w:r w:rsidRPr="00227956">
        <w:t xml:space="preserve">). The Review has considered </w:t>
      </w:r>
      <w:r w:rsidR="00DE1CFC">
        <w:t>the impact of these</w:t>
      </w:r>
      <w:r w:rsidRPr="00227956">
        <w:t xml:space="preserve"> changes on the continued value of the RoGS, including </w:t>
      </w:r>
      <w:r w:rsidR="00F62474">
        <w:t>how</w:t>
      </w:r>
      <w:r w:rsidR="00F62474" w:rsidRPr="00227956">
        <w:t xml:space="preserve"> </w:t>
      </w:r>
      <w:r w:rsidRPr="00227956">
        <w:t xml:space="preserve">the costs involved with producing the report </w:t>
      </w:r>
      <w:r w:rsidR="00F62474">
        <w:t xml:space="preserve">weigh </w:t>
      </w:r>
      <w:r w:rsidRPr="00227956">
        <w:t xml:space="preserve">against its usefulness for stakeholders. </w:t>
      </w:r>
    </w:p>
    <w:p w14:paraId="32B42A17" w14:textId="16D95AD6" w:rsidR="00227956" w:rsidRPr="00227956" w:rsidRDefault="00227956" w:rsidP="00662B24">
      <w:pPr>
        <w:rPr>
          <w:b/>
          <w:bCs/>
        </w:rPr>
      </w:pPr>
      <w:r w:rsidRPr="00227956">
        <w:rPr>
          <w:bCs/>
        </w:rPr>
        <w:t>Broadly, s</w:t>
      </w:r>
      <w:r w:rsidRPr="00227956">
        <w:t xml:space="preserve">takeholders told us that the RoGS is a valued and trusted source of information on government services for both governments and the public, and that </w:t>
      </w:r>
      <w:r w:rsidR="00130221">
        <w:t xml:space="preserve">their </w:t>
      </w:r>
      <w:r w:rsidRPr="00227956">
        <w:t xml:space="preserve">understanding of government performance would be poorer in its absence. </w:t>
      </w:r>
    </w:p>
    <w:p w14:paraId="44BF885A" w14:textId="14DC88BE" w:rsidR="00227956" w:rsidRPr="00227956" w:rsidRDefault="00227956" w:rsidP="00662B24">
      <w:r w:rsidRPr="00227956">
        <w:t xml:space="preserve">Government representatives </w:t>
      </w:r>
      <w:r w:rsidR="00CA5D2B">
        <w:t>said</w:t>
      </w:r>
      <w:r w:rsidRPr="00227956">
        <w:t xml:space="preserve"> that they used the RoGS to compare the efficiency and effectiveness of their service delivery with other jurisdictions</w:t>
      </w:r>
      <w:r w:rsidR="00371519">
        <w:t xml:space="preserve">. They used this </w:t>
      </w:r>
      <w:r w:rsidRPr="00227956">
        <w:t>to inform senior officials and ministers about government performance. State and Territory Treasuries and First Ministers departments also use the RoGS to strategically manage budgets</w:t>
      </w:r>
      <w:r w:rsidR="000A0A33">
        <w:t>, including to allocate funding.</w:t>
      </w:r>
      <w:r w:rsidRPr="00227956">
        <w:t xml:space="preserve"> The substantial time</w:t>
      </w:r>
      <w:r w:rsidR="00B65D32">
        <w:t>-</w:t>
      </w:r>
      <w:r w:rsidRPr="00227956">
        <w:t>series data in the RoGS (30 years in some service areas) supports short</w:t>
      </w:r>
      <w:r w:rsidR="00B65D32">
        <w:t>-</w:t>
      </w:r>
      <w:r w:rsidRPr="00227956">
        <w:t xml:space="preserve"> and long</w:t>
      </w:r>
      <w:r w:rsidR="00B65D32">
        <w:t>-</w:t>
      </w:r>
      <w:r w:rsidRPr="00227956">
        <w:t xml:space="preserve">term trend analysis, which was considered valuable for policy development and implementation. </w:t>
      </w:r>
      <w:r w:rsidR="00E70432">
        <w:t>R</w:t>
      </w:r>
      <w:r w:rsidRPr="00227956">
        <w:t xml:space="preserve">epresentatives from governments also </w:t>
      </w:r>
      <w:r w:rsidR="00635C98">
        <w:t>f</w:t>
      </w:r>
      <w:r w:rsidR="0045076E">
        <w:t>i</w:t>
      </w:r>
      <w:r w:rsidR="00635C98">
        <w:t>nd</w:t>
      </w:r>
      <w:r w:rsidR="000018A9">
        <w:t xml:space="preserve"> significant benefit in</w:t>
      </w:r>
      <w:r w:rsidR="00635C98">
        <w:t xml:space="preserve"> </w:t>
      </w:r>
      <w:r w:rsidR="00F16B08">
        <w:t xml:space="preserve">the collaborative </w:t>
      </w:r>
      <w:r w:rsidR="003D6DFD">
        <w:t>processes</w:t>
      </w:r>
      <w:r w:rsidR="00F16B08">
        <w:t xml:space="preserve"> </w:t>
      </w:r>
      <w:r w:rsidR="00A02D6D">
        <w:t>in developing the RoGS</w:t>
      </w:r>
      <w:r w:rsidR="00233223">
        <w:t xml:space="preserve"> </w:t>
      </w:r>
      <w:r w:rsidR="0045076E">
        <w:t>each year</w:t>
      </w:r>
      <w:r w:rsidR="00BA3020">
        <w:t xml:space="preserve">, led by the </w:t>
      </w:r>
      <w:r w:rsidRPr="00227956">
        <w:t>Steering Committe</w:t>
      </w:r>
      <w:r w:rsidR="00BA3020">
        <w:t>e</w:t>
      </w:r>
      <w:r w:rsidRPr="00227956">
        <w:t>.</w:t>
      </w:r>
    </w:p>
    <w:p w14:paraId="02DEAFED" w14:textId="75AEC8ED" w:rsidR="00227956" w:rsidRPr="00227956" w:rsidRDefault="00227956" w:rsidP="00662B24">
      <w:r w:rsidRPr="00227956">
        <w:t>Non</w:t>
      </w:r>
      <w:r w:rsidR="00B65D32">
        <w:rPr>
          <w:bCs/>
        </w:rPr>
        <w:t>-</w:t>
      </w:r>
      <w:r w:rsidRPr="00227956">
        <w:t xml:space="preserve">government stakeholders use the RoGS for research, analysis and advocacy purposes. As an ‘official’ source of data, they find it more influential </w:t>
      </w:r>
      <w:r w:rsidR="003C6B9A">
        <w:t>when</w:t>
      </w:r>
      <w:r w:rsidRPr="00227956">
        <w:t xml:space="preserve"> engag</w:t>
      </w:r>
      <w:r w:rsidR="003C6B9A">
        <w:t>ing</w:t>
      </w:r>
      <w:r w:rsidRPr="00227956">
        <w:t xml:space="preserve"> with government</w:t>
      </w:r>
      <w:r w:rsidR="003C6B9A">
        <w:t>s</w:t>
      </w:r>
      <w:r w:rsidRPr="00227956">
        <w:t>. These stakeholders highly value</w:t>
      </w:r>
      <w:r w:rsidR="00F07607">
        <w:t xml:space="preserve"> </w:t>
      </w:r>
      <w:r w:rsidRPr="00227956">
        <w:t xml:space="preserve">the RoGS </w:t>
      </w:r>
      <w:r w:rsidR="00F07607">
        <w:t>report</w:t>
      </w:r>
      <w:r w:rsidR="00C53BF3">
        <w:t>ing on smaller jurisdictions and on</w:t>
      </w:r>
      <w:r w:rsidRPr="00227956">
        <w:t xml:space="preserve"> </w:t>
      </w:r>
      <w:r w:rsidR="00F2317A">
        <w:t xml:space="preserve">information that is not available elsewhere, such </w:t>
      </w:r>
      <w:r w:rsidR="0060767E">
        <w:t xml:space="preserve">as </w:t>
      </w:r>
      <w:r w:rsidRPr="00227956">
        <w:t>expenditure.</w:t>
      </w:r>
    </w:p>
    <w:p w14:paraId="340FD8A9" w14:textId="38FF36FC" w:rsidR="00227956" w:rsidRPr="00227956" w:rsidRDefault="00B07B5C" w:rsidP="00662B24">
      <w:r>
        <w:t>S</w:t>
      </w:r>
      <w:r w:rsidRPr="00227956">
        <w:t>ince the last review</w:t>
      </w:r>
      <w:r>
        <w:t xml:space="preserve">, </w:t>
      </w:r>
      <w:r w:rsidR="007A7262">
        <w:t>s</w:t>
      </w:r>
      <w:r w:rsidR="00227956" w:rsidRPr="00227956">
        <w:t xml:space="preserve">takeholders </w:t>
      </w:r>
      <w:r>
        <w:t>observed</w:t>
      </w:r>
      <w:r w:rsidRPr="00227956">
        <w:t xml:space="preserve"> </w:t>
      </w:r>
      <w:r>
        <w:t>an</w:t>
      </w:r>
      <w:r w:rsidR="00227956" w:rsidRPr="00227956">
        <w:t xml:space="preserve"> </w:t>
      </w:r>
      <w:r w:rsidR="00897DE4">
        <w:t xml:space="preserve">overall </w:t>
      </w:r>
      <w:r w:rsidR="00227956" w:rsidRPr="00227956">
        <w:t>increase in the volume of data and reporting</w:t>
      </w:r>
      <w:r w:rsidR="00AE64D0">
        <w:t>, as well as</w:t>
      </w:r>
      <w:r w:rsidR="00227956" w:rsidRPr="00227956">
        <w:t xml:space="preserve"> advance</w:t>
      </w:r>
      <w:r w:rsidR="00D333A8">
        <w:t>s</w:t>
      </w:r>
      <w:r w:rsidR="00227956" w:rsidRPr="00227956">
        <w:t xml:space="preserve"> in analytical techniques. This has led to more information sources </w:t>
      </w:r>
      <w:r w:rsidR="00D11609">
        <w:t>that can be used for</w:t>
      </w:r>
      <w:r w:rsidR="00227956" w:rsidRPr="00227956">
        <w:t xml:space="preserve"> developing policy or advocating for change</w:t>
      </w:r>
      <w:r w:rsidR="00B203E0">
        <w:t>. However,</w:t>
      </w:r>
      <w:r w:rsidR="00227956" w:rsidRPr="00227956">
        <w:t xml:space="preserve"> stakeholders did not necessarily consider these </w:t>
      </w:r>
      <w:r w:rsidR="00B203E0">
        <w:t xml:space="preserve">new sources of information </w:t>
      </w:r>
      <w:r w:rsidR="00227956" w:rsidRPr="00227956">
        <w:t xml:space="preserve">to be replacements for the RoGS. For example, </w:t>
      </w:r>
      <w:r w:rsidR="00A203F3">
        <w:t>the</w:t>
      </w:r>
      <w:r w:rsidR="00227956" w:rsidRPr="00227956">
        <w:t xml:space="preserve"> granular and real</w:t>
      </w:r>
      <w:r w:rsidR="00B65D32">
        <w:t>-</w:t>
      </w:r>
      <w:r w:rsidR="00227956" w:rsidRPr="00227956">
        <w:t>time data on services</w:t>
      </w:r>
      <w:r w:rsidR="00A203F3">
        <w:t xml:space="preserve"> available to </w:t>
      </w:r>
      <w:r w:rsidR="0045734D">
        <w:t>State and Territories cannot replace</w:t>
      </w:r>
      <w:r w:rsidR="00E571FC">
        <w:t xml:space="preserve"> the</w:t>
      </w:r>
      <w:r w:rsidR="00227956" w:rsidRPr="00227956">
        <w:t xml:space="preserve"> </w:t>
      </w:r>
      <w:r w:rsidR="0073794D">
        <w:br/>
      </w:r>
      <w:r w:rsidR="00227956" w:rsidRPr="00227956">
        <w:t>cross</w:t>
      </w:r>
      <w:r w:rsidR="00B65D32">
        <w:t>-</w:t>
      </w:r>
      <w:r w:rsidR="00227956" w:rsidRPr="00227956">
        <w:t>jurisdictional comparison of the RoGS.</w:t>
      </w:r>
    </w:p>
    <w:p w14:paraId="1EFCDC80" w14:textId="5169DE1D" w:rsidR="00227956" w:rsidRDefault="00227956" w:rsidP="00662B24">
      <w:r w:rsidRPr="00227956">
        <w:t xml:space="preserve">Stakeholders also cautioned that the overall increase in the availability of information is not true for all sectors covered by the RoGS. </w:t>
      </w:r>
      <w:r w:rsidR="00B65B38">
        <w:t>Some</w:t>
      </w:r>
      <w:r w:rsidRPr="00227956">
        <w:t xml:space="preserve"> service delivery areas are </w:t>
      </w:r>
      <w:r w:rsidR="00E6273E" w:rsidRPr="00227956">
        <w:t>well</w:t>
      </w:r>
      <w:r w:rsidR="00E6273E">
        <w:t xml:space="preserve"> covered</w:t>
      </w:r>
      <w:r w:rsidRPr="00227956">
        <w:t xml:space="preserve"> at a national level by different reporting bodies, including the AIHW</w:t>
      </w:r>
      <w:r w:rsidR="00D2743E">
        <w:t xml:space="preserve"> </w:t>
      </w:r>
      <w:r w:rsidRPr="00227956">
        <w:t>and the ABS</w:t>
      </w:r>
      <w:r w:rsidR="00805A69">
        <w:t xml:space="preserve">. </w:t>
      </w:r>
      <w:r w:rsidR="003A6406">
        <w:t>Other sectors</w:t>
      </w:r>
      <w:r w:rsidRPr="00227956">
        <w:t xml:space="preserve"> have less</w:t>
      </w:r>
      <w:r w:rsidR="00B65D32">
        <w:t>-</w:t>
      </w:r>
      <w:r w:rsidRPr="00227956">
        <w:t>developed national reporting</w:t>
      </w:r>
      <w:r w:rsidR="00411C8A">
        <w:t xml:space="preserve"> </w:t>
      </w:r>
      <w:r w:rsidR="00E6273E">
        <w:t>and place increased value on</w:t>
      </w:r>
      <w:r w:rsidRPr="00227956">
        <w:t xml:space="preserve"> </w:t>
      </w:r>
      <w:r w:rsidR="003A6406">
        <w:t xml:space="preserve">the </w:t>
      </w:r>
      <w:r w:rsidRPr="00227956">
        <w:t xml:space="preserve">RoGS as the central </w:t>
      </w:r>
      <w:r w:rsidR="007B730E">
        <w:t>source</w:t>
      </w:r>
      <w:r w:rsidR="007B730E" w:rsidRPr="00227956">
        <w:t xml:space="preserve"> </w:t>
      </w:r>
      <w:r w:rsidRPr="00227956">
        <w:t>of national performance information (</w:t>
      </w:r>
      <w:r w:rsidR="00427FAB" w:rsidRPr="00427FAB">
        <w:rPr>
          <w:i/>
          <w:iCs/>
        </w:rPr>
        <w:t>Information</w:t>
      </w:r>
      <w:r w:rsidR="00427FAB" w:rsidRPr="00DA40F5">
        <w:t xml:space="preserve"> Box 4: Value of the RoGS for nationally under-reported sectors</w:t>
      </w:r>
      <w:r w:rsidRPr="00227956">
        <w:t>).</w:t>
      </w:r>
    </w:p>
    <w:tbl>
      <w:tblPr>
        <w:tblStyle w:val="TableGrid"/>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26"/>
      </w:tblGrid>
      <w:tr w:rsidR="00227956" w14:paraId="7C325373" w14:textId="77777777" w:rsidTr="00B11057">
        <w:tc>
          <w:tcPr>
            <w:tcW w:w="5000" w:type="pct"/>
            <w:shd w:val="clear" w:color="auto" w:fill="EEEEEE" w:themeFill="background2"/>
          </w:tcPr>
          <w:p w14:paraId="65A3DEE8" w14:textId="22AD6467" w:rsidR="00227956" w:rsidRPr="00DA40F5" w:rsidRDefault="00DA40F5" w:rsidP="00DA40F5">
            <w:pPr>
              <w:pStyle w:val="BoxHeading"/>
            </w:pPr>
            <w:bookmarkStart w:id="28" w:name="_Ref180410705"/>
            <w:bookmarkStart w:id="29" w:name="_Hlk180414089"/>
            <w:r w:rsidRPr="00DA40F5">
              <w:t>Information Box 4</w:t>
            </w:r>
            <w:r w:rsidR="003641B1" w:rsidRPr="00DA40F5">
              <w:t>: Value of the RoGS for nationally under</w:t>
            </w:r>
            <w:r w:rsidR="00B65D32" w:rsidRPr="00DA40F5">
              <w:t>-</w:t>
            </w:r>
            <w:r w:rsidR="003641B1" w:rsidRPr="00DA40F5">
              <w:t>reported sectors</w:t>
            </w:r>
            <w:bookmarkEnd w:id="28"/>
          </w:p>
          <w:p w14:paraId="6956A4E5" w14:textId="77777777" w:rsidR="00BC454E" w:rsidRPr="006A1E5F" w:rsidRDefault="00BC454E" w:rsidP="006A1E5F">
            <w:pPr>
              <w:pStyle w:val="BoxText"/>
              <w:rPr>
                <w:rStyle w:val="Emphasis"/>
                <w:i w:val="0"/>
                <w:iCs w:val="0"/>
              </w:rPr>
            </w:pPr>
            <w:r w:rsidRPr="006A1E5F">
              <w:rPr>
                <w:rStyle w:val="Emphasis"/>
                <w:i w:val="0"/>
                <w:iCs w:val="0"/>
              </w:rPr>
              <w:t>In comparison to sectors like health and housing and homelessness, the emergency management and youth justice sectors have relatively limited national reporting frameworks.</w:t>
            </w:r>
          </w:p>
          <w:p w14:paraId="3C00C985" w14:textId="1770B574" w:rsidR="00BC454E" w:rsidRPr="006A1E5F" w:rsidRDefault="00BC454E" w:rsidP="006A1E5F">
            <w:pPr>
              <w:pStyle w:val="BoxText"/>
            </w:pPr>
            <w:r w:rsidRPr="006A1E5F">
              <w:t>Separate to the RoGS, youth justice performance reporting is supported by the Youth Justice National Minimum Data Set</w:t>
            </w:r>
            <w:r w:rsidR="00F77656" w:rsidRPr="006A1E5F">
              <w:t>. This is</w:t>
            </w:r>
            <w:r w:rsidRPr="006A1E5F">
              <w:t xml:space="preserve"> an annual collection of information on young people under youth justice supervision, both in the community and in detention. This dataset looks at the characteristics of young people and the following aspects of their supervision:</w:t>
            </w:r>
          </w:p>
          <w:p w14:paraId="053FD57A" w14:textId="13A872AB" w:rsidR="00BC454E" w:rsidRPr="007153E8" w:rsidRDefault="00012EF5" w:rsidP="00DA40F5">
            <w:pPr>
              <w:pStyle w:val="Boxbullet"/>
            </w:pPr>
            <w:r>
              <w:t>n</w:t>
            </w:r>
            <w:r w:rsidR="00BC454E" w:rsidRPr="007153E8">
              <w:t>umbers and rates of young people under supervision</w:t>
            </w:r>
          </w:p>
          <w:p w14:paraId="7CED5AD8" w14:textId="4043BA00" w:rsidR="00BC454E" w:rsidRPr="007153E8" w:rsidRDefault="00012EF5" w:rsidP="00DA40F5">
            <w:pPr>
              <w:pStyle w:val="Boxbullet"/>
            </w:pPr>
            <w:r>
              <w:t>t</w:t>
            </w:r>
            <w:r w:rsidR="00BC454E" w:rsidRPr="007153E8">
              <w:t>ime under supervision</w:t>
            </w:r>
          </w:p>
          <w:p w14:paraId="38C31325" w14:textId="01436E77" w:rsidR="00BC454E" w:rsidRPr="007153E8" w:rsidRDefault="00012EF5" w:rsidP="00DA40F5">
            <w:pPr>
              <w:pStyle w:val="Boxbullet"/>
            </w:pPr>
            <w:r>
              <w:t>s</w:t>
            </w:r>
            <w:r w:rsidR="00BC454E" w:rsidRPr="007153E8">
              <w:t>upervision history and trends in supervision.</w:t>
            </w:r>
          </w:p>
          <w:p w14:paraId="2EC243E4" w14:textId="3B68DF06" w:rsidR="00BC454E" w:rsidRPr="006A1E5F" w:rsidRDefault="00BC454E" w:rsidP="006A1E5F">
            <w:pPr>
              <w:pStyle w:val="BoxText"/>
            </w:pPr>
            <w:r w:rsidRPr="006A1E5F">
              <w:t>However, the RoGS is the primary source of comparable information on the performance of youth justice services</w:t>
            </w:r>
            <w:r w:rsidR="00012EF5" w:rsidRPr="006A1E5F">
              <w:t xml:space="preserve">. It </w:t>
            </w:r>
            <w:r w:rsidRPr="006A1E5F">
              <w:t>contains 13 indicators not published elsewhere, covering:</w:t>
            </w:r>
          </w:p>
          <w:p w14:paraId="6DB3464F" w14:textId="3F1B11DC" w:rsidR="00BC454E" w:rsidRPr="007153E8" w:rsidRDefault="00F43E22" w:rsidP="000A2310">
            <w:pPr>
              <w:pStyle w:val="Boxbullet"/>
            </w:pPr>
            <w:r>
              <w:t>e</w:t>
            </w:r>
            <w:r w:rsidR="00BC454E" w:rsidRPr="007153E8">
              <w:t>ducation and training attendance</w:t>
            </w:r>
          </w:p>
          <w:p w14:paraId="119D45A7" w14:textId="348A5AE6" w:rsidR="00BC454E" w:rsidRPr="007153E8" w:rsidRDefault="00B06F37" w:rsidP="000A2310">
            <w:pPr>
              <w:pStyle w:val="Boxbullet"/>
            </w:pPr>
            <w:r>
              <w:t>d</w:t>
            </w:r>
            <w:r w:rsidR="00BC454E" w:rsidRPr="007153E8">
              <w:t>eaths, assaults, self</w:t>
            </w:r>
            <w:r w:rsidR="00B65D32">
              <w:t>-</w:t>
            </w:r>
            <w:r w:rsidR="00BC454E" w:rsidRPr="007153E8">
              <w:t>harm and attempted suicide in custody</w:t>
            </w:r>
          </w:p>
          <w:p w14:paraId="5985E25F" w14:textId="466125D1" w:rsidR="00BC454E" w:rsidRPr="007153E8" w:rsidRDefault="00B06F37" w:rsidP="000A2310">
            <w:pPr>
              <w:pStyle w:val="Boxbullet"/>
            </w:pPr>
            <w:r>
              <w:t>e</w:t>
            </w:r>
            <w:r w:rsidR="00BC454E" w:rsidRPr="007153E8">
              <w:t>scapes and absconds from unescorted leave</w:t>
            </w:r>
          </w:p>
          <w:p w14:paraId="004A3407" w14:textId="1D06CA33" w:rsidR="00BC454E" w:rsidRPr="007153E8" w:rsidRDefault="00B06F37" w:rsidP="000A2310">
            <w:pPr>
              <w:pStyle w:val="Boxbullet"/>
            </w:pPr>
            <w:r>
              <w:t>g</w:t>
            </w:r>
            <w:r w:rsidR="00BC454E" w:rsidRPr="007153E8">
              <w:t>roup conferencing agreements and case plans prepared</w:t>
            </w:r>
          </w:p>
          <w:p w14:paraId="39BA9808" w14:textId="7A45268A" w:rsidR="00BC454E" w:rsidRPr="007153E8" w:rsidRDefault="004B1A4E" w:rsidP="006A1E5F">
            <w:pPr>
              <w:pStyle w:val="Boxbullet"/>
            </w:pPr>
            <w:r>
              <w:t>c</w:t>
            </w:r>
            <w:r w:rsidR="00BC454E" w:rsidRPr="007153E8">
              <w:t>ompletion of community</w:t>
            </w:r>
            <w:r w:rsidR="00BC454E" w:rsidRPr="0007574A">
              <w:rPr>
                <w:rFonts w:ascii="Cambria Math" w:hAnsi="Cambria Math" w:cs="Cambria Math"/>
              </w:rPr>
              <w:t>‑</w:t>
            </w:r>
            <w:r w:rsidR="00BC454E" w:rsidRPr="007153E8">
              <w:t>based orders</w:t>
            </w:r>
          </w:p>
          <w:p w14:paraId="46673A2F" w14:textId="409F4E6C" w:rsidR="00BC454E" w:rsidRPr="007153E8" w:rsidRDefault="004B1A4E" w:rsidP="000A2310">
            <w:pPr>
              <w:pStyle w:val="Boxbullet"/>
            </w:pPr>
            <w:r>
              <w:t>e</w:t>
            </w:r>
            <w:r w:rsidR="00BC454E" w:rsidRPr="007153E8">
              <w:t xml:space="preserve">xpenditure data </w:t>
            </w:r>
            <w:r w:rsidR="00B65D32">
              <w:rPr>
                <w:rFonts w:ascii="Calibri" w:hAnsi="Calibri" w:cs="Calibri"/>
              </w:rPr>
              <w:t>—</w:t>
            </w:r>
            <w:r w:rsidR="00BC454E" w:rsidRPr="007153E8">
              <w:t xml:space="preserve"> cost per young person subject to community</w:t>
            </w:r>
            <w:r w:rsidR="00B65D32">
              <w:t>-</w:t>
            </w:r>
            <w:r w:rsidR="00BC454E" w:rsidRPr="007153E8">
              <w:t>based supervision, cost per young person subject to detention</w:t>
            </w:r>
            <w:r w:rsidR="00B65D32">
              <w:t>-</w:t>
            </w:r>
            <w:r w:rsidR="00BC454E" w:rsidRPr="007153E8">
              <w:t>based supervision and cost per group conference.</w:t>
            </w:r>
          </w:p>
          <w:p w14:paraId="012FE5AF" w14:textId="20A83C77" w:rsidR="00BC454E" w:rsidRPr="007153E8" w:rsidRDefault="00BC454E" w:rsidP="000A2310">
            <w:pPr>
              <w:pStyle w:val="BoxText"/>
              <w:rPr>
                <w:b/>
              </w:rPr>
            </w:pPr>
            <w:r w:rsidRPr="007153E8">
              <w:t xml:space="preserve">Outside of the RoGS, the emergency management sector does not have a national dataset that the public or governments can access to easily assess government performance. Data for the 9 RoGS emergency management indicators are collected directly from State and Territory governments, supplemented by AIHW fire injury hospitalisations data and contextual </w:t>
            </w:r>
            <w:r w:rsidR="004C1ADD">
              <w:t>Commonwealth</w:t>
            </w:r>
            <w:r w:rsidRPr="007153E8">
              <w:t xml:space="preserve"> expenditure data from the National Emergency Management Agency.</w:t>
            </w:r>
          </w:p>
          <w:p w14:paraId="258B1E6D" w14:textId="77777777" w:rsidR="00BC454E" w:rsidRPr="007153E8" w:rsidRDefault="00BC454E" w:rsidP="000A2310">
            <w:pPr>
              <w:pStyle w:val="BoxText"/>
            </w:pPr>
            <w:r w:rsidRPr="007153E8">
              <w:t>Indicators reported in the RoGS, but not reported on a national level elsewhere, cover:</w:t>
            </w:r>
          </w:p>
          <w:p w14:paraId="651B09BF" w14:textId="5051D368" w:rsidR="00BC454E" w:rsidRPr="007153E8" w:rsidRDefault="0012313E" w:rsidP="000A2310">
            <w:pPr>
              <w:pStyle w:val="Boxbullet"/>
            </w:pPr>
            <w:r>
              <w:t>r</w:t>
            </w:r>
            <w:r w:rsidR="00BC454E" w:rsidRPr="007153E8">
              <w:t>esponse times for fire events</w:t>
            </w:r>
          </w:p>
          <w:p w14:paraId="5951DB09" w14:textId="14EFACCE" w:rsidR="00BC454E" w:rsidRPr="007153E8" w:rsidRDefault="008578BE" w:rsidP="000A2310">
            <w:pPr>
              <w:pStyle w:val="Boxbullet"/>
            </w:pPr>
            <w:r>
              <w:t>a</w:t>
            </w:r>
            <w:r w:rsidR="00BC454E" w:rsidRPr="007153E8">
              <w:t>ccidental residential structure fires</w:t>
            </w:r>
          </w:p>
          <w:p w14:paraId="344CC6FB" w14:textId="28DC9810" w:rsidR="00BC454E" w:rsidRPr="007153E8" w:rsidRDefault="004B1A4E" w:rsidP="000A2310">
            <w:pPr>
              <w:pStyle w:val="Boxbullet"/>
            </w:pPr>
            <w:r>
              <w:t>c</w:t>
            </w:r>
            <w:r w:rsidR="00BC454E" w:rsidRPr="007153E8">
              <w:t>onfinement of structure fires to room/object of origin</w:t>
            </w:r>
          </w:p>
          <w:p w14:paraId="007A5571" w14:textId="095BB70A" w:rsidR="00BC454E" w:rsidRPr="007153E8" w:rsidRDefault="008578BE" w:rsidP="000A2310">
            <w:pPr>
              <w:pStyle w:val="Boxbullet"/>
            </w:pPr>
            <w:r>
              <w:t>w</w:t>
            </w:r>
            <w:r w:rsidR="00BC454E" w:rsidRPr="007153E8">
              <w:t>orkforce sustainability</w:t>
            </w:r>
          </w:p>
          <w:p w14:paraId="0255877C" w14:textId="05AB0E65" w:rsidR="00BC454E" w:rsidRPr="007153E8" w:rsidRDefault="00BC454E" w:rsidP="000A2310">
            <w:pPr>
              <w:pStyle w:val="Boxbullet"/>
            </w:pPr>
            <w:r w:rsidRPr="007153E8">
              <w:t xml:space="preserve">financial data </w:t>
            </w:r>
            <w:r w:rsidR="00B65D32">
              <w:rPr>
                <w:rFonts w:ascii="Calibri" w:hAnsi="Calibri" w:cs="Calibri"/>
              </w:rPr>
              <w:t>—</w:t>
            </w:r>
            <w:r w:rsidRPr="007153E8">
              <w:t xml:space="preserve"> expenditure per person and value of asset losses</w:t>
            </w:r>
          </w:p>
          <w:p w14:paraId="6349538E" w14:textId="20D291E7" w:rsidR="00227956" w:rsidRPr="0007574A" w:rsidRDefault="008578BE" w:rsidP="000A2310">
            <w:pPr>
              <w:pStyle w:val="Boxbullet"/>
            </w:pPr>
            <w:r>
              <w:t>i</w:t>
            </w:r>
            <w:r w:rsidR="00BC454E" w:rsidRPr="007153E8">
              <w:t>njuries and deaths.</w:t>
            </w:r>
          </w:p>
          <w:p w14:paraId="5AAB6443" w14:textId="559BF4E0" w:rsidR="00BC454E" w:rsidRPr="006F255F" w:rsidRDefault="009A675F" w:rsidP="006A1E5F">
            <w:pPr>
              <w:pStyle w:val="ChartorTableNote"/>
            </w:pPr>
            <w:r w:rsidRPr="008B2D62">
              <w:t>Source</w:t>
            </w:r>
            <w:r w:rsidR="001373D4">
              <w:t>s</w:t>
            </w:r>
            <w:r w:rsidR="006F255F" w:rsidRPr="008B2D62">
              <w:t xml:space="preserve">: </w:t>
            </w:r>
            <w:r w:rsidR="003C1B6E">
              <w:rPr>
                <w:noProof/>
              </w:rPr>
              <w:t>(AIHW 2024a; Steering Committee 2024a)</w:t>
            </w:r>
          </w:p>
        </w:tc>
      </w:tr>
    </w:tbl>
    <w:bookmarkEnd w:id="29"/>
    <w:p w14:paraId="165025A6" w14:textId="607D3AEF" w:rsidR="00290C2E" w:rsidRDefault="006F7273" w:rsidP="006F7273">
      <w:pPr>
        <w:pStyle w:val="Heading3"/>
      </w:pPr>
      <w:r>
        <w:t>A consistently used resource</w:t>
      </w:r>
    </w:p>
    <w:p w14:paraId="19FA3CB5" w14:textId="38B6DF6A" w:rsidR="00CF32BB" w:rsidRPr="00CF32BB" w:rsidRDefault="00CF32BB" w:rsidP="00CF32BB">
      <w:r w:rsidRPr="00CF32BB">
        <w:t>Website access and media engagement statistics are consistent with stakeholders’ observations. Between 2018 and 2024, the RoGS website attracted around 150,000 views annually. Corrective services, child protection services and early childhood education and care had the highest number of total views in this period. Access peaks around the early</w:t>
      </w:r>
      <w:r w:rsidR="00B65D32">
        <w:t>-</w:t>
      </w:r>
      <w:r w:rsidRPr="00CF32BB">
        <w:t xml:space="preserve"> and mid</w:t>
      </w:r>
      <w:r w:rsidR="00B65D32">
        <w:t>-</w:t>
      </w:r>
      <w:r w:rsidRPr="00CF32BB">
        <w:t>year data release dates (</w:t>
      </w:r>
      <w:r w:rsidR="00427FAB" w:rsidRPr="00427FAB">
        <w:rPr>
          <w:i/>
          <w:iCs/>
        </w:rPr>
        <w:t xml:space="preserve">Figure </w:t>
      </w:r>
      <w:r w:rsidR="00427FAB" w:rsidRPr="00427FAB">
        <w:rPr>
          <w:i/>
          <w:iCs/>
          <w:noProof/>
        </w:rPr>
        <w:t>7</w:t>
      </w:r>
      <w:r w:rsidR="0034643B">
        <w:t>)</w:t>
      </w:r>
      <w:r w:rsidRPr="00CF32BB">
        <w:t>. Given access statistics are not able to track ‘off</w:t>
      </w:r>
      <w:r w:rsidR="00B65D32">
        <w:t>-</w:t>
      </w:r>
      <w:r w:rsidRPr="00CF32BB">
        <w:t>site’ data</w:t>
      </w:r>
      <w:r w:rsidR="00EA0836">
        <w:t xml:space="preserve"> use</w:t>
      </w:r>
      <w:r w:rsidRPr="00CF32BB">
        <w:t xml:space="preserve">, such as where a user downloads a dataset at a fixed point and analyses it in their own environment, the true number of interactions with the RoGS output </w:t>
      </w:r>
      <w:r w:rsidR="00441C11">
        <w:t>is</w:t>
      </w:r>
      <w:r w:rsidRPr="00CF32BB">
        <w:t xml:space="preserve"> likely higher.</w:t>
      </w:r>
    </w:p>
    <w:p w14:paraId="2FF7ADEB" w14:textId="77777777" w:rsidR="00CF32BB" w:rsidRPr="00CF32BB" w:rsidRDefault="00CF32BB" w:rsidP="00CF32BB">
      <w:r w:rsidRPr="00CF32BB">
        <w:rPr>
          <w:noProof/>
        </w:rPr>
        <w:drawing>
          <wp:inline distT="0" distB="0" distL="0" distR="0" wp14:anchorId="0A92EF31" wp14:editId="4464B65C">
            <wp:extent cx="5724525" cy="2856025"/>
            <wp:effectExtent l="0" t="0" r="0" b="1905"/>
            <wp:docPr id="1578303605" name="Picture 1578303605" descr="Figure 7 is a heat map showing the number of RoGS website views across services areas for each month for 2022 to 2024. It shows that website views are higher around the release dates in February and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03605" name="Picture 1578303605" descr="Figure 7 is a heat map showing the number of RoGS website views across services areas for each month for 2022 to 2024. It shows that website views are higher around the release dates in February and June. "/>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24525" cy="2856025"/>
                    </a:xfrm>
                    <a:prstGeom prst="rect">
                      <a:avLst/>
                    </a:prstGeom>
                    <a:noFill/>
                    <a:ln>
                      <a:noFill/>
                    </a:ln>
                  </pic:spPr>
                </pic:pic>
              </a:graphicData>
            </a:graphic>
          </wp:inline>
        </w:drawing>
      </w:r>
    </w:p>
    <w:p w14:paraId="4BD7D2C2" w14:textId="78D2A431" w:rsidR="00CF32BB" w:rsidRPr="00CF32BB" w:rsidRDefault="00CF32BB" w:rsidP="006A1E5F">
      <w:pPr>
        <w:pStyle w:val="ChartorTableNote"/>
      </w:pPr>
      <w:bookmarkStart w:id="30" w:name="_Ref180407520"/>
      <w:bookmarkStart w:id="31" w:name="_Ref178777006"/>
      <w:r>
        <w:t xml:space="preserve">Figure </w:t>
      </w:r>
      <w:r>
        <w:fldChar w:fldCharType="begin"/>
      </w:r>
      <w:r>
        <w:instrText>SEQ Figure \* ARABIC</w:instrText>
      </w:r>
      <w:r>
        <w:fldChar w:fldCharType="separate"/>
      </w:r>
      <w:r w:rsidR="00427FAB">
        <w:rPr>
          <w:noProof/>
        </w:rPr>
        <w:t>7</w:t>
      </w:r>
      <w:r>
        <w:fldChar w:fldCharType="end"/>
      </w:r>
      <w:bookmarkEnd w:id="30"/>
      <w:r>
        <w:t xml:space="preserve">: </w:t>
      </w:r>
      <w:r w:rsidR="0022164E">
        <w:t xml:space="preserve">RoGS </w:t>
      </w:r>
      <w:r>
        <w:t>average total views by month and service area</w:t>
      </w:r>
      <w:bookmarkEnd w:id="31"/>
      <w:r w:rsidR="00787A18">
        <w:t xml:space="preserve">, </w:t>
      </w:r>
      <w:r w:rsidR="3CEC411E">
        <w:t>20</w:t>
      </w:r>
      <w:r w:rsidR="00C850CB">
        <w:t>22</w:t>
      </w:r>
      <w:r w:rsidR="3CEC411E">
        <w:t xml:space="preserve"> to 2024</w:t>
      </w:r>
      <w:r w:rsidR="00E65E3F" w:rsidRPr="002E493B">
        <w:rPr>
          <w:rStyle w:val="FootnoteReference"/>
          <w:vertAlign w:val="superscript"/>
        </w:rPr>
        <w:footnoteReference w:id="4"/>
      </w:r>
    </w:p>
    <w:p w14:paraId="31BD33C5" w14:textId="146D3971" w:rsidR="00CF32BB" w:rsidRPr="00CF32BB" w:rsidRDefault="00CF32BB" w:rsidP="006A1E5F">
      <w:pPr>
        <w:pStyle w:val="ChartorTableNote"/>
      </w:pPr>
      <w:r w:rsidRPr="00CF32BB">
        <w:t>Source: Analysis undertaken by the Review</w:t>
      </w:r>
    </w:p>
    <w:p w14:paraId="2C0A38EA" w14:textId="20C7CC3E" w:rsidR="00DB0FD9" w:rsidRDefault="004A1C86" w:rsidP="00816642">
      <w:r>
        <w:t>The</w:t>
      </w:r>
      <w:r w:rsidR="00CF32BB" w:rsidRPr="00CF32BB">
        <w:t xml:space="preserve"> RGSP Secretariat advised that media coverage declined </w:t>
      </w:r>
      <w:r w:rsidR="003624D2">
        <w:t>between</w:t>
      </w:r>
      <w:r w:rsidR="000A69B2">
        <w:t xml:space="preserve"> 2023 and 2024</w:t>
      </w:r>
      <w:r w:rsidR="003624D2">
        <w:t>. A</w:t>
      </w:r>
      <w:r w:rsidR="00CF32BB" w:rsidRPr="00CF32BB">
        <w:t xml:space="preserve">nalysis </w:t>
      </w:r>
      <w:r w:rsidR="00CF32BB" w:rsidRPr="002D50BB">
        <w:t xml:space="preserve">between </w:t>
      </w:r>
      <w:r w:rsidR="00996603" w:rsidRPr="002D50BB">
        <w:t>October</w:t>
      </w:r>
      <w:r w:rsidR="00CF32BB" w:rsidRPr="002D50BB">
        <w:t xml:space="preserve"> 2023 and </w:t>
      </w:r>
      <w:r w:rsidR="00996603" w:rsidRPr="002D50BB">
        <w:t>October</w:t>
      </w:r>
      <w:r w:rsidR="00CF32BB" w:rsidRPr="002D50BB">
        <w:t xml:space="preserve"> 2024 identified 6</w:t>
      </w:r>
      <w:r w:rsidR="00996603" w:rsidRPr="002D50BB">
        <w:t>54</w:t>
      </w:r>
      <w:r w:rsidR="00CF32BB" w:rsidRPr="002D50BB">
        <w:t xml:space="preserve"> unique references to the R</w:t>
      </w:r>
      <w:r w:rsidR="000E36FB">
        <w:t>o</w:t>
      </w:r>
      <w:r w:rsidR="00CF32BB" w:rsidRPr="002D50BB">
        <w:t>GS</w:t>
      </w:r>
      <w:r w:rsidR="00CF32BB" w:rsidRPr="00CF32BB">
        <w:t xml:space="preserve"> (</w:t>
      </w:r>
      <w:r w:rsidR="00CF32BB" w:rsidRPr="00CF32BB">
        <w:rPr>
          <w:i/>
          <w:iCs/>
        </w:rPr>
        <w:t>Appendix 2: Data analysis methodology</w:t>
      </w:r>
      <w:r w:rsidR="00CF32BB" w:rsidRPr="00CF32BB">
        <w:t>). These references are concentrated around the main data release in January and February (</w:t>
      </w:r>
      <w:r w:rsidR="000742FA" w:rsidRPr="000742FA">
        <w:rPr>
          <w:i/>
          <w:iCs/>
        </w:rPr>
        <w:t xml:space="preserve">Figure </w:t>
      </w:r>
      <w:r w:rsidR="000742FA" w:rsidRPr="000742FA">
        <w:rPr>
          <w:i/>
          <w:iCs/>
          <w:noProof/>
        </w:rPr>
        <w:t>8</w:t>
      </w:r>
      <w:r w:rsidR="00CF32BB" w:rsidRPr="00CF32BB">
        <w:t>). Common issues addressed by the media include emergency service response times, hospital wait times, crime rates, police funding and school attendance.</w:t>
      </w:r>
    </w:p>
    <w:p w14:paraId="35FA5EDD" w14:textId="54283770" w:rsidR="00AD7C16" w:rsidRDefault="00051D87" w:rsidP="00816642">
      <w:r w:rsidRPr="00235606">
        <w:rPr>
          <w:noProof/>
        </w:rPr>
        <w:drawing>
          <wp:inline distT="0" distB="0" distL="0" distR="0" wp14:anchorId="25E39FC7" wp14:editId="668D6A9C">
            <wp:extent cx="5731510" cy="2793100"/>
            <wp:effectExtent l="0" t="0" r="2540" b="7620"/>
            <wp:docPr id="4" name="Chart 4" descr="Figure 8 shows the number of media references to the Report on Government Services from October 2023 to October 2024. It is a column graph and shows January and February had the most references with about 150 and 250 mentions respectively. There was a smaller peak of about 80 in May. Most media mentions were online or on the radio.">
              <a:extLst xmlns:a="http://schemas.openxmlformats.org/drawingml/2006/main">
                <a:ext uri="{FF2B5EF4-FFF2-40B4-BE49-F238E27FC236}">
                  <a16:creationId xmlns:a16="http://schemas.microsoft.com/office/drawing/2014/main" id="{2F71A823-A60F-7FBE-C987-34D339FDD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DD126F" w14:textId="69260EB1" w:rsidR="008E4F10" w:rsidRPr="0022164E" w:rsidRDefault="008E4F10" w:rsidP="000742FA">
      <w:pPr>
        <w:pStyle w:val="ChartorTableNote"/>
      </w:pPr>
      <w:bookmarkStart w:id="32" w:name="_Ref180485009"/>
      <w:bookmarkStart w:id="33" w:name="_Ref178777165"/>
      <w:r w:rsidRPr="0022164E">
        <w:t xml:space="preserve">Figure </w:t>
      </w:r>
      <w:r w:rsidRPr="0022164E">
        <w:fldChar w:fldCharType="begin"/>
      </w:r>
      <w:r w:rsidRPr="0022164E">
        <w:instrText>SEQ Figure \* ARABIC</w:instrText>
      </w:r>
      <w:r w:rsidRPr="0022164E">
        <w:fldChar w:fldCharType="separate"/>
      </w:r>
      <w:r w:rsidR="000742FA">
        <w:rPr>
          <w:noProof/>
        </w:rPr>
        <w:t>8</w:t>
      </w:r>
      <w:r w:rsidRPr="0022164E">
        <w:fldChar w:fldCharType="end"/>
      </w:r>
      <w:bookmarkEnd w:id="32"/>
      <w:r w:rsidRPr="0022164E">
        <w:t xml:space="preserve">: Media references to the Report on Government Services, </w:t>
      </w:r>
      <w:r w:rsidR="001D541F" w:rsidRPr="0022164E">
        <w:t>October</w:t>
      </w:r>
      <w:r w:rsidRPr="0022164E">
        <w:t xml:space="preserve"> 2023 to </w:t>
      </w:r>
      <w:r w:rsidR="001D541F" w:rsidRPr="0022164E">
        <w:t>October</w:t>
      </w:r>
      <w:r w:rsidRPr="0022164E">
        <w:t xml:space="preserve"> 2024</w:t>
      </w:r>
      <w:bookmarkEnd w:id="33"/>
    </w:p>
    <w:p w14:paraId="7E18F680" w14:textId="4B18718D" w:rsidR="008E4F10" w:rsidRPr="0022164E" w:rsidRDefault="008E4F10" w:rsidP="000742FA">
      <w:pPr>
        <w:pStyle w:val="ChartorTableNote"/>
      </w:pPr>
      <w:r w:rsidRPr="0022164E">
        <w:t xml:space="preserve">Source: </w:t>
      </w:r>
      <w:r w:rsidR="004776DE">
        <w:t>Streem</w:t>
      </w:r>
    </w:p>
    <w:p w14:paraId="6BB19C40" w14:textId="3D84CF4B" w:rsidR="006F7273" w:rsidRDefault="00CF32BB" w:rsidP="00CF32BB">
      <w:pPr>
        <w:pStyle w:val="Heading3"/>
      </w:pPr>
      <w:r>
        <w:t>Supporting, rather than driving, policy</w:t>
      </w:r>
    </w:p>
    <w:p w14:paraId="618D426E" w14:textId="5AAA2F7F" w:rsidR="00960D18" w:rsidRPr="00960D18" w:rsidRDefault="00960D18" w:rsidP="00960D18">
      <w:r w:rsidRPr="00960D18">
        <w:t xml:space="preserve">The Review </w:t>
      </w:r>
      <w:r w:rsidR="006B4AD2">
        <w:t xml:space="preserve">sought to </w:t>
      </w:r>
      <w:r w:rsidR="00281311">
        <w:t>assess</w:t>
      </w:r>
      <w:r w:rsidRPr="00960D18">
        <w:t xml:space="preserve"> how much the RoGS has contributed to improvements in service delivery and effectiveness</w:t>
      </w:r>
      <w:r w:rsidR="005307B9">
        <w:t xml:space="preserve">. </w:t>
      </w:r>
      <w:r w:rsidR="005307B9" w:rsidRPr="005307B9">
        <w:rPr>
          <w:rStyle w:val="cf01"/>
          <w:rFonts w:ascii="Calibri Light" w:hAnsi="Calibri Light" w:cs="Calibri Light"/>
          <w:sz w:val="22"/>
          <w:szCs w:val="22"/>
        </w:rPr>
        <w:t>Government officials reported that they use the RoGS to develop policy, allocate resources, and identify opportunities to improve services.</w:t>
      </w:r>
      <w:r w:rsidR="005307B9">
        <w:rPr>
          <w:rStyle w:val="cf01"/>
        </w:rPr>
        <w:t xml:space="preserve"> </w:t>
      </w:r>
      <w:r w:rsidR="00DE0754">
        <w:t>Despite this,</w:t>
      </w:r>
      <w:r w:rsidR="006B4AD2">
        <w:t xml:space="preserve"> t</w:t>
      </w:r>
      <w:r w:rsidR="006C6975">
        <w:t>he</w:t>
      </w:r>
      <w:r w:rsidRPr="00960D18">
        <w:t xml:space="preserve"> Review found it difficult to locate evidence of where the RoGS had been a key input to reform</w:t>
      </w:r>
      <w:r w:rsidRPr="00960D18" w:rsidDel="00914980">
        <w:t>.</w:t>
      </w:r>
      <w:r w:rsidRPr="00960D18">
        <w:t xml:space="preserve"> </w:t>
      </w:r>
      <w:r w:rsidRPr="00960D18" w:rsidDel="00160B81">
        <w:t>However</w:t>
      </w:r>
      <w:r w:rsidRPr="00960D18">
        <w:t xml:space="preserve">, the RGSP Secretariat </w:t>
      </w:r>
      <w:r w:rsidR="00160B81">
        <w:t>told</w:t>
      </w:r>
      <w:r w:rsidRPr="00960D18">
        <w:t xml:space="preserve"> the Review </w:t>
      </w:r>
      <w:r w:rsidR="00160B81">
        <w:t>that</w:t>
      </w:r>
      <w:r w:rsidR="00160B81" w:rsidRPr="00960D18">
        <w:t xml:space="preserve"> </w:t>
      </w:r>
      <w:r w:rsidRPr="00960D18">
        <w:t>the RoGS has been used to support recent reviews and inquiries, including an in</w:t>
      </w:r>
      <w:r w:rsidR="006F3190">
        <w:noBreakHyphen/>
      </w:r>
      <w:r w:rsidRPr="00960D18">
        <w:t xml:space="preserve">depth clinical review of perinatal deaths in Queensland </w:t>
      </w:r>
      <w:sdt>
        <w:sdtPr>
          <w:id w:val="-2081279275"/>
          <w:citation/>
        </w:sdtPr>
        <w:sdtEndPr/>
        <w:sdtContent>
          <w:r w:rsidRPr="00960D18">
            <w:fldChar w:fldCharType="begin"/>
          </w:r>
          <w:r w:rsidRPr="00960D18">
            <w:instrText xml:space="preserve">CITATION Fen24 \l 3081 </w:instrText>
          </w:r>
          <w:r w:rsidRPr="00960D18">
            <w:fldChar w:fldCharType="separate"/>
          </w:r>
          <w:r w:rsidR="003003B3">
            <w:rPr>
              <w:noProof/>
            </w:rPr>
            <w:t>(Fentiman 2024)</w:t>
          </w:r>
          <w:r w:rsidRPr="00960D18">
            <w:fldChar w:fldCharType="end"/>
          </w:r>
        </w:sdtContent>
      </w:sdt>
      <w:r w:rsidRPr="00960D18">
        <w:t>.</w:t>
      </w:r>
    </w:p>
    <w:p w14:paraId="033A60E3" w14:textId="7B0FF3E1" w:rsidR="00960D18" w:rsidRPr="00960D18" w:rsidRDefault="00960D18" w:rsidP="00960D18">
      <w:r w:rsidRPr="00960D18">
        <w:t xml:space="preserve">As the RoGS does not include analysis or recommendations that link government policy to measurable indicators, the Review considers its </w:t>
      </w:r>
      <w:r w:rsidRPr="00960D18">
        <w:rPr>
          <w:i/>
          <w:iCs/>
        </w:rPr>
        <w:t>current</w:t>
      </w:r>
      <w:r w:rsidRPr="00960D18">
        <w:t xml:space="preserve"> value lie</w:t>
      </w:r>
      <w:r w:rsidR="006B2CE4">
        <w:t>s</w:t>
      </w:r>
      <w:r w:rsidRPr="00960D18">
        <w:t xml:space="preserve"> in providing supporting evidence that highlights the need for change, rather than as a central facilitator of reform. The RoGS may be one of many sources of information </w:t>
      </w:r>
      <w:r w:rsidR="00FB3BA2">
        <w:t>used to</w:t>
      </w:r>
      <w:r w:rsidRPr="00960D18">
        <w:t xml:space="preserve"> identify opportunities for further analysis or areas for reform</w:t>
      </w:r>
      <w:r w:rsidR="00282C03">
        <w:t xml:space="preserve">, </w:t>
      </w:r>
      <w:r w:rsidR="00B37808">
        <w:t xml:space="preserve">particularly </w:t>
      </w:r>
      <w:r w:rsidRPr="00960D18">
        <w:t xml:space="preserve">in the context of low productivity and rising fiscal pressures. </w:t>
      </w:r>
    </w:p>
    <w:p w14:paraId="71A39FA8" w14:textId="3241AC2E" w:rsidR="00960D18" w:rsidRPr="00960D18" w:rsidRDefault="00960D18" w:rsidP="00960D18">
      <w:r w:rsidRPr="00960D18">
        <w:t>The Review considers there is</w:t>
      </w:r>
      <w:r w:rsidR="00911E2D">
        <w:t xml:space="preserve"> a</w:t>
      </w:r>
      <w:r w:rsidRPr="00960D18">
        <w:t xml:space="preserve"> strong case for the RoGS continuing to be produced</w:t>
      </w:r>
      <w:r w:rsidR="00E802D1">
        <w:t xml:space="preserve">. </w:t>
      </w:r>
      <w:r w:rsidR="006D4A76">
        <w:t>It has</w:t>
      </w:r>
      <w:r w:rsidR="00E802D1">
        <w:t xml:space="preserve"> </w:t>
      </w:r>
      <w:r w:rsidRPr="00960D18">
        <w:t>significant support from stakeholders</w:t>
      </w:r>
      <w:r w:rsidR="00257E68">
        <w:t xml:space="preserve"> as an </w:t>
      </w:r>
      <w:r w:rsidRPr="00960D18">
        <w:t>accountability and transparency tool</w:t>
      </w:r>
      <w:r w:rsidR="006D4A76">
        <w:t>,</w:t>
      </w:r>
      <w:r w:rsidRPr="00960D18">
        <w:t xml:space="preserve"> and it</w:t>
      </w:r>
      <w:r w:rsidR="00282C03">
        <w:t xml:space="preserve"> has the</w:t>
      </w:r>
      <w:r w:rsidRPr="00960D18">
        <w:t xml:space="preserve"> potential to support change. The Review finds that the expected benefits to governments and the public outweigh costs of producing the RoGS, including the costs incurred by the </w:t>
      </w:r>
      <w:r w:rsidR="00182050">
        <w:t>PC</w:t>
      </w:r>
      <w:r w:rsidRPr="00960D18">
        <w:t xml:space="preserve"> and State and Territory governments. </w:t>
      </w:r>
      <w:r w:rsidR="000243BB">
        <w:t>That said, t</w:t>
      </w:r>
      <w:r w:rsidRPr="00960D18">
        <w:t xml:space="preserve">here are opportunities for the RoGS to </w:t>
      </w:r>
      <w:r w:rsidR="00435B1A">
        <w:t>be more effective</w:t>
      </w:r>
      <w:r w:rsidRPr="00960D18">
        <w:t xml:space="preserve">, which will be explored further </w:t>
      </w:r>
      <w:r w:rsidR="006721A5">
        <w:t>in this, and subsequent, chapters.</w:t>
      </w:r>
    </w:p>
    <w:p w14:paraId="56AB027A" w14:textId="15E2308F" w:rsidR="00CF32BB" w:rsidRDefault="00D1103A" w:rsidP="00E05E5C">
      <w:pPr>
        <w:pStyle w:val="Heading2"/>
      </w:pPr>
      <w:r>
        <w:t>A trusted tool that needs a boost</w:t>
      </w:r>
    </w:p>
    <w:p w14:paraId="708C34E4" w14:textId="6B1E2B68" w:rsidR="004266E3" w:rsidRPr="004266E3" w:rsidRDefault="004266E3" w:rsidP="004266E3">
      <w:pPr>
        <w:rPr>
          <w:bCs/>
        </w:rPr>
      </w:pPr>
      <w:r w:rsidRPr="004266E3">
        <w:rPr>
          <w:bCs/>
        </w:rPr>
        <w:t xml:space="preserve">Governments have long played a key role in establishing and supporting performance reporting. COAG itself created the RoGS to better understand how government services perform and how well they meet the needs of recipients </w:t>
      </w:r>
      <w:sdt>
        <w:sdtPr>
          <w:rPr>
            <w:bCs/>
          </w:rPr>
          <w:id w:val="1329872820"/>
          <w:citation/>
        </w:sdtPr>
        <w:sdtEndPr/>
        <w:sdtContent>
          <w:r w:rsidRPr="004266E3">
            <w:rPr>
              <w:bCs/>
            </w:rPr>
            <w:fldChar w:fldCharType="begin"/>
          </w:r>
          <w:r w:rsidR="001D498A">
            <w:rPr>
              <w:bCs/>
            </w:rPr>
            <w:instrText xml:space="preserve">CITATION Ste95 \l 3081 </w:instrText>
          </w:r>
          <w:r w:rsidRPr="004266E3">
            <w:rPr>
              <w:bCs/>
            </w:rPr>
            <w:fldChar w:fldCharType="separate"/>
          </w:r>
          <w:r w:rsidR="001D498A">
            <w:rPr>
              <w:noProof/>
            </w:rPr>
            <w:t>(Steering Committee for Review of Commonwealth/State Service Provision 1995)</w:t>
          </w:r>
          <w:r w:rsidRPr="004266E3">
            <w:fldChar w:fldCharType="end"/>
          </w:r>
        </w:sdtContent>
      </w:sdt>
      <w:r w:rsidRPr="004266E3">
        <w:rPr>
          <w:bCs/>
        </w:rPr>
        <w:t>. In the 21</w:t>
      </w:r>
      <w:r w:rsidRPr="004266E3">
        <w:rPr>
          <w:bCs/>
          <w:vertAlign w:val="superscript"/>
        </w:rPr>
        <w:t>st</w:t>
      </w:r>
      <w:r w:rsidRPr="004266E3">
        <w:rPr>
          <w:bCs/>
        </w:rPr>
        <w:t xml:space="preserve"> century, COAG continued to back the RoGS</w:t>
      </w:r>
      <w:r w:rsidR="001125C5">
        <w:rPr>
          <w:bCs/>
        </w:rPr>
        <w:t xml:space="preserve"> by</w:t>
      </w:r>
      <w:r w:rsidRPr="004266E3">
        <w:rPr>
          <w:bCs/>
        </w:rPr>
        <w:t xml:space="preserve"> publicly adopting the recommendations of the 2009 review</w:t>
      </w:r>
      <w:r w:rsidR="00ED7929">
        <w:rPr>
          <w:bCs/>
        </w:rPr>
        <w:t xml:space="preserve">. </w:t>
      </w:r>
      <w:r w:rsidR="00E9236C">
        <w:rPr>
          <w:bCs/>
        </w:rPr>
        <w:t>COAG</w:t>
      </w:r>
      <w:r w:rsidR="00ED7929">
        <w:rPr>
          <w:bCs/>
        </w:rPr>
        <w:t xml:space="preserve"> </w:t>
      </w:r>
      <w:r w:rsidR="00ED7929" w:rsidRPr="004266E3">
        <w:rPr>
          <w:bCs/>
        </w:rPr>
        <w:t>emphasis</w:t>
      </w:r>
      <w:r w:rsidR="00ED7929">
        <w:rPr>
          <w:bCs/>
        </w:rPr>
        <w:t>e</w:t>
      </w:r>
      <w:r w:rsidR="001A7CA3">
        <w:rPr>
          <w:bCs/>
        </w:rPr>
        <w:t>d</w:t>
      </w:r>
      <w:r w:rsidR="00ED7929" w:rsidRPr="004266E3">
        <w:rPr>
          <w:bCs/>
        </w:rPr>
        <w:t xml:space="preserve"> </w:t>
      </w:r>
      <w:r w:rsidR="00E9236C">
        <w:rPr>
          <w:bCs/>
        </w:rPr>
        <w:t>RoGS</w:t>
      </w:r>
      <w:r w:rsidR="00E9236C" w:rsidRPr="004266E3">
        <w:rPr>
          <w:bCs/>
        </w:rPr>
        <w:t xml:space="preserve"> </w:t>
      </w:r>
      <w:r w:rsidRPr="004266E3">
        <w:rPr>
          <w:bCs/>
        </w:rPr>
        <w:t xml:space="preserve">‘important role for policy makers’ and its significance in ‘informing the Australian community about government service delivery performance’ </w:t>
      </w:r>
      <w:sdt>
        <w:sdtPr>
          <w:rPr>
            <w:bCs/>
          </w:rPr>
          <w:id w:val="1483580283"/>
          <w:citation/>
        </w:sdtPr>
        <w:sdtEndPr/>
        <w:sdtContent>
          <w:r w:rsidRPr="004266E3">
            <w:rPr>
              <w:bCs/>
            </w:rPr>
            <w:fldChar w:fldCharType="begin"/>
          </w:r>
          <w:r w:rsidR="0042058A">
            <w:rPr>
              <w:bCs/>
            </w:rPr>
            <w:instrText xml:space="preserve">CITATION Cou09 \l 3081 </w:instrText>
          </w:r>
          <w:r w:rsidRPr="004266E3">
            <w:rPr>
              <w:bCs/>
            </w:rPr>
            <w:fldChar w:fldCharType="separate"/>
          </w:r>
          <w:r w:rsidR="003003B3">
            <w:rPr>
              <w:noProof/>
            </w:rPr>
            <w:t>(COAG 2009)</w:t>
          </w:r>
          <w:r w:rsidRPr="004266E3">
            <w:fldChar w:fldCharType="end"/>
          </w:r>
        </w:sdtContent>
      </w:sdt>
      <w:r w:rsidRPr="004266E3">
        <w:rPr>
          <w:bCs/>
        </w:rPr>
        <w:t xml:space="preserve">. All Australian governments </w:t>
      </w:r>
      <w:r w:rsidR="001A7CA3">
        <w:rPr>
          <w:bCs/>
        </w:rPr>
        <w:t xml:space="preserve">have </w:t>
      </w:r>
      <w:r w:rsidRPr="004266E3">
        <w:rPr>
          <w:bCs/>
        </w:rPr>
        <w:t>commit</w:t>
      </w:r>
      <w:r w:rsidR="001A7CA3">
        <w:rPr>
          <w:bCs/>
        </w:rPr>
        <w:t>ted</w:t>
      </w:r>
      <w:r w:rsidRPr="004266E3">
        <w:rPr>
          <w:bCs/>
        </w:rPr>
        <w:t xml:space="preserve"> to performance reporting </w:t>
      </w:r>
      <w:r w:rsidR="00FD1950">
        <w:rPr>
          <w:bCs/>
        </w:rPr>
        <w:t>through</w:t>
      </w:r>
      <w:r w:rsidRPr="004266E3">
        <w:rPr>
          <w:bCs/>
        </w:rPr>
        <w:t xml:space="preserve"> the IGA FFR</w:t>
      </w:r>
      <w:r w:rsidR="0046130A">
        <w:rPr>
          <w:bCs/>
        </w:rPr>
        <w:t xml:space="preserve">, </w:t>
      </w:r>
      <w:r w:rsidRPr="004266E3">
        <w:rPr>
          <w:bCs/>
        </w:rPr>
        <w:t>which aims for ‘improvements in the quality, efficiency and effectiveness of government service delivery’</w:t>
      </w:r>
      <w:r w:rsidR="0046130A">
        <w:rPr>
          <w:bCs/>
        </w:rPr>
        <w:t xml:space="preserve"> </w:t>
      </w:r>
      <w:sdt>
        <w:sdtPr>
          <w:rPr>
            <w:bCs/>
          </w:rPr>
          <w:id w:val="-49546853"/>
          <w:citation/>
        </w:sdtPr>
        <w:sdtEndPr/>
        <w:sdtContent>
          <w:r w:rsidR="0046130A" w:rsidRPr="004266E3">
            <w:rPr>
              <w:bCs/>
            </w:rPr>
            <w:fldChar w:fldCharType="begin"/>
          </w:r>
          <w:r w:rsidR="009B2E6A">
            <w:rPr>
              <w:bCs/>
            </w:rPr>
            <w:instrText xml:space="preserve">CITATION Int22 \l 3081 </w:instrText>
          </w:r>
          <w:r w:rsidR="0046130A" w:rsidRPr="004266E3">
            <w:rPr>
              <w:bCs/>
            </w:rPr>
            <w:fldChar w:fldCharType="separate"/>
          </w:r>
          <w:r w:rsidR="003003B3">
            <w:rPr>
              <w:noProof/>
            </w:rPr>
            <w:t>(Commonwealth of Australia and Australian States and Territories 2022)</w:t>
          </w:r>
          <w:r w:rsidR="0046130A" w:rsidRPr="004266E3">
            <w:fldChar w:fldCharType="end"/>
          </w:r>
        </w:sdtContent>
      </w:sdt>
      <w:r w:rsidR="0062181D">
        <w:rPr>
          <w:bCs/>
        </w:rPr>
        <w:t>.</w:t>
      </w:r>
      <w:r w:rsidRPr="004266E3">
        <w:rPr>
          <w:bCs/>
        </w:rPr>
        <w:t xml:space="preserve"> </w:t>
      </w:r>
      <w:r w:rsidR="0062181D">
        <w:rPr>
          <w:bCs/>
        </w:rPr>
        <w:t xml:space="preserve">This is </w:t>
      </w:r>
      <w:r w:rsidR="0046130A">
        <w:rPr>
          <w:bCs/>
        </w:rPr>
        <w:t>delivered</w:t>
      </w:r>
      <w:r w:rsidR="0062181D" w:rsidRPr="004266E3">
        <w:rPr>
          <w:bCs/>
        </w:rPr>
        <w:t xml:space="preserve"> </w:t>
      </w:r>
      <w:r w:rsidRPr="004266E3">
        <w:rPr>
          <w:bCs/>
        </w:rPr>
        <w:t xml:space="preserve">by enhancing ‘public accountability through simpler, standardised and more transparent performance reporting by all jurisdictions’ </w:t>
      </w:r>
      <w:sdt>
        <w:sdtPr>
          <w:rPr>
            <w:bCs/>
          </w:rPr>
          <w:id w:val="-1241552209"/>
          <w:citation/>
        </w:sdtPr>
        <w:sdtEndPr/>
        <w:sdtContent>
          <w:r w:rsidRPr="004266E3">
            <w:rPr>
              <w:bCs/>
            </w:rPr>
            <w:fldChar w:fldCharType="begin"/>
          </w:r>
          <w:r w:rsidR="009B2E6A">
            <w:rPr>
              <w:bCs/>
            </w:rPr>
            <w:instrText xml:space="preserve">CITATION Int22 \l 3081 </w:instrText>
          </w:r>
          <w:r w:rsidRPr="004266E3">
            <w:rPr>
              <w:bCs/>
            </w:rPr>
            <w:fldChar w:fldCharType="separate"/>
          </w:r>
          <w:r w:rsidR="003003B3">
            <w:rPr>
              <w:noProof/>
            </w:rPr>
            <w:t>(Commonwealth of Australia and Australian States and Territories 2022)</w:t>
          </w:r>
          <w:r w:rsidRPr="004266E3">
            <w:fldChar w:fldCharType="end"/>
          </w:r>
        </w:sdtContent>
      </w:sdt>
      <w:r w:rsidRPr="004266E3">
        <w:rPr>
          <w:bCs/>
        </w:rPr>
        <w:t>.</w:t>
      </w:r>
    </w:p>
    <w:p w14:paraId="4DD60E35" w14:textId="0C587C5D" w:rsidR="004266E3" w:rsidRPr="004266E3" w:rsidRDefault="00F274E7" w:rsidP="004266E3">
      <w:r>
        <w:t>T</w:t>
      </w:r>
      <w:r w:rsidR="004266E3" w:rsidRPr="004266E3">
        <w:t>he Review considers that a public recommitment from all jurisdictions to the purpose and value of the RoGS would give a boost to the product</w:t>
      </w:r>
      <w:r w:rsidR="003C37EA">
        <w:t xml:space="preserve">. </w:t>
      </w:r>
      <w:r w:rsidR="00E66D08">
        <w:t xml:space="preserve">More generally, </w:t>
      </w:r>
      <w:r w:rsidR="008B5FED">
        <w:t>it</w:t>
      </w:r>
      <w:r w:rsidR="00E66D08">
        <w:t xml:space="preserve"> would</w:t>
      </w:r>
      <w:r w:rsidR="004266E3" w:rsidRPr="004266E3">
        <w:t xml:space="preserve"> reaffirm State, Territory and Commonwealth support for the principles of transparency and accountability. Such a commitment would</w:t>
      </w:r>
      <w:r w:rsidR="008E77BC">
        <w:t xml:space="preserve"> also </w:t>
      </w:r>
      <w:r w:rsidR="0081594D">
        <w:t xml:space="preserve">show the public </w:t>
      </w:r>
      <w:r w:rsidR="0083445E">
        <w:t xml:space="preserve">how </w:t>
      </w:r>
      <w:r w:rsidR="00814529">
        <w:t xml:space="preserve">governments place </w:t>
      </w:r>
      <w:r w:rsidR="007D32DC">
        <w:t xml:space="preserve">significant value </w:t>
      </w:r>
      <w:r w:rsidR="00814529">
        <w:t xml:space="preserve">on </w:t>
      </w:r>
      <w:r w:rsidR="00C26DBE">
        <w:t xml:space="preserve">being </w:t>
      </w:r>
      <w:r w:rsidR="007D32DC">
        <w:t xml:space="preserve">publicly </w:t>
      </w:r>
      <w:r w:rsidR="00C26DBE">
        <w:t xml:space="preserve">accountable </w:t>
      </w:r>
      <w:r w:rsidR="007D32DC">
        <w:t>for the</w:t>
      </w:r>
      <w:r w:rsidR="00C26DBE">
        <w:t xml:space="preserve"> services they deliver</w:t>
      </w:r>
      <w:r w:rsidR="004266E3" w:rsidRPr="004266E3">
        <w:t>. It would also re</w:t>
      </w:r>
      <w:r w:rsidR="00B65D32">
        <w:t>-</w:t>
      </w:r>
      <w:r w:rsidR="004266E3" w:rsidRPr="004266E3">
        <w:t xml:space="preserve">energise Commonwealth, State and Territory officials’ participation through the Steering Committee and working groups. </w:t>
      </w:r>
    </w:p>
    <w:p w14:paraId="2459FCFF" w14:textId="77777777" w:rsidR="00A44907" w:rsidRDefault="004266E3" w:rsidP="004266E3">
      <w:pPr>
        <w:pStyle w:val="Heading3"/>
      </w:pPr>
      <w:r>
        <w:t xml:space="preserve">Continuous improvement </w:t>
      </w:r>
    </w:p>
    <w:p w14:paraId="04B55263" w14:textId="1C2BE29E" w:rsidR="00D1103A" w:rsidRDefault="00A44907" w:rsidP="00A44907">
      <w:pPr>
        <w:pStyle w:val="Heading4"/>
      </w:pPr>
      <w:r>
        <w:t>T</w:t>
      </w:r>
      <w:r w:rsidR="004266E3">
        <w:t>he Steering Committee</w:t>
      </w:r>
      <w:r w:rsidR="00564043">
        <w:t>’s role</w:t>
      </w:r>
    </w:p>
    <w:p w14:paraId="7734EF6F" w14:textId="7CCCB83E" w:rsidR="0014308C" w:rsidRPr="0014308C" w:rsidRDefault="0014308C" w:rsidP="0014308C">
      <w:r w:rsidRPr="0014308C">
        <w:t xml:space="preserve">The Review considers that the ongoing effectiveness of the RoGS relies on active engagement from the Commonwealth, State and Territory governments. This relates both to providing data and implementing improvements to the RoGS, such as developing new data sources </w:t>
      </w:r>
      <w:r w:rsidR="002004F1">
        <w:t>for</w:t>
      </w:r>
      <w:r w:rsidRPr="0014308C">
        <w:t xml:space="preserve"> indicators.</w:t>
      </w:r>
    </w:p>
    <w:p w14:paraId="44D26917" w14:textId="7A284B71" w:rsidR="0014308C" w:rsidRPr="0014308C" w:rsidRDefault="0014308C" w:rsidP="0014308C">
      <w:r w:rsidRPr="0014308C">
        <w:t>To illustrate, in the 2024 RoGS States and Territories were the third most common source of data, after the AIHW and the ABS (</w:t>
      </w:r>
      <w:r w:rsidR="000742FA" w:rsidRPr="000742FA">
        <w:rPr>
          <w:i/>
          <w:iCs/>
        </w:rPr>
        <w:t xml:space="preserve">Figure </w:t>
      </w:r>
      <w:r w:rsidR="000742FA" w:rsidRPr="000742FA">
        <w:rPr>
          <w:i/>
          <w:iCs/>
          <w:noProof/>
        </w:rPr>
        <w:t>9</w:t>
      </w:r>
      <w:r w:rsidRPr="0014308C">
        <w:t xml:space="preserve">). The proportion of data in the RoGS sourced from States and Territories has </w:t>
      </w:r>
      <w:r w:rsidR="00975AD4">
        <w:t>remained steady since</w:t>
      </w:r>
      <w:r w:rsidRPr="0014308C">
        <w:t xml:space="preserve"> </w:t>
      </w:r>
      <w:r w:rsidR="00012424">
        <w:t xml:space="preserve">the </w:t>
      </w:r>
      <w:r w:rsidRPr="0014308C">
        <w:t>last review</w:t>
      </w:r>
      <w:r w:rsidR="00ED5FD1">
        <w:t xml:space="preserve">, but </w:t>
      </w:r>
      <w:r w:rsidR="00A41E41">
        <w:t>has fluctuated significantly between years</w:t>
      </w:r>
      <w:r w:rsidRPr="0014308C">
        <w:t xml:space="preserve"> (</w:t>
      </w:r>
      <w:r w:rsidR="000742FA" w:rsidRPr="000742FA">
        <w:rPr>
          <w:i/>
          <w:iCs/>
        </w:rPr>
        <w:t xml:space="preserve">Figure </w:t>
      </w:r>
      <w:r w:rsidR="000742FA" w:rsidRPr="000742FA">
        <w:rPr>
          <w:i/>
          <w:iCs/>
          <w:noProof/>
        </w:rPr>
        <w:t>10</w:t>
      </w:r>
      <w:r w:rsidRPr="0014308C">
        <w:t xml:space="preserve">). </w:t>
      </w:r>
    </w:p>
    <w:p w14:paraId="10EAB4E5" w14:textId="4C6090CF" w:rsidR="0014308C" w:rsidRPr="0014308C" w:rsidRDefault="0E2927CA" w:rsidP="00D52D6A">
      <w:pPr>
        <w:pStyle w:val="ChartorTableNote"/>
      </w:pPr>
      <w:r>
        <w:rPr>
          <w:noProof/>
        </w:rPr>
        <w:drawing>
          <wp:anchor distT="0" distB="0" distL="114300" distR="114300" simplePos="0" relativeHeight="251658242" behindDoc="0" locked="0" layoutInCell="1" allowOverlap="1" wp14:anchorId="25D263C3" wp14:editId="1C8E0E48">
            <wp:simplePos x="914400" y="1673525"/>
            <wp:positionH relativeFrom="column">
              <wp:align>left</wp:align>
            </wp:positionH>
            <wp:positionV relativeFrom="paragraph">
              <wp:align>top</wp:align>
            </wp:positionV>
            <wp:extent cx="5162552" cy="2819400"/>
            <wp:effectExtent l="0" t="0" r="0" b="0"/>
            <wp:wrapSquare wrapText="bothSides"/>
            <wp:docPr id="2051157940" name="Picture 2051157940" descr="Figure 9 shows how many RoGS data tables reference different data sources. 41 per cent reference the Australian Bureau of Statistics, 31 per cent reference the Australian Institute of Health and Welfare, 25 per cent reference State and Territory Governments,18 per cent reference Australian Government departments, 4 per cent reference the National Centre for Vocational Education Research and the Australian Curriculum, Assessment and Report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57940" name="Picture 2051157940" descr="Figure 9 shows how many RoGS data tables reference different data sources. 41 per cent reference the Australian Bureau of Statistics, 31 per cent reference the Australian Institute of Health and Welfare, 25 per cent reference State and Territory Governments,18 per cent reference Australian Government departments, 4 per cent reference the National Centre for Vocational Education Research and the Australian Curriculum, Assessment and Reporting Authorit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62552" cy="2819400"/>
                    </a:xfrm>
                    <a:prstGeom prst="rect">
                      <a:avLst/>
                    </a:prstGeom>
                  </pic:spPr>
                </pic:pic>
              </a:graphicData>
            </a:graphic>
          </wp:anchor>
        </w:drawing>
      </w:r>
      <w:r w:rsidR="00CE2003">
        <w:br w:type="textWrapping" w:clear="all"/>
      </w:r>
      <w:r>
        <w:br/>
      </w:r>
      <w:bookmarkStart w:id="34" w:name="_Ref178774669"/>
      <w:bookmarkStart w:id="35" w:name="_Ref180485365"/>
      <w:r w:rsidR="0014308C">
        <w:t xml:space="preserve">Figure </w:t>
      </w:r>
      <w:r>
        <w:fldChar w:fldCharType="begin"/>
      </w:r>
      <w:r>
        <w:instrText>SEQ Figure \* ARABIC</w:instrText>
      </w:r>
      <w:r>
        <w:fldChar w:fldCharType="separate"/>
      </w:r>
      <w:r w:rsidR="000742FA">
        <w:rPr>
          <w:noProof/>
        </w:rPr>
        <w:t>9</w:t>
      </w:r>
      <w:r>
        <w:fldChar w:fldCharType="end"/>
      </w:r>
      <w:bookmarkEnd w:id="34"/>
      <w:r w:rsidR="0014308C">
        <w:t xml:space="preserve">: </w:t>
      </w:r>
      <w:r w:rsidR="00C15026">
        <w:t>D</w:t>
      </w:r>
      <w:r w:rsidR="0014308C">
        <w:t xml:space="preserve">ata sources in the </w:t>
      </w:r>
      <w:r w:rsidR="0063458C">
        <w:t>RoGS</w:t>
      </w:r>
      <w:r w:rsidR="006701CC">
        <w:t xml:space="preserve"> including</w:t>
      </w:r>
      <w:r w:rsidR="0014308C">
        <w:t xml:space="preserve"> percentage of data tables </w:t>
      </w:r>
      <w:r w:rsidR="0047789C">
        <w:t>referencing</w:t>
      </w:r>
      <w:r w:rsidR="0014308C">
        <w:t xml:space="preserve"> </w:t>
      </w:r>
      <w:r w:rsidR="006701CC">
        <w:t>that</w:t>
      </w:r>
      <w:r w:rsidR="0014308C">
        <w:t xml:space="preserve"> source</w:t>
      </w:r>
      <w:bookmarkEnd w:id="35"/>
      <w:r w:rsidR="004E58DB">
        <w:t>, 2024</w:t>
      </w:r>
    </w:p>
    <w:p w14:paraId="172A6779" w14:textId="0D9F46FF" w:rsidR="0014308C" w:rsidRPr="0014308C" w:rsidRDefault="0014308C" w:rsidP="00D52D6A">
      <w:pPr>
        <w:pStyle w:val="ChartorTableNote"/>
      </w:pPr>
      <w:r>
        <w:t>Source: Analysis undertaken by the Review</w:t>
      </w:r>
    </w:p>
    <w:p w14:paraId="50D03BDD" w14:textId="0B3154C2" w:rsidR="0014308C" w:rsidRPr="0014308C" w:rsidRDefault="009F7934" w:rsidP="1AA67035">
      <w:r>
        <w:rPr>
          <w:noProof/>
        </w:rPr>
        <w:drawing>
          <wp:inline distT="0" distB="0" distL="0" distR="0" wp14:anchorId="59CE4A25" wp14:editId="3443D68C">
            <wp:extent cx="5191125" cy="2731293"/>
            <wp:effectExtent l="0" t="0" r="0" b="0"/>
            <wp:docPr id="12" name="Picture 12" descr="Figure 10 is a line chart that shows the percentage of tables in the Report on Government Services that used the 6 most common data sources from 2004 to 2024. References to most sources have been relatively stable average since 2004, except Australian Bureau of Statistics source data which increased from around 15 per cent in 2004 to 40 per cen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0 is a line chart that shows the percentage of tables in the Report on Government Services that used the 6 most common data sources from 2004 to 2024. References to most sources have been relatively stable average since 2004, except Australian Bureau of Statistics source data which increased from around 15 per cent in 2004 to 40 per cent in 2024."/>
                    <pic:cNvPicPr/>
                  </pic:nvPicPr>
                  <pic:blipFill>
                    <a:blip r:embed="rId40"/>
                    <a:stretch>
                      <a:fillRect/>
                    </a:stretch>
                  </pic:blipFill>
                  <pic:spPr>
                    <a:xfrm>
                      <a:off x="0" y="0"/>
                      <a:ext cx="5196061" cy="2733890"/>
                    </a:xfrm>
                    <a:prstGeom prst="rect">
                      <a:avLst/>
                    </a:prstGeom>
                  </pic:spPr>
                </pic:pic>
              </a:graphicData>
            </a:graphic>
          </wp:inline>
        </w:drawing>
      </w:r>
    </w:p>
    <w:p w14:paraId="5F955BE2" w14:textId="1C039AE3" w:rsidR="0014308C" w:rsidRPr="0063458C" w:rsidRDefault="0014308C" w:rsidP="00D52D6A">
      <w:pPr>
        <w:pStyle w:val="ChartorTableNote"/>
      </w:pPr>
      <w:bookmarkStart w:id="36" w:name="_Ref180485389"/>
      <w:bookmarkStart w:id="37" w:name="_Ref178774708"/>
      <w:r w:rsidRPr="0063458C">
        <w:t xml:space="preserve">Figure </w:t>
      </w:r>
      <w:r w:rsidRPr="0063458C">
        <w:fldChar w:fldCharType="begin"/>
      </w:r>
      <w:r w:rsidRPr="0063458C">
        <w:instrText>SEQ Figure \* ARABIC</w:instrText>
      </w:r>
      <w:r w:rsidRPr="0063458C">
        <w:fldChar w:fldCharType="separate"/>
      </w:r>
      <w:r w:rsidR="000742FA">
        <w:rPr>
          <w:noProof/>
        </w:rPr>
        <w:t>10</w:t>
      </w:r>
      <w:r w:rsidRPr="0063458C">
        <w:fldChar w:fldCharType="end"/>
      </w:r>
      <w:bookmarkEnd w:id="36"/>
      <w:r w:rsidRPr="0063458C">
        <w:t xml:space="preserve">: </w:t>
      </w:r>
      <w:r w:rsidR="0063458C" w:rsidRPr="0063458C">
        <w:t>RoGS data source</w:t>
      </w:r>
      <w:r w:rsidR="00A74E7E">
        <w:t>s</w:t>
      </w:r>
      <w:r w:rsidR="0063458C" w:rsidRPr="0063458C">
        <w:t xml:space="preserve"> </w:t>
      </w:r>
      <w:bookmarkEnd w:id="37"/>
      <w:r w:rsidR="004401CD">
        <w:t>by</w:t>
      </w:r>
      <w:r w:rsidRPr="0063458C">
        <w:t xml:space="preserve"> percentage of data tables </w:t>
      </w:r>
      <w:r w:rsidR="00385A52">
        <w:t>referencing</w:t>
      </w:r>
      <w:r w:rsidRPr="0063458C">
        <w:t xml:space="preserve"> </w:t>
      </w:r>
      <w:r w:rsidR="009D0C96">
        <w:t>that</w:t>
      </w:r>
      <w:r w:rsidRPr="0063458C">
        <w:t xml:space="preserve"> data source</w:t>
      </w:r>
      <w:r w:rsidR="004E58DB">
        <w:t xml:space="preserve">, </w:t>
      </w:r>
      <w:r w:rsidR="004E58DB" w:rsidRPr="0063458C">
        <w:t>2004</w:t>
      </w:r>
      <w:r w:rsidR="004E58DB">
        <w:t xml:space="preserve"> to </w:t>
      </w:r>
      <w:r w:rsidR="004E58DB" w:rsidRPr="0063458C">
        <w:t>2024</w:t>
      </w:r>
    </w:p>
    <w:p w14:paraId="7FF2DBB1" w14:textId="56C66070" w:rsidR="0014308C" w:rsidRPr="0063458C" w:rsidRDefault="0014308C" w:rsidP="00D52D6A">
      <w:pPr>
        <w:pStyle w:val="ChartorTableNote"/>
      </w:pPr>
      <w:r w:rsidRPr="0063458C">
        <w:t>Source: Analysis undertaken by the Review</w:t>
      </w:r>
    </w:p>
    <w:p w14:paraId="22E31967" w14:textId="37C47B6D" w:rsidR="0014308C" w:rsidRPr="008F218A" w:rsidRDefault="003A6CCB" w:rsidP="008F218A">
      <w:r>
        <w:t xml:space="preserve">The Steering Committee is a valuable </w:t>
      </w:r>
      <w:r w:rsidR="00F26005">
        <w:t>group for cross-government decision</w:t>
      </w:r>
      <w:r w:rsidR="003A69A7">
        <w:t>-</w:t>
      </w:r>
      <w:r w:rsidR="00F26005">
        <w:t>making</w:t>
      </w:r>
      <w:r w:rsidR="00E042F8">
        <w:t xml:space="preserve"> and </w:t>
      </w:r>
      <w:r w:rsidR="00F85AE7">
        <w:t>collaboration</w:t>
      </w:r>
      <w:r w:rsidR="003A69A7">
        <w:t xml:space="preserve">, </w:t>
      </w:r>
      <w:r w:rsidR="003A69A7" w:rsidRPr="008F218A">
        <w:t xml:space="preserve">including to </w:t>
      </w:r>
      <w:r w:rsidR="003F44A7" w:rsidRPr="008F218A">
        <w:t xml:space="preserve">progress </w:t>
      </w:r>
      <w:r w:rsidR="003A69A7" w:rsidRPr="008F218A">
        <w:t>improvements to the RoGS.</w:t>
      </w:r>
      <w:r w:rsidR="003F44A7" w:rsidRPr="008F218A">
        <w:t xml:space="preserve"> </w:t>
      </w:r>
      <w:r w:rsidR="0014308C" w:rsidRPr="008F218A">
        <w:t xml:space="preserve">The 2009 review noted the intention was for Steering Committee members to be ‘sufficiently senior’ to ‘make decisions on behalf of their jurisdictions’ and ‘carry forward decisions in their jurisdiction’ </w:t>
      </w:r>
      <w:sdt>
        <w:sdtPr>
          <w:id w:val="1562209620"/>
          <w:citation/>
        </w:sdtPr>
        <w:sdtEndPr/>
        <w:sdtContent>
          <w:r w:rsidR="0014308C" w:rsidRPr="008F218A">
            <w:fldChar w:fldCharType="begin"/>
          </w:r>
          <w:r w:rsidR="0014308C" w:rsidRPr="008F218A">
            <w:instrText xml:space="preserve">CITATION Rev09 \l 3081 </w:instrText>
          </w:r>
          <w:r w:rsidR="0014308C" w:rsidRPr="008F218A">
            <w:fldChar w:fldCharType="separate"/>
          </w:r>
          <w:r w:rsidR="003003B3" w:rsidRPr="008F218A">
            <w:t>(Senior Officials/Heads of Treasuries Working Group 2009)</w:t>
          </w:r>
          <w:r w:rsidR="0014308C" w:rsidRPr="008F218A">
            <w:fldChar w:fldCharType="end"/>
          </w:r>
        </w:sdtContent>
      </w:sdt>
      <w:r w:rsidR="0014308C" w:rsidRPr="008F218A">
        <w:t xml:space="preserve">. </w:t>
      </w:r>
    </w:p>
    <w:p w14:paraId="41D90925" w14:textId="14DF52AA" w:rsidR="00F676A6" w:rsidRPr="008F218A" w:rsidRDefault="0014308C" w:rsidP="008F218A">
      <w:r w:rsidRPr="008F218A">
        <w:t xml:space="preserve">The Steering Committee holds more than 30 years of experience in measuring government service performance and has worked hard to enhance the RoGS since it was first published. For example, between 2016 and 2017 the Steering Committee conducted a significant streamlining exercise to reduce its overall </w:t>
      </w:r>
      <w:r w:rsidR="008C7E9D" w:rsidRPr="008F218A">
        <w:t>size but</w:t>
      </w:r>
      <w:r w:rsidRPr="008F218A">
        <w:t xml:space="preserve"> retain </w:t>
      </w:r>
      <w:r w:rsidR="001641C1" w:rsidRPr="008F218A">
        <w:t xml:space="preserve">relevant </w:t>
      </w:r>
      <w:r w:rsidRPr="008F218A">
        <w:t>content</w:t>
      </w:r>
      <w:r w:rsidR="001641C1" w:rsidRPr="008F218A">
        <w:t xml:space="preserve"> with the strongest links to performance</w:t>
      </w:r>
      <w:r w:rsidRPr="008F218A">
        <w:t>. This exercise resulted in the removal of low</w:t>
      </w:r>
      <w:r w:rsidR="00B65D32" w:rsidRPr="008F218A">
        <w:t>-</w:t>
      </w:r>
      <w:r w:rsidRPr="008F218A">
        <w:t xml:space="preserve">value indicators, the consolidation of similar indicators, and the reclassification of </w:t>
      </w:r>
      <w:r w:rsidR="00E01CC0" w:rsidRPr="008F218A">
        <w:t xml:space="preserve">other </w:t>
      </w:r>
      <w:r w:rsidRPr="008F218A">
        <w:t xml:space="preserve">indicators to contextual data </w:t>
      </w:r>
      <w:sdt>
        <w:sdtPr>
          <w:id w:val="-1060176719"/>
          <w:citation/>
        </w:sdtPr>
        <w:sdtEndPr/>
        <w:sdtContent>
          <w:r w:rsidRPr="008F218A">
            <w:fldChar w:fldCharType="begin"/>
          </w:r>
          <w:r w:rsidR="00C74E55" w:rsidRPr="008F218A">
            <w:instrText xml:space="preserve">CITATION Sec24 \l 3081 </w:instrText>
          </w:r>
          <w:r w:rsidRPr="008F218A">
            <w:fldChar w:fldCharType="separate"/>
          </w:r>
          <w:r w:rsidR="003003B3" w:rsidRPr="008F218A">
            <w:t>(PC 2024b)</w:t>
          </w:r>
          <w:r w:rsidRPr="008F218A">
            <w:fldChar w:fldCharType="end"/>
          </w:r>
        </w:sdtContent>
      </w:sdt>
      <w:r w:rsidRPr="008F218A">
        <w:t xml:space="preserve">. </w:t>
      </w:r>
    </w:p>
    <w:p w14:paraId="59A43EA4" w14:textId="0258BD79" w:rsidR="001E5E3A" w:rsidRPr="008F218A" w:rsidRDefault="000742FA" w:rsidP="008F218A">
      <w:r w:rsidRPr="0014308C">
        <w:t xml:space="preserve">Figure </w:t>
      </w:r>
      <w:r>
        <w:t>11</w:t>
      </w:r>
      <w:r w:rsidR="0082712A" w:rsidRPr="008F218A">
        <w:t xml:space="preserve"> </w:t>
      </w:r>
      <w:r w:rsidR="00F676A6" w:rsidRPr="008F218A">
        <w:t xml:space="preserve">is </w:t>
      </w:r>
      <w:r w:rsidR="0014308C" w:rsidRPr="008F218A">
        <w:t>an illustration of this process in the ambulance services sector.</w:t>
      </w:r>
    </w:p>
    <w:p w14:paraId="7D5240E2" w14:textId="0486133D" w:rsidR="0014308C" w:rsidRPr="0014308C" w:rsidRDefault="00E550AB" w:rsidP="0014308C">
      <w:r>
        <w:rPr>
          <w:noProof/>
        </w:rPr>
        <w:drawing>
          <wp:inline distT="0" distB="0" distL="0" distR="0" wp14:anchorId="381DA3B8" wp14:editId="5680E7BE">
            <wp:extent cx="5731510" cy="2639695"/>
            <wp:effectExtent l="0" t="0" r="2540" b="8255"/>
            <wp:docPr id="6" name="Picture 6" descr="Figure 11 shows changes in ambulance service indicators between 2016 and 2018. It shows that 8 ambulance indicators on clinical care, expenditure and paramedic availability were removed between 2016 and 2018. 3 indicators on response times were merged into a single indicator. 2 indicators on workforce. An indicator on sentinel events was added. 4 indicators remained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1 shows changes in ambulance service indicators between 2016 and 2018. It shows that 8 ambulance indicators on clinical care, expenditure and paramedic availability were removed between 2016 and 2018. 3 indicators on response times were merged into a single indicator. 2 indicators on workforce. An indicator on sentinel events was added. 4 indicators remained unchanged."/>
                    <pic:cNvPicPr/>
                  </pic:nvPicPr>
                  <pic:blipFill>
                    <a:blip r:embed="rId41"/>
                    <a:stretch>
                      <a:fillRect/>
                    </a:stretch>
                  </pic:blipFill>
                  <pic:spPr>
                    <a:xfrm>
                      <a:off x="0" y="0"/>
                      <a:ext cx="5731510" cy="2639695"/>
                    </a:xfrm>
                    <a:prstGeom prst="rect">
                      <a:avLst/>
                    </a:prstGeom>
                  </pic:spPr>
                </pic:pic>
              </a:graphicData>
            </a:graphic>
          </wp:inline>
        </w:drawing>
      </w:r>
    </w:p>
    <w:p w14:paraId="57900E58" w14:textId="491FC9CE" w:rsidR="0014308C" w:rsidRPr="0014308C" w:rsidRDefault="0014308C" w:rsidP="00D52D6A">
      <w:pPr>
        <w:pStyle w:val="ChartorTableNote"/>
      </w:pPr>
      <w:bookmarkStart w:id="38" w:name="_Ref180485741"/>
      <w:bookmarkStart w:id="39" w:name="_Ref179534325"/>
      <w:r w:rsidRPr="0014308C">
        <w:t xml:space="preserve">Figure </w:t>
      </w:r>
      <w:r w:rsidR="004776DE">
        <w:fldChar w:fldCharType="begin"/>
      </w:r>
      <w:r w:rsidR="004776DE">
        <w:instrText xml:space="preserve"> SEQ Figure \* ARABIC </w:instrText>
      </w:r>
      <w:r w:rsidR="004776DE">
        <w:fldChar w:fldCharType="separate"/>
      </w:r>
      <w:r w:rsidR="000742FA">
        <w:rPr>
          <w:noProof/>
        </w:rPr>
        <w:t>11</w:t>
      </w:r>
      <w:r w:rsidR="004776DE">
        <w:rPr>
          <w:noProof/>
        </w:rPr>
        <w:fldChar w:fldCharType="end"/>
      </w:r>
      <w:bookmarkEnd w:id="38"/>
      <w:r w:rsidR="00894BCE">
        <w:t>:</w:t>
      </w:r>
      <w:r w:rsidRPr="0014308C">
        <w:t xml:space="preserve"> Changes in Ambulance Services indicators between 2016 and </w:t>
      </w:r>
      <w:bookmarkEnd w:id="39"/>
      <w:r w:rsidRPr="0014308C">
        <w:t>2018</w:t>
      </w:r>
    </w:p>
    <w:p w14:paraId="4C8323B4" w14:textId="05E8155D" w:rsidR="0014308C" w:rsidRPr="0014308C" w:rsidRDefault="0014308C" w:rsidP="00D52D6A">
      <w:pPr>
        <w:pStyle w:val="ChartorTableNote"/>
      </w:pPr>
      <w:r w:rsidRPr="0014308C">
        <w:t>Source: Analysis undertaken by the Review</w:t>
      </w:r>
    </w:p>
    <w:p w14:paraId="0A4D5981" w14:textId="0DFAC1C2" w:rsidR="006421AC" w:rsidRDefault="00185EFF" w:rsidP="00EF6357">
      <w:r>
        <w:t>To improve the</w:t>
      </w:r>
      <w:r w:rsidR="0014308C" w:rsidRPr="0014308C">
        <w:t xml:space="preserve"> accessibility of the RoGS, the Steering Committee</w:t>
      </w:r>
      <w:r w:rsidR="006421AC">
        <w:t>:</w:t>
      </w:r>
    </w:p>
    <w:p w14:paraId="73779192" w14:textId="79F89850" w:rsidR="006421AC" w:rsidRDefault="0014308C" w:rsidP="0007574A">
      <w:pPr>
        <w:pStyle w:val="Bullet"/>
        <w:spacing w:line="240" w:lineRule="auto"/>
        <w:ind w:left="357" w:hanging="357"/>
      </w:pPr>
      <w:r w:rsidRPr="0014308C">
        <w:t>oversaw the transition to an online</w:t>
      </w:r>
      <w:r w:rsidR="00B65D32">
        <w:t>-</w:t>
      </w:r>
      <w:r w:rsidRPr="0014308C">
        <w:t>only product with a navigation aid (‘How to find what you need in RoGS’) in 2016</w:t>
      </w:r>
    </w:p>
    <w:p w14:paraId="64105C60" w14:textId="1A33C8AE" w:rsidR="006421AC" w:rsidRDefault="0014308C" w:rsidP="0007574A">
      <w:pPr>
        <w:pStyle w:val="Bullet"/>
        <w:spacing w:line="240" w:lineRule="auto"/>
        <w:ind w:left="357" w:hanging="357"/>
      </w:pPr>
      <w:r w:rsidRPr="0014308C">
        <w:t>introduced interactive Tableau visualisations in 2017</w:t>
      </w:r>
    </w:p>
    <w:p w14:paraId="5DFD9325" w14:textId="6E762B79" w:rsidR="0014308C" w:rsidRPr="0014308C" w:rsidRDefault="006421AC" w:rsidP="0007574A">
      <w:pPr>
        <w:pStyle w:val="Bullet"/>
        <w:spacing w:line="240" w:lineRule="auto"/>
        <w:ind w:left="357" w:hanging="357"/>
      </w:pPr>
      <w:r>
        <w:t>c</w:t>
      </w:r>
      <w:r w:rsidR="0014308C" w:rsidRPr="0014308C">
        <w:t xml:space="preserve">onsolidated downloadable data files </w:t>
      </w:r>
      <w:r w:rsidR="00D86406">
        <w:t xml:space="preserve">(including </w:t>
      </w:r>
      <w:r w:rsidR="007B3B98">
        <w:t xml:space="preserve">in </w:t>
      </w:r>
      <w:r w:rsidR="00D86406">
        <w:t>machine</w:t>
      </w:r>
      <w:r w:rsidR="00B65D32">
        <w:t>-</w:t>
      </w:r>
      <w:r w:rsidR="00D86406">
        <w:t>readable CSV</w:t>
      </w:r>
      <w:r w:rsidR="007B3B98">
        <w:t xml:space="preserve"> format) </w:t>
      </w:r>
      <w:r w:rsidR="0014308C" w:rsidRPr="0014308C">
        <w:t xml:space="preserve">into a single location in 2024 </w:t>
      </w:r>
      <w:sdt>
        <w:sdtPr>
          <w:id w:val="-787821961"/>
          <w:citation/>
        </w:sdtPr>
        <w:sdtEndPr/>
        <w:sdtContent>
          <w:r w:rsidR="0014308C" w:rsidRPr="0014308C">
            <w:fldChar w:fldCharType="begin"/>
          </w:r>
          <w:r w:rsidR="00C74E55">
            <w:instrText xml:space="preserve">CITATION Ste241 \l 3081 </w:instrText>
          </w:r>
          <w:r w:rsidR="0014308C" w:rsidRPr="0014308C">
            <w:fldChar w:fldCharType="separate"/>
          </w:r>
          <w:r w:rsidR="003003B3">
            <w:rPr>
              <w:noProof/>
            </w:rPr>
            <w:t>(Steering Committee 2024a)</w:t>
          </w:r>
          <w:r w:rsidR="0014308C" w:rsidRPr="0014308C">
            <w:fldChar w:fldCharType="end"/>
          </w:r>
        </w:sdtContent>
      </w:sdt>
      <w:r w:rsidR="0014308C" w:rsidRPr="0014308C">
        <w:t>.</w:t>
      </w:r>
    </w:p>
    <w:p w14:paraId="6402DBB7" w14:textId="33728300" w:rsidR="0014308C" w:rsidRPr="0014308C" w:rsidRDefault="00D76960" w:rsidP="00EF6357">
      <w:r>
        <w:t>Implementing i</w:t>
      </w:r>
      <w:r w:rsidR="00C20DE6">
        <w:t>mprovements to the</w:t>
      </w:r>
      <w:r w:rsidR="0014308C" w:rsidRPr="0014308C">
        <w:t xml:space="preserve"> RoGS </w:t>
      </w:r>
      <w:r>
        <w:t>requires</w:t>
      </w:r>
      <w:r w:rsidR="006A129C">
        <w:t xml:space="preserve"> </w:t>
      </w:r>
      <w:r w:rsidR="0014308C" w:rsidRPr="0014308C">
        <w:t xml:space="preserve">Steering Committee consensus and </w:t>
      </w:r>
      <w:r w:rsidR="00486E41">
        <w:t xml:space="preserve">action by </w:t>
      </w:r>
      <w:r w:rsidR="00D175D8">
        <w:t>relevant</w:t>
      </w:r>
      <w:r w:rsidR="0014308C" w:rsidRPr="0014308C">
        <w:t xml:space="preserve"> jurisdictions. Incremental progress and areas of ongoing focus for improvement are not readily visible to the public</w:t>
      </w:r>
      <w:r w:rsidR="000C1B7C">
        <w:t>. S</w:t>
      </w:r>
      <w:r w:rsidR="0014308C" w:rsidRPr="0014308C">
        <w:t xml:space="preserve">takeholders, particularly those outside of government, observed that the continuous improvement process appeared slow. Following a recommendation of the 2009 review, the Steering Committee was required to report to COAG on the RoGS every 3 years. Among other things, these reports tracked improvements in data quality, timeliness and accessibility </w:t>
      </w:r>
      <w:r w:rsidR="00B65D32">
        <w:rPr>
          <w:rFonts w:ascii="Calibri" w:hAnsi="Calibri" w:cs="Calibri"/>
        </w:rPr>
        <w:t>—</w:t>
      </w:r>
      <w:r w:rsidR="0014308C" w:rsidRPr="0014308C">
        <w:t xml:space="preserve"> including the 2016</w:t>
      </w:r>
      <w:r w:rsidR="00CE1949">
        <w:t>–</w:t>
      </w:r>
      <w:r w:rsidR="0014308C" w:rsidRPr="0014308C">
        <w:t xml:space="preserve">2017 streamlining exercise </w:t>
      </w:r>
      <w:r w:rsidR="00B65D32">
        <w:rPr>
          <w:rFonts w:ascii="Calibri" w:hAnsi="Calibri" w:cs="Calibri"/>
        </w:rPr>
        <w:t>—</w:t>
      </w:r>
      <w:r w:rsidR="0014308C" w:rsidRPr="0014308C">
        <w:t xml:space="preserve"> and indicated future improvements </w:t>
      </w:r>
      <w:sdt>
        <w:sdtPr>
          <w:id w:val="-1215510061"/>
          <w:citation/>
        </w:sdtPr>
        <w:sdtEndPr/>
        <w:sdtContent>
          <w:r w:rsidR="0014308C" w:rsidRPr="0014308C">
            <w:fldChar w:fldCharType="begin"/>
          </w:r>
          <w:r w:rsidR="00C74E55">
            <w:instrText xml:space="preserve">CITATION Sec24 \l 3081 </w:instrText>
          </w:r>
          <w:r w:rsidR="0014308C" w:rsidRPr="0014308C">
            <w:fldChar w:fldCharType="separate"/>
          </w:r>
          <w:r w:rsidR="003003B3">
            <w:rPr>
              <w:noProof/>
            </w:rPr>
            <w:t>(PC 2024b)</w:t>
          </w:r>
          <w:r w:rsidR="0014308C" w:rsidRPr="0014308C">
            <w:fldChar w:fldCharType="end"/>
          </w:r>
        </w:sdtContent>
      </w:sdt>
      <w:r w:rsidR="0014308C" w:rsidRPr="0014308C">
        <w:t>. However, these reports were not published, potentially contributing to a perception of stasis in the RoGS among stakeholders.</w:t>
      </w:r>
    </w:p>
    <w:p w14:paraId="2DCA9305" w14:textId="6FA6CA26" w:rsidR="00B60910" w:rsidRDefault="00B60910" w:rsidP="00B60910">
      <w:pPr>
        <w:pStyle w:val="Heading4"/>
      </w:pPr>
      <w:r>
        <w:t>Completeness and comparability</w:t>
      </w:r>
    </w:p>
    <w:p w14:paraId="5CB3DD2F" w14:textId="679F1EF7" w:rsidR="0014308C" w:rsidRPr="0014308C" w:rsidRDefault="0014308C" w:rsidP="00EF6357">
      <w:r w:rsidRPr="0014308C">
        <w:t>Despite the Steering Committee</w:t>
      </w:r>
      <w:r w:rsidR="0032617B">
        <w:t xml:space="preserve">’s </w:t>
      </w:r>
      <w:r w:rsidR="0032617B" w:rsidRPr="0014308C">
        <w:t>efforts</w:t>
      </w:r>
      <w:r w:rsidRPr="0014308C">
        <w:t xml:space="preserve">, </w:t>
      </w:r>
      <w:r w:rsidR="00EB6D56">
        <w:t xml:space="preserve">improving </w:t>
      </w:r>
      <w:r w:rsidRPr="0014308C">
        <w:t xml:space="preserve">the completeness and comparability of indicators remains a </w:t>
      </w:r>
      <w:r w:rsidR="000C1B7C">
        <w:t>challenge</w:t>
      </w:r>
      <w:r w:rsidRPr="0014308C">
        <w:t>. Stakeholders strongly identified a need for greater comparability of data for all service sectors covered by the RoGS</w:t>
      </w:r>
      <w:r w:rsidR="0046582C">
        <w:t>. T</w:t>
      </w:r>
      <w:r w:rsidRPr="0014308C">
        <w:t>he Review’s analysis of RoGS indicator characteristics</w:t>
      </w:r>
      <w:r w:rsidR="0046582C">
        <w:t xml:space="preserve"> supports this view</w:t>
      </w:r>
      <w:r w:rsidRPr="0014308C">
        <w:t>.</w:t>
      </w:r>
    </w:p>
    <w:p w14:paraId="7B394EE1" w14:textId="77777777" w:rsidR="00727426" w:rsidRDefault="0014308C" w:rsidP="00727426">
      <w:r w:rsidRPr="0014308C">
        <w:t>For context, there are 4 categories that describe the status of RoGS indicators:</w:t>
      </w:r>
    </w:p>
    <w:p w14:paraId="609402C6" w14:textId="0C8C8AE6" w:rsidR="00727426" w:rsidRDefault="00727426" w:rsidP="005241B9">
      <w:pPr>
        <w:pStyle w:val="OutlineNumbered1"/>
        <w:numPr>
          <w:ilvl w:val="0"/>
          <w:numId w:val="21"/>
        </w:numPr>
        <w:ind w:left="357" w:hanging="357"/>
      </w:pPr>
      <w:r>
        <w:t>Most recent data for all measures is comparable and complete.</w:t>
      </w:r>
    </w:p>
    <w:p w14:paraId="293B5BA5" w14:textId="59F6EFA5" w:rsidR="0014308C" w:rsidRPr="0014308C" w:rsidRDefault="0014308C" w:rsidP="00893176">
      <w:pPr>
        <w:pStyle w:val="OutlineNumbered1"/>
        <w:ind w:left="357" w:hanging="357"/>
      </w:pPr>
      <w:r w:rsidRPr="0014308C">
        <w:t>Most recent data for at least one measure is comparable and complete</w:t>
      </w:r>
      <w:r w:rsidR="00AE1089">
        <w:t>.</w:t>
      </w:r>
    </w:p>
    <w:p w14:paraId="65378A21" w14:textId="7B7784BE" w:rsidR="0014308C" w:rsidRPr="0014308C" w:rsidRDefault="0014308C" w:rsidP="00893176">
      <w:pPr>
        <w:pStyle w:val="OutlineNumbered1"/>
        <w:ind w:left="357" w:hanging="357"/>
      </w:pPr>
      <w:r w:rsidRPr="0014308C">
        <w:t>Most recent data for all measures is either not comparable and/or not complete</w:t>
      </w:r>
      <w:r w:rsidR="00AE1089">
        <w:t>.</w:t>
      </w:r>
    </w:p>
    <w:p w14:paraId="1EBAEEE1" w14:textId="32C23BEC" w:rsidR="0014308C" w:rsidRPr="0014308C" w:rsidRDefault="0014308C" w:rsidP="00893176">
      <w:pPr>
        <w:pStyle w:val="OutlineNumbered1"/>
        <w:ind w:left="357" w:hanging="357"/>
      </w:pPr>
      <w:r w:rsidRPr="0014308C">
        <w:t xml:space="preserve">No data reported and/or no measures yet developed </w:t>
      </w:r>
      <w:sdt>
        <w:sdtPr>
          <w:id w:val="-593168438"/>
          <w:citation/>
        </w:sdtPr>
        <w:sdtEndPr/>
        <w:sdtContent>
          <w:r w:rsidRPr="0014308C">
            <w:fldChar w:fldCharType="begin"/>
          </w:r>
          <w:r w:rsidR="00C74E55">
            <w:instrText xml:space="preserve">CITATION Ste241 \l 3081 </w:instrText>
          </w:r>
          <w:r w:rsidRPr="0014308C">
            <w:fldChar w:fldCharType="separate"/>
          </w:r>
          <w:r w:rsidR="003003B3">
            <w:rPr>
              <w:noProof/>
            </w:rPr>
            <w:t>(Steering Committee 2024a)</w:t>
          </w:r>
          <w:r w:rsidRPr="0014308C">
            <w:fldChar w:fldCharType="end"/>
          </w:r>
        </w:sdtContent>
      </w:sdt>
      <w:r w:rsidRPr="0014308C">
        <w:t>.</w:t>
      </w:r>
    </w:p>
    <w:p w14:paraId="046AEDE2" w14:textId="679734D3" w:rsidR="0014308C" w:rsidRPr="0014308C" w:rsidRDefault="0014308C" w:rsidP="009A717A">
      <w:r w:rsidRPr="0014308C">
        <w:t xml:space="preserve">For many indicators, their completeness and comparability status changes from year to year. However, for some indicators there are long periods of time where complete and comparable data is not available. In the 2024 RoGS, </w:t>
      </w:r>
      <w:r w:rsidRPr="00605493">
        <w:t>2</w:t>
      </w:r>
      <w:r w:rsidR="67AC6254" w:rsidRPr="00605493">
        <w:t>8</w:t>
      </w:r>
      <w:r w:rsidRPr="0014308C">
        <w:t xml:space="preserve"> indicators have not had fully comparable and complete data for 10</w:t>
      </w:r>
      <w:r w:rsidR="008F7EE9">
        <w:t> </w:t>
      </w:r>
      <w:r w:rsidRPr="0014308C">
        <w:t>years or more, and 8 indicators have had no data reported and/or no measures yet developed for 10</w:t>
      </w:r>
      <w:r w:rsidR="008F7EE9">
        <w:t> </w:t>
      </w:r>
      <w:r w:rsidRPr="0014308C">
        <w:t>years or more, with the community services sector having the most indicators with persistent data limitations (</w:t>
      </w:r>
      <w:r w:rsidR="00D276C7" w:rsidRPr="00D276C7">
        <w:rPr>
          <w:i/>
          <w:iCs/>
        </w:rPr>
        <w:t xml:space="preserve">Table </w:t>
      </w:r>
      <w:r w:rsidR="00D276C7" w:rsidRPr="00D276C7">
        <w:rPr>
          <w:i/>
          <w:iCs/>
          <w:noProof/>
        </w:rPr>
        <w:t>1</w:t>
      </w:r>
      <w:r w:rsidR="00AE1089">
        <w:t xml:space="preserve">). </w:t>
      </w:r>
      <w:r w:rsidR="00AE2CA5">
        <w:t>Four</w:t>
      </w:r>
      <w:r w:rsidRPr="0014308C">
        <w:t xml:space="preserve"> indicators with no data reported and/or no measures yet developed are outcome indicators. </w:t>
      </w:r>
    </w:p>
    <w:tbl>
      <w:tblPr>
        <w:tblStyle w:val="TableGrid"/>
        <w:tblW w:w="0" w:type="auto"/>
        <w:tblLook w:val="04A0" w:firstRow="1" w:lastRow="0" w:firstColumn="1" w:lastColumn="0" w:noHBand="0" w:noVBand="1"/>
        <w:tblCaption w:val="Table 1"/>
        <w:tblDescription w:val="Table 1 shows that there are a total of 24 indicators with no data for more than 5 years, and 38 indicators with incomplete or non-comparable over the same period. The community services sector has the most indicators with data issues: 4 indicators with no data and 12 indicators with incomplete or non-comparable for more than 10 years."/>
      </w:tblPr>
      <w:tblGrid>
        <w:gridCol w:w="2410"/>
        <w:gridCol w:w="1559"/>
        <w:gridCol w:w="1701"/>
        <w:gridCol w:w="1701"/>
        <w:gridCol w:w="1655"/>
      </w:tblGrid>
      <w:tr w:rsidR="0014308C" w:rsidRPr="0014308C" w14:paraId="06C17AF7" w14:textId="77777777">
        <w:trPr>
          <w:cnfStyle w:val="100000000000" w:firstRow="1" w:lastRow="0" w:firstColumn="0" w:lastColumn="0" w:oddVBand="0" w:evenVBand="0" w:oddHBand="0" w:evenHBand="0" w:firstRowFirstColumn="0" w:firstRowLastColumn="0" w:lastRowFirstColumn="0" w:lastRowLastColumn="0"/>
        </w:trPr>
        <w:tc>
          <w:tcPr>
            <w:tcW w:w="2410" w:type="dxa"/>
          </w:tcPr>
          <w:p w14:paraId="153496CD" w14:textId="77777777" w:rsidR="0014308C" w:rsidRPr="0014308C" w:rsidRDefault="0014308C" w:rsidP="000A0A27">
            <w:pPr>
              <w:pStyle w:val="TableMainHeading"/>
            </w:pPr>
          </w:p>
        </w:tc>
        <w:tc>
          <w:tcPr>
            <w:tcW w:w="3260" w:type="dxa"/>
            <w:gridSpan w:val="2"/>
          </w:tcPr>
          <w:p w14:paraId="1D89E395" w14:textId="77777777" w:rsidR="0014308C" w:rsidRPr="0014308C" w:rsidRDefault="0014308C" w:rsidP="000A0A27">
            <w:pPr>
              <w:pStyle w:val="TableMainHeading"/>
            </w:pPr>
            <w:r w:rsidRPr="0014308C">
              <w:t>No data reported and/or no measures yet developed</w:t>
            </w:r>
          </w:p>
        </w:tc>
        <w:tc>
          <w:tcPr>
            <w:tcW w:w="3356" w:type="dxa"/>
            <w:gridSpan w:val="2"/>
          </w:tcPr>
          <w:p w14:paraId="4DEC8BF1" w14:textId="77777777" w:rsidR="0014308C" w:rsidRPr="0014308C" w:rsidRDefault="0014308C" w:rsidP="000A0A27">
            <w:pPr>
              <w:pStyle w:val="TableMainHeading"/>
            </w:pPr>
            <w:r w:rsidRPr="0014308C">
              <w:t>Not all measures complete and comparable</w:t>
            </w:r>
          </w:p>
        </w:tc>
      </w:tr>
      <w:tr w:rsidR="0014308C" w:rsidRPr="0014308C" w14:paraId="0ACEA183" w14:textId="77777777">
        <w:tc>
          <w:tcPr>
            <w:tcW w:w="2410" w:type="dxa"/>
            <w:shd w:val="clear" w:color="auto" w:fill="EEEEEE" w:themeFill="background2"/>
          </w:tcPr>
          <w:p w14:paraId="4797041C" w14:textId="77777777" w:rsidR="0014308C" w:rsidRPr="0014308C" w:rsidRDefault="0014308C" w:rsidP="000A0A27">
            <w:pPr>
              <w:pStyle w:val="TableSecondHeading"/>
            </w:pPr>
            <w:r w:rsidRPr="0014308C">
              <w:t>Service sector</w:t>
            </w:r>
          </w:p>
        </w:tc>
        <w:tc>
          <w:tcPr>
            <w:tcW w:w="1559" w:type="dxa"/>
            <w:shd w:val="clear" w:color="auto" w:fill="EEEEEE" w:themeFill="background2"/>
          </w:tcPr>
          <w:p w14:paraId="078590B9" w14:textId="77777777" w:rsidR="0014308C" w:rsidRPr="0014308C" w:rsidRDefault="0014308C" w:rsidP="000A0A27">
            <w:pPr>
              <w:pStyle w:val="TableSecondHeading"/>
            </w:pPr>
            <w:r w:rsidRPr="0014308C">
              <w:t>5+ years</w:t>
            </w:r>
          </w:p>
        </w:tc>
        <w:tc>
          <w:tcPr>
            <w:tcW w:w="1701" w:type="dxa"/>
            <w:shd w:val="clear" w:color="auto" w:fill="EEEEEE" w:themeFill="background2"/>
          </w:tcPr>
          <w:p w14:paraId="2A0DC7EC" w14:textId="77777777" w:rsidR="0014308C" w:rsidRPr="0014308C" w:rsidRDefault="0014308C" w:rsidP="000A0A27">
            <w:pPr>
              <w:pStyle w:val="TableSecondHeading"/>
            </w:pPr>
            <w:r w:rsidRPr="0014308C">
              <w:t>10+ years</w:t>
            </w:r>
          </w:p>
        </w:tc>
        <w:tc>
          <w:tcPr>
            <w:tcW w:w="1701" w:type="dxa"/>
            <w:shd w:val="clear" w:color="auto" w:fill="EEEEEE" w:themeFill="background2"/>
          </w:tcPr>
          <w:p w14:paraId="6DBB83D8" w14:textId="77777777" w:rsidR="0014308C" w:rsidRPr="0014308C" w:rsidRDefault="0014308C" w:rsidP="000A0A27">
            <w:pPr>
              <w:pStyle w:val="TableSecondHeading"/>
            </w:pPr>
            <w:r w:rsidRPr="0014308C">
              <w:t>5+ years</w:t>
            </w:r>
          </w:p>
        </w:tc>
        <w:tc>
          <w:tcPr>
            <w:tcW w:w="1655" w:type="dxa"/>
            <w:shd w:val="clear" w:color="auto" w:fill="EEEEEE" w:themeFill="background2"/>
          </w:tcPr>
          <w:p w14:paraId="4DBDF0E0" w14:textId="77777777" w:rsidR="0014308C" w:rsidRPr="0014308C" w:rsidRDefault="0014308C" w:rsidP="000A0A27">
            <w:pPr>
              <w:pStyle w:val="TableSecondHeading"/>
            </w:pPr>
            <w:r w:rsidRPr="0014308C">
              <w:t>10+ years</w:t>
            </w:r>
          </w:p>
        </w:tc>
      </w:tr>
      <w:tr w:rsidR="0014308C" w:rsidRPr="0014308C" w14:paraId="727EED97" w14:textId="77777777">
        <w:tc>
          <w:tcPr>
            <w:tcW w:w="2410" w:type="dxa"/>
          </w:tcPr>
          <w:p w14:paraId="3416D3CA" w14:textId="77777777" w:rsidR="0014308C" w:rsidRPr="0014308C" w:rsidRDefault="0014308C" w:rsidP="000A0A27">
            <w:pPr>
              <w:pStyle w:val="TableTextLeft"/>
            </w:pPr>
            <w:r w:rsidRPr="0014308C">
              <w:t>Community services</w:t>
            </w:r>
          </w:p>
        </w:tc>
        <w:tc>
          <w:tcPr>
            <w:tcW w:w="1559" w:type="dxa"/>
          </w:tcPr>
          <w:p w14:paraId="6AC7C4DF" w14:textId="77777777" w:rsidR="0014308C" w:rsidRPr="0014308C" w:rsidRDefault="0014308C" w:rsidP="000A0A27">
            <w:pPr>
              <w:pStyle w:val="TableTextRight"/>
            </w:pPr>
            <w:r w:rsidRPr="0014308C">
              <w:t>12</w:t>
            </w:r>
          </w:p>
        </w:tc>
        <w:tc>
          <w:tcPr>
            <w:tcW w:w="1701" w:type="dxa"/>
          </w:tcPr>
          <w:p w14:paraId="0CD88CB6" w14:textId="77777777" w:rsidR="0014308C" w:rsidRPr="0014308C" w:rsidRDefault="0014308C" w:rsidP="000A0A27">
            <w:pPr>
              <w:pStyle w:val="TableTextRight"/>
            </w:pPr>
            <w:r w:rsidRPr="0014308C">
              <w:t>4</w:t>
            </w:r>
          </w:p>
        </w:tc>
        <w:tc>
          <w:tcPr>
            <w:tcW w:w="1701" w:type="dxa"/>
          </w:tcPr>
          <w:p w14:paraId="6A9AD298" w14:textId="77777777" w:rsidR="0014308C" w:rsidRPr="0014308C" w:rsidRDefault="0014308C" w:rsidP="000A0A27">
            <w:pPr>
              <w:pStyle w:val="TableTextRight"/>
            </w:pPr>
            <w:r w:rsidRPr="0014308C">
              <w:t>18</w:t>
            </w:r>
          </w:p>
        </w:tc>
        <w:tc>
          <w:tcPr>
            <w:tcW w:w="1655" w:type="dxa"/>
          </w:tcPr>
          <w:p w14:paraId="508DFF10" w14:textId="77777777" w:rsidR="0014308C" w:rsidRPr="0014308C" w:rsidRDefault="0014308C" w:rsidP="000A0A27">
            <w:pPr>
              <w:pStyle w:val="TableTextRight"/>
            </w:pPr>
            <w:r w:rsidRPr="0014308C">
              <w:t>12</w:t>
            </w:r>
          </w:p>
        </w:tc>
      </w:tr>
      <w:tr w:rsidR="0014308C" w:rsidRPr="0014308C" w14:paraId="78F7711A" w14:textId="77777777">
        <w:tc>
          <w:tcPr>
            <w:tcW w:w="2410" w:type="dxa"/>
          </w:tcPr>
          <w:p w14:paraId="0A6D9F76" w14:textId="77777777" w:rsidR="0014308C" w:rsidRPr="0014308C" w:rsidRDefault="0014308C" w:rsidP="000A0A27">
            <w:pPr>
              <w:pStyle w:val="TableTextLeft"/>
            </w:pPr>
            <w:r w:rsidRPr="0014308C">
              <w:t>Early childhood, education &amp; training</w:t>
            </w:r>
          </w:p>
        </w:tc>
        <w:tc>
          <w:tcPr>
            <w:tcW w:w="1559" w:type="dxa"/>
          </w:tcPr>
          <w:p w14:paraId="2A8B3109" w14:textId="77777777" w:rsidR="0014308C" w:rsidRPr="0014308C" w:rsidRDefault="0014308C" w:rsidP="000A0A27">
            <w:pPr>
              <w:pStyle w:val="TableTextRight"/>
            </w:pPr>
            <w:r w:rsidRPr="0014308C">
              <w:t>1</w:t>
            </w:r>
          </w:p>
        </w:tc>
        <w:tc>
          <w:tcPr>
            <w:tcW w:w="1701" w:type="dxa"/>
          </w:tcPr>
          <w:p w14:paraId="38E4DE77" w14:textId="0D8B3DEF" w:rsidR="0014308C" w:rsidRPr="0014308C" w:rsidRDefault="00CE1949" w:rsidP="000A0A27">
            <w:pPr>
              <w:pStyle w:val="TableTextRight"/>
            </w:pPr>
            <w:r>
              <w:t>–</w:t>
            </w:r>
          </w:p>
        </w:tc>
        <w:tc>
          <w:tcPr>
            <w:tcW w:w="1701" w:type="dxa"/>
          </w:tcPr>
          <w:p w14:paraId="3F375DE9" w14:textId="77777777" w:rsidR="0014308C" w:rsidRPr="0014308C" w:rsidRDefault="0014308C" w:rsidP="000A0A27">
            <w:pPr>
              <w:pStyle w:val="TableTextRight"/>
            </w:pPr>
            <w:r w:rsidRPr="0014308C">
              <w:t>1</w:t>
            </w:r>
          </w:p>
        </w:tc>
        <w:tc>
          <w:tcPr>
            <w:tcW w:w="1655" w:type="dxa"/>
          </w:tcPr>
          <w:p w14:paraId="4A1A95F3" w14:textId="356343C1" w:rsidR="0014308C" w:rsidRPr="0014308C" w:rsidRDefault="350513F0" w:rsidP="000A0A27">
            <w:pPr>
              <w:pStyle w:val="TableTextRight"/>
              <w:rPr>
                <w:highlight w:val="yellow"/>
              </w:rPr>
            </w:pPr>
            <w:r w:rsidRPr="0046582C">
              <w:t>1</w:t>
            </w:r>
          </w:p>
        </w:tc>
      </w:tr>
      <w:tr w:rsidR="0014308C" w:rsidRPr="0014308C" w14:paraId="68F40FA0" w14:textId="77777777">
        <w:tc>
          <w:tcPr>
            <w:tcW w:w="2410" w:type="dxa"/>
          </w:tcPr>
          <w:p w14:paraId="47BAECE1" w14:textId="77777777" w:rsidR="0014308C" w:rsidRPr="0014308C" w:rsidRDefault="0014308C" w:rsidP="000A0A27">
            <w:pPr>
              <w:pStyle w:val="TableTextLeft"/>
            </w:pPr>
            <w:r w:rsidRPr="0014308C">
              <w:t>Emergency management</w:t>
            </w:r>
          </w:p>
        </w:tc>
        <w:tc>
          <w:tcPr>
            <w:tcW w:w="1559" w:type="dxa"/>
          </w:tcPr>
          <w:p w14:paraId="691E4615" w14:textId="1FB4FFC5" w:rsidR="0014308C" w:rsidRPr="0014308C" w:rsidRDefault="00CE1949" w:rsidP="000A0A27">
            <w:pPr>
              <w:pStyle w:val="TableTextRight"/>
            </w:pPr>
            <w:r>
              <w:t>–</w:t>
            </w:r>
          </w:p>
        </w:tc>
        <w:tc>
          <w:tcPr>
            <w:tcW w:w="1701" w:type="dxa"/>
          </w:tcPr>
          <w:p w14:paraId="4973855F" w14:textId="0587D4AC" w:rsidR="0014308C" w:rsidRPr="0014308C" w:rsidRDefault="00CE1949" w:rsidP="000A0A27">
            <w:pPr>
              <w:pStyle w:val="TableTextRight"/>
            </w:pPr>
            <w:r>
              <w:t>–</w:t>
            </w:r>
          </w:p>
        </w:tc>
        <w:tc>
          <w:tcPr>
            <w:tcW w:w="1701" w:type="dxa"/>
          </w:tcPr>
          <w:p w14:paraId="6FD05D02" w14:textId="77777777" w:rsidR="0014308C" w:rsidRPr="0014308C" w:rsidRDefault="0014308C" w:rsidP="000A0A27">
            <w:pPr>
              <w:pStyle w:val="TableTextRight"/>
            </w:pPr>
            <w:r w:rsidRPr="0014308C">
              <w:t>3</w:t>
            </w:r>
          </w:p>
        </w:tc>
        <w:tc>
          <w:tcPr>
            <w:tcW w:w="1655" w:type="dxa"/>
          </w:tcPr>
          <w:p w14:paraId="278D0B37" w14:textId="77777777" w:rsidR="0014308C" w:rsidRPr="0014308C" w:rsidRDefault="0014308C" w:rsidP="000A0A27">
            <w:pPr>
              <w:pStyle w:val="TableTextRight"/>
            </w:pPr>
            <w:r w:rsidRPr="0014308C">
              <w:t>1</w:t>
            </w:r>
          </w:p>
        </w:tc>
      </w:tr>
      <w:tr w:rsidR="0014308C" w:rsidRPr="0014308C" w14:paraId="4CD22434" w14:textId="77777777">
        <w:tc>
          <w:tcPr>
            <w:tcW w:w="2410" w:type="dxa"/>
          </w:tcPr>
          <w:p w14:paraId="76085460" w14:textId="77777777" w:rsidR="0014308C" w:rsidRPr="0014308C" w:rsidRDefault="0014308C" w:rsidP="000A0A27">
            <w:pPr>
              <w:pStyle w:val="TableTextLeft"/>
            </w:pPr>
            <w:r w:rsidRPr="0014308C">
              <w:t>Health</w:t>
            </w:r>
          </w:p>
        </w:tc>
        <w:tc>
          <w:tcPr>
            <w:tcW w:w="1559" w:type="dxa"/>
          </w:tcPr>
          <w:p w14:paraId="3899CC41" w14:textId="77777777" w:rsidR="0014308C" w:rsidRPr="0014308C" w:rsidRDefault="0014308C" w:rsidP="000A0A27">
            <w:pPr>
              <w:pStyle w:val="TableTextRight"/>
            </w:pPr>
            <w:r w:rsidRPr="0014308C">
              <w:t>5</w:t>
            </w:r>
          </w:p>
        </w:tc>
        <w:tc>
          <w:tcPr>
            <w:tcW w:w="1701" w:type="dxa"/>
          </w:tcPr>
          <w:p w14:paraId="7F3DAA4F" w14:textId="77777777" w:rsidR="0014308C" w:rsidRPr="0014308C" w:rsidRDefault="0014308C" w:rsidP="000A0A27">
            <w:pPr>
              <w:pStyle w:val="TableTextRight"/>
            </w:pPr>
            <w:r w:rsidRPr="0014308C">
              <w:t>2</w:t>
            </w:r>
          </w:p>
        </w:tc>
        <w:tc>
          <w:tcPr>
            <w:tcW w:w="1701" w:type="dxa"/>
          </w:tcPr>
          <w:p w14:paraId="7BBB8A96" w14:textId="77777777" w:rsidR="0014308C" w:rsidRPr="0014308C" w:rsidRDefault="0014308C" w:rsidP="000A0A27">
            <w:pPr>
              <w:pStyle w:val="TableTextRight"/>
            </w:pPr>
            <w:r w:rsidRPr="0014308C">
              <w:t>3</w:t>
            </w:r>
          </w:p>
        </w:tc>
        <w:tc>
          <w:tcPr>
            <w:tcW w:w="1655" w:type="dxa"/>
          </w:tcPr>
          <w:p w14:paraId="64C0A04A" w14:textId="77777777" w:rsidR="0014308C" w:rsidRPr="0014308C" w:rsidRDefault="0014308C" w:rsidP="000A0A27">
            <w:pPr>
              <w:pStyle w:val="TableTextRight"/>
            </w:pPr>
            <w:r w:rsidRPr="0014308C">
              <w:t>2</w:t>
            </w:r>
          </w:p>
        </w:tc>
      </w:tr>
      <w:tr w:rsidR="0014308C" w:rsidRPr="0014308C" w14:paraId="771D2278" w14:textId="77777777">
        <w:tc>
          <w:tcPr>
            <w:tcW w:w="2410" w:type="dxa"/>
          </w:tcPr>
          <w:p w14:paraId="34C3B941" w14:textId="77777777" w:rsidR="0014308C" w:rsidRPr="0014308C" w:rsidRDefault="0014308C" w:rsidP="000A0A27">
            <w:pPr>
              <w:pStyle w:val="TableTextLeft"/>
            </w:pPr>
            <w:r w:rsidRPr="0014308C">
              <w:t>Housing &amp; homelessness</w:t>
            </w:r>
          </w:p>
        </w:tc>
        <w:tc>
          <w:tcPr>
            <w:tcW w:w="1559" w:type="dxa"/>
          </w:tcPr>
          <w:p w14:paraId="53A6CEB3" w14:textId="77777777" w:rsidR="0014308C" w:rsidRPr="0014308C" w:rsidRDefault="0014308C" w:rsidP="000A0A27">
            <w:pPr>
              <w:pStyle w:val="TableTextRight"/>
            </w:pPr>
            <w:r w:rsidRPr="0014308C">
              <w:t>3</w:t>
            </w:r>
          </w:p>
        </w:tc>
        <w:tc>
          <w:tcPr>
            <w:tcW w:w="1701" w:type="dxa"/>
          </w:tcPr>
          <w:p w14:paraId="41548BEF" w14:textId="77777777" w:rsidR="0014308C" w:rsidRPr="0014308C" w:rsidRDefault="0014308C" w:rsidP="000A0A27">
            <w:pPr>
              <w:pStyle w:val="TableTextRight"/>
            </w:pPr>
            <w:r w:rsidRPr="0014308C">
              <w:t>1</w:t>
            </w:r>
          </w:p>
        </w:tc>
        <w:tc>
          <w:tcPr>
            <w:tcW w:w="1701" w:type="dxa"/>
          </w:tcPr>
          <w:p w14:paraId="638920AC" w14:textId="77777777" w:rsidR="0014308C" w:rsidRPr="0014308C" w:rsidRDefault="0014308C" w:rsidP="000A0A27">
            <w:pPr>
              <w:pStyle w:val="TableTextRight"/>
            </w:pPr>
            <w:r w:rsidRPr="0014308C">
              <w:t>9</w:t>
            </w:r>
          </w:p>
        </w:tc>
        <w:tc>
          <w:tcPr>
            <w:tcW w:w="1655" w:type="dxa"/>
          </w:tcPr>
          <w:p w14:paraId="1EB73FF3" w14:textId="77777777" w:rsidR="0014308C" w:rsidRPr="0014308C" w:rsidRDefault="0014308C" w:rsidP="000A0A27">
            <w:pPr>
              <w:pStyle w:val="TableTextRight"/>
            </w:pPr>
            <w:r w:rsidRPr="0014308C">
              <w:t>8</w:t>
            </w:r>
          </w:p>
        </w:tc>
      </w:tr>
      <w:tr w:rsidR="0014308C" w:rsidRPr="0014308C" w14:paraId="45908461" w14:textId="77777777">
        <w:tc>
          <w:tcPr>
            <w:tcW w:w="2410" w:type="dxa"/>
          </w:tcPr>
          <w:p w14:paraId="33C04397" w14:textId="77777777" w:rsidR="0014308C" w:rsidRPr="0014308C" w:rsidRDefault="0014308C" w:rsidP="000A0A27">
            <w:pPr>
              <w:pStyle w:val="TableTextLeft"/>
            </w:pPr>
            <w:r w:rsidRPr="0014308C">
              <w:t>Justice</w:t>
            </w:r>
          </w:p>
        </w:tc>
        <w:tc>
          <w:tcPr>
            <w:tcW w:w="1559" w:type="dxa"/>
          </w:tcPr>
          <w:p w14:paraId="71EDC434" w14:textId="77777777" w:rsidR="0014308C" w:rsidRPr="0014308C" w:rsidRDefault="0014308C" w:rsidP="000A0A27">
            <w:pPr>
              <w:pStyle w:val="TableTextRight"/>
            </w:pPr>
            <w:r w:rsidRPr="0014308C">
              <w:t>3</w:t>
            </w:r>
          </w:p>
        </w:tc>
        <w:tc>
          <w:tcPr>
            <w:tcW w:w="1701" w:type="dxa"/>
          </w:tcPr>
          <w:p w14:paraId="498D029D" w14:textId="77777777" w:rsidR="0014308C" w:rsidRPr="0014308C" w:rsidRDefault="0014308C" w:rsidP="000A0A27">
            <w:pPr>
              <w:pStyle w:val="TableTextRight"/>
            </w:pPr>
            <w:r w:rsidRPr="0014308C">
              <w:t>1</w:t>
            </w:r>
          </w:p>
        </w:tc>
        <w:tc>
          <w:tcPr>
            <w:tcW w:w="1701" w:type="dxa"/>
          </w:tcPr>
          <w:p w14:paraId="41AA2776" w14:textId="77777777" w:rsidR="0014308C" w:rsidRPr="0014308C" w:rsidRDefault="0014308C" w:rsidP="000A0A27">
            <w:pPr>
              <w:pStyle w:val="TableTextRight"/>
            </w:pPr>
            <w:r w:rsidRPr="0014308C">
              <w:t>4</w:t>
            </w:r>
          </w:p>
        </w:tc>
        <w:tc>
          <w:tcPr>
            <w:tcW w:w="1655" w:type="dxa"/>
          </w:tcPr>
          <w:p w14:paraId="37B8BF52" w14:textId="77777777" w:rsidR="0014308C" w:rsidRPr="0014308C" w:rsidRDefault="0014308C" w:rsidP="000A0A27">
            <w:pPr>
              <w:pStyle w:val="TableTextRight"/>
            </w:pPr>
            <w:r w:rsidRPr="0014308C">
              <w:t>4</w:t>
            </w:r>
          </w:p>
        </w:tc>
      </w:tr>
      <w:tr w:rsidR="0014308C" w:rsidRPr="0014308C" w14:paraId="35897956" w14:textId="77777777">
        <w:tc>
          <w:tcPr>
            <w:tcW w:w="2410" w:type="dxa"/>
            <w:shd w:val="clear" w:color="auto" w:fill="EEEEEE" w:themeFill="background2"/>
          </w:tcPr>
          <w:p w14:paraId="5433640A" w14:textId="77777777" w:rsidR="0014308C" w:rsidRPr="000A0A27" w:rsidRDefault="0014308C" w:rsidP="000A0A27">
            <w:pPr>
              <w:pStyle w:val="TableTextLeft"/>
              <w:rPr>
                <w:rStyle w:val="Strong"/>
              </w:rPr>
            </w:pPr>
            <w:r w:rsidRPr="000A0A27">
              <w:rPr>
                <w:rStyle w:val="Strong"/>
              </w:rPr>
              <w:t>Total</w:t>
            </w:r>
          </w:p>
        </w:tc>
        <w:tc>
          <w:tcPr>
            <w:tcW w:w="1559" w:type="dxa"/>
            <w:shd w:val="clear" w:color="auto" w:fill="EEEEEE" w:themeFill="background2"/>
          </w:tcPr>
          <w:p w14:paraId="5291B590" w14:textId="77777777" w:rsidR="0014308C" w:rsidRPr="000A0A27" w:rsidRDefault="0014308C" w:rsidP="000A0A27">
            <w:pPr>
              <w:pStyle w:val="TableTextRight"/>
              <w:rPr>
                <w:rStyle w:val="Strong"/>
              </w:rPr>
            </w:pPr>
            <w:r w:rsidRPr="000A0A27">
              <w:rPr>
                <w:rStyle w:val="Strong"/>
              </w:rPr>
              <w:t>24</w:t>
            </w:r>
          </w:p>
        </w:tc>
        <w:tc>
          <w:tcPr>
            <w:tcW w:w="1701" w:type="dxa"/>
            <w:shd w:val="clear" w:color="auto" w:fill="EEEEEE" w:themeFill="background2"/>
          </w:tcPr>
          <w:p w14:paraId="3AEF3EAA" w14:textId="77777777" w:rsidR="0014308C" w:rsidRPr="000A0A27" w:rsidRDefault="0014308C" w:rsidP="000A0A27">
            <w:pPr>
              <w:pStyle w:val="TableTextRight"/>
              <w:rPr>
                <w:rStyle w:val="Strong"/>
              </w:rPr>
            </w:pPr>
            <w:r w:rsidRPr="000A0A27">
              <w:rPr>
                <w:rStyle w:val="Strong"/>
              </w:rPr>
              <w:t>8</w:t>
            </w:r>
          </w:p>
        </w:tc>
        <w:tc>
          <w:tcPr>
            <w:tcW w:w="1701" w:type="dxa"/>
            <w:shd w:val="clear" w:color="auto" w:fill="EEEEEE" w:themeFill="background2"/>
          </w:tcPr>
          <w:p w14:paraId="0743C213" w14:textId="77777777" w:rsidR="0014308C" w:rsidRPr="000A0A27" w:rsidRDefault="0014308C" w:rsidP="000A0A27">
            <w:pPr>
              <w:pStyle w:val="TableTextRight"/>
              <w:rPr>
                <w:rStyle w:val="Strong"/>
              </w:rPr>
            </w:pPr>
            <w:r w:rsidRPr="000A0A27">
              <w:rPr>
                <w:rStyle w:val="Strong"/>
              </w:rPr>
              <w:t>38</w:t>
            </w:r>
          </w:p>
        </w:tc>
        <w:tc>
          <w:tcPr>
            <w:tcW w:w="1655" w:type="dxa"/>
            <w:shd w:val="clear" w:color="auto" w:fill="EEEEEE" w:themeFill="background2"/>
          </w:tcPr>
          <w:p w14:paraId="4D78FCDD" w14:textId="16B9A07B" w:rsidR="0014308C" w:rsidRPr="000A0A27" w:rsidRDefault="0014308C" w:rsidP="000A0A27">
            <w:pPr>
              <w:pStyle w:val="TableTextRight"/>
              <w:rPr>
                <w:rStyle w:val="Strong"/>
                <w:highlight w:val="yellow"/>
              </w:rPr>
            </w:pPr>
            <w:r w:rsidRPr="000A0A27">
              <w:rPr>
                <w:rStyle w:val="Strong"/>
              </w:rPr>
              <w:t>2</w:t>
            </w:r>
            <w:r w:rsidR="23C94646" w:rsidRPr="000A0A27">
              <w:rPr>
                <w:rStyle w:val="Strong"/>
              </w:rPr>
              <w:t>8</w:t>
            </w:r>
          </w:p>
        </w:tc>
      </w:tr>
    </w:tbl>
    <w:p w14:paraId="7600A3EB" w14:textId="7D02BFFE" w:rsidR="0014308C" w:rsidRPr="00176206" w:rsidRDefault="0014308C" w:rsidP="00D96D3D">
      <w:pPr>
        <w:pStyle w:val="ChartorTableNote"/>
      </w:pPr>
      <w:bookmarkStart w:id="40" w:name="_Ref180568893"/>
      <w:r w:rsidRPr="00176206">
        <w:t xml:space="preserve">Table </w:t>
      </w:r>
      <w:r w:rsidR="004776DE">
        <w:fldChar w:fldCharType="begin"/>
      </w:r>
      <w:r w:rsidR="004776DE">
        <w:instrText xml:space="preserve"> SEQ Table \* ARABIC </w:instrText>
      </w:r>
      <w:r w:rsidR="004776DE">
        <w:fldChar w:fldCharType="separate"/>
      </w:r>
      <w:r w:rsidR="00D276C7">
        <w:rPr>
          <w:noProof/>
        </w:rPr>
        <w:t>1</w:t>
      </w:r>
      <w:r w:rsidR="004776DE">
        <w:rPr>
          <w:noProof/>
        </w:rPr>
        <w:fldChar w:fldCharType="end"/>
      </w:r>
      <w:bookmarkEnd w:id="40"/>
      <w:r w:rsidRPr="00176206">
        <w:t xml:space="preserve"> RoGS indicators with long</w:t>
      </w:r>
      <w:r w:rsidR="00B65D32">
        <w:t>-</w:t>
      </w:r>
      <w:r w:rsidRPr="00176206">
        <w:t>standing completeness and comparability issues</w:t>
      </w:r>
    </w:p>
    <w:p w14:paraId="119D59BF" w14:textId="3A745FAE" w:rsidR="0014308C" w:rsidRPr="00176206" w:rsidRDefault="0014308C" w:rsidP="00D96D3D">
      <w:pPr>
        <w:pStyle w:val="ChartorTableNote"/>
      </w:pPr>
      <w:r w:rsidRPr="00176206">
        <w:t>Source: Analysis undertaken by the Review</w:t>
      </w:r>
    </w:p>
    <w:p w14:paraId="362864B8" w14:textId="58DF6C2D" w:rsidR="00415A35" w:rsidRPr="00415A35" w:rsidRDefault="00415A35" w:rsidP="009A717A">
      <w:r w:rsidRPr="00415A35">
        <w:t>Further, between 2019 and 2024, 19 indicators experienced a reduction</w:t>
      </w:r>
      <w:r w:rsidR="004E75F2">
        <w:t xml:space="preserve"> </w:t>
      </w:r>
      <w:r w:rsidRPr="00415A35" w:rsidDel="004E75F2">
        <w:t>in their</w:t>
      </w:r>
      <w:r w:rsidRPr="00415A35">
        <w:t xml:space="preserve"> level of completeness and comparability</w:t>
      </w:r>
      <w:r w:rsidRPr="00F676A6">
        <w:t xml:space="preserve"> (</w:t>
      </w:r>
      <w:r w:rsidR="000742FA" w:rsidRPr="000742FA">
        <w:rPr>
          <w:i/>
          <w:iCs/>
        </w:rPr>
        <w:t xml:space="preserve">Figure </w:t>
      </w:r>
      <w:r w:rsidR="000742FA" w:rsidRPr="000742FA">
        <w:rPr>
          <w:i/>
          <w:iCs/>
          <w:noProof/>
        </w:rPr>
        <w:t>12</w:t>
      </w:r>
      <w:r w:rsidRPr="00415A35">
        <w:t>). The reduction in status for 7 of these indicators was limited to one or 2</w:t>
      </w:r>
      <w:r w:rsidR="003A73ED">
        <w:t> </w:t>
      </w:r>
      <w:r w:rsidRPr="00415A35">
        <w:t>years before they returned to full completeness and comparability. However, there were 6</w:t>
      </w:r>
      <w:r w:rsidR="003A73ED">
        <w:t> </w:t>
      </w:r>
      <w:r w:rsidRPr="00415A35">
        <w:t xml:space="preserve">indicators </w:t>
      </w:r>
      <w:r w:rsidR="003A2C30">
        <w:t xml:space="preserve">for which </w:t>
      </w:r>
      <w:r w:rsidRPr="00415A35">
        <w:t>this reduction persisted for more than 2 years and has not improved as of 2024.</w:t>
      </w:r>
    </w:p>
    <w:p w14:paraId="6943EF75" w14:textId="19669D3A" w:rsidR="00415A35" w:rsidRPr="00415A35" w:rsidRDefault="006F7E01" w:rsidP="00D96D3D">
      <w:pPr>
        <w:pStyle w:val="ChartorTableNote"/>
      </w:pPr>
      <w:r>
        <w:rPr>
          <w:noProof/>
        </w:rPr>
        <w:drawing>
          <wp:inline distT="0" distB="0" distL="0" distR="0" wp14:anchorId="7BB7F51B" wp14:editId="51EB3F2C">
            <wp:extent cx="5663130" cy="3540760"/>
            <wp:effectExtent l="0" t="0" r="0" b="2540"/>
            <wp:docPr id="19" name="Picture 19" descr="Figure 12 is a matrix chart that shows that 5 indicators had reduced completeness and comparability for a sustained period across all measures. These indicators are cost per prisoner and education and training (correctives services), non-standard hours of childcare services, general practices with accreditation, and education and training attendance (youth justice services). The mental health service use by equity groups indicator has reduced comparability or completeness for at least one measure for a sustained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2 is a matrix chart that shows that 5 indicators had reduced completeness and comparability for a sustained period across all measures. These indicators are cost per prisoner and education and training (correctives services), non-standard hours of childcare services, general practices with accreditation, and education and training attendance (youth justice services). The mental health service use by equity groups indicator has reduced comparability or completeness for at least one measure for a sustained period."/>
                    <pic:cNvPicPr/>
                  </pic:nvPicPr>
                  <pic:blipFill>
                    <a:blip r:embed="rId42">
                      <a:extLst>
                        <a:ext uri="{28A0092B-C50C-407E-A947-70E740481C1C}">
                          <a14:useLocalDpi xmlns:a14="http://schemas.microsoft.com/office/drawing/2010/main" val="0"/>
                        </a:ext>
                      </a:extLst>
                    </a:blip>
                    <a:stretch>
                      <a:fillRect/>
                    </a:stretch>
                  </pic:blipFill>
                  <pic:spPr>
                    <a:xfrm>
                      <a:off x="0" y="0"/>
                      <a:ext cx="5663130" cy="3540760"/>
                    </a:xfrm>
                    <a:prstGeom prst="rect">
                      <a:avLst/>
                    </a:prstGeom>
                  </pic:spPr>
                </pic:pic>
              </a:graphicData>
            </a:graphic>
          </wp:inline>
        </w:drawing>
      </w:r>
      <w:bookmarkStart w:id="41" w:name="_Ref180407578"/>
      <w:r w:rsidR="00415A35" w:rsidRPr="00415A35">
        <w:t xml:space="preserve">Figure </w:t>
      </w:r>
      <w:r w:rsidR="00415A35" w:rsidRPr="00415A35">
        <w:fldChar w:fldCharType="begin"/>
      </w:r>
      <w:r w:rsidR="00415A35" w:rsidRPr="00415A35">
        <w:instrText>SEQ Figure \* ARABIC</w:instrText>
      </w:r>
      <w:r w:rsidR="00415A35" w:rsidRPr="00415A35">
        <w:fldChar w:fldCharType="separate"/>
      </w:r>
      <w:r w:rsidR="000742FA">
        <w:rPr>
          <w:noProof/>
        </w:rPr>
        <w:t>12</w:t>
      </w:r>
      <w:r w:rsidR="00415A35" w:rsidRPr="00415A35">
        <w:fldChar w:fldCharType="end"/>
      </w:r>
      <w:bookmarkEnd w:id="41"/>
      <w:r w:rsidR="00415A35" w:rsidRPr="00415A35">
        <w:t>: RoGS indicators with reduced levels of completeness and comparability between 2019 and 2024</w:t>
      </w:r>
    </w:p>
    <w:p w14:paraId="6E4637E3" w14:textId="668C0CD5" w:rsidR="00415A35" w:rsidRPr="00415A35" w:rsidRDefault="00415A35" w:rsidP="00D96D3D">
      <w:pPr>
        <w:pStyle w:val="ChartorTableNote"/>
      </w:pPr>
      <w:r w:rsidRPr="00415A35">
        <w:t>Source: Analysis undertaken by the Review</w:t>
      </w:r>
    </w:p>
    <w:p w14:paraId="16DAFE3F" w14:textId="351C952A" w:rsidR="00415A35" w:rsidRPr="00415A35" w:rsidRDefault="00415A35" w:rsidP="009A717A">
      <w:r w:rsidRPr="00415A35">
        <w:t>Limited indicator comparability is problematic for State and Territory governments, many of which raised concerns about the presentation of non</w:t>
      </w:r>
      <w:r w:rsidR="00B65D32">
        <w:t>-</w:t>
      </w:r>
      <w:r w:rsidRPr="00415A35">
        <w:t>comparable indicators</w:t>
      </w:r>
      <w:r w:rsidR="00671202">
        <w:t xml:space="preserve">. </w:t>
      </w:r>
      <w:r w:rsidR="004C2FB7">
        <w:t>They were concerned that</w:t>
      </w:r>
      <w:r w:rsidR="008D00D7">
        <w:t xml:space="preserve"> the presentation might lead</w:t>
      </w:r>
      <w:r w:rsidR="004C2FB7">
        <w:t xml:space="preserve"> </w:t>
      </w:r>
      <w:r w:rsidR="005D66A3">
        <w:t xml:space="preserve">casual users </w:t>
      </w:r>
      <w:r w:rsidR="008D00D7">
        <w:t xml:space="preserve">to make inappropriate comparisons, </w:t>
      </w:r>
      <w:r w:rsidR="001348F1">
        <w:t>where data is acknowledged to not be comparable.</w:t>
      </w:r>
      <w:r w:rsidR="00EE38DA">
        <w:t xml:space="preserve"> </w:t>
      </w:r>
      <w:r w:rsidRPr="00415A35">
        <w:t>Government stakeholders suggested presentation changes could resolve this issue by more clearly separating non</w:t>
      </w:r>
      <w:r w:rsidR="00B65D32">
        <w:t>-</w:t>
      </w:r>
      <w:r w:rsidRPr="00415A35">
        <w:t xml:space="preserve">comparable data. However, the Review considers such adjustments are superficial fixes as they would not address the underlying need for comparable data. </w:t>
      </w:r>
    </w:p>
    <w:p w14:paraId="5E2889C7" w14:textId="2FEEBADA" w:rsidR="00A44907" w:rsidRDefault="00324E14" w:rsidP="00A44907">
      <w:pPr>
        <w:pStyle w:val="Heading4"/>
      </w:pPr>
      <w:r>
        <w:t>Outcomes, timeliness and coverage</w:t>
      </w:r>
    </w:p>
    <w:p w14:paraId="3F835915" w14:textId="588AE1EC" w:rsidR="00792A5E" w:rsidRDefault="00792A5E" w:rsidP="00415A35">
      <w:r w:rsidRPr="00415A35">
        <w:t>Both government and non</w:t>
      </w:r>
      <w:r w:rsidR="00B65D32">
        <w:t>-</w:t>
      </w:r>
      <w:r w:rsidRPr="00415A35">
        <w:t>government stakeholders were eager to see more outcome indicators reported in the RoGS. The Steering Committee and the RGSP Secretariat are actively working to develop more outcome indicators where appropriate</w:t>
      </w:r>
      <w:r w:rsidR="009A379B">
        <w:t xml:space="preserve">. </w:t>
      </w:r>
      <w:r w:rsidR="00347D29">
        <w:t>M</w:t>
      </w:r>
      <w:r w:rsidRPr="00415A35">
        <w:t>any outcomes are</w:t>
      </w:r>
      <w:r w:rsidR="00F9765D">
        <w:t xml:space="preserve"> </w:t>
      </w:r>
      <w:r w:rsidRPr="00415A35">
        <w:t>difficult to measure</w:t>
      </w:r>
      <w:r w:rsidR="00444974">
        <w:t>,</w:t>
      </w:r>
      <w:r w:rsidR="00412B76">
        <w:t xml:space="preserve"> and </w:t>
      </w:r>
      <w:r w:rsidR="00347D29">
        <w:t xml:space="preserve">indicators are </w:t>
      </w:r>
      <w:r w:rsidRPr="00415A35">
        <w:t>complex to develop</w:t>
      </w:r>
      <w:r w:rsidR="00347D29">
        <w:t>. T</w:t>
      </w:r>
      <w:r w:rsidR="00B72D7D">
        <w:t>his work is</w:t>
      </w:r>
      <w:r w:rsidR="00347D29">
        <w:t xml:space="preserve"> also </w:t>
      </w:r>
      <w:r w:rsidR="000A128C">
        <w:t>limited by differences in</w:t>
      </w:r>
      <w:r w:rsidRPr="00415A35">
        <w:t xml:space="preserve"> data</w:t>
      </w:r>
      <w:r w:rsidR="000A128C">
        <w:t xml:space="preserve"> availability</w:t>
      </w:r>
      <w:r>
        <w:t>.</w:t>
      </w:r>
    </w:p>
    <w:p w14:paraId="6A58773F" w14:textId="32D1292B" w:rsidR="00415A35" w:rsidRDefault="00415A35" w:rsidP="00415A35">
      <w:r w:rsidRPr="00415A35">
        <w:t xml:space="preserve">Stakeholders also noted that the timeliness of data is an issue for some indicators. For some service areas the most recent data reported in the RoGS </w:t>
      </w:r>
      <w:r w:rsidR="000052A4">
        <w:t>are</w:t>
      </w:r>
      <w:r w:rsidR="000052A4" w:rsidRPr="00415A35">
        <w:t xml:space="preserve"> </w:t>
      </w:r>
      <w:r w:rsidRPr="00415A35">
        <w:t>from the previous financial year</w:t>
      </w:r>
      <w:r w:rsidR="00853C9E">
        <w:t>.</w:t>
      </w:r>
      <w:r w:rsidRPr="00415A35">
        <w:t xml:space="preserve"> </w:t>
      </w:r>
      <w:r w:rsidR="00853C9E">
        <w:t>F</w:t>
      </w:r>
      <w:r w:rsidRPr="00415A35">
        <w:t>or others</w:t>
      </w:r>
      <w:r w:rsidR="00B72D7D">
        <w:t xml:space="preserve">, </w:t>
      </w:r>
      <w:r w:rsidRPr="00415A35">
        <w:t>data can be lagged by one to 2 financial years due to the complexity of data collection and validation. The Steering Committee is conscious of this limitation and in 2020 introduced a mid</w:t>
      </w:r>
      <w:r w:rsidR="00B65D32">
        <w:t>-</w:t>
      </w:r>
      <w:r w:rsidRPr="00415A35">
        <w:t xml:space="preserve">year update to </w:t>
      </w:r>
      <w:r w:rsidR="00341546">
        <w:t>improve</w:t>
      </w:r>
      <w:r w:rsidR="00341546" w:rsidRPr="00415A35">
        <w:t xml:space="preserve"> </w:t>
      </w:r>
      <w:r w:rsidRPr="00415A35">
        <w:t>the timeliness of information reported in the RoGS. Stakeholders did not raise any specific suggestions with the Review on how data lags could be further reduced.</w:t>
      </w:r>
    </w:p>
    <w:p w14:paraId="0B0DE019" w14:textId="27D02846" w:rsidR="00DA45C1" w:rsidRDefault="0017284D" w:rsidP="00415A35">
      <w:r>
        <w:t xml:space="preserve">The Review </w:t>
      </w:r>
      <w:r w:rsidR="00E617A1">
        <w:t>tested with stakeholders whether the coverage of the RoGS</w:t>
      </w:r>
      <w:r w:rsidR="00DA45C1">
        <w:t xml:space="preserve"> </w:t>
      </w:r>
      <w:r w:rsidR="00E617A1">
        <w:t>remain</w:t>
      </w:r>
      <w:r w:rsidR="00DA45C1">
        <w:t>s</w:t>
      </w:r>
      <w:r w:rsidR="00E617A1">
        <w:t xml:space="preserve"> appropriate.</w:t>
      </w:r>
      <w:r w:rsidR="00DA45C1">
        <w:t xml:space="preserve"> </w:t>
      </w:r>
      <w:r w:rsidR="00C71D6E">
        <w:t xml:space="preserve">The breadth of the RoGS coverage is notable </w:t>
      </w:r>
      <w:r w:rsidR="00B65D32">
        <w:rPr>
          <w:rFonts w:ascii="Calibri" w:hAnsi="Calibri" w:cs="Calibri"/>
        </w:rPr>
        <w:t>—</w:t>
      </w:r>
      <w:r w:rsidR="00C71D6E">
        <w:t xml:space="preserve"> internationally, government</w:t>
      </w:r>
      <w:r w:rsidR="003E6141">
        <w:t xml:space="preserve"> and non</w:t>
      </w:r>
      <w:r w:rsidR="00B65D32">
        <w:t>-</w:t>
      </w:r>
      <w:r w:rsidR="003E6141">
        <w:t xml:space="preserve">government bodies tend to report </w:t>
      </w:r>
      <w:r w:rsidR="00052756">
        <w:t>more narrowly (</w:t>
      </w:r>
      <w:r w:rsidR="00427FAB" w:rsidRPr="00427FAB">
        <w:rPr>
          <w:i/>
          <w:iCs/>
        </w:rPr>
        <w:t>Information</w:t>
      </w:r>
      <w:r w:rsidR="00427FAB" w:rsidRPr="000A2310">
        <w:t xml:space="preserve"> Box 5: International government performance reporting</w:t>
      </w:r>
      <w:r w:rsidR="00052756">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052756" w14:paraId="762C2D59" w14:textId="77777777" w:rsidTr="00B11057">
        <w:tc>
          <w:tcPr>
            <w:tcW w:w="5000" w:type="pct"/>
            <w:shd w:val="clear" w:color="auto" w:fill="EEEEEE" w:themeFill="background2"/>
          </w:tcPr>
          <w:p w14:paraId="23CCECCE" w14:textId="14F6D194" w:rsidR="00052756" w:rsidRPr="000A2310" w:rsidRDefault="000A2310" w:rsidP="000A2310">
            <w:pPr>
              <w:pStyle w:val="BoxHeading"/>
            </w:pPr>
            <w:bookmarkStart w:id="42" w:name="_Ref180491240"/>
            <w:r w:rsidRPr="000A2310">
              <w:t>Information Box 5</w:t>
            </w:r>
            <w:r w:rsidR="00052756" w:rsidRPr="000A2310">
              <w:t>: International</w:t>
            </w:r>
            <w:r w:rsidR="0015242C" w:rsidRPr="000A2310">
              <w:t xml:space="preserve"> government performance reporting</w:t>
            </w:r>
            <w:bookmarkEnd w:id="42"/>
          </w:p>
          <w:p w14:paraId="5E16695A" w14:textId="05E8D0DB" w:rsidR="009A550F" w:rsidRPr="00716D5B" w:rsidRDefault="009A550F" w:rsidP="000A2310">
            <w:pPr>
              <w:pStyle w:val="BoxText"/>
            </w:pPr>
            <w:r w:rsidRPr="00716D5B">
              <w:t>Unlike Australia, Canada and New Zealand, report performance information on individual sectors rather than in a consolidated way. Some independent think tanks report performance indicators across sectors, but usually on fewer areas or indicators. For example, the United Kingdom’s Institute for Government and the Chartered Institute of Public Finance &amp; Accountancy publishes an annual performance tracker that covers education, heath, justice and community services.</w:t>
            </w:r>
          </w:p>
          <w:p w14:paraId="1CD49995" w14:textId="707CD5D6" w:rsidR="009A550F" w:rsidRPr="00716D5B" w:rsidRDefault="009A550F" w:rsidP="000A2310">
            <w:pPr>
              <w:pStyle w:val="BoxText"/>
            </w:pPr>
            <w:r w:rsidRPr="00716D5B">
              <w:t xml:space="preserve">The United Kingdom </w:t>
            </w:r>
            <w:r w:rsidR="006973FE">
              <w:t xml:space="preserve">previously </w:t>
            </w:r>
            <w:r w:rsidRPr="00716D5B">
              <w:t>provide</w:t>
            </w:r>
            <w:r w:rsidR="006973FE">
              <w:t>d</w:t>
            </w:r>
            <w:r w:rsidRPr="00716D5B">
              <w:t xml:space="preserve"> data on the performance of government services under the Performance Platform until 15 March 2021. It provided service dashboards on a range of government service areas, including community services, education, health, justice, immigration and transport.</w:t>
            </w:r>
          </w:p>
          <w:p w14:paraId="2314B495" w14:textId="7AAFE89E" w:rsidR="009A550F" w:rsidRPr="00716D5B" w:rsidRDefault="009A550F" w:rsidP="000A2310">
            <w:pPr>
              <w:pStyle w:val="BoxText"/>
            </w:pPr>
            <w:r w:rsidRPr="00716D5B">
              <w:t>The OECD Serving Citizens Framework</w:t>
            </w:r>
            <w:r w:rsidR="0097198A">
              <w:t xml:space="preserve"> was</w:t>
            </w:r>
            <w:r w:rsidRPr="00716D5B">
              <w:t xml:space="preserve"> designed to measure and improve service quality and citizen satisfaction</w:t>
            </w:r>
            <w:r w:rsidR="00EE6503">
              <w:t>. It</w:t>
            </w:r>
            <w:r w:rsidRPr="00716D5B">
              <w:t xml:space="preserve"> </w:t>
            </w:r>
            <w:r w:rsidR="0097198A">
              <w:t>includes</w:t>
            </w:r>
            <w:r w:rsidR="0097198A" w:rsidRPr="00716D5B">
              <w:t xml:space="preserve"> </w:t>
            </w:r>
            <w:r w:rsidRPr="00716D5B">
              <w:t>35 indicators covering healthcare, education, justice and administrative services. The OECD’s criteria for selecting indicators are: adequacy (</w:t>
            </w:r>
            <w:r w:rsidR="003963C2">
              <w:t>that is,</w:t>
            </w:r>
            <w:r w:rsidRPr="00716D5B">
              <w:t xml:space="preserve"> indicators represent the concept being measured); policy relevance; data availability and coverage; and data interpretability. </w:t>
            </w:r>
          </w:p>
          <w:p w14:paraId="1C514E0E" w14:textId="7E8F5CB9" w:rsidR="00052756" w:rsidRPr="000E37D9" w:rsidRDefault="00052756" w:rsidP="00D96D3D">
            <w:pPr>
              <w:pStyle w:val="ChartorTableNote"/>
            </w:pPr>
            <w:r w:rsidRPr="000E37D9">
              <w:t>Source</w:t>
            </w:r>
            <w:r w:rsidR="000E37D9">
              <w:t>s</w:t>
            </w:r>
            <w:r w:rsidRPr="000E37D9">
              <w:t xml:space="preserve">: </w:t>
            </w:r>
            <w:r w:rsidR="00557591">
              <w:rPr>
                <w:noProof/>
              </w:rPr>
              <w:t>(Controller and Auditor-General of New Zealand 2021; Hoddinott et al. 2023</w:t>
            </w:r>
            <w:r w:rsidR="006B1BD5">
              <w:rPr>
                <w:noProof/>
              </w:rPr>
              <w:t>;</w:t>
            </w:r>
            <w:r w:rsidR="00557591">
              <w:rPr>
                <w:noProof/>
              </w:rPr>
              <w:t xml:space="preserve"> OECD 2023a; Government of the United Kingdom 2021)</w:t>
            </w:r>
          </w:p>
        </w:tc>
      </w:tr>
    </w:tbl>
    <w:p w14:paraId="5E43A116" w14:textId="646423F3" w:rsidR="00B823E7" w:rsidRPr="00415A35" w:rsidRDefault="00EC1222" w:rsidP="00415A35">
      <w:r>
        <w:t>Some</w:t>
      </w:r>
      <w:r w:rsidR="00AA2BBE">
        <w:t xml:space="preserve"> stakeholders </w:t>
      </w:r>
      <w:r w:rsidR="00815739">
        <w:t>noted that</w:t>
      </w:r>
      <w:r w:rsidR="00AA2BBE">
        <w:t xml:space="preserve"> services with significant Commonwealth responsibility</w:t>
      </w:r>
      <w:r w:rsidR="00BD561F">
        <w:t>, such as disability and aged care</w:t>
      </w:r>
      <w:r w:rsidR="00CB0274">
        <w:t xml:space="preserve">, </w:t>
      </w:r>
      <w:r>
        <w:t>might be less relevant for the purposes of cross</w:t>
      </w:r>
      <w:r w:rsidR="00B65D32">
        <w:t>-</w:t>
      </w:r>
      <w:r>
        <w:t>jurisdictional comparison</w:t>
      </w:r>
      <w:r w:rsidR="00CB0274">
        <w:t>.</w:t>
      </w:r>
      <w:r>
        <w:t xml:space="preserve"> However,</w:t>
      </w:r>
      <w:r w:rsidR="00520CBE">
        <w:t xml:space="preserve"> </w:t>
      </w:r>
      <w:r w:rsidR="00445146">
        <w:t xml:space="preserve">among stakeholders </w:t>
      </w:r>
      <w:r w:rsidR="00520CBE">
        <w:t xml:space="preserve">there was no strong support </w:t>
      </w:r>
      <w:r w:rsidR="009F2293">
        <w:t>to increase or decrease</w:t>
      </w:r>
      <w:r w:rsidR="00D9172E">
        <w:t xml:space="preserve"> the </w:t>
      </w:r>
      <w:r w:rsidR="00CB0274">
        <w:t>coverage of</w:t>
      </w:r>
      <w:r w:rsidR="00D9172E">
        <w:t xml:space="preserve"> these sectors in the RoGS.</w:t>
      </w:r>
    </w:p>
    <w:p w14:paraId="551E0567" w14:textId="2F2E885A" w:rsidR="00324E14" w:rsidRDefault="00334776" w:rsidP="00324E14">
      <w:pPr>
        <w:pStyle w:val="Heading4"/>
      </w:pPr>
      <w:r>
        <w:t>Taking continuous improvement forward</w:t>
      </w:r>
    </w:p>
    <w:p w14:paraId="5EE3AD36" w14:textId="58632945" w:rsidR="00415A35" w:rsidRPr="00415A35" w:rsidRDefault="00D9172E" w:rsidP="00415A35">
      <w:r>
        <w:t>Overall</w:t>
      </w:r>
      <w:r w:rsidR="0000452F">
        <w:t>,</w:t>
      </w:r>
      <w:r w:rsidR="00415A35" w:rsidRPr="00415A35">
        <w:t xml:space="preserve"> government stakeholders spoke favourably about the Steering Committee process and the </w:t>
      </w:r>
      <w:r w:rsidR="00255624">
        <w:t xml:space="preserve">performance </w:t>
      </w:r>
      <w:r w:rsidR="00134C96">
        <w:t>framework</w:t>
      </w:r>
      <w:r w:rsidR="00810E7E">
        <w:t>s</w:t>
      </w:r>
      <w:r w:rsidR="00134C96">
        <w:t xml:space="preserve"> it </w:t>
      </w:r>
      <w:r w:rsidR="00FF4319">
        <w:t>uses</w:t>
      </w:r>
      <w:r w:rsidR="00F173A4">
        <w:t>. Despite some of the concerns raised above</w:t>
      </w:r>
      <w:r w:rsidR="00415A35" w:rsidRPr="00415A35">
        <w:t xml:space="preserve">, </w:t>
      </w:r>
      <w:r w:rsidR="00F173A4">
        <w:t xml:space="preserve">there was general </w:t>
      </w:r>
      <w:r w:rsidR="00CB0274">
        <w:t>support</w:t>
      </w:r>
      <w:r w:rsidR="00F173A4">
        <w:t xml:space="preserve"> </w:t>
      </w:r>
      <w:r w:rsidR="005E7A31">
        <w:t>for</w:t>
      </w:r>
      <w:r w:rsidR="00F173A4" w:rsidRPr="00415A35">
        <w:t xml:space="preserve"> </w:t>
      </w:r>
      <w:r w:rsidR="00415A35" w:rsidRPr="00415A35">
        <w:t xml:space="preserve">the </w:t>
      </w:r>
      <w:r w:rsidR="00D92053">
        <w:t xml:space="preserve">methods and </w:t>
      </w:r>
      <w:r w:rsidR="005E7A31" w:rsidRPr="00415A35">
        <w:t>coll</w:t>
      </w:r>
      <w:r w:rsidR="005E7A31">
        <w:t>abo</w:t>
      </w:r>
      <w:r w:rsidR="00D92053">
        <w:t>ration used</w:t>
      </w:r>
      <w:r w:rsidR="00DE2494">
        <w:t xml:space="preserve"> to develop</w:t>
      </w:r>
      <w:r w:rsidR="00415A35" w:rsidRPr="00415A35">
        <w:t xml:space="preserve"> the RoGS.</w:t>
      </w:r>
    </w:p>
    <w:p w14:paraId="5F78DE16" w14:textId="77F01149" w:rsidR="00415A35" w:rsidRPr="00415A35" w:rsidRDefault="00415A35" w:rsidP="00415A35">
      <w:r w:rsidRPr="00415A35">
        <w:t>The Review considers that the Steering Committee, supported by the RGSP Secretariat, has the right expertise to continue producing the RoGS</w:t>
      </w:r>
      <w:r w:rsidR="007A4F1E">
        <w:t>. This include</w:t>
      </w:r>
      <w:r w:rsidR="00720DEF">
        <w:t xml:space="preserve">s </w:t>
      </w:r>
      <w:r w:rsidR="00FF4319">
        <w:t>determining</w:t>
      </w:r>
      <w:r w:rsidRPr="00415A35">
        <w:t xml:space="preserve"> its coverage and developing and maintaining performance measures. A public recommitment from governments to the RoGS process, recommended earlier in this chapter, would provide a renewed mandate for the Steering Committee’s decision</w:t>
      </w:r>
      <w:r w:rsidR="00B65D32">
        <w:t>-</w:t>
      </w:r>
      <w:r w:rsidRPr="00415A35">
        <w:t>making authority</w:t>
      </w:r>
      <w:r w:rsidR="00591D98">
        <w:t xml:space="preserve">. </w:t>
      </w:r>
      <w:r w:rsidRPr="00415A35">
        <w:t xml:space="preserve">However, the Steering Committee must </w:t>
      </w:r>
      <w:r w:rsidR="004F7E9F">
        <w:t>use its</w:t>
      </w:r>
      <w:r w:rsidR="00505850">
        <w:t xml:space="preserve"> </w:t>
      </w:r>
      <w:r w:rsidRPr="00415A35">
        <w:t xml:space="preserve">expertise and authority </w:t>
      </w:r>
      <w:r w:rsidR="00505850">
        <w:t>to</w:t>
      </w:r>
      <w:r w:rsidR="00505850" w:rsidRPr="00415A35">
        <w:t xml:space="preserve"> </w:t>
      </w:r>
      <w:r w:rsidRPr="00415A35">
        <w:t>address long</w:t>
      </w:r>
      <w:r w:rsidR="00543919">
        <w:t xml:space="preserve"> </w:t>
      </w:r>
      <w:r w:rsidRPr="00415A35">
        <w:t>standing data comparability and completeness issues.</w:t>
      </w:r>
    </w:p>
    <w:p w14:paraId="3AECDA4B" w14:textId="31310EB7" w:rsidR="00415A35" w:rsidRPr="00415A35" w:rsidRDefault="00415A35" w:rsidP="00415A35">
      <w:r w:rsidRPr="00415A35">
        <w:t xml:space="preserve">The </w:t>
      </w:r>
      <w:r w:rsidR="007A05CB">
        <w:t>2009</w:t>
      </w:r>
      <w:r w:rsidR="000F3476">
        <w:t xml:space="preserve"> </w:t>
      </w:r>
      <w:r w:rsidRPr="00415A35">
        <w:t xml:space="preserve">review recommended a separate reconsideration of the RoGS performance indicator framework and individual performance indicators </w:t>
      </w:r>
      <w:sdt>
        <w:sdtPr>
          <w:id w:val="-1057244283"/>
          <w:citation/>
        </w:sdtPr>
        <w:sdtEndPr/>
        <w:sdtContent>
          <w:r w:rsidRPr="00415A35">
            <w:fldChar w:fldCharType="begin"/>
          </w:r>
          <w:r w:rsidRPr="00415A35">
            <w:instrText xml:space="preserve"> CITATION Rev09 \l 3081 </w:instrText>
          </w:r>
          <w:r w:rsidRPr="00415A35">
            <w:fldChar w:fldCharType="separate"/>
          </w:r>
          <w:r w:rsidR="003003B3">
            <w:rPr>
              <w:noProof/>
            </w:rPr>
            <w:t>(Senior Officials/Heads of Treasuries Working Group 2009)</w:t>
          </w:r>
          <w:r w:rsidRPr="00415A35">
            <w:fldChar w:fldCharType="end"/>
          </w:r>
        </w:sdtContent>
      </w:sdt>
      <w:r w:rsidRPr="00415A35">
        <w:t xml:space="preserve">. </w:t>
      </w:r>
      <w:r w:rsidR="00412318">
        <w:t>Evidence available to the</w:t>
      </w:r>
      <w:r w:rsidRPr="00415A35">
        <w:t xml:space="preserve"> Review</w:t>
      </w:r>
      <w:r w:rsidR="00412318">
        <w:t xml:space="preserve"> shows that</w:t>
      </w:r>
      <w:r w:rsidR="0040501D">
        <w:t xml:space="preserve"> it is not necessary to</w:t>
      </w:r>
      <w:r w:rsidRPr="00415A35">
        <w:t xml:space="preserve"> repeat this </w:t>
      </w:r>
      <w:r w:rsidR="000F3476">
        <w:t xml:space="preserve">work. </w:t>
      </w:r>
      <w:r w:rsidR="0040501D">
        <w:t xml:space="preserve">The </w:t>
      </w:r>
      <w:r w:rsidRPr="00415A35">
        <w:t xml:space="preserve">Review’s opinion </w:t>
      </w:r>
      <w:r w:rsidR="0040501D">
        <w:t xml:space="preserve">is that such a recommendation </w:t>
      </w:r>
      <w:r w:rsidRPr="00415A35">
        <w:t xml:space="preserve">would undercut the Steering Committee’s existing power to </w:t>
      </w:r>
      <w:r w:rsidR="002D7F86">
        <w:t>make its own improvements</w:t>
      </w:r>
      <w:r w:rsidRPr="00415A35">
        <w:t xml:space="preserve">. However, the Review </w:t>
      </w:r>
      <w:r w:rsidR="007A1F5F" w:rsidRPr="00415A35">
        <w:t>recommends that the Steering Committee prioritise action on continuous improvemen</w:t>
      </w:r>
      <w:r w:rsidR="007A1F5F">
        <w:t>t</w:t>
      </w:r>
      <w:r w:rsidR="00C6221E">
        <w:t xml:space="preserve">. </w:t>
      </w:r>
      <w:r w:rsidRPr="00415A35">
        <w:t>This should particularly focus on indicator completeness and comparability, but also user engagement</w:t>
      </w:r>
      <w:r w:rsidR="00B41B27">
        <w:t xml:space="preserve"> which will be explored later in this report</w:t>
      </w:r>
      <w:r w:rsidRPr="00415A35">
        <w:t xml:space="preserve"> </w:t>
      </w:r>
      <w:r w:rsidR="00B41B27">
        <w:t>(</w:t>
      </w:r>
      <w:r w:rsidR="00D276C7" w:rsidRPr="00D276C7">
        <w:rPr>
          <w:i/>
          <w:iCs/>
        </w:rPr>
        <w:t>Chapter 4: The usefulness and accessibility of the information</w:t>
      </w:r>
      <w:r w:rsidRPr="00415A35">
        <w:t>).</w:t>
      </w:r>
      <w:r w:rsidR="007A443E">
        <w:t xml:space="preserve"> </w:t>
      </w:r>
      <w:r w:rsidR="008B462C">
        <w:t>This approach would i</w:t>
      </w:r>
      <w:r w:rsidR="007A443E" w:rsidRPr="007A443E">
        <w:t>mprove the usefulness of the data in the RoGS over time</w:t>
      </w:r>
      <w:r w:rsidR="008B462C">
        <w:t>.</w:t>
      </w:r>
    </w:p>
    <w:p w14:paraId="4C3DAD02" w14:textId="296B4092" w:rsidR="00415A35" w:rsidRPr="00415A35" w:rsidRDefault="00415A35" w:rsidP="00415A35">
      <w:r w:rsidRPr="00415A35">
        <w:t xml:space="preserve">If successful, this would also work to </w:t>
      </w:r>
      <w:r w:rsidR="00AB0D85">
        <w:t>increase</w:t>
      </w:r>
      <w:r w:rsidR="00AB0D85" w:rsidRPr="00415A35">
        <w:t xml:space="preserve"> </w:t>
      </w:r>
      <w:r w:rsidRPr="00415A35">
        <w:t xml:space="preserve">the focus on outcomes, given that </w:t>
      </w:r>
      <w:r w:rsidR="009174C2">
        <w:t>4</w:t>
      </w:r>
      <w:r w:rsidRPr="00415A35">
        <w:t xml:space="preserve"> of these have sat in the ‘No data reported and/or no measures yet developed’</w:t>
      </w:r>
      <w:r w:rsidR="00B70749">
        <w:t xml:space="preserve"> category</w:t>
      </w:r>
      <w:r w:rsidRPr="00415A35">
        <w:t xml:space="preserve"> for a significant </w:t>
      </w:r>
      <w:r w:rsidR="00AB0D85" w:rsidRPr="00415A35">
        <w:t>period</w:t>
      </w:r>
      <w:r w:rsidRPr="00415A35">
        <w:t xml:space="preserve">. </w:t>
      </w:r>
      <w:r w:rsidR="006D0963">
        <w:t>E</w:t>
      </w:r>
      <w:r w:rsidRPr="00415A35">
        <w:t xml:space="preserve">ffective progress </w:t>
      </w:r>
      <w:r w:rsidR="00EA3A1F">
        <w:t>on this matter</w:t>
      </w:r>
      <w:r w:rsidRPr="00415A35">
        <w:t xml:space="preserve"> may require the Steering Committee to </w:t>
      </w:r>
      <w:r w:rsidR="001F1482">
        <w:t>play a more active role</w:t>
      </w:r>
      <w:r w:rsidRPr="00415A35">
        <w:t xml:space="preserve"> in data development</w:t>
      </w:r>
      <w:r w:rsidR="001F1482">
        <w:t>. The</w:t>
      </w:r>
      <w:r w:rsidRPr="00415A35">
        <w:t xml:space="preserve"> Review understands</w:t>
      </w:r>
      <w:r w:rsidR="001F1482">
        <w:t xml:space="preserve"> work</w:t>
      </w:r>
      <w:r w:rsidRPr="00415A35">
        <w:t xml:space="preserve"> is already underway for patient safety measures for mental health services</w:t>
      </w:r>
      <w:r w:rsidRPr="00415A35" w:rsidDel="005F3E4F">
        <w:t xml:space="preserve"> </w:t>
      </w:r>
      <w:sdt>
        <w:sdtPr>
          <w:id w:val="-50933021"/>
          <w:citation/>
        </w:sdtPr>
        <w:sdtEndPr/>
        <w:sdtContent>
          <w:r w:rsidRPr="00415A35">
            <w:fldChar w:fldCharType="begin"/>
          </w:r>
          <w:r w:rsidR="00C74E55">
            <w:instrText xml:space="preserve">CITATION Sec24 \l 3081 </w:instrText>
          </w:r>
          <w:r w:rsidRPr="00415A35">
            <w:fldChar w:fldCharType="separate"/>
          </w:r>
          <w:r w:rsidR="003003B3">
            <w:rPr>
              <w:noProof/>
            </w:rPr>
            <w:t>(PC 2024b)</w:t>
          </w:r>
          <w:r w:rsidRPr="00415A35">
            <w:fldChar w:fldCharType="end"/>
          </w:r>
        </w:sdtContent>
      </w:sdt>
      <w:r w:rsidRPr="00415A35">
        <w:t xml:space="preserve">. </w:t>
      </w:r>
    </w:p>
    <w:p w14:paraId="752315E4" w14:textId="38DF2B28" w:rsidR="00415A35" w:rsidRPr="00415A35" w:rsidRDefault="006966B9" w:rsidP="00415A35">
      <w:r>
        <w:t xml:space="preserve">The </w:t>
      </w:r>
      <w:r w:rsidR="00415A35" w:rsidRPr="00415A35">
        <w:t>Steering Committee should also consider other potential improvements to strengthen reporting that were raised by stakeholders during the Review, including the development of new indicators and refinements to existing indicators (</w:t>
      </w:r>
      <w:r w:rsidR="00D276C7" w:rsidRPr="00D276C7">
        <w:rPr>
          <w:i/>
          <w:iCs/>
        </w:rPr>
        <w:t>Appendix 4: Stakeholder suggestions to strengthen performance indicators</w:t>
      </w:r>
      <w:r w:rsidR="00415A35" w:rsidRPr="00415A35">
        <w:t>).</w:t>
      </w:r>
      <w:r w:rsidR="001F0B75">
        <w:t xml:space="preserve"> </w:t>
      </w:r>
    </w:p>
    <w:p w14:paraId="5E0BC8CF" w14:textId="39E4A13D" w:rsidR="00415A35" w:rsidRDefault="0043761A" w:rsidP="00415A35">
      <w:r>
        <w:t>T</w:t>
      </w:r>
      <w:r w:rsidR="00415A35" w:rsidRPr="00415A35">
        <w:t>he Review agrees with stakeholders that timely data is crucial for the RoGS to be relevant for policymaking and accountability purposes</w:t>
      </w:r>
      <w:r>
        <w:t>. However,</w:t>
      </w:r>
      <w:r w:rsidR="00415A35" w:rsidRPr="00415A35">
        <w:t xml:space="preserve"> it has </w:t>
      </w:r>
      <w:r w:rsidR="00E41768">
        <w:t>not been possible to</w:t>
      </w:r>
      <w:r w:rsidR="00415A35" w:rsidRPr="00415A35">
        <w:t xml:space="preserve"> </w:t>
      </w:r>
      <w:r>
        <w:t>find</w:t>
      </w:r>
      <w:r w:rsidRPr="00415A35">
        <w:t xml:space="preserve"> </w:t>
      </w:r>
      <w:r w:rsidR="00415A35" w:rsidRPr="00415A35">
        <w:t>any practical solutions that would not substantially increas</w:t>
      </w:r>
      <w:r w:rsidR="00874739">
        <w:t>e</w:t>
      </w:r>
      <w:r w:rsidR="00415A35" w:rsidRPr="00415A35">
        <w:t xml:space="preserve"> administrative and resourcing burden on data providers. The Review </w:t>
      </w:r>
      <w:r w:rsidR="00BA2B1D">
        <w:t>does not make any specific recommendations to</w:t>
      </w:r>
      <w:r w:rsidR="00E41768">
        <w:t xml:space="preserve"> improve</w:t>
      </w:r>
      <w:r w:rsidR="00BA2B1D">
        <w:t xml:space="preserve"> timeliness but suggests that this matter</w:t>
      </w:r>
      <w:r w:rsidR="00415A35" w:rsidRPr="00415A35">
        <w:t xml:space="preserve"> should </w:t>
      </w:r>
      <w:r w:rsidR="00DA36A0">
        <w:t>form part of the</w:t>
      </w:r>
      <w:r w:rsidR="00415A35" w:rsidRPr="00415A35">
        <w:t xml:space="preserve"> </w:t>
      </w:r>
      <w:r w:rsidR="00B27D47">
        <w:t>Steering Committee</w:t>
      </w:r>
      <w:r w:rsidR="00E41768">
        <w:t>’</w:t>
      </w:r>
      <w:r w:rsidR="00B27D47">
        <w:t>s</w:t>
      </w:r>
      <w:r w:rsidR="00415A35" w:rsidRPr="00415A35">
        <w:t xml:space="preserve"> continuous improvement</w:t>
      </w:r>
      <w:r w:rsidR="00B27D47">
        <w:t xml:space="preserve"> agenda</w:t>
      </w:r>
      <w:r w:rsidR="00BA2B1D">
        <w:t xml:space="preserve">. </w:t>
      </w:r>
      <w:r w:rsidR="003D6168">
        <w:t>Improving</w:t>
      </w:r>
      <w:r w:rsidR="00415A35" w:rsidRPr="00415A35">
        <w:t xml:space="preserve"> connections between the Steering Committee and data and digital experts </w:t>
      </w:r>
      <w:r w:rsidR="00DF1254">
        <w:t>could help reduce</w:t>
      </w:r>
      <w:r w:rsidR="00415A35" w:rsidRPr="00415A35">
        <w:t xml:space="preserve"> data lags in the future, </w:t>
      </w:r>
      <w:r w:rsidR="00DA0F4F">
        <w:t xml:space="preserve">especially </w:t>
      </w:r>
      <w:r w:rsidR="00415A35" w:rsidRPr="00415A35">
        <w:t xml:space="preserve">as </w:t>
      </w:r>
      <w:r w:rsidR="004D73A5">
        <w:t>technologies to</w:t>
      </w:r>
      <w:r w:rsidR="00415A35" w:rsidRPr="00415A35">
        <w:t xml:space="preserve"> capture and share data </w:t>
      </w:r>
      <w:r w:rsidR="004D73A5">
        <w:t>continue to develop</w:t>
      </w:r>
      <w:r w:rsidR="00415A35" w:rsidRPr="00415A35">
        <w:t xml:space="preserve"> (</w:t>
      </w:r>
      <w:r w:rsidR="00D276C7" w:rsidRPr="00D276C7">
        <w:rPr>
          <w:i/>
          <w:iCs/>
        </w:rPr>
        <w:t>Chapter 5: The broader data and reporting ecosystem</w:t>
      </w:r>
      <w:r w:rsidR="00415A35" w:rsidRPr="00415A35">
        <w:t>).</w:t>
      </w:r>
    </w:p>
    <w:p w14:paraId="33F3DB19" w14:textId="509A929C" w:rsidR="00CF5FEF" w:rsidRPr="00415A35" w:rsidRDefault="00CF5FEF" w:rsidP="00415A35">
      <w:r>
        <w:t xml:space="preserve">Similarly, </w:t>
      </w:r>
      <w:r w:rsidR="00D46BB9">
        <w:t xml:space="preserve">the Review considers the current coverage of the RoGS </w:t>
      </w:r>
      <w:r w:rsidR="004D73A5">
        <w:t xml:space="preserve">is </w:t>
      </w:r>
      <w:r w:rsidR="00D46BB9">
        <w:t>appropriate</w:t>
      </w:r>
      <w:r w:rsidR="004D73A5">
        <w:t xml:space="preserve">. </w:t>
      </w:r>
      <w:r w:rsidR="00A94159">
        <w:t>This</w:t>
      </w:r>
      <w:r w:rsidR="00623936">
        <w:t xml:space="preserve"> should continue to be assessed by the Steering Committee</w:t>
      </w:r>
      <w:r w:rsidR="00C060FC">
        <w:t xml:space="preserve"> </w:t>
      </w:r>
      <w:r w:rsidR="00A94159">
        <w:t xml:space="preserve">in line </w:t>
      </w:r>
      <w:r w:rsidR="00C060FC">
        <w:t>with the terms of reference and its own frameworks</w:t>
      </w:r>
      <w:r w:rsidR="00B82D78">
        <w:t>.</w:t>
      </w:r>
    </w:p>
    <w:p w14:paraId="45CD4989" w14:textId="2FD115E5" w:rsidR="004266E3" w:rsidRDefault="008324D9" w:rsidP="008324D9">
      <w:pPr>
        <w:pStyle w:val="Heading2"/>
      </w:pPr>
      <w:r>
        <w:t>The Performance Reporting Dashboard</w:t>
      </w:r>
    </w:p>
    <w:p w14:paraId="2152630D" w14:textId="0D5B75DF" w:rsidR="008324D9" w:rsidRDefault="008324D9" w:rsidP="008324D9">
      <w:pPr>
        <w:pStyle w:val="Heading3"/>
      </w:pPr>
      <w:r>
        <w:t>An opportunity to realise this tool’s potential</w:t>
      </w:r>
    </w:p>
    <w:p w14:paraId="71C06FDB" w14:textId="14452479" w:rsidR="00157442" w:rsidRPr="00157442" w:rsidRDefault="00157442" w:rsidP="00157442">
      <w:r>
        <w:t>The Dashboard and the RoGS have similar goals</w:t>
      </w:r>
      <w:r w:rsidR="00DE7C0E">
        <w:t>, aiming</w:t>
      </w:r>
      <w:r>
        <w:t xml:space="preserve"> to promote accountability, transparency, and service delivery improvements.</w:t>
      </w:r>
    </w:p>
    <w:p w14:paraId="7E90098F" w14:textId="76E39B7E" w:rsidR="00157442" w:rsidRPr="00157442" w:rsidRDefault="0AF01523" w:rsidP="00D7E541">
      <w:r>
        <w:t>T</w:t>
      </w:r>
      <w:r w:rsidR="00157442">
        <w:t xml:space="preserve">he Dashboard </w:t>
      </w:r>
      <w:r w:rsidR="45AFB577">
        <w:t>has</w:t>
      </w:r>
      <w:r w:rsidR="00157442">
        <w:t xml:space="preserve"> many benefits</w:t>
      </w:r>
      <w:r w:rsidR="48BC225A">
        <w:t xml:space="preserve"> as a transparency tool</w:t>
      </w:r>
      <w:r w:rsidR="00157442">
        <w:t>. Government and non</w:t>
      </w:r>
      <w:r w:rsidR="00B65D32">
        <w:t>-</w:t>
      </w:r>
      <w:r w:rsidR="00157442">
        <w:t xml:space="preserve">government stakeholders </w:t>
      </w:r>
      <w:r w:rsidR="00502E8C">
        <w:t>appreciated</w:t>
      </w:r>
      <w:r w:rsidR="00FB140F">
        <w:t xml:space="preserve"> </w:t>
      </w:r>
      <w:r w:rsidR="00157442">
        <w:t xml:space="preserve">its presentation style, including the use of benchmarks, targets and a simple interface. Stakeholders also found </w:t>
      </w:r>
      <w:r w:rsidR="0A38E893">
        <w:t>it easy to access and understand progress against the selected priorities</w:t>
      </w:r>
      <w:r w:rsidR="00157442">
        <w:t>. Based on this feedback</w:t>
      </w:r>
      <w:r w:rsidR="0079046C">
        <w:t>,</w:t>
      </w:r>
      <w:r w:rsidR="00157442">
        <w:t xml:space="preserve"> it is likely the Dashboard enhanced accountability on these key government commitments when it was first released.</w:t>
      </w:r>
    </w:p>
    <w:p w14:paraId="7ECA3ABD" w14:textId="714B5583" w:rsidR="00157442" w:rsidRPr="00157442" w:rsidRDefault="000F640A" w:rsidP="7CCA03AF">
      <w:r>
        <w:t>Currently,</w:t>
      </w:r>
      <w:r w:rsidR="00157442" w:rsidRPr="00157442">
        <w:t xml:space="preserve"> the Dashboard </w:t>
      </w:r>
      <w:r w:rsidR="006D5A3D">
        <w:t xml:space="preserve">captures </w:t>
      </w:r>
      <w:r>
        <w:t xml:space="preserve">many </w:t>
      </w:r>
      <w:r w:rsidR="006D5A3D">
        <w:t>legacy measures</w:t>
      </w:r>
      <w:r w:rsidR="00157442">
        <w:t xml:space="preserve"> </w:t>
      </w:r>
      <w:r w:rsidR="006D5A3D">
        <w:t xml:space="preserve">that </w:t>
      </w:r>
      <w:r w:rsidR="00835955">
        <w:t>do not reflect</w:t>
      </w:r>
      <w:r w:rsidR="006D5A3D">
        <w:t xml:space="preserve"> how</w:t>
      </w:r>
      <w:r w:rsidR="00157442">
        <w:t xml:space="preserve"> agreements and priorities </w:t>
      </w:r>
      <w:r w:rsidR="006D5A3D">
        <w:t>have changed</w:t>
      </w:r>
      <w:r w:rsidR="00157442">
        <w:t>. For example, the Review’s analysis</w:t>
      </w:r>
      <w:r w:rsidR="6D5E9584">
        <w:t xml:space="preserve"> found that</w:t>
      </w:r>
      <w:r w:rsidR="00157442">
        <w:t xml:space="preserve"> only 13 of the indicators currently on the Dashboard </w:t>
      </w:r>
      <w:r w:rsidR="00B53147">
        <w:t>exist in later versions of</w:t>
      </w:r>
      <w:r w:rsidR="00157442">
        <w:t xml:space="preserve"> </w:t>
      </w:r>
      <w:r>
        <w:t>the agreements</w:t>
      </w:r>
      <w:r w:rsidR="00835955">
        <w:t>.</w:t>
      </w:r>
      <w:r w:rsidR="00157442" w:rsidRPr="00157442">
        <w:rPr>
          <w:vertAlign w:val="superscript"/>
        </w:rPr>
        <w:footnoteReference w:id="5"/>
      </w:r>
      <w:r w:rsidR="00835955">
        <w:t xml:space="preserve"> </w:t>
      </w:r>
      <w:r w:rsidR="00157442" w:rsidRPr="7CCA03AF">
        <w:t xml:space="preserve">Similarly, indicators for the </w:t>
      </w:r>
      <w:r w:rsidR="00157442" w:rsidRPr="7C09B14A">
        <w:rPr>
          <w:i/>
          <w:iCs/>
        </w:rPr>
        <w:t>National Indigenous Reform Agreement</w:t>
      </w:r>
      <w:r w:rsidR="00835955" w:rsidRPr="00835955">
        <w:t xml:space="preserve"> </w:t>
      </w:r>
      <w:r w:rsidR="00835955" w:rsidRPr="00157442">
        <w:t>are still reported on the Dashboard</w:t>
      </w:r>
      <w:r w:rsidR="00835955">
        <w:t xml:space="preserve">, despite </w:t>
      </w:r>
      <w:r w:rsidR="004353B0">
        <w:t xml:space="preserve">it being replaced </w:t>
      </w:r>
      <w:r w:rsidR="00157442" w:rsidRPr="7CCA03AF">
        <w:t xml:space="preserve">by the </w:t>
      </w:r>
      <w:r w:rsidR="00157442" w:rsidRPr="7C09B14A">
        <w:rPr>
          <w:i/>
          <w:iCs/>
        </w:rPr>
        <w:t>National Agreement on Closing the Gap</w:t>
      </w:r>
      <w:r w:rsidR="004353B0">
        <w:rPr>
          <w:i/>
          <w:iCs/>
        </w:rPr>
        <w:t xml:space="preserve"> </w:t>
      </w:r>
      <w:r w:rsidR="00157442" w:rsidRPr="00157442">
        <w:t>and the subsequent</w:t>
      </w:r>
      <w:r w:rsidR="00157442" w:rsidRPr="7CCA03AF">
        <w:t xml:space="preserve"> development of the </w:t>
      </w:r>
      <w:r w:rsidR="00157442" w:rsidRPr="7C09B14A">
        <w:rPr>
          <w:i/>
          <w:iCs/>
        </w:rPr>
        <w:t>Closing the Gap Information Repository</w:t>
      </w:r>
      <w:sdt>
        <w:sdtPr>
          <w:id w:val="1725796997"/>
          <w:citation/>
        </w:sdtPr>
        <w:sdtEndPr/>
        <w:sdtContent>
          <w:r w:rsidR="00157442" w:rsidRPr="00157442">
            <w:fldChar w:fldCharType="begin"/>
          </w:r>
          <w:r w:rsidR="00D72A3C">
            <w:instrText xml:space="preserve">CITATION Pro4e \l 3081 </w:instrText>
          </w:r>
          <w:r w:rsidR="00157442" w:rsidRPr="00157442">
            <w:fldChar w:fldCharType="separate"/>
          </w:r>
          <w:r w:rsidR="00D72A3C">
            <w:rPr>
              <w:noProof/>
            </w:rPr>
            <w:t xml:space="preserve"> (PC 2023a)</w:t>
          </w:r>
          <w:r w:rsidR="00157442" w:rsidRPr="00157442">
            <w:fldChar w:fldCharType="end"/>
          </w:r>
        </w:sdtContent>
      </w:sdt>
      <w:r w:rsidR="00157442">
        <w:t>.</w:t>
      </w:r>
    </w:p>
    <w:p w14:paraId="2F3C71C0" w14:textId="27889169" w:rsidR="00157442" w:rsidRPr="00157442" w:rsidRDefault="0087436E" w:rsidP="00157442">
      <w:r>
        <w:t xml:space="preserve">Stakeholders criticised the </w:t>
      </w:r>
      <w:r w:rsidR="00224019">
        <w:t xml:space="preserve">Dashboard for </w:t>
      </w:r>
      <w:r w:rsidR="00C2498A">
        <w:t>presenting an incomplete picture of performance</w:t>
      </w:r>
      <w:r w:rsidR="00956BC9">
        <w:t>.</w:t>
      </w:r>
      <w:r w:rsidR="005638CB">
        <w:t xml:space="preserve"> </w:t>
      </w:r>
      <w:r w:rsidR="00956BC9">
        <w:t>The</w:t>
      </w:r>
      <w:r w:rsidR="00157442" w:rsidRPr="00157442">
        <w:t xml:space="preserve"> Review’s analysis</w:t>
      </w:r>
      <w:r w:rsidR="0090323A">
        <w:t xml:space="preserve"> found that</w:t>
      </w:r>
      <w:r w:rsidR="00157442" w:rsidRPr="00157442">
        <w:t xml:space="preserve"> around half of the agreements </w:t>
      </w:r>
      <w:r w:rsidR="00E839CA">
        <w:t>in</w:t>
      </w:r>
      <w:r w:rsidR="00157442" w:rsidRPr="00157442">
        <w:t xml:space="preserve"> the Dashboard had 10 or more performance indicators</w:t>
      </w:r>
      <w:r w:rsidR="00CC0F64">
        <w:t xml:space="preserve"> but </w:t>
      </w:r>
      <w:r w:rsidR="00DB3F6B">
        <w:t>o</w:t>
      </w:r>
      <w:r w:rsidR="00B72C50">
        <w:t xml:space="preserve">nly some of these indicators </w:t>
      </w:r>
      <w:r w:rsidR="00DB3F6B">
        <w:t xml:space="preserve">were </w:t>
      </w:r>
      <w:r w:rsidR="00BD61B2">
        <w:t>included in the Dashboar</w:t>
      </w:r>
      <w:r w:rsidR="005638CB">
        <w:t>d by COAG.</w:t>
      </w:r>
    </w:p>
    <w:p w14:paraId="3CE4ADCA" w14:textId="13EF82BE" w:rsidR="00157442" w:rsidRPr="00157442" w:rsidRDefault="005638CB" w:rsidP="00157442">
      <w:r>
        <w:t>S</w:t>
      </w:r>
      <w:r w:rsidR="008A03B6">
        <w:t xml:space="preserve">takeholders had low </w:t>
      </w:r>
      <w:r w:rsidR="00157442" w:rsidRPr="00157442">
        <w:t xml:space="preserve">awareness and use of the </w:t>
      </w:r>
      <w:r w:rsidR="00A0319B">
        <w:t>Dashboard</w:t>
      </w:r>
      <w:r w:rsidR="00B53C36">
        <w:t xml:space="preserve">. This is </w:t>
      </w:r>
      <w:r w:rsidR="00157442" w:rsidRPr="00157442">
        <w:t>reflected in its website access statistics</w:t>
      </w:r>
      <w:r w:rsidR="00873435">
        <w:t xml:space="preserve">, which show </w:t>
      </w:r>
      <w:r w:rsidR="003719C1">
        <w:t>annual Dashboard views steadily decreasing from</w:t>
      </w:r>
      <w:r w:rsidR="00157442" w:rsidRPr="00157442">
        <w:t xml:space="preserve"> around 80,000 to 50,000</w:t>
      </w:r>
      <w:r w:rsidR="007F0A6B">
        <w:t xml:space="preserve"> </w:t>
      </w:r>
      <w:r w:rsidR="00F676A6">
        <w:t>between</w:t>
      </w:r>
      <w:r w:rsidR="007F0A6B">
        <w:t xml:space="preserve"> </w:t>
      </w:r>
      <w:r w:rsidR="00D62EFB">
        <w:t>2018</w:t>
      </w:r>
      <w:r w:rsidR="0041613A">
        <w:t xml:space="preserve"> and 2023</w:t>
      </w:r>
      <w:r w:rsidR="00157442" w:rsidRPr="00157442">
        <w:t xml:space="preserve">. More than 90 per cent of the Dashboard webpages </w:t>
      </w:r>
      <w:r w:rsidR="0041613A">
        <w:t>we</w:t>
      </w:r>
      <w:r w:rsidR="00157442" w:rsidRPr="00157442">
        <w:t>re viewed by 5 or fewer users per month (</w:t>
      </w:r>
      <w:r w:rsidR="000742FA" w:rsidRPr="000742FA">
        <w:rPr>
          <w:i/>
          <w:iCs/>
        </w:rPr>
        <w:t xml:space="preserve">Figure </w:t>
      </w:r>
      <w:r w:rsidR="000742FA" w:rsidRPr="000742FA">
        <w:rPr>
          <w:i/>
          <w:iCs/>
          <w:noProof/>
        </w:rPr>
        <w:t>13</w:t>
      </w:r>
      <w:r w:rsidR="00157442" w:rsidRPr="00157442">
        <w:t>).</w:t>
      </w:r>
    </w:p>
    <w:p w14:paraId="2BEBEC76" w14:textId="184AA6E9" w:rsidR="00157442" w:rsidRPr="00157442" w:rsidRDefault="00A31BF8" w:rsidP="00157442">
      <w:r>
        <w:rPr>
          <w:noProof/>
        </w:rPr>
        <w:drawing>
          <wp:inline distT="0" distB="0" distL="0" distR="0" wp14:anchorId="5AFB5E26" wp14:editId="69D5CE22">
            <wp:extent cx="5724525" cy="2857500"/>
            <wp:effectExtent l="0" t="0" r="9525" b="0"/>
            <wp:docPr id="773561047" name="Picture 2" descr="Figure 13 is a histogram of the average number of monthly users of the Dashboard from 2022 to 2024. The count of webpage visits is heavily skewed between 0 and 2.5 average users per month. Most webpages, around 400, had between 0 to 0.5 average site visit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61047" name="Picture 2" descr="Figure 13 is a histogram of the average number of monthly users of the Dashboard from 2022 to 2024. The count of webpage visits is heavily skewed between 0 and 2.5 average users per month. Most webpages, around 400, had between 0 to 0.5 average site visits per month."/>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14DB28B0" w14:textId="3D64C8EB" w:rsidR="00157442" w:rsidRPr="00157442" w:rsidRDefault="00157442" w:rsidP="00C50B21">
      <w:pPr>
        <w:pStyle w:val="ChartorTableNote"/>
      </w:pPr>
      <w:bookmarkStart w:id="43" w:name="_Ref180487970"/>
      <w:bookmarkStart w:id="44" w:name="_Ref179813539"/>
      <w:r w:rsidRPr="00157442">
        <w:t xml:space="preserve">Figure </w:t>
      </w:r>
      <w:r w:rsidR="004776DE">
        <w:fldChar w:fldCharType="begin"/>
      </w:r>
      <w:r w:rsidR="004776DE">
        <w:instrText xml:space="preserve"> SEQ Figure \* ARABIC </w:instrText>
      </w:r>
      <w:r w:rsidR="004776DE">
        <w:fldChar w:fldCharType="separate"/>
      </w:r>
      <w:r w:rsidR="000742FA">
        <w:rPr>
          <w:noProof/>
        </w:rPr>
        <w:t>13</w:t>
      </w:r>
      <w:r w:rsidR="004776DE">
        <w:rPr>
          <w:noProof/>
        </w:rPr>
        <w:fldChar w:fldCharType="end"/>
      </w:r>
      <w:bookmarkEnd w:id="43"/>
      <w:r w:rsidRPr="00157442">
        <w:t>: Average number of Dashboard webpage users per month, 2022</w:t>
      </w:r>
      <w:r w:rsidR="00CE1949">
        <w:t>–</w:t>
      </w:r>
      <w:r w:rsidRPr="00157442">
        <w:t>2024</w:t>
      </w:r>
      <w:bookmarkEnd w:id="44"/>
      <w:r w:rsidR="006D1417" w:rsidRPr="005228BB">
        <w:rPr>
          <w:rStyle w:val="FootnoteReference"/>
          <w:vertAlign w:val="superscript"/>
        </w:rPr>
        <w:footnoteReference w:id="6"/>
      </w:r>
    </w:p>
    <w:p w14:paraId="36B495CB" w14:textId="49DA716C" w:rsidR="00157442" w:rsidRPr="00157442" w:rsidRDefault="00157442" w:rsidP="00C50B21">
      <w:pPr>
        <w:pStyle w:val="ChartorTableNote"/>
      </w:pPr>
      <w:r w:rsidRPr="00157442">
        <w:t>Source: Analysis undertaken by the Review</w:t>
      </w:r>
    </w:p>
    <w:p w14:paraId="48E36CE1" w14:textId="2A2C860B" w:rsidR="00157442" w:rsidRPr="00157442" w:rsidRDefault="008F0BA8" w:rsidP="00157442">
      <w:r>
        <w:t xml:space="preserve">If the Dashboard is </w:t>
      </w:r>
      <w:r w:rsidR="00157442" w:rsidRPr="00157442">
        <w:t>not updated to include new Commonwealth</w:t>
      </w:r>
      <w:r w:rsidR="00B65D32">
        <w:t>-</w:t>
      </w:r>
      <w:r w:rsidR="00157442" w:rsidRPr="00157442">
        <w:t>State funding agreements as they commence</w:t>
      </w:r>
      <w:r w:rsidR="002D1C94">
        <w:t xml:space="preserve"> it will become </w:t>
      </w:r>
      <w:r w:rsidR="00160846">
        <w:t xml:space="preserve">even </w:t>
      </w:r>
      <w:r w:rsidR="002D1C94">
        <w:t>less meaningful over time</w:t>
      </w:r>
      <w:r w:rsidR="00157442" w:rsidRPr="00157442">
        <w:t>.</w:t>
      </w:r>
    </w:p>
    <w:p w14:paraId="57D4CF4D" w14:textId="2FD5C7F2" w:rsidR="00157442" w:rsidRPr="00157442" w:rsidRDefault="00157442" w:rsidP="00157442">
      <w:r w:rsidRPr="00157442">
        <w:t xml:space="preserve">One option considered by the Review was to discontinue the Dashboard as a reporting product. In this scenario, performance monitoring for different agreements would continue to be the work of other bodies, such as Ministerial Councils and the AIHW. For example, the </w:t>
      </w:r>
      <w:r w:rsidRPr="00157442">
        <w:rPr>
          <w:i/>
          <w:iCs/>
        </w:rPr>
        <w:t xml:space="preserve">Better and Fairer Schools Agreement </w:t>
      </w:r>
      <w:r w:rsidR="00985E9C">
        <w:t xml:space="preserve">establishes its own arrangements, </w:t>
      </w:r>
      <w:r w:rsidRPr="00157442">
        <w:t>requir</w:t>
      </w:r>
      <w:r w:rsidR="00985E9C">
        <w:t>ing</w:t>
      </w:r>
      <w:r w:rsidRPr="00157442">
        <w:t xml:space="preserve"> ‘public reporting on progress against this Agreement through an education reporting dashboard’</w:t>
      </w:r>
      <w:r w:rsidR="00D77E0C">
        <w:t xml:space="preserve"> </w:t>
      </w:r>
      <w:sdt>
        <w:sdtPr>
          <w:id w:val="-754665337"/>
          <w:citation/>
        </w:sdtPr>
        <w:sdtEndPr/>
        <w:sdtContent>
          <w:r w:rsidR="00D77E0C" w:rsidRPr="00F94F8E">
            <w:fldChar w:fldCharType="begin"/>
          </w:r>
          <w:r w:rsidR="00C74E55" w:rsidRPr="00F94F8E">
            <w:instrText xml:space="preserve">CITATION Com24 \l 3081 </w:instrText>
          </w:r>
          <w:r w:rsidR="00D77E0C" w:rsidRPr="00F94F8E">
            <w:fldChar w:fldCharType="separate"/>
          </w:r>
          <w:r w:rsidR="003003B3" w:rsidRPr="00F94F8E">
            <w:rPr>
              <w:noProof/>
            </w:rPr>
            <w:t>(Commonwealth of Australia and Australian States and Territories 2024a)</w:t>
          </w:r>
          <w:r w:rsidR="00D77E0C" w:rsidRPr="00F94F8E">
            <w:fldChar w:fldCharType="end"/>
          </w:r>
        </w:sdtContent>
      </w:sdt>
      <w:r w:rsidRPr="00F94F8E">
        <w:t xml:space="preserve">. </w:t>
      </w:r>
      <w:r w:rsidR="007F6A44" w:rsidRPr="00F94F8E">
        <w:t xml:space="preserve">Discontinuing </w:t>
      </w:r>
      <w:r w:rsidRPr="00F94F8E">
        <w:t>the Dashboard</w:t>
      </w:r>
      <w:r w:rsidRPr="00157442">
        <w:t xml:space="preserve"> would therefore represent a saving to the Commonwealth.</w:t>
      </w:r>
    </w:p>
    <w:p w14:paraId="0B28614B" w14:textId="5017FB34" w:rsidR="00210151" w:rsidRDefault="000275F3" w:rsidP="00157442">
      <w:r>
        <w:t>However, discontinuing</w:t>
      </w:r>
      <w:r w:rsidR="00250FF8" w:rsidRPr="00250FF8">
        <w:t xml:space="preserve"> the Dashboard could </w:t>
      </w:r>
      <w:r w:rsidR="004754FE">
        <w:t>be perceived as a reduction in</w:t>
      </w:r>
      <w:r w:rsidR="00250FF8" w:rsidRPr="00250FF8">
        <w:t xml:space="preserve"> transparency and accountability on government performance</w:t>
      </w:r>
      <w:r w:rsidR="004754FE">
        <w:t>,</w:t>
      </w:r>
      <w:r w:rsidR="004754FE" w:rsidRPr="004754FE">
        <w:t xml:space="preserve"> </w:t>
      </w:r>
      <w:r w:rsidR="004754FE" w:rsidRPr="00157442">
        <w:t>particularly if the format and availability of public reporting varies between different agreements</w:t>
      </w:r>
      <w:r w:rsidR="00250FF8" w:rsidRPr="00250FF8">
        <w:t xml:space="preserve">. </w:t>
      </w:r>
      <w:r w:rsidR="00157442" w:rsidRPr="00157442">
        <w:t>For example, in housing there is no single location where all relevant performance information can be found.</w:t>
      </w:r>
    </w:p>
    <w:p w14:paraId="293392D2" w14:textId="5A613EFD" w:rsidR="0074204A" w:rsidRDefault="00BE2BA7" w:rsidP="00157442">
      <w:r w:rsidRPr="00BE2BA7">
        <w:t xml:space="preserve">Transparency has indirect and long-term benefits, </w:t>
      </w:r>
      <w:r w:rsidR="002B5438" w:rsidRPr="00157442">
        <w:t>such as increased public trust</w:t>
      </w:r>
      <w:r w:rsidR="002B5438">
        <w:t xml:space="preserve"> </w:t>
      </w:r>
      <w:r w:rsidR="002B5438" w:rsidRPr="00157442">
        <w:t>and improved government decision</w:t>
      </w:r>
      <w:r w:rsidR="00B65D32">
        <w:t>-</w:t>
      </w:r>
      <w:r w:rsidR="002B5438" w:rsidRPr="00157442">
        <w:t>making</w:t>
      </w:r>
      <w:r w:rsidR="002B5438">
        <w:t xml:space="preserve">, </w:t>
      </w:r>
      <w:r w:rsidR="00A31ACF">
        <w:t xml:space="preserve">which are difficult to </w:t>
      </w:r>
      <w:r w:rsidR="009E1A71">
        <w:t>quantify</w:t>
      </w:r>
      <w:r w:rsidRPr="00BE2BA7">
        <w:t>. This makes accurate cost-benefit analysis challenging.</w:t>
      </w:r>
      <w:r w:rsidR="00674F45">
        <w:t xml:space="preserve"> </w:t>
      </w:r>
      <w:r w:rsidR="009D394B">
        <w:t xml:space="preserve">Nevertheless, </w:t>
      </w:r>
      <w:r w:rsidR="00360987">
        <w:t>the</w:t>
      </w:r>
      <w:r w:rsidR="00157442" w:rsidRPr="00157442">
        <w:t xml:space="preserve"> Review sees value in continuing a ‘one stop shop’ approach for publicly reporting progress against commitments in major Commonwealth</w:t>
      </w:r>
      <w:r w:rsidR="00B65D32">
        <w:t>-</w:t>
      </w:r>
      <w:r w:rsidR="00157442" w:rsidRPr="00157442">
        <w:t xml:space="preserve">State funding agreements. Centralised reporting </w:t>
      </w:r>
      <w:r w:rsidR="0074204A">
        <w:t xml:space="preserve">enables users to easily access and understand </w:t>
      </w:r>
      <w:r w:rsidR="0074204A" w:rsidRPr="00157442">
        <w:t>government performance across agreements.</w:t>
      </w:r>
      <w:r w:rsidR="0074204A">
        <w:t xml:space="preserve"> It also helps </w:t>
      </w:r>
      <w:r w:rsidR="0074204A" w:rsidRPr="00157442">
        <w:t>decision</w:t>
      </w:r>
      <w:r w:rsidR="00B65D32">
        <w:t>-</w:t>
      </w:r>
      <w:r w:rsidR="0074204A" w:rsidRPr="00157442">
        <w:t>makers identify how actions and outcomes connect across service sectors.</w:t>
      </w:r>
    </w:p>
    <w:p w14:paraId="7AC81427" w14:textId="6F8E5251" w:rsidR="00157442" w:rsidRPr="00157442" w:rsidRDefault="00157442" w:rsidP="00157442">
      <w:r w:rsidRPr="00157442">
        <w:t xml:space="preserve">The Review recommends </w:t>
      </w:r>
      <w:r w:rsidR="00AF0478">
        <w:t>updating</w:t>
      </w:r>
      <w:r w:rsidRPr="00157442">
        <w:t xml:space="preserve"> the Dashboard so that it covers current key government priorities. At the time of writing, these priorities, and their performance measurement frameworks, are outlined in:</w:t>
      </w:r>
    </w:p>
    <w:p w14:paraId="68BA0A03" w14:textId="73C71D3F" w:rsidR="00157442" w:rsidRPr="00157442" w:rsidRDefault="00157442" w:rsidP="0007574A">
      <w:pPr>
        <w:pStyle w:val="Bullet"/>
        <w:spacing w:line="240" w:lineRule="auto"/>
        <w:ind w:left="357" w:hanging="357"/>
      </w:pPr>
      <w:r w:rsidRPr="00157442">
        <w:t>5 National Agreements</w:t>
      </w:r>
    </w:p>
    <w:p w14:paraId="441EFA05" w14:textId="367FC794" w:rsidR="00157442" w:rsidRPr="00157442" w:rsidRDefault="00157442" w:rsidP="0007574A">
      <w:pPr>
        <w:pStyle w:val="Dash"/>
        <w:ind w:left="714" w:hanging="357"/>
      </w:pPr>
      <w:r w:rsidRPr="00D51D8D">
        <w:rPr>
          <w:i/>
          <w:iCs/>
        </w:rPr>
        <w:t>National School Reform Agreement</w:t>
      </w:r>
      <w:r w:rsidR="00B319AB" w:rsidRPr="006B13D9">
        <w:rPr>
          <w:rStyle w:val="FootnoteReference"/>
          <w:vertAlign w:val="superscript"/>
        </w:rPr>
        <w:footnoteReference w:id="7"/>
      </w:r>
    </w:p>
    <w:p w14:paraId="736A5EFD" w14:textId="5F1839BA" w:rsidR="00157442" w:rsidRPr="00D51D8D" w:rsidRDefault="00157442" w:rsidP="0007574A">
      <w:pPr>
        <w:pStyle w:val="Dash"/>
        <w:ind w:left="714" w:hanging="357"/>
        <w:rPr>
          <w:i/>
          <w:iCs/>
        </w:rPr>
      </w:pPr>
      <w:r w:rsidRPr="00D51D8D">
        <w:rPr>
          <w:i/>
          <w:iCs/>
        </w:rPr>
        <w:t>National Health Reform Agreement</w:t>
      </w:r>
    </w:p>
    <w:p w14:paraId="52CB138F" w14:textId="3F6B80EB" w:rsidR="00157442" w:rsidRPr="00D51D8D" w:rsidRDefault="00157442" w:rsidP="0007574A">
      <w:pPr>
        <w:pStyle w:val="Dash"/>
        <w:ind w:left="714" w:hanging="357"/>
        <w:rPr>
          <w:i/>
          <w:iCs/>
        </w:rPr>
      </w:pPr>
      <w:r w:rsidRPr="00D51D8D">
        <w:rPr>
          <w:i/>
          <w:iCs/>
        </w:rPr>
        <w:t>National Mental Health and Suicide Prevention Agreement</w:t>
      </w:r>
    </w:p>
    <w:p w14:paraId="53BA3455" w14:textId="1A3D83E0" w:rsidR="00157442" w:rsidRPr="00D51D8D" w:rsidRDefault="00157442" w:rsidP="0007574A">
      <w:pPr>
        <w:pStyle w:val="Dash"/>
        <w:ind w:left="714" w:hanging="357"/>
        <w:rPr>
          <w:i/>
          <w:iCs/>
        </w:rPr>
      </w:pPr>
      <w:r w:rsidRPr="00D51D8D">
        <w:rPr>
          <w:i/>
          <w:iCs/>
        </w:rPr>
        <w:t>National Skills Agreement</w:t>
      </w:r>
    </w:p>
    <w:p w14:paraId="2976837C" w14:textId="5DB2AD89" w:rsidR="00157442" w:rsidRPr="00D51D8D" w:rsidRDefault="00157442" w:rsidP="0007574A">
      <w:pPr>
        <w:pStyle w:val="Dash"/>
        <w:ind w:left="714" w:hanging="357"/>
        <w:rPr>
          <w:i/>
          <w:iCs/>
        </w:rPr>
      </w:pPr>
      <w:r w:rsidRPr="00D51D8D">
        <w:rPr>
          <w:i/>
          <w:iCs/>
        </w:rPr>
        <w:t>National Agreement on Social Housing and Homelessness</w:t>
      </w:r>
    </w:p>
    <w:p w14:paraId="429F0762" w14:textId="2AB83AD6" w:rsidR="00157442" w:rsidRPr="00D51D8D" w:rsidRDefault="00157442" w:rsidP="0007574A">
      <w:pPr>
        <w:pStyle w:val="Bullet"/>
        <w:spacing w:line="240" w:lineRule="auto"/>
        <w:ind w:left="357" w:hanging="357"/>
        <w:rPr>
          <w:i/>
          <w:iCs/>
        </w:rPr>
      </w:pPr>
      <w:r w:rsidRPr="00D51D8D">
        <w:rPr>
          <w:i/>
          <w:iCs/>
        </w:rPr>
        <w:t xml:space="preserve">Land Transport Infrastructure Projects Agreement </w:t>
      </w:r>
    </w:p>
    <w:p w14:paraId="69EB248C" w14:textId="77777777" w:rsidR="00157442" w:rsidRPr="00157442" w:rsidRDefault="00157442" w:rsidP="0007574A">
      <w:pPr>
        <w:pStyle w:val="Bullet"/>
        <w:spacing w:line="240" w:lineRule="auto"/>
        <w:ind w:left="357" w:hanging="357"/>
      </w:pPr>
      <w:r w:rsidRPr="00D51D8D">
        <w:rPr>
          <w:i/>
          <w:iCs/>
        </w:rPr>
        <w:t>National Legal Assistance Partnership</w:t>
      </w:r>
      <w:r w:rsidRPr="00157442">
        <w:t>.</w:t>
      </w:r>
      <w:r w:rsidRPr="00157442">
        <w:rPr>
          <w:vertAlign w:val="superscript"/>
        </w:rPr>
        <w:footnoteReference w:id="8"/>
      </w:r>
    </w:p>
    <w:p w14:paraId="7C145E32" w14:textId="27EFE663" w:rsidR="003550E7" w:rsidRDefault="003550E7" w:rsidP="00157442">
      <w:r>
        <w:t>A</w:t>
      </w:r>
      <w:r w:rsidR="00071850">
        <w:t>n updated</w:t>
      </w:r>
      <w:r>
        <w:t xml:space="preserve"> Dashboard </w:t>
      </w:r>
      <w:r w:rsidR="00434234">
        <w:t xml:space="preserve">could help </w:t>
      </w:r>
      <w:r w:rsidR="00BD41C9" w:rsidRPr="00BD41C9">
        <w:t>improve the effectiveness, efficiency and equity of government services and the wellbeing of the community</w:t>
      </w:r>
      <w:r w:rsidR="00BD41C9">
        <w:t>.</w:t>
      </w:r>
    </w:p>
    <w:p w14:paraId="7CE608EA" w14:textId="1F9A434B" w:rsidR="00157442" w:rsidRPr="00157442" w:rsidRDefault="00B51A6F" w:rsidP="00157442">
      <w:r>
        <w:t xml:space="preserve">Governments have </w:t>
      </w:r>
      <w:r w:rsidR="006B13D9">
        <w:t xml:space="preserve">also </w:t>
      </w:r>
      <w:r>
        <w:t>prioritised</w:t>
      </w:r>
      <w:r w:rsidRPr="00157442">
        <w:t xml:space="preserve"> </w:t>
      </w:r>
      <w:r w:rsidR="00157442" w:rsidRPr="00157442">
        <w:t xml:space="preserve">progress against the targets and indicators agreed as part of the </w:t>
      </w:r>
      <w:r w:rsidR="00157442" w:rsidRPr="00157442">
        <w:rPr>
          <w:i/>
          <w:iCs/>
        </w:rPr>
        <w:t>National Agreement on Closing the Gap</w:t>
      </w:r>
      <w:r w:rsidR="004F7849">
        <w:t>, which are published in</w:t>
      </w:r>
      <w:r w:rsidR="00F676A6">
        <w:t xml:space="preserve"> </w:t>
      </w:r>
      <w:bookmarkStart w:id="45" w:name="_Hlk178855812"/>
      <w:r w:rsidR="00157442" w:rsidRPr="00157442">
        <w:t xml:space="preserve">the </w:t>
      </w:r>
      <w:r w:rsidR="00157442" w:rsidRPr="00157442">
        <w:rPr>
          <w:i/>
          <w:iCs/>
        </w:rPr>
        <w:t>Closing the Gap Information Repository</w:t>
      </w:r>
      <w:bookmarkEnd w:id="45"/>
      <w:r w:rsidR="004F7849">
        <w:t>. The</w:t>
      </w:r>
      <w:r w:rsidR="00F676A6">
        <w:t xml:space="preserve"> </w:t>
      </w:r>
      <w:r w:rsidR="00157442" w:rsidRPr="00157442">
        <w:t>Review is not seeking to change or duplicate this dedicated reporting product.</w:t>
      </w:r>
    </w:p>
    <w:p w14:paraId="1B7925FD" w14:textId="36D35D1B" w:rsidR="00196860" w:rsidRPr="00A33313" w:rsidRDefault="00157442" w:rsidP="00196860">
      <w:r w:rsidRPr="00157442">
        <w:t>A nationally coordinated approach across agreements could assist Ministerial Councils in satisfying their own reporting and monitoring requirements</w:t>
      </w:r>
      <w:r w:rsidR="00196860">
        <w:t>, where appropriate</w:t>
      </w:r>
      <w:r w:rsidR="00A91DEF">
        <w:t xml:space="preserve"> and n</w:t>
      </w:r>
      <w:r w:rsidR="005E485D" w:rsidRPr="00157442">
        <w:t xml:space="preserve">oting that the </w:t>
      </w:r>
      <w:r w:rsidR="00767498">
        <w:t>update</w:t>
      </w:r>
      <w:r w:rsidR="005E485D" w:rsidRPr="00157442">
        <w:t xml:space="preserve"> process will take time to implement.</w:t>
      </w:r>
      <w:r w:rsidR="005E485D">
        <w:t xml:space="preserve"> </w:t>
      </w:r>
      <w:r w:rsidR="00196860">
        <w:t xml:space="preserve">The Review </w:t>
      </w:r>
      <w:r w:rsidR="005E485D">
        <w:t xml:space="preserve">also </w:t>
      </w:r>
      <w:r w:rsidR="00196860">
        <w:t>acknowledges t</w:t>
      </w:r>
      <w:r w:rsidR="001842DC">
        <w:t>hat some agreements have specific arrangements</w:t>
      </w:r>
      <w:r w:rsidR="005E485D">
        <w:t xml:space="preserve"> that should continue independently</w:t>
      </w:r>
      <w:r w:rsidR="00196860">
        <w:t xml:space="preserve">. For example, the reporting tool being developed under the </w:t>
      </w:r>
      <w:r w:rsidR="00196860" w:rsidRPr="00157442">
        <w:rPr>
          <w:i/>
          <w:iCs/>
        </w:rPr>
        <w:t>Better and Fairer Schools Agreement</w:t>
      </w:r>
      <w:r w:rsidR="00196860">
        <w:rPr>
          <w:i/>
          <w:iCs/>
        </w:rPr>
        <w:t xml:space="preserve">. </w:t>
      </w:r>
      <w:r w:rsidR="001C3DCC">
        <w:t>Performance</w:t>
      </w:r>
      <w:r w:rsidR="00196860">
        <w:t xml:space="preserve"> measures</w:t>
      </w:r>
      <w:r w:rsidR="001C3DCC">
        <w:t xml:space="preserve"> for these agreements</w:t>
      </w:r>
      <w:r w:rsidR="00196860">
        <w:t xml:space="preserve"> should still be captured in the Dashboard</w:t>
      </w:r>
      <w:r w:rsidR="00B05B4B">
        <w:t xml:space="preserve"> and r</w:t>
      </w:r>
      <w:r w:rsidR="00B13858">
        <w:t>elevant agencies should collaborate with</w:t>
      </w:r>
      <w:r w:rsidR="00196860">
        <w:t xml:space="preserve"> the Steering Committee to </w:t>
      </w:r>
      <w:r w:rsidR="00B05B4B">
        <w:t xml:space="preserve">reduce </w:t>
      </w:r>
      <w:r w:rsidR="00196860">
        <w:t>compliance burden for data providers.</w:t>
      </w:r>
    </w:p>
    <w:p w14:paraId="6854EF74" w14:textId="2E0B6908" w:rsidR="006A547F" w:rsidRDefault="00F53C3F" w:rsidP="00157442">
      <w:r>
        <w:t xml:space="preserve">The </w:t>
      </w:r>
      <w:r w:rsidR="00767498">
        <w:t>updated</w:t>
      </w:r>
      <w:r>
        <w:t xml:space="preserve"> Dashboard should have a clear purpose set out in a terms of reference, as well as </w:t>
      </w:r>
      <w:r w:rsidRPr="00157442">
        <w:t>formal governance arrangements</w:t>
      </w:r>
      <w:r w:rsidR="00236203">
        <w:t xml:space="preserve"> to </w:t>
      </w:r>
      <w:r w:rsidR="006A547F">
        <w:t>ensure</w:t>
      </w:r>
      <w:r w:rsidR="00236203">
        <w:t xml:space="preserve"> its coverage </w:t>
      </w:r>
      <w:r w:rsidR="006A547F">
        <w:t xml:space="preserve">remains </w:t>
      </w:r>
      <w:r w:rsidR="00236203">
        <w:t>relevant</w:t>
      </w:r>
      <w:r>
        <w:t>. This approach will preve</w:t>
      </w:r>
      <w:r w:rsidR="00236203">
        <w:t>nt the Dashboard becoming out</w:t>
      </w:r>
      <w:r w:rsidR="002C7693">
        <w:t xml:space="preserve"> </w:t>
      </w:r>
      <w:r w:rsidR="00236203">
        <w:t>of</w:t>
      </w:r>
      <w:r w:rsidR="002C7693">
        <w:t xml:space="preserve"> </w:t>
      </w:r>
      <w:r w:rsidR="00236203">
        <w:t xml:space="preserve">date over time, as was the case with the 2017 approach. </w:t>
      </w:r>
      <w:r w:rsidR="00157442" w:rsidRPr="00157442">
        <w:t>The Review considers that the Steering Committee is well</w:t>
      </w:r>
      <w:r w:rsidR="00F63742">
        <w:t xml:space="preserve"> </w:t>
      </w:r>
      <w:r w:rsidR="00157442" w:rsidRPr="00157442">
        <w:t>placed to oversee the Dashboard, because of its wealth of experience in performance measurement, and the strong links between the RoGS and the Dashboard. New governance arrangements would authorise the Steering Committee to</w:t>
      </w:r>
      <w:r w:rsidR="009F66E3">
        <w:t xml:space="preserve"> include</w:t>
      </w:r>
      <w:r w:rsidR="00157442" w:rsidRPr="00157442">
        <w:t xml:space="preserve"> new major Commonwealth</w:t>
      </w:r>
      <w:r w:rsidR="00B65D32">
        <w:t>-</w:t>
      </w:r>
      <w:r w:rsidR="00157442" w:rsidRPr="00157442">
        <w:t xml:space="preserve">funding agreements into the Dashboard as they are developed, and </w:t>
      </w:r>
      <w:r w:rsidR="00172763">
        <w:t xml:space="preserve">remove </w:t>
      </w:r>
      <w:r w:rsidR="006A547F">
        <w:t xml:space="preserve">reporting on </w:t>
      </w:r>
      <w:r w:rsidR="00157442" w:rsidRPr="00157442">
        <w:t xml:space="preserve">older versions. </w:t>
      </w:r>
    </w:p>
    <w:p w14:paraId="1E2E564A" w14:textId="35688019" w:rsidR="00157442" w:rsidRPr="00157442" w:rsidRDefault="00892F65" w:rsidP="00157442">
      <w:r>
        <w:t>A</w:t>
      </w:r>
      <w:r w:rsidR="00157442" w:rsidRPr="00157442">
        <w:t xml:space="preserve"> renewed commitment</w:t>
      </w:r>
      <w:r w:rsidR="00D22EF7">
        <w:t xml:space="preserve"> to the Dashboard</w:t>
      </w:r>
      <w:r w:rsidR="00157442" w:rsidRPr="00157442">
        <w:t xml:space="preserve"> </w:t>
      </w:r>
      <w:r w:rsidR="00D22EF7">
        <w:t>by</w:t>
      </w:r>
      <w:r w:rsidR="00D22EF7" w:rsidRPr="00157442">
        <w:t xml:space="preserve"> </w:t>
      </w:r>
      <w:r w:rsidR="00157442" w:rsidRPr="00157442">
        <w:t xml:space="preserve">governments will </w:t>
      </w:r>
      <w:r w:rsidR="00A860F7">
        <w:t>publicly demonstrate</w:t>
      </w:r>
      <w:r w:rsidR="00157442" w:rsidRPr="00157442">
        <w:t xml:space="preserve"> the value </w:t>
      </w:r>
      <w:r w:rsidR="00A83055">
        <w:t>they</w:t>
      </w:r>
      <w:r w:rsidR="00157442" w:rsidRPr="00157442">
        <w:t xml:space="preserve"> place on transparency</w:t>
      </w:r>
      <w:r w:rsidR="00A83055">
        <w:t>,</w:t>
      </w:r>
      <w:r w:rsidR="00157442" w:rsidRPr="00157442">
        <w:t xml:space="preserve"> accountability </w:t>
      </w:r>
      <w:r w:rsidR="00A83055">
        <w:t>and action in</w:t>
      </w:r>
      <w:r w:rsidR="00157442" w:rsidRPr="00157442">
        <w:t xml:space="preserve"> major service delivery areas. </w:t>
      </w:r>
    </w:p>
    <w:p w14:paraId="6B39419E" w14:textId="781DBFDF" w:rsidR="008324D9" w:rsidRDefault="00157442" w:rsidP="00157442">
      <w:pPr>
        <w:pStyle w:val="Heading3"/>
      </w:pPr>
      <w:r>
        <w:t>Promoting performance reporting for reform</w:t>
      </w:r>
    </w:p>
    <w:p w14:paraId="60922EB3" w14:textId="3717EF75" w:rsidR="000278DD" w:rsidRPr="000278DD" w:rsidRDefault="000278DD" w:rsidP="000278DD">
      <w:r w:rsidRPr="000278DD">
        <w:t>Currently, the RoGS and the Dashboard are not formally connected to any key decision</w:t>
      </w:r>
      <w:r w:rsidRPr="000278DD">
        <w:rPr>
          <w:rFonts w:ascii="Cambria Math" w:hAnsi="Cambria Math" w:cs="Cambria Math"/>
        </w:rPr>
        <w:t>‑</w:t>
      </w:r>
      <w:r w:rsidRPr="000278DD">
        <w:t>making bodies.</w:t>
      </w:r>
      <w:r w:rsidR="00BA110E">
        <w:t xml:space="preserve"> This is not necessary for</w:t>
      </w:r>
      <w:r w:rsidRPr="000278DD">
        <w:t xml:space="preserve"> transparency and accountability </w:t>
      </w:r>
      <w:r w:rsidR="00BA110E">
        <w:t xml:space="preserve">processes to be </w:t>
      </w:r>
      <w:r w:rsidRPr="000278DD">
        <w:t>effective,</w:t>
      </w:r>
      <w:r w:rsidR="00B903B6">
        <w:t xml:space="preserve"> but</w:t>
      </w:r>
      <w:r w:rsidRPr="000278DD">
        <w:t xml:space="preserve"> the Review considers it </w:t>
      </w:r>
      <w:r w:rsidR="00B903B6">
        <w:t xml:space="preserve">could </w:t>
      </w:r>
      <w:r w:rsidR="00AC240C">
        <w:t>link</w:t>
      </w:r>
      <w:r w:rsidR="00B903B6" w:rsidRPr="000278DD">
        <w:t xml:space="preserve"> </w:t>
      </w:r>
      <w:r w:rsidRPr="000278DD">
        <w:t>national performance reporting to conversations on cross</w:t>
      </w:r>
      <w:r w:rsidR="00B65D32">
        <w:t>-</w:t>
      </w:r>
      <w:r w:rsidRPr="000278DD">
        <w:t>jurisdictional policy and best practice.</w:t>
      </w:r>
    </w:p>
    <w:p w14:paraId="6316846F" w14:textId="60E20ECB" w:rsidR="000278DD" w:rsidRPr="000278DD" w:rsidRDefault="000278DD" w:rsidP="000278DD">
      <w:r w:rsidRPr="000278DD">
        <w:t xml:space="preserve">Following the 2009 review, the Steering Committee provided 3 written reports to COAG in 2012, 2015 and 2018 </w:t>
      </w:r>
      <w:sdt>
        <w:sdtPr>
          <w:id w:val="-795523889"/>
          <w:citation/>
        </w:sdtPr>
        <w:sdtEndPr/>
        <w:sdtContent>
          <w:r w:rsidRPr="000278DD">
            <w:fldChar w:fldCharType="begin"/>
          </w:r>
          <w:r w:rsidR="00C74E55">
            <w:instrText xml:space="preserve">CITATION Sec24 \l 3081 </w:instrText>
          </w:r>
          <w:r w:rsidRPr="000278DD">
            <w:fldChar w:fldCharType="separate"/>
          </w:r>
          <w:r w:rsidR="003003B3">
            <w:rPr>
              <w:noProof/>
            </w:rPr>
            <w:t>(PC 2024b)</w:t>
          </w:r>
          <w:r w:rsidRPr="000278DD">
            <w:fldChar w:fldCharType="end"/>
          </w:r>
        </w:sdtContent>
      </w:sdt>
      <w:r w:rsidRPr="000278DD">
        <w:t xml:space="preserve">. </w:t>
      </w:r>
      <w:r w:rsidR="003A148A">
        <w:t xml:space="preserve">In the </w:t>
      </w:r>
      <w:r w:rsidR="00CF292C">
        <w:t>Review</w:t>
      </w:r>
      <w:r w:rsidR="003A148A">
        <w:t>’s opinion</w:t>
      </w:r>
      <w:r w:rsidR="00CF292C">
        <w:t xml:space="preserve"> </w:t>
      </w:r>
      <w:r w:rsidR="00776C00">
        <w:t>t</w:t>
      </w:r>
      <w:r w:rsidR="00CF292C">
        <w:t>his</w:t>
      </w:r>
      <w:r w:rsidRPr="000278DD">
        <w:t xml:space="preserve"> advice was mostly procedural </w:t>
      </w:r>
      <w:r w:rsidR="00776C00">
        <w:t xml:space="preserve">and </w:t>
      </w:r>
      <w:r w:rsidRPr="000278DD">
        <w:t xml:space="preserve">became </w:t>
      </w:r>
      <w:r w:rsidR="008B0698">
        <w:t>repetitive</w:t>
      </w:r>
      <w:r w:rsidR="008B0698" w:rsidRPr="000278DD">
        <w:t xml:space="preserve"> </w:t>
      </w:r>
      <w:r w:rsidR="00776C00">
        <w:t>by its second edition</w:t>
      </w:r>
      <w:r w:rsidRPr="000278DD">
        <w:t>.</w:t>
      </w:r>
    </w:p>
    <w:p w14:paraId="71E37661" w14:textId="11B49F5C" w:rsidR="000278DD" w:rsidRPr="000278DD" w:rsidRDefault="00B94A80" w:rsidP="000278DD">
      <w:r>
        <w:t>B</w:t>
      </w:r>
      <w:r w:rsidR="000278DD" w:rsidRPr="000278DD">
        <w:t>etween 2010 and 2014, the C</w:t>
      </w:r>
      <w:r w:rsidR="003A148A">
        <w:t>RC</w:t>
      </w:r>
      <w:r w:rsidR="000278DD" w:rsidRPr="000278DD">
        <w:t xml:space="preserve"> reported to COAG on the performance of governments under National Agreements, </w:t>
      </w:r>
      <w:r w:rsidR="00E8134B">
        <w:t>which included</w:t>
      </w:r>
      <w:r w:rsidR="000278DD" w:rsidRPr="000278DD">
        <w:t xml:space="preserve"> comparative analysis between jurisdictions</w:t>
      </w:r>
      <w:r w:rsidR="00D547E7">
        <w:t xml:space="preserve"> (</w:t>
      </w:r>
      <w:r w:rsidR="00D276C7" w:rsidRPr="00D276C7">
        <w:rPr>
          <w:i/>
          <w:iCs/>
        </w:rPr>
        <w:t>Chapter 2: Overview of the reporting products</w:t>
      </w:r>
      <w:r w:rsidR="00D547E7">
        <w:t>)</w:t>
      </w:r>
      <w:r w:rsidR="000278DD" w:rsidRPr="00E35964">
        <w:rPr>
          <w:i/>
          <w:iCs/>
        </w:rPr>
        <w:t>.</w:t>
      </w:r>
      <w:r w:rsidR="000278DD" w:rsidRPr="000278DD">
        <w:t xml:space="preserve"> However, since the dissolution of the </w:t>
      </w:r>
      <w:r w:rsidR="00E8134B">
        <w:t>CRC</w:t>
      </w:r>
      <w:r w:rsidR="000278DD" w:rsidRPr="000278DD">
        <w:t xml:space="preserve"> in 2014 there has been no dedicated body undertaking performance monitoring, assessment and reporting across these agreements. </w:t>
      </w:r>
      <w:r w:rsidR="000278DD" w:rsidRPr="000278DD">
        <w:rPr>
          <w:i/>
          <w:iCs/>
        </w:rPr>
        <w:t xml:space="preserve">Schedule C </w:t>
      </w:r>
      <w:r w:rsidR="000278DD" w:rsidRPr="000278DD">
        <w:t>still reflects the former arrangements, despite governments recommitting to the IGA FFR in 2022.</w:t>
      </w:r>
    </w:p>
    <w:p w14:paraId="6D60F4D9" w14:textId="0425F75D" w:rsidR="000278DD" w:rsidRPr="000278DD" w:rsidRDefault="00662503" w:rsidP="000278DD">
      <w:r w:rsidRPr="000278DD">
        <w:t>Without direct links to national bodies</w:t>
      </w:r>
      <w:r>
        <w:t>,</w:t>
      </w:r>
      <w:r w:rsidRPr="000278DD">
        <w:t xml:space="preserve"> the</w:t>
      </w:r>
      <w:r>
        <w:t xml:space="preserve">re appear to be fewer reform conversations in the context of </w:t>
      </w:r>
      <w:r w:rsidRPr="000278DD">
        <w:t>cross</w:t>
      </w:r>
      <w:r w:rsidR="00B65D32">
        <w:t>-</w:t>
      </w:r>
      <w:r w:rsidRPr="000278DD">
        <w:t>sectoral performance</w:t>
      </w:r>
      <w:r>
        <w:t>,</w:t>
      </w:r>
      <w:r w:rsidRPr="000278DD">
        <w:t xml:space="preserve"> </w:t>
      </w:r>
      <w:r>
        <w:t xml:space="preserve">despite the existence of </w:t>
      </w:r>
      <w:r w:rsidRPr="000278DD">
        <w:t>the RoGS and the Dashboard</w:t>
      </w:r>
      <w:r>
        <w:t xml:space="preserve">. </w:t>
      </w:r>
      <w:r w:rsidR="00A85426">
        <w:t>The</w:t>
      </w:r>
      <w:r w:rsidR="000278DD" w:rsidRPr="000278DD">
        <w:t xml:space="preserve"> Dashboard was intended to bridge the gap left by the </w:t>
      </w:r>
      <w:r w:rsidR="00E8134B">
        <w:t>CRC</w:t>
      </w:r>
      <w:r w:rsidR="000278DD" w:rsidRPr="000278DD">
        <w:t>,</w:t>
      </w:r>
      <w:r w:rsidR="00A85426">
        <w:t xml:space="preserve"> but</w:t>
      </w:r>
      <w:r w:rsidR="000278DD" w:rsidRPr="000278DD">
        <w:t xml:space="preserve"> it is unclear whether COAG ever directly </w:t>
      </w:r>
      <w:r w:rsidR="00C87F19">
        <w:t>used</w:t>
      </w:r>
      <w:r w:rsidR="000278DD" w:rsidRPr="000278DD">
        <w:t xml:space="preserve"> the product in its discussions</w:t>
      </w:r>
      <w:r w:rsidR="00675E66">
        <w:t xml:space="preserve">. The Review found </w:t>
      </w:r>
      <w:r w:rsidR="0021669C">
        <w:t>no evidence of this</w:t>
      </w:r>
      <w:r w:rsidR="000278DD" w:rsidRPr="000278DD">
        <w:t xml:space="preserve"> in any post</w:t>
      </w:r>
      <w:r w:rsidR="00B65D32">
        <w:t>-</w:t>
      </w:r>
      <w:r w:rsidR="000278DD" w:rsidRPr="000278DD">
        <w:t>meeting communiqués.</w:t>
      </w:r>
      <w:r w:rsidR="0063009C" w:rsidRPr="0063009C">
        <w:t xml:space="preserve"> </w:t>
      </w:r>
      <w:r w:rsidR="0063009C">
        <w:t>Post-COAG, t</w:t>
      </w:r>
      <w:r w:rsidR="0063009C" w:rsidRPr="000278DD">
        <w:t xml:space="preserve">he RoGS and the Dashboard have not been referenced by National Cabinet in any </w:t>
      </w:r>
      <w:r w:rsidR="00D17619">
        <w:br/>
      </w:r>
      <w:r w:rsidR="0063009C" w:rsidRPr="000278DD">
        <w:t>post</w:t>
      </w:r>
      <w:r w:rsidR="00B65D32">
        <w:t>-</w:t>
      </w:r>
      <w:r w:rsidR="0063009C" w:rsidRPr="000278DD">
        <w:t>meeting communication.</w:t>
      </w:r>
      <w:r w:rsidR="0063009C">
        <w:t xml:space="preserve"> </w:t>
      </w:r>
    </w:p>
    <w:p w14:paraId="3B9E1D1F" w14:textId="51100D56" w:rsidR="000278DD" w:rsidRPr="000278DD" w:rsidRDefault="000278DD" w:rsidP="009A717A">
      <w:r w:rsidRPr="000278DD">
        <w:t xml:space="preserve">Low productivity and tight fiscal environments make it critical </w:t>
      </w:r>
      <w:r w:rsidR="00810731">
        <w:t>for</w:t>
      </w:r>
      <w:r w:rsidRPr="000278DD">
        <w:t xml:space="preserve"> government services </w:t>
      </w:r>
      <w:r w:rsidR="00810731">
        <w:t>to be</w:t>
      </w:r>
      <w:r w:rsidR="00810731" w:rsidRPr="000278DD">
        <w:t xml:space="preserve"> </w:t>
      </w:r>
      <w:r w:rsidRPr="000278DD">
        <w:t>effective, efficient and equitable. While the previous reporting relationship for the RoGS and National Agreement performance was centred on COAG, in the refreshed Commonwealth</w:t>
      </w:r>
      <w:r w:rsidR="00B65D32">
        <w:t>-</w:t>
      </w:r>
      <w:r w:rsidRPr="000278DD">
        <w:t>State relations architecture, the Review considers such reporting would better sit within the responsibilities of CFFR</w:t>
      </w:r>
      <w:r w:rsidR="0074671E">
        <w:t>.</w:t>
      </w:r>
      <w:r w:rsidRPr="000278DD">
        <w:t xml:space="preserve"> </w:t>
      </w:r>
      <w:r w:rsidR="00542C7C">
        <w:t>CFFR includes</w:t>
      </w:r>
      <w:r w:rsidRPr="000278DD">
        <w:t xml:space="preserve"> all Australian Treasurers and has a broad </w:t>
      </w:r>
      <w:r w:rsidR="00196F03">
        <w:t>scope</w:t>
      </w:r>
      <w:r w:rsidRPr="000278DD">
        <w:t>, including to:</w:t>
      </w:r>
    </w:p>
    <w:p w14:paraId="3BD00481" w14:textId="6F94FB7B" w:rsidR="000278DD" w:rsidRPr="000278DD" w:rsidRDefault="00C7077D" w:rsidP="0048269D">
      <w:pPr>
        <w:pStyle w:val="Bullet"/>
        <w:spacing w:line="240" w:lineRule="auto"/>
        <w:ind w:left="357" w:hanging="357"/>
      </w:pPr>
      <w:r>
        <w:t>i</w:t>
      </w:r>
      <w:r w:rsidR="000278DD" w:rsidRPr="000278DD">
        <w:t>mprove national economic and fiscal outcomes, and the wellbeing of all Australians</w:t>
      </w:r>
    </w:p>
    <w:p w14:paraId="3649A553" w14:textId="7AC366D6" w:rsidR="000278DD" w:rsidRPr="000278DD" w:rsidRDefault="005A757A" w:rsidP="0048269D">
      <w:pPr>
        <w:pStyle w:val="Bullet"/>
        <w:spacing w:line="240" w:lineRule="auto"/>
        <w:ind w:left="357" w:hanging="357"/>
      </w:pPr>
      <w:r>
        <w:t>p</w:t>
      </w:r>
      <w:r w:rsidR="000278DD" w:rsidRPr="000278DD">
        <w:t>rogress fiscal and economic reforms in areas of national significance, including productivity</w:t>
      </w:r>
    </w:p>
    <w:p w14:paraId="42584089" w14:textId="6E54A6BA" w:rsidR="000278DD" w:rsidRPr="000278DD" w:rsidRDefault="005A757A" w:rsidP="0048269D">
      <w:pPr>
        <w:pStyle w:val="Bullet"/>
        <w:spacing w:line="240" w:lineRule="auto"/>
        <w:ind w:left="357" w:hanging="357"/>
      </w:pPr>
      <w:r>
        <w:t>o</w:t>
      </w:r>
      <w:r w:rsidR="000278DD" w:rsidRPr="000278DD">
        <w:t>versee Commonwealth</w:t>
      </w:r>
      <w:r w:rsidR="00B65D32">
        <w:t>-</w:t>
      </w:r>
      <w:r w:rsidR="000278DD" w:rsidRPr="000278DD">
        <w:t>State funding agreements</w:t>
      </w:r>
    </w:p>
    <w:p w14:paraId="4EB0AA60" w14:textId="00505711" w:rsidR="000278DD" w:rsidRPr="000278DD" w:rsidRDefault="005A757A" w:rsidP="0048269D">
      <w:pPr>
        <w:pStyle w:val="Bullet"/>
        <w:spacing w:line="240" w:lineRule="auto"/>
        <w:ind w:left="357" w:hanging="357"/>
      </w:pPr>
      <w:r>
        <w:t>a</w:t>
      </w:r>
      <w:r w:rsidR="000278DD" w:rsidRPr="000278DD">
        <w:t>dvocate for cross</w:t>
      </w:r>
      <w:r w:rsidR="00B65D32">
        <w:t>-</w:t>
      </w:r>
      <w:r w:rsidR="000278DD" w:rsidRPr="000278DD">
        <w:t xml:space="preserve">cutting reforms </w:t>
      </w:r>
      <w:sdt>
        <w:sdtPr>
          <w:id w:val="-795062107"/>
          <w:citation/>
        </w:sdtPr>
        <w:sdtEndPr/>
        <w:sdtContent>
          <w:r w:rsidR="000278DD" w:rsidRPr="000278DD">
            <w:fldChar w:fldCharType="begin"/>
          </w:r>
          <w:r w:rsidR="00C74E55">
            <w:instrText xml:space="preserve">CITATION Cou23 \l 3081 </w:instrText>
          </w:r>
          <w:r w:rsidR="000278DD" w:rsidRPr="000278DD">
            <w:fldChar w:fldCharType="separate"/>
          </w:r>
          <w:r w:rsidR="003003B3">
            <w:rPr>
              <w:noProof/>
            </w:rPr>
            <w:t>(CFFR 2023)</w:t>
          </w:r>
          <w:r w:rsidR="000278DD" w:rsidRPr="000278DD">
            <w:fldChar w:fldCharType="end"/>
          </w:r>
        </w:sdtContent>
      </w:sdt>
      <w:r w:rsidR="000278DD" w:rsidRPr="000278DD">
        <w:t>.</w:t>
      </w:r>
    </w:p>
    <w:p w14:paraId="6A850036" w14:textId="398A33A7" w:rsidR="000278DD" w:rsidRPr="000278DD" w:rsidRDefault="000278DD" w:rsidP="000278DD">
      <w:r w:rsidRPr="000278DD">
        <w:t>Given CFFR’s wide</w:t>
      </w:r>
      <w:r w:rsidR="00C70084">
        <w:t xml:space="preserve"> range of</w:t>
      </w:r>
      <w:r w:rsidRPr="000278DD">
        <w:t xml:space="preserve"> responsibilities, the Review recommends that the Chair of the Steering Committee report </w:t>
      </w:r>
      <w:r w:rsidR="00A451B3">
        <w:t>annually</w:t>
      </w:r>
      <w:r w:rsidRPr="000278DD">
        <w:t xml:space="preserve"> to Heads of Treasuries (HoTs)</w:t>
      </w:r>
      <w:r w:rsidR="00932D32">
        <w:t xml:space="preserve"> </w:t>
      </w:r>
      <w:r w:rsidR="00F33003">
        <w:t>instead of</w:t>
      </w:r>
      <w:r w:rsidR="00932D32" w:rsidRPr="000278DD">
        <w:t xml:space="preserve"> reporting directly to Australian Treasurers</w:t>
      </w:r>
      <w:r w:rsidRPr="000278DD">
        <w:t xml:space="preserve">. HoTs is a supporting forum for CFFR </w:t>
      </w:r>
      <w:r w:rsidR="000E6DFA">
        <w:t xml:space="preserve">that is </w:t>
      </w:r>
      <w:r w:rsidR="0040535E" w:rsidRPr="000278DD">
        <w:t>chaired by the Secretary of the Commonwealth Treasury</w:t>
      </w:r>
      <w:r w:rsidR="0040535E" w:rsidRPr="000278DD" w:rsidDel="0040535E">
        <w:t xml:space="preserve"> </w:t>
      </w:r>
      <w:r w:rsidR="0040535E">
        <w:t>and includes</w:t>
      </w:r>
      <w:r w:rsidR="0040535E" w:rsidRPr="000278DD">
        <w:t xml:space="preserve"> </w:t>
      </w:r>
      <w:r w:rsidRPr="000278DD">
        <w:t xml:space="preserve">the head of </w:t>
      </w:r>
      <w:r w:rsidR="0040535E" w:rsidRPr="000278DD">
        <w:t>each State and Territor</w:t>
      </w:r>
      <w:r w:rsidR="0040535E">
        <w:t>y’s</w:t>
      </w:r>
      <w:r w:rsidRPr="000278DD">
        <w:t xml:space="preserve"> Treasury department. </w:t>
      </w:r>
      <w:r w:rsidR="000E6DFA">
        <w:t>The</w:t>
      </w:r>
      <w:r w:rsidRPr="000278DD">
        <w:t xml:space="preserve"> primary purpose of HoTs meetings is to review </w:t>
      </w:r>
      <w:r w:rsidR="000F234B">
        <w:t xml:space="preserve">and assesses </w:t>
      </w:r>
      <w:r w:rsidRPr="000278DD">
        <w:t xml:space="preserve">draft papers </w:t>
      </w:r>
      <w:r w:rsidR="000F234B">
        <w:t>on</w:t>
      </w:r>
      <w:r w:rsidRPr="000278DD">
        <w:t xml:space="preserve"> their readiness and suitability to progress to CFFR</w:t>
      </w:r>
      <w:r w:rsidR="00DA2A02">
        <w:t>.</w:t>
      </w:r>
      <w:r w:rsidRPr="000278DD">
        <w:t xml:space="preserve"> HoTs can also consider bespoke agenda items and delegate work to other forums, including </w:t>
      </w:r>
      <w:r w:rsidR="00495B6E" w:rsidRPr="000278DD">
        <w:t>Deput</w:t>
      </w:r>
      <w:r w:rsidR="000C3D2B">
        <w:t>y</w:t>
      </w:r>
      <w:r w:rsidR="00495B6E" w:rsidRPr="000278DD">
        <w:t xml:space="preserve"> </w:t>
      </w:r>
      <w:r w:rsidRPr="000278DD">
        <w:t>Heads of Treasuries (DHoTs) and CFFR working groups.</w:t>
      </w:r>
    </w:p>
    <w:p w14:paraId="0B660192" w14:textId="24D3955F" w:rsidR="000278DD" w:rsidRPr="000278DD" w:rsidRDefault="000278DD" w:rsidP="000278DD">
      <w:r w:rsidRPr="000278DD">
        <w:t>A formal relationship between the Chair of the Steering Committee and HoTs would deepen members’ understanding of government progress across sectors</w:t>
      </w:r>
      <w:r w:rsidR="002D6702">
        <w:t>. It would also</w:t>
      </w:r>
      <w:r w:rsidRPr="000278DD">
        <w:t xml:space="preserve"> assist in identifying national reform opportunities. HoTs would be able to promote issues to Treasurers for discussion or action, consistent with CFFR’s terms of reference. </w:t>
      </w:r>
    </w:p>
    <w:p w14:paraId="6356EB5E" w14:textId="5C692C28" w:rsidR="000278DD" w:rsidRPr="000278DD" w:rsidRDefault="000278DD" w:rsidP="000278DD">
      <w:r w:rsidRPr="000278DD">
        <w:t xml:space="preserve">The report to HoTs should be engaging and strategic to prevent it becoming a compliance exercise. </w:t>
      </w:r>
      <w:r w:rsidR="00106226">
        <w:t xml:space="preserve">One option could be to focus on a priority service area or topic. </w:t>
      </w:r>
      <w:r w:rsidRPr="000278DD">
        <w:t>The scope, parameters, format and timing of the report should be developed by the Steering Committee in collaboration with DHoTs and HoTs</w:t>
      </w:r>
      <w:r w:rsidR="00475F98">
        <w:t>.</w:t>
      </w:r>
      <w:r w:rsidRPr="000278DD">
        <w:t xml:space="preserve"> </w:t>
      </w:r>
      <w:r w:rsidR="00475F98">
        <w:t>O</w:t>
      </w:r>
      <w:r w:rsidRPr="000278DD">
        <w:t>ther bodies responsible for performance monitoring and reporting</w:t>
      </w:r>
      <w:r w:rsidR="00475F98">
        <w:t xml:space="preserve"> should also be consulted</w:t>
      </w:r>
      <w:r w:rsidRPr="000278DD">
        <w:t>, including Ministerial Councils and the AIHW. Reporting could be verbal or written, but should take place at least once a year</w:t>
      </w:r>
      <w:r w:rsidR="00A17072">
        <w:t>. I</w:t>
      </w:r>
      <w:r w:rsidRPr="000278DD">
        <w:t xml:space="preserve">nterim reporting </w:t>
      </w:r>
      <w:r w:rsidR="00A17072">
        <w:t xml:space="preserve">could be </w:t>
      </w:r>
      <w:r w:rsidR="000816CA">
        <w:t>added</w:t>
      </w:r>
      <w:r w:rsidR="009D5025">
        <w:t>,</w:t>
      </w:r>
      <w:r w:rsidR="000816CA">
        <w:t xml:space="preserve"> </w:t>
      </w:r>
      <w:r w:rsidRPr="000278DD">
        <w:t xml:space="preserve">where useful, such as before a State, Territory or Federal election. </w:t>
      </w:r>
      <w:r w:rsidR="00F13565">
        <w:t>The report could also capture progress in implementing the review recommendations and any key learnings to date.</w:t>
      </w:r>
    </w:p>
    <w:p w14:paraId="1890713B" w14:textId="43FFA580" w:rsidR="000278DD" w:rsidRPr="000278DD" w:rsidRDefault="000278DD" w:rsidP="000278DD">
      <w:r w:rsidRPr="000278DD">
        <w:t>In designing the new report, the Steering Committee should examine the 3 previous reports provided to COAG as well as other reporting approaches to identify effective elements for engaging with HoTs (</w:t>
      </w:r>
      <w:r w:rsidR="00427FAB" w:rsidRPr="00427FAB">
        <w:rPr>
          <w:i/>
          <w:iCs/>
        </w:rPr>
        <w:t>Information</w:t>
      </w:r>
      <w:r w:rsidR="00427FAB" w:rsidRPr="00F80147">
        <w:t xml:space="preserve"> Box 6: Effective national reporting for decision-makers</w:t>
      </w:r>
      <w:r w:rsidRPr="000278DD">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0278DD" w14:paraId="35062875" w14:textId="77777777" w:rsidTr="00B11057">
        <w:trPr>
          <w:trHeight w:val="1858"/>
        </w:trPr>
        <w:tc>
          <w:tcPr>
            <w:tcW w:w="5000" w:type="pct"/>
            <w:shd w:val="clear" w:color="auto" w:fill="EEEEEE" w:themeFill="background2"/>
          </w:tcPr>
          <w:p w14:paraId="13D912DE" w14:textId="7DACA55F" w:rsidR="000278DD" w:rsidRPr="00F80147" w:rsidRDefault="00F80147" w:rsidP="00F80147">
            <w:pPr>
              <w:pStyle w:val="BoxHeading"/>
            </w:pPr>
            <w:bookmarkStart w:id="46" w:name="_Ref180488540"/>
            <w:r w:rsidRPr="00F80147">
              <w:t>Information Box 6</w:t>
            </w:r>
            <w:r w:rsidR="000278DD" w:rsidRPr="00F80147">
              <w:t>: Effective national reporting for decision</w:t>
            </w:r>
            <w:r w:rsidR="00B65D32" w:rsidRPr="00F80147">
              <w:t>-</w:t>
            </w:r>
            <w:r w:rsidR="000278DD" w:rsidRPr="00F80147">
              <w:t>makers</w:t>
            </w:r>
            <w:bookmarkEnd w:id="46"/>
          </w:p>
          <w:p w14:paraId="197E8760" w14:textId="3A2B1388" w:rsidR="006357DF" w:rsidRPr="00B66B0B" w:rsidRDefault="006357DF" w:rsidP="00F80147">
            <w:pPr>
              <w:pStyle w:val="BoxText"/>
              <w:rPr>
                <w:rStyle w:val="eop"/>
                <w:rFonts w:eastAsia="Aptos" w:cs="Calibri Light"/>
                <w:b/>
                <w:sz w:val="20"/>
              </w:rPr>
            </w:pPr>
            <w:r w:rsidRPr="00B66B0B">
              <w:rPr>
                <w:rFonts w:eastAsia="Aptos"/>
              </w:rPr>
              <w:t xml:space="preserve">An engaging and strategic report to a </w:t>
            </w:r>
            <w:r w:rsidR="0060195D" w:rsidRPr="00B66B0B">
              <w:rPr>
                <w:rFonts w:eastAsia="Aptos"/>
              </w:rPr>
              <w:t xml:space="preserve">decision-making </w:t>
            </w:r>
            <w:r w:rsidRPr="00B66B0B">
              <w:rPr>
                <w:rFonts w:eastAsia="Aptos"/>
              </w:rPr>
              <w:t>body should be clear and concise</w:t>
            </w:r>
            <w:r w:rsidR="0060195D" w:rsidRPr="00B66B0B">
              <w:rPr>
                <w:rFonts w:eastAsia="Aptos"/>
              </w:rPr>
              <w:t>. It should also</w:t>
            </w:r>
            <w:r w:rsidRPr="00B66B0B">
              <w:rPr>
                <w:rFonts w:eastAsia="Aptos"/>
              </w:rPr>
              <w:t xml:space="preserve"> be </w:t>
            </w:r>
            <w:r w:rsidR="000740D7" w:rsidRPr="00B66B0B">
              <w:rPr>
                <w:rFonts w:eastAsia="Aptos"/>
              </w:rPr>
              <w:t xml:space="preserve">effectively </w:t>
            </w:r>
            <w:r w:rsidRPr="00B66B0B">
              <w:rPr>
                <w:rFonts w:eastAsia="Aptos"/>
              </w:rPr>
              <w:t xml:space="preserve">linked to policymaking and </w:t>
            </w:r>
            <w:r w:rsidR="00C55A4C" w:rsidRPr="00B66B0B">
              <w:rPr>
                <w:rFonts w:eastAsia="Aptos"/>
              </w:rPr>
              <w:t xml:space="preserve">make the most of </w:t>
            </w:r>
            <w:r w:rsidR="001B2E32" w:rsidRPr="00B66B0B">
              <w:rPr>
                <w:rFonts w:eastAsia="Aptos"/>
              </w:rPr>
              <w:t>relevant national discussions</w:t>
            </w:r>
            <w:r w:rsidRPr="00B66B0B">
              <w:rPr>
                <w:rFonts w:eastAsia="Aptos"/>
              </w:rPr>
              <w:t>.</w:t>
            </w:r>
          </w:p>
          <w:p w14:paraId="0D691FF4" w14:textId="512B6A6B" w:rsidR="00BC29C9" w:rsidRPr="00B66B0B" w:rsidRDefault="003662BB" w:rsidP="00F80147">
            <w:pPr>
              <w:pStyle w:val="BoxText"/>
              <w:rPr>
                <w:rFonts w:eastAsia="Aptos"/>
              </w:rPr>
            </w:pPr>
            <w:r w:rsidRPr="00B66B0B">
              <w:rPr>
                <w:rFonts w:eastAsia="Aptos"/>
              </w:rPr>
              <w:t>T</w:t>
            </w:r>
            <w:r w:rsidR="006357DF" w:rsidRPr="00B66B0B">
              <w:rPr>
                <w:rFonts w:eastAsia="Aptos"/>
              </w:rPr>
              <w:t xml:space="preserve">he Commonwealth Grants Commission’s </w:t>
            </w:r>
            <w:r w:rsidR="004073C2" w:rsidRPr="00B66B0B">
              <w:rPr>
                <w:rFonts w:eastAsia="Aptos"/>
              </w:rPr>
              <w:t xml:space="preserve">(CGC) </w:t>
            </w:r>
            <w:r w:rsidR="00BC29C9" w:rsidRPr="00B66B0B">
              <w:rPr>
                <w:rFonts w:eastAsia="Aptos"/>
              </w:rPr>
              <w:t>state snapshots</w:t>
            </w:r>
            <w:r w:rsidR="00BC29C9" w:rsidRPr="00B66B0B">
              <w:rPr>
                <w:rStyle w:val="Hyperlink"/>
                <w:rFonts w:eastAsia="Aptos" w:cs="Calibri Light"/>
                <w:color w:val="0563C1"/>
                <w:sz w:val="20"/>
              </w:rPr>
              <w:t xml:space="preserve"> </w:t>
            </w:r>
            <w:r w:rsidR="00BC29C9" w:rsidRPr="00B66B0B">
              <w:rPr>
                <w:rFonts w:eastAsia="Aptos"/>
              </w:rPr>
              <w:t xml:space="preserve">are </w:t>
            </w:r>
            <w:r w:rsidR="00B9373F" w:rsidRPr="00B66B0B">
              <w:rPr>
                <w:rFonts w:eastAsia="Aptos"/>
              </w:rPr>
              <w:t xml:space="preserve">not </w:t>
            </w:r>
            <w:r w:rsidR="00B83A80" w:rsidRPr="00B66B0B">
              <w:rPr>
                <w:rFonts w:eastAsia="Aptos"/>
              </w:rPr>
              <w:t xml:space="preserve">specifically </w:t>
            </w:r>
            <w:r w:rsidR="00D83E54" w:rsidRPr="00B66B0B">
              <w:rPr>
                <w:rFonts w:eastAsia="Aptos"/>
              </w:rPr>
              <w:t>designed</w:t>
            </w:r>
            <w:r w:rsidR="00B83A80" w:rsidRPr="00B66B0B">
              <w:rPr>
                <w:rFonts w:eastAsia="Aptos"/>
              </w:rPr>
              <w:t xml:space="preserve"> for decision</w:t>
            </w:r>
            <w:r w:rsidR="00777FEA">
              <w:rPr>
                <w:rFonts w:eastAsia="Aptos"/>
              </w:rPr>
              <w:t xml:space="preserve"> </w:t>
            </w:r>
            <w:r w:rsidR="00B83A80" w:rsidRPr="00B66B0B">
              <w:rPr>
                <w:rFonts w:eastAsia="Aptos"/>
              </w:rPr>
              <w:t>makers,</w:t>
            </w:r>
            <w:r w:rsidR="00A2603E" w:rsidRPr="00B66B0B">
              <w:rPr>
                <w:rFonts w:eastAsia="Aptos"/>
              </w:rPr>
              <w:t xml:space="preserve"> but </w:t>
            </w:r>
            <w:r w:rsidR="00BC29C9" w:rsidRPr="00B66B0B">
              <w:rPr>
                <w:rFonts w:eastAsia="Aptos"/>
              </w:rPr>
              <w:t xml:space="preserve">simply communicate outcomes from a complex process. </w:t>
            </w:r>
            <w:r w:rsidR="007E6159" w:rsidRPr="00B66B0B">
              <w:rPr>
                <w:rFonts w:eastAsia="Aptos"/>
              </w:rPr>
              <w:t>The headline statement is complemented by clear graphics linked to the key message.</w:t>
            </w:r>
          </w:p>
          <w:p w14:paraId="20550A13" w14:textId="12F43ECA" w:rsidR="006357DF" w:rsidRPr="00B66B0B" w:rsidRDefault="006357DF" w:rsidP="00F80147">
            <w:pPr>
              <w:pStyle w:val="BoxText"/>
              <w:rPr>
                <w:rFonts w:eastAsia="Aptos"/>
                <w:b/>
              </w:rPr>
            </w:pPr>
            <w:r w:rsidRPr="00B66B0B">
              <w:rPr>
                <w:rFonts w:eastAsia="Aptos"/>
              </w:rPr>
              <w:t>The AIHW’s Australia’s health 2024: data insights report covers 11 health topics</w:t>
            </w:r>
            <w:r w:rsidR="00A50DFD" w:rsidRPr="00B66B0B">
              <w:rPr>
                <w:rFonts w:eastAsia="Aptos"/>
              </w:rPr>
              <w:t>, and includes</w:t>
            </w:r>
            <w:r w:rsidRPr="00B66B0B">
              <w:rPr>
                <w:rFonts w:eastAsia="Aptos"/>
              </w:rPr>
              <w:t xml:space="preserve"> analysis that can </w:t>
            </w:r>
            <w:r w:rsidR="008D5D8A" w:rsidRPr="00B66B0B">
              <w:rPr>
                <w:rFonts w:eastAsia="Aptos"/>
              </w:rPr>
              <w:t>be used to shape</w:t>
            </w:r>
            <w:r w:rsidRPr="00B66B0B">
              <w:rPr>
                <w:rFonts w:eastAsia="Aptos"/>
              </w:rPr>
              <w:t xml:space="preserve"> future reform. </w:t>
            </w:r>
            <w:r w:rsidR="006A49AD" w:rsidRPr="00B66B0B">
              <w:rPr>
                <w:rFonts w:eastAsia="Aptos"/>
              </w:rPr>
              <w:t>It</w:t>
            </w:r>
            <w:r w:rsidRPr="00B66B0B">
              <w:rPr>
                <w:rFonts w:eastAsia="Aptos"/>
              </w:rPr>
              <w:t xml:space="preserve"> </w:t>
            </w:r>
            <w:r w:rsidR="008D5D8A" w:rsidRPr="00B66B0B">
              <w:rPr>
                <w:rFonts w:eastAsia="Aptos"/>
              </w:rPr>
              <w:t>highlights</w:t>
            </w:r>
            <w:r w:rsidRPr="00B66B0B">
              <w:rPr>
                <w:rFonts w:eastAsia="Aptos"/>
              </w:rPr>
              <w:t xml:space="preserve"> key issues from </w:t>
            </w:r>
            <w:r w:rsidR="00CA47D0" w:rsidRPr="00B66B0B">
              <w:rPr>
                <w:rFonts w:eastAsia="Aptos"/>
              </w:rPr>
              <w:t>a broad range of</w:t>
            </w:r>
            <w:r w:rsidRPr="00B66B0B">
              <w:rPr>
                <w:rFonts w:eastAsia="Aptos"/>
              </w:rPr>
              <w:t xml:space="preserve"> health data and presents them </w:t>
            </w:r>
            <w:r w:rsidR="006A49AD" w:rsidRPr="00B66B0B">
              <w:rPr>
                <w:rFonts w:eastAsia="Aptos"/>
              </w:rPr>
              <w:t>with a focus on actionable</w:t>
            </w:r>
            <w:r w:rsidR="00F227B4" w:rsidRPr="00B66B0B">
              <w:rPr>
                <w:rFonts w:eastAsia="Aptos"/>
              </w:rPr>
              <w:t xml:space="preserve"> </w:t>
            </w:r>
            <w:r w:rsidRPr="00B66B0B">
              <w:rPr>
                <w:rFonts w:eastAsia="Aptos"/>
              </w:rPr>
              <w:t>reform</w:t>
            </w:r>
            <w:r w:rsidR="006A49AD" w:rsidRPr="00B66B0B">
              <w:rPr>
                <w:rFonts w:eastAsia="Aptos"/>
              </w:rPr>
              <w:t>s</w:t>
            </w:r>
            <w:r w:rsidRPr="00B66B0B">
              <w:rPr>
                <w:rFonts w:eastAsia="Aptos"/>
              </w:rPr>
              <w:t xml:space="preserve">. This is most clear in the </w:t>
            </w:r>
            <w:r w:rsidRPr="00440EA3">
              <w:rPr>
                <w:rFonts w:eastAsia="Aptos"/>
              </w:rPr>
              <w:t>Future focus/where to from here</w:t>
            </w:r>
            <w:r w:rsidRPr="00B66B0B">
              <w:rPr>
                <w:rFonts w:eastAsia="Aptos"/>
                <w:i/>
              </w:rPr>
              <w:t xml:space="preserve"> </w:t>
            </w:r>
            <w:r w:rsidRPr="00B66B0B">
              <w:rPr>
                <w:rFonts w:eastAsia="Aptos"/>
              </w:rPr>
              <w:t>sections.</w:t>
            </w:r>
          </w:p>
          <w:p w14:paraId="0AC3980E" w14:textId="621A8007" w:rsidR="006357DF" w:rsidRPr="00B66B0B" w:rsidRDefault="006357DF" w:rsidP="00F80147">
            <w:pPr>
              <w:pStyle w:val="BoxText"/>
              <w:rPr>
                <w:lang w:eastAsia="en-US"/>
              </w:rPr>
            </w:pPr>
            <w:r w:rsidRPr="00B66B0B">
              <w:rPr>
                <w:rFonts w:eastAsia="Aptos"/>
              </w:rPr>
              <w:t>The Australia’s health 2024: data insights report also presents information relevant to current national conversations. The 2024 report examines concussions in Australia over the last decade which was the subject of a Senate Committee in 2023</w:t>
            </w:r>
            <w:r w:rsidR="00E53819" w:rsidRPr="00B66B0B">
              <w:rPr>
                <w:rFonts w:eastAsia="Aptos"/>
              </w:rPr>
              <w:t xml:space="preserve">. It </w:t>
            </w:r>
            <w:r w:rsidR="00436FB8" w:rsidRPr="00B66B0B">
              <w:rPr>
                <w:rFonts w:eastAsia="Aptos"/>
              </w:rPr>
              <w:t>also examines</w:t>
            </w:r>
            <w:r w:rsidR="00C32DFB" w:rsidRPr="00B66B0B">
              <w:rPr>
                <w:rFonts w:eastAsia="Aptos"/>
              </w:rPr>
              <w:t xml:space="preserve"> </w:t>
            </w:r>
            <w:r w:rsidRPr="00B66B0B">
              <w:rPr>
                <w:rFonts w:eastAsia="Aptos"/>
              </w:rPr>
              <w:t>electronic cigarette use (vaping) in Australia in 2022–2023</w:t>
            </w:r>
            <w:r w:rsidR="007C279B" w:rsidRPr="00B66B0B">
              <w:rPr>
                <w:rStyle w:val="Hyperlink"/>
                <w:rFonts w:eastAsia="Aptos" w:cs="Calibri Light"/>
                <w:color w:val="0563C1"/>
                <w:sz w:val="20"/>
              </w:rPr>
              <w:t xml:space="preserve"> </w:t>
            </w:r>
            <w:r w:rsidR="00436FB8" w:rsidRPr="00B66B0B">
              <w:rPr>
                <w:rFonts w:eastAsia="Aptos"/>
              </w:rPr>
              <w:t>for which</w:t>
            </w:r>
            <w:r w:rsidR="007C279B" w:rsidRPr="00B66B0B">
              <w:rPr>
                <w:rFonts w:eastAsia="Aptos"/>
              </w:rPr>
              <w:t xml:space="preserve"> </w:t>
            </w:r>
            <w:r w:rsidRPr="00B66B0B">
              <w:rPr>
                <w:rFonts w:eastAsia="Aptos"/>
                <w:lang w:eastAsia="en-US"/>
              </w:rPr>
              <w:t xml:space="preserve">regulation was reformed in </w:t>
            </w:r>
            <w:r w:rsidRPr="00B66B0B">
              <w:rPr>
                <w:rFonts w:eastAsia="Aptos"/>
              </w:rPr>
              <w:t xml:space="preserve">2024. This highlights </w:t>
            </w:r>
            <w:r w:rsidR="009F69B2" w:rsidRPr="00B66B0B">
              <w:rPr>
                <w:rFonts w:eastAsia="Aptos"/>
              </w:rPr>
              <w:t xml:space="preserve">some recent examples of where important information has been </w:t>
            </w:r>
            <w:r w:rsidR="009E4AB0" w:rsidRPr="00B66B0B">
              <w:rPr>
                <w:rFonts w:eastAsia="Aptos"/>
              </w:rPr>
              <w:t xml:space="preserve">prepared for </w:t>
            </w:r>
            <w:r w:rsidRPr="00B66B0B">
              <w:rPr>
                <w:rFonts w:eastAsia="Aptos"/>
              </w:rPr>
              <w:t xml:space="preserve">policymakers </w:t>
            </w:r>
            <w:r w:rsidR="009E4AB0" w:rsidRPr="00B66B0B">
              <w:rPr>
                <w:rFonts w:eastAsia="Aptos"/>
              </w:rPr>
              <w:t xml:space="preserve">to help them </w:t>
            </w:r>
            <w:r w:rsidR="00576344" w:rsidRPr="00B66B0B">
              <w:rPr>
                <w:rFonts w:eastAsia="Aptos"/>
              </w:rPr>
              <w:t xml:space="preserve">have discussions </w:t>
            </w:r>
            <w:r w:rsidR="00440EA3">
              <w:rPr>
                <w:rFonts w:eastAsia="Aptos"/>
              </w:rPr>
              <w:t xml:space="preserve">on </w:t>
            </w:r>
            <w:r w:rsidR="00576344" w:rsidRPr="00B66B0B">
              <w:rPr>
                <w:rFonts w:eastAsia="Aptos"/>
              </w:rPr>
              <w:t>significant issues.</w:t>
            </w:r>
          </w:p>
          <w:p w14:paraId="7F31D004" w14:textId="0C955B0E" w:rsidR="000278DD" w:rsidRPr="008F1103" w:rsidRDefault="000278DD" w:rsidP="00947678">
            <w:pPr>
              <w:pStyle w:val="ChartorTableNote"/>
            </w:pPr>
            <w:r w:rsidRPr="008F1103">
              <w:t>Source</w:t>
            </w:r>
            <w:r w:rsidR="00EA33AE">
              <w:t>s</w:t>
            </w:r>
            <w:r w:rsidRPr="008F1103">
              <w:t xml:space="preserve">: </w:t>
            </w:r>
            <w:r w:rsidR="00A15FAC">
              <w:rPr>
                <w:noProof/>
              </w:rPr>
              <w:t>(CGC 2024a</w:t>
            </w:r>
            <w:r w:rsidR="00C4267F">
              <w:rPr>
                <w:noProof/>
              </w:rPr>
              <w:t>;</w:t>
            </w:r>
            <w:r w:rsidR="00A15FAC">
              <w:rPr>
                <w:noProof/>
              </w:rPr>
              <w:t xml:space="preserve"> AIHW 2024b</w:t>
            </w:r>
            <w:r w:rsidR="00C4267F">
              <w:rPr>
                <w:noProof/>
              </w:rPr>
              <w:t>;</w:t>
            </w:r>
            <w:r w:rsidR="00A15FAC">
              <w:rPr>
                <w:noProof/>
              </w:rPr>
              <w:t xml:space="preserve"> Senate Community Affairs References Committee 2023</w:t>
            </w:r>
            <w:r w:rsidR="00C4267F">
              <w:rPr>
                <w:noProof/>
              </w:rPr>
              <w:t>;</w:t>
            </w:r>
            <w:r w:rsidR="00A15FAC">
              <w:rPr>
                <w:noProof/>
              </w:rPr>
              <w:t xml:space="preserve"> Butler 2023)</w:t>
            </w:r>
          </w:p>
        </w:tc>
      </w:tr>
    </w:tbl>
    <w:p w14:paraId="615D564D" w14:textId="5655CB55" w:rsidR="00C56060" w:rsidRDefault="00576344" w:rsidP="00157442">
      <w:r>
        <w:t>T</w:t>
      </w:r>
      <w:r w:rsidR="00037F19" w:rsidRPr="00037F19">
        <w:t xml:space="preserve">he Chair of the Steering Committee is also the Chair of the </w:t>
      </w:r>
      <w:r w:rsidR="008F1103">
        <w:t>PC</w:t>
      </w:r>
      <w:r w:rsidR="001F4D39">
        <w:t>.</w:t>
      </w:r>
      <w:r w:rsidR="00037F19" w:rsidRPr="00037F19">
        <w:t xml:space="preserve"> </w:t>
      </w:r>
      <w:r w:rsidR="001F4D39">
        <w:t>Therefore, t</w:t>
      </w:r>
      <w:r w:rsidR="00037F19" w:rsidRPr="00037F19">
        <w:t xml:space="preserve">his new reporting requirement would </w:t>
      </w:r>
      <w:r w:rsidR="00A268AA">
        <w:t>also help the</w:t>
      </w:r>
      <w:r w:rsidR="00037F19" w:rsidRPr="00037F19">
        <w:t xml:space="preserve"> </w:t>
      </w:r>
      <w:r w:rsidR="008F1103">
        <w:t>PC</w:t>
      </w:r>
      <w:r w:rsidR="00037F19" w:rsidRPr="00037F19">
        <w:t xml:space="preserve"> play a ‘bigger role in monitoring and evaluating National Reform Agreements and specific government services’</w:t>
      </w:r>
      <w:r w:rsidR="00A40DA0">
        <w:t xml:space="preserve">, as proposed in </w:t>
      </w:r>
      <w:r w:rsidR="00037F19" w:rsidRPr="00037F19">
        <w:t xml:space="preserve">the Commonwealth Government’s Statement of Expectations </w:t>
      </w:r>
      <w:sdt>
        <w:sdtPr>
          <w:id w:val="944109826"/>
          <w:citation/>
        </w:sdtPr>
        <w:sdtEndPr/>
        <w:sdtContent>
          <w:r w:rsidR="00037F19" w:rsidRPr="00037F19">
            <w:fldChar w:fldCharType="begin"/>
          </w:r>
          <w:r w:rsidR="00B4444F">
            <w:instrText xml:space="preserve">CITATION Aus23 \l 3081 </w:instrText>
          </w:r>
          <w:r w:rsidR="00037F19" w:rsidRPr="00037F19">
            <w:fldChar w:fldCharType="separate"/>
          </w:r>
          <w:r w:rsidR="003003B3">
            <w:rPr>
              <w:noProof/>
            </w:rPr>
            <w:t>(Commonwealth of Australia 2023b)</w:t>
          </w:r>
          <w:r w:rsidR="00037F19" w:rsidRPr="00037F19">
            <w:fldChar w:fldCharType="end"/>
          </w:r>
        </w:sdtContent>
      </w:sdt>
      <w:r w:rsidR="00037F19" w:rsidRPr="00037F19">
        <w:t>.</w:t>
      </w:r>
    </w:p>
    <w:p w14:paraId="2E8A30C0" w14:textId="77777777" w:rsidR="00C56060" w:rsidRDefault="00C56060">
      <w:r>
        <w:br w:type="page"/>
      </w:r>
    </w:p>
    <w:p w14:paraId="5C027C64" w14:textId="0C9FF54D" w:rsidR="00157442" w:rsidRDefault="00C56060" w:rsidP="00C56060">
      <w:pPr>
        <w:pStyle w:val="Heading2"/>
        <w:tabs>
          <w:tab w:val="left" w:pos="3969"/>
        </w:tabs>
      </w:pPr>
      <w:r>
        <w:t>Findings, recommendations and implementation suggestions</w:t>
      </w:r>
    </w:p>
    <w:tbl>
      <w:tblPr>
        <w:tblStyle w:val="TableGrid"/>
        <w:tblW w:w="0" w:type="auto"/>
        <w:tblLook w:val="04A0" w:firstRow="1" w:lastRow="0" w:firstColumn="1" w:lastColumn="0" w:noHBand="0" w:noVBand="1"/>
      </w:tblPr>
      <w:tblGrid>
        <w:gridCol w:w="4515"/>
        <w:gridCol w:w="4511"/>
      </w:tblGrid>
      <w:tr w:rsidR="00C56060" w:rsidRPr="00E94868" w14:paraId="72B0437C" w14:textId="77777777">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4A27C4A8" w14:textId="77777777" w:rsidR="00C56060" w:rsidRPr="008E04D6" w:rsidRDefault="00C56060" w:rsidP="00F23637">
            <w:pPr>
              <w:pStyle w:val="TableMainHeading"/>
              <w:rPr>
                <w:b w:val="0"/>
                <w:bCs/>
              </w:rPr>
            </w:pPr>
            <w:r w:rsidRPr="008E04D6">
              <w:rPr>
                <w:b w:val="0"/>
                <w:bCs/>
              </w:rPr>
              <w:t>Findings</w:t>
            </w:r>
          </w:p>
        </w:tc>
      </w:tr>
      <w:tr w:rsidR="00C56060" w:rsidRPr="00E94868" w14:paraId="0FD301CB" w14:textId="77777777">
        <w:tc>
          <w:tcPr>
            <w:tcW w:w="9072" w:type="dxa"/>
            <w:gridSpan w:val="2"/>
          </w:tcPr>
          <w:p w14:paraId="6F19DFCF" w14:textId="77777777" w:rsidR="00C56060" w:rsidRPr="00714C3C" w:rsidRDefault="00C56060" w:rsidP="005241B9">
            <w:pPr>
              <w:pStyle w:val="OutlineNumbered1"/>
              <w:numPr>
                <w:ilvl w:val="0"/>
                <w:numId w:val="27"/>
              </w:numPr>
              <w:spacing w:before="120"/>
              <w:ind w:left="601" w:hanging="601"/>
              <w:rPr>
                <w:sz w:val="22"/>
                <w:szCs w:val="24"/>
              </w:rPr>
            </w:pPr>
            <w:r w:rsidRPr="00714C3C">
              <w:rPr>
                <w:sz w:val="22"/>
                <w:szCs w:val="24"/>
              </w:rPr>
              <w:t>The RoGS is a trusted source of information for governments and the public that relies on active engagement from all jurisdictions.</w:t>
            </w:r>
          </w:p>
          <w:p w14:paraId="4EABFA77" w14:textId="4009A67F" w:rsidR="00C56060" w:rsidRPr="00714C3C" w:rsidRDefault="00C56060" w:rsidP="00AC6549">
            <w:pPr>
              <w:pStyle w:val="OutlineNumbered1"/>
              <w:spacing w:before="120"/>
              <w:ind w:left="601" w:hanging="601"/>
              <w:rPr>
                <w:sz w:val="22"/>
                <w:szCs w:val="24"/>
              </w:rPr>
            </w:pPr>
            <w:r w:rsidRPr="00714C3C">
              <w:rPr>
                <w:sz w:val="22"/>
                <w:szCs w:val="24"/>
              </w:rPr>
              <w:t>The Steering Committee has made significant progress in improving the RoGS over time, but more can be done to ensure it remains fit</w:t>
            </w:r>
            <w:r w:rsidR="00281147" w:rsidRPr="00714C3C">
              <w:rPr>
                <w:sz w:val="22"/>
                <w:szCs w:val="24"/>
              </w:rPr>
              <w:t xml:space="preserve"> </w:t>
            </w:r>
            <w:r w:rsidRPr="00714C3C">
              <w:rPr>
                <w:sz w:val="22"/>
                <w:szCs w:val="24"/>
              </w:rPr>
              <w:t>for</w:t>
            </w:r>
            <w:r w:rsidR="00281147" w:rsidRPr="00714C3C">
              <w:rPr>
                <w:sz w:val="22"/>
                <w:szCs w:val="24"/>
              </w:rPr>
              <w:t xml:space="preserve"> </w:t>
            </w:r>
            <w:r w:rsidRPr="00714C3C">
              <w:rPr>
                <w:sz w:val="22"/>
                <w:szCs w:val="24"/>
              </w:rPr>
              <w:t>purpose into the future.</w:t>
            </w:r>
          </w:p>
          <w:p w14:paraId="36B48138" w14:textId="5827ED08" w:rsidR="00C56060" w:rsidRPr="00714C3C" w:rsidRDefault="00C56060" w:rsidP="00AC6549">
            <w:pPr>
              <w:pStyle w:val="OutlineNumbered1"/>
              <w:spacing w:before="120"/>
              <w:ind w:left="601" w:hanging="601"/>
              <w:rPr>
                <w:sz w:val="22"/>
                <w:szCs w:val="24"/>
              </w:rPr>
            </w:pPr>
            <w:r w:rsidRPr="00714C3C">
              <w:rPr>
                <w:sz w:val="22"/>
                <w:szCs w:val="24"/>
              </w:rPr>
              <w:t>The Dashboard is a clear and concise way of presenting progress on selected government commitments in major Commonwealth</w:t>
            </w:r>
            <w:r w:rsidR="00B65D32" w:rsidRPr="00714C3C">
              <w:rPr>
                <w:sz w:val="22"/>
                <w:szCs w:val="24"/>
              </w:rPr>
              <w:t>-</w:t>
            </w:r>
            <w:r w:rsidRPr="00714C3C">
              <w:rPr>
                <w:sz w:val="22"/>
                <w:szCs w:val="24"/>
              </w:rPr>
              <w:t>State funding agreements at a point in time, but it doesn’t reflect current priorities and lacks a clear objective and effective governance structures.</w:t>
            </w:r>
          </w:p>
          <w:p w14:paraId="45CE20F4" w14:textId="05421ACF" w:rsidR="00C56060" w:rsidRPr="00AD2678" w:rsidRDefault="00C56060" w:rsidP="00AC6549">
            <w:pPr>
              <w:pStyle w:val="OutlineNumbered1"/>
              <w:spacing w:before="120"/>
              <w:ind w:left="601" w:hanging="601"/>
              <w:rPr>
                <w:szCs w:val="22"/>
              </w:rPr>
            </w:pPr>
            <w:r w:rsidRPr="00714C3C">
              <w:rPr>
                <w:sz w:val="22"/>
                <w:szCs w:val="24"/>
              </w:rPr>
              <w:t>The Steering Committee provides a valuable forum for interjurisdictional engagement but without a connection to an external decision</w:t>
            </w:r>
            <w:r w:rsidR="00B65D32" w:rsidRPr="00714C3C">
              <w:rPr>
                <w:sz w:val="22"/>
                <w:szCs w:val="24"/>
              </w:rPr>
              <w:t>-</w:t>
            </w:r>
            <w:r w:rsidRPr="00714C3C">
              <w:rPr>
                <w:sz w:val="22"/>
                <w:szCs w:val="24"/>
              </w:rPr>
              <w:t>making body, opportunities for performance reporting to contribute to national policy and reform may be missed.</w:t>
            </w:r>
          </w:p>
        </w:tc>
      </w:tr>
      <w:tr w:rsidR="00106595" w:rsidRPr="00E94868" w14:paraId="52219B21" w14:textId="77777777">
        <w:tc>
          <w:tcPr>
            <w:tcW w:w="4536" w:type="dxa"/>
            <w:shd w:val="clear" w:color="auto" w:fill="EEEEEE" w:themeFill="background2"/>
          </w:tcPr>
          <w:p w14:paraId="1D7C115A" w14:textId="77777777" w:rsidR="00106595" w:rsidRPr="00E94868" w:rsidRDefault="00106595" w:rsidP="00F23637">
            <w:pPr>
              <w:pStyle w:val="TableMainHeading"/>
            </w:pPr>
            <w:r w:rsidRPr="00E94868">
              <w:t>Recommendations</w:t>
            </w:r>
          </w:p>
        </w:tc>
        <w:tc>
          <w:tcPr>
            <w:tcW w:w="4536" w:type="dxa"/>
            <w:shd w:val="clear" w:color="auto" w:fill="EEEEEE" w:themeFill="background2"/>
          </w:tcPr>
          <w:p w14:paraId="2CF8715C" w14:textId="6DB918BD" w:rsidR="00106595" w:rsidRPr="00E94868" w:rsidRDefault="00106595" w:rsidP="00F23637">
            <w:pPr>
              <w:pStyle w:val="TableMainHeading"/>
            </w:pPr>
            <w:r w:rsidRPr="00106595">
              <w:t>Implementation suggestions</w:t>
            </w:r>
          </w:p>
        </w:tc>
      </w:tr>
      <w:tr w:rsidR="00AD12E1" w:rsidRPr="00E94868" w14:paraId="7593536E" w14:textId="77777777">
        <w:tc>
          <w:tcPr>
            <w:tcW w:w="4536" w:type="dxa"/>
          </w:tcPr>
          <w:p w14:paraId="7B92CC18" w14:textId="77777777" w:rsidR="00AD12E1" w:rsidRPr="00371847" w:rsidRDefault="00AD12E1" w:rsidP="005241B9">
            <w:pPr>
              <w:numPr>
                <w:ilvl w:val="0"/>
                <w:numId w:val="12"/>
              </w:numPr>
              <w:rPr>
                <w:szCs w:val="22"/>
              </w:rPr>
            </w:pPr>
            <w:r w:rsidRPr="0003651A">
              <w:rPr>
                <w:b/>
                <w:bCs/>
                <w:sz w:val="22"/>
                <w:szCs w:val="22"/>
              </w:rPr>
              <w:t>Rein</w:t>
            </w:r>
            <w:r>
              <w:rPr>
                <w:b/>
                <w:bCs/>
                <w:sz w:val="22"/>
                <w:szCs w:val="22"/>
              </w:rPr>
              <w:t>vigorate the approach to performance reporting</w:t>
            </w:r>
          </w:p>
        </w:tc>
        <w:tc>
          <w:tcPr>
            <w:tcW w:w="4536" w:type="dxa"/>
          </w:tcPr>
          <w:p w14:paraId="22280D4F" w14:textId="72CCB018" w:rsidR="00AD12E1" w:rsidRPr="00D30651" w:rsidRDefault="00AD12E1" w:rsidP="009A717A">
            <w:pPr>
              <w:rPr>
                <w:rFonts w:cs="Calibri Light"/>
                <w:sz w:val="22"/>
                <w:szCs w:val="22"/>
              </w:rPr>
            </w:pPr>
            <w:r w:rsidRPr="00D30651">
              <w:rPr>
                <w:rFonts w:eastAsiaTheme="minorHAnsi" w:cs="Calibri Light"/>
                <w:sz w:val="22"/>
                <w:szCs w:val="22"/>
                <w:lang w:eastAsia="en-US"/>
              </w:rPr>
              <w:t>The Steering Committee would need to update governance documentation, including the RoGS terms of reference</w:t>
            </w:r>
            <w:r w:rsidR="006C5F81" w:rsidRPr="00D30651">
              <w:rPr>
                <w:rFonts w:eastAsiaTheme="minorHAnsi" w:cs="Calibri Light"/>
                <w:sz w:val="22"/>
                <w:szCs w:val="22"/>
                <w:lang w:eastAsia="en-US"/>
              </w:rPr>
              <w:t xml:space="preserve"> and</w:t>
            </w:r>
            <w:r w:rsidRPr="00D30651">
              <w:rPr>
                <w:rFonts w:eastAsiaTheme="minorHAnsi" w:cs="Calibri Light"/>
                <w:sz w:val="22"/>
                <w:szCs w:val="22"/>
                <w:lang w:eastAsia="en-US"/>
              </w:rPr>
              <w:t xml:space="preserve"> its own terms of reference</w:t>
            </w:r>
            <w:r w:rsidR="006E42B0" w:rsidRPr="00D30651">
              <w:rPr>
                <w:rFonts w:eastAsiaTheme="minorHAnsi" w:cs="Calibri Light"/>
                <w:sz w:val="22"/>
                <w:szCs w:val="22"/>
                <w:lang w:eastAsia="en-US"/>
              </w:rPr>
              <w:t xml:space="preserve">. It would also need to update </w:t>
            </w:r>
            <w:r w:rsidRPr="00D30651">
              <w:rPr>
                <w:rFonts w:eastAsiaTheme="minorHAnsi" w:cs="Calibri Light"/>
                <w:sz w:val="22"/>
                <w:szCs w:val="22"/>
                <w:lang w:eastAsia="en-US"/>
              </w:rPr>
              <w:t>its charter of operations to reflect changes arising from these (and any subsequent) recommendations.</w:t>
            </w:r>
          </w:p>
        </w:tc>
      </w:tr>
      <w:tr w:rsidR="00AD12E1" w:rsidRPr="00E94868" w14:paraId="48222F40" w14:textId="77777777">
        <w:tc>
          <w:tcPr>
            <w:tcW w:w="4536" w:type="dxa"/>
          </w:tcPr>
          <w:p w14:paraId="497A8DF6" w14:textId="67789801" w:rsidR="00AD12E1" w:rsidRPr="00106595" w:rsidRDefault="00AD12E1" w:rsidP="005241B9">
            <w:pPr>
              <w:pStyle w:val="ListParagraph"/>
              <w:numPr>
                <w:ilvl w:val="1"/>
                <w:numId w:val="10"/>
              </w:numPr>
              <w:tabs>
                <w:tab w:val="num" w:pos="599"/>
              </w:tabs>
              <w:ind w:left="601" w:hanging="601"/>
              <w:contextualSpacing w:val="0"/>
              <w:rPr>
                <w:sz w:val="22"/>
                <w:szCs w:val="22"/>
              </w:rPr>
            </w:pPr>
            <w:r w:rsidRPr="00106595">
              <w:rPr>
                <w:sz w:val="22"/>
                <w:szCs w:val="22"/>
              </w:rPr>
              <w:t xml:space="preserve">CFFR to publicly endorse </w:t>
            </w:r>
            <w:r w:rsidR="00C22734">
              <w:rPr>
                <w:sz w:val="22"/>
                <w:szCs w:val="22"/>
              </w:rPr>
              <w:t xml:space="preserve">the </w:t>
            </w:r>
            <w:r w:rsidRPr="00106595">
              <w:rPr>
                <w:sz w:val="22"/>
                <w:szCs w:val="22"/>
              </w:rPr>
              <w:t>RoGS</w:t>
            </w:r>
            <w:r w:rsidR="00C22734">
              <w:rPr>
                <w:sz w:val="22"/>
                <w:szCs w:val="22"/>
              </w:rPr>
              <w:t>, including</w:t>
            </w:r>
            <w:r w:rsidRPr="00106595">
              <w:rPr>
                <w:sz w:val="22"/>
                <w:szCs w:val="22"/>
              </w:rPr>
              <w:t xml:space="preserve"> its contribution to transparency and accountability and reaffirm all jurisdictions’ commitment to engaging in the process.</w:t>
            </w:r>
          </w:p>
        </w:tc>
        <w:tc>
          <w:tcPr>
            <w:tcW w:w="4536" w:type="dxa"/>
          </w:tcPr>
          <w:p w14:paraId="710AD88B" w14:textId="21814AF3" w:rsidR="00AD12E1" w:rsidRPr="00D30651" w:rsidRDefault="00AD12E1" w:rsidP="009A717A">
            <w:pPr>
              <w:rPr>
                <w:rFonts w:cs="Calibri Light"/>
                <w:sz w:val="22"/>
                <w:szCs w:val="22"/>
              </w:rPr>
            </w:pPr>
            <w:r w:rsidRPr="00D30651">
              <w:rPr>
                <w:rFonts w:cs="Calibri Light"/>
                <w:sz w:val="22"/>
                <w:szCs w:val="22"/>
              </w:rPr>
              <w:t>Public endorsement could take the form of a media release or communique from CFFR, or a published letter from the Chair of CFFR to the Chair of the Steering Committee.</w:t>
            </w:r>
          </w:p>
        </w:tc>
      </w:tr>
      <w:tr w:rsidR="00AD12E1" w:rsidRPr="00E94868" w14:paraId="7FE82B4C" w14:textId="77777777">
        <w:tc>
          <w:tcPr>
            <w:tcW w:w="4536" w:type="dxa"/>
          </w:tcPr>
          <w:p w14:paraId="5AA1E130" w14:textId="716FF978" w:rsidR="00AD12E1" w:rsidRPr="00106595" w:rsidRDefault="00AD12E1" w:rsidP="005241B9">
            <w:pPr>
              <w:pStyle w:val="ListParagraph"/>
              <w:numPr>
                <w:ilvl w:val="1"/>
                <w:numId w:val="10"/>
              </w:numPr>
              <w:tabs>
                <w:tab w:val="num" w:pos="599"/>
              </w:tabs>
              <w:ind w:left="599" w:hanging="599"/>
              <w:contextualSpacing w:val="0"/>
              <w:rPr>
                <w:sz w:val="22"/>
                <w:szCs w:val="22"/>
              </w:rPr>
            </w:pPr>
            <w:r w:rsidRPr="00106595">
              <w:rPr>
                <w:sz w:val="22"/>
                <w:szCs w:val="22"/>
              </w:rPr>
              <w:t>The Steering Committee to prioritise action on continuous improvement in the RoGS, particularly in relation to indicator completeness and comparability.</w:t>
            </w:r>
          </w:p>
        </w:tc>
        <w:tc>
          <w:tcPr>
            <w:tcW w:w="4536" w:type="dxa"/>
          </w:tcPr>
          <w:p w14:paraId="36C19D49" w14:textId="77777777" w:rsidR="002D600B" w:rsidRPr="00D30651" w:rsidRDefault="00433F21" w:rsidP="009A717A">
            <w:pPr>
              <w:rPr>
                <w:rFonts w:cs="Calibri Light"/>
                <w:sz w:val="22"/>
                <w:szCs w:val="22"/>
              </w:rPr>
            </w:pPr>
            <w:r w:rsidRPr="00D30651">
              <w:rPr>
                <w:rFonts w:cs="Calibri Light"/>
                <w:sz w:val="22"/>
                <w:szCs w:val="22"/>
              </w:rPr>
              <w:t xml:space="preserve">The Steering Committee should prioritise its work to enhance </w:t>
            </w:r>
            <w:r w:rsidR="002D600B" w:rsidRPr="00D30651">
              <w:rPr>
                <w:rFonts w:cs="Calibri Light"/>
                <w:sz w:val="22"/>
                <w:szCs w:val="22"/>
              </w:rPr>
              <w:t>comparability and completeness of indicators over time.</w:t>
            </w:r>
          </w:p>
          <w:p w14:paraId="7C277B04" w14:textId="26521A24" w:rsidR="00AD12E1" w:rsidRPr="00D30651" w:rsidRDefault="00FF1174" w:rsidP="009A717A">
            <w:pPr>
              <w:rPr>
                <w:rFonts w:cs="Calibri Light"/>
                <w:sz w:val="22"/>
                <w:szCs w:val="22"/>
              </w:rPr>
            </w:pPr>
            <w:r w:rsidRPr="00D30651">
              <w:rPr>
                <w:rFonts w:cs="Calibri Light"/>
                <w:sz w:val="22"/>
                <w:szCs w:val="22"/>
              </w:rPr>
              <w:t xml:space="preserve">The continuous improvement program should be </w:t>
            </w:r>
            <w:r w:rsidR="00433F21" w:rsidRPr="00D30651">
              <w:rPr>
                <w:rFonts w:cs="Calibri Light"/>
                <w:sz w:val="22"/>
                <w:szCs w:val="22"/>
              </w:rPr>
              <w:t xml:space="preserve">developed in consultation with users. </w:t>
            </w:r>
            <w:r w:rsidR="00AD12E1" w:rsidRPr="00D30651">
              <w:rPr>
                <w:rFonts w:cs="Calibri Light"/>
                <w:sz w:val="22"/>
                <w:szCs w:val="22"/>
              </w:rPr>
              <w:t>To improve public visibility, the Steering Committee could publish its forward work plan at regular intervals, like the approach adopted by the ABS.</w:t>
            </w:r>
            <w:r w:rsidR="00AD12E1" w:rsidRPr="00D30651">
              <w:rPr>
                <w:rStyle w:val="FootnoteReference"/>
                <w:rFonts w:cs="Calibri Light"/>
                <w:sz w:val="22"/>
                <w:szCs w:val="22"/>
                <w:vertAlign w:val="superscript"/>
              </w:rPr>
              <w:footnoteReference w:id="9"/>
            </w:r>
            <w:r w:rsidR="00AD12E1" w:rsidRPr="00D30651">
              <w:rPr>
                <w:rFonts w:cs="Calibri Light"/>
                <w:sz w:val="22"/>
                <w:szCs w:val="22"/>
                <w:vertAlign w:val="superscript"/>
              </w:rPr>
              <w:t xml:space="preserve"> </w:t>
            </w:r>
            <w:r w:rsidR="00AD12E1" w:rsidRPr="00D30651">
              <w:rPr>
                <w:rFonts w:cs="Calibri Light"/>
                <w:sz w:val="22"/>
                <w:szCs w:val="22"/>
              </w:rPr>
              <w:t>This could also cover progress in implementing the recommendations of this Review.</w:t>
            </w:r>
          </w:p>
          <w:p w14:paraId="074868C6" w14:textId="11A73C25" w:rsidR="00AD12E1" w:rsidRPr="00D30651" w:rsidRDefault="00AD12E1" w:rsidP="009A717A">
            <w:pPr>
              <w:rPr>
                <w:rFonts w:cs="Calibri Light"/>
                <w:sz w:val="22"/>
                <w:szCs w:val="22"/>
              </w:rPr>
            </w:pPr>
            <w:r w:rsidRPr="00D30651">
              <w:rPr>
                <w:rFonts w:cs="Calibri Light"/>
                <w:sz w:val="22"/>
                <w:szCs w:val="22"/>
              </w:rPr>
              <w:t>The triennial reports that followed the 2009 review also provided useful insights into the continuous improvement process and the publication of similar information would increase public visibility of work on data quality, timeliness and accessibility.</w:t>
            </w:r>
          </w:p>
        </w:tc>
      </w:tr>
      <w:tr w:rsidR="00AD12E1" w:rsidRPr="00E94868" w14:paraId="4B9257D2" w14:textId="77777777">
        <w:tc>
          <w:tcPr>
            <w:tcW w:w="4536" w:type="dxa"/>
          </w:tcPr>
          <w:p w14:paraId="79CF706E" w14:textId="069BCEB7" w:rsidR="00AD12E1" w:rsidRPr="00106595" w:rsidRDefault="00AD12E1" w:rsidP="005241B9">
            <w:pPr>
              <w:pStyle w:val="ListParagraph"/>
              <w:numPr>
                <w:ilvl w:val="1"/>
                <w:numId w:val="10"/>
              </w:numPr>
              <w:ind w:left="601" w:hanging="567"/>
              <w:contextualSpacing w:val="0"/>
              <w:rPr>
                <w:sz w:val="22"/>
                <w:szCs w:val="22"/>
              </w:rPr>
            </w:pPr>
            <w:r w:rsidRPr="00106595">
              <w:rPr>
                <w:sz w:val="22"/>
                <w:szCs w:val="22"/>
              </w:rPr>
              <w:t>The Steering Committee to assume responsibility for the Dashboard and update it to cover major Commonwealth</w:t>
            </w:r>
            <w:r w:rsidR="00B65D32">
              <w:rPr>
                <w:sz w:val="22"/>
                <w:szCs w:val="22"/>
              </w:rPr>
              <w:t>-</w:t>
            </w:r>
            <w:r w:rsidRPr="00106595">
              <w:rPr>
                <w:sz w:val="22"/>
                <w:szCs w:val="22"/>
              </w:rPr>
              <w:t>State funding agreements by 2027</w:t>
            </w:r>
            <w:r w:rsidR="00CE1949">
              <w:rPr>
                <w:sz w:val="22"/>
                <w:szCs w:val="22"/>
              </w:rPr>
              <w:t>–</w:t>
            </w:r>
            <w:r w:rsidRPr="00106595">
              <w:rPr>
                <w:sz w:val="22"/>
                <w:szCs w:val="22"/>
              </w:rPr>
              <w:t>28.</w:t>
            </w:r>
          </w:p>
        </w:tc>
        <w:tc>
          <w:tcPr>
            <w:tcW w:w="4536" w:type="dxa"/>
          </w:tcPr>
          <w:p w14:paraId="181DD573" w14:textId="6522AC36" w:rsidR="00814BFF" w:rsidRPr="00D30651" w:rsidRDefault="00F812D3" w:rsidP="007E76D9">
            <w:pPr>
              <w:ind w:left="32"/>
              <w:rPr>
                <w:rFonts w:cs="Calibri Light"/>
                <w:sz w:val="22"/>
                <w:szCs w:val="22"/>
              </w:rPr>
            </w:pPr>
            <w:r w:rsidRPr="00D30651">
              <w:rPr>
                <w:rFonts w:cs="Calibri Light"/>
                <w:sz w:val="22"/>
                <w:szCs w:val="22"/>
              </w:rPr>
              <w:t xml:space="preserve">The Steering Committee should take </w:t>
            </w:r>
            <w:r w:rsidR="00C317C1" w:rsidRPr="00D30651">
              <w:rPr>
                <w:rFonts w:cs="Calibri Light"/>
                <w:sz w:val="22"/>
                <w:szCs w:val="22"/>
              </w:rPr>
              <w:t>immediate responsibility for the Dashboard</w:t>
            </w:r>
            <w:r w:rsidR="00231BE9" w:rsidRPr="00D30651">
              <w:rPr>
                <w:rFonts w:cs="Calibri Light"/>
                <w:sz w:val="22"/>
                <w:szCs w:val="22"/>
              </w:rPr>
              <w:t xml:space="preserve"> and commence updating it for major funding</w:t>
            </w:r>
            <w:r w:rsidR="00797D4F" w:rsidRPr="00D30651">
              <w:rPr>
                <w:rFonts w:cs="Calibri Light"/>
                <w:sz w:val="22"/>
                <w:szCs w:val="22"/>
              </w:rPr>
              <w:t xml:space="preserve"> agreements.</w:t>
            </w:r>
          </w:p>
        </w:tc>
      </w:tr>
      <w:tr w:rsidR="00AD12E1" w:rsidRPr="00E94868" w14:paraId="6ACF8632" w14:textId="77777777">
        <w:tc>
          <w:tcPr>
            <w:tcW w:w="4536" w:type="dxa"/>
          </w:tcPr>
          <w:p w14:paraId="7B017BCC" w14:textId="64655EDE" w:rsidR="00AD12E1" w:rsidRPr="00106595" w:rsidRDefault="00AD12E1" w:rsidP="005241B9">
            <w:pPr>
              <w:pStyle w:val="ListParagraph"/>
              <w:numPr>
                <w:ilvl w:val="0"/>
                <w:numId w:val="13"/>
              </w:numPr>
              <w:ind w:left="567" w:hanging="567"/>
              <w:rPr>
                <w:b/>
                <w:bCs/>
                <w:sz w:val="22"/>
                <w:szCs w:val="22"/>
              </w:rPr>
            </w:pPr>
            <w:r w:rsidRPr="00106595">
              <w:rPr>
                <w:sz w:val="22"/>
                <w:szCs w:val="22"/>
              </w:rPr>
              <w:t xml:space="preserve">CFFR to assume oversight of the RoGS and the Dashboard and the Chair of the Steering Committee to report annually </w:t>
            </w:r>
            <w:r w:rsidR="002F2680">
              <w:rPr>
                <w:sz w:val="22"/>
                <w:szCs w:val="22"/>
              </w:rPr>
              <w:t xml:space="preserve">from 2026 </w:t>
            </w:r>
            <w:r w:rsidRPr="00106595">
              <w:rPr>
                <w:sz w:val="22"/>
                <w:szCs w:val="22"/>
              </w:rPr>
              <w:t>to Heads of Treasuries on performance in government service delivery and major Commonwealth</w:t>
            </w:r>
            <w:r w:rsidR="00B65D32">
              <w:rPr>
                <w:sz w:val="22"/>
                <w:szCs w:val="22"/>
              </w:rPr>
              <w:t>-</w:t>
            </w:r>
            <w:r w:rsidRPr="00106595">
              <w:rPr>
                <w:sz w:val="22"/>
                <w:szCs w:val="22"/>
              </w:rPr>
              <w:t>State funding agreements.</w:t>
            </w:r>
          </w:p>
        </w:tc>
        <w:tc>
          <w:tcPr>
            <w:tcW w:w="4536" w:type="dxa"/>
          </w:tcPr>
          <w:p w14:paraId="7AE49504" w14:textId="77777777" w:rsidR="00AD12E1" w:rsidRPr="00D30651" w:rsidRDefault="00AD12E1" w:rsidP="009A717A">
            <w:pPr>
              <w:rPr>
                <w:rFonts w:cs="Calibri Light"/>
                <w:sz w:val="22"/>
                <w:szCs w:val="22"/>
              </w:rPr>
            </w:pPr>
            <w:r w:rsidRPr="00D30651">
              <w:rPr>
                <w:rFonts w:cs="Calibri Light"/>
                <w:sz w:val="22"/>
                <w:szCs w:val="22"/>
              </w:rPr>
              <w:t>The format of the report should be developed in close consultation with DHoTs, HoTs, and other bodies with responsibility for performance monitoring and reporting, including Ministerial Councils and the AIHW.</w:t>
            </w:r>
          </w:p>
          <w:p w14:paraId="43107E71" w14:textId="2E35B93C" w:rsidR="00AD12E1" w:rsidRPr="00D30651" w:rsidRDefault="00AD12E1" w:rsidP="009A717A">
            <w:pPr>
              <w:rPr>
                <w:rFonts w:cs="Calibri Light"/>
                <w:b/>
                <w:bCs/>
                <w:sz w:val="22"/>
                <w:szCs w:val="22"/>
              </w:rPr>
            </w:pPr>
            <w:r w:rsidRPr="00D30651">
              <w:rPr>
                <w:rFonts w:cs="Calibri Light"/>
                <w:sz w:val="22"/>
                <w:szCs w:val="22"/>
              </w:rPr>
              <w:t>Commonwealth Treasury, in consultation with States and Territories, should also consider updates to Schedule C of the IGA FFR to reflect changed public accountability and performance reporting arrangements.</w:t>
            </w:r>
          </w:p>
        </w:tc>
      </w:tr>
    </w:tbl>
    <w:p w14:paraId="1A46544B" w14:textId="77777777" w:rsidR="00D12809" w:rsidRPr="00BF4FDF" w:rsidRDefault="00D12809">
      <w:pPr>
        <w:rPr>
          <w:rFonts w:ascii="Calibri" w:hAnsi="Calibri" w:cs="Arial"/>
          <w:bCs/>
          <w:kern w:val="32"/>
          <w:sz w:val="44"/>
          <w:szCs w:val="36"/>
        </w:rPr>
      </w:pPr>
      <w:r>
        <w:br w:type="page"/>
      </w:r>
    </w:p>
    <w:p w14:paraId="19AFC474" w14:textId="5502F111" w:rsidR="0064418F" w:rsidRDefault="0064418F" w:rsidP="0064418F">
      <w:pPr>
        <w:pStyle w:val="Heading1"/>
      </w:pPr>
      <w:bookmarkStart w:id="47" w:name="_Ref180487497"/>
      <w:bookmarkStart w:id="48" w:name="_Toc189559048"/>
      <w:r>
        <w:t>Chapter 4: The usefulness and accessibility of the information</w:t>
      </w:r>
      <w:bookmarkEnd w:id="47"/>
      <w:bookmarkEnd w:id="48"/>
    </w:p>
    <w:p w14:paraId="24EE6F9B" w14:textId="4DA689F8" w:rsidR="0045488B" w:rsidRDefault="00196B31" w:rsidP="003A1A4D">
      <w:pPr>
        <w:pStyle w:val="Heading2"/>
      </w:pPr>
      <w:r>
        <w:t>The need for a</w:t>
      </w:r>
      <w:r w:rsidR="003A1A4D">
        <w:t>dditional</w:t>
      </w:r>
      <w:r w:rsidR="006408CC">
        <w:t xml:space="preserve"> analysis</w:t>
      </w:r>
    </w:p>
    <w:p w14:paraId="23D5C78D" w14:textId="1C9B3691" w:rsidR="00BD67B2" w:rsidRPr="00BD67B2" w:rsidRDefault="00BD67B2" w:rsidP="00A714F1">
      <w:pPr>
        <w:spacing w:before="240"/>
      </w:pPr>
      <w:r w:rsidRPr="00BD67B2">
        <w:t>Government and non</w:t>
      </w:r>
      <w:r w:rsidR="00B65D32">
        <w:t>-</w:t>
      </w:r>
      <w:r w:rsidRPr="00BD67B2">
        <w:t xml:space="preserve">government stakeholders see the RoGS as a trusted source of information and an important transparency mechanism. However, they also reported that it does not provide </w:t>
      </w:r>
      <w:r w:rsidR="005405E6">
        <w:t xml:space="preserve">an </w:t>
      </w:r>
      <w:r w:rsidRPr="00BD67B2">
        <w:t>adequate narrative</w:t>
      </w:r>
      <w:r w:rsidR="00C70A79">
        <w:t>,</w:t>
      </w:r>
      <w:r w:rsidRPr="00BD67B2">
        <w:t xml:space="preserve"> draw out key messages</w:t>
      </w:r>
      <w:r w:rsidR="00C70A79">
        <w:t xml:space="preserve"> or </w:t>
      </w:r>
      <w:r w:rsidR="00F53EF1">
        <w:t>focus on</w:t>
      </w:r>
      <w:r w:rsidR="00C70A79">
        <w:t xml:space="preserve"> </w:t>
      </w:r>
      <w:r w:rsidR="0042047F">
        <w:t xml:space="preserve">trends </w:t>
      </w:r>
      <w:r w:rsidR="00D17D5F">
        <w:t xml:space="preserve">over time and </w:t>
      </w:r>
      <w:r w:rsidR="0042047F">
        <w:t>across jurisdictions</w:t>
      </w:r>
      <w:r w:rsidR="005E1E40">
        <w:t xml:space="preserve">. </w:t>
      </w:r>
      <w:r w:rsidRPr="00BD67B2">
        <w:t xml:space="preserve">For </w:t>
      </w:r>
      <w:r w:rsidR="009C155B">
        <w:t>example</w:t>
      </w:r>
      <w:r w:rsidRPr="00BD67B2">
        <w:t xml:space="preserve">, the reporting does not include enough contextual information to help </w:t>
      </w:r>
      <w:r w:rsidR="00AC56D7" w:rsidRPr="00BD67B2">
        <w:t>governments</w:t>
      </w:r>
      <w:r w:rsidRPr="00BD67B2">
        <w:t xml:space="preserve"> and the public understand what is causing changes in performance. There is also no </w:t>
      </w:r>
      <w:r w:rsidR="00344800">
        <w:t>identification</w:t>
      </w:r>
      <w:r w:rsidRPr="00BD67B2">
        <w:t xml:space="preserve"> of innovative programs, policies or approaches across and within jurisdictions. </w:t>
      </w:r>
      <w:r w:rsidR="00344800">
        <w:t>Highlighting c</w:t>
      </w:r>
      <w:r w:rsidR="00186FE5">
        <w:t>ompar</w:t>
      </w:r>
      <w:r w:rsidR="00344800">
        <w:t xml:space="preserve">ative </w:t>
      </w:r>
      <w:r w:rsidR="00186FE5">
        <w:t>performance and</w:t>
      </w:r>
      <w:r w:rsidRPr="00BD67B2">
        <w:t xml:space="preserve"> areas of improvement and innovation in the RoGS would help jurisdictions learn from each other and encourage improvements in delivery and effectiveness.</w:t>
      </w:r>
    </w:p>
    <w:p w14:paraId="0E548992" w14:textId="0A9101CE" w:rsidR="00DD3EA5" w:rsidRPr="00344800" w:rsidRDefault="00DD3EA5" w:rsidP="00344800">
      <w:pPr>
        <w:pStyle w:val="Heading3"/>
      </w:pPr>
      <w:r w:rsidRPr="00344800">
        <w:t>Quant</w:t>
      </w:r>
      <w:r w:rsidR="00470115" w:rsidRPr="00344800">
        <w:t>it</w:t>
      </w:r>
      <w:r w:rsidRPr="00344800">
        <w:t>ative and qualitive an</w:t>
      </w:r>
      <w:r w:rsidR="00470115" w:rsidRPr="00344800">
        <w:t>alysis</w:t>
      </w:r>
    </w:p>
    <w:p w14:paraId="4C8CD9DF" w14:textId="26E101F9" w:rsidR="00012243" w:rsidRDefault="001C3CE3" w:rsidP="00BD67B2">
      <w:r>
        <w:t xml:space="preserve">The RoGS contains limited </w:t>
      </w:r>
      <w:r w:rsidR="005A69DC">
        <w:t xml:space="preserve">quantitative analysis on </w:t>
      </w:r>
      <w:r w:rsidR="00EA1E4F">
        <w:t>the relative performance of</w:t>
      </w:r>
      <w:r w:rsidR="009421DE">
        <w:t xml:space="preserve"> jurisdictions </w:t>
      </w:r>
      <w:r w:rsidR="00203F09">
        <w:t>over time.</w:t>
      </w:r>
      <w:r>
        <w:t xml:space="preserve"> </w:t>
      </w:r>
      <w:r w:rsidR="003915E5">
        <w:t xml:space="preserve">The </w:t>
      </w:r>
      <w:r w:rsidR="005D19D8">
        <w:t xml:space="preserve">sector </w:t>
      </w:r>
      <w:r w:rsidR="00C01DF5" w:rsidRPr="003F5A2A">
        <w:t>O</w:t>
      </w:r>
      <w:r w:rsidR="005D19D8" w:rsidRPr="003F5A2A">
        <w:t>verview</w:t>
      </w:r>
      <w:r w:rsidR="00C01DF5">
        <w:t xml:space="preserve"> section</w:t>
      </w:r>
      <w:r w:rsidR="005D19D8">
        <w:t>s</w:t>
      </w:r>
      <w:r w:rsidR="007B07A2">
        <w:t xml:space="preserve"> </w:t>
      </w:r>
      <w:r w:rsidR="00887A07">
        <w:t xml:space="preserve">include </w:t>
      </w:r>
      <w:r w:rsidR="009332F4">
        <w:t xml:space="preserve">information </w:t>
      </w:r>
      <w:r w:rsidR="005C48C7">
        <w:t xml:space="preserve">on national performance, but not </w:t>
      </w:r>
      <w:r w:rsidR="009332F4">
        <w:t xml:space="preserve">information </w:t>
      </w:r>
      <w:r w:rsidR="002D0223">
        <w:t xml:space="preserve">or analysis </w:t>
      </w:r>
      <w:r w:rsidR="009332F4">
        <w:t>o</w:t>
      </w:r>
      <w:r w:rsidR="005C48C7">
        <w:t>f</w:t>
      </w:r>
      <w:r w:rsidR="009332F4">
        <w:t xml:space="preserve"> the performance of jurisdictions</w:t>
      </w:r>
      <w:r w:rsidR="005C48C7">
        <w:t xml:space="preserve">, individually or </w:t>
      </w:r>
      <w:r w:rsidR="00522362">
        <w:t>comparatively,</w:t>
      </w:r>
      <w:r w:rsidR="00A26A99">
        <w:t xml:space="preserve"> </w:t>
      </w:r>
      <w:r w:rsidR="00D070B5">
        <w:t xml:space="preserve">over </w:t>
      </w:r>
      <w:r w:rsidR="008C28AD">
        <w:t>successive reporting periods</w:t>
      </w:r>
      <w:r w:rsidR="002D0223">
        <w:t>.</w:t>
      </w:r>
      <w:r w:rsidR="00887A07">
        <w:t xml:space="preserve"> </w:t>
      </w:r>
      <w:r w:rsidR="00DC4111">
        <w:t>T</w:t>
      </w:r>
      <w:r w:rsidR="00DC60E9">
        <w:t xml:space="preserve">he service </w:t>
      </w:r>
      <w:r w:rsidR="00764FE4">
        <w:t>area</w:t>
      </w:r>
      <w:r w:rsidR="00DC60E9">
        <w:t xml:space="preserve"> chapters</w:t>
      </w:r>
      <w:r w:rsidR="00DC4111">
        <w:t xml:space="preserve"> include charts </w:t>
      </w:r>
      <w:r w:rsidR="00A406A2">
        <w:t xml:space="preserve">and tables </w:t>
      </w:r>
      <w:r w:rsidR="001760C4">
        <w:t xml:space="preserve">on how </w:t>
      </w:r>
      <w:r w:rsidR="007A1B4D">
        <w:t>S</w:t>
      </w:r>
      <w:r w:rsidR="001760C4">
        <w:t xml:space="preserve">tates and </w:t>
      </w:r>
      <w:r w:rsidR="007A1B4D">
        <w:t>T</w:t>
      </w:r>
      <w:r w:rsidR="001760C4">
        <w:t xml:space="preserve">erritories </w:t>
      </w:r>
      <w:r w:rsidR="000F62AF">
        <w:t xml:space="preserve">are performing, but </w:t>
      </w:r>
      <w:r w:rsidR="00DB42E8">
        <w:t>no</w:t>
      </w:r>
      <w:r w:rsidR="000F62AF">
        <w:t xml:space="preserve"> </w:t>
      </w:r>
      <w:r w:rsidR="0017199E">
        <w:t>analysis</w:t>
      </w:r>
      <w:r w:rsidR="00685D17">
        <w:t xml:space="preserve"> </w:t>
      </w:r>
      <w:r w:rsidR="00F734E3">
        <w:t xml:space="preserve">to </w:t>
      </w:r>
      <w:r w:rsidR="00F05207">
        <w:t xml:space="preserve">explain </w:t>
      </w:r>
      <w:r w:rsidR="00DF20E5">
        <w:t>historical</w:t>
      </w:r>
      <w:r w:rsidR="00F05207">
        <w:t xml:space="preserve"> trends in performance and differences</w:t>
      </w:r>
      <w:r w:rsidR="00F734E3">
        <w:t xml:space="preserve"> </w:t>
      </w:r>
      <w:r w:rsidR="00433C56">
        <w:t>across jurisdictions</w:t>
      </w:r>
      <w:r w:rsidR="007763BB">
        <w:t>.</w:t>
      </w:r>
      <w:r w:rsidR="00433C56">
        <w:t xml:space="preserve"> </w:t>
      </w:r>
      <w:r w:rsidR="008E09CB">
        <w:t xml:space="preserve">As a result, </w:t>
      </w:r>
      <w:r w:rsidR="002D5BFF">
        <w:t>it’s difficult for users to accurately</w:t>
      </w:r>
      <w:r w:rsidR="00A81C2F">
        <w:t xml:space="preserve"> identify </w:t>
      </w:r>
      <w:r w:rsidR="00AC5D14">
        <w:t>which jurisdictions are performing well</w:t>
      </w:r>
      <w:r w:rsidR="00675ADD">
        <w:t xml:space="preserve"> or poor</w:t>
      </w:r>
      <w:r w:rsidR="00AC5D14">
        <w:t>ly</w:t>
      </w:r>
      <w:r w:rsidR="00675ADD">
        <w:t xml:space="preserve"> or</w:t>
      </w:r>
      <w:r w:rsidR="00A81C2F">
        <w:t xml:space="preserve"> where further action may be required.</w:t>
      </w:r>
    </w:p>
    <w:p w14:paraId="53E47FB0" w14:textId="23483679" w:rsidR="00D661B2" w:rsidRDefault="00D661B2" w:rsidP="00BD67B2">
      <w:r>
        <w:t>Quantitative analysis</w:t>
      </w:r>
      <w:r w:rsidRPr="009842D1">
        <w:t xml:space="preserve"> </w:t>
      </w:r>
      <w:r>
        <w:t>could</w:t>
      </w:r>
      <w:r w:rsidRPr="009842D1">
        <w:t xml:space="preserve"> </w:t>
      </w:r>
      <w:r>
        <w:t>be used to</w:t>
      </w:r>
      <w:r w:rsidRPr="009842D1">
        <w:t xml:space="preserve"> explain differences in performance indicator</w:t>
      </w:r>
      <w:r w:rsidR="00715912">
        <w:t xml:space="preserve"> result</w:t>
      </w:r>
      <w:r w:rsidRPr="009842D1">
        <w:t xml:space="preserve">s. For example, </w:t>
      </w:r>
      <w:r>
        <w:t xml:space="preserve">accounting for </w:t>
      </w:r>
      <w:r w:rsidRPr="009842D1">
        <w:t>factors that explain the differences between performance indicators</w:t>
      </w:r>
      <w:r w:rsidR="006B344D">
        <w:t>,</w:t>
      </w:r>
      <w:r w:rsidRPr="009842D1">
        <w:t xml:space="preserve"> such as population densities, age structures and other variables.</w:t>
      </w:r>
    </w:p>
    <w:p w14:paraId="2514DA94" w14:textId="7C26A78B" w:rsidR="00B56F51" w:rsidRDefault="004B3B0C" w:rsidP="00BD67B2">
      <w:r>
        <w:t xml:space="preserve">It can be difficult to </w:t>
      </w:r>
      <w:r w:rsidR="00FD6A28">
        <w:t>do</w:t>
      </w:r>
      <w:r w:rsidR="00867ECA" w:rsidRPr="00867ECA">
        <w:t xml:space="preserve"> comparisons or assessments</w:t>
      </w:r>
      <w:r w:rsidR="00FD6A28">
        <w:t xml:space="preserve"> of the performance of </w:t>
      </w:r>
      <w:r w:rsidR="00E735BB">
        <w:t xml:space="preserve">individual </w:t>
      </w:r>
      <w:r w:rsidR="00FD6A28">
        <w:t>jurisdictions</w:t>
      </w:r>
      <w:r w:rsidR="00867ECA" w:rsidRPr="00867ECA">
        <w:t>,</w:t>
      </w:r>
      <w:r w:rsidR="00AA15CA">
        <w:t xml:space="preserve"> especially</w:t>
      </w:r>
      <w:r w:rsidR="00867ECA" w:rsidRPr="00867ECA">
        <w:t xml:space="preserve"> </w:t>
      </w:r>
      <w:r w:rsidR="00EA6D33">
        <w:t xml:space="preserve">if data is not complete and </w:t>
      </w:r>
      <w:r w:rsidR="00EF022D">
        <w:t>comparable</w:t>
      </w:r>
      <w:r w:rsidR="00AA15CA">
        <w:t xml:space="preserve">. </w:t>
      </w:r>
      <w:r w:rsidR="00EF022D">
        <w:t>I</w:t>
      </w:r>
      <w:r w:rsidR="00E735BB">
        <w:t xml:space="preserve">t can </w:t>
      </w:r>
      <w:r w:rsidR="00EF022D">
        <w:t xml:space="preserve">also </w:t>
      </w:r>
      <w:r w:rsidR="00E735BB">
        <w:t xml:space="preserve">be hard to </w:t>
      </w:r>
      <w:r w:rsidR="00EF022D">
        <w:t xml:space="preserve">identify </w:t>
      </w:r>
      <w:r w:rsidR="00867ECA" w:rsidRPr="00867ECA">
        <w:t xml:space="preserve">improvements in outcomes consistently for all </w:t>
      </w:r>
      <w:r w:rsidR="00B42128">
        <w:t>jurisdictions</w:t>
      </w:r>
      <w:r w:rsidR="00867ECA" w:rsidRPr="00867ECA">
        <w:t>.</w:t>
      </w:r>
    </w:p>
    <w:p w14:paraId="11838D9D" w14:textId="74C675A2" w:rsidR="003F0E98" w:rsidRDefault="00853506" w:rsidP="00BD67B2">
      <w:r w:rsidRPr="00853506">
        <w:t xml:space="preserve">The RoGS </w:t>
      </w:r>
      <w:r>
        <w:t xml:space="preserve">also </w:t>
      </w:r>
      <w:r w:rsidRPr="00853506">
        <w:t>contains limited qualitative material. Qualitative data is interpretation</w:t>
      </w:r>
      <w:r w:rsidR="00B65D32">
        <w:t>-</w:t>
      </w:r>
      <w:r w:rsidRPr="00853506">
        <w:t>based and descriptive and can help user</w:t>
      </w:r>
      <w:r w:rsidR="00856458">
        <w:t>s</w:t>
      </w:r>
      <w:r w:rsidRPr="00853506">
        <w:t xml:space="preserve"> understand </w:t>
      </w:r>
      <w:r w:rsidR="007A7D0C">
        <w:t>the ‘</w:t>
      </w:r>
      <w:r w:rsidRPr="00853506">
        <w:t>why</w:t>
      </w:r>
      <w:r w:rsidR="007A7D0C">
        <w:t>’</w:t>
      </w:r>
      <w:r w:rsidR="003C016C">
        <w:t xml:space="preserve"> and</w:t>
      </w:r>
      <w:r w:rsidRPr="00853506">
        <w:t xml:space="preserve"> </w:t>
      </w:r>
      <w:r w:rsidR="007A7D0C">
        <w:t>‘</w:t>
      </w:r>
      <w:r w:rsidRPr="00853506">
        <w:t>how</w:t>
      </w:r>
      <w:r w:rsidR="007A7D0C">
        <w:t>’</w:t>
      </w:r>
      <w:r w:rsidRPr="00853506">
        <w:t xml:space="preserve"> </w:t>
      </w:r>
      <w:r w:rsidR="007A7D0C">
        <w:t xml:space="preserve">behind </w:t>
      </w:r>
      <w:r w:rsidRPr="00853506">
        <w:t>certain outcomes or behavio</w:t>
      </w:r>
      <w:r>
        <w:t>u</w:t>
      </w:r>
      <w:r w:rsidRPr="00853506">
        <w:t>rs (</w:t>
      </w:r>
      <w:r w:rsidR="00427FAB" w:rsidRPr="00427FAB">
        <w:rPr>
          <w:i/>
          <w:iCs/>
        </w:rPr>
        <w:t>Information</w:t>
      </w:r>
      <w:r w:rsidR="00427FAB" w:rsidRPr="00452E34">
        <w:t xml:space="preserve"> Box 7: Qualitative information</w:t>
      </w:r>
      <w:r w:rsidRPr="00853506">
        <w:t xml:space="preserve">). </w:t>
      </w:r>
      <w:r w:rsidR="00A632C2" w:rsidRPr="00853506">
        <w:t>Quantitative and qualitative data provide different information, which when used together can provide a fuller picture of how government services are being delivered.</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3478A4" w14:paraId="1B66A68C" w14:textId="77777777" w:rsidTr="00B11057">
        <w:trPr>
          <w:trHeight w:val="1858"/>
        </w:trPr>
        <w:tc>
          <w:tcPr>
            <w:tcW w:w="5000" w:type="pct"/>
            <w:shd w:val="clear" w:color="auto" w:fill="EEEEEE" w:themeFill="background2"/>
          </w:tcPr>
          <w:p w14:paraId="145B4173" w14:textId="65E18C22" w:rsidR="003478A4" w:rsidRPr="00452E34" w:rsidRDefault="00452E34" w:rsidP="00452E34">
            <w:pPr>
              <w:pStyle w:val="BoxHeading"/>
            </w:pPr>
            <w:bookmarkStart w:id="49" w:name="_Ref180493424"/>
            <w:bookmarkStart w:id="50" w:name="_Hlk180493497"/>
            <w:r w:rsidRPr="00452E34">
              <w:t>Information Box 7</w:t>
            </w:r>
            <w:r w:rsidR="003478A4" w:rsidRPr="00452E34">
              <w:t>: Qualitative information</w:t>
            </w:r>
            <w:bookmarkEnd w:id="49"/>
          </w:p>
          <w:p w14:paraId="2E76D188" w14:textId="0C0F81A1" w:rsidR="00FC480B" w:rsidRPr="00716D5B" w:rsidRDefault="00FC480B" w:rsidP="00452E34">
            <w:pPr>
              <w:pStyle w:val="BoxText"/>
            </w:pPr>
            <w:r w:rsidRPr="00716D5B">
              <w:t>Qualitative data ha</w:t>
            </w:r>
            <w:r w:rsidR="00232F5E">
              <w:t xml:space="preserve">s </w:t>
            </w:r>
            <w:r w:rsidRPr="00716D5B">
              <w:t>a particular context, time and place and aim to understand outcomes, behaviours and their drivers.</w:t>
            </w:r>
            <w:r w:rsidRPr="00716D5B" w:rsidDel="00F06DD3">
              <w:t xml:space="preserve"> </w:t>
            </w:r>
            <w:r w:rsidRPr="00716D5B">
              <w:t xml:space="preserve">Qualitative data </w:t>
            </w:r>
            <w:r w:rsidRPr="00716D5B" w:rsidDel="00F06DD3">
              <w:t xml:space="preserve">can be collected </w:t>
            </w:r>
            <w:r w:rsidRPr="00716D5B">
              <w:t xml:space="preserve">where quantitative data </w:t>
            </w:r>
            <w:r w:rsidR="00C7475F">
              <w:t>is</w:t>
            </w:r>
            <w:r w:rsidRPr="00716D5B">
              <w:t xml:space="preserve"> unavailable</w:t>
            </w:r>
            <w:r w:rsidR="00571035">
              <w:t xml:space="preserve"> </w:t>
            </w:r>
            <w:r w:rsidRPr="00716D5B">
              <w:t xml:space="preserve">or as a complement </w:t>
            </w:r>
            <w:r w:rsidRPr="00716D5B" w:rsidDel="00590DCE">
              <w:t>to</w:t>
            </w:r>
            <w:r w:rsidRPr="00716D5B">
              <w:t xml:space="preserve"> deepe</w:t>
            </w:r>
            <w:r w:rsidR="003C016C">
              <w:t>n</w:t>
            </w:r>
            <w:r w:rsidRPr="00716D5B" w:rsidDel="009B4127">
              <w:t xml:space="preserve"> </w:t>
            </w:r>
            <w:r w:rsidRPr="00716D5B">
              <w:t xml:space="preserve">analysis. For example, knowing test scores in a school district have outperformed other school districts doesn’t tell you why. </w:t>
            </w:r>
          </w:p>
          <w:p w14:paraId="1F5113A4" w14:textId="6640CA91" w:rsidR="00FC480B" w:rsidRPr="00716D5B" w:rsidRDefault="00FC480B" w:rsidP="00452E34">
            <w:pPr>
              <w:pStyle w:val="BoxText"/>
            </w:pPr>
            <w:r w:rsidRPr="00716D5B">
              <w:t xml:space="preserve">Qualitative research is used by </w:t>
            </w:r>
            <w:r w:rsidR="00030F2C">
              <w:t xml:space="preserve">the </w:t>
            </w:r>
            <w:r w:rsidRPr="00716D5B">
              <w:t>National Centre for Vocational Education Research to enhance outcomes in the VET sector. For example,</w:t>
            </w:r>
            <w:r w:rsidRPr="00716D5B" w:rsidDel="00A6755F">
              <w:t xml:space="preserve"> </w:t>
            </w:r>
            <w:r w:rsidRPr="00716D5B">
              <w:t xml:space="preserve">some </w:t>
            </w:r>
            <w:r w:rsidR="00580369">
              <w:t xml:space="preserve">VET </w:t>
            </w:r>
            <w:r w:rsidRPr="00716D5B">
              <w:t xml:space="preserve">students </w:t>
            </w:r>
            <w:r w:rsidR="00580369">
              <w:t xml:space="preserve">still </w:t>
            </w:r>
            <w:r w:rsidRPr="00716D5B">
              <w:t>achieve successful outcome</w:t>
            </w:r>
            <w:r w:rsidR="009E56E7">
              <w:t>s</w:t>
            </w:r>
            <w:r w:rsidRPr="00716D5B">
              <w:t xml:space="preserve"> despite not completing their VET qualifications. Research found an additional 19.8</w:t>
            </w:r>
            <w:r w:rsidR="005C3260">
              <w:t xml:space="preserve"> per cent</w:t>
            </w:r>
            <w:r w:rsidRPr="00716D5B">
              <w:t xml:space="preserve"> of 2016</w:t>
            </w:r>
            <w:r w:rsidR="00CE1949">
              <w:t>–</w:t>
            </w:r>
            <w:r w:rsidRPr="00716D5B">
              <w:t xml:space="preserve">commencing students </w:t>
            </w:r>
            <w:r w:rsidR="007C3E54">
              <w:t xml:space="preserve">completed all enrolled </w:t>
            </w:r>
            <w:r w:rsidR="002604A5">
              <w:t>subjects or modules</w:t>
            </w:r>
            <w:r w:rsidRPr="00716D5B">
              <w:t>, on top of the 49.5</w:t>
            </w:r>
            <w:r w:rsidR="005C3260">
              <w:t xml:space="preserve"> per cent</w:t>
            </w:r>
            <w:r w:rsidRPr="00716D5B">
              <w:t xml:space="preserve"> who successfully completed their program.</w:t>
            </w:r>
          </w:p>
          <w:p w14:paraId="046B4E21" w14:textId="0C0AC414" w:rsidR="00FC480B" w:rsidRDefault="00FC480B" w:rsidP="00452E34">
            <w:pPr>
              <w:pStyle w:val="BoxText"/>
            </w:pPr>
            <w:r w:rsidRPr="00716D5B">
              <w:t xml:space="preserve">Qualitative narratives are used by the AIHW in its </w:t>
            </w:r>
            <w:r w:rsidR="005C3260">
              <w:t>f</w:t>
            </w:r>
            <w:r w:rsidRPr="00716D5B">
              <w:t xml:space="preserve">amily, </w:t>
            </w:r>
            <w:r w:rsidR="005C3260">
              <w:t>d</w:t>
            </w:r>
            <w:r w:rsidRPr="00716D5B">
              <w:t xml:space="preserve">omestic and </w:t>
            </w:r>
            <w:r w:rsidR="005C3260">
              <w:t>s</w:t>
            </w:r>
            <w:r w:rsidRPr="00716D5B">
              <w:t xml:space="preserve">exual </w:t>
            </w:r>
            <w:r w:rsidR="005C3260">
              <w:t>v</w:t>
            </w:r>
            <w:r w:rsidRPr="00716D5B">
              <w:t xml:space="preserve">iolence reporting. One such example </w:t>
            </w:r>
            <w:r w:rsidR="00A65AC2">
              <w:t>is</w:t>
            </w:r>
            <w:r w:rsidRPr="00716D5B">
              <w:t xml:space="preserve"> the WEAVERs</w:t>
            </w:r>
            <w:r w:rsidR="005C3260">
              <w:t xml:space="preserve"> </w:t>
            </w:r>
            <w:r w:rsidR="00B65D32">
              <w:rPr>
                <w:rFonts w:ascii="Calibri" w:hAnsi="Calibri" w:cs="Calibri"/>
              </w:rPr>
              <w:t>—</w:t>
            </w:r>
            <w:r w:rsidRPr="00716D5B">
              <w:t xml:space="preserve"> a diverse group of women who play a role in ‘weaving’ lived experience into research and training at the University of Melbourne. The WEAVERs’ contributions are used alongside the AIHW’s data reporting to enrich the public understanding of how violence and its consequences </w:t>
            </w:r>
            <w:r w:rsidR="007E2DBB">
              <w:t>is experienced</w:t>
            </w:r>
            <w:r w:rsidRPr="00716D5B">
              <w:t xml:space="preserve"> </w:t>
            </w:r>
            <w:r w:rsidR="004F0EC7">
              <w:t xml:space="preserve">by </w:t>
            </w:r>
            <w:r w:rsidRPr="00716D5B">
              <w:t>some people in a real</w:t>
            </w:r>
            <w:r w:rsidR="00B65D32">
              <w:t>-</w:t>
            </w:r>
            <w:r w:rsidRPr="00716D5B">
              <w:t>world context.</w:t>
            </w:r>
          </w:p>
          <w:p w14:paraId="712F86AC" w14:textId="475B35C0" w:rsidR="00FF17E7" w:rsidRPr="00344800" w:rsidRDefault="00754C7F" w:rsidP="00452E34">
            <w:pPr>
              <w:pStyle w:val="BoxText"/>
              <w:rPr>
                <w:lang w:eastAsia="en-US"/>
              </w:rPr>
            </w:pPr>
            <w:r w:rsidRPr="00115C2F">
              <w:t xml:space="preserve">While useful, qualitative observations and research may not always apply generally. </w:t>
            </w:r>
            <w:r w:rsidR="00BD03C7" w:rsidRPr="00115C2F">
              <w:t xml:space="preserve">As the </w:t>
            </w:r>
            <w:r w:rsidR="00BD03C7" w:rsidRPr="004F0EC7">
              <w:t>What Works</w:t>
            </w:r>
            <w:r w:rsidR="00BD03C7" w:rsidRPr="00115C2F">
              <w:rPr>
                <w:i/>
              </w:rPr>
              <w:t xml:space="preserve"> </w:t>
            </w:r>
            <w:r w:rsidR="00BD03C7" w:rsidRPr="00115C2F">
              <w:t>pilot report notes, w</w:t>
            </w:r>
            <w:r w:rsidRPr="00115C2F">
              <w:t>ithout an analysis of causal links</w:t>
            </w:r>
            <w:r w:rsidR="005F6E33" w:rsidRPr="00115C2F">
              <w:t xml:space="preserve"> between interventions and outcomes</w:t>
            </w:r>
            <w:r w:rsidRPr="00115C2F">
              <w:t xml:space="preserve">, </w:t>
            </w:r>
            <w:r w:rsidR="007503B1" w:rsidRPr="00115C2F">
              <w:t xml:space="preserve">sustainable improvements are </w:t>
            </w:r>
            <w:r w:rsidRPr="00115C2F">
              <w:t xml:space="preserve">only likely to </w:t>
            </w:r>
            <w:r w:rsidR="00FF17E7" w:rsidRPr="00344800">
              <w:t>come</w:t>
            </w:r>
            <w:r w:rsidRPr="00115C2F">
              <w:t xml:space="preserve"> through trial and error.</w:t>
            </w:r>
          </w:p>
          <w:p w14:paraId="05795962" w14:textId="1AB5D6AE" w:rsidR="003478A4" w:rsidRPr="002C5A69" w:rsidRDefault="003478A4" w:rsidP="00367483">
            <w:pPr>
              <w:pStyle w:val="ChartorTableNote"/>
            </w:pPr>
            <w:r w:rsidRPr="002C5A69">
              <w:t>Sources:</w:t>
            </w:r>
            <w:r w:rsidR="003D3497">
              <w:t xml:space="preserve"> </w:t>
            </w:r>
            <w:r w:rsidR="00C4267F">
              <w:rPr>
                <w:noProof/>
              </w:rPr>
              <w:t>(PC 2021a; Wilbrow and Hall 2024; Melbourne Social Equity Institute 2024; AIHW 2024c)</w:t>
            </w:r>
          </w:p>
        </w:tc>
      </w:tr>
    </w:tbl>
    <w:bookmarkEnd w:id="50"/>
    <w:p w14:paraId="2841FBA3" w14:textId="7E879C24" w:rsidR="002B639D" w:rsidRPr="000662B6" w:rsidRDefault="002B639D" w:rsidP="002B639D">
      <w:r>
        <w:t>Sharing experiences</w:t>
      </w:r>
      <w:r w:rsidR="00024BA1">
        <w:t>, including via case studies,</w:t>
      </w:r>
      <w:r>
        <w:t xml:space="preserve"> </w:t>
      </w:r>
      <w:r w:rsidR="00F51386">
        <w:t>could</w:t>
      </w:r>
      <w:r w:rsidR="00BB27C0">
        <w:t xml:space="preserve"> also</w:t>
      </w:r>
      <w:r>
        <w:t xml:space="preserve"> help to facilitate the diffusion of good policy by reducing the </w:t>
      </w:r>
      <w:r w:rsidR="002470CF">
        <w:t xml:space="preserve">need for a ‘trial and error’ approach. </w:t>
      </w:r>
      <w:r w:rsidRPr="00C64EFA">
        <w:t xml:space="preserve">Case studies </w:t>
      </w:r>
      <w:r w:rsidR="00A1433B">
        <w:t>can</w:t>
      </w:r>
      <w:r w:rsidRPr="00C64EFA">
        <w:t xml:space="preserve"> measur</w:t>
      </w:r>
      <w:r w:rsidR="00A1433B">
        <w:t>e</w:t>
      </w:r>
      <w:r w:rsidRPr="00C64EFA">
        <w:t xml:space="preserve"> the impact of community engagement programs, which are not captured well by quantitative data. Case studies can also help to tell the story of how data </w:t>
      </w:r>
      <w:r w:rsidR="00C7475F">
        <w:t>is</w:t>
      </w:r>
      <w:r w:rsidR="000339C8">
        <w:t xml:space="preserve"> </w:t>
      </w:r>
      <w:r w:rsidRPr="00C64EFA">
        <w:t xml:space="preserve">used and why </w:t>
      </w:r>
      <w:r w:rsidR="000F787F">
        <w:t>collecting data</w:t>
      </w:r>
      <w:r w:rsidRPr="00C64EFA">
        <w:t xml:space="preserve"> matters, and to facilitate change conversations</w:t>
      </w:r>
      <w:r>
        <w:t xml:space="preserve">. </w:t>
      </w:r>
      <w:r w:rsidR="00910F82">
        <w:t>For example, t</w:t>
      </w:r>
      <w:r w:rsidRPr="000662B6">
        <w:t xml:space="preserve">he 2024 RoGS included a case study on flood mitigation, prevention and preparedness efforts in Queensland </w:t>
      </w:r>
      <w:r w:rsidR="000F695B">
        <w:t>(</w:t>
      </w:r>
      <w:r w:rsidR="00427FAB" w:rsidRPr="00427FAB">
        <w:rPr>
          <w:i/>
          <w:iCs/>
        </w:rPr>
        <w:t>Information</w:t>
      </w:r>
      <w:r w:rsidR="00427FAB" w:rsidRPr="00452E34">
        <w:t xml:space="preserve"> Box 8: Flood mitigation, prevention and preparedness case study</w:t>
      </w:r>
      <w:r w:rsidRPr="000662B6">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2B639D" w14:paraId="4BFD401C" w14:textId="77777777" w:rsidTr="00B11057">
        <w:trPr>
          <w:trHeight w:val="1858"/>
        </w:trPr>
        <w:tc>
          <w:tcPr>
            <w:tcW w:w="5000" w:type="pct"/>
            <w:shd w:val="clear" w:color="auto" w:fill="EEEEEE" w:themeFill="background2"/>
          </w:tcPr>
          <w:p w14:paraId="5F44B881" w14:textId="59E4A6C4" w:rsidR="002B639D" w:rsidRPr="00452E34" w:rsidRDefault="00452E34" w:rsidP="00452E34">
            <w:pPr>
              <w:pStyle w:val="BoxHeading"/>
            </w:pPr>
            <w:bookmarkStart w:id="51" w:name="_Ref180493730"/>
            <w:r w:rsidRPr="00452E34">
              <w:t>Information Box 8</w:t>
            </w:r>
            <w:r w:rsidR="002B639D" w:rsidRPr="00452E34">
              <w:t xml:space="preserve">: </w:t>
            </w:r>
            <w:r w:rsidR="00A9409C" w:rsidRPr="00452E34">
              <w:t>Flood mitigation, prevention and preparedness case study</w:t>
            </w:r>
            <w:bookmarkEnd w:id="51"/>
          </w:p>
          <w:p w14:paraId="02FBC6F8" w14:textId="77777777" w:rsidR="00C31C2A" w:rsidRPr="00716D5B" w:rsidRDefault="00C31C2A" w:rsidP="00452E34">
            <w:pPr>
              <w:pStyle w:val="BoxText"/>
            </w:pPr>
            <w:r w:rsidRPr="00716D5B">
              <w:t>The 2024 RoGS included a case study on flood mitigation, prevention and preparedness efforts in Queensland. It looked at:</w:t>
            </w:r>
          </w:p>
          <w:p w14:paraId="100CD8AF" w14:textId="747EADF9" w:rsidR="00C31C2A" w:rsidRPr="00716D5B" w:rsidRDefault="000F695B" w:rsidP="00452E34">
            <w:pPr>
              <w:pStyle w:val="Boxbullet"/>
            </w:pPr>
            <w:r>
              <w:t>t</w:t>
            </w:r>
            <w:r w:rsidR="00C31C2A" w:rsidRPr="00716D5B">
              <w:t xml:space="preserve">he roles and responsibilities of local governments and </w:t>
            </w:r>
            <w:r w:rsidR="00A47EF3">
              <w:t>S</w:t>
            </w:r>
            <w:r w:rsidR="00C31C2A" w:rsidRPr="00716D5B">
              <w:t>tate</w:t>
            </w:r>
            <w:r w:rsidR="00B65D32">
              <w:t>-</w:t>
            </w:r>
            <w:r w:rsidR="00C31C2A" w:rsidRPr="00716D5B">
              <w:t>level agencies</w:t>
            </w:r>
          </w:p>
          <w:p w14:paraId="57E17B15" w14:textId="1E080301" w:rsidR="00C31C2A" w:rsidRPr="00716D5B" w:rsidRDefault="000F695B" w:rsidP="00452E34">
            <w:pPr>
              <w:pStyle w:val="Boxbullet"/>
            </w:pPr>
            <w:r>
              <w:t>p</w:t>
            </w:r>
            <w:r w:rsidR="00C31C2A" w:rsidRPr="00716D5B">
              <w:t>ast studies of floods in Queensland</w:t>
            </w:r>
          </w:p>
          <w:p w14:paraId="003BA661" w14:textId="4680B966" w:rsidR="00C31C2A" w:rsidRPr="00716D5B" w:rsidRDefault="000F695B" w:rsidP="00452E34">
            <w:pPr>
              <w:pStyle w:val="Boxbullet"/>
            </w:pPr>
            <w:r>
              <w:t>t</w:t>
            </w:r>
            <w:r w:rsidR="00A47EF3">
              <w:t xml:space="preserve">he </w:t>
            </w:r>
            <w:r w:rsidR="00C31C2A" w:rsidRPr="00716D5B">
              <w:t>role of community awareness in helping individuals and communities to prepare</w:t>
            </w:r>
          </w:p>
          <w:p w14:paraId="0B6A913C" w14:textId="0203EA5D" w:rsidR="00C31C2A" w:rsidRPr="00716D5B" w:rsidRDefault="000F695B" w:rsidP="00452E34">
            <w:pPr>
              <w:pStyle w:val="Boxbullet"/>
            </w:pPr>
            <w:r>
              <w:t>h</w:t>
            </w:r>
            <w:r w:rsidR="00C31C2A" w:rsidRPr="00716D5B">
              <w:t>ousehold preparedness</w:t>
            </w:r>
          </w:p>
          <w:p w14:paraId="125274E8" w14:textId="3E07C530" w:rsidR="00C31C2A" w:rsidRPr="00716D5B" w:rsidRDefault="000F695B" w:rsidP="00452E34">
            <w:pPr>
              <w:pStyle w:val="Boxbullet"/>
            </w:pPr>
            <w:r>
              <w:t>f</w:t>
            </w:r>
            <w:r w:rsidR="00A47EF3">
              <w:t>l</w:t>
            </w:r>
            <w:r w:rsidR="00C31C2A" w:rsidRPr="00716D5B">
              <w:t>ood warnings</w:t>
            </w:r>
            <w:r w:rsidR="00A47EF3">
              <w:t>.</w:t>
            </w:r>
          </w:p>
          <w:p w14:paraId="005B9C6D" w14:textId="7AC27E3E" w:rsidR="00C31C2A" w:rsidRPr="00716D5B" w:rsidRDefault="00C31C2A" w:rsidP="00452E34">
            <w:pPr>
              <w:pStyle w:val="BoxText"/>
            </w:pPr>
            <w:r w:rsidRPr="00716D5B">
              <w:t xml:space="preserve">The case study </w:t>
            </w:r>
            <w:r w:rsidR="00A47EF3">
              <w:t xml:space="preserve">was </w:t>
            </w:r>
            <w:r w:rsidRPr="00716D5B">
              <w:t>used to assess the flood risk and resilience of communities, and to inform planning and investment decisions. It highlighted examples of community awareness programs undertaken by government agencies in Queensland, flood mitigation, prevention and preparedness measures being implemented and recent attempts to improve Queensland’s existing flood warning systems.</w:t>
            </w:r>
          </w:p>
          <w:p w14:paraId="558CB602" w14:textId="7CCF2A6F" w:rsidR="00C31C2A" w:rsidRPr="00716D5B" w:rsidRDefault="00C31C2A" w:rsidP="00452E34">
            <w:pPr>
              <w:pStyle w:val="BoxText"/>
            </w:pPr>
            <w:r w:rsidRPr="00716D5B">
              <w:t xml:space="preserve">The flood case study is an example of how analysis and other data sources could be used in the RoGS to provide insights on local and </w:t>
            </w:r>
            <w:r w:rsidR="000B10B4">
              <w:t>S</w:t>
            </w:r>
            <w:r w:rsidRPr="00716D5B">
              <w:t>tate programs in key policy areas.</w:t>
            </w:r>
          </w:p>
          <w:p w14:paraId="415A9B1B" w14:textId="2E216796" w:rsidR="002B639D" w:rsidRPr="0011590D" w:rsidRDefault="002B639D" w:rsidP="00367483">
            <w:pPr>
              <w:pStyle w:val="ChartorTableNote"/>
            </w:pPr>
            <w:r w:rsidRPr="0011590D">
              <w:t xml:space="preserve">Source: </w:t>
            </w:r>
            <w:sdt>
              <w:sdtPr>
                <w:id w:val="-1754351773"/>
                <w:citation/>
              </w:sdtPr>
              <w:sdtEndPr/>
              <w:sdtContent>
                <w:r w:rsidR="00D7690B">
                  <w:fldChar w:fldCharType="begin"/>
                </w:r>
                <w:r w:rsidR="00C74E55">
                  <w:instrText xml:space="preserve">CITATION Ste241 \l 3081 </w:instrText>
                </w:r>
                <w:r w:rsidR="00D7690B">
                  <w:fldChar w:fldCharType="separate"/>
                </w:r>
                <w:r w:rsidR="003003B3">
                  <w:rPr>
                    <w:noProof/>
                  </w:rPr>
                  <w:t>(Steering Committee 2024a)</w:t>
                </w:r>
                <w:r w:rsidR="00D7690B">
                  <w:fldChar w:fldCharType="end"/>
                </w:r>
              </w:sdtContent>
            </w:sdt>
          </w:p>
        </w:tc>
      </w:tr>
    </w:tbl>
    <w:p w14:paraId="0B141D49" w14:textId="05DFCF1D" w:rsidR="00ED4593" w:rsidRDefault="00E0089A" w:rsidP="000F695B">
      <w:r>
        <w:t xml:space="preserve">The Review </w:t>
      </w:r>
      <w:r w:rsidR="00B667A2">
        <w:t>considers</w:t>
      </w:r>
      <w:r>
        <w:t xml:space="preserve"> including more quantitative </w:t>
      </w:r>
      <w:r w:rsidR="00797FF3">
        <w:t xml:space="preserve">and qualitative </w:t>
      </w:r>
      <w:r>
        <w:t>analysis</w:t>
      </w:r>
      <w:r w:rsidR="00797FF3">
        <w:t xml:space="preserve"> will help </w:t>
      </w:r>
      <w:r w:rsidR="008059B7" w:rsidRPr="008059B7">
        <w:t>facilitate improved service delivery, efficiency and performance</w:t>
      </w:r>
      <w:r w:rsidR="008059B7">
        <w:t xml:space="preserve"> over time</w:t>
      </w:r>
      <w:r>
        <w:t>.</w:t>
      </w:r>
      <w:r w:rsidR="00ED4593">
        <w:t xml:space="preserve"> It is consistent with the approach being taken on </w:t>
      </w:r>
      <w:r w:rsidR="00ED4593" w:rsidRPr="000950FC">
        <w:t>Measuring What Matters</w:t>
      </w:r>
      <w:r w:rsidR="00ED4593">
        <w:t xml:space="preserve"> </w:t>
      </w:r>
      <w:r w:rsidR="001146F7">
        <w:t>to include insights</w:t>
      </w:r>
      <w:r w:rsidR="00ED4593">
        <w:t xml:space="preserve"> (</w:t>
      </w:r>
      <w:r w:rsidR="00427FAB" w:rsidRPr="00427FAB">
        <w:rPr>
          <w:i/>
          <w:iCs/>
        </w:rPr>
        <w:t>Information</w:t>
      </w:r>
      <w:r w:rsidR="00427FAB" w:rsidRPr="00452E34">
        <w:t xml:space="preserve"> Box 9: Comprehensive Measuring What Matters </w:t>
      </w:r>
      <w:r w:rsidR="00ED4593">
        <w:t>)</w:t>
      </w:r>
      <w:r w:rsidR="00D55326">
        <w:t xml:space="preserve"> and the OECD’s </w:t>
      </w:r>
      <w:r w:rsidR="00D55326" w:rsidRPr="000950FC">
        <w:t>Government at a Glance publication</w:t>
      </w:r>
      <w:r w:rsidR="00D55326">
        <w:t xml:space="preserve">. The OECD compares the satisfaction of citizens with public services across countries. </w:t>
      </w:r>
      <w:r w:rsidR="000F695B" w:rsidRPr="000950FC">
        <w:t>Govern</w:t>
      </w:r>
      <w:r w:rsidR="00501550" w:rsidRPr="000950FC">
        <w:t>ment at a Glance</w:t>
      </w:r>
      <w:r w:rsidR="00D55326">
        <w:t xml:space="preserve"> provides an overview of the results, including highlighting where results have improved</w:t>
      </w:r>
      <w:r w:rsidR="00746185">
        <w:t xml:space="preserve"> or</w:t>
      </w:r>
      <w:r w:rsidR="00D55326">
        <w:t xml:space="preserve"> declined and where citizens are the most satisfied with services. The analysis also explains factors that may be causing comparatively low performance in some countries</w:t>
      </w:r>
      <w:r w:rsidR="00501550">
        <w:t xml:space="preserve"> </w:t>
      </w:r>
      <w:sdt>
        <w:sdtPr>
          <w:id w:val="1352610750"/>
          <w:citation/>
        </w:sdtPr>
        <w:sdtEndPr/>
        <w:sdtContent>
          <w:r w:rsidR="00C366AF">
            <w:fldChar w:fldCharType="begin"/>
          </w:r>
          <w:r w:rsidR="00C74E55">
            <w:instrText xml:space="preserve">CITATION Org231 \l 3081 </w:instrText>
          </w:r>
          <w:r w:rsidR="00C366AF">
            <w:fldChar w:fldCharType="separate"/>
          </w:r>
          <w:r w:rsidR="003003B3" w:rsidRPr="003003B3">
            <w:rPr>
              <w:noProof/>
            </w:rPr>
            <w:t>(OECD 2023b)</w:t>
          </w:r>
          <w:r w:rsidR="00C366AF">
            <w:fldChar w:fldCharType="end"/>
          </w:r>
        </w:sdtContent>
      </w:sdt>
      <w:r w:rsidR="00D55326">
        <w:t xml:space="preserve">. </w:t>
      </w:r>
      <w:r w:rsidR="00ED4593">
        <w:t xml:space="preserve">This </w:t>
      </w:r>
      <w:r w:rsidR="00501550">
        <w:t xml:space="preserve">kind of </w:t>
      </w:r>
      <w:r w:rsidR="00ED4593">
        <w:t xml:space="preserve">material should be included in sector </w:t>
      </w:r>
      <w:r w:rsidR="000E36A8" w:rsidRPr="000950FC">
        <w:t>O</w:t>
      </w:r>
      <w:r w:rsidR="00ED4593" w:rsidRPr="000950FC">
        <w:t>verview</w:t>
      </w:r>
      <w:r w:rsidR="000E36A8">
        <w:rPr>
          <w:i/>
          <w:iCs/>
        </w:rPr>
        <w:t xml:space="preserve"> </w:t>
      </w:r>
      <w:r w:rsidR="000E36A8">
        <w:t>sections</w:t>
      </w:r>
      <w:r w:rsidR="00ED4593">
        <w:t xml:space="preserve"> and the front of each service area chapter.</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ED4593" w14:paraId="0D9A16C0" w14:textId="77777777" w:rsidTr="00327329">
        <w:trPr>
          <w:trHeight w:val="2575"/>
        </w:trPr>
        <w:tc>
          <w:tcPr>
            <w:tcW w:w="5000" w:type="pct"/>
            <w:shd w:val="clear" w:color="auto" w:fill="EEEEEE" w:themeFill="background2"/>
          </w:tcPr>
          <w:p w14:paraId="1DB41FCF" w14:textId="252B9041" w:rsidR="00ED4593" w:rsidRPr="00452E34" w:rsidRDefault="00452E34" w:rsidP="00452E34">
            <w:pPr>
              <w:pStyle w:val="BoxHeading"/>
            </w:pPr>
            <w:bookmarkStart w:id="52" w:name="_Ref181098399"/>
            <w:r w:rsidRPr="00452E34">
              <w:t>Information Box 9</w:t>
            </w:r>
            <w:r w:rsidR="00ED4593" w:rsidRPr="00452E34">
              <w:t xml:space="preserve">: </w:t>
            </w:r>
            <w:r w:rsidR="00824B55" w:rsidRPr="00452E34">
              <w:t>Comprehensive</w:t>
            </w:r>
            <w:r w:rsidR="00ED4593" w:rsidRPr="00452E34">
              <w:t xml:space="preserve"> Measuring What Matters </w:t>
            </w:r>
            <w:bookmarkEnd w:id="52"/>
            <w:r w:rsidR="00824B55" w:rsidRPr="00452E34">
              <w:t>Statement</w:t>
            </w:r>
            <w:r w:rsidR="00E6187C" w:rsidRPr="00452E34">
              <w:t xml:space="preserve"> </w:t>
            </w:r>
          </w:p>
          <w:p w14:paraId="22351B12" w14:textId="7205B99F" w:rsidR="00ED4593" w:rsidRPr="00716D5B" w:rsidRDefault="00ED4593" w:rsidP="00452E34">
            <w:pPr>
              <w:pStyle w:val="BoxText"/>
            </w:pPr>
            <w:r w:rsidRPr="00716D5B">
              <w:t>The Measuring What Matters Statement and its dashboard have been designed to be high</w:t>
            </w:r>
            <w:r w:rsidR="00B65D32">
              <w:t>-</w:t>
            </w:r>
            <w:r w:rsidRPr="00716D5B">
              <w:t>level</w:t>
            </w:r>
            <w:r w:rsidR="00A82429">
              <w:t>,</w:t>
            </w:r>
            <w:r w:rsidRPr="00716D5B">
              <w:t xml:space="preserve"> concise</w:t>
            </w:r>
            <w:r w:rsidR="00A82429">
              <w:t>, and</w:t>
            </w:r>
            <w:r w:rsidRPr="00716D5B">
              <w:t xml:space="preserve"> accessible.</w:t>
            </w:r>
          </w:p>
          <w:p w14:paraId="6A5C5754" w14:textId="30FA8866" w:rsidR="00ED4593" w:rsidRPr="00716D5B" w:rsidRDefault="00163787" w:rsidP="00452E34">
            <w:pPr>
              <w:pStyle w:val="BoxText"/>
            </w:pPr>
            <w:r>
              <w:t>T</w:t>
            </w:r>
            <w:r w:rsidR="00ED4593" w:rsidRPr="00716D5B">
              <w:t>he</w:t>
            </w:r>
            <w:r>
              <w:t xml:space="preserve"> Commonwealth</w:t>
            </w:r>
            <w:r w:rsidR="00ED4593" w:rsidRPr="00716D5B">
              <w:t xml:space="preserve"> is committed to refining the Framework over time, so that </w:t>
            </w:r>
            <w:r>
              <w:t>it</w:t>
            </w:r>
            <w:r w:rsidR="00ED4593" w:rsidRPr="00716D5B">
              <w:t xml:space="preserve"> properly take</w:t>
            </w:r>
            <w:r>
              <w:t>s</w:t>
            </w:r>
            <w:r w:rsidR="00ED4593" w:rsidRPr="00716D5B">
              <w:t xml:space="preserve"> account of changing public perspectives, and developments in how we collect, analyse and use data.</w:t>
            </w:r>
            <w:r w:rsidR="00087CD7">
              <w:t xml:space="preserve"> A key focus will be on exploring greater disaggregation to better reflect the experience of different groups.</w:t>
            </w:r>
          </w:p>
          <w:p w14:paraId="738F30E4" w14:textId="03907061" w:rsidR="00ED4593" w:rsidRPr="00716D5B" w:rsidRDefault="00ED4593" w:rsidP="00452E34">
            <w:pPr>
              <w:pStyle w:val="BoxText"/>
            </w:pPr>
            <w:r w:rsidRPr="00716D5B">
              <w:t xml:space="preserve">The Dashboard will be updated </w:t>
            </w:r>
            <w:r w:rsidR="00087CD7">
              <w:t>annually</w:t>
            </w:r>
            <w:r w:rsidRPr="00716D5B">
              <w:t xml:space="preserve"> to take stock of progress and identify priorities for future action. </w:t>
            </w:r>
          </w:p>
          <w:p w14:paraId="575392F0" w14:textId="515BF6D0" w:rsidR="00ED4593" w:rsidRPr="00716D5B" w:rsidRDefault="00225ADD" w:rsidP="00452E34">
            <w:pPr>
              <w:pStyle w:val="BoxText"/>
            </w:pPr>
            <w:r>
              <w:t>T</w:t>
            </w:r>
            <w:r w:rsidR="00ED4593" w:rsidRPr="00716D5B">
              <w:t xml:space="preserve">he </w:t>
            </w:r>
            <w:r>
              <w:t>Commonwealth</w:t>
            </w:r>
            <w:r w:rsidR="00ED4593" w:rsidRPr="00716D5B">
              <w:t xml:space="preserve"> will release a comprehensive </w:t>
            </w:r>
            <w:r w:rsidR="00ED4593" w:rsidRPr="00327329">
              <w:rPr>
                <w:i/>
              </w:rPr>
              <w:t>Measuring What Matters Statement</w:t>
            </w:r>
            <w:r w:rsidR="00ED4593" w:rsidRPr="00716D5B">
              <w:t xml:space="preserve"> every 3 years. These statements will examine trends in wellbeing, how we are tracking over time, and where we are doing well or need to do better.</w:t>
            </w:r>
          </w:p>
          <w:p w14:paraId="3C38E19F" w14:textId="0F097728" w:rsidR="00ED4593" w:rsidRPr="00716D5B" w:rsidRDefault="00ED4593" w:rsidP="00452E34">
            <w:pPr>
              <w:pStyle w:val="BoxText"/>
            </w:pPr>
            <w:r w:rsidRPr="00716D5B">
              <w:t>These insights will be used to inform budgets and government decision</w:t>
            </w:r>
            <w:r w:rsidR="00B65D32">
              <w:t>-</w:t>
            </w:r>
            <w:r w:rsidRPr="00716D5B">
              <w:t>making to deliver better outcomes for Australians.</w:t>
            </w:r>
          </w:p>
          <w:p w14:paraId="6D3461D5" w14:textId="24F33D12" w:rsidR="00ED4593" w:rsidRPr="0011590D" w:rsidRDefault="00ED4593" w:rsidP="00BA11F1">
            <w:pPr>
              <w:pStyle w:val="ChartorTableNote"/>
            </w:pPr>
            <w:r w:rsidRPr="0011590D">
              <w:t xml:space="preserve">Sources: </w:t>
            </w:r>
            <w:r w:rsidR="00C4267F">
              <w:rPr>
                <w:noProof/>
              </w:rPr>
              <w:t>(Commonwealth of Australia 2023c; Chalmers and Leigh 2024)</w:t>
            </w:r>
          </w:p>
        </w:tc>
      </w:tr>
    </w:tbl>
    <w:p w14:paraId="0744CA8D" w14:textId="3D6CDCFF" w:rsidR="00CA28CB" w:rsidRDefault="00CA28CB" w:rsidP="00CA28CB">
      <w:pPr>
        <w:pStyle w:val="Heading3"/>
      </w:pPr>
      <w:r>
        <w:t>Cross</w:t>
      </w:r>
      <w:r w:rsidR="000E36A8">
        <w:t>-</w:t>
      </w:r>
      <w:r>
        <w:t>secto</w:t>
      </w:r>
      <w:r w:rsidR="00207336">
        <w:t>r</w:t>
      </w:r>
      <w:r>
        <w:t>al analysis</w:t>
      </w:r>
    </w:p>
    <w:p w14:paraId="751B2DEE" w14:textId="4373322A" w:rsidR="00CA28CB" w:rsidRDefault="00327329" w:rsidP="00CA28CB">
      <w:r>
        <w:t>S</w:t>
      </w:r>
      <w:r w:rsidR="00CA28CB" w:rsidRPr="00151DDC">
        <w:t xml:space="preserve">takeholders noted that the RoGS does not highlight the </w:t>
      </w:r>
      <w:r w:rsidR="00C940C3">
        <w:t>interdependence</w:t>
      </w:r>
      <w:r w:rsidR="00CA28CB" w:rsidRPr="00151DDC">
        <w:t xml:space="preserve"> between service sectors, such as the influence of </w:t>
      </w:r>
      <w:r w:rsidR="00C940C3">
        <w:t>housing and education</w:t>
      </w:r>
      <w:r w:rsidR="00CA28CB" w:rsidRPr="00151DDC">
        <w:t xml:space="preserve"> on health outcomes (</w:t>
      </w:r>
      <w:r w:rsidR="00427FAB" w:rsidRPr="00427FAB">
        <w:rPr>
          <w:i/>
          <w:iCs/>
        </w:rPr>
        <w:t>Information</w:t>
      </w:r>
      <w:r w:rsidR="00427FAB" w:rsidRPr="00452E34">
        <w:t xml:space="preserve"> Box 10: Social factors influencing health outcomes</w:t>
      </w:r>
      <w:r w:rsidR="00CA28CB" w:rsidRPr="00151DDC">
        <w:t>).</w:t>
      </w:r>
      <w:r w:rsidR="00DE0BC7">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CA28CB" w14:paraId="6A4102EF" w14:textId="77777777">
        <w:trPr>
          <w:trHeight w:val="1858"/>
        </w:trPr>
        <w:tc>
          <w:tcPr>
            <w:tcW w:w="5000" w:type="pct"/>
            <w:shd w:val="clear" w:color="auto" w:fill="EEEEEE" w:themeFill="background2"/>
          </w:tcPr>
          <w:p w14:paraId="2EBDFD55" w14:textId="6ABE223F" w:rsidR="00CA28CB" w:rsidRPr="00452E34" w:rsidRDefault="00452E34" w:rsidP="00452E34">
            <w:pPr>
              <w:pStyle w:val="BoxHeading"/>
            </w:pPr>
            <w:bookmarkStart w:id="53" w:name="_Ref181098469"/>
            <w:r w:rsidRPr="00452E34">
              <w:t>Information Box 10</w:t>
            </w:r>
            <w:r w:rsidR="00CA28CB" w:rsidRPr="00452E34">
              <w:t>: Social factors influencing health outcomes</w:t>
            </w:r>
            <w:bookmarkEnd w:id="53"/>
          </w:p>
          <w:p w14:paraId="49AC7D78" w14:textId="77777777" w:rsidR="00CA28CB" w:rsidRPr="00716D5B" w:rsidRDefault="00CA28CB" w:rsidP="00452E34">
            <w:pPr>
              <w:pStyle w:val="BoxText"/>
            </w:pPr>
            <w:r w:rsidRPr="00716D5B">
              <w:t>Social factors can influence health outcomes within and between countries. They are the conditions in which people are born, grow, work, live, and age. For example, health outcomes can be impacted by:</w:t>
            </w:r>
          </w:p>
          <w:p w14:paraId="79564B64" w14:textId="0DE99E1E" w:rsidR="00CA28CB" w:rsidRPr="00716D5B" w:rsidRDefault="00327329" w:rsidP="00452E34">
            <w:pPr>
              <w:pStyle w:val="Boxbullet"/>
            </w:pPr>
            <w:r>
              <w:t>i</w:t>
            </w:r>
            <w:r w:rsidR="00CA28CB" w:rsidRPr="00716D5B">
              <w:t>ncome</w:t>
            </w:r>
          </w:p>
          <w:p w14:paraId="7E97439F" w14:textId="3673C06D" w:rsidR="00CA28CB" w:rsidRPr="00716D5B" w:rsidRDefault="00327329" w:rsidP="00452E34">
            <w:pPr>
              <w:pStyle w:val="Boxbullet"/>
            </w:pPr>
            <w:r>
              <w:t>e</w:t>
            </w:r>
            <w:r w:rsidR="00CA28CB" w:rsidRPr="00716D5B">
              <w:t>ducation</w:t>
            </w:r>
          </w:p>
          <w:p w14:paraId="0C0A1430" w14:textId="62DFED4B" w:rsidR="00CA28CB" w:rsidRPr="00716D5B" w:rsidRDefault="00327329" w:rsidP="00452E34">
            <w:pPr>
              <w:pStyle w:val="Boxbullet"/>
            </w:pPr>
            <w:r>
              <w:t>e</w:t>
            </w:r>
            <w:r w:rsidR="00CA28CB" w:rsidRPr="00716D5B">
              <w:t>arly childhood development</w:t>
            </w:r>
          </w:p>
          <w:p w14:paraId="79B53ECA" w14:textId="206AB1D9" w:rsidR="00CA28CB" w:rsidRPr="00716D5B" w:rsidRDefault="00327329" w:rsidP="00452E34">
            <w:pPr>
              <w:pStyle w:val="Boxbullet"/>
            </w:pPr>
            <w:r>
              <w:t>e</w:t>
            </w:r>
            <w:r w:rsidR="00CA28CB" w:rsidRPr="00716D5B">
              <w:t>mployment status</w:t>
            </w:r>
          </w:p>
          <w:p w14:paraId="3936C4EB" w14:textId="406BB187" w:rsidR="00CA28CB" w:rsidRPr="00716D5B" w:rsidRDefault="00327329" w:rsidP="00452E34">
            <w:pPr>
              <w:pStyle w:val="Boxbullet"/>
            </w:pPr>
            <w:r>
              <w:t>h</w:t>
            </w:r>
            <w:r w:rsidR="00CA28CB" w:rsidRPr="00716D5B">
              <w:t>ousing</w:t>
            </w:r>
          </w:p>
          <w:p w14:paraId="052D36D4" w14:textId="160D8EE8" w:rsidR="00CA28CB" w:rsidRPr="00716D5B" w:rsidRDefault="00327329" w:rsidP="00452E34">
            <w:pPr>
              <w:pStyle w:val="Boxbullet"/>
            </w:pPr>
            <w:r>
              <w:t>a</w:t>
            </w:r>
            <w:r w:rsidR="00CA28CB" w:rsidRPr="00716D5B">
              <w:t>ccess to affordable and quality health care</w:t>
            </w:r>
            <w:r>
              <w:t>.</w:t>
            </w:r>
          </w:p>
          <w:p w14:paraId="329D131F" w14:textId="77777777" w:rsidR="00CA28CB" w:rsidRPr="00716D5B" w:rsidRDefault="00CA28CB" w:rsidP="00452E34">
            <w:pPr>
              <w:pStyle w:val="BoxText"/>
            </w:pPr>
            <w:r w:rsidRPr="00716D5B">
              <w:t xml:space="preserve">Numerous studies suggest that social determinants of health account for between 30 to 55 per cent of health outcomes. </w:t>
            </w:r>
            <w:r>
              <w:t>Therefore</w:t>
            </w:r>
            <w:r w:rsidRPr="00716D5B">
              <w:t xml:space="preserve">, it is important to consider </w:t>
            </w:r>
            <w:r>
              <w:t>their</w:t>
            </w:r>
            <w:r w:rsidRPr="00716D5B">
              <w:t xml:space="preserve"> impact on health outcomes. </w:t>
            </w:r>
          </w:p>
          <w:p w14:paraId="4EF35744" w14:textId="690A0A2E" w:rsidR="00CA28CB" w:rsidRPr="00C33A8D" w:rsidRDefault="00CA28CB" w:rsidP="00452E34">
            <w:pPr>
              <w:pStyle w:val="BoxText"/>
              <w:rPr>
                <w:sz w:val="22"/>
                <w:szCs w:val="22"/>
              </w:rPr>
            </w:pPr>
            <w:r w:rsidRPr="00716D5B">
              <w:t xml:space="preserve">The AIHW </w:t>
            </w:r>
            <w:r>
              <w:t>publishes information</w:t>
            </w:r>
            <w:r w:rsidRPr="00716D5B">
              <w:t xml:space="preserve"> on the social determinants of health. </w:t>
            </w:r>
            <w:r>
              <w:t>A recent</w:t>
            </w:r>
            <w:r w:rsidRPr="00716D5B">
              <w:t xml:space="preserve"> article included data on the social characteristics of the Australian population and evidence from recent studies on how these characteristics can act to strengthen or undermine the health of individuals and communities. For example, </w:t>
            </w:r>
            <w:r w:rsidR="00CC52DD">
              <w:t xml:space="preserve">the </w:t>
            </w:r>
            <w:r w:rsidRPr="00716D5B">
              <w:t>AIHW noted that poor</w:t>
            </w:r>
            <w:r w:rsidR="00B65D32">
              <w:t>-</w:t>
            </w:r>
            <w:r w:rsidRPr="00716D5B">
              <w:t>quality housing can worsen health outcomes, such as respiratory illness, cardiovascular disease and mental health.</w:t>
            </w:r>
            <w:r w:rsidRPr="00C33A8D">
              <w:rPr>
                <w:sz w:val="22"/>
                <w:szCs w:val="22"/>
              </w:rPr>
              <w:t xml:space="preserve"> </w:t>
            </w:r>
          </w:p>
          <w:p w14:paraId="68679EB9" w14:textId="563C4921" w:rsidR="00CA28CB" w:rsidRPr="0011590D" w:rsidRDefault="00CA28CB" w:rsidP="00BA11F1">
            <w:pPr>
              <w:pStyle w:val="ChartorTableNote"/>
            </w:pPr>
            <w:r w:rsidRPr="0011590D">
              <w:t xml:space="preserve">Sources: </w:t>
            </w:r>
            <w:r w:rsidR="00C4267F">
              <w:rPr>
                <w:noProof/>
              </w:rPr>
              <w:t>(WHO 2023; AIHW 2024d)</w:t>
            </w:r>
          </w:p>
        </w:tc>
      </w:tr>
    </w:tbl>
    <w:p w14:paraId="5B1A81F5" w14:textId="77777777" w:rsidR="00CA28CB" w:rsidRDefault="00CA28CB" w:rsidP="00CA28CB">
      <w:r w:rsidRPr="00151DDC">
        <w:t>Presenting material, including evidence from research and analysis, across different sectors and domains, such as health, education, justice, and social services, would capture the interrelated and holistic nature of service delivery and outcomes. It may also provide more granular data and help identify specific areas for further action</w:t>
      </w:r>
      <w:r>
        <w:t>.</w:t>
      </w:r>
    </w:p>
    <w:p w14:paraId="46DFBCF2" w14:textId="3F8BCF66" w:rsidR="00076512" w:rsidRDefault="00076512" w:rsidP="00A714F1">
      <w:r w:rsidRPr="00EE2B37">
        <w:t>Cross</w:t>
      </w:r>
      <w:r w:rsidR="00B65D32">
        <w:t>-</w:t>
      </w:r>
      <w:r w:rsidRPr="00EE2B37">
        <w:t>sectoral analysis</w:t>
      </w:r>
      <w:r>
        <w:t>, such as on the links between homelessness and mental health,</w:t>
      </w:r>
      <w:r w:rsidRPr="00EE2B37">
        <w:t xml:space="preserve"> could </w:t>
      </w:r>
      <w:r>
        <w:t>help users</w:t>
      </w:r>
      <w:r w:rsidRPr="00EE2B37">
        <w:t xml:space="preserve"> better understand how performance in one sector affects others</w:t>
      </w:r>
      <w:r>
        <w:t xml:space="preserve">. </w:t>
      </w:r>
      <w:r w:rsidRPr="0037127B">
        <w:t xml:space="preserve">Qualitative analysis could </w:t>
      </w:r>
      <w:r>
        <w:t xml:space="preserve">highlight how policies are impacting on </w:t>
      </w:r>
      <w:r w:rsidR="007B3742">
        <w:t xml:space="preserve">behaviour and </w:t>
      </w:r>
      <w:r>
        <w:t xml:space="preserve">outcomes. </w:t>
      </w:r>
    </w:p>
    <w:p w14:paraId="17570300" w14:textId="79A164FE" w:rsidR="007C196A" w:rsidRDefault="00DD006F" w:rsidP="00A714F1">
      <w:r>
        <w:t xml:space="preserve">These </w:t>
      </w:r>
      <w:r w:rsidR="0028329B">
        <w:t>interdependencies c</w:t>
      </w:r>
      <w:r w:rsidR="00204BCC">
        <w:t xml:space="preserve">ould be captured as part of any quantitative and qualitative analysis </w:t>
      </w:r>
      <w:r w:rsidR="008F74BD">
        <w:t>of sectors.</w:t>
      </w:r>
    </w:p>
    <w:p w14:paraId="1EA515D7" w14:textId="77777777" w:rsidR="00404B1A" w:rsidRPr="00BD67B2" w:rsidRDefault="00404B1A" w:rsidP="00404B1A">
      <w:pPr>
        <w:pStyle w:val="Heading3"/>
      </w:pPr>
      <w:r>
        <w:t>Improvements in services and innovation</w:t>
      </w:r>
    </w:p>
    <w:p w14:paraId="1C977E32" w14:textId="77777777" w:rsidR="003140BF" w:rsidRDefault="003140BF" w:rsidP="00A714F1">
      <w:r>
        <w:t>I</w:t>
      </w:r>
      <w:r w:rsidRPr="009842D1">
        <w:t xml:space="preserve">nnovation is not easily identified by high-level performance indicators. Innovation may influence indicators over time, but direct links are hard to establish and even harder to attribute to government reforms. Innovation </w:t>
      </w:r>
      <w:r>
        <w:t>generally</w:t>
      </w:r>
      <w:r w:rsidRPr="009842D1">
        <w:t xml:space="preserve"> occur</w:t>
      </w:r>
      <w:r>
        <w:t>s</w:t>
      </w:r>
      <w:r w:rsidRPr="009842D1">
        <w:t xml:space="preserve"> at the business or program level</w:t>
      </w:r>
      <w:r>
        <w:t>.</w:t>
      </w:r>
    </w:p>
    <w:p w14:paraId="3E43A04A" w14:textId="6FCD0A4E" w:rsidR="00404B1A" w:rsidRDefault="00404B1A" w:rsidP="00A714F1">
      <w:r w:rsidRPr="00BD67B2">
        <w:t xml:space="preserve">There have been periodic attempts to make the RoGS more strategic and influential, but these have not been successful. </w:t>
      </w:r>
      <w:r w:rsidR="00327329">
        <w:t>For example, t</w:t>
      </w:r>
      <w:r w:rsidRPr="00BD67B2">
        <w:t>he RoGS has previously incorporated case studies and</w:t>
      </w:r>
      <w:r w:rsidR="00327329">
        <w:t xml:space="preserve"> the Steering Committee oversaw 2</w:t>
      </w:r>
      <w:r w:rsidRPr="00BD67B2">
        <w:t xml:space="preserve"> </w:t>
      </w:r>
      <w:r w:rsidRPr="0092251B">
        <w:t>What Works</w:t>
      </w:r>
      <w:r w:rsidRPr="00BD67B2">
        <w:t xml:space="preserve"> reviews</w:t>
      </w:r>
      <w:r w:rsidR="0070725C">
        <w:t xml:space="preserve">, </w:t>
      </w:r>
      <w:r w:rsidRPr="00BD67B2">
        <w:t>a collection of global evidence on effective government services interventions</w:t>
      </w:r>
      <w:r>
        <w:t xml:space="preserve"> </w:t>
      </w:r>
      <w:sdt>
        <w:sdtPr>
          <w:id w:val="888840460"/>
          <w:citation/>
        </w:sdtPr>
        <w:sdtEndPr/>
        <w:sdtContent>
          <w:r>
            <w:fldChar w:fldCharType="begin"/>
          </w:r>
          <w:r w:rsidR="00C74E55">
            <w:instrText xml:space="preserve">CITATION Pro21 \l 3081 </w:instrText>
          </w:r>
          <w:r>
            <w:fldChar w:fldCharType="separate"/>
          </w:r>
          <w:r w:rsidR="003003B3" w:rsidRPr="003003B3">
            <w:rPr>
              <w:noProof/>
            </w:rPr>
            <w:t>(PC 2021a)</w:t>
          </w:r>
          <w:r>
            <w:fldChar w:fldCharType="end"/>
          </w:r>
        </w:sdtContent>
      </w:sdt>
      <w:r w:rsidRPr="00BD67B2">
        <w:t xml:space="preserve">. </w:t>
      </w:r>
      <w:r w:rsidR="0070725C">
        <w:t xml:space="preserve">In assessing the effectiveness of the </w:t>
      </w:r>
      <w:r w:rsidR="0070725C" w:rsidRPr="0092251B">
        <w:t>What Works</w:t>
      </w:r>
      <w:r w:rsidR="0070725C">
        <w:rPr>
          <w:i/>
          <w:iCs/>
        </w:rPr>
        <w:t xml:space="preserve"> </w:t>
      </w:r>
      <w:r w:rsidR="0070725C">
        <w:t>reviews, t</w:t>
      </w:r>
      <w:r w:rsidRPr="00BD67B2">
        <w:t>he PC noted</w:t>
      </w:r>
      <w:r w:rsidR="007C16D5">
        <w:t>:</w:t>
      </w:r>
    </w:p>
    <w:p w14:paraId="4368FFCA" w14:textId="0DC9949F" w:rsidR="00404B1A" w:rsidRDefault="00404B1A" w:rsidP="00404B1A">
      <w:pPr>
        <w:spacing w:before="240"/>
        <w:ind w:left="720"/>
      </w:pPr>
      <w:r w:rsidRPr="00452E34">
        <w:rPr>
          <w:rStyle w:val="QuoteChar"/>
          <w:rFonts w:eastAsiaTheme="minorHAnsi"/>
        </w:rPr>
        <w:t>while systematic evidence reviews using the What Works method have the benefit of a rigorous process, they may not always yield practical and useful information for policymakers</w:t>
      </w:r>
      <w:r>
        <w:t xml:space="preserve"> </w:t>
      </w:r>
      <w:sdt>
        <w:sdtPr>
          <w:id w:val="-1639799858"/>
          <w:citation/>
        </w:sdtPr>
        <w:sdtEndPr/>
        <w:sdtContent>
          <w:r>
            <w:fldChar w:fldCharType="begin"/>
          </w:r>
          <w:r w:rsidR="00C74E55">
            <w:instrText xml:space="preserve">CITATION Pro21 \l 3081 </w:instrText>
          </w:r>
          <w:r>
            <w:fldChar w:fldCharType="separate"/>
          </w:r>
          <w:r w:rsidR="003003B3" w:rsidRPr="003003B3">
            <w:rPr>
              <w:noProof/>
            </w:rPr>
            <w:t>(PC 2021a)</w:t>
          </w:r>
          <w:r>
            <w:fldChar w:fldCharType="end"/>
          </w:r>
        </w:sdtContent>
      </w:sdt>
      <w:r>
        <w:t>.</w:t>
      </w:r>
    </w:p>
    <w:p w14:paraId="2E29B81C" w14:textId="182A0065" w:rsidR="00404B1A" w:rsidRPr="00BD67B2" w:rsidRDefault="00404B1A" w:rsidP="00404B1A">
      <w:pPr>
        <w:spacing w:before="240"/>
      </w:pPr>
      <w:r w:rsidRPr="00BD67B2">
        <w:t>The Review considers that including practical and relevant examples of innovative policies and practices would help the RoGS to be a more useful tool for governments and the public</w:t>
      </w:r>
      <w:r>
        <w:t xml:space="preserve"> (</w:t>
      </w:r>
      <w:r w:rsidR="00427FAB" w:rsidRPr="00427FAB">
        <w:rPr>
          <w:i/>
          <w:iCs/>
        </w:rPr>
        <w:t>Information</w:t>
      </w:r>
      <w:r w:rsidR="00427FAB" w:rsidRPr="004A602C">
        <w:t xml:space="preserve"> Box 11: Examples of reporting on reform and innovation</w:t>
      </w:r>
      <w:r>
        <w:t>)</w:t>
      </w:r>
      <w:r w:rsidRPr="00BD67B2">
        <w:t xml:space="preserve">. There is much value in governments working to drive innovation and spread good practice, as shown in the </w:t>
      </w:r>
      <w:r>
        <w:t>PC</w:t>
      </w:r>
      <w:r w:rsidRPr="00BD67B2">
        <w:t xml:space="preserve">'s 2023 </w:t>
      </w:r>
      <w:r w:rsidRPr="00656C38">
        <w:rPr>
          <w:iCs/>
        </w:rPr>
        <w:t>Productivity Inquiry</w:t>
      </w:r>
      <w:r>
        <w:t xml:space="preserve"> </w:t>
      </w:r>
      <w:sdt>
        <w:sdtPr>
          <w:id w:val="1995601956"/>
          <w:citation/>
        </w:sdtPr>
        <w:sdtEndPr/>
        <w:sdtContent>
          <w:r>
            <w:fldChar w:fldCharType="begin"/>
          </w:r>
          <w:r w:rsidR="00BE5666">
            <w:instrText xml:space="preserve">CITATION Pro23 \l 3081 </w:instrText>
          </w:r>
          <w:r>
            <w:fldChar w:fldCharType="separate"/>
          </w:r>
          <w:r w:rsidR="00BE5666" w:rsidRPr="00BE5666">
            <w:rPr>
              <w:noProof/>
            </w:rPr>
            <w:t>(PC 2023c)</w:t>
          </w:r>
          <w:r>
            <w:fldChar w:fldCharType="end"/>
          </w:r>
        </w:sdtContent>
      </w:sdt>
      <w:r w:rsidRPr="00BD67B2">
        <w:t xml:space="preserve">. The Steering Committee should </w:t>
      </w:r>
      <w:r>
        <w:t xml:space="preserve">therefore </w:t>
      </w:r>
      <w:r w:rsidRPr="00BD67B2">
        <w:t xml:space="preserve">be </w:t>
      </w:r>
      <w:r>
        <w:t>closely</w:t>
      </w:r>
      <w:r w:rsidRPr="00BD67B2">
        <w:t xml:space="preserve"> involved in identifying suitable case studies.</w:t>
      </w:r>
    </w:p>
    <w:p w14:paraId="1188C7D7" w14:textId="7ECFB715" w:rsidR="00404B1A" w:rsidRDefault="00404B1A" w:rsidP="00404B1A">
      <w:r w:rsidRPr="00BD67B2">
        <w:t xml:space="preserve">Further, the RGSP Secretariat should engage with the Australian Centre for Evaluation and others to identify relevant examples of innovation and improvement at the program level. This would be consistent with the </w:t>
      </w:r>
      <w:r>
        <w:t>Commonwealth</w:t>
      </w:r>
      <w:r w:rsidRPr="00BD67B2">
        <w:t xml:space="preserve">’s exploration of how the </w:t>
      </w:r>
      <w:r>
        <w:t>PC</w:t>
      </w:r>
      <w:r w:rsidRPr="00BD67B2">
        <w:t xml:space="preserve"> and </w:t>
      </w:r>
      <w:r w:rsidR="00656C38">
        <w:t xml:space="preserve">the </w:t>
      </w:r>
      <w:r w:rsidRPr="00BD67B2">
        <w:t>Australian Centre for Evaluation can work together more closely</w:t>
      </w:r>
      <w:r>
        <w:t xml:space="preserve"> </w:t>
      </w:r>
      <w:sdt>
        <w:sdtPr>
          <w:id w:val="1709373780"/>
          <w:citation/>
        </w:sdtPr>
        <w:sdtEndPr/>
        <w:sdtContent>
          <w:r>
            <w:fldChar w:fldCharType="begin"/>
          </w:r>
          <w:r>
            <w:instrText xml:space="preserve"> CITATION Aus23 \l 3081 </w:instrText>
          </w:r>
          <w:r>
            <w:fldChar w:fldCharType="separate"/>
          </w:r>
          <w:r w:rsidR="003003B3" w:rsidRPr="003003B3">
            <w:rPr>
              <w:noProof/>
            </w:rPr>
            <w:t>(Commonwealth of Australia 2023b)</w:t>
          </w:r>
          <w:r>
            <w:fldChar w:fldCharType="end"/>
          </w:r>
        </w:sdtContent>
      </w:sdt>
      <w:r w:rsidRPr="00BD67B2">
        <w:t xml:space="preserve">. In developing this material, the Steering Committee can draw on research undertaken by the </w:t>
      </w:r>
      <w:r>
        <w:t>PC</w:t>
      </w:r>
      <w:r w:rsidRPr="00BD67B2">
        <w:t xml:space="preserve"> and others.</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404B1A" w14:paraId="7998617D" w14:textId="77777777">
        <w:trPr>
          <w:trHeight w:val="1858"/>
        </w:trPr>
        <w:tc>
          <w:tcPr>
            <w:tcW w:w="5000" w:type="pct"/>
            <w:shd w:val="clear" w:color="auto" w:fill="EEEEEE" w:themeFill="background2"/>
          </w:tcPr>
          <w:p w14:paraId="47674963" w14:textId="4B856782" w:rsidR="00404B1A" w:rsidRPr="004A602C" w:rsidRDefault="007E583A" w:rsidP="004A602C">
            <w:pPr>
              <w:pStyle w:val="BoxHeading"/>
            </w:pPr>
            <w:bookmarkStart w:id="54" w:name="_Ref181098571"/>
            <w:r w:rsidRPr="004A602C">
              <w:t>Information Box</w:t>
            </w:r>
            <w:r w:rsidR="00404B1A" w:rsidRPr="004A602C">
              <w:t xml:space="preserve"> </w:t>
            </w:r>
            <w:r w:rsidR="004A602C" w:rsidRPr="004A602C">
              <w:t xml:space="preserve">11: </w:t>
            </w:r>
            <w:r w:rsidR="00404B1A" w:rsidRPr="004A602C">
              <w:t>Examples of reporting on reform and innovation</w:t>
            </w:r>
            <w:bookmarkEnd w:id="54"/>
          </w:p>
          <w:p w14:paraId="60774357" w14:textId="77777777" w:rsidR="00404B1A" w:rsidRPr="00716D5B" w:rsidRDefault="00404B1A" w:rsidP="004A602C">
            <w:pPr>
              <w:pStyle w:val="BoxText"/>
            </w:pPr>
            <w:r w:rsidRPr="00716D5B">
              <w:t xml:space="preserve">In 2017 and 2018, the Steering Committee published a series of case studies on significant recent reforms to the way government services are delivered in specific jurisdictions. These case studies, undertaken by the </w:t>
            </w:r>
            <w:r>
              <w:t xml:space="preserve">RGSP </w:t>
            </w:r>
            <w:r w:rsidRPr="00716D5B">
              <w:t xml:space="preserve">Secretariat, examined the issues and options addressed in the implementation of selected reforms in health, education, justice and community services. </w:t>
            </w:r>
          </w:p>
          <w:p w14:paraId="5A5F3B6B" w14:textId="64307C8D" w:rsidR="00404B1A" w:rsidRPr="00716D5B" w:rsidRDefault="00404B1A" w:rsidP="004A602C">
            <w:pPr>
              <w:pStyle w:val="BoxText"/>
            </w:pPr>
            <w:r w:rsidRPr="00716D5B">
              <w:t xml:space="preserve">The focus of the case studies was on how the reforms were implemented; why each option was chosen; and how these decisions affected the reform. The case studies were designed to increase understanding of how reform in government service provision is being carried out throughout Australia, and how governments are implementing changes in response to local challenges. </w:t>
            </w:r>
            <w:r w:rsidR="005737E0">
              <w:t>T</w:t>
            </w:r>
            <w:r w:rsidRPr="00716D5B">
              <w:t xml:space="preserve">he objective of the case studies was to help jurisdictions learn from each other </w:t>
            </w:r>
            <w:r w:rsidR="005737E0">
              <w:t>by</w:t>
            </w:r>
            <w:r w:rsidRPr="00716D5B">
              <w:t xml:space="preserve"> illustrat</w:t>
            </w:r>
            <w:r w:rsidR="005737E0">
              <w:t>ing</w:t>
            </w:r>
            <w:r w:rsidRPr="00716D5B">
              <w:t xml:space="preserve"> how </w:t>
            </w:r>
            <w:r w:rsidR="005737E0">
              <w:t>similar issues across services are approached by different</w:t>
            </w:r>
            <w:r w:rsidRPr="00716D5B">
              <w:t xml:space="preserve"> jurisdictions</w:t>
            </w:r>
            <w:r w:rsidR="00D65D33">
              <w:t>.</w:t>
            </w:r>
          </w:p>
          <w:p w14:paraId="12775768" w14:textId="5A5068B7" w:rsidR="00404B1A" w:rsidRPr="00716D5B" w:rsidRDefault="00404B1A" w:rsidP="004A602C">
            <w:pPr>
              <w:pStyle w:val="BoxText"/>
            </w:pPr>
            <w:r w:rsidRPr="00716D5B">
              <w:t xml:space="preserve">States and </w:t>
            </w:r>
            <w:r>
              <w:t>T</w:t>
            </w:r>
            <w:r w:rsidRPr="00716D5B">
              <w:t xml:space="preserve">erritories </w:t>
            </w:r>
            <w:r>
              <w:t>could</w:t>
            </w:r>
            <w:r w:rsidRPr="00716D5B">
              <w:t xml:space="preserve"> share their innovative approaches to delivering government services. For example, from 2025, all students from Prep to Grade 2 in Victoria will be taught using a systematic synthetic phonics approach as part of their reading programs. Teachers will spend a minimum of 25 minutes a day on explicit teaching of phonics and phonemic awareness. Systematic synthetic phonics is a structured approach that explicitly teaches the relationship between sounds and letters to read words. Focusing on teaching reading through phonics reflect evidence</w:t>
            </w:r>
            <w:r>
              <w:t xml:space="preserve"> </w:t>
            </w:r>
            <w:r w:rsidR="00B65D32">
              <w:rPr>
                <w:rFonts w:ascii="Calibri" w:hAnsi="Calibri" w:cs="Calibri"/>
              </w:rPr>
              <w:t>—</w:t>
            </w:r>
            <w:r>
              <w:t xml:space="preserve"> </w:t>
            </w:r>
            <w:r w:rsidRPr="00716D5B">
              <w:t>from schools Australia</w:t>
            </w:r>
            <w:r w:rsidR="00B65D32">
              <w:t>-</w:t>
            </w:r>
            <w:r w:rsidRPr="00716D5B">
              <w:t>wide and internationally</w:t>
            </w:r>
            <w:r>
              <w:t xml:space="preserve"> </w:t>
            </w:r>
            <w:r w:rsidR="00B65D32">
              <w:rPr>
                <w:rFonts w:ascii="Calibri" w:hAnsi="Calibri" w:cs="Calibri"/>
              </w:rPr>
              <w:t>—</w:t>
            </w:r>
            <w:r>
              <w:t xml:space="preserve"> </w:t>
            </w:r>
            <w:r w:rsidRPr="00716D5B">
              <w:t xml:space="preserve">that are achieving strong learning outcomes. </w:t>
            </w:r>
          </w:p>
          <w:p w14:paraId="0760FAF7" w14:textId="12B782F0" w:rsidR="00404B1A" w:rsidRPr="00716D5B" w:rsidRDefault="00404B1A" w:rsidP="004A602C">
            <w:pPr>
              <w:pStyle w:val="BoxText"/>
            </w:pPr>
            <w:r w:rsidRPr="00716D5B">
              <w:t>Detailed studies of successful reform at the organi</w:t>
            </w:r>
            <w:r>
              <w:t>s</w:t>
            </w:r>
            <w:r w:rsidRPr="00716D5B">
              <w:t>ational level can help governments understand how the effectiveness and efficiency of government services can be improved. The Susan McKinnon Foundation has published 2 case studies on reform in the delivery of prison and health pathology services in New South Wales. The case studies demonstrate that better outcomes and value for money can be achieved through taking a ‘business unit approach’, with reform at the organisational and manage</w:t>
            </w:r>
            <w:r w:rsidR="00D07821">
              <w:t>rial</w:t>
            </w:r>
            <w:r w:rsidRPr="00716D5B">
              <w:t xml:space="preserve"> level.</w:t>
            </w:r>
          </w:p>
          <w:p w14:paraId="2E888277" w14:textId="586FB963" w:rsidR="00404B1A" w:rsidRDefault="00404B1A" w:rsidP="004A602C">
            <w:pPr>
              <w:pStyle w:val="BoxText"/>
            </w:pPr>
            <w:r w:rsidRPr="00716D5B">
              <w:t>The OECD often highlight</w:t>
            </w:r>
            <w:r w:rsidR="002B4A70">
              <w:t>s</w:t>
            </w:r>
            <w:r w:rsidRPr="00716D5B">
              <w:t xml:space="preserve"> the experience of different countries in implementing policies. For example, in 2024, the OECD used examples collected from a range of countries, including Australia, New Zealand, Portugal and Scotland, to illustrate how different curriculum approaches impact on the effectiveness of teaching and learning in schools, as well as the inclusivity of learning environments. </w:t>
            </w:r>
            <w:r>
              <w:t>C</w:t>
            </w:r>
            <w:r w:rsidRPr="00716D5B">
              <w:t>ountry example</w:t>
            </w:r>
            <w:r>
              <w:t>s:</w:t>
            </w:r>
          </w:p>
          <w:p w14:paraId="4601D391" w14:textId="07BF9DDE" w:rsidR="00404B1A" w:rsidRPr="00C44955" w:rsidRDefault="00F11DF0" w:rsidP="004A602C">
            <w:pPr>
              <w:pStyle w:val="Boxbullet"/>
            </w:pPr>
            <w:r w:rsidRPr="00C44955">
              <w:t>a</w:t>
            </w:r>
            <w:r w:rsidR="00404B1A" w:rsidRPr="00C44955">
              <w:t xml:space="preserve">re </w:t>
            </w:r>
            <w:r w:rsidR="00404B1A" w:rsidRPr="005B2B2A">
              <w:t>short</w:t>
            </w:r>
          </w:p>
          <w:p w14:paraId="4F1E2E54" w14:textId="54C159EA" w:rsidR="00404B1A" w:rsidRPr="00C44955" w:rsidRDefault="00F11DF0" w:rsidP="004A602C">
            <w:pPr>
              <w:pStyle w:val="Boxbullet"/>
            </w:pPr>
            <w:r w:rsidRPr="00C44955">
              <w:t>i</w:t>
            </w:r>
            <w:r w:rsidR="00404B1A" w:rsidRPr="005B2B2A">
              <w:t>nclude key contextual information, for example, teachers in South Korea can modify hours by up to 20</w:t>
            </w:r>
            <w:r w:rsidR="00347E25">
              <w:t> </w:t>
            </w:r>
            <w:r w:rsidR="00404B1A" w:rsidRPr="005B2B2A">
              <w:t>per cent for specific subjects</w:t>
            </w:r>
          </w:p>
          <w:p w14:paraId="53E41F63" w14:textId="1E8106E8" w:rsidR="00404B1A" w:rsidRPr="005B2B2A" w:rsidRDefault="00F11DF0" w:rsidP="004A602C">
            <w:pPr>
              <w:pStyle w:val="Boxbullet"/>
            </w:pPr>
            <w:r w:rsidRPr="00C44955">
              <w:t>c</w:t>
            </w:r>
            <w:r w:rsidR="00404B1A" w:rsidRPr="00C44955">
              <w:t>an</w:t>
            </w:r>
            <w:r w:rsidR="00404B1A" w:rsidRPr="005B2B2A">
              <w:t xml:space="preserve"> highlight challenges, such as teacher retention and workloads.</w:t>
            </w:r>
          </w:p>
          <w:p w14:paraId="7194EEC1" w14:textId="21458768" w:rsidR="00404B1A" w:rsidRPr="0011590D" w:rsidRDefault="00404B1A" w:rsidP="00852057">
            <w:pPr>
              <w:pStyle w:val="ChartorTableNote"/>
            </w:pPr>
            <w:r w:rsidRPr="0011590D">
              <w:t xml:space="preserve">Sources: </w:t>
            </w:r>
            <w:r w:rsidR="00C00C81">
              <w:rPr>
                <w:noProof/>
              </w:rPr>
              <w:t>(Steering Committee 2018</w:t>
            </w:r>
            <w:r w:rsidR="009E373C">
              <w:rPr>
                <w:noProof/>
              </w:rPr>
              <w:t>;</w:t>
            </w:r>
            <w:r w:rsidR="00C00C81">
              <w:rPr>
                <w:noProof/>
              </w:rPr>
              <w:t xml:space="preserve"> PC 2021b</w:t>
            </w:r>
            <w:r w:rsidR="009E373C">
              <w:rPr>
                <w:noProof/>
              </w:rPr>
              <w:t>;</w:t>
            </w:r>
            <w:r w:rsidR="00C00C81">
              <w:rPr>
                <w:noProof/>
              </w:rPr>
              <w:t xml:space="preserve"> Carroll 2024</w:t>
            </w:r>
            <w:r w:rsidR="009E373C">
              <w:rPr>
                <w:noProof/>
              </w:rPr>
              <w:t>;</w:t>
            </w:r>
            <w:r w:rsidR="00C00C81">
              <w:rPr>
                <w:noProof/>
              </w:rPr>
              <w:t xml:space="preserve"> Susan McKinnon Foundation 202</w:t>
            </w:r>
            <w:r w:rsidR="009E373C">
              <w:rPr>
                <w:noProof/>
              </w:rPr>
              <w:t>3</w:t>
            </w:r>
            <w:r w:rsidR="00C00C81">
              <w:rPr>
                <w:noProof/>
              </w:rPr>
              <w:t xml:space="preserve">, </w:t>
            </w:r>
            <w:r w:rsidR="009E373C">
              <w:rPr>
                <w:noProof/>
              </w:rPr>
              <w:t>2024;</w:t>
            </w:r>
            <w:r w:rsidR="00C00C81">
              <w:rPr>
                <w:noProof/>
              </w:rPr>
              <w:t xml:space="preserve"> OECD 2024)</w:t>
            </w:r>
          </w:p>
        </w:tc>
      </w:tr>
    </w:tbl>
    <w:p w14:paraId="7D20E8E6" w14:textId="54C99136" w:rsidR="00101DB8" w:rsidRDefault="00FB373B" w:rsidP="00DC27B7">
      <w:pPr>
        <w:pStyle w:val="Heading3"/>
      </w:pPr>
      <w:r>
        <w:t>Responsibility for additional analysis</w:t>
      </w:r>
    </w:p>
    <w:p w14:paraId="4FB64368" w14:textId="6A58F4AF" w:rsidR="00DC27B7" w:rsidRDefault="00796B0A" w:rsidP="008F218A">
      <w:pPr>
        <w:rPr>
          <w:sz w:val="28"/>
          <w:szCs w:val="28"/>
        </w:rPr>
      </w:pPr>
      <w:r w:rsidRPr="00776C60">
        <w:t>The</w:t>
      </w:r>
      <w:r>
        <w:t xml:space="preserve"> Review recommends the</w:t>
      </w:r>
      <w:r w:rsidRPr="00776C60">
        <w:t xml:space="preserve"> </w:t>
      </w:r>
      <w:r w:rsidR="00797ED9">
        <w:t>RoGS</w:t>
      </w:r>
      <w:r w:rsidRPr="00776C60">
        <w:t xml:space="preserve"> </w:t>
      </w:r>
      <w:r>
        <w:t>should</w:t>
      </w:r>
      <w:r w:rsidRPr="00776C60">
        <w:t xml:space="preserve"> include additional </w:t>
      </w:r>
      <w:r w:rsidR="00104FF2">
        <w:t>quantitative</w:t>
      </w:r>
      <w:r w:rsidRPr="00776C60">
        <w:t>, cross</w:t>
      </w:r>
      <w:r w:rsidR="00B65D32">
        <w:t>-</w:t>
      </w:r>
      <w:r w:rsidRPr="00776C60">
        <w:t>sectoral and qualitative analysis</w:t>
      </w:r>
      <w:r>
        <w:t xml:space="preserve">. This approach would make the </w:t>
      </w:r>
      <w:r w:rsidR="00DC27B7">
        <w:t>reporting</w:t>
      </w:r>
      <w:r>
        <w:t xml:space="preserve"> more relevant and help advance reform.</w:t>
      </w:r>
    </w:p>
    <w:p w14:paraId="354D22B1" w14:textId="3F8C8BFE" w:rsidR="00DC27B7" w:rsidRDefault="00796B0A" w:rsidP="008F218A">
      <w:r>
        <w:t xml:space="preserve">The Review understands </w:t>
      </w:r>
      <w:r w:rsidR="00066FAD">
        <w:t xml:space="preserve">that </w:t>
      </w:r>
      <w:r>
        <w:t xml:space="preserve">the Steering Committee </w:t>
      </w:r>
      <w:r w:rsidR="001B591E">
        <w:t>has already been</w:t>
      </w:r>
      <w:r w:rsidR="00066FAD">
        <w:t xml:space="preserve"> exploring</w:t>
      </w:r>
      <w:r w:rsidR="00D9601D">
        <w:t xml:space="preserve"> options to make the </w:t>
      </w:r>
      <w:r w:rsidR="00D9601D" w:rsidRPr="00F66F93">
        <w:t>Overview</w:t>
      </w:r>
      <w:r w:rsidR="00D9601D">
        <w:rPr>
          <w:i/>
          <w:iCs/>
        </w:rPr>
        <w:t xml:space="preserve"> </w:t>
      </w:r>
      <w:r w:rsidR="00D9601D">
        <w:t>sections more useful</w:t>
      </w:r>
      <w:r w:rsidR="00C50447">
        <w:t>, including to improve consisten</w:t>
      </w:r>
      <w:r w:rsidR="000D201B">
        <w:t>cy</w:t>
      </w:r>
      <w:r w:rsidR="00C50447">
        <w:t xml:space="preserve"> and </w:t>
      </w:r>
      <w:r w:rsidR="000D201B">
        <w:t>add more intersectoral information and commentary</w:t>
      </w:r>
      <w:r w:rsidR="00967189">
        <w:t xml:space="preserve"> for </w:t>
      </w:r>
      <w:r w:rsidR="00D9601D">
        <w:t xml:space="preserve">the </w:t>
      </w:r>
      <w:r w:rsidR="00967189">
        <w:t>benefit of non</w:t>
      </w:r>
      <w:r w:rsidR="00B65D32">
        <w:t>-</w:t>
      </w:r>
      <w:r w:rsidR="00967189">
        <w:t xml:space="preserve">technical users </w:t>
      </w:r>
      <w:sdt>
        <w:sdtPr>
          <w:id w:val="-534427852"/>
          <w:citation/>
        </w:sdtPr>
        <w:sdtEndPr/>
        <w:sdtContent>
          <w:r w:rsidR="00967189">
            <w:fldChar w:fldCharType="begin"/>
          </w:r>
          <w:r w:rsidR="00C74E55">
            <w:instrText xml:space="preserve">CITATION Sec24 \l 3081 </w:instrText>
          </w:r>
          <w:r w:rsidR="00967189">
            <w:fldChar w:fldCharType="separate"/>
          </w:r>
          <w:r w:rsidR="003003B3">
            <w:rPr>
              <w:noProof/>
            </w:rPr>
            <w:t>(PC 2024b)</w:t>
          </w:r>
          <w:r w:rsidR="00967189">
            <w:fldChar w:fldCharType="end"/>
          </w:r>
        </w:sdtContent>
      </w:sdt>
      <w:r w:rsidR="00967189" w:rsidRPr="00DF62AA">
        <w:t>.</w:t>
      </w:r>
      <w:r w:rsidR="00967189">
        <w:t xml:space="preserve"> </w:t>
      </w:r>
      <w:r w:rsidR="009A033E">
        <w:t xml:space="preserve">As a result, the 2025 RoGS will include 3 redesigned sector </w:t>
      </w:r>
      <w:r w:rsidR="00DC27B7" w:rsidRPr="00181B0D">
        <w:t>O</w:t>
      </w:r>
      <w:r w:rsidR="009A033E" w:rsidRPr="00181B0D">
        <w:t>verview</w:t>
      </w:r>
      <w:r w:rsidR="00DC27B7">
        <w:rPr>
          <w:i/>
          <w:iCs/>
        </w:rPr>
        <w:t xml:space="preserve"> </w:t>
      </w:r>
      <w:r w:rsidR="00DC27B7">
        <w:t xml:space="preserve">sections </w:t>
      </w:r>
      <w:sdt>
        <w:sdtPr>
          <w:id w:val="-386570695"/>
          <w:citation/>
        </w:sdtPr>
        <w:sdtEndPr/>
        <w:sdtContent>
          <w:r w:rsidR="00DC27B7">
            <w:fldChar w:fldCharType="begin"/>
          </w:r>
          <w:r w:rsidR="00C74E55">
            <w:instrText xml:space="preserve">CITATION Sec24 \l 3081 </w:instrText>
          </w:r>
          <w:r w:rsidR="00DC27B7">
            <w:fldChar w:fldCharType="separate"/>
          </w:r>
          <w:r w:rsidR="003003B3">
            <w:rPr>
              <w:noProof/>
            </w:rPr>
            <w:t>(PC 2024b)</w:t>
          </w:r>
          <w:r w:rsidR="00DC27B7">
            <w:fldChar w:fldCharType="end"/>
          </w:r>
        </w:sdtContent>
      </w:sdt>
      <w:r w:rsidR="007A3B03">
        <w:t>.</w:t>
      </w:r>
    </w:p>
    <w:p w14:paraId="65C8F53E" w14:textId="120D745D" w:rsidR="00D43016" w:rsidRDefault="00967189" w:rsidP="008F218A">
      <w:r>
        <w:t xml:space="preserve">However, </w:t>
      </w:r>
      <w:r w:rsidR="00D43016" w:rsidRPr="00D43016">
        <w:t xml:space="preserve">as noted </w:t>
      </w:r>
      <w:r w:rsidR="00DC27B7">
        <w:t xml:space="preserve">earlier in this report </w:t>
      </w:r>
      <w:r w:rsidR="00C6221E">
        <w:t>(</w:t>
      </w:r>
      <w:r w:rsidR="00D276C7" w:rsidRPr="00D276C7">
        <w:rPr>
          <w:i/>
          <w:iCs/>
        </w:rPr>
        <w:t>Chapter 3: The approach to performance reporting</w:t>
      </w:r>
      <w:r w:rsidR="00C6221E" w:rsidRPr="00DC27B7">
        <w:t>)</w:t>
      </w:r>
      <w:r w:rsidR="00D43016" w:rsidRPr="00DC27B7">
        <w:t xml:space="preserve">, the </w:t>
      </w:r>
      <w:r w:rsidR="00D43016" w:rsidRPr="008F218A">
        <w:t>consensus nature of the Steering Committee process can slow the development and implementation of improvements, as it requires all parties to agree. Further, the Review is concerned that a consensus model might limit the usefulness of additional analytical material due to sensitivity about perceived criticism.</w:t>
      </w:r>
    </w:p>
    <w:p w14:paraId="6621E5A4" w14:textId="2C7AE204" w:rsidR="000F1C0E" w:rsidRDefault="00895C72" w:rsidP="008F218A">
      <w:r w:rsidRPr="008F218A">
        <w:t>Accordingly, t</w:t>
      </w:r>
      <w:r w:rsidR="00CD157A" w:rsidRPr="008F218A">
        <w:t>o</w:t>
      </w:r>
      <w:r w:rsidR="0015367F" w:rsidRPr="008F218A">
        <w:t xml:space="preserve"> be </w:t>
      </w:r>
      <w:r w:rsidR="00580D3D" w:rsidRPr="008F218A">
        <w:t>most</w:t>
      </w:r>
      <w:r w:rsidR="0015367F" w:rsidRPr="008F218A">
        <w:t xml:space="preserve"> effective</w:t>
      </w:r>
      <w:r w:rsidR="00072256" w:rsidRPr="008F218A">
        <w:t>,</w:t>
      </w:r>
      <w:r w:rsidR="0015367F" w:rsidRPr="008F218A">
        <w:t xml:space="preserve"> t</w:t>
      </w:r>
      <w:r w:rsidR="002C0789" w:rsidRPr="008F218A">
        <w:t xml:space="preserve">he additional analysis needs to </w:t>
      </w:r>
      <w:r w:rsidR="0015367F" w:rsidRPr="008F218A">
        <w:t>be</w:t>
      </w:r>
      <w:r w:rsidR="00E96882" w:rsidRPr="008F218A">
        <w:t xml:space="preserve"> undertaken</w:t>
      </w:r>
      <w:r w:rsidR="0015367F" w:rsidRPr="008F218A">
        <w:t xml:space="preserve"> </w:t>
      </w:r>
      <w:r w:rsidR="00A21F99" w:rsidRPr="008F218A">
        <w:t>separately</w:t>
      </w:r>
      <w:r w:rsidR="0015367F" w:rsidRPr="008F218A">
        <w:t xml:space="preserve"> from government</w:t>
      </w:r>
      <w:r w:rsidR="00072256" w:rsidRPr="008F218A">
        <w:t xml:space="preserve">s. </w:t>
      </w:r>
      <w:r w:rsidR="00726F93" w:rsidRPr="008F218A">
        <w:t xml:space="preserve">This approach would enable the RoGS to identify </w:t>
      </w:r>
      <w:r w:rsidR="00D41643" w:rsidRPr="008F218A">
        <w:t xml:space="preserve">and highlight </w:t>
      </w:r>
      <w:r w:rsidR="00726F93" w:rsidRPr="008F218A">
        <w:t>areas of good and poor</w:t>
      </w:r>
      <w:r w:rsidR="00726F93">
        <w:t xml:space="preserve"> performance</w:t>
      </w:r>
      <w:r w:rsidR="00097523">
        <w:t xml:space="preserve">, at both a national and </w:t>
      </w:r>
      <w:r w:rsidR="008F7CA8">
        <w:t>S</w:t>
      </w:r>
      <w:r w:rsidR="00097523">
        <w:t xml:space="preserve">tate level, ensuring that </w:t>
      </w:r>
      <w:r w:rsidR="00D41643">
        <w:t xml:space="preserve">all </w:t>
      </w:r>
      <w:r w:rsidR="00097523">
        <w:t>governments are held account</w:t>
      </w:r>
      <w:r w:rsidR="005E7CE9">
        <w:t>able</w:t>
      </w:r>
      <w:r w:rsidR="00097523">
        <w:t>.</w:t>
      </w:r>
      <w:r w:rsidR="00D41643">
        <w:t xml:space="preserve"> </w:t>
      </w:r>
      <w:r w:rsidR="00A61CBB">
        <w:t>With its broad and established expertise in economic and data analysis and public policy evaluation, independent status, and long history with the RoGS, the PC is well-placed to play this new role.</w:t>
      </w:r>
    </w:p>
    <w:p w14:paraId="4C976763" w14:textId="109456B8" w:rsidR="000253E8" w:rsidRPr="00EF10E5" w:rsidRDefault="000253E8" w:rsidP="008F218A">
      <w:r>
        <w:t xml:space="preserve">The Review acknowledges that this approach would be a significant change from the </w:t>
      </w:r>
      <w:r w:rsidR="00B053EA" w:rsidRPr="00B053EA">
        <w:t>consensus model for producing the RoGS</w:t>
      </w:r>
      <w:r w:rsidR="00A34AA5">
        <w:t>, and is not without risk</w:t>
      </w:r>
      <w:r w:rsidR="00B053EA">
        <w:t xml:space="preserve">. It could </w:t>
      </w:r>
      <w:r w:rsidR="00662986" w:rsidRPr="00662986">
        <w:t>reduce willingness of jurisdictions to provide data and participate in the process</w:t>
      </w:r>
      <w:r w:rsidR="0075583C">
        <w:t xml:space="preserve">, especially where they fear </w:t>
      </w:r>
      <w:r w:rsidR="00665B0B">
        <w:t>the information</w:t>
      </w:r>
      <w:r w:rsidR="0075583C">
        <w:t xml:space="preserve"> could be used to highlight areas of poor performance</w:t>
      </w:r>
      <w:r w:rsidR="00662986">
        <w:t>.</w:t>
      </w:r>
      <w:r w:rsidR="002A4CB3">
        <w:t xml:space="preserve"> T</w:t>
      </w:r>
      <w:r w:rsidR="002A4CB3" w:rsidRPr="002A4CB3">
        <w:t xml:space="preserve">his risk could be </w:t>
      </w:r>
      <w:r w:rsidR="002A4CB3">
        <w:t>mitigated</w:t>
      </w:r>
      <w:r w:rsidR="002A4CB3" w:rsidRPr="002A4CB3">
        <w:t xml:space="preserve"> by a genuine recommitment by governments to the RoGS and the Dashboard </w:t>
      </w:r>
      <w:r w:rsidR="00DC27B7">
        <w:t>(</w:t>
      </w:r>
      <w:r w:rsidR="00D276C7" w:rsidRPr="00D276C7">
        <w:rPr>
          <w:i/>
          <w:iCs/>
        </w:rPr>
        <w:t>Chapter 3: The approach to performance reporting</w:t>
      </w:r>
      <w:r w:rsidR="002A4CB3" w:rsidRPr="002A4CB3">
        <w:t>).</w:t>
      </w:r>
    </w:p>
    <w:p w14:paraId="4CCD7758" w14:textId="78C60F75" w:rsidR="00DA790D" w:rsidRDefault="00DA790D" w:rsidP="008F218A">
      <w:r>
        <w:t>The new PC role would complement the role of the Steering Committee in producing the RoGS. The Steering Committee would remain responsible for determining the coverage of the report,</w:t>
      </w:r>
      <w:r w:rsidR="004C1DA3">
        <w:t xml:space="preserve"> developing and maintaining</w:t>
      </w:r>
      <w:r>
        <w:t xml:space="preserve"> specific performance indicators</w:t>
      </w:r>
      <w:r w:rsidR="004C1DA3">
        <w:t xml:space="preserve">, </w:t>
      </w:r>
      <w:r>
        <w:t>and implementing a program of review and continuous improvement.</w:t>
      </w:r>
    </w:p>
    <w:p w14:paraId="545FBFE7" w14:textId="12B4CC04" w:rsidR="00843953" w:rsidRDefault="00C71E55" w:rsidP="008F218A">
      <w:r>
        <w:t xml:space="preserve">The Review recommends </w:t>
      </w:r>
      <w:r w:rsidR="00A16C46">
        <w:t>that the additional analysis</w:t>
      </w:r>
      <w:r>
        <w:t xml:space="preserve"> </w:t>
      </w:r>
      <w:r w:rsidR="009F7BD0">
        <w:t>also</w:t>
      </w:r>
      <w:r>
        <w:t xml:space="preserve"> include</w:t>
      </w:r>
      <w:r w:rsidRPr="00D84BCC">
        <w:t xml:space="preserve"> examples of innovation</w:t>
      </w:r>
      <w:r>
        <w:t>,</w:t>
      </w:r>
      <w:r w:rsidRPr="00D84BCC">
        <w:t xml:space="preserve"> and h</w:t>
      </w:r>
      <w:r>
        <w:t>ighlight areas where Commonwealth, State or Territory programs, policies and strategies are improving performance.</w:t>
      </w:r>
      <w:r w:rsidRPr="00D84BCC">
        <w:t xml:space="preserve"> </w:t>
      </w:r>
      <w:r>
        <w:t xml:space="preserve">For example, practices being implemented by some </w:t>
      </w:r>
      <w:r w:rsidR="00386CC8">
        <w:t xml:space="preserve">high performing </w:t>
      </w:r>
      <w:r>
        <w:t xml:space="preserve">schools to improve the </w:t>
      </w:r>
      <w:r w:rsidR="00386CC8">
        <w:t>performance</w:t>
      </w:r>
      <w:r>
        <w:t xml:space="preserve"> of their students. This approach could be rolled out incrementally, with a focus on a different </w:t>
      </w:r>
      <w:r w:rsidRPr="00D84BCC">
        <w:t xml:space="preserve">section </w:t>
      </w:r>
      <w:r>
        <w:t xml:space="preserve">each year. </w:t>
      </w:r>
      <w:r w:rsidR="00BC25B5">
        <w:t>E</w:t>
      </w:r>
      <w:r w:rsidR="002F3FF1">
        <w:t xml:space="preserve">xamples should be </w:t>
      </w:r>
      <w:r w:rsidR="003510B3">
        <w:t xml:space="preserve">selected </w:t>
      </w:r>
      <w:r w:rsidR="00BC25B5">
        <w:t xml:space="preserve">based on </w:t>
      </w:r>
      <w:r w:rsidR="002F3FF1">
        <w:t>evidence</w:t>
      </w:r>
      <w:r w:rsidR="00632272">
        <w:t xml:space="preserve"> and </w:t>
      </w:r>
      <w:r w:rsidR="00B61F39">
        <w:t xml:space="preserve">proven </w:t>
      </w:r>
      <w:r w:rsidR="001079BC">
        <w:t>effectiveness, such as through</w:t>
      </w:r>
      <w:r w:rsidR="001F6384">
        <w:t xml:space="preserve"> </w:t>
      </w:r>
      <w:r w:rsidR="009F0BD4">
        <w:t xml:space="preserve">published </w:t>
      </w:r>
      <w:r w:rsidR="001F6384">
        <w:t>evaluat</w:t>
      </w:r>
      <w:r w:rsidR="001079BC">
        <w:t>ion</w:t>
      </w:r>
      <w:r w:rsidR="009F0BD4">
        <w:t>s</w:t>
      </w:r>
      <w:r w:rsidR="003510B3">
        <w:t>. They s</w:t>
      </w:r>
      <w:r w:rsidR="00541DF0">
        <w:t xml:space="preserve">hould be innovative, have broader application across jurisdictions or in other contexts, </w:t>
      </w:r>
      <w:r w:rsidR="00E2568E">
        <w:t xml:space="preserve">and </w:t>
      </w:r>
      <w:r w:rsidR="009F164E">
        <w:t xml:space="preserve">be </w:t>
      </w:r>
      <w:r w:rsidR="00E2568E">
        <w:t>in a</w:t>
      </w:r>
      <w:r w:rsidR="006D241D">
        <w:t>n area of</w:t>
      </w:r>
      <w:r w:rsidR="00E2568E">
        <w:t xml:space="preserve"> whole</w:t>
      </w:r>
      <w:r w:rsidR="00E2568E">
        <w:noBreakHyphen/>
        <w:t>of</w:t>
      </w:r>
      <w:r w:rsidR="00E2568E">
        <w:noBreakHyphen/>
        <w:t>government</w:t>
      </w:r>
      <w:r w:rsidR="006D241D">
        <w:t xml:space="preserve"> policy</w:t>
      </w:r>
      <w:r w:rsidR="00E2568E">
        <w:t xml:space="preserve"> priority</w:t>
      </w:r>
      <w:r w:rsidR="009F164E">
        <w:t>.</w:t>
      </w:r>
    </w:p>
    <w:p w14:paraId="4403471F" w14:textId="6D45F82B" w:rsidR="00C71E55" w:rsidRDefault="00F27D7E" w:rsidP="008F218A">
      <w:r>
        <w:t xml:space="preserve">The </w:t>
      </w:r>
      <w:r w:rsidR="0098651A">
        <w:t>PC</w:t>
      </w:r>
      <w:r w:rsidR="00C71E55" w:rsidRPr="00D84BCC">
        <w:t xml:space="preserve"> </w:t>
      </w:r>
      <w:r w:rsidR="00C71E55">
        <w:t xml:space="preserve">could work with </w:t>
      </w:r>
      <w:r w:rsidR="00843953">
        <w:t xml:space="preserve">Steering </w:t>
      </w:r>
      <w:r w:rsidR="00790469">
        <w:t>Committee</w:t>
      </w:r>
      <w:r w:rsidR="00843953">
        <w:t xml:space="preserve"> </w:t>
      </w:r>
      <w:r w:rsidR="00C71E55" w:rsidRPr="00D84BCC">
        <w:t xml:space="preserve">members </w:t>
      </w:r>
      <w:r w:rsidR="00C71E55">
        <w:t xml:space="preserve">to identify suitable examples and </w:t>
      </w:r>
      <w:r w:rsidR="00C71E55" w:rsidRPr="00D84BCC">
        <w:t>content for this process</w:t>
      </w:r>
      <w:r w:rsidR="00CF24BA">
        <w:t xml:space="preserve"> and</w:t>
      </w:r>
      <w:r w:rsidR="00C71E55">
        <w:t xml:space="preserve"> ensure any additional material is practical and useful, consistent with the findings of the </w:t>
      </w:r>
      <w:r w:rsidR="00C71E55" w:rsidRPr="00A932C8">
        <w:t>What Works</w:t>
      </w:r>
      <w:r w:rsidR="00462FD4">
        <w:rPr>
          <w:i/>
          <w:iCs/>
        </w:rPr>
        <w:t xml:space="preserve"> </w:t>
      </w:r>
      <w:r w:rsidR="00462FD4">
        <w:t>pilot.</w:t>
      </w:r>
      <w:r w:rsidR="005137E3">
        <w:t xml:space="preserve"> The </w:t>
      </w:r>
      <w:r w:rsidR="001C5708">
        <w:t xml:space="preserve">case studies should be developed in consultation with the </w:t>
      </w:r>
      <w:r w:rsidR="005137E3">
        <w:t>rel</w:t>
      </w:r>
      <w:r w:rsidR="00652458">
        <w:t>evant jurisdiction</w:t>
      </w:r>
      <w:r w:rsidR="001C5708">
        <w:t>.</w:t>
      </w:r>
    </w:p>
    <w:p w14:paraId="5228CC59" w14:textId="02E3AC7E" w:rsidR="005278C7" w:rsidRDefault="005278C7" w:rsidP="00EC365E">
      <w:pPr>
        <w:pStyle w:val="Heading3"/>
      </w:pPr>
      <w:r>
        <w:t>Phased approach</w:t>
      </w:r>
    </w:p>
    <w:p w14:paraId="15413B29" w14:textId="08C3C62C" w:rsidR="00D7654B" w:rsidRDefault="00D7654B" w:rsidP="008F218A">
      <w:r>
        <w:t xml:space="preserve">Some additional analysis can be done within existing resources of the </w:t>
      </w:r>
      <w:r w:rsidR="008D5F84">
        <w:t>RGSP Secretariat</w:t>
      </w:r>
      <w:r w:rsidR="009B3108">
        <w:t xml:space="preserve">, if supported </w:t>
      </w:r>
      <w:r w:rsidR="005B66C4">
        <w:t>by CFFR</w:t>
      </w:r>
      <w:r w:rsidR="008D5F84">
        <w:t>.</w:t>
      </w:r>
      <w:r w:rsidR="003C7863">
        <w:t xml:space="preserve"> This could include </w:t>
      </w:r>
      <w:r w:rsidR="003C7863" w:rsidRPr="00EC365E">
        <w:t xml:space="preserve">more </w:t>
      </w:r>
      <w:r w:rsidR="00C518CA">
        <w:t>quantitative</w:t>
      </w:r>
      <w:r w:rsidR="003C7863" w:rsidRPr="00EC365E">
        <w:t>, cross</w:t>
      </w:r>
      <w:r w:rsidR="00B65D32">
        <w:t>-</w:t>
      </w:r>
      <w:r w:rsidR="003C7863" w:rsidRPr="00EC365E">
        <w:t>sectoral, longitudinal or qualitative analysis</w:t>
      </w:r>
      <w:r w:rsidR="005B6902">
        <w:t xml:space="preserve"> </w:t>
      </w:r>
      <w:r w:rsidR="003C7863" w:rsidRPr="00EC365E">
        <w:t>in the RoGS over time</w:t>
      </w:r>
      <w:r w:rsidR="005B6902">
        <w:t>.</w:t>
      </w:r>
      <w:r w:rsidR="005B6902" w:rsidRPr="005B6902">
        <w:t xml:space="preserve"> </w:t>
      </w:r>
      <w:r w:rsidR="005B6902">
        <w:t xml:space="preserve">Examples of innovative </w:t>
      </w:r>
      <w:r w:rsidR="00924760">
        <w:t>or high</w:t>
      </w:r>
      <w:r w:rsidR="00924760">
        <w:noBreakHyphen/>
        <w:t xml:space="preserve">impact </w:t>
      </w:r>
      <w:r w:rsidR="005B6902">
        <w:t xml:space="preserve">policies could also be included </w:t>
      </w:r>
      <w:r w:rsidR="00A02183">
        <w:t xml:space="preserve">if </w:t>
      </w:r>
      <w:r w:rsidR="00902E8D">
        <w:t>S</w:t>
      </w:r>
      <w:r w:rsidR="00A02183">
        <w:t xml:space="preserve">tates and </w:t>
      </w:r>
      <w:r w:rsidR="00902E8D">
        <w:t>T</w:t>
      </w:r>
      <w:r w:rsidR="00A02183">
        <w:t>erritories provide material</w:t>
      </w:r>
      <w:r w:rsidR="0045798F">
        <w:t>.</w:t>
      </w:r>
    </w:p>
    <w:p w14:paraId="10C33065" w14:textId="05528D69" w:rsidR="00A15957" w:rsidRDefault="00924760" w:rsidP="008F218A">
      <w:r>
        <w:t>A</w:t>
      </w:r>
      <w:r w:rsidR="00A15957">
        <w:t xml:space="preserve">dditional analysis should be phased </w:t>
      </w:r>
      <w:r w:rsidR="008C3D58">
        <w:t>in</w:t>
      </w:r>
      <w:r w:rsidR="00A15957">
        <w:t xml:space="preserve"> across sectors </w:t>
      </w:r>
      <w:r w:rsidR="00B65D32">
        <w:rPr>
          <w:rFonts w:ascii="Calibri" w:hAnsi="Calibri" w:cs="Calibri"/>
        </w:rPr>
        <w:t>—</w:t>
      </w:r>
      <w:r w:rsidR="00A15957">
        <w:t xml:space="preserve"> for example, </w:t>
      </w:r>
      <w:r w:rsidR="00A15957" w:rsidRPr="00C14549">
        <w:t>by including</w:t>
      </w:r>
      <w:r w:rsidR="00D50928">
        <w:t xml:space="preserve"> case s</w:t>
      </w:r>
      <w:r w:rsidR="004D5AC0">
        <w:t xml:space="preserve">tudies on innovative programs and policies or </w:t>
      </w:r>
      <w:r w:rsidR="00A15957" w:rsidRPr="00C14549">
        <w:t xml:space="preserve">in sector </w:t>
      </w:r>
      <w:r w:rsidR="00A15957" w:rsidRPr="002576D2">
        <w:t>Overview</w:t>
      </w:r>
      <w:r w:rsidR="00A15957">
        <w:t xml:space="preserve"> </w:t>
      </w:r>
      <w:r w:rsidR="00A15957" w:rsidRPr="00C14549">
        <w:t>s</w:t>
      </w:r>
      <w:r w:rsidR="00A15957">
        <w:t xml:space="preserve">ections as is already being considered </w:t>
      </w:r>
      <w:r w:rsidR="00B65D32">
        <w:rPr>
          <w:rFonts w:ascii="Calibri" w:hAnsi="Calibri" w:cs="Calibri"/>
        </w:rPr>
        <w:t>—</w:t>
      </w:r>
      <w:r w:rsidR="00A15957">
        <w:t xml:space="preserve"> </w:t>
      </w:r>
      <w:r w:rsidR="00A15957" w:rsidRPr="00C14549">
        <w:t>or by trial</w:t>
      </w:r>
      <w:r w:rsidR="00A15957">
        <w:t>l</w:t>
      </w:r>
      <w:r w:rsidR="00A15957" w:rsidRPr="00C14549">
        <w:t>ing with a specific equity group</w:t>
      </w:r>
      <w:r w:rsidR="00A15957">
        <w:t xml:space="preserve"> </w:t>
      </w:r>
      <w:r w:rsidR="00B65D32">
        <w:rPr>
          <w:rFonts w:ascii="Calibri" w:hAnsi="Calibri" w:cs="Calibri"/>
        </w:rPr>
        <w:t>—</w:t>
      </w:r>
      <w:r w:rsidR="00A15957">
        <w:t xml:space="preserve"> for example,</w:t>
      </w:r>
      <w:r w:rsidR="00A15957" w:rsidRPr="00C14549">
        <w:t xml:space="preserve"> First Nations </w:t>
      </w:r>
      <w:r w:rsidR="00A15957">
        <w:t xml:space="preserve">people. </w:t>
      </w:r>
      <w:r w:rsidR="00A15957" w:rsidRPr="00C14549">
        <w:t xml:space="preserve">The effectiveness of </w:t>
      </w:r>
      <w:r w:rsidR="00A15957">
        <w:t>this</w:t>
      </w:r>
      <w:r w:rsidR="00A15957" w:rsidRPr="00C14549">
        <w:t xml:space="preserve"> approach </w:t>
      </w:r>
      <w:r w:rsidR="00A15957">
        <w:t xml:space="preserve">should be assessed </w:t>
      </w:r>
      <w:r w:rsidR="00A15957" w:rsidRPr="00C14549">
        <w:t>and extend</w:t>
      </w:r>
      <w:r w:rsidR="00A15957">
        <w:t>ed</w:t>
      </w:r>
      <w:r w:rsidR="00A15957" w:rsidRPr="00C14549">
        <w:t xml:space="preserve"> over time,</w:t>
      </w:r>
      <w:r w:rsidR="002B5FD7">
        <w:t xml:space="preserve"> including to other types of analysis,</w:t>
      </w:r>
      <w:r w:rsidR="00A15957" w:rsidRPr="00C14549">
        <w:t xml:space="preserve"> if successful.</w:t>
      </w:r>
      <w:r w:rsidR="00697513">
        <w:t xml:space="preserve"> This approach should ensure that </w:t>
      </w:r>
      <w:r w:rsidR="002712CC">
        <w:t>any additional</w:t>
      </w:r>
      <w:r w:rsidR="00697513">
        <w:t xml:space="preserve"> analysis </w:t>
      </w:r>
      <w:r w:rsidR="0052764D">
        <w:t>is practical and</w:t>
      </w:r>
      <w:r w:rsidR="006A77F9">
        <w:t xml:space="preserve"> useful.</w:t>
      </w:r>
    </w:p>
    <w:p w14:paraId="13BFA945" w14:textId="1383AA17" w:rsidR="002B639D" w:rsidRDefault="00B27FF2" w:rsidP="00B27FF2">
      <w:pPr>
        <w:pStyle w:val="Heading2"/>
      </w:pPr>
      <w:r>
        <w:t>Accessibility and presentation</w:t>
      </w:r>
    </w:p>
    <w:p w14:paraId="3B64F250" w14:textId="7687AA2D" w:rsidR="00C53D6E" w:rsidRDefault="00C53D6E" w:rsidP="00051135">
      <w:pPr>
        <w:keepLines/>
        <w:spacing w:before="240"/>
      </w:pPr>
      <w:r>
        <w:t>The RoGS is a large and complex resource that can be difficult for users to navigate. T</w:t>
      </w:r>
      <w:r w:rsidRPr="00393FBD">
        <w:t xml:space="preserve">he number of indicators and how they are presented </w:t>
      </w:r>
      <w:r>
        <w:t xml:space="preserve">were reported as </w:t>
      </w:r>
      <w:r w:rsidRPr="00393FBD">
        <w:t>overwhelming</w:t>
      </w:r>
      <w:r>
        <w:t xml:space="preserve"> by some stakeholders</w:t>
      </w:r>
      <w:r w:rsidRPr="00393FBD">
        <w:t xml:space="preserve">. </w:t>
      </w:r>
      <w:r w:rsidR="00051135">
        <w:br/>
      </w:r>
      <w:r w:rsidR="00383832">
        <w:t>N</w:t>
      </w:r>
      <w:r w:rsidRPr="0078475C">
        <w:t>on</w:t>
      </w:r>
      <w:r w:rsidR="00B65D32">
        <w:t>-</w:t>
      </w:r>
      <w:r w:rsidRPr="0078475C">
        <w:t xml:space="preserve">government users reported that they did not </w:t>
      </w:r>
      <w:r>
        <w:t xml:space="preserve">generally </w:t>
      </w:r>
      <w:r w:rsidRPr="0078475C">
        <w:t>have the analytical capacity</w:t>
      </w:r>
      <w:r>
        <w:t>, resources or time</w:t>
      </w:r>
      <w:r w:rsidRPr="0078475C">
        <w:t xml:space="preserve"> to </w:t>
      </w:r>
      <w:r>
        <w:t xml:space="preserve">easily </w:t>
      </w:r>
      <w:r w:rsidR="002A5B14">
        <w:t>find,</w:t>
      </w:r>
      <w:r w:rsidRPr="0078475C">
        <w:t xml:space="preserve"> understand, and analyse the information</w:t>
      </w:r>
      <w:r>
        <w:t xml:space="preserve">. </w:t>
      </w:r>
      <w:r w:rsidR="00FA3DEA">
        <w:t>However rather than reducing the number of service areas or indicators</w:t>
      </w:r>
      <w:r w:rsidRPr="00393FBD">
        <w:t xml:space="preserve">, they wanted simpler ways to </w:t>
      </w:r>
      <w:r w:rsidR="001948EC">
        <w:t>find what they need</w:t>
      </w:r>
      <w:r w:rsidR="00D6668A">
        <w:t>ed</w:t>
      </w:r>
      <w:r>
        <w:t xml:space="preserve"> and more </w:t>
      </w:r>
      <w:r w:rsidRPr="00EC197C">
        <w:t>guidance and support on how to use and interpret the data</w:t>
      </w:r>
      <w:r>
        <w:t xml:space="preserve">. </w:t>
      </w:r>
    </w:p>
    <w:p w14:paraId="58BA3D0A" w14:textId="27AEF176" w:rsidR="00C53D6E" w:rsidRDefault="00C53D6E" w:rsidP="008F218A">
      <w:r w:rsidRPr="003A45C3">
        <w:t xml:space="preserve">The Steering Committee </w:t>
      </w:r>
      <w:r>
        <w:t>continues</w:t>
      </w:r>
      <w:r w:rsidRPr="003A45C3">
        <w:t xml:space="preserve"> to </w:t>
      </w:r>
      <w:r>
        <w:t>work</w:t>
      </w:r>
      <w:r w:rsidRPr="003A45C3">
        <w:t xml:space="preserve"> to improve the accessibility of the RoGS</w:t>
      </w:r>
      <w:r w:rsidR="004F1485">
        <w:t xml:space="preserve"> (</w:t>
      </w:r>
      <w:r w:rsidR="00D276C7" w:rsidRPr="00D276C7">
        <w:rPr>
          <w:i/>
          <w:iCs/>
        </w:rPr>
        <w:t>Chapter 3: The approach to performance reporting</w:t>
      </w:r>
      <w:r w:rsidR="005A7AEF">
        <w:t>)</w:t>
      </w:r>
      <w:r w:rsidRPr="003A45C3">
        <w:t>.</w:t>
      </w:r>
      <w:r w:rsidR="0048766A">
        <w:t xml:space="preserve"> </w:t>
      </w:r>
      <w:r w:rsidRPr="004D3F9D">
        <w:t>S</w:t>
      </w:r>
      <w:r>
        <w:t>ome s</w:t>
      </w:r>
      <w:r w:rsidRPr="004D3F9D">
        <w:t>takeholders appreciat</w:t>
      </w:r>
      <w:r w:rsidR="007E4D59">
        <w:t>ed</w:t>
      </w:r>
      <w:r w:rsidR="00954FAF">
        <w:t xml:space="preserve"> now </w:t>
      </w:r>
      <w:r>
        <w:t>hav</w:t>
      </w:r>
      <w:r w:rsidR="00954FAF">
        <w:t>ing</w:t>
      </w:r>
      <w:r>
        <w:t xml:space="preserve"> access to the annual compiled report and CSV files, as this is their preferred data format for conducting </w:t>
      </w:r>
      <w:r w:rsidR="005B0A7D">
        <w:t>S</w:t>
      </w:r>
      <w:r w:rsidRPr="004D3F9D">
        <w:t xml:space="preserve">tate and </w:t>
      </w:r>
      <w:r w:rsidR="005B0A7D">
        <w:t>T</w:t>
      </w:r>
      <w:r w:rsidRPr="004D3F9D">
        <w:t>erritory comparisons</w:t>
      </w:r>
      <w:r>
        <w:t xml:space="preserve"> and other analysis</w:t>
      </w:r>
      <w:r w:rsidRPr="004D3F9D">
        <w:t>.</w:t>
      </w:r>
      <w:r w:rsidRPr="00B223F4">
        <w:t xml:space="preserve"> </w:t>
      </w:r>
      <w:r>
        <w:t xml:space="preserve">However, </w:t>
      </w:r>
      <w:r w:rsidR="00E72DFB">
        <w:t xml:space="preserve">users </w:t>
      </w:r>
      <w:r>
        <w:t xml:space="preserve">also </w:t>
      </w:r>
      <w:r w:rsidR="00E72DFB">
        <w:t xml:space="preserve">noted </w:t>
      </w:r>
      <w:r>
        <w:t>that it w</w:t>
      </w:r>
      <w:r w:rsidRPr="00A35D60">
        <w:t xml:space="preserve">ould be </w:t>
      </w:r>
      <w:r w:rsidR="00281691">
        <w:t>simpler</w:t>
      </w:r>
      <w:r w:rsidR="00281691" w:rsidRPr="00A35D60">
        <w:t xml:space="preserve"> </w:t>
      </w:r>
      <w:r w:rsidRPr="00A35D60">
        <w:t>to have the long</w:t>
      </w:r>
      <w:r w:rsidR="008F218A">
        <w:noBreakHyphen/>
      </w:r>
      <w:r w:rsidRPr="00A35D60">
        <w:t>term time series data in one place instead of having to download multiple spreadsheets across multiple editions of the RoGS</w:t>
      </w:r>
      <w:r>
        <w:t xml:space="preserve">. </w:t>
      </w:r>
    </w:p>
    <w:p w14:paraId="7BC4889D" w14:textId="1D4EB996" w:rsidR="00C53D6E" w:rsidRPr="00C53D6E" w:rsidRDefault="003852C8" w:rsidP="008F218A">
      <w:r>
        <w:t>U</w:t>
      </w:r>
      <w:r w:rsidR="00281691">
        <w:t>sers</w:t>
      </w:r>
      <w:r w:rsidR="00281691" w:rsidRPr="00C53D6E">
        <w:t xml:space="preserve"> </w:t>
      </w:r>
      <w:r w:rsidR="00C53D6E" w:rsidRPr="00C53D6E">
        <w:t xml:space="preserve">also reported that it can be it difficult to understand the experience of different equity groups as </w:t>
      </w:r>
      <w:r w:rsidR="00134CB6">
        <w:t xml:space="preserve">relevant </w:t>
      </w:r>
      <w:r w:rsidR="00C53D6E" w:rsidRPr="00C53D6E">
        <w:t xml:space="preserve">material is not presented in one place. For example, information on First Nations people is spread across service sectors rather than presented in a standalone </w:t>
      </w:r>
      <w:r w:rsidR="00664364">
        <w:t>section</w:t>
      </w:r>
      <w:r w:rsidR="00C53D6E" w:rsidRPr="00C53D6E">
        <w:t>. The</w:t>
      </w:r>
      <w:r w:rsidR="00664364">
        <w:t>se users</w:t>
      </w:r>
      <w:r w:rsidR="00C53D6E" w:rsidRPr="00C53D6E">
        <w:t xml:space="preserve"> want</w:t>
      </w:r>
      <w:r w:rsidR="00664364">
        <w:t>ed</w:t>
      </w:r>
      <w:r w:rsidR="00C53D6E" w:rsidRPr="00C53D6E">
        <w:t xml:space="preserve"> to see a greater focus on reporting holistically for equity groups</w:t>
      </w:r>
      <w:r w:rsidR="002E4567">
        <w:t xml:space="preserve"> and</w:t>
      </w:r>
      <w:r w:rsidR="00B93DE8">
        <w:t xml:space="preserve"> </w:t>
      </w:r>
      <w:r w:rsidR="00C53D6E" w:rsidRPr="00C53D6E">
        <w:rPr>
          <w:lang w:val="en-US"/>
        </w:rPr>
        <w:t>expressed interest in data by geographical and population subgroups</w:t>
      </w:r>
      <w:r w:rsidR="002E4567">
        <w:rPr>
          <w:lang w:val="en-US"/>
        </w:rPr>
        <w:t xml:space="preserve">. </w:t>
      </w:r>
      <w:r w:rsidR="00A164C9">
        <w:rPr>
          <w:lang w:val="en-US"/>
        </w:rPr>
        <w:t>This</w:t>
      </w:r>
      <w:r w:rsidR="002E4567">
        <w:rPr>
          <w:lang w:val="en-US"/>
        </w:rPr>
        <w:t xml:space="preserve"> included</w:t>
      </w:r>
      <w:r w:rsidR="00C53D6E" w:rsidRPr="00C53D6E">
        <w:rPr>
          <w:lang w:val="en-US"/>
        </w:rPr>
        <w:t xml:space="preserve"> remoteness, socio</w:t>
      </w:r>
      <w:r w:rsidR="00B65D32">
        <w:rPr>
          <w:lang w:val="en-US"/>
        </w:rPr>
        <w:t>-</w:t>
      </w:r>
      <w:r w:rsidR="00C53D6E" w:rsidRPr="00C53D6E">
        <w:rPr>
          <w:lang w:val="en-US"/>
        </w:rPr>
        <w:t>economic status, age, gender, and Aboriginal and Torres</w:t>
      </w:r>
      <w:r w:rsidR="002E4567">
        <w:rPr>
          <w:lang w:val="en-US"/>
        </w:rPr>
        <w:t> </w:t>
      </w:r>
      <w:r w:rsidR="002E4567" w:rsidRPr="00C53D6E">
        <w:rPr>
          <w:lang w:val="en-US"/>
        </w:rPr>
        <w:t>Strait</w:t>
      </w:r>
      <w:r w:rsidR="002E4567">
        <w:rPr>
          <w:lang w:val="en-US"/>
        </w:rPr>
        <w:t> </w:t>
      </w:r>
      <w:r w:rsidR="00C53D6E" w:rsidRPr="00C53D6E">
        <w:rPr>
          <w:lang w:val="en-US"/>
        </w:rPr>
        <w:t xml:space="preserve">Islander status. </w:t>
      </w:r>
    </w:p>
    <w:p w14:paraId="3DB9E306" w14:textId="77777777" w:rsidR="00C53D6E" w:rsidRPr="006A75EF" w:rsidRDefault="00C53D6E" w:rsidP="00C53D6E">
      <w:r>
        <w:t>T</w:t>
      </w:r>
      <w:r w:rsidRPr="006A75EF">
        <w:t>he RoGS identifies 4 main groups of people that may have special needs or difficulties in accessing government services:</w:t>
      </w:r>
    </w:p>
    <w:p w14:paraId="1F473DEA" w14:textId="27D23F21" w:rsidR="00C53D6E" w:rsidRPr="006A75EF" w:rsidRDefault="00C53D6E" w:rsidP="005241B9">
      <w:pPr>
        <w:pStyle w:val="OutlineNumbered1"/>
        <w:numPr>
          <w:ilvl w:val="0"/>
          <w:numId w:val="20"/>
        </w:numPr>
        <w:ind w:left="357" w:hanging="357"/>
      </w:pPr>
      <w:r w:rsidRPr="006A75EF">
        <w:t>First Nations people</w:t>
      </w:r>
    </w:p>
    <w:p w14:paraId="0B1F0098" w14:textId="1230AEA1" w:rsidR="00C53D6E" w:rsidRPr="006A75EF" w:rsidRDefault="00B93DE8" w:rsidP="00701E1F">
      <w:pPr>
        <w:pStyle w:val="OutlineNumbered1"/>
        <w:ind w:left="357" w:hanging="357"/>
      </w:pPr>
      <w:r>
        <w:t>p</w:t>
      </w:r>
      <w:r w:rsidR="00C53D6E">
        <w:t>eople</w:t>
      </w:r>
      <w:r w:rsidR="00C53D6E" w:rsidRPr="006A75EF">
        <w:t xml:space="preserve"> living in rural or remote areas</w:t>
      </w:r>
    </w:p>
    <w:p w14:paraId="3F667EBE" w14:textId="19E221CC" w:rsidR="00C53D6E" w:rsidRPr="006A75EF" w:rsidRDefault="00242F6C" w:rsidP="00701E1F">
      <w:pPr>
        <w:pStyle w:val="OutlineNumbered1"/>
        <w:ind w:left="357" w:hanging="357"/>
      </w:pPr>
      <w:r>
        <w:t>p</w:t>
      </w:r>
      <w:r w:rsidR="00C53D6E" w:rsidRPr="006A75EF">
        <w:t>eople from a non</w:t>
      </w:r>
      <w:r w:rsidR="00B65D32">
        <w:t>-</w:t>
      </w:r>
      <w:r w:rsidR="00C53D6E" w:rsidRPr="006A75EF">
        <w:t>English speaking background</w:t>
      </w:r>
    </w:p>
    <w:p w14:paraId="5A19095A" w14:textId="59D9B751" w:rsidR="00C53D6E" w:rsidRPr="006A75EF" w:rsidRDefault="00242F6C" w:rsidP="00701E1F">
      <w:pPr>
        <w:pStyle w:val="OutlineNumbered1"/>
        <w:ind w:left="357" w:hanging="357"/>
      </w:pPr>
      <w:r>
        <w:t>p</w:t>
      </w:r>
      <w:r w:rsidR="00C53D6E" w:rsidRPr="006A75EF">
        <w:t>eople with disability</w:t>
      </w:r>
      <w:r w:rsidR="00C53D6E">
        <w:t>.</w:t>
      </w:r>
    </w:p>
    <w:p w14:paraId="0D88A2BB" w14:textId="1759903F" w:rsidR="00C53D6E" w:rsidRDefault="00C53D6E" w:rsidP="00C53D6E">
      <w:r>
        <w:t>Currently data for these groups is spread across service areas (</w:t>
      </w:r>
      <w:r w:rsidR="00427FAB" w:rsidRPr="00427FAB">
        <w:rPr>
          <w:i/>
          <w:iCs/>
        </w:rPr>
        <w:t>Information</w:t>
      </w:r>
      <w:r w:rsidR="00427FAB" w:rsidRPr="00B60079">
        <w:t xml:space="preserve"> Box 12: Disaggregated data for First Nations people in the RoGS</w:t>
      </w:r>
      <w:r>
        <w:t>)</w:t>
      </w:r>
      <w:r w:rsidR="00116660">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376955" w14:paraId="23DCFA36" w14:textId="77777777" w:rsidTr="00B11057">
        <w:trPr>
          <w:trHeight w:val="1858"/>
        </w:trPr>
        <w:tc>
          <w:tcPr>
            <w:tcW w:w="5000" w:type="pct"/>
            <w:shd w:val="clear" w:color="auto" w:fill="EEEEEE" w:themeFill="background2"/>
          </w:tcPr>
          <w:p w14:paraId="60396D80" w14:textId="52A7EC44" w:rsidR="00376955" w:rsidRPr="00B60079" w:rsidRDefault="00B60079" w:rsidP="00B60079">
            <w:pPr>
              <w:pStyle w:val="BoxHeading"/>
            </w:pPr>
            <w:bookmarkStart w:id="55" w:name="_Ref180578701"/>
            <w:r w:rsidRPr="00B60079">
              <w:t>Information Box 12</w:t>
            </w:r>
            <w:r w:rsidR="00376955" w:rsidRPr="00B60079">
              <w:t xml:space="preserve">: </w:t>
            </w:r>
            <w:r w:rsidR="00FD18AA" w:rsidRPr="00B60079">
              <w:t>Disaggregated data for First Nations people in the RoGS</w:t>
            </w:r>
            <w:bookmarkEnd w:id="55"/>
          </w:p>
          <w:p w14:paraId="2AB42320" w14:textId="0229DFA4" w:rsidR="00F2334F" w:rsidRPr="00B11057" w:rsidRDefault="00CE017B" w:rsidP="00B60079">
            <w:pPr>
              <w:pStyle w:val="BoxText"/>
            </w:pPr>
            <w:r w:rsidRPr="00B11057">
              <w:t>In 2024, performance indicator data for First Nations people is available for 136 measures across 14 of the 17 covered service areas:</w:t>
            </w:r>
          </w:p>
          <w:p w14:paraId="13CC3B07" w14:textId="06116004" w:rsidR="00F2334F" w:rsidRPr="00B11057" w:rsidRDefault="0082590C" w:rsidP="00B60079">
            <w:pPr>
              <w:pStyle w:val="Boxbullet"/>
            </w:pPr>
            <w:r>
              <w:t>e</w:t>
            </w:r>
            <w:r w:rsidR="00F2334F" w:rsidRPr="00B11057">
              <w:t>arly childhood education and care</w:t>
            </w:r>
          </w:p>
          <w:p w14:paraId="1D012D73" w14:textId="6E04E0A4" w:rsidR="00F2334F" w:rsidRPr="00B11057" w:rsidRDefault="0082590C" w:rsidP="00B60079">
            <w:pPr>
              <w:pStyle w:val="Boxbullet"/>
            </w:pPr>
            <w:r>
              <w:t>s</w:t>
            </w:r>
            <w:r w:rsidR="00F2334F" w:rsidRPr="00B11057">
              <w:t>chool education</w:t>
            </w:r>
          </w:p>
          <w:p w14:paraId="51394734" w14:textId="4606AC39" w:rsidR="00F2334F" w:rsidRPr="00B11057" w:rsidRDefault="0082590C" w:rsidP="00B60079">
            <w:pPr>
              <w:pStyle w:val="Boxbullet"/>
            </w:pPr>
            <w:r>
              <w:t>v</w:t>
            </w:r>
            <w:r w:rsidR="00F2334F" w:rsidRPr="00B11057">
              <w:t>ocational education and training</w:t>
            </w:r>
          </w:p>
          <w:p w14:paraId="1D6D7919" w14:textId="3343C17E" w:rsidR="00F2334F" w:rsidRPr="00B11057" w:rsidRDefault="0082590C" w:rsidP="00B60079">
            <w:pPr>
              <w:pStyle w:val="Boxbullet"/>
            </w:pPr>
            <w:r>
              <w:t>p</w:t>
            </w:r>
            <w:r w:rsidR="00F2334F" w:rsidRPr="00B11057">
              <w:t>olice services</w:t>
            </w:r>
          </w:p>
          <w:p w14:paraId="0BCB7A71" w14:textId="2F3E9028" w:rsidR="00F2334F" w:rsidRPr="00B11057" w:rsidRDefault="0082590C" w:rsidP="00B60079">
            <w:pPr>
              <w:pStyle w:val="Boxbullet"/>
            </w:pPr>
            <w:r>
              <w:t>c</w:t>
            </w:r>
            <w:r w:rsidR="00F2334F" w:rsidRPr="00B11057">
              <w:t>orrective services</w:t>
            </w:r>
          </w:p>
          <w:p w14:paraId="18250A09" w14:textId="60BE4AB0" w:rsidR="00F2334F" w:rsidRPr="00B11057" w:rsidRDefault="0082590C" w:rsidP="00B60079">
            <w:pPr>
              <w:pStyle w:val="Boxbullet"/>
            </w:pPr>
            <w:r>
              <w:t>p</w:t>
            </w:r>
            <w:r w:rsidR="00F2334F" w:rsidRPr="00B11057">
              <w:t>rimary and community health</w:t>
            </w:r>
          </w:p>
          <w:p w14:paraId="5FFEAB99" w14:textId="24AF377F" w:rsidR="00F2334F" w:rsidRPr="00B11057" w:rsidRDefault="0082590C" w:rsidP="00B60079">
            <w:pPr>
              <w:pStyle w:val="Boxbullet"/>
            </w:pPr>
            <w:r>
              <w:t>p</w:t>
            </w:r>
            <w:r w:rsidR="00F2334F" w:rsidRPr="00B11057">
              <w:t>ublic hospitals</w:t>
            </w:r>
          </w:p>
          <w:p w14:paraId="52159249" w14:textId="5DA661ED" w:rsidR="00B37A58" w:rsidRPr="00B11057" w:rsidRDefault="0082590C" w:rsidP="00B60079">
            <w:pPr>
              <w:pStyle w:val="Boxbullet"/>
            </w:pPr>
            <w:r>
              <w:t>s</w:t>
            </w:r>
            <w:r w:rsidR="00B37A58" w:rsidRPr="00B11057">
              <w:t>ervices for mental health</w:t>
            </w:r>
          </w:p>
          <w:p w14:paraId="328791FE" w14:textId="43769BF0" w:rsidR="00B37A58" w:rsidRPr="00B11057" w:rsidRDefault="0082590C" w:rsidP="00B60079">
            <w:pPr>
              <w:pStyle w:val="Boxbullet"/>
            </w:pPr>
            <w:r>
              <w:t>a</w:t>
            </w:r>
            <w:r w:rsidR="00B37A58" w:rsidRPr="00B11057">
              <w:t>ged care services</w:t>
            </w:r>
          </w:p>
          <w:p w14:paraId="363311F1" w14:textId="77E9EBDD" w:rsidR="00B37A58" w:rsidRPr="00B11057" w:rsidRDefault="0082590C" w:rsidP="00B60079">
            <w:pPr>
              <w:pStyle w:val="Boxbullet"/>
            </w:pPr>
            <w:r>
              <w:t>s</w:t>
            </w:r>
            <w:r w:rsidR="00B37A58" w:rsidRPr="00B11057">
              <w:t>ervices for people with disability</w:t>
            </w:r>
          </w:p>
          <w:p w14:paraId="35EDAE1F" w14:textId="02CF96CC" w:rsidR="00F2334F" w:rsidRPr="00B11057" w:rsidRDefault="0082590C" w:rsidP="00B60079">
            <w:pPr>
              <w:pStyle w:val="Boxbullet"/>
            </w:pPr>
            <w:r>
              <w:t>c</w:t>
            </w:r>
            <w:r w:rsidR="00F2334F" w:rsidRPr="00B11057">
              <w:t>hild protection services</w:t>
            </w:r>
          </w:p>
          <w:p w14:paraId="482F2CF0" w14:textId="24C936AA" w:rsidR="00F2334F" w:rsidRPr="00B11057" w:rsidRDefault="0082590C" w:rsidP="00B60079">
            <w:pPr>
              <w:pStyle w:val="Boxbullet"/>
            </w:pPr>
            <w:r>
              <w:t>y</w:t>
            </w:r>
            <w:r w:rsidR="00F2334F" w:rsidRPr="00B11057">
              <w:t>outh justice services</w:t>
            </w:r>
          </w:p>
          <w:p w14:paraId="54DBDB56" w14:textId="23A51052" w:rsidR="00F2334F" w:rsidRPr="00B11057" w:rsidRDefault="0082590C" w:rsidP="00B60079">
            <w:pPr>
              <w:pStyle w:val="Boxbullet"/>
            </w:pPr>
            <w:r>
              <w:t>h</w:t>
            </w:r>
            <w:r w:rsidR="00F2334F" w:rsidRPr="00B11057">
              <w:t>ousing</w:t>
            </w:r>
          </w:p>
          <w:p w14:paraId="117A5E84" w14:textId="7A8CC1F8" w:rsidR="00F2334F" w:rsidRPr="00B11057" w:rsidRDefault="0082590C" w:rsidP="00B60079">
            <w:pPr>
              <w:pStyle w:val="Boxbullet"/>
            </w:pPr>
            <w:r>
              <w:t>h</w:t>
            </w:r>
            <w:r w:rsidR="00F2334F" w:rsidRPr="00B11057">
              <w:t>omelessness services</w:t>
            </w:r>
            <w:r>
              <w:t>.</w:t>
            </w:r>
          </w:p>
          <w:p w14:paraId="1A2A59CE" w14:textId="1EF376CE" w:rsidR="00CE017B" w:rsidRPr="00B11057" w:rsidRDefault="00CE017B" w:rsidP="002E7103">
            <w:pPr>
              <w:pStyle w:val="BoxText"/>
            </w:pPr>
            <w:r w:rsidRPr="00B11057">
              <w:t>Currently, First Nations</w:t>
            </w:r>
            <w:r w:rsidR="00B65D32">
              <w:t>-</w:t>
            </w:r>
            <w:r w:rsidRPr="00B11057">
              <w:t>specific data is reported separately in each of the relevant service sectors. While both the PDF and online versions of the RoGS indicate which data tables contain data relating to First Nations people, the actual information is embedded into the body of the report. Similarly, Excel data tables and CSV datasets are available for download from a single location on the RoGS website, but these are not broken down by equity group.</w:t>
            </w:r>
          </w:p>
          <w:p w14:paraId="65C3F9BE" w14:textId="4860D151" w:rsidR="00CE017B" w:rsidRPr="00B11057" w:rsidRDefault="00CE017B" w:rsidP="002E7103">
            <w:pPr>
              <w:pStyle w:val="BoxText"/>
            </w:pPr>
            <w:r w:rsidRPr="00B11057">
              <w:t xml:space="preserve">The ability to easily see disaggregated equity group data in a single location </w:t>
            </w:r>
            <w:r w:rsidR="00B65D32">
              <w:rPr>
                <w:rFonts w:ascii="Calibri" w:hAnsi="Calibri" w:cs="Calibri"/>
              </w:rPr>
              <w:t>—</w:t>
            </w:r>
            <w:r w:rsidRPr="00B11057">
              <w:t xml:space="preserve"> such as through a filtering feature </w:t>
            </w:r>
            <w:r w:rsidR="00B65D32">
              <w:rPr>
                <w:rFonts w:ascii="Calibri" w:hAnsi="Calibri" w:cs="Calibri"/>
              </w:rPr>
              <w:t>—</w:t>
            </w:r>
            <w:r w:rsidRPr="00B11057">
              <w:t xml:space="preserve"> would make it easier for users to see a more complete picture of service delivery for that group of people, including across different sectors.</w:t>
            </w:r>
          </w:p>
          <w:p w14:paraId="1C592B40" w14:textId="02AE6626" w:rsidR="00376955" w:rsidRPr="0011590D" w:rsidRDefault="00376955" w:rsidP="00852057">
            <w:pPr>
              <w:pStyle w:val="ChartorTableNote"/>
            </w:pPr>
            <w:r w:rsidRPr="0011590D">
              <w:t xml:space="preserve">Source: </w:t>
            </w:r>
            <w:r w:rsidR="00A91FAF">
              <w:rPr>
                <w:noProof/>
              </w:rPr>
              <w:t xml:space="preserve">(Steering Committee 2024a; </w:t>
            </w:r>
            <w:r w:rsidR="00A91FAF" w:rsidRPr="000A6298">
              <w:t>Analysis undertaken by the Review</w:t>
            </w:r>
            <w:r w:rsidR="00A91FAF">
              <w:rPr>
                <w:noProof/>
              </w:rPr>
              <w:t>)</w:t>
            </w:r>
          </w:p>
        </w:tc>
      </w:tr>
    </w:tbl>
    <w:p w14:paraId="55504C35" w14:textId="21B815EF" w:rsidR="002E7335" w:rsidRDefault="002E7335" w:rsidP="009A717A">
      <w:r>
        <w:t xml:space="preserve">The Review considers that users should be able to filter, select and present the data they want, within and across sectors. For example, a user should be able to extract data </w:t>
      </w:r>
      <w:r w:rsidR="00F114DE">
        <w:t xml:space="preserve">relevant to </w:t>
      </w:r>
      <w:r>
        <w:t xml:space="preserve">a particular equity group, such as First Nations people, </w:t>
      </w:r>
      <w:r w:rsidR="00F114DE">
        <w:t>for</w:t>
      </w:r>
      <w:r>
        <w:t xml:space="preserve"> indicators in National Agreements</w:t>
      </w:r>
      <w:r w:rsidR="00F114DE">
        <w:t>,</w:t>
      </w:r>
      <w:r w:rsidR="00550042">
        <w:t xml:space="preserve"> or</w:t>
      </w:r>
      <w:r>
        <w:t xml:space="preserve"> for equity, effectiveness or efficiency indicators.</w:t>
      </w:r>
      <w:r w:rsidR="003C3814">
        <w:t xml:space="preserve"> This will make it easier for users </w:t>
      </w:r>
      <w:r w:rsidR="00FD33B7">
        <w:t>to access, find and use the RoGS data.</w:t>
      </w:r>
    </w:p>
    <w:p w14:paraId="04886E37" w14:textId="4AF515AE" w:rsidR="002E7335" w:rsidRDefault="002E7335" w:rsidP="009A717A">
      <w:r>
        <w:t>The ABS and AIHW provide tools for users to interact with and customise their data. The ABS provides a free online product</w:t>
      </w:r>
      <w:r w:rsidR="00097361">
        <w:t>,</w:t>
      </w:r>
      <w:r>
        <w:t xml:space="preserve"> </w:t>
      </w:r>
      <w:r w:rsidRPr="0009062B">
        <w:t>Data Explorer</w:t>
      </w:r>
      <w:r w:rsidR="00097361">
        <w:rPr>
          <w:rStyle w:val="Hyperlink"/>
        </w:rPr>
        <w:t>,</w:t>
      </w:r>
      <w:r>
        <w:t xml:space="preserve"> which enables users to create their own tables and visualisations</w:t>
      </w:r>
      <w:r w:rsidR="00A22B33">
        <w:t xml:space="preserve"> </w:t>
      </w:r>
      <w:sdt>
        <w:sdtPr>
          <w:id w:val="1915507718"/>
          <w:citation/>
        </w:sdtPr>
        <w:sdtEndPr/>
        <w:sdtContent>
          <w:r w:rsidR="003079A5">
            <w:fldChar w:fldCharType="begin"/>
          </w:r>
          <w:r w:rsidR="00C74E55">
            <w:instrText xml:space="preserve">CITATION Aus249 \l 3081 </w:instrText>
          </w:r>
          <w:r w:rsidR="003079A5">
            <w:fldChar w:fldCharType="separate"/>
          </w:r>
          <w:r w:rsidR="003003B3">
            <w:rPr>
              <w:noProof/>
            </w:rPr>
            <w:t>(ABS 2024a)</w:t>
          </w:r>
          <w:r w:rsidR="003079A5">
            <w:fldChar w:fldCharType="end"/>
          </w:r>
        </w:sdtContent>
      </w:sdt>
      <w:r>
        <w:t xml:space="preserve">. </w:t>
      </w:r>
      <w:r w:rsidRPr="000354D5">
        <w:t>It is an interactive web browser interface where you can view, query and download data</w:t>
      </w:r>
      <w:r>
        <w:t xml:space="preserve">. AIHW releases data for different geographic areas and population subgroups, such as </w:t>
      </w:r>
      <w:r w:rsidR="00550042">
        <w:t>First Nations people</w:t>
      </w:r>
      <w:r>
        <w:t xml:space="preserve">, sex and age groups, and for indicators and measures of health and welfare. For example, you can view waiting times for emergency department care across all public hospitals, nationally and for individual </w:t>
      </w:r>
      <w:r w:rsidR="00550042">
        <w:t>S</w:t>
      </w:r>
      <w:r>
        <w:t xml:space="preserve">tates and </w:t>
      </w:r>
      <w:r w:rsidR="00550042">
        <w:t>T</w:t>
      </w:r>
      <w:r>
        <w:t>erritories, or for a particular hospital for different periods by table or chart. Metadata specifications are also provided.</w:t>
      </w:r>
    </w:p>
    <w:p w14:paraId="00F8F77F" w14:textId="7C924F78" w:rsidR="002E7335" w:rsidRDefault="002E7335" w:rsidP="009A717A">
      <w:r>
        <w:t>Users should also be able to</w:t>
      </w:r>
      <w:r w:rsidRPr="00A807E2">
        <w:t xml:space="preserve"> </w:t>
      </w:r>
      <w:r w:rsidRPr="00C211D7">
        <w:t>interact with the data in a more in</w:t>
      </w:r>
      <w:r w:rsidR="00B65D32">
        <w:t>-</w:t>
      </w:r>
      <w:r w:rsidRPr="00C211D7">
        <w:t>depth way</w:t>
      </w:r>
      <w:r>
        <w:t xml:space="preserve"> and </w:t>
      </w:r>
      <w:r w:rsidR="00A27FC7">
        <w:t xml:space="preserve">easily </w:t>
      </w:r>
      <w:r>
        <w:t xml:space="preserve">pull RoGS data together across </w:t>
      </w:r>
      <w:r w:rsidR="00A27FC7">
        <w:t xml:space="preserve">relevant </w:t>
      </w:r>
      <w:r>
        <w:t>service areas. D</w:t>
      </w:r>
      <w:r w:rsidRPr="00C211D7">
        <w:t xml:space="preserve">ifferent formats, such as plain English, infographics, and interactive </w:t>
      </w:r>
      <w:r w:rsidR="0009062B">
        <w:t>visualisations</w:t>
      </w:r>
      <w:r w:rsidRPr="00C211D7">
        <w:t xml:space="preserve">, </w:t>
      </w:r>
      <w:r w:rsidR="009D5F02">
        <w:t xml:space="preserve">would </w:t>
      </w:r>
      <w:r w:rsidRPr="00C211D7">
        <w:t xml:space="preserve">make </w:t>
      </w:r>
      <w:r w:rsidR="009D5F02">
        <w:t xml:space="preserve">the RoGS </w:t>
      </w:r>
      <w:r w:rsidRPr="00C211D7">
        <w:t>more accessible and engaging for diverse audiences.</w:t>
      </w:r>
      <w:r>
        <w:t xml:space="preserve"> </w:t>
      </w:r>
      <w:r w:rsidR="00141C38">
        <w:t xml:space="preserve">The </w:t>
      </w:r>
      <w:r>
        <w:t xml:space="preserve">AIHW provides this </w:t>
      </w:r>
      <w:r w:rsidR="008F6F6F">
        <w:t xml:space="preserve">kind of </w:t>
      </w:r>
      <w:r>
        <w:t xml:space="preserve">functionality. For example, </w:t>
      </w:r>
      <w:r w:rsidR="00141C38">
        <w:t xml:space="preserve">the </w:t>
      </w:r>
      <w:r>
        <w:t>AIHW includes socio</w:t>
      </w:r>
      <w:r w:rsidR="00141C38">
        <w:noBreakHyphen/>
      </w:r>
      <w:r>
        <w:t>economic factors, such as the proportion of people with low income and higher educational attainment, as part of its health performance framework.</w:t>
      </w:r>
    </w:p>
    <w:p w14:paraId="6A3B697F" w14:textId="220E4F37" w:rsidR="002E7335" w:rsidRPr="00C2493A" w:rsidRDefault="002E7335" w:rsidP="002E7335">
      <w:r>
        <w:t xml:space="preserve">Alternative ways of presenting the information, such as </w:t>
      </w:r>
      <w:r w:rsidR="00231CA6">
        <w:t xml:space="preserve">interactive </w:t>
      </w:r>
      <w:r>
        <w:t>maps, could also make the</w:t>
      </w:r>
      <w:r w:rsidRPr="00713C05">
        <w:t xml:space="preserve"> data more accessible</w:t>
      </w:r>
      <w:r>
        <w:t xml:space="preserve"> for some </w:t>
      </w:r>
      <w:r w:rsidR="00BF4104">
        <w:t xml:space="preserve">user </w:t>
      </w:r>
      <w:r>
        <w:t>groups.</w:t>
      </w:r>
      <w:r w:rsidRPr="1742BCE4">
        <w:t xml:space="preserve"> Some stakeholders suggested </w:t>
      </w:r>
      <w:r>
        <w:t>that there should be</w:t>
      </w:r>
      <w:r w:rsidR="008F6F6F">
        <w:t xml:space="preserve"> a</w:t>
      </w:r>
      <w:r w:rsidRPr="1742BCE4">
        <w:t xml:space="preserve"> simplified </w:t>
      </w:r>
      <w:r w:rsidR="008F6F6F">
        <w:t xml:space="preserve">interface (most referred to as a </w:t>
      </w:r>
      <w:r w:rsidR="00DC0336">
        <w:t>‘d</w:t>
      </w:r>
      <w:r w:rsidRPr="1742BCE4">
        <w:t>ashboard</w:t>
      </w:r>
      <w:r w:rsidR="00DC0336">
        <w:t xml:space="preserve">’ </w:t>
      </w:r>
      <w:r w:rsidR="00B65D32">
        <w:rPr>
          <w:rFonts w:ascii="Calibri" w:hAnsi="Calibri" w:cs="Calibri"/>
        </w:rPr>
        <w:t>—</w:t>
      </w:r>
      <w:r w:rsidR="00DC0336">
        <w:t xml:space="preserve"> not to be confused with the specific Performance Reporting Dashboard)</w:t>
      </w:r>
      <w:r w:rsidRPr="1742BCE4">
        <w:t xml:space="preserve">, </w:t>
      </w:r>
      <w:r>
        <w:t>which highlight</w:t>
      </w:r>
      <w:r w:rsidR="00BF4104">
        <w:t>s</w:t>
      </w:r>
      <w:r w:rsidRPr="1742BCE4">
        <w:t xml:space="preserve"> key messages for </w:t>
      </w:r>
      <w:r>
        <w:t xml:space="preserve">each of the </w:t>
      </w:r>
      <w:r w:rsidRPr="1742BCE4">
        <w:t>service areas. There is a lot of flexibility in how dashboards are structured</w:t>
      </w:r>
      <w:r w:rsidR="00CF214B">
        <w:t xml:space="preserve"> </w:t>
      </w:r>
      <w:r w:rsidR="00B65D32">
        <w:rPr>
          <w:rFonts w:ascii="Calibri" w:hAnsi="Calibri" w:cs="Calibri"/>
        </w:rPr>
        <w:t>—</w:t>
      </w:r>
      <w:r w:rsidR="00CF214B">
        <w:t xml:space="preserve"> </w:t>
      </w:r>
      <w:r w:rsidRPr="1742BCE4">
        <w:t>there is no</w:t>
      </w:r>
      <w:r w:rsidR="009E46B8">
        <w:t xml:space="preserve"> Australian</w:t>
      </w:r>
      <w:r w:rsidRPr="1742BCE4">
        <w:t xml:space="preserve"> design standard </w:t>
      </w:r>
      <w:r w:rsidR="009E46B8">
        <w:t>outlining</w:t>
      </w:r>
      <w:r w:rsidRPr="1742BCE4">
        <w:t xml:space="preserve"> </w:t>
      </w:r>
      <w:r w:rsidR="009E46B8">
        <w:t>what</w:t>
      </w:r>
      <w:r w:rsidRPr="1742BCE4">
        <w:t xml:space="preserve"> accessibility and user experience requirements</w:t>
      </w:r>
      <w:r w:rsidR="009E46B8">
        <w:t xml:space="preserve"> must be met</w:t>
      </w:r>
      <w:r w:rsidR="00E57335">
        <w:t>, though these do exist internationally (</w:t>
      </w:r>
      <w:r w:rsidR="00427FAB" w:rsidRPr="00427FAB">
        <w:rPr>
          <w:i/>
          <w:iCs/>
        </w:rPr>
        <w:t>Information</w:t>
      </w:r>
      <w:r w:rsidR="00427FAB" w:rsidRPr="002E7103">
        <w:t xml:space="preserve"> Box 13: Design standards for data dashboards</w:t>
      </w:r>
      <w:r w:rsidR="00E57335">
        <w:t>)</w:t>
      </w:r>
      <w:r w:rsidRPr="1742BCE4">
        <w:t xml:space="preserve">. </w:t>
      </w:r>
    </w:p>
    <w:tbl>
      <w:tblPr>
        <w:tblStyle w:val="TableGrid"/>
        <w:tblW w:w="5000" w:type="pct"/>
        <w:shd w:val="clear" w:color="auto" w:fill="EEEEEE" w:themeFill="background2"/>
        <w:tblCellMar>
          <w:top w:w="227" w:type="dxa"/>
          <w:left w:w="227" w:type="dxa"/>
          <w:bottom w:w="227" w:type="dxa"/>
          <w:right w:w="227" w:type="dxa"/>
        </w:tblCellMar>
        <w:tblLook w:val="0600" w:firstRow="0" w:lastRow="0" w:firstColumn="0" w:lastColumn="0" w:noHBand="1" w:noVBand="1"/>
      </w:tblPr>
      <w:tblGrid>
        <w:gridCol w:w="9026"/>
      </w:tblGrid>
      <w:tr w:rsidR="001A70C9" w14:paraId="4F854B96" w14:textId="77777777" w:rsidTr="00B11057">
        <w:trPr>
          <w:trHeight w:val="1858"/>
        </w:trPr>
        <w:tc>
          <w:tcPr>
            <w:tcW w:w="5000" w:type="pct"/>
            <w:shd w:val="clear" w:color="auto" w:fill="EEEEEE" w:themeFill="background2"/>
          </w:tcPr>
          <w:p w14:paraId="7BA0BAEA" w14:textId="521FCC23" w:rsidR="001A70C9" w:rsidRPr="002E7103" w:rsidRDefault="002E7103" w:rsidP="002E7103">
            <w:pPr>
              <w:pStyle w:val="BoxHeading"/>
            </w:pPr>
            <w:bookmarkStart w:id="56" w:name="_Ref180498462"/>
            <w:r w:rsidRPr="002E7103">
              <w:t>Information Box 13</w:t>
            </w:r>
            <w:r w:rsidR="001A70C9" w:rsidRPr="002E7103">
              <w:t>: Design standards for data dashboards</w:t>
            </w:r>
            <w:bookmarkEnd w:id="56"/>
          </w:p>
          <w:p w14:paraId="7CDE377A" w14:textId="02D23B5A" w:rsidR="005E08E5" w:rsidRPr="00B11057" w:rsidRDefault="00354D15" w:rsidP="002E7103">
            <w:pPr>
              <w:pStyle w:val="BoxText"/>
            </w:pPr>
            <w:r w:rsidRPr="00B11057">
              <w:t>Commonwealth</w:t>
            </w:r>
            <w:r w:rsidR="005E08E5" w:rsidRPr="00B11057">
              <w:t xml:space="preserve"> agencies that publish web content must comply with the </w:t>
            </w:r>
            <w:r w:rsidR="005E08E5" w:rsidRPr="00261C75">
              <w:t>Digital Experience Policy,</w:t>
            </w:r>
            <w:r w:rsidR="005E08E5" w:rsidRPr="00B11057">
              <w:t xml:space="preserve"> which includes standards for access and inclusion. This policy also outlines that online content should be simple to use, designed to </w:t>
            </w:r>
            <w:r w:rsidR="00B47508">
              <w:t xml:space="preserve">meet </w:t>
            </w:r>
            <w:r w:rsidR="005E08E5" w:rsidRPr="00B11057">
              <w:t xml:space="preserve">user needs and be consistent with other government digital products. </w:t>
            </w:r>
          </w:p>
          <w:p w14:paraId="74035162" w14:textId="005CA3CE" w:rsidR="005E08E5" w:rsidRPr="00B11057" w:rsidRDefault="005E08E5" w:rsidP="002E7103">
            <w:pPr>
              <w:pStyle w:val="BoxText"/>
            </w:pPr>
            <w:r w:rsidRPr="00B11057">
              <w:t xml:space="preserve">Internationally, governments are beginning to design best practice standards for data dashboards. An example is the </w:t>
            </w:r>
            <w:r w:rsidRPr="009548B4">
              <w:t>Data visualization: dashboard</w:t>
            </w:r>
            <w:r w:rsidRPr="0009062B">
              <w:t xml:space="preserve"> guidance document</w:t>
            </w:r>
            <w:r w:rsidRPr="00B11057">
              <w:t xml:space="preserve"> prepared by the UK Government Office for National Statistics. This guidance material addresses elements of the </w:t>
            </w:r>
            <w:r w:rsidRPr="009548B4">
              <w:t>Digital Experience Policy</w:t>
            </w:r>
            <w:r w:rsidRPr="00B11057">
              <w:t xml:space="preserve"> and outlines that dashboards should:</w:t>
            </w:r>
          </w:p>
          <w:p w14:paraId="3E56056D" w14:textId="3E93E119" w:rsidR="005E08E5" w:rsidRPr="00CE6D55" w:rsidRDefault="005E08E5" w:rsidP="002E7103">
            <w:pPr>
              <w:pStyle w:val="Boxbullet"/>
            </w:pPr>
            <w:r w:rsidRPr="00B11057">
              <w:t>use simple and well labelled visuals that clearly tell a statistical story</w:t>
            </w:r>
          </w:p>
          <w:p w14:paraId="051B04F0" w14:textId="11CCD544" w:rsidR="005E08E5" w:rsidRPr="00CE6D55" w:rsidRDefault="005E08E5" w:rsidP="002E7103">
            <w:pPr>
              <w:pStyle w:val="Boxbullet"/>
            </w:pPr>
            <w:r w:rsidRPr="00B11057">
              <w:t>provide access to data downloads for all visuals</w:t>
            </w:r>
          </w:p>
          <w:p w14:paraId="78991299" w14:textId="79C8FF6B" w:rsidR="005E08E5" w:rsidRPr="00CE6D55" w:rsidRDefault="005E08E5" w:rsidP="002E7103">
            <w:pPr>
              <w:pStyle w:val="Boxbullet"/>
            </w:pPr>
            <w:r w:rsidRPr="00B11057">
              <w:t>have a look, feel and navigation that is consistent with other government dashboards</w:t>
            </w:r>
          </w:p>
          <w:p w14:paraId="236B6641" w14:textId="06DA341A" w:rsidR="005E08E5" w:rsidRPr="00CE6D55" w:rsidRDefault="005E08E5" w:rsidP="002E7103">
            <w:pPr>
              <w:pStyle w:val="Boxbullet"/>
            </w:pPr>
            <w:r w:rsidRPr="00B11057">
              <w:t>group related information and highlight important information at the top</w:t>
            </w:r>
          </w:p>
          <w:p w14:paraId="6A3E8A07" w14:textId="4628671B" w:rsidR="005E08E5" w:rsidRPr="00CE6D55" w:rsidRDefault="005E08E5" w:rsidP="002E7103">
            <w:pPr>
              <w:pStyle w:val="Boxbullet"/>
            </w:pPr>
            <w:r w:rsidRPr="00B11057">
              <w:t xml:space="preserve">reduce visual clutter </w:t>
            </w:r>
            <w:r w:rsidR="00B65D32">
              <w:rPr>
                <w:rFonts w:ascii="Calibri" w:hAnsi="Calibri" w:cs="Calibri"/>
              </w:rPr>
              <w:t>—</w:t>
            </w:r>
            <w:r w:rsidRPr="00B11057">
              <w:t xml:space="preserve"> keep it simple</w:t>
            </w:r>
          </w:p>
          <w:p w14:paraId="221BC038" w14:textId="13BABF91" w:rsidR="005E08E5" w:rsidRPr="00CE6D55" w:rsidRDefault="005E08E5" w:rsidP="002E7103">
            <w:pPr>
              <w:pStyle w:val="Boxbullet"/>
            </w:pPr>
            <w:r w:rsidRPr="00B11057">
              <w:t>minimise the need for scrolling</w:t>
            </w:r>
          </w:p>
          <w:p w14:paraId="7FA890BF" w14:textId="7E53E2D5" w:rsidR="005E08E5" w:rsidRPr="00CE6D55" w:rsidRDefault="005E08E5" w:rsidP="002E7103">
            <w:pPr>
              <w:pStyle w:val="Boxbullet"/>
            </w:pPr>
            <w:r w:rsidRPr="00B11057">
              <w:t>work with different screen sizes, internet browsers and devices.</w:t>
            </w:r>
          </w:p>
          <w:p w14:paraId="308DEB36" w14:textId="537C2E2C" w:rsidR="001A70C9" w:rsidRPr="0011590D" w:rsidRDefault="001A70C9" w:rsidP="00D65EB1">
            <w:pPr>
              <w:pStyle w:val="ChartorTableNote"/>
            </w:pPr>
            <w:r w:rsidRPr="0011590D">
              <w:t>Source</w:t>
            </w:r>
            <w:r w:rsidR="000F6BF4">
              <w:t>s</w:t>
            </w:r>
            <w:r w:rsidRPr="0011590D">
              <w:t>:</w:t>
            </w:r>
            <w:r w:rsidR="00EA4C9D">
              <w:t xml:space="preserve"> </w:t>
            </w:r>
            <w:r w:rsidR="00557591">
              <w:rPr>
                <w:noProof/>
              </w:rPr>
              <w:t>(Digital Transformation Agency 2024; Office for National Statistics 2024)</w:t>
            </w:r>
          </w:p>
        </w:tc>
      </w:tr>
    </w:tbl>
    <w:p w14:paraId="2F62DCB0" w14:textId="4F000C4B" w:rsidR="00BC4F03" w:rsidRDefault="00BC4F03" w:rsidP="00BC4F03">
      <w:r>
        <w:t xml:space="preserve">Stakeholders identified examples of dashboards and data interfaces that </w:t>
      </w:r>
      <w:r w:rsidR="00496B83">
        <w:t xml:space="preserve">they </w:t>
      </w:r>
      <w:r>
        <w:t>considered to be good practice (</w:t>
      </w:r>
      <w:r w:rsidR="00427FAB" w:rsidRPr="00427FAB">
        <w:rPr>
          <w:i/>
          <w:iCs/>
        </w:rPr>
        <w:t>Information</w:t>
      </w:r>
      <w:r w:rsidR="00427FAB" w:rsidRPr="002E7103">
        <w:t xml:space="preserve"> Box 14: Examples of accessible data</w:t>
      </w:r>
      <w:r>
        <w:t>). Generally, these dashboards and data interfaces have the following common characteristics:</w:t>
      </w:r>
    </w:p>
    <w:p w14:paraId="7EB9143D" w14:textId="1CF71BC3" w:rsidR="00BC4F03" w:rsidRPr="00BC4F03" w:rsidRDefault="0009062B" w:rsidP="005241B9">
      <w:pPr>
        <w:pStyle w:val="Bullet"/>
        <w:numPr>
          <w:ilvl w:val="0"/>
          <w:numId w:val="17"/>
        </w:numPr>
        <w:tabs>
          <w:tab w:val="clear" w:pos="720"/>
        </w:tabs>
        <w:spacing w:before="120" w:line="240" w:lineRule="auto"/>
        <w:ind w:left="357" w:hanging="357"/>
      </w:pPr>
      <w:r>
        <w:t xml:space="preserve">a </w:t>
      </w:r>
      <w:r w:rsidR="00BC4F03" w:rsidRPr="00BC4F03">
        <w:t>visualisation of the top indicators</w:t>
      </w:r>
      <w:r w:rsidR="001A4C05">
        <w:t>.</w:t>
      </w:r>
    </w:p>
    <w:p w14:paraId="1D4A733B" w14:textId="38D00CC8" w:rsidR="00BC4F03" w:rsidRPr="00BC4F03" w:rsidRDefault="0009062B" w:rsidP="005241B9">
      <w:pPr>
        <w:pStyle w:val="Bullet"/>
        <w:numPr>
          <w:ilvl w:val="0"/>
          <w:numId w:val="17"/>
        </w:numPr>
        <w:tabs>
          <w:tab w:val="clear" w:pos="720"/>
        </w:tabs>
        <w:spacing w:before="120" w:line="240" w:lineRule="auto"/>
        <w:ind w:left="357" w:hanging="357"/>
      </w:pPr>
      <w:r>
        <w:t>ability to fi</w:t>
      </w:r>
      <w:r w:rsidR="00BC4F03" w:rsidRPr="00BC4F03">
        <w:t>lter visualisations by relevant variables such as location, date, expenditure.</w:t>
      </w:r>
    </w:p>
    <w:p w14:paraId="4C3356B4" w14:textId="5FA7FFCC" w:rsidR="00BC4F03" w:rsidRPr="00BC4F03" w:rsidRDefault="0009062B" w:rsidP="005241B9">
      <w:pPr>
        <w:pStyle w:val="Bullet"/>
        <w:numPr>
          <w:ilvl w:val="0"/>
          <w:numId w:val="17"/>
        </w:numPr>
        <w:tabs>
          <w:tab w:val="clear" w:pos="720"/>
        </w:tabs>
        <w:spacing w:before="120" w:line="240" w:lineRule="auto"/>
        <w:ind w:left="357" w:hanging="357"/>
      </w:pPr>
      <w:r>
        <w:t>s</w:t>
      </w:r>
      <w:r w:rsidR="00BC4F03" w:rsidRPr="00BC4F03">
        <w:t>ource data either linked or the underlying data available</w:t>
      </w:r>
      <w:r w:rsidR="001A4C05">
        <w:t>.</w:t>
      </w:r>
    </w:p>
    <w:p w14:paraId="6892210A" w14:textId="1F89B1BE" w:rsidR="00BC4F03" w:rsidRPr="00BC4F03" w:rsidRDefault="0009062B" w:rsidP="005241B9">
      <w:pPr>
        <w:pStyle w:val="Bullet"/>
        <w:numPr>
          <w:ilvl w:val="0"/>
          <w:numId w:val="17"/>
        </w:numPr>
        <w:tabs>
          <w:tab w:val="clear" w:pos="720"/>
        </w:tabs>
        <w:spacing w:before="120" w:line="240" w:lineRule="auto"/>
        <w:ind w:left="357" w:hanging="357"/>
      </w:pPr>
      <w:r>
        <w:t>a</w:t>
      </w:r>
      <w:r w:rsidR="00BC4F03" w:rsidRPr="00BC4F03">
        <w:t xml:space="preserve"> legend or definitions or provides contextual clarifications where the visualisation is heavy in jargon or technical information</w:t>
      </w:r>
      <w:r w:rsidR="001A4C05">
        <w:t>.</w:t>
      </w:r>
    </w:p>
    <w:p w14:paraId="490A5AD1" w14:textId="7B2D1127" w:rsidR="00BC4F03" w:rsidRPr="00BC4F03" w:rsidRDefault="00D13383" w:rsidP="005241B9">
      <w:pPr>
        <w:pStyle w:val="Bullet"/>
        <w:numPr>
          <w:ilvl w:val="0"/>
          <w:numId w:val="17"/>
        </w:numPr>
        <w:tabs>
          <w:tab w:val="clear" w:pos="720"/>
        </w:tabs>
        <w:spacing w:before="120" w:line="240" w:lineRule="auto"/>
        <w:ind w:left="357" w:hanging="357"/>
      </w:pPr>
      <w:r>
        <w:t xml:space="preserve">ability to </w:t>
      </w:r>
      <w:r w:rsidR="0009062B">
        <w:t>e</w:t>
      </w:r>
      <w:r w:rsidR="00BC4F03" w:rsidRPr="00BC4F03">
        <w:t xml:space="preserve">xport </w:t>
      </w:r>
      <w:r w:rsidR="001A4C05">
        <w:t>as raw</w:t>
      </w:r>
      <w:r w:rsidR="00BC4F03" w:rsidRPr="00BC4F03">
        <w:t xml:space="preserve"> data, visualisations</w:t>
      </w:r>
      <w:r w:rsidR="0060126A">
        <w:t>,</w:t>
      </w:r>
      <w:r w:rsidR="00BC4F03" w:rsidRPr="00BC4F03">
        <w:t xml:space="preserve"> or </w:t>
      </w:r>
      <w:r w:rsidR="0060126A">
        <w:t>code</w:t>
      </w:r>
      <w:r w:rsidR="00BC4F03" w:rsidRPr="00BC4F03">
        <w:t xml:space="preserve"> to embed the interactive display </w:t>
      </w:r>
      <w:r w:rsidR="0060126A">
        <w:t>elsewhere.</w:t>
      </w:r>
    </w:p>
    <w:p w14:paraId="2D4AEA21" w14:textId="4D6442A3" w:rsidR="00BC4F03" w:rsidRPr="00BC4F03" w:rsidRDefault="0009062B" w:rsidP="005241B9">
      <w:pPr>
        <w:pStyle w:val="Bullet"/>
        <w:numPr>
          <w:ilvl w:val="0"/>
          <w:numId w:val="17"/>
        </w:numPr>
        <w:tabs>
          <w:tab w:val="clear" w:pos="720"/>
        </w:tabs>
        <w:spacing w:before="120" w:line="240" w:lineRule="auto"/>
        <w:ind w:left="357" w:hanging="357"/>
      </w:pPr>
      <w:r>
        <w:t>a</w:t>
      </w:r>
      <w:r w:rsidR="00BC4F03" w:rsidRPr="00BC4F03">
        <w:t>n explanation of what has been done to get from source data to visualisation.</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BC4F03" w14:paraId="3E4A094F" w14:textId="77777777" w:rsidTr="00B11057">
        <w:trPr>
          <w:trHeight w:val="1858"/>
        </w:trPr>
        <w:tc>
          <w:tcPr>
            <w:tcW w:w="5000" w:type="pct"/>
            <w:shd w:val="clear" w:color="auto" w:fill="EEEEEE" w:themeFill="background2"/>
          </w:tcPr>
          <w:p w14:paraId="166FC6CB" w14:textId="4159AB3D" w:rsidR="00BC4F03" w:rsidRPr="002E7103" w:rsidRDefault="002E7103" w:rsidP="002E7103">
            <w:pPr>
              <w:pStyle w:val="BoxHeading"/>
            </w:pPr>
            <w:bookmarkStart w:id="57" w:name="_Ref180498274"/>
            <w:r w:rsidRPr="002E7103">
              <w:t>Information Box 14</w:t>
            </w:r>
            <w:r w:rsidR="00BC4F03" w:rsidRPr="002E7103">
              <w:t xml:space="preserve">: </w:t>
            </w:r>
            <w:r w:rsidR="00354D15" w:rsidRPr="002E7103">
              <w:t>Examples of accessible data</w:t>
            </w:r>
            <w:bookmarkEnd w:id="57"/>
            <w:r w:rsidR="00F9328F" w:rsidRPr="002E7103">
              <w:t xml:space="preserve"> interfaces</w:t>
            </w:r>
          </w:p>
          <w:p w14:paraId="0529F519" w14:textId="3932E502" w:rsidR="000F6BF4" w:rsidRPr="00B11057" w:rsidRDefault="000F6BF4" w:rsidP="002E7103">
            <w:pPr>
              <w:pStyle w:val="BoxText"/>
            </w:pPr>
            <w:r w:rsidRPr="00B11057">
              <w:t>The</w:t>
            </w:r>
            <w:r w:rsidR="008C68BA">
              <w:t xml:space="preserve"> </w:t>
            </w:r>
            <w:r w:rsidR="00043EC3">
              <w:t>dashboard view of the</w:t>
            </w:r>
            <w:r w:rsidR="008C68BA">
              <w:t xml:space="preserve"> </w:t>
            </w:r>
            <w:r w:rsidR="008C68BA" w:rsidRPr="00D13383">
              <w:t>Closing the Gap Information Repository</w:t>
            </w:r>
            <w:r w:rsidR="00141A1A" w:rsidRPr="00D13383">
              <w:fldChar w:fldCharType="begin"/>
            </w:r>
            <w:r w:rsidR="00141A1A" w:rsidRPr="00D13383">
              <w:fldChar w:fldCharType="separate"/>
            </w:r>
            <w:r w:rsidR="00141A1A" w:rsidRPr="00D13383">
              <w:t>dashboard in the Closing the Gap Information Repository</w:t>
            </w:r>
            <w:r w:rsidR="00141A1A" w:rsidRPr="00D13383">
              <w:fldChar w:fldCharType="end"/>
            </w:r>
            <w:r w:rsidR="0038021F">
              <w:t xml:space="preserve"> provide</w:t>
            </w:r>
            <w:r w:rsidRPr="00B11057">
              <w:t>s the most up</w:t>
            </w:r>
            <w:r w:rsidR="00B65D32">
              <w:t>-</w:t>
            </w:r>
            <w:r w:rsidRPr="00B11057">
              <w:t>to</w:t>
            </w:r>
            <w:r w:rsidR="00B65D32">
              <w:t>-</w:t>
            </w:r>
            <w:r w:rsidRPr="00B11057">
              <w:t>date information available on the targets and indicators in the National Agreement on Closing the Gap. It identifies where progress is improving, worsening or unchanged and whether governments are on track to meet agreed targets. The</w:t>
            </w:r>
            <w:r w:rsidR="00D87611">
              <w:t xml:space="preserve"> Closing the Gap</w:t>
            </w:r>
            <w:r w:rsidRPr="00B11057">
              <w:t xml:space="preserve"> </w:t>
            </w:r>
            <w:r w:rsidR="00D87611">
              <w:t>d</w:t>
            </w:r>
            <w:r w:rsidRPr="00B11057">
              <w:t>ashboard is accessible, uses simple visuals, with users able to access more detailed information on each target and indicator. New material is also highlighted.</w:t>
            </w:r>
          </w:p>
          <w:p w14:paraId="35AC7F9F" w14:textId="0E835F87" w:rsidR="000F6BF4" w:rsidRPr="00B11057" w:rsidRDefault="00E00FF8" w:rsidP="002E7103">
            <w:pPr>
              <w:pStyle w:val="BoxText"/>
            </w:pPr>
            <w:r>
              <w:t xml:space="preserve">The </w:t>
            </w:r>
            <w:r w:rsidR="000F6BF4" w:rsidRPr="00B11057">
              <w:t xml:space="preserve">NSW </w:t>
            </w:r>
            <w:r>
              <w:t>g</w:t>
            </w:r>
            <w:r w:rsidR="000F6BF4" w:rsidRPr="00B11057">
              <w:t xml:space="preserve">overnment’s </w:t>
            </w:r>
            <w:r w:rsidR="000F6BF4" w:rsidRPr="00D13383">
              <w:t>AgTrack</w:t>
            </w:r>
            <w:r w:rsidR="000F6BF4" w:rsidRPr="00B11057">
              <w:t xml:space="preserve"> </w:t>
            </w:r>
            <w:r w:rsidR="00B65D32">
              <w:rPr>
                <w:rFonts w:ascii="Calibri" w:hAnsi="Calibri" w:cs="Calibri"/>
              </w:rPr>
              <w:t>—</w:t>
            </w:r>
            <w:r w:rsidR="000F6BF4" w:rsidRPr="00B11057">
              <w:t xml:space="preserve"> Agricultural and Land Use Dashboard </w:t>
            </w:r>
            <w:r w:rsidR="00B65D32">
              <w:rPr>
                <w:rFonts w:ascii="Calibri" w:hAnsi="Calibri" w:cs="Calibri"/>
              </w:rPr>
              <w:t>—</w:t>
            </w:r>
            <w:r w:rsidR="000F6BF4" w:rsidRPr="00B11057">
              <w:t xml:space="preserve"> compiles recent agricultural data on production, value and employment at a state, regional and local government area scale, and presents it in an interactive format. The way it is presented tells a story.</w:t>
            </w:r>
          </w:p>
          <w:p w14:paraId="35A8D1CD" w14:textId="4484F51C" w:rsidR="000F6BF4" w:rsidRPr="00B11057" w:rsidRDefault="00E00FF8" w:rsidP="002E7103">
            <w:pPr>
              <w:pStyle w:val="BoxText"/>
            </w:pPr>
            <w:r>
              <w:t xml:space="preserve">The </w:t>
            </w:r>
            <w:r w:rsidR="000F6BF4" w:rsidRPr="00B11057">
              <w:t xml:space="preserve">QLD </w:t>
            </w:r>
            <w:r>
              <w:t>g</w:t>
            </w:r>
            <w:r w:rsidR="000F6BF4" w:rsidRPr="00B11057">
              <w:t xml:space="preserve">overnment’s </w:t>
            </w:r>
            <w:r w:rsidR="000F6BF4" w:rsidRPr="00D13383">
              <w:t xml:space="preserve">Corruption </w:t>
            </w:r>
            <w:r w:rsidR="00DE44AB">
              <w:t>A</w:t>
            </w:r>
            <w:r w:rsidR="000F6BF4" w:rsidRPr="00D13383">
              <w:t xml:space="preserve">llegations </w:t>
            </w:r>
            <w:r w:rsidR="00DE44AB">
              <w:t>D</w:t>
            </w:r>
            <w:r w:rsidR="000F6BF4" w:rsidRPr="00D13383">
              <w:t xml:space="preserve">ata </w:t>
            </w:r>
            <w:r w:rsidR="00DE44AB">
              <w:t>D</w:t>
            </w:r>
            <w:r w:rsidR="000F6BF4" w:rsidRPr="00D13383">
              <w:t>ashboard</w:t>
            </w:r>
            <w:r w:rsidR="000F6BF4" w:rsidRPr="00B11057">
              <w:t xml:space="preserve"> allows users to interrogate </w:t>
            </w:r>
            <w:r w:rsidR="003E2340">
              <w:t>the QLD</w:t>
            </w:r>
            <w:r w:rsidR="000F6BF4" w:rsidRPr="00B11057">
              <w:t xml:space="preserve"> Crime and Corruption Commission’s data. Data is provided over time and can be filtered by year, sector and crime. A glossary of terms and frequently asked questions are also provided.</w:t>
            </w:r>
          </w:p>
          <w:p w14:paraId="2885738D" w14:textId="2867FEAF" w:rsidR="000F6BF4" w:rsidRPr="00B11057" w:rsidRDefault="000F6BF4" w:rsidP="002E7103">
            <w:pPr>
              <w:pStyle w:val="BoxText"/>
            </w:pPr>
            <w:r w:rsidRPr="00B11057">
              <w:t>Statistics Canada</w:t>
            </w:r>
            <w:r w:rsidR="003E2340">
              <w:t>’s</w:t>
            </w:r>
            <w:r w:rsidRPr="00B11057">
              <w:t xml:space="preserve"> </w:t>
            </w:r>
            <w:r w:rsidRPr="00D13383">
              <w:t>Aviation Data Visualization Hub</w:t>
            </w:r>
            <w:r w:rsidRPr="00B11057">
              <w:t xml:space="preserve"> provides civil aviation indicators and information on aircraft movements and airport activity. Additional explanatory information, including relevant definitions, is provided as well as links where further information can be founded. A </w:t>
            </w:r>
            <w:r w:rsidR="006F0E2E">
              <w:t>‘</w:t>
            </w:r>
            <w:r w:rsidRPr="00B11057">
              <w:t>how to use</w:t>
            </w:r>
            <w:r w:rsidR="006F0E2E">
              <w:t>’</w:t>
            </w:r>
            <w:r w:rsidRPr="00B11057">
              <w:t xml:space="preserve"> guide is provided.</w:t>
            </w:r>
          </w:p>
          <w:p w14:paraId="45F97A81" w14:textId="32F26EB0" w:rsidR="000F6BF4" w:rsidRPr="00B11057" w:rsidRDefault="000F6BF4" w:rsidP="002E7103">
            <w:pPr>
              <w:pStyle w:val="BoxText"/>
            </w:pPr>
            <w:r w:rsidRPr="00B11057">
              <w:t>World Bank Group</w:t>
            </w:r>
            <w:r w:rsidR="002351E0">
              <w:t>’s</w:t>
            </w:r>
            <w:r w:rsidRPr="00B11057">
              <w:t xml:space="preserve"> </w:t>
            </w:r>
            <w:r w:rsidRPr="00D13383">
              <w:t>DataBank</w:t>
            </w:r>
            <w:r w:rsidRPr="00B11057">
              <w:t xml:space="preserve"> is an analysis and visualisation tool that contains collections of time series data on a variety of topics, including world development indicators and health and education statistics. Users </w:t>
            </w:r>
            <w:r w:rsidR="00606082">
              <w:t>can</w:t>
            </w:r>
            <w:r w:rsidRPr="00B11057">
              <w:t xml:space="preserve"> create their own report based on available datasets. Information can be viewed as a table, chart or map.</w:t>
            </w:r>
          </w:p>
          <w:p w14:paraId="76949CA3" w14:textId="30E58193" w:rsidR="00BC4F03" w:rsidRPr="0011590D" w:rsidRDefault="00BC4F03" w:rsidP="00D65EB1">
            <w:pPr>
              <w:pStyle w:val="ChartorTableNote"/>
            </w:pPr>
            <w:r w:rsidRPr="0011590D">
              <w:t>Source</w:t>
            </w:r>
            <w:r w:rsidR="000F6BF4">
              <w:t>s</w:t>
            </w:r>
            <w:r w:rsidRPr="0011590D">
              <w:t>:</w:t>
            </w:r>
            <w:r>
              <w:t xml:space="preserve"> </w:t>
            </w:r>
            <w:r w:rsidR="00557591">
              <w:t>(PC 2024c; NSW Government 2024; Queensland Crime and Corruption Commission 2024; Statistics Canada 2024; World Bank 2024)</w:t>
            </w:r>
          </w:p>
        </w:tc>
      </w:tr>
    </w:tbl>
    <w:p w14:paraId="38254D48" w14:textId="7C55FB80" w:rsidR="00CB05C4" w:rsidRDefault="00CB05C4" w:rsidP="009A717A">
      <w:r w:rsidRPr="00C2493A">
        <w:t xml:space="preserve">Roundtable participants also supported </w:t>
      </w:r>
      <w:r w:rsidRPr="000C52C8">
        <w:t>changes in the presentation of data to reflect the interrelated nature</w:t>
      </w:r>
      <w:r w:rsidRPr="00C2493A">
        <w:t xml:space="preserve"> of service delivery and outcomes</w:t>
      </w:r>
      <w:r w:rsidR="00554F99">
        <w:t>. For example</w:t>
      </w:r>
      <w:r w:rsidRPr="00C2493A">
        <w:t>, the interface between the health, aged care and disability services sectors.</w:t>
      </w:r>
      <w:r>
        <w:t xml:space="preserve"> This can be addressed by enabling users to select data across policy areas.</w:t>
      </w:r>
    </w:p>
    <w:p w14:paraId="7E06DB8A" w14:textId="51255A49" w:rsidR="00CB05C4" w:rsidRPr="00F02A40" w:rsidRDefault="007429F2" w:rsidP="009A717A">
      <w:r w:rsidRPr="0084557C">
        <w:t xml:space="preserve">Some </w:t>
      </w:r>
      <w:r w:rsidR="0084557C">
        <w:t>non</w:t>
      </w:r>
      <w:r w:rsidR="00B65D32">
        <w:t>-</w:t>
      </w:r>
      <w:r w:rsidR="0084557C">
        <w:t>government</w:t>
      </w:r>
      <w:r w:rsidRPr="0084557C">
        <w:t xml:space="preserve"> stakeholders indicated the visibility of the RoGS was</w:t>
      </w:r>
      <w:r w:rsidR="0084557C">
        <w:t xml:space="preserve"> </w:t>
      </w:r>
      <w:r w:rsidR="00A80BA4">
        <w:t>low</w:t>
      </w:r>
      <w:r w:rsidRPr="0084557C">
        <w:t xml:space="preserve">. </w:t>
      </w:r>
      <w:r w:rsidR="00CB05C4">
        <w:t>The</w:t>
      </w:r>
      <w:r w:rsidR="00850190">
        <w:t xml:space="preserve"> </w:t>
      </w:r>
      <w:r w:rsidR="0084557C" w:rsidRPr="0084557C">
        <w:t>Review believes making the design of the product more user</w:t>
      </w:r>
      <w:r w:rsidR="00B65D32">
        <w:t>-</w:t>
      </w:r>
      <w:r w:rsidR="0084557C" w:rsidRPr="0084557C">
        <w:t>centred will boost its visibility among the public</w:t>
      </w:r>
      <w:r w:rsidR="0084557C">
        <w:t>, particularly for NGOs</w:t>
      </w:r>
      <w:r w:rsidR="0084557C" w:rsidRPr="0084557C">
        <w:t>. To further assist in raising the profile of the RoGS, t</w:t>
      </w:r>
      <w:r w:rsidR="00CB05C4" w:rsidRPr="0084557C">
        <w:t>he</w:t>
      </w:r>
      <w:r w:rsidR="00850190" w:rsidRPr="0084557C">
        <w:t xml:space="preserve"> </w:t>
      </w:r>
      <w:r w:rsidR="00850190">
        <w:t>RGSP</w:t>
      </w:r>
      <w:r w:rsidR="00CB05C4">
        <w:t xml:space="preserve"> Secretariat could </w:t>
      </w:r>
      <w:r w:rsidRPr="0084557C">
        <w:t>also</w:t>
      </w:r>
      <w:r w:rsidR="00CB05C4" w:rsidRPr="0084557C">
        <w:t xml:space="preserve"> </w:t>
      </w:r>
      <w:r w:rsidR="00CB05C4">
        <w:t>provide more information for the media and non</w:t>
      </w:r>
      <w:r w:rsidR="00B65D32">
        <w:t>-</w:t>
      </w:r>
      <w:r w:rsidR="00CB05C4">
        <w:t xml:space="preserve">government stakeholders following the release, to help them understand the material. For example, the </w:t>
      </w:r>
      <w:r w:rsidR="00F237CF">
        <w:t xml:space="preserve">RGSP </w:t>
      </w:r>
      <w:r w:rsidR="00CB05C4">
        <w:t>Secretariat could</w:t>
      </w:r>
      <w:r w:rsidR="00CB05C4" w:rsidRPr="00530FA3">
        <w:t xml:space="preserve"> provide more guidance and support on how to use and interpret the data</w:t>
      </w:r>
      <w:r w:rsidR="00CB05C4">
        <w:t>, especially for non</w:t>
      </w:r>
      <w:r w:rsidR="00B65D32">
        <w:t>-</w:t>
      </w:r>
      <w:r w:rsidR="00CB05C4">
        <w:t>technical users, or provide a briefing for the media, in line with guidelines developed and agreed by the Steering Committee.</w:t>
      </w:r>
      <w:r w:rsidRPr="0084557C">
        <w:t xml:space="preserve"> A greater role for the community will also likely be beneficial for promotion </w:t>
      </w:r>
      <w:r w:rsidR="00B65D32">
        <w:rPr>
          <w:rFonts w:ascii="Calibri" w:hAnsi="Calibri" w:cs="Calibri"/>
        </w:rPr>
        <w:t>—</w:t>
      </w:r>
      <w:r w:rsidRPr="0084557C">
        <w:t>an idea explored further below.</w:t>
      </w:r>
    </w:p>
    <w:p w14:paraId="5BC5E9D3" w14:textId="1AF7CFFF" w:rsidR="00714576" w:rsidRDefault="00714576" w:rsidP="009A717A">
      <w:r w:rsidRPr="005F6FD0">
        <w:t xml:space="preserve">The </w:t>
      </w:r>
      <w:r w:rsidR="00CC4990">
        <w:t xml:space="preserve">Review recommends the </w:t>
      </w:r>
      <w:r w:rsidRPr="005F6FD0">
        <w:t>Steering Committee revamp the presentation of the RoGS by 202</w:t>
      </w:r>
      <w:r>
        <w:t>7</w:t>
      </w:r>
      <w:r w:rsidRPr="005F6FD0">
        <w:t>.</w:t>
      </w:r>
      <w:r w:rsidRPr="00F02A40">
        <w:t xml:space="preserve"> </w:t>
      </w:r>
      <w:r w:rsidRPr="004A11D9">
        <w:t>Users should be able to interact with</w:t>
      </w:r>
      <w:r>
        <w:t xml:space="preserve">, analyse, compare </w:t>
      </w:r>
      <w:r w:rsidRPr="004A11D9">
        <w:t>and visualise all data in one place</w:t>
      </w:r>
      <w:r>
        <w:t>. This would</w:t>
      </w:r>
      <w:r w:rsidRPr="004A11D9">
        <w:t xml:space="preserve"> allow them to easily generate data insights relevant to their individual or organisational needs. </w:t>
      </w:r>
      <w:r>
        <w:t>The</w:t>
      </w:r>
      <w:r w:rsidRPr="004A11D9">
        <w:t xml:space="preserve"> new interface </w:t>
      </w:r>
      <w:r>
        <w:t>should be developed</w:t>
      </w:r>
      <w:r w:rsidRPr="004A11D9">
        <w:t xml:space="preserve"> in consultation with government and non</w:t>
      </w:r>
      <w:r w:rsidR="00B65D32">
        <w:t>-</w:t>
      </w:r>
      <w:r w:rsidRPr="004A11D9">
        <w:t>government users</w:t>
      </w:r>
      <w:r>
        <w:t>, drawing on the experience and expertise of other data publication agencies</w:t>
      </w:r>
      <w:r w:rsidR="008531EC">
        <w:t xml:space="preserve"> in Australia and internationally</w:t>
      </w:r>
      <w:r>
        <w:t xml:space="preserve">. </w:t>
      </w:r>
      <w:r w:rsidR="009C63A6">
        <w:t xml:space="preserve">This revamp should be part of </w:t>
      </w:r>
      <w:r w:rsidR="00442922">
        <w:t xml:space="preserve">continuous improvement </w:t>
      </w:r>
      <w:r w:rsidR="00B26185">
        <w:t>for</w:t>
      </w:r>
      <w:r w:rsidR="00442922">
        <w:t xml:space="preserve"> the RoGS</w:t>
      </w:r>
      <w:r w:rsidR="001C32C8">
        <w:t xml:space="preserve"> and as part of the redesign of the Productivity Commission’s website.</w:t>
      </w:r>
    </w:p>
    <w:p w14:paraId="0859B0A6" w14:textId="14C4E945" w:rsidR="00F45D4A" w:rsidRPr="00F02A40" w:rsidRDefault="00F45D4A" w:rsidP="009A717A">
      <w:r w:rsidRPr="00F45D4A">
        <w:t xml:space="preserve">Attention should </w:t>
      </w:r>
      <w:r w:rsidR="009C205F">
        <w:t xml:space="preserve">also </w:t>
      </w:r>
      <w:r w:rsidRPr="00F45D4A">
        <w:t>be paid to how non</w:t>
      </w:r>
      <w:r w:rsidR="00B26185">
        <w:noBreakHyphen/>
      </w:r>
      <w:r w:rsidRPr="00F45D4A">
        <w:t xml:space="preserve">comparable data is presented, </w:t>
      </w:r>
      <w:r w:rsidR="009C205F">
        <w:t>that is</w:t>
      </w:r>
      <w:r w:rsidRPr="00F45D4A">
        <w:t xml:space="preserve"> it needs to be very clear where data is not comparable.</w:t>
      </w:r>
    </w:p>
    <w:p w14:paraId="32D50344" w14:textId="0258A7AA" w:rsidR="00B27FF2" w:rsidRDefault="001171FD" w:rsidP="001171FD">
      <w:pPr>
        <w:pStyle w:val="Heading2"/>
      </w:pPr>
      <w:r>
        <w:t>Governance and production process</w:t>
      </w:r>
    </w:p>
    <w:p w14:paraId="6D5B6637" w14:textId="0939EF04" w:rsidR="00F80EDF" w:rsidRPr="00A60B6D" w:rsidRDefault="00F80EDF" w:rsidP="009A717A">
      <w:r>
        <w:t xml:space="preserve">As </w:t>
      </w:r>
      <w:r w:rsidR="00426F44">
        <w:t xml:space="preserve">previously </w:t>
      </w:r>
      <w:r>
        <w:t xml:space="preserve">outlined </w:t>
      </w:r>
      <w:r w:rsidR="006E302A">
        <w:t>(</w:t>
      </w:r>
      <w:r w:rsidR="00D276C7" w:rsidRPr="00D276C7">
        <w:rPr>
          <w:i/>
          <w:iCs/>
        </w:rPr>
        <w:t>Chapter 3: The approach to performance reporting</w:t>
      </w:r>
      <w:r w:rsidR="006E302A">
        <w:rPr>
          <w:i/>
          <w:iCs/>
        </w:rPr>
        <w:t>)</w:t>
      </w:r>
      <w:r>
        <w:t>, stakeholders noted that the Steering Committee provides a valuable forum for interjurisdictional engagement and consensus building on measuring government performance. However, the governance and production process</w:t>
      </w:r>
      <w:r w:rsidR="00067F21">
        <w:t>es</w:t>
      </w:r>
      <w:r>
        <w:t xml:space="preserve"> do not adequately include and benefit from the perspectives of non</w:t>
      </w:r>
      <w:r w:rsidR="00B65D32">
        <w:t>-</w:t>
      </w:r>
      <w:r>
        <w:t xml:space="preserve">government representatives, including the </w:t>
      </w:r>
      <w:r w:rsidRPr="002530DC">
        <w:t xml:space="preserve">voices of </w:t>
      </w:r>
      <w:r>
        <w:t>First Nations</w:t>
      </w:r>
      <w:r w:rsidRPr="002530DC">
        <w:t xml:space="preserve"> people and </w:t>
      </w:r>
      <w:r w:rsidR="00B32D89">
        <w:t xml:space="preserve">representative </w:t>
      </w:r>
      <w:r w:rsidRPr="002530DC">
        <w:t>organisations</w:t>
      </w:r>
      <w:r>
        <w:t xml:space="preserve">, </w:t>
      </w:r>
      <w:r w:rsidRPr="00A60B6D">
        <w:t>in both technical and strategic conversations.</w:t>
      </w:r>
    </w:p>
    <w:p w14:paraId="666D2BE3" w14:textId="143B619B" w:rsidR="00F80EDF" w:rsidRPr="001F34AB" w:rsidRDefault="00D971E1" w:rsidP="009A717A">
      <w:r>
        <w:t>Several</w:t>
      </w:r>
      <w:r w:rsidR="00F80EDF" w:rsidRPr="001F34AB">
        <w:t xml:space="preserve"> </w:t>
      </w:r>
      <w:r w:rsidR="00F80EDF">
        <w:t>stakeholders</w:t>
      </w:r>
      <w:r w:rsidR="001816D1">
        <w:t>, particular</w:t>
      </w:r>
      <w:r w:rsidR="00520F7F">
        <w:t>ly</w:t>
      </w:r>
      <w:r w:rsidR="001816D1">
        <w:t xml:space="preserve"> those outside of government, </w:t>
      </w:r>
      <w:r w:rsidR="00F80EDF">
        <w:t xml:space="preserve">were </w:t>
      </w:r>
      <w:r w:rsidR="00F80EDF" w:rsidRPr="001F34AB">
        <w:t>concern</w:t>
      </w:r>
      <w:r w:rsidR="00F80EDF">
        <w:t>ed</w:t>
      </w:r>
      <w:r w:rsidR="00F80EDF" w:rsidRPr="001F34AB">
        <w:t xml:space="preserve"> that the RoGS failed to capture what they consider to be key metrics of service effectiveness and </w:t>
      </w:r>
      <w:r w:rsidR="00F80EDF">
        <w:t>expressed</w:t>
      </w:r>
      <w:r w:rsidR="00F80EDF" w:rsidRPr="001F34AB">
        <w:t xml:space="preserve"> a desire </w:t>
      </w:r>
      <w:r w:rsidR="00F80EDF">
        <w:t xml:space="preserve">to be more involved </w:t>
      </w:r>
      <w:r w:rsidR="00F80EDF" w:rsidRPr="001F34AB">
        <w:t xml:space="preserve">in the development and reporting of indicators. </w:t>
      </w:r>
    </w:p>
    <w:p w14:paraId="0539907D" w14:textId="3AD59ACF" w:rsidR="00F80EDF" w:rsidRDefault="00F80EDF" w:rsidP="009A717A">
      <w:r w:rsidRPr="00332950">
        <w:t xml:space="preserve">The community is </w:t>
      </w:r>
      <w:r w:rsidR="001816D1">
        <w:t xml:space="preserve">already </w:t>
      </w:r>
      <w:r w:rsidRPr="00332950">
        <w:t xml:space="preserve">represented on </w:t>
      </w:r>
      <w:r w:rsidR="00BA7E23">
        <w:t xml:space="preserve">many </w:t>
      </w:r>
      <w:r w:rsidRPr="00332950">
        <w:t>data collection and governance bodies across a range of sectors, including justice, disability, and housing (</w:t>
      </w:r>
      <w:r w:rsidR="00427FAB" w:rsidRPr="00427FAB">
        <w:rPr>
          <w:i/>
          <w:iCs/>
        </w:rPr>
        <w:t>Information</w:t>
      </w:r>
      <w:r w:rsidR="00427FAB" w:rsidRPr="006941D6">
        <w:t xml:space="preserve"> Box 15: Community involvement in technical decision-making and governance</w:t>
      </w:r>
      <w:r w:rsidRPr="00332950">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1D133B" w14:paraId="5B6E88AB" w14:textId="77777777" w:rsidTr="00B11057">
        <w:trPr>
          <w:trHeight w:val="1858"/>
        </w:trPr>
        <w:tc>
          <w:tcPr>
            <w:tcW w:w="5000" w:type="pct"/>
            <w:shd w:val="clear" w:color="auto" w:fill="EEEEEE" w:themeFill="background2"/>
          </w:tcPr>
          <w:p w14:paraId="05AA4B32" w14:textId="1DA0D897" w:rsidR="001D133B" w:rsidRPr="006941D6" w:rsidRDefault="002E7103" w:rsidP="006941D6">
            <w:pPr>
              <w:pStyle w:val="BoxHeading"/>
            </w:pPr>
            <w:bookmarkStart w:id="58" w:name="_Ref180653604"/>
            <w:r w:rsidRPr="006941D6">
              <w:t>Information Box 15</w:t>
            </w:r>
            <w:r w:rsidR="001D133B" w:rsidRPr="006941D6">
              <w:t xml:space="preserve">: </w:t>
            </w:r>
            <w:r w:rsidR="004E27EF" w:rsidRPr="006941D6">
              <w:t>Community involvement in technical decision</w:t>
            </w:r>
            <w:r w:rsidR="00B65D32" w:rsidRPr="006941D6">
              <w:t>-</w:t>
            </w:r>
            <w:r w:rsidR="004E27EF" w:rsidRPr="006941D6">
              <w:t>making and governance</w:t>
            </w:r>
            <w:bookmarkEnd w:id="58"/>
          </w:p>
          <w:p w14:paraId="0290EE40" w14:textId="6F4CEB0A" w:rsidR="005162E1" w:rsidRPr="00730686" w:rsidRDefault="005162E1" w:rsidP="006941D6">
            <w:pPr>
              <w:pStyle w:val="BoxText"/>
            </w:pPr>
            <w:r w:rsidRPr="00730686">
              <w:t xml:space="preserve">Members of the community play an important role in helping governments make decisions. Across all levels of government, community and consumer representatives sit on committees and advisory groups to give a voice to the community they represent. </w:t>
            </w:r>
          </w:p>
          <w:p w14:paraId="0D10CD8B" w14:textId="6C2C3A82" w:rsidR="005162E1" w:rsidRPr="00730686" w:rsidRDefault="005162E1" w:rsidP="006941D6">
            <w:pPr>
              <w:pStyle w:val="BoxText"/>
            </w:pPr>
            <w:r w:rsidRPr="00730686">
              <w:t xml:space="preserve">At the national level, community representation on government committees and advisory groups is </w:t>
            </w:r>
            <w:r w:rsidR="0069528E">
              <w:t>common</w:t>
            </w:r>
            <w:r w:rsidR="0069528E" w:rsidRPr="00730686">
              <w:t xml:space="preserve"> </w:t>
            </w:r>
            <w:r w:rsidRPr="00730686">
              <w:t xml:space="preserve">in the health sector. Most people are eligible to sit on these committees as a community representative, however, these positions are usually filled by a person representing a distinct advocacy group. Even though leaders of advocacy groups </w:t>
            </w:r>
            <w:r w:rsidR="0069528E">
              <w:t>might have</w:t>
            </w:r>
            <w:r w:rsidR="0069528E" w:rsidRPr="00730686">
              <w:t xml:space="preserve"> </w:t>
            </w:r>
            <w:r w:rsidRPr="00730686">
              <w:t>more subject matter expert</w:t>
            </w:r>
            <w:r w:rsidR="0069528E">
              <w:t>i</w:t>
            </w:r>
            <w:r w:rsidRPr="00730686">
              <w:t>s</w:t>
            </w:r>
            <w:r w:rsidR="0069528E">
              <w:t>e</w:t>
            </w:r>
            <w:r w:rsidRPr="00730686">
              <w:t xml:space="preserve"> than </w:t>
            </w:r>
            <w:r w:rsidR="0069528E">
              <w:t xml:space="preserve">ordinary </w:t>
            </w:r>
            <w:r w:rsidRPr="00730686">
              <w:t xml:space="preserve">community members, they bring </w:t>
            </w:r>
            <w:r w:rsidR="0069528E">
              <w:t xml:space="preserve">new perspectives and often lived </w:t>
            </w:r>
            <w:r w:rsidR="00C46FB1">
              <w:t>experience</w:t>
            </w:r>
            <w:r w:rsidRPr="00730686">
              <w:t xml:space="preserve"> and to </w:t>
            </w:r>
            <w:r w:rsidR="0069528E">
              <w:t xml:space="preserve">the work of </w:t>
            </w:r>
            <w:r w:rsidRPr="00730686">
              <w:t xml:space="preserve">committees. </w:t>
            </w:r>
          </w:p>
          <w:p w14:paraId="58A9FB21" w14:textId="458C743B" w:rsidR="005162E1" w:rsidRDefault="005162E1" w:rsidP="006941D6">
            <w:pPr>
              <w:pStyle w:val="BoxText"/>
            </w:pPr>
            <w:r w:rsidRPr="00730686">
              <w:t xml:space="preserve">For example, the Perinatal Mental Health pilot Governance Committee has </w:t>
            </w:r>
            <w:r w:rsidR="00174363">
              <w:t>2</w:t>
            </w:r>
            <w:r w:rsidRPr="00730686">
              <w:t xml:space="preserve"> positions for community members. These community members, who contribute advice on data collection </w:t>
            </w:r>
            <w:r w:rsidR="00BA7F29">
              <w:t>for</w:t>
            </w:r>
            <w:r w:rsidRPr="00730686">
              <w:t xml:space="preserve"> perinatal mental health screening, are representatives of Perinatal Anxiety and Depression Australia (PANDA). PANDA provides support to approximately 10,000 people per year and is a prominent representative of the perinatal mental health and wellbeing community.</w:t>
            </w:r>
          </w:p>
          <w:p w14:paraId="1CD2142D" w14:textId="73450CC2" w:rsidR="00653FDB" w:rsidRPr="00730686" w:rsidRDefault="00653FDB" w:rsidP="006941D6">
            <w:pPr>
              <w:pStyle w:val="BoxText"/>
            </w:pPr>
            <w:r>
              <w:t xml:space="preserve">Community </w:t>
            </w:r>
            <w:r w:rsidR="00610530">
              <w:t>perspectives are als</w:t>
            </w:r>
            <w:r w:rsidR="00473E79">
              <w:t xml:space="preserve">o gathered by governments in other ways, including </w:t>
            </w:r>
            <w:r w:rsidR="00C608C2">
              <w:t>to</w:t>
            </w:r>
            <w:r w:rsidR="007F367C">
              <w:t xml:space="preserve"> develo</w:t>
            </w:r>
            <w:r w:rsidR="00C608C2">
              <w:t>p</w:t>
            </w:r>
            <w:r w:rsidR="007F367C">
              <w:t xml:space="preserve"> major technical reports and </w:t>
            </w:r>
            <w:r w:rsidR="00C608C2">
              <w:t>oversee</w:t>
            </w:r>
            <w:r w:rsidR="007F367C">
              <w:t xml:space="preserve"> agreements. </w:t>
            </w:r>
            <w:r w:rsidR="007F367C" w:rsidRPr="00730686">
              <w:t xml:space="preserve">For example, </w:t>
            </w:r>
            <w:r w:rsidR="007F367C">
              <w:t xml:space="preserve">the </w:t>
            </w:r>
            <w:r w:rsidR="007F367C" w:rsidRPr="00730686">
              <w:t xml:space="preserve">Census gains community input from surveys, </w:t>
            </w:r>
            <w:r w:rsidR="007F367C">
              <w:t xml:space="preserve">the AIHW’s </w:t>
            </w:r>
            <w:r w:rsidR="007F367C" w:rsidRPr="00B05F58">
              <w:t>Australia’s Health</w:t>
            </w:r>
            <w:r w:rsidR="007F367C" w:rsidRPr="00730686">
              <w:t xml:space="preserve"> draws expertise from advisory groups with community representation</w:t>
            </w:r>
            <w:r w:rsidR="007F367C">
              <w:t xml:space="preserve">, and </w:t>
            </w:r>
            <w:r w:rsidR="00BB7BC3">
              <w:t>t</w:t>
            </w:r>
            <w:r w:rsidR="00BB7BC3" w:rsidRPr="00730686">
              <w:t xml:space="preserve">he </w:t>
            </w:r>
            <w:r w:rsidR="00BB7BC3" w:rsidRPr="00B05F58">
              <w:t>Closing the Gap</w:t>
            </w:r>
            <w:r w:rsidR="00BB7BC3" w:rsidRPr="00ED68A5">
              <w:rPr>
                <w:i/>
              </w:rPr>
              <w:t xml:space="preserve"> </w:t>
            </w:r>
            <w:r w:rsidR="00BB7BC3">
              <w:t>agreement</w:t>
            </w:r>
            <w:r w:rsidR="00BB7BC3" w:rsidRPr="00730686">
              <w:t xml:space="preserve"> </w:t>
            </w:r>
            <w:r w:rsidR="00BB7BC3">
              <w:t xml:space="preserve">is supported by a Joint Council comprising representatives from governments and the </w:t>
            </w:r>
            <w:r w:rsidR="00BB7BC3" w:rsidRPr="002140AE">
              <w:t>Coalition of Aboriginal and Torres Strait Islander Peak Organisations</w:t>
            </w:r>
            <w:r w:rsidR="00BB7BC3">
              <w:t>.</w:t>
            </w:r>
          </w:p>
          <w:p w14:paraId="55488DA3" w14:textId="7EF76391" w:rsidR="001D133B" w:rsidRPr="00C44AF3" w:rsidRDefault="001D133B" w:rsidP="00D65EB1">
            <w:pPr>
              <w:pStyle w:val="ChartorTableNote"/>
            </w:pPr>
            <w:r w:rsidRPr="00C44AF3">
              <w:t xml:space="preserve">Sources: </w:t>
            </w:r>
            <w:r w:rsidR="00557591">
              <w:rPr>
                <w:noProof/>
              </w:rPr>
              <w:t>(AIHW 2018, 2024b, 2024e, 2024f, 2024g; ABS 2024b; PANDA 2022; Commonwealth of Australia 2024a)</w:t>
            </w:r>
          </w:p>
        </w:tc>
      </w:tr>
    </w:tbl>
    <w:p w14:paraId="16AF7881" w14:textId="43B2EE6C" w:rsidR="00F8765F" w:rsidRDefault="000148DC" w:rsidP="000148DC">
      <w:pPr>
        <w:spacing w:before="240"/>
      </w:pPr>
      <w:r>
        <w:t>There are a range of ways, non</w:t>
      </w:r>
      <w:r w:rsidR="00B65D32">
        <w:t>-</w:t>
      </w:r>
      <w:r>
        <w:t xml:space="preserve">government stakeholders could be involved in the </w:t>
      </w:r>
      <w:r w:rsidR="004E6C22">
        <w:t xml:space="preserve">RoGS </w:t>
      </w:r>
      <w:r>
        <w:t xml:space="preserve">process. For example, in targeted consultation on indicators under development or areas for improvement, in open conversations with academics and researchers, </w:t>
      </w:r>
      <w:r w:rsidRPr="005047D3">
        <w:t>collaborati</w:t>
      </w:r>
      <w:r>
        <w:t>ng</w:t>
      </w:r>
      <w:r w:rsidRPr="005047D3">
        <w:t xml:space="preserve"> with existing community linked advisory groups, such as the Primary Health Care Advisory </w:t>
      </w:r>
      <w:r w:rsidR="00F9132F">
        <w:t>Committee</w:t>
      </w:r>
      <w:r>
        <w:t>, or via establishing a new advisory group.</w:t>
      </w:r>
      <w:r w:rsidR="003502D7">
        <w:t xml:space="preserve"> </w:t>
      </w:r>
      <w:r w:rsidR="00F8765F">
        <w:t>Depending on their design, options that increase the number of parties involved in producing the RoGS might affect how quickly consensus can be reached</w:t>
      </w:r>
      <w:r w:rsidR="00707A4F">
        <w:t xml:space="preserve"> and impose additional costs on community groups and the RGSP Secretariat. These issues should be considered in determining the best approach.</w:t>
      </w:r>
    </w:p>
    <w:p w14:paraId="56D96340" w14:textId="5C809339" w:rsidR="000148DC" w:rsidRDefault="00F31C36" w:rsidP="000148DC">
      <w:r>
        <w:t>The Review understands that t</w:t>
      </w:r>
      <w:r w:rsidR="000148DC">
        <w:t xml:space="preserve">he </w:t>
      </w:r>
      <w:r w:rsidR="00707A4F">
        <w:t xml:space="preserve">RGSP </w:t>
      </w:r>
      <w:r w:rsidR="000148DC">
        <w:t xml:space="preserve">Secretariat has </w:t>
      </w:r>
      <w:r>
        <w:t xml:space="preserve">recently </w:t>
      </w:r>
      <w:r w:rsidR="000148DC">
        <w:t xml:space="preserve">started to engage more with </w:t>
      </w:r>
      <w:r w:rsidR="00B3676D">
        <w:br/>
      </w:r>
      <w:r w:rsidR="000148DC">
        <w:t>non</w:t>
      </w:r>
      <w:r w:rsidR="00B65D32">
        <w:t>-</w:t>
      </w:r>
      <w:r w:rsidR="000148DC">
        <w:t>government groups throughout the</w:t>
      </w:r>
      <w:r>
        <w:t xml:space="preserve"> RoGS</w:t>
      </w:r>
      <w:r w:rsidR="000148DC">
        <w:t xml:space="preserve"> process. N</w:t>
      </w:r>
      <w:r w:rsidR="000148DC" w:rsidRPr="008D3613">
        <w:t>on</w:t>
      </w:r>
      <w:r w:rsidR="00B65D32">
        <w:t>-</w:t>
      </w:r>
      <w:r w:rsidR="000148DC" w:rsidRPr="008D3613">
        <w:t xml:space="preserve">government organisations </w:t>
      </w:r>
      <w:r w:rsidR="000148DC">
        <w:t xml:space="preserve">have been consulted </w:t>
      </w:r>
      <w:r w:rsidR="000148DC" w:rsidRPr="008D3613">
        <w:t xml:space="preserve">to understand where they see data gaps and </w:t>
      </w:r>
      <w:r w:rsidR="00B3676D">
        <w:t xml:space="preserve">on </w:t>
      </w:r>
      <w:r w:rsidR="000148DC" w:rsidRPr="008D3613">
        <w:t xml:space="preserve">what information would be helpful for them in advocating for </w:t>
      </w:r>
      <w:r w:rsidR="000148DC">
        <w:t>improvements in</w:t>
      </w:r>
      <w:r w:rsidR="000148DC" w:rsidRPr="008D3613">
        <w:t xml:space="preserve"> government performance</w:t>
      </w:r>
      <w:r w:rsidR="000148DC">
        <w:t>. R</w:t>
      </w:r>
      <w:r w:rsidR="000148DC" w:rsidRPr="008D3613">
        <w:t>esearchers</w:t>
      </w:r>
      <w:r w:rsidR="000148DC">
        <w:t xml:space="preserve"> have been engaged</w:t>
      </w:r>
      <w:r w:rsidR="000148DC" w:rsidRPr="008D3613">
        <w:t xml:space="preserve"> about data pilots that could generate new insights for performance reporting</w:t>
      </w:r>
      <w:r w:rsidR="00834DED">
        <w:t>, including linked datasets</w:t>
      </w:r>
      <w:r w:rsidR="000148DC">
        <w:t xml:space="preserve">. </w:t>
      </w:r>
      <w:r w:rsidR="005117A4">
        <w:t>Service c</w:t>
      </w:r>
      <w:r w:rsidR="000148DC" w:rsidRPr="008D3613">
        <w:t xml:space="preserve">onsumers and people with lived experience </w:t>
      </w:r>
      <w:r w:rsidR="000148DC">
        <w:t>have been consulted t</w:t>
      </w:r>
      <w:r w:rsidR="000148DC" w:rsidRPr="008D3613">
        <w:t xml:space="preserve">o help inform the </w:t>
      </w:r>
      <w:r w:rsidR="008D7474">
        <w:t>development</w:t>
      </w:r>
      <w:r w:rsidR="008D7474" w:rsidRPr="008D3613">
        <w:t xml:space="preserve"> </w:t>
      </w:r>
      <w:r w:rsidR="000148DC" w:rsidRPr="008D3613">
        <w:t>of new indicators and measures</w:t>
      </w:r>
      <w:r w:rsidR="000148DC">
        <w:t>, f</w:t>
      </w:r>
      <w:r w:rsidR="000148DC" w:rsidRPr="008D3613">
        <w:t>or example</w:t>
      </w:r>
      <w:r w:rsidR="000148DC">
        <w:t>, in</w:t>
      </w:r>
      <w:r w:rsidR="000148DC" w:rsidRPr="008D3613">
        <w:t xml:space="preserve"> recent work to design new measures on adverse events in mental health settings.</w:t>
      </w:r>
    </w:p>
    <w:p w14:paraId="6CC16AEF" w14:textId="22686A8C" w:rsidR="000148DC" w:rsidRPr="00C55317" w:rsidRDefault="000148DC" w:rsidP="009A717A">
      <w:r w:rsidRPr="00C55317">
        <w:t xml:space="preserve">The </w:t>
      </w:r>
      <w:r w:rsidR="00AB396D">
        <w:t xml:space="preserve">RGSP </w:t>
      </w:r>
      <w:r w:rsidRPr="00C55317">
        <w:t>Secretariat is also accessible via the P</w:t>
      </w:r>
      <w:r w:rsidR="00632500">
        <w:t>C</w:t>
      </w:r>
      <w:r w:rsidR="007C16D5">
        <w:t xml:space="preserve"> </w:t>
      </w:r>
      <w:r w:rsidRPr="00C55317">
        <w:t xml:space="preserve">website, and over the years </w:t>
      </w:r>
      <w:r w:rsidR="00D547EA">
        <w:t xml:space="preserve">has </w:t>
      </w:r>
      <w:r w:rsidRPr="00C55317">
        <w:t>adjust</w:t>
      </w:r>
      <w:r w:rsidR="009A34D0">
        <w:t>ed</w:t>
      </w:r>
      <w:r w:rsidRPr="00C55317">
        <w:t xml:space="preserve"> the report in response to suggestions from members of the public. It is expected that this form of engagement will continue.</w:t>
      </w:r>
    </w:p>
    <w:p w14:paraId="7E24F9C6" w14:textId="6FF3C984" w:rsidR="000148DC" w:rsidRDefault="000148DC" w:rsidP="009A717A">
      <w:r>
        <w:t>Non</w:t>
      </w:r>
      <w:r w:rsidR="00B65D32">
        <w:t>-</w:t>
      </w:r>
      <w:r>
        <w:t xml:space="preserve">government stakeholders </w:t>
      </w:r>
      <w:r w:rsidRPr="008968D5">
        <w:t xml:space="preserve">suggested that the RoGS consider having a First Nations advisory group or an alternative </w:t>
      </w:r>
      <w:r w:rsidR="00AB396D">
        <w:t>way</w:t>
      </w:r>
      <w:r w:rsidRPr="008968D5">
        <w:t xml:space="preserve"> to engage with First Nations organisations, especially on the issues of data sovereignty and governance, and to ensure that the data reflects the perspectives and priorities of First Nations communities</w:t>
      </w:r>
      <w:r>
        <w:t>.</w:t>
      </w:r>
      <w:r w:rsidR="0018048A">
        <w:t xml:space="preserve"> </w:t>
      </w:r>
    </w:p>
    <w:p w14:paraId="7F71CDFC" w14:textId="7E2C1255" w:rsidR="00016B6A" w:rsidRDefault="00016B6A" w:rsidP="009A717A">
      <w:r w:rsidRPr="00016B6A">
        <w:t xml:space="preserve">In 2024, the </w:t>
      </w:r>
      <w:r w:rsidR="00B81B2E">
        <w:t xml:space="preserve">RGSP </w:t>
      </w:r>
      <w:r w:rsidRPr="00016B6A">
        <w:t xml:space="preserve">Secretariat </w:t>
      </w:r>
      <w:r w:rsidR="004962C6">
        <w:t>started</w:t>
      </w:r>
      <w:r w:rsidRPr="00016B6A">
        <w:t xml:space="preserve"> engag</w:t>
      </w:r>
      <w:r w:rsidR="004962C6">
        <w:t>ing</w:t>
      </w:r>
      <w:r w:rsidRPr="00016B6A">
        <w:t xml:space="preserve"> with Aboriginal and Torres Strait Islander representative organisations on </w:t>
      </w:r>
      <w:r w:rsidR="00020B05">
        <w:t xml:space="preserve">how </w:t>
      </w:r>
      <w:r w:rsidR="007B7188">
        <w:t>First Nations</w:t>
      </w:r>
      <w:r w:rsidRPr="00016B6A">
        <w:t xml:space="preserve"> data </w:t>
      </w:r>
      <w:r w:rsidR="00020B05">
        <w:t xml:space="preserve">is presented </w:t>
      </w:r>
      <w:r w:rsidRPr="00016B6A">
        <w:t xml:space="preserve">in the RoGS and on issues relating to disaggregated data and </w:t>
      </w:r>
      <w:r w:rsidR="000B3F09">
        <w:t>not reporting</w:t>
      </w:r>
      <w:r w:rsidRPr="00016B6A">
        <w:t xml:space="preserve"> </w:t>
      </w:r>
      <w:r w:rsidR="00F763CC">
        <w:t xml:space="preserve">data </w:t>
      </w:r>
      <w:r w:rsidR="00ED5F76">
        <w:t xml:space="preserve">where it </w:t>
      </w:r>
      <w:r w:rsidR="00F763CC">
        <w:t>involves</w:t>
      </w:r>
      <w:r w:rsidR="00E472D7">
        <w:t xml:space="preserve"> </w:t>
      </w:r>
      <w:r w:rsidRPr="00016B6A">
        <w:t xml:space="preserve">small numbers. The </w:t>
      </w:r>
      <w:r w:rsidR="009E1BAF">
        <w:t xml:space="preserve">RGSP </w:t>
      </w:r>
      <w:r w:rsidRPr="00016B6A">
        <w:t xml:space="preserve">Secretariat referred to the </w:t>
      </w:r>
      <w:r w:rsidRPr="00C32962">
        <w:t>Framework for Governance of Indigenous Dat</w:t>
      </w:r>
      <w:r w:rsidRPr="00EC365E">
        <w:rPr>
          <w:i/>
          <w:iCs/>
        </w:rPr>
        <w:t>a</w:t>
      </w:r>
      <w:r w:rsidRPr="00016B6A">
        <w:t xml:space="preserve"> to guide this work</w:t>
      </w:r>
      <w:r w:rsidR="005F49B0">
        <w:t xml:space="preserve"> </w:t>
      </w:r>
      <w:sdt>
        <w:sdtPr>
          <w:rPr>
            <w:i/>
            <w:iCs/>
          </w:rPr>
          <w:id w:val="-2055224024"/>
          <w:citation/>
        </w:sdtPr>
        <w:sdtEndPr/>
        <w:sdtContent>
          <w:r w:rsidR="005F49B0">
            <w:rPr>
              <w:i/>
              <w:iCs/>
            </w:rPr>
            <w:fldChar w:fldCharType="begin"/>
          </w:r>
          <w:r w:rsidR="005F49B0">
            <w:rPr>
              <w:i/>
              <w:iCs/>
            </w:rPr>
            <w:instrText xml:space="preserve">CITATION Coa20 \l 3081 </w:instrText>
          </w:r>
          <w:r w:rsidR="005F49B0">
            <w:rPr>
              <w:i/>
              <w:iCs/>
            </w:rPr>
            <w:fldChar w:fldCharType="separate"/>
          </w:r>
          <w:r w:rsidR="003003B3">
            <w:rPr>
              <w:noProof/>
            </w:rPr>
            <w:t>(Coalition of Aboriginal and Torres Strait Islander Peak Organisations, Commonwealth of Australia, and Australian States and Territories 2020)</w:t>
          </w:r>
          <w:r w:rsidR="005F49B0">
            <w:rPr>
              <w:i/>
              <w:iCs/>
            </w:rPr>
            <w:fldChar w:fldCharType="end"/>
          </w:r>
        </w:sdtContent>
      </w:sdt>
      <w:r w:rsidR="005F49B0">
        <w:t>.</w:t>
      </w:r>
      <w:r w:rsidR="00A849C5" w:rsidRPr="00A849C5">
        <w:t xml:space="preserve"> </w:t>
      </w:r>
      <w:r w:rsidR="00A849C5">
        <w:t>Th</w:t>
      </w:r>
      <w:r w:rsidR="00C32962">
        <w:t>is</w:t>
      </w:r>
      <w:r w:rsidR="00A849C5">
        <w:t xml:space="preserve"> </w:t>
      </w:r>
      <w:r w:rsidR="00C32962">
        <w:t>f</w:t>
      </w:r>
      <w:r w:rsidR="00A849C5">
        <w:t xml:space="preserve">ramework </w:t>
      </w:r>
      <w:r w:rsidR="00A849C5" w:rsidRPr="005354E4">
        <w:t xml:space="preserve">aims to provide </w:t>
      </w:r>
      <w:r w:rsidR="00A849C5">
        <w:t>First Nations</w:t>
      </w:r>
      <w:r w:rsidR="00A849C5" w:rsidRPr="005354E4">
        <w:t xml:space="preserve"> people greater agency over how their data </w:t>
      </w:r>
      <w:r w:rsidR="00A849C5">
        <w:t>is</w:t>
      </w:r>
      <w:r w:rsidR="00A849C5" w:rsidRPr="005354E4">
        <w:t xml:space="preserve"> governed </w:t>
      </w:r>
      <w:r w:rsidR="00A849C5">
        <w:t xml:space="preserve">to ensure its use </w:t>
      </w:r>
      <w:r w:rsidR="00A849C5" w:rsidRPr="005354E4">
        <w:t xml:space="preserve">within government better reflects their priorities </w:t>
      </w:r>
      <w:sdt>
        <w:sdtPr>
          <w:id w:val="1655650013"/>
          <w:citation/>
        </w:sdtPr>
        <w:sdtEndPr/>
        <w:sdtContent>
          <w:r w:rsidR="00A849C5">
            <w:fldChar w:fldCharType="begin"/>
          </w:r>
          <w:r w:rsidR="00A849C5">
            <w:instrText xml:space="preserve">CITATION Com242 \l 3081 </w:instrText>
          </w:r>
          <w:r w:rsidR="00A849C5">
            <w:fldChar w:fldCharType="separate"/>
          </w:r>
          <w:r w:rsidR="003003B3">
            <w:rPr>
              <w:noProof/>
            </w:rPr>
            <w:t>(Commonwealth of Australia 2024b)</w:t>
          </w:r>
          <w:r w:rsidR="00A849C5">
            <w:fldChar w:fldCharType="end"/>
          </w:r>
        </w:sdtContent>
      </w:sdt>
      <w:r w:rsidR="00A849C5">
        <w:t>.</w:t>
      </w:r>
      <w:r w:rsidRPr="00016B6A">
        <w:t xml:space="preserve"> Eight Indigenous organisations were consulted through this process</w:t>
      </w:r>
      <w:r w:rsidR="00B90B00">
        <w:t>. A</w:t>
      </w:r>
      <w:r w:rsidRPr="00016B6A">
        <w:t xml:space="preserve">n initial ‘What </w:t>
      </w:r>
      <w:r w:rsidR="002E1F20">
        <w:t>W</w:t>
      </w:r>
      <w:r w:rsidRPr="00016B6A">
        <w:t>e Heard’ document and proposed next steps will be considered by the Steering Committee in December</w:t>
      </w:r>
      <w:r w:rsidR="002E1F20">
        <w:t xml:space="preserve"> 2024</w:t>
      </w:r>
      <w:r w:rsidRPr="00016B6A">
        <w:t>.</w:t>
      </w:r>
    </w:p>
    <w:p w14:paraId="41142166" w14:textId="70093EAC" w:rsidR="00903827" w:rsidRDefault="000148DC" w:rsidP="009A717A">
      <w:r>
        <w:t xml:space="preserve">The Review </w:t>
      </w:r>
      <w:r w:rsidR="0075336A">
        <w:t>recommends that the Steering Committee embed</w:t>
      </w:r>
      <w:r w:rsidR="00DD47E1">
        <w:t xml:space="preserve"> the needs and perspectives of the community into </w:t>
      </w:r>
      <w:r w:rsidR="00260D7E">
        <w:t>the production and governance of the RoGS, and where appropriate, the Dashboard</w:t>
      </w:r>
      <w:r w:rsidR="00DD47E1">
        <w:t>.</w:t>
      </w:r>
      <w:r w:rsidR="00260D7E">
        <w:t xml:space="preserve"> </w:t>
      </w:r>
      <w:r w:rsidR="00903827">
        <w:t xml:space="preserve">This should help </w:t>
      </w:r>
      <w:r w:rsidR="00D04CDF">
        <w:t xml:space="preserve">ensure the RoGS meets the needs of the community. </w:t>
      </w:r>
    </w:p>
    <w:p w14:paraId="6B8F23C1" w14:textId="22F73DBE" w:rsidR="000148DC" w:rsidRDefault="00260D7E" w:rsidP="009A717A">
      <w:r>
        <w:t>T</w:t>
      </w:r>
      <w:r w:rsidR="000148DC">
        <w:t xml:space="preserve">he initial focus should be on improving engagement with First Nations people and organisations. This is consistent with the Commonwealth, </w:t>
      </w:r>
      <w:r w:rsidR="00942B29">
        <w:t>S</w:t>
      </w:r>
      <w:r w:rsidR="000148DC">
        <w:t xml:space="preserve">tate and </w:t>
      </w:r>
      <w:r w:rsidR="00942B29">
        <w:t>T</w:t>
      </w:r>
      <w:r w:rsidR="000148DC">
        <w:t>erritory governments</w:t>
      </w:r>
      <w:r w:rsidR="0018048A">
        <w:t>’</w:t>
      </w:r>
      <w:r w:rsidR="000148DC">
        <w:t xml:space="preserve"> commitment to a new approach where policymaking that impacts on the lives of </w:t>
      </w:r>
      <w:r w:rsidR="0075336A">
        <w:t>First Nations</w:t>
      </w:r>
      <w:r w:rsidR="000148DC">
        <w:t xml:space="preserve"> people will be done in partnership and with shared decision</w:t>
      </w:r>
      <w:r w:rsidR="00B65D32">
        <w:t>-</w:t>
      </w:r>
      <w:r w:rsidR="000148DC">
        <w:t>making</w:t>
      </w:r>
      <w:r w:rsidR="00450A55">
        <w:t>,</w:t>
      </w:r>
      <w:r w:rsidR="000148DC">
        <w:t xml:space="preserve"> and </w:t>
      </w:r>
      <w:r w:rsidR="00471740">
        <w:t xml:space="preserve">consistent with </w:t>
      </w:r>
      <w:r w:rsidR="000148DC">
        <w:t xml:space="preserve">the </w:t>
      </w:r>
      <w:r w:rsidR="000148DC" w:rsidRPr="00C32962">
        <w:t>Framework for the Governance of Indigenous Data</w:t>
      </w:r>
      <w:r w:rsidR="00A849C5">
        <w:t>.</w:t>
      </w:r>
      <w:r w:rsidR="00CE41E7">
        <w:rPr>
          <w:i/>
          <w:iCs/>
        </w:rPr>
        <w:t xml:space="preserve"> </w:t>
      </w:r>
    </w:p>
    <w:p w14:paraId="639ABBE4" w14:textId="17346246" w:rsidR="001171FD" w:rsidRPr="001171FD" w:rsidRDefault="00295610" w:rsidP="009A717A">
      <w:r>
        <w:t xml:space="preserve">Greater </w:t>
      </w:r>
      <w:r w:rsidR="000148DC">
        <w:t xml:space="preserve">First Nations engagement and representation will help to ensure that their voices are central in </w:t>
      </w:r>
      <w:r w:rsidR="0075336A">
        <w:t>conversations about their</w:t>
      </w:r>
      <w:r w:rsidR="000148DC">
        <w:t xml:space="preserve"> data, including </w:t>
      </w:r>
      <w:r>
        <w:t xml:space="preserve">on </w:t>
      </w:r>
      <w:r w:rsidR="000148DC">
        <w:t>collection, use, presentation and dissemination.</w:t>
      </w:r>
    </w:p>
    <w:p w14:paraId="2D420CC4" w14:textId="77777777" w:rsidR="000D5BEE" w:rsidRDefault="000D5BEE">
      <w:pPr>
        <w:rPr>
          <w:rFonts w:ascii="Calibri" w:hAnsi="Calibri" w:cs="Arial"/>
          <w:iCs/>
          <w:color w:val="2C384A" w:themeColor="accent1"/>
          <w:kern w:val="32"/>
          <w:sz w:val="36"/>
          <w:szCs w:val="28"/>
        </w:rPr>
      </w:pPr>
      <w:r>
        <w:br w:type="page"/>
      </w:r>
    </w:p>
    <w:p w14:paraId="10885CF0" w14:textId="245A0A18" w:rsidR="000D5BEE" w:rsidRDefault="000D5BEE" w:rsidP="000D5BEE">
      <w:pPr>
        <w:pStyle w:val="Heading2"/>
        <w:tabs>
          <w:tab w:val="left" w:pos="3969"/>
        </w:tabs>
      </w:pPr>
      <w:r>
        <w:t>Findings, recommendations and implementation suggestions</w:t>
      </w:r>
    </w:p>
    <w:tbl>
      <w:tblPr>
        <w:tblStyle w:val="TableGrid"/>
        <w:tblW w:w="0" w:type="auto"/>
        <w:tblLook w:val="04A0" w:firstRow="1" w:lastRow="0" w:firstColumn="1" w:lastColumn="0" w:noHBand="0" w:noVBand="1"/>
      </w:tblPr>
      <w:tblGrid>
        <w:gridCol w:w="4514"/>
        <w:gridCol w:w="4512"/>
      </w:tblGrid>
      <w:tr w:rsidR="000D5BEE" w:rsidRPr="00E94868" w14:paraId="24FAE915" w14:textId="77777777">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2C3FC1CF" w14:textId="77777777" w:rsidR="000D5BEE" w:rsidRPr="00D30651" w:rsidRDefault="000D5BEE" w:rsidP="00D30651">
            <w:pPr>
              <w:pStyle w:val="TableMainHeading"/>
              <w:rPr>
                <w:b w:val="0"/>
                <w:bCs/>
              </w:rPr>
            </w:pPr>
            <w:r w:rsidRPr="00D30651">
              <w:rPr>
                <w:b w:val="0"/>
                <w:bCs/>
              </w:rPr>
              <w:t>Findings</w:t>
            </w:r>
          </w:p>
        </w:tc>
      </w:tr>
      <w:tr w:rsidR="000D5BEE" w:rsidRPr="00E94868" w14:paraId="368D62CE" w14:textId="77777777">
        <w:tc>
          <w:tcPr>
            <w:tcW w:w="9072" w:type="dxa"/>
            <w:gridSpan w:val="2"/>
          </w:tcPr>
          <w:p w14:paraId="17CB9B75" w14:textId="04AD4924" w:rsidR="00AA73BE" w:rsidRPr="007D7B5C" w:rsidRDefault="00AA73BE" w:rsidP="005241B9">
            <w:pPr>
              <w:numPr>
                <w:ilvl w:val="0"/>
                <w:numId w:val="11"/>
              </w:numPr>
              <w:rPr>
                <w:sz w:val="22"/>
                <w:szCs w:val="22"/>
              </w:rPr>
            </w:pPr>
            <w:r w:rsidRPr="007D7B5C">
              <w:rPr>
                <w:sz w:val="22"/>
                <w:szCs w:val="22"/>
              </w:rPr>
              <w:t>The RoGS performance reporting methodology is robust but does not extend to qualitative or quantitative analysis, which appears to limit the RoGS’ practical contribution to service delivery improvement.</w:t>
            </w:r>
          </w:p>
          <w:p w14:paraId="7917A294" w14:textId="75226C1F" w:rsidR="00AA73BE" w:rsidRPr="007D7B5C" w:rsidRDefault="00AA73BE" w:rsidP="005241B9">
            <w:pPr>
              <w:numPr>
                <w:ilvl w:val="0"/>
                <w:numId w:val="11"/>
              </w:numPr>
              <w:rPr>
                <w:sz w:val="22"/>
                <w:szCs w:val="22"/>
              </w:rPr>
            </w:pPr>
            <w:r w:rsidRPr="007D7B5C">
              <w:rPr>
                <w:sz w:val="22"/>
                <w:szCs w:val="22"/>
              </w:rPr>
              <w:t xml:space="preserve">Users outside of governments appreciate the RoGS as a transparency mechanism and an official source of data but it doesn’t fully meet their needs due to difficulty accessing and understanding the information. </w:t>
            </w:r>
          </w:p>
          <w:p w14:paraId="35EF4095" w14:textId="72C83CCF" w:rsidR="000D5BEE" w:rsidRPr="00AD2678" w:rsidRDefault="00AA73BE" w:rsidP="005241B9">
            <w:pPr>
              <w:numPr>
                <w:ilvl w:val="0"/>
                <w:numId w:val="11"/>
              </w:numPr>
              <w:rPr>
                <w:szCs w:val="22"/>
              </w:rPr>
            </w:pPr>
            <w:r w:rsidRPr="007D7B5C">
              <w:rPr>
                <w:sz w:val="22"/>
                <w:szCs w:val="22"/>
              </w:rPr>
              <w:t xml:space="preserve">The </w:t>
            </w:r>
            <w:r w:rsidR="002F2680">
              <w:rPr>
                <w:sz w:val="22"/>
                <w:szCs w:val="22"/>
              </w:rPr>
              <w:t>governance and production of the RoGS</w:t>
            </w:r>
            <w:r w:rsidRPr="007D7B5C">
              <w:rPr>
                <w:sz w:val="22"/>
                <w:szCs w:val="22"/>
              </w:rPr>
              <w:t xml:space="preserve"> do not directly include and benefit from the perspectives of the community, including First Nations people</w:t>
            </w:r>
            <w:r w:rsidR="004E3B94">
              <w:rPr>
                <w:sz w:val="22"/>
                <w:szCs w:val="22"/>
              </w:rPr>
              <w:t>. P</w:t>
            </w:r>
            <w:r w:rsidRPr="007D7B5C">
              <w:rPr>
                <w:sz w:val="22"/>
                <w:szCs w:val="22"/>
              </w:rPr>
              <w:t>erformance indicators at times do not reflect what these groups consider to be key measures of government service delivery.</w:t>
            </w:r>
          </w:p>
        </w:tc>
      </w:tr>
      <w:tr w:rsidR="000D5BEE" w:rsidRPr="00E94868" w14:paraId="3CD7733B" w14:textId="77777777">
        <w:tc>
          <w:tcPr>
            <w:tcW w:w="4536" w:type="dxa"/>
            <w:shd w:val="clear" w:color="auto" w:fill="EEEEEE" w:themeFill="background2"/>
          </w:tcPr>
          <w:p w14:paraId="69144808" w14:textId="77777777" w:rsidR="000D5BEE" w:rsidRPr="00B5455B" w:rsidRDefault="000D5BEE" w:rsidP="00B5455B">
            <w:pPr>
              <w:pStyle w:val="TableMainHeading"/>
            </w:pPr>
            <w:r w:rsidRPr="00B5455B">
              <w:t>Recommendations</w:t>
            </w:r>
          </w:p>
        </w:tc>
        <w:tc>
          <w:tcPr>
            <w:tcW w:w="4536" w:type="dxa"/>
            <w:shd w:val="clear" w:color="auto" w:fill="EEEEEE" w:themeFill="background2"/>
          </w:tcPr>
          <w:p w14:paraId="4A1C5AE2" w14:textId="77777777" w:rsidR="000D5BEE" w:rsidRPr="00E94868" w:rsidRDefault="000D5BEE" w:rsidP="00B5455B">
            <w:pPr>
              <w:pStyle w:val="TableMainHeading"/>
            </w:pPr>
            <w:r w:rsidRPr="00106595">
              <w:t>Implementation suggestions</w:t>
            </w:r>
          </w:p>
        </w:tc>
      </w:tr>
      <w:tr w:rsidR="000D5BEE" w:rsidRPr="00E94868" w14:paraId="07C06E74" w14:textId="77777777">
        <w:tc>
          <w:tcPr>
            <w:tcW w:w="4536" w:type="dxa"/>
          </w:tcPr>
          <w:p w14:paraId="306C8430" w14:textId="509E318F" w:rsidR="000D5BEE" w:rsidRPr="000B3CD4" w:rsidRDefault="00AB1EF5" w:rsidP="0043228A">
            <w:pPr>
              <w:pStyle w:val="Heading5"/>
              <w:ind w:left="601" w:hanging="601"/>
              <w:rPr>
                <w:szCs w:val="22"/>
              </w:rPr>
            </w:pPr>
            <w:r w:rsidRPr="00AB1EF5">
              <w:t>2.</w:t>
            </w:r>
            <w:r w:rsidRPr="00AB1EF5">
              <w:tab/>
              <w:t>Increase the usefulness and accessibility of the information</w:t>
            </w:r>
          </w:p>
        </w:tc>
        <w:tc>
          <w:tcPr>
            <w:tcW w:w="4536" w:type="dxa"/>
          </w:tcPr>
          <w:p w14:paraId="4E17F28A" w14:textId="3D9BC940" w:rsidR="000D5BEE" w:rsidRPr="00AD12E1" w:rsidRDefault="000D5BEE">
            <w:pPr>
              <w:rPr>
                <w:rFonts w:cs="Calibri Light"/>
                <w:sz w:val="22"/>
                <w:szCs w:val="22"/>
              </w:rPr>
            </w:pPr>
          </w:p>
        </w:tc>
      </w:tr>
      <w:tr w:rsidR="00390F85" w:rsidRPr="00E94868" w14:paraId="57324415" w14:textId="77777777">
        <w:tc>
          <w:tcPr>
            <w:tcW w:w="4536" w:type="dxa"/>
          </w:tcPr>
          <w:p w14:paraId="7C5A1534" w14:textId="45E885EB" w:rsidR="00390F85" w:rsidRPr="00390F85" w:rsidRDefault="00390F85" w:rsidP="005241B9">
            <w:pPr>
              <w:pStyle w:val="ListParagraph"/>
              <w:numPr>
                <w:ilvl w:val="0"/>
                <w:numId w:val="15"/>
              </w:numPr>
              <w:ind w:left="567" w:hanging="567"/>
              <w:rPr>
                <w:sz w:val="22"/>
                <w:szCs w:val="22"/>
              </w:rPr>
            </w:pPr>
            <w:r w:rsidRPr="00EB52C0">
              <w:rPr>
                <w:rFonts w:cs="Calibri Light"/>
                <w:sz w:val="22"/>
                <w:szCs w:val="22"/>
              </w:rPr>
              <w:t xml:space="preserve">The </w:t>
            </w:r>
            <w:r w:rsidR="00474798">
              <w:rPr>
                <w:rFonts w:cs="Calibri Light"/>
                <w:sz w:val="22"/>
                <w:szCs w:val="22"/>
              </w:rPr>
              <w:t>Productivity Commission</w:t>
            </w:r>
            <w:r w:rsidRPr="00EB52C0">
              <w:rPr>
                <w:rFonts w:cs="Calibri Light"/>
                <w:sz w:val="22"/>
                <w:szCs w:val="22"/>
              </w:rPr>
              <w:t xml:space="preserve"> to include additional </w:t>
            </w:r>
            <w:r w:rsidR="00A96480">
              <w:rPr>
                <w:rFonts w:cs="Calibri Light"/>
                <w:sz w:val="22"/>
                <w:szCs w:val="22"/>
              </w:rPr>
              <w:t>quantitative</w:t>
            </w:r>
            <w:r w:rsidRPr="00EB52C0">
              <w:rPr>
                <w:rFonts w:cs="Calibri Light"/>
                <w:sz w:val="22"/>
                <w:szCs w:val="22"/>
              </w:rPr>
              <w:t>, cross</w:t>
            </w:r>
            <w:r w:rsidR="00B65D32">
              <w:rPr>
                <w:rFonts w:cs="Calibri Light"/>
                <w:sz w:val="22"/>
                <w:szCs w:val="22"/>
              </w:rPr>
              <w:t>-</w:t>
            </w:r>
            <w:r w:rsidRPr="00EB52C0">
              <w:rPr>
                <w:rFonts w:cs="Calibri Light"/>
                <w:sz w:val="22"/>
                <w:szCs w:val="22"/>
              </w:rPr>
              <w:t xml:space="preserve">sectoral and qualitative analysis in the RoGS, </w:t>
            </w:r>
            <w:r w:rsidR="009446C7" w:rsidRPr="009446C7">
              <w:rPr>
                <w:rFonts w:cs="Calibri Light"/>
                <w:sz w:val="22"/>
                <w:szCs w:val="22"/>
              </w:rPr>
              <w:t>with an initial focus on case studies of innovati</w:t>
            </w:r>
            <w:r w:rsidR="009446C7">
              <w:rPr>
                <w:rFonts w:cs="Calibri Light"/>
                <w:sz w:val="22"/>
                <w:szCs w:val="22"/>
              </w:rPr>
              <w:t>ve</w:t>
            </w:r>
            <w:r w:rsidR="009446C7" w:rsidRPr="009446C7">
              <w:rPr>
                <w:rFonts w:cs="Calibri Light"/>
                <w:sz w:val="22"/>
                <w:szCs w:val="22"/>
              </w:rPr>
              <w:t xml:space="preserve"> </w:t>
            </w:r>
            <w:r w:rsidR="0031069D">
              <w:rPr>
                <w:rFonts w:cs="Calibri Light"/>
                <w:sz w:val="22"/>
                <w:szCs w:val="22"/>
              </w:rPr>
              <w:t>or</w:t>
            </w:r>
            <w:r w:rsidR="009961AF">
              <w:rPr>
                <w:rFonts w:cs="Calibri Light"/>
                <w:sz w:val="22"/>
                <w:szCs w:val="22"/>
              </w:rPr>
              <w:t xml:space="preserve"> high</w:t>
            </w:r>
            <w:r w:rsidR="009961AF">
              <w:rPr>
                <w:rFonts w:cs="Calibri Light"/>
                <w:sz w:val="22"/>
                <w:szCs w:val="22"/>
              </w:rPr>
              <w:noBreakHyphen/>
              <w:t xml:space="preserve">impact </w:t>
            </w:r>
            <w:r w:rsidR="009446C7" w:rsidRPr="009446C7">
              <w:rPr>
                <w:rFonts w:cs="Calibri Light"/>
                <w:sz w:val="22"/>
                <w:szCs w:val="22"/>
              </w:rPr>
              <w:t>policies and programs</w:t>
            </w:r>
            <w:r w:rsidR="008857FA">
              <w:rPr>
                <w:rFonts w:cs="Calibri Light"/>
                <w:sz w:val="22"/>
                <w:szCs w:val="22"/>
              </w:rPr>
              <w:t xml:space="preserve">, </w:t>
            </w:r>
            <w:r w:rsidRPr="00EB52C0">
              <w:rPr>
                <w:rFonts w:cs="Calibri Light"/>
                <w:sz w:val="22"/>
                <w:szCs w:val="22"/>
              </w:rPr>
              <w:t xml:space="preserve">to encourage improvements in delivery and effectiveness </w:t>
            </w:r>
            <w:r w:rsidR="00260D7E">
              <w:rPr>
                <w:rFonts w:cs="Calibri Light"/>
                <w:sz w:val="22"/>
                <w:szCs w:val="22"/>
              </w:rPr>
              <w:t>from</w:t>
            </w:r>
            <w:r w:rsidRPr="00EB52C0">
              <w:rPr>
                <w:rFonts w:cs="Calibri Light"/>
                <w:sz w:val="22"/>
                <w:szCs w:val="22"/>
              </w:rPr>
              <w:t xml:space="preserve"> 2026.</w:t>
            </w:r>
          </w:p>
        </w:tc>
        <w:tc>
          <w:tcPr>
            <w:tcW w:w="4536" w:type="dxa"/>
          </w:tcPr>
          <w:p w14:paraId="1FE8EDF6" w14:textId="710A988E" w:rsidR="00D64391" w:rsidRPr="00914E29" w:rsidRDefault="00474798" w:rsidP="00390F85">
            <w:pPr>
              <w:rPr>
                <w:rFonts w:cs="Calibri Light"/>
                <w:sz w:val="22"/>
                <w:szCs w:val="22"/>
              </w:rPr>
            </w:pPr>
            <w:r w:rsidRPr="00914E29">
              <w:rPr>
                <w:rFonts w:cs="Calibri Light"/>
                <w:sz w:val="22"/>
                <w:szCs w:val="22"/>
              </w:rPr>
              <w:t xml:space="preserve">This will require a change to the </w:t>
            </w:r>
            <w:r w:rsidR="00D64391" w:rsidRPr="00914E29">
              <w:rPr>
                <w:rFonts w:cs="Calibri Light"/>
                <w:sz w:val="22"/>
                <w:szCs w:val="22"/>
              </w:rPr>
              <w:t>RoGS terms of reference</w:t>
            </w:r>
            <w:r w:rsidR="00534C6E" w:rsidRPr="00914E29">
              <w:rPr>
                <w:rFonts w:cs="Calibri Light"/>
                <w:sz w:val="22"/>
                <w:szCs w:val="22"/>
              </w:rPr>
              <w:t xml:space="preserve"> </w:t>
            </w:r>
            <w:r w:rsidR="0002022F" w:rsidRPr="00914E29">
              <w:rPr>
                <w:rFonts w:cs="Calibri Light"/>
                <w:sz w:val="22"/>
                <w:szCs w:val="22"/>
              </w:rPr>
              <w:t>to outline</w:t>
            </w:r>
            <w:r w:rsidR="00534C6E" w:rsidRPr="00914E29">
              <w:rPr>
                <w:rFonts w:cs="Calibri Light"/>
                <w:sz w:val="22"/>
                <w:szCs w:val="22"/>
              </w:rPr>
              <w:t xml:space="preserve"> </w:t>
            </w:r>
            <w:r w:rsidR="00C60591" w:rsidRPr="00914E29">
              <w:rPr>
                <w:rFonts w:cs="Calibri Light"/>
                <w:sz w:val="22"/>
                <w:szCs w:val="22"/>
              </w:rPr>
              <w:t xml:space="preserve">the </w:t>
            </w:r>
            <w:r w:rsidR="0002022F" w:rsidRPr="00914E29">
              <w:rPr>
                <w:rFonts w:cs="Calibri Light"/>
                <w:sz w:val="22"/>
                <w:szCs w:val="22"/>
              </w:rPr>
              <w:t xml:space="preserve">PC’s </w:t>
            </w:r>
            <w:r w:rsidR="00766644" w:rsidRPr="00914E29">
              <w:rPr>
                <w:rFonts w:cs="Calibri Light"/>
                <w:sz w:val="22"/>
                <w:szCs w:val="22"/>
              </w:rPr>
              <w:t>analysis role</w:t>
            </w:r>
            <w:r w:rsidR="00D64391" w:rsidRPr="00914E29">
              <w:rPr>
                <w:rFonts w:cs="Calibri Light"/>
                <w:sz w:val="22"/>
                <w:szCs w:val="22"/>
              </w:rPr>
              <w:t>.</w:t>
            </w:r>
          </w:p>
          <w:p w14:paraId="5557E9E6" w14:textId="47E7E7B6" w:rsidR="007566F6" w:rsidRPr="00914E29" w:rsidRDefault="007A7CCA" w:rsidP="008857FA">
            <w:pPr>
              <w:rPr>
                <w:sz w:val="22"/>
                <w:szCs w:val="22"/>
              </w:rPr>
            </w:pPr>
            <w:r w:rsidRPr="00914E29">
              <w:rPr>
                <w:rFonts w:cs="Calibri Light"/>
                <w:sz w:val="22"/>
                <w:szCs w:val="22"/>
              </w:rPr>
              <w:t xml:space="preserve">The </w:t>
            </w:r>
            <w:r w:rsidR="008576FC" w:rsidRPr="00914E29">
              <w:rPr>
                <w:rFonts w:cs="Calibri Light"/>
                <w:sz w:val="22"/>
                <w:szCs w:val="22"/>
              </w:rPr>
              <w:t>PC</w:t>
            </w:r>
            <w:r w:rsidRPr="00914E29">
              <w:rPr>
                <w:rFonts w:cs="Calibri Light"/>
                <w:sz w:val="22"/>
                <w:szCs w:val="22"/>
              </w:rPr>
              <w:t xml:space="preserve"> should identify </w:t>
            </w:r>
            <w:r w:rsidR="003E4C2E" w:rsidRPr="00914E29">
              <w:rPr>
                <w:rFonts w:cs="Calibri Light"/>
                <w:sz w:val="22"/>
                <w:szCs w:val="22"/>
              </w:rPr>
              <w:t xml:space="preserve">a list of </w:t>
            </w:r>
            <w:r w:rsidRPr="00914E29">
              <w:rPr>
                <w:rFonts w:cs="Calibri Light"/>
                <w:sz w:val="22"/>
                <w:szCs w:val="22"/>
              </w:rPr>
              <w:t xml:space="preserve">potential innovative </w:t>
            </w:r>
            <w:r w:rsidR="00E52699" w:rsidRPr="00914E29">
              <w:rPr>
                <w:rFonts w:cs="Calibri Light"/>
                <w:sz w:val="22"/>
                <w:szCs w:val="22"/>
              </w:rPr>
              <w:t>and high</w:t>
            </w:r>
            <w:r w:rsidR="00E52699" w:rsidRPr="00914E29">
              <w:rPr>
                <w:rFonts w:cs="Calibri Light"/>
                <w:sz w:val="22"/>
                <w:szCs w:val="22"/>
              </w:rPr>
              <w:noBreakHyphen/>
              <w:t xml:space="preserve">impact </w:t>
            </w:r>
            <w:r w:rsidR="003E4C2E" w:rsidRPr="00914E29">
              <w:rPr>
                <w:rFonts w:cs="Calibri Light"/>
                <w:sz w:val="22"/>
                <w:szCs w:val="22"/>
              </w:rPr>
              <w:t>programs and policies that could be highlight</w:t>
            </w:r>
            <w:r w:rsidR="008576FC" w:rsidRPr="00914E29">
              <w:rPr>
                <w:rFonts w:cs="Calibri Light"/>
                <w:sz w:val="22"/>
                <w:szCs w:val="22"/>
              </w:rPr>
              <w:t>ed</w:t>
            </w:r>
            <w:r w:rsidR="003E4C2E" w:rsidRPr="00914E29">
              <w:rPr>
                <w:rFonts w:cs="Calibri Light"/>
                <w:sz w:val="22"/>
                <w:szCs w:val="22"/>
              </w:rPr>
              <w:t xml:space="preserve"> in the RoGS</w:t>
            </w:r>
            <w:r w:rsidR="004D4ADB" w:rsidRPr="00914E29">
              <w:rPr>
                <w:rFonts w:cs="Calibri Light"/>
                <w:sz w:val="22"/>
                <w:szCs w:val="22"/>
              </w:rPr>
              <w:t xml:space="preserve">. The case </w:t>
            </w:r>
            <w:r w:rsidR="008802E0" w:rsidRPr="00914E29">
              <w:rPr>
                <w:rFonts w:cs="Calibri Light"/>
                <w:sz w:val="22"/>
                <w:szCs w:val="22"/>
              </w:rPr>
              <w:t xml:space="preserve">studies should be developed </w:t>
            </w:r>
            <w:r w:rsidR="00562A74" w:rsidRPr="00914E29">
              <w:rPr>
                <w:rFonts w:cs="Calibri Light"/>
                <w:sz w:val="22"/>
                <w:szCs w:val="22"/>
              </w:rPr>
              <w:t xml:space="preserve">in consultation </w:t>
            </w:r>
            <w:r w:rsidR="009C4301" w:rsidRPr="00914E29">
              <w:rPr>
                <w:rFonts w:cs="Calibri Light"/>
                <w:sz w:val="22"/>
                <w:szCs w:val="22"/>
              </w:rPr>
              <w:t>with the relevant jurisdiction</w:t>
            </w:r>
            <w:r w:rsidR="003E4C2E" w:rsidRPr="00914E29">
              <w:rPr>
                <w:rFonts w:cs="Calibri Light"/>
                <w:sz w:val="22"/>
                <w:szCs w:val="22"/>
              </w:rPr>
              <w:t>.</w:t>
            </w:r>
            <w:r w:rsidR="00BF1658" w:rsidRPr="00914E29">
              <w:rPr>
                <w:rFonts w:cs="Calibri Light"/>
                <w:sz w:val="22"/>
                <w:szCs w:val="22"/>
              </w:rPr>
              <w:t xml:space="preserve"> </w:t>
            </w:r>
          </w:p>
          <w:p w14:paraId="26EC6D85" w14:textId="07B9BC74" w:rsidR="00ED68A5" w:rsidRPr="00914E29" w:rsidRDefault="00BF1658" w:rsidP="008857FA">
            <w:pPr>
              <w:rPr>
                <w:rFonts w:cs="Calibri Light"/>
                <w:sz w:val="22"/>
                <w:szCs w:val="22"/>
              </w:rPr>
            </w:pPr>
            <w:r w:rsidRPr="00914E29">
              <w:rPr>
                <w:rFonts w:cs="Calibri Light"/>
                <w:sz w:val="22"/>
                <w:szCs w:val="22"/>
              </w:rPr>
              <w:t xml:space="preserve">The RoGS could include these case studies </w:t>
            </w:r>
            <w:r w:rsidR="00481ACC" w:rsidRPr="00914E29">
              <w:rPr>
                <w:rFonts w:cs="Calibri Light"/>
                <w:sz w:val="22"/>
                <w:szCs w:val="22"/>
              </w:rPr>
              <w:t>gradually over time.</w:t>
            </w:r>
            <w:r w:rsidR="008857FA" w:rsidRPr="00914E29">
              <w:rPr>
                <w:rFonts w:cs="Calibri Light"/>
                <w:sz w:val="22"/>
                <w:szCs w:val="22"/>
              </w:rPr>
              <w:t xml:space="preserve"> </w:t>
            </w:r>
            <w:r w:rsidR="00F70352" w:rsidRPr="00914E29">
              <w:rPr>
                <w:rFonts w:cs="Calibri Light"/>
                <w:sz w:val="22"/>
                <w:szCs w:val="22"/>
              </w:rPr>
              <w:t xml:space="preserve">The </w:t>
            </w:r>
            <w:r w:rsidR="008576FC" w:rsidRPr="00914E29">
              <w:rPr>
                <w:rFonts w:cs="Calibri Light"/>
                <w:sz w:val="22"/>
                <w:szCs w:val="22"/>
              </w:rPr>
              <w:t>PC</w:t>
            </w:r>
            <w:r w:rsidR="00F70352" w:rsidRPr="00914E29">
              <w:rPr>
                <w:rFonts w:cs="Calibri Light"/>
                <w:sz w:val="22"/>
                <w:szCs w:val="22"/>
              </w:rPr>
              <w:t xml:space="preserve"> should assess the effectiveness of this approach and extend it over time, if successful.</w:t>
            </w:r>
          </w:p>
        </w:tc>
      </w:tr>
      <w:tr w:rsidR="00390F85" w:rsidRPr="00E94868" w14:paraId="02C64D30" w14:textId="77777777">
        <w:tc>
          <w:tcPr>
            <w:tcW w:w="4536" w:type="dxa"/>
          </w:tcPr>
          <w:p w14:paraId="3E6ABF62" w14:textId="7776AC08" w:rsidR="00390F85" w:rsidRPr="00390F85" w:rsidRDefault="00390F85" w:rsidP="005241B9">
            <w:pPr>
              <w:pStyle w:val="ListParagraph"/>
              <w:numPr>
                <w:ilvl w:val="0"/>
                <w:numId w:val="15"/>
              </w:numPr>
              <w:ind w:left="567" w:hanging="567"/>
              <w:rPr>
                <w:sz w:val="22"/>
                <w:szCs w:val="22"/>
              </w:rPr>
            </w:pPr>
            <w:r w:rsidRPr="00EB52C0">
              <w:rPr>
                <w:rFonts w:cs="Calibri Light"/>
                <w:sz w:val="22"/>
                <w:szCs w:val="22"/>
              </w:rPr>
              <w:t>The Steering Committee to revamp the presentation of the RoGS indicator data by 202</w:t>
            </w:r>
            <w:r w:rsidR="00402ECC">
              <w:rPr>
                <w:rFonts w:cs="Calibri Light"/>
                <w:sz w:val="22"/>
                <w:szCs w:val="22"/>
              </w:rPr>
              <w:t>7</w:t>
            </w:r>
            <w:r w:rsidRPr="00EB52C0">
              <w:rPr>
                <w:rFonts w:cs="Calibri Light"/>
                <w:sz w:val="22"/>
                <w:szCs w:val="22"/>
              </w:rPr>
              <w:t xml:space="preserve"> and enhance engagement with the community, drawing on relevant Australian and international examples. </w:t>
            </w:r>
          </w:p>
        </w:tc>
        <w:tc>
          <w:tcPr>
            <w:tcW w:w="4536" w:type="dxa"/>
          </w:tcPr>
          <w:p w14:paraId="49318170" w14:textId="39FD0AA6" w:rsidR="00390F85" w:rsidRPr="00914E29" w:rsidRDefault="003D2B06" w:rsidP="00390F85">
            <w:pPr>
              <w:rPr>
                <w:rFonts w:cs="Calibri Light"/>
                <w:sz w:val="22"/>
                <w:szCs w:val="22"/>
              </w:rPr>
            </w:pPr>
            <w:r w:rsidRPr="00914E29">
              <w:rPr>
                <w:rFonts w:cs="Calibri Light"/>
                <w:sz w:val="22"/>
                <w:szCs w:val="22"/>
              </w:rPr>
              <w:t xml:space="preserve">The </w:t>
            </w:r>
            <w:r w:rsidR="00194985" w:rsidRPr="00914E29">
              <w:rPr>
                <w:rFonts w:cs="Calibri Light"/>
                <w:sz w:val="22"/>
                <w:szCs w:val="22"/>
              </w:rPr>
              <w:t>Steering Committee should</w:t>
            </w:r>
            <w:r w:rsidR="000946D3" w:rsidRPr="00914E29">
              <w:rPr>
                <w:rFonts w:cs="Calibri Light"/>
                <w:sz w:val="22"/>
                <w:szCs w:val="22"/>
              </w:rPr>
              <w:t xml:space="preserve"> ensur</w:t>
            </w:r>
            <w:r w:rsidRPr="00914E29">
              <w:rPr>
                <w:rFonts w:cs="Calibri Light"/>
                <w:sz w:val="22"/>
                <w:szCs w:val="22"/>
              </w:rPr>
              <w:t>e</w:t>
            </w:r>
            <w:r w:rsidR="000032CF" w:rsidRPr="00914E29">
              <w:rPr>
                <w:rFonts w:cs="Calibri Light"/>
                <w:sz w:val="22"/>
                <w:szCs w:val="22"/>
              </w:rPr>
              <w:t xml:space="preserve"> </w:t>
            </w:r>
            <w:r w:rsidRPr="00914E29">
              <w:rPr>
                <w:rFonts w:cs="Calibri Light"/>
                <w:sz w:val="22"/>
                <w:szCs w:val="22"/>
              </w:rPr>
              <w:t>user</w:t>
            </w:r>
            <w:r w:rsidR="000946D3" w:rsidRPr="00914E29">
              <w:rPr>
                <w:rFonts w:cs="Calibri Light"/>
                <w:sz w:val="22"/>
                <w:szCs w:val="22"/>
              </w:rPr>
              <w:t>s</w:t>
            </w:r>
            <w:r w:rsidR="000032CF" w:rsidRPr="00914E29">
              <w:rPr>
                <w:rFonts w:cs="Calibri Light"/>
                <w:sz w:val="22"/>
                <w:szCs w:val="22"/>
              </w:rPr>
              <w:t xml:space="preserve"> </w:t>
            </w:r>
            <w:r w:rsidR="000946D3" w:rsidRPr="00914E29">
              <w:rPr>
                <w:rFonts w:cs="Calibri Light"/>
                <w:sz w:val="22"/>
                <w:szCs w:val="22"/>
              </w:rPr>
              <w:t>can</w:t>
            </w:r>
            <w:r w:rsidR="00655CC9" w:rsidRPr="00914E29">
              <w:rPr>
                <w:rFonts w:cs="Calibri Light"/>
                <w:sz w:val="22"/>
                <w:szCs w:val="22"/>
              </w:rPr>
              <w:t xml:space="preserve"> interact with, analyse, compare and visualise all the data in one place.</w:t>
            </w:r>
            <w:r w:rsidRPr="00914E29">
              <w:rPr>
                <w:rFonts w:cs="Calibri Light"/>
                <w:sz w:val="22"/>
                <w:szCs w:val="22"/>
              </w:rPr>
              <w:t xml:space="preserve"> </w:t>
            </w:r>
            <w:r w:rsidR="007B3D73" w:rsidRPr="00914E29">
              <w:rPr>
                <w:rFonts w:cs="Calibri Light"/>
                <w:sz w:val="22"/>
                <w:szCs w:val="22"/>
              </w:rPr>
              <w:t xml:space="preserve">This </w:t>
            </w:r>
            <w:r w:rsidR="00E24612" w:rsidRPr="00914E29">
              <w:rPr>
                <w:rFonts w:cs="Calibri Light"/>
                <w:sz w:val="22"/>
                <w:szCs w:val="22"/>
              </w:rPr>
              <w:t>work links with</w:t>
            </w:r>
            <w:r w:rsidR="00194985" w:rsidRPr="00914E29">
              <w:rPr>
                <w:rFonts w:cs="Calibri Light"/>
                <w:sz w:val="22"/>
                <w:szCs w:val="22"/>
              </w:rPr>
              <w:t xml:space="preserve"> the </w:t>
            </w:r>
            <w:r w:rsidR="00251174" w:rsidRPr="00914E29">
              <w:rPr>
                <w:rFonts w:cs="Calibri Light"/>
                <w:sz w:val="22"/>
                <w:szCs w:val="22"/>
              </w:rPr>
              <w:t>redesign</w:t>
            </w:r>
            <w:r w:rsidR="00194985" w:rsidRPr="00914E29">
              <w:rPr>
                <w:rFonts w:cs="Calibri Light"/>
                <w:sz w:val="22"/>
                <w:szCs w:val="22"/>
              </w:rPr>
              <w:t xml:space="preserve"> of the </w:t>
            </w:r>
            <w:r w:rsidR="008576FC" w:rsidRPr="00914E29">
              <w:rPr>
                <w:rFonts w:cs="Calibri Light"/>
                <w:sz w:val="22"/>
                <w:szCs w:val="22"/>
              </w:rPr>
              <w:t>PC’s</w:t>
            </w:r>
            <w:r w:rsidR="00194985" w:rsidRPr="00914E29">
              <w:rPr>
                <w:rFonts w:cs="Calibri Light"/>
                <w:sz w:val="22"/>
                <w:szCs w:val="22"/>
              </w:rPr>
              <w:t xml:space="preserve"> website</w:t>
            </w:r>
            <w:r w:rsidR="00E24612" w:rsidRPr="00914E29">
              <w:rPr>
                <w:rFonts w:cs="Calibri Light"/>
                <w:sz w:val="22"/>
                <w:szCs w:val="22"/>
              </w:rPr>
              <w:t>, which</w:t>
            </w:r>
            <w:r w:rsidR="00251174" w:rsidRPr="00914E29">
              <w:rPr>
                <w:rFonts w:cs="Calibri Light"/>
                <w:sz w:val="22"/>
                <w:szCs w:val="22"/>
              </w:rPr>
              <w:t xml:space="preserve"> is </w:t>
            </w:r>
            <w:r w:rsidR="00D932E1" w:rsidRPr="00914E29">
              <w:rPr>
                <w:rFonts w:cs="Calibri Light"/>
                <w:sz w:val="22"/>
                <w:szCs w:val="22"/>
              </w:rPr>
              <w:t xml:space="preserve">expected to be </w:t>
            </w:r>
            <w:r w:rsidR="00251174" w:rsidRPr="00914E29">
              <w:rPr>
                <w:rFonts w:cs="Calibri Light"/>
                <w:sz w:val="22"/>
                <w:szCs w:val="22"/>
              </w:rPr>
              <w:t>completed in mid</w:t>
            </w:r>
            <w:r w:rsidR="00D13383" w:rsidRPr="00914E29">
              <w:rPr>
                <w:rFonts w:cs="Calibri Light"/>
                <w:sz w:val="22"/>
                <w:szCs w:val="22"/>
              </w:rPr>
              <w:t>-</w:t>
            </w:r>
            <w:r w:rsidR="00251174" w:rsidRPr="00914E29">
              <w:rPr>
                <w:rFonts w:cs="Calibri Light"/>
                <w:sz w:val="22"/>
                <w:szCs w:val="22"/>
              </w:rPr>
              <w:t>2025</w:t>
            </w:r>
            <w:r w:rsidR="00194985" w:rsidRPr="00914E29">
              <w:rPr>
                <w:rFonts w:cs="Calibri Light"/>
                <w:sz w:val="22"/>
                <w:szCs w:val="22"/>
              </w:rPr>
              <w:t xml:space="preserve">. </w:t>
            </w:r>
            <w:r w:rsidRPr="00914E29">
              <w:rPr>
                <w:rFonts w:cs="Calibri Light"/>
                <w:sz w:val="22"/>
                <w:szCs w:val="22"/>
              </w:rPr>
              <w:t>Users should be involved in the redesign process.</w:t>
            </w:r>
            <w:r w:rsidR="00F44DFD" w:rsidRPr="00914E29">
              <w:rPr>
                <w:rFonts w:cs="Calibri Light"/>
                <w:sz w:val="22"/>
                <w:szCs w:val="22"/>
              </w:rPr>
              <w:t xml:space="preserve"> </w:t>
            </w:r>
            <w:r w:rsidR="00D932E1" w:rsidRPr="00914E29">
              <w:rPr>
                <w:rFonts w:cs="Calibri Light"/>
                <w:sz w:val="22"/>
                <w:szCs w:val="22"/>
              </w:rPr>
              <w:t>This revamp should be part of the RoGS program of continuous improvement.</w:t>
            </w:r>
          </w:p>
          <w:p w14:paraId="5A5ED2B5" w14:textId="422CC237" w:rsidR="00ED68A5" w:rsidRPr="00914E29" w:rsidRDefault="00D13383" w:rsidP="00D932E1">
            <w:pPr>
              <w:rPr>
                <w:rFonts w:cs="Calibri Light"/>
                <w:sz w:val="22"/>
                <w:szCs w:val="22"/>
              </w:rPr>
            </w:pPr>
            <w:r w:rsidRPr="00914E29">
              <w:rPr>
                <w:rFonts w:cs="Calibri Light"/>
                <w:sz w:val="22"/>
                <w:szCs w:val="22"/>
              </w:rPr>
              <w:t>Appropriate safeguards to protect the integrity of the data also must accompany any changes.</w:t>
            </w:r>
          </w:p>
        </w:tc>
      </w:tr>
      <w:tr w:rsidR="00390F85" w:rsidRPr="00E94868" w14:paraId="454B7E84" w14:textId="77777777">
        <w:tc>
          <w:tcPr>
            <w:tcW w:w="4536" w:type="dxa"/>
          </w:tcPr>
          <w:p w14:paraId="0C8BDF57" w14:textId="2CF28BEA" w:rsidR="00390F85" w:rsidRPr="00390F85" w:rsidRDefault="00390F85" w:rsidP="005241B9">
            <w:pPr>
              <w:pStyle w:val="ListParagraph"/>
              <w:numPr>
                <w:ilvl w:val="0"/>
                <w:numId w:val="15"/>
              </w:numPr>
              <w:ind w:left="567" w:hanging="567"/>
              <w:rPr>
                <w:sz w:val="22"/>
                <w:szCs w:val="22"/>
              </w:rPr>
            </w:pPr>
            <w:r w:rsidRPr="00EB52C0">
              <w:rPr>
                <w:rFonts w:cs="Calibri Light"/>
                <w:sz w:val="22"/>
                <w:szCs w:val="22"/>
              </w:rPr>
              <w:t>The Steering Committee to embed the needs and perspectives of the Australian community into the governance and production of the RoGS and, where appropriate, the Dashboard by 2026.</w:t>
            </w:r>
            <w:r w:rsidR="006E53B7">
              <w:rPr>
                <w:rFonts w:cs="Calibri Light"/>
                <w:sz w:val="22"/>
                <w:szCs w:val="22"/>
              </w:rPr>
              <w:t xml:space="preserve"> </w:t>
            </w:r>
            <w:r w:rsidR="006E53B7" w:rsidRPr="006E53B7">
              <w:rPr>
                <w:rFonts w:cs="Calibri Light"/>
                <w:sz w:val="22"/>
                <w:szCs w:val="22"/>
              </w:rPr>
              <w:t>Engagement with First Nations people and organisations should be prioritised.</w:t>
            </w:r>
          </w:p>
        </w:tc>
        <w:tc>
          <w:tcPr>
            <w:tcW w:w="4536" w:type="dxa"/>
          </w:tcPr>
          <w:p w14:paraId="77847199" w14:textId="77777777" w:rsidR="00C57C66" w:rsidRPr="00914E29" w:rsidRDefault="003B376D" w:rsidP="00FB0D07">
            <w:pPr>
              <w:ind w:left="32"/>
              <w:rPr>
                <w:rFonts w:cs="Calibri Light"/>
                <w:sz w:val="22"/>
                <w:szCs w:val="22"/>
              </w:rPr>
            </w:pPr>
            <w:r w:rsidRPr="00914E29">
              <w:rPr>
                <w:rFonts w:cs="Calibri Light"/>
                <w:sz w:val="22"/>
                <w:szCs w:val="22"/>
              </w:rPr>
              <w:t xml:space="preserve">The Steering Committee should </w:t>
            </w:r>
            <w:r w:rsidR="00B90B00" w:rsidRPr="00914E29">
              <w:rPr>
                <w:rFonts w:cs="Calibri Light"/>
                <w:sz w:val="22"/>
                <w:szCs w:val="22"/>
              </w:rPr>
              <w:t xml:space="preserve">continue </w:t>
            </w:r>
            <w:r w:rsidR="00BE0BE4" w:rsidRPr="00914E29">
              <w:rPr>
                <w:rFonts w:cs="Calibri Light"/>
                <w:sz w:val="22"/>
                <w:szCs w:val="22"/>
              </w:rPr>
              <w:t>to</w:t>
            </w:r>
            <w:r w:rsidR="00B90B00" w:rsidRPr="00914E29">
              <w:rPr>
                <w:rFonts w:cs="Calibri Light"/>
                <w:sz w:val="22"/>
                <w:szCs w:val="22"/>
              </w:rPr>
              <w:t xml:space="preserve"> </w:t>
            </w:r>
            <w:r w:rsidRPr="00914E29">
              <w:rPr>
                <w:rFonts w:cs="Calibri Light"/>
                <w:sz w:val="22"/>
                <w:szCs w:val="22"/>
              </w:rPr>
              <w:t xml:space="preserve">engage with First Nations </w:t>
            </w:r>
            <w:r w:rsidR="00D27FFD" w:rsidRPr="00914E29">
              <w:rPr>
                <w:rFonts w:cs="Calibri Light"/>
                <w:sz w:val="22"/>
                <w:szCs w:val="22"/>
              </w:rPr>
              <w:t>peoples and organisations</w:t>
            </w:r>
            <w:r w:rsidR="00FA1FB5" w:rsidRPr="00914E29">
              <w:rPr>
                <w:rFonts w:cs="Calibri Light"/>
                <w:sz w:val="22"/>
                <w:szCs w:val="22"/>
              </w:rPr>
              <w:t xml:space="preserve"> on data</w:t>
            </w:r>
            <w:r w:rsidR="00627E14" w:rsidRPr="00914E29">
              <w:rPr>
                <w:rFonts w:cs="Calibri Light"/>
                <w:sz w:val="22"/>
                <w:szCs w:val="22"/>
              </w:rPr>
              <w:t xml:space="preserve"> use and presentation</w:t>
            </w:r>
            <w:r w:rsidR="00D27FFD" w:rsidRPr="00914E29">
              <w:rPr>
                <w:rFonts w:cs="Calibri Light"/>
                <w:sz w:val="22"/>
                <w:szCs w:val="22"/>
              </w:rPr>
              <w:t xml:space="preserve">. </w:t>
            </w:r>
          </w:p>
          <w:p w14:paraId="6D03C939" w14:textId="591E392E" w:rsidR="00390F85" w:rsidRPr="00914E29" w:rsidRDefault="00D27FFD" w:rsidP="00FB0D07">
            <w:pPr>
              <w:ind w:left="32"/>
              <w:rPr>
                <w:rFonts w:cs="Calibri Light"/>
                <w:sz w:val="22"/>
                <w:szCs w:val="22"/>
              </w:rPr>
            </w:pPr>
            <w:r w:rsidRPr="00914E29">
              <w:rPr>
                <w:rFonts w:cs="Calibri Light"/>
                <w:sz w:val="22"/>
                <w:szCs w:val="22"/>
              </w:rPr>
              <w:t>A separate</w:t>
            </w:r>
            <w:r w:rsidR="000D2A32" w:rsidRPr="00914E29">
              <w:rPr>
                <w:rFonts w:cs="Calibri Light"/>
                <w:sz w:val="22"/>
                <w:szCs w:val="22"/>
              </w:rPr>
              <w:t xml:space="preserve"> advisory group for</w:t>
            </w:r>
            <w:r w:rsidRPr="00914E29">
              <w:rPr>
                <w:rFonts w:cs="Calibri Light"/>
                <w:sz w:val="22"/>
                <w:szCs w:val="22"/>
              </w:rPr>
              <w:t xml:space="preserve"> First Nations </w:t>
            </w:r>
            <w:r w:rsidR="00721EE9" w:rsidRPr="00914E29">
              <w:rPr>
                <w:rFonts w:cs="Calibri Light"/>
                <w:sz w:val="22"/>
                <w:szCs w:val="22"/>
              </w:rPr>
              <w:t xml:space="preserve">people </w:t>
            </w:r>
            <w:r w:rsidR="000D2A32" w:rsidRPr="00914E29">
              <w:rPr>
                <w:rFonts w:cs="Calibri Light"/>
                <w:sz w:val="22"/>
                <w:szCs w:val="22"/>
              </w:rPr>
              <w:t>could be established</w:t>
            </w:r>
            <w:r w:rsidR="00721EE9" w:rsidRPr="00914E29">
              <w:rPr>
                <w:rFonts w:cs="Calibri Light"/>
                <w:sz w:val="22"/>
                <w:szCs w:val="22"/>
              </w:rPr>
              <w:t>.</w:t>
            </w:r>
            <w:r w:rsidR="00D914C4" w:rsidRPr="00914E29">
              <w:rPr>
                <w:rFonts w:cs="Calibri Light"/>
                <w:sz w:val="22"/>
                <w:szCs w:val="22"/>
              </w:rPr>
              <w:t xml:space="preserve"> </w:t>
            </w:r>
          </w:p>
        </w:tc>
      </w:tr>
    </w:tbl>
    <w:p w14:paraId="30BDA8E1" w14:textId="77777777" w:rsidR="00D12809" w:rsidRPr="00731962" w:rsidRDefault="00D12809">
      <w:pPr>
        <w:rPr>
          <w:rFonts w:ascii="Calibri" w:hAnsi="Calibri" w:cs="Arial"/>
          <w:bCs/>
          <w:kern w:val="32"/>
          <w:sz w:val="36"/>
          <w:szCs w:val="36"/>
        </w:rPr>
      </w:pPr>
      <w:r>
        <w:br w:type="page"/>
      </w:r>
    </w:p>
    <w:p w14:paraId="541521B2" w14:textId="3933E085" w:rsidR="0045488B" w:rsidRDefault="0064418F" w:rsidP="00DA2721">
      <w:pPr>
        <w:pStyle w:val="Heading1"/>
      </w:pPr>
      <w:bookmarkStart w:id="59" w:name="_Ref180487688"/>
      <w:bookmarkStart w:id="60" w:name="_Toc189559049"/>
      <w:r>
        <w:t>Chapter 5: The broader data and reporting ecosystem</w:t>
      </w:r>
      <w:bookmarkEnd w:id="59"/>
      <w:bookmarkEnd w:id="60"/>
    </w:p>
    <w:p w14:paraId="1652F6B9" w14:textId="37DA7DFF" w:rsidR="00795DE2" w:rsidRDefault="00535503" w:rsidP="00795DE2">
      <w:pPr>
        <w:pStyle w:val="Heading2"/>
      </w:pPr>
      <w:r>
        <w:t>T</w:t>
      </w:r>
      <w:r w:rsidR="00795DE2">
        <w:t xml:space="preserve">he RoGS and the Dashboard </w:t>
      </w:r>
      <w:r>
        <w:t>in a crowded landscape</w:t>
      </w:r>
    </w:p>
    <w:p w14:paraId="4C494FEF" w14:textId="475DBFDB" w:rsidR="004073C2" w:rsidRDefault="003F5DB3" w:rsidP="00234AE2">
      <w:pPr>
        <w:rPr>
          <w:lang w:val="en-US"/>
        </w:rPr>
      </w:pPr>
      <w:r w:rsidRPr="003F5DB3">
        <w:rPr>
          <w:lang w:val="en-US"/>
        </w:rPr>
        <w:t>Australia’s performance reporting landscape is</w:t>
      </w:r>
      <w:r w:rsidRPr="003F5DB3" w:rsidDel="00D77E4E">
        <w:rPr>
          <w:lang w:val="en-US"/>
        </w:rPr>
        <w:t xml:space="preserve"> </w:t>
      </w:r>
      <w:r w:rsidRPr="003F5DB3">
        <w:rPr>
          <w:lang w:val="en-US"/>
        </w:rPr>
        <w:t>crowded. Governments regularly report on what they have done</w:t>
      </w:r>
      <w:r w:rsidR="00235624">
        <w:rPr>
          <w:lang w:val="en-US"/>
        </w:rPr>
        <w:t>,</w:t>
      </w:r>
      <w:r w:rsidRPr="003F5DB3">
        <w:rPr>
          <w:lang w:val="en-US"/>
        </w:rPr>
        <w:t xml:space="preserve"> and the results achieved. </w:t>
      </w:r>
      <w:r w:rsidR="000B0BA9">
        <w:rPr>
          <w:lang w:val="en-US"/>
        </w:rPr>
        <w:t>S</w:t>
      </w:r>
      <w:r w:rsidRPr="003F5DB3">
        <w:rPr>
          <w:lang w:val="en-US"/>
        </w:rPr>
        <w:t>eparate bodies report on government performance across different policy areas (</w:t>
      </w:r>
      <w:r w:rsidR="00427FAB" w:rsidRPr="00427FAB">
        <w:rPr>
          <w:i/>
          <w:iCs/>
          <w:lang w:val="en-US"/>
        </w:rPr>
        <w:t>Information</w:t>
      </w:r>
      <w:r w:rsidR="00427FAB" w:rsidRPr="006941D6">
        <w:t xml:space="preserve"> Box 16: Other national performance reporting frameworks</w:t>
      </w:r>
      <w:r w:rsidR="004073C2">
        <w:rPr>
          <w:lang w:val="en-US"/>
        </w:rPr>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0B0BA9" w14:paraId="7C3162C9" w14:textId="77777777">
        <w:trPr>
          <w:trHeight w:val="3164"/>
        </w:trPr>
        <w:tc>
          <w:tcPr>
            <w:tcW w:w="5000" w:type="pct"/>
            <w:shd w:val="clear" w:color="auto" w:fill="EEEEEE" w:themeFill="background2"/>
          </w:tcPr>
          <w:p w14:paraId="4AE275F2" w14:textId="2CE326D9" w:rsidR="000B0BA9" w:rsidRPr="006941D6" w:rsidRDefault="006941D6" w:rsidP="006941D6">
            <w:pPr>
              <w:pStyle w:val="BoxHeading"/>
            </w:pPr>
            <w:bookmarkStart w:id="61" w:name="_Ref181297866"/>
            <w:r w:rsidRPr="006941D6">
              <w:t>Information Box 16</w:t>
            </w:r>
            <w:r w:rsidR="000B0BA9" w:rsidRPr="006941D6">
              <w:t>: Other national performance reporting frameworks</w:t>
            </w:r>
            <w:bookmarkEnd w:id="61"/>
          </w:p>
          <w:p w14:paraId="6CD3935D" w14:textId="28DF18E5" w:rsidR="000B0BA9" w:rsidRPr="00730686" w:rsidRDefault="000B0BA9" w:rsidP="006941D6">
            <w:pPr>
              <w:pStyle w:val="BoxText"/>
            </w:pPr>
            <w:r w:rsidRPr="00730686">
              <w:t xml:space="preserve">Commonwealth entities and companies are required to report annually on actual results achieved against performance measures published in their corporate plans and portfolio budget statements, where applicable under the </w:t>
            </w:r>
            <w:r w:rsidRPr="004073C2">
              <w:t>Commonwealth Performance Framework</w:t>
            </w:r>
            <w:r w:rsidRPr="00730686">
              <w:t>.</w:t>
            </w:r>
          </w:p>
          <w:p w14:paraId="0BC93772" w14:textId="04B71CA0" w:rsidR="000B0BA9" w:rsidRPr="00730686" w:rsidRDefault="000B0BA9" w:rsidP="006941D6">
            <w:pPr>
              <w:pStyle w:val="BoxText"/>
            </w:pPr>
            <w:r w:rsidRPr="00730686">
              <w:t xml:space="preserve">Similar reporting requirements exist for </w:t>
            </w:r>
            <w:r>
              <w:t>S</w:t>
            </w:r>
            <w:r w:rsidRPr="00730686">
              <w:t xml:space="preserve">tate and </w:t>
            </w:r>
            <w:r>
              <w:t>T</w:t>
            </w:r>
            <w:r w:rsidRPr="00730686">
              <w:t xml:space="preserve">erritory governments and for local councils. For example, the </w:t>
            </w:r>
            <w:r w:rsidRPr="004073C2">
              <w:t>Queensland Government’s Performance Management Framework Policy</w:t>
            </w:r>
            <w:r w:rsidRPr="00730686">
              <w:t xml:space="preserve"> is designed to help agencies meet legislated performance requirements. Indeed, some entities, such </w:t>
            </w:r>
            <w:r w:rsidR="002328D5">
              <w:t xml:space="preserve">as </w:t>
            </w:r>
            <w:r w:rsidRPr="00730686">
              <w:t>Resources Victoria, report on their performance more frequently.</w:t>
            </w:r>
          </w:p>
          <w:p w14:paraId="4160D02E" w14:textId="4D2F7943" w:rsidR="000B0BA9" w:rsidRPr="00CD0C0D" w:rsidRDefault="000B0BA9" w:rsidP="006941D6">
            <w:pPr>
              <w:pStyle w:val="BoxText"/>
              <w:rPr>
                <w:rStyle w:val="Hyperlink"/>
                <w:rFonts w:cs="Calibri Light"/>
                <w:color w:val="auto"/>
                <w:szCs w:val="18"/>
              </w:rPr>
            </w:pPr>
            <w:r w:rsidRPr="00730686">
              <w:t xml:space="preserve">Additional reporting occurs in priority areas and for the </w:t>
            </w:r>
            <w:r w:rsidR="008C316F">
              <w:t>distribution of</w:t>
            </w:r>
            <w:r w:rsidRPr="00730686">
              <w:t xml:space="preserve"> goods and services tax (GST)</w:t>
            </w:r>
            <w:r w:rsidR="008C316F">
              <w:t xml:space="preserve"> revenue between </w:t>
            </w:r>
            <w:r w:rsidR="00036558">
              <w:t>S</w:t>
            </w:r>
            <w:r w:rsidR="00BC755C">
              <w:t xml:space="preserve">tates </w:t>
            </w:r>
            <w:r w:rsidR="003A7A9E">
              <w:t xml:space="preserve">and </w:t>
            </w:r>
            <w:r w:rsidR="00036558">
              <w:t>T</w:t>
            </w:r>
            <w:r w:rsidR="003A7A9E">
              <w:t xml:space="preserve">erritories </w:t>
            </w:r>
            <w:r w:rsidR="00BC755C">
              <w:t>based on the recommendation of the CGC. This</w:t>
            </w:r>
            <w:r w:rsidRPr="00730686">
              <w:t xml:space="preserve"> </w:t>
            </w:r>
            <w:r w:rsidRPr="00CD0C0D">
              <w:rPr>
                <w:rStyle w:val="Hyperlink"/>
                <w:rFonts w:cs="Calibri Light"/>
                <w:color w:val="auto"/>
                <w:szCs w:val="18"/>
              </w:rPr>
              <w:t>provides a rich source of information at the national, State, Territory and local level.</w:t>
            </w:r>
          </w:p>
          <w:p w14:paraId="4A95E53A" w14:textId="7AA1FECE" w:rsidR="004C65EF" w:rsidRPr="00730686" w:rsidRDefault="004C65EF" w:rsidP="006941D6">
            <w:pPr>
              <w:pStyle w:val="BoxText"/>
            </w:pPr>
            <w:r w:rsidRPr="00730686">
              <w:t xml:space="preserve">The </w:t>
            </w:r>
            <w:r>
              <w:t>CGC</w:t>
            </w:r>
            <w:r w:rsidRPr="00730686">
              <w:t xml:space="preserve"> estimates and reports on how much each </w:t>
            </w:r>
            <w:r>
              <w:t>S</w:t>
            </w:r>
            <w:r w:rsidRPr="00730686">
              <w:t xml:space="preserve">tate and </w:t>
            </w:r>
            <w:r>
              <w:t>T</w:t>
            </w:r>
            <w:r w:rsidRPr="00730686">
              <w:t xml:space="preserve">erritory needs to spend to deliver </w:t>
            </w:r>
            <w:r>
              <w:t xml:space="preserve">a comparable </w:t>
            </w:r>
            <w:r w:rsidRPr="00730686">
              <w:t>level of service, and how much each jurisdiction can raise from taxes and Commonwealth payments. The CGC then makes recommendations to the Commonwealth on how the GST revenue should be distributed.</w:t>
            </w:r>
          </w:p>
          <w:p w14:paraId="3A1F3E4B" w14:textId="599FC82C" w:rsidR="000B0BA9" w:rsidRPr="00730686" w:rsidRDefault="000B0BA9" w:rsidP="006941D6">
            <w:pPr>
              <w:pStyle w:val="BoxText"/>
              <w:rPr>
                <w:rFonts w:eastAsiaTheme="majorEastAsia"/>
              </w:rPr>
            </w:pPr>
            <w:r w:rsidRPr="00730686">
              <w:rPr>
                <w:rFonts w:eastAsiaTheme="majorEastAsia"/>
              </w:rPr>
              <w:t xml:space="preserve">Governments seek to deliver objectives and outcomes for their expenditure in key policy areas, which are specified in </w:t>
            </w:r>
            <w:r w:rsidRPr="004073C2">
              <w:rPr>
                <w:rFonts w:eastAsiaTheme="majorEastAsia"/>
              </w:rPr>
              <w:t>National Agreements</w:t>
            </w:r>
            <w:r w:rsidRPr="00730686">
              <w:rPr>
                <w:rFonts w:eastAsiaTheme="majorEastAsia"/>
              </w:rPr>
              <w:t>. These agreements also include national targets and measures to track and report publicly on progress.</w:t>
            </w:r>
            <w:r w:rsidRPr="00730686">
              <w:t xml:space="preserve"> In addition, the </w:t>
            </w:r>
            <w:r w:rsidRPr="004073C2">
              <w:rPr>
                <w:i/>
              </w:rPr>
              <w:t>Closing the Gap Information Repository</w:t>
            </w:r>
            <w:r w:rsidRPr="00730686">
              <w:rPr>
                <w:rStyle w:val="Hyperlink"/>
                <w:rFonts w:cs="Calibri Light"/>
                <w:sz w:val="20"/>
              </w:rPr>
              <w:t xml:space="preserve"> </w:t>
            </w:r>
            <w:r w:rsidRPr="00730686">
              <w:t xml:space="preserve">provides information on the targets and indicators in the </w:t>
            </w:r>
            <w:r w:rsidRPr="00633A53">
              <w:rPr>
                <w:i/>
              </w:rPr>
              <w:t>National Agreement on Closing the Gap</w:t>
            </w:r>
            <w:r w:rsidRPr="00730686">
              <w:t>.</w:t>
            </w:r>
          </w:p>
          <w:p w14:paraId="77EA904E" w14:textId="5D2F5CBD" w:rsidR="000B0BA9" w:rsidRPr="00730686" w:rsidRDefault="000B0BA9" w:rsidP="006941D6">
            <w:pPr>
              <w:pStyle w:val="BoxText"/>
            </w:pPr>
            <w:r w:rsidRPr="00730686">
              <w:t xml:space="preserve">Other independent bodies, such as the </w:t>
            </w:r>
            <w:r w:rsidRPr="00C752A3">
              <w:t>AIHW</w:t>
            </w:r>
            <w:r w:rsidRPr="00730686">
              <w:rPr>
                <w:rStyle w:val="Hyperlink"/>
                <w:rFonts w:cs="Calibri Light"/>
                <w:sz w:val="20"/>
              </w:rPr>
              <w:t>,</w:t>
            </w:r>
            <w:r w:rsidRPr="00730686">
              <w:t xml:space="preserve"> also report on government performance in certain sectors. This reporting can be regular or ad hoc.</w:t>
            </w:r>
          </w:p>
          <w:p w14:paraId="7CAEF05A" w14:textId="1DBBD372" w:rsidR="000B0BA9" w:rsidRPr="00730686" w:rsidRDefault="000B0BA9" w:rsidP="006941D6">
            <w:pPr>
              <w:pStyle w:val="BoxText"/>
            </w:pPr>
            <w:r w:rsidRPr="00730686">
              <w:t xml:space="preserve">In addition, governments also seek to evaluate the impact of policies and programs to assess their effectiveness and determine if changes need to be made. For example, in 2023, the Commonwealth established the </w:t>
            </w:r>
            <w:r w:rsidRPr="00C752A3">
              <w:t>Australian Centre for Evaluation</w:t>
            </w:r>
            <w:r w:rsidRPr="00730686">
              <w:t xml:space="preserve"> to integrate evaluation evidence into policy design</w:t>
            </w:r>
            <w:r>
              <w:t xml:space="preserve"> and </w:t>
            </w:r>
            <w:r w:rsidRPr="009D1C91">
              <w:t>embed good evaluation principles and practices across government</w:t>
            </w:r>
            <w:r w:rsidRPr="00730686">
              <w:t xml:space="preserve">. States and Territories </w:t>
            </w:r>
            <w:r>
              <w:t>have</w:t>
            </w:r>
            <w:r w:rsidRPr="00730686">
              <w:t xml:space="preserve"> also implemented their own frameworks and undertake their own program evaluations. For example, New South Wales has </w:t>
            </w:r>
            <w:r w:rsidRPr="00C752A3">
              <w:t>mandatory requirements, recommendations and guidance</w:t>
            </w:r>
            <w:r w:rsidRPr="00730686">
              <w:t xml:space="preserve"> for NSW </w:t>
            </w:r>
            <w:r>
              <w:t>G</w:t>
            </w:r>
            <w:r w:rsidRPr="00730686">
              <w:t>overnment agencies and entities planning and conducting evaluations.</w:t>
            </w:r>
          </w:p>
          <w:p w14:paraId="5E479BD0" w14:textId="1941A471" w:rsidR="000B0BA9" w:rsidRPr="0011590D" w:rsidRDefault="000B0BA9" w:rsidP="003C187C">
            <w:pPr>
              <w:pStyle w:val="ChartorTableNote"/>
            </w:pPr>
            <w:r w:rsidRPr="00421416">
              <w:t xml:space="preserve">Sources: </w:t>
            </w:r>
            <w:r w:rsidR="00557591">
              <w:rPr>
                <w:noProof/>
              </w:rPr>
              <w:t>(Department of Finance 2024; Queensland Government 2022; Coalition of Aboriginal and Torres Strait Islander Peak Organisations Commonwealth of Australia, and Australian States and Territories 2020; CGC 2024b; The Treasury 2024; NSW Government 2023)</w:t>
            </w:r>
          </w:p>
        </w:tc>
      </w:tr>
    </w:tbl>
    <w:p w14:paraId="210FBABE" w14:textId="1AF4A7EC" w:rsidR="00DD085D" w:rsidRDefault="000B0BA9" w:rsidP="00234AE2">
      <w:pPr>
        <w:rPr>
          <w:lang w:val="en-US"/>
        </w:rPr>
      </w:pPr>
      <w:r w:rsidRPr="00234AE2">
        <w:rPr>
          <w:lang w:val="en-US"/>
        </w:rPr>
        <w:t>Given the wide array of information available to assess the effectiveness of government performance,</w:t>
      </w:r>
      <w:r>
        <w:rPr>
          <w:lang w:val="en-US"/>
        </w:rPr>
        <w:t xml:space="preserve"> </w:t>
      </w:r>
      <w:r w:rsidR="00234AE2" w:rsidRPr="00234AE2">
        <w:rPr>
          <w:lang w:val="en-US"/>
        </w:rPr>
        <w:t xml:space="preserve">it is not surprising that stakeholders </w:t>
      </w:r>
      <w:r w:rsidR="00B65D32">
        <w:rPr>
          <w:rFonts w:ascii="Calibri" w:hAnsi="Calibri" w:cs="Calibri"/>
          <w:lang w:val="en-US"/>
        </w:rPr>
        <w:t>—</w:t>
      </w:r>
      <w:r w:rsidR="00234AE2" w:rsidRPr="00234AE2">
        <w:rPr>
          <w:lang w:val="en-US"/>
        </w:rPr>
        <w:t xml:space="preserve"> within and outside governments </w:t>
      </w:r>
      <w:r w:rsidR="00B65D32">
        <w:rPr>
          <w:rFonts w:ascii="Calibri" w:hAnsi="Calibri" w:cs="Calibri"/>
          <w:lang w:val="en-US"/>
        </w:rPr>
        <w:t>—</w:t>
      </w:r>
      <w:r w:rsidR="00234AE2" w:rsidRPr="00234AE2">
        <w:rPr>
          <w:lang w:val="en-US"/>
        </w:rPr>
        <w:t xml:space="preserve"> expressed confusion about the role of the RoGS and the Dashboard in this environment. </w:t>
      </w:r>
      <w:r w:rsidR="00D971E1">
        <w:rPr>
          <w:lang w:val="en-US"/>
        </w:rPr>
        <w:t>Several</w:t>
      </w:r>
      <w:r w:rsidR="00234AE2" w:rsidRPr="00234AE2">
        <w:rPr>
          <w:lang w:val="en-US"/>
        </w:rPr>
        <w:t xml:space="preserve"> roundtable participants told the Review that there appeared to be significant duplication, noting that many indicators in the RoGS and the Dashboard were also captured by other government products. For example, </w:t>
      </w:r>
      <w:r w:rsidR="0081613A">
        <w:rPr>
          <w:lang w:val="en-US"/>
        </w:rPr>
        <w:t xml:space="preserve">the </w:t>
      </w:r>
      <w:r w:rsidR="00234AE2" w:rsidRPr="00234AE2">
        <w:rPr>
          <w:lang w:val="en-US"/>
        </w:rPr>
        <w:t xml:space="preserve">AIHW separately publishes data on different health indicators, cancer screening rates, presentations to emergency departments in public hospitals and people who accessed mental health services, </w:t>
      </w:r>
      <w:r w:rsidR="001D53DE">
        <w:rPr>
          <w:lang w:val="en-US"/>
        </w:rPr>
        <w:t>which</w:t>
      </w:r>
      <w:r w:rsidR="00234AE2" w:rsidRPr="00234AE2">
        <w:rPr>
          <w:lang w:val="en-US"/>
        </w:rPr>
        <w:t xml:space="preserve"> are also reported in the RoGS</w:t>
      </w:r>
      <w:sdt>
        <w:sdtPr>
          <w:rPr>
            <w:lang w:val="en-US"/>
          </w:rPr>
          <w:id w:val="-1332596560"/>
          <w:citation/>
        </w:sdtPr>
        <w:sdtEndPr/>
        <w:sdtContent>
          <w:r w:rsidR="00F43D56">
            <w:rPr>
              <w:lang w:val="en-US"/>
            </w:rPr>
            <w:fldChar w:fldCharType="begin"/>
          </w:r>
          <w:r w:rsidR="00837973">
            <w:instrText xml:space="preserve">CITATION Aus243 \l 3081 </w:instrText>
          </w:r>
          <w:r w:rsidR="00F43D56">
            <w:rPr>
              <w:lang w:val="en-US"/>
            </w:rPr>
            <w:fldChar w:fldCharType="separate"/>
          </w:r>
          <w:r w:rsidR="00837973">
            <w:rPr>
              <w:noProof/>
            </w:rPr>
            <w:t xml:space="preserve"> (AIHW 2024h)</w:t>
          </w:r>
          <w:r w:rsidR="00F43D56">
            <w:rPr>
              <w:lang w:val="en-US"/>
            </w:rPr>
            <w:fldChar w:fldCharType="end"/>
          </w:r>
        </w:sdtContent>
      </w:sdt>
      <w:r w:rsidR="00234AE2" w:rsidRPr="00234AE2">
        <w:rPr>
          <w:lang w:val="en-US"/>
        </w:rPr>
        <w:t xml:space="preserve">. </w:t>
      </w:r>
    </w:p>
    <w:p w14:paraId="49C69C09" w14:textId="24A7462F" w:rsidR="00234AE2" w:rsidRPr="00234AE2" w:rsidRDefault="00234AE2" w:rsidP="00234AE2">
      <w:pPr>
        <w:rPr>
          <w:lang w:val="en-US"/>
        </w:rPr>
      </w:pPr>
      <w:r w:rsidRPr="00234AE2">
        <w:rPr>
          <w:lang w:val="en-US"/>
        </w:rPr>
        <w:t xml:space="preserve">Where bodies publish similar but not identical information, some stakeholders found it difficult to determine the right ‘source of truth’. For example, the RoGS measures participation by First Nations children in early childhood education and care, while the </w:t>
      </w:r>
      <w:r w:rsidRPr="00234AE2">
        <w:rPr>
          <w:i/>
          <w:iCs/>
          <w:lang w:val="en-US"/>
        </w:rPr>
        <w:t>Closing the Gap Information Repository</w:t>
      </w:r>
      <w:r w:rsidRPr="00234AE2">
        <w:rPr>
          <w:lang w:val="en-US"/>
        </w:rPr>
        <w:t xml:space="preserve"> reports on whether First Nations children are engaged in high quality, culturally appropriate early childhood education in their early years </w:t>
      </w:r>
      <w:sdt>
        <w:sdtPr>
          <w:rPr>
            <w:lang w:val="en-US"/>
          </w:rPr>
          <w:id w:val="-1837373683"/>
          <w:citation/>
        </w:sdtPr>
        <w:sdtEndPr/>
        <w:sdtContent>
          <w:r w:rsidR="00F43D56">
            <w:rPr>
              <w:lang w:val="en-US"/>
            </w:rPr>
            <w:fldChar w:fldCharType="begin"/>
          </w:r>
          <w:r w:rsidR="009F089A">
            <w:instrText xml:space="preserve">CITATION ProCtG24 \l 3081 </w:instrText>
          </w:r>
          <w:r w:rsidR="00F43D56">
            <w:rPr>
              <w:lang w:val="en-US"/>
            </w:rPr>
            <w:fldChar w:fldCharType="separate"/>
          </w:r>
          <w:r w:rsidR="009F089A">
            <w:rPr>
              <w:noProof/>
            </w:rPr>
            <w:t>(PC 2024c)</w:t>
          </w:r>
          <w:r w:rsidR="00F43D56">
            <w:rPr>
              <w:lang w:val="en-US"/>
            </w:rPr>
            <w:fldChar w:fldCharType="end"/>
          </w:r>
        </w:sdtContent>
      </w:sdt>
      <w:r w:rsidRPr="00234AE2">
        <w:rPr>
          <w:lang w:val="en-US"/>
        </w:rPr>
        <w:t>.</w:t>
      </w:r>
    </w:p>
    <w:p w14:paraId="635CE015" w14:textId="034B5E5E" w:rsidR="00234AE2" w:rsidRPr="00234AE2" w:rsidRDefault="00234AE2" w:rsidP="00234AE2">
      <w:pPr>
        <w:rPr>
          <w:lang w:val="en-US"/>
        </w:rPr>
      </w:pPr>
      <w:r w:rsidRPr="00234AE2">
        <w:rPr>
          <w:lang w:val="en-US"/>
        </w:rPr>
        <w:t xml:space="preserve">The Review considers that some of this apparent duplication reflects the development of different kinds of reporting tools for different purposes. In some instances, duplication is the result of independent development processes, such as those for National Agreement performance reporting. At other times, duplication is by design, such as where data contributes to a broader measurement mechanism, like a wellbeing framework. Measuring citizen wellbeing as a complement to economic indicators like GDP has gained prominence over the past decade, and in 2023 the Commonwealth introduced a national framework, </w:t>
      </w:r>
      <w:r w:rsidRPr="00DC77AB">
        <w:rPr>
          <w:lang w:val="en-US"/>
        </w:rPr>
        <w:t>Measuring What Matters</w:t>
      </w:r>
      <w:r w:rsidRPr="00234AE2">
        <w:rPr>
          <w:lang w:val="en-US"/>
        </w:rPr>
        <w:t xml:space="preserve"> (</w:t>
      </w:r>
      <w:r w:rsidR="00427FAB" w:rsidRPr="00427FAB">
        <w:rPr>
          <w:i/>
          <w:iCs/>
          <w:lang w:val="en-US"/>
        </w:rPr>
        <w:t>Information</w:t>
      </w:r>
      <w:r w:rsidR="00427FAB" w:rsidRPr="006941D6">
        <w:t xml:space="preserve"> Box 17: Measuring What Matters and the RoGS</w:t>
      </w:r>
      <w:r w:rsidRPr="00234AE2">
        <w:rPr>
          <w:lang w:val="en-US"/>
        </w:rPr>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927850" w14:paraId="45886909" w14:textId="77777777" w:rsidTr="00B11057">
        <w:trPr>
          <w:trHeight w:val="1858"/>
        </w:trPr>
        <w:tc>
          <w:tcPr>
            <w:tcW w:w="5000" w:type="pct"/>
            <w:shd w:val="clear" w:color="auto" w:fill="EEEEEE" w:themeFill="background2"/>
          </w:tcPr>
          <w:p w14:paraId="0E84378F" w14:textId="368ABC4F" w:rsidR="00927850" w:rsidRPr="006941D6" w:rsidRDefault="006941D6" w:rsidP="006941D6">
            <w:pPr>
              <w:pStyle w:val="BoxHeading"/>
            </w:pPr>
            <w:bookmarkStart w:id="62" w:name="_Ref180506380"/>
            <w:r w:rsidRPr="006941D6">
              <w:t>Information Box 17</w:t>
            </w:r>
            <w:r w:rsidR="00927850" w:rsidRPr="006941D6">
              <w:t xml:space="preserve">: Measuring What Matters </w:t>
            </w:r>
            <w:r w:rsidR="008F4510" w:rsidRPr="006941D6">
              <w:t>and the RoGS</w:t>
            </w:r>
            <w:bookmarkEnd w:id="62"/>
          </w:p>
          <w:p w14:paraId="22675F67" w14:textId="366AC604" w:rsidR="00212BA0" w:rsidRPr="00B11057" w:rsidRDefault="00212BA0" w:rsidP="006941D6">
            <w:pPr>
              <w:pStyle w:val="BoxText"/>
            </w:pPr>
            <w:r w:rsidRPr="00C752A3">
              <w:rPr>
                <w:i/>
              </w:rPr>
              <w:t>Measuring What Matters</w:t>
            </w:r>
            <w:r w:rsidRPr="00B11057">
              <w:t xml:space="preserve"> tracks progress against 50 indicators across </w:t>
            </w:r>
            <w:r w:rsidR="00DB0B16">
              <w:t>5</w:t>
            </w:r>
            <w:r w:rsidRPr="00B11057">
              <w:t xml:space="preserve"> wellbeing themes: healthy, secure, sustainable, cohesive and prosperous. </w:t>
            </w:r>
            <w:r w:rsidR="00D2050A">
              <w:t>Inclusion, equity and fairness are cross-cutting themes</w:t>
            </w:r>
            <w:r w:rsidRPr="00B11057">
              <w:t xml:space="preserve">. It provides an overarching view of how Australia is faring against measures of individual and collective wellbeing. </w:t>
            </w:r>
          </w:p>
          <w:p w14:paraId="72C3C403" w14:textId="587D4FE0" w:rsidR="00212BA0" w:rsidRPr="00B11057" w:rsidRDefault="00212BA0" w:rsidP="006941D6">
            <w:pPr>
              <w:pStyle w:val="BoxText"/>
            </w:pPr>
            <w:r w:rsidRPr="00C752A3">
              <w:rPr>
                <w:i/>
              </w:rPr>
              <w:t>Measuring What Matters</w:t>
            </w:r>
            <w:r w:rsidRPr="00B11057">
              <w:t xml:space="preserve"> draws on the RoGS for 2 indicators (‘</w:t>
            </w:r>
            <w:r w:rsidRPr="00C752A3">
              <w:t>Access to care and support services</w:t>
            </w:r>
            <w:r w:rsidRPr="00B11057">
              <w:t>’ and ‘</w:t>
            </w:r>
            <w:r w:rsidRPr="00C752A3">
              <w:t>Feeling of safety</w:t>
            </w:r>
            <w:r w:rsidRPr="00B11057">
              <w:t xml:space="preserve">’). The framework notes that it is intended as a complement to, rather than replacement for, existing frameworks, by providing a national view of societal wellbeing. It draws on, but does not replace, more detailed indicator frameworks, </w:t>
            </w:r>
            <w:r w:rsidR="00BD0E01">
              <w:t>such as</w:t>
            </w:r>
            <w:r w:rsidRPr="00B11057">
              <w:t xml:space="preserve">: </w:t>
            </w:r>
          </w:p>
          <w:p w14:paraId="5B439FDF" w14:textId="793344F5" w:rsidR="00212BA0" w:rsidRPr="00B11057" w:rsidRDefault="00212BA0" w:rsidP="006941D6">
            <w:pPr>
              <w:pStyle w:val="Boxbullet"/>
            </w:pPr>
            <w:r w:rsidRPr="00B11057">
              <w:t>tailored indicators developed for life outcomes of First Nations peoples</w:t>
            </w:r>
          </w:p>
          <w:p w14:paraId="4C5926B9" w14:textId="7545F322" w:rsidR="00212BA0" w:rsidRPr="00B11057" w:rsidRDefault="00212BA0" w:rsidP="006941D6">
            <w:pPr>
              <w:pStyle w:val="Boxbullet"/>
            </w:pPr>
            <w:r w:rsidRPr="00B11057">
              <w:t>indicators on the equity, effectiveness and efficiency of government services</w:t>
            </w:r>
          </w:p>
          <w:p w14:paraId="132F5297" w14:textId="21277B6D" w:rsidR="00212BA0" w:rsidRPr="00B11057" w:rsidRDefault="00212BA0" w:rsidP="006941D6">
            <w:pPr>
              <w:pStyle w:val="Boxbullet"/>
            </w:pPr>
            <w:r w:rsidRPr="00B11057">
              <w:t>geographically</w:t>
            </w:r>
            <w:r w:rsidR="00B65D32">
              <w:t>-</w:t>
            </w:r>
            <w:r w:rsidRPr="00B11057">
              <w:t>focused work.</w:t>
            </w:r>
          </w:p>
          <w:p w14:paraId="1077230D" w14:textId="3CA2DE0A" w:rsidR="00927850" w:rsidRPr="0011590D" w:rsidRDefault="00927850" w:rsidP="003C187C">
            <w:pPr>
              <w:pStyle w:val="ChartorTableNote"/>
            </w:pPr>
            <w:r w:rsidRPr="00294285">
              <w:t>Source</w:t>
            </w:r>
            <w:r w:rsidR="00212BA0" w:rsidRPr="00294285">
              <w:t xml:space="preserve">: </w:t>
            </w:r>
            <w:sdt>
              <w:sdtPr>
                <w:id w:val="1266432664"/>
                <w:citation/>
              </w:sdtPr>
              <w:sdtEndPr/>
              <w:sdtContent>
                <w:r w:rsidR="00294285" w:rsidRPr="00294285">
                  <w:fldChar w:fldCharType="begin"/>
                </w:r>
                <w:r w:rsidR="00294285" w:rsidRPr="00294285">
                  <w:instrText xml:space="preserve"> CITATION Com233 \l 3081 </w:instrText>
                </w:r>
                <w:r w:rsidR="00294285" w:rsidRPr="00294285">
                  <w:fldChar w:fldCharType="separate"/>
                </w:r>
                <w:r w:rsidR="003003B3">
                  <w:rPr>
                    <w:noProof/>
                  </w:rPr>
                  <w:t>(Commonwealth of Australia 2023c)</w:t>
                </w:r>
                <w:r w:rsidR="00294285" w:rsidRPr="00294285">
                  <w:fldChar w:fldCharType="end"/>
                </w:r>
              </w:sdtContent>
            </w:sdt>
          </w:p>
        </w:tc>
      </w:tr>
    </w:tbl>
    <w:p w14:paraId="281C80E9" w14:textId="48C1B063" w:rsidR="00834B0F" w:rsidRPr="00834B0F" w:rsidRDefault="00834B0F" w:rsidP="00834B0F">
      <w:pPr>
        <w:rPr>
          <w:lang w:val="en-US"/>
        </w:rPr>
      </w:pPr>
      <w:r w:rsidRPr="00834B0F">
        <w:rPr>
          <w:lang w:val="en-US"/>
        </w:rPr>
        <w:t xml:space="preserve">Like </w:t>
      </w:r>
      <w:r w:rsidRPr="00DC77AB">
        <w:rPr>
          <w:lang w:val="en-US"/>
        </w:rPr>
        <w:t>Measuring What Matters</w:t>
      </w:r>
      <w:r w:rsidRPr="00834B0F">
        <w:rPr>
          <w:lang w:val="en-US"/>
        </w:rPr>
        <w:t>, the RoGS and the Dashboard are intended to complement other published government reporting, but the Review concedes their distinct purpose may not always be clear to intended users. Based on feedback from stakeholders, the Review did explore what more could be done to draw out the unique offering of the RoGS and the Dashboard. On the latter, a</w:t>
      </w:r>
      <w:r w:rsidR="00516D11">
        <w:rPr>
          <w:lang w:val="en-US"/>
        </w:rPr>
        <w:t>n updated</w:t>
      </w:r>
      <w:r w:rsidRPr="00834B0F">
        <w:rPr>
          <w:lang w:val="en-US"/>
        </w:rPr>
        <w:t xml:space="preserve"> Dashboard that consolidates performance information for major Commonwealth</w:t>
      </w:r>
      <w:r w:rsidR="00B65D32">
        <w:rPr>
          <w:lang w:val="en-US"/>
        </w:rPr>
        <w:t>-</w:t>
      </w:r>
      <w:r w:rsidRPr="00834B0F">
        <w:rPr>
          <w:lang w:val="en-US"/>
        </w:rPr>
        <w:t>State funding agreements is notable, as there is no other product that brings together this information for key agreements in one place (</w:t>
      </w:r>
      <w:r w:rsidR="00D276C7" w:rsidRPr="00D276C7">
        <w:rPr>
          <w:i/>
          <w:iCs/>
        </w:rPr>
        <w:t>Chapter 3: The approach to performance reporting</w:t>
      </w:r>
      <w:r w:rsidRPr="00834B0F">
        <w:rPr>
          <w:lang w:val="en-US"/>
        </w:rPr>
        <w:t>).</w:t>
      </w:r>
    </w:p>
    <w:p w14:paraId="688A2BC1" w14:textId="4239761C" w:rsidR="00834B0F" w:rsidRPr="00834B0F" w:rsidRDefault="00C752A3" w:rsidP="00834B0F">
      <w:pPr>
        <w:rPr>
          <w:lang w:val="en-US"/>
        </w:rPr>
      </w:pPr>
      <w:r>
        <w:rPr>
          <w:lang w:val="en-US"/>
        </w:rPr>
        <w:t>T</w:t>
      </w:r>
      <w:r w:rsidR="00834B0F" w:rsidRPr="00834B0F">
        <w:rPr>
          <w:lang w:val="en-US"/>
        </w:rPr>
        <w:t>he Review considered whether it might be appropriate to scale back the RoGS to only include data that is not otherwise publicly available. However, during consultation many stakeholders spoke highly of the RoGS as a ‘one stop shop’ for performance information across service areas nationally. These stakeholders also acknowledged that the RoGS had largely been immune to politically</w:t>
      </w:r>
      <w:r w:rsidR="00B65D32">
        <w:rPr>
          <w:lang w:val="en-US"/>
        </w:rPr>
        <w:t>-</w:t>
      </w:r>
      <w:r w:rsidR="00834B0F" w:rsidRPr="00834B0F">
        <w:rPr>
          <w:lang w:val="en-US"/>
        </w:rPr>
        <w:t>driven measurement changes, and so could present a consistent time</w:t>
      </w:r>
      <w:r w:rsidR="00B65D32">
        <w:rPr>
          <w:lang w:val="en-US"/>
        </w:rPr>
        <w:t>-</w:t>
      </w:r>
      <w:r w:rsidR="00834B0F" w:rsidRPr="00834B0F">
        <w:rPr>
          <w:lang w:val="en-US"/>
        </w:rPr>
        <w:t>series for many indicators, in some instances over 3 decades. This highlights the benefits of the RoGS’ long</w:t>
      </w:r>
      <w:r w:rsidR="00B65D32">
        <w:rPr>
          <w:lang w:val="en-US"/>
        </w:rPr>
        <w:t>-</w:t>
      </w:r>
      <w:r w:rsidR="00834B0F" w:rsidRPr="00834B0F">
        <w:rPr>
          <w:lang w:val="en-US"/>
        </w:rPr>
        <w:t>standing cross</w:t>
      </w:r>
      <w:r w:rsidR="00B65D32">
        <w:rPr>
          <w:lang w:val="en-US"/>
        </w:rPr>
        <w:t>-</w:t>
      </w:r>
      <w:r w:rsidR="00834B0F" w:rsidRPr="00834B0F">
        <w:rPr>
          <w:lang w:val="en-US"/>
        </w:rPr>
        <w:t>jurisdictional and consensus</w:t>
      </w:r>
      <w:r w:rsidR="00B65D32">
        <w:rPr>
          <w:lang w:val="en-US"/>
        </w:rPr>
        <w:t>-</w:t>
      </w:r>
      <w:r w:rsidR="00834B0F" w:rsidRPr="00834B0F">
        <w:rPr>
          <w:lang w:val="en-US"/>
        </w:rPr>
        <w:t>based approach. This was seen as a core strength of the product that should be maintained. As such, relying on other bodies that may be subject to changing government perspectives on how to measure performance to continue to publish relevant data could risk the future feasibility of this kind of analysis. As a result, the Review does not support scaling back the RoGS.</w:t>
      </w:r>
    </w:p>
    <w:p w14:paraId="17BD8566" w14:textId="005CA652" w:rsidR="00834B0F" w:rsidRPr="00834B0F" w:rsidRDefault="00834B0F" w:rsidP="009A717A">
      <w:pPr>
        <w:rPr>
          <w:lang w:val="en-US"/>
        </w:rPr>
      </w:pPr>
      <w:r w:rsidRPr="00834B0F">
        <w:rPr>
          <w:lang w:val="en-US"/>
        </w:rPr>
        <w:t>Ultimately, there is no easy fix for the crowded reporting environment in which the RoGS and the Dashboard operate. Instances of duplication and overlap, while confusing for users, are sometimes unavoidable. That said, the Review considers opportunities exist to streamline back</w:t>
      </w:r>
      <w:r w:rsidR="00B65D32">
        <w:rPr>
          <w:lang w:val="en-US"/>
        </w:rPr>
        <w:t>-</w:t>
      </w:r>
      <w:r w:rsidRPr="00834B0F">
        <w:rPr>
          <w:lang w:val="en-US"/>
        </w:rPr>
        <w:t>end processes to reduce administrative burden through enhancing connections to data and digital experts, exploring the potential of integrated datasets, and more consistently employing the Steering Committee’s performance reporting expertise. In addition, greater engagement between the Steering Committee and the community will help improve the effectiveness and relevance of performance measures and improve understand</w:t>
      </w:r>
      <w:r w:rsidR="004A4497">
        <w:rPr>
          <w:lang w:val="en-US"/>
        </w:rPr>
        <w:t>ing</w:t>
      </w:r>
      <w:r w:rsidRPr="00834B0F">
        <w:rPr>
          <w:lang w:val="en-US"/>
        </w:rPr>
        <w:t xml:space="preserve"> of the purpose and value of the RoGS and the Dashboard (</w:t>
      </w:r>
      <w:r w:rsidR="00D276C7" w:rsidRPr="00D276C7">
        <w:rPr>
          <w:i/>
          <w:iCs/>
        </w:rPr>
        <w:t>Chapter 4: The usefulness and accessibility of the information</w:t>
      </w:r>
      <w:r w:rsidRPr="008B6E96">
        <w:rPr>
          <w:lang w:val="en-US"/>
        </w:rPr>
        <w:t>)</w:t>
      </w:r>
      <w:r w:rsidRPr="00834B0F">
        <w:rPr>
          <w:i/>
          <w:iCs/>
          <w:lang w:val="en-US"/>
        </w:rPr>
        <w:t>.</w:t>
      </w:r>
    </w:p>
    <w:p w14:paraId="42B47DC7" w14:textId="1B0AAD17" w:rsidR="00795DE2" w:rsidRDefault="00617BBA" w:rsidP="00617BBA">
      <w:pPr>
        <w:pStyle w:val="Heading2"/>
      </w:pPr>
      <w:r>
        <w:t>Better connect to other data and digital experts</w:t>
      </w:r>
    </w:p>
    <w:p w14:paraId="27ADBDE0" w14:textId="32333F4F" w:rsidR="0056522D" w:rsidRPr="0056522D" w:rsidRDefault="0056522D" w:rsidP="0056522D">
      <w:pPr>
        <w:rPr>
          <w:lang w:val="en-US"/>
        </w:rPr>
      </w:pPr>
      <w:r w:rsidRPr="0056522D">
        <w:rPr>
          <w:lang w:val="en-US"/>
        </w:rPr>
        <w:t>The Steering Committee already works closely with a range of other experts, including the AIHW and the ABS, to develop and improve data reporting. The AIHW and the ABS also participate on the Steering Committee as technical experts (</w:t>
      </w:r>
      <w:r w:rsidR="00D276C7" w:rsidRPr="00D276C7">
        <w:rPr>
          <w:i/>
          <w:iCs/>
        </w:rPr>
        <w:t>Chapter 2: Overview of the reporting products</w:t>
      </w:r>
      <w:r w:rsidRPr="0056522D">
        <w:rPr>
          <w:lang w:val="en-US"/>
        </w:rPr>
        <w:t xml:space="preserve">). The RGSP Secretariat is a member of </w:t>
      </w:r>
      <w:r w:rsidR="0067299F">
        <w:rPr>
          <w:lang w:val="en-US"/>
        </w:rPr>
        <w:t>more than 15</w:t>
      </w:r>
      <w:r w:rsidRPr="0056522D">
        <w:rPr>
          <w:lang w:val="en-US"/>
        </w:rPr>
        <w:t xml:space="preserve"> ongoing and temporary data reference </w:t>
      </w:r>
      <w:r w:rsidR="002F39B5">
        <w:rPr>
          <w:lang w:val="en-US"/>
        </w:rPr>
        <w:t xml:space="preserve">groups </w:t>
      </w:r>
      <w:r w:rsidR="0067299F">
        <w:rPr>
          <w:lang w:val="en-US"/>
        </w:rPr>
        <w:t>across</w:t>
      </w:r>
      <w:r w:rsidRPr="0056522D">
        <w:rPr>
          <w:lang w:val="en-US"/>
        </w:rPr>
        <w:t xml:space="preserve"> the RoGS service areas</w:t>
      </w:r>
      <w:r w:rsidR="0067299F">
        <w:rPr>
          <w:lang w:val="en-US"/>
        </w:rPr>
        <w:t xml:space="preserve"> </w:t>
      </w:r>
      <w:sdt>
        <w:sdtPr>
          <w:id w:val="-1875225174"/>
          <w:citation/>
        </w:sdtPr>
        <w:sdtEndPr/>
        <w:sdtContent>
          <w:r w:rsidR="0067299F">
            <w:fldChar w:fldCharType="begin"/>
          </w:r>
          <w:r w:rsidR="00C74E55">
            <w:instrText xml:space="preserve">CITATION Sec24 \l 3081 </w:instrText>
          </w:r>
          <w:r w:rsidR="0067299F">
            <w:fldChar w:fldCharType="separate"/>
          </w:r>
          <w:r w:rsidR="003003B3">
            <w:rPr>
              <w:noProof/>
            </w:rPr>
            <w:t>(PC 2024b)</w:t>
          </w:r>
          <w:r w:rsidR="0067299F">
            <w:fldChar w:fldCharType="end"/>
          </w:r>
        </w:sdtContent>
      </w:sdt>
      <w:r w:rsidR="0067299F">
        <w:rPr>
          <w:lang w:val="en-US"/>
        </w:rPr>
        <w:t>.</w:t>
      </w:r>
    </w:p>
    <w:p w14:paraId="4AD5962F" w14:textId="2290910A" w:rsidR="0056522D" w:rsidRPr="0056522D" w:rsidRDefault="0056522D" w:rsidP="0056522D">
      <w:pPr>
        <w:rPr>
          <w:lang w:val="en-US"/>
        </w:rPr>
      </w:pPr>
      <w:r w:rsidRPr="0056522D">
        <w:rPr>
          <w:lang w:val="en-US"/>
        </w:rPr>
        <w:t>The Review acknowledges the broad scope of the Steering Committee’s interaction with parallel data reference groups via the RGSP Secretariat</w:t>
      </w:r>
      <w:r w:rsidR="004707BE">
        <w:rPr>
          <w:lang w:val="en-US"/>
        </w:rPr>
        <w:t>.</w:t>
      </w:r>
      <w:r w:rsidR="000F0583">
        <w:rPr>
          <w:lang w:val="en-US"/>
        </w:rPr>
        <w:t xml:space="preserve"> That said,</w:t>
      </w:r>
      <w:r w:rsidRPr="0056522D">
        <w:rPr>
          <w:lang w:val="en-US"/>
        </w:rPr>
        <w:t xml:space="preserve"> more can be done to strengthen linkages within RoGS service areas and build new ones with other relevant bodies</w:t>
      </w:r>
      <w:r w:rsidR="00B45A7F">
        <w:rPr>
          <w:lang w:val="en-US"/>
        </w:rPr>
        <w:t>. For example</w:t>
      </w:r>
      <w:r w:rsidR="007A77A0">
        <w:rPr>
          <w:lang w:val="en-US"/>
        </w:rPr>
        <w:t xml:space="preserve">, </w:t>
      </w:r>
      <w:r w:rsidR="00B45A7F">
        <w:rPr>
          <w:lang w:val="en-US"/>
        </w:rPr>
        <w:t xml:space="preserve">connecting with </w:t>
      </w:r>
      <w:r w:rsidR="007A77A0">
        <w:rPr>
          <w:lang w:val="en-US"/>
        </w:rPr>
        <w:t xml:space="preserve">committees related to </w:t>
      </w:r>
      <w:r w:rsidR="00900264">
        <w:rPr>
          <w:lang w:val="en-US"/>
        </w:rPr>
        <w:t>N</w:t>
      </w:r>
      <w:r w:rsidR="007A77A0">
        <w:rPr>
          <w:lang w:val="en-US"/>
        </w:rPr>
        <w:t xml:space="preserve">ational </w:t>
      </w:r>
      <w:r w:rsidR="00900264">
        <w:rPr>
          <w:lang w:val="en-US"/>
        </w:rPr>
        <w:t>A</w:t>
      </w:r>
      <w:r w:rsidR="007A77A0">
        <w:rPr>
          <w:lang w:val="en-US"/>
        </w:rPr>
        <w:t>greement performance reporting and data development</w:t>
      </w:r>
      <w:r w:rsidR="00481919">
        <w:rPr>
          <w:lang w:val="en-US"/>
        </w:rPr>
        <w:t xml:space="preserve">, </w:t>
      </w:r>
      <w:r w:rsidR="00B64B3C">
        <w:rPr>
          <w:lang w:val="en-US"/>
        </w:rPr>
        <w:t>such as</w:t>
      </w:r>
      <w:r w:rsidR="00481919">
        <w:rPr>
          <w:lang w:val="en-US"/>
        </w:rPr>
        <w:t xml:space="preserve"> </w:t>
      </w:r>
      <w:r w:rsidR="004D138E" w:rsidRPr="00290D96">
        <w:rPr>
          <w:lang w:val="en-US"/>
        </w:rPr>
        <w:t xml:space="preserve">the </w:t>
      </w:r>
      <w:r w:rsidRPr="00290D96">
        <w:t>Strategic Committee for National Health Information</w:t>
      </w:r>
      <w:r w:rsidR="004D138E" w:rsidRPr="00290D96">
        <w:t xml:space="preserve"> </w:t>
      </w:r>
      <w:r w:rsidR="00481919" w:rsidRPr="00290D96">
        <w:t>a</w:t>
      </w:r>
      <w:r w:rsidR="004D138E" w:rsidRPr="00290D96">
        <w:t xml:space="preserve">nd the </w:t>
      </w:r>
      <w:r w:rsidRPr="00290D96">
        <w:t>Mental Health and Suicide Prevention Data Governance Forum</w:t>
      </w:r>
      <w:r w:rsidRPr="0056522D">
        <w:t>.</w:t>
      </w:r>
      <w:r w:rsidRPr="0056522D">
        <w:rPr>
          <w:lang w:val="en-US"/>
        </w:rPr>
        <w:t xml:space="preserve"> </w:t>
      </w:r>
      <w:r w:rsidR="00481919">
        <w:rPr>
          <w:lang w:val="en-US"/>
        </w:rPr>
        <w:t>T</w:t>
      </w:r>
      <w:r w:rsidRPr="0056522D">
        <w:rPr>
          <w:lang w:val="en-US"/>
        </w:rPr>
        <w:t xml:space="preserve">he RGSP Secretariat </w:t>
      </w:r>
      <w:r w:rsidR="00481919">
        <w:rPr>
          <w:lang w:val="en-US"/>
        </w:rPr>
        <w:t xml:space="preserve">also </w:t>
      </w:r>
      <w:r w:rsidRPr="0056522D">
        <w:rPr>
          <w:lang w:val="en-US"/>
        </w:rPr>
        <w:t xml:space="preserve">does not participate on the police and corrective services data groups </w:t>
      </w:r>
      <w:sdt>
        <w:sdtPr>
          <w:rPr>
            <w:lang w:val="en-US"/>
          </w:rPr>
          <w:id w:val="-1182198607"/>
          <w:citation/>
        </w:sdtPr>
        <w:sdtEndPr/>
        <w:sdtContent>
          <w:r w:rsidR="00D74D51">
            <w:rPr>
              <w:lang w:val="en-US"/>
            </w:rPr>
            <w:fldChar w:fldCharType="begin"/>
          </w:r>
          <w:r w:rsidR="00C74E55">
            <w:instrText xml:space="preserve">CITATION Sec24 \l 3081 </w:instrText>
          </w:r>
          <w:r w:rsidR="00D74D51">
            <w:rPr>
              <w:lang w:val="en-US"/>
            </w:rPr>
            <w:fldChar w:fldCharType="separate"/>
          </w:r>
          <w:r w:rsidR="003003B3">
            <w:rPr>
              <w:noProof/>
            </w:rPr>
            <w:t>(PC 2024b)</w:t>
          </w:r>
          <w:r w:rsidR="00D74D51">
            <w:rPr>
              <w:lang w:val="en-US"/>
            </w:rPr>
            <w:fldChar w:fldCharType="end"/>
          </w:r>
        </w:sdtContent>
      </w:sdt>
      <w:r w:rsidRPr="0056522D">
        <w:rPr>
          <w:lang w:val="en-US"/>
        </w:rPr>
        <w:t>.</w:t>
      </w:r>
    </w:p>
    <w:p w14:paraId="7EEF75B7" w14:textId="59E14341" w:rsidR="0056522D" w:rsidRPr="0056522D" w:rsidRDefault="0056522D" w:rsidP="0056522D">
      <w:pPr>
        <w:rPr>
          <w:lang w:val="en-US"/>
        </w:rPr>
      </w:pPr>
      <w:r w:rsidRPr="0056522D">
        <w:rPr>
          <w:lang w:val="en-US"/>
        </w:rPr>
        <w:t xml:space="preserve">The Steering Committee should focus efforts on gaining representation on these groups, and others with similar focuses, given the close connection to RoGS. Permanent representation, even in an observer capacity, would </w:t>
      </w:r>
      <w:r w:rsidR="00481919" w:rsidRPr="0056522D">
        <w:rPr>
          <w:lang w:val="en-US"/>
        </w:rPr>
        <w:t>strengthen</w:t>
      </w:r>
      <w:r w:rsidRPr="0056522D">
        <w:rPr>
          <w:lang w:val="en-US"/>
        </w:rPr>
        <w:t xml:space="preserve"> the RGSP Secretariat’s visibility of relevant data development work</w:t>
      </w:r>
      <w:r w:rsidR="00580B8F">
        <w:rPr>
          <w:lang w:val="en-US"/>
        </w:rPr>
        <w:t>. This</w:t>
      </w:r>
      <w:r w:rsidRPr="0056522D">
        <w:rPr>
          <w:lang w:val="en-US"/>
        </w:rPr>
        <w:t xml:space="preserve"> could help improve the quality and coverage of the RoGS. Through the RGSP Secretariat, the Steering Committee would also be able to contribute its expertise to the work of these data reference groups to collective</w:t>
      </w:r>
      <w:r w:rsidR="001F0AE6">
        <w:rPr>
          <w:lang w:val="en-US"/>
        </w:rPr>
        <w:t>ly</w:t>
      </w:r>
      <w:r w:rsidRPr="0056522D">
        <w:rPr>
          <w:lang w:val="en-US"/>
        </w:rPr>
        <w:t xml:space="preserve"> address performance reporting gaps.</w:t>
      </w:r>
    </w:p>
    <w:p w14:paraId="6AD16C28" w14:textId="14FD62CA" w:rsidR="00401361" w:rsidRPr="00401361" w:rsidRDefault="00401361" w:rsidP="00401361">
      <w:pPr>
        <w:rPr>
          <w:lang w:val="en-US"/>
        </w:rPr>
      </w:pPr>
      <w:r w:rsidRPr="00401361">
        <w:rPr>
          <w:lang w:val="en-US"/>
        </w:rPr>
        <w:t xml:space="preserve">Separately, stakeholders also suggested that it would be appropriate to explore greater engagement with the CGC. While the CGC has a different </w:t>
      </w:r>
      <w:r w:rsidR="00481919">
        <w:rPr>
          <w:lang w:val="en-US"/>
        </w:rPr>
        <w:t>agenda</w:t>
      </w:r>
      <w:r w:rsidRPr="00401361">
        <w:rPr>
          <w:lang w:val="en-US"/>
        </w:rPr>
        <w:t xml:space="preserve"> </w:t>
      </w:r>
      <w:r w:rsidR="00B65D32">
        <w:rPr>
          <w:rFonts w:ascii="Calibri" w:hAnsi="Calibri" w:cs="Calibri"/>
          <w:lang w:val="en-US"/>
        </w:rPr>
        <w:t>—</w:t>
      </w:r>
      <w:r w:rsidRPr="00401361">
        <w:rPr>
          <w:lang w:val="en-US"/>
        </w:rPr>
        <w:t xml:space="preserve"> to advise the on the distribution of GST amongst the States and Territories </w:t>
      </w:r>
      <w:r w:rsidR="00B65D32">
        <w:rPr>
          <w:rFonts w:ascii="Calibri" w:hAnsi="Calibri" w:cs="Calibri"/>
          <w:lang w:val="en-US"/>
        </w:rPr>
        <w:t>—</w:t>
      </w:r>
      <w:r w:rsidRPr="00401361">
        <w:rPr>
          <w:lang w:val="en-US"/>
        </w:rPr>
        <w:t xml:space="preserve"> it faces some similar challenges to the RoGS</w:t>
      </w:r>
      <w:r w:rsidR="00580B8F">
        <w:rPr>
          <w:lang w:val="en-US"/>
        </w:rPr>
        <w:t>. These include issues of</w:t>
      </w:r>
      <w:r w:rsidRPr="00401361">
        <w:rPr>
          <w:lang w:val="en-US"/>
        </w:rPr>
        <w:t xml:space="preserve"> data availability and comparability</w:t>
      </w:r>
      <w:r w:rsidR="00481919">
        <w:rPr>
          <w:lang w:val="en-US"/>
        </w:rPr>
        <w:t xml:space="preserve"> </w:t>
      </w:r>
      <w:r w:rsidRPr="00401361">
        <w:rPr>
          <w:lang w:val="en-US"/>
        </w:rPr>
        <w:t>where sharing learnings could be beneficial. As a starting point, the RGSP Secretariat should meet with the CGC to explore how useful and practical an ongoing relationship might be.</w:t>
      </w:r>
    </w:p>
    <w:p w14:paraId="71087F87" w14:textId="4A5C1AE5" w:rsidR="00C057EC" w:rsidRDefault="00401361" w:rsidP="00401361">
      <w:pPr>
        <w:rPr>
          <w:lang w:val="en-US"/>
        </w:rPr>
      </w:pPr>
      <w:r w:rsidRPr="00401361">
        <w:rPr>
          <w:lang w:val="en-US"/>
        </w:rPr>
        <w:t xml:space="preserve">An area where the Steering Committee has more limited connections is in the digital space. The Review explored how emerging technologies, in particular </w:t>
      </w:r>
      <w:r w:rsidR="00481919">
        <w:rPr>
          <w:lang w:val="en-US"/>
        </w:rPr>
        <w:t>AI</w:t>
      </w:r>
      <w:r w:rsidR="008A4C62" w:rsidRPr="00401361">
        <w:rPr>
          <w:lang w:val="en-US"/>
        </w:rPr>
        <w:t xml:space="preserve"> </w:t>
      </w:r>
      <w:r w:rsidRPr="00401361">
        <w:rPr>
          <w:lang w:val="en-US"/>
        </w:rPr>
        <w:t>tools, might impact how performance data is collected, analysed and reported.</w:t>
      </w:r>
      <w:r w:rsidR="005C429E">
        <w:rPr>
          <w:lang w:val="en-US"/>
        </w:rPr>
        <w:t xml:space="preserve"> </w:t>
      </w:r>
      <w:r w:rsidR="00481919">
        <w:rPr>
          <w:lang w:val="en-US"/>
        </w:rPr>
        <w:t>R</w:t>
      </w:r>
      <w:r w:rsidR="005C429E">
        <w:rPr>
          <w:lang w:val="en-US"/>
        </w:rPr>
        <w:t>esearch indicated</w:t>
      </w:r>
      <w:r w:rsidRPr="00401361">
        <w:rPr>
          <w:lang w:val="en-US"/>
        </w:rPr>
        <w:t xml:space="preserve"> many governments are only at the early stages of integrating AI tools, </w:t>
      </w:r>
      <w:r w:rsidR="00C057EC">
        <w:rPr>
          <w:lang w:val="en-US"/>
        </w:rPr>
        <w:t xml:space="preserve">meaning </w:t>
      </w:r>
      <w:r w:rsidRPr="00401361">
        <w:rPr>
          <w:lang w:val="en-US"/>
        </w:rPr>
        <w:t>it is too early to say at this point what their impact might be</w:t>
      </w:r>
      <w:r w:rsidR="003C70BD">
        <w:rPr>
          <w:lang w:val="en-US"/>
        </w:rPr>
        <w:t xml:space="preserve"> </w:t>
      </w:r>
      <w:sdt>
        <w:sdtPr>
          <w:rPr>
            <w:lang w:val="en-US"/>
          </w:rPr>
          <w:id w:val="133770912"/>
          <w:citation/>
        </w:sdtPr>
        <w:sdtEndPr/>
        <w:sdtContent>
          <w:r w:rsidR="007A5F6F">
            <w:rPr>
              <w:lang w:val="en-US"/>
            </w:rPr>
            <w:fldChar w:fldCharType="begin"/>
          </w:r>
          <w:r w:rsidR="007A5F6F">
            <w:instrText xml:space="preserve"> CITATION Com234 \l 3081 </w:instrText>
          </w:r>
          <w:r w:rsidR="007A5F6F">
            <w:rPr>
              <w:lang w:val="en-US"/>
            </w:rPr>
            <w:fldChar w:fldCharType="separate"/>
          </w:r>
          <w:r w:rsidR="003003B3">
            <w:rPr>
              <w:noProof/>
            </w:rPr>
            <w:t>(Commonwealth of Australia 2023d)</w:t>
          </w:r>
          <w:r w:rsidR="007A5F6F">
            <w:rPr>
              <w:lang w:val="en-US"/>
            </w:rPr>
            <w:fldChar w:fldCharType="end"/>
          </w:r>
        </w:sdtContent>
      </w:sdt>
      <w:r w:rsidRPr="00401361">
        <w:rPr>
          <w:lang w:val="en-US"/>
        </w:rPr>
        <w:t>.</w:t>
      </w:r>
    </w:p>
    <w:p w14:paraId="50D07CC5" w14:textId="7DA6EA8E" w:rsidR="00401361" w:rsidRPr="00401361" w:rsidRDefault="00940C1D" w:rsidP="00401361">
      <w:pPr>
        <w:rPr>
          <w:lang w:val="en-US"/>
        </w:rPr>
      </w:pPr>
      <w:r>
        <w:rPr>
          <w:lang w:val="en-US"/>
        </w:rPr>
        <w:t>T</w:t>
      </w:r>
      <w:r w:rsidR="00401361" w:rsidRPr="00401361">
        <w:rPr>
          <w:lang w:val="en-US"/>
        </w:rPr>
        <w:t>he Steering Committee should continue to watch these developments as they could change the way governments gather data and users interact with performance information.</w:t>
      </w:r>
      <w:r w:rsidR="00C057EC">
        <w:rPr>
          <w:lang w:val="en-US"/>
        </w:rPr>
        <w:t xml:space="preserve"> To facilitate this</w:t>
      </w:r>
      <w:r w:rsidR="00401361" w:rsidRPr="00401361">
        <w:rPr>
          <w:lang w:val="en-US"/>
        </w:rPr>
        <w:t xml:space="preserve">, the Steering Committee should establish a formal connection with the </w:t>
      </w:r>
      <w:r w:rsidR="00401361" w:rsidRPr="00290D96">
        <w:rPr>
          <w:lang w:val="en-US"/>
        </w:rPr>
        <w:t>Data and Digital Ministers Meeting</w:t>
      </w:r>
      <w:r w:rsidR="00401361" w:rsidRPr="00401361">
        <w:rPr>
          <w:lang w:val="en-US"/>
        </w:rPr>
        <w:t xml:space="preserve">, and its supporting </w:t>
      </w:r>
      <w:r w:rsidR="00401361" w:rsidRPr="00290D96">
        <w:rPr>
          <w:lang w:val="en-US"/>
        </w:rPr>
        <w:t>Data and Analytics Working Group</w:t>
      </w:r>
      <w:r w:rsidR="00401361" w:rsidRPr="00401361">
        <w:rPr>
          <w:lang w:val="en-US"/>
        </w:rPr>
        <w:t>, to ensure the RoGS and the Dashboard are well</w:t>
      </w:r>
      <w:r w:rsidR="00481919">
        <w:rPr>
          <w:lang w:val="en-US"/>
        </w:rPr>
        <w:t xml:space="preserve"> </w:t>
      </w:r>
      <w:r w:rsidR="00401361" w:rsidRPr="00401361">
        <w:rPr>
          <w:lang w:val="en-US"/>
        </w:rPr>
        <w:t>positioned to adopt developments in data and digital technologies.</w:t>
      </w:r>
    </w:p>
    <w:p w14:paraId="694F8361" w14:textId="77777777" w:rsidR="00401361" w:rsidRPr="00401361" w:rsidRDefault="00401361" w:rsidP="00401361">
      <w:pPr>
        <w:rPr>
          <w:lang w:val="en-US"/>
        </w:rPr>
      </w:pPr>
      <w:r w:rsidRPr="00401361">
        <w:rPr>
          <w:lang w:val="en-US"/>
        </w:rPr>
        <w:t>Better connections would help to minimise unnecessary duplication between the RoGS, the Dashboard and other performance reports. It could also reduce the administrative burden on data providers by improving linkages between other existing data sources and enabling the sharing of best practice. It would also ensure other experts are aware that the RoGS and the Dashboard provide a rich central source of performance information.</w:t>
      </w:r>
    </w:p>
    <w:p w14:paraId="6FCDD0AF" w14:textId="305033F4" w:rsidR="00617BBA" w:rsidRDefault="00092C80" w:rsidP="00092C80">
      <w:pPr>
        <w:pStyle w:val="Heading2"/>
      </w:pPr>
      <w:r>
        <w:t>Explore linked data to enhance performance reporting</w:t>
      </w:r>
    </w:p>
    <w:p w14:paraId="6971B325" w14:textId="6C7D6842" w:rsidR="001F3ACD" w:rsidRPr="001F3ACD" w:rsidRDefault="001F3ACD" w:rsidP="009A717A">
      <w:pPr>
        <w:rPr>
          <w:lang w:val="en-US"/>
        </w:rPr>
      </w:pPr>
      <w:r w:rsidRPr="001F3ACD">
        <w:rPr>
          <w:lang w:val="en-US"/>
        </w:rPr>
        <w:t xml:space="preserve">Stakeholders noted that there is a need to better understand both a person’s journey through the service system and how services in one sector might impact those in other sectors. Currently, reporting in the RoGS is broken down by service area and </w:t>
      </w:r>
      <w:r w:rsidR="002D717F">
        <w:rPr>
          <w:lang w:val="en-US"/>
        </w:rPr>
        <w:t>includes very limited</w:t>
      </w:r>
      <w:r w:rsidRPr="001F3ACD">
        <w:rPr>
          <w:lang w:val="en-US"/>
        </w:rPr>
        <w:t xml:space="preserve"> cross</w:t>
      </w:r>
      <w:r w:rsidR="00B65D32">
        <w:rPr>
          <w:lang w:val="en-US"/>
        </w:rPr>
        <w:t>-</w:t>
      </w:r>
      <w:r w:rsidRPr="001F3ACD">
        <w:rPr>
          <w:lang w:val="en-US"/>
        </w:rPr>
        <w:t xml:space="preserve">sectoral </w:t>
      </w:r>
      <w:r w:rsidR="00941EFC">
        <w:rPr>
          <w:lang w:val="en-US"/>
        </w:rPr>
        <w:t xml:space="preserve">analysis. </w:t>
      </w:r>
      <w:r w:rsidRPr="001F3ACD">
        <w:rPr>
          <w:lang w:val="en-US"/>
        </w:rPr>
        <w:t>Linked or ‘integrated’ datasets can enable this kind of analysis by bringing together information from multiple data sources such as health, housing, education and social services to generate insights that wouldn’t be possible when only examining one source of data.</w:t>
      </w:r>
    </w:p>
    <w:p w14:paraId="49F27619" w14:textId="00760EF2" w:rsidR="001F3ACD" w:rsidRPr="001F3ACD" w:rsidRDefault="001F3ACD" w:rsidP="009A717A">
      <w:pPr>
        <w:rPr>
          <w:lang w:val="en-US"/>
        </w:rPr>
      </w:pPr>
      <w:r w:rsidRPr="001F3ACD">
        <w:rPr>
          <w:lang w:val="en-US"/>
        </w:rPr>
        <w:t>While data integration is not a new concept, governments have been focused on expanding integration efforts in recent years, both across services and jurisdictions. This work aims to improve the ‘</w:t>
      </w:r>
      <w:r w:rsidR="00964AED" w:rsidRPr="001F3ACD">
        <w:rPr>
          <w:lang w:val="en-US"/>
        </w:rPr>
        <w:t>front</w:t>
      </w:r>
      <w:r w:rsidR="00964AED">
        <w:rPr>
          <w:lang w:val="en-US"/>
        </w:rPr>
        <w:t xml:space="preserve"> end</w:t>
      </w:r>
      <w:r w:rsidRPr="001F3ACD">
        <w:rPr>
          <w:lang w:val="en-US"/>
        </w:rPr>
        <w:t xml:space="preserve">’ experience for service users and to inform government policy, service delivery and research. Consistent with the </w:t>
      </w:r>
      <w:r w:rsidRPr="001F3ACD">
        <w:rPr>
          <w:i/>
          <w:iCs/>
          <w:lang w:val="en-US"/>
        </w:rPr>
        <w:t>Intergovernmental agreement on data sharing between Commonwealth and State and Territory governments,</w:t>
      </w:r>
      <w:r w:rsidRPr="001F3ACD">
        <w:rPr>
          <w:lang w:val="en-US"/>
        </w:rPr>
        <w:t xml:space="preserve"> data and digital ministers are working collaboratively to enhance sharing and linking of public sector data </w:t>
      </w:r>
      <w:sdt>
        <w:sdtPr>
          <w:rPr>
            <w:lang w:val="en-US"/>
          </w:rPr>
          <w:id w:val="1942177621"/>
          <w:citation/>
        </w:sdtPr>
        <w:sdtEndPr/>
        <w:sdtContent>
          <w:r w:rsidRPr="001F3ACD">
            <w:rPr>
              <w:lang w:val="en-US"/>
            </w:rPr>
            <w:fldChar w:fldCharType="begin"/>
          </w:r>
          <w:r w:rsidR="009B2E6A">
            <w:instrText xml:space="preserve">CITATION Com21 \l 3081 </w:instrText>
          </w:r>
          <w:r w:rsidRPr="001F3ACD">
            <w:rPr>
              <w:lang w:val="en-US"/>
            </w:rPr>
            <w:fldChar w:fldCharType="separate"/>
          </w:r>
          <w:r w:rsidR="003003B3">
            <w:rPr>
              <w:noProof/>
            </w:rPr>
            <w:t>(Commonwealth of Australia and Australian States and Territories 2021)</w:t>
          </w:r>
          <w:r w:rsidRPr="001F3ACD">
            <w:fldChar w:fldCharType="end"/>
          </w:r>
        </w:sdtContent>
      </w:sdt>
      <w:r w:rsidRPr="001F3ACD">
        <w:rPr>
          <w:lang w:val="en-US"/>
        </w:rPr>
        <w:t xml:space="preserve">. </w:t>
      </w:r>
    </w:p>
    <w:p w14:paraId="75A966E2" w14:textId="00F248B6" w:rsidR="001F3ACD" w:rsidRPr="001F3ACD" w:rsidRDefault="00D971E1" w:rsidP="009A717A">
      <w:pPr>
        <w:rPr>
          <w:lang w:val="en-US"/>
        </w:rPr>
      </w:pPr>
      <w:r>
        <w:rPr>
          <w:lang w:val="en-US"/>
        </w:rPr>
        <w:t>A range of</w:t>
      </w:r>
      <w:r w:rsidR="001F3ACD" w:rsidRPr="001F3ACD">
        <w:rPr>
          <w:lang w:val="en-US"/>
        </w:rPr>
        <w:t xml:space="preserve"> linked datasets are currently maintained or are in development. For example, the </w:t>
      </w:r>
      <w:r w:rsidR="001F3ACD" w:rsidRPr="00290D96">
        <w:rPr>
          <w:lang w:val="en-US"/>
        </w:rPr>
        <w:t xml:space="preserve">Person Level Integrated Data Asset </w:t>
      </w:r>
      <w:r w:rsidR="001F3ACD" w:rsidRPr="001F3ACD">
        <w:rPr>
          <w:lang w:val="en-US"/>
        </w:rPr>
        <w:t xml:space="preserve">(PLIDA) </w:t>
      </w:r>
      <w:r w:rsidR="00B65D32">
        <w:rPr>
          <w:rFonts w:ascii="Calibri" w:hAnsi="Calibri" w:cs="Calibri"/>
          <w:lang w:val="en-US"/>
        </w:rPr>
        <w:t>—</w:t>
      </w:r>
      <w:r w:rsidR="001F3ACD" w:rsidRPr="001F3ACD">
        <w:rPr>
          <w:lang w:val="en-US"/>
        </w:rPr>
        <w:t xml:space="preserve"> previously known as the </w:t>
      </w:r>
      <w:r w:rsidR="001F3ACD" w:rsidRPr="00290D96">
        <w:rPr>
          <w:lang w:val="en-US"/>
        </w:rPr>
        <w:t>Multi</w:t>
      </w:r>
      <w:r w:rsidR="00B65D32">
        <w:rPr>
          <w:lang w:val="en-US"/>
        </w:rPr>
        <w:t>-</w:t>
      </w:r>
      <w:r w:rsidR="001F3ACD" w:rsidRPr="00290D96">
        <w:rPr>
          <w:lang w:val="en-US"/>
        </w:rPr>
        <w:t>Agency Data Integration Project</w:t>
      </w:r>
      <w:r w:rsidR="001F3ACD" w:rsidRPr="001F3ACD">
        <w:rPr>
          <w:lang w:val="en-US"/>
        </w:rPr>
        <w:t xml:space="preserve"> </w:t>
      </w:r>
      <w:r w:rsidR="00B65D32">
        <w:rPr>
          <w:rFonts w:ascii="Calibri" w:hAnsi="Calibri" w:cs="Calibri"/>
          <w:lang w:val="en-US"/>
        </w:rPr>
        <w:t>—</w:t>
      </w:r>
      <w:r w:rsidR="001F3ACD" w:rsidRPr="001F3ACD">
        <w:rPr>
          <w:lang w:val="en-US"/>
        </w:rPr>
        <w:t xml:space="preserve"> was established in 2015 </w:t>
      </w:r>
      <w:sdt>
        <w:sdtPr>
          <w:rPr>
            <w:lang w:val="en-US"/>
          </w:rPr>
          <w:id w:val="-2515546"/>
          <w:citation/>
        </w:sdtPr>
        <w:sdtEndPr/>
        <w:sdtContent>
          <w:r w:rsidR="001F3ACD" w:rsidRPr="001F3ACD">
            <w:rPr>
              <w:lang w:val="en-US"/>
            </w:rPr>
            <w:fldChar w:fldCharType="begin"/>
          </w:r>
          <w:r w:rsidR="00C74E55">
            <w:instrText xml:space="preserve">CITATION Aus24 \l 3081 </w:instrText>
          </w:r>
          <w:r w:rsidR="001F3ACD" w:rsidRPr="001F3ACD">
            <w:rPr>
              <w:lang w:val="en-US"/>
            </w:rPr>
            <w:fldChar w:fldCharType="separate"/>
          </w:r>
          <w:r w:rsidR="003003B3">
            <w:rPr>
              <w:noProof/>
            </w:rPr>
            <w:t>(ABS 2024c)</w:t>
          </w:r>
          <w:r w:rsidR="001F3ACD" w:rsidRPr="001F3ACD">
            <w:fldChar w:fldCharType="end"/>
          </w:r>
        </w:sdtContent>
      </w:sdt>
      <w:r w:rsidR="001F3ACD" w:rsidRPr="001F3ACD">
        <w:rPr>
          <w:lang w:val="en-US"/>
        </w:rPr>
        <w:t>. More recently, in 2023 all governments committed to a multilateral data sharing agreement to support the:</w:t>
      </w:r>
    </w:p>
    <w:p w14:paraId="7EDCE914" w14:textId="72D34DDF" w:rsidR="001F3ACD" w:rsidRPr="001F3ACD" w:rsidRDefault="001F3ACD" w:rsidP="00701E1F">
      <w:pPr>
        <w:pStyle w:val="Bullet"/>
        <w:spacing w:line="240" w:lineRule="auto"/>
        <w:ind w:left="357" w:hanging="357"/>
      </w:pPr>
      <w:r w:rsidRPr="00290D96">
        <w:t>Australian National Data Integration Infrastructure</w:t>
      </w:r>
      <w:r w:rsidRPr="001F3ACD">
        <w:t xml:space="preserve"> (ANDII) </w:t>
      </w:r>
      <w:r w:rsidR="00B65D32">
        <w:rPr>
          <w:rFonts w:ascii="Calibri" w:hAnsi="Calibri" w:cs="Calibri"/>
        </w:rPr>
        <w:t>—</w:t>
      </w:r>
      <w:r w:rsidRPr="001F3ACD">
        <w:t xml:space="preserve"> a framework and ICT solution that enables streamlined data sharing for the creation of data assets</w:t>
      </w:r>
    </w:p>
    <w:p w14:paraId="7BE6A391" w14:textId="7CCC1CF7" w:rsidR="001F3ACD" w:rsidRDefault="001F3ACD" w:rsidP="00701E1F">
      <w:pPr>
        <w:pStyle w:val="Bullet"/>
        <w:spacing w:line="240" w:lineRule="auto"/>
        <w:ind w:left="357" w:hanging="357"/>
      </w:pPr>
      <w:r w:rsidRPr="00290D96">
        <w:t>National Disability Data Asset</w:t>
      </w:r>
      <w:r w:rsidRPr="001F3ACD">
        <w:t xml:space="preserve"> (NDDA) </w:t>
      </w:r>
      <w:r w:rsidR="00B65D32">
        <w:rPr>
          <w:rFonts w:ascii="Calibri" w:hAnsi="Calibri" w:cs="Calibri"/>
        </w:rPr>
        <w:t>—</w:t>
      </w:r>
      <w:r w:rsidRPr="001F3ACD">
        <w:t xml:space="preserve"> a linked dataset being developed by the Department of Social Services in partnership with the ABS and AIHW </w:t>
      </w:r>
      <w:sdt>
        <w:sdtPr>
          <w:id w:val="302595521"/>
          <w:citation/>
        </w:sdtPr>
        <w:sdtEndPr/>
        <w:sdtContent>
          <w:r w:rsidRPr="001F3ACD">
            <w:fldChar w:fldCharType="begin"/>
          </w:r>
          <w:r w:rsidR="009B2E6A">
            <w:instrText xml:space="preserve">CITATION Com23 \l 3081 </w:instrText>
          </w:r>
          <w:r w:rsidRPr="001F3ACD">
            <w:fldChar w:fldCharType="separate"/>
          </w:r>
          <w:r w:rsidR="003003B3">
            <w:rPr>
              <w:noProof/>
            </w:rPr>
            <w:t>(Commonwealth of Australia and Australian States and Territories 2023)</w:t>
          </w:r>
          <w:r w:rsidRPr="001F3ACD">
            <w:fldChar w:fldCharType="end"/>
          </w:r>
        </w:sdtContent>
      </w:sdt>
      <w:r w:rsidR="007314D6">
        <w:t>.</w:t>
      </w:r>
    </w:p>
    <w:p w14:paraId="679F4397" w14:textId="5BEDBE57" w:rsidR="00FB7C3C" w:rsidRDefault="00996114" w:rsidP="009A717A">
      <w:pPr>
        <w:pStyle w:val="Bullet"/>
        <w:numPr>
          <w:ilvl w:val="0"/>
          <w:numId w:val="0"/>
        </w:numPr>
        <w:spacing w:line="240" w:lineRule="auto"/>
      </w:pPr>
      <w:r>
        <w:t>These linkage exercises have varying scopes and potential applications (</w:t>
      </w:r>
      <w:r w:rsidR="00427FAB" w:rsidRPr="00427FAB">
        <w:rPr>
          <w:i/>
          <w:iCs/>
        </w:rPr>
        <w:t>Information</w:t>
      </w:r>
      <w:r w:rsidR="00427FAB" w:rsidRPr="006941D6">
        <w:t xml:space="preserve"> Box 18: Linked datasets</w:t>
      </w:r>
      <w:r>
        <w:t xml:space="preserve">). </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5C606D" w14:paraId="220334FE" w14:textId="77777777" w:rsidTr="00B11057">
        <w:trPr>
          <w:trHeight w:val="1858"/>
        </w:trPr>
        <w:tc>
          <w:tcPr>
            <w:tcW w:w="5000" w:type="pct"/>
            <w:shd w:val="clear" w:color="auto" w:fill="EEEEEE" w:themeFill="background2"/>
          </w:tcPr>
          <w:p w14:paraId="1263C4AE" w14:textId="3D1D9F0D" w:rsidR="005C606D" w:rsidRPr="006941D6" w:rsidRDefault="006941D6" w:rsidP="006941D6">
            <w:pPr>
              <w:pStyle w:val="BoxHeading"/>
            </w:pPr>
            <w:bookmarkStart w:id="63" w:name="_Ref180500311"/>
            <w:r w:rsidRPr="006941D6">
              <w:t>Information Box 18</w:t>
            </w:r>
            <w:r w:rsidR="005C606D" w:rsidRPr="006941D6">
              <w:t>: Linked datasets</w:t>
            </w:r>
            <w:bookmarkEnd w:id="63"/>
          </w:p>
          <w:p w14:paraId="16B9813B" w14:textId="51AEAB6B" w:rsidR="00A60A3A" w:rsidRPr="00730686" w:rsidRDefault="00A60A3A" w:rsidP="006941D6">
            <w:pPr>
              <w:pStyle w:val="BoxText"/>
            </w:pPr>
            <w:r w:rsidRPr="00481919">
              <w:t>PLIDA</w:t>
            </w:r>
            <w:r w:rsidRPr="00730686">
              <w:t xml:space="preserve"> provides insights about population groups’ characteristics, use of services and outcomes through combining administrative data from 7 Commonwealth agencies on health, education, government payments, income and taxation, employment, and population demographics. This dataset has been used to </w:t>
            </w:r>
            <w:r w:rsidRPr="00481919">
              <w:t>support the development of better government services to help vulnerable Australian</w:t>
            </w:r>
            <w:r w:rsidR="002147EF" w:rsidRPr="00481919">
              <w:t>s</w:t>
            </w:r>
            <w:r w:rsidRPr="00481919">
              <w:t xml:space="preserve"> survive heatwaves</w:t>
            </w:r>
            <w:r w:rsidRPr="00730686">
              <w:t xml:space="preserve">, measure the effect of education on the retirement outcomes of older Australians, and </w:t>
            </w:r>
            <w:r w:rsidRPr="00481919">
              <w:t>understand the characteristics of those at risk of homelessness</w:t>
            </w:r>
            <w:r w:rsidRPr="00730686">
              <w:t xml:space="preserve">. </w:t>
            </w:r>
          </w:p>
          <w:p w14:paraId="659F758B" w14:textId="0AFC0CD8" w:rsidR="00A60A3A" w:rsidRPr="00730686" w:rsidRDefault="00A60A3A" w:rsidP="006941D6">
            <w:pPr>
              <w:pStyle w:val="BoxText"/>
            </w:pPr>
            <w:r w:rsidRPr="00730686">
              <w:t xml:space="preserve">The </w:t>
            </w:r>
            <w:r w:rsidRPr="00481919">
              <w:t>NDDA</w:t>
            </w:r>
            <w:r w:rsidRPr="00730686">
              <w:t xml:space="preserve"> is currently under development and will eventually link de</w:t>
            </w:r>
            <w:r w:rsidR="00B65D32">
              <w:t>-</w:t>
            </w:r>
            <w:r w:rsidRPr="00730686">
              <w:t xml:space="preserve">identified data from Commonwealth, State and Territory government sources to better understand the life experiences of people with disability. The initial areas of focus are on health and employment outcomes for people with a disability. In the future the NDDA will expand to include information on early childhood development, school education, housing, justice, and transport. In the NDDA’s pilot phase, </w:t>
            </w:r>
            <w:r w:rsidRPr="00481919">
              <w:t>5 test cases</w:t>
            </w:r>
            <w:r w:rsidRPr="00730686">
              <w:t xml:space="preserve"> explored how best to share, link and access information through the NDDA and draw out new insights. These test cases covered early supports for children, encounters with the justice system, pathways into employment or further education, mental illness and psychological distress, and housing. The first results from the NDDA are </w:t>
            </w:r>
            <w:r w:rsidRPr="00730686" w:rsidDel="00FA5536">
              <w:t xml:space="preserve">expected to be </w:t>
            </w:r>
            <w:r w:rsidRPr="00730686">
              <w:t xml:space="preserve">released in late 2024, with it expected to be fully operational in </w:t>
            </w:r>
            <w:r w:rsidRPr="00730686" w:rsidDel="009B28CB">
              <w:t>2026</w:t>
            </w:r>
            <w:r w:rsidRPr="00730686">
              <w:t xml:space="preserve">. </w:t>
            </w:r>
          </w:p>
          <w:p w14:paraId="4BA20769" w14:textId="3F83981D" w:rsidR="005C606D" w:rsidRPr="00C90D16" w:rsidRDefault="005C606D" w:rsidP="003C187C">
            <w:pPr>
              <w:pStyle w:val="ChartorTableNote"/>
            </w:pPr>
            <w:r w:rsidRPr="00C90D16">
              <w:t>Source</w:t>
            </w:r>
            <w:r w:rsidR="00CA5439">
              <w:t>s</w:t>
            </w:r>
            <w:r w:rsidRPr="00C90D16">
              <w:t xml:space="preserve">: </w:t>
            </w:r>
            <w:r w:rsidR="00557591">
              <w:rPr>
                <w:noProof/>
              </w:rPr>
              <w:t>(ABS 2024d; NDDA 2021)</w:t>
            </w:r>
          </w:p>
        </w:tc>
      </w:tr>
    </w:tbl>
    <w:p w14:paraId="5F3CD1A3" w14:textId="08017B70" w:rsidR="00514D01" w:rsidRDefault="00514D01" w:rsidP="00514D01">
      <w:pPr>
        <w:tabs>
          <w:tab w:val="num" w:pos="1040"/>
        </w:tabs>
        <w:spacing w:before="240"/>
        <w:rPr>
          <w:rFonts w:cs="Calibri Light"/>
        </w:rPr>
      </w:pPr>
      <w:r w:rsidRPr="00514D01">
        <w:rPr>
          <w:rFonts w:cs="Calibri Light"/>
        </w:rPr>
        <w:t xml:space="preserve">The Review is not suggesting that linked data </w:t>
      </w:r>
      <w:r w:rsidR="00DD3B47">
        <w:rPr>
          <w:rFonts w:cs="Calibri Light"/>
        </w:rPr>
        <w:t>is</w:t>
      </w:r>
      <w:r w:rsidRPr="00514D01">
        <w:rPr>
          <w:rFonts w:cs="Calibri Light"/>
        </w:rPr>
        <w:t xml:space="preserve"> a ‘silver bullet’ for government performance reporting. There are a number of caveats to these datasets that might limit their effectiveness or appropriateness for assessing service delivery performance, including source data quality and timeliness, restrictions on access, integration challenges, and privacy and ethical concerns </w:t>
      </w:r>
      <w:sdt>
        <w:sdtPr>
          <w:rPr>
            <w:rFonts w:cs="Calibri Light"/>
          </w:rPr>
          <w:id w:val="-701857535"/>
          <w:citation/>
        </w:sdtPr>
        <w:sdtEndPr/>
        <w:sdtContent>
          <w:r w:rsidR="00DB3DB3">
            <w:rPr>
              <w:rFonts w:cs="Calibri Light"/>
            </w:rPr>
            <w:fldChar w:fldCharType="begin"/>
          </w:r>
          <w:r w:rsidR="00C74E55">
            <w:rPr>
              <w:rFonts w:cs="Calibri Light"/>
            </w:rPr>
            <w:instrText xml:space="preserve">CITATION Aus4e \l 3081 </w:instrText>
          </w:r>
          <w:r w:rsidR="00DB3DB3">
            <w:rPr>
              <w:rFonts w:cs="Calibri Light"/>
            </w:rPr>
            <w:fldChar w:fldCharType="separate"/>
          </w:r>
          <w:r w:rsidR="003003B3" w:rsidRPr="003003B3">
            <w:rPr>
              <w:rFonts w:cs="Calibri Light"/>
              <w:noProof/>
            </w:rPr>
            <w:t>(AIHW 2024b)</w:t>
          </w:r>
          <w:r w:rsidR="00DB3DB3">
            <w:rPr>
              <w:rFonts w:cs="Calibri Light"/>
            </w:rPr>
            <w:fldChar w:fldCharType="end"/>
          </w:r>
        </w:sdtContent>
      </w:sdt>
      <w:r w:rsidRPr="00514D01">
        <w:rPr>
          <w:rFonts w:cs="Calibri Light"/>
        </w:rPr>
        <w:t>.</w:t>
      </w:r>
    </w:p>
    <w:p w14:paraId="6C2A53C1" w14:textId="77777777" w:rsidR="00703865" w:rsidRDefault="00514D01" w:rsidP="00514D01">
      <w:pPr>
        <w:rPr>
          <w:rFonts w:cs="Calibri Light"/>
        </w:rPr>
      </w:pPr>
      <w:r w:rsidRPr="00514D01">
        <w:rPr>
          <w:rFonts w:cs="Calibri Light"/>
        </w:rPr>
        <w:t xml:space="preserve">That said, the Review considers that linked datasets do represent an opportunity for the RoGS to potentially improve measurement and reduce reporting burden on data providers. However, collaboration and support at senior levels from all jurisdictions will be important to facilitate access and overcome any other issues that emerge. </w:t>
      </w:r>
    </w:p>
    <w:p w14:paraId="3B434F54" w14:textId="7C9B5ACD" w:rsidR="00514D01" w:rsidRPr="00514D01" w:rsidRDefault="00480D88" w:rsidP="00514D01">
      <w:pPr>
        <w:rPr>
          <w:rFonts w:cs="Calibri Light"/>
        </w:rPr>
      </w:pPr>
      <w:r>
        <w:rPr>
          <w:rFonts w:cs="Calibri Light"/>
        </w:rPr>
        <w:t xml:space="preserve">The Review acknowledges </w:t>
      </w:r>
      <w:r w:rsidR="00FC0751">
        <w:rPr>
          <w:rFonts w:cs="Calibri Light"/>
        </w:rPr>
        <w:t>that exploring linked data</w:t>
      </w:r>
      <w:r w:rsidR="003F5CD4">
        <w:rPr>
          <w:rFonts w:cs="Calibri Light"/>
        </w:rPr>
        <w:t xml:space="preserve">sets </w:t>
      </w:r>
      <w:r w:rsidR="001D062E">
        <w:rPr>
          <w:rFonts w:cs="Calibri Light"/>
        </w:rPr>
        <w:t>may not provide immediate returns</w:t>
      </w:r>
      <w:r w:rsidR="003F5CD4">
        <w:rPr>
          <w:rFonts w:cs="Calibri Light"/>
        </w:rPr>
        <w:t xml:space="preserve">. </w:t>
      </w:r>
      <w:r w:rsidR="003F5CD4" w:rsidRPr="008C330C">
        <w:rPr>
          <w:rFonts w:cs="Calibri Light"/>
        </w:rPr>
        <w:t xml:space="preserve">National data asset projects in development </w:t>
      </w:r>
      <w:r w:rsidR="00B369BE">
        <w:rPr>
          <w:rFonts w:cs="Calibri Light"/>
        </w:rPr>
        <w:t>are</w:t>
      </w:r>
      <w:r w:rsidR="003F5CD4" w:rsidRPr="008C330C">
        <w:rPr>
          <w:rFonts w:cs="Calibri Light"/>
        </w:rPr>
        <w:t xml:space="preserve"> </w:t>
      </w:r>
      <w:r w:rsidR="00B369BE">
        <w:rPr>
          <w:rFonts w:cs="Calibri Light"/>
        </w:rPr>
        <w:t>facing</w:t>
      </w:r>
      <w:r w:rsidR="003F5CD4" w:rsidRPr="008C330C">
        <w:rPr>
          <w:rFonts w:cs="Calibri Light"/>
        </w:rPr>
        <w:t xml:space="preserve"> challenges. The maturation of these assets will take some time.</w:t>
      </w:r>
    </w:p>
    <w:p w14:paraId="48807730" w14:textId="4D3CB455" w:rsidR="00D35C9B" w:rsidRDefault="004F0BD9" w:rsidP="00514D01">
      <w:pPr>
        <w:rPr>
          <w:rFonts w:cs="Calibri Light"/>
        </w:rPr>
      </w:pPr>
      <w:r w:rsidRPr="00514D01">
        <w:rPr>
          <w:rFonts w:cs="Calibri Light"/>
        </w:rPr>
        <w:t>T</w:t>
      </w:r>
      <w:r>
        <w:rPr>
          <w:rFonts w:cs="Calibri Light"/>
        </w:rPr>
        <w:t xml:space="preserve">he Steering Committee </w:t>
      </w:r>
      <w:r w:rsidR="00905579">
        <w:rPr>
          <w:rFonts w:cs="Calibri Light"/>
        </w:rPr>
        <w:t>seeks to</w:t>
      </w:r>
      <w:r w:rsidR="00EB1BFD">
        <w:rPr>
          <w:rFonts w:cs="Calibri Light"/>
        </w:rPr>
        <w:t xml:space="preserve"> ke</w:t>
      </w:r>
      <w:r w:rsidR="00905579">
        <w:rPr>
          <w:rFonts w:cs="Calibri Light"/>
        </w:rPr>
        <w:t>e</w:t>
      </w:r>
      <w:r w:rsidR="00EB1BFD">
        <w:rPr>
          <w:rFonts w:cs="Calibri Light"/>
        </w:rPr>
        <w:t xml:space="preserve">p up to date on the development of </w:t>
      </w:r>
      <w:r w:rsidR="00BC5680">
        <w:rPr>
          <w:rFonts w:cs="Calibri Light"/>
        </w:rPr>
        <w:t>key</w:t>
      </w:r>
      <w:r w:rsidR="00EB1BFD">
        <w:rPr>
          <w:rFonts w:cs="Calibri Light"/>
        </w:rPr>
        <w:t xml:space="preserve"> linked datasets</w:t>
      </w:r>
      <w:r w:rsidR="000D7F42">
        <w:rPr>
          <w:rFonts w:cs="Calibri Light"/>
        </w:rPr>
        <w:t>. The Steering Committee should build on this work</w:t>
      </w:r>
      <w:r w:rsidR="00AA49E5">
        <w:rPr>
          <w:rFonts w:cs="Calibri Light"/>
        </w:rPr>
        <w:t xml:space="preserve"> and </w:t>
      </w:r>
      <w:r w:rsidR="00A96B5D">
        <w:rPr>
          <w:rFonts w:cs="Calibri Light"/>
        </w:rPr>
        <w:t xml:space="preserve">actively consider </w:t>
      </w:r>
      <w:r w:rsidR="00F45806">
        <w:rPr>
          <w:rFonts w:cs="Calibri Light"/>
        </w:rPr>
        <w:t>whether</w:t>
      </w:r>
      <w:r w:rsidR="00AA49E5">
        <w:rPr>
          <w:rFonts w:cs="Calibri Light"/>
        </w:rPr>
        <w:t xml:space="preserve"> these </w:t>
      </w:r>
      <w:r w:rsidR="00B41E75">
        <w:rPr>
          <w:rFonts w:cs="Calibri Light"/>
        </w:rPr>
        <w:t xml:space="preserve">datasets </w:t>
      </w:r>
      <w:r w:rsidR="00D36EEC">
        <w:rPr>
          <w:rFonts w:cs="Calibri Light"/>
        </w:rPr>
        <w:t>could potentially be used in</w:t>
      </w:r>
      <w:r w:rsidR="00AA49E5">
        <w:rPr>
          <w:rFonts w:cs="Calibri Light"/>
        </w:rPr>
        <w:t xml:space="preserve"> the RoGS</w:t>
      </w:r>
      <w:r w:rsidR="00AA49E5" w:rsidRPr="00514D01">
        <w:rPr>
          <w:rFonts w:cs="Calibri Light"/>
        </w:rPr>
        <w:t>, noting that it is difficult to know in advance how useful datasets might be until they have been explored</w:t>
      </w:r>
      <w:r w:rsidR="00AA49E5">
        <w:rPr>
          <w:rFonts w:cs="Calibri Light"/>
        </w:rPr>
        <w:t>.</w:t>
      </w:r>
      <w:r w:rsidR="00A96B5D" w:rsidRPr="00A96B5D">
        <w:rPr>
          <w:rFonts w:cs="Calibri Light"/>
        </w:rPr>
        <w:t xml:space="preserve"> </w:t>
      </w:r>
      <w:r w:rsidR="00A96B5D" w:rsidRPr="00514D01">
        <w:rPr>
          <w:rFonts w:cs="Calibri Light"/>
        </w:rPr>
        <w:t>The RGSP Secretariat should</w:t>
      </w:r>
      <w:r w:rsidR="00A96B5D">
        <w:rPr>
          <w:rFonts w:cs="Calibri Light"/>
        </w:rPr>
        <w:t xml:space="preserve"> also</w:t>
      </w:r>
      <w:r w:rsidR="00A96B5D" w:rsidRPr="00514D01">
        <w:rPr>
          <w:rFonts w:cs="Calibri Light"/>
        </w:rPr>
        <w:t xml:space="preserve"> develop in</w:t>
      </w:r>
      <w:r w:rsidR="00B65D32">
        <w:rPr>
          <w:rFonts w:cs="Calibri Light"/>
        </w:rPr>
        <w:t>-</w:t>
      </w:r>
      <w:r w:rsidR="00A96B5D" w:rsidRPr="00514D01">
        <w:rPr>
          <w:rFonts w:cs="Calibri Light"/>
        </w:rPr>
        <w:t>house capability to use integrated data</w:t>
      </w:r>
      <w:r w:rsidR="00A96B5D">
        <w:rPr>
          <w:rFonts w:cs="Calibri Light"/>
        </w:rPr>
        <w:t>, like PLIDA</w:t>
      </w:r>
      <w:r w:rsidR="00A96B5D" w:rsidRPr="00514D01">
        <w:rPr>
          <w:rFonts w:cs="Calibri Light"/>
        </w:rPr>
        <w:t>. In the short</w:t>
      </w:r>
      <w:r w:rsidR="00B65D32">
        <w:rPr>
          <w:rFonts w:cs="Calibri Light"/>
        </w:rPr>
        <w:t>-</w:t>
      </w:r>
      <w:r w:rsidR="00A96B5D" w:rsidRPr="00514D01">
        <w:rPr>
          <w:rFonts w:cs="Calibri Light"/>
        </w:rPr>
        <w:t>term, this could help strengthen existing indicators and in the longer term this could enable the development of new indicators without increasing the burden on data providers.</w:t>
      </w:r>
    </w:p>
    <w:p w14:paraId="63975211" w14:textId="21BD4A64" w:rsidR="00514D01" w:rsidRPr="00514D01" w:rsidRDefault="00514D01" w:rsidP="009A717A">
      <w:pPr>
        <w:tabs>
          <w:tab w:val="num" w:pos="1040"/>
        </w:tabs>
        <w:rPr>
          <w:rFonts w:cs="Calibri Light"/>
        </w:rPr>
      </w:pPr>
      <w:r w:rsidRPr="00514D01">
        <w:rPr>
          <w:rFonts w:cs="Calibri Light"/>
        </w:rPr>
        <w:t xml:space="preserve">This approach could significantly modernise and improve the RoGS, consistent with the </w:t>
      </w:r>
      <w:r w:rsidR="00A22F3C">
        <w:rPr>
          <w:rFonts w:cs="Calibri Light"/>
        </w:rPr>
        <w:t xml:space="preserve">Commonwealth’s </w:t>
      </w:r>
      <w:r w:rsidRPr="00514D01">
        <w:rPr>
          <w:rFonts w:cs="Calibri Light"/>
        </w:rPr>
        <w:t xml:space="preserve">expectation that the </w:t>
      </w:r>
      <w:r w:rsidR="005E0514">
        <w:rPr>
          <w:rFonts w:cs="Calibri Light"/>
        </w:rPr>
        <w:t>PC</w:t>
      </w:r>
      <w:r w:rsidRPr="00514D01">
        <w:rPr>
          <w:rFonts w:cs="Calibri Light"/>
        </w:rPr>
        <w:t xml:space="preserve"> work to use more diverse data sources, including microdata, and identify priority data assets</w:t>
      </w:r>
      <w:r w:rsidR="005360BC">
        <w:rPr>
          <w:rFonts w:cs="Calibri Light"/>
        </w:rPr>
        <w:t xml:space="preserve"> </w:t>
      </w:r>
      <w:sdt>
        <w:sdtPr>
          <w:rPr>
            <w:rFonts w:cs="Calibri Light"/>
          </w:rPr>
          <w:id w:val="-1014682237"/>
          <w:citation/>
        </w:sdtPr>
        <w:sdtEndPr/>
        <w:sdtContent>
          <w:r w:rsidR="005360BC">
            <w:rPr>
              <w:rFonts w:cs="Calibri Light"/>
            </w:rPr>
            <w:fldChar w:fldCharType="begin"/>
          </w:r>
          <w:r w:rsidR="005360BC">
            <w:rPr>
              <w:rFonts w:cs="Calibri Light"/>
            </w:rPr>
            <w:instrText xml:space="preserve"> CITATION Aus23 \l 3081 </w:instrText>
          </w:r>
          <w:r w:rsidR="005360BC">
            <w:rPr>
              <w:rFonts w:cs="Calibri Light"/>
            </w:rPr>
            <w:fldChar w:fldCharType="separate"/>
          </w:r>
          <w:r w:rsidR="003003B3" w:rsidRPr="003003B3">
            <w:rPr>
              <w:rFonts w:cs="Calibri Light"/>
              <w:noProof/>
            </w:rPr>
            <w:t>(Commonwealth of Australia 2023b)</w:t>
          </w:r>
          <w:r w:rsidR="005360BC">
            <w:rPr>
              <w:rFonts w:cs="Calibri Light"/>
            </w:rPr>
            <w:fldChar w:fldCharType="end"/>
          </w:r>
        </w:sdtContent>
      </w:sdt>
      <w:r w:rsidRPr="00514D01">
        <w:rPr>
          <w:rFonts w:cs="Calibri Light"/>
        </w:rPr>
        <w:t xml:space="preserve">. </w:t>
      </w:r>
    </w:p>
    <w:p w14:paraId="41EDD8FA" w14:textId="73E10059" w:rsidR="005C606D" w:rsidRDefault="004032C8" w:rsidP="004032C8">
      <w:pPr>
        <w:pStyle w:val="Heading2"/>
      </w:pPr>
      <w:r>
        <w:t>Use expertise in the major Commonwealth</w:t>
      </w:r>
      <w:r w:rsidR="00B65D32">
        <w:t>-</w:t>
      </w:r>
      <w:r>
        <w:t>State funding agreement process</w:t>
      </w:r>
    </w:p>
    <w:p w14:paraId="0CDA7B14" w14:textId="4340E864" w:rsidR="00042475" w:rsidRPr="00042475" w:rsidRDefault="00042475" w:rsidP="00042475">
      <w:pPr>
        <w:tabs>
          <w:tab w:val="num" w:pos="1040"/>
        </w:tabs>
        <w:spacing w:before="240"/>
        <w:rPr>
          <w:rFonts w:cs="Calibri Light"/>
        </w:rPr>
      </w:pPr>
      <w:r w:rsidRPr="00042475">
        <w:rPr>
          <w:rFonts w:cs="Calibri Light"/>
        </w:rPr>
        <w:t>Major Commonwealth</w:t>
      </w:r>
      <w:r w:rsidR="00B65D32">
        <w:rPr>
          <w:rFonts w:cs="Calibri Light"/>
        </w:rPr>
        <w:t>-</w:t>
      </w:r>
      <w:r w:rsidRPr="00042475">
        <w:rPr>
          <w:rFonts w:cs="Calibri Light"/>
        </w:rPr>
        <w:t>State agreements provide funding to deliver agreed policy objectives and outcomes (</w:t>
      </w:r>
      <w:r w:rsidR="00D276C7" w:rsidRPr="00D276C7">
        <w:rPr>
          <w:i/>
          <w:iCs/>
        </w:rPr>
        <w:t>Chapter 3: The approach to performance reporting</w:t>
      </w:r>
      <w:r w:rsidRPr="00042475">
        <w:rPr>
          <w:rFonts w:cs="Calibri Light"/>
        </w:rPr>
        <w:t xml:space="preserve">). These agreements outline the responsibilities of each level of </w:t>
      </w:r>
      <w:r w:rsidR="00BA0BAB" w:rsidRPr="00042475">
        <w:rPr>
          <w:rFonts w:cs="Calibri Light"/>
        </w:rPr>
        <w:t>government</w:t>
      </w:r>
      <w:r w:rsidR="00BA0BAB">
        <w:rPr>
          <w:rFonts w:cs="Calibri Light"/>
        </w:rPr>
        <w:t xml:space="preserve"> and</w:t>
      </w:r>
      <w:r w:rsidR="00F93DDA">
        <w:rPr>
          <w:rFonts w:cs="Calibri Light"/>
        </w:rPr>
        <w:t xml:space="preserve"> </w:t>
      </w:r>
      <w:r w:rsidRPr="00042475" w:rsidDel="002453BB">
        <w:rPr>
          <w:rFonts w:cs="Calibri Light"/>
        </w:rPr>
        <w:t>specify</w:t>
      </w:r>
      <w:r w:rsidRPr="00042475">
        <w:rPr>
          <w:rFonts w:cs="Calibri Light"/>
        </w:rPr>
        <w:t xml:space="preserve"> targets and national measures that will be used to track and report on progress. </w:t>
      </w:r>
    </w:p>
    <w:p w14:paraId="34B05B39" w14:textId="0B7F98EB" w:rsidR="00042475" w:rsidRPr="00042475" w:rsidRDefault="00042475" w:rsidP="00042475">
      <w:pPr>
        <w:tabs>
          <w:tab w:val="num" w:pos="1040"/>
        </w:tabs>
        <w:spacing w:before="240"/>
        <w:rPr>
          <w:rFonts w:cs="Calibri Light"/>
        </w:rPr>
      </w:pPr>
      <w:r w:rsidRPr="00042475">
        <w:rPr>
          <w:rFonts w:cs="Calibri Light"/>
        </w:rPr>
        <w:t xml:space="preserve">Given the substantial </w:t>
      </w:r>
      <w:r w:rsidR="007E277C">
        <w:rPr>
          <w:rFonts w:cs="Calibri Light"/>
        </w:rPr>
        <w:t>funding</w:t>
      </w:r>
      <w:r w:rsidRPr="00042475">
        <w:rPr>
          <w:rFonts w:cs="Calibri Light"/>
        </w:rPr>
        <w:t xml:space="preserve"> involved and policy areas covered, it is important that these policy objectives, outcomes, targets and national measures are specified appropriately </w:t>
      </w:r>
      <w:sdt>
        <w:sdtPr>
          <w:rPr>
            <w:rFonts w:cs="Calibri Light"/>
          </w:rPr>
          <w:id w:val="-790125849"/>
          <w:citation/>
        </w:sdtPr>
        <w:sdtEndPr/>
        <w:sdtContent>
          <w:r w:rsidR="00280185">
            <w:rPr>
              <w:rFonts w:cs="Calibri Light"/>
            </w:rPr>
            <w:fldChar w:fldCharType="begin"/>
          </w:r>
          <w:r w:rsidR="00C74E55">
            <w:rPr>
              <w:rFonts w:cs="Calibri Light"/>
            </w:rPr>
            <w:instrText xml:space="preserve">CITATION Cou20 \l 3081 </w:instrText>
          </w:r>
          <w:r w:rsidR="00280185">
            <w:rPr>
              <w:rFonts w:cs="Calibri Light"/>
            </w:rPr>
            <w:fldChar w:fldCharType="separate"/>
          </w:r>
          <w:r w:rsidR="003003B3" w:rsidRPr="003003B3">
            <w:rPr>
              <w:rFonts w:cs="Calibri Light"/>
              <w:noProof/>
            </w:rPr>
            <w:t>(CFFR 2020)</w:t>
          </w:r>
          <w:r w:rsidR="00280185">
            <w:rPr>
              <w:rFonts w:cs="Calibri Light"/>
            </w:rPr>
            <w:fldChar w:fldCharType="end"/>
          </w:r>
        </w:sdtContent>
      </w:sdt>
      <w:r w:rsidRPr="00042475">
        <w:rPr>
          <w:rFonts w:cs="Calibri Light"/>
        </w:rPr>
        <w:t xml:space="preserve">. It also allows governments and the public to assess </w:t>
      </w:r>
      <w:r w:rsidR="00DA64D6">
        <w:rPr>
          <w:rFonts w:cs="Calibri Light"/>
        </w:rPr>
        <w:t xml:space="preserve">progress </w:t>
      </w:r>
      <w:r w:rsidR="00FC6BF2">
        <w:rPr>
          <w:rFonts w:cs="Calibri Light"/>
        </w:rPr>
        <w:t xml:space="preserve">under these agreements. </w:t>
      </w:r>
      <w:r w:rsidRPr="00042475">
        <w:rPr>
          <w:rFonts w:cs="Calibri Light"/>
        </w:rPr>
        <w:t>Several stakeholders raised concerns that some National Agreements don’t have performance frameworks that allow this kind of analysis to occur.</w:t>
      </w:r>
    </w:p>
    <w:p w14:paraId="6CA872F2" w14:textId="692652CA" w:rsidR="00042475" w:rsidRPr="00042475" w:rsidRDefault="00042475" w:rsidP="00042475">
      <w:pPr>
        <w:rPr>
          <w:rFonts w:cs="Calibri Light"/>
        </w:rPr>
      </w:pPr>
      <w:r w:rsidRPr="00042475">
        <w:rPr>
          <w:rFonts w:cs="Calibri Light"/>
        </w:rPr>
        <w:t>The Steering Committee and the RGSP Secretariat have considerable expertise in measuring performance in government service provision which has been built up over 30 years. This expertise encompasses what outputs, outcomes and indicators are appropriate and practical</w:t>
      </w:r>
      <w:r w:rsidR="00ED0C31">
        <w:rPr>
          <w:rFonts w:cs="Calibri Light"/>
        </w:rPr>
        <w:t>,</w:t>
      </w:r>
      <w:r w:rsidR="00E1721C">
        <w:rPr>
          <w:rFonts w:cs="Calibri Light"/>
        </w:rPr>
        <w:t xml:space="preserve"> complement</w:t>
      </w:r>
      <w:r w:rsidR="00ED0C31">
        <w:rPr>
          <w:rFonts w:cs="Calibri Light"/>
        </w:rPr>
        <w:t>ing</w:t>
      </w:r>
      <w:r w:rsidR="00E1721C">
        <w:rPr>
          <w:rFonts w:cs="Calibri Light"/>
        </w:rPr>
        <w:t xml:space="preserve"> the subject-specific expertise of </w:t>
      </w:r>
      <w:r w:rsidR="007C2093">
        <w:rPr>
          <w:rFonts w:cs="Calibri Light"/>
        </w:rPr>
        <w:t>agencies responsible for leading agreement negotiations</w:t>
      </w:r>
      <w:r w:rsidRPr="00042475">
        <w:rPr>
          <w:rFonts w:cs="Calibri Light"/>
        </w:rPr>
        <w:t xml:space="preserve">. It is a rich </w:t>
      </w:r>
      <w:r w:rsidR="00BA0BAB" w:rsidRPr="00042475">
        <w:rPr>
          <w:rFonts w:cs="Calibri Light"/>
        </w:rPr>
        <w:t>resource but</w:t>
      </w:r>
      <w:r w:rsidRPr="00042475">
        <w:rPr>
          <w:rFonts w:cs="Calibri Light"/>
        </w:rPr>
        <w:t xml:space="preserve"> accessed inconsistently. When drawn on, the Steering Committee’s involvement has been beneficial in the process of developing measurement frameworks for National Agreements, most recently the </w:t>
      </w:r>
      <w:r w:rsidRPr="00F160B0">
        <w:rPr>
          <w:rFonts w:cs="Calibri Light"/>
          <w:i/>
        </w:rPr>
        <w:t>National Agreement on Social Housing and Homelessness</w:t>
      </w:r>
      <w:r w:rsidRPr="00042475">
        <w:rPr>
          <w:rFonts w:cs="Calibri Light"/>
        </w:rPr>
        <w:t xml:space="preserve"> (the NASHH) (</w:t>
      </w:r>
      <w:r w:rsidR="00427FAB" w:rsidRPr="006941D6">
        <w:t>Information Box 19: The RoGS and the NASHH</w:t>
      </w:r>
      <w:r w:rsidRPr="00042475">
        <w:rPr>
          <w:rFonts w:cs="Calibri Light"/>
        </w:rPr>
        <w:t>).</w:t>
      </w:r>
    </w:p>
    <w:tbl>
      <w:tblPr>
        <w:tblStyle w:val="TableGrid"/>
        <w:tblW w:w="5000" w:type="pct"/>
        <w:shd w:val="clear" w:color="auto" w:fill="F2F2F2" w:themeFill="background1" w:themeFillShade="F2"/>
        <w:tblCellMar>
          <w:top w:w="227" w:type="dxa"/>
          <w:left w:w="227" w:type="dxa"/>
          <w:bottom w:w="227" w:type="dxa"/>
          <w:right w:w="227" w:type="dxa"/>
        </w:tblCellMar>
        <w:tblLook w:val="0600" w:firstRow="0" w:lastRow="0" w:firstColumn="0" w:lastColumn="0" w:noHBand="1" w:noVBand="1"/>
      </w:tblPr>
      <w:tblGrid>
        <w:gridCol w:w="9026"/>
      </w:tblGrid>
      <w:tr w:rsidR="006857C6" w14:paraId="14BC7A72" w14:textId="77777777" w:rsidTr="00B11057">
        <w:trPr>
          <w:trHeight w:val="1858"/>
        </w:trPr>
        <w:tc>
          <w:tcPr>
            <w:tcW w:w="5000" w:type="pct"/>
            <w:shd w:val="clear" w:color="auto" w:fill="EEEEEE" w:themeFill="background2"/>
          </w:tcPr>
          <w:p w14:paraId="542C2C4E" w14:textId="345FCB76" w:rsidR="006857C6" w:rsidRPr="006941D6" w:rsidRDefault="006941D6" w:rsidP="006941D6">
            <w:pPr>
              <w:pStyle w:val="BoxHeading"/>
            </w:pPr>
            <w:bookmarkStart w:id="64" w:name="_Ref180500442"/>
            <w:r w:rsidRPr="006941D6">
              <w:t>Information Box 19</w:t>
            </w:r>
            <w:r w:rsidR="006857C6" w:rsidRPr="006941D6">
              <w:t xml:space="preserve">: </w:t>
            </w:r>
            <w:r w:rsidR="000C4707" w:rsidRPr="006941D6">
              <w:t>The RoGS and the NASHH</w:t>
            </w:r>
            <w:bookmarkEnd w:id="64"/>
          </w:p>
          <w:p w14:paraId="33047305" w14:textId="77777777" w:rsidR="00C51F7B" w:rsidRPr="00730686" w:rsidRDefault="00C51F7B" w:rsidP="006941D6">
            <w:pPr>
              <w:pStyle w:val="BoxText"/>
            </w:pPr>
            <w:r w:rsidRPr="00730686">
              <w:t xml:space="preserve">The NASHH commenced on 1 July 2024, replacing the previous </w:t>
            </w:r>
            <w:r w:rsidRPr="00EE5EEA">
              <w:rPr>
                <w:i/>
              </w:rPr>
              <w:t>National Housing and Homelessness Agreement</w:t>
            </w:r>
            <w:r w:rsidRPr="00730686">
              <w:t xml:space="preserve"> (NHHA).</w:t>
            </w:r>
          </w:p>
          <w:p w14:paraId="4CBD653A" w14:textId="77777777" w:rsidR="00C51F7B" w:rsidRPr="00730686" w:rsidRDefault="00C51F7B" w:rsidP="006941D6">
            <w:pPr>
              <w:pStyle w:val="BoxText"/>
            </w:pPr>
            <w:r w:rsidRPr="00730686">
              <w:t xml:space="preserve">The objectives of the NASHH will be assessed against a suite of social housing and homelessness services indicators included in the NASHH’s </w:t>
            </w:r>
            <w:r w:rsidRPr="00E26D80">
              <w:rPr>
                <w:i/>
              </w:rPr>
              <w:t>National Outcomes Framework</w:t>
            </w:r>
            <w:r w:rsidRPr="00730686">
              <w:t>. The NASHH provides guidance on the national reporting and analysis arrangements with a requirement that, where appropriate, reporting and analysis will draw on existing data collections and reports, including the RoGS.</w:t>
            </w:r>
          </w:p>
          <w:p w14:paraId="18E136D1" w14:textId="7DCE9581" w:rsidR="00C51F7B" w:rsidRPr="00730686" w:rsidRDefault="003441F8" w:rsidP="006941D6">
            <w:pPr>
              <w:pStyle w:val="BoxText"/>
            </w:pPr>
            <w:r>
              <w:t>To enhance consistency and coherence while reducing duplication</w:t>
            </w:r>
            <w:r w:rsidR="00E06C77">
              <w:t xml:space="preserve"> and reporting burden, </w:t>
            </w:r>
            <w:r w:rsidR="00C51F7B" w:rsidRPr="00730686">
              <w:t xml:space="preserve">data definitions </w:t>
            </w:r>
            <w:r w:rsidR="00344929">
              <w:t xml:space="preserve">across the RoGS and the NASSH </w:t>
            </w:r>
            <w:r w:rsidR="00C51F7B" w:rsidRPr="00730686">
              <w:t>were aligned</w:t>
            </w:r>
            <w:r w:rsidR="00773439">
              <w:t>.</w:t>
            </w:r>
            <w:r w:rsidR="00C51F7B" w:rsidRPr="00730686">
              <w:t xml:space="preserve"> This approach also made it easier for </w:t>
            </w:r>
            <w:r w:rsidR="00FA6EFD">
              <w:t>S</w:t>
            </w:r>
            <w:r w:rsidR="00C51F7B" w:rsidRPr="00730686">
              <w:t xml:space="preserve">tates and </w:t>
            </w:r>
            <w:r w:rsidR="00FA6EFD">
              <w:t>T</w:t>
            </w:r>
            <w:r w:rsidR="00C51F7B" w:rsidRPr="00730686">
              <w:t>erritories to support the NASHH reporting framework as there was a high</w:t>
            </w:r>
            <w:r w:rsidR="00B65D32">
              <w:t>-</w:t>
            </w:r>
            <w:r w:rsidR="00C51F7B" w:rsidRPr="00730686">
              <w:t>level of familiarity with the RoGS framework and data. Of the 18 indicators in the NASHH reporting framework, 8 will be drawn from the RoGS:</w:t>
            </w:r>
          </w:p>
          <w:p w14:paraId="1300B41D" w14:textId="52EDA36C" w:rsidR="00C51F7B" w:rsidRPr="009427E3" w:rsidRDefault="002061B7" w:rsidP="005241B9">
            <w:pPr>
              <w:pStyle w:val="OutlineNumbered1"/>
              <w:numPr>
                <w:ilvl w:val="0"/>
                <w:numId w:val="28"/>
              </w:numPr>
              <w:spacing w:before="60" w:line="276" w:lineRule="auto"/>
              <w:ind w:left="312" w:hanging="312"/>
            </w:pPr>
            <w:r w:rsidRPr="009427E3">
              <w:t>p</w:t>
            </w:r>
            <w:r w:rsidR="00C51F7B" w:rsidRPr="009427E3">
              <w:t xml:space="preserve">roportion of underutilised social housing households </w:t>
            </w:r>
          </w:p>
          <w:p w14:paraId="1D0A7B41" w14:textId="1122E0F1" w:rsidR="00C51F7B" w:rsidRPr="00E26D80" w:rsidRDefault="002061B7" w:rsidP="00AC6549">
            <w:pPr>
              <w:pStyle w:val="OutlineNumbered1"/>
              <w:spacing w:before="60" w:line="276" w:lineRule="auto"/>
              <w:ind w:left="312" w:hanging="312"/>
            </w:pPr>
            <w:r>
              <w:t>p</w:t>
            </w:r>
            <w:r w:rsidR="00C51F7B" w:rsidRPr="00E26D80">
              <w:t>ercentage of greatest need allocations as a proportion of all new allocations</w:t>
            </w:r>
          </w:p>
          <w:p w14:paraId="3627215D" w14:textId="54B1747C" w:rsidR="00C51F7B" w:rsidRPr="00E26D80" w:rsidRDefault="002061B7" w:rsidP="00AC6549">
            <w:pPr>
              <w:pStyle w:val="OutlineNumbered1"/>
              <w:spacing w:before="60" w:line="276" w:lineRule="auto"/>
              <w:ind w:left="312" w:hanging="312"/>
            </w:pPr>
            <w:r>
              <w:t>p</w:t>
            </w:r>
            <w:r w:rsidR="00C51F7B" w:rsidRPr="00E26D80">
              <w:t>roportion of overcrowded households</w:t>
            </w:r>
          </w:p>
          <w:p w14:paraId="1637C1D5" w14:textId="3B62ECED" w:rsidR="00C51F7B" w:rsidRPr="00E26D80" w:rsidRDefault="002061B7" w:rsidP="00AC6549">
            <w:pPr>
              <w:pStyle w:val="OutlineNumbered1"/>
              <w:spacing w:before="60" w:line="276" w:lineRule="auto"/>
              <w:ind w:left="312" w:hanging="312"/>
            </w:pPr>
            <w:r>
              <w:t>p</w:t>
            </w:r>
            <w:r w:rsidR="00C51F7B" w:rsidRPr="00E26D80">
              <w:t xml:space="preserve">roportion of households with at least </w:t>
            </w:r>
            <w:r w:rsidR="00DB0B16" w:rsidRPr="00E26D80">
              <w:t>4</w:t>
            </w:r>
            <w:r w:rsidR="00C51F7B" w:rsidRPr="00E26D80">
              <w:t xml:space="preserve"> working facilities and not more than </w:t>
            </w:r>
            <w:r w:rsidR="00174363" w:rsidRPr="00E26D80">
              <w:t>2</w:t>
            </w:r>
            <w:r w:rsidR="00C51F7B" w:rsidRPr="00E26D80">
              <w:t xml:space="preserve"> major structural problems</w:t>
            </w:r>
          </w:p>
          <w:p w14:paraId="7413C212" w14:textId="119B4C55" w:rsidR="00C51F7B" w:rsidRPr="00E26D80" w:rsidRDefault="002061B7" w:rsidP="00AC6549">
            <w:pPr>
              <w:pStyle w:val="OutlineNumbered1"/>
              <w:spacing w:before="60" w:line="276" w:lineRule="auto"/>
              <w:ind w:left="312" w:hanging="312"/>
            </w:pPr>
            <w:r>
              <w:t>p</w:t>
            </w:r>
            <w:r w:rsidR="00C51F7B" w:rsidRPr="00E26D80">
              <w:t>roportion of tenants satisfied or very satisfied with overall services provided by the housing organisation</w:t>
            </w:r>
          </w:p>
          <w:p w14:paraId="3509277F" w14:textId="5A39FA14" w:rsidR="00C51F7B" w:rsidRPr="00E26D80" w:rsidRDefault="00680CC6" w:rsidP="00AC6549">
            <w:pPr>
              <w:pStyle w:val="OutlineNumbered1"/>
              <w:spacing w:before="60" w:line="276" w:lineRule="auto"/>
              <w:ind w:left="312" w:hanging="312"/>
            </w:pPr>
            <w:r>
              <w:t>n</w:t>
            </w:r>
            <w:r w:rsidR="00C51F7B" w:rsidRPr="00E26D80">
              <w:t>umber of unassisted requests for services, split by accommodation and other services</w:t>
            </w:r>
          </w:p>
          <w:p w14:paraId="3B3D0FD3" w14:textId="68E80ED7" w:rsidR="00C51F7B" w:rsidRPr="00E26D80" w:rsidRDefault="00680CC6" w:rsidP="00AC6549">
            <w:pPr>
              <w:pStyle w:val="OutlineNumbered1"/>
              <w:spacing w:before="60" w:line="276" w:lineRule="auto"/>
              <w:ind w:left="312" w:hanging="312"/>
            </w:pPr>
            <w:r>
              <w:t>n</w:t>
            </w:r>
            <w:r w:rsidR="00C51F7B" w:rsidRPr="00E26D80">
              <w:t>umber and proportion of clients with an identified need for services who were not provided or referred to those services, split by accommodation and other services</w:t>
            </w:r>
          </w:p>
          <w:p w14:paraId="3094DF94" w14:textId="530B10F3" w:rsidR="00C51F7B" w:rsidRPr="00E26D80" w:rsidRDefault="00680CC6" w:rsidP="00AC6549">
            <w:pPr>
              <w:pStyle w:val="OutlineNumbered1"/>
              <w:spacing w:before="60" w:line="276" w:lineRule="auto"/>
              <w:ind w:left="312" w:hanging="312"/>
            </w:pPr>
            <w:r>
              <w:t>n</w:t>
            </w:r>
            <w:r w:rsidR="00C51F7B" w:rsidRPr="00E26D80">
              <w:t>umber and proportion of clients at risk of homelessness who receive assistance and avoid homelessness.</w:t>
            </w:r>
          </w:p>
          <w:p w14:paraId="01D64908" w14:textId="365762CE" w:rsidR="006857C6" w:rsidRPr="00487EAE" w:rsidRDefault="006857C6" w:rsidP="009427E3">
            <w:pPr>
              <w:pStyle w:val="ChartorTableNote"/>
            </w:pPr>
            <w:r w:rsidRPr="00487EAE">
              <w:t>Source:</w:t>
            </w:r>
            <w:r w:rsidR="00B134B9">
              <w:t xml:space="preserve"> </w:t>
            </w:r>
            <w:sdt>
              <w:sdtPr>
                <w:id w:val="1521364168"/>
                <w:citation/>
              </w:sdtPr>
              <w:sdtEndPr/>
              <w:sdtContent>
                <w:r w:rsidR="005E130A">
                  <w:fldChar w:fldCharType="begin"/>
                </w:r>
                <w:r w:rsidR="00C74E55">
                  <w:instrText xml:space="preserve">CITATION Com244 \l 3081 </w:instrText>
                </w:r>
                <w:r w:rsidR="005E130A">
                  <w:fldChar w:fldCharType="separate"/>
                </w:r>
                <w:r w:rsidR="003003B3">
                  <w:rPr>
                    <w:noProof/>
                  </w:rPr>
                  <w:t>(Commonwealth of Australia and Australian States and Territories 2024b)</w:t>
                </w:r>
                <w:r w:rsidR="005E130A">
                  <w:fldChar w:fldCharType="end"/>
                </w:r>
              </w:sdtContent>
            </w:sdt>
          </w:p>
        </w:tc>
      </w:tr>
    </w:tbl>
    <w:p w14:paraId="31BCB2B4" w14:textId="7D807A75" w:rsidR="005E03A3" w:rsidRPr="005E03A3" w:rsidRDefault="005E03A3" w:rsidP="005E03A3">
      <w:pPr>
        <w:tabs>
          <w:tab w:val="num" w:pos="1040"/>
        </w:tabs>
        <w:spacing w:before="240"/>
        <w:rPr>
          <w:rFonts w:cs="Calibri Light"/>
        </w:rPr>
      </w:pPr>
      <w:r w:rsidRPr="005E03A3">
        <w:rPr>
          <w:rFonts w:cs="Calibri Light"/>
        </w:rPr>
        <w:t>The Review considers consulting the Steering Committee, through the RGSP Secretariat, in the development of performance reporting frameworks for major Commonwealth</w:t>
      </w:r>
      <w:r w:rsidR="00B65D32">
        <w:rPr>
          <w:rFonts w:cs="Calibri Light"/>
        </w:rPr>
        <w:t>-</w:t>
      </w:r>
      <w:r w:rsidRPr="005E03A3">
        <w:rPr>
          <w:rFonts w:cs="Calibri Light"/>
        </w:rPr>
        <w:t>State agreements, is likely to provide substantial and mutual value. A more systematic approach to engagement would help ensure agreements consistently leverage the RoGS where appropriate and that other objectives, outcomes and indicators specified are meaningful, credible, balanced and collectible. Ultimately, this should improve the overall quality of performance measurement and reduce the data provision burden on governments under a ‘collect once, use many times’ approach.</w:t>
      </w:r>
    </w:p>
    <w:p w14:paraId="5894380C" w14:textId="2D592058" w:rsidR="00312575" w:rsidRDefault="00A749B8" w:rsidP="006C62C4">
      <w:pPr>
        <w:rPr>
          <w:rFonts w:cs="Calibri Light"/>
        </w:rPr>
      </w:pPr>
      <w:r>
        <w:rPr>
          <w:rFonts w:cs="Calibri Light"/>
        </w:rPr>
        <w:t>C</w:t>
      </w:r>
      <w:r w:rsidR="00493069">
        <w:rPr>
          <w:rFonts w:cs="Calibri Light"/>
        </w:rPr>
        <w:t xml:space="preserve">onsultation may not be appropriate </w:t>
      </w:r>
      <w:r w:rsidR="00C165BF">
        <w:rPr>
          <w:rFonts w:cs="Calibri Light"/>
        </w:rPr>
        <w:t xml:space="preserve">for all major </w:t>
      </w:r>
      <w:r w:rsidR="00C165BF" w:rsidRPr="005E03A3">
        <w:rPr>
          <w:rFonts w:cs="Calibri Light"/>
        </w:rPr>
        <w:t>Commonwealth</w:t>
      </w:r>
      <w:r w:rsidR="00B65D32">
        <w:rPr>
          <w:rFonts w:cs="Calibri Light"/>
        </w:rPr>
        <w:t>-</w:t>
      </w:r>
      <w:r w:rsidR="00C165BF" w:rsidRPr="005E03A3">
        <w:rPr>
          <w:rFonts w:cs="Calibri Light"/>
        </w:rPr>
        <w:t>State funding agreements</w:t>
      </w:r>
      <w:r w:rsidR="00C165BF">
        <w:rPr>
          <w:rFonts w:cs="Calibri Light"/>
        </w:rPr>
        <w:t xml:space="preserve">. </w:t>
      </w:r>
      <w:r w:rsidR="00031C7C">
        <w:rPr>
          <w:rFonts w:cs="Calibri Light"/>
        </w:rPr>
        <w:t xml:space="preserve">It should happen where </w:t>
      </w:r>
      <w:r w:rsidR="00F85708">
        <w:rPr>
          <w:rFonts w:cs="Calibri Light"/>
        </w:rPr>
        <w:t xml:space="preserve">the parties </w:t>
      </w:r>
      <w:r w:rsidR="003D6352">
        <w:rPr>
          <w:rFonts w:cs="Calibri Light"/>
        </w:rPr>
        <w:t xml:space="preserve">have </w:t>
      </w:r>
      <w:r w:rsidR="00F85708">
        <w:rPr>
          <w:rFonts w:cs="Calibri Light"/>
        </w:rPr>
        <w:t>agree</w:t>
      </w:r>
      <w:r w:rsidR="003D6352">
        <w:rPr>
          <w:rFonts w:cs="Calibri Light"/>
        </w:rPr>
        <w:t>d</w:t>
      </w:r>
      <w:r w:rsidR="00F85708">
        <w:rPr>
          <w:rFonts w:cs="Calibri Light"/>
        </w:rPr>
        <w:t xml:space="preserve"> and </w:t>
      </w:r>
      <w:r w:rsidR="002F6548">
        <w:rPr>
          <w:rFonts w:cs="Calibri Light"/>
        </w:rPr>
        <w:t xml:space="preserve">it </w:t>
      </w:r>
      <w:r>
        <w:rPr>
          <w:rFonts w:cs="Calibri Light"/>
        </w:rPr>
        <w:t xml:space="preserve">is </w:t>
      </w:r>
      <w:r w:rsidR="00F85708">
        <w:rPr>
          <w:rFonts w:cs="Calibri Light"/>
        </w:rPr>
        <w:t xml:space="preserve">expected to be useful. </w:t>
      </w:r>
      <w:r w:rsidR="00F21B60">
        <w:rPr>
          <w:rFonts w:cs="Calibri Light"/>
        </w:rPr>
        <w:t xml:space="preserve">Where undertaken, the Review </w:t>
      </w:r>
      <w:r w:rsidR="005E03A3" w:rsidRPr="005E03A3">
        <w:rPr>
          <w:rFonts w:cs="Calibri Light"/>
        </w:rPr>
        <w:t>is not seeking to prescribe the exact nature of the consultation process, conscious of not adding unnecessarily to the administrative process of developing Commonwealth</w:t>
      </w:r>
      <w:r w:rsidR="00B65D32">
        <w:rPr>
          <w:rFonts w:cs="Calibri Light"/>
        </w:rPr>
        <w:t>-</w:t>
      </w:r>
      <w:r w:rsidR="005E03A3" w:rsidRPr="005E03A3">
        <w:rPr>
          <w:rFonts w:cs="Calibri Light"/>
        </w:rPr>
        <w:t xml:space="preserve">State funding agreements. </w:t>
      </w:r>
      <w:r w:rsidR="00D740F6">
        <w:rPr>
          <w:rFonts w:cs="Calibri Light"/>
        </w:rPr>
        <w:t xml:space="preserve">This </w:t>
      </w:r>
      <w:r w:rsidR="00A77234">
        <w:rPr>
          <w:rFonts w:cs="Calibri Light"/>
        </w:rPr>
        <w:t xml:space="preserve">engagement should </w:t>
      </w:r>
      <w:r w:rsidR="000B42BB">
        <w:rPr>
          <w:rFonts w:cs="Calibri Light"/>
        </w:rPr>
        <w:t>happen</w:t>
      </w:r>
      <w:r w:rsidR="00A77234">
        <w:rPr>
          <w:rFonts w:cs="Calibri Light"/>
        </w:rPr>
        <w:t xml:space="preserve"> early in the process and could occur </w:t>
      </w:r>
      <w:r w:rsidR="0092164D">
        <w:rPr>
          <w:rFonts w:cs="Calibri Light"/>
        </w:rPr>
        <w:t>con</w:t>
      </w:r>
      <w:r w:rsidR="00A77234">
        <w:rPr>
          <w:rFonts w:cs="Calibri Light"/>
        </w:rPr>
        <w:t>currently</w:t>
      </w:r>
      <w:r w:rsidR="00740A5B">
        <w:rPr>
          <w:rFonts w:cs="Calibri Light"/>
        </w:rPr>
        <w:t xml:space="preserve"> with the development of the agreement. </w:t>
      </w:r>
      <w:r w:rsidR="00C12614">
        <w:rPr>
          <w:rFonts w:cs="Calibri Light"/>
        </w:rPr>
        <w:t>Any advice provided would need to be timely.</w:t>
      </w:r>
      <w:r w:rsidR="00D740F6">
        <w:rPr>
          <w:rFonts w:cs="Calibri Light"/>
        </w:rPr>
        <w:t xml:space="preserve"> </w:t>
      </w:r>
    </w:p>
    <w:p w14:paraId="7258E981" w14:textId="3D43264D" w:rsidR="00A27914" w:rsidRDefault="005E03A3" w:rsidP="006C62C4">
      <w:pPr>
        <w:rPr>
          <w:rFonts w:cs="Calibri Light"/>
        </w:rPr>
      </w:pPr>
      <w:r w:rsidRPr="005E03A3">
        <w:rPr>
          <w:rFonts w:cs="Calibri Light"/>
        </w:rPr>
        <w:t>Options could include direct consultation with the RGSP Secretariat, establishing a working group</w:t>
      </w:r>
      <w:r w:rsidR="006C62C4">
        <w:rPr>
          <w:rFonts w:cs="Calibri Light"/>
        </w:rPr>
        <w:t>,</w:t>
      </w:r>
      <w:r w:rsidRPr="005E03A3">
        <w:rPr>
          <w:rFonts w:cs="Calibri Light"/>
        </w:rPr>
        <w:t xml:space="preserve"> or out</w:t>
      </w:r>
      <w:r w:rsidR="00096183">
        <w:rPr>
          <w:rFonts w:cs="Calibri Light"/>
        </w:rPr>
        <w:t>-</w:t>
      </w:r>
      <w:r w:rsidRPr="005E03A3">
        <w:rPr>
          <w:rFonts w:cs="Calibri Light"/>
        </w:rPr>
        <w:t>posting a RGSP Secretariat staff member to the lead agency. The appropriate mechanism should be determined between the lead agency and the Steering Committee. While the Review acknowledges that in many cases this would be an additional step in developing an agreement, the long</w:t>
      </w:r>
      <w:r w:rsidR="00B65D32">
        <w:rPr>
          <w:rFonts w:cs="Calibri Light"/>
        </w:rPr>
        <w:t>-</w:t>
      </w:r>
      <w:r w:rsidRPr="005E03A3">
        <w:rPr>
          <w:rFonts w:cs="Calibri Light"/>
        </w:rPr>
        <w:t>term benefits for transparency, accountability, and administrative burden reduction are potentially material.</w:t>
      </w:r>
    </w:p>
    <w:p w14:paraId="08FD2E83" w14:textId="7D66DE8B" w:rsidR="006C62C4" w:rsidRDefault="00A27914" w:rsidP="006C62C4">
      <w:pPr>
        <w:rPr>
          <w:rFonts w:ascii="Calibri" w:hAnsi="Calibri" w:cs="Arial"/>
          <w:iCs/>
          <w:color w:val="2C384A" w:themeColor="accent1"/>
          <w:kern w:val="32"/>
          <w:sz w:val="36"/>
          <w:szCs w:val="28"/>
        </w:rPr>
      </w:pPr>
      <w:r>
        <w:rPr>
          <w:rFonts w:cs="Calibri Light"/>
        </w:rPr>
        <w:t xml:space="preserve">This recommendation may not have </w:t>
      </w:r>
      <w:r w:rsidR="00B8180F">
        <w:rPr>
          <w:rFonts w:cs="Calibri Light"/>
        </w:rPr>
        <w:t xml:space="preserve">much of an impact initially as </w:t>
      </w:r>
      <w:r w:rsidR="00B8180F" w:rsidRPr="00EC365E">
        <w:rPr>
          <w:rFonts w:cs="Calibri Light"/>
        </w:rPr>
        <w:t xml:space="preserve">many </w:t>
      </w:r>
      <w:r w:rsidR="00CB4A30">
        <w:rPr>
          <w:rFonts w:cs="Calibri Light"/>
        </w:rPr>
        <w:t>N</w:t>
      </w:r>
      <w:r w:rsidR="00B8180F" w:rsidRPr="00EC365E">
        <w:rPr>
          <w:rFonts w:cs="Calibri Light"/>
        </w:rPr>
        <w:t xml:space="preserve">ational </w:t>
      </w:r>
      <w:r w:rsidR="00CB4A30">
        <w:rPr>
          <w:rFonts w:cs="Calibri Light"/>
        </w:rPr>
        <w:t>A</w:t>
      </w:r>
      <w:r w:rsidR="00B8180F" w:rsidRPr="00EC365E">
        <w:rPr>
          <w:rFonts w:cs="Calibri Light"/>
        </w:rPr>
        <w:t xml:space="preserve">greements </w:t>
      </w:r>
      <w:r w:rsidR="00B8180F">
        <w:rPr>
          <w:rFonts w:cs="Calibri Light"/>
        </w:rPr>
        <w:t>have</w:t>
      </w:r>
      <w:r w:rsidR="00B8180F" w:rsidRPr="00EC365E">
        <w:rPr>
          <w:rFonts w:cs="Calibri Light"/>
        </w:rPr>
        <w:t xml:space="preserve"> either recently </w:t>
      </w:r>
      <w:r w:rsidR="00B8180F">
        <w:rPr>
          <w:rFonts w:cs="Calibri Light"/>
        </w:rPr>
        <w:t xml:space="preserve">been </w:t>
      </w:r>
      <w:r w:rsidR="00B8180F" w:rsidRPr="00EC365E">
        <w:rPr>
          <w:rFonts w:cs="Calibri Light"/>
        </w:rPr>
        <w:t xml:space="preserve">signed or are </w:t>
      </w:r>
      <w:r w:rsidR="00C17D68">
        <w:rPr>
          <w:rFonts w:cs="Calibri Light"/>
        </w:rPr>
        <w:t xml:space="preserve">at an </w:t>
      </w:r>
      <w:r w:rsidR="00B8180F" w:rsidRPr="00EC365E">
        <w:rPr>
          <w:rFonts w:cs="Calibri Light"/>
        </w:rPr>
        <w:t>advanced</w:t>
      </w:r>
      <w:r w:rsidR="00C17D68">
        <w:rPr>
          <w:rFonts w:cs="Calibri Light"/>
        </w:rPr>
        <w:t xml:space="preserve"> stage</w:t>
      </w:r>
      <w:r w:rsidR="00B8180F" w:rsidRPr="00EC365E">
        <w:rPr>
          <w:rFonts w:cs="Calibri Light"/>
        </w:rPr>
        <w:t xml:space="preserve"> in their </w:t>
      </w:r>
      <w:r w:rsidR="00C17D68">
        <w:rPr>
          <w:rFonts w:cs="Calibri Light"/>
        </w:rPr>
        <w:t xml:space="preserve">development and </w:t>
      </w:r>
      <w:r w:rsidR="00B8180F" w:rsidRPr="00EC365E">
        <w:rPr>
          <w:rFonts w:cs="Calibri Light"/>
        </w:rPr>
        <w:t>negotiation</w:t>
      </w:r>
      <w:r w:rsidR="00C17D68">
        <w:rPr>
          <w:rFonts w:cs="Calibri Light"/>
        </w:rPr>
        <w:t>.</w:t>
      </w:r>
      <w:r w:rsidR="006C62C4" w:rsidRPr="006C62C4">
        <w:t xml:space="preserve"> </w:t>
      </w:r>
      <w:r w:rsidR="006C62C4">
        <w:br w:type="page"/>
      </w:r>
    </w:p>
    <w:p w14:paraId="6032092B" w14:textId="5A2155D9" w:rsidR="000D5BEE" w:rsidRDefault="000D5BEE" w:rsidP="000D5BEE">
      <w:pPr>
        <w:pStyle w:val="Heading2"/>
        <w:tabs>
          <w:tab w:val="left" w:pos="3969"/>
        </w:tabs>
      </w:pPr>
      <w:r>
        <w:t>Findings, recommendations and implementation suggestions</w:t>
      </w:r>
    </w:p>
    <w:tbl>
      <w:tblPr>
        <w:tblStyle w:val="TableGrid"/>
        <w:tblW w:w="0" w:type="auto"/>
        <w:tblLook w:val="04A0" w:firstRow="1" w:lastRow="0" w:firstColumn="1" w:lastColumn="0" w:noHBand="0" w:noVBand="1"/>
      </w:tblPr>
      <w:tblGrid>
        <w:gridCol w:w="4515"/>
        <w:gridCol w:w="4511"/>
      </w:tblGrid>
      <w:tr w:rsidR="000D5BEE" w:rsidRPr="00E94868" w14:paraId="1993CFD7" w14:textId="77777777">
        <w:trPr>
          <w:cnfStyle w:val="100000000000" w:firstRow="1" w:lastRow="0" w:firstColumn="0" w:lastColumn="0" w:oddVBand="0" w:evenVBand="0" w:oddHBand="0" w:evenHBand="0" w:firstRowFirstColumn="0" w:firstRowLastColumn="0" w:lastRowFirstColumn="0" w:lastRowLastColumn="0"/>
        </w:trPr>
        <w:tc>
          <w:tcPr>
            <w:tcW w:w="9072" w:type="dxa"/>
            <w:gridSpan w:val="2"/>
          </w:tcPr>
          <w:p w14:paraId="6D2E0572" w14:textId="77777777" w:rsidR="000D5BEE" w:rsidRPr="000173B0" w:rsidRDefault="000D5BEE" w:rsidP="000173B0">
            <w:pPr>
              <w:pStyle w:val="TableMainHeading"/>
              <w:rPr>
                <w:b w:val="0"/>
                <w:bCs/>
              </w:rPr>
            </w:pPr>
            <w:r w:rsidRPr="000173B0">
              <w:rPr>
                <w:b w:val="0"/>
                <w:bCs/>
              </w:rPr>
              <w:t>Findings</w:t>
            </w:r>
          </w:p>
        </w:tc>
      </w:tr>
      <w:tr w:rsidR="000D5BEE" w:rsidRPr="00E94868" w14:paraId="1339E118" w14:textId="77777777">
        <w:tc>
          <w:tcPr>
            <w:tcW w:w="9072" w:type="dxa"/>
            <w:gridSpan w:val="2"/>
          </w:tcPr>
          <w:p w14:paraId="22992CD1" w14:textId="381ADF7A" w:rsidR="00390F85" w:rsidRPr="00BC1554" w:rsidRDefault="00390F85" w:rsidP="005241B9">
            <w:pPr>
              <w:numPr>
                <w:ilvl w:val="0"/>
                <w:numId w:val="29"/>
              </w:numPr>
              <w:tabs>
                <w:tab w:val="clear" w:pos="567"/>
              </w:tabs>
              <w:rPr>
                <w:sz w:val="22"/>
                <w:szCs w:val="22"/>
              </w:rPr>
            </w:pPr>
            <w:r w:rsidRPr="00BC1554">
              <w:rPr>
                <w:sz w:val="22"/>
                <w:szCs w:val="22"/>
              </w:rPr>
              <w:t>The RoGS and the Dashboard operate in a crowded environment for data and reporting and more could be done to join</w:t>
            </w:r>
            <w:r w:rsidR="0026199D">
              <w:rPr>
                <w:sz w:val="22"/>
                <w:szCs w:val="22"/>
              </w:rPr>
              <w:t xml:space="preserve"> </w:t>
            </w:r>
            <w:r w:rsidRPr="00BC1554">
              <w:rPr>
                <w:sz w:val="22"/>
                <w:szCs w:val="22"/>
              </w:rPr>
              <w:t xml:space="preserve">up different </w:t>
            </w:r>
            <w:r w:rsidR="00B34FEA">
              <w:rPr>
                <w:sz w:val="22"/>
                <w:szCs w:val="22"/>
              </w:rPr>
              <w:t>processes and products</w:t>
            </w:r>
            <w:r w:rsidRPr="00BC1554">
              <w:rPr>
                <w:sz w:val="22"/>
                <w:szCs w:val="22"/>
              </w:rPr>
              <w:t xml:space="preserve"> to reduce confusion for users. </w:t>
            </w:r>
          </w:p>
          <w:p w14:paraId="6959210E" w14:textId="7102A5E6" w:rsidR="00390F85" w:rsidRPr="00BC1554" w:rsidRDefault="00390F85" w:rsidP="005241B9">
            <w:pPr>
              <w:numPr>
                <w:ilvl w:val="0"/>
                <w:numId w:val="29"/>
              </w:numPr>
              <w:rPr>
                <w:sz w:val="22"/>
                <w:szCs w:val="22"/>
              </w:rPr>
            </w:pPr>
            <w:r w:rsidRPr="00BC1554">
              <w:rPr>
                <w:sz w:val="22"/>
                <w:szCs w:val="22"/>
              </w:rPr>
              <w:t xml:space="preserve">Linked datasets </w:t>
            </w:r>
            <w:r w:rsidR="003D0DD3">
              <w:rPr>
                <w:sz w:val="22"/>
                <w:szCs w:val="22"/>
              </w:rPr>
              <w:t>could</w:t>
            </w:r>
            <w:r w:rsidRPr="00BC1554">
              <w:rPr>
                <w:sz w:val="22"/>
                <w:szCs w:val="22"/>
              </w:rPr>
              <w:t xml:space="preserve"> improve the measurement of government service performance and reduce the reporting burden on jurisdictions.</w:t>
            </w:r>
          </w:p>
          <w:p w14:paraId="1AE9B7B8" w14:textId="2ACCB595" w:rsidR="000D5BEE" w:rsidRPr="00AD2678" w:rsidRDefault="00390F85" w:rsidP="005241B9">
            <w:pPr>
              <w:numPr>
                <w:ilvl w:val="0"/>
                <w:numId w:val="29"/>
              </w:numPr>
              <w:rPr>
                <w:szCs w:val="22"/>
              </w:rPr>
            </w:pPr>
            <w:r w:rsidRPr="00BC1554">
              <w:rPr>
                <w:sz w:val="22"/>
                <w:szCs w:val="22"/>
              </w:rPr>
              <w:t xml:space="preserve">The Steering Committee has significant expertise in performance measurement that could be </w:t>
            </w:r>
            <w:r w:rsidR="00CA291F">
              <w:rPr>
                <w:sz w:val="22"/>
                <w:szCs w:val="22"/>
              </w:rPr>
              <w:t>better used</w:t>
            </w:r>
            <w:r w:rsidRPr="00BC1554">
              <w:rPr>
                <w:sz w:val="22"/>
                <w:szCs w:val="22"/>
              </w:rPr>
              <w:t xml:space="preserve"> across governments.</w:t>
            </w:r>
          </w:p>
        </w:tc>
      </w:tr>
      <w:tr w:rsidR="000D5BEE" w:rsidRPr="00E94868" w14:paraId="7A50E82C" w14:textId="77777777">
        <w:tc>
          <w:tcPr>
            <w:tcW w:w="4536" w:type="dxa"/>
            <w:shd w:val="clear" w:color="auto" w:fill="EEEEEE" w:themeFill="background2"/>
          </w:tcPr>
          <w:p w14:paraId="2E7D01A1" w14:textId="77777777" w:rsidR="000D5BEE" w:rsidRPr="00E94868" w:rsidRDefault="000D5BEE" w:rsidP="000173B0">
            <w:pPr>
              <w:pStyle w:val="TableMainHeading"/>
            </w:pPr>
            <w:r w:rsidRPr="00E94868">
              <w:t>Recommendations</w:t>
            </w:r>
          </w:p>
        </w:tc>
        <w:tc>
          <w:tcPr>
            <w:tcW w:w="4536" w:type="dxa"/>
            <w:shd w:val="clear" w:color="auto" w:fill="EEEEEE" w:themeFill="background2"/>
          </w:tcPr>
          <w:p w14:paraId="0CB441E7" w14:textId="77777777" w:rsidR="000D5BEE" w:rsidRPr="00E94868" w:rsidRDefault="000D5BEE" w:rsidP="000173B0">
            <w:pPr>
              <w:pStyle w:val="TableMainHeading"/>
            </w:pPr>
            <w:r w:rsidRPr="00106595">
              <w:t>Implementation suggestions</w:t>
            </w:r>
          </w:p>
        </w:tc>
      </w:tr>
      <w:tr w:rsidR="00390F85" w:rsidRPr="00E94868" w14:paraId="1B84AA9E" w14:textId="77777777">
        <w:tc>
          <w:tcPr>
            <w:tcW w:w="4536" w:type="dxa"/>
          </w:tcPr>
          <w:p w14:paraId="0CE7D51A" w14:textId="07DD112F" w:rsidR="00390F85" w:rsidRPr="00371847" w:rsidRDefault="00390F85" w:rsidP="005241B9">
            <w:pPr>
              <w:numPr>
                <w:ilvl w:val="0"/>
                <w:numId w:val="22"/>
              </w:numPr>
              <w:rPr>
                <w:szCs w:val="22"/>
              </w:rPr>
            </w:pPr>
            <w:r w:rsidRPr="006D0866">
              <w:rPr>
                <w:b/>
                <w:sz w:val="22"/>
                <w:szCs w:val="22"/>
              </w:rPr>
              <w:t>Enhance connections to the broader data and reporting ecosystem</w:t>
            </w:r>
          </w:p>
        </w:tc>
        <w:tc>
          <w:tcPr>
            <w:tcW w:w="4536" w:type="dxa"/>
          </w:tcPr>
          <w:p w14:paraId="34E6F653" w14:textId="15CEEB6F" w:rsidR="00390F85" w:rsidRPr="00AD12E1" w:rsidRDefault="00390F85" w:rsidP="00390F85">
            <w:pPr>
              <w:rPr>
                <w:rFonts w:cs="Calibri Light"/>
                <w:sz w:val="22"/>
                <w:szCs w:val="22"/>
              </w:rPr>
            </w:pPr>
          </w:p>
        </w:tc>
      </w:tr>
      <w:tr w:rsidR="00390F85" w:rsidRPr="00E94868" w14:paraId="54CBEAA8" w14:textId="77777777">
        <w:tc>
          <w:tcPr>
            <w:tcW w:w="4536" w:type="dxa"/>
          </w:tcPr>
          <w:p w14:paraId="4B92286B" w14:textId="79C9835D" w:rsidR="00390F85" w:rsidRPr="00106595" w:rsidRDefault="00390F85" w:rsidP="005241B9">
            <w:pPr>
              <w:pStyle w:val="ListParagraph"/>
              <w:numPr>
                <w:ilvl w:val="1"/>
                <w:numId w:val="16"/>
              </w:numPr>
              <w:ind w:left="567" w:hanging="567"/>
              <w:contextualSpacing w:val="0"/>
              <w:rPr>
                <w:sz w:val="22"/>
                <w:szCs w:val="22"/>
              </w:rPr>
            </w:pPr>
            <w:r w:rsidRPr="006D0866">
              <w:rPr>
                <w:rFonts w:cs="Calibri Light"/>
                <w:sz w:val="22"/>
                <w:szCs w:val="22"/>
              </w:rPr>
              <w:t xml:space="preserve">The Steering Committee to expand its formal connections to other technical experts </w:t>
            </w:r>
            <w:r w:rsidR="00110DA2">
              <w:rPr>
                <w:rFonts w:cs="Calibri Light"/>
                <w:sz w:val="22"/>
                <w:szCs w:val="22"/>
              </w:rPr>
              <w:t>to help</w:t>
            </w:r>
            <w:r w:rsidRPr="006D0866">
              <w:rPr>
                <w:rFonts w:cs="Calibri Light"/>
                <w:sz w:val="22"/>
                <w:szCs w:val="22"/>
              </w:rPr>
              <w:t xml:space="preserve"> reduc</w:t>
            </w:r>
            <w:r w:rsidR="00110DA2">
              <w:rPr>
                <w:rFonts w:cs="Calibri Light"/>
                <w:sz w:val="22"/>
                <w:szCs w:val="22"/>
              </w:rPr>
              <w:t>e</w:t>
            </w:r>
            <w:r w:rsidRPr="006D0866">
              <w:rPr>
                <w:rFonts w:cs="Calibri Light"/>
                <w:sz w:val="22"/>
                <w:szCs w:val="22"/>
              </w:rPr>
              <w:t xml:space="preserve"> duplication and </w:t>
            </w:r>
            <w:r w:rsidR="00110DA2">
              <w:rPr>
                <w:rFonts w:cs="Calibri Light"/>
                <w:sz w:val="22"/>
                <w:szCs w:val="22"/>
              </w:rPr>
              <w:t xml:space="preserve">better </w:t>
            </w:r>
            <w:r w:rsidRPr="006D0866">
              <w:rPr>
                <w:rFonts w:cs="Calibri Light"/>
                <w:sz w:val="22"/>
                <w:szCs w:val="22"/>
              </w:rPr>
              <w:t>leverag</w:t>
            </w:r>
            <w:r w:rsidR="00110DA2">
              <w:rPr>
                <w:rFonts w:cs="Calibri Light"/>
                <w:sz w:val="22"/>
                <w:szCs w:val="22"/>
              </w:rPr>
              <w:t>e</w:t>
            </w:r>
            <w:r w:rsidRPr="006D0866">
              <w:rPr>
                <w:rFonts w:cs="Calibri Light"/>
                <w:sz w:val="22"/>
                <w:szCs w:val="22"/>
              </w:rPr>
              <w:t xml:space="preserve"> </w:t>
            </w:r>
            <w:r w:rsidR="00110DA2">
              <w:rPr>
                <w:rFonts w:cs="Calibri Light"/>
                <w:sz w:val="22"/>
                <w:szCs w:val="22"/>
              </w:rPr>
              <w:t>other</w:t>
            </w:r>
            <w:r w:rsidR="00110DA2" w:rsidRPr="006D0866">
              <w:rPr>
                <w:rFonts w:cs="Calibri Light"/>
                <w:sz w:val="22"/>
                <w:szCs w:val="22"/>
              </w:rPr>
              <w:t xml:space="preserve"> </w:t>
            </w:r>
            <w:r w:rsidRPr="006D0866">
              <w:rPr>
                <w:rFonts w:cs="Calibri Light"/>
                <w:sz w:val="22"/>
                <w:szCs w:val="22"/>
              </w:rPr>
              <w:t>data sources and technological developments.</w:t>
            </w:r>
          </w:p>
        </w:tc>
        <w:tc>
          <w:tcPr>
            <w:tcW w:w="4536" w:type="dxa"/>
          </w:tcPr>
          <w:p w14:paraId="4125737A" w14:textId="5132AEDD" w:rsidR="00390F85" w:rsidRPr="000173B0" w:rsidRDefault="00B56891" w:rsidP="00390F85">
            <w:pPr>
              <w:rPr>
                <w:rFonts w:cs="Calibri Light"/>
                <w:sz w:val="22"/>
                <w:szCs w:val="22"/>
              </w:rPr>
            </w:pPr>
            <w:r w:rsidRPr="000173B0">
              <w:rPr>
                <w:rFonts w:cs="Calibri Light"/>
                <w:sz w:val="22"/>
                <w:szCs w:val="22"/>
              </w:rPr>
              <w:t xml:space="preserve">The </w:t>
            </w:r>
            <w:r w:rsidR="00836525" w:rsidRPr="000173B0">
              <w:rPr>
                <w:rFonts w:cs="Calibri Light"/>
                <w:sz w:val="22"/>
                <w:szCs w:val="22"/>
              </w:rPr>
              <w:t xml:space="preserve">RGSP Secretariat </w:t>
            </w:r>
            <w:r w:rsidR="00377762" w:rsidRPr="000173B0">
              <w:rPr>
                <w:rFonts w:cs="Calibri Light"/>
                <w:sz w:val="22"/>
                <w:szCs w:val="22"/>
              </w:rPr>
              <w:t xml:space="preserve">should </w:t>
            </w:r>
            <w:r w:rsidR="00216AE1" w:rsidRPr="000173B0">
              <w:rPr>
                <w:rFonts w:cs="Calibri Light"/>
                <w:sz w:val="22"/>
                <w:szCs w:val="22"/>
              </w:rPr>
              <w:t xml:space="preserve">seek to be represented </w:t>
            </w:r>
            <w:r w:rsidR="00500437" w:rsidRPr="000173B0">
              <w:rPr>
                <w:rFonts w:cs="Calibri Light"/>
                <w:sz w:val="22"/>
                <w:szCs w:val="22"/>
              </w:rPr>
              <w:t xml:space="preserve">on key data </w:t>
            </w:r>
            <w:r w:rsidR="00C7117A" w:rsidRPr="000173B0">
              <w:rPr>
                <w:rFonts w:cs="Calibri Light"/>
                <w:sz w:val="22"/>
                <w:szCs w:val="22"/>
              </w:rPr>
              <w:t>reference groups on sectors covered in the RoGS</w:t>
            </w:r>
            <w:r w:rsidR="0067712C" w:rsidRPr="000173B0">
              <w:rPr>
                <w:rFonts w:cs="Calibri Light"/>
                <w:sz w:val="22"/>
                <w:szCs w:val="22"/>
              </w:rPr>
              <w:t xml:space="preserve"> where it </w:t>
            </w:r>
            <w:r w:rsidR="00625702" w:rsidRPr="000173B0">
              <w:rPr>
                <w:rFonts w:cs="Calibri Light"/>
                <w:sz w:val="22"/>
                <w:szCs w:val="22"/>
              </w:rPr>
              <w:t>is not already a member</w:t>
            </w:r>
            <w:r w:rsidR="00C7117A" w:rsidRPr="000173B0">
              <w:rPr>
                <w:rFonts w:cs="Calibri Light"/>
                <w:sz w:val="22"/>
                <w:szCs w:val="22"/>
              </w:rPr>
              <w:t xml:space="preserve">. It </w:t>
            </w:r>
            <w:r w:rsidR="00836525" w:rsidRPr="000173B0">
              <w:rPr>
                <w:rFonts w:cs="Calibri Light"/>
                <w:sz w:val="22"/>
                <w:szCs w:val="22"/>
              </w:rPr>
              <w:t xml:space="preserve">should </w:t>
            </w:r>
            <w:r w:rsidR="00FC552D" w:rsidRPr="000173B0">
              <w:rPr>
                <w:rFonts w:cs="Calibri Light"/>
                <w:sz w:val="22"/>
                <w:szCs w:val="22"/>
              </w:rPr>
              <w:t>also</w:t>
            </w:r>
            <w:r w:rsidR="00836525" w:rsidRPr="000173B0">
              <w:rPr>
                <w:rFonts w:cs="Calibri Light"/>
                <w:sz w:val="22"/>
                <w:szCs w:val="22"/>
              </w:rPr>
              <w:t xml:space="preserve"> meet</w:t>
            </w:r>
            <w:r w:rsidR="00E63517" w:rsidRPr="000173B0">
              <w:rPr>
                <w:rFonts w:cs="Calibri Light"/>
                <w:sz w:val="22"/>
                <w:szCs w:val="22"/>
              </w:rPr>
              <w:t xml:space="preserve"> separately</w:t>
            </w:r>
            <w:r w:rsidR="00836525" w:rsidRPr="000173B0">
              <w:rPr>
                <w:rFonts w:cs="Calibri Light"/>
                <w:sz w:val="22"/>
                <w:szCs w:val="22"/>
              </w:rPr>
              <w:t xml:space="preserve"> with the </w:t>
            </w:r>
            <w:r w:rsidR="00BE48F2" w:rsidRPr="000173B0">
              <w:rPr>
                <w:rFonts w:cs="Calibri Light"/>
                <w:sz w:val="22"/>
                <w:szCs w:val="22"/>
              </w:rPr>
              <w:t>CGC</w:t>
            </w:r>
            <w:r w:rsidR="00836525" w:rsidRPr="000173B0">
              <w:rPr>
                <w:rFonts w:cs="Calibri Light"/>
                <w:sz w:val="22"/>
                <w:szCs w:val="22"/>
              </w:rPr>
              <w:t xml:space="preserve"> </w:t>
            </w:r>
            <w:r w:rsidR="00CF3F78" w:rsidRPr="000173B0">
              <w:rPr>
                <w:rFonts w:cs="Calibri Light"/>
                <w:sz w:val="22"/>
                <w:szCs w:val="22"/>
              </w:rPr>
              <w:t>and Data and Analytics Working Group</w:t>
            </w:r>
            <w:r w:rsidR="00836525" w:rsidRPr="000173B0">
              <w:rPr>
                <w:rFonts w:cs="Calibri Light"/>
                <w:sz w:val="22"/>
                <w:szCs w:val="22"/>
              </w:rPr>
              <w:t xml:space="preserve"> to explore how useful and practical ongoing relationship</w:t>
            </w:r>
            <w:r w:rsidR="00E63517" w:rsidRPr="000173B0">
              <w:rPr>
                <w:rFonts w:cs="Calibri Light"/>
                <w:sz w:val="22"/>
                <w:szCs w:val="22"/>
              </w:rPr>
              <w:t>s</w:t>
            </w:r>
            <w:r w:rsidR="00836525" w:rsidRPr="000173B0">
              <w:rPr>
                <w:rFonts w:cs="Calibri Light"/>
                <w:sz w:val="22"/>
                <w:szCs w:val="22"/>
              </w:rPr>
              <w:t xml:space="preserve"> might be</w:t>
            </w:r>
            <w:r w:rsidR="00216AE1" w:rsidRPr="000173B0">
              <w:rPr>
                <w:rFonts w:cs="Calibri Light"/>
                <w:sz w:val="22"/>
                <w:szCs w:val="22"/>
              </w:rPr>
              <w:t>.</w:t>
            </w:r>
          </w:p>
        </w:tc>
      </w:tr>
      <w:tr w:rsidR="00390F85" w:rsidRPr="00E94868" w14:paraId="7BCDFB8C" w14:textId="77777777">
        <w:tc>
          <w:tcPr>
            <w:tcW w:w="4536" w:type="dxa"/>
          </w:tcPr>
          <w:p w14:paraId="2DF618FB" w14:textId="6F65201E" w:rsidR="00390F85" w:rsidRPr="00106595" w:rsidRDefault="00390F85" w:rsidP="005241B9">
            <w:pPr>
              <w:pStyle w:val="ListParagraph"/>
              <w:numPr>
                <w:ilvl w:val="1"/>
                <w:numId w:val="16"/>
              </w:numPr>
              <w:ind w:left="567" w:hanging="567"/>
              <w:contextualSpacing w:val="0"/>
              <w:rPr>
                <w:sz w:val="22"/>
                <w:szCs w:val="22"/>
              </w:rPr>
            </w:pPr>
            <w:r w:rsidRPr="006D0866">
              <w:rPr>
                <w:rFonts w:cs="Calibri Light"/>
                <w:sz w:val="22"/>
                <w:szCs w:val="22"/>
              </w:rPr>
              <w:t>The Steering Committee to explore new opportunities for linked datasets to improve measurement and reduce data provision burden for the RoGS and the Dashboard.</w:t>
            </w:r>
          </w:p>
        </w:tc>
        <w:tc>
          <w:tcPr>
            <w:tcW w:w="4536" w:type="dxa"/>
          </w:tcPr>
          <w:p w14:paraId="27121575" w14:textId="2482B8B4" w:rsidR="00390F85" w:rsidRPr="000173B0" w:rsidRDefault="00BC7D70" w:rsidP="00390F85">
            <w:pPr>
              <w:rPr>
                <w:rFonts w:cs="Calibri Light"/>
                <w:sz w:val="22"/>
                <w:szCs w:val="22"/>
              </w:rPr>
            </w:pPr>
            <w:r w:rsidRPr="000173B0">
              <w:rPr>
                <w:rFonts w:cs="Calibri Light"/>
                <w:sz w:val="22"/>
                <w:szCs w:val="22"/>
              </w:rPr>
              <w:t xml:space="preserve">The Steering Committee </w:t>
            </w:r>
            <w:r w:rsidR="00F65912" w:rsidRPr="000173B0">
              <w:rPr>
                <w:rFonts w:cs="Calibri Light"/>
                <w:sz w:val="22"/>
                <w:szCs w:val="22"/>
              </w:rPr>
              <w:t xml:space="preserve">should continue to identify </w:t>
            </w:r>
            <w:r w:rsidR="009A64E6" w:rsidRPr="000173B0">
              <w:rPr>
                <w:rFonts w:cs="Calibri Light"/>
                <w:sz w:val="22"/>
                <w:szCs w:val="22"/>
              </w:rPr>
              <w:t xml:space="preserve">and explore </w:t>
            </w:r>
            <w:r w:rsidR="00F65912" w:rsidRPr="000173B0">
              <w:rPr>
                <w:rFonts w:cs="Calibri Light"/>
                <w:sz w:val="22"/>
                <w:szCs w:val="22"/>
              </w:rPr>
              <w:t xml:space="preserve">new </w:t>
            </w:r>
            <w:r w:rsidR="004A5373" w:rsidRPr="000173B0">
              <w:rPr>
                <w:rFonts w:cs="Calibri Light"/>
                <w:sz w:val="22"/>
                <w:szCs w:val="22"/>
              </w:rPr>
              <w:t xml:space="preserve">opportunities to use linked </w:t>
            </w:r>
            <w:r w:rsidR="00F65912" w:rsidRPr="000173B0">
              <w:rPr>
                <w:rFonts w:cs="Calibri Light"/>
                <w:sz w:val="22"/>
                <w:szCs w:val="22"/>
              </w:rPr>
              <w:t xml:space="preserve">datasets </w:t>
            </w:r>
            <w:r w:rsidR="004A5373" w:rsidRPr="000173B0">
              <w:rPr>
                <w:rFonts w:cs="Calibri Light"/>
                <w:sz w:val="22"/>
                <w:szCs w:val="22"/>
              </w:rPr>
              <w:t>in the RoGS.</w:t>
            </w:r>
            <w:r w:rsidR="00F65912" w:rsidRPr="000173B0">
              <w:rPr>
                <w:rFonts w:cs="Calibri Light"/>
                <w:sz w:val="22"/>
                <w:szCs w:val="22"/>
              </w:rPr>
              <w:t xml:space="preserve"> </w:t>
            </w:r>
            <w:r w:rsidRPr="000173B0">
              <w:rPr>
                <w:rFonts w:cs="Calibri Light"/>
                <w:sz w:val="22"/>
                <w:szCs w:val="22"/>
              </w:rPr>
              <w:t>The RGSP Secretariat should therefore continue to develop in</w:t>
            </w:r>
            <w:r w:rsidR="00B65D32" w:rsidRPr="000173B0">
              <w:rPr>
                <w:rFonts w:cs="Calibri Light"/>
                <w:sz w:val="22"/>
                <w:szCs w:val="22"/>
              </w:rPr>
              <w:t>-</w:t>
            </w:r>
            <w:r w:rsidRPr="000173B0">
              <w:rPr>
                <w:rFonts w:cs="Calibri Light"/>
                <w:sz w:val="22"/>
                <w:szCs w:val="22"/>
              </w:rPr>
              <w:t>house capability to use integrated data</w:t>
            </w:r>
          </w:p>
        </w:tc>
      </w:tr>
      <w:tr w:rsidR="00390F85" w:rsidRPr="00E94868" w14:paraId="3E5D36F9" w14:textId="77777777">
        <w:tc>
          <w:tcPr>
            <w:tcW w:w="4536" w:type="dxa"/>
          </w:tcPr>
          <w:p w14:paraId="28382618" w14:textId="637DE9A8" w:rsidR="00390F85" w:rsidRPr="00106595" w:rsidRDefault="00390F85" w:rsidP="005241B9">
            <w:pPr>
              <w:pStyle w:val="ListParagraph"/>
              <w:numPr>
                <w:ilvl w:val="1"/>
                <w:numId w:val="16"/>
              </w:numPr>
              <w:ind w:left="601" w:hanging="567"/>
              <w:contextualSpacing w:val="0"/>
              <w:rPr>
                <w:sz w:val="22"/>
                <w:szCs w:val="22"/>
              </w:rPr>
            </w:pPr>
            <w:r w:rsidRPr="006D0866">
              <w:rPr>
                <w:rFonts w:cs="Calibri Light"/>
                <w:sz w:val="22"/>
                <w:szCs w:val="22"/>
              </w:rPr>
              <w:t xml:space="preserve">The Steering Committee to be consulted in the development of performance reporting frameworks for </w:t>
            </w:r>
            <w:r w:rsidR="00330BD0">
              <w:rPr>
                <w:rFonts w:cs="Calibri Light"/>
                <w:sz w:val="22"/>
                <w:szCs w:val="22"/>
              </w:rPr>
              <w:t xml:space="preserve">new </w:t>
            </w:r>
            <w:r w:rsidRPr="006D0866">
              <w:rPr>
                <w:rFonts w:cs="Calibri Light"/>
                <w:sz w:val="22"/>
                <w:szCs w:val="22"/>
              </w:rPr>
              <w:t>major Commonwealth</w:t>
            </w:r>
            <w:r w:rsidR="00B65D32">
              <w:rPr>
                <w:rFonts w:cs="Calibri Light"/>
                <w:sz w:val="22"/>
                <w:szCs w:val="22"/>
              </w:rPr>
              <w:t>-</w:t>
            </w:r>
            <w:r w:rsidRPr="006D0866">
              <w:rPr>
                <w:rFonts w:cs="Calibri Light"/>
                <w:sz w:val="22"/>
                <w:szCs w:val="22"/>
              </w:rPr>
              <w:t>State funding agreements negotiated from 2025</w:t>
            </w:r>
            <w:r w:rsidR="00C94C78">
              <w:rPr>
                <w:rFonts w:cs="Calibri Light"/>
                <w:sz w:val="22"/>
                <w:szCs w:val="22"/>
              </w:rPr>
              <w:t xml:space="preserve"> </w:t>
            </w:r>
            <w:r w:rsidR="00C94C78" w:rsidRPr="00583A11">
              <w:rPr>
                <w:rFonts w:cs="Calibri Light"/>
                <w:sz w:val="22"/>
                <w:szCs w:val="22"/>
              </w:rPr>
              <w:t>where parties agree</w:t>
            </w:r>
            <w:r w:rsidRPr="006D0866">
              <w:rPr>
                <w:rFonts w:cs="Calibri Light"/>
                <w:sz w:val="22"/>
                <w:szCs w:val="22"/>
              </w:rPr>
              <w:t>.</w:t>
            </w:r>
          </w:p>
        </w:tc>
        <w:tc>
          <w:tcPr>
            <w:tcW w:w="4536" w:type="dxa"/>
          </w:tcPr>
          <w:p w14:paraId="7414AE0F" w14:textId="7EB52C2B" w:rsidR="00390F85" w:rsidRPr="000173B0" w:rsidRDefault="00556D2A" w:rsidP="00390F85">
            <w:pPr>
              <w:ind w:left="32"/>
              <w:rPr>
                <w:rFonts w:cs="Calibri Light"/>
                <w:sz w:val="22"/>
                <w:szCs w:val="22"/>
              </w:rPr>
            </w:pPr>
            <w:r w:rsidRPr="000173B0">
              <w:rPr>
                <w:rFonts w:cs="Calibri Light"/>
                <w:sz w:val="22"/>
                <w:szCs w:val="22"/>
              </w:rPr>
              <w:t xml:space="preserve">The guidelines for developing </w:t>
            </w:r>
            <w:r w:rsidR="00962B4F" w:rsidRPr="000173B0">
              <w:rPr>
                <w:rFonts w:cs="Calibri Light"/>
                <w:sz w:val="22"/>
                <w:szCs w:val="22"/>
              </w:rPr>
              <w:t>N</w:t>
            </w:r>
            <w:r w:rsidRPr="000173B0">
              <w:rPr>
                <w:rFonts w:cs="Calibri Light"/>
                <w:sz w:val="22"/>
                <w:szCs w:val="22"/>
              </w:rPr>
              <w:t xml:space="preserve">ational </w:t>
            </w:r>
            <w:r w:rsidR="00962B4F" w:rsidRPr="000173B0">
              <w:rPr>
                <w:rFonts w:cs="Calibri Light"/>
                <w:sz w:val="22"/>
                <w:szCs w:val="22"/>
              </w:rPr>
              <w:t>A</w:t>
            </w:r>
            <w:r w:rsidRPr="000173B0">
              <w:rPr>
                <w:rFonts w:cs="Calibri Light"/>
                <w:sz w:val="22"/>
                <w:szCs w:val="22"/>
              </w:rPr>
              <w:t>greements should be updated</w:t>
            </w:r>
            <w:r w:rsidR="00AB0838" w:rsidRPr="000173B0">
              <w:rPr>
                <w:rFonts w:cs="Calibri Light"/>
                <w:sz w:val="22"/>
                <w:szCs w:val="22"/>
              </w:rPr>
              <w:t>.</w:t>
            </w:r>
          </w:p>
          <w:p w14:paraId="0D1A207E" w14:textId="12469F6B" w:rsidR="00390F85" w:rsidRPr="000173B0" w:rsidRDefault="00A55D22" w:rsidP="00390F85">
            <w:pPr>
              <w:ind w:left="32"/>
              <w:rPr>
                <w:rFonts w:cs="Calibri Light"/>
                <w:sz w:val="22"/>
                <w:szCs w:val="22"/>
              </w:rPr>
            </w:pPr>
            <w:r w:rsidRPr="000173B0">
              <w:rPr>
                <w:rFonts w:cs="Calibri Light"/>
                <w:sz w:val="22"/>
                <w:szCs w:val="22"/>
              </w:rPr>
              <w:t xml:space="preserve">Where </w:t>
            </w:r>
            <w:r w:rsidR="004D120C" w:rsidRPr="000173B0">
              <w:rPr>
                <w:rFonts w:cs="Calibri Light"/>
                <w:sz w:val="22"/>
                <w:szCs w:val="22"/>
              </w:rPr>
              <w:t xml:space="preserve">parties </w:t>
            </w:r>
            <w:r w:rsidRPr="000173B0">
              <w:rPr>
                <w:rFonts w:cs="Calibri Light"/>
                <w:sz w:val="22"/>
                <w:szCs w:val="22"/>
              </w:rPr>
              <w:t>agree, t</w:t>
            </w:r>
            <w:r w:rsidR="00FB296B" w:rsidRPr="000173B0">
              <w:rPr>
                <w:rFonts w:cs="Calibri Light"/>
                <w:sz w:val="22"/>
                <w:szCs w:val="22"/>
              </w:rPr>
              <w:t xml:space="preserve">he </w:t>
            </w:r>
            <w:r w:rsidR="003626F8" w:rsidRPr="000173B0">
              <w:rPr>
                <w:rFonts w:cs="Calibri Light"/>
                <w:sz w:val="22"/>
                <w:szCs w:val="22"/>
              </w:rPr>
              <w:t>l</w:t>
            </w:r>
            <w:r w:rsidR="00FB296B" w:rsidRPr="000173B0">
              <w:rPr>
                <w:rFonts w:cs="Calibri Light"/>
                <w:sz w:val="22"/>
                <w:szCs w:val="22"/>
              </w:rPr>
              <w:t xml:space="preserve">ead policy agency </w:t>
            </w:r>
            <w:r w:rsidR="003626F8" w:rsidRPr="000173B0">
              <w:rPr>
                <w:rFonts w:cs="Calibri Light"/>
                <w:sz w:val="22"/>
                <w:szCs w:val="22"/>
              </w:rPr>
              <w:t>would</w:t>
            </w:r>
            <w:r w:rsidR="00FB296B" w:rsidRPr="000173B0">
              <w:rPr>
                <w:rFonts w:cs="Calibri Light"/>
                <w:sz w:val="22"/>
                <w:szCs w:val="22"/>
              </w:rPr>
              <w:t xml:space="preserve"> determine </w:t>
            </w:r>
            <w:r w:rsidR="00433E9C" w:rsidRPr="000173B0">
              <w:rPr>
                <w:rFonts w:cs="Calibri Light"/>
                <w:sz w:val="22"/>
                <w:szCs w:val="22"/>
              </w:rPr>
              <w:t xml:space="preserve">the </w:t>
            </w:r>
            <w:r w:rsidR="00FB296B" w:rsidRPr="000173B0">
              <w:rPr>
                <w:rFonts w:cs="Calibri Light"/>
                <w:sz w:val="22"/>
                <w:szCs w:val="22"/>
              </w:rPr>
              <w:t>exact nature of consultation</w:t>
            </w:r>
            <w:r w:rsidRPr="000173B0">
              <w:rPr>
                <w:rFonts w:cs="Calibri Light"/>
                <w:sz w:val="22"/>
                <w:szCs w:val="22"/>
              </w:rPr>
              <w:t xml:space="preserve"> with the RGSP Secretariat</w:t>
            </w:r>
            <w:r w:rsidR="00FB296B" w:rsidRPr="000173B0">
              <w:rPr>
                <w:rFonts w:cs="Calibri Light"/>
                <w:sz w:val="22"/>
                <w:szCs w:val="22"/>
              </w:rPr>
              <w:t xml:space="preserve"> for each funding agreement</w:t>
            </w:r>
            <w:r w:rsidR="003626F8" w:rsidRPr="000173B0">
              <w:rPr>
                <w:rFonts w:cs="Calibri Light"/>
                <w:sz w:val="22"/>
                <w:szCs w:val="22"/>
              </w:rPr>
              <w:t>.</w:t>
            </w:r>
            <w:r w:rsidR="008D680D" w:rsidRPr="000173B0">
              <w:rPr>
                <w:rFonts w:cs="Calibri Light"/>
                <w:sz w:val="22"/>
                <w:szCs w:val="22"/>
              </w:rPr>
              <w:t xml:space="preserve"> This requirement is not</w:t>
            </w:r>
            <w:r w:rsidR="00AF4CB0" w:rsidRPr="000173B0">
              <w:rPr>
                <w:rFonts w:cs="Calibri Light"/>
                <w:sz w:val="22"/>
                <w:szCs w:val="22"/>
              </w:rPr>
              <w:t xml:space="preserve"> intended or</w:t>
            </w:r>
            <w:r w:rsidR="008D680D" w:rsidRPr="000173B0">
              <w:rPr>
                <w:rFonts w:cs="Calibri Light"/>
                <w:sz w:val="22"/>
                <w:szCs w:val="22"/>
              </w:rPr>
              <w:t xml:space="preserve"> expected to be onerous</w:t>
            </w:r>
            <w:r w:rsidR="003A7AA3" w:rsidRPr="000173B0">
              <w:rPr>
                <w:rFonts w:cs="Calibri Light"/>
                <w:sz w:val="22"/>
                <w:szCs w:val="22"/>
              </w:rPr>
              <w:t xml:space="preserve"> or </w:t>
            </w:r>
            <w:r w:rsidR="00CF600B" w:rsidRPr="000173B0">
              <w:rPr>
                <w:rFonts w:cs="Calibri Light"/>
                <w:sz w:val="22"/>
                <w:szCs w:val="22"/>
              </w:rPr>
              <w:t>delay</w:t>
            </w:r>
            <w:r w:rsidR="003A7AA3" w:rsidRPr="000173B0">
              <w:rPr>
                <w:rFonts w:cs="Calibri Light"/>
                <w:sz w:val="22"/>
                <w:szCs w:val="22"/>
              </w:rPr>
              <w:t xml:space="preserve"> the process</w:t>
            </w:r>
            <w:r w:rsidR="008D680D" w:rsidRPr="000173B0">
              <w:rPr>
                <w:rFonts w:cs="Calibri Light"/>
                <w:sz w:val="22"/>
                <w:szCs w:val="22"/>
              </w:rPr>
              <w:t>.</w:t>
            </w:r>
          </w:p>
        </w:tc>
      </w:tr>
    </w:tbl>
    <w:p w14:paraId="3BB49939" w14:textId="77777777" w:rsidR="007B38DE" w:rsidRDefault="007B38DE">
      <w:pPr>
        <w:rPr>
          <w:rFonts w:ascii="Calibri" w:hAnsi="Calibri" w:cs="Arial"/>
          <w:b/>
          <w:color w:val="5D779D" w:themeColor="accent3"/>
          <w:kern w:val="32"/>
          <w:sz w:val="44"/>
          <w:szCs w:val="36"/>
        </w:rPr>
      </w:pPr>
      <w:r>
        <w:br w:type="page"/>
      </w:r>
    </w:p>
    <w:p w14:paraId="66EDBE0D" w14:textId="29BF9B0D" w:rsidR="0064418F" w:rsidRDefault="007B38DE" w:rsidP="0064418F">
      <w:pPr>
        <w:pStyle w:val="Heading1"/>
      </w:pPr>
      <w:bookmarkStart w:id="65" w:name="_Ref180409716"/>
      <w:bookmarkStart w:id="66" w:name="_Ref180409724"/>
      <w:bookmarkStart w:id="67" w:name="_Ref180409730"/>
      <w:bookmarkStart w:id="68" w:name="_Toc189559050"/>
      <w:r>
        <w:t>Appendix 1: Review terms of reference</w:t>
      </w:r>
      <w:bookmarkEnd w:id="65"/>
      <w:bookmarkEnd w:id="66"/>
      <w:bookmarkEnd w:id="67"/>
      <w:bookmarkEnd w:id="68"/>
    </w:p>
    <w:p w14:paraId="1E6FD867" w14:textId="77777777" w:rsidR="008D40EA" w:rsidRPr="008D40EA" w:rsidRDefault="008D40EA" w:rsidP="009A717A">
      <w:pPr>
        <w:pStyle w:val="Heading2"/>
        <w:spacing w:line="240" w:lineRule="auto"/>
      </w:pPr>
      <w:r w:rsidRPr="008D40EA">
        <w:t>Review scope</w:t>
      </w:r>
    </w:p>
    <w:p w14:paraId="30C7EE7C" w14:textId="6B2BF95A" w:rsidR="00244873" w:rsidRDefault="008D40EA" w:rsidP="005241B9">
      <w:pPr>
        <w:pStyle w:val="OutlineNumbered1"/>
        <w:numPr>
          <w:ilvl w:val="0"/>
          <w:numId w:val="30"/>
        </w:numPr>
      </w:pPr>
      <w:r w:rsidRPr="008D40EA">
        <w:t>The Review will consider and make recommendations in relation to:</w:t>
      </w:r>
    </w:p>
    <w:p w14:paraId="43993F65" w14:textId="56098AE4" w:rsidR="008D40EA" w:rsidRPr="008D40EA" w:rsidRDefault="008D40EA" w:rsidP="005241B9">
      <w:pPr>
        <w:pStyle w:val="OutlineNumbered2"/>
        <w:numPr>
          <w:ilvl w:val="1"/>
          <w:numId w:val="30"/>
        </w:numPr>
      </w:pPr>
      <w:r w:rsidRPr="008D40EA">
        <w:t>the objective and purpose of the performance monitoring;</w:t>
      </w:r>
    </w:p>
    <w:p w14:paraId="6921E586" w14:textId="3F50BE5A" w:rsidR="008D40EA" w:rsidRPr="008D40EA" w:rsidRDefault="008D40EA" w:rsidP="005241B9">
      <w:pPr>
        <w:pStyle w:val="OutlineNumbered2"/>
        <w:numPr>
          <w:ilvl w:val="1"/>
          <w:numId w:val="30"/>
        </w:numPr>
      </w:pPr>
      <w:r w:rsidRPr="008D40EA">
        <w:t>the appropriate areas being covered by the reporting products, with this analysis being informed by recent developments in performance reporting in Australia and overseas;</w:t>
      </w:r>
    </w:p>
    <w:p w14:paraId="546F2BBB" w14:textId="7BA91950" w:rsidR="008D40EA" w:rsidRPr="008D40EA" w:rsidRDefault="008D40EA" w:rsidP="005241B9">
      <w:pPr>
        <w:pStyle w:val="OutlineNumbered2"/>
        <w:numPr>
          <w:ilvl w:val="1"/>
          <w:numId w:val="30"/>
        </w:numPr>
      </w:pPr>
      <w:r w:rsidRPr="008D40EA">
        <w:t>the effectiveness of existing performance measures, as well as investigating the potential for new performance measures and data sources, in supporting analysis of outcomes and efficiency in government services;</w:t>
      </w:r>
    </w:p>
    <w:p w14:paraId="47ED8DE8" w14:textId="47E02AF8" w:rsidR="008D40EA" w:rsidRPr="008D40EA" w:rsidRDefault="008D40EA" w:rsidP="005241B9">
      <w:pPr>
        <w:pStyle w:val="OutlineNumbered2"/>
        <w:numPr>
          <w:ilvl w:val="1"/>
          <w:numId w:val="30"/>
        </w:numPr>
      </w:pPr>
      <w:r w:rsidRPr="008D40EA">
        <w:t>the extent to which performance monitoring and reporting could be streamlined (including with other performance frameworks) to reduce administrative burden where appropriate, whilst also maximising accountability and transparency;</w:t>
      </w:r>
    </w:p>
    <w:p w14:paraId="7F69E979" w14:textId="0D931498" w:rsidR="008D40EA" w:rsidRPr="008D40EA" w:rsidRDefault="008D40EA" w:rsidP="005241B9">
      <w:pPr>
        <w:pStyle w:val="OutlineNumbered2"/>
        <w:numPr>
          <w:ilvl w:val="1"/>
          <w:numId w:val="30"/>
        </w:numPr>
      </w:pPr>
      <w:r w:rsidRPr="008D40EA">
        <w:t>the use, accessibility and timeliness of the reporting products and what actions could be taken to increase their utilisation;</w:t>
      </w:r>
    </w:p>
    <w:p w14:paraId="1D2ED240" w14:textId="225DAB3A" w:rsidR="008D40EA" w:rsidRPr="008D40EA" w:rsidRDefault="008D40EA" w:rsidP="005241B9">
      <w:pPr>
        <w:pStyle w:val="OutlineNumbered2"/>
        <w:numPr>
          <w:ilvl w:val="1"/>
          <w:numId w:val="30"/>
        </w:numPr>
      </w:pPr>
      <w:r w:rsidRPr="008D40EA">
        <w:t>whether the existing governance arrangements, including the current Terms of Reference remain fit for purpose, given changes to the federation (including National Cabinet replacing COAG and the role of developing and agreeing Commonwealth</w:t>
      </w:r>
      <w:r w:rsidR="00B65D32">
        <w:t>-</w:t>
      </w:r>
      <w:r w:rsidRPr="008D40EA">
        <w:t>State funding agreements being delegated to CFFR); and</w:t>
      </w:r>
    </w:p>
    <w:p w14:paraId="2844AE81" w14:textId="2CEF4B67" w:rsidR="008D40EA" w:rsidRPr="008D40EA" w:rsidRDefault="008D40EA" w:rsidP="005241B9">
      <w:pPr>
        <w:pStyle w:val="OutlineNumbered2"/>
        <w:numPr>
          <w:ilvl w:val="1"/>
          <w:numId w:val="30"/>
        </w:numPr>
      </w:pPr>
      <w:r w:rsidRPr="008D40EA">
        <w:t>the effectiveness of the current model of engagement with government and use of data in advancing reform.</w:t>
      </w:r>
    </w:p>
    <w:p w14:paraId="6DE748C0" w14:textId="77777777" w:rsidR="008D40EA" w:rsidRPr="008D40EA" w:rsidRDefault="008D40EA" w:rsidP="009A717A">
      <w:pPr>
        <w:pStyle w:val="Heading2"/>
        <w:spacing w:line="240" w:lineRule="auto"/>
      </w:pPr>
      <w:r w:rsidRPr="008D40EA">
        <w:t>Process</w:t>
      </w:r>
    </w:p>
    <w:p w14:paraId="63DF6BCA" w14:textId="77777777" w:rsidR="00BB5DE5" w:rsidRDefault="008D40EA" w:rsidP="005241B9">
      <w:pPr>
        <w:pStyle w:val="OutlineNumbered1"/>
        <w:numPr>
          <w:ilvl w:val="0"/>
          <w:numId w:val="30"/>
        </w:numPr>
      </w:pPr>
      <w:r w:rsidRPr="008D40EA">
        <w:t>These Terms of Reference for the Review have been agreed by CFFR.</w:t>
      </w:r>
    </w:p>
    <w:p w14:paraId="6F8F390F" w14:textId="66EB1708" w:rsidR="00BB5DE5" w:rsidRDefault="008D40EA" w:rsidP="005241B9">
      <w:pPr>
        <w:pStyle w:val="OutlineNumbered1"/>
        <w:numPr>
          <w:ilvl w:val="1"/>
          <w:numId w:val="30"/>
        </w:numPr>
      </w:pPr>
      <w:r w:rsidRPr="008D40EA">
        <w:t>The Review will be undertaken by a Commonwealth Treasury</w:t>
      </w:r>
      <w:r w:rsidR="00B65D32">
        <w:t>-</w:t>
      </w:r>
      <w:r w:rsidRPr="008D40EA">
        <w:t>based team and include secondees from the PC and/or state and territory governments.</w:t>
      </w:r>
    </w:p>
    <w:p w14:paraId="521CDFB0" w14:textId="77777777" w:rsidR="00BB5DE5" w:rsidRDefault="008D40EA" w:rsidP="005241B9">
      <w:pPr>
        <w:pStyle w:val="OutlineNumbered1"/>
        <w:numPr>
          <w:ilvl w:val="1"/>
          <w:numId w:val="30"/>
        </w:numPr>
      </w:pPr>
      <w:r w:rsidRPr="008D40EA">
        <w:t>The review team will consult relevant providers and users of reporting products including Commonwealth agencies, state and territory governments, non</w:t>
      </w:r>
      <w:r w:rsidR="00B65D32">
        <w:t>-</w:t>
      </w:r>
      <w:r w:rsidRPr="008D40EA">
        <w:t>government and community stakeholders and the Steering Committee for the Review of Government Service Provision and its secretariat.</w:t>
      </w:r>
    </w:p>
    <w:p w14:paraId="57605662" w14:textId="77777777" w:rsidR="00BB5DE5" w:rsidRDefault="008D40EA" w:rsidP="005241B9">
      <w:pPr>
        <w:pStyle w:val="OutlineNumbered1"/>
        <w:numPr>
          <w:ilvl w:val="1"/>
          <w:numId w:val="30"/>
        </w:numPr>
      </w:pPr>
      <w:r w:rsidRPr="008D40EA">
        <w:t>The review will commence in early 2024. the review team will report to CFFR, providing CFFR a mid</w:t>
      </w:r>
      <w:r w:rsidR="00B65D32">
        <w:t>-</w:t>
      </w:r>
      <w:r w:rsidRPr="008D40EA">
        <w:t>year update and a final report in December 2024, to enable CFFR to provide an agreed report to National Cabinet in the first quarter of 2025.</w:t>
      </w:r>
    </w:p>
    <w:p w14:paraId="28CCDC90" w14:textId="474C5B88" w:rsidR="00D52B22" w:rsidRPr="00D52B22" w:rsidRDefault="008D40EA" w:rsidP="005241B9">
      <w:pPr>
        <w:pStyle w:val="OutlineNumbered1"/>
        <w:numPr>
          <w:ilvl w:val="1"/>
          <w:numId w:val="30"/>
        </w:numPr>
      </w:pPr>
      <w:r w:rsidRPr="008D40EA">
        <w:t>The final report will include separate recommendations in relation to RoGS and dashboards in addition to any overarching findings and recommendations.</w:t>
      </w:r>
    </w:p>
    <w:p w14:paraId="181FDE35" w14:textId="77777777" w:rsidR="00731513" w:rsidRDefault="00731513">
      <w:pPr>
        <w:rPr>
          <w:rFonts w:ascii="Calibri" w:hAnsi="Calibri" w:cs="Arial"/>
          <w:b/>
          <w:color w:val="5D779D" w:themeColor="accent3"/>
          <w:kern w:val="32"/>
          <w:sz w:val="44"/>
          <w:szCs w:val="36"/>
        </w:rPr>
      </w:pPr>
      <w:r>
        <w:br w:type="page"/>
      </w:r>
    </w:p>
    <w:p w14:paraId="040630DA" w14:textId="7E22CD03" w:rsidR="007B38DE" w:rsidRDefault="007B38DE" w:rsidP="00731513">
      <w:pPr>
        <w:pStyle w:val="Heading1"/>
      </w:pPr>
      <w:bookmarkStart w:id="69" w:name="_Toc189559051"/>
      <w:r>
        <w:t>Appendix 2: Data analysis methodology</w:t>
      </w:r>
      <w:bookmarkEnd w:id="69"/>
    </w:p>
    <w:p w14:paraId="4D78E8E5" w14:textId="7EA0117A" w:rsidR="00AA7C2A" w:rsidRDefault="00AA7C2A" w:rsidP="00AA7C2A">
      <w:pPr>
        <w:pStyle w:val="Heading2"/>
      </w:pPr>
      <w:r>
        <w:t>Media</w:t>
      </w:r>
    </w:p>
    <w:p w14:paraId="0E6E2899" w14:textId="1CFF0E37" w:rsidR="00AA5775" w:rsidRDefault="00EC0297" w:rsidP="00EC0297">
      <w:pPr>
        <w:pStyle w:val="Heading3"/>
      </w:pPr>
      <w:r>
        <w:t>Streem</w:t>
      </w:r>
      <w:r w:rsidR="00FD0650">
        <w:t xml:space="preserve"> </w:t>
      </w:r>
      <w:r w:rsidR="00450525">
        <w:t>monitoring</w:t>
      </w:r>
    </w:p>
    <w:p w14:paraId="06B8EF56" w14:textId="6AF7E525" w:rsidR="00DE490B" w:rsidRDefault="00DC7425" w:rsidP="009A717A">
      <w:r>
        <w:rPr>
          <w:rFonts w:eastAsia="Calibri"/>
        </w:rPr>
        <w:t>The Review used t</w:t>
      </w:r>
      <w:r w:rsidR="00977DAD" w:rsidRPr="007A2EE9">
        <w:rPr>
          <w:rFonts w:eastAsia="Calibri"/>
        </w:rPr>
        <w:t>he media monitoring tool Streem to track media mentions on the keyword</w:t>
      </w:r>
      <w:r w:rsidR="00CC76DF">
        <w:rPr>
          <w:rFonts w:eastAsia="Calibri"/>
        </w:rPr>
        <w:t>s</w:t>
      </w:r>
      <w:r w:rsidR="00977DAD" w:rsidRPr="007A2EE9">
        <w:rPr>
          <w:rFonts w:eastAsia="Calibri"/>
        </w:rPr>
        <w:t xml:space="preserve"> </w:t>
      </w:r>
      <w:r>
        <w:rPr>
          <w:rFonts w:eastAsia="Calibri"/>
        </w:rPr>
        <w:t>and phrases</w:t>
      </w:r>
      <w:r w:rsidR="00977DAD" w:rsidRPr="007A2EE9">
        <w:rPr>
          <w:rFonts w:eastAsia="Calibri"/>
        </w:rPr>
        <w:t xml:space="preserve"> ‘Report on Government Services’ and ‘RoGS’ from 17 October 2023 </w:t>
      </w:r>
      <w:r w:rsidR="00B736A9">
        <w:rPr>
          <w:rFonts w:eastAsia="Calibri"/>
        </w:rPr>
        <w:t>to</w:t>
      </w:r>
      <w:r w:rsidR="00977DAD" w:rsidRPr="007A2EE9">
        <w:rPr>
          <w:rFonts w:eastAsia="Calibri"/>
        </w:rPr>
        <w:t xml:space="preserve"> 17 October 2024.</w:t>
      </w:r>
      <w:r w:rsidR="00DE490B">
        <w:rPr>
          <w:rFonts w:eastAsia="Calibri"/>
        </w:rPr>
        <w:t xml:space="preserve"> </w:t>
      </w:r>
      <w:r>
        <w:rPr>
          <w:rFonts w:eastAsia="Calibri"/>
        </w:rPr>
        <w:t>The a</w:t>
      </w:r>
      <w:r w:rsidR="00DE490B" w:rsidRPr="007A2EE9">
        <w:t xml:space="preserve">nalysis was limited to </w:t>
      </w:r>
      <w:r>
        <w:t>a</w:t>
      </w:r>
      <w:r w:rsidRPr="007A2EE9">
        <w:t xml:space="preserve"> </w:t>
      </w:r>
      <w:r w:rsidR="00DE490B" w:rsidRPr="007A2EE9">
        <w:t>year</w:t>
      </w:r>
      <w:r w:rsidR="004B3B0A">
        <w:t>-</w:t>
      </w:r>
      <w:r w:rsidR="00DE490B" w:rsidRPr="007A2EE9">
        <w:t>long snapshot due to Streem’s license</w:t>
      </w:r>
      <w:r w:rsidR="004330E3">
        <w:t xml:space="preserve"> usage restrictions</w:t>
      </w:r>
      <w:r w:rsidR="00DE490B" w:rsidRPr="007A2EE9">
        <w:t>.</w:t>
      </w:r>
      <w:r w:rsidR="00DE490B">
        <w:t xml:space="preserve"> </w:t>
      </w:r>
    </w:p>
    <w:p w14:paraId="17E0B2F3" w14:textId="4427A4E6" w:rsidR="00977DAD" w:rsidRPr="007A2EE9" w:rsidRDefault="00977DAD" w:rsidP="009A717A">
      <w:r w:rsidRPr="007A2EE9">
        <w:rPr>
          <w:rFonts w:eastAsia="Calibri"/>
        </w:rPr>
        <w:t xml:space="preserve">Streem extracts data from print, online, </w:t>
      </w:r>
      <w:r w:rsidR="00DD7916">
        <w:rPr>
          <w:rFonts w:eastAsia="Calibri"/>
        </w:rPr>
        <w:t>television</w:t>
      </w:r>
      <w:r w:rsidRPr="007A2EE9">
        <w:rPr>
          <w:rFonts w:eastAsia="Calibri"/>
        </w:rPr>
        <w:t>, radio and parliamentary mentions.</w:t>
      </w:r>
      <w:r w:rsidR="00DE490B">
        <w:rPr>
          <w:rFonts w:eastAsia="Calibri"/>
        </w:rPr>
        <w:t xml:space="preserve"> The Review analysed data by</w:t>
      </w:r>
      <w:r w:rsidRPr="007A2EE9">
        <w:rPr>
          <w:rFonts w:eastAsia="Calibri"/>
        </w:rPr>
        <w:t xml:space="preserve"> </w:t>
      </w:r>
      <w:r w:rsidR="00756513">
        <w:rPr>
          <w:rFonts w:eastAsia="Calibri"/>
        </w:rPr>
        <w:t>t</w:t>
      </w:r>
      <w:r w:rsidRPr="007A2EE9">
        <w:rPr>
          <w:rFonts w:eastAsia="Calibri"/>
        </w:rPr>
        <w:t xml:space="preserve">ype, </w:t>
      </w:r>
      <w:r w:rsidR="00756513">
        <w:rPr>
          <w:rFonts w:eastAsia="Calibri"/>
        </w:rPr>
        <w:t>s</w:t>
      </w:r>
      <w:r w:rsidRPr="007A2EE9">
        <w:rPr>
          <w:rFonts w:eastAsia="Calibri"/>
        </w:rPr>
        <w:t xml:space="preserve">ource, </w:t>
      </w:r>
      <w:r w:rsidR="00756513">
        <w:rPr>
          <w:rFonts w:eastAsia="Calibri"/>
        </w:rPr>
        <w:t>d</w:t>
      </w:r>
      <w:r w:rsidRPr="007A2EE9">
        <w:rPr>
          <w:rFonts w:eastAsia="Calibri"/>
        </w:rPr>
        <w:t xml:space="preserve">ate, </w:t>
      </w:r>
      <w:r w:rsidR="00756513">
        <w:rPr>
          <w:rFonts w:eastAsia="Calibri"/>
        </w:rPr>
        <w:t>s</w:t>
      </w:r>
      <w:r w:rsidRPr="007A2EE9">
        <w:rPr>
          <w:rFonts w:eastAsia="Calibri"/>
        </w:rPr>
        <w:t xml:space="preserve">tate, </w:t>
      </w:r>
      <w:r w:rsidR="00756513">
        <w:rPr>
          <w:rFonts w:eastAsia="Calibri"/>
        </w:rPr>
        <w:t>h</w:t>
      </w:r>
      <w:r w:rsidRPr="007A2EE9">
        <w:rPr>
          <w:rFonts w:eastAsia="Calibri"/>
        </w:rPr>
        <w:t xml:space="preserve">eadline, </w:t>
      </w:r>
      <w:r w:rsidR="00756513">
        <w:rPr>
          <w:rFonts w:eastAsia="Calibri"/>
        </w:rPr>
        <w:t>a</w:t>
      </w:r>
      <w:r w:rsidRPr="007A2EE9">
        <w:rPr>
          <w:rFonts w:eastAsia="Calibri"/>
        </w:rPr>
        <w:t xml:space="preserve">uthor, </w:t>
      </w:r>
      <w:r w:rsidR="00756513">
        <w:rPr>
          <w:rFonts w:eastAsia="Calibri"/>
        </w:rPr>
        <w:t>s</w:t>
      </w:r>
      <w:r w:rsidRPr="007A2EE9">
        <w:rPr>
          <w:rFonts w:eastAsia="Calibri"/>
        </w:rPr>
        <w:t xml:space="preserve">ummary and </w:t>
      </w:r>
      <w:r w:rsidR="00756513">
        <w:rPr>
          <w:rFonts w:eastAsia="Calibri"/>
        </w:rPr>
        <w:t>p</w:t>
      </w:r>
      <w:r w:rsidRPr="007A2EE9">
        <w:rPr>
          <w:rFonts w:eastAsia="Calibri"/>
        </w:rPr>
        <w:t>otential audience.</w:t>
      </w:r>
    </w:p>
    <w:p w14:paraId="0DD510A7" w14:textId="45C3549E" w:rsidR="00C247AD" w:rsidRDefault="00C247AD" w:rsidP="009A717A">
      <w:pPr>
        <w:pStyle w:val="Heading3"/>
        <w:spacing w:line="240" w:lineRule="auto"/>
      </w:pPr>
      <w:r>
        <w:t>Google Trends</w:t>
      </w:r>
    </w:p>
    <w:p w14:paraId="3809E0D7" w14:textId="1AC59FA2" w:rsidR="00C247AD" w:rsidRPr="007A2EE9" w:rsidRDefault="00C247AD" w:rsidP="009A717A">
      <w:r w:rsidRPr="0D020798">
        <w:rPr>
          <w:rFonts w:eastAsia="Calibri"/>
        </w:rPr>
        <w:t>A Google Trend search for the same keywords</w:t>
      </w:r>
      <w:r w:rsidR="00E724D0" w:rsidRPr="0D020798">
        <w:rPr>
          <w:rFonts w:eastAsia="Calibri"/>
        </w:rPr>
        <w:t xml:space="preserve"> used with Streem</w:t>
      </w:r>
      <w:r w:rsidRPr="0D020798">
        <w:rPr>
          <w:rFonts w:eastAsia="Calibri"/>
        </w:rPr>
        <w:t xml:space="preserve"> </w:t>
      </w:r>
      <w:r w:rsidR="00BC44DA" w:rsidRPr="0D020798">
        <w:rPr>
          <w:rFonts w:eastAsia="Calibri"/>
        </w:rPr>
        <w:t>was conducted from May 2019 to May 2024</w:t>
      </w:r>
      <w:r w:rsidRPr="0D020798">
        <w:rPr>
          <w:rFonts w:eastAsia="Calibri"/>
        </w:rPr>
        <w:t>.</w:t>
      </w:r>
      <w:r w:rsidR="00DE490B" w:rsidRPr="0D020798">
        <w:rPr>
          <w:rFonts w:eastAsia="Calibri"/>
        </w:rPr>
        <w:t xml:space="preserve"> </w:t>
      </w:r>
      <w:r w:rsidRPr="0D020798">
        <w:rPr>
          <w:rFonts w:eastAsia="Calibri"/>
        </w:rPr>
        <w:t>Google Trends is a tool that shows the relative popularity of different search terms over time and across regions.</w:t>
      </w:r>
      <w:r w:rsidR="00E724D0" w:rsidRPr="0D020798">
        <w:rPr>
          <w:rFonts w:eastAsia="Calibri"/>
        </w:rPr>
        <w:t xml:space="preserve"> </w:t>
      </w:r>
      <w:r w:rsidRPr="0D020798">
        <w:rPr>
          <w:rFonts w:eastAsia="Calibri"/>
        </w:rPr>
        <w:t>Results can be filtered by time range, category, location, and type of search (</w:t>
      </w:r>
      <w:r w:rsidR="00BC44DA" w:rsidRPr="0D020798">
        <w:rPr>
          <w:rFonts w:eastAsia="Calibri"/>
        </w:rPr>
        <w:t xml:space="preserve">e.g. </w:t>
      </w:r>
      <w:r w:rsidRPr="0D020798">
        <w:rPr>
          <w:rFonts w:eastAsia="Calibri"/>
        </w:rPr>
        <w:t>web, image, news</w:t>
      </w:r>
      <w:r w:rsidR="00BC44DA" w:rsidRPr="0D020798">
        <w:rPr>
          <w:rFonts w:eastAsia="Calibri"/>
        </w:rPr>
        <w:t>).</w:t>
      </w:r>
      <w:r w:rsidR="00E724D0" w:rsidRPr="0D020798">
        <w:rPr>
          <w:rFonts w:eastAsia="Calibri"/>
        </w:rPr>
        <w:t xml:space="preserve"> </w:t>
      </w:r>
      <w:r w:rsidRPr="0D020798">
        <w:rPr>
          <w:rFonts w:eastAsia="Calibri"/>
        </w:rPr>
        <w:t xml:space="preserve">Google Trends did not identify any significant spikes in searches over the </w:t>
      </w:r>
      <w:r w:rsidR="00C6248B">
        <w:rPr>
          <w:rFonts w:eastAsia="Calibri"/>
        </w:rPr>
        <w:br/>
      </w:r>
      <w:r w:rsidR="00DB0B16" w:rsidRPr="0D020798">
        <w:rPr>
          <w:rFonts w:eastAsia="Calibri"/>
        </w:rPr>
        <w:t>5</w:t>
      </w:r>
      <w:r w:rsidR="00B65D32">
        <w:rPr>
          <w:rFonts w:eastAsia="Calibri"/>
        </w:rPr>
        <w:t>-</w:t>
      </w:r>
      <w:r w:rsidRPr="0D020798">
        <w:rPr>
          <w:rFonts w:eastAsia="Calibri"/>
        </w:rPr>
        <w:t>year</w:t>
      </w:r>
      <w:r w:rsidR="00BC44DA" w:rsidRPr="0D020798">
        <w:rPr>
          <w:rFonts w:eastAsia="Calibri"/>
        </w:rPr>
        <w:t xml:space="preserve"> period</w:t>
      </w:r>
      <w:r w:rsidR="00DC7425" w:rsidRPr="0D020798">
        <w:rPr>
          <w:rFonts w:eastAsia="Calibri"/>
        </w:rPr>
        <w:t>. T</w:t>
      </w:r>
      <w:r w:rsidRPr="0D020798">
        <w:rPr>
          <w:rFonts w:eastAsia="Calibri"/>
        </w:rPr>
        <w:t xml:space="preserve">here was insufficient </w:t>
      </w:r>
      <w:r w:rsidR="00B15930" w:rsidRPr="0D020798">
        <w:rPr>
          <w:rFonts w:eastAsia="Calibri"/>
        </w:rPr>
        <w:t>data</w:t>
      </w:r>
      <w:r w:rsidRPr="0D020798">
        <w:rPr>
          <w:rFonts w:eastAsia="Calibri"/>
        </w:rPr>
        <w:t xml:space="preserve"> to </w:t>
      </w:r>
      <w:r w:rsidR="00B15930" w:rsidRPr="0D020798">
        <w:rPr>
          <w:rFonts w:eastAsia="Calibri"/>
        </w:rPr>
        <w:t>undertake</w:t>
      </w:r>
      <w:r w:rsidR="00993777" w:rsidRPr="0D020798">
        <w:rPr>
          <w:rFonts w:eastAsia="Calibri"/>
        </w:rPr>
        <w:t xml:space="preserve"> </w:t>
      </w:r>
      <w:r w:rsidRPr="0D020798">
        <w:rPr>
          <w:rFonts w:eastAsia="Calibri"/>
        </w:rPr>
        <w:t>a full trend analysis.</w:t>
      </w:r>
    </w:p>
    <w:p w14:paraId="233A5B5C" w14:textId="18E8D7C0" w:rsidR="00AA7C2A" w:rsidRDefault="00AA7C2A" w:rsidP="00AA7C2A">
      <w:pPr>
        <w:pStyle w:val="Heading2"/>
      </w:pPr>
      <w:r>
        <w:t>Website access</w:t>
      </w:r>
    </w:p>
    <w:p w14:paraId="6F57812E" w14:textId="7ABFF3E0" w:rsidR="3633C9F7" w:rsidRPr="00C21420" w:rsidRDefault="62682C20" w:rsidP="009A717A">
      <w:pPr>
        <w:rPr>
          <w:rFonts w:cs="Calibri Light"/>
        </w:rPr>
      </w:pPr>
      <w:r w:rsidRPr="00C21420">
        <w:rPr>
          <w:rFonts w:eastAsia="Calibri Light" w:cs="Calibri Light"/>
        </w:rPr>
        <w:t xml:space="preserve">The Review requested user and view data for the RoGS and Dashboard websites from the </w:t>
      </w:r>
      <w:r w:rsidRPr="00C21420">
        <w:rPr>
          <w:rFonts w:cs="Calibri Light"/>
        </w:rPr>
        <w:t xml:space="preserve">PC covering the period from 2018 to 2024. </w:t>
      </w:r>
    </w:p>
    <w:p w14:paraId="7250B4C6" w14:textId="0C3F6218" w:rsidR="3633C9F7" w:rsidRPr="00C21420" w:rsidRDefault="62682C20" w:rsidP="009A717A">
      <w:pPr>
        <w:spacing w:after="0"/>
        <w:rPr>
          <w:rFonts w:eastAsia="Calibri Light" w:cs="Calibri Light"/>
        </w:rPr>
      </w:pPr>
      <w:r w:rsidRPr="00C21420">
        <w:rPr>
          <w:rFonts w:eastAsia="Calibri Light" w:cs="Calibri Light"/>
        </w:rPr>
        <w:t>The P</w:t>
      </w:r>
      <w:r w:rsidR="000F5CEB" w:rsidRPr="00C21420">
        <w:rPr>
          <w:rFonts w:eastAsia="Calibri Light" w:cs="Calibri Light"/>
        </w:rPr>
        <w:t>C</w:t>
      </w:r>
      <w:r w:rsidRPr="00C21420">
        <w:rPr>
          <w:rFonts w:eastAsia="Calibri Light" w:cs="Calibri Light"/>
        </w:rPr>
        <w:t xml:space="preserve"> provided the Review with statistics on RoGS website usage for </w:t>
      </w:r>
      <w:r w:rsidR="0078795E">
        <w:rPr>
          <w:rFonts w:eastAsia="Calibri Light" w:cs="Calibri Light"/>
        </w:rPr>
        <w:t xml:space="preserve">January </w:t>
      </w:r>
      <w:r w:rsidRPr="00C21420">
        <w:rPr>
          <w:rFonts w:eastAsia="Calibri Light" w:cs="Calibri Light"/>
        </w:rPr>
        <w:t>2018 to</w:t>
      </w:r>
      <w:r w:rsidR="0078795E">
        <w:rPr>
          <w:rFonts w:eastAsia="Calibri Light" w:cs="Calibri Light"/>
        </w:rPr>
        <w:t xml:space="preserve"> February</w:t>
      </w:r>
      <w:r w:rsidRPr="00C21420">
        <w:rPr>
          <w:rFonts w:eastAsia="Calibri Light" w:cs="Calibri Light"/>
        </w:rPr>
        <w:t xml:space="preserve"> 2024. This data was sourced from Google Analytics and included counts of unique views and total users for each year from 2018 to 2021. From 2022 to 2024, these counts were based on monthly usage statistics. The data was also broken down to website usage </w:t>
      </w:r>
      <w:r w:rsidR="33B6D65A" w:rsidRPr="00C21420">
        <w:rPr>
          <w:rFonts w:eastAsia="Calibri Light" w:cs="Calibri Light"/>
        </w:rPr>
        <w:t>b</w:t>
      </w:r>
      <w:r w:rsidR="62BDFEA8" w:rsidRPr="00C21420">
        <w:rPr>
          <w:rFonts w:eastAsia="Calibri Light" w:cs="Calibri Light"/>
        </w:rPr>
        <w:t>y</w:t>
      </w:r>
      <w:r w:rsidRPr="00C21420">
        <w:rPr>
          <w:rFonts w:eastAsia="Calibri Light" w:cs="Calibri Light"/>
        </w:rPr>
        <w:t xml:space="preserve"> </w:t>
      </w:r>
      <w:r w:rsidR="009272D7" w:rsidRPr="00C21420">
        <w:rPr>
          <w:rFonts w:eastAsia="Calibri Light" w:cs="Calibri Light"/>
        </w:rPr>
        <w:t>section of the RoGS.</w:t>
      </w:r>
    </w:p>
    <w:p w14:paraId="315FCECC" w14:textId="0EB3796F" w:rsidR="3633C9F7" w:rsidRPr="00C21420" w:rsidRDefault="62682C20" w:rsidP="009A717A">
      <w:pPr>
        <w:spacing w:after="0"/>
        <w:rPr>
          <w:rFonts w:eastAsia="Calibri Light" w:cs="Calibri Light"/>
        </w:rPr>
      </w:pPr>
      <w:r w:rsidRPr="00C21420">
        <w:rPr>
          <w:rFonts w:eastAsia="Calibri Light" w:cs="Calibri Light"/>
        </w:rPr>
        <w:t>The P</w:t>
      </w:r>
      <w:r w:rsidR="001616B0" w:rsidRPr="00C21420">
        <w:rPr>
          <w:rFonts w:eastAsia="Calibri Light" w:cs="Calibri Light"/>
        </w:rPr>
        <w:t>C</w:t>
      </w:r>
      <w:r w:rsidRPr="00C21420">
        <w:rPr>
          <w:rFonts w:eastAsia="Calibri Light" w:cs="Calibri Light"/>
        </w:rPr>
        <w:t xml:space="preserve"> provide</w:t>
      </w:r>
      <w:r w:rsidR="001616B0" w:rsidRPr="00C21420">
        <w:rPr>
          <w:rFonts w:eastAsia="Calibri Light" w:cs="Calibri Light"/>
        </w:rPr>
        <w:t>d</w:t>
      </w:r>
      <w:r w:rsidRPr="00C21420">
        <w:rPr>
          <w:rFonts w:eastAsia="Calibri Light" w:cs="Calibri Light"/>
        </w:rPr>
        <w:t xml:space="preserve"> more detailed data on Dashboard usage, which was also sourced from Google Analytics. This data included the following statistics for each webpage within the Dashboard:</w:t>
      </w:r>
    </w:p>
    <w:p w14:paraId="1F302EF9" w14:textId="6CFB1BF1" w:rsidR="00B60715" w:rsidRPr="00C21420" w:rsidRDefault="001616B0" w:rsidP="005241B9">
      <w:pPr>
        <w:pStyle w:val="Bullet"/>
        <w:numPr>
          <w:ilvl w:val="0"/>
          <w:numId w:val="14"/>
        </w:numPr>
        <w:tabs>
          <w:tab w:val="clear" w:pos="720"/>
        </w:tabs>
        <w:spacing w:before="120" w:line="240" w:lineRule="auto"/>
        <w:ind w:left="357" w:hanging="357"/>
        <w:rPr>
          <w:rFonts w:eastAsia="Calibri Light" w:cs="Calibri Light"/>
        </w:rPr>
      </w:pPr>
      <w:r w:rsidRPr="00C21420">
        <w:rPr>
          <w:rFonts w:eastAsia="Calibri Light" w:cs="Calibri Light"/>
        </w:rPr>
        <w:t>T</w:t>
      </w:r>
      <w:r w:rsidR="62682C20" w:rsidRPr="00C21420">
        <w:rPr>
          <w:rFonts w:eastAsia="Calibri Light" w:cs="Calibri Light"/>
        </w:rPr>
        <w:t>he total number of page views, including repeat views of a page</w:t>
      </w:r>
    </w:p>
    <w:p w14:paraId="15FCFD2B" w14:textId="786BEED9" w:rsidR="00B60715" w:rsidRPr="00C21420" w:rsidRDefault="001616B0" w:rsidP="005241B9">
      <w:pPr>
        <w:pStyle w:val="Bullet"/>
        <w:numPr>
          <w:ilvl w:val="0"/>
          <w:numId w:val="14"/>
        </w:numPr>
        <w:tabs>
          <w:tab w:val="clear" w:pos="720"/>
        </w:tabs>
        <w:spacing w:before="120" w:line="240" w:lineRule="auto"/>
        <w:ind w:left="357" w:hanging="357"/>
        <w:rPr>
          <w:rFonts w:eastAsia="Calibri Light" w:cs="Calibri Light"/>
        </w:rPr>
      </w:pPr>
      <w:r w:rsidRPr="00C21420">
        <w:rPr>
          <w:rFonts w:eastAsia="Calibri Light" w:cs="Calibri Light"/>
        </w:rPr>
        <w:t>T</w:t>
      </w:r>
      <w:r w:rsidR="62682C20" w:rsidRPr="00C21420">
        <w:rPr>
          <w:rFonts w:eastAsia="Calibri Light" w:cs="Calibri Light"/>
        </w:rPr>
        <w:t>he number of unique page</w:t>
      </w:r>
      <w:r w:rsidR="00EF5A8D" w:rsidRPr="00C21420">
        <w:rPr>
          <w:rFonts w:eastAsia="Calibri Light" w:cs="Calibri Light"/>
        </w:rPr>
        <w:t xml:space="preserve"> </w:t>
      </w:r>
      <w:r w:rsidR="62682C20" w:rsidRPr="00C21420">
        <w:rPr>
          <w:rFonts w:eastAsia="Calibri Light" w:cs="Calibri Light"/>
        </w:rPr>
        <w:t>views, which is the number of sessions during which the specified page was viewed at least once</w:t>
      </w:r>
    </w:p>
    <w:p w14:paraId="42B2D87D" w14:textId="5FB6F63D" w:rsidR="00B60715" w:rsidRPr="00C21420" w:rsidRDefault="001616B0" w:rsidP="005241B9">
      <w:pPr>
        <w:pStyle w:val="Bullet"/>
        <w:numPr>
          <w:ilvl w:val="0"/>
          <w:numId w:val="14"/>
        </w:numPr>
        <w:tabs>
          <w:tab w:val="clear" w:pos="720"/>
        </w:tabs>
        <w:spacing w:before="120" w:line="240" w:lineRule="auto"/>
        <w:ind w:left="357" w:hanging="357"/>
        <w:rPr>
          <w:rFonts w:eastAsia="Calibri Light" w:cs="Calibri Light"/>
        </w:rPr>
      </w:pPr>
      <w:r w:rsidRPr="00C21420">
        <w:rPr>
          <w:rFonts w:eastAsia="Calibri Light" w:cs="Calibri Light"/>
        </w:rPr>
        <w:t>T</w:t>
      </w:r>
      <w:r w:rsidR="62682C20" w:rsidRPr="00C21420">
        <w:rPr>
          <w:rFonts w:eastAsia="Calibri Light" w:cs="Calibri Light"/>
        </w:rPr>
        <w:t>he number of first-time users accessing a page during the specified period (year, or monthly from 2022)</w:t>
      </w:r>
    </w:p>
    <w:p w14:paraId="01C9BCF8" w14:textId="5C2278A5" w:rsidR="00B60715" w:rsidRPr="00C21420" w:rsidRDefault="001616B0" w:rsidP="005241B9">
      <w:pPr>
        <w:pStyle w:val="Bullet"/>
        <w:numPr>
          <w:ilvl w:val="0"/>
          <w:numId w:val="14"/>
        </w:numPr>
        <w:tabs>
          <w:tab w:val="clear" w:pos="720"/>
        </w:tabs>
        <w:spacing w:before="120" w:line="240" w:lineRule="auto"/>
        <w:ind w:left="357" w:hanging="357"/>
        <w:rPr>
          <w:rFonts w:eastAsia="Calibri Light" w:cs="Calibri Light"/>
        </w:rPr>
      </w:pPr>
      <w:r w:rsidRPr="00C21420">
        <w:rPr>
          <w:rFonts w:eastAsia="Calibri Light" w:cs="Calibri Light"/>
        </w:rPr>
        <w:t>T</w:t>
      </w:r>
      <w:r w:rsidR="62682C20" w:rsidRPr="00C21420">
        <w:rPr>
          <w:rFonts w:eastAsia="Calibri Light" w:cs="Calibri Light"/>
        </w:rPr>
        <w:t>he number views from users who have previously visited the page.</w:t>
      </w:r>
    </w:p>
    <w:p w14:paraId="24B38176" w14:textId="69AEEDB8" w:rsidR="00B60715" w:rsidRPr="002B0D48" w:rsidRDefault="62682C20" w:rsidP="009A717A">
      <w:pPr>
        <w:pStyle w:val="Bullet"/>
        <w:numPr>
          <w:ilvl w:val="0"/>
          <w:numId w:val="0"/>
        </w:numPr>
        <w:tabs>
          <w:tab w:val="clear" w:pos="720"/>
        </w:tabs>
        <w:spacing w:before="120" w:line="240" w:lineRule="auto"/>
        <w:rPr>
          <w:rFonts w:eastAsia="Calibri Light" w:cs="Calibri Light"/>
        </w:rPr>
      </w:pPr>
      <w:r w:rsidRPr="00C21420">
        <w:rPr>
          <w:rFonts w:eastAsia="Calibri Light" w:cs="Calibri Light"/>
        </w:rPr>
        <w:t xml:space="preserve">Excel versions of the data on RoGS website and Dashboard usage were imported into R Studio. Several time-series analyses were completed to understand when and how these websites were visited. </w:t>
      </w:r>
      <w:r w:rsidR="00A918E3">
        <w:rPr>
          <w:rFonts w:eastAsia="Calibri Light" w:cs="Calibri Light"/>
        </w:rPr>
        <w:t>A</w:t>
      </w:r>
      <w:r w:rsidR="007D3F85">
        <w:rPr>
          <w:rFonts w:eastAsia="Calibri Light" w:cs="Calibri Light"/>
        </w:rPr>
        <w:t>nalysis focused on the most disaggregated</w:t>
      </w:r>
      <w:r w:rsidR="00A918E3">
        <w:rPr>
          <w:rFonts w:eastAsia="Calibri Light" w:cs="Calibri Light"/>
        </w:rPr>
        <w:t xml:space="preserve"> data </w:t>
      </w:r>
      <w:r w:rsidR="000530AD">
        <w:rPr>
          <w:rFonts w:eastAsia="Calibri Light" w:cs="Calibri Light"/>
        </w:rPr>
        <w:t xml:space="preserve">at the </w:t>
      </w:r>
      <w:r w:rsidR="000530AD" w:rsidRPr="008464D7">
        <w:rPr>
          <w:rFonts w:eastAsia="Calibri Light" w:cs="Calibri Light"/>
        </w:rPr>
        <w:t>Section</w:t>
      </w:r>
      <w:r w:rsidR="000530AD">
        <w:rPr>
          <w:rFonts w:eastAsia="Calibri Light" w:cs="Calibri Light"/>
        </w:rPr>
        <w:t xml:space="preserve"> level</w:t>
      </w:r>
      <w:r w:rsidR="009A2131">
        <w:rPr>
          <w:rFonts w:eastAsia="Calibri Light" w:cs="Calibri Light"/>
        </w:rPr>
        <w:t xml:space="preserve">, for example </w:t>
      </w:r>
      <w:r w:rsidR="005138EF" w:rsidRPr="008464D7">
        <w:rPr>
          <w:rFonts w:eastAsia="Calibri Light" w:cs="Calibri Light"/>
        </w:rPr>
        <w:t>Part B: Section 3</w:t>
      </w:r>
      <w:r w:rsidR="000530AD">
        <w:rPr>
          <w:rFonts w:eastAsia="Calibri Light" w:cs="Calibri Light"/>
        </w:rPr>
        <w:t xml:space="preserve">. </w:t>
      </w:r>
      <w:r w:rsidR="000C0826">
        <w:rPr>
          <w:rFonts w:eastAsia="Calibri Light" w:cs="Calibri Light"/>
        </w:rPr>
        <w:t xml:space="preserve">It did not include visits </w:t>
      </w:r>
      <w:r w:rsidR="003B4791">
        <w:rPr>
          <w:rFonts w:eastAsia="Calibri Light" w:cs="Calibri Light"/>
        </w:rPr>
        <w:t>at the</w:t>
      </w:r>
      <w:r w:rsidR="000C0826">
        <w:rPr>
          <w:rFonts w:eastAsia="Calibri Light" w:cs="Calibri Light"/>
        </w:rPr>
        <w:t xml:space="preserve"> </w:t>
      </w:r>
      <w:r w:rsidR="009A2131" w:rsidRPr="00D74A42">
        <w:rPr>
          <w:rFonts w:eastAsia="Calibri Light" w:cs="Calibri Light"/>
        </w:rPr>
        <w:t>Part</w:t>
      </w:r>
      <w:r w:rsidR="003B4791">
        <w:rPr>
          <w:rFonts w:eastAsia="Calibri Light" w:cs="Calibri Light"/>
        </w:rPr>
        <w:t xml:space="preserve"> level.</w:t>
      </w:r>
      <w:r w:rsidR="009A2131">
        <w:rPr>
          <w:rFonts w:eastAsia="Calibri Light" w:cs="Calibri Light"/>
        </w:rPr>
        <w:t xml:space="preserve"> </w:t>
      </w:r>
      <w:r w:rsidRPr="00C21420">
        <w:rPr>
          <w:rFonts w:eastAsia="Calibri Light" w:cs="Calibri Light"/>
        </w:rPr>
        <w:t xml:space="preserve">This included a calculation of the average number page views </w:t>
      </w:r>
      <w:r w:rsidR="006C2752">
        <w:rPr>
          <w:rFonts w:eastAsia="Calibri Light" w:cs="Calibri Light"/>
        </w:rPr>
        <w:t xml:space="preserve">for each month </w:t>
      </w:r>
      <w:r w:rsidRPr="00C21420">
        <w:rPr>
          <w:rFonts w:eastAsia="Calibri Light" w:cs="Calibri Light"/>
        </w:rPr>
        <w:t>from January 2022 to February 2024 across the RoGS chapters</w:t>
      </w:r>
      <w:r w:rsidR="001616B0" w:rsidRPr="00C21420">
        <w:rPr>
          <w:rFonts w:eastAsia="Calibri Light" w:cs="Calibri Light"/>
        </w:rPr>
        <w:t xml:space="preserve"> </w:t>
      </w:r>
      <w:r w:rsidR="0078795E">
        <w:rPr>
          <w:rFonts w:eastAsia="Calibri Light" w:cs="Calibri Light"/>
        </w:rPr>
        <w:t>(</w:t>
      </w:r>
      <w:r w:rsidR="009318D5" w:rsidRPr="009318D5">
        <w:rPr>
          <w:i/>
          <w:iCs/>
        </w:rPr>
        <w:t xml:space="preserve">Figure </w:t>
      </w:r>
      <w:r w:rsidR="009318D5" w:rsidRPr="009318D5">
        <w:rPr>
          <w:i/>
          <w:iCs/>
          <w:noProof/>
        </w:rPr>
        <w:t>7</w:t>
      </w:r>
      <w:r w:rsidR="0078795E">
        <w:rPr>
          <w:rFonts w:eastAsia="Calibri Light" w:cs="Calibri Light"/>
        </w:rPr>
        <w:t>)</w:t>
      </w:r>
      <w:r w:rsidRPr="00C21420">
        <w:rPr>
          <w:rFonts w:eastAsia="Calibri Light" w:cs="Calibri Light"/>
        </w:rPr>
        <w:t xml:space="preserve">. These analyses were used to </w:t>
      </w:r>
      <w:r w:rsidR="006C2752">
        <w:rPr>
          <w:rFonts w:eastAsia="Calibri Light" w:cs="Calibri Light"/>
        </w:rPr>
        <w:t>support</w:t>
      </w:r>
      <w:r w:rsidR="006C2752" w:rsidRPr="00C21420">
        <w:rPr>
          <w:rFonts w:eastAsia="Calibri Light" w:cs="Calibri Light"/>
        </w:rPr>
        <w:t xml:space="preserve"> </w:t>
      </w:r>
      <w:r w:rsidRPr="00C21420">
        <w:rPr>
          <w:rFonts w:eastAsia="Calibri Light" w:cs="Calibri Light"/>
        </w:rPr>
        <w:t xml:space="preserve">and interpret </w:t>
      </w:r>
      <w:r w:rsidR="006C2752">
        <w:rPr>
          <w:rFonts w:eastAsia="Calibri Light" w:cs="Calibri Light"/>
        </w:rPr>
        <w:t>data from Streem</w:t>
      </w:r>
      <w:r w:rsidR="006C2752" w:rsidRPr="00C21420">
        <w:rPr>
          <w:rFonts w:eastAsia="Calibri Light" w:cs="Calibri Light"/>
        </w:rPr>
        <w:t xml:space="preserve"> </w:t>
      </w:r>
      <w:r w:rsidRPr="00C21420">
        <w:rPr>
          <w:rFonts w:eastAsia="Calibri Light" w:cs="Calibri Light"/>
        </w:rPr>
        <w:t>monitoring.</w:t>
      </w:r>
    </w:p>
    <w:p w14:paraId="2F19544A" w14:textId="6FE2FCE1" w:rsidR="3633C9F7" w:rsidRPr="00C21420" w:rsidRDefault="62682C20" w:rsidP="009A717A">
      <w:pPr>
        <w:pStyle w:val="Bullet"/>
        <w:numPr>
          <w:ilvl w:val="0"/>
          <w:numId w:val="0"/>
        </w:numPr>
        <w:tabs>
          <w:tab w:val="clear" w:pos="720"/>
        </w:tabs>
        <w:spacing w:before="120" w:line="240" w:lineRule="auto"/>
        <w:rPr>
          <w:rFonts w:eastAsia="Calibri Light" w:cs="Calibri Light"/>
        </w:rPr>
      </w:pPr>
      <w:r w:rsidRPr="00C21420">
        <w:rPr>
          <w:rFonts w:eastAsia="Calibri Light" w:cs="Calibri Light"/>
        </w:rPr>
        <w:t>Both the RoGS and Dashboard websites experienced seasonal viewing and user peaks. RoGS views peak around the data release dates in February and June, where usage is around 50</w:t>
      </w:r>
      <w:r w:rsidR="001616B0" w:rsidRPr="00C21420">
        <w:rPr>
          <w:rFonts w:eastAsia="Calibri Light" w:cs="Calibri Light"/>
        </w:rPr>
        <w:t xml:space="preserve"> to </w:t>
      </w:r>
      <w:r w:rsidRPr="00C21420">
        <w:rPr>
          <w:rFonts w:eastAsia="Calibri Light" w:cs="Calibri Light"/>
        </w:rPr>
        <w:t>55 per</w:t>
      </w:r>
      <w:r w:rsidR="001616B0" w:rsidRPr="00C21420">
        <w:rPr>
          <w:rFonts w:eastAsia="Calibri Light" w:cs="Calibri Light"/>
        </w:rPr>
        <w:t xml:space="preserve"> </w:t>
      </w:r>
      <w:r w:rsidRPr="00C21420">
        <w:rPr>
          <w:rFonts w:eastAsia="Calibri Light" w:cs="Calibri Light"/>
        </w:rPr>
        <w:t xml:space="preserve">cent higher than the annual </w:t>
      </w:r>
      <w:r w:rsidR="007D7ED5">
        <w:rPr>
          <w:rFonts w:eastAsia="Calibri Light" w:cs="Calibri Light"/>
        </w:rPr>
        <w:t xml:space="preserve">monthly </w:t>
      </w:r>
      <w:r w:rsidRPr="00C21420">
        <w:rPr>
          <w:rFonts w:eastAsia="Calibri Light" w:cs="Calibri Light"/>
        </w:rPr>
        <w:t>average. Dashboard views peak mid-year, but most of the site visits were from frequent users. On an average month, 95 per</w:t>
      </w:r>
      <w:r w:rsidR="00B70D93" w:rsidRPr="00C21420">
        <w:rPr>
          <w:rFonts w:eastAsia="Calibri Light" w:cs="Calibri Light"/>
        </w:rPr>
        <w:t xml:space="preserve"> </w:t>
      </w:r>
      <w:r w:rsidRPr="00C21420">
        <w:rPr>
          <w:rFonts w:eastAsia="Calibri Light" w:cs="Calibri Light"/>
        </w:rPr>
        <w:t xml:space="preserve">cent of all visits to the Dashboard were from 5 or </w:t>
      </w:r>
      <w:r w:rsidR="00230FA1" w:rsidRPr="00C21420">
        <w:rPr>
          <w:rFonts w:eastAsia="Calibri Light" w:cs="Calibri Light"/>
        </w:rPr>
        <w:t xml:space="preserve">fewer </w:t>
      </w:r>
      <w:r w:rsidRPr="00C21420">
        <w:rPr>
          <w:rFonts w:eastAsia="Calibri Light" w:cs="Calibri Light"/>
        </w:rPr>
        <w:t xml:space="preserve">users. </w:t>
      </w:r>
    </w:p>
    <w:p w14:paraId="5BCBA7D8" w14:textId="0C524A8D" w:rsidR="00B60715" w:rsidRPr="00C21420" w:rsidRDefault="62682C20" w:rsidP="00B60715">
      <w:pPr>
        <w:rPr>
          <w:rFonts w:eastAsia="Calibri Light" w:cs="Calibri Light"/>
        </w:rPr>
      </w:pPr>
      <w:r w:rsidRPr="00C21420">
        <w:rPr>
          <w:rFonts w:eastAsia="Calibri Light" w:cs="Calibri Light"/>
        </w:rPr>
        <w:t xml:space="preserve">Between 2018 and 2024, the RoGS website had an average of around 150,000 views annually. Annual views of the RoGS website declined slightly from 2018 to 2021, before increasing in 2022 and 2023 to just over 180,000, an increase of around 40 per cent. The increase in views in 2022 and 2023 was uniform across all </w:t>
      </w:r>
      <w:r w:rsidR="009A5AA2" w:rsidRPr="00C21420">
        <w:rPr>
          <w:rFonts w:eastAsia="Calibri Light" w:cs="Calibri Light"/>
        </w:rPr>
        <w:t>sections.</w:t>
      </w:r>
    </w:p>
    <w:p w14:paraId="63B8AF34" w14:textId="42C2B777" w:rsidR="00B60715" w:rsidRPr="00C21420" w:rsidRDefault="62682C20" w:rsidP="00B60715">
      <w:pPr>
        <w:rPr>
          <w:rFonts w:eastAsia="Calibri Light" w:cs="Calibri Light"/>
        </w:rPr>
      </w:pPr>
      <w:r w:rsidRPr="00C21420">
        <w:rPr>
          <w:rFonts w:eastAsia="Calibri Light" w:cs="Calibri Light"/>
        </w:rPr>
        <w:t xml:space="preserve">Annual views of the Dashboard </w:t>
      </w:r>
      <w:r w:rsidRPr="00C21420">
        <w:rPr>
          <w:rFonts w:cs="Calibri Light"/>
        </w:rPr>
        <w:t>have been declining steadily since 2018. Over this time</w:t>
      </w:r>
      <w:r w:rsidR="00E52B3B" w:rsidRPr="00C21420">
        <w:rPr>
          <w:rFonts w:cs="Calibri Light"/>
        </w:rPr>
        <w:t>,</w:t>
      </w:r>
      <w:r w:rsidRPr="00C21420">
        <w:rPr>
          <w:rFonts w:cs="Calibri Light"/>
        </w:rPr>
        <w:t xml:space="preserve"> the number of annual views decreased from 80,000 to 50,000, and the number of viewers decreased from about 20,000 per year to around 16,000 per year.</w:t>
      </w:r>
    </w:p>
    <w:p w14:paraId="31A8F34B" w14:textId="56D9052B" w:rsidR="3633C9F7" w:rsidRPr="00230FA1" w:rsidRDefault="62682C20" w:rsidP="00B60715">
      <w:pPr>
        <w:rPr>
          <w:rFonts w:cs="Calibri Light"/>
        </w:rPr>
      </w:pPr>
      <w:r w:rsidRPr="00C21420">
        <w:rPr>
          <w:rFonts w:eastAsia="Calibri Light" w:cs="Calibri Light"/>
        </w:rPr>
        <w:t xml:space="preserve">This analysis was limited </w:t>
      </w:r>
      <w:r w:rsidR="00230FA1" w:rsidRPr="00C21420">
        <w:rPr>
          <w:rFonts w:eastAsia="Calibri Light" w:cs="Calibri Light"/>
        </w:rPr>
        <w:t xml:space="preserve">to </w:t>
      </w:r>
      <w:r w:rsidRPr="00C21420">
        <w:rPr>
          <w:rFonts w:eastAsia="Calibri Light" w:cs="Calibri Light"/>
        </w:rPr>
        <w:t>the amount of web traffic. It was unable to track ‘off</w:t>
      </w:r>
      <w:r w:rsidR="00B65D32">
        <w:rPr>
          <w:rFonts w:cs="Calibri Light"/>
        </w:rPr>
        <w:t>-</w:t>
      </w:r>
      <w:r w:rsidRPr="00C21420">
        <w:rPr>
          <w:rFonts w:cs="Calibri Light"/>
        </w:rPr>
        <w:t>site’ use of data, such as the use and republication of data downloaded from the RoGS website.</w:t>
      </w:r>
      <w:r w:rsidRPr="00230FA1">
        <w:rPr>
          <w:rFonts w:cs="Calibri Light"/>
        </w:rPr>
        <w:t xml:space="preserve"> </w:t>
      </w:r>
    </w:p>
    <w:p w14:paraId="6B0570C6" w14:textId="736B8359" w:rsidR="00AA7C2A" w:rsidRDefault="00AA5775" w:rsidP="00AA7C2A">
      <w:pPr>
        <w:pStyle w:val="Heading2"/>
      </w:pPr>
      <w:r>
        <w:t>Indicator characteristics</w:t>
      </w:r>
    </w:p>
    <w:p w14:paraId="4D86DDB8" w14:textId="60402F7F" w:rsidR="00E50837" w:rsidRDefault="00E50837" w:rsidP="009A717A">
      <w:r>
        <w:t>The Review completed a detailed analysis of data related to the RoGS. The first dataset analysed was the data included in RoGS data tables from 2004 to 2024. The second data</w:t>
      </w:r>
      <w:r w:rsidR="0060186E">
        <w:t>set</w:t>
      </w:r>
      <w:r>
        <w:t xml:space="preserve"> analysed </w:t>
      </w:r>
      <w:r w:rsidR="00AE35A4">
        <w:t>was</w:t>
      </w:r>
      <w:r>
        <w:t xml:space="preserve"> the indicator frameworks for each </w:t>
      </w:r>
      <w:r w:rsidR="009A5AA2">
        <w:t>section.</w:t>
      </w:r>
      <w:r>
        <w:t xml:space="preserve"> </w:t>
      </w:r>
    </w:p>
    <w:p w14:paraId="49F4C3C5" w14:textId="4839B2BC" w:rsidR="00E50837" w:rsidRDefault="00E50837" w:rsidP="009A717A">
      <w:pPr>
        <w:rPr>
          <w:rStyle w:val="SubtleEmphasis"/>
        </w:rPr>
      </w:pPr>
      <w:r>
        <w:t xml:space="preserve">The data analysis was completed </w:t>
      </w:r>
      <w:r w:rsidR="00556F5A">
        <w:t xml:space="preserve">in </w:t>
      </w:r>
      <w:r>
        <w:t xml:space="preserve">Microsoft Excel and Microsoft Power BI. These </w:t>
      </w:r>
      <w:r w:rsidR="00DB64CA">
        <w:t xml:space="preserve">software packages </w:t>
      </w:r>
      <w:r>
        <w:t xml:space="preserve">met the needs of the Review, but lacked the tools needed to complete a deeper and more extensive analysis. The processes used for extracting, cleaning, and analysing the data </w:t>
      </w:r>
      <w:r w:rsidR="00057058">
        <w:t>are</w:t>
      </w:r>
      <w:r>
        <w:t xml:space="preserve"> detailed below.</w:t>
      </w:r>
    </w:p>
    <w:p w14:paraId="7ED54F2F" w14:textId="77777777" w:rsidR="00372C4F" w:rsidRPr="00414B55" w:rsidRDefault="00372C4F" w:rsidP="00372C4F">
      <w:pPr>
        <w:pStyle w:val="Heading3"/>
      </w:pPr>
      <w:r w:rsidRPr="00414B55">
        <w:t>Extracting data from RoGS tables</w:t>
      </w:r>
    </w:p>
    <w:p w14:paraId="57C20070" w14:textId="5FE90D9B" w:rsidR="00CC6AE5" w:rsidRDefault="00CC6AE5" w:rsidP="00CC6AE5">
      <w:r>
        <w:t>Since 2021</w:t>
      </w:r>
      <w:r w:rsidR="000A269C">
        <w:t xml:space="preserve">, </w:t>
      </w:r>
      <w:r>
        <w:t>RoGS data has been released in range of formats, including CSV files. The data in the CSV files can be extracted, manipulated, and analysed easily. However, these CSV files lack important information about the comparability and completeness of indicators. The lack of comparability data and the limited time</w:t>
      </w:r>
      <w:r w:rsidR="00057058">
        <w:t xml:space="preserve"> </w:t>
      </w:r>
      <w:r>
        <w:t>series meant that CSV files were not used in this analysis.</w:t>
      </w:r>
    </w:p>
    <w:p w14:paraId="4897B6C2" w14:textId="77777777" w:rsidR="00CC6AE5" w:rsidRDefault="00CC6AE5" w:rsidP="00D3466C">
      <w:r>
        <w:t>The Excel files (.xls and .xlsx) embedded in each year’s RoGS website were extracted and manipulated to create a useful dataset to support the broader work completed by the Review. This involved several steps:</w:t>
      </w:r>
    </w:p>
    <w:p w14:paraId="7F4B03CB" w14:textId="6EB7F068" w:rsidR="00CC6AE5" w:rsidRDefault="00CC6AE5" w:rsidP="005241B9">
      <w:pPr>
        <w:pStyle w:val="OutlineNumbered1"/>
        <w:numPr>
          <w:ilvl w:val="0"/>
          <w:numId w:val="18"/>
        </w:numPr>
        <w:ind w:left="357" w:hanging="357"/>
      </w:pPr>
      <w:r>
        <w:t xml:space="preserve">The URLs for each Excel table were manually entered into an Excel spreadsheet. </w:t>
      </w:r>
    </w:p>
    <w:p w14:paraId="7BDD8258" w14:textId="77777777" w:rsidR="00CC6AE5" w:rsidRDefault="00CC6AE5" w:rsidP="005241B9">
      <w:pPr>
        <w:pStyle w:val="OutlineNumbered1"/>
        <w:numPr>
          <w:ilvl w:val="0"/>
          <w:numId w:val="18"/>
        </w:numPr>
        <w:ind w:left="357" w:hanging="357"/>
      </w:pPr>
      <w:r>
        <w:t>A function was created in Power Query to:</w:t>
      </w:r>
    </w:p>
    <w:p w14:paraId="7BDE770E" w14:textId="65E46752" w:rsidR="00CC6AE5" w:rsidRDefault="00CC6AE5" w:rsidP="005241B9">
      <w:pPr>
        <w:pStyle w:val="OutlineNumbered2"/>
        <w:numPr>
          <w:ilvl w:val="1"/>
          <w:numId w:val="18"/>
        </w:numPr>
        <w:ind w:left="714" w:hanging="357"/>
      </w:pPr>
      <w:r>
        <w:t>Open each spreadsheet associated with a URL.</w:t>
      </w:r>
    </w:p>
    <w:p w14:paraId="208A557D" w14:textId="6BEC02E9" w:rsidR="00CC6AE5" w:rsidRDefault="00CC6AE5" w:rsidP="005241B9">
      <w:pPr>
        <w:pStyle w:val="OutlineNumbered2"/>
        <w:numPr>
          <w:ilvl w:val="1"/>
          <w:numId w:val="18"/>
        </w:numPr>
        <w:ind w:left="714" w:hanging="357"/>
      </w:pPr>
      <w:r>
        <w:t>Extract each table within each spreadsheet.</w:t>
      </w:r>
    </w:p>
    <w:p w14:paraId="75FE6A8F" w14:textId="4323102F" w:rsidR="00CC6AE5" w:rsidRDefault="00CC6AE5" w:rsidP="005241B9">
      <w:pPr>
        <w:pStyle w:val="OutlineNumbered2"/>
        <w:numPr>
          <w:ilvl w:val="1"/>
          <w:numId w:val="18"/>
        </w:numPr>
        <w:ind w:left="714" w:hanging="357"/>
      </w:pPr>
      <w:r>
        <w:t xml:space="preserve">Append each table from every spreadsheet on top of each other with a reference to the year the table was published and the </w:t>
      </w:r>
      <w:r w:rsidR="008A0534">
        <w:t>section.</w:t>
      </w:r>
    </w:p>
    <w:p w14:paraId="3C4ADB19" w14:textId="77777777" w:rsidR="00CC6AE5" w:rsidRDefault="00CC6AE5" w:rsidP="005241B9">
      <w:pPr>
        <w:pStyle w:val="OutlineNumbered1"/>
        <w:numPr>
          <w:ilvl w:val="0"/>
          <w:numId w:val="18"/>
        </w:numPr>
        <w:ind w:left="357" w:hanging="357"/>
      </w:pPr>
      <w:r>
        <w:t>A series of data transformation steps based on patterns and structures in the raw data were undertaken to identify important rows of information.</w:t>
      </w:r>
    </w:p>
    <w:p w14:paraId="1EC41E55" w14:textId="1E1B122B" w:rsidR="00CC6AE5" w:rsidRDefault="00CC6AE5" w:rsidP="005241B9">
      <w:pPr>
        <w:pStyle w:val="OutlineNumbered1"/>
        <w:numPr>
          <w:ilvl w:val="0"/>
          <w:numId w:val="18"/>
        </w:numPr>
        <w:ind w:left="357" w:hanging="357"/>
      </w:pPr>
      <w:r>
        <w:t xml:space="preserve">Further transformation steps cleaned the raw data into a table of approximately 20,000 rows that contained information on the sector, </w:t>
      </w:r>
      <w:r w:rsidR="008A0534">
        <w:t>section</w:t>
      </w:r>
      <w:r>
        <w:t xml:space="preserve">, year, table caveats, data sources, comparability, </w:t>
      </w:r>
      <w:r w:rsidR="0059444B">
        <w:t xml:space="preserve">and </w:t>
      </w:r>
      <w:r>
        <w:t>completeness for almost every unique table published in the RoGS since 2004.</w:t>
      </w:r>
    </w:p>
    <w:p w14:paraId="64CC6AF5" w14:textId="721EBAF7" w:rsidR="00CC6AE5" w:rsidRDefault="00CC6AE5" w:rsidP="0059444B">
      <w:pPr>
        <w:pStyle w:val="OutlineNumbered1"/>
        <w:numPr>
          <w:ilvl w:val="0"/>
          <w:numId w:val="0"/>
        </w:numPr>
      </w:pPr>
      <w:r>
        <w:t>Data was concatenated</w:t>
      </w:r>
      <w:r w:rsidR="00BA44CF">
        <w:t xml:space="preserve"> (linked together in series)</w:t>
      </w:r>
      <w:r>
        <w:t xml:space="preserve"> into delimited strings when more than one value existed in a table. For example, tables with more than one source had an output of the </w:t>
      </w:r>
      <w:r w:rsidR="00174363">
        <w:t>2</w:t>
      </w:r>
      <w:r>
        <w:t xml:space="preserve"> source values separated by a symbol (a | was used in this case)</w:t>
      </w:r>
      <w:r w:rsidR="00F1691B">
        <w:t>.</w:t>
      </w:r>
    </w:p>
    <w:p w14:paraId="11302F2B" w14:textId="62FCF889" w:rsidR="00CC6AE5" w:rsidRDefault="00CC6AE5" w:rsidP="00CC6AE5">
      <w:pPr>
        <w:pStyle w:val="OutlineNumbered1"/>
        <w:numPr>
          <w:ilvl w:val="0"/>
          <w:numId w:val="0"/>
        </w:numPr>
      </w:pPr>
      <w:r>
        <w:t>There were 53 tables that had limited data extracted because of differences in the formatting of the published spreadsheets</w:t>
      </w:r>
      <w:r w:rsidR="00BC1CF8">
        <w:t xml:space="preserve"> </w:t>
      </w:r>
      <w:r w:rsidR="00B65D32">
        <w:rPr>
          <w:rFonts w:ascii="Calibri" w:hAnsi="Calibri" w:cs="Calibri"/>
        </w:rPr>
        <w:t>—</w:t>
      </w:r>
      <w:r w:rsidR="00BC1CF8" w:rsidRPr="00BC1CF8">
        <w:t xml:space="preserve"> </w:t>
      </w:r>
      <w:r w:rsidR="00BC1CF8">
        <w:t>52 of these were in the Corrective services data tables for 2015.</w:t>
      </w:r>
    </w:p>
    <w:p w14:paraId="0B957CEF" w14:textId="46F77F0B" w:rsidR="00DA3CB8" w:rsidRDefault="0050666E" w:rsidP="0050666E">
      <w:pPr>
        <w:pStyle w:val="Heading3"/>
      </w:pPr>
      <w:r>
        <w:t>Collecting data on RoGS indicators</w:t>
      </w:r>
    </w:p>
    <w:p w14:paraId="3F95D8DC" w14:textId="218B98BD" w:rsidR="00F9702C" w:rsidRDefault="00F9702C" w:rsidP="00414B55">
      <w:r>
        <w:t xml:space="preserve">Since 1995 the indicator frameworks for each </w:t>
      </w:r>
      <w:r w:rsidR="00E43694">
        <w:t xml:space="preserve">section </w:t>
      </w:r>
      <w:r>
        <w:t>have been published as a visual</w:t>
      </w:r>
      <w:r w:rsidR="00743CE2">
        <w:t xml:space="preserve"> image</w:t>
      </w:r>
      <w:r>
        <w:t xml:space="preserve">. Originally these images were contained within </w:t>
      </w:r>
      <w:r w:rsidR="00AD5FE3">
        <w:t xml:space="preserve">hardcopy </w:t>
      </w:r>
      <w:r>
        <w:t>reports, and in more recent years these frameworks have been embedded as an image within the RoGS website.</w:t>
      </w:r>
    </w:p>
    <w:p w14:paraId="72AD555F" w14:textId="2079240A" w:rsidR="00F9702C" w:rsidRDefault="00F9702C" w:rsidP="00414B55">
      <w:r>
        <w:t>The RoGS frameworks include important information on the comparability and completeness of measures, represented by a series of colours. The Review</w:t>
      </w:r>
      <w:r w:rsidR="00163275">
        <w:t xml:space="preserve"> </w:t>
      </w:r>
      <w:r>
        <w:t>was unable to automatically upload data on these frameworks with the software available. Instead, data from each of the RoGS indicator framework visuals from 2010 was manually entered into an Excel spreadsheet.</w:t>
      </w:r>
    </w:p>
    <w:p w14:paraId="7EB11B76" w14:textId="77777777" w:rsidR="00F9702C" w:rsidRDefault="00F9702C" w:rsidP="00414B55">
      <w:r>
        <w:t>Information collected for each framework included:</w:t>
      </w:r>
    </w:p>
    <w:p w14:paraId="6B778B1B" w14:textId="4C7B0C6D" w:rsidR="00F9702C" w:rsidRDefault="00F9702C" w:rsidP="00414B55">
      <w:pPr>
        <w:pStyle w:val="Bullet"/>
      </w:pPr>
      <w:r>
        <w:t>name of indicator</w:t>
      </w:r>
    </w:p>
    <w:p w14:paraId="642073C8" w14:textId="10BF38D0" w:rsidR="00F9702C" w:rsidRDefault="00F9702C" w:rsidP="00414B55">
      <w:pPr>
        <w:pStyle w:val="Bullet"/>
      </w:pPr>
      <w:r>
        <w:t>level of completeness and comparability show</w:t>
      </w:r>
      <w:r w:rsidR="007815DC">
        <w:t>n</w:t>
      </w:r>
      <w:r>
        <w:t xml:space="preserve"> in the image key</w:t>
      </w:r>
    </w:p>
    <w:p w14:paraId="4C06ABED" w14:textId="4077B2BB" w:rsidR="00F9702C" w:rsidRDefault="00690A6C" w:rsidP="00414B55">
      <w:pPr>
        <w:pStyle w:val="Bullet"/>
      </w:pPr>
      <w:r>
        <w:t>w</w:t>
      </w:r>
      <w:r w:rsidR="00F9702C">
        <w:t>hether the indicator was an output or outcome</w:t>
      </w:r>
    </w:p>
    <w:p w14:paraId="36FE8EFF" w14:textId="323DA3DC" w:rsidR="00F9702C" w:rsidRDefault="00F9702C" w:rsidP="00414B55">
      <w:pPr>
        <w:pStyle w:val="Bullet"/>
      </w:pPr>
      <w:r>
        <w:t>output type (</w:t>
      </w:r>
      <w:r w:rsidR="00BC1CF8">
        <w:t>e</w:t>
      </w:r>
      <w:r>
        <w:t xml:space="preserve">quity, </w:t>
      </w:r>
      <w:r w:rsidR="00BC1CF8">
        <w:t>e</w:t>
      </w:r>
      <w:r>
        <w:t xml:space="preserve">ffectiveness and </w:t>
      </w:r>
      <w:r w:rsidR="00BC1CF8">
        <w:t>e</w:t>
      </w:r>
      <w:r>
        <w:t>fficiency)</w:t>
      </w:r>
    </w:p>
    <w:p w14:paraId="5EC095B1" w14:textId="2CC96F5A" w:rsidR="00F9702C" w:rsidRDefault="00F9702C" w:rsidP="00414B55">
      <w:pPr>
        <w:pStyle w:val="Bullet"/>
      </w:pPr>
      <w:r>
        <w:t>indicator subtype (</w:t>
      </w:r>
      <w:r w:rsidR="00BC1CF8">
        <w:t>e.g.</w:t>
      </w:r>
      <w:r>
        <w:t xml:space="preserve"> </w:t>
      </w:r>
      <w:r w:rsidR="00BC1CF8">
        <w:t>q</w:t>
      </w:r>
      <w:r>
        <w:t xml:space="preserve">uality, </w:t>
      </w:r>
      <w:r w:rsidR="00BC1CF8">
        <w:t>e</w:t>
      </w:r>
      <w:r>
        <w:t xml:space="preserve">ffectiveness, </w:t>
      </w:r>
      <w:r w:rsidR="00BC1CF8">
        <w:t>a</w:t>
      </w:r>
      <w:r>
        <w:t>ccess)</w:t>
      </w:r>
      <w:r w:rsidR="00F1691B">
        <w:t>.</w:t>
      </w:r>
    </w:p>
    <w:p w14:paraId="1D3B84F7" w14:textId="3269C915" w:rsidR="00F9702C" w:rsidRDefault="00F9702C" w:rsidP="00414B55">
      <w:r>
        <w:t>The third level of data in the framework did not contain useful information for the Review so it was no</w:t>
      </w:r>
      <w:r w:rsidR="00A039C5">
        <w:t>t</w:t>
      </w:r>
      <w:r>
        <w:t xml:space="preserve"> included.</w:t>
      </w:r>
    </w:p>
    <w:p w14:paraId="3AFD436C" w14:textId="01BDA515" w:rsidR="0050666E" w:rsidRDefault="00D06FB1" w:rsidP="00D06FB1">
      <w:pPr>
        <w:pStyle w:val="Heading3"/>
      </w:pPr>
      <w:r>
        <w:t>Coding indicators</w:t>
      </w:r>
    </w:p>
    <w:p w14:paraId="7B50CCBD" w14:textId="04DC17A8" w:rsidR="00E03FDC" w:rsidRPr="00E03FDC" w:rsidRDefault="00E03FDC" w:rsidP="00E03FDC">
      <w:r w:rsidRPr="00E03FDC">
        <w:t>The indicator framework data collection revealed that some indicators changed name or position within the framework over time. To keep track of these changes each indicator was given a code. This coding also supported faster data collection and quality control. More importantly, it created a way to connect the RoGS data table dataset and the indicator dataset.</w:t>
      </w:r>
    </w:p>
    <w:p w14:paraId="65CB6E90" w14:textId="237A6B9C" w:rsidR="00E03FDC" w:rsidRPr="00E03FDC" w:rsidRDefault="00E03FDC" w:rsidP="00E03FDC">
      <w:r w:rsidRPr="00E03FDC">
        <w:t>Indicator codes were manually assigned to each table based on information contained in the information documents on the RoGS website. To improve efficiency and minimise manual repetition, indicator codes were copied across tables where there was no change in table name or indicator name. A series of quality control steps to verify the correct assignment of indicator codes was undertaken once the data was uploaded into Power BI.</w:t>
      </w:r>
    </w:p>
    <w:p w14:paraId="485D668D" w14:textId="0A606D1F" w:rsidR="00E03FDC" w:rsidRPr="00E03FDC" w:rsidRDefault="00E03FDC" w:rsidP="00E03FDC">
      <w:r w:rsidRPr="00E03FDC">
        <w:t>RoGS documentation was used to determine if tables included data for indicator measures. In many instances the documentation specified that certain tables were for context. In the absence of this information, information on recent years</w:t>
      </w:r>
      <w:r w:rsidR="00811877">
        <w:t>’</w:t>
      </w:r>
      <w:r w:rsidRPr="00E03FDC">
        <w:t xml:space="preserve"> measures and the location of the table within the </w:t>
      </w:r>
      <w:r w:rsidR="0046447E">
        <w:t>section</w:t>
      </w:r>
      <w:r w:rsidRPr="00E03FDC">
        <w:t xml:space="preserve"> were used to determine if a table was an ‘indicator table’</w:t>
      </w:r>
      <w:r w:rsidR="00ED2AAE">
        <w:t xml:space="preserve"> </w:t>
      </w:r>
      <w:r w:rsidR="00B65D32">
        <w:rPr>
          <w:rFonts w:ascii="Calibri" w:hAnsi="Calibri" w:cs="Calibri"/>
        </w:rPr>
        <w:t>—</w:t>
      </w:r>
      <w:r w:rsidR="00ED2AAE">
        <w:t xml:space="preserve"> </w:t>
      </w:r>
      <w:r w:rsidR="00ED2AAE" w:rsidRPr="00E03FDC">
        <w:t xml:space="preserve">tables at the very end or very </w:t>
      </w:r>
      <w:r w:rsidR="00ED2AAE">
        <w:t>beginning</w:t>
      </w:r>
      <w:r w:rsidR="00ED2AAE" w:rsidRPr="00E03FDC">
        <w:t xml:space="preserve"> </w:t>
      </w:r>
      <w:r w:rsidR="00ED2AAE">
        <w:t>a</w:t>
      </w:r>
      <w:r w:rsidR="00ED2AAE" w:rsidRPr="00E03FDC">
        <w:t>re almost always contextual</w:t>
      </w:r>
      <w:r w:rsidRPr="00E03FDC">
        <w:t>. Tables that were identified as ‘contextual’ were given a context code.</w:t>
      </w:r>
    </w:p>
    <w:p w14:paraId="295F7A5F" w14:textId="14032B5C" w:rsidR="00D06FB1" w:rsidRDefault="00CF6271" w:rsidP="00CF6271">
      <w:pPr>
        <w:pStyle w:val="Heading3"/>
      </w:pPr>
      <w:r>
        <w:t>Power</w:t>
      </w:r>
      <w:r w:rsidR="008242C1">
        <w:t xml:space="preserve"> </w:t>
      </w:r>
      <w:r>
        <w:t>BI data transformation and modelling</w:t>
      </w:r>
    </w:p>
    <w:p w14:paraId="7B6F01E8" w14:textId="433E485D" w:rsidR="007E5413" w:rsidRPr="007E5413" w:rsidRDefault="001C4429" w:rsidP="007E5413">
      <w:r>
        <w:t xml:space="preserve">The Review imported Microsoft </w:t>
      </w:r>
      <w:r w:rsidR="007E5413" w:rsidRPr="007E5413">
        <w:t xml:space="preserve">Excel spreadsheets </w:t>
      </w:r>
      <w:r>
        <w:t>containing</w:t>
      </w:r>
      <w:r w:rsidRPr="007E5413">
        <w:t xml:space="preserve"> </w:t>
      </w:r>
      <w:r w:rsidR="007E5413" w:rsidRPr="007E5413">
        <w:t xml:space="preserve">the RoGS table data and indicator data into </w:t>
      </w:r>
      <w:r>
        <w:t xml:space="preserve">Microsoft </w:t>
      </w:r>
      <w:r w:rsidR="007E5413" w:rsidRPr="007E5413">
        <w:t>Power BI</w:t>
      </w:r>
      <w:r w:rsidR="007B11B1">
        <w:t xml:space="preserve"> and t</w:t>
      </w:r>
      <w:r w:rsidR="007B11B1" w:rsidRPr="007E5413">
        <w:t>ransform</w:t>
      </w:r>
      <w:r w:rsidR="007C7DFB">
        <w:t xml:space="preserve">ed </w:t>
      </w:r>
      <w:r w:rsidR="007B11B1">
        <w:t xml:space="preserve">it using </w:t>
      </w:r>
      <w:r w:rsidR="007E5413" w:rsidRPr="007E5413">
        <w:t>the Power Query editor:</w:t>
      </w:r>
    </w:p>
    <w:p w14:paraId="6CA91B30" w14:textId="77777777" w:rsidR="007E5413" w:rsidRPr="007E5413" w:rsidRDefault="007E5413" w:rsidP="00A7164A">
      <w:pPr>
        <w:pStyle w:val="Bullet"/>
        <w:spacing w:line="240" w:lineRule="auto"/>
        <w:ind w:left="357" w:hanging="357"/>
      </w:pPr>
      <w:r w:rsidRPr="007E5413">
        <w:t xml:space="preserve">Delimited strings were separated into columns. For example, a table with 5 data sources has the source column expanded into 5 separate columns, each representing one column. </w:t>
      </w:r>
    </w:p>
    <w:p w14:paraId="2E84EEA9" w14:textId="0156F298" w:rsidR="007E5413" w:rsidRPr="007E5413" w:rsidRDefault="007E5413" w:rsidP="00A7164A">
      <w:pPr>
        <w:pStyle w:val="Bullet"/>
        <w:spacing w:line="240" w:lineRule="auto"/>
        <w:ind w:left="357" w:hanging="357"/>
      </w:pPr>
      <w:r w:rsidRPr="007E5413">
        <w:t>This process of concatenating and re</w:t>
      </w:r>
      <w:r w:rsidR="00B65D32">
        <w:t>-</w:t>
      </w:r>
      <w:r w:rsidRPr="007E5413">
        <w:t>expanding data was undertaken primarily to conserve computer processing power in the absence of a dedicated database.</w:t>
      </w:r>
    </w:p>
    <w:p w14:paraId="3CC4845D" w14:textId="367E704B" w:rsidR="007E5413" w:rsidRPr="007E5413" w:rsidRDefault="007E5413" w:rsidP="00A7164A">
      <w:pPr>
        <w:pStyle w:val="Bullet"/>
        <w:spacing w:line="240" w:lineRule="auto"/>
        <w:ind w:left="357" w:hanging="357"/>
      </w:pPr>
      <w:r w:rsidRPr="007E5413">
        <w:t>Text transformations</w:t>
      </w:r>
      <w:r w:rsidR="00ED68FF">
        <w:t xml:space="preserve">, </w:t>
      </w:r>
      <w:r w:rsidRPr="007E5413">
        <w:t>such as remov</w:t>
      </w:r>
      <w:r w:rsidR="007C7DFB">
        <w:t>ing</w:t>
      </w:r>
      <w:r w:rsidRPr="007E5413">
        <w:t xml:space="preserve"> text after delimiter, clean and trim</w:t>
      </w:r>
      <w:r w:rsidR="00ED68FF">
        <w:t>,</w:t>
      </w:r>
      <w:r w:rsidRPr="007E5413">
        <w:t xml:space="preserve"> were used to clean and standardise text.</w:t>
      </w:r>
    </w:p>
    <w:p w14:paraId="5A16BBC0" w14:textId="77777777" w:rsidR="007E5413" w:rsidRPr="007E5413" w:rsidRDefault="007E5413" w:rsidP="00A7164A">
      <w:pPr>
        <w:pStyle w:val="Bullet"/>
        <w:spacing w:line="240" w:lineRule="auto"/>
        <w:ind w:left="357" w:hanging="357"/>
      </w:pPr>
      <w:r w:rsidRPr="007E5413">
        <w:t>Data sources were grouped to remove auxiliary information, such as catalogue number.</w:t>
      </w:r>
    </w:p>
    <w:p w14:paraId="352D9808" w14:textId="77777777" w:rsidR="007E5413" w:rsidRPr="007E5413" w:rsidRDefault="007E5413" w:rsidP="00A7164A">
      <w:pPr>
        <w:pStyle w:val="Bullet"/>
        <w:spacing w:line="240" w:lineRule="auto"/>
        <w:ind w:left="357" w:hanging="357"/>
      </w:pPr>
      <w:r w:rsidRPr="007E5413">
        <w:t>Fuzzy search functions were used identify similarities in table names between years.</w:t>
      </w:r>
    </w:p>
    <w:p w14:paraId="312E383C" w14:textId="0A48E19D" w:rsidR="007E5413" w:rsidRPr="007E5413" w:rsidRDefault="007E5413" w:rsidP="00A7164A">
      <w:pPr>
        <w:pStyle w:val="Bullet"/>
        <w:spacing w:line="240" w:lineRule="auto"/>
        <w:ind w:left="357" w:hanging="357"/>
      </w:pPr>
      <w:r w:rsidRPr="007E5413">
        <w:t xml:space="preserve">Unique keys were created for data tables and indicators, based on name, </w:t>
      </w:r>
      <w:r w:rsidR="007F71DC">
        <w:t>section</w:t>
      </w:r>
      <w:r w:rsidRPr="007E5413">
        <w:t xml:space="preserve"> and year</w:t>
      </w:r>
      <w:r w:rsidR="008C1C01">
        <w:t xml:space="preserve"> and </w:t>
      </w:r>
      <w:r w:rsidRPr="007E5413">
        <w:t>used to create one</w:t>
      </w:r>
      <w:r w:rsidR="00B65D32">
        <w:t>-</w:t>
      </w:r>
      <w:r w:rsidRPr="007E5413">
        <w:t>to</w:t>
      </w:r>
      <w:r w:rsidR="00B65D32">
        <w:t>-</w:t>
      </w:r>
      <w:r w:rsidRPr="007E5413">
        <w:t>many relationships between tables.</w:t>
      </w:r>
    </w:p>
    <w:p w14:paraId="55301AA8" w14:textId="77777777" w:rsidR="007E5413" w:rsidRDefault="007E5413" w:rsidP="00D3466C">
      <w:r w:rsidRPr="007E5413">
        <w:t>The Power Query transformations resulted in a RoGS_master fact table, and dimension tables for indicator_framework and fuzzy_join (table resulting from fuzzy search). The RoGS_master and indicator_framework were joined by a unique key made up of the RoGS publication year and the assigned indicator code.</w:t>
      </w:r>
    </w:p>
    <w:p w14:paraId="2C7C9871" w14:textId="037FDD6C" w:rsidR="007E5413" w:rsidRDefault="007E5413" w:rsidP="007E5413">
      <w:pPr>
        <w:pStyle w:val="Heading3"/>
      </w:pPr>
      <w:bookmarkStart w:id="70" w:name="_Ref181697328"/>
      <w:r>
        <w:t>Data transformations with DAX</w:t>
      </w:r>
      <w:bookmarkEnd w:id="70"/>
    </w:p>
    <w:p w14:paraId="46F0292F" w14:textId="31EBB53E" w:rsidR="00DA1679" w:rsidRPr="00DA1679" w:rsidRDefault="00275A08" w:rsidP="00DA1679">
      <w:r>
        <w:t>Data Analysis Expressions (</w:t>
      </w:r>
      <w:r w:rsidR="00DA1679" w:rsidRPr="00DA1679">
        <w:t>DAX</w:t>
      </w:r>
      <w:r>
        <w:t>)</w:t>
      </w:r>
      <w:r w:rsidR="00DA1679" w:rsidRPr="00DA1679">
        <w:t>, the language within Power BI, was used to undertake most of the data analysis. This included:</w:t>
      </w:r>
    </w:p>
    <w:p w14:paraId="0668B84F" w14:textId="7D5766D2" w:rsidR="00DA1679" w:rsidRPr="00DA1679" w:rsidRDefault="00DA1679" w:rsidP="00A7164A">
      <w:pPr>
        <w:pStyle w:val="Bullet"/>
        <w:spacing w:line="240" w:lineRule="auto"/>
        <w:ind w:left="357" w:hanging="357"/>
      </w:pPr>
      <w:r w:rsidRPr="00DA1679">
        <w:t xml:space="preserve">Standardising </w:t>
      </w:r>
      <w:r w:rsidR="005D4DC3">
        <w:t>section</w:t>
      </w:r>
      <w:r w:rsidRPr="00DA1679">
        <w:t xml:space="preserve"> and sector names (where appropriate) so that time series analysis could be undertaken where there were variations in names across years. In some instances, </w:t>
      </w:r>
      <w:r w:rsidR="005D4DC3">
        <w:t>sections</w:t>
      </w:r>
      <w:r w:rsidRPr="00DA1679">
        <w:t xml:space="preserve"> needed to be split to conform with the current structure of the RoGS. For example, ‘Protection and Support Services’ (pre</w:t>
      </w:r>
      <w:r w:rsidR="00B65D32">
        <w:t>-</w:t>
      </w:r>
      <w:r w:rsidRPr="00DA1679">
        <w:t>2013) and ‘Child protection and youth support services’ (2013) included sub</w:t>
      </w:r>
      <w:r w:rsidR="00B65D32">
        <w:t>-</w:t>
      </w:r>
      <w:r w:rsidRPr="00DA1679">
        <w:t xml:space="preserve">frameworks on child protection and youth justice services. These </w:t>
      </w:r>
      <w:r w:rsidR="00174363">
        <w:t>2</w:t>
      </w:r>
      <w:r w:rsidRPr="00DA1679">
        <w:t xml:space="preserve"> </w:t>
      </w:r>
      <w:r w:rsidR="0072631E">
        <w:t>section</w:t>
      </w:r>
      <w:r w:rsidRPr="00DA1679">
        <w:t xml:space="preserve"> parts were standardised in the current ‘Child protection services’ and ‘Youth </w:t>
      </w:r>
      <w:r w:rsidR="006378FA">
        <w:t>j</w:t>
      </w:r>
      <w:r w:rsidRPr="00DA1679">
        <w:t xml:space="preserve">ustice services’, while conserving the original framework structure. Standardising did not change framework structures where </w:t>
      </w:r>
      <w:r w:rsidR="0072631E">
        <w:t>sections</w:t>
      </w:r>
      <w:r w:rsidRPr="00DA1679">
        <w:t xml:space="preserve"> moved between sectors, namely ‘Ambulance services’. Instead, conditional statements were used in calculations and measures to maintain accuracy and support time</w:t>
      </w:r>
      <w:r w:rsidR="00B65D32">
        <w:t>-</w:t>
      </w:r>
      <w:r w:rsidRPr="00DA1679">
        <w:t>series analysis.</w:t>
      </w:r>
    </w:p>
    <w:p w14:paraId="7A736611" w14:textId="30AA4A98" w:rsidR="00DA1679" w:rsidRPr="00DA1679" w:rsidRDefault="00DA1679" w:rsidP="00A7164A">
      <w:pPr>
        <w:pStyle w:val="Bullet"/>
        <w:spacing w:line="240" w:lineRule="auto"/>
        <w:ind w:left="357" w:hanging="357"/>
      </w:pPr>
      <w:r w:rsidRPr="00DA1679">
        <w:t xml:space="preserve">Normalising </w:t>
      </w:r>
      <w:r w:rsidR="00D032DF">
        <w:t>information</w:t>
      </w:r>
      <w:r w:rsidRPr="00DA1679">
        <w:t xml:space="preserve"> on data sources, to provide a list of every data source in every data table since 2010. </w:t>
      </w:r>
      <w:r w:rsidR="008C7C69">
        <w:t>T</w:t>
      </w:r>
      <w:r w:rsidRPr="00DA1679">
        <w:t>he count of data sources, as a percentage of the total number of tables, provided useful information on the agencies with the largest contribution of information to the RoGS.</w:t>
      </w:r>
    </w:p>
    <w:p w14:paraId="381FA34C" w14:textId="1F998F61" w:rsidR="00DA1679" w:rsidRPr="00DA1679" w:rsidRDefault="00DA1679" w:rsidP="00A7164A">
      <w:pPr>
        <w:pStyle w:val="Bullet"/>
        <w:spacing w:line="240" w:lineRule="auto"/>
        <w:ind w:left="357" w:hanging="357"/>
      </w:pPr>
      <w:r w:rsidRPr="00DA1679">
        <w:t>Calculating whether data sources were published or unpublish</w:t>
      </w:r>
      <w:r w:rsidR="00B15971">
        <w:t>ed</w:t>
      </w:r>
      <w:r w:rsidRPr="00DA1679">
        <w:t>, based on text included (or absent) within the source information.</w:t>
      </w:r>
    </w:p>
    <w:p w14:paraId="30C85DAC" w14:textId="797F3829" w:rsidR="00DA1679" w:rsidRPr="00DA1679" w:rsidRDefault="00DA1679" w:rsidP="00A7164A">
      <w:pPr>
        <w:pStyle w:val="Bullet"/>
        <w:spacing w:line="240" w:lineRule="auto"/>
        <w:ind w:left="357" w:hanging="357"/>
      </w:pPr>
      <w:r w:rsidRPr="00DA1679">
        <w:t>Creating a table with a flattened structure of indicators by years. Having years in separate columns allowed indicator codes to be easily matched if it was observed that there were breaks in similar indicators across years. This format also supported simplified computation of measures</w:t>
      </w:r>
      <w:r w:rsidRPr="00DA1679">
        <w:rPr>
          <w:b/>
          <w:bCs/>
        </w:rPr>
        <w:t xml:space="preserve"> </w:t>
      </w:r>
      <w:r w:rsidRPr="00DA1679">
        <w:t>relating to changes in indicators over time and was necessary for the creation of Sankey charts.</w:t>
      </w:r>
    </w:p>
    <w:p w14:paraId="11BE58C4" w14:textId="1C144961" w:rsidR="00DA1679" w:rsidRPr="00DA1679" w:rsidRDefault="00DA1679" w:rsidP="00A7164A">
      <w:pPr>
        <w:pStyle w:val="Bullet"/>
        <w:spacing w:line="240" w:lineRule="auto"/>
        <w:ind w:left="357" w:hanging="357"/>
      </w:pPr>
      <w:r w:rsidRPr="00DA1679">
        <w:t xml:space="preserve">Undertaking a series of calculations to determine how many consecutive years were between changes in an indicator’s completeness and comparability status. Similar calculations were used </w:t>
      </w:r>
      <w:r w:rsidR="00484F05">
        <w:t xml:space="preserve">to </w:t>
      </w:r>
      <w:r w:rsidRPr="00DA1679">
        <w:t>determine when there was a change in completeness/comparability status.</w:t>
      </w:r>
    </w:p>
    <w:p w14:paraId="4E602368" w14:textId="77777777" w:rsidR="00DA1679" w:rsidRPr="00DA1679" w:rsidRDefault="00DA1679" w:rsidP="00A7164A">
      <w:pPr>
        <w:pStyle w:val="Bullet"/>
        <w:spacing w:line="240" w:lineRule="auto"/>
        <w:ind w:left="357" w:hanging="357"/>
      </w:pPr>
      <w:r w:rsidRPr="00DA1679">
        <w:t>Grouping comparability and completeness statements extracted from RoGS table data. These statements vary significantly across tables, so grouping allowed tables to be categorised on whether completeness and comparability were complete, partially complete or not complete.</w:t>
      </w:r>
    </w:p>
    <w:p w14:paraId="3941DE29" w14:textId="3C5EB8A9" w:rsidR="007E5413" w:rsidRPr="007E5413" w:rsidRDefault="00C471F2" w:rsidP="00C471F2">
      <w:pPr>
        <w:pStyle w:val="Heading3"/>
      </w:pPr>
      <w:r>
        <w:t>Data analysis and visualisation</w:t>
      </w:r>
    </w:p>
    <w:p w14:paraId="25F59D70" w14:textId="65A7D4C6" w:rsidR="00E43A02" w:rsidRDefault="00F502D3" w:rsidP="00F502D3">
      <w:r w:rsidRPr="00F502D3">
        <w:t xml:space="preserve">A series of simple data visualisations were created for initial analysis of the </w:t>
      </w:r>
      <w:r w:rsidR="00D17248">
        <w:t>R</w:t>
      </w:r>
      <w:r w:rsidRPr="00F502D3">
        <w:t>eview. These visuals, including bar chart, line charts and tables, were generated from existing and calculated table</w:t>
      </w:r>
      <w:r w:rsidR="00E34C84">
        <w:t>s</w:t>
      </w:r>
      <w:r w:rsidRPr="00F502D3">
        <w:t xml:space="preserve"> to show trends in indicators and data tables over time</w:t>
      </w:r>
      <w:r w:rsidR="00774CEE" w:rsidRPr="00CA0D60">
        <w:t xml:space="preserve"> </w:t>
      </w:r>
      <w:r w:rsidR="00CA0D60" w:rsidRPr="00CA0D60">
        <w:t>(</w:t>
      </w:r>
      <w:r w:rsidR="009318D5" w:rsidRPr="009318D5">
        <w:rPr>
          <w:i/>
        </w:rPr>
        <w:t xml:space="preserve">Figure </w:t>
      </w:r>
      <w:r w:rsidR="009318D5" w:rsidRPr="009318D5">
        <w:rPr>
          <w:i/>
          <w:iCs/>
          <w:noProof/>
        </w:rPr>
        <w:t>14</w:t>
      </w:r>
      <w:r w:rsidR="00774CEE">
        <w:t xml:space="preserve"> and </w:t>
      </w:r>
      <w:r w:rsidR="009318D5" w:rsidRPr="009318D5">
        <w:rPr>
          <w:i/>
        </w:rPr>
        <w:t xml:space="preserve">Figure </w:t>
      </w:r>
      <w:r w:rsidR="009318D5" w:rsidRPr="009318D5">
        <w:rPr>
          <w:i/>
          <w:iCs/>
          <w:noProof/>
        </w:rPr>
        <w:t>15</w:t>
      </w:r>
      <w:r w:rsidR="00CA0D60" w:rsidRPr="000F74C6">
        <w:t>)</w:t>
      </w:r>
      <w:r w:rsidR="00774CEE">
        <w:t>.</w:t>
      </w:r>
    </w:p>
    <w:p w14:paraId="31E19778" w14:textId="23B3D268" w:rsidR="00F502D3" w:rsidRPr="00F502D3" w:rsidRDefault="001F0D86" w:rsidP="00A04B87">
      <w:pPr>
        <w:pStyle w:val="ChartorTableNote"/>
        <w:spacing w:after="120"/>
      </w:pPr>
      <w:r>
        <w:rPr>
          <w:noProof/>
        </w:rPr>
        <w:drawing>
          <wp:inline distT="0" distB="0" distL="0" distR="0" wp14:anchorId="5C35290E" wp14:editId="24D03448">
            <wp:extent cx="5881681" cy="2238375"/>
            <wp:effectExtent l="0" t="0" r="5080" b="0"/>
            <wp:docPr id="16" name="Picture 16" descr="Figure 14 shows a count of indicators by sector between 2010 and 2024. It shows both the indicators by chapter (stacked columns) and total number of data tables (line) for each year. The number of indicators peaked at about 350 in 2011, before dropping to about 270 in 2012 and about 220 in 2017. The number of indicators has remained steady since 2017. The number of data tables peaked to about 710 in 2015 before dropping to about 420 in 2018 and then steadily rising to about 550 in 2024. Since 2010, the health and community services sectors has accounted for about half of all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4 shows a count of indicators by sector between 2010 and 2024. It shows both the indicators by chapter (stacked columns) and total number of data tables (line) for each year. The number of indicators peaked at about 350 in 2011, before dropping to about 270 in 2012 and about 220 in 2017. The number of indicators has remained steady since 2017. The number of data tables peaked to about 710 in 2015 before dropping to about 420 in 2018 and then steadily rising to about 550 in 2024. Since 2010, the health and community services sectors has accounted for about half of all indicators."/>
                    <pic:cNvPicPr/>
                  </pic:nvPicPr>
                  <pic:blipFill>
                    <a:blip r:embed="rId44"/>
                    <a:stretch>
                      <a:fillRect/>
                    </a:stretch>
                  </pic:blipFill>
                  <pic:spPr>
                    <a:xfrm>
                      <a:off x="0" y="0"/>
                      <a:ext cx="5882039" cy="2238511"/>
                    </a:xfrm>
                    <a:prstGeom prst="rect">
                      <a:avLst/>
                    </a:prstGeom>
                  </pic:spPr>
                </pic:pic>
              </a:graphicData>
            </a:graphic>
          </wp:inline>
        </w:drawing>
      </w:r>
      <w:bookmarkStart w:id="71" w:name="_Ref180659259"/>
      <w:bookmarkStart w:id="72" w:name="_Ref180659226"/>
      <w:r w:rsidR="00C97404">
        <w:t xml:space="preserve">Figure </w:t>
      </w:r>
      <w:r w:rsidR="004776DE">
        <w:fldChar w:fldCharType="begin"/>
      </w:r>
      <w:r w:rsidR="004776DE">
        <w:instrText xml:space="preserve"> SEQ Figure \* ARABIC </w:instrText>
      </w:r>
      <w:r w:rsidR="004776DE">
        <w:fldChar w:fldCharType="separate"/>
      </w:r>
      <w:r w:rsidR="000742FA">
        <w:rPr>
          <w:noProof/>
        </w:rPr>
        <w:t>14</w:t>
      </w:r>
      <w:r w:rsidR="004776DE">
        <w:rPr>
          <w:noProof/>
        </w:rPr>
        <w:fldChar w:fldCharType="end"/>
      </w:r>
      <w:bookmarkEnd w:id="71"/>
      <w:r w:rsidR="00C97404">
        <w:t>: Count of indicators by sector</w:t>
      </w:r>
      <w:bookmarkEnd w:id="72"/>
    </w:p>
    <w:p w14:paraId="453CD63C" w14:textId="57E6067C" w:rsidR="00F502D3" w:rsidRPr="00F502D3" w:rsidRDefault="000E411C" w:rsidP="00A04B87">
      <w:pPr>
        <w:pStyle w:val="ChartorTableNote"/>
      </w:pPr>
      <w:r>
        <w:rPr>
          <w:noProof/>
        </w:rPr>
        <w:drawing>
          <wp:inline distT="0" distB="0" distL="0" distR="0" wp14:anchorId="266DA731" wp14:editId="354DA6C7">
            <wp:extent cx="5731510" cy="2153285"/>
            <wp:effectExtent l="0" t="0" r="2540" b="0"/>
            <wp:docPr id="14" name="Picture 14" descr="Figure 15 shows the percentage of indicators that are outcomes. It is a heat map. It shows that in 2010 between 30 and 40 per cent of RoGS indicators in the early childhood, education and training, justice and housing and homelessness sectors measured outcomes. These percentages reduced noticeably in 2012 and continued to decrease to between 15 and 30 per cent in 2024. The proportion of indicators increased for community services and emergency management to 24 and 30 per cen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5 shows the percentage of indicators that are outcomes. It is a heat map. It shows that in 2010 between 30 and 40 per cent of RoGS indicators in the early childhood, education and training, justice and housing and homelessness sectors measured outcomes. These percentages reduced noticeably in 2012 and continued to decrease to between 15 and 30 per cent in 2024. The proportion of indicators increased for community services and emergency management to 24 and 30 per cent in 2024."/>
                    <pic:cNvPicPr/>
                  </pic:nvPicPr>
                  <pic:blipFill>
                    <a:blip r:embed="rId45"/>
                    <a:stretch>
                      <a:fillRect/>
                    </a:stretch>
                  </pic:blipFill>
                  <pic:spPr>
                    <a:xfrm>
                      <a:off x="0" y="0"/>
                      <a:ext cx="5731510" cy="2153285"/>
                    </a:xfrm>
                    <a:prstGeom prst="rect">
                      <a:avLst/>
                    </a:prstGeom>
                  </pic:spPr>
                </pic:pic>
              </a:graphicData>
            </a:graphic>
          </wp:inline>
        </w:drawing>
      </w:r>
      <w:bookmarkStart w:id="73" w:name="_Ref180659261"/>
      <w:bookmarkStart w:id="74" w:name="_Ref180659231"/>
      <w:r w:rsidR="00027904">
        <w:t xml:space="preserve">Figure </w:t>
      </w:r>
      <w:r w:rsidR="004776DE">
        <w:fldChar w:fldCharType="begin"/>
      </w:r>
      <w:r w:rsidR="004776DE">
        <w:instrText xml:space="preserve"> SEQ Figure \* ARABIC </w:instrText>
      </w:r>
      <w:r w:rsidR="004776DE">
        <w:fldChar w:fldCharType="separate"/>
      </w:r>
      <w:r w:rsidR="000742FA">
        <w:rPr>
          <w:noProof/>
        </w:rPr>
        <w:t>15</w:t>
      </w:r>
      <w:r w:rsidR="004776DE">
        <w:rPr>
          <w:noProof/>
        </w:rPr>
        <w:fldChar w:fldCharType="end"/>
      </w:r>
      <w:bookmarkEnd w:id="73"/>
      <w:r w:rsidR="00027904">
        <w:t>: Percentage of outcome indicators</w:t>
      </w:r>
      <w:r w:rsidR="00D819B3">
        <w:t>, 2010-2024</w:t>
      </w:r>
      <w:bookmarkEnd w:id="74"/>
    </w:p>
    <w:p w14:paraId="49F3847A" w14:textId="3D75B053" w:rsidR="00F502D3" w:rsidRPr="00F502D3" w:rsidRDefault="00F502D3" w:rsidP="00F502D3">
      <w:r w:rsidRPr="00F502D3">
        <w:t>Following this initial review of high</w:t>
      </w:r>
      <w:r w:rsidR="00B65D32">
        <w:t>-</w:t>
      </w:r>
      <w:r w:rsidRPr="00F502D3">
        <w:t>level data, the Review explore</w:t>
      </w:r>
      <w:r w:rsidR="00837A4E">
        <w:t>d</w:t>
      </w:r>
      <w:r w:rsidRPr="00F502D3">
        <w:t xml:space="preserve"> data around the questions:</w:t>
      </w:r>
    </w:p>
    <w:p w14:paraId="1E2E1D81" w14:textId="77777777" w:rsidR="00F502D3" w:rsidRPr="00F502D3" w:rsidRDefault="00F502D3" w:rsidP="00A7164A">
      <w:pPr>
        <w:pStyle w:val="Bullet"/>
        <w:spacing w:line="240" w:lineRule="auto"/>
        <w:ind w:left="357" w:hanging="357"/>
      </w:pPr>
      <w:r w:rsidRPr="00F502D3">
        <w:t>How did indicators change following the review of RoGS indicators in 2016?</w:t>
      </w:r>
    </w:p>
    <w:p w14:paraId="6A2EA7E4" w14:textId="038C84EA" w:rsidR="00F502D3" w:rsidRPr="00F502D3" w:rsidRDefault="0082387E" w:rsidP="00A7164A">
      <w:pPr>
        <w:pStyle w:val="Bullet"/>
        <w:spacing w:line="240" w:lineRule="auto"/>
        <w:ind w:left="357" w:hanging="357"/>
      </w:pPr>
      <w:r>
        <w:t>What is the size of the role for</w:t>
      </w:r>
      <w:r w:rsidR="00F502D3" w:rsidRPr="00F502D3">
        <w:t xml:space="preserve"> State and Territory governments </w:t>
      </w:r>
      <w:r>
        <w:t>as data providers</w:t>
      </w:r>
      <w:r w:rsidR="00F502D3" w:rsidRPr="00F502D3">
        <w:t>?</w:t>
      </w:r>
    </w:p>
    <w:p w14:paraId="045DFE7B" w14:textId="34D88AC5" w:rsidR="007B11B1" w:rsidRPr="00F502D3" w:rsidRDefault="00F502D3" w:rsidP="00A7164A">
      <w:pPr>
        <w:pStyle w:val="Bullet"/>
        <w:spacing w:line="240" w:lineRule="auto"/>
        <w:ind w:left="357" w:hanging="357"/>
      </w:pPr>
      <w:r w:rsidRPr="00F502D3">
        <w:t>How does the level of completeness and comparability for indicators change over time? These questions included:</w:t>
      </w:r>
    </w:p>
    <w:p w14:paraId="7F11A5CF" w14:textId="7593A52E" w:rsidR="007B11B1" w:rsidRDefault="00BD7A29" w:rsidP="007A1AC8">
      <w:pPr>
        <w:pStyle w:val="Dash"/>
      </w:pPr>
      <w:r>
        <w:t>H</w:t>
      </w:r>
      <w:r w:rsidR="00F502D3" w:rsidRPr="00F502D3">
        <w:t>ave there been any significant changes in indicator status in the last 5 years?</w:t>
      </w:r>
    </w:p>
    <w:p w14:paraId="565031CB" w14:textId="2955EE06" w:rsidR="00F502D3" w:rsidRPr="00F502D3" w:rsidRDefault="00BD7A29" w:rsidP="007A1AC8">
      <w:pPr>
        <w:pStyle w:val="Dash"/>
      </w:pPr>
      <w:r>
        <w:t>A</w:t>
      </w:r>
      <w:r w:rsidR="00F502D3" w:rsidRPr="00F502D3">
        <w:t>re there any indicators that have had no data, or have had incomplete and non</w:t>
      </w:r>
      <w:r w:rsidR="00B65D32">
        <w:t>-</w:t>
      </w:r>
      <w:r w:rsidR="00F502D3" w:rsidRPr="00F502D3">
        <w:t xml:space="preserve">comparable data for a long time? </w:t>
      </w:r>
    </w:p>
    <w:p w14:paraId="61438BC5" w14:textId="3E8E4F5C" w:rsidR="005A4F63" w:rsidRDefault="005A4F63" w:rsidP="005A4F63">
      <w:pPr>
        <w:pStyle w:val="Heading4"/>
      </w:pPr>
      <w:r>
        <w:t>Changes to the RoGS from 2016 to 2018</w:t>
      </w:r>
    </w:p>
    <w:p w14:paraId="090BC4BA" w14:textId="2FE02281" w:rsidR="00FE5FC7" w:rsidRPr="00FE5FC7" w:rsidRDefault="00FE5FC7" w:rsidP="00B34CA3">
      <w:r w:rsidRPr="00FE5FC7">
        <w:t>Flattened data on indicators and the</w:t>
      </w:r>
      <w:r w:rsidR="00F000EB">
        <w:t>ir</w:t>
      </w:r>
      <w:r w:rsidRPr="00FE5FC7">
        <w:t xml:space="preserve"> comparability status was used to construct a Sankey chart. This chart, </w:t>
      </w:r>
      <w:r w:rsidR="008D6756">
        <w:t>like</w:t>
      </w:r>
      <w:r w:rsidRPr="00FE5FC7">
        <w:t xml:space="preserve"> the char</w:t>
      </w:r>
      <w:r w:rsidR="00BD7A29">
        <w:t>t</w:t>
      </w:r>
      <w:r w:rsidRPr="00FE5FC7">
        <w:t xml:space="preserve"> shown in </w:t>
      </w:r>
      <w:r w:rsidR="009318D5" w:rsidRPr="009318D5">
        <w:rPr>
          <w:i/>
          <w:iCs/>
        </w:rPr>
        <w:t xml:space="preserve">Figure </w:t>
      </w:r>
      <w:r w:rsidR="009318D5" w:rsidRPr="009318D5">
        <w:rPr>
          <w:i/>
          <w:iCs/>
          <w:noProof/>
        </w:rPr>
        <w:t>11</w:t>
      </w:r>
      <w:r w:rsidR="008D6756">
        <w:t>,</w:t>
      </w:r>
      <w:r w:rsidR="00A5632B">
        <w:t xml:space="preserve"> </w:t>
      </w:r>
      <w:r w:rsidRPr="00FE5FC7">
        <w:t xml:space="preserve">initially showed gaps where similar indicators should be joined. As detailed in the quality control section below, analysis of this visualisation and supporting documentation was used to create new start and end points for indicators that were either split, merged, removed or added between 2016 and 2018. </w:t>
      </w:r>
    </w:p>
    <w:p w14:paraId="2386D9C8" w14:textId="036E97CB" w:rsidR="00FE5FC7" w:rsidRPr="00FE5FC7" w:rsidRDefault="00FE5FC7" w:rsidP="00B34CA3">
      <w:r w:rsidRPr="00FE5FC7">
        <w:t xml:space="preserve">The Review decided to analyse indicators over the </w:t>
      </w:r>
      <w:r w:rsidR="00174363">
        <w:t>2</w:t>
      </w:r>
      <w:r w:rsidRPr="00FE5FC7">
        <w:t xml:space="preserve"> years from 2016 even though </w:t>
      </w:r>
      <w:r w:rsidR="0091174A">
        <w:t>many</w:t>
      </w:r>
      <w:r w:rsidRPr="00FE5FC7">
        <w:t xml:space="preserve"> of the indicators were due to be revised by the 2017 RoGS. This extended timeframe meant that indicators needing more time to be fully revised could be considered. This approach, however, may have captured indicators that were revised through separate processes. </w:t>
      </w:r>
    </w:p>
    <w:p w14:paraId="075D88B4" w14:textId="674A7EF7" w:rsidR="00FE5FC7" w:rsidRPr="00FE5FC7" w:rsidRDefault="009318D5" w:rsidP="00B34CA3">
      <w:r w:rsidRPr="009318D5">
        <w:rPr>
          <w:i/>
          <w:iCs/>
        </w:rPr>
        <w:t xml:space="preserve">Figure </w:t>
      </w:r>
      <w:r w:rsidRPr="009318D5">
        <w:rPr>
          <w:i/>
          <w:iCs/>
          <w:noProof/>
        </w:rPr>
        <w:t>19</w:t>
      </w:r>
      <w:r w:rsidR="00A92C9F">
        <w:t xml:space="preserve"> </w:t>
      </w:r>
      <w:r w:rsidR="00FE5FC7" w:rsidRPr="00FE5FC7">
        <w:t xml:space="preserve">shows how indicators changed from 2016 to 2018. There were </w:t>
      </w:r>
      <w:r w:rsidR="00174363">
        <w:t>2</w:t>
      </w:r>
      <w:r w:rsidR="00FE5FC7" w:rsidRPr="00FE5FC7">
        <w:t xml:space="preserve"> major changes to indic</w:t>
      </w:r>
      <w:r w:rsidR="003A090B">
        <w:t>a</w:t>
      </w:r>
      <w:r w:rsidR="00FE5FC7" w:rsidRPr="00FE5FC7">
        <w:t xml:space="preserve">tor frameworks during this time </w:t>
      </w:r>
      <w:r w:rsidR="00B65D32">
        <w:rPr>
          <w:rFonts w:ascii="Calibri" w:hAnsi="Calibri" w:cs="Calibri"/>
        </w:rPr>
        <w:t>—</w:t>
      </w:r>
      <w:r w:rsidR="00FE5FC7" w:rsidRPr="00FE5FC7">
        <w:t xml:space="preserve"> the removal of indicators on maternity services and the transfer of ambulance indicators from emergency management to health. </w:t>
      </w:r>
      <w:r w:rsidRPr="009318D5">
        <w:rPr>
          <w:i/>
          <w:iCs/>
        </w:rPr>
        <w:t xml:space="preserve">Figure </w:t>
      </w:r>
      <w:r w:rsidRPr="009318D5">
        <w:rPr>
          <w:i/>
          <w:iCs/>
          <w:noProof/>
        </w:rPr>
        <w:t>19</w:t>
      </w:r>
      <w:r w:rsidR="00FE5FC7" w:rsidRPr="00FE5FC7">
        <w:t xml:space="preserve"> also shows that the there was a large amount of indicator consolidation during this time. Major areas of consolidation were indicators on accessibility, use and costs of early childhood education and primary health services.</w:t>
      </w:r>
    </w:p>
    <w:p w14:paraId="2A5219F7" w14:textId="0236F42D" w:rsidR="00FE5FC7" w:rsidRPr="00FE5FC7" w:rsidRDefault="00FE5FC7" w:rsidP="00B34CA3">
      <w:r w:rsidRPr="00FE5FC7">
        <w:t>This initial analysis on indicator changes from 2016 to 2018 showed that overall, there was a modest reduction in the number of indicators. Even though 89 indicators were removed directly, or through consolidation, the net reduction in indicator numbers was significantly affected by the addition of new indicators. Further analysis of year</w:t>
      </w:r>
      <w:r w:rsidR="00B65D32">
        <w:t>-</w:t>
      </w:r>
      <w:r w:rsidRPr="00FE5FC7">
        <w:t xml:space="preserve">specific changes was undertaken to understand these results. </w:t>
      </w:r>
      <w:r w:rsidR="009318D5" w:rsidRPr="009318D5">
        <w:rPr>
          <w:i/>
          <w:iCs/>
        </w:rPr>
        <w:t xml:space="preserve">Figure </w:t>
      </w:r>
      <w:r w:rsidR="009318D5" w:rsidRPr="009318D5">
        <w:rPr>
          <w:i/>
          <w:iCs/>
          <w:noProof/>
        </w:rPr>
        <w:t>20</w:t>
      </w:r>
      <w:r w:rsidRPr="00FE5FC7">
        <w:t xml:space="preserve"> shows that even though there was a significant reduction in the number of indicators in the year following the review, there were many new indicators in the 2018</w:t>
      </w:r>
      <w:r w:rsidR="00A51666">
        <w:t xml:space="preserve"> RoGS</w:t>
      </w:r>
      <w:r w:rsidRPr="00FE5FC7">
        <w:t>. Of the 35 new indicators added to the 2018 RoGS, 6 were new outcome indicators.</w:t>
      </w:r>
    </w:p>
    <w:p w14:paraId="2ABAD187" w14:textId="532A7651" w:rsidR="00FE5FC7" w:rsidRPr="00FE5FC7" w:rsidRDefault="00FE5FC7" w:rsidP="00FE5FC7">
      <w:r w:rsidRPr="00FE5FC7">
        <w:t xml:space="preserve">The patterns seen between 2016 and 2018 may reflect </w:t>
      </w:r>
      <w:r w:rsidR="00174363">
        <w:t>2</w:t>
      </w:r>
      <w:r w:rsidRPr="00FE5FC7">
        <w:t xml:space="preserve"> different processes. The first being the consolidation and removal of indicators following the 2016 review. The second as an independent process of adding new indicators, especially outcome indicators. It is also possible that the years of 2016 and 2018 outline the multiple stages needed to create a robust and relevant indicator framework. </w:t>
      </w:r>
    </w:p>
    <w:p w14:paraId="2411EBF1" w14:textId="365608CC" w:rsidR="005A4F63" w:rsidRDefault="009E27E8" w:rsidP="009E27E8">
      <w:pPr>
        <w:pStyle w:val="Heading4"/>
      </w:pPr>
      <w:r>
        <w:t>Responsibilities of State and Territory governments</w:t>
      </w:r>
    </w:p>
    <w:p w14:paraId="0D88FE33" w14:textId="2C833167" w:rsidR="00AA3D19" w:rsidRPr="00AA3D19" w:rsidRDefault="00AA3D19" w:rsidP="00AA3D19">
      <w:r w:rsidRPr="00AA3D19">
        <w:t>Early analysis showed that State and Territory governments were a source of data in 2</w:t>
      </w:r>
      <w:r w:rsidR="00DA7E62">
        <w:t>5</w:t>
      </w:r>
      <w:r w:rsidRPr="00AA3D19">
        <w:t xml:space="preserve"> per</w:t>
      </w:r>
      <w:r w:rsidR="007F3916">
        <w:t xml:space="preserve"> </w:t>
      </w:r>
      <w:r w:rsidRPr="00AA3D19">
        <w:t>cent of the tables in the 2024 RoGS</w:t>
      </w:r>
      <w:r w:rsidR="007D3ECA">
        <w:t xml:space="preserve"> (</w:t>
      </w:r>
      <w:r w:rsidR="009318D5" w:rsidRPr="009318D5">
        <w:rPr>
          <w:i/>
          <w:iCs/>
        </w:rPr>
        <w:t xml:space="preserve">Figure </w:t>
      </w:r>
      <w:r w:rsidR="009318D5" w:rsidRPr="009318D5">
        <w:rPr>
          <w:i/>
          <w:iCs/>
          <w:noProof/>
        </w:rPr>
        <w:t>9</w:t>
      </w:r>
      <w:r w:rsidR="007D3ECA">
        <w:t>)</w:t>
      </w:r>
      <w:r w:rsidR="00712346">
        <w:t xml:space="preserve">. </w:t>
      </w:r>
      <w:r w:rsidRPr="00AA3D19">
        <w:t xml:space="preserve">Analysis also showed that the relative contribution of data by States and Territories has remained steady over the last 20 years. Stakeholders from State and Territory </w:t>
      </w:r>
      <w:r w:rsidR="003E0604">
        <w:t>g</w:t>
      </w:r>
      <w:r w:rsidRPr="00AA3D19">
        <w:t>overnments have reported to the review that the burden of contributing data is increasing.</w:t>
      </w:r>
    </w:p>
    <w:p w14:paraId="5B8CA20C" w14:textId="196E7AF3" w:rsidR="00AA3D19" w:rsidRPr="00AA3D19" w:rsidRDefault="00AA3D19" w:rsidP="00AA3D19">
      <w:r>
        <w:t xml:space="preserve">Data from the normalised data sources table </w:t>
      </w:r>
      <w:r w:rsidR="00CE6598">
        <w:t>described in</w:t>
      </w:r>
      <w:r w:rsidR="00DD0AA8">
        <w:t xml:space="preserve"> </w:t>
      </w:r>
      <w:r w:rsidR="00D276C7" w:rsidRPr="00D276C7">
        <w:rPr>
          <w:i/>
          <w:iCs/>
        </w:rPr>
        <w:t>Data transformations with DAX</w:t>
      </w:r>
      <w:r w:rsidR="00CE6598">
        <w:t xml:space="preserve"> </w:t>
      </w:r>
      <w:r>
        <w:t xml:space="preserve">were conditionally grouped against the raw data to calculate whether a data table had State and Territory governments as a source, and whether there were other sources referenced. </w:t>
      </w:r>
      <w:r w:rsidR="009318D5" w:rsidRPr="009318D5">
        <w:rPr>
          <w:i/>
        </w:rPr>
        <w:t xml:space="preserve">Figure </w:t>
      </w:r>
      <w:r w:rsidR="009318D5" w:rsidRPr="009318D5">
        <w:rPr>
          <w:i/>
          <w:iCs/>
          <w:noProof/>
        </w:rPr>
        <w:t>16</w:t>
      </w:r>
      <w:r>
        <w:t xml:space="preserve"> shows that State and Territory </w:t>
      </w:r>
      <w:r w:rsidR="00133D18">
        <w:t>g</w:t>
      </w:r>
      <w:r>
        <w:t xml:space="preserve">overnments are key contributors in the Emergency </w:t>
      </w:r>
      <w:r w:rsidR="001D3D89">
        <w:t>m</w:t>
      </w:r>
      <w:r>
        <w:t>anagement and Justice sectors. It also shows that in these sectors, the sole use of data from these governments is decreasing. This analysis was limited to the sources listed in the data tables of the RoGS. It does not account for the contributions that State and Territories make to other reports and data collections, many of which are primary references across the RoGS.</w:t>
      </w:r>
    </w:p>
    <w:p w14:paraId="5885B908" w14:textId="7F7BB75F" w:rsidR="003E2EF6" w:rsidRPr="00AA3D19" w:rsidRDefault="003E2EF6" w:rsidP="00AA3D19">
      <w:r>
        <w:rPr>
          <w:noProof/>
        </w:rPr>
        <w:drawing>
          <wp:inline distT="0" distB="0" distL="0" distR="0" wp14:anchorId="4836BC96" wp14:editId="4DB3C8BA">
            <wp:extent cx="5467350" cy="2875417"/>
            <wp:effectExtent l="0" t="0" r="0" b="1270"/>
            <wp:docPr id="13" name="Picture 13" descr="Figure 16 shows the proportion of tables where state and territory governments have sole or shared contributor to the data. It contains 6 column graphs for each area of shared responsibility, with year on the horizontal axis and percentage of RoGS data tables on the vertical axis. The graphs for community services, early childhood, education and training and homelessness have mostly no State or Territory responsibility. The level of State and Territory responsibility for health has reduced from about 25 per cent to 0 as of 2024. States and Territories have responsibilities for about 80 per cent of data in the justice and emergency management sectors, but over half of this responsibility is shared with other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6 shows the proportion of tables where state and territory governments have sole or shared contributor to the data. It contains 6 column graphs for each area of shared responsibility, with year on the horizontal axis and percentage of RoGS data tables on the vertical axis. The graphs for community services, early childhood, education and training and homelessness have mostly no State or Territory responsibility. The level of State and Territory responsibility for health has reduced from about 25 per cent to 0 as of 2024. States and Territories have responsibilities for about 80 per cent of data in the justice and emergency management sectors, but over half of this responsibility is shared with other agencies."/>
                    <pic:cNvPicPr/>
                  </pic:nvPicPr>
                  <pic:blipFill>
                    <a:blip r:embed="rId46"/>
                    <a:stretch>
                      <a:fillRect/>
                    </a:stretch>
                  </pic:blipFill>
                  <pic:spPr>
                    <a:xfrm>
                      <a:off x="0" y="0"/>
                      <a:ext cx="5477943" cy="2880988"/>
                    </a:xfrm>
                    <a:prstGeom prst="rect">
                      <a:avLst/>
                    </a:prstGeom>
                  </pic:spPr>
                </pic:pic>
              </a:graphicData>
            </a:graphic>
          </wp:inline>
        </w:drawing>
      </w:r>
    </w:p>
    <w:p w14:paraId="327CAEC2" w14:textId="15FA598C" w:rsidR="00AA3D19" w:rsidRPr="00AA3D19" w:rsidRDefault="00AA3D19" w:rsidP="00A04B87">
      <w:pPr>
        <w:pStyle w:val="ChartorTableNote"/>
      </w:pPr>
      <w:bookmarkStart w:id="75" w:name="_Ref180587947"/>
      <w:bookmarkStart w:id="76" w:name="_Ref180587941"/>
      <w:r w:rsidRPr="00AA3D19">
        <w:t xml:space="preserve">Figure </w:t>
      </w:r>
      <w:r w:rsidR="004776DE">
        <w:fldChar w:fldCharType="begin"/>
      </w:r>
      <w:r w:rsidR="004776DE">
        <w:instrText xml:space="preserve"> SEQ Figure \* ARABIC </w:instrText>
      </w:r>
      <w:r w:rsidR="004776DE">
        <w:fldChar w:fldCharType="separate"/>
      </w:r>
      <w:r w:rsidR="000742FA">
        <w:rPr>
          <w:noProof/>
        </w:rPr>
        <w:t>16</w:t>
      </w:r>
      <w:r w:rsidR="004776DE">
        <w:rPr>
          <w:noProof/>
        </w:rPr>
        <w:fldChar w:fldCharType="end"/>
      </w:r>
      <w:bookmarkEnd w:id="75"/>
      <w:r w:rsidRPr="00AA3D19">
        <w:t>: The proportion of tables where State and Territory governments are a sole contributor, or shared contributor to data</w:t>
      </w:r>
      <w:bookmarkEnd w:id="76"/>
    </w:p>
    <w:p w14:paraId="30412271" w14:textId="55979FD8" w:rsidR="00AA3D19" w:rsidRPr="00AA3D19" w:rsidRDefault="00AA3D19" w:rsidP="00AA3D19">
      <w:r>
        <w:t xml:space="preserve">The relationship between the indicator codes and RoGS tables was used to calculate and visualise data contributions by table type. </w:t>
      </w:r>
      <w:r w:rsidR="009318D5" w:rsidRPr="009318D5">
        <w:rPr>
          <w:i/>
          <w:iCs/>
        </w:rPr>
        <w:t xml:space="preserve">Figure </w:t>
      </w:r>
      <w:r w:rsidR="009318D5" w:rsidRPr="009318D5">
        <w:rPr>
          <w:i/>
          <w:iCs/>
          <w:noProof/>
        </w:rPr>
        <w:t>17</w:t>
      </w:r>
      <w:r>
        <w:t xml:space="preserve"> shows that since 2014 there has been a significant reduction in the overall number of data tables </w:t>
      </w:r>
      <w:r w:rsidR="00B459C8">
        <w:t>to which</w:t>
      </w:r>
      <w:r>
        <w:t xml:space="preserve"> State and Territory government contribute. Even though there </w:t>
      </w:r>
      <w:r w:rsidR="00B529BA">
        <w:t>has</w:t>
      </w:r>
      <w:r>
        <w:t xml:space="preserve"> been </w:t>
      </w:r>
      <w:r w:rsidR="00B529BA">
        <w:t>a</w:t>
      </w:r>
      <w:r>
        <w:t xml:space="preserve"> recent minor increase in these table</w:t>
      </w:r>
      <w:r w:rsidR="00B459C8">
        <w:t>s</w:t>
      </w:r>
      <w:r>
        <w:t>, there continues to be a stead</w:t>
      </w:r>
      <w:r w:rsidR="00AC1223">
        <w:t>y</w:t>
      </w:r>
      <w:r>
        <w:t xml:space="preserve"> reduction in the number of </w:t>
      </w:r>
      <w:r w:rsidR="000430B3">
        <w:t>contextual data</w:t>
      </w:r>
      <w:r>
        <w:t xml:space="preserve"> tables </w:t>
      </w:r>
      <w:r w:rsidR="00B529BA">
        <w:t>to which</w:t>
      </w:r>
      <w:r>
        <w:t xml:space="preserve"> governments contribute.</w:t>
      </w:r>
    </w:p>
    <w:p w14:paraId="4DD314F4" w14:textId="73332134" w:rsidR="00AA3D19" w:rsidRPr="00AA3D19" w:rsidRDefault="6A16C924" w:rsidP="4C6E3B60">
      <w:pPr>
        <w:jc w:val="center"/>
      </w:pPr>
      <w:r>
        <w:rPr>
          <w:noProof/>
        </w:rPr>
        <w:drawing>
          <wp:inline distT="0" distB="0" distL="0" distR="0" wp14:anchorId="25009232" wp14:editId="4892FD25">
            <wp:extent cx="3686174" cy="3156910"/>
            <wp:effectExtent l="0" t="0" r="0" b="0"/>
            <wp:docPr id="904778320" name="Picture 904778320" descr="Figure 17 is a line chart showing the number of tables with data contributed by state and territory governments. It shows a peak in State and Territory data contribution for data and contextual table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78320" name="Picture 904778320" descr="Figure 17 is a line chart showing the number of tables with data contributed by state and territory governments. It shows a peak in State and Territory data contribution for data and contextual tables in 2014."/>
                    <pic:cNvPicPr/>
                  </pic:nvPicPr>
                  <pic:blipFill>
                    <a:blip r:embed="rId47">
                      <a:extLst>
                        <a:ext uri="{28A0092B-C50C-407E-A947-70E740481C1C}">
                          <a14:useLocalDpi xmlns:a14="http://schemas.microsoft.com/office/drawing/2010/main" val="0"/>
                        </a:ext>
                      </a:extLst>
                    </a:blip>
                    <a:stretch>
                      <a:fillRect/>
                    </a:stretch>
                  </pic:blipFill>
                  <pic:spPr>
                    <a:xfrm>
                      <a:off x="0" y="0"/>
                      <a:ext cx="3686174" cy="3156910"/>
                    </a:xfrm>
                    <a:prstGeom prst="rect">
                      <a:avLst/>
                    </a:prstGeom>
                  </pic:spPr>
                </pic:pic>
              </a:graphicData>
            </a:graphic>
          </wp:inline>
        </w:drawing>
      </w:r>
    </w:p>
    <w:p w14:paraId="35D7AE8E" w14:textId="6C0D024A" w:rsidR="00AA3D19" w:rsidRPr="00AA3D19" w:rsidRDefault="00AA3D19" w:rsidP="00A04B87">
      <w:pPr>
        <w:pStyle w:val="ChartorTableNote"/>
      </w:pPr>
      <w:bookmarkStart w:id="77" w:name="_Ref180589334"/>
      <w:r w:rsidRPr="00AA3D19">
        <w:t xml:space="preserve">Figure </w:t>
      </w:r>
      <w:r w:rsidR="004776DE">
        <w:fldChar w:fldCharType="begin"/>
      </w:r>
      <w:r w:rsidR="004776DE">
        <w:instrText xml:space="preserve"> SEQ Figure \* ARABIC </w:instrText>
      </w:r>
      <w:r w:rsidR="004776DE">
        <w:fldChar w:fldCharType="separate"/>
      </w:r>
      <w:r w:rsidR="000742FA">
        <w:rPr>
          <w:noProof/>
        </w:rPr>
        <w:t>17</w:t>
      </w:r>
      <w:r w:rsidR="004776DE">
        <w:rPr>
          <w:noProof/>
        </w:rPr>
        <w:fldChar w:fldCharType="end"/>
      </w:r>
      <w:bookmarkEnd w:id="77"/>
      <w:r w:rsidRPr="00AA3D19">
        <w:t>: Tables with data from State and Territory governments (as sole and shared data contributors) by the type of data table</w:t>
      </w:r>
    </w:p>
    <w:p w14:paraId="2E50563A" w14:textId="75C93CEE" w:rsidR="00AA3D19" w:rsidRPr="00AA3D19" w:rsidRDefault="000742FA" w:rsidP="00AA3D19">
      <w:r w:rsidRPr="000742FA">
        <w:rPr>
          <w:i/>
          <w:iCs/>
        </w:rPr>
        <w:t xml:space="preserve">Figure </w:t>
      </w:r>
      <w:r w:rsidRPr="000742FA">
        <w:rPr>
          <w:i/>
          <w:iCs/>
          <w:noProof/>
        </w:rPr>
        <w:t>18</w:t>
      </w:r>
      <w:r w:rsidR="00AA3D19">
        <w:t xml:space="preserve"> shows that there have also been significant reductions in the amount of data from other sources going to </w:t>
      </w:r>
      <w:r w:rsidR="000430B3">
        <w:t xml:space="preserve">contextual data </w:t>
      </w:r>
      <w:r w:rsidR="00AA3D19">
        <w:t>tables. Over time</w:t>
      </w:r>
      <w:r w:rsidR="00302B84">
        <w:t>,</w:t>
      </w:r>
      <w:r w:rsidR="00AA3D19">
        <w:t xml:space="preserve"> data is being used more efficiently, and the RoGS is becoming more concise. This highlights the work that continues to be done to improve the relevance and usability of RoGS products.</w:t>
      </w:r>
    </w:p>
    <w:p w14:paraId="5B08C456" w14:textId="6389F7C5" w:rsidR="00AA3D19" w:rsidRPr="00AA3D19" w:rsidRDefault="3BDBC65D" w:rsidP="437F3C11">
      <w:pPr>
        <w:jc w:val="center"/>
      </w:pPr>
      <w:r>
        <w:rPr>
          <w:noProof/>
        </w:rPr>
        <w:drawing>
          <wp:inline distT="0" distB="0" distL="0" distR="0" wp14:anchorId="4A7BB84A" wp14:editId="4E642C9D">
            <wp:extent cx="3916739" cy="3095593"/>
            <wp:effectExtent l="0" t="0" r="0" b="0"/>
            <wp:docPr id="832338132" name="Picture 832338132" descr="Figure 18 is a line chart showing the number of tables with no data contributed by State and Territory governments . It shows that in 2024 about 120 data tables and 420 contextual tables were contributed by sources other than State and Territory govern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38132" name="Picture 832338132" descr="Figure 18 is a line chart showing the number of tables with no data contributed by State and Territory governments . It shows that in 2024 about 120 data tables and 420 contextual tables were contributed by sources other than State and Territory governments. "/>
                    <pic:cNvPicPr/>
                  </pic:nvPicPr>
                  <pic:blipFill>
                    <a:blip r:embed="rId48">
                      <a:extLst>
                        <a:ext uri="{28A0092B-C50C-407E-A947-70E740481C1C}">
                          <a14:useLocalDpi xmlns:a14="http://schemas.microsoft.com/office/drawing/2010/main" val="0"/>
                        </a:ext>
                      </a:extLst>
                    </a:blip>
                    <a:stretch>
                      <a:fillRect/>
                    </a:stretch>
                  </pic:blipFill>
                  <pic:spPr>
                    <a:xfrm>
                      <a:off x="0" y="0"/>
                      <a:ext cx="3916739" cy="3095593"/>
                    </a:xfrm>
                    <a:prstGeom prst="rect">
                      <a:avLst/>
                    </a:prstGeom>
                  </pic:spPr>
                </pic:pic>
              </a:graphicData>
            </a:graphic>
          </wp:inline>
        </w:drawing>
      </w:r>
      <w:r w:rsidR="5B19782E">
        <w:br/>
      </w:r>
    </w:p>
    <w:p w14:paraId="7A610C34" w14:textId="4B2E4228" w:rsidR="00AA3D19" w:rsidRPr="00AA3D19" w:rsidRDefault="00AA3D19" w:rsidP="00A04B87">
      <w:pPr>
        <w:pStyle w:val="ChartorTableNote"/>
      </w:pPr>
      <w:bookmarkStart w:id="78" w:name="_Ref180589653"/>
      <w:r w:rsidRPr="00AA3D19">
        <w:t xml:space="preserve">Figure </w:t>
      </w:r>
      <w:r w:rsidR="004776DE">
        <w:fldChar w:fldCharType="begin"/>
      </w:r>
      <w:r w:rsidR="004776DE">
        <w:instrText xml:space="preserve"> SEQ Figure \* ARABIC </w:instrText>
      </w:r>
      <w:r w:rsidR="004776DE">
        <w:fldChar w:fldCharType="separate"/>
      </w:r>
      <w:r w:rsidR="000742FA">
        <w:rPr>
          <w:noProof/>
        </w:rPr>
        <w:t>18</w:t>
      </w:r>
      <w:r w:rsidR="004776DE">
        <w:rPr>
          <w:noProof/>
        </w:rPr>
        <w:fldChar w:fldCharType="end"/>
      </w:r>
      <w:bookmarkEnd w:id="78"/>
      <w:r w:rsidRPr="00AA3D19">
        <w:t>: Tables with data from source other than State and Territory governments by the type of data table</w:t>
      </w:r>
    </w:p>
    <w:p w14:paraId="4A3C16C1" w14:textId="77777777" w:rsidR="00270E00" w:rsidRDefault="00270E00" w:rsidP="00270E00">
      <w:pPr>
        <w:pStyle w:val="Heading4"/>
      </w:pPr>
      <w:r>
        <w:t>Changes in indicator comparability and completeness</w:t>
      </w:r>
    </w:p>
    <w:p w14:paraId="33390DBF" w14:textId="031A6394" w:rsidR="0013554E" w:rsidRPr="0013554E" w:rsidRDefault="0013554E" w:rsidP="0013554E">
      <w:r w:rsidRPr="0013554E">
        <w:t xml:space="preserve">DAX computations </w:t>
      </w:r>
      <w:r w:rsidR="00056657">
        <w:t>on</w:t>
      </w:r>
      <w:r w:rsidRPr="0013554E">
        <w:t xml:space="preserve"> consecutive years of completeness and comparability were built into a range of conditional DAX measures. These measures were used to identify all indicators that had no change in completeness/comparability status for more than 5 and 10 years. These results were then refined to only include indicators included in the 2024 RoGS with many </w:t>
      </w:r>
      <w:r w:rsidR="005016AB">
        <w:t xml:space="preserve">consecutive </w:t>
      </w:r>
      <w:r w:rsidRPr="0013554E">
        <w:t xml:space="preserve">years of no data or minimal data. </w:t>
      </w:r>
      <w:r w:rsidR="00D276C7" w:rsidRPr="00D276C7">
        <w:rPr>
          <w:i/>
          <w:iCs/>
        </w:rPr>
        <w:t xml:space="preserve">Table </w:t>
      </w:r>
      <w:r w:rsidR="00D276C7" w:rsidRPr="00D276C7">
        <w:rPr>
          <w:i/>
          <w:iCs/>
          <w:noProof/>
        </w:rPr>
        <w:t>1</w:t>
      </w:r>
      <w:r w:rsidRPr="0013554E">
        <w:t xml:space="preserve"> shows the number of </w:t>
      </w:r>
      <w:r w:rsidR="00B875CE">
        <w:t>indicators</w:t>
      </w:r>
      <w:r w:rsidRPr="0013554E">
        <w:t xml:space="preserve"> that meet th</w:t>
      </w:r>
      <w:r w:rsidR="00B875CE">
        <w:t>e</w:t>
      </w:r>
      <w:r w:rsidRPr="0013554E">
        <w:t>s</w:t>
      </w:r>
      <w:r w:rsidR="00B875CE">
        <w:t>e</w:t>
      </w:r>
      <w:r w:rsidRPr="0013554E">
        <w:t xml:space="preserve"> criteria. </w:t>
      </w:r>
    </w:p>
    <w:p w14:paraId="2ED13347" w14:textId="6BA337F2" w:rsidR="0013554E" w:rsidRPr="0013554E" w:rsidRDefault="0013554E" w:rsidP="0013554E">
      <w:r w:rsidRPr="0013554E">
        <w:t>These figures on consecutive non</w:t>
      </w:r>
      <w:r w:rsidR="00B65D32">
        <w:t>-</w:t>
      </w:r>
      <w:r w:rsidRPr="0013554E">
        <w:t>completeness do not count measures that change levels of complete</w:t>
      </w:r>
      <w:r w:rsidR="00E839D0">
        <w:t>nes</w:t>
      </w:r>
      <w:r w:rsidRPr="0013554E">
        <w:t xml:space="preserve">s, including those that change between no data and limited completeness/comparability. Further analysis was </w:t>
      </w:r>
      <w:r w:rsidR="00E839D0">
        <w:t xml:space="preserve">completed </w:t>
      </w:r>
      <w:r w:rsidRPr="0013554E">
        <w:t xml:space="preserve">to understand which indicators </w:t>
      </w:r>
      <w:r w:rsidR="00E839D0">
        <w:t>experience</w:t>
      </w:r>
      <w:r w:rsidRPr="0013554E">
        <w:t xml:space="preserve"> these fluctuations in completeness, especially those that have a reduction</w:t>
      </w:r>
      <w:r w:rsidR="00FA738A">
        <w:t xml:space="preserve"> over time</w:t>
      </w:r>
      <w:r w:rsidRPr="0013554E">
        <w:t xml:space="preserve">. The Review set additional criteria to extract indicators that </w:t>
      </w:r>
      <w:r w:rsidR="00FA738A">
        <w:t xml:space="preserve">experienced </w:t>
      </w:r>
      <w:r w:rsidRPr="0013554E">
        <w:t>a decrease from the highest level of comparability in the last 5</w:t>
      </w:r>
      <w:r w:rsidR="00461774">
        <w:t> </w:t>
      </w:r>
      <w:r w:rsidRPr="0013554E">
        <w:t xml:space="preserve">years. The results were visualised in a matrix table to illustrate the various stages of completeness </w:t>
      </w:r>
      <w:r w:rsidR="008E796B">
        <w:t>(</w:t>
      </w:r>
      <w:r w:rsidR="009318D5" w:rsidRPr="009318D5">
        <w:rPr>
          <w:i/>
          <w:iCs/>
        </w:rPr>
        <w:t xml:space="preserve">Figure </w:t>
      </w:r>
      <w:r w:rsidR="009318D5" w:rsidRPr="009318D5">
        <w:rPr>
          <w:i/>
          <w:iCs/>
          <w:noProof/>
        </w:rPr>
        <w:t>12</w:t>
      </w:r>
      <w:r w:rsidR="008E796B" w:rsidRPr="008E796B">
        <w:t>)</w:t>
      </w:r>
      <w:r w:rsidRPr="008E796B">
        <w:t>.</w:t>
      </w:r>
    </w:p>
    <w:p w14:paraId="0958ABE7" w14:textId="590301A1" w:rsidR="009E27E8" w:rsidRDefault="005551AD" w:rsidP="005551AD">
      <w:pPr>
        <w:pStyle w:val="Heading4"/>
      </w:pPr>
      <w:r>
        <w:t>Quality control</w:t>
      </w:r>
    </w:p>
    <w:p w14:paraId="511FC16F" w14:textId="2C4FF39E" w:rsidR="00362EE0" w:rsidRPr="00DF7A02" w:rsidRDefault="00362EE0" w:rsidP="005241B9">
      <w:pPr>
        <w:rPr>
          <w:rStyle w:val="SubtleEmphasis"/>
          <w:i w:val="0"/>
          <w:iCs w:val="0"/>
          <w:color w:val="auto"/>
        </w:rPr>
      </w:pPr>
      <w:r w:rsidRPr="00DF7A02">
        <w:rPr>
          <w:rStyle w:val="SubtleEmphasis"/>
          <w:i w:val="0"/>
          <w:iCs w:val="0"/>
          <w:color w:val="auto"/>
        </w:rPr>
        <w:t>Quality control steps were undertaken throughout the data extraction, modelling, and analysis stages to ensure that data insights were as accurate as possible. During the data in</w:t>
      </w:r>
      <w:r w:rsidR="00735EC1">
        <w:rPr>
          <w:rStyle w:val="SubtleEmphasis"/>
          <w:i w:val="0"/>
          <w:iCs w:val="0"/>
          <w:color w:val="auto"/>
        </w:rPr>
        <w:t>take</w:t>
      </w:r>
      <w:r w:rsidRPr="00DF7A02">
        <w:rPr>
          <w:rStyle w:val="SubtleEmphasis"/>
          <w:i w:val="0"/>
          <w:iCs w:val="0"/>
          <w:color w:val="auto"/>
        </w:rPr>
        <w:t xml:space="preserve"> and transformation stages</w:t>
      </w:r>
      <w:r w:rsidR="009F58E5">
        <w:rPr>
          <w:rStyle w:val="SubtleEmphasis"/>
          <w:i w:val="0"/>
          <w:iCs w:val="0"/>
          <w:color w:val="auto"/>
        </w:rPr>
        <w:t>,</w:t>
      </w:r>
      <w:r w:rsidRPr="00DF7A02">
        <w:rPr>
          <w:rStyle w:val="SubtleEmphasis"/>
          <w:i w:val="0"/>
          <w:iCs w:val="0"/>
          <w:color w:val="auto"/>
        </w:rPr>
        <w:t xml:space="preserve"> quality control involved the use of error handling to identify issues in the bulk extracted data set. It also involved continual assessment of column profiles to ensure that data was extracted to the correct location and determine if any differences in table structure across years could impact query processes.</w:t>
      </w:r>
    </w:p>
    <w:p w14:paraId="4A4CA0A8" w14:textId="01B16A6A" w:rsidR="00362EE0" w:rsidRPr="00DF7A02" w:rsidRDefault="00362EE0" w:rsidP="005241B9">
      <w:pPr>
        <w:rPr>
          <w:rStyle w:val="SubtleEmphasis"/>
          <w:i w:val="0"/>
          <w:iCs w:val="0"/>
          <w:color w:val="auto"/>
        </w:rPr>
      </w:pPr>
      <w:r w:rsidRPr="00DF7A02">
        <w:rPr>
          <w:rStyle w:val="SubtleEmphasis"/>
          <w:i w:val="0"/>
          <w:iCs w:val="0"/>
          <w:color w:val="auto"/>
        </w:rPr>
        <w:t xml:space="preserve">RoGS </w:t>
      </w:r>
      <w:r w:rsidR="00EC23A7">
        <w:rPr>
          <w:rStyle w:val="SubtleEmphasis"/>
          <w:i w:val="0"/>
          <w:iCs w:val="0"/>
          <w:color w:val="auto"/>
        </w:rPr>
        <w:t>data</w:t>
      </w:r>
      <w:r w:rsidRPr="00DF7A02">
        <w:rPr>
          <w:rStyle w:val="SubtleEmphasis"/>
          <w:i w:val="0"/>
          <w:iCs w:val="0"/>
          <w:color w:val="auto"/>
        </w:rPr>
        <w:t xml:space="preserve"> tables include more than 20,000 rows, so targeted methods were used to test how accurately indicator codes were assigned to data tables. This included the use of measures to group table names by leading string and chapter name, and detect abnormalities in groups, particularly outside of change intervals (known removal, merging and additions of indicators). These measures were use</w:t>
      </w:r>
      <w:r w:rsidR="001B3876">
        <w:rPr>
          <w:rStyle w:val="SubtleEmphasis"/>
          <w:i w:val="0"/>
          <w:iCs w:val="0"/>
          <w:color w:val="auto"/>
        </w:rPr>
        <w:t>d</w:t>
      </w:r>
      <w:r w:rsidRPr="00DF7A02">
        <w:rPr>
          <w:rStyle w:val="SubtleEmphasis"/>
          <w:i w:val="0"/>
          <w:iCs w:val="0"/>
          <w:color w:val="auto"/>
        </w:rPr>
        <w:t xml:space="preserve"> to categorise the likelihood of a true error. Highly likely instances of errors (approximately 70) were manually rechecked against the indicator framework and RoGS supporting information.</w:t>
      </w:r>
    </w:p>
    <w:p w14:paraId="78BC24FE" w14:textId="59C1E081" w:rsidR="00362EE0" w:rsidRPr="00DF7A02" w:rsidRDefault="00362EE0" w:rsidP="00DF7A02">
      <w:pPr>
        <w:rPr>
          <w:rStyle w:val="SubtleEmphasis"/>
          <w:i w:val="0"/>
          <w:iCs w:val="0"/>
          <w:color w:val="auto"/>
        </w:rPr>
      </w:pPr>
      <w:r w:rsidRPr="00DF7A02">
        <w:rPr>
          <w:rStyle w:val="SubtleEmphasis"/>
          <w:i w:val="0"/>
          <w:iCs w:val="0"/>
          <w:color w:val="auto"/>
        </w:rPr>
        <w:t>The flattened tables and visualisations, such as tables and Sankey charts, were used to highlight possible connections between indicators. Supporting information in the RoGS was used to validate identified</w:t>
      </w:r>
      <w:r w:rsidR="00AF5736">
        <w:rPr>
          <w:rStyle w:val="SubtleEmphasis"/>
          <w:i w:val="0"/>
          <w:iCs w:val="0"/>
          <w:color w:val="auto"/>
        </w:rPr>
        <w:t xml:space="preserve"> differences in coded indicators</w:t>
      </w:r>
      <w:r w:rsidRPr="00DF7A02">
        <w:rPr>
          <w:rStyle w:val="SubtleEmphasis"/>
          <w:i w:val="0"/>
          <w:iCs w:val="0"/>
          <w:color w:val="auto"/>
        </w:rPr>
        <w:t>, such as the merging and splitting of indicators between years. This supporting information included explicit explanations of indicator transformations in past RoGS reviews, explanations within RoGS documentation, and similarities in tables and measures included across indicators. Joining tables were used to create these relationships and calculate year transformations to RoGS indicator frameworks.</w:t>
      </w:r>
    </w:p>
    <w:p w14:paraId="64E42DEA" w14:textId="3FF3D375" w:rsidR="00362EE0" w:rsidRPr="00DF7A02" w:rsidRDefault="00362EE0" w:rsidP="00DF7A02">
      <w:pPr>
        <w:rPr>
          <w:rStyle w:val="SubtleEmphasis"/>
          <w:i w:val="0"/>
          <w:iCs w:val="0"/>
          <w:color w:val="auto"/>
        </w:rPr>
      </w:pPr>
      <w:r w:rsidRPr="00DF7A02">
        <w:rPr>
          <w:rStyle w:val="SubtleEmphasis"/>
          <w:i w:val="0"/>
          <w:iCs w:val="0"/>
          <w:color w:val="auto"/>
        </w:rPr>
        <w:t>A range of complex equations and DAX code was used as part of the detailed analysis. Randomised manual computation of the raw dataset was undertaken for all calculations to validate their accuracy. Where possible, results were cross</w:t>
      </w:r>
      <w:r w:rsidR="00B65D32">
        <w:rPr>
          <w:rStyle w:val="SubtleEmphasis"/>
          <w:i w:val="0"/>
          <w:iCs w:val="0"/>
          <w:color w:val="auto"/>
        </w:rPr>
        <w:t>-</w:t>
      </w:r>
      <w:r w:rsidRPr="00DF7A02">
        <w:rPr>
          <w:rStyle w:val="SubtleEmphasis"/>
          <w:i w:val="0"/>
          <w:iCs w:val="0"/>
          <w:color w:val="auto"/>
        </w:rPr>
        <w:t>checked against values provided in RoGS documentation.</w:t>
      </w:r>
    </w:p>
    <w:p w14:paraId="20C25DC6" w14:textId="77777777" w:rsidR="00362EE0" w:rsidRDefault="00362EE0" w:rsidP="00362EE0">
      <w:pPr>
        <w:pStyle w:val="Bullet"/>
        <w:numPr>
          <w:ilvl w:val="0"/>
          <w:numId w:val="0"/>
        </w:numPr>
        <w:rPr>
          <w:rStyle w:val="SubtleEmphasis"/>
          <w:i w:val="0"/>
          <w:iCs w:val="0"/>
        </w:rPr>
        <w:sectPr w:rsidR="00362EE0" w:rsidSect="00403743">
          <w:headerReference w:type="default" r:id="rId49"/>
          <w:footerReference w:type="default" r:id="rId50"/>
          <w:headerReference w:type="first" r:id="rId51"/>
          <w:footerReference w:type="first" r:id="rId52"/>
          <w:pgSz w:w="11906" w:h="16838"/>
          <w:pgMar w:top="1440" w:right="1440" w:bottom="1440" w:left="1440" w:header="708" w:footer="708" w:gutter="0"/>
          <w:pgNumType w:chapStyle="1"/>
          <w:cols w:space="708"/>
          <w:docGrid w:linePitch="360"/>
        </w:sectPr>
      </w:pPr>
    </w:p>
    <w:p w14:paraId="3D3D1788" w14:textId="244E1820" w:rsidR="00362EE0" w:rsidRPr="00A92C9F" w:rsidRDefault="00CE3F14" w:rsidP="00A04B87">
      <w:pPr>
        <w:pStyle w:val="ChartorTableNote"/>
        <w:rPr>
          <w:rStyle w:val="SubtleEmphasis"/>
          <w:i w:val="0"/>
          <w:iCs w:val="0"/>
          <w:color w:val="5F5F5F" w:themeColor="text2"/>
        </w:rPr>
      </w:pPr>
      <w:r>
        <w:rPr>
          <w:noProof/>
        </w:rPr>
        <w:drawing>
          <wp:inline distT="0" distB="0" distL="0" distR="0" wp14:anchorId="0E6346CC" wp14:editId="6A4B796D">
            <wp:extent cx="8863330" cy="2981325"/>
            <wp:effectExtent l="0" t="0" r="0" b="9525"/>
            <wp:docPr id="18" name="Picture 18" descr="Figure 19 is a table that summarises key changes to indicators between 2016 and 2018. It shows that overall, the number of indicators decreased by 18 per cent from 271 to 222. 63 indicators were removed, mostly in the public hospitals and fire and ambulance sections, which reduced by 11 and 9 respectively. 37 new indicators were added across all sections besides justice and early childhood and care. Mental health management gained 5 indicators. 47 indicators merged to reduce to 21 indicators. This occurred mostly in the homelessness services, early childhood education and care and primary health sections. 5 indicators were split to form 10 indicators, but this was limited to the school education, vocational education and fire and ambulance sections. There were also 16 outcome indicators reclassified as output indicators, and 37 indicators moved within the outpu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19 is a table that summarises key changes to indicators between 2016 and 2018. It shows that overall, the number of indicators decreased by 18 per cent from 271 to 222. 63 indicators were removed, mostly in the public hospitals and fire and ambulance sections, which reduced by 11 and 9 respectively. 37 new indicators were added across all sections besides justice and early childhood and care. Mental health management gained 5 indicators. 47 indicators merged to reduce to 21 indicators. This occurred mostly in the homelessness services, early childhood education and care and primary health sections. 5 indicators were split to form 10 indicators, but this was limited to the school education, vocational education and fire and ambulance sections. There were also 16 outcome indicators reclassified as output indicators, and 37 indicators moved within the output framework."/>
                    <pic:cNvPicPr/>
                  </pic:nvPicPr>
                  <pic:blipFill>
                    <a:blip r:embed="rId53"/>
                    <a:stretch>
                      <a:fillRect/>
                    </a:stretch>
                  </pic:blipFill>
                  <pic:spPr>
                    <a:xfrm>
                      <a:off x="0" y="0"/>
                      <a:ext cx="8863330" cy="2981325"/>
                    </a:xfrm>
                    <a:prstGeom prst="rect">
                      <a:avLst/>
                    </a:prstGeom>
                  </pic:spPr>
                </pic:pic>
              </a:graphicData>
            </a:graphic>
          </wp:inline>
        </w:drawing>
      </w:r>
      <w:bookmarkStart w:id="79" w:name="_Ref180659547"/>
      <w:r w:rsidR="00A92C9F">
        <w:t xml:space="preserve">Figure </w:t>
      </w:r>
      <w:r w:rsidR="004776DE">
        <w:fldChar w:fldCharType="begin"/>
      </w:r>
      <w:r w:rsidR="004776DE">
        <w:instrText xml:space="preserve"> SEQ Figure \* ARABIC </w:instrText>
      </w:r>
      <w:r w:rsidR="004776DE">
        <w:fldChar w:fldCharType="separate"/>
      </w:r>
      <w:r w:rsidR="000742FA">
        <w:rPr>
          <w:noProof/>
        </w:rPr>
        <w:t>19</w:t>
      </w:r>
      <w:r w:rsidR="004776DE">
        <w:rPr>
          <w:noProof/>
        </w:rPr>
        <w:fldChar w:fldCharType="end"/>
      </w:r>
      <w:bookmarkEnd w:id="79"/>
      <w:r w:rsidR="00A92C9F">
        <w:t xml:space="preserve">: Changes to indicators from 2016 to 2017, grouped by 2016 chapters </w:t>
      </w:r>
      <w:r w:rsidR="00CE1949">
        <w:t>–</w:t>
      </w:r>
      <w:r w:rsidR="00A92C9F">
        <w:t xml:space="preserve"> table</w:t>
      </w:r>
    </w:p>
    <w:p w14:paraId="6BBC8E86" w14:textId="418AE7EC" w:rsidR="00362EE0" w:rsidRDefault="003D77C8" w:rsidP="00A04B87">
      <w:pPr>
        <w:pStyle w:val="ChartorTableNote"/>
      </w:pPr>
      <w:r>
        <w:rPr>
          <w:noProof/>
        </w:rPr>
        <w:drawing>
          <wp:inline distT="0" distB="0" distL="0" distR="0" wp14:anchorId="66908FE2" wp14:editId="41AB227C">
            <wp:extent cx="8863330" cy="3415030"/>
            <wp:effectExtent l="0" t="0" r="0" b="0"/>
            <wp:docPr id="17" name="Picture 17" descr="Figure 20 has two table that summarise they key changes to indicators for each year from 2016 to 2018. The indicators highlighted in green show that 4 new indicators were added in 2017, and 35 new indicators were added for 2018. 46 indicators were removed for 2017 and 19 were removed for 2018. 13 indicators were merged for the 2017 RoGS and 34 were merged fo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20 has two table that summarise they key changes to indicators for each year from 2016 to 2018. The indicators highlighted in green show that 4 new indicators were added in 2017, and 35 new indicators were added for 2018. 46 indicators were removed for 2017 and 19 were removed for 2018. 13 indicators were merged for the 2017 RoGS and 34 were merged for 2018."/>
                    <pic:cNvPicPr/>
                  </pic:nvPicPr>
                  <pic:blipFill>
                    <a:blip r:embed="rId54"/>
                    <a:stretch>
                      <a:fillRect/>
                    </a:stretch>
                  </pic:blipFill>
                  <pic:spPr>
                    <a:xfrm>
                      <a:off x="0" y="0"/>
                      <a:ext cx="8863330" cy="3415030"/>
                    </a:xfrm>
                    <a:prstGeom prst="rect">
                      <a:avLst/>
                    </a:prstGeom>
                  </pic:spPr>
                </pic:pic>
              </a:graphicData>
            </a:graphic>
          </wp:inline>
        </w:drawing>
      </w:r>
      <w:bookmarkStart w:id="80" w:name="_Ref180660243"/>
      <w:r w:rsidR="0090008B">
        <w:t xml:space="preserve">Figure </w:t>
      </w:r>
      <w:r w:rsidR="004776DE">
        <w:fldChar w:fldCharType="begin"/>
      </w:r>
      <w:r w:rsidR="004776DE">
        <w:instrText xml:space="preserve"> SEQ Figure \* ARABIC </w:instrText>
      </w:r>
      <w:r w:rsidR="004776DE">
        <w:fldChar w:fldCharType="separate"/>
      </w:r>
      <w:r w:rsidR="000742FA">
        <w:rPr>
          <w:noProof/>
        </w:rPr>
        <w:t>20</w:t>
      </w:r>
      <w:r w:rsidR="004776DE">
        <w:rPr>
          <w:noProof/>
        </w:rPr>
        <w:fldChar w:fldCharType="end"/>
      </w:r>
      <w:bookmarkEnd w:id="80"/>
      <w:r w:rsidR="0090008B">
        <w:t xml:space="preserve">: Key changes to indicators for each year from 2016 to 2018 </w:t>
      </w:r>
      <w:r w:rsidR="00CE1949">
        <w:t>–</w:t>
      </w:r>
      <w:r w:rsidR="0090008B">
        <w:t xml:space="preserve"> table</w:t>
      </w:r>
    </w:p>
    <w:p w14:paraId="3BB4ADE1" w14:textId="4AC6287D" w:rsidR="00362EE0" w:rsidRDefault="00362EE0" w:rsidP="00362EE0">
      <w:pPr>
        <w:pStyle w:val="Caption"/>
        <w:rPr>
          <w:rStyle w:val="SubtleEmphasis"/>
          <w:i/>
          <w:iCs/>
        </w:rPr>
        <w:sectPr w:rsidR="00362EE0" w:rsidSect="00095A1D">
          <w:headerReference w:type="default" r:id="rId55"/>
          <w:footerReference w:type="default" r:id="rId56"/>
          <w:pgSz w:w="16838" w:h="11906" w:orient="landscape"/>
          <w:pgMar w:top="1440" w:right="1440" w:bottom="1440" w:left="1440" w:header="708" w:footer="708" w:gutter="0"/>
          <w:cols w:space="708"/>
          <w:docGrid w:linePitch="360"/>
        </w:sectPr>
      </w:pPr>
    </w:p>
    <w:p w14:paraId="201E2B2A" w14:textId="7C32D0A7" w:rsidR="007B38DE" w:rsidRDefault="007B38DE" w:rsidP="00731513">
      <w:pPr>
        <w:pStyle w:val="Heading1"/>
      </w:pPr>
      <w:bookmarkStart w:id="81" w:name="_Ref180577224"/>
      <w:bookmarkStart w:id="82" w:name="_Toc189559052"/>
      <w:r>
        <w:t xml:space="preserve">Appendix 3: </w:t>
      </w:r>
      <w:r w:rsidR="00731513">
        <w:t>Consultation process</w:t>
      </w:r>
      <w:bookmarkEnd w:id="81"/>
      <w:bookmarkEnd w:id="82"/>
    </w:p>
    <w:p w14:paraId="6979A476" w14:textId="03C46CC3" w:rsidR="004F3DD8" w:rsidRDefault="004F3DD8" w:rsidP="0056696C">
      <w:pPr>
        <w:rPr>
          <w:rFonts w:cs="Calibri Light"/>
        </w:rPr>
      </w:pPr>
      <w:r>
        <w:rPr>
          <w:rFonts w:cs="Calibri Light"/>
        </w:rPr>
        <w:t xml:space="preserve">The Review wishes to </w:t>
      </w:r>
      <w:r w:rsidRPr="001A07B3">
        <w:rPr>
          <w:rFonts w:cs="Calibri Light"/>
        </w:rPr>
        <w:t xml:space="preserve">express </w:t>
      </w:r>
      <w:r>
        <w:rPr>
          <w:rFonts w:cs="Calibri Light"/>
        </w:rPr>
        <w:t xml:space="preserve">its </w:t>
      </w:r>
      <w:r w:rsidRPr="001A07B3">
        <w:rPr>
          <w:rFonts w:cs="Calibri Light"/>
        </w:rPr>
        <w:t>appreciation to a</w:t>
      </w:r>
      <w:r>
        <w:rPr>
          <w:rFonts w:cs="Calibri Light"/>
        </w:rPr>
        <w:t xml:space="preserve">ll </w:t>
      </w:r>
      <w:r w:rsidRPr="001A07B3">
        <w:rPr>
          <w:rFonts w:cs="Calibri Light"/>
        </w:rPr>
        <w:t xml:space="preserve">stakeholders for taking the time to share insights and views on the </w:t>
      </w:r>
      <w:r>
        <w:rPr>
          <w:rFonts w:cs="Calibri Light"/>
        </w:rPr>
        <w:t>RoGS and the Dashboard</w:t>
      </w:r>
      <w:r w:rsidRPr="001A07B3">
        <w:rPr>
          <w:rFonts w:cs="Calibri Light"/>
        </w:rPr>
        <w:t>.</w:t>
      </w:r>
      <w:r w:rsidRPr="00A04D37">
        <w:t xml:space="preserve"> </w:t>
      </w:r>
      <w:r>
        <w:rPr>
          <w:rFonts w:cs="Calibri Light"/>
        </w:rPr>
        <w:t xml:space="preserve">The feedback </w:t>
      </w:r>
      <w:r w:rsidRPr="00A04D37">
        <w:rPr>
          <w:rFonts w:cs="Calibri Light"/>
        </w:rPr>
        <w:t xml:space="preserve">helped the Review to identify strengths of the </w:t>
      </w:r>
      <w:r w:rsidR="0093333F">
        <w:rPr>
          <w:rFonts w:cs="Calibri Light"/>
        </w:rPr>
        <w:t>reporting products</w:t>
      </w:r>
      <w:r w:rsidRPr="00A04D37">
        <w:rPr>
          <w:rFonts w:cs="Calibri Light"/>
        </w:rPr>
        <w:t xml:space="preserve"> and opportunities for improvement.</w:t>
      </w:r>
    </w:p>
    <w:p w14:paraId="648F4371" w14:textId="07825B12" w:rsidR="00375D72" w:rsidRPr="001A07B3" w:rsidRDefault="00375D72" w:rsidP="00375D72">
      <w:pPr>
        <w:pStyle w:val="Heading2"/>
        <w:spacing w:before="240"/>
      </w:pPr>
      <w:r>
        <w:t>Online survey</w:t>
      </w:r>
    </w:p>
    <w:p w14:paraId="37638FA3" w14:textId="3A060340" w:rsidR="00375D72" w:rsidRDefault="00375D72" w:rsidP="005241B9">
      <w:r w:rsidRPr="00FD7B04">
        <w:t xml:space="preserve">The Review </w:t>
      </w:r>
      <w:r>
        <w:t xml:space="preserve">conducted an online survey between 4 March </w:t>
      </w:r>
      <w:r w:rsidR="00426F28">
        <w:t xml:space="preserve">2024 </w:t>
      </w:r>
      <w:r>
        <w:t xml:space="preserve">and 5 April 2024 to </w:t>
      </w:r>
      <w:r w:rsidRPr="00FD7B04">
        <w:t xml:space="preserve">publicly test </w:t>
      </w:r>
      <w:r w:rsidR="009900FE">
        <w:br/>
      </w:r>
      <w:r w:rsidRPr="00FD7B04">
        <w:t>high</w:t>
      </w:r>
      <w:r w:rsidR="00B65D32">
        <w:t>-</w:t>
      </w:r>
      <w:r w:rsidRPr="00FD7B04">
        <w:t>level views on the RoGS and the Dashboard</w:t>
      </w:r>
      <w:r>
        <w:t>.</w:t>
      </w:r>
    </w:p>
    <w:p w14:paraId="4F2F69E6" w14:textId="53C3149A" w:rsidR="00375D72" w:rsidRDefault="00375D72" w:rsidP="005241B9">
      <w:r w:rsidRPr="00FD7B04">
        <w:t xml:space="preserve">The survey was not intended to produce statistically significant results, but rather </w:t>
      </w:r>
      <w:r>
        <w:t xml:space="preserve">was developed as a quick </w:t>
      </w:r>
      <w:r w:rsidRPr="00FD7B04">
        <w:t>way to gather some initial views and lines of inquiry for the Review</w:t>
      </w:r>
      <w:r>
        <w:t xml:space="preserve">. </w:t>
      </w:r>
      <w:r w:rsidRPr="00FD7B04">
        <w:t xml:space="preserve">A link to the online survey was sent to all jurisdictions’ central and </w:t>
      </w:r>
      <w:r w:rsidR="003F1C81">
        <w:t xml:space="preserve">relevant </w:t>
      </w:r>
      <w:r w:rsidRPr="00FD7B04">
        <w:t xml:space="preserve">line agencies, </w:t>
      </w:r>
      <w:r w:rsidR="003F1C81">
        <w:t>NGOs</w:t>
      </w:r>
      <w:r w:rsidRPr="00FD7B04">
        <w:t xml:space="preserve">, </w:t>
      </w:r>
      <w:r w:rsidR="003F1C81">
        <w:t>h</w:t>
      </w:r>
      <w:r w:rsidRPr="00FD7B04">
        <w:t>igher education and research organisations</w:t>
      </w:r>
      <w:r w:rsidR="003F1C81">
        <w:t>,</w:t>
      </w:r>
      <w:r w:rsidRPr="00FD7B04">
        <w:t xml:space="preserve"> and peak bodies. </w:t>
      </w:r>
      <w:r w:rsidRPr="0084280A">
        <w:t>The survey was also available to the public on the Review’s website and was promoted through social media channels.</w:t>
      </w:r>
      <w:r>
        <w:t xml:space="preserve"> </w:t>
      </w:r>
    </w:p>
    <w:p w14:paraId="671B370A" w14:textId="78A4A950" w:rsidR="00375D72" w:rsidRPr="00545167" w:rsidRDefault="00375D72" w:rsidP="005241B9">
      <w:r w:rsidRPr="0084280A">
        <w:t xml:space="preserve">The survey </w:t>
      </w:r>
      <w:r w:rsidR="008C1DAB">
        <w:t>had</w:t>
      </w:r>
      <w:r w:rsidR="008C1DAB" w:rsidRPr="0084280A">
        <w:t xml:space="preserve"> </w:t>
      </w:r>
      <w:r w:rsidRPr="0084280A">
        <w:t xml:space="preserve">89 valid responses across State and Territory government agencies, </w:t>
      </w:r>
      <w:r>
        <w:t>Commonwealth</w:t>
      </w:r>
      <w:r w:rsidRPr="0084280A">
        <w:t xml:space="preserve"> agencies, NGOs and research organisations. </w:t>
      </w:r>
      <w:r w:rsidRPr="00545167">
        <w:t>No responses were received from media organisations or members of the public.</w:t>
      </w:r>
    </w:p>
    <w:p w14:paraId="7D3521AC" w14:textId="25272156" w:rsidR="004F3DD8" w:rsidRDefault="00375D72" w:rsidP="00375D72">
      <w:pPr>
        <w:pStyle w:val="Heading2"/>
      </w:pPr>
      <w:r>
        <w:t>Roundtables</w:t>
      </w:r>
    </w:p>
    <w:p w14:paraId="4DCA7DA0" w14:textId="21065B21" w:rsidR="00375D72" w:rsidRDefault="00375D72" w:rsidP="00375D72">
      <w:pPr>
        <w:pStyle w:val="Heading3"/>
      </w:pPr>
      <w:r>
        <w:t>Government</w:t>
      </w:r>
      <w:r w:rsidR="00F2341E">
        <w:t>s</w:t>
      </w:r>
    </w:p>
    <w:p w14:paraId="55DEB94F" w14:textId="1FDF1518" w:rsidR="00375D72" w:rsidRDefault="004F3DD8" w:rsidP="0054014E">
      <w:pPr>
        <w:rPr>
          <w:rFonts w:cs="Calibri Light"/>
        </w:rPr>
      </w:pPr>
      <w:r w:rsidRPr="0098625C">
        <w:rPr>
          <w:rFonts w:cs="Calibri Light"/>
        </w:rPr>
        <w:t xml:space="preserve">The Review convened 7 virtual roundtable meetings with State and Territory government line agencies </w:t>
      </w:r>
      <w:r w:rsidR="00375D72">
        <w:rPr>
          <w:rFonts w:cs="Calibri Light"/>
        </w:rPr>
        <w:t>between</w:t>
      </w:r>
      <w:r w:rsidRPr="0098625C">
        <w:rPr>
          <w:rFonts w:cs="Calibri Light"/>
        </w:rPr>
        <w:t xml:space="preserve"> 10 April </w:t>
      </w:r>
      <w:r w:rsidR="00773270">
        <w:rPr>
          <w:rFonts w:cs="Calibri Light"/>
        </w:rPr>
        <w:t xml:space="preserve">2024 </w:t>
      </w:r>
      <w:r w:rsidR="00375D72">
        <w:rPr>
          <w:rFonts w:cs="Calibri Light"/>
        </w:rPr>
        <w:t>and</w:t>
      </w:r>
      <w:r w:rsidRPr="0098625C">
        <w:rPr>
          <w:rFonts w:cs="Calibri Light"/>
        </w:rPr>
        <w:t xml:space="preserve"> 1 May 2024</w:t>
      </w:r>
      <w:r w:rsidR="00972154">
        <w:rPr>
          <w:rFonts w:cs="Calibri Light"/>
        </w:rPr>
        <w:t>.</w:t>
      </w:r>
      <w:r w:rsidRPr="0098625C">
        <w:rPr>
          <w:rFonts w:cs="Calibri Light"/>
        </w:rPr>
        <w:t xml:space="preserve"> Each roundtable was dedicated to one or several service areas covered by the RoGS and the Dashboard. </w:t>
      </w:r>
    </w:p>
    <w:p w14:paraId="7A2CD1F0" w14:textId="79C780FB" w:rsidR="00375D72" w:rsidRDefault="004F3DD8" w:rsidP="0054014E">
      <w:pPr>
        <w:rPr>
          <w:rFonts w:cs="Calibri Light"/>
        </w:rPr>
      </w:pPr>
      <w:r w:rsidRPr="00B43407">
        <w:rPr>
          <w:rFonts w:cs="Calibri Light"/>
        </w:rPr>
        <w:t xml:space="preserve">Roundtables </w:t>
      </w:r>
      <w:r w:rsidR="0054014E">
        <w:rPr>
          <w:rFonts w:cs="Calibri Light"/>
        </w:rPr>
        <w:t>explored</w:t>
      </w:r>
      <w:r w:rsidR="002E56B7" w:rsidRPr="00B43407">
        <w:rPr>
          <w:rFonts w:cs="Calibri Light"/>
        </w:rPr>
        <w:t xml:space="preserve"> </w:t>
      </w:r>
      <w:r w:rsidRPr="00B43407">
        <w:rPr>
          <w:rFonts w:cs="Calibri Light"/>
        </w:rPr>
        <w:t>views on the use, accessibility and timeliness of the products and their contribution to government decision</w:t>
      </w:r>
      <w:r w:rsidR="001E4F17">
        <w:rPr>
          <w:rFonts w:cs="Calibri Light"/>
        </w:rPr>
        <w:t xml:space="preserve"> </w:t>
      </w:r>
      <w:r w:rsidRPr="00B43407">
        <w:rPr>
          <w:rFonts w:cs="Calibri Light"/>
        </w:rPr>
        <w:t>making related to national reform and service delivery improvements</w:t>
      </w:r>
      <w:r>
        <w:rPr>
          <w:rFonts w:cs="Calibri Light"/>
        </w:rPr>
        <w:t>.</w:t>
      </w:r>
      <w:r w:rsidR="00101F8D">
        <w:rPr>
          <w:rFonts w:cs="Calibri Light"/>
        </w:rPr>
        <w:t xml:space="preserve"> The Review engage</w:t>
      </w:r>
      <w:r w:rsidR="0054014E">
        <w:rPr>
          <w:rFonts w:cs="Calibri Light"/>
        </w:rPr>
        <w:t>d</w:t>
      </w:r>
      <w:r w:rsidR="00101F8D">
        <w:rPr>
          <w:rFonts w:cs="Calibri Light"/>
        </w:rPr>
        <w:t xml:space="preserve"> </w:t>
      </w:r>
      <w:r w:rsidR="00524211">
        <w:rPr>
          <w:rFonts w:cs="Calibri Light"/>
        </w:rPr>
        <w:t>with data providers and users</w:t>
      </w:r>
      <w:r w:rsidR="0054014E">
        <w:rPr>
          <w:rFonts w:cs="Calibri Light"/>
        </w:rPr>
        <w:t xml:space="preserve"> within governments</w:t>
      </w:r>
      <w:r w:rsidR="005F7C71">
        <w:rPr>
          <w:rFonts w:cs="Calibri Light"/>
        </w:rPr>
        <w:t>.</w:t>
      </w:r>
    </w:p>
    <w:p w14:paraId="7A59D178" w14:textId="77C47581" w:rsidR="004F3DD8" w:rsidRDefault="004F3DD8" w:rsidP="0054014E">
      <w:pPr>
        <w:rPr>
          <w:rFonts w:cs="Calibri Light"/>
        </w:rPr>
      </w:pPr>
      <w:r w:rsidRPr="0098625C">
        <w:rPr>
          <w:rFonts w:cs="Calibri Light"/>
        </w:rPr>
        <w:t xml:space="preserve">More than 200 </w:t>
      </w:r>
      <w:r w:rsidR="00767F09">
        <w:rPr>
          <w:rFonts w:cs="Calibri Light"/>
        </w:rPr>
        <w:t>government</w:t>
      </w:r>
      <w:r w:rsidRPr="0098625C">
        <w:rPr>
          <w:rFonts w:cs="Calibri Light"/>
        </w:rPr>
        <w:t xml:space="preserve"> agency representatives attended across all jurisdictions. </w:t>
      </w:r>
    </w:p>
    <w:p w14:paraId="62C5F0E3" w14:textId="40454934" w:rsidR="004F3DD8" w:rsidRDefault="004F3DD8" w:rsidP="004F3DD8">
      <w:pPr>
        <w:pStyle w:val="Heading3"/>
        <w:spacing w:after="120"/>
      </w:pPr>
      <w:r>
        <w:t>Non</w:t>
      </w:r>
      <w:r w:rsidR="00B65D32">
        <w:t>-</w:t>
      </w:r>
      <w:r>
        <w:t>government organisations</w:t>
      </w:r>
    </w:p>
    <w:p w14:paraId="2ABCE329" w14:textId="6A3C9E61" w:rsidR="00375D72" w:rsidRDefault="004F3DD8" w:rsidP="00164390">
      <w:pPr>
        <w:rPr>
          <w:rFonts w:cs="Calibri Light"/>
        </w:rPr>
      </w:pPr>
      <w:r w:rsidRPr="00C26F56">
        <w:rPr>
          <w:rFonts w:cs="Calibri Light"/>
        </w:rPr>
        <w:t>The Review convened 7 virtual roundtable meetings with</w:t>
      </w:r>
      <w:r w:rsidR="00375D72">
        <w:rPr>
          <w:rFonts w:cs="Calibri Light"/>
        </w:rPr>
        <w:t xml:space="preserve"> NGOs</w:t>
      </w:r>
      <w:r>
        <w:rPr>
          <w:rFonts w:cs="Calibri Light"/>
        </w:rPr>
        <w:t xml:space="preserve"> </w:t>
      </w:r>
      <w:r w:rsidRPr="00C26F56">
        <w:rPr>
          <w:rFonts w:cs="Calibri Light"/>
        </w:rPr>
        <w:t xml:space="preserve">between 22 May </w:t>
      </w:r>
      <w:r w:rsidR="00BA079D">
        <w:rPr>
          <w:rFonts w:cs="Calibri Light"/>
        </w:rPr>
        <w:t xml:space="preserve">2024 </w:t>
      </w:r>
      <w:r w:rsidRPr="00C26F56">
        <w:rPr>
          <w:rFonts w:cs="Calibri Light"/>
        </w:rPr>
        <w:t>and 5</w:t>
      </w:r>
      <w:r w:rsidR="00BA079D">
        <w:rPr>
          <w:rFonts w:cs="Calibri Light"/>
        </w:rPr>
        <w:t> </w:t>
      </w:r>
      <w:r w:rsidRPr="00C26F56">
        <w:rPr>
          <w:rFonts w:cs="Calibri Light"/>
        </w:rPr>
        <w:t>June</w:t>
      </w:r>
      <w:r w:rsidR="00BA079D">
        <w:rPr>
          <w:rFonts w:cs="Calibri Light"/>
        </w:rPr>
        <w:t> </w:t>
      </w:r>
      <w:r w:rsidRPr="00C26F56">
        <w:rPr>
          <w:rFonts w:cs="Calibri Light"/>
        </w:rPr>
        <w:t>2024</w:t>
      </w:r>
      <w:r>
        <w:rPr>
          <w:rFonts w:cs="Calibri Light"/>
        </w:rPr>
        <w:t xml:space="preserve">. These </w:t>
      </w:r>
      <w:r w:rsidRPr="00AC6AA1">
        <w:rPr>
          <w:rFonts w:cs="Calibri Light"/>
        </w:rPr>
        <w:t xml:space="preserve">brought together a range of participants from peak bodies, advocacy groups and academia related to the services areas covered by the RoGS and </w:t>
      </w:r>
      <w:r w:rsidR="002A1FC9">
        <w:rPr>
          <w:rFonts w:cs="Calibri Light"/>
        </w:rPr>
        <w:t xml:space="preserve">the </w:t>
      </w:r>
      <w:r w:rsidRPr="00AC6AA1">
        <w:rPr>
          <w:rFonts w:cs="Calibri Light"/>
        </w:rPr>
        <w:t>Dashboard.</w:t>
      </w:r>
      <w:r>
        <w:rPr>
          <w:rFonts w:cs="Calibri Light"/>
        </w:rPr>
        <w:t xml:space="preserve"> </w:t>
      </w:r>
    </w:p>
    <w:p w14:paraId="502A06E4" w14:textId="4B31C05E" w:rsidR="00375D72" w:rsidRDefault="00375D72" w:rsidP="00164390">
      <w:pPr>
        <w:rPr>
          <w:rFonts w:cs="Calibri Light"/>
        </w:rPr>
      </w:pPr>
      <w:r w:rsidRPr="00C26F56">
        <w:rPr>
          <w:rFonts w:cs="Calibri Light"/>
        </w:rPr>
        <w:t xml:space="preserve">The Review drew on the RoGS embargo draft distribution list, supplemented by desktop research and consultation with </w:t>
      </w:r>
      <w:r>
        <w:rPr>
          <w:rFonts w:cs="Calibri Light"/>
        </w:rPr>
        <w:t>government</w:t>
      </w:r>
      <w:r w:rsidRPr="00C26F56">
        <w:rPr>
          <w:rFonts w:cs="Calibri Light"/>
        </w:rPr>
        <w:t xml:space="preserve"> agencies, to develop a list of </w:t>
      </w:r>
      <w:r>
        <w:rPr>
          <w:rFonts w:cs="Calibri Light"/>
        </w:rPr>
        <w:t xml:space="preserve">NGOs </w:t>
      </w:r>
      <w:r w:rsidR="00F653B0">
        <w:rPr>
          <w:rFonts w:cs="Calibri Light"/>
        </w:rPr>
        <w:t>to approach</w:t>
      </w:r>
      <w:r w:rsidRPr="00C26F56">
        <w:rPr>
          <w:rFonts w:cs="Calibri Light"/>
        </w:rPr>
        <w:t>.</w:t>
      </w:r>
    </w:p>
    <w:p w14:paraId="4BA00093" w14:textId="00E444A4" w:rsidR="00375D72" w:rsidRDefault="004F3DD8" w:rsidP="00164390">
      <w:pPr>
        <w:rPr>
          <w:rFonts w:cs="Calibri Light"/>
        </w:rPr>
      </w:pPr>
      <w:r w:rsidRPr="00C26F56">
        <w:rPr>
          <w:rFonts w:cs="Calibri Light"/>
        </w:rPr>
        <w:t xml:space="preserve">Each roundtable was dedicated to one or several service areas covered by the RoGS and the Dashboard and sought to understand how NGOs use these products and other information on the delivery of government services to support their work. </w:t>
      </w:r>
    </w:p>
    <w:p w14:paraId="1F85C97D" w14:textId="561B474D" w:rsidR="001343D7" w:rsidRDefault="004F3DD8" w:rsidP="00165D39">
      <w:r w:rsidRPr="00C26F56">
        <w:rPr>
          <w:rFonts w:cs="Calibri Light"/>
        </w:rPr>
        <w:t xml:space="preserve">More than </w:t>
      </w:r>
      <w:r w:rsidR="00583E58">
        <w:rPr>
          <w:rFonts w:cs="Calibri Light"/>
        </w:rPr>
        <w:t>30</w:t>
      </w:r>
      <w:r w:rsidRPr="00C26F56">
        <w:rPr>
          <w:rFonts w:cs="Calibri Light"/>
        </w:rPr>
        <w:t xml:space="preserve"> organisations attended the roundtables across the different service areas</w:t>
      </w:r>
      <w:r w:rsidR="00D3466C">
        <w:rPr>
          <w:rFonts w:cs="Calibri Light"/>
        </w:rPr>
        <w:t xml:space="preserve"> </w:t>
      </w:r>
      <w:r w:rsidR="00CA0D60">
        <w:rPr>
          <w:rFonts w:cs="Calibri Light"/>
        </w:rPr>
        <w:t>(</w:t>
      </w:r>
      <w:r w:rsidR="00EE5981">
        <w:t xml:space="preserve">Table </w:t>
      </w:r>
      <w:r w:rsidR="00EE5981">
        <w:rPr>
          <w:noProof/>
        </w:rPr>
        <w:t>2</w:t>
      </w:r>
      <w:r w:rsidR="00CA0D60" w:rsidRPr="0054014E">
        <w:rPr>
          <w:rFonts w:cs="Calibri Light"/>
        </w:rPr>
        <w:t>)</w:t>
      </w:r>
      <w:r w:rsidRPr="00CA0D60">
        <w:rPr>
          <w:rFonts w:cs="Calibri Light"/>
        </w:rPr>
        <w:t>.</w:t>
      </w:r>
      <w:r w:rsidR="00375D72" w:rsidRPr="00375D72">
        <w:t xml:space="preserve"> </w:t>
      </w:r>
    </w:p>
    <w:tbl>
      <w:tblPr>
        <w:tblW w:w="5000" w:type="pct"/>
        <w:tblLook w:val="01E0" w:firstRow="1" w:lastRow="1" w:firstColumn="1" w:lastColumn="1" w:noHBand="0" w:noVBand="0"/>
      </w:tblPr>
      <w:tblGrid>
        <w:gridCol w:w="3022"/>
        <w:gridCol w:w="3025"/>
        <w:gridCol w:w="3025"/>
      </w:tblGrid>
      <w:tr w:rsidR="00A51C79" w14:paraId="0F1BECA5" w14:textId="77777777" w:rsidTr="00A51C79">
        <w:trPr>
          <w:trHeight w:val="270"/>
          <w:tblHeader/>
        </w:trPr>
        <w:tc>
          <w:tcPr>
            <w:tcW w:w="5000" w:type="pct"/>
            <w:gridSpan w:val="3"/>
            <w:shd w:val="clear" w:color="auto" w:fill="E5E5E5"/>
          </w:tcPr>
          <w:p w14:paraId="0BC7E800" w14:textId="237FFC15" w:rsidR="00A51C79" w:rsidRDefault="00A51C79" w:rsidP="00A51C79">
            <w:pPr>
              <w:pStyle w:val="TableMainHeading"/>
            </w:pPr>
            <w:bookmarkStart w:id="83" w:name="_Ref189572109"/>
            <w:bookmarkStart w:id="84" w:name="_Ref189572053"/>
            <w:r>
              <w:t xml:space="preserve">Table </w:t>
            </w:r>
            <w:r>
              <w:fldChar w:fldCharType="begin"/>
            </w:r>
            <w:r>
              <w:instrText xml:space="preserve"> SEQ Table \* ARABIC </w:instrText>
            </w:r>
            <w:r>
              <w:fldChar w:fldCharType="separate"/>
            </w:r>
            <w:r w:rsidR="00D276C7">
              <w:rPr>
                <w:noProof/>
              </w:rPr>
              <w:t>2</w:t>
            </w:r>
            <w:r>
              <w:rPr>
                <w:noProof/>
              </w:rPr>
              <w:fldChar w:fldCharType="end"/>
            </w:r>
            <w:bookmarkEnd w:id="83"/>
            <w:r>
              <w:t>: Non-government organisation roundtable participants</w:t>
            </w:r>
            <w:bookmarkEnd w:id="84"/>
          </w:p>
        </w:tc>
      </w:tr>
      <w:tr w:rsidR="00A51C79" w14:paraId="3434203D" w14:textId="77777777">
        <w:trPr>
          <w:trHeight w:val="270"/>
        </w:trPr>
        <w:tc>
          <w:tcPr>
            <w:tcW w:w="1666" w:type="pct"/>
            <w:vAlign w:val="center"/>
          </w:tcPr>
          <w:p w14:paraId="3D522299" w14:textId="7333F812" w:rsidR="00A51C79" w:rsidRDefault="00A51C79" w:rsidP="00A51C79">
            <w:pPr>
              <w:pStyle w:val="TableTextLeft"/>
            </w:pPr>
            <w:r w:rsidRPr="00B3155C">
              <w:t>ACT Shelter</w:t>
            </w:r>
          </w:p>
        </w:tc>
        <w:tc>
          <w:tcPr>
            <w:tcW w:w="1667" w:type="pct"/>
            <w:vAlign w:val="center"/>
          </w:tcPr>
          <w:p w14:paraId="13062B51" w14:textId="0AD40EEE" w:rsidR="00A51C79" w:rsidRDefault="00B3155C" w:rsidP="00A51C79">
            <w:pPr>
              <w:pStyle w:val="TableTextLeft"/>
            </w:pPr>
            <w:r w:rsidRPr="00B3155C">
              <w:t>Community Housing Industry Association</w:t>
            </w:r>
          </w:p>
        </w:tc>
        <w:tc>
          <w:tcPr>
            <w:tcW w:w="1667" w:type="pct"/>
            <w:vAlign w:val="center"/>
          </w:tcPr>
          <w:p w14:paraId="6EB86CD5" w14:textId="0537843F" w:rsidR="00A51C79" w:rsidRDefault="00B3155C" w:rsidP="00A51C79">
            <w:pPr>
              <w:pStyle w:val="TableTextLeft"/>
            </w:pPr>
            <w:r w:rsidRPr="00B3155C">
              <w:t>Queensland Indigenous Family Violence Legal Service</w:t>
            </w:r>
          </w:p>
        </w:tc>
      </w:tr>
      <w:tr w:rsidR="00A51C79" w14:paraId="604D9A2A" w14:textId="77777777">
        <w:trPr>
          <w:trHeight w:val="270"/>
        </w:trPr>
        <w:tc>
          <w:tcPr>
            <w:tcW w:w="1666" w:type="pct"/>
            <w:vAlign w:val="center"/>
          </w:tcPr>
          <w:p w14:paraId="7E442578" w14:textId="2BC0D29C" w:rsidR="00A51C79" w:rsidRDefault="00A51C79" w:rsidP="00A51C79">
            <w:pPr>
              <w:pStyle w:val="TableTextLeft"/>
            </w:pPr>
            <w:r w:rsidRPr="00B3155C">
              <w:t>AFAC National Council for Fire and Emergency Services</w:t>
            </w:r>
          </w:p>
        </w:tc>
        <w:tc>
          <w:tcPr>
            <w:tcW w:w="1667" w:type="pct"/>
            <w:vAlign w:val="center"/>
          </w:tcPr>
          <w:p w14:paraId="175E6934" w14:textId="044D7E6E" w:rsidR="00A51C79" w:rsidRDefault="00B3155C" w:rsidP="00A51C79">
            <w:pPr>
              <w:pStyle w:val="TableTextLeft"/>
            </w:pPr>
            <w:r w:rsidRPr="00B3155C">
              <w:t>Monash University Department of Social Work</w:t>
            </w:r>
          </w:p>
        </w:tc>
        <w:tc>
          <w:tcPr>
            <w:tcW w:w="1667" w:type="pct"/>
            <w:vAlign w:val="center"/>
          </w:tcPr>
          <w:p w14:paraId="1BF6A611" w14:textId="3DD91C8F" w:rsidR="00A51C79" w:rsidRDefault="00B3155C" w:rsidP="00A51C79">
            <w:pPr>
              <w:pStyle w:val="TableTextLeft"/>
            </w:pPr>
            <w:r w:rsidRPr="00B3155C">
              <w:t>Royal Australian College of General Practitioners</w:t>
            </w:r>
          </w:p>
        </w:tc>
      </w:tr>
      <w:tr w:rsidR="00A51C79" w14:paraId="584E6D2F" w14:textId="77777777">
        <w:trPr>
          <w:trHeight w:val="270"/>
        </w:trPr>
        <w:tc>
          <w:tcPr>
            <w:tcW w:w="1666" w:type="pct"/>
            <w:vAlign w:val="center"/>
          </w:tcPr>
          <w:p w14:paraId="5C8D23C3" w14:textId="1F5C7F1E" w:rsidR="00A51C79" w:rsidRDefault="00A51C79" w:rsidP="00A51C79">
            <w:pPr>
              <w:pStyle w:val="TableTextLeft"/>
            </w:pPr>
            <w:r w:rsidRPr="00B3155C">
              <w:t>Aged and Community Care Providers Association</w:t>
            </w:r>
          </w:p>
        </w:tc>
        <w:tc>
          <w:tcPr>
            <w:tcW w:w="1667" w:type="pct"/>
            <w:vAlign w:val="center"/>
          </w:tcPr>
          <w:p w14:paraId="2DA1D5BF" w14:textId="2BF7FDC1" w:rsidR="00A51C79" w:rsidRDefault="00B3155C" w:rsidP="00A51C79">
            <w:pPr>
              <w:pStyle w:val="TableTextLeft"/>
            </w:pPr>
            <w:r w:rsidRPr="00B3155C">
              <w:t>Grattan Institute</w:t>
            </w:r>
          </w:p>
        </w:tc>
        <w:tc>
          <w:tcPr>
            <w:tcW w:w="1667" w:type="pct"/>
            <w:vAlign w:val="center"/>
          </w:tcPr>
          <w:p w14:paraId="3491CC11" w14:textId="4D297237" w:rsidR="00A51C79" w:rsidRDefault="00B3155C" w:rsidP="00A51C79">
            <w:pPr>
              <w:pStyle w:val="TableTextLeft"/>
            </w:pPr>
            <w:r w:rsidRPr="00B3155C">
              <w:t>Secretariat of National Aboriginal and Islander Child Care</w:t>
            </w:r>
          </w:p>
        </w:tc>
      </w:tr>
      <w:tr w:rsidR="00A51C79" w14:paraId="11A427A7" w14:textId="77777777">
        <w:trPr>
          <w:trHeight w:val="270"/>
        </w:trPr>
        <w:tc>
          <w:tcPr>
            <w:tcW w:w="1666" w:type="pct"/>
            <w:vAlign w:val="center"/>
          </w:tcPr>
          <w:p w14:paraId="61D2613F" w14:textId="3A857093" w:rsidR="00A51C79" w:rsidRDefault="00A51C79" w:rsidP="00A51C79">
            <w:pPr>
              <w:pStyle w:val="TableTextLeft"/>
            </w:pPr>
            <w:r w:rsidRPr="00B3155C">
              <w:t>Anglicare Victoria</w:t>
            </w:r>
          </w:p>
        </w:tc>
        <w:tc>
          <w:tcPr>
            <w:tcW w:w="1667" w:type="pct"/>
            <w:vAlign w:val="center"/>
          </w:tcPr>
          <w:p w14:paraId="5EE9AB8A" w14:textId="63CEAD01" w:rsidR="00A51C79" w:rsidRDefault="00B3155C" w:rsidP="00A51C79">
            <w:pPr>
              <w:pStyle w:val="TableTextLeft"/>
            </w:pPr>
            <w:r w:rsidRPr="00B3155C">
              <w:t>Justice Reinvest</w:t>
            </w:r>
          </w:p>
        </w:tc>
        <w:tc>
          <w:tcPr>
            <w:tcW w:w="1667" w:type="pct"/>
            <w:vAlign w:val="center"/>
          </w:tcPr>
          <w:p w14:paraId="4566BE6D" w14:textId="4A0F80C5" w:rsidR="00A51C79" w:rsidRDefault="00B3155C" w:rsidP="00A51C79">
            <w:pPr>
              <w:pStyle w:val="TableTextLeft"/>
            </w:pPr>
            <w:r w:rsidRPr="00B3155C">
              <w:t>Shelter Tasmania</w:t>
            </w:r>
          </w:p>
        </w:tc>
      </w:tr>
      <w:tr w:rsidR="00A51C79" w14:paraId="059A914B" w14:textId="77777777">
        <w:trPr>
          <w:trHeight w:val="270"/>
        </w:trPr>
        <w:tc>
          <w:tcPr>
            <w:tcW w:w="1666" w:type="pct"/>
            <w:vAlign w:val="center"/>
          </w:tcPr>
          <w:p w14:paraId="39CBD13B" w14:textId="2C3C869A" w:rsidR="00A51C79" w:rsidRDefault="00A51C79" w:rsidP="00A51C79">
            <w:pPr>
              <w:pStyle w:val="TableTextLeft"/>
            </w:pPr>
            <w:r w:rsidRPr="00B3155C">
              <w:t>Aurora Education Foundation</w:t>
            </w:r>
          </w:p>
        </w:tc>
        <w:tc>
          <w:tcPr>
            <w:tcW w:w="1667" w:type="pct"/>
            <w:vAlign w:val="center"/>
          </w:tcPr>
          <w:p w14:paraId="5B269EA5" w14:textId="0ACFDBAE" w:rsidR="00A51C79" w:rsidRDefault="00B3155C" w:rsidP="00A51C79">
            <w:pPr>
              <w:pStyle w:val="TableTextLeft"/>
            </w:pPr>
            <w:r w:rsidRPr="00B3155C">
              <w:t>Mental Health Australia</w:t>
            </w:r>
          </w:p>
        </w:tc>
        <w:tc>
          <w:tcPr>
            <w:tcW w:w="1667" w:type="pct"/>
            <w:vAlign w:val="center"/>
          </w:tcPr>
          <w:p w14:paraId="73A11474" w14:textId="4FCBE8C5" w:rsidR="00A51C79" w:rsidRDefault="00B3155C" w:rsidP="00A51C79">
            <w:pPr>
              <w:pStyle w:val="TableTextLeft"/>
            </w:pPr>
            <w:r w:rsidRPr="00B3155C">
              <w:t>South Australian Aboriginal Community Controlled Organisation Network</w:t>
            </w:r>
          </w:p>
        </w:tc>
      </w:tr>
      <w:tr w:rsidR="00A51C79" w14:paraId="0BD0C2AA" w14:textId="77777777">
        <w:trPr>
          <w:trHeight w:val="270"/>
        </w:trPr>
        <w:tc>
          <w:tcPr>
            <w:tcW w:w="1666" w:type="pct"/>
            <w:vAlign w:val="center"/>
          </w:tcPr>
          <w:p w14:paraId="0DD1CA12" w14:textId="29049B90" w:rsidR="00A51C79" w:rsidRDefault="00A51C79" w:rsidP="00A51C79">
            <w:pPr>
              <w:pStyle w:val="TableTextLeft"/>
            </w:pPr>
            <w:r w:rsidRPr="00B3155C">
              <w:t>Australian Association for Research in Education</w:t>
            </w:r>
          </w:p>
        </w:tc>
        <w:tc>
          <w:tcPr>
            <w:tcW w:w="1667" w:type="pct"/>
            <w:vAlign w:val="center"/>
          </w:tcPr>
          <w:p w14:paraId="4441D547" w14:textId="632B4D4B" w:rsidR="00A51C79" w:rsidRDefault="00B3155C" w:rsidP="00A51C79">
            <w:pPr>
              <w:pStyle w:val="TableTextLeft"/>
            </w:pPr>
            <w:r w:rsidRPr="00B3155C">
              <w:t>Mission Australia</w:t>
            </w:r>
          </w:p>
        </w:tc>
        <w:tc>
          <w:tcPr>
            <w:tcW w:w="1667" w:type="pct"/>
            <w:vAlign w:val="center"/>
          </w:tcPr>
          <w:p w14:paraId="2C9FDC3C" w14:textId="5CADBA49" w:rsidR="00A51C79" w:rsidRDefault="00B3155C" w:rsidP="00A51C79">
            <w:pPr>
              <w:pStyle w:val="TableTextLeft"/>
            </w:pPr>
            <w:r w:rsidRPr="00B3155C">
              <w:t>Surf Life Saving Australia</w:t>
            </w:r>
          </w:p>
        </w:tc>
      </w:tr>
      <w:tr w:rsidR="00A51C79" w14:paraId="08089687" w14:textId="77777777">
        <w:trPr>
          <w:trHeight w:val="270"/>
        </w:trPr>
        <w:tc>
          <w:tcPr>
            <w:tcW w:w="1666" w:type="pct"/>
            <w:vAlign w:val="center"/>
          </w:tcPr>
          <w:p w14:paraId="04EC4A41" w14:textId="30D0A015" w:rsidR="00A51C79" w:rsidRDefault="00A51C79" w:rsidP="00A51C79">
            <w:pPr>
              <w:pStyle w:val="TableTextLeft"/>
            </w:pPr>
            <w:r w:rsidRPr="00B3155C">
              <w:t>Australian Healthcare and Hospitals Association</w:t>
            </w:r>
          </w:p>
        </w:tc>
        <w:tc>
          <w:tcPr>
            <w:tcW w:w="1667" w:type="pct"/>
            <w:vAlign w:val="center"/>
          </w:tcPr>
          <w:p w14:paraId="77E95795" w14:textId="0F412119" w:rsidR="00A51C79" w:rsidRDefault="00B3155C" w:rsidP="00A51C79">
            <w:pPr>
              <w:pStyle w:val="TableTextLeft"/>
            </w:pPr>
            <w:r w:rsidRPr="00B3155C">
              <w:t>National Aboriginal and Torres Strait Island Legal Services</w:t>
            </w:r>
          </w:p>
        </w:tc>
        <w:tc>
          <w:tcPr>
            <w:tcW w:w="1667" w:type="pct"/>
            <w:vAlign w:val="center"/>
          </w:tcPr>
          <w:p w14:paraId="4DD1E344" w14:textId="0FD071DE" w:rsidR="00A51C79" w:rsidRDefault="00B3155C" w:rsidP="00A51C79">
            <w:pPr>
              <w:pStyle w:val="TableTextLeft"/>
            </w:pPr>
            <w:r w:rsidRPr="00B3155C">
              <w:t>Torrens Resilience Initiative</w:t>
            </w:r>
          </w:p>
        </w:tc>
      </w:tr>
      <w:tr w:rsidR="00A51C79" w14:paraId="59D071D0" w14:textId="77777777">
        <w:trPr>
          <w:trHeight w:val="270"/>
        </w:trPr>
        <w:tc>
          <w:tcPr>
            <w:tcW w:w="1666" w:type="pct"/>
            <w:vAlign w:val="center"/>
          </w:tcPr>
          <w:p w14:paraId="7E6EC44D" w14:textId="4E9A0505" w:rsidR="00A51C79" w:rsidRDefault="00A51C79" w:rsidP="00A51C79">
            <w:pPr>
              <w:pStyle w:val="TableTextLeft"/>
            </w:pPr>
            <w:r w:rsidRPr="00B3155C">
              <w:t>Australian Housing and Urban Research Institute</w:t>
            </w:r>
          </w:p>
        </w:tc>
        <w:tc>
          <w:tcPr>
            <w:tcW w:w="1667" w:type="pct"/>
            <w:vAlign w:val="center"/>
          </w:tcPr>
          <w:p w14:paraId="7A6DB568" w14:textId="509F704E" w:rsidR="00A51C79" w:rsidRDefault="00B3155C" w:rsidP="00A51C79">
            <w:pPr>
              <w:pStyle w:val="TableTextLeft"/>
            </w:pPr>
            <w:r w:rsidRPr="00B3155C">
              <w:t>National Rural Health Alliance</w:t>
            </w:r>
          </w:p>
        </w:tc>
        <w:tc>
          <w:tcPr>
            <w:tcW w:w="1667" w:type="pct"/>
            <w:vAlign w:val="center"/>
          </w:tcPr>
          <w:p w14:paraId="5DD5454D" w14:textId="4AAD01FA" w:rsidR="00A51C79" w:rsidRDefault="00B3155C" w:rsidP="00A51C79">
            <w:pPr>
              <w:pStyle w:val="TableTextLeft"/>
            </w:pPr>
            <w:r w:rsidRPr="00B3155C">
              <w:t>Uniting Care Australia</w:t>
            </w:r>
          </w:p>
        </w:tc>
      </w:tr>
      <w:tr w:rsidR="00A51C79" w14:paraId="6D3F67F1" w14:textId="77777777">
        <w:trPr>
          <w:trHeight w:val="270"/>
        </w:trPr>
        <w:tc>
          <w:tcPr>
            <w:tcW w:w="1666" w:type="pct"/>
            <w:vAlign w:val="center"/>
          </w:tcPr>
          <w:p w14:paraId="493AE642" w14:textId="05BF5DEC" w:rsidR="00A51C79" w:rsidRDefault="00A51C79" w:rsidP="00A51C79">
            <w:pPr>
              <w:pStyle w:val="TableTextLeft"/>
            </w:pPr>
            <w:r w:rsidRPr="00B3155C">
              <w:t>Australian Primary Health Care Nurses Association</w:t>
            </w:r>
          </w:p>
        </w:tc>
        <w:tc>
          <w:tcPr>
            <w:tcW w:w="1667" w:type="pct"/>
            <w:vAlign w:val="center"/>
          </w:tcPr>
          <w:p w14:paraId="73A04F42" w14:textId="0FA45155" w:rsidR="00A51C79" w:rsidRDefault="00B3155C" w:rsidP="00A51C79">
            <w:pPr>
              <w:pStyle w:val="TableTextLeft"/>
            </w:pPr>
            <w:r w:rsidRPr="00B3155C">
              <w:t>National Shelter</w:t>
            </w:r>
          </w:p>
        </w:tc>
        <w:tc>
          <w:tcPr>
            <w:tcW w:w="1667" w:type="pct"/>
            <w:vAlign w:val="center"/>
          </w:tcPr>
          <w:p w14:paraId="680D9CA6" w14:textId="6A31B3BA" w:rsidR="00A51C79" w:rsidRDefault="00B3155C" w:rsidP="00A51C79">
            <w:pPr>
              <w:pStyle w:val="TableTextLeft"/>
            </w:pPr>
            <w:r w:rsidRPr="00B3155C">
              <w:t>UNSW City Futures Research Centre</w:t>
            </w:r>
          </w:p>
        </w:tc>
      </w:tr>
      <w:tr w:rsidR="00A51C79" w14:paraId="0BC4AC83" w14:textId="77777777">
        <w:trPr>
          <w:trHeight w:val="270"/>
        </w:trPr>
        <w:tc>
          <w:tcPr>
            <w:tcW w:w="1666" w:type="pct"/>
            <w:vAlign w:val="center"/>
          </w:tcPr>
          <w:p w14:paraId="3CE976CB" w14:textId="1982D6B1" w:rsidR="00A51C79" w:rsidRDefault="00A51C79" w:rsidP="00A51C79">
            <w:pPr>
              <w:pStyle w:val="TableTextLeft"/>
            </w:pPr>
            <w:r w:rsidRPr="00B3155C">
              <w:t>Catholic Health Australia</w:t>
            </w:r>
          </w:p>
        </w:tc>
        <w:tc>
          <w:tcPr>
            <w:tcW w:w="1667" w:type="pct"/>
            <w:vAlign w:val="center"/>
          </w:tcPr>
          <w:p w14:paraId="637F271B" w14:textId="2DD0DA0F" w:rsidR="00A51C79" w:rsidRDefault="00B3155C" w:rsidP="00A51C79">
            <w:pPr>
              <w:pStyle w:val="TableTextLeft"/>
            </w:pPr>
            <w:r w:rsidRPr="00B3155C">
              <w:t>NSW Aboriginal Legal Service</w:t>
            </w:r>
          </w:p>
        </w:tc>
        <w:tc>
          <w:tcPr>
            <w:tcW w:w="1667" w:type="pct"/>
            <w:vAlign w:val="center"/>
          </w:tcPr>
          <w:p w14:paraId="200C1D17" w14:textId="0FC8D398" w:rsidR="00A51C79" w:rsidRDefault="00B3155C" w:rsidP="00A51C79">
            <w:pPr>
              <w:pStyle w:val="TableTextLeft"/>
            </w:pPr>
            <w:r w:rsidRPr="00B3155C">
              <w:t>Victorian Aboriginal Child Care Agency</w:t>
            </w:r>
          </w:p>
        </w:tc>
      </w:tr>
      <w:tr w:rsidR="00A51C79" w14:paraId="4C7BB9CA" w14:textId="77777777">
        <w:trPr>
          <w:trHeight w:val="270"/>
        </w:trPr>
        <w:tc>
          <w:tcPr>
            <w:tcW w:w="1666" w:type="pct"/>
            <w:vAlign w:val="center"/>
          </w:tcPr>
          <w:p w14:paraId="41DB81E6" w14:textId="4B73015E" w:rsidR="00A51C79" w:rsidRDefault="00A51C79" w:rsidP="00A51C79">
            <w:pPr>
              <w:pStyle w:val="TableTextLeft"/>
            </w:pPr>
            <w:r w:rsidRPr="00B3155C">
              <w:t>Child Australia</w:t>
            </w:r>
          </w:p>
        </w:tc>
        <w:tc>
          <w:tcPr>
            <w:tcW w:w="1667" w:type="pct"/>
            <w:vAlign w:val="center"/>
          </w:tcPr>
          <w:p w14:paraId="1D13196B" w14:textId="404A436C" w:rsidR="00A51C79" w:rsidRDefault="00B3155C" w:rsidP="00A51C79">
            <w:pPr>
              <w:pStyle w:val="TableTextLeft"/>
            </w:pPr>
            <w:r w:rsidRPr="00B3155C">
              <w:t>Queensland Aboriginal and Torres Strait Islander Child Protection Peak</w:t>
            </w:r>
          </w:p>
        </w:tc>
        <w:tc>
          <w:tcPr>
            <w:tcW w:w="1667" w:type="pct"/>
            <w:vAlign w:val="center"/>
          </w:tcPr>
          <w:p w14:paraId="00C2CE94" w14:textId="19C0F985" w:rsidR="00A51C79" w:rsidRDefault="00B3155C" w:rsidP="00A51C79">
            <w:pPr>
              <w:pStyle w:val="TableTextLeft"/>
            </w:pPr>
            <w:r w:rsidRPr="00B3155C">
              <w:t>Warnumamalya Heath Services Aboriginal Corporation</w:t>
            </w:r>
          </w:p>
        </w:tc>
      </w:tr>
    </w:tbl>
    <w:p w14:paraId="04A87D76" w14:textId="0ADD61A6" w:rsidR="00E23931" w:rsidRDefault="00433A79" w:rsidP="00E23931">
      <w:pPr>
        <w:pStyle w:val="Heading2"/>
      </w:pPr>
      <w:r>
        <w:t>Other engagement</w:t>
      </w:r>
    </w:p>
    <w:p w14:paraId="55C16862" w14:textId="6EBBDD97" w:rsidR="00670425" w:rsidRDefault="00E23931" w:rsidP="00E23931">
      <w:r>
        <w:t xml:space="preserve">More than </w:t>
      </w:r>
      <w:r w:rsidR="00EF60F1">
        <w:t>6</w:t>
      </w:r>
      <w:r w:rsidR="009C38A9">
        <w:t>0</w:t>
      </w:r>
      <w:r>
        <w:t xml:space="preserve"> bilateral meetings were conducted over the course of the Review. These meetings were held with</w:t>
      </w:r>
      <w:r w:rsidR="00C61705">
        <w:t xml:space="preserve"> representatives of</w:t>
      </w:r>
      <w:r w:rsidR="00670425">
        <w:t>:</w:t>
      </w:r>
    </w:p>
    <w:p w14:paraId="5AAE4E7E" w14:textId="54F73CD5" w:rsidR="00C61705" w:rsidRDefault="004F75D9" w:rsidP="00A7164A">
      <w:pPr>
        <w:pStyle w:val="Bullet"/>
        <w:spacing w:line="240" w:lineRule="auto"/>
        <w:ind w:left="357" w:hanging="357"/>
      </w:pPr>
      <w:r>
        <w:t xml:space="preserve">State and Territory </w:t>
      </w:r>
      <w:r w:rsidR="007B6804">
        <w:t>T</w:t>
      </w:r>
      <w:r>
        <w:t xml:space="preserve">reasuries and </w:t>
      </w:r>
      <w:r w:rsidR="007B6804">
        <w:t>P</w:t>
      </w:r>
      <w:r>
        <w:t>remier’s/</w:t>
      </w:r>
      <w:r w:rsidR="007B6804">
        <w:t>C</w:t>
      </w:r>
      <w:r>
        <w:t xml:space="preserve">hief </w:t>
      </w:r>
      <w:r w:rsidR="007B6804">
        <w:t>M</w:t>
      </w:r>
      <w:r>
        <w:t>inister’s departments</w:t>
      </w:r>
      <w:r w:rsidR="00434F6A">
        <w:t xml:space="preserve"> and other agencies</w:t>
      </w:r>
      <w:r>
        <w:t xml:space="preserve">, </w:t>
      </w:r>
      <w:r w:rsidR="00616637">
        <w:t>including the Steering Committee</w:t>
      </w:r>
    </w:p>
    <w:p w14:paraId="1D00646A" w14:textId="407634EC" w:rsidR="00C61705" w:rsidRDefault="004F75D9" w:rsidP="00A7164A">
      <w:pPr>
        <w:pStyle w:val="Bullet"/>
        <w:spacing w:line="240" w:lineRule="auto"/>
        <w:ind w:left="357" w:hanging="357"/>
      </w:pPr>
      <w:r>
        <w:t>Commonwealth agencies,</w:t>
      </w:r>
      <w:r w:rsidR="00616637">
        <w:t xml:space="preserve"> including the AIHW and the RGSP Secretariat</w:t>
      </w:r>
    </w:p>
    <w:p w14:paraId="12F3333E" w14:textId="6B4DA6AE" w:rsidR="004F75D9" w:rsidRPr="00E23931" w:rsidRDefault="00365224" w:rsidP="00A7164A">
      <w:pPr>
        <w:pStyle w:val="Bullet"/>
        <w:spacing w:line="240" w:lineRule="auto"/>
        <w:ind w:left="357" w:hanging="357"/>
      </w:pPr>
      <w:r>
        <w:t xml:space="preserve">NGOs. </w:t>
      </w:r>
    </w:p>
    <w:p w14:paraId="5F9D1E28" w14:textId="009619BA" w:rsidR="00944831" w:rsidRPr="00E23931" w:rsidRDefault="00944831">
      <w:pPr>
        <w:pStyle w:val="Bullet"/>
        <w:numPr>
          <w:ilvl w:val="0"/>
          <w:numId w:val="0"/>
        </w:numPr>
        <w:ind w:left="284" w:hanging="284"/>
      </w:pPr>
      <w:r>
        <w:t xml:space="preserve">At the request of the Review, the </w:t>
      </w:r>
      <w:r w:rsidRPr="005C6835">
        <w:t>RGSP Secretariat</w:t>
      </w:r>
      <w:r>
        <w:t xml:space="preserve"> provided a written submission in June 2024.</w:t>
      </w:r>
    </w:p>
    <w:p w14:paraId="551DF53D" w14:textId="4A965786" w:rsidR="00731513" w:rsidRDefault="00731513">
      <w:pPr>
        <w:rPr>
          <w:rFonts w:ascii="Calibri" w:hAnsi="Calibri" w:cs="Arial"/>
          <w:b/>
          <w:color w:val="5D779D" w:themeColor="accent3"/>
          <w:kern w:val="32"/>
          <w:sz w:val="44"/>
          <w:szCs w:val="36"/>
        </w:rPr>
      </w:pPr>
      <w:r>
        <w:br w:type="page"/>
      </w:r>
    </w:p>
    <w:p w14:paraId="157923C8" w14:textId="6AE35F12" w:rsidR="00731513" w:rsidRDefault="00731513" w:rsidP="00731513">
      <w:pPr>
        <w:pStyle w:val="Heading1"/>
      </w:pPr>
      <w:bookmarkStart w:id="85" w:name="_Ref180487653"/>
      <w:bookmarkStart w:id="86" w:name="_Toc189559053"/>
      <w:r>
        <w:t>Appendix 4: Stakeholder suggestions to strengthen performance indicators</w:t>
      </w:r>
      <w:bookmarkEnd w:id="85"/>
      <w:bookmarkEnd w:id="86"/>
    </w:p>
    <w:p w14:paraId="7A80A06C" w14:textId="7057A01F" w:rsidR="00AA314A" w:rsidRDefault="00F26E12" w:rsidP="00D3466C">
      <w:r>
        <w:t xml:space="preserve">A number of suggestions </w:t>
      </w:r>
      <w:r w:rsidRPr="009764EE">
        <w:t xml:space="preserve">to </w:t>
      </w:r>
      <w:r>
        <w:t>improve performance reporting in the RoGS were raised during consultation</w:t>
      </w:r>
      <w:r w:rsidR="00602B68">
        <w:t>. These suggestions</w:t>
      </w:r>
      <w:r w:rsidRPr="00B93E3A">
        <w:t xml:space="preserve"> reflect the </w:t>
      </w:r>
      <w:r w:rsidR="00814012">
        <w:t xml:space="preserve">perspectives of </w:t>
      </w:r>
      <w:r w:rsidRPr="00B93E3A">
        <w:t>stakeholder</w:t>
      </w:r>
      <w:r>
        <w:t>s</w:t>
      </w:r>
      <w:r w:rsidR="00602B68">
        <w:t xml:space="preserve"> and are not </w:t>
      </w:r>
      <w:r w:rsidR="00814012">
        <w:t xml:space="preserve">recommendations of </w:t>
      </w:r>
      <w:r w:rsidR="00602B68">
        <w:t>the Review</w:t>
      </w:r>
      <w:r>
        <w:t>.</w:t>
      </w:r>
    </w:p>
    <w:p w14:paraId="14FC939B" w14:textId="42AC7067" w:rsidR="00F26E12" w:rsidRPr="009764EE" w:rsidRDefault="00AA314A" w:rsidP="00D3466C">
      <w:r>
        <w:t>S</w:t>
      </w:r>
      <w:r w:rsidRPr="00BF0119">
        <w:t xml:space="preserve">uggested </w:t>
      </w:r>
      <w:r w:rsidR="00F26E12" w:rsidRPr="00BF0119">
        <w:t xml:space="preserve">improvements </w:t>
      </w:r>
      <w:r>
        <w:t>include</w:t>
      </w:r>
      <w:r w:rsidR="00F26E12">
        <w:t>:</w:t>
      </w:r>
    </w:p>
    <w:p w14:paraId="38B75F80" w14:textId="0B0EFCD1" w:rsidR="00F26E12" w:rsidRPr="009764EE" w:rsidRDefault="00F26E12" w:rsidP="00D3466C">
      <w:r w:rsidRPr="00B3155C">
        <w:rPr>
          <w:rStyle w:val="Strong"/>
        </w:rPr>
        <w:t>Childcare, education and training</w:t>
      </w:r>
      <w:r>
        <w:rPr>
          <w:b/>
        </w:rPr>
        <w:t xml:space="preserve"> </w:t>
      </w:r>
      <w:r w:rsidRPr="009764EE">
        <w:t xml:space="preserve">could </w:t>
      </w:r>
      <w:r w:rsidR="0029288E">
        <w:t>includ</w:t>
      </w:r>
      <w:r w:rsidR="00890CF1">
        <w:t>e</w:t>
      </w:r>
      <w:r w:rsidRPr="009764EE">
        <w:t xml:space="preserve"> </w:t>
      </w:r>
      <w:r>
        <w:t>new indicators on student wellbeing and deve</w:t>
      </w:r>
      <w:r w:rsidRPr="00CE73AE">
        <w:t>lop</w:t>
      </w:r>
      <w:r w:rsidR="001B19F9">
        <w:t xml:space="preserve"> </w:t>
      </w:r>
      <w:r w:rsidRPr="00CE73AE">
        <w:t>data to report on outcomes for students with disability</w:t>
      </w:r>
      <w:r>
        <w:t xml:space="preserve"> and workforce sustainability.</w:t>
      </w:r>
    </w:p>
    <w:p w14:paraId="6DD78232" w14:textId="1955168A" w:rsidR="00F26E12" w:rsidRPr="009764EE" w:rsidRDefault="00F26E12" w:rsidP="00D3466C">
      <w:r w:rsidRPr="00B3155C">
        <w:rPr>
          <w:rStyle w:val="Strong"/>
        </w:rPr>
        <w:t>Justice</w:t>
      </w:r>
      <w:r>
        <w:rPr>
          <w:b/>
        </w:rPr>
        <w:t xml:space="preserve"> </w:t>
      </w:r>
      <w:r w:rsidRPr="001E0772">
        <w:rPr>
          <w:bCs/>
        </w:rPr>
        <w:t>coul</w:t>
      </w:r>
      <w:r w:rsidRPr="009764EE">
        <w:t xml:space="preserve">d further </w:t>
      </w:r>
      <w:r>
        <w:t>explor</w:t>
      </w:r>
      <w:r w:rsidR="00890CF1">
        <w:t>e</w:t>
      </w:r>
      <w:r>
        <w:t xml:space="preserve"> </w:t>
      </w:r>
      <w:r w:rsidR="00E0786D">
        <w:t>opportunities to</w:t>
      </w:r>
      <w:r>
        <w:t xml:space="preserve"> </w:t>
      </w:r>
      <w:r w:rsidR="00E57F03">
        <w:t xml:space="preserve">link </w:t>
      </w:r>
      <w:r>
        <w:t>data.</w:t>
      </w:r>
    </w:p>
    <w:p w14:paraId="7FAAAA0D" w14:textId="7486D9C2" w:rsidR="00F26E12" w:rsidRDefault="00F26E12" w:rsidP="00D3466C">
      <w:r w:rsidRPr="00B3155C">
        <w:rPr>
          <w:rStyle w:val="Strong"/>
        </w:rPr>
        <w:t>Emergency management</w:t>
      </w:r>
      <w:r>
        <w:rPr>
          <w:b/>
        </w:rPr>
        <w:t xml:space="preserve"> </w:t>
      </w:r>
      <w:r>
        <w:rPr>
          <w:bCs/>
        </w:rPr>
        <w:t xml:space="preserve">could </w:t>
      </w:r>
      <w:r w:rsidRPr="009764EE">
        <w:t xml:space="preserve">better cover </w:t>
      </w:r>
      <w:r>
        <w:t>preparedness, prevention and mitigation services.</w:t>
      </w:r>
      <w:r w:rsidRPr="00AD00A4">
        <w:t xml:space="preserve"> It was acknowledged that measuring these elements in a repeatable, quantitative way is difficult</w:t>
      </w:r>
      <w:r w:rsidR="00BF6845">
        <w:t>, so</w:t>
      </w:r>
      <w:r>
        <w:t xml:space="preserve"> a case study approach</w:t>
      </w:r>
      <w:r w:rsidR="00BF6845">
        <w:t xml:space="preserve"> may be </w:t>
      </w:r>
      <w:r w:rsidR="00E54B19">
        <w:t>more appropriate</w:t>
      </w:r>
      <w:r>
        <w:t>.</w:t>
      </w:r>
    </w:p>
    <w:p w14:paraId="514AB885" w14:textId="44CD839C" w:rsidR="00F26E12" w:rsidRDefault="00F26E12" w:rsidP="00D3466C">
      <w:r w:rsidRPr="00B3155C">
        <w:rPr>
          <w:rStyle w:val="Strong"/>
        </w:rPr>
        <w:t>Health</w:t>
      </w:r>
      <w:r>
        <w:rPr>
          <w:b/>
        </w:rPr>
        <w:t xml:space="preserve"> </w:t>
      </w:r>
      <w:r w:rsidRPr="00700803">
        <w:rPr>
          <w:bCs/>
        </w:rPr>
        <w:t>coul</w:t>
      </w:r>
      <w:r w:rsidRPr="009764EE">
        <w:t xml:space="preserve">d better cover </w:t>
      </w:r>
      <w:r>
        <w:t>the i</w:t>
      </w:r>
      <w:r w:rsidRPr="00AE3573">
        <w:t>nterrelated nature of service delivery and outcomes, for example, the interface between the health, aged care and disability services sectors</w:t>
      </w:r>
      <w:r w:rsidR="003A2238">
        <w:t xml:space="preserve">. </w:t>
      </w:r>
      <w:r w:rsidR="00B034B7">
        <w:t>Introducing more</w:t>
      </w:r>
      <w:r>
        <w:t xml:space="preserve"> </w:t>
      </w:r>
      <w:r w:rsidR="007B6804">
        <w:br/>
      </w:r>
      <w:r w:rsidRPr="00BD6D9B">
        <w:t>patient</w:t>
      </w:r>
      <w:r w:rsidR="00B65D32">
        <w:t>-</w:t>
      </w:r>
      <w:r w:rsidRPr="00BD6D9B">
        <w:t xml:space="preserve">reported outcome </w:t>
      </w:r>
      <w:r w:rsidR="00A5226C">
        <w:t xml:space="preserve">and experience </w:t>
      </w:r>
      <w:r w:rsidRPr="00BD6D9B">
        <w:t xml:space="preserve">measures </w:t>
      </w:r>
      <w:r w:rsidR="00F6499B">
        <w:t>was</w:t>
      </w:r>
      <w:r w:rsidR="009360A0">
        <w:t xml:space="preserve"> also </w:t>
      </w:r>
      <w:r w:rsidR="00B034B7">
        <w:t>suggested</w:t>
      </w:r>
      <w:r>
        <w:t xml:space="preserve">. </w:t>
      </w:r>
    </w:p>
    <w:p w14:paraId="3A95B3A3" w14:textId="19CBD20D" w:rsidR="00FB6901" w:rsidRPr="009764EE" w:rsidRDefault="00F26E12" w:rsidP="00D3466C">
      <w:r w:rsidRPr="00B3155C">
        <w:rPr>
          <w:rStyle w:val="Strong"/>
        </w:rPr>
        <w:t>Aged care services</w:t>
      </w:r>
      <w:r w:rsidR="00FB6901">
        <w:rPr>
          <w:b/>
        </w:rPr>
        <w:t xml:space="preserve"> </w:t>
      </w:r>
      <w:r w:rsidR="005C546D" w:rsidRPr="005C546D">
        <w:t>could report on the interface between the aged care and health system</w:t>
      </w:r>
      <w:r w:rsidR="00F1765C">
        <w:t>s</w:t>
      </w:r>
      <w:r w:rsidR="005C546D" w:rsidRPr="005C546D">
        <w:t xml:space="preserve"> and develop indicators of workforce sustainability. </w:t>
      </w:r>
      <w:r w:rsidR="00B034B7">
        <w:t>I</w:t>
      </w:r>
      <w:r w:rsidR="005C546D" w:rsidRPr="005C546D">
        <w:t>nclud</w:t>
      </w:r>
      <w:r w:rsidR="00691ADE">
        <w:t>ing</w:t>
      </w:r>
      <w:r w:rsidR="005C546D" w:rsidRPr="005C546D">
        <w:t xml:space="preserve"> data and analysi</w:t>
      </w:r>
      <w:r w:rsidR="00866C53">
        <w:t xml:space="preserve">s </w:t>
      </w:r>
      <w:r w:rsidR="005C546D" w:rsidRPr="005C546D">
        <w:t xml:space="preserve">on waiting lists, access to </w:t>
      </w:r>
      <w:r w:rsidR="009242F5">
        <w:t xml:space="preserve">general practitioners </w:t>
      </w:r>
      <w:r w:rsidR="005C546D" w:rsidRPr="005C546D">
        <w:t>and allied health services, integrated care models and outcomes for older people</w:t>
      </w:r>
      <w:r w:rsidR="00B034B7">
        <w:t xml:space="preserve"> </w:t>
      </w:r>
      <w:r w:rsidR="00F6499B">
        <w:t>was</w:t>
      </w:r>
      <w:r w:rsidR="00B034B7">
        <w:t xml:space="preserve"> also suggested</w:t>
      </w:r>
      <w:r w:rsidR="005C546D" w:rsidRPr="005C546D">
        <w:t>.</w:t>
      </w:r>
    </w:p>
    <w:p w14:paraId="1C194E95" w14:textId="71DE4A7B" w:rsidR="00FB6901" w:rsidRDefault="00FB6901" w:rsidP="00D3466C">
      <w:r w:rsidRPr="00B3155C">
        <w:rPr>
          <w:rStyle w:val="Strong"/>
        </w:rPr>
        <w:t>Services for people with disability</w:t>
      </w:r>
      <w:r>
        <w:rPr>
          <w:b/>
        </w:rPr>
        <w:t xml:space="preserve"> </w:t>
      </w:r>
      <w:r w:rsidR="0006577E" w:rsidRPr="0006577E">
        <w:t xml:space="preserve">could </w:t>
      </w:r>
      <w:r w:rsidR="00D02964">
        <w:t>includ</w:t>
      </w:r>
      <w:r w:rsidR="004C37C1">
        <w:t>e</w:t>
      </w:r>
      <w:r w:rsidR="00015318" w:rsidRPr="0006577E">
        <w:t xml:space="preserve"> </w:t>
      </w:r>
      <w:r w:rsidR="0006577E" w:rsidRPr="0006577E">
        <w:t>more data and analysis on the disability services sector and its interface with health and aged care</w:t>
      </w:r>
      <w:r>
        <w:t>.</w:t>
      </w:r>
    </w:p>
    <w:p w14:paraId="11E85FDB" w14:textId="75A1EB93" w:rsidR="00F26E12" w:rsidRDefault="00F26E12" w:rsidP="00D3466C">
      <w:r w:rsidRPr="00B3155C">
        <w:rPr>
          <w:rStyle w:val="Strong"/>
        </w:rPr>
        <w:t>Child protection and youth justice service</w:t>
      </w:r>
      <w:r w:rsidR="00311A2C" w:rsidRPr="00B3155C">
        <w:rPr>
          <w:rStyle w:val="Strong"/>
        </w:rPr>
        <w:t>s</w:t>
      </w:r>
      <w:r>
        <w:rPr>
          <w:b/>
        </w:rPr>
        <w:t xml:space="preserve"> </w:t>
      </w:r>
      <w:r w:rsidRPr="009764EE">
        <w:t xml:space="preserve">could </w:t>
      </w:r>
      <w:r w:rsidR="00CF12A3">
        <w:t xml:space="preserve">report </w:t>
      </w:r>
      <w:r>
        <w:t xml:space="preserve">indicators </w:t>
      </w:r>
      <w:r w:rsidR="00EE23B2">
        <w:t xml:space="preserve">on </w:t>
      </w:r>
      <w:r>
        <w:t xml:space="preserve">young people exiting out of home care aged 18 to 21 </w:t>
      </w:r>
      <w:r w:rsidR="00A31E92">
        <w:t xml:space="preserve">years </w:t>
      </w:r>
      <w:r>
        <w:t>(potentially 22</w:t>
      </w:r>
      <w:r w:rsidR="00CE1949">
        <w:t>–</w:t>
      </w:r>
      <w:r>
        <w:t>25 years</w:t>
      </w:r>
      <w:r w:rsidR="004A2BA8">
        <w:t>)</w:t>
      </w:r>
      <w:r w:rsidR="00E41397">
        <w:t xml:space="preserve"> and</w:t>
      </w:r>
      <w:r>
        <w:t xml:space="preserve"> </w:t>
      </w:r>
      <w:r w:rsidR="00560667">
        <w:t>the health and well</w:t>
      </w:r>
      <w:r w:rsidR="00B65D32">
        <w:t>-</w:t>
      </w:r>
      <w:r w:rsidR="00560667">
        <w:t>being of children in care and protection</w:t>
      </w:r>
      <w:r w:rsidR="00E41397">
        <w:t xml:space="preserve">. </w:t>
      </w:r>
      <w:r w:rsidR="00B034B7">
        <w:t>I</w:t>
      </w:r>
      <w:r w:rsidR="00EA158F">
        <w:t>ncluding data on</w:t>
      </w:r>
      <w:r w:rsidR="00560667">
        <w:t xml:space="preserve"> </w:t>
      </w:r>
      <w:r>
        <w:t xml:space="preserve">costs and outcomes of temporary care arrangements, </w:t>
      </w:r>
      <w:r w:rsidR="003F66D5">
        <w:t>children and youth reuniting with their families</w:t>
      </w:r>
      <w:r w:rsidR="00D46E5C">
        <w:t xml:space="preserve">, </w:t>
      </w:r>
      <w:r w:rsidR="00D92547">
        <w:t>how</w:t>
      </w:r>
      <w:r>
        <w:t xml:space="preserve"> family violence </w:t>
      </w:r>
      <w:r w:rsidR="00AD6EDF">
        <w:t>connects with and affects</w:t>
      </w:r>
      <w:r>
        <w:t xml:space="preserve"> </w:t>
      </w:r>
      <w:r w:rsidR="00B862FE">
        <w:t>services</w:t>
      </w:r>
      <w:r>
        <w:t xml:space="preserve">, and the </w:t>
      </w:r>
      <w:r w:rsidR="00186412">
        <w:t xml:space="preserve">overlap </w:t>
      </w:r>
      <w:r>
        <w:t>between child protection and youth justice</w:t>
      </w:r>
      <w:r w:rsidR="00B034B7">
        <w:t xml:space="preserve"> </w:t>
      </w:r>
      <w:r w:rsidR="00F6499B">
        <w:t>was</w:t>
      </w:r>
      <w:r w:rsidR="00B034B7">
        <w:t xml:space="preserve"> also suggested</w:t>
      </w:r>
      <w:r>
        <w:t>.</w:t>
      </w:r>
    </w:p>
    <w:p w14:paraId="1AB2111A" w14:textId="0675D0D8" w:rsidR="00F26E12" w:rsidRPr="009764EE" w:rsidRDefault="00F26E12" w:rsidP="00D3466C">
      <w:r w:rsidRPr="00B3155C">
        <w:rPr>
          <w:rStyle w:val="Strong"/>
        </w:rPr>
        <w:t>Housing and homelessness services</w:t>
      </w:r>
      <w:r>
        <w:rPr>
          <w:b/>
        </w:rPr>
        <w:t xml:space="preserve"> </w:t>
      </w:r>
      <w:r w:rsidRPr="009764EE">
        <w:t xml:space="preserve">could </w:t>
      </w:r>
      <w:r>
        <w:t xml:space="preserve">develop </w:t>
      </w:r>
      <w:r w:rsidRPr="009E44E0">
        <w:rPr>
          <w:rFonts w:cs="Calibri Light"/>
        </w:rPr>
        <w:t>a consistent definition of community housin</w:t>
      </w:r>
      <w:r>
        <w:rPr>
          <w:rFonts w:cs="Calibri Light"/>
        </w:rPr>
        <w:t xml:space="preserve">g, </w:t>
      </w:r>
      <w:r w:rsidRPr="009144C4">
        <w:t xml:space="preserve">report percentiles of </w:t>
      </w:r>
      <w:r w:rsidR="00F40D7E">
        <w:t xml:space="preserve">income going to </w:t>
      </w:r>
      <w:r w:rsidRPr="009144C4">
        <w:t xml:space="preserve">rent, </w:t>
      </w:r>
      <w:r>
        <w:t>and includ</w:t>
      </w:r>
      <w:r w:rsidR="0056434F">
        <w:t>e</w:t>
      </w:r>
      <w:r>
        <w:t xml:space="preserve"> data on the </w:t>
      </w:r>
      <w:r w:rsidRPr="005F7D8A">
        <w:t xml:space="preserve">construction and acquisition of </w:t>
      </w:r>
      <w:r>
        <w:t>public and community housing.</w:t>
      </w:r>
    </w:p>
    <w:p w14:paraId="28177156" w14:textId="4A76A37B" w:rsidR="00E05457" w:rsidRDefault="00E05457">
      <w:r>
        <w:br w:type="page"/>
      </w:r>
    </w:p>
    <w:p w14:paraId="446A82AB" w14:textId="25393849" w:rsidR="00E05457" w:rsidRDefault="00E05457" w:rsidP="00E05457">
      <w:pPr>
        <w:pStyle w:val="Heading1"/>
      </w:pPr>
      <w:bookmarkStart w:id="87" w:name="_Toc189559054"/>
      <w:r>
        <w:t xml:space="preserve">Appendix </w:t>
      </w:r>
      <w:r w:rsidR="00866C53">
        <w:t>5</w:t>
      </w:r>
      <w:r>
        <w:t>: References</w:t>
      </w:r>
      <w:bookmarkEnd w:id="87"/>
    </w:p>
    <w:p w14:paraId="4A04268B" w14:textId="77777777" w:rsidR="002068A7" w:rsidRPr="00F80E35" w:rsidRDefault="002068A7" w:rsidP="002068A7">
      <w:r w:rsidRPr="00F80E35">
        <w:t xml:space="preserve">ABS (Australian Bureau of Statistics) (2024a) </w:t>
      </w:r>
      <w:hyperlink r:id="rId57">
        <w:r w:rsidRPr="00F80E35">
          <w:rPr>
            <w:rStyle w:val="Hyperlink"/>
            <w:i/>
            <w:iCs/>
          </w:rPr>
          <w:t>Data Explorer</w:t>
        </w:r>
      </w:hyperlink>
      <w:r w:rsidRPr="00F80E35">
        <w:t>, ABS website, accessed 31 October 2024.</w:t>
      </w:r>
    </w:p>
    <w:p w14:paraId="1C478448" w14:textId="77777777" w:rsidR="002068A7" w:rsidRPr="00F80E35" w:rsidRDefault="002068A7" w:rsidP="002068A7">
      <w:r w:rsidRPr="00F80E35">
        <w:t xml:space="preserve">ABS (2024b) </w:t>
      </w:r>
      <w:hyperlink r:id="rId58">
        <w:r w:rsidRPr="00F80E35">
          <w:rPr>
            <w:rStyle w:val="Hyperlink"/>
            <w:i/>
            <w:iCs/>
          </w:rPr>
          <w:t>Overview of the 2026 Census topic review</w:t>
        </w:r>
      </w:hyperlink>
      <w:r w:rsidRPr="00F80E35">
        <w:t>, ABS website, accessed 22 October 2024.</w:t>
      </w:r>
    </w:p>
    <w:p w14:paraId="7EAA7334" w14:textId="77777777" w:rsidR="002068A7" w:rsidRPr="00F80E35" w:rsidRDefault="002068A7" w:rsidP="002068A7">
      <w:r w:rsidRPr="00F80E35">
        <w:t xml:space="preserve">ABS (2024c) </w:t>
      </w:r>
      <w:hyperlink r:id="rId59">
        <w:r w:rsidRPr="00F80E35">
          <w:rPr>
            <w:rStyle w:val="Hyperlink"/>
            <w:i/>
            <w:iCs/>
          </w:rPr>
          <w:t>Person Level Integrated Data Asset (PLIDA)</w:t>
        </w:r>
      </w:hyperlink>
      <w:r w:rsidRPr="00F80E35">
        <w:t>, ABS website, accessed 23 September 2024.</w:t>
      </w:r>
    </w:p>
    <w:p w14:paraId="6C1282CE" w14:textId="77777777" w:rsidR="002068A7" w:rsidRPr="00F80E35" w:rsidRDefault="002068A7" w:rsidP="002068A7">
      <w:r w:rsidRPr="00F80E35">
        <w:t xml:space="preserve">ABS (2024d) </w:t>
      </w:r>
      <w:hyperlink r:id="rId60" w:anchor="case-study-1-helping-vulnerable-australians-survive-heatwaves">
        <w:r w:rsidRPr="00F80E35">
          <w:rPr>
            <w:rStyle w:val="Hyperlink"/>
            <w:i/>
            <w:iCs/>
          </w:rPr>
          <w:t>PLIDA/MADIP Case Studies</w:t>
        </w:r>
      </w:hyperlink>
      <w:r w:rsidRPr="00F80E35">
        <w:t>, ABS website, accessed 22 October 2024.</w:t>
      </w:r>
    </w:p>
    <w:p w14:paraId="1D310EDA" w14:textId="77777777" w:rsidR="002068A7" w:rsidRPr="00F80E35" w:rsidRDefault="002068A7" w:rsidP="002068A7">
      <w:r w:rsidRPr="00F80E35">
        <w:t>AIHW (2018) ‘</w:t>
      </w:r>
      <w:hyperlink r:id="rId61" w:tgtFrame="_new" w:history="1">
        <w:r w:rsidRPr="00F80E35">
          <w:rPr>
            <w:rStyle w:val="Hyperlink"/>
          </w:rPr>
          <w:t>Australia’s health 2018</w:t>
        </w:r>
      </w:hyperlink>
      <w:r w:rsidRPr="00F80E35">
        <w:t xml:space="preserve">’, </w:t>
      </w:r>
      <w:r w:rsidRPr="00F80E35">
        <w:rPr>
          <w:i/>
          <w:iCs/>
        </w:rPr>
        <w:t xml:space="preserve">Australia’s health series no. </w:t>
      </w:r>
      <w:r w:rsidRPr="00F80E35">
        <w:t>16, catalogue number AUS221, AIHW, Australian Government, accessed 22 October 2024.</w:t>
      </w:r>
    </w:p>
    <w:p w14:paraId="7E1377F7" w14:textId="77777777" w:rsidR="002068A7" w:rsidRPr="00F80E35" w:rsidRDefault="002068A7" w:rsidP="002068A7">
      <w:r w:rsidRPr="00F80E35">
        <w:t xml:space="preserve">AIHW (Australian Institute of Health and Welfare) (2024a) </w:t>
      </w:r>
      <w:hyperlink r:id="rId62">
        <w:r w:rsidRPr="00F80E35">
          <w:rPr>
            <w:rStyle w:val="Hyperlink"/>
            <w:i/>
            <w:iCs/>
          </w:rPr>
          <w:t>Youth Justice</w:t>
        </w:r>
      </w:hyperlink>
      <w:r w:rsidRPr="00F80E35">
        <w:t xml:space="preserve">, AIHW website, accessed 1 November 2024. </w:t>
      </w:r>
    </w:p>
    <w:p w14:paraId="4BEE3677" w14:textId="77777777" w:rsidR="002068A7" w:rsidRPr="00F80E35" w:rsidRDefault="002068A7" w:rsidP="002068A7">
      <w:r w:rsidRPr="00F80E35">
        <w:t xml:space="preserve">AIHW (2024b) </w:t>
      </w:r>
      <w:hyperlink r:id="rId63">
        <w:r w:rsidRPr="00F80E35">
          <w:rPr>
            <w:rStyle w:val="Hyperlink"/>
            <w:i/>
            <w:iCs/>
          </w:rPr>
          <w:t>Our data collections</w:t>
        </w:r>
      </w:hyperlink>
      <w:r w:rsidRPr="00F80E35">
        <w:t>, AIHW website, accessed 22 October 2024.</w:t>
      </w:r>
    </w:p>
    <w:p w14:paraId="0CAC5743" w14:textId="77777777" w:rsidR="002068A7" w:rsidRPr="00F80E35" w:rsidRDefault="002068A7" w:rsidP="002068A7">
      <w:r w:rsidRPr="00F80E35">
        <w:t xml:space="preserve">AIHW (2024c) </w:t>
      </w:r>
      <w:hyperlink r:id="rId64">
        <w:r w:rsidRPr="00F80E35">
          <w:rPr>
            <w:rStyle w:val="Hyperlink"/>
            <w:i/>
            <w:iCs/>
          </w:rPr>
          <w:t>How are national data used to answer questions about FDSV?</w:t>
        </w:r>
      </w:hyperlink>
      <w:r w:rsidRPr="00F80E35">
        <w:t>, AIHW website, accessed 22 October 2024.</w:t>
      </w:r>
    </w:p>
    <w:p w14:paraId="4A9C6B9F" w14:textId="77777777" w:rsidR="002068A7" w:rsidRPr="00F80E35" w:rsidRDefault="002068A7" w:rsidP="002068A7">
      <w:r w:rsidRPr="00F80E35">
        <w:t xml:space="preserve">AIHW (2024d) </w:t>
      </w:r>
      <w:hyperlink r:id="rId65">
        <w:r w:rsidRPr="00F80E35">
          <w:rPr>
            <w:rStyle w:val="Hyperlink"/>
            <w:i/>
            <w:iCs/>
          </w:rPr>
          <w:t>Social determinants of health</w:t>
        </w:r>
      </w:hyperlink>
      <w:r w:rsidRPr="00F80E35">
        <w:t>, AIHW website, accessed 22 October 2024.</w:t>
      </w:r>
    </w:p>
    <w:p w14:paraId="6DD99B22" w14:textId="77777777" w:rsidR="002068A7" w:rsidRPr="00F80E35" w:rsidRDefault="002068A7" w:rsidP="002068A7">
      <w:r w:rsidRPr="00F80E35">
        <w:t xml:space="preserve">AIHW (2024e) </w:t>
      </w:r>
      <w:hyperlink r:id="rId66">
        <w:r w:rsidRPr="00F80E35">
          <w:rPr>
            <w:rStyle w:val="Hyperlink"/>
            <w:i/>
            <w:iCs/>
          </w:rPr>
          <w:t>Our committees</w:t>
        </w:r>
        <w:r w:rsidRPr="00F80E35">
          <w:rPr>
            <w:rStyle w:val="Hyperlink"/>
          </w:rPr>
          <w:t>,</w:t>
        </w:r>
      </w:hyperlink>
      <w:r w:rsidRPr="00F80E35">
        <w:t xml:space="preserve"> AIHW website, accessed 22 October 2024.</w:t>
      </w:r>
    </w:p>
    <w:p w14:paraId="50216887" w14:textId="77777777" w:rsidR="002068A7" w:rsidRPr="00F80E35" w:rsidRDefault="002068A7" w:rsidP="002068A7">
      <w:pPr>
        <w:rPr>
          <w:i/>
          <w:iCs/>
        </w:rPr>
      </w:pPr>
      <w:r w:rsidRPr="00F80E35">
        <w:t xml:space="preserve">AIHW (2024f) </w:t>
      </w:r>
      <w:hyperlink r:id="rId67">
        <w:r w:rsidRPr="00F80E35">
          <w:rPr>
            <w:rStyle w:val="Hyperlink"/>
            <w:i/>
            <w:iCs/>
          </w:rPr>
          <w:t>Perinatal Mental Health pilot Governance Committee</w:t>
        </w:r>
      </w:hyperlink>
      <w:r w:rsidRPr="00F80E35">
        <w:rPr>
          <w:i/>
          <w:iCs/>
        </w:rPr>
        <w:t xml:space="preserve">, </w:t>
      </w:r>
      <w:r w:rsidRPr="00F80E35">
        <w:t>AIHW website, accessed 22 October 2024.</w:t>
      </w:r>
    </w:p>
    <w:p w14:paraId="2CB3E294" w14:textId="77777777" w:rsidR="002068A7" w:rsidRPr="00F80E35" w:rsidRDefault="002068A7" w:rsidP="002068A7">
      <w:pPr>
        <w:rPr>
          <w:i/>
          <w:iCs/>
        </w:rPr>
      </w:pPr>
      <w:r w:rsidRPr="00F80E35">
        <w:t xml:space="preserve">AIHW (2024g) </w:t>
      </w:r>
      <w:hyperlink r:id="rId68">
        <w:r w:rsidRPr="00F80E35">
          <w:rPr>
            <w:rStyle w:val="Hyperlink"/>
            <w:i/>
            <w:iCs/>
          </w:rPr>
          <w:t>Primary Health Care Advisory Committee</w:t>
        </w:r>
      </w:hyperlink>
      <w:r w:rsidRPr="00F80E35">
        <w:t>, AIHW website, accessed 22 October 2024.</w:t>
      </w:r>
    </w:p>
    <w:p w14:paraId="0C0811F3" w14:textId="77777777" w:rsidR="002068A7" w:rsidRPr="00F80E35" w:rsidRDefault="002068A7" w:rsidP="002068A7">
      <w:r w:rsidRPr="00F80E35">
        <w:t xml:space="preserve">AIHW (2024h) </w:t>
      </w:r>
      <w:hyperlink r:id="rId69">
        <w:r w:rsidRPr="00F80E35">
          <w:rPr>
            <w:rStyle w:val="Hyperlink"/>
            <w:i/>
            <w:iCs/>
          </w:rPr>
          <w:t>Australia’s health 2024: data insights</w:t>
        </w:r>
      </w:hyperlink>
      <w:r w:rsidRPr="00F80E35">
        <w:t>, catalogue number AUS 250, AIHW, Australian Government, accessed 22 October 2024.</w:t>
      </w:r>
    </w:p>
    <w:p w14:paraId="2CA54403" w14:textId="77777777" w:rsidR="002068A7" w:rsidRPr="00F80E35" w:rsidRDefault="002068A7" w:rsidP="002068A7">
      <w:r w:rsidRPr="00F80E35">
        <w:t xml:space="preserve">Australian National Audit Office (2023) </w:t>
      </w:r>
      <w:hyperlink r:id="rId70" w:tgtFrame="_new" w:history="1">
        <w:r w:rsidRPr="00F80E35">
          <w:rPr>
            <w:rStyle w:val="Hyperlink"/>
            <w:i/>
            <w:iCs/>
          </w:rPr>
          <w:t>Reporting Meaningful Performance Information</w:t>
        </w:r>
      </w:hyperlink>
      <w:r w:rsidRPr="00F80E35">
        <w:t>, Australian National Audit Office website, accessed 29 June 2024.</w:t>
      </w:r>
    </w:p>
    <w:p w14:paraId="5B2EEB6C" w14:textId="77777777" w:rsidR="002068A7" w:rsidRPr="00F80E35" w:rsidRDefault="002068A7" w:rsidP="002068A7">
      <w:r w:rsidRPr="00F80E35">
        <w:t xml:space="preserve">Butler M (Minister for Health and Aged Care)(2 May 2023) </w:t>
      </w:r>
      <w:hyperlink r:id="rId71" w:tgtFrame="_new" w:history="1">
        <w:r w:rsidRPr="00F80E35">
          <w:rPr>
            <w:rStyle w:val="Hyperlink"/>
            <w:i/>
            <w:iCs/>
          </w:rPr>
          <w:t>Taking action on smoking and vaping</w:t>
        </w:r>
      </w:hyperlink>
      <w:r w:rsidRPr="00F80E35">
        <w:t xml:space="preserve"> [media release], Department of Health, accessed 22 October 2024.</w:t>
      </w:r>
    </w:p>
    <w:p w14:paraId="320A8140" w14:textId="77777777" w:rsidR="002068A7" w:rsidRPr="00F80E35" w:rsidRDefault="002068A7" w:rsidP="002068A7">
      <w:r w:rsidRPr="00F80E35">
        <w:t xml:space="preserve">Carroll B (Victorian Minister for Education) (13 June 2024) </w:t>
      </w:r>
      <w:hyperlink r:id="rId72" w:tgtFrame="_new" w:history="1">
        <w:r w:rsidRPr="00F80E35">
          <w:rPr>
            <w:rStyle w:val="Hyperlink"/>
            <w:i/>
            <w:iCs/>
          </w:rPr>
          <w:t>Making Best Practice Common Practice In The Education State</w:t>
        </w:r>
      </w:hyperlink>
      <w:r w:rsidRPr="00F80E35">
        <w:t xml:space="preserve"> [media release], Victorian Government, accessed 22 October 2024.</w:t>
      </w:r>
    </w:p>
    <w:p w14:paraId="580D471F" w14:textId="77777777" w:rsidR="002068A7" w:rsidRPr="00F80E35" w:rsidRDefault="002068A7" w:rsidP="002068A7">
      <w:r w:rsidRPr="00F80E35">
        <w:t xml:space="preserve">CFFR (Council on Federal Financial Relations) (2020) </w:t>
      </w:r>
      <w:hyperlink r:id="rId73" w:tgtFrame="_new" w:history="1">
        <w:r w:rsidRPr="00F80E35">
          <w:rPr>
            <w:rStyle w:val="Hyperlink"/>
            <w:i/>
            <w:iCs/>
          </w:rPr>
          <w:t>The Federation Funding Agreements Framework</w:t>
        </w:r>
      </w:hyperlink>
      <w:r w:rsidRPr="00F80E35">
        <w:t>, Federal Financial Relations website, accessed 22 October 2024.</w:t>
      </w:r>
    </w:p>
    <w:p w14:paraId="106E460F" w14:textId="77777777" w:rsidR="002068A7" w:rsidRPr="00F80E35" w:rsidRDefault="002068A7" w:rsidP="002068A7">
      <w:r w:rsidRPr="00F80E35">
        <w:t xml:space="preserve">CFFR (2023) </w:t>
      </w:r>
      <w:hyperlink r:id="rId74" w:tgtFrame="_new" w:history="1">
        <w:r w:rsidRPr="00F80E35">
          <w:rPr>
            <w:rStyle w:val="Hyperlink"/>
            <w:i/>
            <w:iCs/>
          </w:rPr>
          <w:t>Terms of Reference: Council on Federal Financial Relations</w:t>
        </w:r>
      </w:hyperlink>
      <w:r w:rsidRPr="00F80E35">
        <w:t>, CFFR, accessed 4 October 2024.</w:t>
      </w:r>
    </w:p>
    <w:p w14:paraId="71826019" w14:textId="77777777" w:rsidR="002068A7" w:rsidRPr="00F80E35" w:rsidRDefault="002068A7" w:rsidP="002068A7">
      <w:r w:rsidRPr="00F80E35">
        <w:t xml:space="preserve">CGC (Commonwealth Grants Commission) (2024a) </w:t>
      </w:r>
      <w:hyperlink r:id="rId75">
        <w:r w:rsidRPr="00F80E35">
          <w:rPr>
            <w:rStyle w:val="Hyperlink"/>
            <w:i/>
            <w:iCs/>
          </w:rPr>
          <w:t>2024 State Snapshots</w:t>
        </w:r>
      </w:hyperlink>
      <w:r w:rsidRPr="00F80E35">
        <w:t>, CGC website, accessed 22 October 2024.</w:t>
      </w:r>
    </w:p>
    <w:p w14:paraId="31AD9731" w14:textId="77777777" w:rsidR="002068A7" w:rsidRPr="00F80E35" w:rsidRDefault="002068A7" w:rsidP="002068A7">
      <w:r w:rsidRPr="00F80E35">
        <w:t xml:space="preserve">CGC (2024b) </w:t>
      </w:r>
      <w:hyperlink r:id="rId76">
        <w:r w:rsidRPr="00F80E35">
          <w:rPr>
            <w:rStyle w:val="Hyperlink"/>
            <w:i/>
            <w:iCs/>
          </w:rPr>
          <w:t>About GST distribution</w:t>
        </w:r>
      </w:hyperlink>
      <w:r w:rsidRPr="00F80E35">
        <w:t>, CGC website, accessed 22 October 2024.</w:t>
      </w:r>
    </w:p>
    <w:p w14:paraId="6B8E133B" w14:textId="77777777" w:rsidR="002068A7" w:rsidRPr="00F80E35" w:rsidRDefault="002068A7" w:rsidP="002068A7">
      <w:r w:rsidRPr="00F80E35">
        <w:t xml:space="preserve">Chalmers J (Treasurer) and Leigh A (Assistant Minister for Employment) (26 June 2024) </w:t>
      </w:r>
      <w:hyperlink r:id="rId77" w:tgtFrame="_new" w:history="1">
        <w:r w:rsidRPr="00F80E35">
          <w:rPr>
            <w:rStyle w:val="Hyperlink"/>
            <w:i/>
            <w:iCs/>
          </w:rPr>
          <w:t>Media release: Measuring what matters to deliver better outcomes</w:t>
        </w:r>
      </w:hyperlink>
      <w:r w:rsidRPr="00F80E35">
        <w:t xml:space="preserve"> [media release], Australian Government, accessed 22 October 2024.</w:t>
      </w:r>
    </w:p>
    <w:p w14:paraId="4484B5DF" w14:textId="77777777" w:rsidR="002068A7" w:rsidRPr="00F80E35" w:rsidRDefault="002068A7" w:rsidP="002068A7">
      <w:r w:rsidRPr="00F80E35">
        <w:t xml:space="preserve">COAG (Council of Australian Governments) (2009) </w:t>
      </w:r>
      <w:hyperlink r:id="rId78" w:tgtFrame="_new" w:history="1">
        <w:r w:rsidRPr="00F80E35">
          <w:rPr>
            <w:rStyle w:val="Hyperlink"/>
            <w:i/>
            <w:iCs/>
          </w:rPr>
          <w:t>COAG Meeting: Brisbane: 7 December 2009: Communique</w:t>
        </w:r>
      </w:hyperlink>
      <w:r w:rsidRPr="00F80E35">
        <w:t>, Trove Web Archive, accessed 4 October 2024.</w:t>
      </w:r>
    </w:p>
    <w:p w14:paraId="3241F42B" w14:textId="77777777" w:rsidR="002068A7" w:rsidRPr="00F80E35" w:rsidRDefault="002068A7" w:rsidP="002068A7">
      <w:r w:rsidRPr="00F80E35">
        <w:t xml:space="preserve">COAG (2016) </w:t>
      </w:r>
      <w:hyperlink r:id="rId79" w:tgtFrame="_new" w:history="1">
        <w:r w:rsidRPr="00F80E35">
          <w:rPr>
            <w:rStyle w:val="Hyperlink"/>
            <w:i/>
            <w:iCs/>
          </w:rPr>
          <w:t>COAG: Report on Performance 2016</w:t>
        </w:r>
      </w:hyperlink>
      <w:r w:rsidRPr="00F80E35">
        <w:t>, Trove Web Archive, accessed 22 October 2024.</w:t>
      </w:r>
    </w:p>
    <w:p w14:paraId="2740EC64" w14:textId="77777777" w:rsidR="002068A7" w:rsidRPr="00F80E35" w:rsidRDefault="002068A7" w:rsidP="002068A7">
      <w:r w:rsidRPr="00F80E35">
        <w:t xml:space="preserve">COAG Reform Council (1 August 2014) </w:t>
      </w:r>
      <w:hyperlink r:id="rId80" w:tgtFrame="_new" w:history="1">
        <w:r w:rsidRPr="00F80E35">
          <w:rPr>
            <w:rStyle w:val="Hyperlink"/>
            <w:i/>
            <w:iCs/>
          </w:rPr>
          <w:t>COAG Reform Council</w:t>
        </w:r>
      </w:hyperlink>
      <w:r w:rsidRPr="00F80E35">
        <w:rPr>
          <w:rStyle w:val="Hyperlink"/>
          <w:i/>
          <w:iCs/>
        </w:rPr>
        <w:t>: About us</w:t>
      </w:r>
      <w:r w:rsidRPr="00F80E35">
        <w:t>, Trove Web archive, accessed 22 October 2024.</w:t>
      </w:r>
    </w:p>
    <w:p w14:paraId="00B978D8" w14:textId="77777777" w:rsidR="002068A7" w:rsidRPr="00F80E35" w:rsidRDefault="002068A7" w:rsidP="002068A7">
      <w:r w:rsidRPr="00F80E35">
        <w:t xml:space="preserve">Coalition of Aboriginal and Torres Strait Islander Peak Organisations, Commonwealth of Australia, and Australian States and Territories (2020) </w:t>
      </w:r>
      <w:hyperlink r:id="rId81" w:tgtFrame="_new" w:history="1">
        <w:r w:rsidRPr="00F80E35">
          <w:rPr>
            <w:rStyle w:val="Hyperlink"/>
            <w:i/>
            <w:iCs/>
          </w:rPr>
          <w:t>National Agreement on Closing the Gap</w:t>
        </w:r>
      </w:hyperlink>
      <w:r w:rsidRPr="00F80E35">
        <w:t>, Closing the Gap Partnership, accessed 22 October 2024.</w:t>
      </w:r>
    </w:p>
    <w:p w14:paraId="665DB901" w14:textId="77777777" w:rsidR="002068A7" w:rsidRPr="00F80E35" w:rsidRDefault="002068A7" w:rsidP="002068A7">
      <w:r w:rsidRPr="00F80E35">
        <w:t xml:space="preserve">Commonwealth of Australia and Australian States and Territories (2021) </w:t>
      </w:r>
      <w:hyperlink r:id="rId82" w:tgtFrame="_new" w:history="1">
        <w:r w:rsidRPr="00F80E35">
          <w:rPr>
            <w:rStyle w:val="Hyperlink"/>
            <w:i/>
            <w:iCs/>
          </w:rPr>
          <w:t>Intergovernmental Agreement on data sharing between Commonwealth and State and Territory governments</w:t>
        </w:r>
      </w:hyperlink>
      <w:r w:rsidRPr="00F80E35">
        <w:t>, Australian Government, accessed 22 October 2024.</w:t>
      </w:r>
    </w:p>
    <w:p w14:paraId="348F4098" w14:textId="77777777" w:rsidR="002068A7" w:rsidRPr="00F80E35" w:rsidRDefault="002068A7" w:rsidP="002068A7">
      <w:r w:rsidRPr="00F80E35">
        <w:t xml:space="preserve">Commonwealth of Australia and Australian States and Territories (2022) </w:t>
      </w:r>
      <w:hyperlink r:id="rId83" w:tgtFrame="_new" w:history="1">
        <w:r w:rsidRPr="00F80E35">
          <w:rPr>
            <w:rStyle w:val="Hyperlink"/>
            <w:i/>
            <w:iCs/>
          </w:rPr>
          <w:t>Intergovernmental Agreement on Federal Financial Relations</w:t>
        </w:r>
      </w:hyperlink>
      <w:r w:rsidRPr="00F80E35">
        <w:t>, Australian Government, accessed 4 October 2024.</w:t>
      </w:r>
    </w:p>
    <w:p w14:paraId="76ADD55E" w14:textId="77777777" w:rsidR="002068A7" w:rsidRPr="00F80E35" w:rsidRDefault="002068A7" w:rsidP="002068A7">
      <w:r w:rsidRPr="00F80E35">
        <w:t xml:space="preserve">Commonwealth of Australia and Australian States and Territories (2023) </w:t>
      </w:r>
      <w:hyperlink r:id="rId84" w:tgtFrame="_new" w:history="1">
        <w:r w:rsidRPr="00F80E35">
          <w:rPr>
            <w:rStyle w:val="Hyperlink"/>
            <w:i/>
            <w:iCs/>
          </w:rPr>
          <w:t>Multilateral Data Sharing Agreement - Between the Commonwealth, States and Territories for the Australian National Data Integration Infrastructure (ANDII), National Disability Data Asset (NDDA) and future domain assets</w:t>
        </w:r>
      </w:hyperlink>
      <w:r w:rsidRPr="00F80E35">
        <w:t>, Australian Government, accessed 22 October 2024.</w:t>
      </w:r>
    </w:p>
    <w:p w14:paraId="05DF624D" w14:textId="77777777" w:rsidR="002068A7" w:rsidRPr="00F80E35" w:rsidRDefault="002068A7" w:rsidP="002068A7">
      <w:r w:rsidRPr="00F80E35">
        <w:t xml:space="preserve">Commonwealth of Australia and Australian States and Territories (2024a) </w:t>
      </w:r>
      <w:hyperlink r:id="rId85">
        <w:r w:rsidRPr="00F80E35">
          <w:rPr>
            <w:rStyle w:val="Hyperlink"/>
            <w:i/>
            <w:iCs/>
          </w:rPr>
          <w:t>Heads of Agreement (Better and Fairer Schools Agreement 2025-2034)</w:t>
        </w:r>
      </w:hyperlink>
      <w:r w:rsidRPr="00F80E35">
        <w:t>, Department of Education, Australian Government, accessed 22 October 2024.</w:t>
      </w:r>
    </w:p>
    <w:p w14:paraId="65CACDDB" w14:textId="77777777" w:rsidR="002068A7" w:rsidRPr="00F80E35" w:rsidRDefault="002068A7" w:rsidP="002068A7">
      <w:r w:rsidRPr="00F80E35">
        <w:t xml:space="preserve">Commonwealth of Australia and Australian States and Territories (2024b) </w:t>
      </w:r>
      <w:hyperlink r:id="rId86">
        <w:r w:rsidRPr="00F80E35">
          <w:rPr>
            <w:rStyle w:val="Hyperlink"/>
            <w:i/>
            <w:iCs/>
          </w:rPr>
          <w:t>National Agreement on Social Housing and Homelessness</w:t>
        </w:r>
      </w:hyperlink>
      <w:r w:rsidRPr="00F80E35">
        <w:t>, Australian Government, accessed 22 October 2024.</w:t>
      </w:r>
    </w:p>
    <w:p w14:paraId="30483901" w14:textId="77777777" w:rsidR="002068A7" w:rsidRPr="00F80E35" w:rsidRDefault="002068A7" w:rsidP="002068A7">
      <w:r w:rsidRPr="00F80E35">
        <w:t xml:space="preserve">Commonwealth of Australia (2019) </w:t>
      </w:r>
      <w:hyperlink r:id="rId87" w:tgtFrame="_new" w:history="1">
        <w:r w:rsidRPr="00F80E35">
          <w:rPr>
            <w:rStyle w:val="Hyperlink"/>
            <w:i/>
            <w:iCs/>
          </w:rPr>
          <w:t>Closing the Gap: Partnership</w:t>
        </w:r>
      </w:hyperlink>
      <w:r w:rsidRPr="00F80E35">
        <w:t>, Closing the Gap website, accessed 22 October 2024.</w:t>
      </w:r>
    </w:p>
    <w:p w14:paraId="5DBFAB29" w14:textId="77777777" w:rsidR="002068A7" w:rsidRPr="00F80E35" w:rsidRDefault="002068A7" w:rsidP="002068A7">
      <w:r w:rsidRPr="00F80E35">
        <w:t xml:space="preserve">Commonwealth of Australia (2023a) </w:t>
      </w:r>
      <w:hyperlink r:id="rId88">
        <w:r w:rsidRPr="00F80E35">
          <w:rPr>
            <w:rStyle w:val="Hyperlink"/>
            <w:i/>
            <w:iCs/>
          </w:rPr>
          <w:t>Data and Digital Government Strategy: The data and digital vision for a world-class APS to 2023</w:t>
        </w:r>
      </w:hyperlink>
      <w:r w:rsidRPr="00F80E35">
        <w:t>, Australian Government, accessed 22 October 2024.</w:t>
      </w:r>
    </w:p>
    <w:p w14:paraId="1D162EE5" w14:textId="77777777" w:rsidR="002068A7" w:rsidRPr="00F80E35" w:rsidRDefault="002068A7" w:rsidP="002068A7">
      <w:r w:rsidRPr="00F80E35">
        <w:t xml:space="preserve">Commonwealth of Australia (2023b) </w:t>
      </w:r>
      <w:hyperlink r:id="rId89">
        <w:r w:rsidRPr="00F80E35">
          <w:rPr>
            <w:rStyle w:val="Hyperlink"/>
            <w:i/>
            <w:iCs/>
          </w:rPr>
          <w:t>Statement of Expectations - Productivity Commission</w:t>
        </w:r>
      </w:hyperlink>
      <w:r w:rsidRPr="00F80E35">
        <w:t>, The Treasury, Australian Government, accessed 4 October 2024.</w:t>
      </w:r>
    </w:p>
    <w:p w14:paraId="7711C95A" w14:textId="77777777" w:rsidR="002068A7" w:rsidRPr="00F80E35" w:rsidRDefault="002068A7" w:rsidP="002068A7">
      <w:r w:rsidRPr="00F80E35">
        <w:t xml:space="preserve">Commonwealth of Australia (2023c) </w:t>
      </w:r>
      <w:hyperlink r:id="rId90">
        <w:r w:rsidRPr="00F80E35">
          <w:rPr>
            <w:rStyle w:val="Hyperlink"/>
            <w:i/>
            <w:iCs/>
          </w:rPr>
          <w:t>Measuring What Matters: Australia's First Wellbeing Framework</w:t>
        </w:r>
      </w:hyperlink>
      <w:r w:rsidRPr="00F80E35">
        <w:t>, Australian Government, accessed 22 October 2024.</w:t>
      </w:r>
    </w:p>
    <w:p w14:paraId="00666A73" w14:textId="77777777" w:rsidR="002068A7" w:rsidRPr="00F80E35" w:rsidRDefault="002068A7" w:rsidP="002068A7">
      <w:r w:rsidRPr="00F80E35">
        <w:t xml:space="preserve">Commonwealth of Australia (2023d) </w:t>
      </w:r>
      <w:hyperlink r:id="rId91">
        <w:r w:rsidRPr="00F80E35">
          <w:rPr>
            <w:rStyle w:val="Hyperlink"/>
            <w:i/>
            <w:iCs/>
          </w:rPr>
          <w:t>The Data and Digital Government Strategy</w:t>
        </w:r>
      </w:hyperlink>
      <w:r w:rsidRPr="00F80E35">
        <w:t>, Australian Government website, accessed 22 October 2024.</w:t>
      </w:r>
    </w:p>
    <w:p w14:paraId="740E6EDA" w14:textId="77777777" w:rsidR="002068A7" w:rsidRPr="00F80E35" w:rsidRDefault="002068A7" w:rsidP="002068A7">
      <w:r w:rsidRPr="00F80E35">
        <w:t xml:space="preserve">Commonwealth of Australia (2024a) </w:t>
      </w:r>
      <w:hyperlink r:id="rId92">
        <w:r w:rsidRPr="00F80E35">
          <w:rPr>
            <w:rStyle w:val="Hyperlink"/>
            <w:i/>
            <w:iCs/>
          </w:rPr>
          <w:t>Joint Council on Closing the Gap</w:t>
        </w:r>
      </w:hyperlink>
      <w:r w:rsidRPr="00F80E35">
        <w:t>, Closing the Gap website, accessed 31 October 2024.</w:t>
      </w:r>
    </w:p>
    <w:p w14:paraId="68BFA06C" w14:textId="77777777" w:rsidR="002068A7" w:rsidRPr="00F80E35" w:rsidRDefault="002068A7" w:rsidP="002068A7">
      <w:r w:rsidRPr="00F80E35">
        <w:t xml:space="preserve">Commonwealth of Australia (2024b) </w:t>
      </w:r>
      <w:hyperlink r:id="rId93">
        <w:r w:rsidRPr="00F80E35">
          <w:rPr>
            <w:rStyle w:val="Hyperlink"/>
            <w:i/>
            <w:iCs/>
          </w:rPr>
          <w:t>Framework for Governance of Indigenous Data: Practical guidance for the Australian Public Service</w:t>
        </w:r>
      </w:hyperlink>
      <w:r w:rsidRPr="00F80E35">
        <w:t>, Australian Government, accessed 22 October 2024.</w:t>
      </w:r>
    </w:p>
    <w:p w14:paraId="1A7A47CC" w14:textId="77777777" w:rsidR="002068A7" w:rsidRPr="00F80E35" w:rsidRDefault="002068A7" w:rsidP="002068A7">
      <w:r w:rsidRPr="00F80E35">
        <w:t xml:space="preserve">Controller and Auditor-General of New Zealand (2016) </w:t>
      </w:r>
      <w:hyperlink r:id="rId94" w:tgtFrame="_new" w:history="1">
        <w:r w:rsidRPr="00F80E35">
          <w:rPr>
            <w:rStyle w:val="Hyperlink"/>
            <w:i/>
            <w:iCs/>
          </w:rPr>
          <w:t>Improving financial reporting in the public sector</w:t>
        </w:r>
      </w:hyperlink>
      <w:r w:rsidRPr="00F80E35">
        <w:t>, New Zealand Government, accessed 22 October 2024.</w:t>
      </w:r>
    </w:p>
    <w:p w14:paraId="60211A8D" w14:textId="77777777" w:rsidR="002068A7" w:rsidRPr="00F80E35" w:rsidRDefault="002068A7" w:rsidP="002068A7">
      <w:r w:rsidRPr="00F80E35">
        <w:t xml:space="preserve">Controller and Auditor-General of New Zealand (2021) </w:t>
      </w:r>
      <w:hyperlink r:id="rId95" w:tgtFrame="_new" w:history="1">
        <w:r w:rsidRPr="00F80E35">
          <w:rPr>
            <w:rStyle w:val="Hyperlink"/>
            <w:i/>
            <w:iCs/>
          </w:rPr>
          <w:t>The problems, progress, and potential of performance reporting</w:t>
        </w:r>
      </w:hyperlink>
      <w:r w:rsidRPr="00F80E35">
        <w:t>, New Zealand Government, accessed 22 October 2024.</w:t>
      </w:r>
    </w:p>
    <w:p w14:paraId="71046AF6" w14:textId="77777777" w:rsidR="002068A7" w:rsidRPr="00F80E35" w:rsidRDefault="002068A7" w:rsidP="002068A7">
      <w:r w:rsidRPr="00F80E35">
        <w:t xml:space="preserve">Department of Finance (2024) </w:t>
      </w:r>
      <w:hyperlink r:id="rId96" w:tgtFrame="_new" w:history="1">
        <w:r w:rsidRPr="00F80E35">
          <w:rPr>
            <w:rStyle w:val="Hyperlink"/>
            <w:i/>
            <w:iCs/>
          </w:rPr>
          <w:t>Commonwealth Performance Framework</w:t>
        </w:r>
      </w:hyperlink>
      <w:r w:rsidRPr="00F80E35">
        <w:t>, Australian Department of Finance Website, accessed 22 October 2024.</w:t>
      </w:r>
    </w:p>
    <w:p w14:paraId="5188541B" w14:textId="77777777" w:rsidR="002068A7" w:rsidRPr="00F80E35" w:rsidRDefault="002068A7" w:rsidP="002068A7">
      <w:r w:rsidRPr="00F80E35">
        <w:t xml:space="preserve">Department of the Prime Minister and Cabinet (2016) </w:t>
      </w:r>
      <w:r w:rsidRPr="00F80E35">
        <w:rPr>
          <w:i/>
          <w:iCs/>
        </w:rPr>
        <w:t>COAG: Report on Performance 2016</w:t>
      </w:r>
      <w:r w:rsidRPr="00F80E35">
        <w:t>, Department of the Prime Minister and Cabinet, Australian Government.</w:t>
      </w:r>
    </w:p>
    <w:p w14:paraId="760F69A5" w14:textId="77777777" w:rsidR="002068A7" w:rsidRPr="00F80E35" w:rsidRDefault="002068A7" w:rsidP="002068A7">
      <w:r w:rsidRPr="00F80E35">
        <w:t xml:space="preserve">Digital Transformation Agency (2024) </w:t>
      </w:r>
      <w:hyperlink r:id="rId97" w:tgtFrame="_new" w:history="1">
        <w:r w:rsidRPr="00F80E35">
          <w:rPr>
            <w:rStyle w:val="Hyperlink"/>
            <w:i/>
            <w:iCs/>
          </w:rPr>
          <w:t>Digital Experience Policy: Supporting better digital experiences for all people and business</w:t>
        </w:r>
      </w:hyperlink>
      <w:r w:rsidRPr="00F80E35">
        <w:t>, digital.gov.au, accessed 22 October 2024.</w:t>
      </w:r>
    </w:p>
    <w:p w14:paraId="4854D6FA" w14:textId="77777777" w:rsidR="002068A7" w:rsidRPr="00F80E35" w:rsidRDefault="002068A7" w:rsidP="002068A7">
      <w:r w:rsidRPr="00F80E35">
        <w:t xml:space="preserve">Fentiman S (Queensland Minister for Health) (1 February 2024) </w:t>
      </w:r>
      <w:hyperlink r:id="rId98" w:tgtFrame="_new" w:history="1">
        <w:r w:rsidRPr="00F80E35">
          <w:rPr>
            <w:rStyle w:val="Hyperlink"/>
            <w:i/>
            <w:iCs/>
          </w:rPr>
          <w:t>Independent report finds Queensland is one of the nation’s best health performers</w:t>
        </w:r>
      </w:hyperlink>
      <w:r w:rsidRPr="00F80E35">
        <w:t xml:space="preserve"> [media release], Queensland Government, accessed 4 October 2024.</w:t>
      </w:r>
    </w:p>
    <w:p w14:paraId="79C80E5B" w14:textId="77777777" w:rsidR="002068A7" w:rsidRDefault="002068A7" w:rsidP="002068A7">
      <w:r w:rsidRPr="00F80E35">
        <w:t xml:space="preserve">Government of the United Kingdom (2021) </w:t>
      </w:r>
      <w:hyperlink r:id="rId99" w:anchor=":~:text=The%20Performance%20Platform%20was%20a,Platform%20on%2015%20March%202021" w:tgtFrame="_new" w:history="1">
        <w:r w:rsidRPr="00F80E35">
          <w:rPr>
            <w:rStyle w:val="Hyperlink"/>
            <w:i/>
            <w:iCs/>
          </w:rPr>
          <w:t>Measuring success: Data you must publish</w:t>
        </w:r>
      </w:hyperlink>
      <w:r w:rsidRPr="00F80E35">
        <w:t>, Gov.UK, accessed 22 October 2024.</w:t>
      </w:r>
    </w:p>
    <w:p w14:paraId="0ADBBB96" w14:textId="77777777" w:rsidR="002068A7" w:rsidRPr="00F80E35" w:rsidRDefault="002068A7" w:rsidP="002068A7">
      <w:r w:rsidRPr="00F80E35">
        <w:t>Hoddinott S, Davies N, Fright M, Nye P and Richards G (2023</w:t>
      </w:r>
      <w:r>
        <w:t>)</w:t>
      </w:r>
      <w:r w:rsidRPr="00F80E35">
        <w:t xml:space="preserve"> </w:t>
      </w:r>
      <w:hyperlink r:id="rId100" w:tgtFrame="_new" w:history="1">
        <w:r w:rsidRPr="00F80E35">
          <w:rPr>
            <w:rStyle w:val="Hyperlink"/>
            <w:i/>
            <w:iCs/>
          </w:rPr>
          <w:t>Performance Tracker 2023: Public services as the UK approaches a general election</w:t>
        </w:r>
      </w:hyperlink>
      <w:r w:rsidRPr="00F80E35">
        <w:t>, The Chartered Institute of Public Finance &amp; Accountancy, Government of the United Kingdom, accessed 22 October 2024.</w:t>
      </w:r>
    </w:p>
    <w:p w14:paraId="2AB82D27" w14:textId="77777777" w:rsidR="002068A7" w:rsidRPr="00F80E35" w:rsidRDefault="002068A7" w:rsidP="002068A7">
      <w:r w:rsidRPr="00F80E35">
        <w:t xml:space="preserve">Independent Reference Group (2010) </w:t>
      </w:r>
      <w:hyperlink r:id="rId101" w:tgtFrame="_new" w:history="1">
        <w:r w:rsidRPr="00F80E35">
          <w:rPr>
            <w:rStyle w:val="Hyperlink"/>
            <w:i/>
            <w:iCs/>
          </w:rPr>
          <w:t>Review of the Report on Government on Government Services' performance indicator framework</w:t>
        </w:r>
      </w:hyperlink>
      <w:r w:rsidRPr="00F80E35">
        <w:t>, Steering Committee for the Review of Government Service Provision, accessed 22 October 2024.</w:t>
      </w:r>
    </w:p>
    <w:p w14:paraId="76A90BD4" w14:textId="77777777" w:rsidR="002068A7" w:rsidRPr="00F80E35" w:rsidRDefault="002068A7" w:rsidP="002068A7">
      <w:r w:rsidRPr="00F80E35">
        <w:t xml:space="preserve">Melbourne Social Equity Institute (2024) </w:t>
      </w:r>
      <w:hyperlink r:id="rId102" w:anchor=":~:text=The%20WEAVERs%20are%20a%20panel%20of%20survivors%20of%20violence%20against%20women.&amp;text=The%20WEAVERs%20are%20a%20group,at%20the%20University%20of%20Melbourne" w:tgtFrame="_new" w:history="1">
        <w:r w:rsidRPr="00F80E35">
          <w:rPr>
            <w:rStyle w:val="Hyperlink"/>
            <w:i/>
            <w:iCs/>
          </w:rPr>
          <w:t>The WEAVERs Project</w:t>
        </w:r>
      </w:hyperlink>
      <w:r w:rsidRPr="00F80E35">
        <w:t>, University of Melbourne website, accessed 22 October 2024.</w:t>
      </w:r>
    </w:p>
    <w:p w14:paraId="4E37BBFA" w14:textId="77777777" w:rsidR="002068A7" w:rsidRPr="00F80E35" w:rsidRDefault="002068A7" w:rsidP="002068A7">
      <w:r w:rsidRPr="00F80E35">
        <w:t xml:space="preserve">NDDA (National Disability Data Asset) (2021) </w:t>
      </w:r>
      <w:hyperlink r:id="rId103" w:tgtFrame="_new" w:history="1">
        <w:r w:rsidRPr="00F80E35">
          <w:rPr>
            <w:rStyle w:val="Hyperlink"/>
            <w:i/>
            <w:iCs/>
          </w:rPr>
          <w:t>Pilot Findings</w:t>
        </w:r>
      </w:hyperlink>
      <w:r w:rsidRPr="00F80E35">
        <w:t>, NDDA website, accessed 22 October 2024.</w:t>
      </w:r>
    </w:p>
    <w:p w14:paraId="4B333851" w14:textId="77777777" w:rsidR="002068A7" w:rsidRPr="00F80E35" w:rsidRDefault="002068A7" w:rsidP="002068A7">
      <w:r w:rsidRPr="00F80E35">
        <w:t xml:space="preserve">NSW Government (2023) </w:t>
      </w:r>
      <w:hyperlink r:id="rId104" w:tgtFrame="_new" w:history="1">
        <w:r w:rsidRPr="00F80E35">
          <w:rPr>
            <w:rStyle w:val="Hyperlink"/>
            <w:i/>
            <w:iCs/>
          </w:rPr>
          <w:t>Evaluation Policy and Guidelines</w:t>
        </w:r>
      </w:hyperlink>
      <w:r w:rsidRPr="00F80E35">
        <w:t>, NSW Government, accessed 22 October 2024.</w:t>
      </w:r>
    </w:p>
    <w:p w14:paraId="070454BE" w14:textId="77777777" w:rsidR="002068A7" w:rsidRPr="00F80E35" w:rsidRDefault="002068A7" w:rsidP="002068A7">
      <w:r w:rsidRPr="00F80E35">
        <w:t xml:space="preserve">NSW Government (2024) </w:t>
      </w:r>
      <w:hyperlink r:id="rId105" w:tgtFrame="_new" w:history="1">
        <w:r w:rsidRPr="00F80E35">
          <w:rPr>
            <w:rStyle w:val="Hyperlink"/>
            <w:i/>
            <w:iCs/>
          </w:rPr>
          <w:t>AgTrack - Agricultural and Land Use Dashboard</w:t>
        </w:r>
      </w:hyperlink>
      <w:r w:rsidRPr="00F80E35">
        <w:t>, NSW Treasury website, accessed 22 October 2024.</w:t>
      </w:r>
    </w:p>
    <w:p w14:paraId="4C33C448" w14:textId="77777777" w:rsidR="002068A7" w:rsidRPr="00F80E35" w:rsidRDefault="002068A7" w:rsidP="002068A7">
      <w:r w:rsidRPr="00F80E35">
        <w:t xml:space="preserve">OECD (2022) </w:t>
      </w:r>
      <w:hyperlink r:id="rId106" w:tgtFrame="_new" w:history="1">
        <w:r w:rsidRPr="00F80E35">
          <w:rPr>
            <w:rStyle w:val="Hyperlink"/>
            <w:i/>
            <w:iCs/>
          </w:rPr>
          <w:t>Open Government Data</w:t>
        </w:r>
      </w:hyperlink>
      <w:r w:rsidRPr="00F80E35">
        <w:t>, OECD web archive, accessed 22 October 2024.</w:t>
      </w:r>
    </w:p>
    <w:p w14:paraId="78FDCE07" w14:textId="77777777" w:rsidR="002068A7" w:rsidRPr="00F80E35" w:rsidRDefault="002068A7" w:rsidP="002068A7">
      <w:r w:rsidRPr="00F80E35">
        <w:t xml:space="preserve">OECD (Organisation for Economic Cooperation and Development) (2023a) </w:t>
      </w:r>
      <w:hyperlink r:id="rId107">
        <w:r w:rsidRPr="00F80E35">
          <w:rPr>
            <w:rStyle w:val="Hyperlink"/>
            <w:i/>
            <w:iCs/>
          </w:rPr>
          <w:t>Service citizens scorecards</w:t>
        </w:r>
      </w:hyperlink>
      <w:r w:rsidRPr="00F80E35">
        <w:t>, OECD iLibrary, accessed 22 October 2024.</w:t>
      </w:r>
    </w:p>
    <w:p w14:paraId="3BD5D482" w14:textId="77777777" w:rsidR="002068A7" w:rsidRPr="00F80E35" w:rsidRDefault="002068A7" w:rsidP="002068A7">
      <w:r w:rsidRPr="00F80E35">
        <w:t xml:space="preserve">OECD (2023b) </w:t>
      </w:r>
      <w:hyperlink r:id="rId108">
        <w:r w:rsidRPr="00F80E35">
          <w:rPr>
            <w:rStyle w:val="Hyperlink"/>
            <w:i/>
            <w:iCs/>
          </w:rPr>
          <w:t>Government at a Glance 2023</w:t>
        </w:r>
      </w:hyperlink>
      <w:r w:rsidRPr="00F80E35">
        <w:t>, OECD iLibrary, accessed 31 October 2024.</w:t>
      </w:r>
    </w:p>
    <w:p w14:paraId="154663B5" w14:textId="77777777" w:rsidR="002068A7" w:rsidRPr="00F80E35" w:rsidRDefault="002068A7" w:rsidP="002068A7">
      <w:r w:rsidRPr="00F80E35">
        <w:t xml:space="preserve">OECD (2024) </w:t>
      </w:r>
      <w:hyperlink r:id="rId109" w:tgtFrame="_new" w:history="1">
        <w:r w:rsidRPr="00F80E35">
          <w:rPr>
            <w:rStyle w:val="Hyperlink"/>
            <w:i/>
            <w:iCs/>
          </w:rPr>
          <w:t>Curriculum Flexibility and Autonomy: Promoting a thriving learning environment</w:t>
        </w:r>
      </w:hyperlink>
      <w:r w:rsidRPr="00F80E35">
        <w:t>, OECD Publishing, Paris, accessed 22 October 2024.</w:t>
      </w:r>
    </w:p>
    <w:p w14:paraId="486BE07C" w14:textId="77777777" w:rsidR="002068A7" w:rsidRPr="00F80E35" w:rsidRDefault="002068A7" w:rsidP="002068A7">
      <w:r w:rsidRPr="00F80E35">
        <w:t xml:space="preserve">Office for National Statistics (2024) </w:t>
      </w:r>
      <w:hyperlink r:id="rId110" w:tgtFrame="_new" w:history="1">
        <w:r w:rsidRPr="00F80E35">
          <w:rPr>
            <w:rStyle w:val="Hyperlink"/>
            <w:i/>
            <w:iCs/>
          </w:rPr>
          <w:t>Data visualisation</w:t>
        </w:r>
      </w:hyperlink>
      <w:r w:rsidRPr="00F80E35">
        <w:t>, Office for National Statistics website,</w:t>
      </w:r>
      <w:r>
        <w:t xml:space="preserve"> </w:t>
      </w:r>
      <w:r w:rsidRPr="00F80E35">
        <w:t>Government of the United Kingdom</w:t>
      </w:r>
      <w:r>
        <w:t>,</w:t>
      </w:r>
      <w:r w:rsidRPr="00F80E35">
        <w:t xml:space="preserve"> accessed 22 October 2024.</w:t>
      </w:r>
    </w:p>
    <w:p w14:paraId="6D8FC4B1" w14:textId="77777777" w:rsidR="002068A7" w:rsidRPr="00F80E35" w:rsidRDefault="002068A7" w:rsidP="002068A7">
      <w:r w:rsidRPr="00F80E35">
        <w:t xml:space="preserve">PANDA (Perinatal Anxiety &amp; Depression Australia) (2022) </w:t>
      </w:r>
      <w:hyperlink r:id="rId111" w:tgtFrame="_new" w:history="1">
        <w:r w:rsidRPr="00F80E35">
          <w:rPr>
            <w:rStyle w:val="Hyperlink"/>
            <w:i/>
            <w:iCs/>
          </w:rPr>
          <w:t>2021-2022: PANDA Annual Impact Report</w:t>
        </w:r>
      </w:hyperlink>
      <w:r w:rsidRPr="00F80E35">
        <w:t>, PANDA website, accessed 22 October 2024.</w:t>
      </w:r>
    </w:p>
    <w:p w14:paraId="3F79BDBA" w14:textId="77777777" w:rsidR="002068A7" w:rsidRPr="00F80E35" w:rsidRDefault="002068A7" w:rsidP="002068A7">
      <w:r w:rsidRPr="00F80E35">
        <w:t>PC (Productivity Commission) (2021a</w:t>
      </w:r>
      <w:r>
        <w:t>)</w:t>
      </w:r>
      <w:r w:rsidRPr="00F80E35">
        <w:t xml:space="preserve"> </w:t>
      </w:r>
      <w:hyperlink r:id="rId112">
        <w:r w:rsidRPr="00F80E35">
          <w:rPr>
            <w:rStyle w:val="Hyperlink"/>
            <w:i/>
            <w:iCs/>
          </w:rPr>
          <w:t>What Works pilot outcomes</w:t>
        </w:r>
      </w:hyperlink>
      <w:r w:rsidRPr="00F80E35">
        <w:t>, RoGS website, accessed 22 October 2024.</w:t>
      </w:r>
    </w:p>
    <w:p w14:paraId="3C705320" w14:textId="77777777" w:rsidR="002068A7" w:rsidRPr="00F80E35" w:rsidRDefault="002068A7" w:rsidP="002068A7">
      <w:r w:rsidRPr="00F80E35">
        <w:t>PC (2021b</w:t>
      </w:r>
      <w:r>
        <w:t>)</w:t>
      </w:r>
      <w:r w:rsidRPr="00F80E35">
        <w:t xml:space="preserve"> </w:t>
      </w:r>
      <w:hyperlink r:id="rId113">
        <w:r w:rsidRPr="00F80E35">
          <w:rPr>
            <w:rStyle w:val="Hyperlink"/>
            <w:i/>
            <w:iCs/>
          </w:rPr>
          <w:t>Enabling the public health approach to protecting children</w:t>
        </w:r>
      </w:hyperlink>
      <w:r w:rsidRPr="00F80E35">
        <w:t>, PC, accessed 22 October 2024.</w:t>
      </w:r>
    </w:p>
    <w:p w14:paraId="3C31C233" w14:textId="77777777" w:rsidR="002068A7" w:rsidRPr="00F80E35" w:rsidRDefault="002068A7" w:rsidP="002068A7">
      <w:r w:rsidRPr="00F80E35">
        <w:t>PC (2023a</w:t>
      </w:r>
      <w:r>
        <w:t>)</w:t>
      </w:r>
      <w:r w:rsidRPr="00F80E35">
        <w:t xml:space="preserve"> </w:t>
      </w:r>
      <w:hyperlink r:id="rId114">
        <w:r w:rsidRPr="00F80E35">
          <w:rPr>
            <w:rStyle w:val="Hyperlink"/>
            <w:i/>
            <w:iCs/>
          </w:rPr>
          <w:t>Performance Reporting Dashboard</w:t>
        </w:r>
      </w:hyperlink>
      <w:r w:rsidRPr="00F80E35">
        <w:t>, Performance Reporting Dashboard, accessed 29 July 2024.</w:t>
      </w:r>
    </w:p>
    <w:p w14:paraId="5BF3F49E" w14:textId="77777777" w:rsidR="002068A7" w:rsidRPr="00F80E35" w:rsidRDefault="002068A7" w:rsidP="002068A7">
      <w:r w:rsidRPr="00F80E35">
        <w:t>PC (2023b</w:t>
      </w:r>
      <w:r>
        <w:t>)</w:t>
      </w:r>
      <w:r w:rsidRPr="00F80E35">
        <w:t xml:space="preserve"> </w:t>
      </w:r>
      <w:hyperlink r:id="rId115">
        <w:r w:rsidRPr="00F80E35">
          <w:rPr>
            <w:rStyle w:val="Hyperlink"/>
            <w:i/>
            <w:iCs/>
          </w:rPr>
          <w:t>Performance Reporting Dashboard: About</w:t>
        </w:r>
      </w:hyperlink>
      <w:r w:rsidRPr="00F80E35">
        <w:t>, Performance Reporting Dashboard, accessed 29 July 2024.</w:t>
      </w:r>
    </w:p>
    <w:p w14:paraId="38FC464A" w14:textId="77777777" w:rsidR="002068A7" w:rsidRPr="00F80E35" w:rsidRDefault="002068A7" w:rsidP="002068A7">
      <w:r w:rsidRPr="00F80E35">
        <w:t>PC (2023b</w:t>
      </w:r>
      <w:r>
        <w:t>)</w:t>
      </w:r>
      <w:r w:rsidRPr="00F80E35">
        <w:t xml:space="preserve"> </w:t>
      </w:r>
      <w:hyperlink r:id="rId116">
        <w:r w:rsidRPr="00F80E35">
          <w:rPr>
            <w:rStyle w:val="Hyperlink"/>
            <w:i/>
            <w:iCs/>
          </w:rPr>
          <w:t>Performance Reporting Dashboard: About</w:t>
        </w:r>
      </w:hyperlink>
      <w:r w:rsidRPr="00F80E35">
        <w:t>, Performance Reporting Dashboard, accessed 29 July 2024.</w:t>
      </w:r>
    </w:p>
    <w:p w14:paraId="41214625" w14:textId="77777777" w:rsidR="002068A7" w:rsidRPr="00F80E35" w:rsidRDefault="002068A7" w:rsidP="002068A7">
      <w:r w:rsidRPr="00F80E35">
        <w:t>PC (2023c</w:t>
      </w:r>
      <w:r>
        <w:t>)</w:t>
      </w:r>
      <w:r w:rsidRPr="00F80E35">
        <w:t xml:space="preserve"> </w:t>
      </w:r>
      <w:hyperlink r:id="rId117">
        <w:r w:rsidRPr="00F80E35">
          <w:rPr>
            <w:rStyle w:val="Hyperlink"/>
            <w:i/>
            <w:iCs/>
          </w:rPr>
          <w:t>Advancing Prosperity: 5-year Productivity Inquiry report</w:t>
        </w:r>
      </w:hyperlink>
      <w:r w:rsidRPr="00F80E35">
        <w:t>, PC website, accessed 22 October 2024.</w:t>
      </w:r>
    </w:p>
    <w:p w14:paraId="348CDB4C" w14:textId="77777777" w:rsidR="002068A7" w:rsidRPr="00F80E35" w:rsidRDefault="002068A7" w:rsidP="002068A7">
      <w:r w:rsidRPr="00F80E35">
        <w:t>PC (2024a</w:t>
      </w:r>
      <w:r>
        <w:t>)</w:t>
      </w:r>
      <w:r w:rsidRPr="00F80E35">
        <w:t xml:space="preserve"> </w:t>
      </w:r>
      <w:hyperlink r:id="rId118">
        <w:r w:rsidRPr="00F80E35">
          <w:rPr>
            <w:rStyle w:val="Hyperlink"/>
            <w:i/>
            <w:iCs/>
          </w:rPr>
          <w:t>Quarterly productivity bulletin - June 2024</w:t>
        </w:r>
      </w:hyperlink>
      <w:r w:rsidRPr="00F80E35">
        <w:t>, PC, accessed 3 December 2024.</w:t>
      </w:r>
    </w:p>
    <w:p w14:paraId="1AC5D4FE" w14:textId="77777777" w:rsidR="002068A7" w:rsidRPr="00F80E35" w:rsidRDefault="002068A7" w:rsidP="002068A7">
      <w:r w:rsidRPr="00F80E35">
        <w:t>PC (2024b</w:t>
      </w:r>
      <w:r>
        <w:t>)</w:t>
      </w:r>
      <w:r w:rsidRPr="00F80E35">
        <w:t xml:space="preserve"> </w:t>
      </w:r>
      <w:r w:rsidRPr="00F80E35">
        <w:rPr>
          <w:i/>
          <w:iCs/>
        </w:rPr>
        <w:t>Response from the Secretariat for the Review of Government Service Provision to Review information requests</w:t>
      </w:r>
      <w:r w:rsidRPr="00F80E35">
        <w:t xml:space="preserve"> [unpublished] PC, Canberra.</w:t>
      </w:r>
    </w:p>
    <w:p w14:paraId="3288DAB5" w14:textId="77777777" w:rsidR="002068A7" w:rsidRPr="00F80E35" w:rsidRDefault="002068A7" w:rsidP="002068A7">
      <w:r w:rsidRPr="00F80E35">
        <w:t>PC (2024c</w:t>
      </w:r>
      <w:r>
        <w:t>)</w:t>
      </w:r>
      <w:r w:rsidRPr="00F80E35">
        <w:t xml:space="preserve"> </w:t>
      </w:r>
      <w:hyperlink r:id="rId119">
        <w:r w:rsidRPr="00F80E35">
          <w:rPr>
            <w:rStyle w:val="Hyperlink"/>
            <w:i/>
            <w:iCs/>
          </w:rPr>
          <w:t>Closing the Gap: Information Repository</w:t>
        </w:r>
      </w:hyperlink>
      <w:r w:rsidRPr="00F80E35">
        <w:t>, Closing the Gap Dashboard, accessed 22 October 2024.</w:t>
      </w:r>
    </w:p>
    <w:p w14:paraId="473B21B4" w14:textId="77777777" w:rsidR="002068A7" w:rsidRPr="00F80E35" w:rsidRDefault="002068A7" w:rsidP="002068A7">
      <w:r w:rsidRPr="00F80E35">
        <w:t>PC and Forum of Federations (2012</w:t>
      </w:r>
      <w:r>
        <w:t>)</w:t>
      </w:r>
      <w:r w:rsidRPr="00F80E35">
        <w:t xml:space="preserve"> ‘</w:t>
      </w:r>
      <w:hyperlink r:id="rId120" w:tgtFrame="_new" w:history="1">
        <w:r w:rsidRPr="00F80E35">
          <w:rPr>
            <w:rStyle w:val="Hyperlink"/>
          </w:rPr>
          <w:t>Benchmarking in Federal Systems</w:t>
        </w:r>
      </w:hyperlink>
      <w:r w:rsidRPr="00F80E35">
        <w:t xml:space="preserve">’, </w:t>
      </w:r>
      <w:r w:rsidRPr="00F80E35">
        <w:rPr>
          <w:i/>
          <w:iCs/>
        </w:rPr>
        <w:t xml:space="preserve">Roundtable Proceedings 19-20 December 2010, </w:t>
      </w:r>
      <w:r w:rsidRPr="00F80E35">
        <w:t>Melbourne (Fenna A and Knüpling F eds)</w:t>
      </w:r>
      <w:r w:rsidRPr="00F80E35">
        <w:rPr>
          <w:i/>
          <w:iCs/>
        </w:rPr>
        <w:t xml:space="preserve">, </w:t>
      </w:r>
      <w:r w:rsidRPr="00F80E35">
        <w:t>PC, Canberra.</w:t>
      </w:r>
    </w:p>
    <w:p w14:paraId="4288C8F6" w14:textId="77777777" w:rsidR="002068A7" w:rsidRPr="00F80E35" w:rsidRDefault="002068A7" w:rsidP="002068A7">
      <w:r w:rsidRPr="00F80E35">
        <w:t>Phillips L (2018</w:t>
      </w:r>
      <w:r>
        <w:t>)</w:t>
      </w:r>
      <w:r w:rsidRPr="00F80E35">
        <w:t xml:space="preserve"> ‘</w:t>
      </w:r>
      <w:hyperlink r:id="rId121" w:tgtFrame="_new" w:history="1">
        <w:r w:rsidRPr="00F80E35">
          <w:rPr>
            <w:rStyle w:val="Hyperlink"/>
          </w:rPr>
          <w:t>Improving the Performance of Sub-national Governments through Benchmarking and Performance Reporting</w:t>
        </w:r>
      </w:hyperlink>
      <w:r w:rsidRPr="00F80E35">
        <w:t xml:space="preserve">’, </w:t>
      </w:r>
      <w:r w:rsidRPr="00F80E35">
        <w:rPr>
          <w:i/>
          <w:iCs/>
        </w:rPr>
        <w:t xml:space="preserve">OECD Working Papers on Fiscal Federalism, </w:t>
      </w:r>
      <w:r w:rsidRPr="00F80E35">
        <w:t>catalogue number No. 22, OECD Publishing, Paris, accessed 3 December 2024.</w:t>
      </w:r>
    </w:p>
    <w:p w14:paraId="149265A7" w14:textId="77777777" w:rsidR="002068A7" w:rsidRPr="00F80E35" w:rsidRDefault="002068A7" w:rsidP="002068A7">
      <w:r w:rsidRPr="00F80E35">
        <w:t>Queensland Crime and Corruption Commission (2024</w:t>
      </w:r>
      <w:r>
        <w:t>)</w:t>
      </w:r>
      <w:r w:rsidRPr="00F80E35">
        <w:t xml:space="preserve"> </w:t>
      </w:r>
      <w:hyperlink r:id="rId122" w:tgtFrame="_new" w:history="1">
        <w:r w:rsidRPr="00F80E35">
          <w:rPr>
            <w:rStyle w:val="Hyperlink"/>
            <w:i/>
            <w:iCs/>
          </w:rPr>
          <w:t>Corruption allegations data dashboard</w:t>
        </w:r>
      </w:hyperlink>
      <w:r w:rsidRPr="00F80E35">
        <w:t>, CCC website, accessed 22 October 2024.</w:t>
      </w:r>
    </w:p>
    <w:p w14:paraId="4F527ACE" w14:textId="77777777" w:rsidR="002068A7" w:rsidRPr="00F80E35" w:rsidRDefault="002068A7" w:rsidP="002068A7">
      <w:r w:rsidRPr="00F80E35">
        <w:t>Queensland Government (2022</w:t>
      </w:r>
      <w:r>
        <w:t>)</w:t>
      </w:r>
      <w:r w:rsidRPr="00F80E35">
        <w:t xml:space="preserve"> </w:t>
      </w:r>
      <w:hyperlink r:id="rId123" w:tgtFrame="_new" w:history="1">
        <w:r w:rsidRPr="00F80E35">
          <w:rPr>
            <w:rStyle w:val="Hyperlink"/>
            <w:i/>
            <w:iCs/>
          </w:rPr>
          <w:t>Queensland Government Performance Management Framework Policy</w:t>
        </w:r>
      </w:hyperlink>
      <w:r w:rsidRPr="00F80E35">
        <w:t>, Department of Premier and Cabinet, Queensland Government, accessed 22 October 2024.</w:t>
      </w:r>
    </w:p>
    <w:p w14:paraId="2A3E0116" w14:textId="77777777" w:rsidR="002068A7" w:rsidRPr="00F80E35" w:rsidRDefault="002068A7" w:rsidP="002068A7">
      <w:r w:rsidRPr="00F80E35">
        <w:t>Senate Community Affairs References Committee (2023</w:t>
      </w:r>
      <w:r>
        <w:t>)</w:t>
      </w:r>
      <w:r w:rsidRPr="00F80E35">
        <w:t xml:space="preserve"> </w:t>
      </w:r>
      <w:hyperlink r:id="rId124" w:tgtFrame="_new" w:history="1">
        <w:r w:rsidRPr="00F80E35">
          <w:rPr>
            <w:rStyle w:val="Hyperlink"/>
            <w:i/>
            <w:iCs/>
          </w:rPr>
          <w:t>Concussions and repeated head trauma in contact sports</w:t>
        </w:r>
      </w:hyperlink>
      <w:r w:rsidRPr="00F80E35">
        <w:t>, Australian Government, accessed 22 October 2024.</w:t>
      </w:r>
    </w:p>
    <w:p w14:paraId="27BC7113" w14:textId="77777777" w:rsidR="002068A7" w:rsidRPr="00F80E35" w:rsidRDefault="002068A7" w:rsidP="002068A7">
      <w:r w:rsidRPr="00F80E35">
        <w:t>Senior Officials/Heads of Treasuries Working Group (2009</w:t>
      </w:r>
      <w:r>
        <w:t>)</w:t>
      </w:r>
      <w:r w:rsidRPr="00F80E35">
        <w:t xml:space="preserve"> </w:t>
      </w:r>
      <w:r w:rsidRPr="00F80E35">
        <w:rPr>
          <w:i/>
          <w:iCs/>
        </w:rPr>
        <w:t>Review of the Report on Government Services: Report to the Council of Australian Governments</w:t>
      </w:r>
      <w:r w:rsidRPr="00F80E35">
        <w:t xml:space="preserve"> [unpublished], COAG, Canberra.</w:t>
      </w:r>
    </w:p>
    <w:p w14:paraId="034AB5B4" w14:textId="77777777" w:rsidR="002068A7" w:rsidRPr="00F80E35" w:rsidRDefault="002068A7" w:rsidP="002068A7">
      <w:r w:rsidRPr="00F80E35">
        <w:t xml:space="preserve">Statistics Canada (2024) </w:t>
      </w:r>
      <w:hyperlink r:id="rId125" w:tgtFrame="_new" w:history="1">
        <w:r w:rsidRPr="00F80E35">
          <w:rPr>
            <w:rStyle w:val="Hyperlink"/>
            <w:i/>
            <w:iCs/>
          </w:rPr>
          <w:t>Aviation Data Visualization Hub</w:t>
        </w:r>
      </w:hyperlink>
      <w:r w:rsidRPr="00F80E35">
        <w:t>, Statistics Canada website, accessed 22 October 2024.</w:t>
      </w:r>
    </w:p>
    <w:p w14:paraId="64297F06" w14:textId="77777777" w:rsidR="002068A7" w:rsidRPr="00F80E35" w:rsidRDefault="002068A7" w:rsidP="002068A7">
      <w:r w:rsidRPr="00F80E35">
        <w:t xml:space="preserve">Steering Committee for Review of Commonwealth/State Service Provision (1995) </w:t>
      </w:r>
      <w:hyperlink r:id="rId126" w:history="1">
        <w:r w:rsidRPr="00F80E35">
          <w:rPr>
            <w:rStyle w:val="Hyperlink"/>
            <w:i/>
            <w:iCs/>
          </w:rPr>
          <w:t>Report on Government Service Provision: 1995</w:t>
        </w:r>
      </w:hyperlink>
      <w:r w:rsidRPr="00F80E35">
        <w:t>, PC, Canberra, accessed 4 October 2024.</w:t>
      </w:r>
    </w:p>
    <w:p w14:paraId="26FAF1B5" w14:textId="77777777" w:rsidR="002068A7" w:rsidRPr="00F80E35" w:rsidRDefault="002068A7" w:rsidP="002068A7">
      <w:r w:rsidRPr="00F80E35">
        <w:t xml:space="preserve">Steering Committee for Review of Commonwealth/State Service Provision (1997) </w:t>
      </w:r>
      <w:hyperlink r:id="rId127" w:tgtFrame="_new" w:history="1">
        <w:r w:rsidRPr="00F80E35">
          <w:rPr>
            <w:rStyle w:val="Hyperlink"/>
            <w:i/>
            <w:iCs/>
          </w:rPr>
          <w:t>Report on Government Services: 1997</w:t>
        </w:r>
      </w:hyperlink>
      <w:r w:rsidRPr="00F80E35">
        <w:t>, PC, Canberra, accessed 31 October 2024.</w:t>
      </w:r>
    </w:p>
    <w:p w14:paraId="04178626" w14:textId="77777777" w:rsidR="002068A7" w:rsidRPr="00F80E35" w:rsidRDefault="002068A7" w:rsidP="002068A7">
      <w:r w:rsidRPr="00F80E35">
        <w:t>Steering Committee (Steering Committee for the Review of Government Service Provision) (2018</w:t>
      </w:r>
      <w:r>
        <w:t>)</w:t>
      </w:r>
      <w:r w:rsidRPr="00F80E35">
        <w:t xml:space="preserve"> </w:t>
      </w:r>
      <w:hyperlink r:id="rId128" w:tgtFrame="_new" w:history="1">
        <w:r w:rsidRPr="00F80E35">
          <w:rPr>
            <w:rStyle w:val="Hyperlink"/>
            <w:i/>
            <w:iCs/>
          </w:rPr>
          <w:t>Interventions to support carers of people with dementia</w:t>
        </w:r>
      </w:hyperlink>
      <w:r w:rsidRPr="00F80E35">
        <w:t>, Productivity Commission, accessed 22 October 2024.</w:t>
      </w:r>
    </w:p>
    <w:p w14:paraId="158207AB" w14:textId="77777777" w:rsidR="002068A7" w:rsidRPr="00F80E35" w:rsidRDefault="002068A7" w:rsidP="002068A7">
      <w:r w:rsidRPr="00F80E35">
        <w:t>Steering Committee (2024a</w:t>
      </w:r>
      <w:r>
        <w:t>)</w:t>
      </w:r>
      <w:r w:rsidRPr="00F80E35">
        <w:t xml:space="preserve"> </w:t>
      </w:r>
      <w:hyperlink r:id="rId129">
        <w:r w:rsidRPr="00F80E35">
          <w:rPr>
            <w:rStyle w:val="Hyperlink"/>
            <w:i/>
            <w:iCs/>
          </w:rPr>
          <w:t>Report on Government Services: 2024</w:t>
        </w:r>
      </w:hyperlink>
      <w:r w:rsidRPr="00F80E35">
        <w:t>, RoGS website, accessed 4 October 2024.</w:t>
      </w:r>
    </w:p>
    <w:p w14:paraId="386CF6E0" w14:textId="77777777" w:rsidR="002068A7" w:rsidRPr="00F80E35" w:rsidRDefault="002068A7" w:rsidP="002068A7">
      <w:r w:rsidRPr="00F80E35">
        <w:t>Steering Committee (2024b</w:t>
      </w:r>
      <w:r>
        <w:t>)</w:t>
      </w:r>
      <w:r w:rsidRPr="00F80E35">
        <w:t xml:space="preserve"> </w:t>
      </w:r>
      <w:hyperlink r:id="rId130">
        <w:r w:rsidRPr="00F80E35">
          <w:rPr>
            <w:rStyle w:val="Hyperlink"/>
            <w:i/>
            <w:iCs/>
          </w:rPr>
          <w:t>Report on Government Services: Terms of Reference</w:t>
        </w:r>
      </w:hyperlink>
      <w:r w:rsidRPr="00F80E35">
        <w:t>, PC website, accessed 4 October 2024.</w:t>
      </w:r>
    </w:p>
    <w:p w14:paraId="4747BB5A" w14:textId="77777777" w:rsidR="002068A7" w:rsidRPr="00F80E35" w:rsidRDefault="002068A7" w:rsidP="002068A7">
      <w:r w:rsidRPr="00F80E35">
        <w:t>Susan McKinnon Foundation (2023</w:t>
      </w:r>
      <w:r>
        <w:t>)</w:t>
      </w:r>
      <w:r w:rsidRPr="00F80E35">
        <w:t xml:space="preserve"> </w:t>
      </w:r>
      <w:hyperlink r:id="rId131" w:tgtFrame="_new" w:history="1">
        <w:r w:rsidRPr="00F80E35">
          <w:rPr>
            <w:rStyle w:val="Hyperlink"/>
            <w:i/>
            <w:iCs/>
          </w:rPr>
          <w:t>Productivity gains in the non-market sector: Lessons from a NSW Success Story at the John Morony Correctional Centre</w:t>
        </w:r>
      </w:hyperlink>
      <w:r w:rsidRPr="00F80E35">
        <w:t>, Susan McKinnon Foundation, accessed 31 October 2024.</w:t>
      </w:r>
    </w:p>
    <w:p w14:paraId="25EB4C94" w14:textId="77777777" w:rsidR="002068A7" w:rsidRPr="00F80E35" w:rsidRDefault="002068A7" w:rsidP="002068A7">
      <w:r w:rsidRPr="00F80E35">
        <w:t>Susan McKinnon Foundation (2024</w:t>
      </w:r>
      <w:r>
        <w:t>)</w:t>
      </w:r>
      <w:r w:rsidRPr="00F80E35">
        <w:t xml:space="preserve"> </w:t>
      </w:r>
      <w:hyperlink r:id="rId132" w:tgtFrame="_new" w:history="1">
        <w:r w:rsidRPr="00F80E35">
          <w:rPr>
            <w:rStyle w:val="Hyperlink"/>
            <w:i/>
            <w:iCs/>
          </w:rPr>
          <w:t>Lessons from NSW Health Pathology: Productivity, Control and Performance - Productivity gains in the non-market sector</w:t>
        </w:r>
      </w:hyperlink>
      <w:r w:rsidRPr="00F80E35">
        <w:t>, Susan McKinnon Foundation, accessed 22 October 2024.</w:t>
      </w:r>
    </w:p>
    <w:p w14:paraId="4EE59E49" w14:textId="77777777" w:rsidR="002068A7" w:rsidRPr="00F80E35" w:rsidRDefault="002068A7" w:rsidP="002068A7">
      <w:r w:rsidRPr="00F80E35">
        <w:t>The Treasury (2024</w:t>
      </w:r>
      <w:r>
        <w:t>)</w:t>
      </w:r>
      <w:r w:rsidRPr="00F80E35">
        <w:t xml:space="preserve"> </w:t>
      </w:r>
      <w:hyperlink r:id="rId133" w:tgtFrame="_new" w:history="1">
        <w:r w:rsidRPr="00F80E35">
          <w:rPr>
            <w:rStyle w:val="Hyperlink"/>
            <w:i/>
            <w:iCs/>
          </w:rPr>
          <w:t>About the Australian Centre for Evaluation</w:t>
        </w:r>
      </w:hyperlink>
      <w:r w:rsidRPr="00F80E35">
        <w:t>, Australian Government, accessed 22 October 2024.</w:t>
      </w:r>
    </w:p>
    <w:p w14:paraId="59F62C29" w14:textId="77777777" w:rsidR="002068A7" w:rsidRPr="00F80E35" w:rsidRDefault="002068A7" w:rsidP="002068A7">
      <w:r w:rsidRPr="00F80E35">
        <w:t>WHO (World Health Organization) (2023</w:t>
      </w:r>
      <w:r>
        <w:t>)</w:t>
      </w:r>
      <w:r w:rsidRPr="00F80E35">
        <w:t xml:space="preserve"> </w:t>
      </w:r>
      <w:hyperlink r:id="rId134" w:anchor="tab=tab_1">
        <w:r w:rsidRPr="00F80E35">
          <w:rPr>
            <w:rStyle w:val="Hyperlink"/>
            <w:i/>
            <w:iCs/>
          </w:rPr>
          <w:t>Social determinants of health</w:t>
        </w:r>
      </w:hyperlink>
      <w:r w:rsidRPr="00F80E35">
        <w:t>, WHO website, accessed 22 October 2024.</w:t>
      </w:r>
    </w:p>
    <w:p w14:paraId="54091256" w14:textId="77777777" w:rsidR="002068A7" w:rsidRPr="00F80E35" w:rsidRDefault="002068A7" w:rsidP="002068A7">
      <w:r w:rsidRPr="00F80E35">
        <w:t xml:space="preserve">Wibrow B, Hall B and Griffin T (2024) </w:t>
      </w:r>
      <w:hyperlink r:id="rId135" w:tgtFrame="_new" w:history="1">
        <w:r w:rsidRPr="00F80E35">
          <w:rPr>
            <w:rStyle w:val="Hyperlink"/>
            <w:i/>
            <w:iCs/>
          </w:rPr>
          <w:t>The student journey: the many faces of completion and non-completion in VET</w:t>
        </w:r>
      </w:hyperlink>
      <w:r w:rsidRPr="00F80E35">
        <w:t>, National Centre for Vocational Education and Research, accessed 22 October 2024.</w:t>
      </w:r>
    </w:p>
    <w:p w14:paraId="7B11473A" w14:textId="77777777" w:rsidR="002068A7" w:rsidRPr="00C65627" w:rsidRDefault="002068A7" w:rsidP="002068A7">
      <w:r w:rsidRPr="00F80E35">
        <w:t>World Bank (2024</w:t>
      </w:r>
      <w:r>
        <w:t>)</w:t>
      </w:r>
      <w:r w:rsidRPr="00F80E35">
        <w:t xml:space="preserve"> </w:t>
      </w:r>
      <w:hyperlink r:id="rId136" w:tgtFrame="_new" w:history="1">
        <w:r w:rsidRPr="00F80E35">
          <w:rPr>
            <w:rStyle w:val="Hyperlink"/>
            <w:i/>
            <w:iCs/>
          </w:rPr>
          <w:t>DataBank</w:t>
        </w:r>
      </w:hyperlink>
      <w:r w:rsidRPr="00F80E35">
        <w:t>, World Bank Group website, accessed 22 October 2024.</w:t>
      </w:r>
    </w:p>
    <w:p w14:paraId="2D20F48C" w14:textId="5003705D" w:rsidR="00E05457" w:rsidRPr="00E05457" w:rsidRDefault="00E05457" w:rsidP="001D498A">
      <w:pPr>
        <w:spacing w:before="100" w:after="100"/>
      </w:pPr>
    </w:p>
    <w:sectPr w:rsidR="00E05457" w:rsidRPr="00E05457" w:rsidSect="007B419F">
      <w:headerReference w:type="default" r:id="rId137"/>
      <w:footerReference w:type="default" r:id="rId138"/>
      <w:pgSz w:w="11906" w:h="16838" w:code="9"/>
      <w:pgMar w:top="1843" w:right="1417" w:bottom="1417" w:left="1417"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4BE8D" w14:textId="77777777" w:rsidR="00210BAA" w:rsidRDefault="00210BAA">
      <w:pPr>
        <w:spacing w:after="0"/>
      </w:pPr>
      <w:r>
        <w:separator/>
      </w:r>
    </w:p>
  </w:endnote>
  <w:endnote w:type="continuationSeparator" w:id="0">
    <w:p w14:paraId="78C8DAF3" w14:textId="77777777" w:rsidR="00210BAA" w:rsidRDefault="00210BAA">
      <w:pPr>
        <w:spacing w:after="0"/>
      </w:pPr>
      <w:r>
        <w:continuationSeparator/>
      </w:r>
    </w:p>
  </w:endnote>
  <w:endnote w:type="continuationNotice" w:id="1">
    <w:p w14:paraId="12C516DA" w14:textId="77777777" w:rsidR="00210BAA" w:rsidRDefault="00210BA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9F2D" w14:textId="3885D0E4" w:rsidR="00B55B04" w:rsidRDefault="00B55B04" w:rsidP="00EE1447">
    <w:pPr>
      <w:pStyle w:val="FooterEven"/>
    </w:pPr>
    <w:r>
      <w:drawing>
        <wp:anchor distT="0" distB="0" distL="114300" distR="114300" simplePos="0" relativeHeight="251658240" behindDoc="1" locked="0" layoutInCell="1" allowOverlap="0" wp14:anchorId="58237F62" wp14:editId="64DAC7C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870719059" name="Picture 87071905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D276C7">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8E4D" w14:textId="77777777" w:rsidR="00362EE0" w:rsidRDefault="00362E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E892" w14:textId="34BAC459" w:rsidR="00E91CB7" w:rsidRDefault="00E91CB7" w:rsidP="00E07786">
    <w:pPr>
      <w:pStyle w:val="FooterOdd"/>
    </w:pPr>
    <w:r>
      <w:rPr>
        <w:noProof/>
      </w:rPr>
      <mc:AlternateContent>
        <mc:Choice Requires="wps">
          <w:drawing>
            <wp:anchor distT="0" distB="0" distL="114300" distR="114300" simplePos="0" relativeHeight="251658255" behindDoc="0" locked="0" layoutInCell="1" allowOverlap="1" wp14:anchorId="7C0B6717" wp14:editId="5C7ED89C">
              <wp:simplePos x="0" y="0"/>
              <wp:positionH relativeFrom="column">
                <wp:posOffset>-541986</wp:posOffset>
              </wp:positionH>
              <wp:positionV relativeFrom="margin">
                <wp:align>top</wp:align>
              </wp:positionV>
              <wp:extent cx="360000" cy="5748793"/>
              <wp:effectExtent l="0" t="0" r="2540" b="4445"/>
              <wp:wrapNone/>
              <wp:docPr id="170739560" name="Text Box 11" title="LandscapeOdd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574879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5B1BE" w14:textId="0BC0B875" w:rsidR="00E91CB7" w:rsidRDefault="00E91CB7" w:rsidP="00195C8E">
                          <w:pPr>
                            <w:pStyle w:val="FooterEven"/>
                            <w:tabs>
                              <w:tab w:val="center" w:pos="9072"/>
                            </w:tabs>
                          </w:pPr>
                          <w:r w:rsidRPr="00EF03E1">
                            <w:rPr>
                              <w:position w:val="-10"/>
                            </w:rPr>
                            <w:drawing>
                              <wp:inline distT="0" distB="0" distL="0" distR="0" wp14:anchorId="034C5301" wp14:editId="221903FD">
                                <wp:extent cx="1324800" cy="201600"/>
                                <wp:effectExtent l="9207" t="0" r="0" b="0"/>
                                <wp:docPr id="920654922"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r>
                            <w:fldChar w:fldCharType="begin"/>
                          </w:r>
                          <w:r>
                            <w:instrText xml:space="preserve"> PAGE   \* MERGEFORMAT </w:instrText>
                          </w:r>
                          <w:r>
                            <w:fldChar w:fldCharType="separate"/>
                          </w:r>
                          <w:r>
                            <w:t>4</w:t>
                          </w:r>
                          <w:r>
                            <w:fldChar w:fldCharType="end"/>
                          </w:r>
                          <w:r>
                            <w:t xml:space="preserve"> | </w:t>
                          </w:r>
                          <w:fldSimple w:instr=" STYLEREF  &quot;Heading 1&quot;  \* MERGEFORMAT ">
                            <w:r w:rsidR="00994AD7">
                              <w:t>Appendix 2: Data analysis methodology</w:t>
                            </w:r>
                          </w:fldSimple>
                        </w:p>
                        <w:p w14:paraId="709082B6" w14:textId="77777777" w:rsidR="00E91CB7" w:rsidRDefault="00E91CB7" w:rsidP="00EF03E1">
                          <w:pPr>
                            <w:pStyle w:val="FooterOdd"/>
                            <w:ind w:firstLine="720"/>
                          </w:pPr>
                        </w:p>
                      </w:txbxContent>
                    </wps:txbx>
                    <wps:bodyPr rot="0" vert="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B6717" id="_x0000_t202" coordsize="21600,21600" o:spt="202" path="m,l,21600r21600,l21600,xe">
              <v:stroke joinstyle="miter"/>
              <v:path gradientshapeok="t" o:connecttype="rect"/>
            </v:shapetype>
            <v:shape id="Text Box 11" o:spid="_x0000_s1026" type="#_x0000_t202" alt="Title: LandscapeOddFooter" style="position:absolute;left:0;text-align:left;margin-left:-42.7pt;margin-top:0;width:28.35pt;height:452.65pt;z-index:251658255;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ZT1gEAAJMDAAAOAAAAZHJzL2Uyb0RvYy54bWysU9tu2zAMfR+wfxD0vthpt16MOEXXosOA&#10;7gK0+wBZlmxjtqiRSuz8/Sg5Tnd5G+YHgaKoo3MO6c3NNPRib5A6cKVcr3IpjNNQd64p5bfnhzdX&#10;UlBQrlY9OFPKgyF5s339ajP6wpxBC31tUDCIo2L0pWxD8EWWkW7NoGgF3jg+tICDCrzFJqtRjYw+&#10;9NlZnl9kI2DtEbQh4uz9fCi3Cd9ao8MXa8kE0ZeSuYW0YlqruGbbjSoaVL7t9JGG+gcWg+ocP3qC&#10;uldBiR12f0ENnUYgsGGlYcjA2k6bpIHVrPM/1Dy1ypukhc0hf7KJ/h+s/rx/8l9RhOk9TNzAJIL8&#10;I+jvJBzctco15hYRxtaomh9eR8uy0VNxvBqtpoIiSDV+gpqbrHYBEtBkcYiusE7B6NyAw8l0MwWh&#10;OXl+kfMnheajd5dvry6vz9MTqlhue6TwwcAgYlBK5KYmdLV/pBDZqGIpiY85eOj6PjW2d78luDBm&#10;EvtIeKYepmri6qiigvrAOhDmOeG55iCuUow8I6WkHzuFRor+o2Mv4kAtAS5BtQTK6RZ41HRAKebN&#10;XZhHb+exa1rGnv12cMuO2S6JeeFxZMqdTxqPUxpH69d9qnr5l7Y/AQAA//8DAFBLAwQUAAYACAAA&#10;ACEADusgJd8AAAAIAQAADwAAAGRycy9kb3ducmV2LnhtbEyPwU7DMBBE70j8g7VI3FKbQCANcSqo&#10;hBA9VGoBcXXjJU6J15HttuHvMSc4jmY086ZeTHZgR/ShdyThaiaAIbVO99RJeHt9ykpgISrSanCE&#10;Er4xwKI5P6tVpd2JNnjcxo6lEgqVkmBiHCvOQ2vQqjBzI1LyPp23KibpO669OqVyO/BciFtuVU9p&#10;wagRlwbbr+3BSlibd1o9i49ivs+Xvl33j/uXaSPl5cX0cA8s4hT/wvCLn9ChSUw7dyAd2CAhK4ub&#10;FJWQHiU7y8s7YDsJc1FcA29q/v9A8wMAAP//AwBQSwECLQAUAAYACAAAACEAtoM4kv4AAADhAQAA&#10;EwAAAAAAAAAAAAAAAAAAAAAAW0NvbnRlbnRfVHlwZXNdLnhtbFBLAQItABQABgAIAAAAIQA4/SH/&#10;1gAAAJQBAAALAAAAAAAAAAAAAAAAAC8BAABfcmVscy8ucmVsc1BLAQItABQABgAIAAAAIQAHFqZT&#10;1gEAAJMDAAAOAAAAAAAAAAAAAAAAAC4CAABkcnMvZTJvRG9jLnhtbFBLAQItABQABgAIAAAAIQAO&#10;6yAl3wAAAAgBAAAPAAAAAAAAAAAAAAAAADAEAABkcnMvZG93bnJldi54bWxQSwUGAAAAAAQABADz&#10;AAAAPAUAAAAA&#10;" filled="f" stroked="f">
              <v:textbox style="layout-flow:vertical" inset="0,0,0,0">
                <w:txbxContent>
                  <w:p w14:paraId="1655B1BE" w14:textId="0BC0B875" w:rsidR="00E91CB7" w:rsidRDefault="00E91CB7" w:rsidP="00195C8E">
                    <w:pPr>
                      <w:pStyle w:val="FooterEven"/>
                      <w:tabs>
                        <w:tab w:val="center" w:pos="9072"/>
                      </w:tabs>
                    </w:pPr>
                    <w:r w:rsidRPr="00EF03E1">
                      <w:rPr>
                        <w:position w:val="-10"/>
                      </w:rPr>
                      <w:drawing>
                        <wp:inline distT="0" distB="0" distL="0" distR="0" wp14:anchorId="034C5301" wp14:editId="221903FD">
                          <wp:extent cx="1324800" cy="201600"/>
                          <wp:effectExtent l="9207" t="0" r="0" b="0"/>
                          <wp:docPr id="920654922"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rot="5400000">
                                    <a:off x="0" y="0"/>
                                    <a:ext cx="1324800" cy="201600"/>
                                  </a:xfrm>
                                  <a:prstGeom prst="rect">
                                    <a:avLst/>
                                  </a:prstGeom>
                                </pic:spPr>
                              </pic:pic>
                            </a:graphicData>
                          </a:graphic>
                        </wp:inline>
                      </w:drawing>
                    </w:r>
                    <w:r>
                      <w:tab/>
                    </w:r>
                    <w:r>
                      <w:fldChar w:fldCharType="begin"/>
                    </w:r>
                    <w:r>
                      <w:instrText xml:space="preserve"> PAGE   \* MERGEFORMAT </w:instrText>
                    </w:r>
                    <w:r>
                      <w:fldChar w:fldCharType="separate"/>
                    </w:r>
                    <w:r>
                      <w:t>4</w:t>
                    </w:r>
                    <w:r>
                      <w:fldChar w:fldCharType="end"/>
                    </w:r>
                    <w:r>
                      <w:t xml:space="preserve"> | </w:t>
                    </w:r>
                    <w:fldSimple w:instr=" STYLEREF  &quot;Heading 1&quot;  \* MERGEFORMAT ">
                      <w:r w:rsidR="00994AD7">
                        <w:t>Appendix 2: Data analysis methodology</w:t>
                      </w:r>
                    </w:fldSimple>
                  </w:p>
                  <w:p w14:paraId="709082B6" w14:textId="77777777" w:rsidR="00E91CB7" w:rsidRDefault="00E91CB7" w:rsidP="00EF03E1">
                    <w:pPr>
                      <w:pStyle w:val="FooterOdd"/>
                      <w:ind w:firstLine="720"/>
                    </w:pPr>
                  </w:p>
                </w:txbxContent>
              </v:textbox>
              <w10:wrap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43C9D" w14:textId="5133C0A1" w:rsidR="00E91CB7" w:rsidRDefault="00E91CB7" w:rsidP="00E07786">
    <w:pPr>
      <w:pStyle w:val="FooterOdd"/>
    </w:pPr>
    <w:r w:rsidRPr="00103F3C">
      <w:rPr>
        <w:noProof/>
        <w:position w:val="-8"/>
      </w:rPr>
      <w:drawing>
        <wp:inline distT="0" distB="0" distL="0" distR="0" wp14:anchorId="30F62469" wp14:editId="6DDF8DA8">
          <wp:extent cx="1324800" cy="201600"/>
          <wp:effectExtent l="0" t="0" r="0" b="8255"/>
          <wp:docPr id="1340180903" name="Picture 134018090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994AD7">
        <w:rPr>
          <w:noProof/>
        </w:rPr>
        <w:t>Appendix 5: References</w:t>
      </w:r>
    </w:fldSimple>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C8E07" w14:textId="76F605D0" w:rsidR="00B55B04" w:rsidRDefault="00B55B04" w:rsidP="00962ACF">
    <w:pPr>
      <w:pStyle w:val="FooterOdd"/>
    </w:pPr>
    <w:r w:rsidRPr="00103F3C">
      <w:rPr>
        <w:noProof/>
        <w:position w:val="-8"/>
      </w:rPr>
      <w:drawing>
        <wp:inline distT="0" distB="0" distL="0" distR="0" wp14:anchorId="382F6D85" wp14:editId="41096E12">
          <wp:extent cx="1324800" cy="201600"/>
          <wp:effectExtent l="0" t="0" r="0" b="8255"/>
          <wp:docPr id="1939326014" name="Picture 1939326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fldSimple w:instr="STYLEREF  &quot;Heading 1&quot;  \* MERGEFORMAT">
      <w:r w:rsidR="002F21D7">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8D98" w14:textId="76B5872D" w:rsidR="00672B5D" w:rsidRDefault="00672B5D"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D276C7">
        <w:t>Contents</w:t>
      </w:r>
    </w:fldSimple>
    <w:r w:rsidR="00103F3C">
      <w:tab/>
    </w:r>
    <w:r w:rsidR="00103F3C" w:rsidRPr="00103F3C">
      <w:rPr>
        <w:position w:val="-8"/>
      </w:rPr>
      <w:drawing>
        <wp:inline distT="0" distB="0" distL="0" distR="0" wp14:anchorId="26D1FD4F" wp14:editId="1F39B6C8">
          <wp:extent cx="1324800" cy="201600"/>
          <wp:effectExtent l="0" t="0" r="0" b="8255"/>
          <wp:docPr id="1141655537" name="Picture 1141655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432B" w14:textId="303C04B1" w:rsidR="00B43715" w:rsidRDefault="00B43715" w:rsidP="00B43715">
    <w:pPr>
      <w:pStyle w:val="FooterEven"/>
      <w:tabs>
        <w:tab w:val="center" w:pos="9072"/>
      </w:tabs>
      <w:jc w:val="right"/>
    </w:pPr>
    <w:r w:rsidRPr="00EF03E1">
      <w:rPr>
        <w:position w:val="-10"/>
      </w:rPr>
      <w:drawing>
        <wp:inline distT="0" distB="0" distL="0" distR="0" wp14:anchorId="0CC29BA7" wp14:editId="5E08B739">
          <wp:extent cx="1324800" cy="201600"/>
          <wp:effectExtent l="0" t="0" r="0" b="8255"/>
          <wp:docPr id="9302500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2F21D7">
        <w:t>Executive summary</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7037" w14:textId="77777777" w:rsidR="00095D88" w:rsidRPr="00095D88" w:rsidRDefault="00095D88" w:rsidP="00095D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82909" w14:textId="4E1BDB13" w:rsidR="00E91CB7" w:rsidRDefault="00E91CB7" w:rsidP="00B43715">
    <w:pPr>
      <w:pStyle w:val="FooterEven"/>
      <w:tabs>
        <w:tab w:val="center" w:pos="9072"/>
      </w:tabs>
      <w:jc w:val="right"/>
    </w:pPr>
    <w:r w:rsidRPr="00EF03E1">
      <w:rPr>
        <w:position w:val="-10"/>
      </w:rPr>
      <w:drawing>
        <wp:inline distT="0" distB="0" distL="0" distR="0" wp14:anchorId="73349B44" wp14:editId="4435775D">
          <wp:extent cx="1324800" cy="201600"/>
          <wp:effectExtent l="0" t="0" r="0" b="8255"/>
          <wp:docPr id="107611519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994AD7">
        <w:t>Chapter 2: Overview of the reporting products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5F9C" w14:textId="10C98F2E" w:rsidR="00E91CB7" w:rsidRDefault="00E91CB7" w:rsidP="00B43715">
    <w:pPr>
      <w:pStyle w:val="FooterEven"/>
      <w:tabs>
        <w:tab w:val="center" w:pos="9072"/>
      </w:tabs>
      <w:jc w:val="right"/>
    </w:pPr>
    <w:r w:rsidRPr="00EF03E1">
      <w:rPr>
        <w:position w:val="-10"/>
      </w:rPr>
      <w:drawing>
        <wp:inline distT="0" distB="0" distL="0" distR="0" wp14:anchorId="73349B44" wp14:editId="4435775D">
          <wp:extent cx="1324800" cy="201600"/>
          <wp:effectExtent l="0" t="0" r="0" b="8255"/>
          <wp:docPr id="8061761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 STYLEREF  &quot;Heading 1&quot;  \* MERGEFORMAT ">
      <w:r w:rsidR="00994AD7">
        <w:t>Chapter 2: Overview of the reporting products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39B6" w14:textId="3BEB5146" w:rsidR="00362EE0" w:rsidRDefault="009A763F" w:rsidP="00E07786">
    <w:pPr>
      <w:pStyle w:val="FooterOdd"/>
    </w:pPr>
    <w:r w:rsidRPr="00103F3C">
      <w:rPr>
        <w:noProof/>
        <w:position w:val="-8"/>
      </w:rPr>
      <w:drawing>
        <wp:inline distT="0" distB="0" distL="0" distR="0" wp14:anchorId="28270FD8" wp14:editId="7D979666">
          <wp:extent cx="1324800" cy="201600"/>
          <wp:effectExtent l="0" t="0" r="0" b="8255"/>
          <wp:docPr id="1846042904" name="Picture 184604290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994AD7">
        <w:rPr>
          <w:noProof/>
        </w:rPr>
        <w:t>Chapter 2: Overview of the reporting products</w:t>
      </w:r>
    </w:fldSimple>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6674" w14:textId="4873E49F" w:rsidR="00E91CB7" w:rsidRDefault="00E91CB7" w:rsidP="00E07786">
    <w:pPr>
      <w:pStyle w:val="FooterOdd"/>
    </w:pPr>
    <w:r w:rsidRPr="00103F3C">
      <w:rPr>
        <w:noProof/>
        <w:position w:val="-8"/>
      </w:rPr>
      <w:drawing>
        <wp:inline distT="0" distB="0" distL="0" distR="0" wp14:anchorId="30F62469" wp14:editId="6DDF8DA8">
          <wp:extent cx="1324800" cy="201600"/>
          <wp:effectExtent l="0" t="0" r="0" b="8255"/>
          <wp:docPr id="289324810" name="Picture 2893248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fldSimple w:instr="STYLEREF  &quot;Heading 1&quot;  \* MERGEFORMAT">
      <w:r w:rsidR="00994AD7">
        <w:rPr>
          <w:noProof/>
        </w:rPr>
        <w:t>Appendix 2: Data analysis methodology</w:t>
      </w:r>
    </w:fldSimple>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A7A3E" w14:textId="77777777" w:rsidR="00210BAA" w:rsidRPr="00ED5A20" w:rsidRDefault="00210BAA" w:rsidP="000F6233">
      <w:pPr>
        <w:rPr>
          <w:color w:val="4D7861" w:themeColor="accent2"/>
        </w:rPr>
      </w:pPr>
      <w:r w:rsidRPr="00ED5A20">
        <w:rPr>
          <w:color w:val="4D7861" w:themeColor="accent2"/>
        </w:rPr>
        <w:separator/>
      </w:r>
    </w:p>
  </w:footnote>
  <w:footnote w:type="continuationSeparator" w:id="0">
    <w:p w14:paraId="3AABC2A2" w14:textId="77777777" w:rsidR="00210BAA" w:rsidRPr="00B737EB" w:rsidRDefault="00210BAA">
      <w:pPr>
        <w:spacing w:after="0"/>
        <w:rPr>
          <w:color w:val="2C384A" w:themeColor="accent1"/>
        </w:rPr>
      </w:pPr>
      <w:r w:rsidRPr="00B737EB">
        <w:rPr>
          <w:color w:val="2C384A" w:themeColor="accent1"/>
        </w:rPr>
        <w:continuationSeparator/>
      </w:r>
    </w:p>
  </w:footnote>
  <w:footnote w:type="continuationNotice" w:id="1">
    <w:p w14:paraId="18A9FC44" w14:textId="77777777" w:rsidR="00210BAA" w:rsidRDefault="00210BAA">
      <w:pPr>
        <w:spacing w:after="0"/>
      </w:pPr>
    </w:p>
  </w:footnote>
  <w:footnote w:id="2">
    <w:p w14:paraId="3CEE6911" w14:textId="77777777" w:rsidR="00987F31" w:rsidRDefault="00987F31" w:rsidP="00987F31">
      <w:pPr>
        <w:pStyle w:val="FootnoteText"/>
        <w:ind w:left="0" w:firstLine="0"/>
      </w:pPr>
      <w:r w:rsidRPr="006855D0">
        <w:rPr>
          <w:rStyle w:val="FootnoteReference"/>
          <w:vertAlign w:val="superscript"/>
        </w:rPr>
        <w:footnoteRef/>
      </w:r>
      <w:r>
        <w:t xml:space="preserve"> </w:t>
      </w:r>
      <w:r w:rsidRPr="00EC45C3">
        <w:rPr>
          <w:sz w:val="18"/>
          <w:szCs w:val="18"/>
        </w:rPr>
        <w:t>Steering Committee members represent State and Territory Treasuries, Premiers’ and Chief Ministers’ departments, the Australian Government Treasury, and the Department of the Prime Minister and Cabinet.</w:t>
      </w:r>
    </w:p>
  </w:footnote>
  <w:footnote w:id="3">
    <w:p w14:paraId="775C1304" w14:textId="4B3BB7D6" w:rsidR="00345BB3" w:rsidRDefault="00345BB3" w:rsidP="00345BB3">
      <w:pPr>
        <w:pStyle w:val="FootnoteText"/>
        <w:ind w:left="0" w:firstLine="0"/>
      </w:pPr>
      <w:r w:rsidRPr="00345BB3">
        <w:rPr>
          <w:rStyle w:val="FootnoteReference"/>
          <w:vertAlign w:val="superscript"/>
        </w:rPr>
        <w:footnoteRef/>
      </w:r>
      <w:r>
        <w:t xml:space="preserve"> </w:t>
      </w:r>
      <w:r w:rsidRPr="00F52D5F">
        <w:rPr>
          <w:sz w:val="18"/>
          <w:szCs w:val="18"/>
        </w:rPr>
        <w:t>2023</w:t>
      </w:r>
      <w:r w:rsidR="00CE1949">
        <w:rPr>
          <w:sz w:val="18"/>
          <w:szCs w:val="18"/>
        </w:rPr>
        <w:t>–</w:t>
      </w:r>
      <w:r w:rsidRPr="00F52D5F">
        <w:rPr>
          <w:sz w:val="18"/>
          <w:szCs w:val="18"/>
        </w:rPr>
        <w:t>24 figures are used as updates to the Dashboard have been paused for 2024</w:t>
      </w:r>
      <w:r w:rsidR="00CE1949">
        <w:rPr>
          <w:sz w:val="18"/>
          <w:szCs w:val="18"/>
        </w:rPr>
        <w:t>–</w:t>
      </w:r>
      <w:r w:rsidRPr="00F52D5F">
        <w:rPr>
          <w:sz w:val="18"/>
          <w:szCs w:val="18"/>
        </w:rPr>
        <w:t>25 while this Review is ongoing.</w:t>
      </w:r>
    </w:p>
  </w:footnote>
  <w:footnote w:id="4">
    <w:p w14:paraId="4BA925B4" w14:textId="34B1D0B6" w:rsidR="00E65E3F" w:rsidRPr="008339E5" w:rsidRDefault="00E65E3F">
      <w:pPr>
        <w:pStyle w:val="FootnoteText"/>
      </w:pPr>
      <w:r w:rsidRPr="00585E91">
        <w:rPr>
          <w:rStyle w:val="FootnoteReference"/>
          <w:vertAlign w:val="superscript"/>
        </w:rPr>
        <w:footnoteRef/>
      </w:r>
      <w:r w:rsidRPr="00585E91">
        <w:rPr>
          <w:vertAlign w:val="superscript"/>
        </w:rPr>
        <w:t xml:space="preserve"> </w:t>
      </w:r>
      <w:r w:rsidR="008339E5">
        <w:t>Data for 2024 is for January and February only.</w:t>
      </w:r>
    </w:p>
  </w:footnote>
  <w:footnote w:id="5">
    <w:p w14:paraId="4DBEC813" w14:textId="77777777" w:rsidR="00157442" w:rsidRDefault="00157442" w:rsidP="00157442">
      <w:pPr>
        <w:pStyle w:val="FootnoteText"/>
        <w:ind w:left="0" w:firstLine="0"/>
      </w:pPr>
      <w:r w:rsidRPr="006D5A3D">
        <w:rPr>
          <w:rStyle w:val="FootnoteReference"/>
          <w:vertAlign w:val="superscript"/>
        </w:rPr>
        <w:footnoteRef/>
      </w:r>
      <w:r>
        <w:t xml:space="preserve"> </w:t>
      </w:r>
      <w:r w:rsidRPr="006D5A3D">
        <w:rPr>
          <w:sz w:val="18"/>
          <w:szCs w:val="18"/>
        </w:rPr>
        <w:t xml:space="preserve">This figure excludes indicators reported in the </w:t>
      </w:r>
      <w:r w:rsidRPr="006D5A3D">
        <w:rPr>
          <w:i/>
          <w:iCs/>
          <w:sz w:val="18"/>
          <w:szCs w:val="18"/>
        </w:rPr>
        <w:t>National Indigenous Reform Agreement</w:t>
      </w:r>
      <w:r w:rsidRPr="006D5A3D">
        <w:rPr>
          <w:sz w:val="18"/>
          <w:szCs w:val="18"/>
        </w:rPr>
        <w:t xml:space="preserve">, which was superseded by the </w:t>
      </w:r>
      <w:r w:rsidRPr="006D5A3D">
        <w:rPr>
          <w:i/>
          <w:iCs/>
          <w:sz w:val="18"/>
          <w:szCs w:val="18"/>
        </w:rPr>
        <w:t>National Agreement on Closing the Gap</w:t>
      </w:r>
      <w:r w:rsidRPr="006D5A3D">
        <w:rPr>
          <w:sz w:val="18"/>
          <w:szCs w:val="18"/>
        </w:rPr>
        <w:t xml:space="preserve"> with bespoke performance reporting arrangements through the </w:t>
      </w:r>
      <w:r w:rsidRPr="006D5A3D">
        <w:rPr>
          <w:i/>
          <w:iCs/>
          <w:sz w:val="18"/>
          <w:szCs w:val="18"/>
        </w:rPr>
        <w:t>Closing the Gap Information Repository</w:t>
      </w:r>
      <w:r w:rsidRPr="006D5A3D">
        <w:rPr>
          <w:sz w:val="18"/>
          <w:szCs w:val="18"/>
        </w:rPr>
        <w:t xml:space="preserve">. This figure also does not account for indicators that may be relevant for the </w:t>
      </w:r>
      <w:r w:rsidRPr="006D5A3D">
        <w:rPr>
          <w:i/>
          <w:iCs/>
          <w:sz w:val="18"/>
          <w:szCs w:val="18"/>
        </w:rPr>
        <w:t>National Skills Agreemen</w:t>
      </w:r>
      <w:r w:rsidRPr="006D5A3D">
        <w:rPr>
          <w:sz w:val="18"/>
          <w:szCs w:val="18"/>
        </w:rPr>
        <w:t>t for which, as at 4 October 2024, the performance monitoring framework has not yet been released.</w:t>
      </w:r>
    </w:p>
  </w:footnote>
  <w:footnote w:id="6">
    <w:p w14:paraId="4836CF69" w14:textId="0A879C39" w:rsidR="006D1417" w:rsidRPr="009A6ACA" w:rsidRDefault="006D1417" w:rsidP="007E3057">
      <w:pPr>
        <w:pStyle w:val="FootnoteText"/>
        <w:ind w:left="0" w:firstLine="0"/>
      </w:pPr>
      <w:r w:rsidRPr="005228BB">
        <w:rPr>
          <w:rStyle w:val="FootnoteReference"/>
          <w:vertAlign w:val="superscript"/>
        </w:rPr>
        <w:footnoteRef/>
      </w:r>
      <w:r w:rsidRPr="005228BB">
        <w:rPr>
          <w:vertAlign w:val="superscript"/>
        </w:rPr>
        <w:t xml:space="preserve"> </w:t>
      </w:r>
      <w:r w:rsidR="009A6ACA" w:rsidRPr="00FF467B">
        <w:rPr>
          <w:sz w:val="18"/>
          <w:szCs w:val="18"/>
        </w:rPr>
        <w:t>This figure displays the average number of monthly users for webpages below 10.</w:t>
      </w:r>
      <w:r w:rsidR="00663AC1" w:rsidRPr="00FF467B">
        <w:rPr>
          <w:sz w:val="18"/>
          <w:szCs w:val="18"/>
        </w:rPr>
        <w:t xml:space="preserve"> </w:t>
      </w:r>
      <w:r w:rsidR="00581F6A">
        <w:rPr>
          <w:sz w:val="18"/>
          <w:szCs w:val="18"/>
        </w:rPr>
        <w:t>Webpages with higher average views</w:t>
      </w:r>
      <w:r w:rsidR="00230D31" w:rsidRPr="00FF467B">
        <w:rPr>
          <w:sz w:val="18"/>
          <w:szCs w:val="18"/>
        </w:rPr>
        <w:t xml:space="preserve"> are excluded from the figure but not t</w:t>
      </w:r>
      <w:r w:rsidR="007E3057" w:rsidRPr="00FF467B">
        <w:rPr>
          <w:sz w:val="18"/>
          <w:szCs w:val="18"/>
        </w:rPr>
        <w:t>he analysis. Averages were calculated over 699 individual webpages.</w:t>
      </w:r>
    </w:p>
  </w:footnote>
  <w:footnote w:id="7">
    <w:p w14:paraId="088BA7DE" w14:textId="412EC550" w:rsidR="00B319AB" w:rsidRPr="006B13D9" w:rsidRDefault="00B319AB" w:rsidP="00DE08ED">
      <w:pPr>
        <w:pStyle w:val="FootnoteText"/>
        <w:ind w:left="0" w:firstLine="0"/>
      </w:pPr>
      <w:r w:rsidRPr="00475279">
        <w:rPr>
          <w:rStyle w:val="FootnoteReference"/>
        </w:rPr>
        <w:footnoteRef/>
      </w:r>
      <w:r w:rsidRPr="00475279">
        <w:t xml:space="preserve"> </w:t>
      </w:r>
      <w:r w:rsidRPr="00DE08ED">
        <w:rPr>
          <w:sz w:val="18"/>
          <w:szCs w:val="18"/>
        </w:rPr>
        <w:t xml:space="preserve">The </w:t>
      </w:r>
      <w:r w:rsidRPr="00DE08ED">
        <w:rPr>
          <w:i/>
          <w:iCs/>
          <w:sz w:val="18"/>
          <w:szCs w:val="18"/>
        </w:rPr>
        <w:t xml:space="preserve">National School Reform Agreement </w:t>
      </w:r>
      <w:r w:rsidRPr="00DE08ED">
        <w:rPr>
          <w:sz w:val="18"/>
          <w:szCs w:val="18"/>
        </w:rPr>
        <w:t xml:space="preserve">expires on 31 December 2024 and will be replaced by the </w:t>
      </w:r>
      <w:r w:rsidRPr="00DE08ED">
        <w:rPr>
          <w:i/>
          <w:iCs/>
          <w:sz w:val="18"/>
          <w:szCs w:val="18"/>
        </w:rPr>
        <w:t>Better and Fairer Schools Agreement</w:t>
      </w:r>
      <w:r w:rsidR="006B13D9" w:rsidRPr="00DE08ED">
        <w:rPr>
          <w:i/>
          <w:iCs/>
          <w:sz w:val="18"/>
          <w:szCs w:val="18"/>
        </w:rPr>
        <w:t xml:space="preserve"> </w:t>
      </w:r>
      <w:r w:rsidR="006B13D9" w:rsidRPr="00DE08ED">
        <w:rPr>
          <w:sz w:val="18"/>
          <w:szCs w:val="18"/>
        </w:rPr>
        <w:t>from 1 January 2025.</w:t>
      </w:r>
    </w:p>
  </w:footnote>
  <w:footnote w:id="8">
    <w:p w14:paraId="2B0E562C" w14:textId="77777777" w:rsidR="00157442" w:rsidRPr="009030F3" w:rsidRDefault="00157442" w:rsidP="00475279">
      <w:pPr>
        <w:pStyle w:val="FootnoteText"/>
        <w:spacing w:after="120"/>
        <w:ind w:left="0" w:firstLine="0"/>
      </w:pPr>
      <w:r w:rsidRPr="00475279">
        <w:rPr>
          <w:rStyle w:val="FootnoteReference"/>
        </w:rPr>
        <w:footnoteRef/>
      </w:r>
      <w:r w:rsidRPr="00475279">
        <w:t xml:space="preserve"> </w:t>
      </w:r>
      <w:r w:rsidRPr="005672F6">
        <w:rPr>
          <w:sz w:val="18"/>
          <w:szCs w:val="18"/>
        </w:rPr>
        <w:t xml:space="preserve">The </w:t>
      </w:r>
      <w:r w:rsidRPr="005672F6">
        <w:rPr>
          <w:i/>
          <w:iCs/>
          <w:sz w:val="18"/>
          <w:szCs w:val="18"/>
        </w:rPr>
        <w:t xml:space="preserve">National School Reform Agreement </w:t>
      </w:r>
      <w:r w:rsidRPr="005672F6">
        <w:rPr>
          <w:sz w:val="18"/>
          <w:szCs w:val="18"/>
        </w:rPr>
        <w:t xml:space="preserve">was extended until 31 December 2024 to allow the </w:t>
      </w:r>
      <w:r w:rsidRPr="005672F6">
        <w:rPr>
          <w:i/>
          <w:iCs/>
          <w:sz w:val="18"/>
          <w:szCs w:val="18"/>
        </w:rPr>
        <w:t>Review to Inform a Better and Fairer Education System</w:t>
      </w:r>
      <w:r w:rsidRPr="005672F6">
        <w:rPr>
          <w:sz w:val="18"/>
          <w:szCs w:val="18"/>
        </w:rPr>
        <w:t xml:space="preserve"> to advise on the reform priorities which should be included in the next agreement. The </w:t>
      </w:r>
      <w:r w:rsidRPr="005672F6">
        <w:rPr>
          <w:i/>
          <w:iCs/>
          <w:sz w:val="18"/>
          <w:szCs w:val="18"/>
        </w:rPr>
        <w:t>Better and Fairer Schools Agreement</w:t>
      </w:r>
      <w:r w:rsidRPr="005672F6">
        <w:rPr>
          <w:sz w:val="18"/>
          <w:szCs w:val="18"/>
        </w:rPr>
        <w:t xml:space="preserve"> will commence on 1 January 2025. The </w:t>
      </w:r>
      <w:r w:rsidRPr="005672F6">
        <w:rPr>
          <w:i/>
          <w:iCs/>
          <w:sz w:val="18"/>
          <w:szCs w:val="18"/>
        </w:rPr>
        <w:t xml:space="preserve">National Legal Assistance Partnership </w:t>
      </w:r>
      <w:r w:rsidRPr="005672F6">
        <w:rPr>
          <w:sz w:val="18"/>
          <w:szCs w:val="18"/>
        </w:rPr>
        <w:t xml:space="preserve">will expire on 30 June 2025 and will be replaced by the </w:t>
      </w:r>
      <w:r w:rsidRPr="005672F6">
        <w:rPr>
          <w:i/>
          <w:iCs/>
          <w:sz w:val="18"/>
          <w:szCs w:val="18"/>
        </w:rPr>
        <w:t>National Access to Justice Partnership</w:t>
      </w:r>
      <w:r w:rsidRPr="005672F6">
        <w:rPr>
          <w:sz w:val="18"/>
          <w:szCs w:val="18"/>
        </w:rPr>
        <w:t xml:space="preserve"> which will commence on 1 July 2025.</w:t>
      </w:r>
    </w:p>
  </w:footnote>
  <w:footnote w:id="9">
    <w:p w14:paraId="57BB1C4D" w14:textId="5BA059DD" w:rsidR="00AD12E1" w:rsidRPr="00281FA5" w:rsidRDefault="00AD12E1">
      <w:pPr>
        <w:pStyle w:val="FootnoteText"/>
        <w:ind w:left="0" w:firstLine="0"/>
      </w:pPr>
      <w:r>
        <w:rPr>
          <w:rStyle w:val="FootnoteReference"/>
        </w:rPr>
        <w:footnoteRef/>
      </w:r>
      <w:r>
        <w:t xml:space="preserve"> See the </w:t>
      </w:r>
      <w:r>
        <w:rPr>
          <w:i/>
          <w:iCs/>
        </w:rPr>
        <w:t xml:space="preserve">ABS Forward Work Program </w:t>
      </w:r>
      <w:r w:rsidR="00A40140">
        <w:t>found at</w:t>
      </w:r>
      <w:r w:rsidR="00671664" w:rsidRPr="00671664">
        <w:t xml:space="preserve"> </w:t>
      </w:r>
      <w:hyperlink r:id="rId1" w:history="1">
        <w:r w:rsidR="00A74D88" w:rsidRPr="00821914">
          <w:rPr>
            <w:rStyle w:val="Hyperlink"/>
          </w:rPr>
          <w:t>https://www.abs.gov.au/about/our-organisation/corporate-reporting/abs-corporate-plan/2024-25/forward-work-program</w:t>
        </w:r>
      </w:hyperlink>
      <w:r w:rsidR="00A74D88">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89C3" w14:textId="17F60A6A" w:rsidR="00ED3A75" w:rsidRDefault="002F21D7">
    <w:pPr>
      <w:pStyle w:val="Header"/>
    </w:pPr>
    <w:r>
      <w:rPr>
        <w:noProof/>
      </w:rPr>
      <w:pict w14:anchorId="0EB18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73.15pt;height:66.1pt;rotation:315;z-index:-251658238;mso-position-horizontal:center;mso-position-horizontal-relative:margin;mso-position-vertical:center;mso-position-vertical-relative:margin" o:allowincell="f" fillcolor="silver" stroked="f">
          <v:textpath style="font-family:&quot;Calibri Light&quot;;font-size:1pt" string="DRAFT - NOT FOR BROAD DISTRIBU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64CF" w14:textId="32F3BCE7" w:rsidR="00E91CB7" w:rsidRDefault="00E91CB7">
    <w:pPr>
      <w:pStyle w:val="Header"/>
    </w:pPr>
    <w:r>
      <w:rPr>
        <w:noProof/>
      </w:rPr>
      <w:drawing>
        <wp:anchor distT="0" distB="0" distL="114300" distR="114300" simplePos="0" relativeHeight="251658251" behindDoc="1" locked="1" layoutInCell="1" allowOverlap="1" wp14:anchorId="4BA2BF90" wp14:editId="3D9BC264">
          <wp:simplePos x="0" y="0"/>
          <wp:positionH relativeFrom="margin">
            <wp:posOffset>-909955</wp:posOffset>
          </wp:positionH>
          <wp:positionV relativeFrom="page">
            <wp:posOffset>0</wp:posOffset>
          </wp:positionV>
          <wp:extent cx="7569835" cy="1043305"/>
          <wp:effectExtent l="0" t="0" r="0" b="4445"/>
          <wp:wrapNone/>
          <wp:docPr id="48091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1" layoutInCell="1" allowOverlap="1" wp14:anchorId="26E24D1D" wp14:editId="52B52B60">
          <wp:simplePos x="0" y="0"/>
          <wp:positionH relativeFrom="margin">
            <wp:posOffset>5452110</wp:posOffset>
          </wp:positionH>
          <wp:positionV relativeFrom="page">
            <wp:posOffset>3251835</wp:posOffset>
          </wp:positionV>
          <wp:extent cx="7569835" cy="1043940"/>
          <wp:effectExtent l="5398" t="0" r="0" b="0"/>
          <wp:wrapNone/>
          <wp:docPr id="1649272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rot="16200000" flipV="1">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E612B" w14:textId="131300B5" w:rsidR="00362EE0" w:rsidRDefault="00362E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69091" w14:textId="21756CED" w:rsidR="00E91CB7" w:rsidRDefault="00E91CB7">
    <w:pPr>
      <w:pStyle w:val="Header"/>
    </w:pPr>
    <w:r>
      <w:rPr>
        <w:noProof/>
      </w:rPr>
      <w:drawing>
        <wp:anchor distT="0" distB="0" distL="114300" distR="114300" simplePos="0" relativeHeight="251658252" behindDoc="1" locked="1" layoutInCell="1" allowOverlap="1" wp14:anchorId="704AE805" wp14:editId="30E08748">
          <wp:simplePos x="0" y="0"/>
          <wp:positionH relativeFrom="margin">
            <wp:posOffset>5452110</wp:posOffset>
          </wp:positionH>
          <wp:positionV relativeFrom="page">
            <wp:posOffset>3251835</wp:posOffset>
          </wp:positionV>
          <wp:extent cx="7569835" cy="1043940"/>
          <wp:effectExtent l="5398" t="0" r="0" b="0"/>
          <wp:wrapNone/>
          <wp:docPr id="223730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16200000" flipV="1">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586D" w14:textId="77777777" w:rsidR="00E91CB7" w:rsidRDefault="00E91CB7">
    <w:pPr>
      <w:pStyle w:val="Header"/>
    </w:pPr>
    <w:r>
      <w:rPr>
        <w:noProof/>
      </w:rPr>
      <w:drawing>
        <wp:anchor distT="0" distB="0" distL="114300" distR="114300" simplePos="0" relativeHeight="251658254" behindDoc="1" locked="1" layoutInCell="1" allowOverlap="1" wp14:anchorId="5EE007E4" wp14:editId="539B9BCE">
          <wp:simplePos x="0" y="0"/>
          <wp:positionH relativeFrom="margin">
            <wp:posOffset>-909955</wp:posOffset>
          </wp:positionH>
          <wp:positionV relativeFrom="page">
            <wp:posOffset>0</wp:posOffset>
          </wp:positionV>
          <wp:extent cx="7569835" cy="1043305"/>
          <wp:effectExtent l="0" t="0" r="0" b="4445"/>
          <wp:wrapNone/>
          <wp:docPr id="46508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1" locked="1" layoutInCell="1" allowOverlap="1" wp14:anchorId="13B50FD8" wp14:editId="242D9B6D">
          <wp:simplePos x="0" y="0"/>
          <wp:positionH relativeFrom="margin">
            <wp:posOffset>5452110</wp:posOffset>
          </wp:positionH>
          <wp:positionV relativeFrom="page">
            <wp:posOffset>3251835</wp:posOffset>
          </wp:positionV>
          <wp:extent cx="7569835" cy="1043940"/>
          <wp:effectExtent l="5398" t="0" r="0" b="0"/>
          <wp:wrapNone/>
          <wp:docPr id="135787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rot="16200000" flipV="1">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8810" w14:textId="0918D026" w:rsidR="00ED3A75" w:rsidRDefault="00ED3A75" w:rsidP="008504DD">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015A" w14:textId="1E50EF93" w:rsidR="00095D88" w:rsidRPr="00095D88" w:rsidRDefault="002F21D7" w:rsidP="00095D88">
    <w:pPr>
      <w:pStyle w:val="Header"/>
    </w:pPr>
    <w:r>
      <w:rPr>
        <w:noProof/>
      </w:rPr>
      <w:pict w14:anchorId="75F66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73.15pt;height:66.1pt;rotation:315;z-index:-251658237;mso-position-horizontal:center;mso-position-horizontal-relative:margin;mso-position-vertical:center;mso-position-vertical-relative:margin" o:allowincell="f" fillcolor="silver" stroked="f">
          <v:textpath style="font-family:&quot;Calibri Light&quot;;font-size:1pt" string="DRAFT - NOT FOR BROAD DISTRIBU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A28D" w14:textId="16F1BEE8" w:rsidR="00672B5D" w:rsidRDefault="002F21D7" w:rsidP="00AC75E2">
    <w:pPr>
      <w:pStyle w:val="HeaderEven"/>
    </w:pPr>
    <w:r>
      <w:rPr>
        <w:noProof/>
      </w:rPr>
      <w:pict w14:anchorId="2C54E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73.15pt;height:66.1pt;rotation:315;z-index:-251658236;mso-position-horizontal:center;mso-position-horizontal-relative:margin;mso-position-vertical:center;mso-position-vertical-relative:margin" o:allowincell="f" fillcolor="silver" stroked="f">
          <v:textpath style="font-family:&quot;Calibri Light&quot;;font-size:1pt" string="DRAFT - NOT FOR BROAD DISTRIBUTION"/>
          <w10:wrap anchorx="margin" anchory="margin"/>
        </v:shape>
      </w:pict>
    </w:r>
    <w:r w:rsidR="00AC75E2">
      <w:rPr>
        <w:noProof/>
      </w:rPr>
      <w:drawing>
        <wp:anchor distT="0" distB="0" distL="114300" distR="114300" simplePos="0" relativeHeight="251658241" behindDoc="1" locked="1" layoutInCell="1" allowOverlap="1" wp14:anchorId="71F0BEC1" wp14:editId="3BD2F371">
          <wp:simplePos x="0" y="0"/>
          <wp:positionH relativeFrom="page">
            <wp:posOffset>-635</wp:posOffset>
          </wp:positionH>
          <wp:positionV relativeFrom="page">
            <wp:align>top</wp:align>
          </wp:positionV>
          <wp:extent cx="7570800" cy="1044000"/>
          <wp:effectExtent l="0" t="0" r="0" b="3810"/>
          <wp:wrapNone/>
          <wp:docPr id="834414540" name="Picture 8344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3852" w14:textId="1EEDFC4F" w:rsidR="00212236" w:rsidRDefault="00E91CB7" w:rsidP="00E91CB7">
    <w:pPr>
      <w:pStyle w:val="Header"/>
      <w:jc w:val="left"/>
    </w:pPr>
    <w:r>
      <w:rPr>
        <w:noProof/>
      </w:rPr>
      <w:drawing>
        <wp:anchor distT="0" distB="0" distL="114300" distR="114300" simplePos="0" relativeHeight="251658245" behindDoc="1" locked="1" layoutInCell="1" allowOverlap="1" wp14:anchorId="2AF5137B" wp14:editId="16F912AE">
          <wp:simplePos x="0" y="0"/>
          <wp:positionH relativeFrom="margin">
            <wp:posOffset>-909955</wp:posOffset>
          </wp:positionH>
          <wp:positionV relativeFrom="page">
            <wp:posOffset>0</wp:posOffset>
          </wp:positionV>
          <wp:extent cx="7569835" cy="1043305"/>
          <wp:effectExtent l="0" t="0" r="0" b="4445"/>
          <wp:wrapNone/>
          <wp:docPr id="1478155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26FD" w14:textId="7FFEC488" w:rsidR="00534799" w:rsidRDefault="005347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E269" w14:textId="79B242EE" w:rsidR="00E91CB7" w:rsidRDefault="00E91CB7" w:rsidP="00E91CB7">
    <w:pPr>
      <w:pStyle w:val="Header"/>
      <w:jc w:val="left"/>
    </w:pPr>
    <w:r>
      <w:rPr>
        <w:noProof/>
      </w:rPr>
      <w:drawing>
        <wp:anchor distT="0" distB="0" distL="114300" distR="114300" simplePos="0" relativeHeight="251658247" behindDoc="1" locked="1" layoutInCell="1" allowOverlap="1" wp14:anchorId="46BEA4BD" wp14:editId="1AC2BF4E">
          <wp:simplePos x="0" y="0"/>
          <wp:positionH relativeFrom="margin">
            <wp:posOffset>5452110</wp:posOffset>
          </wp:positionH>
          <wp:positionV relativeFrom="page">
            <wp:posOffset>3251835</wp:posOffset>
          </wp:positionV>
          <wp:extent cx="7569835" cy="1043940"/>
          <wp:effectExtent l="5398" t="0" r="0" b="0"/>
          <wp:wrapNone/>
          <wp:docPr id="59732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16200000" flipV="1">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2E4C" w14:textId="77777777" w:rsidR="00E91CB7" w:rsidRDefault="00E91CB7">
    <w:pPr>
      <w:pStyle w:val="Header"/>
    </w:pPr>
    <w:r>
      <w:rPr>
        <w:noProof/>
      </w:rPr>
      <w:drawing>
        <wp:anchor distT="0" distB="0" distL="114300" distR="114300" simplePos="0" relativeHeight="251658246" behindDoc="1" locked="1" layoutInCell="1" allowOverlap="1" wp14:anchorId="6109C225" wp14:editId="4E69E98C">
          <wp:simplePos x="0" y="0"/>
          <wp:positionH relativeFrom="margin">
            <wp:posOffset>-909955</wp:posOffset>
          </wp:positionH>
          <wp:positionV relativeFrom="page">
            <wp:posOffset>0</wp:posOffset>
          </wp:positionV>
          <wp:extent cx="7569835" cy="1043305"/>
          <wp:effectExtent l="0" t="0" r="0" b="4445"/>
          <wp:wrapNone/>
          <wp:docPr id="50270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30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6A6A" w14:textId="6A3CB967" w:rsidR="00E91CB7" w:rsidRDefault="00E91CB7">
    <w:pPr>
      <w:pStyle w:val="Header"/>
    </w:pPr>
    <w:r>
      <w:rPr>
        <w:noProof/>
      </w:rPr>
      <w:drawing>
        <wp:anchor distT="0" distB="0" distL="114300" distR="114300" simplePos="0" relativeHeight="251658249" behindDoc="1" locked="1" layoutInCell="1" allowOverlap="1" wp14:anchorId="36A19DF4" wp14:editId="713564F1">
          <wp:simplePos x="0" y="0"/>
          <wp:positionH relativeFrom="margin">
            <wp:posOffset>5452110</wp:posOffset>
          </wp:positionH>
          <wp:positionV relativeFrom="page">
            <wp:posOffset>3251835</wp:posOffset>
          </wp:positionV>
          <wp:extent cx="7569835" cy="1043940"/>
          <wp:effectExtent l="5398" t="0" r="0" b="0"/>
          <wp:wrapNone/>
          <wp:docPr id="913550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rot="16200000" flipV="1">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Logo&#10;&#10;Description automatically generated with medium confidence" style="width:104.25pt;height:15.75pt;visibility:visible;mso-wrap-style:square" o:bullet="t">
        <v:imagedata r:id="rId1" o:title="Logo&#10;&#10;Description automatically generated with medium confidence"/>
      </v:shape>
    </w:pict>
  </w:numPicBullet>
  <w:abstractNum w:abstractNumId="0" w15:restartNumberingAfterBreak="0">
    <w:nsid w:val="000B4B6E"/>
    <w:multiLevelType w:val="multilevel"/>
    <w:tmpl w:val="A1827AAC"/>
    <w:name w:val="StandardNumberedList6"/>
    <w:lvl w:ilvl="0">
      <w:start w:val="3"/>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b w:val="0"/>
        <w:bCs w:val="0"/>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943601"/>
    <w:multiLevelType w:val="multilevel"/>
    <w:tmpl w:val="C99864A0"/>
    <w:name w:val="StandardNumberedList4"/>
    <w:lvl w:ilvl="0">
      <w:start w:val="8"/>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b w:val="0"/>
        <w:bCs w:val="0"/>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9418F2"/>
    <w:multiLevelType w:val="multilevel"/>
    <w:tmpl w:val="AEE8798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8863F7A"/>
    <w:multiLevelType w:val="multilevel"/>
    <w:tmpl w:val="68EC8F72"/>
    <w:lvl w:ilvl="0">
      <w:start w:val="1"/>
      <w:numFmt w:val="decimal"/>
      <w:lvlText w:val="%1."/>
      <w:lvlJc w:val="left"/>
      <w:pPr>
        <w:tabs>
          <w:tab w:val="num" w:pos="567"/>
        </w:tabs>
        <w:ind w:left="567" w:hanging="567"/>
      </w:pPr>
      <w:rPr>
        <w:rFonts w:hint="default"/>
        <w:b/>
        <w:bCs/>
        <w:sz w:val="22"/>
        <w:szCs w:val="22"/>
      </w:rPr>
    </w:lvl>
    <w:lvl w:ilvl="1">
      <w:start w:val="1"/>
      <w:numFmt w:val="decimal"/>
      <w:lvlText w:val="1.%2"/>
      <w:lvlJc w:val="left"/>
      <w:pPr>
        <w:ind w:left="927" w:hanging="36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8" w15:restartNumberingAfterBreak="0">
    <w:nsid w:val="16CC4E5D"/>
    <w:multiLevelType w:val="multilevel"/>
    <w:tmpl w:val="D10E9CF6"/>
    <w:numStyleLink w:val="OneLevelList"/>
  </w:abstractNum>
  <w:abstractNum w:abstractNumId="9" w15:restartNumberingAfterBreak="0">
    <w:nsid w:val="16DC3BAE"/>
    <w:multiLevelType w:val="multilevel"/>
    <w:tmpl w:val="0DB65206"/>
    <w:lvl w:ilvl="0">
      <w:start w:val="5"/>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087" w:hanging="52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725F19"/>
    <w:multiLevelType w:val="multilevel"/>
    <w:tmpl w:val="C0AE5060"/>
    <w:name w:val="StandardNumberedList42"/>
    <w:lvl w:ilvl="0">
      <w:start w:val="3"/>
      <w:numFmt w:val="decimal"/>
      <w:lvlText w:val="%1."/>
      <w:lvlJc w:val="left"/>
      <w:pPr>
        <w:tabs>
          <w:tab w:val="num" w:pos="520"/>
        </w:tabs>
        <w:ind w:left="520" w:hanging="520"/>
      </w:pPr>
      <w:rPr>
        <w:rFonts w:hint="default"/>
        <w:b/>
        <w:bCs/>
      </w:rPr>
    </w:lvl>
    <w:lvl w:ilvl="1">
      <w:start w:val="1"/>
      <w:numFmt w:val="decimal"/>
      <w:lvlText w:val="%1.%2."/>
      <w:lvlJc w:val="left"/>
      <w:pPr>
        <w:tabs>
          <w:tab w:val="num" w:pos="1040"/>
        </w:tabs>
        <w:ind w:left="1040" w:hanging="520"/>
      </w:pPr>
      <w:rPr>
        <w:rFonts w:hint="default"/>
        <w:b w:val="0"/>
        <w:bCs w:val="0"/>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C953FA"/>
    <w:multiLevelType w:val="hybridMultilevel"/>
    <w:tmpl w:val="EF183390"/>
    <w:name w:val="StandardNumberedList422"/>
    <w:lvl w:ilvl="0" w:tplc="D736DD96">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AD46019"/>
    <w:multiLevelType w:val="multilevel"/>
    <w:tmpl w:val="20DE6D02"/>
    <w:lvl w:ilvl="0">
      <w:start w:val="1"/>
      <w:numFmt w:val="decimal"/>
      <w:lvlText w:val="%1."/>
      <w:lvlJc w:val="left"/>
      <w:pPr>
        <w:tabs>
          <w:tab w:val="num" w:pos="283"/>
        </w:tabs>
        <w:ind w:left="284" w:hanging="284"/>
      </w:pPr>
      <w:rPr>
        <w:rFonts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4" w15:restartNumberingAfterBreak="0">
    <w:nsid w:val="1C3601C7"/>
    <w:multiLevelType w:val="hybridMultilevel"/>
    <w:tmpl w:val="9D1255A0"/>
    <w:lvl w:ilvl="0" w:tplc="37341068">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9"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1B068D"/>
    <w:multiLevelType w:val="multilevel"/>
    <w:tmpl w:val="2228C1FA"/>
    <w:lvl w:ilvl="0">
      <w:start w:val="1"/>
      <w:numFmt w:val="decimal"/>
      <w:lvlText w:val="%1."/>
      <w:lvlJc w:val="left"/>
      <w:pPr>
        <w:tabs>
          <w:tab w:val="num" w:pos="567"/>
        </w:tabs>
        <w:ind w:left="567" w:hanging="567"/>
      </w:pPr>
      <w:rPr>
        <w:rFonts w:hint="default"/>
        <w:b/>
        <w:bCs/>
        <w:sz w:val="22"/>
        <w:szCs w:val="22"/>
      </w:rPr>
    </w:lvl>
    <w:lvl w:ilvl="1">
      <w:start w:val="1"/>
      <w:numFmt w:val="decimal"/>
      <w:lvlText w:val="%1.%2."/>
      <w:lvlJc w:val="left"/>
      <w:pPr>
        <w:tabs>
          <w:tab w:val="num" w:pos="1087"/>
        </w:tabs>
        <w:ind w:left="1087" w:hanging="52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F7C4418"/>
    <w:multiLevelType w:val="multilevel"/>
    <w:tmpl w:val="92E6EAF6"/>
    <w:lvl w:ilvl="0">
      <w:start w:val="2"/>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134" w:hanging="567"/>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7E23F5"/>
    <w:multiLevelType w:val="multilevel"/>
    <w:tmpl w:val="F612C1A0"/>
    <w:lvl w:ilvl="0">
      <w:start w:val="3"/>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134" w:hanging="567"/>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D22F4B"/>
    <w:multiLevelType w:val="multilevel"/>
    <w:tmpl w:val="9162F810"/>
    <w:lvl w:ilvl="0">
      <w:start w:val="1"/>
      <w:numFmt w:val="decimal"/>
      <w:lvlText w:val="%1."/>
      <w:lvlJc w:val="left"/>
      <w:pPr>
        <w:tabs>
          <w:tab w:val="num" w:pos="520"/>
        </w:tabs>
        <w:ind w:left="520" w:hanging="520"/>
      </w:pPr>
      <w:rPr>
        <w:rFonts w:hint="default"/>
      </w:rPr>
    </w:lvl>
    <w:lvl w:ilvl="1">
      <w:start w:val="1"/>
      <w:numFmt w:val="decimal"/>
      <w:lvlText w:val="%1.%2"/>
      <w:lvlJc w:val="right"/>
      <w:pPr>
        <w:ind w:left="880" w:hanging="36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7" w15:restartNumberingAfterBreak="0">
    <w:nsid w:val="4FDD28F3"/>
    <w:multiLevelType w:val="multilevel"/>
    <w:tmpl w:val="87F8CDB6"/>
    <w:name w:val="StandardNumberedList"/>
    <w:lvl w:ilvl="0">
      <w:start w:val="1"/>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087" w:hanging="52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0D2021"/>
    <w:multiLevelType w:val="multilevel"/>
    <w:tmpl w:val="72F8140E"/>
    <w:numStyleLink w:val="OutlineList"/>
  </w:abstractNum>
  <w:abstractNum w:abstractNumId="2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72029FB"/>
    <w:multiLevelType w:val="multilevel"/>
    <w:tmpl w:val="1EA0542A"/>
    <w:lvl w:ilvl="0">
      <w:start w:val="1"/>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134" w:hanging="567"/>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A6B7BF9"/>
    <w:multiLevelType w:val="hybridMultilevel"/>
    <w:tmpl w:val="E6B2BFE2"/>
    <w:lvl w:ilvl="0" w:tplc="F0523E86">
      <w:start w:val="4"/>
      <w:numFmt w:val="decimal"/>
      <w:lvlText w:val="1.%1"/>
      <w:lvlJc w:val="left"/>
      <w:pPr>
        <w:ind w:left="720" w:hanging="360"/>
      </w:pPr>
      <w:rPr>
        <w:rFonts w:hint="default"/>
        <w:b w:val="0"/>
        <w:b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4F56139"/>
    <w:multiLevelType w:val="multilevel"/>
    <w:tmpl w:val="1EA0542A"/>
    <w:lvl w:ilvl="0">
      <w:start w:val="1"/>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134" w:hanging="567"/>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59835C9"/>
    <w:multiLevelType w:val="multilevel"/>
    <w:tmpl w:val="13CCF8F2"/>
    <w:lvl w:ilvl="0">
      <w:start w:val="3"/>
      <w:numFmt w:val="decimal"/>
      <w:lvlText w:val="%1."/>
      <w:lvlJc w:val="left"/>
      <w:pPr>
        <w:tabs>
          <w:tab w:val="num" w:pos="567"/>
        </w:tabs>
        <w:ind w:left="567" w:hanging="567"/>
      </w:pPr>
      <w:rPr>
        <w:rFonts w:hint="default"/>
        <w:b/>
        <w:bCs/>
        <w:sz w:val="22"/>
        <w:szCs w:val="22"/>
      </w:rPr>
    </w:lvl>
    <w:lvl w:ilvl="1">
      <w:start w:val="1"/>
      <w:numFmt w:val="decimal"/>
      <w:lvlText w:val="%1.%2."/>
      <w:lvlJc w:val="left"/>
      <w:pPr>
        <w:tabs>
          <w:tab w:val="num" w:pos="1087"/>
        </w:tabs>
        <w:ind w:left="1087" w:hanging="52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86A7EE7"/>
    <w:multiLevelType w:val="multilevel"/>
    <w:tmpl w:val="ED80F5A2"/>
    <w:lvl w:ilvl="0">
      <w:start w:val="8"/>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087" w:hanging="52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BE45AD8"/>
    <w:multiLevelType w:val="multilevel"/>
    <w:tmpl w:val="4EF80546"/>
    <w:lvl w:ilvl="0">
      <w:start w:val="1"/>
      <w:numFmt w:val="decimal"/>
      <w:lvlText w:val="%1."/>
      <w:lvlJc w:val="left"/>
      <w:pPr>
        <w:tabs>
          <w:tab w:val="num" w:pos="520"/>
        </w:tabs>
        <w:ind w:left="520" w:hanging="520"/>
      </w:pPr>
    </w:lvl>
    <w:lvl w:ilvl="1">
      <w:start w:val="1"/>
      <w:numFmt w:val="lowerRoman"/>
      <w:lvlText w:val="%2."/>
      <w:lvlJc w:val="right"/>
      <w:pPr>
        <w:ind w:left="880" w:hanging="36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A0027F1"/>
    <w:multiLevelType w:val="multilevel"/>
    <w:tmpl w:val="20DE6D02"/>
    <w:lvl w:ilvl="0">
      <w:start w:val="1"/>
      <w:numFmt w:val="decimal"/>
      <w:lvlText w:val="%1."/>
      <w:lvlJc w:val="left"/>
      <w:pPr>
        <w:tabs>
          <w:tab w:val="num" w:pos="283"/>
        </w:tabs>
        <w:ind w:left="284" w:hanging="284"/>
      </w:pPr>
      <w:rPr>
        <w:rFonts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0" w15:restartNumberingAfterBreak="0">
    <w:nsid w:val="7AB420B3"/>
    <w:multiLevelType w:val="multilevel"/>
    <w:tmpl w:val="7A189188"/>
    <w:lvl w:ilvl="0">
      <w:start w:val="1"/>
      <w:numFmt w:val="decimal"/>
      <w:lvlText w:val="%1."/>
      <w:lvlJc w:val="left"/>
      <w:pPr>
        <w:tabs>
          <w:tab w:val="num" w:pos="567"/>
        </w:tabs>
        <w:ind w:left="567" w:hanging="567"/>
      </w:pPr>
      <w:rPr>
        <w:rFonts w:hint="default"/>
        <w:b/>
        <w:bCs/>
        <w:sz w:val="22"/>
        <w:szCs w:val="22"/>
      </w:rPr>
    </w:lvl>
    <w:lvl w:ilvl="1">
      <w:start w:val="1"/>
      <w:numFmt w:val="decimal"/>
      <w:lvlText w:val="3.%2"/>
      <w:lvlJc w:val="left"/>
      <w:pPr>
        <w:ind w:left="927" w:hanging="360"/>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BEA03AD"/>
    <w:multiLevelType w:val="multilevel"/>
    <w:tmpl w:val="20DE6D02"/>
    <w:lvl w:ilvl="0">
      <w:start w:val="1"/>
      <w:numFmt w:val="decimal"/>
      <w:lvlText w:val="%1."/>
      <w:lvlJc w:val="left"/>
      <w:pPr>
        <w:tabs>
          <w:tab w:val="num" w:pos="283"/>
        </w:tabs>
        <w:ind w:left="284" w:hanging="284"/>
      </w:pPr>
      <w:rPr>
        <w:rFonts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2"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4"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45" w15:restartNumberingAfterBreak="0">
    <w:nsid w:val="7FA70A3C"/>
    <w:multiLevelType w:val="multilevel"/>
    <w:tmpl w:val="15B2C08E"/>
    <w:lvl w:ilvl="0">
      <w:start w:val="8"/>
      <w:numFmt w:val="decimal"/>
      <w:lvlText w:val="%1."/>
      <w:lvlJc w:val="left"/>
      <w:pPr>
        <w:tabs>
          <w:tab w:val="num" w:pos="567"/>
        </w:tabs>
        <w:ind w:left="567" w:hanging="567"/>
      </w:pPr>
      <w:rPr>
        <w:rFonts w:hint="default"/>
        <w:b w:val="0"/>
        <w:bCs w:val="0"/>
        <w:sz w:val="22"/>
        <w:szCs w:val="22"/>
      </w:rPr>
    </w:lvl>
    <w:lvl w:ilvl="1">
      <w:start w:val="1"/>
      <w:numFmt w:val="decimal"/>
      <w:lvlText w:val="%1.%2."/>
      <w:lvlJc w:val="left"/>
      <w:pPr>
        <w:tabs>
          <w:tab w:val="num" w:pos="1087"/>
        </w:tabs>
        <w:ind w:left="1134" w:hanging="567"/>
      </w:pPr>
      <w:rPr>
        <w:rFonts w:hint="default"/>
      </w:rPr>
    </w:lvl>
    <w:lvl w:ilvl="2">
      <w:start w:val="1"/>
      <w:numFmt w:val="decimal"/>
      <w:lvlText w:val="%1.%2.%3."/>
      <w:lvlJc w:val="left"/>
      <w:pPr>
        <w:tabs>
          <w:tab w:val="num" w:pos="1654"/>
        </w:tabs>
        <w:ind w:left="1654"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09446909">
    <w:abstractNumId w:val="18"/>
  </w:num>
  <w:num w:numId="2" w16cid:durableId="230386874">
    <w:abstractNumId w:val="3"/>
  </w:num>
  <w:num w:numId="3" w16cid:durableId="1716855291">
    <w:abstractNumId w:val="21"/>
  </w:num>
  <w:num w:numId="4" w16cid:durableId="797724066">
    <w:abstractNumId w:val="6"/>
  </w:num>
  <w:num w:numId="5" w16cid:durableId="1043020558">
    <w:abstractNumId w:val="10"/>
  </w:num>
  <w:num w:numId="6" w16cid:durableId="832991063">
    <w:abstractNumId w:val="17"/>
  </w:num>
  <w:num w:numId="7" w16cid:durableId="143200778">
    <w:abstractNumId w:val="20"/>
  </w:num>
  <w:num w:numId="8" w16cid:durableId="1534227257">
    <w:abstractNumId w:val="37"/>
  </w:num>
  <w:num w:numId="9" w16cid:durableId="278220422">
    <w:abstractNumId w:val="33"/>
  </w:num>
  <w:num w:numId="10" w16cid:durableId="1615749827">
    <w:abstractNumId w:val="4"/>
  </w:num>
  <w:num w:numId="11" w16cid:durableId="1298297910">
    <w:abstractNumId w:val="9"/>
  </w:num>
  <w:num w:numId="12" w16cid:durableId="161697937">
    <w:abstractNumId w:val="22"/>
  </w:num>
  <w:num w:numId="13" w16cid:durableId="1257667604">
    <w:abstractNumId w:val="31"/>
  </w:num>
  <w:num w:numId="14" w16cid:durableId="792134512">
    <w:abstractNumId w:val="42"/>
  </w:num>
  <w:num w:numId="15" w16cid:durableId="1958826920">
    <w:abstractNumId w:val="14"/>
  </w:num>
  <w:num w:numId="16" w16cid:durableId="757601032">
    <w:abstractNumId w:val="40"/>
  </w:num>
  <w:num w:numId="17" w16cid:durableId="1495758001">
    <w:abstractNumId w:val="2"/>
  </w:num>
  <w:num w:numId="18" w16cid:durableId="339939851">
    <w:abstractNumId w:val="36"/>
  </w:num>
  <w:num w:numId="19" w16cid:durableId="17107575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08268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4812456">
    <w:abstractNumId w:val="28"/>
    <w:lvlOverride w:ilvl="0">
      <w:startOverride w:val="1"/>
      <w:lvl w:ilvl="0">
        <w:start w:val="1"/>
        <w:numFmt w:val="decimal"/>
        <w:pStyle w:val="OutlineNumbered1"/>
        <w:lvlText w:val="%1."/>
        <w:lvlJc w:val="left"/>
        <w:pPr>
          <w:ind w:left="360" w:hanging="360"/>
        </w:pPr>
        <w:rPr>
          <w:b w:val="0"/>
          <w:bCs w:val="0"/>
        </w:rPr>
      </w:lvl>
    </w:lvlOverride>
    <w:lvlOverride w:ilvl="1">
      <w:startOverride w:val="1"/>
      <w:lvl w:ilvl="1">
        <w:start w:val="1"/>
        <w:numFmt w:val="lowerLetter"/>
        <w:pStyle w:val="OutlineNumbered2"/>
        <w:lvlText w:val="%2."/>
        <w:lvlJc w:val="left"/>
        <w:pPr>
          <w:ind w:left="1080" w:hanging="360"/>
        </w:pPr>
      </w:lvl>
    </w:lvlOverride>
    <w:lvlOverride w:ilvl="2">
      <w:startOverride w:val="1"/>
      <w:lvl w:ilvl="2" w:tentative="1">
        <w:start w:val="1"/>
        <w:numFmt w:val="lowerRoman"/>
        <w:pStyle w:val="OutlineNumbered3"/>
        <w:lvlText w:val="%3."/>
        <w:lvlJc w:val="right"/>
        <w:pPr>
          <w:ind w:left="1800" w:hanging="180"/>
        </w:pPr>
      </w:lvl>
    </w:lvlOverride>
    <w:lvlOverride w:ilvl="3">
      <w:startOverride w:val="1"/>
      <w:lvl w:ilvl="3" w:tentative="1">
        <w:start w:val="1"/>
        <w:numFmt w:val="decimal"/>
        <w:lvlText w:val="%4."/>
        <w:lvlJc w:val="left"/>
        <w:pPr>
          <w:ind w:left="2520" w:hanging="360"/>
        </w:pPr>
      </w:lvl>
    </w:lvlOverride>
    <w:lvlOverride w:ilvl="4">
      <w:startOverride w:val="1"/>
      <w:lvl w:ilvl="4" w:tentative="1">
        <w:start w:val="1"/>
        <w:numFmt w:val="lowerLetter"/>
        <w:lvlText w:val="%5."/>
        <w:lvlJc w:val="left"/>
        <w:pPr>
          <w:ind w:left="3240" w:hanging="360"/>
        </w:pPr>
      </w:lvl>
    </w:lvlOverride>
    <w:lvlOverride w:ilvl="5">
      <w:startOverride w:val="1"/>
      <w:lvl w:ilvl="5" w:tentative="1">
        <w:start w:val="1"/>
        <w:numFmt w:val="lowerRoman"/>
        <w:lvlText w:val="%6."/>
        <w:lvlJc w:val="right"/>
        <w:pPr>
          <w:ind w:left="3960" w:hanging="180"/>
        </w:pPr>
      </w:lvl>
    </w:lvlOverride>
    <w:lvlOverride w:ilvl="6">
      <w:startOverride w:val="1"/>
      <w:lvl w:ilvl="6" w:tentative="1">
        <w:start w:val="1"/>
        <w:numFmt w:val="decimal"/>
        <w:lvlText w:val="%7."/>
        <w:lvlJc w:val="left"/>
        <w:pPr>
          <w:ind w:left="4680" w:hanging="360"/>
        </w:pPr>
      </w:lvl>
    </w:lvlOverride>
    <w:lvlOverride w:ilvl="7">
      <w:startOverride w:val="1"/>
      <w:lvl w:ilvl="7" w:tentative="1">
        <w:start w:val="1"/>
        <w:numFmt w:val="lowerLetter"/>
        <w:lvlText w:val="%8."/>
        <w:lvlJc w:val="left"/>
        <w:pPr>
          <w:ind w:left="5400" w:hanging="360"/>
        </w:pPr>
      </w:lvl>
    </w:lvlOverride>
    <w:lvlOverride w:ilvl="8">
      <w:startOverride w:val="1"/>
      <w:lvl w:ilvl="8" w:tentative="1">
        <w:start w:val="1"/>
        <w:numFmt w:val="lowerRoman"/>
        <w:lvlText w:val="%9."/>
        <w:lvlJc w:val="right"/>
        <w:pPr>
          <w:ind w:left="6120" w:hanging="180"/>
        </w:pPr>
      </w:lvl>
    </w:lvlOverride>
  </w:num>
  <w:num w:numId="22" w16cid:durableId="1966033627">
    <w:abstractNumId w:val="34"/>
  </w:num>
  <w:num w:numId="23" w16cid:durableId="161550523">
    <w:abstractNumId w:val="39"/>
  </w:num>
  <w:num w:numId="24" w16cid:durableId="581333978">
    <w:abstractNumId w:val="41"/>
  </w:num>
  <w:num w:numId="25" w16cid:durableId="2022471414">
    <w:abstractNumId w:val="13"/>
  </w:num>
  <w:num w:numId="26" w16cid:durableId="306596971">
    <w:abstractNumId w:val="28"/>
  </w:num>
  <w:num w:numId="27" w16cid:durableId="6827818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47253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7315866">
    <w:abstractNumId w:val="35"/>
  </w:num>
  <w:num w:numId="30" w16cid:durableId="150606877">
    <w:abstractNumId w:val="25"/>
  </w:num>
  <w:num w:numId="31" w16cid:durableId="973102324">
    <w:abstractNumId w:val="30"/>
  </w:num>
  <w:num w:numId="32" w16cid:durableId="1371606605">
    <w:abstractNumId w:val="23"/>
  </w:num>
  <w:num w:numId="33" w16cid:durableId="1270241712">
    <w:abstractNumId w:val="45"/>
  </w:num>
  <w:num w:numId="34" w16cid:durableId="1703088317">
    <w:abstractNumId w:val="24"/>
  </w:num>
  <w:num w:numId="35" w16cid:durableId="709110180">
    <w:abstractNumId w:val="8"/>
  </w:num>
  <w:num w:numId="36" w16cid:durableId="1739129519">
    <w:abstractNumId w:val="2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7" w16cid:durableId="1591279926">
    <w:abstractNumId w:val="5"/>
  </w:num>
  <w:num w:numId="38" w16cid:durableId="215508863">
    <w:abstractNumId w:val="43"/>
  </w:num>
  <w:num w:numId="39" w16cid:durableId="1757362042">
    <w:abstractNumId w:val="44"/>
  </w:num>
  <w:num w:numId="40" w16cid:durableId="353965158">
    <w:abstractNumId w:val="26"/>
  </w:num>
  <w:num w:numId="41" w16cid:durableId="77220001">
    <w:abstractNumId w:val="16"/>
  </w:num>
  <w:num w:numId="42" w16cid:durableId="626086807">
    <w:abstractNumId w:val="32"/>
  </w:num>
  <w:num w:numId="43" w16cid:durableId="10540393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85910852">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96955640">
    <w:abstractNumId w:val="19"/>
  </w:num>
  <w:num w:numId="46" w16cid:durableId="525217854">
    <w:abstractNumId w:val="29"/>
  </w:num>
  <w:num w:numId="47" w16cid:durableId="1017973052">
    <w:abstractNumId w:val="7"/>
  </w:num>
  <w:num w:numId="48" w16cid:durableId="1198618205">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linkStyles/>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20576AA-6B56-43E8-B1C5-CB962C0FCACE}"/>
    <w:docVar w:name="dgnword-eventsink" w:val="2074406247824"/>
    <w:docVar w:name="SecurityClassificationInHeader" w:val="False"/>
  </w:docVars>
  <w:rsids>
    <w:rsidRoot w:val="0001125E"/>
    <w:rsid w:val="00000054"/>
    <w:rsid w:val="00000291"/>
    <w:rsid w:val="00000496"/>
    <w:rsid w:val="00000669"/>
    <w:rsid w:val="00000699"/>
    <w:rsid w:val="00000A0C"/>
    <w:rsid w:val="00000E05"/>
    <w:rsid w:val="0000131C"/>
    <w:rsid w:val="000014B1"/>
    <w:rsid w:val="00001836"/>
    <w:rsid w:val="000018A9"/>
    <w:rsid w:val="000018BA"/>
    <w:rsid w:val="00001995"/>
    <w:rsid w:val="00001BD5"/>
    <w:rsid w:val="00001D11"/>
    <w:rsid w:val="000020BA"/>
    <w:rsid w:val="000021D1"/>
    <w:rsid w:val="000021F1"/>
    <w:rsid w:val="00002548"/>
    <w:rsid w:val="0000290A"/>
    <w:rsid w:val="00002BD9"/>
    <w:rsid w:val="00002F2D"/>
    <w:rsid w:val="0000301B"/>
    <w:rsid w:val="0000304F"/>
    <w:rsid w:val="000032CF"/>
    <w:rsid w:val="000033D2"/>
    <w:rsid w:val="000035E1"/>
    <w:rsid w:val="00003C07"/>
    <w:rsid w:val="00003C41"/>
    <w:rsid w:val="00003D4D"/>
    <w:rsid w:val="00003E55"/>
    <w:rsid w:val="00003EE3"/>
    <w:rsid w:val="000040C9"/>
    <w:rsid w:val="0000430F"/>
    <w:rsid w:val="00004486"/>
    <w:rsid w:val="0000449B"/>
    <w:rsid w:val="0000452F"/>
    <w:rsid w:val="00004E2C"/>
    <w:rsid w:val="00004E33"/>
    <w:rsid w:val="000052A4"/>
    <w:rsid w:val="00005301"/>
    <w:rsid w:val="00005436"/>
    <w:rsid w:val="000054C1"/>
    <w:rsid w:val="00005821"/>
    <w:rsid w:val="00005F2E"/>
    <w:rsid w:val="00006087"/>
    <w:rsid w:val="00006405"/>
    <w:rsid w:val="000064E8"/>
    <w:rsid w:val="000065ED"/>
    <w:rsid w:val="00006718"/>
    <w:rsid w:val="0000680C"/>
    <w:rsid w:val="00006948"/>
    <w:rsid w:val="00006C97"/>
    <w:rsid w:val="00006FC7"/>
    <w:rsid w:val="00007120"/>
    <w:rsid w:val="0000714D"/>
    <w:rsid w:val="00007274"/>
    <w:rsid w:val="000072A5"/>
    <w:rsid w:val="000072E2"/>
    <w:rsid w:val="000074A6"/>
    <w:rsid w:val="00007853"/>
    <w:rsid w:val="0000787E"/>
    <w:rsid w:val="00007D55"/>
    <w:rsid w:val="00007DBA"/>
    <w:rsid w:val="00007E5E"/>
    <w:rsid w:val="0001005B"/>
    <w:rsid w:val="000109C1"/>
    <w:rsid w:val="00010A3F"/>
    <w:rsid w:val="00010C68"/>
    <w:rsid w:val="00010C9E"/>
    <w:rsid w:val="00010D46"/>
    <w:rsid w:val="00010E78"/>
    <w:rsid w:val="000111D2"/>
    <w:rsid w:val="0001125E"/>
    <w:rsid w:val="0001128B"/>
    <w:rsid w:val="0001130B"/>
    <w:rsid w:val="0001145D"/>
    <w:rsid w:val="00011576"/>
    <w:rsid w:val="0001165F"/>
    <w:rsid w:val="000116FC"/>
    <w:rsid w:val="00011725"/>
    <w:rsid w:val="00011736"/>
    <w:rsid w:val="00011784"/>
    <w:rsid w:val="00011814"/>
    <w:rsid w:val="000119EB"/>
    <w:rsid w:val="00011A57"/>
    <w:rsid w:val="00011C89"/>
    <w:rsid w:val="00011E0D"/>
    <w:rsid w:val="00011EC5"/>
    <w:rsid w:val="00011ED3"/>
    <w:rsid w:val="00011FA1"/>
    <w:rsid w:val="000120C1"/>
    <w:rsid w:val="00012191"/>
    <w:rsid w:val="00012243"/>
    <w:rsid w:val="000122BD"/>
    <w:rsid w:val="00012300"/>
    <w:rsid w:val="00012424"/>
    <w:rsid w:val="000124EA"/>
    <w:rsid w:val="000128C8"/>
    <w:rsid w:val="00012C62"/>
    <w:rsid w:val="00012D6D"/>
    <w:rsid w:val="00012EF5"/>
    <w:rsid w:val="000131FE"/>
    <w:rsid w:val="00013416"/>
    <w:rsid w:val="00013507"/>
    <w:rsid w:val="00013528"/>
    <w:rsid w:val="0001357E"/>
    <w:rsid w:val="0001396A"/>
    <w:rsid w:val="00013CC2"/>
    <w:rsid w:val="00013E91"/>
    <w:rsid w:val="0001435C"/>
    <w:rsid w:val="0001452E"/>
    <w:rsid w:val="000145C0"/>
    <w:rsid w:val="00014768"/>
    <w:rsid w:val="000147D7"/>
    <w:rsid w:val="00014823"/>
    <w:rsid w:val="000148DC"/>
    <w:rsid w:val="00014953"/>
    <w:rsid w:val="00014CBB"/>
    <w:rsid w:val="00014EAC"/>
    <w:rsid w:val="00015099"/>
    <w:rsid w:val="0001523B"/>
    <w:rsid w:val="0001528C"/>
    <w:rsid w:val="00015318"/>
    <w:rsid w:val="000154C1"/>
    <w:rsid w:val="00015574"/>
    <w:rsid w:val="000155E6"/>
    <w:rsid w:val="0001572B"/>
    <w:rsid w:val="000158E8"/>
    <w:rsid w:val="00015BF6"/>
    <w:rsid w:val="00015D4D"/>
    <w:rsid w:val="00015E2C"/>
    <w:rsid w:val="00015E84"/>
    <w:rsid w:val="00015FF1"/>
    <w:rsid w:val="0001644B"/>
    <w:rsid w:val="00016451"/>
    <w:rsid w:val="00016484"/>
    <w:rsid w:val="000164EC"/>
    <w:rsid w:val="0001654B"/>
    <w:rsid w:val="0001663D"/>
    <w:rsid w:val="00016ADC"/>
    <w:rsid w:val="00016B6A"/>
    <w:rsid w:val="00016D2E"/>
    <w:rsid w:val="000170A9"/>
    <w:rsid w:val="0001735B"/>
    <w:rsid w:val="000173B0"/>
    <w:rsid w:val="0001742A"/>
    <w:rsid w:val="00017931"/>
    <w:rsid w:val="00017CE2"/>
    <w:rsid w:val="00017D03"/>
    <w:rsid w:val="00017DA8"/>
    <w:rsid w:val="00020070"/>
    <w:rsid w:val="0002022F"/>
    <w:rsid w:val="00020278"/>
    <w:rsid w:val="0002081B"/>
    <w:rsid w:val="00020B05"/>
    <w:rsid w:val="00020D7C"/>
    <w:rsid w:val="00020FD4"/>
    <w:rsid w:val="00021662"/>
    <w:rsid w:val="000217C5"/>
    <w:rsid w:val="00021990"/>
    <w:rsid w:val="00021B2E"/>
    <w:rsid w:val="00021BE2"/>
    <w:rsid w:val="00021D82"/>
    <w:rsid w:val="00022150"/>
    <w:rsid w:val="0002219C"/>
    <w:rsid w:val="000224D7"/>
    <w:rsid w:val="00022B59"/>
    <w:rsid w:val="00022B7A"/>
    <w:rsid w:val="00022E36"/>
    <w:rsid w:val="00022EB0"/>
    <w:rsid w:val="00023020"/>
    <w:rsid w:val="0002302C"/>
    <w:rsid w:val="0002309C"/>
    <w:rsid w:val="00023328"/>
    <w:rsid w:val="00023699"/>
    <w:rsid w:val="000236DB"/>
    <w:rsid w:val="0002387B"/>
    <w:rsid w:val="00023C7E"/>
    <w:rsid w:val="00023CA4"/>
    <w:rsid w:val="00023E36"/>
    <w:rsid w:val="00023EFE"/>
    <w:rsid w:val="0002414F"/>
    <w:rsid w:val="0002424A"/>
    <w:rsid w:val="000242CE"/>
    <w:rsid w:val="00024332"/>
    <w:rsid w:val="000243BB"/>
    <w:rsid w:val="0002498C"/>
    <w:rsid w:val="000249D7"/>
    <w:rsid w:val="00024AC0"/>
    <w:rsid w:val="00024BA1"/>
    <w:rsid w:val="00024C89"/>
    <w:rsid w:val="00024E41"/>
    <w:rsid w:val="00024E99"/>
    <w:rsid w:val="00024FF1"/>
    <w:rsid w:val="0002520D"/>
    <w:rsid w:val="00025358"/>
    <w:rsid w:val="000253E8"/>
    <w:rsid w:val="0002544D"/>
    <w:rsid w:val="00025527"/>
    <w:rsid w:val="00025656"/>
    <w:rsid w:val="00025A0D"/>
    <w:rsid w:val="00025ADB"/>
    <w:rsid w:val="00025C1D"/>
    <w:rsid w:val="00025C63"/>
    <w:rsid w:val="00025F34"/>
    <w:rsid w:val="000260C3"/>
    <w:rsid w:val="0002610D"/>
    <w:rsid w:val="00026372"/>
    <w:rsid w:val="000263E0"/>
    <w:rsid w:val="0002641A"/>
    <w:rsid w:val="000265A9"/>
    <w:rsid w:val="00026617"/>
    <w:rsid w:val="0002675E"/>
    <w:rsid w:val="000268E5"/>
    <w:rsid w:val="00026F74"/>
    <w:rsid w:val="00026FB5"/>
    <w:rsid w:val="000271E1"/>
    <w:rsid w:val="00027316"/>
    <w:rsid w:val="0002759F"/>
    <w:rsid w:val="000275F3"/>
    <w:rsid w:val="00027707"/>
    <w:rsid w:val="00027894"/>
    <w:rsid w:val="000278DD"/>
    <w:rsid w:val="00027904"/>
    <w:rsid w:val="00027A92"/>
    <w:rsid w:val="00027C60"/>
    <w:rsid w:val="00027C7B"/>
    <w:rsid w:val="00027EA4"/>
    <w:rsid w:val="00027EAE"/>
    <w:rsid w:val="00027F0E"/>
    <w:rsid w:val="00027F31"/>
    <w:rsid w:val="00027FBD"/>
    <w:rsid w:val="00030020"/>
    <w:rsid w:val="0003011F"/>
    <w:rsid w:val="00030136"/>
    <w:rsid w:val="0003041A"/>
    <w:rsid w:val="00030484"/>
    <w:rsid w:val="00030E2E"/>
    <w:rsid w:val="00030F2C"/>
    <w:rsid w:val="00030FC4"/>
    <w:rsid w:val="0003101D"/>
    <w:rsid w:val="000311EB"/>
    <w:rsid w:val="0003139B"/>
    <w:rsid w:val="000313A9"/>
    <w:rsid w:val="0003167C"/>
    <w:rsid w:val="00031750"/>
    <w:rsid w:val="00031B1F"/>
    <w:rsid w:val="00031C7C"/>
    <w:rsid w:val="00031CB3"/>
    <w:rsid w:val="00031D29"/>
    <w:rsid w:val="00031F5A"/>
    <w:rsid w:val="00031F8D"/>
    <w:rsid w:val="00032003"/>
    <w:rsid w:val="000320C9"/>
    <w:rsid w:val="000322BF"/>
    <w:rsid w:val="0003262D"/>
    <w:rsid w:val="00032679"/>
    <w:rsid w:val="000329EA"/>
    <w:rsid w:val="00032C7E"/>
    <w:rsid w:val="00032DEB"/>
    <w:rsid w:val="00032ECA"/>
    <w:rsid w:val="0003309B"/>
    <w:rsid w:val="0003345C"/>
    <w:rsid w:val="00033857"/>
    <w:rsid w:val="00033949"/>
    <w:rsid w:val="000339C8"/>
    <w:rsid w:val="00033B5D"/>
    <w:rsid w:val="00033D07"/>
    <w:rsid w:val="00033DC1"/>
    <w:rsid w:val="00033F4A"/>
    <w:rsid w:val="00033FB4"/>
    <w:rsid w:val="00033FF2"/>
    <w:rsid w:val="00034241"/>
    <w:rsid w:val="00034310"/>
    <w:rsid w:val="0003435A"/>
    <w:rsid w:val="000345D4"/>
    <w:rsid w:val="0003461E"/>
    <w:rsid w:val="00034818"/>
    <w:rsid w:val="000349EC"/>
    <w:rsid w:val="00034A8A"/>
    <w:rsid w:val="00034AC3"/>
    <w:rsid w:val="00034F07"/>
    <w:rsid w:val="000352BC"/>
    <w:rsid w:val="000354B1"/>
    <w:rsid w:val="000357E8"/>
    <w:rsid w:val="000358C4"/>
    <w:rsid w:val="00035C08"/>
    <w:rsid w:val="00035E6A"/>
    <w:rsid w:val="00036125"/>
    <w:rsid w:val="000362A1"/>
    <w:rsid w:val="00036397"/>
    <w:rsid w:val="0003651A"/>
    <w:rsid w:val="00036558"/>
    <w:rsid w:val="000368BF"/>
    <w:rsid w:val="00036C3D"/>
    <w:rsid w:val="00036C7F"/>
    <w:rsid w:val="00036DB5"/>
    <w:rsid w:val="00036EC4"/>
    <w:rsid w:val="00037456"/>
    <w:rsid w:val="000375D9"/>
    <w:rsid w:val="0003769F"/>
    <w:rsid w:val="00037888"/>
    <w:rsid w:val="00037B71"/>
    <w:rsid w:val="00037CC3"/>
    <w:rsid w:val="00037E72"/>
    <w:rsid w:val="00037F19"/>
    <w:rsid w:val="00037FEA"/>
    <w:rsid w:val="00040023"/>
    <w:rsid w:val="0004003B"/>
    <w:rsid w:val="00040454"/>
    <w:rsid w:val="0004080F"/>
    <w:rsid w:val="000409A3"/>
    <w:rsid w:val="00040C65"/>
    <w:rsid w:val="00040E88"/>
    <w:rsid w:val="000410D7"/>
    <w:rsid w:val="00041124"/>
    <w:rsid w:val="000412B8"/>
    <w:rsid w:val="000416D4"/>
    <w:rsid w:val="000417B0"/>
    <w:rsid w:val="00041A20"/>
    <w:rsid w:val="00041CF2"/>
    <w:rsid w:val="00041FEB"/>
    <w:rsid w:val="00042252"/>
    <w:rsid w:val="00042475"/>
    <w:rsid w:val="0004274D"/>
    <w:rsid w:val="000428CF"/>
    <w:rsid w:val="0004298D"/>
    <w:rsid w:val="000429AD"/>
    <w:rsid w:val="00042F7D"/>
    <w:rsid w:val="000430B3"/>
    <w:rsid w:val="0004310D"/>
    <w:rsid w:val="00043218"/>
    <w:rsid w:val="00043348"/>
    <w:rsid w:val="0004347B"/>
    <w:rsid w:val="0004378E"/>
    <w:rsid w:val="000438AF"/>
    <w:rsid w:val="00043BE9"/>
    <w:rsid w:val="00043D11"/>
    <w:rsid w:val="00043EC3"/>
    <w:rsid w:val="00044044"/>
    <w:rsid w:val="00044439"/>
    <w:rsid w:val="0004463D"/>
    <w:rsid w:val="0004483F"/>
    <w:rsid w:val="00044872"/>
    <w:rsid w:val="00044D59"/>
    <w:rsid w:val="00044E70"/>
    <w:rsid w:val="00045190"/>
    <w:rsid w:val="000452D5"/>
    <w:rsid w:val="00045662"/>
    <w:rsid w:val="0004569A"/>
    <w:rsid w:val="00045719"/>
    <w:rsid w:val="00045769"/>
    <w:rsid w:val="0004590C"/>
    <w:rsid w:val="00045983"/>
    <w:rsid w:val="000459B9"/>
    <w:rsid w:val="000459EB"/>
    <w:rsid w:val="00045D6C"/>
    <w:rsid w:val="00045EA1"/>
    <w:rsid w:val="0004612F"/>
    <w:rsid w:val="0004633E"/>
    <w:rsid w:val="00046449"/>
    <w:rsid w:val="00046490"/>
    <w:rsid w:val="000465E0"/>
    <w:rsid w:val="00046832"/>
    <w:rsid w:val="00046AF1"/>
    <w:rsid w:val="00046CB4"/>
    <w:rsid w:val="00046E7F"/>
    <w:rsid w:val="00046E97"/>
    <w:rsid w:val="00046EEB"/>
    <w:rsid w:val="0004724B"/>
    <w:rsid w:val="00047555"/>
    <w:rsid w:val="000475F9"/>
    <w:rsid w:val="000478F7"/>
    <w:rsid w:val="0004791F"/>
    <w:rsid w:val="000479EB"/>
    <w:rsid w:val="00047D82"/>
    <w:rsid w:val="000500F0"/>
    <w:rsid w:val="00050567"/>
    <w:rsid w:val="0005060F"/>
    <w:rsid w:val="0005087A"/>
    <w:rsid w:val="000509A5"/>
    <w:rsid w:val="00050CEA"/>
    <w:rsid w:val="00050D2D"/>
    <w:rsid w:val="00051135"/>
    <w:rsid w:val="0005138B"/>
    <w:rsid w:val="00051400"/>
    <w:rsid w:val="000517EB"/>
    <w:rsid w:val="0005198E"/>
    <w:rsid w:val="000519D0"/>
    <w:rsid w:val="00051A13"/>
    <w:rsid w:val="00051A24"/>
    <w:rsid w:val="00051BAE"/>
    <w:rsid w:val="00051BFC"/>
    <w:rsid w:val="00051D87"/>
    <w:rsid w:val="00051DDA"/>
    <w:rsid w:val="000521BB"/>
    <w:rsid w:val="000522B7"/>
    <w:rsid w:val="000524F5"/>
    <w:rsid w:val="00052756"/>
    <w:rsid w:val="0005289A"/>
    <w:rsid w:val="000528B8"/>
    <w:rsid w:val="00052933"/>
    <w:rsid w:val="00052985"/>
    <w:rsid w:val="00052A71"/>
    <w:rsid w:val="00052BB4"/>
    <w:rsid w:val="00052CBA"/>
    <w:rsid w:val="00052E1D"/>
    <w:rsid w:val="00052EC1"/>
    <w:rsid w:val="00052F4C"/>
    <w:rsid w:val="000530AD"/>
    <w:rsid w:val="0005317F"/>
    <w:rsid w:val="000532FF"/>
    <w:rsid w:val="000533F3"/>
    <w:rsid w:val="00053485"/>
    <w:rsid w:val="00053586"/>
    <w:rsid w:val="0005358B"/>
    <w:rsid w:val="00053701"/>
    <w:rsid w:val="00053717"/>
    <w:rsid w:val="0005399B"/>
    <w:rsid w:val="00053B61"/>
    <w:rsid w:val="00053F7D"/>
    <w:rsid w:val="000541DE"/>
    <w:rsid w:val="00054254"/>
    <w:rsid w:val="000547B0"/>
    <w:rsid w:val="000549D8"/>
    <w:rsid w:val="00054D39"/>
    <w:rsid w:val="00054E32"/>
    <w:rsid w:val="00054F43"/>
    <w:rsid w:val="00055183"/>
    <w:rsid w:val="0005525F"/>
    <w:rsid w:val="0005531A"/>
    <w:rsid w:val="00055587"/>
    <w:rsid w:val="0005559A"/>
    <w:rsid w:val="00055A9E"/>
    <w:rsid w:val="00055B50"/>
    <w:rsid w:val="00055E0E"/>
    <w:rsid w:val="000560C7"/>
    <w:rsid w:val="000561F8"/>
    <w:rsid w:val="000563D0"/>
    <w:rsid w:val="0005645F"/>
    <w:rsid w:val="00056657"/>
    <w:rsid w:val="000567C2"/>
    <w:rsid w:val="00056880"/>
    <w:rsid w:val="00056943"/>
    <w:rsid w:val="00056A19"/>
    <w:rsid w:val="00056D03"/>
    <w:rsid w:val="00056E09"/>
    <w:rsid w:val="00056EAB"/>
    <w:rsid w:val="00056EF3"/>
    <w:rsid w:val="00057058"/>
    <w:rsid w:val="00057184"/>
    <w:rsid w:val="00057390"/>
    <w:rsid w:val="00057446"/>
    <w:rsid w:val="000574CE"/>
    <w:rsid w:val="00057539"/>
    <w:rsid w:val="00057799"/>
    <w:rsid w:val="00057B05"/>
    <w:rsid w:val="00060093"/>
    <w:rsid w:val="000600F9"/>
    <w:rsid w:val="000601F6"/>
    <w:rsid w:val="0006033F"/>
    <w:rsid w:val="000604F8"/>
    <w:rsid w:val="00060BE7"/>
    <w:rsid w:val="00060EA2"/>
    <w:rsid w:val="000611CA"/>
    <w:rsid w:val="000612B3"/>
    <w:rsid w:val="000614AF"/>
    <w:rsid w:val="00061824"/>
    <w:rsid w:val="00061BDA"/>
    <w:rsid w:val="00061D8D"/>
    <w:rsid w:val="00061DC7"/>
    <w:rsid w:val="00061E85"/>
    <w:rsid w:val="000624C5"/>
    <w:rsid w:val="000626D0"/>
    <w:rsid w:val="00062B79"/>
    <w:rsid w:val="00062E2B"/>
    <w:rsid w:val="0006310E"/>
    <w:rsid w:val="00063316"/>
    <w:rsid w:val="000633C6"/>
    <w:rsid w:val="00063515"/>
    <w:rsid w:val="00063573"/>
    <w:rsid w:val="00063848"/>
    <w:rsid w:val="000638B2"/>
    <w:rsid w:val="0006391F"/>
    <w:rsid w:val="00063A9E"/>
    <w:rsid w:val="00063B72"/>
    <w:rsid w:val="00063E9D"/>
    <w:rsid w:val="000642B5"/>
    <w:rsid w:val="0006433D"/>
    <w:rsid w:val="00064362"/>
    <w:rsid w:val="0006443C"/>
    <w:rsid w:val="000646DA"/>
    <w:rsid w:val="00064AB7"/>
    <w:rsid w:val="00064E3F"/>
    <w:rsid w:val="00064EC9"/>
    <w:rsid w:val="00064FC0"/>
    <w:rsid w:val="0006510E"/>
    <w:rsid w:val="000651F7"/>
    <w:rsid w:val="00065351"/>
    <w:rsid w:val="0006577E"/>
    <w:rsid w:val="0006588F"/>
    <w:rsid w:val="00065B96"/>
    <w:rsid w:val="00065F10"/>
    <w:rsid w:val="00066003"/>
    <w:rsid w:val="000660BE"/>
    <w:rsid w:val="00066182"/>
    <w:rsid w:val="000662BB"/>
    <w:rsid w:val="0006642E"/>
    <w:rsid w:val="00066583"/>
    <w:rsid w:val="0006668C"/>
    <w:rsid w:val="000666AE"/>
    <w:rsid w:val="0006671F"/>
    <w:rsid w:val="00066922"/>
    <w:rsid w:val="00066A84"/>
    <w:rsid w:val="00066C19"/>
    <w:rsid w:val="00066E24"/>
    <w:rsid w:val="00066FAD"/>
    <w:rsid w:val="00067167"/>
    <w:rsid w:val="000674B6"/>
    <w:rsid w:val="000675D1"/>
    <w:rsid w:val="00067776"/>
    <w:rsid w:val="000677E7"/>
    <w:rsid w:val="00067DD8"/>
    <w:rsid w:val="00067E47"/>
    <w:rsid w:val="00067E90"/>
    <w:rsid w:val="00067F21"/>
    <w:rsid w:val="00067F3F"/>
    <w:rsid w:val="000705AB"/>
    <w:rsid w:val="000705BF"/>
    <w:rsid w:val="000705E0"/>
    <w:rsid w:val="0007077C"/>
    <w:rsid w:val="00070A40"/>
    <w:rsid w:val="00070B0A"/>
    <w:rsid w:val="00070B13"/>
    <w:rsid w:val="00070EF2"/>
    <w:rsid w:val="00070EF4"/>
    <w:rsid w:val="00070F04"/>
    <w:rsid w:val="00070F71"/>
    <w:rsid w:val="00070FFB"/>
    <w:rsid w:val="0007103E"/>
    <w:rsid w:val="00071166"/>
    <w:rsid w:val="000711F5"/>
    <w:rsid w:val="00071210"/>
    <w:rsid w:val="000712FA"/>
    <w:rsid w:val="0007131A"/>
    <w:rsid w:val="00071346"/>
    <w:rsid w:val="000713E8"/>
    <w:rsid w:val="00071400"/>
    <w:rsid w:val="00071440"/>
    <w:rsid w:val="000717EA"/>
    <w:rsid w:val="0007183F"/>
    <w:rsid w:val="00071850"/>
    <w:rsid w:val="00071A88"/>
    <w:rsid w:val="00071B14"/>
    <w:rsid w:val="00071BB7"/>
    <w:rsid w:val="00072080"/>
    <w:rsid w:val="00072256"/>
    <w:rsid w:val="000722CB"/>
    <w:rsid w:val="000727A6"/>
    <w:rsid w:val="000728FD"/>
    <w:rsid w:val="00072EF8"/>
    <w:rsid w:val="00073060"/>
    <w:rsid w:val="000733E0"/>
    <w:rsid w:val="00073521"/>
    <w:rsid w:val="0007374F"/>
    <w:rsid w:val="000738DC"/>
    <w:rsid w:val="000740D7"/>
    <w:rsid w:val="000740E3"/>
    <w:rsid w:val="00074234"/>
    <w:rsid w:val="000742FA"/>
    <w:rsid w:val="000743CB"/>
    <w:rsid w:val="000743E9"/>
    <w:rsid w:val="0007440D"/>
    <w:rsid w:val="000744F3"/>
    <w:rsid w:val="000745AD"/>
    <w:rsid w:val="00074831"/>
    <w:rsid w:val="00074B3E"/>
    <w:rsid w:val="00074D35"/>
    <w:rsid w:val="00074F07"/>
    <w:rsid w:val="00074F13"/>
    <w:rsid w:val="00074FA4"/>
    <w:rsid w:val="00075232"/>
    <w:rsid w:val="000756A2"/>
    <w:rsid w:val="0007574A"/>
    <w:rsid w:val="00075763"/>
    <w:rsid w:val="0007578C"/>
    <w:rsid w:val="00075AAB"/>
    <w:rsid w:val="00075B35"/>
    <w:rsid w:val="00075EF5"/>
    <w:rsid w:val="0007604B"/>
    <w:rsid w:val="0007622D"/>
    <w:rsid w:val="000763D7"/>
    <w:rsid w:val="00076475"/>
    <w:rsid w:val="000764D2"/>
    <w:rsid w:val="00076512"/>
    <w:rsid w:val="00076545"/>
    <w:rsid w:val="000765F3"/>
    <w:rsid w:val="0007684A"/>
    <w:rsid w:val="0007696A"/>
    <w:rsid w:val="00076A81"/>
    <w:rsid w:val="00076CD4"/>
    <w:rsid w:val="0007703A"/>
    <w:rsid w:val="0007707E"/>
    <w:rsid w:val="00077130"/>
    <w:rsid w:val="000771AC"/>
    <w:rsid w:val="000771B4"/>
    <w:rsid w:val="00077245"/>
    <w:rsid w:val="000775DE"/>
    <w:rsid w:val="000775F6"/>
    <w:rsid w:val="00077727"/>
    <w:rsid w:val="00077748"/>
    <w:rsid w:val="00077785"/>
    <w:rsid w:val="0007791F"/>
    <w:rsid w:val="00077BD9"/>
    <w:rsid w:val="00077C3D"/>
    <w:rsid w:val="00077E4D"/>
    <w:rsid w:val="00077E9A"/>
    <w:rsid w:val="00080102"/>
    <w:rsid w:val="00080157"/>
    <w:rsid w:val="00080220"/>
    <w:rsid w:val="00080223"/>
    <w:rsid w:val="0008047C"/>
    <w:rsid w:val="00080553"/>
    <w:rsid w:val="000807A9"/>
    <w:rsid w:val="000807AB"/>
    <w:rsid w:val="00080957"/>
    <w:rsid w:val="000809A4"/>
    <w:rsid w:val="00080BA5"/>
    <w:rsid w:val="00080E68"/>
    <w:rsid w:val="00080F8B"/>
    <w:rsid w:val="00081128"/>
    <w:rsid w:val="00081283"/>
    <w:rsid w:val="00081384"/>
    <w:rsid w:val="00081385"/>
    <w:rsid w:val="000813BF"/>
    <w:rsid w:val="000816CA"/>
    <w:rsid w:val="00081884"/>
    <w:rsid w:val="00081A77"/>
    <w:rsid w:val="00081DA2"/>
    <w:rsid w:val="00081E4A"/>
    <w:rsid w:val="0008242D"/>
    <w:rsid w:val="0008243B"/>
    <w:rsid w:val="00082701"/>
    <w:rsid w:val="0008294E"/>
    <w:rsid w:val="00082A75"/>
    <w:rsid w:val="00082FB6"/>
    <w:rsid w:val="00082FD8"/>
    <w:rsid w:val="00083564"/>
    <w:rsid w:val="000837D7"/>
    <w:rsid w:val="000838EC"/>
    <w:rsid w:val="0008399D"/>
    <w:rsid w:val="00083A31"/>
    <w:rsid w:val="00083DB2"/>
    <w:rsid w:val="00083F31"/>
    <w:rsid w:val="00084053"/>
    <w:rsid w:val="000841CF"/>
    <w:rsid w:val="000841D8"/>
    <w:rsid w:val="00084206"/>
    <w:rsid w:val="000843CC"/>
    <w:rsid w:val="000843E6"/>
    <w:rsid w:val="00084677"/>
    <w:rsid w:val="00084CFC"/>
    <w:rsid w:val="00084D09"/>
    <w:rsid w:val="00084E08"/>
    <w:rsid w:val="00084ED3"/>
    <w:rsid w:val="00084FBD"/>
    <w:rsid w:val="0008502C"/>
    <w:rsid w:val="00085385"/>
    <w:rsid w:val="00085488"/>
    <w:rsid w:val="00085606"/>
    <w:rsid w:val="00085684"/>
    <w:rsid w:val="000856B1"/>
    <w:rsid w:val="0008585F"/>
    <w:rsid w:val="000858A9"/>
    <w:rsid w:val="000859B8"/>
    <w:rsid w:val="00085DAD"/>
    <w:rsid w:val="0008684C"/>
    <w:rsid w:val="00086882"/>
    <w:rsid w:val="000868E8"/>
    <w:rsid w:val="00086B95"/>
    <w:rsid w:val="00086DA4"/>
    <w:rsid w:val="00086DE1"/>
    <w:rsid w:val="00086FFA"/>
    <w:rsid w:val="0008719E"/>
    <w:rsid w:val="00087441"/>
    <w:rsid w:val="000876D8"/>
    <w:rsid w:val="000877CA"/>
    <w:rsid w:val="00087A73"/>
    <w:rsid w:val="00087A7F"/>
    <w:rsid w:val="00087BD4"/>
    <w:rsid w:val="00087CD7"/>
    <w:rsid w:val="00087E49"/>
    <w:rsid w:val="00087F74"/>
    <w:rsid w:val="00087FAF"/>
    <w:rsid w:val="0009005A"/>
    <w:rsid w:val="000902E6"/>
    <w:rsid w:val="000904EF"/>
    <w:rsid w:val="0009062B"/>
    <w:rsid w:val="00090E88"/>
    <w:rsid w:val="00090F4F"/>
    <w:rsid w:val="00091242"/>
    <w:rsid w:val="00091391"/>
    <w:rsid w:val="0009143F"/>
    <w:rsid w:val="0009148B"/>
    <w:rsid w:val="00091517"/>
    <w:rsid w:val="0009162F"/>
    <w:rsid w:val="00091687"/>
    <w:rsid w:val="000916CE"/>
    <w:rsid w:val="000917D3"/>
    <w:rsid w:val="00091B5D"/>
    <w:rsid w:val="00091C35"/>
    <w:rsid w:val="00091C66"/>
    <w:rsid w:val="00091D77"/>
    <w:rsid w:val="0009212D"/>
    <w:rsid w:val="00092498"/>
    <w:rsid w:val="00092C80"/>
    <w:rsid w:val="00092DFF"/>
    <w:rsid w:val="000932D1"/>
    <w:rsid w:val="000932DB"/>
    <w:rsid w:val="000933FE"/>
    <w:rsid w:val="000937F4"/>
    <w:rsid w:val="000938F9"/>
    <w:rsid w:val="0009393C"/>
    <w:rsid w:val="00093BB8"/>
    <w:rsid w:val="00093D13"/>
    <w:rsid w:val="00093D1A"/>
    <w:rsid w:val="00093D78"/>
    <w:rsid w:val="00093D9D"/>
    <w:rsid w:val="000941F7"/>
    <w:rsid w:val="000942D9"/>
    <w:rsid w:val="00094438"/>
    <w:rsid w:val="000944AC"/>
    <w:rsid w:val="000946D3"/>
    <w:rsid w:val="000946D5"/>
    <w:rsid w:val="00094897"/>
    <w:rsid w:val="00094916"/>
    <w:rsid w:val="00094FBF"/>
    <w:rsid w:val="000950D0"/>
    <w:rsid w:val="000950FC"/>
    <w:rsid w:val="000951E0"/>
    <w:rsid w:val="00095378"/>
    <w:rsid w:val="000953BF"/>
    <w:rsid w:val="00095455"/>
    <w:rsid w:val="00095902"/>
    <w:rsid w:val="0009599C"/>
    <w:rsid w:val="00095A1D"/>
    <w:rsid w:val="00095CD7"/>
    <w:rsid w:val="00095D88"/>
    <w:rsid w:val="00095ECA"/>
    <w:rsid w:val="00096059"/>
    <w:rsid w:val="0009611C"/>
    <w:rsid w:val="00096183"/>
    <w:rsid w:val="0009620E"/>
    <w:rsid w:val="000964BE"/>
    <w:rsid w:val="00096873"/>
    <w:rsid w:val="00096908"/>
    <w:rsid w:val="00096A39"/>
    <w:rsid w:val="00096B74"/>
    <w:rsid w:val="00097117"/>
    <w:rsid w:val="00097336"/>
    <w:rsid w:val="00097361"/>
    <w:rsid w:val="00097523"/>
    <w:rsid w:val="000976C6"/>
    <w:rsid w:val="000976D9"/>
    <w:rsid w:val="00097828"/>
    <w:rsid w:val="00097CFA"/>
    <w:rsid w:val="00097DF1"/>
    <w:rsid w:val="000A03EB"/>
    <w:rsid w:val="000A05D9"/>
    <w:rsid w:val="000A06FF"/>
    <w:rsid w:val="000A0819"/>
    <w:rsid w:val="000A0875"/>
    <w:rsid w:val="000A0882"/>
    <w:rsid w:val="000A08B0"/>
    <w:rsid w:val="000A0A27"/>
    <w:rsid w:val="000A0A33"/>
    <w:rsid w:val="000A0AB8"/>
    <w:rsid w:val="000A0DDD"/>
    <w:rsid w:val="000A0E9B"/>
    <w:rsid w:val="000A128C"/>
    <w:rsid w:val="000A1596"/>
    <w:rsid w:val="000A1663"/>
    <w:rsid w:val="000A1687"/>
    <w:rsid w:val="000A1A04"/>
    <w:rsid w:val="000A1C75"/>
    <w:rsid w:val="000A1D40"/>
    <w:rsid w:val="000A2248"/>
    <w:rsid w:val="000A2282"/>
    <w:rsid w:val="000A22DE"/>
    <w:rsid w:val="000A2310"/>
    <w:rsid w:val="000A2331"/>
    <w:rsid w:val="000A247E"/>
    <w:rsid w:val="000A2615"/>
    <w:rsid w:val="000A269C"/>
    <w:rsid w:val="000A2AC3"/>
    <w:rsid w:val="000A2BB3"/>
    <w:rsid w:val="000A2BEF"/>
    <w:rsid w:val="000A2C3A"/>
    <w:rsid w:val="000A311C"/>
    <w:rsid w:val="000A3351"/>
    <w:rsid w:val="000A3378"/>
    <w:rsid w:val="000A3389"/>
    <w:rsid w:val="000A340F"/>
    <w:rsid w:val="000A35B3"/>
    <w:rsid w:val="000A386D"/>
    <w:rsid w:val="000A3B81"/>
    <w:rsid w:val="000A3F2A"/>
    <w:rsid w:val="000A3F49"/>
    <w:rsid w:val="000A4523"/>
    <w:rsid w:val="000A4A32"/>
    <w:rsid w:val="000A4A50"/>
    <w:rsid w:val="000A4ADA"/>
    <w:rsid w:val="000A4B22"/>
    <w:rsid w:val="000A4C0C"/>
    <w:rsid w:val="000A4F7C"/>
    <w:rsid w:val="000A506B"/>
    <w:rsid w:val="000A52FA"/>
    <w:rsid w:val="000A5620"/>
    <w:rsid w:val="000A5711"/>
    <w:rsid w:val="000A5804"/>
    <w:rsid w:val="000A5913"/>
    <w:rsid w:val="000A598F"/>
    <w:rsid w:val="000A5996"/>
    <w:rsid w:val="000A5C37"/>
    <w:rsid w:val="000A600F"/>
    <w:rsid w:val="000A6298"/>
    <w:rsid w:val="000A649D"/>
    <w:rsid w:val="000A64FB"/>
    <w:rsid w:val="000A6503"/>
    <w:rsid w:val="000A6509"/>
    <w:rsid w:val="000A658A"/>
    <w:rsid w:val="000A66BF"/>
    <w:rsid w:val="000A676B"/>
    <w:rsid w:val="000A69B2"/>
    <w:rsid w:val="000A6AF6"/>
    <w:rsid w:val="000A6E0C"/>
    <w:rsid w:val="000A6E9A"/>
    <w:rsid w:val="000A7318"/>
    <w:rsid w:val="000A75B7"/>
    <w:rsid w:val="000A7678"/>
    <w:rsid w:val="000A76DC"/>
    <w:rsid w:val="000A786F"/>
    <w:rsid w:val="000A797C"/>
    <w:rsid w:val="000A7A24"/>
    <w:rsid w:val="000A7A8A"/>
    <w:rsid w:val="000A7C38"/>
    <w:rsid w:val="000A7CB2"/>
    <w:rsid w:val="000A7D54"/>
    <w:rsid w:val="000B01A9"/>
    <w:rsid w:val="000B0330"/>
    <w:rsid w:val="000B045E"/>
    <w:rsid w:val="000B0582"/>
    <w:rsid w:val="000B0631"/>
    <w:rsid w:val="000B07E8"/>
    <w:rsid w:val="000B0925"/>
    <w:rsid w:val="000B093F"/>
    <w:rsid w:val="000B0ABB"/>
    <w:rsid w:val="000B0BA9"/>
    <w:rsid w:val="000B0BFB"/>
    <w:rsid w:val="000B0CEA"/>
    <w:rsid w:val="000B10B4"/>
    <w:rsid w:val="000B17BD"/>
    <w:rsid w:val="000B1C8D"/>
    <w:rsid w:val="000B1E6D"/>
    <w:rsid w:val="000B1EB5"/>
    <w:rsid w:val="000B20A3"/>
    <w:rsid w:val="000B2128"/>
    <w:rsid w:val="000B221D"/>
    <w:rsid w:val="000B248D"/>
    <w:rsid w:val="000B24A7"/>
    <w:rsid w:val="000B256B"/>
    <w:rsid w:val="000B2693"/>
    <w:rsid w:val="000B278D"/>
    <w:rsid w:val="000B2B77"/>
    <w:rsid w:val="000B2EB0"/>
    <w:rsid w:val="000B2F34"/>
    <w:rsid w:val="000B302A"/>
    <w:rsid w:val="000B3106"/>
    <w:rsid w:val="000B37A0"/>
    <w:rsid w:val="000B38FB"/>
    <w:rsid w:val="000B391D"/>
    <w:rsid w:val="000B3C1E"/>
    <w:rsid w:val="000B3C91"/>
    <w:rsid w:val="000B3CD4"/>
    <w:rsid w:val="000B3DF1"/>
    <w:rsid w:val="000B3F09"/>
    <w:rsid w:val="000B3FF0"/>
    <w:rsid w:val="000B42BB"/>
    <w:rsid w:val="000B470D"/>
    <w:rsid w:val="000B4B04"/>
    <w:rsid w:val="000B4C69"/>
    <w:rsid w:val="000B4D24"/>
    <w:rsid w:val="000B4E43"/>
    <w:rsid w:val="000B4FC9"/>
    <w:rsid w:val="000B5789"/>
    <w:rsid w:val="000B57FF"/>
    <w:rsid w:val="000B5FFE"/>
    <w:rsid w:val="000B632E"/>
    <w:rsid w:val="000B633F"/>
    <w:rsid w:val="000B6679"/>
    <w:rsid w:val="000B6819"/>
    <w:rsid w:val="000B68B4"/>
    <w:rsid w:val="000B6C87"/>
    <w:rsid w:val="000B6D4E"/>
    <w:rsid w:val="000B7177"/>
    <w:rsid w:val="000B7490"/>
    <w:rsid w:val="000B751A"/>
    <w:rsid w:val="000B79E4"/>
    <w:rsid w:val="000B7AD9"/>
    <w:rsid w:val="000B7C24"/>
    <w:rsid w:val="000B7C77"/>
    <w:rsid w:val="000B7DE7"/>
    <w:rsid w:val="000B7E69"/>
    <w:rsid w:val="000B7FD7"/>
    <w:rsid w:val="000C007C"/>
    <w:rsid w:val="000C0402"/>
    <w:rsid w:val="000C057A"/>
    <w:rsid w:val="000C05E0"/>
    <w:rsid w:val="000C065A"/>
    <w:rsid w:val="000C079F"/>
    <w:rsid w:val="000C0826"/>
    <w:rsid w:val="000C0BC2"/>
    <w:rsid w:val="000C12B8"/>
    <w:rsid w:val="000C12F0"/>
    <w:rsid w:val="000C1B7C"/>
    <w:rsid w:val="000C1C22"/>
    <w:rsid w:val="000C1EFA"/>
    <w:rsid w:val="000C1F6C"/>
    <w:rsid w:val="000C241A"/>
    <w:rsid w:val="000C289F"/>
    <w:rsid w:val="000C29FA"/>
    <w:rsid w:val="000C2ADF"/>
    <w:rsid w:val="000C2B45"/>
    <w:rsid w:val="000C2BA8"/>
    <w:rsid w:val="000C2CA2"/>
    <w:rsid w:val="000C2CB7"/>
    <w:rsid w:val="000C2D98"/>
    <w:rsid w:val="000C3126"/>
    <w:rsid w:val="000C31BD"/>
    <w:rsid w:val="000C36ED"/>
    <w:rsid w:val="000C38C1"/>
    <w:rsid w:val="000C38CB"/>
    <w:rsid w:val="000C3D15"/>
    <w:rsid w:val="000C3D2B"/>
    <w:rsid w:val="000C3D54"/>
    <w:rsid w:val="000C3F4D"/>
    <w:rsid w:val="000C437B"/>
    <w:rsid w:val="000C4707"/>
    <w:rsid w:val="000C479F"/>
    <w:rsid w:val="000C47F9"/>
    <w:rsid w:val="000C488A"/>
    <w:rsid w:val="000C497F"/>
    <w:rsid w:val="000C4A3D"/>
    <w:rsid w:val="000C4B10"/>
    <w:rsid w:val="000C4B3F"/>
    <w:rsid w:val="000C4B66"/>
    <w:rsid w:val="000C4E30"/>
    <w:rsid w:val="000C4E4F"/>
    <w:rsid w:val="000C52E7"/>
    <w:rsid w:val="000C53A0"/>
    <w:rsid w:val="000C53E8"/>
    <w:rsid w:val="000C571D"/>
    <w:rsid w:val="000C5BF2"/>
    <w:rsid w:val="000C5E9F"/>
    <w:rsid w:val="000C5F40"/>
    <w:rsid w:val="000C5FC4"/>
    <w:rsid w:val="000C63DA"/>
    <w:rsid w:val="000C6675"/>
    <w:rsid w:val="000C66B9"/>
    <w:rsid w:val="000C670A"/>
    <w:rsid w:val="000C6858"/>
    <w:rsid w:val="000C6879"/>
    <w:rsid w:val="000C687C"/>
    <w:rsid w:val="000C68A3"/>
    <w:rsid w:val="000C6AE0"/>
    <w:rsid w:val="000C6B24"/>
    <w:rsid w:val="000C6DA6"/>
    <w:rsid w:val="000C6DAC"/>
    <w:rsid w:val="000C6DB6"/>
    <w:rsid w:val="000C6DE3"/>
    <w:rsid w:val="000C7122"/>
    <w:rsid w:val="000C7265"/>
    <w:rsid w:val="000C796C"/>
    <w:rsid w:val="000C7F1B"/>
    <w:rsid w:val="000D01F8"/>
    <w:rsid w:val="000D028B"/>
    <w:rsid w:val="000D0353"/>
    <w:rsid w:val="000D03C1"/>
    <w:rsid w:val="000D076C"/>
    <w:rsid w:val="000D077E"/>
    <w:rsid w:val="000D07C3"/>
    <w:rsid w:val="000D0EE4"/>
    <w:rsid w:val="000D0FF6"/>
    <w:rsid w:val="000D11D7"/>
    <w:rsid w:val="000D1441"/>
    <w:rsid w:val="000D160A"/>
    <w:rsid w:val="000D1921"/>
    <w:rsid w:val="000D193A"/>
    <w:rsid w:val="000D1A20"/>
    <w:rsid w:val="000D1D9B"/>
    <w:rsid w:val="000D1EEE"/>
    <w:rsid w:val="000D201B"/>
    <w:rsid w:val="000D2541"/>
    <w:rsid w:val="000D2595"/>
    <w:rsid w:val="000D25D9"/>
    <w:rsid w:val="000D2854"/>
    <w:rsid w:val="000D286F"/>
    <w:rsid w:val="000D2A32"/>
    <w:rsid w:val="000D2B66"/>
    <w:rsid w:val="000D2EE1"/>
    <w:rsid w:val="000D306C"/>
    <w:rsid w:val="000D30A7"/>
    <w:rsid w:val="000D31FA"/>
    <w:rsid w:val="000D34E5"/>
    <w:rsid w:val="000D34E6"/>
    <w:rsid w:val="000D38E6"/>
    <w:rsid w:val="000D3C5B"/>
    <w:rsid w:val="000D3D8A"/>
    <w:rsid w:val="000D3EFA"/>
    <w:rsid w:val="000D421C"/>
    <w:rsid w:val="000D49C1"/>
    <w:rsid w:val="000D4A38"/>
    <w:rsid w:val="000D503B"/>
    <w:rsid w:val="000D50C3"/>
    <w:rsid w:val="000D5278"/>
    <w:rsid w:val="000D556B"/>
    <w:rsid w:val="000D5640"/>
    <w:rsid w:val="000D5BEE"/>
    <w:rsid w:val="000D5F00"/>
    <w:rsid w:val="000D6099"/>
    <w:rsid w:val="000D632B"/>
    <w:rsid w:val="000D660E"/>
    <w:rsid w:val="000D66A5"/>
    <w:rsid w:val="000D679B"/>
    <w:rsid w:val="000D6806"/>
    <w:rsid w:val="000D6E45"/>
    <w:rsid w:val="000D7002"/>
    <w:rsid w:val="000D7021"/>
    <w:rsid w:val="000D7061"/>
    <w:rsid w:val="000D71C1"/>
    <w:rsid w:val="000D7258"/>
    <w:rsid w:val="000D7301"/>
    <w:rsid w:val="000D7465"/>
    <w:rsid w:val="000D7770"/>
    <w:rsid w:val="000D78D1"/>
    <w:rsid w:val="000D7A5F"/>
    <w:rsid w:val="000D7B09"/>
    <w:rsid w:val="000D7B60"/>
    <w:rsid w:val="000D7D37"/>
    <w:rsid w:val="000D7E3A"/>
    <w:rsid w:val="000D7E64"/>
    <w:rsid w:val="000D7ECD"/>
    <w:rsid w:val="000D7EE1"/>
    <w:rsid w:val="000D7F42"/>
    <w:rsid w:val="000E04AF"/>
    <w:rsid w:val="000E086A"/>
    <w:rsid w:val="000E096B"/>
    <w:rsid w:val="000E0B74"/>
    <w:rsid w:val="000E1055"/>
    <w:rsid w:val="000E1090"/>
    <w:rsid w:val="000E13F2"/>
    <w:rsid w:val="000E151F"/>
    <w:rsid w:val="000E15C9"/>
    <w:rsid w:val="000E17F8"/>
    <w:rsid w:val="000E1906"/>
    <w:rsid w:val="000E19B7"/>
    <w:rsid w:val="000E1B53"/>
    <w:rsid w:val="000E1B7D"/>
    <w:rsid w:val="000E1C18"/>
    <w:rsid w:val="000E1C68"/>
    <w:rsid w:val="000E1E1B"/>
    <w:rsid w:val="000E2089"/>
    <w:rsid w:val="000E24E1"/>
    <w:rsid w:val="000E27F0"/>
    <w:rsid w:val="000E281D"/>
    <w:rsid w:val="000E28B2"/>
    <w:rsid w:val="000E29FE"/>
    <w:rsid w:val="000E2D33"/>
    <w:rsid w:val="000E2E21"/>
    <w:rsid w:val="000E31F2"/>
    <w:rsid w:val="000E3213"/>
    <w:rsid w:val="000E3261"/>
    <w:rsid w:val="000E3397"/>
    <w:rsid w:val="000E33AA"/>
    <w:rsid w:val="000E358E"/>
    <w:rsid w:val="000E358F"/>
    <w:rsid w:val="000E36A8"/>
    <w:rsid w:val="000E36FB"/>
    <w:rsid w:val="000E3710"/>
    <w:rsid w:val="000E37D9"/>
    <w:rsid w:val="000E3A7F"/>
    <w:rsid w:val="000E3BF8"/>
    <w:rsid w:val="000E411C"/>
    <w:rsid w:val="000E41FD"/>
    <w:rsid w:val="000E42BF"/>
    <w:rsid w:val="000E4330"/>
    <w:rsid w:val="000E46E3"/>
    <w:rsid w:val="000E4773"/>
    <w:rsid w:val="000E4C9B"/>
    <w:rsid w:val="000E4E91"/>
    <w:rsid w:val="000E4EBB"/>
    <w:rsid w:val="000E5260"/>
    <w:rsid w:val="000E53DD"/>
    <w:rsid w:val="000E5AAA"/>
    <w:rsid w:val="000E5FA6"/>
    <w:rsid w:val="000E60F2"/>
    <w:rsid w:val="000E6168"/>
    <w:rsid w:val="000E64AC"/>
    <w:rsid w:val="000E6900"/>
    <w:rsid w:val="000E6AB3"/>
    <w:rsid w:val="000E6DFA"/>
    <w:rsid w:val="000E7101"/>
    <w:rsid w:val="000E7133"/>
    <w:rsid w:val="000E71FA"/>
    <w:rsid w:val="000E72C7"/>
    <w:rsid w:val="000E75DE"/>
    <w:rsid w:val="000E76A6"/>
    <w:rsid w:val="000E77A7"/>
    <w:rsid w:val="000E7897"/>
    <w:rsid w:val="000E7901"/>
    <w:rsid w:val="000E7D59"/>
    <w:rsid w:val="000E7F89"/>
    <w:rsid w:val="000F0490"/>
    <w:rsid w:val="000F0583"/>
    <w:rsid w:val="000F06D1"/>
    <w:rsid w:val="000F0785"/>
    <w:rsid w:val="000F08DE"/>
    <w:rsid w:val="000F0C67"/>
    <w:rsid w:val="000F0CE0"/>
    <w:rsid w:val="000F1080"/>
    <w:rsid w:val="000F1397"/>
    <w:rsid w:val="000F153F"/>
    <w:rsid w:val="000F156E"/>
    <w:rsid w:val="000F1779"/>
    <w:rsid w:val="000F1794"/>
    <w:rsid w:val="000F1A28"/>
    <w:rsid w:val="000F1AC7"/>
    <w:rsid w:val="000F1AE3"/>
    <w:rsid w:val="000F1B1A"/>
    <w:rsid w:val="000F1C0E"/>
    <w:rsid w:val="000F1C2E"/>
    <w:rsid w:val="000F1CE1"/>
    <w:rsid w:val="000F20BA"/>
    <w:rsid w:val="000F21D7"/>
    <w:rsid w:val="000F234B"/>
    <w:rsid w:val="000F23BF"/>
    <w:rsid w:val="000F23F4"/>
    <w:rsid w:val="000F2863"/>
    <w:rsid w:val="000F2865"/>
    <w:rsid w:val="000F28CA"/>
    <w:rsid w:val="000F297D"/>
    <w:rsid w:val="000F29B7"/>
    <w:rsid w:val="000F2AA4"/>
    <w:rsid w:val="000F2BB3"/>
    <w:rsid w:val="000F2C18"/>
    <w:rsid w:val="000F2D0A"/>
    <w:rsid w:val="000F2DF0"/>
    <w:rsid w:val="000F2E0B"/>
    <w:rsid w:val="000F2F1D"/>
    <w:rsid w:val="000F32EE"/>
    <w:rsid w:val="000F3476"/>
    <w:rsid w:val="000F3AD1"/>
    <w:rsid w:val="000F3C2C"/>
    <w:rsid w:val="000F3D91"/>
    <w:rsid w:val="000F3F26"/>
    <w:rsid w:val="000F3FBC"/>
    <w:rsid w:val="000F42B9"/>
    <w:rsid w:val="000F445D"/>
    <w:rsid w:val="000F4789"/>
    <w:rsid w:val="000F47E4"/>
    <w:rsid w:val="000F49C5"/>
    <w:rsid w:val="000F4ABE"/>
    <w:rsid w:val="000F4B84"/>
    <w:rsid w:val="000F4F54"/>
    <w:rsid w:val="000F51DF"/>
    <w:rsid w:val="000F5310"/>
    <w:rsid w:val="000F5322"/>
    <w:rsid w:val="000F536F"/>
    <w:rsid w:val="000F53BA"/>
    <w:rsid w:val="000F57D8"/>
    <w:rsid w:val="000F58C3"/>
    <w:rsid w:val="000F58E2"/>
    <w:rsid w:val="000F5C86"/>
    <w:rsid w:val="000F5CEB"/>
    <w:rsid w:val="000F6152"/>
    <w:rsid w:val="000F6211"/>
    <w:rsid w:val="000F6233"/>
    <w:rsid w:val="000F6296"/>
    <w:rsid w:val="000F62AF"/>
    <w:rsid w:val="000F640A"/>
    <w:rsid w:val="000F644C"/>
    <w:rsid w:val="000F6778"/>
    <w:rsid w:val="000F67C8"/>
    <w:rsid w:val="000F695B"/>
    <w:rsid w:val="000F6BF4"/>
    <w:rsid w:val="000F722F"/>
    <w:rsid w:val="000F74C6"/>
    <w:rsid w:val="000F75F4"/>
    <w:rsid w:val="000F7754"/>
    <w:rsid w:val="000F775D"/>
    <w:rsid w:val="000F787F"/>
    <w:rsid w:val="000F7AE4"/>
    <w:rsid w:val="000F7BF2"/>
    <w:rsid w:val="000F7F53"/>
    <w:rsid w:val="00100030"/>
    <w:rsid w:val="00100058"/>
    <w:rsid w:val="00100358"/>
    <w:rsid w:val="001003A1"/>
    <w:rsid w:val="00100559"/>
    <w:rsid w:val="001005A5"/>
    <w:rsid w:val="0010066E"/>
    <w:rsid w:val="001006A3"/>
    <w:rsid w:val="00100CB0"/>
    <w:rsid w:val="00100D0F"/>
    <w:rsid w:val="0010114B"/>
    <w:rsid w:val="0010129E"/>
    <w:rsid w:val="00101644"/>
    <w:rsid w:val="001016B5"/>
    <w:rsid w:val="00101A17"/>
    <w:rsid w:val="00101B4C"/>
    <w:rsid w:val="00101BA9"/>
    <w:rsid w:val="00101BAF"/>
    <w:rsid w:val="00101DB8"/>
    <w:rsid w:val="00101F56"/>
    <w:rsid w:val="00101F8D"/>
    <w:rsid w:val="0010201D"/>
    <w:rsid w:val="00102066"/>
    <w:rsid w:val="0010206A"/>
    <w:rsid w:val="001020C8"/>
    <w:rsid w:val="00102519"/>
    <w:rsid w:val="001026B7"/>
    <w:rsid w:val="001026C2"/>
    <w:rsid w:val="0010281A"/>
    <w:rsid w:val="00102ABD"/>
    <w:rsid w:val="00102CBF"/>
    <w:rsid w:val="00102FAB"/>
    <w:rsid w:val="00102FE1"/>
    <w:rsid w:val="00103198"/>
    <w:rsid w:val="001031ED"/>
    <w:rsid w:val="0010383A"/>
    <w:rsid w:val="00103D33"/>
    <w:rsid w:val="00103F3C"/>
    <w:rsid w:val="001041ED"/>
    <w:rsid w:val="0010443A"/>
    <w:rsid w:val="0010444B"/>
    <w:rsid w:val="001044B8"/>
    <w:rsid w:val="0010453D"/>
    <w:rsid w:val="00104647"/>
    <w:rsid w:val="00104AC3"/>
    <w:rsid w:val="00104D74"/>
    <w:rsid w:val="00104FF2"/>
    <w:rsid w:val="00105033"/>
    <w:rsid w:val="001059E0"/>
    <w:rsid w:val="00105ADC"/>
    <w:rsid w:val="00105B50"/>
    <w:rsid w:val="00106226"/>
    <w:rsid w:val="001063DA"/>
    <w:rsid w:val="00106595"/>
    <w:rsid w:val="001065E5"/>
    <w:rsid w:val="00106664"/>
    <w:rsid w:val="001068AA"/>
    <w:rsid w:val="00106C33"/>
    <w:rsid w:val="00106F90"/>
    <w:rsid w:val="001070F7"/>
    <w:rsid w:val="001078CB"/>
    <w:rsid w:val="001079BC"/>
    <w:rsid w:val="001079CC"/>
    <w:rsid w:val="001079FD"/>
    <w:rsid w:val="00107BEC"/>
    <w:rsid w:val="00107E98"/>
    <w:rsid w:val="00110070"/>
    <w:rsid w:val="00110637"/>
    <w:rsid w:val="001106D0"/>
    <w:rsid w:val="00110945"/>
    <w:rsid w:val="00110DA2"/>
    <w:rsid w:val="00111452"/>
    <w:rsid w:val="001115D0"/>
    <w:rsid w:val="00111802"/>
    <w:rsid w:val="001118CB"/>
    <w:rsid w:val="00111911"/>
    <w:rsid w:val="00111A14"/>
    <w:rsid w:val="00111A17"/>
    <w:rsid w:val="00111A18"/>
    <w:rsid w:val="00111F06"/>
    <w:rsid w:val="00112113"/>
    <w:rsid w:val="001125C5"/>
    <w:rsid w:val="001125F0"/>
    <w:rsid w:val="001126BF"/>
    <w:rsid w:val="001127A0"/>
    <w:rsid w:val="00112A80"/>
    <w:rsid w:val="0011331C"/>
    <w:rsid w:val="001137C1"/>
    <w:rsid w:val="001139F7"/>
    <w:rsid w:val="00113BF3"/>
    <w:rsid w:val="00114219"/>
    <w:rsid w:val="00114308"/>
    <w:rsid w:val="001143C8"/>
    <w:rsid w:val="001146F7"/>
    <w:rsid w:val="001146FA"/>
    <w:rsid w:val="00114987"/>
    <w:rsid w:val="00114CBD"/>
    <w:rsid w:val="00114FD2"/>
    <w:rsid w:val="00114FEF"/>
    <w:rsid w:val="00115313"/>
    <w:rsid w:val="0011584F"/>
    <w:rsid w:val="00115870"/>
    <w:rsid w:val="0011590D"/>
    <w:rsid w:val="00115C2F"/>
    <w:rsid w:val="00115DCE"/>
    <w:rsid w:val="00115E2D"/>
    <w:rsid w:val="00115F5B"/>
    <w:rsid w:val="00115FB1"/>
    <w:rsid w:val="001162F4"/>
    <w:rsid w:val="0011631A"/>
    <w:rsid w:val="00116660"/>
    <w:rsid w:val="00116AB1"/>
    <w:rsid w:val="00116B8F"/>
    <w:rsid w:val="00116CBA"/>
    <w:rsid w:val="00116E50"/>
    <w:rsid w:val="00116F3D"/>
    <w:rsid w:val="001170FA"/>
    <w:rsid w:val="001171FD"/>
    <w:rsid w:val="00117617"/>
    <w:rsid w:val="001178B3"/>
    <w:rsid w:val="00117B42"/>
    <w:rsid w:val="00117E5F"/>
    <w:rsid w:val="00117ED7"/>
    <w:rsid w:val="001200EF"/>
    <w:rsid w:val="0012090B"/>
    <w:rsid w:val="00120ED7"/>
    <w:rsid w:val="0012179C"/>
    <w:rsid w:val="0012187E"/>
    <w:rsid w:val="00121889"/>
    <w:rsid w:val="00121C6D"/>
    <w:rsid w:val="00121CC4"/>
    <w:rsid w:val="00121DDD"/>
    <w:rsid w:val="00121E98"/>
    <w:rsid w:val="00121FFE"/>
    <w:rsid w:val="00122236"/>
    <w:rsid w:val="00122522"/>
    <w:rsid w:val="00122699"/>
    <w:rsid w:val="0012292A"/>
    <w:rsid w:val="001229CE"/>
    <w:rsid w:val="00122D46"/>
    <w:rsid w:val="00122E72"/>
    <w:rsid w:val="00122EF6"/>
    <w:rsid w:val="00122F38"/>
    <w:rsid w:val="00122FB1"/>
    <w:rsid w:val="0012311D"/>
    <w:rsid w:val="0012313E"/>
    <w:rsid w:val="00123187"/>
    <w:rsid w:val="001231B2"/>
    <w:rsid w:val="001233A8"/>
    <w:rsid w:val="001233F9"/>
    <w:rsid w:val="001234C8"/>
    <w:rsid w:val="00123514"/>
    <w:rsid w:val="001235A7"/>
    <w:rsid w:val="00123782"/>
    <w:rsid w:val="001239FE"/>
    <w:rsid w:val="00123C55"/>
    <w:rsid w:val="00123DDB"/>
    <w:rsid w:val="00124478"/>
    <w:rsid w:val="001249A4"/>
    <w:rsid w:val="00124A2F"/>
    <w:rsid w:val="00124D3A"/>
    <w:rsid w:val="001252EA"/>
    <w:rsid w:val="0012536D"/>
    <w:rsid w:val="001253BE"/>
    <w:rsid w:val="001255F9"/>
    <w:rsid w:val="00125749"/>
    <w:rsid w:val="00125A54"/>
    <w:rsid w:val="00125D11"/>
    <w:rsid w:val="00125EA0"/>
    <w:rsid w:val="00125FA0"/>
    <w:rsid w:val="00126241"/>
    <w:rsid w:val="001262D1"/>
    <w:rsid w:val="001263BD"/>
    <w:rsid w:val="00126601"/>
    <w:rsid w:val="00126AA4"/>
    <w:rsid w:val="00126AFD"/>
    <w:rsid w:val="00126B94"/>
    <w:rsid w:val="00126CB7"/>
    <w:rsid w:val="00127300"/>
    <w:rsid w:val="0012746C"/>
    <w:rsid w:val="00127A30"/>
    <w:rsid w:val="00127AE0"/>
    <w:rsid w:val="00127CA2"/>
    <w:rsid w:val="0013011F"/>
    <w:rsid w:val="00130221"/>
    <w:rsid w:val="00130326"/>
    <w:rsid w:val="0013032A"/>
    <w:rsid w:val="001303CA"/>
    <w:rsid w:val="00130746"/>
    <w:rsid w:val="00130C38"/>
    <w:rsid w:val="00130F7C"/>
    <w:rsid w:val="00130F94"/>
    <w:rsid w:val="001310BE"/>
    <w:rsid w:val="0013131E"/>
    <w:rsid w:val="0013146C"/>
    <w:rsid w:val="001314A8"/>
    <w:rsid w:val="0013169B"/>
    <w:rsid w:val="0013197F"/>
    <w:rsid w:val="0013198D"/>
    <w:rsid w:val="00131C24"/>
    <w:rsid w:val="00131C6F"/>
    <w:rsid w:val="00131D5B"/>
    <w:rsid w:val="00131DC3"/>
    <w:rsid w:val="00132586"/>
    <w:rsid w:val="001326BA"/>
    <w:rsid w:val="001326D2"/>
    <w:rsid w:val="00132702"/>
    <w:rsid w:val="00132880"/>
    <w:rsid w:val="001328AF"/>
    <w:rsid w:val="0013293F"/>
    <w:rsid w:val="00132B98"/>
    <w:rsid w:val="00132BD9"/>
    <w:rsid w:val="00133127"/>
    <w:rsid w:val="00133315"/>
    <w:rsid w:val="00133747"/>
    <w:rsid w:val="00133BCC"/>
    <w:rsid w:val="00133D18"/>
    <w:rsid w:val="0013401E"/>
    <w:rsid w:val="0013425C"/>
    <w:rsid w:val="001343D7"/>
    <w:rsid w:val="00134511"/>
    <w:rsid w:val="00134551"/>
    <w:rsid w:val="001348F1"/>
    <w:rsid w:val="0013495D"/>
    <w:rsid w:val="00134A31"/>
    <w:rsid w:val="00134A85"/>
    <w:rsid w:val="00134C4C"/>
    <w:rsid w:val="00134C96"/>
    <w:rsid w:val="00134CB6"/>
    <w:rsid w:val="00134D4D"/>
    <w:rsid w:val="001350AB"/>
    <w:rsid w:val="001353D7"/>
    <w:rsid w:val="00135409"/>
    <w:rsid w:val="00135467"/>
    <w:rsid w:val="0013554E"/>
    <w:rsid w:val="001356E5"/>
    <w:rsid w:val="001357D4"/>
    <w:rsid w:val="00135889"/>
    <w:rsid w:val="001358F3"/>
    <w:rsid w:val="00135C06"/>
    <w:rsid w:val="00135C66"/>
    <w:rsid w:val="00135E4C"/>
    <w:rsid w:val="00135EFC"/>
    <w:rsid w:val="00136655"/>
    <w:rsid w:val="00136741"/>
    <w:rsid w:val="0013693B"/>
    <w:rsid w:val="00136A66"/>
    <w:rsid w:val="001370ED"/>
    <w:rsid w:val="0013722C"/>
    <w:rsid w:val="001372FB"/>
    <w:rsid w:val="001373D4"/>
    <w:rsid w:val="001373DC"/>
    <w:rsid w:val="001373F4"/>
    <w:rsid w:val="001373F5"/>
    <w:rsid w:val="001375DD"/>
    <w:rsid w:val="00137750"/>
    <w:rsid w:val="00137A00"/>
    <w:rsid w:val="00137AD1"/>
    <w:rsid w:val="00137AFE"/>
    <w:rsid w:val="00137D21"/>
    <w:rsid w:val="00137FBF"/>
    <w:rsid w:val="001400BF"/>
    <w:rsid w:val="001400FA"/>
    <w:rsid w:val="0014029D"/>
    <w:rsid w:val="00140CD1"/>
    <w:rsid w:val="00140ECF"/>
    <w:rsid w:val="00140EE3"/>
    <w:rsid w:val="001414DA"/>
    <w:rsid w:val="00141670"/>
    <w:rsid w:val="00141739"/>
    <w:rsid w:val="0014179E"/>
    <w:rsid w:val="00141A1A"/>
    <w:rsid w:val="00141C38"/>
    <w:rsid w:val="00141EEF"/>
    <w:rsid w:val="00141F1A"/>
    <w:rsid w:val="00141F66"/>
    <w:rsid w:val="00142018"/>
    <w:rsid w:val="001420A4"/>
    <w:rsid w:val="0014252B"/>
    <w:rsid w:val="0014265C"/>
    <w:rsid w:val="001426DC"/>
    <w:rsid w:val="0014292D"/>
    <w:rsid w:val="0014296B"/>
    <w:rsid w:val="00142A94"/>
    <w:rsid w:val="00142AFB"/>
    <w:rsid w:val="0014308C"/>
    <w:rsid w:val="00143410"/>
    <w:rsid w:val="00143554"/>
    <w:rsid w:val="0014361D"/>
    <w:rsid w:val="001436C9"/>
    <w:rsid w:val="001437AD"/>
    <w:rsid w:val="001438B4"/>
    <w:rsid w:val="00143989"/>
    <w:rsid w:val="00143A83"/>
    <w:rsid w:val="00143B54"/>
    <w:rsid w:val="001441B7"/>
    <w:rsid w:val="001441D9"/>
    <w:rsid w:val="0014426D"/>
    <w:rsid w:val="00144409"/>
    <w:rsid w:val="001444E0"/>
    <w:rsid w:val="0014459D"/>
    <w:rsid w:val="001446D1"/>
    <w:rsid w:val="001446DD"/>
    <w:rsid w:val="001447A3"/>
    <w:rsid w:val="001447E7"/>
    <w:rsid w:val="001448F8"/>
    <w:rsid w:val="00144AD1"/>
    <w:rsid w:val="00144CE6"/>
    <w:rsid w:val="00144F5F"/>
    <w:rsid w:val="00144FC5"/>
    <w:rsid w:val="00145228"/>
    <w:rsid w:val="0014522F"/>
    <w:rsid w:val="0014537B"/>
    <w:rsid w:val="001456DE"/>
    <w:rsid w:val="00145879"/>
    <w:rsid w:val="00145BBE"/>
    <w:rsid w:val="00145DA6"/>
    <w:rsid w:val="00145DAE"/>
    <w:rsid w:val="00146153"/>
    <w:rsid w:val="0014663E"/>
    <w:rsid w:val="00146966"/>
    <w:rsid w:val="00146C76"/>
    <w:rsid w:val="00146DE9"/>
    <w:rsid w:val="00146F0C"/>
    <w:rsid w:val="001470DD"/>
    <w:rsid w:val="00147285"/>
    <w:rsid w:val="001474D2"/>
    <w:rsid w:val="001474DB"/>
    <w:rsid w:val="0014793D"/>
    <w:rsid w:val="00147AAD"/>
    <w:rsid w:val="00147C88"/>
    <w:rsid w:val="00147C89"/>
    <w:rsid w:val="0015008B"/>
    <w:rsid w:val="0015020E"/>
    <w:rsid w:val="001502A9"/>
    <w:rsid w:val="001502B0"/>
    <w:rsid w:val="00150317"/>
    <w:rsid w:val="00150883"/>
    <w:rsid w:val="00150C88"/>
    <w:rsid w:val="00150CA6"/>
    <w:rsid w:val="00150D6A"/>
    <w:rsid w:val="00150F9B"/>
    <w:rsid w:val="0015165B"/>
    <w:rsid w:val="0015174A"/>
    <w:rsid w:val="00151931"/>
    <w:rsid w:val="0015196F"/>
    <w:rsid w:val="00151AE3"/>
    <w:rsid w:val="00151B5F"/>
    <w:rsid w:val="00151BCC"/>
    <w:rsid w:val="00151DDC"/>
    <w:rsid w:val="00151E9D"/>
    <w:rsid w:val="00151F05"/>
    <w:rsid w:val="00152132"/>
    <w:rsid w:val="001521DC"/>
    <w:rsid w:val="0015221D"/>
    <w:rsid w:val="0015242C"/>
    <w:rsid w:val="00152496"/>
    <w:rsid w:val="00152945"/>
    <w:rsid w:val="00152B52"/>
    <w:rsid w:val="00152DB8"/>
    <w:rsid w:val="0015345C"/>
    <w:rsid w:val="0015367F"/>
    <w:rsid w:val="001539F0"/>
    <w:rsid w:val="00153CB2"/>
    <w:rsid w:val="00153CD9"/>
    <w:rsid w:val="00153E0C"/>
    <w:rsid w:val="00153E1A"/>
    <w:rsid w:val="00153F91"/>
    <w:rsid w:val="00154006"/>
    <w:rsid w:val="001541D4"/>
    <w:rsid w:val="00154289"/>
    <w:rsid w:val="001544BC"/>
    <w:rsid w:val="00154752"/>
    <w:rsid w:val="001547DA"/>
    <w:rsid w:val="00154950"/>
    <w:rsid w:val="0015496C"/>
    <w:rsid w:val="00154E7B"/>
    <w:rsid w:val="00154F36"/>
    <w:rsid w:val="00155008"/>
    <w:rsid w:val="0015501A"/>
    <w:rsid w:val="0015514C"/>
    <w:rsid w:val="00155317"/>
    <w:rsid w:val="0015567E"/>
    <w:rsid w:val="001559C8"/>
    <w:rsid w:val="00155B8B"/>
    <w:rsid w:val="00155D3E"/>
    <w:rsid w:val="00155D6C"/>
    <w:rsid w:val="00155E2B"/>
    <w:rsid w:val="00155F11"/>
    <w:rsid w:val="00155F8F"/>
    <w:rsid w:val="00155FC2"/>
    <w:rsid w:val="001563E5"/>
    <w:rsid w:val="001566BF"/>
    <w:rsid w:val="00156855"/>
    <w:rsid w:val="00156A3A"/>
    <w:rsid w:val="00156BD0"/>
    <w:rsid w:val="00156BF7"/>
    <w:rsid w:val="00156C62"/>
    <w:rsid w:val="0015703F"/>
    <w:rsid w:val="001570E5"/>
    <w:rsid w:val="0015726A"/>
    <w:rsid w:val="00157281"/>
    <w:rsid w:val="00157442"/>
    <w:rsid w:val="001574C0"/>
    <w:rsid w:val="00157BB3"/>
    <w:rsid w:val="00157C55"/>
    <w:rsid w:val="00157CF6"/>
    <w:rsid w:val="00157D1B"/>
    <w:rsid w:val="00157E26"/>
    <w:rsid w:val="00157EB4"/>
    <w:rsid w:val="0016027F"/>
    <w:rsid w:val="0016047B"/>
    <w:rsid w:val="00160665"/>
    <w:rsid w:val="001606CF"/>
    <w:rsid w:val="00160760"/>
    <w:rsid w:val="001607A7"/>
    <w:rsid w:val="00160846"/>
    <w:rsid w:val="00160A0D"/>
    <w:rsid w:val="00160A36"/>
    <w:rsid w:val="00160B81"/>
    <w:rsid w:val="00160C4A"/>
    <w:rsid w:val="00160D23"/>
    <w:rsid w:val="00160F1C"/>
    <w:rsid w:val="0016128D"/>
    <w:rsid w:val="001613CE"/>
    <w:rsid w:val="001616B0"/>
    <w:rsid w:val="00161811"/>
    <w:rsid w:val="0016197B"/>
    <w:rsid w:val="00161BA0"/>
    <w:rsid w:val="00161E2F"/>
    <w:rsid w:val="00162213"/>
    <w:rsid w:val="001623A5"/>
    <w:rsid w:val="00162555"/>
    <w:rsid w:val="00162559"/>
    <w:rsid w:val="00162689"/>
    <w:rsid w:val="001627E3"/>
    <w:rsid w:val="001628BF"/>
    <w:rsid w:val="00162AAB"/>
    <w:rsid w:val="00162B4C"/>
    <w:rsid w:val="00162B69"/>
    <w:rsid w:val="00162D47"/>
    <w:rsid w:val="00162F5C"/>
    <w:rsid w:val="00163198"/>
    <w:rsid w:val="001631CA"/>
    <w:rsid w:val="00163266"/>
    <w:rsid w:val="00163275"/>
    <w:rsid w:val="00163787"/>
    <w:rsid w:val="00163FB1"/>
    <w:rsid w:val="00163FFE"/>
    <w:rsid w:val="001641C1"/>
    <w:rsid w:val="00164390"/>
    <w:rsid w:val="001644A1"/>
    <w:rsid w:val="00164548"/>
    <w:rsid w:val="00164599"/>
    <w:rsid w:val="001646BB"/>
    <w:rsid w:val="001646C5"/>
    <w:rsid w:val="0016481E"/>
    <w:rsid w:val="00164DD6"/>
    <w:rsid w:val="00164EDB"/>
    <w:rsid w:val="0016503B"/>
    <w:rsid w:val="001650C2"/>
    <w:rsid w:val="001651CB"/>
    <w:rsid w:val="00165259"/>
    <w:rsid w:val="00165359"/>
    <w:rsid w:val="00165492"/>
    <w:rsid w:val="001656DB"/>
    <w:rsid w:val="00165A71"/>
    <w:rsid w:val="00165D39"/>
    <w:rsid w:val="001661F2"/>
    <w:rsid w:val="00166337"/>
    <w:rsid w:val="0016657D"/>
    <w:rsid w:val="00166580"/>
    <w:rsid w:val="001666BB"/>
    <w:rsid w:val="001667E2"/>
    <w:rsid w:val="001667E5"/>
    <w:rsid w:val="001667EC"/>
    <w:rsid w:val="0016684F"/>
    <w:rsid w:val="00166BA8"/>
    <w:rsid w:val="00166BB0"/>
    <w:rsid w:val="00166C25"/>
    <w:rsid w:val="00166E17"/>
    <w:rsid w:val="0016733E"/>
    <w:rsid w:val="001675A6"/>
    <w:rsid w:val="0016786F"/>
    <w:rsid w:val="00167951"/>
    <w:rsid w:val="00167B8E"/>
    <w:rsid w:val="00167D9B"/>
    <w:rsid w:val="0017023C"/>
    <w:rsid w:val="001702D3"/>
    <w:rsid w:val="0017034D"/>
    <w:rsid w:val="00170429"/>
    <w:rsid w:val="00170610"/>
    <w:rsid w:val="0017089D"/>
    <w:rsid w:val="00170AFF"/>
    <w:rsid w:val="00170CFE"/>
    <w:rsid w:val="00170D16"/>
    <w:rsid w:val="0017110D"/>
    <w:rsid w:val="001711FB"/>
    <w:rsid w:val="00171304"/>
    <w:rsid w:val="00171344"/>
    <w:rsid w:val="001713E1"/>
    <w:rsid w:val="001718F3"/>
    <w:rsid w:val="0017199E"/>
    <w:rsid w:val="00171BE0"/>
    <w:rsid w:val="00171CF8"/>
    <w:rsid w:val="00171D17"/>
    <w:rsid w:val="00171E3E"/>
    <w:rsid w:val="00171ED4"/>
    <w:rsid w:val="00171F27"/>
    <w:rsid w:val="00171F34"/>
    <w:rsid w:val="00172013"/>
    <w:rsid w:val="001720D9"/>
    <w:rsid w:val="00172249"/>
    <w:rsid w:val="00172654"/>
    <w:rsid w:val="001726D7"/>
    <w:rsid w:val="00172763"/>
    <w:rsid w:val="00172805"/>
    <w:rsid w:val="0017284D"/>
    <w:rsid w:val="00172A93"/>
    <w:rsid w:val="00172FD1"/>
    <w:rsid w:val="0017302A"/>
    <w:rsid w:val="00173520"/>
    <w:rsid w:val="0017360E"/>
    <w:rsid w:val="00173963"/>
    <w:rsid w:val="00173B8F"/>
    <w:rsid w:val="0017410D"/>
    <w:rsid w:val="001742B8"/>
    <w:rsid w:val="00174363"/>
    <w:rsid w:val="00174442"/>
    <w:rsid w:val="001745C6"/>
    <w:rsid w:val="001745CC"/>
    <w:rsid w:val="001746ED"/>
    <w:rsid w:val="001746FC"/>
    <w:rsid w:val="0017490A"/>
    <w:rsid w:val="00174A60"/>
    <w:rsid w:val="00174B29"/>
    <w:rsid w:val="00174CE5"/>
    <w:rsid w:val="00174D93"/>
    <w:rsid w:val="00174DD2"/>
    <w:rsid w:val="00175056"/>
    <w:rsid w:val="001751AC"/>
    <w:rsid w:val="001751C6"/>
    <w:rsid w:val="00175317"/>
    <w:rsid w:val="00175640"/>
    <w:rsid w:val="001757AE"/>
    <w:rsid w:val="00175921"/>
    <w:rsid w:val="00175BDB"/>
    <w:rsid w:val="00175D53"/>
    <w:rsid w:val="001760B2"/>
    <w:rsid w:val="001760C4"/>
    <w:rsid w:val="00176159"/>
    <w:rsid w:val="00176206"/>
    <w:rsid w:val="00176409"/>
    <w:rsid w:val="00176703"/>
    <w:rsid w:val="00176BC6"/>
    <w:rsid w:val="00176C38"/>
    <w:rsid w:val="00176D38"/>
    <w:rsid w:val="00176E8C"/>
    <w:rsid w:val="00176F33"/>
    <w:rsid w:val="001771DE"/>
    <w:rsid w:val="001779FE"/>
    <w:rsid w:val="00177C1E"/>
    <w:rsid w:val="00177C6C"/>
    <w:rsid w:val="001800F6"/>
    <w:rsid w:val="00180241"/>
    <w:rsid w:val="0018034A"/>
    <w:rsid w:val="0018048A"/>
    <w:rsid w:val="001805A8"/>
    <w:rsid w:val="00180C7C"/>
    <w:rsid w:val="00180CCE"/>
    <w:rsid w:val="00180CD0"/>
    <w:rsid w:val="00180E53"/>
    <w:rsid w:val="001810B2"/>
    <w:rsid w:val="001814EE"/>
    <w:rsid w:val="001815F8"/>
    <w:rsid w:val="001816D1"/>
    <w:rsid w:val="00181793"/>
    <w:rsid w:val="00181B0D"/>
    <w:rsid w:val="00181B23"/>
    <w:rsid w:val="00182050"/>
    <w:rsid w:val="001822A4"/>
    <w:rsid w:val="001823EB"/>
    <w:rsid w:val="00182543"/>
    <w:rsid w:val="00182574"/>
    <w:rsid w:val="0018266D"/>
    <w:rsid w:val="00182681"/>
    <w:rsid w:val="00182A0C"/>
    <w:rsid w:val="00182AA1"/>
    <w:rsid w:val="00182B65"/>
    <w:rsid w:val="00182BD7"/>
    <w:rsid w:val="00182C14"/>
    <w:rsid w:val="001830EE"/>
    <w:rsid w:val="00183550"/>
    <w:rsid w:val="00183554"/>
    <w:rsid w:val="001836AA"/>
    <w:rsid w:val="001836C6"/>
    <w:rsid w:val="00183847"/>
    <w:rsid w:val="001838A5"/>
    <w:rsid w:val="00183904"/>
    <w:rsid w:val="0018392D"/>
    <w:rsid w:val="00183A28"/>
    <w:rsid w:val="00183B6E"/>
    <w:rsid w:val="00183CBD"/>
    <w:rsid w:val="00183CD7"/>
    <w:rsid w:val="001840FF"/>
    <w:rsid w:val="001842DC"/>
    <w:rsid w:val="001843C8"/>
    <w:rsid w:val="00184D38"/>
    <w:rsid w:val="00184E1D"/>
    <w:rsid w:val="00184EA4"/>
    <w:rsid w:val="0018513D"/>
    <w:rsid w:val="00185215"/>
    <w:rsid w:val="0018530E"/>
    <w:rsid w:val="001853E0"/>
    <w:rsid w:val="00185414"/>
    <w:rsid w:val="0018548C"/>
    <w:rsid w:val="001856AC"/>
    <w:rsid w:val="00185772"/>
    <w:rsid w:val="00185892"/>
    <w:rsid w:val="001859D0"/>
    <w:rsid w:val="00185B35"/>
    <w:rsid w:val="00185B70"/>
    <w:rsid w:val="00185E8B"/>
    <w:rsid w:val="00185EAC"/>
    <w:rsid w:val="00185EDC"/>
    <w:rsid w:val="00185EFF"/>
    <w:rsid w:val="0018606B"/>
    <w:rsid w:val="001863BD"/>
    <w:rsid w:val="001863E9"/>
    <w:rsid w:val="00186412"/>
    <w:rsid w:val="0018665E"/>
    <w:rsid w:val="001869B5"/>
    <w:rsid w:val="00186A25"/>
    <w:rsid w:val="00186B2C"/>
    <w:rsid w:val="00186BC8"/>
    <w:rsid w:val="00186FE5"/>
    <w:rsid w:val="001876F5"/>
    <w:rsid w:val="001878D2"/>
    <w:rsid w:val="00187CAB"/>
    <w:rsid w:val="00187E54"/>
    <w:rsid w:val="001900D4"/>
    <w:rsid w:val="00190189"/>
    <w:rsid w:val="001901B1"/>
    <w:rsid w:val="001901E3"/>
    <w:rsid w:val="00190434"/>
    <w:rsid w:val="001905BF"/>
    <w:rsid w:val="0019079C"/>
    <w:rsid w:val="0019096E"/>
    <w:rsid w:val="00190BC4"/>
    <w:rsid w:val="00190BEB"/>
    <w:rsid w:val="00190CB6"/>
    <w:rsid w:val="00190E0E"/>
    <w:rsid w:val="0019101A"/>
    <w:rsid w:val="0019109D"/>
    <w:rsid w:val="001910D0"/>
    <w:rsid w:val="001912D9"/>
    <w:rsid w:val="0019145E"/>
    <w:rsid w:val="00191630"/>
    <w:rsid w:val="0019169F"/>
    <w:rsid w:val="00191816"/>
    <w:rsid w:val="0019189A"/>
    <w:rsid w:val="00191980"/>
    <w:rsid w:val="00191EAD"/>
    <w:rsid w:val="00192748"/>
    <w:rsid w:val="001928BB"/>
    <w:rsid w:val="00192C26"/>
    <w:rsid w:val="00192CB0"/>
    <w:rsid w:val="00192E36"/>
    <w:rsid w:val="00192F3F"/>
    <w:rsid w:val="00192FF1"/>
    <w:rsid w:val="001930AE"/>
    <w:rsid w:val="0019310B"/>
    <w:rsid w:val="001935B3"/>
    <w:rsid w:val="001936E1"/>
    <w:rsid w:val="00193BD7"/>
    <w:rsid w:val="00193DF6"/>
    <w:rsid w:val="0019430A"/>
    <w:rsid w:val="0019449B"/>
    <w:rsid w:val="0019450C"/>
    <w:rsid w:val="001945A2"/>
    <w:rsid w:val="001945E0"/>
    <w:rsid w:val="001945F2"/>
    <w:rsid w:val="00194641"/>
    <w:rsid w:val="0019468B"/>
    <w:rsid w:val="001946EE"/>
    <w:rsid w:val="00194838"/>
    <w:rsid w:val="001948EC"/>
    <w:rsid w:val="00194985"/>
    <w:rsid w:val="00194D65"/>
    <w:rsid w:val="001951BB"/>
    <w:rsid w:val="001958BF"/>
    <w:rsid w:val="00195BBC"/>
    <w:rsid w:val="00195BE0"/>
    <w:rsid w:val="00195C18"/>
    <w:rsid w:val="00195C23"/>
    <w:rsid w:val="00195C8E"/>
    <w:rsid w:val="00195DE9"/>
    <w:rsid w:val="00195E58"/>
    <w:rsid w:val="00196281"/>
    <w:rsid w:val="00196389"/>
    <w:rsid w:val="0019657A"/>
    <w:rsid w:val="0019661A"/>
    <w:rsid w:val="00196836"/>
    <w:rsid w:val="00196860"/>
    <w:rsid w:val="001968A0"/>
    <w:rsid w:val="00196A35"/>
    <w:rsid w:val="00196B31"/>
    <w:rsid w:val="00196CBB"/>
    <w:rsid w:val="00196EB6"/>
    <w:rsid w:val="00196F03"/>
    <w:rsid w:val="00196F0B"/>
    <w:rsid w:val="00196FD1"/>
    <w:rsid w:val="00196FF2"/>
    <w:rsid w:val="00197024"/>
    <w:rsid w:val="001972BD"/>
    <w:rsid w:val="001972D2"/>
    <w:rsid w:val="001972EB"/>
    <w:rsid w:val="001974D5"/>
    <w:rsid w:val="00197C30"/>
    <w:rsid w:val="001A0013"/>
    <w:rsid w:val="001A010C"/>
    <w:rsid w:val="001A01FF"/>
    <w:rsid w:val="001A023F"/>
    <w:rsid w:val="001A02B3"/>
    <w:rsid w:val="001A0557"/>
    <w:rsid w:val="001A092B"/>
    <w:rsid w:val="001A0E1B"/>
    <w:rsid w:val="001A1153"/>
    <w:rsid w:val="001A11D1"/>
    <w:rsid w:val="001A1283"/>
    <w:rsid w:val="001A12C2"/>
    <w:rsid w:val="001A160D"/>
    <w:rsid w:val="001A1645"/>
    <w:rsid w:val="001A16A2"/>
    <w:rsid w:val="001A16F7"/>
    <w:rsid w:val="001A1A76"/>
    <w:rsid w:val="001A1D30"/>
    <w:rsid w:val="001A207F"/>
    <w:rsid w:val="001A20BF"/>
    <w:rsid w:val="001A2147"/>
    <w:rsid w:val="001A214F"/>
    <w:rsid w:val="001A2456"/>
    <w:rsid w:val="001A282B"/>
    <w:rsid w:val="001A2835"/>
    <w:rsid w:val="001A293D"/>
    <w:rsid w:val="001A2AB3"/>
    <w:rsid w:val="001A2CAA"/>
    <w:rsid w:val="001A2CC3"/>
    <w:rsid w:val="001A302C"/>
    <w:rsid w:val="001A3135"/>
    <w:rsid w:val="001A3234"/>
    <w:rsid w:val="001A32F5"/>
    <w:rsid w:val="001A3398"/>
    <w:rsid w:val="001A33A8"/>
    <w:rsid w:val="001A33EC"/>
    <w:rsid w:val="001A341F"/>
    <w:rsid w:val="001A3A6C"/>
    <w:rsid w:val="001A3ACA"/>
    <w:rsid w:val="001A3CCE"/>
    <w:rsid w:val="001A40EC"/>
    <w:rsid w:val="001A47D8"/>
    <w:rsid w:val="001A4850"/>
    <w:rsid w:val="001A4B01"/>
    <w:rsid w:val="001A4C05"/>
    <w:rsid w:val="001A4F9D"/>
    <w:rsid w:val="001A5451"/>
    <w:rsid w:val="001A55EA"/>
    <w:rsid w:val="001A581B"/>
    <w:rsid w:val="001A5935"/>
    <w:rsid w:val="001A5BC2"/>
    <w:rsid w:val="001A5C30"/>
    <w:rsid w:val="001A5E09"/>
    <w:rsid w:val="001A5E2F"/>
    <w:rsid w:val="001A5EB8"/>
    <w:rsid w:val="001A5F4D"/>
    <w:rsid w:val="001A6127"/>
    <w:rsid w:val="001A6152"/>
    <w:rsid w:val="001A62DB"/>
    <w:rsid w:val="001A6714"/>
    <w:rsid w:val="001A68FF"/>
    <w:rsid w:val="001A6936"/>
    <w:rsid w:val="001A6B15"/>
    <w:rsid w:val="001A6B1F"/>
    <w:rsid w:val="001A6CB1"/>
    <w:rsid w:val="001A6DEE"/>
    <w:rsid w:val="001A70C9"/>
    <w:rsid w:val="001A7430"/>
    <w:rsid w:val="001A74A8"/>
    <w:rsid w:val="001A754B"/>
    <w:rsid w:val="001A7672"/>
    <w:rsid w:val="001A7755"/>
    <w:rsid w:val="001A77DA"/>
    <w:rsid w:val="001A781A"/>
    <w:rsid w:val="001A7B4E"/>
    <w:rsid w:val="001A7CA3"/>
    <w:rsid w:val="001A7DB9"/>
    <w:rsid w:val="001A7E1C"/>
    <w:rsid w:val="001A7ED2"/>
    <w:rsid w:val="001A7F86"/>
    <w:rsid w:val="001B0688"/>
    <w:rsid w:val="001B093B"/>
    <w:rsid w:val="001B0B55"/>
    <w:rsid w:val="001B0DA7"/>
    <w:rsid w:val="001B0EA6"/>
    <w:rsid w:val="001B0EB8"/>
    <w:rsid w:val="001B1170"/>
    <w:rsid w:val="001B129D"/>
    <w:rsid w:val="001B132D"/>
    <w:rsid w:val="001B133B"/>
    <w:rsid w:val="001B1441"/>
    <w:rsid w:val="001B1523"/>
    <w:rsid w:val="001B169A"/>
    <w:rsid w:val="001B19F9"/>
    <w:rsid w:val="001B1B3B"/>
    <w:rsid w:val="001B1DC7"/>
    <w:rsid w:val="001B20AC"/>
    <w:rsid w:val="001B20BC"/>
    <w:rsid w:val="001B21BB"/>
    <w:rsid w:val="001B231F"/>
    <w:rsid w:val="001B238B"/>
    <w:rsid w:val="001B2841"/>
    <w:rsid w:val="001B28C1"/>
    <w:rsid w:val="001B2B24"/>
    <w:rsid w:val="001B2B2A"/>
    <w:rsid w:val="001B2B32"/>
    <w:rsid w:val="001B2C6D"/>
    <w:rsid w:val="001B2D81"/>
    <w:rsid w:val="001B2E32"/>
    <w:rsid w:val="001B2E67"/>
    <w:rsid w:val="001B2F10"/>
    <w:rsid w:val="001B326D"/>
    <w:rsid w:val="001B3296"/>
    <w:rsid w:val="001B32AB"/>
    <w:rsid w:val="001B33FF"/>
    <w:rsid w:val="001B34A7"/>
    <w:rsid w:val="001B370C"/>
    <w:rsid w:val="001B3876"/>
    <w:rsid w:val="001B3DCF"/>
    <w:rsid w:val="001B3E2C"/>
    <w:rsid w:val="001B3FEA"/>
    <w:rsid w:val="001B431D"/>
    <w:rsid w:val="001B4362"/>
    <w:rsid w:val="001B44A8"/>
    <w:rsid w:val="001B44E4"/>
    <w:rsid w:val="001B4557"/>
    <w:rsid w:val="001B45E5"/>
    <w:rsid w:val="001B48BB"/>
    <w:rsid w:val="001B4D4A"/>
    <w:rsid w:val="001B4E64"/>
    <w:rsid w:val="001B4EF3"/>
    <w:rsid w:val="001B5069"/>
    <w:rsid w:val="001B50FD"/>
    <w:rsid w:val="001B5557"/>
    <w:rsid w:val="001B563A"/>
    <w:rsid w:val="001B58D0"/>
    <w:rsid w:val="001B591E"/>
    <w:rsid w:val="001B5B54"/>
    <w:rsid w:val="001B5E52"/>
    <w:rsid w:val="001B5FAB"/>
    <w:rsid w:val="001B6266"/>
    <w:rsid w:val="001B643B"/>
    <w:rsid w:val="001B6440"/>
    <w:rsid w:val="001B67C2"/>
    <w:rsid w:val="001B6910"/>
    <w:rsid w:val="001B69BF"/>
    <w:rsid w:val="001B6C69"/>
    <w:rsid w:val="001B7340"/>
    <w:rsid w:val="001B7852"/>
    <w:rsid w:val="001B7965"/>
    <w:rsid w:val="001B7AF7"/>
    <w:rsid w:val="001B7BE5"/>
    <w:rsid w:val="001C0017"/>
    <w:rsid w:val="001C00C6"/>
    <w:rsid w:val="001C01A9"/>
    <w:rsid w:val="001C04ED"/>
    <w:rsid w:val="001C0524"/>
    <w:rsid w:val="001C096F"/>
    <w:rsid w:val="001C09C1"/>
    <w:rsid w:val="001C0A88"/>
    <w:rsid w:val="001C11A7"/>
    <w:rsid w:val="001C1284"/>
    <w:rsid w:val="001C13E0"/>
    <w:rsid w:val="001C14C9"/>
    <w:rsid w:val="001C15EF"/>
    <w:rsid w:val="001C17B6"/>
    <w:rsid w:val="001C18D4"/>
    <w:rsid w:val="001C1906"/>
    <w:rsid w:val="001C1A7B"/>
    <w:rsid w:val="001C1B09"/>
    <w:rsid w:val="001C1E2B"/>
    <w:rsid w:val="001C1F49"/>
    <w:rsid w:val="001C25AB"/>
    <w:rsid w:val="001C26AE"/>
    <w:rsid w:val="001C2C9E"/>
    <w:rsid w:val="001C2F1A"/>
    <w:rsid w:val="001C2F48"/>
    <w:rsid w:val="001C3004"/>
    <w:rsid w:val="001C32C8"/>
    <w:rsid w:val="001C33B2"/>
    <w:rsid w:val="001C350A"/>
    <w:rsid w:val="001C358D"/>
    <w:rsid w:val="001C3626"/>
    <w:rsid w:val="001C3888"/>
    <w:rsid w:val="001C3BAA"/>
    <w:rsid w:val="001C3CE3"/>
    <w:rsid w:val="001C3DCC"/>
    <w:rsid w:val="001C3E80"/>
    <w:rsid w:val="001C4028"/>
    <w:rsid w:val="001C4082"/>
    <w:rsid w:val="001C40A0"/>
    <w:rsid w:val="001C40C7"/>
    <w:rsid w:val="001C418F"/>
    <w:rsid w:val="001C43D2"/>
    <w:rsid w:val="001C4429"/>
    <w:rsid w:val="001C4573"/>
    <w:rsid w:val="001C4B7B"/>
    <w:rsid w:val="001C4C38"/>
    <w:rsid w:val="001C4D2C"/>
    <w:rsid w:val="001C4E29"/>
    <w:rsid w:val="001C4E56"/>
    <w:rsid w:val="001C4EE7"/>
    <w:rsid w:val="001C5032"/>
    <w:rsid w:val="001C506E"/>
    <w:rsid w:val="001C51BE"/>
    <w:rsid w:val="001C51D2"/>
    <w:rsid w:val="001C56C8"/>
    <w:rsid w:val="001C5708"/>
    <w:rsid w:val="001C5A38"/>
    <w:rsid w:val="001C5A6A"/>
    <w:rsid w:val="001C5A83"/>
    <w:rsid w:val="001C5C66"/>
    <w:rsid w:val="001C5D1A"/>
    <w:rsid w:val="001C5D9E"/>
    <w:rsid w:val="001C5E31"/>
    <w:rsid w:val="001C61C4"/>
    <w:rsid w:val="001C6566"/>
    <w:rsid w:val="001C687E"/>
    <w:rsid w:val="001C6A99"/>
    <w:rsid w:val="001C6AFB"/>
    <w:rsid w:val="001C71B7"/>
    <w:rsid w:val="001C7233"/>
    <w:rsid w:val="001C7288"/>
    <w:rsid w:val="001C7563"/>
    <w:rsid w:val="001C7737"/>
    <w:rsid w:val="001C7842"/>
    <w:rsid w:val="001C7987"/>
    <w:rsid w:val="001C7C67"/>
    <w:rsid w:val="001C7D17"/>
    <w:rsid w:val="001D013A"/>
    <w:rsid w:val="001D02DD"/>
    <w:rsid w:val="001D02F5"/>
    <w:rsid w:val="001D04B2"/>
    <w:rsid w:val="001D04F1"/>
    <w:rsid w:val="001D062E"/>
    <w:rsid w:val="001D0798"/>
    <w:rsid w:val="001D08B5"/>
    <w:rsid w:val="001D099B"/>
    <w:rsid w:val="001D09DF"/>
    <w:rsid w:val="001D133B"/>
    <w:rsid w:val="001D154E"/>
    <w:rsid w:val="001D1712"/>
    <w:rsid w:val="001D1995"/>
    <w:rsid w:val="001D19EE"/>
    <w:rsid w:val="001D1A3A"/>
    <w:rsid w:val="001D1EC7"/>
    <w:rsid w:val="001D2033"/>
    <w:rsid w:val="001D20F7"/>
    <w:rsid w:val="001D22E8"/>
    <w:rsid w:val="001D2454"/>
    <w:rsid w:val="001D27D2"/>
    <w:rsid w:val="001D2A92"/>
    <w:rsid w:val="001D2B26"/>
    <w:rsid w:val="001D2CCA"/>
    <w:rsid w:val="001D2EA2"/>
    <w:rsid w:val="001D2EC6"/>
    <w:rsid w:val="001D3734"/>
    <w:rsid w:val="001D393B"/>
    <w:rsid w:val="001D3960"/>
    <w:rsid w:val="001D399D"/>
    <w:rsid w:val="001D3D89"/>
    <w:rsid w:val="001D3E3E"/>
    <w:rsid w:val="001D3FEB"/>
    <w:rsid w:val="001D4097"/>
    <w:rsid w:val="001D40B3"/>
    <w:rsid w:val="001D41D9"/>
    <w:rsid w:val="001D42E1"/>
    <w:rsid w:val="001D431F"/>
    <w:rsid w:val="001D4328"/>
    <w:rsid w:val="001D48A1"/>
    <w:rsid w:val="001D498A"/>
    <w:rsid w:val="001D4A54"/>
    <w:rsid w:val="001D4B4E"/>
    <w:rsid w:val="001D4B70"/>
    <w:rsid w:val="001D4D08"/>
    <w:rsid w:val="001D4D38"/>
    <w:rsid w:val="001D5043"/>
    <w:rsid w:val="001D507F"/>
    <w:rsid w:val="001D51F6"/>
    <w:rsid w:val="001D5300"/>
    <w:rsid w:val="001D53DE"/>
    <w:rsid w:val="001D541F"/>
    <w:rsid w:val="001D5488"/>
    <w:rsid w:val="001D54A4"/>
    <w:rsid w:val="001D55CB"/>
    <w:rsid w:val="001D562F"/>
    <w:rsid w:val="001D5644"/>
    <w:rsid w:val="001D56AD"/>
    <w:rsid w:val="001D57E9"/>
    <w:rsid w:val="001D5821"/>
    <w:rsid w:val="001D5909"/>
    <w:rsid w:val="001D59F0"/>
    <w:rsid w:val="001D5AE4"/>
    <w:rsid w:val="001D5E24"/>
    <w:rsid w:val="001D6008"/>
    <w:rsid w:val="001D64F7"/>
    <w:rsid w:val="001D6A3C"/>
    <w:rsid w:val="001D6C47"/>
    <w:rsid w:val="001D7457"/>
    <w:rsid w:val="001D74D1"/>
    <w:rsid w:val="001D769C"/>
    <w:rsid w:val="001D788B"/>
    <w:rsid w:val="001D790A"/>
    <w:rsid w:val="001D79CE"/>
    <w:rsid w:val="001D7AB3"/>
    <w:rsid w:val="001D7BF3"/>
    <w:rsid w:val="001D7DE0"/>
    <w:rsid w:val="001D7DEF"/>
    <w:rsid w:val="001E0400"/>
    <w:rsid w:val="001E069D"/>
    <w:rsid w:val="001E0911"/>
    <w:rsid w:val="001E0B19"/>
    <w:rsid w:val="001E0D72"/>
    <w:rsid w:val="001E0E9A"/>
    <w:rsid w:val="001E0EAE"/>
    <w:rsid w:val="001E1165"/>
    <w:rsid w:val="001E12F1"/>
    <w:rsid w:val="001E136E"/>
    <w:rsid w:val="001E172B"/>
    <w:rsid w:val="001E17DF"/>
    <w:rsid w:val="001E185E"/>
    <w:rsid w:val="001E1971"/>
    <w:rsid w:val="001E1E06"/>
    <w:rsid w:val="001E20C4"/>
    <w:rsid w:val="001E2195"/>
    <w:rsid w:val="001E243C"/>
    <w:rsid w:val="001E2855"/>
    <w:rsid w:val="001E29BC"/>
    <w:rsid w:val="001E2ED0"/>
    <w:rsid w:val="001E3083"/>
    <w:rsid w:val="001E335E"/>
    <w:rsid w:val="001E339E"/>
    <w:rsid w:val="001E34A1"/>
    <w:rsid w:val="001E3B26"/>
    <w:rsid w:val="001E3BD3"/>
    <w:rsid w:val="001E40C4"/>
    <w:rsid w:val="001E4193"/>
    <w:rsid w:val="001E4368"/>
    <w:rsid w:val="001E43B3"/>
    <w:rsid w:val="001E496C"/>
    <w:rsid w:val="001E4EA9"/>
    <w:rsid w:val="001E4EF0"/>
    <w:rsid w:val="001E4F17"/>
    <w:rsid w:val="001E4F6D"/>
    <w:rsid w:val="001E5688"/>
    <w:rsid w:val="001E56CE"/>
    <w:rsid w:val="001E5784"/>
    <w:rsid w:val="001E592E"/>
    <w:rsid w:val="001E5C25"/>
    <w:rsid w:val="001E5E3A"/>
    <w:rsid w:val="001E5ECF"/>
    <w:rsid w:val="001E602B"/>
    <w:rsid w:val="001E6267"/>
    <w:rsid w:val="001E6391"/>
    <w:rsid w:val="001E64ED"/>
    <w:rsid w:val="001E6568"/>
    <w:rsid w:val="001E66D8"/>
    <w:rsid w:val="001E6C63"/>
    <w:rsid w:val="001E6CFF"/>
    <w:rsid w:val="001E6EDF"/>
    <w:rsid w:val="001E7086"/>
    <w:rsid w:val="001E70B9"/>
    <w:rsid w:val="001E739A"/>
    <w:rsid w:val="001E7A46"/>
    <w:rsid w:val="001E7CE1"/>
    <w:rsid w:val="001E7D21"/>
    <w:rsid w:val="001E7D67"/>
    <w:rsid w:val="001E7E36"/>
    <w:rsid w:val="001E7FEF"/>
    <w:rsid w:val="001F02B4"/>
    <w:rsid w:val="001F0428"/>
    <w:rsid w:val="001F0859"/>
    <w:rsid w:val="001F0AE6"/>
    <w:rsid w:val="001F0B75"/>
    <w:rsid w:val="001F0D86"/>
    <w:rsid w:val="001F0E88"/>
    <w:rsid w:val="001F0EF9"/>
    <w:rsid w:val="001F1013"/>
    <w:rsid w:val="001F1482"/>
    <w:rsid w:val="001F15E6"/>
    <w:rsid w:val="001F178F"/>
    <w:rsid w:val="001F19F5"/>
    <w:rsid w:val="001F1B27"/>
    <w:rsid w:val="001F2344"/>
    <w:rsid w:val="001F2541"/>
    <w:rsid w:val="001F25F9"/>
    <w:rsid w:val="001F2847"/>
    <w:rsid w:val="001F2C7E"/>
    <w:rsid w:val="001F2DFF"/>
    <w:rsid w:val="001F3054"/>
    <w:rsid w:val="001F3107"/>
    <w:rsid w:val="001F317D"/>
    <w:rsid w:val="001F31B2"/>
    <w:rsid w:val="001F3651"/>
    <w:rsid w:val="001F3765"/>
    <w:rsid w:val="001F3A77"/>
    <w:rsid w:val="001F3ACD"/>
    <w:rsid w:val="001F3AD4"/>
    <w:rsid w:val="001F3B84"/>
    <w:rsid w:val="001F3D6E"/>
    <w:rsid w:val="001F41E4"/>
    <w:rsid w:val="001F42EA"/>
    <w:rsid w:val="001F4325"/>
    <w:rsid w:val="001F43A6"/>
    <w:rsid w:val="001F44A0"/>
    <w:rsid w:val="001F457D"/>
    <w:rsid w:val="001F45D2"/>
    <w:rsid w:val="001F4826"/>
    <w:rsid w:val="001F496E"/>
    <w:rsid w:val="001F49F9"/>
    <w:rsid w:val="001F4D39"/>
    <w:rsid w:val="001F4DEC"/>
    <w:rsid w:val="001F4F02"/>
    <w:rsid w:val="001F5112"/>
    <w:rsid w:val="001F535E"/>
    <w:rsid w:val="001F54C0"/>
    <w:rsid w:val="001F554C"/>
    <w:rsid w:val="001F568D"/>
    <w:rsid w:val="001F585D"/>
    <w:rsid w:val="001F59FB"/>
    <w:rsid w:val="001F5A36"/>
    <w:rsid w:val="001F5A59"/>
    <w:rsid w:val="001F6269"/>
    <w:rsid w:val="001F62A5"/>
    <w:rsid w:val="001F6384"/>
    <w:rsid w:val="001F6745"/>
    <w:rsid w:val="001F696C"/>
    <w:rsid w:val="001F6A74"/>
    <w:rsid w:val="001F6C6E"/>
    <w:rsid w:val="001F6E61"/>
    <w:rsid w:val="001F6E94"/>
    <w:rsid w:val="001F6F26"/>
    <w:rsid w:val="001F708C"/>
    <w:rsid w:val="001F72CC"/>
    <w:rsid w:val="001F744A"/>
    <w:rsid w:val="001F7C87"/>
    <w:rsid w:val="001F7DA5"/>
    <w:rsid w:val="001F7F3B"/>
    <w:rsid w:val="00200412"/>
    <w:rsid w:val="0020043F"/>
    <w:rsid w:val="0020044D"/>
    <w:rsid w:val="00200480"/>
    <w:rsid w:val="002004F1"/>
    <w:rsid w:val="0020050F"/>
    <w:rsid w:val="002009BD"/>
    <w:rsid w:val="00200AAD"/>
    <w:rsid w:val="00200BB2"/>
    <w:rsid w:val="00200C74"/>
    <w:rsid w:val="00200DBD"/>
    <w:rsid w:val="00200EC3"/>
    <w:rsid w:val="00201006"/>
    <w:rsid w:val="00201402"/>
    <w:rsid w:val="0020190C"/>
    <w:rsid w:val="00201924"/>
    <w:rsid w:val="00201984"/>
    <w:rsid w:val="00201B1A"/>
    <w:rsid w:val="00201BBA"/>
    <w:rsid w:val="00201E49"/>
    <w:rsid w:val="00202100"/>
    <w:rsid w:val="002021A5"/>
    <w:rsid w:val="002021B3"/>
    <w:rsid w:val="0020224B"/>
    <w:rsid w:val="0020235C"/>
    <w:rsid w:val="002023EF"/>
    <w:rsid w:val="00202575"/>
    <w:rsid w:val="002026D2"/>
    <w:rsid w:val="00202883"/>
    <w:rsid w:val="002029DB"/>
    <w:rsid w:val="00202CC7"/>
    <w:rsid w:val="00202DCD"/>
    <w:rsid w:val="00202EB8"/>
    <w:rsid w:val="00202F26"/>
    <w:rsid w:val="002030AD"/>
    <w:rsid w:val="00203240"/>
    <w:rsid w:val="002033A8"/>
    <w:rsid w:val="0020354D"/>
    <w:rsid w:val="00203AEA"/>
    <w:rsid w:val="00203BA9"/>
    <w:rsid w:val="00203BD3"/>
    <w:rsid w:val="00203F09"/>
    <w:rsid w:val="0020413A"/>
    <w:rsid w:val="002042D0"/>
    <w:rsid w:val="002046DA"/>
    <w:rsid w:val="002046ED"/>
    <w:rsid w:val="002048F8"/>
    <w:rsid w:val="00204A51"/>
    <w:rsid w:val="00204B87"/>
    <w:rsid w:val="00204BCC"/>
    <w:rsid w:val="00204D21"/>
    <w:rsid w:val="00204EDF"/>
    <w:rsid w:val="0020501D"/>
    <w:rsid w:val="002053CB"/>
    <w:rsid w:val="002054A2"/>
    <w:rsid w:val="00205885"/>
    <w:rsid w:val="002059FC"/>
    <w:rsid w:val="00205DE8"/>
    <w:rsid w:val="002061B7"/>
    <w:rsid w:val="0020634D"/>
    <w:rsid w:val="002064BA"/>
    <w:rsid w:val="00206712"/>
    <w:rsid w:val="00206847"/>
    <w:rsid w:val="002068A7"/>
    <w:rsid w:val="00206AC9"/>
    <w:rsid w:val="00206EE8"/>
    <w:rsid w:val="00206F67"/>
    <w:rsid w:val="00207124"/>
    <w:rsid w:val="00207209"/>
    <w:rsid w:val="0020731E"/>
    <w:rsid w:val="00207336"/>
    <w:rsid w:val="002077E9"/>
    <w:rsid w:val="0020796E"/>
    <w:rsid w:val="00207A20"/>
    <w:rsid w:val="00207B11"/>
    <w:rsid w:val="00207C29"/>
    <w:rsid w:val="00207CDC"/>
    <w:rsid w:val="00207E0C"/>
    <w:rsid w:val="0021010D"/>
    <w:rsid w:val="00210151"/>
    <w:rsid w:val="00210880"/>
    <w:rsid w:val="002109AA"/>
    <w:rsid w:val="00210A7F"/>
    <w:rsid w:val="00210B0F"/>
    <w:rsid w:val="00210B5E"/>
    <w:rsid w:val="00210BAA"/>
    <w:rsid w:val="00210E15"/>
    <w:rsid w:val="00211064"/>
    <w:rsid w:val="002110CD"/>
    <w:rsid w:val="002110E8"/>
    <w:rsid w:val="00211225"/>
    <w:rsid w:val="002114DC"/>
    <w:rsid w:val="0021170E"/>
    <w:rsid w:val="002117D0"/>
    <w:rsid w:val="00211A27"/>
    <w:rsid w:val="00211A38"/>
    <w:rsid w:val="00211A6F"/>
    <w:rsid w:val="00211D2D"/>
    <w:rsid w:val="00212236"/>
    <w:rsid w:val="002123C8"/>
    <w:rsid w:val="002123D6"/>
    <w:rsid w:val="002124F7"/>
    <w:rsid w:val="002127F7"/>
    <w:rsid w:val="00212909"/>
    <w:rsid w:val="00212BA0"/>
    <w:rsid w:val="00212C08"/>
    <w:rsid w:val="00212D06"/>
    <w:rsid w:val="00212D38"/>
    <w:rsid w:val="0021322A"/>
    <w:rsid w:val="0021325F"/>
    <w:rsid w:val="00213303"/>
    <w:rsid w:val="00213623"/>
    <w:rsid w:val="002136F2"/>
    <w:rsid w:val="00213AD1"/>
    <w:rsid w:val="00213CEB"/>
    <w:rsid w:val="00213ED7"/>
    <w:rsid w:val="00214087"/>
    <w:rsid w:val="002140AE"/>
    <w:rsid w:val="002143FE"/>
    <w:rsid w:val="002144EA"/>
    <w:rsid w:val="002147D3"/>
    <w:rsid w:val="002147EF"/>
    <w:rsid w:val="002149D3"/>
    <w:rsid w:val="00214A7E"/>
    <w:rsid w:val="00214AB7"/>
    <w:rsid w:val="00214AF2"/>
    <w:rsid w:val="00214B10"/>
    <w:rsid w:val="00214B91"/>
    <w:rsid w:val="00215167"/>
    <w:rsid w:val="002152F5"/>
    <w:rsid w:val="00215477"/>
    <w:rsid w:val="002154E5"/>
    <w:rsid w:val="0021579D"/>
    <w:rsid w:val="00215B9A"/>
    <w:rsid w:val="00215C1B"/>
    <w:rsid w:val="00215E0E"/>
    <w:rsid w:val="00215F4E"/>
    <w:rsid w:val="0021669C"/>
    <w:rsid w:val="00216726"/>
    <w:rsid w:val="00216893"/>
    <w:rsid w:val="00216A2D"/>
    <w:rsid w:val="00216AE1"/>
    <w:rsid w:val="00216BF2"/>
    <w:rsid w:val="00216DF1"/>
    <w:rsid w:val="00217585"/>
    <w:rsid w:val="00217A02"/>
    <w:rsid w:val="00217B8F"/>
    <w:rsid w:val="00217D54"/>
    <w:rsid w:val="0022006A"/>
    <w:rsid w:val="0022023E"/>
    <w:rsid w:val="00220372"/>
    <w:rsid w:val="0022047E"/>
    <w:rsid w:val="002207BB"/>
    <w:rsid w:val="00220815"/>
    <w:rsid w:val="00220891"/>
    <w:rsid w:val="0022092E"/>
    <w:rsid w:val="00220CA0"/>
    <w:rsid w:val="00220DDC"/>
    <w:rsid w:val="00220EAF"/>
    <w:rsid w:val="00221029"/>
    <w:rsid w:val="00221065"/>
    <w:rsid w:val="0022107B"/>
    <w:rsid w:val="002212B5"/>
    <w:rsid w:val="002214F1"/>
    <w:rsid w:val="002214F8"/>
    <w:rsid w:val="00221580"/>
    <w:rsid w:val="0022164E"/>
    <w:rsid w:val="002216A0"/>
    <w:rsid w:val="002219EE"/>
    <w:rsid w:val="00221B03"/>
    <w:rsid w:val="00221EC0"/>
    <w:rsid w:val="00221F26"/>
    <w:rsid w:val="002221D6"/>
    <w:rsid w:val="00222315"/>
    <w:rsid w:val="00222599"/>
    <w:rsid w:val="002226ED"/>
    <w:rsid w:val="002228B1"/>
    <w:rsid w:val="00222E88"/>
    <w:rsid w:val="00222EB7"/>
    <w:rsid w:val="0022303E"/>
    <w:rsid w:val="0022374C"/>
    <w:rsid w:val="00223A87"/>
    <w:rsid w:val="00224019"/>
    <w:rsid w:val="002241A4"/>
    <w:rsid w:val="002242A7"/>
    <w:rsid w:val="002242F0"/>
    <w:rsid w:val="002242FE"/>
    <w:rsid w:val="0022433B"/>
    <w:rsid w:val="002243EA"/>
    <w:rsid w:val="002244E0"/>
    <w:rsid w:val="0022465F"/>
    <w:rsid w:val="002246DD"/>
    <w:rsid w:val="0022483D"/>
    <w:rsid w:val="00224C14"/>
    <w:rsid w:val="00224C16"/>
    <w:rsid w:val="00224CCC"/>
    <w:rsid w:val="00224E26"/>
    <w:rsid w:val="00224F5D"/>
    <w:rsid w:val="0022516C"/>
    <w:rsid w:val="002252D4"/>
    <w:rsid w:val="0022578C"/>
    <w:rsid w:val="00225AC1"/>
    <w:rsid w:val="00225ADD"/>
    <w:rsid w:val="00225B95"/>
    <w:rsid w:val="00225E46"/>
    <w:rsid w:val="002260AE"/>
    <w:rsid w:val="002261D8"/>
    <w:rsid w:val="00226381"/>
    <w:rsid w:val="00226540"/>
    <w:rsid w:val="0022656A"/>
    <w:rsid w:val="002266AE"/>
    <w:rsid w:val="00226ADD"/>
    <w:rsid w:val="00226FF3"/>
    <w:rsid w:val="0022722D"/>
    <w:rsid w:val="002272A2"/>
    <w:rsid w:val="002278A3"/>
    <w:rsid w:val="00227956"/>
    <w:rsid w:val="00227AFC"/>
    <w:rsid w:val="00227BDC"/>
    <w:rsid w:val="00227C17"/>
    <w:rsid w:val="00227FDB"/>
    <w:rsid w:val="00230322"/>
    <w:rsid w:val="00230571"/>
    <w:rsid w:val="002305B3"/>
    <w:rsid w:val="00230651"/>
    <w:rsid w:val="00230658"/>
    <w:rsid w:val="002306B6"/>
    <w:rsid w:val="002308E7"/>
    <w:rsid w:val="00230A56"/>
    <w:rsid w:val="00230D21"/>
    <w:rsid w:val="00230D31"/>
    <w:rsid w:val="00230FA1"/>
    <w:rsid w:val="00231049"/>
    <w:rsid w:val="002312AB"/>
    <w:rsid w:val="002314D2"/>
    <w:rsid w:val="0023159C"/>
    <w:rsid w:val="002315F7"/>
    <w:rsid w:val="002317C9"/>
    <w:rsid w:val="00231821"/>
    <w:rsid w:val="00231905"/>
    <w:rsid w:val="00231A63"/>
    <w:rsid w:val="00231B87"/>
    <w:rsid w:val="00231BE9"/>
    <w:rsid w:val="00231C72"/>
    <w:rsid w:val="00231CA6"/>
    <w:rsid w:val="00231EC8"/>
    <w:rsid w:val="00231F10"/>
    <w:rsid w:val="0023216E"/>
    <w:rsid w:val="002323C6"/>
    <w:rsid w:val="002325CD"/>
    <w:rsid w:val="0023269D"/>
    <w:rsid w:val="002328D5"/>
    <w:rsid w:val="00232B5F"/>
    <w:rsid w:val="00232D65"/>
    <w:rsid w:val="00232F5E"/>
    <w:rsid w:val="00232FFD"/>
    <w:rsid w:val="0023305C"/>
    <w:rsid w:val="0023307A"/>
    <w:rsid w:val="00233121"/>
    <w:rsid w:val="00233127"/>
    <w:rsid w:val="0023315F"/>
    <w:rsid w:val="00233223"/>
    <w:rsid w:val="002334D2"/>
    <w:rsid w:val="002335E9"/>
    <w:rsid w:val="00233AC4"/>
    <w:rsid w:val="00233F24"/>
    <w:rsid w:val="0023401C"/>
    <w:rsid w:val="00234020"/>
    <w:rsid w:val="00234039"/>
    <w:rsid w:val="002343A4"/>
    <w:rsid w:val="002345D6"/>
    <w:rsid w:val="002349FA"/>
    <w:rsid w:val="00234A80"/>
    <w:rsid w:val="00234A81"/>
    <w:rsid w:val="00234AE2"/>
    <w:rsid w:val="00234E83"/>
    <w:rsid w:val="00235070"/>
    <w:rsid w:val="0023507B"/>
    <w:rsid w:val="00235081"/>
    <w:rsid w:val="002351E0"/>
    <w:rsid w:val="0023542A"/>
    <w:rsid w:val="00235606"/>
    <w:rsid w:val="00235624"/>
    <w:rsid w:val="0023574D"/>
    <w:rsid w:val="0023577C"/>
    <w:rsid w:val="00235932"/>
    <w:rsid w:val="00235A6E"/>
    <w:rsid w:val="00235CAD"/>
    <w:rsid w:val="00235CE2"/>
    <w:rsid w:val="00235DFC"/>
    <w:rsid w:val="00235EDB"/>
    <w:rsid w:val="002360D2"/>
    <w:rsid w:val="00236123"/>
    <w:rsid w:val="00236195"/>
    <w:rsid w:val="00236201"/>
    <w:rsid w:val="00236203"/>
    <w:rsid w:val="00236310"/>
    <w:rsid w:val="00236675"/>
    <w:rsid w:val="002367AF"/>
    <w:rsid w:val="00236CC5"/>
    <w:rsid w:val="00236CCC"/>
    <w:rsid w:val="00236E8D"/>
    <w:rsid w:val="00236F95"/>
    <w:rsid w:val="002373D6"/>
    <w:rsid w:val="002376A3"/>
    <w:rsid w:val="002377C2"/>
    <w:rsid w:val="002377F0"/>
    <w:rsid w:val="002379CF"/>
    <w:rsid w:val="002379DB"/>
    <w:rsid w:val="00237B71"/>
    <w:rsid w:val="00237F10"/>
    <w:rsid w:val="002405F5"/>
    <w:rsid w:val="002407CB"/>
    <w:rsid w:val="002407EE"/>
    <w:rsid w:val="00240BFB"/>
    <w:rsid w:val="00240CDB"/>
    <w:rsid w:val="00240FE7"/>
    <w:rsid w:val="002410E9"/>
    <w:rsid w:val="002411FD"/>
    <w:rsid w:val="00241379"/>
    <w:rsid w:val="002413CA"/>
    <w:rsid w:val="00241624"/>
    <w:rsid w:val="0024178E"/>
    <w:rsid w:val="00241881"/>
    <w:rsid w:val="00241920"/>
    <w:rsid w:val="002419CC"/>
    <w:rsid w:val="00241AF0"/>
    <w:rsid w:val="00241DDB"/>
    <w:rsid w:val="00241E21"/>
    <w:rsid w:val="00242006"/>
    <w:rsid w:val="0024222D"/>
    <w:rsid w:val="0024257A"/>
    <w:rsid w:val="0024258D"/>
    <w:rsid w:val="0024294C"/>
    <w:rsid w:val="00242C18"/>
    <w:rsid w:val="00242F6C"/>
    <w:rsid w:val="00242FDA"/>
    <w:rsid w:val="00243422"/>
    <w:rsid w:val="0024380C"/>
    <w:rsid w:val="00243BB8"/>
    <w:rsid w:val="00243CBE"/>
    <w:rsid w:val="00243D93"/>
    <w:rsid w:val="00243F2A"/>
    <w:rsid w:val="00244211"/>
    <w:rsid w:val="0024425C"/>
    <w:rsid w:val="00244367"/>
    <w:rsid w:val="00244575"/>
    <w:rsid w:val="00244873"/>
    <w:rsid w:val="0024492B"/>
    <w:rsid w:val="00244A6C"/>
    <w:rsid w:val="00244B01"/>
    <w:rsid w:val="00244F29"/>
    <w:rsid w:val="00245168"/>
    <w:rsid w:val="0024526A"/>
    <w:rsid w:val="0024540B"/>
    <w:rsid w:val="00245459"/>
    <w:rsid w:val="002457EC"/>
    <w:rsid w:val="00245B9A"/>
    <w:rsid w:val="00245C68"/>
    <w:rsid w:val="00245E9D"/>
    <w:rsid w:val="00246080"/>
    <w:rsid w:val="002461BA"/>
    <w:rsid w:val="0024628F"/>
    <w:rsid w:val="002462DD"/>
    <w:rsid w:val="002463F6"/>
    <w:rsid w:val="00246575"/>
    <w:rsid w:val="00246605"/>
    <w:rsid w:val="002468A8"/>
    <w:rsid w:val="002469F1"/>
    <w:rsid w:val="00246B07"/>
    <w:rsid w:val="00246C0D"/>
    <w:rsid w:val="00246CA9"/>
    <w:rsid w:val="00246CBB"/>
    <w:rsid w:val="00246CF6"/>
    <w:rsid w:val="002470CF"/>
    <w:rsid w:val="002472C1"/>
    <w:rsid w:val="00247417"/>
    <w:rsid w:val="002474AD"/>
    <w:rsid w:val="002474B5"/>
    <w:rsid w:val="00247674"/>
    <w:rsid w:val="002476F0"/>
    <w:rsid w:val="0024783C"/>
    <w:rsid w:val="00247906"/>
    <w:rsid w:val="00247A54"/>
    <w:rsid w:val="00247B4E"/>
    <w:rsid w:val="00247C05"/>
    <w:rsid w:val="00247EF0"/>
    <w:rsid w:val="00250071"/>
    <w:rsid w:val="00250077"/>
    <w:rsid w:val="002500B6"/>
    <w:rsid w:val="0025025A"/>
    <w:rsid w:val="0025035C"/>
    <w:rsid w:val="002504F3"/>
    <w:rsid w:val="00250562"/>
    <w:rsid w:val="0025060B"/>
    <w:rsid w:val="002506D1"/>
    <w:rsid w:val="0025095B"/>
    <w:rsid w:val="00250CEA"/>
    <w:rsid w:val="00250E59"/>
    <w:rsid w:val="00250F4E"/>
    <w:rsid w:val="00250F75"/>
    <w:rsid w:val="00250FF8"/>
    <w:rsid w:val="00250FFE"/>
    <w:rsid w:val="0025106F"/>
    <w:rsid w:val="00251174"/>
    <w:rsid w:val="002515CC"/>
    <w:rsid w:val="002515E5"/>
    <w:rsid w:val="002516A8"/>
    <w:rsid w:val="00251946"/>
    <w:rsid w:val="00251A7D"/>
    <w:rsid w:val="00251BF2"/>
    <w:rsid w:val="00251C1D"/>
    <w:rsid w:val="00251D59"/>
    <w:rsid w:val="00251E7E"/>
    <w:rsid w:val="0025209D"/>
    <w:rsid w:val="002520B2"/>
    <w:rsid w:val="002521D1"/>
    <w:rsid w:val="00252309"/>
    <w:rsid w:val="00252A08"/>
    <w:rsid w:val="00252AC9"/>
    <w:rsid w:val="00252CE3"/>
    <w:rsid w:val="00252DA0"/>
    <w:rsid w:val="00252F4D"/>
    <w:rsid w:val="00252FC4"/>
    <w:rsid w:val="00253030"/>
    <w:rsid w:val="002531F4"/>
    <w:rsid w:val="00253266"/>
    <w:rsid w:val="00253561"/>
    <w:rsid w:val="00254037"/>
    <w:rsid w:val="002540B9"/>
    <w:rsid w:val="002541D0"/>
    <w:rsid w:val="002541E0"/>
    <w:rsid w:val="002543D8"/>
    <w:rsid w:val="0025483F"/>
    <w:rsid w:val="0025498A"/>
    <w:rsid w:val="002549F0"/>
    <w:rsid w:val="00254BCA"/>
    <w:rsid w:val="00254C9F"/>
    <w:rsid w:val="00254D3E"/>
    <w:rsid w:val="00254E7D"/>
    <w:rsid w:val="00254F33"/>
    <w:rsid w:val="00255142"/>
    <w:rsid w:val="002551C7"/>
    <w:rsid w:val="00255527"/>
    <w:rsid w:val="00255624"/>
    <w:rsid w:val="00255A6A"/>
    <w:rsid w:val="00255CB7"/>
    <w:rsid w:val="00255EA7"/>
    <w:rsid w:val="00255ED0"/>
    <w:rsid w:val="00256385"/>
    <w:rsid w:val="00256458"/>
    <w:rsid w:val="0025652F"/>
    <w:rsid w:val="002566D2"/>
    <w:rsid w:val="00256889"/>
    <w:rsid w:val="0025691A"/>
    <w:rsid w:val="00256CE6"/>
    <w:rsid w:val="00256D19"/>
    <w:rsid w:val="002570DA"/>
    <w:rsid w:val="0025715E"/>
    <w:rsid w:val="00257533"/>
    <w:rsid w:val="002576D2"/>
    <w:rsid w:val="00257A05"/>
    <w:rsid w:val="00257AB3"/>
    <w:rsid w:val="00257B1A"/>
    <w:rsid w:val="00257B36"/>
    <w:rsid w:val="00257C3B"/>
    <w:rsid w:val="00257CDF"/>
    <w:rsid w:val="00257DAE"/>
    <w:rsid w:val="00257DFA"/>
    <w:rsid w:val="00257E43"/>
    <w:rsid w:val="00257E68"/>
    <w:rsid w:val="00260165"/>
    <w:rsid w:val="002601DC"/>
    <w:rsid w:val="002602FE"/>
    <w:rsid w:val="0026032E"/>
    <w:rsid w:val="002604A5"/>
    <w:rsid w:val="002604B8"/>
    <w:rsid w:val="002604E5"/>
    <w:rsid w:val="00260710"/>
    <w:rsid w:val="00260969"/>
    <w:rsid w:val="002609C2"/>
    <w:rsid w:val="00260D66"/>
    <w:rsid w:val="00260D7E"/>
    <w:rsid w:val="00260E83"/>
    <w:rsid w:val="0026115B"/>
    <w:rsid w:val="00261829"/>
    <w:rsid w:val="0026190D"/>
    <w:rsid w:val="0026199D"/>
    <w:rsid w:val="00261A49"/>
    <w:rsid w:val="00261AB2"/>
    <w:rsid w:val="00261B96"/>
    <w:rsid w:val="00261C75"/>
    <w:rsid w:val="00261D60"/>
    <w:rsid w:val="00261DF3"/>
    <w:rsid w:val="0026210E"/>
    <w:rsid w:val="0026219F"/>
    <w:rsid w:val="002625EC"/>
    <w:rsid w:val="00262709"/>
    <w:rsid w:val="002628D0"/>
    <w:rsid w:val="00262EBD"/>
    <w:rsid w:val="002631EE"/>
    <w:rsid w:val="00263258"/>
    <w:rsid w:val="002635E1"/>
    <w:rsid w:val="0026389D"/>
    <w:rsid w:val="00263A38"/>
    <w:rsid w:val="00263B6C"/>
    <w:rsid w:val="00263CC2"/>
    <w:rsid w:val="00263E67"/>
    <w:rsid w:val="00263E86"/>
    <w:rsid w:val="00264062"/>
    <w:rsid w:val="002646AE"/>
    <w:rsid w:val="00264859"/>
    <w:rsid w:val="00264A0F"/>
    <w:rsid w:val="00265234"/>
    <w:rsid w:val="00265240"/>
    <w:rsid w:val="0026540A"/>
    <w:rsid w:val="0026577A"/>
    <w:rsid w:val="002657AF"/>
    <w:rsid w:val="002657EA"/>
    <w:rsid w:val="0026592D"/>
    <w:rsid w:val="00265958"/>
    <w:rsid w:val="00265A77"/>
    <w:rsid w:val="00265EF0"/>
    <w:rsid w:val="00266380"/>
    <w:rsid w:val="002663BF"/>
    <w:rsid w:val="002663E3"/>
    <w:rsid w:val="0026656A"/>
    <w:rsid w:val="002665A3"/>
    <w:rsid w:val="00266759"/>
    <w:rsid w:val="00266B54"/>
    <w:rsid w:val="00266C56"/>
    <w:rsid w:val="00266CF4"/>
    <w:rsid w:val="00266DA6"/>
    <w:rsid w:val="00266E1C"/>
    <w:rsid w:val="00266E70"/>
    <w:rsid w:val="00267185"/>
    <w:rsid w:val="0026740D"/>
    <w:rsid w:val="0026758F"/>
    <w:rsid w:val="00267655"/>
    <w:rsid w:val="002676EC"/>
    <w:rsid w:val="002677C1"/>
    <w:rsid w:val="00267874"/>
    <w:rsid w:val="00267AF0"/>
    <w:rsid w:val="00267BCF"/>
    <w:rsid w:val="00267EE0"/>
    <w:rsid w:val="00267EFD"/>
    <w:rsid w:val="00267F34"/>
    <w:rsid w:val="002701B6"/>
    <w:rsid w:val="00270327"/>
    <w:rsid w:val="002703EA"/>
    <w:rsid w:val="002705C7"/>
    <w:rsid w:val="0027069B"/>
    <w:rsid w:val="00270766"/>
    <w:rsid w:val="002707FB"/>
    <w:rsid w:val="002709BC"/>
    <w:rsid w:val="00270A0C"/>
    <w:rsid w:val="00270A89"/>
    <w:rsid w:val="00270B24"/>
    <w:rsid w:val="00270E00"/>
    <w:rsid w:val="00270E41"/>
    <w:rsid w:val="00270F5E"/>
    <w:rsid w:val="00270F60"/>
    <w:rsid w:val="00270F7E"/>
    <w:rsid w:val="00270FA3"/>
    <w:rsid w:val="00271200"/>
    <w:rsid w:val="002712CC"/>
    <w:rsid w:val="002714A1"/>
    <w:rsid w:val="0027168E"/>
    <w:rsid w:val="00271B60"/>
    <w:rsid w:val="002720BE"/>
    <w:rsid w:val="00272745"/>
    <w:rsid w:val="00272939"/>
    <w:rsid w:val="00273306"/>
    <w:rsid w:val="002738F6"/>
    <w:rsid w:val="0027394D"/>
    <w:rsid w:val="00273BDE"/>
    <w:rsid w:val="00273E17"/>
    <w:rsid w:val="00273EB0"/>
    <w:rsid w:val="00273EE7"/>
    <w:rsid w:val="002740FA"/>
    <w:rsid w:val="002742C0"/>
    <w:rsid w:val="00274358"/>
    <w:rsid w:val="002744BB"/>
    <w:rsid w:val="00274528"/>
    <w:rsid w:val="00274CC4"/>
    <w:rsid w:val="00274CED"/>
    <w:rsid w:val="00274E18"/>
    <w:rsid w:val="00274EBE"/>
    <w:rsid w:val="0027502B"/>
    <w:rsid w:val="00275260"/>
    <w:rsid w:val="00275315"/>
    <w:rsid w:val="0027569E"/>
    <w:rsid w:val="00275869"/>
    <w:rsid w:val="0027590B"/>
    <w:rsid w:val="00275935"/>
    <w:rsid w:val="00275A08"/>
    <w:rsid w:val="00275B1F"/>
    <w:rsid w:val="00275BAF"/>
    <w:rsid w:val="00275C31"/>
    <w:rsid w:val="00275D22"/>
    <w:rsid w:val="00275DC7"/>
    <w:rsid w:val="00275E0C"/>
    <w:rsid w:val="002762AF"/>
    <w:rsid w:val="002765F0"/>
    <w:rsid w:val="00276840"/>
    <w:rsid w:val="00276880"/>
    <w:rsid w:val="00276921"/>
    <w:rsid w:val="00276973"/>
    <w:rsid w:val="00276A62"/>
    <w:rsid w:val="00276BAE"/>
    <w:rsid w:val="00276EE5"/>
    <w:rsid w:val="00276EF8"/>
    <w:rsid w:val="00277203"/>
    <w:rsid w:val="00277235"/>
    <w:rsid w:val="002772A9"/>
    <w:rsid w:val="002772AF"/>
    <w:rsid w:val="002774C6"/>
    <w:rsid w:val="002777EB"/>
    <w:rsid w:val="0027780A"/>
    <w:rsid w:val="00277912"/>
    <w:rsid w:val="002779E5"/>
    <w:rsid w:val="00277CD6"/>
    <w:rsid w:val="00277D0C"/>
    <w:rsid w:val="00277F9A"/>
    <w:rsid w:val="00280185"/>
    <w:rsid w:val="002802A4"/>
    <w:rsid w:val="002802E5"/>
    <w:rsid w:val="00280342"/>
    <w:rsid w:val="00280507"/>
    <w:rsid w:val="00280591"/>
    <w:rsid w:val="002808CB"/>
    <w:rsid w:val="002808DC"/>
    <w:rsid w:val="00280971"/>
    <w:rsid w:val="00280C1F"/>
    <w:rsid w:val="00280CF1"/>
    <w:rsid w:val="00280D78"/>
    <w:rsid w:val="00280E7C"/>
    <w:rsid w:val="00281069"/>
    <w:rsid w:val="00281147"/>
    <w:rsid w:val="002811B3"/>
    <w:rsid w:val="00281263"/>
    <w:rsid w:val="00281311"/>
    <w:rsid w:val="00281360"/>
    <w:rsid w:val="002813F8"/>
    <w:rsid w:val="00281548"/>
    <w:rsid w:val="00281691"/>
    <w:rsid w:val="002816DE"/>
    <w:rsid w:val="002817C9"/>
    <w:rsid w:val="00281BB9"/>
    <w:rsid w:val="00281C36"/>
    <w:rsid w:val="00281CAF"/>
    <w:rsid w:val="00281E19"/>
    <w:rsid w:val="0028205E"/>
    <w:rsid w:val="002821B1"/>
    <w:rsid w:val="00282267"/>
    <w:rsid w:val="0028229D"/>
    <w:rsid w:val="00282355"/>
    <w:rsid w:val="00282978"/>
    <w:rsid w:val="00282C03"/>
    <w:rsid w:val="0028329B"/>
    <w:rsid w:val="00283359"/>
    <w:rsid w:val="0028348D"/>
    <w:rsid w:val="002837C3"/>
    <w:rsid w:val="00283950"/>
    <w:rsid w:val="00283B1A"/>
    <w:rsid w:val="00283DE8"/>
    <w:rsid w:val="00284177"/>
    <w:rsid w:val="002842D0"/>
    <w:rsid w:val="00284AFC"/>
    <w:rsid w:val="00284BE3"/>
    <w:rsid w:val="00284FCD"/>
    <w:rsid w:val="002850F4"/>
    <w:rsid w:val="00285116"/>
    <w:rsid w:val="002854A4"/>
    <w:rsid w:val="0028570B"/>
    <w:rsid w:val="00285892"/>
    <w:rsid w:val="002858C6"/>
    <w:rsid w:val="00285969"/>
    <w:rsid w:val="0028596D"/>
    <w:rsid w:val="00285AC4"/>
    <w:rsid w:val="00285CE0"/>
    <w:rsid w:val="00285F68"/>
    <w:rsid w:val="00285FD3"/>
    <w:rsid w:val="0028632B"/>
    <w:rsid w:val="002866A9"/>
    <w:rsid w:val="002867FF"/>
    <w:rsid w:val="00286A00"/>
    <w:rsid w:val="002876AC"/>
    <w:rsid w:val="002876E5"/>
    <w:rsid w:val="002877CE"/>
    <w:rsid w:val="0028788B"/>
    <w:rsid w:val="002878B7"/>
    <w:rsid w:val="002879CA"/>
    <w:rsid w:val="00287A31"/>
    <w:rsid w:val="002900F3"/>
    <w:rsid w:val="002901D3"/>
    <w:rsid w:val="002907A1"/>
    <w:rsid w:val="0029088C"/>
    <w:rsid w:val="002908AD"/>
    <w:rsid w:val="00290C2E"/>
    <w:rsid w:val="00290CC1"/>
    <w:rsid w:val="00290D96"/>
    <w:rsid w:val="00290ED1"/>
    <w:rsid w:val="00290F24"/>
    <w:rsid w:val="00291358"/>
    <w:rsid w:val="0029168F"/>
    <w:rsid w:val="00291816"/>
    <w:rsid w:val="002919DF"/>
    <w:rsid w:val="00291A27"/>
    <w:rsid w:val="00291ABD"/>
    <w:rsid w:val="00291CBA"/>
    <w:rsid w:val="00291F0B"/>
    <w:rsid w:val="00291F75"/>
    <w:rsid w:val="00292008"/>
    <w:rsid w:val="0029203A"/>
    <w:rsid w:val="002920BC"/>
    <w:rsid w:val="00292180"/>
    <w:rsid w:val="002921F5"/>
    <w:rsid w:val="002922B5"/>
    <w:rsid w:val="00292351"/>
    <w:rsid w:val="002923A7"/>
    <w:rsid w:val="00292437"/>
    <w:rsid w:val="00292605"/>
    <w:rsid w:val="002926DC"/>
    <w:rsid w:val="00292744"/>
    <w:rsid w:val="0029288E"/>
    <w:rsid w:val="00292C58"/>
    <w:rsid w:val="00292F4A"/>
    <w:rsid w:val="00293159"/>
    <w:rsid w:val="0029330C"/>
    <w:rsid w:val="00293C4B"/>
    <w:rsid w:val="00293E4E"/>
    <w:rsid w:val="00294162"/>
    <w:rsid w:val="00294285"/>
    <w:rsid w:val="00294355"/>
    <w:rsid w:val="002946D7"/>
    <w:rsid w:val="002948D9"/>
    <w:rsid w:val="00294A5C"/>
    <w:rsid w:val="00294AFC"/>
    <w:rsid w:val="00294C09"/>
    <w:rsid w:val="00294CD6"/>
    <w:rsid w:val="00295000"/>
    <w:rsid w:val="0029509C"/>
    <w:rsid w:val="00295610"/>
    <w:rsid w:val="002956F6"/>
    <w:rsid w:val="0029572F"/>
    <w:rsid w:val="00295736"/>
    <w:rsid w:val="00295756"/>
    <w:rsid w:val="002958DD"/>
    <w:rsid w:val="00295952"/>
    <w:rsid w:val="00295A88"/>
    <w:rsid w:val="00295B30"/>
    <w:rsid w:val="00295D78"/>
    <w:rsid w:val="00295FD6"/>
    <w:rsid w:val="0029605A"/>
    <w:rsid w:val="002960D9"/>
    <w:rsid w:val="00296145"/>
    <w:rsid w:val="00296168"/>
    <w:rsid w:val="0029629B"/>
    <w:rsid w:val="002962DB"/>
    <w:rsid w:val="002964EF"/>
    <w:rsid w:val="0029657F"/>
    <w:rsid w:val="00296586"/>
    <w:rsid w:val="00296698"/>
    <w:rsid w:val="002966D7"/>
    <w:rsid w:val="00296757"/>
    <w:rsid w:val="00296BE5"/>
    <w:rsid w:val="00296C77"/>
    <w:rsid w:val="00296F05"/>
    <w:rsid w:val="00297046"/>
    <w:rsid w:val="0029724F"/>
    <w:rsid w:val="002976B9"/>
    <w:rsid w:val="0029778B"/>
    <w:rsid w:val="002977AD"/>
    <w:rsid w:val="002978D5"/>
    <w:rsid w:val="00297951"/>
    <w:rsid w:val="0029797E"/>
    <w:rsid w:val="00297AC4"/>
    <w:rsid w:val="002A00F3"/>
    <w:rsid w:val="002A02B9"/>
    <w:rsid w:val="002A0373"/>
    <w:rsid w:val="002A04C1"/>
    <w:rsid w:val="002A05C2"/>
    <w:rsid w:val="002A0612"/>
    <w:rsid w:val="002A0715"/>
    <w:rsid w:val="002A0844"/>
    <w:rsid w:val="002A0A89"/>
    <w:rsid w:val="002A0BEC"/>
    <w:rsid w:val="002A0F34"/>
    <w:rsid w:val="002A0F99"/>
    <w:rsid w:val="002A167F"/>
    <w:rsid w:val="002A1BB2"/>
    <w:rsid w:val="002A1EA5"/>
    <w:rsid w:val="002A1EAA"/>
    <w:rsid w:val="002A1EBF"/>
    <w:rsid w:val="002A1FC9"/>
    <w:rsid w:val="002A2277"/>
    <w:rsid w:val="002A2338"/>
    <w:rsid w:val="002A24F9"/>
    <w:rsid w:val="002A250E"/>
    <w:rsid w:val="002A25F5"/>
    <w:rsid w:val="002A26E2"/>
    <w:rsid w:val="002A2AEF"/>
    <w:rsid w:val="002A2D69"/>
    <w:rsid w:val="002A3212"/>
    <w:rsid w:val="002A3362"/>
    <w:rsid w:val="002A34A6"/>
    <w:rsid w:val="002A34BB"/>
    <w:rsid w:val="002A3EF8"/>
    <w:rsid w:val="002A3F64"/>
    <w:rsid w:val="002A4036"/>
    <w:rsid w:val="002A46A3"/>
    <w:rsid w:val="002A472B"/>
    <w:rsid w:val="002A479C"/>
    <w:rsid w:val="002A49F4"/>
    <w:rsid w:val="002A4A8B"/>
    <w:rsid w:val="002A4A97"/>
    <w:rsid w:val="002A4CB3"/>
    <w:rsid w:val="002A5143"/>
    <w:rsid w:val="002A557D"/>
    <w:rsid w:val="002A55A5"/>
    <w:rsid w:val="002A5801"/>
    <w:rsid w:val="002A59F6"/>
    <w:rsid w:val="002A5B14"/>
    <w:rsid w:val="002A633A"/>
    <w:rsid w:val="002A636E"/>
    <w:rsid w:val="002A642A"/>
    <w:rsid w:val="002A6598"/>
    <w:rsid w:val="002A6942"/>
    <w:rsid w:val="002A69D1"/>
    <w:rsid w:val="002A69F6"/>
    <w:rsid w:val="002A6A13"/>
    <w:rsid w:val="002A6A8A"/>
    <w:rsid w:val="002A6BAC"/>
    <w:rsid w:val="002A6D82"/>
    <w:rsid w:val="002A6E29"/>
    <w:rsid w:val="002A71EC"/>
    <w:rsid w:val="002A74EF"/>
    <w:rsid w:val="002A75BC"/>
    <w:rsid w:val="002A75D3"/>
    <w:rsid w:val="002A76A0"/>
    <w:rsid w:val="002A774A"/>
    <w:rsid w:val="002A78B9"/>
    <w:rsid w:val="002A7A31"/>
    <w:rsid w:val="002A7A66"/>
    <w:rsid w:val="002A7D06"/>
    <w:rsid w:val="002A7E7A"/>
    <w:rsid w:val="002A7E8F"/>
    <w:rsid w:val="002A7E9E"/>
    <w:rsid w:val="002A7EEA"/>
    <w:rsid w:val="002B0235"/>
    <w:rsid w:val="002B0536"/>
    <w:rsid w:val="002B0695"/>
    <w:rsid w:val="002B07D9"/>
    <w:rsid w:val="002B0D48"/>
    <w:rsid w:val="002B0F23"/>
    <w:rsid w:val="002B1749"/>
    <w:rsid w:val="002B17AF"/>
    <w:rsid w:val="002B1809"/>
    <w:rsid w:val="002B1C41"/>
    <w:rsid w:val="002B1C67"/>
    <w:rsid w:val="002B23C8"/>
    <w:rsid w:val="002B24C2"/>
    <w:rsid w:val="002B264D"/>
    <w:rsid w:val="002B2658"/>
    <w:rsid w:val="002B2670"/>
    <w:rsid w:val="002B28BF"/>
    <w:rsid w:val="002B2929"/>
    <w:rsid w:val="002B298C"/>
    <w:rsid w:val="002B2991"/>
    <w:rsid w:val="002B2B4B"/>
    <w:rsid w:val="002B2E4D"/>
    <w:rsid w:val="002B2EED"/>
    <w:rsid w:val="002B2F04"/>
    <w:rsid w:val="002B2FB7"/>
    <w:rsid w:val="002B348C"/>
    <w:rsid w:val="002B3509"/>
    <w:rsid w:val="002B3829"/>
    <w:rsid w:val="002B38F9"/>
    <w:rsid w:val="002B39D4"/>
    <w:rsid w:val="002B3D70"/>
    <w:rsid w:val="002B437B"/>
    <w:rsid w:val="002B4487"/>
    <w:rsid w:val="002B451C"/>
    <w:rsid w:val="002B467F"/>
    <w:rsid w:val="002B4756"/>
    <w:rsid w:val="002B48CA"/>
    <w:rsid w:val="002B49AC"/>
    <w:rsid w:val="002B4A70"/>
    <w:rsid w:val="002B4A96"/>
    <w:rsid w:val="002B4AB8"/>
    <w:rsid w:val="002B4D7D"/>
    <w:rsid w:val="002B4D7E"/>
    <w:rsid w:val="002B5225"/>
    <w:rsid w:val="002B52B1"/>
    <w:rsid w:val="002B5375"/>
    <w:rsid w:val="002B53F3"/>
    <w:rsid w:val="002B5438"/>
    <w:rsid w:val="002B544A"/>
    <w:rsid w:val="002B5768"/>
    <w:rsid w:val="002B57BE"/>
    <w:rsid w:val="002B5804"/>
    <w:rsid w:val="002B5AC2"/>
    <w:rsid w:val="002B5B02"/>
    <w:rsid w:val="002B5D55"/>
    <w:rsid w:val="002B5FD7"/>
    <w:rsid w:val="002B6137"/>
    <w:rsid w:val="002B6290"/>
    <w:rsid w:val="002B62FE"/>
    <w:rsid w:val="002B639D"/>
    <w:rsid w:val="002B6438"/>
    <w:rsid w:val="002B6627"/>
    <w:rsid w:val="002B66DC"/>
    <w:rsid w:val="002B6A5E"/>
    <w:rsid w:val="002B6AC4"/>
    <w:rsid w:val="002B6ACA"/>
    <w:rsid w:val="002B6C34"/>
    <w:rsid w:val="002B6F35"/>
    <w:rsid w:val="002B7028"/>
    <w:rsid w:val="002B7092"/>
    <w:rsid w:val="002B7461"/>
    <w:rsid w:val="002B782B"/>
    <w:rsid w:val="002B787D"/>
    <w:rsid w:val="002B787F"/>
    <w:rsid w:val="002B7D26"/>
    <w:rsid w:val="002B7E26"/>
    <w:rsid w:val="002C00AE"/>
    <w:rsid w:val="002C01ED"/>
    <w:rsid w:val="002C0282"/>
    <w:rsid w:val="002C042C"/>
    <w:rsid w:val="002C0789"/>
    <w:rsid w:val="002C0905"/>
    <w:rsid w:val="002C0931"/>
    <w:rsid w:val="002C0A97"/>
    <w:rsid w:val="002C0B1F"/>
    <w:rsid w:val="002C0BD9"/>
    <w:rsid w:val="002C0FA8"/>
    <w:rsid w:val="002C110D"/>
    <w:rsid w:val="002C1303"/>
    <w:rsid w:val="002C147B"/>
    <w:rsid w:val="002C14AE"/>
    <w:rsid w:val="002C15F7"/>
    <w:rsid w:val="002C17C1"/>
    <w:rsid w:val="002C17E9"/>
    <w:rsid w:val="002C1CBE"/>
    <w:rsid w:val="002C22EF"/>
    <w:rsid w:val="002C2464"/>
    <w:rsid w:val="002C257A"/>
    <w:rsid w:val="002C26B8"/>
    <w:rsid w:val="002C279F"/>
    <w:rsid w:val="002C27DE"/>
    <w:rsid w:val="002C2D47"/>
    <w:rsid w:val="002C2DB8"/>
    <w:rsid w:val="002C2F30"/>
    <w:rsid w:val="002C301E"/>
    <w:rsid w:val="002C3156"/>
    <w:rsid w:val="002C3318"/>
    <w:rsid w:val="002C3575"/>
    <w:rsid w:val="002C35B0"/>
    <w:rsid w:val="002C3912"/>
    <w:rsid w:val="002C4337"/>
    <w:rsid w:val="002C4550"/>
    <w:rsid w:val="002C45EB"/>
    <w:rsid w:val="002C464E"/>
    <w:rsid w:val="002C4720"/>
    <w:rsid w:val="002C4942"/>
    <w:rsid w:val="002C4BA5"/>
    <w:rsid w:val="002C4EA4"/>
    <w:rsid w:val="002C5153"/>
    <w:rsid w:val="002C518D"/>
    <w:rsid w:val="002C52B4"/>
    <w:rsid w:val="002C5984"/>
    <w:rsid w:val="002C5A1C"/>
    <w:rsid w:val="002C5A69"/>
    <w:rsid w:val="002C5AA6"/>
    <w:rsid w:val="002C5F3B"/>
    <w:rsid w:val="002C6006"/>
    <w:rsid w:val="002C6325"/>
    <w:rsid w:val="002C694B"/>
    <w:rsid w:val="002C6984"/>
    <w:rsid w:val="002C6A75"/>
    <w:rsid w:val="002C6B23"/>
    <w:rsid w:val="002C6C35"/>
    <w:rsid w:val="002C6E56"/>
    <w:rsid w:val="002C70A7"/>
    <w:rsid w:val="002C7239"/>
    <w:rsid w:val="002C743A"/>
    <w:rsid w:val="002C74EF"/>
    <w:rsid w:val="002C7613"/>
    <w:rsid w:val="002C7660"/>
    <w:rsid w:val="002C7693"/>
    <w:rsid w:val="002C77C4"/>
    <w:rsid w:val="002C7AA2"/>
    <w:rsid w:val="002C7D58"/>
    <w:rsid w:val="002D005D"/>
    <w:rsid w:val="002D00A6"/>
    <w:rsid w:val="002D0223"/>
    <w:rsid w:val="002D035E"/>
    <w:rsid w:val="002D08C3"/>
    <w:rsid w:val="002D0A05"/>
    <w:rsid w:val="002D0A25"/>
    <w:rsid w:val="002D0BC4"/>
    <w:rsid w:val="002D1156"/>
    <w:rsid w:val="002D16FD"/>
    <w:rsid w:val="002D177C"/>
    <w:rsid w:val="002D1C94"/>
    <w:rsid w:val="002D1FD1"/>
    <w:rsid w:val="002D24FB"/>
    <w:rsid w:val="002D2669"/>
    <w:rsid w:val="002D26CD"/>
    <w:rsid w:val="002D2873"/>
    <w:rsid w:val="002D2A58"/>
    <w:rsid w:val="002D2B35"/>
    <w:rsid w:val="002D2E8F"/>
    <w:rsid w:val="002D33E3"/>
    <w:rsid w:val="002D365E"/>
    <w:rsid w:val="002D366D"/>
    <w:rsid w:val="002D377F"/>
    <w:rsid w:val="002D39EA"/>
    <w:rsid w:val="002D3AC3"/>
    <w:rsid w:val="002D3EB4"/>
    <w:rsid w:val="002D3F32"/>
    <w:rsid w:val="002D3F7B"/>
    <w:rsid w:val="002D45B6"/>
    <w:rsid w:val="002D46F9"/>
    <w:rsid w:val="002D4837"/>
    <w:rsid w:val="002D48BF"/>
    <w:rsid w:val="002D4C9F"/>
    <w:rsid w:val="002D4E76"/>
    <w:rsid w:val="002D4F50"/>
    <w:rsid w:val="002D50BB"/>
    <w:rsid w:val="002D50C5"/>
    <w:rsid w:val="002D518C"/>
    <w:rsid w:val="002D526B"/>
    <w:rsid w:val="002D5537"/>
    <w:rsid w:val="002D5628"/>
    <w:rsid w:val="002D56E8"/>
    <w:rsid w:val="002D5BB8"/>
    <w:rsid w:val="002D5BFF"/>
    <w:rsid w:val="002D5C82"/>
    <w:rsid w:val="002D5D44"/>
    <w:rsid w:val="002D5E1F"/>
    <w:rsid w:val="002D5FC1"/>
    <w:rsid w:val="002D600B"/>
    <w:rsid w:val="002D6062"/>
    <w:rsid w:val="002D63AB"/>
    <w:rsid w:val="002D643E"/>
    <w:rsid w:val="002D6513"/>
    <w:rsid w:val="002D66E6"/>
    <w:rsid w:val="002D66F7"/>
    <w:rsid w:val="002D6702"/>
    <w:rsid w:val="002D68FC"/>
    <w:rsid w:val="002D6A41"/>
    <w:rsid w:val="002D6A7A"/>
    <w:rsid w:val="002D6B61"/>
    <w:rsid w:val="002D717C"/>
    <w:rsid w:val="002D717F"/>
    <w:rsid w:val="002D7594"/>
    <w:rsid w:val="002D75AE"/>
    <w:rsid w:val="002D7641"/>
    <w:rsid w:val="002D7D70"/>
    <w:rsid w:val="002D7F86"/>
    <w:rsid w:val="002E00A0"/>
    <w:rsid w:val="002E00B7"/>
    <w:rsid w:val="002E0211"/>
    <w:rsid w:val="002E0330"/>
    <w:rsid w:val="002E03E7"/>
    <w:rsid w:val="002E0464"/>
    <w:rsid w:val="002E059F"/>
    <w:rsid w:val="002E061B"/>
    <w:rsid w:val="002E0C6E"/>
    <w:rsid w:val="002E0C97"/>
    <w:rsid w:val="002E0E5D"/>
    <w:rsid w:val="002E1178"/>
    <w:rsid w:val="002E1391"/>
    <w:rsid w:val="002E1A90"/>
    <w:rsid w:val="002E1F20"/>
    <w:rsid w:val="002E1FB6"/>
    <w:rsid w:val="002E2495"/>
    <w:rsid w:val="002E27C5"/>
    <w:rsid w:val="002E27C8"/>
    <w:rsid w:val="002E2935"/>
    <w:rsid w:val="002E2A92"/>
    <w:rsid w:val="002E2C07"/>
    <w:rsid w:val="002E2C42"/>
    <w:rsid w:val="002E348D"/>
    <w:rsid w:val="002E38EC"/>
    <w:rsid w:val="002E3B92"/>
    <w:rsid w:val="002E3E5A"/>
    <w:rsid w:val="002E3F73"/>
    <w:rsid w:val="002E3F76"/>
    <w:rsid w:val="002E42C8"/>
    <w:rsid w:val="002E4442"/>
    <w:rsid w:val="002E454C"/>
    <w:rsid w:val="002E4567"/>
    <w:rsid w:val="002E4605"/>
    <w:rsid w:val="002E486D"/>
    <w:rsid w:val="002E493B"/>
    <w:rsid w:val="002E4CB0"/>
    <w:rsid w:val="002E4D24"/>
    <w:rsid w:val="002E4E09"/>
    <w:rsid w:val="002E4E13"/>
    <w:rsid w:val="002E4EE5"/>
    <w:rsid w:val="002E4FBE"/>
    <w:rsid w:val="002E51E5"/>
    <w:rsid w:val="002E53A6"/>
    <w:rsid w:val="002E554A"/>
    <w:rsid w:val="002E56B7"/>
    <w:rsid w:val="002E591A"/>
    <w:rsid w:val="002E5CF7"/>
    <w:rsid w:val="002E5FC2"/>
    <w:rsid w:val="002E63DF"/>
    <w:rsid w:val="002E6528"/>
    <w:rsid w:val="002E65AD"/>
    <w:rsid w:val="002E66E8"/>
    <w:rsid w:val="002E6848"/>
    <w:rsid w:val="002E6883"/>
    <w:rsid w:val="002E69E4"/>
    <w:rsid w:val="002E6AB3"/>
    <w:rsid w:val="002E6AC1"/>
    <w:rsid w:val="002E6B80"/>
    <w:rsid w:val="002E6C85"/>
    <w:rsid w:val="002E6C9B"/>
    <w:rsid w:val="002E701F"/>
    <w:rsid w:val="002E705B"/>
    <w:rsid w:val="002E7103"/>
    <w:rsid w:val="002E723B"/>
    <w:rsid w:val="002E7335"/>
    <w:rsid w:val="002E7C5D"/>
    <w:rsid w:val="002F00D6"/>
    <w:rsid w:val="002F034A"/>
    <w:rsid w:val="002F0436"/>
    <w:rsid w:val="002F051B"/>
    <w:rsid w:val="002F068C"/>
    <w:rsid w:val="002F07EF"/>
    <w:rsid w:val="002F0803"/>
    <w:rsid w:val="002F08AB"/>
    <w:rsid w:val="002F09E5"/>
    <w:rsid w:val="002F0A86"/>
    <w:rsid w:val="002F0BCF"/>
    <w:rsid w:val="002F0CDF"/>
    <w:rsid w:val="002F0F66"/>
    <w:rsid w:val="002F1040"/>
    <w:rsid w:val="002F114B"/>
    <w:rsid w:val="002F1206"/>
    <w:rsid w:val="002F15C4"/>
    <w:rsid w:val="002F15E2"/>
    <w:rsid w:val="002F16C5"/>
    <w:rsid w:val="002F1B15"/>
    <w:rsid w:val="002F1D39"/>
    <w:rsid w:val="002F1D90"/>
    <w:rsid w:val="002F2122"/>
    <w:rsid w:val="002F218E"/>
    <w:rsid w:val="002F21D7"/>
    <w:rsid w:val="002F22B9"/>
    <w:rsid w:val="002F2577"/>
    <w:rsid w:val="002F2680"/>
    <w:rsid w:val="002F270F"/>
    <w:rsid w:val="002F2796"/>
    <w:rsid w:val="002F285D"/>
    <w:rsid w:val="002F2863"/>
    <w:rsid w:val="002F2B73"/>
    <w:rsid w:val="002F2C3A"/>
    <w:rsid w:val="002F2CF9"/>
    <w:rsid w:val="002F2FC7"/>
    <w:rsid w:val="002F30B4"/>
    <w:rsid w:val="002F33A1"/>
    <w:rsid w:val="002F33E1"/>
    <w:rsid w:val="002F389B"/>
    <w:rsid w:val="002F39AF"/>
    <w:rsid w:val="002F39B5"/>
    <w:rsid w:val="002F3CF4"/>
    <w:rsid w:val="002F3CFD"/>
    <w:rsid w:val="002F3D11"/>
    <w:rsid w:val="002F3F7F"/>
    <w:rsid w:val="002F3FAE"/>
    <w:rsid w:val="002F3FF1"/>
    <w:rsid w:val="002F41B5"/>
    <w:rsid w:val="002F4227"/>
    <w:rsid w:val="002F44AA"/>
    <w:rsid w:val="002F452F"/>
    <w:rsid w:val="002F471E"/>
    <w:rsid w:val="002F47F4"/>
    <w:rsid w:val="002F47FD"/>
    <w:rsid w:val="002F4B17"/>
    <w:rsid w:val="002F4B5C"/>
    <w:rsid w:val="002F4E89"/>
    <w:rsid w:val="002F4E90"/>
    <w:rsid w:val="002F541E"/>
    <w:rsid w:val="002F5483"/>
    <w:rsid w:val="002F5556"/>
    <w:rsid w:val="002F590B"/>
    <w:rsid w:val="002F5B2E"/>
    <w:rsid w:val="002F5B37"/>
    <w:rsid w:val="002F5D23"/>
    <w:rsid w:val="002F5D8E"/>
    <w:rsid w:val="002F605E"/>
    <w:rsid w:val="002F617D"/>
    <w:rsid w:val="002F617F"/>
    <w:rsid w:val="002F63EB"/>
    <w:rsid w:val="002F64CD"/>
    <w:rsid w:val="002F6548"/>
    <w:rsid w:val="002F6859"/>
    <w:rsid w:val="002F69CB"/>
    <w:rsid w:val="002F6C43"/>
    <w:rsid w:val="002F719C"/>
    <w:rsid w:val="002F7272"/>
    <w:rsid w:val="002F75BA"/>
    <w:rsid w:val="002F762C"/>
    <w:rsid w:val="002F7732"/>
    <w:rsid w:val="002F78FE"/>
    <w:rsid w:val="002F7C27"/>
    <w:rsid w:val="002F7C3C"/>
    <w:rsid w:val="002F7EB4"/>
    <w:rsid w:val="002F7EF1"/>
    <w:rsid w:val="00300109"/>
    <w:rsid w:val="0030020A"/>
    <w:rsid w:val="0030025F"/>
    <w:rsid w:val="003003AA"/>
    <w:rsid w:val="003003B3"/>
    <w:rsid w:val="0030069C"/>
    <w:rsid w:val="003008C7"/>
    <w:rsid w:val="00300B4F"/>
    <w:rsid w:val="00300B6E"/>
    <w:rsid w:val="00300CAF"/>
    <w:rsid w:val="00300DA7"/>
    <w:rsid w:val="00300E35"/>
    <w:rsid w:val="00300E8E"/>
    <w:rsid w:val="00301176"/>
    <w:rsid w:val="00301525"/>
    <w:rsid w:val="00301665"/>
    <w:rsid w:val="003016DB"/>
    <w:rsid w:val="00301755"/>
    <w:rsid w:val="0030180E"/>
    <w:rsid w:val="00301AE5"/>
    <w:rsid w:val="00301C02"/>
    <w:rsid w:val="00302228"/>
    <w:rsid w:val="00302400"/>
    <w:rsid w:val="003024D1"/>
    <w:rsid w:val="00302602"/>
    <w:rsid w:val="00302766"/>
    <w:rsid w:val="0030281C"/>
    <w:rsid w:val="003029A4"/>
    <w:rsid w:val="00302B1C"/>
    <w:rsid w:val="00302B53"/>
    <w:rsid w:val="00302B84"/>
    <w:rsid w:val="00302C7A"/>
    <w:rsid w:val="00302E21"/>
    <w:rsid w:val="00302F42"/>
    <w:rsid w:val="00303000"/>
    <w:rsid w:val="00303150"/>
    <w:rsid w:val="003031AF"/>
    <w:rsid w:val="003032CA"/>
    <w:rsid w:val="003032D5"/>
    <w:rsid w:val="0030330D"/>
    <w:rsid w:val="0030345D"/>
    <w:rsid w:val="0030353D"/>
    <w:rsid w:val="003035B5"/>
    <w:rsid w:val="00303DAC"/>
    <w:rsid w:val="00304372"/>
    <w:rsid w:val="00304490"/>
    <w:rsid w:val="003046CC"/>
    <w:rsid w:val="00304790"/>
    <w:rsid w:val="00304878"/>
    <w:rsid w:val="003049CB"/>
    <w:rsid w:val="00304B90"/>
    <w:rsid w:val="00304DD7"/>
    <w:rsid w:val="00304ECB"/>
    <w:rsid w:val="0030522E"/>
    <w:rsid w:val="003054D6"/>
    <w:rsid w:val="0030556B"/>
    <w:rsid w:val="0030581D"/>
    <w:rsid w:val="00305956"/>
    <w:rsid w:val="00305B99"/>
    <w:rsid w:val="00305FB5"/>
    <w:rsid w:val="003062AB"/>
    <w:rsid w:val="003063AE"/>
    <w:rsid w:val="0030665E"/>
    <w:rsid w:val="00306894"/>
    <w:rsid w:val="003068AC"/>
    <w:rsid w:val="00307457"/>
    <w:rsid w:val="003074E3"/>
    <w:rsid w:val="0030754A"/>
    <w:rsid w:val="003077D1"/>
    <w:rsid w:val="0030790D"/>
    <w:rsid w:val="003079A5"/>
    <w:rsid w:val="00307B4A"/>
    <w:rsid w:val="00307C3F"/>
    <w:rsid w:val="00307D05"/>
    <w:rsid w:val="00307DED"/>
    <w:rsid w:val="00307EBA"/>
    <w:rsid w:val="00307F76"/>
    <w:rsid w:val="00307FD0"/>
    <w:rsid w:val="00310222"/>
    <w:rsid w:val="0031069D"/>
    <w:rsid w:val="00310AF6"/>
    <w:rsid w:val="00310AFE"/>
    <w:rsid w:val="00310C37"/>
    <w:rsid w:val="00310CB4"/>
    <w:rsid w:val="00310DA2"/>
    <w:rsid w:val="00310DF1"/>
    <w:rsid w:val="00310ED4"/>
    <w:rsid w:val="00310F67"/>
    <w:rsid w:val="003111DE"/>
    <w:rsid w:val="0031123F"/>
    <w:rsid w:val="0031129D"/>
    <w:rsid w:val="003113D5"/>
    <w:rsid w:val="00311473"/>
    <w:rsid w:val="0031158D"/>
    <w:rsid w:val="00311606"/>
    <w:rsid w:val="00311973"/>
    <w:rsid w:val="00311A2C"/>
    <w:rsid w:val="00311D69"/>
    <w:rsid w:val="00311E38"/>
    <w:rsid w:val="00312268"/>
    <w:rsid w:val="003122F4"/>
    <w:rsid w:val="00312575"/>
    <w:rsid w:val="003126DC"/>
    <w:rsid w:val="0031272A"/>
    <w:rsid w:val="00312A86"/>
    <w:rsid w:val="00312AE9"/>
    <w:rsid w:val="00312B78"/>
    <w:rsid w:val="00312C79"/>
    <w:rsid w:val="00313023"/>
    <w:rsid w:val="00313137"/>
    <w:rsid w:val="0031317C"/>
    <w:rsid w:val="0031344E"/>
    <w:rsid w:val="0031357D"/>
    <w:rsid w:val="00313856"/>
    <w:rsid w:val="00313982"/>
    <w:rsid w:val="00313C81"/>
    <w:rsid w:val="00313D1C"/>
    <w:rsid w:val="00313D94"/>
    <w:rsid w:val="003140BF"/>
    <w:rsid w:val="00314396"/>
    <w:rsid w:val="003148F1"/>
    <w:rsid w:val="003148F2"/>
    <w:rsid w:val="00314EBB"/>
    <w:rsid w:val="003150AB"/>
    <w:rsid w:val="003150B6"/>
    <w:rsid w:val="003152F4"/>
    <w:rsid w:val="0031575D"/>
    <w:rsid w:val="003157E0"/>
    <w:rsid w:val="003158E5"/>
    <w:rsid w:val="0031598E"/>
    <w:rsid w:val="00315C95"/>
    <w:rsid w:val="00315D05"/>
    <w:rsid w:val="00315E1F"/>
    <w:rsid w:val="00315F3D"/>
    <w:rsid w:val="003160F8"/>
    <w:rsid w:val="00316203"/>
    <w:rsid w:val="003165D7"/>
    <w:rsid w:val="003165F7"/>
    <w:rsid w:val="00316853"/>
    <w:rsid w:val="003169DC"/>
    <w:rsid w:val="00316A07"/>
    <w:rsid w:val="00316BCA"/>
    <w:rsid w:val="00316E17"/>
    <w:rsid w:val="00316E88"/>
    <w:rsid w:val="00316EE3"/>
    <w:rsid w:val="00316F10"/>
    <w:rsid w:val="00316FED"/>
    <w:rsid w:val="00317183"/>
    <w:rsid w:val="0031720F"/>
    <w:rsid w:val="003172D3"/>
    <w:rsid w:val="00317631"/>
    <w:rsid w:val="0031773D"/>
    <w:rsid w:val="00317784"/>
    <w:rsid w:val="003177F4"/>
    <w:rsid w:val="00317F78"/>
    <w:rsid w:val="00320132"/>
    <w:rsid w:val="00320207"/>
    <w:rsid w:val="0032027A"/>
    <w:rsid w:val="00320458"/>
    <w:rsid w:val="00320A17"/>
    <w:rsid w:val="00320B86"/>
    <w:rsid w:val="00320E41"/>
    <w:rsid w:val="00321018"/>
    <w:rsid w:val="00321478"/>
    <w:rsid w:val="003217E9"/>
    <w:rsid w:val="00321A0E"/>
    <w:rsid w:val="00321BFF"/>
    <w:rsid w:val="00321E96"/>
    <w:rsid w:val="003221DA"/>
    <w:rsid w:val="003221E3"/>
    <w:rsid w:val="003223D7"/>
    <w:rsid w:val="003226CA"/>
    <w:rsid w:val="00322AC2"/>
    <w:rsid w:val="00322E88"/>
    <w:rsid w:val="00322EB9"/>
    <w:rsid w:val="00322F95"/>
    <w:rsid w:val="003230A9"/>
    <w:rsid w:val="003231C5"/>
    <w:rsid w:val="003231DA"/>
    <w:rsid w:val="00323205"/>
    <w:rsid w:val="00323373"/>
    <w:rsid w:val="00323738"/>
    <w:rsid w:val="00323A4E"/>
    <w:rsid w:val="00323A50"/>
    <w:rsid w:val="00323C2B"/>
    <w:rsid w:val="00323CED"/>
    <w:rsid w:val="00323D44"/>
    <w:rsid w:val="00323FDE"/>
    <w:rsid w:val="00324054"/>
    <w:rsid w:val="00324E14"/>
    <w:rsid w:val="00324F3A"/>
    <w:rsid w:val="003251A6"/>
    <w:rsid w:val="00325232"/>
    <w:rsid w:val="003252DA"/>
    <w:rsid w:val="003254CC"/>
    <w:rsid w:val="00325549"/>
    <w:rsid w:val="003255AD"/>
    <w:rsid w:val="0032562A"/>
    <w:rsid w:val="00325692"/>
    <w:rsid w:val="0032598F"/>
    <w:rsid w:val="00325A63"/>
    <w:rsid w:val="003260DA"/>
    <w:rsid w:val="0032617B"/>
    <w:rsid w:val="003265AE"/>
    <w:rsid w:val="00326716"/>
    <w:rsid w:val="003267C7"/>
    <w:rsid w:val="003267FC"/>
    <w:rsid w:val="003268D5"/>
    <w:rsid w:val="00326A88"/>
    <w:rsid w:val="00326C12"/>
    <w:rsid w:val="00326C53"/>
    <w:rsid w:val="00326CBC"/>
    <w:rsid w:val="00327041"/>
    <w:rsid w:val="003271AD"/>
    <w:rsid w:val="00327329"/>
    <w:rsid w:val="0032761A"/>
    <w:rsid w:val="0032783A"/>
    <w:rsid w:val="0032789C"/>
    <w:rsid w:val="00327B40"/>
    <w:rsid w:val="00327BB7"/>
    <w:rsid w:val="00330332"/>
    <w:rsid w:val="0033033A"/>
    <w:rsid w:val="00330A39"/>
    <w:rsid w:val="00330B5B"/>
    <w:rsid w:val="00330BD0"/>
    <w:rsid w:val="003311A7"/>
    <w:rsid w:val="003311D8"/>
    <w:rsid w:val="00331426"/>
    <w:rsid w:val="00331534"/>
    <w:rsid w:val="00331535"/>
    <w:rsid w:val="003317BF"/>
    <w:rsid w:val="00331A23"/>
    <w:rsid w:val="00331B89"/>
    <w:rsid w:val="00331CA6"/>
    <w:rsid w:val="00331DD6"/>
    <w:rsid w:val="00331EEC"/>
    <w:rsid w:val="003321A9"/>
    <w:rsid w:val="00332513"/>
    <w:rsid w:val="00332725"/>
    <w:rsid w:val="00332D06"/>
    <w:rsid w:val="0033322D"/>
    <w:rsid w:val="00333341"/>
    <w:rsid w:val="00333541"/>
    <w:rsid w:val="00333AF0"/>
    <w:rsid w:val="00333C54"/>
    <w:rsid w:val="00333E07"/>
    <w:rsid w:val="00333F9D"/>
    <w:rsid w:val="003341D6"/>
    <w:rsid w:val="0033439D"/>
    <w:rsid w:val="003343AF"/>
    <w:rsid w:val="00334447"/>
    <w:rsid w:val="00334695"/>
    <w:rsid w:val="00334776"/>
    <w:rsid w:val="003347E4"/>
    <w:rsid w:val="00334956"/>
    <w:rsid w:val="003349AF"/>
    <w:rsid w:val="00334B50"/>
    <w:rsid w:val="00334D69"/>
    <w:rsid w:val="00334EB7"/>
    <w:rsid w:val="00335041"/>
    <w:rsid w:val="00335051"/>
    <w:rsid w:val="00335185"/>
    <w:rsid w:val="003351D9"/>
    <w:rsid w:val="00335279"/>
    <w:rsid w:val="0033586F"/>
    <w:rsid w:val="003358D3"/>
    <w:rsid w:val="00335C8D"/>
    <w:rsid w:val="00335F7B"/>
    <w:rsid w:val="003360BB"/>
    <w:rsid w:val="003360C3"/>
    <w:rsid w:val="0033622E"/>
    <w:rsid w:val="0033627C"/>
    <w:rsid w:val="00336411"/>
    <w:rsid w:val="003366A9"/>
    <w:rsid w:val="0033673D"/>
    <w:rsid w:val="00336B0E"/>
    <w:rsid w:val="00336C20"/>
    <w:rsid w:val="00336DFB"/>
    <w:rsid w:val="0033707E"/>
    <w:rsid w:val="0033755F"/>
    <w:rsid w:val="00337772"/>
    <w:rsid w:val="00337C87"/>
    <w:rsid w:val="00337D3A"/>
    <w:rsid w:val="00337E0E"/>
    <w:rsid w:val="003404E8"/>
    <w:rsid w:val="0034052B"/>
    <w:rsid w:val="00340596"/>
    <w:rsid w:val="0034066D"/>
    <w:rsid w:val="00340B08"/>
    <w:rsid w:val="00340D93"/>
    <w:rsid w:val="00340E6E"/>
    <w:rsid w:val="00340E8A"/>
    <w:rsid w:val="00340F3B"/>
    <w:rsid w:val="00341502"/>
    <w:rsid w:val="00341532"/>
    <w:rsid w:val="00341546"/>
    <w:rsid w:val="0034156B"/>
    <w:rsid w:val="003416B1"/>
    <w:rsid w:val="00341D2E"/>
    <w:rsid w:val="00341FDA"/>
    <w:rsid w:val="00342026"/>
    <w:rsid w:val="003426F8"/>
    <w:rsid w:val="00342861"/>
    <w:rsid w:val="00342C61"/>
    <w:rsid w:val="00342D65"/>
    <w:rsid w:val="0034320B"/>
    <w:rsid w:val="003432AD"/>
    <w:rsid w:val="003434CF"/>
    <w:rsid w:val="00343A2A"/>
    <w:rsid w:val="00343BBB"/>
    <w:rsid w:val="00343C40"/>
    <w:rsid w:val="0034419A"/>
    <w:rsid w:val="003441F8"/>
    <w:rsid w:val="00344800"/>
    <w:rsid w:val="003448F1"/>
    <w:rsid w:val="003448F6"/>
    <w:rsid w:val="00344929"/>
    <w:rsid w:val="003449A4"/>
    <w:rsid w:val="003451EC"/>
    <w:rsid w:val="0034545F"/>
    <w:rsid w:val="00345986"/>
    <w:rsid w:val="00345BB3"/>
    <w:rsid w:val="00345BFD"/>
    <w:rsid w:val="00345C40"/>
    <w:rsid w:val="00345CEA"/>
    <w:rsid w:val="00345D38"/>
    <w:rsid w:val="00345F45"/>
    <w:rsid w:val="003461F2"/>
    <w:rsid w:val="00346297"/>
    <w:rsid w:val="003462ED"/>
    <w:rsid w:val="0034643B"/>
    <w:rsid w:val="003464F9"/>
    <w:rsid w:val="0034656E"/>
    <w:rsid w:val="003467DB"/>
    <w:rsid w:val="00346804"/>
    <w:rsid w:val="00346CD0"/>
    <w:rsid w:val="00346DB8"/>
    <w:rsid w:val="00346DE5"/>
    <w:rsid w:val="00346F7A"/>
    <w:rsid w:val="00347122"/>
    <w:rsid w:val="00347448"/>
    <w:rsid w:val="003478A4"/>
    <w:rsid w:val="00347B21"/>
    <w:rsid w:val="00347D29"/>
    <w:rsid w:val="00347E25"/>
    <w:rsid w:val="00347E90"/>
    <w:rsid w:val="00347F5E"/>
    <w:rsid w:val="003501BF"/>
    <w:rsid w:val="003502D7"/>
    <w:rsid w:val="00350417"/>
    <w:rsid w:val="003505D1"/>
    <w:rsid w:val="00350603"/>
    <w:rsid w:val="00350634"/>
    <w:rsid w:val="0035073D"/>
    <w:rsid w:val="00350759"/>
    <w:rsid w:val="0035086C"/>
    <w:rsid w:val="00350C7F"/>
    <w:rsid w:val="003510B3"/>
    <w:rsid w:val="003515B8"/>
    <w:rsid w:val="0035189E"/>
    <w:rsid w:val="003519C1"/>
    <w:rsid w:val="00351AF8"/>
    <w:rsid w:val="00351ED5"/>
    <w:rsid w:val="00352190"/>
    <w:rsid w:val="00352326"/>
    <w:rsid w:val="00352924"/>
    <w:rsid w:val="00352B5C"/>
    <w:rsid w:val="00352B8F"/>
    <w:rsid w:val="00352C66"/>
    <w:rsid w:val="00352CB4"/>
    <w:rsid w:val="00352EC2"/>
    <w:rsid w:val="00352FB8"/>
    <w:rsid w:val="0035300B"/>
    <w:rsid w:val="003536BE"/>
    <w:rsid w:val="003536C3"/>
    <w:rsid w:val="0035370C"/>
    <w:rsid w:val="00353A4F"/>
    <w:rsid w:val="00353A6F"/>
    <w:rsid w:val="00353DE3"/>
    <w:rsid w:val="00354022"/>
    <w:rsid w:val="003540C0"/>
    <w:rsid w:val="003541F8"/>
    <w:rsid w:val="00354279"/>
    <w:rsid w:val="003546A7"/>
    <w:rsid w:val="003549B9"/>
    <w:rsid w:val="00354AB4"/>
    <w:rsid w:val="00354ADC"/>
    <w:rsid w:val="00354BB4"/>
    <w:rsid w:val="00354D15"/>
    <w:rsid w:val="00354D19"/>
    <w:rsid w:val="00354D27"/>
    <w:rsid w:val="00355043"/>
    <w:rsid w:val="003550E7"/>
    <w:rsid w:val="00355181"/>
    <w:rsid w:val="0035523D"/>
    <w:rsid w:val="00355375"/>
    <w:rsid w:val="003554CE"/>
    <w:rsid w:val="003555D1"/>
    <w:rsid w:val="0035576A"/>
    <w:rsid w:val="00355B9E"/>
    <w:rsid w:val="00355D03"/>
    <w:rsid w:val="00355D07"/>
    <w:rsid w:val="00355E67"/>
    <w:rsid w:val="0035601C"/>
    <w:rsid w:val="003563F7"/>
    <w:rsid w:val="003566E5"/>
    <w:rsid w:val="00356A98"/>
    <w:rsid w:val="00356C1E"/>
    <w:rsid w:val="00356C42"/>
    <w:rsid w:val="00356D6E"/>
    <w:rsid w:val="00356FEC"/>
    <w:rsid w:val="00356FFB"/>
    <w:rsid w:val="0035703E"/>
    <w:rsid w:val="00357316"/>
    <w:rsid w:val="0035737A"/>
    <w:rsid w:val="0035738A"/>
    <w:rsid w:val="00357449"/>
    <w:rsid w:val="00357468"/>
    <w:rsid w:val="0035760B"/>
    <w:rsid w:val="00357676"/>
    <w:rsid w:val="003576B1"/>
    <w:rsid w:val="0035775A"/>
    <w:rsid w:val="00357806"/>
    <w:rsid w:val="00357B4F"/>
    <w:rsid w:val="00357B98"/>
    <w:rsid w:val="0036006F"/>
    <w:rsid w:val="00360077"/>
    <w:rsid w:val="003602AE"/>
    <w:rsid w:val="003602EE"/>
    <w:rsid w:val="0036054B"/>
    <w:rsid w:val="003605F4"/>
    <w:rsid w:val="00360987"/>
    <w:rsid w:val="00360B24"/>
    <w:rsid w:val="00360C75"/>
    <w:rsid w:val="00361171"/>
    <w:rsid w:val="00361700"/>
    <w:rsid w:val="003617E1"/>
    <w:rsid w:val="00361F4E"/>
    <w:rsid w:val="003621E4"/>
    <w:rsid w:val="003621F3"/>
    <w:rsid w:val="0036238E"/>
    <w:rsid w:val="003624D2"/>
    <w:rsid w:val="0036266F"/>
    <w:rsid w:val="003626F8"/>
    <w:rsid w:val="00362790"/>
    <w:rsid w:val="003628C1"/>
    <w:rsid w:val="003628DB"/>
    <w:rsid w:val="00362A2D"/>
    <w:rsid w:val="00362C1D"/>
    <w:rsid w:val="00362CF2"/>
    <w:rsid w:val="00362E9A"/>
    <w:rsid w:val="00362EE0"/>
    <w:rsid w:val="00362FD0"/>
    <w:rsid w:val="00363084"/>
    <w:rsid w:val="003630EF"/>
    <w:rsid w:val="00363136"/>
    <w:rsid w:val="0036359E"/>
    <w:rsid w:val="00363732"/>
    <w:rsid w:val="0036379A"/>
    <w:rsid w:val="00363A42"/>
    <w:rsid w:val="00363AE9"/>
    <w:rsid w:val="00363DF3"/>
    <w:rsid w:val="00363FE8"/>
    <w:rsid w:val="003641B1"/>
    <w:rsid w:val="0036426E"/>
    <w:rsid w:val="0036440E"/>
    <w:rsid w:val="00364456"/>
    <w:rsid w:val="00364CFA"/>
    <w:rsid w:val="00364D04"/>
    <w:rsid w:val="003650C2"/>
    <w:rsid w:val="00365224"/>
    <w:rsid w:val="003657CA"/>
    <w:rsid w:val="00365B7D"/>
    <w:rsid w:val="00365E1C"/>
    <w:rsid w:val="00365FDC"/>
    <w:rsid w:val="00366230"/>
    <w:rsid w:val="003662BB"/>
    <w:rsid w:val="003663B1"/>
    <w:rsid w:val="00366589"/>
    <w:rsid w:val="003665ED"/>
    <w:rsid w:val="003666B2"/>
    <w:rsid w:val="00366E0E"/>
    <w:rsid w:val="00366E73"/>
    <w:rsid w:val="00366E77"/>
    <w:rsid w:val="00367483"/>
    <w:rsid w:val="003674DE"/>
    <w:rsid w:val="003675EF"/>
    <w:rsid w:val="003678D3"/>
    <w:rsid w:val="0037008A"/>
    <w:rsid w:val="00370217"/>
    <w:rsid w:val="00370431"/>
    <w:rsid w:val="003705AF"/>
    <w:rsid w:val="00370655"/>
    <w:rsid w:val="003706DE"/>
    <w:rsid w:val="00370791"/>
    <w:rsid w:val="003707DB"/>
    <w:rsid w:val="00370816"/>
    <w:rsid w:val="0037096B"/>
    <w:rsid w:val="00370B3E"/>
    <w:rsid w:val="00370BD2"/>
    <w:rsid w:val="00371089"/>
    <w:rsid w:val="003710DD"/>
    <w:rsid w:val="00371252"/>
    <w:rsid w:val="00371519"/>
    <w:rsid w:val="00371847"/>
    <w:rsid w:val="003718E3"/>
    <w:rsid w:val="0037197A"/>
    <w:rsid w:val="003719C1"/>
    <w:rsid w:val="00371D66"/>
    <w:rsid w:val="00371D9B"/>
    <w:rsid w:val="00371DA2"/>
    <w:rsid w:val="00371F16"/>
    <w:rsid w:val="00371F64"/>
    <w:rsid w:val="00371F79"/>
    <w:rsid w:val="00371F94"/>
    <w:rsid w:val="00372091"/>
    <w:rsid w:val="003723DC"/>
    <w:rsid w:val="003725DC"/>
    <w:rsid w:val="00372B13"/>
    <w:rsid w:val="00372BF7"/>
    <w:rsid w:val="00372C4F"/>
    <w:rsid w:val="00372DEE"/>
    <w:rsid w:val="00372DF8"/>
    <w:rsid w:val="003730C6"/>
    <w:rsid w:val="003730E5"/>
    <w:rsid w:val="0037361C"/>
    <w:rsid w:val="00373B0A"/>
    <w:rsid w:val="00373E6F"/>
    <w:rsid w:val="00374437"/>
    <w:rsid w:val="003746E0"/>
    <w:rsid w:val="0037474F"/>
    <w:rsid w:val="00374752"/>
    <w:rsid w:val="003747A4"/>
    <w:rsid w:val="003748F4"/>
    <w:rsid w:val="00374957"/>
    <w:rsid w:val="00374A70"/>
    <w:rsid w:val="00374A71"/>
    <w:rsid w:val="00374D3F"/>
    <w:rsid w:val="00374D70"/>
    <w:rsid w:val="00374DF0"/>
    <w:rsid w:val="00374FF8"/>
    <w:rsid w:val="0037502A"/>
    <w:rsid w:val="0037509D"/>
    <w:rsid w:val="00375328"/>
    <w:rsid w:val="00375655"/>
    <w:rsid w:val="00375AC9"/>
    <w:rsid w:val="00375D72"/>
    <w:rsid w:val="00375EAE"/>
    <w:rsid w:val="003760D2"/>
    <w:rsid w:val="00376695"/>
    <w:rsid w:val="00376811"/>
    <w:rsid w:val="0037681C"/>
    <w:rsid w:val="00376955"/>
    <w:rsid w:val="003769F6"/>
    <w:rsid w:val="00376D70"/>
    <w:rsid w:val="00376F24"/>
    <w:rsid w:val="00376F4C"/>
    <w:rsid w:val="00377172"/>
    <w:rsid w:val="003771FA"/>
    <w:rsid w:val="003772D9"/>
    <w:rsid w:val="0037769B"/>
    <w:rsid w:val="00377762"/>
    <w:rsid w:val="00377798"/>
    <w:rsid w:val="003778D9"/>
    <w:rsid w:val="00377967"/>
    <w:rsid w:val="00377B9F"/>
    <w:rsid w:val="00377C40"/>
    <w:rsid w:val="00377E82"/>
    <w:rsid w:val="00377F82"/>
    <w:rsid w:val="0038008F"/>
    <w:rsid w:val="0038021F"/>
    <w:rsid w:val="00380C7E"/>
    <w:rsid w:val="00380FF5"/>
    <w:rsid w:val="00381072"/>
    <w:rsid w:val="0038120E"/>
    <w:rsid w:val="00381315"/>
    <w:rsid w:val="00381538"/>
    <w:rsid w:val="00381736"/>
    <w:rsid w:val="003819A7"/>
    <w:rsid w:val="00381AB3"/>
    <w:rsid w:val="00381BDD"/>
    <w:rsid w:val="00381BEE"/>
    <w:rsid w:val="00382120"/>
    <w:rsid w:val="0038226B"/>
    <w:rsid w:val="0038246C"/>
    <w:rsid w:val="00382849"/>
    <w:rsid w:val="00382A6E"/>
    <w:rsid w:val="00382B8A"/>
    <w:rsid w:val="00382CBD"/>
    <w:rsid w:val="00382DA3"/>
    <w:rsid w:val="00382DB6"/>
    <w:rsid w:val="00382F38"/>
    <w:rsid w:val="00383157"/>
    <w:rsid w:val="003833E9"/>
    <w:rsid w:val="00383677"/>
    <w:rsid w:val="00383708"/>
    <w:rsid w:val="0038373F"/>
    <w:rsid w:val="0038381D"/>
    <w:rsid w:val="00383832"/>
    <w:rsid w:val="00383D8F"/>
    <w:rsid w:val="00383FD0"/>
    <w:rsid w:val="00384035"/>
    <w:rsid w:val="003840B6"/>
    <w:rsid w:val="00384162"/>
    <w:rsid w:val="00384576"/>
    <w:rsid w:val="00384641"/>
    <w:rsid w:val="003847E9"/>
    <w:rsid w:val="00384861"/>
    <w:rsid w:val="003848C5"/>
    <w:rsid w:val="003848D0"/>
    <w:rsid w:val="0038499C"/>
    <w:rsid w:val="00384FE9"/>
    <w:rsid w:val="0038510C"/>
    <w:rsid w:val="00385161"/>
    <w:rsid w:val="0038516D"/>
    <w:rsid w:val="00385245"/>
    <w:rsid w:val="003852C8"/>
    <w:rsid w:val="003858A6"/>
    <w:rsid w:val="00385920"/>
    <w:rsid w:val="003859A8"/>
    <w:rsid w:val="00385A52"/>
    <w:rsid w:val="00385A8F"/>
    <w:rsid w:val="00385B66"/>
    <w:rsid w:val="00385CC1"/>
    <w:rsid w:val="00385D11"/>
    <w:rsid w:val="00385ED4"/>
    <w:rsid w:val="003860CD"/>
    <w:rsid w:val="00386297"/>
    <w:rsid w:val="003864BC"/>
    <w:rsid w:val="003864E8"/>
    <w:rsid w:val="00386571"/>
    <w:rsid w:val="00386BE9"/>
    <w:rsid w:val="00386C78"/>
    <w:rsid w:val="00386CC8"/>
    <w:rsid w:val="00386D0B"/>
    <w:rsid w:val="00386D76"/>
    <w:rsid w:val="003871B8"/>
    <w:rsid w:val="003873DB"/>
    <w:rsid w:val="003874D5"/>
    <w:rsid w:val="0038761B"/>
    <w:rsid w:val="003878BD"/>
    <w:rsid w:val="00387A4A"/>
    <w:rsid w:val="0039002F"/>
    <w:rsid w:val="0039042E"/>
    <w:rsid w:val="0039082C"/>
    <w:rsid w:val="003908C4"/>
    <w:rsid w:val="003909B5"/>
    <w:rsid w:val="00390B31"/>
    <w:rsid w:val="00390C18"/>
    <w:rsid w:val="00390C5A"/>
    <w:rsid w:val="00390F85"/>
    <w:rsid w:val="00391042"/>
    <w:rsid w:val="00391418"/>
    <w:rsid w:val="003915E5"/>
    <w:rsid w:val="00391638"/>
    <w:rsid w:val="0039183A"/>
    <w:rsid w:val="00391C74"/>
    <w:rsid w:val="00391D6A"/>
    <w:rsid w:val="00391E5E"/>
    <w:rsid w:val="00391F42"/>
    <w:rsid w:val="0039223E"/>
    <w:rsid w:val="00392558"/>
    <w:rsid w:val="00392656"/>
    <w:rsid w:val="00392B68"/>
    <w:rsid w:val="00392B6F"/>
    <w:rsid w:val="00392DCC"/>
    <w:rsid w:val="003930C3"/>
    <w:rsid w:val="00393393"/>
    <w:rsid w:val="0039395C"/>
    <w:rsid w:val="00393C31"/>
    <w:rsid w:val="00393E6C"/>
    <w:rsid w:val="003941FB"/>
    <w:rsid w:val="00394212"/>
    <w:rsid w:val="00394375"/>
    <w:rsid w:val="0039453D"/>
    <w:rsid w:val="00394692"/>
    <w:rsid w:val="0039494D"/>
    <w:rsid w:val="003949FB"/>
    <w:rsid w:val="00394A1C"/>
    <w:rsid w:val="00394A33"/>
    <w:rsid w:val="00394D98"/>
    <w:rsid w:val="00394E19"/>
    <w:rsid w:val="003952D6"/>
    <w:rsid w:val="00395688"/>
    <w:rsid w:val="00395716"/>
    <w:rsid w:val="003957BE"/>
    <w:rsid w:val="00395C32"/>
    <w:rsid w:val="00395C76"/>
    <w:rsid w:val="00395E61"/>
    <w:rsid w:val="00395F0B"/>
    <w:rsid w:val="0039625A"/>
    <w:rsid w:val="003963C2"/>
    <w:rsid w:val="00396425"/>
    <w:rsid w:val="0039656D"/>
    <w:rsid w:val="00396672"/>
    <w:rsid w:val="00396761"/>
    <w:rsid w:val="003967AF"/>
    <w:rsid w:val="00396906"/>
    <w:rsid w:val="00396AF8"/>
    <w:rsid w:val="00396BDF"/>
    <w:rsid w:val="00396F9F"/>
    <w:rsid w:val="0039727D"/>
    <w:rsid w:val="0039762F"/>
    <w:rsid w:val="003976D9"/>
    <w:rsid w:val="00397BB5"/>
    <w:rsid w:val="00397D86"/>
    <w:rsid w:val="00397E54"/>
    <w:rsid w:val="003A07C1"/>
    <w:rsid w:val="003A0883"/>
    <w:rsid w:val="003A090B"/>
    <w:rsid w:val="003A0981"/>
    <w:rsid w:val="003A0BEF"/>
    <w:rsid w:val="003A108D"/>
    <w:rsid w:val="003A148A"/>
    <w:rsid w:val="003A191B"/>
    <w:rsid w:val="003A1A4D"/>
    <w:rsid w:val="003A1C30"/>
    <w:rsid w:val="003A1DFC"/>
    <w:rsid w:val="003A1E0C"/>
    <w:rsid w:val="003A200E"/>
    <w:rsid w:val="003A205E"/>
    <w:rsid w:val="003A220A"/>
    <w:rsid w:val="003A2238"/>
    <w:rsid w:val="003A26BD"/>
    <w:rsid w:val="003A26CF"/>
    <w:rsid w:val="003A27F5"/>
    <w:rsid w:val="003A29AA"/>
    <w:rsid w:val="003A2A7F"/>
    <w:rsid w:val="003A2C30"/>
    <w:rsid w:val="003A2D53"/>
    <w:rsid w:val="003A30B8"/>
    <w:rsid w:val="003A324F"/>
    <w:rsid w:val="003A368B"/>
    <w:rsid w:val="003A39A1"/>
    <w:rsid w:val="003A4118"/>
    <w:rsid w:val="003A4144"/>
    <w:rsid w:val="003A4246"/>
    <w:rsid w:val="003A4258"/>
    <w:rsid w:val="003A4455"/>
    <w:rsid w:val="003A445A"/>
    <w:rsid w:val="003A44C9"/>
    <w:rsid w:val="003A47D5"/>
    <w:rsid w:val="003A4CAD"/>
    <w:rsid w:val="003A4D33"/>
    <w:rsid w:val="003A4D4A"/>
    <w:rsid w:val="003A50A4"/>
    <w:rsid w:val="003A5156"/>
    <w:rsid w:val="003A5208"/>
    <w:rsid w:val="003A5405"/>
    <w:rsid w:val="003A562B"/>
    <w:rsid w:val="003A5A47"/>
    <w:rsid w:val="003A5B36"/>
    <w:rsid w:val="003A5B8A"/>
    <w:rsid w:val="003A5C1F"/>
    <w:rsid w:val="003A5E43"/>
    <w:rsid w:val="003A61A1"/>
    <w:rsid w:val="003A6406"/>
    <w:rsid w:val="003A64DF"/>
    <w:rsid w:val="003A6904"/>
    <w:rsid w:val="003A69A7"/>
    <w:rsid w:val="003A6A84"/>
    <w:rsid w:val="003A6CCB"/>
    <w:rsid w:val="003A6DD6"/>
    <w:rsid w:val="003A6FF1"/>
    <w:rsid w:val="003A731C"/>
    <w:rsid w:val="003A73ED"/>
    <w:rsid w:val="003A758C"/>
    <w:rsid w:val="003A75FB"/>
    <w:rsid w:val="003A7661"/>
    <w:rsid w:val="003A799C"/>
    <w:rsid w:val="003A7A9E"/>
    <w:rsid w:val="003A7AA3"/>
    <w:rsid w:val="003A7C4C"/>
    <w:rsid w:val="003A7C9F"/>
    <w:rsid w:val="003A7D6E"/>
    <w:rsid w:val="003B001A"/>
    <w:rsid w:val="003B0360"/>
    <w:rsid w:val="003B0498"/>
    <w:rsid w:val="003B05A8"/>
    <w:rsid w:val="003B0601"/>
    <w:rsid w:val="003B0752"/>
    <w:rsid w:val="003B0B14"/>
    <w:rsid w:val="003B0B83"/>
    <w:rsid w:val="003B0EE7"/>
    <w:rsid w:val="003B10D0"/>
    <w:rsid w:val="003B143A"/>
    <w:rsid w:val="003B1597"/>
    <w:rsid w:val="003B162C"/>
    <w:rsid w:val="003B16E8"/>
    <w:rsid w:val="003B17F8"/>
    <w:rsid w:val="003B1926"/>
    <w:rsid w:val="003B1961"/>
    <w:rsid w:val="003B1BBA"/>
    <w:rsid w:val="003B1BCD"/>
    <w:rsid w:val="003B1CC1"/>
    <w:rsid w:val="003B1F1A"/>
    <w:rsid w:val="003B1F95"/>
    <w:rsid w:val="003B2044"/>
    <w:rsid w:val="003B210F"/>
    <w:rsid w:val="003B219A"/>
    <w:rsid w:val="003B2269"/>
    <w:rsid w:val="003B22AC"/>
    <w:rsid w:val="003B2353"/>
    <w:rsid w:val="003B23F3"/>
    <w:rsid w:val="003B2644"/>
    <w:rsid w:val="003B26A0"/>
    <w:rsid w:val="003B28BB"/>
    <w:rsid w:val="003B298A"/>
    <w:rsid w:val="003B29E4"/>
    <w:rsid w:val="003B2B62"/>
    <w:rsid w:val="003B2FB9"/>
    <w:rsid w:val="003B3039"/>
    <w:rsid w:val="003B3057"/>
    <w:rsid w:val="003B3156"/>
    <w:rsid w:val="003B3192"/>
    <w:rsid w:val="003B3585"/>
    <w:rsid w:val="003B35DD"/>
    <w:rsid w:val="003B376D"/>
    <w:rsid w:val="003B3830"/>
    <w:rsid w:val="003B3904"/>
    <w:rsid w:val="003B3988"/>
    <w:rsid w:val="003B3B26"/>
    <w:rsid w:val="003B3DAC"/>
    <w:rsid w:val="003B3E7E"/>
    <w:rsid w:val="003B3E8A"/>
    <w:rsid w:val="003B40FE"/>
    <w:rsid w:val="003B4158"/>
    <w:rsid w:val="003B43F8"/>
    <w:rsid w:val="003B4539"/>
    <w:rsid w:val="003B453E"/>
    <w:rsid w:val="003B4791"/>
    <w:rsid w:val="003B4818"/>
    <w:rsid w:val="003B4A9A"/>
    <w:rsid w:val="003B4B7F"/>
    <w:rsid w:val="003B4D4B"/>
    <w:rsid w:val="003B4DED"/>
    <w:rsid w:val="003B523F"/>
    <w:rsid w:val="003B52F6"/>
    <w:rsid w:val="003B5324"/>
    <w:rsid w:val="003B53B1"/>
    <w:rsid w:val="003B546D"/>
    <w:rsid w:val="003B5481"/>
    <w:rsid w:val="003B54FC"/>
    <w:rsid w:val="003B563B"/>
    <w:rsid w:val="003B57CF"/>
    <w:rsid w:val="003B5821"/>
    <w:rsid w:val="003B5892"/>
    <w:rsid w:val="003B5896"/>
    <w:rsid w:val="003B5AEB"/>
    <w:rsid w:val="003B5C28"/>
    <w:rsid w:val="003B5F31"/>
    <w:rsid w:val="003B6002"/>
    <w:rsid w:val="003B60C6"/>
    <w:rsid w:val="003B63EB"/>
    <w:rsid w:val="003B6502"/>
    <w:rsid w:val="003B664F"/>
    <w:rsid w:val="003B66D2"/>
    <w:rsid w:val="003B6E32"/>
    <w:rsid w:val="003B73B1"/>
    <w:rsid w:val="003B756A"/>
    <w:rsid w:val="003B7884"/>
    <w:rsid w:val="003B78D4"/>
    <w:rsid w:val="003B7907"/>
    <w:rsid w:val="003B7D94"/>
    <w:rsid w:val="003C0056"/>
    <w:rsid w:val="003C00D8"/>
    <w:rsid w:val="003C016C"/>
    <w:rsid w:val="003C01F3"/>
    <w:rsid w:val="003C02D3"/>
    <w:rsid w:val="003C03D6"/>
    <w:rsid w:val="003C062E"/>
    <w:rsid w:val="003C0667"/>
    <w:rsid w:val="003C0706"/>
    <w:rsid w:val="003C07AA"/>
    <w:rsid w:val="003C0886"/>
    <w:rsid w:val="003C089B"/>
    <w:rsid w:val="003C08B0"/>
    <w:rsid w:val="003C0B25"/>
    <w:rsid w:val="003C0C5C"/>
    <w:rsid w:val="003C0C82"/>
    <w:rsid w:val="003C0F8E"/>
    <w:rsid w:val="003C187C"/>
    <w:rsid w:val="003C189C"/>
    <w:rsid w:val="003C1B6E"/>
    <w:rsid w:val="003C1FE7"/>
    <w:rsid w:val="003C20C9"/>
    <w:rsid w:val="003C2101"/>
    <w:rsid w:val="003C21A1"/>
    <w:rsid w:val="003C2236"/>
    <w:rsid w:val="003C2296"/>
    <w:rsid w:val="003C2318"/>
    <w:rsid w:val="003C23F0"/>
    <w:rsid w:val="003C2466"/>
    <w:rsid w:val="003C24B4"/>
    <w:rsid w:val="003C28C8"/>
    <w:rsid w:val="003C32F0"/>
    <w:rsid w:val="003C3494"/>
    <w:rsid w:val="003C35B0"/>
    <w:rsid w:val="003C360E"/>
    <w:rsid w:val="003C36B7"/>
    <w:rsid w:val="003C3748"/>
    <w:rsid w:val="003C37EA"/>
    <w:rsid w:val="003C37F8"/>
    <w:rsid w:val="003C3814"/>
    <w:rsid w:val="003C396B"/>
    <w:rsid w:val="003C39D0"/>
    <w:rsid w:val="003C3AA7"/>
    <w:rsid w:val="003C3B54"/>
    <w:rsid w:val="003C3EC2"/>
    <w:rsid w:val="003C4145"/>
    <w:rsid w:val="003C43CA"/>
    <w:rsid w:val="003C48D7"/>
    <w:rsid w:val="003C4939"/>
    <w:rsid w:val="003C4A42"/>
    <w:rsid w:val="003C4CB2"/>
    <w:rsid w:val="003C4CF2"/>
    <w:rsid w:val="003C4E58"/>
    <w:rsid w:val="003C516C"/>
    <w:rsid w:val="003C52A7"/>
    <w:rsid w:val="003C52F5"/>
    <w:rsid w:val="003C5401"/>
    <w:rsid w:val="003C54E7"/>
    <w:rsid w:val="003C54ED"/>
    <w:rsid w:val="003C550F"/>
    <w:rsid w:val="003C5545"/>
    <w:rsid w:val="003C5676"/>
    <w:rsid w:val="003C56AF"/>
    <w:rsid w:val="003C59D5"/>
    <w:rsid w:val="003C5AE8"/>
    <w:rsid w:val="003C5BC3"/>
    <w:rsid w:val="003C6224"/>
    <w:rsid w:val="003C6276"/>
    <w:rsid w:val="003C6308"/>
    <w:rsid w:val="003C6481"/>
    <w:rsid w:val="003C6490"/>
    <w:rsid w:val="003C6A56"/>
    <w:rsid w:val="003C6B9A"/>
    <w:rsid w:val="003C6CB3"/>
    <w:rsid w:val="003C6CBA"/>
    <w:rsid w:val="003C6D14"/>
    <w:rsid w:val="003C6EA7"/>
    <w:rsid w:val="003C6F5A"/>
    <w:rsid w:val="003C6FA5"/>
    <w:rsid w:val="003C6FDE"/>
    <w:rsid w:val="003C70BD"/>
    <w:rsid w:val="003C7863"/>
    <w:rsid w:val="003C788C"/>
    <w:rsid w:val="003C7B6B"/>
    <w:rsid w:val="003C7D17"/>
    <w:rsid w:val="003C7D70"/>
    <w:rsid w:val="003C7E3A"/>
    <w:rsid w:val="003C7F45"/>
    <w:rsid w:val="003D013E"/>
    <w:rsid w:val="003D02A4"/>
    <w:rsid w:val="003D0592"/>
    <w:rsid w:val="003D09B0"/>
    <w:rsid w:val="003D0A56"/>
    <w:rsid w:val="003D0D93"/>
    <w:rsid w:val="003D0DAD"/>
    <w:rsid w:val="003D0DD3"/>
    <w:rsid w:val="003D0DE9"/>
    <w:rsid w:val="003D0E14"/>
    <w:rsid w:val="003D1091"/>
    <w:rsid w:val="003D11E0"/>
    <w:rsid w:val="003D1220"/>
    <w:rsid w:val="003D157F"/>
    <w:rsid w:val="003D185C"/>
    <w:rsid w:val="003D18F2"/>
    <w:rsid w:val="003D1B5E"/>
    <w:rsid w:val="003D1BF7"/>
    <w:rsid w:val="003D1CBF"/>
    <w:rsid w:val="003D1D52"/>
    <w:rsid w:val="003D1FF2"/>
    <w:rsid w:val="003D2034"/>
    <w:rsid w:val="003D210F"/>
    <w:rsid w:val="003D251D"/>
    <w:rsid w:val="003D2A84"/>
    <w:rsid w:val="003D2A87"/>
    <w:rsid w:val="003D2A92"/>
    <w:rsid w:val="003D2B06"/>
    <w:rsid w:val="003D2B07"/>
    <w:rsid w:val="003D2B44"/>
    <w:rsid w:val="003D2B57"/>
    <w:rsid w:val="003D2CB5"/>
    <w:rsid w:val="003D2CDB"/>
    <w:rsid w:val="003D32ED"/>
    <w:rsid w:val="003D33A8"/>
    <w:rsid w:val="003D3497"/>
    <w:rsid w:val="003D3563"/>
    <w:rsid w:val="003D392C"/>
    <w:rsid w:val="003D3968"/>
    <w:rsid w:val="003D3E03"/>
    <w:rsid w:val="003D3F7F"/>
    <w:rsid w:val="003D3F85"/>
    <w:rsid w:val="003D4517"/>
    <w:rsid w:val="003D4628"/>
    <w:rsid w:val="003D4BEE"/>
    <w:rsid w:val="003D4CF4"/>
    <w:rsid w:val="003D4E08"/>
    <w:rsid w:val="003D4F34"/>
    <w:rsid w:val="003D507C"/>
    <w:rsid w:val="003D517E"/>
    <w:rsid w:val="003D5573"/>
    <w:rsid w:val="003D5699"/>
    <w:rsid w:val="003D587C"/>
    <w:rsid w:val="003D5D3B"/>
    <w:rsid w:val="003D5E94"/>
    <w:rsid w:val="003D60F0"/>
    <w:rsid w:val="003D6168"/>
    <w:rsid w:val="003D61D5"/>
    <w:rsid w:val="003D62D0"/>
    <w:rsid w:val="003D6352"/>
    <w:rsid w:val="003D63C9"/>
    <w:rsid w:val="003D63EE"/>
    <w:rsid w:val="003D6501"/>
    <w:rsid w:val="003D68EA"/>
    <w:rsid w:val="003D6ACE"/>
    <w:rsid w:val="003D6C2E"/>
    <w:rsid w:val="003D6DFD"/>
    <w:rsid w:val="003D6F78"/>
    <w:rsid w:val="003D7054"/>
    <w:rsid w:val="003D70FD"/>
    <w:rsid w:val="003D71C8"/>
    <w:rsid w:val="003D7259"/>
    <w:rsid w:val="003D7394"/>
    <w:rsid w:val="003D7397"/>
    <w:rsid w:val="003D76DE"/>
    <w:rsid w:val="003D77C8"/>
    <w:rsid w:val="003D7836"/>
    <w:rsid w:val="003D7894"/>
    <w:rsid w:val="003D7BEF"/>
    <w:rsid w:val="003D7C70"/>
    <w:rsid w:val="003D7DFB"/>
    <w:rsid w:val="003D7E95"/>
    <w:rsid w:val="003D7FDA"/>
    <w:rsid w:val="003E0189"/>
    <w:rsid w:val="003E040B"/>
    <w:rsid w:val="003E0604"/>
    <w:rsid w:val="003E06BB"/>
    <w:rsid w:val="003E0718"/>
    <w:rsid w:val="003E0975"/>
    <w:rsid w:val="003E0990"/>
    <w:rsid w:val="003E0C9F"/>
    <w:rsid w:val="003E0FA2"/>
    <w:rsid w:val="003E16CF"/>
    <w:rsid w:val="003E1989"/>
    <w:rsid w:val="003E1B5E"/>
    <w:rsid w:val="003E1BAC"/>
    <w:rsid w:val="003E1DD8"/>
    <w:rsid w:val="003E1E50"/>
    <w:rsid w:val="003E1E81"/>
    <w:rsid w:val="003E20D6"/>
    <w:rsid w:val="003E225D"/>
    <w:rsid w:val="003E2280"/>
    <w:rsid w:val="003E2340"/>
    <w:rsid w:val="003E23DF"/>
    <w:rsid w:val="003E2752"/>
    <w:rsid w:val="003E28AE"/>
    <w:rsid w:val="003E2BDC"/>
    <w:rsid w:val="003E2EF6"/>
    <w:rsid w:val="003E336C"/>
    <w:rsid w:val="003E352C"/>
    <w:rsid w:val="003E36E6"/>
    <w:rsid w:val="003E3945"/>
    <w:rsid w:val="003E3968"/>
    <w:rsid w:val="003E3C2F"/>
    <w:rsid w:val="003E4018"/>
    <w:rsid w:val="003E425A"/>
    <w:rsid w:val="003E433C"/>
    <w:rsid w:val="003E43D8"/>
    <w:rsid w:val="003E4851"/>
    <w:rsid w:val="003E48F2"/>
    <w:rsid w:val="003E4B48"/>
    <w:rsid w:val="003E4C2E"/>
    <w:rsid w:val="003E4CB7"/>
    <w:rsid w:val="003E4CBD"/>
    <w:rsid w:val="003E4D87"/>
    <w:rsid w:val="003E4D90"/>
    <w:rsid w:val="003E4E73"/>
    <w:rsid w:val="003E502C"/>
    <w:rsid w:val="003E518A"/>
    <w:rsid w:val="003E54D2"/>
    <w:rsid w:val="003E560B"/>
    <w:rsid w:val="003E58B8"/>
    <w:rsid w:val="003E59F9"/>
    <w:rsid w:val="003E5ACF"/>
    <w:rsid w:val="003E5B43"/>
    <w:rsid w:val="003E5BD1"/>
    <w:rsid w:val="003E5CC9"/>
    <w:rsid w:val="003E5D13"/>
    <w:rsid w:val="003E5E9C"/>
    <w:rsid w:val="003E6141"/>
    <w:rsid w:val="003E6596"/>
    <w:rsid w:val="003E663A"/>
    <w:rsid w:val="003E6A1B"/>
    <w:rsid w:val="003E6A5D"/>
    <w:rsid w:val="003E6AD5"/>
    <w:rsid w:val="003E6BCC"/>
    <w:rsid w:val="003E6D1D"/>
    <w:rsid w:val="003E6DD3"/>
    <w:rsid w:val="003E6E35"/>
    <w:rsid w:val="003E6ED4"/>
    <w:rsid w:val="003E70FF"/>
    <w:rsid w:val="003E76A1"/>
    <w:rsid w:val="003E76FF"/>
    <w:rsid w:val="003E77DD"/>
    <w:rsid w:val="003E7808"/>
    <w:rsid w:val="003E7840"/>
    <w:rsid w:val="003E7964"/>
    <w:rsid w:val="003E7E80"/>
    <w:rsid w:val="003F0282"/>
    <w:rsid w:val="003F04C2"/>
    <w:rsid w:val="003F073E"/>
    <w:rsid w:val="003F0C8A"/>
    <w:rsid w:val="003F0E98"/>
    <w:rsid w:val="003F0EC4"/>
    <w:rsid w:val="003F1112"/>
    <w:rsid w:val="003F1597"/>
    <w:rsid w:val="003F1753"/>
    <w:rsid w:val="003F17E2"/>
    <w:rsid w:val="003F189B"/>
    <w:rsid w:val="003F1942"/>
    <w:rsid w:val="003F1BC4"/>
    <w:rsid w:val="003F1C81"/>
    <w:rsid w:val="003F1DE1"/>
    <w:rsid w:val="003F1E9D"/>
    <w:rsid w:val="003F1F1F"/>
    <w:rsid w:val="003F2380"/>
    <w:rsid w:val="003F24D9"/>
    <w:rsid w:val="003F2865"/>
    <w:rsid w:val="003F2E5B"/>
    <w:rsid w:val="003F3137"/>
    <w:rsid w:val="003F31FA"/>
    <w:rsid w:val="003F32B5"/>
    <w:rsid w:val="003F3472"/>
    <w:rsid w:val="003F3554"/>
    <w:rsid w:val="003F363A"/>
    <w:rsid w:val="003F3826"/>
    <w:rsid w:val="003F3FF8"/>
    <w:rsid w:val="003F41F5"/>
    <w:rsid w:val="003F438B"/>
    <w:rsid w:val="003F44A7"/>
    <w:rsid w:val="003F47DB"/>
    <w:rsid w:val="003F4828"/>
    <w:rsid w:val="003F49AD"/>
    <w:rsid w:val="003F502A"/>
    <w:rsid w:val="003F5160"/>
    <w:rsid w:val="003F56A1"/>
    <w:rsid w:val="003F5A18"/>
    <w:rsid w:val="003F5A2A"/>
    <w:rsid w:val="003F5AAC"/>
    <w:rsid w:val="003F5BC1"/>
    <w:rsid w:val="003F5CD4"/>
    <w:rsid w:val="003F5DB3"/>
    <w:rsid w:val="003F61BE"/>
    <w:rsid w:val="003F62A4"/>
    <w:rsid w:val="003F6430"/>
    <w:rsid w:val="003F64A2"/>
    <w:rsid w:val="003F66D5"/>
    <w:rsid w:val="003F6776"/>
    <w:rsid w:val="003F698D"/>
    <w:rsid w:val="003F6C09"/>
    <w:rsid w:val="003F6CCD"/>
    <w:rsid w:val="003F6D44"/>
    <w:rsid w:val="003F71B1"/>
    <w:rsid w:val="003F74EA"/>
    <w:rsid w:val="003F7686"/>
    <w:rsid w:val="003F768F"/>
    <w:rsid w:val="003F7BB6"/>
    <w:rsid w:val="003F7C2B"/>
    <w:rsid w:val="003F7EE0"/>
    <w:rsid w:val="00400041"/>
    <w:rsid w:val="004000E9"/>
    <w:rsid w:val="00400234"/>
    <w:rsid w:val="004002F4"/>
    <w:rsid w:val="0040067D"/>
    <w:rsid w:val="004007D7"/>
    <w:rsid w:val="00400ACB"/>
    <w:rsid w:val="00401082"/>
    <w:rsid w:val="0040113D"/>
    <w:rsid w:val="00401361"/>
    <w:rsid w:val="004018B0"/>
    <w:rsid w:val="00401928"/>
    <w:rsid w:val="00401B48"/>
    <w:rsid w:val="00401DDB"/>
    <w:rsid w:val="00401F16"/>
    <w:rsid w:val="00401F78"/>
    <w:rsid w:val="00402365"/>
    <w:rsid w:val="00402834"/>
    <w:rsid w:val="0040287E"/>
    <w:rsid w:val="00402ECC"/>
    <w:rsid w:val="00402F26"/>
    <w:rsid w:val="00402FBA"/>
    <w:rsid w:val="00402FF4"/>
    <w:rsid w:val="004031B2"/>
    <w:rsid w:val="004032AC"/>
    <w:rsid w:val="004032C8"/>
    <w:rsid w:val="00403478"/>
    <w:rsid w:val="004034D4"/>
    <w:rsid w:val="00403570"/>
    <w:rsid w:val="00403743"/>
    <w:rsid w:val="0040374F"/>
    <w:rsid w:val="0040375B"/>
    <w:rsid w:val="004037A9"/>
    <w:rsid w:val="0040386C"/>
    <w:rsid w:val="004038E1"/>
    <w:rsid w:val="004039F5"/>
    <w:rsid w:val="00403C88"/>
    <w:rsid w:val="00404013"/>
    <w:rsid w:val="00404205"/>
    <w:rsid w:val="004043AF"/>
    <w:rsid w:val="0040441D"/>
    <w:rsid w:val="0040477B"/>
    <w:rsid w:val="004047C8"/>
    <w:rsid w:val="00404B1A"/>
    <w:rsid w:val="00404BC3"/>
    <w:rsid w:val="00404CC9"/>
    <w:rsid w:val="0040501D"/>
    <w:rsid w:val="0040513C"/>
    <w:rsid w:val="0040535E"/>
    <w:rsid w:val="0040536D"/>
    <w:rsid w:val="00405438"/>
    <w:rsid w:val="00405577"/>
    <w:rsid w:val="004055E1"/>
    <w:rsid w:val="00405820"/>
    <w:rsid w:val="00405867"/>
    <w:rsid w:val="00405877"/>
    <w:rsid w:val="00405BD7"/>
    <w:rsid w:val="00405BE6"/>
    <w:rsid w:val="00405CF2"/>
    <w:rsid w:val="00405F73"/>
    <w:rsid w:val="0040640D"/>
    <w:rsid w:val="00406493"/>
    <w:rsid w:val="004064B8"/>
    <w:rsid w:val="0040668F"/>
    <w:rsid w:val="00406783"/>
    <w:rsid w:val="00406B1A"/>
    <w:rsid w:val="00406DC8"/>
    <w:rsid w:val="00406FA7"/>
    <w:rsid w:val="00406FDC"/>
    <w:rsid w:val="00407262"/>
    <w:rsid w:val="004073A3"/>
    <w:rsid w:val="004073C2"/>
    <w:rsid w:val="00407789"/>
    <w:rsid w:val="004079B0"/>
    <w:rsid w:val="00407A7B"/>
    <w:rsid w:val="00407BAE"/>
    <w:rsid w:val="00407C9D"/>
    <w:rsid w:val="00407CFC"/>
    <w:rsid w:val="00410072"/>
    <w:rsid w:val="004103CB"/>
    <w:rsid w:val="00410452"/>
    <w:rsid w:val="0041067D"/>
    <w:rsid w:val="00410819"/>
    <w:rsid w:val="004109A4"/>
    <w:rsid w:val="00410A1E"/>
    <w:rsid w:val="00410A73"/>
    <w:rsid w:val="00410F0B"/>
    <w:rsid w:val="0041126C"/>
    <w:rsid w:val="0041130F"/>
    <w:rsid w:val="004115C7"/>
    <w:rsid w:val="00411656"/>
    <w:rsid w:val="00411806"/>
    <w:rsid w:val="0041188F"/>
    <w:rsid w:val="00411892"/>
    <w:rsid w:val="00411A81"/>
    <w:rsid w:val="00411C8A"/>
    <w:rsid w:val="00411D64"/>
    <w:rsid w:val="00411E98"/>
    <w:rsid w:val="0041212D"/>
    <w:rsid w:val="00412318"/>
    <w:rsid w:val="004125B5"/>
    <w:rsid w:val="00412723"/>
    <w:rsid w:val="00412762"/>
    <w:rsid w:val="00412791"/>
    <w:rsid w:val="0041288C"/>
    <w:rsid w:val="00412B76"/>
    <w:rsid w:val="00412BBE"/>
    <w:rsid w:val="00412DEC"/>
    <w:rsid w:val="00412E07"/>
    <w:rsid w:val="00412EF6"/>
    <w:rsid w:val="004131DB"/>
    <w:rsid w:val="0041324C"/>
    <w:rsid w:val="004135F6"/>
    <w:rsid w:val="004136FF"/>
    <w:rsid w:val="004139D4"/>
    <w:rsid w:val="00413A20"/>
    <w:rsid w:val="00413BEA"/>
    <w:rsid w:val="00413E43"/>
    <w:rsid w:val="00413E49"/>
    <w:rsid w:val="00413E89"/>
    <w:rsid w:val="00414177"/>
    <w:rsid w:val="00414217"/>
    <w:rsid w:val="004145D2"/>
    <w:rsid w:val="004145D7"/>
    <w:rsid w:val="00414997"/>
    <w:rsid w:val="00414B55"/>
    <w:rsid w:val="00414B5D"/>
    <w:rsid w:val="00414BE4"/>
    <w:rsid w:val="00414C21"/>
    <w:rsid w:val="00414F11"/>
    <w:rsid w:val="00414F76"/>
    <w:rsid w:val="00415033"/>
    <w:rsid w:val="004151A5"/>
    <w:rsid w:val="004152CA"/>
    <w:rsid w:val="004153C7"/>
    <w:rsid w:val="004159DA"/>
    <w:rsid w:val="00415A35"/>
    <w:rsid w:val="00415A41"/>
    <w:rsid w:val="00415B41"/>
    <w:rsid w:val="00415D6D"/>
    <w:rsid w:val="00415E4F"/>
    <w:rsid w:val="0041613A"/>
    <w:rsid w:val="004161DF"/>
    <w:rsid w:val="00416412"/>
    <w:rsid w:val="00416474"/>
    <w:rsid w:val="004164EC"/>
    <w:rsid w:val="00416762"/>
    <w:rsid w:val="0041678F"/>
    <w:rsid w:val="00416912"/>
    <w:rsid w:val="00416A18"/>
    <w:rsid w:val="00416AA3"/>
    <w:rsid w:val="00416BA9"/>
    <w:rsid w:val="00416E55"/>
    <w:rsid w:val="00416EA0"/>
    <w:rsid w:val="00417308"/>
    <w:rsid w:val="0041732A"/>
    <w:rsid w:val="00417338"/>
    <w:rsid w:val="004175E7"/>
    <w:rsid w:val="00417884"/>
    <w:rsid w:val="00417C1E"/>
    <w:rsid w:val="00417D2C"/>
    <w:rsid w:val="004200B6"/>
    <w:rsid w:val="00420151"/>
    <w:rsid w:val="0042020E"/>
    <w:rsid w:val="0042047F"/>
    <w:rsid w:val="0042057A"/>
    <w:rsid w:val="0042058A"/>
    <w:rsid w:val="004205C4"/>
    <w:rsid w:val="004205FD"/>
    <w:rsid w:val="00420B28"/>
    <w:rsid w:val="00420BE5"/>
    <w:rsid w:val="00420E79"/>
    <w:rsid w:val="00421416"/>
    <w:rsid w:val="00421583"/>
    <w:rsid w:val="00421908"/>
    <w:rsid w:val="00421955"/>
    <w:rsid w:val="00421AA3"/>
    <w:rsid w:val="00421B0E"/>
    <w:rsid w:val="00421B30"/>
    <w:rsid w:val="00422024"/>
    <w:rsid w:val="004226F3"/>
    <w:rsid w:val="00422862"/>
    <w:rsid w:val="00422A72"/>
    <w:rsid w:val="00422B2C"/>
    <w:rsid w:val="00422FB8"/>
    <w:rsid w:val="00422FD6"/>
    <w:rsid w:val="004231A9"/>
    <w:rsid w:val="004231B7"/>
    <w:rsid w:val="004231FA"/>
    <w:rsid w:val="00423491"/>
    <w:rsid w:val="004234E5"/>
    <w:rsid w:val="004236CC"/>
    <w:rsid w:val="0042386A"/>
    <w:rsid w:val="00423DE0"/>
    <w:rsid w:val="00423F10"/>
    <w:rsid w:val="0042406F"/>
    <w:rsid w:val="004241D8"/>
    <w:rsid w:val="004241E3"/>
    <w:rsid w:val="00424275"/>
    <w:rsid w:val="00424719"/>
    <w:rsid w:val="00424765"/>
    <w:rsid w:val="0042488C"/>
    <w:rsid w:val="00424BD0"/>
    <w:rsid w:val="00424EF6"/>
    <w:rsid w:val="00424FC4"/>
    <w:rsid w:val="0042512B"/>
    <w:rsid w:val="00425140"/>
    <w:rsid w:val="0042518A"/>
    <w:rsid w:val="004253A3"/>
    <w:rsid w:val="004254C8"/>
    <w:rsid w:val="0042566F"/>
    <w:rsid w:val="0042576C"/>
    <w:rsid w:val="004258AC"/>
    <w:rsid w:val="00425BC3"/>
    <w:rsid w:val="00425E50"/>
    <w:rsid w:val="0042627D"/>
    <w:rsid w:val="00426676"/>
    <w:rsid w:val="00426693"/>
    <w:rsid w:val="004266E3"/>
    <w:rsid w:val="00426A3A"/>
    <w:rsid w:val="00426AA8"/>
    <w:rsid w:val="00426C28"/>
    <w:rsid w:val="00426F28"/>
    <w:rsid w:val="00426F44"/>
    <w:rsid w:val="00426FD1"/>
    <w:rsid w:val="00427333"/>
    <w:rsid w:val="00427340"/>
    <w:rsid w:val="004273AB"/>
    <w:rsid w:val="004273DC"/>
    <w:rsid w:val="004276A0"/>
    <w:rsid w:val="0042786D"/>
    <w:rsid w:val="0042789D"/>
    <w:rsid w:val="004279B3"/>
    <w:rsid w:val="00427AC6"/>
    <w:rsid w:val="00427DB2"/>
    <w:rsid w:val="00427F92"/>
    <w:rsid w:val="00427FAB"/>
    <w:rsid w:val="00430157"/>
    <w:rsid w:val="004303C6"/>
    <w:rsid w:val="0043040B"/>
    <w:rsid w:val="004308CD"/>
    <w:rsid w:val="00430C40"/>
    <w:rsid w:val="00430F3C"/>
    <w:rsid w:val="00431071"/>
    <w:rsid w:val="0043118B"/>
    <w:rsid w:val="004313CE"/>
    <w:rsid w:val="004314A6"/>
    <w:rsid w:val="004314C9"/>
    <w:rsid w:val="00431BCD"/>
    <w:rsid w:val="00431C62"/>
    <w:rsid w:val="00431EA1"/>
    <w:rsid w:val="00431FE1"/>
    <w:rsid w:val="0043228A"/>
    <w:rsid w:val="00432AA3"/>
    <w:rsid w:val="00432B1A"/>
    <w:rsid w:val="00432BD8"/>
    <w:rsid w:val="00432D6A"/>
    <w:rsid w:val="004330B6"/>
    <w:rsid w:val="004330E3"/>
    <w:rsid w:val="004332A9"/>
    <w:rsid w:val="0043374C"/>
    <w:rsid w:val="0043387C"/>
    <w:rsid w:val="00433A79"/>
    <w:rsid w:val="00433C56"/>
    <w:rsid w:val="00433CEB"/>
    <w:rsid w:val="00433D4B"/>
    <w:rsid w:val="00433D8E"/>
    <w:rsid w:val="00433E9C"/>
    <w:rsid w:val="00433F21"/>
    <w:rsid w:val="00433F57"/>
    <w:rsid w:val="00434234"/>
    <w:rsid w:val="004347EA"/>
    <w:rsid w:val="00434F6A"/>
    <w:rsid w:val="00434FBD"/>
    <w:rsid w:val="004350CF"/>
    <w:rsid w:val="004350FB"/>
    <w:rsid w:val="00435100"/>
    <w:rsid w:val="00435142"/>
    <w:rsid w:val="004352AF"/>
    <w:rsid w:val="004353B0"/>
    <w:rsid w:val="00435411"/>
    <w:rsid w:val="0043549D"/>
    <w:rsid w:val="00435941"/>
    <w:rsid w:val="00435B1A"/>
    <w:rsid w:val="00435F18"/>
    <w:rsid w:val="00436045"/>
    <w:rsid w:val="00436121"/>
    <w:rsid w:val="004362DC"/>
    <w:rsid w:val="0043642D"/>
    <w:rsid w:val="0043649F"/>
    <w:rsid w:val="00436652"/>
    <w:rsid w:val="0043667F"/>
    <w:rsid w:val="00436FB8"/>
    <w:rsid w:val="00437002"/>
    <w:rsid w:val="00437202"/>
    <w:rsid w:val="004373B1"/>
    <w:rsid w:val="00437527"/>
    <w:rsid w:val="0043761A"/>
    <w:rsid w:val="00437713"/>
    <w:rsid w:val="00437A67"/>
    <w:rsid w:val="00437CA7"/>
    <w:rsid w:val="00437FF5"/>
    <w:rsid w:val="004401CD"/>
    <w:rsid w:val="00440328"/>
    <w:rsid w:val="004405CB"/>
    <w:rsid w:val="00440691"/>
    <w:rsid w:val="004406A0"/>
    <w:rsid w:val="00440CA8"/>
    <w:rsid w:val="00440E84"/>
    <w:rsid w:val="00440EA3"/>
    <w:rsid w:val="00440ED3"/>
    <w:rsid w:val="00440F8F"/>
    <w:rsid w:val="00441195"/>
    <w:rsid w:val="004417C3"/>
    <w:rsid w:val="00441913"/>
    <w:rsid w:val="00441B16"/>
    <w:rsid w:val="00441B34"/>
    <w:rsid w:val="00441C11"/>
    <w:rsid w:val="00441D2E"/>
    <w:rsid w:val="00441DFC"/>
    <w:rsid w:val="0044202C"/>
    <w:rsid w:val="004421EE"/>
    <w:rsid w:val="0044240E"/>
    <w:rsid w:val="004426C5"/>
    <w:rsid w:val="004426FC"/>
    <w:rsid w:val="00442777"/>
    <w:rsid w:val="00442876"/>
    <w:rsid w:val="00442922"/>
    <w:rsid w:val="00442982"/>
    <w:rsid w:val="00442B94"/>
    <w:rsid w:val="00442C47"/>
    <w:rsid w:val="004435B9"/>
    <w:rsid w:val="00443C0F"/>
    <w:rsid w:val="00443D67"/>
    <w:rsid w:val="00443E57"/>
    <w:rsid w:val="004440F1"/>
    <w:rsid w:val="00444823"/>
    <w:rsid w:val="00444958"/>
    <w:rsid w:val="00444974"/>
    <w:rsid w:val="00444A63"/>
    <w:rsid w:val="00444A64"/>
    <w:rsid w:val="00444CDB"/>
    <w:rsid w:val="00444DFA"/>
    <w:rsid w:val="00444DFF"/>
    <w:rsid w:val="00444E3E"/>
    <w:rsid w:val="00445016"/>
    <w:rsid w:val="00445146"/>
    <w:rsid w:val="00445265"/>
    <w:rsid w:val="0044548B"/>
    <w:rsid w:val="00445543"/>
    <w:rsid w:val="0044573B"/>
    <w:rsid w:val="0044599A"/>
    <w:rsid w:val="00445DBB"/>
    <w:rsid w:val="00445F04"/>
    <w:rsid w:val="00445F87"/>
    <w:rsid w:val="004469BC"/>
    <w:rsid w:val="00446A9A"/>
    <w:rsid w:val="00446C90"/>
    <w:rsid w:val="00446D9E"/>
    <w:rsid w:val="004471C5"/>
    <w:rsid w:val="0044738C"/>
    <w:rsid w:val="00447482"/>
    <w:rsid w:val="004478B0"/>
    <w:rsid w:val="004478E1"/>
    <w:rsid w:val="004479C1"/>
    <w:rsid w:val="00447BB0"/>
    <w:rsid w:val="00447C61"/>
    <w:rsid w:val="00447D63"/>
    <w:rsid w:val="00447E0C"/>
    <w:rsid w:val="004500E5"/>
    <w:rsid w:val="00450525"/>
    <w:rsid w:val="00450592"/>
    <w:rsid w:val="0045076E"/>
    <w:rsid w:val="00450896"/>
    <w:rsid w:val="00450A55"/>
    <w:rsid w:val="00450B89"/>
    <w:rsid w:val="00450C58"/>
    <w:rsid w:val="00450CAC"/>
    <w:rsid w:val="00450DF0"/>
    <w:rsid w:val="00450E32"/>
    <w:rsid w:val="004510EE"/>
    <w:rsid w:val="00451652"/>
    <w:rsid w:val="004516FB"/>
    <w:rsid w:val="0045193A"/>
    <w:rsid w:val="00451B1E"/>
    <w:rsid w:val="00451F37"/>
    <w:rsid w:val="00451F43"/>
    <w:rsid w:val="00451FD3"/>
    <w:rsid w:val="00452015"/>
    <w:rsid w:val="00452188"/>
    <w:rsid w:val="004523E8"/>
    <w:rsid w:val="00452843"/>
    <w:rsid w:val="00452941"/>
    <w:rsid w:val="00452981"/>
    <w:rsid w:val="00452E34"/>
    <w:rsid w:val="00452FC7"/>
    <w:rsid w:val="004532C5"/>
    <w:rsid w:val="00453476"/>
    <w:rsid w:val="004536A5"/>
    <w:rsid w:val="004539DA"/>
    <w:rsid w:val="00453AE5"/>
    <w:rsid w:val="00453EB0"/>
    <w:rsid w:val="004542D3"/>
    <w:rsid w:val="00454382"/>
    <w:rsid w:val="00454397"/>
    <w:rsid w:val="004544D1"/>
    <w:rsid w:val="0045455C"/>
    <w:rsid w:val="0045479C"/>
    <w:rsid w:val="0045488B"/>
    <w:rsid w:val="00454B96"/>
    <w:rsid w:val="004550B0"/>
    <w:rsid w:val="00455412"/>
    <w:rsid w:val="004554F0"/>
    <w:rsid w:val="0045560F"/>
    <w:rsid w:val="004556B3"/>
    <w:rsid w:val="004556F9"/>
    <w:rsid w:val="0045570B"/>
    <w:rsid w:val="0045580D"/>
    <w:rsid w:val="0045591C"/>
    <w:rsid w:val="004559CE"/>
    <w:rsid w:val="00455A9C"/>
    <w:rsid w:val="00455E1F"/>
    <w:rsid w:val="00455E4A"/>
    <w:rsid w:val="00456444"/>
    <w:rsid w:val="004565E0"/>
    <w:rsid w:val="0045661A"/>
    <w:rsid w:val="0045661D"/>
    <w:rsid w:val="00456A33"/>
    <w:rsid w:val="00456A72"/>
    <w:rsid w:val="00456A8E"/>
    <w:rsid w:val="00456B6A"/>
    <w:rsid w:val="00456BA0"/>
    <w:rsid w:val="00456CC7"/>
    <w:rsid w:val="0045734D"/>
    <w:rsid w:val="00457609"/>
    <w:rsid w:val="0045796D"/>
    <w:rsid w:val="0045798F"/>
    <w:rsid w:val="004579DE"/>
    <w:rsid w:val="00457A70"/>
    <w:rsid w:val="00460060"/>
    <w:rsid w:val="00460105"/>
    <w:rsid w:val="00460437"/>
    <w:rsid w:val="004606D3"/>
    <w:rsid w:val="0046072D"/>
    <w:rsid w:val="0046080D"/>
    <w:rsid w:val="004609D3"/>
    <w:rsid w:val="00460C2C"/>
    <w:rsid w:val="00460C57"/>
    <w:rsid w:val="00460E1A"/>
    <w:rsid w:val="0046130A"/>
    <w:rsid w:val="0046130B"/>
    <w:rsid w:val="00461474"/>
    <w:rsid w:val="00461515"/>
    <w:rsid w:val="00461774"/>
    <w:rsid w:val="004617B2"/>
    <w:rsid w:val="0046187F"/>
    <w:rsid w:val="00461919"/>
    <w:rsid w:val="004619A2"/>
    <w:rsid w:val="00461B06"/>
    <w:rsid w:val="00461D06"/>
    <w:rsid w:val="00462256"/>
    <w:rsid w:val="00462641"/>
    <w:rsid w:val="0046295D"/>
    <w:rsid w:val="00462C54"/>
    <w:rsid w:val="00462D6F"/>
    <w:rsid w:val="00462D91"/>
    <w:rsid w:val="00462E7A"/>
    <w:rsid w:val="00462FD4"/>
    <w:rsid w:val="00463079"/>
    <w:rsid w:val="00463168"/>
    <w:rsid w:val="0046325E"/>
    <w:rsid w:val="004633A9"/>
    <w:rsid w:val="004633B0"/>
    <w:rsid w:val="004635AE"/>
    <w:rsid w:val="00463746"/>
    <w:rsid w:val="0046374C"/>
    <w:rsid w:val="004638A8"/>
    <w:rsid w:val="00463C62"/>
    <w:rsid w:val="00463DF8"/>
    <w:rsid w:val="0046432A"/>
    <w:rsid w:val="0046447E"/>
    <w:rsid w:val="0046454E"/>
    <w:rsid w:val="00464602"/>
    <w:rsid w:val="0046480D"/>
    <w:rsid w:val="00464969"/>
    <w:rsid w:val="00464A47"/>
    <w:rsid w:val="004651D1"/>
    <w:rsid w:val="0046548F"/>
    <w:rsid w:val="004657BA"/>
    <w:rsid w:val="0046582C"/>
    <w:rsid w:val="00465987"/>
    <w:rsid w:val="00465992"/>
    <w:rsid w:val="00465993"/>
    <w:rsid w:val="00465A72"/>
    <w:rsid w:val="00465C7F"/>
    <w:rsid w:val="0046616F"/>
    <w:rsid w:val="004661C4"/>
    <w:rsid w:val="004661C6"/>
    <w:rsid w:val="00466321"/>
    <w:rsid w:val="00466618"/>
    <w:rsid w:val="00466837"/>
    <w:rsid w:val="00466A6F"/>
    <w:rsid w:val="00466A77"/>
    <w:rsid w:val="00466CDC"/>
    <w:rsid w:val="0046702E"/>
    <w:rsid w:val="00467073"/>
    <w:rsid w:val="004670F7"/>
    <w:rsid w:val="00467115"/>
    <w:rsid w:val="004671F5"/>
    <w:rsid w:val="00467607"/>
    <w:rsid w:val="00467631"/>
    <w:rsid w:val="00467907"/>
    <w:rsid w:val="00467974"/>
    <w:rsid w:val="00467EE0"/>
    <w:rsid w:val="00467F5D"/>
    <w:rsid w:val="00467FCC"/>
    <w:rsid w:val="00467FEB"/>
    <w:rsid w:val="00470055"/>
    <w:rsid w:val="00470115"/>
    <w:rsid w:val="004706C6"/>
    <w:rsid w:val="004707BE"/>
    <w:rsid w:val="00470B6A"/>
    <w:rsid w:val="00470E3B"/>
    <w:rsid w:val="00470FC8"/>
    <w:rsid w:val="004712B6"/>
    <w:rsid w:val="004714CC"/>
    <w:rsid w:val="0047162B"/>
    <w:rsid w:val="004716E4"/>
    <w:rsid w:val="00471740"/>
    <w:rsid w:val="00471966"/>
    <w:rsid w:val="00471A3C"/>
    <w:rsid w:val="00471C6A"/>
    <w:rsid w:val="00471D95"/>
    <w:rsid w:val="00471EFD"/>
    <w:rsid w:val="00472321"/>
    <w:rsid w:val="004723A1"/>
    <w:rsid w:val="004723DD"/>
    <w:rsid w:val="00472B32"/>
    <w:rsid w:val="00472EE4"/>
    <w:rsid w:val="00472F84"/>
    <w:rsid w:val="0047326E"/>
    <w:rsid w:val="0047341E"/>
    <w:rsid w:val="0047342C"/>
    <w:rsid w:val="004734A4"/>
    <w:rsid w:val="00473605"/>
    <w:rsid w:val="0047362C"/>
    <w:rsid w:val="0047384F"/>
    <w:rsid w:val="00473B1C"/>
    <w:rsid w:val="00473DDF"/>
    <w:rsid w:val="00473E32"/>
    <w:rsid w:val="00473E79"/>
    <w:rsid w:val="00473F0B"/>
    <w:rsid w:val="00474311"/>
    <w:rsid w:val="0047466F"/>
    <w:rsid w:val="00474798"/>
    <w:rsid w:val="0047481C"/>
    <w:rsid w:val="00474884"/>
    <w:rsid w:val="00475082"/>
    <w:rsid w:val="00475085"/>
    <w:rsid w:val="00475279"/>
    <w:rsid w:val="00475346"/>
    <w:rsid w:val="00475420"/>
    <w:rsid w:val="004754FE"/>
    <w:rsid w:val="004757C6"/>
    <w:rsid w:val="00475DCB"/>
    <w:rsid w:val="00475F98"/>
    <w:rsid w:val="0047612F"/>
    <w:rsid w:val="00476285"/>
    <w:rsid w:val="0047639A"/>
    <w:rsid w:val="00476515"/>
    <w:rsid w:val="004766A1"/>
    <w:rsid w:val="004766F7"/>
    <w:rsid w:val="00476858"/>
    <w:rsid w:val="0047690E"/>
    <w:rsid w:val="00476974"/>
    <w:rsid w:val="004769F7"/>
    <w:rsid w:val="00476A12"/>
    <w:rsid w:val="00476A43"/>
    <w:rsid w:val="00476BED"/>
    <w:rsid w:val="00476C94"/>
    <w:rsid w:val="00476CC0"/>
    <w:rsid w:val="00476CF6"/>
    <w:rsid w:val="00476ECF"/>
    <w:rsid w:val="00477443"/>
    <w:rsid w:val="0047760C"/>
    <w:rsid w:val="004776AD"/>
    <w:rsid w:val="004776DE"/>
    <w:rsid w:val="0047789C"/>
    <w:rsid w:val="00477923"/>
    <w:rsid w:val="004779B4"/>
    <w:rsid w:val="00477A04"/>
    <w:rsid w:val="00477AA8"/>
    <w:rsid w:val="00477F46"/>
    <w:rsid w:val="004802E2"/>
    <w:rsid w:val="0048046C"/>
    <w:rsid w:val="00480775"/>
    <w:rsid w:val="004807CD"/>
    <w:rsid w:val="00480828"/>
    <w:rsid w:val="00480898"/>
    <w:rsid w:val="004808AC"/>
    <w:rsid w:val="0048099F"/>
    <w:rsid w:val="00480C3F"/>
    <w:rsid w:val="00480D88"/>
    <w:rsid w:val="00480E22"/>
    <w:rsid w:val="004812D1"/>
    <w:rsid w:val="00481313"/>
    <w:rsid w:val="004817C6"/>
    <w:rsid w:val="004817E7"/>
    <w:rsid w:val="00481919"/>
    <w:rsid w:val="00481A78"/>
    <w:rsid w:val="00481AC9"/>
    <w:rsid w:val="00481ACC"/>
    <w:rsid w:val="00481B9E"/>
    <w:rsid w:val="004820DF"/>
    <w:rsid w:val="0048217A"/>
    <w:rsid w:val="00482255"/>
    <w:rsid w:val="004822D5"/>
    <w:rsid w:val="00482350"/>
    <w:rsid w:val="00482671"/>
    <w:rsid w:val="0048269D"/>
    <w:rsid w:val="004826F5"/>
    <w:rsid w:val="00482973"/>
    <w:rsid w:val="00482E2E"/>
    <w:rsid w:val="00482E88"/>
    <w:rsid w:val="004830C3"/>
    <w:rsid w:val="00483128"/>
    <w:rsid w:val="0048327E"/>
    <w:rsid w:val="0048328E"/>
    <w:rsid w:val="004837CB"/>
    <w:rsid w:val="00483A69"/>
    <w:rsid w:val="00483AA8"/>
    <w:rsid w:val="00483AFE"/>
    <w:rsid w:val="00483C97"/>
    <w:rsid w:val="00483CFE"/>
    <w:rsid w:val="00484066"/>
    <w:rsid w:val="00484105"/>
    <w:rsid w:val="004846A7"/>
    <w:rsid w:val="00484BE4"/>
    <w:rsid w:val="00484E68"/>
    <w:rsid w:val="00484F05"/>
    <w:rsid w:val="00484FC8"/>
    <w:rsid w:val="00485384"/>
    <w:rsid w:val="004853AC"/>
    <w:rsid w:val="00485582"/>
    <w:rsid w:val="00485B5D"/>
    <w:rsid w:val="00485D65"/>
    <w:rsid w:val="00485E06"/>
    <w:rsid w:val="00486077"/>
    <w:rsid w:val="004865ED"/>
    <w:rsid w:val="0048666B"/>
    <w:rsid w:val="00486CC6"/>
    <w:rsid w:val="00486E41"/>
    <w:rsid w:val="00486FA1"/>
    <w:rsid w:val="00486FC5"/>
    <w:rsid w:val="0048761C"/>
    <w:rsid w:val="0048766A"/>
    <w:rsid w:val="004876F4"/>
    <w:rsid w:val="004877BF"/>
    <w:rsid w:val="00487A1E"/>
    <w:rsid w:val="00487B0D"/>
    <w:rsid w:val="00487B11"/>
    <w:rsid w:val="00487D32"/>
    <w:rsid w:val="00487EAE"/>
    <w:rsid w:val="00490405"/>
    <w:rsid w:val="00490598"/>
    <w:rsid w:val="0049082A"/>
    <w:rsid w:val="00490970"/>
    <w:rsid w:val="00490A9E"/>
    <w:rsid w:val="00490E42"/>
    <w:rsid w:val="00490F89"/>
    <w:rsid w:val="0049101B"/>
    <w:rsid w:val="004914DF"/>
    <w:rsid w:val="004915CB"/>
    <w:rsid w:val="004915EA"/>
    <w:rsid w:val="004916C7"/>
    <w:rsid w:val="004916EB"/>
    <w:rsid w:val="00491A43"/>
    <w:rsid w:val="00491B06"/>
    <w:rsid w:val="00491D1D"/>
    <w:rsid w:val="00491E5A"/>
    <w:rsid w:val="004925C2"/>
    <w:rsid w:val="00492BAD"/>
    <w:rsid w:val="00492D1A"/>
    <w:rsid w:val="00492F50"/>
    <w:rsid w:val="00492FCB"/>
    <w:rsid w:val="00493069"/>
    <w:rsid w:val="004937E7"/>
    <w:rsid w:val="0049395E"/>
    <w:rsid w:val="00493B90"/>
    <w:rsid w:val="00493F5E"/>
    <w:rsid w:val="004943D9"/>
    <w:rsid w:val="00494504"/>
    <w:rsid w:val="00494943"/>
    <w:rsid w:val="00494BA5"/>
    <w:rsid w:val="004954F9"/>
    <w:rsid w:val="00495559"/>
    <w:rsid w:val="004955CC"/>
    <w:rsid w:val="004957C1"/>
    <w:rsid w:val="004957F3"/>
    <w:rsid w:val="004958E1"/>
    <w:rsid w:val="00495B6E"/>
    <w:rsid w:val="00495E14"/>
    <w:rsid w:val="00495EF4"/>
    <w:rsid w:val="00495F2B"/>
    <w:rsid w:val="004962C6"/>
    <w:rsid w:val="00496340"/>
    <w:rsid w:val="004964E9"/>
    <w:rsid w:val="00496886"/>
    <w:rsid w:val="00496A5C"/>
    <w:rsid w:val="00496AF9"/>
    <w:rsid w:val="00496B5B"/>
    <w:rsid w:val="00496B83"/>
    <w:rsid w:val="00496BBE"/>
    <w:rsid w:val="00496EC7"/>
    <w:rsid w:val="00496FEB"/>
    <w:rsid w:val="004973F1"/>
    <w:rsid w:val="004978F9"/>
    <w:rsid w:val="00497952"/>
    <w:rsid w:val="00497AC8"/>
    <w:rsid w:val="00497B18"/>
    <w:rsid w:val="00497B1A"/>
    <w:rsid w:val="00497DE9"/>
    <w:rsid w:val="00497EE2"/>
    <w:rsid w:val="00497F59"/>
    <w:rsid w:val="004A0026"/>
    <w:rsid w:val="004A0027"/>
    <w:rsid w:val="004A009E"/>
    <w:rsid w:val="004A0832"/>
    <w:rsid w:val="004A0BD3"/>
    <w:rsid w:val="004A0DA5"/>
    <w:rsid w:val="004A0E15"/>
    <w:rsid w:val="004A0F11"/>
    <w:rsid w:val="004A10F6"/>
    <w:rsid w:val="004A1213"/>
    <w:rsid w:val="004A122D"/>
    <w:rsid w:val="004A1473"/>
    <w:rsid w:val="004A165D"/>
    <w:rsid w:val="004A166E"/>
    <w:rsid w:val="004A16F0"/>
    <w:rsid w:val="004A179E"/>
    <w:rsid w:val="004A1977"/>
    <w:rsid w:val="004A1C86"/>
    <w:rsid w:val="004A1D2B"/>
    <w:rsid w:val="004A1FDD"/>
    <w:rsid w:val="004A2066"/>
    <w:rsid w:val="004A22F7"/>
    <w:rsid w:val="004A23A8"/>
    <w:rsid w:val="004A2407"/>
    <w:rsid w:val="004A274C"/>
    <w:rsid w:val="004A2764"/>
    <w:rsid w:val="004A2813"/>
    <w:rsid w:val="004A29B2"/>
    <w:rsid w:val="004A2B93"/>
    <w:rsid w:val="004A2BA8"/>
    <w:rsid w:val="004A2CB9"/>
    <w:rsid w:val="004A2DA6"/>
    <w:rsid w:val="004A2DED"/>
    <w:rsid w:val="004A2EE8"/>
    <w:rsid w:val="004A2F31"/>
    <w:rsid w:val="004A3145"/>
    <w:rsid w:val="004A37D2"/>
    <w:rsid w:val="004A3A6C"/>
    <w:rsid w:val="004A3D03"/>
    <w:rsid w:val="004A3EAA"/>
    <w:rsid w:val="004A40B3"/>
    <w:rsid w:val="004A4143"/>
    <w:rsid w:val="004A4497"/>
    <w:rsid w:val="004A453E"/>
    <w:rsid w:val="004A4614"/>
    <w:rsid w:val="004A46E7"/>
    <w:rsid w:val="004A4750"/>
    <w:rsid w:val="004A4AFC"/>
    <w:rsid w:val="004A4CB9"/>
    <w:rsid w:val="004A4D55"/>
    <w:rsid w:val="004A5069"/>
    <w:rsid w:val="004A5373"/>
    <w:rsid w:val="004A53A5"/>
    <w:rsid w:val="004A546E"/>
    <w:rsid w:val="004A54D8"/>
    <w:rsid w:val="004A564D"/>
    <w:rsid w:val="004A56C7"/>
    <w:rsid w:val="004A5AA3"/>
    <w:rsid w:val="004A5B95"/>
    <w:rsid w:val="004A602C"/>
    <w:rsid w:val="004A608D"/>
    <w:rsid w:val="004A6195"/>
    <w:rsid w:val="004A619A"/>
    <w:rsid w:val="004A620A"/>
    <w:rsid w:val="004A62AB"/>
    <w:rsid w:val="004A6448"/>
    <w:rsid w:val="004A67C0"/>
    <w:rsid w:val="004A6821"/>
    <w:rsid w:val="004A6982"/>
    <w:rsid w:val="004A6C8F"/>
    <w:rsid w:val="004A6D05"/>
    <w:rsid w:val="004A6EA8"/>
    <w:rsid w:val="004A7355"/>
    <w:rsid w:val="004A73F7"/>
    <w:rsid w:val="004A73FD"/>
    <w:rsid w:val="004A74EF"/>
    <w:rsid w:val="004A787E"/>
    <w:rsid w:val="004A78C4"/>
    <w:rsid w:val="004A7A35"/>
    <w:rsid w:val="004A7C43"/>
    <w:rsid w:val="004A7C66"/>
    <w:rsid w:val="004A7D97"/>
    <w:rsid w:val="004A7F60"/>
    <w:rsid w:val="004A7FC2"/>
    <w:rsid w:val="004B0001"/>
    <w:rsid w:val="004B09C9"/>
    <w:rsid w:val="004B0D90"/>
    <w:rsid w:val="004B0DFC"/>
    <w:rsid w:val="004B0FAB"/>
    <w:rsid w:val="004B10C1"/>
    <w:rsid w:val="004B1176"/>
    <w:rsid w:val="004B117D"/>
    <w:rsid w:val="004B1245"/>
    <w:rsid w:val="004B129F"/>
    <w:rsid w:val="004B12D2"/>
    <w:rsid w:val="004B1321"/>
    <w:rsid w:val="004B17CD"/>
    <w:rsid w:val="004B1A4E"/>
    <w:rsid w:val="004B1C09"/>
    <w:rsid w:val="004B1DD3"/>
    <w:rsid w:val="004B1E3F"/>
    <w:rsid w:val="004B20CB"/>
    <w:rsid w:val="004B21FD"/>
    <w:rsid w:val="004B2487"/>
    <w:rsid w:val="004B2598"/>
    <w:rsid w:val="004B2727"/>
    <w:rsid w:val="004B2CB7"/>
    <w:rsid w:val="004B2CDF"/>
    <w:rsid w:val="004B2E3A"/>
    <w:rsid w:val="004B2EF0"/>
    <w:rsid w:val="004B2FC2"/>
    <w:rsid w:val="004B3A9C"/>
    <w:rsid w:val="004B3B0A"/>
    <w:rsid w:val="004B3B0C"/>
    <w:rsid w:val="004B3F01"/>
    <w:rsid w:val="004B3F8F"/>
    <w:rsid w:val="004B4347"/>
    <w:rsid w:val="004B48C3"/>
    <w:rsid w:val="004B4C93"/>
    <w:rsid w:val="004B4DC6"/>
    <w:rsid w:val="004B5133"/>
    <w:rsid w:val="004B5173"/>
    <w:rsid w:val="004B5692"/>
    <w:rsid w:val="004B56BF"/>
    <w:rsid w:val="004B57C8"/>
    <w:rsid w:val="004B5A95"/>
    <w:rsid w:val="004B5CBC"/>
    <w:rsid w:val="004B5F8A"/>
    <w:rsid w:val="004B5FE6"/>
    <w:rsid w:val="004B612D"/>
    <w:rsid w:val="004B62DA"/>
    <w:rsid w:val="004B6441"/>
    <w:rsid w:val="004B6904"/>
    <w:rsid w:val="004B6F26"/>
    <w:rsid w:val="004B72C5"/>
    <w:rsid w:val="004B7350"/>
    <w:rsid w:val="004B753D"/>
    <w:rsid w:val="004B7AE5"/>
    <w:rsid w:val="004B7C3C"/>
    <w:rsid w:val="004B7CFA"/>
    <w:rsid w:val="004B7F7D"/>
    <w:rsid w:val="004B7F9A"/>
    <w:rsid w:val="004C0066"/>
    <w:rsid w:val="004C0093"/>
    <w:rsid w:val="004C0153"/>
    <w:rsid w:val="004C03F3"/>
    <w:rsid w:val="004C04BB"/>
    <w:rsid w:val="004C0638"/>
    <w:rsid w:val="004C0705"/>
    <w:rsid w:val="004C07C6"/>
    <w:rsid w:val="004C09A0"/>
    <w:rsid w:val="004C0A45"/>
    <w:rsid w:val="004C0C02"/>
    <w:rsid w:val="004C0D5D"/>
    <w:rsid w:val="004C10EB"/>
    <w:rsid w:val="004C110D"/>
    <w:rsid w:val="004C114C"/>
    <w:rsid w:val="004C1224"/>
    <w:rsid w:val="004C15C1"/>
    <w:rsid w:val="004C1ADD"/>
    <w:rsid w:val="004C1B48"/>
    <w:rsid w:val="004C1BFE"/>
    <w:rsid w:val="004C1DA3"/>
    <w:rsid w:val="004C1DD4"/>
    <w:rsid w:val="004C1DF2"/>
    <w:rsid w:val="004C1FC5"/>
    <w:rsid w:val="004C20B4"/>
    <w:rsid w:val="004C242E"/>
    <w:rsid w:val="004C24E0"/>
    <w:rsid w:val="004C250B"/>
    <w:rsid w:val="004C2797"/>
    <w:rsid w:val="004C27A5"/>
    <w:rsid w:val="004C2902"/>
    <w:rsid w:val="004C2C00"/>
    <w:rsid w:val="004C2CA7"/>
    <w:rsid w:val="004C2FB7"/>
    <w:rsid w:val="004C2FBB"/>
    <w:rsid w:val="004C32EF"/>
    <w:rsid w:val="004C3750"/>
    <w:rsid w:val="004C37C1"/>
    <w:rsid w:val="004C3867"/>
    <w:rsid w:val="004C3A0F"/>
    <w:rsid w:val="004C3A63"/>
    <w:rsid w:val="004C3E77"/>
    <w:rsid w:val="004C3F1E"/>
    <w:rsid w:val="004C401D"/>
    <w:rsid w:val="004C4140"/>
    <w:rsid w:val="004C41B6"/>
    <w:rsid w:val="004C45C1"/>
    <w:rsid w:val="004C4752"/>
    <w:rsid w:val="004C4803"/>
    <w:rsid w:val="004C48C1"/>
    <w:rsid w:val="004C4978"/>
    <w:rsid w:val="004C4BAE"/>
    <w:rsid w:val="004C4E82"/>
    <w:rsid w:val="004C4F31"/>
    <w:rsid w:val="004C4F52"/>
    <w:rsid w:val="004C53B7"/>
    <w:rsid w:val="004C53C2"/>
    <w:rsid w:val="004C541E"/>
    <w:rsid w:val="004C547B"/>
    <w:rsid w:val="004C554E"/>
    <w:rsid w:val="004C583F"/>
    <w:rsid w:val="004C5985"/>
    <w:rsid w:val="004C5AEA"/>
    <w:rsid w:val="004C5B0B"/>
    <w:rsid w:val="004C609D"/>
    <w:rsid w:val="004C62BC"/>
    <w:rsid w:val="004C63DC"/>
    <w:rsid w:val="004C648F"/>
    <w:rsid w:val="004C65EF"/>
    <w:rsid w:val="004C697A"/>
    <w:rsid w:val="004C6B6D"/>
    <w:rsid w:val="004C6CB2"/>
    <w:rsid w:val="004C6FAF"/>
    <w:rsid w:val="004C718A"/>
    <w:rsid w:val="004C73BD"/>
    <w:rsid w:val="004C75B1"/>
    <w:rsid w:val="004C76F2"/>
    <w:rsid w:val="004C777A"/>
    <w:rsid w:val="004C7CB2"/>
    <w:rsid w:val="004C7D1C"/>
    <w:rsid w:val="004D0429"/>
    <w:rsid w:val="004D05BA"/>
    <w:rsid w:val="004D0A1C"/>
    <w:rsid w:val="004D0B6E"/>
    <w:rsid w:val="004D0BD5"/>
    <w:rsid w:val="004D0E8B"/>
    <w:rsid w:val="004D120C"/>
    <w:rsid w:val="004D125F"/>
    <w:rsid w:val="004D138E"/>
    <w:rsid w:val="004D17AA"/>
    <w:rsid w:val="004D1A57"/>
    <w:rsid w:val="004D1F72"/>
    <w:rsid w:val="004D1F9D"/>
    <w:rsid w:val="004D1FFB"/>
    <w:rsid w:val="004D20EB"/>
    <w:rsid w:val="004D239B"/>
    <w:rsid w:val="004D2658"/>
    <w:rsid w:val="004D2697"/>
    <w:rsid w:val="004D2CEA"/>
    <w:rsid w:val="004D2CF1"/>
    <w:rsid w:val="004D2F63"/>
    <w:rsid w:val="004D3037"/>
    <w:rsid w:val="004D327C"/>
    <w:rsid w:val="004D34A9"/>
    <w:rsid w:val="004D392E"/>
    <w:rsid w:val="004D3DA8"/>
    <w:rsid w:val="004D3E93"/>
    <w:rsid w:val="004D418F"/>
    <w:rsid w:val="004D426A"/>
    <w:rsid w:val="004D4374"/>
    <w:rsid w:val="004D43ED"/>
    <w:rsid w:val="004D4563"/>
    <w:rsid w:val="004D45CA"/>
    <w:rsid w:val="004D4A4C"/>
    <w:rsid w:val="004D4ADB"/>
    <w:rsid w:val="004D4CE8"/>
    <w:rsid w:val="004D4D2B"/>
    <w:rsid w:val="004D4DB3"/>
    <w:rsid w:val="004D4E00"/>
    <w:rsid w:val="004D4F8E"/>
    <w:rsid w:val="004D5032"/>
    <w:rsid w:val="004D5160"/>
    <w:rsid w:val="004D51A7"/>
    <w:rsid w:val="004D56F6"/>
    <w:rsid w:val="004D5AC0"/>
    <w:rsid w:val="004D5AD4"/>
    <w:rsid w:val="004D5B5D"/>
    <w:rsid w:val="004D6198"/>
    <w:rsid w:val="004D6274"/>
    <w:rsid w:val="004D6297"/>
    <w:rsid w:val="004D64A9"/>
    <w:rsid w:val="004D652A"/>
    <w:rsid w:val="004D68F0"/>
    <w:rsid w:val="004D6A02"/>
    <w:rsid w:val="004D6BCD"/>
    <w:rsid w:val="004D6C72"/>
    <w:rsid w:val="004D6E37"/>
    <w:rsid w:val="004D6FD7"/>
    <w:rsid w:val="004D73A5"/>
    <w:rsid w:val="004D744F"/>
    <w:rsid w:val="004D7452"/>
    <w:rsid w:val="004D77C4"/>
    <w:rsid w:val="004D7812"/>
    <w:rsid w:val="004D7CCD"/>
    <w:rsid w:val="004D7D31"/>
    <w:rsid w:val="004D7E58"/>
    <w:rsid w:val="004D7F09"/>
    <w:rsid w:val="004E00EA"/>
    <w:rsid w:val="004E0207"/>
    <w:rsid w:val="004E0261"/>
    <w:rsid w:val="004E02EB"/>
    <w:rsid w:val="004E05A8"/>
    <w:rsid w:val="004E0EE7"/>
    <w:rsid w:val="004E10D8"/>
    <w:rsid w:val="004E12BC"/>
    <w:rsid w:val="004E13AE"/>
    <w:rsid w:val="004E145E"/>
    <w:rsid w:val="004E14E5"/>
    <w:rsid w:val="004E1842"/>
    <w:rsid w:val="004E1880"/>
    <w:rsid w:val="004E1C85"/>
    <w:rsid w:val="004E1CB7"/>
    <w:rsid w:val="004E1CCC"/>
    <w:rsid w:val="004E1CCD"/>
    <w:rsid w:val="004E1F30"/>
    <w:rsid w:val="004E217F"/>
    <w:rsid w:val="004E2350"/>
    <w:rsid w:val="004E2471"/>
    <w:rsid w:val="004E251E"/>
    <w:rsid w:val="004E2564"/>
    <w:rsid w:val="004E26F2"/>
    <w:rsid w:val="004E27D7"/>
    <w:rsid w:val="004E27EF"/>
    <w:rsid w:val="004E2835"/>
    <w:rsid w:val="004E299D"/>
    <w:rsid w:val="004E2D13"/>
    <w:rsid w:val="004E2D61"/>
    <w:rsid w:val="004E2E79"/>
    <w:rsid w:val="004E3082"/>
    <w:rsid w:val="004E31FD"/>
    <w:rsid w:val="004E3297"/>
    <w:rsid w:val="004E3509"/>
    <w:rsid w:val="004E3B94"/>
    <w:rsid w:val="004E3BE7"/>
    <w:rsid w:val="004E3C7A"/>
    <w:rsid w:val="004E3D49"/>
    <w:rsid w:val="004E3D56"/>
    <w:rsid w:val="004E42B2"/>
    <w:rsid w:val="004E431C"/>
    <w:rsid w:val="004E4672"/>
    <w:rsid w:val="004E46CF"/>
    <w:rsid w:val="004E481B"/>
    <w:rsid w:val="004E4C56"/>
    <w:rsid w:val="004E4C9C"/>
    <w:rsid w:val="004E5058"/>
    <w:rsid w:val="004E508C"/>
    <w:rsid w:val="004E534D"/>
    <w:rsid w:val="004E58DB"/>
    <w:rsid w:val="004E5A85"/>
    <w:rsid w:val="004E606A"/>
    <w:rsid w:val="004E62B1"/>
    <w:rsid w:val="004E63C8"/>
    <w:rsid w:val="004E64CE"/>
    <w:rsid w:val="004E6B14"/>
    <w:rsid w:val="004E6C22"/>
    <w:rsid w:val="004E6C8F"/>
    <w:rsid w:val="004E6D7F"/>
    <w:rsid w:val="004E6F84"/>
    <w:rsid w:val="004E70B6"/>
    <w:rsid w:val="004E728E"/>
    <w:rsid w:val="004E73AB"/>
    <w:rsid w:val="004E7445"/>
    <w:rsid w:val="004E75CC"/>
    <w:rsid w:val="004E75F2"/>
    <w:rsid w:val="004E767F"/>
    <w:rsid w:val="004E7698"/>
    <w:rsid w:val="004E783C"/>
    <w:rsid w:val="004E7D32"/>
    <w:rsid w:val="004E7E41"/>
    <w:rsid w:val="004F038F"/>
    <w:rsid w:val="004F052A"/>
    <w:rsid w:val="004F066A"/>
    <w:rsid w:val="004F06BE"/>
    <w:rsid w:val="004F0A5B"/>
    <w:rsid w:val="004F0A72"/>
    <w:rsid w:val="004F0BD9"/>
    <w:rsid w:val="004F0D4E"/>
    <w:rsid w:val="004F0EC7"/>
    <w:rsid w:val="004F1359"/>
    <w:rsid w:val="004F1485"/>
    <w:rsid w:val="004F1594"/>
    <w:rsid w:val="004F15A0"/>
    <w:rsid w:val="004F1766"/>
    <w:rsid w:val="004F19E6"/>
    <w:rsid w:val="004F1C4E"/>
    <w:rsid w:val="004F209C"/>
    <w:rsid w:val="004F21D0"/>
    <w:rsid w:val="004F25C9"/>
    <w:rsid w:val="004F2945"/>
    <w:rsid w:val="004F2D31"/>
    <w:rsid w:val="004F2EED"/>
    <w:rsid w:val="004F3058"/>
    <w:rsid w:val="004F33B7"/>
    <w:rsid w:val="004F343B"/>
    <w:rsid w:val="004F3707"/>
    <w:rsid w:val="004F395A"/>
    <w:rsid w:val="004F3A5D"/>
    <w:rsid w:val="004F3B64"/>
    <w:rsid w:val="004F3D16"/>
    <w:rsid w:val="004F3D90"/>
    <w:rsid w:val="004F3DD8"/>
    <w:rsid w:val="004F3ECA"/>
    <w:rsid w:val="004F3FD0"/>
    <w:rsid w:val="004F40AD"/>
    <w:rsid w:val="004F4164"/>
    <w:rsid w:val="004F41D9"/>
    <w:rsid w:val="004F438A"/>
    <w:rsid w:val="004F438B"/>
    <w:rsid w:val="004F44FB"/>
    <w:rsid w:val="004F47C8"/>
    <w:rsid w:val="004F48CF"/>
    <w:rsid w:val="004F4B77"/>
    <w:rsid w:val="004F4B85"/>
    <w:rsid w:val="004F4B92"/>
    <w:rsid w:val="004F4BB1"/>
    <w:rsid w:val="004F4C24"/>
    <w:rsid w:val="004F4DF3"/>
    <w:rsid w:val="004F52A8"/>
    <w:rsid w:val="004F5332"/>
    <w:rsid w:val="004F59C1"/>
    <w:rsid w:val="004F5AC8"/>
    <w:rsid w:val="004F5ADA"/>
    <w:rsid w:val="004F5C2D"/>
    <w:rsid w:val="004F5ED5"/>
    <w:rsid w:val="004F62C9"/>
    <w:rsid w:val="004F6382"/>
    <w:rsid w:val="004F6480"/>
    <w:rsid w:val="004F6515"/>
    <w:rsid w:val="004F6882"/>
    <w:rsid w:val="004F68E3"/>
    <w:rsid w:val="004F6B56"/>
    <w:rsid w:val="004F6C8E"/>
    <w:rsid w:val="004F6EBB"/>
    <w:rsid w:val="004F7075"/>
    <w:rsid w:val="004F754D"/>
    <w:rsid w:val="004F75D9"/>
    <w:rsid w:val="004F7602"/>
    <w:rsid w:val="004F760C"/>
    <w:rsid w:val="004F7849"/>
    <w:rsid w:val="004F7B29"/>
    <w:rsid w:val="004F7C2F"/>
    <w:rsid w:val="004F7E16"/>
    <w:rsid w:val="004F7E9F"/>
    <w:rsid w:val="0050006E"/>
    <w:rsid w:val="00500261"/>
    <w:rsid w:val="005002D9"/>
    <w:rsid w:val="005002EC"/>
    <w:rsid w:val="00500416"/>
    <w:rsid w:val="00500437"/>
    <w:rsid w:val="00500801"/>
    <w:rsid w:val="0050089E"/>
    <w:rsid w:val="00500902"/>
    <w:rsid w:val="0050097F"/>
    <w:rsid w:val="005009F7"/>
    <w:rsid w:val="00500E5F"/>
    <w:rsid w:val="005010C3"/>
    <w:rsid w:val="005010D6"/>
    <w:rsid w:val="00501550"/>
    <w:rsid w:val="005016AB"/>
    <w:rsid w:val="00501848"/>
    <w:rsid w:val="00501B6C"/>
    <w:rsid w:val="00501B76"/>
    <w:rsid w:val="00501D16"/>
    <w:rsid w:val="00501D7C"/>
    <w:rsid w:val="00501E63"/>
    <w:rsid w:val="00501EA0"/>
    <w:rsid w:val="00501F55"/>
    <w:rsid w:val="00502175"/>
    <w:rsid w:val="005023B6"/>
    <w:rsid w:val="00502A9D"/>
    <w:rsid w:val="00502C8C"/>
    <w:rsid w:val="00502E8C"/>
    <w:rsid w:val="00503061"/>
    <w:rsid w:val="00503165"/>
    <w:rsid w:val="00503166"/>
    <w:rsid w:val="00503250"/>
    <w:rsid w:val="005032C1"/>
    <w:rsid w:val="0050396A"/>
    <w:rsid w:val="00503BB1"/>
    <w:rsid w:val="00503E01"/>
    <w:rsid w:val="00503EF6"/>
    <w:rsid w:val="00503F97"/>
    <w:rsid w:val="00504125"/>
    <w:rsid w:val="005043A8"/>
    <w:rsid w:val="005046C9"/>
    <w:rsid w:val="00504743"/>
    <w:rsid w:val="005047DA"/>
    <w:rsid w:val="00504973"/>
    <w:rsid w:val="00504DB8"/>
    <w:rsid w:val="00504DEB"/>
    <w:rsid w:val="00504FF0"/>
    <w:rsid w:val="00505175"/>
    <w:rsid w:val="005056CA"/>
    <w:rsid w:val="00505850"/>
    <w:rsid w:val="005058BD"/>
    <w:rsid w:val="0050595A"/>
    <w:rsid w:val="005059E8"/>
    <w:rsid w:val="00505BF7"/>
    <w:rsid w:val="00505F67"/>
    <w:rsid w:val="00505FC8"/>
    <w:rsid w:val="0050614B"/>
    <w:rsid w:val="00506252"/>
    <w:rsid w:val="00506349"/>
    <w:rsid w:val="005065F2"/>
    <w:rsid w:val="0050666E"/>
    <w:rsid w:val="0050681E"/>
    <w:rsid w:val="00506A10"/>
    <w:rsid w:val="00506BB2"/>
    <w:rsid w:val="00506BBE"/>
    <w:rsid w:val="00506E5F"/>
    <w:rsid w:val="00506F20"/>
    <w:rsid w:val="00507169"/>
    <w:rsid w:val="0050723B"/>
    <w:rsid w:val="00507381"/>
    <w:rsid w:val="005073C5"/>
    <w:rsid w:val="005076C4"/>
    <w:rsid w:val="0050777E"/>
    <w:rsid w:val="00507AB1"/>
    <w:rsid w:val="00510380"/>
    <w:rsid w:val="00510382"/>
    <w:rsid w:val="0051054D"/>
    <w:rsid w:val="005105D2"/>
    <w:rsid w:val="0051080C"/>
    <w:rsid w:val="00510ABA"/>
    <w:rsid w:val="00510B60"/>
    <w:rsid w:val="00510C34"/>
    <w:rsid w:val="0051136E"/>
    <w:rsid w:val="00511431"/>
    <w:rsid w:val="005114E2"/>
    <w:rsid w:val="00511760"/>
    <w:rsid w:val="005117A4"/>
    <w:rsid w:val="005118EE"/>
    <w:rsid w:val="00511B2F"/>
    <w:rsid w:val="00511E9F"/>
    <w:rsid w:val="00511FF5"/>
    <w:rsid w:val="00512194"/>
    <w:rsid w:val="00512252"/>
    <w:rsid w:val="00512376"/>
    <w:rsid w:val="00512789"/>
    <w:rsid w:val="00512B50"/>
    <w:rsid w:val="00512E68"/>
    <w:rsid w:val="00512EA9"/>
    <w:rsid w:val="00512F70"/>
    <w:rsid w:val="0051334C"/>
    <w:rsid w:val="00513752"/>
    <w:rsid w:val="005137E3"/>
    <w:rsid w:val="005138EF"/>
    <w:rsid w:val="0051392B"/>
    <w:rsid w:val="00513A0E"/>
    <w:rsid w:val="00513D10"/>
    <w:rsid w:val="00513D76"/>
    <w:rsid w:val="00513F9C"/>
    <w:rsid w:val="00513FA7"/>
    <w:rsid w:val="00513FD0"/>
    <w:rsid w:val="005143D9"/>
    <w:rsid w:val="00514440"/>
    <w:rsid w:val="00514677"/>
    <w:rsid w:val="00514684"/>
    <w:rsid w:val="00514849"/>
    <w:rsid w:val="005149AA"/>
    <w:rsid w:val="005149B2"/>
    <w:rsid w:val="00514A56"/>
    <w:rsid w:val="00514CD0"/>
    <w:rsid w:val="00514D01"/>
    <w:rsid w:val="00514E33"/>
    <w:rsid w:val="005152CE"/>
    <w:rsid w:val="00515510"/>
    <w:rsid w:val="00515521"/>
    <w:rsid w:val="00515573"/>
    <w:rsid w:val="005159DF"/>
    <w:rsid w:val="00515A55"/>
    <w:rsid w:val="00515C72"/>
    <w:rsid w:val="00515EE2"/>
    <w:rsid w:val="00516003"/>
    <w:rsid w:val="005162E1"/>
    <w:rsid w:val="00516367"/>
    <w:rsid w:val="005163EC"/>
    <w:rsid w:val="0051644A"/>
    <w:rsid w:val="005164BA"/>
    <w:rsid w:val="00516785"/>
    <w:rsid w:val="0051689B"/>
    <w:rsid w:val="005169F8"/>
    <w:rsid w:val="00516AFB"/>
    <w:rsid w:val="00516D11"/>
    <w:rsid w:val="00516D43"/>
    <w:rsid w:val="005170C5"/>
    <w:rsid w:val="00517B59"/>
    <w:rsid w:val="00517D92"/>
    <w:rsid w:val="00517E2C"/>
    <w:rsid w:val="00517F34"/>
    <w:rsid w:val="00520245"/>
    <w:rsid w:val="005202DB"/>
    <w:rsid w:val="005203AF"/>
    <w:rsid w:val="005205E0"/>
    <w:rsid w:val="005206B3"/>
    <w:rsid w:val="00520816"/>
    <w:rsid w:val="00520CBE"/>
    <w:rsid w:val="00520F7F"/>
    <w:rsid w:val="00520FEA"/>
    <w:rsid w:val="0052122E"/>
    <w:rsid w:val="0052128C"/>
    <w:rsid w:val="00521437"/>
    <w:rsid w:val="00521521"/>
    <w:rsid w:val="00521AB4"/>
    <w:rsid w:val="00521BF4"/>
    <w:rsid w:val="00521E7E"/>
    <w:rsid w:val="00521E8D"/>
    <w:rsid w:val="00522362"/>
    <w:rsid w:val="0052245E"/>
    <w:rsid w:val="00522497"/>
    <w:rsid w:val="005228BB"/>
    <w:rsid w:val="00522BF7"/>
    <w:rsid w:val="00522EF8"/>
    <w:rsid w:val="00522FD1"/>
    <w:rsid w:val="005232C8"/>
    <w:rsid w:val="005234A5"/>
    <w:rsid w:val="0052363B"/>
    <w:rsid w:val="00523728"/>
    <w:rsid w:val="00523BC0"/>
    <w:rsid w:val="00523CB4"/>
    <w:rsid w:val="00523F06"/>
    <w:rsid w:val="0052411F"/>
    <w:rsid w:val="0052419D"/>
    <w:rsid w:val="005241B9"/>
    <w:rsid w:val="00524211"/>
    <w:rsid w:val="00524353"/>
    <w:rsid w:val="005243F9"/>
    <w:rsid w:val="00524445"/>
    <w:rsid w:val="005247D4"/>
    <w:rsid w:val="00524822"/>
    <w:rsid w:val="00524897"/>
    <w:rsid w:val="00524B99"/>
    <w:rsid w:val="00524ED0"/>
    <w:rsid w:val="00525507"/>
    <w:rsid w:val="0052554A"/>
    <w:rsid w:val="0052594C"/>
    <w:rsid w:val="005262C4"/>
    <w:rsid w:val="00526544"/>
    <w:rsid w:val="00526687"/>
    <w:rsid w:val="005268A3"/>
    <w:rsid w:val="0052695E"/>
    <w:rsid w:val="00526968"/>
    <w:rsid w:val="005269C7"/>
    <w:rsid w:val="005269E1"/>
    <w:rsid w:val="00526B89"/>
    <w:rsid w:val="00526BB9"/>
    <w:rsid w:val="00526EB1"/>
    <w:rsid w:val="0052724D"/>
    <w:rsid w:val="0052731B"/>
    <w:rsid w:val="00527496"/>
    <w:rsid w:val="0052764D"/>
    <w:rsid w:val="00527793"/>
    <w:rsid w:val="005278C7"/>
    <w:rsid w:val="005278EB"/>
    <w:rsid w:val="00527C19"/>
    <w:rsid w:val="00527D07"/>
    <w:rsid w:val="00527E68"/>
    <w:rsid w:val="0053006F"/>
    <w:rsid w:val="00530179"/>
    <w:rsid w:val="0053017B"/>
    <w:rsid w:val="005301F8"/>
    <w:rsid w:val="00530243"/>
    <w:rsid w:val="00530357"/>
    <w:rsid w:val="00530381"/>
    <w:rsid w:val="005303FB"/>
    <w:rsid w:val="005306D3"/>
    <w:rsid w:val="005307B9"/>
    <w:rsid w:val="00530CAD"/>
    <w:rsid w:val="00530CD2"/>
    <w:rsid w:val="00530CE8"/>
    <w:rsid w:val="0053128F"/>
    <w:rsid w:val="005312FC"/>
    <w:rsid w:val="00531307"/>
    <w:rsid w:val="005314F2"/>
    <w:rsid w:val="00531537"/>
    <w:rsid w:val="005316E4"/>
    <w:rsid w:val="0053180D"/>
    <w:rsid w:val="00531AA1"/>
    <w:rsid w:val="00531B02"/>
    <w:rsid w:val="00531B32"/>
    <w:rsid w:val="00531E7C"/>
    <w:rsid w:val="0053237C"/>
    <w:rsid w:val="0053243B"/>
    <w:rsid w:val="005325F0"/>
    <w:rsid w:val="005325F8"/>
    <w:rsid w:val="0053287B"/>
    <w:rsid w:val="00532954"/>
    <w:rsid w:val="00532A7A"/>
    <w:rsid w:val="00532AD8"/>
    <w:rsid w:val="00532C6D"/>
    <w:rsid w:val="00532CB1"/>
    <w:rsid w:val="00532D1B"/>
    <w:rsid w:val="00532D23"/>
    <w:rsid w:val="00532D7E"/>
    <w:rsid w:val="00532EBB"/>
    <w:rsid w:val="00532F5C"/>
    <w:rsid w:val="00532F6D"/>
    <w:rsid w:val="00533428"/>
    <w:rsid w:val="00533472"/>
    <w:rsid w:val="00533812"/>
    <w:rsid w:val="00533CFE"/>
    <w:rsid w:val="00533D0A"/>
    <w:rsid w:val="00533E6E"/>
    <w:rsid w:val="00533E82"/>
    <w:rsid w:val="00533FD1"/>
    <w:rsid w:val="00534086"/>
    <w:rsid w:val="00534222"/>
    <w:rsid w:val="00534367"/>
    <w:rsid w:val="00534418"/>
    <w:rsid w:val="00534743"/>
    <w:rsid w:val="00534799"/>
    <w:rsid w:val="00534A27"/>
    <w:rsid w:val="00534C6E"/>
    <w:rsid w:val="00534FE8"/>
    <w:rsid w:val="0053503F"/>
    <w:rsid w:val="00535158"/>
    <w:rsid w:val="00535378"/>
    <w:rsid w:val="005353E3"/>
    <w:rsid w:val="005353EC"/>
    <w:rsid w:val="00535503"/>
    <w:rsid w:val="0053569E"/>
    <w:rsid w:val="00535756"/>
    <w:rsid w:val="005357D4"/>
    <w:rsid w:val="00535B01"/>
    <w:rsid w:val="00535B31"/>
    <w:rsid w:val="00535B8C"/>
    <w:rsid w:val="00535E63"/>
    <w:rsid w:val="00535EB5"/>
    <w:rsid w:val="0053603B"/>
    <w:rsid w:val="0053603D"/>
    <w:rsid w:val="005360BC"/>
    <w:rsid w:val="00536135"/>
    <w:rsid w:val="00536340"/>
    <w:rsid w:val="005363D8"/>
    <w:rsid w:val="005366F8"/>
    <w:rsid w:val="0053674A"/>
    <w:rsid w:val="00536A53"/>
    <w:rsid w:val="0053709F"/>
    <w:rsid w:val="0053742A"/>
    <w:rsid w:val="00537435"/>
    <w:rsid w:val="005374A1"/>
    <w:rsid w:val="0053768D"/>
    <w:rsid w:val="005376DB"/>
    <w:rsid w:val="0053773A"/>
    <w:rsid w:val="0053783F"/>
    <w:rsid w:val="005378CD"/>
    <w:rsid w:val="00537A7E"/>
    <w:rsid w:val="00537AAF"/>
    <w:rsid w:val="00537BAC"/>
    <w:rsid w:val="00537C85"/>
    <w:rsid w:val="00537D0C"/>
    <w:rsid w:val="00537D9A"/>
    <w:rsid w:val="00537E65"/>
    <w:rsid w:val="00537EE3"/>
    <w:rsid w:val="0054014E"/>
    <w:rsid w:val="005401E6"/>
    <w:rsid w:val="005404A4"/>
    <w:rsid w:val="005405C8"/>
    <w:rsid w:val="005405E6"/>
    <w:rsid w:val="00540652"/>
    <w:rsid w:val="00540E93"/>
    <w:rsid w:val="00541087"/>
    <w:rsid w:val="0054125C"/>
    <w:rsid w:val="0054133F"/>
    <w:rsid w:val="005414C9"/>
    <w:rsid w:val="00541550"/>
    <w:rsid w:val="005418E5"/>
    <w:rsid w:val="00541BD3"/>
    <w:rsid w:val="00541C14"/>
    <w:rsid w:val="00541D29"/>
    <w:rsid w:val="00541DF0"/>
    <w:rsid w:val="00542074"/>
    <w:rsid w:val="0054253D"/>
    <w:rsid w:val="00542690"/>
    <w:rsid w:val="005428AC"/>
    <w:rsid w:val="00542C7C"/>
    <w:rsid w:val="00543193"/>
    <w:rsid w:val="005432E5"/>
    <w:rsid w:val="0054352E"/>
    <w:rsid w:val="00543734"/>
    <w:rsid w:val="00543919"/>
    <w:rsid w:val="0054397B"/>
    <w:rsid w:val="00543A96"/>
    <w:rsid w:val="00543AAA"/>
    <w:rsid w:val="00543F23"/>
    <w:rsid w:val="00543FB5"/>
    <w:rsid w:val="0054409B"/>
    <w:rsid w:val="005443C5"/>
    <w:rsid w:val="00544635"/>
    <w:rsid w:val="00544730"/>
    <w:rsid w:val="00544B0B"/>
    <w:rsid w:val="00544B43"/>
    <w:rsid w:val="00544D05"/>
    <w:rsid w:val="00545624"/>
    <w:rsid w:val="00545625"/>
    <w:rsid w:val="0054576F"/>
    <w:rsid w:val="005459E0"/>
    <w:rsid w:val="00545BD2"/>
    <w:rsid w:val="00545E47"/>
    <w:rsid w:val="00545F07"/>
    <w:rsid w:val="00546149"/>
    <w:rsid w:val="0054614E"/>
    <w:rsid w:val="00546227"/>
    <w:rsid w:val="005464BE"/>
    <w:rsid w:val="00546C77"/>
    <w:rsid w:val="00546CAA"/>
    <w:rsid w:val="00546F59"/>
    <w:rsid w:val="00546F62"/>
    <w:rsid w:val="00546F9B"/>
    <w:rsid w:val="005471C9"/>
    <w:rsid w:val="00547546"/>
    <w:rsid w:val="00547D18"/>
    <w:rsid w:val="00547FED"/>
    <w:rsid w:val="00550042"/>
    <w:rsid w:val="0055022A"/>
    <w:rsid w:val="005505D5"/>
    <w:rsid w:val="00550B87"/>
    <w:rsid w:val="00550BE8"/>
    <w:rsid w:val="00550E8A"/>
    <w:rsid w:val="005512AF"/>
    <w:rsid w:val="005513B0"/>
    <w:rsid w:val="0055142D"/>
    <w:rsid w:val="005516B9"/>
    <w:rsid w:val="005519BF"/>
    <w:rsid w:val="00551ECF"/>
    <w:rsid w:val="00551F0B"/>
    <w:rsid w:val="00551F7E"/>
    <w:rsid w:val="00551FE6"/>
    <w:rsid w:val="00552024"/>
    <w:rsid w:val="005520B4"/>
    <w:rsid w:val="005526F4"/>
    <w:rsid w:val="00552A8C"/>
    <w:rsid w:val="00552B1E"/>
    <w:rsid w:val="00552B6A"/>
    <w:rsid w:val="00552B74"/>
    <w:rsid w:val="005530FD"/>
    <w:rsid w:val="005533F5"/>
    <w:rsid w:val="0055361C"/>
    <w:rsid w:val="0055375C"/>
    <w:rsid w:val="00553848"/>
    <w:rsid w:val="00553C52"/>
    <w:rsid w:val="00553DC7"/>
    <w:rsid w:val="00553E3F"/>
    <w:rsid w:val="00553EF6"/>
    <w:rsid w:val="0055400F"/>
    <w:rsid w:val="00554233"/>
    <w:rsid w:val="0055457E"/>
    <w:rsid w:val="0055461A"/>
    <w:rsid w:val="00554672"/>
    <w:rsid w:val="00554AB0"/>
    <w:rsid w:val="00554B2A"/>
    <w:rsid w:val="00554F43"/>
    <w:rsid w:val="00554F99"/>
    <w:rsid w:val="005551AD"/>
    <w:rsid w:val="005552E8"/>
    <w:rsid w:val="00555439"/>
    <w:rsid w:val="0055548D"/>
    <w:rsid w:val="0055558D"/>
    <w:rsid w:val="0055574F"/>
    <w:rsid w:val="005557E2"/>
    <w:rsid w:val="00555A4F"/>
    <w:rsid w:val="00556004"/>
    <w:rsid w:val="005562C1"/>
    <w:rsid w:val="0055639E"/>
    <w:rsid w:val="005569C5"/>
    <w:rsid w:val="00556B18"/>
    <w:rsid w:val="00556D2A"/>
    <w:rsid w:val="00556D65"/>
    <w:rsid w:val="00556F23"/>
    <w:rsid w:val="00556F5A"/>
    <w:rsid w:val="0055714B"/>
    <w:rsid w:val="0055734D"/>
    <w:rsid w:val="00557591"/>
    <w:rsid w:val="005577B8"/>
    <w:rsid w:val="00557A21"/>
    <w:rsid w:val="00557F9E"/>
    <w:rsid w:val="00560088"/>
    <w:rsid w:val="005604FF"/>
    <w:rsid w:val="00560627"/>
    <w:rsid w:val="00560667"/>
    <w:rsid w:val="005606AA"/>
    <w:rsid w:val="005607E3"/>
    <w:rsid w:val="00560974"/>
    <w:rsid w:val="00560A1F"/>
    <w:rsid w:val="00560A5D"/>
    <w:rsid w:val="00560C12"/>
    <w:rsid w:val="00560FA5"/>
    <w:rsid w:val="0056118E"/>
    <w:rsid w:val="00561208"/>
    <w:rsid w:val="00561279"/>
    <w:rsid w:val="005612F4"/>
    <w:rsid w:val="005613D5"/>
    <w:rsid w:val="005613D9"/>
    <w:rsid w:val="0056159D"/>
    <w:rsid w:val="0056198A"/>
    <w:rsid w:val="00561A9D"/>
    <w:rsid w:val="00561ABD"/>
    <w:rsid w:val="00561CD1"/>
    <w:rsid w:val="005621B8"/>
    <w:rsid w:val="00562202"/>
    <w:rsid w:val="0056251A"/>
    <w:rsid w:val="0056286A"/>
    <w:rsid w:val="0056290A"/>
    <w:rsid w:val="0056295D"/>
    <w:rsid w:val="00562A74"/>
    <w:rsid w:val="00562CAB"/>
    <w:rsid w:val="00562CCF"/>
    <w:rsid w:val="00562CDB"/>
    <w:rsid w:val="00562D24"/>
    <w:rsid w:val="00562D78"/>
    <w:rsid w:val="00562E8C"/>
    <w:rsid w:val="00562EA6"/>
    <w:rsid w:val="00562F17"/>
    <w:rsid w:val="005630BB"/>
    <w:rsid w:val="005635DA"/>
    <w:rsid w:val="00563690"/>
    <w:rsid w:val="00563702"/>
    <w:rsid w:val="005638CB"/>
    <w:rsid w:val="00563CCF"/>
    <w:rsid w:val="0056401F"/>
    <w:rsid w:val="00564043"/>
    <w:rsid w:val="00564270"/>
    <w:rsid w:val="00564309"/>
    <w:rsid w:val="0056434F"/>
    <w:rsid w:val="005644B8"/>
    <w:rsid w:val="005644DA"/>
    <w:rsid w:val="00564573"/>
    <w:rsid w:val="0056470B"/>
    <w:rsid w:val="00564BF0"/>
    <w:rsid w:val="00564FF4"/>
    <w:rsid w:val="00565064"/>
    <w:rsid w:val="0056522D"/>
    <w:rsid w:val="005652DA"/>
    <w:rsid w:val="0056582C"/>
    <w:rsid w:val="00565C13"/>
    <w:rsid w:val="00565C6E"/>
    <w:rsid w:val="00565CB0"/>
    <w:rsid w:val="00565DCB"/>
    <w:rsid w:val="00565ED9"/>
    <w:rsid w:val="005660A7"/>
    <w:rsid w:val="005661E2"/>
    <w:rsid w:val="005664CA"/>
    <w:rsid w:val="00566506"/>
    <w:rsid w:val="0056655D"/>
    <w:rsid w:val="005665CF"/>
    <w:rsid w:val="0056696C"/>
    <w:rsid w:val="00566B0B"/>
    <w:rsid w:val="00566B10"/>
    <w:rsid w:val="00566BAC"/>
    <w:rsid w:val="00566BEB"/>
    <w:rsid w:val="00566C3B"/>
    <w:rsid w:val="00566CDE"/>
    <w:rsid w:val="00566D38"/>
    <w:rsid w:val="00566D8D"/>
    <w:rsid w:val="00566EE5"/>
    <w:rsid w:val="00567050"/>
    <w:rsid w:val="005672F6"/>
    <w:rsid w:val="005673EF"/>
    <w:rsid w:val="00567735"/>
    <w:rsid w:val="005677B9"/>
    <w:rsid w:val="0056785A"/>
    <w:rsid w:val="00567BB9"/>
    <w:rsid w:val="00567C24"/>
    <w:rsid w:val="00567C38"/>
    <w:rsid w:val="00567F3C"/>
    <w:rsid w:val="00570786"/>
    <w:rsid w:val="00570860"/>
    <w:rsid w:val="00570ECE"/>
    <w:rsid w:val="00571035"/>
    <w:rsid w:val="00571209"/>
    <w:rsid w:val="00571438"/>
    <w:rsid w:val="005716C4"/>
    <w:rsid w:val="005717E2"/>
    <w:rsid w:val="00571806"/>
    <w:rsid w:val="00571C81"/>
    <w:rsid w:val="00571C82"/>
    <w:rsid w:val="00571EAC"/>
    <w:rsid w:val="0057219F"/>
    <w:rsid w:val="00572288"/>
    <w:rsid w:val="005723E4"/>
    <w:rsid w:val="00572535"/>
    <w:rsid w:val="00572680"/>
    <w:rsid w:val="00572797"/>
    <w:rsid w:val="00572976"/>
    <w:rsid w:val="00572B54"/>
    <w:rsid w:val="00572B7C"/>
    <w:rsid w:val="00572C85"/>
    <w:rsid w:val="00572F28"/>
    <w:rsid w:val="00573067"/>
    <w:rsid w:val="0057315E"/>
    <w:rsid w:val="00573521"/>
    <w:rsid w:val="0057369F"/>
    <w:rsid w:val="00573734"/>
    <w:rsid w:val="005737E0"/>
    <w:rsid w:val="00573904"/>
    <w:rsid w:val="0057399E"/>
    <w:rsid w:val="005739B9"/>
    <w:rsid w:val="00573C98"/>
    <w:rsid w:val="00573E10"/>
    <w:rsid w:val="00573E53"/>
    <w:rsid w:val="005740F1"/>
    <w:rsid w:val="0057493F"/>
    <w:rsid w:val="00574B1D"/>
    <w:rsid w:val="00574EE5"/>
    <w:rsid w:val="00574FDE"/>
    <w:rsid w:val="00575414"/>
    <w:rsid w:val="0057582B"/>
    <w:rsid w:val="0057592D"/>
    <w:rsid w:val="00575C17"/>
    <w:rsid w:val="00575C82"/>
    <w:rsid w:val="005760A6"/>
    <w:rsid w:val="005761ED"/>
    <w:rsid w:val="005761EF"/>
    <w:rsid w:val="00576344"/>
    <w:rsid w:val="005764C1"/>
    <w:rsid w:val="00576610"/>
    <w:rsid w:val="0057695D"/>
    <w:rsid w:val="00576B8F"/>
    <w:rsid w:val="00576DF0"/>
    <w:rsid w:val="00577160"/>
    <w:rsid w:val="005772B1"/>
    <w:rsid w:val="005772BF"/>
    <w:rsid w:val="005773E4"/>
    <w:rsid w:val="00577459"/>
    <w:rsid w:val="00577466"/>
    <w:rsid w:val="00577596"/>
    <w:rsid w:val="005776B2"/>
    <w:rsid w:val="005779C9"/>
    <w:rsid w:val="00577A78"/>
    <w:rsid w:val="00577C7A"/>
    <w:rsid w:val="005802BE"/>
    <w:rsid w:val="00580369"/>
    <w:rsid w:val="005805EB"/>
    <w:rsid w:val="005808EC"/>
    <w:rsid w:val="005809C4"/>
    <w:rsid w:val="00580B8F"/>
    <w:rsid w:val="00580D3D"/>
    <w:rsid w:val="00580EF1"/>
    <w:rsid w:val="0058101C"/>
    <w:rsid w:val="00581243"/>
    <w:rsid w:val="00581328"/>
    <w:rsid w:val="00581386"/>
    <w:rsid w:val="00581442"/>
    <w:rsid w:val="005817F1"/>
    <w:rsid w:val="00581AB7"/>
    <w:rsid w:val="00581C0D"/>
    <w:rsid w:val="00581C42"/>
    <w:rsid w:val="00581F6A"/>
    <w:rsid w:val="0058201F"/>
    <w:rsid w:val="0058272B"/>
    <w:rsid w:val="00582763"/>
    <w:rsid w:val="005827FC"/>
    <w:rsid w:val="00582D44"/>
    <w:rsid w:val="00582F97"/>
    <w:rsid w:val="005833EC"/>
    <w:rsid w:val="005835C3"/>
    <w:rsid w:val="005837A4"/>
    <w:rsid w:val="00583A11"/>
    <w:rsid w:val="00583A25"/>
    <w:rsid w:val="00583B6F"/>
    <w:rsid w:val="00583C2F"/>
    <w:rsid w:val="00583DFE"/>
    <w:rsid w:val="00583E58"/>
    <w:rsid w:val="00583F05"/>
    <w:rsid w:val="005840C9"/>
    <w:rsid w:val="005840DD"/>
    <w:rsid w:val="0058415E"/>
    <w:rsid w:val="00584394"/>
    <w:rsid w:val="005844A3"/>
    <w:rsid w:val="005844BF"/>
    <w:rsid w:val="00584563"/>
    <w:rsid w:val="005846E1"/>
    <w:rsid w:val="00584862"/>
    <w:rsid w:val="0058498A"/>
    <w:rsid w:val="00584E84"/>
    <w:rsid w:val="00584F42"/>
    <w:rsid w:val="00585637"/>
    <w:rsid w:val="005856CC"/>
    <w:rsid w:val="005859AC"/>
    <w:rsid w:val="00585A6A"/>
    <w:rsid w:val="00585E91"/>
    <w:rsid w:val="005862E3"/>
    <w:rsid w:val="00586605"/>
    <w:rsid w:val="0058681F"/>
    <w:rsid w:val="005868DE"/>
    <w:rsid w:val="00586908"/>
    <w:rsid w:val="00586B2F"/>
    <w:rsid w:val="00586BFB"/>
    <w:rsid w:val="005871AA"/>
    <w:rsid w:val="00587548"/>
    <w:rsid w:val="005877AC"/>
    <w:rsid w:val="00587AD3"/>
    <w:rsid w:val="005901A2"/>
    <w:rsid w:val="00590266"/>
    <w:rsid w:val="005902C0"/>
    <w:rsid w:val="0059034F"/>
    <w:rsid w:val="0059037C"/>
    <w:rsid w:val="005903AB"/>
    <w:rsid w:val="00590698"/>
    <w:rsid w:val="00590A0C"/>
    <w:rsid w:val="00590A6F"/>
    <w:rsid w:val="00590AE1"/>
    <w:rsid w:val="00590D5C"/>
    <w:rsid w:val="00590DC1"/>
    <w:rsid w:val="00590E74"/>
    <w:rsid w:val="00590ED3"/>
    <w:rsid w:val="0059115D"/>
    <w:rsid w:val="00591636"/>
    <w:rsid w:val="00591A0D"/>
    <w:rsid w:val="00591B0A"/>
    <w:rsid w:val="00591D98"/>
    <w:rsid w:val="00591DE0"/>
    <w:rsid w:val="00591E06"/>
    <w:rsid w:val="00591EC7"/>
    <w:rsid w:val="00592477"/>
    <w:rsid w:val="00592C5F"/>
    <w:rsid w:val="00593040"/>
    <w:rsid w:val="00593225"/>
    <w:rsid w:val="005934E4"/>
    <w:rsid w:val="00593C7E"/>
    <w:rsid w:val="00593E7D"/>
    <w:rsid w:val="00593F46"/>
    <w:rsid w:val="00593F5D"/>
    <w:rsid w:val="00594126"/>
    <w:rsid w:val="0059444B"/>
    <w:rsid w:val="005945B9"/>
    <w:rsid w:val="005948BA"/>
    <w:rsid w:val="005949C0"/>
    <w:rsid w:val="00594C5F"/>
    <w:rsid w:val="00594DC2"/>
    <w:rsid w:val="005954AC"/>
    <w:rsid w:val="005957D2"/>
    <w:rsid w:val="00595813"/>
    <w:rsid w:val="005958BF"/>
    <w:rsid w:val="00595A56"/>
    <w:rsid w:val="00595F43"/>
    <w:rsid w:val="005962FC"/>
    <w:rsid w:val="00596476"/>
    <w:rsid w:val="005964D9"/>
    <w:rsid w:val="005965E5"/>
    <w:rsid w:val="0059662C"/>
    <w:rsid w:val="005966B7"/>
    <w:rsid w:val="005967E5"/>
    <w:rsid w:val="00596A8C"/>
    <w:rsid w:val="00596B29"/>
    <w:rsid w:val="00596C26"/>
    <w:rsid w:val="00596DFB"/>
    <w:rsid w:val="00597563"/>
    <w:rsid w:val="005976D4"/>
    <w:rsid w:val="005976E1"/>
    <w:rsid w:val="005977AB"/>
    <w:rsid w:val="00597856"/>
    <w:rsid w:val="00597B47"/>
    <w:rsid w:val="00597C03"/>
    <w:rsid w:val="00597D1E"/>
    <w:rsid w:val="00597D6A"/>
    <w:rsid w:val="00597F14"/>
    <w:rsid w:val="00597F34"/>
    <w:rsid w:val="00597FDF"/>
    <w:rsid w:val="005A003C"/>
    <w:rsid w:val="005A01F6"/>
    <w:rsid w:val="005A057D"/>
    <w:rsid w:val="005A0660"/>
    <w:rsid w:val="005A07FC"/>
    <w:rsid w:val="005A0A39"/>
    <w:rsid w:val="005A130B"/>
    <w:rsid w:val="005A166E"/>
    <w:rsid w:val="005A1818"/>
    <w:rsid w:val="005A18BD"/>
    <w:rsid w:val="005A19E7"/>
    <w:rsid w:val="005A1A62"/>
    <w:rsid w:val="005A1E7E"/>
    <w:rsid w:val="005A20EA"/>
    <w:rsid w:val="005A2117"/>
    <w:rsid w:val="005A263E"/>
    <w:rsid w:val="005A2763"/>
    <w:rsid w:val="005A27E5"/>
    <w:rsid w:val="005A2C29"/>
    <w:rsid w:val="005A2DE8"/>
    <w:rsid w:val="005A300E"/>
    <w:rsid w:val="005A3273"/>
    <w:rsid w:val="005A3515"/>
    <w:rsid w:val="005A35B3"/>
    <w:rsid w:val="005A360D"/>
    <w:rsid w:val="005A36E4"/>
    <w:rsid w:val="005A36E6"/>
    <w:rsid w:val="005A3A82"/>
    <w:rsid w:val="005A3C39"/>
    <w:rsid w:val="005A477F"/>
    <w:rsid w:val="005A486F"/>
    <w:rsid w:val="005A4920"/>
    <w:rsid w:val="005A4A11"/>
    <w:rsid w:val="005A4AF8"/>
    <w:rsid w:val="005A4B26"/>
    <w:rsid w:val="005A4B72"/>
    <w:rsid w:val="005A4E2B"/>
    <w:rsid w:val="005A4F63"/>
    <w:rsid w:val="005A5674"/>
    <w:rsid w:val="005A56A7"/>
    <w:rsid w:val="005A587A"/>
    <w:rsid w:val="005A59BA"/>
    <w:rsid w:val="005A5A46"/>
    <w:rsid w:val="005A5C34"/>
    <w:rsid w:val="005A5C60"/>
    <w:rsid w:val="005A5EA5"/>
    <w:rsid w:val="005A6032"/>
    <w:rsid w:val="005A6861"/>
    <w:rsid w:val="005A687C"/>
    <w:rsid w:val="005A69DC"/>
    <w:rsid w:val="005A6B0F"/>
    <w:rsid w:val="005A72E6"/>
    <w:rsid w:val="005A7341"/>
    <w:rsid w:val="005A757A"/>
    <w:rsid w:val="005A76B3"/>
    <w:rsid w:val="005A787A"/>
    <w:rsid w:val="005A7AEF"/>
    <w:rsid w:val="005A7B38"/>
    <w:rsid w:val="005A7CD4"/>
    <w:rsid w:val="005A7D93"/>
    <w:rsid w:val="005A7DBF"/>
    <w:rsid w:val="005B06B3"/>
    <w:rsid w:val="005B073B"/>
    <w:rsid w:val="005B0A7D"/>
    <w:rsid w:val="005B0C26"/>
    <w:rsid w:val="005B0CC9"/>
    <w:rsid w:val="005B10C3"/>
    <w:rsid w:val="005B12DD"/>
    <w:rsid w:val="005B1419"/>
    <w:rsid w:val="005B14D9"/>
    <w:rsid w:val="005B1893"/>
    <w:rsid w:val="005B1A0C"/>
    <w:rsid w:val="005B1A22"/>
    <w:rsid w:val="005B1C69"/>
    <w:rsid w:val="005B1D07"/>
    <w:rsid w:val="005B1DE3"/>
    <w:rsid w:val="005B1E43"/>
    <w:rsid w:val="005B2068"/>
    <w:rsid w:val="005B22C1"/>
    <w:rsid w:val="005B256C"/>
    <w:rsid w:val="005B2B2A"/>
    <w:rsid w:val="005B2BF6"/>
    <w:rsid w:val="005B2D42"/>
    <w:rsid w:val="005B2D46"/>
    <w:rsid w:val="005B2D79"/>
    <w:rsid w:val="005B2E5C"/>
    <w:rsid w:val="005B2FE4"/>
    <w:rsid w:val="005B3512"/>
    <w:rsid w:val="005B3598"/>
    <w:rsid w:val="005B3759"/>
    <w:rsid w:val="005B384E"/>
    <w:rsid w:val="005B3D15"/>
    <w:rsid w:val="005B3D6E"/>
    <w:rsid w:val="005B3DA9"/>
    <w:rsid w:val="005B3ED3"/>
    <w:rsid w:val="005B4085"/>
    <w:rsid w:val="005B42DB"/>
    <w:rsid w:val="005B436C"/>
    <w:rsid w:val="005B4615"/>
    <w:rsid w:val="005B48EE"/>
    <w:rsid w:val="005B4935"/>
    <w:rsid w:val="005B4D48"/>
    <w:rsid w:val="005B4D6A"/>
    <w:rsid w:val="005B4E04"/>
    <w:rsid w:val="005B4E2E"/>
    <w:rsid w:val="005B4EC5"/>
    <w:rsid w:val="005B4EFF"/>
    <w:rsid w:val="005B51DB"/>
    <w:rsid w:val="005B5224"/>
    <w:rsid w:val="005B5335"/>
    <w:rsid w:val="005B5793"/>
    <w:rsid w:val="005B585A"/>
    <w:rsid w:val="005B5A42"/>
    <w:rsid w:val="005B5AE0"/>
    <w:rsid w:val="005B5B58"/>
    <w:rsid w:val="005B5CE6"/>
    <w:rsid w:val="005B5E2A"/>
    <w:rsid w:val="005B5F31"/>
    <w:rsid w:val="005B6022"/>
    <w:rsid w:val="005B60E3"/>
    <w:rsid w:val="005B61D3"/>
    <w:rsid w:val="005B6205"/>
    <w:rsid w:val="005B66C4"/>
    <w:rsid w:val="005B67B6"/>
    <w:rsid w:val="005B6889"/>
    <w:rsid w:val="005B68BB"/>
    <w:rsid w:val="005B6902"/>
    <w:rsid w:val="005B6B9C"/>
    <w:rsid w:val="005B6F04"/>
    <w:rsid w:val="005B6F8E"/>
    <w:rsid w:val="005B71D7"/>
    <w:rsid w:val="005B7572"/>
    <w:rsid w:val="005B759D"/>
    <w:rsid w:val="005B75A3"/>
    <w:rsid w:val="005B7718"/>
    <w:rsid w:val="005B7823"/>
    <w:rsid w:val="005B798B"/>
    <w:rsid w:val="005B7FAD"/>
    <w:rsid w:val="005C02A4"/>
    <w:rsid w:val="005C076D"/>
    <w:rsid w:val="005C0901"/>
    <w:rsid w:val="005C0B1C"/>
    <w:rsid w:val="005C0B81"/>
    <w:rsid w:val="005C115B"/>
    <w:rsid w:val="005C117B"/>
    <w:rsid w:val="005C12D5"/>
    <w:rsid w:val="005C1444"/>
    <w:rsid w:val="005C15FC"/>
    <w:rsid w:val="005C190B"/>
    <w:rsid w:val="005C1B08"/>
    <w:rsid w:val="005C1B33"/>
    <w:rsid w:val="005C1DDF"/>
    <w:rsid w:val="005C1E9E"/>
    <w:rsid w:val="005C20D2"/>
    <w:rsid w:val="005C20E9"/>
    <w:rsid w:val="005C2197"/>
    <w:rsid w:val="005C239F"/>
    <w:rsid w:val="005C2494"/>
    <w:rsid w:val="005C2B4D"/>
    <w:rsid w:val="005C2BA8"/>
    <w:rsid w:val="005C2D25"/>
    <w:rsid w:val="005C3023"/>
    <w:rsid w:val="005C3260"/>
    <w:rsid w:val="005C329B"/>
    <w:rsid w:val="005C32FE"/>
    <w:rsid w:val="005C3329"/>
    <w:rsid w:val="005C354D"/>
    <w:rsid w:val="005C36FB"/>
    <w:rsid w:val="005C37A8"/>
    <w:rsid w:val="005C38B5"/>
    <w:rsid w:val="005C39A8"/>
    <w:rsid w:val="005C3AC9"/>
    <w:rsid w:val="005C429E"/>
    <w:rsid w:val="005C4384"/>
    <w:rsid w:val="005C4491"/>
    <w:rsid w:val="005C44A1"/>
    <w:rsid w:val="005C4595"/>
    <w:rsid w:val="005C48C7"/>
    <w:rsid w:val="005C4BC5"/>
    <w:rsid w:val="005C4E9A"/>
    <w:rsid w:val="005C503A"/>
    <w:rsid w:val="005C546D"/>
    <w:rsid w:val="005C5507"/>
    <w:rsid w:val="005C577A"/>
    <w:rsid w:val="005C581C"/>
    <w:rsid w:val="005C5ABE"/>
    <w:rsid w:val="005C5BE7"/>
    <w:rsid w:val="005C606D"/>
    <w:rsid w:val="005C6253"/>
    <w:rsid w:val="005C6258"/>
    <w:rsid w:val="005C628D"/>
    <w:rsid w:val="005C6390"/>
    <w:rsid w:val="005C63F9"/>
    <w:rsid w:val="005C642D"/>
    <w:rsid w:val="005C649F"/>
    <w:rsid w:val="005C64C5"/>
    <w:rsid w:val="005C64E1"/>
    <w:rsid w:val="005C656A"/>
    <w:rsid w:val="005C6699"/>
    <w:rsid w:val="005C66B6"/>
    <w:rsid w:val="005C6800"/>
    <w:rsid w:val="005C6835"/>
    <w:rsid w:val="005C68A4"/>
    <w:rsid w:val="005C69BB"/>
    <w:rsid w:val="005C6B24"/>
    <w:rsid w:val="005C6BBE"/>
    <w:rsid w:val="005C6CAF"/>
    <w:rsid w:val="005C6F88"/>
    <w:rsid w:val="005C711F"/>
    <w:rsid w:val="005C7169"/>
    <w:rsid w:val="005C7263"/>
    <w:rsid w:val="005C74FA"/>
    <w:rsid w:val="005C76D9"/>
    <w:rsid w:val="005C7708"/>
    <w:rsid w:val="005C7727"/>
    <w:rsid w:val="005C77F8"/>
    <w:rsid w:val="005C792C"/>
    <w:rsid w:val="005C7966"/>
    <w:rsid w:val="005C799F"/>
    <w:rsid w:val="005C7AC6"/>
    <w:rsid w:val="005D004B"/>
    <w:rsid w:val="005D0158"/>
    <w:rsid w:val="005D01CC"/>
    <w:rsid w:val="005D024A"/>
    <w:rsid w:val="005D0344"/>
    <w:rsid w:val="005D0369"/>
    <w:rsid w:val="005D08DE"/>
    <w:rsid w:val="005D09EA"/>
    <w:rsid w:val="005D0A1B"/>
    <w:rsid w:val="005D0A2B"/>
    <w:rsid w:val="005D0B10"/>
    <w:rsid w:val="005D0E9F"/>
    <w:rsid w:val="005D0F4C"/>
    <w:rsid w:val="005D0F87"/>
    <w:rsid w:val="005D1092"/>
    <w:rsid w:val="005D11C7"/>
    <w:rsid w:val="005D1540"/>
    <w:rsid w:val="005D19D8"/>
    <w:rsid w:val="005D1B3C"/>
    <w:rsid w:val="005D21C7"/>
    <w:rsid w:val="005D225E"/>
    <w:rsid w:val="005D22D3"/>
    <w:rsid w:val="005D2399"/>
    <w:rsid w:val="005D27D3"/>
    <w:rsid w:val="005D27E4"/>
    <w:rsid w:val="005D285C"/>
    <w:rsid w:val="005D2913"/>
    <w:rsid w:val="005D296B"/>
    <w:rsid w:val="005D2C50"/>
    <w:rsid w:val="005D2C85"/>
    <w:rsid w:val="005D2E62"/>
    <w:rsid w:val="005D2F84"/>
    <w:rsid w:val="005D3007"/>
    <w:rsid w:val="005D35D3"/>
    <w:rsid w:val="005D361B"/>
    <w:rsid w:val="005D3731"/>
    <w:rsid w:val="005D39CD"/>
    <w:rsid w:val="005D3B34"/>
    <w:rsid w:val="005D3CCA"/>
    <w:rsid w:val="005D3FA3"/>
    <w:rsid w:val="005D3FB8"/>
    <w:rsid w:val="005D4049"/>
    <w:rsid w:val="005D40C2"/>
    <w:rsid w:val="005D422B"/>
    <w:rsid w:val="005D4A50"/>
    <w:rsid w:val="005D4C6A"/>
    <w:rsid w:val="005D4D92"/>
    <w:rsid w:val="005D4DC3"/>
    <w:rsid w:val="005D4E80"/>
    <w:rsid w:val="005D4FD4"/>
    <w:rsid w:val="005D50A0"/>
    <w:rsid w:val="005D51D2"/>
    <w:rsid w:val="005D523D"/>
    <w:rsid w:val="005D53C9"/>
    <w:rsid w:val="005D57DF"/>
    <w:rsid w:val="005D59CB"/>
    <w:rsid w:val="005D5B52"/>
    <w:rsid w:val="005D5EF0"/>
    <w:rsid w:val="005D60AB"/>
    <w:rsid w:val="005D6187"/>
    <w:rsid w:val="005D61EC"/>
    <w:rsid w:val="005D653F"/>
    <w:rsid w:val="005D6679"/>
    <w:rsid w:val="005D6696"/>
    <w:rsid w:val="005D66A3"/>
    <w:rsid w:val="005D6BF0"/>
    <w:rsid w:val="005D6C29"/>
    <w:rsid w:val="005D6D64"/>
    <w:rsid w:val="005D6E33"/>
    <w:rsid w:val="005D6F7F"/>
    <w:rsid w:val="005D705B"/>
    <w:rsid w:val="005D70AD"/>
    <w:rsid w:val="005D770E"/>
    <w:rsid w:val="005D7716"/>
    <w:rsid w:val="005D795F"/>
    <w:rsid w:val="005D79DD"/>
    <w:rsid w:val="005D7C05"/>
    <w:rsid w:val="005D7E1C"/>
    <w:rsid w:val="005E00CF"/>
    <w:rsid w:val="005E03A3"/>
    <w:rsid w:val="005E04EA"/>
    <w:rsid w:val="005E0503"/>
    <w:rsid w:val="005E0514"/>
    <w:rsid w:val="005E08E5"/>
    <w:rsid w:val="005E09F6"/>
    <w:rsid w:val="005E0F77"/>
    <w:rsid w:val="005E12CA"/>
    <w:rsid w:val="005E12DC"/>
    <w:rsid w:val="005E130A"/>
    <w:rsid w:val="005E1382"/>
    <w:rsid w:val="005E14E9"/>
    <w:rsid w:val="005E15A7"/>
    <w:rsid w:val="005E1648"/>
    <w:rsid w:val="005E1730"/>
    <w:rsid w:val="005E174D"/>
    <w:rsid w:val="005E187E"/>
    <w:rsid w:val="005E1B3C"/>
    <w:rsid w:val="005E1C0F"/>
    <w:rsid w:val="005E1DA3"/>
    <w:rsid w:val="005E1DFC"/>
    <w:rsid w:val="005E1E40"/>
    <w:rsid w:val="005E288A"/>
    <w:rsid w:val="005E2962"/>
    <w:rsid w:val="005E2BE4"/>
    <w:rsid w:val="005E2C3A"/>
    <w:rsid w:val="005E2C40"/>
    <w:rsid w:val="005E2CA9"/>
    <w:rsid w:val="005E2E7D"/>
    <w:rsid w:val="005E3280"/>
    <w:rsid w:val="005E3481"/>
    <w:rsid w:val="005E3652"/>
    <w:rsid w:val="005E36EF"/>
    <w:rsid w:val="005E3FAB"/>
    <w:rsid w:val="005E4074"/>
    <w:rsid w:val="005E4544"/>
    <w:rsid w:val="005E454A"/>
    <w:rsid w:val="005E485D"/>
    <w:rsid w:val="005E48A5"/>
    <w:rsid w:val="005E49E0"/>
    <w:rsid w:val="005E49E8"/>
    <w:rsid w:val="005E4A4C"/>
    <w:rsid w:val="005E4D48"/>
    <w:rsid w:val="005E51D7"/>
    <w:rsid w:val="005E52F3"/>
    <w:rsid w:val="005E532B"/>
    <w:rsid w:val="005E5780"/>
    <w:rsid w:val="005E57CB"/>
    <w:rsid w:val="005E5A14"/>
    <w:rsid w:val="005E5A9C"/>
    <w:rsid w:val="005E5B19"/>
    <w:rsid w:val="005E5BBE"/>
    <w:rsid w:val="005E5D8A"/>
    <w:rsid w:val="005E5D94"/>
    <w:rsid w:val="005E5DFB"/>
    <w:rsid w:val="005E633B"/>
    <w:rsid w:val="005E6359"/>
    <w:rsid w:val="005E6566"/>
    <w:rsid w:val="005E6874"/>
    <w:rsid w:val="005E691E"/>
    <w:rsid w:val="005E699F"/>
    <w:rsid w:val="005E69FB"/>
    <w:rsid w:val="005E6AA3"/>
    <w:rsid w:val="005E6C0D"/>
    <w:rsid w:val="005E6E56"/>
    <w:rsid w:val="005E71A3"/>
    <w:rsid w:val="005E720B"/>
    <w:rsid w:val="005E725E"/>
    <w:rsid w:val="005E72B7"/>
    <w:rsid w:val="005E7315"/>
    <w:rsid w:val="005E733C"/>
    <w:rsid w:val="005E761B"/>
    <w:rsid w:val="005E7774"/>
    <w:rsid w:val="005E79A5"/>
    <w:rsid w:val="005E79C4"/>
    <w:rsid w:val="005E7A31"/>
    <w:rsid w:val="005E7CE9"/>
    <w:rsid w:val="005F0043"/>
    <w:rsid w:val="005F0A07"/>
    <w:rsid w:val="005F0AD6"/>
    <w:rsid w:val="005F0B18"/>
    <w:rsid w:val="005F0FB3"/>
    <w:rsid w:val="005F11AA"/>
    <w:rsid w:val="005F11F1"/>
    <w:rsid w:val="005F16D4"/>
    <w:rsid w:val="005F16DF"/>
    <w:rsid w:val="005F17BF"/>
    <w:rsid w:val="005F18F1"/>
    <w:rsid w:val="005F1F64"/>
    <w:rsid w:val="005F2034"/>
    <w:rsid w:val="005F22BF"/>
    <w:rsid w:val="005F2415"/>
    <w:rsid w:val="005F26C4"/>
    <w:rsid w:val="005F296F"/>
    <w:rsid w:val="005F2C7B"/>
    <w:rsid w:val="005F2CAA"/>
    <w:rsid w:val="005F2FF7"/>
    <w:rsid w:val="005F3419"/>
    <w:rsid w:val="005F3604"/>
    <w:rsid w:val="005F3D75"/>
    <w:rsid w:val="005F4086"/>
    <w:rsid w:val="005F415C"/>
    <w:rsid w:val="005F454E"/>
    <w:rsid w:val="005F45A4"/>
    <w:rsid w:val="005F4731"/>
    <w:rsid w:val="005F4770"/>
    <w:rsid w:val="005F48B7"/>
    <w:rsid w:val="005F49B0"/>
    <w:rsid w:val="005F4C6B"/>
    <w:rsid w:val="005F4D66"/>
    <w:rsid w:val="005F4DDE"/>
    <w:rsid w:val="005F4F02"/>
    <w:rsid w:val="005F4F27"/>
    <w:rsid w:val="005F5034"/>
    <w:rsid w:val="005F5158"/>
    <w:rsid w:val="005F560F"/>
    <w:rsid w:val="005F5626"/>
    <w:rsid w:val="005F5685"/>
    <w:rsid w:val="005F5B54"/>
    <w:rsid w:val="005F5C03"/>
    <w:rsid w:val="005F63BA"/>
    <w:rsid w:val="005F6611"/>
    <w:rsid w:val="005F69E9"/>
    <w:rsid w:val="005F6B7C"/>
    <w:rsid w:val="005F6E33"/>
    <w:rsid w:val="005F6EAF"/>
    <w:rsid w:val="005F6F02"/>
    <w:rsid w:val="005F6F76"/>
    <w:rsid w:val="005F6FC9"/>
    <w:rsid w:val="005F706D"/>
    <w:rsid w:val="005F73AE"/>
    <w:rsid w:val="005F777E"/>
    <w:rsid w:val="005F7A5C"/>
    <w:rsid w:val="005F7AFA"/>
    <w:rsid w:val="005F7C71"/>
    <w:rsid w:val="005F7D3A"/>
    <w:rsid w:val="005F7F2B"/>
    <w:rsid w:val="005F7F59"/>
    <w:rsid w:val="005F7FEE"/>
    <w:rsid w:val="00600255"/>
    <w:rsid w:val="006002C7"/>
    <w:rsid w:val="00600675"/>
    <w:rsid w:val="006009E4"/>
    <w:rsid w:val="00600A58"/>
    <w:rsid w:val="00600C32"/>
    <w:rsid w:val="00600C43"/>
    <w:rsid w:val="00600C9B"/>
    <w:rsid w:val="00600D15"/>
    <w:rsid w:val="00600D20"/>
    <w:rsid w:val="00600FD9"/>
    <w:rsid w:val="00601265"/>
    <w:rsid w:val="0060126A"/>
    <w:rsid w:val="00601650"/>
    <w:rsid w:val="006016A1"/>
    <w:rsid w:val="0060186E"/>
    <w:rsid w:val="0060195D"/>
    <w:rsid w:val="00601A4B"/>
    <w:rsid w:val="00601BBE"/>
    <w:rsid w:val="00601C85"/>
    <w:rsid w:val="00601EDD"/>
    <w:rsid w:val="00601F52"/>
    <w:rsid w:val="006021F0"/>
    <w:rsid w:val="0060237A"/>
    <w:rsid w:val="00602743"/>
    <w:rsid w:val="00602B68"/>
    <w:rsid w:val="00602BAB"/>
    <w:rsid w:val="00602D03"/>
    <w:rsid w:val="00602E7D"/>
    <w:rsid w:val="00602EE1"/>
    <w:rsid w:val="00602FE5"/>
    <w:rsid w:val="006030B2"/>
    <w:rsid w:val="006032E1"/>
    <w:rsid w:val="006033EB"/>
    <w:rsid w:val="006036B1"/>
    <w:rsid w:val="00603C2C"/>
    <w:rsid w:val="00603D01"/>
    <w:rsid w:val="00604108"/>
    <w:rsid w:val="00604260"/>
    <w:rsid w:val="006044E8"/>
    <w:rsid w:val="0060467D"/>
    <w:rsid w:val="0060468B"/>
    <w:rsid w:val="00604A2A"/>
    <w:rsid w:val="00604D75"/>
    <w:rsid w:val="00604EEF"/>
    <w:rsid w:val="006050C0"/>
    <w:rsid w:val="006050F8"/>
    <w:rsid w:val="00605493"/>
    <w:rsid w:val="0060550D"/>
    <w:rsid w:val="006055D9"/>
    <w:rsid w:val="00605787"/>
    <w:rsid w:val="006057C5"/>
    <w:rsid w:val="006059B3"/>
    <w:rsid w:val="00605A22"/>
    <w:rsid w:val="00605AFD"/>
    <w:rsid w:val="00605C03"/>
    <w:rsid w:val="00605D1B"/>
    <w:rsid w:val="00605E7A"/>
    <w:rsid w:val="00605EC3"/>
    <w:rsid w:val="00606082"/>
    <w:rsid w:val="0060649C"/>
    <w:rsid w:val="006067F8"/>
    <w:rsid w:val="006069EF"/>
    <w:rsid w:val="00606C91"/>
    <w:rsid w:val="00606F11"/>
    <w:rsid w:val="00607180"/>
    <w:rsid w:val="0060730D"/>
    <w:rsid w:val="0060738A"/>
    <w:rsid w:val="00607485"/>
    <w:rsid w:val="00607528"/>
    <w:rsid w:val="0060767E"/>
    <w:rsid w:val="00607838"/>
    <w:rsid w:val="00607CCD"/>
    <w:rsid w:val="00607DBC"/>
    <w:rsid w:val="00607F03"/>
    <w:rsid w:val="00610093"/>
    <w:rsid w:val="006101A3"/>
    <w:rsid w:val="00610217"/>
    <w:rsid w:val="0061031D"/>
    <w:rsid w:val="0061045C"/>
    <w:rsid w:val="006104A0"/>
    <w:rsid w:val="00610530"/>
    <w:rsid w:val="00610613"/>
    <w:rsid w:val="00610835"/>
    <w:rsid w:val="006108E1"/>
    <w:rsid w:val="0061091A"/>
    <w:rsid w:val="0061099C"/>
    <w:rsid w:val="00610A00"/>
    <w:rsid w:val="00610C3B"/>
    <w:rsid w:val="00610D6F"/>
    <w:rsid w:val="00610D7A"/>
    <w:rsid w:val="00610F4B"/>
    <w:rsid w:val="0061132B"/>
    <w:rsid w:val="006115B6"/>
    <w:rsid w:val="00611874"/>
    <w:rsid w:val="00611952"/>
    <w:rsid w:val="00611A07"/>
    <w:rsid w:val="00611C53"/>
    <w:rsid w:val="00611DAF"/>
    <w:rsid w:val="00611FD8"/>
    <w:rsid w:val="0061203D"/>
    <w:rsid w:val="0061212F"/>
    <w:rsid w:val="00612150"/>
    <w:rsid w:val="0061217E"/>
    <w:rsid w:val="006123D4"/>
    <w:rsid w:val="00612677"/>
    <w:rsid w:val="006126B6"/>
    <w:rsid w:val="006128DB"/>
    <w:rsid w:val="00612A2C"/>
    <w:rsid w:val="00612A86"/>
    <w:rsid w:val="00612AA2"/>
    <w:rsid w:val="00612C80"/>
    <w:rsid w:val="00612D6F"/>
    <w:rsid w:val="00612DD0"/>
    <w:rsid w:val="00612FF8"/>
    <w:rsid w:val="00613082"/>
    <w:rsid w:val="006130A8"/>
    <w:rsid w:val="006130C5"/>
    <w:rsid w:val="006132B8"/>
    <w:rsid w:val="006133D4"/>
    <w:rsid w:val="006137E4"/>
    <w:rsid w:val="0061380D"/>
    <w:rsid w:val="0061392E"/>
    <w:rsid w:val="00613A3B"/>
    <w:rsid w:val="00613F55"/>
    <w:rsid w:val="00613FC5"/>
    <w:rsid w:val="006140D7"/>
    <w:rsid w:val="00614450"/>
    <w:rsid w:val="0061445B"/>
    <w:rsid w:val="00614792"/>
    <w:rsid w:val="006150DA"/>
    <w:rsid w:val="006150FF"/>
    <w:rsid w:val="0061511B"/>
    <w:rsid w:val="00615163"/>
    <w:rsid w:val="00615587"/>
    <w:rsid w:val="006156FB"/>
    <w:rsid w:val="00615748"/>
    <w:rsid w:val="006157CF"/>
    <w:rsid w:val="0061597E"/>
    <w:rsid w:val="00615AAF"/>
    <w:rsid w:val="00615C4A"/>
    <w:rsid w:val="00615E61"/>
    <w:rsid w:val="00615E6A"/>
    <w:rsid w:val="00615FE2"/>
    <w:rsid w:val="00616183"/>
    <w:rsid w:val="0061635E"/>
    <w:rsid w:val="00616393"/>
    <w:rsid w:val="00616446"/>
    <w:rsid w:val="00616637"/>
    <w:rsid w:val="006168E1"/>
    <w:rsid w:val="00616B5F"/>
    <w:rsid w:val="00616EFB"/>
    <w:rsid w:val="006170A4"/>
    <w:rsid w:val="00617186"/>
    <w:rsid w:val="00617292"/>
    <w:rsid w:val="0061730E"/>
    <w:rsid w:val="00617798"/>
    <w:rsid w:val="00617811"/>
    <w:rsid w:val="00617867"/>
    <w:rsid w:val="00617964"/>
    <w:rsid w:val="00617BBA"/>
    <w:rsid w:val="00617EF9"/>
    <w:rsid w:val="006202F1"/>
    <w:rsid w:val="0062039F"/>
    <w:rsid w:val="0062062F"/>
    <w:rsid w:val="00620646"/>
    <w:rsid w:val="006207A9"/>
    <w:rsid w:val="006207E3"/>
    <w:rsid w:val="00620956"/>
    <w:rsid w:val="00620A04"/>
    <w:rsid w:val="00620AA6"/>
    <w:rsid w:val="00620AAE"/>
    <w:rsid w:val="00620AC6"/>
    <w:rsid w:val="00620BF5"/>
    <w:rsid w:val="0062137F"/>
    <w:rsid w:val="00621451"/>
    <w:rsid w:val="00621739"/>
    <w:rsid w:val="00621771"/>
    <w:rsid w:val="0062181D"/>
    <w:rsid w:val="00621856"/>
    <w:rsid w:val="00621857"/>
    <w:rsid w:val="00621B00"/>
    <w:rsid w:val="00622007"/>
    <w:rsid w:val="00622078"/>
    <w:rsid w:val="006224A2"/>
    <w:rsid w:val="0062258D"/>
    <w:rsid w:val="00622656"/>
    <w:rsid w:val="00622680"/>
    <w:rsid w:val="006227F2"/>
    <w:rsid w:val="0062281F"/>
    <w:rsid w:val="00622829"/>
    <w:rsid w:val="0062287C"/>
    <w:rsid w:val="00622AD0"/>
    <w:rsid w:val="00622AE8"/>
    <w:rsid w:val="00622C08"/>
    <w:rsid w:val="00622D02"/>
    <w:rsid w:val="0062304D"/>
    <w:rsid w:val="00623219"/>
    <w:rsid w:val="006233D4"/>
    <w:rsid w:val="006234C1"/>
    <w:rsid w:val="00623575"/>
    <w:rsid w:val="006237BE"/>
    <w:rsid w:val="00623936"/>
    <w:rsid w:val="00623AEA"/>
    <w:rsid w:val="00623B46"/>
    <w:rsid w:val="00623D01"/>
    <w:rsid w:val="00623D2E"/>
    <w:rsid w:val="006240C4"/>
    <w:rsid w:val="006240F2"/>
    <w:rsid w:val="00624383"/>
    <w:rsid w:val="00624769"/>
    <w:rsid w:val="006248D6"/>
    <w:rsid w:val="00624991"/>
    <w:rsid w:val="00624C4B"/>
    <w:rsid w:val="00624FD8"/>
    <w:rsid w:val="0062520B"/>
    <w:rsid w:val="00625210"/>
    <w:rsid w:val="0062528B"/>
    <w:rsid w:val="00625308"/>
    <w:rsid w:val="00625456"/>
    <w:rsid w:val="006254C6"/>
    <w:rsid w:val="006256D9"/>
    <w:rsid w:val="00625702"/>
    <w:rsid w:val="00625707"/>
    <w:rsid w:val="00625BD2"/>
    <w:rsid w:val="0062603C"/>
    <w:rsid w:val="00626107"/>
    <w:rsid w:val="006263D7"/>
    <w:rsid w:val="0062677E"/>
    <w:rsid w:val="00626848"/>
    <w:rsid w:val="0062684C"/>
    <w:rsid w:val="00626D83"/>
    <w:rsid w:val="00626E2C"/>
    <w:rsid w:val="00627578"/>
    <w:rsid w:val="0062765A"/>
    <w:rsid w:val="0062788F"/>
    <w:rsid w:val="00627A41"/>
    <w:rsid w:val="00627E14"/>
    <w:rsid w:val="00627F4E"/>
    <w:rsid w:val="00627FEA"/>
    <w:rsid w:val="0063009C"/>
    <w:rsid w:val="00630226"/>
    <w:rsid w:val="00630302"/>
    <w:rsid w:val="0063051C"/>
    <w:rsid w:val="006305A9"/>
    <w:rsid w:val="00630685"/>
    <w:rsid w:val="00630835"/>
    <w:rsid w:val="0063089C"/>
    <w:rsid w:val="00630C3F"/>
    <w:rsid w:val="00630C4A"/>
    <w:rsid w:val="00630CB6"/>
    <w:rsid w:val="00630DA1"/>
    <w:rsid w:val="00631143"/>
    <w:rsid w:val="00631186"/>
    <w:rsid w:val="006314A2"/>
    <w:rsid w:val="0063167A"/>
    <w:rsid w:val="006316F6"/>
    <w:rsid w:val="0063183E"/>
    <w:rsid w:val="006319D7"/>
    <w:rsid w:val="00631C52"/>
    <w:rsid w:val="00631CAD"/>
    <w:rsid w:val="00631DB4"/>
    <w:rsid w:val="00631EE2"/>
    <w:rsid w:val="00631F3B"/>
    <w:rsid w:val="00632272"/>
    <w:rsid w:val="0063241F"/>
    <w:rsid w:val="00632500"/>
    <w:rsid w:val="0063251D"/>
    <w:rsid w:val="0063281D"/>
    <w:rsid w:val="00632847"/>
    <w:rsid w:val="0063294C"/>
    <w:rsid w:val="00632F03"/>
    <w:rsid w:val="00632FA9"/>
    <w:rsid w:val="006330E6"/>
    <w:rsid w:val="0063324A"/>
    <w:rsid w:val="00633326"/>
    <w:rsid w:val="00633453"/>
    <w:rsid w:val="0063383A"/>
    <w:rsid w:val="006338DD"/>
    <w:rsid w:val="0063397B"/>
    <w:rsid w:val="00633A53"/>
    <w:rsid w:val="00633BCA"/>
    <w:rsid w:val="00633BD0"/>
    <w:rsid w:val="00633C7B"/>
    <w:rsid w:val="006340A0"/>
    <w:rsid w:val="00634117"/>
    <w:rsid w:val="00634397"/>
    <w:rsid w:val="0063458C"/>
    <w:rsid w:val="006345A6"/>
    <w:rsid w:val="006347B6"/>
    <w:rsid w:val="006347DC"/>
    <w:rsid w:val="0063480C"/>
    <w:rsid w:val="00634A0B"/>
    <w:rsid w:val="00634AC3"/>
    <w:rsid w:val="00634D12"/>
    <w:rsid w:val="00634E9A"/>
    <w:rsid w:val="00634EEE"/>
    <w:rsid w:val="00634F2E"/>
    <w:rsid w:val="00635161"/>
    <w:rsid w:val="006357DF"/>
    <w:rsid w:val="006358B1"/>
    <w:rsid w:val="006358DF"/>
    <w:rsid w:val="00635AB5"/>
    <w:rsid w:val="00635B91"/>
    <w:rsid w:val="00635C98"/>
    <w:rsid w:val="00635D48"/>
    <w:rsid w:val="006361CD"/>
    <w:rsid w:val="00636715"/>
    <w:rsid w:val="0063677F"/>
    <w:rsid w:val="0063682C"/>
    <w:rsid w:val="00636B70"/>
    <w:rsid w:val="00636F7A"/>
    <w:rsid w:val="00637341"/>
    <w:rsid w:val="0063775B"/>
    <w:rsid w:val="006378FA"/>
    <w:rsid w:val="006379CE"/>
    <w:rsid w:val="00637B5A"/>
    <w:rsid w:val="00637F6F"/>
    <w:rsid w:val="0064044E"/>
    <w:rsid w:val="00640474"/>
    <w:rsid w:val="0064050E"/>
    <w:rsid w:val="006408CC"/>
    <w:rsid w:val="00640926"/>
    <w:rsid w:val="00640992"/>
    <w:rsid w:val="00640A5A"/>
    <w:rsid w:val="00640D4B"/>
    <w:rsid w:val="00640FBA"/>
    <w:rsid w:val="00641135"/>
    <w:rsid w:val="0064151E"/>
    <w:rsid w:val="006419A7"/>
    <w:rsid w:val="00641B44"/>
    <w:rsid w:val="00641C7F"/>
    <w:rsid w:val="00641E21"/>
    <w:rsid w:val="0064208A"/>
    <w:rsid w:val="0064213C"/>
    <w:rsid w:val="006421AC"/>
    <w:rsid w:val="006425F1"/>
    <w:rsid w:val="0064268C"/>
    <w:rsid w:val="0064269C"/>
    <w:rsid w:val="00642764"/>
    <w:rsid w:val="00642806"/>
    <w:rsid w:val="0064293F"/>
    <w:rsid w:val="0064298E"/>
    <w:rsid w:val="00642A6C"/>
    <w:rsid w:val="00642C74"/>
    <w:rsid w:val="00642EA6"/>
    <w:rsid w:val="00643126"/>
    <w:rsid w:val="00643217"/>
    <w:rsid w:val="0064347D"/>
    <w:rsid w:val="00643692"/>
    <w:rsid w:val="006437FD"/>
    <w:rsid w:val="0064387C"/>
    <w:rsid w:val="00643A32"/>
    <w:rsid w:val="00643A8C"/>
    <w:rsid w:val="00643B40"/>
    <w:rsid w:val="00643BB2"/>
    <w:rsid w:val="00643BD6"/>
    <w:rsid w:val="00643C61"/>
    <w:rsid w:val="00643CDB"/>
    <w:rsid w:val="00644062"/>
    <w:rsid w:val="0064418A"/>
    <w:rsid w:val="0064418F"/>
    <w:rsid w:val="00644190"/>
    <w:rsid w:val="00644290"/>
    <w:rsid w:val="006442C6"/>
    <w:rsid w:val="00644493"/>
    <w:rsid w:val="006445EC"/>
    <w:rsid w:val="006446FF"/>
    <w:rsid w:val="0064471D"/>
    <w:rsid w:val="00644969"/>
    <w:rsid w:val="00644C42"/>
    <w:rsid w:val="00644FCE"/>
    <w:rsid w:val="006450DC"/>
    <w:rsid w:val="00645315"/>
    <w:rsid w:val="0064546D"/>
    <w:rsid w:val="0064565D"/>
    <w:rsid w:val="00645747"/>
    <w:rsid w:val="00645798"/>
    <w:rsid w:val="0064599F"/>
    <w:rsid w:val="00645AB8"/>
    <w:rsid w:val="00645D57"/>
    <w:rsid w:val="0064601D"/>
    <w:rsid w:val="00646055"/>
    <w:rsid w:val="006460D6"/>
    <w:rsid w:val="00646310"/>
    <w:rsid w:val="00646387"/>
    <w:rsid w:val="006463F2"/>
    <w:rsid w:val="006469CC"/>
    <w:rsid w:val="00646AB2"/>
    <w:rsid w:val="00646AD0"/>
    <w:rsid w:val="00646B8B"/>
    <w:rsid w:val="00646CAF"/>
    <w:rsid w:val="00647175"/>
    <w:rsid w:val="00647314"/>
    <w:rsid w:val="0064741F"/>
    <w:rsid w:val="006474A2"/>
    <w:rsid w:val="006475EE"/>
    <w:rsid w:val="00647BF4"/>
    <w:rsid w:val="00647D2D"/>
    <w:rsid w:val="00647D6C"/>
    <w:rsid w:val="00650217"/>
    <w:rsid w:val="00650298"/>
    <w:rsid w:val="006502C2"/>
    <w:rsid w:val="006504D2"/>
    <w:rsid w:val="0065051F"/>
    <w:rsid w:val="0065055C"/>
    <w:rsid w:val="00650851"/>
    <w:rsid w:val="006508C7"/>
    <w:rsid w:val="00650A06"/>
    <w:rsid w:val="00650A36"/>
    <w:rsid w:val="00650A6E"/>
    <w:rsid w:val="00650D02"/>
    <w:rsid w:val="00650FDB"/>
    <w:rsid w:val="00651000"/>
    <w:rsid w:val="006512B2"/>
    <w:rsid w:val="006512CC"/>
    <w:rsid w:val="006514AC"/>
    <w:rsid w:val="00651941"/>
    <w:rsid w:val="00651C66"/>
    <w:rsid w:val="00651CA4"/>
    <w:rsid w:val="006522C2"/>
    <w:rsid w:val="006523FC"/>
    <w:rsid w:val="00652458"/>
    <w:rsid w:val="00652459"/>
    <w:rsid w:val="0065265F"/>
    <w:rsid w:val="006527E6"/>
    <w:rsid w:val="00652935"/>
    <w:rsid w:val="00652DCF"/>
    <w:rsid w:val="00652FF1"/>
    <w:rsid w:val="006531D0"/>
    <w:rsid w:val="00653203"/>
    <w:rsid w:val="00653207"/>
    <w:rsid w:val="006532FF"/>
    <w:rsid w:val="00653349"/>
    <w:rsid w:val="00653483"/>
    <w:rsid w:val="00653883"/>
    <w:rsid w:val="00653B5A"/>
    <w:rsid w:val="00653FDB"/>
    <w:rsid w:val="006541B1"/>
    <w:rsid w:val="006541B5"/>
    <w:rsid w:val="0065425B"/>
    <w:rsid w:val="0065426C"/>
    <w:rsid w:val="00654651"/>
    <w:rsid w:val="006546B9"/>
    <w:rsid w:val="00654C6D"/>
    <w:rsid w:val="00654D15"/>
    <w:rsid w:val="00654F85"/>
    <w:rsid w:val="0065511E"/>
    <w:rsid w:val="00655306"/>
    <w:rsid w:val="006553EF"/>
    <w:rsid w:val="006559E9"/>
    <w:rsid w:val="00655CC9"/>
    <w:rsid w:val="00655E09"/>
    <w:rsid w:val="0065619B"/>
    <w:rsid w:val="00656564"/>
    <w:rsid w:val="00656A36"/>
    <w:rsid w:val="00656C38"/>
    <w:rsid w:val="00656C39"/>
    <w:rsid w:val="00656E13"/>
    <w:rsid w:val="00656E17"/>
    <w:rsid w:val="00656E7B"/>
    <w:rsid w:val="006572DD"/>
    <w:rsid w:val="00657311"/>
    <w:rsid w:val="00657418"/>
    <w:rsid w:val="0065798B"/>
    <w:rsid w:val="006579BA"/>
    <w:rsid w:val="00657B08"/>
    <w:rsid w:val="00657BE4"/>
    <w:rsid w:val="00657EA9"/>
    <w:rsid w:val="006600B1"/>
    <w:rsid w:val="00660186"/>
    <w:rsid w:val="006601DD"/>
    <w:rsid w:val="0066074C"/>
    <w:rsid w:val="006607C0"/>
    <w:rsid w:val="00660C64"/>
    <w:rsid w:val="00660DF9"/>
    <w:rsid w:val="00661175"/>
    <w:rsid w:val="006612D1"/>
    <w:rsid w:val="006613C4"/>
    <w:rsid w:val="006613FE"/>
    <w:rsid w:val="00661715"/>
    <w:rsid w:val="00661A6B"/>
    <w:rsid w:val="00661D74"/>
    <w:rsid w:val="00661D80"/>
    <w:rsid w:val="00661E4F"/>
    <w:rsid w:val="00662075"/>
    <w:rsid w:val="00662377"/>
    <w:rsid w:val="00662392"/>
    <w:rsid w:val="006624B8"/>
    <w:rsid w:val="00662503"/>
    <w:rsid w:val="00662688"/>
    <w:rsid w:val="00662831"/>
    <w:rsid w:val="00662986"/>
    <w:rsid w:val="00662B06"/>
    <w:rsid w:val="00662B24"/>
    <w:rsid w:val="00662B3F"/>
    <w:rsid w:val="00663595"/>
    <w:rsid w:val="006638BA"/>
    <w:rsid w:val="00663AC1"/>
    <w:rsid w:val="00663BFA"/>
    <w:rsid w:val="00663E70"/>
    <w:rsid w:val="00664364"/>
    <w:rsid w:val="00664410"/>
    <w:rsid w:val="0066442A"/>
    <w:rsid w:val="00664863"/>
    <w:rsid w:val="006648C9"/>
    <w:rsid w:val="00664C14"/>
    <w:rsid w:val="00664E88"/>
    <w:rsid w:val="00664F8D"/>
    <w:rsid w:val="00665155"/>
    <w:rsid w:val="0066599D"/>
    <w:rsid w:val="006659A7"/>
    <w:rsid w:val="00665ACB"/>
    <w:rsid w:val="00665B0B"/>
    <w:rsid w:val="00665BE6"/>
    <w:rsid w:val="00665FF1"/>
    <w:rsid w:val="006666F1"/>
    <w:rsid w:val="00666958"/>
    <w:rsid w:val="00666CBC"/>
    <w:rsid w:val="00666CDD"/>
    <w:rsid w:val="00666D8E"/>
    <w:rsid w:val="00666EF5"/>
    <w:rsid w:val="006676D7"/>
    <w:rsid w:val="00667902"/>
    <w:rsid w:val="00667920"/>
    <w:rsid w:val="0066798C"/>
    <w:rsid w:val="006679C8"/>
    <w:rsid w:val="00667A5D"/>
    <w:rsid w:val="00667B5A"/>
    <w:rsid w:val="00667BB3"/>
    <w:rsid w:val="00667CBD"/>
    <w:rsid w:val="00667D91"/>
    <w:rsid w:val="00667EE1"/>
    <w:rsid w:val="00667FC8"/>
    <w:rsid w:val="0067005F"/>
    <w:rsid w:val="006701CC"/>
    <w:rsid w:val="006701CE"/>
    <w:rsid w:val="0067021D"/>
    <w:rsid w:val="00670319"/>
    <w:rsid w:val="00670353"/>
    <w:rsid w:val="00670425"/>
    <w:rsid w:val="00670558"/>
    <w:rsid w:val="006707A3"/>
    <w:rsid w:val="006707DB"/>
    <w:rsid w:val="00670A8F"/>
    <w:rsid w:val="00670CB6"/>
    <w:rsid w:val="00670CCB"/>
    <w:rsid w:val="00670EF4"/>
    <w:rsid w:val="00670FE6"/>
    <w:rsid w:val="0067100E"/>
    <w:rsid w:val="00671050"/>
    <w:rsid w:val="00671202"/>
    <w:rsid w:val="00671325"/>
    <w:rsid w:val="006714F8"/>
    <w:rsid w:val="00671580"/>
    <w:rsid w:val="00671664"/>
    <w:rsid w:val="00671E98"/>
    <w:rsid w:val="00672119"/>
    <w:rsid w:val="006721A5"/>
    <w:rsid w:val="006721B3"/>
    <w:rsid w:val="006721F3"/>
    <w:rsid w:val="006722BE"/>
    <w:rsid w:val="00672386"/>
    <w:rsid w:val="0067299F"/>
    <w:rsid w:val="00672B5D"/>
    <w:rsid w:val="00672BD3"/>
    <w:rsid w:val="00672DBE"/>
    <w:rsid w:val="00672FB3"/>
    <w:rsid w:val="00673070"/>
    <w:rsid w:val="0067314C"/>
    <w:rsid w:val="006732A1"/>
    <w:rsid w:val="006734FC"/>
    <w:rsid w:val="0067366B"/>
    <w:rsid w:val="0067393F"/>
    <w:rsid w:val="00673BDE"/>
    <w:rsid w:val="00673C1B"/>
    <w:rsid w:val="00673D83"/>
    <w:rsid w:val="006741C4"/>
    <w:rsid w:val="006742DA"/>
    <w:rsid w:val="00674340"/>
    <w:rsid w:val="006745BC"/>
    <w:rsid w:val="006746AF"/>
    <w:rsid w:val="00674791"/>
    <w:rsid w:val="00674919"/>
    <w:rsid w:val="00674B74"/>
    <w:rsid w:val="00674F45"/>
    <w:rsid w:val="00674F46"/>
    <w:rsid w:val="0067522E"/>
    <w:rsid w:val="0067523A"/>
    <w:rsid w:val="00675892"/>
    <w:rsid w:val="00675989"/>
    <w:rsid w:val="00675ADD"/>
    <w:rsid w:val="00675D42"/>
    <w:rsid w:val="00675E66"/>
    <w:rsid w:val="0067622C"/>
    <w:rsid w:val="0067637D"/>
    <w:rsid w:val="006764BE"/>
    <w:rsid w:val="00676509"/>
    <w:rsid w:val="006766E2"/>
    <w:rsid w:val="00676F1F"/>
    <w:rsid w:val="00676FFF"/>
    <w:rsid w:val="0067712C"/>
    <w:rsid w:val="00677226"/>
    <w:rsid w:val="006775DA"/>
    <w:rsid w:val="006775FB"/>
    <w:rsid w:val="0068027A"/>
    <w:rsid w:val="0068057F"/>
    <w:rsid w:val="0068060B"/>
    <w:rsid w:val="0068078F"/>
    <w:rsid w:val="00680976"/>
    <w:rsid w:val="00680CC6"/>
    <w:rsid w:val="0068123E"/>
    <w:rsid w:val="006812DF"/>
    <w:rsid w:val="00681554"/>
    <w:rsid w:val="00681734"/>
    <w:rsid w:val="006818DD"/>
    <w:rsid w:val="00681951"/>
    <w:rsid w:val="00681AA4"/>
    <w:rsid w:val="00681AC9"/>
    <w:rsid w:val="00681EEC"/>
    <w:rsid w:val="00682249"/>
    <w:rsid w:val="006823D2"/>
    <w:rsid w:val="0068263D"/>
    <w:rsid w:val="006826DE"/>
    <w:rsid w:val="006826FF"/>
    <w:rsid w:val="00682AB3"/>
    <w:rsid w:val="00683031"/>
    <w:rsid w:val="006836FF"/>
    <w:rsid w:val="00683780"/>
    <w:rsid w:val="00683785"/>
    <w:rsid w:val="006837B1"/>
    <w:rsid w:val="006838BB"/>
    <w:rsid w:val="00683951"/>
    <w:rsid w:val="00683990"/>
    <w:rsid w:val="00683A0F"/>
    <w:rsid w:val="00683AC7"/>
    <w:rsid w:val="00683AEF"/>
    <w:rsid w:val="00683E6B"/>
    <w:rsid w:val="00683F94"/>
    <w:rsid w:val="00684044"/>
    <w:rsid w:val="00684357"/>
    <w:rsid w:val="00684523"/>
    <w:rsid w:val="0068462B"/>
    <w:rsid w:val="006849C4"/>
    <w:rsid w:val="00684B28"/>
    <w:rsid w:val="00684BFC"/>
    <w:rsid w:val="00684CA4"/>
    <w:rsid w:val="006850C9"/>
    <w:rsid w:val="00685282"/>
    <w:rsid w:val="0068529A"/>
    <w:rsid w:val="00685433"/>
    <w:rsid w:val="006855D0"/>
    <w:rsid w:val="006857C6"/>
    <w:rsid w:val="00685CF7"/>
    <w:rsid w:val="00685D17"/>
    <w:rsid w:val="00685D2E"/>
    <w:rsid w:val="00686035"/>
    <w:rsid w:val="00686126"/>
    <w:rsid w:val="00686165"/>
    <w:rsid w:val="00686283"/>
    <w:rsid w:val="006863B6"/>
    <w:rsid w:val="006863D5"/>
    <w:rsid w:val="006864EC"/>
    <w:rsid w:val="00686513"/>
    <w:rsid w:val="00686BBD"/>
    <w:rsid w:val="006873D9"/>
    <w:rsid w:val="00687D75"/>
    <w:rsid w:val="00687DCE"/>
    <w:rsid w:val="00687EF4"/>
    <w:rsid w:val="006900BF"/>
    <w:rsid w:val="0069025B"/>
    <w:rsid w:val="006902F5"/>
    <w:rsid w:val="00690356"/>
    <w:rsid w:val="006903C8"/>
    <w:rsid w:val="006908D4"/>
    <w:rsid w:val="00690A6C"/>
    <w:rsid w:val="00690CC0"/>
    <w:rsid w:val="00690D2C"/>
    <w:rsid w:val="00690D33"/>
    <w:rsid w:val="00690DC7"/>
    <w:rsid w:val="00690F1A"/>
    <w:rsid w:val="0069108F"/>
    <w:rsid w:val="006911AA"/>
    <w:rsid w:val="0069147D"/>
    <w:rsid w:val="00691615"/>
    <w:rsid w:val="006917FF"/>
    <w:rsid w:val="00691A29"/>
    <w:rsid w:val="00691ADE"/>
    <w:rsid w:val="00691AF6"/>
    <w:rsid w:val="00691C9B"/>
    <w:rsid w:val="00691CB5"/>
    <w:rsid w:val="00691DED"/>
    <w:rsid w:val="00691EB6"/>
    <w:rsid w:val="00691F08"/>
    <w:rsid w:val="00691F33"/>
    <w:rsid w:val="00692012"/>
    <w:rsid w:val="0069217C"/>
    <w:rsid w:val="006923DF"/>
    <w:rsid w:val="006924E0"/>
    <w:rsid w:val="006926EA"/>
    <w:rsid w:val="00692740"/>
    <w:rsid w:val="00692C74"/>
    <w:rsid w:val="0069316D"/>
    <w:rsid w:val="006931AC"/>
    <w:rsid w:val="00693310"/>
    <w:rsid w:val="00693323"/>
    <w:rsid w:val="0069343E"/>
    <w:rsid w:val="006937B9"/>
    <w:rsid w:val="0069381B"/>
    <w:rsid w:val="00693B54"/>
    <w:rsid w:val="00693D91"/>
    <w:rsid w:val="00693E8C"/>
    <w:rsid w:val="00693FB1"/>
    <w:rsid w:val="006940B2"/>
    <w:rsid w:val="006941D6"/>
    <w:rsid w:val="0069455B"/>
    <w:rsid w:val="006949A7"/>
    <w:rsid w:val="0069501B"/>
    <w:rsid w:val="0069528E"/>
    <w:rsid w:val="0069528F"/>
    <w:rsid w:val="006952E2"/>
    <w:rsid w:val="0069532E"/>
    <w:rsid w:val="00695365"/>
    <w:rsid w:val="00695857"/>
    <w:rsid w:val="006959D3"/>
    <w:rsid w:val="00695A2B"/>
    <w:rsid w:val="00695AAA"/>
    <w:rsid w:val="00695AF6"/>
    <w:rsid w:val="00695F81"/>
    <w:rsid w:val="00696012"/>
    <w:rsid w:val="006962AC"/>
    <w:rsid w:val="006966B9"/>
    <w:rsid w:val="00696AC4"/>
    <w:rsid w:val="00696AD3"/>
    <w:rsid w:val="00696EEC"/>
    <w:rsid w:val="00696F99"/>
    <w:rsid w:val="006970E2"/>
    <w:rsid w:val="006973CE"/>
    <w:rsid w:val="006973FE"/>
    <w:rsid w:val="00697499"/>
    <w:rsid w:val="0069750F"/>
    <w:rsid w:val="00697513"/>
    <w:rsid w:val="00697579"/>
    <w:rsid w:val="00697691"/>
    <w:rsid w:val="006976A1"/>
    <w:rsid w:val="00697C92"/>
    <w:rsid w:val="00697CA7"/>
    <w:rsid w:val="006A01D1"/>
    <w:rsid w:val="006A035A"/>
    <w:rsid w:val="006A0379"/>
    <w:rsid w:val="006A0816"/>
    <w:rsid w:val="006A08FE"/>
    <w:rsid w:val="006A09F5"/>
    <w:rsid w:val="006A0A38"/>
    <w:rsid w:val="006A0C5F"/>
    <w:rsid w:val="006A0CA4"/>
    <w:rsid w:val="006A0CAF"/>
    <w:rsid w:val="006A0F5C"/>
    <w:rsid w:val="006A0FC3"/>
    <w:rsid w:val="006A1251"/>
    <w:rsid w:val="006A129C"/>
    <w:rsid w:val="006A1483"/>
    <w:rsid w:val="006A16B9"/>
    <w:rsid w:val="006A17A7"/>
    <w:rsid w:val="006A19B0"/>
    <w:rsid w:val="006A19C1"/>
    <w:rsid w:val="006A1D4F"/>
    <w:rsid w:val="006A1E5F"/>
    <w:rsid w:val="006A1FD1"/>
    <w:rsid w:val="006A2089"/>
    <w:rsid w:val="006A2545"/>
    <w:rsid w:val="006A29FF"/>
    <w:rsid w:val="006A2A0C"/>
    <w:rsid w:val="006A2E0A"/>
    <w:rsid w:val="006A3024"/>
    <w:rsid w:val="006A3247"/>
    <w:rsid w:val="006A3388"/>
    <w:rsid w:val="006A3530"/>
    <w:rsid w:val="006A3543"/>
    <w:rsid w:val="006A3547"/>
    <w:rsid w:val="006A35C4"/>
    <w:rsid w:val="006A35DC"/>
    <w:rsid w:val="006A3777"/>
    <w:rsid w:val="006A37F5"/>
    <w:rsid w:val="006A38C5"/>
    <w:rsid w:val="006A3B0A"/>
    <w:rsid w:val="006A3CC2"/>
    <w:rsid w:val="006A3CE9"/>
    <w:rsid w:val="006A3D58"/>
    <w:rsid w:val="006A4031"/>
    <w:rsid w:val="006A4253"/>
    <w:rsid w:val="006A44F2"/>
    <w:rsid w:val="006A4620"/>
    <w:rsid w:val="006A4944"/>
    <w:rsid w:val="006A49AD"/>
    <w:rsid w:val="006A4AAA"/>
    <w:rsid w:val="006A4DC5"/>
    <w:rsid w:val="006A4E12"/>
    <w:rsid w:val="006A4EDF"/>
    <w:rsid w:val="006A51FD"/>
    <w:rsid w:val="006A5213"/>
    <w:rsid w:val="006A537E"/>
    <w:rsid w:val="006A547F"/>
    <w:rsid w:val="006A55FF"/>
    <w:rsid w:val="006A5827"/>
    <w:rsid w:val="006A5903"/>
    <w:rsid w:val="006A5DC8"/>
    <w:rsid w:val="006A612E"/>
    <w:rsid w:val="006A66F4"/>
    <w:rsid w:val="006A67E4"/>
    <w:rsid w:val="006A68BE"/>
    <w:rsid w:val="006A6A82"/>
    <w:rsid w:val="006A6B8F"/>
    <w:rsid w:val="006A6D93"/>
    <w:rsid w:val="006A6FD3"/>
    <w:rsid w:val="006A71B8"/>
    <w:rsid w:val="006A761D"/>
    <w:rsid w:val="006A7620"/>
    <w:rsid w:val="006A7642"/>
    <w:rsid w:val="006A77F9"/>
    <w:rsid w:val="006A79FF"/>
    <w:rsid w:val="006A7CE0"/>
    <w:rsid w:val="006A7E05"/>
    <w:rsid w:val="006B0416"/>
    <w:rsid w:val="006B0427"/>
    <w:rsid w:val="006B04A0"/>
    <w:rsid w:val="006B04D2"/>
    <w:rsid w:val="006B098C"/>
    <w:rsid w:val="006B09ED"/>
    <w:rsid w:val="006B0D26"/>
    <w:rsid w:val="006B0FC5"/>
    <w:rsid w:val="006B1285"/>
    <w:rsid w:val="006B13D9"/>
    <w:rsid w:val="006B169D"/>
    <w:rsid w:val="006B16AD"/>
    <w:rsid w:val="006B1BD2"/>
    <w:rsid w:val="006B1BD5"/>
    <w:rsid w:val="006B1BF1"/>
    <w:rsid w:val="006B1E58"/>
    <w:rsid w:val="006B253D"/>
    <w:rsid w:val="006B256B"/>
    <w:rsid w:val="006B26FF"/>
    <w:rsid w:val="006B2AA3"/>
    <w:rsid w:val="006B2AF7"/>
    <w:rsid w:val="006B2CE4"/>
    <w:rsid w:val="006B2D9F"/>
    <w:rsid w:val="006B3311"/>
    <w:rsid w:val="006B33E7"/>
    <w:rsid w:val="006B344D"/>
    <w:rsid w:val="006B3466"/>
    <w:rsid w:val="006B3551"/>
    <w:rsid w:val="006B38BB"/>
    <w:rsid w:val="006B38FF"/>
    <w:rsid w:val="006B3A30"/>
    <w:rsid w:val="006B3A78"/>
    <w:rsid w:val="006B3AD5"/>
    <w:rsid w:val="006B3B67"/>
    <w:rsid w:val="006B3CE4"/>
    <w:rsid w:val="006B3D30"/>
    <w:rsid w:val="006B3E90"/>
    <w:rsid w:val="006B3FCE"/>
    <w:rsid w:val="006B4131"/>
    <w:rsid w:val="006B41DC"/>
    <w:rsid w:val="006B45A9"/>
    <w:rsid w:val="006B467F"/>
    <w:rsid w:val="006B4958"/>
    <w:rsid w:val="006B4A9F"/>
    <w:rsid w:val="006B4AD2"/>
    <w:rsid w:val="006B4BF8"/>
    <w:rsid w:val="006B4DF1"/>
    <w:rsid w:val="006B528B"/>
    <w:rsid w:val="006B53B0"/>
    <w:rsid w:val="006B53FD"/>
    <w:rsid w:val="006B54A4"/>
    <w:rsid w:val="006B555C"/>
    <w:rsid w:val="006B55BD"/>
    <w:rsid w:val="006B582C"/>
    <w:rsid w:val="006B5AC9"/>
    <w:rsid w:val="006B5C9E"/>
    <w:rsid w:val="006B5EB9"/>
    <w:rsid w:val="006B6177"/>
    <w:rsid w:val="006B640E"/>
    <w:rsid w:val="006B6905"/>
    <w:rsid w:val="006B6989"/>
    <w:rsid w:val="006B69B3"/>
    <w:rsid w:val="006B6A18"/>
    <w:rsid w:val="006B6C97"/>
    <w:rsid w:val="006B6CB8"/>
    <w:rsid w:val="006B6EFB"/>
    <w:rsid w:val="006B6F93"/>
    <w:rsid w:val="006B71BC"/>
    <w:rsid w:val="006B725C"/>
    <w:rsid w:val="006B7520"/>
    <w:rsid w:val="006B7554"/>
    <w:rsid w:val="006B7630"/>
    <w:rsid w:val="006B776F"/>
    <w:rsid w:val="006B7BD4"/>
    <w:rsid w:val="006B7CA3"/>
    <w:rsid w:val="006C00B6"/>
    <w:rsid w:val="006C018A"/>
    <w:rsid w:val="006C0255"/>
    <w:rsid w:val="006C028B"/>
    <w:rsid w:val="006C03AE"/>
    <w:rsid w:val="006C0500"/>
    <w:rsid w:val="006C0564"/>
    <w:rsid w:val="006C0909"/>
    <w:rsid w:val="006C0A32"/>
    <w:rsid w:val="006C0B08"/>
    <w:rsid w:val="006C0B5F"/>
    <w:rsid w:val="006C0BE7"/>
    <w:rsid w:val="006C0D38"/>
    <w:rsid w:val="006C0D93"/>
    <w:rsid w:val="006C0F06"/>
    <w:rsid w:val="006C0FFE"/>
    <w:rsid w:val="006C1165"/>
    <w:rsid w:val="006C1707"/>
    <w:rsid w:val="006C17AA"/>
    <w:rsid w:val="006C1826"/>
    <w:rsid w:val="006C1892"/>
    <w:rsid w:val="006C1934"/>
    <w:rsid w:val="006C2094"/>
    <w:rsid w:val="006C2415"/>
    <w:rsid w:val="006C24F1"/>
    <w:rsid w:val="006C2503"/>
    <w:rsid w:val="006C25E0"/>
    <w:rsid w:val="006C26A5"/>
    <w:rsid w:val="006C2741"/>
    <w:rsid w:val="006C2752"/>
    <w:rsid w:val="006C2756"/>
    <w:rsid w:val="006C2945"/>
    <w:rsid w:val="006C2A11"/>
    <w:rsid w:val="006C2A73"/>
    <w:rsid w:val="006C2B3D"/>
    <w:rsid w:val="006C2E87"/>
    <w:rsid w:val="006C2F44"/>
    <w:rsid w:val="006C32D3"/>
    <w:rsid w:val="006C3CE1"/>
    <w:rsid w:val="006C3E24"/>
    <w:rsid w:val="006C3E3F"/>
    <w:rsid w:val="006C3ED2"/>
    <w:rsid w:val="006C40E4"/>
    <w:rsid w:val="006C40F6"/>
    <w:rsid w:val="006C4247"/>
    <w:rsid w:val="006C4411"/>
    <w:rsid w:val="006C49F3"/>
    <w:rsid w:val="006C4C0C"/>
    <w:rsid w:val="006C4FD7"/>
    <w:rsid w:val="006C516A"/>
    <w:rsid w:val="006C53B5"/>
    <w:rsid w:val="006C5512"/>
    <w:rsid w:val="006C598F"/>
    <w:rsid w:val="006C5A91"/>
    <w:rsid w:val="006C5B73"/>
    <w:rsid w:val="006C5F5F"/>
    <w:rsid w:val="006C5F81"/>
    <w:rsid w:val="006C6177"/>
    <w:rsid w:val="006C62C4"/>
    <w:rsid w:val="006C645D"/>
    <w:rsid w:val="006C64F9"/>
    <w:rsid w:val="006C66F1"/>
    <w:rsid w:val="006C6713"/>
    <w:rsid w:val="006C67C0"/>
    <w:rsid w:val="006C67DE"/>
    <w:rsid w:val="006C6828"/>
    <w:rsid w:val="006C6975"/>
    <w:rsid w:val="006C6CD5"/>
    <w:rsid w:val="006C6DD1"/>
    <w:rsid w:val="006C7040"/>
    <w:rsid w:val="006C763D"/>
    <w:rsid w:val="006C76B1"/>
    <w:rsid w:val="006C77D6"/>
    <w:rsid w:val="006C7846"/>
    <w:rsid w:val="006C789B"/>
    <w:rsid w:val="006C7AE1"/>
    <w:rsid w:val="006C7AEC"/>
    <w:rsid w:val="006C7B77"/>
    <w:rsid w:val="006C7CE8"/>
    <w:rsid w:val="006C7F3B"/>
    <w:rsid w:val="006C7F74"/>
    <w:rsid w:val="006D007B"/>
    <w:rsid w:val="006D008B"/>
    <w:rsid w:val="006D00C4"/>
    <w:rsid w:val="006D02A8"/>
    <w:rsid w:val="006D0791"/>
    <w:rsid w:val="006D07C3"/>
    <w:rsid w:val="006D0963"/>
    <w:rsid w:val="006D09C9"/>
    <w:rsid w:val="006D09CC"/>
    <w:rsid w:val="006D0BD8"/>
    <w:rsid w:val="006D0ED6"/>
    <w:rsid w:val="006D1199"/>
    <w:rsid w:val="006D1417"/>
    <w:rsid w:val="006D1546"/>
    <w:rsid w:val="006D1DA9"/>
    <w:rsid w:val="006D20EA"/>
    <w:rsid w:val="006D2381"/>
    <w:rsid w:val="006D241D"/>
    <w:rsid w:val="006D26F8"/>
    <w:rsid w:val="006D2736"/>
    <w:rsid w:val="006D2820"/>
    <w:rsid w:val="006D29BD"/>
    <w:rsid w:val="006D2E06"/>
    <w:rsid w:val="006D3017"/>
    <w:rsid w:val="006D31CF"/>
    <w:rsid w:val="006D34B4"/>
    <w:rsid w:val="006D3730"/>
    <w:rsid w:val="006D3B6D"/>
    <w:rsid w:val="006D3B83"/>
    <w:rsid w:val="006D41F4"/>
    <w:rsid w:val="006D44B2"/>
    <w:rsid w:val="006D46CD"/>
    <w:rsid w:val="006D4A76"/>
    <w:rsid w:val="006D4D43"/>
    <w:rsid w:val="006D4DC4"/>
    <w:rsid w:val="006D4E6D"/>
    <w:rsid w:val="006D516F"/>
    <w:rsid w:val="006D522E"/>
    <w:rsid w:val="006D5310"/>
    <w:rsid w:val="006D5549"/>
    <w:rsid w:val="006D557E"/>
    <w:rsid w:val="006D55DF"/>
    <w:rsid w:val="006D568D"/>
    <w:rsid w:val="006D572B"/>
    <w:rsid w:val="006D5A3D"/>
    <w:rsid w:val="006D5FA4"/>
    <w:rsid w:val="006D62B8"/>
    <w:rsid w:val="006D6487"/>
    <w:rsid w:val="006D6914"/>
    <w:rsid w:val="006D6996"/>
    <w:rsid w:val="006D6A56"/>
    <w:rsid w:val="006D6ECC"/>
    <w:rsid w:val="006D70F6"/>
    <w:rsid w:val="006D7628"/>
    <w:rsid w:val="006D7645"/>
    <w:rsid w:val="006D789D"/>
    <w:rsid w:val="006D79E6"/>
    <w:rsid w:val="006D7AE9"/>
    <w:rsid w:val="006D7C81"/>
    <w:rsid w:val="006D7D3B"/>
    <w:rsid w:val="006D7DD9"/>
    <w:rsid w:val="006D7E72"/>
    <w:rsid w:val="006E009D"/>
    <w:rsid w:val="006E0434"/>
    <w:rsid w:val="006E05CD"/>
    <w:rsid w:val="006E103F"/>
    <w:rsid w:val="006E1089"/>
    <w:rsid w:val="006E11E3"/>
    <w:rsid w:val="006E1444"/>
    <w:rsid w:val="006E1934"/>
    <w:rsid w:val="006E1950"/>
    <w:rsid w:val="006E1A81"/>
    <w:rsid w:val="006E1E59"/>
    <w:rsid w:val="006E218C"/>
    <w:rsid w:val="006E21C3"/>
    <w:rsid w:val="006E2295"/>
    <w:rsid w:val="006E2378"/>
    <w:rsid w:val="006E2746"/>
    <w:rsid w:val="006E27B5"/>
    <w:rsid w:val="006E287E"/>
    <w:rsid w:val="006E2B16"/>
    <w:rsid w:val="006E2B26"/>
    <w:rsid w:val="006E2B74"/>
    <w:rsid w:val="006E2D2A"/>
    <w:rsid w:val="006E2D5C"/>
    <w:rsid w:val="006E2ED3"/>
    <w:rsid w:val="006E302A"/>
    <w:rsid w:val="006E32A8"/>
    <w:rsid w:val="006E3490"/>
    <w:rsid w:val="006E35EC"/>
    <w:rsid w:val="006E3999"/>
    <w:rsid w:val="006E3B4B"/>
    <w:rsid w:val="006E3BCE"/>
    <w:rsid w:val="006E3CC3"/>
    <w:rsid w:val="006E3F70"/>
    <w:rsid w:val="006E4071"/>
    <w:rsid w:val="006E424D"/>
    <w:rsid w:val="006E42B0"/>
    <w:rsid w:val="006E4422"/>
    <w:rsid w:val="006E4599"/>
    <w:rsid w:val="006E45D5"/>
    <w:rsid w:val="006E50A5"/>
    <w:rsid w:val="006E50DC"/>
    <w:rsid w:val="006E53B7"/>
    <w:rsid w:val="006E54FC"/>
    <w:rsid w:val="006E5662"/>
    <w:rsid w:val="006E5A5A"/>
    <w:rsid w:val="006E5AB0"/>
    <w:rsid w:val="006E5BF4"/>
    <w:rsid w:val="006E5C4C"/>
    <w:rsid w:val="006E5C74"/>
    <w:rsid w:val="006E5E09"/>
    <w:rsid w:val="006E5EB6"/>
    <w:rsid w:val="006E5EE3"/>
    <w:rsid w:val="006E6086"/>
    <w:rsid w:val="006E63E0"/>
    <w:rsid w:val="006E647E"/>
    <w:rsid w:val="006E6EE9"/>
    <w:rsid w:val="006E730D"/>
    <w:rsid w:val="006E7342"/>
    <w:rsid w:val="006E7487"/>
    <w:rsid w:val="006E74C1"/>
    <w:rsid w:val="006E74F2"/>
    <w:rsid w:val="006E766C"/>
    <w:rsid w:val="006E7703"/>
    <w:rsid w:val="006E7726"/>
    <w:rsid w:val="006E790B"/>
    <w:rsid w:val="006E7E0F"/>
    <w:rsid w:val="006E7EFB"/>
    <w:rsid w:val="006F0446"/>
    <w:rsid w:val="006F0485"/>
    <w:rsid w:val="006F0613"/>
    <w:rsid w:val="006F068B"/>
    <w:rsid w:val="006F0BC2"/>
    <w:rsid w:val="006F0C91"/>
    <w:rsid w:val="006F0E2E"/>
    <w:rsid w:val="006F1419"/>
    <w:rsid w:val="006F1580"/>
    <w:rsid w:val="006F1969"/>
    <w:rsid w:val="006F1A0E"/>
    <w:rsid w:val="006F1BE3"/>
    <w:rsid w:val="006F1C70"/>
    <w:rsid w:val="006F1CD0"/>
    <w:rsid w:val="006F1E50"/>
    <w:rsid w:val="006F1ED9"/>
    <w:rsid w:val="006F2272"/>
    <w:rsid w:val="006F22C4"/>
    <w:rsid w:val="006F2359"/>
    <w:rsid w:val="006F23BD"/>
    <w:rsid w:val="006F255F"/>
    <w:rsid w:val="006F2596"/>
    <w:rsid w:val="006F2956"/>
    <w:rsid w:val="006F2AA0"/>
    <w:rsid w:val="006F2B31"/>
    <w:rsid w:val="006F2D01"/>
    <w:rsid w:val="006F2D6F"/>
    <w:rsid w:val="006F30D3"/>
    <w:rsid w:val="006F3190"/>
    <w:rsid w:val="006F325A"/>
    <w:rsid w:val="006F32C9"/>
    <w:rsid w:val="006F337E"/>
    <w:rsid w:val="006F3468"/>
    <w:rsid w:val="006F37C1"/>
    <w:rsid w:val="006F3A7B"/>
    <w:rsid w:val="006F3FFD"/>
    <w:rsid w:val="006F40F2"/>
    <w:rsid w:val="006F45E5"/>
    <w:rsid w:val="006F46C1"/>
    <w:rsid w:val="006F46DB"/>
    <w:rsid w:val="006F48BA"/>
    <w:rsid w:val="006F4979"/>
    <w:rsid w:val="006F49E4"/>
    <w:rsid w:val="006F4B03"/>
    <w:rsid w:val="006F4B0F"/>
    <w:rsid w:val="006F4B5D"/>
    <w:rsid w:val="006F4B5E"/>
    <w:rsid w:val="006F4CE1"/>
    <w:rsid w:val="006F4D35"/>
    <w:rsid w:val="006F4D70"/>
    <w:rsid w:val="006F4F03"/>
    <w:rsid w:val="006F4F24"/>
    <w:rsid w:val="006F5146"/>
    <w:rsid w:val="006F539F"/>
    <w:rsid w:val="006F5C6A"/>
    <w:rsid w:val="006F5ED8"/>
    <w:rsid w:val="006F5FC6"/>
    <w:rsid w:val="006F6181"/>
    <w:rsid w:val="006F62C7"/>
    <w:rsid w:val="006F6428"/>
    <w:rsid w:val="006F64EC"/>
    <w:rsid w:val="006F673C"/>
    <w:rsid w:val="006F6793"/>
    <w:rsid w:val="006F67C2"/>
    <w:rsid w:val="006F6853"/>
    <w:rsid w:val="006F6C1B"/>
    <w:rsid w:val="006F6D5A"/>
    <w:rsid w:val="006F6DE5"/>
    <w:rsid w:val="006F7259"/>
    <w:rsid w:val="006F7273"/>
    <w:rsid w:val="006F75AD"/>
    <w:rsid w:val="006F766F"/>
    <w:rsid w:val="006F772B"/>
    <w:rsid w:val="006F77E8"/>
    <w:rsid w:val="006F7998"/>
    <w:rsid w:val="006F7D7D"/>
    <w:rsid w:val="006F7DC8"/>
    <w:rsid w:val="006F7E01"/>
    <w:rsid w:val="006F7EA2"/>
    <w:rsid w:val="007003B2"/>
    <w:rsid w:val="0070045A"/>
    <w:rsid w:val="007005D7"/>
    <w:rsid w:val="00700A19"/>
    <w:rsid w:val="00700FAC"/>
    <w:rsid w:val="00701278"/>
    <w:rsid w:val="00701353"/>
    <w:rsid w:val="0070148B"/>
    <w:rsid w:val="007015C0"/>
    <w:rsid w:val="00701AE2"/>
    <w:rsid w:val="00701B0E"/>
    <w:rsid w:val="00701E1F"/>
    <w:rsid w:val="00701E7F"/>
    <w:rsid w:val="00701EEE"/>
    <w:rsid w:val="00701F6A"/>
    <w:rsid w:val="00701FBD"/>
    <w:rsid w:val="00702080"/>
    <w:rsid w:val="007026C5"/>
    <w:rsid w:val="00702703"/>
    <w:rsid w:val="00702813"/>
    <w:rsid w:val="00702936"/>
    <w:rsid w:val="00702D15"/>
    <w:rsid w:val="00702DA2"/>
    <w:rsid w:val="00702E90"/>
    <w:rsid w:val="00702FF1"/>
    <w:rsid w:val="007034E5"/>
    <w:rsid w:val="007034F7"/>
    <w:rsid w:val="00703570"/>
    <w:rsid w:val="007035DF"/>
    <w:rsid w:val="00703847"/>
    <w:rsid w:val="00703865"/>
    <w:rsid w:val="00703890"/>
    <w:rsid w:val="0070394E"/>
    <w:rsid w:val="00703B72"/>
    <w:rsid w:val="00703BB8"/>
    <w:rsid w:val="00703CC3"/>
    <w:rsid w:val="00703DEB"/>
    <w:rsid w:val="00703F08"/>
    <w:rsid w:val="0070475E"/>
    <w:rsid w:val="007047C5"/>
    <w:rsid w:val="00704826"/>
    <w:rsid w:val="00704A0F"/>
    <w:rsid w:val="00705050"/>
    <w:rsid w:val="00705123"/>
    <w:rsid w:val="0070529C"/>
    <w:rsid w:val="007055E9"/>
    <w:rsid w:val="00705646"/>
    <w:rsid w:val="0070567B"/>
    <w:rsid w:val="007057B3"/>
    <w:rsid w:val="00705B89"/>
    <w:rsid w:val="00705BAE"/>
    <w:rsid w:val="00705C22"/>
    <w:rsid w:val="00705EC7"/>
    <w:rsid w:val="00705ED5"/>
    <w:rsid w:val="00705F18"/>
    <w:rsid w:val="00705F20"/>
    <w:rsid w:val="00705FE1"/>
    <w:rsid w:val="00706345"/>
    <w:rsid w:val="0070643D"/>
    <w:rsid w:val="00706923"/>
    <w:rsid w:val="00706A77"/>
    <w:rsid w:val="00706B52"/>
    <w:rsid w:val="00706E8E"/>
    <w:rsid w:val="00706EE6"/>
    <w:rsid w:val="00706EF1"/>
    <w:rsid w:val="00706F1C"/>
    <w:rsid w:val="00706F1F"/>
    <w:rsid w:val="007070FC"/>
    <w:rsid w:val="0070725C"/>
    <w:rsid w:val="00707473"/>
    <w:rsid w:val="007075A4"/>
    <w:rsid w:val="0070761B"/>
    <w:rsid w:val="0070763F"/>
    <w:rsid w:val="00707A29"/>
    <w:rsid w:val="00707A4F"/>
    <w:rsid w:val="00707DF3"/>
    <w:rsid w:val="007102C9"/>
    <w:rsid w:val="0071030C"/>
    <w:rsid w:val="007103F0"/>
    <w:rsid w:val="0071053D"/>
    <w:rsid w:val="007106B4"/>
    <w:rsid w:val="007109C0"/>
    <w:rsid w:val="00710AE8"/>
    <w:rsid w:val="00710BE1"/>
    <w:rsid w:val="00710F8D"/>
    <w:rsid w:val="00710FEB"/>
    <w:rsid w:val="007110DD"/>
    <w:rsid w:val="00711144"/>
    <w:rsid w:val="007115B8"/>
    <w:rsid w:val="00711ACF"/>
    <w:rsid w:val="00711CD1"/>
    <w:rsid w:val="00711E70"/>
    <w:rsid w:val="00711F20"/>
    <w:rsid w:val="00711F64"/>
    <w:rsid w:val="00712146"/>
    <w:rsid w:val="00712346"/>
    <w:rsid w:val="00712353"/>
    <w:rsid w:val="007123AA"/>
    <w:rsid w:val="007129F8"/>
    <w:rsid w:val="00712A9A"/>
    <w:rsid w:val="00712BAE"/>
    <w:rsid w:val="00712F72"/>
    <w:rsid w:val="00712F91"/>
    <w:rsid w:val="00713174"/>
    <w:rsid w:val="007132C0"/>
    <w:rsid w:val="00713401"/>
    <w:rsid w:val="00713750"/>
    <w:rsid w:val="0071390D"/>
    <w:rsid w:val="00713AEC"/>
    <w:rsid w:val="00713E48"/>
    <w:rsid w:val="00713EC1"/>
    <w:rsid w:val="00714260"/>
    <w:rsid w:val="007143BB"/>
    <w:rsid w:val="00714576"/>
    <w:rsid w:val="0071467B"/>
    <w:rsid w:val="00714828"/>
    <w:rsid w:val="00714AFD"/>
    <w:rsid w:val="00714B77"/>
    <w:rsid w:val="00714C3C"/>
    <w:rsid w:val="00714C8F"/>
    <w:rsid w:val="00714DBC"/>
    <w:rsid w:val="00714E40"/>
    <w:rsid w:val="00715043"/>
    <w:rsid w:val="007150A1"/>
    <w:rsid w:val="0071512D"/>
    <w:rsid w:val="00715171"/>
    <w:rsid w:val="007153E8"/>
    <w:rsid w:val="007153F5"/>
    <w:rsid w:val="0071569B"/>
    <w:rsid w:val="0071571B"/>
    <w:rsid w:val="00715912"/>
    <w:rsid w:val="00715ADD"/>
    <w:rsid w:val="00715E72"/>
    <w:rsid w:val="00716160"/>
    <w:rsid w:val="007163A0"/>
    <w:rsid w:val="007163D9"/>
    <w:rsid w:val="007163E8"/>
    <w:rsid w:val="007163FB"/>
    <w:rsid w:val="0071650F"/>
    <w:rsid w:val="00716861"/>
    <w:rsid w:val="00716B97"/>
    <w:rsid w:val="00716BBF"/>
    <w:rsid w:val="00716D5B"/>
    <w:rsid w:val="00716DD2"/>
    <w:rsid w:val="00717836"/>
    <w:rsid w:val="00717CAA"/>
    <w:rsid w:val="00717DDC"/>
    <w:rsid w:val="00717E57"/>
    <w:rsid w:val="0072001C"/>
    <w:rsid w:val="00720082"/>
    <w:rsid w:val="00720091"/>
    <w:rsid w:val="00720094"/>
    <w:rsid w:val="0072017B"/>
    <w:rsid w:val="00720383"/>
    <w:rsid w:val="00720732"/>
    <w:rsid w:val="0072091D"/>
    <w:rsid w:val="007209D7"/>
    <w:rsid w:val="00720A8F"/>
    <w:rsid w:val="00720DEF"/>
    <w:rsid w:val="00720F6B"/>
    <w:rsid w:val="00721089"/>
    <w:rsid w:val="007210DC"/>
    <w:rsid w:val="00721436"/>
    <w:rsid w:val="007214D1"/>
    <w:rsid w:val="0072153A"/>
    <w:rsid w:val="007218C8"/>
    <w:rsid w:val="00721980"/>
    <w:rsid w:val="00721BB6"/>
    <w:rsid w:val="00721EE9"/>
    <w:rsid w:val="007222B4"/>
    <w:rsid w:val="0072244B"/>
    <w:rsid w:val="00722884"/>
    <w:rsid w:val="00722890"/>
    <w:rsid w:val="007229FF"/>
    <w:rsid w:val="00722A91"/>
    <w:rsid w:val="00722AA3"/>
    <w:rsid w:val="00722B53"/>
    <w:rsid w:val="00722C77"/>
    <w:rsid w:val="00722D51"/>
    <w:rsid w:val="00722DB0"/>
    <w:rsid w:val="00722EDD"/>
    <w:rsid w:val="00722FEF"/>
    <w:rsid w:val="007230C9"/>
    <w:rsid w:val="007231DF"/>
    <w:rsid w:val="00723255"/>
    <w:rsid w:val="00723352"/>
    <w:rsid w:val="0072346F"/>
    <w:rsid w:val="007238C2"/>
    <w:rsid w:val="007239C6"/>
    <w:rsid w:val="00723A6F"/>
    <w:rsid w:val="00723DAF"/>
    <w:rsid w:val="00724266"/>
    <w:rsid w:val="007242D9"/>
    <w:rsid w:val="0072497A"/>
    <w:rsid w:val="00724AC1"/>
    <w:rsid w:val="00724D7A"/>
    <w:rsid w:val="00724E19"/>
    <w:rsid w:val="00725042"/>
    <w:rsid w:val="0072545B"/>
    <w:rsid w:val="007254C7"/>
    <w:rsid w:val="00725503"/>
    <w:rsid w:val="00725614"/>
    <w:rsid w:val="007257CA"/>
    <w:rsid w:val="007258A4"/>
    <w:rsid w:val="007258EE"/>
    <w:rsid w:val="00725AD9"/>
    <w:rsid w:val="00725BBF"/>
    <w:rsid w:val="00725CE9"/>
    <w:rsid w:val="00725CEB"/>
    <w:rsid w:val="00725D84"/>
    <w:rsid w:val="00725F63"/>
    <w:rsid w:val="00726255"/>
    <w:rsid w:val="0072631E"/>
    <w:rsid w:val="00726403"/>
    <w:rsid w:val="00726505"/>
    <w:rsid w:val="007265A6"/>
    <w:rsid w:val="007266B6"/>
    <w:rsid w:val="007267FB"/>
    <w:rsid w:val="00726DA6"/>
    <w:rsid w:val="00726F93"/>
    <w:rsid w:val="007270E5"/>
    <w:rsid w:val="0072728C"/>
    <w:rsid w:val="00727426"/>
    <w:rsid w:val="0072758D"/>
    <w:rsid w:val="007275C7"/>
    <w:rsid w:val="00727B73"/>
    <w:rsid w:val="00727B9C"/>
    <w:rsid w:val="00730686"/>
    <w:rsid w:val="00730DB9"/>
    <w:rsid w:val="007310DD"/>
    <w:rsid w:val="007310FC"/>
    <w:rsid w:val="00731117"/>
    <w:rsid w:val="0073138C"/>
    <w:rsid w:val="007314D6"/>
    <w:rsid w:val="00731513"/>
    <w:rsid w:val="007317F0"/>
    <w:rsid w:val="00731962"/>
    <w:rsid w:val="00731DB8"/>
    <w:rsid w:val="00731F84"/>
    <w:rsid w:val="0073202F"/>
    <w:rsid w:val="00732491"/>
    <w:rsid w:val="00732A8A"/>
    <w:rsid w:val="00732AEE"/>
    <w:rsid w:val="00732D36"/>
    <w:rsid w:val="00732EA5"/>
    <w:rsid w:val="0073314C"/>
    <w:rsid w:val="007331BB"/>
    <w:rsid w:val="007337C5"/>
    <w:rsid w:val="00733893"/>
    <w:rsid w:val="007338E9"/>
    <w:rsid w:val="00733ABE"/>
    <w:rsid w:val="00733DB4"/>
    <w:rsid w:val="00734147"/>
    <w:rsid w:val="0073415B"/>
    <w:rsid w:val="007342AA"/>
    <w:rsid w:val="00734442"/>
    <w:rsid w:val="00734620"/>
    <w:rsid w:val="007347CD"/>
    <w:rsid w:val="00734898"/>
    <w:rsid w:val="00734CB3"/>
    <w:rsid w:val="00734CD3"/>
    <w:rsid w:val="00734DA1"/>
    <w:rsid w:val="00734E88"/>
    <w:rsid w:val="007352F1"/>
    <w:rsid w:val="00735314"/>
    <w:rsid w:val="007353A8"/>
    <w:rsid w:val="0073541F"/>
    <w:rsid w:val="00735501"/>
    <w:rsid w:val="00735B4F"/>
    <w:rsid w:val="00735EC1"/>
    <w:rsid w:val="00735FCE"/>
    <w:rsid w:val="007362E3"/>
    <w:rsid w:val="00736558"/>
    <w:rsid w:val="00736567"/>
    <w:rsid w:val="00736669"/>
    <w:rsid w:val="0073670A"/>
    <w:rsid w:val="0073678D"/>
    <w:rsid w:val="007369E0"/>
    <w:rsid w:val="00736BD2"/>
    <w:rsid w:val="00736C9D"/>
    <w:rsid w:val="007371E2"/>
    <w:rsid w:val="00737497"/>
    <w:rsid w:val="007374FD"/>
    <w:rsid w:val="0073767E"/>
    <w:rsid w:val="007378A3"/>
    <w:rsid w:val="00737914"/>
    <w:rsid w:val="0073794D"/>
    <w:rsid w:val="00737BF3"/>
    <w:rsid w:val="00737E33"/>
    <w:rsid w:val="00737EDF"/>
    <w:rsid w:val="0074001F"/>
    <w:rsid w:val="0074006F"/>
    <w:rsid w:val="00740793"/>
    <w:rsid w:val="00740886"/>
    <w:rsid w:val="00740A5B"/>
    <w:rsid w:val="00740A5C"/>
    <w:rsid w:val="00740A97"/>
    <w:rsid w:val="00740D20"/>
    <w:rsid w:val="00740DD0"/>
    <w:rsid w:val="00740E7F"/>
    <w:rsid w:val="00740F08"/>
    <w:rsid w:val="00740FC8"/>
    <w:rsid w:val="00741142"/>
    <w:rsid w:val="00741430"/>
    <w:rsid w:val="00741452"/>
    <w:rsid w:val="00741B10"/>
    <w:rsid w:val="00741DB2"/>
    <w:rsid w:val="00741DE3"/>
    <w:rsid w:val="00741F0C"/>
    <w:rsid w:val="0074204A"/>
    <w:rsid w:val="007421E4"/>
    <w:rsid w:val="00742366"/>
    <w:rsid w:val="0074251F"/>
    <w:rsid w:val="0074271F"/>
    <w:rsid w:val="00742993"/>
    <w:rsid w:val="007429F2"/>
    <w:rsid w:val="00742AD5"/>
    <w:rsid w:val="00742B2C"/>
    <w:rsid w:val="00742D2F"/>
    <w:rsid w:val="00742D3F"/>
    <w:rsid w:val="00742DA7"/>
    <w:rsid w:val="00742FA0"/>
    <w:rsid w:val="0074302F"/>
    <w:rsid w:val="0074306A"/>
    <w:rsid w:val="00743082"/>
    <w:rsid w:val="00743251"/>
    <w:rsid w:val="00743422"/>
    <w:rsid w:val="0074371D"/>
    <w:rsid w:val="00743CA2"/>
    <w:rsid w:val="00743CE2"/>
    <w:rsid w:val="00743FF3"/>
    <w:rsid w:val="00744076"/>
    <w:rsid w:val="00744083"/>
    <w:rsid w:val="00744329"/>
    <w:rsid w:val="00744472"/>
    <w:rsid w:val="00744484"/>
    <w:rsid w:val="007446BF"/>
    <w:rsid w:val="00744CD3"/>
    <w:rsid w:val="00744FAC"/>
    <w:rsid w:val="00745138"/>
    <w:rsid w:val="00745349"/>
    <w:rsid w:val="007454A3"/>
    <w:rsid w:val="00745741"/>
    <w:rsid w:val="00745964"/>
    <w:rsid w:val="00745AF7"/>
    <w:rsid w:val="00745B3F"/>
    <w:rsid w:val="00745B87"/>
    <w:rsid w:val="00745BA7"/>
    <w:rsid w:val="00745D2E"/>
    <w:rsid w:val="00745D78"/>
    <w:rsid w:val="007460F4"/>
    <w:rsid w:val="007460FB"/>
    <w:rsid w:val="0074615A"/>
    <w:rsid w:val="00746185"/>
    <w:rsid w:val="0074618A"/>
    <w:rsid w:val="00746400"/>
    <w:rsid w:val="0074643D"/>
    <w:rsid w:val="007464A2"/>
    <w:rsid w:val="007464EF"/>
    <w:rsid w:val="0074658E"/>
    <w:rsid w:val="007465C3"/>
    <w:rsid w:val="0074671E"/>
    <w:rsid w:val="00746874"/>
    <w:rsid w:val="00746B9C"/>
    <w:rsid w:val="00746C0E"/>
    <w:rsid w:val="00746F96"/>
    <w:rsid w:val="007470A9"/>
    <w:rsid w:val="0074729B"/>
    <w:rsid w:val="00747357"/>
    <w:rsid w:val="00747702"/>
    <w:rsid w:val="0074775B"/>
    <w:rsid w:val="00747919"/>
    <w:rsid w:val="0074796D"/>
    <w:rsid w:val="007479D9"/>
    <w:rsid w:val="00747FDC"/>
    <w:rsid w:val="007501B9"/>
    <w:rsid w:val="007502CC"/>
    <w:rsid w:val="007503B1"/>
    <w:rsid w:val="007504F1"/>
    <w:rsid w:val="00750617"/>
    <w:rsid w:val="007506AB"/>
    <w:rsid w:val="007508D9"/>
    <w:rsid w:val="007509DD"/>
    <w:rsid w:val="00750A39"/>
    <w:rsid w:val="00750BC5"/>
    <w:rsid w:val="00750CAB"/>
    <w:rsid w:val="00750CCF"/>
    <w:rsid w:val="00750DE3"/>
    <w:rsid w:val="00751309"/>
    <w:rsid w:val="00751447"/>
    <w:rsid w:val="007516B4"/>
    <w:rsid w:val="007517E8"/>
    <w:rsid w:val="00751A24"/>
    <w:rsid w:val="00751CA9"/>
    <w:rsid w:val="00751CED"/>
    <w:rsid w:val="00751FE6"/>
    <w:rsid w:val="00752068"/>
    <w:rsid w:val="00752124"/>
    <w:rsid w:val="007521D7"/>
    <w:rsid w:val="007522F1"/>
    <w:rsid w:val="007523EA"/>
    <w:rsid w:val="007527E6"/>
    <w:rsid w:val="00752DE5"/>
    <w:rsid w:val="00752F6B"/>
    <w:rsid w:val="007530F9"/>
    <w:rsid w:val="0075336A"/>
    <w:rsid w:val="00753934"/>
    <w:rsid w:val="00753B22"/>
    <w:rsid w:val="00754110"/>
    <w:rsid w:val="007542BA"/>
    <w:rsid w:val="0075439C"/>
    <w:rsid w:val="007547C2"/>
    <w:rsid w:val="0075483F"/>
    <w:rsid w:val="00754C7F"/>
    <w:rsid w:val="00754D37"/>
    <w:rsid w:val="00755025"/>
    <w:rsid w:val="0075540B"/>
    <w:rsid w:val="00755470"/>
    <w:rsid w:val="007554A1"/>
    <w:rsid w:val="0075576A"/>
    <w:rsid w:val="00755779"/>
    <w:rsid w:val="007557E1"/>
    <w:rsid w:val="0075583C"/>
    <w:rsid w:val="00755A13"/>
    <w:rsid w:val="00755F4F"/>
    <w:rsid w:val="00755FE7"/>
    <w:rsid w:val="007563AB"/>
    <w:rsid w:val="00756404"/>
    <w:rsid w:val="00756513"/>
    <w:rsid w:val="007566F6"/>
    <w:rsid w:val="00756761"/>
    <w:rsid w:val="00756998"/>
    <w:rsid w:val="00756A00"/>
    <w:rsid w:val="007570BD"/>
    <w:rsid w:val="007571E6"/>
    <w:rsid w:val="00757253"/>
    <w:rsid w:val="007572AD"/>
    <w:rsid w:val="0075739E"/>
    <w:rsid w:val="0075797B"/>
    <w:rsid w:val="00757A83"/>
    <w:rsid w:val="00757AF0"/>
    <w:rsid w:val="00757C32"/>
    <w:rsid w:val="00757DCD"/>
    <w:rsid w:val="0076002A"/>
    <w:rsid w:val="007601CD"/>
    <w:rsid w:val="00760645"/>
    <w:rsid w:val="00760837"/>
    <w:rsid w:val="00760CEB"/>
    <w:rsid w:val="00760CF3"/>
    <w:rsid w:val="00760D5F"/>
    <w:rsid w:val="00760D95"/>
    <w:rsid w:val="00760E20"/>
    <w:rsid w:val="007616E0"/>
    <w:rsid w:val="0076184E"/>
    <w:rsid w:val="00761A6A"/>
    <w:rsid w:val="00761C0C"/>
    <w:rsid w:val="00761C16"/>
    <w:rsid w:val="00761D0A"/>
    <w:rsid w:val="00761E5C"/>
    <w:rsid w:val="00761E87"/>
    <w:rsid w:val="00761F4B"/>
    <w:rsid w:val="00762599"/>
    <w:rsid w:val="00762623"/>
    <w:rsid w:val="00762873"/>
    <w:rsid w:val="00762ACD"/>
    <w:rsid w:val="00762BC9"/>
    <w:rsid w:val="00762BDF"/>
    <w:rsid w:val="00762C0C"/>
    <w:rsid w:val="00762E24"/>
    <w:rsid w:val="00763014"/>
    <w:rsid w:val="007631BC"/>
    <w:rsid w:val="00763474"/>
    <w:rsid w:val="00763731"/>
    <w:rsid w:val="0076383F"/>
    <w:rsid w:val="00763916"/>
    <w:rsid w:val="007639D9"/>
    <w:rsid w:val="00763B32"/>
    <w:rsid w:val="00763F62"/>
    <w:rsid w:val="0076465E"/>
    <w:rsid w:val="00764ADF"/>
    <w:rsid w:val="00764BCE"/>
    <w:rsid w:val="00764BD0"/>
    <w:rsid w:val="00764CA6"/>
    <w:rsid w:val="00764F5E"/>
    <w:rsid w:val="00764F8E"/>
    <w:rsid w:val="00764FE4"/>
    <w:rsid w:val="0076509D"/>
    <w:rsid w:val="00765371"/>
    <w:rsid w:val="007653F4"/>
    <w:rsid w:val="007654D4"/>
    <w:rsid w:val="00765522"/>
    <w:rsid w:val="0076564E"/>
    <w:rsid w:val="00765982"/>
    <w:rsid w:val="00765C20"/>
    <w:rsid w:val="00765D34"/>
    <w:rsid w:val="00765EA3"/>
    <w:rsid w:val="00765ECF"/>
    <w:rsid w:val="00765EF0"/>
    <w:rsid w:val="00765EFF"/>
    <w:rsid w:val="00765F2A"/>
    <w:rsid w:val="00766184"/>
    <w:rsid w:val="00766273"/>
    <w:rsid w:val="00766522"/>
    <w:rsid w:val="00766644"/>
    <w:rsid w:val="00766684"/>
    <w:rsid w:val="00766F14"/>
    <w:rsid w:val="00766F27"/>
    <w:rsid w:val="00766F78"/>
    <w:rsid w:val="00767498"/>
    <w:rsid w:val="007675E1"/>
    <w:rsid w:val="00767753"/>
    <w:rsid w:val="00767810"/>
    <w:rsid w:val="00767F09"/>
    <w:rsid w:val="00770352"/>
    <w:rsid w:val="00770369"/>
    <w:rsid w:val="00770385"/>
    <w:rsid w:val="0077082A"/>
    <w:rsid w:val="007708A2"/>
    <w:rsid w:val="00770930"/>
    <w:rsid w:val="00770999"/>
    <w:rsid w:val="007709C8"/>
    <w:rsid w:val="00770B49"/>
    <w:rsid w:val="00770B63"/>
    <w:rsid w:val="00770C63"/>
    <w:rsid w:val="007712F2"/>
    <w:rsid w:val="0077149E"/>
    <w:rsid w:val="00771580"/>
    <w:rsid w:val="00771D44"/>
    <w:rsid w:val="00771FD3"/>
    <w:rsid w:val="007723B8"/>
    <w:rsid w:val="0077245C"/>
    <w:rsid w:val="00772525"/>
    <w:rsid w:val="007726FF"/>
    <w:rsid w:val="0077292E"/>
    <w:rsid w:val="00772944"/>
    <w:rsid w:val="00772BBE"/>
    <w:rsid w:val="00772D28"/>
    <w:rsid w:val="00772FA4"/>
    <w:rsid w:val="007731F4"/>
    <w:rsid w:val="00773270"/>
    <w:rsid w:val="00773439"/>
    <w:rsid w:val="00773709"/>
    <w:rsid w:val="007737D0"/>
    <w:rsid w:val="0077381D"/>
    <w:rsid w:val="00773890"/>
    <w:rsid w:val="0077396F"/>
    <w:rsid w:val="00773AE2"/>
    <w:rsid w:val="00773AE5"/>
    <w:rsid w:val="00773AF2"/>
    <w:rsid w:val="00773F09"/>
    <w:rsid w:val="00773FCB"/>
    <w:rsid w:val="0077431A"/>
    <w:rsid w:val="007744DD"/>
    <w:rsid w:val="007744DF"/>
    <w:rsid w:val="00774BAB"/>
    <w:rsid w:val="00774CD4"/>
    <w:rsid w:val="00774CEE"/>
    <w:rsid w:val="00774FD6"/>
    <w:rsid w:val="007750D7"/>
    <w:rsid w:val="00775223"/>
    <w:rsid w:val="00775230"/>
    <w:rsid w:val="00775249"/>
    <w:rsid w:val="00775314"/>
    <w:rsid w:val="00775316"/>
    <w:rsid w:val="00775701"/>
    <w:rsid w:val="0077574C"/>
    <w:rsid w:val="0077574D"/>
    <w:rsid w:val="00775A04"/>
    <w:rsid w:val="00775A3F"/>
    <w:rsid w:val="00775AA9"/>
    <w:rsid w:val="00775BE2"/>
    <w:rsid w:val="00775DD9"/>
    <w:rsid w:val="00775E2F"/>
    <w:rsid w:val="00775FA5"/>
    <w:rsid w:val="0077603B"/>
    <w:rsid w:val="007761D2"/>
    <w:rsid w:val="007763BB"/>
    <w:rsid w:val="00776479"/>
    <w:rsid w:val="007766AB"/>
    <w:rsid w:val="007766CE"/>
    <w:rsid w:val="00776BC8"/>
    <w:rsid w:val="00776BE8"/>
    <w:rsid w:val="00776C00"/>
    <w:rsid w:val="00776E54"/>
    <w:rsid w:val="00776E93"/>
    <w:rsid w:val="00776EAA"/>
    <w:rsid w:val="00776EDD"/>
    <w:rsid w:val="0077700A"/>
    <w:rsid w:val="007771C2"/>
    <w:rsid w:val="007772C0"/>
    <w:rsid w:val="007773D0"/>
    <w:rsid w:val="007776B6"/>
    <w:rsid w:val="007776F9"/>
    <w:rsid w:val="00777DC8"/>
    <w:rsid w:val="00777FEA"/>
    <w:rsid w:val="0078000F"/>
    <w:rsid w:val="0078009C"/>
    <w:rsid w:val="007805A1"/>
    <w:rsid w:val="007806CF"/>
    <w:rsid w:val="00780788"/>
    <w:rsid w:val="007808BB"/>
    <w:rsid w:val="0078096D"/>
    <w:rsid w:val="00780BCE"/>
    <w:rsid w:val="007812B1"/>
    <w:rsid w:val="00781328"/>
    <w:rsid w:val="00781338"/>
    <w:rsid w:val="0078141B"/>
    <w:rsid w:val="007815DC"/>
    <w:rsid w:val="007818A3"/>
    <w:rsid w:val="00781AE6"/>
    <w:rsid w:val="00781BA3"/>
    <w:rsid w:val="00782092"/>
    <w:rsid w:val="007820F2"/>
    <w:rsid w:val="0078257B"/>
    <w:rsid w:val="00782792"/>
    <w:rsid w:val="007827BB"/>
    <w:rsid w:val="007828B6"/>
    <w:rsid w:val="00782958"/>
    <w:rsid w:val="00782D7B"/>
    <w:rsid w:val="007832A2"/>
    <w:rsid w:val="00783354"/>
    <w:rsid w:val="007833FB"/>
    <w:rsid w:val="00783544"/>
    <w:rsid w:val="007837F3"/>
    <w:rsid w:val="007838A5"/>
    <w:rsid w:val="007838FC"/>
    <w:rsid w:val="00783B66"/>
    <w:rsid w:val="00783D75"/>
    <w:rsid w:val="00783DE0"/>
    <w:rsid w:val="00783F14"/>
    <w:rsid w:val="007840EF"/>
    <w:rsid w:val="00784205"/>
    <w:rsid w:val="00784319"/>
    <w:rsid w:val="00784703"/>
    <w:rsid w:val="007847C7"/>
    <w:rsid w:val="007847DC"/>
    <w:rsid w:val="00784C0A"/>
    <w:rsid w:val="00784ECB"/>
    <w:rsid w:val="0078528C"/>
    <w:rsid w:val="007852DC"/>
    <w:rsid w:val="00785375"/>
    <w:rsid w:val="007853E2"/>
    <w:rsid w:val="007854B8"/>
    <w:rsid w:val="007857E7"/>
    <w:rsid w:val="00785912"/>
    <w:rsid w:val="0078598C"/>
    <w:rsid w:val="00785A73"/>
    <w:rsid w:val="00785B5E"/>
    <w:rsid w:val="00785F60"/>
    <w:rsid w:val="00785F82"/>
    <w:rsid w:val="00786198"/>
    <w:rsid w:val="0078621D"/>
    <w:rsid w:val="0078658B"/>
    <w:rsid w:val="007865CE"/>
    <w:rsid w:val="00786BAC"/>
    <w:rsid w:val="00786D20"/>
    <w:rsid w:val="0078713E"/>
    <w:rsid w:val="007872ED"/>
    <w:rsid w:val="007873E5"/>
    <w:rsid w:val="00787664"/>
    <w:rsid w:val="0078795E"/>
    <w:rsid w:val="00787A18"/>
    <w:rsid w:val="00787CDF"/>
    <w:rsid w:val="00787CE6"/>
    <w:rsid w:val="00787E85"/>
    <w:rsid w:val="007900DD"/>
    <w:rsid w:val="00790144"/>
    <w:rsid w:val="00790258"/>
    <w:rsid w:val="007903A7"/>
    <w:rsid w:val="007903DC"/>
    <w:rsid w:val="00790469"/>
    <w:rsid w:val="0079046C"/>
    <w:rsid w:val="007905BC"/>
    <w:rsid w:val="00790679"/>
    <w:rsid w:val="00790933"/>
    <w:rsid w:val="00790A81"/>
    <w:rsid w:val="00790B56"/>
    <w:rsid w:val="00790E1B"/>
    <w:rsid w:val="00790F38"/>
    <w:rsid w:val="00790FE1"/>
    <w:rsid w:val="0079112C"/>
    <w:rsid w:val="00791238"/>
    <w:rsid w:val="0079126D"/>
    <w:rsid w:val="007913EE"/>
    <w:rsid w:val="00791738"/>
    <w:rsid w:val="00791ABF"/>
    <w:rsid w:val="00791AC5"/>
    <w:rsid w:val="00791BC1"/>
    <w:rsid w:val="00791CCC"/>
    <w:rsid w:val="00791FEB"/>
    <w:rsid w:val="007920D3"/>
    <w:rsid w:val="007922B8"/>
    <w:rsid w:val="0079231D"/>
    <w:rsid w:val="00792370"/>
    <w:rsid w:val="0079249D"/>
    <w:rsid w:val="007924A0"/>
    <w:rsid w:val="0079254E"/>
    <w:rsid w:val="0079260B"/>
    <w:rsid w:val="00792686"/>
    <w:rsid w:val="0079274D"/>
    <w:rsid w:val="007928A9"/>
    <w:rsid w:val="007929C4"/>
    <w:rsid w:val="00792A5E"/>
    <w:rsid w:val="00792AFA"/>
    <w:rsid w:val="00793175"/>
    <w:rsid w:val="00793F2A"/>
    <w:rsid w:val="00793FC3"/>
    <w:rsid w:val="007940D9"/>
    <w:rsid w:val="007940E8"/>
    <w:rsid w:val="0079416D"/>
    <w:rsid w:val="0079451A"/>
    <w:rsid w:val="0079462B"/>
    <w:rsid w:val="00794B40"/>
    <w:rsid w:val="00794C11"/>
    <w:rsid w:val="00794C36"/>
    <w:rsid w:val="00794CE4"/>
    <w:rsid w:val="00794E02"/>
    <w:rsid w:val="00795198"/>
    <w:rsid w:val="007954EC"/>
    <w:rsid w:val="0079564C"/>
    <w:rsid w:val="007959BD"/>
    <w:rsid w:val="00795C1A"/>
    <w:rsid w:val="00795D6D"/>
    <w:rsid w:val="00795DE2"/>
    <w:rsid w:val="007960B2"/>
    <w:rsid w:val="0079611C"/>
    <w:rsid w:val="00796258"/>
    <w:rsid w:val="00796447"/>
    <w:rsid w:val="007964CF"/>
    <w:rsid w:val="0079650D"/>
    <w:rsid w:val="007968C3"/>
    <w:rsid w:val="00796B0A"/>
    <w:rsid w:val="00796D55"/>
    <w:rsid w:val="00796E26"/>
    <w:rsid w:val="00796E85"/>
    <w:rsid w:val="00796F82"/>
    <w:rsid w:val="00796FA6"/>
    <w:rsid w:val="007970A9"/>
    <w:rsid w:val="00797563"/>
    <w:rsid w:val="007975C8"/>
    <w:rsid w:val="0079772E"/>
    <w:rsid w:val="00797967"/>
    <w:rsid w:val="007979D6"/>
    <w:rsid w:val="00797B4A"/>
    <w:rsid w:val="00797D4F"/>
    <w:rsid w:val="00797ED9"/>
    <w:rsid w:val="00797FF3"/>
    <w:rsid w:val="007A0208"/>
    <w:rsid w:val="007A02FE"/>
    <w:rsid w:val="007A0477"/>
    <w:rsid w:val="007A05CB"/>
    <w:rsid w:val="007A0854"/>
    <w:rsid w:val="007A0962"/>
    <w:rsid w:val="007A0A0E"/>
    <w:rsid w:val="007A0C6C"/>
    <w:rsid w:val="007A1079"/>
    <w:rsid w:val="007A1158"/>
    <w:rsid w:val="007A1201"/>
    <w:rsid w:val="007A1241"/>
    <w:rsid w:val="007A13CB"/>
    <w:rsid w:val="007A156E"/>
    <w:rsid w:val="007A1656"/>
    <w:rsid w:val="007A1A46"/>
    <w:rsid w:val="007A1AC8"/>
    <w:rsid w:val="007A1B4D"/>
    <w:rsid w:val="007A1BA7"/>
    <w:rsid w:val="007A1E98"/>
    <w:rsid w:val="007A1F5F"/>
    <w:rsid w:val="007A1F86"/>
    <w:rsid w:val="007A22AB"/>
    <w:rsid w:val="007A23AC"/>
    <w:rsid w:val="007A26EA"/>
    <w:rsid w:val="007A26F7"/>
    <w:rsid w:val="007A278D"/>
    <w:rsid w:val="007A2910"/>
    <w:rsid w:val="007A29CE"/>
    <w:rsid w:val="007A29D1"/>
    <w:rsid w:val="007A2EF7"/>
    <w:rsid w:val="007A2F2E"/>
    <w:rsid w:val="007A2FE9"/>
    <w:rsid w:val="007A35AC"/>
    <w:rsid w:val="007A3AEF"/>
    <w:rsid w:val="007A3B03"/>
    <w:rsid w:val="007A3C3D"/>
    <w:rsid w:val="007A3CCE"/>
    <w:rsid w:val="007A3CD6"/>
    <w:rsid w:val="007A3DAF"/>
    <w:rsid w:val="007A4180"/>
    <w:rsid w:val="007A41B4"/>
    <w:rsid w:val="007A421D"/>
    <w:rsid w:val="007A423C"/>
    <w:rsid w:val="007A4366"/>
    <w:rsid w:val="007A443E"/>
    <w:rsid w:val="007A49AC"/>
    <w:rsid w:val="007A4D29"/>
    <w:rsid w:val="007A4DA0"/>
    <w:rsid w:val="007A4DFC"/>
    <w:rsid w:val="007A4F1E"/>
    <w:rsid w:val="007A51DD"/>
    <w:rsid w:val="007A51FC"/>
    <w:rsid w:val="007A5308"/>
    <w:rsid w:val="007A54F1"/>
    <w:rsid w:val="007A56C4"/>
    <w:rsid w:val="007A588E"/>
    <w:rsid w:val="007A58E1"/>
    <w:rsid w:val="007A5A00"/>
    <w:rsid w:val="007A5A18"/>
    <w:rsid w:val="007A5B58"/>
    <w:rsid w:val="007A5CC4"/>
    <w:rsid w:val="007A5CCB"/>
    <w:rsid w:val="007A5D51"/>
    <w:rsid w:val="007A5DA1"/>
    <w:rsid w:val="007A5F46"/>
    <w:rsid w:val="007A5F6F"/>
    <w:rsid w:val="007A5FEB"/>
    <w:rsid w:val="007A63AA"/>
    <w:rsid w:val="007A65B0"/>
    <w:rsid w:val="007A675A"/>
    <w:rsid w:val="007A696F"/>
    <w:rsid w:val="007A69EB"/>
    <w:rsid w:val="007A6B5A"/>
    <w:rsid w:val="007A6BDE"/>
    <w:rsid w:val="007A6E24"/>
    <w:rsid w:val="007A6F1D"/>
    <w:rsid w:val="007A71EF"/>
    <w:rsid w:val="007A7262"/>
    <w:rsid w:val="007A72CB"/>
    <w:rsid w:val="007A74BF"/>
    <w:rsid w:val="007A777B"/>
    <w:rsid w:val="007A77A0"/>
    <w:rsid w:val="007A77E9"/>
    <w:rsid w:val="007A78C8"/>
    <w:rsid w:val="007A791E"/>
    <w:rsid w:val="007A7A38"/>
    <w:rsid w:val="007A7CCA"/>
    <w:rsid w:val="007A7D0C"/>
    <w:rsid w:val="007A7E75"/>
    <w:rsid w:val="007B036D"/>
    <w:rsid w:val="007B052F"/>
    <w:rsid w:val="007B05C1"/>
    <w:rsid w:val="007B07A2"/>
    <w:rsid w:val="007B0A3A"/>
    <w:rsid w:val="007B0BB2"/>
    <w:rsid w:val="007B0BE4"/>
    <w:rsid w:val="007B0CF9"/>
    <w:rsid w:val="007B0E24"/>
    <w:rsid w:val="007B1055"/>
    <w:rsid w:val="007B11B1"/>
    <w:rsid w:val="007B12B5"/>
    <w:rsid w:val="007B12D5"/>
    <w:rsid w:val="007B13DE"/>
    <w:rsid w:val="007B14BF"/>
    <w:rsid w:val="007B1559"/>
    <w:rsid w:val="007B16A4"/>
    <w:rsid w:val="007B1B47"/>
    <w:rsid w:val="007B1C2F"/>
    <w:rsid w:val="007B2144"/>
    <w:rsid w:val="007B23EC"/>
    <w:rsid w:val="007B2564"/>
    <w:rsid w:val="007B25EF"/>
    <w:rsid w:val="007B2647"/>
    <w:rsid w:val="007B2677"/>
    <w:rsid w:val="007B2BDC"/>
    <w:rsid w:val="007B2E2D"/>
    <w:rsid w:val="007B2F91"/>
    <w:rsid w:val="007B3180"/>
    <w:rsid w:val="007B33A9"/>
    <w:rsid w:val="007B3742"/>
    <w:rsid w:val="007B382A"/>
    <w:rsid w:val="007B3881"/>
    <w:rsid w:val="007B38DE"/>
    <w:rsid w:val="007B3B98"/>
    <w:rsid w:val="007B3C18"/>
    <w:rsid w:val="007B3C49"/>
    <w:rsid w:val="007B3D73"/>
    <w:rsid w:val="007B3E2F"/>
    <w:rsid w:val="007B3F12"/>
    <w:rsid w:val="007B3F91"/>
    <w:rsid w:val="007B419F"/>
    <w:rsid w:val="007B41CF"/>
    <w:rsid w:val="007B4333"/>
    <w:rsid w:val="007B4478"/>
    <w:rsid w:val="007B4594"/>
    <w:rsid w:val="007B4702"/>
    <w:rsid w:val="007B4ABE"/>
    <w:rsid w:val="007B4EC2"/>
    <w:rsid w:val="007B4F47"/>
    <w:rsid w:val="007B5A19"/>
    <w:rsid w:val="007B5ACE"/>
    <w:rsid w:val="007B5C25"/>
    <w:rsid w:val="007B61CC"/>
    <w:rsid w:val="007B64F8"/>
    <w:rsid w:val="007B67A3"/>
    <w:rsid w:val="007B6804"/>
    <w:rsid w:val="007B686A"/>
    <w:rsid w:val="007B68C6"/>
    <w:rsid w:val="007B6C61"/>
    <w:rsid w:val="007B6EAD"/>
    <w:rsid w:val="007B7114"/>
    <w:rsid w:val="007B7188"/>
    <w:rsid w:val="007B72B9"/>
    <w:rsid w:val="007B730E"/>
    <w:rsid w:val="007B76AB"/>
    <w:rsid w:val="007B7715"/>
    <w:rsid w:val="007B7B5F"/>
    <w:rsid w:val="007B7E0E"/>
    <w:rsid w:val="007B7EF4"/>
    <w:rsid w:val="007C001A"/>
    <w:rsid w:val="007C04E8"/>
    <w:rsid w:val="007C07BE"/>
    <w:rsid w:val="007C0D2E"/>
    <w:rsid w:val="007C0EE8"/>
    <w:rsid w:val="007C123C"/>
    <w:rsid w:val="007C16D5"/>
    <w:rsid w:val="007C17DC"/>
    <w:rsid w:val="007C187F"/>
    <w:rsid w:val="007C196A"/>
    <w:rsid w:val="007C1A6A"/>
    <w:rsid w:val="007C1A89"/>
    <w:rsid w:val="007C1B87"/>
    <w:rsid w:val="007C1FA0"/>
    <w:rsid w:val="007C2093"/>
    <w:rsid w:val="007C215D"/>
    <w:rsid w:val="007C21EC"/>
    <w:rsid w:val="007C2447"/>
    <w:rsid w:val="007C26F7"/>
    <w:rsid w:val="007C279B"/>
    <w:rsid w:val="007C2B39"/>
    <w:rsid w:val="007C2CD8"/>
    <w:rsid w:val="007C2D2F"/>
    <w:rsid w:val="007C3269"/>
    <w:rsid w:val="007C337D"/>
    <w:rsid w:val="007C33F2"/>
    <w:rsid w:val="007C340E"/>
    <w:rsid w:val="007C35A5"/>
    <w:rsid w:val="007C374B"/>
    <w:rsid w:val="007C384A"/>
    <w:rsid w:val="007C3958"/>
    <w:rsid w:val="007C396F"/>
    <w:rsid w:val="007C3E54"/>
    <w:rsid w:val="007C3E78"/>
    <w:rsid w:val="007C3EA1"/>
    <w:rsid w:val="007C3F19"/>
    <w:rsid w:val="007C40B6"/>
    <w:rsid w:val="007C40B8"/>
    <w:rsid w:val="007C428C"/>
    <w:rsid w:val="007C4325"/>
    <w:rsid w:val="007C4675"/>
    <w:rsid w:val="007C4687"/>
    <w:rsid w:val="007C4761"/>
    <w:rsid w:val="007C4A09"/>
    <w:rsid w:val="007C4A5E"/>
    <w:rsid w:val="007C4A93"/>
    <w:rsid w:val="007C4CF4"/>
    <w:rsid w:val="007C4D89"/>
    <w:rsid w:val="007C4E72"/>
    <w:rsid w:val="007C504F"/>
    <w:rsid w:val="007C5323"/>
    <w:rsid w:val="007C5328"/>
    <w:rsid w:val="007C5367"/>
    <w:rsid w:val="007C53C2"/>
    <w:rsid w:val="007C5462"/>
    <w:rsid w:val="007C5559"/>
    <w:rsid w:val="007C59CD"/>
    <w:rsid w:val="007C5D1D"/>
    <w:rsid w:val="007C5FA7"/>
    <w:rsid w:val="007C5FB9"/>
    <w:rsid w:val="007C60BA"/>
    <w:rsid w:val="007C65E4"/>
    <w:rsid w:val="007C6747"/>
    <w:rsid w:val="007C67AA"/>
    <w:rsid w:val="007C688E"/>
    <w:rsid w:val="007C6A2F"/>
    <w:rsid w:val="007C6B53"/>
    <w:rsid w:val="007C6C27"/>
    <w:rsid w:val="007C6C98"/>
    <w:rsid w:val="007C6E97"/>
    <w:rsid w:val="007C705A"/>
    <w:rsid w:val="007C70B2"/>
    <w:rsid w:val="007C7122"/>
    <w:rsid w:val="007C7306"/>
    <w:rsid w:val="007C73A5"/>
    <w:rsid w:val="007C74F8"/>
    <w:rsid w:val="007C757B"/>
    <w:rsid w:val="007C77B3"/>
    <w:rsid w:val="007C7853"/>
    <w:rsid w:val="007C78D8"/>
    <w:rsid w:val="007C79F4"/>
    <w:rsid w:val="007C7BD9"/>
    <w:rsid w:val="007C7BDD"/>
    <w:rsid w:val="007C7DFB"/>
    <w:rsid w:val="007C7F6C"/>
    <w:rsid w:val="007D0126"/>
    <w:rsid w:val="007D0360"/>
    <w:rsid w:val="007D03FD"/>
    <w:rsid w:val="007D050C"/>
    <w:rsid w:val="007D06B4"/>
    <w:rsid w:val="007D06C1"/>
    <w:rsid w:val="007D07B4"/>
    <w:rsid w:val="007D093B"/>
    <w:rsid w:val="007D0C5A"/>
    <w:rsid w:val="007D129B"/>
    <w:rsid w:val="007D13C6"/>
    <w:rsid w:val="007D190F"/>
    <w:rsid w:val="007D1BC9"/>
    <w:rsid w:val="007D1D26"/>
    <w:rsid w:val="007D1D6F"/>
    <w:rsid w:val="007D1DC4"/>
    <w:rsid w:val="007D1DFD"/>
    <w:rsid w:val="007D1E28"/>
    <w:rsid w:val="007D1F71"/>
    <w:rsid w:val="007D2116"/>
    <w:rsid w:val="007D2346"/>
    <w:rsid w:val="007D2644"/>
    <w:rsid w:val="007D29A7"/>
    <w:rsid w:val="007D2C28"/>
    <w:rsid w:val="007D2C66"/>
    <w:rsid w:val="007D311A"/>
    <w:rsid w:val="007D322C"/>
    <w:rsid w:val="007D32DC"/>
    <w:rsid w:val="007D3440"/>
    <w:rsid w:val="007D36B5"/>
    <w:rsid w:val="007D3775"/>
    <w:rsid w:val="007D3906"/>
    <w:rsid w:val="007D3923"/>
    <w:rsid w:val="007D3BCF"/>
    <w:rsid w:val="007D3ECA"/>
    <w:rsid w:val="007D3F85"/>
    <w:rsid w:val="007D403B"/>
    <w:rsid w:val="007D4414"/>
    <w:rsid w:val="007D4878"/>
    <w:rsid w:val="007D4909"/>
    <w:rsid w:val="007D495A"/>
    <w:rsid w:val="007D4C4B"/>
    <w:rsid w:val="007D52B7"/>
    <w:rsid w:val="007D52B9"/>
    <w:rsid w:val="007D5491"/>
    <w:rsid w:val="007D592B"/>
    <w:rsid w:val="007D59EA"/>
    <w:rsid w:val="007D5AA6"/>
    <w:rsid w:val="007D5DB7"/>
    <w:rsid w:val="007D5E48"/>
    <w:rsid w:val="007D608A"/>
    <w:rsid w:val="007D6335"/>
    <w:rsid w:val="007D63DD"/>
    <w:rsid w:val="007D646C"/>
    <w:rsid w:val="007D64C7"/>
    <w:rsid w:val="007D650B"/>
    <w:rsid w:val="007D6790"/>
    <w:rsid w:val="007D684D"/>
    <w:rsid w:val="007D68E5"/>
    <w:rsid w:val="007D6A09"/>
    <w:rsid w:val="007D6C5A"/>
    <w:rsid w:val="007D6E95"/>
    <w:rsid w:val="007D6EA9"/>
    <w:rsid w:val="007D6EFF"/>
    <w:rsid w:val="007D7912"/>
    <w:rsid w:val="007D7A91"/>
    <w:rsid w:val="007D7B5C"/>
    <w:rsid w:val="007D7E46"/>
    <w:rsid w:val="007D7ED5"/>
    <w:rsid w:val="007E0154"/>
    <w:rsid w:val="007E01C3"/>
    <w:rsid w:val="007E01CC"/>
    <w:rsid w:val="007E0327"/>
    <w:rsid w:val="007E04A6"/>
    <w:rsid w:val="007E058C"/>
    <w:rsid w:val="007E0663"/>
    <w:rsid w:val="007E088F"/>
    <w:rsid w:val="007E098D"/>
    <w:rsid w:val="007E0BB7"/>
    <w:rsid w:val="007E0E2F"/>
    <w:rsid w:val="007E10BF"/>
    <w:rsid w:val="007E1115"/>
    <w:rsid w:val="007E1195"/>
    <w:rsid w:val="007E13BB"/>
    <w:rsid w:val="007E13F1"/>
    <w:rsid w:val="007E141B"/>
    <w:rsid w:val="007E1596"/>
    <w:rsid w:val="007E161A"/>
    <w:rsid w:val="007E171B"/>
    <w:rsid w:val="007E1C66"/>
    <w:rsid w:val="007E1E1D"/>
    <w:rsid w:val="007E225E"/>
    <w:rsid w:val="007E2279"/>
    <w:rsid w:val="007E2292"/>
    <w:rsid w:val="007E22A2"/>
    <w:rsid w:val="007E2324"/>
    <w:rsid w:val="007E24C6"/>
    <w:rsid w:val="007E2554"/>
    <w:rsid w:val="007E25E7"/>
    <w:rsid w:val="007E2765"/>
    <w:rsid w:val="007E277C"/>
    <w:rsid w:val="007E298B"/>
    <w:rsid w:val="007E2BA9"/>
    <w:rsid w:val="007E2BF6"/>
    <w:rsid w:val="007E2CD7"/>
    <w:rsid w:val="007E2D66"/>
    <w:rsid w:val="007E2DBB"/>
    <w:rsid w:val="007E2DDA"/>
    <w:rsid w:val="007E3047"/>
    <w:rsid w:val="007E3057"/>
    <w:rsid w:val="007E30A3"/>
    <w:rsid w:val="007E318D"/>
    <w:rsid w:val="007E33EA"/>
    <w:rsid w:val="007E3494"/>
    <w:rsid w:val="007E35D1"/>
    <w:rsid w:val="007E3821"/>
    <w:rsid w:val="007E3B27"/>
    <w:rsid w:val="007E3DF4"/>
    <w:rsid w:val="007E3E85"/>
    <w:rsid w:val="007E3F44"/>
    <w:rsid w:val="007E410C"/>
    <w:rsid w:val="007E41F8"/>
    <w:rsid w:val="007E447B"/>
    <w:rsid w:val="007E4704"/>
    <w:rsid w:val="007E4D59"/>
    <w:rsid w:val="007E4D83"/>
    <w:rsid w:val="007E4DF8"/>
    <w:rsid w:val="007E4F15"/>
    <w:rsid w:val="007E4F25"/>
    <w:rsid w:val="007E4F8B"/>
    <w:rsid w:val="007E5114"/>
    <w:rsid w:val="007E5164"/>
    <w:rsid w:val="007E5413"/>
    <w:rsid w:val="007E5578"/>
    <w:rsid w:val="007E57C9"/>
    <w:rsid w:val="007E583A"/>
    <w:rsid w:val="007E5A33"/>
    <w:rsid w:val="007E5C06"/>
    <w:rsid w:val="007E605A"/>
    <w:rsid w:val="007E6159"/>
    <w:rsid w:val="007E6163"/>
    <w:rsid w:val="007E61D7"/>
    <w:rsid w:val="007E6456"/>
    <w:rsid w:val="007E66A3"/>
    <w:rsid w:val="007E66A6"/>
    <w:rsid w:val="007E68CC"/>
    <w:rsid w:val="007E691A"/>
    <w:rsid w:val="007E6ACF"/>
    <w:rsid w:val="007E6BCE"/>
    <w:rsid w:val="007E7210"/>
    <w:rsid w:val="007E76D9"/>
    <w:rsid w:val="007E79AA"/>
    <w:rsid w:val="007E79DE"/>
    <w:rsid w:val="007E7A75"/>
    <w:rsid w:val="007E7AC1"/>
    <w:rsid w:val="007E7ED5"/>
    <w:rsid w:val="007E7F84"/>
    <w:rsid w:val="007F0058"/>
    <w:rsid w:val="007F01D2"/>
    <w:rsid w:val="007F06AF"/>
    <w:rsid w:val="007F0798"/>
    <w:rsid w:val="007F096A"/>
    <w:rsid w:val="007F0A6B"/>
    <w:rsid w:val="007F0ABA"/>
    <w:rsid w:val="007F0DE8"/>
    <w:rsid w:val="007F10C6"/>
    <w:rsid w:val="007F1169"/>
    <w:rsid w:val="007F165E"/>
    <w:rsid w:val="007F17C8"/>
    <w:rsid w:val="007F1884"/>
    <w:rsid w:val="007F1943"/>
    <w:rsid w:val="007F1969"/>
    <w:rsid w:val="007F1A05"/>
    <w:rsid w:val="007F1AAF"/>
    <w:rsid w:val="007F1B88"/>
    <w:rsid w:val="007F1D1C"/>
    <w:rsid w:val="007F1F5B"/>
    <w:rsid w:val="007F229D"/>
    <w:rsid w:val="007F2407"/>
    <w:rsid w:val="007F2472"/>
    <w:rsid w:val="007F2577"/>
    <w:rsid w:val="007F2BD6"/>
    <w:rsid w:val="007F2DB3"/>
    <w:rsid w:val="007F31A1"/>
    <w:rsid w:val="007F3308"/>
    <w:rsid w:val="007F3444"/>
    <w:rsid w:val="007F3508"/>
    <w:rsid w:val="007F3581"/>
    <w:rsid w:val="007F367C"/>
    <w:rsid w:val="007F36B6"/>
    <w:rsid w:val="007F3916"/>
    <w:rsid w:val="007F39FD"/>
    <w:rsid w:val="007F3BC5"/>
    <w:rsid w:val="007F3D8A"/>
    <w:rsid w:val="007F3E5C"/>
    <w:rsid w:val="007F3EAE"/>
    <w:rsid w:val="007F3F25"/>
    <w:rsid w:val="007F3F46"/>
    <w:rsid w:val="007F46D7"/>
    <w:rsid w:val="007F47D9"/>
    <w:rsid w:val="007F4864"/>
    <w:rsid w:val="007F48EB"/>
    <w:rsid w:val="007F4A3D"/>
    <w:rsid w:val="007F4A6B"/>
    <w:rsid w:val="007F4B2D"/>
    <w:rsid w:val="007F4E79"/>
    <w:rsid w:val="007F52EA"/>
    <w:rsid w:val="007F54FE"/>
    <w:rsid w:val="007F556D"/>
    <w:rsid w:val="007F56CC"/>
    <w:rsid w:val="007F57D7"/>
    <w:rsid w:val="007F5BD1"/>
    <w:rsid w:val="007F5CB7"/>
    <w:rsid w:val="007F5FB1"/>
    <w:rsid w:val="007F5FB7"/>
    <w:rsid w:val="007F6091"/>
    <w:rsid w:val="007F6328"/>
    <w:rsid w:val="007F669E"/>
    <w:rsid w:val="007F66B0"/>
    <w:rsid w:val="007F6A44"/>
    <w:rsid w:val="007F6F34"/>
    <w:rsid w:val="007F6F70"/>
    <w:rsid w:val="007F7160"/>
    <w:rsid w:val="007F71DC"/>
    <w:rsid w:val="007F7209"/>
    <w:rsid w:val="007F73F0"/>
    <w:rsid w:val="007F7404"/>
    <w:rsid w:val="007F770B"/>
    <w:rsid w:val="007F7953"/>
    <w:rsid w:val="007F7961"/>
    <w:rsid w:val="007F7987"/>
    <w:rsid w:val="00800126"/>
    <w:rsid w:val="008008A7"/>
    <w:rsid w:val="00800928"/>
    <w:rsid w:val="008009C6"/>
    <w:rsid w:val="00800C6F"/>
    <w:rsid w:val="008011EA"/>
    <w:rsid w:val="00801610"/>
    <w:rsid w:val="0080164F"/>
    <w:rsid w:val="008016DE"/>
    <w:rsid w:val="00801D12"/>
    <w:rsid w:val="00801F86"/>
    <w:rsid w:val="00802109"/>
    <w:rsid w:val="0080211A"/>
    <w:rsid w:val="00802591"/>
    <w:rsid w:val="00802822"/>
    <w:rsid w:val="008028AE"/>
    <w:rsid w:val="00802B36"/>
    <w:rsid w:val="00802BB4"/>
    <w:rsid w:val="00802E5D"/>
    <w:rsid w:val="008033D7"/>
    <w:rsid w:val="0080369F"/>
    <w:rsid w:val="00803759"/>
    <w:rsid w:val="00803AB2"/>
    <w:rsid w:val="00803B3E"/>
    <w:rsid w:val="00803C99"/>
    <w:rsid w:val="00803DB6"/>
    <w:rsid w:val="0080444C"/>
    <w:rsid w:val="0080481E"/>
    <w:rsid w:val="00804890"/>
    <w:rsid w:val="008049A3"/>
    <w:rsid w:val="00804A4F"/>
    <w:rsid w:val="00804CF5"/>
    <w:rsid w:val="00804DF8"/>
    <w:rsid w:val="00804E99"/>
    <w:rsid w:val="00805171"/>
    <w:rsid w:val="008052A6"/>
    <w:rsid w:val="0080538E"/>
    <w:rsid w:val="0080553E"/>
    <w:rsid w:val="008057EB"/>
    <w:rsid w:val="00805876"/>
    <w:rsid w:val="008059B7"/>
    <w:rsid w:val="00805A69"/>
    <w:rsid w:val="00805AF5"/>
    <w:rsid w:val="00805C69"/>
    <w:rsid w:val="00805D68"/>
    <w:rsid w:val="00805DC3"/>
    <w:rsid w:val="00805F12"/>
    <w:rsid w:val="00806491"/>
    <w:rsid w:val="008065A1"/>
    <w:rsid w:val="008066AD"/>
    <w:rsid w:val="008066D6"/>
    <w:rsid w:val="00806BF1"/>
    <w:rsid w:val="00806FFB"/>
    <w:rsid w:val="0080739E"/>
    <w:rsid w:val="00807414"/>
    <w:rsid w:val="008074E7"/>
    <w:rsid w:val="00807B75"/>
    <w:rsid w:val="00807CF7"/>
    <w:rsid w:val="00807DCE"/>
    <w:rsid w:val="00807F4F"/>
    <w:rsid w:val="008101EB"/>
    <w:rsid w:val="008103B2"/>
    <w:rsid w:val="0081049D"/>
    <w:rsid w:val="00810731"/>
    <w:rsid w:val="008109F7"/>
    <w:rsid w:val="00810A95"/>
    <w:rsid w:val="00810AF9"/>
    <w:rsid w:val="00810B99"/>
    <w:rsid w:val="00810C16"/>
    <w:rsid w:val="00810E7E"/>
    <w:rsid w:val="00810FB5"/>
    <w:rsid w:val="0081143A"/>
    <w:rsid w:val="00811541"/>
    <w:rsid w:val="008115E5"/>
    <w:rsid w:val="008116C0"/>
    <w:rsid w:val="008116D3"/>
    <w:rsid w:val="0081171F"/>
    <w:rsid w:val="00811783"/>
    <w:rsid w:val="00811877"/>
    <w:rsid w:val="00811943"/>
    <w:rsid w:val="00811962"/>
    <w:rsid w:val="008119A4"/>
    <w:rsid w:val="00811CC3"/>
    <w:rsid w:val="00811ED3"/>
    <w:rsid w:val="00812461"/>
    <w:rsid w:val="00812597"/>
    <w:rsid w:val="00812B8D"/>
    <w:rsid w:val="00813027"/>
    <w:rsid w:val="00813148"/>
    <w:rsid w:val="00813337"/>
    <w:rsid w:val="008135B0"/>
    <w:rsid w:val="008137CD"/>
    <w:rsid w:val="00813825"/>
    <w:rsid w:val="00813905"/>
    <w:rsid w:val="00813DE0"/>
    <w:rsid w:val="00813FAF"/>
    <w:rsid w:val="00814012"/>
    <w:rsid w:val="00814352"/>
    <w:rsid w:val="00814476"/>
    <w:rsid w:val="00814529"/>
    <w:rsid w:val="008145C5"/>
    <w:rsid w:val="008147FA"/>
    <w:rsid w:val="00814934"/>
    <w:rsid w:val="00814BFF"/>
    <w:rsid w:val="00814D09"/>
    <w:rsid w:val="00815011"/>
    <w:rsid w:val="00815127"/>
    <w:rsid w:val="008151E2"/>
    <w:rsid w:val="00815739"/>
    <w:rsid w:val="008157DB"/>
    <w:rsid w:val="0081594D"/>
    <w:rsid w:val="00815975"/>
    <w:rsid w:val="00815997"/>
    <w:rsid w:val="00815A72"/>
    <w:rsid w:val="00815C81"/>
    <w:rsid w:val="0081613A"/>
    <w:rsid w:val="008163F1"/>
    <w:rsid w:val="0081658A"/>
    <w:rsid w:val="00816642"/>
    <w:rsid w:val="00816750"/>
    <w:rsid w:val="008167A5"/>
    <w:rsid w:val="00816875"/>
    <w:rsid w:val="008168D7"/>
    <w:rsid w:val="00816B36"/>
    <w:rsid w:val="00816B9F"/>
    <w:rsid w:val="00816EC1"/>
    <w:rsid w:val="00816F56"/>
    <w:rsid w:val="008173A0"/>
    <w:rsid w:val="00817409"/>
    <w:rsid w:val="00817ABA"/>
    <w:rsid w:val="00817BC6"/>
    <w:rsid w:val="00817D04"/>
    <w:rsid w:val="00817DB5"/>
    <w:rsid w:val="00817E79"/>
    <w:rsid w:val="00817F28"/>
    <w:rsid w:val="00817F3E"/>
    <w:rsid w:val="00817FC7"/>
    <w:rsid w:val="00820110"/>
    <w:rsid w:val="008206C0"/>
    <w:rsid w:val="00820A30"/>
    <w:rsid w:val="00820C59"/>
    <w:rsid w:val="00820E73"/>
    <w:rsid w:val="0082131C"/>
    <w:rsid w:val="0082137F"/>
    <w:rsid w:val="00821391"/>
    <w:rsid w:val="008213F7"/>
    <w:rsid w:val="00821775"/>
    <w:rsid w:val="008219BD"/>
    <w:rsid w:val="00821A1F"/>
    <w:rsid w:val="00821ECD"/>
    <w:rsid w:val="00821FD6"/>
    <w:rsid w:val="008222A0"/>
    <w:rsid w:val="0082236F"/>
    <w:rsid w:val="008225CC"/>
    <w:rsid w:val="0082295C"/>
    <w:rsid w:val="00822E36"/>
    <w:rsid w:val="00822F37"/>
    <w:rsid w:val="0082387E"/>
    <w:rsid w:val="00823A6B"/>
    <w:rsid w:val="00823B89"/>
    <w:rsid w:val="00824062"/>
    <w:rsid w:val="0082421E"/>
    <w:rsid w:val="00824294"/>
    <w:rsid w:val="008242C1"/>
    <w:rsid w:val="0082433C"/>
    <w:rsid w:val="008244CC"/>
    <w:rsid w:val="00824726"/>
    <w:rsid w:val="00824885"/>
    <w:rsid w:val="00824AA7"/>
    <w:rsid w:val="00824AC9"/>
    <w:rsid w:val="00824B55"/>
    <w:rsid w:val="00824BFE"/>
    <w:rsid w:val="00824D3D"/>
    <w:rsid w:val="008254C6"/>
    <w:rsid w:val="008255A6"/>
    <w:rsid w:val="00825811"/>
    <w:rsid w:val="0082590C"/>
    <w:rsid w:val="00825EE5"/>
    <w:rsid w:val="0082608A"/>
    <w:rsid w:val="008263B5"/>
    <w:rsid w:val="00826564"/>
    <w:rsid w:val="00826761"/>
    <w:rsid w:val="0082682A"/>
    <w:rsid w:val="00826AE7"/>
    <w:rsid w:val="00826C3D"/>
    <w:rsid w:val="0082712A"/>
    <w:rsid w:val="008275A5"/>
    <w:rsid w:val="0082773E"/>
    <w:rsid w:val="00827740"/>
    <w:rsid w:val="00827A6E"/>
    <w:rsid w:val="00827B1C"/>
    <w:rsid w:val="00827E77"/>
    <w:rsid w:val="00830060"/>
    <w:rsid w:val="008301F7"/>
    <w:rsid w:val="008302C9"/>
    <w:rsid w:val="0083045B"/>
    <w:rsid w:val="00830B71"/>
    <w:rsid w:val="00830E04"/>
    <w:rsid w:val="00830EC7"/>
    <w:rsid w:val="00830F47"/>
    <w:rsid w:val="00830F54"/>
    <w:rsid w:val="008311B8"/>
    <w:rsid w:val="008311F9"/>
    <w:rsid w:val="00831367"/>
    <w:rsid w:val="00831719"/>
    <w:rsid w:val="00831976"/>
    <w:rsid w:val="008319DD"/>
    <w:rsid w:val="00831B0F"/>
    <w:rsid w:val="00831B85"/>
    <w:rsid w:val="00831E49"/>
    <w:rsid w:val="00831ED7"/>
    <w:rsid w:val="00831F05"/>
    <w:rsid w:val="00832036"/>
    <w:rsid w:val="0083236B"/>
    <w:rsid w:val="0083240C"/>
    <w:rsid w:val="008324D9"/>
    <w:rsid w:val="008326E7"/>
    <w:rsid w:val="00832B03"/>
    <w:rsid w:val="00832BC4"/>
    <w:rsid w:val="00833241"/>
    <w:rsid w:val="00833242"/>
    <w:rsid w:val="00833251"/>
    <w:rsid w:val="008332F3"/>
    <w:rsid w:val="00833580"/>
    <w:rsid w:val="0083361C"/>
    <w:rsid w:val="008336F0"/>
    <w:rsid w:val="00833768"/>
    <w:rsid w:val="008337D6"/>
    <w:rsid w:val="00833956"/>
    <w:rsid w:val="008339E5"/>
    <w:rsid w:val="00833DA1"/>
    <w:rsid w:val="00833E6F"/>
    <w:rsid w:val="00833FE3"/>
    <w:rsid w:val="0083410E"/>
    <w:rsid w:val="00834243"/>
    <w:rsid w:val="0083445E"/>
    <w:rsid w:val="00834490"/>
    <w:rsid w:val="008345A4"/>
    <w:rsid w:val="008345EB"/>
    <w:rsid w:val="00834690"/>
    <w:rsid w:val="008347AC"/>
    <w:rsid w:val="00834817"/>
    <w:rsid w:val="008349E7"/>
    <w:rsid w:val="00834A08"/>
    <w:rsid w:val="00834B0F"/>
    <w:rsid w:val="00834DED"/>
    <w:rsid w:val="0083503A"/>
    <w:rsid w:val="0083505E"/>
    <w:rsid w:val="008353AB"/>
    <w:rsid w:val="008355D0"/>
    <w:rsid w:val="0083563C"/>
    <w:rsid w:val="00835640"/>
    <w:rsid w:val="008357F8"/>
    <w:rsid w:val="0083593F"/>
    <w:rsid w:val="00835955"/>
    <w:rsid w:val="00835A6C"/>
    <w:rsid w:val="00835B49"/>
    <w:rsid w:val="00835CF3"/>
    <w:rsid w:val="00836525"/>
    <w:rsid w:val="00836888"/>
    <w:rsid w:val="00836B35"/>
    <w:rsid w:val="00836C3A"/>
    <w:rsid w:val="00836DEA"/>
    <w:rsid w:val="0083702A"/>
    <w:rsid w:val="008372D4"/>
    <w:rsid w:val="00837413"/>
    <w:rsid w:val="008374BE"/>
    <w:rsid w:val="008374C4"/>
    <w:rsid w:val="008376B8"/>
    <w:rsid w:val="00837730"/>
    <w:rsid w:val="00837973"/>
    <w:rsid w:val="00837A4E"/>
    <w:rsid w:val="00837BB3"/>
    <w:rsid w:val="00837E9A"/>
    <w:rsid w:val="00837FC0"/>
    <w:rsid w:val="008400C1"/>
    <w:rsid w:val="008401F5"/>
    <w:rsid w:val="008405EC"/>
    <w:rsid w:val="0084078D"/>
    <w:rsid w:val="00840927"/>
    <w:rsid w:val="00840CB8"/>
    <w:rsid w:val="00840D49"/>
    <w:rsid w:val="008410A2"/>
    <w:rsid w:val="00841223"/>
    <w:rsid w:val="008416A1"/>
    <w:rsid w:val="008416FB"/>
    <w:rsid w:val="00841ECF"/>
    <w:rsid w:val="008423AB"/>
    <w:rsid w:val="0084256A"/>
    <w:rsid w:val="00842609"/>
    <w:rsid w:val="0084284F"/>
    <w:rsid w:val="008429BF"/>
    <w:rsid w:val="00842A23"/>
    <w:rsid w:val="00842ADC"/>
    <w:rsid w:val="00842D14"/>
    <w:rsid w:val="00842E8F"/>
    <w:rsid w:val="00842F8B"/>
    <w:rsid w:val="008432C6"/>
    <w:rsid w:val="0084334E"/>
    <w:rsid w:val="0084356A"/>
    <w:rsid w:val="008436E8"/>
    <w:rsid w:val="008438C2"/>
    <w:rsid w:val="00843953"/>
    <w:rsid w:val="00843959"/>
    <w:rsid w:val="00843A53"/>
    <w:rsid w:val="00843D9B"/>
    <w:rsid w:val="008443EF"/>
    <w:rsid w:val="0084444A"/>
    <w:rsid w:val="008444DC"/>
    <w:rsid w:val="008445F1"/>
    <w:rsid w:val="00844855"/>
    <w:rsid w:val="0084490D"/>
    <w:rsid w:val="00844B52"/>
    <w:rsid w:val="00844BC0"/>
    <w:rsid w:val="00844E75"/>
    <w:rsid w:val="008450CE"/>
    <w:rsid w:val="0084543B"/>
    <w:rsid w:val="0084557C"/>
    <w:rsid w:val="00845628"/>
    <w:rsid w:val="00845852"/>
    <w:rsid w:val="0084597E"/>
    <w:rsid w:val="00845A81"/>
    <w:rsid w:val="00845BBD"/>
    <w:rsid w:val="00845E3A"/>
    <w:rsid w:val="008464D7"/>
    <w:rsid w:val="008466AD"/>
    <w:rsid w:val="00846724"/>
    <w:rsid w:val="00846816"/>
    <w:rsid w:val="0084685D"/>
    <w:rsid w:val="0084687B"/>
    <w:rsid w:val="00846BBD"/>
    <w:rsid w:val="00846C43"/>
    <w:rsid w:val="00846DB7"/>
    <w:rsid w:val="00846F04"/>
    <w:rsid w:val="008470AB"/>
    <w:rsid w:val="008470B6"/>
    <w:rsid w:val="00847163"/>
    <w:rsid w:val="00847592"/>
    <w:rsid w:val="00847EBD"/>
    <w:rsid w:val="00850045"/>
    <w:rsid w:val="00850190"/>
    <w:rsid w:val="0085022D"/>
    <w:rsid w:val="00850340"/>
    <w:rsid w:val="008504DD"/>
    <w:rsid w:val="0085057B"/>
    <w:rsid w:val="008505E3"/>
    <w:rsid w:val="00850710"/>
    <w:rsid w:val="00850A43"/>
    <w:rsid w:val="00850AAC"/>
    <w:rsid w:val="00851071"/>
    <w:rsid w:val="0085118C"/>
    <w:rsid w:val="008513EE"/>
    <w:rsid w:val="008514E7"/>
    <w:rsid w:val="0085163C"/>
    <w:rsid w:val="00851712"/>
    <w:rsid w:val="0085195B"/>
    <w:rsid w:val="00851ABC"/>
    <w:rsid w:val="00851C61"/>
    <w:rsid w:val="00851D23"/>
    <w:rsid w:val="00852057"/>
    <w:rsid w:val="00852619"/>
    <w:rsid w:val="00852792"/>
    <w:rsid w:val="008531EC"/>
    <w:rsid w:val="008531F5"/>
    <w:rsid w:val="008533A0"/>
    <w:rsid w:val="00853506"/>
    <w:rsid w:val="00853871"/>
    <w:rsid w:val="008538D8"/>
    <w:rsid w:val="008538E8"/>
    <w:rsid w:val="008538F6"/>
    <w:rsid w:val="00853C9E"/>
    <w:rsid w:val="00853F48"/>
    <w:rsid w:val="00854391"/>
    <w:rsid w:val="008544EB"/>
    <w:rsid w:val="008545CE"/>
    <w:rsid w:val="00854688"/>
    <w:rsid w:val="00854A6F"/>
    <w:rsid w:val="00854C23"/>
    <w:rsid w:val="00854C98"/>
    <w:rsid w:val="00854E61"/>
    <w:rsid w:val="00854EA4"/>
    <w:rsid w:val="00854F43"/>
    <w:rsid w:val="0085504F"/>
    <w:rsid w:val="008551CE"/>
    <w:rsid w:val="008554A0"/>
    <w:rsid w:val="00855ABE"/>
    <w:rsid w:val="00855CC2"/>
    <w:rsid w:val="00855E13"/>
    <w:rsid w:val="00855ECA"/>
    <w:rsid w:val="00855F3E"/>
    <w:rsid w:val="008561FA"/>
    <w:rsid w:val="00856458"/>
    <w:rsid w:val="008565B7"/>
    <w:rsid w:val="008565D7"/>
    <w:rsid w:val="008565E6"/>
    <w:rsid w:val="008568A1"/>
    <w:rsid w:val="0085699F"/>
    <w:rsid w:val="00856A31"/>
    <w:rsid w:val="00856AF3"/>
    <w:rsid w:val="00856D12"/>
    <w:rsid w:val="00856DAC"/>
    <w:rsid w:val="00856FB0"/>
    <w:rsid w:val="008572D9"/>
    <w:rsid w:val="0085733E"/>
    <w:rsid w:val="00857420"/>
    <w:rsid w:val="0085746D"/>
    <w:rsid w:val="00857478"/>
    <w:rsid w:val="00857501"/>
    <w:rsid w:val="008575A7"/>
    <w:rsid w:val="0085764D"/>
    <w:rsid w:val="008576FC"/>
    <w:rsid w:val="008578BE"/>
    <w:rsid w:val="00857969"/>
    <w:rsid w:val="008579A9"/>
    <w:rsid w:val="00857A7A"/>
    <w:rsid w:val="00857C49"/>
    <w:rsid w:val="00857C60"/>
    <w:rsid w:val="00857DB1"/>
    <w:rsid w:val="00857DC6"/>
    <w:rsid w:val="00857E51"/>
    <w:rsid w:val="00857E5D"/>
    <w:rsid w:val="00857E65"/>
    <w:rsid w:val="00857F7E"/>
    <w:rsid w:val="008604FE"/>
    <w:rsid w:val="0086058C"/>
    <w:rsid w:val="008606D6"/>
    <w:rsid w:val="00860750"/>
    <w:rsid w:val="008607DA"/>
    <w:rsid w:val="00860981"/>
    <w:rsid w:val="00860D94"/>
    <w:rsid w:val="00860E64"/>
    <w:rsid w:val="00861235"/>
    <w:rsid w:val="008613FE"/>
    <w:rsid w:val="00861694"/>
    <w:rsid w:val="008618C5"/>
    <w:rsid w:val="00861AFC"/>
    <w:rsid w:val="00861E4A"/>
    <w:rsid w:val="00861EEC"/>
    <w:rsid w:val="0086237C"/>
    <w:rsid w:val="008625F0"/>
    <w:rsid w:val="008627B8"/>
    <w:rsid w:val="008627DD"/>
    <w:rsid w:val="00862938"/>
    <w:rsid w:val="00862E2C"/>
    <w:rsid w:val="00862EE6"/>
    <w:rsid w:val="00863092"/>
    <w:rsid w:val="0086318B"/>
    <w:rsid w:val="0086358C"/>
    <w:rsid w:val="00863742"/>
    <w:rsid w:val="008638EE"/>
    <w:rsid w:val="00863C0B"/>
    <w:rsid w:val="008642E4"/>
    <w:rsid w:val="0086430F"/>
    <w:rsid w:val="00864442"/>
    <w:rsid w:val="00864544"/>
    <w:rsid w:val="00864713"/>
    <w:rsid w:val="00864730"/>
    <w:rsid w:val="00864D62"/>
    <w:rsid w:val="00864DBB"/>
    <w:rsid w:val="00864E4D"/>
    <w:rsid w:val="00865222"/>
    <w:rsid w:val="008652B4"/>
    <w:rsid w:val="00865307"/>
    <w:rsid w:val="0086588A"/>
    <w:rsid w:val="008658D7"/>
    <w:rsid w:val="008659FC"/>
    <w:rsid w:val="00865A35"/>
    <w:rsid w:val="00865AED"/>
    <w:rsid w:val="00865DE3"/>
    <w:rsid w:val="00866054"/>
    <w:rsid w:val="008660CB"/>
    <w:rsid w:val="0086652B"/>
    <w:rsid w:val="008665AF"/>
    <w:rsid w:val="008666A1"/>
    <w:rsid w:val="00866988"/>
    <w:rsid w:val="00866C53"/>
    <w:rsid w:val="00867265"/>
    <w:rsid w:val="00867831"/>
    <w:rsid w:val="008678A9"/>
    <w:rsid w:val="00867916"/>
    <w:rsid w:val="00867C85"/>
    <w:rsid w:val="00867ECA"/>
    <w:rsid w:val="0087041F"/>
    <w:rsid w:val="00870930"/>
    <w:rsid w:val="00870963"/>
    <w:rsid w:val="00870A84"/>
    <w:rsid w:val="00870B41"/>
    <w:rsid w:val="00870C18"/>
    <w:rsid w:val="00870E5A"/>
    <w:rsid w:val="00871069"/>
    <w:rsid w:val="008716AF"/>
    <w:rsid w:val="008716EB"/>
    <w:rsid w:val="00871AAC"/>
    <w:rsid w:val="00871B1D"/>
    <w:rsid w:val="00871C0D"/>
    <w:rsid w:val="00871C80"/>
    <w:rsid w:val="00871DFF"/>
    <w:rsid w:val="00871E81"/>
    <w:rsid w:val="00871EC0"/>
    <w:rsid w:val="00871EFF"/>
    <w:rsid w:val="00871F1F"/>
    <w:rsid w:val="00871F36"/>
    <w:rsid w:val="00871FDF"/>
    <w:rsid w:val="00872036"/>
    <w:rsid w:val="00872292"/>
    <w:rsid w:val="00872378"/>
    <w:rsid w:val="00872788"/>
    <w:rsid w:val="00872A11"/>
    <w:rsid w:val="00872A90"/>
    <w:rsid w:val="00872B16"/>
    <w:rsid w:val="00872D9B"/>
    <w:rsid w:val="00872DAE"/>
    <w:rsid w:val="00872F6D"/>
    <w:rsid w:val="00873435"/>
    <w:rsid w:val="0087351C"/>
    <w:rsid w:val="00873542"/>
    <w:rsid w:val="0087364D"/>
    <w:rsid w:val="00873826"/>
    <w:rsid w:val="00873887"/>
    <w:rsid w:val="00873A6C"/>
    <w:rsid w:val="00873F26"/>
    <w:rsid w:val="00874024"/>
    <w:rsid w:val="0087404F"/>
    <w:rsid w:val="00874120"/>
    <w:rsid w:val="00874154"/>
    <w:rsid w:val="0087421B"/>
    <w:rsid w:val="0087436E"/>
    <w:rsid w:val="00874739"/>
    <w:rsid w:val="008749D9"/>
    <w:rsid w:val="008749DF"/>
    <w:rsid w:val="00874A38"/>
    <w:rsid w:val="00874A73"/>
    <w:rsid w:val="00874AF1"/>
    <w:rsid w:val="00874BDE"/>
    <w:rsid w:val="00874C32"/>
    <w:rsid w:val="00874F68"/>
    <w:rsid w:val="00875005"/>
    <w:rsid w:val="008750A4"/>
    <w:rsid w:val="008750D7"/>
    <w:rsid w:val="00875186"/>
    <w:rsid w:val="00875220"/>
    <w:rsid w:val="00875516"/>
    <w:rsid w:val="008756E9"/>
    <w:rsid w:val="0087586F"/>
    <w:rsid w:val="00875871"/>
    <w:rsid w:val="0087590A"/>
    <w:rsid w:val="00875EA1"/>
    <w:rsid w:val="008761DB"/>
    <w:rsid w:val="0087629D"/>
    <w:rsid w:val="00876404"/>
    <w:rsid w:val="008765EF"/>
    <w:rsid w:val="00876BCF"/>
    <w:rsid w:val="00876D06"/>
    <w:rsid w:val="00876E01"/>
    <w:rsid w:val="00876F45"/>
    <w:rsid w:val="00876F59"/>
    <w:rsid w:val="00877087"/>
    <w:rsid w:val="00877502"/>
    <w:rsid w:val="0087756A"/>
    <w:rsid w:val="00877726"/>
    <w:rsid w:val="0087776A"/>
    <w:rsid w:val="00877850"/>
    <w:rsid w:val="00877876"/>
    <w:rsid w:val="00877AE1"/>
    <w:rsid w:val="00877C4A"/>
    <w:rsid w:val="00877E3B"/>
    <w:rsid w:val="00877E49"/>
    <w:rsid w:val="00877EF0"/>
    <w:rsid w:val="00877FC2"/>
    <w:rsid w:val="0088007F"/>
    <w:rsid w:val="00880273"/>
    <w:rsid w:val="008802E0"/>
    <w:rsid w:val="0088064C"/>
    <w:rsid w:val="008808C3"/>
    <w:rsid w:val="00880CBB"/>
    <w:rsid w:val="00880DF9"/>
    <w:rsid w:val="00880ED6"/>
    <w:rsid w:val="008813B6"/>
    <w:rsid w:val="008814BB"/>
    <w:rsid w:val="00881674"/>
    <w:rsid w:val="00881813"/>
    <w:rsid w:val="00881AE1"/>
    <w:rsid w:val="00881EF5"/>
    <w:rsid w:val="0088268E"/>
    <w:rsid w:val="00882725"/>
    <w:rsid w:val="0088294E"/>
    <w:rsid w:val="00882B74"/>
    <w:rsid w:val="00882CC4"/>
    <w:rsid w:val="00882E54"/>
    <w:rsid w:val="00882F81"/>
    <w:rsid w:val="00883040"/>
    <w:rsid w:val="008832F1"/>
    <w:rsid w:val="0088360F"/>
    <w:rsid w:val="008836B2"/>
    <w:rsid w:val="0088371F"/>
    <w:rsid w:val="00883725"/>
    <w:rsid w:val="0088391A"/>
    <w:rsid w:val="00883D40"/>
    <w:rsid w:val="00883D81"/>
    <w:rsid w:val="00883D9D"/>
    <w:rsid w:val="00883ECB"/>
    <w:rsid w:val="00884265"/>
    <w:rsid w:val="008842DF"/>
    <w:rsid w:val="008844AC"/>
    <w:rsid w:val="00884D24"/>
    <w:rsid w:val="00884EE6"/>
    <w:rsid w:val="00885009"/>
    <w:rsid w:val="00885376"/>
    <w:rsid w:val="0088538E"/>
    <w:rsid w:val="0088554E"/>
    <w:rsid w:val="008857FA"/>
    <w:rsid w:val="0088586A"/>
    <w:rsid w:val="00885A02"/>
    <w:rsid w:val="00885BBD"/>
    <w:rsid w:val="008864DF"/>
    <w:rsid w:val="0088669C"/>
    <w:rsid w:val="00886B2B"/>
    <w:rsid w:val="00886B36"/>
    <w:rsid w:val="00886DD3"/>
    <w:rsid w:val="00886DD4"/>
    <w:rsid w:val="00886F7C"/>
    <w:rsid w:val="0088708C"/>
    <w:rsid w:val="008870A7"/>
    <w:rsid w:val="008870FA"/>
    <w:rsid w:val="008871DD"/>
    <w:rsid w:val="008873EF"/>
    <w:rsid w:val="00887418"/>
    <w:rsid w:val="008875E5"/>
    <w:rsid w:val="00887613"/>
    <w:rsid w:val="008876AA"/>
    <w:rsid w:val="00887A07"/>
    <w:rsid w:val="00887C55"/>
    <w:rsid w:val="008900BF"/>
    <w:rsid w:val="008901DD"/>
    <w:rsid w:val="008902A1"/>
    <w:rsid w:val="008903F6"/>
    <w:rsid w:val="00890872"/>
    <w:rsid w:val="008909B8"/>
    <w:rsid w:val="00890A01"/>
    <w:rsid w:val="00890AD9"/>
    <w:rsid w:val="00890CF1"/>
    <w:rsid w:val="00890E40"/>
    <w:rsid w:val="00890F0E"/>
    <w:rsid w:val="0089120D"/>
    <w:rsid w:val="00891589"/>
    <w:rsid w:val="008918A2"/>
    <w:rsid w:val="008918A8"/>
    <w:rsid w:val="00891A54"/>
    <w:rsid w:val="00891B17"/>
    <w:rsid w:val="00891D0D"/>
    <w:rsid w:val="00891F6A"/>
    <w:rsid w:val="00892416"/>
    <w:rsid w:val="008928E7"/>
    <w:rsid w:val="00892B08"/>
    <w:rsid w:val="00892EC5"/>
    <w:rsid w:val="00892F65"/>
    <w:rsid w:val="00893176"/>
    <w:rsid w:val="00893295"/>
    <w:rsid w:val="00893421"/>
    <w:rsid w:val="008935CD"/>
    <w:rsid w:val="0089365B"/>
    <w:rsid w:val="008937F5"/>
    <w:rsid w:val="008939E2"/>
    <w:rsid w:val="00893DA8"/>
    <w:rsid w:val="00893EDB"/>
    <w:rsid w:val="00894280"/>
    <w:rsid w:val="008942C6"/>
    <w:rsid w:val="00894403"/>
    <w:rsid w:val="008944A4"/>
    <w:rsid w:val="00894BCE"/>
    <w:rsid w:val="00894C96"/>
    <w:rsid w:val="008951EF"/>
    <w:rsid w:val="00895C72"/>
    <w:rsid w:val="00895E0E"/>
    <w:rsid w:val="00896268"/>
    <w:rsid w:val="008963EF"/>
    <w:rsid w:val="00896503"/>
    <w:rsid w:val="00896B1B"/>
    <w:rsid w:val="00896BA8"/>
    <w:rsid w:val="00896FD6"/>
    <w:rsid w:val="00897178"/>
    <w:rsid w:val="00897427"/>
    <w:rsid w:val="00897824"/>
    <w:rsid w:val="00897844"/>
    <w:rsid w:val="00897873"/>
    <w:rsid w:val="008978AB"/>
    <w:rsid w:val="00897DE4"/>
    <w:rsid w:val="00897F46"/>
    <w:rsid w:val="00897F7D"/>
    <w:rsid w:val="008A01AE"/>
    <w:rsid w:val="008A03B1"/>
    <w:rsid w:val="008A03B6"/>
    <w:rsid w:val="008A0534"/>
    <w:rsid w:val="008A0572"/>
    <w:rsid w:val="008A068D"/>
    <w:rsid w:val="008A0820"/>
    <w:rsid w:val="008A0852"/>
    <w:rsid w:val="008A08A3"/>
    <w:rsid w:val="008A098A"/>
    <w:rsid w:val="008A0C4D"/>
    <w:rsid w:val="008A0E40"/>
    <w:rsid w:val="008A102B"/>
    <w:rsid w:val="008A1087"/>
    <w:rsid w:val="008A11F3"/>
    <w:rsid w:val="008A1574"/>
    <w:rsid w:val="008A167E"/>
    <w:rsid w:val="008A1B3B"/>
    <w:rsid w:val="008A1B6A"/>
    <w:rsid w:val="008A1C21"/>
    <w:rsid w:val="008A1C77"/>
    <w:rsid w:val="008A1D34"/>
    <w:rsid w:val="008A2332"/>
    <w:rsid w:val="008A26D5"/>
    <w:rsid w:val="008A27E6"/>
    <w:rsid w:val="008A299C"/>
    <w:rsid w:val="008A2A77"/>
    <w:rsid w:val="008A2B10"/>
    <w:rsid w:val="008A2B37"/>
    <w:rsid w:val="008A2BDA"/>
    <w:rsid w:val="008A2E16"/>
    <w:rsid w:val="008A2FD6"/>
    <w:rsid w:val="008A307E"/>
    <w:rsid w:val="008A338C"/>
    <w:rsid w:val="008A3780"/>
    <w:rsid w:val="008A37B4"/>
    <w:rsid w:val="008A3C03"/>
    <w:rsid w:val="008A409E"/>
    <w:rsid w:val="008A437E"/>
    <w:rsid w:val="008A440E"/>
    <w:rsid w:val="008A4686"/>
    <w:rsid w:val="008A4741"/>
    <w:rsid w:val="008A48FD"/>
    <w:rsid w:val="008A4A2F"/>
    <w:rsid w:val="008A4C62"/>
    <w:rsid w:val="008A4D8E"/>
    <w:rsid w:val="008A4E6D"/>
    <w:rsid w:val="008A51E1"/>
    <w:rsid w:val="008A5200"/>
    <w:rsid w:val="008A5260"/>
    <w:rsid w:val="008A5283"/>
    <w:rsid w:val="008A551C"/>
    <w:rsid w:val="008A5728"/>
    <w:rsid w:val="008A5870"/>
    <w:rsid w:val="008A59F5"/>
    <w:rsid w:val="008A5DAE"/>
    <w:rsid w:val="008A6018"/>
    <w:rsid w:val="008A6057"/>
    <w:rsid w:val="008A6085"/>
    <w:rsid w:val="008A6276"/>
    <w:rsid w:val="008A6368"/>
    <w:rsid w:val="008A63A7"/>
    <w:rsid w:val="008A63FC"/>
    <w:rsid w:val="008A640A"/>
    <w:rsid w:val="008A6434"/>
    <w:rsid w:val="008A6604"/>
    <w:rsid w:val="008A6797"/>
    <w:rsid w:val="008A69E1"/>
    <w:rsid w:val="008A6ADD"/>
    <w:rsid w:val="008A6BAF"/>
    <w:rsid w:val="008A73A2"/>
    <w:rsid w:val="008A7466"/>
    <w:rsid w:val="008A753A"/>
    <w:rsid w:val="008A75A2"/>
    <w:rsid w:val="008A7617"/>
    <w:rsid w:val="008A77EE"/>
    <w:rsid w:val="008A78B1"/>
    <w:rsid w:val="008A7905"/>
    <w:rsid w:val="008A791C"/>
    <w:rsid w:val="008A7B1F"/>
    <w:rsid w:val="008B00CC"/>
    <w:rsid w:val="008B00D0"/>
    <w:rsid w:val="008B010A"/>
    <w:rsid w:val="008B046F"/>
    <w:rsid w:val="008B0698"/>
    <w:rsid w:val="008B1232"/>
    <w:rsid w:val="008B15FD"/>
    <w:rsid w:val="008B19F8"/>
    <w:rsid w:val="008B1B53"/>
    <w:rsid w:val="008B1C69"/>
    <w:rsid w:val="008B1D8A"/>
    <w:rsid w:val="008B1DF2"/>
    <w:rsid w:val="008B1E68"/>
    <w:rsid w:val="008B1FE2"/>
    <w:rsid w:val="008B214B"/>
    <w:rsid w:val="008B21F2"/>
    <w:rsid w:val="008B232D"/>
    <w:rsid w:val="008B2387"/>
    <w:rsid w:val="008B267B"/>
    <w:rsid w:val="008B2C25"/>
    <w:rsid w:val="008B2CD3"/>
    <w:rsid w:val="008B2D62"/>
    <w:rsid w:val="008B2DF0"/>
    <w:rsid w:val="008B3064"/>
    <w:rsid w:val="008B3136"/>
    <w:rsid w:val="008B3327"/>
    <w:rsid w:val="008B341C"/>
    <w:rsid w:val="008B343F"/>
    <w:rsid w:val="008B3A7A"/>
    <w:rsid w:val="008B3B5F"/>
    <w:rsid w:val="008B3C9C"/>
    <w:rsid w:val="008B3D1C"/>
    <w:rsid w:val="008B3DB8"/>
    <w:rsid w:val="008B4087"/>
    <w:rsid w:val="008B42C8"/>
    <w:rsid w:val="008B4373"/>
    <w:rsid w:val="008B45AF"/>
    <w:rsid w:val="008B462C"/>
    <w:rsid w:val="008B465A"/>
    <w:rsid w:val="008B4EFB"/>
    <w:rsid w:val="008B507A"/>
    <w:rsid w:val="008B50FD"/>
    <w:rsid w:val="008B511D"/>
    <w:rsid w:val="008B52C1"/>
    <w:rsid w:val="008B52CE"/>
    <w:rsid w:val="008B5516"/>
    <w:rsid w:val="008B5778"/>
    <w:rsid w:val="008B587D"/>
    <w:rsid w:val="008B5A01"/>
    <w:rsid w:val="008B5B9D"/>
    <w:rsid w:val="008B5DF5"/>
    <w:rsid w:val="008B5EF1"/>
    <w:rsid w:val="008B5F0C"/>
    <w:rsid w:val="008B5FED"/>
    <w:rsid w:val="008B6013"/>
    <w:rsid w:val="008B6174"/>
    <w:rsid w:val="008B628E"/>
    <w:rsid w:val="008B64E6"/>
    <w:rsid w:val="008B67EE"/>
    <w:rsid w:val="008B6B69"/>
    <w:rsid w:val="008B6C7D"/>
    <w:rsid w:val="008B6CA1"/>
    <w:rsid w:val="008B6DC3"/>
    <w:rsid w:val="008B6E96"/>
    <w:rsid w:val="008B71D7"/>
    <w:rsid w:val="008B730F"/>
    <w:rsid w:val="008B7533"/>
    <w:rsid w:val="008B75AE"/>
    <w:rsid w:val="008B790E"/>
    <w:rsid w:val="008B7A13"/>
    <w:rsid w:val="008B7B4E"/>
    <w:rsid w:val="008B7ED0"/>
    <w:rsid w:val="008B7FE2"/>
    <w:rsid w:val="008C0002"/>
    <w:rsid w:val="008C0257"/>
    <w:rsid w:val="008C035B"/>
    <w:rsid w:val="008C05E7"/>
    <w:rsid w:val="008C06C2"/>
    <w:rsid w:val="008C0716"/>
    <w:rsid w:val="008C08AC"/>
    <w:rsid w:val="008C08FC"/>
    <w:rsid w:val="008C0ACB"/>
    <w:rsid w:val="008C0CBB"/>
    <w:rsid w:val="008C0DD5"/>
    <w:rsid w:val="008C100A"/>
    <w:rsid w:val="008C123D"/>
    <w:rsid w:val="008C1494"/>
    <w:rsid w:val="008C150D"/>
    <w:rsid w:val="008C1838"/>
    <w:rsid w:val="008C1AF7"/>
    <w:rsid w:val="008C1C01"/>
    <w:rsid w:val="008C1C3A"/>
    <w:rsid w:val="008C1D8E"/>
    <w:rsid w:val="008C1DAB"/>
    <w:rsid w:val="008C1EA1"/>
    <w:rsid w:val="008C210C"/>
    <w:rsid w:val="008C214A"/>
    <w:rsid w:val="008C2537"/>
    <w:rsid w:val="008C2650"/>
    <w:rsid w:val="008C2755"/>
    <w:rsid w:val="008C27D8"/>
    <w:rsid w:val="008C27F0"/>
    <w:rsid w:val="008C282D"/>
    <w:rsid w:val="008C28AD"/>
    <w:rsid w:val="008C2EF7"/>
    <w:rsid w:val="008C2FB5"/>
    <w:rsid w:val="008C316F"/>
    <w:rsid w:val="008C3270"/>
    <w:rsid w:val="008C330C"/>
    <w:rsid w:val="008C367D"/>
    <w:rsid w:val="008C374C"/>
    <w:rsid w:val="008C3996"/>
    <w:rsid w:val="008C3CF2"/>
    <w:rsid w:val="008C3D58"/>
    <w:rsid w:val="008C3D7B"/>
    <w:rsid w:val="008C3EBC"/>
    <w:rsid w:val="008C3ECC"/>
    <w:rsid w:val="008C4067"/>
    <w:rsid w:val="008C4134"/>
    <w:rsid w:val="008C41CD"/>
    <w:rsid w:val="008C4BD8"/>
    <w:rsid w:val="008C4BEF"/>
    <w:rsid w:val="008C4EA8"/>
    <w:rsid w:val="008C4F92"/>
    <w:rsid w:val="008C4FEB"/>
    <w:rsid w:val="008C54A3"/>
    <w:rsid w:val="008C577C"/>
    <w:rsid w:val="008C57B3"/>
    <w:rsid w:val="008C5BEC"/>
    <w:rsid w:val="008C5E5F"/>
    <w:rsid w:val="008C61B0"/>
    <w:rsid w:val="008C627A"/>
    <w:rsid w:val="008C6552"/>
    <w:rsid w:val="008C65CA"/>
    <w:rsid w:val="008C6739"/>
    <w:rsid w:val="008C68BA"/>
    <w:rsid w:val="008C6F2C"/>
    <w:rsid w:val="008C70D5"/>
    <w:rsid w:val="008C7206"/>
    <w:rsid w:val="008C72A9"/>
    <w:rsid w:val="008C72B6"/>
    <w:rsid w:val="008C73B7"/>
    <w:rsid w:val="008C73C6"/>
    <w:rsid w:val="008C7439"/>
    <w:rsid w:val="008C751E"/>
    <w:rsid w:val="008C77D6"/>
    <w:rsid w:val="008C785A"/>
    <w:rsid w:val="008C7993"/>
    <w:rsid w:val="008C7C51"/>
    <w:rsid w:val="008C7C69"/>
    <w:rsid w:val="008C7DD5"/>
    <w:rsid w:val="008C7E9D"/>
    <w:rsid w:val="008C7EE3"/>
    <w:rsid w:val="008C7F06"/>
    <w:rsid w:val="008C7F71"/>
    <w:rsid w:val="008C7F83"/>
    <w:rsid w:val="008D00D7"/>
    <w:rsid w:val="008D030D"/>
    <w:rsid w:val="008D0505"/>
    <w:rsid w:val="008D064B"/>
    <w:rsid w:val="008D073C"/>
    <w:rsid w:val="008D0B14"/>
    <w:rsid w:val="008D0B1D"/>
    <w:rsid w:val="008D0C8F"/>
    <w:rsid w:val="008D0E15"/>
    <w:rsid w:val="008D0E8F"/>
    <w:rsid w:val="008D0F36"/>
    <w:rsid w:val="008D10AC"/>
    <w:rsid w:val="008D10EF"/>
    <w:rsid w:val="008D1582"/>
    <w:rsid w:val="008D15F0"/>
    <w:rsid w:val="008D1636"/>
    <w:rsid w:val="008D175B"/>
    <w:rsid w:val="008D1A2F"/>
    <w:rsid w:val="008D1C43"/>
    <w:rsid w:val="008D23EE"/>
    <w:rsid w:val="008D24DA"/>
    <w:rsid w:val="008D28DB"/>
    <w:rsid w:val="008D2978"/>
    <w:rsid w:val="008D298F"/>
    <w:rsid w:val="008D2A7E"/>
    <w:rsid w:val="008D2AE2"/>
    <w:rsid w:val="008D2B60"/>
    <w:rsid w:val="008D2C53"/>
    <w:rsid w:val="008D30D4"/>
    <w:rsid w:val="008D30DF"/>
    <w:rsid w:val="008D339F"/>
    <w:rsid w:val="008D33F4"/>
    <w:rsid w:val="008D34BF"/>
    <w:rsid w:val="008D3809"/>
    <w:rsid w:val="008D390B"/>
    <w:rsid w:val="008D3B3D"/>
    <w:rsid w:val="008D3BA4"/>
    <w:rsid w:val="008D3EAC"/>
    <w:rsid w:val="008D4055"/>
    <w:rsid w:val="008D40EA"/>
    <w:rsid w:val="008D40FF"/>
    <w:rsid w:val="008D4456"/>
    <w:rsid w:val="008D4471"/>
    <w:rsid w:val="008D44FB"/>
    <w:rsid w:val="008D49B1"/>
    <w:rsid w:val="008D4A9B"/>
    <w:rsid w:val="008D5098"/>
    <w:rsid w:val="008D518D"/>
    <w:rsid w:val="008D51BE"/>
    <w:rsid w:val="008D54E6"/>
    <w:rsid w:val="008D5584"/>
    <w:rsid w:val="008D56AD"/>
    <w:rsid w:val="008D57A6"/>
    <w:rsid w:val="008D5810"/>
    <w:rsid w:val="008D5958"/>
    <w:rsid w:val="008D5BB8"/>
    <w:rsid w:val="008D5D8A"/>
    <w:rsid w:val="008D5F84"/>
    <w:rsid w:val="008D65A1"/>
    <w:rsid w:val="008D6756"/>
    <w:rsid w:val="008D67C4"/>
    <w:rsid w:val="008D680D"/>
    <w:rsid w:val="008D68D9"/>
    <w:rsid w:val="008D6B81"/>
    <w:rsid w:val="008D6DA7"/>
    <w:rsid w:val="008D72E1"/>
    <w:rsid w:val="008D730A"/>
    <w:rsid w:val="008D7474"/>
    <w:rsid w:val="008D7768"/>
    <w:rsid w:val="008D78E0"/>
    <w:rsid w:val="008D7A01"/>
    <w:rsid w:val="008D7CB3"/>
    <w:rsid w:val="008D7ED6"/>
    <w:rsid w:val="008E00A2"/>
    <w:rsid w:val="008E00B5"/>
    <w:rsid w:val="008E0220"/>
    <w:rsid w:val="008E0310"/>
    <w:rsid w:val="008E0334"/>
    <w:rsid w:val="008E03CE"/>
    <w:rsid w:val="008E03E5"/>
    <w:rsid w:val="008E0450"/>
    <w:rsid w:val="008E04D6"/>
    <w:rsid w:val="008E06D1"/>
    <w:rsid w:val="008E09CB"/>
    <w:rsid w:val="008E0AAF"/>
    <w:rsid w:val="008E0E7A"/>
    <w:rsid w:val="008E0F4D"/>
    <w:rsid w:val="008E0FC1"/>
    <w:rsid w:val="008E11A9"/>
    <w:rsid w:val="008E14FF"/>
    <w:rsid w:val="008E179F"/>
    <w:rsid w:val="008E1B6B"/>
    <w:rsid w:val="008E1CFB"/>
    <w:rsid w:val="008E1D99"/>
    <w:rsid w:val="008E1E97"/>
    <w:rsid w:val="008E1ECF"/>
    <w:rsid w:val="008E2133"/>
    <w:rsid w:val="008E2229"/>
    <w:rsid w:val="008E24D2"/>
    <w:rsid w:val="008E26DE"/>
    <w:rsid w:val="008E28B6"/>
    <w:rsid w:val="008E28BC"/>
    <w:rsid w:val="008E29DC"/>
    <w:rsid w:val="008E2C32"/>
    <w:rsid w:val="008E3056"/>
    <w:rsid w:val="008E31AB"/>
    <w:rsid w:val="008E3782"/>
    <w:rsid w:val="008E3B2D"/>
    <w:rsid w:val="008E3B7F"/>
    <w:rsid w:val="008E4012"/>
    <w:rsid w:val="008E416C"/>
    <w:rsid w:val="008E437E"/>
    <w:rsid w:val="008E4424"/>
    <w:rsid w:val="008E4770"/>
    <w:rsid w:val="008E483D"/>
    <w:rsid w:val="008E4917"/>
    <w:rsid w:val="008E494E"/>
    <w:rsid w:val="008E4CAF"/>
    <w:rsid w:val="008E4DB8"/>
    <w:rsid w:val="008E4EF0"/>
    <w:rsid w:val="008E4F10"/>
    <w:rsid w:val="008E5005"/>
    <w:rsid w:val="008E5101"/>
    <w:rsid w:val="008E54EE"/>
    <w:rsid w:val="008E58EF"/>
    <w:rsid w:val="008E5904"/>
    <w:rsid w:val="008E59B2"/>
    <w:rsid w:val="008E59FA"/>
    <w:rsid w:val="008E5B2F"/>
    <w:rsid w:val="008E5B54"/>
    <w:rsid w:val="008E5C24"/>
    <w:rsid w:val="008E5CF9"/>
    <w:rsid w:val="008E5F65"/>
    <w:rsid w:val="008E5F75"/>
    <w:rsid w:val="008E5FA5"/>
    <w:rsid w:val="008E60DD"/>
    <w:rsid w:val="008E6292"/>
    <w:rsid w:val="008E62A2"/>
    <w:rsid w:val="008E657E"/>
    <w:rsid w:val="008E6596"/>
    <w:rsid w:val="008E662D"/>
    <w:rsid w:val="008E6691"/>
    <w:rsid w:val="008E6939"/>
    <w:rsid w:val="008E6944"/>
    <w:rsid w:val="008E6D65"/>
    <w:rsid w:val="008E71AA"/>
    <w:rsid w:val="008E75D6"/>
    <w:rsid w:val="008E765E"/>
    <w:rsid w:val="008E77BC"/>
    <w:rsid w:val="008E7888"/>
    <w:rsid w:val="008E78F2"/>
    <w:rsid w:val="008E796B"/>
    <w:rsid w:val="008E7B1D"/>
    <w:rsid w:val="008E7E81"/>
    <w:rsid w:val="008F0060"/>
    <w:rsid w:val="008F00C6"/>
    <w:rsid w:val="008F0297"/>
    <w:rsid w:val="008F0591"/>
    <w:rsid w:val="008F05D5"/>
    <w:rsid w:val="008F0605"/>
    <w:rsid w:val="008F0620"/>
    <w:rsid w:val="008F0730"/>
    <w:rsid w:val="008F07CC"/>
    <w:rsid w:val="008F0BA8"/>
    <w:rsid w:val="008F0CE5"/>
    <w:rsid w:val="008F1103"/>
    <w:rsid w:val="008F13A6"/>
    <w:rsid w:val="008F1426"/>
    <w:rsid w:val="008F187B"/>
    <w:rsid w:val="008F20D8"/>
    <w:rsid w:val="008F218A"/>
    <w:rsid w:val="008F23EB"/>
    <w:rsid w:val="008F28A1"/>
    <w:rsid w:val="008F28D0"/>
    <w:rsid w:val="008F2923"/>
    <w:rsid w:val="008F3103"/>
    <w:rsid w:val="008F3114"/>
    <w:rsid w:val="008F338E"/>
    <w:rsid w:val="008F3395"/>
    <w:rsid w:val="008F38E1"/>
    <w:rsid w:val="008F3BB2"/>
    <w:rsid w:val="008F3C50"/>
    <w:rsid w:val="008F3D7D"/>
    <w:rsid w:val="008F42C8"/>
    <w:rsid w:val="008F43C0"/>
    <w:rsid w:val="008F4510"/>
    <w:rsid w:val="008F4676"/>
    <w:rsid w:val="008F48DD"/>
    <w:rsid w:val="008F50A5"/>
    <w:rsid w:val="008F5378"/>
    <w:rsid w:val="008F5493"/>
    <w:rsid w:val="008F54AA"/>
    <w:rsid w:val="008F55B8"/>
    <w:rsid w:val="008F5711"/>
    <w:rsid w:val="008F5B54"/>
    <w:rsid w:val="008F5C46"/>
    <w:rsid w:val="008F61A4"/>
    <w:rsid w:val="008F62CA"/>
    <w:rsid w:val="008F6705"/>
    <w:rsid w:val="008F6BBA"/>
    <w:rsid w:val="008F6F6F"/>
    <w:rsid w:val="008F6F96"/>
    <w:rsid w:val="008F7143"/>
    <w:rsid w:val="008F74BD"/>
    <w:rsid w:val="008F7632"/>
    <w:rsid w:val="008F775F"/>
    <w:rsid w:val="008F77AF"/>
    <w:rsid w:val="008F780A"/>
    <w:rsid w:val="008F7856"/>
    <w:rsid w:val="008F7991"/>
    <w:rsid w:val="008F7A4A"/>
    <w:rsid w:val="008F7CA8"/>
    <w:rsid w:val="008F7DAD"/>
    <w:rsid w:val="008F7EE9"/>
    <w:rsid w:val="0090008B"/>
    <w:rsid w:val="0090016C"/>
    <w:rsid w:val="00900225"/>
    <w:rsid w:val="00900264"/>
    <w:rsid w:val="00900399"/>
    <w:rsid w:val="0090084D"/>
    <w:rsid w:val="00900DE7"/>
    <w:rsid w:val="009014DC"/>
    <w:rsid w:val="009017B8"/>
    <w:rsid w:val="009019D1"/>
    <w:rsid w:val="00901B94"/>
    <w:rsid w:val="00901D42"/>
    <w:rsid w:val="009020CC"/>
    <w:rsid w:val="009022CF"/>
    <w:rsid w:val="0090242D"/>
    <w:rsid w:val="009026AF"/>
    <w:rsid w:val="009026E3"/>
    <w:rsid w:val="009027AE"/>
    <w:rsid w:val="0090282A"/>
    <w:rsid w:val="00902939"/>
    <w:rsid w:val="00902C1A"/>
    <w:rsid w:val="00902C65"/>
    <w:rsid w:val="00902E8D"/>
    <w:rsid w:val="0090323A"/>
    <w:rsid w:val="00903480"/>
    <w:rsid w:val="00903789"/>
    <w:rsid w:val="00903827"/>
    <w:rsid w:val="00903B8D"/>
    <w:rsid w:val="00903C2E"/>
    <w:rsid w:val="00903D34"/>
    <w:rsid w:val="00903DB7"/>
    <w:rsid w:val="00903E17"/>
    <w:rsid w:val="009040CF"/>
    <w:rsid w:val="0090426B"/>
    <w:rsid w:val="009043B7"/>
    <w:rsid w:val="00904559"/>
    <w:rsid w:val="009045FA"/>
    <w:rsid w:val="00904AB2"/>
    <w:rsid w:val="00904AF5"/>
    <w:rsid w:val="0090523D"/>
    <w:rsid w:val="009054F7"/>
    <w:rsid w:val="00905579"/>
    <w:rsid w:val="0090590C"/>
    <w:rsid w:val="00905AF6"/>
    <w:rsid w:val="00905EDA"/>
    <w:rsid w:val="00906019"/>
    <w:rsid w:val="009062A1"/>
    <w:rsid w:val="009064DB"/>
    <w:rsid w:val="00906585"/>
    <w:rsid w:val="0090698F"/>
    <w:rsid w:val="00906D8A"/>
    <w:rsid w:val="00906DD3"/>
    <w:rsid w:val="00906E61"/>
    <w:rsid w:val="00906F53"/>
    <w:rsid w:val="00906FE9"/>
    <w:rsid w:val="00907331"/>
    <w:rsid w:val="0090736B"/>
    <w:rsid w:val="009076D8"/>
    <w:rsid w:val="009079ED"/>
    <w:rsid w:val="00907C7F"/>
    <w:rsid w:val="00907FCF"/>
    <w:rsid w:val="0091003C"/>
    <w:rsid w:val="00910486"/>
    <w:rsid w:val="009107C5"/>
    <w:rsid w:val="0091088E"/>
    <w:rsid w:val="009108C3"/>
    <w:rsid w:val="00910956"/>
    <w:rsid w:val="009109A7"/>
    <w:rsid w:val="00910C4D"/>
    <w:rsid w:val="00910F82"/>
    <w:rsid w:val="00911014"/>
    <w:rsid w:val="009110DF"/>
    <w:rsid w:val="009114BA"/>
    <w:rsid w:val="009115BD"/>
    <w:rsid w:val="0091174A"/>
    <w:rsid w:val="00911964"/>
    <w:rsid w:val="009119B2"/>
    <w:rsid w:val="00911A95"/>
    <w:rsid w:val="00911E2D"/>
    <w:rsid w:val="00911F11"/>
    <w:rsid w:val="00912091"/>
    <w:rsid w:val="0091216B"/>
    <w:rsid w:val="0091230A"/>
    <w:rsid w:val="009127BD"/>
    <w:rsid w:val="009128E5"/>
    <w:rsid w:val="00912A28"/>
    <w:rsid w:val="00912AB5"/>
    <w:rsid w:val="00912BD3"/>
    <w:rsid w:val="00912F18"/>
    <w:rsid w:val="00913217"/>
    <w:rsid w:val="00913364"/>
    <w:rsid w:val="009134BA"/>
    <w:rsid w:val="00913721"/>
    <w:rsid w:val="00913750"/>
    <w:rsid w:val="00913A58"/>
    <w:rsid w:val="00913AE8"/>
    <w:rsid w:val="00913B6D"/>
    <w:rsid w:val="00913BB9"/>
    <w:rsid w:val="00914063"/>
    <w:rsid w:val="0091442E"/>
    <w:rsid w:val="00914443"/>
    <w:rsid w:val="0091446B"/>
    <w:rsid w:val="00914731"/>
    <w:rsid w:val="0091473C"/>
    <w:rsid w:val="00914747"/>
    <w:rsid w:val="009149BA"/>
    <w:rsid w:val="00914C10"/>
    <w:rsid w:val="00914E29"/>
    <w:rsid w:val="00914F0F"/>
    <w:rsid w:val="00914F56"/>
    <w:rsid w:val="00915053"/>
    <w:rsid w:val="00915254"/>
    <w:rsid w:val="00915488"/>
    <w:rsid w:val="009154B8"/>
    <w:rsid w:val="0091597B"/>
    <w:rsid w:val="00915AFF"/>
    <w:rsid w:val="00915EE6"/>
    <w:rsid w:val="00916451"/>
    <w:rsid w:val="009164AA"/>
    <w:rsid w:val="00916649"/>
    <w:rsid w:val="00916E8B"/>
    <w:rsid w:val="00916FBF"/>
    <w:rsid w:val="009174C2"/>
    <w:rsid w:val="0091779A"/>
    <w:rsid w:val="009179F8"/>
    <w:rsid w:val="00917A25"/>
    <w:rsid w:val="00917A8D"/>
    <w:rsid w:val="00917BF3"/>
    <w:rsid w:val="00917E28"/>
    <w:rsid w:val="00917F4A"/>
    <w:rsid w:val="009200FE"/>
    <w:rsid w:val="009202C8"/>
    <w:rsid w:val="0092099B"/>
    <w:rsid w:val="00920BAF"/>
    <w:rsid w:val="00920D8C"/>
    <w:rsid w:val="00920E78"/>
    <w:rsid w:val="00920F6F"/>
    <w:rsid w:val="009210CA"/>
    <w:rsid w:val="009213E2"/>
    <w:rsid w:val="00921577"/>
    <w:rsid w:val="0092160D"/>
    <w:rsid w:val="0092164D"/>
    <w:rsid w:val="00921801"/>
    <w:rsid w:val="00921B25"/>
    <w:rsid w:val="00921C30"/>
    <w:rsid w:val="00921CF7"/>
    <w:rsid w:val="00921D89"/>
    <w:rsid w:val="00921DCA"/>
    <w:rsid w:val="00921FB2"/>
    <w:rsid w:val="00921FEC"/>
    <w:rsid w:val="00922057"/>
    <w:rsid w:val="00922062"/>
    <w:rsid w:val="009224F2"/>
    <w:rsid w:val="0092251B"/>
    <w:rsid w:val="00922603"/>
    <w:rsid w:val="00922A41"/>
    <w:rsid w:val="00922C0D"/>
    <w:rsid w:val="00922C65"/>
    <w:rsid w:val="00922F5D"/>
    <w:rsid w:val="00922F6C"/>
    <w:rsid w:val="00923708"/>
    <w:rsid w:val="00923717"/>
    <w:rsid w:val="009237CA"/>
    <w:rsid w:val="009239C5"/>
    <w:rsid w:val="00923DB2"/>
    <w:rsid w:val="00923E1B"/>
    <w:rsid w:val="00923EE2"/>
    <w:rsid w:val="009242E2"/>
    <w:rsid w:val="009242F5"/>
    <w:rsid w:val="009244F1"/>
    <w:rsid w:val="00924583"/>
    <w:rsid w:val="0092463F"/>
    <w:rsid w:val="0092469B"/>
    <w:rsid w:val="00924760"/>
    <w:rsid w:val="00924838"/>
    <w:rsid w:val="009249CF"/>
    <w:rsid w:val="00924A8D"/>
    <w:rsid w:val="009255E0"/>
    <w:rsid w:val="00925779"/>
    <w:rsid w:val="00925AA5"/>
    <w:rsid w:val="00925B3C"/>
    <w:rsid w:val="00925B57"/>
    <w:rsid w:val="00925CD7"/>
    <w:rsid w:val="00925EB2"/>
    <w:rsid w:val="00926198"/>
    <w:rsid w:val="009262A2"/>
    <w:rsid w:val="009264DC"/>
    <w:rsid w:val="00926975"/>
    <w:rsid w:val="009269FE"/>
    <w:rsid w:val="00926B47"/>
    <w:rsid w:val="00926DD3"/>
    <w:rsid w:val="00926E2D"/>
    <w:rsid w:val="00926F8C"/>
    <w:rsid w:val="009271A4"/>
    <w:rsid w:val="009272D7"/>
    <w:rsid w:val="00927305"/>
    <w:rsid w:val="0092745B"/>
    <w:rsid w:val="00927487"/>
    <w:rsid w:val="009275AD"/>
    <w:rsid w:val="009275E2"/>
    <w:rsid w:val="00927850"/>
    <w:rsid w:val="00927B11"/>
    <w:rsid w:val="00927C7A"/>
    <w:rsid w:val="00927C92"/>
    <w:rsid w:val="00927E22"/>
    <w:rsid w:val="00930234"/>
    <w:rsid w:val="0093031C"/>
    <w:rsid w:val="009303A7"/>
    <w:rsid w:val="009305AF"/>
    <w:rsid w:val="009306BB"/>
    <w:rsid w:val="009307F6"/>
    <w:rsid w:val="00930873"/>
    <w:rsid w:val="009308F0"/>
    <w:rsid w:val="00930BD6"/>
    <w:rsid w:val="00930FF3"/>
    <w:rsid w:val="0093114B"/>
    <w:rsid w:val="00931179"/>
    <w:rsid w:val="00931490"/>
    <w:rsid w:val="0093158F"/>
    <w:rsid w:val="00931595"/>
    <w:rsid w:val="009318D5"/>
    <w:rsid w:val="00931ADD"/>
    <w:rsid w:val="00932029"/>
    <w:rsid w:val="009322BE"/>
    <w:rsid w:val="00932536"/>
    <w:rsid w:val="009326A0"/>
    <w:rsid w:val="009328F5"/>
    <w:rsid w:val="00932943"/>
    <w:rsid w:val="00932967"/>
    <w:rsid w:val="00932A9E"/>
    <w:rsid w:val="00932D32"/>
    <w:rsid w:val="00932DE4"/>
    <w:rsid w:val="00932E58"/>
    <w:rsid w:val="00932F1F"/>
    <w:rsid w:val="009332F4"/>
    <w:rsid w:val="0093333F"/>
    <w:rsid w:val="0093343A"/>
    <w:rsid w:val="009334DE"/>
    <w:rsid w:val="0093363A"/>
    <w:rsid w:val="00933A26"/>
    <w:rsid w:val="00933CF2"/>
    <w:rsid w:val="009344EE"/>
    <w:rsid w:val="009345E3"/>
    <w:rsid w:val="009346BE"/>
    <w:rsid w:val="0093538A"/>
    <w:rsid w:val="0093538E"/>
    <w:rsid w:val="0093540D"/>
    <w:rsid w:val="00935666"/>
    <w:rsid w:val="0093594B"/>
    <w:rsid w:val="0093598E"/>
    <w:rsid w:val="009359F7"/>
    <w:rsid w:val="00935A6A"/>
    <w:rsid w:val="00935A82"/>
    <w:rsid w:val="00935B3E"/>
    <w:rsid w:val="009360A0"/>
    <w:rsid w:val="009360D0"/>
    <w:rsid w:val="00936286"/>
    <w:rsid w:val="0093634C"/>
    <w:rsid w:val="0093642E"/>
    <w:rsid w:val="0093646A"/>
    <w:rsid w:val="009366A3"/>
    <w:rsid w:val="00936AF1"/>
    <w:rsid w:val="00936BD1"/>
    <w:rsid w:val="00936C5A"/>
    <w:rsid w:val="00936EFF"/>
    <w:rsid w:val="00936F60"/>
    <w:rsid w:val="00937077"/>
    <w:rsid w:val="0093714A"/>
    <w:rsid w:val="0093730A"/>
    <w:rsid w:val="00937556"/>
    <w:rsid w:val="00937BD6"/>
    <w:rsid w:val="00937E0B"/>
    <w:rsid w:val="00940075"/>
    <w:rsid w:val="009400D4"/>
    <w:rsid w:val="0094018A"/>
    <w:rsid w:val="0094019D"/>
    <w:rsid w:val="00940220"/>
    <w:rsid w:val="0094046B"/>
    <w:rsid w:val="009405D8"/>
    <w:rsid w:val="009406F1"/>
    <w:rsid w:val="009407C1"/>
    <w:rsid w:val="009407E6"/>
    <w:rsid w:val="00940992"/>
    <w:rsid w:val="00940C1D"/>
    <w:rsid w:val="00940D5F"/>
    <w:rsid w:val="00940EFB"/>
    <w:rsid w:val="00940FEF"/>
    <w:rsid w:val="009412B9"/>
    <w:rsid w:val="009418F4"/>
    <w:rsid w:val="009419A0"/>
    <w:rsid w:val="00941AAC"/>
    <w:rsid w:val="00941BC2"/>
    <w:rsid w:val="00941E3D"/>
    <w:rsid w:val="00941EFC"/>
    <w:rsid w:val="00941F04"/>
    <w:rsid w:val="00941FC7"/>
    <w:rsid w:val="009421DE"/>
    <w:rsid w:val="009421F6"/>
    <w:rsid w:val="009424AF"/>
    <w:rsid w:val="009427E3"/>
    <w:rsid w:val="00942A5D"/>
    <w:rsid w:val="00942AEF"/>
    <w:rsid w:val="00942B29"/>
    <w:rsid w:val="00942C11"/>
    <w:rsid w:val="00942C30"/>
    <w:rsid w:val="00942F38"/>
    <w:rsid w:val="00943407"/>
    <w:rsid w:val="009434F9"/>
    <w:rsid w:val="0094351F"/>
    <w:rsid w:val="009437EF"/>
    <w:rsid w:val="00943B26"/>
    <w:rsid w:val="00943E25"/>
    <w:rsid w:val="00944237"/>
    <w:rsid w:val="00944482"/>
    <w:rsid w:val="00944550"/>
    <w:rsid w:val="009445AD"/>
    <w:rsid w:val="009446C0"/>
    <w:rsid w:val="009446C7"/>
    <w:rsid w:val="0094471D"/>
    <w:rsid w:val="00944741"/>
    <w:rsid w:val="00944831"/>
    <w:rsid w:val="009448F5"/>
    <w:rsid w:val="00944C5A"/>
    <w:rsid w:val="00944D1F"/>
    <w:rsid w:val="00944F33"/>
    <w:rsid w:val="009450B7"/>
    <w:rsid w:val="009450C3"/>
    <w:rsid w:val="009450D8"/>
    <w:rsid w:val="00945110"/>
    <w:rsid w:val="009451D2"/>
    <w:rsid w:val="009451FB"/>
    <w:rsid w:val="00945207"/>
    <w:rsid w:val="009453E4"/>
    <w:rsid w:val="009453F6"/>
    <w:rsid w:val="00945554"/>
    <w:rsid w:val="00945CF5"/>
    <w:rsid w:val="00945FC5"/>
    <w:rsid w:val="0094642C"/>
    <w:rsid w:val="00946497"/>
    <w:rsid w:val="009466C4"/>
    <w:rsid w:val="0094676D"/>
    <w:rsid w:val="0094691E"/>
    <w:rsid w:val="00946C76"/>
    <w:rsid w:val="00946DFF"/>
    <w:rsid w:val="00946E05"/>
    <w:rsid w:val="00946ED3"/>
    <w:rsid w:val="00946F5E"/>
    <w:rsid w:val="009470E5"/>
    <w:rsid w:val="0094734B"/>
    <w:rsid w:val="00947678"/>
    <w:rsid w:val="00947B62"/>
    <w:rsid w:val="00947E1C"/>
    <w:rsid w:val="009500D6"/>
    <w:rsid w:val="00950183"/>
    <w:rsid w:val="009502C8"/>
    <w:rsid w:val="0095044D"/>
    <w:rsid w:val="0095070B"/>
    <w:rsid w:val="00950718"/>
    <w:rsid w:val="009507E7"/>
    <w:rsid w:val="00950A88"/>
    <w:rsid w:val="009510DA"/>
    <w:rsid w:val="00951148"/>
    <w:rsid w:val="009512B2"/>
    <w:rsid w:val="009513C2"/>
    <w:rsid w:val="009514CE"/>
    <w:rsid w:val="009516D3"/>
    <w:rsid w:val="009516E7"/>
    <w:rsid w:val="00951C04"/>
    <w:rsid w:val="00951C9F"/>
    <w:rsid w:val="009520C5"/>
    <w:rsid w:val="00952225"/>
    <w:rsid w:val="00952619"/>
    <w:rsid w:val="00952896"/>
    <w:rsid w:val="00952AC9"/>
    <w:rsid w:val="00952ECD"/>
    <w:rsid w:val="00952EEB"/>
    <w:rsid w:val="00953619"/>
    <w:rsid w:val="00953A70"/>
    <w:rsid w:val="00953B2E"/>
    <w:rsid w:val="00953C9D"/>
    <w:rsid w:val="00953D6A"/>
    <w:rsid w:val="00953F3E"/>
    <w:rsid w:val="00954224"/>
    <w:rsid w:val="0095443C"/>
    <w:rsid w:val="00954458"/>
    <w:rsid w:val="0095461F"/>
    <w:rsid w:val="009547F8"/>
    <w:rsid w:val="0095485B"/>
    <w:rsid w:val="009548B4"/>
    <w:rsid w:val="00954B36"/>
    <w:rsid w:val="00954CC2"/>
    <w:rsid w:val="00954CFD"/>
    <w:rsid w:val="00954F19"/>
    <w:rsid w:val="00954FAF"/>
    <w:rsid w:val="00955226"/>
    <w:rsid w:val="009553C9"/>
    <w:rsid w:val="00955654"/>
    <w:rsid w:val="00955767"/>
    <w:rsid w:val="00955A3D"/>
    <w:rsid w:val="00955AD3"/>
    <w:rsid w:val="00955C22"/>
    <w:rsid w:val="00955C87"/>
    <w:rsid w:val="00955FC3"/>
    <w:rsid w:val="009561A9"/>
    <w:rsid w:val="00956330"/>
    <w:rsid w:val="00956544"/>
    <w:rsid w:val="009565B5"/>
    <w:rsid w:val="009566F1"/>
    <w:rsid w:val="0095672B"/>
    <w:rsid w:val="009568F6"/>
    <w:rsid w:val="00956BC9"/>
    <w:rsid w:val="00956ED4"/>
    <w:rsid w:val="0095751F"/>
    <w:rsid w:val="009575C7"/>
    <w:rsid w:val="00957B26"/>
    <w:rsid w:val="00957D28"/>
    <w:rsid w:val="009603F0"/>
    <w:rsid w:val="009605A0"/>
    <w:rsid w:val="009606C2"/>
    <w:rsid w:val="00960AEB"/>
    <w:rsid w:val="00960D18"/>
    <w:rsid w:val="00960D56"/>
    <w:rsid w:val="00961148"/>
    <w:rsid w:val="00961290"/>
    <w:rsid w:val="0096154E"/>
    <w:rsid w:val="00961758"/>
    <w:rsid w:val="00961908"/>
    <w:rsid w:val="00961A5B"/>
    <w:rsid w:val="00961A79"/>
    <w:rsid w:val="00961AC2"/>
    <w:rsid w:val="00962006"/>
    <w:rsid w:val="009623B6"/>
    <w:rsid w:val="0096243D"/>
    <w:rsid w:val="00962547"/>
    <w:rsid w:val="00962598"/>
    <w:rsid w:val="00962601"/>
    <w:rsid w:val="0096279F"/>
    <w:rsid w:val="00962AA6"/>
    <w:rsid w:val="00962ACF"/>
    <w:rsid w:val="00962B4F"/>
    <w:rsid w:val="00962DDA"/>
    <w:rsid w:val="009636A8"/>
    <w:rsid w:val="00963B58"/>
    <w:rsid w:val="00963C62"/>
    <w:rsid w:val="00963DAE"/>
    <w:rsid w:val="009644E5"/>
    <w:rsid w:val="00964724"/>
    <w:rsid w:val="0096499F"/>
    <w:rsid w:val="00964AED"/>
    <w:rsid w:val="00964B06"/>
    <w:rsid w:val="00965179"/>
    <w:rsid w:val="00965218"/>
    <w:rsid w:val="0096537F"/>
    <w:rsid w:val="0096541D"/>
    <w:rsid w:val="00965583"/>
    <w:rsid w:val="00965718"/>
    <w:rsid w:val="009657CF"/>
    <w:rsid w:val="00965B36"/>
    <w:rsid w:val="009662E0"/>
    <w:rsid w:val="00966467"/>
    <w:rsid w:val="009664F6"/>
    <w:rsid w:val="00966746"/>
    <w:rsid w:val="00966C69"/>
    <w:rsid w:val="00966E8C"/>
    <w:rsid w:val="00966FA2"/>
    <w:rsid w:val="00967105"/>
    <w:rsid w:val="00967189"/>
    <w:rsid w:val="0096719E"/>
    <w:rsid w:val="009677A2"/>
    <w:rsid w:val="00967A4E"/>
    <w:rsid w:val="00967C76"/>
    <w:rsid w:val="00967E1D"/>
    <w:rsid w:val="009700E3"/>
    <w:rsid w:val="00970207"/>
    <w:rsid w:val="0097047C"/>
    <w:rsid w:val="00970488"/>
    <w:rsid w:val="009706CD"/>
    <w:rsid w:val="00970960"/>
    <w:rsid w:val="00970C46"/>
    <w:rsid w:val="00970D23"/>
    <w:rsid w:val="00970DE2"/>
    <w:rsid w:val="00970E99"/>
    <w:rsid w:val="00970FE1"/>
    <w:rsid w:val="009710FA"/>
    <w:rsid w:val="009711EF"/>
    <w:rsid w:val="00971407"/>
    <w:rsid w:val="0097142D"/>
    <w:rsid w:val="009718FA"/>
    <w:rsid w:val="00971904"/>
    <w:rsid w:val="0097198A"/>
    <w:rsid w:val="00971B37"/>
    <w:rsid w:val="00971BEC"/>
    <w:rsid w:val="00971CF8"/>
    <w:rsid w:val="00971D4C"/>
    <w:rsid w:val="009720BD"/>
    <w:rsid w:val="00972154"/>
    <w:rsid w:val="00972231"/>
    <w:rsid w:val="0097259D"/>
    <w:rsid w:val="00972636"/>
    <w:rsid w:val="0097272F"/>
    <w:rsid w:val="0097273D"/>
    <w:rsid w:val="0097282A"/>
    <w:rsid w:val="009728D1"/>
    <w:rsid w:val="009729D4"/>
    <w:rsid w:val="00972ADA"/>
    <w:rsid w:val="00972BC7"/>
    <w:rsid w:val="009730C1"/>
    <w:rsid w:val="009731E6"/>
    <w:rsid w:val="00973378"/>
    <w:rsid w:val="00973585"/>
    <w:rsid w:val="00973622"/>
    <w:rsid w:val="009738EA"/>
    <w:rsid w:val="00973BE2"/>
    <w:rsid w:val="00973E27"/>
    <w:rsid w:val="00973E4E"/>
    <w:rsid w:val="00973EA7"/>
    <w:rsid w:val="00973F5F"/>
    <w:rsid w:val="00974589"/>
    <w:rsid w:val="0097459F"/>
    <w:rsid w:val="009745B5"/>
    <w:rsid w:val="009745DF"/>
    <w:rsid w:val="009748D2"/>
    <w:rsid w:val="009748D8"/>
    <w:rsid w:val="00974A51"/>
    <w:rsid w:val="00974C64"/>
    <w:rsid w:val="00974CD2"/>
    <w:rsid w:val="00974F38"/>
    <w:rsid w:val="00974F7A"/>
    <w:rsid w:val="00975349"/>
    <w:rsid w:val="00975475"/>
    <w:rsid w:val="009754B1"/>
    <w:rsid w:val="00975506"/>
    <w:rsid w:val="00975741"/>
    <w:rsid w:val="00975902"/>
    <w:rsid w:val="00975AD4"/>
    <w:rsid w:val="00975B7B"/>
    <w:rsid w:val="00975BF7"/>
    <w:rsid w:val="0097614F"/>
    <w:rsid w:val="009762FA"/>
    <w:rsid w:val="0097642D"/>
    <w:rsid w:val="009765EA"/>
    <w:rsid w:val="00976A20"/>
    <w:rsid w:val="00976BB3"/>
    <w:rsid w:val="00976D71"/>
    <w:rsid w:val="00977169"/>
    <w:rsid w:val="0097717C"/>
    <w:rsid w:val="00977255"/>
    <w:rsid w:val="00977286"/>
    <w:rsid w:val="0097742B"/>
    <w:rsid w:val="009774B3"/>
    <w:rsid w:val="009775D3"/>
    <w:rsid w:val="00977A9B"/>
    <w:rsid w:val="00977BE0"/>
    <w:rsid w:val="00977DAD"/>
    <w:rsid w:val="00977F18"/>
    <w:rsid w:val="00977F4C"/>
    <w:rsid w:val="0098002F"/>
    <w:rsid w:val="0098009F"/>
    <w:rsid w:val="00980180"/>
    <w:rsid w:val="0098021F"/>
    <w:rsid w:val="0098032D"/>
    <w:rsid w:val="0098062C"/>
    <w:rsid w:val="0098068C"/>
    <w:rsid w:val="0098074B"/>
    <w:rsid w:val="00980759"/>
    <w:rsid w:val="00980CDF"/>
    <w:rsid w:val="00980E06"/>
    <w:rsid w:val="00980F2E"/>
    <w:rsid w:val="00981004"/>
    <w:rsid w:val="009810DB"/>
    <w:rsid w:val="0098161D"/>
    <w:rsid w:val="0098166A"/>
    <w:rsid w:val="00981687"/>
    <w:rsid w:val="009816DB"/>
    <w:rsid w:val="009817B0"/>
    <w:rsid w:val="00981D5C"/>
    <w:rsid w:val="00981F68"/>
    <w:rsid w:val="00981F98"/>
    <w:rsid w:val="0098202D"/>
    <w:rsid w:val="009821CE"/>
    <w:rsid w:val="0098256B"/>
    <w:rsid w:val="0098279F"/>
    <w:rsid w:val="00982AAB"/>
    <w:rsid w:val="00982D39"/>
    <w:rsid w:val="00982F12"/>
    <w:rsid w:val="00983251"/>
    <w:rsid w:val="00983400"/>
    <w:rsid w:val="009835F0"/>
    <w:rsid w:val="00983617"/>
    <w:rsid w:val="009839B4"/>
    <w:rsid w:val="00983D60"/>
    <w:rsid w:val="00983E98"/>
    <w:rsid w:val="00983F9D"/>
    <w:rsid w:val="00984332"/>
    <w:rsid w:val="00984835"/>
    <w:rsid w:val="009848B8"/>
    <w:rsid w:val="00984927"/>
    <w:rsid w:val="00984D1C"/>
    <w:rsid w:val="00984F27"/>
    <w:rsid w:val="00985797"/>
    <w:rsid w:val="0098590A"/>
    <w:rsid w:val="009859B2"/>
    <w:rsid w:val="00985A51"/>
    <w:rsid w:val="00985B8B"/>
    <w:rsid w:val="00985D39"/>
    <w:rsid w:val="00985E9C"/>
    <w:rsid w:val="00985FC4"/>
    <w:rsid w:val="00985FD5"/>
    <w:rsid w:val="00985FF8"/>
    <w:rsid w:val="00985FFE"/>
    <w:rsid w:val="009860D2"/>
    <w:rsid w:val="0098637D"/>
    <w:rsid w:val="009864B4"/>
    <w:rsid w:val="0098651A"/>
    <w:rsid w:val="00986840"/>
    <w:rsid w:val="00986938"/>
    <w:rsid w:val="009869D6"/>
    <w:rsid w:val="00986A6A"/>
    <w:rsid w:val="00986D1B"/>
    <w:rsid w:val="00986E2D"/>
    <w:rsid w:val="00986ED1"/>
    <w:rsid w:val="00986F08"/>
    <w:rsid w:val="00987B53"/>
    <w:rsid w:val="00987F31"/>
    <w:rsid w:val="00987FEB"/>
    <w:rsid w:val="009900FE"/>
    <w:rsid w:val="0099024A"/>
    <w:rsid w:val="009907F3"/>
    <w:rsid w:val="00990833"/>
    <w:rsid w:val="00990A26"/>
    <w:rsid w:val="00990A87"/>
    <w:rsid w:val="00990AE4"/>
    <w:rsid w:val="00990B67"/>
    <w:rsid w:val="00990DE9"/>
    <w:rsid w:val="00990E8E"/>
    <w:rsid w:val="00990F44"/>
    <w:rsid w:val="0099106A"/>
    <w:rsid w:val="00991093"/>
    <w:rsid w:val="00991294"/>
    <w:rsid w:val="009912F9"/>
    <w:rsid w:val="00991559"/>
    <w:rsid w:val="00991574"/>
    <w:rsid w:val="0099198C"/>
    <w:rsid w:val="00991B2B"/>
    <w:rsid w:val="00991C7D"/>
    <w:rsid w:val="00992016"/>
    <w:rsid w:val="009923C4"/>
    <w:rsid w:val="0099250E"/>
    <w:rsid w:val="00992544"/>
    <w:rsid w:val="0099289D"/>
    <w:rsid w:val="0099298A"/>
    <w:rsid w:val="00992D7B"/>
    <w:rsid w:val="00992EDB"/>
    <w:rsid w:val="00992F79"/>
    <w:rsid w:val="00992FC5"/>
    <w:rsid w:val="00993214"/>
    <w:rsid w:val="00993588"/>
    <w:rsid w:val="00993777"/>
    <w:rsid w:val="009937AD"/>
    <w:rsid w:val="009937E4"/>
    <w:rsid w:val="009938CB"/>
    <w:rsid w:val="009938F5"/>
    <w:rsid w:val="00993AA1"/>
    <w:rsid w:val="00993D4D"/>
    <w:rsid w:val="00993E30"/>
    <w:rsid w:val="00993E40"/>
    <w:rsid w:val="00993E6A"/>
    <w:rsid w:val="0099401E"/>
    <w:rsid w:val="0099422A"/>
    <w:rsid w:val="00994552"/>
    <w:rsid w:val="009948CA"/>
    <w:rsid w:val="00994907"/>
    <w:rsid w:val="009949C9"/>
    <w:rsid w:val="00994A9A"/>
    <w:rsid w:val="00994AD7"/>
    <w:rsid w:val="00994F21"/>
    <w:rsid w:val="00995079"/>
    <w:rsid w:val="009951E6"/>
    <w:rsid w:val="009951F0"/>
    <w:rsid w:val="00995853"/>
    <w:rsid w:val="00995878"/>
    <w:rsid w:val="00995AAF"/>
    <w:rsid w:val="00995BF5"/>
    <w:rsid w:val="00995FBB"/>
    <w:rsid w:val="00995FCD"/>
    <w:rsid w:val="00996114"/>
    <w:rsid w:val="009961AF"/>
    <w:rsid w:val="0099620A"/>
    <w:rsid w:val="0099638D"/>
    <w:rsid w:val="009963C3"/>
    <w:rsid w:val="00996603"/>
    <w:rsid w:val="00996768"/>
    <w:rsid w:val="00996AF3"/>
    <w:rsid w:val="00996B6E"/>
    <w:rsid w:val="00996C0E"/>
    <w:rsid w:val="00996F12"/>
    <w:rsid w:val="00996F5C"/>
    <w:rsid w:val="0099734F"/>
    <w:rsid w:val="0099743D"/>
    <w:rsid w:val="00997B61"/>
    <w:rsid w:val="00997DA3"/>
    <w:rsid w:val="00997E8A"/>
    <w:rsid w:val="00997FA6"/>
    <w:rsid w:val="009A021E"/>
    <w:rsid w:val="009A022B"/>
    <w:rsid w:val="009A029C"/>
    <w:rsid w:val="009A033E"/>
    <w:rsid w:val="009A06D3"/>
    <w:rsid w:val="009A09E6"/>
    <w:rsid w:val="009A0B61"/>
    <w:rsid w:val="009A0B8D"/>
    <w:rsid w:val="009A1271"/>
    <w:rsid w:val="009A14B7"/>
    <w:rsid w:val="009A14F4"/>
    <w:rsid w:val="009A177C"/>
    <w:rsid w:val="009A17E1"/>
    <w:rsid w:val="009A19B0"/>
    <w:rsid w:val="009A1A60"/>
    <w:rsid w:val="009A1B3D"/>
    <w:rsid w:val="009A1BAB"/>
    <w:rsid w:val="009A1D51"/>
    <w:rsid w:val="009A1E51"/>
    <w:rsid w:val="009A2002"/>
    <w:rsid w:val="009A2131"/>
    <w:rsid w:val="009A2335"/>
    <w:rsid w:val="009A239A"/>
    <w:rsid w:val="009A25CF"/>
    <w:rsid w:val="009A2717"/>
    <w:rsid w:val="009A277C"/>
    <w:rsid w:val="009A28A4"/>
    <w:rsid w:val="009A28D0"/>
    <w:rsid w:val="009A295B"/>
    <w:rsid w:val="009A2A0B"/>
    <w:rsid w:val="009A2B2A"/>
    <w:rsid w:val="009A2BF6"/>
    <w:rsid w:val="009A2E6D"/>
    <w:rsid w:val="009A32DD"/>
    <w:rsid w:val="009A34BA"/>
    <w:rsid w:val="009A34D0"/>
    <w:rsid w:val="009A367E"/>
    <w:rsid w:val="009A36B4"/>
    <w:rsid w:val="009A374B"/>
    <w:rsid w:val="009A379B"/>
    <w:rsid w:val="009A38E2"/>
    <w:rsid w:val="009A3962"/>
    <w:rsid w:val="009A3D93"/>
    <w:rsid w:val="009A3E66"/>
    <w:rsid w:val="009A40A8"/>
    <w:rsid w:val="009A425F"/>
    <w:rsid w:val="009A4270"/>
    <w:rsid w:val="009A4633"/>
    <w:rsid w:val="009A4634"/>
    <w:rsid w:val="009A4818"/>
    <w:rsid w:val="009A4BF2"/>
    <w:rsid w:val="009A4C6A"/>
    <w:rsid w:val="009A4CBF"/>
    <w:rsid w:val="009A4CC3"/>
    <w:rsid w:val="009A4CE8"/>
    <w:rsid w:val="009A5107"/>
    <w:rsid w:val="009A5347"/>
    <w:rsid w:val="009A550F"/>
    <w:rsid w:val="009A562B"/>
    <w:rsid w:val="009A59F4"/>
    <w:rsid w:val="009A5A91"/>
    <w:rsid w:val="009A5AA2"/>
    <w:rsid w:val="009A602F"/>
    <w:rsid w:val="009A6474"/>
    <w:rsid w:val="009A64B6"/>
    <w:rsid w:val="009A64E6"/>
    <w:rsid w:val="009A658F"/>
    <w:rsid w:val="009A675F"/>
    <w:rsid w:val="009A67BF"/>
    <w:rsid w:val="009A6990"/>
    <w:rsid w:val="009A69B1"/>
    <w:rsid w:val="009A6ACA"/>
    <w:rsid w:val="009A6BEF"/>
    <w:rsid w:val="009A6ECE"/>
    <w:rsid w:val="009A6F94"/>
    <w:rsid w:val="009A7080"/>
    <w:rsid w:val="009A717A"/>
    <w:rsid w:val="009A763F"/>
    <w:rsid w:val="009A787E"/>
    <w:rsid w:val="009A78A3"/>
    <w:rsid w:val="009A7D69"/>
    <w:rsid w:val="009A7D78"/>
    <w:rsid w:val="009B0347"/>
    <w:rsid w:val="009B0529"/>
    <w:rsid w:val="009B06B6"/>
    <w:rsid w:val="009B088F"/>
    <w:rsid w:val="009B0DA8"/>
    <w:rsid w:val="009B1028"/>
    <w:rsid w:val="009B14CE"/>
    <w:rsid w:val="009B1582"/>
    <w:rsid w:val="009B18B1"/>
    <w:rsid w:val="009B20C0"/>
    <w:rsid w:val="009B2249"/>
    <w:rsid w:val="009B2318"/>
    <w:rsid w:val="009B260B"/>
    <w:rsid w:val="009B26F0"/>
    <w:rsid w:val="009B27E0"/>
    <w:rsid w:val="009B281F"/>
    <w:rsid w:val="009B2B4E"/>
    <w:rsid w:val="009B2B71"/>
    <w:rsid w:val="009B2CBB"/>
    <w:rsid w:val="009B2E3A"/>
    <w:rsid w:val="009B2E6A"/>
    <w:rsid w:val="009B2F9D"/>
    <w:rsid w:val="009B3033"/>
    <w:rsid w:val="009B3108"/>
    <w:rsid w:val="009B32AE"/>
    <w:rsid w:val="009B3491"/>
    <w:rsid w:val="009B3809"/>
    <w:rsid w:val="009B396C"/>
    <w:rsid w:val="009B3BCE"/>
    <w:rsid w:val="009B3E7D"/>
    <w:rsid w:val="009B3F4F"/>
    <w:rsid w:val="009B3FD6"/>
    <w:rsid w:val="009B3FEF"/>
    <w:rsid w:val="009B4244"/>
    <w:rsid w:val="009B42CE"/>
    <w:rsid w:val="009B45AC"/>
    <w:rsid w:val="009B4AA9"/>
    <w:rsid w:val="009B4BF2"/>
    <w:rsid w:val="009B4DCC"/>
    <w:rsid w:val="009B58C1"/>
    <w:rsid w:val="009B5CBE"/>
    <w:rsid w:val="009B5E23"/>
    <w:rsid w:val="009B5E3F"/>
    <w:rsid w:val="009B61C0"/>
    <w:rsid w:val="009B63D1"/>
    <w:rsid w:val="009B642A"/>
    <w:rsid w:val="009B665E"/>
    <w:rsid w:val="009B66D5"/>
    <w:rsid w:val="009B68DF"/>
    <w:rsid w:val="009B6951"/>
    <w:rsid w:val="009B697D"/>
    <w:rsid w:val="009B6C7C"/>
    <w:rsid w:val="009B6E1D"/>
    <w:rsid w:val="009B6EEF"/>
    <w:rsid w:val="009B6F09"/>
    <w:rsid w:val="009B700B"/>
    <w:rsid w:val="009B73F0"/>
    <w:rsid w:val="009B76EB"/>
    <w:rsid w:val="009B76FB"/>
    <w:rsid w:val="009B7B35"/>
    <w:rsid w:val="009B7E24"/>
    <w:rsid w:val="009C0015"/>
    <w:rsid w:val="009C05BD"/>
    <w:rsid w:val="009C0815"/>
    <w:rsid w:val="009C08FA"/>
    <w:rsid w:val="009C0D74"/>
    <w:rsid w:val="009C0F3A"/>
    <w:rsid w:val="009C155B"/>
    <w:rsid w:val="009C166D"/>
    <w:rsid w:val="009C1973"/>
    <w:rsid w:val="009C205F"/>
    <w:rsid w:val="009C2068"/>
    <w:rsid w:val="009C22B2"/>
    <w:rsid w:val="009C2314"/>
    <w:rsid w:val="009C247A"/>
    <w:rsid w:val="009C24FD"/>
    <w:rsid w:val="009C2821"/>
    <w:rsid w:val="009C2C54"/>
    <w:rsid w:val="009C2E18"/>
    <w:rsid w:val="009C2E55"/>
    <w:rsid w:val="009C2F45"/>
    <w:rsid w:val="009C3118"/>
    <w:rsid w:val="009C3358"/>
    <w:rsid w:val="009C33CB"/>
    <w:rsid w:val="009C38A9"/>
    <w:rsid w:val="009C391D"/>
    <w:rsid w:val="009C39A6"/>
    <w:rsid w:val="009C3A91"/>
    <w:rsid w:val="009C3C43"/>
    <w:rsid w:val="009C4301"/>
    <w:rsid w:val="009C49D0"/>
    <w:rsid w:val="009C4B4C"/>
    <w:rsid w:val="009C4E2F"/>
    <w:rsid w:val="009C4F2D"/>
    <w:rsid w:val="009C50A0"/>
    <w:rsid w:val="009C5375"/>
    <w:rsid w:val="009C5430"/>
    <w:rsid w:val="009C54AD"/>
    <w:rsid w:val="009C55A7"/>
    <w:rsid w:val="009C5BC3"/>
    <w:rsid w:val="009C5D7D"/>
    <w:rsid w:val="009C5EF5"/>
    <w:rsid w:val="009C5FF5"/>
    <w:rsid w:val="009C5FFC"/>
    <w:rsid w:val="009C6100"/>
    <w:rsid w:val="009C63A6"/>
    <w:rsid w:val="009C6740"/>
    <w:rsid w:val="009C6988"/>
    <w:rsid w:val="009C6C9F"/>
    <w:rsid w:val="009C7148"/>
    <w:rsid w:val="009C72F1"/>
    <w:rsid w:val="009C7496"/>
    <w:rsid w:val="009C76A7"/>
    <w:rsid w:val="009C76F3"/>
    <w:rsid w:val="009C77EC"/>
    <w:rsid w:val="009C7AC7"/>
    <w:rsid w:val="009C7B66"/>
    <w:rsid w:val="009C7BCD"/>
    <w:rsid w:val="009C7EE7"/>
    <w:rsid w:val="009D017D"/>
    <w:rsid w:val="009D0496"/>
    <w:rsid w:val="009D055A"/>
    <w:rsid w:val="009D05F3"/>
    <w:rsid w:val="009D0704"/>
    <w:rsid w:val="009D08E9"/>
    <w:rsid w:val="009D09F2"/>
    <w:rsid w:val="009D0C96"/>
    <w:rsid w:val="009D1B34"/>
    <w:rsid w:val="009D1C91"/>
    <w:rsid w:val="009D2275"/>
    <w:rsid w:val="009D22A7"/>
    <w:rsid w:val="009D23BA"/>
    <w:rsid w:val="009D28FC"/>
    <w:rsid w:val="009D2BC7"/>
    <w:rsid w:val="009D2CFF"/>
    <w:rsid w:val="009D2E52"/>
    <w:rsid w:val="009D30FE"/>
    <w:rsid w:val="009D3139"/>
    <w:rsid w:val="009D320E"/>
    <w:rsid w:val="009D3213"/>
    <w:rsid w:val="009D322F"/>
    <w:rsid w:val="009D34EF"/>
    <w:rsid w:val="009D394B"/>
    <w:rsid w:val="009D3C7A"/>
    <w:rsid w:val="009D3C7E"/>
    <w:rsid w:val="009D3D9D"/>
    <w:rsid w:val="009D3E37"/>
    <w:rsid w:val="009D43FC"/>
    <w:rsid w:val="009D445C"/>
    <w:rsid w:val="009D46B4"/>
    <w:rsid w:val="009D4754"/>
    <w:rsid w:val="009D480D"/>
    <w:rsid w:val="009D4835"/>
    <w:rsid w:val="009D49D1"/>
    <w:rsid w:val="009D4D25"/>
    <w:rsid w:val="009D4D2B"/>
    <w:rsid w:val="009D4D39"/>
    <w:rsid w:val="009D4DC9"/>
    <w:rsid w:val="009D4E32"/>
    <w:rsid w:val="009D5025"/>
    <w:rsid w:val="009D52DF"/>
    <w:rsid w:val="009D5410"/>
    <w:rsid w:val="009D563D"/>
    <w:rsid w:val="009D5890"/>
    <w:rsid w:val="009D59AF"/>
    <w:rsid w:val="009D5AEF"/>
    <w:rsid w:val="009D5CA2"/>
    <w:rsid w:val="009D5CBE"/>
    <w:rsid w:val="009D5DEB"/>
    <w:rsid w:val="009D5F02"/>
    <w:rsid w:val="009D6728"/>
    <w:rsid w:val="009D6A3F"/>
    <w:rsid w:val="009D6EFA"/>
    <w:rsid w:val="009D706A"/>
    <w:rsid w:val="009D71B4"/>
    <w:rsid w:val="009D7248"/>
    <w:rsid w:val="009D7411"/>
    <w:rsid w:val="009D78D7"/>
    <w:rsid w:val="009D7D92"/>
    <w:rsid w:val="009D7F38"/>
    <w:rsid w:val="009D7F47"/>
    <w:rsid w:val="009E00E3"/>
    <w:rsid w:val="009E017E"/>
    <w:rsid w:val="009E04BC"/>
    <w:rsid w:val="009E05AB"/>
    <w:rsid w:val="009E067F"/>
    <w:rsid w:val="009E06A1"/>
    <w:rsid w:val="009E06AE"/>
    <w:rsid w:val="009E07E0"/>
    <w:rsid w:val="009E082C"/>
    <w:rsid w:val="009E0950"/>
    <w:rsid w:val="009E0CA5"/>
    <w:rsid w:val="009E0CB9"/>
    <w:rsid w:val="009E0CDB"/>
    <w:rsid w:val="009E0DD4"/>
    <w:rsid w:val="009E12D7"/>
    <w:rsid w:val="009E1332"/>
    <w:rsid w:val="009E1334"/>
    <w:rsid w:val="009E145D"/>
    <w:rsid w:val="009E171B"/>
    <w:rsid w:val="009E1732"/>
    <w:rsid w:val="009E1A71"/>
    <w:rsid w:val="009E1B81"/>
    <w:rsid w:val="009E1BAF"/>
    <w:rsid w:val="009E2489"/>
    <w:rsid w:val="009E26F2"/>
    <w:rsid w:val="009E27E8"/>
    <w:rsid w:val="009E2864"/>
    <w:rsid w:val="009E2B2D"/>
    <w:rsid w:val="009E2B79"/>
    <w:rsid w:val="009E2F9F"/>
    <w:rsid w:val="009E3406"/>
    <w:rsid w:val="009E3463"/>
    <w:rsid w:val="009E373C"/>
    <w:rsid w:val="009E37E8"/>
    <w:rsid w:val="009E398A"/>
    <w:rsid w:val="009E3A75"/>
    <w:rsid w:val="009E3D35"/>
    <w:rsid w:val="009E3EB1"/>
    <w:rsid w:val="009E42EC"/>
    <w:rsid w:val="009E46B8"/>
    <w:rsid w:val="009E48E4"/>
    <w:rsid w:val="009E4AB0"/>
    <w:rsid w:val="009E4C14"/>
    <w:rsid w:val="009E4D93"/>
    <w:rsid w:val="009E4E00"/>
    <w:rsid w:val="009E50BD"/>
    <w:rsid w:val="009E510D"/>
    <w:rsid w:val="009E5186"/>
    <w:rsid w:val="009E51BB"/>
    <w:rsid w:val="009E5632"/>
    <w:rsid w:val="009E56E7"/>
    <w:rsid w:val="009E6265"/>
    <w:rsid w:val="009E6570"/>
    <w:rsid w:val="009E680B"/>
    <w:rsid w:val="009E6851"/>
    <w:rsid w:val="009E6B53"/>
    <w:rsid w:val="009E6BB7"/>
    <w:rsid w:val="009E6C5E"/>
    <w:rsid w:val="009E6CA6"/>
    <w:rsid w:val="009E6DED"/>
    <w:rsid w:val="009E7049"/>
    <w:rsid w:val="009E7202"/>
    <w:rsid w:val="009E7294"/>
    <w:rsid w:val="009E78E5"/>
    <w:rsid w:val="009E79BD"/>
    <w:rsid w:val="009E7AA3"/>
    <w:rsid w:val="009F027D"/>
    <w:rsid w:val="009F069F"/>
    <w:rsid w:val="009F0722"/>
    <w:rsid w:val="009F089A"/>
    <w:rsid w:val="009F0901"/>
    <w:rsid w:val="009F0A25"/>
    <w:rsid w:val="009F0A9C"/>
    <w:rsid w:val="009F0AE3"/>
    <w:rsid w:val="009F0BD4"/>
    <w:rsid w:val="009F0C2A"/>
    <w:rsid w:val="009F0F5C"/>
    <w:rsid w:val="009F1244"/>
    <w:rsid w:val="009F1449"/>
    <w:rsid w:val="009F1514"/>
    <w:rsid w:val="009F1567"/>
    <w:rsid w:val="009F15A4"/>
    <w:rsid w:val="009F164E"/>
    <w:rsid w:val="009F1EEF"/>
    <w:rsid w:val="009F2038"/>
    <w:rsid w:val="009F2293"/>
    <w:rsid w:val="009F2327"/>
    <w:rsid w:val="009F236C"/>
    <w:rsid w:val="009F23A2"/>
    <w:rsid w:val="009F249C"/>
    <w:rsid w:val="009F2700"/>
    <w:rsid w:val="009F2B17"/>
    <w:rsid w:val="009F2C12"/>
    <w:rsid w:val="009F2D0A"/>
    <w:rsid w:val="009F2D0E"/>
    <w:rsid w:val="009F2D30"/>
    <w:rsid w:val="009F2E07"/>
    <w:rsid w:val="009F2F09"/>
    <w:rsid w:val="009F2FF4"/>
    <w:rsid w:val="009F3142"/>
    <w:rsid w:val="009F3675"/>
    <w:rsid w:val="009F38DD"/>
    <w:rsid w:val="009F3B05"/>
    <w:rsid w:val="009F3F4D"/>
    <w:rsid w:val="009F4092"/>
    <w:rsid w:val="009F4659"/>
    <w:rsid w:val="009F4809"/>
    <w:rsid w:val="009F48DA"/>
    <w:rsid w:val="009F4CCB"/>
    <w:rsid w:val="009F4D53"/>
    <w:rsid w:val="009F4F73"/>
    <w:rsid w:val="009F50C6"/>
    <w:rsid w:val="009F513E"/>
    <w:rsid w:val="009F57AD"/>
    <w:rsid w:val="009F58E5"/>
    <w:rsid w:val="009F5C4B"/>
    <w:rsid w:val="009F5D57"/>
    <w:rsid w:val="009F5E35"/>
    <w:rsid w:val="009F5E4A"/>
    <w:rsid w:val="009F5F0A"/>
    <w:rsid w:val="009F606A"/>
    <w:rsid w:val="009F66E3"/>
    <w:rsid w:val="009F6965"/>
    <w:rsid w:val="009F69B2"/>
    <w:rsid w:val="009F6ECF"/>
    <w:rsid w:val="009F6F9B"/>
    <w:rsid w:val="009F709A"/>
    <w:rsid w:val="009F710F"/>
    <w:rsid w:val="009F72F8"/>
    <w:rsid w:val="009F739C"/>
    <w:rsid w:val="009F73F0"/>
    <w:rsid w:val="009F76C5"/>
    <w:rsid w:val="009F7729"/>
    <w:rsid w:val="009F7809"/>
    <w:rsid w:val="009F7934"/>
    <w:rsid w:val="009F7979"/>
    <w:rsid w:val="009F7AC1"/>
    <w:rsid w:val="009F7ADE"/>
    <w:rsid w:val="009F7BD0"/>
    <w:rsid w:val="00A00114"/>
    <w:rsid w:val="00A0081A"/>
    <w:rsid w:val="00A00A62"/>
    <w:rsid w:val="00A00B4E"/>
    <w:rsid w:val="00A00B8D"/>
    <w:rsid w:val="00A00BDD"/>
    <w:rsid w:val="00A00D23"/>
    <w:rsid w:val="00A00E93"/>
    <w:rsid w:val="00A00FBD"/>
    <w:rsid w:val="00A01353"/>
    <w:rsid w:val="00A015E8"/>
    <w:rsid w:val="00A01A4E"/>
    <w:rsid w:val="00A01B5C"/>
    <w:rsid w:val="00A01CBD"/>
    <w:rsid w:val="00A01ED0"/>
    <w:rsid w:val="00A02183"/>
    <w:rsid w:val="00A02217"/>
    <w:rsid w:val="00A02613"/>
    <w:rsid w:val="00A0272F"/>
    <w:rsid w:val="00A02CF2"/>
    <w:rsid w:val="00A02D6D"/>
    <w:rsid w:val="00A02E80"/>
    <w:rsid w:val="00A02EC3"/>
    <w:rsid w:val="00A0315B"/>
    <w:rsid w:val="00A0319B"/>
    <w:rsid w:val="00A033B4"/>
    <w:rsid w:val="00A034D3"/>
    <w:rsid w:val="00A03698"/>
    <w:rsid w:val="00A0373F"/>
    <w:rsid w:val="00A0393C"/>
    <w:rsid w:val="00A039C5"/>
    <w:rsid w:val="00A03BCA"/>
    <w:rsid w:val="00A03C9A"/>
    <w:rsid w:val="00A0401E"/>
    <w:rsid w:val="00A0431A"/>
    <w:rsid w:val="00A044F5"/>
    <w:rsid w:val="00A04607"/>
    <w:rsid w:val="00A04B5B"/>
    <w:rsid w:val="00A04B87"/>
    <w:rsid w:val="00A04C59"/>
    <w:rsid w:val="00A04D9D"/>
    <w:rsid w:val="00A04FA1"/>
    <w:rsid w:val="00A05289"/>
    <w:rsid w:val="00A058A2"/>
    <w:rsid w:val="00A05982"/>
    <w:rsid w:val="00A05A8A"/>
    <w:rsid w:val="00A05B38"/>
    <w:rsid w:val="00A0622F"/>
    <w:rsid w:val="00A06330"/>
    <w:rsid w:val="00A063ED"/>
    <w:rsid w:val="00A064D3"/>
    <w:rsid w:val="00A06550"/>
    <w:rsid w:val="00A06556"/>
    <w:rsid w:val="00A0684E"/>
    <w:rsid w:val="00A068E5"/>
    <w:rsid w:val="00A068F3"/>
    <w:rsid w:val="00A06981"/>
    <w:rsid w:val="00A06D5C"/>
    <w:rsid w:val="00A07051"/>
    <w:rsid w:val="00A070BC"/>
    <w:rsid w:val="00A07196"/>
    <w:rsid w:val="00A07778"/>
    <w:rsid w:val="00A079A1"/>
    <w:rsid w:val="00A07B0B"/>
    <w:rsid w:val="00A07B18"/>
    <w:rsid w:val="00A07CF4"/>
    <w:rsid w:val="00A07D47"/>
    <w:rsid w:val="00A1002D"/>
    <w:rsid w:val="00A10593"/>
    <w:rsid w:val="00A10683"/>
    <w:rsid w:val="00A1083B"/>
    <w:rsid w:val="00A1097F"/>
    <w:rsid w:val="00A10984"/>
    <w:rsid w:val="00A10A62"/>
    <w:rsid w:val="00A10B24"/>
    <w:rsid w:val="00A10B42"/>
    <w:rsid w:val="00A10EA8"/>
    <w:rsid w:val="00A10FCA"/>
    <w:rsid w:val="00A11398"/>
    <w:rsid w:val="00A1165E"/>
    <w:rsid w:val="00A1168A"/>
    <w:rsid w:val="00A11767"/>
    <w:rsid w:val="00A11910"/>
    <w:rsid w:val="00A11967"/>
    <w:rsid w:val="00A12136"/>
    <w:rsid w:val="00A1214D"/>
    <w:rsid w:val="00A122A2"/>
    <w:rsid w:val="00A1239C"/>
    <w:rsid w:val="00A12561"/>
    <w:rsid w:val="00A125D2"/>
    <w:rsid w:val="00A1271B"/>
    <w:rsid w:val="00A127DB"/>
    <w:rsid w:val="00A127E7"/>
    <w:rsid w:val="00A129DB"/>
    <w:rsid w:val="00A12AB7"/>
    <w:rsid w:val="00A12AED"/>
    <w:rsid w:val="00A12B23"/>
    <w:rsid w:val="00A12D98"/>
    <w:rsid w:val="00A12F62"/>
    <w:rsid w:val="00A12FE6"/>
    <w:rsid w:val="00A1313A"/>
    <w:rsid w:val="00A131FE"/>
    <w:rsid w:val="00A13227"/>
    <w:rsid w:val="00A132CE"/>
    <w:rsid w:val="00A133B7"/>
    <w:rsid w:val="00A134E2"/>
    <w:rsid w:val="00A13512"/>
    <w:rsid w:val="00A13551"/>
    <w:rsid w:val="00A13608"/>
    <w:rsid w:val="00A1391D"/>
    <w:rsid w:val="00A13AD0"/>
    <w:rsid w:val="00A13B9D"/>
    <w:rsid w:val="00A13BB5"/>
    <w:rsid w:val="00A1403B"/>
    <w:rsid w:val="00A1406A"/>
    <w:rsid w:val="00A141FD"/>
    <w:rsid w:val="00A1433B"/>
    <w:rsid w:val="00A1473B"/>
    <w:rsid w:val="00A14BE3"/>
    <w:rsid w:val="00A14C90"/>
    <w:rsid w:val="00A14D46"/>
    <w:rsid w:val="00A14FBA"/>
    <w:rsid w:val="00A14FE9"/>
    <w:rsid w:val="00A15054"/>
    <w:rsid w:val="00A1512D"/>
    <w:rsid w:val="00A155F0"/>
    <w:rsid w:val="00A15611"/>
    <w:rsid w:val="00A15613"/>
    <w:rsid w:val="00A156B2"/>
    <w:rsid w:val="00A1577D"/>
    <w:rsid w:val="00A15903"/>
    <w:rsid w:val="00A15957"/>
    <w:rsid w:val="00A159A4"/>
    <w:rsid w:val="00A159F1"/>
    <w:rsid w:val="00A15B46"/>
    <w:rsid w:val="00A15B8B"/>
    <w:rsid w:val="00A15EEB"/>
    <w:rsid w:val="00A15F03"/>
    <w:rsid w:val="00A15FAC"/>
    <w:rsid w:val="00A1602A"/>
    <w:rsid w:val="00A1617B"/>
    <w:rsid w:val="00A164C9"/>
    <w:rsid w:val="00A165F9"/>
    <w:rsid w:val="00A167F4"/>
    <w:rsid w:val="00A16AA1"/>
    <w:rsid w:val="00A16C0E"/>
    <w:rsid w:val="00A16C46"/>
    <w:rsid w:val="00A16D69"/>
    <w:rsid w:val="00A16DDF"/>
    <w:rsid w:val="00A16E9F"/>
    <w:rsid w:val="00A16F5B"/>
    <w:rsid w:val="00A16FC2"/>
    <w:rsid w:val="00A17072"/>
    <w:rsid w:val="00A17108"/>
    <w:rsid w:val="00A1719C"/>
    <w:rsid w:val="00A172B3"/>
    <w:rsid w:val="00A176B3"/>
    <w:rsid w:val="00A178EB"/>
    <w:rsid w:val="00A179BF"/>
    <w:rsid w:val="00A17CCB"/>
    <w:rsid w:val="00A20147"/>
    <w:rsid w:val="00A202AF"/>
    <w:rsid w:val="00A203F3"/>
    <w:rsid w:val="00A20605"/>
    <w:rsid w:val="00A20825"/>
    <w:rsid w:val="00A208E6"/>
    <w:rsid w:val="00A20941"/>
    <w:rsid w:val="00A20A85"/>
    <w:rsid w:val="00A21037"/>
    <w:rsid w:val="00A2115B"/>
    <w:rsid w:val="00A21272"/>
    <w:rsid w:val="00A21504"/>
    <w:rsid w:val="00A216A5"/>
    <w:rsid w:val="00A2182B"/>
    <w:rsid w:val="00A219D1"/>
    <w:rsid w:val="00A21A5A"/>
    <w:rsid w:val="00A21D7A"/>
    <w:rsid w:val="00A21F99"/>
    <w:rsid w:val="00A22206"/>
    <w:rsid w:val="00A22290"/>
    <w:rsid w:val="00A225BF"/>
    <w:rsid w:val="00A226EB"/>
    <w:rsid w:val="00A22868"/>
    <w:rsid w:val="00A2289F"/>
    <w:rsid w:val="00A22948"/>
    <w:rsid w:val="00A22B33"/>
    <w:rsid w:val="00A22C3B"/>
    <w:rsid w:val="00A22EE3"/>
    <w:rsid w:val="00A22F3C"/>
    <w:rsid w:val="00A22F91"/>
    <w:rsid w:val="00A23004"/>
    <w:rsid w:val="00A230CF"/>
    <w:rsid w:val="00A2334A"/>
    <w:rsid w:val="00A23743"/>
    <w:rsid w:val="00A239E1"/>
    <w:rsid w:val="00A23A52"/>
    <w:rsid w:val="00A24507"/>
    <w:rsid w:val="00A2473E"/>
    <w:rsid w:val="00A2483C"/>
    <w:rsid w:val="00A24919"/>
    <w:rsid w:val="00A24994"/>
    <w:rsid w:val="00A24BE3"/>
    <w:rsid w:val="00A24E61"/>
    <w:rsid w:val="00A24F1F"/>
    <w:rsid w:val="00A25082"/>
    <w:rsid w:val="00A253A2"/>
    <w:rsid w:val="00A259DF"/>
    <w:rsid w:val="00A259FA"/>
    <w:rsid w:val="00A25A4C"/>
    <w:rsid w:val="00A25A5E"/>
    <w:rsid w:val="00A25DA2"/>
    <w:rsid w:val="00A25EE6"/>
    <w:rsid w:val="00A2603E"/>
    <w:rsid w:val="00A26040"/>
    <w:rsid w:val="00A2619F"/>
    <w:rsid w:val="00A26366"/>
    <w:rsid w:val="00A267D9"/>
    <w:rsid w:val="00A268AA"/>
    <w:rsid w:val="00A2697D"/>
    <w:rsid w:val="00A26A0E"/>
    <w:rsid w:val="00A26A99"/>
    <w:rsid w:val="00A26C25"/>
    <w:rsid w:val="00A26E78"/>
    <w:rsid w:val="00A270FC"/>
    <w:rsid w:val="00A2735F"/>
    <w:rsid w:val="00A274EF"/>
    <w:rsid w:val="00A275E4"/>
    <w:rsid w:val="00A275EB"/>
    <w:rsid w:val="00A27914"/>
    <w:rsid w:val="00A27B86"/>
    <w:rsid w:val="00A27D41"/>
    <w:rsid w:val="00A27DED"/>
    <w:rsid w:val="00A27FC7"/>
    <w:rsid w:val="00A3000F"/>
    <w:rsid w:val="00A3057B"/>
    <w:rsid w:val="00A30810"/>
    <w:rsid w:val="00A3095D"/>
    <w:rsid w:val="00A30A9F"/>
    <w:rsid w:val="00A30B58"/>
    <w:rsid w:val="00A30F5C"/>
    <w:rsid w:val="00A310C5"/>
    <w:rsid w:val="00A31319"/>
    <w:rsid w:val="00A313C0"/>
    <w:rsid w:val="00A3151B"/>
    <w:rsid w:val="00A31620"/>
    <w:rsid w:val="00A3165F"/>
    <w:rsid w:val="00A3198E"/>
    <w:rsid w:val="00A31ACF"/>
    <w:rsid w:val="00A31BBB"/>
    <w:rsid w:val="00A31BF8"/>
    <w:rsid w:val="00A31C0D"/>
    <w:rsid w:val="00A31D41"/>
    <w:rsid w:val="00A31E1B"/>
    <w:rsid w:val="00A31E92"/>
    <w:rsid w:val="00A32220"/>
    <w:rsid w:val="00A32255"/>
    <w:rsid w:val="00A32376"/>
    <w:rsid w:val="00A32690"/>
    <w:rsid w:val="00A32AB9"/>
    <w:rsid w:val="00A32B20"/>
    <w:rsid w:val="00A32DB2"/>
    <w:rsid w:val="00A32F13"/>
    <w:rsid w:val="00A33153"/>
    <w:rsid w:val="00A3319C"/>
    <w:rsid w:val="00A332BB"/>
    <w:rsid w:val="00A33313"/>
    <w:rsid w:val="00A333B5"/>
    <w:rsid w:val="00A335F1"/>
    <w:rsid w:val="00A33703"/>
    <w:rsid w:val="00A33793"/>
    <w:rsid w:val="00A337C4"/>
    <w:rsid w:val="00A33858"/>
    <w:rsid w:val="00A338BB"/>
    <w:rsid w:val="00A33FDD"/>
    <w:rsid w:val="00A345C6"/>
    <w:rsid w:val="00A348B6"/>
    <w:rsid w:val="00A348C9"/>
    <w:rsid w:val="00A34AA5"/>
    <w:rsid w:val="00A34B61"/>
    <w:rsid w:val="00A34C56"/>
    <w:rsid w:val="00A34DC2"/>
    <w:rsid w:val="00A35279"/>
    <w:rsid w:val="00A354CB"/>
    <w:rsid w:val="00A3553D"/>
    <w:rsid w:val="00A355D9"/>
    <w:rsid w:val="00A35615"/>
    <w:rsid w:val="00A358AA"/>
    <w:rsid w:val="00A35F77"/>
    <w:rsid w:val="00A363A4"/>
    <w:rsid w:val="00A3672F"/>
    <w:rsid w:val="00A36736"/>
    <w:rsid w:val="00A3689A"/>
    <w:rsid w:val="00A368B0"/>
    <w:rsid w:val="00A36A62"/>
    <w:rsid w:val="00A36C4D"/>
    <w:rsid w:val="00A36F39"/>
    <w:rsid w:val="00A370F9"/>
    <w:rsid w:val="00A3715E"/>
    <w:rsid w:val="00A373E9"/>
    <w:rsid w:val="00A3749B"/>
    <w:rsid w:val="00A37974"/>
    <w:rsid w:val="00A379EC"/>
    <w:rsid w:val="00A37B3F"/>
    <w:rsid w:val="00A37C9D"/>
    <w:rsid w:val="00A37D87"/>
    <w:rsid w:val="00A40140"/>
    <w:rsid w:val="00A40514"/>
    <w:rsid w:val="00A406A2"/>
    <w:rsid w:val="00A406F1"/>
    <w:rsid w:val="00A409C5"/>
    <w:rsid w:val="00A40A6D"/>
    <w:rsid w:val="00A40DA0"/>
    <w:rsid w:val="00A40F58"/>
    <w:rsid w:val="00A414EC"/>
    <w:rsid w:val="00A4173D"/>
    <w:rsid w:val="00A41CC2"/>
    <w:rsid w:val="00A41DA1"/>
    <w:rsid w:val="00A41E41"/>
    <w:rsid w:val="00A41E85"/>
    <w:rsid w:val="00A41FE4"/>
    <w:rsid w:val="00A4202A"/>
    <w:rsid w:val="00A421D5"/>
    <w:rsid w:val="00A42223"/>
    <w:rsid w:val="00A4228C"/>
    <w:rsid w:val="00A4234B"/>
    <w:rsid w:val="00A424B9"/>
    <w:rsid w:val="00A42792"/>
    <w:rsid w:val="00A42864"/>
    <w:rsid w:val="00A429A4"/>
    <w:rsid w:val="00A42BBC"/>
    <w:rsid w:val="00A42CDE"/>
    <w:rsid w:val="00A42D58"/>
    <w:rsid w:val="00A42FE7"/>
    <w:rsid w:val="00A43041"/>
    <w:rsid w:val="00A4315E"/>
    <w:rsid w:val="00A432CC"/>
    <w:rsid w:val="00A4368B"/>
    <w:rsid w:val="00A438BB"/>
    <w:rsid w:val="00A43BBF"/>
    <w:rsid w:val="00A43C3F"/>
    <w:rsid w:val="00A43D0F"/>
    <w:rsid w:val="00A43EC3"/>
    <w:rsid w:val="00A44639"/>
    <w:rsid w:val="00A446DD"/>
    <w:rsid w:val="00A447A3"/>
    <w:rsid w:val="00A44907"/>
    <w:rsid w:val="00A4497E"/>
    <w:rsid w:val="00A44B0D"/>
    <w:rsid w:val="00A44B21"/>
    <w:rsid w:val="00A44B90"/>
    <w:rsid w:val="00A44B99"/>
    <w:rsid w:val="00A44C1D"/>
    <w:rsid w:val="00A44FB2"/>
    <w:rsid w:val="00A45137"/>
    <w:rsid w:val="00A45188"/>
    <w:rsid w:val="00A451B3"/>
    <w:rsid w:val="00A45282"/>
    <w:rsid w:val="00A455CE"/>
    <w:rsid w:val="00A45C18"/>
    <w:rsid w:val="00A45DB1"/>
    <w:rsid w:val="00A45F11"/>
    <w:rsid w:val="00A46185"/>
    <w:rsid w:val="00A462D2"/>
    <w:rsid w:val="00A46466"/>
    <w:rsid w:val="00A46AFA"/>
    <w:rsid w:val="00A46D9E"/>
    <w:rsid w:val="00A46DDB"/>
    <w:rsid w:val="00A4700E"/>
    <w:rsid w:val="00A47138"/>
    <w:rsid w:val="00A475C1"/>
    <w:rsid w:val="00A47A69"/>
    <w:rsid w:val="00A47A72"/>
    <w:rsid w:val="00A47AEB"/>
    <w:rsid w:val="00A47D50"/>
    <w:rsid w:val="00A47EF3"/>
    <w:rsid w:val="00A50471"/>
    <w:rsid w:val="00A50720"/>
    <w:rsid w:val="00A50909"/>
    <w:rsid w:val="00A50D1C"/>
    <w:rsid w:val="00A50D88"/>
    <w:rsid w:val="00A50DD5"/>
    <w:rsid w:val="00A50DFD"/>
    <w:rsid w:val="00A50ED9"/>
    <w:rsid w:val="00A50F0C"/>
    <w:rsid w:val="00A50F7D"/>
    <w:rsid w:val="00A50FF5"/>
    <w:rsid w:val="00A51436"/>
    <w:rsid w:val="00A51666"/>
    <w:rsid w:val="00A5189D"/>
    <w:rsid w:val="00A51B95"/>
    <w:rsid w:val="00A51C79"/>
    <w:rsid w:val="00A51CDA"/>
    <w:rsid w:val="00A5226C"/>
    <w:rsid w:val="00A52289"/>
    <w:rsid w:val="00A522A1"/>
    <w:rsid w:val="00A524F0"/>
    <w:rsid w:val="00A52652"/>
    <w:rsid w:val="00A5278A"/>
    <w:rsid w:val="00A5294B"/>
    <w:rsid w:val="00A529D3"/>
    <w:rsid w:val="00A52BDF"/>
    <w:rsid w:val="00A52D61"/>
    <w:rsid w:val="00A52ED2"/>
    <w:rsid w:val="00A53853"/>
    <w:rsid w:val="00A53A5F"/>
    <w:rsid w:val="00A53AA5"/>
    <w:rsid w:val="00A53D91"/>
    <w:rsid w:val="00A54065"/>
    <w:rsid w:val="00A5407A"/>
    <w:rsid w:val="00A542A4"/>
    <w:rsid w:val="00A544E0"/>
    <w:rsid w:val="00A54654"/>
    <w:rsid w:val="00A54B36"/>
    <w:rsid w:val="00A54C1D"/>
    <w:rsid w:val="00A54C94"/>
    <w:rsid w:val="00A54FD7"/>
    <w:rsid w:val="00A5508F"/>
    <w:rsid w:val="00A554C7"/>
    <w:rsid w:val="00A5557E"/>
    <w:rsid w:val="00A55700"/>
    <w:rsid w:val="00A5577E"/>
    <w:rsid w:val="00A558AC"/>
    <w:rsid w:val="00A55A7C"/>
    <w:rsid w:val="00A55D22"/>
    <w:rsid w:val="00A55EF0"/>
    <w:rsid w:val="00A56195"/>
    <w:rsid w:val="00A5632B"/>
    <w:rsid w:val="00A56657"/>
    <w:rsid w:val="00A56728"/>
    <w:rsid w:val="00A56923"/>
    <w:rsid w:val="00A56982"/>
    <w:rsid w:val="00A569DD"/>
    <w:rsid w:val="00A56A15"/>
    <w:rsid w:val="00A56A8C"/>
    <w:rsid w:val="00A56C18"/>
    <w:rsid w:val="00A56F1C"/>
    <w:rsid w:val="00A56F28"/>
    <w:rsid w:val="00A57277"/>
    <w:rsid w:val="00A57481"/>
    <w:rsid w:val="00A574BA"/>
    <w:rsid w:val="00A575F9"/>
    <w:rsid w:val="00A577CA"/>
    <w:rsid w:val="00A57955"/>
    <w:rsid w:val="00A57C1C"/>
    <w:rsid w:val="00A57CE8"/>
    <w:rsid w:val="00A57E3F"/>
    <w:rsid w:val="00A57F37"/>
    <w:rsid w:val="00A6015D"/>
    <w:rsid w:val="00A60343"/>
    <w:rsid w:val="00A6037C"/>
    <w:rsid w:val="00A603D0"/>
    <w:rsid w:val="00A603FE"/>
    <w:rsid w:val="00A60740"/>
    <w:rsid w:val="00A6087A"/>
    <w:rsid w:val="00A60967"/>
    <w:rsid w:val="00A60A3A"/>
    <w:rsid w:val="00A60C56"/>
    <w:rsid w:val="00A61042"/>
    <w:rsid w:val="00A610F3"/>
    <w:rsid w:val="00A6115E"/>
    <w:rsid w:val="00A611F3"/>
    <w:rsid w:val="00A612E6"/>
    <w:rsid w:val="00A613B0"/>
    <w:rsid w:val="00A614A7"/>
    <w:rsid w:val="00A614FB"/>
    <w:rsid w:val="00A61603"/>
    <w:rsid w:val="00A6195C"/>
    <w:rsid w:val="00A619A4"/>
    <w:rsid w:val="00A61AAC"/>
    <w:rsid w:val="00A61CA6"/>
    <w:rsid w:val="00A61CBB"/>
    <w:rsid w:val="00A61CCE"/>
    <w:rsid w:val="00A62051"/>
    <w:rsid w:val="00A62075"/>
    <w:rsid w:val="00A62082"/>
    <w:rsid w:val="00A62661"/>
    <w:rsid w:val="00A62966"/>
    <w:rsid w:val="00A62AE7"/>
    <w:rsid w:val="00A62B2F"/>
    <w:rsid w:val="00A62E42"/>
    <w:rsid w:val="00A632A7"/>
    <w:rsid w:val="00A632C2"/>
    <w:rsid w:val="00A633DE"/>
    <w:rsid w:val="00A635B3"/>
    <w:rsid w:val="00A63683"/>
    <w:rsid w:val="00A63777"/>
    <w:rsid w:val="00A63815"/>
    <w:rsid w:val="00A63BF4"/>
    <w:rsid w:val="00A64050"/>
    <w:rsid w:val="00A64258"/>
    <w:rsid w:val="00A64457"/>
    <w:rsid w:val="00A645D8"/>
    <w:rsid w:val="00A64891"/>
    <w:rsid w:val="00A6494B"/>
    <w:rsid w:val="00A64A71"/>
    <w:rsid w:val="00A64E28"/>
    <w:rsid w:val="00A65014"/>
    <w:rsid w:val="00A651D5"/>
    <w:rsid w:val="00A65232"/>
    <w:rsid w:val="00A65755"/>
    <w:rsid w:val="00A6581A"/>
    <w:rsid w:val="00A6586D"/>
    <w:rsid w:val="00A65AC2"/>
    <w:rsid w:val="00A65EF5"/>
    <w:rsid w:val="00A6619A"/>
    <w:rsid w:val="00A6625E"/>
    <w:rsid w:val="00A66420"/>
    <w:rsid w:val="00A665AC"/>
    <w:rsid w:val="00A666AC"/>
    <w:rsid w:val="00A669DA"/>
    <w:rsid w:val="00A66B56"/>
    <w:rsid w:val="00A66C51"/>
    <w:rsid w:val="00A66F06"/>
    <w:rsid w:val="00A67166"/>
    <w:rsid w:val="00A67448"/>
    <w:rsid w:val="00A67451"/>
    <w:rsid w:val="00A6747F"/>
    <w:rsid w:val="00A6760F"/>
    <w:rsid w:val="00A6780E"/>
    <w:rsid w:val="00A67810"/>
    <w:rsid w:val="00A67AF5"/>
    <w:rsid w:val="00A67F53"/>
    <w:rsid w:val="00A701CD"/>
    <w:rsid w:val="00A7021E"/>
    <w:rsid w:val="00A703E6"/>
    <w:rsid w:val="00A70621"/>
    <w:rsid w:val="00A706EB"/>
    <w:rsid w:val="00A7084A"/>
    <w:rsid w:val="00A70998"/>
    <w:rsid w:val="00A70AF2"/>
    <w:rsid w:val="00A70D01"/>
    <w:rsid w:val="00A70EBA"/>
    <w:rsid w:val="00A70F06"/>
    <w:rsid w:val="00A710C3"/>
    <w:rsid w:val="00A710D3"/>
    <w:rsid w:val="00A714F1"/>
    <w:rsid w:val="00A715AB"/>
    <w:rsid w:val="00A7164A"/>
    <w:rsid w:val="00A71757"/>
    <w:rsid w:val="00A717F3"/>
    <w:rsid w:val="00A718A8"/>
    <w:rsid w:val="00A719E6"/>
    <w:rsid w:val="00A71A55"/>
    <w:rsid w:val="00A71AE8"/>
    <w:rsid w:val="00A71AFD"/>
    <w:rsid w:val="00A722C8"/>
    <w:rsid w:val="00A7236C"/>
    <w:rsid w:val="00A72728"/>
    <w:rsid w:val="00A727A8"/>
    <w:rsid w:val="00A72960"/>
    <w:rsid w:val="00A72B7F"/>
    <w:rsid w:val="00A72BF8"/>
    <w:rsid w:val="00A72C17"/>
    <w:rsid w:val="00A72D44"/>
    <w:rsid w:val="00A72D67"/>
    <w:rsid w:val="00A72D8F"/>
    <w:rsid w:val="00A73034"/>
    <w:rsid w:val="00A73056"/>
    <w:rsid w:val="00A7311D"/>
    <w:rsid w:val="00A732B7"/>
    <w:rsid w:val="00A73305"/>
    <w:rsid w:val="00A73375"/>
    <w:rsid w:val="00A73407"/>
    <w:rsid w:val="00A7345B"/>
    <w:rsid w:val="00A734F6"/>
    <w:rsid w:val="00A73742"/>
    <w:rsid w:val="00A73837"/>
    <w:rsid w:val="00A739DE"/>
    <w:rsid w:val="00A73AA0"/>
    <w:rsid w:val="00A73C1B"/>
    <w:rsid w:val="00A73D4A"/>
    <w:rsid w:val="00A73E8F"/>
    <w:rsid w:val="00A7434F"/>
    <w:rsid w:val="00A74483"/>
    <w:rsid w:val="00A747AE"/>
    <w:rsid w:val="00A747D9"/>
    <w:rsid w:val="00A74815"/>
    <w:rsid w:val="00A74956"/>
    <w:rsid w:val="00A749B8"/>
    <w:rsid w:val="00A74CFD"/>
    <w:rsid w:val="00A74D88"/>
    <w:rsid w:val="00A74E7E"/>
    <w:rsid w:val="00A75519"/>
    <w:rsid w:val="00A7570D"/>
    <w:rsid w:val="00A7590B"/>
    <w:rsid w:val="00A7599D"/>
    <w:rsid w:val="00A75A40"/>
    <w:rsid w:val="00A75C98"/>
    <w:rsid w:val="00A762EE"/>
    <w:rsid w:val="00A765D7"/>
    <w:rsid w:val="00A76A50"/>
    <w:rsid w:val="00A76D52"/>
    <w:rsid w:val="00A76DD0"/>
    <w:rsid w:val="00A76E48"/>
    <w:rsid w:val="00A77234"/>
    <w:rsid w:val="00A772E2"/>
    <w:rsid w:val="00A77459"/>
    <w:rsid w:val="00A776DA"/>
    <w:rsid w:val="00A778AB"/>
    <w:rsid w:val="00A77A1F"/>
    <w:rsid w:val="00A77A99"/>
    <w:rsid w:val="00A77B81"/>
    <w:rsid w:val="00A77C3B"/>
    <w:rsid w:val="00A800EE"/>
    <w:rsid w:val="00A80830"/>
    <w:rsid w:val="00A80BA4"/>
    <w:rsid w:val="00A80EE6"/>
    <w:rsid w:val="00A8102E"/>
    <w:rsid w:val="00A8125F"/>
    <w:rsid w:val="00A8129A"/>
    <w:rsid w:val="00A8159F"/>
    <w:rsid w:val="00A818C3"/>
    <w:rsid w:val="00A81AFA"/>
    <w:rsid w:val="00A81B87"/>
    <w:rsid w:val="00A81BB3"/>
    <w:rsid w:val="00A81C2F"/>
    <w:rsid w:val="00A8213C"/>
    <w:rsid w:val="00A82429"/>
    <w:rsid w:val="00A82487"/>
    <w:rsid w:val="00A82615"/>
    <w:rsid w:val="00A8266C"/>
    <w:rsid w:val="00A826DD"/>
    <w:rsid w:val="00A82990"/>
    <w:rsid w:val="00A82B7E"/>
    <w:rsid w:val="00A82EE9"/>
    <w:rsid w:val="00A82F1E"/>
    <w:rsid w:val="00A83055"/>
    <w:rsid w:val="00A83076"/>
    <w:rsid w:val="00A83191"/>
    <w:rsid w:val="00A831E0"/>
    <w:rsid w:val="00A83269"/>
    <w:rsid w:val="00A832CB"/>
    <w:rsid w:val="00A832D2"/>
    <w:rsid w:val="00A833E7"/>
    <w:rsid w:val="00A8350D"/>
    <w:rsid w:val="00A8352B"/>
    <w:rsid w:val="00A836D6"/>
    <w:rsid w:val="00A83B09"/>
    <w:rsid w:val="00A83BD5"/>
    <w:rsid w:val="00A83C40"/>
    <w:rsid w:val="00A83FAF"/>
    <w:rsid w:val="00A841C4"/>
    <w:rsid w:val="00A84787"/>
    <w:rsid w:val="00A84823"/>
    <w:rsid w:val="00A849C5"/>
    <w:rsid w:val="00A84ADC"/>
    <w:rsid w:val="00A84BB2"/>
    <w:rsid w:val="00A84D22"/>
    <w:rsid w:val="00A84DD2"/>
    <w:rsid w:val="00A84E82"/>
    <w:rsid w:val="00A84F43"/>
    <w:rsid w:val="00A85030"/>
    <w:rsid w:val="00A85426"/>
    <w:rsid w:val="00A85532"/>
    <w:rsid w:val="00A855DF"/>
    <w:rsid w:val="00A858CB"/>
    <w:rsid w:val="00A85A46"/>
    <w:rsid w:val="00A85D1D"/>
    <w:rsid w:val="00A85DB1"/>
    <w:rsid w:val="00A85DBD"/>
    <w:rsid w:val="00A85FB5"/>
    <w:rsid w:val="00A860F7"/>
    <w:rsid w:val="00A861BD"/>
    <w:rsid w:val="00A862A3"/>
    <w:rsid w:val="00A86479"/>
    <w:rsid w:val="00A864E3"/>
    <w:rsid w:val="00A865EC"/>
    <w:rsid w:val="00A867D9"/>
    <w:rsid w:val="00A8683C"/>
    <w:rsid w:val="00A86EC2"/>
    <w:rsid w:val="00A87207"/>
    <w:rsid w:val="00A872EF"/>
    <w:rsid w:val="00A87512"/>
    <w:rsid w:val="00A8797F"/>
    <w:rsid w:val="00A87CDF"/>
    <w:rsid w:val="00A87F1C"/>
    <w:rsid w:val="00A9027C"/>
    <w:rsid w:val="00A90617"/>
    <w:rsid w:val="00A906BC"/>
    <w:rsid w:val="00A90D18"/>
    <w:rsid w:val="00A90D7F"/>
    <w:rsid w:val="00A90E15"/>
    <w:rsid w:val="00A9117F"/>
    <w:rsid w:val="00A91363"/>
    <w:rsid w:val="00A9184A"/>
    <w:rsid w:val="00A918E3"/>
    <w:rsid w:val="00A91A5D"/>
    <w:rsid w:val="00A91C1C"/>
    <w:rsid w:val="00A91D73"/>
    <w:rsid w:val="00A91DEF"/>
    <w:rsid w:val="00A91FAF"/>
    <w:rsid w:val="00A92089"/>
    <w:rsid w:val="00A920DE"/>
    <w:rsid w:val="00A921C1"/>
    <w:rsid w:val="00A92217"/>
    <w:rsid w:val="00A9226E"/>
    <w:rsid w:val="00A922CA"/>
    <w:rsid w:val="00A924CC"/>
    <w:rsid w:val="00A92559"/>
    <w:rsid w:val="00A92779"/>
    <w:rsid w:val="00A927DB"/>
    <w:rsid w:val="00A9289E"/>
    <w:rsid w:val="00A929ED"/>
    <w:rsid w:val="00A92A75"/>
    <w:rsid w:val="00A92C9F"/>
    <w:rsid w:val="00A92EDA"/>
    <w:rsid w:val="00A9315C"/>
    <w:rsid w:val="00A931B9"/>
    <w:rsid w:val="00A931E0"/>
    <w:rsid w:val="00A932C8"/>
    <w:rsid w:val="00A93336"/>
    <w:rsid w:val="00A93401"/>
    <w:rsid w:val="00A935A8"/>
    <w:rsid w:val="00A937CE"/>
    <w:rsid w:val="00A93B0B"/>
    <w:rsid w:val="00A93E38"/>
    <w:rsid w:val="00A9409C"/>
    <w:rsid w:val="00A94159"/>
    <w:rsid w:val="00A942EB"/>
    <w:rsid w:val="00A9450B"/>
    <w:rsid w:val="00A94862"/>
    <w:rsid w:val="00A94951"/>
    <w:rsid w:val="00A94C37"/>
    <w:rsid w:val="00A94E58"/>
    <w:rsid w:val="00A94E9F"/>
    <w:rsid w:val="00A94F03"/>
    <w:rsid w:val="00A95315"/>
    <w:rsid w:val="00A95695"/>
    <w:rsid w:val="00A95A51"/>
    <w:rsid w:val="00A95D6C"/>
    <w:rsid w:val="00A95DCF"/>
    <w:rsid w:val="00A95E4F"/>
    <w:rsid w:val="00A96031"/>
    <w:rsid w:val="00A961D6"/>
    <w:rsid w:val="00A9629F"/>
    <w:rsid w:val="00A9642A"/>
    <w:rsid w:val="00A96480"/>
    <w:rsid w:val="00A967D9"/>
    <w:rsid w:val="00A96B5D"/>
    <w:rsid w:val="00A96CE8"/>
    <w:rsid w:val="00A96DDE"/>
    <w:rsid w:val="00A97060"/>
    <w:rsid w:val="00A970AC"/>
    <w:rsid w:val="00A97136"/>
    <w:rsid w:val="00A97160"/>
    <w:rsid w:val="00A97287"/>
    <w:rsid w:val="00A972E0"/>
    <w:rsid w:val="00A9738A"/>
    <w:rsid w:val="00A97566"/>
    <w:rsid w:val="00A97738"/>
    <w:rsid w:val="00A97982"/>
    <w:rsid w:val="00A97E76"/>
    <w:rsid w:val="00AA00DA"/>
    <w:rsid w:val="00AA016A"/>
    <w:rsid w:val="00AA0384"/>
    <w:rsid w:val="00AA0448"/>
    <w:rsid w:val="00AA109B"/>
    <w:rsid w:val="00AA13CC"/>
    <w:rsid w:val="00AA13DF"/>
    <w:rsid w:val="00AA1498"/>
    <w:rsid w:val="00AA15CA"/>
    <w:rsid w:val="00AA1670"/>
    <w:rsid w:val="00AA19E5"/>
    <w:rsid w:val="00AA1A8E"/>
    <w:rsid w:val="00AA209A"/>
    <w:rsid w:val="00AA2392"/>
    <w:rsid w:val="00AA23A8"/>
    <w:rsid w:val="00AA23F8"/>
    <w:rsid w:val="00AA24BA"/>
    <w:rsid w:val="00AA2554"/>
    <w:rsid w:val="00AA25A5"/>
    <w:rsid w:val="00AA2AB7"/>
    <w:rsid w:val="00AA2BBE"/>
    <w:rsid w:val="00AA2EDF"/>
    <w:rsid w:val="00AA314A"/>
    <w:rsid w:val="00AA3327"/>
    <w:rsid w:val="00AA358F"/>
    <w:rsid w:val="00AA3826"/>
    <w:rsid w:val="00AA3AFF"/>
    <w:rsid w:val="00AA3C7C"/>
    <w:rsid w:val="00AA3CFF"/>
    <w:rsid w:val="00AA3D19"/>
    <w:rsid w:val="00AA3D3F"/>
    <w:rsid w:val="00AA3ECB"/>
    <w:rsid w:val="00AA48C3"/>
    <w:rsid w:val="00AA49E5"/>
    <w:rsid w:val="00AA4C5D"/>
    <w:rsid w:val="00AA4EC3"/>
    <w:rsid w:val="00AA508E"/>
    <w:rsid w:val="00AA5686"/>
    <w:rsid w:val="00AA5775"/>
    <w:rsid w:val="00AA589B"/>
    <w:rsid w:val="00AA5D92"/>
    <w:rsid w:val="00AA5F26"/>
    <w:rsid w:val="00AA5FDF"/>
    <w:rsid w:val="00AA6457"/>
    <w:rsid w:val="00AA6462"/>
    <w:rsid w:val="00AA6789"/>
    <w:rsid w:val="00AA6D4E"/>
    <w:rsid w:val="00AA6DB6"/>
    <w:rsid w:val="00AA6F45"/>
    <w:rsid w:val="00AA72D7"/>
    <w:rsid w:val="00AA7354"/>
    <w:rsid w:val="00AA73BE"/>
    <w:rsid w:val="00AA749A"/>
    <w:rsid w:val="00AA74EC"/>
    <w:rsid w:val="00AA752D"/>
    <w:rsid w:val="00AA75FB"/>
    <w:rsid w:val="00AA777E"/>
    <w:rsid w:val="00AA777F"/>
    <w:rsid w:val="00AA790C"/>
    <w:rsid w:val="00AA7AF9"/>
    <w:rsid w:val="00AA7C2A"/>
    <w:rsid w:val="00AB042B"/>
    <w:rsid w:val="00AB0471"/>
    <w:rsid w:val="00AB04C7"/>
    <w:rsid w:val="00AB0678"/>
    <w:rsid w:val="00AB0838"/>
    <w:rsid w:val="00AB089D"/>
    <w:rsid w:val="00AB0CA6"/>
    <w:rsid w:val="00AB0CF8"/>
    <w:rsid w:val="00AB0D85"/>
    <w:rsid w:val="00AB0DCD"/>
    <w:rsid w:val="00AB0F64"/>
    <w:rsid w:val="00AB10E7"/>
    <w:rsid w:val="00AB127C"/>
    <w:rsid w:val="00AB1397"/>
    <w:rsid w:val="00AB14B0"/>
    <w:rsid w:val="00AB16C2"/>
    <w:rsid w:val="00AB181C"/>
    <w:rsid w:val="00AB187A"/>
    <w:rsid w:val="00AB1B25"/>
    <w:rsid w:val="00AB1B8A"/>
    <w:rsid w:val="00AB1EA5"/>
    <w:rsid w:val="00AB1ED6"/>
    <w:rsid w:val="00AB1EF5"/>
    <w:rsid w:val="00AB23F7"/>
    <w:rsid w:val="00AB2945"/>
    <w:rsid w:val="00AB29DE"/>
    <w:rsid w:val="00AB2A3F"/>
    <w:rsid w:val="00AB2B05"/>
    <w:rsid w:val="00AB2CD9"/>
    <w:rsid w:val="00AB34E4"/>
    <w:rsid w:val="00AB3564"/>
    <w:rsid w:val="00AB359F"/>
    <w:rsid w:val="00AB35D9"/>
    <w:rsid w:val="00AB3758"/>
    <w:rsid w:val="00AB3784"/>
    <w:rsid w:val="00AB3921"/>
    <w:rsid w:val="00AB396D"/>
    <w:rsid w:val="00AB4130"/>
    <w:rsid w:val="00AB438A"/>
    <w:rsid w:val="00AB438B"/>
    <w:rsid w:val="00AB4445"/>
    <w:rsid w:val="00AB458B"/>
    <w:rsid w:val="00AB4704"/>
    <w:rsid w:val="00AB4B4C"/>
    <w:rsid w:val="00AB4E5D"/>
    <w:rsid w:val="00AB502E"/>
    <w:rsid w:val="00AB5039"/>
    <w:rsid w:val="00AB515C"/>
    <w:rsid w:val="00AB5288"/>
    <w:rsid w:val="00AB54AB"/>
    <w:rsid w:val="00AB5769"/>
    <w:rsid w:val="00AB5A52"/>
    <w:rsid w:val="00AB5F41"/>
    <w:rsid w:val="00AB6003"/>
    <w:rsid w:val="00AB6052"/>
    <w:rsid w:val="00AB6237"/>
    <w:rsid w:val="00AB62EA"/>
    <w:rsid w:val="00AB66A1"/>
    <w:rsid w:val="00AB67B2"/>
    <w:rsid w:val="00AB6AFE"/>
    <w:rsid w:val="00AB6B2E"/>
    <w:rsid w:val="00AB6CE5"/>
    <w:rsid w:val="00AB6DE5"/>
    <w:rsid w:val="00AB6DFE"/>
    <w:rsid w:val="00AB6EAE"/>
    <w:rsid w:val="00AB6F27"/>
    <w:rsid w:val="00AB6FDC"/>
    <w:rsid w:val="00AB7102"/>
    <w:rsid w:val="00AB7131"/>
    <w:rsid w:val="00AB7494"/>
    <w:rsid w:val="00AB752F"/>
    <w:rsid w:val="00AB75C7"/>
    <w:rsid w:val="00AB7624"/>
    <w:rsid w:val="00AB773F"/>
    <w:rsid w:val="00AB787D"/>
    <w:rsid w:val="00AB7AFC"/>
    <w:rsid w:val="00AC00F8"/>
    <w:rsid w:val="00AC0487"/>
    <w:rsid w:val="00AC0493"/>
    <w:rsid w:val="00AC06DB"/>
    <w:rsid w:val="00AC0A26"/>
    <w:rsid w:val="00AC0AA2"/>
    <w:rsid w:val="00AC1223"/>
    <w:rsid w:val="00AC124C"/>
    <w:rsid w:val="00AC1414"/>
    <w:rsid w:val="00AC17B4"/>
    <w:rsid w:val="00AC1AA6"/>
    <w:rsid w:val="00AC1CBE"/>
    <w:rsid w:val="00AC225B"/>
    <w:rsid w:val="00AC22C1"/>
    <w:rsid w:val="00AC22C9"/>
    <w:rsid w:val="00AC239D"/>
    <w:rsid w:val="00AC240C"/>
    <w:rsid w:val="00AC24F7"/>
    <w:rsid w:val="00AC2775"/>
    <w:rsid w:val="00AC27DA"/>
    <w:rsid w:val="00AC2AC6"/>
    <w:rsid w:val="00AC2AE8"/>
    <w:rsid w:val="00AC2B1D"/>
    <w:rsid w:val="00AC2C59"/>
    <w:rsid w:val="00AC2DD3"/>
    <w:rsid w:val="00AC2EAF"/>
    <w:rsid w:val="00AC3070"/>
    <w:rsid w:val="00AC3196"/>
    <w:rsid w:val="00AC34F2"/>
    <w:rsid w:val="00AC39A6"/>
    <w:rsid w:val="00AC39E4"/>
    <w:rsid w:val="00AC39EB"/>
    <w:rsid w:val="00AC3A0E"/>
    <w:rsid w:val="00AC3A15"/>
    <w:rsid w:val="00AC3C84"/>
    <w:rsid w:val="00AC3DF6"/>
    <w:rsid w:val="00AC3FE7"/>
    <w:rsid w:val="00AC4065"/>
    <w:rsid w:val="00AC40B5"/>
    <w:rsid w:val="00AC425F"/>
    <w:rsid w:val="00AC4261"/>
    <w:rsid w:val="00AC42C1"/>
    <w:rsid w:val="00AC43DC"/>
    <w:rsid w:val="00AC4774"/>
    <w:rsid w:val="00AC4868"/>
    <w:rsid w:val="00AC4A28"/>
    <w:rsid w:val="00AC4D6E"/>
    <w:rsid w:val="00AC4F48"/>
    <w:rsid w:val="00AC4F9A"/>
    <w:rsid w:val="00AC522A"/>
    <w:rsid w:val="00AC52BB"/>
    <w:rsid w:val="00AC544C"/>
    <w:rsid w:val="00AC544E"/>
    <w:rsid w:val="00AC56D7"/>
    <w:rsid w:val="00AC599A"/>
    <w:rsid w:val="00AC5CD0"/>
    <w:rsid w:val="00AC5D14"/>
    <w:rsid w:val="00AC5E91"/>
    <w:rsid w:val="00AC5FFB"/>
    <w:rsid w:val="00AC6050"/>
    <w:rsid w:val="00AC613D"/>
    <w:rsid w:val="00AC625F"/>
    <w:rsid w:val="00AC62C1"/>
    <w:rsid w:val="00AC6549"/>
    <w:rsid w:val="00AC659F"/>
    <w:rsid w:val="00AC65CC"/>
    <w:rsid w:val="00AC6674"/>
    <w:rsid w:val="00AC6CB0"/>
    <w:rsid w:val="00AC6E57"/>
    <w:rsid w:val="00AC6F42"/>
    <w:rsid w:val="00AC70EA"/>
    <w:rsid w:val="00AC7190"/>
    <w:rsid w:val="00AC7554"/>
    <w:rsid w:val="00AC75E2"/>
    <w:rsid w:val="00AC7DF1"/>
    <w:rsid w:val="00AC7FDF"/>
    <w:rsid w:val="00AD027A"/>
    <w:rsid w:val="00AD0531"/>
    <w:rsid w:val="00AD07AE"/>
    <w:rsid w:val="00AD09AC"/>
    <w:rsid w:val="00AD0D52"/>
    <w:rsid w:val="00AD0E64"/>
    <w:rsid w:val="00AD0F22"/>
    <w:rsid w:val="00AD0FF4"/>
    <w:rsid w:val="00AD12E1"/>
    <w:rsid w:val="00AD146C"/>
    <w:rsid w:val="00AD1486"/>
    <w:rsid w:val="00AD16B3"/>
    <w:rsid w:val="00AD18FE"/>
    <w:rsid w:val="00AD199B"/>
    <w:rsid w:val="00AD19D8"/>
    <w:rsid w:val="00AD1B9F"/>
    <w:rsid w:val="00AD205D"/>
    <w:rsid w:val="00AD2118"/>
    <w:rsid w:val="00AD25B9"/>
    <w:rsid w:val="00AD25D6"/>
    <w:rsid w:val="00AD2678"/>
    <w:rsid w:val="00AD26AF"/>
    <w:rsid w:val="00AD2815"/>
    <w:rsid w:val="00AD2844"/>
    <w:rsid w:val="00AD2A72"/>
    <w:rsid w:val="00AD2CCF"/>
    <w:rsid w:val="00AD2EB6"/>
    <w:rsid w:val="00AD2ECA"/>
    <w:rsid w:val="00AD2F23"/>
    <w:rsid w:val="00AD3130"/>
    <w:rsid w:val="00AD3C7E"/>
    <w:rsid w:val="00AD3C8E"/>
    <w:rsid w:val="00AD3C8F"/>
    <w:rsid w:val="00AD3DD3"/>
    <w:rsid w:val="00AD3FC0"/>
    <w:rsid w:val="00AD40E1"/>
    <w:rsid w:val="00AD423D"/>
    <w:rsid w:val="00AD44F4"/>
    <w:rsid w:val="00AD451D"/>
    <w:rsid w:val="00AD463D"/>
    <w:rsid w:val="00AD468A"/>
    <w:rsid w:val="00AD46D0"/>
    <w:rsid w:val="00AD471B"/>
    <w:rsid w:val="00AD4860"/>
    <w:rsid w:val="00AD49C2"/>
    <w:rsid w:val="00AD4AC8"/>
    <w:rsid w:val="00AD4BA7"/>
    <w:rsid w:val="00AD4C67"/>
    <w:rsid w:val="00AD4E9D"/>
    <w:rsid w:val="00AD53C2"/>
    <w:rsid w:val="00AD55AD"/>
    <w:rsid w:val="00AD59A5"/>
    <w:rsid w:val="00AD5AEA"/>
    <w:rsid w:val="00AD5B33"/>
    <w:rsid w:val="00AD5B48"/>
    <w:rsid w:val="00AD5D2C"/>
    <w:rsid w:val="00AD5FB7"/>
    <w:rsid w:val="00AD5FBB"/>
    <w:rsid w:val="00AD5FE3"/>
    <w:rsid w:val="00AD64E4"/>
    <w:rsid w:val="00AD683C"/>
    <w:rsid w:val="00AD68B9"/>
    <w:rsid w:val="00AD68D5"/>
    <w:rsid w:val="00AD6ABB"/>
    <w:rsid w:val="00AD6ACE"/>
    <w:rsid w:val="00AD6B2C"/>
    <w:rsid w:val="00AD6C32"/>
    <w:rsid w:val="00AD6DEA"/>
    <w:rsid w:val="00AD6EDF"/>
    <w:rsid w:val="00AD718C"/>
    <w:rsid w:val="00AD71CE"/>
    <w:rsid w:val="00AD7316"/>
    <w:rsid w:val="00AD751B"/>
    <w:rsid w:val="00AD7644"/>
    <w:rsid w:val="00AD772A"/>
    <w:rsid w:val="00AD7966"/>
    <w:rsid w:val="00AD7C16"/>
    <w:rsid w:val="00AD7FCF"/>
    <w:rsid w:val="00AE0190"/>
    <w:rsid w:val="00AE025A"/>
    <w:rsid w:val="00AE02D5"/>
    <w:rsid w:val="00AE034A"/>
    <w:rsid w:val="00AE03AC"/>
    <w:rsid w:val="00AE0678"/>
    <w:rsid w:val="00AE06F2"/>
    <w:rsid w:val="00AE0827"/>
    <w:rsid w:val="00AE08C7"/>
    <w:rsid w:val="00AE09B4"/>
    <w:rsid w:val="00AE0AB2"/>
    <w:rsid w:val="00AE0ADA"/>
    <w:rsid w:val="00AE0B1C"/>
    <w:rsid w:val="00AE0EC1"/>
    <w:rsid w:val="00AE1089"/>
    <w:rsid w:val="00AE148F"/>
    <w:rsid w:val="00AE14A9"/>
    <w:rsid w:val="00AE15A1"/>
    <w:rsid w:val="00AE161A"/>
    <w:rsid w:val="00AE16EB"/>
    <w:rsid w:val="00AE1781"/>
    <w:rsid w:val="00AE1991"/>
    <w:rsid w:val="00AE1AFA"/>
    <w:rsid w:val="00AE1B02"/>
    <w:rsid w:val="00AE1B4E"/>
    <w:rsid w:val="00AE1B73"/>
    <w:rsid w:val="00AE2085"/>
    <w:rsid w:val="00AE20EB"/>
    <w:rsid w:val="00AE2283"/>
    <w:rsid w:val="00AE23CF"/>
    <w:rsid w:val="00AE2400"/>
    <w:rsid w:val="00AE2490"/>
    <w:rsid w:val="00AE24A1"/>
    <w:rsid w:val="00AE2713"/>
    <w:rsid w:val="00AE271E"/>
    <w:rsid w:val="00AE279D"/>
    <w:rsid w:val="00AE2BA6"/>
    <w:rsid w:val="00AE2CA5"/>
    <w:rsid w:val="00AE2F90"/>
    <w:rsid w:val="00AE35A4"/>
    <w:rsid w:val="00AE36F8"/>
    <w:rsid w:val="00AE3884"/>
    <w:rsid w:val="00AE40AD"/>
    <w:rsid w:val="00AE4162"/>
    <w:rsid w:val="00AE42F5"/>
    <w:rsid w:val="00AE43A3"/>
    <w:rsid w:val="00AE4758"/>
    <w:rsid w:val="00AE47EA"/>
    <w:rsid w:val="00AE4939"/>
    <w:rsid w:val="00AE49C0"/>
    <w:rsid w:val="00AE4B20"/>
    <w:rsid w:val="00AE4EF5"/>
    <w:rsid w:val="00AE500E"/>
    <w:rsid w:val="00AE5249"/>
    <w:rsid w:val="00AE5368"/>
    <w:rsid w:val="00AE5548"/>
    <w:rsid w:val="00AE5D60"/>
    <w:rsid w:val="00AE60CF"/>
    <w:rsid w:val="00AE6108"/>
    <w:rsid w:val="00AE628A"/>
    <w:rsid w:val="00AE64D0"/>
    <w:rsid w:val="00AE669D"/>
    <w:rsid w:val="00AE66B6"/>
    <w:rsid w:val="00AE67BD"/>
    <w:rsid w:val="00AE68F8"/>
    <w:rsid w:val="00AE69F7"/>
    <w:rsid w:val="00AE71E8"/>
    <w:rsid w:val="00AE723B"/>
    <w:rsid w:val="00AE72A8"/>
    <w:rsid w:val="00AE72C4"/>
    <w:rsid w:val="00AE737A"/>
    <w:rsid w:val="00AE7807"/>
    <w:rsid w:val="00AE7835"/>
    <w:rsid w:val="00AE7BBA"/>
    <w:rsid w:val="00AE7DB5"/>
    <w:rsid w:val="00AE7E15"/>
    <w:rsid w:val="00AE7E4B"/>
    <w:rsid w:val="00AE7F9E"/>
    <w:rsid w:val="00AF0478"/>
    <w:rsid w:val="00AF04AB"/>
    <w:rsid w:val="00AF05B7"/>
    <w:rsid w:val="00AF06A5"/>
    <w:rsid w:val="00AF0C65"/>
    <w:rsid w:val="00AF0ED9"/>
    <w:rsid w:val="00AF14F1"/>
    <w:rsid w:val="00AF18EA"/>
    <w:rsid w:val="00AF1A27"/>
    <w:rsid w:val="00AF1B39"/>
    <w:rsid w:val="00AF1C82"/>
    <w:rsid w:val="00AF1EE1"/>
    <w:rsid w:val="00AF2045"/>
    <w:rsid w:val="00AF22BB"/>
    <w:rsid w:val="00AF24A0"/>
    <w:rsid w:val="00AF268E"/>
    <w:rsid w:val="00AF26A5"/>
    <w:rsid w:val="00AF272B"/>
    <w:rsid w:val="00AF278F"/>
    <w:rsid w:val="00AF2D3E"/>
    <w:rsid w:val="00AF2F06"/>
    <w:rsid w:val="00AF2F82"/>
    <w:rsid w:val="00AF2FB8"/>
    <w:rsid w:val="00AF3313"/>
    <w:rsid w:val="00AF3607"/>
    <w:rsid w:val="00AF36FC"/>
    <w:rsid w:val="00AF3BA2"/>
    <w:rsid w:val="00AF418B"/>
    <w:rsid w:val="00AF43A9"/>
    <w:rsid w:val="00AF43B0"/>
    <w:rsid w:val="00AF4AA2"/>
    <w:rsid w:val="00AF4BC9"/>
    <w:rsid w:val="00AF4CB0"/>
    <w:rsid w:val="00AF4D7A"/>
    <w:rsid w:val="00AF4EE6"/>
    <w:rsid w:val="00AF52EB"/>
    <w:rsid w:val="00AF5313"/>
    <w:rsid w:val="00AF54C6"/>
    <w:rsid w:val="00AF5736"/>
    <w:rsid w:val="00AF574F"/>
    <w:rsid w:val="00AF5815"/>
    <w:rsid w:val="00AF58CE"/>
    <w:rsid w:val="00AF5966"/>
    <w:rsid w:val="00AF5A0A"/>
    <w:rsid w:val="00AF5A32"/>
    <w:rsid w:val="00AF5A87"/>
    <w:rsid w:val="00AF5B69"/>
    <w:rsid w:val="00AF5CD6"/>
    <w:rsid w:val="00AF5E48"/>
    <w:rsid w:val="00AF5E7A"/>
    <w:rsid w:val="00AF5F5E"/>
    <w:rsid w:val="00AF609D"/>
    <w:rsid w:val="00AF6121"/>
    <w:rsid w:val="00AF621D"/>
    <w:rsid w:val="00AF6255"/>
    <w:rsid w:val="00AF6635"/>
    <w:rsid w:val="00AF69BC"/>
    <w:rsid w:val="00AF69CE"/>
    <w:rsid w:val="00AF6B93"/>
    <w:rsid w:val="00AF6F74"/>
    <w:rsid w:val="00AF7424"/>
    <w:rsid w:val="00AF7525"/>
    <w:rsid w:val="00AF76BF"/>
    <w:rsid w:val="00AF784A"/>
    <w:rsid w:val="00AF7AEC"/>
    <w:rsid w:val="00AF7BFA"/>
    <w:rsid w:val="00B00208"/>
    <w:rsid w:val="00B00359"/>
    <w:rsid w:val="00B004C6"/>
    <w:rsid w:val="00B00550"/>
    <w:rsid w:val="00B00941"/>
    <w:rsid w:val="00B009B2"/>
    <w:rsid w:val="00B009C3"/>
    <w:rsid w:val="00B009DE"/>
    <w:rsid w:val="00B009F7"/>
    <w:rsid w:val="00B00ACE"/>
    <w:rsid w:val="00B00B3B"/>
    <w:rsid w:val="00B01023"/>
    <w:rsid w:val="00B0124D"/>
    <w:rsid w:val="00B013EC"/>
    <w:rsid w:val="00B0149F"/>
    <w:rsid w:val="00B01991"/>
    <w:rsid w:val="00B01BCA"/>
    <w:rsid w:val="00B01FA2"/>
    <w:rsid w:val="00B0228C"/>
    <w:rsid w:val="00B02393"/>
    <w:rsid w:val="00B0269E"/>
    <w:rsid w:val="00B02867"/>
    <w:rsid w:val="00B02DEA"/>
    <w:rsid w:val="00B0308E"/>
    <w:rsid w:val="00B0336C"/>
    <w:rsid w:val="00B033EF"/>
    <w:rsid w:val="00B03403"/>
    <w:rsid w:val="00B034B7"/>
    <w:rsid w:val="00B034BC"/>
    <w:rsid w:val="00B034CD"/>
    <w:rsid w:val="00B03550"/>
    <w:rsid w:val="00B035C6"/>
    <w:rsid w:val="00B03638"/>
    <w:rsid w:val="00B03768"/>
    <w:rsid w:val="00B037CD"/>
    <w:rsid w:val="00B039D9"/>
    <w:rsid w:val="00B03A6D"/>
    <w:rsid w:val="00B03BF7"/>
    <w:rsid w:val="00B03DD6"/>
    <w:rsid w:val="00B0408D"/>
    <w:rsid w:val="00B041D7"/>
    <w:rsid w:val="00B0445A"/>
    <w:rsid w:val="00B0486F"/>
    <w:rsid w:val="00B04C65"/>
    <w:rsid w:val="00B04D77"/>
    <w:rsid w:val="00B04F54"/>
    <w:rsid w:val="00B04FC1"/>
    <w:rsid w:val="00B053DB"/>
    <w:rsid w:val="00B053EA"/>
    <w:rsid w:val="00B05710"/>
    <w:rsid w:val="00B05B41"/>
    <w:rsid w:val="00B05B4B"/>
    <w:rsid w:val="00B05BAF"/>
    <w:rsid w:val="00B05E7B"/>
    <w:rsid w:val="00B05F55"/>
    <w:rsid w:val="00B05F58"/>
    <w:rsid w:val="00B0602F"/>
    <w:rsid w:val="00B0627A"/>
    <w:rsid w:val="00B064C5"/>
    <w:rsid w:val="00B0688F"/>
    <w:rsid w:val="00B069FE"/>
    <w:rsid w:val="00B06ADF"/>
    <w:rsid w:val="00B06B99"/>
    <w:rsid w:val="00B06D90"/>
    <w:rsid w:val="00B06F37"/>
    <w:rsid w:val="00B07031"/>
    <w:rsid w:val="00B071AB"/>
    <w:rsid w:val="00B07494"/>
    <w:rsid w:val="00B078D8"/>
    <w:rsid w:val="00B07A8F"/>
    <w:rsid w:val="00B07B5C"/>
    <w:rsid w:val="00B07C94"/>
    <w:rsid w:val="00B07D0F"/>
    <w:rsid w:val="00B07ED5"/>
    <w:rsid w:val="00B07EEB"/>
    <w:rsid w:val="00B07F6C"/>
    <w:rsid w:val="00B10349"/>
    <w:rsid w:val="00B1044F"/>
    <w:rsid w:val="00B109C7"/>
    <w:rsid w:val="00B10B5A"/>
    <w:rsid w:val="00B10BFE"/>
    <w:rsid w:val="00B10D16"/>
    <w:rsid w:val="00B11057"/>
    <w:rsid w:val="00B11425"/>
    <w:rsid w:val="00B115D7"/>
    <w:rsid w:val="00B11B7C"/>
    <w:rsid w:val="00B11C97"/>
    <w:rsid w:val="00B11F4B"/>
    <w:rsid w:val="00B121D6"/>
    <w:rsid w:val="00B12206"/>
    <w:rsid w:val="00B12400"/>
    <w:rsid w:val="00B1255C"/>
    <w:rsid w:val="00B12671"/>
    <w:rsid w:val="00B1272C"/>
    <w:rsid w:val="00B127A6"/>
    <w:rsid w:val="00B12E7F"/>
    <w:rsid w:val="00B12FA8"/>
    <w:rsid w:val="00B13437"/>
    <w:rsid w:val="00B1343B"/>
    <w:rsid w:val="00B13458"/>
    <w:rsid w:val="00B134B9"/>
    <w:rsid w:val="00B13695"/>
    <w:rsid w:val="00B1377F"/>
    <w:rsid w:val="00B13858"/>
    <w:rsid w:val="00B139DB"/>
    <w:rsid w:val="00B13E29"/>
    <w:rsid w:val="00B13E45"/>
    <w:rsid w:val="00B13FA6"/>
    <w:rsid w:val="00B142A1"/>
    <w:rsid w:val="00B147D5"/>
    <w:rsid w:val="00B14C1A"/>
    <w:rsid w:val="00B14C49"/>
    <w:rsid w:val="00B14E9B"/>
    <w:rsid w:val="00B14EAA"/>
    <w:rsid w:val="00B15141"/>
    <w:rsid w:val="00B153D5"/>
    <w:rsid w:val="00B15880"/>
    <w:rsid w:val="00B15930"/>
    <w:rsid w:val="00B15971"/>
    <w:rsid w:val="00B15B29"/>
    <w:rsid w:val="00B15C90"/>
    <w:rsid w:val="00B15D49"/>
    <w:rsid w:val="00B15DF8"/>
    <w:rsid w:val="00B15E98"/>
    <w:rsid w:val="00B15F1C"/>
    <w:rsid w:val="00B161C9"/>
    <w:rsid w:val="00B161D0"/>
    <w:rsid w:val="00B1658F"/>
    <w:rsid w:val="00B1695C"/>
    <w:rsid w:val="00B16973"/>
    <w:rsid w:val="00B16ABF"/>
    <w:rsid w:val="00B16C71"/>
    <w:rsid w:val="00B16E5E"/>
    <w:rsid w:val="00B16F48"/>
    <w:rsid w:val="00B16FE8"/>
    <w:rsid w:val="00B171A6"/>
    <w:rsid w:val="00B17318"/>
    <w:rsid w:val="00B1735A"/>
    <w:rsid w:val="00B174DE"/>
    <w:rsid w:val="00B17579"/>
    <w:rsid w:val="00B17932"/>
    <w:rsid w:val="00B17A02"/>
    <w:rsid w:val="00B17F1F"/>
    <w:rsid w:val="00B17F22"/>
    <w:rsid w:val="00B20270"/>
    <w:rsid w:val="00B20283"/>
    <w:rsid w:val="00B20296"/>
    <w:rsid w:val="00B20319"/>
    <w:rsid w:val="00B20393"/>
    <w:rsid w:val="00B203E0"/>
    <w:rsid w:val="00B203F8"/>
    <w:rsid w:val="00B20447"/>
    <w:rsid w:val="00B204E8"/>
    <w:rsid w:val="00B20705"/>
    <w:rsid w:val="00B2075A"/>
    <w:rsid w:val="00B209CC"/>
    <w:rsid w:val="00B21440"/>
    <w:rsid w:val="00B214C6"/>
    <w:rsid w:val="00B21880"/>
    <w:rsid w:val="00B21896"/>
    <w:rsid w:val="00B2190F"/>
    <w:rsid w:val="00B21A2C"/>
    <w:rsid w:val="00B21ABB"/>
    <w:rsid w:val="00B21E7E"/>
    <w:rsid w:val="00B21EE9"/>
    <w:rsid w:val="00B21F8A"/>
    <w:rsid w:val="00B22149"/>
    <w:rsid w:val="00B222F4"/>
    <w:rsid w:val="00B22338"/>
    <w:rsid w:val="00B2233C"/>
    <w:rsid w:val="00B225F1"/>
    <w:rsid w:val="00B22947"/>
    <w:rsid w:val="00B229B1"/>
    <w:rsid w:val="00B229BA"/>
    <w:rsid w:val="00B229C5"/>
    <w:rsid w:val="00B22B1F"/>
    <w:rsid w:val="00B22CF7"/>
    <w:rsid w:val="00B22F90"/>
    <w:rsid w:val="00B22FA6"/>
    <w:rsid w:val="00B23033"/>
    <w:rsid w:val="00B23112"/>
    <w:rsid w:val="00B23626"/>
    <w:rsid w:val="00B236DE"/>
    <w:rsid w:val="00B23746"/>
    <w:rsid w:val="00B2388C"/>
    <w:rsid w:val="00B23CC6"/>
    <w:rsid w:val="00B24112"/>
    <w:rsid w:val="00B24285"/>
    <w:rsid w:val="00B24553"/>
    <w:rsid w:val="00B2458E"/>
    <w:rsid w:val="00B248C2"/>
    <w:rsid w:val="00B248F4"/>
    <w:rsid w:val="00B24A86"/>
    <w:rsid w:val="00B24F1B"/>
    <w:rsid w:val="00B24F71"/>
    <w:rsid w:val="00B2525F"/>
    <w:rsid w:val="00B255F3"/>
    <w:rsid w:val="00B256D5"/>
    <w:rsid w:val="00B25928"/>
    <w:rsid w:val="00B25AA7"/>
    <w:rsid w:val="00B25AE3"/>
    <w:rsid w:val="00B25B57"/>
    <w:rsid w:val="00B25D71"/>
    <w:rsid w:val="00B25E2B"/>
    <w:rsid w:val="00B25F32"/>
    <w:rsid w:val="00B25FC9"/>
    <w:rsid w:val="00B25FF8"/>
    <w:rsid w:val="00B26185"/>
    <w:rsid w:val="00B2688E"/>
    <w:rsid w:val="00B26944"/>
    <w:rsid w:val="00B26AA0"/>
    <w:rsid w:val="00B26B15"/>
    <w:rsid w:val="00B26CFC"/>
    <w:rsid w:val="00B26F83"/>
    <w:rsid w:val="00B26F93"/>
    <w:rsid w:val="00B27253"/>
    <w:rsid w:val="00B27360"/>
    <w:rsid w:val="00B27893"/>
    <w:rsid w:val="00B279D3"/>
    <w:rsid w:val="00B27B70"/>
    <w:rsid w:val="00B27CAE"/>
    <w:rsid w:val="00B27D47"/>
    <w:rsid w:val="00B27F1D"/>
    <w:rsid w:val="00B27FF2"/>
    <w:rsid w:val="00B27FFA"/>
    <w:rsid w:val="00B3005E"/>
    <w:rsid w:val="00B3016B"/>
    <w:rsid w:val="00B30422"/>
    <w:rsid w:val="00B3072D"/>
    <w:rsid w:val="00B30802"/>
    <w:rsid w:val="00B30819"/>
    <w:rsid w:val="00B30835"/>
    <w:rsid w:val="00B308A8"/>
    <w:rsid w:val="00B30944"/>
    <w:rsid w:val="00B30A05"/>
    <w:rsid w:val="00B30CB9"/>
    <w:rsid w:val="00B30DB0"/>
    <w:rsid w:val="00B31154"/>
    <w:rsid w:val="00B3142A"/>
    <w:rsid w:val="00B3155C"/>
    <w:rsid w:val="00B31615"/>
    <w:rsid w:val="00B318F0"/>
    <w:rsid w:val="00B319AB"/>
    <w:rsid w:val="00B31A6E"/>
    <w:rsid w:val="00B31AF6"/>
    <w:rsid w:val="00B31B5B"/>
    <w:rsid w:val="00B31CB3"/>
    <w:rsid w:val="00B31E67"/>
    <w:rsid w:val="00B31FB2"/>
    <w:rsid w:val="00B31FFA"/>
    <w:rsid w:val="00B32358"/>
    <w:rsid w:val="00B32549"/>
    <w:rsid w:val="00B3287B"/>
    <w:rsid w:val="00B32D6B"/>
    <w:rsid w:val="00B32D89"/>
    <w:rsid w:val="00B32E67"/>
    <w:rsid w:val="00B33014"/>
    <w:rsid w:val="00B3315F"/>
    <w:rsid w:val="00B3337E"/>
    <w:rsid w:val="00B33458"/>
    <w:rsid w:val="00B335DD"/>
    <w:rsid w:val="00B335DF"/>
    <w:rsid w:val="00B3377F"/>
    <w:rsid w:val="00B33D97"/>
    <w:rsid w:val="00B33DC8"/>
    <w:rsid w:val="00B340EE"/>
    <w:rsid w:val="00B341B8"/>
    <w:rsid w:val="00B342E0"/>
    <w:rsid w:val="00B347BB"/>
    <w:rsid w:val="00B34919"/>
    <w:rsid w:val="00B34BD4"/>
    <w:rsid w:val="00B34C15"/>
    <w:rsid w:val="00B34CA3"/>
    <w:rsid w:val="00B34EB7"/>
    <w:rsid w:val="00B34FD2"/>
    <w:rsid w:val="00B34FEA"/>
    <w:rsid w:val="00B35117"/>
    <w:rsid w:val="00B35398"/>
    <w:rsid w:val="00B35689"/>
    <w:rsid w:val="00B357B5"/>
    <w:rsid w:val="00B35800"/>
    <w:rsid w:val="00B3583B"/>
    <w:rsid w:val="00B35983"/>
    <w:rsid w:val="00B35A83"/>
    <w:rsid w:val="00B35ACB"/>
    <w:rsid w:val="00B35F48"/>
    <w:rsid w:val="00B36257"/>
    <w:rsid w:val="00B3639B"/>
    <w:rsid w:val="00B364AB"/>
    <w:rsid w:val="00B364E2"/>
    <w:rsid w:val="00B3676D"/>
    <w:rsid w:val="00B367EE"/>
    <w:rsid w:val="00B3681A"/>
    <w:rsid w:val="00B369BE"/>
    <w:rsid w:val="00B36ACE"/>
    <w:rsid w:val="00B36C6C"/>
    <w:rsid w:val="00B36D73"/>
    <w:rsid w:val="00B36DEF"/>
    <w:rsid w:val="00B36F11"/>
    <w:rsid w:val="00B36F80"/>
    <w:rsid w:val="00B3704D"/>
    <w:rsid w:val="00B373DA"/>
    <w:rsid w:val="00B3768A"/>
    <w:rsid w:val="00B376E5"/>
    <w:rsid w:val="00B37808"/>
    <w:rsid w:val="00B37922"/>
    <w:rsid w:val="00B37A58"/>
    <w:rsid w:val="00B37A8F"/>
    <w:rsid w:val="00B37ADA"/>
    <w:rsid w:val="00B37B76"/>
    <w:rsid w:val="00B37C08"/>
    <w:rsid w:val="00B37CB7"/>
    <w:rsid w:val="00B37D5A"/>
    <w:rsid w:val="00B4028E"/>
    <w:rsid w:val="00B40430"/>
    <w:rsid w:val="00B40480"/>
    <w:rsid w:val="00B40520"/>
    <w:rsid w:val="00B405A2"/>
    <w:rsid w:val="00B4080E"/>
    <w:rsid w:val="00B40B05"/>
    <w:rsid w:val="00B40E5A"/>
    <w:rsid w:val="00B4161A"/>
    <w:rsid w:val="00B41875"/>
    <w:rsid w:val="00B418B7"/>
    <w:rsid w:val="00B418FE"/>
    <w:rsid w:val="00B41B27"/>
    <w:rsid w:val="00B41D28"/>
    <w:rsid w:val="00B41E47"/>
    <w:rsid w:val="00B41E5E"/>
    <w:rsid w:val="00B41E75"/>
    <w:rsid w:val="00B41F30"/>
    <w:rsid w:val="00B42128"/>
    <w:rsid w:val="00B42269"/>
    <w:rsid w:val="00B42455"/>
    <w:rsid w:val="00B42492"/>
    <w:rsid w:val="00B42639"/>
    <w:rsid w:val="00B42B05"/>
    <w:rsid w:val="00B42C0F"/>
    <w:rsid w:val="00B42D5A"/>
    <w:rsid w:val="00B42F1C"/>
    <w:rsid w:val="00B42FE4"/>
    <w:rsid w:val="00B4303A"/>
    <w:rsid w:val="00B43321"/>
    <w:rsid w:val="00B43389"/>
    <w:rsid w:val="00B43715"/>
    <w:rsid w:val="00B43B54"/>
    <w:rsid w:val="00B43BCE"/>
    <w:rsid w:val="00B43CD1"/>
    <w:rsid w:val="00B43D6E"/>
    <w:rsid w:val="00B43DAC"/>
    <w:rsid w:val="00B43FE7"/>
    <w:rsid w:val="00B441BA"/>
    <w:rsid w:val="00B4435E"/>
    <w:rsid w:val="00B4444F"/>
    <w:rsid w:val="00B44802"/>
    <w:rsid w:val="00B451ED"/>
    <w:rsid w:val="00B45484"/>
    <w:rsid w:val="00B45547"/>
    <w:rsid w:val="00B45571"/>
    <w:rsid w:val="00B457C0"/>
    <w:rsid w:val="00B4598D"/>
    <w:rsid w:val="00B459C8"/>
    <w:rsid w:val="00B45A7F"/>
    <w:rsid w:val="00B45D7A"/>
    <w:rsid w:val="00B45FE2"/>
    <w:rsid w:val="00B460A2"/>
    <w:rsid w:val="00B46503"/>
    <w:rsid w:val="00B466E3"/>
    <w:rsid w:val="00B467E1"/>
    <w:rsid w:val="00B46837"/>
    <w:rsid w:val="00B468B3"/>
    <w:rsid w:val="00B46AC0"/>
    <w:rsid w:val="00B46D07"/>
    <w:rsid w:val="00B46D64"/>
    <w:rsid w:val="00B46D72"/>
    <w:rsid w:val="00B46EC3"/>
    <w:rsid w:val="00B473C0"/>
    <w:rsid w:val="00B473E3"/>
    <w:rsid w:val="00B47508"/>
    <w:rsid w:val="00B476BE"/>
    <w:rsid w:val="00B47712"/>
    <w:rsid w:val="00B477D5"/>
    <w:rsid w:val="00B477E5"/>
    <w:rsid w:val="00B4794F"/>
    <w:rsid w:val="00B47A00"/>
    <w:rsid w:val="00B47A37"/>
    <w:rsid w:val="00B47ACC"/>
    <w:rsid w:val="00B47B24"/>
    <w:rsid w:val="00B47BDE"/>
    <w:rsid w:val="00B47EC5"/>
    <w:rsid w:val="00B5012C"/>
    <w:rsid w:val="00B507F8"/>
    <w:rsid w:val="00B50ADD"/>
    <w:rsid w:val="00B50D82"/>
    <w:rsid w:val="00B5104F"/>
    <w:rsid w:val="00B510F0"/>
    <w:rsid w:val="00B511D8"/>
    <w:rsid w:val="00B51309"/>
    <w:rsid w:val="00B51751"/>
    <w:rsid w:val="00B51A6F"/>
    <w:rsid w:val="00B51CF6"/>
    <w:rsid w:val="00B51E18"/>
    <w:rsid w:val="00B51FE9"/>
    <w:rsid w:val="00B525F9"/>
    <w:rsid w:val="00B52778"/>
    <w:rsid w:val="00B5279A"/>
    <w:rsid w:val="00B5284F"/>
    <w:rsid w:val="00B529BA"/>
    <w:rsid w:val="00B529CF"/>
    <w:rsid w:val="00B52A1D"/>
    <w:rsid w:val="00B52C66"/>
    <w:rsid w:val="00B52D8F"/>
    <w:rsid w:val="00B52DD3"/>
    <w:rsid w:val="00B52ECE"/>
    <w:rsid w:val="00B53147"/>
    <w:rsid w:val="00B533FC"/>
    <w:rsid w:val="00B53526"/>
    <w:rsid w:val="00B5364C"/>
    <w:rsid w:val="00B5382E"/>
    <w:rsid w:val="00B53A91"/>
    <w:rsid w:val="00B53C36"/>
    <w:rsid w:val="00B53D7A"/>
    <w:rsid w:val="00B53E8C"/>
    <w:rsid w:val="00B53EC9"/>
    <w:rsid w:val="00B54465"/>
    <w:rsid w:val="00B5455B"/>
    <w:rsid w:val="00B5455E"/>
    <w:rsid w:val="00B54858"/>
    <w:rsid w:val="00B54859"/>
    <w:rsid w:val="00B549EB"/>
    <w:rsid w:val="00B54C0F"/>
    <w:rsid w:val="00B54FDF"/>
    <w:rsid w:val="00B55252"/>
    <w:rsid w:val="00B552F0"/>
    <w:rsid w:val="00B55571"/>
    <w:rsid w:val="00B55A4D"/>
    <w:rsid w:val="00B55B04"/>
    <w:rsid w:val="00B55BA7"/>
    <w:rsid w:val="00B55CD6"/>
    <w:rsid w:val="00B55D6D"/>
    <w:rsid w:val="00B55E1A"/>
    <w:rsid w:val="00B55FA8"/>
    <w:rsid w:val="00B561B5"/>
    <w:rsid w:val="00B562B1"/>
    <w:rsid w:val="00B564B1"/>
    <w:rsid w:val="00B566F7"/>
    <w:rsid w:val="00B56766"/>
    <w:rsid w:val="00B56834"/>
    <w:rsid w:val="00B56891"/>
    <w:rsid w:val="00B56AEC"/>
    <w:rsid w:val="00B56B63"/>
    <w:rsid w:val="00B56CA1"/>
    <w:rsid w:val="00B56D12"/>
    <w:rsid w:val="00B56F51"/>
    <w:rsid w:val="00B57294"/>
    <w:rsid w:val="00B576E9"/>
    <w:rsid w:val="00B577CB"/>
    <w:rsid w:val="00B57916"/>
    <w:rsid w:val="00B579EF"/>
    <w:rsid w:val="00B57A76"/>
    <w:rsid w:val="00B57AA7"/>
    <w:rsid w:val="00B57B00"/>
    <w:rsid w:val="00B57B27"/>
    <w:rsid w:val="00B57B2C"/>
    <w:rsid w:val="00B57B97"/>
    <w:rsid w:val="00B57BE9"/>
    <w:rsid w:val="00B57CEE"/>
    <w:rsid w:val="00B57FCF"/>
    <w:rsid w:val="00B60079"/>
    <w:rsid w:val="00B60277"/>
    <w:rsid w:val="00B603E5"/>
    <w:rsid w:val="00B60715"/>
    <w:rsid w:val="00B60754"/>
    <w:rsid w:val="00B608DE"/>
    <w:rsid w:val="00B60910"/>
    <w:rsid w:val="00B6095B"/>
    <w:rsid w:val="00B60A08"/>
    <w:rsid w:val="00B60BDC"/>
    <w:rsid w:val="00B60C8F"/>
    <w:rsid w:val="00B60CAB"/>
    <w:rsid w:val="00B60CFC"/>
    <w:rsid w:val="00B60EEC"/>
    <w:rsid w:val="00B6124C"/>
    <w:rsid w:val="00B61257"/>
    <w:rsid w:val="00B61616"/>
    <w:rsid w:val="00B616B9"/>
    <w:rsid w:val="00B61782"/>
    <w:rsid w:val="00B61A10"/>
    <w:rsid w:val="00B61B8B"/>
    <w:rsid w:val="00B61CEE"/>
    <w:rsid w:val="00B61DD4"/>
    <w:rsid w:val="00B61F39"/>
    <w:rsid w:val="00B620AD"/>
    <w:rsid w:val="00B62376"/>
    <w:rsid w:val="00B62795"/>
    <w:rsid w:val="00B628EB"/>
    <w:rsid w:val="00B629DB"/>
    <w:rsid w:val="00B62CBD"/>
    <w:rsid w:val="00B62DD7"/>
    <w:rsid w:val="00B63399"/>
    <w:rsid w:val="00B6393C"/>
    <w:rsid w:val="00B63D6B"/>
    <w:rsid w:val="00B6407D"/>
    <w:rsid w:val="00B642DC"/>
    <w:rsid w:val="00B644FB"/>
    <w:rsid w:val="00B64697"/>
    <w:rsid w:val="00B64715"/>
    <w:rsid w:val="00B64B3C"/>
    <w:rsid w:val="00B64F07"/>
    <w:rsid w:val="00B65098"/>
    <w:rsid w:val="00B652E5"/>
    <w:rsid w:val="00B65347"/>
    <w:rsid w:val="00B655C7"/>
    <w:rsid w:val="00B65608"/>
    <w:rsid w:val="00B658F1"/>
    <w:rsid w:val="00B6592D"/>
    <w:rsid w:val="00B65A35"/>
    <w:rsid w:val="00B65A69"/>
    <w:rsid w:val="00B65B38"/>
    <w:rsid w:val="00B65C76"/>
    <w:rsid w:val="00B65D32"/>
    <w:rsid w:val="00B65DBD"/>
    <w:rsid w:val="00B65DCC"/>
    <w:rsid w:val="00B65DE1"/>
    <w:rsid w:val="00B662A3"/>
    <w:rsid w:val="00B6641A"/>
    <w:rsid w:val="00B664A3"/>
    <w:rsid w:val="00B664EE"/>
    <w:rsid w:val="00B667A2"/>
    <w:rsid w:val="00B66A25"/>
    <w:rsid w:val="00B66B0B"/>
    <w:rsid w:val="00B66EBD"/>
    <w:rsid w:val="00B66EF3"/>
    <w:rsid w:val="00B67253"/>
    <w:rsid w:val="00B67A75"/>
    <w:rsid w:val="00B7026E"/>
    <w:rsid w:val="00B703D8"/>
    <w:rsid w:val="00B70537"/>
    <w:rsid w:val="00B7055E"/>
    <w:rsid w:val="00B70749"/>
    <w:rsid w:val="00B70800"/>
    <w:rsid w:val="00B709D9"/>
    <w:rsid w:val="00B70AFF"/>
    <w:rsid w:val="00B70D93"/>
    <w:rsid w:val="00B70EA2"/>
    <w:rsid w:val="00B7101B"/>
    <w:rsid w:val="00B71278"/>
    <w:rsid w:val="00B7135D"/>
    <w:rsid w:val="00B714E2"/>
    <w:rsid w:val="00B71568"/>
    <w:rsid w:val="00B71A84"/>
    <w:rsid w:val="00B71B25"/>
    <w:rsid w:val="00B71D99"/>
    <w:rsid w:val="00B71ECA"/>
    <w:rsid w:val="00B721A1"/>
    <w:rsid w:val="00B72349"/>
    <w:rsid w:val="00B723B3"/>
    <w:rsid w:val="00B7246A"/>
    <w:rsid w:val="00B725DB"/>
    <w:rsid w:val="00B7271C"/>
    <w:rsid w:val="00B72823"/>
    <w:rsid w:val="00B729E7"/>
    <w:rsid w:val="00B72AF0"/>
    <w:rsid w:val="00B72B82"/>
    <w:rsid w:val="00B72C50"/>
    <w:rsid w:val="00B72D7D"/>
    <w:rsid w:val="00B734D4"/>
    <w:rsid w:val="00B735C5"/>
    <w:rsid w:val="00B73696"/>
    <w:rsid w:val="00B736A9"/>
    <w:rsid w:val="00B737EB"/>
    <w:rsid w:val="00B739B7"/>
    <w:rsid w:val="00B73C44"/>
    <w:rsid w:val="00B73D87"/>
    <w:rsid w:val="00B7419A"/>
    <w:rsid w:val="00B741C2"/>
    <w:rsid w:val="00B74414"/>
    <w:rsid w:val="00B744B2"/>
    <w:rsid w:val="00B744BC"/>
    <w:rsid w:val="00B7450A"/>
    <w:rsid w:val="00B74780"/>
    <w:rsid w:val="00B747CE"/>
    <w:rsid w:val="00B7492F"/>
    <w:rsid w:val="00B74D5C"/>
    <w:rsid w:val="00B74DC5"/>
    <w:rsid w:val="00B74DD5"/>
    <w:rsid w:val="00B74F51"/>
    <w:rsid w:val="00B7500F"/>
    <w:rsid w:val="00B75059"/>
    <w:rsid w:val="00B75173"/>
    <w:rsid w:val="00B7574E"/>
    <w:rsid w:val="00B7577B"/>
    <w:rsid w:val="00B757C5"/>
    <w:rsid w:val="00B75BE6"/>
    <w:rsid w:val="00B75EC9"/>
    <w:rsid w:val="00B76112"/>
    <w:rsid w:val="00B7641B"/>
    <w:rsid w:val="00B765E4"/>
    <w:rsid w:val="00B76693"/>
    <w:rsid w:val="00B76909"/>
    <w:rsid w:val="00B76943"/>
    <w:rsid w:val="00B76ADA"/>
    <w:rsid w:val="00B76B03"/>
    <w:rsid w:val="00B76F6D"/>
    <w:rsid w:val="00B773EA"/>
    <w:rsid w:val="00B774E7"/>
    <w:rsid w:val="00B77562"/>
    <w:rsid w:val="00B7759A"/>
    <w:rsid w:val="00B775EE"/>
    <w:rsid w:val="00B7769E"/>
    <w:rsid w:val="00B7771B"/>
    <w:rsid w:val="00B77DEE"/>
    <w:rsid w:val="00B77EA7"/>
    <w:rsid w:val="00B80219"/>
    <w:rsid w:val="00B8021D"/>
    <w:rsid w:val="00B80335"/>
    <w:rsid w:val="00B803E2"/>
    <w:rsid w:val="00B804C6"/>
    <w:rsid w:val="00B808CE"/>
    <w:rsid w:val="00B80978"/>
    <w:rsid w:val="00B80A0C"/>
    <w:rsid w:val="00B80AB4"/>
    <w:rsid w:val="00B80C68"/>
    <w:rsid w:val="00B80D39"/>
    <w:rsid w:val="00B80F0C"/>
    <w:rsid w:val="00B8109D"/>
    <w:rsid w:val="00B810DD"/>
    <w:rsid w:val="00B812FB"/>
    <w:rsid w:val="00B81354"/>
    <w:rsid w:val="00B813F5"/>
    <w:rsid w:val="00B8162B"/>
    <w:rsid w:val="00B81694"/>
    <w:rsid w:val="00B8172E"/>
    <w:rsid w:val="00B8180F"/>
    <w:rsid w:val="00B81B2E"/>
    <w:rsid w:val="00B81BE0"/>
    <w:rsid w:val="00B81C33"/>
    <w:rsid w:val="00B823E7"/>
    <w:rsid w:val="00B824E0"/>
    <w:rsid w:val="00B825F2"/>
    <w:rsid w:val="00B829D2"/>
    <w:rsid w:val="00B82B1F"/>
    <w:rsid w:val="00B82D78"/>
    <w:rsid w:val="00B82FE4"/>
    <w:rsid w:val="00B8300D"/>
    <w:rsid w:val="00B8317F"/>
    <w:rsid w:val="00B83280"/>
    <w:rsid w:val="00B8335B"/>
    <w:rsid w:val="00B8336F"/>
    <w:rsid w:val="00B834F0"/>
    <w:rsid w:val="00B835F8"/>
    <w:rsid w:val="00B8398C"/>
    <w:rsid w:val="00B83A80"/>
    <w:rsid w:val="00B83AAB"/>
    <w:rsid w:val="00B84101"/>
    <w:rsid w:val="00B8436B"/>
    <w:rsid w:val="00B8452A"/>
    <w:rsid w:val="00B84558"/>
    <w:rsid w:val="00B845D8"/>
    <w:rsid w:val="00B84760"/>
    <w:rsid w:val="00B847BE"/>
    <w:rsid w:val="00B848A1"/>
    <w:rsid w:val="00B84ED2"/>
    <w:rsid w:val="00B85765"/>
    <w:rsid w:val="00B857CF"/>
    <w:rsid w:val="00B85817"/>
    <w:rsid w:val="00B859D4"/>
    <w:rsid w:val="00B85BE8"/>
    <w:rsid w:val="00B85DCF"/>
    <w:rsid w:val="00B85DDD"/>
    <w:rsid w:val="00B85F4A"/>
    <w:rsid w:val="00B85FE3"/>
    <w:rsid w:val="00B8604C"/>
    <w:rsid w:val="00B86095"/>
    <w:rsid w:val="00B86127"/>
    <w:rsid w:val="00B862A0"/>
    <w:rsid w:val="00B862FE"/>
    <w:rsid w:val="00B86452"/>
    <w:rsid w:val="00B866EE"/>
    <w:rsid w:val="00B86B32"/>
    <w:rsid w:val="00B86F71"/>
    <w:rsid w:val="00B8712F"/>
    <w:rsid w:val="00B873CA"/>
    <w:rsid w:val="00B87443"/>
    <w:rsid w:val="00B8746F"/>
    <w:rsid w:val="00B875CE"/>
    <w:rsid w:val="00B87726"/>
    <w:rsid w:val="00B87795"/>
    <w:rsid w:val="00B87927"/>
    <w:rsid w:val="00B87A77"/>
    <w:rsid w:val="00B903B6"/>
    <w:rsid w:val="00B90410"/>
    <w:rsid w:val="00B90504"/>
    <w:rsid w:val="00B90527"/>
    <w:rsid w:val="00B90897"/>
    <w:rsid w:val="00B90B00"/>
    <w:rsid w:val="00B90B1B"/>
    <w:rsid w:val="00B90CD3"/>
    <w:rsid w:val="00B91182"/>
    <w:rsid w:val="00B91328"/>
    <w:rsid w:val="00B91390"/>
    <w:rsid w:val="00B91604"/>
    <w:rsid w:val="00B91662"/>
    <w:rsid w:val="00B91721"/>
    <w:rsid w:val="00B918E8"/>
    <w:rsid w:val="00B91A02"/>
    <w:rsid w:val="00B91BC0"/>
    <w:rsid w:val="00B91DA5"/>
    <w:rsid w:val="00B91E77"/>
    <w:rsid w:val="00B91F05"/>
    <w:rsid w:val="00B92102"/>
    <w:rsid w:val="00B921A4"/>
    <w:rsid w:val="00B923D9"/>
    <w:rsid w:val="00B92739"/>
    <w:rsid w:val="00B927D8"/>
    <w:rsid w:val="00B929F7"/>
    <w:rsid w:val="00B92A80"/>
    <w:rsid w:val="00B92B05"/>
    <w:rsid w:val="00B92B44"/>
    <w:rsid w:val="00B92BE0"/>
    <w:rsid w:val="00B92F2B"/>
    <w:rsid w:val="00B92F6D"/>
    <w:rsid w:val="00B9304B"/>
    <w:rsid w:val="00B93063"/>
    <w:rsid w:val="00B9306A"/>
    <w:rsid w:val="00B930A0"/>
    <w:rsid w:val="00B9359E"/>
    <w:rsid w:val="00B9373F"/>
    <w:rsid w:val="00B937DE"/>
    <w:rsid w:val="00B93B38"/>
    <w:rsid w:val="00B93C9A"/>
    <w:rsid w:val="00B93DE8"/>
    <w:rsid w:val="00B93E6B"/>
    <w:rsid w:val="00B94336"/>
    <w:rsid w:val="00B94414"/>
    <w:rsid w:val="00B9446C"/>
    <w:rsid w:val="00B94A80"/>
    <w:rsid w:val="00B94DBE"/>
    <w:rsid w:val="00B9507C"/>
    <w:rsid w:val="00B95248"/>
    <w:rsid w:val="00B953D7"/>
    <w:rsid w:val="00B95664"/>
    <w:rsid w:val="00B9592E"/>
    <w:rsid w:val="00B959F7"/>
    <w:rsid w:val="00B95A31"/>
    <w:rsid w:val="00B95BE0"/>
    <w:rsid w:val="00B95E2D"/>
    <w:rsid w:val="00B95E81"/>
    <w:rsid w:val="00B95F6C"/>
    <w:rsid w:val="00B95F98"/>
    <w:rsid w:val="00B96138"/>
    <w:rsid w:val="00B96875"/>
    <w:rsid w:val="00B9698E"/>
    <w:rsid w:val="00B96999"/>
    <w:rsid w:val="00B96A76"/>
    <w:rsid w:val="00B96B6C"/>
    <w:rsid w:val="00B96C24"/>
    <w:rsid w:val="00B96D35"/>
    <w:rsid w:val="00B96F59"/>
    <w:rsid w:val="00B97042"/>
    <w:rsid w:val="00B970C6"/>
    <w:rsid w:val="00B971C6"/>
    <w:rsid w:val="00B97333"/>
    <w:rsid w:val="00B97505"/>
    <w:rsid w:val="00B978AF"/>
    <w:rsid w:val="00B979D7"/>
    <w:rsid w:val="00B97B9F"/>
    <w:rsid w:val="00B97C9E"/>
    <w:rsid w:val="00B97EE4"/>
    <w:rsid w:val="00B97FE7"/>
    <w:rsid w:val="00BA02D7"/>
    <w:rsid w:val="00BA079D"/>
    <w:rsid w:val="00BA07E4"/>
    <w:rsid w:val="00BA0BAB"/>
    <w:rsid w:val="00BA0C02"/>
    <w:rsid w:val="00BA0D3A"/>
    <w:rsid w:val="00BA0E31"/>
    <w:rsid w:val="00BA0EAA"/>
    <w:rsid w:val="00BA110E"/>
    <w:rsid w:val="00BA11F1"/>
    <w:rsid w:val="00BA1201"/>
    <w:rsid w:val="00BA1227"/>
    <w:rsid w:val="00BA1277"/>
    <w:rsid w:val="00BA12DB"/>
    <w:rsid w:val="00BA1343"/>
    <w:rsid w:val="00BA15AE"/>
    <w:rsid w:val="00BA181B"/>
    <w:rsid w:val="00BA1A8D"/>
    <w:rsid w:val="00BA1FD5"/>
    <w:rsid w:val="00BA21BD"/>
    <w:rsid w:val="00BA2359"/>
    <w:rsid w:val="00BA26ED"/>
    <w:rsid w:val="00BA276A"/>
    <w:rsid w:val="00BA2944"/>
    <w:rsid w:val="00BA29D3"/>
    <w:rsid w:val="00BA2B1D"/>
    <w:rsid w:val="00BA2B68"/>
    <w:rsid w:val="00BA2BF5"/>
    <w:rsid w:val="00BA2BF7"/>
    <w:rsid w:val="00BA2E62"/>
    <w:rsid w:val="00BA2EE3"/>
    <w:rsid w:val="00BA2F03"/>
    <w:rsid w:val="00BA3020"/>
    <w:rsid w:val="00BA3134"/>
    <w:rsid w:val="00BA354A"/>
    <w:rsid w:val="00BA3605"/>
    <w:rsid w:val="00BA389F"/>
    <w:rsid w:val="00BA3F49"/>
    <w:rsid w:val="00BA40A8"/>
    <w:rsid w:val="00BA4392"/>
    <w:rsid w:val="00BA44CF"/>
    <w:rsid w:val="00BA4A06"/>
    <w:rsid w:val="00BA4A3A"/>
    <w:rsid w:val="00BA4AA6"/>
    <w:rsid w:val="00BA4AD1"/>
    <w:rsid w:val="00BA4D21"/>
    <w:rsid w:val="00BA4EF0"/>
    <w:rsid w:val="00BA4FDD"/>
    <w:rsid w:val="00BA5308"/>
    <w:rsid w:val="00BA58C2"/>
    <w:rsid w:val="00BA5AFE"/>
    <w:rsid w:val="00BA5CEA"/>
    <w:rsid w:val="00BA5D24"/>
    <w:rsid w:val="00BA5D3F"/>
    <w:rsid w:val="00BA5E32"/>
    <w:rsid w:val="00BA636A"/>
    <w:rsid w:val="00BA6554"/>
    <w:rsid w:val="00BA66AE"/>
    <w:rsid w:val="00BA67E8"/>
    <w:rsid w:val="00BA69A2"/>
    <w:rsid w:val="00BA69C7"/>
    <w:rsid w:val="00BA69CF"/>
    <w:rsid w:val="00BA6B2C"/>
    <w:rsid w:val="00BA6BC2"/>
    <w:rsid w:val="00BA6FFD"/>
    <w:rsid w:val="00BA7006"/>
    <w:rsid w:val="00BA753A"/>
    <w:rsid w:val="00BA7830"/>
    <w:rsid w:val="00BA7B04"/>
    <w:rsid w:val="00BA7BDD"/>
    <w:rsid w:val="00BA7CB0"/>
    <w:rsid w:val="00BA7E23"/>
    <w:rsid w:val="00BA7F29"/>
    <w:rsid w:val="00BB00A5"/>
    <w:rsid w:val="00BB00F3"/>
    <w:rsid w:val="00BB028A"/>
    <w:rsid w:val="00BB06F3"/>
    <w:rsid w:val="00BB0832"/>
    <w:rsid w:val="00BB087C"/>
    <w:rsid w:val="00BB0AFE"/>
    <w:rsid w:val="00BB0BF5"/>
    <w:rsid w:val="00BB0CB2"/>
    <w:rsid w:val="00BB10B1"/>
    <w:rsid w:val="00BB11EA"/>
    <w:rsid w:val="00BB1327"/>
    <w:rsid w:val="00BB1588"/>
    <w:rsid w:val="00BB1646"/>
    <w:rsid w:val="00BB180A"/>
    <w:rsid w:val="00BB195F"/>
    <w:rsid w:val="00BB1C94"/>
    <w:rsid w:val="00BB1D0F"/>
    <w:rsid w:val="00BB1DA6"/>
    <w:rsid w:val="00BB1DBB"/>
    <w:rsid w:val="00BB2020"/>
    <w:rsid w:val="00BB2102"/>
    <w:rsid w:val="00BB220F"/>
    <w:rsid w:val="00BB2398"/>
    <w:rsid w:val="00BB24B8"/>
    <w:rsid w:val="00BB24CB"/>
    <w:rsid w:val="00BB2634"/>
    <w:rsid w:val="00BB277B"/>
    <w:rsid w:val="00BB27C0"/>
    <w:rsid w:val="00BB2A02"/>
    <w:rsid w:val="00BB2B0A"/>
    <w:rsid w:val="00BB2C3C"/>
    <w:rsid w:val="00BB2F7E"/>
    <w:rsid w:val="00BB3226"/>
    <w:rsid w:val="00BB32F3"/>
    <w:rsid w:val="00BB3357"/>
    <w:rsid w:val="00BB3374"/>
    <w:rsid w:val="00BB3443"/>
    <w:rsid w:val="00BB3453"/>
    <w:rsid w:val="00BB346B"/>
    <w:rsid w:val="00BB374E"/>
    <w:rsid w:val="00BB38D7"/>
    <w:rsid w:val="00BB3C96"/>
    <w:rsid w:val="00BB3CB9"/>
    <w:rsid w:val="00BB3DA1"/>
    <w:rsid w:val="00BB4853"/>
    <w:rsid w:val="00BB4875"/>
    <w:rsid w:val="00BB4B11"/>
    <w:rsid w:val="00BB4B4A"/>
    <w:rsid w:val="00BB4B6A"/>
    <w:rsid w:val="00BB4DA6"/>
    <w:rsid w:val="00BB4E51"/>
    <w:rsid w:val="00BB503D"/>
    <w:rsid w:val="00BB550A"/>
    <w:rsid w:val="00BB58D2"/>
    <w:rsid w:val="00BB5DE5"/>
    <w:rsid w:val="00BB5EF0"/>
    <w:rsid w:val="00BB5FA0"/>
    <w:rsid w:val="00BB6017"/>
    <w:rsid w:val="00BB60A9"/>
    <w:rsid w:val="00BB635B"/>
    <w:rsid w:val="00BB647C"/>
    <w:rsid w:val="00BB6628"/>
    <w:rsid w:val="00BB679B"/>
    <w:rsid w:val="00BB67CD"/>
    <w:rsid w:val="00BB686D"/>
    <w:rsid w:val="00BB6E32"/>
    <w:rsid w:val="00BB6F83"/>
    <w:rsid w:val="00BB70DD"/>
    <w:rsid w:val="00BB723D"/>
    <w:rsid w:val="00BB737E"/>
    <w:rsid w:val="00BB78C5"/>
    <w:rsid w:val="00BB7BC3"/>
    <w:rsid w:val="00BB7C90"/>
    <w:rsid w:val="00BC00E9"/>
    <w:rsid w:val="00BC049F"/>
    <w:rsid w:val="00BC071C"/>
    <w:rsid w:val="00BC0879"/>
    <w:rsid w:val="00BC09F8"/>
    <w:rsid w:val="00BC0BB6"/>
    <w:rsid w:val="00BC1554"/>
    <w:rsid w:val="00BC177F"/>
    <w:rsid w:val="00BC196C"/>
    <w:rsid w:val="00BC1CD8"/>
    <w:rsid w:val="00BC1CF8"/>
    <w:rsid w:val="00BC1D59"/>
    <w:rsid w:val="00BC21B0"/>
    <w:rsid w:val="00BC25B5"/>
    <w:rsid w:val="00BC264F"/>
    <w:rsid w:val="00BC29C9"/>
    <w:rsid w:val="00BC2C73"/>
    <w:rsid w:val="00BC2E4A"/>
    <w:rsid w:val="00BC2E7B"/>
    <w:rsid w:val="00BC2F32"/>
    <w:rsid w:val="00BC30C3"/>
    <w:rsid w:val="00BC3130"/>
    <w:rsid w:val="00BC32C8"/>
    <w:rsid w:val="00BC336D"/>
    <w:rsid w:val="00BC34B8"/>
    <w:rsid w:val="00BC34F5"/>
    <w:rsid w:val="00BC3500"/>
    <w:rsid w:val="00BC3B8E"/>
    <w:rsid w:val="00BC3C6F"/>
    <w:rsid w:val="00BC3DA2"/>
    <w:rsid w:val="00BC40BA"/>
    <w:rsid w:val="00BC413D"/>
    <w:rsid w:val="00BC426B"/>
    <w:rsid w:val="00BC44DA"/>
    <w:rsid w:val="00BC4524"/>
    <w:rsid w:val="00BC454E"/>
    <w:rsid w:val="00BC45AD"/>
    <w:rsid w:val="00BC47A1"/>
    <w:rsid w:val="00BC47AE"/>
    <w:rsid w:val="00BC4C10"/>
    <w:rsid w:val="00BC4C47"/>
    <w:rsid w:val="00BC4F03"/>
    <w:rsid w:val="00BC4FA9"/>
    <w:rsid w:val="00BC5491"/>
    <w:rsid w:val="00BC55D3"/>
    <w:rsid w:val="00BC5680"/>
    <w:rsid w:val="00BC5898"/>
    <w:rsid w:val="00BC5B13"/>
    <w:rsid w:val="00BC6118"/>
    <w:rsid w:val="00BC65A3"/>
    <w:rsid w:val="00BC698F"/>
    <w:rsid w:val="00BC6D1C"/>
    <w:rsid w:val="00BC6E69"/>
    <w:rsid w:val="00BC720F"/>
    <w:rsid w:val="00BC7340"/>
    <w:rsid w:val="00BC739E"/>
    <w:rsid w:val="00BC755C"/>
    <w:rsid w:val="00BC783E"/>
    <w:rsid w:val="00BC79C4"/>
    <w:rsid w:val="00BC79DE"/>
    <w:rsid w:val="00BC7BCC"/>
    <w:rsid w:val="00BC7C2E"/>
    <w:rsid w:val="00BC7CA9"/>
    <w:rsid w:val="00BC7D70"/>
    <w:rsid w:val="00BC7F9E"/>
    <w:rsid w:val="00BD0217"/>
    <w:rsid w:val="00BD0234"/>
    <w:rsid w:val="00BD03C7"/>
    <w:rsid w:val="00BD06BF"/>
    <w:rsid w:val="00BD06CC"/>
    <w:rsid w:val="00BD072E"/>
    <w:rsid w:val="00BD07B1"/>
    <w:rsid w:val="00BD0870"/>
    <w:rsid w:val="00BD0879"/>
    <w:rsid w:val="00BD0965"/>
    <w:rsid w:val="00BD0D88"/>
    <w:rsid w:val="00BD0E01"/>
    <w:rsid w:val="00BD0FF7"/>
    <w:rsid w:val="00BD120C"/>
    <w:rsid w:val="00BD1373"/>
    <w:rsid w:val="00BD1585"/>
    <w:rsid w:val="00BD18B0"/>
    <w:rsid w:val="00BD1979"/>
    <w:rsid w:val="00BD1C8E"/>
    <w:rsid w:val="00BD25C7"/>
    <w:rsid w:val="00BD25D9"/>
    <w:rsid w:val="00BD26AA"/>
    <w:rsid w:val="00BD26C4"/>
    <w:rsid w:val="00BD2835"/>
    <w:rsid w:val="00BD2B12"/>
    <w:rsid w:val="00BD2B54"/>
    <w:rsid w:val="00BD2B81"/>
    <w:rsid w:val="00BD2D2C"/>
    <w:rsid w:val="00BD2E7A"/>
    <w:rsid w:val="00BD317B"/>
    <w:rsid w:val="00BD3448"/>
    <w:rsid w:val="00BD3538"/>
    <w:rsid w:val="00BD3572"/>
    <w:rsid w:val="00BD35CF"/>
    <w:rsid w:val="00BD38F5"/>
    <w:rsid w:val="00BD39F4"/>
    <w:rsid w:val="00BD3E86"/>
    <w:rsid w:val="00BD4007"/>
    <w:rsid w:val="00BD4069"/>
    <w:rsid w:val="00BD40B5"/>
    <w:rsid w:val="00BD41C4"/>
    <w:rsid w:val="00BD41C9"/>
    <w:rsid w:val="00BD42EC"/>
    <w:rsid w:val="00BD42F9"/>
    <w:rsid w:val="00BD454F"/>
    <w:rsid w:val="00BD4595"/>
    <w:rsid w:val="00BD46EF"/>
    <w:rsid w:val="00BD48AA"/>
    <w:rsid w:val="00BD495B"/>
    <w:rsid w:val="00BD4A56"/>
    <w:rsid w:val="00BD4F36"/>
    <w:rsid w:val="00BD5152"/>
    <w:rsid w:val="00BD539F"/>
    <w:rsid w:val="00BD5526"/>
    <w:rsid w:val="00BD561F"/>
    <w:rsid w:val="00BD5653"/>
    <w:rsid w:val="00BD5A9D"/>
    <w:rsid w:val="00BD6085"/>
    <w:rsid w:val="00BD6131"/>
    <w:rsid w:val="00BD61B2"/>
    <w:rsid w:val="00BD6260"/>
    <w:rsid w:val="00BD6568"/>
    <w:rsid w:val="00BD67B2"/>
    <w:rsid w:val="00BD6836"/>
    <w:rsid w:val="00BD6ADD"/>
    <w:rsid w:val="00BD6B94"/>
    <w:rsid w:val="00BD6CF5"/>
    <w:rsid w:val="00BD713D"/>
    <w:rsid w:val="00BD7291"/>
    <w:rsid w:val="00BD72CC"/>
    <w:rsid w:val="00BD7563"/>
    <w:rsid w:val="00BD768F"/>
    <w:rsid w:val="00BD77D1"/>
    <w:rsid w:val="00BD78F2"/>
    <w:rsid w:val="00BD79E5"/>
    <w:rsid w:val="00BD7A29"/>
    <w:rsid w:val="00BD7D67"/>
    <w:rsid w:val="00BD7DFC"/>
    <w:rsid w:val="00BD7FF9"/>
    <w:rsid w:val="00BE034D"/>
    <w:rsid w:val="00BE0441"/>
    <w:rsid w:val="00BE04F3"/>
    <w:rsid w:val="00BE0632"/>
    <w:rsid w:val="00BE0691"/>
    <w:rsid w:val="00BE09F3"/>
    <w:rsid w:val="00BE0B00"/>
    <w:rsid w:val="00BE0B27"/>
    <w:rsid w:val="00BE0BE4"/>
    <w:rsid w:val="00BE0CCD"/>
    <w:rsid w:val="00BE1191"/>
    <w:rsid w:val="00BE11B5"/>
    <w:rsid w:val="00BE1414"/>
    <w:rsid w:val="00BE196B"/>
    <w:rsid w:val="00BE1DCA"/>
    <w:rsid w:val="00BE1F38"/>
    <w:rsid w:val="00BE2060"/>
    <w:rsid w:val="00BE2087"/>
    <w:rsid w:val="00BE20CC"/>
    <w:rsid w:val="00BE21B2"/>
    <w:rsid w:val="00BE231B"/>
    <w:rsid w:val="00BE2BA7"/>
    <w:rsid w:val="00BE2CD7"/>
    <w:rsid w:val="00BE2E37"/>
    <w:rsid w:val="00BE2E5F"/>
    <w:rsid w:val="00BE3226"/>
    <w:rsid w:val="00BE3364"/>
    <w:rsid w:val="00BE353A"/>
    <w:rsid w:val="00BE3546"/>
    <w:rsid w:val="00BE35AB"/>
    <w:rsid w:val="00BE3636"/>
    <w:rsid w:val="00BE39AD"/>
    <w:rsid w:val="00BE3A67"/>
    <w:rsid w:val="00BE3BA6"/>
    <w:rsid w:val="00BE4013"/>
    <w:rsid w:val="00BE4239"/>
    <w:rsid w:val="00BE48F2"/>
    <w:rsid w:val="00BE4916"/>
    <w:rsid w:val="00BE4B30"/>
    <w:rsid w:val="00BE504A"/>
    <w:rsid w:val="00BE5376"/>
    <w:rsid w:val="00BE53CF"/>
    <w:rsid w:val="00BE5443"/>
    <w:rsid w:val="00BE5666"/>
    <w:rsid w:val="00BE567D"/>
    <w:rsid w:val="00BE571C"/>
    <w:rsid w:val="00BE5962"/>
    <w:rsid w:val="00BE5E7C"/>
    <w:rsid w:val="00BE5F90"/>
    <w:rsid w:val="00BE6413"/>
    <w:rsid w:val="00BE6474"/>
    <w:rsid w:val="00BE669D"/>
    <w:rsid w:val="00BE68EE"/>
    <w:rsid w:val="00BE694F"/>
    <w:rsid w:val="00BE6A01"/>
    <w:rsid w:val="00BE6E0E"/>
    <w:rsid w:val="00BE6F4F"/>
    <w:rsid w:val="00BE7224"/>
    <w:rsid w:val="00BE733D"/>
    <w:rsid w:val="00BE761D"/>
    <w:rsid w:val="00BE7B10"/>
    <w:rsid w:val="00BE7C57"/>
    <w:rsid w:val="00BE7CB0"/>
    <w:rsid w:val="00BE7EA5"/>
    <w:rsid w:val="00BF0234"/>
    <w:rsid w:val="00BF04DF"/>
    <w:rsid w:val="00BF0806"/>
    <w:rsid w:val="00BF083B"/>
    <w:rsid w:val="00BF0A61"/>
    <w:rsid w:val="00BF0B84"/>
    <w:rsid w:val="00BF0B8B"/>
    <w:rsid w:val="00BF0CD8"/>
    <w:rsid w:val="00BF12A4"/>
    <w:rsid w:val="00BF1658"/>
    <w:rsid w:val="00BF18BF"/>
    <w:rsid w:val="00BF199B"/>
    <w:rsid w:val="00BF1A1D"/>
    <w:rsid w:val="00BF1E61"/>
    <w:rsid w:val="00BF1F12"/>
    <w:rsid w:val="00BF2348"/>
    <w:rsid w:val="00BF267D"/>
    <w:rsid w:val="00BF2682"/>
    <w:rsid w:val="00BF2B07"/>
    <w:rsid w:val="00BF2E6E"/>
    <w:rsid w:val="00BF2FC0"/>
    <w:rsid w:val="00BF2FE2"/>
    <w:rsid w:val="00BF2FE9"/>
    <w:rsid w:val="00BF30BB"/>
    <w:rsid w:val="00BF30FB"/>
    <w:rsid w:val="00BF335C"/>
    <w:rsid w:val="00BF3415"/>
    <w:rsid w:val="00BF386D"/>
    <w:rsid w:val="00BF3983"/>
    <w:rsid w:val="00BF3A47"/>
    <w:rsid w:val="00BF3A58"/>
    <w:rsid w:val="00BF3DBF"/>
    <w:rsid w:val="00BF3FB8"/>
    <w:rsid w:val="00BF40FE"/>
    <w:rsid w:val="00BF4104"/>
    <w:rsid w:val="00BF41F9"/>
    <w:rsid w:val="00BF438D"/>
    <w:rsid w:val="00BF45E9"/>
    <w:rsid w:val="00BF48A5"/>
    <w:rsid w:val="00BF4A84"/>
    <w:rsid w:val="00BF4F26"/>
    <w:rsid w:val="00BF4F9B"/>
    <w:rsid w:val="00BF4FDF"/>
    <w:rsid w:val="00BF5056"/>
    <w:rsid w:val="00BF54DC"/>
    <w:rsid w:val="00BF57DE"/>
    <w:rsid w:val="00BF58F9"/>
    <w:rsid w:val="00BF5BC5"/>
    <w:rsid w:val="00BF5BD1"/>
    <w:rsid w:val="00BF5CAC"/>
    <w:rsid w:val="00BF5FB3"/>
    <w:rsid w:val="00BF604C"/>
    <w:rsid w:val="00BF6603"/>
    <w:rsid w:val="00BF670B"/>
    <w:rsid w:val="00BF6845"/>
    <w:rsid w:val="00BF6906"/>
    <w:rsid w:val="00BF69FF"/>
    <w:rsid w:val="00BF6F98"/>
    <w:rsid w:val="00BF6FBB"/>
    <w:rsid w:val="00BF70C1"/>
    <w:rsid w:val="00BF742E"/>
    <w:rsid w:val="00BF7805"/>
    <w:rsid w:val="00BF7A3F"/>
    <w:rsid w:val="00BF7C52"/>
    <w:rsid w:val="00BF7E2B"/>
    <w:rsid w:val="00C003C0"/>
    <w:rsid w:val="00C00451"/>
    <w:rsid w:val="00C007B4"/>
    <w:rsid w:val="00C00858"/>
    <w:rsid w:val="00C00A2C"/>
    <w:rsid w:val="00C00ADE"/>
    <w:rsid w:val="00C00B48"/>
    <w:rsid w:val="00C00C81"/>
    <w:rsid w:val="00C010C7"/>
    <w:rsid w:val="00C0147C"/>
    <w:rsid w:val="00C015E2"/>
    <w:rsid w:val="00C01A20"/>
    <w:rsid w:val="00C01DCC"/>
    <w:rsid w:val="00C01DF5"/>
    <w:rsid w:val="00C01F9F"/>
    <w:rsid w:val="00C02529"/>
    <w:rsid w:val="00C0259B"/>
    <w:rsid w:val="00C0282C"/>
    <w:rsid w:val="00C02D1C"/>
    <w:rsid w:val="00C02FE7"/>
    <w:rsid w:val="00C03302"/>
    <w:rsid w:val="00C03642"/>
    <w:rsid w:val="00C0383F"/>
    <w:rsid w:val="00C03924"/>
    <w:rsid w:val="00C03A94"/>
    <w:rsid w:val="00C03BAD"/>
    <w:rsid w:val="00C041DD"/>
    <w:rsid w:val="00C0438F"/>
    <w:rsid w:val="00C04A54"/>
    <w:rsid w:val="00C04CB7"/>
    <w:rsid w:val="00C04DCA"/>
    <w:rsid w:val="00C04EAB"/>
    <w:rsid w:val="00C050CF"/>
    <w:rsid w:val="00C05458"/>
    <w:rsid w:val="00C0546A"/>
    <w:rsid w:val="00C05601"/>
    <w:rsid w:val="00C057EC"/>
    <w:rsid w:val="00C05F47"/>
    <w:rsid w:val="00C060FC"/>
    <w:rsid w:val="00C06132"/>
    <w:rsid w:val="00C063A9"/>
    <w:rsid w:val="00C06412"/>
    <w:rsid w:val="00C06446"/>
    <w:rsid w:val="00C0654A"/>
    <w:rsid w:val="00C06755"/>
    <w:rsid w:val="00C0676E"/>
    <w:rsid w:val="00C06772"/>
    <w:rsid w:val="00C067F7"/>
    <w:rsid w:val="00C06811"/>
    <w:rsid w:val="00C0698C"/>
    <w:rsid w:val="00C06BD0"/>
    <w:rsid w:val="00C06CB6"/>
    <w:rsid w:val="00C06E1A"/>
    <w:rsid w:val="00C06F70"/>
    <w:rsid w:val="00C072C0"/>
    <w:rsid w:val="00C0734C"/>
    <w:rsid w:val="00C07499"/>
    <w:rsid w:val="00C074D3"/>
    <w:rsid w:val="00C077F2"/>
    <w:rsid w:val="00C078D5"/>
    <w:rsid w:val="00C07C4E"/>
    <w:rsid w:val="00C10055"/>
    <w:rsid w:val="00C100ED"/>
    <w:rsid w:val="00C10852"/>
    <w:rsid w:val="00C10E21"/>
    <w:rsid w:val="00C10F12"/>
    <w:rsid w:val="00C10F1B"/>
    <w:rsid w:val="00C1123F"/>
    <w:rsid w:val="00C113AF"/>
    <w:rsid w:val="00C11480"/>
    <w:rsid w:val="00C11799"/>
    <w:rsid w:val="00C1179F"/>
    <w:rsid w:val="00C119BA"/>
    <w:rsid w:val="00C11AE6"/>
    <w:rsid w:val="00C11B78"/>
    <w:rsid w:val="00C11CF6"/>
    <w:rsid w:val="00C1200F"/>
    <w:rsid w:val="00C12143"/>
    <w:rsid w:val="00C1222F"/>
    <w:rsid w:val="00C122CA"/>
    <w:rsid w:val="00C1258F"/>
    <w:rsid w:val="00C12614"/>
    <w:rsid w:val="00C127E9"/>
    <w:rsid w:val="00C127FE"/>
    <w:rsid w:val="00C12837"/>
    <w:rsid w:val="00C12CE1"/>
    <w:rsid w:val="00C12F1B"/>
    <w:rsid w:val="00C13026"/>
    <w:rsid w:val="00C13251"/>
    <w:rsid w:val="00C13265"/>
    <w:rsid w:val="00C13368"/>
    <w:rsid w:val="00C135A9"/>
    <w:rsid w:val="00C135FB"/>
    <w:rsid w:val="00C13844"/>
    <w:rsid w:val="00C13A4D"/>
    <w:rsid w:val="00C13F00"/>
    <w:rsid w:val="00C14238"/>
    <w:rsid w:val="00C142C5"/>
    <w:rsid w:val="00C14304"/>
    <w:rsid w:val="00C1445D"/>
    <w:rsid w:val="00C14540"/>
    <w:rsid w:val="00C14569"/>
    <w:rsid w:val="00C146C7"/>
    <w:rsid w:val="00C14897"/>
    <w:rsid w:val="00C14933"/>
    <w:rsid w:val="00C14A88"/>
    <w:rsid w:val="00C14AB1"/>
    <w:rsid w:val="00C14ADB"/>
    <w:rsid w:val="00C14E0A"/>
    <w:rsid w:val="00C14E2B"/>
    <w:rsid w:val="00C14EEC"/>
    <w:rsid w:val="00C14FE2"/>
    <w:rsid w:val="00C15026"/>
    <w:rsid w:val="00C15287"/>
    <w:rsid w:val="00C152E7"/>
    <w:rsid w:val="00C158E4"/>
    <w:rsid w:val="00C15906"/>
    <w:rsid w:val="00C15AFD"/>
    <w:rsid w:val="00C15BEE"/>
    <w:rsid w:val="00C15DEF"/>
    <w:rsid w:val="00C15E0B"/>
    <w:rsid w:val="00C15ECE"/>
    <w:rsid w:val="00C1604E"/>
    <w:rsid w:val="00C1626E"/>
    <w:rsid w:val="00C16488"/>
    <w:rsid w:val="00C165BF"/>
    <w:rsid w:val="00C166C4"/>
    <w:rsid w:val="00C16743"/>
    <w:rsid w:val="00C168E5"/>
    <w:rsid w:val="00C16BF8"/>
    <w:rsid w:val="00C1746F"/>
    <w:rsid w:val="00C17774"/>
    <w:rsid w:val="00C177DD"/>
    <w:rsid w:val="00C17895"/>
    <w:rsid w:val="00C17908"/>
    <w:rsid w:val="00C17994"/>
    <w:rsid w:val="00C17995"/>
    <w:rsid w:val="00C179CE"/>
    <w:rsid w:val="00C17BAD"/>
    <w:rsid w:val="00C17D68"/>
    <w:rsid w:val="00C17D73"/>
    <w:rsid w:val="00C17E73"/>
    <w:rsid w:val="00C202B3"/>
    <w:rsid w:val="00C205E3"/>
    <w:rsid w:val="00C20649"/>
    <w:rsid w:val="00C2076A"/>
    <w:rsid w:val="00C20908"/>
    <w:rsid w:val="00C209AD"/>
    <w:rsid w:val="00C20DE6"/>
    <w:rsid w:val="00C20EDF"/>
    <w:rsid w:val="00C20FBB"/>
    <w:rsid w:val="00C21106"/>
    <w:rsid w:val="00C2123E"/>
    <w:rsid w:val="00C21420"/>
    <w:rsid w:val="00C21A82"/>
    <w:rsid w:val="00C21B38"/>
    <w:rsid w:val="00C21B90"/>
    <w:rsid w:val="00C21ECC"/>
    <w:rsid w:val="00C21EE0"/>
    <w:rsid w:val="00C21F22"/>
    <w:rsid w:val="00C2200B"/>
    <w:rsid w:val="00C2202F"/>
    <w:rsid w:val="00C22056"/>
    <w:rsid w:val="00C220BA"/>
    <w:rsid w:val="00C220DC"/>
    <w:rsid w:val="00C220FC"/>
    <w:rsid w:val="00C22129"/>
    <w:rsid w:val="00C22734"/>
    <w:rsid w:val="00C22744"/>
    <w:rsid w:val="00C22763"/>
    <w:rsid w:val="00C22807"/>
    <w:rsid w:val="00C22B0D"/>
    <w:rsid w:val="00C22C14"/>
    <w:rsid w:val="00C22F77"/>
    <w:rsid w:val="00C23074"/>
    <w:rsid w:val="00C23314"/>
    <w:rsid w:val="00C23388"/>
    <w:rsid w:val="00C234C7"/>
    <w:rsid w:val="00C23555"/>
    <w:rsid w:val="00C2355A"/>
    <w:rsid w:val="00C23596"/>
    <w:rsid w:val="00C23658"/>
    <w:rsid w:val="00C2391C"/>
    <w:rsid w:val="00C23B0A"/>
    <w:rsid w:val="00C23BF4"/>
    <w:rsid w:val="00C23E45"/>
    <w:rsid w:val="00C2410B"/>
    <w:rsid w:val="00C2460A"/>
    <w:rsid w:val="00C247AD"/>
    <w:rsid w:val="00C2481F"/>
    <w:rsid w:val="00C2498A"/>
    <w:rsid w:val="00C249CB"/>
    <w:rsid w:val="00C24A47"/>
    <w:rsid w:val="00C24A51"/>
    <w:rsid w:val="00C24AD5"/>
    <w:rsid w:val="00C24D4E"/>
    <w:rsid w:val="00C24F02"/>
    <w:rsid w:val="00C251BD"/>
    <w:rsid w:val="00C254DE"/>
    <w:rsid w:val="00C26009"/>
    <w:rsid w:val="00C2617A"/>
    <w:rsid w:val="00C2654C"/>
    <w:rsid w:val="00C265EA"/>
    <w:rsid w:val="00C2681A"/>
    <w:rsid w:val="00C26925"/>
    <w:rsid w:val="00C26B2A"/>
    <w:rsid w:val="00C26CC3"/>
    <w:rsid w:val="00C26DBE"/>
    <w:rsid w:val="00C26E84"/>
    <w:rsid w:val="00C273A3"/>
    <w:rsid w:val="00C30120"/>
    <w:rsid w:val="00C30282"/>
    <w:rsid w:val="00C30297"/>
    <w:rsid w:val="00C30410"/>
    <w:rsid w:val="00C30436"/>
    <w:rsid w:val="00C30503"/>
    <w:rsid w:val="00C3051F"/>
    <w:rsid w:val="00C3086E"/>
    <w:rsid w:val="00C308B0"/>
    <w:rsid w:val="00C30904"/>
    <w:rsid w:val="00C3092D"/>
    <w:rsid w:val="00C30B20"/>
    <w:rsid w:val="00C30B5F"/>
    <w:rsid w:val="00C3117D"/>
    <w:rsid w:val="00C31281"/>
    <w:rsid w:val="00C313C3"/>
    <w:rsid w:val="00C316D9"/>
    <w:rsid w:val="00C317C1"/>
    <w:rsid w:val="00C31AC1"/>
    <w:rsid w:val="00C31B53"/>
    <w:rsid w:val="00C31BA1"/>
    <w:rsid w:val="00C31C2A"/>
    <w:rsid w:val="00C31DF2"/>
    <w:rsid w:val="00C32095"/>
    <w:rsid w:val="00C32573"/>
    <w:rsid w:val="00C32674"/>
    <w:rsid w:val="00C327D6"/>
    <w:rsid w:val="00C32962"/>
    <w:rsid w:val="00C329AC"/>
    <w:rsid w:val="00C32B4C"/>
    <w:rsid w:val="00C32C29"/>
    <w:rsid w:val="00C32C4F"/>
    <w:rsid w:val="00C32D23"/>
    <w:rsid w:val="00C32DFB"/>
    <w:rsid w:val="00C3312E"/>
    <w:rsid w:val="00C33245"/>
    <w:rsid w:val="00C33405"/>
    <w:rsid w:val="00C33438"/>
    <w:rsid w:val="00C334B4"/>
    <w:rsid w:val="00C334EC"/>
    <w:rsid w:val="00C336C0"/>
    <w:rsid w:val="00C33A8D"/>
    <w:rsid w:val="00C33AB7"/>
    <w:rsid w:val="00C33B2F"/>
    <w:rsid w:val="00C3444F"/>
    <w:rsid w:val="00C346D9"/>
    <w:rsid w:val="00C34B88"/>
    <w:rsid w:val="00C34BFF"/>
    <w:rsid w:val="00C34C59"/>
    <w:rsid w:val="00C34C8C"/>
    <w:rsid w:val="00C34CDB"/>
    <w:rsid w:val="00C352B1"/>
    <w:rsid w:val="00C355DB"/>
    <w:rsid w:val="00C35896"/>
    <w:rsid w:val="00C3596D"/>
    <w:rsid w:val="00C359A0"/>
    <w:rsid w:val="00C359F3"/>
    <w:rsid w:val="00C35B01"/>
    <w:rsid w:val="00C35B33"/>
    <w:rsid w:val="00C36292"/>
    <w:rsid w:val="00C36372"/>
    <w:rsid w:val="00C3656E"/>
    <w:rsid w:val="00C36572"/>
    <w:rsid w:val="00C36578"/>
    <w:rsid w:val="00C366AF"/>
    <w:rsid w:val="00C36856"/>
    <w:rsid w:val="00C36AD5"/>
    <w:rsid w:val="00C36AFD"/>
    <w:rsid w:val="00C36B61"/>
    <w:rsid w:val="00C36C12"/>
    <w:rsid w:val="00C36E1A"/>
    <w:rsid w:val="00C37635"/>
    <w:rsid w:val="00C377A4"/>
    <w:rsid w:val="00C37976"/>
    <w:rsid w:val="00C37AB4"/>
    <w:rsid w:val="00C37C3D"/>
    <w:rsid w:val="00C401AF"/>
    <w:rsid w:val="00C402D6"/>
    <w:rsid w:val="00C402F3"/>
    <w:rsid w:val="00C40363"/>
    <w:rsid w:val="00C403BF"/>
    <w:rsid w:val="00C406C1"/>
    <w:rsid w:val="00C40A70"/>
    <w:rsid w:val="00C40E61"/>
    <w:rsid w:val="00C40ED0"/>
    <w:rsid w:val="00C4101A"/>
    <w:rsid w:val="00C410C0"/>
    <w:rsid w:val="00C412A9"/>
    <w:rsid w:val="00C416A7"/>
    <w:rsid w:val="00C41799"/>
    <w:rsid w:val="00C41AFF"/>
    <w:rsid w:val="00C41B20"/>
    <w:rsid w:val="00C41C63"/>
    <w:rsid w:val="00C41D13"/>
    <w:rsid w:val="00C41E96"/>
    <w:rsid w:val="00C422D6"/>
    <w:rsid w:val="00C425C7"/>
    <w:rsid w:val="00C4267F"/>
    <w:rsid w:val="00C42B38"/>
    <w:rsid w:val="00C42DAB"/>
    <w:rsid w:val="00C42FF4"/>
    <w:rsid w:val="00C430A0"/>
    <w:rsid w:val="00C43193"/>
    <w:rsid w:val="00C4326F"/>
    <w:rsid w:val="00C43479"/>
    <w:rsid w:val="00C43557"/>
    <w:rsid w:val="00C436C9"/>
    <w:rsid w:val="00C436EE"/>
    <w:rsid w:val="00C43789"/>
    <w:rsid w:val="00C4394A"/>
    <w:rsid w:val="00C43AF6"/>
    <w:rsid w:val="00C444A6"/>
    <w:rsid w:val="00C44571"/>
    <w:rsid w:val="00C44679"/>
    <w:rsid w:val="00C447D2"/>
    <w:rsid w:val="00C449C8"/>
    <w:rsid w:val="00C44AF3"/>
    <w:rsid w:val="00C44B0D"/>
    <w:rsid w:val="00C44B79"/>
    <w:rsid w:val="00C44CB0"/>
    <w:rsid w:val="00C44E12"/>
    <w:rsid w:val="00C44F4C"/>
    <w:rsid w:val="00C4505C"/>
    <w:rsid w:val="00C45159"/>
    <w:rsid w:val="00C45170"/>
    <w:rsid w:val="00C451B4"/>
    <w:rsid w:val="00C454BA"/>
    <w:rsid w:val="00C456EA"/>
    <w:rsid w:val="00C458F6"/>
    <w:rsid w:val="00C459D7"/>
    <w:rsid w:val="00C459F1"/>
    <w:rsid w:val="00C4602F"/>
    <w:rsid w:val="00C4617B"/>
    <w:rsid w:val="00C461CC"/>
    <w:rsid w:val="00C461EF"/>
    <w:rsid w:val="00C46663"/>
    <w:rsid w:val="00C466EB"/>
    <w:rsid w:val="00C46A1F"/>
    <w:rsid w:val="00C46EF9"/>
    <w:rsid w:val="00C46FB1"/>
    <w:rsid w:val="00C471C9"/>
    <w:rsid w:val="00C471F2"/>
    <w:rsid w:val="00C472A7"/>
    <w:rsid w:val="00C475EA"/>
    <w:rsid w:val="00C479EB"/>
    <w:rsid w:val="00C47EB7"/>
    <w:rsid w:val="00C50076"/>
    <w:rsid w:val="00C5015F"/>
    <w:rsid w:val="00C5016D"/>
    <w:rsid w:val="00C50388"/>
    <w:rsid w:val="00C50447"/>
    <w:rsid w:val="00C505BD"/>
    <w:rsid w:val="00C50895"/>
    <w:rsid w:val="00C50A1F"/>
    <w:rsid w:val="00C50B21"/>
    <w:rsid w:val="00C50B48"/>
    <w:rsid w:val="00C50D6E"/>
    <w:rsid w:val="00C50EC3"/>
    <w:rsid w:val="00C50EDF"/>
    <w:rsid w:val="00C514F1"/>
    <w:rsid w:val="00C5178D"/>
    <w:rsid w:val="00C518CA"/>
    <w:rsid w:val="00C518CD"/>
    <w:rsid w:val="00C519D8"/>
    <w:rsid w:val="00C51F7B"/>
    <w:rsid w:val="00C520F0"/>
    <w:rsid w:val="00C521E4"/>
    <w:rsid w:val="00C528D2"/>
    <w:rsid w:val="00C52F7A"/>
    <w:rsid w:val="00C53205"/>
    <w:rsid w:val="00C5368C"/>
    <w:rsid w:val="00C53762"/>
    <w:rsid w:val="00C53B57"/>
    <w:rsid w:val="00C53BF3"/>
    <w:rsid w:val="00C53C3F"/>
    <w:rsid w:val="00C53C5C"/>
    <w:rsid w:val="00C53D6E"/>
    <w:rsid w:val="00C53E1E"/>
    <w:rsid w:val="00C53F34"/>
    <w:rsid w:val="00C53FA2"/>
    <w:rsid w:val="00C53FF5"/>
    <w:rsid w:val="00C54058"/>
    <w:rsid w:val="00C541B1"/>
    <w:rsid w:val="00C542C9"/>
    <w:rsid w:val="00C542F4"/>
    <w:rsid w:val="00C5432F"/>
    <w:rsid w:val="00C5435B"/>
    <w:rsid w:val="00C5450D"/>
    <w:rsid w:val="00C54526"/>
    <w:rsid w:val="00C549C9"/>
    <w:rsid w:val="00C54F5D"/>
    <w:rsid w:val="00C55134"/>
    <w:rsid w:val="00C551AB"/>
    <w:rsid w:val="00C551E4"/>
    <w:rsid w:val="00C55405"/>
    <w:rsid w:val="00C55442"/>
    <w:rsid w:val="00C55472"/>
    <w:rsid w:val="00C555AC"/>
    <w:rsid w:val="00C558AC"/>
    <w:rsid w:val="00C55927"/>
    <w:rsid w:val="00C559DA"/>
    <w:rsid w:val="00C55A4C"/>
    <w:rsid w:val="00C55B83"/>
    <w:rsid w:val="00C55BEC"/>
    <w:rsid w:val="00C55CA3"/>
    <w:rsid w:val="00C55DE3"/>
    <w:rsid w:val="00C55E2B"/>
    <w:rsid w:val="00C55E37"/>
    <w:rsid w:val="00C55F27"/>
    <w:rsid w:val="00C55F76"/>
    <w:rsid w:val="00C55F83"/>
    <w:rsid w:val="00C56060"/>
    <w:rsid w:val="00C5630A"/>
    <w:rsid w:val="00C5636A"/>
    <w:rsid w:val="00C563A8"/>
    <w:rsid w:val="00C56803"/>
    <w:rsid w:val="00C568C2"/>
    <w:rsid w:val="00C56912"/>
    <w:rsid w:val="00C569F7"/>
    <w:rsid w:val="00C56A0D"/>
    <w:rsid w:val="00C56B13"/>
    <w:rsid w:val="00C56D55"/>
    <w:rsid w:val="00C56D77"/>
    <w:rsid w:val="00C56F54"/>
    <w:rsid w:val="00C5745D"/>
    <w:rsid w:val="00C57676"/>
    <w:rsid w:val="00C5787D"/>
    <w:rsid w:val="00C57B78"/>
    <w:rsid w:val="00C57BD0"/>
    <w:rsid w:val="00C57C66"/>
    <w:rsid w:val="00C57DD0"/>
    <w:rsid w:val="00C57F1A"/>
    <w:rsid w:val="00C60079"/>
    <w:rsid w:val="00C6055E"/>
    <w:rsid w:val="00C60591"/>
    <w:rsid w:val="00C60838"/>
    <w:rsid w:val="00C608C2"/>
    <w:rsid w:val="00C60A1F"/>
    <w:rsid w:val="00C60A8A"/>
    <w:rsid w:val="00C60D34"/>
    <w:rsid w:val="00C60D8B"/>
    <w:rsid w:val="00C61099"/>
    <w:rsid w:val="00C61379"/>
    <w:rsid w:val="00C615ED"/>
    <w:rsid w:val="00C61705"/>
    <w:rsid w:val="00C617D4"/>
    <w:rsid w:val="00C61903"/>
    <w:rsid w:val="00C61A6D"/>
    <w:rsid w:val="00C61ACF"/>
    <w:rsid w:val="00C61C6F"/>
    <w:rsid w:val="00C61CDB"/>
    <w:rsid w:val="00C61E07"/>
    <w:rsid w:val="00C6204A"/>
    <w:rsid w:val="00C6206D"/>
    <w:rsid w:val="00C62071"/>
    <w:rsid w:val="00C6221E"/>
    <w:rsid w:val="00C622C7"/>
    <w:rsid w:val="00C6231A"/>
    <w:rsid w:val="00C6248B"/>
    <w:rsid w:val="00C624B9"/>
    <w:rsid w:val="00C62629"/>
    <w:rsid w:val="00C626DF"/>
    <w:rsid w:val="00C626E7"/>
    <w:rsid w:val="00C62722"/>
    <w:rsid w:val="00C62B21"/>
    <w:rsid w:val="00C62C62"/>
    <w:rsid w:val="00C62C9A"/>
    <w:rsid w:val="00C632DF"/>
    <w:rsid w:val="00C63357"/>
    <w:rsid w:val="00C63425"/>
    <w:rsid w:val="00C63714"/>
    <w:rsid w:val="00C637CA"/>
    <w:rsid w:val="00C638EC"/>
    <w:rsid w:val="00C63BE5"/>
    <w:rsid w:val="00C63D84"/>
    <w:rsid w:val="00C641A2"/>
    <w:rsid w:val="00C641A7"/>
    <w:rsid w:val="00C64647"/>
    <w:rsid w:val="00C64910"/>
    <w:rsid w:val="00C64A89"/>
    <w:rsid w:val="00C64D8D"/>
    <w:rsid w:val="00C65124"/>
    <w:rsid w:val="00C65171"/>
    <w:rsid w:val="00C65366"/>
    <w:rsid w:val="00C6544A"/>
    <w:rsid w:val="00C654C5"/>
    <w:rsid w:val="00C65599"/>
    <w:rsid w:val="00C65740"/>
    <w:rsid w:val="00C65C7E"/>
    <w:rsid w:val="00C65E7A"/>
    <w:rsid w:val="00C660DE"/>
    <w:rsid w:val="00C662A7"/>
    <w:rsid w:val="00C662AB"/>
    <w:rsid w:val="00C66D5F"/>
    <w:rsid w:val="00C66EE0"/>
    <w:rsid w:val="00C66F1A"/>
    <w:rsid w:val="00C672DE"/>
    <w:rsid w:val="00C675FF"/>
    <w:rsid w:val="00C6769D"/>
    <w:rsid w:val="00C6770B"/>
    <w:rsid w:val="00C6784E"/>
    <w:rsid w:val="00C67DE7"/>
    <w:rsid w:val="00C7007D"/>
    <w:rsid w:val="00C70084"/>
    <w:rsid w:val="00C700ED"/>
    <w:rsid w:val="00C70389"/>
    <w:rsid w:val="00C70478"/>
    <w:rsid w:val="00C70628"/>
    <w:rsid w:val="00C7077D"/>
    <w:rsid w:val="00C708D1"/>
    <w:rsid w:val="00C70996"/>
    <w:rsid w:val="00C70A52"/>
    <w:rsid w:val="00C70A79"/>
    <w:rsid w:val="00C70AC9"/>
    <w:rsid w:val="00C70BF0"/>
    <w:rsid w:val="00C70DE4"/>
    <w:rsid w:val="00C70E40"/>
    <w:rsid w:val="00C7116C"/>
    <w:rsid w:val="00C7117A"/>
    <w:rsid w:val="00C713ED"/>
    <w:rsid w:val="00C714A7"/>
    <w:rsid w:val="00C7156C"/>
    <w:rsid w:val="00C716B6"/>
    <w:rsid w:val="00C71888"/>
    <w:rsid w:val="00C71BB7"/>
    <w:rsid w:val="00C71BEE"/>
    <w:rsid w:val="00C71D6E"/>
    <w:rsid w:val="00C71E55"/>
    <w:rsid w:val="00C71F7F"/>
    <w:rsid w:val="00C7214F"/>
    <w:rsid w:val="00C72318"/>
    <w:rsid w:val="00C7247E"/>
    <w:rsid w:val="00C724E6"/>
    <w:rsid w:val="00C72836"/>
    <w:rsid w:val="00C72972"/>
    <w:rsid w:val="00C729B9"/>
    <w:rsid w:val="00C72C23"/>
    <w:rsid w:val="00C72D4B"/>
    <w:rsid w:val="00C72EA4"/>
    <w:rsid w:val="00C72FEF"/>
    <w:rsid w:val="00C7306C"/>
    <w:rsid w:val="00C7317E"/>
    <w:rsid w:val="00C735AB"/>
    <w:rsid w:val="00C7371A"/>
    <w:rsid w:val="00C738B4"/>
    <w:rsid w:val="00C73A24"/>
    <w:rsid w:val="00C73A25"/>
    <w:rsid w:val="00C73EF4"/>
    <w:rsid w:val="00C74458"/>
    <w:rsid w:val="00C744AF"/>
    <w:rsid w:val="00C74500"/>
    <w:rsid w:val="00C74639"/>
    <w:rsid w:val="00C7475F"/>
    <w:rsid w:val="00C7478D"/>
    <w:rsid w:val="00C7479E"/>
    <w:rsid w:val="00C747A5"/>
    <w:rsid w:val="00C74B0A"/>
    <w:rsid w:val="00C74CC1"/>
    <w:rsid w:val="00C74E1A"/>
    <w:rsid w:val="00C74E55"/>
    <w:rsid w:val="00C74F96"/>
    <w:rsid w:val="00C74F9F"/>
    <w:rsid w:val="00C7500C"/>
    <w:rsid w:val="00C752A3"/>
    <w:rsid w:val="00C758B1"/>
    <w:rsid w:val="00C758FB"/>
    <w:rsid w:val="00C75939"/>
    <w:rsid w:val="00C75E66"/>
    <w:rsid w:val="00C75F93"/>
    <w:rsid w:val="00C761BB"/>
    <w:rsid w:val="00C76203"/>
    <w:rsid w:val="00C7655D"/>
    <w:rsid w:val="00C7669E"/>
    <w:rsid w:val="00C766E8"/>
    <w:rsid w:val="00C76E1F"/>
    <w:rsid w:val="00C77287"/>
    <w:rsid w:val="00C772F8"/>
    <w:rsid w:val="00C774FE"/>
    <w:rsid w:val="00C77577"/>
    <w:rsid w:val="00C775BE"/>
    <w:rsid w:val="00C776A9"/>
    <w:rsid w:val="00C77775"/>
    <w:rsid w:val="00C77857"/>
    <w:rsid w:val="00C77922"/>
    <w:rsid w:val="00C77ABF"/>
    <w:rsid w:val="00C77D7D"/>
    <w:rsid w:val="00C77F82"/>
    <w:rsid w:val="00C77FF2"/>
    <w:rsid w:val="00C8008E"/>
    <w:rsid w:val="00C802AD"/>
    <w:rsid w:val="00C80602"/>
    <w:rsid w:val="00C8073F"/>
    <w:rsid w:val="00C80DE6"/>
    <w:rsid w:val="00C80E53"/>
    <w:rsid w:val="00C80E5A"/>
    <w:rsid w:val="00C810EF"/>
    <w:rsid w:val="00C813D9"/>
    <w:rsid w:val="00C814B5"/>
    <w:rsid w:val="00C81539"/>
    <w:rsid w:val="00C815C9"/>
    <w:rsid w:val="00C81A4B"/>
    <w:rsid w:val="00C81A8A"/>
    <w:rsid w:val="00C81ED6"/>
    <w:rsid w:val="00C81FFB"/>
    <w:rsid w:val="00C823B0"/>
    <w:rsid w:val="00C82A8E"/>
    <w:rsid w:val="00C82B79"/>
    <w:rsid w:val="00C82E82"/>
    <w:rsid w:val="00C831A5"/>
    <w:rsid w:val="00C8323F"/>
    <w:rsid w:val="00C83461"/>
    <w:rsid w:val="00C83592"/>
    <w:rsid w:val="00C8360C"/>
    <w:rsid w:val="00C83C12"/>
    <w:rsid w:val="00C83CB1"/>
    <w:rsid w:val="00C840FB"/>
    <w:rsid w:val="00C84296"/>
    <w:rsid w:val="00C84376"/>
    <w:rsid w:val="00C844D7"/>
    <w:rsid w:val="00C84760"/>
    <w:rsid w:val="00C84940"/>
    <w:rsid w:val="00C849BE"/>
    <w:rsid w:val="00C84AB0"/>
    <w:rsid w:val="00C84D32"/>
    <w:rsid w:val="00C84D34"/>
    <w:rsid w:val="00C84DDB"/>
    <w:rsid w:val="00C84E2D"/>
    <w:rsid w:val="00C84E4B"/>
    <w:rsid w:val="00C84F33"/>
    <w:rsid w:val="00C84F5E"/>
    <w:rsid w:val="00C850CB"/>
    <w:rsid w:val="00C8510A"/>
    <w:rsid w:val="00C851F2"/>
    <w:rsid w:val="00C85269"/>
    <w:rsid w:val="00C85314"/>
    <w:rsid w:val="00C857B0"/>
    <w:rsid w:val="00C85A82"/>
    <w:rsid w:val="00C8613D"/>
    <w:rsid w:val="00C86185"/>
    <w:rsid w:val="00C8635F"/>
    <w:rsid w:val="00C86A70"/>
    <w:rsid w:val="00C86ADE"/>
    <w:rsid w:val="00C86AF7"/>
    <w:rsid w:val="00C86E32"/>
    <w:rsid w:val="00C86FED"/>
    <w:rsid w:val="00C870B7"/>
    <w:rsid w:val="00C87172"/>
    <w:rsid w:val="00C87211"/>
    <w:rsid w:val="00C87382"/>
    <w:rsid w:val="00C875E4"/>
    <w:rsid w:val="00C876A7"/>
    <w:rsid w:val="00C876D4"/>
    <w:rsid w:val="00C87741"/>
    <w:rsid w:val="00C877E6"/>
    <w:rsid w:val="00C87879"/>
    <w:rsid w:val="00C87968"/>
    <w:rsid w:val="00C87DCF"/>
    <w:rsid w:val="00C87F19"/>
    <w:rsid w:val="00C90125"/>
    <w:rsid w:val="00C901E1"/>
    <w:rsid w:val="00C90511"/>
    <w:rsid w:val="00C908A5"/>
    <w:rsid w:val="00C909A7"/>
    <w:rsid w:val="00C90AE8"/>
    <w:rsid w:val="00C90B2C"/>
    <w:rsid w:val="00C90C1B"/>
    <w:rsid w:val="00C90D16"/>
    <w:rsid w:val="00C90E9E"/>
    <w:rsid w:val="00C90F46"/>
    <w:rsid w:val="00C91004"/>
    <w:rsid w:val="00C91309"/>
    <w:rsid w:val="00C91437"/>
    <w:rsid w:val="00C917CA"/>
    <w:rsid w:val="00C91860"/>
    <w:rsid w:val="00C91F00"/>
    <w:rsid w:val="00C920D2"/>
    <w:rsid w:val="00C92125"/>
    <w:rsid w:val="00C9214B"/>
    <w:rsid w:val="00C922A1"/>
    <w:rsid w:val="00C923CC"/>
    <w:rsid w:val="00C9270C"/>
    <w:rsid w:val="00C92946"/>
    <w:rsid w:val="00C92982"/>
    <w:rsid w:val="00C92C99"/>
    <w:rsid w:val="00C92D08"/>
    <w:rsid w:val="00C92DCF"/>
    <w:rsid w:val="00C92EAC"/>
    <w:rsid w:val="00C92FBB"/>
    <w:rsid w:val="00C93178"/>
    <w:rsid w:val="00C933BE"/>
    <w:rsid w:val="00C93B9A"/>
    <w:rsid w:val="00C93C12"/>
    <w:rsid w:val="00C940C3"/>
    <w:rsid w:val="00C94144"/>
    <w:rsid w:val="00C941F1"/>
    <w:rsid w:val="00C9464F"/>
    <w:rsid w:val="00C9483E"/>
    <w:rsid w:val="00C94AD0"/>
    <w:rsid w:val="00C94C78"/>
    <w:rsid w:val="00C94DA3"/>
    <w:rsid w:val="00C94EBD"/>
    <w:rsid w:val="00C9501A"/>
    <w:rsid w:val="00C95127"/>
    <w:rsid w:val="00C9515A"/>
    <w:rsid w:val="00C95577"/>
    <w:rsid w:val="00C95620"/>
    <w:rsid w:val="00C957B0"/>
    <w:rsid w:val="00C957B9"/>
    <w:rsid w:val="00C95C94"/>
    <w:rsid w:val="00C95D07"/>
    <w:rsid w:val="00C95E6B"/>
    <w:rsid w:val="00C9607B"/>
    <w:rsid w:val="00C964E0"/>
    <w:rsid w:val="00C96827"/>
    <w:rsid w:val="00C96DED"/>
    <w:rsid w:val="00C96DF3"/>
    <w:rsid w:val="00C97255"/>
    <w:rsid w:val="00C97260"/>
    <w:rsid w:val="00C97334"/>
    <w:rsid w:val="00C97404"/>
    <w:rsid w:val="00C9790A"/>
    <w:rsid w:val="00C97A88"/>
    <w:rsid w:val="00C97C53"/>
    <w:rsid w:val="00C97EC3"/>
    <w:rsid w:val="00CA00A9"/>
    <w:rsid w:val="00CA0116"/>
    <w:rsid w:val="00CA02ED"/>
    <w:rsid w:val="00CA046F"/>
    <w:rsid w:val="00CA0614"/>
    <w:rsid w:val="00CA09D6"/>
    <w:rsid w:val="00CA0A73"/>
    <w:rsid w:val="00CA0D4D"/>
    <w:rsid w:val="00CA0D60"/>
    <w:rsid w:val="00CA0E34"/>
    <w:rsid w:val="00CA153A"/>
    <w:rsid w:val="00CA1742"/>
    <w:rsid w:val="00CA1979"/>
    <w:rsid w:val="00CA19C7"/>
    <w:rsid w:val="00CA1B2C"/>
    <w:rsid w:val="00CA1D7A"/>
    <w:rsid w:val="00CA1EA3"/>
    <w:rsid w:val="00CA1FB0"/>
    <w:rsid w:val="00CA1FEC"/>
    <w:rsid w:val="00CA2009"/>
    <w:rsid w:val="00CA21F0"/>
    <w:rsid w:val="00CA2572"/>
    <w:rsid w:val="00CA2599"/>
    <w:rsid w:val="00CA25E3"/>
    <w:rsid w:val="00CA271C"/>
    <w:rsid w:val="00CA28CB"/>
    <w:rsid w:val="00CA28F7"/>
    <w:rsid w:val="00CA2900"/>
    <w:rsid w:val="00CA291F"/>
    <w:rsid w:val="00CA2C27"/>
    <w:rsid w:val="00CA3547"/>
    <w:rsid w:val="00CA371E"/>
    <w:rsid w:val="00CA3731"/>
    <w:rsid w:val="00CA381C"/>
    <w:rsid w:val="00CA38D3"/>
    <w:rsid w:val="00CA3967"/>
    <w:rsid w:val="00CA39E3"/>
    <w:rsid w:val="00CA3B10"/>
    <w:rsid w:val="00CA3BFA"/>
    <w:rsid w:val="00CA403D"/>
    <w:rsid w:val="00CA40EE"/>
    <w:rsid w:val="00CA4266"/>
    <w:rsid w:val="00CA444F"/>
    <w:rsid w:val="00CA47D0"/>
    <w:rsid w:val="00CA4972"/>
    <w:rsid w:val="00CA4BC0"/>
    <w:rsid w:val="00CA4C71"/>
    <w:rsid w:val="00CA4D06"/>
    <w:rsid w:val="00CA5098"/>
    <w:rsid w:val="00CA5177"/>
    <w:rsid w:val="00CA5219"/>
    <w:rsid w:val="00CA5301"/>
    <w:rsid w:val="00CA5385"/>
    <w:rsid w:val="00CA5439"/>
    <w:rsid w:val="00CA55F9"/>
    <w:rsid w:val="00CA56C3"/>
    <w:rsid w:val="00CA5CA8"/>
    <w:rsid w:val="00CA5D2B"/>
    <w:rsid w:val="00CA5D5D"/>
    <w:rsid w:val="00CA5D68"/>
    <w:rsid w:val="00CA5D96"/>
    <w:rsid w:val="00CA653C"/>
    <w:rsid w:val="00CA66CE"/>
    <w:rsid w:val="00CA691B"/>
    <w:rsid w:val="00CA6B83"/>
    <w:rsid w:val="00CA6C21"/>
    <w:rsid w:val="00CA6EA5"/>
    <w:rsid w:val="00CA6FDD"/>
    <w:rsid w:val="00CA77CF"/>
    <w:rsid w:val="00CA7844"/>
    <w:rsid w:val="00CA7C79"/>
    <w:rsid w:val="00CA7C99"/>
    <w:rsid w:val="00CA7DF6"/>
    <w:rsid w:val="00CB009C"/>
    <w:rsid w:val="00CB0157"/>
    <w:rsid w:val="00CB025F"/>
    <w:rsid w:val="00CB0274"/>
    <w:rsid w:val="00CB04ED"/>
    <w:rsid w:val="00CB05C4"/>
    <w:rsid w:val="00CB0BE3"/>
    <w:rsid w:val="00CB12D2"/>
    <w:rsid w:val="00CB1438"/>
    <w:rsid w:val="00CB197A"/>
    <w:rsid w:val="00CB19B3"/>
    <w:rsid w:val="00CB1A09"/>
    <w:rsid w:val="00CB1A8A"/>
    <w:rsid w:val="00CB1D88"/>
    <w:rsid w:val="00CB1E4A"/>
    <w:rsid w:val="00CB1E71"/>
    <w:rsid w:val="00CB1F7D"/>
    <w:rsid w:val="00CB2066"/>
    <w:rsid w:val="00CB21E7"/>
    <w:rsid w:val="00CB252A"/>
    <w:rsid w:val="00CB2589"/>
    <w:rsid w:val="00CB2619"/>
    <w:rsid w:val="00CB28E9"/>
    <w:rsid w:val="00CB2DC9"/>
    <w:rsid w:val="00CB31A4"/>
    <w:rsid w:val="00CB329D"/>
    <w:rsid w:val="00CB3400"/>
    <w:rsid w:val="00CB34D5"/>
    <w:rsid w:val="00CB35DB"/>
    <w:rsid w:val="00CB36B0"/>
    <w:rsid w:val="00CB37BB"/>
    <w:rsid w:val="00CB3A5D"/>
    <w:rsid w:val="00CB3A77"/>
    <w:rsid w:val="00CB3E75"/>
    <w:rsid w:val="00CB3F96"/>
    <w:rsid w:val="00CB405C"/>
    <w:rsid w:val="00CB4424"/>
    <w:rsid w:val="00CB480E"/>
    <w:rsid w:val="00CB486C"/>
    <w:rsid w:val="00CB489E"/>
    <w:rsid w:val="00CB48C8"/>
    <w:rsid w:val="00CB4A30"/>
    <w:rsid w:val="00CB4A59"/>
    <w:rsid w:val="00CB4C82"/>
    <w:rsid w:val="00CB4FDA"/>
    <w:rsid w:val="00CB512B"/>
    <w:rsid w:val="00CB51FE"/>
    <w:rsid w:val="00CB5205"/>
    <w:rsid w:val="00CB5276"/>
    <w:rsid w:val="00CB5392"/>
    <w:rsid w:val="00CB5979"/>
    <w:rsid w:val="00CB5C88"/>
    <w:rsid w:val="00CB615D"/>
    <w:rsid w:val="00CB67D4"/>
    <w:rsid w:val="00CB6B8E"/>
    <w:rsid w:val="00CB7226"/>
    <w:rsid w:val="00CB723C"/>
    <w:rsid w:val="00CB7334"/>
    <w:rsid w:val="00CB7363"/>
    <w:rsid w:val="00CB74ED"/>
    <w:rsid w:val="00CB7A0F"/>
    <w:rsid w:val="00CB7D0F"/>
    <w:rsid w:val="00CB7E36"/>
    <w:rsid w:val="00CB7E4B"/>
    <w:rsid w:val="00CB7F05"/>
    <w:rsid w:val="00CC0122"/>
    <w:rsid w:val="00CC03DC"/>
    <w:rsid w:val="00CC0852"/>
    <w:rsid w:val="00CC09AA"/>
    <w:rsid w:val="00CC0D99"/>
    <w:rsid w:val="00CC0F64"/>
    <w:rsid w:val="00CC0FAB"/>
    <w:rsid w:val="00CC1100"/>
    <w:rsid w:val="00CC1137"/>
    <w:rsid w:val="00CC1213"/>
    <w:rsid w:val="00CC1271"/>
    <w:rsid w:val="00CC12B8"/>
    <w:rsid w:val="00CC1390"/>
    <w:rsid w:val="00CC178F"/>
    <w:rsid w:val="00CC1A67"/>
    <w:rsid w:val="00CC1C0D"/>
    <w:rsid w:val="00CC1D35"/>
    <w:rsid w:val="00CC1FDD"/>
    <w:rsid w:val="00CC202E"/>
    <w:rsid w:val="00CC2097"/>
    <w:rsid w:val="00CC2460"/>
    <w:rsid w:val="00CC2851"/>
    <w:rsid w:val="00CC28A5"/>
    <w:rsid w:val="00CC29EA"/>
    <w:rsid w:val="00CC2AC9"/>
    <w:rsid w:val="00CC2AEB"/>
    <w:rsid w:val="00CC2D42"/>
    <w:rsid w:val="00CC2DC7"/>
    <w:rsid w:val="00CC3225"/>
    <w:rsid w:val="00CC33BB"/>
    <w:rsid w:val="00CC343D"/>
    <w:rsid w:val="00CC35EC"/>
    <w:rsid w:val="00CC37DF"/>
    <w:rsid w:val="00CC38AC"/>
    <w:rsid w:val="00CC3C09"/>
    <w:rsid w:val="00CC3EBF"/>
    <w:rsid w:val="00CC4008"/>
    <w:rsid w:val="00CC41FC"/>
    <w:rsid w:val="00CC43D3"/>
    <w:rsid w:val="00CC44AE"/>
    <w:rsid w:val="00CC45A8"/>
    <w:rsid w:val="00CC47DD"/>
    <w:rsid w:val="00CC4899"/>
    <w:rsid w:val="00CC48CE"/>
    <w:rsid w:val="00CC48EA"/>
    <w:rsid w:val="00CC4951"/>
    <w:rsid w:val="00CC4990"/>
    <w:rsid w:val="00CC49CE"/>
    <w:rsid w:val="00CC4CF9"/>
    <w:rsid w:val="00CC50A1"/>
    <w:rsid w:val="00CC50A6"/>
    <w:rsid w:val="00CC52B9"/>
    <w:rsid w:val="00CC52DD"/>
    <w:rsid w:val="00CC5556"/>
    <w:rsid w:val="00CC559D"/>
    <w:rsid w:val="00CC56AA"/>
    <w:rsid w:val="00CC5ACE"/>
    <w:rsid w:val="00CC5BDB"/>
    <w:rsid w:val="00CC5E21"/>
    <w:rsid w:val="00CC5F51"/>
    <w:rsid w:val="00CC5F79"/>
    <w:rsid w:val="00CC628D"/>
    <w:rsid w:val="00CC6553"/>
    <w:rsid w:val="00CC6689"/>
    <w:rsid w:val="00CC6786"/>
    <w:rsid w:val="00CC690E"/>
    <w:rsid w:val="00CC6AE5"/>
    <w:rsid w:val="00CC6F00"/>
    <w:rsid w:val="00CC7267"/>
    <w:rsid w:val="00CC757A"/>
    <w:rsid w:val="00CC7638"/>
    <w:rsid w:val="00CC76DF"/>
    <w:rsid w:val="00CC7771"/>
    <w:rsid w:val="00CC7882"/>
    <w:rsid w:val="00CC78B3"/>
    <w:rsid w:val="00CC7B54"/>
    <w:rsid w:val="00CC7F09"/>
    <w:rsid w:val="00CC7FD0"/>
    <w:rsid w:val="00CD007C"/>
    <w:rsid w:val="00CD0538"/>
    <w:rsid w:val="00CD06D5"/>
    <w:rsid w:val="00CD0B0A"/>
    <w:rsid w:val="00CD0C0D"/>
    <w:rsid w:val="00CD0C13"/>
    <w:rsid w:val="00CD0C62"/>
    <w:rsid w:val="00CD0D65"/>
    <w:rsid w:val="00CD1149"/>
    <w:rsid w:val="00CD1194"/>
    <w:rsid w:val="00CD157A"/>
    <w:rsid w:val="00CD18B9"/>
    <w:rsid w:val="00CD19FA"/>
    <w:rsid w:val="00CD1A9E"/>
    <w:rsid w:val="00CD1BBB"/>
    <w:rsid w:val="00CD1DDC"/>
    <w:rsid w:val="00CD1DDD"/>
    <w:rsid w:val="00CD20A2"/>
    <w:rsid w:val="00CD2224"/>
    <w:rsid w:val="00CD237F"/>
    <w:rsid w:val="00CD26FB"/>
    <w:rsid w:val="00CD27A0"/>
    <w:rsid w:val="00CD2DD8"/>
    <w:rsid w:val="00CD3152"/>
    <w:rsid w:val="00CD318D"/>
    <w:rsid w:val="00CD3360"/>
    <w:rsid w:val="00CD33D9"/>
    <w:rsid w:val="00CD36D7"/>
    <w:rsid w:val="00CD3973"/>
    <w:rsid w:val="00CD3984"/>
    <w:rsid w:val="00CD3F21"/>
    <w:rsid w:val="00CD3FFB"/>
    <w:rsid w:val="00CD4173"/>
    <w:rsid w:val="00CD42D5"/>
    <w:rsid w:val="00CD4647"/>
    <w:rsid w:val="00CD4694"/>
    <w:rsid w:val="00CD4B18"/>
    <w:rsid w:val="00CD4F9D"/>
    <w:rsid w:val="00CD50AA"/>
    <w:rsid w:val="00CD51DC"/>
    <w:rsid w:val="00CD53BE"/>
    <w:rsid w:val="00CD5483"/>
    <w:rsid w:val="00CD5639"/>
    <w:rsid w:val="00CD6002"/>
    <w:rsid w:val="00CD6218"/>
    <w:rsid w:val="00CD6227"/>
    <w:rsid w:val="00CD6508"/>
    <w:rsid w:val="00CD654B"/>
    <w:rsid w:val="00CD678C"/>
    <w:rsid w:val="00CD6892"/>
    <w:rsid w:val="00CD6AC2"/>
    <w:rsid w:val="00CD6B10"/>
    <w:rsid w:val="00CD6B95"/>
    <w:rsid w:val="00CD6DEE"/>
    <w:rsid w:val="00CD792A"/>
    <w:rsid w:val="00CD7C1F"/>
    <w:rsid w:val="00CD7E4D"/>
    <w:rsid w:val="00CD7F2C"/>
    <w:rsid w:val="00CD7FD1"/>
    <w:rsid w:val="00CE016E"/>
    <w:rsid w:val="00CE017B"/>
    <w:rsid w:val="00CE0426"/>
    <w:rsid w:val="00CE0672"/>
    <w:rsid w:val="00CE0911"/>
    <w:rsid w:val="00CE0CE4"/>
    <w:rsid w:val="00CE0E26"/>
    <w:rsid w:val="00CE0E70"/>
    <w:rsid w:val="00CE11BF"/>
    <w:rsid w:val="00CE15D0"/>
    <w:rsid w:val="00CE17E8"/>
    <w:rsid w:val="00CE1828"/>
    <w:rsid w:val="00CE18DF"/>
    <w:rsid w:val="00CE1949"/>
    <w:rsid w:val="00CE1B59"/>
    <w:rsid w:val="00CE1BA1"/>
    <w:rsid w:val="00CE1BCF"/>
    <w:rsid w:val="00CE2003"/>
    <w:rsid w:val="00CE2067"/>
    <w:rsid w:val="00CE223E"/>
    <w:rsid w:val="00CE22E2"/>
    <w:rsid w:val="00CE22EB"/>
    <w:rsid w:val="00CE2487"/>
    <w:rsid w:val="00CE24D3"/>
    <w:rsid w:val="00CE25D4"/>
    <w:rsid w:val="00CE2B45"/>
    <w:rsid w:val="00CE2CB6"/>
    <w:rsid w:val="00CE2ED4"/>
    <w:rsid w:val="00CE3103"/>
    <w:rsid w:val="00CE32A8"/>
    <w:rsid w:val="00CE3397"/>
    <w:rsid w:val="00CE37D3"/>
    <w:rsid w:val="00CE3819"/>
    <w:rsid w:val="00CE3C4A"/>
    <w:rsid w:val="00CE3CD4"/>
    <w:rsid w:val="00CE3D3B"/>
    <w:rsid w:val="00CE3E95"/>
    <w:rsid w:val="00CE3F14"/>
    <w:rsid w:val="00CE41E7"/>
    <w:rsid w:val="00CE4BD4"/>
    <w:rsid w:val="00CE4CED"/>
    <w:rsid w:val="00CE4F66"/>
    <w:rsid w:val="00CE4F8F"/>
    <w:rsid w:val="00CE528B"/>
    <w:rsid w:val="00CE53CE"/>
    <w:rsid w:val="00CE5981"/>
    <w:rsid w:val="00CE5AC2"/>
    <w:rsid w:val="00CE5DAD"/>
    <w:rsid w:val="00CE5E76"/>
    <w:rsid w:val="00CE5EC3"/>
    <w:rsid w:val="00CE601B"/>
    <w:rsid w:val="00CE62D4"/>
    <w:rsid w:val="00CE6598"/>
    <w:rsid w:val="00CE6805"/>
    <w:rsid w:val="00CE69AC"/>
    <w:rsid w:val="00CE6A93"/>
    <w:rsid w:val="00CE6C5D"/>
    <w:rsid w:val="00CE6D55"/>
    <w:rsid w:val="00CE6EA1"/>
    <w:rsid w:val="00CE6F0B"/>
    <w:rsid w:val="00CE7172"/>
    <w:rsid w:val="00CE718D"/>
    <w:rsid w:val="00CE71E4"/>
    <w:rsid w:val="00CE77BA"/>
    <w:rsid w:val="00CE7914"/>
    <w:rsid w:val="00CE7B93"/>
    <w:rsid w:val="00CE7C9D"/>
    <w:rsid w:val="00CE7E00"/>
    <w:rsid w:val="00CE7F2D"/>
    <w:rsid w:val="00CF0215"/>
    <w:rsid w:val="00CF03F0"/>
    <w:rsid w:val="00CF048D"/>
    <w:rsid w:val="00CF050A"/>
    <w:rsid w:val="00CF0836"/>
    <w:rsid w:val="00CF0874"/>
    <w:rsid w:val="00CF099C"/>
    <w:rsid w:val="00CF0A40"/>
    <w:rsid w:val="00CF0AED"/>
    <w:rsid w:val="00CF12A3"/>
    <w:rsid w:val="00CF1336"/>
    <w:rsid w:val="00CF163E"/>
    <w:rsid w:val="00CF16E5"/>
    <w:rsid w:val="00CF17DA"/>
    <w:rsid w:val="00CF1B10"/>
    <w:rsid w:val="00CF1BF5"/>
    <w:rsid w:val="00CF1CF6"/>
    <w:rsid w:val="00CF1ED3"/>
    <w:rsid w:val="00CF2039"/>
    <w:rsid w:val="00CF214B"/>
    <w:rsid w:val="00CF2362"/>
    <w:rsid w:val="00CF2434"/>
    <w:rsid w:val="00CF24BA"/>
    <w:rsid w:val="00CF2886"/>
    <w:rsid w:val="00CF28A7"/>
    <w:rsid w:val="00CF28DB"/>
    <w:rsid w:val="00CF292C"/>
    <w:rsid w:val="00CF2A6C"/>
    <w:rsid w:val="00CF2D69"/>
    <w:rsid w:val="00CF2E4D"/>
    <w:rsid w:val="00CF3031"/>
    <w:rsid w:val="00CF31A1"/>
    <w:rsid w:val="00CF31B3"/>
    <w:rsid w:val="00CF32BB"/>
    <w:rsid w:val="00CF3331"/>
    <w:rsid w:val="00CF3EAB"/>
    <w:rsid w:val="00CF3F0D"/>
    <w:rsid w:val="00CF3F78"/>
    <w:rsid w:val="00CF433A"/>
    <w:rsid w:val="00CF44B2"/>
    <w:rsid w:val="00CF4666"/>
    <w:rsid w:val="00CF49E7"/>
    <w:rsid w:val="00CF4AF3"/>
    <w:rsid w:val="00CF4BDA"/>
    <w:rsid w:val="00CF4F5D"/>
    <w:rsid w:val="00CF5212"/>
    <w:rsid w:val="00CF522B"/>
    <w:rsid w:val="00CF524D"/>
    <w:rsid w:val="00CF5743"/>
    <w:rsid w:val="00CF5894"/>
    <w:rsid w:val="00CF5936"/>
    <w:rsid w:val="00CF5BD1"/>
    <w:rsid w:val="00CF5C1A"/>
    <w:rsid w:val="00CF5C76"/>
    <w:rsid w:val="00CF5FEF"/>
    <w:rsid w:val="00CF600B"/>
    <w:rsid w:val="00CF6271"/>
    <w:rsid w:val="00CF635D"/>
    <w:rsid w:val="00CF64EC"/>
    <w:rsid w:val="00CF650B"/>
    <w:rsid w:val="00CF6567"/>
    <w:rsid w:val="00CF65AE"/>
    <w:rsid w:val="00CF6CE8"/>
    <w:rsid w:val="00CF6E7E"/>
    <w:rsid w:val="00CF6ECA"/>
    <w:rsid w:val="00CF6EE1"/>
    <w:rsid w:val="00CF6F51"/>
    <w:rsid w:val="00CF6F9A"/>
    <w:rsid w:val="00CF744D"/>
    <w:rsid w:val="00CF779B"/>
    <w:rsid w:val="00CF77E3"/>
    <w:rsid w:val="00CF7911"/>
    <w:rsid w:val="00CF79D1"/>
    <w:rsid w:val="00CF7A6C"/>
    <w:rsid w:val="00CF7ACD"/>
    <w:rsid w:val="00CF7E2B"/>
    <w:rsid w:val="00CF7E90"/>
    <w:rsid w:val="00D0034F"/>
    <w:rsid w:val="00D004FB"/>
    <w:rsid w:val="00D008D2"/>
    <w:rsid w:val="00D00E4E"/>
    <w:rsid w:val="00D00F02"/>
    <w:rsid w:val="00D01033"/>
    <w:rsid w:val="00D011A3"/>
    <w:rsid w:val="00D0132D"/>
    <w:rsid w:val="00D01486"/>
    <w:rsid w:val="00D01723"/>
    <w:rsid w:val="00D01A87"/>
    <w:rsid w:val="00D01B22"/>
    <w:rsid w:val="00D01B68"/>
    <w:rsid w:val="00D01CE2"/>
    <w:rsid w:val="00D01E5A"/>
    <w:rsid w:val="00D01F39"/>
    <w:rsid w:val="00D021E8"/>
    <w:rsid w:val="00D023CA"/>
    <w:rsid w:val="00D027EB"/>
    <w:rsid w:val="00D02951"/>
    <w:rsid w:val="00D02964"/>
    <w:rsid w:val="00D029E1"/>
    <w:rsid w:val="00D02DC6"/>
    <w:rsid w:val="00D02E64"/>
    <w:rsid w:val="00D030D8"/>
    <w:rsid w:val="00D0328B"/>
    <w:rsid w:val="00D032DF"/>
    <w:rsid w:val="00D03312"/>
    <w:rsid w:val="00D035BA"/>
    <w:rsid w:val="00D0369F"/>
    <w:rsid w:val="00D03764"/>
    <w:rsid w:val="00D0379E"/>
    <w:rsid w:val="00D03877"/>
    <w:rsid w:val="00D0391D"/>
    <w:rsid w:val="00D03974"/>
    <w:rsid w:val="00D03A81"/>
    <w:rsid w:val="00D03B3B"/>
    <w:rsid w:val="00D046E7"/>
    <w:rsid w:val="00D046F0"/>
    <w:rsid w:val="00D0470F"/>
    <w:rsid w:val="00D0481D"/>
    <w:rsid w:val="00D04919"/>
    <w:rsid w:val="00D04CDF"/>
    <w:rsid w:val="00D04DCF"/>
    <w:rsid w:val="00D04E33"/>
    <w:rsid w:val="00D04F42"/>
    <w:rsid w:val="00D05067"/>
    <w:rsid w:val="00D051BB"/>
    <w:rsid w:val="00D0533A"/>
    <w:rsid w:val="00D05855"/>
    <w:rsid w:val="00D05880"/>
    <w:rsid w:val="00D05A9F"/>
    <w:rsid w:val="00D05C09"/>
    <w:rsid w:val="00D06145"/>
    <w:rsid w:val="00D06A24"/>
    <w:rsid w:val="00D06A63"/>
    <w:rsid w:val="00D06C1F"/>
    <w:rsid w:val="00D06CA8"/>
    <w:rsid w:val="00D06D79"/>
    <w:rsid w:val="00D06F82"/>
    <w:rsid w:val="00D06FB1"/>
    <w:rsid w:val="00D0700C"/>
    <w:rsid w:val="00D070B5"/>
    <w:rsid w:val="00D07108"/>
    <w:rsid w:val="00D0729E"/>
    <w:rsid w:val="00D072F3"/>
    <w:rsid w:val="00D07750"/>
    <w:rsid w:val="00D07803"/>
    <w:rsid w:val="00D07821"/>
    <w:rsid w:val="00D07862"/>
    <w:rsid w:val="00D07AA2"/>
    <w:rsid w:val="00D07BF1"/>
    <w:rsid w:val="00D07C17"/>
    <w:rsid w:val="00D07C44"/>
    <w:rsid w:val="00D1007B"/>
    <w:rsid w:val="00D101F7"/>
    <w:rsid w:val="00D10212"/>
    <w:rsid w:val="00D10298"/>
    <w:rsid w:val="00D1052F"/>
    <w:rsid w:val="00D10720"/>
    <w:rsid w:val="00D107BD"/>
    <w:rsid w:val="00D10ADA"/>
    <w:rsid w:val="00D10C29"/>
    <w:rsid w:val="00D10C2B"/>
    <w:rsid w:val="00D1103A"/>
    <w:rsid w:val="00D11609"/>
    <w:rsid w:val="00D11C59"/>
    <w:rsid w:val="00D12131"/>
    <w:rsid w:val="00D12258"/>
    <w:rsid w:val="00D12429"/>
    <w:rsid w:val="00D12652"/>
    <w:rsid w:val="00D12694"/>
    <w:rsid w:val="00D12809"/>
    <w:rsid w:val="00D1290D"/>
    <w:rsid w:val="00D12ACA"/>
    <w:rsid w:val="00D12B4B"/>
    <w:rsid w:val="00D12D19"/>
    <w:rsid w:val="00D12ED0"/>
    <w:rsid w:val="00D12F48"/>
    <w:rsid w:val="00D12FBC"/>
    <w:rsid w:val="00D1301C"/>
    <w:rsid w:val="00D13383"/>
    <w:rsid w:val="00D1339A"/>
    <w:rsid w:val="00D1357F"/>
    <w:rsid w:val="00D137F4"/>
    <w:rsid w:val="00D13855"/>
    <w:rsid w:val="00D13B0B"/>
    <w:rsid w:val="00D13B65"/>
    <w:rsid w:val="00D13F15"/>
    <w:rsid w:val="00D13F1A"/>
    <w:rsid w:val="00D145F5"/>
    <w:rsid w:val="00D1475D"/>
    <w:rsid w:val="00D14898"/>
    <w:rsid w:val="00D14A8C"/>
    <w:rsid w:val="00D14BCB"/>
    <w:rsid w:val="00D15019"/>
    <w:rsid w:val="00D151E8"/>
    <w:rsid w:val="00D152F7"/>
    <w:rsid w:val="00D15343"/>
    <w:rsid w:val="00D157AB"/>
    <w:rsid w:val="00D15A81"/>
    <w:rsid w:val="00D15F25"/>
    <w:rsid w:val="00D16193"/>
    <w:rsid w:val="00D16246"/>
    <w:rsid w:val="00D163CA"/>
    <w:rsid w:val="00D16728"/>
    <w:rsid w:val="00D1679D"/>
    <w:rsid w:val="00D16846"/>
    <w:rsid w:val="00D16A3C"/>
    <w:rsid w:val="00D16ACA"/>
    <w:rsid w:val="00D16CB8"/>
    <w:rsid w:val="00D16ECA"/>
    <w:rsid w:val="00D170EB"/>
    <w:rsid w:val="00D171DA"/>
    <w:rsid w:val="00D17217"/>
    <w:rsid w:val="00D17248"/>
    <w:rsid w:val="00D175D8"/>
    <w:rsid w:val="00D17619"/>
    <w:rsid w:val="00D17855"/>
    <w:rsid w:val="00D178E1"/>
    <w:rsid w:val="00D17965"/>
    <w:rsid w:val="00D17CC4"/>
    <w:rsid w:val="00D17D5F"/>
    <w:rsid w:val="00D17DC5"/>
    <w:rsid w:val="00D17DF9"/>
    <w:rsid w:val="00D200F2"/>
    <w:rsid w:val="00D2012D"/>
    <w:rsid w:val="00D201DF"/>
    <w:rsid w:val="00D202CF"/>
    <w:rsid w:val="00D2041C"/>
    <w:rsid w:val="00D2050A"/>
    <w:rsid w:val="00D2064D"/>
    <w:rsid w:val="00D2073A"/>
    <w:rsid w:val="00D20B0A"/>
    <w:rsid w:val="00D21068"/>
    <w:rsid w:val="00D2109B"/>
    <w:rsid w:val="00D2132D"/>
    <w:rsid w:val="00D213E7"/>
    <w:rsid w:val="00D21618"/>
    <w:rsid w:val="00D216D6"/>
    <w:rsid w:val="00D2185E"/>
    <w:rsid w:val="00D21A33"/>
    <w:rsid w:val="00D21E63"/>
    <w:rsid w:val="00D21EFF"/>
    <w:rsid w:val="00D21F0C"/>
    <w:rsid w:val="00D222EC"/>
    <w:rsid w:val="00D224E4"/>
    <w:rsid w:val="00D2254E"/>
    <w:rsid w:val="00D22725"/>
    <w:rsid w:val="00D22CD6"/>
    <w:rsid w:val="00D22DCC"/>
    <w:rsid w:val="00D22EAC"/>
    <w:rsid w:val="00D22EF7"/>
    <w:rsid w:val="00D22F24"/>
    <w:rsid w:val="00D23188"/>
    <w:rsid w:val="00D231B3"/>
    <w:rsid w:val="00D23223"/>
    <w:rsid w:val="00D2329F"/>
    <w:rsid w:val="00D23721"/>
    <w:rsid w:val="00D23759"/>
    <w:rsid w:val="00D23D04"/>
    <w:rsid w:val="00D2453B"/>
    <w:rsid w:val="00D24755"/>
    <w:rsid w:val="00D247C7"/>
    <w:rsid w:val="00D2498D"/>
    <w:rsid w:val="00D249D9"/>
    <w:rsid w:val="00D24B07"/>
    <w:rsid w:val="00D250EB"/>
    <w:rsid w:val="00D251C9"/>
    <w:rsid w:val="00D25292"/>
    <w:rsid w:val="00D255AA"/>
    <w:rsid w:val="00D25D15"/>
    <w:rsid w:val="00D25EAC"/>
    <w:rsid w:val="00D2607B"/>
    <w:rsid w:val="00D26185"/>
    <w:rsid w:val="00D26243"/>
    <w:rsid w:val="00D26BAC"/>
    <w:rsid w:val="00D271CE"/>
    <w:rsid w:val="00D273B2"/>
    <w:rsid w:val="00D2743E"/>
    <w:rsid w:val="00D2764D"/>
    <w:rsid w:val="00D27677"/>
    <w:rsid w:val="00D276B9"/>
    <w:rsid w:val="00D276C7"/>
    <w:rsid w:val="00D2789A"/>
    <w:rsid w:val="00D27964"/>
    <w:rsid w:val="00D2798E"/>
    <w:rsid w:val="00D27D49"/>
    <w:rsid w:val="00D27EC1"/>
    <w:rsid w:val="00D27FF4"/>
    <w:rsid w:val="00D27FFD"/>
    <w:rsid w:val="00D30324"/>
    <w:rsid w:val="00D30651"/>
    <w:rsid w:val="00D30874"/>
    <w:rsid w:val="00D30B71"/>
    <w:rsid w:val="00D30D53"/>
    <w:rsid w:val="00D30DD5"/>
    <w:rsid w:val="00D30F60"/>
    <w:rsid w:val="00D313A7"/>
    <w:rsid w:val="00D316A1"/>
    <w:rsid w:val="00D3171D"/>
    <w:rsid w:val="00D31DAB"/>
    <w:rsid w:val="00D31E1A"/>
    <w:rsid w:val="00D31FB8"/>
    <w:rsid w:val="00D3212F"/>
    <w:rsid w:val="00D324DB"/>
    <w:rsid w:val="00D32527"/>
    <w:rsid w:val="00D3255D"/>
    <w:rsid w:val="00D32572"/>
    <w:rsid w:val="00D325A4"/>
    <w:rsid w:val="00D325DC"/>
    <w:rsid w:val="00D32709"/>
    <w:rsid w:val="00D32825"/>
    <w:rsid w:val="00D32874"/>
    <w:rsid w:val="00D329F1"/>
    <w:rsid w:val="00D32C57"/>
    <w:rsid w:val="00D32EA2"/>
    <w:rsid w:val="00D33006"/>
    <w:rsid w:val="00D3307D"/>
    <w:rsid w:val="00D330CD"/>
    <w:rsid w:val="00D33219"/>
    <w:rsid w:val="00D333A8"/>
    <w:rsid w:val="00D333EB"/>
    <w:rsid w:val="00D33491"/>
    <w:rsid w:val="00D3364A"/>
    <w:rsid w:val="00D3373B"/>
    <w:rsid w:val="00D3383C"/>
    <w:rsid w:val="00D33A5B"/>
    <w:rsid w:val="00D33C52"/>
    <w:rsid w:val="00D33D65"/>
    <w:rsid w:val="00D33E25"/>
    <w:rsid w:val="00D340A5"/>
    <w:rsid w:val="00D3423D"/>
    <w:rsid w:val="00D342FA"/>
    <w:rsid w:val="00D3466C"/>
    <w:rsid w:val="00D346D0"/>
    <w:rsid w:val="00D347D2"/>
    <w:rsid w:val="00D348A8"/>
    <w:rsid w:val="00D34BCE"/>
    <w:rsid w:val="00D34D03"/>
    <w:rsid w:val="00D34DD3"/>
    <w:rsid w:val="00D34E5F"/>
    <w:rsid w:val="00D34F03"/>
    <w:rsid w:val="00D34F2F"/>
    <w:rsid w:val="00D34FFD"/>
    <w:rsid w:val="00D355F0"/>
    <w:rsid w:val="00D35800"/>
    <w:rsid w:val="00D3581C"/>
    <w:rsid w:val="00D358C2"/>
    <w:rsid w:val="00D359BB"/>
    <w:rsid w:val="00D35A18"/>
    <w:rsid w:val="00D35A1B"/>
    <w:rsid w:val="00D35C9B"/>
    <w:rsid w:val="00D35DA3"/>
    <w:rsid w:val="00D36124"/>
    <w:rsid w:val="00D36393"/>
    <w:rsid w:val="00D36B23"/>
    <w:rsid w:val="00D36C9B"/>
    <w:rsid w:val="00D36EEC"/>
    <w:rsid w:val="00D371CB"/>
    <w:rsid w:val="00D371DA"/>
    <w:rsid w:val="00D373A0"/>
    <w:rsid w:val="00D373D3"/>
    <w:rsid w:val="00D374AC"/>
    <w:rsid w:val="00D37B8A"/>
    <w:rsid w:val="00D37C0C"/>
    <w:rsid w:val="00D37C26"/>
    <w:rsid w:val="00D37E0B"/>
    <w:rsid w:val="00D37E70"/>
    <w:rsid w:val="00D37FAC"/>
    <w:rsid w:val="00D400E1"/>
    <w:rsid w:val="00D404FD"/>
    <w:rsid w:val="00D4082C"/>
    <w:rsid w:val="00D40D0E"/>
    <w:rsid w:val="00D412AB"/>
    <w:rsid w:val="00D414E1"/>
    <w:rsid w:val="00D41512"/>
    <w:rsid w:val="00D41643"/>
    <w:rsid w:val="00D41897"/>
    <w:rsid w:val="00D418F2"/>
    <w:rsid w:val="00D4196A"/>
    <w:rsid w:val="00D41A1B"/>
    <w:rsid w:val="00D41AEF"/>
    <w:rsid w:val="00D41D31"/>
    <w:rsid w:val="00D42019"/>
    <w:rsid w:val="00D42267"/>
    <w:rsid w:val="00D42C84"/>
    <w:rsid w:val="00D42E2E"/>
    <w:rsid w:val="00D42E4E"/>
    <w:rsid w:val="00D43016"/>
    <w:rsid w:val="00D43506"/>
    <w:rsid w:val="00D4379A"/>
    <w:rsid w:val="00D437F3"/>
    <w:rsid w:val="00D438BC"/>
    <w:rsid w:val="00D4399B"/>
    <w:rsid w:val="00D43AC8"/>
    <w:rsid w:val="00D43BE5"/>
    <w:rsid w:val="00D43CA2"/>
    <w:rsid w:val="00D440C5"/>
    <w:rsid w:val="00D44C42"/>
    <w:rsid w:val="00D44C89"/>
    <w:rsid w:val="00D44DE3"/>
    <w:rsid w:val="00D44E38"/>
    <w:rsid w:val="00D45156"/>
    <w:rsid w:val="00D45166"/>
    <w:rsid w:val="00D45255"/>
    <w:rsid w:val="00D453B5"/>
    <w:rsid w:val="00D45675"/>
    <w:rsid w:val="00D45A20"/>
    <w:rsid w:val="00D45B60"/>
    <w:rsid w:val="00D45C31"/>
    <w:rsid w:val="00D45CC0"/>
    <w:rsid w:val="00D4600E"/>
    <w:rsid w:val="00D4607B"/>
    <w:rsid w:val="00D460D4"/>
    <w:rsid w:val="00D46348"/>
    <w:rsid w:val="00D46451"/>
    <w:rsid w:val="00D464D7"/>
    <w:rsid w:val="00D46691"/>
    <w:rsid w:val="00D467B8"/>
    <w:rsid w:val="00D46B9D"/>
    <w:rsid w:val="00D46BB9"/>
    <w:rsid w:val="00D46E5C"/>
    <w:rsid w:val="00D46F3C"/>
    <w:rsid w:val="00D4716F"/>
    <w:rsid w:val="00D47177"/>
    <w:rsid w:val="00D47362"/>
    <w:rsid w:val="00D4777B"/>
    <w:rsid w:val="00D47916"/>
    <w:rsid w:val="00D5008A"/>
    <w:rsid w:val="00D502AD"/>
    <w:rsid w:val="00D50668"/>
    <w:rsid w:val="00D50879"/>
    <w:rsid w:val="00D508FD"/>
    <w:rsid w:val="00D50928"/>
    <w:rsid w:val="00D50C07"/>
    <w:rsid w:val="00D50D31"/>
    <w:rsid w:val="00D50E61"/>
    <w:rsid w:val="00D510CF"/>
    <w:rsid w:val="00D51153"/>
    <w:rsid w:val="00D51171"/>
    <w:rsid w:val="00D51177"/>
    <w:rsid w:val="00D51570"/>
    <w:rsid w:val="00D51610"/>
    <w:rsid w:val="00D516CF"/>
    <w:rsid w:val="00D518EF"/>
    <w:rsid w:val="00D51C34"/>
    <w:rsid w:val="00D51D06"/>
    <w:rsid w:val="00D51D8D"/>
    <w:rsid w:val="00D51F47"/>
    <w:rsid w:val="00D52404"/>
    <w:rsid w:val="00D527CF"/>
    <w:rsid w:val="00D52825"/>
    <w:rsid w:val="00D52924"/>
    <w:rsid w:val="00D52A39"/>
    <w:rsid w:val="00D52ACC"/>
    <w:rsid w:val="00D52B22"/>
    <w:rsid w:val="00D52BB1"/>
    <w:rsid w:val="00D52CE9"/>
    <w:rsid w:val="00D52D6A"/>
    <w:rsid w:val="00D52F0A"/>
    <w:rsid w:val="00D52F88"/>
    <w:rsid w:val="00D53780"/>
    <w:rsid w:val="00D53BED"/>
    <w:rsid w:val="00D53F80"/>
    <w:rsid w:val="00D5420F"/>
    <w:rsid w:val="00D547E7"/>
    <w:rsid w:val="00D547EA"/>
    <w:rsid w:val="00D5480B"/>
    <w:rsid w:val="00D54AC6"/>
    <w:rsid w:val="00D54D43"/>
    <w:rsid w:val="00D54D94"/>
    <w:rsid w:val="00D54E35"/>
    <w:rsid w:val="00D54FCE"/>
    <w:rsid w:val="00D55158"/>
    <w:rsid w:val="00D55326"/>
    <w:rsid w:val="00D556AC"/>
    <w:rsid w:val="00D558F3"/>
    <w:rsid w:val="00D5592E"/>
    <w:rsid w:val="00D55CC7"/>
    <w:rsid w:val="00D55D8C"/>
    <w:rsid w:val="00D55F39"/>
    <w:rsid w:val="00D56113"/>
    <w:rsid w:val="00D56121"/>
    <w:rsid w:val="00D56376"/>
    <w:rsid w:val="00D564DE"/>
    <w:rsid w:val="00D56B26"/>
    <w:rsid w:val="00D56D93"/>
    <w:rsid w:val="00D56E94"/>
    <w:rsid w:val="00D5710A"/>
    <w:rsid w:val="00D572F9"/>
    <w:rsid w:val="00D57522"/>
    <w:rsid w:val="00D576D7"/>
    <w:rsid w:val="00D57E62"/>
    <w:rsid w:val="00D60141"/>
    <w:rsid w:val="00D601BC"/>
    <w:rsid w:val="00D603B4"/>
    <w:rsid w:val="00D6040E"/>
    <w:rsid w:val="00D605D0"/>
    <w:rsid w:val="00D609AA"/>
    <w:rsid w:val="00D60A7B"/>
    <w:rsid w:val="00D60AAA"/>
    <w:rsid w:val="00D60EB6"/>
    <w:rsid w:val="00D61152"/>
    <w:rsid w:val="00D61229"/>
    <w:rsid w:val="00D61483"/>
    <w:rsid w:val="00D6152A"/>
    <w:rsid w:val="00D6157E"/>
    <w:rsid w:val="00D61800"/>
    <w:rsid w:val="00D61917"/>
    <w:rsid w:val="00D6196C"/>
    <w:rsid w:val="00D61B3F"/>
    <w:rsid w:val="00D61BC9"/>
    <w:rsid w:val="00D61BE3"/>
    <w:rsid w:val="00D61CC3"/>
    <w:rsid w:val="00D62132"/>
    <w:rsid w:val="00D62719"/>
    <w:rsid w:val="00D6292D"/>
    <w:rsid w:val="00D629C1"/>
    <w:rsid w:val="00D62B7F"/>
    <w:rsid w:val="00D62C6C"/>
    <w:rsid w:val="00D62D2B"/>
    <w:rsid w:val="00D62DE9"/>
    <w:rsid w:val="00D62EFB"/>
    <w:rsid w:val="00D62FEB"/>
    <w:rsid w:val="00D633DF"/>
    <w:rsid w:val="00D6340A"/>
    <w:rsid w:val="00D63427"/>
    <w:rsid w:val="00D63878"/>
    <w:rsid w:val="00D63AD9"/>
    <w:rsid w:val="00D63C1A"/>
    <w:rsid w:val="00D63F35"/>
    <w:rsid w:val="00D63F97"/>
    <w:rsid w:val="00D64391"/>
    <w:rsid w:val="00D643F4"/>
    <w:rsid w:val="00D646B8"/>
    <w:rsid w:val="00D64B77"/>
    <w:rsid w:val="00D64CEB"/>
    <w:rsid w:val="00D64CEC"/>
    <w:rsid w:val="00D64F36"/>
    <w:rsid w:val="00D65810"/>
    <w:rsid w:val="00D65AD0"/>
    <w:rsid w:val="00D65D33"/>
    <w:rsid w:val="00D65DED"/>
    <w:rsid w:val="00D65EAA"/>
    <w:rsid w:val="00D65EB1"/>
    <w:rsid w:val="00D65ED7"/>
    <w:rsid w:val="00D65F0D"/>
    <w:rsid w:val="00D661B2"/>
    <w:rsid w:val="00D66601"/>
    <w:rsid w:val="00D6668A"/>
    <w:rsid w:val="00D668A4"/>
    <w:rsid w:val="00D6696C"/>
    <w:rsid w:val="00D66EDC"/>
    <w:rsid w:val="00D66FC6"/>
    <w:rsid w:val="00D6711C"/>
    <w:rsid w:val="00D6717C"/>
    <w:rsid w:val="00D67189"/>
    <w:rsid w:val="00D672B8"/>
    <w:rsid w:val="00D67383"/>
    <w:rsid w:val="00D67755"/>
    <w:rsid w:val="00D6776C"/>
    <w:rsid w:val="00D6776E"/>
    <w:rsid w:val="00D6792C"/>
    <w:rsid w:val="00D67E1B"/>
    <w:rsid w:val="00D7016D"/>
    <w:rsid w:val="00D701E7"/>
    <w:rsid w:val="00D7020C"/>
    <w:rsid w:val="00D702A6"/>
    <w:rsid w:val="00D7044D"/>
    <w:rsid w:val="00D706E1"/>
    <w:rsid w:val="00D707C1"/>
    <w:rsid w:val="00D708F4"/>
    <w:rsid w:val="00D709D9"/>
    <w:rsid w:val="00D70DB4"/>
    <w:rsid w:val="00D71039"/>
    <w:rsid w:val="00D710AC"/>
    <w:rsid w:val="00D71172"/>
    <w:rsid w:val="00D71260"/>
    <w:rsid w:val="00D71433"/>
    <w:rsid w:val="00D714C9"/>
    <w:rsid w:val="00D71506"/>
    <w:rsid w:val="00D71520"/>
    <w:rsid w:val="00D7160A"/>
    <w:rsid w:val="00D718AB"/>
    <w:rsid w:val="00D71D06"/>
    <w:rsid w:val="00D71E06"/>
    <w:rsid w:val="00D71E22"/>
    <w:rsid w:val="00D71EE2"/>
    <w:rsid w:val="00D72402"/>
    <w:rsid w:val="00D7268B"/>
    <w:rsid w:val="00D726B1"/>
    <w:rsid w:val="00D728BC"/>
    <w:rsid w:val="00D7296B"/>
    <w:rsid w:val="00D72A3C"/>
    <w:rsid w:val="00D72CD1"/>
    <w:rsid w:val="00D7309D"/>
    <w:rsid w:val="00D73511"/>
    <w:rsid w:val="00D7351A"/>
    <w:rsid w:val="00D73652"/>
    <w:rsid w:val="00D73960"/>
    <w:rsid w:val="00D73979"/>
    <w:rsid w:val="00D73B80"/>
    <w:rsid w:val="00D73F27"/>
    <w:rsid w:val="00D73FF8"/>
    <w:rsid w:val="00D740CB"/>
    <w:rsid w:val="00D740F6"/>
    <w:rsid w:val="00D744F1"/>
    <w:rsid w:val="00D746A6"/>
    <w:rsid w:val="00D74953"/>
    <w:rsid w:val="00D74A42"/>
    <w:rsid w:val="00D74D1F"/>
    <w:rsid w:val="00D74D3A"/>
    <w:rsid w:val="00D74D51"/>
    <w:rsid w:val="00D750B1"/>
    <w:rsid w:val="00D75107"/>
    <w:rsid w:val="00D7535C"/>
    <w:rsid w:val="00D75576"/>
    <w:rsid w:val="00D75761"/>
    <w:rsid w:val="00D757EB"/>
    <w:rsid w:val="00D758FE"/>
    <w:rsid w:val="00D75A0B"/>
    <w:rsid w:val="00D75C57"/>
    <w:rsid w:val="00D75EE8"/>
    <w:rsid w:val="00D75F6D"/>
    <w:rsid w:val="00D76008"/>
    <w:rsid w:val="00D76022"/>
    <w:rsid w:val="00D7621F"/>
    <w:rsid w:val="00D763BE"/>
    <w:rsid w:val="00D763E3"/>
    <w:rsid w:val="00D764D1"/>
    <w:rsid w:val="00D7654B"/>
    <w:rsid w:val="00D7690B"/>
    <w:rsid w:val="00D76910"/>
    <w:rsid w:val="00D76960"/>
    <w:rsid w:val="00D76AA3"/>
    <w:rsid w:val="00D76BE1"/>
    <w:rsid w:val="00D76D55"/>
    <w:rsid w:val="00D76E74"/>
    <w:rsid w:val="00D770AC"/>
    <w:rsid w:val="00D77199"/>
    <w:rsid w:val="00D77261"/>
    <w:rsid w:val="00D77486"/>
    <w:rsid w:val="00D77BD4"/>
    <w:rsid w:val="00D77E0C"/>
    <w:rsid w:val="00D77EB1"/>
    <w:rsid w:val="00D77FC4"/>
    <w:rsid w:val="00D77FFC"/>
    <w:rsid w:val="00D7E541"/>
    <w:rsid w:val="00D801EC"/>
    <w:rsid w:val="00D80252"/>
    <w:rsid w:val="00D80502"/>
    <w:rsid w:val="00D80695"/>
    <w:rsid w:val="00D809FD"/>
    <w:rsid w:val="00D80C27"/>
    <w:rsid w:val="00D80D3C"/>
    <w:rsid w:val="00D80D3E"/>
    <w:rsid w:val="00D80E30"/>
    <w:rsid w:val="00D8113E"/>
    <w:rsid w:val="00D811B6"/>
    <w:rsid w:val="00D811D5"/>
    <w:rsid w:val="00D814D3"/>
    <w:rsid w:val="00D8178B"/>
    <w:rsid w:val="00D818D6"/>
    <w:rsid w:val="00D8194E"/>
    <w:rsid w:val="00D81955"/>
    <w:rsid w:val="00D819B3"/>
    <w:rsid w:val="00D81EEB"/>
    <w:rsid w:val="00D82091"/>
    <w:rsid w:val="00D82181"/>
    <w:rsid w:val="00D82183"/>
    <w:rsid w:val="00D82647"/>
    <w:rsid w:val="00D828FE"/>
    <w:rsid w:val="00D82DF1"/>
    <w:rsid w:val="00D82EB3"/>
    <w:rsid w:val="00D83301"/>
    <w:rsid w:val="00D8333D"/>
    <w:rsid w:val="00D833D9"/>
    <w:rsid w:val="00D83631"/>
    <w:rsid w:val="00D839F5"/>
    <w:rsid w:val="00D83BD9"/>
    <w:rsid w:val="00D83D5F"/>
    <w:rsid w:val="00D83E54"/>
    <w:rsid w:val="00D83EC9"/>
    <w:rsid w:val="00D83F5E"/>
    <w:rsid w:val="00D8451D"/>
    <w:rsid w:val="00D845C5"/>
    <w:rsid w:val="00D84636"/>
    <w:rsid w:val="00D84723"/>
    <w:rsid w:val="00D84977"/>
    <w:rsid w:val="00D849E6"/>
    <w:rsid w:val="00D849FC"/>
    <w:rsid w:val="00D84A00"/>
    <w:rsid w:val="00D84B47"/>
    <w:rsid w:val="00D84B4D"/>
    <w:rsid w:val="00D84BBB"/>
    <w:rsid w:val="00D84D60"/>
    <w:rsid w:val="00D84E7C"/>
    <w:rsid w:val="00D84F0E"/>
    <w:rsid w:val="00D84F19"/>
    <w:rsid w:val="00D84F99"/>
    <w:rsid w:val="00D85002"/>
    <w:rsid w:val="00D8508C"/>
    <w:rsid w:val="00D850C4"/>
    <w:rsid w:val="00D85188"/>
    <w:rsid w:val="00D852B7"/>
    <w:rsid w:val="00D8530F"/>
    <w:rsid w:val="00D8553C"/>
    <w:rsid w:val="00D85642"/>
    <w:rsid w:val="00D85BE4"/>
    <w:rsid w:val="00D85F5B"/>
    <w:rsid w:val="00D85F74"/>
    <w:rsid w:val="00D85FB6"/>
    <w:rsid w:val="00D86108"/>
    <w:rsid w:val="00D8615D"/>
    <w:rsid w:val="00D861FA"/>
    <w:rsid w:val="00D86406"/>
    <w:rsid w:val="00D86548"/>
    <w:rsid w:val="00D86764"/>
    <w:rsid w:val="00D867C2"/>
    <w:rsid w:val="00D86ADA"/>
    <w:rsid w:val="00D86B74"/>
    <w:rsid w:val="00D86BC1"/>
    <w:rsid w:val="00D86BC8"/>
    <w:rsid w:val="00D86C42"/>
    <w:rsid w:val="00D86DCF"/>
    <w:rsid w:val="00D86DFC"/>
    <w:rsid w:val="00D86E57"/>
    <w:rsid w:val="00D86ED8"/>
    <w:rsid w:val="00D8729C"/>
    <w:rsid w:val="00D872EA"/>
    <w:rsid w:val="00D87500"/>
    <w:rsid w:val="00D87611"/>
    <w:rsid w:val="00D8766C"/>
    <w:rsid w:val="00D876F4"/>
    <w:rsid w:val="00D8784D"/>
    <w:rsid w:val="00D87855"/>
    <w:rsid w:val="00D879A0"/>
    <w:rsid w:val="00D87A7F"/>
    <w:rsid w:val="00D87B1B"/>
    <w:rsid w:val="00D9009C"/>
    <w:rsid w:val="00D9017D"/>
    <w:rsid w:val="00D902D4"/>
    <w:rsid w:val="00D90339"/>
    <w:rsid w:val="00D904BB"/>
    <w:rsid w:val="00D906C1"/>
    <w:rsid w:val="00D907AB"/>
    <w:rsid w:val="00D9095F"/>
    <w:rsid w:val="00D909EF"/>
    <w:rsid w:val="00D90F93"/>
    <w:rsid w:val="00D90FA0"/>
    <w:rsid w:val="00D9122D"/>
    <w:rsid w:val="00D914C4"/>
    <w:rsid w:val="00D916F6"/>
    <w:rsid w:val="00D9172E"/>
    <w:rsid w:val="00D91758"/>
    <w:rsid w:val="00D91795"/>
    <w:rsid w:val="00D9187D"/>
    <w:rsid w:val="00D91B31"/>
    <w:rsid w:val="00D92053"/>
    <w:rsid w:val="00D92547"/>
    <w:rsid w:val="00D9272C"/>
    <w:rsid w:val="00D92737"/>
    <w:rsid w:val="00D92790"/>
    <w:rsid w:val="00D92973"/>
    <w:rsid w:val="00D92C8B"/>
    <w:rsid w:val="00D93138"/>
    <w:rsid w:val="00D932A2"/>
    <w:rsid w:val="00D932E1"/>
    <w:rsid w:val="00D932F0"/>
    <w:rsid w:val="00D93470"/>
    <w:rsid w:val="00D93BCB"/>
    <w:rsid w:val="00D93E0C"/>
    <w:rsid w:val="00D93F3D"/>
    <w:rsid w:val="00D9408D"/>
    <w:rsid w:val="00D94485"/>
    <w:rsid w:val="00D94720"/>
    <w:rsid w:val="00D94DCF"/>
    <w:rsid w:val="00D94EAE"/>
    <w:rsid w:val="00D9517D"/>
    <w:rsid w:val="00D951A4"/>
    <w:rsid w:val="00D952A5"/>
    <w:rsid w:val="00D95613"/>
    <w:rsid w:val="00D957AE"/>
    <w:rsid w:val="00D95900"/>
    <w:rsid w:val="00D95BBD"/>
    <w:rsid w:val="00D95C86"/>
    <w:rsid w:val="00D95D18"/>
    <w:rsid w:val="00D95EC0"/>
    <w:rsid w:val="00D95F2F"/>
    <w:rsid w:val="00D95F3E"/>
    <w:rsid w:val="00D9601D"/>
    <w:rsid w:val="00D961AC"/>
    <w:rsid w:val="00D96299"/>
    <w:rsid w:val="00D9682E"/>
    <w:rsid w:val="00D96949"/>
    <w:rsid w:val="00D96B56"/>
    <w:rsid w:val="00D96CAE"/>
    <w:rsid w:val="00D96D3D"/>
    <w:rsid w:val="00D96EC6"/>
    <w:rsid w:val="00D97157"/>
    <w:rsid w:val="00D971E1"/>
    <w:rsid w:val="00D97344"/>
    <w:rsid w:val="00D9747D"/>
    <w:rsid w:val="00D974FE"/>
    <w:rsid w:val="00D9768D"/>
    <w:rsid w:val="00D978DD"/>
    <w:rsid w:val="00D97923"/>
    <w:rsid w:val="00D97ED2"/>
    <w:rsid w:val="00DA0388"/>
    <w:rsid w:val="00DA06B6"/>
    <w:rsid w:val="00DA0B47"/>
    <w:rsid w:val="00DA0F4F"/>
    <w:rsid w:val="00DA1003"/>
    <w:rsid w:val="00DA111F"/>
    <w:rsid w:val="00DA11EC"/>
    <w:rsid w:val="00DA12FE"/>
    <w:rsid w:val="00DA1427"/>
    <w:rsid w:val="00DA1556"/>
    <w:rsid w:val="00DA1563"/>
    <w:rsid w:val="00DA1679"/>
    <w:rsid w:val="00DA188F"/>
    <w:rsid w:val="00DA1A99"/>
    <w:rsid w:val="00DA1AF0"/>
    <w:rsid w:val="00DA1C2F"/>
    <w:rsid w:val="00DA1C6B"/>
    <w:rsid w:val="00DA21BF"/>
    <w:rsid w:val="00DA2721"/>
    <w:rsid w:val="00DA293C"/>
    <w:rsid w:val="00DA296D"/>
    <w:rsid w:val="00DA2A02"/>
    <w:rsid w:val="00DA2B34"/>
    <w:rsid w:val="00DA2E31"/>
    <w:rsid w:val="00DA2E66"/>
    <w:rsid w:val="00DA31E2"/>
    <w:rsid w:val="00DA3241"/>
    <w:rsid w:val="00DA338C"/>
    <w:rsid w:val="00DA345E"/>
    <w:rsid w:val="00DA35B0"/>
    <w:rsid w:val="00DA36A0"/>
    <w:rsid w:val="00DA3921"/>
    <w:rsid w:val="00DA3A1D"/>
    <w:rsid w:val="00DA3BC3"/>
    <w:rsid w:val="00DA3CB8"/>
    <w:rsid w:val="00DA3F30"/>
    <w:rsid w:val="00DA40F5"/>
    <w:rsid w:val="00DA42DD"/>
    <w:rsid w:val="00DA42FA"/>
    <w:rsid w:val="00DA45C1"/>
    <w:rsid w:val="00DA4740"/>
    <w:rsid w:val="00DA4969"/>
    <w:rsid w:val="00DA49A2"/>
    <w:rsid w:val="00DA4AEB"/>
    <w:rsid w:val="00DA4C4B"/>
    <w:rsid w:val="00DA4C83"/>
    <w:rsid w:val="00DA4D0F"/>
    <w:rsid w:val="00DA5421"/>
    <w:rsid w:val="00DA558F"/>
    <w:rsid w:val="00DA584D"/>
    <w:rsid w:val="00DA586F"/>
    <w:rsid w:val="00DA5B45"/>
    <w:rsid w:val="00DA5E63"/>
    <w:rsid w:val="00DA5FFE"/>
    <w:rsid w:val="00DA642A"/>
    <w:rsid w:val="00DA64D6"/>
    <w:rsid w:val="00DA6655"/>
    <w:rsid w:val="00DA687F"/>
    <w:rsid w:val="00DA6929"/>
    <w:rsid w:val="00DA6F6C"/>
    <w:rsid w:val="00DA737C"/>
    <w:rsid w:val="00DA7562"/>
    <w:rsid w:val="00DA7603"/>
    <w:rsid w:val="00DA790D"/>
    <w:rsid w:val="00DA7E62"/>
    <w:rsid w:val="00DB017E"/>
    <w:rsid w:val="00DB034C"/>
    <w:rsid w:val="00DB089A"/>
    <w:rsid w:val="00DB08DA"/>
    <w:rsid w:val="00DB0A1C"/>
    <w:rsid w:val="00DB0B16"/>
    <w:rsid w:val="00DB0FD9"/>
    <w:rsid w:val="00DB1154"/>
    <w:rsid w:val="00DB1392"/>
    <w:rsid w:val="00DB150D"/>
    <w:rsid w:val="00DB1651"/>
    <w:rsid w:val="00DB167D"/>
    <w:rsid w:val="00DB179A"/>
    <w:rsid w:val="00DB1A7A"/>
    <w:rsid w:val="00DB1AAA"/>
    <w:rsid w:val="00DB1C48"/>
    <w:rsid w:val="00DB1D9E"/>
    <w:rsid w:val="00DB29C3"/>
    <w:rsid w:val="00DB2C10"/>
    <w:rsid w:val="00DB2F64"/>
    <w:rsid w:val="00DB3341"/>
    <w:rsid w:val="00DB3408"/>
    <w:rsid w:val="00DB391F"/>
    <w:rsid w:val="00DB3BBD"/>
    <w:rsid w:val="00DB3C5F"/>
    <w:rsid w:val="00DB3DB3"/>
    <w:rsid w:val="00DB3F6B"/>
    <w:rsid w:val="00DB4293"/>
    <w:rsid w:val="00DB42E8"/>
    <w:rsid w:val="00DB4339"/>
    <w:rsid w:val="00DB44D6"/>
    <w:rsid w:val="00DB470E"/>
    <w:rsid w:val="00DB4AE2"/>
    <w:rsid w:val="00DB4B8D"/>
    <w:rsid w:val="00DB4C87"/>
    <w:rsid w:val="00DB4EEB"/>
    <w:rsid w:val="00DB4F40"/>
    <w:rsid w:val="00DB5261"/>
    <w:rsid w:val="00DB5371"/>
    <w:rsid w:val="00DB53D8"/>
    <w:rsid w:val="00DB5609"/>
    <w:rsid w:val="00DB56C0"/>
    <w:rsid w:val="00DB5ACF"/>
    <w:rsid w:val="00DB5B93"/>
    <w:rsid w:val="00DB5BAF"/>
    <w:rsid w:val="00DB5C00"/>
    <w:rsid w:val="00DB5C18"/>
    <w:rsid w:val="00DB5DFD"/>
    <w:rsid w:val="00DB5E39"/>
    <w:rsid w:val="00DB600F"/>
    <w:rsid w:val="00DB6427"/>
    <w:rsid w:val="00DB6475"/>
    <w:rsid w:val="00DB64CA"/>
    <w:rsid w:val="00DB64CE"/>
    <w:rsid w:val="00DB65CB"/>
    <w:rsid w:val="00DB68A0"/>
    <w:rsid w:val="00DB6904"/>
    <w:rsid w:val="00DB6AA5"/>
    <w:rsid w:val="00DB6D96"/>
    <w:rsid w:val="00DB6EB0"/>
    <w:rsid w:val="00DB6FB0"/>
    <w:rsid w:val="00DB7245"/>
    <w:rsid w:val="00DB748E"/>
    <w:rsid w:val="00DB7613"/>
    <w:rsid w:val="00DB7780"/>
    <w:rsid w:val="00DB7A52"/>
    <w:rsid w:val="00DB7C4C"/>
    <w:rsid w:val="00DB7CDC"/>
    <w:rsid w:val="00DB7E66"/>
    <w:rsid w:val="00DB7F09"/>
    <w:rsid w:val="00DB7F94"/>
    <w:rsid w:val="00DC0015"/>
    <w:rsid w:val="00DC0071"/>
    <w:rsid w:val="00DC00E8"/>
    <w:rsid w:val="00DC026A"/>
    <w:rsid w:val="00DC0336"/>
    <w:rsid w:val="00DC074D"/>
    <w:rsid w:val="00DC0C51"/>
    <w:rsid w:val="00DC0DB9"/>
    <w:rsid w:val="00DC159F"/>
    <w:rsid w:val="00DC199C"/>
    <w:rsid w:val="00DC1C56"/>
    <w:rsid w:val="00DC1C82"/>
    <w:rsid w:val="00DC1C8B"/>
    <w:rsid w:val="00DC1D34"/>
    <w:rsid w:val="00DC1FA8"/>
    <w:rsid w:val="00DC1FE3"/>
    <w:rsid w:val="00DC20DA"/>
    <w:rsid w:val="00DC2210"/>
    <w:rsid w:val="00DC239D"/>
    <w:rsid w:val="00DC24E6"/>
    <w:rsid w:val="00DC2564"/>
    <w:rsid w:val="00DC27B7"/>
    <w:rsid w:val="00DC28F2"/>
    <w:rsid w:val="00DC2DC1"/>
    <w:rsid w:val="00DC2E0C"/>
    <w:rsid w:val="00DC2E87"/>
    <w:rsid w:val="00DC33BE"/>
    <w:rsid w:val="00DC3610"/>
    <w:rsid w:val="00DC37DF"/>
    <w:rsid w:val="00DC3834"/>
    <w:rsid w:val="00DC3DEC"/>
    <w:rsid w:val="00DC3E9C"/>
    <w:rsid w:val="00DC3FD7"/>
    <w:rsid w:val="00DC4073"/>
    <w:rsid w:val="00DC40E9"/>
    <w:rsid w:val="00DC4111"/>
    <w:rsid w:val="00DC43B9"/>
    <w:rsid w:val="00DC43BB"/>
    <w:rsid w:val="00DC44D1"/>
    <w:rsid w:val="00DC4756"/>
    <w:rsid w:val="00DC4870"/>
    <w:rsid w:val="00DC4B3C"/>
    <w:rsid w:val="00DC4B4D"/>
    <w:rsid w:val="00DC4E64"/>
    <w:rsid w:val="00DC4ED8"/>
    <w:rsid w:val="00DC4F2C"/>
    <w:rsid w:val="00DC4F5B"/>
    <w:rsid w:val="00DC50D8"/>
    <w:rsid w:val="00DC547C"/>
    <w:rsid w:val="00DC55F1"/>
    <w:rsid w:val="00DC5987"/>
    <w:rsid w:val="00DC5ADF"/>
    <w:rsid w:val="00DC5CF9"/>
    <w:rsid w:val="00DC5FBF"/>
    <w:rsid w:val="00DC60E9"/>
    <w:rsid w:val="00DC6379"/>
    <w:rsid w:val="00DC6502"/>
    <w:rsid w:val="00DC6835"/>
    <w:rsid w:val="00DC6901"/>
    <w:rsid w:val="00DC6AAD"/>
    <w:rsid w:val="00DC6EC1"/>
    <w:rsid w:val="00DC725F"/>
    <w:rsid w:val="00DC7425"/>
    <w:rsid w:val="00DC74D4"/>
    <w:rsid w:val="00DC77AB"/>
    <w:rsid w:val="00DC7802"/>
    <w:rsid w:val="00DC781B"/>
    <w:rsid w:val="00DC7949"/>
    <w:rsid w:val="00DC7A3F"/>
    <w:rsid w:val="00DC7D05"/>
    <w:rsid w:val="00DD006F"/>
    <w:rsid w:val="00DD0181"/>
    <w:rsid w:val="00DD0425"/>
    <w:rsid w:val="00DD06D1"/>
    <w:rsid w:val="00DD06EB"/>
    <w:rsid w:val="00DD07C7"/>
    <w:rsid w:val="00DD085D"/>
    <w:rsid w:val="00DD086A"/>
    <w:rsid w:val="00DD0873"/>
    <w:rsid w:val="00DD088A"/>
    <w:rsid w:val="00DD099D"/>
    <w:rsid w:val="00DD09B2"/>
    <w:rsid w:val="00DD0AA8"/>
    <w:rsid w:val="00DD1302"/>
    <w:rsid w:val="00DD1423"/>
    <w:rsid w:val="00DD168A"/>
    <w:rsid w:val="00DD16FA"/>
    <w:rsid w:val="00DD1884"/>
    <w:rsid w:val="00DD1905"/>
    <w:rsid w:val="00DD1A66"/>
    <w:rsid w:val="00DD1D7F"/>
    <w:rsid w:val="00DD20B1"/>
    <w:rsid w:val="00DD2658"/>
    <w:rsid w:val="00DD2704"/>
    <w:rsid w:val="00DD2B03"/>
    <w:rsid w:val="00DD2B6C"/>
    <w:rsid w:val="00DD2BB2"/>
    <w:rsid w:val="00DD2CFD"/>
    <w:rsid w:val="00DD2D5E"/>
    <w:rsid w:val="00DD33CD"/>
    <w:rsid w:val="00DD35B1"/>
    <w:rsid w:val="00DD3612"/>
    <w:rsid w:val="00DD3747"/>
    <w:rsid w:val="00DD3948"/>
    <w:rsid w:val="00DD3980"/>
    <w:rsid w:val="00DD3ADA"/>
    <w:rsid w:val="00DD3B47"/>
    <w:rsid w:val="00DD3C3F"/>
    <w:rsid w:val="00DD3C48"/>
    <w:rsid w:val="00DD3EA5"/>
    <w:rsid w:val="00DD4273"/>
    <w:rsid w:val="00DD4630"/>
    <w:rsid w:val="00DD46B6"/>
    <w:rsid w:val="00DD47E1"/>
    <w:rsid w:val="00DD489F"/>
    <w:rsid w:val="00DD49EF"/>
    <w:rsid w:val="00DD49FE"/>
    <w:rsid w:val="00DD4C0B"/>
    <w:rsid w:val="00DD4E2E"/>
    <w:rsid w:val="00DD562F"/>
    <w:rsid w:val="00DD58C7"/>
    <w:rsid w:val="00DD58CB"/>
    <w:rsid w:val="00DD5C2C"/>
    <w:rsid w:val="00DD5D1E"/>
    <w:rsid w:val="00DD5FC7"/>
    <w:rsid w:val="00DD61C9"/>
    <w:rsid w:val="00DD6549"/>
    <w:rsid w:val="00DD663B"/>
    <w:rsid w:val="00DD6AE3"/>
    <w:rsid w:val="00DD704C"/>
    <w:rsid w:val="00DD737C"/>
    <w:rsid w:val="00DD758B"/>
    <w:rsid w:val="00DD76FE"/>
    <w:rsid w:val="00DD7916"/>
    <w:rsid w:val="00DD7DC9"/>
    <w:rsid w:val="00DD7E02"/>
    <w:rsid w:val="00DD7E4A"/>
    <w:rsid w:val="00DD7F88"/>
    <w:rsid w:val="00DE0187"/>
    <w:rsid w:val="00DE031A"/>
    <w:rsid w:val="00DE0371"/>
    <w:rsid w:val="00DE03E8"/>
    <w:rsid w:val="00DE0555"/>
    <w:rsid w:val="00DE056E"/>
    <w:rsid w:val="00DE068C"/>
    <w:rsid w:val="00DE0754"/>
    <w:rsid w:val="00DE08ED"/>
    <w:rsid w:val="00DE09B1"/>
    <w:rsid w:val="00DE0AD1"/>
    <w:rsid w:val="00DE0BC7"/>
    <w:rsid w:val="00DE0C71"/>
    <w:rsid w:val="00DE0D64"/>
    <w:rsid w:val="00DE0E5E"/>
    <w:rsid w:val="00DE1005"/>
    <w:rsid w:val="00DE1142"/>
    <w:rsid w:val="00DE1357"/>
    <w:rsid w:val="00DE17C8"/>
    <w:rsid w:val="00DE1A29"/>
    <w:rsid w:val="00DE1CB2"/>
    <w:rsid w:val="00DE1CFC"/>
    <w:rsid w:val="00DE1F5B"/>
    <w:rsid w:val="00DE1FF7"/>
    <w:rsid w:val="00DE2200"/>
    <w:rsid w:val="00DE22F0"/>
    <w:rsid w:val="00DE236D"/>
    <w:rsid w:val="00DE23F4"/>
    <w:rsid w:val="00DE2470"/>
    <w:rsid w:val="00DE2494"/>
    <w:rsid w:val="00DE2584"/>
    <w:rsid w:val="00DE26CB"/>
    <w:rsid w:val="00DE26DB"/>
    <w:rsid w:val="00DE2763"/>
    <w:rsid w:val="00DE2D40"/>
    <w:rsid w:val="00DE313C"/>
    <w:rsid w:val="00DE320F"/>
    <w:rsid w:val="00DE329D"/>
    <w:rsid w:val="00DE3398"/>
    <w:rsid w:val="00DE3964"/>
    <w:rsid w:val="00DE3A19"/>
    <w:rsid w:val="00DE3A53"/>
    <w:rsid w:val="00DE3C77"/>
    <w:rsid w:val="00DE3CD3"/>
    <w:rsid w:val="00DE449D"/>
    <w:rsid w:val="00DE44AB"/>
    <w:rsid w:val="00DE490B"/>
    <w:rsid w:val="00DE4A94"/>
    <w:rsid w:val="00DE4CE4"/>
    <w:rsid w:val="00DE4DB4"/>
    <w:rsid w:val="00DE50C8"/>
    <w:rsid w:val="00DE5472"/>
    <w:rsid w:val="00DE5585"/>
    <w:rsid w:val="00DE568F"/>
    <w:rsid w:val="00DE5733"/>
    <w:rsid w:val="00DE584A"/>
    <w:rsid w:val="00DE5916"/>
    <w:rsid w:val="00DE5B03"/>
    <w:rsid w:val="00DE5C7F"/>
    <w:rsid w:val="00DE5FD3"/>
    <w:rsid w:val="00DE6200"/>
    <w:rsid w:val="00DE629D"/>
    <w:rsid w:val="00DE63D1"/>
    <w:rsid w:val="00DE67B5"/>
    <w:rsid w:val="00DE6AB6"/>
    <w:rsid w:val="00DE6D82"/>
    <w:rsid w:val="00DE6E35"/>
    <w:rsid w:val="00DE6F28"/>
    <w:rsid w:val="00DE70D5"/>
    <w:rsid w:val="00DE70F1"/>
    <w:rsid w:val="00DE752A"/>
    <w:rsid w:val="00DE7842"/>
    <w:rsid w:val="00DE7A13"/>
    <w:rsid w:val="00DE7A59"/>
    <w:rsid w:val="00DE7B19"/>
    <w:rsid w:val="00DE7C0E"/>
    <w:rsid w:val="00DE7D73"/>
    <w:rsid w:val="00DF000C"/>
    <w:rsid w:val="00DF0032"/>
    <w:rsid w:val="00DF02C9"/>
    <w:rsid w:val="00DF037C"/>
    <w:rsid w:val="00DF041D"/>
    <w:rsid w:val="00DF0433"/>
    <w:rsid w:val="00DF06D0"/>
    <w:rsid w:val="00DF079B"/>
    <w:rsid w:val="00DF08AB"/>
    <w:rsid w:val="00DF08AE"/>
    <w:rsid w:val="00DF0AEE"/>
    <w:rsid w:val="00DF0CF5"/>
    <w:rsid w:val="00DF10AA"/>
    <w:rsid w:val="00DF10DA"/>
    <w:rsid w:val="00DF1114"/>
    <w:rsid w:val="00DF1254"/>
    <w:rsid w:val="00DF14B6"/>
    <w:rsid w:val="00DF1620"/>
    <w:rsid w:val="00DF19B8"/>
    <w:rsid w:val="00DF1B49"/>
    <w:rsid w:val="00DF1BB8"/>
    <w:rsid w:val="00DF1D3E"/>
    <w:rsid w:val="00DF1E05"/>
    <w:rsid w:val="00DF1F3F"/>
    <w:rsid w:val="00DF20E5"/>
    <w:rsid w:val="00DF211D"/>
    <w:rsid w:val="00DF2124"/>
    <w:rsid w:val="00DF21B5"/>
    <w:rsid w:val="00DF21C6"/>
    <w:rsid w:val="00DF224F"/>
    <w:rsid w:val="00DF2453"/>
    <w:rsid w:val="00DF24AB"/>
    <w:rsid w:val="00DF2594"/>
    <w:rsid w:val="00DF272C"/>
    <w:rsid w:val="00DF27C1"/>
    <w:rsid w:val="00DF2C27"/>
    <w:rsid w:val="00DF3069"/>
    <w:rsid w:val="00DF31E6"/>
    <w:rsid w:val="00DF3282"/>
    <w:rsid w:val="00DF350F"/>
    <w:rsid w:val="00DF3517"/>
    <w:rsid w:val="00DF35CA"/>
    <w:rsid w:val="00DF3977"/>
    <w:rsid w:val="00DF3ADC"/>
    <w:rsid w:val="00DF3C45"/>
    <w:rsid w:val="00DF4350"/>
    <w:rsid w:val="00DF43B6"/>
    <w:rsid w:val="00DF43CF"/>
    <w:rsid w:val="00DF44E7"/>
    <w:rsid w:val="00DF47FE"/>
    <w:rsid w:val="00DF4976"/>
    <w:rsid w:val="00DF4D15"/>
    <w:rsid w:val="00DF506B"/>
    <w:rsid w:val="00DF5098"/>
    <w:rsid w:val="00DF51AA"/>
    <w:rsid w:val="00DF51BF"/>
    <w:rsid w:val="00DF5313"/>
    <w:rsid w:val="00DF5490"/>
    <w:rsid w:val="00DF55E9"/>
    <w:rsid w:val="00DF56D3"/>
    <w:rsid w:val="00DF599A"/>
    <w:rsid w:val="00DF5A35"/>
    <w:rsid w:val="00DF5C12"/>
    <w:rsid w:val="00DF6660"/>
    <w:rsid w:val="00DF68DD"/>
    <w:rsid w:val="00DF6950"/>
    <w:rsid w:val="00DF6B42"/>
    <w:rsid w:val="00DF6CE5"/>
    <w:rsid w:val="00DF6F61"/>
    <w:rsid w:val="00DF7041"/>
    <w:rsid w:val="00DF7112"/>
    <w:rsid w:val="00DF712E"/>
    <w:rsid w:val="00DF74A8"/>
    <w:rsid w:val="00DF7821"/>
    <w:rsid w:val="00DF7834"/>
    <w:rsid w:val="00DF7845"/>
    <w:rsid w:val="00DF794C"/>
    <w:rsid w:val="00DF7A02"/>
    <w:rsid w:val="00DF7B01"/>
    <w:rsid w:val="00DF7C48"/>
    <w:rsid w:val="00DF7C53"/>
    <w:rsid w:val="00DF7CBD"/>
    <w:rsid w:val="00DF7CFB"/>
    <w:rsid w:val="00E001CF"/>
    <w:rsid w:val="00E00507"/>
    <w:rsid w:val="00E0089A"/>
    <w:rsid w:val="00E009D2"/>
    <w:rsid w:val="00E00DC1"/>
    <w:rsid w:val="00E00F6F"/>
    <w:rsid w:val="00E00FF8"/>
    <w:rsid w:val="00E01240"/>
    <w:rsid w:val="00E014B4"/>
    <w:rsid w:val="00E014CC"/>
    <w:rsid w:val="00E01541"/>
    <w:rsid w:val="00E018C4"/>
    <w:rsid w:val="00E01CC0"/>
    <w:rsid w:val="00E01D72"/>
    <w:rsid w:val="00E01F34"/>
    <w:rsid w:val="00E02275"/>
    <w:rsid w:val="00E024CC"/>
    <w:rsid w:val="00E025AC"/>
    <w:rsid w:val="00E0274B"/>
    <w:rsid w:val="00E02B77"/>
    <w:rsid w:val="00E02DA1"/>
    <w:rsid w:val="00E02EED"/>
    <w:rsid w:val="00E02F89"/>
    <w:rsid w:val="00E030D5"/>
    <w:rsid w:val="00E03512"/>
    <w:rsid w:val="00E035BC"/>
    <w:rsid w:val="00E0384E"/>
    <w:rsid w:val="00E03A66"/>
    <w:rsid w:val="00E03B70"/>
    <w:rsid w:val="00E03CC1"/>
    <w:rsid w:val="00E03CC2"/>
    <w:rsid w:val="00E03CF5"/>
    <w:rsid w:val="00E03FDC"/>
    <w:rsid w:val="00E04277"/>
    <w:rsid w:val="00E042F8"/>
    <w:rsid w:val="00E045C1"/>
    <w:rsid w:val="00E04706"/>
    <w:rsid w:val="00E04AD9"/>
    <w:rsid w:val="00E04B11"/>
    <w:rsid w:val="00E04FCD"/>
    <w:rsid w:val="00E0523E"/>
    <w:rsid w:val="00E05296"/>
    <w:rsid w:val="00E05457"/>
    <w:rsid w:val="00E05558"/>
    <w:rsid w:val="00E0577B"/>
    <w:rsid w:val="00E05784"/>
    <w:rsid w:val="00E0583E"/>
    <w:rsid w:val="00E05983"/>
    <w:rsid w:val="00E059B0"/>
    <w:rsid w:val="00E059D8"/>
    <w:rsid w:val="00E05A2F"/>
    <w:rsid w:val="00E05A3A"/>
    <w:rsid w:val="00E05C4D"/>
    <w:rsid w:val="00E05E5C"/>
    <w:rsid w:val="00E060AE"/>
    <w:rsid w:val="00E06327"/>
    <w:rsid w:val="00E06346"/>
    <w:rsid w:val="00E06684"/>
    <w:rsid w:val="00E0683D"/>
    <w:rsid w:val="00E0696F"/>
    <w:rsid w:val="00E06C19"/>
    <w:rsid w:val="00E06C77"/>
    <w:rsid w:val="00E06E74"/>
    <w:rsid w:val="00E06F2E"/>
    <w:rsid w:val="00E0721D"/>
    <w:rsid w:val="00E07496"/>
    <w:rsid w:val="00E076FB"/>
    <w:rsid w:val="00E07786"/>
    <w:rsid w:val="00E0786D"/>
    <w:rsid w:val="00E07AFC"/>
    <w:rsid w:val="00E07C10"/>
    <w:rsid w:val="00E07C3D"/>
    <w:rsid w:val="00E07FC0"/>
    <w:rsid w:val="00E10057"/>
    <w:rsid w:val="00E10199"/>
    <w:rsid w:val="00E101C6"/>
    <w:rsid w:val="00E1041C"/>
    <w:rsid w:val="00E105C7"/>
    <w:rsid w:val="00E10846"/>
    <w:rsid w:val="00E10961"/>
    <w:rsid w:val="00E112B3"/>
    <w:rsid w:val="00E11329"/>
    <w:rsid w:val="00E114D0"/>
    <w:rsid w:val="00E114E2"/>
    <w:rsid w:val="00E1152E"/>
    <w:rsid w:val="00E11BE6"/>
    <w:rsid w:val="00E11E46"/>
    <w:rsid w:val="00E12217"/>
    <w:rsid w:val="00E12463"/>
    <w:rsid w:val="00E124BD"/>
    <w:rsid w:val="00E1271A"/>
    <w:rsid w:val="00E12A28"/>
    <w:rsid w:val="00E12CAE"/>
    <w:rsid w:val="00E12E46"/>
    <w:rsid w:val="00E12F03"/>
    <w:rsid w:val="00E130CB"/>
    <w:rsid w:val="00E130D9"/>
    <w:rsid w:val="00E130F2"/>
    <w:rsid w:val="00E13264"/>
    <w:rsid w:val="00E132C0"/>
    <w:rsid w:val="00E13379"/>
    <w:rsid w:val="00E1371B"/>
    <w:rsid w:val="00E13B9C"/>
    <w:rsid w:val="00E13C61"/>
    <w:rsid w:val="00E13CBD"/>
    <w:rsid w:val="00E14BA4"/>
    <w:rsid w:val="00E14D61"/>
    <w:rsid w:val="00E14F1B"/>
    <w:rsid w:val="00E14F87"/>
    <w:rsid w:val="00E14FB0"/>
    <w:rsid w:val="00E15154"/>
    <w:rsid w:val="00E151B3"/>
    <w:rsid w:val="00E1533E"/>
    <w:rsid w:val="00E153A3"/>
    <w:rsid w:val="00E155F9"/>
    <w:rsid w:val="00E157C3"/>
    <w:rsid w:val="00E15821"/>
    <w:rsid w:val="00E1594E"/>
    <w:rsid w:val="00E15C84"/>
    <w:rsid w:val="00E15D24"/>
    <w:rsid w:val="00E15EFB"/>
    <w:rsid w:val="00E15FDD"/>
    <w:rsid w:val="00E162E0"/>
    <w:rsid w:val="00E1632D"/>
    <w:rsid w:val="00E1633C"/>
    <w:rsid w:val="00E16432"/>
    <w:rsid w:val="00E1690E"/>
    <w:rsid w:val="00E16ABF"/>
    <w:rsid w:val="00E16C9E"/>
    <w:rsid w:val="00E16CD6"/>
    <w:rsid w:val="00E1721C"/>
    <w:rsid w:val="00E173A2"/>
    <w:rsid w:val="00E17907"/>
    <w:rsid w:val="00E17A39"/>
    <w:rsid w:val="00E17A43"/>
    <w:rsid w:val="00E17BCF"/>
    <w:rsid w:val="00E17C27"/>
    <w:rsid w:val="00E17DC3"/>
    <w:rsid w:val="00E17EFE"/>
    <w:rsid w:val="00E17FBF"/>
    <w:rsid w:val="00E2007F"/>
    <w:rsid w:val="00E202BC"/>
    <w:rsid w:val="00E2032E"/>
    <w:rsid w:val="00E2037B"/>
    <w:rsid w:val="00E20486"/>
    <w:rsid w:val="00E204B7"/>
    <w:rsid w:val="00E20532"/>
    <w:rsid w:val="00E20DC1"/>
    <w:rsid w:val="00E20E95"/>
    <w:rsid w:val="00E21121"/>
    <w:rsid w:val="00E211FA"/>
    <w:rsid w:val="00E2162E"/>
    <w:rsid w:val="00E216C3"/>
    <w:rsid w:val="00E21894"/>
    <w:rsid w:val="00E21BBA"/>
    <w:rsid w:val="00E21EED"/>
    <w:rsid w:val="00E21F48"/>
    <w:rsid w:val="00E2224A"/>
    <w:rsid w:val="00E223DB"/>
    <w:rsid w:val="00E223F0"/>
    <w:rsid w:val="00E22482"/>
    <w:rsid w:val="00E224BC"/>
    <w:rsid w:val="00E224E5"/>
    <w:rsid w:val="00E226BB"/>
    <w:rsid w:val="00E22A69"/>
    <w:rsid w:val="00E22D51"/>
    <w:rsid w:val="00E22E3C"/>
    <w:rsid w:val="00E22E6F"/>
    <w:rsid w:val="00E23385"/>
    <w:rsid w:val="00E233D5"/>
    <w:rsid w:val="00E23494"/>
    <w:rsid w:val="00E2350E"/>
    <w:rsid w:val="00E2365C"/>
    <w:rsid w:val="00E23784"/>
    <w:rsid w:val="00E237A1"/>
    <w:rsid w:val="00E23931"/>
    <w:rsid w:val="00E239E3"/>
    <w:rsid w:val="00E23AA4"/>
    <w:rsid w:val="00E23B11"/>
    <w:rsid w:val="00E23F52"/>
    <w:rsid w:val="00E240D5"/>
    <w:rsid w:val="00E2444A"/>
    <w:rsid w:val="00E24451"/>
    <w:rsid w:val="00E24489"/>
    <w:rsid w:val="00E2455F"/>
    <w:rsid w:val="00E24612"/>
    <w:rsid w:val="00E2475D"/>
    <w:rsid w:val="00E24A00"/>
    <w:rsid w:val="00E24DB4"/>
    <w:rsid w:val="00E24EA6"/>
    <w:rsid w:val="00E250CD"/>
    <w:rsid w:val="00E25251"/>
    <w:rsid w:val="00E254C7"/>
    <w:rsid w:val="00E255B5"/>
    <w:rsid w:val="00E2568E"/>
    <w:rsid w:val="00E257DE"/>
    <w:rsid w:val="00E25C55"/>
    <w:rsid w:val="00E25CA7"/>
    <w:rsid w:val="00E26376"/>
    <w:rsid w:val="00E264DD"/>
    <w:rsid w:val="00E264E2"/>
    <w:rsid w:val="00E269B6"/>
    <w:rsid w:val="00E26A42"/>
    <w:rsid w:val="00E26BE3"/>
    <w:rsid w:val="00E26C74"/>
    <w:rsid w:val="00E26CFF"/>
    <w:rsid w:val="00E26D80"/>
    <w:rsid w:val="00E270B2"/>
    <w:rsid w:val="00E270C8"/>
    <w:rsid w:val="00E270FC"/>
    <w:rsid w:val="00E27100"/>
    <w:rsid w:val="00E27147"/>
    <w:rsid w:val="00E2736E"/>
    <w:rsid w:val="00E273E0"/>
    <w:rsid w:val="00E2746D"/>
    <w:rsid w:val="00E279DA"/>
    <w:rsid w:val="00E30033"/>
    <w:rsid w:val="00E30307"/>
    <w:rsid w:val="00E304A0"/>
    <w:rsid w:val="00E30523"/>
    <w:rsid w:val="00E3060F"/>
    <w:rsid w:val="00E30696"/>
    <w:rsid w:val="00E3074D"/>
    <w:rsid w:val="00E308DF"/>
    <w:rsid w:val="00E30C69"/>
    <w:rsid w:val="00E312FF"/>
    <w:rsid w:val="00E317D7"/>
    <w:rsid w:val="00E31864"/>
    <w:rsid w:val="00E31960"/>
    <w:rsid w:val="00E31A9A"/>
    <w:rsid w:val="00E31F57"/>
    <w:rsid w:val="00E32240"/>
    <w:rsid w:val="00E322B1"/>
    <w:rsid w:val="00E322D1"/>
    <w:rsid w:val="00E322FE"/>
    <w:rsid w:val="00E3239D"/>
    <w:rsid w:val="00E324AF"/>
    <w:rsid w:val="00E3273E"/>
    <w:rsid w:val="00E3296B"/>
    <w:rsid w:val="00E32C73"/>
    <w:rsid w:val="00E32D81"/>
    <w:rsid w:val="00E3320D"/>
    <w:rsid w:val="00E332F1"/>
    <w:rsid w:val="00E33839"/>
    <w:rsid w:val="00E33851"/>
    <w:rsid w:val="00E33A39"/>
    <w:rsid w:val="00E33AF1"/>
    <w:rsid w:val="00E33B6B"/>
    <w:rsid w:val="00E33C41"/>
    <w:rsid w:val="00E33D09"/>
    <w:rsid w:val="00E33E0B"/>
    <w:rsid w:val="00E33E1D"/>
    <w:rsid w:val="00E34119"/>
    <w:rsid w:val="00E34133"/>
    <w:rsid w:val="00E3426B"/>
    <w:rsid w:val="00E342FC"/>
    <w:rsid w:val="00E3487A"/>
    <w:rsid w:val="00E349A7"/>
    <w:rsid w:val="00E34A27"/>
    <w:rsid w:val="00E34A56"/>
    <w:rsid w:val="00E34BFF"/>
    <w:rsid w:val="00E34C84"/>
    <w:rsid w:val="00E3508E"/>
    <w:rsid w:val="00E351D9"/>
    <w:rsid w:val="00E35714"/>
    <w:rsid w:val="00E3576D"/>
    <w:rsid w:val="00E35964"/>
    <w:rsid w:val="00E35A8B"/>
    <w:rsid w:val="00E35BAB"/>
    <w:rsid w:val="00E35F05"/>
    <w:rsid w:val="00E35F7C"/>
    <w:rsid w:val="00E361AE"/>
    <w:rsid w:val="00E363C4"/>
    <w:rsid w:val="00E36566"/>
    <w:rsid w:val="00E365DA"/>
    <w:rsid w:val="00E366BE"/>
    <w:rsid w:val="00E366E3"/>
    <w:rsid w:val="00E36A13"/>
    <w:rsid w:val="00E36A26"/>
    <w:rsid w:val="00E36B18"/>
    <w:rsid w:val="00E36C87"/>
    <w:rsid w:val="00E36EB3"/>
    <w:rsid w:val="00E36F1D"/>
    <w:rsid w:val="00E371D6"/>
    <w:rsid w:val="00E374BB"/>
    <w:rsid w:val="00E3793D"/>
    <w:rsid w:val="00E37A9E"/>
    <w:rsid w:val="00E37D55"/>
    <w:rsid w:val="00E37DF5"/>
    <w:rsid w:val="00E37E4F"/>
    <w:rsid w:val="00E4022E"/>
    <w:rsid w:val="00E404EC"/>
    <w:rsid w:val="00E40929"/>
    <w:rsid w:val="00E40E4A"/>
    <w:rsid w:val="00E40E86"/>
    <w:rsid w:val="00E40F1B"/>
    <w:rsid w:val="00E41397"/>
    <w:rsid w:val="00E414B4"/>
    <w:rsid w:val="00E41768"/>
    <w:rsid w:val="00E417BB"/>
    <w:rsid w:val="00E418EB"/>
    <w:rsid w:val="00E419C9"/>
    <w:rsid w:val="00E41ADA"/>
    <w:rsid w:val="00E420E7"/>
    <w:rsid w:val="00E42165"/>
    <w:rsid w:val="00E423EE"/>
    <w:rsid w:val="00E42438"/>
    <w:rsid w:val="00E426E6"/>
    <w:rsid w:val="00E42AB8"/>
    <w:rsid w:val="00E42E5E"/>
    <w:rsid w:val="00E4359C"/>
    <w:rsid w:val="00E43694"/>
    <w:rsid w:val="00E43735"/>
    <w:rsid w:val="00E43817"/>
    <w:rsid w:val="00E43A02"/>
    <w:rsid w:val="00E43C58"/>
    <w:rsid w:val="00E43D20"/>
    <w:rsid w:val="00E4408B"/>
    <w:rsid w:val="00E442E8"/>
    <w:rsid w:val="00E443FE"/>
    <w:rsid w:val="00E44416"/>
    <w:rsid w:val="00E444D8"/>
    <w:rsid w:val="00E44558"/>
    <w:rsid w:val="00E44667"/>
    <w:rsid w:val="00E44A4B"/>
    <w:rsid w:val="00E44B5D"/>
    <w:rsid w:val="00E44E7B"/>
    <w:rsid w:val="00E45786"/>
    <w:rsid w:val="00E45A8E"/>
    <w:rsid w:val="00E45ABD"/>
    <w:rsid w:val="00E45AC7"/>
    <w:rsid w:val="00E45CA6"/>
    <w:rsid w:val="00E45ED2"/>
    <w:rsid w:val="00E45F03"/>
    <w:rsid w:val="00E45FA2"/>
    <w:rsid w:val="00E4606F"/>
    <w:rsid w:val="00E463BF"/>
    <w:rsid w:val="00E469F5"/>
    <w:rsid w:val="00E46ABC"/>
    <w:rsid w:val="00E46DD7"/>
    <w:rsid w:val="00E47121"/>
    <w:rsid w:val="00E4713C"/>
    <w:rsid w:val="00E4715A"/>
    <w:rsid w:val="00E471D2"/>
    <w:rsid w:val="00E472A5"/>
    <w:rsid w:val="00E472D7"/>
    <w:rsid w:val="00E478F5"/>
    <w:rsid w:val="00E479D3"/>
    <w:rsid w:val="00E479E5"/>
    <w:rsid w:val="00E47B93"/>
    <w:rsid w:val="00E47BFE"/>
    <w:rsid w:val="00E47E05"/>
    <w:rsid w:val="00E47E4E"/>
    <w:rsid w:val="00E47F24"/>
    <w:rsid w:val="00E47F46"/>
    <w:rsid w:val="00E5006D"/>
    <w:rsid w:val="00E500C8"/>
    <w:rsid w:val="00E5011A"/>
    <w:rsid w:val="00E5014C"/>
    <w:rsid w:val="00E50262"/>
    <w:rsid w:val="00E50295"/>
    <w:rsid w:val="00E503C7"/>
    <w:rsid w:val="00E503F7"/>
    <w:rsid w:val="00E50602"/>
    <w:rsid w:val="00E506FB"/>
    <w:rsid w:val="00E50837"/>
    <w:rsid w:val="00E50861"/>
    <w:rsid w:val="00E50882"/>
    <w:rsid w:val="00E50B6E"/>
    <w:rsid w:val="00E50D07"/>
    <w:rsid w:val="00E50E7C"/>
    <w:rsid w:val="00E50EB1"/>
    <w:rsid w:val="00E50F13"/>
    <w:rsid w:val="00E512E2"/>
    <w:rsid w:val="00E514DC"/>
    <w:rsid w:val="00E51531"/>
    <w:rsid w:val="00E51545"/>
    <w:rsid w:val="00E51669"/>
    <w:rsid w:val="00E51850"/>
    <w:rsid w:val="00E51ACE"/>
    <w:rsid w:val="00E51D9E"/>
    <w:rsid w:val="00E51FCD"/>
    <w:rsid w:val="00E52160"/>
    <w:rsid w:val="00E52448"/>
    <w:rsid w:val="00E52699"/>
    <w:rsid w:val="00E52701"/>
    <w:rsid w:val="00E52B3B"/>
    <w:rsid w:val="00E52C8D"/>
    <w:rsid w:val="00E52D2E"/>
    <w:rsid w:val="00E52F55"/>
    <w:rsid w:val="00E5318F"/>
    <w:rsid w:val="00E531C4"/>
    <w:rsid w:val="00E5353B"/>
    <w:rsid w:val="00E537D1"/>
    <w:rsid w:val="00E53819"/>
    <w:rsid w:val="00E538E2"/>
    <w:rsid w:val="00E539C6"/>
    <w:rsid w:val="00E539F7"/>
    <w:rsid w:val="00E53C35"/>
    <w:rsid w:val="00E53D46"/>
    <w:rsid w:val="00E53F4F"/>
    <w:rsid w:val="00E545D8"/>
    <w:rsid w:val="00E54697"/>
    <w:rsid w:val="00E54A2E"/>
    <w:rsid w:val="00E54B19"/>
    <w:rsid w:val="00E54CC0"/>
    <w:rsid w:val="00E55018"/>
    <w:rsid w:val="00E550A1"/>
    <w:rsid w:val="00E550AB"/>
    <w:rsid w:val="00E55349"/>
    <w:rsid w:val="00E55610"/>
    <w:rsid w:val="00E55724"/>
    <w:rsid w:val="00E55999"/>
    <w:rsid w:val="00E55B9B"/>
    <w:rsid w:val="00E55BDA"/>
    <w:rsid w:val="00E55C38"/>
    <w:rsid w:val="00E55E96"/>
    <w:rsid w:val="00E55E9A"/>
    <w:rsid w:val="00E55EDB"/>
    <w:rsid w:val="00E55F8F"/>
    <w:rsid w:val="00E55FD6"/>
    <w:rsid w:val="00E56148"/>
    <w:rsid w:val="00E561C3"/>
    <w:rsid w:val="00E56228"/>
    <w:rsid w:val="00E56453"/>
    <w:rsid w:val="00E564F3"/>
    <w:rsid w:val="00E56536"/>
    <w:rsid w:val="00E5668E"/>
    <w:rsid w:val="00E567E6"/>
    <w:rsid w:val="00E5688E"/>
    <w:rsid w:val="00E56971"/>
    <w:rsid w:val="00E56AED"/>
    <w:rsid w:val="00E56B8A"/>
    <w:rsid w:val="00E56CC1"/>
    <w:rsid w:val="00E57184"/>
    <w:rsid w:val="00E571FC"/>
    <w:rsid w:val="00E572CB"/>
    <w:rsid w:val="00E57335"/>
    <w:rsid w:val="00E574A4"/>
    <w:rsid w:val="00E57959"/>
    <w:rsid w:val="00E57A15"/>
    <w:rsid w:val="00E57A22"/>
    <w:rsid w:val="00E57BA7"/>
    <w:rsid w:val="00E57BB1"/>
    <w:rsid w:val="00E57BD2"/>
    <w:rsid w:val="00E57DC0"/>
    <w:rsid w:val="00E57F01"/>
    <w:rsid w:val="00E57F03"/>
    <w:rsid w:val="00E60383"/>
    <w:rsid w:val="00E609B6"/>
    <w:rsid w:val="00E60C8B"/>
    <w:rsid w:val="00E612ED"/>
    <w:rsid w:val="00E613B2"/>
    <w:rsid w:val="00E61407"/>
    <w:rsid w:val="00E61484"/>
    <w:rsid w:val="00E614A3"/>
    <w:rsid w:val="00E617A1"/>
    <w:rsid w:val="00E6187C"/>
    <w:rsid w:val="00E618BF"/>
    <w:rsid w:val="00E61A9C"/>
    <w:rsid w:val="00E62424"/>
    <w:rsid w:val="00E624D8"/>
    <w:rsid w:val="00E6273E"/>
    <w:rsid w:val="00E62810"/>
    <w:rsid w:val="00E62840"/>
    <w:rsid w:val="00E62D77"/>
    <w:rsid w:val="00E62D86"/>
    <w:rsid w:val="00E62EFC"/>
    <w:rsid w:val="00E62FDE"/>
    <w:rsid w:val="00E63024"/>
    <w:rsid w:val="00E63517"/>
    <w:rsid w:val="00E635EA"/>
    <w:rsid w:val="00E63676"/>
    <w:rsid w:val="00E63887"/>
    <w:rsid w:val="00E63A69"/>
    <w:rsid w:val="00E63A96"/>
    <w:rsid w:val="00E63C08"/>
    <w:rsid w:val="00E63FCC"/>
    <w:rsid w:val="00E64050"/>
    <w:rsid w:val="00E6415A"/>
    <w:rsid w:val="00E6415C"/>
    <w:rsid w:val="00E6473C"/>
    <w:rsid w:val="00E64BE9"/>
    <w:rsid w:val="00E64D09"/>
    <w:rsid w:val="00E64E1E"/>
    <w:rsid w:val="00E64FCE"/>
    <w:rsid w:val="00E6505B"/>
    <w:rsid w:val="00E6546F"/>
    <w:rsid w:val="00E65D14"/>
    <w:rsid w:val="00E65E3F"/>
    <w:rsid w:val="00E65F00"/>
    <w:rsid w:val="00E665AA"/>
    <w:rsid w:val="00E66640"/>
    <w:rsid w:val="00E667D1"/>
    <w:rsid w:val="00E667DA"/>
    <w:rsid w:val="00E66813"/>
    <w:rsid w:val="00E66815"/>
    <w:rsid w:val="00E668B5"/>
    <w:rsid w:val="00E66A3C"/>
    <w:rsid w:val="00E66AEF"/>
    <w:rsid w:val="00E66D08"/>
    <w:rsid w:val="00E66FE5"/>
    <w:rsid w:val="00E670D5"/>
    <w:rsid w:val="00E67192"/>
    <w:rsid w:val="00E673F3"/>
    <w:rsid w:val="00E674A0"/>
    <w:rsid w:val="00E677C1"/>
    <w:rsid w:val="00E67890"/>
    <w:rsid w:val="00E6790B"/>
    <w:rsid w:val="00E67975"/>
    <w:rsid w:val="00E70117"/>
    <w:rsid w:val="00E7017C"/>
    <w:rsid w:val="00E70432"/>
    <w:rsid w:val="00E707B1"/>
    <w:rsid w:val="00E707E7"/>
    <w:rsid w:val="00E70B0A"/>
    <w:rsid w:val="00E70B2D"/>
    <w:rsid w:val="00E70B6E"/>
    <w:rsid w:val="00E70C5A"/>
    <w:rsid w:val="00E70D06"/>
    <w:rsid w:val="00E70DF7"/>
    <w:rsid w:val="00E71005"/>
    <w:rsid w:val="00E711D7"/>
    <w:rsid w:val="00E7121C"/>
    <w:rsid w:val="00E71340"/>
    <w:rsid w:val="00E7150B"/>
    <w:rsid w:val="00E7177D"/>
    <w:rsid w:val="00E7178D"/>
    <w:rsid w:val="00E71843"/>
    <w:rsid w:val="00E71874"/>
    <w:rsid w:val="00E718C2"/>
    <w:rsid w:val="00E71BB1"/>
    <w:rsid w:val="00E71D2F"/>
    <w:rsid w:val="00E71E10"/>
    <w:rsid w:val="00E72032"/>
    <w:rsid w:val="00E724D0"/>
    <w:rsid w:val="00E725E2"/>
    <w:rsid w:val="00E726F5"/>
    <w:rsid w:val="00E72AC4"/>
    <w:rsid w:val="00E72DFB"/>
    <w:rsid w:val="00E732EB"/>
    <w:rsid w:val="00E73421"/>
    <w:rsid w:val="00E7346A"/>
    <w:rsid w:val="00E735BB"/>
    <w:rsid w:val="00E73E71"/>
    <w:rsid w:val="00E73F2C"/>
    <w:rsid w:val="00E741A4"/>
    <w:rsid w:val="00E744E5"/>
    <w:rsid w:val="00E745E1"/>
    <w:rsid w:val="00E746C0"/>
    <w:rsid w:val="00E74916"/>
    <w:rsid w:val="00E74BEE"/>
    <w:rsid w:val="00E74C8A"/>
    <w:rsid w:val="00E74E5C"/>
    <w:rsid w:val="00E74EC7"/>
    <w:rsid w:val="00E75404"/>
    <w:rsid w:val="00E75663"/>
    <w:rsid w:val="00E75AE1"/>
    <w:rsid w:val="00E75B9A"/>
    <w:rsid w:val="00E75EED"/>
    <w:rsid w:val="00E75F2E"/>
    <w:rsid w:val="00E75F80"/>
    <w:rsid w:val="00E75FB6"/>
    <w:rsid w:val="00E76015"/>
    <w:rsid w:val="00E76069"/>
    <w:rsid w:val="00E7644B"/>
    <w:rsid w:val="00E7653C"/>
    <w:rsid w:val="00E76666"/>
    <w:rsid w:val="00E7666F"/>
    <w:rsid w:val="00E767AA"/>
    <w:rsid w:val="00E76B1B"/>
    <w:rsid w:val="00E76F44"/>
    <w:rsid w:val="00E77636"/>
    <w:rsid w:val="00E776FA"/>
    <w:rsid w:val="00E777C9"/>
    <w:rsid w:val="00E77CD7"/>
    <w:rsid w:val="00E77D20"/>
    <w:rsid w:val="00E77E7B"/>
    <w:rsid w:val="00E77F8D"/>
    <w:rsid w:val="00E77FCA"/>
    <w:rsid w:val="00E800CD"/>
    <w:rsid w:val="00E8013D"/>
    <w:rsid w:val="00E80259"/>
    <w:rsid w:val="00E802D1"/>
    <w:rsid w:val="00E80655"/>
    <w:rsid w:val="00E80D28"/>
    <w:rsid w:val="00E80D8B"/>
    <w:rsid w:val="00E810CD"/>
    <w:rsid w:val="00E81229"/>
    <w:rsid w:val="00E8134B"/>
    <w:rsid w:val="00E8153B"/>
    <w:rsid w:val="00E815E1"/>
    <w:rsid w:val="00E81A6B"/>
    <w:rsid w:val="00E81D8C"/>
    <w:rsid w:val="00E81DEE"/>
    <w:rsid w:val="00E82085"/>
    <w:rsid w:val="00E82115"/>
    <w:rsid w:val="00E821AD"/>
    <w:rsid w:val="00E828D9"/>
    <w:rsid w:val="00E8290D"/>
    <w:rsid w:val="00E82A06"/>
    <w:rsid w:val="00E82CFA"/>
    <w:rsid w:val="00E82D85"/>
    <w:rsid w:val="00E83096"/>
    <w:rsid w:val="00E830CC"/>
    <w:rsid w:val="00E831FB"/>
    <w:rsid w:val="00E8355F"/>
    <w:rsid w:val="00E837B9"/>
    <w:rsid w:val="00E839CA"/>
    <w:rsid w:val="00E839D0"/>
    <w:rsid w:val="00E83BAA"/>
    <w:rsid w:val="00E83CB7"/>
    <w:rsid w:val="00E83CBA"/>
    <w:rsid w:val="00E8402D"/>
    <w:rsid w:val="00E840B2"/>
    <w:rsid w:val="00E841CA"/>
    <w:rsid w:val="00E84337"/>
    <w:rsid w:val="00E8459A"/>
    <w:rsid w:val="00E8464C"/>
    <w:rsid w:val="00E84A04"/>
    <w:rsid w:val="00E84AC8"/>
    <w:rsid w:val="00E84E86"/>
    <w:rsid w:val="00E84F0A"/>
    <w:rsid w:val="00E84FF1"/>
    <w:rsid w:val="00E852D5"/>
    <w:rsid w:val="00E85349"/>
    <w:rsid w:val="00E8554B"/>
    <w:rsid w:val="00E85707"/>
    <w:rsid w:val="00E8583D"/>
    <w:rsid w:val="00E858F0"/>
    <w:rsid w:val="00E8592A"/>
    <w:rsid w:val="00E85A94"/>
    <w:rsid w:val="00E85D4C"/>
    <w:rsid w:val="00E85FA8"/>
    <w:rsid w:val="00E86099"/>
    <w:rsid w:val="00E86113"/>
    <w:rsid w:val="00E862C9"/>
    <w:rsid w:val="00E866A1"/>
    <w:rsid w:val="00E868E8"/>
    <w:rsid w:val="00E86C6E"/>
    <w:rsid w:val="00E86FC2"/>
    <w:rsid w:val="00E873AD"/>
    <w:rsid w:val="00E874A2"/>
    <w:rsid w:val="00E876B5"/>
    <w:rsid w:val="00E878D3"/>
    <w:rsid w:val="00E87936"/>
    <w:rsid w:val="00E87B52"/>
    <w:rsid w:val="00E87BFE"/>
    <w:rsid w:val="00E87CF6"/>
    <w:rsid w:val="00E87DAB"/>
    <w:rsid w:val="00E87DFD"/>
    <w:rsid w:val="00E90013"/>
    <w:rsid w:val="00E902B0"/>
    <w:rsid w:val="00E902E8"/>
    <w:rsid w:val="00E90439"/>
    <w:rsid w:val="00E9050E"/>
    <w:rsid w:val="00E9073C"/>
    <w:rsid w:val="00E90917"/>
    <w:rsid w:val="00E90EAB"/>
    <w:rsid w:val="00E916BC"/>
    <w:rsid w:val="00E918EA"/>
    <w:rsid w:val="00E91927"/>
    <w:rsid w:val="00E91A52"/>
    <w:rsid w:val="00E91CB7"/>
    <w:rsid w:val="00E91CBE"/>
    <w:rsid w:val="00E91E35"/>
    <w:rsid w:val="00E91FA5"/>
    <w:rsid w:val="00E92091"/>
    <w:rsid w:val="00E92200"/>
    <w:rsid w:val="00E9236C"/>
    <w:rsid w:val="00E92533"/>
    <w:rsid w:val="00E926B5"/>
    <w:rsid w:val="00E92743"/>
    <w:rsid w:val="00E92783"/>
    <w:rsid w:val="00E9282F"/>
    <w:rsid w:val="00E9296B"/>
    <w:rsid w:val="00E92A52"/>
    <w:rsid w:val="00E92D33"/>
    <w:rsid w:val="00E92D80"/>
    <w:rsid w:val="00E92F35"/>
    <w:rsid w:val="00E9320D"/>
    <w:rsid w:val="00E93668"/>
    <w:rsid w:val="00E938F8"/>
    <w:rsid w:val="00E939B0"/>
    <w:rsid w:val="00E93B9E"/>
    <w:rsid w:val="00E93BCD"/>
    <w:rsid w:val="00E93C8B"/>
    <w:rsid w:val="00E93E83"/>
    <w:rsid w:val="00E93EB5"/>
    <w:rsid w:val="00E93FB8"/>
    <w:rsid w:val="00E94060"/>
    <w:rsid w:val="00E94087"/>
    <w:rsid w:val="00E94392"/>
    <w:rsid w:val="00E94868"/>
    <w:rsid w:val="00E94F41"/>
    <w:rsid w:val="00E950DE"/>
    <w:rsid w:val="00E9529D"/>
    <w:rsid w:val="00E953AE"/>
    <w:rsid w:val="00E95640"/>
    <w:rsid w:val="00E95875"/>
    <w:rsid w:val="00E959E5"/>
    <w:rsid w:val="00E95A02"/>
    <w:rsid w:val="00E95A2F"/>
    <w:rsid w:val="00E95B88"/>
    <w:rsid w:val="00E95F6B"/>
    <w:rsid w:val="00E95F8B"/>
    <w:rsid w:val="00E96396"/>
    <w:rsid w:val="00E963DA"/>
    <w:rsid w:val="00E96549"/>
    <w:rsid w:val="00E967D4"/>
    <w:rsid w:val="00E96818"/>
    <w:rsid w:val="00E96882"/>
    <w:rsid w:val="00E96B38"/>
    <w:rsid w:val="00E96D98"/>
    <w:rsid w:val="00E96FB7"/>
    <w:rsid w:val="00E977D9"/>
    <w:rsid w:val="00E979DE"/>
    <w:rsid w:val="00E97B40"/>
    <w:rsid w:val="00E97C19"/>
    <w:rsid w:val="00E97DB3"/>
    <w:rsid w:val="00E97EFB"/>
    <w:rsid w:val="00E97FAD"/>
    <w:rsid w:val="00E97FF1"/>
    <w:rsid w:val="00E9A205"/>
    <w:rsid w:val="00EA009A"/>
    <w:rsid w:val="00EA033E"/>
    <w:rsid w:val="00EA0369"/>
    <w:rsid w:val="00EA03C5"/>
    <w:rsid w:val="00EA0459"/>
    <w:rsid w:val="00EA0478"/>
    <w:rsid w:val="00EA0507"/>
    <w:rsid w:val="00EA0836"/>
    <w:rsid w:val="00EA08BB"/>
    <w:rsid w:val="00EA0927"/>
    <w:rsid w:val="00EA11A5"/>
    <w:rsid w:val="00EA1459"/>
    <w:rsid w:val="00EA158F"/>
    <w:rsid w:val="00EA1627"/>
    <w:rsid w:val="00EA16E4"/>
    <w:rsid w:val="00EA184B"/>
    <w:rsid w:val="00EA1A03"/>
    <w:rsid w:val="00EA1AC2"/>
    <w:rsid w:val="00EA1B70"/>
    <w:rsid w:val="00EA1C85"/>
    <w:rsid w:val="00EA1E4F"/>
    <w:rsid w:val="00EA1E6E"/>
    <w:rsid w:val="00EA1EE2"/>
    <w:rsid w:val="00EA214E"/>
    <w:rsid w:val="00EA21DB"/>
    <w:rsid w:val="00EA2241"/>
    <w:rsid w:val="00EA238A"/>
    <w:rsid w:val="00EA23AC"/>
    <w:rsid w:val="00EA2414"/>
    <w:rsid w:val="00EA2542"/>
    <w:rsid w:val="00EA26B3"/>
    <w:rsid w:val="00EA28C5"/>
    <w:rsid w:val="00EA2AF4"/>
    <w:rsid w:val="00EA2CF5"/>
    <w:rsid w:val="00EA2ED7"/>
    <w:rsid w:val="00EA2F32"/>
    <w:rsid w:val="00EA2F53"/>
    <w:rsid w:val="00EA309D"/>
    <w:rsid w:val="00EA317D"/>
    <w:rsid w:val="00EA33AE"/>
    <w:rsid w:val="00EA355A"/>
    <w:rsid w:val="00EA35E8"/>
    <w:rsid w:val="00EA398F"/>
    <w:rsid w:val="00EA3A1F"/>
    <w:rsid w:val="00EA3B29"/>
    <w:rsid w:val="00EA3B4A"/>
    <w:rsid w:val="00EA3D93"/>
    <w:rsid w:val="00EA3DB4"/>
    <w:rsid w:val="00EA40E5"/>
    <w:rsid w:val="00EA4173"/>
    <w:rsid w:val="00EA421E"/>
    <w:rsid w:val="00EA452D"/>
    <w:rsid w:val="00EA45FD"/>
    <w:rsid w:val="00EA46CE"/>
    <w:rsid w:val="00EA4AE3"/>
    <w:rsid w:val="00EA4C51"/>
    <w:rsid w:val="00EA4C9D"/>
    <w:rsid w:val="00EA4DA2"/>
    <w:rsid w:val="00EA4F68"/>
    <w:rsid w:val="00EA51E9"/>
    <w:rsid w:val="00EA5339"/>
    <w:rsid w:val="00EA5568"/>
    <w:rsid w:val="00EA562B"/>
    <w:rsid w:val="00EA5703"/>
    <w:rsid w:val="00EA5766"/>
    <w:rsid w:val="00EA592A"/>
    <w:rsid w:val="00EA5ACE"/>
    <w:rsid w:val="00EA5C35"/>
    <w:rsid w:val="00EA5D70"/>
    <w:rsid w:val="00EA5E6E"/>
    <w:rsid w:val="00EA5ECC"/>
    <w:rsid w:val="00EA5F1E"/>
    <w:rsid w:val="00EA609F"/>
    <w:rsid w:val="00EA68BB"/>
    <w:rsid w:val="00EA6D33"/>
    <w:rsid w:val="00EA6D5E"/>
    <w:rsid w:val="00EA73C2"/>
    <w:rsid w:val="00EA7589"/>
    <w:rsid w:val="00EA75D1"/>
    <w:rsid w:val="00EA77C1"/>
    <w:rsid w:val="00EA793A"/>
    <w:rsid w:val="00EA7B2E"/>
    <w:rsid w:val="00EA7C3D"/>
    <w:rsid w:val="00EA7F30"/>
    <w:rsid w:val="00EB019E"/>
    <w:rsid w:val="00EB0370"/>
    <w:rsid w:val="00EB0494"/>
    <w:rsid w:val="00EB05FE"/>
    <w:rsid w:val="00EB06E3"/>
    <w:rsid w:val="00EB0D1F"/>
    <w:rsid w:val="00EB0FA2"/>
    <w:rsid w:val="00EB110F"/>
    <w:rsid w:val="00EB149D"/>
    <w:rsid w:val="00EB174B"/>
    <w:rsid w:val="00EB1BFD"/>
    <w:rsid w:val="00EB1C70"/>
    <w:rsid w:val="00EB1D07"/>
    <w:rsid w:val="00EB1ECB"/>
    <w:rsid w:val="00EB2513"/>
    <w:rsid w:val="00EB266B"/>
    <w:rsid w:val="00EB271C"/>
    <w:rsid w:val="00EB291C"/>
    <w:rsid w:val="00EB2933"/>
    <w:rsid w:val="00EB2AE5"/>
    <w:rsid w:val="00EB2E05"/>
    <w:rsid w:val="00EB379A"/>
    <w:rsid w:val="00EB3A09"/>
    <w:rsid w:val="00EB3D72"/>
    <w:rsid w:val="00EB3EC4"/>
    <w:rsid w:val="00EB3FA2"/>
    <w:rsid w:val="00EB40BF"/>
    <w:rsid w:val="00EB42A0"/>
    <w:rsid w:val="00EB434A"/>
    <w:rsid w:val="00EB43CB"/>
    <w:rsid w:val="00EB456F"/>
    <w:rsid w:val="00EB457E"/>
    <w:rsid w:val="00EB4752"/>
    <w:rsid w:val="00EB48EB"/>
    <w:rsid w:val="00EB4B0B"/>
    <w:rsid w:val="00EB4C34"/>
    <w:rsid w:val="00EB4DEC"/>
    <w:rsid w:val="00EB4E45"/>
    <w:rsid w:val="00EB4F79"/>
    <w:rsid w:val="00EB5133"/>
    <w:rsid w:val="00EB5204"/>
    <w:rsid w:val="00EB521A"/>
    <w:rsid w:val="00EB5395"/>
    <w:rsid w:val="00EB56EE"/>
    <w:rsid w:val="00EB5ADD"/>
    <w:rsid w:val="00EB5C0E"/>
    <w:rsid w:val="00EB5DE7"/>
    <w:rsid w:val="00EB5E7D"/>
    <w:rsid w:val="00EB63CE"/>
    <w:rsid w:val="00EB63FF"/>
    <w:rsid w:val="00EB6648"/>
    <w:rsid w:val="00EB6855"/>
    <w:rsid w:val="00EB6878"/>
    <w:rsid w:val="00EB6AFD"/>
    <w:rsid w:val="00EB6C1D"/>
    <w:rsid w:val="00EB6D56"/>
    <w:rsid w:val="00EB6FF8"/>
    <w:rsid w:val="00EB722F"/>
    <w:rsid w:val="00EB723C"/>
    <w:rsid w:val="00EB725A"/>
    <w:rsid w:val="00EB74CF"/>
    <w:rsid w:val="00EB75C9"/>
    <w:rsid w:val="00EB7F0F"/>
    <w:rsid w:val="00EC0297"/>
    <w:rsid w:val="00EC032B"/>
    <w:rsid w:val="00EC0451"/>
    <w:rsid w:val="00EC0567"/>
    <w:rsid w:val="00EC0BA7"/>
    <w:rsid w:val="00EC0CC2"/>
    <w:rsid w:val="00EC0D6C"/>
    <w:rsid w:val="00EC10CE"/>
    <w:rsid w:val="00EC11BF"/>
    <w:rsid w:val="00EC1222"/>
    <w:rsid w:val="00EC155E"/>
    <w:rsid w:val="00EC165E"/>
    <w:rsid w:val="00EC16CD"/>
    <w:rsid w:val="00EC1706"/>
    <w:rsid w:val="00EC192C"/>
    <w:rsid w:val="00EC1A7F"/>
    <w:rsid w:val="00EC1B53"/>
    <w:rsid w:val="00EC1D2E"/>
    <w:rsid w:val="00EC1DCC"/>
    <w:rsid w:val="00EC1DF5"/>
    <w:rsid w:val="00EC1E0E"/>
    <w:rsid w:val="00EC1E5C"/>
    <w:rsid w:val="00EC236D"/>
    <w:rsid w:val="00EC23A7"/>
    <w:rsid w:val="00EC2726"/>
    <w:rsid w:val="00EC27FD"/>
    <w:rsid w:val="00EC29DF"/>
    <w:rsid w:val="00EC2B2E"/>
    <w:rsid w:val="00EC2C9D"/>
    <w:rsid w:val="00EC2F27"/>
    <w:rsid w:val="00EC316E"/>
    <w:rsid w:val="00EC3499"/>
    <w:rsid w:val="00EC34A7"/>
    <w:rsid w:val="00EC365E"/>
    <w:rsid w:val="00EC36E5"/>
    <w:rsid w:val="00EC3955"/>
    <w:rsid w:val="00EC3A0B"/>
    <w:rsid w:val="00EC3BEC"/>
    <w:rsid w:val="00EC3C0F"/>
    <w:rsid w:val="00EC3C1B"/>
    <w:rsid w:val="00EC3C5B"/>
    <w:rsid w:val="00EC3D7F"/>
    <w:rsid w:val="00EC3DCC"/>
    <w:rsid w:val="00EC3FCD"/>
    <w:rsid w:val="00EC41E3"/>
    <w:rsid w:val="00EC43CA"/>
    <w:rsid w:val="00EC458D"/>
    <w:rsid w:val="00EC4628"/>
    <w:rsid w:val="00EC49B1"/>
    <w:rsid w:val="00EC4BF4"/>
    <w:rsid w:val="00EC4BFB"/>
    <w:rsid w:val="00EC4DF6"/>
    <w:rsid w:val="00EC5299"/>
    <w:rsid w:val="00EC52D6"/>
    <w:rsid w:val="00EC542F"/>
    <w:rsid w:val="00EC543E"/>
    <w:rsid w:val="00EC568B"/>
    <w:rsid w:val="00EC5805"/>
    <w:rsid w:val="00EC5827"/>
    <w:rsid w:val="00EC5858"/>
    <w:rsid w:val="00EC5D54"/>
    <w:rsid w:val="00EC621A"/>
    <w:rsid w:val="00EC6B16"/>
    <w:rsid w:val="00EC6B39"/>
    <w:rsid w:val="00EC6B84"/>
    <w:rsid w:val="00EC6C72"/>
    <w:rsid w:val="00EC713B"/>
    <w:rsid w:val="00EC717C"/>
    <w:rsid w:val="00EC7479"/>
    <w:rsid w:val="00EC74A5"/>
    <w:rsid w:val="00EC761B"/>
    <w:rsid w:val="00EC764E"/>
    <w:rsid w:val="00EC7A73"/>
    <w:rsid w:val="00EC7B40"/>
    <w:rsid w:val="00ED0074"/>
    <w:rsid w:val="00ED0399"/>
    <w:rsid w:val="00ED06C0"/>
    <w:rsid w:val="00ED06DA"/>
    <w:rsid w:val="00ED0777"/>
    <w:rsid w:val="00ED0848"/>
    <w:rsid w:val="00ED099A"/>
    <w:rsid w:val="00ED0BF5"/>
    <w:rsid w:val="00ED0C31"/>
    <w:rsid w:val="00ED0CB1"/>
    <w:rsid w:val="00ED0E3F"/>
    <w:rsid w:val="00ED0E5C"/>
    <w:rsid w:val="00ED10C5"/>
    <w:rsid w:val="00ED1134"/>
    <w:rsid w:val="00ED122F"/>
    <w:rsid w:val="00ED14E7"/>
    <w:rsid w:val="00ED1526"/>
    <w:rsid w:val="00ED1B8A"/>
    <w:rsid w:val="00ED1D5F"/>
    <w:rsid w:val="00ED20EB"/>
    <w:rsid w:val="00ED23C7"/>
    <w:rsid w:val="00ED252C"/>
    <w:rsid w:val="00ED2738"/>
    <w:rsid w:val="00ED2AAE"/>
    <w:rsid w:val="00ED2B6F"/>
    <w:rsid w:val="00ED2C33"/>
    <w:rsid w:val="00ED3115"/>
    <w:rsid w:val="00ED332B"/>
    <w:rsid w:val="00ED36EC"/>
    <w:rsid w:val="00ED389A"/>
    <w:rsid w:val="00ED39FE"/>
    <w:rsid w:val="00ED3A75"/>
    <w:rsid w:val="00ED3DC2"/>
    <w:rsid w:val="00ED4072"/>
    <w:rsid w:val="00ED4526"/>
    <w:rsid w:val="00ED453E"/>
    <w:rsid w:val="00ED4593"/>
    <w:rsid w:val="00ED464A"/>
    <w:rsid w:val="00ED4C39"/>
    <w:rsid w:val="00ED4C65"/>
    <w:rsid w:val="00ED4ECC"/>
    <w:rsid w:val="00ED51E1"/>
    <w:rsid w:val="00ED5263"/>
    <w:rsid w:val="00ED5421"/>
    <w:rsid w:val="00ED5513"/>
    <w:rsid w:val="00ED5640"/>
    <w:rsid w:val="00ED5776"/>
    <w:rsid w:val="00ED59F4"/>
    <w:rsid w:val="00ED5A20"/>
    <w:rsid w:val="00ED5A77"/>
    <w:rsid w:val="00ED5CF1"/>
    <w:rsid w:val="00ED5ECE"/>
    <w:rsid w:val="00ED5F76"/>
    <w:rsid w:val="00ED5FD1"/>
    <w:rsid w:val="00ED60F6"/>
    <w:rsid w:val="00ED622A"/>
    <w:rsid w:val="00ED644F"/>
    <w:rsid w:val="00ED64C3"/>
    <w:rsid w:val="00ED64F0"/>
    <w:rsid w:val="00ED665F"/>
    <w:rsid w:val="00ED67C6"/>
    <w:rsid w:val="00ED6839"/>
    <w:rsid w:val="00ED68A5"/>
    <w:rsid w:val="00ED68FF"/>
    <w:rsid w:val="00ED6B59"/>
    <w:rsid w:val="00ED70B8"/>
    <w:rsid w:val="00ED70F2"/>
    <w:rsid w:val="00ED7397"/>
    <w:rsid w:val="00ED743B"/>
    <w:rsid w:val="00ED7929"/>
    <w:rsid w:val="00ED7AE4"/>
    <w:rsid w:val="00ED7BB6"/>
    <w:rsid w:val="00ED7E29"/>
    <w:rsid w:val="00ED7F7D"/>
    <w:rsid w:val="00EE0041"/>
    <w:rsid w:val="00EE0616"/>
    <w:rsid w:val="00EE0760"/>
    <w:rsid w:val="00EE0BB4"/>
    <w:rsid w:val="00EE0E24"/>
    <w:rsid w:val="00EE0E5C"/>
    <w:rsid w:val="00EE0EE3"/>
    <w:rsid w:val="00EE0FA7"/>
    <w:rsid w:val="00EE1447"/>
    <w:rsid w:val="00EE1604"/>
    <w:rsid w:val="00EE1AB2"/>
    <w:rsid w:val="00EE1BF1"/>
    <w:rsid w:val="00EE1F95"/>
    <w:rsid w:val="00EE23B2"/>
    <w:rsid w:val="00EE24FF"/>
    <w:rsid w:val="00EE2672"/>
    <w:rsid w:val="00EE269E"/>
    <w:rsid w:val="00EE27AC"/>
    <w:rsid w:val="00EE2CAA"/>
    <w:rsid w:val="00EE2DFC"/>
    <w:rsid w:val="00EE2EED"/>
    <w:rsid w:val="00EE2F01"/>
    <w:rsid w:val="00EE3143"/>
    <w:rsid w:val="00EE3248"/>
    <w:rsid w:val="00EE3443"/>
    <w:rsid w:val="00EE3481"/>
    <w:rsid w:val="00EE38DA"/>
    <w:rsid w:val="00EE3C43"/>
    <w:rsid w:val="00EE3E14"/>
    <w:rsid w:val="00EE3F35"/>
    <w:rsid w:val="00EE4291"/>
    <w:rsid w:val="00EE4447"/>
    <w:rsid w:val="00EE4547"/>
    <w:rsid w:val="00EE45FF"/>
    <w:rsid w:val="00EE4798"/>
    <w:rsid w:val="00EE4864"/>
    <w:rsid w:val="00EE4B29"/>
    <w:rsid w:val="00EE4B8F"/>
    <w:rsid w:val="00EE4D5B"/>
    <w:rsid w:val="00EE5034"/>
    <w:rsid w:val="00EE520F"/>
    <w:rsid w:val="00EE5335"/>
    <w:rsid w:val="00EE5743"/>
    <w:rsid w:val="00EE57BE"/>
    <w:rsid w:val="00EE5877"/>
    <w:rsid w:val="00EE5878"/>
    <w:rsid w:val="00EE5891"/>
    <w:rsid w:val="00EE5981"/>
    <w:rsid w:val="00EE5B06"/>
    <w:rsid w:val="00EE5BEE"/>
    <w:rsid w:val="00EE5E00"/>
    <w:rsid w:val="00EE5EEA"/>
    <w:rsid w:val="00EE5FE7"/>
    <w:rsid w:val="00EE6503"/>
    <w:rsid w:val="00EE66F2"/>
    <w:rsid w:val="00EE6814"/>
    <w:rsid w:val="00EE6921"/>
    <w:rsid w:val="00EE6A51"/>
    <w:rsid w:val="00EE6BD5"/>
    <w:rsid w:val="00EE6BEE"/>
    <w:rsid w:val="00EE7744"/>
    <w:rsid w:val="00EE78B2"/>
    <w:rsid w:val="00EE7B04"/>
    <w:rsid w:val="00EE7C25"/>
    <w:rsid w:val="00EE7DCF"/>
    <w:rsid w:val="00EF022D"/>
    <w:rsid w:val="00EF03E1"/>
    <w:rsid w:val="00EF04BD"/>
    <w:rsid w:val="00EF067D"/>
    <w:rsid w:val="00EF0686"/>
    <w:rsid w:val="00EF0687"/>
    <w:rsid w:val="00EF06E0"/>
    <w:rsid w:val="00EF11CF"/>
    <w:rsid w:val="00EF1376"/>
    <w:rsid w:val="00EF13CD"/>
    <w:rsid w:val="00EF13ED"/>
    <w:rsid w:val="00EF145E"/>
    <w:rsid w:val="00EF1471"/>
    <w:rsid w:val="00EF1578"/>
    <w:rsid w:val="00EF15AF"/>
    <w:rsid w:val="00EF1837"/>
    <w:rsid w:val="00EF1D00"/>
    <w:rsid w:val="00EF1D88"/>
    <w:rsid w:val="00EF1F67"/>
    <w:rsid w:val="00EF209B"/>
    <w:rsid w:val="00EF20D7"/>
    <w:rsid w:val="00EF20EC"/>
    <w:rsid w:val="00EF22B6"/>
    <w:rsid w:val="00EF2464"/>
    <w:rsid w:val="00EF27F0"/>
    <w:rsid w:val="00EF2BBB"/>
    <w:rsid w:val="00EF309F"/>
    <w:rsid w:val="00EF30CC"/>
    <w:rsid w:val="00EF316B"/>
    <w:rsid w:val="00EF325E"/>
    <w:rsid w:val="00EF3292"/>
    <w:rsid w:val="00EF33FB"/>
    <w:rsid w:val="00EF343B"/>
    <w:rsid w:val="00EF368A"/>
    <w:rsid w:val="00EF3722"/>
    <w:rsid w:val="00EF37E1"/>
    <w:rsid w:val="00EF3982"/>
    <w:rsid w:val="00EF3F3B"/>
    <w:rsid w:val="00EF40B1"/>
    <w:rsid w:val="00EF441A"/>
    <w:rsid w:val="00EF482D"/>
    <w:rsid w:val="00EF4C23"/>
    <w:rsid w:val="00EF4D52"/>
    <w:rsid w:val="00EF4EE9"/>
    <w:rsid w:val="00EF5165"/>
    <w:rsid w:val="00EF516B"/>
    <w:rsid w:val="00EF51B4"/>
    <w:rsid w:val="00EF5279"/>
    <w:rsid w:val="00EF5A8D"/>
    <w:rsid w:val="00EF5F24"/>
    <w:rsid w:val="00EF60A6"/>
    <w:rsid w:val="00EF60F1"/>
    <w:rsid w:val="00EF6357"/>
    <w:rsid w:val="00EF64E8"/>
    <w:rsid w:val="00EF6632"/>
    <w:rsid w:val="00EF6727"/>
    <w:rsid w:val="00EF677D"/>
    <w:rsid w:val="00EF68EE"/>
    <w:rsid w:val="00EF6A89"/>
    <w:rsid w:val="00EF73CD"/>
    <w:rsid w:val="00EF73FB"/>
    <w:rsid w:val="00EF75AA"/>
    <w:rsid w:val="00EF77FE"/>
    <w:rsid w:val="00EF7A18"/>
    <w:rsid w:val="00EF7C83"/>
    <w:rsid w:val="00F000A7"/>
    <w:rsid w:val="00F000EB"/>
    <w:rsid w:val="00F0014E"/>
    <w:rsid w:val="00F00489"/>
    <w:rsid w:val="00F004B9"/>
    <w:rsid w:val="00F004C5"/>
    <w:rsid w:val="00F00696"/>
    <w:rsid w:val="00F0082D"/>
    <w:rsid w:val="00F00C47"/>
    <w:rsid w:val="00F00D6D"/>
    <w:rsid w:val="00F00DA4"/>
    <w:rsid w:val="00F00FEC"/>
    <w:rsid w:val="00F01320"/>
    <w:rsid w:val="00F01458"/>
    <w:rsid w:val="00F014C8"/>
    <w:rsid w:val="00F0151E"/>
    <w:rsid w:val="00F0154F"/>
    <w:rsid w:val="00F015AB"/>
    <w:rsid w:val="00F01653"/>
    <w:rsid w:val="00F017CA"/>
    <w:rsid w:val="00F01A59"/>
    <w:rsid w:val="00F01E14"/>
    <w:rsid w:val="00F01E18"/>
    <w:rsid w:val="00F01ECD"/>
    <w:rsid w:val="00F02224"/>
    <w:rsid w:val="00F0250C"/>
    <w:rsid w:val="00F02772"/>
    <w:rsid w:val="00F0289E"/>
    <w:rsid w:val="00F02B61"/>
    <w:rsid w:val="00F02C06"/>
    <w:rsid w:val="00F02E1E"/>
    <w:rsid w:val="00F02EB2"/>
    <w:rsid w:val="00F03107"/>
    <w:rsid w:val="00F0310E"/>
    <w:rsid w:val="00F03541"/>
    <w:rsid w:val="00F03733"/>
    <w:rsid w:val="00F03986"/>
    <w:rsid w:val="00F03B84"/>
    <w:rsid w:val="00F03D64"/>
    <w:rsid w:val="00F03DC1"/>
    <w:rsid w:val="00F03EB7"/>
    <w:rsid w:val="00F0430E"/>
    <w:rsid w:val="00F04444"/>
    <w:rsid w:val="00F045E0"/>
    <w:rsid w:val="00F047EC"/>
    <w:rsid w:val="00F0492C"/>
    <w:rsid w:val="00F0493D"/>
    <w:rsid w:val="00F04AF2"/>
    <w:rsid w:val="00F04E64"/>
    <w:rsid w:val="00F04F77"/>
    <w:rsid w:val="00F0517C"/>
    <w:rsid w:val="00F05207"/>
    <w:rsid w:val="00F05271"/>
    <w:rsid w:val="00F056B3"/>
    <w:rsid w:val="00F057C3"/>
    <w:rsid w:val="00F0580E"/>
    <w:rsid w:val="00F05924"/>
    <w:rsid w:val="00F05C5A"/>
    <w:rsid w:val="00F05E3F"/>
    <w:rsid w:val="00F06413"/>
    <w:rsid w:val="00F0652A"/>
    <w:rsid w:val="00F06543"/>
    <w:rsid w:val="00F06617"/>
    <w:rsid w:val="00F0662D"/>
    <w:rsid w:val="00F067D8"/>
    <w:rsid w:val="00F06B4A"/>
    <w:rsid w:val="00F06C31"/>
    <w:rsid w:val="00F07045"/>
    <w:rsid w:val="00F0756D"/>
    <w:rsid w:val="00F07607"/>
    <w:rsid w:val="00F0765B"/>
    <w:rsid w:val="00F076DB"/>
    <w:rsid w:val="00F076EC"/>
    <w:rsid w:val="00F0781D"/>
    <w:rsid w:val="00F079B4"/>
    <w:rsid w:val="00F07B6D"/>
    <w:rsid w:val="00F07C15"/>
    <w:rsid w:val="00F07C90"/>
    <w:rsid w:val="00F07E54"/>
    <w:rsid w:val="00F07F5E"/>
    <w:rsid w:val="00F100B4"/>
    <w:rsid w:val="00F103DE"/>
    <w:rsid w:val="00F106B6"/>
    <w:rsid w:val="00F1082B"/>
    <w:rsid w:val="00F10ADF"/>
    <w:rsid w:val="00F10F77"/>
    <w:rsid w:val="00F10FA1"/>
    <w:rsid w:val="00F110C8"/>
    <w:rsid w:val="00F1113C"/>
    <w:rsid w:val="00F111A0"/>
    <w:rsid w:val="00F11225"/>
    <w:rsid w:val="00F1136E"/>
    <w:rsid w:val="00F114DE"/>
    <w:rsid w:val="00F118C7"/>
    <w:rsid w:val="00F1192F"/>
    <w:rsid w:val="00F11A46"/>
    <w:rsid w:val="00F11C30"/>
    <w:rsid w:val="00F11CA8"/>
    <w:rsid w:val="00F11DF0"/>
    <w:rsid w:val="00F12352"/>
    <w:rsid w:val="00F12547"/>
    <w:rsid w:val="00F12AAA"/>
    <w:rsid w:val="00F12AD9"/>
    <w:rsid w:val="00F12CC6"/>
    <w:rsid w:val="00F12E58"/>
    <w:rsid w:val="00F1329D"/>
    <w:rsid w:val="00F132CE"/>
    <w:rsid w:val="00F13425"/>
    <w:rsid w:val="00F13565"/>
    <w:rsid w:val="00F135CC"/>
    <w:rsid w:val="00F1370A"/>
    <w:rsid w:val="00F137BF"/>
    <w:rsid w:val="00F137C9"/>
    <w:rsid w:val="00F13913"/>
    <w:rsid w:val="00F139A7"/>
    <w:rsid w:val="00F13A1E"/>
    <w:rsid w:val="00F13B9E"/>
    <w:rsid w:val="00F1411F"/>
    <w:rsid w:val="00F1413B"/>
    <w:rsid w:val="00F14784"/>
    <w:rsid w:val="00F14B47"/>
    <w:rsid w:val="00F14E80"/>
    <w:rsid w:val="00F1502E"/>
    <w:rsid w:val="00F150F8"/>
    <w:rsid w:val="00F15150"/>
    <w:rsid w:val="00F152B2"/>
    <w:rsid w:val="00F15469"/>
    <w:rsid w:val="00F154D6"/>
    <w:rsid w:val="00F156AF"/>
    <w:rsid w:val="00F157DA"/>
    <w:rsid w:val="00F15A71"/>
    <w:rsid w:val="00F1609C"/>
    <w:rsid w:val="00F160B0"/>
    <w:rsid w:val="00F16356"/>
    <w:rsid w:val="00F165CD"/>
    <w:rsid w:val="00F16628"/>
    <w:rsid w:val="00F1668F"/>
    <w:rsid w:val="00F166BE"/>
    <w:rsid w:val="00F167BC"/>
    <w:rsid w:val="00F1680A"/>
    <w:rsid w:val="00F16842"/>
    <w:rsid w:val="00F1690A"/>
    <w:rsid w:val="00F1691B"/>
    <w:rsid w:val="00F16B08"/>
    <w:rsid w:val="00F16F15"/>
    <w:rsid w:val="00F17184"/>
    <w:rsid w:val="00F171B5"/>
    <w:rsid w:val="00F17203"/>
    <w:rsid w:val="00F17395"/>
    <w:rsid w:val="00F1739A"/>
    <w:rsid w:val="00F173A4"/>
    <w:rsid w:val="00F1765C"/>
    <w:rsid w:val="00F17A88"/>
    <w:rsid w:val="00F17AA7"/>
    <w:rsid w:val="00F17AAD"/>
    <w:rsid w:val="00F17F02"/>
    <w:rsid w:val="00F17FE4"/>
    <w:rsid w:val="00F20348"/>
    <w:rsid w:val="00F2058D"/>
    <w:rsid w:val="00F20612"/>
    <w:rsid w:val="00F206EC"/>
    <w:rsid w:val="00F20756"/>
    <w:rsid w:val="00F20AE6"/>
    <w:rsid w:val="00F20B2E"/>
    <w:rsid w:val="00F20B55"/>
    <w:rsid w:val="00F20BB0"/>
    <w:rsid w:val="00F20DBA"/>
    <w:rsid w:val="00F20F8A"/>
    <w:rsid w:val="00F2106D"/>
    <w:rsid w:val="00F210D3"/>
    <w:rsid w:val="00F2114F"/>
    <w:rsid w:val="00F213B5"/>
    <w:rsid w:val="00F21423"/>
    <w:rsid w:val="00F21599"/>
    <w:rsid w:val="00F21735"/>
    <w:rsid w:val="00F2181C"/>
    <w:rsid w:val="00F21B60"/>
    <w:rsid w:val="00F21C88"/>
    <w:rsid w:val="00F21D98"/>
    <w:rsid w:val="00F22015"/>
    <w:rsid w:val="00F22111"/>
    <w:rsid w:val="00F2239D"/>
    <w:rsid w:val="00F2268A"/>
    <w:rsid w:val="00F2278E"/>
    <w:rsid w:val="00F227B4"/>
    <w:rsid w:val="00F22A7F"/>
    <w:rsid w:val="00F22A96"/>
    <w:rsid w:val="00F22D30"/>
    <w:rsid w:val="00F230FA"/>
    <w:rsid w:val="00F23117"/>
    <w:rsid w:val="00F2317A"/>
    <w:rsid w:val="00F231F0"/>
    <w:rsid w:val="00F23247"/>
    <w:rsid w:val="00F23331"/>
    <w:rsid w:val="00F2334F"/>
    <w:rsid w:val="00F2341E"/>
    <w:rsid w:val="00F2358C"/>
    <w:rsid w:val="00F23637"/>
    <w:rsid w:val="00F237CF"/>
    <w:rsid w:val="00F23AD1"/>
    <w:rsid w:val="00F23C83"/>
    <w:rsid w:val="00F23D97"/>
    <w:rsid w:val="00F23F31"/>
    <w:rsid w:val="00F24024"/>
    <w:rsid w:val="00F24030"/>
    <w:rsid w:val="00F24227"/>
    <w:rsid w:val="00F248D5"/>
    <w:rsid w:val="00F24990"/>
    <w:rsid w:val="00F24998"/>
    <w:rsid w:val="00F249C6"/>
    <w:rsid w:val="00F24AB9"/>
    <w:rsid w:val="00F24B1D"/>
    <w:rsid w:val="00F24E01"/>
    <w:rsid w:val="00F24E58"/>
    <w:rsid w:val="00F24E74"/>
    <w:rsid w:val="00F24EF1"/>
    <w:rsid w:val="00F24F23"/>
    <w:rsid w:val="00F2511D"/>
    <w:rsid w:val="00F2523A"/>
    <w:rsid w:val="00F256EA"/>
    <w:rsid w:val="00F256F0"/>
    <w:rsid w:val="00F25C68"/>
    <w:rsid w:val="00F25E88"/>
    <w:rsid w:val="00F25EF5"/>
    <w:rsid w:val="00F26005"/>
    <w:rsid w:val="00F2603A"/>
    <w:rsid w:val="00F261E0"/>
    <w:rsid w:val="00F26443"/>
    <w:rsid w:val="00F26581"/>
    <w:rsid w:val="00F26964"/>
    <w:rsid w:val="00F26C07"/>
    <w:rsid w:val="00F26C46"/>
    <w:rsid w:val="00F26C52"/>
    <w:rsid w:val="00F26CED"/>
    <w:rsid w:val="00F26D1F"/>
    <w:rsid w:val="00F26E12"/>
    <w:rsid w:val="00F26EC3"/>
    <w:rsid w:val="00F26FD0"/>
    <w:rsid w:val="00F27035"/>
    <w:rsid w:val="00F27145"/>
    <w:rsid w:val="00F27280"/>
    <w:rsid w:val="00F27351"/>
    <w:rsid w:val="00F274E7"/>
    <w:rsid w:val="00F2755D"/>
    <w:rsid w:val="00F27677"/>
    <w:rsid w:val="00F27AFF"/>
    <w:rsid w:val="00F27D7E"/>
    <w:rsid w:val="00F27DF2"/>
    <w:rsid w:val="00F27FFE"/>
    <w:rsid w:val="00F30117"/>
    <w:rsid w:val="00F3013B"/>
    <w:rsid w:val="00F301B8"/>
    <w:rsid w:val="00F302B4"/>
    <w:rsid w:val="00F304A4"/>
    <w:rsid w:val="00F3055E"/>
    <w:rsid w:val="00F306DD"/>
    <w:rsid w:val="00F3089E"/>
    <w:rsid w:val="00F308FC"/>
    <w:rsid w:val="00F30CC5"/>
    <w:rsid w:val="00F30FD0"/>
    <w:rsid w:val="00F3105D"/>
    <w:rsid w:val="00F31090"/>
    <w:rsid w:val="00F311D5"/>
    <w:rsid w:val="00F313FB"/>
    <w:rsid w:val="00F31442"/>
    <w:rsid w:val="00F31485"/>
    <w:rsid w:val="00F315D8"/>
    <w:rsid w:val="00F31936"/>
    <w:rsid w:val="00F31BAC"/>
    <w:rsid w:val="00F31BFD"/>
    <w:rsid w:val="00F31C36"/>
    <w:rsid w:val="00F31CA8"/>
    <w:rsid w:val="00F31CDE"/>
    <w:rsid w:val="00F31DD4"/>
    <w:rsid w:val="00F32A34"/>
    <w:rsid w:val="00F32AE9"/>
    <w:rsid w:val="00F32BDB"/>
    <w:rsid w:val="00F32C8B"/>
    <w:rsid w:val="00F32CB6"/>
    <w:rsid w:val="00F32EB6"/>
    <w:rsid w:val="00F32F24"/>
    <w:rsid w:val="00F32F58"/>
    <w:rsid w:val="00F32FA6"/>
    <w:rsid w:val="00F33003"/>
    <w:rsid w:val="00F33005"/>
    <w:rsid w:val="00F33026"/>
    <w:rsid w:val="00F33538"/>
    <w:rsid w:val="00F339E3"/>
    <w:rsid w:val="00F33DB8"/>
    <w:rsid w:val="00F34200"/>
    <w:rsid w:val="00F345EE"/>
    <w:rsid w:val="00F34867"/>
    <w:rsid w:val="00F34BCD"/>
    <w:rsid w:val="00F34E22"/>
    <w:rsid w:val="00F350EB"/>
    <w:rsid w:val="00F35467"/>
    <w:rsid w:val="00F35521"/>
    <w:rsid w:val="00F35621"/>
    <w:rsid w:val="00F3569C"/>
    <w:rsid w:val="00F357AE"/>
    <w:rsid w:val="00F3589E"/>
    <w:rsid w:val="00F3596D"/>
    <w:rsid w:val="00F35B30"/>
    <w:rsid w:val="00F35B68"/>
    <w:rsid w:val="00F35F03"/>
    <w:rsid w:val="00F36080"/>
    <w:rsid w:val="00F361BD"/>
    <w:rsid w:val="00F36353"/>
    <w:rsid w:val="00F3651E"/>
    <w:rsid w:val="00F36C14"/>
    <w:rsid w:val="00F36C64"/>
    <w:rsid w:val="00F36D30"/>
    <w:rsid w:val="00F36DD9"/>
    <w:rsid w:val="00F3752F"/>
    <w:rsid w:val="00F37B5D"/>
    <w:rsid w:val="00F37C4B"/>
    <w:rsid w:val="00F37D98"/>
    <w:rsid w:val="00F37E82"/>
    <w:rsid w:val="00F37ED0"/>
    <w:rsid w:val="00F37FCE"/>
    <w:rsid w:val="00F4012F"/>
    <w:rsid w:val="00F40843"/>
    <w:rsid w:val="00F40C30"/>
    <w:rsid w:val="00F40D65"/>
    <w:rsid w:val="00F40D7E"/>
    <w:rsid w:val="00F4101A"/>
    <w:rsid w:val="00F4110C"/>
    <w:rsid w:val="00F4119D"/>
    <w:rsid w:val="00F413F9"/>
    <w:rsid w:val="00F4164F"/>
    <w:rsid w:val="00F417D4"/>
    <w:rsid w:val="00F418A3"/>
    <w:rsid w:val="00F418FC"/>
    <w:rsid w:val="00F41976"/>
    <w:rsid w:val="00F419A2"/>
    <w:rsid w:val="00F41A11"/>
    <w:rsid w:val="00F41AC5"/>
    <w:rsid w:val="00F41EAA"/>
    <w:rsid w:val="00F42013"/>
    <w:rsid w:val="00F420AE"/>
    <w:rsid w:val="00F42167"/>
    <w:rsid w:val="00F422FA"/>
    <w:rsid w:val="00F42408"/>
    <w:rsid w:val="00F42634"/>
    <w:rsid w:val="00F426C4"/>
    <w:rsid w:val="00F428FA"/>
    <w:rsid w:val="00F42980"/>
    <w:rsid w:val="00F429ED"/>
    <w:rsid w:val="00F42B4C"/>
    <w:rsid w:val="00F42E0A"/>
    <w:rsid w:val="00F42ED2"/>
    <w:rsid w:val="00F42F05"/>
    <w:rsid w:val="00F42F38"/>
    <w:rsid w:val="00F431B6"/>
    <w:rsid w:val="00F4321B"/>
    <w:rsid w:val="00F433AF"/>
    <w:rsid w:val="00F43437"/>
    <w:rsid w:val="00F4347A"/>
    <w:rsid w:val="00F437E3"/>
    <w:rsid w:val="00F43B08"/>
    <w:rsid w:val="00F43BF5"/>
    <w:rsid w:val="00F43D56"/>
    <w:rsid w:val="00F43E12"/>
    <w:rsid w:val="00F43E22"/>
    <w:rsid w:val="00F43E57"/>
    <w:rsid w:val="00F43E82"/>
    <w:rsid w:val="00F43FDB"/>
    <w:rsid w:val="00F440EC"/>
    <w:rsid w:val="00F442DA"/>
    <w:rsid w:val="00F444C5"/>
    <w:rsid w:val="00F44582"/>
    <w:rsid w:val="00F44745"/>
    <w:rsid w:val="00F44C0F"/>
    <w:rsid w:val="00F44D99"/>
    <w:rsid w:val="00F44DFD"/>
    <w:rsid w:val="00F4537B"/>
    <w:rsid w:val="00F4551E"/>
    <w:rsid w:val="00F455BF"/>
    <w:rsid w:val="00F4566E"/>
    <w:rsid w:val="00F45806"/>
    <w:rsid w:val="00F45A19"/>
    <w:rsid w:val="00F45A6F"/>
    <w:rsid w:val="00F45BF8"/>
    <w:rsid w:val="00F45D4A"/>
    <w:rsid w:val="00F4600D"/>
    <w:rsid w:val="00F4607B"/>
    <w:rsid w:val="00F460A9"/>
    <w:rsid w:val="00F462EA"/>
    <w:rsid w:val="00F4676F"/>
    <w:rsid w:val="00F46D2C"/>
    <w:rsid w:val="00F472A5"/>
    <w:rsid w:val="00F473CE"/>
    <w:rsid w:val="00F4746E"/>
    <w:rsid w:val="00F474D9"/>
    <w:rsid w:val="00F47A38"/>
    <w:rsid w:val="00F47FAB"/>
    <w:rsid w:val="00F47FCE"/>
    <w:rsid w:val="00F47FD7"/>
    <w:rsid w:val="00F50041"/>
    <w:rsid w:val="00F501F9"/>
    <w:rsid w:val="00F50264"/>
    <w:rsid w:val="00F502D3"/>
    <w:rsid w:val="00F5091D"/>
    <w:rsid w:val="00F50975"/>
    <w:rsid w:val="00F50982"/>
    <w:rsid w:val="00F50DC4"/>
    <w:rsid w:val="00F51386"/>
    <w:rsid w:val="00F517FC"/>
    <w:rsid w:val="00F51AFD"/>
    <w:rsid w:val="00F51D7F"/>
    <w:rsid w:val="00F529C3"/>
    <w:rsid w:val="00F52BA9"/>
    <w:rsid w:val="00F52D5F"/>
    <w:rsid w:val="00F52EDC"/>
    <w:rsid w:val="00F53050"/>
    <w:rsid w:val="00F53263"/>
    <w:rsid w:val="00F532C2"/>
    <w:rsid w:val="00F53457"/>
    <w:rsid w:val="00F53458"/>
    <w:rsid w:val="00F5365A"/>
    <w:rsid w:val="00F537DF"/>
    <w:rsid w:val="00F53C06"/>
    <w:rsid w:val="00F53C3F"/>
    <w:rsid w:val="00F53D57"/>
    <w:rsid w:val="00F53EF1"/>
    <w:rsid w:val="00F53F09"/>
    <w:rsid w:val="00F53F14"/>
    <w:rsid w:val="00F542DA"/>
    <w:rsid w:val="00F5490D"/>
    <w:rsid w:val="00F54CE5"/>
    <w:rsid w:val="00F54D49"/>
    <w:rsid w:val="00F54D93"/>
    <w:rsid w:val="00F54DFD"/>
    <w:rsid w:val="00F54E51"/>
    <w:rsid w:val="00F54E84"/>
    <w:rsid w:val="00F54EE7"/>
    <w:rsid w:val="00F54FAF"/>
    <w:rsid w:val="00F551CA"/>
    <w:rsid w:val="00F55217"/>
    <w:rsid w:val="00F55644"/>
    <w:rsid w:val="00F55652"/>
    <w:rsid w:val="00F55878"/>
    <w:rsid w:val="00F55983"/>
    <w:rsid w:val="00F55AB9"/>
    <w:rsid w:val="00F55E64"/>
    <w:rsid w:val="00F55F4A"/>
    <w:rsid w:val="00F5610C"/>
    <w:rsid w:val="00F56169"/>
    <w:rsid w:val="00F562A4"/>
    <w:rsid w:val="00F563D2"/>
    <w:rsid w:val="00F564A9"/>
    <w:rsid w:val="00F564F0"/>
    <w:rsid w:val="00F56678"/>
    <w:rsid w:val="00F567B8"/>
    <w:rsid w:val="00F567C9"/>
    <w:rsid w:val="00F56983"/>
    <w:rsid w:val="00F56B4B"/>
    <w:rsid w:val="00F57066"/>
    <w:rsid w:val="00F57140"/>
    <w:rsid w:val="00F57142"/>
    <w:rsid w:val="00F57210"/>
    <w:rsid w:val="00F57282"/>
    <w:rsid w:val="00F5744A"/>
    <w:rsid w:val="00F57891"/>
    <w:rsid w:val="00F57BED"/>
    <w:rsid w:val="00F57CFD"/>
    <w:rsid w:val="00F57D3A"/>
    <w:rsid w:val="00F57F1D"/>
    <w:rsid w:val="00F57FCC"/>
    <w:rsid w:val="00F6002A"/>
    <w:rsid w:val="00F60031"/>
    <w:rsid w:val="00F60198"/>
    <w:rsid w:val="00F6068E"/>
    <w:rsid w:val="00F606F7"/>
    <w:rsid w:val="00F607A9"/>
    <w:rsid w:val="00F60B29"/>
    <w:rsid w:val="00F60D76"/>
    <w:rsid w:val="00F60F19"/>
    <w:rsid w:val="00F61138"/>
    <w:rsid w:val="00F615AD"/>
    <w:rsid w:val="00F61612"/>
    <w:rsid w:val="00F617D1"/>
    <w:rsid w:val="00F61BC0"/>
    <w:rsid w:val="00F62181"/>
    <w:rsid w:val="00F62355"/>
    <w:rsid w:val="00F62474"/>
    <w:rsid w:val="00F624CC"/>
    <w:rsid w:val="00F6258A"/>
    <w:rsid w:val="00F626C4"/>
    <w:rsid w:val="00F62867"/>
    <w:rsid w:val="00F62CA0"/>
    <w:rsid w:val="00F62D79"/>
    <w:rsid w:val="00F62E95"/>
    <w:rsid w:val="00F62EF3"/>
    <w:rsid w:val="00F62F98"/>
    <w:rsid w:val="00F63085"/>
    <w:rsid w:val="00F630E2"/>
    <w:rsid w:val="00F6324C"/>
    <w:rsid w:val="00F6346E"/>
    <w:rsid w:val="00F63544"/>
    <w:rsid w:val="00F63742"/>
    <w:rsid w:val="00F638E8"/>
    <w:rsid w:val="00F63A27"/>
    <w:rsid w:val="00F63D9B"/>
    <w:rsid w:val="00F63E7E"/>
    <w:rsid w:val="00F63EDD"/>
    <w:rsid w:val="00F64123"/>
    <w:rsid w:val="00F64165"/>
    <w:rsid w:val="00F641B1"/>
    <w:rsid w:val="00F64379"/>
    <w:rsid w:val="00F64476"/>
    <w:rsid w:val="00F645FA"/>
    <w:rsid w:val="00F64789"/>
    <w:rsid w:val="00F6499B"/>
    <w:rsid w:val="00F649F8"/>
    <w:rsid w:val="00F64ADC"/>
    <w:rsid w:val="00F651D0"/>
    <w:rsid w:val="00F653B0"/>
    <w:rsid w:val="00F6564A"/>
    <w:rsid w:val="00F65885"/>
    <w:rsid w:val="00F65912"/>
    <w:rsid w:val="00F659FB"/>
    <w:rsid w:val="00F65BB0"/>
    <w:rsid w:val="00F65CBA"/>
    <w:rsid w:val="00F65D98"/>
    <w:rsid w:val="00F65DEC"/>
    <w:rsid w:val="00F65E76"/>
    <w:rsid w:val="00F6617A"/>
    <w:rsid w:val="00F6649B"/>
    <w:rsid w:val="00F66693"/>
    <w:rsid w:val="00F6672A"/>
    <w:rsid w:val="00F668EF"/>
    <w:rsid w:val="00F669CD"/>
    <w:rsid w:val="00F66AB9"/>
    <w:rsid w:val="00F66ADE"/>
    <w:rsid w:val="00F66E1A"/>
    <w:rsid w:val="00F66E5E"/>
    <w:rsid w:val="00F66F93"/>
    <w:rsid w:val="00F67097"/>
    <w:rsid w:val="00F67258"/>
    <w:rsid w:val="00F676A6"/>
    <w:rsid w:val="00F67744"/>
    <w:rsid w:val="00F67AD7"/>
    <w:rsid w:val="00F67BC5"/>
    <w:rsid w:val="00F67C42"/>
    <w:rsid w:val="00F67C74"/>
    <w:rsid w:val="00F67D49"/>
    <w:rsid w:val="00F67D99"/>
    <w:rsid w:val="00F701AA"/>
    <w:rsid w:val="00F70352"/>
    <w:rsid w:val="00F703B3"/>
    <w:rsid w:val="00F7087D"/>
    <w:rsid w:val="00F70BDD"/>
    <w:rsid w:val="00F71094"/>
    <w:rsid w:val="00F716DB"/>
    <w:rsid w:val="00F71702"/>
    <w:rsid w:val="00F71720"/>
    <w:rsid w:val="00F717CF"/>
    <w:rsid w:val="00F71AA8"/>
    <w:rsid w:val="00F71DC5"/>
    <w:rsid w:val="00F7208D"/>
    <w:rsid w:val="00F7224A"/>
    <w:rsid w:val="00F724A2"/>
    <w:rsid w:val="00F7254E"/>
    <w:rsid w:val="00F72C81"/>
    <w:rsid w:val="00F72DAC"/>
    <w:rsid w:val="00F72E4E"/>
    <w:rsid w:val="00F72F80"/>
    <w:rsid w:val="00F7304D"/>
    <w:rsid w:val="00F734E3"/>
    <w:rsid w:val="00F73540"/>
    <w:rsid w:val="00F7358D"/>
    <w:rsid w:val="00F73632"/>
    <w:rsid w:val="00F737DB"/>
    <w:rsid w:val="00F737F3"/>
    <w:rsid w:val="00F738BE"/>
    <w:rsid w:val="00F738C3"/>
    <w:rsid w:val="00F7394D"/>
    <w:rsid w:val="00F73E6A"/>
    <w:rsid w:val="00F73F7B"/>
    <w:rsid w:val="00F741F9"/>
    <w:rsid w:val="00F7425D"/>
    <w:rsid w:val="00F74288"/>
    <w:rsid w:val="00F743A1"/>
    <w:rsid w:val="00F74451"/>
    <w:rsid w:val="00F74564"/>
    <w:rsid w:val="00F74654"/>
    <w:rsid w:val="00F7473E"/>
    <w:rsid w:val="00F7496D"/>
    <w:rsid w:val="00F74BA6"/>
    <w:rsid w:val="00F74BB7"/>
    <w:rsid w:val="00F74C60"/>
    <w:rsid w:val="00F74EC9"/>
    <w:rsid w:val="00F74F7C"/>
    <w:rsid w:val="00F7560E"/>
    <w:rsid w:val="00F7561F"/>
    <w:rsid w:val="00F758AD"/>
    <w:rsid w:val="00F75930"/>
    <w:rsid w:val="00F75A11"/>
    <w:rsid w:val="00F75C84"/>
    <w:rsid w:val="00F75C8E"/>
    <w:rsid w:val="00F75CCC"/>
    <w:rsid w:val="00F7613A"/>
    <w:rsid w:val="00F761A3"/>
    <w:rsid w:val="00F76230"/>
    <w:rsid w:val="00F76300"/>
    <w:rsid w:val="00F7635A"/>
    <w:rsid w:val="00F763CC"/>
    <w:rsid w:val="00F76420"/>
    <w:rsid w:val="00F76480"/>
    <w:rsid w:val="00F7681E"/>
    <w:rsid w:val="00F76864"/>
    <w:rsid w:val="00F76956"/>
    <w:rsid w:val="00F76D1E"/>
    <w:rsid w:val="00F76D42"/>
    <w:rsid w:val="00F76E96"/>
    <w:rsid w:val="00F76F5A"/>
    <w:rsid w:val="00F76F64"/>
    <w:rsid w:val="00F7708C"/>
    <w:rsid w:val="00F772A7"/>
    <w:rsid w:val="00F77503"/>
    <w:rsid w:val="00F77656"/>
    <w:rsid w:val="00F77A3C"/>
    <w:rsid w:val="00F77BB6"/>
    <w:rsid w:val="00F77BC9"/>
    <w:rsid w:val="00F77D71"/>
    <w:rsid w:val="00F77EA6"/>
    <w:rsid w:val="00F800BF"/>
    <w:rsid w:val="00F80147"/>
    <w:rsid w:val="00F801D5"/>
    <w:rsid w:val="00F803BC"/>
    <w:rsid w:val="00F807CB"/>
    <w:rsid w:val="00F809EC"/>
    <w:rsid w:val="00F80A7A"/>
    <w:rsid w:val="00F80B79"/>
    <w:rsid w:val="00F80EDF"/>
    <w:rsid w:val="00F80F04"/>
    <w:rsid w:val="00F812D3"/>
    <w:rsid w:val="00F81657"/>
    <w:rsid w:val="00F81672"/>
    <w:rsid w:val="00F818C1"/>
    <w:rsid w:val="00F81FE9"/>
    <w:rsid w:val="00F8213F"/>
    <w:rsid w:val="00F8224F"/>
    <w:rsid w:val="00F8244F"/>
    <w:rsid w:val="00F824E8"/>
    <w:rsid w:val="00F825F2"/>
    <w:rsid w:val="00F82746"/>
    <w:rsid w:val="00F82766"/>
    <w:rsid w:val="00F8280E"/>
    <w:rsid w:val="00F82AD4"/>
    <w:rsid w:val="00F82B34"/>
    <w:rsid w:val="00F82E7F"/>
    <w:rsid w:val="00F82F36"/>
    <w:rsid w:val="00F82FD7"/>
    <w:rsid w:val="00F83528"/>
    <w:rsid w:val="00F836F9"/>
    <w:rsid w:val="00F83A85"/>
    <w:rsid w:val="00F83CD8"/>
    <w:rsid w:val="00F83F7E"/>
    <w:rsid w:val="00F8421C"/>
    <w:rsid w:val="00F845D7"/>
    <w:rsid w:val="00F849D9"/>
    <w:rsid w:val="00F84BB9"/>
    <w:rsid w:val="00F8515C"/>
    <w:rsid w:val="00F853D7"/>
    <w:rsid w:val="00F85474"/>
    <w:rsid w:val="00F85708"/>
    <w:rsid w:val="00F85748"/>
    <w:rsid w:val="00F85AE7"/>
    <w:rsid w:val="00F85CEE"/>
    <w:rsid w:val="00F85D1E"/>
    <w:rsid w:val="00F85D3E"/>
    <w:rsid w:val="00F85F1B"/>
    <w:rsid w:val="00F8609B"/>
    <w:rsid w:val="00F86226"/>
    <w:rsid w:val="00F8627E"/>
    <w:rsid w:val="00F8658E"/>
    <w:rsid w:val="00F86843"/>
    <w:rsid w:val="00F86B28"/>
    <w:rsid w:val="00F86C7B"/>
    <w:rsid w:val="00F86C83"/>
    <w:rsid w:val="00F86D73"/>
    <w:rsid w:val="00F86DDA"/>
    <w:rsid w:val="00F86FBB"/>
    <w:rsid w:val="00F87194"/>
    <w:rsid w:val="00F87235"/>
    <w:rsid w:val="00F87420"/>
    <w:rsid w:val="00F87425"/>
    <w:rsid w:val="00F8765F"/>
    <w:rsid w:val="00F87727"/>
    <w:rsid w:val="00F87965"/>
    <w:rsid w:val="00F87A75"/>
    <w:rsid w:val="00F87D21"/>
    <w:rsid w:val="00F87E0D"/>
    <w:rsid w:val="00F9021A"/>
    <w:rsid w:val="00F9021F"/>
    <w:rsid w:val="00F9026C"/>
    <w:rsid w:val="00F90622"/>
    <w:rsid w:val="00F909F0"/>
    <w:rsid w:val="00F90B94"/>
    <w:rsid w:val="00F90CCC"/>
    <w:rsid w:val="00F90E0E"/>
    <w:rsid w:val="00F9132F"/>
    <w:rsid w:val="00F91597"/>
    <w:rsid w:val="00F915D5"/>
    <w:rsid w:val="00F91735"/>
    <w:rsid w:val="00F91AB5"/>
    <w:rsid w:val="00F91CF5"/>
    <w:rsid w:val="00F91FFF"/>
    <w:rsid w:val="00F92279"/>
    <w:rsid w:val="00F92905"/>
    <w:rsid w:val="00F929A1"/>
    <w:rsid w:val="00F92DAB"/>
    <w:rsid w:val="00F92E7B"/>
    <w:rsid w:val="00F92F82"/>
    <w:rsid w:val="00F92FD4"/>
    <w:rsid w:val="00F93015"/>
    <w:rsid w:val="00F9328F"/>
    <w:rsid w:val="00F9335C"/>
    <w:rsid w:val="00F933A0"/>
    <w:rsid w:val="00F93406"/>
    <w:rsid w:val="00F93BCC"/>
    <w:rsid w:val="00F93C3C"/>
    <w:rsid w:val="00F93DDA"/>
    <w:rsid w:val="00F93DFB"/>
    <w:rsid w:val="00F9413B"/>
    <w:rsid w:val="00F94279"/>
    <w:rsid w:val="00F94293"/>
    <w:rsid w:val="00F942D0"/>
    <w:rsid w:val="00F942EE"/>
    <w:rsid w:val="00F94918"/>
    <w:rsid w:val="00F94CC9"/>
    <w:rsid w:val="00F94F8E"/>
    <w:rsid w:val="00F94F9D"/>
    <w:rsid w:val="00F95057"/>
    <w:rsid w:val="00F9508E"/>
    <w:rsid w:val="00F9531D"/>
    <w:rsid w:val="00F9541D"/>
    <w:rsid w:val="00F95966"/>
    <w:rsid w:val="00F95BAD"/>
    <w:rsid w:val="00F9646D"/>
    <w:rsid w:val="00F964B7"/>
    <w:rsid w:val="00F967B7"/>
    <w:rsid w:val="00F96895"/>
    <w:rsid w:val="00F9699A"/>
    <w:rsid w:val="00F96C56"/>
    <w:rsid w:val="00F96C99"/>
    <w:rsid w:val="00F96D2E"/>
    <w:rsid w:val="00F96D8E"/>
    <w:rsid w:val="00F96DC7"/>
    <w:rsid w:val="00F96EB3"/>
    <w:rsid w:val="00F9702C"/>
    <w:rsid w:val="00F97453"/>
    <w:rsid w:val="00F975D1"/>
    <w:rsid w:val="00F975F4"/>
    <w:rsid w:val="00F9765D"/>
    <w:rsid w:val="00F9766A"/>
    <w:rsid w:val="00F976D9"/>
    <w:rsid w:val="00F97AE8"/>
    <w:rsid w:val="00F97B7C"/>
    <w:rsid w:val="00F97C80"/>
    <w:rsid w:val="00F97E11"/>
    <w:rsid w:val="00F97E47"/>
    <w:rsid w:val="00FA013F"/>
    <w:rsid w:val="00FA01BD"/>
    <w:rsid w:val="00FA0280"/>
    <w:rsid w:val="00FA038E"/>
    <w:rsid w:val="00FA04AB"/>
    <w:rsid w:val="00FA0719"/>
    <w:rsid w:val="00FA08AE"/>
    <w:rsid w:val="00FA0A01"/>
    <w:rsid w:val="00FA0AAE"/>
    <w:rsid w:val="00FA0B7C"/>
    <w:rsid w:val="00FA0C3B"/>
    <w:rsid w:val="00FA0CCF"/>
    <w:rsid w:val="00FA0D2C"/>
    <w:rsid w:val="00FA0F35"/>
    <w:rsid w:val="00FA12CF"/>
    <w:rsid w:val="00FA1671"/>
    <w:rsid w:val="00FA17CF"/>
    <w:rsid w:val="00FA1A72"/>
    <w:rsid w:val="00FA1AE4"/>
    <w:rsid w:val="00FA1DD3"/>
    <w:rsid w:val="00FA1FB5"/>
    <w:rsid w:val="00FA2412"/>
    <w:rsid w:val="00FA263B"/>
    <w:rsid w:val="00FA2732"/>
    <w:rsid w:val="00FA2834"/>
    <w:rsid w:val="00FA2A84"/>
    <w:rsid w:val="00FA2AB5"/>
    <w:rsid w:val="00FA2B7E"/>
    <w:rsid w:val="00FA2BC5"/>
    <w:rsid w:val="00FA2D43"/>
    <w:rsid w:val="00FA2E37"/>
    <w:rsid w:val="00FA2FC1"/>
    <w:rsid w:val="00FA313A"/>
    <w:rsid w:val="00FA32BE"/>
    <w:rsid w:val="00FA379B"/>
    <w:rsid w:val="00FA38E3"/>
    <w:rsid w:val="00FA3A03"/>
    <w:rsid w:val="00FA3BF6"/>
    <w:rsid w:val="00FA3CF7"/>
    <w:rsid w:val="00FA3DEA"/>
    <w:rsid w:val="00FA3F31"/>
    <w:rsid w:val="00FA416F"/>
    <w:rsid w:val="00FA4318"/>
    <w:rsid w:val="00FA4475"/>
    <w:rsid w:val="00FA4926"/>
    <w:rsid w:val="00FA4A35"/>
    <w:rsid w:val="00FA4AC1"/>
    <w:rsid w:val="00FA4AFA"/>
    <w:rsid w:val="00FA4E03"/>
    <w:rsid w:val="00FA4E29"/>
    <w:rsid w:val="00FA4F9E"/>
    <w:rsid w:val="00FA507D"/>
    <w:rsid w:val="00FA534E"/>
    <w:rsid w:val="00FA5512"/>
    <w:rsid w:val="00FA56FC"/>
    <w:rsid w:val="00FA586F"/>
    <w:rsid w:val="00FA5961"/>
    <w:rsid w:val="00FA5A5A"/>
    <w:rsid w:val="00FA5C52"/>
    <w:rsid w:val="00FA615B"/>
    <w:rsid w:val="00FA6501"/>
    <w:rsid w:val="00FA6648"/>
    <w:rsid w:val="00FA665A"/>
    <w:rsid w:val="00FA673F"/>
    <w:rsid w:val="00FA67AA"/>
    <w:rsid w:val="00FA68A3"/>
    <w:rsid w:val="00FA6958"/>
    <w:rsid w:val="00FA6A3E"/>
    <w:rsid w:val="00FA6C02"/>
    <w:rsid w:val="00FA6CB2"/>
    <w:rsid w:val="00FA6CD9"/>
    <w:rsid w:val="00FA6E06"/>
    <w:rsid w:val="00FA6EFD"/>
    <w:rsid w:val="00FA6FCC"/>
    <w:rsid w:val="00FA71E6"/>
    <w:rsid w:val="00FA7316"/>
    <w:rsid w:val="00FA738A"/>
    <w:rsid w:val="00FA7852"/>
    <w:rsid w:val="00FA7A88"/>
    <w:rsid w:val="00FA7BFA"/>
    <w:rsid w:val="00FB00EF"/>
    <w:rsid w:val="00FB00F4"/>
    <w:rsid w:val="00FB01AB"/>
    <w:rsid w:val="00FB01B6"/>
    <w:rsid w:val="00FB0284"/>
    <w:rsid w:val="00FB02D5"/>
    <w:rsid w:val="00FB0339"/>
    <w:rsid w:val="00FB0A91"/>
    <w:rsid w:val="00FB0AEC"/>
    <w:rsid w:val="00FB0B03"/>
    <w:rsid w:val="00FB0D05"/>
    <w:rsid w:val="00FB0D07"/>
    <w:rsid w:val="00FB140F"/>
    <w:rsid w:val="00FB14C0"/>
    <w:rsid w:val="00FB14E9"/>
    <w:rsid w:val="00FB1C08"/>
    <w:rsid w:val="00FB1E3B"/>
    <w:rsid w:val="00FB1E6A"/>
    <w:rsid w:val="00FB1FA3"/>
    <w:rsid w:val="00FB228B"/>
    <w:rsid w:val="00FB24FD"/>
    <w:rsid w:val="00FB2513"/>
    <w:rsid w:val="00FB26A6"/>
    <w:rsid w:val="00FB2905"/>
    <w:rsid w:val="00FB296B"/>
    <w:rsid w:val="00FB29E6"/>
    <w:rsid w:val="00FB2D62"/>
    <w:rsid w:val="00FB34B9"/>
    <w:rsid w:val="00FB36C8"/>
    <w:rsid w:val="00FB373B"/>
    <w:rsid w:val="00FB3853"/>
    <w:rsid w:val="00FB386F"/>
    <w:rsid w:val="00FB399A"/>
    <w:rsid w:val="00FB3B25"/>
    <w:rsid w:val="00FB3B5D"/>
    <w:rsid w:val="00FB3BA2"/>
    <w:rsid w:val="00FB3CEF"/>
    <w:rsid w:val="00FB408C"/>
    <w:rsid w:val="00FB4455"/>
    <w:rsid w:val="00FB45C9"/>
    <w:rsid w:val="00FB46D1"/>
    <w:rsid w:val="00FB48AC"/>
    <w:rsid w:val="00FB4A3D"/>
    <w:rsid w:val="00FB4C2C"/>
    <w:rsid w:val="00FB4D21"/>
    <w:rsid w:val="00FB4D47"/>
    <w:rsid w:val="00FB4D4E"/>
    <w:rsid w:val="00FB4DB5"/>
    <w:rsid w:val="00FB4EFF"/>
    <w:rsid w:val="00FB5026"/>
    <w:rsid w:val="00FB51AE"/>
    <w:rsid w:val="00FB5393"/>
    <w:rsid w:val="00FB5741"/>
    <w:rsid w:val="00FB5953"/>
    <w:rsid w:val="00FB5A1E"/>
    <w:rsid w:val="00FB5A93"/>
    <w:rsid w:val="00FB5D23"/>
    <w:rsid w:val="00FB5E86"/>
    <w:rsid w:val="00FB63FB"/>
    <w:rsid w:val="00FB65D3"/>
    <w:rsid w:val="00FB6653"/>
    <w:rsid w:val="00FB6901"/>
    <w:rsid w:val="00FB6BEA"/>
    <w:rsid w:val="00FB6C79"/>
    <w:rsid w:val="00FB6DDA"/>
    <w:rsid w:val="00FB6DF2"/>
    <w:rsid w:val="00FB6F5A"/>
    <w:rsid w:val="00FB6FE2"/>
    <w:rsid w:val="00FB7158"/>
    <w:rsid w:val="00FB7332"/>
    <w:rsid w:val="00FB7479"/>
    <w:rsid w:val="00FB762B"/>
    <w:rsid w:val="00FB76E5"/>
    <w:rsid w:val="00FB7808"/>
    <w:rsid w:val="00FB7890"/>
    <w:rsid w:val="00FB7BCB"/>
    <w:rsid w:val="00FB7C3C"/>
    <w:rsid w:val="00FB7C79"/>
    <w:rsid w:val="00FB7CB2"/>
    <w:rsid w:val="00FB7D65"/>
    <w:rsid w:val="00FB7E18"/>
    <w:rsid w:val="00FC0023"/>
    <w:rsid w:val="00FC00A0"/>
    <w:rsid w:val="00FC04F5"/>
    <w:rsid w:val="00FC0647"/>
    <w:rsid w:val="00FC0751"/>
    <w:rsid w:val="00FC0861"/>
    <w:rsid w:val="00FC0AA4"/>
    <w:rsid w:val="00FC10C1"/>
    <w:rsid w:val="00FC11F8"/>
    <w:rsid w:val="00FC1247"/>
    <w:rsid w:val="00FC138E"/>
    <w:rsid w:val="00FC1446"/>
    <w:rsid w:val="00FC179D"/>
    <w:rsid w:val="00FC17A3"/>
    <w:rsid w:val="00FC17C2"/>
    <w:rsid w:val="00FC1832"/>
    <w:rsid w:val="00FC1838"/>
    <w:rsid w:val="00FC1866"/>
    <w:rsid w:val="00FC1C56"/>
    <w:rsid w:val="00FC1D3F"/>
    <w:rsid w:val="00FC2013"/>
    <w:rsid w:val="00FC21E5"/>
    <w:rsid w:val="00FC2339"/>
    <w:rsid w:val="00FC2601"/>
    <w:rsid w:val="00FC279F"/>
    <w:rsid w:val="00FC28C6"/>
    <w:rsid w:val="00FC29EB"/>
    <w:rsid w:val="00FC2C6C"/>
    <w:rsid w:val="00FC2D90"/>
    <w:rsid w:val="00FC31F1"/>
    <w:rsid w:val="00FC38A4"/>
    <w:rsid w:val="00FC39E9"/>
    <w:rsid w:val="00FC3CC4"/>
    <w:rsid w:val="00FC3DDF"/>
    <w:rsid w:val="00FC3E01"/>
    <w:rsid w:val="00FC460C"/>
    <w:rsid w:val="00FC480B"/>
    <w:rsid w:val="00FC482C"/>
    <w:rsid w:val="00FC4B45"/>
    <w:rsid w:val="00FC4BD3"/>
    <w:rsid w:val="00FC5012"/>
    <w:rsid w:val="00FC5132"/>
    <w:rsid w:val="00FC552D"/>
    <w:rsid w:val="00FC58EB"/>
    <w:rsid w:val="00FC5A73"/>
    <w:rsid w:val="00FC5AE9"/>
    <w:rsid w:val="00FC5B84"/>
    <w:rsid w:val="00FC5E59"/>
    <w:rsid w:val="00FC60D2"/>
    <w:rsid w:val="00FC6111"/>
    <w:rsid w:val="00FC63DB"/>
    <w:rsid w:val="00FC67B5"/>
    <w:rsid w:val="00FC689F"/>
    <w:rsid w:val="00FC6ADA"/>
    <w:rsid w:val="00FC6BF2"/>
    <w:rsid w:val="00FC6C44"/>
    <w:rsid w:val="00FC6E54"/>
    <w:rsid w:val="00FC7307"/>
    <w:rsid w:val="00FC7383"/>
    <w:rsid w:val="00FC73F5"/>
    <w:rsid w:val="00FC74D2"/>
    <w:rsid w:val="00FC7CED"/>
    <w:rsid w:val="00FC7D33"/>
    <w:rsid w:val="00FC7D51"/>
    <w:rsid w:val="00FC7E7B"/>
    <w:rsid w:val="00FD0027"/>
    <w:rsid w:val="00FD01D1"/>
    <w:rsid w:val="00FD02A9"/>
    <w:rsid w:val="00FD04B2"/>
    <w:rsid w:val="00FD064A"/>
    <w:rsid w:val="00FD0650"/>
    <w:rsid w:val="00FD06AE"/>
    <w:rsid w:val="00FD06F9"/>
    <w:rsid w:val="00FD0CE2"/>
    <w:rsid w:val="00FD0DD9"/>
    <w:rsid w:val="00FD11F5"/>
    <w:rsid w:val="00FD1260"/>
    <w:rsid w:val="00FD17D9"/>
    <w:rsid w:val="00FD18AA"/>
    <w:rsid w:val="00FD1900"/>
    <w:rsid w:val="00FD1950"/>
    <w:rsid w:val="00FD19F6"/>
    <w:rsid w:val="00FD1C94"/>
    <w:rsid w:val="00FD1DAB"/>
    <w:rsid w:val="00FD1DCA"/>
    <w:rsid w:val="00FD1F4D"/>
    <w:rsid w:val="00FD1FF5"/>
    <w:rsid w:val="00FD2061"/>
    <w:rsid w:val="00FD2315"/>
    <w:rsid w:val="00FD24EC"/>
    <w:rsid w:val="00FD294B"/>
    <w:rsid w:val="00FD29CF"/>
    <w:rsid w:val="00FD2AEF"/>
    <w:rsid w:val="00FD2C9E"/>
    <w:rsid w:val="00FD2DB1"/>
    <w:rsid w:val="00FD321B"/>
    <w:rsid w:val="00FD33B7"/>
    <w:rsid w:val="00FD33CA"/>
    <w:rsid w:val="00FD34C4"/>
    <w:rsid w:val="00FD362C"/>
    <w:rsid w:val="00FD36A5"/>
    <w:rsid w:val="00FD36ED"/>
    <w:rsid w:val="00FD3724"/>
    <w:rsid w:val="00FD38C7"/>
    <w:rsid w:val="00FD3C7C"/>
    <w:rsid w:val="00FD3E2D"/>
    <w:rsid w:val="00FD3E9A"/>
    <w:rsid w:val="00FD3FAA"/>
    <w:rsid w:val="00FD3FF3"/>
    <w:rsid w:val="00FD42E7"/>
    <w:rsid w:val="00FD43C2"/>
    <w:rsid w:val="00FD44C9"/>
    <w:rsid w:val="00FD4665"/>
    <w:rsid w:val="00FD46E6"/>
    <w:rsid w:val="00FD475A"/>
    <w:rsid w:val="00FD48E4"/>
    <w:rsid w:val="00FD4CBE"/>
    <w:rsid w:val="00FD4E10"/>
    <w:rsid w:val="00FD539E"/>
    <w:rsid w:val="00FD53E5"/>
    <w:rsid w:val="00FD54B3"/>
    <w:rsid w:val="00FD55AA"/>
    <w:rsid w:val="00FD5A6B"/>
    <w:rsid w:val="00FD5B73"/>
    <w:rsid w:val="00FD5DC7"/>
    <w:rsid w:val="00FD5EA0"/>
    <w:rsid w:val="00FD6264"/>
    <w:rsid w:val="00FD66D0"/>
    <w:rsid w:val="00FD6710"/>
    <w:rsid w:val="00FD6796"/>
    <w:rsid w:val="00FD67EC"/>
    <w:rsid w:val="00FD68B2"/>
    <w:rsid w:val="00FD6A28"/>
    <w:rsid w:val="00FD6BFD"/>
    <w:rsid w:val="00FD6E5B"/>
    <w:rsid w:val="00FD6EA0"/>
    <w:rsid w:val="00FD7076"/>
    <w:rsid w:val="00FD70D2"/>
    <w:rsid w:val="00FD77A5"/>
    <w:rsid w:val="00FD788A"/>
    <w:rsid w:val="00FE00DB"/>
    <w:rsid w:val="00FE026F"/>
    <w:rsid w:val="00FE0B18"/>
    <w:rsid w:val="00FE0D0B"/>
    <w:rsid w:val="00FE0F3A"/>
    <w:rsid w:val="00FE0F8E"/>
    <w:rsid w:val="00FE10C3"/>
    <w:rsid w:val="00FE1261"/>
    <w:rsid w:val="00FE1321"/>
    <w:rsid w:val="00FE13A1"/>
    <w:rsid w:val="00FE13EF"/>
    <w:rsid w:val="00FE1664"/>
    <w:rsid w:val="00FE179C"/>
    <w:rsid w:val="00FE1873"/>
    <w:rsid w:val="00FE18C9"/>
    <w:rsid w:val="00FE1A2B"/>
    <w:rsid w:val="00FE1C8E"/>
    <w:rsid w:val="00FE208A"/>
    <w:rsid w:val="00FE2160"/>
    <w:rsid w:val="00FE242F"/>
    <w:rsid w:val="00FE24FC"/>
    <w:rsid w:val="00FE2542"/>
    <w:rsid w:val="00FE260A"/>
    <w:rsid w:val="00FE27DD"/>
    <w:rsid w:val="00FE298B"/>
    <w:rsid w:val="00FE29CE"/>
    <w:rsid w:val="00FE2AC0"/>
    <w:rsid w:val="00FE2DD3"/>
    <w:rsid w:val="00FE2ECD"/>
    <w:rsid w:val="00FE33AF"/>
    <w:rsid w:val="00FE3BA4"/>
    <w:rsid w:val="00FE3FA2"/>
    <w:rsid w:val="00FE449D"/>
    <w:rsid w:val="00FE4597"/>
    <w:rsid w:val="00FE465E"/>
    <w:rsid w:val="00FE4757"/>
    <w:rsid w:val="00FE49A4"/>
    <w:rsid w:val="00FE4ABB"/>
    <w:rsid w:val="00FE4B54"/>
    <w:rsid w:val="00FE4B56"/>
    <w:rsid w:val="00FE4CEE"/>
    <w:rsid w:val="00FE4D24"/>
    <w:rsid w:val="00FE4D85"/>
    <w:rsid w:val="00FE4E9D"/>
    <w:rsid w:val="00FE510B"/>
    <w:rsid w:val="00FE5196"/>
    <w:rsid w:val="00FE53AD"/>
    <w:rsid w:val="00FE59FA"/>
    <w:rsid w:val="00FE5CBA"/>
    <w:rsid w:val="00FE5FC7"/>
    <w:rsid w:val="00FE5FF8"/>
    <w:rsid w:val="00FE630C"/>
    <w:rsid w:val="00FE6517"/>
    <w:rsid w:val="00FE6607"/>
    <w:rsid w:val="00FE676A"/>
    <w:rsid w:val="00FE6C4A"/>
    <w:rsid w:val="00FE6C9E"/>
    <w:rsid w:val="00FE70DE"/>
    <w:rsid w:val="00FE7167"/>
    <w:rsid w:val="00FE7193"/>
    <w:rsid w:val="00FE74D3"/>
    <w:rsid w:val="00FE75E7"/>
    <w:rsid w:val="00FE7668"/>
    <w:rsid w:val="00FE7952"/>
    <w:rsid w:val="00FE7BC2"/>
    <w:rsid w:val="00FE7C75"/>
    <w:rsid w:val="00FE7DFA"/>
    <w:rsid w:val="00FE7E0D"/>
    <w:rsid w:val="00FE7E27"/>
    <w:rsid w:val="00FE7EAD"/>
    <w:rsid w:val="00FE7F03"/>
    <w:rsid w:val="00FF0140"/>
    <w:rsid w:val="00FF023B"/>
    <w:rsid w:val="00FF03A4"/>
    <w:rsid w:val="00FF06DF"/>
    <w:rsid w:val="00FF0ADB"/>
    <w:rsid w:val="00FF0B26"/>
    <w:rsid w:val="00FF0C44"/>
    <w:rsid w:val="00FF0DC2"/>
    <w:rsid w:val="00FF0EC8"/>
    <w:rsid w:val="00FF0ECE"/>
    <w:rsid w:val="00FF1174"/>
    <w:rsid w:val="00FF160F"/>
    <w:rsid w:val="00FF17E7"/>
    <w:rsid w:val="00FF18A6"/>
    <w:rsid w:val="00FF194B"/>
    <w:rsid w:val="00FF19B7"/>
    <w:rsid w:val="00FF1A9A"/>
    <w:rsid w:val="00FF1AB7"/>
    <w:rsid w:val="00FF1B7B"/>
    <w:rsid w:val="00FF1D57"/>
    <w:rsid w:val="00FF24E2"/>
    <w:rsid w:val="00FF2625"/>
    <w:rsid w:val="00FF2F2C"/>
    <w:rsid w:val="00FF3141"/>
    <w:rsid w:val="00FF33BD"/>
    <w:rsid w:val="00FF364A"/>
    <w:rsid w:val="00FF369E"/>
    <w:rsid w:val="00FF387B"/>
    <w:rsid w:val="00FF3AD8"/>
    <w:rsid w:val="00FF41FD"/>
    <w:rsid w:val="00FF4222"/>
    <w:rsid w:val="00FF427F"/>
    <w:rsid w:val="00FF4319"/>
    <w:rsid w:val="00FF4489"/>
    <w:rsid w:val="00FF4598"/>
    <w:rsid w:val="00FF467B"/>
    <w:rsid w:val="00FF46AA"/>
    <w:rsid w:val="00FF4DD2"/>
    <w:rsid w:val="00FF4DE5"/>
    <w:rsid w:val="00FF5061"/>
    <w:rsid w:val="00FF53FA"/>
    <w:rsid w:val="00FF5532"/>
    <w:rsid w:val="00FF56D0"/>
    <w:rsid w:val="00FF5A6F"/>
    <w:rsid w:val="00FF5B16"/>
    <w:rsid w:val="00FF5B74"/>
    <w:rsid w:val="00FF5F70"/>
    <w:rsid w:val="00FF5F7B"/>
    <w:rsid w:val="00FF6335"/>
    <w:rsid w:val="00FF67B4"/>
    <w:rsid w:val="00FF6911"/>
    <w:rsid w:val="00FF6B0B"/>
    <w:rsid w:val="00FF6D48"/>
    <w:rsid w:val="00FF70CD"/>
    <w:rsid w:val="00FF718D"/>
    <w:rsid w:val="00FF7244"/>
    <w:rsid w:val="00FF73A2"/>
    <w:rsid w:val="00FF7443"/>
    <w:rsid w:val="00FF7648"/>
    <w:rsid w:val="00FF780C"/>
    <w:rsid w:val="00FF7813"/>
    <w:rsid w:val="00FF7933"/>
    <w:rsid w:val="00FF7A51"/>
    <w:rsid w:val="00FF7B56"/>
    <w:rsid w:val="00FF7BCD"/>
    <w:rsid w:val="00FF7EAE"/>
    <w:rsid w:val="0622650C"/>
    <w:rsid w:val="06647A1D"/>
    <w:rsid w:val="0685C225"/>
    <w:rsid w:val="0699A30A"/>
    <w:rsid w:val="07DB21DA"/>
    <w:rsid w:val="0A108E42"/>
    <w:rsid w:val="0A220852"/>
    <w:rsid w:val="0A38E893"/>
    <w:rsid w:val="0AF01523"/>
    <w:rsid w:val="0D020798"/>
    <w:rsid w:val="0E2927CA"/>
    <w:rsid w:val="138DD6F3"/>
    <w:rsid w:val="1AA67035"/>
    <w:rsid w:val="1ABB8272"/>
    <w:rsid w:val="1DE7863F"/>
    <w:rsid w:val="1F2BE99C"/>
    <w:rsid w:val="1F5B2EF6"/>
    <w:rsid w:val="204FAB0D"/>
    <w:rsid w:val="22F6B282"/>
    <w:rsid w:val="23B705BF"/>
    <w:rsid w:val="23C94646"/>
    <w:rsid w:val="269D157C"/>
    <w:rsid w:val="2807E911"/>
    <w:rsid w:val="2A934375"/>
    <w:rsid w:val="2D6AF141"/>
    <w:rsid w:val="2D89A02D"/>
    <w:rsid w:val="2F599B5C"/>
    <w:rsid w:val="2F7495CE"/>
    <w:rsid w:val="2FCCC02F"/>
    <w:rsid w:val="3126A365"/>
    <w:rsid w:val="314DB8B8"/>
    <w:rsid w:val="31705484"/>
    <w:rsid w:val="32011F56"/>
    <w:rsid w:val="33B6D65A"/>
    <w:rsid w:val="350513F0"/>
    <w:rsid w:val="3633C9F7"/>
    <w:rsid w:val="38C4060A"/>
    <w:rsid w:val="38FAA1AB"/>
    <w:rsid w:val="390D15A9"/>
    <w:rsid w:val="3AC913B9"/>
    <w:rsid w:val="3BDBC65D"/>
    <w:rsid w:val="3C1C371B"/>
    <w:rsid w:val="3C63C298"/>
    <w:rsid w:val="3CEC411E"/>
    <w:rsid w:val="3DD06DFE"/>
    <w:rsid w:val="407C68E8"/>
    <w:rsid w:val="41149D33"/>
    <w:rsid w:val="41C73342"/>
    <w:rsid w:val="437F3C11"/>
    <w:rsid w:val="44166E76"/>
    <w:rsid w:val="45AFB577"/>
    <w:rsid w:val="45FF8B48"/>
    <w:rsid w:val="47172B63"/>
    <w:rsid w:val="47C50976"/>
    <w:rsid w:val="48836F1E"/>
    <w:rsid w:val="48BC225A"/>
    <w:rsid w:val="499E38FF"/>
    <w:rsid w:val="4B7D1363"/>
    <w:rsid w:val="4C6E3B60"/>
    <w:rsid w:val="4F06AABA"/>
    <w:rsid w:val="4F9A0968"/>
    <w:rsid w:val="50527492"/>
    <w:rsid w:val="522880DE"/>
    <w:rsid w:val="52F6EF62"/>
    <w:rsid w:val="531E5A84"/>
    <w:rsid w:val="53A4D512"/>
    <w:rsid w:val="540C48E6"/>
    <w:rsid w:val="54A2840B"/>
    <w:rsid w:val="5749CFCC"/>
    <w:rsid w:val="5835F852"/>
    <w:rsid w:val="598A6725"/>
    <w:rsid w:val="5B19782E"/>
    <w:rsid w:val="5B529A6F"/>
    <w:rsid w:val="5C6DF073"/>
    <w:rsid w:val="60154CF3"/>
    <w:rsid w:val="60940D84"/>
    <w:rsid w:val="62682C20"/>
    <w:rsid w:val="62BDFEA8"/>
    <w:rsid w:val="67AC6254"/>
    <w:rsid w:val="6A16C924"/>
    <w:rsid w:val="6C3A7BB7"/>
    <w:rsid w:val="6D5E9584"/>
    <w:rsid w:val="6E2EDEC6"/>
    <w:rsid w:val="6EED8192"/>
    <w:rsid w:val="70359F37"/>
    <w:rsid w:val="7178D895"/>
    <w:rsid w:val="74CE06D9"/>
    <w:rsid w:val="7745F0E6"/>
    <w:rsid w:val="77C0D14E"/>
    <w:rsid w:val="7A7F4E04"/>
    <w:rsid w:val="7C09B14A"/>
    <w:rsid w:val="7C678AFA"/>
    <w:rsid w:val="7CCA03AF"/>
    <w:rsid w:val="7D12238B"/>
    <w:rsid w:val="7F026434"/>
    <w:rsid w:val="7FCE4F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BAFF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AD7"/>
    <w:rPr>
      <w:kern w:val="2"/>
      <w14:ligatures w14:val="standardContextual"/>
    </w:rPr>
  </w:style>
  <w:style w:type="paragraph" w:styleId="Heading1">
    <w:name w:val="heading 1"/>
    <w:basedOn w:val="HeadingBase"/>
    <w:next w:val="Normal"/>
    <w:link w:val="Heading1Char"/>
    <w:qFormat/>
    <w:rsid w:val="00994AD7"/>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994AD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994AD7"/>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994AD7"/>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994AD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994AD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rsid w:val="00994A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4AD7"/>
  </w:style>
  <w:style w:type="character" w:customStyle="1" w:styleId="Heading1Char">
    <w:name w:val="Heading 1 Char"/>
    <w:basedOn w:val="DefaultParagraphFont"/>
    <w:link w:val="Heading1"/>
    <w:rsid w:val="00994AD7"/>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994AD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994AD7"/>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994AD7"/>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994AD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994AD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994AD7"/>
    <w:pPr>
      <w:keepNext/>
      <w:spacing w:after="0"/>
      <w:jc w:val="center"/>
    </w:pPr>
    <w:rPr>
      <w:color w:val="004A7F"/>
      <w:sz w:val="20"/>
    </w:rPr>
  </w:style>
  <w:style w:type="paragraph" w:customStyle="1" w:styleId="AlphaParagraph">
    <w:name w:val="Alpha Paragraph"/>
    <w:basedOn w:val="Normal"/>
    <w:qFormat/>
    <w:rsid w:val="00994AD7"/>
    <w:pPr>
      <w:numPr>
        <w:ilvl w:val="1"/>
        <w:numId w:val="6"/>
      </w:numPr>
    </w:pPr>
  </w:style>
  <w:style w:type="character" w:customStyle="1" w:styleId="DashChar">
    <w:name w:val="Dash Char"/>
    <w:basedOn w:val="DefaultParagraphFont"/>
    <w:link w:val="Dash"/>
    <w:uiPriority w:val="99"/>
    <w:locked/>
    <w:rsid w:val="00994AD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994AD7"/>
    <w:rPr>
      <w:rFonts w:ascii="Calibri Light" w:eastAsia="Times New Roman" w:hAnsi="Calibri Light" w:cs="Times New Roman"/>
      <w:szCs w:val="20"/>
      <w:lang w:eastAsia="en-AU"/>
    </w:rPr>
  </w:style>
  <w:style w:type="character" w:customStyle="1" w:styleId="BulletChar">
    <w:name w:val="Bullet Char"/>
    <w:aliases w:val="b + line Char Char,b Char,b Char Char"/>
    <w:basedOn w:val="DefaultParagraphFont"/>
    <w:link w:val="Bullet"/>
    <w:locked/>
    <w:rsid w:val="00994AD7"/>
    <w:rPr>
      <w:rFonts w:ascii="Calibri Light" w:eastAsia="Times New Roman" w:hAnsi="Calibri Light" w:cs="Times New Roman"/>
      <w:szCs w:val="20"/>
      <w:lang w:eastAsia="en-AU"/>
    </w:rPr>
  </w:style>
  <w:style w:type="paragraph" w:customStyle="1" w:styleId="BoxHeading">
    <w:name w:val="Box Heading"/>
    <w:basedOn w:val="Normal"/>
    <w:next w:val="Normal"/>
    <w:rsid w:val="00994AD7"/>
    <w:pPr>
      <w:keepNext/>
      <w:spacing w:before="240"/>
    </w:pPr>
    <w:rPr>
      <w:b/>
      <w:color w:val="2C384A" w:themeColor="accent1"/>
      <w:sz w:val="26"/>
      <w:szCs w:val="26"/>
    </w:rPr>
  </w:style>
  <w:style w:type="paragraph" w:customStyle="1" w:styleId="BoxText">
    <w:name w:val="Box Text"/>
    <w:basedOn w:val="Normal"/>
    <w:link w:val="BoxTextChar"/>
    <w:rsid w:val="00994AD7"/>
  </w:style>
  <w:style w:type="paragraph" w:customStyle="1" w:styleId="Bullet">
    <w:name w:val="Bullet"/>
    <w:aliases w:val="b,b1,b + line,level 1,Body,Bullet + line,bulleted,Bullet Char1,Bullet Char1 Char Char Char Char,b1 Char Char Char,Bullet Char1 Char Char Char Char Char,Bullet Char1 Char Char Char,BodyNum,CG-Bullet"/>
    <w:basedOn w:val="Normal"/>
    <w:link w:val="BulletChar"/>
    <w:qFormat/>
    <w:rsid w:val="00994AD7"/>
    <w:pPr>
      <w:numPr>
        <w:numId w:val="8"/>
      </w:numPr>
      <w:tabs>
        <w:tab w:val="left" w:pos="720"/>
      </w:tabs>
      <w:spacing w:line="276" w:lineRule="auto"/>
    </w:pPr>
  </w:style>
  <w:style w:type="paragraph" w:customStyle="1" w:styleId="ChartandTableFootnoteAlpha">
    <w:name w:val="Chart and Table Footnote Alpha"/>
    <w:rsid w:val="00994AD7"/>
    <w:pPr>
      <w:numPr>
        <w:numId w:val="7"/>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994AD7"/>
    <w:pPr>
      <w:jc w:val="center"/>
    </w:pPr>
  </w:style>
  <w:style w:type="paragraph" w:customStyle="1" w:styleId="ChartorTableNote">
    <w:name w:val="Chart or Table Note"/>
    <w:next w:val="Normal"/>
    <w:rsid w:val="00994AD7"/>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94AD7"/>
    <w:pPr>
      <w:jc w:val="center"/>
    </w:pPr>
    <w:rPr>
      <w:b w:val="0"/>
      <w:bCs/>
    </w:rPr>
  </w:style>
  <w:style w:type="paragraph" w:customStyle="1" w:styleId="ReportDate">
    <w:name w:val="Report Date"/>
    <w:basedOn w:val="Normal"/>
    <w:link w:val="ReportDateChar"/>
    <w:rsid w:val="00994AD7"/>
    <w:pPr>
      <w:keepNext/>
      <w:spacing w:after="360"/>
    </w:pPr>
    <w:rPr>
      <w:color w:val="90B6F0"/>
      <w:sz w:val="32"/>
    </w:rPr>
  </w:style>
  <w:style w:type="paragraph" w:customStyle="1" w:styleId="Dash">
    <w:name w:val="Dash"/>
    <w:basedOn w:val="Normal"/>
    <w:link w:val="DashChar"/>
    <w:uiPriority w:val="99"/>
    <w:qFormat/>
    <w:rsid w:val="00994AD7"/>
    <w:pPr>
      <w:numPr>
        <w:ilvl w:val="1"/>
        <w:numId w:val="8"/>
      </w:numPr>
    </w:pPr>
  </w:style>
  <w:style w:type="paragraph" w:customStyle="1" w:styleId="DoubleDot">
    <w:name w:val="Double Dot"/>
    <w:basedOn w:val="Normal"/>
    <w:link w:val="DoubleDotChar"/>
    <w:uiPriority w:val="99"/>
    <w:qFormat/>
    <w:rsid w:val="00994AD7"/>
    <w:pPr>
      <w:numPr>
        <w:ilvl w:val="2"/>
        <w:numId w:val="8"/>
      </w:numPr>
    </w:pPr>
  </w:style>
  <w:style w:type="paragraph" w:customStyle="1" w:styleId="TableMainHeading">
    <w:name w:val="Table Main Heading"/>
    <w:basedOn w:val="Heading3"/>
    <w:next w:val="Normal"/>
    <w:rsid w:val="00994AD7"/>
    <w:pPr>
      <w:spacing w:before="120"/>
    </w:pPr>
    <w:rPr>
      <w:b w:val="0"/>
      <w:sz w:val="26"/>
    </w:rPr>
  </w:style>
  <w:style w:type="paragraph" w:customStyle="1" w:styleId="FooterEven">
    <w:name w:val="Footer Even"/>
    <w:basedOn w:val="Footer"/>
    <w:rsid w:val="00994AD7"/>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994AD7"/>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994AD7"/>
    <w:rPr>
      <w:color w:val="3A6FAF"/>
      <w:u w:val="none"/>
    </w:rPr>
  </w:style>
  <w:style w:type="paragraph" w:customStyle="1" w:styleId="OutlineNumbered1">
    <w:name w:val="Outline Numbered 1"/>
    <w:basedOn w:val="Normal"/>
    <w:link w:val="OutlineNumbered1Char"/>
    <w:rsid w:val="00994AD7"/>
    <w:pPr>
      <w:numPr>
        <w:numId w:val="26"/>
      </w:numPr>
    </w:pPr>
  </w:style>
  <w:style w:type="paragraph" w:customStyle="1" w:styleId="OutlineNumbered2">
    <w:name w:val="Outline Numbered 2"/>
    <w:basedOn w:val="Normal"/>
    <w:link w:val="OutlineNumbered2Char"/>
    <w:rsid w:val="00994AD7"/>
    <w:pPr>
      <w:numPr>
        <w:ilvl w:val="1"/>
        <w:numId w:val="26"/>
      </w:numPr>
    </w:pPr>
  </w:style>
  <w:style w:type="paragraph" w:customStyle="1" w:styleId="OutlineNumbered3">
    <w:name w:val="Outline Numbered 3"/>
    <w:basedOn w:val="Normal"/>
    <w:rsid w:val="00994AD7"/>
    <w:pPr>
      <w:numPr>
        <w:ilvl w:val="2"/>
        <w:numId w:val="26"/>
      </w:numPr>
    </w:pPr>
  </w:style>
  <w:style w:type="paragraph" w:customStyle="1" w:styleId="SingleParagraph">
    <w:name w:val="Single Paragraph"/>
    <w:basedOn w:val="Normal"/>
    <w:next w:val="Normal"/>
    <w:link w:val="SingleParagraphChar"/>
    <w:rsid w:val="00994AD7"/>
    <w:pPr>
      <w:spacing w:after="0"/>
    </w:pPr>
  </w:style>
  <w:style w:type="paragraph" w:customStyle="1" w:styleId="TableSecondHeading">
    <w:name w:val="Table Second Heading"/>
    <w:basedOn w:val="Normal"/>
    <w:next w:val="Normal"/>
    <w:rsid w:val="00994AD7"/>
    <w:pPr>
      <w:keepNext/>
      <w:spacing w:after="20"/>
    </w:pPr>
    <w:rPr>
      <w:b/>
      <w:color w:val="004A7F"/>
    </w:rPr>
  </w:style>
  <w:style w:type="paragraph" w:customStyle="1" w:styleId="TableColumnHeadingCentred">
    <w:name w:val="Table Column Heading Centred"/>
    <w:basedOn w:val="TableTextLeft"/>
    <w:rsid w:val="00994AD7"/>
    <w:pPr>
      <w:jc w:val="center"/>
    </w:pPr>
    <w:rPr>
      <w:b/>
      <w:color w:val="2C384A" w:themeColor="accent1"/>
      <w:sz w:val="20"/>
    </w:rPr>
  </w:style>
  <w:style w:type="paragraph" w:customStyle="1" w:styleId="TableColumnHeadingLeft">
    <w:name w:val="Table Column Heading Left"/>
    <w:basedOn w:val="TableTextLeft"/>
    <w:rsid w:val="00994AD7"/>
    <w:rPr>
      <w:b/>
      <w:color w:val="2C384A" w:themeColor="accent1"/>
      <w:sz w:val="20"/>
    </w:rPr>
  </w:style>
  <w:style w:type="paragraph" w:customStyle="1" w:styleId="TableColumnHeadingRight">
    <w:name w:val="Table Column Heading Right"/>
    <w:basedOn w:val="TableTextLeft"/>
    <w:rsid w:val="00994AD7"/>
    <w:pPr>
      <w:jc w:val="right"/>
    </w:pPr>
    <w:rPr>
      <w:b/>
      <w:color w:val="2C384A" w:themeColor="accent1"/>
      <w:sz w:val="20"/>
    </w:rPr>
  </w:style>
  <w:style w:type="table" w:styleId="TableGrid">
    <w:name w:val="Table Grid"/>
    <w:basedOn w:val="TableNormal"/>
    <w:rsid w:val="00994AD7"/>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994AD7"/>
    <w:pPr>
      <w:jc w:val="center"/>
    </w:pPr>
  </w:style>
  <w:style w:type="paragraph" w:customStyle="1" w:styleId="TableTextLeft">
    <w:name w:val="Table Text Left"/>
    <w:basedOn w:val="TableTextRight"/>
    <w:rsid w:val="00994AD7"/>
    <w:pPr>
      <w:jc w:val="left"/>
    </w:pPr>
  </w:style>
  <w:style w:type="paragraph" w:customStyle="1" w:styleId="TableTextRight">
    <w:name w:val="Table Text Right"/>
    <w:basedOn w:val="Normal"/>
    <w:rsid w:val="00994AD7"/>
    <w:pPr>
      <w:spacing w:before="40" w:after="40"/>
      <w:jc w:val="right"/>
    </w:pPr>
    <w:rPr>
      <w:color w:val="000000"/>
      <w:sz w:val="18"/>
    </w:rPr>
  </w:style>
  <w:style w:type="paragraph" w:styleId="TOC1">
    <w:name w:val="toc 1"/>
    <w:basedOn w:val="Normal"/>
    <w:next w:val="Normal"/>
    <w:uiPriority w:val="39"/>
    <w:rsid w:val="00994AD7"/>
    <w:pPr>
      <w:keepNext/>
      <w:tabs>
        <w:tab w:val="right" w:leader="dot" w:pos="9072"/>
      </w:tabs>
      <w:spacing w:before="180" w:after="0"/>
      <w:ind w:right="-2"/>
    </w:pPr>
    <w:rPr>
      <w:b/>
      <w:noProof/>
      <w:color w:val="2C384A" w:themeColor="accent1"/>
    </w:rPr>
  </w:style>
  <w:style w:type="paragraph" w:styleId="TOC2">
    <w:name w:val="toc 2"/>
    <w:basedOn w:val="Normal"/>
    <w:next w:val="Normal"/>
    <w:uiPriority w:val="39"/>
    <w:rsid w:val="00994AD7"/>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994AD7"/>
    <w:pPr>
      <w:tabs>
        <w:tab w:val="right" w:leader="dot" w:pos="9072"/>
      </w:tabs>
      <w:spacing w:before="20" w:after="0"/>
      <w:ind w:left="284" w:right="-2"/>
    </w:pPr>
    <w:rPr>
      <w:rFonts w:cs="Calibri"/>
      <w:noProof/>
    </w:rPr>
  </w:style>
  <w:style w:type="numbering" w:customStyle="1" w:styleId="OutlineList">
    <w:name w:val="OutlineList"/>
    <w:uiPriority w:val="99"/>
    <w:rsid w:val="00994AD7"/>
    <w:pPr>
      <w:numPr>
        <w:numId w:val="4"/>
      </w:numPr>
    </w:pPr>
  </w:style>
  <w:style w:type="numbering" w:customStyle="1" w:styleId="BulletedList">
    <w:name w:val="Bulleted List"/>
    <w:uiPriority w:val="99"/>
    <w:rsid w:val="00994AD7"/>
    <w:pPr>
      <w:numPr>
        <w:numId w:val="1"/>
      </w:numPr>
    </w:pPr>
  </w:style>
  <w:style w:type="numbering" w:customStyle="1" w:styleId="BoxBulletedList">
    <w:name w:val="Box Bulleted List"/>
    <w:uiPriority w:val="99"/>
    <w:rsid w:val="00994AD7"/>
    <w:pPr>
      <w:numPr>
        <w:numId w:val="2"/>
      </w:numPr>
    </w:pPr>
  </w:style>
  <w:style w:type="numbering" w:customStyle="1" w:styleId="OneLevelList">
    <w:name w:val="OneLevelList"/>
    <w:uiPriority w:val="99"/>
    <w:rsid w:val="00994AD7"/>
    <w:pPr>
      <w:numPr>
        <w:numId w:val="3"/>
      </w:numPr>
    </w:pPr>
  </w:style>
  <w:style w:type="numbering" w:customStyle="1" w:styleId="ChartandTableFootnoteAlphaList">
    <w:name w:val="ChartandTableFootnoteAlphaList"/>
    <w:uiPriority w:val="99"/>
    <w:rsid w:val="00994AD7"/>
    <w:pPr>
      <w:numPr>
        <w:numId w:val="7"/>
      </w:numPr>
    </w:pPr>
  </w:style>
  <w:style w:type="paragraph" w:customStyle="1" w:styleId="Heading1Numbered">
    <w:name w:val="Heading 1 Numbered"/>
    <w:basedOn w:val="Heading1"/>
    <w:next w:val="Normal"/>
    <w:rsid w:val="00994AD7"/>
    <w:pPr>
      <w:numPr>
        <w:numId w:val="5"/>
      </w:numPr>
    </w:pPr>
  </w:style>
  <w:style w:type="character" w:customStyle="1" w:styleId="SingleParagraphChar">
    <w:name w:val="Single Paragraph Char"/>
    <w:basedOn w:val="DefaultParagraphFont"/>
    <w:link w:val="SingleParagraph"/>
    <w:rsid w:val="00994AD7"/>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994AD7"/>
    <w:pPr>
      <w:numPr>
        <w:ilvl w:val="1"/>
        <w:numId w:val="5"/>
      </w:numPr>
      <w:ind w:left="284" w:hanging="284"/>
    </w:pPr>
  </w:style>
  <w:style w:type="paragraph" w:customStyle="1" w:styleId="Heading3Numbered">
    <w:name w:val="Heading 3 Numbered"/>
    <w:basedOn w:val="Heading3"/>
    <w:rsid w:val="00994AD7"/>
    <w:pPr>
      <w:numPr>
        <w:ilvl w:val="2"/>
        <w:numId w:val="5"/>
      </w:numPr>
      <w:ind w:left="284" w:hanging="284"/>
    </w:pPr>
  </w:style>
  <w:style w:type="paragraph" w:styleId="Title">
    <w:name w:val="Title"/>
    <w:basedOn w:val="Normal"/>
    <w:next w:val="Normal"/>
    <w:link w:val="TitleChar"/>
    <w:uiPriority w:val="10"/>
    <w:rsid w:val="00994AD7"/>
    <w:pPr>
      <w:spacing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994AD7"/>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994AD7"/>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994AD7"/>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994AD7"/>
    <w:rPr>
      <w:i/>
      <w:iCs/>
      <w:color w:val="808080" w:themeColor="text1" w:themeTint="7F"/>
    </w:rPr>
  </w:style>
  <w:style w:type="paragraph" w:styleId="Footer">
    <w:name w:val="footer"/>
    <w:basedOn w:val="Normal"/>
    <w:link w:val="FooterChar"/>
    <w:unhideWhenUsed/>
    <w:rsid w:val="00994AD7"/>
    <w:pPr>
      <w:tabs>
        <w:tab w:val="center" w:pos="4513"/>
        <w:tab w:val="right" w:pos="9026"/>
      </w:tabs>
      <w:spacing w:after="0"/>
      <w:jc w:val="center"/>
    </w:pPr>
    <w:rPr>
      <w:color w:val="002C47"/>
      <w:sz w:val="20"/>
    </w:rPr>
  </w:style>
  <w:style w:type="character" w:customStyle="1" w:styleId="FooterChar">
    <w:name w:val="Footer Char"/>
    <w:basedOn w:val="DefaultParagraphFont"/>
    <w:link w:val="Footer"/>
    <w:rsid w:val="00994AD7"/>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994AD7"/>
    <w:pPr>
      <w:keepNext/>
      <w:spacing w:after="0"/>
      <w:jc w:val="right"/>
    </w:pPr>
    <w:rPr>
      <w:color w:val="004A7F"/>
      <w:sz w:val="20"/>
    </w:rPr>
  </w:style>
  <w:style w:type="character" w:customStyle="1" w:styleId="HeaderChar">
    <w:name w:val="Header Char"/>
    <w:basedOn w:val="DefaultParagraphFont"/>
    <w:link w:val="Header"/>
    <w:uiPriority w:val="99"/>
    <w:rsid w:val="00994AD7"/>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994AD7"/>
    <w:rPr>
      <w:color w:val="808080"/>
    </w:rPr>
  </w:style>
  <w:style w:type="paragraph" w:customStyle="1" w:styleId="AppendixHeading">
    <w:name w:val="Appendix Heading"/>
    <w:basedOn w:val="Heading1"/>
    <w:next w:val="Normal"/>
    <w:rsid w:val="00994AD7"/>
  </w:style>
  <w:style w:type="paragraph" w:customStyle="1" w:styleId="HeadingBase">
    <w:name w:val="Heading Base"/>
    <w:rsid w:val="00994AD7"/>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994AD7"/>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994AD7"/>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994AD7"/>
    <w:pPr>
      <w:ind w:left="720"/>
      <w:contextualSpacing/>
    </w:pPr>
  </w:style>
  <w:style w:type="paragraph" w:customStyle="1" w:styleId="TableTextIndented">
    <w:name w:val="Table Text Indented"/>
    <w:basedOn w:val="TableTextLeft"/>
    <w:rsid w:val="00994AD7"/>
    <w:pPr>
      <w:ind w:left="284"/>
    </w:pPr>
  </w:style>
  <w:style w:type="paragraph" w:customStyle="1" w:styleId="TableHeadingContinued">
    <w:name w:val="Table Heading Continued"/>
    <w:basedOn w:val="TableMainHeading"/>
    <w:next w:val="TableGraphic"/>
    <w:rsid w:val="00994AD7"/>
  </w:style>
  <w:style w:type="paragraph" w:customStyle="1" w:styleId="TableGraphic">
    <w:name w:val="Table Graphic"/>
    <w:basedOn w:val="HeadingBase"/>
    <w:next w:val="Normal"/>
    <w:rsid w:val="00994AD7"/>
    <w:pPr>
      <w:spacing w:after="0"/>
    </w:pPr>
  </w:style>
  <w:style w:type="paragraph" w:customStyle="1" w:styleId="HeaderEven">
    <w:name w:val="Header Even"/>
    <w:basedOn w:val="Header"/>
    <w:qFormat/>
    <w:rsid w:val="00994AD7"/>
    <w:pPr>
      <w:jc w:val="left"/>
    </w:pPr>
    <w:rPr>
      <w:color w:val="002C47"/>
    </w:rPr>
  </w:style>
  <w:style w:type="paragraph" w:customStyle="1" w:styleId="HeaderOdd">
    <w:name w:val="Header Odd"/>
    <w:basedOn w:val="Header"/>
    <w:qFormat/>
    <w:rsid w:val="00994AD7"/>
    <w:rPr>
      <w:color w:val="002C47"/>
    </w:rPr>
  </w:style>
  <w:style w:type="paragraph" w:styleId="FootnoteText">
    <w:name w:val="footnote text"/>
    <w:basedOn w:val="Normal"/>
    <w:link w:val="FootnoteTextChar"/>
    <w:uiPriority w:val="99"/>
    <w:rsid w:val="00994AD7"/>
    <w:pPr>
      <w:spacing w:after="0"/>
      <w:ind w:left="397" w:hanging="397"/>
    </w:pPr>
    <w:rPr>
      <w:sz w:val="20"/>
    </w:rPr>
  </w:style>
  <w:style w:type="character" w:customStyle="1" w:styleId="FootnoteTextChar">
    <w:name w:val="Footnote Text Char"/>
    <w:basedOn w:val="DefaultParagraphFont"/>
    <w:link w:val="FootnoteText"/>
    <w:uiPriority w:val="99"/>
    <w:rsid w:val="00994AD7"/>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994AD7"/>
    <w:rPr>
      <w:sz w:val="18"/>
    </w:rPr>
  </w:style>
  <w:style w:type="paragraph" w:styleId="BalloonText">
    <w:name w:val="Balloon Text"/>
    <w:basedOn w:val="Normal"/>
    <w:link w:val="BalloonTextChar"/>
    <w:uiPriority w:val="99"/>
    <w:semiHidden/>
    <w:unhideWhenUsed/>
    <w:rsid w:val="00994AD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AD7"/>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994AD7"/>
    <w:rPr>
      <w:rFonts w:ascii="Calibri Light" w:eastAsia="Times New Roman" w:hAnsi="Calibri Light" w:cs="Times New Roman"/>
      <w:szCs w:val="20"/>
      <w:lang w:eastAsia="en-AU"/>
    </w:rPr>
  </w:style>
  <w:style w:type="paragraph" w:customStyle="1" w:styleId="Boxbullet">
    <w:name w:val="Box bullet"/>
    <w:basedOn w:val="Bullet"/>
    <w:rsid w:val="00994AD7"/>
    <w:pPr>
      <w:numPr>
        <w:numId w:val="19"/>
      </w:numPr>
      <w:tabs>
        <w:tab w:val="clear" w:pos="283"/>
        <w:tab w:val="num" w:pos="284"/>
        <w:tab w:val="num" w:pos="520"/>
      </w:tabs>
      <w:spacing w:before="60"/>
    </w:pPr>
    <w:rPr>
      <w:color w:val="0D0D0D" w:themeColor="text1" w:themeTint="F2"/>
    </w:rPr>
  </w:style>
  <w:style w:type="paragraph" w:customStyle="1" w:styleId="Boxdash">
    <w:name w:val="Box dash"/>
    <w:basedOn w:val="Dash"/>
    <w:rsid w:val="00994AD7"/>
    <w:pPr>
      <w:numPr>
        <w:numId w:val="19"/>
      </w:numPr>
      <w:tabs>
        <w:tab w:val="clear" w:pos="567"/>
        <w:tab w:val="num" w:pos="1040"/>
      </w:tabs>
      <w:spacing w:before="60" w:after="0" w:line="276" w:lineRule="auto"/>
    </w:pPr>
    <w:rPr>
      <w:color w:val="0D0D0D" w:themeColor="text1" w:themeTint="F2"/>
    </w:rPr>
  </w:style>
  <w:style w:type="paragraph" w:customStyle="1" w:styleId="Boxdoubledot">
    <w:name w:val="Box double dot"/>
    <w:basedOn w:val="DoubleDot"/>
    <w:rsid w:val="00994AD7"/>
    <w:pPr>
      <w:numPr>
        <w:numId w:val="19"/>
      </w:numPr>
      <w:tabs>
        <w:tab w:val="clear" w:pos="851"/>
        <w:tab w:val="left" w:pos="567"/>
        <w:tab w:val="num" w:pos="1560"/>
      </w:tabs>
      <w:spacing w:before="60" w:after="0" w:line="276" w:lineRule="auto"/>
    </w:pPr>
    <w:rPr>
      <w:color w:val="0D0D0D" w:themeColor="text1" w:themeTint="F2"/>
    </w:rPr>
  </w:style>
  <w:style w:type="paragraph" w:customStyle="1" w:styleId="Instructions">
    <w:name w:val="Instructions"/>
    <w:basedOn w:val="Normal"/>
    <w:uiPriority w:val="1"/>
    <w:qFormat/>
    <w:rsid w:val="00994AD7"/>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994AD7"/>
    <w:rPr>
      <w:sz w:val="16"/>
      <w:szCs w:val="16"/>
    </w:rPr>
  </w:style>
  <w:style w:type="paragraph" w:styleId="CommentText">
    <w:name w:val="annotation text"/>
    <w:basedOn w:val="Normal"/>
    <w:link w:val="CommentTextChar"/>
    <w:uiPriority w:val="99"/>
    <w:unhideWhenUsed/>
    <w:rsid w:val="00994AD7"/>
    <w:rPr>
      <w:rFonts w:ascii="Calibri" w:hAnsi="Calibri"/>
      <w:sz w:val="20"/>
    </w:rPr>
  </w:style>
  <w:style w:type="character" w:customStyle="1" w:styleId="CommentTextChar">
    <w:name w:val="Comment Text Char"/>
    <w:basedOn w:val="DefaultParagraphFont"/>
    <w:link w:val="CommentText"/>
    <w:uiPriority w:val="99"/>
    <w:rsid w:val="00994AD7"/>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994AD7"/>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994AD7"/>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994AD7"/>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994AD7"/>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994AD7"/>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994AD7"/>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994AD7"/>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994AD7"/>
    <w:rPr>
      <w:rFonts w:ascii="Calibri" w:eastAsia="Times New Roman" w:hAnsi="Calibri" w:cs="Calibri"/>
      <w:b/>
      <w:color w:val="FF0000"/>
      <w:sz w:val="24"/>
      <w:szCs w:val="20"/>
      <w:lang w:eastAsia="en-AU"/>
    </w:rPr>
  </w:style>
  <w:style w:type="character" w:styleId="Emphasis">
    <w:name w:val="Emphasis"/>
    <w:basedOn w:val="DefaultParagraphFont"/>
    <w:uiPriority w:val="20"/>
    <w:rsid w:val="00994AD7"/>
    <w:rPr>
      <w:i/>
      <w:iCs/>
    </w:rPr>
  </w:style>
  <w:style w:type="character" w:styleId="Strong">
    <w:name w:val="Strong"/>
    <w:basedOn w:val="DefaultParagraphFont"/>
    <w:qFormat/>
    <w:rsid w:val="00994AD7"/>
    <w:rPr>
      <w:b/>
      <w:bCs/>
    </w:rPr>
  </w:style>
  <w:style w:type="paragraph" w:styleId="BodyText">
    <w:name w:val="Body Text"/>
    <w:link w:val="BodyTextChar"/>
    <w:qFormat/>
    <w:rsid w:val="008F6BBA"/>
    <w:pPr>
      <w:spacing w:before="240" w:after="0" w:line="300" w:lineRule="atLeast"/>
      <w:jc w:val="both"/>
    </w:pPr>
    <w:rPr>
      <w:rFonts w:ascii="Times New Roman" w:eastAsia="Times New Roman" w:hAnsi="Times New Roman" w:cs="Times New Roman"/>
      <w:sz w:val="24"/>
      <w:szCs w:val="20"/>
      <w:lang w:eastAsia="en-AU"/>
    </w:rPr>
  </w:style>
  <w:style w:type="character" w:customStyle="1" w:styleId="BodyTextChar">
    <w:name w:val="Body Text Char"/>
    <w:basedOn w:val="DefaultParagraphFont"/>
    <w:link w:val="BodyText"/>
    <w:rsid w:val="008F6BBA"/>
    <w:rPr>
      <w:rFonts w:ascii="Times New Roman" w:eastAsia="Times New Roman" w:hAnsi="Times New Roman" w:cs="Times New Roman"/>
      <w:sz w:val="24"/>
      <w:szCs w:val="20"/>
      <w:lang w:eastAsia="en-AU"/>
    </w:rPr>
  </w:style>
  <w:style w:type="paragraph" w:styleId="Caption">
    <w:name w:val="caption"/>
    <w:basedOn w:val="Normal"/>
    <w:next w:val="Normal"/>
    <w:uiPriority w:val="35"/>
    <w:unhideWhenUsed/>
    <w:qFormat/>
    <w:rsid w:val="008E4F10"/>
    <w:pPr>
      <w:spacing w:after="200"/>
    </w:pPr>
    <w:rPr>
      <w:i/>
      <w:iCs/>
      <w:color w:val="5F5F5F" w:themeColor="text2"/>
      <w:sz w:val="18"/>
      <w:szCs w:val="18"/>
    </w:rPr>
  </w:style>
  <w:style w:type="character" w:customStyle="1" w:styleId="eop">
    <w:name w:val="eop"/>
    <w:basedOn w:val="DefaultParagraphFont"/>
    <w:rsid w:val="006357DF"/>
  </w:style>
  <w:style w:type="character" w:customStyle="1" w:styleId="OutlineNumbered1Char">
    <w:name w:val="Outline Numbered 1 Char"/>
    <w:basedOn w:val="DefaultParagraphFont"/>
    <w:link w:val="OutlineNumbered1"/>
    <w:rsid w:val="00612D6F"/>
    <w:rPr>
      <w:rFonts w:ascii="Calibri Light" w:eastAsia="Times New Roman" w:hAnsi="Calibri Light" w:cs="Times New Roman"/>
      <w:szCs w:val="20"/>
      <w:lang w:eastAsia="en-AU"/>
    </w:rPr>
  </w:style>
  <w:style w:type="character" w:styleId="FollowedHyperlink">
    <w:name w:val="FollowedHyperlink"/>
    <w:basedOn w:val="DefaultParagraphFont"/>
    <w:uiPriority w:val="99"/>
    <w:semiHidden/>
    <w:unhideWhenUsed/>
    <w:rsid w:val="009A2002"/>
    <w:rPr>
      <w:color w:val="844D9E" w:themeColor="followedHyperlink"/>
      <w:u w:val="single"/>
    </w:rPr>
  </w:style>
  <w:style w:type="paragraph" w:styleId="Bibliography">
    <w:name w:val="Bibliography"/>
    <w:basedOn w:val="Normal"/>
    <w:next w:val="Normal"/>
    <w:uiPriority w:val="37"/>
    <w:unhideWhenUsed/>
    <w:rsid w:val="0020224B"/>
  </w:style>
  <w:style w:type="paragraph" w:styleId="NormalIndent">
    <w:name w:val="Normal Indent"/>
    <w:basedOn w:val="Normal"/>
    <w:uiPriority w:val="99"/>
    <w:semiHidden/>
    <w:unhideWhenUsed/>
    <w:rsid w:val="0013198D"/>
    <w:pPr>
      <w:ind w:left="720"/>
    </w:pPr>
  </w:style>
  <w:style w:type="character" w:styleId="UnresolvedMention">
    <w:name w:val="Unresolved Mention"/>
    <w:basedOn w:val="DefaultParagraphFont"/>
    <w:uiPriority w:val="99"/>
    <w:semiHidden/>
    <w:unhideWhenUsed/>
    <w:rsid w:val="00234AE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D3A75"/>
    <w:rPr>
      <w:rFonts w:ascii="Calibri Light" w:hAnsi="Calibri Light"/>
      <w:b/>
      <w:bCs/>
    </w:rPr>
  </w:style>
  <w:style w:type="character" w:customStyle="1" w:styleId="CommentSubjectChar">
    <w:name w:val="Comment Subject Char"/>
    <w:basedOn w:val="CommentTextChar"/>
    <w:link w:val="CommentSubject"/>
    <w:uiPriority w:val="99"/>
    <w:semiHidden/>
    <w:rsid w:val="00ED3A75"/>
    <w:rPr>
      <w:rFonts w:ascii="Calibri Light" w:eastAsia="Times New Roman" w:hAnsi="Calibri Light" w:cs="Times New Roman"/>
      <w:b/>
      <w:bCs/>
      <w:sz w:val="20"/>
      <w:szCs w:val="20"/>
      <w:lang w:eastAsia="en-AU"/>
    </w:rPr>
  </w:style>
  <w:style w:type="character" w:customStyle="1" w:styleId="OutlineNumbered2Char">
    <w:name w:val="Outline Numbered 2 Char"/>
    <w:basedOn w:val="DefaultParagraphFont"/>
    <w:link w:val="OutlineNumbered2"/>
    <w:rsid w:val="00ED3A75"/>
    <w:rPr>
      <w:rFonts w:ascii="Calibri Light" w:eastAsia="Times New Roman" w:hAnsi="Calibri Light" w:cs="Times New Roman"/>
      <w:szCs w:val="20"/>
      <w:lang w:eastAsia="en-AU"/>
    </w:rPr>
  </w:style>
  <w:style w:type="table" w:styleId="PlainTable1">
    <w:name w:val="Plain Table 1"/>
    <w:basedOn w:val="TableNormal"/>
    <w:uiPriority w:val="41"/>
    <w:rsid w:val="00ED3A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826DD"/>
    <w:pPr>
      <w:spacing w:after="0" w:line="240" w:lineRule="auto"/>
    </w:pPr>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705BAE"/>
    <w:rPr>
      <w:color w:val="2B579A"/>
      <w:shd w:val="clear" w:color="auto" w:fill="E1DFDD"/>
    </w:rPr>
  </w:style>
  <w:style w:type="character" w:customStyle="1" w:styleId="cf01">
    <w:name w:val="cf01"/>
    <w:basedOn w:val="DefaultParagraphFont"/>
    <w:rsid w:val="00D35C9B"/>
    <w:rPr>
      <w:rFonts w:ascii="Segoe UI" w:hAnsi="Segoe UI" w:cs="Segoe UI" w:hint="default"/>
      <w:sz w:val="18"/>
      <w:szCs w:val="18"/>
    </w:rPr>
  </w:style>
  <w:style w:type="paragraph" w:styleId="Quote">
    <w:name w:val="Quote"/>
    <w:basedOn w:val="Normal"/>
    <w:next w:val="Normal"/>
    <w:link w:val="QuoteChar"/>
    <w:uiPriority w:val="29"/>
    <w:rsid w:val="001A3C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A3CCE"/>
    <w:rPr>
      <w:rFonts w:ascii="Calibri Light" w:eastAsia="Times New Roman" w:hAnsi="Calibri Light" w:cs="Times New Roman"/>
      <w:i/>
      <w:iCs/>
      <w:color w:val="404040" w:themeColor="text1" w:themeTint="BF"/>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67">
      <w:bodyDiv w:val="1"/>
      <w:marLeft w:val="0"/>
      <w:marRight w:val="0"/>
      <w:marTop w:val="0"/>
      <w:marBottom w:val="0"/>
      <w:divBdr>
        <w:top w:val="none" w:sz="0" w:space="0" w:color="auto"/>
        <w:left w:val="none" w:sz="0" w:space="0" w:color="auto"/>
        <w:bottom w:val="none" w:sz="0" w:space="0" w:color="auto"/>
        <w:right w:val="none" w:sz="0" w:space="0" w:color="auto"/>
      </w:divBdr>
    </w:div>
    <w:div w:id="1322304">
      <w:bodyDiv w:val="1"/>
      <w:marLeft w:val="0"/>
      <w:marRight w:val="0"/>
      <w:marTop w:val="0"/>
      <w:marBottom w:val="0"/>
      <w:divBdr>
        <w:top w:val="none" w:sz="0" w:space="0" w:color="auto"/>
        <w:left w:val="none" w:sz="0" w:space="0" w:color="auto"/>
        <w:bottom w:val="none" w:sz="0" w:space="0" w:color="auto"/>
        <w:right w:val="none" w:sz="0" w:space="0" w:color="auto"/>
      </w:divBdr>
    </w:div>
    <w:div w:id="3553621">
      <w:bodyDiv w:val="1"/>
      <w:marLeft w:val="0"/>
      <w:marRight w:val="0"/>
      <w:marTop w:val="0"/>
      <w:marBottom w:val="0"/>
      <w:divBdr>
        <w:top w:val="none" w:sz="0" w:space="0" w:color="auto"/>
        <w:left w:val="none" w:sz="0" w:space="0" w:color="auto"/>
        <w:bottom w:val="none" w:sz="0" w:space="0" w:color="auto"/>
        <w:right w:val="none" w:sz="0" w:space="0" w:color="auto"/>
      </w:divBdr>
    </w:div>
    <w:div w:id="3822689">
      <w:bodyDiv w:val="1"/>
      <w:marLeft w:val="0"/>
      <w:marRight w:val="0"/>
      <w:marTop w:val="0"/>
      <w:marBottom w:val="0"/>
      <w:divBdr>
        <w:top w:val="none" w:sz="0" w:space="0" w:color="auto"/>
        <w:left w:val="none" w:sz="0" w:space="0" w:color="auto"/>
        <w:bottom w:val="none" w:sz="0" w:space="0" w:color="auto"/>
        <w:right w:val="none" w:sz="0" w:space="0" w:color="auto"/>
      </w:divBdr>
    </w:div>
    <w:div w:id="4719089">
      <w:bodyDiv w:val="1"/>
      <w:marLeft w:val="0"/>
      <w:marRight w:val="0"/>
      <w:marTop w:val="0"/>
      <w:marBottom w:val="0"/>
      <w:divBdr>
        <w:top w:val="none" w:sz="0" w:space="0" w:color="auto"/>
        <w:left w:val="none" w:sz="0" w:space="0" w:color="auto"/>
        <w:bottom w:val="none" w:sz="0" w:space="0" w:color="auto"/>
        <w:right w:val="none" w:sz="0" w:space="0" w:color="auto"/>
      </w:divBdr>
    </w:div>
    <w:div w:id="5140149">
      <w:bodyDiv w:val="1"/>
      <w:marLeft w:val="0"/>
      <w:marRight w:val="0"/>
      <w:marTop w:val="0"/>
      <w:marBottom w:val="0"/>
      <w:divBdr>
        <w:top w:val="none" w:sz="0" w:space="0" w:color="auto"/>
        <w:left w:val="none" w:sz="0" w:space="0" w:color="auto"/>
        <w:bottom w:val="none" w:sz="0" w:space="0" w:color="auto"/>
        <w:right w:val="none" w:sz="0" w:space="0" w:color="auto"/>
      </w:divBdr>
    </w:div>
    <w:div w:id="5985937">
      <w:bodyDiv w:val="1"/>
      <w:marLeft w:val="0"/>
      <w:marRight w:val="0"/>
      <w:marTop w:val="0"/>
      <w:marBottom w:val="0"/>
      <w:divBdr>
        <w:top w:val="none" w:sz="0" w:space="0" w:color="auto"/>
        <w:left w:val="none" w:sz="0" w:space="0" w:color="auto"/>
        <w:bottom w:val="none" w:sz="0" w:space="0" w:color="auto"/>
        <w:right w:val="none" w:sz="0" w:space="0" w:color="auto"/>
      </w:divBdr>
    </w:div>
    <w:div w:id="5987980">
      <w:bodyDiv w:val="1"/>
      <w:marLeft w:val="0"/>
      <w:marRight w:val="0"/>
      <w:marTop w:val="0"/>
      <w:marBottom w:val="0"/>
      <w:divBdr>
        <w:top w:val="none" w:sz="0" w:space="0" w:color="auto"/>
        <w:left w:val="none" w:sz="0" w:space="0" w:color="auto"/>
        <w:bottom w:val="none" w:sz="0" w:space="0" w:color="auto"/>
        <w:right w:val="none" w:sz="0" w:space="0" w:color="auto"/>
      </w:divBdr>
    </w:div>
    <w:div w:id="6567369">
      <w:bodyDiv w:val="1"/>
      <w:marLeft w:val="0"/>
      <w:marRight w:val="0"/>
      <w:marTop w:val="0"/>
      <w:marBottom w:val="0"/>
      <w:divBdr>
        <w:top w:val="none" w:sz="0" w:space="0" w:color="auto"/>
        <w:left w:val="none" w:sz="0" w:space="0" w:color="auto"/>
        <w:bottom w:val="none" w:sz="0" w:space="0" w:color="auto"/>
        <w:right w:val="none" w:sz="0" w:space="0" w:color="auto"/>
      </w:divBdr>
    </w:div>
    <w:div w:id="6909362">
      <w:bodyDiv w:val="1"/>
      <w:marLeft w:val="0"/>
      <w:marRight w:val="0"/>
      <w:marTop w:val="0"/>
      <w:marBottom w:val="0"/>
      <w:divBdr>
        <w:top w:val="none" w:sz="0" w:space="0" w:color="auto"/>
        <w:left w:val="none" w:sz="0" w:space="0" w:color="auto"/>
        <w:bottom w:val="none" w:sz="0" w:space="0" w:color="auto"/>
        <w:right w:val="none" w:sz="0" w:space="0" w:color="auto"/>
      </w:divBdr>
    </w:div>
    <w:div w:id="8025637">
      <w:bodyDiv w:val="1"/>
      <w:marLeft w:val="0"/>
      <w:marRight w:val="0"/>
      <w:marTop w:val="0"/>
      <w:marBottom w:val="0"/>
      <w:divBdr>
        <w:top w:val="none" w:sz="0" w:space="0" w:color="auto"/>
        <w:left w:val="none" w:sz="0" w:space="0" w:color="auto"/>
        <w:bottom w:val="none" w:sz="0" w:space="0" w:color="auto"/>
        <w:right w:val="none" w:sz="0" w:space="0" w:color="auto"/>
      </w:divBdr>
    </w:div>
    <w:div w:id="8602498">
      <w:bodyDiv w:val="1"/>
      <w:marLeft w:val="0"/>
      <w:marRight w:val="0"/>
      <w:marTop w:val="0"/>
      <w:marBottom w:val="0"/>
      <w:divBdr>
        <w:top w:val="none" w:sz="0" w:space="0" w:color="auto"/>
        <w:left w:val="none" w:sz="0" w:space="0" w:color="auto"/>
        <w:bottom w:val="none" w:sz="0" w:space="0" w:color="auto"/>
        <w:right w:val="none" w:sz="0" w:space="0" w:color="auto"/>
      </w:divBdr>
    </w:div>
    <w:div w:id="10574188">
      <w:bodyDiv w:val="1"/>
      <w:marLeft w:val="0"/>
      <w:marRight w:val="0"/>
      <w:marTop w:val="0"/>
      <w:marBottom w:val="0"/>
      <w:divBdr>
        <w:top w:val="none" w:sz="0" w:space="0" w:color="auto"/>
        <w:left w:val="none" w:sz="0" w:space="0" w:color="auto"/>
        <w:bottom w:val="none" w:sz="0" w:space="0" w:color="auto"/>
        <w:right w:val="none" w:sz="0" w:space="0" w:color="auto"/>
      </w:divBdr>
    </w:div>
    <w:div w:id="12464917">
      <w:bodyDiv w:val="1"/>
      <w:marLeft w:val="0"/>
      <w:marRight w:val="0"/>
      <w:marTop w:val="0"/>
      <w:marBottom w:val="0"/>
      <w:divBdr>
        <w:top w:val="none" w:sz="0" w:space="0" w:color="auto"/>
        <w:left w:val="none" w:sz="0" w:space="0" w:color="auto"/>
        <w:bottom w:val="none" w:sz="0" w:space="0" w:color="auto"/>
        <w:right w:val="none" w:sz="0" w:space="0" w:color="auto"/>
      </w:divBdr>
    </w:div>
    <w:div w:id="13071347">
      <w:bodyDiv w:val="1"/>
      <w:marLeft w:val="0"/>
      <w:marRight w:val="0"/>
      <w:marTop w:val="0"/>
      <w:marBottom w:val="0"/>
      <w:divBdr>
        <w:top w:val="none" w:sz="0" w:space="0" w:color="auto"/>
        <w:left w:val="none" w:sz="0" w:space="0" w:color="auto"/>
        <w:bottom w:val="none" w:sz="0" w:space="0" w:color="auto"/>
        <w:right w:val="none" w:sz="0" w:space="0" w:color="auto"/>
      </w:divBdr>
    </w:div>
    <w:div w:id="14305768">
      <w:bodyDiv w:val="1"/>
      <w:marLeft w:val="0"/>
      <w:marRight w:val="0"/>
      <w:marTop w:val="0"/>
      <w:marBottom w:val="0"/>
      <w:divBdr>
        <w:top w:val="none" w:sz="0" w:space="0" w:color="auto"/>
        <w:left w:val="none" w:sz="0" w:space="0" w:color="auto"/>
        <w:bottom w:val="none" w:sz="0" w:space="0" w:color="auto"/>
        <w:right w:val="none" w:sz="0" w:space="0" w:color="auto"/>
      </w:divBdr>
    </w:div>
    <w:div w:id="15086232">
      <w:bodyDiv w:val="1"/>
      <w:marLeft w:val="0"/>
      <w:marRight w:val="0"/>
      <w:marTop w:val="0"/>
      <w:marBottom w:val="0"/>
      <w:divBdr>
        <w:top w:val="none" w:sz="0" w:space="0" w:color="auto"/>
        <w:left w:val="none" w:sz="0" w:space="0" w:color="auto"/>
        <w:bottom w:val="none" w:sz="0" w:space="0" w:color="auto"/>
        <w:right w:val="none" w:sz="0" w:space="0" w:color="auto"/>
      </w:divBdr>
    </w:div>
    <w:div w:id="16125504">
      <w:bodyDiv w:val="1"/>
      <w:marLeft w:val="0"/>
      <w:marRight w:val="0"/>
      <w:marTop w:val="0"/>
      <w:marBottom w:val="0"/>
      <w:divBdr>
        <w:top w:val="none" w:sz="0" w:space="0" w:color="auto"/>
        <w:left w:val="none" w:sz="0" w:space="0" w:color="auto"/>
        <w:bottom w:val="none" w:sz="0" w:space="0" w:color="auto"/>
        <w:right w:val="none" w:sz="0" w:space="0" w:color="auto"/>
      </w:divBdr>
    </w:div>
    <w:div w:id="16200523">
      <w:bodyDiv w:val="1"/>
      <w:marLeft w:val="0"/>
      <w:marRight w:val="0"/>
      <w:marTop w:val="0"/>
      <w:marBottom w:val="0"/>
      <w:divBdr>
        <w:top w:val="none" w:sz="0" w:space="0" w:color="auto"/>
        <w:left w:val="none" w:sz="0" w:space="0" w:color="auto"/>
        <w:bottom w:val="none" w:sz="0" w:space="0" w:color="auto"/>
        <w:right w:val="none" w:sz="0" w:space="0" w:color="auto"/>
      </w:divBdr>
    </w:div>
    <w:div w:id="16781392">
      <w:bodyDiv w:val="1"/>
      <w:marLeft w:val="0"/>
      <w:marRight w:val="0"/>
      <w:marTop w:val="0"/>
      <w:marBottom w:val="0"/>
      <w:divBdr>
        <w:top w:val="none" w:sz="0" w:space="0" w:color="auto"/>
        <w:left w:val="none" w:sz="0" w:space="0" w:color="auto"/>
        <w:bottom w:val="none" w:sz="0" w:space="0" w:color="auto"/>
        <w:right w:val="none" w:sz="0" w:space="0" w:color="auto"/>
      </w:divBdr>
    </w:div>
    <w:div w:id="17126441">
      <w:bodyDiv w:val="1"/>
      <w:marLeft w:val="0"/>
      <w:marRight w:val="0"/>
      <w:marTop w:val="0"/>
      <w:marBottom w:val="0"/>
      <w:divBdr>
        <w:top w:val="none" w:sz="0" w:space="0" w:color="auto"/>
        <w:left w:val="none" w:sz="0" w:space="0" w:color="auto"/>
        <w:bottom w:val="none" w:sz="0" w:space="0" w:color="auto"/>
        <w:right w:val="none" w:sz="0" w:space="0" w:color="auto"/>
      </w:divBdr>
    </w:div>
    <w:div w:id="18700227">
      <w:bodyDiv w:val="1"/>
      <w:marLeft w:val="0"/>
      <w:marRight w:val="0"/>
      <w:marTop w:val="0"/>
      <w:marBottom w:val="0"/>
      <w:divBdr>
        <w:top w:val="none" w:sz="0" w:space="0" w:color="auto"/>
        <w:left w:val="none" w:sz="0" w:space="0" w:color="auto"/>
        <w:bottom w:val="none" w:sz="0" w:space="0" w:color="auto"/>
        <w:right w:val="none" w:sz="0" w:space="0" w:color="auto"/>
      </w:divBdr>
    </w:div>
    <w:div w:id="19403495">
      <w:bodyDiv w:val="1"/>
      <w:marLeft w:val="0"/>
      <w:marRight w:val="0"/>
      <w:marTop w:val="0"/>
      <w:marBottom w:val="0"/>
      <w:divBdr>
        <w:top w:val="none" w:sz="0" w:space="0" w:color="auto"/>
        <w:left w:val="none" w:sz="0" w:space="0" w:color="auto"/>
        <w:bottom w:val="none" w:sz="0" w:space="0" w:color="auto"/>
        <w:right w:val="none" w:sz="0" w:space="0" w:color="auto"/>
      </w:divBdr>
    </w:div>
    <w:div w:id="19864753">
      <w:bodyDiv w:val="1"/>
      <w:marLeft w:val="0"/>
      <w:marRight w:val="0"/>
      <w:marTop w:val="0"/>
      <w:marBottom w:val="0"/>
      <w:divBdr>
        <w:top w:val="none" w:sz="0" w:space="0" w:color="auto"/>
        <w:left w:val="none" w:sz="0" w:space="0" w:color="auto"/>
        <w:bottom w:val="none" w:sz="0" w:space="0" w:color="auto"/>
        <w:right w:val="none" w:sz="0" w:space="0" w:color="auto"/>
      </w:divBdr>
    </w:div>
    <w:div w:id="21900850">
      <w:bodyDiv w:val="1"/>
      <w:marLeft w:val="0"/>
      <w:marRight w:val="0"/>
      <w:marTop w:val="0"/>
      <w:marBottom w:val="0"/>
      <w:divBdr>
        <w:top w:val="none" w:sz="0" w:space="0" w:color="auto"/>
        <w:left w:val="none" w:sz="0" w:space="0" w:color="auto"/>
        <w:bottom w:val="none" w:sz="0" w:space="0" w:color="auto"/>
        <w:right w:val="none" w:sz="0" w:space="0" w:color="auto"/>
      </w:divBdr>
    </w:div>
    <w:div w:id="22051428">
      <w:bodyDiv w:val="1"/>
      <w:marLeft w:val="0"/>
      <w:marRight w:val="0"/>
      <w:marTop w:val="0"/>
      <w:marBottom w:val="0"/>
      <w:divBdr>
        <w:top w:val="none" w:sz="0" w:space="0" w:color="auto"/>
        <w:left w:val="none" w:sz="0" w:space="0" w:color="auto"/>
        <w:bottom w:val="none" w:sz="0" w:space="0" w:color="auto"/>
        <w:right w:val="none" w:sz="0" w:space="0" w:color="auto"/>
      </w:divBdr>
    </w:div>
    <w:div w:id="24839103">
      <w:bodyDiv w:val="1"/>
      <w:marLeft w:val="0"/>
      <w:marRight w:val="0"/>
      <w:marTop w:val="0"/>
      <w:marBottom w:val="0"/>
      <w:divBdr>
        <w:top w:val="none" w:sz="0" w:space="0" w:color="auto"/>
        <w:left w:val="none" w:sz="0" w:space="0" w:color="auto"/>
        <w:bottom w:val="none" w:sz="0" w:space="0" w:color="auto"/>
        <w:right w:val="none" w:sz="0" w:space="0" w:color="auto"/>
      </w:divBdr>
    </w:div>
    <w:div w:id="25259404">
      <w:bodyDiv w:val="1"/>
      <w:marLeft w:val="0"/>
      <w:marRight w:val="0"/>
      <w:marTop w:val="0"/>
      <w:marBottom w:val="0"/>
      <w:divBdr>
        <w:top w:val="none" w:sz="0" w:space="0" w:color="auto"/>
        <w:left w:val="none" w:sz="0" w:space="0" w:color="auto"/>
        <w:bottom w:val="none" w:sz="0" w:space="0" w:color="auto"/>
        <w:right w:val="none" w:sz="0" w:space="0" w:color="auto"/>
      </w:divBdr>
    </w:div>
    <w:div w:id="27027241">
      <w:bodyDiv w:val="1"/>
      <w:marLeft w:val="0"/>
      <w:marRight w:val="0"/>
      <w:marTop w:val="0"/>
      <w:marBottom w:val="0"/>
      <w:divBdr>
        <w:top w:val="none" w:sz="0" w:space="0" w:color="auto"/>
        <w:left w:val="none" w:sz="0" w:space="0" w:color="auto"/>
        <w:bottom w:val="none" w:sz="0" w:space="0" w:color="auto"/>
        <w:right w:val="none" w:sz="0" w:space="0" w:color="auto"/>
      </w:divBdr>
    </w:div>
    <w:div w:id="27222764">
      <w:bodyDiv w:val="1"/>
      <w:marLeft w:val="0"/>
      <w:marRight w:val="0"/>
      <w:marTop w:val="0"/>
      <w:marBottom w:val="0"/>
      <w:divBdr>
        <w:top w:val="none" w:sz="0" w:space="0" w:color="auto"/>
        <w:left w:val="none" w:sz="0" w:space="0" w:color="auto"/>
        <w:bottom w:val="none" w:sz="0" w:space="0" w:color="auto"/>
        <w:right w:val="none" w:sz="0" w:space="0" w:color="auto"/>
      </w:divBdr>
    </w:div>
    <w:div w:id="27991974">
      <w:bodyDiv w:val="1"/>
      <w:marLeft w:val="0"/>
      <w:marRight w:val="0"/>
      <w:marTop w:val="0"/>
      <w:marBottom w:val="0"/>
      <w:divBdr>
        <w:top w:val="none" w:sz="0" w:space="0" w:color="auto"/>
        <w:left w:val="none" w:sz="0" w:space="0" w:color="auto"/>
        <w:bottom w:val="none" w:sz="0" w:space="0" w:color="auto"/>
        <w:right w:val="none" w:sz="0" w:space="0" w:color="auto"/>
      </w:divBdr>
    </w:div>
    <w:div w:id="28725525">
      <w:bodyDiv w:val="1"/>
      <w:marLeft w:val="0"/>
      <w:marRight w:val="0"/>
      <w:marTop w:val="0"/>
      <w:marBottom w:val="0"/>
      <w:divBdr>
        <w:top w:val="none" w:sz="0" w:space="0" w:color="auto"/>
        <w:left w:val="none" w:sz="0" w:space="0" w:color="auto"/>
        <w:bottom w:val="none" w:sz="0" w:space="0" w:color="auto"/>
        <w:right w:val="none" w:sz="0" w:space="0" w:color="auto"/>
      </w:divBdr>
    </w:div>
    <w:div w:id="29229630">
      <w:bodyDiv w:val="1"/>
      <w:marLeft w:val="0"/>
      <w:marRight w:val="0"/>
      <w:marTop w:val="0"/>
      <w:marBottom w:val="0"/>
      <w:divBdr>
        <w:top w:val="none" w:sz="0" w:space="0" w:color="auto"/>
        <w:left w:val="none" w:sz="0" w:space="0" w:color="auto"/>
        <w:bottom w:val="none" w:sz="0" w:space="0" w:color="auto"/>
        <w:right w:val="none" w:sz="0" w:space="0" w:color="auto"/>
      </w:divBdr>
    </w:div>
    <w:div w:id="29690847">
      <w:bodyDiv w:val="1"/>
      <w:marLeft w:val="0"/>
      <w:marRight w:val="0"/>
      <w:marTop w:val="0"/>
      <w:marBottom w:val="0"/>
      <w:divBdr>
        <w:top w:val="none" w:sz="0" w:space="0" w:color="auto"/>
        <w:left w:val="none" w:sz="0" w:space="0" w:color="auto"/>
        <w:bottom w:val="none" w:sz="0" w:space="0" w:color="auto"/>
        <w:right w:val="none" w:sz="0" w:space="0" w:color="auto"/>
      </w:divBdr>
    </w:div>
    <w:div w:id="29843637">
      <w:bodyDiv w:val="1"/>
      <w:marLeft w:val="0"/>
      <w:marRight w:val="0"/>
      <w:marTop w:val="0"/>
      <w:marBottom w:val="0"/>
      <w:divBdr>
        <w:top w:val="none" w:sz="0" w:space="0" w:color="auto"/>
        <w:left w:val="none" w:sz="0" w:space="0" w:color="auto"/>
        <w:bottom w:val="none" w:sz="0" w:space="0" w:color="auto"/>
        <w:right w:val="none" w:sz="0" w:space="0" w:color="auto"/>
      </w:divBdr>
    </w:div>
    <w:div w:id="30689439">
      <w:bodyDiv w:val="1"/>
      <w:marLeft w:val="0"/>
      <w:marRight w:val="0"/>
      <w:marTop w:val="0"/>
      <w:marBottom w:val="0"/>
      <w:divBdr>
        <w:top w:val="none" w:sz="0" w:space="0" w:color="auto"/>
        <w:left w:val="none" w:sz="0" w:space="0" w:color="auto"/>
        <w:bottom w:val="none" w:sz="0" w:space="0" w:color="auto"/>
        <w:right w:val="none" w:sz="0" w:space="0" w:color="auto"/>
      </w:divBdr>
    </w:div>
    <w:div w:id="31343463">
      <w:bodyDiv w:val="1"/>
      <w:marLeft w:val="0"/>
      <w:marRight w:val="0"/>
      <w:marTop w:val="0"/>
      <w:marBottom w:val="0"/>
      <w:divBdr>
        <w:top w:val="none" w:sz="0" w:space="0" w:color="auto"/>
        <w:left w:val="none" w:sz="0" w:space="0" w:color="auto"/>
        <w:bottom w:val="none" w:sz="0" w:space="0" w:color="auto"/>
        <w:right w:val="none" w:sz="0" w:space="0" w:color="auto"/>
      </w:divBdr>
    </w:div>
    <w:div w:id="31731548">
      <w:bodyDiv w:val="1"/>
      <w:marLeft w:val="0"/>
      <w:marRight w:val="0"/>
      <w:marTop w:val="0"/>
      <w:marBottom w:val="0"/>
      <w:divBdr>
        <w:top w:val="none" w:sz="0" w:space="0" w:color="auto"/>
        <w:left w:val="none" w:sz="0" w:space="0" w:color="auto"/>
        <w:bottom w:val="none" w:sz="0" w:space="0" w:color="auto"/>
        <w:right w:val="none" w:sz="0" w:space="0" w:color="auto"/>
      </w:divBdr>
    </w:div>
    <w:div w:id="33848955">
      <w:bodyDiv w:val="1"/>
      <w:marLeft w:val="0"/>
      <w:marRight w:val="0"/>
      <w:marTop w:val="0"/>
      <w:marBottom w:val="0"/>
      <w:divBdr>
        <w:top w:val="none" w:sz="0" w:space="0" w:color="auto"/>
        <w:left w:val="none" w:sz="0" w:space="0" w:color="auto"/>
        <w:bottom w:val="none" w:sz="0" w:space="0" w:color="auto"/>
        <w:right w:val="none" w:sz="0" w:space="0" w:color="auto"/>
      </w:divBdr>
    </w:div>
    <w:div w:id="38826727">
      <w:bodyDiv w:val="1"/>
      <w:marLeft w:val="0"/>
      <w:marRight w:val="0"/>
      <w:marTop w:val="0"/>
      <w:marBottom w:val="0"/>
      <w:divBdr>
        <w:top w:val="none" w:sz="0" w:space="0" w:color="auto"/>
        <w:left w:val="none" w:sz="0" w:space="0" w:color="auto"/>
        <w:bottom w:val="none" w:sz="0" w:space="0" w:color="auto"/>
        <w:right w:val="none" w:sz="0" w:space="0" w:color="auto"/>
      </w:divBdr>
    </w:div>
    <w:div w:id="39091677">
      <w:bodyDiv w:val="1"/>
      <w:marLeft w:val="0"/>
      <w:marRight w:val="0"/>
      <w:marTop w:val="0"/>
      <w:marBottom w:val="0"/>
      <w:divBdr>
        <w:top w:val="none" w:sz="0" w:space="0" w:color="auto"/>
        <w:left w:val="none" w:sz="0" w:space="0" w:color="auto"/>
        <w:bottom w:val="none" w:sz="0" w:space="0" w:color="auto"/>
        <w:right w:val="none" w:sz="0" w:space="0" w:color="auto"/>
      </w:divBdr>
    </w:div>
    <w:div w:id="39518761">
      <w:bodyDiv w:val="1"/>
      <w:marLeft w:val="0"/>
      <w:marRight w:val="0"/>
      <w:marTop w:val="0"/>
      <w:marBottom w:val="0"/>
      <w:divBdr>
        <w:top w:val="none" w:sz="0" w:space="0" w:color="auto"/>
        <w:left w:val="none" w:sz="0" w:space="0" w:color="auto"/>
        <w:bottom w:val="none" w:sz="0" w:space="0" w:color="auto"/>
        <w:right w:val="none" w:sz="0" w:space="0" w:color="auto"/>
      </w:divBdr>
    </w:div>
    <w:div w:id="39786726">
      <w:bodyDiv w:val="1"/>
      <w:marLeft w:val="0"/>
      <w:marRight w:val="0"/>
      <w:marTop w:val="0"/>
      <w:marBottom w:val="0"/>
      <w:divBdr>
        <w:top w:val="none" w:sz="0" w:space="0" w:color="auto"/>
        <w:left w:val="none" w:sz="0" w:space="0" w:color="auto"/>
        <w:bottom w:val="none" w:sz="0" w:space="0" w:color="auto"/>
        <w:right w:val="none" w:sz="0" w:space="0" w:color="auto"/>
      </w:divBdr>
    </w:div>
    <w:div w:id="39936967">
      <w:bodyDiv w:val="1"/>
      <w:marLeft w:val="0"/>
      <w:marRight w:val="0"/>
      <w:marTop w:val="0"/>
      <w:marBottom w:val="0"/>
      <w:divBdr>
        <w:top w:val="none" w:sz="0" w:space="0" w:color="auto"/>
        <w:left w:val="none" w:sz="0" w:space="0" w:color="auto"/>
        <w:bottom w:val="none" w:sz="0" w:space="0" w:color="auto"/>
        <w:right w:val="none" w:sz="0" w:space="0" w:color="auto"/>
      </w:divBdr>
    </w:div>
    <w:div w:id="40204960">
      <w:bodyDiv w:val="1"/>
      <w:marLeft w:val="0"/>
      <w:marRight w:val="0"/>
      <w:marTop w:val="0"/>
      <w:marBottom w:val="0"/>
      <w:divBdr>
        <w:top w:val="none" w:sz="0" w:space="0" w:color="auto"/>
        <w:left w:val="none" w:sz="0" w:space="0" w:color="auto"/>
        <w:bottom w:val="none" w:sz="0" w:space="0" w:color="auto"/>
        <w:right w:val="none" w:sz="0" w:space="0" w:color="auto"/>
      </w:divBdr>
    </w:div>
    <w:div w:id="42406510">
      <w:bodyDiv w:val="1"/>
      <w:marLeft w:val="0"/>
      <w:marRight w:val="0"/>
      <w:marTop w:val="0"/>
      <w:marBottom w:val="0"/>
      <w:divBdr>
        <w:top w:val="none" w:sz="0" w:space="0" w:color="auto"/>
        <w:left w:val="none" w:sz="0" w:space="0" w:color="auto"/>
        <w:bottom w:val="none" w:sz="0" w:space="0" w:color="auto"/>
        <w:right w:val="none" w:sz="0" w:space="0" w:color="auto"/>
      </w:divBdr>
    </w:div>
    <w:div w:id="44524895">
      <w:bodyDiv w:val="1"/>
      <w:marLeft w:val="0"/>
      <w:marRight w:val="0"/>
      <w:marTop w:val="0"/>
      <w:marBottom w:val="0"/>
      <w:divBdr>
        <w:top w:val="none" w:sz="0" w:space="0" w:color="auto"/>
        <w:left w:val="none" w:sz="0" w:space="0" w:color="auto"/>
        <w:bottom w:val="none" w:sz="0" w:space="0" w:color="auto"/>
        <w:right w:val="none" w:sz="0" w:space="0" w:color="auto"/>
      </w:divBdr>
    </w:div>
    <w:div w:id="44914369">
      <w:bodyDiv w:val="1"/>
      <w:marLeft w:val="0"/>
      <w:marRight w:val="0"/>
      <w:marTop w:val="0"/>
      <w:marBottom w:val="0"/>
      <w:divBdr>
        <w:top w:val="none" w:sz="0" w:space="0" w:color="auto"/>
        <w:left w:val="none" w:sz="0" w:space="0" w:color="auto"/>
        <w:bottom w:val="none" w:sz="0" w:space="0" w:color="auto"/>
        <w:right w:val="none" w:sz="0" w:space="0" w:color="auto"/>
      </w:divBdr>
    </w:div>
    <w:div w:id="45228641">
      <w:bodyDiv w:val="1"/>
      <w:marLeft w:val="0"/>
      <w:marRight w:val="0"/>
      <w:marTop w:val="0"/>
      <w:marBottom w:val="0"/>
      <w:divBdr>
        <w:top w:val="none" w:sz="0" w:space="0" w:color="auto"/>
        <w:left w:val="none" w:sz="0" w:space="0" w:color="auto"/>
        <w:bottom w:val="none" w:sz="0" w:space="0" w:color="auto"/>
        <w:right w:val="none" w:sz="0" w:space="0" w:color="auto"/>
      </w:divBdr>
    </w:div>
    <w:div w:id="46999258">
      <w:bodyDiv w:val="1"/>
      <w:marLeft w:val="0"/>
      <w:marRight w:val="0"/>
      <w:marTop w:val="0"/>
      <w:marBottom w:val="0"/>
      <w:divBdr>
        <w:top w:val="none" w:sz="0" w:space="0" w:color="auto"/>
        <w:left w:val="none" w:sz="0" w:space="0" w:color="auto"/>
        <w:bottom w:val="none" w:sz="0" w:space="0" w:color="auto"/>
        <w:right w:val="none" w:sz="0" w:space="0" w:color="auto"/>
      </w:divBdr>
    </w:div>
    <w:div w:id="47415158">
      <w:bodyDiv w:val="1"/>
      <w:marLeft w:val="0"/>
      <w:marRight w:val="0"/>
      <w:marTop w:val="0"/>
      <w:marBottom w:val="0"/>
      <w:divBdr>
        <w:top w:val="none" w:sz="0" w:space="0" w:color="auto"/>
        <w:left w:val="none" w:sz="0" w:space="0" w:color="auto"/>
        <w:bottom w:val="none" w:sz="0" w:space="0" w:color="auto"/>
        <w:right w:val="none" w:sz="0" w:space="0" w:color="auto"/>
      </w:divBdr>
    </w:div>
    <w:div w:id="50009078">
      <w:bodyDiv w:val="1"/>
      <w:marLeft w:val="0"/>
      <w:marRight w:val="0"/>
      <w:marTop w:val="0"/>
      <w:marBottom w:val="0"/>
      <w:divBdr>
        <w:top w:val="none" w:sz="0" w:space="0" w:color="auto"/>
        <w:left w:val="none" w:sz="0" w:space="0" w:color="auto"/>
        <w:bottom w:val="none" w:sz="0" w:space="0" w:color="auto"/>
        <w:right w:val="none" w:sz="0" w:space="0" w:color="auto"/>
      </w:divBdr>
    </w:div>
    <w:div w:id="50083963">
      <w:bodyDiv w:val="1"/>
      <w:marLeft w:val="0"/>
      <w:marRight w:val="0"/>
      <w:marTop w:val="0"/>
      <w:marBottom w:val="0"/>
      <w:divBdr>
        <w:top w:val="none" w:sz="0" w:space="0" w:color="auto"/>
        <w:left w:val="none" w:sz="0" w:space="0" w:color="auto"/>
        <w:bottom w:val="none" w:sz="0" w:space="0" w:color="auto"/>
        <w:right w:val="none" w:sz="0" w:space="0" w:color="auto"/>
      </w:divBdr>
    </w:div>
    <w:div w:id="51199309">
      <w:bodyDiv w:val="1"/>
      <w:marLeft w:val="0"/>
      <w:marRight w:val="0"/>
      <w:marTop w:val="0"/>
      <w:marBottom w:val="0"/>
      <w:divBdr>
        <w:top w:val="none" w:sz="0" w:space="0" w:color="auto"/>
        <w:left w:val="none" w:sz="0" w:space="0" w:color="auto"/>
        <w:bottom w:val="none" w:sz="0" w:space="0" w:color="auto"/>
        <w:right w:val="none" w:sz="0" w:space="0" w:color="auto"/>
      </w:divBdr>
    </w:div>
    <w:div w:id="55861026">
      <w:bodyDiv w:val="1"/>
      <w:marLeft w:val="0"/>
      <w:marRight w:val="0"/>
      <w:marTop w:val="0"/>
      <w:marBottom w:val="0"/>
      <w:divBdr>
        <w:top w:val="none" w:sz="0" w:space="0" w:color="auto"/>
        <w:left w:val="none" w:sz="0" w:space="0" w:color="auto"/>
        <w:bottom w:val="none" w:sz="0" w:space="0" w:color="auto"/>
        <w:right w:val="none" w:sz="0" w:space="0" w:color="auto"/>
      </w:divBdr>
    </w:div>
    <w:div w:id="56823606">
      <w:bodyDiv w:val="1"/>
      <w:marLeft w:val="0"/>
      <w:marRight w:val="0"/>
      <w:marTop w:val="0"/>
      <w:marBottom w:val="0"/>
      <w:divBdr>
        <w:top w:val="none" w:sz="0" w:space="0" w:color="auto"/>
        <w:left w:val="none" w:sz="0" w:space="0" w:color="auto"/>
        <w:bottom w:val="none" w:sz="0" w:space="0" w:color="auto"/>
        <w:right w:val="none" w:sz="0" w:space="0" w:color="auto"/>
      </w:divBdr>
    </w:div>
    <w:div w:id="57018806">
      <w:bodyDiv w:val="1"/>
      <w:marLeft w:val="0"/>
      <w:marRight w:val="0"/>
      <w:marTop w:val="0"/>
      <w:marBottom w:val="0"/>
      <w:divBdr>
        <w:top w:val="none" w:sz="0" w:space="0" w:color="auto"/>
        <w:left w:val="none" w:sz="0" w:space="0" w:color="auto"/>
        <w:bottom w:val="none" w:sz="0" w:space="0" w:color="auto"/>
        <w:right w:val="none" w:sz="0" w:space="0" w:color="auto"/>
      </w:divBdr>
    </w:div>
    <w:div w:id="59138113">
      <w:bodyDiv w:val="1"/>
      <w:marLeft w:val="0"/>
      <w:marRight w:val="0"/>
      <w:marTop w:val="0"/>
      <w:marBottom w:val="0"/>
      <w:divBdr>
        <w:top w:val="none" w:sz="0" w:space="0" w:color="auto"/>
        <w:left w:val="none" w:sz="0" w:space="0" w:color="auto"/>
        <w:bottom w:val="none" w:sz="0" w:space="0" w:color="auto"/>
        <w:right w:val="none" w:sz="0" w:space="0" w:color="auto"/>
      </w:divBdr>
    </w:div>
    <w:div w:id="59715666">
      <w:bodyDiv w:val="1"/>
      <w:marLeft w:val="0"/>
      <w:marRight w:val="0"/>
      <w:marTop w:val="0"/>
      <w:marBottom w:val="0"/>
      <w:divBdr>
        <w:top w:val="none" w:sz="0" w:space="0" w:color="auto"/>
        <w:left w:val="none" w:sz="0" w:space="0" w:color="auto"/>
        <w:bottom w:val="none" w:sz="0" w:space="0" w:color="auto"/>
        <w:right w:val="none" w:sz="0" w:space="0" w:color="auto"/>
      </w:divBdr>
    </w:div>
    <w:div w:id="59720118">
      <w:bodyDiv w:val="1"/>
      <w:marLeft w:val="0"/>
      <w:marRight w:val="0"/>
      <w:marTop w:val="0"/>
      <w:marBottom w:val="0"/>
      <w:divBdr>
        <w:top w:val="none" w:sz="0" w:space="0" w:color="auto"/>
        <w:left w:val="none" w:sz="0" w:space="0" w:color="auto"/>
        <w:bottom w:val="none" w:sz="0" w:space="0" w:color="auto"/>
        <w:right w:val="none" w:sz="0" w:space="0" w:color="auto"/>
      </w:divBdr>
    </w:div>
    <w:div w:id="60636604">
      <w:bodyDiv w:val="1"/>
      <w:marLeft w:val="0"/>
      <w:marRight w:val="0"/>
      <w:marTop w:val="0"/>
      <w:marBottom w:val="0"/>
      <w:divBdr>
        <w:top w:val="none" w:sz="0" w:space="0" w:color="auto"/>
        <w:left w:val="none" w:sz="0" w:space="0" w:color="auto"/>
        <w:bottom w:val="none" w:sz="0" w:space="0" w:color="auto"/>
        <w:right w:val="none" w:sz="0" w:space="0" w:color="auto"/>
      </w:divBdr>
    </w:div>
    <w:div w:id="61374251">
      <w:bodyDiv w:val="1"/>
      <w:marLeft w:val="0"/>
      <w:marRight w:val="0"/>
      <w:marTop w:val="0"/>
      <w:marBottom w:val="0"/>
      <w:divBdr>
        <w:top w:val="none" w:sz="0" w:space="0" w:color="auto"/>
        <w:left w:val="none" w:sz="0" w:space="0" w:color="auto"/>
        <w:bottom w:val="none" w:sz="0" w:space="0" w:color="auto"/>
        <w:right w:val="none" w:sz="0" w:space="0" w:color="auto"/>
      </w:divBdr>
    </w:div>
    <w:div w:id="61411534">
      <w:bodyDiv w:val="1"/>
      <w:marLeft w:val="0"/>
      <w:marRight w:val="0"/>
      <w:marTop w:val="0"/>
      <w:marBottom w:val="0"/>
      <w:divBdr>
        <w:top w:val="none" w:sz="0" w:space="0" w:color="auto"/>
        <w:left w:val="none" w:sz="0" w:space="0" w:color="auto"/>
        <w:bottom w:val="none" w:sz="0" w:space="0" w:color="auto"/>
        <w:right w:val="none" w:sz="0" w:space="0" w:color="auto"/>
      </w:divBdr>
    </w:div>
    <w:div w:id="61561243">
      <w:bodyDiv w:val="1"/>
      <w:marLeft w:val="0"/>
      <w:marRight w:val="0"/>
      <w:marTop w:val="0"/>
      <w:marBottom w:val="0"/>
      <w:divBdr>
        <w:top w:val="none" w:sz="0" w:space="0" w:color="auto"/>
        <w:left w:val="none" w:sz="0" w:space="0" w:color="auto"/>
        <w:bottom w:val="none" w:sz="0" w:space="0" w:color="auto"/>
        <w:right w:val="none" w:sz="0" w:space="0" w:color="auto"/>
      </w:divBdr>
    </w:div>
    <w:div w:id="62609638">
      <w:bodyDiv w:val="1"/>
      <w:marLeft w:val="0"/>
      <w:marRight w:val="0"/>
      <w:marTop w:val="0"/>
      <w:marBottom w:val="0"/>
      <w:divBdr>
        <w:top w:val="none" w:sz="0" w:space="0" w:color="auto"/>
        <w:left w:val="none" w:sz="0" w:space="0" w:color="auto"/>
        <w:bottom w:val="none" w:sz="0" w:space="0" w:color="auto"/>
        <w:right w:val="none" w:sz="0" w:space="0" w:color="auto"/>
      </w:divBdr>
    </w:div>
    <w:div w:id="62678255">
      <w:bodyDiv w:val="1"/>
      <w:marLeft w:val="0"/>
      <w:marRight w:val="0"/>
      <w:marTop w:val="0"/>
      <w:marBottom w:val="0"/>
      <w:divBdr>
        <w:top w:val="none" w:sz="0" w:space="0" w:color="auto"/>
        <w:left w:val="none" w:sz="0" w:space="0" w:color="auto"/>
        <w:bottom w:val="none" w:sz="0" w:space="0" w:color="auto"/>
        <w:right w:val="none" w:sz="0" w:space="0" w:color="auto"/>
      </w:divBdr>
    </w:div>
    <w:div w:id="63184564">
      <w:bodyDiv w:val="1"/>
      <w:marLeft w:val="0"/>
      <w:marRight w:val="0"/>
      <w:marTop w:val="0"/>
      <w:marBottom w:val="0"/>
      <w:divBdr>
        <w:top w:val="none" w:sz="0" w:space="0" w:color="auto"/>
        <w:left w:val="none" w:sz="0" w:space="0" w:color="auto"/>
        <w:bottom w:val="none" w:sz="0" w:space="0" w:color="auto"/>
        <w:right w:val="none" w:sz="0" w:space="0" w:color="auto"/>
      </w:divBdr>
    </w:div>
    <w:div w:id="63529485">
      <w:bodyDiv w:val="1"/>
      <w:marLeft w:val="0"/>
      <w:marRight w:val="0"/>
      <w:marTop w:val="0"/>
      <w:marBottom w:val="0"/>
      <w:divBdr>
        <w:top w:val="none" w:sz="0" w:space="0" w:color="auto"/>
        <w:left w:val="none" w:sz="0" w:space="0" w:color="auto"/>
        <w:bottom w:val="none" w:sz="0" w:space="0" w:color="auto"/>
        <w:right w:val="none" w:sz="0" w:space="0" w:color="auto"/>
      </w:divBdr>
    </w:div>
    <w:div w:id="64307812">
      <w:bodyDiv w:val="1"/>
      <w:marLeft w:val="0"/>
      <w:marRight w:val="0"/>
      <w:marTop w:val="0"/>
      <w:marBottom w:val="0"/>
      <w:divBdr>
        <w:top w:val="none" w:sz="0" w:space="0" w:color="auto"/>
        <w:left w:val="none" w:sz="0" w:space="0" w:color="auto"/>
        <w:bottom w:val="none" w:sz="0" w:space="0" w:color="auto"/>
        <w:right w:val="none" w:sz="0" w:space="0" w:color="auto"/>
      </w:divBdr>
    </w:div>
    <w:div w:id="65732615">
      <w:bodyDiv w:val="1"/>
      <w:marLeft w:val="0"/>
      <w:marRight w:val="0"/>
      <w:marTop w:val="0"/>
      <w:marBottom w:val="0"/>
      <w:divBdr>
        <w:top w:val="none" w:sz="0" w:space="0" w:color="auto"/>
        <w:left w:val="none" w:sz="0" w:space="0" w:color="auto"/>
        <w:bottom w:val="none" w:sz="0" w:space="0" w:color="auto"/>
        <w:right w:val="none" w:sz="0" w:space="0" w:color="auto"/>
      </w:divBdr>
    </w:div>
    <w:div w:id="65886126">
      <w:bodyDiv w:val="1"/>
      <w:marLeft w:val="0"/>
      <w:marRight w:val="0"/>
      <w:marTop w:val="0"/>
      <w:marBottom w:val="0"/>
      <w:divBdr>
        <w:top w:val="none" w:sz="0" w:space="0" w:color="auto"/>
        <w:left w:val="none" w:sz="0" w:space="0" w:color="auto"/>
        <w:bottom w:val="none" w:sz="0" w:space="0" w:color="auto"/>
        <w:right w:val="none" w:sz="0" w:space="0" w:color="auto"/>
      </w:divBdr>
    </w:div>
    <w:div w:id="66808094">
      <w:bodyDiv w:val="1"/>
      <w:marLeft w:val="0"/>
      <w:marRight w:val="0"/>
      <w:marTop w:val="0"/>
      <w:marBottom w:val="0"/>
      <w:divBdr>
        <w:top w:val="none" w:sz="0" w:space="0" w:color="auto"/>
        <w:left w:val="none" w:sz="0" w:space="0" w:color="auto"/>
        <w:bottom w:val="none" w:sz="0" w:space="0" w:color="auto"/>
        <w:right w:val="none" w:sz="0" w:space="0" w:color="auto"/>
      </w:divBdr>
    </w:div>
    <w:div w:id="67072678">
      <w:bodyDiv w:val="1"/>
      <w:marLeft w:val="0"/>
      <w:marRight w:val="0"/>
      <w:marTop w:val="0"/>
      <w:marBottom w:val="0"/>
      <w:divBdr>
        <w:top w:val="none" w:sz="0" w:space="0" w:color="auto"/>
        <w:left w:val="none" w:sz="0" w:space="0" w:color="auto"/>
        <w:bottom w:val="none" w:sz="0" w:space="0" w:color="auto"/>
        <w:right w:val="none" w:sz="0" w:space="0" w:color="auto"/>
      </w:divBdr>
    </w:div>
    <w:div w:id="67658203">
      <w:bodyDiv w:val="1"/>
      <w:marLeft w:val="0"/>
      <w:marRight w:val="0"/>
      <w:marTop w:val="0"/>
      <w:marBottom w:val="0"/>
      <w:divBdr>
        <w:top w:val="none" w:sz="0" w:space="0" w:color="auto"/>
        <w:left w:val="none" w:sz="0" w:space="0" w:color="auto"/>
        <w:bottom w:val="none" w:sz="0" w:space="0" w:color="auto"/>
        <w:right w:val="none" w:sz="0" w:space="0" w:color="auto"/>
      </w:divBdr>
    </w:div>
    <w:div w:id="67847349">
      <w:bodyDiv w:val="1"/>
      <w:marLeft w:val="0"/>
      <w:marRight w:val="0"/>
      <w:marTop w:val="0"/>
      <w:marBottom w:val="0"/>
      <w:divBdr>
        <w:top w:val="none" w:sz="0" w:space="0" w:color="auto"/>
        <w:left w:val="none" w:sz="0" w:space="0" w:color="auto"/>
        <w:bottom w:val="none" w:sz="0" w:space="0" w:color="auto"/>
        <w:right w:val="none" w:sz="0" w:space="0" w:color="auto"/>
      </w:divBdr>
    </w:div>
    <w:div w:id="68118750">
      <w:bodyDiv w:val="1"/>
      <w:marLeft w:val="0"/>
      <w:marRight w:val="0"/>
      <w:marTop w:val="0"/>
      <w:marBottom w:val="0"/>
      <w:divBdr>
        <w:top w:val="none" w:sz="0" w:space="0" w:color="auto"/>
        <w:left w:val="none" w:sz="0" w:space="0" w:color="auto"/>
        <w:bottom w:val="none" w:sz="0" w:space="0" w:color="auto"/>
        <w:right w:val="none" w:sz="0" w:space="0" w:color="auto"/>
      </w:divBdr>
    </w:div>
    <w:div w:id="70399135">
      <w:bodyDiv w:val="1"/>
      <w:marLeft w:val="0"/>
      <w:marRight w:val="0"/>
      <w:marTop w:val="0"/>
      <w:marBottom w:val="0"/>
      <w:divBdr>
        <w:top w:val="none" w:sz="0" w:space="0" w:color="auto"/>
        <w:left w:val="none" w:sz="0" w:space="0" w:color="auto"/>
        <w:bottom w:val="none" w:sz="0" w:space="0" w:color="auto"/>
        <w:right w:val="none" w:sz="0" w:space="0" w:color="auto"/>
      </w:divBdr>
    </w:div>
    <w:div w:id="70473342">
      <w:bodyDiv w:val="1"/>
      <w:marLeft w:val="0"/>
      <w:marRight w:val="0"/>
      <w:marTop w:val="0"/>
      <w:marBottom w:val="0"/>
      <w:divBdr>
        <w:top w:val="none" w:sz="0" w:space="0" w:color="auto"/>
        <w:left w:val="none" w:sz="0" w:space="0" w:color="auto"/>
        <w:bottom w:val="none" w:sz="0" w:space="0" w:color="auto"/>
        <w:right w:val="none" w:sz="0" w:space="0" w:color="auto"/>
      </w:divBdr>
    </w:div>
    <w:div w:id="72315572">
      <w:bodyDiv w:val="1"/>
      <w:marLeft w:val="0"/>
      <w:marRight w:val="0"/>
      <w:marTop w:val="0"/>
      <w:marBottom w:val="0"/>
      <w:divBdr>
        <w:top w:val="none" w:sz="0" w:space="0" w:color="auto"/>
        <w:left w:val="none" w:sz="0" w:space="0" w:color="auto"/>
        <w:bottom w:val="none" w:sz="0" w:space="0" w:color="auto"/>
        <w:right w:val="none" w:sz="0" w:space="0" w:color="auto"/>
      </w:divBdr>
    </w:div>
    <w:div w:id="72775777">
      <w:bodyDiv w:val="1"/>
      <w:marLeft w:val="0"/>
      <w:marRight w:val="0"/>
      <w:marTop w:val="0"/>
      <w:marBottom w:val="0"/>
      <w:divBdr>
        <w:top w:val="none" w:sz="0" w:space="0" w:color="auto"/>
        <w:left w:val="none" w:sz="0" w:space="0" w:color="auto"/>
        <w:bottom w:val="none" w:sz="0" w:space="0" w:color="auto"/>
        <w:right w:val="none" w:sz="0" w:space="0" w:color="auto"/>
      </w:divBdr>
    </w:div>
    <w:div w:id="73477861">
      <w:bodyDiv w:val="1"/>
      <w:marLeft w:val="0"/>
      <w:marRight w:val="0"/>
      <w:marTop w:val="0"/>
      <w:marBottom w:val="0"/>
      <w:divBdr>
        <w:top w:val="none" w:sz="0" w:space="0" w:color="auto"/>
        <w:left w:val="none" w:sz="0" w:space="0" w:color="auto"/>
        <w:bottom w:val="none" w:sz="0" w:space="0" w:color="auto"/>
        <w:right w:val="none" w:sz="0" w:space="0" w:color="auto"/>
      </w:divBdr>
    </w:div>
    <w:div w:id="73818565">
      <w:bodyDiv w:val="1"/>
      <w:marLeft w:val="0"/>
      <w:marRight w:val="0"/>
      <w:marTop w:val="0"/>
      <w:marBottom w:val="0"/>
      <w:divBdr>
        <w:top w:val="none" w:sz="0" w:space="0" w:color="auto"/>
        <w:left w:val="none" w:sz="0" w:space="0" w:color="auto"/>
        <w:bottom w:val="none" w:sz="0" w:space="0" w:color="auto"/>
        <w:right w:val="none" w:sz="0" w:space="0" w:color="auto"/>
      </w:divBdr>
    </w:div>
    <w:div w:id="74594630">
      <w:bodyDiv w:val="1"/>
      <w:marLeft w:val="0"/>
      <w:marRight w:val="0"/>
      <w:marTop w:val="0"/>
      <w:marBottom w:val="0"/>
      <w:divBdr>
        <w:top w:val="none" w:sz="0" w:space="0" w:color="auto"/>
        <w:left w:val="none" w:sz="0" w:space="0" w:color="auto"/>
        <w:bottom w:val="none" w:sz="0" w:space="0" w:color="auto"/>
        <w:right w:val="none" w:sz="0" w:space="0" w:color="auto"/>
      </w:divBdr>
    </w:div>
    <w:div w:id="75179139">
      <w:bodyDiv w:val="1"/>
      <w:marLeft w:val="0"/>
      <w:marRight w:val="0"/>
      <w:marTop w:val="0"/>
      <w:marBottom w:val="0"/>
      <w:divBdr>
        <w:top w:val="none" w:sz="0" w:space="0" w:color="auto"/>
        <w:left w:val="none" w:sz="0" w:space="0" w:color="auto"/>
        <w:bottom w:val="none" w:sz="0" w:space="0" w:color="auto"/>
        <w:right w:val="none" w:sz="0" w:space="0" w:color="auto"/>
      </w:divBdr>
    </w:div>
    <w:div w:id="75369379">
      <w:bodyDiv w:val="1"/>
      <w:marLeft w:val="0"/>
      <w:marRight w:val="0"/>
      <w:marTop w:val="0"/>
      <w:marBottom w:val="0"/>
      <w:divBdr>
        <w:top w:val="none" w:sz="0" w:space="0" w:color="auto"/>
        <w:left w:val="none" w:sz="0" w:space="0" w:color="auto"/>
        <w:bottom w:val="none" w:sz="0" w:space="0" w:color="auto"/>
        <w:right w:val="none" w:sz="0" w:space="0" w:color="auto"/>
      </w:divBdr>
    </w:div>
    <w:div w:id="76755945">
      <w:bodyDiv w:val="1"/>
      <w:marLeft w:val="0"/>
      <w:marRight w:val="0"/>
      <w:marTop w:val="0"/>
      <w:marBottom w:val="0"/>
      <w:divBdr>
        <w:top w:val="none" w:sz="0" w:space="0" w:color="auto"/>
        <w:left w:val="none" w:sz="0" w:space="0" w:color="auto"/>
        <w:bottom w:val="none" w:sz="0" w:space="0" w:color="auto"/>
        <w:right w:val="none" w:sz="0" w:space="0" w:color="auto"/>
      </w:divBdr>
    </w:div>
    <w:div w:id="76906317">
      <w:bodyDiv w:val="1"/>
      <w:marLeft w:val="0"/>
      <w:marRight w:val="0"/>
      <w:marTop w:val="0"/>
      <w:marBottom w:val="0"/>
      <w:divBdr>
        <w:top w:val="none" w:sz="0" w:space="0" w:color="auto"/>
        <w:left w:val="none" w:sz="0" w:space="0" w:color="auto"/>
        <w:bottom w:val="none" w:sz="0" w:space="0" w:color="auto"/>
        <w:right w:val="none" w:sz="0" w:space="0" w:color="auto"/>
      </w:divBdr>
    </w:div>
    <w:div w:id="77602073">
      <w:bodyDiv w:val="1"/>
      <w:marLeft w:val="0"/>
      <w:marRight w:val="0"/>
      <w:marTop w:val="0"/>
      <w:marBottom w:val="0"/>
      <w:divBdr>
        <w:top w:val="none" w:sz="0" w:space="0" w:color="auto"/>
        <w:left w:val="none" w:sz="0" w:space="0" w:color="auto"/>
        <w:bottom w:val="none" w:sz="0" w:space="0" w:color="auto"/>
        <w:right w:val="none" w:sz="0" w:space="0" w:color="auto"/>
      </w:divBdr>
    </w:div>
    <w:div w:id="79719804">
      <w:bodyDiv w:val="1"/>
      <w:marLeft w:val="0"/>
      <w:marRight w:val="0"/>
      <w:marTop w:val="0"/>
      <w:marBottom w:val="0"/>
      <w:divBdr>
        <w:top w:val="none" w:sz="0" w:space="0" w:color="auto"/>
        <w:left w:val="none" w:sz="0" w:space="0" w:color="auto"/>
        <w:bottom w:val="none" w:sz="0" w:space="0" w:color="auto"/>
        <w:right w:val="none" w:sz="0" w:space="0" w:color="auto"/>
      </w:divBdr>
    </w:div>
    <w:div w:id="80686756">
      <w:bodyDiv w:val="1"/>
      <w:marLeft w:val="0"/>
      <w:marRight w:val="0"/>
      <w:marTop w:val="0"/>
      <w:marBottom w:val="0"/>
      <w:divBdr>
        <w:top w:val="none" w:sz="0" w:space="0" w:color="auto"/>
        <w:left w:val="none" w:sz="0" w:space="0" w:color="auto"/>
        <w:bottom w:val="none" w:sz="0" w:space="0" w:color="auto"/>
        <w:right w:val="none" w:sz="0" w:space="0" w:color="auto"/>
      </w:divBdr>
    </w:div>
    <w:div w:id="80762806">
      <w:bodyDiv w:val="1"/>
      <w:marLeft w:val="0"/>
      <w:marRight w:val="0"/>
      <w:marTop w:val="0"/>
      <w:marBottom w:val="0"/>
      <w:divBdr>
        <w:top w:val="none" w:sz="0" w:space="0" w:color="auto"/>
        <w:left w:val="none" w:sz="0" w:space="0" w:color="auto"/>
        <w:bottom w:val="none" w:sz="0" w:space="0" w:color="auto"/>
        <w:right w:val="none" w:sz="0" w:space="0" w:color="auto"/>
      </w:divBdr>
    </w:div>
    <w:div w:id="81537645">
      <w:bodyDiv w:val="1"/>
      <w:marLeft w:val="0"/>
      <w:marRight w:val="0"/>
      <w:marTop w:val="0"/>
      <w:marBottom w:val="0"/>
      <w:divBdr>
        <w:top w:val="none" w:sz="0" w:space="0" w:color="auto"/>
        <w:left w:val="none" w:sz="0" w:space="0" w:color="auto"/>
        <w:bottom w:val="none" w:sz="0" w:space="0" w:color="auto"/>
        <w:right w:val="none" w:sz="0" w:space="0" w:color="auto"/>
      </w:divBdr>
    </w:div>
    <w:div w:id="81726224">
      <w:bodyDiv w:val="1"/>
      <w:marLeft w:val="0"/>
      <w:marRight w:val="0"/>
      <w:marTop w:val="0"/>
      <w:marBottom w:val="0"/>
      <w:divBdr>
        <w:top w:val="none" w:sz="0" w:space="0" w:color="auto"/>
        <w:left w:val="none" w:sz="0" w:space="0" w:color="auto"/>
        <w:bottom w:val="none" w:sz="0" w:space="0" w:color="auto"/>
        <w:right w:val="none" w:sz="0" w:space="0" w:color="auto"/>
      </w:divBdr>
    </w:div>
    <w:div w:id="81995132">
      <w:bodyDiv w:val="1"/>
      <w:marLeft w:val="0"/>
      <w:marRight w:val="0"/>
      <w:marTop w:val="0"/>
      <w:marBottom w:val="0"/>
      <w:divBdr>
        <w:top w:val="none" w:sz="0" w:space="0" w:color="auto"/>
        <w:left w:val="none" w:sz="0" w:space="0" w:color="auto"/>
        <w:bottom w:val="none" w:sz="0" w:space="0" w:color="auto"/>
        <w:right w:val="none" w:sz="0" w:space="0" w:color="auto"/>
      </w:divBdr>
    </w:div>
    <w:div w:id="82800477">
      <w:bodyDiv w:val="1"/>
      <w:marLeft w:val="0"/>
      <w:marRight w:val="0"/>
      <w:marTop w:val="0"/>
      <w:marBottom w:val="0"/>
      <w:divBdr>
        <w:top w:val="none" w:sz="0" w:space="0" w:color="auto"/>
        <w:left w:val="none" w:sz="0" w:space="0" w:color="auto"/>
        <w:bottom w:val="none" w:sz="0" w:space="0" w:color="auto"/>
        <w:right w:val="none" w:sz="0" w:space="0" w:color="auto"/>
      </w:divBdr>
    </w:div>
    <w:div w:id="84961569">
      <w:bodyDiv w:val="1"/>
      <w:marLeft w:val="0"/>
      <w:marRight w:val="0"/>
      <w:marTop w:val="0"/>
      <w:marBottom w:val="0"/>
      <w:divBdr>
        <w:top w:val="none" w:sz="0" w:space="0" w:color="auto"/>
        <w:left w:val="none" w:sz="0" w:space="0" w:color="auto"/>
        <w:bottom w:val="none" w:sz="0" w:space="0" w:color="auto"/>
        <w:right w:val="none" w:sz="0" w:space="0" w:color="auto"/>
      </w:divBdr>
    </w:div>
    <w:div w:id="85617718">
      <w:bodyDiv w:val="1"/>
      <w:marLeft w:val="0"/>
      <w:marRight w:val="0"/>
      <w:marTop w:val="0"/>
      <w:marBottom w:val="0"/>
      <w:divBdr>
        <w:top w:val="none" w:sz="0" w:space="0" w:color="auto"/>
        <w:left w:val="none" w:sz="0" w:space="0" w:color="auto"/>
        <w:bottom w:val="none" w:sz="0" w:space="0" w:color="auto"/>
        <w:right w:val="none" w:sz="0" w:space="0" w:color="auto"/>
      </w:divBdr>
    </w:div>
    <w:div w:id="86003162">
      <w:bodyDiv w:val="1"/>
      <w:marLeft w:val="0"/>
      <w:marRight w:val="0"/>
      <w:marTop w:val="0"/>
      <w:marBottom w:val="0"/>
      <w:divBdr>
        <w:top w:val="none" w:sz="0" w:space="0" w:color="auto"/>
        <w:left w:val="none" w:sz="0" w:space="0" w:color="auto"/>
        <w:bottom w:val="none" w:sz="0" w:space="0" w:color="auto"/>
        <w:right w:val="none" w:sz="0" w:space="0" w:color="auto"/>
      </w:divBdr>
    </w:div>
    <w:div w:id="86704403">
      <w:bodyDiv w:val="1"/>
      <w:marLeft w:val="0"/>
      <w:marRight w:val="0"/>
      <w:marTop w:val="0"/>
      <w:marBottom w:val="0"/>
      <w:divBdr>
        <w:top w:val="none" w:sz="0" w:space="0" w:color="auto"/>
        <w:left w:val="none" w:sz="0" w:space="0" w:color="auto"/>
        <w:bottom w:val="none" w:sz="0" w:space="0" w:color="auto"/>
        <w:right w:val="none" w:sz="0" w:space="0" w:color="auto"/>
      </w:divBdr>
    </w:div>
    <w:div w:id="86778376">
      <w:bodyDiv w:val="1"/>
      <w:marLeft w:val="0"/>
      <w:marRight w:val="0"/>
      <w:marTop w:val="0"/>
      <w:marBottom w:val="0"/>
      <w:divBdr>
        <w:top w:val="none" w:sz="0" w:space="0" w:color="auto"/>
        <w:left w:val="none" w:sz="0" w:space="0" w:color="auto"/>
        <w:bottom w:val="none" w:sz="0" w:space="0" w:color="auto"/>
        <w:right w:val="none" w:sz="0" w:space="0" w:color="auto"/>
      </w:divBdr>
    </w:div>
    <w:div w:id="86854767">
      <w:bodyDiv w:val="1"/>
      <w:marLeft w:val="0"/>
      <w:marRight w:val="0"/>
      <w:marTop w:val="0"/>
      <w:marBottom w:val="0"/>
      <w:divBdr>
        <w:top w:val="none" w:sz="0" w:space="0" w:color="auto"/>
        <w:left w:val="none" w:sz="0" w:space="0" w:color="auto"/>
        <w:bottom w:val="none" w:sz="0" w:space="0" w:color="auto"/>
        <w:right w:val="none" w:sz="0" w:space="0" w:color="auto"/>
      </w:divBdr>
    </w:div>
    <w:div w:id="87775714">
      <w:bodyDiv w:val="1"/>
      <w:marLeft w:val="0"/>
      <w:marRight w:val="0"/>
      <w:marTop w:val="0"/>
      <w:marBottom w:val="0"/>
      <w:divBdr>
        <w:top w:val="none" w:sz="0" w:space="0" w:color="auto"/>
        <w:left w:val="none" w:sz="0" w:space="0" w:color="auto"/>
        <w:bottom w:val="none" w:sz="0" w:space="0" w:color="auto"/>
        <w:right w:val="none" w:sz="0" w:space="0" w:color="auto"/>
      </w:divBdr>
    </w:div>
    <w:div w:id="87889828">
      <w:bodyDiv w:val="1"/>
      <w:marLeft w:val="0"/>
      <w:marRight w:val="0"/>
      <w:marTop w:val="0"/>
      <w:marBottom w:val="0"/>
      <w:divBdr>
        <w:top w:val="none" w:sz="0" w:space="0" w:color="auto"/>
        <w:left w:val="none" w:sz="0" w:space="0" w:color="auto"/>
        <w:bottom w:val="none" w:sz="0" w:space="0" w:color="auto"/>
        <w:right w:val="none" w:sz="0" w:space="0" w:color="auto"/>
      </w:divBdr>
    </w:div>
    <w:div w:id="88502924">
      <w:bodyDiv w:val="1"/>
      <w:marLeft w:val="0"/>
      <w:marRight w:val="0"/>
      <w:marTop w:val="0"/>
      <w:marBottom w:val="0"/>
      <w:divBdr>
        <w:top w:val="none" w:sz="0" w:space="0" w:color="auto"/>
        <w:left w:val="none" w:sz="0" w:space="0" w:color="auto"/>
        <w:bottom w:val="none" w:sz="0" w:space="0" w:color="auto"/>
        <w:right w:val="none" w:sz="0" w:space="0" w:color="auto"/>
      </w:divBdr>
    </w:div>
    <w:div w:id="8893610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0863234">
      <w:bodyDiv w:val="1"/>
      <w:marLeft w:val="0"/>
      <w:marRight w:val="0"/>
      <w:marTop w:val="0"/>
      <w:marBottom w:val="0"/>
      <w:divBdr>
        <w:top w:val="none" w:sz="0" w:space="0" w:color="auto"/>
        <w:left w:val="none" w:sz="0" w:space="0" w:color="auto"/>
        <w:bottom w:val="none" w:sz="0" w:space="0" w:color="auto"/>
        <w:right w:val="none" w:sz="0" w:space="0" w:color="auto"/>
      </w:divBdr>
    </w:div>
    <w:div w:id="92016149">
      <w:bodyDiv w:val="1"/>
      <w:marLeft w:val="0"/>
      <w:marRight w:val="0"/>
      <w:marTop w:val="0"/>
      <w:marBottom w:val="0"/>
      <w:divBdr>
        <w:top w:val="none" w:sz="0" w:space="0" w:color="auto"/>
        <w:left w:val="none" w:sz="0" w:space="0" w:color="auto"/>
        <w:bottom w:val="none" w:sz="0" w:space="0" w:color="auto"/>
        <w:right w:val="none" w:sz="0" w:space="0" w:color="auto"/>
      </w:divBdr>
    </w:div>
    <w:div w:id="92436662">
      <w:bodyDiv w:val="1"/>
      <w:marLeft w:val="0"/>
      <w:marRight w:val="0"/>
      <w:marTop w:val="0"/>
      <w:marBottom w:val="0"/>
      <w:divBdr>
        <w:top w:val="none" w:sz="0" w:space="0" w:color="auto"/>
        <w:left w:val="none" w:sz="0" w:space="0" w:color="auto"/>
        <w:bottom w:val="none" w:sz="0" w:space="0" w:color="auto"/>
        <w:right w:val="none" w:sz="0" w:space="0" w:color="auto"/>
      </w:divBdr>
    </w:div>
    <w:div w:id="95030373">
      <w:bodyDiv w:val="1"/>
      <w:marLeft w:val="0"/>
      <w:marRight w:val="0"/>
      <w:marTop w:val="0"/>
      <w:marBottom w:val="0"/>
      <w:divBdr>
        <w:top w:val="none" w:sz="0" w:space="0" w:color="auto"/>
        <w:left w:val="none" w:sz="0" w:space="0" w:color="auto"/>
        <w:bottom w:val="none" w:sz="0" w:space="0" w:color="auto"/>
        <w:right w:val="none" w:sz="0" w:space="0" w:color="auto"/>
      </w:divBdr>
    </w:div>
    <w:div w:id="98455829">
      <w:bodyDiv w:val="1"/>
      <w:marLeft w:val="0"/>
      <w:marRight w:val="0"/>
      <w:marTop w:val="0"/>
      <w:marBottom w:val="0"/>
      <w:divBdr>
        <w:top w:val="none" w:sz="0" w:space="0" w:color="auto"/>
        <w:left w:val="none" w:sz="0" w:space="0" w:color="auto"/>
        <w:bottom w:val="none" w:sz="0" w:space="0" w:color="auto"/>
        <w:right w:val="none" w:sz="0" w:space="0" w:color="auto"/>
      </w:divBdr>
    </w:div>
    <w:div w:id="99037682">
      <w:bodyDiv w:val="1"/>
      <w:marLeft w:val="0"/>
      <w:marRight w:val="0"/>
      <w:marTop w:val="0"/>
      <w:marBottom w:val="0"/>
      <w:divBdr>
        <w:top w:val="none" w:sz="0" w:space="0" w:color="auto"/>
        <w:left w:val="none" w:sz="0" w:space="0" w:color="auto"/>
        <w:bottom w:val="none" w:sz="0" w:space="0" w:color="auto"/>
        <w:right w:val="none" w:sz="0" w:space="0" w:color="auto"/>
      </w:divBdr>
    </w:div>
    <w:div w:id="100734186">
      <w:bodyDiv w:val="1"/>
      <w:marLeft w:val="0"/>
      <w:marRight w:val="0"/>
      <w:marTop w:val="0"/>
      <w:marBottom w:val="0"/>
      <w:divBdr>
        <w:top w:val="none" w:sz="0" w:space="0" w:color="auto"/>
        <w:left w:val="none" w:sz="0" w:space="0" w:color="auto"/>
        <w:bottom w:val="none" w:sz="0" w:space="0" w:color="auto"/>
        <w:right w:val="none" w:sz="0" w:space="0" w:color="auto"/>
      </w:divBdr>
    </w:div>
    <w:div w:id="100880479">
      <w:bodyDiv w:val="1"/>
      <w:marLeft w:val="0"/>
      <w:marRight w:val="0"/>
      <w:marTop w:val="0"/>
      <w:marBottom w:val="0"/>
      <w:divBdr>
        <w:top w:val="none" w:sz="0" w:space="0" w:color="auto"/>
        <w:left w:val="none" w:sz="0" w:space="0" w:color="auto"/>
        <w:bottom w:val="none" w:sz="0" w:space="0" w:color="auto"/>
        <w:right w:val="none" w:sz="0" w:space="0" w:color="auto"/>
      </w:divBdr>
    </w:div>
    <w:div w:id="101073884">
      <w:bodyDiv w:val="1"/>
      <w:marLeft w:val="0"/>
      <w:marRight w:val="0"/>
      <w:marTop w:val="0"/>
      <w:marBottom w:val="0"/>
      <w:divBdr>
        <w:top w:val="none" w:sz="0" w:space="0" w:color="auto"/>
        <w:left w:val="none" w:sz="0" w:space="0" w:color="auto"/>
        <w:bottom w:val="none" w:sz="0" w:space="0" w:color="auto"/>
        <w:right w:val="none" w:sz="0" w:space="0" w:color="auto"/>
      </w:divBdr>
    </w:div>
    <w:div w:id="101535177">
      <w:bodyDiv w:val="1"/>
      <w:marLeft w:val="0"/>
      <w:marRight w:val="0"/>
      <w:marTop w:val="0"/>
      <w:marBottom w:val="0"/>
      <w:divBdr>
        <w:top w:val="none" w:sz="0" w:space="0" w:color="auto"/>
        <w:left w:val="none" w:sz="0" w:space="0" w:color="auto"/>
        <w:bottom w:val="none" w:sz="0" w:space="0" w:color="auto"/>
        <w:right w:val="none" w:sz="0" w:space="0" w:color="auto"/>
      </w:divBdr>
    </w:div>
    <w:div w:id="102506412">
      <w:bodyDiv w:val="1"/>
      <w:marLeft w:val="0"/>
      <w:marRight w:val="0"/>
      <w:marTop w:val="0"/>
      <w:marBottom w:val="0"/>
      <w:divBdr>
        <w:top w:val="none" w:sz="0" w:space="0" w:color="auto"/>
        <w:left w:val="none" w:sz="0" w:space="0" w:color="auto"/>
        <w:bottom w:val="none" w:sz="0" w:space="0" w:color="auto"/>
        <w:right w:val="none" w:sz="0" w:space="0" w:color="auto"/>
      </w:divBdr>
    </w:div>
    <w:div w:id="103230301">
      <w:bodyDiv w:val="1"/>
      <w:marLeft w:val="0"/>
      <w:marRight w:val="0"/>
      <w:marTop w:val="0"/>
      <w:marBottom w:val="0"/>
      <w:divBdr>
        <w:top w:val="none" w:sz="0" w:space="0" w:color="auto"/>
        <w:left w:val="none" w:sz="0" w:space="0" w:color="auto"/>
        <w:bottom w:val="none" w:sz="0" w:space="0" w:color="auto"/>
        <w:right w:val="none" w:sz="0" w:space="0" w:color="auto"/>
      </w:divBdr>
    </w:div>
    <w:div w:id="103426763">
      <w:bodyDiv w:val="1"/>
      <w:marLeft w:val="0"/>
      <w:marRight w:val="0"/>
      <w:marTop w:val="0"/>
      <w:marBottom w:val="0"/>
      <w:divBdr>
        <w:top w:val="none" w:sz="0" w:space="0" w:color="auto"/>
        <w:left w:val="none" w:sz="0" w:space="0" w:color="auto"/>
        <w:bottom w:val="none" w:sz="0" w:space="0" w:color="auto"/>
        <w:right w:val="none" w:sz="0" w:space="0" w:color="auto"/>
      </w:divBdr>
    </w:div>
    <w:div w:id="104155422">
      <w:bodyDiv w:val="1"/>
      <w:marLeft w:val="0"/>
      <w:marRight w:val="0"/>
      <w:marTop w:val="0"/>
      <w:marBottom w:val="0"/>
      <w:divBdr>
        <w:top w:val="none" w:sz="0" w:space="0" w:color="auto"/>
        <w:left w:val="none" w:sz="0" w:space="0" w:color="auto"/>
        <w:bottom w:val="none" w:sz="0" w:space="0" w:color="auto"/>
        <w:right w:val="none" w:sz="0" w:space="0" w:color="auto"/>
      </w:divBdr>
    </w:div>
    <w:div w:id="105657626">
      <w:bodyDiv w:val="1"/>
      <w:marLeft w:val="0"/>
      <w:marRight w:val="0"/>
      <w:marTop w:val="0"/>
      <w:marBottom w:val="0"/>
      <w:divBdr>
        <w:top w:val="none" w:sz="0" w:space="0" w:color="auto"/>
        <w:left w:val="none" w:sz="0" w:space="0" w:color="auto"/>
        <w:bottom w:val="none" w:sz="0" w:space="0" w:color="auto"/>
        <w:right w:val="none" w:sz="0" w:space="0" w:color="auto"/>
      </w:divBdr>
    </w:div>
    <w:div w:id="106318857">
      <w:bodyDiv w:val="1"/>
      <w:marLeft w:val="0"/>
      <w:marRight w:val="0"/>
      <w:marTop w:val="0"/>
      <w:marBottom w:val="0"/>
      <w:divBdr>
        <w:top w:val="none" w:sz="0" w:space="0" w:color="auto"/>
        <w:left w:val="none" w:sz="0" w:space="0" w:color="auto"/>
        <w:bottom w:val="none" w:sz="0" w:space="0" w:color="auto"/>
        <w:right w:val="none" w:sz="0" w:space="0" w:color="auto"/>
      </w:divBdr>
    </w:div>
    <w:div w:id="106777615">
      <w:bodyDiv w:val="1"/>
      <w:marLeft w:val="0"/>
      <w:marRight w:val="0"/>
      <w:marTop w:val="0"/>
      <w:marBottom w:val="0"/>
      <w:divBdr>
        <w:top w:val="none" w:sz="0" w:space="0" w:color="auto"/>
        <w:left w:val="none" w:sz="0" w:space="0" w:color="auto"/>
        <w:bottom w:val="none" w:sz="0" w:space="0" w:color="auto"/>
        <w:right w:val="none" w:sz="0" w:space="0" w:color="auto"/>
      </w:divBdr>
    </w:div>
    <w:div w:id="107168282">
      <w:bodyDiv w:val="1"/>
      <w:marLeft w:val="0"/>
      <w:marRight w:val="0"/>
      <w:marTop w:val="0"/>
      <w:marBottom w:val="0"/>
      <w:divBdr>
        <w:top w:val="none" w:sz="0" w:space="0" w:color="auto"/>
        <w:left w:val="none" w:sz="0" w:space="0" w:color="auto"/>
        <w:bottom w:val="none" w:sz="0" w:space="0" w:color="auto"/>
        <w:right w:val="none" w:sz="0" w:space="0" w:color="auto"/>
      </w:divBdr>
    </w:div>
    <w:div w:id="108159890">
      <w:bodyDiv w:val="1"/>
      <w:marLeft w:val="0"/>
      <w:marRight w:val="0"/>
      <w:marTop w:val="0"/>
      <w:marBottom w:val="0"/>
      <w:divBdr>
        <w:top w:val="none" w:sz="0" w:space="0" w:color="auto"/>
        <w:left w:val="none" w:sz="0" w:space="0" w:color="auto"/>
        <w:bottom w:val="none" w:sz="0" w:space="0" w:color="auto"/>
        <w:right w:val="none" w:sz="0" w:space="0" w:color="auto"/>
      </w:divBdr>
    </w:div>
    <w:div w:id="109135216">
      <w:bodyDiv w:val="1"/>
      <w:marLeft w:val="0"/>
      <w:marRight w:val="0"/>
      <w:marTop w:val="0"/>
      <w:marBottom w:val="0"/>
      <w:divBdr>
        <w:top w:val="none" w:sz="0" w:space="0" w:color="auto"/>
        <w:left w:val="none" w:sz="0" w:space="0" w:color="auto"/>
        <w:bottom w:val="none" w:sz="0" w:space="0" w:color="auto"/>
        <w:right w:val="none" w:sz="0" w:space="0" w:color="auto"/>
      </w:divBdr>
    </w:div>
    <w:div w:id="109326821">
      <w:bodyDiv w:val="1"/>
      <w:marLeft w:val="0"/>
      <w:marRight w:val="0"/>
      <w:marTop w:val="0"/>
      <w:marBottom w:val="0"/>
      <w:divBdr>
        <w:top w:val="none" w:sz="0" w:space="0" w:color="auto"/>
        <w:left w:val="none" w:sz="0" w:space="0" w:color="auto"/>
        <w:bottom w:val="none" w:sz="0" w:space="0" w:color="auto"/>
        <w:right w:val="none" w:sz="0" w:space="0" w:color="auto"/>
      </w:divBdr>
    </w:div>
    <w:div w:id="109712024">
      <w:bodyDiv w:val="1"/>
      <w:marLeft w:val="0"/>
      <w:marRight w:val="0"/>
      <w:marTop w:val="0"/>
      <w:marBottom w:val="0"/>
      <w:divBdr>
        <w:top w:val="none" w:sz="0" w:space="0" w:color="auto"/>
        <w:left w:val="none" w:sz="0" w:space="0" w:color="auto"/>
        <w:bottom w:val="none" w:sz="0" w:space="0" w:color="auto"/>
        <w:right w:val="none" w:sz="0" w:space="0" w:color="auto"/>
      </w:divBdr>
    </w:div>
    <w:div w:id="109789718">
      <w:bodyDiv w:val="1"/>
      <w:marLeft w:val="0"/>
      <w:marRight w:val="0"/>
      <w:marTop w:val="0"/>
      <w:marBottom w:val="0"/>
      <w:divBdr>
        <w:top w:val="none" w:sz="0" w:space="0" w:color="auto"/>
        <w:left w:val="none" w:sz="0" w:space="0" w:color="auto"/>
        <w:bottom w:val="none" w:sz="0" w:space="0" w:color="auto"/>
        <w:right w:val="none" w:sz="0" w:space="0" w:color="auto"/>
      </w:divBdr>
    </w:div>
    <w:div w:id="110053492">
      <w:bodyDiv w:val="1"/>
      <w:marLeft w:val="0"/>
      <w:marRight w:val="0"/>
      <w:marTop w:val="0"/>
      <w:marBottom w:val="0"/>
      <w:divBdr>
        <w:top w:val="none" w:sz="0" w:space="0" w:color="auto"/>
        <w:left w:val="none" w:sz="0" w:space="0" w:color="auto"/>
        <w:bottom w:val="none" w:sz="0" w:space="0" w:color="auto"/>
        <w:right w:val="none" w:sz="0" w:space="0" w:color="auto"/>
      </w:divBdr>
    </w:div>
    <w:div w:id="111678853">
      <w:bodyDiv w:val="1"/>
      <w:marLeft w:val="0"/>
      <w:marRight w:val="0"/>
      <w:marTop w:val="0"/>
      <w:marBottom w:val="0"/>
      <w:divBdr>
        <w:top w:val="none" w:sz="0" w:space="0" w:color="auto"/>
        <w:left w:val="none" w:sz="0" w:space="0" w:color="auto"/>
        <w:bottom w:val="none" w:sz="0" w:space="0" w:color="auto"/>
        <w:right w:val="none" w:sz="0" w:space="0" w:color="auto"/>
      </w:divBdr>
    </w:div>
    <w:div w:id="111750362">
      <w:bodyDiv w:val="1"/>
      <w:marLeft w:val="0"/>
      <w:marRight w:val="0"/>
      <w:marTop w:val="0"/>
      <w:marBottom w:val="0"/>
      <w:divBdr>
        <w:top w:val="none" w:sz="0" w:space="0" w:color="auto"/>
        <w:left w:val="none" w:sz="0" w:space="0" w:color="auto"/>
        <w:bottom w:val="none" w:sz="0" w:space="0" w:color="auto"/>
        <w:right w:val="none" w:sz="0" w:space="0" w:color="auto"/>
      </w:divBdr>
    </w:div>
    <w:div w:id="112142891">
      <w:bodyDiv w:val="1"/>
      <w:marLeft w:val="0"/>
      <w:marRight w:val="0"/>
      <w:marTop w:val="0"/>
      <w:marBottom w:val="0"/>
      <w:divBdr>
        <w:top w:val="none" w:sz="0" w:space="0" w:color="auto"/>
        <w:left w:val="none" w:sz="0" w:space="0" w:color="auto"/>
        <w:bottom w:val="none" w:sz="0" w:space="0" w:color="auto"/>
        <w:right w:val="none" w:sz="0" w:space="0" w:color="auto"/>
      </w:divBdr>
    </w:div>
    <w:div w:id="112331711">
      <w:bodyDiv w:val="1"/>
      <w:marLeft w:val="0"/>
      <w:marRight w:val="0"/>
      <w:marTop w:val="0"/>
      <w:marBottom w:val="0"/>
      <w:divBdr>
        <w:top w:val="none" w:sz="0" w:space="0" w:color="auto"/>
        <w:left w:val="none" w:sz="0" w:space="0" w:color="auto"/>
        <w:bottom w:val="none" w:sz="0" w:space="0" w:color="auto"/>
        <w:right w:val="none" w:sz="0" w:space="0" w:color="auto"/>
      </w:divBdr>
    </w:div>
    <w:div w:id="112596717">
      <w:bodyDiv w:val="1"/>
      <w:marLeft w:val="0"/>
      <w:marRight w:val="0"/>
      <w:marTop w:val="0"/>
      <w:marBottom w:val="0"/>
      <w:divBdr>
        <w:top w:val="none" w:sz="0" w:space="0" w:color="auto"/>
        <w:left w:val="none" w:sz="0" w:space="0" w:color="auto"/>
        <w:bottom w:val="none" w:sz="0" w:space="0" w:color="auto"/>
        <w:right w:val="none" w:sz="0" w:space="0" w:color="auto"/>
      </w:divBdr>
    </w:div>
    <w:div w:id="113064465">
      <w:bodyDiv w:val="1"/>
      <w:marLeft w:val="0"/>
      <w:marRight w:val="0"/>
      <w:marTop w:val="0"/>
      <w:marBottom w:val="0"/>
      <w:divBdr>
        <w:top w:val="none" w:sz="0" w:space="0" w:color="auto"/>
        <w:left w:val="none" w:sz="0" w:space="0" w:color="auto"/>
        <w:bottom w:val="none" w:sz="0" w:space="0" w:color="auto"/>
        <w:right w:val="none" w:sz="0" w:space="0" w:color="auto"/>
      </w:divBdr>
    </w:div>
    <w:div w:id="113325890">
      <w:bodyDiv w:val="1"/>
      <w:marLeft w:val="0"/>
      <w:marRight w:val="0"/>
      <w:marTop w:val="0"/>
      <w:marBottom w:val="0"/>
      <w:divBdr>
        <w:top w:val="none" w:sz="0" w:space="0" w:color="auto"/>
        <w:left w:val="none" w:sz="0" w:space="0" w:color="auto"/>
        <w:bottom w:val="none" w:sz="0" w:space="0" w:color="auto"/>
        <w:right w:val="none" w:sz="0" w:space="0" w:color="auto"/>
      </w:divBdr>
    </w:div>
    <w:div w:id="115805322">
      <w:bodyDiv w:val="1"/>
      <w:marLeft w:val="0"/>
      <w:marRight w:val="0"/>
      <w:marTop w:val="0"/>
      <w:marBottom w:val="0"/>
      <w:divBdr>
        <w:top w:val="none" w:sz="0" w:space="0" w:color="auto"/>
        <w:left w:val="none" w:sz="0" w:space="0" w:color="auto"/>
        <w:bottom w:val="none" w:sz="0" w:space="0" w:color="auto"/>
        <w:right w:val="none" w:sz="0" w:space="0" w:color="auto"/>
      </w:divBdr>
    </w:div>
    <w:div w:id="115947552">
      <w:bodyDiv w:val="1"/>
      <w:marLeft w:val="0"/>
      <w:marRight w:val="0"/>
      <w:marTop w:val="0"/>
      <w:marBottom w:val="0"/>
      <w:divBdr>
        <w:top w:val="none" w:sz="0" w:space="0" w:color="auto"/>
        <w:left w:val="none" w:sz="0" w:space="0" w:color="auto"/>
        <w:bottom w:val="none" w:sz="0" w:space="0" w:color="auto"/>
        <w:right w:val="none" w:sz="0" w:space="0" w:color="auto"/>
      </w:divBdr>
    </w:div>
    <w:div w:id="118231497">
      <w:bodyDiv w:val="1"/>
      <w:marLeft w:val="0"/>
      <w:marRight w:val="0"/>
      <w:marTop w:val="0"/>
      <w:marBottom w:val="0"/>
      <w:divBdr>
        <w:top w:val="none" w:sz="0" w:space="0" w:color="auto"/>
        <w:left w:val="none" w:sz="0" w:space="0" w:color="auto"/>
        <w:bottom w:val="none" w:sz="0" w:space="0" w:color="auto"/>
        <w:right w:val="none" w:sz="0" w:space="0" w:color="auto"/>
      </w:divBdr>
    </w:div>
    <w:div w:id="119420011">
      <w:bodyDiv w:val="1"/>
      <w:marLeft w:val="0"/>
      <w:marRight w:val="0"/>
      <w:marTop w:val="0"/>
      <w:marBottom w:val="0"/>
      <w:divBdr>
        <w:top w:val="none" w:sz="0" w:space="0" w:color="auto"/>
        <w:left w:val="none" w:sz="0" w:space="0" w:color="auto"/>
        <w:bottom w:val="none" w:sz="0" w:space="0" w:color="auto"/>
        <w:right w:val="none" w:sz="0" w:space="0" w:color="auto"/>
      </w:divBdr>
    </w:div>
    <w:div w:id="119568119">
      <w:bodyDiv w:val="1"/>
      <w:marLeft w:val="0"/>
      <w:marRight w:val="0"/>
      <w:marTop w:val="0"/>
      <w:marBottom w:val="0"/>
      <w:divBdr>
        <w:top w:val="none" w:sz="0" w:space="0" w:color="auto"/>
        <w:left w:val="none" w:sz="0" w:space="0" w:color="auto"/>
        <w:bottom w:val="none" w:sz="0" w:space="0" w:color="auto"/>
        <w:right w:val="none" w:sz="0" w:space="0" w:color="auto"/>
      </w:divBdr>
    </w:div>
    <w:div w:id="120652888">
      <w:bodyDiv w:val="1"/>
      <w:marLeft w:val="0"/>
      <w:marRight w:val="0"/>
      <w:marTop w:val="0"/>
      <w:marBottom w:val="0"/>
      <w:divBdr>
        <w:top w:val="none" w:sz="0" w:space="0" w:color="auto"/>
        <w:left w:val="none" w:sz="0" w:space="0" w:color="auto"/>
        <w:bottom w:val="none" w:sz="0" w:space="0" w:color="auto"/>
        <w:right w:val="none" w:sz="0" w:space="0" w:color="auto"/>
      </w:divBdr>
    </w:div>
    <w:div w:id="121970640">
      <w:bodyDiv w:val="1"/>
      <w:marLeft w:val="0"/>
      <w:marRight w:val="0"/>
      <w:marTop w:val="0"/>
      <w:marBottom w:val="0"/>
      <w:divBdr>
        <w:top w:val="none" w:sz="0" w:space="0" w:color="auto"/>
        <w:left w:val="none" w:sz="0" w:space="0" w:color="auto"/>
        <w:bottom w:val="none" w:sz="0" w:space="0" w:color="auto"/>
        <w:right w:val="none" w:sz="0" w:space="0" w:color="auto"/>
      </w:divBdr>
    </w:div>
    <w:div w:id="122699467">
      <w:bodyDiv w:val="1"/>
      <w:marLeft w:val="0"/>
      <w:marRight w:val="0"/>
      <w:marTop w:val="0"/>
      <w:marBottom w:val="0"/>
      <w:divBdr>
        <w:top w:val="none" w:sz="0" w:space="0" w:color="auto"/>
        <w:left w:val="none" w:sz="0" w:space="0" w:color="auto"/>
        <w:bottom w:val="none" w:sz="0" w:space="0" w:color="auto"/>
        <w:right w:val="none" w:sz="0" w:space="0" w:color="auto"/>
      </w:divBdr>
    </w:div>
    <w:div w:id="123740125">
      <w:bodyDiv w:val="1"/>
      <w:marLeft w:val="0"/>
      <w:marRight w:val="0"/>
      <w:marTop w:val="0"/>
      <w:marBottom w:val="0"/>
      <w:divBdr>
        <w:top w:val="none" w:sz="0" w:space="0" w:color="auto"/>
        <w:left w:val="none" w:sz="0" w:space="0" w:color="auto"/>
        <w:bottom w:val="none" w:sz="0" w:space="0" w:color="auto"/>
        <w:right w:val="none" w:sz="0" w:space="0" w:color="auto"/>
      </w:divBdr>
    </w:div>
    <w:div w:id="123885828">
      <w:bodyDiv w:val="1"/>
      <w:marLeft w:val="0"/>
      <w:marRight w:val="0"/>
      <w:marTop w:val="0"/>
      <w:marBottom w:val="0"/>
      <w:divBdr>
        <w:top w:val="none" w:sz="0" w:space="0" w:color="auto"/>
        <w:left w:val="none" w:sz="0" w:space="0" w:color="auto"/>
        <w:bottom w:val="none" w:sz="0" w:space="0" w:color="auto"/>
        <w:right w:val="none" w:sz="0" w:space="0" w:color="auto"/>
      </w:divBdr>
    </w:div>
    <w:div w:id="124198488">
      <w:bodyDiv w:val="1"/>
      <w:marLeft w:val="0"/>
      <w:marRight w:val="0"/>
      <w:marTop w:val="0"/>
      <w:marBottom w:val="0"/>
      <w:divBdr>
        <w:top w:val="none" w:sz="0" w:space="0" w:color="auto"/>
        <w:left w:val="none" w:sz="0" w:space="0" w:color="auto"/>
        <w:bottom w:val="none" w:sz="0" w:space="0" w:color="auto"/>
        <w:right w:val="none" w:sz="0" w:space="0" w:color="auto"/>
      </w:divBdr>
    </w:div>
    <w:div w:id="125323065">
      <w:bodyDiv w:val="1"/>
      <w:marLeft w:val="0"/>
      <w:marRight w:val="0"/>
      <w:marTop w:val="0"/>
      <w:marBottom w:val="0"/>
      <w:divBdr>
        <w:top w:val="none" w:sz="0" w:space="0" w:color="auto"/>
        <w:left w:val="none" w:sz="0" w:space="0" w:color="auto"/>
        <w:bottom w:val="none" w:sz="0" w:space="0" w:color="auto"/>
        <w:right w:val="none" w:sz="0" w:space="0" w:color="auto"/>
      </w:divBdr>
    </w:div>
    <w:div w:id="127284291">
      <w:bodyDiv w:val="1"/>
      <w:marLeft w:val="0"/>
      <w:marRight w:val="0"/>
      <w:marTop w:val="0"/>
      <w:marBottom w:val="0"/>
      <w:divBdr>
        <w:top w:val="none" w:sz="0" w:space="0" w:color="auto"/>
        <w:left w:val="none" w:sz="0" w:space="0" w:color="auto"/>
        <w:bottom w:val="none" w:sz="0" w:space="0" w:color="auto"/>
        <w:right w:val="none" w:sz="0" w:space="0" w:color="auto"/>
      </w:divBdr>
    </w:div>
    <w:div w:id="127549022">
      <w:bodyDiv w:val="1"/>
      <w:marLeft w:val="0"/>
      <w:marRight w:val="0"/>
      <w:marTop w:val="0"/>
      <w:marBottom w:val="0"/>
      <w:divBdr>
        <w:top w:val="none" w:sz="0" w:space="0" w:color="auto"/>
        <w:left w:val="none" w:sz="0" w:space="0" w:color="auto"/>
        <w:bottom w:val="none" w:sz="0" w:space="0" w:color="auto"/>
        <w:right w:val="none" w:sz="0" w:space="0" w:color="auto"/>
      </w:divBdr>
    </w:div>
    <w:div w:id="128473970">
      <w:bodyDiv w:val="1"/>
      <w:marLeft w:val="0"/>
      <w:marRight w:val="0"/>
      <w:marTop w:val="0"/>
      <w:marBottom w:val="0"/>
      <w:divBdr>
        <w:top w:val="none" w:sz="0" w:space="0" w:color="auto"/>
        <w:left w:val="none" w:sz="0" w:space="0" w:color="auto"/>
        <w:bottom w:val="none" w:sz="0" w:space="0" w:color="auto"/>
        <w:right w:val="none" w:sz="0" w:space="0" w:color="auto"/>
      </w:divBdr>
    </w:div>
    <w:div w:id="128717380">
      <w:bodyDiv w:val="1"/>
      <w:marLeft w:val="0"/>
      <w:marRight w:val="0"/>
      <w:marTop w:val="0"/>
      <w:marBottom w:val="0"/>
      <w:divBdr>
        <w:top w:val="none" w:sz="0" w:space="0" w:color="auto"/>
        <w:left w:val="none" w:sz="0" w:space="0" w:color="auto"/>
        <w:bottom w:val="none" w:sz="0" w:space="0" w:color="auto"/>
        <w:right w:val="none" w:sz="0" w:space="0" w:color="auto"/>
      </w:divBdr>
    </w:div>
    <w:div w:id="129831410">
      <w:bodyDiv w:val="1"/>
      <w:marLeft w:val="0"/>
      <w:marRight w:val="0"/>
      <w:marTop w:val="0"/>
      <w:marBottom w:val="0"/>
      <w:divBdr>
        <w:top w:val="none" w:sz="0" w:space="0" w:color="auto"/>
        <w:left w:val="none" w:sz="0" w:space="0" w:color="auto"/>
        <w:bottom w:val="none" w:sz="0" w:space="0" w:color="auto"/>
        <w:right w:val="none" w:sz="0" w:space="0" w:color="auto"/>
      </w:divBdr>
    </w:div>
    <w:div w:id="131482607">
      <w:bodyDiv w:val="1"/>
      <w:marLeft w:val="0"/>
      <w:marRight w:val="0"/>
      <w:marTop w:val="0"/>
      <w:marBottom w:val="0"/>
      <w:divBdr>
        <w:top w:val="none" w:sz="0" w:space="0" w:color="auto"/>
        <w:left w:val="none" w:sz="0" w:space="0" w:color="auto"/>
        <w:bottom w:val="none" w:sz="0" w:space="0" w:color="auto"/>
        <w:right w:val="none" w:sz="0" w:space="0" w:color="auto"/>
      </w:divBdr>
    </w:div>
    <w:div w:id="131484271">
      <w:bodyDiv w:val="1"/>
      <w:marLeft w:val="0"/>
      <w:marRight w:val="0"/>
      <w:marTop w:val="0"/>
      <w:marBottom w:val="0"/>
      <w:divBdr>
        <w:top w:val="none" w:sz="0" w:space="0" w:color="auto"/>
        <w:left w:val="none" w:sz="0" w:space="0" w:color="auto"/>
        <w:bottom w:val="none" w:sz="0" w:space="0" w:color="auto"/>
        <w:right w:val="none" w:sz="0" w:space="0" w:color="auto"/>
      </w:divBdr>
    </w:div>
    <w:div w:id="131485854">
      <w:bodyDiv w:val="1"/>
      <w:marLeft w:val="0"/>
      <w:marRight w:val="0"/>
      <w:marTop w:val="0"/>
      <w:marBottom w:val="0"/>
      <w:divBdr>
        <w:top w:val="none" w:sz="0" w:space="0" w:color="auto"/>
        <w:left w:val="none" w:sz="0" w:space="0" w:color="auto"/>
        <w:bottom w:val="none" w:sz="0" w:space="0" w:color="auto"/>
        <w:right w:val="none" w:sz="0" w:space="0" w:color="auto"/>
      </w:divBdr>
    </w:div>
    <w:div w:id="131555981">
      <w:bodyDiv w:val="1"/>
      <w:marLeft w:val="0"/>
      <w:marRight w:val="0"/>
      <w:marTop w:val="0"/>
      <w:marBottom w:val="0"/>
      <w:divBdr>
        <w:top w:val="none" w:sz="0" w:space="0" w:color="auto"/>
        <w:left w:val="none" w:sz="0" w:space="0" w:color="auto"/>
        <w:bottom w:val="none" w:sz="0" w:space="0" w:color="auto"/>
        <w:right w:val="none" w:sz="0" w:space="0" w:color="auto"/>
      </w:divBdr>
    </w:div>
    <w:div w:id="132061877">
      <w:bodyDiv w:val="1"/>
      <w:marLeft w:val="0"/>
      <w:marRight w:val="0"/>
      <w:marTop w:val="0"/>
      <w:marBottom w:val="0"/>
      <w:divBdr>
        <w:top w:val="none" w:sz="0" w:space="0" w:color="auto"/>
        <w:left w:val="none" w:sz="0" w:space="0" w:color="auto"/>
        <w:bottom w:val="none" w:sz="0" w:space="0" w:color="auto"/>
        <w:right w:val="none" w:sz="0" w:space="0" w:color="auto"/>
      </w:divBdr>
    </w:div>
    <w:div w:id="132211017">
      <w:bodyDiv w:val="1"/>
      <w:marLeft w:val="0"/>
      <w:marRight w:val="0"/>
      <w:marTop w:val="0"/>
      <w:marBottom w:val="0"/>
      <w:divBdr>
        <w:top w:val="none" w:sz="0" w:space="0" w:color="auto"/>
        <w:left w:val="none" w:sz="0" w:space="0" w:color="auto"/>
        <w:bottom w:val="none" w:sz="0" w:space="0" w:color="auto"/>
        <w:right w:val="none" w:sz="0" w:space="0" w:color="auto"/>
      </w:divBdr>
    </w:div>
    <w:div w:id="132525575">
      <w:bodyDiv w:val="1"/>
      <w:marLeft w:val="0"/>
      <w:marRight w:val="0"/>
      <w:marTop w:val="0"/>
      <w:marBottom w:val="0"/>
      <w:divBdr>
        <w:top w:val="none" w:sz="0" w:space="0" w:color="auto"/>
        <w:left w:val="none" w:sz="0" w:space="0" w:color="auto"/>
        <w:bottom w:val="none" w:sz="0" w:space="0" w:color="auto"/>
        <w:right w:val="none" w:sz="0" w:space="0" w:color="auto"/>
      </w:divBdr>
    </w:div>
    <w:div w:id="133790203">
      <w:bodyDiv w:val="1"/>
      <w:marLeft w:val="0"/>
      <w:marRight w:val="0"/>
      <w:marTop w:val="0"/>
      <w:marBottom w:val="0"/>
      <w:divBdr>
        <w:top w:val="none" w:sz="0" w:space="0" w:color="auto"/>
        <w:left w:val="none" w:sz="0" w:space="0" w:color="auto"/>
        <w:bottom w:val="none" w:sz="0" w:space="0" w:color="auto"/>
        <w:right w:val="none" w:sz="0" w:space="0" w:color="auto"/>
      </w:divBdr>
    </w:div>
    <w:div w:id="134033691">
      <w:bodyDiv w:val="1"/>
      <w:marLeft w:val="0"/>
      <w:marRight w:val="0"/>
      <w:marTop w:val="0"/>
      <w:marBottom w:val="0"/>
      <w:divBdr>
        <w:top w:val="none" w:sz="0" w:space="0" w:color="auto"/>
        <w:left w:val="none" w:sz="0" w:space="0" w:color="auto"/>
        <w:bottom w:val="none" w:sz="0" w:space="0" w:color="auto"/>
        <w:right w:val="none" w:sz="0" w:space="0" w:color="auto"/>
      </w:divBdr>
    </w:div>
    <w:div w:id="135952443">
      <w:bodyDiv w:val="1"/>
      <w:marLeft w:val="0"/>
      <w:marRight w:val="0"/>
      <w:marTop w:val="0"/>
      <w:marBottom w:val="0"/>
      <w:divBdr>
        <w:top w:val="none" w:sz="0" w:space="0" w:color="auto"/>
        <w:left w:val="none" w:sz="0" w:space="0" w:color="auto"/>
        <w:bottom w:val="none" w:sz="0" w:space="0" w:color="auto"/>
        <w:right w:val="none" w:sz="0" w:space="0" w:color="auto"/>
      </w:divBdr>
    </w:div>
    <w:div w:id="136343233">
      <w:bodyDiv w:val="1"/>
      <w:marLeft w:val="0"/>
      <w:marRight w:val="0"/>
      <w:marTop w:val="0"/>
      <w:marBottom w:val="0"/>
      <w:divBdr>
        <w:top w:val="none" w:sz="0" w:space="0" w:color="auto"/>
        <w:left w:val="none" w:sz="0" w:space="0" w:color="auto"/>
        <w:bottom w:val="none" w:sz="0" w:space="0" w:color="auto"/>
        <w:right w:val="none" w:sz="0" w:space="0" w:color="auto"/>
      </w:divBdr>
    </w:div>
    <w:div w:id="136800579">
      <w:bodyDiv w:val="1"/>
      <w:marLeft w:val="0"/>
      <w:marRight w:val="0"/>
      <w:marTop w:val="0"/>
      <w:marBottom w:val="0"/>
      <w:divBdr>
        <w:top w:val="none" w:sz="0" w:space="0" w:color="auto"/>
        <w:left w:val="none" w:sz="0" w:space="0" w:color="auto"/>
        <w:bottom w:val="none" w:sz="0" w:space="0" w:color="auto"/>
        <w:right w:val="none" w:sz="0" w:space="0" w:color="auto"/>
      </w:divBdr>
    </w:div>
    <w:div w:id="137066801">
      <w:bodyDiv w:val="1"/>
      <w:marLeft w:val="0"/>
      <w:marRight w:val="0"/>
      <w:marTop w:val="0"/>
      <w:marBottom w:val="0"/>
      <w:divBdr>
        <w:top w:val="none" w:sz="0" w:space="0" w:color="auto"/>
        <w:left w:val="none" w:sz="0" w:space="0" w:color="auto"/>
        <w:bottom w:val="none" w:sz="0" w:space="0" w:color="auto"/>
        <w:right w:val="none" w:sz="0" w:space="0" w:color="auto"/>
      </w:divBdr>
    </w:div>
    <w:div w:id="137504318">
      <w:bodyDiv w:val="1"/>
      <w:marLeft w:val="0"/>
      <w:marRight w:val="0"/>
      <w:marTop w:val="0"/>
      <w:marBottom w:val="0"/>
      <w:divBdr>
        <w:top w:val="none" w:sz="0" w:space="0" w:color="auto"/>
        <w:left w:val="none" w:sz="0" w:space="0" w:color="auto"/>
        <w:bottom w:val="none" w:sz="0" w:space="0" w:color="auto"/>
        <w:right w:val="none" w:sz="0" w:space="0" w:color="auto"/>
      </w:divBdr>
    </w:div>
    <w:div w:id="139811614">
      <w:bodyDiv w:val="1"/>
      <w:marLeft w:val="0"/>
      <w:marRight w:val="0"/>
      <w:marTop w:val="0"/>
      <w:marBottom w:val="0"/>
      <w:divBdr>
        <w:top w:val="none" w:sz="0" w:space="0" w:color="auto"/>
        <w:left w:val="none" w:sz="0" w:space="0" w:color="auto"/>
        <w:bottom w:val="none" w:sz="0" w:space="0" w:color="auto"/>
        <w:right w:val="none" w:sz="0" w:space="0" w:color="auto"/>
      </w:divBdr>
    </w:div>
    <w:div w:id="140075101">
      <w:bodyDiv w:val="1"/>
      <w:marLeft w:val="0"/>
      <w:marRight w:val="0"/>
      <w:marTop w:val="0"/>
      <w:marBottom w:val="0"/>
      <w:divBdr>
        <w:top w:val="none" w:sz="0" w:space="0" w:color="auto"/>
        <w:left w:val="none" w:sz="0" w:space="0" w:color="auto"/>
        <w:bottom w:val="none" w:sz="0" w:space="0" w:color="auto"/>
        <w:right w:val="none" w:sz="0" w:space="0" w:color="auto"/>
      </w:divBdr>
    </w:div>
    <w:div w:id="140540798">
      <w:bodyDiv w:val="1"/>
      <w:marLeft w:val="0"/>
      <w:marRight w:val="0"/>
      <w:marTop w:val="0"/>
      <w:marBottom w:val="0"/>
      <w:divBdr>
        <w:top w:val="none" w:sz="0" w:space="0" w:color="auto"/>
        <w:left w:val="none" w:sz="0" w:space="0" w:color="auto"/>
        <w:bottom w:val="none" w:sz="0" w:space="0" w:color="auto"/>
        <w:right w:val="none" w:sz="0" w:space="0" w:color="auto"/>
      </w:divBdr>
    </w:div>
    <w:div w:id="140931542">
      <w:bodyDiv w:val="1"/>
      <w:marLeft w:val="0"/>
      <w:marRight w:val="0"/>
      <w:marTop w:val="0"/>
      <w:marBottom w:val="0"/>
      <w:divBdr>
        <w:top w:val="none" w:sz="0" w:space="0" w:color="auto"/>
        <w:left w:val="none" w:sz="0" w:space="0" w:color="auto"/>
        <w:bottom w:val="none" w:sz="0" w:space="0" w:color="auto"/>
        <w:right w:val="none" w:sz="0" w:space="0" w:color="auto"/>
      </w:divBdr>
    </w:div>
    <w:div w:id="141193111">
      <w:bodyDiv w:val="1"/>
      <w:marLeft w:val="0"/>
      <w:marRight w:val="0"/>
      <w:marTop w:val="0"/>
      <w:marBottom w:val="0"/>
      <w:divBdr>
        <w:top w:val="none" w:sz="0" w:space="0" w:color="auto"/>
        <w:left w:val="none" w:sz="0" w:space="0" w:color="auto"/>
        <w:bottom w:val="none" w:sz="0" w:space="0" w:color="auto"/>
        <w:right w:val="none" w:sz="0" w:space="0" w:color="auto"/>
      </w:divBdr>
    </w:div>
    <w:div w:id="141315003">
      <w:bodyDiv w:val="1"/>
      <w:marLeft w:val="0"/>
      <w:marRight w:val="0"/>
      <w:marTop w:val="0"/>
      <w:marBottom w:val="0"/>
      <w:divBdr>
        <w:top w:val="none" w:sz="0" w:space="0" w:color="auto"/>
        <w:left w:val="none" w:sz="0" w:space="0" w:color="auto"/>
        <w:bottom w:val="none" w:sz="0" w:space="0" w:color="auto"/>
        <w:right w:val="none" w:sz="0" w:space="0" w:color="auto"/>
      </w:divBdr>
    </w:div>
    <w:div w:id="141626509">
      <w:bodyDiv w:val="1"/>
      <w:marLeft w:val="0"/>
      <w:marRight w:val="0"/>
      <w:marTop w:val="0"/>
      <w:marBottom w:val="0"/>
      <w:divBdr>
        <w:top w:val="none" w:sz="0" w:space="0" w:color="auto"/>
        <w:left w:val="none" w:sz="0" w:space="0" w:color="auto"/>
        <w:bottom w:val="none" w:sz="0" w:space="0" w:color="auto"/>
        <w:right w:val="none" w:sz="0" w:space="0" w:color="auto"/>
      </w:divBdr>
    </w:div>
    <w:div w:id="142047950">
      <w:bodyDiv w:val="1"/>
      <w:marLeft w:val="0"/>
      <w:marRight w:val="0"/>
      <w:marTop w:val="0"/>
      <w:marBottom w:val="0"/>
      <w:divBdr>
        <w:top w:val="none" w:sz="0" w:space="0" w:color="auto"/>
        <w:left w:val="none" w:sz="0" w:space="0" w:color="auto"/>
        <w:bottom w:val="none" w:sz="0" w:space="0" w:color="auto"/>
        <w:right w:val="none" w:sz="0" w:space="0" w:color="auto"/>
      </w:divBdr>
    </w:div>
    <w:div w:id="146165450">
      <w:bodyDiv w:val="1"/>
      <w:marLeft w:val="0"/>
      <w:marRight w:val="0"/>
      <w:marTop w:val="0"/>
      <w:marBottom w:val="0"/>
      <w:divBdr>
        <w:top w:val="none" w:sz="0" w:space="0" w:color="auto"/>
        <w:left w:val="none" w:sz="0" w:space="0" w:color="auto"/>
        <w:bottom w:val="none" w:sz="0" w:space="0" w:color="auto"/>
        <w:right w:val="none" w:sz="0" w:space="0" w:color="auto"/>
      </w:divBdr>
    </w:div>
    <w:div w:id="146364293">
      <w:bodyDiv w:val="1"/>
      <w:marLeft w:val="0"/>
      <w:marRight w:val="0"/>
      <w:marTop w:val="0"/>
      <w:marBottom w:val="0"/>
      <w:divBdr>
        <w:top w:val="none" w:sz="0" w:space="0" w:color="auto"/>
        <w:left w:val="none" w:sz="0" w:space="0" w:color="auto"/>
        <w:bottom w:val="none" w:sz="0" w:space="0" w:color="auto"/>
        <w:right w:val="none" w:sz="0" w:space="0" w:color="auto"/>
      </w:divBdr>
    </w:div>
    <w:div w:id="149684450">
      <w:bodyDiv w:val="1"/>
      <w:marLeft w:val="0"/>
      <w:marRight w:val="0"/>
      <w:marTop w:val="0"/>
      <w:marBottom w:val="0"/>
      <w:divBdr>
        <w:top w:val="none" w:sz="0" w:space="0" w:color="auto"/>
        <w:left w:val="none" w:sz="0" w:space="0" w:color="auto"/>
        <w:bottom w:val="none" w:sz="0" w:space="0" w:color="auto"/>
        <w:right w:val="none" w:sz="0" w:space="0" w:color="auto"/>
      </w:divBdr>
    </w:div>
    <w:div w:id="149833952">
      <w:bodyDiv w:val="1"/>
      <w:marLeft w:val="0"/>
      <w:marRight w:val="0"/>
      <w:marTop w:val="0"/>
      <w:marBottom w:val="0"/>
      <w:divBdr>
        <w:top w:val="none" w:sz="0" w:space="0" w:color="auto"/>
        <w:left w:val="none" w:sz="0" w:space="0" w:color="auto"/>
        <w:bottom w:val="none" w:sz="0" w:space="0" w:color="auto"/>
        <w:right w:val="none" w:sz="0" w:space="0" w:color="auto"/>
      </w:divBdr>
    </w:div>
    <w:div w:id="150945312">
      <w:bodyDiv w:val="1"/>
      <w:marLeft w:val="0"/>
      <w:marRight w:val="0"/>
      <w:marTop w:val="0"/>
      <w:marBottom w:val="0"/>
      <w:divBdr>
        <w:top w:val="none" w:sz="0" w:space="0" w:color="auto"/>
        <w:left w:val="none" w:sz="0" w:space="0" w:color="auto"/>
        <w:bottom w:val="none" w:sz="0" w:space="0" w:color="auto"/>
        <w:right w:val="none" w:sz="0" w:space="0" w:color="auto"/>
      </w:divBdr>
    </w:div>
    <w:div w:id="151600993">
      <w:bodyDiv w:val="1"/>
      <w:marLeft w:val="0"/>
      <w:marRight w:val="0"/>
      <w:marTop w:val="0"/>
      <w:marBottom w:val="0"/>
      <w:divBdr>
        <w:top w:val="none" w:sz="0" w:space="0" w:color="auto"/>
        <w:left w:val="none" w:sz="0" w:space="0" w:color="auto"/>
        <w:bottom w:val="none" w:sz="0" w:space="0" w:color="auto"/>
        <w:right w:val="none" w:sz="0" w:space="0" w:color="auto"/>
      </w:divBdr>
    </w:div>
    <w:div w:id="151724283">
      <w:bodyDiv w:val="1"/>
      <w:marLeft w:val="0"/>
      <w:marRight w:val="0"/>
      <w:marTop w:val="0"/>
      <w:marBottom w:val="0"/>
      <w:divBdr>
        <w:top w:val="none" w:sz="0" w:space="0" w:color="auto"/>
        <w:left w:val="none" w:sz="0" w:space="0" w:color="auto"/>
        <w:bottom w:val="none" w:sz="0" w:space="0" w:color="auto"/>
        <w:right w:val="none" w:sz="0" w:space="0" w:color="auto"/>
      </w:divBdr>
    </w:div>
    <w:div w:id="152263602">
      <w:bodyDiv w:val="1"/>
      <w:marLeft w:val="0"/>
      <w:marRight w:val="0"/>
      <w:marTop w:val="0"/>
      <w:marBottom w:val="0"/>
      <w:divBdr>
        <w:top w:val="none" w:sz="0" w:space="0" w:color="auto"/>
        <w:left w:val="none" w:sz="0" w:space="0" w:color="auto"/>
        <w:bottom w:val="none" w:sz="0" w:space="0" w:color="auto"/>
        <w:right w:val="none" w:sz="0" w:space="0" w:color="auto"/>
      </w:divBdr>
    </w:div>
    <w:div w:id="152647028">
      <w:bodyDiv w:val="1"/>
      <w:marLeft w:val="0"/>
      <w:marRight w:val="0"/>
      <w:marTop w:val="0"/>
      <w:marBottom w:val="0"/>
      <w:divBdr>
        <w:top w:val="none" w:sz="0" w:space="0" w:color="auto"/>
        <w:left w:val="none" w:sz="0" w:space="0" w:color="auto"/>
        <w:bottom w:val="none" w:sz="0" w:space="0" w:color="auto"/>
        <w:right w:val="none" w:sz="0" w:space="0" w:color="auto"/>
      </w:divBdr>
    </w:div>
    <w:div w:id="152766400">
      <w:bodyDiv w:val="1"/>
      <w:marLeft w:val="0"/>
      <w:marRight w:val="0"/>
      <w:marTop w:val="0"/>
      <w:marBottom w:val="0"/>
      <w:divBdr>
        <w:top w:val="none" w:sz="0" w:space="0" w:color="auto"/>
        <w:left w:val="none" w:sz="0" w:space="0" w:color="auto"/>
        <w:bottom w:val="none" w:sz="0" w:space="0" w:color="auto"/>
        <w:right w:val="none" w:sz="0" w:space="0" w:color="auto"/>
      </w:divBdr>
    </w:div>
    <w:div w:id="153422193">
      <w:bodyDiv w:val="1"/>
      <w:marLeft w:val="0"/>
      <w:marRight w:val="0"/>
      <w:marTop w:val="0"/>
      <w:marBottom w:val="0"/>
      <w:divBdr>
        <w:top w:val="none" w:sz="0" w:space="0" w:color="auto"/>
        <w:left w:val="none" w:sz="0" w:space="0" w:color="auto"/>
        <w:bottom w:val="none" w:sz="0" w:space="0" w:color="auto"/>
        <w:right w:val="none" w:sz="0" w:space="0" w:color="auto"/>
      </w:divBdr>
    </w:div>
    <w:div w:id="154420127">
      <w:bodyDiv w:val="1"/>
      <w:marLeft w:val="0"/>
      <w:marRight w:val="0"/>
      <w:marTop w:val="0"/>
      <w:marBottom w:val="0"/>
      <w:divBdr>
        <w:top w:val="none" w:sz="0" w:space="0" w:color="auto"/>
        <w:left w:val="none" w:sz="0" w:space="0" w:color="auto"/>
        <w:bottom w:val="none" w:sz="0" w:space="0" w:color="auto"/>
        <w:right w:val="none" w:sz="0" w:space="0" w:color="auto"/>
      </w:divBdr>
    </w:div>
    <w:div w:id="155343882">
      <w:bodyDiv w:val="1"/>
      <w:marLeft w:val="0"/>
      <w:marRight w:val="0"/>
      <w:marTop w:val="0"/>
      <w:marBottom w:val="0"/>
      <w:divBdr>
        <w:top w:val="none" w:sz="0" w:space="0" w:color="auto"/>
        <w:left w:val="none" w:sz="0" w:space="0" w:color="auto"/>
        <w:bottom w:val="none" w:sz="0" w:space="0" w:color="auto"/>
        <w:right w:val="none" w:sz="0" w:space="0" w:color="auto"/>
      </w:divBdr>
    </w:div>
    <w:div w:id="156502427">
      <w:bodyDiv w:val="1"/>
      <w:marLeft w:val="0"/>
      <w:marRight w:val="0"/>
      <w:marTop w:val="0"/>
      <w:marBottom w:val="0"/>
      <w:divBdr>
        <w:top w:val="none" w:sz="0" w:space="0" w:color="auto"/>
        <w:left w:val="none" w:sz="0" w:space="0" w:color="auto"/>
        <w:bottom w:val="none" w:sz="0" w:space="0" w:color="auto"/>
        <w:right w:val="none" w:sz="0" w:space="0" w:color="auto"/>
      </w:divBdr>
    </w:div>
    <w:div w:id="156770263">
      <w:bodyDiv w:val="1"/>
      <w:marLeft w:val="0"/>
      <w:marRight w:val="0"/>
      <w:marTop w:val="0"/>
      <w:marBottom w:val="0"/>
      <w:divBdr>
        <w:top w:val="none" w:sz="0" w:space="0" w:color="auto"/>
        <w:left w:val="none" w:sz="0" w:space="0" w:color="auto"/>
        <w:bottom w:val="none" w:sz="0" w:space="0" w:color="auto"/>
        <w:right w:val="none" w:sz="0" w:space="0" w:color="auto"/>
      </w:divBdr>
    </w:div>
    <w:div w:id="157774012">
      <w:bodyDiv w:val="1"/>
      <w:marLeft w:val="0"/>
      <w:marRight w:val="0"/>
      <w:marTop w:val="0"/>
      <w:marBottom w:val="0"/>
      <w:divBdr>
        <w:top w:val="none" w:sz="0" w:space="0" w:color="auto"/>
        <w:left w:val="none" w:sz="0" w:space="0" w:color="auto"/>
        <w:bottom w:val="none" w:sz="0" w:space="0" w:color="auto"/>
        <w:right w:val="none" w:sz="0" w:space="0" w:color="auto"/>
      </w:divBdr>
    </w:div>
    <w:div w:id="157813900">
      <w:bodyDiv w:val="1"/>
      <w:marLeft w:val="0"/>
      <w:marRight w:val="0"/>
      <w:marTop w:val="0"/>
      <w:marBottom w:val="0"/>
      <w:divBdr>
        <w:top w:val="none" w:sz="0" w:space="0" w:color="auto"/>
        <w:left w:val="none" w:sz="0" w:space="0" w:color="auto"/>
        <w:bottom w:val="none" w:sz="0" w:space="0" w:color="auto"/>
        <w:right w:val="none" w:sz="0" w:space="0" w:color="auto"/>
      </w:divBdr>
    </w:div>
    <w:div w:id="158351287">
      <w:bodyDiv w:val="1"/>
      <w:marLeft w:val="0"/>
      <w:marRight w:val="0"/>
      <w:marTop w:val="0"/>
      <w:marBottom w:val="0"/>
      <w:divBdr>
        <w:top w:val="none" w:sz="0" w:space="0" w:color="auto"/>
        <w:left w:val="none" w:sz="0" w:space="0" w:color="auto"/>
        <w:bottom w:val="none" w:sz="0" w:space="0" w:color="auto"/>
        <w:right w:val="none" w:sz="0" w:space="0" w:color="auto"/>
      </w:divBdr>
    </w:div>
    <w:div w:id="158469551">
      <w:bodyDiv w:val="1"/>
      <w:marLeft w:val="0"/>
      <w:marRight w:val="0"/>
      <w:marTop w:val="0"/>
      <w:marBottom w:val="0"/>
      <w:divBdr>
        <w:top w:val="none" w:sz="0" w:space="0" w:color="auto"/>
        <w:left w:val="none" w:sz="0" w:space="0" w:color="auto"/>
        <w:bottom w:val="none" w:sz="0" w:space="0" w:color="auto"/>
        <w:right w:val="none" w:sz="0" w:space="0" w:color="auto"/>
      </w:divBdr>
    </w:div>
    <w:div w:id="158541808">
      <w:bodyDiv w:val="1"/>
      <w:marLeft w:val="0"/>
      <w:marRight w:val="0"/>
      <w:marTop w:val="0"/>
      <w:marBottom w:val="0"/>
      <w:divBdr>
        <w:top w:val="none" w:sz="0" w:space="0" w:color="auto"/>
        <w:left w:val="none" w:sz="0" w:space="0" w:color="auto"/>
        <w:bottom w:val="none" w:sz="0" w:space="0" w:color="auto"/>
        <w:right w:val="none" w:sz="0" w:space="0" w:color="auto"/>
      </w:divBdr>
    </w:div>
    <w:div w:id="159081028">
      <w:bodyDiv w:val="1"/>
      <w:marLeft w:val="0"/>
      <w:marRight w:val="0"/>
      <w:marTop w:val="0"/>
      <w:marBottom w:val="0"/>
      <w:divBdr>
        <w:top w:val="none" w:sz="0" w:space="0" w:color="auto"/>
        <w:left w:val="none" w:sz="0" w:space="0" w:color="auto"/>
        <w:bottom w:val="none" w:sz="0" w:space="0" w:color="auto"/>
        <w:right w:val="none" w:sz="0" w:space="0" w:color="auto"/>
      </w:divBdr>
    </w:div>
    <w:div w:id="159084571">
      <w:bodyDiv w:val="1"/>
      <w:marLeft w:val="0"/>
      <w:marRight w:val="0"/>
      <w:marTop w:val="0"/>
      <w:marBottom w:val="0"/>
      <w:divBdr>
        <w:top w:val="none" w:sz="0" w:space="0" w:color="auto"/>
        <w:left w:val="none" w:sz="0" w:space="0" w:color="auto"/>
        <w:bottom w:val="none" w:sz="0" w:space="0" w:color="auto"/>
        <w:right w:val="none" w:sz="0" w:space="0" w:color="auto"/>
      </w:divBdr>
    </w:div>
    <w:div w:id="159085485">
      <w:bodyDiv w:val="1"/>
      <w:marLeft w:val="0"/>
      <w:marRight w:val="0"/>
      <w:marTop w:val="0"/>
      <w:marBottom w:val="0"/>
      <w:divBdr>
        <w:top w:val="none" w:sz="0" w:space="0" w:color="auto"/>
        <w:left w:val="none" w:sz="0" w:space="0" w:color="auto"/>
        <w:bottom w:val="none" w:sz="0" w:space="0" w:color="auto"/>
        <w:right w:val="none" w:sz="0" w:space="0" w:color="auto"/>
      </w:divBdr>
    </w:div>
    <w:div w:id="159582707">
      <w:bodyDiv w:val="1"/>
      <w:marLeft w:val="0"/>
      <w:marRight w:val="0"/>
      <w:marTop w:val="0"/>
      <w:marBottom w:val="0"/>
      <w:divBdr>
        <w:top w:val="none" w:sz="0" w:space="0" w:color="auto"/>
        <w:left w:val="none" w:sz="0" w:space="0" w:color="auto"/>
        <w:bottom w:val="none" w:sz="0" w:space="0" w:color="auto"/>
        <w:right w:val="none" w:sz="0" w:space="0" w:color="auto"/>
      </w:divBdr>
    </w:div>
    <w:div w:id="159737630">
      <w:bodyDiv w:val="1"/>
      <w:marLeft w:val="0"/>
      <w:marRight w:val="0"/>
      <w:marTop w:val="0"/>
      <w:marBottom w:val="0"/>
      <w:divBdr>
        <w:top w:val="none" w:sz="0" w:space="0" w:color="auto"/>
        <w:left w:val="none" w:sz="0" w:space="0" w:color="auto"/>
        <w:bottom w:val="none" w:sz="0" w:space="0" w:color="auto"/>
        <w:right w:val="none" w:sz="0" w:space="0" w:color="auto"/>
      </w:divBdr>
    </w:div>
    <w:div w:id="160201868">
      <w:bodyDiv w:val="1"/>
      <w:marLeft w:val="0"/>
      <w:marRight w:val="0"/>
      <w:marTop w:val="0"/>
      <w:marBottom w:val="0"/>
      <w:divBdr>
        <w:top w:val="none" w:sz="0" w:space="0" w:color="auto"/>
        <w:left w:val="none" w:sz="0" w:space="0" w:color="auto"/>
        <w:bottom w:val="none" w:sz="0" w:space="0" w:color="auto"/>
        <w:right w:val="none" w:sz="0" w:space="0" w:color="auto"/>
      </w:divBdr>
    </w:div>
    <w:div w:id="162548242">
      <w:bodyDiv w:val="1"/>
      <w:marLeft w:val="0"/>
      <w:marRight w:val="0"/>
      <w:marTop w:val="0"/>
      <w:marBottom w:val="0"/>
      <w:divBdr>
        <w:top w:val="none" w:sz="0" w:space="0" w:color="auto"/>
        <w:left w:val="none" w:sz="0" w:space="0" w:color="auto"/>
        <w:bottom w:val="none" w:sz="0" w:space="0" w:color="auto"/>
        <w:right w:val="none" w:sz="0" w:space="0" w:color="auto"/>
      </w:divBdr>
    </w:div>
    <w:div w:id="162671003">
      <w:bodyDiv w:val="1"/>
      <w:marLeft w:val="0"/>
      <w:marRight w:val="0"/>
      <w:marTop w:val="0"/>
      <w:marBottom w:val="0"/>
      <w:divBdr>
        <w:top w:val="none" w:sz="0" w:space="0" w:color="auto"/>
        <w:left w:val="none" w:sz="0" w:space="0" w:color="auto"/>
        <w:bottom w:val="none" w:sz="0" w:space="0" w:color="auto"/>
        <w:right w:val="none" w:sz="0" w:space="0" w:color="auto"/>
      </w:divBdr>
    </w:div>
    <w:div w:id="163476581">
      <w:bodyDiv w:val="1"/>
      <w:marLeft w:val="0"/>
      <w:marRight w:val="0"/>
      <w:marTop w:val="0"/>
      <w:marBottom w:val="0"/>
      <w:divBdr>
        <w:top w:val="none" w:sz="0" w:space="0" w:color="auto"/>
        <w:left w:val="none" w:sz="0" w:space="0" w:color="auto"/>
        <w:bottom w:val="none" w:sz="0" w:space="0" w:color="auto"/>
        <w:right w:val="none" w:sz="0" w:space="0" w:color="auto"/>
      </w:divBdr>
    </w:div>
    <w:div w:id="164904025">
      <w:bodyDiv w:val="1"/>
      <w:marLeft w:val="0"/>
      <w:marRight w:val="0"/>
      <w:marTop w:val="0"/>
      <w:marBottom w:val="0"/>
      <w:divBdr>
        <w:top w:val="none" w:sz="0" w:space="0" w:color="auto"/>
        <w:left w:val="none" w:sz="0" w:space="0" w:color="auto"/>
        <w:bottom w:val="none" w:sz="0" w:space="0" w:color="auto"/>
        <w:right w:val="none" w:sz="0" w:space="0" w:color="auto"/>
      </w:divBdr>
    </w:div>
    <w:div w:id="165756538">
      <w:bodyDiv w:val="1"/>
      <w:marLeft w:val="0"/>
      <w:marRight w:val="0"/>
      <w:marTop w:val="0"/>
      <w:marBottom w:val="0"/>
      <w:divBdr>
        <w:top w:val="none" w:sz="0" w:space="0" w:color="auto"/>
        <w:left w:val="none" w:sz="0" w:space="0" w:color="auto"/>
        <w:bottom w:val="none" w:sz="0" w:space="0" w:color="auto"/>
        <w:right w:val="none" w:sz="0" w:space="0" w:color="auto"/>
      </w:divBdr>
    </w:div>
    <w:div w:id="165823814">
      <w:bodyDiv w:val="1"/>
      <w:marLeft w:val="0"/>
      <w:marRight w:val="0"/>
      <w:marTop w:val="0"/>
      <w:marBottom w:val="0"/>
      <w:divBdr>
        <w:top w:val="none" w:sz="0" w:space="0" w:color="auto"/>
        <w:left w:val="none" w:sz="0" w:space="0" w:color="auto"/>
        <w:bottom w:val="none" w:sz="0" w:space="0" w:color="auto"/>
        <w:right w:val="none" w:sz="0" w:space="0" w:color="auto"/>
      </w:divBdr>
    </w:div>
    <w:div w:id="165874122">
      <w:bodyDiv w:val="1"/>
      <w:marLeft w:val="0"/>
      <w:marRight w:val="0"/>
      <w:marTop w:val="0"/>
      <w:marBottom w:val="0"/>
      <w:divBdr>
        <w:top w:val="none" w:sz="0" w:space="0" w:color="auto"/>
        <w:left w:val="none" w:sz="0" w:space="0" w:color="auto"/>
        <w:bottom w:val="none" w:sz="0" w:space="0" w:color="auto"/>
        <w:right w:val="none" w:sz="0" w:space="0" w:color="auto"/>
      </w:divBdr>
    </w:div>
    <w:div w:id="166139181">
      <w:bodyDiv w:val="1"/>
      <w:marLeft w:val="0"/>
      <w:marRight w:val="0"/>
      <w:marTop w:val="0"/>
      <w:marBottom w:val="0"/>
      <w:divBdr>
        <w:top w:val="none" w:sz="0" w:space="0" w:color="auto"/>
        <w:left w:val="none" w:sz="0" w:space="0" w:color="auto"/>
        <w:bottom w:val="none" w:sz="0" w:space="0" w:color="auto"/>
        <w:right w:val="none" w:sz="0" w:space="0" w:color="auto"/>
      </w:divBdr>
    </w:div>
    <w:div w:id="166210259">
      <w:bodyDiv w:val="1"/>
      <w:marLeft w:val="0"/>
      <w:marRight w:val="0"/>
      <w:marTop w:val="0"/>
      <w:marBottom w:val="0"/>
      <w:divBdr>
        <w:top w:val="none" w:sz="0" w:space="0" w:color="auto"/>
        <w:left w:val="none" w:sz="0" w:space="0" w:color="auto"/>
        <w:bottom w:val="none" w:sz="0" w:space="0" w:color="auto"/>
        <w:right w:val="none" w:sz="0" w:space="0" w:color="auto"/>
      </w:divBdr>
    </w:div>
    <w:div w:id="167526610">
      <w:bodyDiv w:val="1"/>
      <w:marLeft w:val="0"/>
      <w:marRight w:val="0"/>
      <w:marTop w:val="0"/>
      <w:marBottom w:val="0"/>
      <w:divBdr>
        <w:top w:val="none" w:sz="0" w:space="0" w:color="auto"/>
        <w:left w:val="none" w:sz="0" w:space="0" w:color="auto"/>
        <w:bottom w:val="none" w:sz="0" w:space="0" w:color="auto"/>
        <w:right w:val="none" w:sz="0" w:space="0" w:color="auto"/>
      </w:divBdr>
    </w:div>
    <w:div w:id="167646300">
      <w:bodyDiv w:val="1"/>
      <w:marLeft w:val="0"/>
      <w:marRight w:val="0"/>
      <w:marTop w:val="0"/>
      <w:marBottom w:val="0"/>
      <w:divBdr>
        <w:top w:val="none" w:sz="0" w:space="0" w:color="auto"/>
        <w:left w:val="none" w:sz="0" w:space="0" w:color="auto"/>
        <w:bottom w:val="none" w:sz="0" w:space="0" w:color="auto"/>
        <w:right w:val="none" w:sz="0" w:space="0" w:color="auto"/>
      </w:divBdr>
    </w:div>
    <w:div w:id="167796811">
      <w:bodyDiv w:val="1"/>
      <w:marLeft w:val="0"/>
      <w:marRight w:val="0"/>
      <w:marTop w:val="0"/>
      <w:marBottom w:val="0"/>
      <w:divBdr>
        <w:top w:val="none" w:sz="0" w:space="0" w:color="auto"/>
        <w:left w:val="none" w:sz="0" w:space="0" w:color="auto"/>
        <w:bottom w:val="none" w:sz="0" w:space="0" w:color="auto"/>
        <w:right w:val="none" w:sz="0" w:space="0" w:color="auto"/>
      </w:divBdr>
    </w:div>
    <w:div w:id="168259650">
      <w:bodyDiv w:val="1"/>
      <w:marLeft w:val="0"/>
      <w:marRight w:val="0"/>
      <w:marTop w:val="0"/>
      <w:marBottom w:val="0"/>
      <w:divBdr>
        <w:top w:val="none" w:sz="0" w:space="0" w:color="auto"/>
        <w:left w:val="none" w:sz="0" w:space="0" w:color="auto"/>
        <w:bottom w:val="none" w:sz="0" w:space="0" w:color="auto"/>
        <w:right w:val="none" w:sz="0" w:space="0" w:color="auto"/>
      </w:divBdr>
    </w:div>
    <w:div w:id="168639893">
      <w:bodyDiv w:val="1"/>
      <w:marLeft w:val="0"/>
      <w:marRight w:val="0"/>
      <w:marTop w:val="0"/>
      <w:marBottom w:val="0"/>
      <w:divBdr>
        <w:top w:val="none" w:sz="0" w:space="0" w:color="auto"/>
        <w:left w:val="none" w:sz="0" w:space="0" w:color="auto"/>
        <w:bottom w:val="none" w:sz="0" w:space="0" w:color="auto"/>
        <w:right w:val="none" w:sz="0" w:space="0" w:color="auto"/>
      </w:divBdr>
    </w:div>
    <w:div w:id="169101900">
      <w:bodyDiv w:val="1"/>
      <w:marLeft w:val="0"/>
      <w:marRight w:val="0"/>
      <w:marTop w:val="0"/>
      <w:marBottom w:val="0"/>
      <w:divBdr>
        <w:top w:val="none" w:sz="0" w:space="0" w:color="auto"/>
        <w:left w:val="none" w:sz="0" w:space="0" w:color="auto"/>
        <w:bottom w:val="none" w:sz="0" w:space="0" w:color="auto"/>
        <w:right w:val="none" w:sz="0" w:space="0" w:color="auto"/>
      </w:divBdr>
    </w:div>
    <w:div w:id="170721633">
      <w:bodyDiv w:val="1"/>
      <w:marLeft w:val="0"/>
      <w:marRight w:val="0"/>
      <w:marTop w:val="0"/>
      <w:marBottom w:val="0"/>
      <w:divBdr>
        <w:top w:val="none" w:sz="0" w:space="0" w:color="auto"/>
        <w:left w:val="none" w:sz="0" w:space="0" w:color="auto"/>
        <w:bottom w:val="none" w:sz="0" w:space="0" w:color="auto"/>
        <w:right w:val="none" w:sz="0" w:space="0" w:color="auto"/>
      </w:divBdr>
    </w:div>
    <w:div w:id="174272768">
      <w:bodyDiv w:val="1"/>
      <w:marLeft w:val="0"/>
      <w:marRight w:val="0"/>
      <w:marTop w:val="0"/>
      <w:marBottom w:val="0"/>
      <w:divBdr>
        <w:top w:val="none" w:sz="0" w:space="0" w:color="auto"/>
        <w:left w:val="none" w:sz="0" w:space="0" w:color="auto"/>
        <w:bottom w:val="none" w:sz="0" w:space="0" w:color="auto"/>
        <w:right w:val="none" w:sz="0" w:space="0" w:color="auto"/>
      </w:divBdr>
    </w:div>
    <w:div w:id="175731297">
      <w:bodyDiv w:val="1"/>
      <w:marLeft w:val="0"/>
      <w:marRight w:val="0"/>
      <w:marTop w:val="0"/>
      <w:marBottom w:val="0"/>
      <w:divBdr>
        <w:top w:val="none" w:sz="0" w:space="0" w:color="auto"/>
        <w:left w:val="none" w:sz="0" w:space="0" w:color="auto"/>
        <w:bottom w:val="none" w:sz="0" w:space="0" w:color="auto"/>
        <w:right w:val="none" w:sz="0" w:space="0" w:color="auto"/>
      </w:divBdr>
    </w:div>
    <w:div w:id="176316069">
      <w:bodyDiv w:val="1"/>
      <w:marLeft w:val="0"/>
      <w:marRight w:val="0"/>
      <w:marTop w:val="0"/>
      <w:marBottom w:val="0"/>
      <w:divBdr>
        <w:top w:val="none" w:sz="0" w:space="0" w:color="auto"/>
        <w:left w:val="none" w:sz="0" w:space="0" w:color="auto"/>
        <w:bottom w:val="none" w:sz="0" w:space="0" w:color="auto"/>
        <w:right w:val="none" w:sz="0" w:space="0" w:color="auto"/>
      </w:divBdr>
    </w:div>
    <w:div w:id="178546634">
      <w:bodyDiv w:val="1"/>
      <w:marLeft w:val="0"/>
      <w:marRight w:val="0"/>
      <w:marTop w:val="0"/>
      <w:marBottom w:val="0"/>
      <w:divBdr>
        <w:top w:val="none" w:sz="0" w:space="0" w:color="auto"/>
        <w:left w:val="none" w:sz="0" w:space="0" w:color="auto"/>
        <w:bottom w:val="none" w:sz="0" w:space="0" w:color="auto"/>
        <w:right w:val="none" w:sz="0" w:space="0" w:color="auto"/>
      </w:divBdr>
    </w:div>
    <w:div w:id="180165519">
      <w:bodyDiv w:val="1"/>
      <w:marLeft w:val="0"/>
      <w:marRight w:val="0"/>
      <w:marTop w:val="0"/>
      <w:marBottom w:val="0"/>
      <w:divBdr>
        <w:top w:val="none" w:sz="0" w:space="0" w:color="auto"/>
        <w:left w:val="none" w:sz="0" w:space="0" w:color="auto"/>
        <w:bottom w:val="none" w:sz="0" w:space="0" w:color="auto"/>
        <w:right w:val="none" w:sz="0" w:space="0" w:color="auto"/>
      </w:divBdr>
    </w:div>
    <w:div w:id="180319724">
      <w:bodyDiv w:val="1"/>
      <w:marLeft w:val="0"/>
      <w:marRight w:val="0"/>
      <w:marTop w:val="0"/>
      <w:marBottom w:val="0"/>
      <w:divBdr>
        <w:top w:val="none" w:sz="0" w:space="0" w:color="auto"/>
        <w:left w:val="none" w:sz="0" w:space="0" w:color="auto"/>
        <w:bottom w:val="none" w:sz="0" w:space="0" w:color="auto"/>
        <w:right w:val="none" w:sz="0" w:space="0" w:color="auto"/>
      </w:divBdr>
    </w:div>
    <w:div w:id="181601560">
      <w:bodyDiv w:val="1"/>
      <w:marLeft w:val="0"/>
      <w:marRight w:val="0"/>
      <w:marTop w:val="0"/>
      <w:marBottom w:val="0"/>
      <w:divBdr>
        <w:top w:val="none" w:sz="0" w:space="0" w:color="auto"/>
        <w:left w:val="none" w:sz="0" w:space="0" w:color="auto"/>
        <w:bottom w:val="none" w:sz="0" w:space="0" w:color="auto"/>
        <w:right w:val="none" w:sz="0" w:space="0" w:color="auto"/>
      </w:divBdr>
    </w:div>
    <w:div w:id="181942465">
      <w:bodyDiv w:val="1"/>
      <w:marLeft w:val="0"/>
      <w:marRight w:val="0"/>
      <w:marTop w:val="0"/>
      <w:marBottom w:val="0"/>
      <w:divBdr>
        <w:top w:val="none" w:sz="0" w:space="0" w:color="auto"/>
        <w:left w:val="none" w:sz="0" w:space="0" w:color="auto"/>
        <w:bottom w:val="none" w:sz="0" w:space="0" w:color="auto"/>
        <w:right w:val="none" w:sz="0" w:space="0" w:color="auto"/>
      </w:divBdr>
    </w:div>
    <w:div w:id="183446778">
      <w:bodyDiv w:val="1"/>
      <w:marLeft w:val="0"/>
      <w:marRight w:val="0"/>
      <w:marTop w:val="0"/>
      <w:marBottom w:val="0"/>
      <w:divBdr>
        <w:top w:val="none" w:sz="0" w:space="0" w:color="auto"/>
        <w:left w:val="none" w:sz="0" w:space="0" w:color="auto"/>
        <w:bottom w:val="none" w:sz="0" w:space="0" w:color="auto"/>
        <w:right w:val="none" w:sz="0" w:space="0" w:color="auto"/>
      </w:divBdr>
    </w:div>
    <w:div w:id="183521802">
      <w:bodyDiv w:val="1"/>
      <w:marLeft w:val="0"/>
      <w:marRight w:val="0"/>
      <w:marTop w:val="0"/>
      <w:marBottom w:val="0"/>
      <w:divBdr>
        <w:top w:val="none" w:sz="0" w:space="0" w:color="auto"/>
        <w:left w:val="none" w:sz="0" w:space="0" w:color="auto"/>
        <w:bottom w:val="none" w:sz="0" w:space="0" w:color="auto"/>
        <w:right w:val="none" w:sz="0" w:space="0" w:color="auto"/>
      </w:divBdr>
    </w:div>
    <w:div w:id="183981006">
      <w:bodyDiv w:val="1"/>
      <w:marLeft w:val="0"/>
      <w:marRight w:val="0"/>
      <w:marTop w:val="0"/>
      <w:marBottom w:val="0"/>
      <w:divBdr>
        <w:top w:val="none" w:sz="0" w:space="0" w:color="auto"/>
        <w:left w:val="none" w:sz="0" w:space="0" w:color="auto"/>
        <w:bottom w:val="none" w:sz="0" w:space="0" w:color="auto"/>
        <w:right w:val="none" w:sz="0" w:space="0" w:color="auto"/>
      </w:divBdr>
    </w:div>
    <w:div w:id="184834565">
      <w:bodyDiv w:val="1"/>
      <w:marLeft w:val="0"/>
      <w:marRight w:val="0"/>
      <w:marTop w:val="0"/>
      <w:marBottom w:val="0"/>
      <w:divBdr>
        <w:top w:val="none" w:sz="0" w:space="0" w:color="auto"/>
        <w:left w:val="none" w:sz="0" w:space="0" w:color="auto"/>
        <w:bottom w:val="none" w:sz="0" w:space="0" w:color="auto"/>
        <w:right w:val="none" w:sz="0" w:space="0" w:color="auto"/>
      </w:divBdr>
    </w:div>
    <w:div w:id="184903347">
      <w:bodyDiv w:val="1"/>
      <w:marLeft w:val="0"/>
      <w:marRight w:val="0"/>
      <w:marTop w:val="0"/>
      <w:marBottom w:val="0"/>
      <w:divBdr>
        <w:top w:val="none" w:sz="0" w:space="0" w:color="auto"/>
        <w:left w:val="none" w:sz="0" w:space="0" w:color="auto"/>
        <w:bottom w:val="none" w:sz="0" w:space="0" w:color="auto"/>
        <w:right w:val="none" w:sz="0" w:space="0" w:color="auto"/>
      </w:divBdr>
    </w:div>
    <w:div w:id="186719086">
      <w:bodyDiv w:val="1"/>
      <w:marLeft w:val="0"/>
      <w:marRight w:val="0"/>
      <w:marTop w:val="0"/>
      <w:marBottom w:val="0"/>
      <w:divBdr>
        <w:top w:val="none" w:sz="0" w:space="0" w:color="auto"/>
        <w:left w:val="none" w:sz="0" w:space="0" w:color="auto"/>
        <w:bottom w:val="none" w:sz="0" w:space="0" w:color="auto"/>
        <w:right w:val="none" w:sz="0" w:space="0" w:color="auto"/>
      </w:divBdr>
    </w:div>
    <w:div w:id="187641288">
      <w:bodyDiv w:val="1"/>
      <w:marLeft w:val="0"/>
      <w:marRight w:val="0"/>
      <w:marTop w:val="0"/>
      <w:marBottom w:val="0"/>
      <w:divBdr>
        <w:top w:val="none" w:sz="0" w:space="0" w:color="auto"/>
        <w:left w:val="none" w:sz="0" w:space="0" w:color="auto"/>
        <w:bottom w:val="none" w:sz="0" w:space="0" w:color="auto"/>
        <w:right w:val="none" w:sz="0" w:space="0" w:color="auto"/>
      </w:divBdr>
    </w:div>
    <w:div w:id="188225859">
      <w:bodyDiv w:val="1"/>
      <w:marLeft w:val="0"/>
      <w:marRight w:val="0"/>
      <w:marTop w:val="0"/>
      <w:marBottom w:val="0"/>
      <w:divBdr>
        <w:top w:val="none" w:sz="0" w:space="0" w:color="auto"/>
        <w:left w:val="none" w:sz="0" w:space="0" w:color="auto"/>
        <w:bottom w:val="none" w:sz="0" w:space="0" w:color="auto"/>
        <w:right w:val="none" w:sz="0" w:space="0" w:color="auto"/>
      </w:divBdr>
    </w:div>
    <w:div w:id="194084392">
      <w:bodyDiv w:val="1"/>
      <w:marLeft w:val="0"/>
      <w:marRight w:val="0"/>
      <w:marTop w:val="0"/>
      <w:marBottom w:val="0"/>
      <w:divBdr>
        <w:top w:val="none" w:sz="0" w:space="0" w:color="auto"/>
        <w:left w:val="none" w:sz="0" w:space="0" w:color="auto"/>
        <w:bottom w:val="none" w:sz="0" w:space="0" w:color="auto"/>
        <w:right w:val="none" w:sz="0" w:space="0" w:color="auto"/>
      </w:divBdr>
    </w:div>
    <w:div w:id="195656411">
      <w:bodyDiv w:val="1"/>
      <w:marLeft w:val="0"/>
      <w:marRight w:val="0"/>
      <w:marTop w:val="0"/>
      <w:marBottom w:val="0"/>
      <w:divBdr>
        <w:top w:val="none" w:sz="0" w:space="0" w:color="auto"/>
        <w:left w:val="none" w:sz="0" w:space="0" w:color="auto"/>
        <w:bottom w:val="none" w:sz="0" w:space="0" w:color="auto"/>
        <w:right w:val="none" w:sz="0" w:space="0" w:color="auto"/>
      </w:divBdr>
    </w:div>
    <w:div w:id="197399302">
      <w:bodyDiv w:val="1"/>
      <w:marLeft w:val="0"/>
      <w:marRight w:val="0"/>
      <w:marTop w:val="0"/>
      <w:marBottom w:val="0"/>
      <w:divBdr>
        <w:top w:val="none" w:sz="0" w:space="0" w:color="auto"/>
        <w:left w:val="none" w:sz="0" w:space="0" w:color="auto"/>
        <w:bottom w:val="none" w:sz="0" w:space="0" w:color="auto"/>
        <w:right w:val="none" w:sz="0" w:space="0" w:color="auto"/>
      </w:divBdr>
    </w:div>
    <w:div w:id="198057585">
      <w:bodyDiv w:val="1"/>
      <w:marLeft w:val="0"/>
      <w:marRight w:val="0"/>
      <w:marTop w:val="0"/>
      <w:marBottom w:val="0"/>
      <w:divBdr>
        <w:top w:val="none" w:sz="0" w:space="0" w:color="auto"/>
        <w:left w:val="none" w:sz="0" w:space="0" w:color="auto"/>
        <w:bottom w:val="none" w:sz="0" w:space="0" w:color="auto"/>
        <w:right w:val="none" w:sz="0" w:space="0" w:color="auto"/>
      </w:divBdr>
    </w:div>
    <w:div w:id="198708504">
      <w:bodyDiv w:val="1"/>
      <w:marLeft w:val="0"/>
      <w:marRight w:val="0"/>
      <w:marTop w:val="0"/>
      <w:marBottom w:val="0"/>
      <w:divBdr>
        <w:top w:val="none" w:sz="0" w:space="0" w:color="auto"/>
        <w:left w:val="none" w:sz="0" w:space="0" w:color="auto"/>
        <w:bottom w:val="none" w:sz="0" w:space="0" w:color="auto"/>
        <w:right w:val="none" w:sz="0" w:space="0" w:color="auto"/>
      </w:divBdr>
    </w:div>
    <w:div w:id="199704675">
      <w:bodyDiv w:val="1"/>
      <w:marLeft w:val="0"/>
      <w:marRight w:val="0"/>
      <w:marTop w:val="0"/>
      <w:marBottom w:val="0"/>
      <w:divBdr>
        <w:top w:val="none" w:sz="0" w:space="0" w:color="auto"/>
        <w:left w:val="none" w:sz="0" w:space="0" w:color="auto"/>
        <w:bottom w:val="none" w:sz="0" w:space="0" w:color="auto"/>
        <w:right w:val="none" w:sz="0" w:space="0" w:color="auto"/>
      </w:divBdr>
    </w:div>
    <w:div w:id="199754185">
      <w:bodyDiv w:val="1"/>
      <w:marLeft w:val="0"/>
      <w:marRight w:val="0"/>
      <w:marTop w:val="0"/>
      <w:marBottom w:val="0"/>
      <w:divBdr>
        <w:top w:val="none" w:sz="0" w:space="0" w:color="auto"/>
        <w:left w:val="none" w:sz="0" w:space="0" w:color="auto"/>
        <w:bottom w:val="none" w:sz="0" w:space="0" w:color="auto"/>
        <w:right w:val="none" w:sz="0" w:space="0" w:color="auto"/>
      </w:divBdr>
    </w:div>
    <w:div w:id="201484749">
      <w:bodyDiv w:val="1"/>
      <w:marLeft w:val="0"/>
      <w:marRight w:val="0"/>
      <w:marTop w:val="0"/>
      <w:marBottom w:val="0"/>
      <w:divBdr>
        <w:top w:val="none" w:sz="0" w:space="0" w:color="auto"/>
        <w:left w:val="none" w:sz="0" w:space="0" w:color="auto"/>
        <w:bottom w:val="none" w:sz="0" w:space="0" w:color="auto"/>
        <w:right w:val="none" w:sz="0" w:space="0" w:color="auto"/>
      </w:divBdr>
    </w:div>
    <w:div w:id="203056992">
      <w:bodyDiv w:val="1"/>
      <w:marLeft w:val="0"/>
      <w:marRight w:val="0"/>
      <w:marTop w:val="0"/>
      <w:marBottom w:val="0"/>
      <w:divBdr>
        <w:top w:val="none" w:sz="0" w:space="0" w:color="auto"/>
        <w:left w:val="none" w:sz="0" w:space="0" w:color="auto"/>
        <w:bottom w:val="none" w:sz="0" w:space="0" w:color="auto"/>
        <w:right w:val="none" w:sz="0" w:space="0" w:color="auto"/>
      </w:divBdr>
    </w:div>
    <w:div w:id="204105963">
      <w:bodyDiv w:val="1"/>
      <w:marLeft w:val="0"/>
      <w:marRight w:val="0"/>
      <w:marTop w:val="0"/>
      <w:marBottom w:val="0"/>
      <w:divBdr>
        <w:top w:val="none" w:sz="0" w:space="0" w:color="auto"/>
        <w:left w:val="none" w:sz="0" w:space="0" w:color="auto"/>
        <w:bottom w:val="none" w:sz="0" w:space="0" w:color="auto"/>
        <w:right w:val="none" w:sz="0" w:space="0" w:color="auto"/>
      </w:divBdr>
    </w:div>
    <w:div w:id="204174923">
      <w:bodyDiv w:val="1"/>
      <w:marLeft w:val="0"/>
      <w:marRight w:val="0"/>
      <w:marTop w:val="0"/>
      <w:marBottom w:val="0"/>
      <w:divBdr>
        <w:top w:val="none" w:sz="0" w:space="0" w:color="auto"/>
        <w:left w:val="none" w:sz="0" w:space="0" w:color="auto"/>
        <w:bottom w:val="none" w:sz="0" w:space="0" w:color="auto"/>
        <w:right w:val="none" w:sz="0" w:space="0" w:color="auto"/>
      </w:divBdr>
    </w:div>
    <w:div w:id="204219405">
      <w:bodyDiv w:val="1"/>
      <w:marLeft w:val="0"/>
      <w:marRight w:val="0"/>
      <w:marTop w:val="0"/>
      <w:marBottom w:val="0"/>
      <w:divBdr>
        <w:top w:val="none" w:sz="0" w:space="0" w:color="auto"/>
        <w:left w:val="none" w:sz="0" w:space="0" w:color="auto"/>
        <w:bottom w:val="none" w:sz="0" w:space="0" w:color="auto"/>
        <w:right w:val="none" w:sz="0" w:space="0" w:color="auto"/>
      </w:divBdr>
    </w:div>
    <w:div w:id="204372724">
      <w:bodyDiv w:val="1"/>
      <w:marLeft w:val="0"/>
      <w:marRight w:val="0"/>
      <w:marTop w:val="0"/>
      <w:marBottom w:val="0"/>
      <w:divBdr>
        <w:top w:val="none" w:sz="0" w:space="0" w:color="auto"/>
        <w:left w:val="none" w:sz="0" w:space="0" w:color="auto"/>
        <w:bottom w:val="none" w:sz="0" w:space="0" w:color="auto"/>
        <w:right w:val="none" w:sz="0" w:space="0" w:color="auto"/>
      </w:divBdr>
    </w:div>
    <w:div w:id="207037556">
      <w:bodyDiv w:val="1"/>
      <w:marLeft w:val="0"/>
      <w:marRight w:val="0"/>
      <w:marTop w:val="0"/>
      <w:marBottom w:val="0"/>
      <w:divBdr>
        <w:top w:val="none" w:sz="0" w:space="0" w:color="auto"/>
        <w:left w:val="none" w:sz="0" w:space="0" w:color="auto"/>
        <w:bottom w:val="none" w:sz="0" w:space="0" w:color="auto"/>
        <w:right w:val="none" w:sz="0" w:space="0" w:color="auto"/>
      </w:divBdr>
    </w:div>
    <w:div w:id="209070732">
      <w:bodyDiv w:val="1"/>
      <w:marLeft w:val="0"/>
      <w:marRight w:val="0"/>
      <w:marTop w:val="0"/>
      <w:marBottom w:val="0"/>
      <w:divBdr>
        <w:top w:val="none" w:sz="0" w:space="0" w:color="auto"/>
        <w:left w:val="none" w:sz="0" w:space="0" w:color="auto"/>
        <w:bottom w:val="none" w:sz="0" w:space="0" w:color="auto"/>
        <w:right w:val="none" w:sz="0" w:space="0" w:color="auto"/>
      </w:divBdr>
    </w:div>
    <w:div w:id="212741909">
      <w:bodyDiv w:val="1"/>
      <w:marLeft w:val="0"/>
      <w:marRight w:val="0"/>
      <w:marTop w:val="0"/>
      <w:marBottom w:val="0"/>
      <w:divBdr>
        <w:top w:val="none" w:sz="0" w:space="0" w:color="auto"/>
        <w:left w:val="none" w:sz="0" w:space="0" w:color="auto"/>
        <w:bottom w:val="none" w:sz="0" w:space="0" w:color="auto"/>
        <w:right w:val="none" w:sz="0" w:space="0" w:color="auto"/>
      </w:divBdr>
    </w:div>
    <w:div w:id="215627319">
      <w:bodyDiv w:val="1"/>
      <w:marLeft w:val="0"/>
      <w:marRight w:val="0"/>
      <w:marTop w:val="0"/>
      <w:marBottom w:val="0"/>
      <w:divBdr>
        <w:top w:val="none" w:sz="0" w:space="0" w:color="auto"/>
        <w:left w:val="none" w:sz="0" w:space="0" w:color="auto"/>
        <w:bottom w:val="none" w:sz="0" w:space="0" w:color="auto"/>
        <w:right w:val="none" w:sz="0" w:space="0" w:color="auto"/>
      </w:divBdr>
    </w:div>
    <w:div w:id="216162955">
      <w:bodyDiv w:val="1"/>
      <w:marLeft w:val="0"/>
      <w:marRight w:val="0"/>
      <w:marTop w:val="0"/>
      <w:marBottom w:val="0"/>
      <w:divBdr>
        <w:top w:val="none" w:sz="0" w:space="0" w:color="auto"/>
        <w:left w:val="none" w:sz="0" w:space="0" w:color="auto"/>
        <w:bottom w:val="none" w:sz="0" w:space="0" w:color="auto"/>
        <w:right w:val="none" w:sz="0" w:space="0" w:color="auto"/>
      </w:divBdr>
    </w:div>
    <w:div w:id="217323672">
      <w:bodyDiv w:val="1"/>
      <w:marLeft w:val="0"/>
      <w:marRight w:val="0"/>
      <w:marTop w:val="0"/>
      <w:marBottom w:val="0"/>
      <w:divBdr>
        <w:top w:val="none" w:sz="0" w:space="0" w:color="auto"/>
        <w:left w:val="none" w:sz="0" w:space="0" w:color="auto"/>
        <w:bottom w:val="none" w:sz="0" w:space="0" w:color="auto"/>
        <w:right w:val="none" w:sz="0" w:space="0" w:color="auto"/>
      </w:divBdr>
    </w:div>
    <w:div w:id="217474123">
      <w:bodyDiv w:val="1"/>
      <w:marLeft w:val="0"/>
      <w:marRight w:val="0"/>
      <w:marTop w:val="0"/>
      <w:marBottom w:val="0"/>
      <w:divBdr>
        <w:top w:val="none" w:sz="0" w:space="0" w:color="auto"/>
        <w:left w:val="none" w:sz="0" w:space="0" w:color="auto"/>
        <w:bottom w:val="none" w:sz="0" w:space="0" w:color="auto"/>
        <w:right w:val="none" w:sz="0" w:space="0" w:color="auto"/>
      </w:divBdr>
    </w:div>
    <w:div w:id="218591396">
      <w:bodyDiv w:val="1"/>
      <w:marLeft w:val="0"/>
      <w:marRight w:val="0"/>
      <w:marTop w:val="0"/>
      <w:marBottom w:val="0"/>
      <w:divBdr>
        <w:top w:val="none" w:sz="0" w:space="0" w:color="auto"/>
        <w:left w:val="none" w:sz="0" w:space="0" w:color="auto"/>
        <w:bottom w:val="none" w:sz="0" w:space="0" w:color="auto"/>
        <w:right w:val="none" w:sz="0" w:space="0" w:color="auto"/>
      </w:divBdr>
    </w:div>
    <w:div w:id="220404683">
      <w:bodyDiv w:val="1"/>
      <w:marLeft w:val="0"/>
      <w:marRight w:val="0"/>
      <w:marTop w:val="0"/>
      <w:marBottom w:val="0"/>
      <w:divBdr>
        <w:top w:val="none" w:sz="0" w:space="0" w:color="auto"/>
        <w:left w:val="none" w:sz="0" w:space="0" w:color="auto"/>
        <w:bottom w:val="none" w:sz="0" w:space="0" w:color="auto"/>
        <w:right w:val="none" w:sz="0" w:space="0" w:color="auto"/>
      </w:divBdr>
    </w:div>
    <w:div w:id="221645556">
      <w:bodyDiv w:val="1"/>
      <w:marLeft w:val="0"/>
      <w:marRight w:val="0"/>
      <w:marTop w:val="0"/>
      <w:marBottom w:val="0"/>
      <w:divBdr>
        <w:top w:val="none" w:sz="0" w:space="0" w:color="auto"/>
        <w:left w:val="none" w:sz="0" w:space="0" w:color="auto"/>
        <w:bottom w:val="none" w:sz="0" w:space="0" w:color="auto"/>
        <w:right w:val="none" w:sz="0" w:space="0" w:color="auto"/>
      </w:divBdr>
    </w:div>
    <w:div w:id="221721672">
      <w:bodyDiv w:val="1"/>
      <w:marLeft w:val="0"/>
      <w:marRight w:val="0"/>
      <w:marTop w:val="0"/>
      <w:marBottom w:val="0"/>
      <w:divBdr>
        <w:top w:val="none" w:sz="0" w:space="0" w:color="auto"/>
        <w:left w:val="none" w:sz="0" w:space="0" w:color="auto"/>
        <w:bottom w:val="none" w:sz="0" w:space="0" w:color="auto"/>
        <w:right w:val="none" w:sz="0" w:space="0" w:color="auto"/>
      </w:divBdr>
    </w:div>
    <w:div w:id="222452537">
      <w:bodyDiv w:val="1"/>
      <w:marLeft w:val="0"/>
      <w:marRight w:val="0"/>
      <w:marTop w:val="0"/>
      <w:marBottom w:val="0"/>
      <w:divBdr>
        <w:top w:val="none" w:sz="0" w:space="0" w:color="auto"/>
        <w:left w:val="none" w:sz="0" w:space="0" w:color="auto"/>
        <w:bottom w:val="none" w:sz="0" w:space="0" w:color="auto"/>
        <w:right w:val="none" w:sz="0" w:space="0" w:color="auto"/>
      </w:divBdr>
    </w:div>
    <w:div w:id="222569191">
      <w:bodyDiv w:val="1"/>
      <w:marLeft w:val="0"/>
      <w:marRight w:val="0"/>
      <w:marTop w:val="0"/>
      <w:marBottom w:val="0"/>
      <w:divBdr>
        <w:top w:val="none" w:sz="0" w:space="0" w:color="auto"/>
        <w:left w:val="none" w:sz="0" w:space="0" w:color="auto"/>
        <w:bottom w:val="none" w:sz="0" w:space="0" w:color="auto"/>
        <w:right w:val="none" w:sz="0" w:space="0" w:color="auto"/>
      </w:divBdr>
    </w:div>
    <w:div w:id="223032000">
      <w:bodyDiv w:val="1"/>
      <w:marLeft w:val="0"/>
      <w:marRight w:val="0"/>
      <w:marTop w:val="0"/>
      <w:marBottom w:val="0"/>
      <w:divBdr>
        <w:top w:val="none" w:sz="0" w:space="0" w:color="auto"/>
        <w:left w:val="none" w:sz="0" w:space="0" w:color="auto"/>
        <w:bottom w:val="none" w:sz="0" w:space="0" w:color="auto"/>
        <w:right w:val="none" w:sz="0" w:space="0" w:color="auto"/>
      </w:divBdr>
    </w:div>
    <w:div w:id="225535842">
      <w:bodyDiv w:val="1"/>
      <w:marLeft w:val="0"/>
      <w:marRight w:val="0"/>
      <w:marTop w:val="0"/>
      <w:marBottom w:val="0"/>
      <w:divBdr>
        <w:top w:val="none" w:sz="0" w:space="0" w:color="auto"/>
        <w:left w:val="none" w:sz="0" w:space="0" w:color="auto"/>
        <w:bottom w:val="none" w:sz="0" w:space="0" w:color="auto"/>
        <w:right w:val="none" w:sz="0" w:space="0" w:color="auto"/>
      </w:divBdr>
    </w:div>
    <w:div w:id="225921930">
      <w:bodyDiv w:val="1"/>
      <w:marLeft w:val="0"/>
      <w:marRight w:val="0"/>
      <w:marTop w:val="0"/>
      <w:marBottom w:val="0"/>
      <w:divBdr>
        <w:top w:val="none" w:sz="0" w:space="0" w:color="auto"/>
        <w:left w:val="none" w:sz="0" w:space="0" w:color="auto"/>
        <w:bottom w:val="none" w:sz="0" w:space="0" w:color="auto"/>
        <w:right w:val="none" w:sz="0" w:space="0" w:color="auto"/>
      </w:divBdr>
    </w:div>
    <w:div w:id="226915577">
      <w:bodyDiv w:val="1"/>
      <w:marLeft w:val="0"/>
      <w:marRight w:val="0"/>
      <w:marTop w:val="0"/>
      <w:marBottom w:val="0"/>
      <w:divBdr>
        <w:top w:val="none" w:sz="0" w:space="0" w:color="auto"/>
        <w:left w:val="none" w:sz="0" w:space="0" w:color="auto"/>
        <w:bottom w:val="none" w:sz="0" w:space="0" w:color="auto"/>
        <w:right w:val="none" w:sz="0" w:space="0" w:color="auto"/>
      </w:divBdr>
    </w:div>
    <w:div w:id="226917516">
      <w:bodyDiv w:val="1"/>
      <w:marLeft w:val="0"/>
      <w:marRight w:val="0"/>
      <w:marTop w:val="0"/>
      <w:marBottom w:val="0"/>
      <w:divBdr>
        <w:top w:val="none" w:sz="0" w:space="0" w:color="auto"/>
        <w:left w:val="none" w:sz="0" w:space="0" w:color="auto"/>
        <w:bottom w:val="none" w:sz="0" w:space="0" w:color="auto"/>
        <w:right w:val="none" w:sz="0" w:space="0" w:color="auto"/>
      </w:divBdr>
    </w:div>
    <w:div w:id="229972788">
      <w:bodyDiv w:val="1"/>
      <w:marLeft w:val="0"/>
      <w:marRight w:val="0"/>
      <w:marTop w:val="0"/>
      <w:marBottom w:val="0"/>
      <w:divBdr>
        <w:top w:val="none" w:sz="0" w:space="0" w:color="auto"/>
        <w:left w:val="none" w:sz="0" w:space="0" w:color="auto"/>
        <w:bottom w:val="none" w:sz="0" w:space="0" w:color="auto"/>
        <w:right w:val="none" w:sz="0" w:space="0" w:color="auto"/>
      </w:divBdr>
    </w:div>
    <w:div w:id="231233785">
      <w:bodyDiv w:val="1"/>
      <w:marLeft w:val="0"/>
      <w:marRight w:val="0"/>
      <w:marTop w:val="0"/>
      <w:marBottom w:val="0"/>
      <w:divBdr>
        <w:top w:val="none" w:sz="0" w:space="0" w:color="auto"/>
        <w:left w:val="none" w:sz="0" w:space="0" w:color="auto"/>
        <w:bottom w:val="none" w:sz="0" w:space="0" w:color="auto"/>
        <w:right w:val="none" w:sz="0" w:space="0" w:color="auto"/>
      </w:divBdr>
    </w:div>
    <w:div w:id="232396518">
      <w:bodyDiv w:val="1"/>
      <w:marLeft w:val="0"/>
      <w:marRight w:val="0"/>
      <w:marTop w:val="0"/>
      <w:marBottom w:val="0"/>
      <w:divBdr>
        <w:top w:val="none" w:sz="0" w:space="0" w:color="auto"/>
        <w:left w:val="none" w:sz="0" w:space="0" w:color="auto"/>
        <w:bottom w:val="none" w:sz="0" w:space="0" w:color="auto"/>
        <w:right w:val="none" w:sz="0" w:space="0" w:color="auto"/>
      </w:divBdr>
    </w:div>
    <w:div w:id="233903637">
      <w:bodyDiv w:val="1"/>
      <w:marLeft w:val="0"/>
      <w:marRight w:val="0"/>
      <w:marTop w:val="0"/>
      <w:marBottom w:val="0"/>
      <w:divBdr>
        <w:top w:val="none" w:sz="0" w:space="0" w:color="auto"/>
        <w:left w:val="none" w:sz="0" w:space="0" w:color="auto"/>
        <w:bottom w:val="none" w:sz="0" w:space="0" w:color="auto"/>
        <w:right w:val="none" w:sz="0" w:space="0" w:color="auto"/>
      </w:divBdr>
    </w:div>
    <w:div w:id="235211172">
      <w:bodyDiv w:val="1"/>
      <w:marLeft w:val="0"/>
      <w:marRight w:val="0"/>
      <w:marTop w:val="0"/>
      <w:marBottom w:val="0"/>
      <w:divBdr>
        <w:top w:val="none" w:sz="0" w:space="0" w:color="auto"/>
        <w:left w:val="none" w:sz="0" w:space="0" w:color="auto"/>
        <w:bottom w:val="none" w:sz="0" w:space="0" w:color="auto"/>
        <w:right w:val="none" w:sz="0" w:space="0" w:color="auto"/>
      </w:divBdr>
    </w:div>
    <w:div w:id="236980229">
      <w:bodyDiv w:val="1"/>
      <w:marLeft w:val="0"/>
      <w:marRight w:val="0"/>
      <w:marTop w:val="0"/>
      <w:marBottom w:val="0"/>
      <w:divBdr>
        <w:top w:val="none" w:sz="0" w:space="0" w:color="auto"/>
        <w:left w:val="none" w:sz="0" w:space="0" w:color="auto"/>
        <w:bottom w:val="none" w:sz="0" w:space="0" w:color="auto"/>
        <w:right w:val="none" w:sz="0" w:space="0" w:color="auto"/>
      </w:divBdr>
    </w:div>
    <w:div w:id="240674855">
      <w:bodyDiv w:val="1"/>
      <w:marLeft w:val="0"/>
      <w:marRight w:val="0"/>
      <w:marTop w:val="0"/>
      <w:marBottom w:val="0"/>
      <w:divBdr>
        <w:top w:val="none" w:sz="0" w:space="0" w:color="auto"/>
        <w:left w:val="none" w:sz="0" w:space="0" w:color="auto"/>
        <w:bottom w:val="none" w:sz="0" w:space="0" w:color="auto"/>
        <w:right w:val="none" w:sz="0" w:space="0" w:color="auto"/>
      </w:divBdr>
    </w:div>
    <w:div w:id="241373842">
      <w:bodyDiv w:val="1"/>
      <w:marLeft w:val="0"/>
      <w:marRight w:val="0"/>
      <w:marTop w:val="0"/>
      <w:marBottom w:val="0"/>
      <w:divBdr>
        <w:top w:val="none" w:sz="0" w:space="0" w:color="auto"/>
        <w:left w:val="none" w:sz="0" w:space="0" w:color="auto"/>
        <w:bottom w:val="none" w:sz="0" w:space="0" w:color="auto"/>
        <w:right w:val="none" w:sz="0" w:space="0" w:color="auto"/>
      </w:divBdr>
    </w:div>
    <w:div w:id="241716250">
      <w:bodyDiv w:val="1"/>
      <w:marLeft w:val="0"/>
      <w:marRight w:val="0"/>
      <w:marTop w:val="0"/>
      <w:marBottom w:val="0"/>
      <w:divBdr>
        <w:top w:val="none" w:sz="0" w:space="0" w:color="auto"/>
        <w:left w:val="none" w:sz="0" w:space="0" w:color="auto"/>
        <w:bottom w:val="none" w:sz="0" w:space="0" w:color="auto"/>
        <w:right w:val="none" w:sz="0" w:space="0" w:color="auto"/>
      </w:divBdr>
    </w:div>
    <w:div w:id="243729242">
      <w:bodyDiv w:val="1"/>
      <w:marLeft w:val="0"/>
      <w:marRight w:val="0"/>
      <w:marTop w:val="0"/>
      <w:marBottom w:val="0"/>
      <w:divBdr>
        <w:top w:val="none" w:sz="0" w:space="0" w:color="auto"/>
        <w:left w:val="none" w:sz="0" w:space="0" w:color="auto"/>
        <w:bottom w:val="none" w:sz="0" w:space="0" w:color="auto"/>
        <w:right w:val="none" w:sz="0" w:space="0" w:color="auto"/>
      </w:divBdr>
    </w:div>
    <w:div w:id="243800245">
      <w:bodyDiv w:val="1"/>
      <w:marLeft w:val="0"/>
      <w:marRight w:val="0"/>
      <w:marTop w:val="0"/>
      <w:marBottom w:val="0"/>
      <w:divBdr>
        <w:top w:val="none" w:sz="0" w:space="0" w:color="auto"/>
        <w:left w:val="none" w:sz="0" w:space="0" w:color="auto"/>
        <w:bottom w:val="none" w:sz="0" w:space="0" w:color="auto"/>
        <w:right w:val="none" w:sz="0" w:space="0" w:color="auto"/>
      </w:divBdr>
    </w:div>
    <w:div w:id="244071186">
      <w:bodyDiv w:val="1"/>
      <w:marLeft w:val="0"/>
      <w:marRight w:val="0"/>
      <w:marTop w:val="0"/>
      <w:marBottom w:val="0"/>
      <w:divBdr>
        <w:top w:val="none" w:sz="0" w:space="0" w:color="auto"/>
        <w:left w:val="none" w:sz="0" w:space="0" w:color="auto"/>
        <w:bottom w:val="none" w:sz="0" w:space="0" w:color="auto"/>
        <w:right w:val="none" w:sz="0" w:space="0" w:color="auto"/>
      </w:divBdr>
    </w:div>
    <w:div w:id="244072771">
      <w:bodyDiv w:val="1"/>
      <w:marLeft w:val="0"/>
      <w:marRight w:val="0"/>
      <w:marTop w:val="0"/>
      <w:marBottom w:val="0"/>
      <w:divBdr>
        <w:top w:val="none" w:sz="0" w:space="0" w:color="auto"/>
        <w:left w:val="none" w:sz="0" w:space="0" w:color="auto"/>
        <w:bottom w:val="none" w:sz="0" w:space="0" w:color="auto"/>
        <w:right w:val="none" w:sz="0" w:space="0" w:color="auto"/>
      </w:divBdr>
    </w:div>
    <w:div w:id="250553377">
      <w:bodyDiv w:val="1"/>
      <w:marLeft w:val="0"/>
      <w:marRight w:val="0"/>
      <w:marTop w:val="0"/>
      <w:marBottom w:val="0"/>
      <w:divBdr>
        <w:top w:val="none" w:sz="0" w:space="0" w:color="auto"/>
        <w:left w:val="none" w:sz="0" w:space="0" w:color="auto"/>
        <w:bottom w:val="none" w:sz="0" w:space="0" w:color="auto"/>
        <w:right w:val="none" w:sz="0" w:space="0" w:color="auto"/>
      </w:divBdr>
    </w:div>
    <w:div w:id="252785071">
      <w:bodyDiv w:val="1"/>
      <w:marLeft w:val="0"/>
      <w:marRight w:val="0"/>
      <w:marTop w:val="0"/>
      <w:marBottom w:val="0"/>
      <w:divBdr>
        <w:top w:val="none" w:sz="0" w:space="0" w:color="auto"/>
        <w:left w:val="none" w:sz="0" w:space="0" w:color="auto"/>
        <w:bottom w:val="none" w:sz="0" w:space="0" w:color="auto"/>
        <w:right w:val="none" w:sz="0" w:space="0" w:color="auto"/>
      </w:divBdr>
    </w:div>
    <w:div w:id="253631057">
      <w:bodyDiv w:val="1"/>
      <w:marLeft w:val="0"/>
      <w:marRight w:val="0"/>
      <w:marTop w:val="0"/>
      <w:marBottom w:val="0"/>
      <w:divBdr>
        <w:top w:val="none" w:sz="0" w:space="0" w:color="auto"/>
        <w:left w:val="none" w:sz="0" w:space="0" w:color="auto"/>
        <w:bottom w:val="none" w:sz="0" w:space="0" w:color="auto"/>
        <w:right w:val="none" w:sz="0" w:space="0" w:color="auto"/>
      </w:divBdr>
    </w:div>
    <w:div w:id="254561857">
      <w:bodyDiv w:val="1"/>
      <w:marLeft w:val="0"/>
      <w:marRight w:val="0"/>
      <w:marTop w:val="0"/>
      <w:marBottom w:val="0"/>
      <w:divBdr>
        <w:top w:val="none" w:sz="0" w:space="0" w:color="auto"/>
        <w:left w:val="none" w:sz="0" w:space="0" w:color="auto"/>
        <w:bottom w:val="none" w:sz="0" w:space="0" w:color="auto"/>
        <w:right w:val="none" w:sz="0" w:space="0" w:color="auto"/>
      </w:divBdr>
    </w:div>
    <w:div w:id="256014923">
      <w:bodyDiv w:val="1"/>
      <w:marLeft w:val="0"/>
      <w:marRight w:val="0"/>
      <w:marTop w:val="0"/>
      <w:marBottom w:val="0"/>
      <w:divBdr>
        <w:top w:val="none" w:sz="0" w:space="0" w:color="auto"/>
        <w:left w:val="none" w:sz="0" w:space="0" w:color="auto"/>
        <w:bottom w:val="none" w:sz="0" w:space="0" w:color="auto"/>
        <w:right w:val="none" w:sz="0" w:space="0" w:color="auto"/>
      </w:divBdr>
    </w:div>
    <w:div w:id="256256623">
      <w:bodyDiv w:val="1"/>
      <w:marLeft w:val="0"/>
      <w:marRight w:val="0"/>
      <w:marTop w:val="0"/>
      <w:marBottom w:val="0"/>
      <w:divBdr>
        <w:top w:val="none" w:sz="0" w:space="0" w:color="auto"/>
        <w:left w:val="none" w:sz="0" w:space="0" w:color="auto"/>
        <w:bottom w:val="none" w:sz="0" w:space="0" w:color="auto"/>
        <w:right w:val="none" w:sz="0" w:space="0" w:color="auto"/>
      </w:divBdr>
    </w:div>
    <w:div w:id="256524020">
      <w:bodyDiv w:val="1"/>
      <w:marLeft w:val="0"/>
      <w:marRight w:val="0"/>
      <w:marTop w:val="0"/>
      <w:marBottom w:val="0"/>
      <w:divBdr>
        <w:top w:val="none" w:sz="0" w:space="0" w:color="auto"/>
        <w:left w:val="none" w:sz="0" w:space="0" w:color="auto"/>
        <w:bottom w:val="none" w:sz="0" w:space="0" w:color="auto"/>
        <w:right w:val="none" w:sz="0" w:space="0" w:color="auto"/>
      </w:divBdr>
    </w:div>
    <w:div w:id="256911890">
      <w:bodyDiv w:val="1"/>
      <w:marLeft w:val="0"/>
      <w:marRight w:val="0"/>
      <w:marTop w:val="0"/>
      <w:marBottom w:val="0"/>
      <w:divBdr>
        <w:top w:val="none" w:sz="0" w:space="0" w:color="auto"/>
        <w:left w:val="none" w:sz="0" w:space="0" w:color="auto"/>
        <w:bottom w:val="none" w:sz="0" w:space="0" w:color="auto"/>
        <w:right w:val="none" w:sz="0" w:space="0" w:color="auto"/>
      </w:divBdr>
    </w:div>
    <w:div w:id="259488838">
      <w:bodyDiv w:val="1"/>
      <w:marLeft w:val="0"/>
      <w:marRight w:val="0"/>
      <w:marTop w:val="0"/>
      <w:marBottom w:val="0"/>
      <w:divBdr>
        <w:top w:val="none" w:sz="0" w:space="0" w:color="auto"/>
        <w:left w:val="none" w:sz="0" w:space="0" w:color="auto"/>
        <w:bottom w:val="none" w:sz="0" w:space="0" w:color="auto"/>
        <w:right w:val="none" w:sz="0" w:space="0" w:color="auto"/>
      </w:divBdr>
    </w:div>
    <w:div w:id="259872847">
      <w:bodyDiv w:val="1"/>
      <w:marLeft w:val="0"/>
      <w:marRight w:val="0"/>
      <w:marTop w:val="0"/>
      <w:marBottom w:val="0"/>
      <w:divBdr>
        <w:top w:val="none" w:sz="0" w:space="0" w:color="auto"/>
        <w:left w:val="none" w:sz="0" w:space="0" w:color="auto"/>
        <w:bottom w:val="none" w:sz="0" w:space="0" w:color="auto"/>
        <w:right w:val="none" w:sz="0" w:space="0" w:color="auto"/>
      </w:divBdr>
    </w:div>
    <w:div w:id="259872922">
      <w:bodyDiv w:val="1"/>
      <w:marLeft w:val="0"/>
      <w:marRight w:val="0"/>
      <w:marTop w:val="0"/>
      <w:marBottom w:val="0"/>
      <w:divBdr>
        <w:top w:val="none" w:sz="0" w:space="0" w:color="auto"/>
        <w:left w:val="none" w:sz="0" w:space="0" w:color="auto"/>
        <w:bottom w:val="none" w:sz="0" w:space="0" w:color="auto"/>
        <w:right w:val="none" w:sz="0" w:space="0" w:color="auto"/>
      </w:divBdr>
    </w:div>
    <w:div w:id="260139429">
      <w:bodyDiv w:val="1"/>
      <w:marLeft w:val="0"/>
      <w:marRight w:val="0"/>
      <w:marTop w:val="0"/>
      <w:marBottom w:val="0"/>
      <w:divBdr>
        <w:top w:val="none" w:sz="0" w:space="0" w:color="auto"/>
        <w:left w:val="none" w:sz="0" w:space="0" w:color="auto"/>
        <w:bottom w:val="none" w:sz="0" w:space="0" w:color="auto"/>
        <w:right w:val="none" w:sz="0" w:space="0" w:color="auto"/>
      </w:divBdr>
    </w:div>
    <w:div w:id="260336455">
      <w:bodyDiv w:val="1"/>
      <w:marLeft w:val="0"/>
      <w:marRight w:val="0"/>
      <w:marTop w:val="0"/>
      <w:marBottom w:val="0"/>
      <w:divBdr>
        <w:top w:val="none" w:sz="0" w:space="0" w:color="auto"/>
        <w:left w:val="none" w:sz="0" w:space="0" w:color="auto"/>
        <w:bottom w:val="none" w:sz="0" w:space="0" w:color="auto"/>
        <w:right w:val="none" w:sz="0" w:space="0" w:color="auto"/>
      </w:divBdr>
    </w:div>
    <w:div w:id="262685541">
      <w:bodyDiv w:val="1"/>
      <w:marLeft w:val="0"/>
      <w:marRight w:val="0"/>
      <w:marTop w:val="0"/>
      <w:marBottom w:val="0"/>
      <w:divBdr>
        <w:top w:val="none" w:sz="0" w:space="0" w:color="auto"/>
        <w:left w:val="none" w:sz="0" w:space="0" w:color="auto"/>
        <w:bottom w:val="none" w:sz="0" w:space="0" w:color="auto"/>
        <w:right w:val="none" w:sz="0" w:space="0" w:color="auto"/>
      </w:divBdr>
    </w:div>
    <w:div w:id="263072616">
      <w:bodyDiv w:val="1"/>
      <w:marLeft w:val="0"/>
      <w:marRight w:val="0"/>
      <w:marTop w:val="0"/>
      <w:marBottom w:val="0"/>
      <w:divBdr>
        <w:top w:val="none" w:sz="0" w:space="0" w:color="auto"/>
        <w:left w:val="none" w:sz="0" w:space="0" w:color="auto"/>
        <w:bottom w:val="none" w:sz="0" w:space="0" w:color="auto"/>
        <w:right w:val="none" w:sz="0" w:space="0" w:color="auto"/>
      </w:divBdr>
    </w:div>
    <w:div w:id="263540652">
      <w:bodyDiv w:val="1"/>
      <w:marLeft w:val="0"/>
      <w:marRight w:val="0"/>
      <w:marTop w:val="0"/>
      <w:marBottom w:val="0"/>
      <w:divBdr>
        <w:top w:val="none" w:sz="0" w:space="0" w:color="auto"/>
        <w:left w:val="none" w:sz="0" w:space="0" w:color="auto"/>
        <w:bottom w:val="none" w:sz="0" w:space="0" w:color="auto"/>
        <w:right w:val="none" w:sz="0" w:space="0" w:color="auto"/>
      </w:divBdr>
    </w:div>
    <w:div w:id="264652429">
      <w:bodyDiv w:val="1"/>
      <w:marLeft w:val="0"/>
      <w:marRight w:val="0"/>
      <w:marTop w:val="0"/>
      <w:marBottom w:val="0"/>
      <w:divBdr>
        <w:top w:val="none" w:sz="0" w:space="0" w:color="auto"/>
        <w:left w:val="none" w:sz="0" w:space="0" w:color="auto"/>
        <w:bottom w:val="none" w:sz="0" w:space="0" w:color="auto"/>
        <w:right w:val="none" w:sz="0" w:space="0" w:color="auto"/>
      </w:divBdr>
    </w:div>
    <w:div w:id="265428830">
      <w:bodyDiv w:val="1"/>
      <w:marLeft w:val="0"/>
      <w:marRight w:val="0"/>
      <w:marTop w:val="0"/>
      <w:marBottom w:val="0"/>
      <w:divBdr>
        <w:top w:val="none" w:sz="0" w:space="0" w:color="auto"/>
        <w:left w:val="none" w:sz="0" w:space="0" w:color="auto"/>
        <w:bottom w:val="none" w:sz="0" w:space="0" w:color="auto"/>
        <w:right w:val="none" w:sz="0" w:space="0" w:color="auto"/>
      </w:divBdr>
    </w:div>
    <w:div w:id="265702097">
      <w:bodyDiv w:val="1"/>
      <w:marLeft w:val="0"/>
      <w:marRight w:val="0"/>
      <w:marTop w:val="0"/>
      <w:marBottom w:val="0"/>
      <w:divBdr>
        <w:top w:val="none" w:sz="0" w:space="0" w:color="auto"/>
        <w:left w:val="none" w:sz="0" w:space="0" w:color="auto"/>
        <w:bottom w:val="none" w:sz="0" w:space="0" w:color="auto"/>
        <w:right w:val="none" w:sz="0" w:space="0" w:color="auto"/>
      </w:divBdr>
    </w:div>
    <w:div w:id="266275452">
      <w:bodyDiv w:val="1"/>
      <w:marLeft w:val="0"/>
      <w:marRight w:val="0"/>
      <w:marTop w:val="0"/>
      <w:marBottom w:val="0"/>
      <w:divBdr>
        <w:top w:val="none" w:sz="0" w:space="0" w:color="auto"/>
        <w:left w:val="none" w:sz="0" w:space="0" w:color="auto"/>
        <w:bottom w:val="none" w:sz="0" w:space="0" w:color="auto"/>
        <w:right w:val="none" w:sz="0" w:space="0" w:color="auto"/>
      </w:divBdr>
    </w:div>
    <w:div w:id="266666298">
      <w:bodyDiv w:val="1"/>
      <w:marLeft w:val="0"/>
      <w:marRight w:val="0"/>
      <w:marTop w:val="0"/>
      <w:marBottom w:val="0"/>
      <w:divBdr>
        <w:top w:val="none" w:sz="0" w:space="0" w:color="auto"/>
        <w:left w:val="none" w:sz="0" w:space="0" w:color="auto"/>
        <w:bottom w:val="none" w:sz="0" w:space="0" w:color="auto"/>
        <w:right w:val="none" w:sz="0" w:space="0" w:color="auto"/>
      </w:divBdr>
    </w:div>
    <w:div w:id="266697307">
      <w:bodyDiv w:val="1"/>
      <w:marLeft w:val="0"/>
      <w:marRight w:val="0"/>
      <w:marTop w:val="0"/>
      <w:marBottom w:val="0"/>
      <w:divBdr>
        <w:top w:val="none" w:sz="0" w:space="0" w:color="auto"/>
        <w:left w:val="none" w:sz="0" w:space="0" w:color="auto"/>
        <w:bottom w:val="none" w:sz="0" w:space="0" w:color="auto"/>
        <w:right w:val="none" w:sz="0" w:space="0" w:color="auto"/>
      </w:divBdr>
    </w:div>
    <w:div w:id="268855247">
      <w:bodyDiv w:val="1"/>
      <w:marLeft w:val="0"/>
      <w:marRight w:val="0"/>
      <w:marTop w:val="0"/>
      <w:marBottom w:val="0"/>
      <w:divBdr>
        <w:top w:val="none" w:sz="0" w:space="0" w:color="auto"/>
        <w:left w:val="none" w:sz="0" w:space="0" w:color="auto"/>
        <w:bottom w:val="none" w:sz="0" w:space="0" w:color="auto"/>
        <w:right w:val="none" w:sz="0" w:space="0" w:color="auto"/>
      </w:divBdr>
    </w:div>
    <w:div w:id="268970943">
      <w:bodyDiv w:val="1"/>
      <w:marLeft w:val="0"/>
      <w:marRight w:val="0"/>
      <w:marTop w:val="0"/>
      <w:marBottom w:val="0"/>
      <w:divBdr>
        <w:top w:val="none" w:sz="0" w:space="0" w:color="auto"/>
        <w:left w:val="none" w:sz="0" w:space="0" w:color="auto"/>
        <w:bottom w:val="none" w:sz="0" w:space="0" w:color="auto"/>
        <w:right w:val="none" w:sz="0" w:space="0" w:color="auto"/>
      </w:divBdr>
    </w:div>
    <w:div w:id="269774920">
      <w:bodyDiv w:val="1"/>
      <w:marLeft w:val="0"/>
      <w:marRight w:val="0"/>
      <w:marTop w:val="0"/>
      <w:marBottom w:val="0"/>
      <w:divBdr>
        <w:top w:val="none" w:sz="0" w:space="0" w:color="auto"/>
        <w:left w:val="none" w:sz="0" w:space="0" w:color="auto"/>
        <w:bottom w:val="none" w:sz="0" w:space="0" w:color="auto"/>
        <w:right w:val="none" w:sz="0" w:space="0" w:color="auto"/>
      </w:divBdr>
    </w:div>
    <w:div w:id="270630344">
      <w:bodyDiv w:val="1"/>
      <w:marLeft w:val="0"/>
      <w:marRight w:val="0"/>
      <w:marTop w:val="0"/>
      <w:marBottom w:val="0"/>
      <w:divBdr>
        <w:top w:val="none" w:sz="0" w:space="0" w:color="auto"/>
        <w:left w:val="none" w:sz="0" w:space="0" w:color="auto"/>
        <w:bottom w:val="none" w:sz="0" w:space="0" w:color="auto"/>
        <w:right w:val="none" w:sz="0" w:space="0" w:color="auto"/>
      </w:divBdr>
    </w:div>
    <w:div w:id="271058087">
      <w:bodyDiv w:val="1"/>
      <w:marLeft w:val="0"/>
      <w:marRight w:val="0"/>
      <w:marTop w:val="0"/>
      <w:marBottom w:val="0"/>
      <w:divBdr>
        <w:top w:val="none" w:sz="0" w:space="0" w:color="auto"/>
        <w:left w:val="none" w:sz="0" w:space="0" w:color="auto"/>
        <w:bottom w:val="none" w:sz="0" w:space="0" w:color="auto"/>
        <w:right w:val="none" w:sz="0" w:space="0" w:color="auto"/>
      </w:divBdr>
    </w:div>
    <w:div w:id="271328739">
      <w:bodyDiv w:val="1"/>
      <w:marLeft w:val="0"/>
      <w:marRight w:val="0"/>
      <w:marTop w:val="0"/>
      <w:marBottom w:val="0"/>
      <w:divBdr>
        <w:top w:val="none" w:sz="0" w:space="0" w:color="auto"/>
        <w:left w:val="none" w:sz="0" w:space="0" w:color="auto"/>
        <w:bottom w:val="none" w:sz="0" w:space="0" w:color="auto"/>
        <w:right w:val="none" w:sz="0" w:space="0" w:color="auto"/>
      </w:divBdr>
    </w:div>
    <w:div w:id="273363521">
      <w:bodyDiv w:val="1"/>
      <w:marLeft w:val="0"/>
      <w:marRight w:val="0"/>
      <w:marTop w:val="0"/>
      <w:marBottom w:val="0"/>
      <w:divBdr>
        <w:top w:val="none" w:sz="0" w:space="0" w:color="auto"/>
        <w:left w:val="none" w:sz="0" w:space="0" w:color="auto"/>
        <w:bottom w:val="none" w:sz="0" w:space="0" w:color="auto"/>
        <w:right w:val="none" w:sz="0" w:space="0" w:color="auto"/>
      </w:divBdr>
    </w:div>
    <w:div w:id="274213787">
      <w:bodyDiv w:val="1"/>
      <w:marLeft w:val="0"/>
      <w:marRight w:val="0"/>
      <w:marTop w:val="0"/>
      <w:marBottom w:val="0"/>
      <w:divBdr>
        <w:top w:val="none" w:sz="0" w:space="0" w:color="auto"/>
        <w:left w:val="none" w:sz="0" w:space="0" w:color="auto"/>
        <w:bottom w:val="none" w:sz="0" w:space="0" w:color="auto"/>
        <w:right w:val="none" w:sz="0" w:space="0" w:color="auto"/>
      </w:divBdr>
    </w:div>
    <w:div w:id="274214797">
      <w:bodyDiv w:val="1"/>
      <w:marLeft w:val="0"/>
      <w:marRight w:val="0"/>
      <w:marTop w:val="0"/>
      <w:marBottom w:val="0"/>
      <w:divBdr>
        <w:top w:val="none" w:sz="0" w:space="0" w:color="auto"/>
        <w:left w:val="none" w:sz="0" w:space="0" w:color="auto"/>
        <w:bottom w:val="none" w:sz="0" w:space="0" w:color="auto"/>
        <w:right w:val="none" w:sz="0" w:space="0" w:color="auto"/>
      </w:divBdr>
    </w:div>
    <w:div w:id="274755636">
      <w:bodyDiv w:val="1"/>
      <w:marLeft w:val="0"/>
      <w:marRight w:val="0"/>
      <w:marTop w:val="0"/>
      <w:marBottom w:val="0"/>
      <w:divBdr>
        <w:top w:val="none" w:sz="0" w:space="0" w:color="auto"/>
        <w:left w:val="none" w:sz="0" w:space="0" w:color="auto"/>
        <w:bottom w:val="none" w:sz="0" w:space="0" w:color="auto"/>
        <w:right w:val="none" w:sz="0" w:space="0" w:color="auto"/>
      </w:divBdr>
    </w:div>
    <w:div w:id="275406518">
      <w:bodyDiv w:val="1"/>
      <w:marLeft w:val="0"/>
      <w:marRight w:val="0"/>
      <w:marTop w:val="0"/>
      <w:marBottom w:val="0"/>
      <w:divBdr>
        <w:top w:val="none" w:sz="0" w:space="0" w:color="auto"/>
        <w:left w:val="none" w:sz="0" w:space="0" w:color="auto"/>
        <w:bottom w:val="none" w:sz="0" w:space="0" w:color="auto"/>
        <w:right w:val="none" w:sz="0" w:space="0" w:color="auto"/>
      </w:divBdr>
    </w:div>
    <w:div w:id="275529826">
      <w:bodyDiv w:val="1"/>
      <w:marLeft w:val="0"/>
      <w:marRight w:val="0"/>
      <w:marTop w:val="0"/>
      <w:marBottom w:val="0"/>
      <w:divBdr>
        <w:top w:val="none" w:sz="0" w:space="0" w:color="auto"/>
        <w:left w:val="none" w:sz="0" w:space="0" w:color="auto"/>
        <w:bottom w:val="none" w:sz="0" w:space="0" w:color="auto"/>
        <w:right w:val="none" w:sz="0" w:space="0" w:color="auto"/>
      </w:divBdr>
    </w:div>
    <w:div w:id="277034709">
      <w:bodyDiv w:val="1"/>
      <w:marLeft w:val="0"/>
      <w:marRight w:val="0"/>
      <w:marTop w:val="0"/>
      <w:marBottom w:val="0"/>
      <w:divBdr>
        <w:top w:val="none" w:sz="0" w:space="0" w:color="auto"/>
        <w:left w:val="none" w:sz="0" w:space="0" w:color="auto"/>
        <w:bottom w:val="none" w:sz="0" w:space="0" w:color="auto"/>
        <w:right w:val="none" w:sz="0" w:space="0" w:color="auto"/>
      </w:divBdr>
    </w:div>
    <w:div w:id="277105016">
      <w:bodyDiv w:val="1"/>
      <w:marLeft w:val="0"/>
      <w:marRight w:val="0"/>
      <w:marTop w:val="0"/>
      <w:marBottom w:val="0"/>
      <w:divBdr>
        <w:top w:val="none" w:sz="0" w:space="0" w:color="auto"/>
        <w:left w:val="none" w:sz="0" w:space="0" w:color="auto"/>
        <w:bottom w:val="none" w:sz="0" w:space="0" w:color="auto"/>
        <w:right w:val="none" w:sz="0" w:space="0" w:color="auto"/>
      </w:divBdr>
    </w:div>
    <w:div w:id="279340574">
      <w:bodyDiv w:val="1"/>
      <w:marLeft w:val="0"/>
      <w:marRight w:val="0"/>
      <w:marTop w:val="0"/>
      <w:marBottom w:val="0"/>
      <w:divBdr>
        <w:top w:val="none" w:sz="0" w:space="0" w:color="auto"/>
        <w:left w:val="none" w:sz="0" w:space="0" w:color="auto"/>
        <w:bottom w:val="none" w:sz="0" w:space="0" w:color="auto"/>
        <w:right w:val="none" w:sz="0" w:space="0" w:color="auto"/>
      </w:divBdr>
    </w:div>
    <w:div w:id="279722572">
      <w:bodyDiv w:val="1"/>
      <w:marLeft w:val="0"/>
      <w:marRight w:val="0"/>
      <w:marTop w:val="0"/>
      <w:marBottom w:val="0"/>
      <w:divBdr>
        <w:top w:val="none" w:sz="0" w:space="0" w:color="auto"/>
        <w:left w:val="none" w:sz="0" w:space="0" w:color="auto"/>
        <w:bottom w:val="none" w:sz="0" w:space="0" w:color="auto"/>
        <w:right w:val="none" w:sz="0" w:space="0" w:color="auto"/>
      </w:divBdr>
    </w:div>
    <w:div w:id="281228392">
      <w:bodyDiv w:val="1"/>
      <w:marLeft w:val="0"/>
      <w:marRight w:val="0"/>
      <w:marTop w:val="0"/>
      <w:marBottom w:val="0"/>
      <w:divBdr>
        <w:top w:val="none" w:sz="0" w:space="0" w:color="auto"/>
        <w:left w:val="none" w:sz="0" w:space="0" w:color="auto"/>
        <w:bottom w:val="none" w:sz="0" w:space="0" w:color="auto"/>
        <w:right w:val="none" w:sz="0" w:space="0" w:color="auto"/>
      </w:divBdr>
    </w:div>
    <w:div w:id="282078904">
      <w:bodyDiv w:val="1"/>
      <w:marLeft w:val="0"/>
      <w:marRight w:val="0"/>
      <w:marTop w:val="0"/>
      <w:marBottom w:val="0"/>
      <w:divBdr>
        <w:top w:val="none" w:sz="0" w:space="0" w:color="auto"/>
        <w:left w:val="none" w:sz="0" w:space="0" w:color="auto"/>
        <w:bottom w:val="none" w:sz="0" w:space="0" w:color="auto"/>
        <w:right w:val="none" w:sz="0" w:space="0" w:color="auto"/>
      </w:divBdr>
    </w:div>
    <w:div w:id="282156315">
      <w:bodyDiv w:val="1"/>
      <w:marLeft w:val="0"/>
      <w:marRight w:val="0"/>
      <w:marTop w:val="0"/>
      <w:marBottom w:val="0"/>
      <w:divBdr>
        <w:top w:val="none" w:sz="0" w:space="0" w:color="auto"/>
        <w:left w:val="none" w:sz="0" w:space="0" w:color="auto"/>
        <w:bottom w:val="none" w:sz="0" w:space="0" w:color="auto"/>
        <w:right w:val="none" w:sz="0" w:space="0" w:color="auto"/>
      </w:divBdr>
    </w:div>
    <w:div w:id="283004704">
      <w:bodyDiv w:val="1"/>
      <w:marLeft w:val="0"/>
      <w:marRight w:val="0"/>
      <w:marTop w:val="0"/>
      <w:marBottom w:val="0"/>
      <w:divBdr>
        <w:top w:val="none" w:sz="0" w:space="0" w:color="auto"/>
        <w:left w:val="none" w:sz="0" w:space="0" w:color="auto"/>
        <w:bottom w:val="none" w:sz="0" w:space="0" w:color="auto"/>
        <w:right w:val="none" w:sz="0" w:space="0" w:color="auto"/>
      </w:divBdr>
    </w:div>
    <w:div w:id="284776805">
      <w:bodyDiv w:val="1"/>
      <w:marLeft w:val="0"/>
      <w:marRight w:val="0"/>
      <w:marTop w:val="0"/>
      <w:marBottom w:val="0"/>
      <w:divBdr>
        <w:top w:val="none" w:sz="0" w:space="0" w:color="auto"/>
        <w:left w:val="none" w:sz="0" w:space="0" w:color="auto"/>
        <w:bottom w:val="none" w:sz="0" w:space="0" w:color="auto"/>
        <w:right w:val="none" w:sz="0" w:space="0" w:color="auto"/>
      </w:divBdr>
    </w:div>
    <w:div w:id="284966453">
      <w:bodyDiv w:val="1"/>
      <w:marLeft w:val="0"/>
      <w:marRight w:val="0"/>
      <w:marTop w:val="0"/>
      <w:marBottom w:val="0"/>
      <w:divBdr>
        <w:top w:val="none" w:sz="0" w:space="0" w:color="auto"/>
        <w:left w:val="none" w:sz="0" w:space="0" w:color="auto"/>
        <w:bottom w:val="none" w:sz="0" w:space="0" w:color="auto"/>
        <w:right w:val="none" w:sz="0" w:space="0" w:color="auto"/>
      </w:divBdr>
    </w:div>
    <w:div w:id="285359340">
      <w:bodyDiv w:val="1"/>
      <w:marLeft w:val="0"/>
      <w:marRight w:val="0"/>
      <w:marTop w:val="0"/>
      <w:marBottom w:val="0"/>
      <w:divBdr>
        <w:top w:val="none" w:sz="0" w:space="0" w:color="auto"/>
        <w:left w:val="none" w:sz="0" w:space="0" w:color="auto"/>
        <w:bottom w:val="none" w:sz="0" w:space="0" w:color="auto"/>
        <w:right w:val="none" w:sz="0" w:space="0" w:color="auto"/>
      </w:divBdr>
    </w:div>
    <w:div w:id="286589749">
      <w:bodyDiv w:val="1"/>
      <w:marLeft w:val="0"/>
      <w:marRight w:val="0"/>
      <w:marTop w:val="0"/>
      <w:marBottom w:val="0"/>
      <w:divBdr>
        <w:top w:val="none" w:sz="0" w:space="0" w:color="auto"/>
        <w:left w:val="none" w:sz="0" w:space="0" w:color="auto"/>
        <w:bottom w:val="none" w:sz="0" w:space="0" w:color="auto"/>
        <w:right w:val="none" w:sz="0" w:space="0" w:color="auto"/>
      </w:divBdr>
    </w:div>
    <w:div w:id="286736888">
      <w:bodyDiv w:val="1"/>
      <w:marLeft w:val="0"/>
      <w:marRight w:val="0"/>
      <w:marTop w:val="0"/>
      <w:marBottom w:val="0"/>
      <w:divBdr>
        <w:top w:val="none" w:sz="0" w:space="0" w:color="auto"/>
        <w:left w:val="none" w:sz="0" w:space="0" w:color="auto"/>
        <w:bottom w:val="none" w:sz="0" w:space="0" w:color="auto"/>
        <w:right w:val="none" w:sz="0" w:space="0" w:color="auto"/>
      </w:divBdr>
    </w:div>
    <w:div w:id="287661660">
      <w:bodyDiv w:val="1"/>
      <w:marLeft w:val="0"/>
      <w:marRight w:val="0"/>
      <w:marTop w:val="0"/>
      <w:marBottom w:val="0"/>
      <w:divBdr>
        <w:top w:val="none" w:sz="0" w:space="0" w:color="auto"/>
        <w:left w:val="none" w:sz="0" w:space="0" w:color="auto"/>
        <w:bottom w:val="none" w:sz="0" w:space="0" w:color="auto"/>
        <w:right w:val="none" w:sz="0" w:space="0" w:color="auto"/>
      </w:divBdr>
    </w:div>
    <w:div w:id="287665629">
      <w:bodyDiv w:val="1"/>
      <w:marLeft w:val="0"/>
      <w:marRight w:val="0"/>
      <w:marTop w:val="0"/>
      <w:marBottom w:val="0"/>
      <w:divBdr>
        <w:top w:val="none" w:sz="0" w:space="0" w:color="auto"/>
        <w:left w:val="none" w:sz="0" w:space="0" w:color="auto"/>
        <w:bottom w:val="none" w:sz="0" w:space="0" w:color="auto"/>
        <w:right w:val="none" w:sz="0" w:space="0" w:color="auto"/>
      </w:divBdr>
    </w:div>
    <w:div w:id="288555168">
      <w:bodyDiv w:val="1"/>
      <w:marLeft w:val="0"/>
      <w:marRight w:val="0"/>
      <w:marTop w:val="0"/>
      <w:marBottom w:val="0"/>
      <w:divBdr>
        <w:top w:val="none" w:sz="0" w:space="0" w:color="auto"/>
        <w:left w:val="none" w:sz="0" w:space="0" w:color="auto"/>
        <w:bottom w:val="none" w:sz="0" w:space="0" w:color="auto"/>
        <w:right w:val="none" w:sz="0" w:space="0" w:color="auto"/>
      </w:divBdr>
    </w:div>
    <w:div w:id="289215271">
      <w:bodyDiv w:val="1"/>
      <w:marLeft w:val="0"/>
      <w:marRight w:val="0"/>
      <w:marTop w:val="0"/>
      <w:marBottom w:val="0"/>
      <w:divBdr>
        <w:top w:val="none" w:sz="0" w:space="0" w:color="auto"/>
        <w:left w:val="none" w:sz="0" w:space="0" w:color="auto"/>
        <w:bottom w:val="none" w:sz="0" w:space="0" w:color="auto"/>
        <w:right w:val="none" w:sz="0" w:space="0" w:color="auto"/>
      </w:divBdr>
    </w:div>
    <w:div w:id="289676709">
      <w:bodyDiv w:val="1"/>
      <w:marLeft w:val="0"/>
      <w:marRight w:val="0"/>
      <w:marTop w:val="0"/>
      <w:marBottom w:val="0"/>
      <w:divBdr>
        <w:top w:val="none" w:sz="0" w:space="0" w:color="auto"/>
        <w:left w:val="none" w:sz="0" w:space="0" w:color="auto"/>
        <w:bottom w:val="none" w:sz="0" w:space="0" w:color="auto"/>
        <w:right w:val="none" w:sz="0" w:space="0" w:color="auto"/>
      </w:divBdr>
    </w:div>
    <w:div w:id="290013683">
      <w:bodyDiv w:val="1"/>
      <w:marLeft w:val="0"/>
      <w:marRight w:val="0"/>
      <w:marTop w:val="0"/>
      <w:marBottom w:val="0"/>
      <w:divBdr>
        <w:top w:val="none" w:sz="0" w:space="0" w:color="auto"/>
        <w:left w:val="none" w:sz="0" w:space="0" w:color="auto"/>
        <w:bottom w:val="none" w:sz="0" w:space="0" w:color="auto"/>
        <w:right w:val="none" w:sz="0" w:space="0" w:color="auto"/>
      </w:divBdr>
    </w:div>
    <w:div w:id="290207465">
      <w:bodyDiv w:val="1"/>
      <w:marLeft w:val="0"/>
      <w:marRight w:val="0"/>
      <w:marTop w:val="0"/>
      <w:marBottom w:val="0"/>
      <w:divBdr>
        <w:top w:val="none" w:sz="0" w:space="0" w:color="auto"/>
        <w:left w:val="none" w:sz="0" w:space="0" w:color="auto"/>
        <w:bottom w:val="none" w:sz="0" w:space="0" w:color="auto"/>
        <w:right w:val="none" w:sz="0" w:space="0" w:color="auto"/>
      </w:divBdr>
    </w:div>
    <w:div w:id="290672532">
      <w:bodyDiv w:val="1"/>
      <w:marLeft w:val="0"/>
      <w:marRight w:val="0"/>
      <w:marTop w:val="0"/>
      <w:marBottom w:val="0"/>
      <w:divBdr>
        <w:top w:val="none" w:sz="0" w:space="0" w:color="auto"/>
        <w:left w:val="none" w:sz="0" w:space="0" w:color="auto"/>
        <w:bottom w:val="none" w:sz="0" w:space="0" w:color="auto"/>
        <w:right w:val="none" w:sz="0" w:space="0" w:color="auto"/>
      </w:divBdr>
    </w:div>
    <w:div w:id="290868246">
      <w:bodyDiv w:val="1"/>
      <w:marLeft w:val="0"/>
      <w:marRight w:val="0"/>
      <w:marTop w:val="0"/>
      <w:marBottom w:val="0"/>
      <w:divBdr>
        <w:top w:val="none" w:sz="0" w:space="0" w:color="auto"/>
        <w:left w:val="none" w:sz="0" w:space="0" w:color="auto"/>
        <w:bottom w:val="none" w:sz="0" w:space="0" w:color="auto"/>
        <w:right w:val="none" w:sz="0" w:space="0" w:color="auto"/>
      </w:divBdr>
    </w:div>
    <w:div w:id="291057585">
      <w:bodyDiv w:val="1"/>
      <w:marLeft w:val="0"/>
      <w:marRight w:val="0"/>
      <w:marTop w:val="0"/>
      <w:marBottom w:val="0"/>
      <w:divBdr>
        <w:top w:val="none" w:sz="0" w:space="0" w:color="auto"/>
        <w:left w:val="none" w:sz="0" w:space="0" w:color="auto"/>
        <w:bottom w:val="none" w:sz="0" w:space="0" w:color="auto"/>
        <w:right w:val="none" w:sz="0" w:space="0" w:color="auto"/>
      </w:divBdr>
    </w:div>
    <w:div w:id="293685360">
      <w:bodyDiv w:val="1"/>
      <w:marLeft w:val="0"/>
      <w:marRight w:val="0"/>
      <w:marTop w:val="0"/>
      <w:marBottom w:val="0"/>
      <w:divBdr>
        <w:top w:val="none" w:sz="0" w:space="0" w:color="auto"/>
        <w:left w:val="none" w:sz="0" w:space="0" w:color="auto"/>
        <w:bottom w:val="none" w:sz="0" w:space="0" w:color="auto"/>
        <w:right w:val="none" w:sz="0" w:space="0" w:color="auto"/>
      </w:divBdr>
    </w:div>
    <w:div w:id="295721003">
      <w:bodyDiv w:val="1"/>
      <w:marLeft w:val="0"/>
      <w:marRight w:val="0"/>
      <w:marTop w:val="0"/>
      <w:marBottom w:val="0"/>
      <w:divBdr>
        <w:top w:val="none" w:sz="0" w:space="0" w:color="auto"/>
        <w:left w:val="none" w:sz="0" w:space="0" w:color="auto"/>
        <w:bottom w:val="none" w:sz="0" w:space="0" w:color="auto"/>
        <w:right w:val="none" w:sz="0" w:space="0" w:color="auto"/>
      </w:divBdr>
    </w:div>
    <w:div w:id="295837809">
      <w:bodyDiv w:val="1"/>
      <w:marLeft w:val="0"/>
      <w:marRight w:val="0"/>
      <w:marTop w:val="0"/>
      <w:marBottom w:val="0"/>
      <w:divBdr>
        <w:top w:val="none" w:sz="0" w:space="0" w:color="auto"/>
        <w:left w:val="none" w:sz="0" w:space="0" w:color="auto"/>
        <w:bottom w:val="none" w:sz="0" w:space="0" w:color="auto"/>
        <w:right w:val="none" w:sz="0" w:space="0" w:color="auto"/>
      </w:divBdr>
    </w:div>
    <w:div w:id="296306402">
      <w:bodyDiv w:val="1"/>
      <w:marLeft w:val="0"/>
      <w:marRight w:val="0"/>
      <w:marTop w:val="0"/>
      <w:marBottom w:val="0"/>
      <w:divBdr>
        <w:top w:val="none" w:sz="0" w:space="0" w:color="auto"/>
        <w:left w:val="none" w:sz="0" w:space="0" w:color="auto"/>
        <w:bottom w:val="none" w:sz="0" w:space="0" w:color="auto"/>
        <w:right w:val="none" w:sz="0" w:space="0" w:color="auto"/>
      </w:divBdr>
    </w:div>
    <w:div w:id="296644340">
      <w:bodyDiv w:val="1"/>
      <w:marLeft w:val="0"/>
      <w:marRight w:val="0"/>
      <w:marTop w:val="0"/>
      <w:marBottom w:val="0"/>
      <w:divBdr>
        <w:top w:val="none" w:sz="0" w:space="0" w:color="auto"/>
        <w:left w:val="none" w:sz="0" w:space="0" w:color="auto"/>
        <w:bottom w:val="none" w:sz="0" w:space="0" w:color="auto"/>
        <w:right w:val="none" w:sz="0" w:space="0" w:color="auto"/>
      </w:divBdr>
    </w:div>
    <w:div w:id="297078889">
      <w:bodyDiv w:val="1"/>
      <w:marLeft w:val="0"/>
      <w:marRight w:val="0"/>
      <w:marTop w:val="0"/>
      <w:marBottom w:val="0"/>
      <w:divBdr>
        <w:top w:val="none" w:sz="0" w:space="0" w:color="auto"/>
        <w:left w:val="none" w:sz="0" w:space="0" w:color="auto"/>
        <w:bottom w:val="none" w:sz="0" w:space="0" w:color="auto"/>
        <w:right w:val="none" w:sz="0" w:space="0" w:color="auto"/>
      </w:divBdr>
    </w:div>
    <w:div w:id="299311771">
      <w:bodyDiv w:val="1"/>
      <w:marLeft w:val="0"/>
      <w:marRight w:val="0"/>
      <w:marTop w:val="0"/>
      <w:marBottom w:val="0"/>
      <w:divBdr>
        <w:top w:val="none" w:sz="0" w:space="0" w:color="auto"/>
        <w:left w:val="none" w:sz="0" w:space="0" w:color="auto"/>
        <w:bottom w:val="none" w:sz="0" w:space="0" w:color="auto"/>
        <w:right w:val="none" w:sz="0" w:space="0" w:color="auto"/>
      </w:divBdr>
    </w:div>
    <w:div w:id="299848922">
      <w:bodyDiv w:val="1"/>
      <w:marLeft w:val="0"/>
      <w:marRight w:val="0"/>
      <w:marTop w:val="0"/>
      <w:marBottom w:val="0"/>
      <w:divBdr>
        <w:top w:val="none" w:sz="0" w:space="0" w:color="auto"/>
        <w:left w:val="none" w:sz="0" w:space="0" w:color="auto"/>
        <w:bottom w:val="none" w:sz="0" w:space="0" w:color="auto"/>
        <w:right w:val="none" w:sz="0" w:space="0" w:color="auto"/>
      </w:divBdr>
    </w:div>
    <w:div w:id="301084241">
      <w:bodyDiv w:val="1"/>
      <w:marLeft w:val="0"/>
      <w:marRight w:val="0"/>
      <w:marTop w:val="0"/>
      <w:marBottom w:val="0"/>
      <w:divBdr>
        <w:top w:val="none" w:sz="0" w:space="0" w:color="auto"/>
        <w:left w:val="none" w:sz="0" w:space="0" w:color="auto"/>
        <w:bottom w:val="none" w:sz="0" w:space="0" w:color="auto"/>
        <w:right w:val="none" w:sz="0" w:space="0" w:color="auto"/>
      </w:divBdr>
    </w:div>
    <w:div w:id="301732700">
      <w:bodyDiv w:val="1"/>
      <w:marLeft w:val="0"/>
      <w:marRight w:val="0"/>
      <w:marTop w:val="0"/>
      <w:marBottom w:val="0"/>
      <w:divBdr>
        <w:top w:val="none" w:sz="0" w:space="0" w:color="auto"/>
        <w:left w:val="none" w:sz="0" w:space="0" w:color="auto"/>
        <w:bottom w:val="none" w:sz="0" w:space="0" w:color="auto"/>
        <w:right w:val="none" w:sz="0" w:space="0" w:color="auto"/>
      </w:divBdr>
    </w:div>
    <w:div w:id="301888020">
      <w:bodyDiv w:val="1"/>
      <w:marLeft w:val="0"/>
      <w:marRight w:val="0"/>
      <w:marTop w:val="0"/>
      <w:marBottom w:val="0"/>
      <w:divBdr>
        <w:top w:val="none" w:sz="0" w:space="0" w:color="auto"/>
        <w:left w:val="none" w:sz="0" w:space="0" w:color="auto"/>
        <w:bottom w:val="none" w:sz="0" w:space="0" w:color="auto"/>
        <w:right w:val="none" w:sz="0" w:space="0" w:color="auto"/>
      </w:divBdr>
    </w:div>
    <w:div w:id="302349568">
      <w:bodyDiv w:val="1"/>
      <w:marLeft w:val="0"/>
      <w:marRight w:val="0"/>
      <w:marTop w:val="0"/>
      <w:marBottom w:val="0"/>
      <w:divBdr>
        <w:top w:val="none" w:sz="0" w:space="0" w:color="auto"/>
        <w:left w:val="none" w:sz="0" w:space="0" w:color="auto"/>
        <w:bottom w:val="none" w:sz="0" w:space="0" w:color="auto"/>
        <w:right w:val="none" w:sz="0" w:space="0" w:color="auto"/>
      </w:divBdr>
    </w:div>
    <w:div w:id="302539873">
      <w:bodyDiv w:val="1"/>
      <w:marLeft w:val="0"/>
      <w:marRight w:val="0"/>
      <w:marTop w:val="0"/>
      <w:marBottom w:val="0"/>
      <w:divBdr>
        <w:top w:val="none" w:sz="0" w:space="0" w:color="auto"/>
        <w:left w:val="none" w:sz="0" w:space="0" w:color="auto"/>
        <w:bottom w:val="none" w:sz="0" w:space="0" w:color="auto"/>
        <w:right w:val="none" w:sz="0" w:space="0" w:color="auto"/>
      </w:divBdr>
    </w:div>
    <w:div w:id="302656137">
      <w:bodyDiv w:val="1"/>
      <w:marLeft w:val="0"/>
      <w:marRight w:val="0"/>
      <w:marTop w:val="0"/>
      <w:marBottom w:val="0"/>
      <w:divBdr>
        <w:top w:val="none" w:sz="0" w:space="0" w:color="auto"/>
        <w:left w:val="none" w:sz="0" w:space="0" w:color="auto"/>
        <w:bottom w:val="none" w:sz="0" w:space="0" w:color="auto"/>
        <w:right w:val="none" w:sz="0" w:space="0" w:color="auto"/>
      </w:divBdr>
    </w:div>
    <w:div w:id="303433463">
      <w:bodyDiv w:val="1"/>
      <w:marLeft w:val="0"/>
      <w:marRight w:val="0"/>
      <w:marTop w:val="0"/>
      <w:marBottom w:val="0"/>
      <w:divBdr>
        <w:top w:val="none" w:sz="0" w:space="0" w:color="auto"/>
        <w:left w:val="none" w:sz="0" w:space="0" w:color="auto"/>
        <w:bottom w:val="none" w:sz="0" w:space="0" w:color="auto"/>
        <w:right w:val="none" w:sz="0" w:space="0" w:color="auto"/>
      </w:divBdr>
    </w:div>
    <w:div w:id="303849271">
      <w:bodyDiv w:val="1"/>
      <w:marLeft w:val="0"/>
      <w:marRight w:val="0"/>
      <w:marTop w:val="0"/>
      <w:marBottom w:val="0"/>
      <w:divBdr>
        <w:top w:val="none" w:sz="0" w:space="0" w:color="auto"/>
        <w:left w:val="none" w:sz="0" w:space="0" w:color="auto"/>
        <w:bottom w:val="none" w:sz="0" w:space="0" w:color="auto"/>
        <w:right w:val="none" w:sz="0" w:space="0" w:color="auto"/>
      </w:divBdr>
    </w:div>
    <w:div w:id="303970251">
      <w:bodyDiv w:val="1"/>
      <w:marLeft w:val="0"/>
      <w:marRight w:val="0"/>
      <w:marTop w:val="0"/>
      <w:marBottom w:val="0"/>
      <w:divBdr>
        <w:top w:val="none" w:sz="0" w:space="0" w:color="auto"/>
        <w:left w:val="none" w:sz="0" w:space="0" w:color="auto"/>
        <w:bottom w:val="none" w:sz="0" w:space="0" w:color="auto"/>
        <w:right w:val="none" w:sz="0" w:space="0" w:color="auto"/>
      </w:divBdr>
    </w:div>
    <w:div w:id="304235496">
      <w:bodyDiv w:val="1"/>
      <w:marLeft w:val="0"/>
      <w:marRight w:val="0"/>
      <w:marTop w:val="0"/>
      <w:marBottom w:val="0"/>
      <w:divBdr>
        <w:top w:val="none" w:sz="0" w:space="0" w:color="auto"/>
        <w:left w:val="none" w:sz="0" w:space="0" w:color="auto"/>
        <w:bottom w:val="none" w:sz="0" w:space="0" w:color="auto"/>
        <w:right w:val="none" w:sz="0" w:space="0" w:color="auto"/>
      </w:divBdr>
    </w:div>
    <w:div w:id="305791015">
      <w:bodyDiv w:val="1"/>
      <w:marLeft w:val="0"/>
      <w:marRight w:val="0"/>
      <w:marTop w:val="0"/>
      <w:marBottom w:val="0"/>
      <w:divBdr>
        <w:top w:val="none" w:sz="0" w:space="0" w:color="auto"/>
        <w:left w:val="none" w:sz="0" w:space="0" w:color="auto"/>
        <w:bottom w:val="none" w:sz="0" w:space="0" w:color="auto"/>
        <w:right w:val="none" w:sz="0" w:space="0" w:color="auto"/>
      </w:divBdr>
    </w:div>
    <w:div w:id="306016389">
      <w:bodyDiv w:val="1"/>
      <w:marLeft w:val="0"/>
      <w:marRight w:val="0"/>
      <w:marTop w:val="0"/>
      <w:marBottom w:val="0"/>
      <w:divBdr>
        <w:top w:val="none" w:sz="0" w:space="0" w:color="auto"/>
        <w:left w:val="none" w:sz="0" w:space="0" w:color="auto"/>
        <w:bottom w:val="none" w:sz="0" w:space="0" w:color="auto"/>
        <w:right w:val="none" w:sz="0" w:space="0" w:color="auto"/>
      </w:divBdr>
    </w:div>
    <w:div w:id="308292798">
      <w:bodyDiv w:val="1"/>
      <w:marLeft w:val="0"/>
      <w:marRight w:val="0"/>
      <w:marTop w:val="0"/>
      <w:marBottom w:val="0"/>
      <w:divBdr>
        <w:top w:val="none" w:sz="0" w:space="0" w:color="auto"/>
        <w:left w:val="none" w:sz="0" w:space="0" w:color="auto"/>
        <w:bottom w:val="none" w:sz="0" w:space="0" w:color="auto"/>
        <w:right w:val="none" w:sz="0" w:space="0" w:color="auto"/>
      </w:divBdr>
    </w:div>
    <w:div w:id="309098656">
      <w:bodyDiv w:val="1"/>
      <w:marLeft w:val="0"/>
      <w:marRight w:val="0"/>
      <w:marTop w:val="0"/>
      <w:marBottom w:val="0"/>
      <w:divBdr>
        <w:top w:val="none" w:sz="0" w:space="0" w:color="auto"/>
        <w:left w:val="none" w:sz="0" w:space="0" w:color="auto"/>
        <w:bottom w:val="none" w:sz="0" w:space="0" w:color="auto"/>
        <w:right w:val="none" w:sz="0" w:space="0" w:color="auto"/>
      </w:divBdr>
    </w:div>
    <w:div w:id="310183656">
      <w:bodyDiv w:val="1"/>
      <w:marLeft w:val="0"/>
      <w:marRight w:val="0"/>
      <w:marTop w:val="0"/>
      <w:marBottom w:val="0"/>
      <w:divBdr>
        <w:top w:val="none" w:sz="0" w:space="0" w:color="auto"/>
        <w:left w:val="none" w:sz="0" w:space="0" w:color="auto"/>
        <w:bottom w:val="none" w:sz="0" w:space="0" w:color="auto"/>
        <w:right w:val="none" w:sz="0" w:space="0" w:color="auto"/>
      </w:divBdr>
    </w:div>
    <w:div w:id="313533112">
      <w:bodyDiv w:val="1"/>
      <w:marLeft w:val="0"/>
      <w:marRight w:val="0"/>
      <w:marTop w:val="0"/>
      <w:marBottom w:val="0"/>
      <w:divBdr>
        <w:top w:val="none" w:sz="0" w:space="0" w:color="auto"/>
        <w:left w:val="none" w:sz="0" w:space="0" w:color="auto"/>
        <w:bottom w:val="none" w:sz="0" w:space="0" w:color="auto"/>
        <w:right w:val="none" w:sz="0" w:space="0" w:color="auto"/>
      </w:divBdr>
    </w:div>
    <w:div w:id="314721842">
      <w:bodyDiv w:val="1"/>
      <w:marLeft w:val="0"/>
      <w:marRight w:val="0"/>
      <w:marTop w:val="0"/>
      <w:marBottom w:val="0"/>
      <w:divBdr>
        <w:top w:val="none" w:sz="0" w:space="0" w:color="auto"/>
        <w:left w:val="none" w:sz="0" w:space="0" w:color="auto"/>
        <w:bottom w:val="none" w:sz="0" w:space="0" w:color="auto"/>
        <w:right w:val="none" w:sz="0" w:space="0" w:color="auto"/>
      </w:divBdr>
    </w:div>
    <w:div w:id="317467802">
      <w:bodyDiv w:val="1"/>
      <w:marLeft w:val="0"/>
      <w:marRight w:val="0"/>
      <w:marTop w:val="0"/>
      <w:marBottom w:val="0"/>
      <w:divBdr>
        <w:top w:val="none" w:sz="0" w:space="0" w:color="auto"/>
        <w:left w:val="none" w:sz="0" w:space="0" w:color="auto"/>
        <w:bottom w:val="none" w:sz="0" w:space="0" w:color="auto"/>
        <w:right w:val="none" w:sz="0" w:space="0" w:color="auto"/>
      </w:divBdr>
    </w:div>
    <w:div w:id="321203667">
      <w:bodyDiv w:val="1"/>
      <w:marLeft w:val="0"/>
      <w:marRight w:val="0"/>
      <w:marTop w:val="0"/>
      <w:marBottom w:val="0"/>
      <w:divBdr>
        <w:top w:val="none" w:sz="0" w:space="0" w:color="auto"/>
        <w:left w:val="none" w:sz="0" w:space="0" w:color="auto"/>
        <w:bottom w:val="none" w:sz="0" w:space="0" w:color="auto"/>
        <w:right w:val="none" w:sz="0" w:space="0" w:color="auto"/>
      </w:divBdr>
    </w:div>
    <w:div w:id="321852734">
      <w:bodyDiv w:val="1"/>
      <w:marLeft w:val="0"/>
      <w:marRight w:val="0"/>
      <w:marTop w:val="0"/>
      <w:marBottom w:val="0"/>
      <w:divBdr>
        <w:top w:val="none" w:sz="0" w:space="0" w:color="auto"/>
        <w:left w:val="none" w:sz="0" w:space="0" w:color="auto"/>
        <w:bottom w:val="none" w:sz="0" w:space="0" w:color="auto"/>
        <w:right w:val="none" w:sz="0" w:space="0" w:color="auto"/>
      </w:divBdr>
    </w:div>
    <w:div w:id="323046087">
      <w:bodyDiv w:val="1"/>
      <w:marLeft w:val="0"/>
      <w:marRight w:val="0"/>
      <w:marTop w:val="0"/>
      <w:marBottom w:val="0"/>
      <w:divBdr>
        <w:top w:val="none" w:sz="0" w:space="0" w:color="auto"/>
        <w:left w:val="none" w:sz="0" w:space="0" w:color="auto"/>
        <w:bottom w:val="none" w:sz="0" w:space="0" w:color="auto"/>
        <w:right w:val="none" w:sz="0" w:space="0" w:color="auto"/>
      </w:divBdr>
    </w:div>
    <w:div w:id="323433491">
      <w:bodyDiv w:val="1"/>
      <w:marLeft w:val="0"/>
      <w:marRight w:val="0"/>
      <w:marTop w:val="0"/>
      <w:marBottom w:val="0"/>
      <w:divBdr>
        <w:top w:val="none" w:sz="0" w:space="0" w:color="auto"/>
        <w:left w:val="none" w:sz="0" w:space="0" w:color="auto"/>
        <w:bottom w:val="none" w:sz="0" w:space="0" w:color="auto"/>
        <w:right w:val="none" w:sz="0" w:space="0" w:color="auto"/>
      </w:divBdr>
    </w:div>
    <w:div w:id="324942456">
      <w:bodyDiv w:val="1"/>
      <w:marLeft w:val="0"/>
      <w:marRight w:val="0"/>
      <w:marTop w:val="0"/>
      <w:marBottom w:val="0"/>
      <w:divBdr>
        <w:top w:val="none" w:sz="0" w:space="0" w:color="auto"/>
        <w:left w:val="none" w:sz="0" w:space="0" w:color="auto"/>
        <w:bottom w:val="none" w:sz="0" w:space="0" w:color="auto"/>
        <w:right w:val="none" w:sz="0" w:space="0" w:color="auto"/>
      </w:divBdr>
    </w:div>
    <w:div w:id="326444304">
      <w:bodyDiv w:val="1"/>
      <w:marLeft w:val="0"/>
      <w:marRight w:val="0"/>
      <w:marTop w:val="0"/>
      <w:marBottom w:val="0"/>
      <w:divBdr>
        <w:top w:val="none" w:sz="0" w:space="0" w:color="auto"/>
        <w:left w:val="none" w:sz="0" w:space="0" w:color="auto"/>
        <w:bottom w:val="none" w:sz="0" w:space="0" w:color="auto"/>
        <w:right w:val="none" w:sz="0" w:space="0" w:color="auto"/>
      </w:divBdr>
    </w:div>
    <w:div w:id="326634217">
      <w:bodyDiv w:val="1"/>
      <w:marLeft w:val="0"/>
      <w:marRight w:val="0"/>
      <w:marTop w:val="0"/>
      <w:marBottom w:val="0"/>
      <w:divBdr>
        <w:top w:val="none" w:sz="0" w:space="0" w:color="auto"/>
        <w:left w:val="none" w:sz="0" w:space="0" w:color="auto"/>
        <w:bottom w:val="none" w:sz="0" w:space="0" w:color="auto"/>
        <w:right w:val="none" w:sz="0" w:space="0" w:color="auto"/>
      </w:divBdr>
    </w:div>
    <w:div w:id="326859676">
      <w:bodyDiv w:val="1"/>
      <w:marLeft w:val="0"/>
      <w:marRight w:val="0"/>
      <w:marTop w:val="0"/>
      <w:marBottom w:val="0"/>
      <w:divBdr>
        <w:top w:val="none" w:sz="0" w:space="0" w:color="auto"/>
        <w:left w:val="none" w:sz="0" w:space="0" w:color="auto"/>
        <w:bottom w:val="none" w:sz="0" w:space="0" w:color="auto"/>
        <w:right w:val="none" w:sz="0" w:space="0" w:color="auto"/>
      </w:divBdr>
    </w:div>
    <w:div w:id="327483415">
      <w:bodyDiv w:val="1"/>
      <w:marLeft w:val="0"/>
      <w:marRight w:val="0"/>
      <w:marTop w:val="0"/>
      <w:marBottom w:val="0"/>
      <w:divBdr>
        <w:top w:val="none" w:sz="0" w:space="0" w:color="auto"/>
        <w:left w:val="none" w:sz="0" w:space="0" w:color="auto"/>
        <w:bottom w:val="none" w:sz="0" w:space="0" w:color="auto"/>
        <w:right w:val="none" w:sz="0" w:space="0" w:color="auto"/>
      </w:divBdr>
    </w:div>
    <w:div w:id="328866799">
      <w:bodyDiv w:val="1"/>
      <w:marLeft w:val="0"/>
      <w:marRight w:val="0"/>
      <w:marTop w:val="0"/>
      <w:marBottom w:val="0"/>
      <w:divBdr>
        <w:top w:val="none" w:sz="0" w:space="0" w:color="auto"/>
        <w:left w:val="none" w:sz="0" w:space="0" w:color="auto"/>
        <w:bottom w:val="none" w:sz="0" w:space="0" w:color="auto"/>
        <w:right w:val="none" w:sz="0" w:space="0" w:color="auto"/>
      </w:divBdr>
    </w:div>
    <w:div w:id="329405184">
      <w:bodyDiv w:val="1"/>
      <w:marLeft w:val="0"/>
      <w:marRight w:val="0"/>
      <w:marTop w:val="0"/>
      <w:marBottom w:val="0"/>
      <w:divBdr>
        <w:top w:val="none" w:sz="0" w:space="0" w:color="auto"/>
        <w:left w:val="none" w:sz="0" w:space="0" w:color="auto"/>
        <w:bottom w:val="none" w:sz="0" w:space="0" w:color="auto"/>
        <w:right w:val="none" w:sz="0" w:space="0" w:color="auto"/>
      </w:divBdr>
    </w:div>
    <w:div w:id="330833074">
      <w:bodyDiv w:val="1"/>
      <w:marLeft w:val="0"/>
      <w:marRight w:val="0"/>
      <w:marTop w:val="0"/>
      <w:marBottom w:val="0"/>
      <w:divBdr>
        <w:top w:val="none" w:sz="0" w:space="0" w:color="auto"/>
        <w:left w:val="none" w:sz="0" w:space="0" w:color="auto"/>
        <w:bottom w:val="none" w:sz="0" w:space="0" w:color="auto"/>
        <w:right w:val="none" w:sz="0" w:space="0" w:color="auto"/>
      </w:divBdr>
    </w:div>
    <w:div w:id="331566105">
      <w:bodyDiv w:val="1"/>
      <w:marLeft w:val="0"/>
      <w:marRight w:val="0"/>
      <w:marTop w:val="0"/>
      <w:marBottom w:val="0"/>
      <w:divBdr>
        <w:top w:val="none" w:sz="0" w:space="0" w:color="auto"/>
        <w:left w:val="none" w:sz="0" w:space="0" w:color="auto"/>
        <w:bottom w:val="none" w:sz="0" w:space="0" w:color="auto"/>
        <w:right w:val="none" w:sz="0" w:space="0" w:color="auto"/>
      </w:divBdr>
    </w:div>
    <w:div w:id="332226067">
      <w:bodyDiv w:val="1"/>
      <w:marLeft w:val="0"/>
      <w:marRight w:val="0"/>
      <w:marTop w:val="0"/>
      <w:marBottom w:val="0"/>
      <w:divBdr>
        <w:top w:val="none" w:sz="0" w:space="0" w:color="auto"/>
        <w:left w:val="none" w:sz="0" w:space="0" w:color="auto"/>
        <w:bottom w:val="none" w:sz="0" w:space="0" w:color="auto"/>
        <w:right w:val="none" w:sz="0" w:space="0" w:color="auto"/>
      </w:divBdr>
    </w:div>
    <w:div w:id="333189513">
      <w:bodyDiv w:val="1"/>
      <w:marLeft w:val="0"/>
      <w:marRight w:val="0"/>
      <w:marTop w:val="0"/>
      <w:marBottom w:val="0"/>
      <w:divBdr>
        <w:top w:val="none" w:sz="0" w:space="0" w:color="auto"/>
        <w:left w:val="none" w:sz="0" w:space="0" w:color="auto"/>
        <w:bottom w:val="none" w:sz="0" w:space="0" w:color="auto"/>
        <w:right w:val="none" w:sz="0" w:space="0" w:color="auto"/>
      </w:divBdr>
    </w:div>
    <w:div w:id="335888148">
      <w:bodyDiv w:val="1"/>
      <w:marLeft w:val="0"/>
      <w:marRight w:val="0"/>
      <w:marTop w:val="0"/>
      <w:marBottom w:val="0"/>
      <w:divBdr>
        <w:top w:val="none" w:sz="0" w:space="0" w:color="auto"/>
        <w:left w:val="none" w:sz="0" w:space="0" w:color="auto"/>
        <w:bottom w:val="none" w:sz="0" w:space="0" w:color="auto"/>
        <w:right w:val="none" w:sz="0" w:space="0" w:color="auto"/>
      </w:divBdr>
    </w:div>
    <w:div w:id="336344152">
      <w:bodyDiv w:val="1"/>
      <w:marLeft w:val="0"/>
      <w:marRight w:val="0"/>
      <w:marTop w:val="0"/>
      <w:marBottom w:val="0"/>
      <w:divBdr>
        <w:top w:val="none" w:sz="0" w:space="0" w:color="auto"/>
        <w:left w:val="none" w:sz="0" w:space="0" w:color="auto"/>
        <w:bottom w:val="none" w:sz="0" w:space="0" w:color="auto"/>
        <w:right w:val="none" w:sz="0" w:space="0" w:color="auto"/>
      </w:divBdr>
    </w:div>
    <w:div w:id="337121617">
      <w:bodyDiv w:val="1"/>
      <w:marLeft w:val="0"/>
      <w:marRight w:val="0"/>
      <w:marTop w:val="0"/>
      <w:marBottom w:val="0"/>
      <w:divBdr>
        <w:top w:val="none" w:sz="0" w:space="0" w:color="auto"/>
        <w:left w:val="none" w:sz="0" w:space="0" w:color="auto"/>
        <w:bottom w:val="none" w:sz="0" w:space="0" w:color="auto"/>
        <w:right w:val="none" w:sz="0" w:space="0" w:color="auto"/>
      </w:divBdr>
    </w:div>
    <w:div w:id="337584132">
      <w:bodyDiv w:val="1"/>
      <w:marLeft w:val="0"/>
      <w:marRight w:val="0"/>
      <w:marTop w:val="0"/>
      <w:marBottom w:val="0"/>
      <w:divBdr>
        <w:top w:val="none" w:sz="0" w:space="0" w:color="auto"/>
        <w:left w:val="none" w:sz="0" w:space="0" w:color="auto"/>
        <w:bottom w:val="none" w:sz="0" w:space="0" w:color="auto"/>
        <w:right w:val="none" w:sz="0" w:space="0" w:color="auto"/>
      </w:divBdr>
    </w:div>
    <w:div w:id="337932324">
      <w:bodyDiv w:val="1"/>
      <w:marLeft w:val="0"/>
      <w:marRight w:val="0"/>
      <w:marTop w:val="0"/>
      <w:marBottom w:val="0"/>
      <w:divBdr>
        <w:top w:val="none" w:sz="0" w:space="0" w:color="auto"/>
        <w:left w:val="none" w:sz="0" w:space="0" w:color="auto"/>
        <w:bottom w:val="none" w:sz="0" w:space="0" w:color="auto"/>
        <w:right w:val="none" w:sz="0" w:space="0" w:color="auto"/>
      </w:divBdr>
    </w:div>
    <w:div w:id="338432050">
      <w:bodyDiv w:val="1"/>
      <w:marLeft w:val="0"/>
      <w:marRight w:val="0"/>
      <w:marTop w:val="0"/>
      <w:marBottom w:val="0"/>
      <w:divBdr>
        <w:top w:val="none" w:sz="0" w:space="0" w:color="auto"/>
        <w:left w:val="none" w:sz="0" w:space="0" w:color="auto"/>
        <w:bottom w:val="none" w:sz="0" w:space="0" w:color="auto"/>
        <w:right w:val="none" w:sz="0" w:space="0" w:color="auto"/>
      </w:divBdr>
    </w:div>
    <w:div w:id="339742819">
      <w:bodyDiv w:val="1"/>
      <w:marLeft w:val="0"/>
      <w:marRight w:val="0"/>
      <w:marTop w:val="0"/>
      <w:marBottom w:val="0"/>
      <w:divBdr>
        <w:top w:val="none" w:sz="0" w:space="0" w:color="auto"/>
        <w:left w:val="none" w:sz="0" w:space="0" w:color="auto"/>
        <w:bottom w:val="none" w:sz="0" w:space="0" w:color="auto"/>
        <w:right w:val="none" w:sz="0" w:space="0" w:color="auto"/>
      </w:divBdr>
    </w:div>
    <w:div w:id="340283238">
      <w:bodyDiv w:val="1"/>
      <w:marLeft w:val="0"/>
      <w:marRight w:val="0"/>
      <w:marTop w:val="0"/>
      <w:marBottom w:val="0"/>
      <w:divBdr>
        <w:top w:val="none" w:sz="0" w:space="0" w:color="auto"/>
        <w:left w:val="none" w:sz="0" w:space="0" w:color="auto"/>
        <w:bottom w:val="none" w:sz="0" w:space="0" w:color="auto"/>
        <w:right w:val="none" w:sz="0" w:space="0" w:color="auto"/>
      </w:divBdr>
    </w:div>
    <w:div w:id="341324236">
      <w:bodyDiv w:val="1"/>
      <w:marLeft w:val="0"/>
      <w:marRight w:val="0"/>
      <w:marTop w:val="0"/>
      <w:marBottom w:val="0"/>
      <w:divBdr>
        <w:top w:val="none" w:sz="0" w:space="0" w:color="auto"/>
        <w:left w:val="none" w:sz="0" w:space="0" w:color="auto"/>
        <w:bottom w:val="none" w:sz="0" w:space="0" w:color="auto"/>
        <w:right w:val="none" w:sz="0" w:space="0" w:color="auto"/>
      </w:divBdr>
    </w:div>
    <w:div w:id="341933829">
      <w:bodyDiv w:val="1"/>
      <w:marLeft w:val="0"/>
      <w:marRight w:val="0"/>
      <w:marTop w:val="0"/>
      <w:marBottom w:val="0"/>
      <w:divBdr>
        <w:top w:val="none" w:sz="0" w:space="0" w:color="auto"/>
        <w:left w:val="none" w:sz="0" w:space="0" w:color="auto"/>
        <w:bottom w:val="none" w:sz="0" w:space="0" w:color="auto"/>
        <w:right w:val="none" w:sz="0" w:space="0" w:color="auto"/>
      </w:divBdr>
    </w:div>
    <w:div w:id="343097617">
      <w:bodyDiv w:val="1"/>
      <w:marLeft w:val="0"/>
      <w:marRight w:val="0"/>
      <w:marTop w:val="0"/>
      <w:marBottom w:val="0"/>
      <w:divBdr>
        <w:top w:val="none" w:sz="0" w:space="0" w:color="auto"/>
        <w:left w:val="none" w:sz="0" w:space="0" w:color="auto"/>
        <w:bottom w:val="none" w:sz="0" w:space="0" w:color="auto"/>
        <w:right w:val="none" w:sz="0" w:space="0" w:color="auto"/>
      </w:divBdr>
    </w:div>
    <w:div w:id="343825209">
      <w:bodyDiv w:val="1"/>
      <w:marLeft w:val="0"/>
      <w:marRight w:val="0"/>
      <w:marTop w:val="0"/>
      <w:marBottom w:val="0"/>
      <w:divBdr>
        <w:top w:val="none" w:sz="0" w:space="0" w:color="auto"/>
        <w:left w:val="none" w:sz="0" w:space="0" w:color="auto"/>
        <w:bottom w:val="none" w:sz="0" w:space="0" w:color="auto"/>
        <w:right w:val="none" w:sz="0" w:space="0" w:color="auto"/>
      </w:divBdr>
    </w:div>
    <w:div w:id="343896343">
      <w:bodyDiv w:val="1"/>
      <w:marLeft w:val="0"/>
      <w:marRight w:val="0"/>
      <w:marTop w:val="0"/>
      <w:marBottom w:val="0"/>
      <w:divBdr>
        <w:top w:val="none" w:sz="0" w:space="0" w:color="auto"/>
        <w:left w:val="none" w:sz="0" w:space="0" w:color="auto"/>
        <w:bottom w:val="none" w:sz="0" w:space="0" w:color="auto"/>
        <w:right w:val="none" w:sz="0" w:space="0" w:color="auto"/>
      </w:divBdr>
    </w:div>
    <w:div w:id="346060721">
      <w:bodyDiv w:val="1"/>
      <w:marLeft w:val="0"/>
      <w:marRight w:val="0"/>
      <w:marTop w:val="0"/>
      <w:marBottom w:val="0"/>
      <w:divBdr>
        <w:top w:val="none" w:sz="0" w:space="0" w:color="auto"/>
        <w:left w:val="none" w:sz="0" w:space="0" w:color="auto"/>
        <w:bottom w:val="none" w:sz="0" w:space="0" w:color="auto"/>
        <w:right w:val="none" w:sz="0" w:space="0" w:color="auto"/>
      </w:divBdr>
    </w:div>
    <w:div w:id="346445470">
      <w:bodyDiv w:val="1"/>
      <w:marLeft w:val="0"/>
      <w:marRight w:val="0"/>
      <w:marTop w:val="0"/>
      <w:marBottom w:val="0"/>
      <w:divBdr>
        <w:top w:val="none" w:sz="0" w:space="0" w:color="auto"/>
        <w:left w:val="none" w:sz="0" w:space="0" w:color="auto"/>
        <w:bottom w:val="none" w:sz="0" w:space="0" w:color="auto"/>
        <w:right w:val="none" w:sz="0" w:space="0" w:color="auto"/>
      </w:divBdr>
    </w:div>
    <w:div w:id="348264254">
      <w:bodyDiv w:val="1"/>
      <w:marLeft w:val="0"/>
      <w:marRight w:val="0"/>
      <w:marTop w:val="0"/>
      <w:marBottom w:val="0"/>
      <w:divBdr>
        <w:top w:val="none" w:sz="0" w:space="0" w:color="auto"/>
        <w:left w:val="none" w:sz="0" w:space="0" w:color="auto"/>
        <w:bottom w:val="none" w:sz="0" w:space="0" w:color="auto"/>
        <w:right w:val="none" w:sz="0" w:space="0" w:color="auto"/>
      </w:divBdr>
    </w:div>
    <w:div w:id="348992290">
      <w:bodyDiv w:val="1"/>
      <w:marLeft w:val="0"/>
      <w:marRight w:val="0"/>
      <w:marTop w:val="0"/>
      <w:marBottom w:val="0"/>
      <w:divBdr>
        <w:top w:val="none" w:sz="0" w:space="0" w:color="auto"/>
        <w:left w:val="none" w:sz="0" w:space="0" w:color="auto"/>
        <w:bottom w:val="none" w:sz="0" w:space="0" w:color="auto"/>
        <w:right w:val="none" w:sz="0" w:space="0" w:color="auto"/>
      </w:divBdr>
    </w:div>
    <w:div w:id="349189726">
      <w:bodyDiv w:val="1"/>
      <w:marLeft w:val="0"/>
      <w:marRight w:val="0"/>
      <w:marTop w:val="0"/>
      <w:marBottom w:val="0"/>
      <w:divBdr>
        <w:top w:val="none" w:sz="0" w:space="0" w:color="auto"/>
        <w:left w:val="none" w:sz="0" w:space="0" w:color="auto"/>
        <w:bottom w:val="none" w:sz="0" w:space="0" w:color="auto"/>
        <w:right w:val="none" w:sz="0" w:space="0" w:color="auto"/>
      </w:divBdr>
    </w:div>
    <w:div w:id="350880993">
      <w:bodyDiv w:val="1"/>
      <w:marLeft w:val="0"/>
      <w:marRight w:val="0"/>
      <w:marTop w:val="0"/>
      <w:marBottom w:val="0"/>
      <w:divBdr>
        <w:top w:val="none" w:sz="0" w:space="0" w:color="auto"/>
        <w:left w:val="none" w:sz="0" w:space="0" w:color="auto"/>
        <w:bottom w:val="none" w:sz="0" w:space="0" w:color="auto"/>
        <w:right w:val="none" w:sz="0" w:space="0" w:color="auto"/>
      </w:divBdr>
    </w:div>
    <w:div w:id="350882757">
      <w:bodyDiv w:val="1"/>
      <w:marLeft w:val="0"/>
      <w:marRight w:val="0"/>
      <w:marTop w:val="0"/>
      <w:marBottom w:val="0"/>
      <w:divBdr>
        <w:top w:val="none" w:sz="0" w:space="0" w:color="auto"/>
        <w:left w:val="none" w:sz="0" w:space="0" w:color="auto"/>
        <w:bottom w:val="none" w:sz="0" w:space="0" w:color="auto"/>
        <w:right w:val="none" w:sz="0" w:space="0" w:color="auto"/>
      </w:divBdr>
    </w:div>
    <w:div w:id="353504299">
      <w:bodyDiv w:val="1"/>
      <w:marLeft w:val="0"/>
      <w:marRight w:val="0"/>
      <w:marTop w:val="0"/>
      <w:marBottom w:val="0"/>
      <w:divBdr>
        <w:top w:val="none" w:sz="0" w:space="0" w:color="auto"/>
        <w:left w:val="none" w:sz="0" w:space="0" w:color="auto"/>
        <w:bottom w:val="none" w:sz="0" w:space="0" w:color="auto"/>
        <w:right w:val="none" w:sz="0" w:space="0" w:color="auto"/>
      </w:divBdr>
    </w:div>
    <w:div w:id="355010818">
      <w:bodyDiv w:val="1"/>
      <w:marLeft w:val="0"/>
      <w:marRight w:val="0"/>
      <w:marTop w:val="0"/>
      <w:marBottom w:val="0"/>
      <w:divBdr>
        <w:top w:val="none" w:sz="0" w:space="0" w:color="auto"/>
        <w:left w:val="none" w:sz="0" w:space="0" w:color="auto"/>
        <w:bottom w:val="none" w:sz="0" w:space="0" w:color="auto"/>
        <w:right w:val="none" w:sz="0" w:space="0" w:color="auto"/>
      </w:divBdr>
    </w:div>
    <w:div w:id="356663860">
      <w:bodyDiv w:val="1"/>
      <w:marLeft w:val="0"/>
      <w:marRight w:val="0"/>
      <w:marTop w:val="0"/>
      <w:marBottom w:val="0"/>
      <w:divBdr>
        <w:top w:val="none" w:sz="0" w:space="0" w:color="auto"/>
        <w:left w:val="none" w:sz="0" w:space="0" w:color="auto"/>
        <w:bottom w:val="none" w:sz="0" w:space="0" w:color="auto"/>
        <w:right w:val="none" w:sz="0" w:space="0" w:color="auto"/>
      </w:divBdr>
    </w:div>
    <w:div w:id="357589421">
      <w:bodyDiv w:val="1"/>
      <w:marLeft w:val="0"/>
      <w:marRight w:val="0"/>
      <w:marTop w:val="0"/>
      <w:marBottom w:val="0"/>
      <w:divBdr>
        <w:top w:val="none" w:sz="0" w:space="0" w:color="auto"/>
        <w:left w:val="none" w:sz="0" w:space="0" w:color="auto"/>
        <w:bottom w:val="none" w:sz="0" w:space="0" w:color="auto"/>
        <w:right w:val="none" w:sz="0" w:space="0" w:color="auto"/>
      </w:divBdr>
    </w:div>
    <w:div w:id="358044476">
      <w:bodyDiv w:val="1"/>
      <w:marLeft w:val="0"/>
      <w:marRight w:val="0"/>
      <w:marTop w:val="0"/>
      <w:marBottom w:val="0"/>
      <w:divBdr>
        <w:top w:val="none" w:sz="0" w:space="0" w:color="auto"/>
        <w:left w:val="none" w:sz="0" w:space="0" w:color="auto"/>
        <w:bottom w:val="none" w:sz="0" w:space="0" w:color="auto"/>
        <w:right w:val="none" w:sz="0" w:space="0" w:color="auto"/>
      </w:divBdr>
    </w:div>
    <w:div w:id="358552101">
      <w:bodyDiv w:val="1"/>
      <w:marLeft w:val="0"/>
      <w:marRight w:val="0"/>
      <w:marTop w:val="0"/>
      <w:marBottom w:val="0"/>
      <w:divBdr>
        <w:top w:val="none" w:sz="0" w:space="0" w:color="auto"/>
        <w:left w:val="none" w:sz="0" w:space="0" w:color="auto"/>
        <w:bottom w:val="none" w:sz="0" w:space="0" w:color="auto"/>
        <w:right w:val="none" w:sz="0" w:space="0" w:color="auto"/>
      </w:divBdr>
    </w:div>
    <w:div w:id="359203850">
      <w:bodyDiv w:val="1"/>
      <w:marLeft w:val="0"/>
      <w:marRight w:val="0"/>
      <w:marTop w:val="0"/>
      <w:marBottom w:val="0"/>
      <w:divBdr>
        <w:top w:val="none" w:sz="0" w:space="0" w:color="auto"/>
        <w:left w:val="none" w:sz="0" w:space="0" w:color="auto"/>
        <w:bottom w:val="none" w:sz="0" w:space="0" w:color="auto"/>
        <w:right w:val="none" w:sz="0" w:space="0" w:color="auto"/>
      </w:divBdr>
    </w:div>
    <w:div w:id="361128702">
      <w:bodyDiv w:val="1"/>
      <w:marLeft w:val="0"/>
      <w:marRight w:val="0"/>
      <w:marTop w:val="0"/>
      <w:marBottom w:val="0"/>
      <w:divBdr>
        <w:top w:val="none" w:sz="0" w:space="0" w:color="auto"/>
        <w:left w:val="none" w:sz="0" w:space="0" w:color="auto"/>
        <w:bottom w:val="none" w:sz="0" w:space="0" w:color="auto"/>
        <w:right w:val="none" w:sz="0" w:space="0" w:color="auto"/>
      </w:divBdr>
    </w:div>
    <w:div w:id="361637266">
      <w:bodyDiv w:val="1"/>
      <w:marLeft w:val="0"/>
      <w:marRight w:val="0"/>
      <w:marTop w:val="0"/>
      <w:marBottom w:val="0"/>
      <w:divBdr>
        <w:top w:val="none" w:sz="0" w:space="0" w:color="auto"/>
        <w:left w:val="none" w:sz="0" w:space="0" w:color="auto"/>
        <w:bottom w:val="none" w:sz="0" w:space="0" w:color="auto"/>
        <w:right w:val="none" w:sz="0" w:space="0" w:color="auto"/>
      </w:divBdr>
    </w:div>
    <w:div w:id="363337011">
      <w:bodyDiv w:val="1"/>
      <w:marLeft w:val="0"/>
      <w:marRight w:val="0"/>
      <w:marTop w:val="0"/>
      <w:marBottom w:val="0"/>
      <w:divBdr>
        <w:top w:val="none" w:sz="0" w:space="0" w:color="auto"/>
        <w:left w:val="none" w:sz="0" w:space="0" w:color="auto"/>
        <w:bottom w:val="none" w:sz="0" w:space="0" w:color="auto"/>
        <w:right w:val="none" w:sz="0" w:space="0" w:color="auto"/>
      </w:divBdr>
    </w:div>
    <w:div w:id="363598171">
      <w:bodyDiv w:val="1"/>
      <w:marLeft w:val="0"/>
      <w:marRight w:val="0"/>
      <w:marTop w:val="0"/>
      <w:marBottom w:val="0"/>
      <w:divBdr>
        <w:top w:val="none" w:sz="0" w:space="0" w:color="auto"/>
        <w:left w:val="none" w:sz="0" w:space="0" w:color="auto"/>
        <w:bottom w:val="none" w:sz="0" w:space="0" w:color="auto"/>
        <w:right w:val="none" w:sz="0" w:space="0" w:color="auto"/>
      </w:divBdr>
    </w:div>
    <w:div w:id="364254439">
      <w:bodyDiv w:val="1"/>
      <w:marLeft w:val="0"/>
      <w:marRight w:val="0"/>
      <w:marTop w:val="0"/>
      <w:marBottom w:val="0"/>
      <w:divBdr>
        <w:top w:val="none" w:sz="0" w:space="0" w:color="auto"/>
        <w:left w:val="none" w:sz="0" w:space="0" w:color="auto"/>
        <w:bottom w:val="none" w:sz="0" w:space="0" w:color="auto"/>
        <w:right w:val="none" w:sz="0" w:space="0" w:color="auto"/>
      </w:divBdr>
    </w:div>
    <w:div w:id="364916061">
      <w:bodyDiv w:val="1"/>
      <w:marLeft w:val="0"/>
      <w:marRight w:val="0"/>
      <w:marTop w:val="0"/>
      <w:marBottom w:val="0"/>
      <w:divBdr>
        <w:top w:val="none" w:sz="0" w:space="0" w:color="auto"/>
        <w:left w:val="none" w:sz="0" w:space="0" w:color="auto"/>
        <w:bottom w:val="none" w:sz="0" w:space="0" w:color="auto"/>
        <w:right w:val="none" w:sz="0" w:space="0" w:color="auto"/>
      </w:divBdr>
    </w:div>
    <w:div w:id="365258658">
      <w:bodyDiv w:val="1"/>
      <w:marLeft w:val="0"/>
      <w:marRight w:val="0"/>
      <w:marTop w:val="0"/>
      <w:marBottom w:val="0"/>
      <w:divBdr>
        <w:top w:val="none" w:sz="0" w:space="0" w:color="auto"/>
        <w:left w:val="none" w:sz="0" w:space="0" w:color="auto"/>
        <w:bottom w:val="none" w:sz="0" w:space="0" w:color="auto"/>
        <w:right w:val="none" w:sz="0" w:space="0" w:color="auto"/>
      </w:divBdr>
    </w:div>
    <w:div w:id="365330273">
      <w:bodyDiv w:val="1"/>
      <w:marLeft w:val="0"/>
      <w:marRight w:val="0"/>
      <w:marTop w:val="0"/>
      <w:marBottom w:val="0"/>
      <w:divBdr>
        <w:top w:val="none" w:sz="0" w:space="0" w:color="auto"/>
        <w:left w:val="none" w:sz="0" w:space="0" w:color="auto"/>
        <w:bottom w:val="none" w:sz="0" w:space="0" w:color="auto"/>
        <w:right w:val="none" w:sz="0" w:space="0" w:color="auto"/>
      </w:divBdr>
    </w:div>
    <w:div w:id="366878930">
      <w:bodyDiv w:val="1"/>
      <w:marLeft w:val="0"/>
      <w:marRight w:val="0"/>
      <w:marTop w:val="0"/>
      <w:marBottom w:val="0"/>
      <w:divBdr>
        <w:top w:val="none" w:sz="0" w:space="0" w:color="auto"/>
        <w:left w:val="none" w:sz="0" w:space="0" w:color="auto"/>
        <w:bottom w:val="none" w:sz="0" w:space="0" w:color="auto"/>
        <w:right w:val="none" w:sz="0" w:space="0" w:color="auto"/>
      </w:divBdr>
    </w:div>
    <w:div w:id="367416195">
      <w:bodyDiv w:val="1"/>
      <w:marLeft w:val="0"/>
      <w:marRight w:val="0"/>
      <w:marTop w:val="0"/>
      <w:marBottom w:val="0"/>
      <w:divBdr>
        <w:top w:val="none" w:sz="0" w:space="0" w:color="auto"/>
        <w:left w:val="none" w:sz="0" w:space="0" w:color="auto"/>
        <w:bottom w:val="none" w:sz="0" w:space="0" w:color="auto"/>
        <w:right w:val="none" w:sz="0" w:space="0" w:color="auto"/>
      </w:divBdr>
    </w:div>
    <w:div w:id="368726077">
      <w:bodyDiv w:val="1"/>
      <w:marLeft w:val="0"/>
      <w:marRight w:val="0"/>
      <w:marTop w:val="0"/>
      <w:marBottom w:val="0"/>
      <w:divBdr>
        <w:top w:val="none" w:sz="0" w:space="0" w:color="auto"/>
        <w:left w:val="none" w:sz="0" w:space="0" w:color="auto"/>
        <w:bottom w:val="none" w:sz="0" w:space="0" w:color="auto"/>
        <w:right w:val="none" w:sz="0" w:space="0" w:color="auto"/>
      </w:divBdr>
    </w:div>
    <w:div w:id="369259222">
      <w:bodyDiv w:val="1"/>
      <w:marLeft w:val="0"/>
      <w:marRight w:val="0"/>
      <w:marTop w:val="0"/>
      <w:marBottom w:val="0"/>
      <w:divBdr>
        <w:top w:val="none" w:sz="0" w:space="0" w:color="auto"/>
        <w:left w:val="none" w:sz="0" w:space="0" w:color="auto"/>
        <w:bottom w:val="none" w:sz="0" w:space="0" w:color="auto"/>
        <w:right w:val="none" w:sz="0" w:space="0" w:color="auto"/>
      </w:divBdr>
    </w:div>
    <w:div w:id="369451166">
      <w:bodyDiv w:val="1"/>
      <w:marLeft w:val="0"/>
      <w:marRight w:val="0"/>
      <w:marTop w:val="0"/>
      <w:marBottom w:val="0"/>
      <w:divBdr>
        <w:top w:val="none" w:sz="0" w:space="0" w:color="auto"/>
        <w:left w:val="none" w:sz="0" w:space="0" w:color="auto"/>
        <w:bottom w:val="none" w:sz="0" w:space="0" w:color="auto"/>
        <w:right w:val="none" w:sz="0" w:space="0" w:color="auto"/>
      </w:divBdr>
    </w:div>
    <w:div w:id="370956851">
      <w:bodyDiv w:val="1"/>
      <w:marLeft w:val="0"/>
      <w:marRight w:val="0"/>
      <w:marTop w:val="0"/>
      <w:marBottom w:val="0"/>
      <w:divBdr>
        <w:top w:val="none" w:sz="0" w:space="0" w:color="auto"/>
        <w:left w:val="none" w:sz="0" w:space="0" w:color="auto"/>
        <w:bottom w:val="none" w:sz="0" w:space="0" w:color="auto"/>
        <w:right w:val="none" w:sz="0" w:space="0" w:color="auto"/>
      </w:divBdr>
    </w:div>
    <w:div w:id="371157535">
      <w:bodyDiv w:val="1"/>
      <w:marLeft w:val="0"/>
      <w:marRight w:val="0"/>
      <w:marTop w:val="0"/>
      <w:marBottom w:val="0"/>
      <w:divBdr>
        <w:top w:val="none" w:sz="0" w:space="0" w:color="auto"/>
        <w:left w:val="none" w:sz="0" w:space="0" w:color="auto"/>
        <w:bottom w:val="none" w:sz="0" w:space="0" w:color="auto"/>
        <w:right w:val="none" w:sz="0" w:space="0" w:color="auto"/>
      </w:divBdr>
    </w:div>
    <w:div w:id="373698535">
      <w:bodyDiv w:val="1"/>
      <w:marLeft w:val="0"/>
      <w:marRight w:val="0"/>
      <w:marTop w:val="0"/>
      <w:marBottom w:val="0"/>
      <w:divBdr>
        <w:top w:val="none" w:sz="0" w:space="0" w:color="auto"/>
        <w:left w:val="none" w:sz="0" w:space="0" w:color="auto"/>
        <w:bottom w:val="none" w:sz="0" w:space="0" w:color="auto"/>
        <w:right w:val="none" w:sz="0" w:space="0" w:color="auto"/>
      </w:divBdr>
    </w:div>
    <w:div w:id="374623781">
      <w:bodyDiv w:val="1"/>
      <w:marLeft w:val="0"/>
      <w:marRight w:val="0"/>
      <w:marTop w:val="0"/>
      <w:marBottom w:val="0"/>
      <w:divBdr>
        <w:top w:val="none" w:sz="0" w:space="0" w:color="auto"/>
        <w:left w:val="none" w:sz="0" w:space="0" w:color="auto"/>
        <w:bottom w:val="none" w:sz="0" w:space="0" w:color="auto"/>
        <w:right w:val="none" w:sz="0" w:space="0" w:color="auto"/>
      </w:divBdr>
    </w:div>
    <w:div w:id="375355026">
      <w:bodyDiv w:val="1"/>
      <w:marLeft w:val="0"/>
      <w:marRight w:val="0"/>
      <w:marTop w:val="0"/>
      <w:marBottom w:val="0"/>
      <w:divBdr>
        <w:top w:val="none" w:sz="0" w:space="0" w:color="auto"/>
        <w:left w:val="none" w:sz="0" w:space="0" w:color="auto"/>
        <w:bottom w:val="none" w:sz="0" w:space="0" w:color="auto"/>
        <w:right w:val="none" w:sz="0" w:space="0" w:color="auto"/>
      </w:divBdr>
    </w:div>
    <w:div w:id="375811170">
      <w:bodyDiv w:val="1"/>
      <w:marLeft w:val="0"/>
      <w:marRight w:val="0"/>
      <w:marTop w:val="0"/>
      <w:marBottom w:val="0"/>
      <w:divBdr>
        <w:top w:val="none" w:sz="0" w:space="0" w:color="auto"/>
        <w:left w:val="none" w:sz="0" w:space="0" w:color="auto"/>
        <w:bottom w:val="none" w:sz="0" w:space="0" w:color="auto"/>
        <w:right w:val="none" w:sz="0" w:space="0" w:color="auto"/>
      </w:divBdr>
    </w:div>
    <w:div w:id="376010657">
      <w:bodyDiv w:val="1"/>
      <w:marLeft w:val="0"/>
      <w:marRight w:val="0"/>
      <w:marTop w:val="0"/>
      <w:marBottom w:val="0"/>
      <w:divBdr>
        <w:top w:val="none" w:sz="0" w:space="0" w:color="auto"/>
        <w:left w:val="none" w:sz="0" w:space="0" w:color="auto"/>
        <w:bottom w:val="none" w:sz="0" w:space="0" w:color="auto"/>
        <w:right w:val="none" w:sz="0" w:space="0" w:color="auto"/>
      </w:divBdr>
    </w:div>
    <w:div w:id="376318578">
      <w:bodyDiv w:val="1"/>
      <w:marLeft w:val="0"/>
      <w:marRight w:val="0"/>
      <w:marTop w:val="0"/>
      <w:marBottom w:val="0"/>
      <w:divBdr>
        <w:top w:val="none" w:sz="0" w:space="0" w:color="auto"/>
        <w:left w:val="none" w:sz="0" w:space="0" w:color="auto"/>
        <w:bottom w:val="none" w:sz="0" w:space="0" w:color="auto"/>
        <w:right w:val="none" w:sz="0" w:space="0" w:color="auto"/>
      </w:divBdr>
    </w:div>
    <w:div w:id="376859131">
      <w:bodyDiv w:val="1"/>
      <w:marLeft w:val="0"/>
      <w:marRight w:val="0"/>
      <w:marTop w:val="0"/>
      <w:marBottom w:val="0"/>
      <w:divBdr>
        <w:top w:val="none" w:sz="0" w:space="0" w:color="auto"/>
        <w:left w:val="none" w:sz="0" w:space="0" w:color="auto"/>
        <w:bottom w:val="none" w:sz="0" w:space="0" w:color="auto"/>
        <w:right w:val="none" w:sz="0" w:space="0" w:color="auto"/>
      </w:divBdr>
    </w:div>
    <w:div w:id="377901723">
      <w:bodyDiv w:val="1"/>
      <w:marLeft w:val="0"/>
      <w:marRight w:val="0"/>
      <w:marTop w:val="0"/>
      <w:marBottom w:val="0"/>
      <w:divBdr>
        <w:top w:val="none" w:sz="0" w:space="0" w:color="auto"/>
        <w:left w:val="none" w:sz="0" w:space="0" w:color="auto"/>
        <w:bottom w:val="none" w:sz="0" w:space="0" w:color="auto"/>
        <w:right w:val="none" w:sz="0" w:space="0" w:color="auto"/>
      </w:divBdr>
    </w:div>
    <w:div w:id="378165193">
      <w:bodyDiv w:val="1"/>
      <w:marLeft w:val="0"/>
      <w:marRight w:val="0"/>
      <w:marTop w:val="0"/>
      <w:marBottom w:val="0"/>
      <w:divBdr>
        <w:top w:val="none" w:sz="0" w:space="0" w:color="auto"/>
        <w:left w:val="none" w:sz="0" w:space="0" w:color="auto"/>
        <w:bottom w:val="none" w:sz="0" w:space="0" w:color="auto"/>
        <w:right w:val="none" w:sz="0" w:space="0" w:color="auto"/>
      </w:divBdr>
    </w:div>
    <w:div w:id="378287765">
      <w:bodyDiv w:val="1"/>
      <w:marLeft w:val="0"/>
      <w:marRight w:val="0"/>
      <w:marTop w:val="0"/>
      <w:marBottom w:val="0"/>
      <w:divBdr>
        <w:top w:val="none" w:sz="0" w:space="0" w:color="auto"/>
        <w:left w:val="none" w:sz="0" w:space="0" w:color="auto"/>
        <w:bottom w:val="none" w:sz="0" w:space="0" w:color="auto"/>
        <w:right w:val="none" w:sz="0" w:space="0" w:color="auto"/>
      </w:divBdr>
    </w:div>
    <w:div w:id="380910500">
      <w:bodyDiv w:val="1"/>
      <w:marLeft w:val="0"/>
      <w:marRight w:val="0"/>
      <w:marTop w:val="0"/>
      <w:marBottom w:val="0"/>
      <w:divBdr>
        <w:top w:val="none" w:sz="0" w:space="0" w:color="auto"/>
        <w:left w:val="none" w:sz="0" w:space="0" w:color="auto"/>
        <w:bottom w:val="none" w:sz="0" w:space="0" w:color="auto"/>
        <w:right w:val="none" w:sz="0" w:space="0" w:color="auto"/>
      </w:divBdr>
    </w:div>
    <w:div w:id="381635730">
      <w:bodyDiv w:val="1"/>
      <w:marLeft w:val="0"/>
      <w:marRight w:val="0"/>
      <w:marTop w:val="0"/>
      <w:marBottom w:val="0"/>
      <w:divBdr>
        <w:top w:val="none" w:sz="0" w:space="0" w:color="auto"/>
        <w:left w:val="none" w:sz="0" w:space="0" w:color="auto"/>
        <w:bottom w:val="none" w:sz="0" w:space="0" w:color="auto"/>
        <w:right w:val="none" w:sz="0" w:space="0" w:color="auto"/>
      </w:divBdr>
    </w:div>
    <w:div w:id="381828890">
      <w:bodyDiv w:val="1"/>
      <w:marLeft w:val="0"/>
      <w:marRight w:val="0"/>
      <w:marTop w:val="0"/>
      <w:marBottom w:val="0"/>
      <w:divBdr>
        <w:top w:val="none" w:sz="0" w:space="0" w:color="auto"/>
        <w:left w:val="none" w:sz="0" w:space="0" w:color="auto"/>
        <w:bottom w:val="none" w:sz="0" w:space="0" w:color="auto"/>
        <w:right w:val="none" w:sz="0" w:space="0" w:color="auto"/>
      </w:divBdr>
    </w:div>
    <w:div w:id="383214215">
      <w:bodyDiv w:val="1"/>
      <w:marLeft w:val="0"/>
      <w:marRight w:val="0"/>
      <w:marTop w:val="0"/>
      <w:marBottom w:val="0"/>
      <w:divBdr>
        <w:top w:val="none" w:sz="0" w:space="0" w:color="auto"/>
        <w:left w:val="none" w:sz="0" w:space="0" w:color="auto"/>
        <w:bottom w:val="none" w:sz="0" w:space="0" w:color="auto"/>
        <w:right w:val="none" w:sz="0" w:space="0" w:color="auto"/>
      </w:divBdr>
    </w:div>
    <w:div w:id="385374621">
      <w:bodyDiv w:val="1"/>
      <w:marLeft w:val="0"/>
      <w:marRight w:val="0"/>
      <w:marTop w:val="0"/>
      <w:marBottom w:val="0"/>
      <w:divBdr>
        <w:top w:val="none" w:sz="0" w:space="0" w:color="auto"/>
        <w:left w:val="none" w:sz="0" w:space="0" w:color="auto"/>
        <w:bottom w:val="none" w:sz="0" w:space="0" w:color="auto"/>
        <w:right w:val="none" w:sz="0" w:space="0" w:color="auto"/>
      </w:divBdr>
    </w:div>
    <w:div w:id="386345906">
      <w:bodyDiv w:val="1"/>
      <w:marLeft w:val="0"/>
      <w:marRight w:val="0"/>
      <w:marTop w:val="0"/>
      <w:marBottom w:val="0"/>
      <w:divBdr>
        <w:top w:val="none" w:sz="0" w:space="0" w:color="auto"/>
        <w:left w:val="none" w:sz="0" w:space="0" w:color="auto"/>
        <w:bottom w:val="none" w:sz="0" w:space="0" w:color="auto"/>
        <w:right w:val="none" w:sz="0" w:space="0" w:color="auto"/>
      </w:divBdr>
    </w:div>
    <w:div w:id="387000131">
      <w:bodyDiv w:val="1"/>
      <w:marLeft w:val="0"/>
      <w:marRight w:val="0"/>
      <w:marTop w:val="0"/>
      <w:marBottom w:val="0"/>
      <w:divBdr>
        <w:top w:val="none" w:sz="0" w:space="0" w:color="auto"/>
        <w:left w:val="none" w:sz="0" w:space="0" w:color="auto"/>
        <w:bottom w:val="none" w:sz="0" w:space="0" w:color="auto"/>
        <w:right w:val="none" w:sz="0" w:space="0" w:color="auto"/>
      </w:divBdr>
    </w:div>
    <w:div w:id="387144843">
      <w:bodyDiv w:val="1"/>
      <w:marLeft w:val="0"/>
      <w:marRight w:val="0"/>
      <w:marTop w:val="0"/>
      <w:marBottom w:val="0"/>
      <w:divBdr>
        <w:top w:val="none" w:sz="0" w:space="0" w:color="auto"/>
        <w:left w:val="none" w:sz="0" w:space="0" w:color="auto"/>
        <w:bottom w:val="none" w:sz="0" w:space="0" w:color="auto"/>
        <w:right w:val="none" w:sz="0" w:space="0" w:color="auto"/>
      </w:divBdr>
    </w:div>
    <w:div w:id="387187795">
      <w:bodyDiv w:val="1"/>
      <w:marLeft w:val="0"/>
      <w:marRight w:val="0"/>
      <w:marTop w:val="0"/>
      <w:marBottom w:val="0"/>
      <w:divBdr>
        <w:top w:val="none" w:sz="0" w:space="0" w:color="auto"/>
        <w:left w:val="none" w:sz="0" w:space="0" w:color="auto"/>
        <w:bottom w:val="none" w:sz="0" w:space="0" w:color="auto"/>
        <w:right w:val="none" w:sz="0" w:space="0" w:color="auto"/>
      </w:divBdr>
    </w:div>
    <w:div w:id="387268109">
      <w:bodyDiv w:val="1"/>
      <w:marLeft w:val="0"/>
      <w:marRight w:val="0"/>
      <w:marTop w:val="0"/>
      <w:marBottom w:val="0"/>
      <w:divBdr>
        <w:top w:val="none" w:sz="0" w:space="0" w:color="auto"/>
        <w:left w:val="none" w:sz="0" w:space="0" w:color="auto"/>
        <w:bottom w:val="none" w:sz="0" w:space="0" w:color="auto"/>
        <w:right w:val="none" w:sz="0" w:space="0" w:color="auto"/>
      </w:divBdr>
    </w:div>
    <w:div w:id="387383478">
      <w:bodyDiv w:val="1"/>
      <w:marLeft w:val="0"/>
      <w:marRight w:val="0"/>
      <w:marTop w:val="0"/>
      <w:marBottom w:val="0"/>
      <w:divBdr>
        <w:top w:val="none" w:sz="0" w:space="0" w:color="auto"/>
        <w:left w:val="none" w:sz="0" w:space="0" w:color="auto"/>
        <w:bottom w:val="none" w:sz="0" w:space="0" w:color="auto"/>
        <w:right w:val="none" w:sz="0" w:space="0" w:color="auto"/>
      </w:divBdr>
    </w:div>
    <w:div w:id="387729747">
      <w:bodyDiv w:val="1"/>
      <w:marLeft w:val="0"/>
      <w:marRight w:val="0"/>
      <w:marTop w:val="0"/>
      <w:marBottom w:val="0"/>
      <w:divBdr>
        <w:top w:val="none" w:sz="0" w:space="0" w:color="auto"/>
        <w:left w:val="none" w:sz="0" w:space="0" w:color="auto"/>
        <w:bottom w:val="none" w:sz="0" w:space="0" w:color="auto"/>
        <w:right w:val="none" w:sz="0" w:space="0" w:color="auto"/>
      </w:divBdr>
    </w:div>
    <w:div w:id="388845714">
      <w:bodyDiv w:val="1"/>
      <w:marLeft w:val="0"/>
      <w:marRight w:val="0"/>
      <w:marTop w:val="0"/>
      <w:marBottom w:val="0"/>
      <w:divBdr>
        <w:top w:val="none" w:sz="0" w:space="0" w:color="auto"/>
        <w:left w:val="none" w:sz="0" w:space="0" w:color="auto"/>
        <w:bottom w:val="none" w:sz="0" w:space="0" w:color="auto"/>
        <w:right w:val="none" w:sz="0" w:space="0" w:color="auto"/>
      </w:divBdr>
    </w:div>
    <w:div w:id="389420846">
      <w:bodyDiv w:val="1"/>
      <w:marLeft w:val="0"/>
      <w:marRight w:val="0"/>
      <w:marTop w:val="0"/>
      <w:marBottom w:val="0"/>
      <w:divBdr>
        <w:top w:val="none" w:sz="0" w:space="0" w:color="auto"/>
        <w:left w:val="none" w:sz="0" w:space="0" w:color="auto"/>
        <w:bottom w:val="none" w:sz="0" w:space="0" w:color="auto"/>
        <w:right w:val="none" w:sz="0" w:space="0" w:color="auto"/>
      </w:divBdr>
    </w:div>
    <w:div w:id="390226439">
      <w:bodyDiv w:val="1"/>
      <w:marLeft w:val="0"/>
      <w:marRight w:val="0"/>
      <w:marTop w:val="0"/>
      <w:marBottom w:val="0"/>
      <w:divBdr>
        <w:top w:val="none" w:sz="0" w:space="0" w:color="auto"/>
        <w:left w:val="none" w:sz="0" w:space="0" w:color="auto"/>
        <w:bottom w:val="none" w:sz="0" w:space="0" w:color="auto"/>
        <w:right w:val="none" w:sz="0" w:space="0" w:color="auto"/>
      </w:divBdr>
    </w:div>
    <w:div w:id="391464821">
      <w:bodyDiv w:val="1"/>
      <w:marLeft w:val="0"/>
      <w:marRight w:val="0"/>
      <w:marTop w:val="0"/>
      <w:marBottom w:val="0"/>
      <w:divBdr>
        <w:top w:val="none" w:sz="0" w:space="0" w:color="auto"/>
        <w:left w:val="none" w:sz="0" w:space="0" w:color="auto"/>
        <w:bottom w:val="none" w:sz="0" w:space="0" w:color="auto"/>
        <w:right w:val="none" w:sz="0" w:space="0" w:color="auto"/>
      </w:divBdr>
    </w:div>
    <w:div w:id="391851776">
      <w:bodyDiv w:val="1"/>
      <w:marLeft w:val="0"/>
      <w:marRight w:val="0"/>
      <w:marTop w:val="0"/>
      <w:marBottom w:val="0"/>
      <w:divBdr>
        <w:top w:val="none" w:sz="0" w:space="0" w:color="auto"/>
        <w:left w:val="none" w:sz="0" w:space="0" w:color="auto"/>
        <w:bottom w:val="none" w:sz="0" w:space="0" w:color="auto"/>
        <w:right w:val="none" w:sz="0" w:space="0" w:color="auto"/>
      </w:divBdr>
    </w:div>
    <w:div w:id="392047978">
      <w:bodyDiv w:val="1"/>
      <w:marLeft w:val="0"/>
      <w:marRight w:val="0"/>
      <w:marTop w:val="0"/>
      <w:marBottom w:val="0"/>
      <w:divBdr>
        <w:top w:val="none" w:sz="0" w:space="0" w:color="auto"/>
        <w:left w:val="none" w:sz="0" w:space="0" w:color="auto"/>
        <w:bottom w:val="none" w:sz="0" w:space="0" w:color="auto"/>
        <w:right w:val="none" w:sz="0" w:space="0" w:color="auto"/>
      </w:divBdr>
    </w:div>
    <w:div w:id="392312380">
      <w:bodyDiv w:val="1"/>
      <w:marLeft w:val="0"/>
      <w:marRight w:val="0"/>
      <w:marTop w:val="0"/>
      <w:marBottom w:val="0"/>
      <w:divBdr>
        <w:top w:val="none" w:sz="0" w:space="0" w:color="auto"/>
        <w:left w:val="none" w:sz="0" w:space="0" w:color="auto"/>
        <w:bottom w:val="none" w:sz="0" w:space="0" w:color="auto"/>
        <w:right w:val="none" w:sz="0" w:space="0" w:color="auto"/>
      </w:divBdr>
    </w:div>
    <w:div w:id="392970425">
      <w:bodyDiv w:val="1"/>
      <w:marLeft w:val="0"/>
      <w:marRight w:val="0"/>
      <w:marTop w:val="0"/>
      <w:marBottom w:val="0"/>
      <w:divBdr>
        <w:top w:val="none" w:sz="0" w:space="0" w:color="auto"/>
        <w:left w:val="none" w:sz="0" w:space="0" w:color="auto"/>
        <w:bottom w:val="none" w:sz="0" w:space="0" w:color="auto"/>
        <w:right w:val="none" w:sz="0" w:space="0" w:color="auto"/>
      </w:divBdr>
    </w:div>
    <w:div w:id="393898301">
      <w:bodyDiv w:val="1"/>
      <w:marLeft w:val="0"/>
      <w:marRight w:val="0"/>
      <w:marTop w:val="0"/>
      <w:marBottom w:val="0"/>
      <w:divBdr>
        <w:top w:val="none" w:sz="0" w:space="0" w:color="auto"/>
        <w:left w:val="none" w:sz="0" w:space="0" w:color="auto"/>
        <w:bottom w:val="none" w:sz="0" w:space="0" w:color="auto"/>
        <w:right w:val="none" w:sz="0" w:space="0" w:color="auto"/>
      </w:divBdr>
    </w:div>
    <w:div w:id="394014120">
      <w:bodyDiv w:val="1"/>
      <w:marLeft w:val="0"/>
      <w:marRight w:val="0"/>
      <w:marTop w:val="0"/>
      <w:marBottom w:val="0"/>
      <w:divBdr>
        <w:top w:val="none" w:sz="0" w:space="0" w:color="auto"/>
        <w:left w:val="none" w:sz="0" w:space="0" w:color="auto"/>
        <w:bottom w:val="none" w:sz="0" w:space="0" w:color="auto"/>
        <w:right w:val="none" w:sz="0" w:space="0" w:color="auto"/>
      </w:divBdr>
    </w:div>
    <w:div w:id="394285089">
      <w:bodyDiv w:val="1"/>
      <w:marLeft w:val="0"/>
      <w:marRight w:val="0"/>
      <w:marTop w:val="0"/>
      <w:marBottom w:val="0"/>
      <w:divBdr>
        <w:top w:val="none" w:sz="0" w:space="0" w:color="auto"/>
        <w:left w:val="none" w:sz="0" w:space="0" w:color="auto"/>
        <w:bottom w:val="none" w:sz="0" w:space="0" w:color="auto"/>
        <w:right w:val="none" w:sz="0" w:space="0" w:color="auto"/>
      </w:divBdr>
    </w:div>
    <w:div w:id="394623210">
      <w:bodyDiv w:val="1"/>
      <w:marLeft w:val="0"/>
      <w:marRight w:val="0"/>
      <w:marTop w:val="0"/>
      <w:marBottom w:val="0"/>
      <w:divBdr>
        <w:top w:val="none" w:sz="0" w:space="0" w:color="auto"/>
        <w:left w:val="none" w:sz="0" w:space="0" w:color="auto"/>
        <w:bottom w:val="none" w:sz="0" w:space="0" w:color="auto"/>
        <w:right w:val="none" w:sz="0" w:space="0" w:color="auto"/>
      </w:divBdr>
    </w:div>
    <w:div w:id="395671260">
      <w:bodyDiv w:val="1"/>
      <w:marLeft w:val="0"/>
      <w:marRight w:val="0"/>
      <w:marTop w:val="0"/>
      <w:marBottom w:val="0"/>
      <w:divBdr>
        <w:top w:val="none" w:sz="0" w:space="0" w:color="auto"/>
        <w:left w:val="none" w:sz="0" w:space="0" w:color="auto"/>
        <w:bottom w:val="none" w:sz="0" w:space="0" w:color="auto"/>
        <w:right w:val="none" w:sz="0" w:space="0" w:color="auto"/>
      </w:divBdr>
    </w:div>
    <w:div w:id="396704216">
      <w:bodyDiv w:val="1"/>
      <w:marLeft w:val="0"/>
      <w:marRight w:val="0"/>
      <w:marTop w:val="0"/>
      <w:marBottom w:val="0"/>
      <w:divBdr>
        <w:top w:val="none" w:sz="0" w:space="0" w:color="auto"/>
        <w:left w:val="none" w:sz="0" w:space="0" w:color="auto"/>
        <w:bottom w:val="none" w:sz="0" w:space="0" w:color="auto"/>
        <w:right w:val="none" w:sz="0" w:space="0" w:color="auto"/>
      </w:divBdr>
    </w:div>
    <w:div w:id="396755028">
      <w:bodyDiv w:val="1"/>
      <w:marLeft w:val="0"/>
      <w:marRight w:val="0"/>
      <w:marTop w:val="0"/>
      <w:marBottom w:val="0"/>
      <w:divBdr>
        <w:top w:val="none" w:sz="0" w:space="0" w:color="auto"/>
        <w:left w:val="none" w:sz="0" w:space="0" w:color="auto"/>
        <w:bottom w:val="none" w:sz="0" w:space="0" w:color="auto"/>
        <w:right w:val="none" w:sz="0" w:space="0" w:color="auto"/>
      </w:divBdr>
    </w:div>
    <w:div w:id="397021688">
      <w:bodyDiv w:val="1"/>
      <w:marLeft w:val="0"/>
      <w:marRight w:val="0"/>
      <w:marTop w:val="0"/>
      <w:marBottom w:val="0"/>
      <w:divBdr>
        <w:top w:val="none" w:sz="0" w:space="0" w:color="auto"/>
        <w:left w:val="none" w:sz="0" w:space="0" w:color="auto"/>
        <w:bottom w:val="none" w:sz="0" w:space="0" w:color="auto"/>
        <w:right w:val="none" w:sz="0" w:space="0" w:color="auto"/>
      </w:divBdr>
    </w:div>
    <w:div w:id="397246211">
      <w:bodyDiv w:val="1"/>
      <w:marLeft w:val="0"/>
      <w:marRight w:val="0"/>
      <w:marTop w:val="0"/>
      <w:marBottom w:val="0"/>
      <w:divBdr>
        <w:top w:val="none" w:sz="0" w:space="0" w:color="auto"/>
        <w:left w:val="none" w:sz="0" w:space="0" w:color="auto"/>
        <w:bottom w:val="none" w:sz="0" w:space="0" w:color="auto"/>
        <w:right w:val="none" w:sz="0" w:space="0" w:color="auto"/>
      </w:divBdr>
    </w:div>
    <w:div w:id="398862629">
      <w:bodyDiv w:val="1"/>
      <w:marLeft w:val="0"/>
      <w:marRight w:val="0"/>
      <w:marTop w:val="0"/>
      <w:marBottom w:val="0"/>
      <w:divBdr>
        <w:top w:val="none" w:sz="0" w:space="0" w:color="auto"/>
        <w:left w:val="none" w:sz="0" w:space="0" w:color="auto"/>
        <w:bottom w:val="none" w:sz="0" w:space="0" w:color="auto"/>
        <w:right w:val="none" w:sz="0" w:space="0" w:color="auto"/>
      </w:divBdr>
    </w:div>
    <w:div w:id="399447464">
      <w:bodyDiv w:val="1"/>
      <w:marLeft w:val="0"/>
      <w:marRight w:val="0"/>
      <w:marTop w:val="0"/>
      <w:marBottom w:val="0"/>
      <w:divBdr>
        <w:top w:val="none" w:sz="0" w:space="0" w:color="auto"/>
        <w:left w:val="none" w:sz="0" w:space="0" w:color="auto"/>
        <w:bottom w:val="none" w:sz="0" w:space="0" w:color="auto"/>
        <w:right w:val="none" w:sz="0" w:space="0" w:color="auto"/>
      </w:divBdr>
    </w:div>
    <w:div w:id="402531287">
      <w:bodyDiv w:val="1"/>
      <w:marLeft w:val="0"/>
      <w:marRight w:val="0"/>
      <w:marTop w:val="0"/>
      <w:marBottom w:val="0"/>
      <w:divBdr>
        <w:top w:val="none" w:sz="0" w:space="0" w:color="auto"/>
        <w:left w:val="none" w:sz="0" w:space="0" w:color="auto"/>
        <w:bottom w:val="none" w:sz="0" w:space="0" w:color="auto"/>
        <w:right w:val="none" w:sz="0" w:space="0" w:color="auto"/>
      </w:divBdr>
    </w:div>
    <w:div w:id="404651232">
      <w:bodyDiv w:val="1"/>
      <w:marLeft w:val="0"/>
      <w:marRight w:val="0"/>
      <w:marTop w:val="0"/>
      <w:marBottom w:val="0"/>
      <w:divBdr>
        <w:top w:val="none" w:sz="0" w:space="0" w:color="auto"/>
        <w:left w:val="none" w:sz="0" w:space="0" w:color="auto"/>
        <w:bottom w:val="none" w:sz="0" w:space="0" w:color="auto"/>
        <w:right w:val="none" w:sz="0" w:space="0" w:color="auto"/>
      </w:divBdr>
    </w:div>
    <w:div w:id="404690313">
      <w:bodyDiv w:val="1"/>
      <w:marLeft w:val="0"/>
      <w:marRight w:val="0"/>
      <w:marTop w:val="0"/>
      <w:marBottom w:val="0"/>
      <w:divBdr>
        <w:top w:val="none" w:sz="0" w:space="0" w:color="auto"/>
        <w:left w:val="none" w:sz="0" w:space="0" w:color="auto"/>
        <w:bottom w:val="none" w:sz="0" w:space="0" w:color="auto"/>
        <w:right w:val="none" w:sz="0" w:space="0" w:color="auto"/>
      </w:divBdr>
    </w:div>
    <w:div w:id="405147580">
      <w:bodyDiv w:val="1"/>
      <w:marLeft w:val="0"/>
      <w:marRight w:val="0"/>
      <w:marTop w:val="0"/>
      <w:marBottom w:val="0"/>
      <w:divBdr>
        <w:top w:val="none" w:sz="0" w:space="0" w:color="auto"/>
        <w:left w:val="none" w:sz="0" w:space="0" w:color="auto"/>
        <w:bottom w:val="none" w:sz="0" w:space="0" w:color="auto"/>
        <w:right w:val="none" w:sz="0" w:space="0" w:color="auto"/>
      </w:divBdr>
    </w:div>
    <w:div w:id="405491346">
      <w:bodyDiv w:val="1"/>
      <w:marLeft w:val="0"/>
      <w:marRight w:val="0"/>
      <w:marTop w:val="0"/>
      <w:marBottom w:val="0"/>
      <w:divBdr>
        <w:top w:val="none" w:sz="0" w:space="0" w:color="auto"/>
        <w:left w:val="none" w:sz="0" w:space="0" w:color="auto"/>
        <w:bottom w:val="none" w:sz="0" w:space="0" w:color="auto"/>
        <w:right w:val="none" w:sz="0" w:space="0" w:color="auto"/>
      </w:divBdr>
    </w:div>
    <w:div w:id="405542335">
      <w:bodyDiv w:val="1"/>
      <w:marLeft w:val="0"/>
      <w:marRight w:val="0"/>
      <w:marTop w:val="0"/>
      <w:marBottom w:val="0"/>
      <w:divBdr>
        <w:top w:val="none" w:sz="0" w:space="0" w:color="auto"/>
        <w:left w:val="none" w:sz="0" w:space="0" w:color="auto"/>
        <w:bottom w:val="none" w:sz="0" w:space="0" w:color="auto"/>
        <w:right w:val="none" w:sz="0" w:space="0" w:color="auto"/>
      </w:divBdr>
    </w:div>
    <w:div w:id="408118410">
      <w:bodyDiv w:val="1"/>
      <w:marLeft w:val="0"/>
      <w:marRight w:val="0"/>
      <w:marTop w:val="0"/>
      <w:marBottom w:val="0"/>
      <w:divBdr>
        <w:top w:val="none" w:sz="0" w:space="0" w:color="auto"/>
        <w:left w:val="none" w:sz="0" w:space="0" w:color="auto"/>
        <w:bottom w:val="none" w:sz="0" w:space="0" w:color="auto"/>
        <w:right w:val="none" w:sz="0" w:space="0" w:color="auto"/>
      </w:divBdr>
    </w:div>
    <w:div w:id="408775810">
      <w:bodyDiv w:val="1"/>
      <w:marLeft w:val="0"/>
      <w:marRight w:val="0"/>
      <w:marTop w:val="0"/>
      <w:marBottom w:val="0"/>
      <w:divBdr>
        <w:top w:val="none" w:sz="0" w:space="0" w:color="auto"/>
        <w:left w:val="none" w:sz="0" w:space="0" w:color="auto"/>
        <w:bottom w:val="none" w:sz="0" w:space="0" w:color="auto"/>
        <w:right w:val="none" w:sz="0" w:space="0" w:color="auto"/>
      </w:divBdr>
    </w:div>
    <w:div w:id="409273216">
      <w:bodyDiv w:val="1"/>
      <w:marLeft w:val="0"/>
      <w:marRight w:val="0"/>
      <w:marTop w:val="0"/>
      <w:marBottom w:val="0"/>
      <w:divBdr>
        <w:top w:val="none" w:sz="0" w:space="0" w:color="auto"/>
        <w:left w:val="none" w:sz="0" w:space="0" w:color="auto"/>
        <w:bottom w:val="none" w:sz="0" w:space="0" w:color="auto"/>
        <w:right w:val="none" w:sz="0" w:space="0" w:color="auto"/>
      </w:divBdr>
    </w:div>
    <w:div w:id="409541784">
      <w:bodyDiv w:val="1"/>
      <w:marLeft w:val="0"/>
      <w:marRight w:val="0"/>
      <w:marTop w:val="0"/>
      <w:marBottom w:val="0"/>
      <w:divBdr>
        <w:top w:val="none" w:sz="0" w:space="0" w:color="auto"/>
        <w:left w:val="none" w:sz="0" w:space="0" w:color="auto"/>
        <w:bottom w:val="none" w:sz="0" w:space="0" w:color="auto"/>
        <w:right w:val="none" w:sz="0" w:space="0" w:color="auto"/>
      </w:divBdr>
    </w:div>
    <w:div w:id="409734923">
      <w:bodyDiv w:val="1"/>
      <w:marLeft w:val="0"/>
      <w:marRight w:val="0"/>
      <w:marTop w:val="0"/>
      <w:marBottom w:val="0"/>
      <w:divBdr>
        <w:top w:val="none" w:sz="0" w:space="0" w:color="auto"/>
        <w:left w:val="none" w:sz="0" w:space="0" w:color="auto"/>
        <w:bottom w:val="none" w:sz="0" w:space="0" w:color="auto"/>
        <w:right w:val="none" w:sz="0" w:space="0" w:color="auto"/>
      </w:divBdr>
    </w:div>
    <w:div w:id="410349745">
      <w:bodyDiv w:val="1"/>
      <w:marLeft w:val="0"/>
      <w:marRight w:val="0"/>
      <w:marTop w:val="0"/>
      <w:marBottom w:val="0"/>
      <w:divBdr>
        <w:top w:val="none" w:sz="0" w:space="0" w:color="auto"/>
        <w:left w:val="none" w:sz="0" w:space="0" w:color="auto"/>
        <w:bottom w:val="none" w:sz="0" w:space="0" w:color="auto"/>
        <w:right w:val="none" w:sz="0" w:space="0" w:color="auto"/>
      </w:divBdr>
    </w:div>
    <w:div w:id="412170929">
      <w:bodyDiv w:val="1"/>
      <w:marLeft w:val="0"/>
      <w:marRight w:val="0"/>
      <w:marTop w:val="0"/>
      <w:marBottom w:val="0"/>
      <w:divBdr>
        <w:top w:val="none" w:sz="0" w:space="0" w:color="auto"/>
        <w:left w:val="none" w:sz="0" w:space="0" w:color="auto"/>
        <w:bottom w:val="none" w:sz="0" w:space="0" w:color="auto"/>
        <w:right w:val="none" w:sz="0" w:space="0" w:color="auto"/>
      </w:divBdr>
    </w:div>
    <w:div w:id="413361079">
      <w:bodyDiv w:val="1"/>
      <w:marLeft w:val="0"/>
      <w:marRight w:val="0"/>
      <w:marTop w:val="0"/>
      <w:marBottom w:val="0"/>
      <w:divBdr>
        <w:top w:val="none" w:sz="0" w:space="0" w:color="auto"/>
        <w:left w:val="none" w:sz="0" w:space="0" w:color="auto"/>
        <w:bottom w:val="none" w:sz="0" w:space="0" w:color="auto"/>
        <w:right w:val="none" w:sz="0" w:space="0" w:color="auto"/>
      </w:divBdr>
    </w:div>
    <w:div w:id="413868219">
      <w:bodyDiv w:val="1"/>
      <w:marLeft w:val="0"/>
      <w:marRight w:val="0"/>
      <w:marTop w:val="0"/>
      <w:marBottom w:val="0"/>
      <w:divBdr>
        <w:top w:val="none" w:sz="0" w:space="0" w:color="auto"/>
        <w:left w:val="none" w:sz="0" w:space="0" w:color="auto"/>
        <w:bottom w:val="none" w:sz="0" w:space="0" w:color="auto"/>
        <w:right w:val="none" w:sz="0" w:space="0" w:color="auto"/>
      </w:divBdr>
    </w:div>
    <w:div w:id="415251341">
      <w:bodyDiv w:val="1"/>
      <w:marLeft w:val="0"/>
      <w:marRight w:val="0"/>
      <w:marTop w:val="0"/>
      <w:marBottom w:val="0"/>
      <w:divBdr>
        <w:top w:val="none" w:sz="0" w:space="0" w:color="auto"/>
        <w:left w:val="none" w:sz="0" w:space="0" w:color="auto"/>
        <w:bottom w:val="none" w:sz="0" w:space="0" w:color="auto"/>
        <w:right w:val="none" w:sz="0" w:space="0" w:color="auto"/>
      </w:divBdr>
    </w:div>
    <w:div w:id="415789215">
      <w:bodyDiv w:val="1"/>
      <w:marLeft w:val="0"/>
      <w:marRight w:val="0"/>
      <w:marTop w:val="0"/>
      <w:marBottom w:val="0"/>
      <w:divBdr>
        <w:top w:val="none" w:sz="0" w:space="0" w:color="auto"/>
        <w:left w:val="none" w:sz="0" w:space="0" w:color="auto"/>
        <w:bottom w:val="none" w:sz="0" w:space="0" w:color="auto"/>
        <w:right w:val="none" w:sz="0" w:space="0" w:color="auto"/>
      </w:divBdr>
    </w:div>
    <w:div w:id="416293652">
      <w:bodyDiv w:val="1"/>
      <w:marLeft w:val="0"/>
      <w:marRight w:val="0"/>
      <w:marTop w:val="0"/>
      <w:marBottom w:val="0"/>
      <w:divBdr>
        <w:top w:val="none" w:sz="0" w:space="0" w:color="auto"/>
        <w:left w:val="none" w:sz="0" w:space="0" w:color="auto"/>
        <w:bottom w:val="none" w:sz="0" w:space="0" w:color="auto"/>
        <w:right w:val="none" w:sz="0" w:space="0" w:color="auto"/>
      </w:divBdr>
    </w:div>
    <w:div w:id="418911825">
      <w:bodyDiv w:val="1"/>
      <w:marLeft w:val="0"/>
      <w:marRight w:val="0"/>
      <w:marTop w:val="0"/>
      <w:marBottom w:val="0"/>
      <w:divBdr>
        <w:top w:val="none" w:sz="0" w:space="0" w:color="auto"/>
        <w:left w:val="none" w:sz="0" w:space="0" w:color="auto"/>
        <w:bottom w:val="none" w:sz="0" w:space="0" w:color="auto"/>
        <w:right w:val="none" w:sz="0" w:space="0" w:color="auto"/>
      </w:divBdr>
    </w:div>
    <w:div w:id="420415927">
      <w:bodyDiv w:val="1"/>
      <w:marLeft w:val="0"/>
      <w:marRight w:val="0"/>
      <w:marTop w:val="0"/>
      <w:marBottom w:val="0"/>
      <w:divBdr>
        <w:top w:val="none" w:sz="0" w:space="0" w:color="auto"/>
        <w:left w:val="none" w:sz="0" w:space="0" w:color="auto"/>
        <w:bottom w:val="none" w:sz="0" w:space="0" w:color="auto"/>
        <w:right w:val="none" w:sz="0" w:space="0" w:color="auto"/>
      </w:divBdr>
    </w:div>
    <w:div w:id="420494100">
      <w:bodyDiv w:val="1"/>
      <w:marLeft w:val="0"/>
      <w:marRight w:val="0"/>
      <w:marTop w:val="0"/>
      <w:marBottom w:val="0"/>
      <w:divBdr>
        <w:top w:val="none" w:sz="0" w:space="0" w:color="auto"/>
        <w:left w:val="none" w:sz="0" w:space="0" w:color="auto"/>
        <w:bottom w:val="none" w:sz="0" w:space="0" w:color="auto"/>
        <w:right w:val="none" w:sz="0" w:space="0" w:color="auto"/>
      </w:divBdr>
    </w:div>
    <w:div w:id="421149932">
      <w:bodyDiv w:val="1"/>
      <w:marLeft w:val="0"/>
      <w:marRight w:val="0"/>
      <w:marTop w:val="0"/>
      <w:marBottom w:val="0"/>
      <w:divBdr>
        <w:top w:val="none" w:sz="0" w:space="0" w:color="auto"/>
        <w:left w:val="none" w:sz="0" w:space="0" w:color="auto"/>
        <w:bottom w:val="none" w:sz="0" w:space="0" w:color="auto"/>
        <w:right w:val="none" w:sz="0" w:space="0" w:color="auto"/>
      </w:divBdr>
    </w:div>
    <w:div w:id="421686877">
      <w:bodyDiv w:val="1"/>
      <w:marLeft w:val="0"/>
      <w:marRight w:val="0"/>
      <w:marTop w:val="0"/>
      <w:marBottom w:val="0"/>
      <w:divBdr>
        <w:top w:val="none" w:sz="0" w:space="0" w:color="auto"/>
        <w:left w:val="none" w:sz="0" w:space="0" w:color="auto"/>
        <w:bottom w:val="none" w:sz="0" w:space="0" w:color="auto"/>
        <w:right w:val="none" w:sz="0" w:space="0" w:color="auto"/>
      </w:divBdr>
    </w:div>
    <w:div w:id="422603124">
      <w:bodyDiv w:val="1"/>
      <w:marLeft w:val="0"/>
      <w:marRight w:val="0"/>
      <w:marTop w:val="0"/>
      <w:marBottom w:val="0"/>
      <w:divBdr>
        <w:top w:val="none" w:sz="0" w:space="0" w:color="auto"/>
        <w:left w:val="none" w:sz="0" w:space="0" w:color="auto"/>
        <w:bottom w:val="none" w:sz="0" w:space="0" w:color="auto"/>
        <w:right w:val="none" w:sz="0" w:space="0" w:color="auto"/>
      </w:divBdr>
    </w:div>
    <w:div w:id="422804148">
      <w:bodyDiv w:val="1"/>
      <w:marLeft w:val="0"/>
      <w:marRight w:val="0"/>
      <w:marTop w:val="0"/>
      <w:marBottom w:val="0"/>
      <w:divBdr>
        <w:top w:val="none" w:sz="0" w:space="0" w:color="auto"/>
        <w:left w:val="none" w:sz="0" w:space="0" w:color="auto"/>
        <w:bottom w:val="none" w:sz="0" w:space="0" w:color="auto"/>
        <w:right w:val="none" w:sz="0" w:space="0" w:color="auto"/>
      </w:divBdr>
    </w:div>
    <w:div w:id="423454779">
      <w:bodyDiv w:val="1"/>
      <w:marLeft w:val="0"/>
      <w:marRight w:val="0"/>
      <w:marTop w:val="0"/>
      <w:marBottom w:val="0"/>
      <w:divBdr>
        <w:top w:val="none" w:sz="0" w:space="0" w:color="auto"/>
        <w:left w:val="none" w:sz="0" w:space="0" w:color="auto"/>
        <w:bottom w:val="none" w:sz="0" w:space="0" w:color="auto"/>
        <w:right w:val="none" w:sz="0" w:space="0" w:color="auto"/>
      </w:divBdr>
    </w:div>
    <w:div w:id="424307268">
      <w:bodyDiv w:val="1"/>
      <w:marLeft w:val="0"/>
      <w:marRight w:val="0"/>
      <w:marTop w:val="0"/>
      <w:marBottom w:val="0"/>
      <w:divBdr>
        <w:top w:val="none" w:sz="0" w:space="0" w:color="auto"/>
        <w:left w:val="none" w:sz="0" w:space="0" w:color="auto"/>
        <w:bottom w:val="none" w:sz="0" w:space="0" w:color="auto"/>
        <w:right w:val="none" w:sz="0" w:space="0" w:color="auto"/>
      </w:divBdr>
    </w:div>
    <w:div w:id="425346188">
      <w:bodyDiv w:val="1"/>
      <w:marLeft w:val="0"/>
      <w:marRight w:val="0"/>
      <w:marTop w:val="0"/>
      <w:marBottom w:val="0"/>
      <w:divBdr>
        <w:top w:val="none" w:sz="0" w:space="0" w:color="auto"/>
        <w:left w:val="none" w:sz="0" w:space="0" w:color="auto"/>
        <w:bottom w:val="none" w:sz="0" w:space="0" w:color="auto"/>
        <w:right w:val="none" w:sz="0" w:space="0" w:color="auto"/>
      </w:divBdr>
    </w:div>
    <w:div w:id="425924051">
      <w:bodyDiv w:val="1"/>
      <w:marLeft w:val="0"/>
      <w:marRight w:val="0"/>
      <w:marTop w:val="0"/>
      <w:marBottom w:val="0"/>
      <w:divBdr>
        <w:top w:val="none" w:sz="0" w:space="0" w:color="auto"/>
        <w:left w:val="none" w:sz="0" w:space="0" w:color="auto"/>
        <w:bottom w:val="none" w:sz="0" w:space="0" w:color="auto"/>
        <w:right w:val="none" w:sz="0" w:space="0" w:color="auto"/>
      </w:divBdr>
    </w:div>
    <w:div w:id="426115842">
      <w:bodyDiv w:val="1"/>
      <w:marLeft w:val="0"/>
      <w:marRight w:val="0"/>
      <w:marTop w:val="0"/>
      <w:marBottom w:val="0"/>
      <w:divBdr>
        <w:top w:val="none" w:sz="0" w:space="0" w:color="auto"/>
        <w:left w:val="none" w:sz="0" w:space="0" w:color="auto"/>
        <w:bottom w:val="none" w:sz="0" w:space="0" w:color="auto"/>
        <w:right w:val="none" w:sz="0" w:space="0" w:color="auto"/>
      </w:divBdr>
    </w:div>
    <w:div w:id="427967041">
      <w:bodyDiv w:val="1"/>
      <w:marLeft w:val="0"/>
      <w:marRight w:val="0"/>
      <w:marTop w:val="0"/>
      <w:marBottom w:val="0"/>
      <w:divBdr>
        <w:top w:val="none" w:sz="0" w:space="0" w:color="auto"/>
        <w:left w:val="none" w:sz="0" w:space="0" w:color="auto"/>
        <w:bottom w:val="none" w:sz="0" w:space="0" w:color="auto"/>
        <w:right w:val="none" w:sz="0" w:space="0" w:color="auto"/>
      </w:divBdr>
    </w:div>
    <w:div w:id="429589014">
      <w:bodyDiv w:val="1"/>
      <w:marLeft w:val="0"/>
      <w:marRight w:val="0"/>
      <w:marTop w:val="0"/>
      <w:marBottom w:val="0"/>
      <w:divBdr>
        <w:top w:val="none" w:sz="0" w:space="0" w:color="auto"/>
        <w:left w:val="none" w:sz="0" w:space="0" w:color="auto"/>
        <w:bottom w:val="none" w:sz="0" w:space="0" w:color="auto"/>
        <w:right w:val="none" w:sz="0" w:space="0" w:color="auto"/>
      </w:divBdr>
    </w:div>
    <w:div w:id="429664485">
      <w:bodyDiv w:val="1"/>
      <w:marLeft w:val="0"/>
      <w:marRight w:val="0"/>
      <w:marTop w:val="0"/>
      <w:marBottom w:val="0"/>
      <w:divBdr>
        <w:top w:val="none" w:sz="0" w:space="0" w:color="auto"/>
        <w:left w:val="none" w:sz="0" w:space="0" w:color="auto"/>
        <w:bottom w:val="none" w:sz="0" w:space="0" w:color="auto"/>
        <w:right w:val="none" w:sz="0" w:space="0" w:color="auto"/>
      </w:divBdr>
    </w:div>
    <w:div w:id="430666622">
      <w:bodyDiv w:val="1"/>
      <w:marLeft w:val="0"/>
      <w:marRight w:val="0"/>
      <w:marTop w:val="0"/>
      <w:marBottom w:val="0"/>
      <w:divBdr>
        <w:top w:val="none" w:sz="0" w:space="0" w:color="auto"/>
        <w:left w:val="none" w:sz="0" w:space="0" w:color="auto"/>
        <w:bottom w:val="none" w:sz="0" w:space="0" w:color="auto"/>
        <w:right w:val="none" w:sz="0" w:space="0" w:color="auto"/>
      </w:divBdr>
    </w:div>
    <w:div w:id="431097129">
      <w:bodyDiv w:val="1"/>
      <w:marLeft w:val="0"/>
      <w:marRight w:val="0"/>
      <w:marTop w:val="0"/>
      <w:marBottom w:val="0"/>
      <w:divBdr>
        <w:top w:val="none" w:sz="0" w:space="0" w:color="auto"/>
        <w:left w:val="none" w:sz="0" w:space="0" w:color="auto"/>
        <w:bottom w:val="none" w:sz="0" w:space="0" w:color="auto"/>
        <w:right w:val="none" w:sz="0" w:space="0" w:color="auto"/>
      </w:divBdr>
    </w:div>
    <w:div w:id="431164834">
      <w:bodyDiv w:val="1"/>
      <w:marLeft w:val="0"/>
      <w:marRight w:val="0"/>
      <w:marTop w:val="0"/>
      <w:marBottom w:val="0"/>
      <w:divBdr>
        <w:top w:val="none" w:sz="0" w:space="0" w:color="auto"/>
        <w:left w:val="none" w:sz="0" w:space="0" w:color="auto"/>
        <w:bottom w:val="none" w:sz="0" w:space="0" w:color="auto"/>
        <w:right w:val="none" w:sz="0" w:space="0" w:color="auto"/>
      </w:divBdr>
    </w:div>
    <w:div w:id="431516570">
      <w:bodyDiv w:val="1"/>
      <w:marLeft w:val="0"/>
      <w:marRight w:val="0"/>
      <w:marTop w:val="0"/>
      <w:marBottom w:val="0"/>
      <w:divBdr>
        <w:top w:val="none" w:sz="0" w:space="0" w:color="auto"/>
        <w:left w:val="none" w:sz="0" w:space="0" w:color="auto"/>
        <w:bottom w:val="none" w:sz="0" w:space="0" w:color="auto"/>
        <w:right w:val="none" w:sz="0" w:space="0" w:color="auto"/>
      </w:divBdr>
    </w:div>
    <w:div w:id="431705167">
      <w:bodyDiv w:val="1"/>
      <w:marLeft w:val="0"/>
      <w:marRight w:val="0"/>
      <w:marTop w:val="0"/>
      <w:marBottom w:val="0"/>
      <w:divBdr>
        <w:top w:val="none" w:sz="0" w:space="0" w:color="auto"/>
        <w:left w:val="none" w:sz="0" w:space="0" w:color="auto"/>
        <w:bottom w:val="none" w:sz="0" w:space="0" w:color="auto"/>
        <w:right w:val="none" w:sz="0" w:space="0" w:color="auto"/>
      </w:divBdr>
    </w:div>
    <w:div w:id="432013338">
      <w:bodyDiv w:val="1"/>
      <w:marLeft w:val="0"/>
      <w:marRight w:val="0"/>
      <w:marTop w:val="0"/>
      <w:marBottom w:val="0"/>
      <w:divBdr>
        <w:top w:val="none" w:sz="0" w:space="0" w:color="auto"/>
        <w:left w:val="none" w:sz="0" w:space="0" w:color="auto"/>
        <w:bottom w:val="none" w:sz="0" w:space="0" w:color="auto"/>
        <w:right w:val="none" w:sz="0" w:space="0" w:color="auto"/>
      </w:divBdr>
    </w:div>
    <w:div w:id="433133680">
      <w:bodyDiv w:val="1"/>
      <w:marLeft w:val="0"/>
      <w:marRight w:val="0"/>
      <w:marTop w:val="0"/>
      <w:marBottom w:val="0"/>
      <w:divBdr>
        <w:top w:val="none" w:sz="0" w:space="0" w:color="auto"/>
        <w:left w:val="none" w:sz="0" w:space="0" w:color="auto"/>
        <w:bottom w:val="none" w:sz="0" w:space="0" w:color="auto"/>
        <w:right w:val="none" w:sz="0" w:space="0" w:color="auto"/>
      </w:divBdr>
    </w:div>
    <w:div w:id="433288079">
      <w:bodyDiv w:val="1"/>
      <w:marLeft w:val="0"/>
      <w:marRight w:val="0"/>
      <w:marTop w:val="0"/>
      <w:marBottom w:val="0"/>
      <w:divBdr>
        <w:top w:val="none" w:sz="0" w:space="0" w:color="auto"/>
        <w:left w:val="none" w:sz="0" w:space="0" w:color="auto"/>
        <w:bottom w:val="none" w:sz="0" w:space="0" w:color="auto"/>
        <w:right w:val="none" w:sz="0" w:space="0" w:color="auto"/>
      </w:divBdr>
    </w:div>
    <w:div w:id="433522896">
      <w:bodyDiv w:val="1"/>
      <w:marLeft w:val="0"/>
      <w:marRight w:val="0"/>
      <w:marTop w:val="0"/>
      <w:marBottom w:val="0"/>
      <w:divBdr>
        <w:top w:val="none" w:sz="0" w:space="0" w:color="auto"/>
        <w:left w:val="none" w:sz="0" w:space="0" w:color="auto"/>
        <w:bottom w:val="none" w:sz="0" w:space="0" w:color="auto"/>
        <w:right w:val="none" w:sz="0" w:space="0" w:color="auto"/>
      </w:divBdr>
    </w:div>
    <w:div w:id="433673301">
      <w:bodyDiv w:val="1"/>
      <w:marLeft w:val="0"/>
      <w:marRight w:val="0"/>
      <w:marTop w:val="0"/>
      <w:marBottom w:val="0"/>
      <w:divBdr>
        <w:top w:val="none" w:sz="0" w:space="0" w:color="auto"/>
        <w:left w:val="none" w:sz="0" w:space="0" w:color="auto"/>
        <w:bottom w:val="none" w:sz="0" w:space="0" w:color="auto"/>
        <w:right w:val="none" w:sz="0" w:space="0" w:color="auto"/>
      </w:divBdr>
    </w:div>
    <w:div w:id="435946777">
      <w:bodyDiv w:val="1"/>
      <w:marLeft w:val="0"/>
      <w:marRight w:val="0"/>
      <w:marTop w:val="0"/>
      <w:marBottom w:val="0"/>
      <w:divBdr>
        <w:top w:val="none" w:sz="0" w:space="0" w:color="auto"/>
        <w:left w:val="none" w:sz="0" w:space="0" w:color="auto"/>
        <w:bottom w:val="none" w:sz="0" w:space="0" w:color="auto"/>
        <w:right w:val="none" w:sz="0" w:space="0" w:color="auto"/>
      </w:divBdr>
    </w:div>
    <w:div w:id="436680718">
      <w:bodyDiv w:val="1"/>
      <w:marLeft w:val="0"/>
      <w:marRight w:val="0"/>
      <w:marTop w:val="0"/>
      <w:marBottom w:val="0"/>
      <w:divBdr>
        <w:top w:val="none" w:sz="0" w:space="0" w:color="auto"/>
        <w:left w:val="none" w:sz="0" w:space="0" w:color="auto"/>
        <w:bottom w:val="none" w:sz="0" w:space="0" w:color="auto"/>
        <w:right w:val="none" w:sz="0" w:space="0" w:color="auto"/>
      </w:divBdr>
    </w:div>
    <w:div w:id="437062323">
      <w:bodyDiv w:val="1"/>
      <w:marLeft w:val="0"/>
      <w:marRight w:val="0"/>
      <w:marTop w:val="0"/>
      <w:marBottom w:val="0"/>
      <w:divBdr>
        <w:top w:val="none" w:sz="0" w:space="0" w:color="auto"/>
        <w:left w:val="none" w:sz="0" w:space="0" w:color="auto"/>
        <w:bottom w:val="none" w:sz="0" w:space="0" w:color="auto"/>
        <w:right w:val="none" w:sz="0" w:space="0" w:color="auto"/>
      </w:divBdr>
    </w:div>
    <w:div w:id="437872076">
      <w:bodyDiv w:val="1"/>
      <w:marLeft w:val="0"/>
      <w:marRight w:val="0"/>
      <w:marTop w:val="0"/>
      <w:marBottom w:val="0"/>
      <w:divBdr>
        <w:top w:val="none" w:sz="0" w:space="0" w:color="auto"/>
        <w:left w:val="none" w:sz="0" w:space="0" w:color="auto"/>
        <w:bottom w:val="none" w:sz="0" w:space="0" w:color="auto"/>
        <w:right w:val="none" w:sz="0" w:space="0" w:color="auto"/>
      </w:divBdr>
    </w:div>
    <w:div w:id="440229640">
      <w:bodyDiv w:val="1"/>
      <w:marLeft w:val="0"/>
      <w:marRight w:val="0"/>
      <w:marTop w:val="0"/>
      <w:marBottom w:val="0"/>
      <w:divBdr>
        <w:top w:val="none" w:sz="0" w:space="0" w:color="auto"/>
        <w:left w:val="none" w:sz="0" w:space="0" w:color="auto"/>
        <w:bottom w:val="none" w:sz="0" w:space="0" w:color="auto"/>
        <w:right w:val="none" w:sz="0" w:space="0" w:color="auto"/>
      </w:divBdr>
    </w:div>
    <w:div w:id="440296953">
      <w:bodyDiv w:val="1"/>
      <w:marLeft w:val="0"/>
      <w:marRight w:val="0"/>
      <w:marTop w:val="0"/>
      <w:marBottom w:val="0"/>
      <w:divBdr>
        <w:top w:val="none" w:sz="0" w:space="0" w:color="auto"/>
        <w:left w:val="none" w:sz="0" w:space="0" w:color="auto"/>
        <w:bottom w:val="none" w:sz="0" w:space="0" w:color="auto"/>
        <w:right w:val="none" w:sz="0" w:space="0" w:color="auto"/>
      </w:divBdr>
    </w:div>
    <w:div w:id="440682989">
      <w:bodyDiv w:val="1"/>
      <w:marLeft w:val="0"/>
      <w:marRight w:val="0"/>
      <w:marTop w:val="0"/>
      <w:marBottom w:val="0"/>
      <w:divBdr>
        <w:top w:val="none" w:sz="0" w:space="0" w:color="auto"/>
        <w:left w:val="none" w:sz="0" w:space="0" w:color="auto"/>
        <w:bottom w:val="none" w:sz="0" w:space="0" w:color="auto"/>
        <w:right w:val="none" w:sz="0" w:space="0" w:color="auto"/>
      </w:divBdr>
    </w:div>
    <w:div w:id="442967983">
      <w:bodyDiv w:val="1"/>
      <w:marLeft w:val="0"/>
      <w:marRight w:val="0"/>
      <w:marTop w:val="0"/>
      <w:marBottom w:val="0"/>
      <w:divBdr>
        <w:top w:val="none" w:sz="0" w:space="0" w:color="auto"/>
        <w:left w:val="none" w:sz="0" w:space="0" w:color="auto"/>
        <w:bottom w:val="none" w:sz="0" w:space="0" w:color="auto"/>
        <w:right w:val="none" w:sz="0" w:space="0" w:color="auto"/>
      </w:divBdr>
    </w:div>
    <w:div w:id="443502448">
      <w:bodyDiv w:val="1"/>
      <w:marLeft w:val="0"/>
      <w:marRight w:val="0"/>
      <w:marTop w:val="0"/>
      <w:marBottom w:val="0"/>
      <w:divBdr>
        <w:top w:val="none" w:sz="0" w:space="0" w:color="auto"/>
        <w:left w:val="none" w:sz="0" w:space="0" w:color="auto"/>
        <w:bottom w:val="none" w:sz="0" w:space="0" w:color="auto"/>
        <w:right w:val="none" w:sz="0" w:space="0" w:color="auto"/>
      </w:divBdr>
    </w:div>
    <w:div w:id="445469773">
      <w:bodyDiv w:val="1"/>
      <w:marLeft w:val="0"/>
      <w:marRight w:val="0"/>
      <w:marTop w:val="0"/>
      <w:marBottom w:val="0"/>
      <w:divBdr>
        <w:top w:val="none" w:sz="0" w:space="0" w:color="auto"/>
        <w:left w:val="none" w:sz="0" w:space="0" w:color="auto"/>
        <w:bottom w:val="none" w:sz="0" w:space="0" w:color="auto"/>
        <w:right w:val="none" w:sz="0" w:space="0" w:color="auto"/>
      </w:divBdr>
    </w:div>
    <w:div w:id="446313782">
      <w:bodyDiv w:val="1"/>
      <w:marLeft w:val="0"/>
      <w:marRight w:val="0"/>
      <w:marTop w:val="0"/>
      <w:marBottom w:val="0"/>
      <w:divBdr>
        <w:top w:val="none" w:sz="0" w:space="0" w:color="auto"/>
        <w:left w:val="none" w:sz="0" w:space="0" w:color="auto"/>
        <w:bottom w:val="none" w:sz="0" w:space="0" w:color="auto"/>
        <w:right w:val="none" w:sz="0" w:space="0" w:color="auto"/>
      </w:divBdr>
    </w:div>
    <w:div w:id="446779298">
      <w:bodyDiv w:val="1"/>
      <w:marLeft w:val="0"/>
      <w:marRight w:val="0"/>
      <w:marTop w:val="0"/>
      <w:marBottom w:val="0"/>
      <w:divBdr>
        <w:top w:val="none" w:sz="0" w:space="0" w:color="auto"/>
        <w:left w:val="none" w:sz="0" w:space="0" w:color="auto"/>
        <w:bottom w:val="none" w:sz="0" w:space="0" w:color="auto"/>
        <w:right w:val="none" w:sz="0" w:space="0" w:color="auto"/>
      </w:divBdr>
    </w:div>
    <w:div w:id="446853313">
      <w:bodyDiv w:val="1"/>
      <w:marLeft w:val="0"/>
      <w:marRight w:val="0"/>
      <w:marTop w:val="0"/>
      <w:marBottom w:val="0"/>
      <w:divBdr>
        <w:top w:val="none" w:sz="0" w:space="0" w:color="auto"/>
        <w:left w:val="none" w:sz="0" w:space="0" w:color="auto"/>
        <w:bottom w:val="none" w:sz="0" w:space="0" w:color="auto"/>
        <w:right w:val="none" w:sz="0" w:space="0" w:color="auto"/>
      </w:divBdr>
    </w:div>
    <w:div w:id="446891697">
      <w:bodyDiv w:val="1"/>
      <w:marLeft w:val="0"/>
      <w:marRight w:val="0"/>
      <w:marTop w:val="0"/>
      <w:marBottom w:val="0"/>
      <w:divBdr>
        <w:top w:val="none" w:sz="0" w:space="0" w:color="auto"/>
        <w:left w:val="none" w:sz="0" w:space="0" w:color="auto"/>
        <w:bottom w:val="none" w:sz="0" w:space="0" w:color="auto"/>
        <w:right w:val="none" w:sz="0" w:space="0" w:color="auto"/>
      </w:divBdr>
    </w:div>
    <w:div w:id="447890394">
      <w:bodyDiv w:val="1"/>
      <w:marLeft w:val="0"/>
      <w:marRight w:val="0"/>
      <w:marTop w:val="0"/>
      <w:marBottom w:val="0"/>
      <w:divBdr>
        <w:top w:val="none" w:sz="0" w:space="0" w:color="auto"/>
        <w:left w:val="none" w:sz="0" w:space="0" w:color="auto"/>
        <w:bottom w:val="none" w:sz="0" w:space="0" w:color="auto"/>
        <w:right w:val="none" w:sz="0" w:space="0" w:color="auto"/>
      </w:divBdr>
    </w:div>
    <w:div w:id="448663477">
      <w:bodyDiv w:val="1"/>
      <w:marLeft w:val="0"/>
      <w:marRight w:val="0"/>
      <w:marTop w:val="0"/>
      <w:marBottom w:val="0"/>
      <w:divBdr>
        <w:top w:val="none" w:sz="0" w:space="0" w:color="auto"/>
        <w:left w:val="none" w:sz="0" w:space="0" w:color="auto"/>
        <w:bottom w:val="none" w:sz="0" w:space="0" w:color="auto"/>
        <w:right w:val="none" w:sz="0" w:space="0" w:color="auto"/>
      </w:divBdr>
    </w:div>
    <w:div w:id="450518351">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750912">
      <w:bodyDiv w:val="1"/>
      <w:marLeft w:val="0"/>
      <w:marRight w:val="0"/>
      <w:marTop w:val="0"/>
      <w:marBottom w:val="0"/>
      <w:divBdr>
        <w:top w:val="none" w:sz="0" w:space="0" w:color="auto"/>
        <w:left w:val="none" w:sz="0" w:space="0" w:color="auto"/>
        <w:bottom w:val="none" w:sz="0" w:space="0" w:color="auto"/>
        <w:right w:val="none" w:sz="0" w:space="0" w:color="auto"/>
      </w:divBdr>
    </w:div>
    <w:div w:id="451899559">
      <w:bodyDiv w:val="1"/>
      <w:marLeft w:val="0"/>
      <w:marRight w:val="0"/>
      <w:marTop w:val="0"/>
      <w:marBottom w:val="0"/>
      <w:divBdr>
        <w:top w:val="none" w:sz="0" w:space="0" w:color="auto"/>
        <w:left w:val="none" w:sz="0" w:space="0" w:color="auto"/>
        <w:bottom w:val="none" w:sz="0" w:space="0" w:color="auto"/>
        <w:right w:val="none" w:sz="0" w:space="0" w:color="auto"/>
      </w:divBdr>
    </w:div>
    <w:div w:id="452405519">
      <w:bodyDiv w:val="1"/>
      <w:marLeft w:val="0"/>
      <w:marRight w:val="0"/>
      <w:marTop w:val="0"/>
      <w:marBottom w:val="0"/>
      <w:divBdr>
        <w:top w:val="none" w:sz="0" w:space="0" w:color="auto"/>
        <w:left w:val="none" w:sz="0" w:space="0" w:color="auto"/>
        <w:bottom w:val="none" w:sz="0" w:space="0" w:color="auto"/>
        <w:right w:val="none" w:sz="0" w:space="0" w:color="auto"/>
      </w:divBdr>
    </w:div>
    <w:div w:id="452485348">
      <w:bodyDiv w:val="1"/>
      <w:marLeft w:val="0"/>
      <w:marRight w:val="0"/>
      <w:marTop w:val="0"/>
      <w:marBottom w:val="0"/>
      <w:divBdr>
        <w:top w:val="none" w:sz="0" w:space="0" w:color="auto"/>
        <w:left w:val="none" w:sz="0" w:space="0" w:color="auto"/>
        <w:bottom w:val="none" w:sz="0" w:space="0" w:color="auto"/>
        <w:right w:val="none" w:sz="0" w:space="0" w:color="auto"/>
      </w:divBdr>
    </w:div>
    <w:div w:id="453252660">
      <w:bodyDiv w:val="1"/>
      <w:marLeft w:val="0"/>
      <w:marRight w:val="0"/>
      <w:marTop w:val="0"/>
      <w:marBottom w:val="0"/>
      <w:divBdr>
        <w:top w:val="none" w:sz="0" w:space="0" w:color="auto"/>
        <w:left w:val="none" w:sz="0" w:space="0" w:color="auto"/>
        <w:bottom w:val="none" w:sz="0" w:space="0" w:color="auto"/>
        <w:right w:val="none" w:sz="0" w:space="0" w:color="auto"/>
      </w:divBdr>
    </w:div>
    <w:div w:id="453447421">
      <w:bodyDiv w:val="1"/>
      <w:marLeft w:val="0"/>
      <w:marRight w:val="0"/>
      <w:marTop w:val="0"/>
      <w:marBottom w:val="0"/>
      <w:divBdr>
        <w:top w:val="none" w:sz="0" w:space="0" w:color="auto"/>
        <w:left w:val="none" w:sz="0" w:space="0" w:color="auto"/>
        <w:bottom w:val="none" w:sz="0" w:space="0" w:color="auto"/>
        <w:right w:val="none" w:sz="0" w:space="0" w:color="auto"/>
      </w:divBdr>
    </w:div>
    <w:div w:id="453865271">
      <w:bodyDiv w:val="1"/>
      <w:marLeft w:val="0"/>
      <w:marRight w:val="0"/>
      <w:marTop w:val="0"/>
      <w:marBottom w:val="0"/>
      <w:divBdr>
        <w:top w:val="none" w:sz="0" w:space="0" w:color="auto"/>
        <w:left w:val="none" w:sz="0" w:space="0" w:color="auto"/>
        <w:bottom w:val="none" w:sz="0" w:space="0" w:color="auto"/>
        <w:right w:val="none" w:sz="0" w:space="0" w:color="auto"/>
      </w:divBdr>
    </w:div>
    <w:div w:id="453912113">
      <w:bodyDiv w:val="1"/>
      <w:marLeft w:val="0"/>
      <w:marRight w:val="0"/>
      <w:marTop w:val="0"/>
      <w:marBottom w:val="0"/>
      <w:divBdr>
        <w:top w:val="none" w:sz="0" w:space="0" w:color="auto"/>
        <w:left w:val="none" w:sz="0" w:space="0" w:color="auto"/>
        <w:bottom w:val="none" w:sz="0" w:space="0" w:color="auto"/>
        <w:right w:val="none" w:sz="0" w:space="0" w:color="auto"/>
      </w:divBdr>
    </w:div>
    <w:div w:id="454716562">
      <w:bodyDiv w:val="1"/>
      <w:marLeft w:val="0"/>
      <w:marRight w:val="0"/>
      <w:marTop w:val="0"/>
      <w:marBottom w:val="0"/>
      <w:divBdr>
        <w:top w:val="none" w:sz="0" w:space="0" w:color="auto"/>
        <w:left w:val="none" w:sz="0" w:space="0" w:color="auto"/>
        <w:bottom w:val="none" w:sz="0" w:space="0" w:color="auto"/>
        <w:right w:val="none" w:sz="0" w:space="0" w:color="auto"/>
      </w:divBdr>
    </w:div>
    <w:div w:id="456221227">
      <w:bodyDiv w:val="1"/>
      <w:marLeft w:val="0"/>
      <w:marRight w:val="0"/>
      <w:marTop w:val="0"/>
      <w:marBottom w:val="0"/>
      <w:divBdr>
        <w:top w:val="none" w:sz="0" w:space="0" w:color="auto"/>
        <w:left w:val="none" w:sz="0" w:space="0" w:color="auto"/>
        <w:bottom w:val="none" w:sz="0" w:space="0" w:color="auto"/>
        <w:right w:val="none" w:sz="0" w:space="0" w:color="auto"/>
      </w:divBdr>
    </w:div>
    <w:div w:id="456606768">
      <w:bodyDiv w:val="1"/>
      <w:marLeft w:val="0"/>
      <w:marRight w:val="0"/>
      <w:marTop w:val="0"/>
      <w:marBottom w:val="0"/>
      <w:divBdr>
        <w:top w:val="none" w:sz="0" w:space="0" w:color="auto"/>
        <w:left w:val="none" w:sz="0" w:space="0" w:color="auto"/>
        <w:bottom w:val="none" w:sz="0" w:space="0" w:color="auto"/>
        <w:right w:val="none" w:sz="0" w:space="0" w:color="auto"/>
      </w:divBdr>
    </w:div>
    <w:div w:id="456873545">
      <w:bodyDiv w:val="1"/>
      <w:marLeft w:val="0"/>
      <w:marRight w:val="0"/>
      <w:marTop w:val="0"/>
      <w:marBottom w:val="0"/>
      <w:divBdr>
        <w:top w:val="none" w:sz="0" w:space="0" w:color="auto"/>
        <w:left w:val="none" w:sz="0" w:space="0" w:color="auto"/>
        <w:bottom w:val="none" w:sz="0" w:space="0" w:color="auto"/>
        <w:right w:val="none" w:sz="0" w:space="0" w:color="auto"/>
      </w:divBdr>
    </w:div>
    <w:div w:id="457919514">
      <w:bodyDiv w:val="1"/>
      <w:marLeft w:val="0"/>
      <w:marRight w:val="0"/>
      <w:marTop w:val="0"/>
      <w:marBottom w:val="0"/>
      <w:divBdr>
        <w:top w:val="none" w:sz="0" w:space="0" w:color="auto"/>
        <w:left w:val="none" w:sz="0" w:space="0" w:color="auto"/>
        <w:bottom w:val="none" w:sz="0" w:space="0" w:color="auto"/>
        <w:right w:val="none" w:sz="0" w:space="0" w:color="auto"/>
      </w:divBdr>
    </w:div>
    <w:div w:id="461391078">
      <w:bodyDiv w:val="1"/>
      <w:marLeft w:val="0"/>
      <w:marRight w:val="0"/>
      <w:marTop w:val="0"/>
      <w:marBottom w:val="0"/>
      <w:divBdr>
        <w:top w:val="none" w:sz="0" w:space="0" w:color="auto"/>
        <w:left w:val="none" w:sz="0" w:space="0" w:color="auto"/>
        <w:bottom w:val="none" w:sz="0" w:space="0" w:color="auto"/>
        <w:right w:val="none" w:sz="0" w:space="0" w:color="auto"/>
      </w:divBdr>
    </w:div>
    <w:div w:id="463036451">
      <w:bodyDiv w:val="1"/>
      <w:marLeft w:val="0"/>
      <w:marRight w:val="0"/>
      <w:marTop w:val="0"/>
      <w:marBottom w:val="0"/>
      <w:divBdr>
        <w:top w:val="none" w:sz="0" w:space="0" w:color="auto"/>
        <w:left w:val="none" w:sz="0" w:space="0" w:color="auto"/>
        <w:bottom w:val="none" w:sz="0" w:space="0" w:color="auto"/>
        <w:right w:val="none" w:sz="0" w:space="0" w:color="auto"/>
      </w:divBdr>
    </w:div>
    <w:div w:id="464393761">
      <w:bodyDiv w:val="1"/>
      <w:marLeft w:val="0"/>
      <w:marRight w:val="0"/>
      <w:marTop w:val="0"/>
      <w:marBottom w:val="0"/>
      <w:divBdr>
        <w:top w:val="none" w:sz="0" w:space="0" w:color="auto"/>
        <w:left w:val="none" w:sz="0" w:space="0" w:color="auto"/>
        <w:bottom w:val="none" w:sz="0" w:space="0" w:color="auto"/>
        <w:right w:val="none" w:sz="0" w:space="0" w:color="auto"/>
      </w:divBdr>
    </w:div>
    <w:div w:id="466629648">
      <w:bodyDiv w:val="1"/>
      <w:marLeft w:val="0"/>
      <w:marRight w:val="0"/>
      <w:marTop w:val="0"/>
      <w:marBottom w:val="0"/>
      <w:divBdr>
        <w:top w:val="none" w:sz="0" w:space="0" w:color="auto"/>
        <w:left w:val="none" w:sz="0" w:space="0" w:color="auto"/>
        <w:bottom w:val="none" w:sz="0" w:space="0" w:color="auto"/>
        <w:right w:val="none" w:sz="0" w:space="0" w:color="auto"/>
      </w:divBdr>
    </w:div>
    <w:div w:id="467866305">
      <w:bodyDiv w:val="1"/>
      <w:marLeft w:val="0"/>
      <w:marRight w:val="0"/>
      <w:marTop w:val="0"/>
      <w:marBottom w:val="0"/>
      <w:divBdr>
        <w:top w:val="none" w:sz="0" w:space="0" w:color="auto"/>
        <w:left w:val="none" w:sz="0" w:space="0" w:color="auto"/>
        <w:bottom w:val="none" w:sz="0" w:space="0" w:color="auto"/>
        <w:right w:val="none" w:sz="0" w:space="0" w:color="auto"/>
      </w:divBdr>
    </w:div>
    <w:div w:id="468978891">
      <w:bodyDiv w:val="1"/>
      <w:marLeft w:val="0"/>
      <w:marRight w:val="0"/>
      <w:marTop w:val="0"/>
      <w:marBottom w:val="0"/>
      <w:divBdr>
        <w:top w:val="none" w:sz="0" w:space="0" w:color="auto"/>
        <w:left w:val="none" w:sz="0" w:space="0" w:color="auto"/>
        <w:bottom w:val="none" w:sz="0" w:space="0" w:color="auto"/>
        <w:right w:val="none" w:sz="0" w:space="0" w:color="auto"/>
      </w:divBdr>
    </w:div>
    <w:div w:id="470487654">
      <w:bodyDiv w:val="1"/>
      <w:marLeft w:val="0"/>
      <w:marRight w:val="0"/>
      <w:marTop w:val="0"/>
      <w:marBottom w:val="0"/>
      <w:divBdr>
        <w:top w:val="none" w:sz="0" w:space="0" w:color="auto"/>
        <w:left w:val="none" w:sz="0" w:space="0" w:color="auto"/>
        <w:bottom w:val="none" w:sz="0" w:space="0" w:color="auto"/>
        <w:right w:val="none" w:sz="0" w:space="0" w:color="auto"/>
      </w:divBdr>
    </w:div>
    <w:div w:id="472135642">
      <w:bodyDiv w:val="1"/>
      <w:marLeft w:val="0"/>
      <w:marRight w:val="0"/>
      <w:marTop w:val="0"/>
      <w:marBottom w:val="0"/>
      <w:divBdr>
        <w:top w:val="none" w:sz="0" w:space="0" w:color="auto"/>
        <w:left w:val="none" w:sz="0" w:space="0" w:color="auto"/>
        <w:bottom w:val="none" w:sz="0" w:space="0" w:color="auto"/>
        <w:right w:val="none" w:sz="0" w:space="0" w:color="auto"/>
      </w:divBdr>
    </w:div>
    <w:div w:id="472988538">
      <w:bodyDiv w:val="1"/>
      <w:marLeft w:val="0"/>
      <w:marRight w:val="0"/>
      <w:marTop w:val="0"/>
      <w:marBottom w:val="0"/>
      <w:divBdr>
        <w:top w:val="none" w:sz="0" w:space="0" w:color="auto"/>
        <w:left w:val="none" w:sz="0" w:space="0" w:color="auto"/>
        <w:bottom w:val="none" w:sz="0" w:space="0" w:color="auto"/>
        <w:right w:val="none" w:sz="0" w:space="0" w:color="auto"/>
      </w:divBdr>
    </w:div>
    <w:div w:id="473718399">
      <w:bodyDiv w:val="1"/>
      <w:marLeft w:val="0"/>
      <w:marRight w:val="0"/>
      <w:marTop w:val="0"/>
      <w:marBottom w:val="0"/>
      <w:divBdr>
        <w:top w:val="none" w:sz="0" w:space="0" w:color="auto"/>
        <w:left w:val="none" w:sz="0" w:space="0" w:color="auto"/>
        <w:bottom w:val="none" w:sz="0" w:space="0" w:color="auto"/>
        <w:right w:val="none" w:sz="0" w:space="0" w:color="auto"/>
      </w:divBdr>
    </w:div>
    <w:div w:id="473913573">
      <w:bodyDiv w:val="1"/>
      <w:marLeft w:val="0"/>
      <w:marRight w:val="0"/>
      <w:marTop w:val="0"/>
      <w:marBottom w:val="0"/>
      <w:divBdr>
        <w:top w:val="none" w:sz="0" w:space="0" w:color="auto"/>
        <w:left w:val="none" w:sz="0" w:space="0" w:color="auto"/>
        <w:bottom w:val="none" w:sz="0" w:space="0" w:color="auto"/>
        <w:right w:val="none" w:sz="0" w:space="0" w:color="auto"/>
      </w:divBdr>
    </w:div>
    <w:div w:id="474220744">
      <w:bodyDiv w:val="1"/>
      <w:marLeft w:val="0"/>
      <w:marRight w:val="0"/>
      <w:marTop w:val="0"/>
      <w:marBottom w:val="0"/>
      <w:divBdr>
        <w:top w:val="none" w:sz="0" w:space="0" w:color="auto"/>
        <w:left w:val="none" w:sz="0" w:space="0" w:color="auto"/>
        <w:bottom w:val="none" w:sz="0" w:space="0" w:color="auto"/>
        <w:right w:val="none" w:sz="0" w:space="0" w:color="auto"/>
      </w:divBdr>
    </w:div>
    <w:div w:id="475143760">
      <w:bodyDiv w:val="1"/>
      <w:marLeft w:val="0"/>
      <w:marRight w:val="0"/>
      <w:marTop w:val="0"/>
      <w:marBottom w:val="0"/>
      <w:divBdr>
        <w:top w:val="none" w:sz="0" w:space="0" w:color="auto"/>
        <w:left w:val="none" w:sz="0" w:space="0" w:color="auto"/>
        <w:bottom w:val="none" w:sz="0" w:space="0" w:color="auto"/>
        <w:right w:val="none" w:sz="0" w:space="0" w:color="auto"/>
      </w:divBdr>
    </w:div>
    <w:div w:id="477112320">
      <w:bodyDiv w:val="1"/>
      <w:marLeft w:val="0"/>
      <w:marRight w:val="0"/>
      <w:marTop w:val="0"/>
      <w:marBottom w:val="0"/>
      <w:divBdr>
        <w:top w:val="none" w:sz="0" w:space="0" w:color="auto"/>
        <w:left w:val="none" w:sz="0" w:space="0" w:color="auto"/>
        <w:bottom w:val="none" w:sz="0" w:space="0" w:color="auto"/>
        <w:right w:val="none" w:sz="0" w:space="0" w:color="auto"/>
      </w:divBdr>
    </w:div>
    <w:div w:id="477919723">
      <w:bodyDiv w:val="1"/>
      <w:marLeft w:val="0"/>
      <w:marRight w:val="0"/>
      <w:marTop w:val="0"/>
      <w:marBottom w:val="0"/>
      <w:divBdr>
        <w:top w:val="none" w:sz="0" w:space="0" w:color="auto"/>
        <w:left w:val="none" w:sz="0" w:space="0" w:color="auto"/>
        <w:bottom w:val="none" w:sz="0" w:space="0" w:color="auto"/>
        <w:right w:val="none" w:sz="0" w:space="0" w:color="auto"/>
      </w:divBdr>
    </w:div>
    <w:div w:id="479855758">
      <w:bodyDiv w:val="1"/>
      <w:marLeft w:val="0"/>
      <w:marRight w:val="0"/>
      <w:marTop w:val="0"/>
      <w:marBottom w:val="0"/>
      <w:divBdr>
        <w:top w:val="none" w:sz="0" w:space="0" w:color="auto"/>
        <w:left w:val="none" w:sz="0" w:space="0" w:color="auto"/>
        <w:bottom w:val="none" w:sz="0" w:space="0" w:color="auto"/>
        <w:right w:val="none" w:sz="0" w:space="0" w:color="auto"/>
      </w:divBdr>
    </w:div>
    <w:div w:id="480198470">
      <w:bodyDiv w:val="1"/>
      <w:marLeft w:val="0"/>
      <w:marRight w:val="0"/>
      <w:marTop w:val="0"/>
      <w:marBottom w:val="0"/>
      <w:divBdr>
        <w:top w:val="none" w:sz="0" w:space="0" w:color="auto"/>
        <w:left w:val="none" w:sz="0" w:space="0" w:color="auto"/>
        <w:bottom w:val="none" w:sz="0" w:space="0" w:color="auto"/>
        <w:right w:val="none" w:sz="0" w:space="0" w:color="auto"/>
      </w:divBdr>
    </w:div>
    <w:div w:id="480267713">
      <w:bodyDiv w:val="1"/>
      <w:marLeft w:val="0"/>
      <w:marRight w:val="0"/>
      <w:marTop w:val="0"/>
      <w:marBottom w:val="0"/>
      <w:divBdr>
        <w:top w:val="none" w:sz="0" w:space="0" w:color="auto"/>
        <w:left w:val="none" w:sz="0" w:space="0" w:color="auto"/>
        <w:bottom w:val="none" w:sz="0" w:space="0" w:color="auto"/>
        <w:right w:val="none" w:sz="0" w:space="0" w:color="auto"/>
      </w:divBdr>
    </w:div>
    <w:div w:id="480271810">
      <w:bodyDiv w:val="1"/>
      <w:marLeft w:val="0"/>
      <w:marRight w:val="0"/>
      <w:marTop w:val="0"/>
      <w:marBottom w:val="0"/>
      <w:divBdr>
        <w:top w:val="none" w:sz="0" w:space="0" w:color="auto"/>
        <w:left w:val="none" w:sz="0" w:space="0" w:color="auto"/>
        <w:bottom w:val="none" w:sz="0" w:space="0" w:color="auto"/>
        <w:right w:val="none" w:sz="0" w:space="0" w:color="auto"/>
      </w:divBdr>
    </w:div>
    <w:div w:id="481703251">
      <w:bodyDiv w:val="1"/>
      <w:marLeft w:val="0"/>
      <w:marRight w:val="0"/>
      <w:marTop w:val="0"/>
      <w:marBottom w:val="0"/>
      <w:divBdr>
        <w:top w:val="none" w:sz="0" w:space="0" w:color="auto"/>
        <w:left w:val="none" w:sz="0" w:space="0" w:color="auto"/>
        <w:bottom w:val="none" w:sz="0" w:space="0" w:color="auto"/>
        <w:right w:val="none" w:sz="0" w:space="0" w:color="auto"/>
      </w:divBdr>
    </w:div>
    <w:div w:id="483200539">
      <w:bodyDiv w:val="1"/>
      <w:marLeft w:val="0"/>
      <w:marRight w:val="0"/>
      <w:marTop w:val="0"/>
      <w:marBottom w:val="0"/>
      <w:divBdr>
        <w:top w:val="none" w:sz="0" w:space="0" w:color="auto"/>
        <w:left w:val="none" w:sz="0" w:space="0" w:color="auto"/>
        <w:bottom w:val="none" w:sz="0" w:space="0" w:color="auto"/>
        <w:right w:val="none" w:sz="0" w:space="0" w:color="auto"/>
      </w:divBdr>
    </w:div>
    <w:div w:id="484662413">
      <w:bodyDiv w:val="1"/>
      <w:marLeft w:val="0"/>
      <w:marRight w:val="0"/>
      <w:marTop w:val="0"/>
      <w:marBottom w:val="0"/>
      <w:divBdr>
        <w:top w:val="none" w:sz="0" w:space="0" w:color="auto"/>
        <w:left w:val="none" w:sz="0" w:space="0" w:color="auto"/>
        <w:bottom w:val="none" w:sz="0" w:space="0" w:color="auto"/>
        <w:right w:val="none" w:sz="0" w:space="0" w:color="auto"/>
      </w:divBdr>
    </w:div>
    <w:div w:id="488516777">
      <w:bodyDiv w:val="1"/>
      <w:marLeft w:val="0"/>
      <w:marRight w:val="0"/>
      <w:marTop w:val="0"/>
      <w:marBottom w:val="0"/>
      <w:divBdr>
        <w:top w:val="none" w:sz="0" w:space="0" w:color="auto"/>
        <w:left w:val="none" w:sz="0" w:space="0" w:color="auto"/>
        <w:bottom w:val="none" w:sz="0" w:space="0" w:color="auto"/>
        <w:right w:val="none" w:sz="0" w:space="0" w:color="auto"/>
      </w:divBdr>
    </w:div>
    <w:div w:id="489754889">
      <w:bodyDiv w:val="1"/>
      <w:marLeft w:val="0"/>
      <w:marRight w:val="0"/>
      <w:marTop w:val="0"/>
      <w:marBottom w:val="0"/>
      <w:divBdr>
        <w:top w:val="none" w:sz="0" w:space="0" w:color="auto"/>
        <w:left w:val="none" w:sz="0" w:space="0" w:color="auto"/>
        <w:bottom w:val="none" w:sz="0" w:space="0" w:color="auto"/>
        <w:right w:val="none" w:sz="0" w:space="0" w:color="auto"/>
      </w:divBdr>
    </w:div>
    <w:div w:id="490098606">
      <w:bodyDiv w:val="1"/>
      <w:marLeft w:val="0"/>
      <w:marRight w:val="0"/>
      <w:marTop w:val="0"/>
      <w:marBottom w:val="0"/>
      <w:divBdr>
        <w:top w:val="none" w:sz="0" w:space="0" w:color="auto"/>
        <w:left w:val="none" w:sz="0" w:space="0" w:color="auto"/>
        <w:bottom w:val="none" w:sz="0" w:space="0" w:color="auto"/>
        <w:right w:val="none" w:sz="0" w:space="0" w:color="auto"/>
      </w:divBdr>
    </w:div>
    <w:div w:id="490682280">
      <w:bodyDiv w:val="1"/>
      <w:marLeft w:val="0"/>
      <w:marRight w:val="0"/>
      <w:marTop w:val="0"/>
      <w:marBottom w:val="0"/>
      <w:divBdr>
        <w:top w:val="none" w:sz="0" w:space="0" w:color="auto"/>
        <w:left w:val="none" w:sz="0" w:space="0" w:color="auto"/>
        <w:bottom w:val="none" w:sz="0" w:space="0" w:color="auto"/>
        <w:right w:val="none" w:sz="0" w:space="0" w:color="auto"/>
      </w:divBdr>
    </w:div>
    <w:div w:id="491680324">
      <w:bodyDiv w:val="1"/>
      <w:marLeft w:val="0"/>
      <w:marRight w:val="0"/>
      <w:marTop w:val="0"/>
      <w:marBottom w:val="0"/>
      <w:divBdr>
        <w:top w:val="none" w:sz="0" w:space="0" w:color="auto"/>
        <w:left w:val="none" w:sz="0" w:space="0" w:color="auto"/>
        <w:bottom w:val="none" w:sz="0" w:space="0" w:color="auto"/>
        <w:right w:val="none" w:sz="0" w:space="0" w:color="auto"/>
      </w:divBdr>
    </w:div>
    <w:div w:id="492334725">
      <w:bodyDiv w:val="1"/>
      <w:marLeft w:val="0"/>
      <w:marRight w:val="0"/>
      <w:marTop w:val="0"/>
      <w:marBottom w:val="0"/>
      <w:divBdr>
        <w:top w:val="none" w:sz="0" w:space="0" w:color="auto"/>
        <w:left w:val="none" w:sz="0" w:space="0" w:color="auto"/>
        <w:bottom w:val="none" w:sz="0" w:space="0" w:color="auto"/>
        <w:right w:val="none" w:sz="0" w:space="0" w:color="auto"/>
      </w:divBdr>
    </w:div>
    <w:div w:id="492989333">
      <w:bodyDiv w:val="1"/>
      <w:marLeft w:val="0"/>
      <w:marRight w:val="0"/>
      <w:marTop w:val="0"/>
      <w:marBottom w:val="0"/>
      <w:divBdr>
        <w:top w:val="none" w:sz="0" w:space="0" w:color="auto"/>
        <w:left w:val="none" w:sz="0" w:space="0" w:color="auto"/>
        <w:bottom w:val="none" w:sz="0" w:space="0" w:color="auto"/>
        <w:right w:val="none" w:sz="0" w:space="0" w:color="auto"/>
      </w:divBdr>
    </w:div>
    <w:div w:id="493499097">
      <w:bodyDiv w:val="1"/>
      <w:marLeft w:val="0"/>
      <w:marRight w:val="0"/>
      <w:marTop w:val="0"/>
      <w:marBottom w:val="0"/>
      <w:divBdr>
        <w:top w:val="none" w:sz="0" w:space="0" w:color="auto"/>
        <w:left w:val="none" w:sz="0" w:space="0" w:color="auto"/>
        <w:bottom w:val="none" w:sz="0" w:space="0" w:color="auto"/>
        <w:right w:val="none" w:sz="0" w:space="0" w:color="auto"/>
      </w:divBdr>
    </w:div>
    <w:div w:id="494300752">
      <w:bodyDiv w:val="1"/>
      <w:marLeft w:val="0"/>
      <w:marRight w:val="0"/>
      <w:marTop w:val="0"/>
      <w:marBottom w:val="0"/>
      <w:divBdr>
        <w:top w:val="none" w:sz="0" w:space="0" w:color="auto"/>
        <w:left w:val="none" w:sz="0" w:space="0" w:color="auto"/>
        <w:bottom w:val="none" w:sz="0" w:space="0" w:color="auto"/>
        <w:right w:val="none" w:sz="0" w:space="0" w:color="auto"/>
      </w:divBdr>
    </w:div>
    <w:div w:id="494343291">
      <w:bodyDiv w:val="1"/>
      <w:marLeft w:val="0"/>
      <w:marRight w:val="0"/>
      <w:marTop w:val="0"/>
      <w:marBottom w:val="0"/>
      <w:divBdr>
        <w:top w:val="none" w:sz="0" w:space="0" w:color="auto"/>
        <w:left w:val="none" w:sz="0" w:space="0" w:color="auto"/>
        <w:bottom w:val="none" w:sz="0" w:space="0" w:color="auto"/>
        <w:right w:val="none" w:sz="0" w:space="0" w:color="auto"/>
      </w:divBdr>
    </w:div>
    <w:div w:id="494541186">
      <w:bodyDiv w:val="1"/>
      <w:marLeft w:val="0"/>
      <w:marRight w:val="0"/>
      <w:marTop w:val="0"/>
      <w:marBottom w:val="0"/>
      <w:divBdr>
        <w:top w:val="none" w:sz="0" w:space="0" w:color="auto"/>
        <w:left w:val="none" w:sz="0" w:space="0" w:color="auto"/>
        <w:bottom w:val="none" w:sz="0" w:space="0" w:color="auto"/>
        <w:right w:val="none" w:sz="0" w:space="0" w:color="auto"/>
      </w:divBdr>
    </w:div>
    <w:div w:id="495075026">
      <w:bodyDiv w:val="1"/>
      <w:marLeft w:val="0"/>
      <w:marRight w:val="0"/>
      <w:marTop w:val="0"/>
      <w:marBottom w:val="0"/>
      <w:divBdr>
        <w:top w:val="none" w:sz="0" w:space="0" w:color="auto"/>
        <w:left w:val="none" w:sz="0" w:space="0" w:color="auto"/>
        <w:bottom w:val="none" w:sz="0" w:space="0" w:color="auto"/>
        <w:right w:val="none" w:sz="0" w:space="0" w:color="auto"/>
      </w:divBdr>
    </w:div>
    <w:div w:id="496262689">
      <w:bodyDiv w:val="1"/>
      <w:marLeft w:val="0"/>
      <w:marRight w:val="0"/>
      <w:marTop w:val="0"/>
      <w:marBottom w:val="0"/>
      <w:divBdr>
        <w:top w:val="none" w:sz="0" w:space="0" w:color="auto"/>
        <w:left w:val="none" w:sz="0" w:space="0" w:color="auto"/>
        <w:bottom w:val="none" w:sz="0" w:space="0" w:color="auto"/>
        <w:right w:val="none" w:sz="0" w:space="0" w:color="auto"/>
      </w:divBdr>
    </w:div>
    <w:div w:id="496919600">
      <w:bodyDiv w:val="1"/>
      <w:marLeft w:val="0"/>
      <w:marRight w:val="0"/>
      <w:marTop w:val="0"/>
      <w:marBottom w:val="0"/>
      <w:divBdr>
        <w:top w:val="none" w:sz="0" w:space="0" w:color="auto"/>
        <w:left w:val="none" w:sz="0" w:space="0" w:color="auto"/>
        <w:bottom w:val="none" w:sz="0" w:space="0" w:color="auto"/>
        <w:right w:val="none" w:sz="0" w:space="0" w:color="auto"/>
      </w:divBdr>
    </w:div>
    <w:div w:id="497965579">
      <w:bodyDiv w:val="1"/>
      <w:marLeft w:val="0"/>
      <w:marRight w:val="0"/>
      <w:marTop w:val="0"/>
      <w:marBottom w:val="0"/>
      <w:divBdr>
        <w:top w:val="none" w:sz="0" w:space="0" w:color="auto"/>
        <w:left w:val="none" w:sz="0" w:space="0" w:color="auto"/>
        <w:bottom w:val="none" w:sz="0" w:space="0" w:color="auto"/>
        <w:right w:val="none" w:sz="0" w:space="0" w:color="auto"/>
      </w:divBdr>
    </w:div>
    <w:div w:id="498272848">
      <w:bodyDiv w:val="1"/>
      <w:marLeft w:val="0"/>
      <w:marRight w:val="0"/>
      <w:marTop w:val="0"/>
      <w:marBottom w:val="0"/>
      <w:divBdr>
        <w:top w:val="none" w:sz="0" w:space="0" w:color="auto"/>
        <w:left w:val="none" w:sz="0" w:space="0" w:color="auto"/>
        <w:bottom w:val="none" w:sz="0" w:space="0" w:color="auto"/>
        <w:right w:val="none" w:sz="0" w:space="0" w:color="auto"/>
      </w:divBdr>
    </w:div>
    <w:div w:id="498732765">
      <w:bodyDiv w:val="1"/>
      <w:marLeft w:val="0"/>
      <w:marRight w:val="0"/>
      <w:marTop w:val="0"/>
      <w:marBottom w:val="0"/>
      <w:divBdr>
        <w:top w:val="none" w:sz="0" w:space="0" w:color="auto"/>
        <w:left w:val="none" w:sz="0" w:space="0" w:color="auto"/>
        <w:bottom w:val="none" w:sz="0" w:space="0" w:color="auto"/>
        <w:right w:val="none" w:sz="0" w:space="0" w:color="auto"/>
      </w:divBdr>
    </w:div>
    <w:div w:id="499392457">
      <w:bodyDiv w:val="1"/>
      <w:marLeft w:val="0"/>
      <w:marRight w:val="0"/>
      <w:marTop w:val="0"/>
      <w:marBottom w:val="0"/>
      <w:divBdr>
        <w:top w:val="none" w:sz="0" w:space="0" w:color="auto"/>
        <w:left w:val="none" w:sz="0" w:space="0" w:color="auto"/>
        <w:bottom w:val="none" w:sz="0" w:space="0" w:color="auto"/>
        <w:right w:val="none" w:sz="0" w:space="0" w:color="auto"/>
      </w:divBdr>
    </w:div>
    <w:div w:id="499974490">
      <w:bodyDiv w:val="1"/>
      <w:marLeft w:val="0"/>
      <w:marRight w:val="0"/>
      <w:marTop w:val="0"/>
      <w:marBottom w:val="0"/>
      <w:divBdr>
        <w:top w:val="none" w:sz="0" w:space="0" w:color="auto"/>
        <w:left w:val="none" w:sz="0" w:space="0" w:color="auto"/>
        <w:bottom w:val="none" w:sz="0" w:space="0" w:color="auto"/>
        <w:right w:val="none" w:sz="0" w:space="0" w:color="auto"/>
      </w:divBdr>
    </w:div>
    <w:div w:id="500851642">
      <w:bodyDiv w:val="1"/>
      <w:marLeft w:val="0"/>
      <w:marRight w:val="0"/>
      <w:marTop w:val="0"/>
      <w:marBottom w:val="0"/>
      <w:divBdr>
        <w:top w:val="none" w:sz="0" w:space="0" w:color="auto"/>
        <w:left w:val="none" w:sz="0" w:space="0" w:color="auto"/>
        <w:bottom w:val="none" w:sz="0" w:space="0" w:color="auto"/>
        <w:right w:val="none" w:sz="0" w:space="0" w:color="auto"/>
      </w:divBdr>
    </w:div>
    <w:div w:id="504562402">
      <w:bodyDiv w:val="1"/>
      <w:marLeft w:val="0"/>
      <w:marRight w:val="0"/>
      <w:marTop w:val="0"/>
      <w:marBottom w:val="0"/>
      <w:divBdr>
        <w:top w:val="none" w:sz="0" w:space="0" w:color="auto"/>
        <w:left w:val="none" w:sz="0" w:space="0" w:color="auto"/>
        <w:bottom w:val="none" w:sz="0" w:space="0" w:color="auto"/>
        <w:right w:val="none" w:sz="0" w:space="0" w:color="auto"/>
      </w:divBdr>
    </w:div>
    <w:div w:id="505169484">
      <w:bodyDiv w:val="1"/>
      <w:marLeft w:val="0"/>
      <w:marRight w:val="0"/>
      <w:marTop w:val="0"/>
      <w:marBottom w:val="0"/>
      <w:divBdr>
        <w:top w:val="none" w:sz="0" w:space="0" w:color="auto"/>
        <w:left w:val="none" w:sz="0" w:space="0" w:color="auto"/>
        <w:bottom w:val="none" w:sz="0" w:space="0" w:color="auto"/>
        <w:right w:val="none" w:sz="0" w:space="0" w:color="auto"/>
      </w:divBdr>
    </w:div>
    <w:div w:id="505561431">
      <w:bodyDiv w:val="1"/>
      <w:marLeft w:val="0"/>
      <w:marRight w:val="0"/>
      <w:marTop w:val="0"/>
      <w:marBottom w:val="0"/>
      <w:divBdr>
        <w:top w:val="none" w:sz="0" w:space="0" w:color="auto"/>
        <w:left w:val="none" w:sz="0" w:space="0" w:color="auto"/>
        <w:bottom w:val="none" w:sz="0" w:space="0" w:color="auto"/>
        <w:right w:val="none" w:sz="0" w:space="0" w:color="auto"/>
      </w:divBdr>
    </w:div>
    <w:div w:id="509569355">
      <w:bodyDiv w:val="1"/>
      <w:marLeft w:val="0"/>
      <w:marRight w:val="0"/>
      <w:marTop w:val="0"/>
      <w:marBottom w:val="0"/>
      <w:divBdr>
        <w:top w:val="none" w:sz="0" w:space="0" w:color="auto"/>
        <w:left w:val="none" w:sz="0" w:space="0" w:color="auto"/>
        <w:bottom w:val="none" w:sz="0" w:space="0" w:color="auto"/>
        <w:right w:val="none" w:sz="0" w:space="0" w:color="auto"/>
      </w:divBdr>
    </w:div>
    <w:div w:id="509879815">
      <w:bodyDiv w:val="1"/>
      <w:marLeft w:val="0"/>
      <w:marRight w:val="0"/>
      <w:marTop w:val="0"/>
      <w:marBottom w:val="0"/>
      <w:divBdr>
        <w:top w:val="none" w:sz="0" w:space="0" w:color="auto"/>
        <w:left w:val="none" w:sz="0" w:space="0" w:color="auto"/>
        <w:bottom w:val="none" w:sz="0" w:space="0" w:color="auto"/>
        <w:right w:val="none" w:sz="0" w:space="0" w:color="auto"/>
      </w:divBdr>
    </w:div>
    <w:div w:id="510687008">
      <w:bodyDiv w:val="1"/>
      <w:marLeft w:val="0"/>
      <w:marRight w:val="0"/>
      <w:marTop w:val="0"/>
      <w:marBottom w:val="0"/>
      <w:divBdr>
        <w:top w:val="none" w:sz="0" w:space="0" w:color="auto"/>
        <w:left w:val="none" w:sz="0" w:space="0" w:color="auto"/>
        <w:bottom w:val="none" w:sz="0" w:space="0" w:color="auto"/>
        <w:right w:val="none" w:sz="0" w:space="0" w:color="auto"/>
      </w:divBdr>
    </w:div>
    <w:div w:id="511139754">
      <w:bodyDiv w:val="1"/>
      <w:marLeft w:val="0"/>
      <w:marRight w:val="0"/>
      <w:marTop w:val="0"/>
      <w:marBottom w:val="0"/>
      <w:divBdr>
        <w:top w:val="none" w:sz="0" w:space="0" w:color="auto"/>
        <w:left w:val="none" w:sz="0" w:space="0" w:color="auto"/>
        <w:bottom w:val="none" w:sz="0" w:space="0" w:color="auto"/>
        <w:right w:val="none" w:sz="0" w:space="0" w:color="auto"/>
      </w:divBdr>
    </w:div>
    <w:div w:id="511653775">
      <w:bodyDiv w:val="1"/>
      <w:marLeft w:val="0"/>
      <w:marRight w:val="0"/>
      <w:marTop w:val="0"/>
      <w:marBottom w:val="0"/>
      <w:divBdr>
        <w:top w:val="none" w:sz="0" w:space="0" w:color="auto"/>
        <w:left w:val="none" w:sz="0" w:space="0" w:color="auto"/>
        <w:bottom w:val="none" w:sz="0" w:space="0" w:color="auto"/>
        <w:right w:val="none" w:sz="0" w:space="0" w:color="auto"/>
      </w:divBdr>
    </w:div>
    <w:div w:id="513082431">
      <w:bodyDiv w:val="1"/>
      <w:marLeft w:val="0"/>
      <w:marRight w:val="0"/>
      <w:marTop w:val="0"/>
      <w:marBottom w:val="0"/>
      <w:divBdr>
        <w:top w:val="none" w:sz="0" w:space="0" w:color="auto"/>
        <w:left w:val="none" w:sz="0" w:space="0" w:color="auto"/>
        <w:bottom w:val="none" w:sz="0" w:space="0" w:color="auto"/>
        <w:right w:val="none" w:sz="0" w:space="0" w:color="auto"/>
      </w:divBdr>
    </w:div>
    <w:div w:id="515078394">
      <w:bodyDiv w:val="1"/>
      <w:marLeft w:val="0"/>
      <w:marRight w:val="0"/>
      <w:marTop w:val="0"/>
      <w:marBottom w:val="0"/>
      <w:divBdr>
        <w:top w:val="none" w:sz="0" w:space="0" w:color="auto"/>
        <w:left w:val="none" w:sz="0" w:space="0" w:color="auto"/>
        <w:bottom w:val="none" w:sz="0" w:space="0" w:color="auto"/>
        <w:right w:val="none" w:sz="0" w:space="0" w:color="auto"/>
      </w:divBdr>
    </w:div>
    <w:div w:id="515267904">
      <w:bodyDiv w:val="1"/>
      <w:marLeft w:val="0"/>
      <w:marRight w:val="0"/>
      <w:marTop w:val="0"/>
      <w:marBottom w:val="0"/>
      <w:divBdr>
        <w:top w:val="none" w:sz="0" w:space="0" w:color="auto"/>
        <w:left w:val="none" w:sz="0" w:space="0" w:color="auto"/>
        <w:bottom w:val="none" w:sz="0" w:space="0" w:color="auto"/>
        <w:right w:val="none" w:sz="0" w:space="0" w:color="auto"/>
      </w:divBdr>
    </w:div>
    <w:div w:id="515465420">
      <w:bodyDiv w:val="1"/>
      <w:marLeft w:val="0"/>
      <w:marRight w:val="0"/>
      <w:marTop w:val="0"/>
      <w:marBottom w:val="0"/>
      <w:divBdr>
        <w:top w:val="none" w:sz="0" w:space="0" w:color="auto"/>
        <w:left w:val="none" w:sz="0" w:space="0" w:color="auto"/>
        <w:bottom w:val="none" w:sz="0" w:space="0" w:color="auto"/>
        <w:right w:val="none" w:sz="0" w:space="0" w:color="auto"/>
      </w:divBdr>
    </w:div>
    <w:div w:id="516389976">
      <w:bodyDiv w:val="1"/>
      <w:marLeft w:val="0"/>
      <w:marRight w:val="0"/>
      <w:marTop w:val="0"/>
      <w:marBottom w:val="0"/>
      <w:divBdr>
        <w:top w:val="none" w:sz="0" w:space="0" w:color="auto"/>
        <w:left w:val="none" w:sz="0" w:space="0" w:color="auto"/>
        <w:bottom w:val="none" w:sz="0" w:space="0" w:color="auto"/>
        <w:right w:val="none" w:sz="0" w:space="0" w:color="auto"/>
      </w:divBdr>
    </w:div>
    <w:div w:id="516847658">
      <w:bodyDiv w:val="1"/>
      <w:marLeft w:val="0"/>
      <w:marRight w:val="0"/>
      <w:marTop w:val="0"/>
      <w:marBottom w:val="0"/>
      <w:divBdr>
        <w:top w:val="none" w:sz="0" w:space="0" w:color="auto"/>
        <w:left w:val="none" w:sz="0" w:space="0" w:color="auto"/>
        <w:bottom w:val="none" w:sz="0" w:space="0" w:color="auto"/>
        <w:right w:val="none" w:sz="0" w:space="0" w:color="auto"/>
      </w:divBdr>
    </w:div>
    <w:div w:id="517472689">
      <w:bodyDiv w:val="1"/>
      <w:marLeft w:val="0"/>
      <w:marRight w:val="0"/>
      <w:marTop w:val="0"/>
      <w:marBottom w:val="0"/>
      <w:divBdr>
        <w:top w:val="none" w:sz="0" w:space="0" w:color="auto"/>
        <w:left w:val="none" w:sz="0" w:space="0" w:color="auto"/>
        <w:bottom w:val="none" w:sz="0" w:space="0" w:color="auto"/>
        <w:right w:val="none" w:sz="0" w:space="0" w:color="auto"/>
      </w:divBdr>
    </w:div>
    <w:div w:id="517891418">
      <w:bodyDiv w:val="1"/>
      <w:marLeft w:val="0"/>
      <w:marRight w:val="0"/>
      <w:marTop w:val="0"/>
      <w:marBottom w:val="0"/>
      <w:divBdr>
        <w:top w:val="none" w:sz="0" w:space="0" w:color="auto"/>
        <w:left w:val="none" w:sz="0" w:space="0" w:color="auto"/>
        <w:bottom w:val="none" w:sz="0" w:space="0" w:color="auto"/>
        <w:right w:val="none" w:sz="0" w:space="0" w:color="auto"/>
      </w:divBdr>
    </w:div>
    <w:div w:id="518278175">
      <w:bodyDiv w:val="1"/>
      <w:marLeft w:val="0"/>
      <w:marRight w:val="0"/>
      <w:marTop w:val="0"/>
      <w:marBottom w:val="0"/>
      <w:divBdr>
        <w:top w:val="none" w:sz="0" w:space="0" w:color="auto"/>
        <w:left w:val="none" w:sz="0" w:space="0" w:color="auto"/>
        <w:bottom w:val="none" w:sz="0" w:space="0" w:color="auto"/>
        <w:right w:val="none" w:sz="0" w:space="0" w:color="auto"/>
      </w:divBdr>
    </w:div>
    <w:div w:id="518927727">
      <w:bodyDiv w:val="1"/>
      <w:marLeft w:val="0"/>
      <w:marRight w:val="0"/>
      <w:marTop w:val="0"/>
      <w:marBottom w:val="0"/>
      <w:divBdr>
        <w:top w:val="none" w:sz="0" w:space="0" w:color="auto"/>
        <w:left w:val="none" w:sz="0" w:space="0" w:color="auto"/>
        <w:bottom w:val="none" w:sz="0" w:space="0" w:color="auto"/>
        <w:right w:val="none" w:sz="0" w:space="0" w:color="auto"/>
      </w:divBdr>
    </w:div>
    <w:div w:id="519316896">
      <w:bodyDiv w:val="1"/>
      <w:marLeft w:val="0"/>
      <w:marRight w:val="0"/>
      <w:marTop w:val="0"/>
      <w:marBottom w:val="0"/>
      <w:divBdr>
        <w:top w:val="none" w:sz="0" w:space="0" w:color="auto"/>
        <w:left w:val="none" w:sz="0" w:space="0" w:color="auto"/>
        <w:bottom w:val="none" w:sz="0" w:space="0" w:color="auto"/>
        <w:right w:val="none" w:sz="0" w:space="0" w:color="auto"/>
      </w:divBdr>
    </w:div>
    <w:div w:id="519466890">
      <w:bodyDiv w:val="1"/>
      <w:marLeft w:val="0"/>
      <w:marRight w:val="0"/>
      <w:marTop w:val="0"/>
      <w:marBottom w:val="0"/>
      <w:divBdr>
        <w:top w:val="none" w:sz="0" w:space="0" w:color="auto"/>
        <w:left w:val="none" w:sz="0" w:space="0" w:color="auto"/>
        <w:bottom w:val="none" w:sz="0" w:space="0" w:color="auto"/>
        <w:right w:val="none" w:sz="0" w:space="0" w:color="auto"/>
      </w:divBdr>
    </w:div>
    <w:div w:id="519703632">
      <w:bodyDiv w:val="1"/>
      <w:marLeft w:val="0"/>
      <w:marRight w:val="0"/>
      <w:marTop w:val="0"/>
      <w:marBottom w:val="0"/>
      <w:divBdr>
        <w:top w:val="none" w:sz="0" w:space="0" w:color="auto"/>
        <w:left w:val="none" w:sz="0" w:space="0" w:color="auto"/>
        <w:bottom w:val="none" w:sz="0" w:space="0" w:color="auto"/>
        <w:right w:val="none" w:sz="0" w:space="0" w:color="auto"/>
      </w:divBdr>
    </w:div>
    <w:div w:id="520045520">
      <w:bodyDiv w:val="1"/>
      <w:marLeft w:val="0"/>
      <w:marRight w:val="0"/>
      <w:marTop w:val="0"/>
      <w:marBottom w:val="0"/>
      <w:divBdr>
        <w:top w:val="none" w:sz="0" w:space="0" w:color="auto"/>
        <w:left w:val="none" w:sz="0" w:space="0" w:color="auto"/>
        <w:bottom w:val="none" w:sz="0" w:space="0" w:color="auto"/>
        <w:right w:val="none" w:sz="0" w:space="0" w:color="auto"/>
      </w:divBdr>
    </w:div>
    <w:div w:id="520359475">
      <w:bodyDiv w:val="1"/>
      <w:marLeft w:val="0"/>
      <w:marRight w:val="0"/>
      <w:marTop w:val="0"/>
      <w:marBottom w:val="0"/>
      <w:divBdr>
        <w:top w:val="none" w:sz="0" w:space="0" w:color="auto"/>
        <w:left w:val="none" w:sz="0" w:space="0" w:color="auto"/>
        <w:bottom w:val="none" w:sz="0" w:space="0" w:color="auto"/>
        <w:right w:val="none" w:sz="0" w:space="0" w:color="auto"/>
      </w:divBdr>
    </w:div>
    <w:div w:id="520824122">
      <w:bodyDiv w:val="1"/>
      <w:marLeft w:val="0"/>
      <w:marRight w:val="0"/>
      <w:marTop w:val="0"/>
      <w:marBottom w:val="0"/>
      <w:divBdr>
        <w:top w:val="none" w:sz="0" w:space="0" w:color="auto"/>
        <w:left w:val="none" w:sz="0" w:space="0" w:color="auto"/>
        <w:bottom w:val="none" w:sz="0" w:space="0" w:color="auto"/>
        <w:right w:val="none" w:sz="0" w:space="0" w:color="auto"/>
      </w:divBdr>
    </w:div>
    <w:div w:id="521631329">
      <w:bodyDiv w:val="1"/>
      <w:marLeft w:val="0"/>
      <w:marRight w:val="0"/>
      <w:marTop w:val="0"/>
      <w:marBottom w:val="0"/>
      <w:divBdr>
        <w:top w:val="none" w:sz="0" w:space="0" w:color="auto"/>
        <w:left w:val="none" w:sz="0" w:space="0" w:color="auto"/>
        <w:bottom w:val="none" w:sz="0" w:space="0" w:color="auto"/>
        <w:right w:val="none" w:sz="0" w:space="0" w:color="auto"/>
      </w:divBdr>
    </w:div>
    <w:div w:id="522523979">
      <w:bodyDiv w:val="1"/>
      <w:marLeft w:val="0"/>
      <w:marRight w:val="0"/>
      <w:marTop w:val="0"/>
      <w:marBottom w:val="0"/>
      <w:divBdr>
        <w:top w:val="none" w:sz="0" w:space="0" w:color="auto"/>
        <w:left w:val="none" w:sz="0" w:space="0" w:color="auto"/>
        <w:bottom w:val="none" w:sz="0" w:space="0" w:color="auto"/>
        <w:right w:val="none" w:sz="0" w:space="0" w:color="auto"/>
      </w:divBdr>
    </w:div>
    <w:div w:id="524176520">
      <w:bodyDiv w:val="1"/>
      <w:marLeft w:val="0"/>
      <w:marRight w:val="0"/>
      <w:marTop w:val="0"/>
      <w:marBottom w:val="0"/>
      <w:divBdr>
        <w:top w:val="none" w:sz="0" w:space="0" w:color="auto"/>
        <w:left w:val="none" w:sz="0" w:space="0" w:color="auto"/>
        <w:bottom w:val="none" w:sz="0" w:space="0" w:color="auto"/>
        <w:right w:val="none" w:sz="0" w:space="0" w:color="auto"/>
      </w:divBdr>
    </w:div>
    <w:div w:id="524295132">
      <w:bodyDiv w:val="1"/>
      <w:marLeft w:val="0"/>
      <w:marRight w:val="0"/>
      <w:marTop w:val="0"/>
      <w:marBottom w:val="0"/>
      <w:divBdr>
        <w:top w:val="none" w:sz="0" w:space="0" w:color="auto"/>
        <w:left w:val="none" w:sz="0" w:space="0" w:color="auto"/>
        <w:bottom w:val="none" w:sz="0" w:space="0" w:color="auto"/>
        <w:right w:val="none" w:sz="0" w:space="0" w:color="auto"/>
      </w:divBdr>
    </w:div>
    <w:div w:id="524906610">
      <w:bodyDiv w:val="1"/>
      <w:marLeft w:val="0"/>
      <w:marRight w:val="0"/>
      <w:marTop w:val="0"/>
      <w:marBottom w:val="0"/>
      <w:divBdr>
        <w:top w:val="none" w:sz="0" w:space="0" w:color="auto"/>
        <w:left w:val="none" w:sz="0" w:space="0" w:color="auto"/>
        <w:bottom w:val="none" w:sz="0" w:space="0" w:color="auto"/>
        <w:right w:val="none" w:sz="0" w:space="0" w:color="auto"/>
      </w:divBdr>
    </w:div>
    <w:div w:id="525557480">
      <w:bodyDiv w:val="1"/>
      <w:marLeft w:val="0"/>
      <w:marRight w:val="0"/>
      <w:marTop w:val="0"/>
      <w:marBottom w:val="0"/>
      <w:divBdr>
        <w:top w:val="none" w:sz="0" w:space="0" w:color="auto"/>
        <w:left w:val="none" w:sz="0" w:space="0" w:color="auto"/>
        <w:bottom w:val="none" w:sz="0" w:space="0" w:color="auto"/>
        <w:right w:val="none" w:sz="0" w:space="0" w:color="auto"/>
      </w:divBdr>
    </w:div>
    <w:div w:id="526023452">
      <w:bodyDiv w:val="1"/>
      <w:marLeft w:val="0"/>
      <w:marRight w:val="0"/>
      <w:marTop w:val="0"/>
      <w:marBottom w:val="0"/>
      <w:divBdr>
        <w:top w:val="none" w:sz="0" w:space="0" w:color="auto"/>
        <w:left w:val="none" w:sz="0" w:space="0" w:color="auto"/>
        <w:bottom w:val="none" w:sz="0" w:space="0" w:color="auto"/>
        <w:right w:val="none" w:sz="0" w:space="0" w:color="auto"/>
      </w:divBdr>
    </w:div>
    <w:div w:id="526262133">
      <w:bodyDiv w:val="1"/>
      <w:marLeft w:val="0"/>
      <w:marRight w:val="0"/>
      <w:marTop w:val="0"/>
      <w:marBottom w:val="0"/>
      <w:divBdr>
        <w:top w:val="none" w:sz="0" w:space="0" w:color="auto"/>
        <w:left w:val="none" w:sz="0" w:space="0" w:color="auto"/>
        <w:bottom w:val="none" w:sz="0" w:space="0" w:color="auto"/>
        <w:right w:val="none" w:sz="0" w:space="0" w:color="auto"/>
      </w:divBdr>
    </w:div>
    <w:div w:id="527185846">
      <w:bodyDiv w:val="1"/>
      <w:marLeft w:val="0"/>
      <w:marRight w:val="0"/>
      <w:marTop w:val="0"/>
      <w:marBottom w:val="0"/>
      <w:divBdr>
        <w:top w:val="none" w:sz="0" w:space="0" w:color="auto"/>
        <w:left w:val="none" w:sz="0" w:space="0" w:color="auto"/>
        <w:bottom w:val="none" w:sz="0" w:space="0" w:color="auto"/>
        <w:right w:val="none" w:sz="0" w:space="0" w:color="auto"/>
      </w:divBdr>
    </w:div>
    <w:div w:id="527525280">
      <w:bodyDiv w:val="1"/>
      <w:marLeft w:val="0"/>
      <w:marRight w:val="0"/>
      <w:marTop w:val="0"/>
      <w:marBottom w:val="0"/>
      <w:divBdr>
        <w:top w:val="none" w:sz="0" w:space="0" w:color="auto"/>
        <w:left w:val="none" w:sz="0" w:space="0" w:color="auto"/>
        <w:bottom w:val="none" w:sz="0" w:space="0" w:color="auto"/>
        <w:right w:val="none" w:sz="0" w:space="0" w:color="auto"/>
      </w:divBdr>
    </w:div>
    <w:div w:id="528645354">
      <w:bodyDiv w:val="1"/>
      <w:marLeft w:val="0"/>
      <w:marRight w:val="0"/>
      <w:marTop w:val="0"/>
      <w:marBottom w:val="0"/>
      <w:divBdr>
        <w:top w:val="none" w:sz="0" w:space="0" w:color="auto"/>
        <w:left w:val="none" w:sz="0" w:space="0" w:color="auto"/>
        <w:bottom w:val="none" w:sz="0" w:space="0" w:color="auto"/>
        <w:right w:val="none" w:sz="0" w:space="0" w:color="auto"/>
      </w:divBdr>
    </w:div>
    <w:div w:id="529075838">
      <w:bodyDiv w:val="1"/>
      <w:marLeft w:val="0"/>
      <w:marRight w:val="0"/>
      <w:marTop w:val="0"/>
      <w:marBottom w:val="0"/>
      <w:divBdr>
        <w:top w:val="none" w:sz="0" w:space="0" w:color="auto"/>
        <w:left w:val="none" w:sz="0" w:space="0" w:color="auto"/>
        <w:bottom w:val="none" w:sz="0" w:space="0" w:color="auto"/>
        <w:right w:val="none" w:sz="0" w:space="0" w:color="auto"/>
      </w:divBdr>
    </w:div>
    <w:div w:id="529345841">
      <w:bodyDiv w:val="1"/>
      <w:marLeft w:val="0"/>
      <w:marRight w:val="0"/>
      <w:marTop w:val="0"/>
      <w:marBottom w:val="0"/>
      <w:divBdr>
        <w:top w:val="none" w:sz="0" w:space="0" w:color="auto"/>
        <w:left w:val="none" w:sz="0" w:space="0" w:color="auto"/>
        <w:bottom w:val="none" w:sz="0" w:space="0" w:color="auto"/>
        <w:right w:val="none" w:sz="0" w:space="0" w:color="auto"/>
      </w:divBdr>
    </w:div>
    <w:div w:id="529729555">
      <w:bodyDiv w:val="1"/>
      <w:marLeft w:val="0"/>
      <w:marRight w:val="0"/>
      <w:marTop w:val="0"/>
      <w:marBottom w:val="0"/>
      <w:divBdr>
        <w:top w:val="none" w:sz="0" w:space="0" w:color="auto"/>
        <w:left w:val="none" w:sz="0" w:space="0" w:color="auto"/>
        <w:bottom w:val="none" w:sz="0" w:space="0" w:color="auto"/>
        <w:right w:val="none" w:sz="0" w:space="0" w:color="auto"/>
      </w:divBdr>
    </w:div>
    <w:div w:id="531654368">
      <w:bodyDiv w:val="1"/>
      <w:marLeft w:val="0"/>
      <w:marRight w:val="0"/>
      <w:marTop w:val="0"/>
      <w:marBottom w:val="0"/>
      <w:divBdr>
        <w:top w:val="none" w:sz="0" w:space="0" w:color="auto"/>
        <w:left w:val="none" w:sz="0" w:space="0" w:color="auto"/>
        <w:bottom w:val="none" w:sz="0" w:space="0" w:color="auto"/>
        <w:right w:val="none" w:sz="0" w:space="0" w:color="auto"/>
      </w:divBdr>
    </w:div>
    <w:div w:id="532422030">
      <w:bodyDiv w:val="1"/>
      <w:marLeft w:val="0"/>
      <w:marRight w:val="0"/>
      <w:marTop w:val="0"/>
      <w:marBottom w:val="0"/>
      <w:divBdr>
        <w:top w:val="none" w:sz="0" w:space="0" w:color="auto"/>
        <w:left w:val="none" w:sz="0" w:space="0" w:color="auto"/>
        <w:bottom w:val="none" w:sz="0" w:space="0" w:color="auto"/>
        <w:right w:val="none" w:sz="0" w:space="0" w:color="auto"/>
      </w:divBdr>
    </w:div>
    <w:div w:id="532497845">
      <w:bodyDiv w:val="1"/>
      <w:marLeft w:val="0"/>
      <w:marRight w:val="0"/>
      <w:marTop w:val="0"/>
      <w:marBottom w:val="0"/>
      <w:divBdr>
        <w:top w:val="none" w:sz="0" w:space="0" w:color="auto"/>
        <w:left w:val="none" w:sz="0" w:space="0" w:color="auto"/>
        <w:bottom w:val="none" w:sz="0" w:space="0" w:color="auto"/>
        <w:right w:val="none" w:sz="0" w:space="0" w:color="auto"/>
      </w:divBdr>
    </w:div>
    <w:div w:id="533887809">
      <w:bodyDiv w:val="1"/>
      <w:marLeft w:val="0"/>
      <w:marRight w:val="0"/>
      <w:marTop w:val="0"/>
      <w:marBottom w:val="0"/>
      <w:divBdr>
        <w:top w:val="none" w:sz="0" w:space="0" w:color="auto"/>
        <w:left w:val="none" w:sz="0" w:space="0" w:color="auto"/>
        <w:bottom w:val="none" w:sz="0" w:space="0" w:color="auto"/>
        <w:right w:val="none" w:sz="0" w:space="0" w:color="auto"/>
      </w:divBdr>
    </w:div>
    <w:div w:id="534542065">
      <w:bodyDiv w:val="1"/>
      <w:marLeft w:val="0"/>
      <w:marRight w:val="0"/>
      <w:marTop w:val="0"/>
      <w:marBottom w:val="0"/>
      <w:divBdr>
        <w:top w:val="none" w:sz="0" w:space="0" w:color="auto"/>
        <w:left w:val="none" w:sz="0" w:space="0" w:color="auto"/>
        <w:bottom w:val="none" w:sz="0" w:space="0" w:color="auto"/>
        <w:right w:val="none" w:sz="0" w:space="0" w:color="auto"/>
      </w:divBdr>
    </w:div>
    <w:div w:id="535045227">
      <w:bodyDiv w:val="1"/>
      <w:marLeft w:val="0"/>
      <w:marRight w:val="0"/>
      <w:marTop w:val="0"/>
      <w:marBottom w:val="0"/>
      <w:divBdr>
        <w:top w:val="none" w:sz="0" w:space="0" w:color="auto"/>
        <w:left w:val="none" w:sz="0" w:space="0" w:color="auto"/>
        <w:bottom w:val="none" w:sz="0" w:space="0" w:color="auto"/>
        <w:right w:val="none" w:sz="0" w:space="0" w:color="auto"/>
      </w:divBdr>
    </w:div>
    <w:div w:id="535656519">
      <w:bodyDiv w:val="1"/>
      <w:marLeft w:val="0"/>
      <w:marRight w:val="0"/>
      <w:marTop w:val="0"/>
      <w:marBottom w:val="0"/>
      <w:divBdr>
        <w:top w:val="none" w:sz="0" w:space="0" w:color="auto"/>
        <w:left w:val="none" w:sz="0" w:space="0" w:color="auto"/>
        <w:bottom w:val="none" w:sz="0" w:space="0" w:color="auto"/>
        <w:right w:val="none" w:sz="0" w:space="0" w:color="auto"/>
      </w:divBdr>
    </w:div>
    <w:div w:id="535854219">
      <w:bodyDiv w:val="1"/>
      <w:marLeft w:val="0"/>
      <w:marRight w:val="0"/>
      <w:marTop w:val="0"/>
      <w:marBottom w:val="0"/>
      <w:divBdr>
        <w:top w:val="none" w:sz="0" w:space="0" w:color="auto"/>
        <w:left w:val="none" w:sz="0" w:space="0" w:color="auto"/>
        <w:bottom w:val="none" w:sz="0" w:space="0" w:color="auto"/>
        <w:right w:val="none" w:sz="0" w:space="0" w:color="auto"/>
      </w:divBdr>
    </w:div>
    <w:div w:id="535970131">
      <w:bodyDiv w:val="1"/>
      <w:marLeft w:val="0"/>
      <w:marRight w:val="0"/>
      <w:marTop w:val="0"/>
      <w:marBottom w:val="0"/>
      <w:divBdr>
        <w:top w:val="none" w:sz="0" w:space="0" w:color="auto"/>
        <w:left w:val="none" w:sz="0" w:space="0" w:color="auto"/>
        <w:bottom w:val="none" w:sz="0" w:space="0" w:color="auto"/>
        <w:right w:val="none" w:sz="0" w:space="0" w:color="auto"/>
      </w:divBdr>
    </w:div>
    <w:div w:id="536282212">
      <w:bodyDiv w:val="1"/>
      <w:marLeft w:val="0"/>
      <w:marRight w:val="0"/>
      <w:marTop w:val="0"/>
      <w:marBottom w:val="0"/>
      <w:divBdr>
        <w:top w:val="none" w:sz="0" w:space="0" w:color="auto"/>
        <w:left w:val="none" w:sz="0" w:space="0" w:color="auto"/>
        <w:bottom w:val="none" w:sz="0" w:space="0" w:color="auto"/>
        <w:right w:val="none" w:sz="0" w:space="0" w:color="auto"/>
      </w:divBdr>
    </w:div>
    <w:div w:id="536700490">
      <w:bodyDiv w:val="1"/>
      <w:marLeft w:val="0"/>
      <w:marRight w:val="0"/>
      <w:marTop w:val="0"/>
      <w:marBottom w:val="0"/>
      <w:divBdr>
        <w:top w:val="none" w:sz="0" w:space="0" w:color="auto"/>
        <w:left w:val="none" w:sz="0" w:space="0" w:color="auto"/>
        <w:bottom w:val="none" w:sz="0" w:space="0" w:color="auto"/>
        <w:right w:val="none" w:sz="0" w:space="0" w:color="auto"/>
      </w:divBdr>
    </w:div>
    <w:div w:id="536818418">
      <w:bodyDiv w:val="1"/>
      <w:marLeft w:val="0"/>
      <w:marRight w:val="0"/>
      <w:marTop w:val="0"/>
      <w:marBottom w:val="0"/>
      <w:divBdr>
        <w:top w:val="none" w:sz="0" w:space="0" w:color="auto"/>
        <w:left w:val="none" w:sz="0" w:space="0" w:color="auto"/>
        <w:bottom w:val="none" w:sz="0" w:space="0" w:color="auto"/>
        <w:right w:val="none" w:sz="0" w:space="0" w:color="auto"/>
      </w:divBdr>
    </w:div>
    <w:div w:id="539901173">
      <w:bodyDiv w:val="1"/>
      <w:marLeft w:val="0"/>
      <w:marRight w:val="0"/>
      <w:marTop w:val="0"/>
      <w:marBottom w:val="0"/>
      <w:divBdr>
        <w:top w:val="none" w:sz="0" w:space="0" w:color="auto"/>
        <w:left w:val="none" w:sz="0" w:space="0" w:color="auto"/>
        <w:bottom w:val="none" w:sz="0" w:space="0" w:color="auto"/>
        <w:right w:val="none" w:sz="0" w:space="0" w:color="auto"/>
      </w:divBdr>
    </w:div>
    <w:div w:id="540943574">
      <w:bodyDiv w:val="1"/>
      <w:marLeft w:val="0"/>
      <w:marRight w:val="0"/>
      <w:marTop w:val="0"/>
      <w:marBottom w:val="0"/>
      <w:divBdr>
        <w:top w:val="none" w:sz="0" w:space="0" w:color="auto"/>
        <w:left w:val="none" w:sz="0" w:space="0" w:color="auto"/>
        <w:bottom w:val="none" w:sz="0" w:space="0" w:color="auto"/>
        <w:right w:val="none" w:sz="0" w:space="0" w:color="auto"/>
      </w:divBdr>
    </w:div>
    <w:div w:id="542257711">
      <w:bodyDiv w:val="1"/>
      <w:marLeft w:val="0"/>
      <w:marRight w:val="0"/>
      <w:marTop w:val="0"/>
      <w:marBottom w:val="0"/>
      <w:divBdr>
        <w:top w:val="none" w:sz="0" w:space="0" w:color="auto"/>
        <w:left w:val="none" w:sz="0" w:space="0" w:color="auto"/>
        <w:bottom w:val="none" w:sz="0" w:space="0" w:color="auto"/>
        <w:right w:val="none" w:sz="0" w:space="0" w:color="auto"/>
      </w:divBdr>
    </w:div>
    <w:div w:id="543640956">
      <w:bodyDiv w:val="1"/>
      <w:marLeft w:val="0"/>
      <w:marRight w:val="0"/>
      <w:marTop w:val="0"/>
      <w:marBottom w:val="0"/>
      <w:divBdr>
        <w:top w:val="none" w:sz="0" w:space="0" w:color="auto"/>
        <w:left w:val="none" w:sz="0" w:space="0" w:color="auto"/>
        <w:bottom w:val="none" w:sz="0" w:space="0" w:color="auto"/>
        <w:right w:val="none" w:sz="0" w:space="0" w:color="auto"/>
      </w:divBdr>
    </w:div>
    <w:div w:id="544222732">
      <w:bodyDiv w:val="1"/>
      <w:marLeft w:val="0"/>
      <w:marRight w:val="0"/>
      <w:marTop w:val="0"/>
      <w:marBottom w:val="0"/>
      <w:divBdr>
        <w:top w:val="none" w:sz="0" w:space="0" w:color="auto"/>
        <w:left w:val="none" w:sz="0" w:space="0" w:color="auto"/>
        <w:bottom w:val="none" w:sz="0" w:space="0" w:color="auto"/>
        <w:right w:val="none" w:sz="0" w:space="0" w:color="auto"/>
      </w:divBdr>
    </w:div>
    <w:div w:id="544827520">
      <w:bodyDiv w:val="1"/>
      <w:marLeft w:val="0"/>
      <w:marRight w:val="0"/>
      <w:marTop w:val="0"/>
      <w:marBottom w:val="0"/>
      <w:divBdr>
        <w:top w:val="none" w:sz="0" w:space="0" w:color="auto"/>
        <w:left w:val="none" w:sz="0" w:space="0" w:color="auto"/>
        <w:bottom w:val="none" w:sz="0" w:space="0" w:color="auto"/>
        <w:right w:val="none" w:sz="0" w:space="0" w:color="auto"/>
      </w:divBdr>
    </w:div>
    <w:div w:id="546335066">
      <w:bodyDiv w:val="1"/>
      <w:marLeft w:val="0"/>
      <w:marRight w:val="0"/>
      <w:marTop w:val="0"/>
      <w:marBottom w:val="0"/>
      <w:divBdr>
        <w:top w:val="none" w:sz="0" w:space="0" w:color="auto"/>
        <w:left w:val="none" w:sz="0" w:space="0" w:color="auto"/>
        <w:bottom w:val="none" w:sz="0" w:space="0" w:color="auto"/>
        <w:right w:val="none" w:sz="0" w:space="0" w:color="auto"/>
      </w:divBdr>
    </w:div>
    <w:div w:id="546720430">
      <w:bodyDiv w:val="1"/>
      <w:marLeft w:val="0"/>
      <w:marRight w:val="0"/>
      <w:marTop w:val="0"/>
      <w:marBottom w:val="0"/>
      <w:divBdr>
        <w:top w:val="none" w:sz="0" w:space="0" w:color="auto"/>
        <w:left w:val="none" w:sz="0" w:space="0" w:color="auto"/>
        <w:bottom w:val="none" w:sz="0" w:space="0" w:color="auto"/>
        <w:right w:val="none" w:sz="0" w:space="0" w:color="auto"/>
      </w:divBdr>
    </w:div>
    <w:div w:id="547762232">
      <w:bodyDiv w:val="1"/>
      <w:marLeft w:val="0"/>
      <w:marRight w:val="0"/>
      <w:marTop w:val="0"/>
      <w:marBottom w:val="0"/>
      <w:divBdr>
        <w:top w:val="none" w:sz="0" w:space="0" w:color="auto"/>
        <w:left w:val="none" w:sz="0" w:space="0" w:color="auto"/>
        <w:bottom w:val="none" w:sz="0" w:space="0" w:color="auto"/>
        <w:right w:val="none" w:sz="0" w:space="0" w:color="auto"/>
      </w:divBdr>
    </w:div>
    <w:div w:id="548230948">
      <w:bodyDiv w:val="1"/>
      <w:marLeft w:val="0"/>
      <w:marRight w:val="0"/>
      <w:marTop w:val="0"/>
      <w:marBottom w:val="0"/>
      <w:divBdr>
        <w:top w:val="none" w:sz="0" w:space="0" w:color="auto"/>
        <w:left w:val="none" w:sz="0" w:space="0" w:color="auto"/>
        <w:bottom w:val="none" w:sz="0" w:space="0" w:color="auto"/>
        <w:right w:val="none" w:sz="0" w:space="0" w:color="auto"/>
      </w:divBdr>
    </w:div>
    <w:div w:id="548879700">
      <w:bodyDiv w:val="1"/>
      <w:marLeft w:val="0"/>
      <w:marRight w:val="0"/>
      <w:marTop w:val="0"/>
      <w:marBottom w:val="0"/>
      <w:divBdr>
        <w:top w:val="none" w:sz="0" w:space="0" w:color="auto"/>
        <w:left w:val="none" w:sz="0" w:space="0" w:color="auto"/>
        <w:bottom w:val="none" w:sz="0" w:space="0" w:color="auto"/>
        <w:right w:val="none" w:sz="0" w:space="0" w:color="auto"/>
      </w:divBdr>
    </w:div>
    <w:div w:id="548882450">
      <w:bodyDiv w:val="1"/>
      <w:marLeft w:val="0"/>
      <w:marRight w:val="0"/>
      <w:marTop w:val="0"/>
      <w:marBottom w:val="0"/>
      <w:divBdr>
        <w:top w:val="none" w:sz="0" w:space="0" w:color="auto"/>
        <w:left w:val="none" w:sz="0" w:space="0" w:color="auto"/>
        <w:bottom w:val="none" w:sz="0" w:space="0" w:color="auto"/>
        <w:right w:val="none" w:sz="0" w:space="0" w:color="auto"/>
      </w:divBdr>
    </w:div>
    <w:div w:id="549851560">
      <w:bodyDiv w:val="1"/>
      <w:marLeft w:val="0"/>
      <w:marRight w:val="0"/>
      <w:marTop w:val="0"/>
      <w:marBottom w:val="0"/>
      <w:divBdr>
        <w:top w:val="none" w:sz="0" w:space="0" w:color="auto"/>
        <w:left w:val="none" w:sz="0" w:space="0" w:color="auto"/>
        <w:bottom w:val="none" w:sz="0" w:space="0" w:color="auto"/>
        <w:right w:val="none" w:sz="0" w:space="0" w:color="auto"/>
      </w:divBdr>
    </w:div>
    <w:div w:id="550195675">
      <w:bodyDiv w:val="1"/>
      <w:marLeft w:val="0"/>
      <w:marRight w:val="0"/>
      <w:marTop w:val="0"/>
      <w:marBottom w:val="0"/>
      <w:divBdr>
        <w:top w:val="none" w:sz="0" w:space="0" w:color="auto"/>
        <w:left w:val="none" w:sz="0" w:space="0" w:color="auto"/>
        <w:bottom w:val="none" w:sz="0" w:space="0" w:color="auto"/>
        <w:right w:val="none" w:sz="0" w:space="0" w:color="auto"/>
      </w:divBdr>
    </w:div>
    <w:div w:id="550306338">
      <w:bodyDiv w:val="1"/>
      <w:marLeft w:val="0"/>
      <w:marRight w:val="0"/>
      <w:marTop w:val="0"/>
      <w:marBottom w:val="0"/>
      <w:divBdr>
        <w:top w:val="none" w:sz="0" w:space="0" w:color="auto"/>
        <w:left w:val="none" w:sz="0" w:space="0" w:color="auto"/>
        <w:bottom w:val="none" w:sz="0" w:space="0" w:color="auto"/>
        <w:right w:val="none" w:sz="0" w:space="0" w:color="auto"/>
      </w:divBdr>
    </w:div>
    <w:div w:id="550850752">
      <w:bodyDiv w:val="1"/>
      <w:marLeft w:val="0"/>
      <w:marRight w:val="0"/>
      <w:marTop w:val="0"/>
      <w:marBottom w:val="0"/>
      <w:divBdr>
        <w:top w:val="none" w:sz="0" w:space="0" w:color="auto"/>
        <w:left w:val="none" w:sz="0" w:space="0" w:color="auto"/>
        <w:bottom w:val="none" w:sz="0" w:space="0" w:color="auto"/>
        <w:right w:val="none" w:sz="0" w:space="0" w:color="auto"/>
      </w:divBdr>
    </w:div>
    <w:div w:id="550923211">
      <w:bodyDiv w:val="1"/>
      <w:marLeft w:val="0"/>
      <w:marRight w:val="0"/>
      <w:marTop w:val="0"/>
      <w:marBottom w:val="0"/>
      <w:divBdr>
        <w:top w:val="none" w:sz="0" w:space="0" w:color="auto"/>
        <w:left w:val="none" w:sz="0" w:space="0" w:color="auto"/>
        <w:bottom w:val="none" w:sz="0" w:space="0" w:color="auto"/>
        <w:right w:val="none" w:sz="0" w:space="0" w:color="auto"/>
      </w:divBdr>
    </w:div>
    <w:div w:id="552011078">
      <w:bodyDiv w:val="1"/>
      <w:marLeft w:val="0"/>
      <w:marRight w:val="0"/>
      <w:marTop w:val="0"/>
      <w:marBottom w:val="0"/>
      <w:divBdr>
        <w:top w:val="none" w:sz="0" w:space="0" w:color="auto"/>
        <w:left w:val="none" w:sz="0" w:space="0" w:color="auto"/>
        <w:bottom w:val="none" w:sz="0" w:space="0" w:color="auto"/>
        <w:right w:val="none" w:sz="0" w:space="0" w:color="auto"/>
      </w:divBdr>
    </w:div>
    <w:div w:id="554778933">
      <w:bodyDiv w:val="1"/>
      <w:marLeft w:val="0"/>
      <w:marRight w:val="0"/>
      <w:marTop w:val="0"/>
      <w:marBottom w:val="0"/>
      <w:divBdr>
        <w:top w:val="none" w:sz="0" w:space="0" w:color="auto"/>
        <w:left w:val="none" w:sz="0" w:space="0" w:color="auto"/>
        <w:bottom w:val="none" w:sz="0" w:space="0" w:color="auto"/>
        <w:right w:val="none" w:sz="0" w:space="0" w:color="auto"/>
      </w:divBdr>
    </w:div>
    <w:div w:id="556085916">
      <w:bodyDiv w:val="1"/>
      <w:marLeft w:val="0"/>
      <w:marRight w:val="0"/>
      <w:marTop w:val="0"/>
      <w:marBottom w:val="0"/>
      <w:divBdr>
        <w:top w:val="none" w:sz="0" w:space="0" w:color="auto"/>
        <w:left w:val="none" w:sz="0" w:space="0" w:color="auto"/>
        <w:bottom w:val="none" w:sz="0" w:space="0" w:color="auto"/>
        <w:right w:val="none" w:sz="0" w:space="0" w:color="auto"/>
      </w:divBdr>
    </w:div>
    <w:div w:id="556865850">
      <w:bodyDiv w:val="1"/>
      <w:marLeft w:val="0"/>
      <w:marRight w:val="0"/>
      <w:marTop w:val="0"/>
      <w:marBottom w:val="0"/>
      <w:divBdr>
        <w:top w:val="none" w:sz="0" w:space="0" w:color="auto"/>
        <w:left w:val="none" w:sz="0" w:space="0" w:color="auto"/>
        <w:bottom w:val="none" w:sz="0" w:space="0" w:color="auto"/>
        <w:right w:val="none" w:sz="0" w:space="0" w:color="auto"/>
      </w:divBdr>
    </w:div>
    <w:div w:id="557933557">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58784466">
      <w:bodyDiv w:val="1"/>
      <w:marLeft w:val="0"/>
      <w:marRight w:val="0"/>
      <w:marTop w:val="0"/>
      <w:marBottom w:val="0"/>
      <w:divBdr>
        <w:top w:val="none" w:sz="0" w:space="0" w:color="auto"/>
        <w:left w:val="none" w:sz="0" w:space="0" w:color="auto"/>
        <w:bottom w:val="none" w:sz="0" w:space="0" w:color="auto"/>
        <w:right w:val="none" w:sz="0" w:space="0" w:color="auto"/>
      </w:divBdr>
    </w:div>
    <w:div w:id="560867626">
      <w:bodyDiv w:val="1"/>
      <w:marLeft w:val="0"/>
      <w:marRight w:val="0"/>
      <w:marTop w:val="0"/>
      <w:marBottom w:val="0"/>
      <w:divBdr>
        <w:top w:val="none" w:sz="0" w:space="0" w:color="auto"/>
        <w:left w:val="none" w:sz="0" w:space="0" w:color="auto"/>
        <w:bottom w:val="none" w:sz="0" w:space="0" w:color="auto"/>
        <w:right w:val="none" w:sz="0" w:space="0" w:color="auto"/>
      </w:divBdr>
    </w:div>
    <w:div w:id="561789793">
      <w:bodyDiv w:val="1"/>
      <w:marLeft w:val="0"/>
      <w:marRight w:val="0"/>
      <w:marTop w:val="0"/>
      <w:marBottom w:val="0"/>
      <w:divBdr>
        <w:top w:val="none" w:sz="0" w:space="0" w:color="auto"/>
        <w:left w:val="none" w:sz="0" w:space="0" w:color="auto"/>
        <w:bottom w:val="none" w:sz="0" w:space="0" w:color="auto"/>
        <w:right w:val="none" w:sz="0" w:space="0" w:color="auto"/>
      </w:divBdr>
    </w:div>
    <w:div w:id="563762795">
      <w:bodyDiv w:val="1"/>
      <w:marLeft w:val="0"/>
      <w:marRight w:val="0"/>
      <w:marTop w:val="0"/>
      <w:marBottom w:val="0"/>
      <w:divBdr>
        <w:top w:val="none" w:sz="0" w:space="0" w:color="auto"/>
        <w:left w:val="none" w:sz="0" w:space="0" w:color="auto"/>
        <w:bottom w:val="none" w:sz="0" w:space="0" w:color="auto"/>
        <w:right w:val="none" w:sz="0" w:space="0" w:color="auto"/>
      </w:divBdr>
    </w:div>
    <w:div w:id="565728170">
      <w:bodyDiv w:val="1"/>
      <w:marLeft w:val="0"/>
      <w:marRight w:val="0"/>
      <w:marTop w:val="0"/>
      <w:marBottom w:val="0"/>
      <w:divBdr>
        <w:top w:val="none" w:sz="0" w:space="0" w:color="auto"/>
        <w:left w:val="none" w:sz="0" w:space="0" w:color="auto"/>
        <w:bottom w:val="none" w:sz="0" w:space="0" w:color="auto"/>
        <w:right w:val="none" w:sz="0" w:space="0" w:color="auto"/>
      </w:divBdr>
    </w:div>
    <w:div w:id="566495505">
      <w:bodyDiv w:val="1"/>
      <w:marLeft w:val="0"/>
      <w:marRight w:val="0"/>
      <w:marTop w:val="0"/>
      <w:marBottom w:val="0"/>
      <w:divBdr>
        <w:top w:val="none" w:sz="0" w:space="0" w:color="auto"/>
        <w:left w:val="none" w:sz="0" w:space="0" w:color="auto"/>
        <w:bottom w:val="none" w:sz="0" w:space="0" w:color="auto"/>
        <w:right w:val="none" w:sz="0" w:space="0" w:color="auto"/>
      </w:divBdr>
    </w:div>
    <w:div w:id="566844685">
      <w:bodyDiv w:val="1"/>
      <w:marLeft w:val="0"/>
      <w:marRight w:val="0"/>
      <w:marTop w:val="0"/>
      <w:marBottom w:val="0"/>
      <w:divBdr>
        <w:top w:val="none" w:sz="0" w:space="0" w:color="auto"/>
        <w:left w:val="none" w:sz="0" w:space="0" w:color="auto"/>
        <w:bottom w:val="none" w:sz="0" w:space="0" w:color="auto"/>
        <w:right w:val="none" w:sz="0" w:space="0" w:color="auto"/>
      </w:divBdr>
    </w:div>
    <w:div w:id="567954826">
      <w:bodyDiv w:val="1"/>
      <w:marLeft w:val="0"/>
      <w:marRight w:val="0"/>
      <w:marTop w:val="0"/>
      <w:marBottom w:val="0"/>
      <w:divBdr>
        <w:top w:val="none" w:sz="0" w:space="0" w:color="auto"/>
        <w:left w:val="none" w:sz="0" w:space="0" w:color="auto"/>
        <w:bottom w:val="none" w:sz="0" w:space="0" w:color="auto"/>
        <w:right w:val="none" w:sz="0" w:space="0" w:color="auto"/>
      </w:divBdr>
    </w:div>
    <w:div w:id="568419714">
      <w:bodyDiv w:val="1"/>
      <w:marLeft w:val="0"/>
      <w:marRight w:val="0"/>
      <w:marTop w:val="0"/>
      <w:marBottom w:val="0"/>
      <w:divBdr>
        <w:top w:val="none" w:sz="0" w:space="0" w:color="auto"/>
        <w:left w:val="none" w:sz="0" w:space="0" w:color="auto"/>
        <w:bottom w:val="none" w:sz="0" w:space="0" w:color="auto"/>
        <w:right w:val="none" w:sz="0" w:space="0" w:color="auto"/>
      </w:divBdr>
    </w:div>
    <w:div w:id="569191047">
      <w:bodyDiv w:val="1"/>
      <w:marLeft w:val="0"/>
      <w:marRight w:val="0"/>
      <w:marTop w:val="0"/>
      <w:marBottom w:val="0"/>
      <w:divBdr>
        <w:top w:val="none" w:sz="0" w:space="0" w:color="auto"/>
        <w:left w:val="none" w:sz="0" w:space="0" w:color="auto"/>
        <w:bottom w:val="none" w:sz="0" w:space="0" w:color="auto"/>
        <w:right w:val="none" w:sz="0" w:space="0" w:color="auto"/>
      </w:divBdr>
    </w:div>
    <w:div w:id="569732418">
      <w:bodyDiv w:val="1"/>
      <w:marLeft w:val="0"/>
      <w:marRight w:val="0"/>
      <w:marTop w:val="0"/>
      <w:marBottom w:val="0"/>
      <w:divBdr>
        <w:top w:val="none" w:sz="0" w:space="0" w:color="auto"/>
        <w:left w:val="none" w:sz="0" w:space="0" w:color="auto"/>
        <w:bottom w:val="none" w:sz="0" w:space="0" w:color="auto"/>
        <w:right w:val="none" w:sz="0" w:space="0" w:color="auto"/>
      </w:divBdr>
    </w:div>
    <w:div w:id="569969890">
      <w:bodyDiv w:val="1"/>
      <w:marLeft w:val="0"/>
      <w:marRight w:val="0"/>
      <w:marTop w:val="0"/>
      <w:marBottom w:val="0"/>
      <w:divBdr>
        <w:top w:val="none" w:sz="0" w:space="0" w:color="auto"/>
        <w:left w:val="none" w:sz="0" w:space="0" w:color="auto"/>
        <w:bottom w:val="none" w:sz="0" w:space="0" w:color="auto"/>
        <w:right w:val="none" w:sz="0" w:space="0" w:color="auto"/>
      </w:divBdr>
    </w:div>
    <w:div w:id="570501630">
      <w:bodyDiv w:val="1"/>
      <w:marLeft w:val="0"/>
      <w:marRight w:val="0"/>
      <w:marTop w:val="0"/>
      <w:marBottom w:val="0"/>
      <w:divBdr>
        <w:top w:val="none" w:sz="0" w:space="0" w:color="auto"/>
        <w:left w:val="none" w:sz="0" w:space="0" w:color="auto"/>
        <w:bottom w:val="none" w:sz="0" w:space="0" w:color="auto"/>
        <w:right w:val="none" w:sz="0" w:space="0" w:color="auto"/>
      </w:divBdr>
    </w:div>
    <w:div w:id="570696447">
      <w:bodyDiv w:val="1"/>
      <w:marLeft w:val="0"/>
      <w:marRight w:val="0"/>
      <w:marTop w:val="0"/>
      <w:marBottom w:val="0"/>
      <w:divBdr>
        <w:top w:val="none" w:sz="0" w:space="0" w:color="auto"/>
        <w:left w:val="none" w:sz="0" w:space="0" w:color="auto"/>
        <w:bottom w:val="none" w:sz="0" w:space="0" w:color="auto"/>
        <w:right w:val="none" w:sz="0" w:space="0" w:color="auto"/>
      </w:divBdr>
    </w:div>
    <w:div w:id="571503400">
      <w:bodyDiv w:val="1"/>
      <w:marLeft w:val="0"/>
      <w:marRight w:val="0"/>
      <w:marTop w:val="0"/>
      <w:marBottom w:val="0"/>
      <w:divBdr>
        <w:top w:val="none" w:sz="0" w:space="0" w:color="auto"/>
        <w:left w:val="none" w:sz="0" w:space="0" w:color="auto"/>
        <w:bottom w:val="none" w:sz="0" w:space="0" w:color="auto"/>
        <w:right w:val="none" w:sz="0" w:space="0" w:color="auto"/>
      </w:divBdr>
    </w:div>
    <w:div w:id="573320612">
      <w:bodyDiv w:val="1"/>
      <w:marLeft w:val="0"/>
      <w:marRight w:val="0"/>
      <w:marTop w:val="0"/>
      <w:marBottom w:val="0"/>
      <w:divBdr>
        <w:top w:val="none" w:sz="0" w:space="0" w:color="auto"/>
        <w:left w:val="none" w:sz="0" w:space="0" w:color="auto"/>
        <w:bottom w:val="none" w:sz="0" w:space="0" w:color="auto"/>
        <w:right w:val="none" w:sz="0" w:space="0" w:color="auto"/>
      </w:divBdr>
    </w:div>
    <w:div w:id="574319256">
      <w:bodyDiv w:val="1"/>
      <w:marLeft w:val="0"/>
      <w:marRight w:val="0"/>
      <w:marTop w:val="0"/>
      <w:marBottom w:val="0"/>
      <w:divBdr>
        <w:top w:val="none" w:sz="0" w:space="0" w:color="auto"/>
        <w:left w:val="none" w:sz="0" w:space="0" w:color="auto"/>
        <w:bottom w:val="none" w:sz="0" w:space="0" w:color="auto"/>
        <w:right w:val="none" w:sz="0" w:space="0" w:color="auto"/>
      </w:divBdr>
    </w:div>
    <w:div w:id="574507912">
      <w:bodyDiv w:val="1"/>
      <w:marLeft w:val="0"/>
      <w:marRight w:val="0"/>
      <w:marTop w:val="0"/>
      <w:marBottom w:val="0"/>
      <w:divBdr>
        <w:top w:val="none" w:sz="0" w:space="0" w:color="auto"/>
        <w:left w:val="none" w:sz="0" w:space="0" w:color="auto"/>
        <w:bottom w:val="none" w:sz="0" w:space="0" w:color="auto"/>
        <w:right w:val="none" w:sz="0" w:space="0" w:color="auto"/>
      </w:divBdr>
    </w:div>
    <w:div w:id="574901596">
      <w:bodyDiv w:val="1"/>
      <w:marLeft w:val="0"/>
      <w:marRight w:val="0"/>
      <w:marTop w:val="0"/>
      <w:marBottom w:val="0"/>
      <w:divBdr>
        <w:top w:val="none" w:sz="0" w:space="0" w:color="auto"/>
        <w:left w:val="none" w:sz="0" w:space="0" w:color="auto"/>
        <w:bottom w:val="none" w:sz="0" w:space="0" w:color="auto"/>
        <w:right w:val="none" w:sz="0" w:space="0" w:color="auto"/>
      </w:divBdr>
    </w:div>
    <w:div w:id="575091340">
      <w:bodyDiv w:val="1"/>
      <w:marLeft w:val="0"/>
      <w:marRight w:val="0"/>
      <w:marTop w:val="0"/>
      <w:marBottom w:val="0"/>
      <w:divBdr>
        <w:top w:val="none" w:sz="0" w:space="0" w:color="auto"/>
        <w:left w:val="none" w:sz="0" w:space="0" w:color="auto"/>
        <w:bottom w:val="none" w:sz="0" w:space="0" w:color="auto"/>
        <w:right w:val="none" w:sz="0" w:space="0" w:color="auto"/>
      </w:divBdr>
    </w:div>
    <w:div w:id="576552920">
      <w:bodyDiv w:val="1"/>
      <w:marLeft w:val="0"/>
      <w:marRight w:val="0"/>
      <w:marTop w:val="0"/>
      <w:marBottom w:val="0"/>
      <w:divBdr>
        <w:top w:val="none" w:sz="0" w:space="0" w:color="auto"/>
        <w:left w:val="none" w:sz="0" w:space="0" w:color="auto"/>
        <w:bottom w:val="none" w:sz="0" w:space="0" w:color="auto"/>
        <w:right w:val="none" w:sz="0" w:space="0" w:color="auto"/>
      </w:divBdr>
    </w:div>
    <w:div w:id="576716904">
      <w:bodyDiv w:val="1"/>
      <w:marLeft w:val="0"/>
      <w:marRight w:val="0"/>
      <w:marTop w:val="0"/>
      <w:marBottom w:val="0"/>
      <w:divBdr>
        <w:top w:val="none" w:sz="0" w:space="0" w:color="auto"/>
        <w:left w:val="none" w:sz="0" w:space="0" w:color="auto"/>
        <w:bottom w:val="none" w:sz="0" w:space="0" w:color="auto"/>
        <w:right w:val="none" w:sz="0" w:space="0" w:color="auto"/>
      </w:divBdr>
    </w:div>
    <w:div w:id="578289970">
      <w:bodyDiv w:val="1"/>
      <w:marLeft w:val="0"/>
      <w:marRight w:val="0"/>
      <w:marTop w:val="0"/>
      <w:marBottom w:val="0"/>
      <w:divBdr>
        <w:top w:val="none" w:sz="0" w:space="0" w:color="auto"/>
        <w:left w:val="none" w:sz="0" w:space="0" w:color="auto"/>
        <w:bottom w:val="none" w:sz="0" w:space="0" w:color="auto"/>
        <w:right w:val="none" w:sz="0" w:space="0" w:color="auto"/>
      </w:divBdr>
    </w:div>
    <w:div w:id="578366007">
      <w:bodyDiv w:val="1"/>
      <w:marLeft w:val="0"/>
      <w:marRight w:val="0"/>
      <w:marTop w:val="0"/>
      <w:marBottom w:val="0"/>
      <w:divBdr>
        <w:top w:val="none" w:sz="0" w:space="0" w:color="auto"/>
        <w:left w:val="none" w:sz="0" w:space="0" w:color="auto"/>
        <w:bottom w:val="none" w:sz="0" w:space="0" w:color="auto"/>
        <w:right w:val="none" w:sz="0" w:space="0" w:color="auto"/>
      </w:divBdr>
    </w:div>
    <w:div w:id="578443185">
      <w:bodyDiv w:val="1"/>
      <w:marLeft w:val="0"/>
      <w:marRight w:val="0"/>
      <w:marTop w:val="0"/>
      <w:marBottom w:val="0"/>
      <w:divBdr>
        <w:top w:val="none" w:sz="0" w:space="0" w:color="auto"/>
        <w:left w:val="none" w:sz="0" w:space="0" w:color="auto"/>
        <w:bottom w:val="none" w:sz="0" w:space="0" w:color="auto"/>
        <w:right w:val="none" w:sz="0" w:space="0" w:color="auto"/>
      </w:divBdr>
    </w:div>
    <w:div w:id="578514863">
      <w:bodyDiv w:val="1"/>
      <w:marLeft w:val="0"/>
      <w:marRight w:val="0"/>
      <w:marTop w:val="0"/>
      <w:marBottom w:val="0"/>
      <w:divBdr>
        <w:top w:val="none" w:sz="0" w:space="0" w:color="auto"/>
        <w:left w:val="none" w:sz="0" w:space="0" w:color="auto"/>
        <w:bottom w:val="none" w:sz="0" w:space="0" w:color="auto"/>
        <w:right w:val="none" w:sz="0" w:space="0" w:color="auto"/>
      </w:divBdr>
    </w:div>
    <w:div w:id="578564555">
      <w:bodyDiv w:val="1"/>
      <w:marLeft w:val="0"/>
      <w:marRight w:val="0"/>
      <w:marTop w:val="0"/>
      <w:marBottom w:val="0"/>
      <w:divBdr>
        <w:top w:val="none" w:sz="0" w:space="0" w:color="auto"/>
        <w:left w:val="none" w:sz="0" w:space="0" w:color="auto"/>
        <w:bottom w:val="none" w:sz="0" w:space="0" w:color="auto"/>
        <w:right w:val="none" w:sz="0" w:space="0" w:color="auto"/>
      </w:divBdr>
    </w:div>
    <w:div w:id="579409027">
      <w:bodyDiv w:val="1"/>
      <w:marLeft w:val="0"/>
      <w:marRight w:val="0"/>
      <w:marTop w:val="0"/>
      <w:marBottom w:val="0"/>
      <w:divBdr>
        <w:top w:val="none" w:sz="0" w:space="0" w:color="auto"/>
        <w:left w:val="none" w:sz="0" w:space="0" w:color="auto"/>
        <w:bottom w:val="none" w:sz="0" w:space="0" w:color="auto"/>
        <w:right w:val="none" w:sz="0" w:space="0" w:color="auto"/>
      </w:divBdr>
    </w:div>
    <w:div w:id="579753376">
      <w:bodyDiv w:val="1"/>
      <w:marLeft w:val="0"/>
      <w:marRight w:val="0"/>
      <w:marTop w:val="0"/>
      <w:marBottom w:val="0"/>
      <w:divBdr>
        <w:top w:val="none" w:sz="0" w:space="0" w:color="auto"/>
        <w:left w:val="none" w:sz="0" w:space="0" w:color="auto"/>
        <w:bottom w:val="none" w:sz="0" w:space="0" w:color="auto"/>
        <w:right w:val="none" w:sz="0" w:space="0" w:color="auto"/>
      </w:divBdr>
    </w:div>
    <w:div w:id="582106024">
      <w:bodyDiv w:val="1"/>
      <w:marLeft w:val="0"/>
      <w:marRight w:val="0"/>
      <w:marTop w:val="0"/>
      <w:marBottom w:val="0"/>
      <w:divBdr>
        <w:top w:val="none" w:sz="0" w:space="0" w:color="auto"/>
        <w:left w:val="none" w:sz="0" w:space="0" w:color="auto"/>
        <w:bottom w:val="none" w:sz="0" w:space="0" w:color="auto"/>
        <w:right w:val="none" w:sz="0" w:space="0" w:color="auto"/>
      </w:divBdr>
    </w:div>
    <w:div w:id="584648670">
      <w:bodyDiv w:val="1"/>
      <w:marLeft w:val="0"/>
      <w:marRight w:val="0"/>
      <w:marTop w:val="0"/>
      <w:marBottom w:val="0"/>
      <w:divBdr>
        <w:top w:val="none" w:sz="0" w:space="0" w:color="auto"/>
        <w:left w:val="none" w:sz="0" w:space="0" w:color="auto"/>
        <w:bottom w:val="none" w:sz="0" w:space="0" w:color="auto"/>
        <w:right w:val="none" w:sz="0" w:space="0" w:color="auto"/>
      </w:divBdr>
    </w:div>
    <w:div w:id="585388046">
      <w:bodyDiv w:val="1"/>
      <w:marLeft w:val="0"/>
      <w:marRight w:val="0"/>
      <w:marTop w:val="0"/>
      <w:marBottom w:val="0"/>
      <w:divBdr>
        <w:top w:val="none" w:sz="0" w:space="0" w:color="auto"/>
        <w:left w:val="none" w:sz="0" w:space="0" w:color="auto"/>
        <w:bottom w:val="none" w:sz="0" w:space="0" w:color="auto"/>
        <w:right w:val="none" w:sz="0" w:space="0" w:color="auto"/>
      </w:divBdr>
    </w:div>
    <w:div w:id="585462345">
      <w:bodyDiv w:val="1"/>
      <w:marLeft w:val="0"/>
      <w:marRight w:val="0"/>
      <w:marTop w:val="0"/>
      <w:marBottom w:val="0"/>
      <w:divBdr>
        <w:top w:val="none" w:sz="0" w:space="0" w:color="auto"/>
        <w:left w:val="none" w:sz="0" w:space="0" w:color="auto"/>
        <w:bottom w:val="none" w:sz="0" w:space="0" w:color="auto"/>
        <w:right w:val="none" w:sz="0" w:space="0" w:color="auto"/>
      </w:divBdr>
    </w:div>
    <w:div w:id="585577791">
      <w:bodyDiv w:val="1"/>
      <w:marLeft w:val="0"/>
      <w:marRight w:val="0"/>
      <w:marTop w:val="0"/>
      <w:marBottom w:val="0"/>
      <w:divBdr>
        <w:top w:val="none" w:sz="0" w:space="0" w:color="auto"/>
        <w:left w:val="none" w:sz="0" w:space="0" w:color="auto"/>
        <w:bottom w:val="none" w:sz="0" w:space="0" w:color="auto"/>
        <w:right w:val="none" w:sz="0" w:space="0" w:color="auto"/>
      </w:divBdr>
    </w:div>
    <w:div w:id="586770594">
      <w:bodyDiv w:val="1"/>
      <w:marLeft w:val="0"/>
      <w:marRight w:val="0"/>
      <w:marTop w:val="0"/>
      <w:marBottom w:val="0"/>
      <w:divBdr>
        <w:top w:val="none" w:sz="0" w:space="0" w:color="auto"/>
        <w:left w:val="none" w:sz="0" w:space="0" w:color="auto"/>
        <w:bottom w:val="none" w:sz="0" w:space="0" w:color="auto"/>
        <w:right w:val="none" w:sz="0" w:space="0" w:color="auto"/>
      </w:divBdr>
    </w:div>
    <w:div w:id="586960300">
      <w:bodyDiv w:val="1"/>
      <w:marLeft w:val="0"/>
      <w:marRight w:val="0"/>
      <w:marTop w:val="0"/>
      <w:marBottom w:val="0"/>
      <w:divBdr>
        <w:top w:val="none" w:sz="0" w:space="0" w:color="auto"/>
        <w:left w:val="none" w:sz="0" w:space="0" w:color="auto"/>
        <w:bottom w:val="none" w:sz="0" w:space="0" w:color="auto"/>
        <w:right w:val="none" w:sz="0" w:space="0" w:color="auto"/>
      </w:divBdr>
    </w:div>
    <w:div w:id="588732570">
      <w:bodyDiv w:val="1"/>
      <w:marLeft w:val="0"/>
      <w:marRight w:val="0"/>
      <w:marTop w:val="0"/>
      <w:marBottom w:val="0"/>
      <w:divBdr>
        <w:top w:val="none" w:sz="0" w:space="0" w:color="auto"/>
        <w:left w:val="none" w:sz="0" w:space="0" w:color="auto"/>
        <w:bottom w:val="none" w:sz="0" w:space="0" w:color="auto"/>
        <w:right w:val="none" w:sz="0" w:space="0" w:color="auto"/>
      </w:divBdr>
    </w:div>
    <w:div w:id="588928665">
      <w:bodyDiv w:val="1"/>
      <w:marLeft w:val="0"/>
      <w:marRight w:val="0"/>
      <w:marTop w:val="0"/>
      <w:marBottom w:val="0"/>
      <w:divBdr>
        <w:top w:val="none" w:sz="0" w:space="0" w:color="auto"/>
        <w:left w:val="none" w:sz="0" w:space="0" w:color="auto"/>
        <w:bottom w:val="none" w:sz="0" w:space="0" w:color="auto"/>
        <w:right w:val="none" w:sz="0" w:space="0" w:color="auto"/>
      </w:divBdr>
    </w:div>
    <w:div w:id="589041406">
      <w:bodyDiv w:val="1"/>
      <w:marLeft w:val="0"/>
      <w:marRight w:val="0"/>
      <w:marTop w:val="0"/>
      <w:marBottom w:val="0"/>
      <w:divBdr>
        <w:top w:val="none" w:sz="0" w:space="0" w:color="auto"/>
        <w:left w:val="none" w:sz="0" w:space="0" w:color="auto"/>
        <w:bottom w:val="none" w:sz="0" w:space="0" w:color="auto"/>
        <w:right w:val="none" w:sz="0" w:space="0" w:color="auto"/>
      </w:divBdr>
    </w:div>
    <w:div w:id="589317727">
      <w:bodyDiv w:val="1"/>
      <w:marLeft w:val="0"/>
      <w:marRight w:val="0"/>
      <w:marTop w:val="0"/>
      <w:marBottom w:val="0"/>
      <w:divBdr>
        <w:top w:val="none" w:sz="0" w:space="0" w:color="auto"/>
        <w:left w:val="none" w:sz="0" w:space="0" w:color="auto"/>
        <w:bottom w:val="none" w:sz="0" w:space="0" w:color="auto"/>
        <w:right w:val="none" w:sz="0" w:space="0" w:color="auto"/>
      </w:divBdr>
    </w:div>
    <w:div w:id="591401596">
      <w:bodyDiv w:val="1"/>
      <w:marLeft w:val="0"/>
      <w:marRight w:val="0"/>
      <w:marTop w:val="0"/>
      <w:marBottom w:val="0"/>
      <w:divBdr>
        <w:top w:val="none" w:sz="0" w:space="0" w:color="auto"/>
        <w:left w:val="none" w:sz="0" w:space="0" w:color="auto"/>
        <w:bottom w:val="none" w:sz="0" w:space="0" w:color="auto"/>
        <w:right w:val="none" w:sz="0" w:space="0" w:color="auto"/>
      </w:divBdr>
    </w:div>
    <w:div w:id="591620583">
      <w:bodyDiv w:val="1"/>
      <w:marLeft w:val="0"/>
      <w:marRight w:val="0"/>
      <w:marTop w:val="0"/>
      <w:marBottom w:val="0"/>
      <w:divBdr>
        <w:top w:val="none" w:sz="0" w:space="0" w:color="auto"/>
        <w:left w:val="none" w:sz="0" w:space="0" w:color="auto"/>
        <w:bottom w:val="none" w:sz="0" w:space="0" w:color="auto"/>
        <w:right w:val="none" w:sz="0" w:space="0" w:color="auto"/>
      </w:divBdr>
    </w:div>
    <w:div w:id="592859882">
      <w:bodyDiv w:val="1"/>
      <w:marLeft w:val="0"/>
      <w:marRight w:val="0"/>
      <w:marTop w:val="0"/>
      <w:marBottom w:val="0"/>
      <w:divBdr>
        <w:top w:val="none" w:sz="0" w:space="0" w:color="auto"/>
        <w:left w:val="none" w:sz="0" w:space="0" w:color="auto"/>
        <w:bottom w:val="none" w:sz="0" w:space="0" w:color="auto"/>
        <w:right w:val="none" w:sz="0" w:space="0" w:color="auto"/>
      </w:divBdr>
    </w:div>
    <w:div w:id="593441324">
      <w:bodyDiv w:val="1"/>
      <w:marLeft w:val="0"/>
      <w:marRight w:val="0"/>
      <w:marTop w:val="0"/>
      <w:marBottom w:val="0"/>
      <w:divBdr>
        <w:top w:val="none" w:sz="0" w:space="0" w:color="auto"/>
        <w:left w:val="none" w:sz="0" w:space="0" w:color="auto"/>
        <w:bottom w:val="none" w:sz="0" w:space="0" w:color="auto"/>
        <w:right w:val="none" w:sz="0" w:space="0" w:color="auto"/>
      </w:divBdr>
    </w:div>
    <w:div w:id="595213830">
      <w:bodyDiv w:val="1"/>
      <w:marLeft w:val="0"/>
      <w:marRight w:val="0"/>
      <w:marTop w:val="0"/>
      <w:marBottom w:val="0"/>
      <w:divBdr>
        <w:top w:val="none" w:sz="0" w:space="0" w:color="auto"/>
        <w:left w:val="none" w:sz="0" w:space="0" w:color="auto"/>
        <w:bottom w:val="none" w:sz="0" w:space="0" w:color="auto"/>
        <w:right w:val="none" w:sz="0" w:space="0" w:color="auto"/>
      </w:divBdr>
    </w:div>
    <w:div w:id="595404600">
      <w:bodyDiv w:val="1"/>
      <w:marLeft w:val="0"/>
      <w:marRight w:val="0"/>
      <w:marTop w:val="0"/>
      <w:marBottom w:val="0"/>
      <w:divBdr>
        <w:top w:val="none" w:sz="0" w:space="0" w:color="auto"/>
        <w:left w:val="none" w:sz="0" w:space="0" w:color="auto"/>
        <w:bottom w:val="none" w:sz="0" w:space="0" w:color="auto"/>
        <w:right w:val="none" w:sz="0" w:space="0" w:color="auto"/>
      </w:divBdr>
    </w:div>
    <w:div w:id="595484846">
      <w:bodyDiv w:val="1"/>
      <w:marLeft w:val="0"/>
      <w:marRight w:val="0"/>
      <w:marTop w:val="0"/>
      <w:marBottom w:val="0"/>
      <w:divBdr>
        <w:top w:val="none" w:sz="0" w:space="0" w:color="auto"/>
        <w:left w:val="none" w:sz="0" w:space="0" w:color="auto"/>
        <w:bottom w:val="none" w:sz="0" w:space="0" w:color="auto"/>
        <w:right w:val="none" w:sz="0" w:space="0" w:color="auto"/>
      </w:divBdr>
    </w:div>
    <w:div w:id="597252115">
      <w:bodyDiv w:val="1"/>
      <w:marLeft w:val="0"/>
      <w:marRight w:val="0"/>
      <w:marTop w:val="0"/>
      <w:marBottom w:val="0"/>
      <w:divBdr>
        <w:top w:val="none" w:sz="0" w:space="0" w:color="auto"/>
        <w:left w:val="none" w:sz="0" w:space="0" w:color="auto"/>
        <w:bottom w:val="none" w:sz="0" w:space="0" w:color="auto"/>
        <w:right w:val="none" w:sz="0" w:space="0" w:color="auto"/>
      </w:divBdr>
    </w:div>
    <w:div w:id="597367833">
      <w:bodyDiv w:val="1"/>
      <w:marLeft w:val="0"/>
      <w:marRight w:val="0"/>
      <w:marTop w:val="0"/>
      <w:marBottom w:val="0"/>
      <w:divBdr>
        <w:top w:val="none" w:sz="0" w:space="0" w:color="auto"/>
        <w:left w:val="none" w:sz="0" w:space="0" w:color="auto"/>
        <w:bottom w:val="none" w:sz="0" w:space="0" w:color="auto"/>
        <w:right w:val="none" w:sz="0" w:space="0" w:color="auto"/>
      </w:divBdr>
    </w:div>
    <w:div w:id="599146089">
      <w:bodyDiv w:val="1"/>
      <w:marLeft w:val="0"/>
      <w:marRight w:val="0"/>
      <w:marTop w:val="0"/>
      <w:marBottom w:val="0"/>
      <w:divBdr>
        <w:top w:val="none" w:sz="0" w:space="0" w:color="auto"/>
        <w:left w:val="none" w:sz="0" w:space="0" w:color="auto"/>
        <w:bottom w:val="none" w:sz="0" w:space="0" w:color="auto"/>
        <w:right w:val="none" w:sz="0" w:space="0" w:color="auto"/>
      </w:divBdr>
    </w:div>
    <w:div w:id="601689726">
      <w:bodyDiv w:val="1"/>
      <w:marLeft w:val="0"/>
      <w:marRight w:val="0"/>
      <w:marTop w:val="0"/>
      <w:marBottom w:val="0"/>
      <w:divBdr>
        <w:top w:val="none" w:sz="0" w:space="0" w:color="auto"/>
        <w:left w:val="none" w:sz="0" w:space="0" w:color="auto"/>
        <w:bottom w:val="none" w:sz="0" w:space="0" w:color="auto"/>
        <w:right w:val="none" w:sz="0" w:space="0" w:color="auto"/>
      </w:divBdr>
    </w:div>
    <w:div w:id="602030103">
      <w:bodyDiv w:val="1"/>
      <w:marLeft w:val="0"/>
      <w:marRight w:val="0"/>
      <w:marTop w:val="0"/>
      <w:marBottom w:val="0"/>
      <w:divBdr>
        <w:top w:val="none" w:sz="0" w:space="0" w:color="auto"/>
        <w:left w:val="none" w:sz="0" w:space="0" w:color="auto"/>
        <w:bottom w:val="none" w:sz="0" w:space="0" w:color="auto"/>
        <w:right w:val="none" w:sz="0" w:space="0" w:color="auto"/>
      </w:divBdr>
    </w:div>
    <w:div w:id="602618503">
      <w:bodyDiv w:val="1"/>
      <w:marLeft w:val="0"/>
      <w:marRight w:val="0"/>
      <w:marTop w:val="0"/>
      <w:marBottom w:val="0"/>
      <w:divBdr>
        <w:top w:val="none" w:sz="0" w:space="0" w:color="auto"/>
        <w:left w:val="none" w:sz="0" w:space="0" w:color="auto"/>
        <w:bottom w:val="none" w:sz="0" w:space="0" w:color="auto"/>
        <w:right w:val="none" w:sz="0" w:space="0" w:color="auto"/>
      </w:divBdr>
    </w:div>
    <w:div w:id="602686462">
      <w:bodyDiv w:val="1"/>
      <w:marLeft w:val="0"/>
      <w:marRight w:val="0"/>
      <w:marTop w:val="0"/>
      <w:marBottom w:val="0"/>
      <w:divBdr>
        <w:top w:val="none" w:sz="0" w:space="0" w:color="auto"/>
        <w:left w:val="none" w:sz="0" w:space="0" w:color="auto"/>
        <w:bottom w:val="none" w:sz="0" w:space="0" w:color="auto"/>
        <w:right w:val="none" w:sz="0" w:space="0" w:color="auto"/>
      </w:divBdr>
    </w:div>
    <w:div w:id="603272011">
      <w:bodyDiv w:val="1"/>
      <w:marLeft w:val="0"/>
      <w:marRight w:val="0"/>
      <w:marTop w:val="0"/>
      <w:marBottom w:val="0"/>
      <w:divBdr>
        <w:top w:val="none" w:sz="0" w:space="0" w:color="auto"/>
        <w:left w:val="none" w:sz="0" w:space="0" w:color="auto"/>
        <w:bottom w:val="none" w:sz="0" w:space="0" w:color="auto"/>
        <w:right w:val="none" w:sz="0" w:space="0" w:color="auto"/>
      </w:divBdr>
    </w:div>
    <w:div w:id="604118512">
      <w:bodyDiv w:val="1"/>
      <w:marLeft w:val="0"/>
      <w:marRight w:val="0"/>
      <w:marTop w:val="0"/>
      <w:marBottom w:val="0"/>
      <w:divBdr>
        <w:top w:val="none" w:sz="0" w:space="0" w:color="auto"/>
        <w:left w:val="none" w:sz="0" w:space="0" w:color="auto"/>
        <w:bottom w:val="none" w:sz="0" w:space="0" w:color="auto"/>
        <w:right w:val="none" w:sz="0" w:space="0" w:color="auto"/>
      </w:divBdr>
    </w:div>
    <w:div w:id="605310367">
      <w:bodyDiv w:val="1"/>
      <w:marLeft w:val="0"/>
      <w:marRight w:val="0"/>
      <w:marTop w:val="0"/>
      <w:marBottom w:val="0"/>
      <w:divBdr>
        <w:top w:val="none" w:sz="0" w:space="0" w:color="auto"/>
        <w:left w:val="none" w:sz="0" w:space="0" w:color="auto"/>
        <w:bottom w:val="none" w:sz="0" w:space="0" w:color="auto"/>
        <w:right w:val="none" w:sz="0" w:space="0" w:color="auto"/>
      </w:divBdr>
    </w:div>
    <w:div w:id="605579573">
      <w:bodyDiv w:val="1"/>
      <w:marLeft w:val="0"/>
      <w:marRight w:val="0"/>
      <w:marTop w:val="0"/>
      <w:marBottom w:val="0"/>
      <w:divBdr>
        <w:top w:val="none" w:sz="0" w:space="0" w:color="auto"/>
        <w:left w:val="none" w:sz="0" w:space="0" w:color="auto"/>
        <w:bottom w:val="none" w:sz="0" w:space="0" w:color="auto"/>
        <w:right w:val="none" w:sz="0" w:space="0" w:color="auto"/>
      </w:divBdr>
    </w:div>
    <w:div w:id="606040719">
      <w:bodyDiv w:val="1"/>
      <w:marLeft w:val="0"/>
      <w:marRight w:val="0"/>
      <w:marTop w:val="0"/>
      <w:marBottom w:val="0"/>
      <w:divBdr>
        <w:top w:val="none" w:sz="0" w:space="0" w:color="auto"/>
        <w:left w:val="none" w:sz="0" w:space="0" w:color="auto"/>
        <w:bottom w:val="none" w:sz="0" w:space="0" w:color="auto"/>
        <w:right w:val="none" w:sz="0" w:space="0" w:color="auto"/>
      </w:divBdr>
    </w:div>
    <w:div w:id="606236967">
      <w:bodyDiv w:val="1"/>
      <w:marLeft w:val="0"/>
      <w:marRight w:val="0"/>
      <w:marTop w:val="0"/>
      <w:marBottom w:val="0"/>
      <w:divBdr>
        <w:top w:val="none" w:sz="0" w:space="0" w:color="auto"/>
        <w:left w:val="none" w:sz="0" w:space="0" w:color="auto"/>
        <w:bottom w:val="none" w:sz="0" w:space="0" w:color="auto"/>
        <w:right w:val="none" w:sz="0" w:space="0" w:color="auto"/>
      </w:divBdr>
    </w:div>
    <w:div w:id="606961289">
      <w:bodyDiv w:val="1"/>
      <w:marLeft w:val="0"/>
      <w:marRight w:val="0"/>
      <w:marTop w:val="0"/>
      <w:marBottom w:val="0"/>
      <w:divBdr>
        <w:top w:val="none" w:sz="0" w:space="0" w:color="auto"/>
        <w:left w:val="none" w:sz="0" w:space="0" w:color="auto"/>
        <w:bottom w:val="none" w:sz="0" w:space="0" w:color="auto"/>
        <w:right w:val="none" w:sz="0" w:space="0" w:color="auto"/>
      </w:divBdr>
    </w:div>
    <w:div w:id="606961306">
      <w:bodyDiv w:val="1"/>
      <w:marLeft w:val="0"/>
      <w:marRight w:val="0"/>
      <w:marTop w:val="0"/>
      <w:marBottom w:val="0"/>
      <w:divBdr>
        <w:top w:val="none" w:sz="0" w:space="0" w:color="auto"/>
        <w:left w:val="none" w:sz="0" w:space="0" w:color="auto"/>
        <w:bottom w:val="none" w:sz="0" w:space="0" w:color="auto"/>
        <w:right w:val="none" w:sz="0" w:space="0" w:color="auto"/>
      </w:divBdr>
    </w:div>
    <w:div w:id="607928091">
      <w:bodyDiv w:val="1"/>
      <w:marLeft w:val="0"/>
      <w:marRight w:val="0"/>
      <w:marTop w:val="0"/>
      <w:marBottom w:val="0"/>
      <w:divBdr>
        <w:top w:val="none" w:sz="0" w:space="0" w:color="auto"/>
        <w:left w:val="none" w:sz="0" w:space="0" w:color="auto"/>
        <w:bottom w:val="none" w:sz="0" w:space="0" w:color="auto"/>
        <w:right w:val="none" w:sz="0" w:space="0" w:color="auto"/>
      </w:divBdr>
    </w:div>
    <w:div w:id="609700011">
      <w:bodyDiv w:val="1"/>
      <w:marLeft w:val="0"/>
      <w:marRight w:val="0"/>
      <w:marTop w:val="0"/>
      <w:marBottom w:val="0"/>
      <w:divBdr>
        <w:top w:val="none" w:sz="0" w:space="0" w:color="auto"/>
        <w:left w:val="none" w:sz="0" w:space="0" w:color="auto"/>
        <w:bottom w:val="none" w:sz="0" w:space="0" w:color="auto"/>
        <w:right w:val="none" w:sz="0" w:space="0" w:color="auto"/>
      </w:divBdr>
    </w:div>
    <w:div w:id="610015739">
      <w:bodyDiv w:val="1"/>
      <w:marLeft w:val="0"/>
      <w:marRight w:val="0"/>
      <w:marTop w:val="0"/>
      <w:marBottom w:val="0"/>
      <w:divBdr>
        <w:top w:val="none" w:sz="0" w:space="0" w:color="auto"/>
        <w:left w:val="none" w:sz="0" w:space="0" w:color="auto"/>
        <w:bottom w:val="none" w:sz="0" w:space="0" w:color="auto"/>
        <w:right w:val="none" w:sz="0" w:space="0" w:color="auto"/>
      </w:divBdr>
    </w:div>
    <w:div w:id="610666579">
      <w:bodyDiv w:val="1"/>
      <w:marLeft w:val="0"/>
      <w:marRight w:val="0"/>
      <w:marTop w:val="0"/>
      <w:marBottom w:val="0"/>
      <w:divBdr>
        <w:top w:val="none" w:sz="0" w:space="0" w:color="auto"/>
        <w:left w:val="none" w:sz="0" w:space="0" w:color="auto"/>
        <w:bottom w:val="none" w:sz="0" w:space="0" w:color="auto"/>
        <w:right w:val="none" w:sz="0" w:space="0" w:color="auto"/>
      </w:divBdr>
    </w:div>
    <w:div w:id="610934645">
      <w:bodyDiv w:val="1"/>
      <w:marLeft w:val="0"/>
      <w:marRight w:val="0"/>
      <w:marTop w:val="0"/>
      <w:marBottom w:val="0"/>
      <w:divBdr>
        <w:top w:val="none" w:sz="0" w:space="0" w:color="auto"/>
        <w:left w:val="none" w:sz="0" w:space="0" w:color="auto"/>
        <w:bottom w:val="none" w:sz="0" w:space="0" w:color="auto"/>
        <w:right w:val="none" w:sz="0" w:space="0" w:color="auto"/>
      </w:divBdr>
    </w:div>
    <w:div w:id="612975097">
      <w:bodyDiv w:val="1"/>
      <w:marLeft w:val="0"/>
      <w:marRight w:val="0"/>
      <w:marTop w:val="0"/>
      <w:marBottom w:val="0"/>
      <w:divBdr>
        <w:top w:val="none" w:sz="0" w:space="0" w:color="auto"/>
        <w:left w:val="none" w:sz="0" w:space="0" w:color="auto"/>
        <w:bottom w:val="none" w:sz="0" w:space="0" w:color="auto"/>
        <w:right w:val="none" w:sz="0" w:space="0" w:color="auto"/>
      </w:divBdr>
    </w:div>
    <w:div w:id="613102441">
      <w:bodyDiv w:val="1"/>
      <w:marLeft w:val="0"/>
      <w:marRight w:val="0"/>
      <w:marTop w:val="0"/>
      <w:marBottom w:val="0"/>
      <w:divBdr>
        <w:top w:val="none" w:sz="0" w:space="0" w:color="auto"/>
        <w:left w:val="none" w:sz="0" w:space="0" w:color="auto"/>
        <w:bottom w:val="none" w:sz="0" w:space="0" w:color="auto"/>
        <w:right w:val="none" w:sz="0" w:space="0" w:color="auto"/>
      </w:divBdr>
    </w:div>
    <w:div w:id="613177764">
      <w:bodyDiv w:val="1"/>
      <w:marLeft w:val="0"/>
      <w:marRight w:val="0"/>
      <w:marTop w:val="0"/>
      <w:marBottom w:val="0"/>
      <w:divBdr>
        <w:top w:val="none" w:sz="0" w:space="0" w:color="auto"/>
        <w:left w:val="none" w:sz="0" w:space="0" w:color="auto"/>
        <w:bottom w:val="none" w:sz="0" w:space="0" w:color="auto"/>
        <w:right w:val="none" w:sz="0" w:space="0" w:color="auto"/>
      </w:divBdr>
    </w:div>
    <w:div w:id="613679840">
      <w:bodyDiv w:val="1"/>
      <w:marLeft w:val="0"/>
      <w:marRight w:val="0"/>
      <w:marTop w:val="0"/>
      <w:marBottom w:val="0"/>
      <w:divBdr>
        <w:top w:val="none" w:sz="0" w:space="0" w:color="auto"/>
        <w:left w:val="none" w:sz="0" w:space="0" w:color="auto"/>
        <w:bottom w:val="none" w:sz="0" w:space="0" w:color="auto"/>
        <w:right w:val="none" w:sz="0" w:space="0" w:color="auto"/>
      </w:divBdr>
    </w:div>
    <w:div w:id="613754934">
      <w:bodyDiv w:val="1"/>
      <w:marLeft w:val="0"/>
      <w:marRight w:val="0"/>
      <w:marTop w:val="0"/>
      <w:marBottom w:val="0"/>
      <w:divBdr>
        <w:top w:val="none" w:sz="0" w:space="0" w:color="auto"/>
        <w:left w:val="none" w:sz="0" w:space="0" w:color="auto"/>
        <w:bottom w:val="none" w:sz="0" w:space="0" w:color="auto"/>
        <w:right w:val="none" w:sz="0" w:space="0" w:color="auto"/>
      </w:divBdr>
    </w:div>
    <w:div w:id="614748973">
      <w:bodyDiv w:val="1"/>
      <w:marLeft w:val="0"/>
      <w:marRight w:val="0"/>
      <w:marTop w:val="0"/>
      <w:marBottom w:val="0"/>
      <w:divBdr>
        <w:top w:val="none" w:sz="0" w:space="0" w:color="auto"/>
        <w:left w:val="none" w:sz="0" w:space="0" w:color="auto"/>
        <w:bottom w:val="none" w:sz="0" w:space="0" w:color="auto"/>
        <w:right w:val="none" w:sz="0" w:space="0" w:color="auto"/>
      </w:divBdr>
    </w:div>
    <w:div w:id="615019134">
      <w:bodyDiv w:val="1"/>
      <w:marLeft w:val="0"/>
      <w:marRight w:val="0"/>
      <w:marTop w:val="0"/>
      <w:marBottom w:val="0"/>
      <w:divBdr>
        <w:top w:val="none" w:sz="0" w:space="0" w:color="auto"/>
        <w:left w:val="none" w:sz="0" w:space="0" w:color="auto"/>
        <w:bottom w:val="none" w:sz="0" w:space="0" w:color="auto"/>
        <w:right w:val="none" w:sz="0" w:space="0" w:color="auto"/>
      </w:divBdr>
    </w:div>
    <w:div w:id="616064583">
      <w:bodyDiv w:val="1"/>
      <w:marLeft w:val="0"/>
      <w:marRight w:val="0"/>
      <w:marTop w:val="0"/>
      <w:marBottom w:val="0"/>
      <w:divBdr>
        <w:top w:val="none" w:sz="0" w:space="0" w:color="auto"/>
        <w:left w:val="none" w:sz="0" w:space="0" w:color="auto"/>
        <w:bottom w:val="none" w:sz="0" w:space="0" w:color="auto"/>
        <w:right w:val="none" w:sz="0" w:space="0" w:color="auto"/>
      </w:divBdr>
    </w:div>
    <w:div w:id="616570465">
      <w:bodyDiv w:val="1"/>
      <w:marLeft w:val="0"/>
      <w:marRight w:val="0"/>
      <w:marTop w:val="0"/>
      <w:marBottom w:val="0"/>
      <w:divBdr>
        <w:top w:val="none" w:sz="0" w:space="0" w:color="auto"/>
        <w:left w:val="none" w:sz="0" w:space="0" w:color="auto"/>
        <w:bottom w:val="none" w:sz="0" w:space="0" w:color="auto"/>
        <w:right w:val="none" w:sz="0" w:space="0" w:color="auto"/>
      </w:divBdr>
    </w:div>
    <w:div w:id="617880895">
      <w:bodyDiv w:val="1"/>
      <w:marLeft w:val="0"/>
      <w:marRight w:val="0"/>
      <w:marTop w:val="0"/>
      <w:marBottom w:val="0"/>
      <w:divBdr>
        <w:top w:val="none" w:sz="0" w:space="0" w:color="auto"/>
        <w:left w:val="none" w:sz="0" w:space="0" w:color="auto"/>
        <w:bottom w:val="none" w:sz="0" w:space="0" w:color="auto"/>
        <w:right w:val="none" w:sz="0" w:space="0" w:color="auto"/>
      </w:divBdr>
    </w:div>
    <w:div w:id="619723845">
      <w:bodyDiv w:val="1"/>
      <w:marLeft w:val="0"/>
      <w:marRight w:val="0"/>
      <w:marTop w:val="0"/>
      <w:marBottom w:val="0"/>
      <w:divBdr>
        <w:top w:val="none" w:sz="0" w:space="0" w:color="auto"/>
        <w:left w:val="none" w:sz="0" w:space="0" w:color="auto"/>
        <w:bottom w:val="none" w:sz="0" w:space="0" w:color="auto"/>
        <w:right w:val="none" w:sz="0" w:space="0" w:color="auto"/>
      </w:divBdr>
    </w:div>
    <w:div w:id="620574855">
      <w:bodyDiv w:val="1"/>
      <w:marLeft w:val="0"/>
      <w:marRight w:val="0"/>
      <w:marTop w:val="0"/>
      <w:marBottom w:val="0"/>
      <w:divBdr>
        <w:top w:val="none" w:sz="0" w:space="0" w:color="auto"/>
        <w:left w:val="none" w:sz="0" w:space="0" w:color="auto"/>
        <w:bottom w:val="none" w:sz="0" w:space="0" w:color="auto"/>
        <w:right w:val="none" w:sz="0" w:space="0" w:color="auto"/>
      </w:divBdr>
    </w:div>
    <w:div w:id="621039213">
      <w:bodyDiv w:val="1"/>
      <w:marLeft w:val="0"/>
      <w:marRight w:val="0"/>
      <w:marTop w:val="0"/>
      <w:marBottom w:val="0"/>
      <w:divBdr>
        <w:top w:val="none" w:sz="0" w:space="0" w:color="auto"/>
        <w:left w:val="none" w:sz="0" w:space="0" w:color="auto"/>
        <w:bottom w:val="none" w:sz="0" w:space="0" w:color="auto"/>
        <w:right w:val="none" w:sz="0" w:space="0" w:color="auto"/>
      </w:divBdr>
    </w:div>
    <w:div w:id="621496498">
      <w:bodyDiv w:val="1"/>
      <w:marLeft w:val="0"/>
      <w:marRight w:val="0"/>
      <w:marTop w:val="0"/>
      <w:marBottom w:val="0"/>
      <w:divBdr>
        <w:top w:val="none" w:sz="0" w:space="0" w:color="auto"/>
        <w:left w:val="none" w:sz="0" w:space="0" w:color="auto"/>
        <w:bottom w:val="none" w:sz="0" w:space="0" w:color="auto"/>
        <w:right w:val="none" w:sz="0" w:space="0" w:color="auto"/>
      </w:divBdr>
    </w:div>
    <w:div w:id="623271924">
      <w:bodyDiv w:val="1"/>
      <w:marLeft w:val="0"/>
      <w:marRight w:val="0"/>
      <w:marTop w:val="0"/>
      <w:marBottom w:val="0"/>
      <w:divBdr>
        <w:top w:val="none" w:sz="0" w:space="0" w:color="auto"/>
        <w:left w:val="none" w:sz="0" w:space="0" w:color="auto"/>
        <w:bottom w:val="none" w:sz="0" w:space="0" w:color="auto"/>
        <w:right w:val="none" w:sz="0" w:space="0" w:color="auto"/>
      </w:divBdr>
    </w:div>
    <w:div w:id="623316359">
      <w:bodyDiv w:val="1"/>
      <w:marLeft w:val="0"/>
      <w:marRight w:val="0"/>
      <w:marTop w:val="0"/>
      <w:marBottom w:val="0"/>
      <w:divBdr>
        <w:top w:val="none" w:sz="0" w:space="0" w:color="auto"/>
        <w:left w:val="none" w:sz="0" w:space="0" w:color="auto"/>
        <w:bottom w:val="none" w:sz="0" w:space="0" w:color="auto"/>
        <w:right w:val="none" w:sz="0" w:space="0" w:color="auto"/>
      </w:divBdr>
    </w:div>
    <w:div w:id="623731064">
      <w:bodyDiv w:val="1"/>
      <w:marLeft w:val="0"/>
      <w:marRight w:val="0"/>
      <w:marTop w:val="0"/>
      <w:marBottom w:val="0"/>
      <w:divBdr>
        <w:top w:val="none" w:sz="0" w:space="0" w:color="auto"/>
        <w:left w:val="none" w:sz="0" w:space="0" w:color="auto"/>
        <w:bottom w:val="none" w:sz="0" w:space="0" w:color="auto"/>
        <w:right w:val="none" w:sz="0" w:space="0" w:color="auto"/>
      </w:divBdr>
    </w:div>
    <w:div w:id="624192956">
      <w:bodyDiv w:val="1"/>
      <w:marLeft w:val="0"/>
      <w:marRight w:val="0"/>
      <w:marTop w:val="0"/>
      <w:marBottom w:val="0"/>
      <w:divBdr>
        <w:top w:val="none" w:sz="0" w:space="0" w:color="auto"/>
        <w:left w:val="none" w:sz="0" w:space="0" w:color="auto"/>
        <w:bottom w:val="none" w:sz="0" w:space="0" w:color="auto"/>
        <w:right w:val="none" w:sz="0" w:space="0" w:color="auto"/>
      </w:divBdr>
    </w:div>
    <w:div w:id="624193819">
      <w:bodyDiv w:val="1"/>
      <w:marLeft w:val="0"/>
      <w:marRight w:val="0"/>
      <w:marTop w:val="0"/>
      <w:marBottom w:val="0"/>
      <w:divBdr>
        <w:top w:val="none" w:sz="0" w:space="0" w:color="auto"/>
        <w:left w:val="none" w:sz="0" w:space="0" w:color="auto"/>
        <w:bottom w:val="none" w:sz="0" w:space="0" w:color="auto"/>
        <w:right w:val="none" w:sz="0" w:space="0" w:color="auto"/>
      </w:divBdr>
    </w:div>
    <w:div w:id="624695824">
      <w:bodyDiv w:val="1"/>
      <w:marLeft w:val="0"/>
      <w:marRight w:val="0"/>
      <w:marTop w:val="0"/>
      <w:marBottom w:val="0"/>
      <w:divBdr>
        <w:top w:val="none" w:sz="0" w:space="0" w:color="auto"/>
        <w:left w:val="none" w:sz="0" w:space="0" w:color="auto"/>
        <w:bottom w:val="none" w:sz="0" w:space="0" w:color="auto"/>
        <w:right w:val="none" w:sz="0" w:space="0" w:color="auto"/>
      </w:divBdr>
    </w:div>
    <w:div w:id="624970828">
      <w:bodyDiv w:val="1"/>
      <w:marLeft w:val="0"/>
      <w:marRight w:val="0"/>
      <w:marTop w:val="0"/>
      <w:marBottom w:val="0"/>
      <w:divBdr>
        <w:top w:val="none" w:sz="0" w:space="0" w:color="auto"/>
        <w:left w:val="none" w:sz="0" w:space="0" w:color="auto"/>
        <w:bottom w:val="none" w:sz="0" w:space="0" w:color="auto"/>
        <w:right w:val="none" w:sz="0" w:space="0" w:color="auto"/>
      </w:divBdr>
    </w:div>
    <w:div w:id="625309069">
      <w:bodyDiv w:val="1"/>
      <w:marLeft w:val="0"/>
      <w:marRight w:val="0"/>
      <w:marTop w:val="0"/>
      <w:marBottom w:val="0"/>
      <w:divBdr>
        <w:top w:val="none" w:sz="0" w:space="0" w:color="auto"/>
        <w:left w:val="none" w:sz="0" w:space="0" w:color="auto"/>
        <w:bottom w:val="none" w:sz="0" w:space="0" w:color="auto"/>
        <w:right w:val="none" w:sz="0" w:space="0" w:color="auto"/>
      </w:divBdr>
    </w:div>
    <w:div w:id="625428170">
      <w:bodyDiv w:val="1"/>
      <w:marLeft w:val="0"/>
      <w:marRight w:val="0"/>
      <w:marTop w:val="0"/>
      <w:marBottom w:val="0"/>
      <w:divBdr>
        <w:top w:val="none" w:sz="0" w:space="0" w:color="auto"/>
        <w:left w:val="none" w:sz="0" w:space="0" w:color="auto"/>
        <w:bottom w:val="none" w:sz="0" w:space="0" w:color="auto"/>
        <w:right w:val="none" w:sz="0" w:space="0" w:color="auto"/>
      </w:divBdr>
    </w:div>
    <w:div w:id="631248114">
      <w:bodyDiv w:val="1"/>
      <w:marLeft w:val="0"/>
      <w:marRight w:val="0"/>
      <w:marTop w:val="0"/>
      <w:marBottom w:val="0"/>
      <w:divBdr>
        <w:top w:val="none" w:sz="0" w:space="0" w:color="auto"/>
        <w:left w:val="none" w:sz="0" w:space="0" w:color="auto"/>
        <w:bottom w:val="none" w:sz="0" w:space="0" w:color="auto"/>
        <w:right w:val="none" w:sz="0" w:space="0" w:color="auto"/>
      </w:divBdr>
    </w:div>
    <w:div w:id="632442992">
      <w:bodyDiv w:val="1"/>
      <w:marLeft w:val="0"/>
      <w:marRight w:val="0"/>
      <w:marTop w:val="0"/>
      <w:marBottom w:val="0"/>
      <w:divBdr>
        <w:top w:val="none" w:sz="0" w:space="0" w:color="auto"/>
        <w:left w:val="none" w:sz="0" w:space="0" w:color="auto"/>
        <w:bottom w:val="none" w:sz="0" w:space="0" w:color="auto"/>
        <w:right w:val="none" w:sz="0" w:space="0" w:color="auto"/>
      </w:divBdr>
    </w:div>
    <w:div w:id="632979423">
      <w:bodyDiv w:val="1"/>
      <w:marLeft w:val="0"/>
      <w:marRight w:val="0"/>
      <w:marTop w:val="0"/>
      <w:marBottom w:val="0"/>
      <w:divBdr>
        <w:top w:val="none" w:sz="0" w:space="0" w:color="auto"/>
        <w:left w:val="none" w:sz="0" w:space="0" w:color="auto"/>
        <w:bottom w:val="none" w:sz="0" w:space="0" w:color="auto"/>
        <w:right w:val="none" w:sz="0" w:space="0" w:color="auto"/>
      </w:divBdr>
    </w:div>
    <w:div w:id="633023909">
      <w:bodyDiv w:val="1"/>
      <w:marLeft w:val="0"/>
      <w:marRight w:val="0"/>
      <w:marTop w:val="0"/>
      <w:marBottom w:val="0"/>
      <w:divBdr>
        <w:top w:val="none" w:sz="0" w:space="0" w:color="auto"/>
        <w:left w:val="none" w:sz="0" w:space="0" w:color="auto"/>
        <w:bottom w:val="none" w:sz="0" w:space="0" w:color="auto"/>
        <w:right w:val="none" w:sz="0" w:space="0" w:color="auto"/>
      </w:divBdr>
    </w:div>
    <w:div w:id="634599538">
      <w:bodyDiv w:val="1"/>
      <w:marLeft w:val="0"/>
      <w:marRight w:val="0"/>
      <w:marTop w:val="0"/>
      <w:marBottom w:val="0"/>
      <w:divBdr>
        <w:top w:val="none" w:sz="0" w:space="0" w:color="auto"/>
        <w:left w:val="none" w:sz="0" w:space="0" w:color="auto"/>
        <w:bottom w:val="none" w:sz="0" w:space="0" w:color="auto"/>
        <w:right w:val="none" w:sz="0" w:space="0" w:color="auto"/>
      </w:divBdr>
    </w:div>
    <w:div w:id="635138581">
      <w:bodyDiv w:val="1"/>
      <w:marLeft w:val="0"/>
      <w:marRight w:val="0"/>
      <w:marTop w:val="0"/>
      <w:marBottom w:val="0"/>
      <w:divBdr>
        <w:top w:val="none" w:sz="0" w:space="0" w:color="auto"/>
        <w:left w:val="none" w:sz="0" w:space="0" w:color="auto"/>
        <w:bottom w:val="none" w:sz="0" w:space="0" w:color="auto"/>
        <w:right w:val="none" w:sz="0" w:space="0" w:color="auto"/>
      </w:divBdr>
    </w:div>
    <w:div w:id="635261271">
      <w:bodyDiv w:val="1"/>
      <w:marLeft w:val="0"/>
      <w:marRight w:val="0"/>
      <w:marTop w:val="0"/>
      <w:marBottom w:val="0"/>
      <w:divBdr>
        <w:top w:val="none" w:sz="0" w:space="0" w:color="auto"/>
        <w:left w:val="none" w:sz="0" w:space="0" w:color="auto"/>
        <w:bottom w:val="none" w:sz="0" w:space="0" w:color="auto"/>
        <w:right w:val="none" w:sz="0" w:space="0" w:color="auto"/>
      </w:divBdr>
    </w:div>
    <w:div w:id="636884308">
      <w:bodyDiv w:val="1"/>
      <w:marLeft w:val="0"/>
      <w:marRight w:val="0"/>
      <w:marTop w:val="0"/>
      <w:marBottom w:val="0"/>
      <w:divBdr>
        <w:top w:val="none" w:sz="0" w:space="0" w:color="auto"/>
        <w:left w:val="none" w:sz="0" w:space="0" w:color="auto"/>
        <w:bottom w:val="none" w:sz="0" w:space="0" w:color="auto"/>
        <w:right w:val="none" w:sz="0" w:space="0" w:color="auto"/>
      </w:divBdr>
    </w:div>
    <w:div w:id="637880448">
      <w:bodyDiv w:val="1"/>
      <w:marLeft w:val="0"/>
      <w:marRight w:val="0"/>
      <w:marTop w:val="0"/>
      <w:marBottom w:val="0"/>
      <w:divBdr>
        <w:top w:val="none" w:sz="0" w:space="0" w:color="auto"/>
        <w:left w:val="none" w:sz="0" w:space="0" w:color="auto"/>
        <w:bottom w:val="none" w:sz="0" w:space="0" w:color="auto"/>
        <w:right w:val="none" w:sz="0" w:space="0" w:color="auto"/>
      </w:divBdr>
    </w:div>
    <w:div w:id="638072884">
      <w:bodyDiv w:val="1"/>
      <w:marLeft w:val="0"/>
      <w:marRight w:val="0"/>
      <w:marTop w:val="0"/>
      <w:marBottom w:val="0"/>
      <w:divBdr>
        <w:top w:val="none" w:sz="0" w:space="0" w:color="auto"/>
        <w:left w:val="none" w:sz="0" w:space="0" w:color="auto"/>
        <w:bottom w:val="none" w:sz="0" w:space="0" w:color="auto"/>
        <w:right w:val="none" w:sz="0" w:space="0" w:color="auto"/>
      </w:divBdr>
    </w:div>
    <w:div w:id="639648817">
      <w:bodyDiv w:val="1"/>
      <w:marLeft w:val="0"/>
      <w:marRight w:val="0"/>
      <w:marTop w:val="0"/>
      <w:marBottom w:val="0"/>
      <w:divBdr>
        <w:top w:val="none" w:sz="0" w:space="0" w:color="auto"/>
        <w:left w:val="none" w:sz="0" w:space="0" w:color="auto"/>
        <w:bottom w:val="none" w:sz="0" w:space="0" w:color="auto"/>
        <w:right w:val="none" w:sz="0" w:space="0" w:color="auto"/>
      </w:divBdr>
    </w:div>
    <w:div w:id="639920547">
      <w:bodyDiv w:val="1"/>
      <w:marLeft w:val="0"/>
      <w:marRight w:val="0"/>
      <w:marTop w:val="0"/>
      <w:marBottom w:val="0"/>
      <w:divBdr>
        <w:top w:val="none" w:sz="0" w:space="0" w:color="auto"/>
        <w:left w:val="none" w:sz="0" w:space="0" w:color="auto"/>
        <w:bottom w:val="none" w:sz="0" w:space="0" w:color="auto"/>
        <w:right w:val="none" w:sz="0" w:space="0" w:color="auto"/>
      </w:divBdr>
    </w:div>
    <w:div w:id="641422102">
      <w:bodyDiv w:val="1"/>
      <w:marLeft w:val="0"/>
      <w:marRight w:val="0"/>
      <w:marTop w:val="0"/>
      <w:marBottom w:val="0"/>
      <w:divBdr>
        <w:top w:val="none" w:sz="0" w:space="0" w:color="auto"/>
        <w:left w:val="none" w:sz="0" w:space="0" w:color="auto"/>
        <w:bottom w:val="none" w:sz="0" w:space="0" w:color="auto"/>
        <w:right w:val="none" w:sz="0" w:space="0" w:color="auto"/>
      </w:divBdr>
    </w:div>
    <w:div w:id="643118464">
      <w:bodyDiv w:val="1"/>
      <w:marLeft w:val="0"/>
      <w:marRight w:val="0"/>
      <w:marTop w:val="0"/>
      <w:marBottom w:val="0"/>
      <w:divBdr>
        <w:top w:val="none" w:sz="0" w:space="0" w:color="auto"/>
        <w:left w:val="none" w:sz="0" w:space="0" w:color="auto"/>
        <w:bottom w:val="none" w:sz="0" w:space="0" w:color="auto"/>
        <w:right w:val="none" w:sz="0" w:space="0" w:color="auto"/>
      </w:divBdr>
    </w:div>
    <w:div w:id="643975488">
      <w:bodyDiv w:val="1"/>
      <w:marLeft w:val="0"/>
      <w:marRight w:val="0"/>
      <w:marTop w:val="0"/>
      <w:marBottom w:val="0"/>
      <w:divBdr>
        <w:top w:val="none" w:sz="0" w:space="0" w:color="auto"/>
        <w:left w:val="none" w:sz="0" w:space="0" w:color="auto"/>
        <w:bottom w:val="none" w:sz="0" w:space="0" w:color="auto"/>
        <w:right w:val="none" w:sz="0" w:space="0" w:color="auto"/>
      </w:divBdr>
    </w:div>
    <w:div w:id="644165329">
      <w:bodyDiv w:val="1"/>
      <w:marLeft w:val="0"/>
      <w:marRight w:val="0"/>
      <w:marTop w:val="0"/>
      <w:marBottom w:val="0"/>
      <w:divBdr>
        <w:top w:val="none" w:sz="0" w:space="0" w:color="auto"/>
        <w:left w:val="none" w:sz="0" w:space="0" w:color="auto"/>
        <w:bottom w:val="none" w:sz="0" w:space="0" w:color="auto"/>
        <w:right w:val="none" w:sz="0" w:space="0" w:color="auto"/>
      </w:divBdr>
    </w:div>
    <w:div w:id="644744468">
      <w:bodyDiv w:val="1"/>
      <w:marLeft w:val="0"/>
      <w:marRight w:val="0"/>
      <w:marTop w:val="0"/>
      <w:marBottom w:val="0"/>
      <w:divBdr>
        <w:top w:val="none" w:sz="0" w:space="0" w:color="auto"/>
        <w:left w:val="none" w:sz="0" w:space="0" w:color="auto"/>
        <w:bottom w:val="none" w:sz="0" w:space="0" w:color="auto"/>
        <w:right w:val="none" w:sz="0" w:space="0" w:color="auto"/>
      </w:divBdr>
    </w:div>
    <w:div w:id="644892877">
      <w:bodyDiv w:val="1"/>
      <w:marLeft w:val="0"/>
      <w:marRight w:val="0"/>
      <w:marTop w:val="0"/>
      <w:marBottom w:val="0"/>
      <w:divBdr>
        <w:top w:val="none" w:sz="0" w:space="0" w:color="auto"/>
        <w:left w:val="none" w:sz="0" w:space="0" w:color="auto"/>
        <w:bottom w:val="none" w:sz="0" w:space="0" w:color="auto"/>
        <w:right w:val="none" w:sz="0" w:space="0" w:color="auto"/>
      </w:divBdr>
    </w:div>
    <w:div w:id="646588460">
      <w:bodyDiv w:val="1"/>
      <w:marLeft w:val="0"/>
      <w:marRight w:val="0"/>
      <w:marTop w:val="0"/>
      <w:marBottom w:val="0"/>
      <w:divBdr>
        <w:top w:val="none" w:sz="0" w:space="0" w:color="auto"/>
        <w:left w:val="none" w:sz="0" w:space="0" w:color="auto"/>
        <w:bottom w:val="none" w:sz="0" w:space="0" w:color="auto"/>
        <w:right w:val="none" w:sz="0" w:space="0" w:color="auto"/>
      </w:divBdr>
    </w:div>
    <w:div w:id="647586590">
      <w:bodyDiv w:val="1"/>
      <w:marLeft w:val="0"/>
      <w:marRight w:val="0"/>
      <w:marTop w:val="0"/>
      <w:marBottom w:val="0"/>
      <w:divBdr>
        <w:top w:val="none" w:sz="0" w:space="0" w:color="auto"/>
        <w:left w:val="none" w:sz="0" w:space="0" w:color="auto"/>
        <w:bottom w:val="none" w:sz="0" w:space="0" w:color="auto"/>
        <w:right w:val="none" w:sz="0" w:space="0" w:color="auto"/>
      </w:divBdr>
    </w:div>
    <w:div w:id="649478558">
      <w:bodyDiv w:val="1"/>
      <w:marLeft w:val="0"/>
      <w:marRight w:val="0"/>
      <w:marTop w:val="0"/>
      <w:marBottom w:val="0"/>
      <w:divBdr>
        <w:top w:val="none" w:sz="0" w:space="0" w:color="auto"/>
        <w:left w:val="none" w:sz="0" w:space="0" w:color="auto"/>
        <w:bottom w:val="none" w:sz="0" w:space="0" w:color="auto"/>
        <w:right w:val="none" w:sz="0" w:space="0" w:color="auto"/>
      </w:divBdr>
    </w:div>
    <w:div w:id="649673702">
      <w:bodyDiv w:val="1"/>
      <w:marLeft w:val="0"/>
      <w:marRight w:val="0"/>
      <w:marTop w:val="0"/>
      <w:marBottom w:val="0"/>
      <w:divBdr>
        <w:top w:val="none" w:sz="0" w:space="0" w:color="auto"/>
        <w:left w:val="none" w:sz="0" w:space="0" w:color="auto"/>
        <w:bottom w:val="none" w:sz="0" w:space="0" w:color="auto"/>
        <w:right w:val="none" w:sz="0" w:space="0" w:color="auto"/>
      </w:divBdr>
    </w:div>
    <w:div w:id="653030934">
      <w:bodyDiv w:val="1"/>
      <w:marLeft w:val="0"/>
      <w:marRight w:val="0"/>
      <w:marTop w:val="0"/>
      <w:marBottom w:val="0"/>
      <w:divBdr>
        <w:top w:val="none" w:sz="0" w:space="0" w:color="auto"/>
        <w:left w:val="none" w:sz="0" w:space="0" w:color="auto"/>
        <w:bottom w:val="none" w:sz="0" w:space="0" w:color="auto"/>
        <w:right w:val="none" w:sz="0" w:space="0" w:color="auto"/>
      </w:divBdr>
    </w:div>
    <w:div w:id="653723592">
      <w:bodyDiv w:val="1"/>
      <w:marLeft w:val="0"/>
      <w:marRight w:val="0"/>
      <w:marTop w:val="0"/>
      <w:marBottom w:val="0"/>
      <w:divBdr>
        <w:top w:val="none" w:sz="0" w:space="0" w:color="auto"/>
        <w:left w:val="none" w:sz="0" w:space="0" w:color="auto"/>
        <w:bottom w:val="none" w:sz="0" w:space="0" w:color="auto"/>
        <w:right w:val="none" w:sz="0" w:space="0" w:color="auto"/>
      </w:divBdr>
    </w:div>
    <w:div w:id="654407803">
      <w:bodyDiv w:val="1"/>
      <w:marLeft w:val="0"/>
      <w:marRight w:val="0"/>
      <w:marTop w:val="0"/>
      <w:marBottom w:val="0"/>
      <w:divBdr>
        <w:top w:val="none" w:sz="0" w:space="0" w:color="auto"/>
        <w:left w:val="none" w:sz="0" w:space="0" w:color="auto"/>
        <w:bottom w:val="none" w:sz="0" w:space="0" w:color="auto"/>
        <w:right w:val="none" w:sz="0" w:space="0" w:color="auto"/>
      </w:divBdr>
    </w:div>
    <w:div w:id="654574958">
      <w:bodyDiv w:val="1"/>
      <w:marLeft w:val="0"/>
      <w:marRight w:val="0"/>
      <w:marTop w:val="0"/>
      <w:marBottom w:val="0"/>
      <w:divBdr>
        <w:top w:val="none" w:sz="0" w:space="0" w:color="auto"/>
        <w:left w:val="none" w:sz="0" w:space="0" w:color="auto"/>
        <w:bottom w:val="none" w:sz="0" w:space="0" w:color="auto"/>
        <w:right w:val="none" w:sz="0" w:space="0" w:color="auto"/>
      </w:divBdr>
    </w:div>
    <w:div w:id="655377624">
      <w:bodyDiv w:val="1"/>
      <w:marLeft w:val="0"/>
      <w:marRight w:val="0"/>
      <w:marTop w:val="0"/>
      <w:marBottom w:val="0"/>
      <w:divBdr>
        <w:top w:val="none" w:sz="0" w:space="0" w:color="auto"/>
        <w:left w:val="none" w:sz="0" w:space="0" w:color="auto"/>
        <w:bottom w:val="none" w:sz="0" w:space="0" w:color="auto"/>
        <w:right w:val="none" w:sz="0" w:space="0" w:color="auto"/>
      </w:divBdr>
    </w:div>
    <w:div w:id="658844491">
      <w:bodyDiv w:val="1"/>
      <w:marLeft w:val="0"/>
      <w:marRight w:val="0"/>
      <w:marTop w:val="0"/>
      <w:marBottom w:val="0"/>
      <w:divBdr>
        <w:top w:val="none" w:sz="0" w:space="0" w:color="auto"/>
        <w:left w:val="none" w:sz="0" w:space="0" w:color="auto"/>
        <w:bottom w:val="none" w:sz="0" w:space="0" w:color="auto"/>
        <w:right w:val="none" w:sz="0" w:space="0" w:color="auto"/>
      </w:divBdr>
    </w:div>
    <w:div w:id="658971307">
      <w:bodyDiv w:val="1"/>
      <w:marLeft w:val="0"/>
      <w:marRight w:val="0"/>
      <w:marTop w:val="0"/>
      <w:marBottom w:val="0"/>
      <w:divBdr>
        <w:top w:val="none" w:sz="0" w:space="0" w:color="auto"/>
        <w:left w:val="none" w:sz="0" w:space="0" w:color="auto"/>
        <w:bottom w:val="none" w:sz="0" w:space="0" w:color="auto"/>
        <w:right w:val="none" w:sz="0" w:space="0" w:color="auto"/>
      </w:divBdr>
    </w:div>
    <w:div w:id="659116639">
      <w:bodyDiv w:val="1"/>
      <w:marLeft w:val="0"/>
      <w:marRight w:val="0"/>
      <w:marTop w:val="0"/>
      <w:marBottom w:val="0"/>
      <w:divBdr>
        <w:top w:val="none" w:sz="0" w:space="0" w:color="auto"/>
        <w:left w:val="none" w:sz="0" w:space="0" w:color="auto"/>
        <w:bottom w:val="none" w:sz="0" w:space="0" w:color="auto"/>
        <w:right w:val="none" w:sz="0" w:space="0" w:color="auto"/>
      </w:divBdr>
    </w:div>
    <w:div w:id="660230069">
      <w:bodyDiv w:val="1"/>
      <w:marLeft w:val="0"/>
      <w:marRight w:val="0"/>
      <w:marTop w:val="0"/>
      <w:marBottom w:val="0"/>
      <w:divBdr>
        <w:top w:val="none" w:sz="0" w:space="0" w:color="auto"/>
        <w:left w:val="none" w:sz="0" w:space="0" w:color="auto"/>
        <w:bottom w:val="none" w:sz="0" w:space="0" w:color="auto"/>
        <w:right w:val="none" w:sz="0" w:space="0" w:color="auto"/>
      </w:divBdr>
    </w:div>
    <w:div w:id="662851599">
      <w:bodyDiv w:val="1"/>
      <w:marLeft w:val="0"/>
      <w:marRight w:val="0"/>
      <w:marTop w:val="0"/>
      <w:marBottom w:val="0"/>
      <w:divBdr>
        <w:top w:val="none" w:sz="0" w:space="0" w:color="auto"/>
        <w:left w:val="none" w:sz="0" w:space="0" w:color="auto"/>
        <w:bottom w:val="none" w:sz="0" w:space="0" w:color="auto"/>
        <w:right w:val="none" w:sz="0" w:space="0" w:color="auto"/>
      </w:divBdr>
    </w:div>
    <w:div w:id="662900850">
      <w:bodyDiv w:val="1"/>
      <w:marLeft w:val="0"/>
      <w:marRight w:val="0"/>
      <w:marTop w:val="0"/>
      <w:marBottom w:val="0"/>
      <w:divBdr>
        <w:top w:val="none" w:sz="0" w:space="0" w:color="auto"/>
        <w:left w:val="none" w:sz="0" w:space="0" w:color="auto"/>
        <w:bottom w:val="none" w:sz="0" w:space="0" w:color="auto"/>
        <w:right w:val="none" w:sz="0" w:space="0" w:color="auto"/>
      </w:divBdr>
    </w:div>
    <w:div w:id="664817478">
      <w:bodyDiv w:val="1"/>
      <w:marLeft w:val="0"/>
      <w:marRight w:val="0"/>
      <w:marTop w:val="0"/>
      <w:marBottom w:val="0"/>
      <w:divBdr>
        <w:top w:val="none" w:sz="0" w:space="0" w:color="auto"/>
        <w:left w:val="none" w:sz="0" w:space="0" w:color="auto"/>
        <w:bottom w:val="none" w:sz="0" w:space="0" w:color="auto"/>
        <w:right w:val="none" w:sz="0" w:space="0" w:color="auto"/>
      </w:divBdr>
    </w:div>
    <w:div w:id="666596512">
      <w:bodyDiv w:val="1"/>
      <w:marLeft w:val="0"/>
      <w:marRight w:val="0"/>
      <w:marTop w:val="0"/>
      <w:marBottom w:val="0"/>
      <w:divBdr>
        <w:top w:val="none" w:sz="0" w:space="0" w:color="auto"/>
        <w:left w:val="none" w:sz="0" w:space="0" w:color="auto"/>
        <w:bottom w:val="none" w:sz="0" w:space="0" w:color="auto"/>
        <w:right w:val="none" w:sz="0" w:space="0" w:color="auto"/>
      </w:divBdr>
    </w:div>
    <w:div w:id="667827048">
      <w:bodyDiv w:val="1"/>
      <w:marLeft w:val="0"/>
      <w:marRight w:val="0"/>
      <w:marTop w:val="0"/>
      <w:marBottom w:val="0"/>
      <w:divBdr>
        <w:top w:val="none" w:sz="0" w:space="0" w:color="auto"/>
        <w:left w:val="none" w:sz="0" w:space="0" w:color="auto"/>
        <w:bottom w:val="none" w:sz="0" w:space="0" w:color="auto"/>
        <w:right w:val="none" w:sz="0" w:space="0" w:color="auto"/>
      </w:divBdr>
    </w:div>
    <w:div w:id="668951196">
      <w:bodyDiv w:val="1"/>
      <w:marLeft w:val="0"/>
      <w:marRight w:val="0"/>
      <w:marTop w:val="0"/>
      <w:marBottom w:val="0"/>
      <w:divBdr>
        <w:top w:val="none" w:sz="0" w:space="0" w:color="auto"/>
        <w:left w:val="none" w:sz="0" w:space="0" w:color="auto"/>
        <w:bottom w:val="none" w:sz="0" w:space="0" w:color="auto"/>
        <w:right w:val="none" w:sz="0" w:space="0" w:color="auto"/>
      </w:divBdr>
    </w:div>
    <w:div w:id="670833066">
      <w:bodyDiv w:val="1"/>
      <w:marLeft w:val="0"/>
      <w:marRight w:val="0"/>
      <w:marTop w:val="0"/>
      <w:marBottom w:val="0"/>
      <w:divBdr>
        <w:top w:val="none" w:sz="0" w:space="0" w:color="auto"/>
        <w:left w:val="none" w:sz="0" w:space="0" w:color="auto"/>
        <w:bottom w:val="none" w:sz="0" w:space="0" w:color="auto"/>
        <w:right w:val="none" w:sz="0" w:space="0" w:color="auto"/>
      </w:divBdr>
    </w:div>
    <w:div w:id="672344644">
      <w:bodyDiv w:val="1"/>
      <w:marLeft w:val="0"/>
      <w:marRight w:val="0"/>
      <w:marTop w:val="0"/>
      <w:marBottom w:val="0"/>
      <w:divBdr>
        <w:top w:val="none" w:sz="0" w:space="0" w:color="auto"/>
        <w:left w:val="none" w:sz="0" w:space="0" w:color="auto"/>
        <w:bottom w:val="none" w:sz="0" w:space="0" w:color="auto"/>
        <w:right w:val="none" w:sz="0" w:space="0" w:color="auto"/>
      </w:divBdr>
    </w:div>
    <w:div w:id="672417100">
      <w:bodyDiv w:val="1"/>
      <w:marLeft w:val="0"/>
      <w:marRight w:val="0"/>
      <w:marTop w:val="0"/>
      <w:marBottom w:val="0"/>
      <w:divBdr>
        <w:top w:val="none" w:sz="0" w:space="0" w:color="auto"/>
        <w:left w:val="none" w:sz="0" w:space="0" w:color="auto"/>
        <w:bottom w:val="none" w:sz="0" w:space="0" w:color="auto"/>
        <w:right w:val="none" w:sz="0" w:space="0" w:color="auto"/>
      </w:divBdr>
    </w:div>
    <w:div w:id="672537876">
      <w:bodyDiv w:val="1"/>
      <w:marLeft w:val="0"/>
      <w:marRight w:val="0"/>
      <w:marTop w:val="0"/>
      <w:marBottom w:val="0"/>
      <w:divBdr>
        <w:top w:val="none" w:sz="0" w:space="0" w:color="auto"/>
        <w:left w:val="none" w:sz="0" w:space="0" w:color="auto"/>
        <w:bottom w:val="none" w:sz="0" w:space="0" w:color="auto"/>
        <w:right w:val="none" w:sz="0" w:space="0" w:color="auto"/>
      </w:divBdr>
    </w:div>
    <w:div w:id="672807587">
      <w:bodyDiv w:val="1"/>
      <w:marLeft w:val="0"/>
      <w:marRight w:val="0"/>
      <w:marTop w:val="0"/>
      <w:marBottom w:val="0"/>
      <w:divBdr>
        <w:top w:val="none" w:sz="0" w:space="0" w:color="auto"/>
        <w:left w:val="none" w:sz="0" w:space="0" w:color="auto"/>
        <w:bottom w:val="none" w:sz="0" w:space="0" w:color="auto"/>
        <w:right w:val="none" w:sz="0" w:space="0" w:color="auto"/>
      </w:divBdr>
    </w:div>
    <w:div w:id="674117809">
      <w:bodyDiv w:val="1"/>
      <w:marLeft w:val="0"/>
      <w:marRight w:val="0"/>
      <w:marTop w:val="0"/>
      <w:marBottom w:val="0"/>
      <w:divBdr>
        <w:top w:val="none" w:sz="0" w:space="0" w:color="auto"/>
        <w:left w:val="none" w:sz="0" w:space="0" w:color="auto"/>
        <w:bottom w:val="none" w:sz="0" w:space="0" w:color="auto"/>
        <w:right w:val="none" w:sz="0" w:space="0" w:color="auto"/>
      </w:divBdr>
    </w:div>
    <w:div w:id="674185026">
      <w:bodyDiv w:val="1"/>
      <w:marLeft w:val="0"/>
      <w:marRight w:val="0"/>
      <w:marTop w:val="0"/>
      <w:marBottom w:val="0"/>
      <w:divBdr>
        <w:top w:val="none" w:sz="0" w:space="0" w:color="auto"/>
        <w:left w:val="none" w:sz="0" w:space="0" w:color="auto"/>
        <w:bottom w:val="none" w:sz="0" w:space="0" w:color="auto"/>
        <w:right w:val="none" w:sz="0" w:space="0" w:color="auto"/>
      </w:divBdr>
    </w:div>
    <w:div w:id="674842225">
      <w:bodyDiv w:val="1"/>
      <w:marLeft w:val="0"/>
      <w:marRight w:val="0"/>
      <w:marTop w:val="0"/>
      <w:marBottom w:val="0"/>
      <w:divBdr>
        <w:top w:val="none" w:sz="0" w:space="0" w:color="auto"/>
        <w:left w:val="none" w:sz="0" w:space="0" w:color="auto"/>
        <w:bottom w:val="none" w:sz="0" w:space="0" w:color="auto"/>
        <w:right w:val="none" w:sz="0" w:space="0" w:color="auto"/>
      </w:divBdr>
    </w:div>
    <w:div w:id="675115575">
      <w:bodyDiv w:val="1"/>
      <w:marLeft w:val="0"/>
      <w:marRight w:val="0"/>
      <w:marTop w:val="0"/>
      <w:marBottom w:val="0"/>
      <w:divBdr>
        <w:top w:val="none" w:sz="0" w:space="0" w:color="auto"/>
        <w:left w:val="none" w:sz="0" w:space="0" w:color="auto"/>
        <w:bottom w:val="none" w:sz="0" w:space="0" w:color="auto"/>
        <w:right w:val="none" w:sz="0" w:space="0" w:color="auto"/>
      </w:divBdr>
    </w:div>
    <w:div w:id="675156693">
      <w:bodyDiv w:val="1"/>
      <w:marLeft w:val="0"/>
      <w:marRight w:val="0"/>
      <w:marTop w:val="0"/>
      <w:marBottom w:val="0"/>
      <w:divBdr>
        <w:top w:val="none" w:sz="0" w:space="0" w:color="auto"/>
        <w:left w:val="none" w:sz="0" w:space="0" w:color="auto"/>
        <w:bottom w:val="none" w:sz="0" w:space="0" w:color="auto"/>
        <w:right w:val="none" w:sz="0" w:space="0" w:color="auto"/>
      </w:divBdr>
    </w:div>
    <w:div w:id="675500410">
      <w:bodyDiv w:val="1"/>
      <w:marLeft w:val="0"/>
      <w:marRight w:val="0"/>
      <w:marTop w:val="0"/>
      <w:marBottom w:val="0"/>
      <w:divBdr>
        <w:top w:val="none" w:sz="0" w:space="0" w:color="auto"/>
        <w:left w:val="none" w:sz="0" w:space="0" w:color="auto"/>
        <w:bottom w:val="none" w:sz="0" w:space="0" w:color="auto"/>
        <w:right w:val="none" w:sz="0" w:space="0" w:color="auto"/>
      </w:divBdr>
    </w:div>
    <w:div w:id="675960162">
      <w:bodyDiv w:val="1"/>
      <w:marLeft w:val="0"/>
      <w:marRight w:val="0"/>
      <w:marTop w:val="0"/>
      <w:marBottom w:val="0"/>
      <w:divBdr>
        <w:top w:val="none" w:sz="0" w:space="0" w:color="auto"/>
        <w:left w:val="none" w:sz="0" w:space="0" w:color="auto"/>
        <w:bottom w:val="none" w:sz="0" w:space="0" w:color="auto"/>
        <w:right w:val="none" w:sz="0" w:space="0" w:color="auto"/>
      </w:divBdr>
    </w:div>
    <w:div w:id="677924656">
      <w:bodyDiv w:val="1"/>
      <w:marLeft w:val="0"/>
      <w:marRight w:val="0"/>
      <w:marTop w:val="0"/>
      <w:marBottom w:val="0"/>
      <w:divBdr>
        <w:top w:val="none" w:sz="0" w:space="0" w:color="auto"/>
        <w:left w:val="none" w:sz="0" w:space="0" w:color="auto"/>
        <w:bottom w:val="none" w:sz="0" w:space="0" w:color="auto"/>
        <w:right w:val="none" w:sz="0" w:space="0" w:color="auto"/>
      </w:divBdr>
    </w:div>
    <w:div w:id="677999171">
      <w:bodyDiv w:val="1"/>
      <w:marLeft w:val="0"/>
      <w:marRight w:val="0"/>
      <w:marTop w:val="0"/>
      <w:marBottom w:val="0"/>
      <w:divBdr>
        <w:top w:val="none" w:sz="0" w:space="0" w:color="auto"/>
        <w:left w:val="none" w:sz="0" w:space="0" w:color="auto"/>
        <w:bottom w:val="none" w:sz="0" w:space="0" w:color="auto"/>
        <w:right w:val="none" w:sz="0" w:space="0" w:color="auto"/>
      </w:divBdr>
    </w:div>
    <w:div w:id="680201014">
      <w:bodyDiv w:val="1"/>
      <w:marLeft w:val="0"/>
      <w:marRight w:val="0"/>
      <w:marTop w:val="0"/>
      <w:marBottom w:val="0"/>
      <w:divBdr>
        <w:top w:val="none" w:sz="0" w:space="0" w:color="auto"/>
        <w:left w:val="none" w:sz="0" w:space="0" w:color="auto"/>
        <w:bottom w:val="none" w:sz="0" w:space="0" w:color="auto"/>
        <w:right w:val="none" w:sz="0" w:space="0" w:color="auto"/>
      </w:divBdr>
    </w:div>
    <w:div w:id="680929853">
      <w:bodyDiv w:val="1"/>
      <w:marLeft w:val="0"/>
      <w:marRight w:val="0"/>
      <w:marTop w:val="0"/>
      <w:marBottom w:val="0"/>
      <w:divBdr>
        <w:top w:val="none" w:sz="0" w:space="0" w:color="auto"/>
        <w:left w:val="none" w:sz="0" w:space="0" w:color="auto"/>
        <w:bottom w:val="none" w:sz="0" w:space="0" w:color="auto"/>
        <w:right w:val="none" w:sz="0" w:space="0" w:color="auto"/>
      </w:divBdr>
    </w:div>
    <w:div w:id="681474013">
      <w:bodyDiv w:val="1"/>
      <w:marLeft w:val="0"/>
      <w:marRight w:val="0"/>
      <w:marTop w:val="0"/>
      <w:marBottom w:val="0"/>
      <w:divBdr>
        <w:top w:val="none" w:sz="0" w:space="0" w:color="auto"/>
        <w:left w:val="none" w:sz="0" w:space="0" w:color="auto"/>
        <w:bottom w:val="none" w:sz="0" w:space="0" w:color="auto"/>
        <w:right w:val="none" w:sz="0" w:space="0" w:color="auto"/>
      </w:divBdr>
    </w:div>
    <w:div w:id="683358707">
      <w:bodyDiv w:val="1"/>
      <w:marLeft w:val="0"/>
      <w:marRight w:val="0"/>
      <w:marTop w:val="0"/>
      <w:marBottom w:val="0"/>
      <w:divBdr>
        <w:top w:val="none" w:sz="0" w:space="0" w:color="auto"/>
        <w:left w:val="none" w:sz="0" w:space="0" w:color="auto"/>
        <w:bottom w:val="none" w:sz="0" w:space="0" w:color="auto"/>
        <w:right w:val="none" w:sz="0" w:space="0" w:color="auto"/>
      </w:divBdr>
    </w:div>
    <w:div w:id="685905563">
      <w:bodyDiv w:val="1"/>
      <w:marLeft w:val="0"/>
      <w:marRight w:val="0"/>
      <w:marTop w:val="0"/>
      <w:marBottom w:val="0"/>
      <w:divBdr>
        <w:top w:val="none" w:sz="0" w:space="0" w:color="auto"/>
        <w:left w:val="none" w:sz="0" w:space="0" w:color="auto"/>
        <w:bottom w:val="none" w:sz="0" w:space="0" w:color="auto"/>
        <w:right w:val="none" w:sz="0" w:space="0" w:color="auto"/>
      </w:divBdr>
    </w:div>
    <w:div w:id="686062535">
      <w:bodyDiv w:val="1"/>
      <w:marLeft w:val="0"/>
      <w:marRight w:val="0"/>
      <w:marTop w:val="0"/>
      <w:marBottom w:val="0"/>
      <w:divBdr>
        <w:top w:val="none" w:sz="0" w:space="0" w:color="auto"/>
        <w:left w:val="none" w:sz="0" w:space="0" w:color="auto"/>
        <w:bottom w:val="none" w:sz="0" w:space="0" w:color="auto"/>
        <w:right w:val="none" w:sz="0" w:space="0" w:color="auto"/>
      </w:divBdr>
    </w:div>
    <w:div w:id="687102444">
      <w:bodyDiv w:val="1"/>
      <w:marLeft w:val="0"/>
      <w:marRight w:val="0"/>
      <w:marTop w:val="0"/>
      <w:marBottom w:val="0"/>
      <w:divBdr>
        <w:top w:val="none" w:sz="0" w:space="0" w:color="auto"/>
        <w:left w:val="none" w:sz="0" w:space="0" w:color="auto"/>
        <w:bottom w:val="none" w:sz="0" w:space="0" w:color="auto"/>
        <w:right w:val="none" w:sz="0" w:space="0" w:color="auto"/>
      </w:divBdr>
    </w:div>
    <w:div w:id="687563128">
      <w:bodyDiv w:val="1"/>
      <w:marLeft w:val="0"/>
      <w:marRight w:val="0"/>
      <w:marTop w:val="0"/>
      <w:marBottom w:val="0"/>
      <w:divBdr>
        <w:top w:val="none" w:sz="0" w:space="0" w:color="auto"/>
        <w:left w:val="none" w:sz="0" w:space="0" w:color="auto"/>
        <w:bottom w:val="none" w:sz="0" w:space="0" w:color="auto"/>
        <w:right w:val="none" w:sz="0" w:space="0" w:color="auto"/>
      </w:divBdr>
    </w:div>
    <w:div w:id="689379354">
      <w:bodyDiv w:val="1"/>
      <w:marLeft w:val="0"/>
      <w:marRight w:val="0"/>
      <w:marTop w:val="0"/>
      <w:marBottom w:val="0"/>
      <w:divBdr>
        <w:top w:val="none" w:sz="0" w:space="0" w:color="auto"/>
        <w:left w:val="none" w:sz="0" w:space="0" w:color="auto"/>
        <w:bottom w:val="none" w:sz="0" w:space="0" w:color="auto"/>
        <w:right w:val="none" w:sz="0" w:space="0" w:color="auto"/>
      </w:divBdr>
    </w:div>
    <w:div w:id="689768885">
      <w:bodyDiv w:val="1"/>
      <w:marLeft w:val="0"/>
      <w:marRight w:val="0"/>
      <w:marTop w:val="0"/>
      <w:marBottom w:val="0"/>
      <w:divBdr>
        <w:top w:val="none" w:sz="0" w:space="0" w:color="auto"/>
        <w:left w:val="none" w:sz="0" w:space="0" w:color="auto"/>
        <w:bottom w:val="none" w:sz="0" w:space="0" w:color="auto"/>
        <w:right w:val="none" w:sz="0" w:space="0" w:color="auto"/>
      </w:divBdr>
    </w:div>
    <w:div w:id="691419606">
      <w:bodyDiv w:val="1"/>
      <w:marLeft w:val="0"/>
      <w:marRight w:val="0"/>
      <w:marTop w:val="0"/>
      <w:marBottom w:val="0"/>
      <w:divBdr>
        <w:top w:val="none" w:sz="0" w:space="0" w:color="auto"/>
        <w:left w:val="none" w:sz="0" w:space="0" w:color="auto"/>
        <w:bottom w:val="none" w:sz="0" w:space="0" w:color="auto"/>
        <w:right w:val="none" w:sz="0" w:space="0" w:color="auto"/>
      </w:divBdr>
    </w:div>
    <w:div w:id="692993280">
      <w:bodyDiv w:val="1"/>
      <w:marLeft w:val="0"/>
      <w:marRight w:val="0"/>
      <w:marTop w:val="0"/>
      <w:marBottom w:val="0"/>
      <w:divBdr>
        <w:top w:val="none" w:sz="0" w:space="0" w:color="auto"/>
        <w:left w:val="none" w:sz="0" w:space="0" w:color="auto"/>
        <w:bottom w:val="none" w:sz="0" w:space="0" w:color="auto"/>
        <w:right w:val="none" w:sz="0" w:space="0" w:color="auto"/>
      </w:divBdr>
    </w:div>
    <w:div w:id="693190236">
      <w:bodyDiv w:val="1"/>
      <w:marLeft w:val="0"/>
      <w:marRight w:val="0"/>
      <w:marTop w:val="0"/>
      <w:marBottom w:val="0"/>
      <w:divBdr>
        <w:top w:val="none" w:sz="0" w:space="0" w:color="auto"/>
        <w:left w:val="none" w:sz="0" w:space="0" w:color="auto"/>
        <w:bottom w:val="none" w:sz="0" w:space="0" w:color="auto"/>
        <w:right w:val="none" w:sz="0" w:space="0" w:color="auto"/>
      </w:divBdr>
    </w:div>
    <w:div w:id="694309782">
      <w:bodyDiv w:val="1"/>
      <w:marLeft w:val="0"/>
      <w:marRight w:val="0"/>
      <w:marTop w:val="0"/>
      <w:marBottom w:val="0"/>
      <w:divBdr>
        <w:top w:val="none" w:sz="0" w:space="0" w:color="auto"/>
        <w:left w:val="none" w:sz="0" w:space="0" w:color="auto"/>
        <w:bottom w:val="none" w:sz="0" w:space="0" w:color="auto"/>
        <w:right w:val="none" w:sz="0" w:space="0" w:color="auto"/>
      </w:divBdr>
    </w:div>
    <w:div w:id="695890082">
      <w:bodyDiv w:val="1"/>
      <w:marLeft w:val="0"/>
      <w:marRight w:val="0"/>
      <w:marTop w:val="0"/>
      <w:marBottom w:val="0"/>
      <w:divBdr>
        <w:top w:val="none" w:sz="0" w:space="0" w:color="auto"/>
        <w:left w:val="none" w:sz="0" w:space="0" w:color="auto"/>
        <w:bottom w:val="none" w:sz="0" w:space="0" w:color="auto"/>
        <w:right w:val="none" w:sz="0" w:space="0" w:color="auto"/>
      </w:divBdr>
    </w:div>
    <w:div w:id="696545281">
      <w:bodyDiv w:val="1"/>
      <w:marLeft w:val="0"/>
      <w:marRight w:val="0"/>
      <w:marTop w:val="0"/>
      <w:marBottom w:val="0"/>
      <w:divBdr>
        <w:top w:val="none" w:sz="0" w:space="0" w:color="auto"/>
        <w:left w:val="none" w:sz="0" w:space="0" w:color="auto"/>
        <w:bottom w:val="none" w:sz="0" w:space="0" w:color="auto"/>
        <w:right w:val="none" w:sz="0" w:space="0" w:color="auto"/>
      </w:divBdr>
    </w:div>
    <w:div w:id="697387830">
      <w:bodyDiv w:val="1"/>
      <w:marLeft w:val="0"/>
      <w:marRight w:val="0"/>
      <w:marTop w:val="0"/>
      <w:marBottom w:val="0"/>
      <w:divBdr>
        <w:top w:val="none" w:sz="0" w:space="0" w:color="auto"/>
        <w:left w:val="none" w:sz="0" w:space="0" w:color="auto"/>
        <w:bottom w:val="none" w:sz="0" w:space="0" w:color="auto"/>
        <w:right w:val="none" w:sz="0" w:space="0" w:color="auto"/>
      </w:divBdr>
    </w:div>
    <w:div w:id="697779833">
      <w:bodyDiv w:val="1"/>
      <w:marLeft w:val="0"/>
      <w:marRight w:val="0"/>
      <w:marTop w:val="0"/>
      <w:marBottom w:val="0"/>
      <w:divBdr>
        <w:top w:val="none" w:sz="0" w:space="0" w:color="auto"/>
        <w:left w:val="none" w:sz="0" w:space="0" w:color="auto"/>
        <w:bottom w:val="none" w:sz="0" w:space="0" w:color="auto"/>
        <w:right w:val="none" w:sz="0" w:space="0" w:color="auto"/>
      </w:divBdr>
    </w:div>
    <w:div w:id="698822023">
      <w:bodyDiv w:val="1"/>
      <w:marLeft w:val="0"/>
      <w:marRight w:val="0"/>
      <w:marTop w:val="0"/>
      <w:marBottom w:val="0"/>
      <w:divBdr>
        <w:top w:val="none" w:sz="0" w:space="0" w:color="auto"/>
        <w:left w:val="none" w:sz="0" w:space="0" w:color="auto"/>
        <w:bottom w:val="none" w:sz="0" w:space="0" w:color="auto"/>
        <w:right w:val="none" w:sz="0" w:space="0" w:color="auto"/>
      </w:divBdr>
    </w:div>
    <w:div w:id="701594100">
      <w:bodyDiv w:val="1"/>
      <w:marLeft w:val="0"/>
      <w:marRight w:val="0"/>
      <w:marTop w:val="0"/>
      <w:marBottom w:val="0"/>
      <w:divBdr>
        <w:top w:val="none" w:sz="0" w:space="0" w:color="auto"/>
        <w:left w:val="none" w:sz="0" w:space="0" w:color="auto"/>
        <w:bottom w:val="none" w:sz="0" w:space="0" w:color="auto"/>
        <w:right w:val="none" w:sz="0" w:space="0" w:color="auto"/>
      </w:divBdr>
    </w:div>
    <w:div w:id="701782057">
      <w:bodyDiv w:val="1"/>
      <w:marLeft w:val="0"/>
      <w:marRight w:val="0"/>
      <w:marTop w:val="0"/>
      <w:marBottom w:val="0"/>
      <w:divBdr>
        <w:top w:val="none" w:sz="0" w:space="0" w:color="auto"/>
        <w:left w:val="none" w:sz="0" w:space="0" w:color="auto"/>
        <w:bottom w:val="none" w:sz="0" w:space="0" w:color="auto"/>
        <w:right w:val="none" w:sz="0" w:space="0" w:color="auto"/>
      </w:divBdr>
    </w:div>
    <w:div w:id="702900606">
      <w:bodyDiv w:val="1"/>
      <w:marLeft w:val="0"/>
      <w:marRight w:val="0"/>
      <w:marTop w:val="0"/>
      <w:marBottom w:val="0"/>
      <w:divBdr>
        <w:top w:val="none" w:sz="0" w:space="0" w:color="auto"/>
        <w:left w:val="none" w:sz="0" w:space="0" w:color="auto"/>
        <w:bottom w:val="none" w:sz="0" w:space="0" w:color="auto"/>
        <w:right w:val="none" w:sz="0" w:space="0" w:color="auto"/>
      </w:divBdr>
    </w:div>
    <w:div w:id="703209647">
      <w:bodyDiv w:val="1"/>
      <w:marLeft w:val="0"/>
      <w:marRight w:val="0"/>
      <w:marTop w:val="0"/>
      <w:marBottom w:val="0"/>
      <w:divBdr>
        <w:top w:val="none" w:sz="0" w:space="0" w:color="auto"/>
        <w:left w:val="none" w:sz="0" w:space="0" w:color="auto"/>
        <w:bottom w:val="none" w:sz="0" w:space="0" w:color="auto"/>
        <w:right w:val="none" w:sz="0" w:space="0" w:color="auto"/>
      </w:divBdr>
    </w:div>
    <w:div w:id="703334664">
      <w:bodyDiv w:val="1"/>
      <w:marLeft w:val="0"/>
      <w:marRight w:val="0"/>
      <w:marTop w:val="0"/>
      <w:marBottom w:val="0"/>
      <w:divBdr>
        <w:top w:val="none" w:sz="0" w:space="0" w:color="auto"/>
        <w:left w:val="none" w:sz="0" w:space="0" w:color="auto"/>
        <w:bottom w:val="none" w:sz="0" w:space="0" w:color="auto"/>
        <w:right w:val="none" w:sz="0" w:space="0" w:color="auto"/>
      </w:divBdr>
    </w:div>
    <w:div w:id="706108200">
      <w:bodyDiv w:val="1"/>
      <w:marLeft w:val="0"/>
      <w:marRight w:val="0"/>
      <w:marTop w:val="0"/>
      <w:marBottom w:val="0"/>
      <w:divBdr>
        <w:top w:val="none" w:sz="0" w:space="0" w:color="auto"/>
        <w:left w:val="none" w:sz="0" w:space="0" w:color="auto"/>
        <w:bottom w:val="none" w:sz="0" w:space="0" w:color="auto"/>
        <w:right w:val="none" w:sz="0" w:space="0" w:color="auto"/>
      </w:divBdr>
    </w:div>
    <w:div w:id="706561197">
      <w:bodyDiv w:val="1"/>
      <w:marLeft w:val="0"/>
      <w:marRight w:val="0"/>
      <w:marTop w:val="0"/>
      <w:marBottom w:val="0"/>
      <w:divBdr>
        <w:top w:val="none" w:sz="0" w:space="0" w:color="auto"/>
        <w:left w:val="none" w:sz="0" w:space="0" w:color="auto"/>
        <w:bottom w:val="none" w:sz="0" w:space="0" w:color="auto"/>
        <w:right w:val="none" w:sz="0" w:space="0" w:color="auto"/>
      </w:divBdr>
    </w:div>
    <w:div w:id="708606366">
      <w:bodyDiv w:val="1"/>
      <w:marLeft w:val="0"/>
      <w:marRight w:val="0"/>
      <w:marTop w:val="0"/>
      <w:marBottom w:val="0"/>
      <w:divBdr>
        <w:top w:val="none" w:sz="0" w:space="0" w:color="auto"/>
        <w:left w:val="none" w:sz="0" w:space="0" w:color="auto"/>
        <w:bottom w:val="none" w:sz="0" w:space="0" w:color="auto"/>
        <w:right w:val="none" w:sz="0" w:space="0" w:color="auto"/>
      </w:divBdr>
    </w:div>
    <w:div w:id="708845389">
      <w:bodyDiv w:val="1"/>
      <w:marLeft w:val="0"/>
      <w:marRight w:val="0"/>
      <w:marTop w:val="0"/>
      <w:marBottom w:val="0"/>
      <w:divBdr>
        <w:top w:val="none" w:sz="0" w:space="0" w:color="auto"/>
        <w:left w:val="none" w:sz="0" w:space="0" w:color="auto"/>
        <w:bottom w:val="none" w:sz="0" w:space="0" w:color="auto"/>
        <w:right w:val="none" w:sz="0" w:space="0" w:color="auto"/>
      </w:divBdr>
    </w:div>
    <w:div w:id="710155061">
      <w:bodyDiv w:val="1"/>
      <w:marLeft w:val="0"/>
      <w:marRight w:val="0"/>
      <w:marTop w:val="0"/>
      <w:marBottom w:val="0"/>
      <w:divBdr>
        <w:top w:val="none" w:sz="0" w:space="0" w:color="auto"/>
        <w:left w:val="none" w:sz="0" w:space="0" w:color="auto"/>
        <w:bottom w:val="none" w:sz="0" w:space="0" w:color="auto"/>
        <w:right w:val="none" w:sz="0" w:space="0" w:color="auto"/>
      </w:divBdr>
    </w:div>
    <w:div w:id="711273289">
      <w:bodyDiv w:val="1"/>
      <w:marLeft w:val="0"/>
      <w:marRight w:val="0"/>
      <w:marTop w:val="0"/>
      <w:marBottom w:val="0"/>
      <w:divBdr>
        <w:top w:val="none" w:sz="0" w:space="0" w:color="auto"/>
        <w:left w:val="none" w:sz="0" w:space="0" w:color="auto"/>
        <w:bottom w:val="none" w:sz="0" w:space="0" w:color="auto"/>
        <w:right w:val="none" w:sz="0" w:space="0" w:color="auto"/>
      </w:divBdr>
    </w:div>
    <w:div w:id="711853443">
      <w:bodyDiv w:val="1"/>
      <w:marLeft w:val="0"/>
      <w:marRight w:val="0"/>
      <w:marTop w:val="0"/>
      <w:marBottom w:val="0"/>
      <w:divBdr>
        <w:top w:val="none" w:sz="0" w:space="0" w:color="auto"/>
        <w:left w:val="none" w:sz="0" w:space="0" w:color="auto"/>
        <w:bottom w:val="none" w:sz="0" w:space="0" w:color="auto"/>
        <w:right w:val="none" w:sz="0" w:space="0" w:color="auto"/>
      </w:divBdr>
    </w:div>
    <w:div w:id="712577598">
      <w:bodyDiv w:val="1"/>
      <w:marLeft w:val="0"/>
      <w:marRight w:val="0"/>
      <w:marTop w:val="0"/>
      <w:marBottom w:val="0"/>
      <w:divBdr>
        <w:top w:val="none" w:sz="0" w:space="0" w:color="auto"/>
        <w:left w:val="none" w:sz="0" w:space="0" w:color="auto"/>
        <w:bottom w:val="none" w:sz="0" w:space="0" w:color="auto"/>
        <w:right w:val="none" w:sz="0" w:space="0" w:color="auto"/>
      </w:divBdr>
    </w:div>
    <w:div w:id="713120616">
      <w:bodyDiv w:val="1"/>
      <w:marLeft w:val="0"/>
      <w:marRight w:val="0"/>
      <w:marTop w:val="0"/>
      <w:marBottom w:val="0"/>
      <w:divBdr>
        <w:top w:val="none" w:sz="0" w:space="0" w:color="auto"/>
        <w:left w:val="none" w:sz="0" w:space="0" w:color="auto"/>
        <w:bottom w:val="none" w:sz="0" w:space="0" w:color="auto"/>
        <w:right w:val="none" w:sz="0" w:space="0" w:color="auto"/>
      </w:divBdr>
    </w:div>
    <w:div w:id="715087499">
      <w:bodyDiv w:val="1"/>
      <w:marLeft w:val="0"/>
      <w:marRight w:val="0"/>
      <w:marTop w:val="0"/>
      <w:marBottom w:val="0"/>
      <w:divBdr>
        <w:top w:val="none" w:sz="0" w:space="0" w:color="auto"/>
        <w:left w:val="none" w:sz="0" w:space="0" w:color="auto"/>
        <w:bottom w:val="none" w:sz="0" w:space="0" w:color="auto"/>
        <w:right w:val="none" w:sz="0" w:space="0" w:color="auto"/>
      </w:divBdr>
    </w:div>
    <w:div w:id="715474673">
      <w:bodyDiv w:val="1"/>
      <w:marLeft w:val="0"/>
      <w:marRight w:val="0"/>
      <w:marTop w:val="0"/>
      <w:marBottom w:val="0"/>
      <w:divBdr>
        <w:top w:val="none" w:sz="0" w:space="0" w:color="auto"/>
        <w:left w:val="none" w:sz="0" w:space="0" w:color="auto"/>
        <w:bottom w:val="none" w:sz="0" w:space="0" w:color="auto"/>
        <w:right w:val="none" w:sz="0" w:space="0" w:color="auto"/>
      </w:divBdr>
    </w:div>
    <w:div w:id="715590074">
      <w:bodyDiv w:val="1"/>
      <w:marLeft w:val="0"/>
      <w:marRight w:val="0"/>
      <w:marTop w:val="0"/>
      <w:marBottom w:val="0"/>
      <w:divBdr>
        <w:top w:val="none" w:sz="0" w:space="0" w:color="auto"/>
        <w:left w:val="none" w:sz="0" w:space="0" w:color="auto"/>
        <w:bottom w:val="none" w:sz="0" w:space="0" w:color="auto"/>
        <w:right w:val="none" w:sz="0" w:space="0" w:color="auto"/>
      </w:divBdr>
    </w:div>
    <w:div w:id="716779739">
      <w:bodyDiv w:val="1"/>
      <w:marLeft w:val="0"/>
      <w:marRight w:val="0"/>
      <w:marTop w:val="0"/>
      <w:marBottom w:val="0"/>
      <w:divBdr>
        <w:top w:val="none" w:sz="0" w:space="0" w:color="auto"/>
        <w:left w:val="none" w:sz="0" w:space="0" w:color="auto"/>
        <w:bottom w:val="none" w:sz="0" w:space="0" w:color="auto"/>
        <w:right w:val="none" w:sz="0" w:space="0" w:color="auto"/>
      </w:divBdr>
    </w:div>
    <w:div w:id="717364073">
      <w:bodyDiv w:val="1"/>
      <w:marLeft w:val="0"/>
      <w:marRight w:val="0"/>
      <w:marTop w:val="0"/>
      <w:marBottom w:val="0"/>
      <w:divBdr>
        <w:top w:val="none" w:sz="0" w:space="0" w:color="auto"/>
        <w:left w:val="none" w:sz="0" w:space="0" w:color="auto"/>
        <w:bottom w:val="none" w:sz="0" w:space="0" w:color="auto"/>
        <w:right w:val="none" w:sz="0" w:space="0" w:color="auto"/>
      </w:divBdr>
    </w:div>
    <w:div w:id="718674629">
      <w:bodyDiv w:val="1"/>
      <w:marLeft w:val="0"/>
      <w:marRight w:val="0"/>
      <w:marTop w:val="0"/>
      <w:marBottom w:val="0"/>
      <w:divBdr>
        <w:top w:val="none" w:sz="0" w:space="0" w:color="auto"/>
        <w:left w:val="none" w:sz="0" w:space="0" w:color="auto"/>
        <w:bottom w:val="none" w:sz="0" w:space="0" w:color="auto"/>
        <w:right w:val="none" w:sz="0" w:space="0" w:color="auto"/>
      </w:divBdr>
    </w:div>
    <w:div w:id="718826204">
      <w:bodyDiv w:val="1"/>
      <w:marLeft w:val="0"/>
      <w:marRight w:val="0"/>
      <w:marTop w:val="0"/>
      <w:marBottom w:val="0"/>
      <w:divBdr>
        <w:top w:val="none" w:sz="0" w:space="0" w:color="auto"/>
        <w:left w:val="none" w:sz="0" w:space="0" w:color="auto"/>
        <w:bottom w:val="none" w:sz="0" w:space="0" w:color="auto"/>
        <w:right w:val="none" w:sz="0" w:space="0" w:color="auto"/>
      </w:divBdr>
    </w:div>
    <w:div w:id="719011543">
      <w:bodyDiv w:val="1"/>
      <w:marLeft w:val="0"/>
      <w:marRight w:val="0"/>
      <w:marTop w:val="0"/>
      <w:marBottom w:val="0"/>
      <w:divBdr>
        <w:top w:val="none" w:sz="0" w:space="0" w:color="auto"/>
        <w:left w:val="none" w:sz="0" w:space="0" w:color="auto"/>
        <w:bottom w:val="none" w:sz="0" w:space="0" w:color="auto"/>
        <w:right w:val="none" w:sz="0" w:space="0" w:color="auto"/>
      </w:divBdr>
    </w:div>
    <w:div w:id="719209183">
      <w:bodyDiv w:val="1"/>
      <w:marLeft w:val="0"/>
      <w:marRight w:val="0"/>
      <w:marTop w:val="0"/>
      <w:marBottom w:val="0"/>
      <w:divBdr>
        <w:top w:val="none" w:sz="0" w:space="0" w:color="auto"/>
        <w:left w:val="none" w:sz="0" w:space="0" w:color="auto"/>
        <w:bottom w:val="none" w:sz="0" w:space="0" w:color="auto"/>
        <w:right w:val="none" w:sz="0" w:space="0" w:color="auto"/>
      </w:divBdr>
    </w:div>
    <w:div w:id="721103773">
      <w:bodyDiv w:val="1"/>
      <w:marLeft w:val="0"/>
      <w:marRight w:val="0"/>
      <w:marTop w:val="0"/>
      <w:marBottom w:val="0"/>
      <w:divBdr>
        <w:top w:val="none" w:sz="0" w:space="0" w:color="auto"/>
        <w:left w:val="none" w:sz="0" w:space="0" w:color="auto"/>
        <w:bottom w:val="none" w:sz="0" w:space="0" w:color="auto"/>
        <w:right w:val="none" w:sz="0" w:space="0" w:color="auto"/>
      </w:divBdr>
    </w:div>
    <w:div w:id="722025531">
      <w:bodyDiv w:val="1"/>
      <w:marLeft w:val="0"/>
      <w:marRight w:val="0"/>
      <w:marTop w:val="0"/>
      <w:marBottom w:val="0"/>
      <w:divBdr>
        <w:top w:val="none" w:sz="0" w:space="0" w:color="auto"/>
        <w:left w:val="none" w:sz="0" w:space="0" w:color="auto"/>
        <w:bottom w:val="none" w:sz="0" w:space="0" w:color="auto"/>
        <w:right w:val="none" w:sz="0" w:space="0" w:color="auto"/>
      </w:divBdr>
    </w:div>
    <w:div w:id="723529776">
      <w:bodyDiv w:val="1"/>
      <w:marLeft w:val="0"/>
      <w:marRight w:val="0"/>
      <w:marTop w:val="0"/>
      <w:marBottom w:val="0"/>
      <w:divBdr>
        <w:top w:val="none" w:sz="0" w:space="0" w:color="auto"/>
        <w:left w:val="none" w:sz="0" w:space="0" w:color="auto"/>
        <w:bottom w:val="none" w:sz="0" w:space="0" w:color="auto"/>
        <w:right w:val="none" w:sz="0" w:space="0" w:color="auto"/>
      </w:divBdr>
    </w:div>
    <w:div w:id="723718140">
      <w:bodyDiv w:val="1"/>
      <w:marLeft w:val="0"/>
      <w:marRight w:val="0"/>
      <w:marTop w:val="0"/>
      <w:marBottom w:val="0"/>
      <w:divBdr>
        <w:top w:val="none" w:sz="0" w:space="0" w:color="auto"/>
        <w:left w:val="none" w:sz="0" w:space="0" w:color="auto"/>
        <w:bottom w:val="none" w:sz="0" w:space="0" w:color="auto"/>
        <w:right w:val="none" w:sz="0" w:space="0" w:color="auto"/>
      </w:divBdr>
    </w:div>
    <w:div w:id="724721906">
      <w:bodyDiv w:val="1"/>
      <w:marLeft w:val="0"/>
      <w:marRight w:val="0"/>
      <w:marTop w:val="0"/>
      <w:marBottom w:val="0"/>
      <w:divBdr>
        <w:top w:val="none" w:sz="0" w:space="0" w:color="auto"/>
        <w:left w:val="none" w:sz="0" w:space="0" w:color="auto"/>
        <w:bottom w:val="none" w:sz="0" w:space="0" w:color="auto"/>
        <w:right w:val="none" w:sz="0" w:space="0" w:color="auto"/>
      </w:divBdr>
    </w:div>
    <w:div w:id="724984503">
      <w:bodyDiv w:val="1"/>
      <w:marLeft w:val="0"/>
      <w:marRight w:val="0"/>
      <w:marTop w:val="0"/>
      <w:marBottom w:val="0"/>
      <w:divBdr>
        <w:top w:val="none" w:sz="0" w:space="0" w:color="auto"/>
        <w:left w:val="none" w:sz="0" w:space="0" w:color="auto"/>
        <w:bottom w:val="none" w:sz="0" w:space="0" w:color="auto"/>
        <w:right w:val="none" w:sz="0" w:space="0" w:color="auto"/>
      </w:divBdr>
    </w:div>
    <w:div w:id="725029591">
      <w:bodyDiv w:val="1"/>
      <w:marLeft w:val="0"/>
      <w:marRight w:val="0"/>
      <w:marTop w:val="0"/>
      <w:marBottom w:val="0"/>
      <w:divBdr>
        <w:top w:val="none" w:sz="0" w:space="0" w:color="auto"/>
        <w:left w:val="none" w:sz="0" w:space="0" w:color="auto"/>
        <w:bottom w:val="none" w:sz="0" w:space="0" w:color="auto"/>
        <w:right w:val="none" w:sz="0" w:space="0" w:color="auto"/>
      </w:divBdr>
    </w:div>
    <w:div w:id="725687332">
      <w:bodyDiv w:val="1"/>
      <w:marLeft w:val="0"/>
      <w:marRight w:val="0"/>
      <w:marTop w:val="0"/>
      <w:marBottom w:val="0"/>
      <w:divBdr>
        <w:top w:val="none" w:sz="0" w:space="0" w:color="auto"/>
        <w:left w:val="none" w:sz="0" w:space="0" w:color="auto"/>
        <w:bottom w:val="none" w:sz="0" w:space="0" w:color="auto"/>
        <w:right w:val="none" w:sz="0" w:space="0" w:color="auto"/>
      </w:divBdr>
    </w:div>
    <w:div w:id="726487951">
      <w:bodyDiv w:val="1"/>
      <w:marLeft w:val="0"/>
      <w:marRight w:val="0"/>
      <w:marTop w:val="0"/>
      <w:marBottom w:val="0"/>
      <w:divBdr>
        <w:top w:val="none" w:sz="0" w:space="0" w:color="auto"/>
        <w:left w:val="none" w:sz="0" w:space="0" w:color="auto"/>
        <w:bottom w:val="none" w:sz="0" w:space="0" w:color="auto"/>
        <w:right w:val="none" w:sz="0" w:space="0" w:color="auto"/>
      </w:divBdr>
    </w:div>
    <w:div w:id="727193899">
      <w:bodyDiv w:val="1"/>
      <w:marLeft w:val="0"/>
      <w:marRight w:val="0"/>
      <w:marTop w:val="0"/>
      <w:marBottom w:val="0"/>
      <w:divBdr>
        <w:top w:val="none" w:sz="0" w:space="0" w:color="auto"/>
        <w:left w:val="none" w:sz="0" w:space="0" w:color="auto"/>
        <w:bottom w:val="none" w:sz="0" w:space="0" w:color="auto"/>
        <w:right w:val="none" w:sz="0" w:space="0" w:color="auto"/>
      </w:divBdr>
    </w:div>
    <w:div w:id="730349955">
      <w:bodyDiv w:val="1"/>
      <w:marLeft w:val="0"/>
      <w:marRight w:val="0"/>
      <w:marTop w:val="0"/>
      <w:marBottom w:val="0"/>
      <w:divBdr>
        <w:top w:val="none" w:sz="0" w:space="0" w:color="auto"/>
        <w:left w:val="none" w:sz="0" w:space="0" w:color="auto"/>
        <w:bottom w:val="none" w:sz="0" w:space="0" w:color="auto"/>
        <w:right w:val="none" w:sz="0" w:space="0" w:color="auto"/>
      </w:divBdr>
    </w:div>
    <w:div w:id="730428333">
      <w:bodyDiv w:val="1"/>
      <w:marLeft w:val="0"/>
      <w:marRight w:val="0"/>
      <w:marTop w:val="0"/>
      <w:marBottom w:val="0"/>
      <w:divBdr>
        <w:top w:val="none" w:sz="0" w:space="0" w:color="auto"/>
        <w:left w:val="none" w:sz="0" w:space="0" w:color="auto"/>
        <w:bottom w:val="none" w:sz="0" w:space="0" w:color="auto"/>
        <w:right w:val="none" w:sz="0" w:space="0" w:color="auto"/>
      </w:divBdr>
    </w:div>
    <w:div w:id="731781584">
      <w:bodyDiv w:val="1"/>
      <w:marLeft w:val="0"/>
      <w:marRight w:val="0"/>
      <w:marTop w:val="0"/>
      <w:marBottom w:val="0"/>
      <w:divBdr>
        <w:top w:val="none" w:sz="0" w:space="0" w:color="auto"/>
        <w:left w:val="none" w:sz="0" w:space="0" w:color="auto"/>
        <w:bottom w:val="none" w:sz="0" w:space="0" w:color="auto"/>
        <w:right w:val="none" w:sz="0" w:space="0" w:color="auto"/>
      </w:divBdr>
    </w:div>
    <w:div w:id="732775812">
      <w:bodyDiv w:val="1"/>
      <w:marLeft w:val="0"/>
      <w:marRight w:val="0"/>
      <w:marTop w:val="0"/>
      <w:marBottom w:val="0"/>
      <w:divBdr>
        <w:top w:val="none" w:sz="0" w:space="0" w:color="auto"/>
        <w:left w:val="none" w:sz="0" w:space="0" w:color="auto"/>
        <w:bottom w:val="none" w:sz="0" w:space="0" w:color="auto"/>
        <w:right w:val="none" w:sz="0" w:space="0" w:color="auto"/>
      </w:divBdr>
    </w:div>
    <w:div w:id="733165999">
      <w:bodyDiv w:val="1"/>
      <w:marLeft w:val="0"/>
      <w:marRight w:val="0"/>
      <w:marTop w:val="0"/>
      <w:marBottom w:val="0"/>
      <w:divBdr>
        <w:top w:val="none" w:sz="0" w:space="0" w:color="auto"/>
        <w:left w:val="none" w:sz="0" w:space="0" w:color="auto"/>
        <w:bottom w:val="none" w:sz="0" w:space="0" w:color="auto"/>
        <w:right w:val="none" w:sz="0" w:space="0" w:color="auto"/>
      </w:divBdr>
    </w:div>
    <w:div w:id="736709274">
      <w:bodyDiv w:val="1"/>
      <w:marLeft w:val="0"/>
      <w:marRight w:val="0"/>
      <w:marTop w:val="0"/>
      <w:marBottom w:val="0"/>
      <w:divBdr>
        <w:top w:val="none" w:sz="0" w:space="0" w:color="auto"/>
        <w:left w:val="none" w:sz="0" w:space="0" w:color="auto"/>
        <w:bottom w:val="none" w:sz="0" w:space="0" w:color="auto"/>
        <w:right w:val="none" w:sz="0" w:space="0" w:color="auto"/>
      </w:divBdr>
    </w:div>
    <w:div w:id="740951865">
      <w:bodyDiv w:val="1"/>
      <w:marLeft w:val="0"/>
      <w:marRight w:val="0"/>
      <w:marTop w:val="0"/>
      <w:marBottom w:val="0"/>
      <w:divBdr>
        <w:top w:val="none" w:sz="0" w:space="0" w:color="auto"/>
        <w:left w:val="none" w:sz="0" w:space="0" w:color="auto"/>
        <w:bottom w:val="none" w:sz="0" w:space="0" w:color="auto"/>
        <w:right w:val="none" w:sz="0" w:space="0" w:color="auto"/>
      </w:divBdr>
    </w:div>
    <w:div w:id="740952218">
      <w:bodyDiv w:val="1"/>
      <w:marLeft w:val="0"/>
      <w:marRight w:val="0"/>
      <w:marTop w:val="0"/>
      <w:marBottom w:val="0"/>
      <w:divBdr>
        <w:top w:val="none" w:sz="0" w:space="0" w:color="auto"/>
        <w:left w:val="none" w:sz="0" w:space="0" w:color="auto"/>
        <w:bottom w:val="none" w:sz="0" w:space="0" w:color="auto"/>
        <w:right w:val="none" w:sz="0" w:space="0" w:color="auto"/>
      </w:divBdr>
    </w:div>
    <w:div w:id="741221690">
      <w:bodyDiv w:val="1"/>
      <w:marLeft w:val="0"/>
      <w:marRight w:val="0"/>
      <w:marTop w:val="0"/>
      <w:marBottom w:val="0"/>
      <w:divBdr>
        <w:top w:val="none" w:sz="0" w:space="0" w:color="auto"/>
        <w:left w:val="none" w:sz="0" w:space="0" w:color="auto"/>
        <w:bottom w:val="none" w:sz="0" w:space="0" w:color="auto"/>
        <w:right w:val="none" w:sz="0" w:space="0" w:color="auto"/>
      </w:divBdr>
    </w:div>
    <w:div w:id="742337040">
      <w:bodyDiv w:val="1"/>
      <w:marLeft w:val="0"/>
      <w:marRight w:val="0"/>
      <w:marTop w:val="0"/>
      <w:marBottom w:val="0"/>
      <w:divBdr>
        <w:top w:val="none" w:sz="0" w:space="0" w:color="auto"/>
        <w:left w:val="none" w:sz="0" w:space="0" w:color="auto"/>
        <w:bottom w:val="none" w:sz="0" w:space="0" w:color="auto"/>
        <w:right w:val="none" w:sz="0" w:space="0" w:color="auto"/>
      </w:divBdr>
    </w:div>
    <w:div w:id="743070418">
      <w:bodyDiv w:val="1"/>
      <w:marLeft w:val="0"/>
      <w:marRight w:val="0"/>
      <w:marTop w:val="0"/>
      <w:marBottom w:val="0"/>
      <w:divBdr>
        <w:top w:val="none" w:sz="0" w:space="0" w:color="auto"/>
        <w:left w:val="none" w:sz="0" w:space="0" w:color="auto"/>
        <w:bottom w:val="none" w:sz="0" w:space="0" w:color="auto"/>
        <w:right w:val="none" w:sz="0" w:space="0" w:color="auto"/>
      </w:divBdr>
    </w:div>
    <w:div w:id="743990761">
      <w:bodyDiv w:val="1"/>
      <w:marLeft w:val="0"/>
      <w:marRight w:val="0"/>
      <w:marTop w:val="0"/>
      <w:marBottom w:val="0"/>
      <w:divBdr>
        <w:top w:val="none" w:sz="0" w:space="0" w:color="auto"/>
        <w:left w:val="none" w:sz="0" w:space="0" w:color="auto"/>
        <w:bottom w:val="none" w:sz="0" w:space="0" w:color="auto"/>
        <w:right w:val="none" w:sz="0" w:space="0" w:color="auto"/>
      </w:divBdr>
    </w:div>
    <w:div w:id="744761050">
      <w:bodyDiv w:val="1"/>
      <w:marLeft w:val="0"/>
      <w:marRight w:val="0"/>
      <w:marTop w:val="0"/>
      <w:marBottom w:val="0"/>
      <w:divBdr>
        <w:top w:val="none" w:sz="0" w:space="0" w:color="auto"/>
        <w:left w:val="none" w:sz="0" w:space="0" w:color="auto"/>
        <w:bottom w:val="none" w:sz="0" w:space="0" w:color="auto"/>
        <w:right w:val="none" w:sz="0" w:space="0" w:color="auto"/>
      </w:divBdr>
    </w:div>
    <w:div w:id="745297170">
      <w:bodyDiv w:val="1"/>
      <w:marLeft w:val="0"/>
      <w:marRight w:val="0"/>
      <w:marTop w:val="0"/>
      <w:marBottom w:val="0"/>
      <w:divBdr>
        <w:top w:val="none" w:sz="0" w:space="0" w:color="auto"/>
        <w:left w:val="none" w:sz="0" w:space="0" w:color="auto"/>
        <w:bottom w:val="none" w:sz="0" w:space="0" w:color="auto"/>
        <w:right w:val="none" w:sz="0" w:space="0" w:color="auto"/>
      </w:divBdr>
    </w:div>
    <w:div w:id="746732476">
      <w:bodyDiv w:val="1"/>
      <w:marLeft w:val="0"/>
      <w:marRight w:val="0"/>
      <w:marTop w:val="0"/>
      <w:marBottom w:val="0"/>
      <w:divBdr>
        <w:top w:val="none" w:sz="0" w:space="0" w:color="auto"/>
        <w:left w:val="none" w:sz="0" w:space="0" w:color="auto"/>
        <w:bottom w:val="none" w:sz="0" w:space="0" w:color="auto"/>
        <w:right w:val="none" w:sz="0" w:space="0" w:color="auto"/>
      </w:divBdr>
    </w:div>
    <w:div w:id="750391164">
      <w:bodyDiv w:val="1"/>
      <w:marLeft w:val="0"/>
      <w:marRight w:val="0"/>
      <w:marTop w:val="0"/>
      <w:marBottom w:val="0"/>
      <w:divBdr>
        <w:top w:val="none" w:sz="0" w:space="0" w:color="auto"/>
        <w:left w:val="none" w:sz="0" w:space="0" w:color="auto"/>
        <w:bottom w:val="none" w:sz="0" w:space="0" w:color="auto"/>
        <w:right w:val="none" w:sz="0" w:space="0" w:color="auto"/>
      </w:divBdr>
    </w:div>
    <w:div w:id="751052005">
      <w:bodyDiv w:val="1"/>
      <w:marLeft w:val="0"/>
      <w:marRight w:val="0"/>
      <w:marTop w:val="0"/>
      <w:marBottom w:val="0"/>
      <w:divBdr>
        <w:top w:val="none" w:sz="0" w:space="0" w:color="auto"/>
        <w:left w:val="none" w:sz="0" w:space="0" w:color="auto"/>
        <w:bottom w:val="none" w:sz="0" w:space="0" w:color="auto"/>
        <w:right w:val="none" w:sz="0" w:space="0" w:color="auto"/>
      </w:divBdr>
    </w:div>
    <w:div w:id="751392618">
      <w:bodyDiv w:val="1"/>
      <w:marLeft w:val="0"/>
      <w:marRight w:val="0"/>
      <w:marTop w:val="0"/>
      <w:marBottom w:val="0"/>
      <w:divBdr>
        <w:top w:val="none" w:sz="0" w:space="0" w:color="auto"/>
        <w:left w:val="none" w:sz="0" w:space="0" w:color="auto"/>
        <w:bottom w:val="none" w:sz="0" w:space="0" w:color="auto"/>
        <w:right w:val="none" w:sz="0" w:space="0" w:color="auto"/>
      </w:divBdr>
    </w:div>
    <w:div w:id="753088134">
      <w:bodyDiv w:val="1"/>
      <w:marLeft w:val="0"/>
      <w:marRight w:val="0"/>
      <w:marTop w:val="0"/>
      <w:marBottom w:val="0"/>
      <w:divBdr>
        <w:top w:val="none" w:sz="0" w:space="0" w:color="auto"/>
        <w:left w:val="none" w:sz="0" w:space="0" w:color="auto"/>
        <w:bottom w:val="none" w:sz="0" w:space="0" w:color="auto"/>
        <w:right w:val="none" w:sz="0" w:space="0" w:color="auto"/>
      </w:divBdr>
    </w:div>
    <w:div w:id="753283734">
      <w:bodyDiv w:val="1"/>
      <w:marLeft w:val="0"/>
      <w:marRight w:val="0"/>
      <w:marTop w:val="0"/>
      <w:marBottom w:val="0"/>
      <w:divBdr>
        <w:top w:val="none" w:sz="0" w:space="0" w:color="auto"/>
        <w:left w:val="none" w:sz="0" w:space="0" w:color="auto"/>
        <w:bottom w:val="none" w:sz="0" w:space="0" w:color="auto"/>
        <w:right w:val="none" w:sz="0" w:space="0" w:color="auto"/>
      </w:divBdr>
    </w:div>
    <w:div w:id="753287714">
      <w:bodyDiv w:val="1"/>
      <w:marLeft w:val="0"/>
      <w:marRight w:val="0"/>
      <w:marTop w:val="0"/>
      <w:marBottom w:val="0"/>
      <w:divBdr>
        <w:top w:val="none" w:sz="0" w:space="0" w:color="auto"/>
        <w:left w:val="none" w:sz="0" w:space="0" w:color="auto"/>
        <w:bottom w:val="none" w:sz="0" w:space="0" w:color="auto"/>
        <w:right w:val="none" w:sz="0" w:space="0" w:color="auto"/>
      </w:divBdr>
    </w:div>
    <w:div w:id="753936524">
      <w:bodyDiv w:val="1"/>
      <w:marLeft w:val="0"/>
      <w:marRight w:val="0"/>
      <w:marTop w:val="0"/>
      <w:marBottom w:val="0"/>
      <w:divBdr>
        <w:top w:val="none" w:sz="0" w:space="0" w:color="auto"/>
        <w:left w:val="none" w:sz="0" w:space="0" w:color="auto"/>
        <w:bottom w:val="none" w:sz="0" w:space="0" w:color="auto"/>
        <w:right w:val="none" w:sz="0" w:space="0" w:color="auto"/>
      </w:divBdr>
    </w:div>
    <w:div w:id="754279576">
      <w:bodyDiv w:val="1"/>
      <w:marLeft w:val="0"/>
      <w:marRight w:val="0"/>
      <w:marTop w:val="0"/>
      <w:marBottom w:val="0"/>
      <w:divBdr>
        <w:top w:val="none" w:sz="0" w:space="0" w:color="auto"/>
        <w:left w:val="none" w:sz="0" w:space="0" w:color="auto"/>
        <w:bottom w:val="none" w:sz="0" w:space="0" w:color="auto"/>
        <w:right w:val="none" w:sz="0" w:space="0" w:color="auto"/>
      </w:divBdr>
    </w:div>
    <w:div w:id="754863896">
      <w:bodyDiv w:val="1"/>
      <w:marLeft w:val="0"/>
      <w:marRight w:val="0"/>
      <w:marTop w:val="0"/>
      <w:marBottom w:val="0"/>
      <w:divBdr>
        <w:top w:val="none" w:sz="0" w:space="0" w:color="auto"/>
        <w:left w:val="none" w:sz="0" w:space="0" w:color="auto"/>
        <w:bottom w:val="none" w:sz="0" w:space="0" w:color="auto"/>
        <w:right w:val="none" w:sz="0" w:space="0" w:color="auto"/>
      </w:divBdr>
    </w:div>
    <w:div w:id="755589706">
      <w:bodyDiv w:val="1"/>
      <w:marLeft w:val="0"/>
      <w:marRight w:val="0"/>
      <w:marTop w:val="0"/>
      <w:marBottom w:val="0"/>
      <w:divBdr>
        <w:top w:val="none" w:sz="0" w:space="0" w:color="auto"/>
        <w:left w:val="none" w:sz="0" w:space="0" w:color="auto"/>
        <w:bottom w:val="none" w:sz="0" w:space="0" w:color="auto"/>
        <w:right w:val="none" w:sz="0" w:space="0" w:color="auto"/>
      </w:divBdr>
    </w:div>
    <w:div w:id="756749914">
      <w:bodyDiv w:val="1"/>
      <w:marLeft w:val="0"/>
      <w:marRight w:val="0"/>
      <w:marTop w:val="0"/>
      <w:marBottom w:val="0"/>
      <w:divBdr>
        <w:top w:val="none" w:sz="0" w:space="0" w:color="auto"/>
        <w:left w:val="none" w:sz="0" w:space="0" w:color="auto"/>
        <w:bottom w:val="none" w:sz="0" w:space="0" w:color="auto"/>
        <w:right w:val="none" w:sz="0" w:space="0" w:color="auto"/>
      </w:divBdr>
    </w:div>
    <w:div w:id="760681799">
      <w:bodyDiv w:val="1"/>
      <w:marLeft w:val="0"/>
      <w:marRight w:val="0"/>
      <w:marTop w:val="0"/>
      <w:marBottom w:val="0"/>
      <w:divBdr>
        <w:top w:val="none" w:sz="0" w:space="0" w:color="auto"/>
        <w:left w:val="none" w:sz="0" w:space="0" w:color="auto"/>
        <w:bottom w:val="none" w:sz="0" w:space="0" w:color="auto"/>
        <w:right w:val="none" w:sz="0" w:space="0" w:color="auto"/>
      </w:divBdr>
    </w:div>
    <w:div w:id="760685889">
      <w:bodyDiv w:val="1"/>
      <w:marLeft w:val="0"/>
      <w:marRight w:val="0"/>
      <w:marTop w:val="0"/>
      <w:marBottom w:val="0"/>
      <w:divBdr>
        <w:top w:val="none" w:sz="0" w:space="0" w:color="auto"/>
        <w:left w:val="none" w:sz="0" w:space="0" w:color="auto"/>
        <w:bottom w:val="none" w:sz="0" w:space="0" w:color="auto"/>
        <w:right w:val="none" w:sz="0" w:space="0" w:color="auto"/>
      </w:divBdr>
    </w:div>
    <w:div w:id="762729250">
      <w:bodyDiv w:val="1"/>
      <w:marLeft w:val="0"/>
      <w:marRight w:val="0"/>
      <w:marTop w:val="0"/>
      <w:marBottom w:val="0"/>
      <w:divBdr>
        <w:top w:val="none" w:sz="0" w:space="0" w:color="auto"/>
        <w:left w:val="none" w:sz="0" w:space="0" w:color="auto"/>
        <w:bottom w:val="none" w:sz="0" w:space="0" w:color="auto"/>
        <w:right w:val="none" w:sz="0" w:space="0" w:color="auto"/>
      </w:divBdr>
    </w:div>
    <w:div w:id="768504008">
      <w:bodyDiv w:val="1"/>
      <w:marLeft w:val="0"/>
      <w:marRight w:val="0"/>
      <w:marTop w:val="0"/>
      <w:marBottom w:val="0"/>
      <w:divBdr>
        <w:top w:val="none" w:sz="0" w:space="0" w:color="auto"/>
        <w:left w:val="none" w:sz="0" w:space="0" w:color="auto"/>
        <w:bottom w:val="none" w:sz="0" w:space="0" w:color="auto"/>
        <w:right w:val="none" w:sz="0" w:space="0" w:color="auto"/>
      </w:divBdr>
    </w:div>
    <w:div w:id="768621665">
      <w:bodyDiv w:val="1"/>
      <w:marLeft w:val="0"/>
      <w:marRight w:val="0"/>
      <w:marTop w:val="0"/>
      <w:marBottom w:val="0"/>
      <w:divBdr>
        <w:top w:val="none" w:sz="0" w:space="0" w:color="auto"/>
        <w:left w:val="none" w:sz="0" w:space="0" w:color="auto"/>
        <w:bottom w:val="none" w:sz="0" w:space="0" w:color="auto"/>
        <w:right w:val="none" w:sz="0" w:space="0" w:color="auto"/>
      </w:divBdr>
    </w:div>
    <w:div w:id="769350376">
      <w:bodyDiv w:val="1"/>
      <w:marLeft w:val="0"/>
      <w:marRight w:val="0"/>
      <w:marTop w:val="0"/>
      <w:marBottom w:val="0"/>
      <w:divBdr>
        <w:top w:val="none" w:sz="0" w:space="0" w:color="auto"/>
        <w:left w:val="none" w:sz="0" w:space="0" w:color="auto"/>
        <w:bottom w:val="none" w:sz="0" w:space="0" w:color="auto"/>
        <w:right w:val="none" w:sz="0" w:space="0" w:color="auto"/>
      </w:divBdr>
    </w:div>
    <w:div w:id="770441454">
      <w:bodyDiv w:val="1"/>
      <w:marLeft w:val="0"/>
      <w:marRight w:val="0"/>
      <w:marTop w:val="0"/>
      <w:marBottom w:val="0"/>
      <w:divBdr>
        <w:top w:val="none" w:sz="0" w:space="0" w:color="auto"/>
        <w:left w:val="none" w:sz="0" w:space="0" w:color="auto"/>
        <w:bottom w:val="none" w:sz="0" w:space="0" w:color="auto"/>
        <w:right w:val="none" w:sz="0" w:space="0" w:color="auto"/>
      </w:divBdr>
    </w:div>
    <w:div w:id="770928154">
      <w:bodyDiv w:val="1"/>
      <w:marLeft w:val="0"/>
      <w:marRight w:val="0"/>
      <w:marTop w:val="0"/>
      <w:marBottom w:val="0"/>
      <w:divBdr>
        <w:top w:val="none" w:sz="0" w:space="0" w:color="auto"/>
        <w:left w:val="none" w:sz="0" w:space="0" w:color="auto"/>
        <w:bottom w:val="none" w:sz="0" w:space="0" w:color="auto"/>
        <w:right w:val="none" w:sz="0" w:space="0" w:color="auto"/>
      </w:divBdr>
    </w:div>
    <w:div w:id="772242808">
      <w:bodyDiv w:val="1"/>
      <w:marLeft w:val="0"/>
      <w:marRight w:val="0"/>
      <w:marTop w:val="0"/>
      <w:marBottom w:val="0"/>
      <w:divBdr>
        <w:top w:val="none" w:sz="0" w:space="0" w:color="auto"/>
        <w:left w:val="none" w:sz="0" w:space="0" w:color="auto"/>
        <w:bottom w:val="none" w:sz="0" w:space="0" w:color="auto"/>
        <w:right w:val="none" w:sz="0" w:space="0" w:color="auto"/>
      </w:divBdr>
    </w:div>
    <w:div w:id="772629568">
      <w:bodyDiv w:val="1"/>
      <w:marLeft w:val="0"/>
      <w:marRight w:val="0"/>
      <w:marTop w:val="0"/>
      <w:marBottom w:val="0"/>
      <w:divBdr>
        <w:top w:val="none" w:sz="0" w:space="0" w:color="auto"/>
        <w:left w:val="none" w:sz="0" w:space="0" w:color="auto"/>
        <w:bottom w:val="none" w:sz="0" w:space="0" w:color="auto"/>
        <w:right w:val="none" w:sz="0" w:space="0" w:color="auto"/>
      </w:divBdr>
    </w:div>
    <w:div w:id="773745432">
      <w:bodyDiv w:val="1"/>
      <w:marLeft w:val="0"/>
      <w:marRight w:val="0"/>
      <w:marTop w:val="0"/>
      <w:marBottom w:val="0"/>
      <w:divBdr>
        <w:top w:val="none" w:sz="0" w:space="0" w:color="auto"/>
        <w:left w:val="none" w:sz="0" w:space="0" w:color="auto"/>
        <w:bottom w:val="none" w:sz="0" w:space="0" w:color="auto"/>
        <w:right w:val="none" w:sz="0" w:space="0" w:color="auto"/>
      </w:divBdr>
    </w:div>
    <w:div w:id="774524696">
      <w:bodyDiv w:val="1"/>
      <w:marLeft w:val="0"/>
      <w:marRight w:val="0"/>
      <w:marTop w:val="0"/>
      <w:marBottom w:val="0"/>
      <w:divBdr>
        <w:top w:val="none" w:sz="0" w:space="0" w:color="auto"/>
        <w:left w:val="none" w:sz="0" w:space="0" w:color="auto"/>
        <w:bottom w:val="none" w:sz="0" w:space="0" w:color="auto"/>
        <w:right w:val="none" w:sz="0" w:space="0" w:color="auto"/>
      </w:divBdr>
    </w:div>
    <w:div w:id="775446245">
      <w:bodyDiv w:val="1"/>
      <w:marLeft w:val="0"/>
      <w:marRight w:val="0"/>
      <w:marTop w:val="0"/>
      <w:marBottom w:val="0"/>
      <w:divBdr>
        <w:top w:val="none" w:sz="0" w:space="0" w:color="auto"/>
        <w:left w:val="none" w:sz="0" w:space="0" w:color="auto"/>
        <w:bottom w:val="none" w:sz="0" w:space="0" w:color="auto"/>
        <w:right w:val="none" w:sz="0" w:space="0" w:color="auto"/>
      </w:divBdr>
    </w:div>
    <w:div w:id="775519957">
      <w:bodyDiv w:val="1"/>
      <w:marLeft w:val="0"/>
      <w:marRight w:val="0"/>
      <w:marTop w:val="0"/>
      <w:marBottom w:val="0"/>
      <w:divBdr>
        <w:top w:val="none" w:sz="0" w:space="0" w:color="auto"/>
        <w:left w:val="none" w:sz="0" w:space="0" w:color="auto"/>
        <w:bottom w:val="none" w:sz="0" w:space="0" w:color="auto"/>
        <w:right w:val="none" w:sz="0" w:space="0" w:color="auto"/>
      </w:divBdr>
    </w:div>
    <w:div w:id="775565786">
      <w:bodyDiv w:val="1"/>
      <w:marLeft w:val="0"/>
      <w:marRight w:val="0"/>
      <w:marTop w:val="0"/>
      <w:marBottom w:val="0"/>
      <w:divBdr>
        <w:top w:val="none" w:sz="0" w:space="0" w:color="auto"/>
        <w:left w:val="none" w:sz="0" w:space="0" w:color="auto"/>
        <w:bottom w:val="none" w:sz="0" w:space="0" w:color="auto"/>
        <w:right w:val="none" w:sz="0" w:space="0" w:color="auto"/>
      </w:divBdr>
    </w:div>
    <w:div w:id="776485762">
      <w:bodyDiv w:val="1"/>
      <w:marLeft w:val="0"/>
      <w:marRight w:val="0"/>
      <w:marTop w:val="0"/>
      <w:marBottom w:val="0"/>
      <w:divBdr>
        <w:top w:val="none" w:sz="0" w:space="0" w:color="auto"/>
        <w:left w:val="none" w:sz="0" w:space="0" w:color="auto"/>
        <w:bottom w:val="none" w:sz="0" w:space="0" w:color="auto"/>
        <w:right w:val="none" w:sz="0" w:space="0" w:color="auto"/>
      </w:divBdr>
    </w:div>
    <w:div w:id="776558883">
      <w:bodyDiv w:val="1"/>
      <w:marLeft w:val="0"/>
      <w:marRight w:val="0"/>
      <w:marTop w:val="0"/>
      <w:marBottom w:val="0"/>
      <w:divBdr>
        <w:top w:val="none" w:sz="0" w:space="0" w:color="auto"/>
        <w:left w:val="none" w:sz="0" w:space="0" w:color="auto"/>
        <w:bottom w:val="none" w:sz="0" w:space="0" w:color="auto"/>
        <w:right w:val="none" w:sz="0" w:space="0" w:color="auto"/>
      </w:divBdr>
    </w:div>
    <w:div w:id="776868172">
      <w:bodyDiv w:val="1"/>
      <w:marLeft w:val="0"/>
      <w:marRight w:val="0"/>
      <w:marTop w:val="0"/>
      <w:marBottom w:val="0"/>
      <w:divBdr>
        <w:top w:val="none" w:sz="0" w:space="0" w:color="auto"/>
        <w:left w:val="none" w:sz="0" w:space="0" w:color="auto"/>
        <w:bottom w:val="none" w:sz="0" w:space="0" w:color="auto"/>
        <w:right w:val="none" w:sz="0" w:space="0" w:color="auto"/>
      </w:divBdr>
    </w:div>
    <w:div w:id="777139279">
      <w:bodyDiv w:val="1"/>
      <w:marLeft w:val="0"/>
      <w:marRight w:val="0"/>
      <w:marTop w:val="0"/>
      <w:marBottom w:val="0"/>
      <w:divBdr>
        <w:top w:val="none" w:sz="0" w:space="0" w:color="auto"/>
        <w:left w:val="none" w:sz="0" w:space="0" w:color="auto"/>
        <w:bottom w:val="none" w:sz="0" w:space="0" w:color="auto"/>
        <w:right w:val="none" w:sz="0" w:space="0" w:color="auto"/>
      </w:divBdr>
    </w:div>
    <w:div w:id="777523433">
      <w:bodyDiv w:val="1"/>
      <w:marLeft w:val="0"/>
      <w:marRight w:val="0"/>
      <w:marTop w:val="0"/>
      <w:marBottom w:val="0"/>
      <w:divBdr>
        <w:top w:val="none" w:sz="0" w:space="0" w:color="auto"/>
        <w:left w:val="none" w:sz="0" w:space="0" w:color="auto"/>
        <w:bottom w:val="none" w:sz="0" w:space="0" w:color="auto"/>
        <w:right w:val="none" w:sz="0" w:space="0" w:color="auto"/>
      </w:divBdr>
    </w:div>
    <w:div w:id="778139406">
      <w:bodyDiv w:val="1"/>
      <w:marLeft w:val="0"/>
      <w:marRight w:val="0"/>
      <w:marTop w:val="0"/>
      <w:marBottom w:val="0"/>
      <w:divBdr>
        <w:top w:val="none" w:sz="0" w:space="0" w:color="auto"/>
        <w:left w:val="none" w:sz="0" w:space="0" w:color="auto"/>
        <w:bottom w:val="none" w:sz="0" w:space="0" w:color="auto"/>
        <w:right w:val="none" w:sz="0" w:space="0" w:color="auto"/>
      </w:divBdr>
    </w:div>
    <w:div w:id="778185805">
      <w:bodyDiv w:val="1"/>
      <w:marLeft w:val="0"/>
      <w:marRight w:val="0"/>
      <w:marTop w:val="0"/>
      <w:marBottom w:val="0"/>
      <w:divBdr>
        <w:top w:val="none" w:sz="0" w:space="0" w:color="auto"/>
        <w:left w:val="none" w:sz="0" w:space="0" w:color="auto"/>
        <w:bottom w:val="none" w:sz="0" w:space="0" w:color="auto"/>
        <w:right w:val="none" w:sz="0" w:space="0" w:color="auto"/>
      </w:divBdr>
    </w:div>
    <w:div w:id="778332817">
      <w:bodyDiv w:val="1"/>
      <w:marLeft w:val="0"/>
      <w:marRight w:val="0"/>
      <w:marTop w:val="0"/>
      <w:marBottom w:val="0"/>
      <w:divBdr>
        <w:top w:val="none" w:sz="0" w:space="0" w:color="auto"/>
        <w:left w:val="none" w:sz="0" w:space="0" w:color="auto"/>
        <w:bottom w:val="none" w:sz="0" w:space="0" w:color="auto"/>
        <w:right w:val="none" w:sz="0" w:space="0" w:color="auto"/>
      </w:divBdr>
    </w:div>
    <w:div w:id="779376911">
      <w:bodyDiv w:val="1"/>
      <w:marLeft w:val="0"/>
      <w:marRight w:val="0"/>
      <w:marTop w:val="0"/>
      <w:marBottom w:val="0"/>
      <w:divBdr>
        <w:top w:val="none" w:sz="0" w:space="0" w:color="auto"/>
        <w:left w:val="none" w:sz="0" w:space="0" w:color="auto"/>
        <w:bottom w:val="none" w:sz="0" w:space="0" w:color="auto"/>
        <w:right w:val="none" w:sz="0" w:space="0" w:color="auto"/>
      </w:divBdr>
    </w:div>
    <w:div w:id="779690350">
      <w:bodyDiv w:val="1"/>
      <w:marLeft w:val="0"/>
      <w:marRight w:val="0"/>
      <w:marTop w:val="0"/>
      <w:marBottom w:val="0"/>
      <w:divBdr>
        <w:top w:val="none" w:sz="0" w:space="0" w:color="auto"/>
        <w:left w:val="none" w:sz="0" w:space="0" w:color="auto"/>
        <w:bottom w:val="none" w:sz="0" w:space="0" w:color="auto"/>
        <w:right w:val="none" w:sz="0" w:space="0" w:color="auto"/>
      </w:divBdr>
    </w:div>
    <w:div w:id="781462196">
      <w:bodyDiv w:val="1"/>
      <w:marLeft w:val="0"/>
      <w:marRight w:val="0"/>
      <w:marTop w:val="0"/>
      <w:marBottom w:val="0"/>
      <w:divBdr>
        <w:top w:val="none" w:sz="0" w:space="0" w:color="auto"/>
        <w:left w:val="none" w:sz="0" w:space="0" w:color="auto"/>
        <w:bottom w:val="none" w:sz="0" w:space="0" w:color="auto"/>
        <w:right w:val="none" w:sz="0" w:space="0" w:color="auto"/>
      </w:divBdr>
    </w:div>
    <w:div w:id="781653446">
      <w:bodyDiv w:val="1"/>
      <w:marLeft w:val="0"/>
      <w:marRight w:val="0"/>
      <w:marTop w:val="0"/>
      <w:marBottom w:val="0"/>
      <w:divBdr>
        <w:top w:val="none" w:sz="0" w:space="0" w:color="auto"/>
        <w:left w:val="none" w:sz="0" w:space="0" w:color="auto"/>
        <w:bottom w:val="none" w:sz="0" w:space="0" w:color="auto"/>
        <w:right w:val="none" w:sz="0" w:space="0" w:color="auto"/>
      </w:divBdr>
    </w:div>
    <w:div w:id="781919459">
      <w:bodyDiv w:val="1"/>
      <w:marLeft w:val="0"/>
      <w:marRight w:val="0"/>
      <w:marTop w:val="0"/>
      <w:marBottom w:val="0"/>
      <w:divBdr>
        <w:top w:val="none" w:sz="0" w:space="0" w:color="auto"/>
        <w:left w:val="none" w:sz="0" w:space="0" w:color="auto"/>
        <w:bottom w:val="none" w:sz="0" w:space="0" w:color="auto"/>
        <w:right w:val="none" w:sz="0" w:space="0" w:color="auto"/>
      </w:divBdr>
    </w:div>
    <w:div w:id="781997052">
      <w:bodyDiv w:val="1"/>
      <w:marLeft w:val="0"/>
      <w:marRight w:val="0"/>
      <w:marTop w:val="0"/>
      <w:marBottom w:val="0"/>
      <w:divBdr>
        <w:top w:val="none" w:sz="0" w:space="0" w:color="auto"/>
        <w:left w:val="none" w:sz="0" w:space="0" w:color="auto"/>
        <w:bottom w:val="none" w:sz="0" w:space="0" w:color="auto"/>
        <w:right w:val="none" w:sz="0" w:space="0" w:color="auto"/>
      </w:divBdr>
    </w:div>
    <w:div w:id="782840863">
      <w:bodyDiv w:val="1"/>
      <w:marLeft w:val="0"/>
      <w:marRight w:val="0"/>
      <w:marTop w:val="0"/>
      <w:marBottom w:val="0"/>
      <w:divBdr>
        <w:top w:val="none" w:sz="0" w:space="0" w:color="auto"/>
        <w:left w:val="none" w:sz="0" w:space="0" w:color="auto"/>
        <w:bottom w:val="none" w:sz="0" w:space="0" w:color="auto"/>
        <w:right w:val="none" w:sz="0" w:space="0" w:color="auto"/>
      </w:divBdr>
    </w:div>
    <w:div w:id="783378290">
      <w:bodyDiv w:val="1"/>
      <w:marLeft w:val="0"/>
      <w:marRight w:val="0"/>
      <w:marTop w:val="0"/>
      <w:marBottom w:val="0"/>
      <w:divBdr>
        <w:top w:val="none" w:sz="0" w:space="0" w:color="auto"/>
        <w:left w:val="none" w:sz="0" w:space="0" w:color="auto"/>
        <w:bottom w:val="none" w:sz="0" w:space="0" w:color="auto"/>
        <w:right w:val="none" w:sz="0" w:space="0" w:color="auto"/>
      </w:divBdr>
    </w:div>
    <w:div w:id="783571424">
      <w:bodyDiv w:val="1"/>
      <w:marLeft w:val="0"/>
      <w:marRight w:val="0"/>
      <w:marTop w:val="0"/>
      <w:marBottom w:val="0"/>
      <w:divBdr>
        <w:top w:val="none" w:sz="0" w:space="0" w:color="auto"/>
        <w:left w:val="none" w:sz="0" w:space="0" w:color="auto"/>
        <w:bottom w:val="none" w:sz="0" w:space="0" w:color="auto"/>
        <w:right w:val="none" w:sz="0" w:space="0" w:color="auto"/>
      </w:divBdr>
    </w:div>
    <w:div w:id="784039137">
      <w:bodyDiv w:val="1"/>
      <w:marLeft w:val="0"/>
      <w:marRight w:val="0"/>
      <w:marTop w:val="0"/>
      <w:marBottom w:val="0"/>
      <w:divBdr>
        <w:top w:val="none" w:sz="0" w:space="0" w:color="auto"/>
        <w:left w:val="none" w:sz="0" w:space="0" w:color="auto"/>
        <w:bottom w:val="none" w:sz="0" w:space="0" w:color="auto"/>
        <w:right w:val="none" w:sz="0" w:space="0" w:color="auto"/>
      </w:divBdr>
    </w:div>
    <w:div w:id="785348756">
      <w:bodyDiv w:val="1"/>
      <w:marLeft w:val="0"/>
      <w:marRight w:val="0"/>
      <w:marTop w:val="0"/>
      <w:marBottom w:val="0"/>
      <w:divBdr>
        <w:top w:val="none" w:sz="0" w:space="0" w:color="auto"/>
        <w:left w:val="none" w:sz="0" w:space="0" w:color="auto"/>
        <w:bottom w:val="none" w:sz="0" w:space="0" w:color="auto"/>
        <w:right w:val="none" w:sz="0" w:space="0" w:color="auto"/>
      </w:divBdr>
    </w:div>
    <w:div w:id="787622321">
      <w:bodyDiv w:val="1"/>
      <w:marLeft w:val="0"/>
      <w:marRight w:val="0"/>
      <w:marTop w:val="0"/>
      <w:marBottom w:val="0"/>
      <w:divBdr>
        <w:top w:val="none" w:sz="0" w:space="0" w:color="auto"/>
        <w:left w:val="none" w:sz="0" w:space="0" w:color="auto"/>
        <w:bottom w:val="none" w:sz="0" w:space="0" w:color="auto"/>
        <w:right w:val="none" w:sz="0" w:space="0" w:color="auto"/>
      </w:divBdr>
    </w:div>
    <w:div w:id="787819629">
      <w:bodyDiv w:val="1"/>
      <w:marLeft w:val="0"/>
      <w:marRight w:val="0"/>
      <w:marTop w:val="0"/>
      <w:marBottom w:val="0"/>
      <w:divBdr>
        <w:top w:val="none" w:sz="0" w:space="0" w:color="auto"/>
        <w:left w:val="none" w:sz="0" w:space="0" w:color="auto"/>
        <w:bottom w:val="none" w:sz="0" w:space="0" w:color="auto"/>
        <w:right w:val="none" w:sz="0" w:space="0" w:color="auto"/>
      </w:divBdr>
    </w:div>
    <w:div w:id="789588131">
      <w:bodyDiv w:val="1"/>
      <w:marLeft w:val="0"/>
      <w:marRight w:val="0"/>
      <w:marTop w:val="0"/>
      <w:marBottom w:val="0"/>
      <w:divBdr>
        <w:top w:val="none" w:sz="0" w:space="0" w:color="auto"/>
        <w:left w:val="none" w:sz="0" w:space="0" w:color="auto"/>
        <w:bottom w:val="none" w:sz="0" w:space="0" w:color="auto"/>
        <w:right w:val="none" w:sz="0" w:space="0" w:color="auto"/>
      </w:divBdr>
    </w:div>
    <w:div w:id="789737419">
      <w:bodyDiv w:val="1"/>
      <w:marLeft w:val="0"/>
      <w:marRight w:val="0"/>
      <w:marTop w:val="0"/>
      <w:marBottom w:val="0"/>
      <w:divBdr>
        <w:top w:val="none" w:sz="0" w:space="0" w:color="auto"/>
        <w:left w:val="none" w:sz="0" w:space="0" w:color="auto"/>
        <w:bottom w:val="none" w:sz="0" w:space="0" w:color="auto"/>
        <w:right w:val="none" w:sz="0" w:space="0" w:color="auto"/>
      </w:divBdr>
    </w:div>
    <w:div w:id="790323173">
      <w:bodyDiv w:val="1"/>
      <w:marLeft w:val="0"/>
      <w:marRight w:val="0"/>
      <w:marTop w:val="0"/>
      <w:marBottom w:val="0"/>
      <w:divBdr>
        <w:top w:val="none" w:sz="0" w:space="0" w:color="auto"/>
        <w:left w:val="none" w:sz="0" w:space="0" w:color="auto"/>
        <w:bottom w:val="none" w:sz="0" w:space="0" w:color="auto"/>
        <w:right w:val="none" w:sz="0" w:space="0" w:color="auto"/>
      </w:divBdr>
    </w:div>
    <w:div w:id="790634827">
      <w:bodyDiv w:val="1"/>
      <w:marLeft w:val="0"/>
      <w:marRight w:val="0"/>
      <w:marTop w:val="0"/>
      <w:marBottom w:val="0"/>
      <w:divBdr>
        <w:top w:val="none" w:sz="0" w:space="0" w:color="auto"/>
        <w:left w:val="none" w:sz="0" w:space="0" w:color="auto"/>
        <w:bottom w:val="none" w:sz="0" w:space="0" w:color="auto"/>
        <w:right w:val="none" w:sz="0" w:space="0" w:color="auto"/>
      </w:divBdr>
    </w:div>
    <w:div w:id="790709921">
      <w:bodyDiv w:val="1"/>
      <w:marLeft w:val="0"/>
      <w:marRight w:val="0"/>
      <w:marTop w:val="0"/>
      <w:marBottom w:val="0"/>
      <w:divBdr>
        <w:top w:val="none" w:sz="0" w:space="0" w:color="auto"/>
        <w:left w:val="none" w:sz="0" w:space="0" w:color="auto"/>
        <w:bottom w:val="none" w:sz="0" w:space="0" w:color="auto"/>
        <w:right w:val="none" w:sz="0" w:space="0" w:color="auto"/>
      </w:divBdr>
    </w:div>
    <w:div w:id="792140217">
      <w:bodyDiv w:val="1"/>
      <w:marLeft w:val="0"/>
      <w:marRight w:val="0"/>
      <w:marTop w:val="0"/>
      <w:marBottom w:val="0"/>
      <w:divBdr>
        <w:top w:val="none" w:sz="0" w:space="0" w:color="auto"/>
        <w:left w:val="none" w:sz="0" w:space="0" w:color="auto"/>
        <w:bottom w:val="none" w:sz="0" w:space="0" w:color="auto"/>
        <w:right w:val="none" w:sz="0" w:space="0" w:color="auto"/>
      </w:divBdr>
    </w:div>
    <w:div w:id="792989965">
      <w:bodyDiv w:val="1"/>
      <w:marLeft w:val="0"/>
      <w:marRight w:val="0"/>
      <w:marTop w:val="0"/>
      <w:marBottom w:val="0"/>
      <w:divBdr>
        <w:top w:val="none" w:sz="0" w:space="0" w:color="auto"/>
        <w:left w:val="none" w:sz="0" w:space="0" w:color="auto"/>
        <w:bottom w:val="none" w:sz="0" w:space="0" w:color="auto"/>
        <w:right w:val="none" w:sz="0" w:space="0" w:color="auto"/>
      </w:divBdr>
    </w:div>
    <w:div w:id="794757571">
      <w:bodyDiv w:val="1"/>
      <w:marLeft w:val="0"/>
      <w:marRight w:val="0"/>
      <w:marTop w:val="0"/>
      <w:marBottom w:val="0"/>
      <w:divBdr>
        <w:top w:val="none" w:sz="0" w:space="0" w:color="auto"/>
        <w:left w:val="none" w:sz="0" w:space="0" w:color="auto"/>
        <w:bottom w:val="none" w:sz="0" w:space="0" w:color="auto"/>
        <w:right w:val="none" w:sz="0" w:space="0" w:color="auto"/>
      </w:divBdr>
    </w:div>
    <w:div w:id="798764923">
      <w:bodyDiv w:val="1"/>
      <w:marLeft w:val="0"/>
      <w:marRight w:val="0"/>
      <w:marTop w:val="0"/>
      <w:marBottom w:val="0"/>
      <w:divBdr>
        <w:top w:val="none" w:sz="0" w:space="0" w:color="auto"/>
        <w:left w:val="none" w:sz="0" w:space="0" w:color="auto"/>
        <w:bottom w:val="none" w:sz="0" w:space="0" w:color="auto"/>
        <w:right w:val="none" w:sz="0" w:space="0" w:color="auto"/>
      </w:divBdr>
    </w:div>
    <w:div w:id="799301266">
      <w:bodyDiv w:val="1"/>
      <w:marLeft w:val="0"/>
      <w:marRight w:val="0"/>
      <w:marTop w:val="0"/>
      <w:marBottom w:val="0"/>
      <w:divBdr>
        <w:top w:val="none" w:sz="0" w:space="0" w:color="auto"/>
        <w:left w:val="none" w:sz="0" w:space="0" w:color="auto"/>
        <w:bottom w:val="none" w:sz="0" w:space="0" w:color="auto"/>
        <w:right w:val="none" w:sz="0" w:space="0" w:color="auto"/>
      </w:divBdr>
    </w:div>
    <w:div w:id="799542373">
      <w:bodyDiv w:val="1"/>
      <w:marLeft w:val="0"/>
      <w:marRight w:val="0"/>
      <w:marTop w:val="0"/>
      <w:marBottom w:val="0"/>
      <w:divBdr>
        <w:top w:val="none" w:sz="0" w:space="0" w:color="auto"/>
        <w:left w:val="none" w:sz="0" w:space="0" w:color="auto"/>
        <w:bottom w:val="none" w:sz="0" w:space="0" w:color="auto"/>
        <w:right w:val="none" w:sz="0" w:space="0" w:color="auto"/>
      </w:divBdr>
    </w:div>
    <w:div w:id="800921455">
      <w:bodyDiv w:val="1"/>
      <w:marLeft w:val="0"/>
      <w:marRight w:val="0"/>
      <w:marTop w:val="0"/>
      <w:marBottom w:val="0"/>
      <w:divBdr>
        <w:top w:val="none" w:sz="0" w:space="0" w:color="auto"/>
        <w:left w:val="none" w:sz="0" w:space="0" w:color="auto"/>
        <w:bottom w:val="none" w:sz="0" w:space="0" w:color="auto"/>
        <w:right w:val="none" w:sz="0" w:space="0" w:color="auto"/>
      </w:divBdr>
    </w:div>
    <w:div w:id="802969282">
      <w:bodyDiv w:val="1"/>
      <w:marLeft w:val="0"/>
      <w:marRight w:val="0"/>
      <w:marTop w:val="0"/>
      <w:marBottom w:val="0"/>
      <w:divBdr>
        <w:top w:val="none" w:sz="0" w:space="0" w:color="auto"/>
        <w:left w:val="none" w:sz="0" w:space="0" w:color="auto"/>
        <w:bottom w:val="none" w:sz="0" w:space="0" w:color="auto"/>
        <w:right w:val="none" w:sz="0" w:space="0" w:color="auto"/>
      </w:divBdr>
    </w:div>
    <w:div w:id="803694040">
      <w:bodyDiv w:val="1"/>
      <w:marLeft w:val="0"/>
      <w:marRight w:val="0"/>
      <w:marTop w:val="0"/>
      <w:marBottom w:val="0"/>
      <w:divBdr>
        <w:top w:val="none" w:sz="0" w:space="0" w:color="auto"/>
        <w:left w:val="none" w:sz="0" w:space="0" w:color="auto"/>
        <w:bottom w:val="none" w:sz="0" w:space="0" w:color="auto"/>
        <w:right w:val="none" w:sz="0" w:space="0" w:color="auto"/>
      </w:divBdr>
    </w:div>
    <w:div w:id="804813573">
      <w:bodyDiv w:val="1"/>
      <w:marLeft w:val="0"/>
      <w:marRight w:val="0"/>
      <w:marTop w:val="0"/>
      <w:marBottom w:val="0"/>
      <w:divBdr>
        <w:top w:val="none" w:sz="0" w:space="0" w:color="auto"/>
        <w:left w:val="none" w:sz="0" w:space="0" w:color="auto"/>
        <w:bottom w:val="none" w:sz="0" w:space="0" w:color="auto"/>
        <w:right w:val="none" w:sz="0" w:space="0" w:color="auto"/>
      </w:divBdr>
    </w:div>
    <w:div w:id="805466212">
      <w:bodyDiv w:val="1"/>
      <w:marLeft w:val="0"/>
      <w:marRight w:val="0"/>
      <w:marTop w:val="0"/>
      <w:marBottom w:val="0"/>
      <w:divBdr>
        <w:top w:val="none" w:sz="0" w:space="0" w:color="auto"/>
        <w:left w:val="none" w:sz="0" w:space="0" w:color="auto"/>
        <w:bottom w:val="none" w:sz="0" w:space="0" w:color="auto"/>
        <w:right w:val="none" w:sz="0" w:space="0" w:color="auto"/>
      </w:divBdr>
    </w:div>
    <w:div w:id="808476295">
      <w:bodyDiv w:val="1"/>
      <w:marLeft w:val="0"/>
      <w:marRight w:val="0"/>
      <w:marTop w:val="0"/>
      <w:marBottom w:val="0"/>
      <w:divBdr>
        <w:top w:val="none" w:sz="0" w:space="0" w:color="auto"/>
        <w:left w:val="none" w:sz="0" w:space="0" w:color="auto"/>
        <w:bottom w:val="none" w:sz="0" w:space="0" w:color="auto"/>
        <w:right w:val="none" w:sz="0" w:space="0" w:color="auto"/>
      </w:divBdr>
    </w:div>
    <w:div w:id="808980830">
      <w:bodyDiv w:val="1"/>
      <w:marLeft w:val="0"/>
      <w:marRight w:val="0"/>
      <w:marTop w:val="0"/>
      <w:marBottom w:val="0"/>
      <w:divBdr>
        <w:top w:val="none" w:sz="0" w:space="0" w:color="auto"/>
        <w:left w:val="none" w:sz="0" w:space="0" w:color="auto"/>
        <w:bottom w:val="none" w:sz="0" w:space="0" w:color="auto"/>
        <w:right w:val="none" w:sz="0" w:space="0" w:color="auto"/>
      </w:divBdr>
    </w:div>
    <w:div w:id="809130293">
      <w:bodyDiv w:val="1"/>
      <w:marLeft w:val="0"/>
      <w:marRight w:val="0"/>
      <w:marTop w:val="0"/>
      <w:marBottom w:val="0"/>
      <w:divBdr>
        <w:top w:val="none" w:sz="0" w:space="0" w:color="auto"/>
        <w:left w:val="none" w:sz="0" w:space="0" w:color="auto"/>
        <w:bottom w:val="none" w:sz="0" w:space="0" w:color="auto"/>
        <w:right w:val="none" w:sz="0" w:space="0" w:color="auto"/>
      </w:divBdr>
    </w:div>
    <w:div w:id="809632145">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3909014">
      <w:bodyDiv w:val="1"/>
      <w:marLeft w:val="0"/>
      <w:marRight w:val="0"/>
      <w:marTop w:val="0"/>
      <w:marBottom w:val="0"/>
      <w:divBdr>
        <w:top w:val="none" w:sz="0" w:space="0" w:color="auto"/>
        <w:left w:val="none" w:sz="0" w:space="0" w:color="auto"/>
        <w:bottom w:val="none" w:sz="0" w:space="0" w:color="auto"/>
        <w:right w:val="none" w:sz="0" w:space="0" w:color="auto"/>
      </w:divBdr>
    </w:div>
    <w:div w:id="814222640">
      <w:bodyDiv w:val="1"/>
      <w:marLeft w:val="0"/>
      <w:marRight w:val="0"/>
      <w:marTop w:val="0"/>
      <w:marBottom w:val="0"/>
      <w:divBdr>
        <w:top w:val="none" w:sz="0" w:space="0" w:color="auto"/>
        <w:left w:val="none" w:sz="0" w:space="0" w:color="auto"/>
        <w:bottom w:val="none" w:sz="0" w:space="0" w:color="auto"/>
        <w:right w:val="none" w:sz="0" w:space="0" w:color="auto"/>
      </w:divBdr>
    </w:div>
    <w:div w:id="814297913">
      <w:bodyDiv w:val="1"/>
      <w:marLeft w:val="0"/>
      <w:marRight w:val="0"/>
      <w:marTop w:val="0"/>
      <w:marBottom w:val="0"/>
      <w:divBdr>
        <w:top w:val="none" w:sz="0" w:space="0" w:color="auto"/>
        <w:left w:val="none" w:sz="0" w:space="0" w:color="auto"/>
        <w:bottom w:val="none" w:sz="0" w:space="0" w:color="auto"/>
        <w:right w:val="none" w:sz="0" w:space="0" w:color="auto"/>
      </w:divBdr>
    </w:div>
    <w:div w:id="814686430">
      <w:bodyDiv w:val="1"/>
      <w:marLeft w:val="0"/>
      <w:marRight w:val="0"/>
      <w:marTop w:val="0"/>
      <w:marBottom w:val="0"/>
      <w:divBdr>
        <w:top w:val="none" w:sz="0" w:space="0" w:color="auto"/>
        <w:left w:val="none" w:sz="0" w:space="0" w:color="auto"/>
        <w:bottom w:val="none" w:sz="0" w:space="0" w:color="auto"/>
        <w:right w:val="none" w:sz="0" w:space="0" w:color="auto"/>
      </w:divBdr>
    </w:div>
    <w:div w:id="816806242">
      <w:bodyDiv w:val="1"/>
      <w:marLeft w:val="0"/>
      <w:marRight w:val="0"/>
      <w:marTop w:val="0"/>
      <w:marBottom w:val="0"/>
      <w:divBdr>
        <w:top w:val="none" w:sz="0" w:space="0" w:color="auto"/>
        <w:left w:val="none" w:sz="0" w:space="0" w:color="auto"/>
        <w:bottom w:val="none" w:sz="0" w:space="0" w:color="auto"/>
        <w:right w:val="none" w:sz="0" w:space="0" w:color="auto"/>
      </w:divBdr>
    </w:div>
    <w:div w:id="816922101">
      <w:bodyDiv w:val="1"/>
      <w:marLeft w:val="0"/>
      <w:marRight w:val="0"/>
      <w:marTop w:val="0"/>
      <w:marBottom w:val="0"/>
      <w:divBdr>
        <w:top w:val="none" w:sz="0" w:space="0" w:color="auto"/>
        <w:left w:val="none" w:sz="0" w:space="0" w:color="auto"/>
        <w:bottom w:val="none" w:sz="0" w:space="0" w:color="auto"/>
        <w:right w:val="none" w:sz="0" w:space="0" w:color="auto"/>
      </w:divBdr>
    </w:div>
    <w:div w:id="817694734">
      <w:bodyDiv w:val="1"/>
      <w:marLeft w:val="0"/>
      <w:marRight w:val="0"/>
      <w:marTop w:val="0"/>
      <w:marBottom w:val="0"/>
      <w:divBdr>
        <w:top w:val="none" w:sz="0" w:space="0" w:color="auto"/>
        <w:left w:val="none" w:sz="0" w:space="0" w:color="auto"/>
        <w:bottom w:val="none" w:sz="0" w:space="0" w:color="auto"/>
        <w:right w:val="none" w:sz="0" w:space="0" w:color="auto"/>
      </w:divBdr>
    </w:div>
    <w:div w:id="818154797">
      <w:bodyDiv w:val="1"/>
      <w:marLeft w:val="0"/>
      <w:marRight w:val="0"/>
      <w:marTop w:val="0"/>
      <w:marBottom w:val="0"/>
      <w:divBdr>
        <w:top w:val="none" w:sz="0" w:space="0" w:color="auto"/>
        <w:left w:val="none" w:sz="0" w:space="0" w:color="auto"/>
        <w:bottom w:val="none" w:sz="0" w:space="0" w:color="auto"/>
        <w:right w:val="none" w:sz="0" w:space="0" w:color="auto"/>
      </w:divBdr>
    </w:div>
    <w:div w:id="818571201">
      <w:bodyDiv w:val="1"/>
      <w:marLeft w:val="0"/>
      <w:marRight w:val="0"/>
      <w:marTop w:val="0"/>
      <w:marBottom w:val="0"/>
      <w:divBdr>
        <w:top w:val="none" w:sz="0" w:space="0" w:color="auto"/>
        <w:left w:val="none" w:sz="0" w:space="0" w:color="auto"/>
        <w:bottom w:val="none" w:sz="0" w:space="0" w:color="auto"/>
        <w:right w:val="none" w:sz="0" w:space="0" w:color="auto"/>
      </w:divBdr>
    </w:div>
    <w:div w:id="818814646">
      <w:bodyDiv w:val="1"/>
      <w:marLeft w:val="0"/>
      <w:marRight w:val="0"/>
      <w:marTop w:val="0"/>
      <w:marBottom w:val="0"/>
      <w:divBdr>
        <w:top w:val="none" w:sz="0" w:space="0" w:color="auto"/>
        <w:left w:val="none" w:sz="0" w:space="0" w:color="auto"/>
        <w:bottom w:val="none" w:sz="0" w:space="0" w:color="auto"/>
        <w:right w:val="none" w:sz="0" w:space="0" w:color="auto"/>
      </w:divBdr>
    </w:div>
    <w:div w:id="818961369">
      <w:bodyDiv w:val="1"/>
      <w:marLeft w:val="0"/>
      <w:marRight w:val="0"/>
      <w:marTop w:val="0"/>
      <w:marBottom w:val="0"/>
      <w:divBdr>
        <w:top w:val="none" w:sz="0" w:space="0" w:color="auto"/>
        <w:left w:val="none" w:sz="0" w:space="0" w:color="auto"/>
        <w:bottom w:val="none" w:sz="0" w:space="0" w:color="auto"/>
        <w:right w:val="none" w:sz="0" w:space="0" w:color="auto"/>
      </w:divBdr>
    </w:div>
    <w:div w:id="823089843">
      <w:bodyDiv w:val="1"/>
      <w:marLeft w:val="0"/>
      <w:marRight w:val="0"/>
      <w:marTop w:val="0"/>
      <w:marBottom w:val="0"/>
      <w:divBdr>
        <w:top w:val="none" w:sz="0" w:space="0" w:color="auto"/>
        <w:left w:val="none" w:sz="0" w:space="0" w:color="auto"/>
        <w:bottom w:val="none" w:sz="0" w:space="0" w:color="auto"/>
        <w:right w:val="none" w:sz="0" w:space="0" w:color="auto"/>
      </w:divBdr>
    </w:div>
    <w:div w:id="825170741">
      <w:bodyDiv w:val="1"/>
      <w:marLeft w:val="0"/>
      <w:marRight w:val="0"/>
      <w:marTop w:val="0"/>
      <w:marBottom w:val="0"/>
      <w:divBdr>
        <w:top w:val="none" w:sz="0" w:space="0" w:color="auto"/>
        <w:left w:val="none" w:sz="0" w:space="0" w:color="auto"/>
        <w:bottom w:val="none" w:sz="0" w:space="0" w:color="auto"/>
        <w:right w:val="none" w:sz="0" w:space="0" w:color="auto"/>
      </w:divBdr>
    </w:div>
    <w:div w:id="825243233">
      <w:bodyDiv w:val="1"/>
      <w:marLeft w:val="0"/>
      <w:marRight w:val="0"/>
      <w:marTop w:val="0"/>
      <w:marBottom w:val="0"/>
      <w:divBdr>
        <w:top w:val="none" w:sz="0" w:space="0" w:color="auto"/>
        <w:left w:val="none" w:sz="0" w:space="0" w:color="auto"/>
        <w:bottom w:val="none" w:sz="0" w:space="0" w:color="auto"/>
        <w:right w:val="none" w:sz="0" w:space="0" w:color="auto"/>
      </w:divBdr>
    </w:div>
    <w:div w:id="825511594">
      <w:bodyDiv w:val="1"/>
      <w:marLeft w:val="0"/>
      <w:marRight w:val="0"/>
      <w:marTop w:val="0"/>
      <w:marBottom w:val="0"/>
      <w:divBdr>
        <w:top w:val="none" w:sz="0" w:space="0" w:color="auto"/>
        <w:left w:val="none" w:sz="0" w:space="0" w:color="auto"/>
        <w:bottom w:val="none" w:sz="0" w:space="0" w:color="auto"/>
        <w:right w:val="none" w:sz="0" w:space="0" w:color="auto"/>
      </w:divBdr>
    </w:div>
    <w:div w:id="825974972">
      <w:bodyDiv w:val="1"/>
      <w:marLeft w:val="0"/>
      <w:marRight w:val="0"/>
      <w:marTop w:val="0"/>
      <w:marBottom w:val="0"/>
      <w:divBdr>
        <w:top w:val="none" w:sz="0" w:space="0" w:color="auto"/>
        <w:left w:val="none" w:sz="0" w:space="0" w:color="auto"/>
        <w:bottom w:val="none" w:sz="0" w:space="0" w:color="auto"/>
        <w:right w:val="none" w:sz="0" w:space="0" w:color="auto"/>
      </w:divBdr>
    </w:div>
    <w:div w:id="826214566">
      <w:bodyDiv w:val="1"/>
      <w:marLeft w:val="0"/>
      <w:marRight w:val="0"/>
      <w:marTop w:val="0"/>
      <w:marBottom w:val="0"/>
      <w:divBdr>
        <w:top w:val="none" w:sz="0" w:space="0" w:color="auto"/>
        <w:left w:val="none" w:sz="0" w:space="0" w:color="auto"/>
        <w:bottom w:val="none" w:sz="0" w:space="0" w:color="auto"/>
        <w:right w:val="none" w:sz="0" w:space="0" w:color="auto"/>
      </w:divBdr>
    </w:div>
    <w:div w:id="826364545">
      <w:bodyDiv w:val="1"/>
      <w:marLeft w:val="0"/>
      <w:marRight w:val="0"/>
      <w:marTop w:val="0"/>
      <w:marBottom w:val="0"/>
      <w:divBdr>
        <w:top w:val="none" w:sz="0" w:space="0" w:color="auto"/>
        <w:left w:val="none" w:sz="0" w:space="0" w:color="auto"/>
        <w:bottom w:val="none" w:sz="0" w:space="0" w:color="auto"/>
        <w:right w:val="none" w:sz="0" w:space="0" w:color="auto"/>
      </w:divBdr>
    </w:div>
    <w:div w:id="827748574">
      <w:bodyDiv w:val="1"/>
      <w:marLeft w:val="0"/>
      <w:marRight w:val="0"/>
      <w:marTop w:val="0"/>
      <w:marBottom w:val="0"/>
      <w:divBdr>
        <w:top w:val="none" w:sz="0" w:space="0" w:color="auto"/>
        <w:left w:val="none" w:sz="0" w:space="0" w:color="auto"/>
        <w:bottom w:val="none" w:sz="0" w:space="0" w:color="auto"/>
        <w:right w:val="none" w:sz="0" w:space="0" w:color="auto"/>
      </w:divBdr>
    </w:div>
    <w:div w:id="828329977">
      <w:bodyDiv w:val="1"/>
      <w:marLeft w:val="0"/>
      <w:marRight w:val="0"/>
      <w:marTop w:val="0"/>
      <w:marBottom w:val="0"/>
      <w:divBdr>
        <w:top w:val="none" w:sz="0" w:space="0" w:color="auto"/>
        <w:left w:val="none" w:sz="0" w:space="0" w:color="auto"/>
        <w:bottom w:val="none" w:sz="0" w:space="0" w:color="auto"/>
        <w:right w:val="none" w:sz="0" w:space="0" w:color="auto"/>
      </w:divBdr>
    </w:div>
    <w:div w:id="829255501">
      <w:bodyDiv w:val="1"/>
      <w:marLeft w:val="0"/>
      <w:marRight w:val="0"/>
      <w:marTop w:val="0"/>
      <w:marBottom w:val="0"/>
      <w:divBdr>
        <w:top w:val="none" w:sz="0" w:space="0" w:color="auto"/>
        <w:left w:val="none" w:sz="0" w:space="0" w:color="auto"/>
        <w:bottom w:val="none" w:sz="0" w:space="0" w:color="auto"/>
        <w:right w:val="none" w:sz="0" w:space="0" w:color="auto"/>
      </w:divBdr>
    </w:div>
    <w:div w:id="830487078">
      <w:bodyDiv w:val="1"/>
      <w:marLeft w:val="0"/>
      <w:marRight w:val="0"/>
      <w:marTop w:val="0"/>
      <w:marBottom w:val="0"/>
      <w:divBdr>
        <w:top w:val="none" w:sz="0" w:space="0" w:color="auto"/>
        <w:left w:val="none" w:sz="0" w:space="0" w:color="auto"/>
        <w:bottom w:val="none" w:sz="0" w:space="0" w:color="auto"/>
        <w:right w:val="none" w:sz="0" w:space="0" w:color="auto"/>
      </w:divBdr>
    </w:div>
    <w:div w:id="830603979">
      <w:bodyDiv w:val="1"/>
      <w:marLeft w:val="0"/>
      <w:marRight w:val="0"/>
      <w:marTop w:val="0"/>
      <w:marBottom w:val="0"/>
      <w:divBdr>
        <w:top w:val="none" w:sz="0" w:space="0" w:color="auto"/>
        <w:left w:val="none" w:sz="0" w:space="0" w:color="auto"/>
        <w:bottom w:val="none" w:sz="0" w:space="0" w:color="auto"/>
        <w:right w:val="none" w:sz="0" w:space="0" w:color="auto"/>
      </w:divBdr>
    </w:div>
    <w:div w:id="830676632">
      <w:bodyDiv w:val="1"/>
      <w:marLeft w:val="0"/>
      <w:marRight w:val="0"/>
      <w:marTop w:val="0"/>
      <w:marBottom w:val="0"/>
      <w:divBdr>
        <w:top w:val="none" w:sz="0" w:space="0" w:color="auto"/>
        <w:left w:val="none" w:sz="0" w:space="0" w:color="auto"/>
        <w:bottom w:val="none" w:sz="0" w:space="0" w:color="auto"/>
        <w:right w:val="none" w:sz="0" w:space="0" w:color="auto"/>
      </w:divBdr>
    </w:div>
    <w:div w:id="831523820">
      <w:bodyDiv w:val="1"/>
      <w:marLeft w:val="0"/>
      <w:marRight w:val="0"/>
      <w:marTop w:val="0"/>
      <w:marBottom w:val="0"/>
      <w:divBdr>
        <w:top w:val="none" w:sz="0" w:space="0" w:color="auto"/>
        <w:left w:val="none" w:sz="0" w:space="0" w:color="auto"/>
        <w:bottom w:val="none" w:sz="0" w:space="0" w:color="auto"/>
        <w:right w:val="none" w:sz="0" w:space="0" w:color="auto"/>
      </w:divBdr>
    </w:div>
    <w:div w:id="832716473">
      <w:bodyDiv w:val="1"/>
      <w:marLeft w:val="0"/>
      <w:marRight w:val="0"/>
      <w:marTop w:val="0"/>
      <w:marBottom w:val="0"/>
      <w:divBdr>
        <w:top w:val="none" w:sz="0" w:space="0" w:color="auto"/>
        <w:left w:val="none" w:sz="0" w:space="0" w:color="auto"/>
        <w:bottom w:val="none" w:sz="0" w:space="0" w:color="auto"/>
        <w:right w:val="none" w:sz="0" w:space="0" w:color="auto"/>
      </w:divBdr>
    </w:div>
    <w:div w:id="833029065">
      <w:bodyDiv w:val="1"/>
      <w:marLeft w:val="0"/>
      <w:marRight w:val="0"/>
      <w:marTop w:val="0"/>
      <w:marBottom w:val="0"/>
      <w:divBdr>
        <w:top w:val="none" w:sz="0" w:space="0" w:color="auto"/>
        <w:left w:val="none" w:sz="0" w:space="0" w:color="auto"/>
        <w:bottom w:val="none" w:sz="0" w:space="0" w:color="auto"/>
        <w:right w:val="none" w:sz="0" w:space="0" w:color="auto"/>
      </w:divBdr>
    </w:div>
    <w:div w:id="838036757">
      <w:bodyDiv w:val="1"/>
      <w:marLeft w:val="0"/>
      <w:marRight w:val="0"/>
      <w:marTop w:val="0"/>
      <w:marBottom w:val="0"/>
      <w:divBdr>
        <w:top w:val="none" w:sz="0" w:space="0" w:color="auto"/>
        <w:left w:val="none" w:sz="0" w:space="0" w:color="auto"/>
        <w:bottom w:val="none" w:sz="0" w:space="0" w:color="auto"/>
        <w:right w:val="none" w:sz="0" w:space="0" w:color="auto"/>
      </w:divBdr>
    </w:div>
    <w:div w:id="838275912">
      <w:bodyDiv w:val="1"/>
      <w:marLeft w:val="0"/>
      <w:marRight w:val="0"/>
      <w:marTop w:val="0"/>
      <w:marBottom w:val="0"/>
      <w:divBdr>
        <w:top w:val="none" w:sz="0" w:space="0" w:color="auto"/>
        <w:left w:val="none" w:sz="0" w:space="0" w:color="auto"/>
        <w:bottom w:val="none" w:sz="0" w:space="0" w:color="auto"/>
        <w:right w:val="none" w:sz="0" w:space="0" w:color="auto"/>
      </w:divBdr>
    </w:div>
    <w:div w:id="838539787">
      <w:bodyDiv w:val="1"/>
      <w:marLeft w:val="0"/>
      <w:marRight w:val="0"/>
      <w:marTop w:val="0"/>
      <w:marBottom w:val="0"/>
      <w:divBdr>
        <w:top w:val="none" w:sz="0" w:space="0" w:color="auto"/>
        <w:left w:val="none" w:sz="0" w:space="0" w:color="auto"/>
        <w:bottom w:val="none" w:sz="0" w:space="0" w:color="auto"/>
        <w:right w:val="none" w:sz="0" w:space="0" w:color="auto"/>
      </w:divBdr>
    </w:div>
    <w:div w:id="839849799">
      <w:bodyDiv w:val="1"/>
      <w:marLeft w:val="0"/>
      <w:marRight w:val="0"/>
      <w:marTop w:val="0"/>
      <w:marBottom w:val="0"/>
      <w:divBdr>
        <w:top w:val="none" w:sz="0" w:space="0" w:color="auto"/>
        <w:left w:val="none" w:sz="0" w:space="0" w:color="auto"/>
        <w:bottom w:val="none" w:sz="0" w:space="0" w:color="auto"/>
        <w:right w:val="none" w:sz="0" w:space="0" w:color="auto"/>
      </w:divBdr>
    </w:div>
    <w:div w:id="841120612">
      <w:bodyDiv w:val="1"/>
      <w:marLeft w:val="0"/>
      <w:marRight w:val="0"/>
      <w:marTop w:val="0"/>
      <w:marBottom w:val="0"/>
      <w:divBdr>
        <w:top w:val="none" w:sz="0" w:space="0" w:color="auto"/>
        <w:left w:val="none" w:sz="0" w:space="0" w:color="auto"/>
        <w:bottom w:val="none" w:sz="0" w:space="0" w:color="auto"/>
        <w:right w:val="none" w:sz="0" w:space="0" w:color="auto"/>
      </w:divBdr>
    </w:div>
    <w:div w:id="841817403">
      <w:bodyDiv w:val="1"/>
      <w:marLeft w:val="0"/>
      <w:marRight w:val="0"/>
      <w:marTop w:val="0"/>
      <w:marBottom w:val="0"/>
      <w:divBdr>
        <w:top w:val="none" w:sz="0" w:space="0" w:color="auto"/>
        <w:left w:val="none" w:sz="0" w:space="0" w:color="auto"/>
        <w:bottom w:val="none" w:sz="0" w:space="0" w:color="auto"/>
        <w:right w:val="none" w:sz="0" w:space="0" w:color="auto"/>
      </w:divBdr>
    </w:div>
    <w:div w:id="843126086">
      <w:bodyDiv w:val="1"/>
      <w:marLeft w:val="0"/>
      <w:marRight w:val="0"/>
      <w:marTop w:val="0"/>
      <w:marBottom w:val="0"/>
      <w:divBdr>
        <w:top w:val="none" w:sz="0" w:space="0" w:color="auto"/>
        <w:left w:val="none" w:sz="0" w:space="0" w:color="auto"/>
        <w:bottom w:val="none" w:sz="0" w:space="0" w:color="auto"/>
        <w:right w:val="none" w:sz="0" w:space="0" w:color="auto"/>
      </w:divBdr>
    </w:div>
    <w:div w:id="846946607">
      <w:bodyDiv w:val="1"/>
      <w:marLeft w:val="0"/>
      <w:marRight w:val="0"/>
      <w:marTop w:val="0"/>
      <w:marBottom w:val="0"/>
      <w:divBdr>
        <w:top w:val="none" w:sz="0" w:space="0" w:color="auto"/>
        <w:left w:val="none" w:sz="0" w:space="0" w:color="auto"/>
        <w:bottom w:val="none" w:sz="0" w:space="0" w:color="auto"/>
        <w:right w:val="none" w:sz="0" w:space="0" w:color="auto"/>
      </w:divBdr>
    </w:div>
    <w:div w:id="847136676">
      <w:bodyDiv w:val="1"/>
      <w:marLeft w:val="0"/>
      <w:marRight w:val="0"/>
      <w:marTop w:val="0"/>
      <w:marBottom w:val="0"/>
      <w:divBdr>
        <w:top w:val="none" w:sz="0" w:space="0" w:color="auto"/>
        <w:left w:val="none" w:sz="0" w:space="0" w:color="auto"/>
        <w:bottom w:val="none" w:sz="0" w:space="0" w:color="auto"/>
        <w:right w:val="none" w:sz="0" w:space="0" w:color="auto"/>
      </w:divBdr>
    </w:div>
    <w:div w:id="847138291">
      <w:bodyDiv w:val="1"/>
      <w:marLeft w:val="0"/>
      <w:marRight w:val="0"/>
      <w:marTop w:val="0"/>
      <w:marBottom w:val="0"/>
      <w:divBdr>
        <w:top w:val="none" w:sz="0" w:space="0" w:color="auto"/>
        <w:left w:val="none" w:sz="0" w:space="0" w:color="auto"/>
        <w:bottom w:val="none" w:sz="0" w:space="0" w:color="auto"/>
        <w:right w:val="none" w:sz="0" w:space="0" w:color="auto"/>
      </w:divBdr>
    </w:div>
    <w:div w:id="849181371">
      <w:bodyDiv w:val="1"/>
      <w:marLeft w:val="0"/>
      <w:marRight w:val="0"/>
      <w:marTop w:val="0"/>
      <w:marBottom w:val="0"/>
      <w:divBdr>
        <w:top w:val="none" w:sz="0" w:space="0" w:color="auto"/>
        <w:left w:val="none" w:sz="0" w:space="0" w:color="auto"/>
        <w:bottom w:val="none" w:sz="0" w:space="0" w:color="auto"/>
        <w:right w:val="none" w:sz="0" w:space="0" w:color="auto"/>
      </w:divBdr>
    </w:div>
    <w:div w:id="849873629">
      <w:bodyDiv w:val="1"/>
      <w:marLeft w:val="0"/>
      <w:marRight w:val="0"/>
      <w:marTop w:val="0"/>
      <w:marBottom w:val="0"/>
      <w:divBdr>
        <w:top w:val="none" w:sz="0" w:space="0" w:color="auto"/>
        <w:left w:val="none" w:sz="0" w:space="0" w:color="auto"/>
        <w:bottom w:val="none" w:sz="0" w:space="0" w:color="auto"/>
        <w:right w:val="none" w:sz="0" w:space="0" w:color="auto"/>
      </w:divBdr>
    </w:div>
    <w:div w:id="850295269">
      <w:bodyDiv w:val="1"/>
      <w:marLeft w:val="0"/>
      <w:marRight w:val="0"/>
      <w:marTop w:val="0"/>
      <w:marBottom w:val="0"/>
      <w:divBdr>
        <w:top w:val="none" w:sz="0" w:space="0" w:color="auto"/>
        <w:left w:val="none" w:sz="0" w:space="0" w:color="auto"/>
        <w:bottom w:val="none" w:sz="0" w:space="0" w:color="auto"/>
        <w:right w:val="none" w:sz="0" w:space="0" w:color="auto"/>
      </w:divBdr>
    </w:div>
    <w:div w:id="851264385">
      <w:bodyDiv w:val="1"/>
      <w:marLeft w:val="0"/>
      <w:marRight w:val="0"/>
      <w:marTop w:val="0"/>
      <w:marBottom w:val="0"/>
      <w:divBdr>
        <w:top w:val="none" w:sz="0" w:space="0" w:color="auto"/>
        <w:left w:val="none" w:sz="0" w:space="0" w:color="auto"/>
        <w:bottom w:val="none" w:sz="0" w:space="0" w:color="auto"/>
        <w:right w:val="none" w:sz="0" w:space="0" w:color="auto"/>
      </w:divBdr>
    </w:div>
    <w:div w:id="851643775">
      <w:bodyDiv w:val="1"/>
      <w:marLeft w:val="0"/>
      <w:marRight w:val="0"/>
      <w:marTop w:val="0"/>
      <w:marBottom w:val="0"/>
      <w:divBdr>
        <w:top w:val="none" w:sz="0" w:space="0" w:color="auto"/>
        <w:left w:val="none" w:sz="0" w:space="0" w:color="auto"/>
        <w:bottom w:val="none" w:sz="0" w:space="0" w:color="auto"/>
        <w:right w:val="none" w:sz="0" w:space="0" w:color="auto"/>
      </w:divBdr>
    </w:div>
    <w:div w:id="852260624">
      <w:bodyDiv w:val="1"/>
      <w:marLeft w:val="0"/>
      <w:marRight w:val="0"/>
      <w:marTop w:val="0"/>
      <w:marBottom w:val="0"/>
      <w:divBdr>
        <w:top w:val="none" w:sz="0" w:space="0" w:color="auto"/>
        <w:left w:val="none" w:sz="0" w:space="0" w:color="auto"/>
        <w:bottom w:val="none" w:sz="0" w:space="0" w:color="auto"/>
        <w:right w:val="none" w:sz="0" w:space="0" w:color="auto"/>
      </w:divBdr>
    </w:div>
    <w:div w:id="852302315">
      <w:bodyDiv w:val="1"/>
      <w:marLeft w:val="0"/>
      <w:marRight w:val="0"/>
      <w:marTop w:val="0"/>
      <w:marBottom w:val="0"/>
      <w:divBdr>
        <w:top w:val="none" w:sz="0" w:space="0" w:color="auto"/>
        <w:left w:val="none" w:sz="0" w:space="0" w:color="auto"/>
        <w:bottom w:val="none" w:sz="0" w:space="0" w:color="auto"/>
        <w:right w:val="none" w:sz="0" w:space="0" w:color="auto"/>
      </w:divBdr>
    </w:div>
    <w:div w:id="852573444">
      <w:bodyDiv w:val="1"/>
      <w:marLeft w:val="0"/>
      <w:marRight w:val="0"/>
      <w:marTop w:val="0"/>
      <w:marBottom w:val="0"/>
      <w:divBdr>
        <w:top w:val="none" w:sz="0" w:space="0" w:color="auto"/>
        <w:left w:val="none" w:sz="0" w:space="0" w:color="auto"/>
        <w:bottom w:val="none" w:sz="0" w:space="0" w:color="auto"/>
        <w:right w:val="none" w:sz="0" w:space="0" w:color="auto"/>
      </w:divBdr>
    </w:div>
    <w:div w:id="853610309">
      <w:bodyDiv w:val="1"/>
      <w:marLeft w:val="0"/>
      <w:marRight w:val="0"/>
      <w:marTop w:val="0"/>
      <w:marBottom w:val="0"/>
      <w:divBdr>
        <w:top w:val="none" w:sz="0" w:space="0" w:color="auto"/>
        <w:left w:val="none" w:sz="0" w:space="0" w:color="auto"/>
        <w:bottom w:val="none" w:sz="0" w:space="0" w:color="auto"/>
        <w:right w:val="none" w:sz="0" w:space="0" w:color="auto"/>
      </w:divBdr>
    </w:div>
    <w:div w:id="855191764">
      <w:bodyDiv w:val="1"/>
      <w:marLeft w:val="0"/>
      <w:marRight w:val="0"/>
      <w:marTop w:val="0"/>
      <w:marBottom w:val="0"/>
      <w:divBdr>
        <w:top w:val="none" w:sz="0" w:space="0" w:color="auto"/>
        <w:left w:val="none" w:sz="0" w:space="0" w:color="auto"/>
        <w:bottom w:val="none" w:sz="0" w:space="0" w:color="auto"/>
        <w:right w:val="none" w:sz="0" w:space="0" w:color="auto"/>
      </w:divBdr>
    </w:div>
    <w:div w:id="855919623">
      <w:bodyDiv w:val="1"/>
      <w:marLeft w:val="0"/>
      <w:marRight w:val="0"/>
      <w:marTop w:val="0"/>
      <w:marBottom w:val="0"/>
      <w:divBdr>
        <w:top w:val="none" w:sz="0" w:space="0" w:color="auto"/>
        <w:left w:val="none" w:sz="0" w:space="0" w:color="auto"/>
        <w:bottom w:val="none" w:sz="0" w:space="0" w:color="auto"/>
        <w:right w:val="none" w:sz="0" w:space="0" w:color="auto"/>
      </w:divBdr>
    </w:div>
    <w:div w:id="856576652">
      <w:bodyDiv w:val="1"/>
      <w:marLeft w:val="0"/>
      <w:marRight w:val="0"/>
      <w:marTop w:val="0"/>
      <w:marBottom w:val="0"/>
      <w:divBdr>
        <w:top w:val="none" w:sz="0" w:space="0" w:color="auto"/>
        <w:left w:val="none" w:sz="0" w:space="0" w:color="auto"/>
        <w:bottom w:val="none" w:sz="0" w:space="0" w:color="auto"/>
        <w:right w:val="none" w:sz="0" w:space="0" w:color="auto"/>
      </w:divBdr>
    </w:div>
    <w:div w:id="857305321">
      <w:bodyDiv w:val="1"/>
      <w:marLeft w:val="0"/>
      <w:marRight w:val="0"/>
      <w:marTop w:val="0"/>
      <w:marBottom w:val="0"/>
      <w:divBdr>
        <w:top w:val="none" w:sz="0" w:space="0" w:color="auto"/>
        <w:left w:val="none" w:sz="0" w:space="0" w:color="auto"/>
        <w:bottom w:val="none" w:sz="0" w:space="0" w:color="auto"/>
        <w:right w:val="none" w:sz="0" w:space="0" w:color="auto"/>
      </w:divBdr>
    </w:div>
    <w:div w:id="857424264">
      <w:bodyDiv w:val="1"/>
      <w:marLeft w:val="0"/>
      <w:marRight w:val="0"/>
      <w:marTop w:val="0"/>
      <w:marBottom w:val="0"/>
      <w:divBdr>
        <w:top w:val="none" w:sz="0" w:space="0" w:color="auto"/>
        <w:left w:val="none" w:sz="0" w:space="0" w:color="auto"/>
        <w:bottom w:val="none" w:sz="0" w:space="0" w:color="auto"/>
        <w:right w:val="none" w:sz="0" w:space="0" w:color="auto"/>
      </w:divBdr>
    </w:div>
    <w:div w:id="857432866">
      <w:bodyDiv w:val="1"/>
      <w:marLeft w:val="0"/>
      <w:marRight w:val="0"/>
      <w:marTop w:val="0"/>
      <w:marBottom w:val="0"/>
      <w:divBdr>
        <w:top w:val="none" w:sz="0" w:space="0" w:color="auto"/>
        <w:left w:val="none" w:sz="0" w:space="0" w:color="auto"/>
        <w:bottom w:val="none" w:sz="0" w:space="0" w:color="auto"/>
        <w:right w:val="none" w:sz="0" w:space="0" w:color="auto"/>
      </w:divBdr>
    </w:div>
    <w:div w:id="858473087">
      <w:bodyDiv w:val="1"/>
      <w:marLeft w:val="0"/>
      <w:marRight w:val="0"/>
      <w:marTop w:val="0"/>
      <w:marBottom w:val="0"/>
      <w:divBdr>
        <w:top w:val="none" w:sz="0" w:space="0" w:color="auto"/>
        <w:left w:val="none" w:sz="0" w:space="0" w:color="auto"/>
        <w:bottom w:val="none" w:sz="0" w:space="0" w:color="auto"/>
        <w:right w:val="none" w:sz="0" w:space="0" w:color="auto"/>
      </w:divBdr>
    </w:div>
    <w:div w:id="860972525">
      <w:bodyDiv w:val="1"/>
      <w:marLeft w:val="0"/>
      <w:marRight w:val="0"/>
      <w:marTop w:val="0"/>
      <w:marBottom w:val="0"/>
      <w:divBdr>
        <w:top w:val="none" w:sz="0" w:space="0" w:color="auto"/>
        <w:left w:val="none" w:sz="0" w:space="0" w:color="auto"/>
        <w:bottom w:val="none" w:sz="0" w:space="0" w:color="auto"/>
        <w:right w:val="none" w:sz="0" w:space="0" w:color="auto"/>
      </w:divBdr>
    </w:div>
    <w:div w:id="861360359">
      <w:bodyDiv w:val="1"/>
      <w:marLeft w:val="0"/>
      <w:marRight w:val="0"/>
      <w:marTop w:val="0"/>
      <w:marBottom w:val="0"/>
      <w:divBdr>
        <w:top w:val="none" w:sz="0" w:space="0" w:color="auto"/>
        <w:left w:val="none" w:sz="0" w:space="0" w:color="auto"/>
        <w:bottom w:val="none" w:sz="0" w:space="0" w:color="auto"/>
        <w:right w:val="none" w:sz="0" w:space="0" w:color="auto"/>
      </w:divBdr>
    </w:div>
    <w:div w:id="862401484">
      <w:bodyDiv w:val="1"/>
      <w:marLeft w:val="0"/>
      <w:marRight w:val="0"/>
      <w:marTop w:val="0"/>
      <w:marBottom w:val="0"/>
      <w:divBdr>
        <w:top w:val="none" w:sz="0" w:space="0" w:color="auto"/>
        <w:left w:val="none" w:sz="0" w:space="0" w:color="auto"/>
        <w:bottom w:val="none" w:sz="0" w:space="0" w:color="auto"/>
        <w:right w:val="none" w:sz="0" w:space="0" w:color="auto"/>
      </w:divBdr>
    </w:div>
    <w:div w:id="862668464">
      <w:bodyDiv w:val="1"/>
      <w:marLeft w:val="0"/>
      <w:marRight w:val="0"/>
      <w:marTop w:val="0"/>
      <w:marBottom w:val="0"/>
      <w:divBdr>
        <w:top w:val="none" w:sz="0" w:space="0" w:color="auto"/>
        <w:left w:val="none" w:sz="0" w:space="0" w:color="auto"/>
        <w:bottom w:val="none" w:sz="0" w:space="0" w:color="auto"/>
        <w:right w:val="none" w:sz="0" w:space="0" w:color="auto"/>
      </w:divBdr>
    </w:div>
    <w:div w:id="863708893">
      <w:bodyDiv w:val="1"/>
      <w:marLeft w:val="0"/>
      <w:marRight w:val="0"/>
      <w:marTop w:val="0"/>
      <w:marBottom w:val="0"/>
      <w:divBdr>
        <w:top w:val="none" w:sz="0" w:space="0" w:color="auto"/>
        <w:left w:val="none" w:sz="0" w:space="0" w:color="auto"/>
        <w:bottom w:val="none" w:sz="0" w:space="0" w:color="auto"/>
        <w:right w:val="none" w:sz="0" w:space="0" w:color="auto"/>
      </w:divBdr>
    </w:div>
    <w:div w:id="863788924">
      <w:bodyDiv w:val="1"/>
      <w:marLeft w:val="0"/>
      <w:marRight w:val="0"/>
      <w:marTop w:val="0"/>
      <w:marBottom w:val="0"/>
      <w:divBdr>
        <w:top w:val="none" w:sz="0" w:space="0" w:color="auto"/>
        <w:left w:val="none" w:sz="0" w:space="0" w:color="auto"/>
        <w:bottom w:val="none" w:sz="0" w:space="0" w:color="auto"/>
        <w:right w:val="none" w:sz="0" w:space="0" w:color="auto"/>
      </w:divBdr>
    </w:div>
    <w:div w:id="864682275">
      <w:bodyDiv w:val="1"/>
      <w:marLeft w:val="0"/>
      <w:marRight w:val="0"/>
      <w:marTop w:val="0"/>
      <w:marBottom w:val="0"/>
      <w:divBdr>
        <w:top w:val="none" w:sz="0" w:space="0" w:color="auto"/>
        <w:left w:val="none" w:sz="0" w:space="0" w:color="auto"/>
        <w:bottom w:val="none" w:sz="0" w:space="0" w:color="auto"/>
        <w:right w:val="none" w:sz="0" w:space="0" w:color="auto"/>
      </w:divBdr>
    </w:div>
    <w:div w:id="865562486">
      <w:bodyDiv w:val="1"/>
      <w:marLeft w:val="0"/>
      <w:marRight w:val="0"/>
      <w:marTop w:val="0"/>
      <w:marBottom w:val="0"/>
      <w:divBdr>
        <w:top w:val="none" w:sz="0" w:space="0" w:color="auto"/>
        <w:left w:val="none" w:sz="0" w:space="0" w:color="auto"/>
        <w:bottom w:val="none" w:sz="0" w:space="0" w:color="auto"/>
        <w:right w:val="none" w:sz="0" w:space="0" w:color="auto"/>
      </w:divBdr>
    </w:div>
    <w:div w:id="866212442">
      <w:bodyDiv w:val="1"/>
      <w:marLeft w:val="0"/>
      <w:marRight w:val="0"/>
      <w:marTop w:val="0"/>
      <w:marBottom w:val="0"/>
      <w:divBdr>
        <w:top w:val="none" w:sz="0" w:space="0" w:color="auto"/>
        <w:left w:val="none" w:sz="0" w:space="0" w:color="auto"/>
        <w:bottom w:val="none" w:sz="0" w:space="0" w:color="auto"/>
        <w:right w:val="none" w:sz="0" w:space="0" w:color="auto"/>
      </w:divBdr>
    </w:div>
    <w:div w:id="867987227">
      <w:bodyDiv w:val="1"/>
      <w:marLeft w:val="0"/>
      <w:marRight w:val="0"/>
      <w:marTop w:val="0"/>
      <w:marBottom w:val="0"/>
      <w:divBdr>
        <w:top w:val="none" w:sz="0" w:space="0" w:color="auto"/>
        <w:left w:val="none" w:sz="0" w:space="0" w:color="auto"/>
        <w:bottom w:val="none" w:sz="0" w:space="0" w:color="auto"/>
        <w:right w:val="none" w:sz="0" w:space="0" w:color="auto"/>
      </w:divBdr>
    </w:div>
    <w:div w:id="871765124">
      <w:bodyDiv w:val="1"/>
      <w:marLeft w:val="0"/>
      <w:marRight w:val="0"/>
      <w:marTop w:val="0"/>
      <w:marBottom w:val="0"/>
      <w:divBdr>
        <w:top w:val="none" w:sz="0" w:space="0" w:color="auto"/>
        <w:left w:val="none" w:sz="0" w:space="0" w:color="auto"/>
        <w:bottom w:val="none" w:sz="0" w:space="0" w:color="auto"/>
        <w:right w:val="none" w:sz="0" w:space="0" w:color="auto"/>
      </w:divBdr>
    </w:div>
    <w:div w:id="872033981">
      <w:bodyDiv w:val="1"/>
      <w:marLeft w:val="0"/>
      <w:marRight w:val="0"/>
      <w:marTop w:val="0"/>
      <w:marBottom w:val="0"/>
      <w:divBdr>
        <w:top w:val="none" w:sz="0" w:space="0" w:color="auto"/>
        <w:left w:val="none" w:sz="0" w:space="0" w:color="auto"/>
        <w:bottom w:val="none" w:sz="0" w:space="0" w:color="auto"/>
        <w:right w:val="none" w:sz="0" w:space="0" w:color="auto"/>
      </w:divBdr>
    </w:div>
    <w:div w:id="872614571">
      <w:bodyDiv w:val="1"/>
      <w:marLeft w:val="0"/>
      <w:marRight w:val="0"/>
      <w:marTop w:val="0"/>
      <w:marBottom w:val="0"/>
      <w:divBdr>
        <w:top w:val="none" w:sz="0" w:space="0" w:color="auto"/>
        <w:left w:val="none" w:sz="0" w:space="0" w:color="auto"/>
        <w:bottom w:val="none" w:sz="0" w:space="0" w:color="auto"/>
        <w:right w:val="none" w:sz="0" w:space="0" w:color="auto"/>
      </w:divBdr>
    </w:div>
    <w:div w:id="872962272">
      <w:bodyDiv w:val="1"/>
      <w:marLeft w:val="0"/>
      <w:marRight w:val="0"/>
      <w:marTop w:val="0"/>
      <w:marBottom w:val="0"/>
      <w:divBdr>
        <w:top w:val="none" w:sz="0" w:space="0" w:color="auto"/>
        <w:left w:val="none" w:sz="0" w:space="0" w:color="auto"/>
        <w:bottom w:val="none" w:sz="0" w:space="0" w:color="auto"/>
        <w:right w:val="none" w:sz="0" w:space="0" w:color="auto"/>
      </w:divBdr>
    </w:div>
    <w:div w:id="873663800">
      <w:bodyDiv w:val="1"/>
      <w:marLeft w:val="0"/>
      <w:marRight w:val="0"/>
      <w:marTop w:val="0"/>
      <w:marBottom w:val="0"/>
      <w:divBdr>
        <w:top w:val="none" w:sz="0" w:space="0" w:color="auto"/>
        <w:left w:val="none" w:sz="0" w:space="0" w:color="auto"/>
        <w:bottom w:val="none" w:sz="0" w:space="0" w:color="auto"/>
        <w:right w:val="none" w:sz="0" w:space="0" w:color="auto"/>
      </w:divBdr>
    </w:div>
    <w:div w:id="874270247">
      <w:bodyDiv w:val="1"/>
      <w:marLeft w:val="0"/>
      <w:marRight w:val="0"/>
      <w:marTop w:val="0"/>
      <w:marBottom w:val="0"/>
      <w:divBdr>
        <w:top w:val="none" w:sz="0" w:space="0" w:color="auto"/>
        <w:left w:val="none" w:sz="0" w:space="0" w:color="auto"/>
        <w:bottom w:val="none" w:sz="0" w:space="0" w:color="auto"/>
        <w:right w:val="none" w:sz="0" w:space="0" w:color="auto"/>
      </w:divBdr>
    </w:div>
    <w:div w:id="874544792">
      <w:bodyDiv w:val="1"/>
      <w:marLeft w:val="0"/>
      <w:marRight w:val="0"/>
      <w:marTop w:val="0"/>
      <w:marBottom w:val="0"/>
      <w:divBdr>
        <w:top w:val="none" w:sz="0" w:space="0" w:color="auto"/>
        <w:left w:val="none" w:sz="0" w:space="0" w:color="auto"/>
        <w:bottom w:val="none" w:sz="0" w:space="0" w:color="auto"/>
        <w:right w:val="none" w:sz="0" w:space="0" w:color="auto"/>
      </w:divBdr>
    </w:div>
    <w:div w:id="874583860">
      <w:bodyDiv w:val="1"/>
      <w:marLeft w:val="0"/>
      <w:marRight w:val="0"/>
      <w:marTop w:val="0"/>
      <w:marBottom w:val="0"/>
      <w:divBdr>
        <w:top w:val="none" w:sz="0" w:space="0" w:color="auto"/>
        <w:left w:val="none" w:sz="0" w:space="0" w:color="auto"/>
        <w:bottom w:val="none" w:sz="0" w:space="0" w:color="auto"/>
        <w:right w:val="none" w:sz="0" w:space="0" w:color="auto"/>
      </w:divBdr>
    </w:div>
    <w:div w:id="876114844">
      <w:bodyDiv w:val="1"/>
      <w:marLeft w:val="0"/>
      <w:marRight w:val="0"/>
      <w:marTop w:val="0"/>
      <w:marBottom w:val="0"/>
      <w:divBdr>
        <w:top w:val="none" w:sz="0" w:space="0" w:color="auto"/>
        <w:left w:val="none" w:sz="0" w:space="0" w:color="auto"/>
        <w:bottom w:val="none" w:sz="0" w:space="0" w:color="auto"/>
        <w:right w:val="none" w:sz="0" w:space="0" w:color="auto"/>
      </w:divBdr>
    </w:div>
    <w:div w:id="877012710">
      <w:bodyDiv w:val="1"/>
      <w:marLeft w:val="0"/>
      <w:marRight w:val="0"/>
      <w:marTop w:val="0"/>
      <w:marBottom w:val="0"/>
      <w:divBdr>
        <w:top w:val="none" w:sz="0" w:space="0" w:color="auto"/>
        <w:left w:val="none" w:sz="0" w:space="0" w:color="auto"/>
        <w:bottom w:val="none" w:sz="0" w:space="0" w:color="auto"/>
        <w:right w:val="none" w:sz="0" w:space="0" w:color="auto"/>
      </w:divBdr>
    </w:div>
    <w:div w:id="877474152">
      <w:bodyDiv w:val="1"/>
      <w:marLeft w:val="0"/>
      <w:marRight w:val="0"/>
      <w:marTop w:val="0"/>
      <w:marBottom w:val="0"/>
      <w:divBdr>
        <w:top w:val="none" w:sz="0" w:space="0" w:color="auto"/>
        <w:left w:val="none" w:sz="0" w:space="0" w:color="auto"/>
        <w:bottom w:val="none" w:sz="0" w:space="0" w:color="auto"/>
        <w:right w:val="none" w:sz="0" w:space="0" w:color="auto"/>
      </w:divBdr>
    </w:div>
    <w:div w:id="878665308">
      <w:bodyDiv w:val="1"/>
      <w:marLeft w:val="0"/>
      <w:marRight w:val="0"/>
      <w:marTop w:val="0"/>
      <w:marBottom w:val="0"/>
      <w:divBdr>
        <w:top w:val="none" w:sz="0" w:space="0" w:color="auto"/>
        <w:left w:val="none" w:sz="0" w:space="0" w:color="auto"/>
        <w:bottom w:val="none" w:sz="0" w:space="0" w:color="auto"/>
        <w:right w:val="none" w:sz="0" w:space="0" w:color="auto"/>
      </w:divBdr>
    </w:div>
    <w:div w:id="879511109">
      <w:bodyDiv w:val="1"/>
      <w:marLeft w:val="0"/>
      <w:marRight w:val="0"/>
      <w:marTop w:val="0"/>
      <w:marBottom w:val="0"/>
      <w:divBdr>
        <w:top w:val="none" w:sz="0" w:space="0" w:color="auto"/>
        <w:left w:val="none" w:sz="0" w:space="0" w:color="auto"/>
        <w:bottom w:val="none" w:sz="0" w:space="0" w:color="auto"/>
        <w:right w:val="none" w:sz="0" w:space="0" w:color="auto"/>
      </w:divBdr>
    </w:div>
    <w:div w:id="880937509">
      <w:bodyDiv w:val="1"/>
      <w:marLeft w:val="0"/>
      <w:marRight w:val="0"/>
      <w:marTop w:val="0"/>
      <w:marBottom w:val="0"/>
      <w:divBdr>
        <w:top w:val="none" w:sz="0" w:space="0" w:color="auto"/>
        <w:left w:val="none" w:sz="0" w:space="0" w:color="auto"/>
        <w:bottom w:val="none" w:sz="0" w:space="0" w:color="auto"/>
        <w:right w:val="none" w:sz="0" w:space="0" w:color="auto"/>
      </w:divBdr>
    </w:div>
    <w:div w:id="881670266">
      <w:bodyDiv w:val="1"/>
      <w:marLeft w:val="0"/>
      <w:marRight w:val="0"/>
      <w:marTop w:val="0"/>
      <w:marBottom w:val="0"/>
      <w:divBdr>
        <w:top w:val="none" w:sz="0" w:space="0" w:color="auto"/>
        <w:left w:val="none" w:sz="0" w:space="0" w:color="auto"/>
        <w:bottom w:val="none" w:sz="0" w:space="0" w:color="auto"/>
        <w:right w:val="none" w:sz="0" w:space="0" w:color="auto"/>
      </w:divBdr>
    </w:div>
    <w:div w:id="881869321">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83757072">
      <w:bodyDiv w:val="1"/>
      <w:marLeft w:val="0"/>
      <w:marRight w:val="0"/>
      <w:marTop w:val="0"/>
      <w:marBottom w:val="0"/>
      <w:divBdr>
        <w:top w:val="none" w:sz="0" w:space="0" w:color="auto"/>
        <w:left w:val="none" w:sz="0" w:space="0" w:color="auto"/>
        <w:bottom w:val="none" w:sz="0" w:space="0" w:color="auto"/>
        <w:right w:val="none" w:sz="0" w:space="0" w:color="auto"/>
      </w:divBdr>
    </w:div>
    <w:div w:id="884223005">
      <w:bodyDiv w:val="1"/>
      <w:marLeft w:val="0"/>
      <w:marRight w:val="0"/>
      <w:marTop w:val="0"/>
      <w:marBottom w:val="0"/>
      <w:divBdr>
        <w:top w:val="none" w:sz="0" w:space="0" w:color="auto"/>
        <w:left w:val="none" w:sz="0" w:space="0" w:color="auto"/>
        <w:bottom w:val="none" w:sz="0" w:space="0" w:color="auto"/>
        <w:right w:val="none" w:sz="0" w:space="0" w:color="auto"/>
      </w:divBdr>
    </w:div>
    <w:div w:id="885023882">
      <w:bodyDiv w:val="1"/>
      <w:marLeft w:val="0"/>
      <w:marRight w:val="0"/>
      <w:marTop w:val="0"/>
      <w:marBottom w:val="0"/>
      <w:divBdr>
        <w:top w:val="none" w:sz="0" w:space="0" w:color="auto"/>
        <w:left w:val="none" w:sz="0" w:space="0" w:color="auto"/>
        <w:bottom w:val="none" w:sz="0" w:space="0" w:color="auto"/>
        <w:right w:val="none" w:sz="0" w:space="0" w:color="auto"/>
      </w:divBdr>
    </w:div>
    <w:div w:id="885027467">
      <w:bodyDiv w:val="1"/>
      <w:marLeft w:val="0"/>
      <w:marRight w:val="0"/>
      <w:marTop w:val="0"/>
      <w:marBottom w:val="0"/>
      <w:divBdr>
        <w:top w:val="none" w:sz="0" w:space="0" w:color="auto"/>
        <w:left w:val="none" w:sz="0" w:space="0" w:color="auto"/>
        <w:bottom w:val="none" w:sz="0" w:space="0" w:color="auto"/>
        <w:right w:val="none" w:sz="0" w:space="0" w:color="auto"/>
      </w:divBdr>
    </w:div>
    <w:div w:id="885292930">
      <w:bodyDiv w:val="1"/>
      <w:marLeft w:val="0"/>
      <w:marRight w:val="0"/>
      <w:marTop w:val="0"/>
      <w:marBottom w:val="0"/>
      <w:divBdr>
        <w:top w:val="none" w:sz="0" w:space="0" w:color="auto"/>
        <w:left w:val="none" w:sz="0" w:space="0" w:color="auto"/>
        <w:bottom w:val="none" w:sz="0" w:space="0" w:color="auto"/>
        <w:right w:val="none" w:sz="0" w:space="0" w:color="auto"/>
      </w:divBdr>
    </w:div>
    <w:div w:id="885413377">
      <w:bodyDiv w:val="1"/>
      <w:marLeft w:val="0"/>
      <w:marRight w:val="0"/>
      <w:marTop w:val="0"/>
      <w:marBottom w:val="0"/>
      <w:divBdr>
        <w:top w:val="none" w:sz="0" w:space="0" w:color="auto"/>
        <w:left w:val="none" w:sz="0" w:space="0" w:color="auto"/>
        <w:bottom w:val="none" w:sz="0" w:space="0" w:color="auto"/>
        <w:right w:val="none" w:sz="0" w:space="0" w:color="auto"/>
      </w:divBdr>
    </w:div>
    <w:div w:id="885601238">
      <w:bodyDiv w:val="1"/>
      <w:marLeft w:val="0"/>
      <w:marRight w:val="0"/>
      <w:marTop w:val="0"/>
      <w:marBottom w:val="0"/>
      <w:divBdr>
        <w:top w:val="none" w:sz="0" w:space="0" w:color="auto"/>
        <w:left w:val="none" w:sz="0" w:space="0" w:color="auto"/>
        <w:bottom w:val="none" w:sz="0" w:space="0" w:color="auto"/>
        <w:right w:val="none" w:sz="0" w:space="0" w:color="auto"/>
      </w:divBdr>
    </w:div>
    <w:div w:id="887184905">
      <w:bodyDiv w:val="1"/>
      <w:marLeft w:val="0"/>
      <w:marRight w:val="0"/>
      <w:marTop w:val="0"/>
      <w:marBottom w:val="0"/>
      <w:divBdr>
        <w:top w:val="none" w:sz="0" w:space="0" w:color="auto"/>
        <w:left w:val="none" w:sz="0" w:space="0" w:color="auto"/>
        <w:bottom w:val="none" w:sz="0" w:space="0" w:color="auto"/>
        <w:right w:val="none" w:sz="0" w:space="0" w:color="auto"/>
      </w:divBdr>
    </w:div>
    <w:div w:id="887299659">
      <w:bodyDiv w:val="1"/>
      <w:marLeft w:val="0"/>
      <w:marRight w:val="0"/>
      <w:marTop w:val="0"/>
      <w:marBottom w:val="0"/>
      <w:divBdr>
        <w:top w:val="none" w:sz="0" w:space="0" w:color="auto"/>
        <w:left w:val="none" w:sz="0" w:space="0" w:color="auto"/>
        <w:bottom w:val="none" w:sz="0" w:space="0" w:color="auto"/>
        <w:right w:val="none" w:sz="0" w:space="0" w:color="auto"/>
      </w:divBdr>
    </w:div>
    <w:div w:id="887424494">
      <w:bodyDiv w:val="1"/>
      <w:marLeft w:val="0"/>
      <w:marRight w:val="0"/>
      <w:marTop w:val="0"/>
      <w:marBottom w:val="0"/>
      <w:divBdr>
        <w:top w:val="none" w:sz="0" w:space="0" w:color="auto"/>
        <w:left w:val="none" w:sz="0" w:space="0" w:color="auto"/>
        <w:bottom w:val="none" w:sz="0" w:space="0" w:color="auto"/>
        <w:right w:val="none" w:sz="0" w:space="0" w:color="auto"/>
      </w:divBdr>
    </w:div>
    <w:div w:id="889075398">
      <w:bodyDiv w:val="1"/>
      <w:marLeft w:val="0"/>
      <w:marRight w:val="0"/>
      <w:marTop w:val="0"/>
      <w:marBottom w:val="0"/>
      <w:divBdr>
        <w:top w:val="none" w:sz="0" w:space="0" w:color="auto"/>
        <w:left w:val="none" w:sz="0" w:space="0" w:color="auto"/>
        <w:bottom w:val="none" w:sz="0" w:space="0" w:color="auto"/>
        <w:right w:val="none" w:sz="0" w:space="0" w:color="auto"/>
      </w:divBdr>
    </w:div>
    <w:div w:id="889220545">
      <w:bodyDiv w:val="1"/>
      <w:marLeft w:val="0"/>
      <w:marRight w:val="0"/>
      <w:marTop w:val="0"/>
      <w:marBottom w:val="0"/>
      <w:divBdr>
        <w:top w:val="none" w:sz="0" w:space="0" w:color="auto"/>
        <w:left w:val="none" w:sz="0" w:space="0" w:color="auto"/>
        <w:bottom w:val="none" w:sz="0" w:space="0" w:color="auto"/>
        <w:right w:val="none" w:sz="0" w:space="0" w:color="auto"/>
      </w:divBdr>
    </w:div>
    <w:div w:id="889726861">
      <w:bodyDiv w:val="1"/>
      <w:marLeft w:val="0"/>
      <w:marRight w:val="0"/>
      <w:marTop w:val="0"/>
      <w:marBottom w:val="0"/>
      <w:divBdr>
        <w:top w:val="none" w:sz="0" w:space="0" w:color="auto"/>
        <w:left w:val="none" w:sz="0" w:space="0" w:color="auto"/>
        <w:bottom w:val="none" w:sz="0" w:space="0" w:color="auto"/>
        <w:right w:val="none" w:sz="0" w:space="0" w:color="auto"/>
      </w:divBdr>
    </w:div>
    <w:div w:id="889878617">
      <w:bodyDiv w:val="1"/>
      <w:marLeft w:val="0"/>
      <w:marRight w:val="0"/>
      <w:marTop w:val="0"/>
      <w:marBottom w:val="0"/>
      <w:divBdr>
        <w:top w:val="none" w:sz="0" w:space="0" w:color="auto"/>
        <w:left w:val="none" w:sz="0" w:space="0" w:color="auto"/>
        <w:bottom w:val="none" w:sz="0" w:space="0" w:color="auto"/>
        <w:right w:val="none" w:sz="0" w:space="0" w:color="auto"/>
      </w:divBdr>
    </w:div>
    <w:div w:id="891384373">
      <w:bodyDiv w:val="1"/>
      <w:marLeft w:val="0"/>
      <w:marRight w:val="0"/>
      <w:marTop w:val="0"/>
      <w:marBottom w:val="0"/>
      <w:divBdr>
        <w:top w:val="none" w:sz="0" w:space="0" w:color="auto"/>
        <w:left w:val="none" w:sz="0" w:space="0" w:color="auto"/>
        <w:bottom w:val="none" w:sz="0" w:space="0" w:color="auto"/>
        <w:right w:val="none" w:sz="0" w:space="0" w:color="auto"/>
      </w:divBdr>
    </w:div>
    <w:div w:id="891891584">
      <w:bodyDiv w:val="1"/>
      <w:marLeft w:val="0"/>
      <w:marRight w:val="0"/>
      <w:marTop w:val="0"/>
      <w:marBottom w:val="0"/>
      <w:divBdr>
        <w:top w:val="none" w:sz="0" w:space="0" w:color="auto"/>
        <w:left w:val="none" w:sz="0" w:space="0" w:color="auto"/>
        <w:bottom w:val="none" w:sz="0" w:space="0" w:color="auto"/>
        <w:right w:val="none" w:sz="0" w:space="0" w:color="auto"/>
      </w:divBdr>
    </w:div>
    <w:div w:id="892077530">
      <w:bodyDiv w:val="1"/>
      <w:marLeft w:val="0"/>
      <w:marRight w:val="0"/>
      <w:marTop w:val="0"/>
      <w:marBottom w:val="0"/>
      <w:divBdr>
        <w:top w:val="none" w:sz="0" w:space="0" w:color="auto"/>
        <w:left w:val="none" w:sz="0" w:space="0" w:color="auto"/>
        <w:bottom w:val="none" w:sz="0" w:space="0" w:color="auto"/>
        <w:right w:val="none" w:sz="0" w:space="0" w:color="auto"/>
      </w:divBdr>
    </w:div>
    <w:div w:id="892279391">
      <w:bodyDiv w:val="1"/>
      <w:marLeft w:val="0"/>
      <w:marRight w:val="0"/>
      <w:marTop w:val="0"/>
      <w:marBottom w:val="0"/>
      <w:divBdr>
        <w:top w:val="none" w:sz="0" w:space="0" w:color="auto"/>
        <w:left w:val="none" w:sz="0" w:space="0" w:color="auto"/>
        <w:bottom w:val="none" w:sz="0" w:space="0" w:color="auto"/>
        <w:right w:val="none" w:sz="0" w:space="0" w:color="auto"/>
      </w:divBdr>
    </w:div>
    <w:div w:id="897476015">
      <w:bodyDiv w:val="1"/>
      <w:marLeft w:val="0"/>
      <w:marRight w:val="0"/>
      <w:marTop w:val="0"/>
      <w:marBottom w:val="0"/>
      <w:divBdr>
        <w:top w:val="none" w:sz="0" w:space="0" w:color="auto"/>
        <w:left w:val="none" w:sz="0" w:space="0" w:color="auto"/>
        <w:bottom w:val="none" w:sz="0" w:space="0" w:color="auto"/>
        <w:right w:val="none" w:sz="0" w:space="0" w:color="auto"/>
      </w:divBdr>
    </w:div>
    <w:div w:id="897671339">
      <w:bodyDiv w:val="1"/>
      <w:marLeft w:val="0"/>
      <w:marRight w:val="0"/>
      <w:marTop w:val="0"/>
      <w:marBottom w:val="0"/>
      <w:divBdr>
        <w:top w:val="none" w:sz="0" w:space="0" w:color="auto"/>
        <w:left w:val="none" w:sz="0" w:space="0" w:color="auto"/>
        <w:bottom w:val="none" w:sz="0" w:space="0" w:color="auto"/>
        <w:right w:val="none" w:sz="0" w:space="0" w:color="auto"/>
      </w:divBdr>
    </w:div>
    <w:div w:id="898904816">
      <w:bodyDiv w:val="1"/>
      <w:marLeft w:val="0"/>
      <w:marRight w:val="0"/>
      <w:marTop w:val="0"/>
      <w:marBottom w:val="0"/>
      <w:divBdr>
        <w:top w:val="none" w:sz="0" w:space="0" w:color="auto"/>
        <w:left w:val="none" w:sz="0" w:space="0" w:color="auto"/>
        <w:bottom w:val="none" w:sz="0" w:space="0" w:color="auto"/>
        <w:right w:val="none" w:sz="0" w:space="0" w:color="auto"/>
      </w:divBdr>
    </w:div>
    <w:div w:id="899168757">
      <w:bodyDiv w:val="1"/>
      <w:marLeft w:val="0"/>
      <w:marRight w:val="0"/>
      <w:marTop w:val="0"/>
      <w:marBottom w:val="0"/>
      <w:divBdr>
        <w:top w:val="none" w:sz="0" w:space="0" w:color="auto"/>
        <w:left w:val="none" w:sz="0" w:space="0" w:color="auto"/>
        <w:bottom w:val="none" w:sz="0" w:space="0" w:color="auto"/>
        <w:right w:val="none" w:sz="0" w:space="0" w:color="auto"/>
      </w:divBdr>
    </w:div>
    <w:div w:id="900557837">
      <w:bodyDiv w:val="1"/>
      <w:marLeft w:val="0"/>
      <w:marRight w:val="0"/>
      <w:marTop w:val="0"/>
      <w:marBottom w:val="0"/>
      <w:divBdr>
        <w:top w:val="none" w:sz="0" w:space="0" w:color="auto"/>
        <w:left w:val="none" w:sz="0" w:space="0" w:color="auto"/>
        <w:bottom w:val="none" w:sz="0" w:space="0" w:color="auto"/>
        <w:right w:val="none" w:sz="0" w:space="0" w:color="auto"/>
      </w:divBdr>
    </w:div>
    <w:div w:id="903101062">
      <w:bodyDiv w:val="1"/>
      <w:marLeft w:val="0"/>
      <w:marRight w:val="0"/>
      <w:marTop w:val="0"/>
      <w:marBottom w:val="0"/>
      <w:divBdr>
        <w:top w:val="none" w:sz="0" w:space="0" w:color="auto"/>
        <w:left w:val="none" w:sz="0" w:space="0" w:color="auto"/>
        <w:bottom w:val="none" w:sz="0" w:space="0" w:color="auto"/>
        <w:right w:val="none" w:sz="0" w:space="0" w:color="auto"/>
      </w:divBdr>
    </w:div>
    <w:div w:id="905341527">
      <w:bodyDiv w:val="1"/>
      <w:marLeft w:val="0"/>
      <w:marRight w:val="0"/>
      <w:marTop w:val="0"/>
      <w:marBottom w:val="0"/>
      <w:divBdr>
        <w:top w:val="none" w:sz="0" w:space="0" w:color="auto"/>
        <w:left w:val="none" w:sz="0" w:space="0" w:color="auto"/>
        <w:bottom w:val="none" w:sz="0" w:space="0" w:color="auto"/>
        <w:right w:val="none" w:sz="0" w:space="0" w:color="auto"/>
      </w:divBdr>
    </w:div>
    <w:div w:id="905530133">
      <w:bodyDiv w:val="1"/>
      <w:marLeft w:val="0"/>
      <w:marRight w:val="0"/>
      <w:marTop w:val="0"/>
      <w:marBottom w:val="0"/>
      <w:divBdr>
        <w:top w:val="none" w:sz="0" w:space="0" w:color="auto"/>
        <w:left w:val="none" w:sz="0" w:space="0" w:color="auto"/>
        <w:bottom w:val="none" w:sz="0" w:space="0" w:color="auto"/>
        <w:right w:val="none" w:sz="0" w:space="0" w:color="auto"/>
      </w:divBdr>
    </w:div>
    <w:div w:id="905604349">
      <w:bodyDiv w:val="1"/>
      <w:marLeft w:val="0"/>
      <w:marRight w:val="0"/>
      <w:marTop w:val="0"/>
      <w:marBottom w:val="0"/>
      <w:divBdr>
        <w:top w:val="none" w:sz="0" w:space="0" w:color="auto"/>
        <w:left w:val="none" w:sz="0" w:space="0" w:color="auto"/>
        <w:bottom w:val="none" w:sz="0" w:space="0" w:color="auto"/>
        <w:right w:val="none" w:sz="0" w:space="0" w:color="auto"/>
      </w:divBdr>
    </w:div>
    <w:div w:id="907575097">
      <w:bodyDiv w:val="1"/>
      <w:marLeft w:val="0"/>
      <w:marRight w:val="0"/>
      <w:marTop w:val="0"/>
      <w:marBottom w:val="0"/>
      <w:divBdr>
        <w:top w:val="none" w:sz="0" w:space="0" w:color="auto"/>
        <w:left w:val="none" w:sz="0" w:space="0" w:color="auto"/>
        <w:bottom w:val="none" w:sz="0" w:space="0" w:color="auto"/>
        <w:right w:val="none" w:sz="0" w:space="0" w:color="auto"/>
      </w:divBdr>
    </w:div>
    <w:div w:id="907809205">
      <w:bodyDiv w:val="1"/>
      <w:marLeft w:val="0"/>
      <w:marRight w:val="0"/>
      <w:marTop w:val="0"/>
      <w:marBottom w:val="0"/>
      <w:divBdr>
        <w:top w:val="none" w:sz="0" w:space="0" w:color="auto"/>
        <w:left w:val="none" w:sz="0" w:space="0" w:color="auto"/>
        <w:bottom w:val="none" w:sz="0" w:space="0" w:color="auto"/>
        <w:right w:val="none" w:sz="0" w:space="0" w:color="auto"/>
      </w:divBdr>
    </w:div>
    <w:div w:id="909581342">
      <w:bodyDiv w:val="1"/>
      <w:marLeft w:val="0"/>
      <w:marRight w:val="0"/>
      <w:marTop w:val="0"/>
      <w:marBottom w:val="0"/>
      <w:divBdr>
        <w:top w:val="none" w:sz="0" w:space="0" w:color="auto"/>
        <w:left w:val="none" w:sz="0" w:space="0" w:color="auto"/>
        <w:bottom w:val="none" w:sz="0" w:space="0" w:color="auto"/>
        <w:right w:val="none" w:sz="0" w:space="0" w:color="auto"/>
      </w:divBdr>
    </w:div>
    <w:div w:id="910428153">
      <w:bodyDiv w:val="1"/>
      <w:marLeft w:val="0"/>
      <w:marRight w:val="0"/>
      <w:marTop w:val="0"/>
      <w:marBottom w:val="0"/>
      <w:divBdr>
        <w:top w:val="none" w:sz="0" w:space="0" w:color="auto"/>
        <w:left w:val="none" w:sz="0" w:space="0" w:color="auto"/>
        <w:bottom w:val="none" w:sz="0" w:space="0" w:color="auto"/>
        <w:right w:val="none" w:sz="0" w:space="0" w:color="auto"/>
      </w:divBdr>
    </w:div>
    <w:div w:id="913128170">
      <w:bodyDiv w:val="1"/>
      <w:marLeft w:val="0"/>
      <w:marRight w:val="0"/>
      <w:marTop w:val="0"/>
      <w:marBottom w:val="0"/>
      <w:divBdr>
        <w:top w:val="none" w:sz="0" w:space="0" w:color="auto"/>
        <w:left w:val="none" w:sz="0" w:space="0" w:color="auto"/>
        <w:bottom w:val="none" w:sz="0" w:space="0" w:color="auto"/>
        <w:right w:val="none" w:sz="0" w:space="0" w:color="auto"/>
      </w:divBdr>
    </w:div>
    <w:div w:id="913320841">
      <w:bodyDiv w:val="1"/>
      <w:marLeft w:val="0"/>
      <w:marRight w:val="0"/>
      <w:marTop w:val="0"/>
      <w:marBottom w:val="0"/>
      <w:divBdr>
        <w:top w:val="none" w:sz="0" w:space="0" w:color="auto"/>
        <w:left w:val="none" w:sz="0" w:space="0" w:color="auto"/>
        <w:bottom w:val="none" w:sz="0" w:space="0" w:color="auto"/>
        <w:right w:val="none" w:sz="0" w:space="0" w:color="auto"/>
      </w:divBdr>
    </w:div>
    <w:div w:id="914361442">
      <w:bodyDiv w:val="1"/>
      <w:marLeft w:val="0"/>
      <w:marRight w:val="0"/>
      <w:marTop w:val="0"/>
      <w:marBottom w:val="0"/>
      <w:divBdr>
        <w:top w:val="none" w:sz="0" w:space="0" w:color="auto"/>
        <w:left w:val="none" w:sz="0" w:space="0" w:color="auto"/>
        <w:bottom w:val="none" w:sz="0" w:space="0" w:color="auto"/>
        <w:right w:val="none" w:sz="0" w:space="0" w:color="auto"/>
      </w:divBdr>
    </w:div>
    <w:div w:id="915670672">
      <w:bodyDiv w:val="1"/>
      <w:marLeft w:val="0"/>
      <w:marRight w:val="0"/>
      <w:marTop w:val="0"/>
      <w:marBottom w:val="0"/>
      <w:divBdr>
        <w:top w:val="none" w:sz="0" w:space="0" w:color="auto"/>
        <w:left w:val="none" w:sz="0" w:space="0" w:color="auto"/>
        <w:bottom w:val="none" w:sz="0" w:space="0" w:color="auto"/>
        <w:right w:val="none" w:sz="0" w:space="0" w:color="auto"/>
      </w:divBdr>
    </w:div>
    <w:div w:id="915945182">
      <w:bodyDiv w:val="1"/>
      <w:marLeft w:val="0"/>
      <w:marRight w:val="0"/>
      <w:marTop w:val="0"/>
      <w:marBottom w:val="0"/>
      <w:divBdr>
        <w:top w:val="none" w:sz="0" w:space="0" w:color="auto"/>
        <w:left w:val="none" w:sz="0" w:space="0" w:color="auto"/>
        <w:bottom w:val="none" w:sz="0" w:space="0" w:color="auto"/>
        <w:right w:val="none" w:sz="0" w:space="0" w:color="auto"/>
      </w:divBdr>
    </w:div>
    <w:div w:id="916208908">
      <w:bodyDiv w:val="1"/>
      <w:marLeft w:val="0"/>
      <w:marRight w:val="0"/>
      <w:marTop w:val="0"/>
      <w:marBottom w:val="0"/>
      <w:divBdr>
        <w:top w:val="none" w:sz="0" w:space="0" w:color="auto"/>
        <w:left w:val="none" w:sz="0" w:space="0" w:color="auto"/>
        <w:bottom w:val="none" w:sz="0" w:space="0" w:color="auto"/>
        <w:right w:val="none" w:sz="0" w:space="0" w:color="auto"/>
      </w:divBdr>
    </w:div>
    <w:div w:id="916667375">
      <w:bodyDiv w:val="1"/>
      <w:marLeft w:val="0"/>
      <w:marRight w:val="0"/>
      <w:marTop w:val="0"/>
      <w:marBottom w:val="0"/>
      <w:divBdr>
        <w:top w:val="none" w:sz="0" w:space="0" w:color="auto"/>
        <w:left w:val="none" w:sz="0" w:space="0" w:color="auto"/>
        <w:bottom w:val="none" w:sz="0" w:space="0" w:color="auto"/>
        <w:right w:val="none" w:sz="0" w:space="0" w:color="auto"/>
      </w:divBdr>
    </w:div>
    <w:div w:id="916670913">
      <w:bodyDiv w:val="1"/>
      <w:marLeft w:val="0"/>
      <w:marRight w:val="0"/>
      <w:marTop w:val="0"/>
      <w:marBottom w:val="0"/>
      <w:divBdr>
        <w:top w:val="none" w:sz="0" w:space="0" w:color="auto"/>
        <w:left w:val="none" w:sz="0" w:space="0" w:color="auto"/>
        <w:bottom w:val="none" w:sz="0" w:space="0" w:color="auto"/>
        <w:right w:val="none" w:sz="0" w:space="0" w:color="auto"/>
      </w:divBdr>
    </w:div>
    <w:div w:id="918101619">
      <w:bodyDiv w:val="1"/>
      <w:marLeft w:val="0"/>
      <w:marRight w:val="0"/>
      <w:marTop w:val="0"/>
      <w:marBottom w:val="0"/>
      <w:divBdr>
        <w:top w:val="none" w:sz="0" w:space="0" w:color="auto"/>
        <w:left w:val="none" w:sz="0" w:space="0" w:color="auto"/>
        <w:bottom w:val="none" w:sz="0" w:space="0" w:color="auto"/>
        <w:right w:val="none" w:sz="0" w:space="0" w:color="auto"/>
      </w:divBdr>
    </w:div>
    <w:div w:id="921255289">
      <w:bodyDiv w:val="1"/>
      <w:marLeft w:val="0"/>
      <w:marRight w:val="0"/>
      <w:marTop w:val="0"/>
      <w:marBottom w:val="0"/>
      <w:divBdr>
        <w:top w:val="none" w:sz="0" w:space="0" w:color="auto"/>
        <w:left w:val="none" w:sz="0" w:space="0" w:color="auto"/>
        <w:bottom w:val="none" w:sz="0" w:space="0" w:color="auto"/>
        <w:right w:val="none" w:sz="0" w:space="0" w:color="auto"/>
      </w:divBdr>
    </w:div>
    <w:div w:id="922180672">
      <w:bodyDiv w:val="1"/>
      <w:marLeft w:val="0"/>
      <w:marRight w:val="0"/>
      <w:marTop w:val="0"/>
      <w:marBottom w:val="0"/>
      <w:divBdr>
        <w:top w:val="none" w:sz="0" w:space="0" w:color="auto"/>
        <w:left w:val="none" w:sz="0" w:space="0" w:color="auto"/>
        <w:bottom w:val="none" w:sz="0" w:space="0" w:color="auto"/>
        <w:right w:val="none" w:sz="0" w:space="0" w:color="auto"/>
      </w:divBdr>
    </w:div>
    <w:div w:id="923296897">
      <w:bodyDiv w:val="1"/>
      <w:marLeft w:val="0"/>
      <w:marRight w:val="0"/>
      <w:marTop w:val="0"/>
      <w:marBottom w:val="0"/>
      <w:divBdr>
        <w:top w:val="none" w:sz="0" w:space="0" w:color="auto"/>
        <w:left w:val="none" w:sz="0" w:space="0" w:color="auto"/>
        <w:bottom w:val="none" w:sz="0" w:space="0" w:color="auto"/>
        <w:right w:val="none" w:sz="0" w:space="0" w:color="auto"/>
      </w:divBdr>
    </w:div>
    <w:div w:id="923883589">
      <w:bodyDiv w:val="1"/>
      <w:marLeft w:val="0"/>
      <w:marRight w:val="0"/>
      <w:marTop w:val="0"/>
      <w:marBottom w:val="0"/>
      <w:divBdr>
        <w:top w:val="none" w:sz="0" w:space="0" w:color="auto"/>
        <w:left w:val="none" w:sz="0" w:space="0" w:color="auto"/>
        <w:bottom w:val="none" w:sz="0" w:space="0" w:color="auto"/>
        <w:right w:val="none" w:sz="0" w:space="0" w:color="auto"/>
      </w:divBdr>
    </w:div>
    <w:div w:id="924805378">
      <w:bodyDiv w:val="1"/>
      <w:marLeft w:val="0"/>
      <w:marRight w:val="0"/>
      <w:marTop w:val="0"/>
      <w:marBottom w:val="0"/>
      <w:divBdr>
        <w:top w:val="none" w:sz="0" w:space="0" w:color="auto"/>
        <w:left w:val="none" w:sz="0" w:space="0" w:color="auto"/>
        <w:bottom w:val="none" w:sz="0" w:space="0" w:color="auto"/>
        <w:right w:val="none" w:sz="0" w:space="0" w:color="auto"/>
      </w:divBdr>
    </w:div>
    <w:div w:id="924996948">
      <w:bodyDiv w:val="1"/>
      <w:marLeft w:val="0"/>
      <w:marRight w:val="0"/>
      <w:marTop w:val="0"/>
      <w:marBottom w:val="0"/>
      <w:divBdr>
        <w:top w:val="none" w:sz="0" w:space="0" w:color="auto"/>
        <w:left w:val="none" w:sz="0" w:space="0" w:color="auto"/>
        <w:bottom w:val="none" w:sz="0" w:space="0" w:color="auto"/>
        <w:right w:val="none" w:sz="0" w:space="0" w:color="auto"/>
      </w:divBdr>
    </w:div>
    <w:div w:id="925499677">
      <w:bodyDiv w:val="1"/>
      <w:marLeft w:val="0"/>
      <w:marRight w:val="0"/>
      <w:marTop w:val="0"/>
      <w:marBottom w:val="0"/>
      <w:divBdr>
        <w:top w:val="none" w:sz="0" w:space="0" w:color="auto"/>
        <w:left w:val="none" w:sz="0" w:space="0" w:color="auto"/>
        <w:bottom w:val="none" w:sz="0" w:space="0" w:color="auto"/>
        <w:right w:val="none" w:sz="0" w:space="0" w:color="auto"/>
      </w:divBdr>
    </w:div>
    <w:div w:id="925772660">
      <w:bodyDiv w:val="1"/>
      <w:marLeft w:val="0"/>
      <w:marRight w:val="0"/>
      <w:marTop w:val="0"/>
      <w:marBottom w:val="0"/>
      <w:divBdr>
        <w:top w:val="none" w:sz="0" w:space="0" w:color="auto"/>
        <w:left w:val="none" w:sz="0" w:space="0" w:color="auto"/>
        <w:bottom w:val="none" w:sz="0" w:space="0" w:color="auto"/>
        <w:right w:val="none" w:sz="0" w:space="0" w:color="auto"/>
      </w:divBdr>
    </w:div>
    <w:div w:id="926354097">
      <w:bodyDiv w:val="1"/>
      <w:marLeft w:val="0"/>
      <w:marRight w:val="0"/>
      <w:marTop w:val="0"/>
      <w:marBottom w:val="0"/>
      <w:divBdr>
        <w:top w:val="none" w:sz="0" w:space="0" w:color="auto"/>
        <w:left w:val="none" w:sz="0" w:space="0" w:color="auto"/>
        <w:bottom w:val="none" w:sz="0" w:space="0" w:color="auto"/>
        <w:right w:val="none" w:sz="0" w:space="0" w:color="auto"/>
      </w:divBdr>
    </w:div>
    <w:div w:id="926579182">
      <w:bodyDiv w:val="1"/>
      <w:marLeft w:val="0"/>
      <w:marRight w:val="0"/>
      <w:marTop w:val="0"/>
      <w:marBottom w:val="0"/>
      <w:divBdr>
        <w:top w:val="none" w:sz="0" w:space="0" w:color="auto"/>
        <w:left w:val="none" w:sz="0" w:space="0" w:color="auto"/>
        <w:bottom w:val="none" w:sz="0" w:space="0" w:color="auto"/>
        <w:right w:val="none" w:sz="0" w:space="0" w:color="auto"/>
      </w:divBdr>
    </w:div>
    <w:div w:id="926620631">
      <w:bodyDiv w:val="1"/>
      <w:marLeft w:val="0"/>
      <w:marRight w:val="0"/>
      <w:marTop w:val="0"/>
      <w:marBottom w:val="0"/>
      <w:divBdr>
        <w:top w:val="none" w:sz="0" w:space="0" w:color="auto"/>
        <w:left w:val="none" w:sz="0" w:space="0" w:color="auto"/>
        <w:bottom w:val="none" w:sz="0" w:space="0" w:color="auto"/>
        <w:right w:val="none" w:sz="0" w:space="0" w:color="auto"/>
      </w:divBdr>
    </w:div>
    <w:div w:id="928542963">
      <w:bodyDiv w:val="1"/>
      <w:marLeft w:val="0"/>
      <w:marRight w:val="0"/>
      <w:marTop w:val="0"/>
      <w:marBottom w:val="0"/>
      <w:divBdr>
        <w:top w:val="none" w:sz="0" w:space="0" w:color="auto"/>
        <w:left w:val="none" w:sz="0" w:space="0" w:color="auto"/>
        <w:bottom w:val="none" w:sz="0" w:space="0" w:color="auto"/>
        <w:right w:val="none" w:sz="0" w:space="0" w:color="auto"/>
      </w:divBdr>
    </w:div>
    <w:div w:id="928778649">
      <w:bodyDiv w:val="1"/>
      <w:marLeft w:val="0"/>
      <w:marRight w:val="0"/>
      <w:marTop w:val="0"/>
      <w:marBottom w:val="0"/>
      <w:divBdr>
        <w:top w:val="none" w:sz="0" w:space="0" w:color="auto"/>
        <w:left w:val="none" w:sz="0" w:space="0" w:color="auto"/>
        <w:bottom w:val="none" w:sz="0" w:space="0" w:color="auto"/>
        <w:right w:val="none" w:sz="0" w:space="0" w:color="auto"/>
      </w:divBdr>
    </w:div>
    <w:div w:id="931204161">
      <w:bodyDiv w:val="1"/>
      <w:marLeft w:val="0"/>
      <w:marRight w:val="0"/>
      <w:marTop w:val="0"/>
      <w:marBottom w:val="0"/>
      <w:divBdr>
        <w:top w:val="none" w:sz="0" w:space="0" w:color="auto"/>
        <w:left w:val="none" w:sz="0" w:space="0" w:color="auto"/>
        <w:bottom w:val="none" w:sz="0" w:space="0" w:color="auto"/>
        <w:right w:val="none" w:sz="0" w:space="0" w:color="auto"/>
      </w:divBdr>
    </w:div>
    <w:div w:id="931864044">
      <w:bodyDiv w:val="1"/>
      <w:marLeft w:val="0"/>
      <w:marRight w:val="0"/>
      <w:marTop w:val="0"/>
      <w:marBottom w:val="0"/>
      <w:divBdr>
        <w:top w:val="none" w:sz="0" w:space="0" w:color="auto"/>
        <w:left w:val="none" w:sz="0" w:space="0" w:color="auto"/>
        <w:bottom w:val="none" w:sz="0" w:space="0" w:color="auto"/>
        <w:right w:val="none" w:sz="0" w:space="0" w:color="auto"/>
      </w:divBdr>
    </w:div>
    <w:div w:id="932669507">
      <w:bodyDiv w:val="1"/>
      <w:marLeft w:val="0"/>
      <w:marRight w:val="0"/>
      <w:marTop w:val="0"/>
      <w:marBottom w:val="0"/>
      <w:divBdr>
        <w:top w:val="none" w:sz="0" w:space="0" w:color="auto"/>
        <w:left w:val="none" w:sz="0" w:space="0" w:color="auto"/>
        <w:bottom w:val="none" w:sz="0" w:space="0" w:color="auto"/>
        <w:right w:val="none" w:sz="0" w:space="0" w:color="auto"/>
      </w:divBdr>
    </w:div>
    <w:div w:id="933827825">
      <w:bodyDiv w:val="1"/>
      <w:marLeft w:val="0"/>
      <w:marRight w:val="0"/>
      <w:marTop w:val="0"/>
      <w:marBottom w:val="0"/>
      <w:divBdr>
        <w:top w:val="none" w:sz="0" w:space="0" w:color="auto"/>
        <w:left w:val="none" w:sz="0" w:space="0" w:color="auto"/>
        <w:bottom w:val="none" w:sz="0" w:space="0" w:color="auto"/>
        <w:right w:val="none" w:sz="0" w:space="0" w:color="auto"/>
      </w:divBdr>
    </w:div>
    <w:div w:id="934438079">
      <w:bodyDiv w:val="1"/>
      <w:marLeft w:val="0"/>
      <w:marRight w:val="0"/>
      <w:marTop w:val="0"/>
      <w:marBottom w:val="0"/>
      <w:divBdr>
        <w:top w:val="none" w:sz="0" w:space="0" w:color="auto"/>
        <w:left w:val="none" w:sz="0" w:space="0" w:color="auto"/>
        <w:bottom w:val="none" w:sz="0" w:space="0" w:color="auto"/>
        <w:right w:val="none" w:sz="0" w:space="0" w:color="auto"/>
      </w:divBdr>
    </w:div>
    <w:div w:id="936599288">
      <w:bodyDiv w:val="1"/>
      <w:marLeft w:val="0"/>
      <w:marRight w:val="0"/>
      <w:marTop w:val="0"/>
      <w:marBottom w:val="0"/>
      <w:divBdr>
        <w:top w:val="none" w:sz="0" w:space="0" w:color="auto"/>
        <w:left w:val="none" w:sz="0" w:space="0" w:color="auto"/>
        <w:bottom w:val="none" w:sz="0" w:space="0" w:color="auto"/>
        <w:right w:val="none" w:sz="0" w:space="0" w:color="auto"/>
      </w:divBdr>
    </w:div>
    <w:div w:id="937981752">
      <w:bodyDiv w:val="1"/>
      <w:marLeft w:val="0"/>
      <w:marRight w:val="0"/>
      <w:marTop w:val="0"/>
      <w:marBottom w:val="0"/>
      <w:divBdr>
        <w:top w:val="none" w:sz="0" w:space="0" w:color="auto"/>
        <w:left w:val="none" w:sz="0" w:space="0" w:color="auto"/>
        <w:bottom w:val="none" w:sz="0" w:space="0" w:color="auto"/>
        <w:right w:val="none" w:sz="0" w:space="0" w:color="auto"/>
      </w:divBdr>
    </w:div>
    <w:div w:id="938178616">
      <w:bodyDiv w:val="1"/>
      <w:marLeft w:val="0"/>
      <w:marRight w:val="0"/>
      <w:marTop w:val="0"/>
      <w:marBottom w:val="0"/>
      <w:divBdr>
        <w:top w:val="none" w:sz="0" w:space="0" w:color="auto"/>
        <w:left w:val="none" w:sz="0" w:space="0" w:color="auto"/>
        <w:bottom w:val="none" w:sz="0" w:space="0" w:color="auto"/>
        <w:right w:val="none" w:sz="0" w:space="0" w:color="auto"/>
      </w:divBdr>
    </w:div>
    <w:div w:id="939415685">
      <w:bodyDiv w:val="1"/>
      <w:marLeft w:val="0"/>
      <w:marRight w:val="0"/>
      <w:marTop w:val="0"/>
      <w:marBottom w:val="0"/>
      <w:divBdr>
        <w:top w:val="none" w:sz="0" w:space="0" w:color="auto"/>
        <w:left w:val="none" w:sz="0" w:space="0" w:color="auto"/>
        <w:bottom w:val="none" w:sz="0" w:space="0" w:color="auto"/>
        <w:right w:val="none" w:sz="0" w:space="0" w:color="auto"/>
      </w:divBdr>
    </w:div>
    <w:div w:id="939724440">
      <w:bodyDiv w:val="1"/>
      <w:marLeft w:val="0"/>
      <w:marRight w:val="0"/>
      <w:marTop w:val="0"/>
      <w:marBottom w:val="0"/>
      <w:divBdr>
        <w:top w:val="none" w:sz="0" w:space="0" w:color="auto"/>
        <w:left w:val="none" w:sz="0" w:space="0" w:color="auto"/>
        <w:bottom w:val="none" w:sz="0" w:space="0" w:color="auto"/>
        <w:right w:val="none" w:sz="0" w:space="0" w:color="auto"/>
      </w:divBdr>
    </w:div>
    <w:div w:id="940068802">
      <w:bodyDiv w:val="1"/>
      <w:marLeft w:val="0"/>
      <w:marRight w:val="0"/>
      <w:marTop w:val="0"/>
      <w:marBottom w:val="0"/>
      <w:divBdr>
        <w:top w:val="none" w:sz="0" w:space="0" w:color="auto"/>
        <w:left w:val="none" w:sz="0" w:space="0" w:color="auto"/>
        <w:bottom w:val="none" w:sz="0" w:space="0" w:color="auto"/>
        <w:right w:val="none" w:sz="0" w:space="0" w:color="auto"/>
      </w:divBdr>
    </w:div>
    <w:div w:id="941063938">
      <w:bodyDiv w:val="1"/>
      <w:marLeft w:val="0"/>
      <w:marRight w:val="0"/>
      <w:marTop w:val="0"/>
      <w:marBottom w:val="0"/>
      <w:divBdr>
        <w:top w:val="none" w:sz="0" w:space="0" w:color="auto"/>
        <w:left w:val="none" w:sz="0" w:space="0" w:color="auto"/>
        <w:bottom w:val="none" w:sz="0" w:space="0" w:color="auto"/>
        <w:right w:val="none" w:sz="0" w:space="0" w:color="auto"/>
      </w:divBdr>
    </w:div>
    <w:div w:id="942107552">
      <w:bodyDiv w:val="1"/>
      <w:marLeft w:val="0"/>
      <w:marRight w:val="0"/>
      <w:marTop w:val="0"/>
      <w:marBottom w:val="0"/>
      <w:divBdr>
        <w:top w:val="none" w:sz="0" w:space="0" w:color="auto"/>
        <w:left w:val="none" w:sz="0" w:space="0" w:color="auto"/>
        <w:bottom w:val="none" w:sz="0" w:space="0" w:color="auto"/>
        <w:right w:val="none" w:sz="0" w:space="0" w:color="auto"/>
      </w:divBdr>
    </w:div>
    <w:div w:id="943532660">
      <w:bodyDiv w:val="1"/>
      <w:marLeft w:val="0"/>
      <w:marRight w:val="0"/>
      <w:marTop w:val="0"/>
      <w:marBottom w:val="0"/>
      <w:divBdr>
        <w:top w:val="none" w:sz="0" w:space="0" w:color="auto"/>
        <w:left w:val="none" w:sz="0" w:space="0" w:color="auto"/>
        <w:bottom w:val="none" w:sz="0" w:space="0" w:color="auto"/>
        <w:right w:val="none" w:sz="0" w:space="0" w:color="auto"/>
      </w:divBdr>
    </w:div>
    <w:div w:id="943536681">
      <w:bodyDiv w:val="1"/>
      <w:marLeft w:val="0"/>
      <w:marRight w:val="0"/>
      <w:marTop w:val="0"/>
      <w:marBottom w:val="0"/>
      <w:divBdr>
        <w:top w:val="none" w:sz="0" w:space="0" w:color="auto"/>
        <w:left w:val="none" w:sz="0" w:space="0" w:color="auto"/>
        <w:bottom w:val="none" w:sz="0" w:space="0" w:color="auto"/>
        <w:right w:val="none" w:sz="0" w:space="0" w:color="auto"/>
      </w:divBdr>
    </w:div>
    <w:div w:id="943538588">
      <w:bodyDiv w:val="1"/>
      <w:marLeft w:val="0"/>
      <w:marRight w:val="0"/>
      <w:marTop w:val="0"/>
      <w:marBottom w:val="0"/>
      <w:divBdr>
        <w:top w:val="none" w:sz="0" w:space="0" w:color="auto"/>
        <w:left w:val="none" w:sz="0" w:space="0" w:color="auto"/>
        <w:bottom w:val="none" w:sz="0" w:space="0" w:color="auto"/>
        <w:right w:val="none" w:sz="0" w:space="0" w:color="auto"/>
      </w:divBdr>
    </w:div>
    <w:div w:id="944658423">
      <w:bodyDiv w:val="1"/>
      <w:marLeft w:val="0"/>
      <w:marRight w:val="0"/>
      <w:marTop w:val="0"/>
      <w:marBottom w:val="0"/>
      <w:divBdr>
        <w:top w:val="none" w:sz="0" w:space="0" w:color="auto"/>
        <w:left w:val="none" w:sz="0" w:space="0" w:color="auto"/>
        <w:bottom w:val="none" w:sz="0" w:space="0" w:color="auto"/>
        <w:right w:val="none" w:sz="0" w:space="0" w:color="auto"/>
      </w:divBdr>
    </w:div>
    <w:div w:id="944851999">
      <w:bodyDiv w:val="1"/>
      <w:marLeft w:val="0"/>
      <w:marRight w:val="0"/>
      <w:marTop w:val="0"/>
      <w:marBottom w:val="0"/>
      <w:divBdr>
        <w:top w:val="none" w:sz="0" w:space="0" w:color="auto"/>
        <w:left w:val="none" w:sz="0" w:space="0" w:color="auto"/>
        <w:bottom w:val="none" w:sz="0" w:space="0" w:color="auto"/>
        <w:right w:val="none" w:sz="0" w:space="0" w:color="auto"/>
      </w:divBdr>
    </w:div>
    <w:div w:id="947274037">
      <w:bodyDiv w:val="1"/>
      <w:marLeft w:val="0"/>
      <w:marRight w:val="0"/>
      <w:marTop w:val="0"/>
      <w:marBottom w:val="0"/>
      <w:divBdr>
        <w:top w:val="none" w:sz="0" w:space="0" w:color="auto"/>
        <w:left w:val="none" w:sz="0" w:space="0" w:color="auto"/>
        <w:bottom w:val="none" w:sz="0" w:space="0" w:color="auto"/>
        <w:right w:val="none" w:sz="0" w:space="0" w:color="auto"/>
      </w:divBdr>
    </w:div>
    <w:div w:id="948508208">
      <w:bodyDiv w:val="1"/>
      <w:marLeft w:val="0"/>
      <w:marRight w:val="0"/>
      <w:marTop w:val="0"/>
      <w:marBottom w:val="0"/>
      <w:divBdr>
        <w:top w:val="none" w:sz="0" w:space="0" w:color="auto"/>
        <w:left w:val="none" w:sz="0" w:space="0" w:color="auto"/>
        <w:bottom w:val="none" w:sz="0" w:space="0" w:color="auto"/>
        <w:right w:val="none" w:sz="0" w:space="0" w:color="auto"/>
      </w:divBdr>
    </w:div>
    <w:div w:id="949629768">
      <w:bodyDiv w:val="1"/>
      <w:marLeft w:val="0"/>
      <w:marRight w:val="0"/>
      <w:marTop w:val="0"/>
      <w:marBottom w:val="0"/>
      <w:divBdr>
        <w:top w:val="none" w:sz="0" w:space="0" w:color="auto"/>
        <w:left w:val="none" w:sz="0" w:space="0" w:color="auto"/>
        <w:bottom w:val="none" w:sz="0" w:space="0" w:color="auto"/>
        <w:right w:val="none" w:sz="0" w:space="0" w:color="auto"/>
      </w:divBdr>
    </w:div>
    <w:div w:id="950165943">
      <w:bodyDiv w:val="1"/>
      <w:marLeft w:val="0"/>
      <w:marRight w:val="0"/>
      <w:marTop w:val="0"/>
      <w:marBottom w:val="0"/>
      <w:divBdr>
        <w:top w:val="none" w:sz="0" w:space="0" w:color="auto"/>
        <w:left w:val="none" w:sz="0" w:space="0" w:color="auto"/>
        <w:bottom w:val="none" w:sz="0" w:space="0" w:color="auto"/>
        <w:right w:val="none" w:sz="0" w:space="0" w:color="auto"/>
      </w:divBdr>
    </w:div>
    <w:div w:id="950475551">
      <w:bodyDiv w:val="1"/>
      <w:marLeft w:val="0"/>
      <w:marRight w:val="0"/>
      <w:marTop w:val="0"/>
      <w:marBottom w:val="0"/>
      <w:divBdr>
        <w:top w:val="none" w:sz="0" w:space="0" w:color="auto"/>
        <w:left w:val="none" w:sz="0" w:space="0" w:color="auto"/>
        <w:bottom w:val="none" w:sz="0" w:space="0" w:color="auto"/>
        <w:right w:val="none" w:sz="0" w:space="0" w:color="auto"/>
      </w:divBdr>
    </w:div>
    <w:div w:id="950865103">
      <w:bodyDiv w:val="1"/>
      <w:marLeft w:val="0"/>
      <w:marRight w:val="0"/>
      <w:marTop w:val="0"/>
      <w:marBottom w:val="0"/>
      <w:divBdr>
        <w:top w:val="none" w:sz="0" w:space="0" w:color="auto"/>
        <w:left w:val="none" w:sz="0" w:space="0" w:color="auto"/>
        <w:bottom w:val="none" w:sz="0" w:space="0" w:color="auto"/>
        <w:right w:val="none" w:sz="0" w:space="0" w:color="auto"/>
      </w:divBdr>
    </w:div>
    <w:div w:id="951013022">
      <w:bodyDiv w:val="1"/>
      <w:marLeft w:val="0"/>
      <w:marRight w:val="0"/>
      <w:marTop w:val="0"/>
      <w:marBottom w:val="0"/>
      <w:divBdr>
        <w:top w:val="none" w:sz="0" w:space="0" w:color="auto"/>
        <w:left w:val="none" w:sz="0" w:space="0" w:color="auto"/>
        <w:bottom w:val="none" w:sz="0" w:space="0" w:color="auto"/>
        <w:right w:val="none" w:sz="0" w:space="0" w:color="auto"/>
      </w:divBdr>
    </w:div>
    <w:div w:id="951085562">
      <w:bodyDiv w:val="1"/>
      <w:marLeft w:val="0"/>
      <w:marRight w:val="0"/>
      <w:marTop w:val="0"/>
      <w:marBottom w:val="0"/>
      <w:divBdr>
        <w:top w:val="none" w:sz="0" w:space="0" w:color="auto"/>
        <w:left w:val="none" w:sz="0" w:space="0" w:color="auto"/>
        <w:bottom w:val="none" w:sz="0" w:space="0" w:color="auto"/>
        <w:right w:val="none" w:sz="0" w:space="0" w:color="auto"/>
      </w:divBdr>
    </w:div>
    <w:div w:id="951399912">
      <w:bodyDiv w:val="1"/>
      <w:marLeft w:val="0"/>
      <w:marRight w:val="0"/>
      <w:marTop w:val="0"/>
      <w:marBottom w:val="0"/>
      <w:divBdr>
        <w:top w:val="none" w:sz="0" w:space="0" w:color="auto"/>
        <w:left w:val="none" w:sz="0" w:space="0" w:color="auto"/>
        <w:bottom w:val="none" w:sz="0" w:space="0" w:color="auto"/>
        <w:right w:val="none" w:sz="0" w:space="0" w:color="auto"/>
      </w:divBdr>
    </w:div>
    <w:div w:id="952054416">
      <w:bodyDiv w:val="1"/>
      <w:marLeft w:val="0"/>
      <w:marRight w:val="0"/>
      <w:marTop w:val="0"/>
      <w:marBottom w:val="0"/>
      <w:divBdr>
        <w:top w:val="none" w:sz="0" w:space="0" w:color="auto"/>
        <w:left w:val="none" w:sz="0" w:space="0" w:color="auto"/>
        <w:bottom w:val="none" w:sz="0" w:space="0" w:color="auto"/>
        <w:right w:val="none" w:sz="0" w:space="0" w:color="auto"/>
      </w:divBdr>
    </w:div>
    <w:div w:id="952908827">
      <w:bodyDiv w:val="1"/>
      <w:marLeft w:val="0"/>
      <w:marRight w:val="0"/>
      <w:marTop w:val="0"/>
      <w:marBottom w:val="0"/>
      <w:divBdr>
        <w:top w:val="none" w:sz="0" w:space="0" w:color="auto"/>
        <w:left w:val="none" w:sz="0" w:space="0" w:color="auto"/>
        <w:bottom w:val="none" w:sz="0" w:space="0" w:color="auto"/>
        <w:right w:val="none" w:sz="0" w:space="0" w:color="auto"/>
      </w:divBdr>
    </w:div>
    <w:div w:id="954940838">
      <w:bodyDiv w:val="1"/>
      <w:marLeft w:val="0"/>
      <w:marRight w:val="0"/>
      <w:marTop w:val="0"/>
      <w:marBottom w:val="0"/>
      <w:divBdr>
        <w:top w:val="none" w:sz="0" w:space="0" w:color="auto"/>
        <w:left w:val="none" w:sz="0" w:space="0" w:color="auto"/>
        <w:bottom w:val="none" w:sz="0" w:space="0" w:color="auto"/>
        <w:right w:val="none" w:sz="0" w:space="0" w:color="auto"/>
      </w:divBdr>
    </w:div>
    <w:div w:id="956789262">
      <w:bodyDiv w:val="1"/>
      <w:marLeft w:val="0"/>
      <w:marRight w:val="0"/>
      <w:marTop w:val="0"/>
      <w:marBottom w:val="0"/>
      <w:divBdr>
        <w:top w:val="none" w:sz="0" w:space="0" w:color="auto"/>
        <w:left w:val="none" w:sz="0" w:space="0" w:color="auto"/>
        <w:bottom w:val="none" w:sz="0" w:space="0" w:color="auto"/>
        <w:right w:val="none" w:sz="0" w:space="0" w:color="auto"/>
      </w:divBdr>
    </w:div>
    <w:div w:id="958410757">
      <w:bodyDiv w:val="1"/>
      <w:marLeft w:val="0"/>
      <w:marRight w:val="0"/>
      <w:marTop w:val="0"/>
      <w:marBottom w:val="0"/>
      <w:divBdr>
        <w:top w:val="none" w:sz="0" w:space="0" w:color="auto"/>
        <w:left w:val="none" w:sz="0" w:space="0" w:color="auto"/>
        <w:bottom w:val="none" w:sz="0" w:space="0" w:color="auto"/>
        <w:right w:val="none" w:sz="0" w:space="0" w:color="auto"/>
      </w:divBdr>
    </w:div>
    <w:div w:id="958485572">
      <w:bodyDiv w:val="1"/>
      <w:marLeft w:val="0"/>
      <w:marRight w:val="0"/>
      <w:marTop w:val="0"/>
      <w:marBottom w:val="0"/>
      <w:divBdr>
        <w:top w:val="none" w:sz="0" w:space="0" w:color="auto"/>
        <w:left w:val="none" w:sz="0" w:space="0" w:color="auto"/>
        <w:bottom w:val="none" w:sz="0" w:space="0" w:color="auto"/>
        <w:right w:val="none" w:sz="0" w:space="0" w:color="auto"/>
      </w:divBdr>
    </w:div>
    <w:div w:id="958993662">
      <w:bodyDiv w:val="1"/>
      <w:marLeft w:val="0"/>
      <w:marRight w:val="0"/>
      <w:marTop w:val="0"/>
      <w:marBottom w:val="0"/>
      <w:divBdr>
        <w:top w:val="none" w:sz="0" w:space="0" w:color="auto"/>
        <w:left w:val="none" w:sz="0" w:space="0" w:color="auto"/>
        <w:bottom w:val="none" w:sz="0" w:space="0" w:color="auto"/>
        <w:right w:val="none" w:sz="0" w:space="0" w:color="auto"/>
      </w:divBdr>
    </w:div>
    <w:div w:id="961232898">
      <w:bodyDiv w:val="1"/>
      <w:marLeft w:val="0"/>
      <w:marRight w:val="0"/>
      <w:marTop w:val="0"/>
      <w:marBottom w:val="0"/>
      <w:divBdr>
        <w:top w:val="none" w:sz="0" w:space="0" w:color="auto"/>
        <w:left w:val="none" w:sz="0" w:space="0" w:color="auto"/>
        <w:bottom w:val="none" w:sz="0" w:space="0" w:color="auto"/>
        <w:right w:val="none" w:sz="0" w:space="0" w:color="auto"/>
      </w:divBdr>
    </w:div>
    <w:div w:id="961570541">
      <w:bodyDiv w:val="1"/>
      <w:marLeft w:val="0"/>
      <w:marRight w:val="0"/>
      <w:marTop w:val="0"/>
      <w:marBottom w:val="0"/>
      <w:divBdr>
        <w:top w:val="none" w:sz="0" w:space="0" w:color="auto"/>
        <w:left w:val="none" w:sz="0" w:space="0" w:color="auto"/>
        <w:bottom w:val="none" w:sz="0" w:space="0" w:color="auto"/>
        <w:right w:val="none" w:sz="0" w:space="0" w:color="auto"/>
      </w:divBdr>
    </w:div>
    <w:div w:id="962230302">
      <w:bodyDiv w:val="1"/>
      <w:marLeft w:val="0"/>
      <w:marRight w:val="0"/>
      <w:marTop w:val="0"/>
      <w:marBottom w:val="0"/>
      <w:divBdr>
        <w:top w:val="none" w:sz="0" w:space="0" w:color="auto"/>
        <w:left w:val="none" w:sz="0" w:space="0" w:color="auto"/>
        <w:bottom w:val="none" w:sz="0" w:space="0" w:color="auto"/>
        <w:right w:val="none" w:sz="0" w:space="0" w:color="auto"/>
      </w:divBdr>
    </w:div>
    <w:div w:id="965701564">
      <w:bodyDiv w:val="1"/>
      <w:marLeft w:val="0"/>
      <w:marRight w:val="0"/>
      <w:marTop w:val="0"/>
      <w:marBottom w:val="0"/>
      <w:divBdr>
        <w:top w:val="none" w:sz="0" w:space="0" w:color="auto"/>
        <w:left w:val="none" w:sz="0" w:space="0" w:color="auto"/>
        <w:bottom w:val="none" w:sz="0" w:space="0" w:color="auto"/>
        <w:right w:val="none" w:sz="0" w:space="0" w:color="auto"/>
      </w:divBdr>
    </w:div>
    <w:div w:id="965887022">
      <w:bodyDiv w:val="1"/>
      <w:marLeft w:val="0"/>
      <w:marRight w:val="0"/>
      <w:marTop w:val="0"/>
      <w:marBottom w:val="0"/>
      <w:divBdr>
        <w:top w:val="none" w:sz="0" w:space="0" w:color="auto"/>
        <w:left w:val="none" w:sz="0" w:space="0" w:color="auto"/>
        <w:bottom w:val="none" w:sz="0" w:space="0" w:color="auto"/>
        <w:right w:val="none" w:sz="0" w:space="0" w:color="auto"/>
      </w:divBdr>
    </w:div>
    <w:div w:id="965965772">
      <w:bodyDiv w:val="1"/>
      <w:marLeft w:val="0"/>
      <w:marRight w:val="0"/>
      <w:marTop w:val="0"/>
      <w:marBottom w:val="0"/>
      <w:divBdr>
        <w:top w:val="none" w:sz="0" w:space="0" w:color="auto"/>
        <w:left w:val="none" w:sz="0" w:space="0" w:color="auto"/>
        <w:bottom w:val="none" w:sz="0" w:space="0" w:color="auto"/>
        <w:right w:val="none" w:sz="0" w:space="0" w:color="auto"/>
      </w:divBdr>
    </w:div>
    <w:div w:id="967903437">
      <w:bodyDiv w:val="1"/>
      <w:marLeft w:val="0"/>
      <w:marRight w:val="0"/>
      <w:marTop w:val="0"/>
      <w:marBottom w:val="0"/>
      <w:divBdr>
        <w:top w:val="none" w:sz="0" w:space="0" w:color="auto"/>
        <w:left w:val="none" w:sz="0" w:space="0" w:color="auto"/>
        <w:bottom w:val="none" w:sz="0" w:space="0" w:color="auto"/>
        <w:right w:val="none" w:sz="0" w:space="0" w:color="auto"/>
      </w:divBdr>
    </w:div>
    <w:div w:id="968898066">
      <w:bodyDiv w:val="1"/>
      <w:marLeft w:val="0"/>
      <w:marRight w:val="0"/>
      <w:marTop w:val="0"/>
      <w:marBottom w:val="0"/>
      <w:divBdr>
        <w:top w:val="none" w:sz="0" w:space="0" w:color="auto"/>
        <w:left w:val="none" w:sz="0" w:space="0" w:color="auto"/>
        <w:bottom w:val="none" w:sz="0" w:space="0" w:color="auto"/>
        <w:right w:val="none" w:sz="0" w:space="0" w:color="auto"/>
      </w:divBdr>
    </w:div>
    <w:div w:id="969479336">
      <w:bodyDiv w:val="1"/>
      <w:marLeft w:val="0"/>
      <w:marRight w:val="0"/>
      <w:marTop w:val="0"/>
      <w:marBottom w:val="0"/>
      <w:divBdr>
        <w:top w:val="none" w:sz="0" w:space="0" w:color="auto"/>
        <w:left w:val="none" w:sz="0" w:space="0" w:color="auto"/>
        <w:bottom w:val="none" w:sz="0" w:space="0" w:color="auto"/>
        <w:right w:val="none" w:sz="0" w:space="0" w:color="auto"/>
      </w:divBdr>
    </w:div>
    <w:div w:id="970982881">
      <w:bodyDiv w:val="1"/>
      <w:marLeft w:val="0"/>
      <w:marRight w:val="0"/>
      <w:marTop w:val="0"/>
      <w:marBottom w:val="0"/>
      <w:divBdr>
        <w:top w:val="none" w:sz="0" w:space="0" w:color="auto"/>
        <w:left w:val="none" w:sz="0" w:space="0" w:color="auto"/>
        <w:bottom w:val="none" w:sz="0" w:space="0" w:color="auto"/>
        <w:right w:val="none" w:sz="0" w:space="0" w:color="auto"/>
      </w:divBdr>
    </w:div>
    <w:div w:id="971397855">
      <w:bodyDiv w:val="1"/>
      <w:marLeft w:val="0"/>
      <w:marRight w:val="0"/>
      <w:marTop w:val="0"/>
      <w:marBottom w:val="0"/>
      <w:divBdr>
        <w:top w:val="none" w:sz="0" w:space="0" w:color="auto"/>
        <w:left w:val="none" w:sz="0" w:space="0" w:color="auto"/>
        <w:bottom w:val="none" w:sz="0" w:space="0" w:color="auto"/>
        <w:right w:val="none" w:sz="0" w:space="0" w:color="auto"/>
      </w:divBdr>
    </w:div>
    <w:div w:id="971860241">
      <w:bodyDiv w:val="1"/>
      <w:marLeft w:val="0"/>
      <w:marRight w:val="0"/>
      <w:marTop w:val="0"/>
      <w:marBottom w:val="0"/>
      <w:divBdr>
        <w:top w:val="none" w:sz="0" w:space="0" w:color="auto"/>
        <w:left w:val="none" w:sz="0" w:space="0" w:color="auto"/>
        <w:bottom w:val="none" w:sz="0" w:space="0" w:color="auto"/>
        <w:right w:val="none" w:sz="0" w:space="0" w:color="auto"/>
      </w:divBdr>
    </w:div>
    <w:div w:id="971978044">
      <w:bodyDiv w:val="1"/>
      <w:marLeft w:val="0"/>
      <w:marRight w:val="0"/>
      <w:marTop w:val="0"/>
      <w:marBottom w:val="0"/>
      <w:divBdr>
        <w:top w:val="none" w:sz="0" w:space="0" w:color="auto"/>
        <w:left w:val="none" w:sz="0" w:space="0" w:color="auto"/>
        <w:bottom w:val="none" w:sz="0" w:space="0" w:color="auto"/>
        <w:right w:val="none" w:sz="0" w:space="0" w:color="auto"/>
      </w:divBdr>
    </w:div>
    <w:div w:id="976375021">
      <w:bodyDiv w:val="1"/>
      <w:marLeft w:val="0"/>
      <w:marRight w:val="0"/>
      <w:marTop w:val="0"/>
      <w:marBottom w:val="0"/>
      <w:divBdr>
        <w:top w:val="none" w:sz="0" w:space="0" w:color="auto"/>
        <w:left w:val="none" w:sz="0" w:space="0" w:color="auto"/>
        <w:bottom w:val="none" w:sz="0" w:space="0" w:color="auto"/>
        <w:right w:val="none" w:sz="0" w:space="0" w:color="auto"/>
      </w:divBdr>
    </w:div>
    <w:div w:id="978150708">
      <w:bodyDiv w:val="1"/>
      <w:marLeft w:val="0"/>
      <w:marRight w:val="0"/>
      <w:marTop w:val="0"/>
      <w:marBottom w:val="0"/>
      <w:divBdr>
        <w:top w:val="none" w:sz="0" w:space="0" w:color="auto"/>
        <w:left w:val="none" w:sz="0" w:space="0" w:color="auto"/>
        <w:bottom w:val="none" w:sz="0" w:space="0" w:color="auto"/>
        <w:right w:val="none" w:sz="0" w:space="0" w:color="auto"/>
      </w:divBdr>
    </w:div>
    <w:div w:id="979725290">
      <w:bodyDiv w:val="1"/>
      <w:marLeft w:val="0"/>
      <w:marRight w:val="0"/>
      <w:marTop w:val="0"/>
      <w:marBottom w:val="0"/>
      <w:divBdr>
        <w:top w:val="none" w:sz="0" w:space="0" w:color="auto"/>
        <w:left w:val="none" w:sz="0" w:space="0" w:color="auto"/>
        <w:bottom w:val="none" w:sz="0" w:space="0" w:color="auto"/>
        <w:right w:val="none" w:sz="0" w:space="0" w:color="auto"/>
      </w:divBdr>
    </w:div>
    <w:div w:id="980424185">
      <w:bodyDiv w:val="1"/>
      <w:marLeft w:val="0"/>
      <w:marRight w:val="0"/>
      <w:marTop w:val="0"/>
      <w:marBottom w:val="0"/>
      <w:divBdr>
        <w:top w:val="none" w:sz="0" w:space="0" w:color="auto"/>
        <w:left w:val="none" w:sz="0" w:space="0" w:color="auto"/>
        <w:bottom w:val="none" w:sz="0" w:space="0" w:color="auto"/>
        <w:right w:val="none" w:sz="0" w:space="0" w:color="auto"/>
      </w:divBdr>
    </w:div>
    <w:div w:id="981229224">
      <w:bodyDiv w:val="1"/>
      <w:marLeft w:val="0"/>
      <w:marRight w:val="0"/>
      <w:marTop w:val="0"/>
      <w:marBottom w:val="0"/>
      <w:divBdr>
        <w:top w:val="none" w:sz="0" w:space="0" w:color="auto"/>
        <w:left w:val="none" w:sz="0" w:space="0" w:color="auto"/>
        <w:bottom w:val="none" w:sz="0" w:space="0" w:color="auto"/>
        <w:right w:val="none" w:sz="0" w:space="0" w:color="auto"/>
      </w:divBdr>
    </w:div>
    <w:div w:id="981814619">
      <w:bodyDiv w:val="1"/>
      <w:marLeft w:val="0"/>
      <w:marRight w:val="0"/>
      <w:marTop w:val="0"/>
      <w:marBottom w:val="0"/>
      <w:divBdr>
        <w:top w:val="none" w:sz="0" w:space="0" w:color="auto"/>
        <w:left w:val="none" w:sz="0" w:space="0" w:color="auto"/>
        <w:bottom w:val="none" w:sz="0" w:space="0" w:color="auto"/>
        <w:right w:val="none" w:sz="0" w:space="0" w:color="auto"/>
      </w:divBdr>
    </w:div>
    <w:div w:id="983847901">
      <w:bodyDiv w:val="1"/>
      <w:marLeft w:val="0"/>
      <w:marRight w:val="0"/>
      <w:marTop w:val="0"/>
      <w:marBottom w:val="0"/>
      <w:divBdr>
        <w:top w:val="none" w:sz="0" w:space="0" w:color="auto"/>
        <w:left w:val="none" w:sz="0" w:space="0" w:color="auto"/>
        <w:bottom w:val="none" w:sz="0" w:space="0" w:color="auto"/>
        <w:right w:val="none" w:sz="0" w:space="0" w:color="auto"/>
      </w:divBdr>
    </w:div>
    <w:div w:id="984046772">
      <w:bodyDiv w:val="1"/>
      <w:marLeft w:val="0"/>
      <w:marRight w:val="0"/>
      <w:marTop w:val="0"/>
      <w:marBottom w:val="0"/>
      <w:divBdr>
        <w:top w:val="none" w:sz="0" w:space="0" w:color="auto"/>
        <w:left w:val="none" w:sz="0" w:space="0" w:color="auto"/>
        <w:bottom w:val="none" w:sz="0" w:space="0" w:color="auto"/>
        <w:right w:val="none" w:sz="0" w:space="0" w:color="auto"/>
      </w:divBdr>
    </w:div>
    <w:div w:id="984088684">
      <w:bodyDiv w:val="1"/>
      <w:marLeft w:val="0"/>
      <w:marRight w:val="0"/>
      <w:marTop w:val="0"/>
      <w:marBottom w:val="0"/>
      <w:divBdr>
        <w:top w:val="none" w:sz="0" w:space="0" w:color="auto"/>
        <w:left w:val="none" w:sz="0" w:space="0" w:color="auto"/>
        <w:bottom w:val="none" w:sz="0" w:space="0" w:color="auto"/>
        <w:right w:val="none" w:sz="0" w:space="0" w:color="auto"/>
      </w:divBdr>
    </w:div>
    <w:div w:id="985160989">
      <w:bodyDiv w:val="1"/>
      <w:marLeft w:val="0"/>
      <w:marRight w:val="0"/>
      <w:marTop w:val="0"/>
      <w:marBottom w:val="0"/>
      <w:divBdr>
        <w:top w:val="none" w:sz="0" w:space="0" w:color="auto"/>
        <w:left w:val="none" w:sz="0" w:space="0" w:color="auto"/>
        <w:bottom w:val="none" w:sz="0" w:space="0" w:color="auto"/>
        <w:right w:val="none" w:sz="0" w:space="0" w:color="auto"/>
      </w:divBdr>
    </w:div>
    <w:div w:id="986393547">
      <w:bodyDiv w:val="1"/>
      <w:marLeft w:val="0"/>
      <w:marRight w:val="0"/>
      <w:marTop w:val="0"/>
      <w:marBottom w:val="0"/>
      <w:divBdr>
        <w:top w:val="none" w:sz="0" w:space="0" w:color="auto"/>
        <w:left w:val="none" w:sz="0" w:space="0" w:color="auto"/>
        <w:bottom w:val="none" w:sz="0" w:space="0" w:color="auto"/>
        <w:right w:val="none" w:sz="0" w:space="0" w:color="auto"/>
      </w:divBdr>
    </w:div>
    <w:div w:id="986588158">
      <w:bodyDiv w:val="1"/>
      <w:marLeft w:val="0"/>
      <w:marRight w:val="0"/>
      <w:marTop w:val="0"/>
      <w:marBottom w:val="0"/>
      <w:divBdr>
        <w:top w:val="none" w:sz="0" w:space="0" w:color="auto"/>
        <w:left w:val="none" w:sz="0" w:space="0" w:color="auto"/>
        <w:bottom w:val="none" w:sz="0" w:space="0" w:color="auto"/>
        <w:right w:val="none" w:sz="0" w:space="0" w:color="auto"/>
      </w:divBdr>
    </w:div>
    <w:div w:id="987129578">
      <w:bodyDiv w:val="1"/>
      <w:marLeft w:val="0"/>
      <w:marRight w:val="0"/>
      <w:marTop w:val="0"/>
      <w:marBottom w:val="0"/>
      <w:divBdr>
        <w:top w:val="none" w:sz="0" w:space="0" w:color="auto"/>
        <w:left w:val="none" w:sz="0" w:space="0" w:color="auto"/>
        <w:bottom w:val="none" w:sz="0" w:space="0" w:color="auto"/>
        <w:right w:val="none" w:sz="0" w:space="0" w:color="auto"/>
      </w:divBdr>
    </w:div>
    <w:div w:id="987131529">
      <w:bodyDiv w:val="1"/>
      <w:marLeft w:val="0"/>
      <w:marRight w:val="0"/>
      <w:marTop w:val="0"/>
      <w:marBottom w:val="0"/>
      <w:divBdr>
        <w:top w:val="none" w:sz="0" w:space="0" w:color="auto"/>
        <w:left w:val="none" w:sz="0" w:space="0" w:color="auto"/>
        <w:bottom w:val="none" w:sz="0" w:space="0" w:color="auto"/>
        <w:right w:val="none" w:sz="0" w:space="0" w:color="auto"/>
      </w:divBdr>
    </w:div>
    <w:div w:id="987168938">
      <w:bodyDiv w:val="1"/>
      <w:marLeft w:val="0"/>
      <w:marRight w:val="0"/>
      <w:marTop w:val="0"/>
      <w:marBottom w:val="0"/>
      <w:divBdr>
        <w:top w:val="none" w:sz="0" w:space="0" w:color="auto"/>
        <w:left w:val="none" w:sz="0" w:space="0" w:color="auto"/>
        <w:bottom w:val="none" w:sz="0" w:space="0" w:color="auto"/>
        <w:right w:val="none" w:sz="0" w:space="0" w:color="auto"/>
      </w:divBdr>
    </w:div>
    <w:div w:id="988896808">
      <w:bodyDiv w:val="1"/>
      <w:marLeft w:val="0"/>
      <w:marRight w:val="0"/>
      <w:marTop w:val="0"/>
      <w:marBottom w:val="0"/>
      <w:divBdr>
        <w:top w:val="none" w:sz="0" w:space="0" w:color="auto"/>
        <w:left w:val="none" w:sz="0" w:space="0" w:color="auto"/>
        <w:bottom w:val="none" w:sz="0" w:space="0" w:color="auto"/>
        <w:right w:val="none" w:sz="0" w:space="0" w:color="auto"/>
      </w:divBdr>
    </w:div>
    <w:div w:id="990869995">
      <w:bodyDiv w:val="1"/>
      <w:marLeft w:val="0"/>
      <w:marRight w:val="0"/>
      <w:marTop w:val="0"/>
      <w:marBottom w:val="0"/>
      <w:divBdr>
        <w:top w:val="none" w:sz="0" w:space="0" w:color="auto"/>
        <w:left w:val="none" w:sz="0" w:space="0" w:color="auto"/>
        <w:bottom w:val="none" w:sz="0" w:space="0" w:color="auto"/>
        <w:right w:val="none" w:sz="0" w:space="0" w:color="auto"/>
      </w:divBdr>
    </w:div>
    <w:div w:id="991832690">
      <w:bodyDiv w:val="1"/>
      <w:marLeft w:val="0"/>
      <w:marRight w:val="0"/>
      <w:marTop w:val="0"/>
      <w:marBottom w:val="0"/>
      <w:divBdr>
        <w:top w:val="none" w:sz="0" w:space="0" w:color="auto"/>
        <w:left w:val="none" w:sz="0" w:space="0" w:color="auto"/>
        <w:bottom w:val="none" w:sz="0" w:space="0" w:color="auto"/>
        <w:right w:val="none" w:sz="0" w:space="0" w:color="auto"/>
      </w:divBdr>
    </w:div>
    <w:div w:id="994258743">
      <w:bodyDiv w:val="1"/>
      <w:marLeft w:val="0"/>
      <w:marRight w:val="0"/>
      <w:marTop w:val="0"/>
      <w:marBottom w:val="0"/>
      <w:divBdr>
        <w:top w:val="none" w:sz="0" w:space="0" w:color="auto"/>
        <w:left w:val="none" w:sz="0" w:space="0" w:color="auto"/>
        <w:bottom w:val="none" w:sz="0" w:space="0" w:color="auto"/>
        <w:right w:val="none" w:sz="0" w:space="0" w:color="auto"/>
      </w:divBdr>
    </w:div>
    <w:div w:id="994526169">
      <w:bodyDiv w:val="1"/>
      <w:marLeft w:val="0"/>
      <w:marRight w:val="0"/>
      <w:marTop w:val="0"/>
      <w:marBottom w:val="0"/>
      <w:divBdr>
        <w:top w:val="none" w:sz="0" w:space="0" w:color="auto"/>
        <w:left w:val="none" w:sz="0" w:space="0" w:color="auto"/>
        <w:bottom w:val="none" w:sz="0" w:space="0" w:color="auto"/>
        <w:right w:val="none" w:sz="0" w:space="0" w:color="auto"/>
      </w:divBdr>
    </w:div>
    <w:div w:id="996231234">
      <w:bodyDiv w:val="1"/>
      <w:marLeft w:val="0"/>
      <w:marRight w:val="0"/>
      <w:marTop w:val="0"/>
      <w:marBottom w:val="0"/>
      <w:divBdr>
        <w:top w:val="none" w:sz="0" w:space="0" w:color="auto"/>
        <w:left w:val="none" w:sz="0" w:space="0" w:color="auto"/>
        <w:bottom w:val="none" w:sz="0" w:space="0" w:color="auto"/>
        <w:right w:val="none" w:sz="0" w:space="0" w:color="auto"/>
      </w:divBdr>
    </w:div>
    <w:div w:id="997726149">
      <w:bodyDiv w:val="1"/>
      <w:marLeft w:val="0"/>
      <w:marRight w:val="0"/>
      <w:marTop w:val="0"/>
      <w:marBottom w:val="0"/>
      <w:divBdr>
        <w:top w:val="none" w:sz="0" w:space="0" w:color="auto"/>
        <w:left w:val="none" w:sz="0" w:space="0" w:color="auto"/>
        <w:bottom w:val="none" w:sz="0" w:space="0" w:color="auto"/>
        <w:right w:val="none" w:sz="0" w:space="0" w:color="auto"/>
      </w:divBdr>
    </w:div>
    <w:div w:id="997922097">
      <w:bodyDiv w:val="1"/>
      <w:marLeft w:val="0"/>
      <w:marRight w:val="0"/>
      <w:marTop w:val="0"/>
      <w:marBottom w:val="0"/>
      <w:divBdr>
        <w:top w:val="none" w:sz="0" w:space="0" w:color="auto"/>
        <w:left w:val="none" w:sz="0" w:space="0" w:color="auto"/>
        <w:bottom w:val="none" w:sz="0" w:space="0" w:color="auto"/>
        <w:right w:val="none" w:sz="0" w:space="0" w:color="auto"/>
      </w:divBdr>
    </w:div>
    <w:div w:id="1000500622">
      <w:bodyDiv w:val="1"/>
      <w:marLeft w:val="0"/>
      <w:marRight w:val="0"/>
      <w:marTop w:val="0"/>
      <w:marBottom w:val="0"/>
      <w:divBdr>
        <w:top w:val="none" w:sz="0" w:space="0" w:color="auto"/>
        <w:left w:val="none" w:sz="0" w:space="0" w:color="auto"/>
        <w:bottom w:val="none" w:sz="0" w:space="0" w:color="auto"/>
        <w:right w:val="none" w:sz="0" w:space="0" w:color="auto"/>
      </w:divBdr>
    </w:div>
    <w:div w:id="1003819243">
      <w:bodyDiv w:val="1"/>
      <w:marLeft w:val="0"/>
      <w:marRight w:val="0"/>
      <w:marTop w:val="0"/>
      <w:marBottom w:val="0"/>
      <w:divBdr>
        <w:top w:val="none" w:sz="0" w:space="0" w:color="auto"/>
        <w:left w:val="none" w:sz="0" w:space="0" w:color="auto"/>
        <w:bottom w:val="none" w:sz="0" w:space="0" w:color="auto"/>
        <w:right w:val="none" w:sz="0" w:space="0" w:color="auto"/>
      </w:divBdr>
    </w:div>
    <w:div w:id="1004019661">
      <w:bodyDiv w:val="1"/>
      <w:marLeft w:val="0"/>
      <w:marRight w:val="0"/>
      <w:marTop w:val="0"/>
      <w:marBottom w:val="0"/>
      <w:divBdr>
        <w:top w:val="none" w:sz="0" w:space="0" w:color="auto"/>
        <w:left w:val="none" w:sz="0" w:space="0" w:color="auto"/>
        <w:bottom w:val="none" w:sz="0" w:space="0" w:color="auto"/>
        <w:right w:val="none" w:sz="0" w:space="0" w:color="auto"/>
      </w:divBdr>
    </w:div>
    <w:div w:id="1004161307">
      <w:bodyDiv w:val="1"/>
      <w:marLeft w:val="0"/>
      <w:marRight w:val="0"/>
      <w:marTop w:val="0"/>
      <w:marBottom w:val="0"/>
      <w:divBdr>
        <w:top w:val="none" w:sz="0" w:space="0" w:color="auto"/>
        <w:left w:val="none" w:sz="0" w:space="0" w:color="auto"/>
        <w:bottom w:val="none" w:sz="0" w:space="0" w:color="auto"/>
        <w:right w:val="none" w:sz="0" w:space="0" w:color="auto"/>
      </w:divBdr>
    </w:div>
    <w:div w:id="1004405219">
      <w:bodyDiv w:val="1"/>
      <w:marLeft w:val="0"/>
      <w:marRight w:val="0"/>
      <w:marTop w:val="0"/>
      <w:marBottom w:val="0"/>
      <w:divBdr>
        <w:top w:val="none" w:sz="0" w:space="0" w:color="auto"/>
        <w:left w:val="none" w:sz="0" w:space="0" w:color="auto"/>
        <w:bottom w:val="none" w:sz="0" w:space="0" w:color="auto"/>
        <w:right w:val="none" w:sz="0" w:space="0" w:color="auto"/>
      </w:divBdr>
    </w:div>
    <w:div w:id="1006439672">
      <w:bodyDiv w:val="1"/>
      <w:marLeft w:val="0"/>
      <w:marRight w:val="0"/>
      <w:marTop w:val="0"/>
      <w:marBottom w:val="0"/>
      <w:divBdr>
        <w:top w:val="none" w:sz="0" w:space="0" w:color="auto"/>
        <w:left w:val="none" w:sz="0" w:space="0" w:color="auto"/>
        <w:bottom w:val="none" w:sz="0" w:space="0" w:color="auto"/>
        <w:right w:val="none" w:sz="0" w:space="0" w:color="auto"/>
      </w:divBdr>
    </w:div>
    <w:div w:id="1006442378">
      <w:bodyDiv w:val="1"/>
      <w:marLeft w:val="0"/>
      <w:marRight w:val="0"/>
      <w:marTop w:val="0"/>
      <w:marBottom w:val="0"/>
      <w:divBdr>
        <w:top w:val="none" w:sz="0" w:space="0" w:color="auto"/>
        <w:left w:val="none" w:sz="0" w:space="0" w:color="auto"/>
        <w:bottom w:val="none" w:sz="0" w:space="0" w:color="auto"/>
        <w:right w:val="none" w:sz="0" w:space="0" w:color="auto"/>
      </w:divBdr>
    </w:div>
    <w:div w:id="1006637138">
      <w:bodyDiv w:val="1"/>
      <w:marLeft w:val="0"/>
      <w:marRight w:val="0"/>
      <w:marTop w:val="0"/>
      <w:marBottom w:val="0"/>
      <w:divBdr>
        <w:top w:val="none" w:sz="0" w:space="0" w:color="auto"/>
        <w:left w:val="none" w:sz="0" w:space="0" w:color="auto"/>
        <w:bottom w:val="none" w:sz="0" w:space="0" w:color="auto"/>
        <w:right w:val="none" w:sz="0" w:space="0" w:color="auto"/>
      </w:divBdr>
    </w:div>
    <w:div w:id="1007558033">
      <w:bodyDiv w:val="1"/>
      <w:marLeft w:val="0"/>
      <w:marRight w:val="0"/>
      <w:marTop w:val="0"/>
      <w:marBottom w:val="0"/>
      <w:divBdr>
        <w:top w:val="none" w:sz="0" w:space="0" w:color="auto"/>
        <w:left w:val="none" w:sz="0" w:space="0" w:color="auto"/>
        <w:bottom w:val="none" w:sz="0" w:space="0" w:color="auto"/>
        <w:right w:val="none" w:sz="0" w:space="0" w:color="auto"/>
      </w:divBdr>
    </w:div>
    <w:div w:id="1008563984">
      <w:bodyDiv w:val="1"/>
      <w:marLeft w:val="0"/>
      <w:marRight w:val="0"/>
      <w:marTop w:val="0"/>
      <w:marBottom w:val="0"/>
      <w:divBdr>
        <w:top w:val="none" w:sz="0" w:space="0" w:color="auto"/>
        <w:left w:val="none" w:sz="0" w:space="0" w:color="auto"/>
        <w:bottom w:val="none" w:sz="0" w:space="0" w:color="auto"/>
        <w:right w:val="none" w:sz="0" w:space="0" w:color="auto"/>
      </w:divBdr>
    </w:div>
    <w:div w:id="1009403801">
      <w:bodyDiv w:val="1"/>
      <w:marLeft w:val="0"/>
      <w:marRight w:val="0"/>
      <w:marTop w:val="0"/>
      <w:marBottom w:val="0"/>
      <w:divBdr>
        <w:top w:val="none" w:sz="0" w:space="0" w:color="auto"/>
        <w:left w:val="none" w:sz="0" w:space="0" w:color="auto"/>
        <w:bottom w:val="none" w:sz="0" w:space="0" w:color="auto"/>
        <w:right w:val="none" w:sz="0" w:space="0" w:color="auto"/>
      </w:divBdr>
    </w:div>
    <w:div w:id="1010529235">
      <w:bodyDiv w:val="1"/>
      <w:marLeft w:val="0"/>
      <w:marRight w:val="0"/>
      <w:marTop w:val="0"/>
      <w:marBottom w:val="0"/>
      <w:divBdr>
        <w:top w:val="none" w:sz="0" w:space="0" w:color="auto"/>
        <w:left w:val="none" w:sz="0" w:space="0" w:color="auto"/>
        <w:bottom w:val="none" w:sz="0" w:space="0" w:color="auto"/>
        <w:right w:val="none" w:sz="0" w:space="0" w:color="auto"/>
      </w:divBdr>
    </w:div>
    <w:div w:id="1011878099">
      <w:bodyDiv w:val="1"/>
      <w:marLeft w:val="0"/>
      <w:marRight w:val="0"/>
      <w:marTop w:val="0"/>
      <w:marBottom w:val="0"/>
      <w:divBdr>
        <w:top w:val="none" w:sz="0" w:space="0" w:color="auto"/>
        <w:left w:val="none" w:sz="0" w:space="0" w:color="auto"/>
        <w:bottom w:val="none" w:sz="0" w:space="0" w:color="auto"/>
        <w:right w:val="none" w:sz="0" w:space="0" w:color="auto"/>
      </w:divBdr>
    </w:div>
    <w:div w:id="1012074624">
      <w:bodyDiv w:val="1"/>
      <w:marLeft w:val="0"/>
      <w:marRight w:val="0"/>
      <w:marTop w:val="0"/>
      <w:marBottom w:val="0"/>
      <w:divBdr>
        <w:top w:val="none" w:sz="0" w:space="0" w:color="auto"/>
        <w:left w:val="none" w:sz="0" w:space="0" w:color="auto"/>
        <w:bottom w:val="none" w:sz="0" w:space="0" w:color="auto"/>
        <w:right w:val="none" w:sz="0" w:space="0" w:color="auto"/>
      </w:divBdr>
    </w:div>
    <w:div w:id="1014725724">
      <w:bodyDiv w:val="1"/>
      <w:marLeft w:val="0"/>
      <w:marRight w:val="0"/>
      <w:marTop w:val="0"/>
      <w:marBottom w:val="0"/>
      <w:divBdr>
        <w:top w:val="none" w:sz="0" w:space="0" w:color="auto"/>
        <w:left w:val="none" w:sz="0" w:space="0" w:color="auto"/>
        <w:bottom w:val="none" w:sz="0" w:space="0" w:color="auto"/>
        <w:right w:val="none" w:sz="0" w:space="0" w:color="auto"/>
      </w:divBdr>
    </w:div>
    <w:div w:id="1014917732">
      <w:bodyDiv w:val="1"/>
      <w:marLeft w:val="0"/>
      <w:marRight w:val="0"/>
      <w:marTop w:val="0"/>
      <w:marBottom w:val="0"/>
      <w:divBdr>
        <w:top w:val="none" w:sz="0" w:space="0" w:color="auto"/>
        <w:left w:val="none" w:sz="0" w:space="0" w:color="auto"/>
        <w:bottom w:val="none" w:sz="0" w:space="0" w:color="auto"/>
        <w:right w:val="none" w:sz="0" w:space="0" w:color="auto"/>
      </w:divBdr>
    </w:div>
    <w:div w:id="1015618949">
      <w:bodyDiv w:val="1"/>
      <w:marLeft w:val="0"/>
      <w:marRight w:val="0"/>
      <w:marTop w:val="0"/>
      <w:marBottom w:val="0"/>
      <w:divBdr>
        <w:top w:val="none" w:sz="0" w:space="0" w:color="auto"/>
        <w:left w:val="none" w:sz="0" w:space="0" w:color="auto"/>
        <w:bottom w:val="none" w:sz="0" w:space="0" w:color="auto"/>
        <w:right w:val="none" w:sz="0" w:space="0" w:color="auto"/>
      </w:divBdr>
    </w:div>
    <w:div w:id="1016078604">
      <w:bodyDiv w:val="1"/>
      <w:marLeft w:val="0"/>
      <w:marRight w:val="0"/>
      <w:marTop w:val="0"/>
      <w:marBottom w:val="0"/>
      <w:divBdr>
        <w:top w:val="none" w:sz="0" w:space="0" w:color="auto"/>
        <w:left w:val="none" w:sz="0" w:space="0" w:color="auto"/>
        <w:bottom w:val="none" w:sz="0" w:space="0" w:color="auto"/>
        <w:right w:val="none" w:sz="0" w:space="0" w:color="auto"/>
      </w:divBdr>
    </w:div>
    <w:div w:id="1016463669">
      <w:bodyDiv w:val="1"/>
      <w:marLeft w:val="0"/>
      <w:marRight w:val="0"/>
      <w:marTop w:val="0"/>
      <w:marBottom w:val="0"/>
      <w:divBdr>
        <w:top w:val="none" w:sz="0" w:space="0" w:color="auto"/>
        <w:left w:val="none" w:sz="0" w:space="0" w:color="auto"/>
        <w:bottom w:val="none" w:sz="0" w:space="0" w:color="auto"/>
        <w:right w:val="none" w:sz="0" w:space="0" w:color="auto"/>
      </w:divBdr>
    </w:div>
    <w:div w:id="1016613434">
      <w:bodyDiv w:val="1"/>
      <w:marLeft w:val="0"/>
      <w:marRight w:val="0"/>
      <w:marTop w:val="0"/>
      <w:marBottom w:val="0"/>
      <w:divBdr>
        <w:top w:val="none" w:sz="0" w:space="0" w:color="auto"/>
        <w:left w:val="none" w:sz="0" w:space="0" w:color="auto"/>
        <w:bottom w:val="none" w:sz="0" w:space="0" w:color="auto"/>
        <w:right w:val="none" w:sz="0" w:space="0" w:color="auto"/>
      </w:divBdr>
    </w:div>
    <w:div w:id="1016808073">
      <w:bodyDiv w:val="1"/>
      <w:marLeft w:val="0"/>
      <w:marRight w:val="0"/>
      <w:marTop w:val="0"/>
      <w:marBottom w:val="0"/>
      <w:divBdr>
        <w:top w:val="none" w:sz="0" w:space="0" w:color="auto"/>
        <w:left w:val="none" w:sz="0" w:space="0" w:color="auto"/>
        <w:bottom w:val="none" w:sz="0" w:space="0" w:color="auto"/>
        <w:right w:val="none" w:sz="0" w:space="0" w:color="auto"/>
      </w:divBdr>
    </w:div>
    <w:div w:id="1017315998">
      <w:bodyDiv w:val="1"/>
      <w:marLeft w:val="0"/>
      <w:marRight w:val="0"/>
      <w:marTop w:val="0"/>
      <w:marBottom w:val="0"/>
      <w:divBdr>
        <w:top w:val="none" w:sz="0" w:space="0" w:color="auto"/>
        <w:left w:val="none" w:sz="0" w:space="0" w:color="auto"/>
        <w:bottom w:val="none" w:sz="0" w:space="0" w:color="auto"/>
        <w:right w:val="none" w:sz="0" w:space="0" w:color="auto"/>
      </w:divBdr>
    </w:div>
    <w:div w:id="1018851103">
      <w:bodyDiv w:val="1"/>
      <w:marLeft w:val="0"/>
      <w:marRight w:val="0"/>
      <w:marTop w:val="0"/>
      <w:marBottom w:val="0"/>
      <w:divBdr>
        <w:top w:val="none" w:sz="0" w:space="0" w:color="auto"/>
        <w:left w:val="none" w:sz="0" w:space="0" w:color="auto"/>
        <w:bottom w:val="none" w:sz="0" w:space="0" w:color="auto"/>
        <w:right w:val="none" w:sz="0" w:space="0" w:color="auto"/>
      </w:divBdr>
    </w:div>
    <w:div w:id="1019357901">
      <w:bodyDiv w:val="1"/>
      <w:marLeft w:val="0"/>
      <w:marRight w:val="0"/>
      <w:marTop w:val="0"/>
      <w:marBottom w:val="0"/>
      <w:divBdr>
        <w:top w:val="none" w:sz="0" w:space="0" w:color="auto"/>
        <w:left w:val="none" w:sz="0" w:space="0" w:color="auto"/>
        <w:bottom w:val="none" w:sz="0" w:space="0" w:color="auto"/>
        <w:right w:val="none" w:sz="0" w:space="0" w:color="auto"/>
      </w:divBdr>
    </w:div>
    <w:div w:id="1020283409">
      <w:bodyDiv w:val="1"/>
      <w:marLeft w:val="0"/>
      <w:marRight w:val="0"/>
      <w:marTop w:val="0"/>
      <w:marBottom w:val="0"/>
      <w:divBdr>
        <w:top w:val="none" w:sz="0" w:space="0" w:color="auto"/>
        <w:left w:val="none" w:sz="0" w:space="0" w:color="auto"/>
        <w:bottom w:val="none" w:sz="0" w:space="0" w:color="auto"/>
        <w:right w:val="none" w:sz="0" w:space="0" w:color="auto"/>
      </w:divBdr>
    </w:div>
    <w:div w:id="1021929840">
      <w:bodyDiv w:val="1"/>
      <w:marLeft w:val="0"/>
      <w:marRight w:val="0"/>
      <w:marTop w:val="0"/>
      <w:marBottom w:val="0"/>
      <w:divBdr>
        <w:top w:val="none" w:sz="0" w:space="0" w:color="auto"/>
        <w:left w:val="none" w:sz="0" w:space="0" w:color="auto"/>
        <w:bottom w:val="none" w:sz="0" w:space="0" w:color="auto"/>
        <w:right w:val="none" w:sz="0" w:space="0" w:color="auto"/>
      </w:divBdr>
    </w:div>
    <w:div w:id="1021930159">
      <w:bodyDiv w:val="1"/>
      <w:marLeft w:val="0"/>
      <w:marRight w:val="0"/>
      <w:marTop w:val="0"/>
      <w:marBottom w:val="0"/>
      <w:divBdr>
        <w:top w:val="none" w:sz="0" w:space="0" w:color="auto"/>
        <w:left w:val="none" w:sz="0" w:space="0" w:color="auto"/>
        <w:bottom w:val="none" w:sz="0" w:space="0" w:color="auto"/>
        <w:right w:val="none" w:sz="0" w:space="0" w:color="auto"/>
      </w:divBdr>
    </w:div>
    <w:div w:id="1022436484">
      <w:bodyDiv w:val="1"/>
      <w:marLeft w:val="0"/>
      <w:marRight w:val="0"/>
      <w:marTop w:val="0"/>
      <w:marBottom w:val="0"/>
      <w:divBdr>
        <w:top w:val="none" w:sz="0" w:space="0" w:color="auto"/>
        <w:left w:val="none" w:sz="0" w:space="0" w:color="auto"/>
        <w:bottom w:val="none" w:sz="0" w:space="0" w:color="auto"/>
        <w:right w:val="none" w:sz="0" w:space="0" w:color="auto"/>
      </w:divBdr>
    </w:div>
    <w:div w:id="1022584446">
      <w:bodyDiv w:val="1"/>
      <w:marLeft w:val="0"/>
      <w:marRight w:val="0"/>
      <w:marTop w:val="0"/>
      <w:marBottom w:val="0"/>
      <w:divBdr>
        <w:top w:val="none" w:sz="0" w:space="0" w:color="auto"/>
        <w:left w:val="none" w:sz="0" w:space="0" w:color="auto"/>
        <w:bottom w:val="none" w:sz="0" w:space="0" w:color="auto"/>
        <w:right w:val="none" w:sz="0" w:space="0" w:color="auto"/>
      </w:divBdr>
    </w:div>
    <w:div w:id="1022828056">
      <w:bodyDiv w:val="1"/>
      <w:marLeft w:val="0"/>
      <w:marRight w:val="0"/>
      <w:marTop w:val="0"/>
      <w:marBottom w:val="0"/>
      <w:divBdr>
        <w:top w:val="none" w:sz="0" w:space="0" w:color="auto"/>
        <w:left w:val="none" w:sz="0" w:space="0" w:color="auto"/>
        <w:bottom w:val="none" w:sz="0" w:space="0" w:color="auto"/>
        <w:right w:val="none" w:sz="0" w:space="0" w:color="auto"/>
      </w:divBdr>
    </w:div>
    <w:div w:id="1023285277">
      <w:bodyDiv w:val="1"/>
      <w:marLeft w:val="0"/>
      <w:marRight w:val="0"/>
      <w:marTop w:val="0"/>
      <w:marBottom w:val="0"/>
      <w:divBdr>
        <w:top w:val="none" w:sz="0" w:space="0" w:color="auto"/>
        <w:left w:val="none" w:sz="0" w:space="0" w:color="auto"/>
        <w:bottom w:val="none" w:sz="0" w:space="0" w:color="auto"/>
        <w:right w:val="none" w:sz="0" w:space="0" w:color="auto"/>
      </w:divBdr>
    </w:div>
    <w:div w:id="1024480526">
      <w:bodyDiv w:val="1"/>
      <w:marLeft w:val="0"/>
      <w:marRight w:val="0"/>
      <w:marTop w:val="0"/>
      <w:marBottom w:val="0"/>
      <w:divBdr>
        <w:top w:val="none" w:sz="0" w:space="0" w:color="auto"/>
        <w:left w:val="none" w:sz="0" w:space="0" w:color="auto"/>
        <w:bottom w:val="none" w:sz="0" w:space="0" w:color="auto"/>
        <w:right w:val="none" w:sz="0" w:space="0" w:color="auto"/>
      </w:divBdr>
    </w:div>
    <w:div w:id="1024525849">
      <w:bodyDiv w:val="1"/>
      <w:marLeft w:val="0"/>
      <w:marRight w:val="0"/>
      <w:marTop w:val="0"/>
      <w:marBottom w:val="0"/>
      <w:divBdr>
        <w:top w:val="none" w:sz="0" w:space="0" w:color="auto"/>
        <w:left w:val="none" w:sz="0" w:space="0" w:color="auto"/>
        <w:bottom w:val="none" w:sz="0" w:space="0" w:color="auto"/>
        <w:right w:val="none" w:sz="0" w:space="0" w:color="auto"/>
      </w:divBdr>
    </w:div>
    <w:div w:id="1026978985">
      <w:bodyDiv w:val="1"/>
      <w:marLeft w:val="0"/>
      <w:marRight w:val="0"/>
      <w:marTop w:val="0"/>
      <w:marBottom w:val="0"/>
      <w:divBdr>
        <w:top w:val="none" w:sz="0" w:space="0" w:color="auto"/>
        <w:left w:val="none" w:sz="0" w:space="0" w:color="auto"/>
        <w:bottom w:val="none" w:sz="0" w:space="0" w:color="auto"/>
        <w:right w:val="none" w:sz="0" w:space="0" w:color="auto"/>
      </w:divBdr>
    </w:div>
    <w:div w:id="1028721419">
      <w:bodyDiv w:val="1"/>
      <w:marLeft w:val="0"/>
      <w:marRight w:val="0"/>
      <w:marTop w:val="0"/>
      <w:marBottom w:val="0"/>
      <w:divBdr>
        <w:top w:val="none" w:sz="0" w:space="0" w:color="auto"/>
        <w:left w:val="none" w:sz="0" w:space="0" w:color="auto"/>
        <w:bottom w:val="none" w:sz="0" w:space="0" w:color="auto"/>
        <w:right w:val="none" w:sz="0" w:space="0" w:color="auto"/>
      </w:divBdr>
    </w:div>
    <w:div w:id="1028945643">
      <w:bodyDiv w:val="1"/>
      <w:marLeft w:val="0"/>
      <w:marRight w:val="0"/>
      <w:marTop w:val="0"/>
      <w:marBottom w:val="0"/>
      <w:divBdr>
        <w:top w:val="none" w:sz="0" w:space="0" w:color="auto"/>
        <w:left w:val="none" w:sz="0" w:space="0" w:color="auto"/>
        <w:bottom w:val="none" w:sz="0" w:space="0" w:color="auto"/>
        <w:right w:val="none" w:sz="0" w:space="0" w:color="auto"/>
      </w:divBdr>
    </w:div>
    <w:div w:id="1029376050">
      <w:bodyDiv w:val="1"/>
      <w:marLeft w:val="0"/>
      <w:marRight w:val="0"/>
      <w:marTop w:val="0"/>
      <w:marBottom w:val="0"/>
      <w:divBdr>
        <w:top w:val="none" w:sz="0" w:space="0" w:color="auto"/>
        <w:left w:val="none" w:sz="0" w:space="0" w:color="auto"/>
        <w:bottom w:val="none" w:sz="0" w:space="0" w:color="auto"/>
        <w:right w:val="none" w:sz="0" w:space="0" w:color="auto"/>
      </w:divBdr>
    </w:div>
    <w:div w:id="1031036198">
      <w:bodyDiv w:val="1"/>
      <w:marLeft w:val="0"/>
      <w:marRight w:val="0"/>
      <w:marTop w:val="0"/>
      <w:marBottom w:val="0"/>
      <w:divBdr>
        <w:top w:val="none" w:sz="0" w:space="0" w:color="auto"/>
        <w:left w:val="none" w:sz="0" w:space="0" w:color="auto"/>
        <w:bottom w:val="none" w:sz="0" w:space="0" w:color="auto"/>
        <w:right w:val="none" w:sz="0" w:space="0" w:color="auto"/>
      </w:divBdr>
    </w:div>
    <w:div w:id="1032068884">
      <w:bodyDiv w:val="1"/>
      <w:marLeft w:val="0"/>
      <w:marRight w:val="0"/>
      <w:marTop w:val="0"/>
      <w:marBottom w:val="0"/>
      <w:divBdr>
        <w:top w:val="none" w:sz="0" w:space="0" w:color="auto"/>
        <w:left w:val="none" w:sz="0" w:space="0" w:color="auto"/>
        <w:bottom w:val="none" w:sz="0" w:space="0" w:color="auto"/>
        <w:right w:val="none" w:sz="0" w:space="0" w:color="auto"/>
      </w:divBdr>
    </w:div>
    <w:div w:id="1032534826">
      <w:bodyDiv w:val="1"/>
      <w:marLeft w:val="0"/>
      <w:marRight w:val="0"/>
      <w:marTop w:val="0"/>
      <w:marBottom w:val="0"/>
      <w:divBdr>
        <w:top w:val="none" w:sz="0" w:space="0" w:color="auto"/>
        <w:left w:val="none" w:sz="0" w:space="0" w:color="auto"/>
        <w:bottom w:val="none" w:sz="0" w:space="0" w:color="auto"/>
        <w:right w:val="none" w:sz="0" w:space="0" w:color="auto"/>
      </w:divBdr>
    </w:div>
    <w:div w:id="1033118620">
      <w:bodyDiv w:val="1"/>
      <w:marLeft w:val="0"/>
      <w:marRight w:val="0"/>
      <w:marTop w:val="0"/>
      <w:marBottom w:val="0"/>
      <w:divBdr>
        <w:top w:val="none" w:sz="0" w:space="0" w:color="auto"/>
        <w:left w:val="none" w:sz="0" w:space="0" w:color="auto"/>
        <w:bottom w:val="none" w:sz="0" w:space="0" w:color="auto"/>
        <w:right w:val="none" w:sz="0" w:space="0" w:color="auto"/>
      </w:divBdr>
    </w:div>
    <w:div w:id="1034502465">
      <w:bodyDiv w:val="1"/>
      <w:marLeft w:val="0"/>
      <w:marRight w:val="0"/>
      <w:marTop w:val="0"/>
      <w:marBottom w:val="0"/>
      <w:divBdr>
        <w:top w:val="none" w:sz="0" w:space="0" w:color="auto"/>
        <w:left w:val="none" w:sz="0" w:space="0" w:color="auto"/>
        <w:bottom w:val="none" w:sz="0" w:space="0" w:color="auto"/>
        <w:right w:val="none" w:sz="0" w:space="0" w:color="auto"/>
      </w:divBdr>
    </w:div>
    <w:div w:id="1035035431">
      <w:bodyDiv w:val="1"/>
      <w:marLeft w:val="0"/>
      <w:marRight w:val="0"/>
      <w:marTop w:val="0"/>
      <w:marBottom w:val="0"/>
      <w:divBdr>
        <w:top w:val="none" w:sz="0" w:space="0" w:color="auto"/>
        <w:left w:val="none" w:sz="0" w:space="0" w:color="auto"/>
        <w:bottom w:val="none" w:sz="0" w:space="0" w:color="auto"/>
        <w:right w:val="none" w:sz="0" w:space="0" w:color="auto"/>
      </w:divBdr>
    </w:div>
    <w:div w:id="1035084250">
      <w:bodyDiv w:val="1"/>
      <w:marLeft w:val="0"/>
      <w:marRight w:val="0"/>
      <w:marTop w:val="0"/>
      <w:marBottom w:val="0"/>
      <w:divBdr>
        <w:top w:val="none" w:sz="0" w:space="0" w:color="auto"/>
        <w:left w:val="none" w:sz="0" w:space="0" w:color="auto"/>
        <w:bottom w:val="none" w:sz="0" w:space="0" w:color="auto"/>
        <w:right w:val="none" w:sz="0" w:space="0" w:color="auto"/>
      </w:divBdr>
    </w:div>
    <w:div w:id="1035345507">
      <w:bodyDiv w:val="1"/>
      <w:marLeft w:val="0"/>
      <w:marRight w:val="0"/>
      <w:marTop w:val="0"/>
      <w:marBottom w:val="0"/>
      <w:divBdr>
        <w:top w:val="none" w:sz="0" w:space="0" w:color="auto"/>
        <w:left w:val="none" w:sz="0" w:space="0" w:color="auto"/>
        <w:bottom w:val="none" w:sz="0" w:space="0" w:color="auto"/>
        <w:right w:val="none" w:sz="0" w:space="0" w:color="auto"/>
      </w:divBdr>
    </w:div>
    <w:div w:id="1038510760">
      <w:bodyDiv w:val="1"/>
      <w:marLeft w:val="0"/>
      <w:marRight w:val="0"/>
      <w:marTop w:val="0"/>
      <w:marBottom w:val="0"/>
      <w:divBdr>
        <w:top w:val="none" w:sz="0" w:space="0" w:color="auto"/>
        <w:left w:val="none" w:sz="0" w:space="0" w:color="auto"/>
        <w:bottom w:val="none" w:sz="0" w:space="0" w:color="auto"/>
        <w:right w:val="none" w:sz="0" w:space="0" w:color="auto"/>
      </w:divBdr>
    </w:div>
    <w:div w:id="1038628162">
      <w:bodyDiv w:val="1"/>
      <w:marLeft w:val="0"/>
      <w:marRight w:val="0"/>
      <w:marTop w:val="0"/>
      <w:marBottom w:val="0"/>
      <w:divBdr>
        <w:top w:val="none" w:sz="0" w:space="0" w:color="auto"/>
        <w:left w:val="none" w:sz="0" w:space="0" w:color="auto"/>
        <w:bottom w:val="none" w:sz="0" w:space="0" w:color="auto"/>
        <w:right w:val="none" w:sz="0" w:space="0" w:color="auto"/>
      </w:divBdr>
    </w:div>
    <w:div w:id="1038702679">
      <w:bodyDiv w:val="1"/>
      <w:marLeft w:val="0"/>
      <w:marRight w:val="0"/>
      <w:marTop w:val="0"/>
      <w:marBottom w:val="0"/>
      <w:divBdr>
        <w:top w:val="none" w:sz="0" w:space="0" w:color="auto"/>
        <w:left w:val="none" w:sz="0" w:space="0" w:color="auto"/>
        <w:bottom w:val="none" w:sz="0" w:space="0" w:color="auto"/>
        <w:right w:val="none" w:sz="0" w:space="0" w:color="auto"/>
      </w:divBdr>
    </w:div>
    <w:div w:id="1040474598">
      <w:bodyDiv w:val="1"/>
      <w:marLeft w:val="0"/>
      <w:marRight w:val="0"/>
      <w:marTop w:val="0"/>
      <w:marBottom w:val="0"/>
      <w:divBdr>
        <w:top w:val="none" w:sz="0" w:space="0" w:color="auto"/>
        <w:left w:val="none" w:sz="0" w:space="0" w:color="auto"/>
        <w:bottom w:val="none" w:sz="0" w:space="0" w:color="auto"/>
        <w:right w:val="none" w:sz="0" w:space="0" w:color="auto"/>
      </w:divBdr>
    </w:div>
    <w:div w:id="1041323875">
      <w:bodyDiv w:val="1"/>
      <w:marLeft w:val="0"/>
      <w:marRight w:val="0"/>
      <w:marTop w:val="0"/>
      <w:marBottom w:val="0"/>
      <w:divBdr>
        <w:top w:val="none" w:sz="0" w:space="0" w:color="auto"/>
        <w:left w:val="none" w:sz="0" w:space="0" w:color="auto"/>
        <w:bottom w:val="none" w:sz="0" w:space="0" w:color="auto"/>
        <w:right w:val="none" w:sz="0" w:space="0" w:color="auto"/>
      </w:divBdr>
    </w:div>
    <w:div w:id="1041442796">
      <w:bodyDiv w:val="1"/>
      <w:marLeft w:val="0"/>
      <w:marRight w:val="0"/>
      <w:marTop w:val="0"/>
      <w:marBottom w:val="0"/>
      <w:divBdr>
        <w:top w:val="none" w:sz="0" w:space="0" w:color="auto"/>
        <w:left w:val="none" w:sz="0" w:space="0" w:color="auto"/>
        <w:bottom w:val="none" w:sz="0" w:space="0" w:color="auto"/>
        <w:right w:val="none" w:sz="0" w:space="0" w:color="auto"/>
      </w:divBdr>
    </w:div>
    <w:div w:id="1041978128">
      <w:bodyDiv w:val="1"/>
      <w:marLeft w:val="0"/>
      <w:marRight w:val="0"/>
      <w:marTop w:val="0"/>
      <w:marBottom w:val="0"/>
      <w:divBdr>
        <w:top w:val="none" w:sz="0" w:space="0" w:color="auto"/>
        <w:left w:val="none" w:sz="0" w:space="0" w:color="auto"/>
        <w:bottom w:val="none" w:sz="0" w:space="0" w:color="auto"/>
        <w:right w:val="none" w:sz="0" w:space="0" w:color="auto"/>
      </w:divBdr>
    </w:div>
    <w:div w:id="1044019398">
      <w:bodyDiv w:val="1"/>
      <w:marLeft w:val="0"/>
      <w:marRight w:val="0"/>
      <w:marTop w:val="0"/>
      <w:marBottom w:val="0"/>
      <w:divBdr>
        <w:top w:val="none" w:sz="0" w:space="0" w:color="auto"/>
        <w:left w:val="none" w:sz="0" w:space="0" w:color="auto"/>
        <w:bottom w:val="none" w:sz="0" w:space="0" w:color="auto"/>
        <w:right w:val="none" w:sz="0" w:space="0" w:color="auto"/>
      </w:divBdr>
    </w:div>
    <w:div w:id="1044988157">
      <w:bodyDiv w:val="1"/>
      <w:marLeft w:val="0"/>
      <w:marRight w:val="0"/>
      <w:marTop w:val="0"/>
      <w:marBottom w:val="0"/>
      <w:divBdr>
        <w:top w:val="none" w:sz="0" w:space="0" w:color="auto"/>
        <w:left w:val="none" w:sz="0" w:space="0" w:color="auto"/>
        <w:bottom w:val="none" w:sz="0" w:space="0" w:color="auto"/>
        <w:right w:val="none" w:sz="0" w:space="0" w:color="auto"/>
      </w:divBdr>
    </w:div>
    <w:div w:id="1045518347">
      <w:bodyDiv w:val="1"/>
      <w:marLeft w:val="0"/>
      <w:marRight w:val="0"/>
      <w:marTop w:val="0"/>
      <w:marBottom w:val="0"/>
      <w:divBdr>
        <w:top w:val="none" w:sz="0" w:space="0" w:color="auto"/>
        <w:left w:val="none" w:sz="0" w:space="0" w:color="auto"/>
        <w:bottom w:val="none" w:sz="0" w:space="0" w:color="auto"/>
        <w:right w:val="none" w:sz="0" w:space="0" w:color="auto"/>
      </w:divBdr>
    </w:div>
    <w:div w:id="1045832537">
      <w:bodyDiv w:val="1"/>
      <w:marLeft w:val="0"/>
      <w:marRight w:val="0"/>
      <w:marTop w:val="0"/>
      <w:marBottom w:val="0"/>
      <w:divBdr>
        <w:top w:val="none" w:sz="0" w:space="0" w:color="auto"/>
        <w:left w:val="none" w:sz="0" w:space="0" w:color="auto"/>
        <w:bottom w:val="none" w:sz="0" w:space="0" w:color="auto"/>
        <w:right w:val="none" w:sz="0" w:space="0" w:color="auto"/>
      </w:divBdr>
    </w:div>
    <w:div w:id="1046180289">
      <w:bodyDiv w:val="1"/>
      <w:marLeft w:val="0"/>
      <w:marRight w:val="0"/>
      <w:marTop w:val="0"/>
      <w:marBottom w:val="0"/>
      <w:divBdr>
        <w:top w:val="none" w:sz="0" w:space="0" w:color="auto"/>
        <w:left w:val="none" w:sz="0" w:space="0" w:color="auto"/>
        <w:bottom w:val="none" w:sz="0" w:space="0" w:color="auto"/>
        <w:right w:val="none" w:sz="0" w:space="0" w:color="auto"/>
      </w:divBdr>
    </w:div>
    <w:div w:id="1048188225">
      <w:bodyDiv w:val="1"/>
      <w:marLeft w:val="0"/>
      <w:marRight w:val="0"/>
      <w:marTop w:val="0"/>
      <w:marBottom w:val="0"/>
      <w:divBdr>
        <w:top w:val="none" w:sz="0" w:space="0" w:color="auto"/>
        <w:left w:val="none" w:sz="0" w:space="0" w:color="auto"/>
        <w:bottom w:val="none" w:sz="0" w:space="0" w:color="auto"/>
        <w:right w:val="none" w:sz="0" w:space="0" w:color="auto"/>
      </w:divBdr>
    </w:div>
    <w:div w:id="1048451207">
      <w:bodyDiv w:val="1"/>
      <w:marLeft w:val="0"/>
      <w:marRight w:val="0"/>
      <w:marTop w:val="0"/>
      <w:marBottom w:val="0"/>
      <w:divBdr>
        <w:top w:val="none" w:sz="0" w:space="0" w:color="auto"/>
        <w:left w:val="none" w:sz="0" w:space="0" w:color="auto"/>
        <w:bottom w:val="none" w:sz="0" w:space="0" w:color="auto"/>
        <w:right w:val="none" w:sz="0" w:space="0" w:color="auto"/>
      </w:divBdr>
    </w:div>
    <w:div w:id="1048601716">
      <w:bodyDiv w:val="1"/>
      <w:marLeft w:val="0"/>
      <w:marRight w:val="0"/>
      <w:marTop w:val="0"/>
      <w:marBottom w:val="0"/>
      <w:divBdr>
        <w:top w:val="none" w:sz="0" w:space="0" w:color="auto"/>
        <w:left w:val="none" w:sz="0" w:space="0" w:color="auto"/>
        <w:bottom w:val="none" w:sz="0" w:space="0" w:color="auto"/>
        <w:right w:val="none" w:sz="0" w:space="0" w:color="auto"/>
      </w:divBdr>
    </w:div>
    <w:div w:id="1051077998">
      <w:bodyDiv w:val="1"/>
      <w:marLeft w:val="0"/>
      <w:marRight w:val="0"/>
      <w:marTop w:val="0"/>
      <w:marBottom w:val="0"/>
      <w:divBdr>
        <w:top w:val="none" w:sz="0" w:space="0" w:color="auto"/>
        <w:left w:val="none" w:sz="0" w:space="0" w:color="auto"/>
        <w:bottom w:val="none" w:sz="0" w:space="0" w:color="auto"/>
        <w:right w:val="none" w:sz="0" w:space="0" w:color="auto"/>
      </w:divBdr>
    </w:div>
    <w:div w:id="1051611841">
      <w:bodyDiv w:val="1"/>
      <w:marLeft w:val="0"/>
      <w:marRight w:val="0"/>
      <w:marTop w:val="0"/>
      <w:marBottom w:val="0"/>
      <w:divBdr>
        <w:top w:val="none" w:sz="0" w:space="0" w:color="auto"/>
        <w:left w:val="none" w:sz="0" w:space="0" w:color="auto"/>
        <w:bottom w:val="none" w:sz="0" w:space="0" w:color="auto"/>
        <w:right w:val="none" w:sz="0" w:space="0" w:color="auto"/>
      </w:divBdr>
    </w:div>
    <w:div w:id="1052121654">
      <w:bodyDiv w:val="1"/>
      <w:marLeft w:val="0"/>
      <w:marRight w:val="0"/>
      <w:marTop w:val="0"/>
      <w:marBottom w:val="0"/>
      <w:divBdr>
        <w:top w:val="none" w:sz="0" w:space="0" w:color="auto"/>
        <w:left w:val="none" w:sz="0" w:space="0" w:color="auto"/>
        <w:bottom w:val="none" w:sz="0" w:space="0" w:color="auto"/>
        <w:right w:val="none" w:sz="0" w:space="0" w:color="auto"/>
      </w:divBdr>
    </w:div>
    <w:div w:id="1052919818">
      <w:bodyDiv w:val="1"/>
      <w:marLeft w:val="0"/>
      <w:marRight w:val="0"/>
      <w:marTop w:val="0"/>
      <w:marBottom w:val="0"/>
      <w:divBdr>
        <w:top w:val="none" w:sz="0" w:space="0" w:color="auto"/>
        <w:left w:val="none" w:sz="0" w:space="0" w:color="auto"/>
        <w:bottom w:val="none" w:sz="0" w:space="0" w:color="auto"/>
        <w:right w:val="none" w:sz="0" w:space="0" w:color="auto"/>
      </w:divBdr>
    </w:div>
    <w:div w:id="1053508664">
      <w:bodyDiv w:val="1"/>
      <w:marLeft w:val="0"/>
      <w:marRight w:val="0"/>
      <w:marTop w:val="0"/>
      <w:marBottom w:val="0"/>
      <w:divBdr>
        <w:top w:val="none" w:sz="0" w:space="0" w:color="auto"/>
        <w:left w:val="none" w:sz="0" w:space="0" w:color="auto"/>
        <w:bottom w:val="none" w:sz="0" w:space="0" w:color="auto"/>
        <w:right w:val="none" w:sz="0" w:space="0" w:color="auto"/>
      </w:divBdr>
    </w:div>
    <w:div w:id="1053582114">
      <w:bodyDiv w:val="1"/>
      <w:marLeft w:val="0"/>
      <w:marRight w:val="0"/>
      <w:marTop w:val="0"/>
      <w:marBottom w:val="0"/>
      <w:divBdr>
        <w:top w:val="none" w:sz="0" w:space="0" w:color="auto"/>
        <w:left w:val="none" w:sz="0" w:space="0" w:color="auto"/>
        <w:bottom w:val="none" w:sz="0" w:space="0" w:color="auto"/>
        <w:right w:val="none" w:sz="0" w:space="0" w:color="auto"/>
      </w:divBdr>
    </w:div>
    <w:div w:id="1054506458">
      <w:bodyDiv w:val="1"/>
      <w:marLeft w:val="0"/>
      <w:marRight w:val="0"/>
      <w:marTop w:val="0"/>
      <w:marBottom w:val="0"/>
      <w:divBdr>
        <w:top w:val="none" w:sz="0" w:space="0" w:color="auto"/>
        <w:left w:val="none" w:sz="0" w:space="0" w:color="auto"/>
        <w:bottom w:val="none" w:sz="0" w:space="0" w:color="auto"/>
        <w:right w:val="none" w:sz="0" w:space="0" w:color="auto"/>
      </w:divBdr>
    </w:div>
    <w:div w:id="1057246656">
      <w:bodyDiv w:val="1"/>
      <w:marLeft w:val="0"/>
      <w:marRight w:val="0"/>
      <w:marTop w:val="0"/>
      <w:marBottom w:val="0"/>
      <w:divBdr>
        <w:top w:val="none" w:sz="0" w:space="0" w:color="auto"/>
        <w:left w:val="none" w:sz="0" w:space="0" w:color="auto"/>
        <w:bottom w:val="none" w:sz="0" w:space="0" w:color="auto"/>
        <w:right w:val="none" w:sz="0" w:space="0" w:color="auto"/>
      </w:divBdr>
    </w:div>
    <w:div w:id="1058822069">
      <w:bodyDiv w:val="1"/>
      <w:marLeft w:val="0"/>
      <w:marRight w:val="0"/>
      <w:marTop w:val="0"/>
      <w:marBottom w:val="0"/>
      <w:divBdr>
        <w:top w:val="none" w:sz="0" w:space="0" w:color="auto"/>
        <w:left w:val="none" w:sz="0" w:space="0" w:color="auto"/>
        <w:bottom w:val="none" w:sz="0" w:space="0" w:color="auto"/>
        <w:right w:val="none" w:sz="0" w:space="0" w:color="auto"/>
      </w:divBdr>
    </w:div>
    <w:div w:id="1059284704">
      <w:bodyDiv w:val="1"/>
      <w:marLeft w:val="0"/>
      <w:marRight w:val="0"/>
      <w:marTop w:val="0"/>
      <w:marBottom w:val="0"/>
      <w:divBdr>
        <w:top w:val="none" w:sz="0" w:space="0" w:color="auto"/>
        <w:left w:val="none" w:sz="0" w:space="0" w:color="auto"/>
        <w:bottom w:val="none" w:sz="0" w:space="0" w:color="auto"/>
        <w:right w:val="none" w:sz="0" w:space="0" w:color="auto"/>
      </w:divBdr>
    </w:div>
    <w:div w:id="1059473643">
      <w:bodyDiv w:val="1"/>
      <w:marLeft w:val="0"/>
      <w:marRight w:val="0"/>
      <w:marTop w:val="0"/>
      <w:marBottom w:val="0"/>
      <w:divBdr>
        <w:top w:val="none" w:sz="0" w:space="0" w:color="auto"/>
        <w:left w:val="none" w:sz="0" w:space="0" w:color="auto"/>
        <w:bottom w:val="none" w:sz="0" w:space="0" w:color="auto"/>
        <w:right w:val="none" w:sz="0" w:space="0" w:color="auto"/>
      </w:divBdr>
    </w:div>
    <w:div w:id="1063024085">
      <w:bodyDiv w:val="1"/>
      <w:marLeft w:val="0"/>
      <w:marRight w:val="0"/>
      <w:marTop w:val="0"/>
      <w:marBottom w:val="0"/>
      <w:divBdr>
        <w:top w:val="none" w:sz="0" w:space="0" w:color="auto"/>
        <w:left w:val="none" w:sz="0" w:space="0" w:color="auto"/>
        <w:bottom w:val="none" w:sz="0" w:space="0" w:color="auto"/>
        <w:right w:val="none" w:sz="0" w:space="0" w:color="auto"/>
      </w:divBdr>
    </w:div>
    <w:div w:id="1063723570">
      <w:bodyDiv w:val="1"/>
      <w:marLeft w:val="0"/>
      <w:marRight w:val="0"/>
      <w:marTop w:val="0"/>
      <w:marBottom w:val="0"/>
      <w:divBdr>
        <w:top w:val="none" w:sz="0" w:space="0" w:color="auto"/>
        <w:left w:val="none" w:sz="0" w:space="0" w:color="auto"/>
        <w:bottom w:val="none" w:sz="0" w:space="0" w:color="auto"/>
        <w:right w:val="none" w:sz="0" w:space="0" w:color="auto"/>
      </w:divBdr>
    </w:div>
    <w:div w:id="1063796615">
      <w:bodyDiv w:val="1"/>
      <w:marLeft w:val="0"/>
      <w:marRight w:val="0"/>
      <w:marTop w:val="0"/>
      <w:marBottom w:val="0"/>
      <w:divBdr>
        <w:top w:val="none" w:sz="0" w:space="0" w:color="auto"/>
        <w:left w:val="none" w:sz="0" w:space="0" w:color="auto"/>
        <w:bottom w:val="none" w:sz="0" w:space="0" w:color="auto"/>
        <w:right w:val="none" w:sz="0" w:space="0" w:color="auto"/>
      </w:divBdr>
    </w:div>
    <w:div w:id="1066564005">
      <w:bodyDiv w:val="1"/>
      <w:marLeft w:val="0"/>
      <w:marRight w:val="0"/>
      <w:marTop w:val="0"/>
      <w:marBottom w:val="0"/>
      <w:divBdr>
        <w:top w:val="none" w:sz="0" w:space="0" w:color="auto"/>
        <w:left w:val="none" w:sz="0" w:space="0" w:color="auto"/>
        <w:bottom w:val="none" w:sz="0" w:space="0" w:color="auto"/>
        <w:right w:val="none" w:sz="0" w:space="0" w:color="auto"/>
      </w:divBdr>
    </w:div>
    <w:div w:id="1067457673">
      <w:bodyDiv w:val="1"/>
      <w:marLeft w:val="0"/>
      <w:marRight w:val="0"/>
      <w:marTop w:val="0"/>
      <w:marBottom w:val="0"/>
      <w:divBdr>
        <w:top w:val="none" w:sz="0" w:space="0" w:color="auto"/>
        <w:left w:val="none" w:sz="0" w:space="0" w:color="auto"/>
        <w:bottom w:val="none" w:sz="0" w:space="0" w:color="auto"/>
        <w:right w:val="none" w:sz="0" w:space="0" w:color="auto"/>
      </w:divBdr>
    </w:div>
    <w:div w:id="1067923507">
      <w:bodyDiv w:val="1"/>
      <w:marLeft w:val="0"/>
      <w:marRight w:val="0"/>
      <w:marTop w:val="0"/>
      <w:marBottom w:val="0"/>
      <w:divBdr>
        <w:top w:val="none" w:sz="0" w:space="0" w:color="auto"/>
        <w:left w:val="none" w:sz="0" w:space="0" w:color="auto"/>
        <w:bottom w:val="none" w:sz="0" w:space="0" w:color="auto"/>
        <w:right w:val="none" w:sz="0" w:space="0" w:color="auto"/>
      </w:divBdr>
    </w:div>
    <w:div w:id="1069619455">
      <w:bodyDiv w:val="1"/>
      <w:marLeft w:val="0"/>
      <w:marRight w:val="0"/>
      <w:marTop w:val="0"/>
      <w:marBottom w:val="0"/>
      <w:divBdr>
        <w:top w:val="none" w:sz="0" w:space="0" w:color="auto"/>
        <w:left w:val="none" w:sz="0" w:space="0" w:color="auto"/>
        <w:bottom w:val="none" w:sz="0" w:space="0" w:color="auto"/>
        <w:right w:val="none" w:sz="0" w:space="0" w:color="auto"/>
      </w:divBdr>
    </w:div>
    <w:div w:id="1070465931">
      <w:bodyDiv w:val="1"/>
      <w:marLeft w:val="0"/>
      <w:marRight w:val="0"/>
      <w:marTop w:val="0"/>
      <w:marBottom w:val="0"/>
      <w:divBdr>
        <w:top w:val="none" w:sz="0" w:space="0" w:color="auto"/>
        <w:left w:val="none" w:sz="0" w:space="0" w:color="auto"/>
        <w:bottom w:val="none" w:sz="0" w:space="0" w:color="auto"/>
        <w:right w:val="none" w:sz="0" w:space="0" w:color="auto"/>
      </w:divBdr>
    </w:div>
    <w:div w:id="1071195692">
      <w:bodyDiv w:val="1"/>
      <w:marLeft w:val="0"/>
      <w:marRight w:val="0"/>
      <w:marTop w:val="0"/>
      <w:marBottom w:val="0"/>
      <w:divBdr>
        <w:top w:val="none" w:sz="0" w:space="0" w:color="auto"/>
        <w:left w:val="none" w:sz="0" w:space="0" w:color="auto"/>
        <w:bottom w:val="none" w:sz="0" w:space="0" w:color="auto"/>
        <w:right w:val="none" w:sz="0" w:space="0" w:color="auto"/>
      </w:divBdr>
    </w:div>
    <w:div w:id="1071929846">
      <w:bodyDiv w:val="1"/>
      <w:marLeft w:val="0"/>
      <w:marRight w:val="0"/>
      <w:marTop w:val="0"/>
      <w:marBottom w:val="0"/>
      <w:divBdr>
        <w:top w:val="none" w:sz="0" w:space="0" w:color="auto"/>
        <w:left w:val="none" w:sz="0" w:space="0" w:color="auto"/>
        <w:bottom w:val="none" w:sz="0" w:space="0" w:color="auto"/>
        <w:right w:val="none" w:sz="0" w:space="0" w:color="auto"/>
      </w:divBdr>
    </w:div>
    <w:div w:id="1072855471">
      <w:bodyDiv w:val="1"/>
      <w:marLeft w:val="0"/>
      <w:marRight w:val="0"/>
      <w:marTop w:val="0"/>
      <w:marBottom w:val="0"/>
      <w:divBdr>
        <w:top w:val="none" w:sz="0" w:space="0" w:color="auto"/>
        <w:left w:val="none" w:sz="0" w:space="0" w:color="auto"/>
        <w:bottom w:val="none" w:sz="0" w:space="0" w:color="auto"/>
        <w:right w:val="none" w:sz="0" w:space="0" w:color="auto"/>
      </w:divBdr>
    </w:div>
    <w:div w:id="1073241745">
      <w:bodyDiv w:val="1"/>
      <w:marLeft w:val="0"/>
      <w:marRight w:val="0"/>
      <w:marTop w:val="0"/>
      <w:marBottom w:val="0"/>
      <w:divBdr>
        <w:top w:val="none" w:sz="0" w:space="0" w:color="auto"/>
        <w:left w:val="none" w:sz="0" w:space="0" w:color="auto"/>
        <w:bottom w:val="none" w:sz="0" w:space="0" w:color="auto"/>
        <w:right w:val="none" w:sz="0" w:space="0" w:color="auto"/>
      </w:divBdr>
    </w:div>
    <w:div w:id="1074161893">
      <w:bodyDiv w:val="1"/>
      <w:marLeft w:val="0"/>
      <w:marRight w:val="0"/>
      <w:marTop w:val="0"/>
      <w:marBottom w:val="0"/>
      <w:divBdr>
        <w:top w:val="none" w:sz="0" w:space="0" w:color="auto"/>
        <w:left w:val="none" w:sz="0" w:space="0" w:color="auto"/>
        <w:bottom w:val="none" w:sz="0" w:space="0" w:color="auto"/>
        <w:right w:val="none" w:sz="0" w:space="0" w:color="auto"/>
      </w:divBdr>
    </w:div>
    <w:div w:id="1074274712">
      <w:bodyDiv w:val="1"/>
      <w:marLeft w:val="0"/>
      <w:marRight w:val="0"/>
      <w:marTop w:val="0"/>
      <w:marBottom w:val="0"/>
      <w:divBdr>
        <w:top w:val="none" w:sz="0" w:space="0" w:color="auto"/>
        <w:left w:val="none" w:sz="0" w:space="0" w:color="auto"/>
        <w:bottom w:val="none" w:sz="0" w:space="0" w:color="auto"/>
        <w:right w:val="none" w:sz="0" w:space="0" w:color="auto"/>
      </w:divBdr>
    </w:div>
    <w:div w:id="1077674391">
      <w:bodyDiv w:val="1"/>
      <w:marLeft w:val="0"/>
      <w:marRight w:val="0"/>
      <w:marTop w:val="0"/>
      <w:marBottom w:val="0"/>
      <w:divBdr>
        <w:top w:val="none" w:sz="0" w:space="0" w:color="auto"/>
        <w:left w:val="none" w:sz="0" w:space="0" w:color="auto"/>
        <w:bottom w:val="none" w:sz="0" w:space="0" w:color="auto"/>
        <w:right w:val="none" w:sz="0" w:space="0" w:color="auto"/>
      </w:divBdr>
    </w:div>
    <w:div w:id="1079330679">
      <w:bodyDiv w:val="1"/>
      <w:marLeft w:val="0"/>
      <w:marRight w:val="0"/>
      <w:marTop w:val="0"/>
      <w:marBottom w:val="0"/>
      <w:divBdr>
        <w:top w:val="none" w:sz="0" w:space="0" w:color="auto"/>
        <w:left w:val="none" w:sz="0" w:space="0" w:color="auto"/>
        <w:bottom w:val="none" w:sz="0" w:space="0" w:color="auto"/>
        <w:right w:val="none" w:sz="0" w:space="0" w:color="auto"/>
      </w:divBdr>
    </w:div>
    <w:div w:id="1080373745">
      <w:bodyDiv w:val="1"/>
      <w:marLeft w:val="0"/>
      <w:marRight w:val="0"/>
      <w:marTop w:val="0"/>
      <w:marBottom w:val="0"/>
      <w:divBdr>
        <w:top w:val="none" w:sz="0" w:space="0" w:color="auto"/>
        <w:left w:val="none" w:sz="0" w:space="0" w:color="auto"/>
        <w:bottom w:val="none" w:sz="0" w:space="0" w:color="auto"/>
        <w:right w:val="none" w:sz="0" w:space="0" w:color="auto"/>
      </w:divBdr>
    </w:div>
    <w:div w:id="1081214387">
      <w:bodyDiv w:val="1"/>
      <w:marLeft w:val="0"/>
      <w:marRight w:val="0"/>
      <w:marTop w:val="0"/>
      <w:marBottom w:val="0"/>
      <w:divBdr>
        <w:top w:val="none" w:sz="0" w:space="0" w:color="auto"/>
        <w:left w:val="none" w:sz="0" w:space="0" w:color="auto"/>
        <w:bottom w:val="none" w:sz="0" w:space="0" w:color="auto"/>
        <w:right w:val="none" w:sz="0" w:space="0" w:color="auto"/>
      </w:divBdr>
    </w:div>
    <w:div w:id="1081682662">
      <w:bodyDiv w:val="1"/>
      <w:marLeft w:val="0"/>
      <w:marRight w:val="0"/>
      <w:marTop w:val="0"/>
      <w:marBottom w:val="0"/>
      <w:divBdr>
        <w:top w:val="none" w:sz="0" w:space="0" w:color="auto"/>
        <w:left w:val="none" w:sz="0" w:space="0" w:color="auto"/>
        <w:bottom w:val="none" w:sz="0" w:space="0" w:color="auto"/>
        <w:right w:val="none" w:sz="0" w:space="0" w:color="auto"/>
      </w:divBdr>
    </w:div>
    <w:div w:id="1082947478">
      <w:bodyDiv w:val="1"/>
      <w:marLeft w:val="0"/>
      <w:marRight w:val="0"/>
      <w:marTop w:val="0"/>
      <w:marBottom w:val="0"/>
      <w:divBdr>
        <w:top w:val="none" w:sz="0" w:space="0" w:color="auto"/>
        <w:left w:val="none" w:sz="0" w:space="0" w:color="auto"/>
        <w:bottom w:val="none" w:sz="0" w:space="0" w:color="auto"/>
        <w:right w:val="none" w:sz="0" w:space="0" w:color="auto"/>
      </w:divBdr>
    </w:div>
    <w:div w:id="1084567413">
      <w:bodyDiv w:val="1"/>
      <w:marLeft w:val="0"/>
      <w:marRight w:val="0"/>
      <w:marTop w:val="0"/>
      <w:marBottom w:val="0"/>
      <w:divBdr>
        <w:top w:val="none" w:sz="0" w:space="0" w:color="auto"/>
        <w:left w:val="none" w:sz="0" w:space="0" w:color="auto"/>
        <w:bottom w:val="none" w:sz="0" w:space="0" w:color="auto"/>
        <w:right w:val="none" w:sz="0" w:space="0" w:color="auto"/>
      </w:divBdr>
    </w:div>
    <w:div w:id="1086919146">
      <w:bodyDiv w:val="1"/>
      <w:marLeft w:val="0"/>
      <w:marRight w:val="0"/>
      <w:marTop w:val="0"/>
      <w:marBottom w:val="0"/>
      <w:divBdr>
        <w:top w:val="none" w:sz="0" w:space="0" w:color="auto"/>
        <w:left w:val="none" w:sz="0" w:space="0" w:color="auto"/>
        <w:bottom w:val="none" w:sz="0" w:space="0" w:color="auto"/>
        <w:right w:val="none" w:sz="0" w:space="0" w:color="auto"/>
      </w:divBdr>
    </w:div>
    <w:div w:id="1087116165">
      <w:bodyDiv w:val="1"/>
      <w:marLeft w:val="0"/>
      <w:marRight w:val="0"/>
      <w:marTop w:val="0"/>
      <w:marBottom w:val="0"/>
      <w:divBdr>
        <w:top w:val="none" w:sz="0" w:space="0" w:color="auto"/>
        <w:left w:val="none" w:sz="0" w:space="0" w:color="auto"/>
        <w:bottom w:val="none" w:sz="0" w:space="0" w:color="auto"/>
        <w:right w:val="none" w:sz="0" w:space="0" w:color="auto"/>
      </w:divBdr>
    </w:div>
    <w:div w:id="1088966307">
      <w:bodyDiv w:val="1"/>
      <w:marLeft w:val="0"/>
      <w:marRight w:val="0"/>
      <w:marTop w:val="0"/>
      <w:marBottom w:val="0"/>
      <w:divBdr>
        <w:top w:val="none" w:sz="0" w:space="0" w:color="auto"/>
        <w:left w:val="none" w:sz="0" w:space="0" w:color="auto"/>
        <w:bottom w:val="none" w:sz="0" w:space="0" w:color="auto"/>
        <w:right w:val="none" w:sz="0" w:space="0" w:color="auto"/>
      </w:divBdr>
    </w:div>
    <w:div w:id="1090006753">
      <w:bodyDiv w:val="1"/>
      <w:marLeft w:val="0"/>
      <w:marRight w:val="0"/>
      <w:marTop w:val="0"/>
      <w:marBottom w:val="0"/>
      <w:divBdr>
        <w:top w:val="none" w:sz="0" w:space="0" w:color="auto"/>
        <w:left w:val="none" w:sz="0" w:space="0" w:color="auto"/>
        <w:bottom w:val="none" w:sz="0" w:space="0" w:color="auto"/>
        <w:right w:val="none" w:sz="0" w:space="0" w:color="auto"/>
      </w:divBdr>
    </w:div>
    <w:div w:id="1091123619">
      <w:bodyDiv w:val="1"/>
      <w:marLeft w:val="0"/>
      <w:marRight w:val="0"/>
      <w:marTop w:val="0"/>
      <w:marBottom w:val="0"/>
      <w:divBdr>
        <w:top w:val="none" w:sz="0" w:space="0" w:color="auto"/>
        <w:left w:val="none" w:sz="0" w:space="0" w:color="auto"/>
        <w:bottom w:val="none" w:sz="0" w:space="0" w:color="auto"/>
        <w:right w:val="none" w:sz="0" w:space="0" w:color="auto"/>
      </w:divBdr>
    </w:div>
    <w:div w:id="1091240501">
      <w:bodyDiv w:val="1"/>
      <w:marLeft w:val="0"/>
      <w:marRight w:val="0"/>
      <w:marTop w:val="0"/>
      <w:marBottom w:val="0"/>
      <w:divBdr>
        <w:top w:val="none" w:sz="0" w:space="0" w:color="auto"/>
        <w:left w:val="none" w:sz="0" w:space="0" w:color="auto"/>
        <w:bottom w:val="none" w:sz="0" w:space="0" w:color="auto"/>
        <w:right w:val="none" w:sz="0" w:space="0" w:color="auto"/>
      </w:divBdr>
    </w:div>
    <w:div w:id="1092048304">
      <w:bodyDiv w:val="1"/>
      <w:marLeft w:val="0"/>
      <w:marRight w:val="0"/>
      <w:marTop w:val="0"/>
      <w:marBottom w:val="0"/>
      <w:divBdr>
        <w:top w:val="none" w:sz="0" w:space="0" w:color="auto"/>
        <w:left w:val="none" w:sz="0" w:space="0" w:color="auto"/>
        <w:bottom w:val="none" w:sz="0" w:space="0" w:color="auto"/>
        <w:right w:val="none" w:sz="0" w:space="0" w:color="auto"/>
      </w:divBdr>
    </w:div>
    <w:div w:id="1092239214">
      <w:bodyDiv w:val="1"/>
      <w:marLeft w:val="0"/>
      <w:marRight w:val="0"/>
      <w:marTop w:val="0"/>
      <w:marBottom w:val="0"/>
      <w:divBdr>
        <w:top w:val="none" w:sz="0" w:space="0" w:color="auto"/>
        <w:left w:val="none" w:sz="0" w:space="0" w:color="auto"/>
        <w:bottom w:val="none" w:sz="0" w:space="0" w:color="auto"/>
        <w:right w:val="none" w:sz="0" w:space="0" w:color="auto"/>
      </w:divBdr>
    </w:div>
    <w:div w:id="1096823468">
      <w:bodyDiv w:val="1"/>
      <w:marLeft w:val="0"/>
      <w:marRight w:val="0"/>
      <w:marTop w:val="0"/>
      <w:marBottom w:val="0"/>
      <w:divBdr>
        <w:top w:val="none" w:sz="0" w:space="0" w:color="auto"/>
        <w:left w:val="none" w:sz="0" w:space="0" w:color="auto"/>
        <w:bottom w:val="none" w:sz="0" w:space="0" w:color="auto"/>
        <w:right w:val="none" w:sz="0" w:space="0" w:color="auto"/>
      </w:divBdr>
    </w:div>
    <w:div w:id="1098065316">
      <w:bodyDiv w:val="1"/>
      <w:marLeft w:val="0"/>
      <w:marRight w:val="0"/>
      <w:marTop w:val="0"/>
      <w:marBottom w:val="0"/>
      <w:divBdr>
        <w:top w:val="none" w:sz="0" w:space="0" w:color="auto"/>
        <w:left w:val="none" w:sz="0" w:space="0" w:color="auto"/>
        <w:bottom w:val="none" w:sz="0" w:space="0" w:color="auto"/>
        <w:right w:val="none" w:sz="0" w:space="0" w:color="auto"/>
      </w:divBdr>
    </w:div>
    <w:div w:id="1099136655">
      <w:bodyDiv w:val="1"/>
      <w:marLeft w:val="0"/>
      <w:marRight w:val="0"/>
      <w:marTop w:val="0"/>
      <w:marBottom w:val="0"/>
      <w:divBdr>
        <w:top w:val="none" w:sz="0" w:space="0" w:color="auto"/>
        <w:left w:val="none" w:sz="0" w:space="0" w:color="auto"/>
        <w:bottom w:val="none" w:sz="0" w:space="0" w:color="auto"/>
        <w:right w:val="none" w:sz="0" w:space="0" w:color="auto"/>
      </w:divBdr>
    </w:div>
    <w:div w:id="1100376201">
      <w:bodyDiv w:val="1"/>
      <w:marLeft w:val="0"/>
      <w:marRight w:val="0"/>
      <w:marTop w:val="0"/>
      <w:marBottom w:val="0"/>
      <w:divBdr>
        <w:top w:val="none" w:sz="0" w:space="0" w:color="auto"/>
        <w:left w:val="none" w:sz="0" w:space="0" w:color="auto"/>
        <w:bottom w:val="none" w:sz="0" w:space="0" w:color="auto"/>
        <w:right w:val="none" w:sz="0" w:space="0" w:color="auto"/>
      </w:divBdr>
    </w:div>
    <w:div w:id="1102141428">
      <w:bodyDiv w:val="1"/>
      <w:marLeft w:val="0"/>
      <w:marRight w:val="0"/>
      <w:marTop w:val="0"/>
      <w:marBottom w:val="0"/>
      <w:divBdr>
        <w:top w:val="none" w:sz="0" w:space="0" w:color="auto"/>
        <w:left w:val="none" w:sz="0" w:space="0" w:color="auto"/>
        <w:bottom w:val="none" w:sz="0" w:space="0" w:color="auto"/>
        <w:right w:val="none" w:sz="0" w:space="0" w:color="auto"/>
      </w:divBdr>
    </w:div>
    <w:div w:id="1103038535">
      <w:bodyDiv w:val="1"/>
      <w:marLeft w:val="0"/>
      <w:marRight w:val="0"/>
      <w:marTop w:val="0"/>
      <w:marBottom w:val="0"/>
      <w:divBdr>
        <w:top w:val="none" w:sz="0" w:space="0" w:color="auto"/>
        <w:left w:val="none" w:sz="0" w:space="0" w:color="auto"/>
        <w:bottom w:val="none" w:sz="0" w:space="0" w:color="auto"/>
        <w:right w:val="none" w:sz="0" w:space="0" w:color="auto"/>
      </w:divBdr>
    </w:div>
    <w:div w:id="1103376429">
      <w:bodyDiv w:val="1"/>
      <w:marLeft w:val="0"/>
      <w:marRight w:val="0"/>
      <w:marTop w:val="0"/>
      <w:marBottom w:val="0"/>
      <w:divBdr>
        <w:top w:val="none" w:sz="0" w:space="0" w:color="auto"/>
        <w:left w:val="none" w:sz="0" w:space="0" w:color="auto"/>
        <w:bottom w:val="none" w:sz="0" w:space="0" w:color="auto"/>
        <w:right w:val="none" w:sz="0" w:space="0" w:color="auto"/>
      </w:divBdr>
    </w:div>
    <w:div w:id="1104349126">
      <w:bodyDiv w:val="1"/>
      <w:marLeft w:val="0"/>
      <w:marRight w:val="0"/>
      <w:marTop w:val="0"/>
      <w:marBottom w:val="0"/>
      <w:divBdr>
        <w:top w:val="none" w:sz="0" w:space="0" w:color="auto"/>
        <w:left w:val="none" w:sz="0" w:space="0" w:color="auto"/>
        <w:bottom w:val="none" w:sz="0" w:space="0" w:color="auto"/>
        <w:right w:val="none" w:sz="0" w:space="0" w:color="auto"/>
      </w:divBdr>
    </w:div>
    <w:div w:id="1104375062">
      <w:bodyDiv w:val="1"/>
      <w:marLeft w:val="0"/>
      <w:marRight w:val="0"/>
      <w:marTop w:val="0"/>
      <w:marBottom w:val="0"/>
      <w:divBdr>
        <w:top w:val="none" w:sz="0" w:space="0" w:color="auto"/>
        <w:left w:val="none" w:sz="0" w:space="0" w:color="auto"/>
        <w:bottom w:val="none" w:sz="0" w:space="0" w:color="auto"/>
        <w:right w:val="none" w:sz="0" w:space="0" w:color="auto"/>
      </w:divBdr>
    </w:div>
    <w:div w:id="1105223646">
      <w:bodyDiv w:val="1"/>
      <w:marLeft w:val="0"/>
      <w:marRight w:val="0"/>
      <w:marTop w:val="0"/>
      <w:marBottom w:val="0"/>
      <w:divBdr>
        <w:top w:val="none" w:sz="0" w:space="0" w:color="auto"/>
        <w:left w:val="none" w:sz="0" w:space="0" w:color="auto"/>
        <w:bottom w:val="none" w:sz="0" w:space="0" w:color="auto"/>
        <w:right w:val="none" w:sz="0" w:space="0" w:color="auto"/>
      </w:divBdr>
    </w:div>
    <w:div w:id="1105616769">
      <w:bodyDiv w:val="1"/>
      <w:marLeft w:val="0"/>
      <w:marRight w:val="0"/>
      <w:marTop w:val="0"/>
      <w:marBottom w:val="0"/>
      <w:divBdr>
        <w:top w:val="none" w:sz="0" w:space="0" w:color="auto"/>
        <w:left w:val="none" w:sz="0" w:space="0" w:color="auto"/>
        <w:bottom w:val="none" w:sz="0" w:space="0" w:color="auto"/>
        <w:right w:val="none" w:sz="0" w:space="0" w:color="auto"/>
      </w:divBdr>
    </w:div>
    <w:div w:id="1107651113">
      <w:bodyDiv w:val="1"/>
      <w:marLeft w:val="0"/>
      <w:marRight w:val="0"/>
      <w:marTop w:val="0"/>
      <w:marBottom w:val="0"/>
      <w:divBdr>
        <w:top w:val="none" w:sz="0" w:space="0" w:color="auto"/>
        <w:left w:val="none" w:sz="0" w:space="0" w:color="auto"/>
        <w:bottom w:val="none" w:sz="0" w:space="0" w:color="auto"/>
        <w:right w:val="none" w:sz="0" w:space="0" w:color="auto"/>
      </w:divBdr>
    </w:div>
    <w:div w:id="1108619937">
      <w:bodyDiv w:val="1"/>
      <w:marLeft w:val="0"/>
      <w:marRight w:val="0"/>
      <w:marTop w:val="0"/>
      <w:marBottom w:val="0"/>
      <w:divBdr>
        <w:top w:val="none" w:sz="0" w:space="0" w:color="auto"/>
        <w:left w:val="none" w:sz="0" w:space="0" w:color="auto"/>
        <w:bottom w:val="none" w:sz="0" w:space="0" w:color="auto"/>
        <w:right w:val="none" w:sz="0" w:space="0" w:color="auto"/>
      </w:divBdr>
    </w:div>
    <w:div w:id="1110585215">
      <w:bodyDiv w:val="1"/>
      <w:marLeft w:val="0"/>
      <w:marRight w:val="0"/>
      <w:marTop w:val="0"/>
      <w:marBottom w:val="0"/>
      <w:divBdr>
        <w:top w:val="none" w:sz="0" w:space="0" w:color="auto"/>
        <w:left w:val="none" w:sz="0" w:space="0" w:color="auto"/>
        <w:bottom w:val="none" w:sz="0" w:space="0" w:color="auto"/>
        <w:right w:val="none" w:sz="0" w:space="0" w:color="auto"/>
      </w:divBdr>
    </w:div>
    <w:div w:id="1111047878">
      <w:bodyDiv w:val="1"/>
      <w:marLeft w:val="0"/>
      <w:marRight w:val="0"/>
      <w:marTop w:val="0"/>
      <w:marBottom w:val="0"/>
      <w:divBdr>
        <w:top w:val="none" w:sz="0" w:space="0" w:color="auto"/>
        <w:left w:val="none" w:sz="0" w:space="0" w:color="auto"/>
        <w:bottom w:val="none" w:sz="0" w:space="0" w:color="auto"/>
        <w:right w:val="none" w:sz="0" w:space="0" w:color="auto"/>
      </w:divBdr>
    </w:div>
    <w:div w:id="1112095895">
      <w:bodyDiv w:val="1"/>
      <w:marLeft w:val="0"/>
      <w:marRight w:val="0"/>
      <w:marTop w:val="0"/>
      <w:marBottom w:val="0"/>
      <w:divBdr>
        <w:top w:val="none" w:sz="0" w:space="0" w:color="auto"/>
        <w:left w:val="none" w:sz="0" w:space="0" w:color="auto"/>
        <w:bottom w:val="none" w:sz="0" w:space="0" w:color="auto"/>
        <w:right w:val="none" w:sz="0" w:space="0" w:color="auto"/>
      </w:divBdr>
    </w:div>
    <w:div w:id="1114059604">
      <w:bodyDiv w:val="1"/>
      <w:marLeft w:val="0"/>
      <w:marRight w:val="0"/>
      <w:marTop w:val="0"/>
      <w:marBottom w:val="0"/>
      <w:divBdr>
        <w:top w:val="none" w:sz="0" w:space="0" w:color="auto"/>
        <w:left w:val="none" w:sz="0" w:space="0" w:color="auto"/>
        <w:bottom w:val="none" w:sz="0" w:space="0" w:color="auto"/>
        <w:right w:val="none" w:sz="0" w:space="0" w:color="auto"/>
      </w:divBdr>
    </w:div>
    <w:div w:id="1115253290">
      <w:bodyDiv w:val="1"/>
      <w:marLeft w:val="0"/>
      <w:marRight w:val="0"/>
      <w:marTop w:val="0"/>
      <w:marBottom w:val="0"/>
      <w:divBdr>
        <w:top w:val="none" w:sz="0" w:space="0" w:color="auto"/>
        <w:left w:val="none" w:sz="0" w:space="0" w:color="auto"/>
        <w:bottom w:val="none" w:sz="0" w:space="0" w:color="auto"/>
        <w:right w:val="none" w:sz="0" w:space="0" w:color="auto"/>
      </w:divBdr>
    </w:div>
    <w:div w:id="1116632108">
      <w:bodyDiv w:val="1"/>
      <w:marLeft w:val="0"/>
      <w:marRight w:val="0"/>
      <w:marTop w:val="0"/>
      <w:marBottom w:val="0"/>
      <w:divBdr>
        <w:top w:val="none" w:sz="0" w:space="0" w:color="auto"/>
        <w:left w:val="none" w:sz="0" w:space="0" w:color="auto"/>
        <w:bottom w:val="none" w:sz="0" w:space="0" w:color="auto"/>
        <w:right w:val="none" w:sz="0" w:space="0" w:color="auto"/>
      </w:divBdr>
    </w:div>
    <w:div w:id="1117410310">
      <w:bodyDiv w:val="1"/>
      <w:marLeft w:val="0"/>
      <w:marRight w:val="0"/>
      <w:marTop w:val="0"/>
      <w:marBottom w:val="0"/>
      <w:divBdr>
        <w:top w:val="none" w:sz="0" w:space="0" w:color="auto"/>
        <w:left w:val="none" w:sz="0" w:space="0" w:color="auto"/>
        <w:bottom w:val="none" w:sz="0" w:space="0" w:color="auto"/>
        <w:right w:val="none" w:sz="0" w:space="0" w:color="auto"/>
      </w:divBdr>
    </w:div>
    <w:div w:id="1117600572">
      <w:bodyDiv w:val="1"/>
      <w:marLeft w:val="0"/>
      <w:marRight w:val="0"/>
      <w:marTop w:val="0"/>
      <w:marBottom w:val="0"/>
      <w:divBdr>
        <w:top w:val="none" w:sz="0" w:space="0" w:color="auto"/>
        <w:left w:val="none" w:sz="0" w:space="0" w:color="auto"/>
        <w:bottom w:val="none" w:sz="0" w:space="0" w:color="auto"/>
        <w:right w:val="none" w:sz="0" w:space="0" w:color="auto"/>
      </w:divBdr>
    </w:div>
    <w:div w:id="1119762578">
      <w:bodyDiv w:val="1"/>
      <w:marLeft w:val="0"/>
      <w:marRight w:val="0"/>
      <w:marTop w:val="0"/>
      <w:marBottom w:val="0"/>
      <w:divBdr>
        <w:top w:val="none" w:sz="0" w:space="0" w:color="auto"/>
        <w:left w:val="none" w:sz="0" w:space="0" w:color="auto"/>
        <w:bottom w:val="none" w:sz="0" w:space="0" w:color="auto"/>
        <w:right w:val="none" w:sz="0" w:space="0" w:color="auto"/>
      </w:divBdr>
    </w:div>
    <w:div w:id="1119765002">
      <w:bodyDiv w:val="1"/>
      <w:marLeft w:val="0"/>
      <w:marRight w:val="0"/>
      <w:marTop w:val="0"/>
      <w:marBottom w:val="0"/>
      <w:divBdr>
        <w:top w:val="none" w:sz="0" w:space="0" w:color="auto"/>
        <w:left w:val="none" w:sz="0" w:space="0" w:color="auto"/>
        <w:bottom w:val="none" w:sz="0" w:space="0" w:color="auto"/>
        <w:right w:val="none" w:sz="0" w:space="0" w:color="auto"/>
      </w:divBdr>
    </w:div>
    <w:div w:id="1120690064">
      <w:bodyDiv w:val="1"/>
      <w:marLeft w:val="0"/>
      <w:marRight w:val="0"/>
      <w:marTop w:val="0"/>
      <w:marBottom w:val="0"/>
      <w:divBdr>
        <w:top w:val="none" w:sz="0" w:space="0" w:color="auto"/>
        <w:left w:val="none" w:sz="0" w:space="0" w:color="auto"/>
        <w:bottom w:val="none" w:sz="0" w:space="0" w:color="auto"/>
        <w:right w:val="none" w:sz="0" w:space="0" w:color="auto"/>
      </w:divBdr>
    </w:div>
    <w:div w:id="1121534911">
      <w:bodyDiv w:val="1"/>
      <w:marLeft w:val="0"/>
      <w:marRight w:val="0"/>
      <w:marTop w:val="0"/>
      <w:marBottom w:val="0"/>
      <w:divBdr>
        <w:top w:val="none" w:sz="0" w:space="0" w:color="auto"/>
        <w:left w:val="none" w:sz="0" w:space="0" w:color="auto"/>
        <w:bottom w:val="none" w:sz="0" w:space="0" w:color="auto"/>
        <w:right w:val="none" w:sz="0" w:space="0" w:color="auto"/>
      </w:divBdr>
    </w:div>
    <w:div w:id="1121873507">
      <w:bodyDiv w:val="1"/>
      <w:marLeft w:val="0"/>
      <w:marRight w:val="0"/>
      <w:marTop w:val="0"/>
      <w:marBottom w:val="0"/>
      <w:divBdr>
        <w:top w:val="none" w:sz="0" w:space="0" w:color="auto"/>
        <w:left w:val="none" w:sz="0" w:space="0" w:color="auto"/>
        <w:bottom w:val="none" w:sz="0" w:space="0" w:color="auto"/>
        <w:right w:val="none" w:sz="0" w:space="0" w:color="auto"/>
      </w:divBdr>
    </w:div>
    <w:div w:id="1121873832">
      <w:bodyDiv w:val="1"/>
      <w:marLeft w:val="0"/>
      <w:marRight w:val="0"/>
      <w:marTop w:val="0"/>
      <w:marBottom w:val="0"/>
      <w:divBdr>
        <w:top w:val="none" w:sz="0" w:space="0" w:color="auto"/>
        <w:left w:val="none" w:sz="0" w:space="0" w:color="auto"/>
        <w:bottom w:val="none" w:sz="0" w:space="0" w:color="auto"/>
        <w:right w:val="none" w:sz="0" w:space="0" w:color="auto"/>
      </w:divBdr>
    </w:div>
    <w:div w:id="1123228248">
      <w:bodyDiv w:val="1"/>
      <w:marLeft w:val="0"/>
      <w:marRight w:val="0"/>
      <w:marTop w:val="0"/>
      <w:marBottom w:val="0"/>
      <w:divBdr>
        <w:top w:val="none" w:sz="0" w:space="0" w:color="auto"/>
        <w:left w:val="none" w:sz="0" w:space="0" w:color="auto"/>
        <w:bottom w:val="none" w:sz="0" w:space="0" w:color="auto"/>
        <w:right w:val="none" w:sz="0" w:space="0" w:color="auto"/>
      </w:divBdr>
    </w:div>
    <w:div w:id="1123377860">
      <w:bodyDiv w:val="1"/>
      <w:marLeft w:val="0"/>
      <w:marRight w:val="0"/>
      <w:marTop w:val="0"/>
      <w:marBottom w:val="0"/>
      <w:divBdr>
        <w:top w:val="none" w:sz="0" w:space="0" w:color="auto"/>
        <w:left w:val="none" w:sz="0" w:space="0" w:color="auto"/>
        <w:bottom w:val="none" w:sz="0" w:space="0" w:color="auto"/>
        <w:right w:val="none" w:sz="0" w:space="0" w:color="auto"/>
      </w:divBdr>
    </w:div>
    <w:div w:id="1125272026">
      <w:bodyDiv w:val="1"/>
      <w:marLeft w:val="0"/>
      <w:marRight w:val="0"/>
      <w:marTop w:val="0"/>
      <w:marBottom w:val="0"/>
      <w:divBdr>
        <w:top w:val="none" w:sz="0" w:space="0" w:color="auto"/>
        <w:left w:val="none" w:sz="0" w:space="0" w:color="auto"/>
        <w:bottom w:val="none" w:sz="0" w:space="0" w:color="auto"/>
        <w:right w:val="none" w:sz="0" w:space="0" w:color="auto"/>
      </w:divBdr>
    </w:div>
    <w:div w:id="1126050638">
      <w:bodyDiv w:val="1"/>
      <w:marLeft w:val="0"/>
      <w:marRight w:val="0"/>
      <w:marTop w:val="0"/>
      <w:marBottom w:val="0"/>
      <w:divBdr>
        <w:top w:val="none" w:sz="0" w:space="0" w:color="auto"/>
        <w:left w:val="none" w:sz="0" w:space="0" w:color="auto"/>
        <w:bottom w:val="none" w:sz="0" w:space="0" w:color="auto"/>
        <w:right w:val="none" w:sz="0" w:space="0" w:color="auto"/>
      </w:divBdr>
    </w:div>
    <w:div w:id="1126582230">
      <w:bodyDiv w:val="1"/>
      <w:marLeft w:val="0"/>
      <w:marRight w:val="0"/>
      <w:marTop w:val="0"/>
      <w:marBottom w:val="0"/>
      <w:divBdr>
        <w:top w:val="none" w:sz="0" w:space="0" w:color="auto"/>
        <w:left w:val="none" w:sz="0" w:space="0" w:color="auto"/>
        <w:bottom w:val="none" w:sz="0" w:space="0" w:color="auto"/>
        <w:right w:val="none" w:sz="0" w:space="0" w:color="auto"/>
      </w:divBdr>
    </w:div>
    <w:div w:id="1126583109">
      <w:bodyDiv w:val="1"/>
      <w:marLeft w:val="0"/>
      <w:marRight w:val="0"/>
      <w:marTop w:val="0"/>
      <w:marBottom w:val="0"/>
      <w:divBdr>
        <w:top w:val="none" w:sz="0" w:space="0" w:color="auto"/>
        <w:left w:val="none" w:sz="0" w:space="0" w:color="auto"/>
        <w:bottom w:val="none" w:sz="0" w:space="0" w:color="auto"/>
        <w:right w:val="none" w:sz="0" w:space="0" w:color="auto"/>
      </w:divBdr>
    </w:div>
    <w:div w:id="1126774436">
      <w:bodyDiv w:val="1"/>
      <w:marLeft w:val="0"/>
      <w:marRight w:val="0"/>
      <w:marTop w:val="0"/>
      <w:marBottom w:val="0"/>
      <w:divBdr>
        <w:top w:val="none" w:sz="0" w:space="0" w:color="auto"/>
        <w:left w:val="none" w:sz="0" w:space="0" w:color="auto"/>
        <w:bottom w:val="none" w:sz="0" w:space="0" w:color="auto"/>
        <w:right w:val="none" w:sz="0" w:space="0" w:color="auto"/>
      </w:divBdr>
    </w:div>
    <w:div w:id="1128667968">
      <w:bodyDiv w:val="1"/>
      <w:marLeft w:val="0"/>
      <w:marRight w:val="0"/>
      <w:marTop w:val="0"/>
      <w:marBottom w:val="0"/>
      <w:divBdr>
        <w:top w:val="none" w:sz="0" w:space="0" w:color="auto"/>
        <w:left w:val="none" w:sz="0" w:space="0" w:color="auto"/>
        <w:bottom w:val="none" w:sz="0" w:space="0" w:color="auto"/>
        <w:right w:val="none" w:sz="0" w:space="0" w:color="auto"/>
      </w:divBdr>
    </w:div>
    <w:div w:id="1129281913">
      <w:bodyDiv w:val="1"/>
      <w:marLeft w:val="0"/>
      <w:marRight w:val="0"/>
      <w:marTop w:val="0"/>
      <w:marBottom w:val="0"/>
      <w:divBdr>
        <w:top w:val="none" w:sz="0" w:space="0" w:color="auto"/>
        <w:left w:val="none" w:sz="0" w:space="0" w:color="auto"/>
        <w:bottom w:val="none" w:sz="0" w:space="0" w:color="auto"/>
        <w:right w:val="none" w:sz="0" w:space="0" w:color="auto"/>
      </w:divBdr>
    </w:div>
    <w:div w:id="1130364970">
      <w:bodyDiv w:val="1"/>
      <w:marLeft w:val="0"/>
      <w:marRight w:val="0"/>
      <w:marTop w:val="0"/>
      <w:marBottom w:val="0"/>
      <w:divBdr>
        <w:top w:val="none" w:sz="0" w:space="0" w:color="auto"/>
        <w:left w:val="none" w:sz="0" w:space="0" w:color="auto"/>
        <w:bottom w:val="none" w:sz="0" w:space="0" w:color="auto"/>
        <w:right w:val="none" w:sz="0" w:space="0" w:color="auto"/>
      </w:divBdr>
    </w:div>
    <w:div w:id="1130636740">
      <w:bodyDiv w:val="1"/>
      <w:marLeft w:val="0"/>
      <w:marRight w:val="0"/>
      <w:marTop w:val="0"/>
      <w:marBottom w:val="0"/>
      <w:divBdr>
        <w:top w:val="none" w:sz="0" w:space="0" w:color="auto"/>
        <w:left w:val="none" w:sz="0" w:space="0" w:color="auto"/>
        <w:bottom w:val="none" w:sz="0" w:space="0" w:color="auto"/>
        <w:right w:val="none" w:sz="0" w:space="0" w:color="auto"/>
      </w:divBdr>
    </w:div>
    <w:div w:id="1131941181">
      <w:bodyDiv w:val="1"/>
      <w:marLeft w:val="0"/>
      <w:marRight w:val="0"/>
      <w:marTop w:val="0"/>
      <w:marBottom w:val="0"/>
      <w:divBdr>
        <w:top w:val="none" w:sz="0" w:space="0" w:color="auto"/>
        <w:left w:val="none" w:sz="0" w:space="0" w:color="auto"/>
        <w:bottom w:val="none" w:sz="0" w:space="0" w:color="auto"/>
        <w:right w:val="none" w:sz="0" w:space="0" w:color="auto"/>
      </w:divBdr>
    </w:div>
    <w:div w:id="1132671679">
      <w:bodyDiv w:val="1"/>
      <w:marLeft w:val="0"/>
      <w:marRight w:val="0"/>
      <w:marTop w:val="0"/>
      <w:marBottom w:val="0"/>
      <w:divBdr>
        <w:top w:val="none" w:sz="0" w:space="0" w:color="auto"/>
        <w:left w:val="none" w:sz="0" w:space="0" w:color="auto"/>
        <w:bottom w:val="none" w:sz="0" w:space="0" w:color="auto"/>
        <w:right w:val="none" w:sz="0" w:space="0" w:color="auto"/>
      </w:divBdr>
    </w:div>
    <w:div w:id="1132945332">
      <w:bodyDiv w:val="1"/>
      <w:marLeft w:val="0"/>
      <w:marRight w:val="0"/>
      <w:marTop w:val="0"/>
      <w:marBottom w:val="0"/>
      <w:divBdr>
        <w:top w:val="none" w:sz="0" w:space="0" w:color="auto"/>
        <w:left w:val="none" w:sz="0" w:space="0" w:color="auto"/>
        <w:bottom w:val="none" w:sz="0" w:space="0" w:color="auto"/>
        <w:right w:val="none" w:sz="0" w:space="0" w:color="auto"/>
      </w:divBdr>
    </w:div>
    <w:div w:id="1133016693">
      <w:bodyDiv w:val="1"/>
      <w:marLeft w:val="0"/>
      <w:marRight w:val="0"/>
      <w:marTop w:val="0"/>
      <w:marBottom w:val="0"/>
      <w:divBdr>
        <w:top w:val="none" w:sz="0" w:space="0" w:color="auto"/>
        <w:left w:val="none" w:sz="0" w:space="0" w:color="auto"/>
        <w:bottom w:val="none" w:sz="0" w:space="0" w:color="auto"/>
        <w:right w:val="none" w:sz="0" w:space="0" w:color="auto"/>
      </w:divBdr>
    </w:div>
    <w:div w:id="1134102604">
      <w:bodyDiv w:val="1"/>
      <w:marLeft w:val="0"/>
      <w:marRight w:val="0"/>
      <w:marTop w:val="0"/>
      <w:marBottom w:val="0"/>
      <w:divBdr>
        <w:top w:val="none" w:sz="0" w:space="0" w:color="auto"/>
        <w:left w:val="none" w:sz="0" w:space="0" w:color="auto"/>
        <w:bottom w:val="none" w:sz="0" w:space="0" w:color="auto"/>
        <w:right w:val="none" w:sz="0" w:space="0" w:color="auto"/>
      </w:divBdr>
    </w:div>
    <w:div w:id="1134984456">
      <w:bodyDiv w:val="1"/>
      <w:marLeft w:val="0"/>
      <w:marRight w:val="0"/>
      <w:marTop w:val="0"/>
      <w:marBottom w:val="0"/>
      <w:divBdr>
        <w:top w:val="none" w:sz="0" w:space="0" w:color="auto"/>
        <w:left w:val="none" w:sz="0" w:space="0" w:color="auto"/>
        <w:bottom w:val="none" w:sz="0" w:space="0" w:color="auto"/>
        <w:right w:val="none" w:sz="0" w:space="0" w:color="auto"/>
      </w:divBdr>
    </w:div>
    <w:div w:id="1135366593">
      <w:bodyDiv w:val="1"/>
      <w:marLeft w:val="0"/>
      <w:marRight w:val="0"/>
      <w:marTop w:val="0"/>
      <w:marBottom w:val="0"/>
      <w:divBdr>
        <w:top w:val="none" w:sz="0" w:space="0" w:color="auto"/>
        <w:left w:val="none" w:sz="0" w:space="0" w:color="auto"/>
        <w:bottom w:val="none" w:sz="0" w:space="0" w:color="auto"/>
        <w:right w:val="none" w:sz="0" w:space="0" w:color="auto"/>
      </w:divBdr>
    </w:div>
    <w:div w:id="1136993386">
      <w:bodyDiv w:val="1"/>
      <w:marLeft w:val="0"/>
      <w:marRight w:val="0"/>
      <w:marTop w:val="0"/>
      <w:marBottom w:val="0"/>
      <w:divBdr>
        <w:top w:val="none" w:sz="0" w:space="0" w:color="auto"/>
        <w:left w:val="none" w:sz="0" w:space="0" w:color="auto"/>
        <w:bottom w:val="none" w:sz="0" w:space="0" w:color="auto"/>
        <w:right w:val="none" w:sz="0" w:space="0" w:color="auto"/>
      </w:divBdr>
    </w:div>
    <w:div w:id="1138450993">
      <w:bodyDiv w:val="1"/>
      <w:marLeft w:val="0"/>
      <w:marRight w:val="0"/>
      <w:marTop w:val="0"/>
      <w:marBottom w:val="0"/>
      <w:divBdr>
        <w:top w:val="none" w:sz="0" w:space="0" w:color="auto"/>
        <w:left w:val="none" w:sz="0" w:space="0" w:color="auto"/>
        <w:bottom w:val="none" w:sz="0" w:space="0" w:color="auto"/>
        <w:right w:val="none" w:sz="0" w:space="0" w:color="auto"/>
      </w:divBdr>
    </w:div>
    <w:div w:id="1138571661">
      <w:bodyDiv w:val="1"/>
      <w:marLeft w:val="0"/>
      <w:marRight w:val="0"/>
      <w:marTop w:val="0"/>
      <w:marBottom w:val="0"/>
      <w:divBdr>
        <w:top w:val="none" w:sz="0" w:space="0" w:color="auto"/>
        <w:left w:val="none" w:sz="0" w:space="0" w:color="auto"/>
        <w:bottom w:val="none" w:sz="0" w:space="0" w:color="auto"/>
        <w:right w:val="none" w:sz="0" w:space="0" w:color="auto"/>
      </w:divBdr>
    </w:div>
    <w:div w:id="1138766183">
      <w:bodyDiv w:val="1"/>
      <w:marLeft w:val="0"/>
      <w:marRight w:val="0"/>
      <w:marTop w:val="0"/>
      <w:marBottom w:val="0"/>
      <w:divBdr>
        <w:top w:val="none" w:sz="0" w:space="0" w:color="auto"/>
        <w:left w:val="none" w:sz="0" w:space="0" w:color="auto"/>
        <w:bottom w:val="none" w:sz="0" w:space="0" w:color="auto"/>
        <w:right w:val="none" w:sz="0" w:space="0" w:color="auto"/>
      </w:divBdr>
    </w:div>
    <w:div w:id="1138838237">
      <w:bodyDiv w:val="1"/>
      <w:marLeft w:val="0"/>
      <w:marRight w:val="0"/>
      <w:marTop w:val="0"/>
      <w:marBottom w:val="0"/>
      <w:divBdr>
        <w:top w:val="none" w:sz="0" w:space="0" w:color="auto"/>
        <w:left w:val="none" w:sz="0" w:space="0" w:color="auto"/>
        <w:bottom w:val="none" w:sz="0" w:space="0" w:color="auto"/>
        <w:right w:val="none" w:sz="0" w:space="0" w:color="auto"/>
      </w:divBdr>
    </w:div>
    <w:div w:id="1139809187">
      <w:bodyDiv w:val="1"/>
      <w:marLeft w:val="0"/>
      <w:marRight w:val="0"/>
      <w:marTop w:val="0"/>
      <w:marBottom w:val="0"/>
      <w:divBdr>
        <w:top w:val="none" w:sz="0" w:space="0" w:color="auto"/>
        <w:left w:val="none" w:sz="0" w:space="0" w:color="auto"/>
        <w:bottom w:val="none" w:sz="0" w:space="0" w:color="auto"/>
        <w:right w:val="none" w:sz="0" w:space="0" w:color="auto"/>
      </w:divBdr>
    </w:div>
    <w:div w:id="1141073981">
      <w:bodyDiv w:val="1"/>
      <w:marLeft w:val="0"/>
      <w:marRight w:val="0"/>
      <w:marTop w:val="0"/>
      <w:marBottom w:val="0"/>
      <w:divBdr>
        <w:top w:val="none" w:sz="0" w:space="0" w:color="auto"/>
        <w:left w:val="none" w:sz="0" w:space="0" w:color="auto"/>
        <w:bottom w:val="none" w:sz="0" w:space="0" w:color="auto"/>
        <w:right w:val="none" w:sz="0" w:space="0" w:color="auto"/>
      </w:divBdr>
    </w:div>
    <w:div w:id="1141537172">
      <w:bodyDiv w:val="1"/>
      <w:marLeft w:val="0"/>
      <w:marRight w:val="0"/>
      <w:marTop w:val="0"/>
      <w:marBottom w:val="0"/>
      <w:divBdr>
        <w:top w:val="none" w:sz="0" w:space="0" w:color="auto"/>
        <w:left w:val="none" w:sz="0" w:space="0" w:color="auto"/>
        <w:bottom w:val="none" w:sz="0" w:space="0" w:color="auto"/>
        <w:right w:val="none" w:sz="0" w:space="0" w:color="auto"/>
      </w:divBdr>
    </w:div>
    <w:div w:id="1143543334">
      <w:bodyDiv w:val="1"/>
      <w:marLeft w:val="0"/>
      <w:marRight w:val="0"/>
      <w:marTop w:val="0"/>
      <w:marBottom w:val="0"/>
      <w:divBdr>
        <w:top w:val="none" w:sz="0" w:space="0" w:color="auto"/>
        <w:left w:val="none" w:sz="0" w:space="0" w:color="auto"/>
        <w:bottom w:val="none" w:sz="0" w:space="0" w:color="auto"/>
        <w:right w:val="none" w:sz="0" w:space="0" w:color="auto"/>
      </w:divBdr>
    </w:div>
    <w:div w:id="1143735651">
      <w:bodyDiv w:val="1"/>
      <w:marLeft w:val="0"/>
      <w:marRight w:val="0"/>
      <w:marTop w:val="0"/>
      <w:marBottom w:val="0"/>
      <w:divBdr>
        <w:top w:val="none" w:sz="0" w:space="0" w:color="auto"/>
        <w:left w:val="none" w:sz="0" w:space="0" w:color="auto"/>
        <w:bottom w:val="none" w:sz="0" w:space="0" w:color="auto"/>
        <w:right w:val="none" w:sz="0" w:space="0" w:color="auto"/>
      </w:divBdr>
    </w:div>
    <w:div w:id="1143889804">
      <w:bodyDiv w:val="1"/>
      <w:marLeft w:val="0"/>
      <w:marRight w:val="0"/>
      <w:marTop w:val="0"/>
      <w:marBottom w:val="0"/>
      <w:divBdr>
        <w:top w:val="none" w:sz="0" w:space="0" w:color="auto"/>
        <w:left w:val="none" w:sz="0" w:space="0" w:color="auto"/>
        <w:bottom w:val="none" w:sz="0" w:space="0" w:color="auto"/>
        <w:right w:val="none" w:sz="0" w:space="0" w:color="auto"/>
      </w:divBdr>
    </w:div>
    <w:div w:id="1144009672">
      <w:bodyDiv w:val="1"/>
      <w:marLeft w:val="0"/>
      <w:marRight w:val="0"/>
      <w:marTop w:val="0"/>
      <w:marBottom w:val="0"/>
      <w:divBdr>
        <w:top w:val="none" w:sz="0" w:space="0" w:color="auto"/>
        <w:left w:val="none" w:sz="0" w:space="0" w:color="auto"/>
        <w:bottom w:val="none" w:sz="0" w:space="0" w:color="auto"/>
        <w:right w:val="none" w:sz="0" w:space="0" w:color="auto"/>
      </w:divBdr>
    </w:div>
    <w:div w:id="1145314188">
      <w:bodyDiv w:val="1"/>
      <w:marLeft w:val="0"/>
      <w:marRight w:val="0"/>
      <w:marTop w:val="0"/>
      <w:marBottom w:val="0"/>
      <w:divBdr>
        <w:top w:val="none" w:sz="0" w:space="0" w:color="auto"/>
        <w:left w:val="none" w:sz="0" w:space="0" w:color="auto"/>
        <w:bottom w:val="none" w:sz="0" w:space="0" w:color="auto"/>
        <w:right w:val="none" w:sz="0" w:space="0" w:color="auto"/>
      </w:divBdr>
    </w:div>
    <w:div w:id="1145587004">
      <w:bodyDiv w:val="1"/>
      <w:marLeft w:val="0"/>
      <w:marRight w:val="0"/>
      <w:marTop w:val="0"/>
      <w:marBottom w:val="0"/>
      <w:divBdr>
        <w:top w:val="none" w:sz="0" w:space="0" w:color="auto"/>
        <w:left w:val="none" w:sz="0" w:space="0" w:color="auto"/>
        <w:bottom w:val="none" w:sz="0" w:space="0" w:color="auto"/>
        <w:right w:val="none" w:sz="0" w:space="0" w:color="auto"/>
      </w:divBdr>
    </w:div>
    <w:div w:id="1146817144">
      <w:bodyDiv w:val="1"/>
      <w:marLeft w:val="0"/>
      <w:marRight w:val="0"/>
      <w:marTop w:val="0"/>
      <w:marBottom w:val="0"/>
      <w:divBdr>
        <w:top w:val="none" w:sz="0" w:space="0" w:color="auto"/>
        <w:left w:val="none" w:sz="0" w:space="0" w:color="auto"/>
        <w:bottom w:val="none" w:sz="0" w:space="0" w:color="auto"/>
        <w:right w:val="none" w:sz="0" w:space="0" w:color="auto"/>
      </w:divBdr>
    </w:div>
    <w:div w:id="1147160248">
      <w:bodyDiv w:val="1"/>
      <w:marLeft w:val="0"/>
      <w:marRight w:val="0"/>
      <w:marTop w:val="0"/>
      <w:marBottom w:val="0"/>
      <w:divBdr>
        <w:top w:val="none" w:sz="0" w:space="0" w:color="auto"/>
        <w:left w:val="none" w:sz="0" w:space="0" w:color="auto"/>
        <w:bottom w:val="none" w:sz="0" w:space="0" w:color="auto"/>
        <w:right w:val="none" w:sz="0" w:space="0" w:color="auto"/>
      </w:divBdr>
    </w:div>
    <w:div w:id="1149514431">
      <w:bodyDiv w:val="1"/>
      <w:marLeft w:val="0"/>
      <w:marRight w:val="0"/>
      <w:marTop w:val="0"/>
      <w:marBottom w:val="0"/>
      <w:divBdr>
        <w:top w:val="none" w:sz="0" w:space="0" w:color="auto"/>
        <w:left w:val="none" w:sz="0" w:space="0" w:color="auto"/>
        <w:bottom w:val="none" w:sz="0" w:space="0" w:color="auto"/>
        <w:right w:val="none" w:sz="0" w:space="0" w:color="auto"/>
      </w:divBdr>
    </w:div>
    <w:div w:id="1149590971">
      <w:bodyDiv w:val="1"/>
      <w:marLeft w:val="0"/>
      <w:marRight w:val="0"/>
      <w:marTop w:val="0"/>
      <w:marBottom w:val="0"/>
      <w:divBdr>
        <w:top w:val="none" w:sz="0" w:space="0" w:color="auto"/>
        <w:left w:val="none" w:sz="0" w:space="0" w:color="auto"/>
        <w:bottom w:val="none" w:sz="0" w:space="0" w:color="auto"/>
        <w:right w:val="none" w:sz="0" w:space="0" w:color="auto"/>
      </w:divBdr>
    </w:div>
    <w:div w:id="1149706780">
      <w:bodyDiv w:val="1"/>
      <w:marLeft w:val="0"/>
      <w:marRight w:val="0"/>
      <w:marTop w:val="0"/>
      <w:marBottom w:val="0"/>
      <w:divBdr>
        <w:top w:val="none" w:sz="0" w:space="0" w:color="auto"/>
        <w:left w:val="none" w:sz="0" w:space="0" w:color="auto"/>
        <w:bottom w:val="none" w:sz="0" w:space="0" w:color="auto"/>
        <w:right w:val="none" w:sz="0" w:space="0" w:color="auto"/>
      </w:divBdr>
    </w:div>
    <w:div w:id="1149831023">
      <w:bodyDiv w:val="1"/>
      <w:marLeft w:val="0"/>
      <w:marRight w:val="0"/>
      <w:marTop w:val="0"/>
      <w:marBottom w:val="0"/>
      <w:divBdr>
        <w:top w:val="none" w:sz="0" w:space="0" w:color="auto"/>
        <w:left w:val="none" w:sz="0" w:space="0" w:color="auto"/>
        <w:bottom w:val="none" w:sz="0" w:space="0" w:color="auto"/>
        <w:right w:val="none" w:sz="0" w:space="0" w:color="auto"/>
      </w:divBdr>
    </w:div>
    <w:div w:id="1150056424">
      <w:bodyDiv w:val="1"/>
      <w:marLeft w:val="0"/>
      <w:marRight w:val="0"/>
      <w:marTop w:val="0"/>
      <w:marBottom w:val="0"/>
      <w:divBdr>
        <w:top w:val="none" w:sz="0" w:space="0" w:color="auto"/>
        <w:left w:val="none" w:sz="0" w:space="0" w:color="auto"/>
        <w:bottom w:val="none" w:sz="0" w:space="0" w:color="auto"/>
        <w:right w:val="none" w:sz="0" w:space="0" w:color="auto"/>
      </w:divBdr>
    </w:div>
    <w:div w:id="1151866823">
      <w:bodyDiv w:val="1"/>
      <w:marLeft w:val="0"/>
      <w:marRight w:val="0"/>
      <w:marTop w:val="0"/>
      <w:marBottom w:val="0"/>
      <w:divBdr>
        <w:top w:val="none" w:sz="0" w:space="0" w:color="auto"/>
        <w:left w:val="none" w:sz="0" w:space="0" w:color="auto"/>
        <w:bottom w:val="none" w:sz="0" w:space="0" w:color="auto"/>
        <w:right w:val="none" w:sz="0" w:space="0" w:color="auto"/>
      </w:divBdr>
    </w:div>
    <w:div w:id="1152022462">
      <w:bodyDiv w:val="1"/>
      <w:marLeft w:val="0"/>
      <w:marRight w:val="0"/>
      <w:marTop w:val="0"/>
      <w:marBottom w:val="0"/>
      <w:divBdr>
        <w:top w:val="none" w:sz="0" w:space="0" w:color="auto"/>
        <w:left w:val="none" w:sz="0" w:space="0" w:color="auto"/>
        <w:bottom w:val="none" w:sz="0" w:space="0" w:color="auto"/>
        <w:right w:val="none" w:sz="0" w:space="0" w:color="auto"/>
      </w:divBdr>
    </w:div>
    <w:div w:id="1152867485">
      <w:bodyDiv w:val="1"/>
      <w:marLeft w:val="0"/>
      <w:marRight w:val="0"/>
      <w:marTop w:val="0"/>
      <w:marBottom w:val="0"/>
      <w:divBdr>
        <w:top w:val="none" w:sz="0" w:space="0" w:color="auto"/>
        <w:left w:val="none" w:sz="0" w:space="0" w:color="auto"/>
        <w:bottom w:val="none" w:sz="0" w:space="0" w:color="auto"/>
        <w:right w:val="none" w:sz="0" w:space="0" w:color="auto"/>
      </w:divBdr>
    </w:div>
    <w:div w:id="1152988428">
      <w:bodyDiv w:val="1"/>
      <w:marLeft w:val="0"/>
      <w:marRight w:val="0"/>
      <w:marTop w:val="0"/>
      <w:marBottom w:val="0"/>
      <w:divBdr>
        <w:top w:val="none" w:sz="0" w:space="0" w:color="auto"/>
        <w:left w:val="none" w:sz="0" w:space="0" w:color="auto"/>
        <w:bottom w:val="none" w:sz="0" w:space="0" w:color="auto"/>
        <w:right w:val="none" w:sz="0" w:space="0" w:color="auto"/>
      </w:divBdr>
    </w:div>
    <w:div w:id="1152991527">
      <w:bodyDiv w:val="1"/>
      <w:marLeft w:val="0"/>
      <w:marRight w:val="0"/>
      <w:marTop w:val="0"/>
      <w:marBottom w:val="0"/>
      <w:divBdr>
        <w:top w:val="none" w:sz="0" w:space="0" w:color="auto"/>
        <w:left w:val="none" w:sz="0" w:space="0" w:color="auto"/>
        <w:bottom w:val="none" w:sz="0" w:space="0" w:color="auto"/>
        <w:right w:val="none" w:sz="0" w:space="0" w:color="auto"/>
      </w:divBdr>
    </w:div>
    <w:div w:id="1153566926">
      <w:bodyDiv w:val="1"/>
      <w:marLeft w:val="0"/>
      <w:marRight w:val="0"/>
      <w:marTop w:val="0"/>
      <w:marBottom w:val="0"/>
      <w:divBdr>
        <w:top w:val="none" w:sz="0" w:space="0" w:color="auto"/>
        <w:left w:val="none" w:sz="0" w:space="0" w:color="auto"/>
        <w:bottom w:val="none" w:sz="0" w:space="0" w:color="auto"/>
        <w:right w:val="none" w:sz="0" w:space="0" w:color="auto"/>
      </w:divBdr>
    </w:div>
    <w:div w:id="1153713408">
      <w:bodyDiv w:val="1"/>
      <w:marLeft w:val="0"/>
      <w:marRight w:val="0"/>
      <w:marTop w:val="0"/>
      <w:marBottom w:val="0"/>
      <w:divBdr>
        <w:top w:val="none" w:sz="0" w:space="0" w:color="auto"/>
        <w:left w:val="none" w:sz="0" w:space="0" w:color="auto"/>
        <w:bottom w:val="none" w:sz="0" w:space="0" w:color="auto"/>
        <w:right w:val="none" w:sz="0" w:space="0" w:color="auto"/>
      </w:divBdr>
    </w:div>
    <w:div w:id="1155075299">
      <w:bodyDiv w:val="1"/>
      <w:marLeft w:val="0"/>
      <w:marRight w:val="0"/>
      <w:marTop w:val="0"/>
      <w:marBottom w:val="0"/>
      <w:divBdr>
        <w:top w:val="none" w:sz="0" w:space="0" w:color="auto"/>
        <w:left w:val="none" w:sz="0" w:space="0" w:color="auto"/>
        <w:bottom w:val="none" w:sz="0" w:space="0" w:color="auto"/>
        <w:right w:val="none" w:sz="0" w:space="0" w:color="auto"/>
      </w:divBdr>
    </w:div>
    <w:div w:id="1156262953">
      <w:bodyDiv w:val="1"/>
      <w:marLeft w:val="0"/>
      <w:marRight w:val="0"/>
      <w:marTop w:val="0"/>
      <w:marBottom w:val="0"/>
      <w:divBdr>
        <w:top w:val="none" w:sz="0" w:space="0" w:color="auto"/>
        <w:left w:val="none" w:sz="0" w:space="0" w:color="auto"/>
        <w:bottom w:val="none" w:sz="0" w:space="0" w:color="auto"/>
        <w:right w:val="none" w:sz="0" w:space="0" w:color="auto"/>
      </w:divBdr>
    </w:div>
    <w:div w:id="1156797765">
      <w:bodyDiv w:val="1"/>
      <w:marLeft w:val="0"/>
      <w:marRight w:val="0"/>
      <w:marTop w:val="0"/>
      <w:marBottom w:val="0"/>
      <w:divBdr>
        <w:top w:val="none" w:sz="0" w:space="0" w:color="auto"/>
        <w:left w:val="none" w:sz="0" w:space="0" w:color="auto"/>
        <w:bottom w:val="none" w:sz="0" w:space="0" w:color="auto"/>
        <w:right w:val="none" w:sz="0" w:space="0" w:color="auto"/>
      </w:divBdr>
    </w:div>
    <w:div w:id="1158887980">
      <w:bodyDiv w:val="1"/>
      <w:marLeft w:val="0"/>
      <w:marRight w:val="0"/>
      <w:marTop w:val="0"/>
      <w:marBottom w:val="0"/>
      <w:divBdr>
        <w:top w:val="none" w:sz="0" w:space="0" w:color="auto"/>
        <w:left w:val="none" w:sz="0" w:space="0" w:color="auto"/>
        <w:bottom w:val="none" w:sz="0" w:space="0" w:color="auto"/>
        <w:right w:val="none" w:sz="0" w:space="0" w:color="auto"/>
      </w:divBdr>
    </w:div>
    <w:div w:id="1159426640">
      <w:bodyDiv w:val="1"/>
      <w:marLeft w:val="0"/>
      <w:marRight w:val="0"/>
      <w:marTop w:val="0"/>
      <w:marBottom w:val="0"/>
      <w:divBdr>
        <w:top w:val="none" w:sz="0" w:space="0" w:color="auto"/>
        <w:left w:val="none" w:sz="0" w:space="0" w:color="auto"/>
        <w:bottom w:val="none" w:sz="0" w:space="0" w:color="auto"/>
        <w:right w:val="none" w:sz="0" w:space="0" w:color="auto"/>
      </w:divBdr>
    </w:div>
    <w:div w:id="1160005436">
      <w:bodyDiv w:val="1"/>
      <w:marLeft w:val="0"/>
      <w:marRight w:val="0"/>
      <w:marTop w:val="0"/>
      <w:marBottom w:val="0"/>
      <w:divBdr>
        <w:top w:val="none" w:sz="0" w:space="0" w:color="auto"/>
        <w:left w:val="none" w:sz="0" w:space="0" w:color="auto"/>
        <w:bottom w:val="none" w:sz="0" w:space="0" w:color="auto"/>
        <w:right w:val="none" w:sz="0" w:space="0" w:color="auto"/>
      </w:divBdr>
    </w:div>
    <w:div w:id="1160728685">
      <w:bodyDiv w:val="1"/>
      <w:marLeft w:val="0"/>
      <w:marRight w:val="0"/>
      <w:marTop w:val="0"/>
      <w:marBottom w:val="0"/>
      <w:divBdr>
        <w:top w:val="none" w:sz="0" w:space="0" w:color="auto"/>
        <w:left w:val="none" w:sz="0" w:space="0" w:color="auto"/>
        <w:bottom w:val="none" w:sz="0" w:space="0" w:color="auto"/>
        <w:right w:val="none" w:sz="0" w:space="0" w:color="auto"/>
      </w:divBdr>
    </w:div>
    <w:div w:id="1160927051">
      <w:bodyDiv w:val="1"/>
      <w:marLeft w:val="0"/>
      <w:marRight w:val="0"/>
      <w:marTop w:val="0"/>
      <w:marBottom w:val="0"/>
      <w:divBdr>
        <w:top w:val="none" w:sz="0" w:space="0" w:color="auto"/>
        <w:left w:val="none" w:sz="0" w:space="0" w:color="auto"/>
        <w:bottom w:val="none" w:sz="0" w:space="0" w:color="auto"/>
        <w:right w:val="none" w:sz="0" w:space="0" w:color="auto"/>
      </w:divBdr>
    </w:div>
    <w:div w:id="1161770793">
      <w:bodyDiv w:val="1"/>
      <w:marLeft w:val="0"/>
      <w:marRight w:val="0"/>
      <w:marTop w:val="0"/>
      <w:marBottom w:val="0"/>
      <w:divBdr>
        <w:top w:val="none" w:sz="0" w:space="0" w:color="auto"/>
        <w:left w:val="none" w:sz="0" w:space="0" w:color="auto"/>
        <w:bottom w:val="none" w:sz="0" w:space="0" w:color="auto"/>
        <w:right w:val="none" w:sz="0" w:space="0" w:color="auto"/>
      </w:divBdr>
    </w:div>
    <w:div w:id="1163622054">
      <w:bodyDiv w:val="1"/>
      <w:marLeft w:val="0"/>
      <w:marRight w:val="0"/>
      <w:marTop w:val="0"/>
      <w:marBottom w:val="0"/>
      <w:divBdr>
        <w:top w:val="none" w:sz="0" w:space="0" w:color="auto"/>
        <w:left w:val="none" w:sz="0" w:space="0" w:color="auto"/>
        <w:bottom w:val="none" w:sz="0" w:space="0" w:color="auto"/>
        <w:right w:val="none" w:sz="0" w:space="0" w:color="auto"/>
      </w:divBdr>
    </w:div>
    <w:div w:id="1165902879">
      <w:bodyDiv w:val="1"/>
      <w:marLeft w:val="0"/>
      <w:marRight w:val="0"/>
      <w:marTop w:val="0"/>
      <w:marBottom w:val="0"/>
      <w:divBdr>
        <w:top w:val="none" w:sz="0" w:space="0" w:color="auto"/>
        <w:left w:val="none" w:sz="0" w:space="0" w:color="auto"/>
        <w:bottom w:val="none" w:sz="0" w:space="0" w:color="auto"/>
        <w:right w:val="none" w:sz="0" w:space="0" w:color="auto"/>
      </w:divBdr>
    </w:div>
    <w:div w:id="1166826622">
      <w:bodyDiv w:val="1"/>
      <w:marLeft w:val="0"/>
      <w:marRight w:val="0"/>
      <w:marTop w:val="0"/>
      <w:marBottom w:val="0"/>
      <w:divBdr>
        <w:top w:val="none" w:sz="0" w:space="0" w:color="auto"/>
        <w:left w:val="none" w:sz="0" w:space="0" w:color="auto"/>
        <w:bottom w:val="none" w:sz="0" w:space="0" w:color="auto"/>
        <w:right w:val="none" w:sz="0" w:space="0" w:color="auto"/>
      </w:divBdr>
    </w:div>
    <w:div w:id="1167672150">
      <w:bodyDiv w:val="1"/>
      <w:marLeft w:val="0"/>
      <w:marRight w:val="0"/>
      <w:marTop w:val="0"/>
      <w:marBottom w:val="0"/>
      <w:divBdr>
        <w:top w:val="none" w:sz="0" w:space="0" w:color="auto"/>
        <w:left w:val="none" w:sz="0" w:space="0" w:color="auto"/>
        <w:bottom w:val="none" w:sz="0" w:space="0" w:color="auto"/>
        <w:right w:val="none" w:sz="0" w:space="0" w:color="auto"/>
      </w:divBdr>
    </w:div>
    <w:div w:id="1169172777">
      <w:bodyDiv w:val="1"/>
      <w:marLeft w:val="0"/>
      <w:marRight w:val="0"/>
      <w:marTop w:val="0"/>
      <w:marBottom w:val="0"/>
      <w:divBdr>
        <w:top w:val="none" w:sz="0" w:space="0" w:color="auto"/>
        <w:left w:val="none" w:sz="0" w:space="0" w:color="auto"/>
        <w:bottom w:val="none" w:sz="0" w:space="0" w:color="auto"/>
        <w:right w:val="none" w:sz="0" w:space="0" w:color="auto"/>
      </w:divBdr>
    </w:div>
    <w:div w:id="1169909709">
      <w:bodyDiv w:val="1"/>
      <w:marLeft w:val="0"/>
      <w:marRight w:val="0"/>
      <w:marTop w:val="0"/>
      <w:marBottom w:val="0"/>
      <w:divBdr>
        <w:top w:val="none" w:sz="0" w:space="0" w:color="auto"/>
        <w:left w:val="none" w:sz="0" w:space="0" w:color="auto"/>
        <w:bottom w:val="none" w:sz="0" w:space="0" w:color="auto"/>
        <w:right w:val="none" w:sz="0" w:space="0" w:color="auto"/>
      </w:divBdr>
    </w:div>
    <w:div w:id="1174102357">
      <w:bodyDiv w:val="1"/>
      <w:marLeft w:val="0"/>
      <w:marRight w:val="0"/>
      <w:marTop w:val="0"/>
      <w:marBottom w:val="0"/>
      <w:divBdr>
        <w:top w:val="none" w:sz="0" w:space="0" w:color="auto"/>
        <w:left w:val="none" w:sz="0" w:space="0" w:color="auto"/>
        <w:bottom w:val="none" w:sz="0" w:space="0" w:color="auto"/>
        <w:right w:val="none" w:sz="0" w:space="0" w:color="auto"/>
      </w:divBdr>
    </w:div>
    <w:div w:id="1174344278">
      <w:bodyDiv w:val="1"/>
      <w:marLeft w:val="0"/>
      <w:marRight w:val="0"/>
      <w:marTop w:val="0"/>
      <w:marBottom w:val="0"/>
      <w:divBdr>
        <w:top w:val="none" w:sz="0" w:space="0" w:color="auto"/>
        <w:left w:val="none" w:sz="0" w:space="0" w:color="auto"/>
        <w:bottom w:val="none" w:sz="0" w:space="0" w:color="auto"/>
        <w:right w:val="none" w:sz="0" w:space="0" w:color="auto"/>
      </w:divBdr>
    </w:div>
    <w:div w:id="1174566780">
      <w:bodyDiv w:val="1"/>
      <w:marLeft w:val="0"/>
      <w:marRight w:val="0"/>
      <w:marTop w:val="0"/>
      <w:marBottom w:val="0"/>
      <w:divBdr>
        <w:top w:val="none" w:sz="0" w:space="0" w:color="auto"/>
        <w:left w:val="none" w:sz="0" w:space="0" w:color="auto"/>
        <w:bottom w:val="none" w:sz="0" w:space="0" w:color="auto"/>
        <w:right w:val="none" w:sz="0" w:space="0" w:color="auto"/>
      </w:divBdr>
    </w:div>
    <w:div w:id="1174761903">
      <w:bodyDiv w:val="1"/>
      <w:marLeft w:val="0"/>
      <w:marRight w:val="0"/>
      <w:marTop w:val="0"/>
      <w:marBottom w:val="0"/>
      <w:divBdr>
        <w:top w:val="none" w:sz="0" w:space="0" w:color="auto"/>
        <w:left w:val="none" w:sz="0" w:space="0" w:color="auto"/>
        <w:bottom w:val="none" w:sz="0" w:space="0" w:color="auto"/>
        <w:right w:val="none" w:sz="0" w:space="0" w:color="auto"/>
      </w:divBdr>
    </w:div>
    <w:div w:id="1174804878">
      <w:bodyDiv w:val="1"/>
      <w:marLeft w:val="0"/>
      <w:marRight w:val="0"/>
      <w:marTop w:val="0"/>
      <w:marBottom w:val="0"/>
      <w:divBdr>
        <w:top w:val="none" w:sz="0" w:space="0" w:color="auto"/>
        <w:left w:val="none" w:sz="0" w:space="0" w:color="auto"/>
        <w:bottom w:val="none" w:sz="0" w:space="0" w:color="auto"/>
        <w:right w:val="none" w:sz="0" w:space="0" w:color="auto"/>
      </w:divBdr>
    </w:div>
    <w:div w:id="1176844357">
      <w:bodyDiv w:val="1"/>
      <w:marLeft w:val="0"/>
      <w:marRight w:val="0"/>
      <w:marTop w:val="0"/>
      <w:marBottom w:val="0"/>
      <w:divBdr>
        <w:top w:val="none" w:sz="0" w:space="0" w:color="auto"/>
        <w:left w:val="none" w:sz="0" w:space="0" w:color="auto"/>
        <w:bottom w:val="none" w:sz="0" w:space="0" w:color="auto"/>
        <w:right w:val="none" w:sz="0" w:space="0" w:color="auto"/>
      </w:divBdr>
    </w:div>
    <w:div w:id="1176991692">
      <w:bodyDiv w:val="1"/>
      <w:marLeft w:val="0"/>
      <w:marRight w:val="0"/>
      <w:marTop w:val="0"/>
      <w:marBottom w:val="0"/>
      <w:divBdr>
        <w:top w:val="none" w:sz="0" w:space="0" w:color="auto"/>
        <w:left w:val="none" w:sz="0" w:space="0" w:color="auto"/>
        <w:bottom w:val="none" w:sz="0" w:space="0" w:color="auto"/>
        <w:right w:val="none" w:sz="0" w:space="0" w:color="auto"/>
      </w:divBdr>
    </w:div>
    <w:div w:id="1177773624">
      <w:bodyDiv w:val="1"/>
      <w:marLeft w:val="0"/>
      <w:marRight w:val="0"/>
      <w:marTop w:val="0"/>
      <w:marBottom w:val="0"/>
      <w:divBdr>
        <w:top w:val="none" w:sz="0" w:space="0" w:color="auto"/>
        <w:left w:val="none" w:sz="0" w:space="0" w:color="auto"/>
        <w:bottom w:val="none" w:sz="0" w:space="0" w:color="auto"/>
        <w:right w:val="none" w:sz="0" w:space="0" w:color="auto"/>
      </w:divBdr>
    </w:div>
    <w:div w:id="1178808959">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4533">
      <w:bodyDiv w:val="1"/>
      <w:marLeft w:val="0"/>
      <w:marRight w:val="0"/>
      <w:marTop w:val="0"/>
      <w:marBottom w:val="0"/>
      <w:divBdr>
        <w:top w:val="none" w:sz="0" w:space="0" w:color="auto"/>
        <w:left w:val="none" w:sz="0" w:space="0" w:color="auto"/>
        <w:bottom w:val="none" w:sz="0" w:space="0" w:color="auto"/>
        <w:right w:val="none" w:sz="0" w:space="0" w:color="auto"/>
      </w:divBdr>
    </w:div>
    <w:div w:id="1181162686">
      <w:bodyDiv w:val="1"/>
      <w:marLeft w:val="0"/>
      <w:marRight w:val="0"/>
      <w:marTop w:val="0"/>
      <w:marBottom w:val="0"/>
      <w:divBdr>
        <w:top w:val="none" w:sz="0" w:space="0" w:color="auto"/>
        <w:left w:val="none" w:sz="0" w:space="0" w:color="auto"/>
        <w:bottom w:val="none" w:sz="0" w:space="0" w:color="auto"/>
        <w:right w:val="none" w:sz="0" w:space="0" w:color="auto"/>
      </w:divBdr>
    </w:div>
    <w:div w:id="1181166024">
      <w:bodyDiv w:val="1"/>
      <w:marLeft w:val="0"/>
      <w:marRight w:val="0"/>
      <w:marTop w:val="0"/>
      <w:marBottom w:val="0"/>
      <w:divBdr>
        <w:top w:val="none" w:sz="0" w:space="0" w:color="auto"/>
        <w:left w:val="none" w:sz="0" w:space="0" w:color="auto"/>
        <w:bottom w:val="none" w:sz="0" w:space="0" w:color="auto"/>
        <w:right w:val="none" w:sz="0" w:space="0" w:color="auto"/>
      </w:divBdr>
    </w:div>
    <w:div w:id="1182469644">
      <w:bodyDiv w:val="1"/>
      <w:marLeft w:val="0"/>
      <w:marRight w:val="0"/>
      <w:marTop w:val="0"/>
      <w:marBottom w:val="0"/>
      <w:divBdr>
        <w:top w:val="none" w:sz="0" w:space="0" w:color="auto"/>
        <w:left w:val="none" w:sz="0" w:space="0" w:color="auto"/>
        <w:bottom w:val="none" w:sz="0" w:space="0" w:color="auto"/>
        <w:right w:val="none" w:sz="0" w:space="0" w:color="auto"/>
      </w:divBdr>
    </w:div>
    <w:div w:id="1182554443">
      <w:bodyDiv w:val="1"/>
      <w:marLeft w:val="0"/>
      <w:marRight w:val="0"/>
      <w:marTop w:val="0"/>
      <w:marBottom w:val="0"/>
      <w:divBdr>
        <w:top w:val="none" w:sz="0" w:space="0" w:color="auto"/>
        <w:left w:val="none" w:sz="0" w:space="0" w:color="auto"/>
        <w:bottom w:val="none" w:sz="0" w:space="0" w:color="auto"/>
        <w:right w:val="none" w:sz="0" w:space="0" w:color="auto"/>
      </w:divBdr>
    </w:div>
    <w:div w:id="1182861982">
      <w:bodyDiv w:val="1"/>
      <w:marLeft w:val="0"/>
      <w:marRight w:val="0"/>
      <w:marTop w:val="0"/>
      <w:marBottom w:val="0"/>
      <w:divBdr>
        <w:top w:val="none" w:sz="0" w:space="0" w:color="auto"/>
        <w:left w:val="none" w:sz="0" w:space="0" w:color="auto"/>
        <w:bottom w:val="none" w:sz="0" w:space="0" w:color="auto"/>
        <w:right w:val="none" w:sz="0" w:space="0" w:color="auto"/>
      </w:divBdr>
    </w:div>
    <w:div w:id="1184367369">
      <w:bodyDiv w:val="1"/>
      <w:marLeft w:val="0"/>
      <w:marRight w:val="0"/>
      <w:marTop w:val="0"/>
      <w:marBottom w:val="0"/>
      <w:divBdr>
        <w:top w:val="none" w:sz="0" w:space="0" w:color="auto"/>
        <w:left w:val="none" w:sz="0" w:space="0" w:color="auto"/>
        <w:bottom w:val="none" w:sz="0" w:space="0" w:color="auto"/>
        <w:right w:val="none" w:sz="0" w:space="0" w:color="auto"/>
      </w:divBdr>
    </w:div>
    <w:div w:id="1187595513">
      <w:bodyDiv w:val="1"/>
      <w:marLeft w:val="0"/>
      <w:marRight w:val="0"/>
      <w:marTop w:val="0"/>
      <w:marBottom w:val="0"/>
      <w:divBdr>
        <w:top w:val="none" w:sz="0" w:space="0" w:color="auto"/>
        <w:left w:val="none" w:sz="0" w:space="0" w:color="auto"/>
        <w:bottom w:val="none" w:sz="0" w:space="0" w:color="auto"/>
        <w:right w:val="none" w:sz="0" w:space="0" w:color="auto"/>
      </w:divBdr>
    </w:div>
    <w:div w:id="1187863888">
      <w:bodyDiv w:val="1"/>
      <w:marLeft w:val="0"/>
      <w:marRight w:val="0"/>
      <w:marTop w:val="0"/>
      <w:marBottom w:val="0"/>
      <w:divBdr>
        <w:top w:val="none" w:sz="0" w:space="0" w:color="auto"/>
        <w:left w:val="none" w:sz="0" w:space="0" w:color="auto"/>
        <w:bottom w:val="none" w:sz="0" w:space="0" w:color="auto"/>
        <w:right w:val="none" w:sz="0" w:space="0" w:color="auto"/>
      </w:divBdr>
    </w:div>
    <w:div w:id="1188133820">
      <w:bodyDiv w:val="1"/>
      <w:marLeft w:val="0"/>
      <w:marRight w:val="0"/>
      <w:marTop w:val="0"/>
      <w:marBottom w:val="0"/>
      <w:divBdr>
        <w:top w:val="none" w:sz="0" w:space="0" w:color="auto"/>
        <w:left w:val="none" w:sz="0" w:space="0" w:color="auto"/>
        <w:bottom w:val="none" w:sz="0" w:space="0" w:color="auto"/>
        <w:right w:val="none" w:sz="0" w:space="0" w:color="auto"/>
      </w:divBdr>
    </w:div>
    <w:div w:id="1188442120">
      <w:bodyDiv w:val="1"/>
      <w:marLeft w:val="0"/>
      <w:marRight w:val="0"/>
      <w:marTop w:val="0"/>
      <w:marBottom w:val="0"/>
      <w:divBdr>
        <w:top w:val="none" w:sz="0" w:space="0" w:color="auto"/>
        <w:left w:val="none" w:sz="0" w:space="0" w:color="auto"/>
        <w:bottom w:val="none" w:sz="0" w:space="0" w:color="auto"/>
        <w:right w:val="none" w:sz="0" w:space="0" w:color="auto"/>
      </w:divBdr>
    </w:div>
    <w:div w:id="1188567794">
      <w:bodyDiv w:val="1"/>
      <w:marLeft w:val="0"/>
      <w:marRight w:val="0"/>
      <w:marTop w:val="0"/>
      <w:marBottom w:val="0"/>
      <w:divBdr>
        <w:top w:val="none" w:sz="0" w:space="0" w:color="auto"/>
        <w:left w:val="none" w:sz="0" w:space="0" w:color="auto"/>
        <w:bottom w:val="none" w:sz="0" w:space="0" w:color="auto"/>
        <w:right w:val="none" w:sz="0" w:space="0" w:color="auto"/>
      </w:divBdr>
    </w:div>
    <w:div w:id="1189416631">
      <w:bodyDiv w:val="1"/>
      <w:marLeft w:val="0"/>
      <w:marRight w:val="0"/>
      <w:marTop w:val="0"/>
      <w:marBottom w:val="0"/>
      <w:divBdr>
        <w:top w:val="none" w:sz="0" w:space="0" w:color="auto"/>
        <w:left w:val="none" w:sz="0" w:space="0" w:color="auto"/>
        <w:bottom w:val="none" w:sz="0" w:space="0" w:color="auto"/>
        <w:right w:val="none" w:sz="0" w:space="0" w:color="auto"/>
      </w:divBdr>
    </w:div>
    <w:div w:id="1190068422">
      <w:bodyDiv w:val="1"/>
      <w:marLeft w:val="0"/>
      <w:marRight w:val="0"/>
      <w:marTop w:val="0"/>
      <w:marBottom w:val="0"/>
      <w:divBdr>
        <w:top w:val="none" w:sz="0" w:space="0" w:color="auto"/>
        <w:left w:val="none" w:sz="0" w:space="0" w:color="auto"/>
        <w:bottom w:val="none" w:sz="0" w:space="0" w:color="auto"/>
        <w:right w:val="none" w:sz="0" w:space="0" w:color="auto"/>
      </w:divBdr>
    </w:div>
    <w:div w:id="1190610484">
      <w:bodyDiv w:val="1"/>
      <w:marLeft w:val="0"/>
      <w:marRight w:val="0"/>
      <w:marTop w:val="0"/>
      <w:marBottom w:val="0"/>
      <w:divBdr>
        <w:top w:val="none" w:sz="0" w:space="0" w:color="auto"/>
        <w:left w:val="none" w:sz="0" w:space="0" w:color="auto"/>
        <w:bottom w:val="none" w:sz="0" w:space="0" w:color="auto"/>
        <w:right w:val="none" w:sz="0" w:space="0" w:color="auto"/>
      </w:divBdr>
    </w:div>
    <w:div w:id="1190686248">
      <w:bodyDiv w:val="1"/>
      <w:marLeft w:val="0"/>
      <w:marRight w:val="0"/>
      <w:marTop w:val="0"/>
      <w:marBottom w:val="0"/>
      <w:divBdr>
        <w:top w:val="none" w:sz="0" w:space="0" w:color="auto"/>
        <w:left w:val="none" w:sz="0" w:space="0" w:color="auto"/>
        <w:bottom w:val="none" w:sz="0" w:space="0" w:color="auto"/>
        <w:right w:val="none" w:sz="0" w:space="0" w:color="auto"/>
      </w:divBdr>
    </w:div>
    <w:div w:id="1192841903">
      <w:bodyDiv w:val="1"/>
      <w:marLeft w:val="0"/>
      <w:marRight w:val="0"/>
      <w:marTop w:val="0"/>
      <w:marBottom w:val="0"/>
      <w:divBdr>
        <w:top w:val="none" w:sz="0" w:space="0" w:color="auto"/>
        <w:left w:val="none" w:sz="0" w:space="0" w:color="auto"/>
        <w:bottom w:val="none" w:sz="0" w:space="0" w:color="auto"/>
        <w:right w:val="none" w:sz="0" w:space="0" w:color="auto"/>
      </w:divBdr>
    </w:div>
    <w:div w:id="1193542842">
      <w:bodyDiv w:val="1"/>
      <w:marLeft w:val="0"/>
      <w:marRight w:val="0"/>
      <w:marTop w:val="0"/>
      <w:marBottom w:val="0"/>
      <w:divBdr>
        <w:top w:val="none" w:sz="0" w:space="0" w:color="auto"/>
        <w:left w:val="none" w:sz="0" w:space="0" w:color="auto"/>
        <w:bottom w:val="none" w:sz="0" w:space="0" w:color="auto"/>
        <w:right w:val="none" w:sz="0" w:space="0" w:color="auto"/>
      </w:divBdr>
    </w:div>
    <w:div w:id="1193808325">
      <w:bodyDiv w:val="1"/>
      <w:marLeft w:val="0"/>
      <w:marRight w:val="0"/>
      <w:marTop w:val="0"/>
      <w:marBottom w:val="0"/>
      <w:divBdr>
        <w:top w:val="none" w:sz="0" w:space="0" w:color="auto"/>
        <w:left w:val="none" w:sz="0" w:space="0" w:color="auto"/>
        <w:bottom w:val="none" w:sz="0" w:space="0" w:color="auto"/>
        <w:right w:val="none" w:sz="0" w:space="0" w:color="auto"/>
      </w:divBdr>
    </w:div>
    <w:div w:id="1193880019">
      <w:bodyDiv w:val="1"/>
      <w:marLeft w:val="0"/>
      <w:marRight w:val="0"/>
      <w:marTop w:val="0"/>
      <w:marBottom w:val="0"/>
      <w:divBdr>
        <w:top w:val="none" w:sz="0" w:space="0" w:color="auto"/>
        <w:left w:val="none" w:sz="0" w:space="0" w:color="auto"/>
        <w:bottom w:val="none" w:sz="0" w:space="0" w:color="auto"/>
        <w:right w:val="none" w:sz="0" w:space="0" w:color="auto"/>
      </w:divBdr>
    </w:div>
    <w:div w:id="1195077742">
      <w:bodyDiv w:val="1"/>
      <w:marLeft w:val="0"/>
      <w:marRight w:val="0"/>
      <w:marTop w:val="0"/>
      <w:marBottom w:val="0"/>
      <w:divBdr>
        <w:top w:val="none" w:sz="0" w:space="0" w:color="auto"/>
        <w:left w:val="none" w:sz="0" w:space="0" w:color="auto"/>
        <w:bottom w:val="none" w:sz="0" w:space="0" w:color="auto"/>
        <w:right w:val="none" w:sz="0" w:space="0" w:color="auto"/>
      </w:divBdr>
    </w:div>
    <w:div w:id="1196195272">
      <w:bodyDiv w:val="1"/>
      <w:marLeft w:val="0"/>
      <w:marRight w:val="0"/>
      <w:marTop w:val="0"/>
      <w:marBottom w:val="0"/>
      <w:divBdr>
        <w:top w:val="none" w:sz="0" w:space="0" w:color="auto"/>
        <w:left w:val="none" w:sz="0" w:space="0" w:color="auto"/>
        <w:bottom w:val="none" w:sz="0" w:space="0" w:color="auto"/>
        <w:right w:val="none" w:sz="0" w:space="0" w:color="auto"/>
      </w:divBdr>
    </w:div>
    <w:div w:id="1197037233">
      <w:bodyDiv w:val="1"/>
      <w:marLeft w:val="0"/>
      <w:marRight w:val="0"/>
      <w:marTop w:val="0"/>
      <w:marBottom w:val="0"/>
      <w:divBdr>
        <w:top w:val="none" w:sz="0" w:space="0" w:color="auto"/>
        <w:left w:val="none" w:sz="0" w:space="0" w:color="auto"/>
        <w:bottom w:val="none" w:sz="0" w:space="0" w:color="auto"/>
        <w:right w:val="none" w:sz="0" w:space="0" w:color="auto"/>
      </w:divBdr>
    </w:div>
    <w:div w:id="1197229872">
      <w:bodyDiv w:val="1"/>
      <w:marLeft w:val="0"/>
      <w:marRight w:val="0"/>
      <w:marTop w:val="0"/>
      <w:marBottom w:val="0"/>
      <w:divBdr>
        <w:top w:val="none" w:sz="0" w:space="0" w:color="auto"/>
        <w:left w:val="none" w:sz="0" w:space="0" w:color="auto"/>
        <w:bottom w:val="none" w:sz="0" w:space="0" w:color="auto"/>
        <w:right w:val="none" w:sz="0" w:space="0" w:color="auto"/>
      </w:divBdr>
    </w:div>
    <w:div w:id="1198851506">
      <w:bodyDiv w:val="1"/>
      <w:marLeft w:val="0"/>
      <w:marRight w:val="0"/>
      <w:marTop w:val="0"/>
      <w:marBottom w:val="0"/>
      <w:divBdr>
        <w:top w:val="none" w:sz="0" w:space="0" w:color="auto"/>
        <w:left w:val="none" w:sz="0" w:space="0" w:color="auto"/>
        <w:bottom w:val="none" w:sz="0" w:space="0" w:color="auto"/>
        <w:right w:val="none" w:sz="0" w:space="0" w:color="auto"/>
      </w:divBdr>
    </w:div>
    <w:div w:id="1199319762">
      <w:bodyDiv w:val="1"/>
      <w:marLeft w:val="0"/>
      <w:marRight w:val="0"/>
      <w:marTop w:val="0"/>
      <w:marBottom w:val="0"/>
      <w:divBdr>
        <w:top w:val="none" w:sz="0" w:space="0" w:color="auto"/>
        <w:left w:val="none" w:sz="0" w:space="0" w:color="auto"/>
        <w:bottom w:val="none" w:sz="0" w:space="0" w:color="auto"/>
        <w:right w:val="none" w:sz="0" w:space="0" w:color="auto"/>
      </w:divBdr>
    </w:div>
    <w:div w:id="1199975130">
      <w:bodyDiv w:val="1"/>
      <w:marLeft w:val="0"/>
      <w:marRight w:val="0"/>
      <w:marTop w:val="0"/>
      <w:marBottom w:val="0"/>
      <w:divBdr>
        <w:top w:val="none" w:sz="0" w:space="0" w:color="auto"/>
        <w:left w:val="none" w:sz="0" w:space="0" w:color="auto"/>
        <w:bottom w:val="none" w:sz="0" w:space="0" w:color="auto"/>
        <w:right w:val="none" w:sz="0" w:space="0" w:color="auto"/>
      </w:divBdr>
    </w:div>
    <w:div w:id="1200778110">
      <w:bodyDiv w:val="1"/>
      <w:marLeft w:val="0"/>
      <w:marRight w:val="0"/>
      <w:marTop w:val="0"/>
      <w:marBottom w:val="0"/>
      <w:divBdr>
        <w:top w:val="none" w:sz="0" w:space="0" w:color="auto"/>
        <w:left w:val="none" w:sz="0" w:space="0" w:color="auto"/>
        <w:bottom w:val="none" w:sz="0" w:space="0" w:color="auto"/>
        <w:right w:val="none" w:sz="0" w:space="0" w:color="auto"/>
      </w:divBdr>
    </w:div>
    <w:div w:id="1201669769">
      <w:bodyDiv w:val="1"/>
      <w:marLeft w:val="0"/>
      <w:marRight w:val="0"/>
      <w:marTop w:val="0"/>
      <w:marBottom w:val="0"/>
      <w:divBdr>
        <w:top w:val="none" w:sz="0" w:space="0" w:color="auto"/>
        <w:left w:val="none" w:sz="0" w:space="0" w:color="auto"/>
        <w:bottom w:val="none" w:sz="0" w:space="0" w:color="auto"/>
        <w:right w:val="none" w:sz="0" w:space="0" w:color="auto"/>
      </w:divBdr>
    </w:div>
    <w:div w:id="1204516299">
      <w:bodyDiv w:val="1"/>
      <w:marLeft w:val="0"/>
      <w:marRight w:val="0"/>
      <w:marTop w:val="0"/>
      <w:marBottom w:val="0"/>
      <w:divBdr>
        <w:top w:val="none" w:sz="0" w:space="0" w:color="auto"/>
        <w:left w:val="none" w:sz="0" w:space="0" w:color="auto"/>
        <w:bottom w:val="none" w:sz="0" w:space="0" w:color="auto"/>
        <w:right w:val="none" w:sz="0" w:space="0" w:color="auto"/>
      </w:divBdr>
    </w:div>
    <w:div w:id="1204561463">
      <w:bodyDiv w:val="1"/>
      <w:marLeft w:val="0"/>
      <w:marRight w:val="0"/>
      <w:marTop w:val="0"/>
      <w:marBottom w:val="0"/>
      <w:divBdr>
        <w:top w:val="none" w:sz="0" w:space="0" w:color="auto"/>
        <w:left w:val="none" w:sz="0" w:space="0" w:color="auto"/>
        <w:bottom w:val="none" w:sz="0" w:space="0" w:color="auto"/>
        <w:right w:val="none" w:sz="0" w:space="0" w:color="auto"/>
      </w:divBdr>
    </w:div>
    <w:div w:id="1206022089">
      <w:bodyDiv w:val="1"/>
      <w:marLeft w:val="0"/>
      <w:marRight w:val="0"/>
      <w:marTop w:val="0"/>
      <w:marBottom w:val="0"/>
      <w:divBdr>
        <w:top w:val="none" w:sz="0" w:space="0" w:color="auto"/>
        <w:left w:val="none" w:sz="0" w:space="0" w:color="auto"/>
        <w:bottom w:val="none" w:sz="0" w:space="0" w:color="auto"/>
        <w:right w:val="none" w:sz="0" w:space="0" w:color="auto"/>
      </w:divBdr>
    </w:div>
    <w:div w:id="1207252797">
      <w:bodyDiv w:val="1"/>
      <w:marLeft w:val="0"/>
      <w:marRight w:val="0"/>
      <w:marTop w:val="0"/>
      <w:marBottom w:val="0"/>
      <w:divBdr>
        <w:top w:val="none" w:sz="0" w:space="0" w:color="auto"/>
        <w:left w:val="none" w:sz="0" w:space="0" w:color="auto"/>
        <w:bottom w:val="none" w:sz="0" w:space="0" w:color="auto"/>
        <w:right w:val="none" w:sz="0" w:space="0" w:color="auto"/>
      </w:divBdr>
    </w:div>
    <w:div w:id="1209799010">
      <w:bodyDiv w:val="1"/>
      <w:marLeft w:val="0"/>
      <w:marRight w:val="0"/>
      <w:marTop w:val="0"/>
      <w:marBottom w:val="0"/>
      <w:divBdr>
        <w:top w:val="none" w:sz="0" w:space="0" w:color="auto"/>
        <w:left w:val="none" w:sz="0" w:space="0" w:color="auto"/>
        <w:bottom w:val="none" w:sz="0" w:space="0" w:color="auto"/>
        <w:right w:val="none" w:sz="0" w:space="0" w:color="auto"/>
      </w:divBdr>
    </w:div>
    <w:div w:id="1211067300">
      <w:bodyDiv w:val="1"/>
      <w:marLeft w:val="0"/>
      <w:marRight w:val="0"/>
      <w:marTop w:val="0"/>
      <w:marBottom w:val="0"/>
      <w:divBdr>
        <w:top w:val="none" w:sz="0" w:space="0" w:color="auto"/>
        <w:left w:val="none" w:sz="0" w:space="0" w:color="auto"/>
        <w:bottom w:val="none" w:sz="0" w:space="0" w:color="auto"/>
        <w:right w:val="none" w:sz="0" w:space="0" w:color="auto"/>
      </w:divBdr>
    </w:div>
    <w:div w:id="1211259210">
      <w:bodyDiv w:val="1"/>
      <w:marLeft w:val="0"/>
      <w:marRight w:val="0"/>
      <w:marTop w:val="0"/>
      <w:marBottom w:val="0"/>
      <w:divBdr>
        <w:top w:val="none" w:sz="0" w:space="0" w:color="auto"/>
        <w:left w:val="none" w:sz="0" w:space="0" w:color="auto"/>
        <w:bottom w:val="none" w:sz="0" w:space="0" w:color="auto"/>
        <w:right w:val="none" w:sz="0" w:space="0" w:color="auto"/>
      </w:divBdr>
    </w:div>
    <w:div w:id="1211768821">
      <w:bodyDiv w:val="1"/>
      <w:marLeft w:val="0"/>
      <w:marRight w:val="0"/>
      <w:marTop w:val="0"/>
      <w:marBottom w:val="0"/>
      <w:divBdr>
        <w:top w:val="none" w:sz="0" w:space="0" w:color="auto"/>
        <w:left w:val="none" w:sz="0" w:space="0" w:color="auto"/>
        <w:bottom w:val="none" w:sz="0" w:space="0" w:color="auto"/>
        <w:right w:val="none" w:sz="0" w:space="0" w:color="auto"/>
      </w:divBdr>
    </w:div>
    <w:div w:id="1213813397">
      <w:bodyDiv w:val="1"/>
      <w:marLeft w:val="0"/>
      <w:marRight w:val="0"/>
      <w:marTop w:val="0"/>
      <w:marBottom w:val="0"/>
      <w:divBdr>
        <w:top w:val="none" w:sz="0" w:space="0" w:color="auto"/>
        <w:left w:val="none" w:sz="0" w:space="0" w:color="auto"/>
        <w:bottom w:val="none" w:sz="0" w:space="0" w:color="auto"/>
        <w:right w:val="none" w:sz="0" w:space="0" w:color="auto"/>
      </w:divBdr>
    </w:div>
    <w:div w:id="1214073009">
      <w:bodyDiv w:val="1"/>
      <w:marLeft w:val="0"/>
      <w:marRight w:val="0"/>
      <w:marTop w:val="0"/>
      <w:marBottom w:val="0"/>
      <w:divBdr>
        <w:top w:val="none" w:sz="0" w:space="0" w:color="auto"/>
        <w:left w:val="none" w:sz="0" w:space="0" w:color="auto"/>
        <w:bottom w:val="none" w:sz="0" w:space="0" w:color="auto"/>
        <w:right w:val="none" w:sz="0" w:space="0" w:color="auto"/>
      </w:divBdr>
    </w:div>
    <w:div w:id="1214806364">
      <w:bodyDiv w:val="1"/>
      <w:marLeft w:val="0"/>
      <w:marRight w:val="0"/>
      <w:marTop w:val="0"/>
      <w:marBottom w:val="0"/>
      <w:divBdr>
        <w:top w:val="none" w:sz="0" w:space="0" w:color="auto"/>
        <w:left w:val="none" w:sz="0" w:space="0" w:color="auto"/>
        <w:bottom w:val="none" w:sz="0" w:space="0" w:color="auto"/>
        <w:right w:val="none" w:sz="0" w:space="0" w:color="auto"/>
      </w:divBdr>
    </w:div>
    <w:div w:id="1215392319">
      <w:bodyDiv w:val="1"/>
      <w:marLeft w:val="0"/>
      <w:marRight w:val="0"/>
      <w:marTop w:val="0"/>
      <w:marBottom w:val="0"/>
      <w:divBdr>
        <w:top w:val="none" w:sz="0" w:space="0" w:color="auto"/>
        <w:left w:val="none" w:sz="0" w:space="0" w:color="auto"/>
        <w:bottom w:val="none" w:sz="0" w:space="0" w:color="auto"/>
        <w:right w:val="none" w:sz="0" w:space="0" w:color="auto"/>
      </w:divBdr>
    </w:div>
    <w:div w:id="1215896918">
      <w:bodyDiv w:val="1"/>
      <w:marLeft w:val="0"/>
      <w:marRight w:val="0"/>
      <w:marTop w:val="0"/>
      <w:marBottom w:val="0"/>
      <w:divBdr>
        <w:top w:val="none" w:sz="0" w:space="0" w:color="auto"/>
        <w:left w:val="none" w:sz="0" w:space="0" w:color="auto"/>
        <w:bottom w:val="none" w:sz="0" w:space="0" w:color="auto"/>
        <w:right w:val="none" w:sz="0" w:space="0" w:color="auto"/>
      </w:divBdr>
    </w:div>
    <w:div w:id="1216233373">
      <w:bodyDiv w:val="1"/>
      <w:marLeft w:val="0"/>
      <w:marRight w:val="0"/>
      <w:marTop w:val="0"/>
      <w:marBottom w:val="0"/>
      <w:divBdr>
        <w:top w:val="none" w:sz="0" w:space="0" w:color="auto"/>
        <w:left w:val="none" w:sz="0" w:space="0" w:color="auto"/>
        <w:bottom w:val="none" w:sz="0" w:space="0" w:color="auto"/>
        <w:right w:val="none" w:sz="0" w:space="0" w:color="auto"/>
      </w:divBdr>
    </w:div>
    <w:div w:id="1219896655">
      <w:bodyDiv w:val="1"/>
      <w:marLeft w:val="0"/>
      <w:marRight w:val="0"/>
      <w:marTop w:val="0"/>
      <w:marBottom w:val="0"/>
      <w:divBdr>
        <w:top w:val="none" w:sz="0" w:space="0" w:color="auto"/>
        <w:left w:val="none" w:sz="0" w:space="0" w:color="auto"/>
        <w:bottom w:val="none" w:sz="0" w:space="0" w:color="auto"/>
        <w:right w:val="none" w:sz="0" w:space="0" w:color="auto"/>
      </w:divBdr>
    </w:div>
    <w:div w:id="1220047906">
      <w:bodyDiv w:val="1"/>
      <w:marLeft w:val="0"/>
      <w:marRight w:val="0"/>
      <w:marTop w:val="0"/>
      <w:marBottom w:val="0"/>
      <w:divBdr>
        <w:top w:val="none" w:sz="0" w:space="0" w:color="auto"/>
        <w:left w:val="none" w:sz="0" w:space="0" w:color="auto"/>
        <w:bottom w:val="none" w:sz="0" w:space="0" w:color="auto"/>
        <w:right w:val="none" w:sz="0" w:space="0" w:color="auto"/>
      </w:divBdr>
    </w:div>
    <w:div w:id="1221283458">
      <w:bodyDiv w:val="1"/>
      <w:marLeft w:val="0"/>
      <w:marRight w:val="0"/>
      <w:marTop w:val="0"/>
      <w:marBottom w:val="0"/>
      <w:divBdr>
        <w:top w:val="none" w:sz="0" w:space="0" w:color="auto"/>
        <w:left w:val="none" w:sz="0" w:space="0" w:color="auto"/>
        <w:bottom w:val="none" w:sz="0" w:space="0" w:color="auto"/>
        <w:right w:val="none" w:sz="0" w:space="0" w:color="auto"/>
      </w:divBdr>
    </w:div>
    <w:div w:id="1224029427">
      <w:bodyDiv w:val="1"/>
      <w:marLeft w:val="0"/>
      <w:marRight w:val="0"/>
      <w:marTop w:val="0"/>
      <w:marBottom w:val="0"/>
      <w:divBdr>
        <w:top w:val="none" w:sz="0" w:space="0" w:color="auto"/>
        <w:left w:val="none" w:sz="0" w:space="0" w:color="auto"/>
        <w:bottom w:val="none" w:sz="0" w:space="0" w:color="auto"/>
        <w:right w:val="none" w:sz="0" w:space="0" w:color="auto"/>
      </w:divBdr>
    </w:div>
    <w:div w:id="1224833369">
      <w:bodyDiv w:val="1"/>
      <w:marLeft w:val="0"/>
      <w:marRight w:val="0"/>
      <w:marTop w:val="0"/>
      <w:marBottom w:val="0"/>
      <w:divBdr>
        <w:top w:val="none" w:sz="0" w:space="0" w:color="auto"/>
        <w:left w:val="none" w:sz="0" w:space="0" w:color="auto"/>
        <w:bottom w:val="none" w:sz="0" w:space="0" w:color="auto"/>
        <w:right w:val="none" w:sz="0" w:space="0" w:color="auto"/>
      </w:divBdr>
    </w:div>
    <w:div w:id="1226991928">
      <w:bodyDiv w:val="1"/>
      <w:marLeft w:val="0"/>
      <w:marRight w:val="0"/>
      <w:marTop w:val="0"/>
      <w:marBottom w:val="0"/>
      <w:divBdr>
        <w:top w:val="none" w:sz="0" w:space="0" w:color="auto"/>
        <w:left w:val="none" w:sz="0" w:space="0" w:color="auto"/>
        <w:bottom w:val="none" w:sz="0" w:space="0" w:color="auto"/>
        <w:right w:val="none" w:sz="0" w:space="0" w:color="auto"/>
      </w:divBdr>
    </w:div>
    <w:div w:id="1228104178">
      <w:bodyDiv w:val="1"/>
      <w:marLeft w:val="0"/>
      <w:marRight w:val="0"/>
      <w:marTop w:val="0"/>
      <w:marBottom w:val="0"/>
      <w:divBdr>
        <w:top w:val="none" w:sz="0" w:space="0" w:color="auto"/>
        <w:left w:val="none" w:sz="0" w:space="0" w:color="auto"/>
        <w:bottom w:val="none" w:sz="0" w:space="0" w:color="auto"/>
        <w:right w:val="none" w:sz="0" w:space="0" w:color="auto"/>
      </w:divBdr>
    </w:div>
    <w:div w:id="1230271192">
      <w:bodyDiv w:val="1"/>
      <w:marLeft w:val="0"/>
      <w:marRight w:val="0"/>
      <w:marTop w:val="0"/>
      <w:marBottom w:val="0"/>
      <w:divBdr>
        <w:top w:val="none" w:sz="0" w:space="0" w:color="auto"/>
        <w:left w:val="none" w:sz="0" w:space="0" w:color="auto"/>
        <w:bottom w:val="none" w:sz="0" w:space="0" w:color="auto"/>
        <w:right w:val="none" w:sz="0" w:space="0" w:color="auto"/>
      </w:divBdr>
    </w:div>
    <w:div w:id="1230573712">
      <w:bodyDiv w:val="1"/>
      <w:marLeft w:val="0"/>
      <w:marRight w:val="0"/>
      <w:marTop w:val="0"/>
      <w:marBottom w:val="0"/>
      <w:divBdr>
        <w:top w:val="none" w:sz="0" w:space="0" w:color="auto"/>
        <w:left w:val="none" w:sz="0" w:space="0" w:color="auto"/>
        <w:bottom w:val="none" w:sz="0" w:space="0" w:color="auto"/>
        <w:right w:val="none" w:sz="0" w:space="0" w:color="auto"/>
      </w:divBdr>
    </w:div>
    <w:div w:id="1230966895">
      <w:bodyDiv w:val="1"/>
      <w:marLeft w:val="0"/>
      <w:marRight w:val="0"/>
      <w:marTop w:val="0"/>
      <w:marBottom w:val="0"/>
      <w:divBdr>
        <w:top w:val="none" w:sz="0" w:space="0" w:color="auto"/>
        <w:left w:val="none" w:sz="0" w:space="0" w:color="auto"/>
        <w:bottom w:val="none" w:sz="0" w:space="0" w:color="auto"/>
        <w:right w:val="none" w:sz="0" w:space="0" w:color="auto"/>
      </w:divBdr>
    </w:div>
    <w:div w:id="1231380415">
      <w:bodyDiv w:val="1"/>
      <w:marLeft w:val="0"/>
      <w:marRight w:val="0"/>
      <w:marTop w:val="0"/>
      <w:marBottom w:val="0"/>
      <w:divBdr>
        <w:top w:val="none" w:sz="0" w:space="0" w:color="auto"/>
        <w:left w:val="none" w:sz="0" w:space="0" w:color="auto"/>
        <w:bottom w:val="none" w:sz="0" w:space="0" w:color="auto"/>
        <w:right w:val="none" w:sz="0" w:space="0" w:color="auto"/>
      </w:divBdr>
    </w:div>
    <w:div w:id="1233078230">
      <w:bodyDiv w:val="1"/>
      <w:marLeft w:val="0"/>
      <w:marRight w:val="0"/>
      <w:marTop w:val="0"/>
      <w:marBottom w:val="0"/>
      <w:divBdr>
        <w:top w:val="none" w:sz="0" w:space="0" w:color="auto"/>
        <w:left w:val="none" w:sz="0" w:space="0" w:color="auto"/>
        <w:bottom w:val="none" w:sz="0" w:space="0" w:color="auto"/>
        <w:right w:val="none" w:sz="0" w:space="0" w:color="auto"/>
      </w:divBdr>
    </w:div>
    <w:div w:id="1233127522">
      <w:bodyDiv w:val="1"/>
      <w:marLeft w:val="0"/>
      <w:marRight w:val="0"/>
      <w:marTop w:val="0"/>
      <w:marBottom w:val="0"/>
      <w:divBdr>
        <w:top w:val="none" w:sz="0" w:space="0" w:color="auto"/>
        <w:left w:val="none" w:sz="0" w:space="0" w:color="auto"/>
        <w:bottom w:val="none" w:sz="0" w:space="0" w:color="auto"/>
        <w:right w:val="none" w:sz="0" w:space="0" w:color="auto"/>
      </w:divBdr>
    </w:div>
    <w:div w:id="1233807007">
      <w:bodyDiv w:val="1"/>
      <w:marLeft w:val="0"/>
      <w:marRight w:val="0"/>
      <w:marTop w:val="0"/>
      <w:marBottom w:val="0"/>
      <w:divBdr>
        <w:top w:val="none" w:sz="0" w:space="0" w:color="auto"/>
        <w:left w:val="none" w:sz="0" w:space="0" w:color="auto"/>
        <w:bottom w:val="none" w:sz="0" w:space="0" w:color="auto"/>
        <w:right w:val="none" w:sz="0" w:space="0" w:color="auto"/>
      </w:divBdr>
    </w:div>
    <w:div w:id="1233849691">
      <w:bodyDiv w:val="1"/>
      <w:marLeft w:val="0"/>
      <w:marRight w:val="0"/>
      <w:marTop w:val="0"/>
      <w:marBottom w:val="0"/>
      <w:divBdr>
        <w:top w:val="none" w:sz="0" w:space="0" w:color="auto"/>
        <w:left w:val="none" w:sz="0" w:space="0" w:color="auto"/>
        <w:bottom w:val="none" w:sz="0" w:space="0" w:color="auto"/>
        <w:right w:val="none" w:sz="0" w:space="0" w:color="auto"/>
      </w:divBdr>
    </w:div>
    <w:div w:id="1236620781">
      <w:bodyDiv w:val="1"/>
      <w:marLeft w:val="0"/>
      <w:marRight w:val="0"/>
      <w:marTop w:val="0"/>
      <w:marBottom w:val="0"/>
      <w:divBdr>
        <w:top w:val="none" w:sz="0" w:space="0" w:color="auto"/>
        <w:left w:val="none" w:sz="0" w:space="0" w:color="auto"/>
        <w:bottom w:val="none" w:sz="0" w:space="0" w:color="auto"/>
        <w:right w:val="none" w:sz="0" w:space="0" w:color="auto"/>
      </w:divBdr>
    </w:div>
    <w:div w:id="1237544954">
      <w:bodyDiv w:val="1"/>
      <w:marLeft w:val="0"/>
      <w:marRight w:val="0"/>
      <w:marTop w:val="0"/>
      <w:marBottom w:val="0"/>
      <w:divBdr>
        <w:top w:val="none" w:sz="0" w:space="0" w:color="auto"/>
        <w:left w:val="none" w:sz="0" w:space="0" w:color="auto"/>
        <w:bottom w:val="none" w:sz="0" w:space="0" w:color="auto"/>
        <w:right w:val="none" w:sz="0" w:space="0" w:color="auto"/>
      </w:divBdr>
    </w:div>
    <w:div w:id="1237937755">
      <w:bodyDiv w:val="1"/>
      <w:marLeft w:val="0"/>
      <w:marRight w:val="0"/>
      <w:marTop w:val="0"/>
      <w:marBottom w:val="0"/>
      <w:divBdr>
        <w:top w:val="none" w:sz="0" w:space="0" w:color="auto"/>
        <w:left w:val="none" w:sz="0" w:space="0" w:color="auto"/>
        <w:bottom w:val="none" w:sz="0" w:space="0" w:color="auto"/>
        <w:right w:val="none" w:sz="0" w:space="0" w:color="auto"/>
      </w:divBdr>
    </w:div>
    <w:div w:id="1238831890">
      <w:bodyDiv w:val="1"/>
      <w:marLeft w:val="0"/>
      <w:marRight w:val="0"/>
      <w:marTop w:val="0"/>
      <w:marBottom w:val="0"/>
      <w:divBdr>
        <w:top w:val="none" w:sz="0" w:space="0" w:color="auto"/>
        <w:left w:val="none" w:sz="0" w:space="0" w:color="auto"/>
        <w:bottom w:val="none" w:sz="0" w:space="0" w:color="auto"/>
        <w:right w:val="none" w:sz="0" w:space="0" w:color="auto"/>
      </w:divBdr>
    </w:div>
    <w:div w:id="1239292764">
      <w:bodyDiv w:val="1"/>
      <w:marLeft w:val="0"/>
      <w:marRight w:val="0"/>
      <w:marTop w:val="0"/>
      <w:marBottom w:val="0"/>
      <w:divBdr>
        <w:top w:val="none" w:sz="0" w:space="0" w:color="auto"/>
        <w:left w:val="none" w:sz="0" w:space="0" w:color="auto"/>
        <w:bottom w:val="none" w:sz="0" w:space="0" w:color="auto"/>
        <w:right w:val="none" w:sz="0" w:space="0" w:color="auto"/>
      </w:divBdr>
    </w:div>
    <w:div w:id="1242253226">
      <w:bodyDiv w:val="1"/>
      <w:marLeft w:val="0"/>
      <w:marRight w:val="0"/>
      <w:marTop w:val="0"/>
      <w:marBottom w:val="0"/>
      <w:divBdr>
        <w:top w:val="none" w:sz="0" w:space="0" w:color="auto"/>
        <w:left w:val="none" w:sz="0" w:space="0" w:color="auto"/>
        <w:bottom w:val="none" w:sz="0" w:space="0" w:color="auto"/>
        <w:right w:val="none" w:sz="0" w:space="0" w:color="auto"/>
      </w:divBdr>
    </w:div>
    <w:div w:id="1245801530">
      <w:bodyDiv w:val="1"/>
      <w:marLeft w:val="0"/>
      <w:marRight w:val="0"/>
      <w:marTop w:val="0"/>
      <w:marBottom w:val="0"/>
      <w:divBdr>
        <w:top w:val="none" w:sz="0" w:space="0" w:color="auto"/>
        <w:left w:val="none" w:sz="0" w:space="0" w:color="auto"/>
        <w:bottom w:val="none" w:sz="0" w:space="0" w:color="auto"/>
        <w:right w:val="none" w:sz="0" w:space="0" w:color="auto"/>
      </w:divBdr>
    </w:div>
    <w:div w:id="1246258274">
      <w:bodyDiv w:val="1"/>
      <w:marLeft w:val="0"/>
      <w:marRight w:val="0"/>
      <w:marTop w:val="0"/>
      <w:marBottom w:val="0"/>
      <w:divBdr>
        <w:top w:val="none" w:sz="0" w:space="0" w:color="auto"/>
        <w:left w:val="none" w:sz="0" w:space="0" w:color="auto"/>
        <w:bottom w:val="none" w:sz="0" w:space="0" w:color="auto"/>
        <w:right w:val="none" w:sz="0" w:space="0" w:color="auto"/>
      </w:divBdr>
    </w:div>
    <w:div w:id="1246380011">
      <w:bodyDiv w:val="1"/>
      <w:marLeft w:val="0"/>
      <w:marRight w:val="0"/>
      <w:marTop w:val="0"/>
      <w:marBottom w:val="0"/>
      <w:divBdr>
        <w:top w:val="none" w:sz="0" w:space="0" w:color="auto"/>
        <w:left w:val="none" w:sz="0" w:space="0" w:color="auto"/>
        <w:bottom w:val="none" w:sz="0" w:space="0" w:color="auto"/>
        <w:right w:val="none" w:sz="0" w:space="0" w:color="auto"/>
      </w:divBdr>
    </w:div>
    <w:div w:id="1246643138">
      <w:bodyDiv w:val="1"/>
      <w:marLeft w:val="0"/>
      <w:marRight w:val="0"/>
      <w:marTop w:val="0"/>
      <w:marBottom w:val="0"/>
      <w:divBdr>
        <w:top w:val="none" w:sz="0" w:space="0" w:color="auto"/>
        <w:left w:val="none" w:sz="0" w:space="0" w:color="auto"/>
        <w:bottom w:val="none" w:sz="0" w:space="0" w:color="auto"/>
        <w:right w:val="none" w:sz="0" w:space="0" w:color="auto"/>
      </w:divBdr>
    </w:div>
    <w:div w:id="1248615951">
      <w:bodyDiv w:val="1"/>
      <w:marLeft w:val="0"/>
      <w:marRight w:val="0"/>
      <w:marTop w:val="0"/>
      <w:marBottom w:val="0"/>
      <w:divBdr>
        <w:top w:val="none" w:sz="0" w:space="0" w:color="auto"/>
        <w:left w:val="none" w:sz="0" w:space="0" w:color="auto"/>
        <w:bottom w:val="none" w:sz="0" w:space="0" w:color="auto"/>
        <w:right w:val="none" w:sz="0" w:space="0" w:color="auto"/>
      </w:divBdr>
    </w:div>
    <w:div w:id="1249314662">
      <w:bodyDiv w:val="1"/>
      <w:marLeft w:val="0"/>
      <w:marRight w:val="0"/>
      <w:marTop w:val="0"/>
      <w:marBottom w:val="0"/>
      <w:divBdr>
        <w:top w:val="none" w:sz="0" w:space="0" w:color="auto"/>
        <w:left w:val="none" w:sz="0" w:space="0" w:color="auto"/>
        <w:bottom w:val="none" w:sz="0" w:space="0" w:color="auto"/>
        <w:right w:val="none" w:sz="0" w:space="0" w:color="auto"/>
      </w:divBdr>
    </w:div>
    <w:div w:id="1249727680">
      <w:bodyDiv w:val="1"/>
      <w:marLeft w:val="0"/>
      <w:marRight w:val="0"/>
      <w:marTop w:val="0"/>
      <w:marBottom w:val="0"/>
      <w:divBdr>
        <w:top w:val="none" w:sz="0" w:space="0" w:color="auto"/>
        <w:left w:val="none" w:sz="0" w:space="0" w:color="auto"/>
        <w:bottom w:val="none" w:sz="0" w:space="0" w:color="auto"/>
        <w:right w:val="none" w:sz="0" w:space="0" w:color="auto"/>
      </w:divBdr>
    </w:div>
    <w:div w:id="1251819210">
      <w:bodyDiv w:val="1"/>
      <w:marLeft w:val="0"/>
      <w:marRight w:val="0"/>
      <w:marTop w:val="0"/>
      <w:marBottom w:val="0"/>
      <w:divBdr>
        <w:top w:val="none" w:sz="0" w:space="0" w:color="auto"/>
        <w:left w:val="none" w:sz="0" w:space="0" w:color="auto"/>
        <w:bottom w:val="none" w:sz="0" w:space="0" w:color="auto"/>
        <w:right w:val="none" w:sz="0" w:space="0" w:color="auto"/>
      </w:divBdr>
    </w:div>
    <w:div w:id="1252007951">
      <w:bodyDiv w:val="1"/>
      <w:marLeft w:val="0"/>
      <w:marRight w:val="0"/>
      <w:marTop w:val="0"/>
      <w:marBottom w:val="0"/>
      <w:divBdr>
        <w:top w:val="none" w:sz="0" w:space="0" w:color="auto"/>
        <w:left w:val="none" w:sz="0" w:space="0" w:color="auto"/>
        <w:bottom w:val="none" w:sz="0" w:space="0" w:color="auto"/>
        <w:right w:val="none" w:sz="0" w:space="0" w:color="auto"/>
      </w:divBdr>
    </w:div>
    <w:div w:id="1255165129">
      <w:bodyDiv w:val="1"/>
      <w:marLeft w:val="0"/>
      <w:marRight w:val="0"/>
      <w:marTop w:val="0"/>
      <w:marBottom w:val="0"/>
      <w:divBdr>
        <w:top w:val="none" w:sz="0" w:space="0" w:color="auto"/>
        <w:left w:val="none" w:sz="0" w:space="0" w:color="auto"/>
        <w:bottom w:val="none" w:sz="0" w:space="0" w:color="auto"/>
        <w:right w:val="none" w:sz="0" w:space="0" w:color="auto"/>
      </w:divBdr>
    </w:div>
    <w:div w:id="1255287837">
      <w:bodyDiv w:val="1"/>
      <w:marLeft w:val="0"/>
      <w:marRight w:val="0"/>
      <w:marTop w:val="0"/>
      <w:marBottom w:val="0"/>
      <w:divBdr>
        <w:top w:val="none" w:sz="0" w:space="0" w:color="auto"/>
        <w:left w:val="none" w:sz="0" w:space="0" w:color="auto"/>
        <w:bottom w:val="none" w:sz="0" w:space="0" w:color="auto"/>
        <w:right w:val="none" w:sz="0" w:space="0" w:color="auto"/>
      </w:divBdr>
    </w:div>
    <w:div w:id="1255941877">
      <w:bodyDiv w:val="1"/>
      <w:marLeft w:val="0"/>
      <w:marRight w:val="0"/>
      <w:marTop w:val="0"/>
      <w:marBottom w:val="0"/>
      <w:divBdr>
        <w:top w:val="none" w:sz="0" w:space="0" w:color="auto"/>
        <w:left w:val="none" w:sz="0" w:space="0" w:color="auto"/>
        <w:bottom w:val="none" w:sz="0" w:space="0" w:color="auto"/>
        <w:right w:val="none" w:sz="0" w:space="0" w:color="auto"/>
      </w:divBdr>
    </w:div>
    <w:div w:id="1256087375">
      <w:bodyDiv w:val="1"/>
      <w:marLeft w:val="0"/>
      <w:marRight w:val="0"/>
      <w:marTop w:val="0"/>
      <w:marBottom w:val="0"/>
      <w:divBdr>
        <w:top w:val="none" w:sz="0" w:space="0" w:color="auto"/>
        <w:left w:val="none" w:sz="0" w:space="0" w:color="auto"/>
        <w:bottom w:val="none" w:sz="0" w:space="0" w:color="auto"/>
        <w:right w:val="none" w:sz="0" w:space="0" w:color="auto"/>
      </w:divBdr>
    </w:div>
    <w:div w:id="1260410582">
      <w:bodyDiv w:val="1"/>
      <w:marLeft w:val="0"/>
      <w:marRight w:val="0"/>
      <w:marTop w:val="0"/>
      <w:marBottom w:val="0"/>
      <w:divBdr>
        <w:top w:val="none" w:sz="0" w:space="0" w:color="auto"/>
        <w:left w:val="none" w:sz="0" w:space="0" w:color="auto"/>
        <w:bottom w:val="none" w:sz="0" w:space="0" w:color="auto"/>
        <w:right w:val="none" w:sz="0" w:space="0" w:color="auto"/>
      </w:divBdr>
    </w:div>
    <w:div w:id="1261836436">
      <w:bodyDiv w:val="1"/>
      <w:marLeft w:val="0"/>
      <w:marRight w:val="0"/>
      <w:marTop w:val="0"/>
      <w:marBottom w:val="0"/>
      <w:divBdr>
        <w:top w:val="none" w:sz="0" w:space="0" w:color="auto"/>
        <w:left w:val="none" w:sz="0" w:space="0" w:color="auto"/>
        <w:bottom w:val="none" w:sz="0" w:space="0" w:color="auto"/>
        <w:right w:val="none" w:sz="0" w:space="0" w:color="auto"/>
      </w:divBdr>
    </w:div>
    <w:div w:id="1262059083">
      <w:bodyDiv w:val="1"/>
      <w:marLeft w:val="0"/>
      <w:marRight w:val="0"/>
      <w:marTop w:val="0"/>
      <w:marBottom w:val="0"/>
      <w:divBdr>
        <w:top w:val="none" w:sz="0" w:space="0" w:color="auto"/>
        <w:left w:val="none" w:sz="0" w:space="0" w:color="auto"/>
        <w:bottom w:val="none" w:sz="0" w:space="0" w:color="auto"/>
        <w:right w:val="none" w:sz="0" w:space="0" w:color="auto"/>
      </w:divBdr>
    </w:div>
    <w:div w:id="1262185355">
      <w:bodyDiv w:val="1"/>
      <w:marLeft w:val="0"/>
      <w:marRight w:val="0"/>
      <w:marTop w:val="0"/>
      <w:marBottom w:val="0"/>
      <w:divBdr>
        <w:top w:val="none" w:sz="0" w:space="0" w:color="auto"/>
        <w:left w:val="none" w:sz="0" w:space="0" w:color="auto"/>
        <w:bottom w:val="none" w:sz="0" w:space="0" w:color="auto"/>
        <w:right w:val="none" w:sz="0" w:space="0" w:color="auto"/>
      </w:divBdr>
    </w:div>
    <w:div w:id="1262567975">
      <w:bodyDiv w:val="1"/>
      <w:marLeft w:val="0"/>
      <w:marRight w:val="0"/>
      <w:marTop w:val="0"/>
      <w:marBottom w:val="0"/>
      <w:divBdr>
        <w:top w:val="none" w:sz="0" w:space="0" w:color="auto"/>
        <w:left w:val="none" w:sz="0" w:space="0" w:color="auto"/>
        <w:bottom w:val="none" w:sz="0" w:space="0" w:color="auto"/>
        <w:right w:val="none" w:sz="0" w:space="0" w:color="auto"/>
      </w:divBdr>
    </w:div>
    <w:div w:id="1262949800">
      <w:bodyDiv w:val="1"/>
      <w:marLeft w:val="0"/>
      <w:marRight w:val="0"/>
      <w:marTop w:val="0"/>
      <w:marBottom w:val="0"/>
      <w:divBdr>
        <w:top w:val="none" w:sz="0" w:space="0" w:color="auto"/>
        <w:left w:val="none" w:sz="0" w:space="0" w:color="auto"/>
        <w:bottom w:val="none" w:sz="0" w:space="0" w:color="auto"/>
        <w:right w:val="none" w:sz="0" w:space="0" w:color="auto"/>
      </w:divBdr>
    </w:div>
    <w:div w:id="1264144781">
      <w:bodyDiv w:val="1"/>
      <w:marLeft w:val="0"/>
      <w:marRight w:val="0"/>
      <w:marTop w:val="0"/>
      <w:marBottom w:val="0"/>
      <w:divBdr>
        <w:top w:val="none" w:sz="0" w:space="0" w:color="auto"/>
        <w:left w:val="none" w:sz="0" w:space="0" w:color="auto"/>
        <w:bottom w:val="none" w:sz="0" w:space="0" w:color="auto"/>
        <w:right w:val="none" w:sz="0" w:space="0" w:color="auto"/>
      </w:divBdr>
    </w:div>
    <w:div w:id="1266114814">
      <w:bodyDiv w:val="1"/>
      <w:marLeft w:val="0"/>
      <w:marRight w:val="0"/>
      <w:marTop w:val="0"/>
      <w:marBottom w:val="0"/>
      <w:divBdr>
        <w:top w:val="none" w:sz="0" w:space="0" w:color="auto"/>
        <w:left w:val="none" w:sz="0" w:space="0" w:color="auto"/>
        <w:bottom w:val="none" w:sz="0" w:space="0" w:color="auto"/>
        <w:right w:val="none" w:sz="0" w:space="0" w:color="auto"/>
      </w:divBdr>
    </w:div>
    <w:div w:id="1267612430">
      <w:bodyDiv w:val="1"/>
      <w:marLeft w:val="0"/>
      <w:marRight w:val="0"/>
      <w:marTop w:val="0"/>
      <w:marBottom w:val="0"/>
      <w:divBdr>
        <w:top w:val="none" w:sz="0" w:space="0" w:color="auto"/>
        <w:left w:val="none" w:sz="0" w:space="0" w:color="auto"/>
        <w:bottom w:val="none" w:sz="0" w:space="0" w:color="auto"/>
        <w:right w:val="none" w:sz="0" w:space="0" w:color="auto"/>
      </w:divBdr>
    </w:div>
    <w:div w:id="1268001918">
      <w:bodyDiv w:val="1"/>
      <w:marLeft w:val="0"/>
      <w:marRight w:val="0"/>
      <w:marTop w:val="0"/>
      <w:marBottom w:val="0"/>
      <w:divBdr>
        <w:top w:val="none" w:sz="0" w:space="0" w:color="auto"/>
        <w:left w:val="none" w:sz="0" w:space="0" w:color="auto"/>
        <w:bottom w:val="none" w:sz="0" w:space="0" w:color="auto"/>
        <w:right w:val="none" w:sz="0" w:space="0" w:color="auto"/>
      </w:divBdr>
    </w:div>
    <w:div w:id="1268152849">
      <w:bodyDiv w:val="1"/>
      <w:marLeft w:val="0"/>
      <w:marRight w:val="0"/>
      <w:marTop w:val="0"/>
      <w:marBottom w:val="0"/>
      <w:divBdr>
        <w:top w:val="none" w:sz="0" w:space="0" w:color="auto"/>
        <w:left w:val="none" w:sz="0" w:space="0" w:color="auto"/>
        <w:bottom w:val="none" w:sz="0" w:space="0" w:color="auto"/>
        <w:right w:val="none" w:sz="0" w:space="0" w:color="auto"/>
      </w:divBdr>
    </w:div>
    <w:div w:id="1268808940">
      <w:bodyDiv w:val="1"/>
      <w:marLeft w:val="0"/>
      <w:marRight w:val="0"/>
      <w:marTop w:val="0"/>
      <w:marBottom w:val="0"/>
      <w:divBdr>
        <w:top w:val="none" w:sz="0" w:space="0" w:color="auto"/>
        <w:left w:val="none" w:sz="0" w:space="0" w:color="auto"/>
        <w:bottom w:val="none" w:sz="0" w:space="0" w:color="auto"/>
        <w:right w:val="none" w:sz="0" w:space="0" w:color="auto"/>
      </w:divBdr>
    </w:div>
    <w:div w:id="1270044995">
      <w:bodyDiv w:val="1"/>
      <w:marLeft w:val="0"/>
      <w:marRight w:val="0"/>
      <w:marTop w:val="0"/>
      <w:marBottom w:val="0"/>
      <w:divBdr>
        <w:top w:val="none" w:sz="0" w:space="0" w:color="auto"/>
        <w:left w:val="none" w:sz="0" w:space="0" w:color="auto"/>
        <w:bottom w:val="none" w:sz="0" w:space="0" w:color="auto"/>
        <w:right w:val="none" w:sz="0" w:space="0" w:color="auto"/>
      </w:divBdr>
    </w:div>
    <w:div w:id="1270967693">
      <w:bodyDiv w:val="1"/>
      <w:marLeft w:val="0"/>
      <w:marRight w:val="0"/>
      <w:marTop w:val="0"/>
      <w:marBottom w:val="0"/>
      <w:divBdr>
        <w:top w:val="none" w:sz="0" w:space="0" w:color="auto"/>
        <w:left w:val="none" w:sz="0" w:space="0" w:color="auto"/>
        <w:bottom w:val="none" w:sz="0" w:space="0" w:color="auto"/>
        <w:right w:val="none" w:sz="0" w:space="0" w:color="auto"/>
      </w:divBdr>
    </w:div>
    <w:div w:id="1271666323">
      <w:bodyDiv w:val="1"/>
      <w:marLeft w:val="0"/>
      <w:marRight w:val="0"/>
      <w:marTop w:val="0"/>
      <w:marBottom w:val="0"/>
      <w:divBdr>
        <w:top w:val="none" w:sz="0" w:space="0" w:color="auto"/>
        <w:left w:val="none" w:sz="0" w:space="0" w:color="auto"/>
        <w:bottom w:val="none" w:sz="0" w:space="0" w:color="auto"/>
        <w:right w:val="none" w:sz="0" w:space="0" w:color="auto"/>
      </w:divBdr>
    </w:div>
    <w:div w:id="1276444858">
      <w:bodyDiv w:val="1"/>
      <w:marLeft w:val="0"/>
      <w:marRight w:val="0"/>
      <w:marTop w:val="0"/>
      <w:marBottom w:val="0"/>
      <w:divBdr>
        <w:top w:val="none" w:sz="0" w:space="0" w:color="auto"/>
        <w:left w:val="none" w:sz="0" w:space="0" w:color="auto"/>
        <w:bottom w:val="none" w:sz="0" w:space="0" w:color="auto"/>
        <w:right w:val="none" w:sz="0" w:space="0" w:color="auto"/>
      </w:divBdr>
    </w:div>
    <w:div w:id="1277257250">
      <w:bodyDiv w:val="1"/>
      <w:marLeft w:val="0"/>
      <w:marRight w:val="0"/>
      <w:marTop w:val="0"/>
      <w:marBottom w:val="0"/>
      <w:divBdr>
        <w:top w:val="none" w:sz="0" w:space="0" w:color="auto"/>
        <w:left w:val="none" w:sz="0" w:space="0" w:color="auto"/>
        <w:bottom w:val="none" w:sz="0" w:space="0" w:color="auto"/>
        <w:right w:val="none" w:sz="0" w:space="0" w:color="auto"/>
      </w:divBdr>
    </w:div>
    <w:div w:id="1279293013">
      <w:bodyDiv w:val="1"/>
      <w:marLeft w:val="0"/>
      <w:marRight w:val="0"/>
      <w:marTop w:val="0"/>
      <w:marBottom w:val="0"/>
      <w:divBdr>
        <w:top w:val="none" w:sz="0" w:space="0" w:color="auto"/>
        <w:left w:val="none" w:sz="0" w:space="0" w:color="auto"/>
        <w:bottom w:val="none" w:sz="0" w:space="0" w:color="auto"/>
        <w:right w:val="none" w:sz="0" w:space="0" w:color="auto"/>
      </w:divBdr>
    </w:div>
    <w:div w:id="1279681076">
      <w:bodyDiv w:val="1"/>
      <w:marLeft w:val="0"/>
      <w:marRight w:val="0"/>
      <w:marTop w:val="0"/>
      <w:marBottom w:val="0"/>
      <w:divBdr>
        <w:top w:val="none" w:sz="0" w:space="0" w:color="auto"/>
        <w:left w:val="none" w:sz="0" w:space="0" w:color="auto"/>
        <w:bottom w:val="none" w:sz="0" w:space="0" w:color="auto"/>
        <w:right w:val="none" w:sz="0" w:space="0" w:color="auto"/>
      </w:divBdr>
    </w:div>
    <w:div w:id="1279683921">
      <w:bodyDiv w:val="1"/>
      <w:marLeft w:val="0"/>
      <w:marRight w:val="0"/>
      <w:marTop w:val="0"/>
      <w:marBottom w:val="0"/>
      <w:divBdr>
        <w:top w:val="none" w:sz="0" w:space="0" w:color="auto"/>
        <w:left w:val="none" w:sz="0" w:space="0" w:color="auto"/>
        <w:bottom w:val="none" w:sz="0" w:space="0" w:color="auto"/>
        <w:right w:val="none" w:sz="0" w:space="0" w:color="auto"/>
      </w:divBdr>
    </w:div>
    <w:div w:id="1279753144">
      <w:bodyDiv w:val="1"/>
      <w:marLeft w:val="0"/>
      <w:marRight w:val="0"/>
      <w:marTop w:val="0"/>
      <w:marBottom w:val="0"/>
      <w:divBdr>
        <w:top w:val="none" w:sz="0" w:space="0" w:color="auto"/>
        <w:left w:val="none" w:sz="0" w:space="0" w:color="auto"/>
        <w:bottom w:val="none" w:sz="0" w:space="0" w:color="auto"/>
        <w:right w:val="none" w:sz="0" w:space="0" w:color="auto"/>
      </w:divBdr>
    </w:div>
    <w:div w:id="1279944023">
      <w:bodyDiv w:val="1"/>
      <w:marLeft w:val="0"/>
      <w:marRight w:val="0"/>
      <w:marTop w:val="0"/>
      <w:marBottom w:val="0"/>
      <w:divBdr>
        <w:top w:val="none" w:sz="0" w:space="0" w:color="auto"/>
        <w:left w:val="none" w:sz="0" w:space="0" w:color="auto"/>
        <w:bottom w:val="none" w:sz="0" w:space="0" w:color="auto"/>
        <w:right w:val="none" w:sz="0" w:space="0" w:color="auto"/>
      </w:divBdr>
    </w:div>
    <w:div w:id="1280258921">
      <w:bodyDiv w:val="1"/>
      <w:marLeft w:val="0"/>
      <w:marRight w:val="0"/>
      <w:marTop w:val="0"/>
      <w:marBottom w:val="0"/>
      <w:divBdr>
        <w:top w:val="none" w:sz="0" w:space="0" w:color="auto"/>
        <w:left w:val="none" w:sz="0" w:space="0" w:color="auto"/>
        <w:bottom w:val="none" w:sz="0" w:space="0" w:color="auto"/>
        <w:right w:val="none" w:sz="0" w:space="0" w:color="auto"/>
      </w:divBdr>
    </w:div>
    <w:div w:id="1281496803">
      <w:bodyDiv w:val="1"/>
      <w:marLeft w:val="0"/>
      <w:marRight w:val="0"/>
      <w:marTop w:val="0"/>
      <w:marBottom w:val="0"/>
      <w:divBdr>
        <w:top w:val="none" w:sz="0" w:space="0" w:color="auto"/>
        <w:left w:val="none" w:sz="0" w:space="0" w:color="auto"/>
        <w:bottom w:val="none" w:sz="0" w:space="0" w:color="auto"/>
        <w:right w:val="none" w:sz="0" w:space="0" w:color="auto"/>
      </w:divBdr>
    </w:div>
    <w:div w:id="1281573924">
      <w:bodyDiv w:val="1"/>
      <w:marLeft w:val="0"/>
      <w:marRight w:val="0"/>
      <w:marTop w:val="0"/>
      <w:marBottom w:val="0"/>
      <w:divBdr>
        <w:top w:val="none" w:sz="0" w:space="0" w:color="auto"/>
        <w:left w:val="none" w:sz="0" w:space="0" w:color="auto"/>
        <w:bottom w:val="none" w:sz="0" w:space="0" w:color="auto"/>
        <w:right w:val="none" w:sz="0" w:space="0" w:color="auto"/>
      </w:divBdr>
    </w:div>
    <w:div w:id="1283145007">
      <w:bodyDiv w:val="1"/>
      <w:marLeft w:val="0"/>
      <w:marRight w:val="0"/>
      <w:marTop w:val="0"/>
      <w:marBottom w:val="0"/>
      <w:divBdr>
        <w:top w:val="none" w:sz="0" w:space="0" w:color="auto"/>
        <w:left w:val="none" w:sz="0" w:space="0" w:color="auto"/>
        <w:bottom w:val="none" w:sz="0" w:space="0" w:color="auto"/>
        <w:right w:val="none" w:sz="0" w:space="0" w:color="auto"/>
      </w:divBdr>
    </w:div>
    <w:div w:id="1283920763">
      <w:bodyDiv w:val="1"/>
      <w:marLeft w:val="0"/>
      <w:marRight w:val="0"/>
      <w:marTop w:val="0"/>
      <w:marBottom w:val="0"/>
      <w:divBdr>
        <w:top w:val="none" w:sz="0" w:space="0" w:color="auto"/>
        <w:left w:val="none" w:sz="0" w:space="0" w:color="auto"/>
        <w:bottom w:val="none" w:sz="0" w:space="0" w:color="auto"/>
        <w:right w:val="none" w:sz="0" w:space="0" w:color="auto"/>
      </w:divBdr>
    </w:div>
    <w:div w:id="1285119270">
      <w:bodyDiv w:val="1"/>
      <w:marLeft w:val="0"/>
      <w:marRight w:val="0"/>
      <w:marTop w:val="0"/>
      <w:marBottom w:val="0"/>
      <w:divBdr>
        <w:top w:val="none" w:sz="0" w:space="0" w:color="auto"/>
        <w:left w:val="none" w:sz="0" w:space="0" w:color="auto"/>
        <w:bottom w:val="none" w:sz="0" w:space="0" w:color="auto"/>
        <w:right w:val="none" w:sz="0" w:space="0" w:color="auto"/>
      </w:divBdr>
    </w:div>
    <w:div w:id="1285691362">
      <w:bodyDiv w:val="1"/>
      <w:marLeft w:val="0"/>
      <w:marRight w:val="0"/>
      <w:marTop w:val="0"/>
      <w:marBottom w:val="0"/>
      <w:divBdr>
        <w:top w:val="none" w:sz="0" w:space="0" w:color="auto"/>
        <w:left w:val="none" w:sz="0" w:space="0" w:color="auto"/>
        <w:bottom w:val="none" w:sz="0" w:space="0" w:color="auto"/>
        <w:right w:val="none" w:sz="0" w:space="0" w:color="auto"/>
      </w:divBdr>
    </w:div>
    <w:div w:id="1288076574">
      <w:bodyDiv w:val="1"/>
      <w:marLeft w:val="0"/>
      <w:marRight w:val="0"/>
      <w:marTop w:val="0"/>
      <w:marBottom w:val="0"/>
      <w:divBdr>
        <w:top w:val="none" w:sz="0" w:space="0" w:color="auto"/>
        <w:left w:val="none" w:sz="0" w:space="0" w:color="auto"/>
        <w:bottom w:val="none" w:sz="0" w:space="0" w:color="auto"/>
        <w:right w:val="none" w:sz="0" w:space="0" w:color="auto"/>
      </w:divBdr>
    </w:div>
    <w:div w:id="1288241170">
      <w:bodyDiv w:val="1"/>
      <w:marLeft w:val="0"/>
      <w:marRight w:val="0"/>
      <w:marTop w:val="0"/>
      <w:marBottom w:val="0"/>
      <w:divBdr>
        <w:top w:val="none" w:sz="0" w:space="0" w:color="auto"/>
        <w:left w:val="none" w:sz="0" w:space="0" w:color="auto"/>
        <w:bottom w:val="none" w:sz="0" w:space="0" w:color="auto"/>
        <w:right w:val="none" w:sz="0" w:space="0" w:color="auto"/>
      </w:divBdr>
    </w:div>
    <w:div w:id="1288968936">
      <w:bodyDiv w:val="1"/>
      <w:marLeft w:val="0"/>
      <w:marRight w:val="0"/>
      <w:marTop w:val="0"/>
      <w:marBottom w:val="0"/>
      <w:divBdr>
        <w:top w:val="none" w:sz="0" w:space="0" w:color="auto"/>
        <w:left w:val="none" w:sz="0" w:space="0" w:color="auto"/>
        <w:bottom w:val="none" w:sz="0" w:space="0" w:color="auto"/>
        <w:right w:val="none" w:sz="0" w:space="0" w:color="auto"/>
      </w:divBdr>
    </w:div>
    <w:div w:id="1290088410">
      <w:bodyDiv w:val="1"/>
      <w:marLeft w:val="0"/>
      <w:marRight w:val="0"/>
      <w:marTop w:val="0"/>
      <w:marBottom w:val="0"/>
      <w:divBdr>
        <w:top w:val="none" w:sz="0" w:space="0" w:color="auto"/>
        <w:left w:val="none" w:sz="0" w:space="0" w:color="auto"/>
        <w:bottom w:val="none" w:sz="0" w:space="0" w:color="auto"/>
        <w:right w:val="none" w:sz="0" w:space="0" w:color="auto"/>
      </w:divBdr>
    </w:div>
    <w:div w:id="1290894336">
      <w:bodyDiv w:val="1"/>
      <w:marLeft w:val="0"/>
      <w:marRight w:val="0"/>
      <w:marTop w:val="0"/>
      <w:marBottom w:val="0"/>
      <w:divBdr>
        <w:top w:val="none" w:sz="0" w:space="0" w:color="auto"/>
        <w:left w:val="none" w:sz="0" w:space="0" w:color="auto"/>
        <w:bottom w:val="none" w:sz="0" w:space="0" w:color="auto"/>
        <w:right w:val="none" w:sz="0" w:space="0" w:color="auto"/>
      </w:divBdr>
    </w:div>
    <w:div w:id="1292173501">
      <w:bodyDiv w:val="1"/>
      <w:marLeft w:val="0"/>
      <w:marRight w:val="0"/>
      <w:marTop w:val="0"/>
      <w:marBottom w:val="0"/>
      <w:divBdr>
        <w:top w:val="none" w:sz="0" w:space="0" w:color="auto"/>
        <w:left w:val="none" w:sz="0" w:space="0" w:color="auto"/>
        <w:bottom w:val="none" w:sz="0" w:space="0" w:color="auto"/>
        <w:right w:val="none" w:sz="0" w:space="0" w:color="auto"/>
      </w:divBdr>
    </w:div>
    <w:div w:id="1292250450">
      <w:bodyDiv w:val="1"/>
      <w:marLeft w:val="0"/>
      <w:marRight w:val="0"/>
      <w:marTop w:val="0"/>
      <w:marBottom w:val="0"/>
      <w:divBdr>
        <w:top w:val="none" w:sz="0" w:space="0" w:color="auto"/>
        <w:left w:val="none" w:sz="0" w:space="0" w:color="auto"/>
        <w:bottom w:val="none" w:sz="0" w:space="0" w:color="auto"/>
        <w:right w:val="none" w:sz="0" w:space="0" w:color="auto"/>
      </w:divBdr>
    </w:div>
    <w:div w:id="1292519008">
      <w:bodyDiv w:val="1"/>
      <w:marLeft w:val="0"/>
      <w:marRight w:val="0"/>
      <w:marTop w:val="0"/>
      <w:marBottom w:val="0"/>
      <w:divBdr>
        <w:top w:val="none" w:sz="0" w:space="0" w:color="auto"/>
        <w:left w:val="none" w:sz="0" w:space="0" w:color="auto"/>
        <w:bottom w:val="none" w:sz="0" w:space="0" w:color="auto"/>
        <w:right w:val="none" w:sz="0" w:space="0" w:color="auto"/>
      </w:divBdr>
    </w:div>
    <w:div w:id="1293559730">
      <w:bodyDiv w:val="1"/>
      <w:marLeft w:val="0"/>
      <w:marRight w:val="0"/>
      <w:marTop w:val="0"/>
      <w:marBottom w:val="0"/>
      <w:divBdr>
        <w:top w:val="none" w:sz="0" w:space="0" w:color="auto"/>
        <w:left w:val="none" w:sz="0" w:space="0" w:color="auto"/>
        <w:bottom w:val="none" w:sz="0" w:space="0" w:color="auto"/>
        <w:right w:val="none" w:sz="0" w:space="0" w:color="auto"/>
      </w:divBdr>
    </w:div>
    <w:div w:id="1295601609">
      <w:bodyDiv w:val="1"/>
      <w:marLeft w:val="0"/>
      <w:marRight w:val="0"/>
      <w:marTop w:val="0"/>
      <w:marBottom w:val="0"/>
      <w:divBdr>
        <w:top w:val="none" w:sz="0" w:space="0" w:color="auto"/>
        <w:left w:val="none" w:sz="0" w:space="0" w:color="auto"/>
        <w:bottom w:val="none" w:sz="0" w:space="0" w:color="auto"/>
        <w:right w:val="none" w:sz="0" w:space="0" w:color="auto"/>
      </w:divBdr>
    </w:div>
    <w:div w:id="1296179507">
      <w:bodyDiv w:val="1"/>
      <w:marLeft w:val="0"/>
      <w:marRight w:val="0"/>
      <w:marTop w:val="0"/>
      <w:marBottom w:val="0"/>
      <w:divBdr>
        <w:top w:val="none" w:sz="0" w:space="0" w:color="auto"/>
        <w:left w:val="none" w:sz="0" w:space="0" w:color="auto"/>
        <w:bottom w:val="none" w:sz="0" w:space="0" w:color="auto"/>
        <w:right w:val="none" w:sz="0" w:space="0" w:color="auto"/>
      </w:divBdr>
    </w:div>
    <w:div w:id="1297176413">
      <w:bodyDiv w:val="1"/>
      <w:marLeft w:val="0"/>
      <w:marRight w:val="0"/>
      <w:marTop w:val="0"/>
      <w:marBottom w:val="0"/>
      <w:divBdr>
        <w:top w:val="none" w:sz="0" w:space="0" w:color="auto"/>
        <w:left w:val="none" w:sz="0" w:space="0" w:color="auto"/>
        <w:bottom w:val="none" w:sz="0" w:space="0" w:color="auto"/>
        <w:right w:val="none" w:sz="0" w:space="0" w:color="auto"/>
      </w:divBdr>
    </w:div>
    <w:div w:id="1297877721">
      <w:bodyDiv w:val="1"/>
      <w:marLeft w:val="0"/>
      <w:marRight w:val="0"/>
      <w:marTop w:val="0"/>
      <w:marBottom w:val="0"/>
      <w:divBdr>
        <w:top w:val="none" w:sz="0" w:space="0" w:color="auto"/>
        <w:left w:val="none" w:sz="0" w:space="0" w:color="auto"/>
        <w:bottom w:val="none" w:sz="0" w:space="0" w:color="auto"/>
        <w:right w:val="none" w:sz="0" w:space="0" w:color="auto"/>
      </w:divBdr>
    </w:div>
    <w:div w:id="1298149487">
      <w:bodyDiv w:val="1"/>
      <w:marLeft w:val="0"/>
      <w:marRight w:val="0"/>
      <w:marTop w:val="0"/>
      <w:marBottom w:val="0"/>
      <w:divBdr>
        <w:top w:val="none" w:sz="0" w:space="0" w:color="auto"/>
        <w:left w:val="none" w:sz="0" w:space="0" w:color="auto"/>
        <w:bottom w:val="none" w:sz="0" w:space="0" w:color="auto"/>
        <w:right w:val="none" w:sz="0" w:space="0" w:color="auto"/>
      </w:divBdr>
    </w:div>
    <w:div w:id="1298997449">
      <w:bodyDiv w:val="1"/>
      <w:marLeft w:val="0"/>
      <w:marRight w:val="0"/>
      <w:marTop w:val="0"/>
      <w:marBottom w:val="0"/>
      <w:divBdr>
        <w:top w:val="none" w:sz="0" w:space="0" w:color="auto"/>
        <w:left w:val="none" w:sz="0" w:space="0" w:color="auto"/>
        <w:bottom w:val="none" w:sz="0" w:space="0" w:color="auto"/>
        <w:right w:val="none" w:sz="0" w:space="0" w:color="auto"/>
      </w:divBdr>
    </w:div>
    <w:div w:id="1299604733">
      <w:bodyDiv w:val="1"/>
      <w:marLeft w:val="0"/>
      <w:marRight w:val="0"/>
      <w:marTop w:val="0"/>
      <w:marBottom w:val="0"/>
      <w:divBdr>
        <w:top w:val="none" w:sz="0" w:space="0" w:color="auto"/>
        <w:left w:val="none" w:sz="0" w:space="0" w:color="auto"/>
        <w:bottom w:val="none" w:sz="0" w:space="0" w:color="auto"/>
        <w:right w:val="none" w:sz="0" w:space="0" w:color="auto"/>
      </w:divBdr>
    </w:div>
    <w:div w:id="1300761949">
      <w:bodyDiv w:val="1"/>
      <w:marLeft w:val="0"/>
      <w:marRight w:val="0"/>
      <w:marTop w:val="0"/>
      <w:marBottom w:val="0"/>
      <w:divBdr>
        <w:top w:val="none" w:sz="0" w:space="0" w:color="auto"/>
        <w:left w:val="none" w:sz="0" w:space="0" w:color="auto"/>
        <w:bottom w:val="none" w:sz="0" w:space="0" w:color="auto"/>
        <w:right w:val="none" w:sz="0" w:space="0" w:color="auto"/>
      </w:divBdr>
    </w:div>
    <w:div w:id="1302232272">
      <w:bodyDiv w:val="1"/>
      <w:marLeft w:val="0"/>
      <w:marRight w:val="0"/>
      <w:marTop w:val="0"/>
      <w:marBottom w:val="0"/>
      <w:divBdr>
        <w:top w:val="none" w:sz="0" w:space="0" w:color="auto"/>
        <w:left w:val="none" w:sz="0" w:space="0" w:color="auto"/>
        <w:bottom w:val="none" w:sz="0" w:space="0" w:color="auto"/>
        <w:right w:val="none" w:sz="0" w:space="0" w:color="auto"/>
      </w:divBdr>
    </w:div>
    <w:div w:id="1302537844">
      <w:bodyDiv w:val="1"/>
      <w:marLeft w:val="0"/>
      <w:marRight w:val="0"/>
      <w:marTop w:val="0"/>
      <w:marBottom w:val="0"/>
      <w:divBdr>
        <w:top w:val="none" w:sz="0" w:space="0" w:color="auto"/>
        <w:left w:val="none" w:sz="0" w:space="0" w:color="auto"/>
        <w:bottom w:val="none" w:sz="0" w:space="0" w:color="auto"/>
        <w:right w:val="none" w:sz="0" w:space="0" w:color="auto"/>
      </w:divBdr>
    </w:div>
    <w:div w:id="1303004686">
      <w:bodyDiv w:val="1"/>
      <w:marLeft w:val="0"/>
      <w:marRight w:val="0"/>
      <w:marTop w:val="0"/>
      <w:marBottom w:val="0"/>
      <w:divBdr>
        <w:top w:val="none" w:sz="0" w:space="0" w:color="auto"/>
        <w:left w:val="none" w:sz="0" w:space="0" w:color="auto"/>
        <w:bottom w:val="none" w:sz="0" w:space="0" w:color="auto"/>
        <w:right w:val="none" w:sz="0" w:space="0" w:color="auto"/>
      </w:divBdr>
    </w:div>
    <w:div w:id="1304043414">
      <w:bodyDiv w:val="1"/>
      <w:marLeft w:val="0"/>
      <w:marRight w:val="0"/>
      <w:marTop w:val="0"/>
      <w:marBottom w:val="0"/>
      <w:divBdr>
        <w:top w:val="none" w:sz="0" w:space="0" w:color="auto"/>
        <w:left w:val="none" w:sz="0" w:space="0" w:color="auto"/>
        <w:bottom w:val="none" w:sz="0" w:space="0" w:color="auto"/>
        <w:right w:val="none" w:sz="0" w:space="0" w:color="auto"/>
      </w:divBdr>
    </w:div>
    <w:div w:id="1304387376">
      <w:bodyDiv w:val="1"/>
      <w:marLeft w:val="0"/>
      <w:marRight w:val="0"/>
      <w:marTop w:val="0"/>
      <w:marBottom w:val="0"/>
      <w:divBdr>
        <w:top w:val="none" w:sz="0" w:space="0" w:color="auto"/>
        <w:left w:val="none" w:sz="0" w:space="0" w:color="auto"/>
        <w:bottom w:val="none" w:sz="0" w:space="0" w:color="auto"/>
        <w:right w:val="none" w:sz="0" w:space="0" w:color="auto"/>
      </w:divBdr>
    </w:div>
    <w:div w:id="1304579726">
      <w:bodyDiv w:val="1"/>
      <w:marLeft w:val="0"/>
      <w:marRight w:val="0"/>
      <w:marTop w:val="0"/>
      <w:marBottom w:val="0"/>
      <w:divBdr>
        <w:top w:val="none" w:sz="0" w:space="0" w:color="auto"/>
        <w:left w:val="none" w:sz="0" w:space="0" w:color="auto"/>
        <w:bottom w:val="none" w:sz="0" w:space="0" w:color="auto"/>
        <w:right w:val="none" w:sz="0" w:space="0" w:color="auto"/>
      </w:divBdr>
    </w:div>
    <w:div w:id="1305501732">
      <w:bodyDiv w:val="1"/>
      <w:marLeft w:val="0"/>
      <w:marRight w:val="0"/>
      <w:marTop w:val="0"/>
      <w:marBottom w:val="0"/>
      <w:divBdr>
        <w:top w:val="none" w:sz="0" w:space="0" w:color="auto"/>
        <w:left w:val="none" w:sz="0" w:space="0" w:color="auto"/>
        <w:bottom w:val="none" w:sz="0" w:space="0" w:color="auto"/>
        <w:right w:val="none" w:sz="0" w:space="0" w:color="auto"/>
      </w:divBdr>
    </w:div>
    <w:div w:id="1307003420">
      <w:bodyDiv w:val="1"/>
      <w:marLeft w:val="0"/>
      <w:marRight w:val="0"/>
      <w:marTop w:val="0"/>
      <w:marBottom w:val="0"/>
      <w:divBdr>
        <w:top w:val="none" w:sz="0" w:space="0" w:color="auto"/>
        <w:left w:val="none" w:sz="0" w:space="0" w:color="auto"/>
        <w:bottom w:val="none" w:sz="0" w:space="0" w:color="auto"/>
        <w:right w:val="none" w:sz="0" w:space="0" w:color="auto"/>
      </w:divBdr>
    </w:div>
    <w:div w:id="1307976839">
      <w:bodyDiv w:val="1"/>
      <w:marLeft w:val="0"/>
      <w:marRight w:val="0"/>
      <w:marTop w:val="0"/>
      <w:marBottom w:val="0"/>
      <w:divBdr>
        <w:top w:val="none" w:sz="0" w:space="0" w:color="auto"/>
        <w:left w:val="none" w:sz="0" w:space="0" w:color="auto"/>
        <w:bottom w:val="none" w:sz="0" w:space="0" w:color="auto"/>
        <w:right w:val="none" w:sz="0" w:space="0" w:color="auto"/>
      </w:divBdr>
    </w:div>
    <w:div w:id="1308171402">
      <w:bodyDiv w:val="1"/>
      <w:marLeft w:val="0"/>
      <w:marRight w:val="0"/>
      <w:marTop w:val="0"/>
      <w:marBottom w:val="0"/>
      <w:divBdr>
        <w:top w:val="none" w:sz="0" w:space="0" w:color="auto"/>
        <w:left w:val="none" w:sz="0" w:space="0" w:color="auto"/>
        <w:bottom w:val="none" w:sz="0" w:space="0" w:color="auto"/>
        <w:right w:val="none" w:sz="0" w:space="0" w:color="auto"/>
      </w:divBdr>
    </w:div>
    <w:div w:id="1308390760">
      <w:bodyDiv w:val="1"/>
      <w:marLeft w:val="0"/>
      <w:marRight w:val="0"/>
      <w:marTop w:val="0"/>
      <w:marBottom w:val="0"/>
      <w:divBdr>
        <w:top w:val="none" w:sz="0" w:space="0" w:color="auto"/>
        <w:left w:val="none" w:sz="0" w:space="0" w:color="auto"/>
        <w:bottom w:val="none" w:sz="0" w:space="0" w:color="auto"/>
        <w:right w:val="none" w:sz="0" w:space="0" w:color="auto"/>
      </w:divBdr>
    </w:div>
    <w:div w:id="1309475878">
      <w:bodyDiv w:val="1"/>
      <w:marLeft w:val="0"/>
      <w:marRight w:val="0"/>
      <w:marTop w:val="0"/>
      <w:marBottom w:val="0"/>
      <w:divBdr>
        <w:top w:val="none" w:sz="0" w:space="0" w:color="auto"/>
        <w:left w:val="none" w:sz="0" w:space="0" w:color="auto"/>
        <w:bottom w:val="none" w:sz="0" w:space="0" w:color="auto"/>
        <w:right w:val="none" w:sz="0" w:space="0" w:color="auto"/>
      </w:divBdr>
    </w:div>
    <w:div w:id="1310595830">
      <w:bodyDiv w:val="1"/>
      <w:marLeft w:val="0"/>
      <w:marRight w:val="0"/>
      <w:marTop w:val="0"/>
      <w:marBottom w:val="0"/>
      <w:divBdr>
        <w:top w:val="none" w:sz="0" w:space="0" w:color="auto"/>
        <w:left w:val="none" w:sz="0" w:space="0" w:color="auto"/>
        <w:bottom w:val="none" w:sz="0" w:space="0" w:color="auto"/>
        <w:right w:val="none" w:sz="0" w:space="0" w:color="auto"/>
      </w:divBdr>
    </w:div>
    <w:div w:id="1311521688">
      <w:bodyDiv w:val="1"/>
      <w:marLeft w:val="0"/>
      <w:marRight w:val="0"/>
      <w:marTop w:val="0"/>
      <w:marBottom w:val="0"/>
      <w:divBdr>
        <w:top w:val="none" w:sz="0" w:space="0" w:color="auto"/>
        <w:left w:val="none" w:sz="0" w:space="0" w:color="auto"/>
        <w:bottom w:val="none" w:sz="0" w:space="0" w:color="auto"/>
        <w:right w:val="none" w:sz="0" w:space="0" w:color="auto"/>
      </w:divBdr>
    </w:div>
    <w:div w:id="1312127937">
      <w:bodyDiv w:val="1"/>
      <w:marLeft w:val="0"/>
      <w:marRight w:val="0"/>
      <w:marTop w:val="0"/>
      <w:marBottom w:val="0"/>
      <w:divBdr>
        <w:top w:val="none" w:sz="0" w:space="0" w:color="auto"/>
        <w:left w:val="none" w:sz="0" w:space="0" w:color="auto"/>
        <w:bottom w:val="none" w:sz="0" w:space="0" w:color="auto"/>
        <w:right w:val="none" w:sz="0" w:space="0" w:color="auto"/>
      </w:divBdr>
    </w:div>
    <w:div w:id="1312519404">
      <w:bodyDiv w:val="1"/>
      <w:marLeft w:val="0"/>
      <w:marRight w:val="0"/>
      <w:marTop w:val="0"/>
      <w:marBottom w:val="0"/>
      <w:divBdr>
        <w:top w:val="none" w:sz="0" w:space="0" w:color="auto"/>
        <w:left w:val="none" w:sz="0" w:space="0" w:color="auto"/>
        <w:bottom w:val="none" w:sz="0" w:space="0" w:color="auto"/>
        <w:right w:val="none" w:sz="0" w:space="0" w:color="auto"/>
      </w:divBdr>
    </w:div>
    <w:div w:id="1312782984">
      <w:bodyDiv w:val="1"/>
      <w:marLeft w:val="0"/>
      <w:marRight w:val="0"/>
      <w:marTop w:val="0"/>
      <w:marBottom w:val="0"/>
      <w:divBdr>
        <w:top w:val="none" w:sz="0" w:space="0" w:color="auto"/>
        <w:left w:val="none" w:sz="0" w:space="0" w:color="auto"/>
        <w:bottom w:val="none" w:sz="0" w:space="0" w:color="auto"/>
        <w:right w:val="none" w:sz="0" w:space="0" w:color="auto"/>
      </w:divBdr>
    </w:div>
    <w:div w:id="1314985778">
      <w:bodyDiv w:val="1"/>
      <w:marLeft w:val="0"/>
      <w:marRight w:val="0"/>
      <w:marTop w:val="0"/>
      <w:marBottom w:val="0"/>
      <w:divBdr>
        <w:top w:val="none" w:sz="0" w:space="0" w:color="auto"/>
        <w:left w:val="none" w:sz="0" w:space="0" w:color="auto"/>
        <w:bottom w:val="none" w:sz="0" w:space="0" w:color="auto"/>
        <w:right w:val="none" w:sz="0" w:space="0" w:color="auto"/>
      </w:divBdr>
    </w:div>
    <w:div w:id="1315142430">
      <w:bodyDiv w:val="1"/>
      <w:marLeft w:val="0"/>
      <w:marRight w:val="0"/>
      <w:marTop w:val="0"/>
      <w:marBottom w:val="0"/>
      <w:divBdr>
        <w:top w:val="none" w:sz="0" w:space="0" w:color="auto"/>
        <w:left w:val="none" w:sz="0" w:space="0" w:color="auto"/>
        <w:bottom w:val="none" w:sz="0" w:space="0" w:color="auto"/>
        <w:right w:val="none" w:sz="0" w:space="0" w:color="auto"/>
      </w:divBdr>
    </w:div>
    <w:div w:id="1315449578">
      <w:bodyDiv w:val="1"/>
      <w:marLeft w:val="0"/>
      <w:marRight w:val="0"/>
      <w:marTop w:val="0"/>
      <w:marBottom w:val="0"/>
      <w:divBdr>
        <w:top w:val="none" w:sz="0" w:space="0" w:color="auto"/>
        <w:left w:val="none" w:sz="0" w:space="0" w:color="auto"/>
        <w:bottom w:val="none" w:sz="0" w:space="0" w:color="auto"/>
        <w:right w:val="none" w:sz="0" w:space="0" w:color="auto"/>
      </w:divBdr>
    </w:div>
    <w:div w:id="1316715415">
      <w:bodyDiv w:val="1"/>
      <w:marLeft w:val="0"/>
      <w:marRight w:val="0"/>
      <w:marTop w:val="0"/>
      <w:marBottom w:val="0"/>
      <w:divBdr>
        <w:top w:val="none" w:sz="0" w:space="0" w:color="auto"/>
        <w:left w:val="none" w:sz="0" w:space="0" w:color="auto"/>
        <w:bottom w:val="none" w:sz="0" w:space="0" w:color="auto"/>
        <w:right w:val="none" w:sz="0" w:space="0" w:color="auto"/>
      </w:divBdr>
    </w:div>
    <w:div w:id="1318266270">
      <w:bodyDiv w:val="1"/>
      <w:marLeft w:val="0"/>
      <w:marRight w:val="0"/>
      <w:marTop w:val="0"/>
      <w:marBottom w:val="0"/>
      <w:divBdr>
        <w:top w:val="none" w:sz="0" w:space="0" w:color="auto"/>
        <w:left w:val="none" w:sz="0" w:space="0" w:color="auto"/>
        <w:bottom w:val="none" w:sz="0" w:space="0" w:color="auto"/>
        <w:right w:val="none" w:sz="0" w:space="0" w:color="auto"/>
      </w:divBdr>
    </w:div>
    <w:div w:id="1323969979">
      <w:bodyDiv w:val="1"/>
      <w:marLeft w:val="0"/>
      <w:marRight w:val="0"/>
      <w:marTop w:val="0"/>
      <w:marBottom w:val="0"/>
      <w:divBdr>
        <w:top w:val="none" w:sz="0" w:space="0" w:color="auto"/>
        <w:left w:val="none" w:sz="0" w:space="0" w:color="auto"/>
        <w:bottom w:val="none" w:sz="0" w:space="0" w:color="auto"/>
        <w:right w:val="none" w:sz="0" w:space="0" w:color="auto"/>
      </w:divBdr>
    </w:div>
    <w:div w:id="1324120306">
      <w:bodyDiv w:val="1"/>
      <w:marLeft w:val="0"/>
      <w:marRight w:val="0"/>
      <w:marTop w:val="0"/>
      <w:marBottom w:val="0"/>
      <w:divBdr>
        <w:top w:val="none" w:sz="0" w:space="0" w:color="auto"/>
        <w:left w:val="none" w:sz="0" w:space="0" w:color="auto"/>
        <w:bottom w:val="none" w:sz="0" w:space="0" w:color="auto"/>
        <w:right w:val="none" w:sz="0" w:space="0" w:color="auto"/>
      </w:divBdr>
    </w:div>
    <w:div w:id="1327629726">
      <w:bodyDiv w:val="1"/>
      <w:marLeft w:val="0"/>
      <w:marRight w:val="0"/>
      <w:marTop w:val="0"/>
      <w:marBottom w:val="0"/>
      <w:divBdr>
        <w:top w:val="none" w:sz="0" w:space="0" w:color="auto"/>
        <w:left w:val="none" w:sz="0" w:space="0" w:color="auto"/>
        <w:bottom w:val="none" w:sz="0" w:space="0" w:color="auto"/>
        <w:right w:val="none" w:sz="0" w:space="0" w:color="auto"/>
      </w:divBdr>
    </w:div>
    <w:div w:id="1327785540">
      <w:bodyDiv w:val="1"/>
      <w:marLeft w:val="0"/>
      <w:marRight w:val="0"/>
      <w:marTop w:val="0"/>
      <w:marBottom w:val="0"/>
      <w:divBdr>
        <w:top w:val="none" w:sz="0" w:space="0" w:color="auto"/>
        <w:left w:val="none" w:sz="0" w:space="0" w:color="auto"/>
        <w:bottom w:val="none" w:sz="0" w:space="0" w:color="auto"/>
        <w:right w:val="none" w:sz="0" w:space="0" w:color="auto"/>
      </w:divBdr>
    </w:div>
    <w:div w:id="1327856603">
      <w:bodyDiv w:val="1"/>
      <w:marLeft w:val="0"/>
      <w:marRight w:val="0"/>
      <w:marTop w:val="0"/>
      <w:marBottom w:val="0"/>
      <w:divBdr>
        <w:top w:val="none" w:sz="0" w:space="0" w:color="auto"/>
        <w:left w:val="none" w:sz="0" w:space="0" w:color="auto"/>
        <w:bottom w:val="none" w:sz="0" w:space="0" w:color="auto"/>
        <w:right w:val="none" w:sz="0" w:space="0" w:color="auto"/>
      </w:divBdr>
    </w:div>
    <w:div w:id="1328824725">
      <w:bodyDiv w:val="1"/>
      <w:marLeft w:val="0"/>
      <w:marRight w:val="0"/>
      <w:marTop w:val="0"/>
      <w:marBottom w:val="0"/>
      <w:divBdr>
        <w:top w:val="none" w:sz="0" w:space="0" w:color="auto"/>
        <w:left w:val="none" w:sz="0" w:space="0" w:color="auto"/>
        <w:bottom w:val="none" w:sz="0" w:space="0" w:color="auto"/>
        <w:right w:val="none" w:sz="0" w:space="0" w:color="auto"/>
      </w:divBdr>
    </w:div>
    <w:div w:id="1329282367">
      <w:bodyDiv w:val="1"/>
      <w:marLeft w:val="0"/>
      <w:marRight w:val="0"/>
      <w:marTop w:val="0"/>
      <w:marBottom w:val="0"/>
      <w:divBdr>
        <w:top w:val="none" w:sz="0" w:space="0" w:color="auto"/>
        <w:left w:val="none" w:sz="0" w:space="0" w:color="auto"/>
        <w:bottom w:val="none" w:sz="0" w:space="0" w:color="auto"/>
        <w:right w:val="none" w:sz="0" w:space="0" w:color="auto"/>
      </w:divBdr>
    </w:div>
    <w:div w:id="1329745896">
      <w:bodyDiv w:val="1"/>
      <w:marLeft w:val="0"/>
      <w:marRight w:val="0"/>
      <w:marTop w:val="0"/>
      <w:marBottom w:val="0"/>
      <w:divBdr>
        <w:top w:val="none" w:sz="0" w:space="0" w:color="auto"/>
        <w:left w:val="none" w:sz="0" w:space="0" w:color="auto"/>
        <w:bottom w:val="none" w:sz="0" w:space="0" w:color="auto"/>
        <w:right w:val="none" w:sz="0" w:space="0" w:color="auto"/>
      </w:divBdr>
    </w:div>
    <w:div w:id="1330596662">
      <w:bodyDiv w:val="1"/>
      <w:marLeft w:val="0"/>
      <w:marRight w:val="0"/>
      <w:marTop w:val="0"/>
      <w:marBottom w:val="0"/>
      <w:divBdr>
        <w:top w:val="none" w:sz="0" w:space="0" w:color="auto"/>
        <w:left w:val="none" w:sz="0" w:space="0" w:color="auto"/>
        <w:bottom w:val="none" w:sz="0" w:space="0" w:color="auto"/>
        <w:right w:val="none" w:sz="0" w:space="0" w:color="auto"/>
      </w:divBdr>
    </w:div>
    <w:div w:id="1332565280">
      <w:bodyDiv w:val="1"/>
      <w:marLeft w:val="0"/>
      <w:marRight w:val="0"/>
      <w:marTop w:val="0"/>
      <w:marBottom w:val="0"/>
      <w:divBdr>
        <w:top w:val="none" w:sz="0" w:space="0" w:color="auto"/>
        <w:left w:val="none" w:sz="0" w:space="0" w:color="auto"/>
        <w:bottom w:val="none" w:sz="0" w:space="0" w:color="auto"/>
        <w:right w:val="none" w:sz="0" w:space="0" w:color="auto"/>
      </w:divBdr>
    </w:div>
    <w:div w:id="1332761684">
      <w:bodyDiv w:val="1"/>
      <w:marLeft w:val="0"/>
      <w:marRight w:val="0"/>
      <w:marTop w:val="0"/>
      <w:marBottom w:val="0"/>
      <w:divBdr>
        <w:top w:val="none" w:sz="0" w:space="0" w:color="auto"/>
        <w:left w:val="none" w:sz="0" w:space="0" w:color="auto"/>
        <w:bottom w:val="none" w:sz="0" w:space="0" w:color="auto"/>
        <w:right w:val="none" w:sz="0" w:space="0" w:color="auto"/>
      </w:divBdr>
    </w:div>
    <w:div w:id="1332874344">
      <w:bodyDiv w:val="1"/>
      <w:marLeft w:val="0"/>
      <w:marRight w:val="0"/>
      <w:marTop w:val="0"/>
      <w:marBottom w:val="0"/>
      <w:divBdr>
        <w:top w:val="none" w:sz="0" w:space="0" w:color="auto"/>
        <w:left w:val="none" w:sz="0" w:space="0" w:color="auto"/>
        <w:bottom w:val="none" w:sz="0" w:space="0" w:color="auto"/>
        <w:right w:val="none" w:sz="0" w:space="0" w:color="auto"/>
      </w:divBdr>
    </w:div>
    <w:div w:id="1337803209">
      <w:bodyDiv w:val="1"/>
      <w:marLeft w:val="0"/>
      <w:marRight w:val="0"/>
      <w:marTop w:val="0"/>
      <w:marBottom w:val="0"/>
      <w:divBdr>
        <w:top w:val="none" w:sz="0" w:space="0" w:color="auto"/>
        <w:left w:val="none" w:sz="0" w:space="0" w:color="auto"/>
        <w:bottom w:val="none" w:sz="0" w:space="0" w:color="auto"/>
        <w:right w:val="none" w:sz="0" w:space="0" w:color="auto"/>
      </w:divBdr>
    </w:div>
    <w:div w:id="1338074890">
      <w:bodyDiv w:val="1"/>
      <w:marLeft w:val="0"/>
      <w:marRight w:val="0"/>
      <w:marTop w:val="0"/>
      <w:marBottom w:val="0"/>
      <w:divBdr>
        <w:top w:val="none" w:sz="0" w:space="0" w:color="auto"/>
        <w:left w:val="none" w:sz="0" w:space="0" w:color="auto"/>
        <w:bottom w:val="none" w:sz="0" w:space="0" w:color="auto"/>
        <w:right w:val="none" w:sz="0" w:space="0" w:color="auto"/>
      </w:divBdr>
    </w:div>
    <w:div w:id="1338194410">
      <w:bodyDiv w:val="1"/>
      <w:marLeft w:val="0"/>
      <w:marRight w:val="0"/>
      <w:marTop w:val="0"/>
      <w:marBottom w:val="0"/>
      <w:divBdr>
        <w:top w:val="none" w:sz="0" w:space="0" w:color="auto"/>
        <w:left w:val="none" w:sz="0" w:space="0" w:color="auto"/>
        <w:bottom w:val="none" w:sz="0" w:space="0" w:color="auto"/>
        <w:right w:val="none" w:sz="0" w:space="0" w:color="auto"/>
      </w:divBdr>
    </w:div>
    <w:div w:id="1338650812">
      <w:bodyDiv w:val="1"/>
      <w:marLeft w:val="0"/>
      <w:marRight w:val="0"/>
      <w:marTop w:val="0"/>
      <w:marBottom w:val="0"/>
      <w:divBdr>
        <w:top w:val="none" w:sz="0" w:space="0" w:color="auto"/>
        <w:left w:val="none" w:sz="0" w:space="0" w:color="auto"/>
        <w:bottom w:val="none" w:sz="0" w:space="0" w:color="auto"/>
        <w:right w:val="none" w:sz="0" w:space="0" w:color="auto"/>
      </w:divBdr>
    </w:div>
    <w:div w:id="1338970180">
      <w:bodyDiv w:val="1"/>
      <w:marLeft w:val="0"/>
      <w:marRight w:val="0"/>
      <w:marTop w:val="0"/>
      <w:marBottom w:val="0"/>
      <w:divBdr>
        <w:top w:val="none" w:sz="0" w:space="0" w:color="auto"/>
        <w:left w:val="none" w:sz="0" w:space="0" w:color="auto"/>
        <w:bottom w:val="none" w:sz="0" w:space="0" w:color="auto"/>
        <w:right w:val="none" w:sz="0" w:space="0" w:color="auto"/>
      </w:divBdr>
    </w:div>
    <w:div w:id="1339115981">
      <w:bodyDiv w:val="1"/>
      <w:marLeft w:val="0"/>
      <w:marRight w:val="0"/>
      <w:marTop w:val="0"/>
      <w:marBottom w:val="0"/>
      <w:divBdr>
        <w:top w:val="none" w:sz="0" w:space="0" w:color="auto"/>
        <w:left w:val="none" w:sz="0" w:space="0" w:color="auto"/>
        <w:bottom w:val="none" w:sz="0" w:space="0" w:color="auto"/>
        <w:right w:val="none" w:sz="0" w:space="0" w:color="auto"/>
      </w:divBdr>
    </w:div>
    <w:div w:id="1340156336">
      <w:bodyDiv w:val="1"/>
      <w:marLeft w:val="0"/>
      <w:marRight w:val="0"/>
      <w:marTop w:val="0"/>
      <w:marBottom w:val="0"/>
      <w:divBdr>
        <w:top w:val="none" w:sz="0" w:space="0" w:color="auto"/>
        <w:left w:val="none" w:sz="0" w:space="0" w:color="auto"/>
        <w:bottom w:val="none" w:sz="0" w:space="0" w:color="auto"/>
        <w:right w:val="none" w:sz="0" w:space="0" w:color="auto"/>
      </w:divBdr>
    </w:div>
    <w:div w:id="1340540190">
      <w:bodyDiv w:val="1"/>
      <w:marLeft w:val="0"/>
      <w:marRight w:val="0"/>
      <w:marTop w:val="0"/>
      <w:marBottom w:val="0"/>
      <w:divBdr>
        <w:top w:val="none" w:sz="0" w:space="0" w:color="auto"/>
        <w:left w:val="none" w:sz="0" w:space="0" w:color="auto"/>
        <w:bottom w:val="none" w:sz="0" w:space="0" w:color="auto"/>
        <w:right w:val="none" w:sz="0" w:space="0" w:color="auto"/>
      </w:divBdr>
    </w:div>
    <w:div w:id="1341157780">
      <w:bodyDiv w:val="1"/>
      <w:marLeft w:val="0"/>
      <w:marRight w:val="0"/>
      <w:marTop w:val="0"/>
      <w:marBottom w:val="0"/>
      <w:divBdr>
        <w:top w:val="none" w:sz="0" w:space="0" w:color="auto"/>
        <w:left w:val="none" w:sz="0" w:space="0" w:color="auto"/>
        <w:bottom w:val="none" w:sz="0" w:space="0" w:color="auto"/>
        <w:right w:val="none" w:sz="0" w:space="0" w:color="auto"/>
      </w:divBdr>
    </w:div>
    <w:div w:id="1341397890">
      <w:bodyDiv w:val="1"/>
      <w:marLeft w:val="0"/>
      <w:marRight w:val="0"/>
      <w:marTop w:val="0"/>
      <w:marBottom w:val="0"/>
      <w:divBdr>
        <w:top w:val="none" w:sz="0" w:space="0" w:color="auto"/>
        <w:left w:val="none" w:sz="0" w:space="0" w:color="auto"/>
        <w:bottom w:val="none" w:sz="0" w:space="0" w:color="auto"/>
        <w:right w:val="none" w:sz="0" w:space="0" w:color="auto"/>
      </w:divBdr>
    </w:div>
    <w:div w:id="1341470075">
      <w:bodyDiv w:val="1"/>
      <w:marLeft w:val="0"/>
      <w:marRight w:val="0"/>
      <w:marTop w:val="0"/>
      <w:marBottom w:val="0"/>
      <w:divBdr>
        <w:top w:val="none" w:sz="0" w:space="0" w:color="auto"/>
        <w:left w:val="none" w:sz="0" w:space="0" w:color="auto"/>
        <w:bottom w:val="none" w:sz="0" w:space="0" w:color="auto"/>
        <w:right w:val="none" w:sz="0" w:space="0" w:color="auto"/>
      </w:divBdr>
    </w:div>
    <w:div w:id="1342508557">
      <w:bodyDiv w:val="1"/>
      <w:marLeft w:val="0"/>
      <w:marRight w:val="0"/>
      <w:marTop w:val="0"/>
      <w:marBottom w:val="0"/>
      <w:divBdr>
        <w:top w:val="none" w:sz="0" w:space="0" w:color="auto"/>
        <w:left w:val="none" w:sz="0" w:space="0" w:color="auto"/>
        <w:bottom w:val="none" w:sz="0" w:space="0" w:color="auto"/>
        <w:right w:val="none" w:sz="0" w:space="0" w:color="auto"/>
      </w:divBdr>
    </w:div>
    <w:div w:id="1342581313">
      <w:bodyDiv w:val="1"/>
      <w:marLeft w:val="0"/>
      <w:marRight w:val="0"/>
      <w:marTop w:val="0"/>
      <w:marBottom w:val="0"/>
      <w:divBdr>
        <w:top w:val="none" w:sz="0" w:space="0" w:color="auto"/>
        <w:left w:val="none" w:sz="0" w:space="0" w:color="auto"/>
        <w:bottom w:val="none" w:sz="0" w:space="0" w:color="auto"/>
        <w:right w:val="none" w:sz="0" w:space="0" w:color="auto"/>
      </w:divBdr>
    </w:div>
    <w:div w:id="1343971189">
      <w:bodyDiv w:val="1"/>
      <w:marLeft w:val="0"/>
      <w:marRight w:val="0"/>
      <w:marTop w:val="0"/>
      <w:marBottom w:val="0"/>
      <w:divBdr>
        <w:top w:val="none" w:sz="0" w:space="0" w:color="auto"/>
        <w:left w:val="none" w:sz="0" w:space="0" w:color="auto"/>
        <w:bottom w:val="none" w:sz="0" w:space="0" w:color="auto"/>
        <w:right w:val="none" w:sz="0" w:space="0" w:color="auto"/>
      </w:divBdr>
    </w:div>
    <w:div w:id="1344671331">
      <w:bodyDiv w:val="1"/>
      <w:marLeft w:val="0"/>
      <w:marRight w:val="0"/>
      <w:marTop w:val="0"/>
      <w:marBottom w:val="0"/>
      <w:divBdr>
        <w:top w:val="none" w:sz="0" w:space="0" w:color="auto"/>
        <w:left w:val="none" w:sz="0" w:space="0" w:color="auto"/>
        <w:bottom w:val="none" w:sz="0" w:space="0" w:color="auto"/>
        <w:right w:val="none" w:sz="0" w:space="0" w:color="auto"/>
      </w:divBdr>
    </w:div>
    <w:div w:id="1347905791">
      <w:bodyDiv w:val="1"/>
      <w:marLeft w:val="0"/>
      <w:marRight w:val="0"/>
      <w:marTop w:val="0"/>
      <w:marBottom w:val="0"/>
      <w:divBdr>
        <w:top w:val="none" w:sz="0" w:space="0" w:color="auto"/>
        <w:left w:val="none" w:sz="0" w:space="0" w:color="auto"/>
        <w:bottom w:val="none" w:sz="0" w:space="0" w:color="auto"/>
        <w:right w:val="none" w:sz="0" w:space="0" w:color="auto"/>
      </w:divBdr>
    </w:div>
    <w:div w:id="1348601709">
      <w:bodyDiv w:val="1"/>
      <w:marLeft w:val="0"/>
      <w:marRight w:val="0"/>
      <w:marTop w:val="0"/>
      <w:marBottom w:val="0"/>
      <w:divBdr>
        <w:top w:val="none" w:sz="0" w:space="0" w:color="auto"/>
        <w:left w:val="none" w:sz="0" w:space="0" w:color="auto"/>
        <w:bottom w:val="none" w:sz="0" w:space="0" w:color="auto"/>
        <w:right w:val="none" w:sz="0" w:space="0" w:color="auto"/>
      </w:divBdr>
    </w:div>
    <w:div w:id="1353723629">
      <w:bodyDiv w:val="1"/>
      <w:marLeft w:val="0"/>
      <w:marRight w:val="0"/>
      <w:marTop w:val="0"/>
      <w:marBottom w:val="0"/>
      <w:divBdr>
        <w:top w:val="none" w:sz="0" w:space="0" w:color="auto"/>
        <w:left w:val="none" w:sz="0" w:space="0" w:color="auto"/>
        <w:bottom w:val="none" w:sz="0" w:space="0" w:color="auto"/>
        <w:right w:val="none" w:sz="0" w:space="0" w:color="auto"/>
      </w:divBdr>
    </w:div>
    <w:div w:id="1355111201">
      <w:bodyDiv w:val="1"/>
      <w:marLeft w:val="0"/>
      <w:marRight w:val="0"/>
      <w:marTop w:val="0"/>
      <w:marBottom w:val="0"/>
      <w:divBdr>
        <w:top w:val="none" w:sz="0" w:space="0" w:color="auto"/>
        <w:left w:val="none" w:sz="0" w:space="0" w:color="auto"/>
        <w:bottom w:val="none" w:sz="0" w:space="0" w:color="auto"/>
        <w:right w:val="none" w:sz="0" w:space="0" w:color="auto"/>
      </w:divBdr>
    </w:div>
    <w:div w:id="1356928571">
      <w:bodyDiv w:val="1"/>
      <w:marLeft w:val="0"/>
      <w:marRight w:val="0"/>
      <w:marTop w:val="0"/>
      <w:marBottom w:val="0"/>
      <w:divBdr>
        <w:top w:val="none" w:sz="0" w:space="0" w:color="auto"/>
        <w:left w:val="none" w:sz="0" w:space="0" w:color="auto"/>
        <w:bottom w:val="none" w:sz="0" w:space="0" w:color="auto"/>
        <w:right w:val="none" w:sz="0" w:space="0" w:color="auto"/>
      </w:divBdr>
    </w:div>
    <w:div w:id="1356929409">
      <w:bodyDiv w:val="1"/>
      <w:marLeft w:val="0"/>
      <w:marRight w:val="0"/>
      <w:marTop w:val="0"/>
      <w:marBottom w:val="0"/>
      <w:divBdr>
        <w:top w:val="none" w:sz="0" w:space="0" w:color="auto"/>
        <w:left w:val="none" w:sz="0" w:space="0" w:color="auto"/>
        <w:bottom w:val="none" w:sz="0" w:space="0" w:color="auto"/>
        <w:right w:val="none" w:sz="0" w:space="0" w:color="auto"/>
      </w:divBdr>
    </w:div>
    <w:div w:id="1358851559">
      <w:bodyDiv w:val="1"/>
      <w:marLeft w:val="0"/>
      <w:marRight w:val="0"/>
      <w:marTop w:val="0"/>
      <w:marBottom w:val="0"/>
      <w:divBdr>
        <w:top w:val="none" w:sz="0" w:space="0" w:color="auto"/>
        <w:left w:val="none" w:sz="0" w:space="0" w:color="auto"/>
        <w:bottom w:val="none" w:sz="0" w:space="0" w:color="auto"/>
        <w:right w:val="none" w:sz="0" w:space="0" w:color="auto"/>
      </w:divBdr>
    </w:div>
    <w:div w:id="1360662864">
      <w:bodyDiv w:val="1"/>
      <w:marLeft w:val="0"/>
      <w:marRight w:val="0"/>
      <w:marTop w:val="0"/>
      <w:marBottom w:val="0"/>
      <w:divBdr>
        <w:top w:val="none" w:sz="0" w:space="0" w:color="auto"/>
        <w:left w:val="none" w:sz="0" w:space="0" w:color="auto"/>
        <w:bottom w:val="none" w:sz="0" w:space="0" w:color="auto"/>
        <w:right w:val="none" w:sz="0" w:space="0" w:color="auto"/>
      </w:divBdr>
    </w:div>
    <w:div w:id="1360931730">
      <w:bodyDiv w:val="1"/>
      <w:marLeft w:val="0"/>
      <w:marRight w:val="0"/>
      <w:marTop w:val="0"/>
      <w:marBottom w:val="0"/>
      <w:divBdr>
        <w:top w:val="none" w:sz="0" w:space="0" w:color="auto"/>
        <w:left w:val="none" w:sz="0" w:space="0" w:color="auto"/>
        <w:bottom w:val="none" w:sz="0" w:space="0" w:color="auto"/>
        <w:right w:val="none" w:sz="0" w:space="0" w:color="auto"/>
      </w:divBdr>
    </w:div>
    <w:div w:id="1360933471">
      <w:bodyDiv w:val="1"/>
      <w:marLeft w:val="0"/>
      <w:marRight w:val="0"/>
      <w:marTop w:val="0"/>
      <w:marBottom w:val="0"/>
      <w:divBdr>
        <w:top w:val="none" w:sz="0" w:space="0" w:color="auto"/>
        <w:left w:val="none" w:sz="0" w:space="0" w:color="auto"/>
        <w:bottom w:val="none" w:sz="0" w:space="0" w:color="auto"/>
        <w:right w:val="none" w:sz="0" w:space="0" w:color="auto"/>
      </w:divBdr>
    </w:div>
    <w:div w:id="1361205851">
      <w:bodyDiv w:val="1"/>
      <w:marLeft w:val="0"/>
      <w:marRight w:val="0"/>
      <w:marTop w:val="0"/>
      <w:marBottom w:val="0"/>
      <w:divBdr>
        <w:top w:val="none" w:sz="0" w:space="0" w:color="auto"/>
        <w:left w:val="none" w:sz="0" w:space="0" w:color="auto"/>
        <w:bottom w:val="none" w:sz="0" w:space="0" w:color="auto"/>
        <w:right w:val="none" w:sz="0" w:space="0" w:color="auto"/>
      </w:divBdr>
    </w:div>
    <w:div w:id="1361928066">
      <w:bodyDiv w:val="1"/>
      <w:marLeft w:val="0"/>
      <w:marRight w:val="0"/>
      <w:marTop w:val="0"/>
      <w:marBottom w:val="0"/>
      <w:divBdr>
        <w:top w:val="none" w:sz="0" w:space="0" w:color="auto"/>
        <w:left w:val="none" w:sz="0" w:space="0" w:color="auto"/>
        <w:bottom w:val="none" w:sz="0" w:space="0" w:color="auto"/>
        <w:right w:val="none" w:sz="0" w:space="0" w:color="auto"/>
      </w:divBdr>
    </w:div>
    <w:div w:id="1362171168">
      <w:bodyDiv w:val="1"/>
      <w:marLeft w:val="0"/>
      <w:marRight w:val="0"/>
      <w:marTop w:val="0"/>
      <w:marBottom w:val="0"/>
      <w:divBdr>
        <w:top w:val="none" w:sz="0" w:space="0" w:color="auto"/>
        <w:left w:val="none" w:sz="0" w:space="0" w:color="auto"/>
        <w:bottom w:val="none" w:sz="0" w:space="0" w:color="auto"/>
        <w:right w:val="none" w:sz="0" w:space="0" w:color="auto"/>
      </w:divBdr>
    </w:div>
    <w:div w:id="1363170252">
      <w:bodyDiv w:val="1"/>
      <w:marLeft w:val="0"/>
      <w:marRight w:val="0"/>
      <w:marTop w:val="0"/>
      <w:marBottom w:val="0"/>
      <w:divBdr>
        <w:top w:val="none" w:sz="0" w:space="0" w:color="auto"/>
        <w:left w:val="none" w:sz="0" w:space="0" w:color="auto"/>
        <w:bottom w:val="none" w:sz="0" w:space="0" w:color="auto"/>
        <w:right w:val="none" w:sz="0" w:space="0" w:color="auto"/>
      </w:divBdr>
    </w:div>
    <w:div w:id="1363555169">
      <w:bodyDiv w:val="1"/>
      <w:marLeft w:val="0"/>
      <w:marRight w:val="0"/>
      <w:marTop w:val="0"/>
      <w:marBottom w:val="0"/>
      <w:divBdr>
        <w:top w:val="none" w:sz="0" w:space="0" w:color="auto"/>
        <w:left w:val="none" w:sz="0" w:space="0" w:color="auto"/>
        <w:bottom w:val="none" w:sz="0" w:space="0" w:color="auto"/>
        <w:right w:val="none" w:sz="0" w:space="0" w:color="auto"/>
      </w:divBdr>
    </w:div>
    <w:div w:id="1365445896">
      <w:bodyDiv w:val="1"/>
      <w:marLeft w:val="0"/>
      <w:marRight w:val="0"/>
      <w:marTop w:val="0"/>
      <w:marBottom w:val="0"/>
      <w:divBdr>
        <w:top w:val="none" w:sz="0" w:space="0" w:color="auto"/>
        <w:left w:val="none" w:sz="0" w:space="0" w:color="auto"/>
        <w:bottom w:val="none" w:sz="0" w:space="0" w:color="auto"/>
        <w:right w:val="none" w:sz="0" w:space="0" w:color="auto"/>
      </w:divBdr>
    </w:div>
    <w:div w:id="1365717378">
      <w:bodyDiv w:val="1"/>
      <w:marLeft w:val="0"/>
      <w:marRight w:val="0"/>
      <w:marTop w:val="0"/>
      <w:marBottom w:val="0"/>
      <w:divBdr>
        <w:top w:val="none" w:sz="0" w:space="0" w:color="auto"/>
        <w:left w:val="none" w:sz="0" w:space="0" w:color="auto"/>
        <w:bottom w:val="none" w:sz="0" w:space="0" w:color="auto"/>
        <w:right w:val="none" w:sz="0" w:space="0" w:color="auto"/>
      </w:divBdr>
    </w:div>
    <w:div w:id="1366517617">
      <w:bodyDiv w:val="1"/>
      <w:marLeft w:val="0"/>
      <w:marRight w:val="0"/>
      <w:marTop w:val="0"/>
      <w:marBottom w:val="0"/>
      <w:divBdr>
        <w:top w:val="none" w:sz="0" w:space="0" w:color="auto"/>
        <w:left w:val="none" w:sz="0" w:space="0" w:color="auto"/>
        <w:bottom w:val="none" w:sz="0" w:space="0" w:color="auto"/>
        <w:right w:val="none" w:sz="0" w:space="0" w:color="auto"/>
      </w:divBdr>
    </w:div>
    <w:div w:id="1368481540">
      <w:bodyDiv w:val="1"/>
      <w:marLeft w:val="0"/>
      <w:marRight w:val="0"/>
      <w:marTop w:val="0"/>
      <w:marBottom w:val="0"/>
      <w:divBdr>
        <w:top w:val="none" w:sz="0" w:space="0" w:color="auto"/>
        <w:left w:val="none" w:sz="0" w:space="0" w:color="auto"/>
        <w:bottom w:val="none" w:sz="0" w:space="0" w:color="auto"/>
        <w:right w:val="none" w:sz="0" w:space="0" w:color="auto"/>
      </w:divBdr>
    </w:div>
    <w:div w:id="1368599129">
      <w:bodyDiv w:val="1"/>
      <w:marLeft w:val="0"/>
      <w:marRight w:val="0"/>
      <w:marTop w:val="0"/>
      <w:marBottom w:val="0"/>
      <w:divBdr>
        <w:top w:val="none" w:sz="0" w:space="0" w:color="auto"/>
        <w:left w:val="none" w:sz="0" w:space="0" w:color="auto"/>
        <w:bottom w:val="none" w:sz="0" w:space="0" w:color="auto"/>
        <w:right w:val="none" w:sz="0" w:space="0" w:color="auto"/>
      </w:divBdr>
    </w:div>
    <w:div w:id="1370186220">
      <w:bodyDiv w:val="1"/>
      <w:marLeft w:val="0"/>
      <w:marRight w:val="0"/>
      <w:marTop w:val="0"/>
      <w:marBottom w:val="0"/>
      <w:divBdr>
        <w:top w:val="none" w:sz="0" w:space="0" w:color="auto"/>
        <w:left w:val="none" w:sz="0" w:space="0" w:color="auto"/>
        <w:bottom w:val="none" w:sz="0" w:space="0" w:color="auto"/>
        <w:right w:val="none" w:sz="0" w:space="0" w:color="auto"/>
      </w:divBdr>
    </w:div>
    <w:div w:id="1370446383">
      <w:bodyDiv w:val="1"/>
      <w:marLeft w:val="0"/>
      <w:marRight w:val="0"/>
      <w:marTop w:val="0"/>
      <w:marBottom w:val="0"/>
      <w:divBdr>
        <w:top w:val="none" w:sz="0" w:space="0" w:color="auto"/>
        <w:left w:val="none" w:sz="0" w:space="0" w:color="auto"/>
        <w:bottom w:val="none" w:sz="0" w:space="0" w:color="auto"/>
        <w:right w:val="none" w:sz="0" w:space="0" w:color="auto"/>
      </w:divBdr>
    </w:div>
    <w:div w:id="1371809027">
      <w:bodyDiv w:val="1"/>
      <w:marLeft w:val="0"/>
      <w:marRight w:val="0"/>
      <w:marTop w:val="0"/>
      <w:marBottom w:val="0"/>
      <w:divBdr>
        <w:top w:val="none" w:sz="0" w:space="0" w:color="auto"/>
        <w:left w:val="none" w:sz="0" w:space="0" w:color="auto"/>
        <w:bottom w:val="none" w:sz="0" w:space="0" w:color="auto"/>
        <w:right w:val="none" w:sz="0" w:space="0" w:color="auto"/>
      </w:divBdr>
    </w:div>
    <w:div w:id="1371997349">
      <w:bodyDiv w:val="1"/>
      <w:marLeft w:val="0"/>
      <w:marRight w:val="0"/>
      <w:marTop w:val="0"/>
      <w:marBottom w:val="0"/>
      <w:divBdr>
        <w:top w:val="none" w:sz="0" w:space="0" w:color="auto"/>
        <w:left w:val="none" w:sz="0" w:space="0" w:color="auto"/>
        <w:bottom w:val="none" w:sz="0" w:space="0" w:color="auto"/>
        <w:right w:val="none" w:sz="0" w:space="0" w:color="auto"/>
      </w:divBdr>
    </w:div>
    <w:div w:id="1374235110">
      <w:bodyDiv w:val="1"/>
      <w:marLeft w:val="0"/>
      <w:marRight w:val="0"/>
      <w:marTop w:val="0"/>
      <w:marBottom w:val="0"/>
      <w:divBdr>
        <w:top w:val="none" w:sz="0" w:space="0" w:color="auto"/>
        <w:left w:val="none" w:sz="0" w:space="0" w:color="auto"/>
        <w:bottom w:val="none" w:sz="0" w:space="0" w:color="auto"/>
        <w:right w:val="none" w:sz="0" w:space="0" w:color="auto"/>
      </w:divBdr>
    </w:div>
    <w:div w:id="1374421430">
      <w:bodyDiv w:val="1"/>
      <w:marLeft w:val="0"/>
      <w:marRight w:val="0"/>
      <w:marTop w:val="0"/>
      <w:marBottom w:val="0"/>
      <w:divBdr>
        <w:top w:val="none" w:sz="0" w:space="0" w:color="auto"/>
        <w:left w:val="none" w:sz="0" w:space="0" w:color="auto"/>
        <w:bottom w:val="none" w:sz="0" w:space="0" w:color="auto"/>
        <w:right w:val="none" w:sz="0" w:space="0" w:color="auto"/>
      </w:divBdr>
    </w:div>
    <w:div w:id="1374496734">
      <w:bodyDiv w:val="1"/>
      <w:marLeft w:val="0"/>
      <w:marRight w:val="0"/>
      <w:marTop w:val="0"/>
      <w:marBottom w:val="0"/>
      <w:divBdr>
        <w:top w:val="none" w:sz="0" w:space="0" w:color="auto"/>
        <w:left w:val="none" w:sz="0" w:space="0" w:color="auto"/>
        <w:bottom w:val="none" w:sz="0" w:space="0" w:color="auto"/>
        <w:right w:val="none" w:sz="0" w:space="0" w:color="auto"/>
      </w:divBdr>
    </w:div>
    <w:div w:id="1376271400">
      <w:bodyDiv w:val="1"/>
      <w:marLeft w:val="0"/>
      <w:marRight w:val="0"/>
      <w:marTop w:val="0"/>
      <w:marBottom w:val="0"/>
      <w:divBdr>
        <w:top w:val="none" w:sz="0" w:space="0" w:color="auto"/>
        <w:left w:val="none" w:sz="0" w:space="0" w:color="auto"/>
        <w:bottom w:val="none" w:sz="0" w:space="0" w:color="auto"/>
        <w:right w:val="none" w:sz="0" w:space="0" w:color="auto"/>
      </w:divBdr>
    </w:div>
    <w:div w:id="1376656787">
      <w:bodyDiv w:val="1"/>
      <w:marLeft w:val="0"/>
      <w:marRight w:val="0"/>
      <w:marTop w:val="0"/>
      <w:marBottom w:val="0"/>
      <w:divBdr>
        <w:top w:val="none" w:sz="0" w:space="0" w:color="auto"/>
        <w:left w:val="none" w:sz="0" w:space="0" w:color="auto"/>
        <w:bottom w:val="none" w:sz="0" w:space="0" w:color="auto"/>
        <w:right w:val="none" w:sz="0" w:space="0" w:color="auto"/>
      </w:divBdr>
    </w:div>
    <w:div w:id="1376661036">
      <w:bodyDiv w:val="1"/>
      <w:marLeft w:val="0"/>
      <w:marRight w:val="0"/>
      <w:marTop w:val="0"/>
      <w:marBottom w:val="0"/>
      <w:divBdr>
        <w:top w:val="none" w:sz="0" w:space="0" w:color="auto"/>
        <w:left w:val="none" w:sz="0" w:space="0" w:color="auto"/>
        <w:bottom w:val="none" w:sz="0" w:space="0" w:color="auto"/>
        <w:right w:val="none" w:sz="0" w:space="0" w:color="auto"/>
      </w:divBdr>
    </w:div>
    <w:div w:id="1377194675">
      <w:bodyDiv w:val="1"/>
      <w:marLeft w:val="0"/>
      <w:marRight w:val="0"/>
      <w:marTop w:val="0"/>
      <w:marBottom w:val="0"/>
      <w:divBdr>
        <w:top w:val="none" w:sz="0" w:space="0" w:color="auto"/>
        <w:left w:val="none" w:sz="0" w:space="0" w:color="auto"/>
        <w:bottom w:val="none" w:sz="0" w:space="0" w:color="auto"/>
        <w:right w:val="none" w:sz="0" w:space="0" w:color="auto"/>
      </w:divBdr>
    </w:div>
    <w:div w:id="1378700982">
      <w:bodyDiv w:val="1"/>
      <w:marLeft w:val="0"/>
      <w:marRight w:val="0"/>
      <w:marTop w:val="0"/>
      <w:marBottom w:val="0"/>
      <w:divBdr>
        <w:top w:val="none" w:sz="0" w:space="0" w:color="auto"/>
        <w:left w:val="none" w:sz="0" w:space="0" w:color="auto"/>
        <w:bottom w:val="none" w:sz="0" w:space="0" w:color="auto"/>
        <w:right w:val="none" w:sz="0" w:space="0" w:color="auto"/>
      </w:divBdr>
    </w:div>
    <w:div w:id="1380084542">
      <w:bodyDiv w:val="1"/>
      <w:marLeft w:val="0"/>
      <w:marRight w:val="0"/>
      <w:marTop w:val="0"/>
      <w:marBottom w:val="0"/>
      <w:divBdr>
        <w:top w:val="none" w:sz="0" w:space="0" w:color="auto"/>
        <w:left w:val="none" w:sz="0" w:space="0" w:color="auto"/>
        <w:bottom w:val="none" w:sz="0" w:space="0" w:color="auto"/>
        <w:right w:val="none" w:sz="0" w:space="0" w:color="auto"/>
      </w:divBdr>
    </w:div>
    <w:div w:id="1380860922">
      <w:bodyDiv w:val="1"/>
      <w:marLeft w:val="0"/>
      <w:marRight w:val="0"/>
      <w:marTop w:val="0"/>
      <w:marBottom w:val="0"/>
      <w:divBdr>
        <w:top w:val="none" w:sz="0" w:space="0" w:color="auto"/>
        <w:left w:val="none" w:sz="0" w:space="0" w:color="auto"/>
        <w:bottom w:val="none" w:sz="0" w:space="0" w:color="auto"/>
        <w:right w:val="none" w:sz="0" w:space="0" w:color="auto"/>
      </w:divBdr>
    </w:div>
    <w:div w:id="1381250987">
      <w:bodyDiv w:val="1"/>
      <w:marLeft w:val="0"/>
      <w:marRight w:val="0"/>
      <w:marTop w:val="0"/>
      <w:marBottom w:val="0"/>
      <w:divBdr>
        <w:top w:val="none" w:sz="0" w:space="0" w:color="auto"/>
        <w:left w:val="none" w:sz="0" w:space="0" w:color="auto"/>
        <w:bottom w:val="none" w:sz="0" w:space="0" w:color="auto"/>
        <w:right w:val="none" w:sz="0" w:space="0" w:color="auto"/>
      </w:divBdr>
    </w:div>
    <w:div w:id="1381323096">
      <w:bodyDiv w:val="1"/>
      <w:marLeft w:val="0"/>
      <w:marRight w:val="0"/>
      <w:marTop w:val="0"/>
      <w:marBottom w:val="0"/>
      <w:divBdr>
        <w:top w:val="none" w:sz="0" w:space="0" w:color="auto"/>
        <w:left w:val="none" w:sz="0" w:space="0" w:color="auto"/>
        <w:bottom w:val="none" w:sz="0" w:space="0" w:color="auto"/>
        <w:right w:val="none" w:sz="0" w:space="0" w:color="auto"/>
      </w:divBdr>
    </w:div>
    <w:div w:id="1381395536">
      <w:bodyDiv w:val="1"/>
      <w:marLeft w:val="0"/>
      <w:marRight w:val="0"/>
      <w:marTop w:val="0"/>
      <w:marBottom w:val="0"/>
      <w:divBdr>
        <w:top w:val="none" w:sz="0" w:space="0" w:color="auto"/>
        <w:left w:val="none" w:sz="0" w:space="0" w:color="auto"/>
        <w:bottom w:val="none" w:sz="0" w:space="0" w:color="auto"/>
        <w:right w:val="none" w:sz="0" w:space="0" w:color="auto"/>
      </w:divBdr>
    </w:div>
    <w:div w:id="1382630514">
      <w:bodyDiv w:val="1"/>
      <w:marLeft w:val="0"/>
      <w:marRight w:val="0"/>
      <w:marTop w:val="0"/>
      <w:marBottom w:val="0"/>
      <w:divBdr>
        <w:top w:val="none" w:sz="0" w:space="0" w:color="auto"/>
        <w:left w:val="none" w:sz="0" w:space="0" w:color="auto"/>
        <w:bottom w:val="none" w:sz="0" w:space="0" w:color="auto"/>
        <w:right w:val="none" w:sz="0" w:space="0" w:color="auto"/>
      </w:divBdr>
    </w:div>
    <w:div w:id="1385443348">
      <w:bodyDiv w:val="1"/>
      <w:marLeft w:val="0"/>
      <w:marRight w:val="0"/>
      <w:marTop w:val="0"/>
      <w:marBottom w:val="0"/>
      <w:divBdr>
        <w:top w:val="none" w:sz="0" w:space="0" w:color="auto"/>
        <w:left w:val="none" w:sz="0" w:space="0" w:color="auto"/>
        <w:bottom w:val="none" w:sz="0" w:space="0" w:color="auto"/>
        <w:right w:val="none" w:sz="0" w:space="0" w:color="auto"/>
      </w:divBdr>
    </w:div>
    <w:div w:id="1385837971">
      <w:bodyDiv w:val="1"/>
      <w:marLeft w:val="0"/>
      <w:marRight w:val="0"/>
      <w:marTop w:val="0"/>
      <w:marBottom w:val="0"/>
      <w:divBdr>
        <w:top w:val="none" w:sz="0" w:space="0" w:color="auto"/>
        <w:left w:val="none" w:sz="0" w:space="0" w:color="auto"/>
        <w:bottom w:val="none" w:sz="0" w:space="0" w:color="auto"/>
        <w:right w:val="none" w:sz="0" w:space="0" w:color="auto"/>
      </w:divBdr>
    </w:div>
    <w:div w:id="1386102650">
      <w:bodyDiv w:val="1"/>
      <w:marLeft w:val="0"/>
      <w:marRight w:val="0"/>
      <w:marTop w:val="0"/>
      <w:marBottom w:val="0"/>
      <w:divBdr>
        <w:top w:val="none" w:sz="0" w:space="0" w:color="auto"/>
        <w:left w:val="none" w:sz="0" w:space="0" w:color="auto"/>
        <w:bottom w:val="none" w:sz="0" w:space="0" w:color="auto"/>
        <w:right w:val="none" w:sz="0" w:space="0" w:color="auto"/>
      </w:divBdr>
    </w:div>
    <w:div w:id="1386442285">
      <w:bodyDiv w:val="1"/>
      <w:marLeft w:val="0"/>
      <w:marRight w:val="0"/>
      <w:marTop w:val="0"/>
      <w:marBottom w:val="0"/>
      <w:divBdr>
        <w:top w:val="none" w:sz="0" w:space="0" w:color="auto"/>
        <w:left w:val="none" w:sz="0" w:space="0" w:color="auto"/>
        <w:bottom w:val="none" w:sz="0" w:space="0" w:color="auto"/>
        <w:right w:val="none" w:sz="0" w:space="0" w:color="auto"/>
      </w:divBdr>
    </w:div>
    <w:div w:id="1388454536">
      <w:bodyDiv w:val="1"/>
      <w:marLeft w:val="0"/>
      <w:marRight w:val="0"/>
      <w:marTop w:val="0"/>
      <w:marBottom w:val="0"/>
      <w:divBdr>
        <w:top w:val="none" w:sz="0" w:space="0" w:color="auto"/>
        <w:left w:val="none" w:sz="0" w:space="0" w:color="auto"/>
        <w:bottom w:val="none" w:sz="0" w:space="0" w:color="auto"/>
        <w:right w:val="none" w:sz="0" w:space="0" w:color="auto"/>
      </w:divBdr>
    </w:div>
    <w:div w:id="1389114857">
      <w:bodyDiv w:val="1"/>
      <w:marLeft w:val="0"/>
      <w:marRight w:val="0"/>
      <w:marTop w:val="0"/>
      <w:marBottom w:val="0"/>
      <w:divBdr>
        <w:top w:val="none" w:sz="0" w:space="0" w:color="auto"/>
        <w:left w:val="none" w:sz="0" w:space="0" w:color="auto"/>
        <w:bottom w:val="none" w:sz="0" w:space="0" w:color="auto"/>
        <w:right w:val="none" w:sz="0" w:space="0" w:color="auto"/>
      </w:divBdr>
    </w:div>
    <w:div w:id="1389303260">
      <w:bodyDiv w:val="1"/>
      <w:marLeft w:val="0"/>
      <w:marRight w:val="0"/>
      <w:marTop w:val="0"/>
      <w:marBottom w:val="0"/>
      <w:divBdr>
        <w:top w:val="none" w:sz="0" w:space="0" w:color="auto"/>
        <w:left w:val="none" w:sz="0" w:space="0" w:color="auto"/>
        <w:bottom w:val="none" w:sz="0" w:space="0" w:color="auto"/>
        <w:right w:val="none" w:sz="0" w:space="0" w:color="auto"/>
      </w:divBdr>
    </w:div>
    <w:div w:id="1390034407">
      <w:bodyDiv w:val="1"/>
      <w:marLeft w:val="0"/>
      <w:marRight w:val="0"/>
      <w:marTop w:val="0"/>
      <w:marBottom w:val="0"/>
      <w:divBdr>
        <w:top w:val="none" w:sz="0" w:space="0" w:color="auto"/>
        <w:left w:val="none" w:sz="0" w:space="0" w:color="auto"/>
        <w:bottom w:val="none" w:sz="0" w:space="0" w:color="auto"/>
        <w:right w:val="none" w:sz="0" w:space="0" w:color="auto"/>
      </w:divBdr>
    </w:div>
    <w:div w:id="1391002624">
      <w:bodyDiv w:val="1"/>
      <w:marLeft w:val="0"/>
      <w:marRight w:val="0"/>
      <w:marTop w:val="0"/>
      <w:marBottom w:val="0"/>
      <w:divBdr>
        <w:top w:val="none" w:sz="0" w:space="0" w:color="auto"/>
        <w:left w:val="none" w:sz="0" w:space="0" w:color="auto"/>
        <w:bottom w:val="none" w:sz="0" w:space="0" w:color="auto"/>
        <w:right w:val="none" w:sz="0" w:space="0" w:color="auto"/>
      </w:divBdr>
    </w:div>
    <w:div w:id="1394423204">
      <w:bodyDiv w:val="1"/>
      <w:marLeft w:val="0"/>
      <w:marRight w:val="0"/>
      <w:marTop w:val="0"/>
      <w:marBottom w:val="0"/>
      <w:divBdr>
        <w:top w:val="none" w:sz="0" w:space="0" w:color="auto"/>
        <w:left w:val="none" w:sz="0" w:space="0" w:color="auto"/>
        <w:bottom w:val="none" w:sz="0" w:space="0" w:color="auto"/>
        <w:right w:val="none" w:sz="0" w:space="0" w:color="auto"/>
      </w:divBdr>
    </w:div>
    <w:div w:id="1394498360">
      <w:bodyDiv w:val="1"/>
      <w:marLeft w:val="0"/>
      <w:marRight w:val="0"/>
      <w:marTop w:val="0"/>
      <w:marBottom w:val="0"/>
      <w:divBdr>
        <w:top w:val="none" w:sz="0" w:space="0" w:color="auto"/>
        <w:left w:val="none" w:sz="0" w:space="0" w:color="auto"/>
        <w:bottom w:val="none" w:sz="0" w:space="0" w:color="auto"/>
        <w:right w:val="none" w:sz="0" w:space="0" w:color="auto"/>
      </w:divBdr>
    </w:div>
    <w:div w:id="1395811976">
      <w:bodyDiv w:val="1"/>
      <w:marLeft w:val="0"/>
      <w:marRight w:val="0"/>
      <w:marTop w:val="0"/>
      <w:marBottom w:val="0"/>
      <w:divBdr>
        <w:top w:val="none" w:sz="0" w:space="0" w:color="auto"/>
        <w:left w:val="none" w:sz="0" w:space="0" w:color="auto"/>
        <w:bottom w:val="none" w:sz="0" w:space="0" w:color="auto"/>
        <w:right w:val="none" w:sz="0" w:space="0" w:color="auto"/>
      </w:divBdr>
    </w:div>
    <w:div w:id="1396507823">
      <w:bodyDiv w:val="1"/>
      <w:marLeft w:val="0"/>
      <w:marRight w:val="0"/>
      <w:marTop w:val="0"/>
      <w:marBottom w:val="0"/>
      <w:divBdr>
        <w:top w:val="none" w:sz="0" w:space="0" w:color="auto"/>
        <w:left w:val="none" w:sz="0" w:space="0" w:color="auto"/>
        <w:bottom w:val="none" w:sz="0" w:space="0" w:color="auto"/>
        <w:right w:val="none" w:sz="0" w:space="0" w:color="auto"/>
      </w:divBdr>
    </w:div>
    <w:div w:id="1397169748">
      <w:bodyDiv w:val="1"/>
      <w:marLeft w:val="0"/>
      <w:marRight w:val="0"/>
      <w:marTop w:val="0"/>
      <w:marBottom w:val="0"/>
      <w:divBdr>
        <w:top w:val="none" w:sz="0" w:space="0" w:color="auto"/>
        <w:left w:val="none" w:sz="0" w:space="0" w:color="auto"/>
        <w:bottom w:val="none" w:sz="0" w:space="0" w:color="auto"/>
        <w:right w:val="none" w:sz="0" w:space="0" w:color="auto"/>
      </w:divBdr>
    </w:div>
    <w:div w:id="1397315289">
      <w:bodyDiv w:val="1"/>
      <w:marLeft w:val="0"/>
      <w:marRight w:val="0"/>
      <w:marTop w:val="0"/>
      <w:marBottom w:val="0"/>
      <w:divBdr>
        <w:top w:val="none" w:sz="0" w:space="0" w:color="auto"/>
        <w:left w:val="none" w:sz="0" w:space="0" w:color="auto"/>
        <w:bottom w:val="none" w:sz="0" w:space="0" w:color="auto"/>
        <w:right w:val="none" w:sz="0" w:space="0" w:color="auto"/>
      </w:divBdr>
    </w:div>
    <w:div w:id="1397389839">
      <w:bodyDiv w:val="1"/>
      <w:marLeft w:val="0"/>
      <w:marRight w:val="0"/>
      <w:marTop w:val="0"/>
      <w:marBottom w:val="0"/>
      <w:divBdr>
        <w:top w:val="none" w:sz="0" w:space="0" w:color="auto"/>
        <w:left w:val="none" w:sz="0" w:space="0" w:color="auto"/>
        <w:bottom w:val="none" w:sz="0" w:space="0" w:color="auto"/>
        <w:right w:val="none" w:sz="0" w:space="0" w:color="auto"/>
      </w:divBdr>
    </w:div>
    <w:div w:id="1397582191">
      <w:bodyDiv w:val="1"/>
      <w:marLeft w:val="0"/>
      <w:marRight w:val="0"/>
      <w:marTop w:val="0"/>
      <w:marBottom w:val="0"/>
      <w:divBdr>
        <w:top w:val="none" w:sz="0" w:space="0" w:color="auto"/>
        <w:left w:val="none" w:sz="0" w:space="0" w:color="auto"/>
        <w:bottom w:val="none" w:sz="0" w:space="0" w:color="auto"/>
        <w:right w:val="none" w:sz="0" w:space="0" w:color="auto"/>
      </w:divBdr>
    </w:div>
    <w:div w:id="1399942865">
      <w:bodyDiv w:val="1"/>
      <w:marLeft w:val="0"/>
      <w:marRight w:val="0"/>
      <w:marTop w:val="0"/>
      <w:marBottom w:val="0"/>
      <w:divBdr>
        <w:top w:val="none" w:sz="0" w:space="0" w:color="auto"/>
        <w:left w:val="none" w:sz="0" w:space="0" w:color="auto"/>
        <w:bottom w:val="none" w:sz="0" w:space="0" w:color="auto"/>
        <w:right w:val="none" w:sz="0" w:space="0" w:color="auto"/>
      </w:divBdr>
    </w:div>
    <w:div w:id="1400784206">
      <w:bodyDiv w:val="1"/>
      <w:marLeft w:val="0"/>
      <w:marRight w:val="0"/>
      <w:marTop w:val="0"/>
      <w:marBottom w:val="0"/>
      <w:divBdr>
        <w:top w:val="none" w:sz="0" w:space="0" w:color="auto"/>
        <w:left w:val="none" w:sz="0" w:space="0" w:color="auto"/>
        <w:bottom w:val="none" w:sz="0" w:space="0" w:color="auto"/>
        <w:right w:val="none" w:sz="0" w:space="0" w:color="auto"/>
      </w:divBdr>
    </w:div>
    <w:div w:id="1402406214">
      <w:bodyDiv w:val="1"/>
      <w:marLeft w:val="0"/>
      <w:marRight w:val="0"/>
      <w:marTop w:val="0"/>
      <w:marBottom w:val="0"/>
      <w:divBdr>
        <w:top w:val="none" w:sz="0" w:space="0" w:color="auto"/>
        <w:left w:val="none" w:sz="0" w:space="0" w:color="auto"/>
        <w:bottom w:val="none" w:sz="0" w:space="0" w:color="auto"/>
        <w:right w:val="none" w:sz="0" w:space="0" w:color="auto"/>
      </w:divBdr>
    </w:div>
    <w:div w:id="1403328788">
      <w:bodyDiv w:val="1"/>
      <w:marLeft w:val="0"/>
      <w:marRight w:val="0"/>
      <w:marTop w:val="0"/>
      <w:marBottom w:val="0"/>
      <w:divBdr>
        <w:top w:val="none" w:sz="0" w:space="0" w:color="auto"/>
        <w:left w:val="none" w:sz="0" w:space="0" w:color="auto"/>
        <w:bottom w:val="none" w:sz="0" w:space="0" w:color="auto"/>
        <w:right w:val="none" w:sz="0" w:space="0" w:color="auto"/>
      </w:divBdr>
    </w:div>
    <w:div w:id="1404837749">
      <w:bodyDiv w:val="1"/>
      <w:marLeft w:val="0"/>
      <w:marRight w:val="0"/>
      <w:marTop w:val="0"/>
      <w:marBottom w:val="0"/>
      <w:divBdr>
        <w:top w:val="none" w:sz="0" w:space="0" w:color="auto"/>
        <w:left w:val="none" w:sz="0" w:space="0" w:color="auto"/>
        <w:bottom w:val="none" w:sz="0" w:space="0" w:color="auto"/>
        <w:right w:val="none" w:sz="0" w:space="0" w:color="auto"/>
      </w:divBdr>
    </w:div>
    <w:div w:id="1405183434">
      <w:bodyDiv w:val="1"/>
      <w:marLeft w:val="0"/>
      <w:marRight w:val="0"/>
      <w:marTop w:val="0"/>
      <w:marBottom w:val="0"/>
      <w:divBdr>
        <w:top w:val="none" w:sz="0" w:space="0" w:color="auto"/>
        <w:left w:val="none" w:sz="0" w:space="0" w:color="auto"/>
        <w:bottom w:val="none" w:sz="0" w:space="0" w:color="auto"/>
        <w:right w:val="none" w:sz="0" w:space="0" w:color="auto"/>
      </w:divBdr>
    </w:div>
    <w:div w:id="1406754914">
      <w:bodyDiv w:val="1"/>
      <w:marLeft w:val="0"/>
      <w:marRight w:val="0"/>
      <w:marTop w:val="0"/>
      <w:marBottom w:val="0"/>
      <w:divBdr>
        <w:top w:val="none" w:sz="0" w:space="0" w:color="auto"/>
        <w:left w:val="none" w:sz="0" w:space="0" w:color="auto"/>
        <w:bottom w:val="none" w:sz="0" w:space="0" w:color="auto"/>
        <w:right w:val="none" w:sz="0" w:space="0" w:color="auto"/>
      </w:divBdr>
    </w:div>
    <w:div w:id="1407725991">
      <w:bodyDiv w:val="1"/>
      <w:marLeft w:val="0"/>
      <w:marRight w:val="0"/>
      <w:marTop w:val="0"/>
      <w:marBottom w:val="0"/>
      <w:divBdr>
        <w:top w:val="none" w:sz="0" w:space="0" w:color="auto"/>
        <w:left w:val="none" w:sz="0" w:space="0" w:color="auto"/>
        <w:bottom w:val="none" w:sz="0" w:space="0" w:color="auto"/>
        <w:right w:val="none" w:sz="0" w:space="0" w:color="auto"/>
      </w:divBdr>
    </w:div>
    <w:div w:id="1409766998">
      <w:bodyDiv w:val="1"/>
      <w:marLeft w:val="0"/>
      <w:marRight w:val="0"/>
      <w:marTop w:val="0"/>
      <w:marBottom w:val="0"/>
      <w:divBdr>
        <w:top w:val="none" w:sz="0" w:space="0" w:color="auto"/>
        <w:left w:val="none" w:sz="0" w:space="0" w:color="auto"/>
        <w:bottom w:val="none" w:sz="0" w:space="0" w:color="auto"/>
        <w:right w:val="none" w:sz="0" w:space="0" w:color="auto"/>
      </w:divBdr>
    </w:div>
    <w:div w:id="1410152536">
      <w:bodyDiv w:val="1"/>
      <w:marLeft w:val="0"/>
      <w:marRight w:val="0"/>
      <w:marTop w:val="0"/>
      <w:marBottom w:val="0"/>
      <w:divBdr>
        <w:top w:val="none" w:sz="0" w:space="0" w:color="auto"/>
        <w:left w:val="none" w:sz="0" w:space="0" w:color="auto"/>
        <w:bottom w:val="none" w:sz="0" w:space="0" w:color="auto"/>
        <w:right w:val="none" w:sz="0" w:space="0" w:color="auto"/>
      </w:divBdr>
    </w:div>
    <w:div w:id="1410688622">
      <w:bodyDiv w:val="1"/>
      <w:marLeft w:val="0"/>
      <w:marRight w:val="0"/>
      <w:marTop w:val="0"/>
      <w:marBottom w:val="0"/>
      <w:divBdr>
        <w:top w:val="none" w:sz="0" w:space="0" w:color="auto"/>
        <w:left w:val="none" w:sz="0" w:space="0" w:color="auto"/>
        <w:bottom w:val="none" w:sz="0" w:space="0" w:color="auto"/>
        <w:right w:val="none" w:sz="0" w:space="0" w:color="auto"/>
      </w:divBdr>
    </w:div>
    <w:div w:id="1413703628">
      <w:bodyDiv w:val="1"/>
      <w:marLeft w:val="0"/>
      <w:marRight w:val="0"/>
      <w:marTop w:val="0"/>
      <w:marBottom w:val="0"/>
      <w:divBdr>
        <w:top w:val="none" w:sz="0" w:space="0" w:color="auto"/>
        <w:left w:val="none" w:sz="0" w:space="0" w:color="auto"/>
        <w:bottom w:val="none" w:sz="0" w:space="0" w:color="auto"/>
        <w:right w:val="none" w:sz="0" w:space="0" w:color="auto"/>
      </w:divBdr>
    </w:div>
    <w:div w:id="1414156390">
      <w:bodyDiv w:val="1"/>
      <w:marLeft w:val="0"/>
      <w:marRight w:val="0"/>
      <w:marTop w:val="0"/>
      <w:marBottom w:val="0"/>
      <w:divBdr>
        <w:top w:val="none" w:sz="0" w:space="0" w:color="auto"/>
        <w:left w:val="none" w:sz="0" w:space="0" w:color="auto"/>
        <w:bottom w:val="none" w:sz="0" w:space="0" w:color="auto"/>
        <w:right w:val="none" w:sz="0" w:space="0" w:color="auto"/>
      </w:divBdr>
    </w:div>
    <w:div w:id="1414619420">
      <w:bodyDiv w:val="1"/>
      <w:marLeft w:val="0"/>
      <w:marRight w:val="0"/>
      <w:marTop w:val="0"/>
      <w:marBottom w:val="0"/>
      <w:divBdr>
        <w:top w:val="none" w:sz="0" w:space="0" w:color="auto"/>
        <w:left w:val="none" w:sz="0" w:space="0" w:color="auto"/>
        <w:bottom w:val="none" w:sz="0" w:space="0" w:color="auto"/>
        <w:right w:val="none" w:sz="0" w:space="0" w:color="auto"/>
      </w:divBdr>
    </w:div>
    <w:div w:id="1414665240">
      <w:bodyDiv w:val="1"/>
      <w:marLeft w:val="0"/>
      <w:marRight w:val="0"/>
      <w:marTop w:val="0"/>
      <w:marBottom w:val="0"/>
      <w:divBdr>
        <w:top w:val="none" w:sz="0" w:space="0" w:color="auto"/>
        <w:left w:val="none" w:sz="0" w:space="0" w:color="auto"/>
        <w:bottom w:val="none" w:sz="0" w:space="0" w:color="auto"/>
        <w:right w:val="none" w:sz="0" w:space="0" w:color="auto"/>
      </w:divBdr>
    </w:div>
    <w:div w:id="1415518321">
      <w:bodyDiv w:val="1"/>
      <w:marLeft w:val="0"/>
      <w:marRight w:val="0"/>
      <w:marTop w:val="0"/>
      <w:marBottom w:val="0"/>
      <w:divBdr>
        <w:top w:val="none" w:sz="0" w:space="0" w:color="auto"/>
        <w:left w:val="none" w:sz="0" w:space="0" w:color="auto"/>
        <w:bottom w:val="none" w:sz="0" w:space="0" w:color="auto"/>
        <w:right w:val="none" w:sz="0" w:space="0" w:color="auto"/>
      </w:divBdr>
    </w:div>
    <w:div w:id="1415937755">
      <w:bodyDiv w:val="1"/>
      <w:marLeft w:val="0"/>
      <w:marRight w:val="0"/>
      <w:marTop w:val="0"/>
      <w:marBottom w:val="0"/>
      <w:divBdr>
        <w:top w:val="none" w:sz="0" w:space="0" w:color="auto"/>
        <w:left w:val="none" w:sz="0" w:space="0" w:color="auto"/>
        <w:bottom w:val="none" w:sz="0" w:space="0" w:color="auto"/>
        <w:right w:val="none" w:sz="0" w:space="0" w:color="auto"/>
      </w:divBdr>
    </w:div>
    <w:div w:id="1415973311">
      <w:bodyDiv w:val="1"/>
      <w:marLeft w:val="0"/>
      <w:marRight w:val="0"/>
      <w:marTop w:val="0"/>
      <w:marBottom w:val="0"/>
      <w:divBdr>
        <w:top w:val="none" w:sz="0" w:space="0" w:color="auto"/>
        <w:left w:val="none" w:sz="0" w:space="0" w:color="auto"/>
        <w:bottom w:val="none" w:sz="0" w:space="0" w:color="auto"/>
        <w:right w:val="none" w:sz="0" w:space="0" w:color="auto"/>
      </w:divBdr>
    </w:div>
    <w:div w:id="1416241498">
      <w:bodyDiv w:val="1"/>
      <w:marLeft w:val="0"/>
      <w:marRight w:val="0"/>
      <w:marTop w:val="0"/>
      <w:marBottom w:val="0"/>
      <w:divBdr>
        <w:top w:val="none" w:sz="0" w:space="0" w:color="auto"/>
        <w:left w:val="none" w:sz="0" w:space="0" w:color="auto"/>
        <w:bottom w:val="none" w:sz="0" w:space="0" w:color="auto"/>
        <w:right w:val="none" w:sz="0" w:space="0" w:color="auto"/>
      </w:divBdr>
    </w:div>
    <w:div w:id="1416367467">
      <w:bodyDiv w:val="1"/>
      <w:marLeft w:val="0"/>
      <w:marRight w:val="0"/>
      <w:marTop w:val="0"/>
      <w:marBottom w:val="0"/>
      <w:divBdr>
        <w:top w:val="none" w:sz="0" w:space="0" w:color="auto"/>
        <w:left w:val="none" w:sz="0" w:space="0" w:color="auto"/>
        <w:bottom w:val="none" w:sz="0" w:space="0" w:color="auto"/>
        <w:right w:val="none" w:sz="0" w:space="0" w:color="auto"/>
      </w:divBdr>
    </w:div>
    <w:div w:id="1417819406">
      <w:bodyDiv w:val="1"/>
      <w:marLeft w:val="0"/>
      <w:marRight w:val="0"/>
      <w:marTop w:val="0"/>
      <w:marBottom w:val="0"/>
      <w:divBdr>
        <w:top w:val="none" w:sz="0" w:space="0" w:color="auto"/>
        <w:left w:val="none" w:sz="0" w:space="0" w:color="auto"/>
        <w:bottom w:val="none" w:sz="0" w:space="0" w:color="auto"/>
        <w:right w:val="none" w:sz="0" w:space="0" w:color="auto"/>
      </w:divBdr>
    </w:div>
    <w:div w:id="1417821662">
      <w:bodyDiv w:val="1"/>
      <w:marLeft w:val="0"/>
      <w:marRight w:val="0"/>
      <w:marTop w:val="0"/>
      <w:marBottom w:val="0"/>
      <w:divBdr>
        <w:top w:val="none" w:sz="0" w:space="0" w:color="auto"/>
        <w:left w:val="none" w:sz="0" w:space="0" w:color="auto"/>
        <w:bottom w:val="none" w:sz="0" w:space="0" w:color="auto"/>
        <w:right w:val="none" w:sz="0" w:space="0" w:color="auto"/>
      </w:divBdr>
    </w:div>
    <w:div w:id="1419400621">
      <w:bodyDiv w:val="1"/>
      <w:marLeft w:val="0"/>
      <w:marRight w:val="0"/>
      <w:marTop w:val="0"/>
      <w:marBottom w:val="0"/>
      <w:divBdr>
        <w:top w:val="none" w:sz="0" w:space="0" w:color="auto"/>
        <w:left w:val="none" w:sz="0" w:space="0" w:color="auto"/>
        <w:bottom w:val="none" w:sz="0" w:space="0" w:color="auto"/>
        <w:right w:val="none" w:sz="0" w:space="0" w:color="auto"/>
      </w:divBdr>
    </w:div>
    <w:div w:id="1420710074">
      <w:bodyDiv w:val="1"/>
      <w:marLeft w:val="0"/>
      <w:marRight w:val="0"/>
      <w:marTop w:val="0"/>
      <w:marBottom w:val="0"/>
      <w:divBdr>
        <w:top w:val="none" w:sz="0" w:space="0" w:color="auto"/>
        <w:left w:val="none" w:sz="0" w:space="0" w:color="auto"/>
        <w:bottom w:val="none" w:sz="0" w:space="0" w:color="auto"/>
        <w:right w:val="none" w:sz="0" w:space="0" w:color="auto"/>
      </w:divBdr>
    </w:div>
    <w:div w:id="1422214266">
      <w:bodyDiv w:val="1"/>
      <w:marLeft w:val="0"/>
      <w:marRight w:val="0"/>
      <w:marTop w:val="0"/>
      <w:marBottom w:val="0"/>
      <w:divBdr>
        <w:top w:val="none" w:sz="0" w:space="0" w:color="auto"/>
        <w:left w:val="none" w:sz="0" w:space="0" w:color="auto"/>
        <w:bottom w:val="none" w:sz="0" w:space="0" w:color="auto"/>
        <w:right w:val="none" w:sz="0" w:space="0" w:color="auto"/>
      </w:divBdr>
    </w:div>
    <w:div w:id="1422603447">
      <w:bodyDiv w:val="1"/>
      <w:marLeft w:val="0"/>
      <w:marRight w:val="0"/>
      <w:marTop w:val="0"/>
      <w:marBottom w:val="0"/>
      <w:divBdr>
        <w:top w:val="none" w:sz="0" w:space="0" w:color="auto"/>
        <w:left w:val="none" w:sz="0" w:space="0" w:color="auto"/>
        <w:bottom w:val="none" w:sz="0" w:space="0" w:color="auto"/>
        <w:right w:val="none" w:sz="0" w:space="0" w:color="auto"/>
      </w:divBdr>
    </w:div>
    <w:div w:id="1422986089">
      <w:bodyDiv w:val="1"/>
      <w:marLeft w:val="0"/>
      <w:marRight w:val="0"/>
      <w:marTop w:val="0"/>
      <w:marBottom w:val="0"/>
      <w:divBdr>
        <w:top w:val="none" w:sz="0" w:space="0" w:color="auto"/>
        <w:left w:val="none" w:sz="0" w:space="0" w:color="auto"/>
        <w:bottom w:val="none" w:sz="0" w:space="0" w:color="auto"/>
        <w:right w:val="none" w:sz="0" w:space="0" w:color="auto"/>
      </w:divBdr>
    </w:div>
    <w:div w:id="1423910374">
      <w:bodyDiv w:val="1"/>
      <w:marLeft w:val="0"/>
      <w:marRight w:val="0"/>
      <w:marTop w:val="0"/>
      <w:marBottom w:val="0"/>
      <w:divBdr>
        <w:top w:val="none" w:sz="0" w:space="0" w:color="auto"/>
        <w:left w:val="none" w:sz="0" w:space="0" w:color="auto"/>
        <w:bottom w:val="none" w:sz="0" w:space="0" w:color="auto"/>
        <w:right w:val="none" w:sz="0" w:space="0" w:color="auto"/>
      </w:divBdr>
    </w:div>
    <w:div w:id="1424109544">
      <w:bodyDiv w:val="1"/>
      <w:marLeft w:val="0"/>
      <w:marRight w:val="0"/>
      <w:marTop w:val="0"/>
      <w:marBottom w:val="0"/>
      <w:divBdr>
        <w:top w:val="none" w:sz="0" w:space="0" w:color="auto"/>
        <w:left w:val="none" w:sz="0" w:space="0" w:color="auto"/>
        <w:bottom w:val="none" w:sz="0" w:space="0" w:color="auto"/>
        <w:right w:val="none" w:sz="0" w:space="0" w:color="auto"/>
      </w:divBdr>
    </w:div>
    <w:div w:id="1424691340">
      <w:bodyDiv w:val="1"/>
      <w:marLeft w:val="0"/>
      <w:marRight w:val="0"/>
      <w:marTop w:val="0"/>
      <w:marBottom w:val="0"/>
      <w:divBdr>
        <w:top w:val="none" w:sz="0" w:space="0" w:color="auto"/>
        <w:left w:val="none" w:sz="0" w:space="0" w:color="auto"/>
        <w:bottom w:val="none" w:sz="0" w:space="0" w:color="auto"/>
        <w:right w:val="none" w:sz="0" w:space="0" w:color="auto"/>
      </w:divBdr>
    </w:div>
    <w:div w:id="1424765749">
      <w:bodyDiv w:val="1"/>
      <w:marLeft w:val="0"/>
      <w:marRight w:val="0"/>
      <w:marTop w:val="0"/>
      <w:marBottom w:val="0"/>
      <w:divBdr>
        <w:top w:val="none" w:sz="0" w:space="0" w:color="auto"/>
        <w:left w:val="none" w:sz="0" w:space="0" w:color="auto"/>
        <w:bottom w:val="none" w:sz="0" w:space="0" w:color="auto"/>
        <w:right w:val="none" w:sz="0" w:space="0" w:color="auto"/>
      </w:divBdr>
    </w:div>
    <w:div w:id="1426225456">
      <w:bodyDiv w:val="1"/>
      <w:marLeft w:val="0"/>
      <w:marRight w:val="0"/>
      <w:marTop w:val="0"/>
      <w:marBottom w:val="0"/>
      <w:divBdr>
        <w:top w:val="none" w:sz="0" w:space="0" w:color="auto"/>
        <w:left w:val="none" w:sz="0" w:space="0" w:color="auto"/>
        <w:bottom w:val="none" w:sz="0" w:space="0" w:color="auto"/>
        <w:right w:val="none" w:sz="0" w:space="0" w:color="auto"/>
      </w:divBdr>
    </w:div>
    <w:div w:id="1426413972">
      <w:bodyDiv w:val="1"/>
      <w:marLeft w:val="0"/>
      <w:marRight w:val="0"/>
      <w:marTop w:val="0"/>
      <w:marBottom w:val="0"/>
      <w:divBdr>
        <w:top w:val="none" w:sz="0" w:space="0" w:color="auto"/>
        <w:left w:val="none" w:sz="0" w:space="0" w:color="auto"/>
        <w:bottom w:val="none" w:sz="0" w:space="0" w:color="auto"/>
        <w:right w:val="none" w:sz="0" w:space="0" w:color="auto"/>
      </w:divBdr>
    </w:div>
    <w:div w:id="1427848257">
      <w:bodyDiv w:val="1"/>
      <w:marLeft w:val="0"/>
      <w:marRight w:val="0"/>
      <w:marTop w:val="0"/>
      <w:marBottom w:val="0"/>
      <w:divBdr>
        <w:top w:val="none" w:sz="0" w:space="0" w:color="auto"/>
        <w:left w:val="none" w:sz="0" w:space="0" w:color="auto"/>
        <w:bottom w:val="none" w:sz="0" w:space="0" w:color="auto"/>
        <w:right w:val="none" w:sz="0" w:space="0" w:color="auto"/>
      </w:divBdr>
    </w:div>
    <w:div w:id="1428234377">
      <w:bodyDiv w:val="1"/>
      <w:marLeft w:val="0"/>
      <w:marRight w:val="0"/>
      <w:marTop w:val="0"/>
      <w:marBottom w:val="0"/>
      <w:divBdr>
        <w:top w:val="none" w:sz="0" w:space="0" w:color="auto"/>
        <w:left w:val="none" w:sz="0" w:space="0" w:color="auto"/>
        <w:bottom w:val="none" w:sz="0" w:space="0" w:color="auto"/>
        <w:right w:val="none" w:sz="0" w:space="0" w:color="auto"/>
      </w:divBdr>
    </w:div>
    <w:div w:id="1428622041">
      <w:bodyDiv w:val="1"/>
      <w:marLeft w:val="0"/>
      <w:marRight w:val="0"/>
      <w:marTop w:val="0"/>
      <w:marBottom w:val="0"/>
      <w:divBdr>
        <w:top w:val="none" w:sz="0" w:space="0" w:color="auto"/>
        <w:left w:val="none" w:sz="0" w:space="0" w:color="auto"/>
        <w:bottom w:val="none" w:sz="0" w:space="0" w:color="auto"/>
        <w:right w:val="none" w:sz="0" w:space="0" w:color="auto"/>
      </w:divBdr>
    </w:div>
    <w:div w:id="1428963758">
      <w:bodyDiv w:val="1"/>
      <w:marLeft w:val="0"/>
      <w:marRight w:val="0"/>
      <w:marTop w:val="0"/>
      <w:marBottom w:val="0"/>
      <w:divBdr>
        <w:top w:val="none" w:sz="0" w:space="0" w:color="auto"/>
        <w:left w:val="none" w:sz="0" w:space="0" w:color="auto"/>
        <w:bottom w:val="none" w:sz="0" w:space="0" w:color="auto"/>
        <w:right w:val="none" w:sz="0" w:space="0" w:color="auto"/>
      </w:divBdr>
    </w:div>
    <w:div w:id="1429502567">
      <w:bodyDiv w:val="1"/>
      <w:marLeft w:val="0"/>
      <w:marRight w:val="0"/>
      <w:marTop w:val="0"/>
      <w:marBottom w:val="0"/>
      <w:divBdr>
        <w:top w:val="none" w:sz="0" w:space="0" w:color="auto"/>
        <w:left w:val="none" w:sz="0" w:space="0" w:color="auto"/>
        <w:bottom w:val="none" w:sz="0" w:space="0" w:color="auto"/>
        <w:right w:val="none" w:sz="0" w:space="0" w:color="auto"/>
      </w:divBdr>
    </w:div>
    <w:div w:id="1429699043">
      <w:bodyDiv w:val="1"/>
      <w:marLeft w:val="0"/>
      <w:marRight w:val="0"/>
      <w:marTop w:val="0"/>
      <w:marBottom w:val="0"/>
      <w:divBdr>
        <w:top w:val="none" w:sz="0" w:space="0" w:color="auto"/>
        <w:left w:val="none" w:sz="0" w:space="0" w:color="auto"/>
        <w:bottom w:val="none" w:sz="0" w:space="0" w:color="auto"/>
        <w:right w:val="none" w:sz="0" w:space="0" w:color="auto"/>
      </w:divBdr>
    </w:div>
    <w:div w:id="1430585742">
      <w:bodyDiv w:val="1"/>
      <w:marLeft w:val="0"/>
      <w:marRight w:val="0"/>
      <w:marTop w:val="0"/>
      <w:marBottom w:val="0"/>
      <w:divBdr>
        <w:top w:val="none" w:sz="0" w:space="0" w:color="auto"/>
        <w:left w:val="none" w:sz="0" w:space="0" w:color="auto"/>
        <w:bottom w:val="none" w:sz="0" w:space="0" w:color="auto"/>
        <w:right w:val="none" w:sz="0" w:space="0" w:color="auto"/>
      </w:divBdr>
    </w:div>
    <w:div w:id="1430616947">
      <w:bodyDiv w:val="1"/>
      <w:marLeft w:val="0"/>
      <w:marRight w:val="0"/>
      <w:marTop w:val="0"/>
      <w:marBottom w:val="0"/>
      <w:divBdr>
        <w:top w:val="none" w:sz="0" w:space="0" w:color="auto"/>
        <w:left w:val="none" w:sz="0" w:space="0" w:color="auto"/>
        <w:bottom w:val="none" w:sz="0" w:space="0" w:color="auto"/>
        <w:right w:val="none" w:sz="0" w:space="0" w:color="auto"/>
      </w:divBdr>
    </w:div>
    <w:div w:id="1431391296">
      <w:bodyDiv w:val="1"/>
      <w:marLeft w:val="0"/>
      <w:marRight w:val="0"/>
      <w:marTop w:val="0"/>
      <w:marBottom w:val="0"/>
      <w:divBdr>
        <w:top w:val="none" w:sz="0" w:space="0" w:color="auto"/>
        <w:left w:val="none" w:sz="0" w:space="0" w:color="auto"/>
        <w:bottom w:val="none" w:sz="0" w:space="0" w:color="auto"/>
        <w:right w:val="none" w:sz="0" w:space="0" w:color="auto"/>
      </w:divBdr>
    </w:div>
    <w:div w:id="1432553632">
      <w:bodyDiv w:val="1"/>
      <w:marLeft w:val="0"/>
      <w:marRight w:val="0"/>
      <w:marTop w:val="0"/>
      <w:marBottom w:val="0"/>
      <w:divBdr>
        <w:top w:val="none" w:sz="0" w:space="0" w:color="auto"/>
        <w:left w:val="none" w:sz="0" w:space="0" w:color="auto"/>
        <w:bottom w:val="none" w:sz="0" w:space="0" w:color="auto"/>
        <w:right w:val="none" w:sz="0" w:space="0" w:color="auto"/>
      </w:divBdr>
    </w:div>
    <w:div w:id="1433084715">
      <w:bodyDiv w:val="1"/>
      <w:marLeft w:val="0"/>
      <w:marRight w:val="0"/>
      <w:marTop w:val="0"/>
      <w:marBottom w:val="0"/>
      <w:divBdr>
        <w:top w:val="none" w:sz="0" w:space="0" w:color="auto"/>
        <w:left w:val="none" w:sz="0" w:space="0" w:color="auto"/>
        <w:bottom w:val="none" w:sz="0" w:space="0" w:color="auto"/>
        <w:right w:val="none" w:sz="0" w:space="0" w:color="auto"/>
      </w:divBdr>
    </w:div>
    <w:div w:id="1434007572">
      <w:bodyDiv w:val="1"/>
      <w:marLeft w:val="0"/>
      <w:marRight w:val="0"/>
      <w:marTop w:val="0"/>
      <w:marBottom w:val="0"/>
      <w:divBdr>
        <w:top w:val="none" w:sz="0" w:space="0" w:color="auto"/>
        <w:left w:val="none" w:sz="0" w:space="0" w:color="auto"/>
        <w:bottom w:val="none" w:sz="0" w:space="0" w:color="auto"/>
        <w:right w:val="none" w:sz="0" w:space="0" w:color="auto"/>
      </w:divBdr>
    </w:div>
    <w:div w:id="1438062754">
      <w:bodyDiv w:val="1"/>
      <w:marLeft w:val="0"/>
      <w:marRight w:val="0"/>
      <w:marTop w:val="0"/>
      <w:marBottom w:val="0"/>
      <w:divBdr>
        <w:top w:val="none" w:sz="0" w:space="0" w:color="auto"/>
        <w:left w:val="none" w:sz="0" w:space="0" w:color="auto"/>
        <w:bottom w:val="none" w:sz="0" w:space="0" w:color="auto"/>
        <w:right w:val="none" w:sz="0" w:space="0" w:color="auto"/>
      </w:divBdr>
    </w:div>
    <w:div w:id="1438062875">
      <w:bodyDiv w:val="1"/>
      <w:marLeft w:val="0"/>
      <w:marRight w:val="0"/>
      <w:marTop w:val="0"/>
      <w:marBottom w:val="0"/>
      <w:divBdr>
        <w:top w:val="none" w:sz="0" w:space="0" w:color="auto"/>
        <w:left w:val="none" w:sz="0" w:space="0" w:color="auto"/>
        <w:bottom w:val="none" w:sz="0" w:space="0" w:color="auto"/>
        <w:right w:val="none" w:sz="0" w:space="0" w:color="auto"/>
      </w:divBdr>
    </w:div>
    <w:div w:id="1438133058">
      <w:bodyDiv w:val="1"/>
      <w:marLeft w:val="0"/>
      <w:marRight w:val="0"/>
      <w:marTop w:val="0"/>
      <w:marBottom w:val="0"/>
      <w:divBdr>
        <w:top w:val="none" w:sz="0" w:space="0" w:color="auto"/>
        <w:left w:val="none" w:sz="0" w:space="0" w:color="auto"/>
        <w:bottom w:val="none" w:sz="0" w:space="0" w:color="auto"/>
        <w:right w:val="none" w:sz="0" w:space="0" w:color="auto"/>
      </w:divBdr>
    </w:div>
    <w:div w:id="1438646313">
      <w:bodyDiv w:val="1"/>
      <w:marLeft w:val="0"/>
      <w:marRight w:val="0"/>
      <w:marTop w:val="0"/>
      <w:marBottom w:val="0"/>
      <w:divBdr>
        <w:top w:val="none" w:sz="0" w:space="0" w:color="auto"/>
        <w:left w:val="none" w:sz="0" w:space="0" w:color="auto"/>
        <w:bottom w:val="none" w:sz="0" w:space="0" w:color="auto"/>
        <w:right w:val="none" w:sz="0" w:space="0" w:color="auto"/>
      </w:divBdr>
    </w:div>
    <w:div w:id="1439522919">
      <w:bodyDiv w:val="1"/>
      <w:marLeft w:val="0"/>
      <w:marRight w:val="0"/>
      <w:marTop w:val="0"/>
      <w:marBottom w:val="0"/>
      <w:divBdr>
        <w:top w:val="none" w:sz="0" w:space="0" w:color="auto"/>
        <w:left w:val="none" w:sz="0" w:space="0" w:color="auto"/>
        <w:bottom w:val="none" w:sz="0" w:space="0" w:color="auto"/>
        <w:right w:val="none" w:sz="0" w:space="0" w:color="auto"/>
      </w:divBdr>
    </w:div>
    <w:div w:id="1440181399">
      <w:bodyDiv w:val="1"/>
      <w:marLeft w:val="0"/>
      <w:marRight w:val="0"/>
      <w:marTop w:val="0"/>
      <w:marBottom w:val="0"/>
      <w:divBdr>
        <w:top w:val="none" w:sz="0" w:space="0" w:color="auto"/>
        <w:left w:val="none" w:sz="0" w:space="0" w:color="auto"/>
        <w:bottom w:val="none" w:sz="0" w:space="0" w:color="auto"/>
        <w:right w:val="none" w:sz="0" w:space="0" w:color="auto"/>
      </w:divBdr>
    </w:div>
    <w:div w:id="1441022388">
      <w:bodyDiv w:val="1"/>
      <w:marLeft w:val="0"/>
      <w:marRight w:val="0"/>
      <w:marTop w:val="0"/>
      <w:marBottom w:val="0"/>
      <w:divBdr>
        <w:top w:val="none" w:sz="0" w:space="0" w:color="auto"/>
        <w:left w:val="none" w:sz="0" w:space="0" w:color="auto"/>
        <w:bottom w:val="none" w:sz="0" w:space="0" w:color="auto"/>
        <w:right w:val="none" w:sz="0" w:space="0" w:color="auto"/>
      </w:divBdr>
    </w:div>
    <w:div w:id="1442413307">
      <w:bodyDiv w:val="1"/>
      <w:marLeft w:val="0"/>
      <w:marRight w:val="0"/>
      <w:marTop w:val="0"/>
      <w:marBottom w:val="0"/>
      <w:divBdr>
        <w:top w:val="none" w:sz="0" w:space="0" w:color="auto"/>
        <w:left w:val="none" w:sz="0" w:space="0" w:color="auto"/>
        <w:bottom w:val="none" w:sz="0" w:space="0" w:color="auto"/>
        <w:right w:val="none" w:sz="0" w:space="0" w:color="auto"/>
      </w:divBdr>
    </w:div>
    <w:div w:id="1442872532">
      <w:bodyDiv w:val="1"/>
      <w:marLeft w:val="0"/>
      <w:marRight w:val="0"/>
      <w:marTop w:val="0"/>
      <w:marBottom w:val="0"/>
      <w:divBdr>
        <w:top w:val="none" w:sz="0" w:space="0" w:color="auto"/>
        <w:left w:val="none" w:sz="0" w:space="0" w:color="auto"/>
        <w:bottom w:val="none" w:sz="0" w:space="0" w:color="auto"/>
        <w:right w:val="none" w:sz="0" w:space="0" w:color="auto"/>
      </w:divBdr>
    </w:div>
    <w:div w:id="1444106193">
      <w:bodyDiv w:val="1"/>
      <w:marLeft w:val="0"/>
      <w:marRight w:val="0"/>
      <w:marTop w:val="0"/>
      <w:marBottom w:val="0"/>
      <w:divBdr>
        <w:top w:val="none" w:sz="0" w:space="0" w:color="auto"/>
        <w:left w:val="none" w:sz="0" w:space="0" w:color="auto"/>
        <w:bottom w:val="none" w:sz="0" w:space="0" w:color="auto"/>
        <w:right w:val="none" w:sz="0" w:space="0" w:color="auto"/>
      </w:divBdr>
    </w:div>
    <w:div w:id="1444642686">
      <w:bodyDiv w:val="1"/>
      <w:marLeft w:val="0"/>
      <w:marRight w:val="0"/>
      <w:marTop w:val="0"/>
      <w:marBottom w:val="0"/>
      <w:divBdr>
        <w:top w:val="none" w:sz="0" w:space="0" w:color="auto"/>
        <w:left w:val="none" w:sz="0" w:space="0" w:color="auto"/>
        <w:bottom w:val="none" w:sz="0" w:space="0" w:color="auto"/>
        <w:right w:val="none" w:sz="0" w:space="0" w:color="auto"/>
      </w:divBdr>
    </w:div>
    <w:div w:id="1444885071">
      <w:bodyDiv w:val="1"/>
      <w:marLeft w:val="0"/>
      <w:marRight w:val="0"/>
      <w:marTop w:val="0"/>
      <w:marBottom w:val="0"/>
      <w:divBdr>
        <w:top w:val="none" w:sz="0" w:space="0" w:color="auto"/>
        <w:left w:val="none" w:sz="0" w:space="0" w:color="auto"/>
        <w:bottom w:val="none" w:sz="0" w:space="0" w:color="auto"/>
        <w:right w:val="none" w:sz="0" w:space="0" w:color="auto"/>
      </w:divBdr>
    </w:div>
    <w:div w:id="1445686367">
      <w:bodyDiv w:val="1"/>
      <w:marLeft w:val="0"/>
      <w:marRight w:val="0"/>
      <w:marTop w:val="0"/>
      <w:marBottom w:val="0"/>
      <w:divBdr>
        <w:top w:val="none" w:sz="0" w:space="0" w:color="auto"/>
        <w:left w:val="none" w:sz="0" w:space="0" w:color="auto"/>
        <w:bottom w:val="none" w:sz="0" w:space="0" w:color="auto"/>
        <w:right w:val="none" w:sz="0" w:space="0" w:color="auto"/>
      </w:divBdr>
    </w:div>
    <w:div w:id="1446540613">
      <w:bodyDiv w:val="1"/>
      <w:marLeft w:val="0"/>
      <w:marRight w:val="0"/>
      <w:marTop w:val="0"/>
      <w:marBottom w:val="0"/>
      <w:divBdr>
        <w:top w:val="none" w:sz="0" w:space="0" w:color="auto"/>
        <w:left w:val="none" w:sz="0" w:space="0" w:color="auto"/>
        <w:bottom w:val="none" w:sz="0" w:space="0" w:color="auto"/>
        <w:right w:val="none" w:sz="0" w:space="0" w:color="auto"/>
      </w:divBdr>
    </w:div>
    <w:div w:id="1454862596">
      <w:bodyDiv w:val="1"/>
      <w:marLeft w:val="0"/>
      <w:marRight w:val="0"/>
      <w:marTop w:val="0"/>
      <w:marBottom w:val="0"/>
      <w:divBdr>
        <w:top w:val="none" w:sz="0" w:space="0" w:color="auto"/>
        <w:left w:val="none" w:sz="0" w:space="0" w:color="auto"/>
        <w:bottom w:val="none" w:sz="0" w:space="0" w:color="auto"/>
        <w:right w:val="none" w:sz="0" w:space="0" w:color="auto"/>
      </w:divBdr>
    </w:div>
    <w:div w:id="1454864449">
      <w:bodyDiv w:val="1"/>
      <w:marLeft w:val="0"/>
      <w:marRight w:val="0"/>
      <w:marTop w:val="0"/>
      <w:marBottom w:val="0"/>
      <w:divBdr>
        <w:top w:val="none" w:sz="0" w:space="0" w:color="auto"/>
        <w:left w:val="none" w:sz="0" w:space="0" w:color="auto"/>
        <w:bottom w:val="none" w:sz="0" w:space="0" w:color="auto"/>
        <w:right w:val="none" w:sz="0" w:space="0" w:color="auto"/>
      </w:divBdr>
    </w:div>
    <w:div w:id="1454901058">
      <w:bodyDiv w:val="1"/>
      <w:marLeft w:val="0"/>
      <w:marRight w:val="0"/>
      <w:marTop w:val="0"/>
      <w:marBottom w:val="0"/>
      <w:divBdr>
        <w:top w:val="none" w:sz="0" w:space="0" w:color="auto"/>
        <w:left w:val="none" w:sz="0" w:space="0" w:color="auto"/>
        <w:bottom w:val="none" w:sz="0" w:space="0" w:color="auto"/>
        <w:right w:val="none" w:sz="0" w:space="0" w:color="auto"/>
      </w:divBdr>
    </w:div>
    <w:div w:id="1457092725">
      <w:bodyDiv w:val="1"/>
      <w:marLeft w:val="0"/>
      <w:marRight w:val="0"/>
      <w:marTop w:val="0"/>
      <w:marBottom w:val="0"/>
      <w:divBdr>
        <w:top w:val="none" w:sz="0" w:space="0" w:color="auto"/>
        <w:left w:val="none" w:sz="0" w:space="0" w:color="auto"/>
        <w:bottom w:val="none" w:sz="0" w:space="0" w:color="auto"/>
        <w:right w:val="none" w:sz="0" w:space="0" w:color="auto"/>
      </w:divBdr>
    </w:div>
    <w:div w:id="1458525529">
      <w:bodyDiv w:val="1"/>
      <w:marLeft w:val="0"/>
      <w:marRight w:val="0"/>
      <w:marTop w:val="0"/>
      <w:marBottom w:val="0"/>
      <w:divBdr>
        <w:top w:val="none" w:sz="0" w:space="0" w:color="auto"/>
        <w:left w:val="none" w:sz="0" w:space="0" w:color="auto"/>
        <w:bottom w:val="none" w:sz="0" w:space="0" w:color="auto"/>
        <w:right w:val="none" w:sz="0" w:space="0" w:color="auto"/>
      </w:divBdr>
    </w:div>
    <w:div w:id="1458723932">
      <w:bodyDiv w:val="1"/>
      <w:marLeft w:val="0"/>
      <w:marRight w:val="0"/>
      <w:marTop w:val="0"/>
      <w:marBottom w:val="0"/>
      <w:divBdr>
        <w:top w:val="none" w:sz="0" w:space="0" w:color="auto"/>
        <w:left w:val="none" w:sz="0" w:space="0" w:color="auto"/>
        <w:bottom w:val="none" w:sz="0" w:space="0" w:color="auto"/>
        <w:right w:val="none" w:sz="0" w:space="0" w:color="auto"/>
      </w:divBdr>
    </w:div>
    <w:div w:id="1459226972">
      <w:bodyDiv w:val="1"/>
      <w:marLeft w:val="0"/>
      <w:marRight w:val="0"/>
      <w:marTop w:val="0"/>
      <w:marBottom w:val="0"/>
      <w:divBdr>
        <w:top w:val="none" w:sz="0" w:space="0" w:color="auto"/>
        <w:left w:val="none" w:sz="0" w:space="0" w:color="auto"/>
        <w:bottom w:val="none" w:sz="0" w:space="0" w:color="auto"/>
        <w:right w:val="none" w:sz="0" w:space="0" w:color="auto"/>
      </w:divBdr>
    </w:div>
    <w:div w:id="1461538067">
      <w:bodyDiv w:val="1"/>
      <w:marLeft w:val="0"/>
      <w:marRight w:val="0"/>
      <w:marTop w:val="0"/>
      <w:marBottom w:val="0"/>
      <w:divBdr>
        <w:top w:val="none" w:sz="0" w:space="0" w:color="auto"/>
        <w:left w:val="none" w:sz="0" w:space="0" w:color="auto"/>
        <w:bottom w:val="none" w:sz="0" w:space="0" w:color="auto"/>
        <w:right w:val="none" w:sz="0" w:space="0" w:color="auto"/>
      </w:divBdr>
    </w:div>
    <w:div w:id="1461995978">
      <w:bodyDiv w:val="1"/>
      <w:marLeft w:val="0"/>
      <w:marRight w:val="0"/>
      <w:marTop w:val="0"/>
      <w:marBottom w:val="0"/>
      <w:divBdr>
        <w:top w:val="none" w:sz="0" w:space="0" w:color="auto"/>
        <w:left w:val="none" w:sz="0" w:space="0" w:color="auto"/>
        <w:bottom w:val="none" w:sz="0" w:space="0" w:color="auto"/>
        <w:right w:val="none" w:sz="0" w:space="0" w:color="auto"/>
      </w:divBdr>
    </w:div>
    <w:div w:id="1462848387">
      <w:bodyDiv w:val="1"/>
      <w:marLeft w:val="0"/>
      <w:marRight w:val="0"/>
      <w:marTop w:val="0"/>
      <w:marBottom w:val="0"/>
      <w:divBdr>
        <w:top w:val="none" w:sz="0" w:space="0" w:color="auto"/>
        <w:left w:val="none" w:sz="0" w:space="0" w:color="auto"/>
        <w:bottom w:val="none" w:sz="0" w:space="0" w:color="auto"/>
        <w:right w:val="none" w:sz="0" w:space="0" w:color="auto"/>
      </w:divBdr>
    </w:div>
    <w:div w:id="1465738710">
      <w:bodyDiv w:val="1"/>
      <w:marLeft w:val="0"/>
      <w:marRight w:val="0"/>
      <w:marTop w:val="0"/>
      <w:marBottom w:val="0"/>
      <w:divBdr>
        <w:top w:val="none" w:sz="0" w:space="0" w:color="auto"/>
        <w:left w:val="none" w:sz="0" w:space="0" w:color="auto"/>
        <w:bottom w:val="none" w:sz="0" w:space="0" w:color="auto"/>
        <w:right w:val="none" w:sz="0" w:space="0" w:color="auto"/>
      </w:divBdr>
    </w:div>
    <w:div w:id="1465998399">
      <w:bodyDiv w:val="1"/>
      <w:marLeft w:val="0"/>
      <w:marRight w:val="0"/>
      <w:marTop w:val="0"/>
      <w:marBottom w:val="0"/>
      <w:divBdr>
        <w:top w:val="none" w:sz="0" w:space="0" w:color="auto"/>
        <w:left w:val="none" w:sz="0" w:space="0" w:color="auto"/>
        <w:bottom w:val="none" w:sz="0" w:space="0" w:color="auto"/>
        <w:right w:val="none" w:sz="0" w:space="0" w:color="auto"/>
      </w:divBdr>
    </w:div>
    <w:div w:id="1466040762">
      <w:bodyDiv w:val="1"/>
      <w:marLeft w:val="0"/>
      <w:marRight w:val="0"/>
      <w:marTop w:val="0"/>
      <w:marBottom w:val="0"/>
      <w:divBdr>
        <w:top w:val="none" w:sz="0" w:space="0" w:color="auto"/>
        <w:left w:val="none" w:sz="0" w:space="0" w:color="auto"/>
        <w:bottom w:val="none" w:sz="0" w:space="0" w:color="auto"/>
        <w:right w:val="none" w:sz="0" w:space="0" w:color="auto"/>
      </w:divBdr>
    </w:div>
    <w:div w:id="1466580261">
      <w:bodyDiv w:val="1"/>
      <w:marLeft w:val="0"/>
      <w:marRight w:val="0"/>
      <w:marTop w:val="0"/>
      <w:marBottom w:val="0"/>
      <w:divBdr>
        <w:top w:val="none" w:sz="0" w:space="0" w:color="auto"/>
        <w:left w:val="none" w:sz="0" w:space="0" w:color="auto"/>
        <w:bottom w:val="none" w:sz="0" w:space="0" w:color="auto"/>
        <w:right w:val="none" w:sz="0" w:space="0" w:color="auto"/>
      </w:divBdr>
    </w:div>
    <w:div w:id="1467310838">
      <w:bodyDiv w:val="1"/>
      <w:marLeft w:val="0"/>
      <w:marRight w:val="0"/>
      <w:marTop w:val="0"/>
      <w:marBottom w:val="0"/>
      <w:divBdr>
        <w:top w:val="none" w:sz="0" w:space="0" w:color="auto"/>
        <w:left w:val="none" w:sz="0" w:space="0" w:color="auto"/>
        <w:bottom w:val="none" w:sz="0" w:space="0" w:color="auto"/>
        <w:right w:val="none" w:sz="0" w:space="0" w:color="auto"/>
      </w:divBdr>
    </w:div>
    <w:div w:id="1467435921">
      <w:bodyDiv w:val="1"/>
      <w:marLeft w:val="0"/>
      <w:marRight w:val="0"/>
      <w:marTop w:val="0"/>
      <w:marBottom w:val="0"/>
      <w:divBdr>
        <w:top w:val="none" w:sz="0" w:space="0" w:color="auto"/>
        <w:left w:val="none" w:sz="0" w:space="0" w:color="auto"/>
        <w:bottom w:val="none" w:sz="0" w:space="0" w:color="auto"/>
        <w:right w:val="none" w:sz="0" w:space="0" w:color="auto"/>
      </w:divBdr>
    </w:div>
    <w:div w:id="1468351534">
      <w:bodyDiv w:val="1"/>
      <w:marLeft w:val="0"/>
      <w:marRight w:val="0"/>
      <w:marTop w:val="0"/>
      <w:marBottom w:val="0"/>
      <w:divBdr>
        <w:top w:val="none" w:sz="0" w:space="0" w:color="auto"/>
        <w:left w:val="none" w:sz="0" w:space="0" w:color="auto"/>
        <w:bottom w:val="none" w:sz="0" w:space="0" w:color="auto"/>
        <w:right w:val="none" w:sz="0" w:space="0" w:color="auto"/>
      </w:divBdr>
    </w:div>
    <w:div w:id="1469083662">
      <w:bodyDiv w:val="1"/>
      <w:marLeft w:val="0"/>
      <w:marRight w:val="0"/>
      <w:marTop w:val="0"/>
      <w:marBottom w:val="0"/>
      <w:divBdr>
        <w:top w:val="none" w:sz="0" w:space="0" w:color="auto"/>
        <w:left w:val="none" w:sz="0" w:space="0" w:color="auto"/>
        <w:bottom w:val="none" w:sz="0" w:space="0" w:color="auto"/>
        <w:right w:val="none" w:sz="0" w:space="0" w:color="auto"/>
      </w:divBdr>
    </w:div>
    <w:div w:id="1469283407">
      <w:bodyDiv w:val="1"/>
      <w:marLeft w:val="0"/>
      <w:marRight w:val="0"/>
      <w:marTop w:val="0"/>
      <w:marBottom w:val="0"/>
      <w:divBdr>
        <w:top w:val="none" w:sz="0" w:space="0" w:color="auto"/>
        <w:left w:val="none" w:sz="0" w:space="0" w:color="auto"/>
        <w:bottom w:val="none" w:sz="0" w:space="0" w:color="auto"/>
        <w:right w:val="none" w:sz="0" w:space="0" w:color="auto"/>
      </w:divBdr>
    </w:div>
    <w:div w:id="1469322617">
      <w:bodyDiv w:val="1"/>
      <w:marLeft w:val="0"/>
      <w:marRight w:val="0"/>
      <w:marTop w:val="0"/>
      <w:marBottom w:val="0"/>
      <w:divBdr>
        <w:top w:val="none" w:sz="0" w:space="0" w:color="auto"/>
        <w:left w:val="none" w:sz="0" w:space="0" w:color="auto"/>
        <w:bottom w:val="none" w:sz="0" w:space="0" w:color="auto"/>
        <w:right w:val="none" w:sz="0" w:space="0" w:color="auto"/>
      </w:divBdr>
    </w:div>
    <w:div w:id="1471898788">
      <w:bodyDiv w:val="1"/>
      <w:marLeft w:val="0"/>
      <w:marRight w:val="0"/>
      <w:marTop w:val="0"/>
      <w:marBottom w:val="0"/>
      <w:divBdr>
        <w:top w:val="none" w:sz="0" w:space="0" w:color="auto"/>
        <w:left w:val="none" w:sz="0" w:space="0" w:color="auto"/>
        <w:bottom w:val="none" w:sz="0" w:space="0" w:color="auto"/>
        <w:right w:val="none" w:sz="0" w:space="0" w:color="auto"/>
      </w:divBdr>
    </w:div>
    <w:div w:id="1474178749">
      <w:bodyDiv w:val="1"/>
      <w:marLeft w:val="0"/>
      <w:marRight w:val="0"/>
      <w:marTop w:val="0"/>
      <w:marBottom w:val="0"/>
      <w:divBdr>
        <w:top w:val="none" w:sz="0" w:space="0" w:color="auto"/>
        <w:left w:val="none" w:sz="0" w:space="0" w:color="auto"/>
        <w:bottom w:val="none" w:sz="0" w:space="0" w:color="auto"/>
        <w:right w:val="none" w:sz="0" w:space="0" w:color="auto"/>
      </w:divBdr>
    </w:div>
    <w:div w:id="1475175854">
      <w:bodyDiv w:val="1"/>
      <w:marLeft w:val="0"/>
      <w:marRight w:val="0"/>
      <w:marTop w:val="0"/>
      <w:marBottom w:val="0"/>
      <w:divBdr>
        <w:top w:val="none" w:sz="0" w:space="0" w:color="auto"/>
        <w:left w:val="none" w:sz="0" w:space="0" w:color="auto"/>
        <w:bottom w:val="none" w:sz="0" w:space="0" w:color="auto"/>
        <w:right w:val="none" w:sz="0" w:space="0" w:color="auto"/>
      </w:divBdr>
    </w:div>
    <w:div w:id="1475560725">
      <w:bodyDiv w:val="1"/>
      <w:marLeft w:val="0"/>
      <w:marRight w:val="0"/>
      <w:marTop w:val="0"/>
      <w:marBottom w:val="0"/>
      <w:divBdr>
        <w:top w:val="none" w:sz="0" w:space="0" w:color="auto"/>
        <w:left w:val="none" w:sz="0" w:space="0" w:color="auto"/>
        <w:bottom w:val="none" w:sz="0" w:space="0" w:color="auto"/>
        <w:right w:val="none" w:sz="0" w:space="0" w:color="auto"/>
      </w:divBdr>
    </w:div>
    <w:div w:id="1478842994">
      <w:bodyDiv w:val="1"/>
      <w:marLeft w:val="0"/>
      <w:marRight w:val="0"/>
      <w:marTop w:val="0"/>
      <w:marBottom w:val="0"/>
      <w:divBdr>
        <w:top w:val="none" w:sz="0" w:space="0" w:color="auto"/>
        <w:left w:val="none" w:sz="0" w:space="0" w:color="auto"/>
        <w:bottom w:val="none" w:sz="0" w:space="0" w:color="auto"/>
        <w:right w:val="none" w:sz="0" w:space="0" w:color="auto"/>
      </w:divBdr>
    </w:div>
    <w:div w:id="1479347842">
      <w:bodyDiv w:val="1"/>
      <w:marLeft w:val="0"/>
      <w:marRight w:val="0"/>
      <w:marTop w:val="0"/>
      <w:marBottom w:val="0"/>
      <w:divBdr>
        <w:top w:val="none" w:sz="0" w:space="0" w:color="auto"/>
        <w:left w:val="none" w:sz="0" w:space="0" w:color="auto"/>
        <w:bottom w:val="none" w:sz="0" w:space="0" w:color="auto"/>
        <w:right w:val="none" w:sz="0" w:space="0" w:color="auto"/>
      </w:divBdr>
    </w:div>
    <w:div w:id="1481077785">
      <w:bodyDiv w:val="1"/>
      <w:marLeft w:val="0"/>
      <w:marRight w:val="0"/>
      <w:marTop w:val="0"/>
      <w:marBottom w:val="0"/>
      <w:divBdr>
        <w:top w:val="none" w:sz="0" w:space="0" w:color="auto"/>
        <w:left w:val="none" w:sz="0" w:space="0" w:color="auto"/>
        <w:bottom w:val="none" w:sz="0" w:space="0" w:color="auto"/>
        <w:right w:val="none" w:sz="0" w:space="0" w:color="auto"/>
      </w:divBdr>
    </w:div>
    <w:div w:id="1483505531">
      <w:bodyDiv w:val="1"/>
      <w:marLeft w:val="0"/>
      <w:marRight w:val="0"/>
      <w:marTop w:val="0"/>
      <w:marBottom w:val="0"/>
      <w:divBdr>
        <w:top w:val="none" w:sz="0" w:space="0" w:color="auto"/>
        <w:left w:val="none" w:sz="0" w:space="0" w:color="auto"/>
        <w:bottom w:val="none" w:sz="0" w:space="0" w:color="auto"/>
        <w:right w:val="none" w:sz="0" w:space="0" w:color="auto"/>
      </w:divBdr>
    </w:div>
    <w:div w:id="1483617335">
      <w:bodyDiv w:val="1"/>
      <w:marLeft w:val="0"/>
      <w:marRight w:val="0"/>
      <w:marTop w:val="0"/>
      <w:marBottom w:val="0"/>
      <w:divBdr>
        <w:top w:val="none" w:sz="0" w:space="0" w:color="auto"/>
        <w:left w:val="none" w:sz="0" w:space="0" w:color="auto"/>
        <w:bottom w:val="none" w:sz="0" w:space="0" w:color="auto"/>
        <w:right w:val="none" w:sz="0" w:space="0" w:color="auto"/>
      </w:divBdr>
    </w:div>
    <w:div w:id="1484735139">
      <w:bodyDiv w:val="1"/>
      <w:marLeft w:val="0"/>
      <w:marRight w:val="0"/>
      <w:marTop w:val="0"/>
      <w:marBottom w:val="0"/>
      <w:divBdr>
        <w:top w:val="none" w:sz="0" w:space="0" w:color="auto"/>
        <w:left w:val="none" w:sz="0" w:space="0" w:color="auto"/>
        <w:bottom w:val="none" w:sz="0" w:space="0" w:color="auto"/>
        <w:right w:val="none" w:sz="0" w:space="0" w:color="auto"/>
      </w:divBdr>
    </w:div>
    <w:div w:id="1485119746">
      <w:bodyDiv w:val="1"/>
      <w:marLeft w:val="0"/>
      <w:marRight w:val="0"/>
      <w:marTop w:val="0"/>
      <w:marBottom w:val="0"/>
      <w:divBdr>
        <w:top w:val="none" w:sz="0" w:space="0" w:color="auto"/>
        <w:left w:val="none" w:sz="0" w:space="0" w:color="auto"/>
        <w:bottom w:val="none" w:sz="0" w:space="0" w:color="auto"/>
        <w:right w:val="none" w:sz="0" w:space="0" w:color="auto"/>
      </w:divBdr>
    </w:div>
    <w:div w:id="1486241674">
      <w:bodyDiv w:val="1"/>
      <w:marLeft w:val="0"/>
      <w:marRight w:val="0"/>
      <w:marTop w:val="0"/>
      <w:marBottom w:val="0"/>
      <w:divBdr>
        <w:top w:val="none" w:sz="0" w:space="0" w:color="auto"/>
        <w:left w:val="none" w:sz="0" w:space="0" w:color="auto"/>
        <w:bottom w:val="none" w:sz="0" w:space="0" w:color="auto"/>
        <w:right w:val="none" w:sz="0" w:space="0" w:color="auto"/>
      </w:divBdr>
    </w:div>
    <w:div w:id="1486318768">
      <w:bodyDiv w:val="1"/>
      <w:marLeft w:val="0"/>
      <w:marRight w:val="0"/>
      <w:marTop w:val="0"/>
      <w:marBottom w:val="0"/>
      <w:divBdr>
        <w:top w:val="none" w:sz="0" w:space="0" w:color="auto"/>
        <w:left w:val="none" w:sz="0" w:space="0" w:color="auto"/>
        <w:bottom w:val="none" w:sz="0" w:space="0" w:color="auto"/>
        <w:right w:val="none" w:sz="0" w:space="0" w:color="auto"/>
      </w:divBdr>
    </w:div>
    <w:div w:id="1488088424">
      <w:bodyDiv w:val="1"/>
      <w:marLeft w:val="0"/>
      <w:marRight w:val="0"/>
      <w:marTop w:val="0"/>
      <w:marBottom w:val="0"/>
      <w:divBdr>
        <w:top w:val="none" w:sz="0" w:space="0" w:color="auto"/>
        <w:left w:val="none" w:sz="0" w:space="0" w:color="auto"/>
        <w:bottom w:val="none" w:sz="0" w:space="0" w:color="auto"/>
        <w:right w:val="none" w:sz="0" w:space="0" w:color="auto"/>
      </w:divBdr>
    </w:div>
    <w:div w:id="1488354784">
      <w:bodyDiv w:val="1"/>
      <w:marLeft w:val="0"/>
      <w:marRight w:val="0"/>
      <w:marTop w:val="0"/>
      <w:marBottom w:val="0"/>
      <w:divBdr>
        <w:top w:val="none" w:sz="0" w:space="0" w:color="auto"/>
        <w:left w:val="none" w:sz="0" w:space="0" w:color="auto"/>
        <w:bottom w:val="none" w:sz="0" w:space="0" w:color="auto"/>
        <w:right w:val="none" w:sz="0" w:space="0" w:color="auto"/>
      </w:divBdr>
    </w:div>
    <w:div w:id="1488355307">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490562193">
      <w:bodyDiv w:val="1"/>
      <w:marLeft w:val="0"/>
      <w:marRight w:val="0"/>
      <w:marTop w:val="0"/>
      <w:marBottom w:val="0"/>
      <w:divBdr>
        <w:top w:val="none" w:sz="0" w:space="0" w:color="auto"/>
        <w:left w:val="none" w:sz="0" w:space="0" w:color="auto"/>
        <w:bottom w:val="none" w:sz="0" w:space="0" w:color="auto"/>
        <w:right w:val="none" w:sz="0" w:space="0" w:color="auto"/>
      </w:divBdr>
    </w:div>
    <w:div w:id="1492670710">
      <w:bodyDiv w:val="1"/>
      <w:marLeft w:val="0"/>
      <w:marRight w:val="0"/>
      <w:marTop w:val="0"/>
      <w:marBottom w:val="0"/>
      <w:divBdr>
        <w:top w:val="none" w:sz="0" w:space="0" w:color="auto"/>
        <w:left w:val="none" w:sz="0" w:space="0" w:color="auto"/>
        <w:bottom w:val="none" w:sz="0" w:space="0" w:color="auto"/>
        <w:right w:val="none" w:sz="0" w:space="0" w:color="auto"/>
      </w:divBdr>
    </w:div>
    <w:div w:id="1494833308">
      <w:bodyDiv w:val="1"/>
      <w:marLeft w:val="0"/>
      <w:marRight w:val="0"/>
      <w:marTop w:val="0"/>
      <w:marBottom w:val="0"/>
      <w:divBdr>
        <w:top w:val="none" w:sz="0" w:space="0" w:color="auto"/>
        <w:left w:val="none" w:sz="0" w:space="0" w:color="auto"/>
        <w:bottom w:val="none" w:sz="0" w:space="0" w:color="auto"/>
        <w:right w:val="none" w:sz="0" w:space="0" w:color="auto"/>
      </w:divBdr>
    </w:div>
    <w:div w:id="1495610365">
      <w:bodyDiv w:val="1"/>
      <w:marLeft w:val="0"/>
      <w:marRight w:val="0"/>
      <w:marTop w:val="0"/>
      <w:marBottom w:val="0"/>
      <w:divBdr>
        <w:top w:val="none" w:sz="0" w:space="0" w:color="auto"/>
        <w:left w:val="none" w:sz="0" w:space="0" w:color="auto"/>
        <w:bottom w:val="none" w:sz="0" w:space="0" w:color="auto"/>
        <w:right w:val="none" w:sz="0" w:space="0" w:color="auto"/>
      </w:divBdr>
    </w:div>
    <w:div w:id="1499150253">
      <w:bodyDiv w:val="1"/>
      <w:marLeft w:val="0"/>
      <w:marRight w:val="0"/>
      <w:marTop w:val="0"/>
      <w:marBottom w:val="0"/>
      <w:divBdr>
        <w:top w:val="none" w:sz="0" w:space="0" w:color="auto"/>
        <w:left w:val="none" w:sz="0" w:space="0" w:color="auto"/>
        <w:bottom w:val="none" w:sz="0" w:space="0" w:color="auto"/>
        <w:right w:val="none" w:sz="0" w:space="0" w:color="auto"/>
      </w:divBdr>
    </w:div>
    <w:div w:id="1501046731">
      <w:bodyDiv w:val="1"/>
      <w:marLeft w:val="0"/>
      <w:marRight w:val="0"/>
      <w:marTop w:val="0"/>
      <w:marBottom w:val="0"/>
      <w:divBdr>
        <w:top w:val="none" w:sz="0" w:space="0" w:color="auto"/>
        <w:left w:val="none" w:sz="0" w:space="0" w:color="auto"/>
        <w:bottom w:val="none" w:sz="0" w:space="0" w:color="auto"/>
        <w:right w:val="none" w:sz="0" w:space="0" w:color="auto"/>
      </w:divBdr>
    </w:div>
    <w:div w:id="1501314583">
      <w:bodyDiv w:val="1"/>
      <w:marLeft w:val="0"/>
      <w:marRight w:val="0"/>
      <w:marTop w:val="0"/>
      <w:marBottom w:val="0"/>
      <w:divBdr>
        <w:top w:val="none" w:sz="0" w:space="0" w:color="auto"/>
        <w:left w:val="none" w:sz="0" w:space="0" w:color="auto"/>
        <w:bottom w:val="none" w:sz="0" w:space="0" w:color="auto"/>
        <w:right w:val="none" w:sz="0" w:space="0" w:color="auto"/>
      </w:divBdr>
    </w:div>
    <w:div w:id="1503592482">
      <w:bodyDiv w:val="1"/>
      <w:marLeft w:val="0"/>
      <w:marRight w:val="0"/>
      <w:marTop w:val="0"/>
      <w:marBottom w:val="0"/>
      <w:divBdr>
        <w:top w:val="none" w:sz="0" w:space="0" w:color="auto"/>
        <w:left w:val="none" w:sz="0" w:space="0" w:color="auto"/>
        <w:bottom w:val="none" w:sz="0" w:space="0" w:color="auto"/>
        <w:right w:val="none" w:sz="0" w:space="0" w:color="auto"/>
      </w:divBdr>
    </w:div>
    <w:div w:id="1504319983">
      <w:bodyDiv w:val="1"/>
      <w:marLeft w:val="0"/>
      <w:marRight w:val="0"/>
      <w:marTop w:val="0"/>
      <w:marBottom w:val="0"/>
      <w:divBdr>
        <w:top w:val="none" w:sz="0" w:space="0" w:color="auto"/>
        <w:left w:val="none" w:sz="0" w:space="0" w:color="auto"/>
        <w:bottom w:val="none" w:sz="0" w:space="0" w:color="auto"/>
        <w:right w:val="none" w:sz="0" w:space="0" w:color="auto"/>
      </w:divBdr>
    </w:div>
    <w:div w:id="1506021115">
      <w:bodyDiv w:val="1"/>
      <w:marLeft w:val="0"/>
      <w:marRight w:val="0"/>
      <w:marTop w:val="0"/>
      <w:marBottom w:val="0"/>
      <w:divBdr>
        <w:top w:val="none" w:sz="0" w:space="0" w:color="auto"/>
        <w:left w:val="none" w:sz="0" w:space="0" w:color="auto"/>
        <w:bottom w:val="none" w:sz="0" w:space="0" w:color="auto"/>
        <w:right w:val="none" w:sz="0" w:space="0" w:color="auto"/>
      </w:divBdr>
    </w:div>
    <w:div w:id="1507594265">
      <w:bodyDiv w:val="1"/>
      <w:marLeft w:val="0"/>
      <w:marRight w:val="0"/>
      <w:marTop w:val="0"/>
      <w:marBottom w:val="0"/>
      <w:divBdr>
        <w:top w:val="none" w:sz="0" w:space="0" w:color="auto"/>
        <w:left w:val="none" w:sz="0" w:space="0" w:color="auto"/>
        <w:bottom w:val="none" w:sz="0" w:space="0" w:color="auto"/>
        <w:right w:val="none" w:sz="0" w:space="0" w:color="auto"/>
      </w:divBdr>
    </w:div>
    <w:div w:id="1507594521">
      <w:bodyDiv w:val="1"/>
      <w:marLeft w:val="0"/>
      <w:marRight w:val="0"/>
      <w:marTop w:val="0"/>
      <w:marBottom w:val="0"/>
      <w:divBdr>
        <w:top w:val="none" w:sz="0" w:space="0" w:color="auto"/>
        <w:left w:val="none" w:sz="0" w:space="0" w:color="auto"/>
        <w:bottom w:val="none" w:sz="0" w:space="0" w:color="auto"/>
        <w:right w:val="none" w:sz="0" w:space="0" w:color="auto"/>
      </w:divBdr>
    </w:div>
    <w:div w:id="1509833977">
      <w:bodyDiv w:val="1"/>
      <w:marLeft w:val="0"/>
      <w:marRight w:val="0"/>
      <w:marTop w:val="0"/>
      <w:marBottom w:val="0"/>
      <w:divBdr>
        <w:top w:val="none" w:sz="0" w:space="0" w:color="auto"/>
        <w:left w:val="none" w:sz="0" w:space="0" w:color="auto"/>
        <w:bottom w:val="none" w:sz="0" w:space="0" w:color="auto"/>
        <w:right w:val="none" w:sz="0" w:space="0" w:color="auto"/>
      </w:divBdr>
    </w:div>
    <w:div w:id="1510606083">
      <w:bodyDiv w:val="1"/>
      <w:marLeft w:val="0"/>
      <w:marRight w:val="0"/>
      <w:marTop w:val="0"/>
      <w:marBottom w:val="0"/>
      <w:divBdr>
        <w:top w:val="none" w:sz="0" w:space="0" w:color="auto"/>
        <w:left w:val="none" w:sz="0" w:space="0" w:color="auto"/>
        <w:bottom w:val="none" w:sz="0" w:space="0" w:color="auto"/>
        <w:right w:val="none" w:sz="0" w:space="0" w:color="auto"/>
      </w:divBdr>
    </w:div>
    <w:div w:id="1511993680">
      <w:bodyDiv w:val="1"/>
      <w:marLeft w:val="0"/>
      <w:marRight w:val="0"/>
      <w:marTop w:val="0"/>
      <w:marBottom w:val="0"/>
      <w:divBdr>
        <w:top w:val="none" w:sz="0" w:space="0" w:color="auto"/>
        <w:left w:val="none" w:sz="0" w:space="0" w:color="auto"/>
        <w:bottom w:val="none" w:sz="0" w:space="0" w:color="auto"/>
        <w:right w:val="none" w:sz="0" w:space="0" w:color="auto"/>
      </w:divBdr>
    </w:div>
    <w:div w:id="1512840891">
      <w:bodyDiv w:val="1"/>
      <w:marLeft w:val="0"/>
      <w:marRight w:val="0"/>
      <w:marTop w:val="0"/>
      <w:marBottom w:val="0"/>
      <w:divBdr>
        <w:top w:val="none" w:sz="0" w:space="0" w:color="auto"/>
        <w:left w:val="none" w:sz="0" w:space="0" w:color="auto"/>
        <w:bottom w:val="none" w:sz="0" w:space="0" w:color="auto"/>
        <w:right w:val="none" w:sz="0" w:space="0" w:color="auto"/>
      </w:divBdr>
    </w:div>
    <w:div w:id="1516915659">
      <w:bodyDiv w:val="1"/>
      <w:marLeft w:val="0"/>
      <w:marRight w:val="0"/>
      <w:marTop w:val="0"/>
      <w:marBottom w:val="0"/>
      <w:divBdr>
        <w:top w:val="none" w:sz="0" w:space="0" w:color="auto"/>
        <w:left w:val="none" w:sz="0" w:space="0" w:color="auto"/>
        <w:bottom w:val="none" w:sz="0" w:space="0" w:color="auto"/>
        <w:right w:val="none" w:sz="0" w:space="0" w:color="auto"/>
      </w:divBdr>
    </w:div>
    <w:div w:id="1518732802">
      <w:bodyDiv w:val="1"/>
      <w:marLeft w:val="0"/>
      <w:marRight w:val="0"/>
      <w:marTop w:val="0"/>
      <w:marBottom w:val="0"/>
      <w:divBdr>
        <w:top w:val="none" w:sz="0" w:space="0" w:color="auto"/>
        <w:left w:val="none" w:sz="0" w:space="0" w:color="auto"/>
        <w:bottom w:val="none" w:sz="0" w:space="0" w:color="auto"/>
        <w:right w:val="none" w:sz="0" w:space="0" w:color="auto"/>
      </w:divBdr>
    </w:div>
    <w:div w:id="1519081506">
      <w:bodyDiv w:val="1"/>
      <w:marLeft w:val="0"/>
      <w:marRight w:val="0"/>
      <w:marTop w:val="0"/>
      <w:marBottom w:val="0"/>
      <w:divBdr>
        <w:top w:val="none" w:sz="0" w:space="0" w:color="auto"/>
        <w:left w:val="none" w:sz="0" w:space="0" w:color="auto"/>
        <w:bottom w:val="none" w:sz="0" w:space="0" w:color="auto"/>
        <w:right w:val="none" w:sz="0" w:space="0" w:color="auto"/>
      </w:divBdr>
    </w:div>
    <w:div w:id="1520662720">
      <w:bodyDiv w:val="1"/>
      <w:marLeft w:val="0"/>
      <w:marRight w:val="0"/>
      <w:marTop w:val="0"/>
      <w:marBottom w:val="0"/>
      <w:divBdr>
        <w:top w:val="none" w:sz="0" w:space="0" w:color="auto"/>
        <w:left w:val="none" w:sz="0" w:space="0" w:color="auto"/>
        <w:bottom w:val="none" w:sz="0" w:space="0" w:color="auto"/>
        <w:right w:val="none" w:sz="0" w:space="0" w:color="auto"/>
      </w:divBdr>
    </w:div>
    <w:div w:id="1521815215">
      <w:bodyDiv w:val="1"/>
      <w:marLeft w:val="0"/>
      <w:marRight w:val="0"/>
      <w:marTop w:val="0"/>
      <w:marBottom w:val="0"/>
      <w:divBdr>
        <w:top w:val="none" w:sz="0" w:space="0" w:color="auto"/>
        <w:left w:val="none" w:sz="0" w:space="0" w:color="auto"/>
        <w:bottom w:val="none" w:sz="0" w:space="0" w:color="auto"/>
        <w:right w:val="none" w:sz="0" w:space="0" w:color="auto"/>
      </w:divBdr>
    </w:div>
    <w:div w:id="1522010277">
      <w:bodyDiv w:val="1"/>
      <w:marLeft w:val="0"/>
      <w:marRight w:val="0"/>
      <w:marTop w:val="0"/>
      <w:marBottom w:val="0"/>
      <w:divBdr>
        <w:top w:val="none" w:sz="0" w:space="0" w:color="auto"/>
        <w:left w:val="none" w:sz="0" w:space="0" w:color="auto"/>
        <w:bottom w:val="none" w:sz="0" w:space="0" w:color="auto"/>
        <w:right w:val="none" w:sz="0" w:space="0" w:color="auto"/>
      </w:divBdr>
    </w:div>
    <w:div w:id="1522276264">
      <w:bodyDiv w:val="1"/>
      <w:marLeft w:val="0"/>
      <w:marRight w:val="0"/>
      <w:marTop w:val="0"/>
      <w:marBottom w:val="0"/>
      <w:divBdr>
        <w:top w:val="none" w:sz="0" w:space="0" w:color="auto"/>
        <w:left w:val="none" w:sz="0" w:space="0" w:color="auto"/>
        <w:bottom w:val="none" w:sz="0" w:space="0" w:color="auto"/>
        <w:right w:val="none" w:sz="0" w:space="0" w:color="auto"/>
      </w:divBdr>
    </w:div>
    <w:div w:id="1522695130">
      <w:bodyDiv w:val="1"/>
      <w:marLeft w:val="0"/>
      <w:marRight w:val="0"/>
      <w:marTop w:val="0"/>
      <w:marBottom w:val="0"/>
      <w:divBdr>
        <w:top w:val="none" w:sz="0" w:space="0" w:color="auto"/>
        <w:left w:val="none" w:sz="0" w:space="0" w:color="auto"/>
        <w:bottom w:val="none" w:sz="0" w:space="0" w:color="auto"/>
        <w:right w:val="none" w:sz="0" w:space="0" w:color="auto"/>
      </w:divBdr>
    </w:div>
    <w:div w:id="1523468655">
      <w:bodyDiv w:val="1"/>
      <w:marLeft w:val="0"/>
      <w:marRight w:val="0"/>
      <w:marTop w:val="0"/>
      <w:marBottom w:val="0"/>
      <w:divBdr>
        <w:top w:val="none" w:sz="0" w:space="0" w:color="auto"/>
        <w:left w:val="none" w:sz="0" w:space="0" w:color="auto"/>
        <w:bottom w:val="none" w:sz="0" w:space="0" w:color="auto"/>
        <w:right w:val="none" w:sz="0" w:space="0" w:color="auto"/>
      </w:divBdr>
    </w:div>
    <w:div w:id="1527136234">
      <w:bodyDiv w:val="1"/>
      <w:marLeft w:val="0"/>
      <w:marRight w:val="0"/>
      <w:marTop w:val="0"/>
      <w:marBottom w:val="0"/>
      <w:divBdr>
        <w:top w:val="none" w:sz="0" w:space="0" w:color="auto"/>
        <w:left w:val="none" w:sz="0" w:space="0" w:color="auto"/>
        <w:bottom w:val="none" w:sz="0" w:space="0" w:color="auto"/>
        <w:right w:val="none" w:sz="0" w:space="0" w:color="auto"/>
      </w:divBdr>
    </w:div>
    <w:div w:id="1527866590">
      <w:bodyDiv w:val="1"/>
      <w:marLeft w:val="0"/>
      <w:marRight w:val="0"/>
      <w:marTop w:val="0"/>
      <w:marBottom w:val="0"/>
      <w:divBdr>
        <w:top w:val="none" w:sz="0" w:space="0" w:color="auto"/>
        <w:left w:val="none" w:sz="0" w:space="0" w:color="auto"/>
        <w:bottom w:val="none" w:sz="0" w:space="0" w:color="auto"/>
        <w:right w:val="none" w:sz="0" w:space="0" w:color="auto"/>
      </w:divBdr>
    </w:div>
    <w:div w:id="1528174438">
      <w:bodyDiv w:val="1"/>
      <w:marLeft w:val="0"/>
      <w:marRight w:val="0"/>
      <w:marTop w:val="0"/>
      <w:marBottom w:val="0"/>
      <w:divBdr>
        <w:top w:val="none" w:sz="0" w:space="0" w:color="auto"/>
        <w:left w:val="none" w:sz="0" w:space="0" w:color="auto"/>
        <w:bottom w:val="none" w:sz="0" w:space="0" w:color="auto"/>
        <w:right w:val="none" w:sz="0" w:space="0" w:color="auto"/>
      </w:divBdr>
    </w:div>
    <w:div w:id="1530873627">
      <w:bodyDiv w:val="1"/>
      <w:marLeft w:val="0"/>
      <w:marRight w:val="0"/>
      <w:marTop w:val="0"/>
      <w:marBottom w:val="0"/>
      <w:divBdr>
        <w:top w:val="none" w:sz="0" w:space="0" w:color="auto"/>
        <w:left w:val="none" w:sz="0" w:space="0" w:color="auto"/>
        <w:bottom w:val="none" w:sz="0" w:space="0" w:color="auto"/>
        <w:right w:val="none" w:sz="0" w:space="0" w:color="auto"/>
      </w:divBdr>
    </w:div>
    <w:div w:id="1530996763">
      <w:bodyDiv w:val="1"/>
      <w:marLeft w:val="0"/>
      <w:marRight w:val="0"/>
      <w:marTop w:val="0"/>
      <w:marBottom w:val="0"/>
      <w:divBdr>
        <w:top w:val="none" w:sz="0" w:space="0" w:color="auto"/>
        <w:left w:val="none" w:sz="0" w:space="0" w:color="auto"/>
        <w:bottom w:val="none" w:sz="0" w:space="0" w:color="auto"/>
        <w:right w:val="none" w:sz="0" w:space="0" w:color="auto"/>
      </w:divBdr>
    </w:div>
    <w:div w:id="1531337087">
      <w:bodyDiv w:val="1"/>
      <w:marLeft w:val="0"/>
      <w:marRight w:val="0"/>
      <w:marTop w:val="0"/>
      <w:marBottom w:val="0"/>
      <w:divBdr>
        <w:top w:val="none" w:sz="0" w:space="0" w:color="auto"/>
        <w:left w:val="none" w:sz="0" w:space="0" w:color="auto"/>
        <w:bottom w:val="none" w:sz="0" w:space="0" w:color="auto"/>
        <w:right w:val="none" w:sz="0" w:space="0" w:color="auto"/>
      </w:divBdr>
    </w:div>
    <w:div w:id="1531408644">
      <w:bodyDiv w:val="1"/>
      <w:marLeft w:val="0"/>
      <w:marRight w:val="0"/>
      <w:marTop w:val="0"/>
      <w:marBottom w:val="0"/>
      <w:divBdr>
        <w:top w:val="none" w:sz="0" w:space="0" w:color="auto"/>
        <w:left w:val="none" w:sz="0" w:space="0" w:color="auto"/>
        <w:bottom w:val="none" w:sz="0" w:space="0" w:color="auto"/>
        <w:right w:val="none" w:sz="0" w:space="0" w:color="auto"/>
      </w:divBdr>
    </w:div>
    <w:div w:id="1531604626">
      <w:bodyDiv w:val="1"/>
      <w:marLeft w:val="0"/>
      <w:marRight w:val="0"/>
      <w:marTop w:val="0"/>
      <w:marBottom w:val="0"/>
      <w:divBdr>
        <w:top w:val="none" w:sz="0" w:space="0" w:color="auto"/>
        <w:left w:val="none" w:sz="0" w:space="0" w:color="auto"/>
        <w:bottom w:val="none" w:sz="0" w:space="0" w:color="auto"/>
        <w:right w:val="none" w:sz="0" w:space="0" w:color="auto"/>
      </w:divBdr>
    </w:div>
    <w:div w:id="1532182284">
      <w:bodyDiv w:val="1"/>
      <w:marLeft w:val="0"/>
      <w:marRight w:val="0"/>
      <w:marTop w:val="0"/>
      <w:marBottom w:val="0"/>
      <w:divBdr>
        <w:top w:val="none" w:sz="0" w:space="0" w:color="auto"/>
        <w:left w:val="none" w:sz="0" w:space="0" w:color="auto"/>
        <w:bottom w:val="none" w:sz="0" w:space="0" w:color="auto"/>
        <w:right w:val="none" w:sz="0" w:space="0" w:color="auto"/>
      </w:divBdr>
    </w:div>
    <w:div w:id="1532380196">
      <w:bodyDiv w:val="1"/>
      <w:marLeft w:val="0"/>
      <w:marRight w:val="0"/>
      <w:marTop w:val="0"/>
      <w:marBottom w:val="0"/>
      <w:divBdr>
        <w:top w:val="none" w:sz="0" w:space="0" w:color="auto"/>
        <w:left w:val="none" w:sz="0" w:space="0" w:color="auto"/>
        <w:bottom w:val="none" w:sz="0" w:space="0" w:color="auto"/>
        <w:right w:val="none" w:sz="0" w:space="0" w:color="auto"/>
      </w:divBdr>
    </w:div>
    <w:div w:id="1533229257">
      <w:bodyDiv w:val="1"/>
      <w:marLeft w:val="0"/>
      <w:marRight w:val="0"/>
      <w:marTop w:val="0"/>
      <w:marBottom w:val="0"/>
      <w:divBdr>
        <w:top w:val="none" w:sz="0" w:space="0" w:color="auto"/>
        <w:left w:val="none" w:sz="0" w:space="0" w:color="auto"/>
        <w:bottom w:val="none" w:sz="0" w:space="0" w:color="auto"/>
        <w:right w:val="none" w:sz="0" w:space="0" w:color="auto"/>
      </w:divBdr>
    </w:div>
    <w:div w:id="1534685891">
      <w:bodyDiv w:val="1"/>
      <w:marLeft w:val="0"/>
      <w:marRight w:val="0"/>
      <w:marTop w:val="0"/>
      <w:marBottom w:val="0"/>
      <w:divBdr>
        <w:top w:val="none" w:sz="0" w:space="0" w:color="auto"/>
        <w:left w:val="none" w:sz="0" w:space="0" w:color="auto"/>
        <w:bottom w:val="none" w:sz="0" w:space="0" w:color="auto"/>
        <w:right w:val="none" w:sz="0" w:space="0" w:color="auto"/>
      </w:divBdr>
    </w:div>
    <w:div w:id="1535800596">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0390541">
      <w:bodyDiv w:val="1"/>
      <w:marLeft w:val="0"/>
      <w:marRight w:val="0"/>
      <w:marTop w:val="0"/>
      <w:marBottom w:val="0"/>
      <w:divBdr>
        <w:top w:val="none" w:sz="0" w:space="0" w:color="auto"/>
        <w:left w:val="none" w:sz="0" w:space="0" w:color="auto"/>
        <w:bottom w:val="none" w:sz="0" w:space="0" w:color="auto"/>
        <w:right w:val="none" w:sz="0" w:space="0" w:color="auto"/>
      </w:divBdr>
    </w:div>
    <w:div w:id="1540586981">
      <w:bodyDiv w:val="1"/>
      <w:marLeft w:val="0"/>
      <w:marRight w:val="0"/>
      <w:marTop w:val="0"/>
      <w:marBottom w:val="0"/>
      <w:divBdr>
        <w:top w:val="none" w:sz="0" w:space="0" w:color="auto"/>
        <w:left w:val="none" w:sz="0" w:space="0" w:color="auto"/>
        <w:bottom w:val="none" w:sz="0" w:space="0" w:color="auto"/>
        <w:right w:val="none" w:sz="0" w:space="0" w:color="auto"/>
      </w:divBdr>
    </w:div>
    <w:div w:id="1540701318">
      <w:bodyDiv w:val="1"/>
      <w:marLeft w:val="0"/>
      <w:marRight w:val="0"/>
      <w:marTop w:val="0"/>
      <w:marBottom w:val="0"/>
      <w:divBdr>
        <w:top w:val="none" w:sz="0" w:space="0" w:color="auto"/>
        <w:left w:val="none" w:sz="0" w:space="0" w:color="auto"/>
        <w:bottom w:val="none" w:sz="0" w:space="0" w:color="auto"/>
        <w:right w:val="none" w:sz="0" w:space="0" w:color="auto"/>
      </w:divBdr>
    </w:div>
    <w:div w:id="1543319655">
      <w:bodyDiv w:val="1"/>
      <w:marLeft w:val="0"/>
      <w:marRight w:val="0"/>
      <w:marTop w:val="0"/>
      <w:marBottom w:val="0"/>
      <w:divBdr>
        <w:top w:val="none" w:sz="0" w:space="0" w:color="auto"/>
        <w:left w:val="none" w:sz="0" w:space="0" w:color="auto"/>
        <w:bottom w:val="none" w:sz="0" w:space="0" w:color="auto"/>
        <w:right w:val="none" w:sz="0" w:space="0" w:color="auto"/>
      </w:divBdr>
    </w:div>
    <w:div w:id="1543595493">
      <w:bodyDiv w:val="1"/>
      <w:marLeft w:val="0"/>
      <w:marRight w:val="0"/>
      <w:marTop w:val="0"/>
      <w:marBottom w:val="0"/>
      <w:divBdr>
        <w:top w:val="none" w:sz="0" w:space="0" w:color="auto"/>
        <w:left w:val="none" w:sz="0" w:space="0" w:color="auto"/>
        <w:bottom w:val="none" w:sz="0" w:space="0" w:color="auto"/>
        <w:right w:val="none" w:sz="0" w:space="0" w:color="auto"/>
      </w:divBdr>
      <w:divsChild>
        <w:div w:id="887913219">
          <w:marLeft w:val="0"/>
          <w:marRight w:val="0"/>
          <w:marTop w:val="0"/>
          <w:marBottom w:val="0"/>
          <w:divBdr>
            <w:top w:val="none" w:sz="0" w:space="0" w:color="auto"/>
            <w:left w:val="none" w:sz="0" w:space="0" w:color="auto"/>
            <w:bottom w:val="none" w:sz="0" w:space="0" w:color="auto"/>
            <w:right w:val="none" w:sz="0" w:space="0" w:color="auto"/>
          </w:divBdr>
        </w:div>
      </w:divsChild>
    </w:div>
    <w:div w:id="1544099817">
      <w:bodyDiv w:val="1"/>
      <w:marLeft w:val="0"/>
      <w:marRight w:val="0"/>
      <w:marTop w:val="0"/>
      <w:marBottom w:val="0"/>
      <w:divBdr>
        <w:top w:val="none" w:sz="0" w:space="0" w:color="auto"/>
        <w:left w:val="none" w:sz="0" w:space="0" w:color="auto"/>
        <w:bottom w:val="none" w:sz="0" w:space="0" w:color="auto"/>
        <w:right w:val="none" w:sz="0" w:space="0" w:color="auto"/>
      </w:divBdr>
    </w:div>
    <w:div w:id="1545822779">
      <w:bodyDiv w:val="1"/>
      <w:marLeft w:val="0"/>
      <w:marRight w:val="0"/>
      <w:marTop w:val="0"/>
      <w:marBottom w:val="0"/>
      <w:divBdr>
        <w:top w:val="none" w:sz="0" w:space="0" w:color="auto"/>
        <w:left w:val="none" w:sz="0" w:space="0" w:color="auto"/>
        <w:bottom w:val="none" w:sz="0" w:space="0" w:color="auto"/>
        <w:right w:val="none" w:sz="0" w:space="0" w:color="auto"/>
      </w:divBdr>
    </w:div>
    <w:div w:id="1546602316">
      <w:bodyDiv w:val="1"/>
      <w:marLeft w:val="0"/>
      <w:marRight w:val="0"/>
      <w:marTop w:val="0"/>
      <w:marBottom w:val="0"/>
      <w:divBdr>
        <w:top w:val="none" w:sz="0" w:space="0" w:color="auto"/>
        <w:left w:val="none" w:sz="0" w:space="0" w:color="auto"/>
        <w:bottom w:val="none" w:sz="0" w:space="0" w:color="auto"/>
        <w:right w:val="none" w:sz="0" w:space="0" w:color="auto"/>
      </w:divBdr>
    </w:div>
    <w:div w:id="1546674348">
      <w:bodyDiv w:val="1"/>
      <w:marLeft w:val="0"/>
      <w:marRight w:val="0"/>
      <w:marTop w:val="0"/>
      <w:marBottom w:val="0"/>
      <w:divBdr>
        <w:top w:val="none" w:sz="0" w:space="0" w:color="auto"/>
        <w:left w:val="none" w:sz="0" w:space="0" w:color="auto"/>
        <w:bottom w:val="none" w:sz="0" w:space="0" w:color="auto"/>
        <w:right w:val="none" w:sz="0" w:space="0" w:color="auto"/>
      </w:divBdr>
    </w:div>
    <w:div w:id="1546719783">
      <w:bodyDiv w:val="1"/>
      <w:marLeft w:val="0"/>
      <w:marRight w:val="0"/>
      <w:marTop w:val="0"/>
      <w:marBottom w:val="0"/>
      <w:divBdr>
        <w:top w:val="none" w:sz="0" w:space="0" w:color="auto"/>
        <w:left w:val="none" w:sz="0" w:space="0" w:color="auto"/>
        <w:bottom w:val="none" w:sz="0" w:space="0" w:color="auto"/>
        <w:right w:val="none" w:sz="0" w:space="0" w:color="auto"/>
      </w:divBdr>
    </w:div>
    <w:div w:id="1547331634">
      <w:bodyDiv w:val="1"/>
      <w:marLeft w:val="0"/>
      <w:marRight w:val="0"/>
      <w:marTop w:val="0"/>
      <w:marBottom w:val="0"/>
      <w:divBdr>
        <w:top w:val="none" w:sz="0" w:space="0" w:color="auto"/>
        <w:left w:val="none" w:sz="0" w:space="0" w:color="auto"/>
        <w:bottom w:val="none" w:sz="0" w:space="0" w:color="auto"/>
        <w:right w:val="none" w:sz="0" w:space="0" w:color="auto"/>
      </w:divBdr>
    </w:div>
    <w:div w:id="1548225713">
      <w:bodyDiv w:val="1"/>
      <w:marLeft w:val="0"/>
      <w:marRight w:val="0"/>
      <w:marTop w:val="0"/>
      <w:marBottom w:val="0"/>
      <w:divBdr>
        <w:top w:val="none" w:sz="0" w:space="0" w:color="auto"/>
        <w:left w:val="none" w:sz="0" w:space="0" w:color="auto"/>
        <w:bottom w:val="none" w:sz="0" w:space="0" w:color="auto"/>
        <w:right w:val="none" w:sz="0" w:space="0" w:color="auto"/>
      </w:divBdr>
    </w:div>
    <w:div w:id="1549685061">
      <w:bodyDiv w:val="1"/>
      <w:marLeft w:val="0"/>
      <w:marRight w:val="0"/>
      <w:marTop w:val="0"/>
      <w:marBottom w:val="0"/>
      <w:divBdr>
        <w:top w:val="none" w:sz="0" w:space="0" w:color="auto"/>
        <w:left w:val="none" w:sz="0" w:space="0" w:color="auto"/>
        <w:bottom w:val="none" w:sz="0" w:space="0" w:color="auto"/>
        <w:right w:val="none" w:sz="0" w:space="0" w:color="auto"/>
      </w:divBdr>
    </w:div>
    <w:div w:id="1552230650">
      <w:bodyDiv w:val="1"/>
      <w:marLeft w:val="0"/>
      <w:marRight w:val="0"/>
      <w:marTop w:val="0"/>
      <w:marBottom w:val="0"/>
      <w:divBdr>
        <w:top w:val="none" w:sz="0" w:space="0" w:color="auto"/>
        <w:left w:val="none" w:sz="0" w:space="0" w:color="auto"/>
        <w:bottom w:val="none" w:sz="0" w:space="0" w:color="auto"/>
        <w:right w:val="none" w:sz="0" w:space="0" w:color="auto"/>
      </w:divBdr>
    </w:div>
    <w:div w:id="1554586547">
      <w:bodyDiv w:val="1"/>
      <w:marLeft w:val="0"/>
      <w:marRight w:val="0"/>
      <w:marTop w:val="0"/>
      <w:marBottom w:val="0"/>
      <w:divBdr>
        <w:top w:val="none" w:sz="0" w:space="0" w:color="auto"/>
        <w:left w:val="none" w:sz="0" w:space="0" w:color="auto"/>
        <w:bottom w:val="none" w:sz="0" w:space="0" w:color="auto"/>
        <w:right w:val="none" w:sz="0" w:space="0" w:color="auto"/>
      </w:divBdr>
    </w:div>
    <w:div w:id="1555239594">
      <w:bodyDiv w:val="1"/>
      <w:marLeft w:val="0"/>
      <w:marRight w:val="0"/>
      <w:marTop w:val="0"/>
      <w:marBottom w:val="0"/>
      <w:divBdr>
        <w:top w:val="none" w:sz="0" w:space="0" w:color="auto"/>
        <w:left w:val="none" w:sz="0" w:space="0" w:color="auto"/>
        <w:bottom w:val="none" w:sz="0" w:space="0" w:color="auto"/>
        <w:right w:val="none" w:sz="0" w:space="0" w:color="auto"/>
      </w:divBdr>
    </w:div>
    <w:div w:id="1555845905">
      <w:bodyDiv w:val="1"/>
      <w:marLeft w:val="0"/>
      <w:marRight w:val="0"/>
      <w:marTop w:val="0"/>
      <w:marBottom w:val="0"/>
      <w:divBdr>
        <w:top w:val="none" w:sz="0" w:space="0" w:color="auto"/>
        <w:left w:val="none" w:sz="0" w:space="0" w:color="auto"/>
        <w:bottom w:val="none" w:sz="0" w:space="0" w:color="auto"/>
        <w:right w:val="none" w:sz="0" w:space="0" w:color="auto"/>
      </w:divBdr>
    </w:div>
    <w:div w:id="1556114892">
      <w:bodyDiv w:val="1"/>
      <w:marLeft w:val="0"/>
      <w:marRight w:val="0"/>
      <w:marTop w:val="0"/>
      <w:marBottom w:val="0"/>
      <w:divBdr>
        <w:top w:val="none" w:sz="0" w:space="0" w:color="auto"/>
        <w:left w:val="none" w:sz="0" w:space="0" w:color="auto"/>
        <w:bottom w:val="none" w:sz="0" w:space="0" w:color="auto"/>
        <w:right w:val="none" w:sz="0" w:space="0" w:color="auto"/>
      </w:divBdr>
    </w:div>
    <w:div w:id="1557934362">
      <w:bodyDiv w:val="1"/>
      <w:marLeft w:val="0"/>
      <w:marRight w:val="0"/>
      <w:marTop w:val="0"/>
      <w:marBottom w:val="0"/>
      <w:divBdr>
        <w:top w:val="none" w:sz="0" w:space="0" w:color="auto"/>
        <w:left w:val="none" w:sz="0" w:space="0" w:color="auto"/>
        <w:bottom w:val="none" w:sz="0" w:space="0" w:color="auto"/>
        <w:right w:val="none" w:sz="0" w:space="0" w:color="auto"/>
      </w:divBdr>
    </w:div>
    <w:div w:id="1561817887">
      <w:bodyDiv w:val="1"/>
      <w:marLeft w:val="0"/>
      <w:marRight w:val="0"/>
      <w:marTop w:val="0"/>
      <w:marBottom w:val="0"/>
      <w:divBdr>
        <w:top w:val="none" w:sz="0" w:space="0" w:color="auto"/>
        <w:left w:val="none" w:sz="0" w:space="0" w:color="auto"/>
        <w:bottom w:val="none" w:sz="0" w:space="0" w:color="auto"/>
        <w:right w:val="none" w:sz="0" w:space="0" w:color="auto"/>
      </w:divBdr>
    </w:div>
    <w:div w:id="1561862726">
      <w:bodyDiv w:val="1"/>
      <w:marLeft w:val="0"/>
      <w:marRight w:val="0"/>
      <w:marTop w:val="0"/>
      <w:marBottom w:val="0"/>
      <w:divBdr>
        <w:top w:val="none" w:sz="0" w:space="0" w:color="auto"/>
        <w:left w:val="none" w:sz="0" w:space="0" w:color="auto"/>
        <w:bottom w:val="none" w:sz="0" w:space="0" w:color="auto"/>
        <w:right w:val="none" w:sz="0" w:space="0" w:color="auto"/>
      </w:divBdr>
    </w:div>
    <w:div w:id="1562060244">
      <w:bodyDiv w:val="1"/>
      <w:marLeft w:val="0"/>
      <w:marRight w:val="0"/>
      <w:marTop w:val="0"/>
      <w:marBottom w:val="0"/>
      <w:divBdr>
        <w:top w:val="none" w:sz="0" w:space="0" w:color="auto"/>
        <w:left w:val="none" w:sz="0" w:space="0" w:color="auto"/>
        <w:bottom w:val="none" w:sz="0" w:space="0" w:color="auto"/>
        <w:right w:val="none" w:sz="0" w:space="0" w:color="auto"/>
      </w:divBdr>
    </w:div>
    <w:div w:id="1562247977">
      <w:bodyDiv w:val="1"/>
      <w:marLeft w:val="0"/>
      <w:marRight w:val="0"/>
      <w:marTop w:val="0"/>
      <w:marBottom w:val="0"/>
      <w:divBdr>
        <w:top w:val="none" w:sz="0" w:space="0" w:color="auto"/>
        <w:left w:val="none" w:sz="0" w:space="0" w:color="auto"/>
        <w:bottom w:val="none" w:sz="0" w:space="0" w:color="auto"/>
        <w:right w:val="none" w:sz="0" w:space="0" w:color="auto"/>
      </w:divBdr>
    </w:div>
    <w:div w:id="1564020136">
      <w:bodyDiv w:val="1"/>
      <w:marLeft w:val="0"/>
      <w:marRight w:val="0"/>
      <w:marTop w:val="0"/>
      <w:marBottom w:val="0"/>
      <w:divBdr>
        <w:top w:val="none" w:sz="0" w:space="0" w:color="auto"/>
        <w:left w:val="none" w:sz="0" w:space="0" w:color="auto"/>
        <w:bottom w:val="none" w:sz="0" w:space="0" w:color="auto"/>
        <w:right w:val="none" w:sz="0" w:space="0" w:color="auto"/>
      </w:divBdr>
    </w:div>
    <w:div w:id="1565293129">
      <w:bodyDiv w:val="1"/>
      <w:marLeft w:val="0"/>
      <w:marRight w:val="0"/>
      <w:marTop w:val="0"/>
      <w:marBottom w:val="0"/>
      <w:divBdr>
        <w:top w:val="none" w:sz="0" w:space="0" w:color="auto"/>
        <w:left w:val="none" w:sz="0" w:space="0" w:color="auto"/>
        <w:bottom w:val="none" w:sz="0" w:space="0" w:color="auto"/>
        <w:right w:val="none" w:sz="0" w:space="0" w:color="auto"/>
      </w:divBdr>
    </w:div>
    <w:div w:id="1567691891">
      <w:bodyDiv w:val="1"/>
      <w:marLeft w:val="0"/>
      <w:marRight w:val="0"/>
      <w:marTop w:val="0"/>
      <w:marBottom w:val="0"/>
      <w:divBdr>
        <w:top w:val="none" w:sz="0" w:space="0" w:color="auto"/>
        <w:left w:val="none" w:sz="0" w:space="0" w:color="auto"/>
        <w:bottom w:val="none" w:sz="0" w:space="0" w:color="auto"/>
        <w:right w:val="none" w:sz="0" w:space="0" w:color="auto"/>
      </w:divBdr>
    </w:div>
    <w:div w:id="1567833077">
      <w:bodyDiv w:val="1"/>
      <w:marLeft w:val="0"/>
      <w:marRight w:val="0"/>
      <w:marTop w:val="0"/>
      <w:marBottom w:val="0"/>
      <w:divBdr>
        <w:top w:val="none" w:sz="0" w:space="0" w:color="auto"/>
        <w:left w:val="none" w:sz="0" w:space="0" w:color="auto"/>
        <w:bottom w:val="none" w:sz="0" w:space="0" w:color="auto"/>
        <w:right w:val="none" w:sz="0" w:space="0" w:color="auto"/>
      </w:divBdr>
    </w:div>
    <w:div w:id="1568494961">
      <w:bodyDiv w:val="1"/>
      <w:marLeft w:val="0"/>
      <w:marRight w:val="0"/>
      <w:marTop w:val="0"/>
      <w:marBottom w:val="0"/>
      <w:divBdr>
        <w:top w:val="none" w:sz="0" w:space="0" w:color="auto"/>
        <w:left w:val="none" w:sz="0" w:space="0" w:color="auto"/>
        <w:bottom w:val="none" w:sz="0" w:space="0" w:color="auto"/>
        <w:right w:val="none" w:sz="0" w:space="0" w:color="auto"/>
      </w:divBdr>
    </w:div>
    <w:div w:id="1569271056">
      <w:bodyDiv w:val="1"/>
      <w:marLeft w:val="0"/>
      <w:marRight w:val="0"/>
      <w:marTop w:val="0"/>
      <w:marBottom w:val="0"/>
      <w:divBdr>
        <w:top w:val="none" w:sz="0" w:space="0" w:color="auto"/>
        <w:left w:val="none" w:sz="0" w:space="0" w:color="auto"/>
        <w:bottom w:val="none" w:sz="0" w:space="0" w:color="auto"/>
        <w:right w:val="none" w:sz="0" w:space="0" w:color="auto"/>
      </w:divBdr>
    </w:div>
    <w:div w:id="1571769243">
      <w:bodyDiv w:val="1"/>
      <w:marLeft w:val="0"/>
      <w:marRight w:val="0"/>
      <w:marTop w:val="0"/>
      <w:marBottom w:val="0"/>
      <w:divBdr>
        <w:top w:val="none" w:sz="0" w:space="0" w:color="auto"/>
        <w:left w:val="none" w:sz="0" w:space="0" w:color="auto"/>
        <w:bottom w:val="none" w:sz="0" w:space="0" w:color="auto"/>
        <w:right w:val="none" w:sz="0" w:space="0" w:color="auto"/>
      </w:divBdr>
    </w:div>
    <w:div w:id="1573154492">
      <w:bodyDiv w:val="1"/>
      <w:marLeft w:val="0"/>
      <w:marRight w:val="0"/>
      <w:marTop w:val="0"/>
      <w:marBottom w:val="0"/>
      <w:divBdr>
        <w:top w:val="none" w:sz="0" w:space="0" w:color="auto"/>
        <w:left w:val="none" w:sz="0" w:space="0" w:color="auto"/>
        <w:bottom w:val="none" w:sz="0" w:space="0" w:color="auto"/>
        <w:right w:val="none" w:sz="0" w:space="0" w:color="auto"/>
      </w:divBdr>
    </w:div>
    <w:div w:id="1573201683">
      <w:bodyDiv w:val="1"/>
      <w:marLeft w:val="0"/>
      <w:marRight w:val="0"/>
      <w:marTop w:val="0"/>
      <w:marBottom w:val="0"/>
      <w:divBdr>
        <w:top w:val="none" w:sz="0" w:space="0" w:color="auto"/>
        <w:left w:val="none" w:sz="0" w:space="0" w:color="auto"/>
        <w:bottom w:val="none" w:sz="0" w:space="0" w:color="auto"/>
        <w:right w:val="none" w:sz="0" w:space="0" w:color="auto"/>
      </w:divBdr>
    </w:div>
    <w:div w:id="1574240481">
      <w:bodyDiv w:val="1"/>
      <w:marLeft w:val="0"/>
      <w:marRight w:val="0"/>
      <w:marTop w:val="0"/>
      <w:marBottom w:val="0"/>
      <w:divBdr>
        <w:top w:val="none" w:sz="0" w:space="0" w:color="auto"/>
        <w:left w:val="none" w:sz="0" w:space="0" w:color="auto"/>
        <w:bottom w:val="none" w:sz="0" w:space="0" w:color="auto"/>
        <w:right w:val="none" w:sz="0" w:space="0" w:color="auto"/>
      </w:divBdr>
    </w:div>
    <w:div w:id="1574779575">
      <w:bodyDiv w:val="1"/>
      <w:marLeft w:val="0"/>
      <w:marRight w:val="0"/>
      <w:marTop w:val="0"/>
      <w:marBottom w:val="0"/>
      <w:divBdr>
        <w:top w:val="none" w:sz="0" w:space="0" w:color="auto"/>
        <w:left w:val="none" w:sz="0" w:space="0" w:color="auto"/>
        <w:bottom w:val="none" w:sz="0" w:space="0" w:color="auto"/>
        <w:right w:val="none" w:sz="0" w:space="0" w:color="auto"/>
      </w:divBdr>
    </w:div>
    <w:div w:id="1574857252">
      <w:bodyDiv w:val="1"/>
      <w:marLeft w:val="0"/>
      <w:marRight w:val="0"/>
      <w:marTop w:val="0"/>
      <w:marBottom w:val="0"/>
      <w:divBdr>
        <w:top w:val="none" w:sz="0" w:space="0" w:color="auto"/>
        <w:left w:val="none" w:sz="0" w:space="0" w:color="auto"/>
        <w:bottom w:val="none" w:sz="0" w:space="0" w:color="auto"/>
        <w:right w:val="none" w:sz="0" w:space="0" w:color="auto"/>
      </w:divBdr>
    </w:div>
    <w:div w:id="1576280454">
      <w:bodyDiv w:val="1"/>
      <w:marLeft w:val="0"/>
      <w:marRight w:val="0"/>
      <w:marTop w:val="0"/>
      <w:marBottom w:val="0"/>
      <w:divBdr>
        <w:top w:val="none" w:sz="0" w:space="0" w:color="auto"/>
        <w:left w:val="none" w:sz="0" w:space="0" w:color="auto"/>
        <w:bottom w:val="none" w:sz="0" w:space="0" w:color="auto"/>
        <w:right w:val="none" w:sz="0" w:space="0" w:color="auto"/>
      </w:divBdr>
    </w:div>
    <w:div w:id="1577862335">
      <w:bodyDiv w:val="1"/>
      <w:marLeft w:val="0"/>
      <w:marRight w:val="0"/>
      <w:marTop w:val="0"/>
      <w:marBottom w:val="0"/>
      <w:divBdr>
        <w:top w:val="none" w:sz="0" w:space="0" w:color="auto"/>
        <w:left w:val="none" w:sz="0" w:space="0" w:color="auto"/>
        <w:bottom w:val="none" w:sz="0" w:space="0" w:color="auto"/>
        <w:right w:val="none" w:sz="0" w:space="0" w:color="auto"/>
      </w:divBdr>
    </w:div>
    <w:div w:id="1578006337">
      <w:bodyDiv w:val="1"/>
      <w:marLeft w:val="0"/>
      <w:marRight w:val="0"/>
      <w:marTop w:val="0"/>
      <w:marBottom w:val="0"/>
      <w:divBdr>
        <w:top w:val="none" w:sz="0" w:space="0" w:color="auto"/>
        <w:left w:val="none" w:sz="0" w:space="0" w:color="auto"/>
        <w:bottom w:val="none" w:sz="0" w:space="0" w:color="auto"/>
        <w:right w:val="none" w:sz="0" w:space="0" w:color="auto"/>
      </w:divBdr>
    </w:div>
    <w:div w:id="1579485140">
      <w:bodyDiv w:val="1"/>
      <w:marLeft w:val="0"/>
      <w:marRight w:val="0"/>
      <w:marTop w:val="0"/>
      <w:marBottom w:val="0"/>
      <w:divBdr>
        <w:top w:val="none" w:sz="0" w:space="0" w:color="auto"/>
        <w:left w:val="none" w:sz="0" w:space="0" w:color="auto"/>
        <w:bottom w:val="none" w:sz="0" w:space="0" w:color="auto"/>
        <w:right w:val="none" w:sz="0" w:space="0" w:color="auto"/>
      </w:divBdr>
    </w:div>
    <w:div w:id="1580946916">
      <w:bodyDiv w:val="1"/>
      <w:marLeft w:val="0"/>
      <w:marRight w:val="0"/>
      <w:marTop w:val="0"/>
      <w:marBottom w:val="0"/>
      <w:divBdr>
        <w:top w:val="none" w:sz="0" w:space="0" w:color="auto"/>
        <w:left w:val="none" w:sz="0" w:space="0" w:color="auto"/>
        <w:bottom w:val="none" w:sz="0" w:space="0" w:color="auto"/>
        <w:right w:val="none" w:sz="0" w:space="0" w:color="auto"/>
      </w:divBdr>
    </w:div>
    <w:div w:id="1581136351">
      <w:bodyDiv w:val="1"/>
      <w:marLeft w:val="0"/>
      <w:marRight w:val="0"/>
      <w:marTop w:val="0"/>
      <w:marBottom w:val="0"/>
      <w:divBdr>
        <w:top w:val="none" w:sz="0" w:space="0" w:color="auto"/>
        <w:left w:val="none" w:sz="0" w:space="0" w:color="auto"/>
        <w:bottom w:val="none" w:sz="0" w:space="0" w:color="auto"/>
        <w:right w:val="none" w:sz="0" w:space="0" w:color="auto"/>
      </w:divBdr>
    </w:div>
    <w:div w:id="1582174598">
      <w:bodyDiv w:val="1"/>
      <w:marLeft w:val="0"/>
      <w:marRight w:val="0"/>
      <w:marTop w:val="0"/>
      <w:marBottom w:val="0"/>
      <w:divBdr>
        <w:top w:val="none" w:sz="0" w:space="0" w:color="auto"/>
        <w:left w:val="none" w:sz="0" w:space="0" w:color="auto"/>
        <w:bottom w:val="none" w:sz="0" w:space="0" w:color="auto"/>
        <w:right w:val="none" w:sz="0" w:space="0" w:color="auto"/>
      </w:divBdr>
    </w:div>
    <w:div w:id="1583445603">
      <w:bodyDiv w:val="1"/>
      <w:marLeft w:val="0"/>
      <w:marRight w:val="0"/>
      <w:marTop w:val="0"/>
      <w:marBottom w:val="0"/>
      <w:divBdr>
        <w:top w:val="none" w:sz="0" w:space="0" w:color="auto"/>
        <w:left w:val="none" w:sz="0" w:space="0" w:color="auto"/>
        <w:bottom w:val="none" w:sz="0" w:space="0" w:color="auto"/>
        <w:right w:val="none" w:sz="0" w:space="0" w:color="auto"/>
      </w:divBdr>
    </w:div>
    <w:div w:id="1585065854">
      <w:bodyDiv w:val="1"/>
      <w:marLeft w:val="0"/>
      <w:marRight w:val="0"/>
      <w:marTop w:val="0"/>
      <w:marBottom w:val="0"/>
      <w:divBdr>
        <w:top w:val="none" w:sz="0" w:space="0" w:color="auto"/>
        <w:left w:val="none" w:sz="0" w:space="0" w:color="auto"/>
        <w:bottom w:val="none" w:sz="0" w:space="0" w:color="auto"/>
        <w:right w:val="none" w:sz="0" w:space="0" w:color="auto"/>
      </w:divBdr>
    </w:div>
    <w:div w:id="1585259038">
      <w:bodyDiv w:val="1"/>
      <w:marLeft w:val="0"/>
      <w:marRight w:val="0"/>
      <w:marTop w:val="0"/>
      <w:marBottom w:val="0"/>
      <w:divBdr>
        <w:top w:val="none" w:sz="0" w:space="0" w:color="auto"/>
        <w:left w:val="none" w:sz="0" w:space="0" w:color="auto"/>
        <w:bottom w:val="none" w:sz="0" w:space="0" w:color="auto"/>
        <w:right w:val="none" w:sz="0" w:space="0" w:color="auto"/>
      </w:divBdr>
    </w:div>
    <w:div w:id="1585411013">
      <w:bodyDiv w:val="1"/>
      <w:marLeft w:val="0"/>
      <w:marRight w:val="0"/>
      <w:marTop w:val="0"/>
      <w:marBottom w:val="0"/>
      <w:divBdr>
        <w:top w:val="none" w:sz="0" w:space="0" w:color="auto"/>
        <w:left w:val="none" w:sz="0" w:space="0" w:color="auto"/>
        <w:bottom w:val="none" w:sz="0" w:space="0" w:color="auto"/>
        <w:right w:val="none" w:sz="0" w:space="0" w:color="auto"/>
      </w:divBdr>
    </w:div>
    <w:div w:id="1586304590">
      <w:bodyDiv w:val="1"/>
      <w:marLeft w:val="0"/>
      <w:marRight w:val="0"/>
      <w:marTop w:val="0"/>
      <w:marBottom w:val="0"/>
      <w:divBdr>
        <w:top w:val="none" w:sz="0" w:space="0" w:color="auto"/>
        <w:left w:val="none" w:sz="0" w:space="0" w:color="auto"/>
        <w:bottom w:val="none" w:sz="0" w:space="0" w:color="auto"/>
        <w:right w:val="none" w:sz="0" w:space="0" w:color="auto"/>
      </w:divBdr>
    </w:div>
    <w:div w:id="1586380845">
      <w:bodyDiv w:val="1"/>
      <w:marLeft w:val="0"/>
      <w:marRight w:val="0"/>
      <w:marTop w:val="0"/>
      <w:marBottom w:val="0"/>
      <w:divBdr>
        <w:top w:val="none" w:sz="0" w:space="0" w:color="auto"/>
        <w:left w:val="none" w:sz="0" w:space="0" w:color="auto"/>
        <w:bottom w:val="none" w:sz="0" w:space="0" w:color="auto"/>
        <w:right w:val="none" w:sz="0" w:space="0" w:color="auto"/>
      </w:divBdr>
    </w:div>
    <w:div w:id="1587762268">
      <w:bodyDiv w:val="1"/>
      <w:marLeft w:val="0"/>
      <w:marRight w:val="0"/>
      <w:marTop w:val="0"/>
      <w:marBottom w:val="0"/>
      <w:divBdr>
        <w:top w:val="none" w:sz="0" w:space="0" w:color="auto"/>
        <w:left w:val="none" w:sz="0" w:space="0" w:color="auto"/>
        <w:bottom w:val="none" w:sz="0" w:space="0" w:color="auto"/>
        <w:right w:val="none" w:sz="0" w:space="0" w:color="auto"/>
      </w:divBdr>
    </w:div>
    <w:div w:id="1588882078">
      <w:bodyDiv w:val="1"/>
      <w:marLeft w:val="0"/>
      <w:marRight w:val="0"/>
      <w:marTop w:val="0"/>
      <w:marBottom w:val="0"/>
      <w:divBdr>
        <w:top w:val="none" w:sz="0" w:space="0" w:color="auto"/>
        <w:left w:val="none" w:sz="0" w:space="0" w:color="auto"/>
        <w:bottom w:val="none" w:sz="0" w:space="0" w:color="auto"/>
        <w:right w:val="none" w:sz="0" w:space="0" w:color="auto"/>
      </w:divBdr>
    </w:div>
    <w:div w:id="1591766898">
      <w:bodyDiv w:val="1"/>
      <w:marLeft w:val="0"/>
      <w:marRight w:val="0"/>
      <w:marTop w:val="0"/>
      <w:marBottom w:val="0"/>
      <w:divBdr>
        <w:top w:val="none" w:sz="0" w:space="0" w:color="auto"/>
        <w:left w:val="none" w:sz="0" w:space="0" w:color="auto"/>
        <w:bottom w:val="none" w:sz="0" w:space="0" w:color="auto"/>
        <w:right w:val="none" w:sz="0" w:space="0" w:color="auto"/>
      </w:divBdr>
    </w:div>
    <w:div w:id="1592592298">
      <w:bodyDiv w:val="1"/>
      <w:marLeft w:val="0"/>
      <w:marRight w:val="0"/>
      <w:marTop w:val="0"/>
      <w:marBottom w:val="0"/>
      <w:divBdr>
        <w:top w:val="none" w:sz="0" w:space="0" w:color="auto"/>
        <w:left w:val="none" w:sz="0" w:space="0" w:color="auto"/>
        <w:bottom w:val="none" w:sz="0" w:space="0" w:color="auto"/>
        <w:right w:val="none" w:sz="0" w:space="0" w:color="auto"/>
      </w:divBdr>
    </w:div>
    <w:div w:id="1593778777">
      <w:bodyDiv w:val="1"/>
      <w:marLeft w:val="0"/>
      <w:marRight w:val="0"/>
      <w:marTop w:val="0"/>
      <w:marBottom w:val="0"/>
      <w:divBdr>
        <w:top w:val="none" w:sz="0" w:space="0" w:color="auto"/>
        <w:left w:val="none" w:sz="0" w:space="0" w:color="auto"/>
        <w:bottom w:val="none" w:sz="0" w:space="0" w:color="auto"/>
        <w:right w:val="none" w:sz="0" w:space="0" w:color="auto"/>
      </w:divBdr>
    </w:div>
    <w:div w:id="1593858200">
      <w:bodyDiv w:val="1"/>
      <w:marLeft w:val="0"/>
      <w:marRight w:val="0"/>
      <w:marTop w:val="0"/>
      <w:marBottom w:val="0"/>
      <w:divBdr>
        <w:top w:val="none" w:sz="0" w:space="0" w:color="auto"/>
        <w:left w:val="none" w:sz="0" w:space="0" w:color="auto"/>
        <w:bottom w:val="none" w:sz="0" w:space="0" w:color="auto"/>
        <w:right w:val="none" w:sz="0" w:space="0" w:color="auto"/>
      </w:divBdr>
    </w:div>
    <w:div w:id="1595435293">
      <w:bodyDiv w:val="1"/>
      <w:marLeft w:val="0"/>
      <w:marRight w:val="0"/>
      <w:marTop w:val="0"/>
      <w:marBottom w:val="0"/>
      <w:divBdr>
        <w:top w:val="none" w:sz="0" w:space="0" w:color="auto"/>
        <w:left w:val="none" w:sz="0" w:space="0" w:color="auto"/>
        <w:bottom w:val="none" w:sz="0" w:space="0" w:color="auto"/>
        <w:right w:val="none" w:sz="0" w:space="0" w:color="auto"/>
      </w:divBdr>
    </w:div>
    <w:div w:id="1595942854">
      <w:bodyDiv w:val="1"/>
      <w:marLeft w:val="0"/>
      <w:marRight w:val="0"/>
      <w:marTop w:val="0"/>
      <w:marBottom w:val="0"/>
      <w:divBdr>
        <w:top w:val="none" w:sz="0" w:space="0" w:color="auto"/>
        <w:left w:val="none" w:sz="0" w:space="0" w:color="auto"/>
        <w:bottom w:val="none" w:sz="0" w:space="0" w:color="auto"/>
        <w:right w:val="none" w:sz="0" w:space="0" w:color="auto"/>
      </w:divBdr>
    </w:div>
    <w:div w:id="1597714154">
      <w:bodyDiv w:val="1"/>
      <w:marLeft w:val="0"/>
      <w:marRight w:val="0"/>
      <w:marTop w:val="0"/>
      <w:marBottom w:val="0"/>
      <w:divBdr>
        <w:top w:val="none" w:sz="0" w:space="0" w:color="auto"/>
        <w:left w:val="none" w:sz="0" w:space="0" w:color="auto"/>
        <w:bottom w:val="none" w:sz="0" w:space="0" w:color="auto"/>
        <w:right w:val="none" w:sz="0" w:space="0" w:color="auto"/>
      </w:divBdr>
    </w:div>
    <w:div w:id="1599757020">
      <w:bodyDiv w:val="1"/>
      <w:marLeft w:val="0"/>
      <w:marRight w:val="0"/>
      <w:marTop w:val="0"/>
      <w:marBottom w:val="0"/>
      <w:divBdr>
        <w:top w:val="none" w:sz="0" w:space="0" w:color="auto"/>
        <w:left w:val="none" w:sz="0" w:space="0" w:color="auto"/>
        <w:bottom w:val="none" w:sz="0" w:space="0" w:color="auto"/>
        <w:right w:val="none" w:sz="0" w:space="0" w:color="auto"/>
      </w:divBdr>
    </w:div>
    <w:div w:id="1599827927">
      <w:bodyDiv w:val="1"/>
      <w:marLeft w:val="0"/>
      <w:marRight w:val="0"/>
      <w:marTop w:val="0"/>
      <w:marBottom w:val="0"/>
      <w:divBdr>
        <w:top w:val="none" w:sz="0" w:space="0" w:color="auto"/>
        <w:left w:val="none" w:sz="0" w:space="0" w:color="auto"/>
        <w:bottom w:val="none" w:sz="0" w:space="0" w:color="auto"/>
        <w:right w:val="none" w:sz="0" w:space="0" w:color="auto"/>
      </w:divBdr>
    </w:div>
    <w:div w:id="1600335049">
      <w:bodyDiv w:val="1"/>
      <w:marLeft w:val="0"/>
      <w:marRight w:val="0"/>
      <w:marTop w:val="0"/>
      <w:marBottom w:val="0"/>
      <w:divBdr>
        <w:top w:val="none" w:sz="0" w:space="0" w:color="auto"/>
        <w:left w:val="none" w:sz="0" w:space="0" w:color="auto"/>
        <w:bottom w:val="none" w:sz="0" w:space="0" w:color="auto"/>
        <w:right w:val="none" w:sz="0" w:space="0" w:color="auto"/>
      </w:divBdr>
    </w:div>
    <w:div w:id="1600913814">
      <w:bodyDiv w:val="1"/>
      <w:marLeft w:val="0"/>
      <w:marRight w:val="0"/>
      <w:marTop w:val="0"/>
      <w:marBottom w:val="0"/>
      <w:divBdr>
        <w:top w:val="none" w:sz="0" w:space="0" w:color="auto"/>
        <w:left w:val="none" w:sz="0" w:space="0" w:color="auto"/>
        <w:bottom w:val="none" w:sz="0" w:space="0" w:color="auto"/>
        <w:right w:val="none" w:sz="0" w:space="0" w:color="auto"/>
      </w:divBdr>
    </w:div>
    <w:div w:id="1602378349">
      <w:bodyDiv w:val="1"/>
      <w:marLeft w:val="0"/>
      <w:marRight w:val="0"/>
      <w:marTop w:val="0"/>
      <w:marBottom w:val="0"/>
      <w:divBdr>
        <w:top w:val="none" w:sz="0" w:space="0" w:color="auto"/>
        <w:left w:val="none" w:sz="0" w:space="0" w:color="auto"/>
        <w:bottom w:val="none" w:sz="0" w:space="0" w:color="auto"/>
        <w:right w:val="none" w:sz="0" w:space="0" w:color="auto"/>
      </w:divBdr>
    </w:div>
    <w:div w:id="1602835779">
      <w:bodyDiv w:val="1"/>
      <w:marLeft w:val="0"/>
      <w:marRight w:val="0"/>
      <w:marTop w:val="0"/>
      <w:marBottom w:val="0"/>
      <w:divBdr>
        <w:top w:val="none" w:sz="0" w:space="0" w:color="auto"/>
        <w:left w:val="none" w:sz="0" w:space="0" w:color="auto"/>
        <w:bottom w:val="none" w:sz="0" w:space="0" w:color="auto"/>
        <w:right w:val="none" w:sz="0" w:space="0" w:color="auto"/>
      </w:divBdr>
    </w:div>
    <w:div w:id="1603100373">
      <w:bodyDiv w:val="1"/>
      <w:marLeft w:val="0"/>
      <w:marRight w:val="0"/>
      <w:marTop w:val="0"/>
      <w:marBottom w:val="0"/>
      <w:divBdr>
        <w:top w:val="none" w:sz="0" w:space="0" w:color="auto"/>
        <w:left w:val="none" w:sz="0" w:space="0" w:color="auto"/>
        <w:bottom w:val="none" w:sz="0" w:space="0" w:color="auto"/>
        <w:right w:val="none" w:sz="0" w:space="0" w:color="auto"/>
      </w:divBdr>
    </w:div>
    <w:div w:id="1603684226">
      <w:bodyDiv w:val="1"/>
      <w:marLeft w:val="0"/>
      <w:marRight w:val="0"/>
      <w:marTop w:val="0"/>
      <w:marBottom w:val="0"/>
      <w:divBdr>
        <w:top w:val="none" w:sz="0" w:space="0" w:color="auto"/>
        <w:left w:val="none" w:sz="0" w:space="0" w:color="auto"/>
        <w:bottom w:val="none" w:sz="0" w:space="0" w:color="auto"/>
        <w:right w:val="none" w:sz="0" w:space="0" w:color="auto"/>
      </w:divBdr>
    </w:div>
    <w:div w:id="1604654328">
      <w:bodyDiv w:val="1"/>
      <w:marLeft w:val="0"/>
      <w:marRight w:val="0"/>
      <w:marTop w:val="0"/>
      <w:marBottom w:val="0"/>
      <w:divBdr>
        <w:top w:val="none" w:sz="0" w:space="0" w:color="auto"/>
        <w:left w:val="none" w:sz="0" w:space="0" w:color="auto"/>
        <w:bottom w:val="none" w:sz="0" w:space="0" w:color="auto"/>
        <w:right w:val="none" w:sz="0" w:space="0" w:color="auto"/>
      </w:divBdr>
    </w:div>
    <w:div w:id="1604847809">
      <w:bodyDiv w:val="1"/>
      <w:marLeft w:val="0"/>
      <w:marRight w:val="0"/>
      <w:marTop w:val="0"/>
      <w:marBottom w:val="0"/>
      <w:divBdr>
        <w:top w:val="none" w:sz="0" w:space="0" w:color="auto"/>
        <w:left w:val="none" w:sz="0" w:space="0" w:color="auto"/>
        <w:bottom w:val="none" w:sz="0" w:space="0" w:color="auto"/>
        <w:right w:val="none" w:sz="0" w:space="0" w:color="auto"/>
      </w:divBdr>
    </w:div>
    <w:div w:id="1604995757">
      <w:bodyDiv w:val="1"/>
      <w:marLeft w:val="0"/>
      <w:marRight w:val="0"/>
      <w:marTop w:val="0"/>
      <w:marBottom w:val="0"/>
      <w:divBdr>
        <w:top w:val="none" w:sz="0" w:space="0" w:color="auto"/>
        <w:left w:val="none" w:sz="0" w:space="0" w:color="auto"/>
        <w:bottom w:val="none" w:sz="0" w:space="0" w:color="auto"/>
        <w:right w:val="none" w:sz="0" w:space="0" w:color="auto"/>
      </w:divBdr>
    </w:div>
    <w:div w:id="1605188148">
      <w:bodyDiv w:val="1"/>
      <w:marLeft w:val="0"/>
      <w:marRight w:val="0"/>
      <w:marTop w:val="0"/>
      <w:marBottom w:val="0"/>
      <w:divBdr>
        <w:top w:val="none" w:sz="0" w:space="0" w:color="auto"/>
        <w:left w:val="none" w:sz="0" w:space="0" w:color="auto"/>
        <w:bottom w:val="none" w:sz="0" w:space="0" w:color="auto"/>
        <w:right w:val="none" w:sz="0" w:space="0" w:color="auto"/>
      </w:divBdr>
    </w:div>
    <w:div w:id="1606494051">
      <w:bodyDiv w:val="1"/>
      <w:marLeft w:val="0"/>
      <w:marRight w:val="0"/>
      <w:marTop w:val="0"/>
      <w:marBottom w:val="0"/>
      <w:divBdr>
        <w:top w:val="none" w:sz="0" w:space="0" w:color="auto"/>
        <w:left w:val="none" w:sz="0" w:space="0" w:color="auto"/>
        <w:bottom w:val="none" w:sz="0" w:space="0" w:color="auto"/>
        <w:right w:val="none" w:sz="0" w:space="0" w:color="auto"/>
      </w:divBdr>
    </w:div>
    <w:div w:id="1608080416">
      <w:bodyDiv w:val="1"/>
      <w:marLeft w:val="0"/>
      <w:marRight w:val="0"/>
      <w:marTop w:val="0"/>
      <w:marBottom w:val="0"/>
      <w:divBdr>
        <w:top w:val="none" w:sz="0" w:space="0" w:color="auto"/>
        <w:left w:val="none" w:sz="0" w:space="0" w:color="auto"/>
        <w:bottom w:val="none" w:sz="0" w:space="0" w:color="auto"/>
        <w:right w:val="none" w:sz="0" w:space="0" w:color="auto"/>
      </w:divBdr>
    </w:div>
    <w:div w:id="1609041066">
      <w:bodyDiv w:val="1"/>
      <w:marLeft w:val="0"/>
      <w:marRight w:val="0"/>
      <w:marTop w:val="0"/>
      <w:marBottom w:val="0"/>
      <w:divBdr>
        <w:top w:val="none" w:sz="0" w:space="0" w:color="auto"/>
        <w:left w:val="none" w:sz="0" w:space="0" w:color="auto"/>
        <w:bottom w:val="none" w:sz="0" w:space="0" w:color="auto"/>
        <w:right w:val="none" w:sz="0" w:space="0" w:color="auto"/>
      </w:divBdr>
    </w:div>
    <w:div w:id="1609239370">
      <w:bodyDiv w:val="1"/>
      <w:marLeft w:val="0"/>
      <w:marRight w:val="0"/>
      <w:marTop w:val="0"/>
      <w:marBottom w:val="0"/>
      <w:divBdr>
        <w:top w:val="none" w:sz="0" w:space="0" w:color="auto"/>
        <w:left w:val="none" w:sz="0" w:space="0" w:color="auto"/>
        <w:bottom w:val="none" w:sz="0" w:space="0" w:color="auto"/>
        <w:right w:val="none" w:sz="0" w:space="0" w:color="auto"/>
      </w:divBdr>
    </w:div>
    <w:div w:id="1609852953">
      <w:bodyDiv w:val="1"/>
      <w:marLeft w:val="0"/>
      <w:marRight w:val="0"/>
      <w:marTop w:val="0"/>
      <w:marBottom w:val="0"/>
      <w:divBdr>
        <w:top w:val="none" w:sz="0" w:space="0" w:color="auto"/>
        <w:left w:val="none" w:sz="0" w:space="0" w:color="auto"/>
        <w:bottom w:val="none" w:sz="0" w:space="0" w:color="auto"/>
        <w:right w:val="none" w:sz="0" w:space="0" w:color="auto"/>
      </w:divBdr>
    </w:div>
    <w:div w:id="1610432744">
      <w:bodyDiv w:val="1"/>
      <w:marLeft w:val="0"/>
      <w:marRight w:val="0"/>
      <w:marTop w:val="0"/>
      <w:marBottom w:val="0"/>
      <w:divBdr>
        <w:top w:val="none" w:sz="0" w:space="0" w:color="auto"/>
        <w:left w:val="none" w:sz="0" w:space="0" w:color="auto"/>
        <w:bottom w:val="none" w:sz="0" w:space="0" w:color="auto"/>
        <w:right w:val="none" w:sz="0" w:space="0" w:color="auto"/>
      </w:divBdr>
    </w:div>
    <w:div w:id="1611551063">
      <w:bodyDiv w:val="1"/>
      <w:marLeft w:val="0"/>
      <w:marRight w:val="0"/>
      <w:marTop w:val="0"/>
      <w:marBottom w:val="0"/>
      <w:divBdr>
        <w:top w:val="none" w:sz="0" w:space="0" w:color="auto"/>
        <w:left w:val="none" w:sz="0" w:space="0" w:color="auto"/>
        <w:bottom w:val="none" w:sz="0" w:space="0" w:color="auto"/>
        <w:right w:val="none" w:sz="0" w:space="0" w:color="auto"/>
      </w:divBdr>
    </w:div>
    <w:div w:id="1612397066">
      <w:bodyDiv w:val="1"/>
      <w:marLeft w:val="0"/>
      <w:marRight w:val="0"/>
      <w:marTop w:val="0"/>
      <w:marBottom w:val="0"/>
      <w:divBdr>
        <w:top w:val="none" w:sz="0" w:space="0" w:color="auto"/>
        <w:left w:val="none" w:sz="0" w:space="0" w:color="auto"/>
        <w:bottom w:val="none" w:sz="0" w:space="0" w:color="auto"/>
        <w:right w:val="none" w:sz="0" w:space="0" w:color="auto"/>
      </w:divBdr>
    </w:div>
    <w:div w:id="1612778669">
      <w:bodyDiv w:val="1"/>
      <w:marLeft w:val="0"/>
      <w:marRight w:val="0"/>
      <w:marTop w:val="0"/>
      <w:marBottom w:val="0"/>
      <w:divBdr>
        <w:top w:val="none" w:sz="0" w:space="0" w:color="auto"/>
        <w:left w:val="none" w:sz="0" w:space="0" w:color="auto"/>
        <w:bottom w:val="none" w:sz="0" w:space="0" w:color="auto"/>
        <w:right w:val="none" w:sz="0" w:space="0" w:color="auto"/>
      </w:divBdr>
    </w:div>
    <w:div w:id="1613514366">
      <w:bodyDiv w:val="1"/>
      <w:marLeft w:val="0"/>
      <w:marRight w:val="0"/>
      <w:marTop w:val="0"/>
      <w:marBottom w:val="0"/>
      <w:divBdr>
        <w:top w:val="none" w:sz="0" w:space="0" w:color="auto"/>
        <w:left w:val="none" w:sz="0" w:space="0" w:color="auto"/>
        <w:bottom w:val="none" w:sz="0" w:space="0" w:color="auto"/>
        <w:right w:val="none" w:sz="0" w:space="0" w:color="auto"/>
      </w:divBdr>
    </w:div>
    <w:div w:id="1613628356">
      <w:bodyDiv w:val="1"/>
      <w:marLeft w:val="0"/>
      <w:marRight w:val="0"/>
      <w:marTop w:val="0"/>
      <w:marBottom w:val="0"/>
      <w:divBdr>
        <w:top w:val="none" w:sz="0" w:space="0" w:color="auto"/>
        <w:left w:val="none" w:sz="0" w:space="0" w:color="auto"/>
        <w:bottom w:val="none" w:sz="0" w:space="0" w:color="auto"/>
        <w:right w:val="none" w:sz="0" w:space="0" w:color="auto"/>
      </w:divBdr>
    </w:div>
    <w:div w:id="1613899672">
      <w:bodyDiv w:val="1"/>
      <w:marLeft w:val="0"/>
      <w:marRight w:val="0"/>
      <w:marTop w:val="0"/>
      <w:marBottom w:val="0"/>
      <w:divBdr>
        <w:top w:val="none" w:sz="0" w:space="0" w:color="auto"/>
        <w:left w:val="none" w:sz="0" w:space="0" w:color="auto"/>
        <w:bottom w:val="none" w:sz="0" w:space="0" w:color="auto"/>
        <w:right w:val="none" w:sz="0" w:space="0" w:color="auto"/>
      </w:divBdr>
    </w:div>
    <w:div w:id="1614819882">
      <w:bodyDiv w:val="1"/>
      <w:marLeft w:val="0"/>
      <w:marRight w:val="0"/>
      <w:marTop w:val="0"/>
      <w:marBottom w:val="0"/>
      <w:divBdr>
        <w:top w:val="none" w:sz="0" w:space="0" w:color="auto"/>
        <w:left w:val="none" w:sz="0" w:space="0" w:color="auto"/>
        <w:bottom w:val="none" w:sz="0" w:space="0" w:color="auto"/>
        <w:right w:val="none" w:sz="0" w:space="0" w:color="auto"/>
      </w:divBdr>
    </w:div>
    <w:div w:id="1617638545">
      <w:bodyDiv w:val="1"/>
      <w:marLeft w:val="0"/>
      <w:marRight w:val="0"/>
      <w:marTop w:val="0"/>
      <w:marBottom w:val="0"/>
      <w:divBdr>
        <w:top w:val="none" w:sz="0" w:space="0" w:color="auto"/>
        <w:left w:val="none" w:sz="0" w:space="0" w:color="auto"/>
        <w:bottom w:val="none" w:sz="0" w:space="0" w:color="auto"/>
        <w:right w:val="none" w:sz="0" w:space="0" w:color="auto"/>
      </w:divBdr>
    </w:div>
    <w:div w:id="1617787783">
      <w:bodyDiv w:val="1"/>
      <w:marLeft w:val="0"/>
      <w:marRight w:val="0"/>
      <w:marTop w:val="0"/>
      <w:marBottom w:val="0"/>
      <w:divBdr>
        <w:top w:val="none" w:sz="0" w:space="0" w:color="auto"/>
        <w:left w:val="none" w:sz="0" w:space="0" w:color="auto"/>
        <w:bottom w:val="none" w:sz="0" w:space="0" w:color="auto"/>
        <w:right w:val="none" w:sz="0" w:space="0" w:color="auto"/>
      </w:divBdr>
    </w:div>
    <w:div w:id="1617979424">
      <w:bodyDiv w:val="1"/>
      <w:marLeft w:val="0"/>
      <w:marRight w:val="0"/>
      <w:marTop w:val="0"/>
      <w:marBottom w:val="0"/>
      <w:divBdr>
        <w:top w:val="none" w:sz="0" w:space="0" w:color="auto"/>
        <w:left w:val="none" w:sz="0" w:space="0" w:color="auto"/>
        <w:bottom w:val="none" w:sz="0" w:space="0" w:color="auto"/>
        <w:right w:val="none" w:sz="0" w:space="0" w:color="auto"/>
      </w:divBdr>
    </w:div>
    <w:div w:id="1619099529">
      <w:bodyDiv w:val="1"/>
      <w:marLeft w:val="0"/>
      <w:marRight w:val="0"/>
      <w:marTop w:val="0"/>
      <w:marBottom w:val="0"/>
      <w:divBdr>
        <w:top w:val="none" w:sz="0" w:space="0" w:color="auto"/>
        <w:left w:val="none" w:sz="0" w:space="0" w:color="auto"/>
        <w:bottom w:val="none" w:sz="0" w:space="0" w:color="auto"/>
        <w:right w:val="none" w:sz="0" w:space="0" w:color="auto"/>
      </w:divBdr>
    </w:div>
    <w:div w:id="1619726547">
      <w:bodyDiv w:val="1"/>
      <w:marLeft w:val="0"/>
      <w:marRight w:val="0"/>
      <w:marTop w:val="0"/>
      <w:marBottom w:val="0"/>
      <w:divBdr>
        <w:top w:val="none" w:sz="0" w:space="0" w:color="auto"/>
        <w:left w:val="none" w:sz="0" w:space="0" w:color="auto"/>
        <w:bottom w:val="none" w:sz="0" w:space="0" w:color="auto"/>
        <w:right w:val="none" w:sz="0" w:space="0" w:color="auto"/>
      </w:divBdr>
    </w:div>
    <w:div w:id="1620405672">
      <w:bodyDiv w:val="1"/>
      <w:marLeft w:val="0"/>
      <w:marRight w:val="0"/>
      <w:marTop w:val="0"/>
      <w:marBottom w:val="0"/>
      <w:divBdr>
        <w:top w:val="none" w:sz="0" w:space="0" w:color="auto"/>
        <w:left w:val="none" w:sz="0" w:space="0" w:color="auto"/>
        <w:bottom w:val="none" w:sz="0" w:space="0" w:color="auto"/>
        <w:right w:val="none" w:sz="0" w:space="0" w:color="auto"/>
      </w:divBdr>
    </w:div>
    <w:div w:id="1622346092">
      <w:bodyDiv w:val="1"/>
      <w:marLeft w:val="0"/>
      <w:marRight w:val="0"/>
      <w:marTop w:val="0"/>
      <w:marBottom w:val="0"/>
      <w:divBdr>
        <w:top w:val="none" w:sz="0" w:space="0" w:color="auto"/>
        <w:left w:val="none" w:sz="0" w:space="0" w:color="auto"/>
        <w:bottom w:val="none" w:sz="0" w:space="0" w:color="auto"/>
        <w:right w:val="none" w:sz="0" w:space="0" w:color="auto"/>
      </w:divBdr>
    </w:div>
    <w:div w:id="1623994948">
      <w:bodyDiv w:val="1"/>
      <w:marLeft w:val="0"/>
      <w:marRight w:val="0"/>
      <w:marTop w:val="0"/>
      <w:marBottom w:val="0"/>
      <w:divBdr>
        <w:top w:val="none" w:sz="0" w:space="0" w:color="auto"/>
        <w:left w:val="none" w:sz="0" w:space="0" w:color="auto"/>
        <w:bottom w:val="none" w:sz="0" w:space="0" w:color="auto"/>
        <w:right w:val="none" w:sz="0" w:space="0" w:color="auto"/>
      </w:divBdr>
    </w:div>
    <w:div w:id="1624188823">
      <w:bodyDiv w:val="1"/>
      <w:marLeft w:val="0"/>
      <w:marRight w:val="0"/>
      <w:marTop w:val="0"/>
      <w:marBottom w:val="0"/>
      <w:divBdr>
        <w:top w:val="none" w:sz="0" w:space="0" w:color="auto"/>
        <w:left w:val="none" w:sz="0" w:space="0" w:color="auto"/>
        <w:bottom w:val="none" w:sz="0" w:space="0" w:color="auto"/>
        <w:right w:val="none" w:sz="0" w:space="0" w:color="auto"/>
      </w:divBdr>
    </w:div>
    <w:div w:id="1626081246">
      <w:bodyDiv w:val="1"/>
      <w:marLeft w:val="0"/>
      <w:marRight w:val="0"/>
      <w:marTop w:val="0"/>
      <w:marBottom w:val="0"/>
      <w:divBdr>
        <w:top w:val="none" w:sz="0" w:space="0" w:color="auto"/>
        <w:left w:val="none" w:sz="0" w:space="0" w:color="auto"/>
        <w:bottom w:val="none" w:sz="0" w:space="0" w:color="auto"/>
        <w:right w:val="none" w:sz="0" w:space="0" w:color="auto"/>
      </w:divBdr>
    </w:div>
    <w:div w:id="1626306939">
      <w:bodyDiv w:val="1"/>
      <w:marLeft w:val="0"/>
      <w:marRight w:val="0"/>
      <w:marTop w:val="0"/>
      <w:marBottom w:val="0"/>
      <w:divBdr>
        <w:top w:val="none" w:sz="0" w:space="0" w:color="auto"/>
        <w:left w:val="none" w:sz="0" w:space="0" w:color="auto"/>
        <w:bottom w:val="none" w:sz="0" w:space="0" w:color="auto"/>
        <w:right w:val="none" w:sz="0" w:space="0" w:color="auto"/>
      </w:divBdr>
    </w:div>
    <w:div w:id="1626545886">
      <w:bodyDiv w:val="1"/>
      <w:marLeft w:val="0"/>
      <w:marRight w:val="0"/>
      <w:marTop w:val="0"/>
      <w:marBottom w:val="0"/>
      <w:divBdr>
        <w:top w:val="none" w:sz="0" w:space="0" w:color="auto"/>
        <w:left w:val="none" w:sz="0" w:space="0" w:color="auto"/>
        <w:bottom w:val="none" w:sz="0" w:space="0" w:color="auto"/>
        <w:right w:val="none" w:sz="0" w:space="0" w:color="auto"/>
      </w:divBdr>
    </w:div>
    <w:div w:id="1628974703">
      <w:bodyDiv w:val="1"/>
      <w:marLeft w:val="0"/>
      <w:marRight w:val="0"/>
      <w:marTop w:val="0"/>
      <w:marBottom w:val="0"/>
      <w:divBdr>
        <w:top w:val="none" w:sz="0" w:space="0" w:color="auto"/>
        <w:left w:val="none" w:sz="0" w:space="0" w:color="auto"/>
        <w:bottom w:val="none" w:sz="0" w:space="0" w:color="auto"/>
        <w:right w:val="none" w:sz="0" w:space="0" w:color="auto"/>
      </w:divBdr>
    </w:div>
    <w:div w:id="1628975728">
      <w:bodyDiv w:val="1"/>
      <w:marLeft w:val="0"/>
      <w:marRight w:val="0"/>
      <w:marTop w:val="0"/>
      <w:marBottom w:val="0"/>
      <w:divBdr>
        <w:top w:val="none" w:sz="0" w:space="0" w:color="auto"/>
        <w:left w:val="none" w:sz="0" w:space="0" w:color="auto"/>
        <w:bottom w:val="none" w:sz="0" w:space="0" w:color="auto"/>
        <w:right w:val="none" w:sz="0" w:space="0" w:color="auto"/>
      </w:divBdr>
    </w:div>
    <w:div w:id="1630240389">
      <w:bodyDiv w:val="1"/>
      <w:marLeft w:val="0"/>
      <w:marRight w:val="0"/>
      <w:marTop w:val="0"/>
      <w:marBottom w:val="0"/>
      <w:divBdr>
        <w:top w:val="none" w:sz="0" w:space="0" w:color="auto"/>
        <w:left w:val="none" w:sz="0" w:space="0" w:color="auto"/>
        <w:bottom w:val="none" w:sz="0" w:space="0" w:color="auto"/>
        <w:right w:val="none" w:sz="0" w:space="0" w:color="auto"/>
      </w:divBdr>
    </w:div>
    <w:div w:id="1630896037">
      <w:bodyDiv w:val="1"/>
      <w:marLeft w:val="0"/>
      <w:marRight w:val="0"/>
      <w:marTop w:val="0"/>
      <w:marBottom w:val="0"/>
      <w:divBdr>
        <w:top w:val="none" w:sz="0" w:space="0" w:color="auto"/>
        <w:left w:val="none" w:sz="0" w:space="0" w:color="auto"/>
        <w:bottom w:val="none" w:sz="0" w:space="0" w:color="auto"/>
        <w:right w:val="none" w:sz="0" w:space="0" w:color="auto"/>
      </w:divBdr>
    </w:div>
    <w:div w:id="1636107359">
      <w:bodyDiv w:val="1"/>
      <w:marLeft w:val="0"/>
      <w:marRight w:val="0"/>
      <w:marTop w:val="0"/>
      <w:marBottom w:val="0"/>
      <w:divBdr>
        <w:top w:val="none" w:sz="0" w:space="0" w:color="auto"/>
        <w:left w:val="none" w:sz="0" w:space="0" w:color="auto"/>
        <w:bottom w:val="none" w:sz="0" w:space="0" w:color="auto"/>
        <w:right w:val="none" w:sz="0" w:space="0" w:color="auto"/>
      </w:divBdr>
    </w:div>
    <w:div w:id="1637107742">
      <w:bodyDiv w:val="1"/>
      <w:marLeft w:val="0"/>
      <w:marRight w:val="0"/>
      <w:marTop w:val="0"/>
      <w:marBottom w:val="0"/>
      <w:divBdr>
        <w:top w:val="none" w:sz="0" w:space="0" w:color="auto"/>
        <w:left w:val="none" w:sz="0" w:space="0" w:color="auto"/>
        <w:bottom w:val="none" w:sz="0" w:space="0" w:color="auto"/>
        <w:right w:val="none" w:sz="0" w:space="0" w:color="auto"/>
      </w:divBdr>
    </w:div>
    <w:div w:id="1637298219">
      <w:bodyDiv w:val="1"/>
      <w:marLeft w:val="0"/>
      <w:marRight w:val="0"/>
      <w:marTop w:val="0"/>
      <w:marBottom w:val="0"/>
      <w:divBdr>
        <w:top w:val="none" w:sz="0" w:space="0" w:color="auto"/>
        <w:left w:val="none" w:sz="0" w:space="0" w:color="auto"/>
        <w:bottom w:val="none" w:sz="0" w:space="0" w:color="auto"/>
        <w:right w:val="none" w:sz="0" w:space="0" w:color="auto"/>
      </w:divBdr>
    </w:div>
    <w:div w:id="1637446877">
      <w:bodyDiv w:val="1"/>
      <w:marLeft w:val="0"/>
      <w:marRight w:val="0"/>
      <w:marTop w:val="0"/>
      <w:marBottom w:val="0"/>
      <w:divBdr>
        <w:top w:val="none" w:sz="0" w:space="0" w:color="auto"/>
        <w:left w:val="none" w:sz="0" w:space="0" w:color="auto"/>
        <w:bottom w:val="none" w:sz="0" w:space="0" w:color="auto"/>
        <w:right w:val="none" w:sz="0" w:space="0" w:color="auto"/>
      </w:divBdr>
    </w:div>
    <w:div w:id="1638755627">
      <w:bodyDiv w:val="1"/>
      <w:marLeft w:val="0"/>
      <w:marRight w:val="0"/>
      <w:marTop w:val="0"/>
      <w:marBottom w:val="0"/>
      <w:divBdr>
        <w:top w:val="none" w:sz="0" w:space="0" w:color="auto"/>
        <w:left w:val="none" w:sz="0" w:space="0" w:color="auto"/>
        <w:bottom w:val="none" w:sz="0" w:space="0" w:color="auto"/>
        <w:right w:val="none" w:sz="0" w:space="0" w:color="auto"/>
      </w:divBdr>
    </w:div>
    <w:div w:id="1639260518">
      <w:bodyDiv w:val="1"/>
      <w:marLeft w:val="0"/>
      <w:marRight w:val="0"/>
      <w:marTop w:val="0"/>
      <w:marBottom w:val="0"/>
      <w:divBdr>
        <w:top w:val="none" w:sz="0" w:space="0" w:color="auto"/>
        <w:left w:val="none" w:sz="0" w:space="0" w:color="auto"/>
        <w:bottom w:val="none" w:sz="0" w:space="0" w:color="auto"/>
        <w:right w:val="none" w:sz="0" w:space="0" w:color="auto"/>
      </w:divBdr>
    </w:div>
    <w:div w:id="1639795704">
      <w:bodyDiv w:val="1"/>
      <w:marLeft w:val="0"/>
      <w:marRight w:val="0"/>
      <w:marTop w:val="0"/>
      <w:marBottom w:val="0"/>
      <w:divBdr>
        <w:top w:val="none" w:sz="0" w:space="0" w:color="auto"/>
        <w:left w:val="none" w:sz="0" w:space="0" w:color="auto"/>
        <w:bottom w:val="none" w:sz="0" w:space="0" w:color="auto"/>
        <w:right w:val="none" w:sz="0" w:space="0" w:color="auto"/>
      </w:divBdr>
    </w:div>
    <w:div w:id="1640382971">
      <w:bodyDiv w:val="1"/>
      <w:marLeft w:val="0"/>
      <w:marRight w:val="0"/>
      <w:marTop w:val="0"/>
      <w:marBottom w:val="0"/>
      <w:divBdr>
        <w:top w:val="none" w:sz="0" w:space="0" w:color="auto"/>
        <w:left w:val="none" w:sz="0" w:space="0" w:color="auto"/>
        <w:bottom w:val="none" w:sz="0" w:space="0" w:color="auto"/>
        <w:right w:val="none" w:sz="0" w:space="0" w:color="auto"/>
      </w:divBdr>
    </w:div>
    <w:div w:id="1641693480">
      <w:bodyDiv w:val="1"/>
      <w:marLeft w:val="0"/>
      <w:marRight w:val="0"/>
      <w:marTop w:val="0"/>
      <w:marBottom w:val="0"/>
      <w:divBdr>
        <w:top w:val="none" w:sz="0" w:space="0" w:color="auto"/>
        <w:left w:val="none" w:sz="0" w:space="0" w:color="auto"/>
        <w:bottom w:val="none" w:sz="0" w:space="0" w:color="auto"/>
        <w:right w:val="none" w:sz="0" w:space="0" w:color="auto"/>
      </w:divBdr>
    </w:div>
    <w:div w:id="1642536020">
      <w:bodyDiv w:val="1"/>
      <w:marLeft w:val="0"/>
      <w:marRight w:val="0"/>
      <w:marTop w:val="0"/>
      <w:marBottom w:val="0"/>
      <w:divBdr>
        <w:top w:val="none" w:sz="0" w:space="0" w:color="auto"/>
        <w:left w:val="none" w:sz="0" w:space="0" w:color="auto"/>
        <w:bottom w:val="none" w:sz="0" w:space="0" w:color="auto"/>
        <w:right w:val="none" w:sz="0" w:space="0" w:color="auto"/>
      </w:divBdr>
    </w:div>
    <w:div w:id="1644658111">
      <w:bodyDiv w:val="1"/>
      <w:marLeft w:val="0"/>
      <w:marRight w:val="0"/>
      <w:marTop w:val="0"/>
      <w:marBottom w:val="0"/>
      <w:divBdr>
        <w:top w:val="none" w:sz="0" w:space="0" w:color="auto"/>
        <w:left w:val="none" w:sz="0" w:space="0" w:color="auto"/>
        <w:bottom w:val="none" w:sz="0" w:space="0" w:color="auto"/>
        <w:right w:val="none" w:sz="0" w:space="0" w:color="auto"/>
      </w:divBdr>
    </w:div>
    <w:div w:id="1644893104">
      <w:bodyDiv w:val="1"/>
      <w:marLeft w:val="0"/>
      <w:marRight w:val="0"/>
      <w:marTop w:val="0"/>
      <w:marBottom w:val="0"/>
      <w:divBdr>
        <w:top w:val="none" w:sz="0" w:space="0" w:color="auto"/>
        <w:left w:val="none" w:sz="0" w:space="0" w:color="auto"/>
        <w:bottom w:val="none" w:sz="0" w:space="0" w:color="auto"/>
        <w:right w:val="none" w:sz="0" w:space="0" w:color="auto"/>
      </w:divBdr>
    </w:div>
    <w:div w:id="1645042466">
      <w:bodyDiv w:val="1"/>
      <w:marLeft w:val="0"/>
      <w:marRight w:val="0"/>
      <w:marTop w:val="0"/>
      <w:marBottom w:val="0"/>
      <w:divBdr>
        <w:top w:val="none" w:sz="0" w:space="0" w:color="auto"/>
        <w:left w:val="none" w:sz="0" w:space="0" w:color="auto"/>
        <w:bottom w:val="none" w:sz="0" w:space="0" w:color="auto"/>
        <w:right w:val="none" w:sz="0" w:space="0" w:color="auto"/>
      </w:divBdr>
    </w:div>
    <w:div w:id="1646469056">
      <w:bodyDiv w:val="1"/>
      <w:marLeft w:val="0"/>
      <w:marRight w:val="0"/>
      <w:marTop w:val="0"/>
      <w:marBottom w:val="0"/>
      <w:divBdr>
        <w:top w:val="none" w:sz="0" w:space="0" w:color="auto"/>
        <w:left w:val="none" w:sz="0" w:space="0" w:color="auto"/>
        <w:bottom w:val="none" w:sz="0" w:space="0" w:color="auto"/>
        <w:right w:val="none" w:sz="0" w:space="0" w:color="auto"/>
      </w:divBdr>
    </w:div>
    <w:div w:id="1646668077">
      <w:bodyDiv w:val="1"/>
      <w:marLeft w:val="0"/>
      <w:marRight w:val="0"/>
      <w:marTop w:val="0"/>
      <w:marBottom w:val="0"/>
      <w:divBdr>
        <w:top w:val="none" w:sz="0" w:space="0" w:color="auto"/>
        <w:left w:val="none" w:sz="0" w:space="0" w:color="auto"/>
        <w:bottom w:val="none" w:sz="0" w:space="0" w:color="auto"/>
        <w:right w:val="none" w:sz="0" w:space="0" w:color="auto"/>
      </w:divBdr>
    </w:div>
    <w:div w:id="1646811397">
      <w:bodyDiv w:val="1"/>
      <w:marLeft w:val="0"/>
      <w:marRight w:val="0"/>
      <w:marTop w:val="0"/>
      <w:marBottom w:val="0"/>
      <w:divBdr>
        <w:top w:val="none" w:sz="0" w:space="0" w:color="auto"/>
        <w:left w:val="none" w:sz="0" w:space="0" w:color="auto"/>
        <w:bottom w:val="none" w:sz="0" w:space="0" w:color="auto"/>
        <w:right w:val="none" w:sz="0" w:space="0" w:color="auto"/>
      </w:divBdr>
    </w:div>
    <w:div w:id="1649017279">
      <w:bodyDiv w:val="1"/>
      <w:marLeft w:val="0"/>
      <w:marRight w:val="0"/>
      <w:marTop w:val="0"/>
      <w:marBottom w:val="0"/>
      <w:divBdr>
        <w:top w:val="none" w:sz="0" w:space="0" w:color="auto"/>
        <w:left w:val="none" w:sz="0" w:space="0" w:color="auto"/>
        <w:bottom w:val="none" w:sz="0" w:space="0" w:color="auto"/>
        <w:right w:val="none" w:sz="0" w:space="0" w:color="auto"/>
      </w:divBdr>
    </w:div>
    <w:div w:id="1649892827">
      <w:bodyDiv w:val="1"/>
      <w:marLeft w:val="0"/>
      <w:marRight w:val="0"/>
      <w:marTop w:val="0"/>
      <w:marBottom w:val="0"/>
      <w:divBdr>
        <w:top w:val="none" w:sz="0" w:space="0" w:color="auto"/>
        <w:left w:val="none" w:sz="0" w:space="0" w:color="auto"/>
        <w:bottom w:val="none" w:sz="0" w:space="0" w:color="auto"/>
        <w:right w:val="none" w:sz="0" w:space="0" w:color="auto"/>
      </w:divBdr>
    </w:div>
    <w:div w:id="1651593761">
      <w:bodyDiv w:val="1"/>
      <w:marLeft w:val="0"/>
      <w:marRight w:val="0"/>
      <w:marTop w:val="0"/>
      <w:marBottom w:val="0"/>
      <w:divBdr>
        <w:top w:val="none" w:sz="0" w:space="0" w:color="auto"/>
        <w:left w:val="none" w:sz="0" w:space="0" w:color="auto"/>
        <w:bottom w:val="none" w:sz="0" w:space="0" w:color="auto"/>
        <w:right w:val="none" w:sz="0" w:space="0" w:color="auto"/>
      </w:divBdr>
    </w:div>
    <w:div w:id="1651713597">
      <w:bodyDiv w:val="1"/>
      <w:marLeft w:val="0"/>
      <w:marRight w:val="0"/>
      <w:marTop w:val="0"/>
      <w:marBottom w:val="0"/>
      <w:divBdr>
        <w:top w:val="none" w:sz="0" w:space="0" w:color="auto"/>
        <w:left w:val="none" w:sz="0" w:space="0" w:color="auto"/>
        <w:bottom w:val="none" w:sz="0" w:space="0" w:color="auto"/>
        <w:right w:val="none" w:sz="0" w:space="0" w:color="auto"/>
      </w:divBdr>
    </w:div>
    <w:div w:id="1653950425">
      <w:bodyDiv w:val="1"/>
      <w:marLeft w:val="0"/>
      <w:marRight w:val="0"/>
      <w:marTop w:val="0"/>
      <w:marBottom w:val="0"/>
      <w:divBdr>
        <w:top w:val="none" w:sz="0" w:space="0" w:color="auto"/>
        <w:left w:val="none" w:sz="0" w:space="0" w:color="auto"/>
        <w:bottom w:val="none" w:sz="0" w:space="0" w:color="auto"/>
        <w:right w:val="none" w:sz="0" w:space="0" w:color="auto"/>
      </w:divBdr>
    </w:div>
    <w:div w:id="1655521464">
      <w:bodyDiv w:val="1"/>
      <w:marLeft w:val="0"/>
      <w:marRight w:val="0"/>
      <w:marTop w:val="0"/>
      <w:marBottom w:val="0"/>
      <w:divBdr>
        <w:top w:val="none" w:sz="0" w:space="0" w:color="auto"/>
        <w:left w:val="none" w:sz="0" w:space="0" w:color="auto"/>
        <w:bottom w:val="none" w:sz="0" w:space="0" w:color="auto"/>
        <w:right w:val="none" w:sz="0" w:space="0" w:color="auto"/>
      </w:divBdr>
    </w:div>
    <w:div w:id="1655985002">
      <w:bodyDiv w:val="1"/>
      <w:marLeft w:val="0"/>
      <w:marRight w:val="0"/>
      <w:marTop w:val="0"/>
      <w:marBottom w:val="0"/>
      <w:divBdr>
        <w:top w:val="none" w:sz="0" w:space="0" w:color="auto"/>
        <w:left w:val="none" w:sz="0" w:space="0" w:color="auto"/>
        <w:bottom w:val="none" w:sz="0" w:space="0" w:color="auto"/>
        <w:right w:val="none" w:sz="0" w:space="0" w:color="auto"/>
      </w:divBdr>
    </w:div>
    <w:div w:id="1657027337">
      <w:bodyDiv w:val="1"/>
      <w:marLeft w:val="0"/>
      <w:marRight w:val="0"/>
      <w:marTop w:val="0"/>
      <w:marBottom w:val="0"/>
      <w:divBdr>
        <w:top w:val="none" w:sz="0" w:space="0" w:color="auto"/>
        <w:left w:val="none" w:sz="0" w:space="0" w:color="auto"/>
        <w:bottom w:val="none" w:sz="0" w:space="0" w:color="auto"/>
        <w:right w:val="none" w:sz="0" w:space="0" w:color="auto"/>
      </w:divBdr>
    </w:div>
    <w:div w:id="1657302389">
      <w:bodyDiv w:val="1"/>
      <w:marLeft w:val="0"/>
      <w:marRight w:val="0"/>
      <w:marTop w:val="0"/>
      <w:marBottom w:val="0"/>
      <w:divBdr>
        <w:top w:val="none" w:sz="0" w:space="0" w:color="auto"/>
        <w:left w:val="none" w:sz="0" w:space="0" w:color="auto"/>
        <w:bottom w:val="none" w:sz="0" w:space="0" w:color="auto"/>
        <w:right w:val="none" w:sz="0" w:space="0" w:color="auto"/>
      </w:divBdr>
    </w:div>
    <w:div w:id="1658849698">
      <w:bodyDiv w:val="1"/>
      <w:marLeft w:val="0"/>
      <w:marRight w:val="0"/>
      <w:marTop w:val="0"/>
      <w:marBottom w:val="0"/>
      <w:divBdr>
        <w:top w:val="none" w:sz="0" w:space="0" w:color="auto"/>
        <w:left w:val="none" w:sz="0" w:space="0" w:color="auto"/>
        <w:bottom w:val="none" w:sz="0" w:space="0" w:color="auto"/>
        <w:right w:val="none" w:sz="0" w:space="0" w:color="auto"/>
      </w:divBdr>
    </w:div>
    <w:div w:id="1659109456">
      <w:bodyDiv w:val="1"/>
      <w:marLeft w:val="0"/>
      <w:marRight w:val="0"/>
      <w:marTop w:val="0"/>
      <w:marBottom w:val="0"/>
      <w:divBdr>
        <w:top w:val="none" w:sz="0" w:space="0" w:color="auto"/>
        <w:left w:val="none" w:sz="0" w:space="0" w:color="auto"/>
        <w:bottom w:val="none" w:sz="0" w:space="0" w:color="auto"/>
        <w:right w:val="none" w:sz="0" w:space="0" w:color="auto"/>
      </w:divBdr>
    </w:div>
    <w:div w:id="1660498188">
      <w:bodyDiv w:val="1"/>
      <w:marLeft w:val="0"/>
      <w:marRight w:val="0"/>
      <w:marTop w:val="0"/>
      <w:marBottom w:val="0"/>
      <w:divBdr>
        <w:top w:val="none" w:sz="0" w:space="0" w:color="auto"/>
        <w:left w:val="none" w:sz="0" w:space="0" w:color="auto"/>
        <w:bottom w:val="none" w:sz="0" w:space="0" w:color="auto"/>
        <w:right w:val="none" w:sz="0" w:space="0" w:color="auto"/>
      </w:divBdr>
    </w:div>
    <w:div w:id="1661537236">
      <w:bodyDiv w:val="1"/>
      <w:marLeft w:val="0"/>
      <w:marRight w:val="0"/>
      <w:marTop w:val="0"/>
      <w:marBottom w:val="0"/>
      <w:divBdr>
        <w:top w:val="none" w:sz="0" w:space="0" w:color="auto"/>
        <w:left w:val="none" w:sz="0" w:space="0" w:color="auto"/>
        <w:bottom w:val="none" w:sz="0" w:space="0" w:color="auto"/>
        <w:right w:val="none" w:sz="0" w:space="0" w:color="auto"/>
      </w:divBdr>
    </w:div>
    <w:div w:id="1661537776">
      <w:bodyDiv w:val="1"/>
      <w:marLeft w:val="0"/>
      <w:marRight w:val="0"/>
      <w:marTop w:val="0"/>
      <w:marBottom w:val="0"/>
      <w:divBdr>
        <w:top w:val="none" w:sz="0" w:space="0" w:color="auto"/>
        <w:left w:val="none" w:sz="0" w:space="0" w:color="auto"/>
        <w:bottom w:val="none" w:sz="0" w:space="0" w:color="auto"/>
        <w:right w:val="none" w:sz="0" w:space="0" w:color="auto"/>
      </w:divBdr>
    </w:div>
    <w:div w:id="1661691053">
      <w:bodyDiv w:val="1"/>
      <w:marLeft w:val="0"/>
      <w:marRight w:val="0"/>
      <w:marTop w:val="0"/>
      <w:marBottom w:val="0"/>
      <w:divBdr>
        <w:top w:val="none" w:sz="0" w:space="0" w:color="auto"/>
        <w:left w:val="none" w:sz="0" w:space="0" w:color="auto"/>
        <w:bottom w:val="none" w:sz="0" w:space="0" w:color="auto"/>
        <w:right w:val="none" w:sz="0" w:space="0" w:color="auto"/>
      </w:divBdr>
    </w:div>
    <w:div w:id="1662000226">
      <w:bodyDiv w:val="1"/>
      <w:marLeft w:val="0"/>
      <w:marRight w:val="0"/>
      <w:marTop w:val="0"/>
      <w:marBottom w:val="0"/>
      <w:divBdr>
        <w:top w:val="none" w:sz="0" w:space="0" w:color="auto"/>
        <w:left w:val="none" w:sz="0" w:space="0" w:color="auto"/>
        <w:bottom w:val="none" w:sz="0" w:space="0" w:color="auto"/>
        <w:right w:val="none" w:sz="0" w:space="0" w:color="auto"/>
      </w:divBdr>
    </w:div>
    <w:div w:id="1662393333">
      <w:bodyDiv w:val="1"/>
      <w:marLeft w:val="0"/>
      <w:marRight w:val="0"/>
      <w:marTop w:val="0"/>
      <w:marBottom w:val="0"/>
      <w:divBdr>
        <w:top w:val="none" w:sz="0" w:space="0" w:color="auto"/>
        <w:left w:val="none" w:sz="0" w:space="0" w:color="auto"/>
        <w:bottom w:val="none" w:sz="0" w:space="0" w:color="auto"/>
        <w:right w:val="none" w:sz="0" w:space="0" w:color="auto"/>
      </w:divBdr>
    </w:div>
    <w:div w:id="1662462521">
      <w:bodyDiv w:val="1"/>
      <w:marLeft w:val="0"/>
      <w:marRight w:val="0"/>
      <w:marTop w:val="0"/>
      <w:marBottom w:val="0"/>
      <w:divBdr>
        <w:top w:val="none" w:sz="0" w:space="0" w:color="auto"/>
        <w:left w:val="none" w:sz="0" w:space="0" w:color="auto"/>
        <w:bottom w:val="none" w:sz="0" w:space="0" w:color="auto"/>
        <w:right w:val="none" w:sz="0" w:space="0" w:color="auto"/>
      </w:divBdr>
    </w:div>
    <w:div w:id="1663654861">
      <w:bodyDiv w:val="1"/>
      <w:marLeft w:val="0"/>
      <w:marRight w:val="0"/>
      <w:marTop w:val="0"/>
      <w:marBottom w:val="0"/>
      <w:divBdr>
        <w:top w:val="none" w:sz="0" w:space="0" w:color="auto"/>
        <w:left w:val="none" w:sz="0" w:space="0" w:color="auto"/>
        <w:bottom w:val="none" w:sz="0" w:space="0" w:color="auto"/>
        <w:right w:val="none" w:sz="0" w:space="0" w:color="auto"/>
      </w:divBdr>
    </w:div>
    <w:div w:id="1663847159">
      <w:bodyDiv w:val="1"/>
      <w:marLeft w:val="0"/>
      <w:marRight w:val="0"/>
      <w:marTop w:val="0"/>
      <w:marBottom w:val="0"/>
      <w:divBdr>
        <w:top w:val="none" w:sz="0" w:space="0" w:color="auto"/>
        <w:left w:val="none" w:sz="0" w:space="0" w:color="auto"/>
        <w:bottom w:val="none" w:sz="0" w:space="0" w:color="auto"/>
        <w:right w:val="none" w:sz="0" w:space="0" w:color="auto"/>
      </w:divBdr>
    </w:div>
    <w:div w:id="1664091484">
      <w:bodyDiv w:val="1"/>
      <w:marLeft w:val="0"/>
      <w:marRight w:val="0"/>
      <w:marTop w:val="0"/>
      <w:marBottom w:val="0"/>
      <w:divBdr>
        <w:top w:val="none" w:sz="0" w:space="0" w:color="auto"/>
        <w:left w:val="none" w:sz="0" w:space="0" w:color="auto"/>
        <w:bottom w:val="none" w:sz="0" w:space="0" w:color="auto"/>
        <w:right w:val="none" w:sz="0" w:space="0" w:color="auto"/>
      </w:divBdr>
    </w:div>
    <w:div w:id="1664552270">
      <w:bodyDiv w:val="1"/>
      <w:marLeft w:val="0"/>
      <w:marRight w:val="0"/>
      <w:marTop w:val="0"/>
      <w:marBottom w:val="0"/>
      <w:divBdr>
        <w:top w:val="none" w:sz="0" w:space="0" w:color="auto"/>
        <w:left w:val="none" w:sz="0" w:space="0" w:color="auto"/>
        <w:bottom w:val="none" w:sz="0" w:space="0" w:color="auto"/>
        <w:right w:val="none" w:sz="0" w:space="0" w:color="auto"/>
      </w:divBdr>
    </w:div>
    <w:div w:id="1666399477">
      <w:bodyDiv w:val="1"/>
      <w:marLeft w:val="0"/>
      <w:marRight w:val="0"/>
      <w:marTop w:val="0"/>
      <w:marBottom w:val="0"/>
      <w:divBdr>
        <w:top w:val="none" w:sz="0" w:space="0" w:color="auto"/>
        <w:left w:val="none" w:sz="0" w:space="0" w:color="auto"/>
        <w:bottom w:val="none" w:sz="0" w:space="0" w:color="auto"/>
        <w:right w:val="none" w:sz="0" w:space="0" w:color="auto"/>
      </w:divBdr>
    </w:div>
    <w:div w:id="1667441703">
      <w:bodyDiv w:val="1"/>
      <w:marLeft w:val="0"/>
      <w:marRight w:val="0"/>
      <w:marTop w:val="0"/>
      <w:marBottom w:val="0"/>
      <w:divBdr>
        <w:top w:val="none" w:sz="0" w:space="0" w:color="auto"/>
        <w:left w:val="none" w:sz="0" w:space="0" w:color="auto"/>
        <w:bottom w:val="none" w:sz="0" w:space="0" w:color="auto"/>
        <w:right w:val="none" w:sz="0" w:space="0" w:color="auto"/>
      </w:divBdr>
    </w:div>
    <w:div w:id="1669285617">
      <w:bodyDiv w:val="1"/>
      <w:marLeft w:val="0"/>
      <w:marRight w:val="0"/>
      <w:marTop w:val="0"/>
      <w:marBottom w:val="0"/>
      <w:divBdr>
        <w:top w:val="none" w:sz="0" w:space="0" w:color="auto"/>
        <w:left w:val="none" w:sz="0" w:space="0" w:color="auto"/>
        <w:bottom w:val="none" w:sz="0" w:space="0" w:color="auto"/>
        <w:right w:val="none" w:sz="0" w:space="0" w:color="auto"/>
      </w:divBdr>
    </w:div>
    <w:div w:id="1670862979">
      <w:bodyDiv w:val="1"/>
      <w:marLeft w:val="0"/>
      <w:marRight w:val="0"/>
      <w:marTop w:val="0"/>
      <w:marBottom w:val="0"/>
      <w:divBdr>
        <w:top w:val="none" w:sz="0" w:space="0" w:color="auto"/>
        <w:left w:val="none" w:sz="0" w:space="0" w:color="auto"/>
        <w:bottom w:val="none" w:sz="0" w:space="0" w:color="auto"/>
        <w:right w:val="none" w:sz="0" w:space="0" w:color="auto"/>
      </w:divBdr>
    </w:div>
    <w:div w:id="1671711164">
      <w:bodyDiv w:val="1"/>
      <w:marLeft w:val="0"/>
      <w:marRight w:val="0"/>
      <w:marTop w:val="0"/>
      <w:marBottom w:val="0"/>
      <w:divBdr>
        <w:top w:val="none" w:sz="0" w:space="0" w:color="auto"/>
        <w:left w:val="none" w:sz="0" w:space="0" w:color="auto"/>
        <w:bottom w:val="none" w:sz="0" w:space="0" w:color="auto"/>
        <w:right w:val="none" w:sz="0" w:space="0" w:color="auto"/>
      </w:divBdr>
    </w:div>
    <w:div w:id="1671713457">
      <w:bodyDiv w:val="1"/>
      <w:marLeft w:val="0"/>
      <w:marRight w:val="0"/>
      <w:marTop w:val="0"/>
      <w:marBottom w:val="0"/>
      <w:divBdr>
        <w:top w:val="none" w:sz="0" w:space="0" w:color="auto"/>
        <w:left w:val="none" w:sz="0" w:space="0" w:color="auto"/>
        <w:bottom w:val="none" w:sz="0" w:space="0" w:color="auto"/>
        <w:right w:val="none" w:sz="0" w:space="0" w:color="auto"/>
      </w:divBdr>
    </w:div>
    <w:div w:id="1674070934">
      <w:bodyDiv w:val="1"/>
      <w:marLeft w:val="0"/>
      <w:marRight w:val="0"/>
      <w:marTop w:val="0"/>
      <w:marBottom w:val="0"/>
      <w:divBdr>
        <w:top w:val="none" w:sz="0" w:space="0" w:color="auto"/>
        <w:left w:val="none" w:sz="0" w:space="0" w:color="auto"/>
        <w:bottom w:val="none" w:sz="0" w:space="0" w:color="auto"/>
        <w:right w:val="none" w:sz="0" w:space="0" w:color="auto"/>
      </w:divBdr>
    </w:div>
    <w:div w:id="1675495325">
      <w:bodyDiv w:val="1"/>
      <w:marLeft w:val="0"/>
      <w:marRight w:val="0"/>
      <w:marTop w:val="0"/>
      <w:marBottom w:val="0"/>
      <w:divBdr>
        <w:top w:val="none" w:sz="0" w:space="0" w:color="auto"/>
        <w:left w:val="none" w:sz="0" w:space="0" w:color="auto"/>
        <w:bottom w:val="none" w:sz="0" w:space="0" w:color="auto"/>
        <w:right w:val="none" w:sz="0" w:space="0" w:color="auto"/>
      </w:divBdr>
    </w:div>
    <w:div w:id="1675567105">
      <w:bodyDiv w:val="1"/>
      <w:marLeft w:val="0"/>
      <w:marRight w:val="0"/>
      <w:marTop w:val="0"/>
      <w:marBottom w:val="0"/>
      <w:divBdr>
        <w:top w:val="none" w:sz="0" w:space="0" w:color="auto"/>
        <w:left w:val="none" w:sz="0" w:space="0" w:color="auto"/>
        <w:bottom w:val="none" w:sz="0" w:space="0" w:color="auto"/>
        <w:right w:val="none" w:sz="0" w:space="0" w:color="auto"/>
      </w:divBdr>
    </w:div>
    <w:div w:id="1675835830">
      <w:bodyDiv w:val="1"/>
      <w:marLeft w:val="0"/>
      <w:marRight w:val="0"/>
      <w:marTop w:val="0"/>
      <w:marBottom w:val="0"/>
      <w:divBdr>
        <w:top w:val="none" w:sz="0" w:space="0" w:color="auto"/>
        <w:left w:val="none" w:sz="0" w:space="0" w:color="auto"/>
        <w:bottom w:val="none" w:sz="0" w:space="0" w:color="auto"/>
        <w:right w:val="none" w:sz="0" w:space="0" w:color="auto"/>
      </w:divBdr>
    </w:div>
    <w:div w:id="1676688647">
      <w:bodyDiv w:val="1"/>
      <w:marLeft w:val="0"/>
      <w:marRight w:val="0"/>
      <w:marTop w:val="0"/>
      <w:marBottom w:val="0"/>
      <w:divBdr>
        <w:top w:val="none" w:sz="0" w:space="0" w:color="auto"/>
        <w:left w:val="none" w:sz="0" w:space="0" w:color="auto"/>
        <w:bottom w:val="none" w:sz="0" w:space="0" w:color="auto"/>
        <w:right w:val="none" w:sz="0" w:space="0" w:color="auto"/>
      </w:divBdr>
    </w:div>
    <w:div w:id="1677341770">
      <w:bodyDiv w:val="1"/>
      <w:marLeft w:val="0"/>
      <w:marRight w:val="0"/>
      <w:marTop w:val="0"/>
      <w:marBottom w:val="0"/>
      <w:divBdr>
        <w:top w:val="none" w:sz="0" w:space="0" w:color="auto"/>
        <w:left w:val="none" w:sz="0" w:space="0" w:color="auto"/>
        <w:bottom w:val="none" w:sz="0" w:space="0" w:color="auto"/>
        <w:right w:val="none" w:sz="0" w:space="0" w:color="auto"/>
      </w:divBdr>
    </w:div>
    <w:div w:id="1677614765">
      <w:bodyDiv w:val="1"/>
      <w:marLeft w:val="0"/>
      <w:marRight w:val="0"/>
      <w:marTop w:val="0"/>
      <w:marBottom w:val="0"/>
      <w:divBdr>
        <w:top w:val="none" w:sz="0" w:space="0" w:color="auto"/>
        <w:left w:val="none" w:sz="0" w:space="0" w:color="auto"/>
        <w:bottom w:val="none" w:sz="0" w:space="0" w:color="auto"/>
        <w:right w:val="none" w:sz="0" w:space="0" w:color="auto"/>
      </w:divBdr>
    </w:div>
    <w:div w:id="1677925180">
      <w:bodyDiv w:val="1"/>
      <w:marLeft w:val="0"/>
      <w:marRight w:val="0"/>
      <w:marTop w:val="0"/>
      <w:marBottom w:val="0"/>
      <w:divBdr>
        <w:top w:val="none" w:sz="0" w:space="0" w:color="auto"/>
        <w:left w:val="none" w:sz="0" w:space="0" w:color="auto"/>
        <w:bottom w:val="none" w:sz="0" w:space="0" w:color="auto"/>
        <w:right w:val="none" w:sz="0" w:space="0" w:color="auto"/>
      </w:divBdr>
    </w:div>
    <w:div w:id="1678077056">
      <w:bodyDiv w:val="1"/>
      <w:marLeft w:val="0"/>
      <w:marRight w:val="0"/>
      <w:marTop w:val="0"/>
      <w:marBottom w:val="0"/>
      <w:divBdr>
        <w:top w:val="none" w:sz="0" w:space="0" w:color="auto"/>
        <w:left w:val="none" w:sz="0" w:space="0" w:color="auto"/>
        <w:bottom w:val="none" w:sz="0" w:space="0" w:color="auto"/>
        <w:right w:val="none" w:sz="0" w:space="0" w:color="auto"/>
      </w:divBdr>
    </w:div>
    <w:div w:id="1678267434">
      <w:bodyDiv w:val="1"/>
      <w:marLeft w:val="0"/>
      <w:marRight w:val="0"/>
      <w:marTop w:val="0"/>
      <w:marBottom w:val="0"/>
      <w:divBdr>
        <w:top w:val="none" w:sz="0" w:space="0" w:color="auto"/>
        <w:left w:val="none" w:sz="0" w:space="0" w:color="auto"/>
        <w:bottom w:val="none" w:sz="0" w:space="0" w:color="auto"/>
        <w:right w:val="none" w:sz="0" w:space="0" w:color="auto"/>
      </w:divBdr>
    </w:div>
    <w:div w:id="1678772465">
      <w:bodyDiv w:val="1"/>
      <w:marLeft w:val="0"/>
      <w:marRight w:val="0"/>
      <w:marTop w:val="0"/>
      <w:marBottom w:val="0"/>
      <w:divBdr>
        <w:top w:val="none" w:sz="0" w:space="0" w:color="auto"/>
        <w:left w:val="none" w:sz="0" w:space="0" w:color="auto"/>
        <w:bottom w:val="none" w:sz="0" w:space="0" w:color="auto"/>
        <w:right w:val="none" w:sz="0" w:space="0" w:color="auto"/>
      </w:divBdr>
    </w:div>
    <w:div w:id="1678849188">
      <w:bodyDiv w:val="1"/>
      <w:marLeft w:val="0"/>
      <w:marRight w:val="0"/>
      <w:marTop w:val="0"/>
      <w:marBottom w:val="0"/>
      <w:divBdr>
        <w:top w:val="none" w:sz="0" w:space="0" w:color="auto"/>
        <w:left w:val="none" w:sz="0" w:space="0" w:color="auto"/>
        <w:bottom w:val="none" w:sz="0" w:space="0" w:color="auto"/>
        <w:right w:val="none" w:sz="0" w:space="0" w:color="auto"/>
      </w:divBdr>
    </w:div>
    <w:div w:id="1679455078">
      <w:bodyDiv w:val="1"/>
      <w:marLeft w:val="0"/>
      <w:marRight w:val="0"/>
      <w:marTop w:val="0"/>
      <w:marBottom w:val="0"/>
      <w:divBdr>
        <w:top w:val="none" w:sz="0" w:space="0" w:color="auto"/>
        <w:left w:val="none" w:sz="0" w:space="0" w:color="auto"/>
        <w:bottom w:val="none" w:sz="0" w:space="0" w:color="auto"/>
        <w:right w:val="none" w:sz="0" w:space="0" w:color="auto"/>
      </w:divBdr>
    </w:div>
    <w:div w:id="1680155666">
      <w:bodyDiv w:val="1"/>
      <w:marLeft w:val="0"/>
      <w:marRight w:val="0"/>
      <w:marTop w:val="0"/>
      <w:marBottom w:val="0"/>
      <w:divBdr>
        <w:top w:val="none" w:sz="0" w:space="0" w:color="auto"/>
        <w:left w:val="none" w:sz="0" w:space="0" w:color="auto"/>
        <w:bottom w:val="none" w:sz="0" w:space="0" w:color="auto"/>
        <w:right w:val="none" w:sz="0" w:space="0" w:color="auto"/>
      </w:divBdr>
    </w:div>
    <w:div w:id="1681199217">
      <w:bodyDiv w:val="1"/>
      <w:marLeft w:val="0"/>
      <w:marRight w:val="0"/>
      <w:marTop w:val="0"/>
      <w:marBottom w:val="0"/>
      <w:divBdr>
        <w:top w:val="none" w:sz="0" w:space="0" w:color="auto"/>
        <w:left w:val="none" w:sz="0" w:space="0" w:color="auto"/>
        <w:bottom w:val="none" w:sz="0" w:space="0" w:color="auto"/>
        <w:right w:val="none" w:sz="0" w:space="0" w:color="auto"/>
      </w:divBdr>
    </w:div>
    <w:div w:id="1682317080">
      <w:bodyDiv w:val="1"/>
      <w:marLeft w:val="0"/>
      <w:marRight w:val="0"/>
      <w:marTop w:val="0"/>
      <w:marBottom w:val="0"/>
      <w:divBdr>
        <w:top w:val="none" w:sz="0" w:space="0" w:color="auto"/>
        <w:left w:val="none" w:sz="0" w:space="0" w:color="auto"/>
        <w:bottom w:val="none" w:sz="0" w:space="0" w:color="auto"/>
        <w:right w:val="none" w:sz="0" w:space="0" w:color="auto"/>
      </w:divBdr>
    </w:div>
    <w:div w:id="1682659097">
      <w:bodyDiv w:val="1"/>
      <w:marLeft w:val="0"/>
      <w:marRight w:val="0"/>
      <w:marTop w:val="0"/>
      <w:marBottom w:val="0"/>
      <w:divBdr>
        <w:top w:val="none" w:sz="0" w:space="0" w:color="auto"/>
        <w:left w:val="none" w:sz="0" w:space="0" w:color="auto"/>
        <w:bottom w:val="none" w:sz="0" w:space="0" w:color="auto"/>
        <w:right w:val="none" w:sz="0" w:space="0" w:color="auto"/>
      </w:divBdr>
    </w:div>
    <w:div w:id="1682777804">
      <w:bodyDiv w:val="1"/>
      <w:marLeft w:val="0"/>
      <w:marRight w:val="0"/>
      <w:marTop w:val="0"/>
      <w:marBottom w:val="0"/>
      <w:divBdr>
        <w:top w:val="none" w:sz="0" w:space="0" w:color="auto"/>
        <w:left w:val="none" w:sz="0" w:space="0" w:color="auto"/>
        <w:bottom w:val="none" w:sz="0" w:space="0" w:color="auto"/>
        <w:right w:val="none" w:sz="0" w:space="0" w:color="auto"/>
      </w:divBdr>
    </w:div>
    <w:div w:id="1683966796">
      <w:bodyDiv w:val="1"/>
      <w:marLeft w:val="0"/>
      <w:marRight w:val="0"/>
      <w:marTop w:val="0"/>
      <w:marBottom w:val="0"/>
      <w:divBdr>
        <w:top w:val="none" w:sz="0" w:space="0" w:color="auto"/>
        <w:left w:val="none" w:sz="0" w:space="0" w:color="auto"/>
        <w:bottom w:val="none" w:sz="0" w:space="0" w:color="auto"/>
        <w:right w:val="none" w:sz="0" w:space="0" w:color="auto"/>
      </w:divBdr>
    </w:div>
    <w:div w:id="1684671192">
      <w:bodyDiv w:val="1"/>
      <w:marLeft w:val="0"/>
      <w:marRight w:val="0"/>
      <w:marTop w:val="0"/>
      <w:marBottom w:val="0"/>
      <w:divBdr>
        <w:top w:val="none" w:sz="0" w:space="0" w:color="auto"/>
        <w:left w:val="none" w:sz="0" w:space="0" w:color="auto"/>
        <w:bottom w:val="none" w:sz="0" w:space="0" w:color="auto"/>
        <w:right w:val="none" w:sz="0" w:space="0" w:color="auto"/>
      </w:divBdr>
    </w:div>
    <w:div w:id="1684816023">
      <w:bodyDiv w:val="1"/>
      <w:marLeft w:val="0"/>
      <w:marRight w:val="0"/>
      <w:marTop w:val="0"/>
      <w:marBottom w:val="0"/>
      <w:divBdr>
        <w:top w:val="none" w:sz="0" w:space="0" w:color="auto"/>
        <w:left w:val="none" w:sz="0" w:space="0" w:color="auto"/>
        <w:bottom w:val="none" w:sz="0" w:space="0" w:color="auto"/>
        <w:right w:val="none" w:sz="0" w:space="0" w:color="auto"/>
      </w:divBdr>
    </w:div>
    <w:div w:id="1684935342">
      <w:bodyDiv w:val="1"/>
      <w:marLeft w:val="0"/>
      <w:marRight w:val="0"/>
      <w:marTop w:val="0"/>
      <w:marBottom w:val="0"/>
      <w:divBdr>
        <w:top w:val="none" w:sz="0" w:space="0" w:color="auto"/>
        <w:left w:val="none" w:sz="0" w:space="0" w:color="auto"/>
        <w:bottom w:val="none" w:sz="0" w:space="0" w:color="auto"/>
        <w:right w:val="none" w:sz="0" w:space="0" w:color="auto"/>
      </w:divBdr>
    </w:div>
    <w:div w:id="1685284652">
      <w:bodyDiv w:val="1"/>
      <w:marLeft w:val="0"/>
      <w:marRight w:val="0"/>
      <w:marTop w:val="0"/>
      <w:marBottom w:val="0"/>
      <w:divBdr>
        <w:top w:val="none" w:sz="0" w:space="0" w:color="auto"/>
        <w:left w:val="none" w:sz="0" w:space="0" w:color="auto"/>
        <w:bottom w:val="none" w:sz="0" w:space="0" w:color="auto"/>
        <w:right w:val="none" w:sz="0" w:space="0" w:color="auto"/>
      </w:divBdr>
    </w:div>
    <w:div w:id="1685669138">
      <w:bodyDiv w:val="1"/>
      <w:marLeft w:val="0"/>
      <w:marRight w:val="0"/>
      <w:marTop w:val="0"/>
      <w:marBottom w:val="0"/>
      <w:divBdr>
        <w:top w:val="none" w:sz="0" w:space="0" w:color="auto"/>
        <w:left w:val="none" w:sz="0" w:space="0" w:color="auto"/>
        <w:bottom w:val="none" w:sz="0" w:space="0" w:color="auto"/>
        <w:right w:val="none" w:sz="0" w:space="0" w:color="auto"/>
      </w:divBdr>
    </w:div>
    <w:div w:id="1687251791">
      <w:bodyDiv w:val="1"/>
      <w:marLeft w:val="0"/>
      <w:marRight w:val="0"/>
      <w:marTop w:val="0"/>
      <w:marBottom w:val="0"/>
      <w:divBdr>
        <w:top w:val="none" w:sz="0" w:space="0" w:color="auto"/>
        <w:left w:val="none" w:sz="0" w:space="0" w:color="auto"/>
        <w:bottom w:val="none" w:sz="0" w:space="0" w:color="auto"/>
        <w:right w:val="none" w:sz="0" w:space="0" w:color="auto"/>
      </w:divBdr>
    </w:div>
    <w:div w:id="1687780726">
      <w:bodyDiv w:val="1"/>
      <w:marLeft w:val="0"/>
      <w:marRight w:val="0"/>
      <w:marTop w:val="0"/>
      <w:marBottom w:val="0"/>
      <w:divBdr>
        <w:top w:val="none" w:sz="0" w:space="0" w:color="auto"/>
        <w:left w:val="none" w:sz="0" w:space="0" w:color="auto"/>
        <w:bottom w:val="none" w:sz="0" w:space="0" w:color="auto"/>
        <w:right w:val="none" w:sz="0" w:space="0" w:color="auto"/>
      </w:divBdr>
    </w:div>
    <w:div w:id="1687947691">
      <w:bodyDiv w:val="1"/>
      <w:marLeft w:val="0"/>
      <w:marRight w:val="0"/>
      <w:marTop w:val="0"/>
      <w:marBottom w:val="0"/>
      <w:divBdr>
        <w:top w:val="none" w:sz="0" w:space="0" w:color="auto"/>
        <w:left w:val="none" w:sz="0" w:space="0" w:color="auto"/>
        <w:bottom w:val="none" w:sz="0" w:space="0" w:color="auto"/>
        <w:right w:val="none" w:sz="0" w:space="0" w:color="auto"/>
      </w:divBdr>
    </w:div>
    <w:div w:id="1688485918">
      <w:bodyDiv w:val="1"/>
      <w:marLeft w:val="0"/>
      <w:marRight w:val="0"/>
      <w:marTop w:val="0"/>
      <w:marBottom w:val="0"/>
      <w:divBdr>
        <w:top w:val="none" w:sz="0" w:space="0" w:color="auto"/>
        <w:left w:val="none" w:sz="0" w:space="0" w:color="auto"/>
        <w:bottom w:val="none" w:sz="0" w:space="0" w:color="auto"/>
        <w:right w:val="none" w:sz="0" w:space="0" w:color="auto"/>
      </w:divBdr>
    </w:div>
    <w:div w:id="1690790840">
      <w:bodyDiv w:val="1"/>
      <w:marLeft w:val="0"/>
      <w:marRight w:val="0"/>
      <w:marTop w:val="0"/>
      <w:marBottom w:val="0"/>
      <w:divBdr>
        <w:top w:val="none" w:sz="0" w:space="0" w:color="auto"/>
        <w:left w:val="none" w:sz="0" w:space="0" w:color="auto"/>
        <w:bottom w:val="none" w:sz="0" w:space="0" w:color="auto"/>
        <w:right w:val="none" w:sz="0" w:space="0" w:color="auto"/>
      </w:divBdr>
    </w:div>
    <w:div w:id="1693145887">
      <w:bodyDiv w:val="1"/>
      <w:marLeft w:val="0"/>
      <w:marRight w:val="0"/>
      <w:marTop w:val="0"/>
      <w:marBottom w:val="0"/>
      <w:divBdr>
        <w:top w:val="none" w:sz="0" w:space="0" w:color="auto"/>
        <w:left w:val="none" w:sz="0" w:space="0" w:color="auto"/>
        <w:bottom w:val="none" w:sz="0" w:space="0" w:color="auto"/>
        <w:right w:val="none" w:sz="0" w:space="0" w:color="auto"/>
      </w:divBdr>
    </w:div>
    <w:div w:id="1695841115">
      <w:bodyDiv w:val="1"/>
      <w:marLeft w:val="0"/>
      <w:marRight w:val="0"/>
      <w:marTop w:val="0"/>
      <w:marBottom w:val="0"/>
      <w:divBdr>
        <w:top w:val="none" w:sz="0" w:space="0" w:color="auto"/>
        <w:left w:val="none" w:sz="0" w:space="0" w:color="auto"/>
        <w:bottom w:val="none" w:sz="0" w:space="0" w:color="auto"/>
        <w:right w:val="none" w:sz="0" w:space="0" w:color="auto"/>
      </w:divBdr>
    </w:div>
    <w:div w:id="1697347310">
      <w:bodyDiv w:val="1"/>
      <w:marLeft w:val="0"/>
      <w:marRight w:val="0"/>
      <w:marTop w:val="0"/>
      <w:marBottom w:val="0"/>
      <w:divBdr>
        <w:top w:val="none" w:sz="0" w:space="0" w:color="auto"/>
        <w:left w:val="none" w:sz="0" w:space="0" w:color="auto"/>
        <w:bottom w:val="none" w:sz="0" w:space="0" w:color="auto"/>
        <w:right w:val="none" w:sz="0" w:space="0" w:color="auto"/>
      </w:divBdr>
    </w:div>
    <w:div w:id="1697460613">
      <w:bodyDiv w:val="1"/>
      <w:marLeft w:val="0"/>
      <w:marRight w:val="0"/>
      <w:marTop w:val="0"/>
      <w:marBottom w:val="0"/>
      <w:divBdr>
        <w:top w:val="none" w:sz="0" w:space="0" w:color="auto"/>
        <w:left w:val="none" w:sz="0" w:space="0" w:color="auto"/>
        <w:bottom w:val="none" w:sz="0" w:space="0" w:color="auto"/>
        <w:right w:val="none" w:sz="0" w:space="0" w:color="auto"/>
      </w:divBdr>
    </w:div>
    <w:div w:id="1698583302">
      <w:bodyDiv w:val="1"/>
      <w:marLeft w:val="0"/>
      <w:marRight w:val="0"/>
      <w:marTop w:val="0"/>
      <w:marBottom w:val="0"/>
      <w:divBdr>
        <w:top w:val="none" w:sz="0" w:space="0" w:color="auto"/>
        <w:left w:val="none" w:sz="0" w:space="0" w:color="auto"/>
        <w:bottom w:val="none" w:sz="0" w:space="0" w:color="auto"/>
        <w:right w:val="none" w:sz="0" w:space="0" w:color="auto"/>
      </w:divBdr>
    </w:div>
    <w:div w:id="1699772939">
      <w:bodyDiv w:val="1"/>
      <w:marLeft w:val="0"/>
      <w:marRight w:val="0"/>
      <w:marTop w:val="0"/>
      <w:marBottom w:val="0"/>
      <w:divBdr>
        <w:top w:val="none" w:sz="0" w:space="0" w:color="auto"/>
        <w:left w:val="none" w:sz="0" w:space="0" w:color="auto"/>
        <w:bottom w:val="none" w:sz="0" w:space="0" w:color="auto"/>
        <w:right w:val="none" w:sz="0" w:space="0" w:color="auto"/>
      </w:divBdr>
    </w:div>
    <w:div w:id="1700155380">
      <w:bodyDiv w:val="1"/>
      <w:marLeft w:val="0"/>
      <w:marRight w:val="0"/>
      <w:marTop w:val="0"/>
      <w:marBottom w:val="0"/>
      <w:divBdr>
        <w:top w:val="none" w:sz="0" w:space="0" w:color="auto"/>
        <w:left w:val="none" w:sz="0" w:space="0" w:color="auto"/>
        <w:bottom w:val="none" w:sz="0" w:space="0" w:color="auto"/>
        <w:right w:val="none" w:sz="0" w:space="0" w:color="auto"/>
      </w:divBdr>
    </w:div>
    <w:div w:id="1701591876">
      <w:bodyDiv w:val="1"/>
      <w:marLeft w:val="0"/>
      <w:marRight w:val="0"/>
      <w:marTop w:val="0"/>
      <w:marBottom w:val="0"/>
      <w:divBdr>
        <w:top w:val="none" w:sz="0" w:space="0" w:color="auto"/>
        <w:left w:val="none" w:sz="0" w:space="0" w:color="auto"/>
        <w:bottom w:val="none" w:sz="0" w:space="0" w:color="auto"/>
        <w:right w:val="none" w:sz="0" w:space="0" w:color="auto"/>
      </w:divBdr>
    </w:div>
    <w:div w:id="1702705034">
      <w:bodyDiv w:val="1"/>
      <w:marLeft w:val="0"/>
      <w:marRight w:val="0"/>
      <w:marTop w:val="0"/>
      <w:marBottom w:val="0"/>
      <w:divBdr>
        <w:top w:val="none" w:sz="0" w:space="0" w:color="auto"/>
        <w:left w:val="none" w:sz="0" w:space="0" w:color="auto"/>
        <w:bottom w:val="none" w:sz="0" w:space="0" w:color="auto"/>
        <w:right w:val="none" w:sz="0" w:space="0" w:color="auto"/>
      </w:divBdr>
    </w:div>
    <w:div w:id="1703048312">
      <w:bodyDiv w:val="1"/>
      <w:marLeft w:val="0"/>
      <w:marRight w:val="0"/>
      <w:marTop w:val="0"/>
      <w:marBottom w:val="0"/>
      <w:divBdr>
        <w:top w:val="none" w:sz="0" w:space="0" w:color="auto"/>
        <w:left w:val="none" w:sz="0" w:space="0" w:color="auto"/>
        <w:bottom w:val="none" w:sz="0" w:space="0" w:color="auto"/>
        <w:right w:val="none" w:sz="0" w:space="0" w:color="auto"/>
      </w:divBdr>
    </w:div>
    <w:div w:id="1703745745">
      <w:bodyDiv w:val="1"/>
      <w:marLeft w:val="0"/>
      <w:marRight w:val="0"/>
      <w:marTop w:val="0"/>
      <w:marBottom w:val="0"/>
      <w:divBdr>
        <w:top w:val="none" w:sz="0" w:space="0" w:color="auto"/>
        <w:left w:val="none" w:sz="0" w:space="0" w:color="auto"/>
        <w:bottom w:val="none" w:sz="0" w:space="0" w:color="auto"/>
        <w:right w:val="none" w:sz="0" w:space="0" w:color="auto"/>
      </w:divBdr>
    </w:div>
    <w:div w:id="1704091532">
      <w:bodyDiv w:val="1"/>
      <w:marLeft w:val="0"/>
      <w:marRight w:val="0"/>
      <w:marTop w:val="0"/>
      <w:marBottom w:val="0"/>
      <w:divBdr>
        <w:top w:val="none" w:sz="0" w:space="0" w:color="auto"/>
        <w:left w:val="none" w:sz="0" w:space="0" w:color="auto"/>
        <w:bottom w:val="none" w:sz="0" w:space="0" w:color="auto"/>
        <w:right w:val="none" w:sz="0" w:space="0" w:color="auto"/>
      </w:divBdr>
    </w:div>
    <w:div w:id="1704598263">
      <w:bodyDiv w:val="1"/>
      <w:marLeft w:val="0"/>
      <w:marRight w:val="0"/>
      <w:marTop w:val="0"/>
      <w:marBottom w:val="0"/>
      <w:divBdr>
        <w:top w:val="none" w:sz="0" w:space="0" w:color="auto"/>
        <w:left w:val="none" w:sz="0" w:space="0" w:color="auto"/>
        <w:bottom w:val="none" w:sz="0" w:space="0" w:color="auto"/>
        <w:right w:val="none" w:sz="0" w:space="0" w:color="auto"/>
      </w:divBdr>
    </w:div>
    <w:div w:id="1705515944">
      <w:bodyDiv w:val="1"/>
      <w:marLeft w:val="0"/>
      <w:marRight w:val="0"/>
      <w:marTop w:val="0"/>
      <w:marBottom w:val="0"/>
      <w:divBdr>
        <w:top w:val="none" w:sz="0" w:space="0" w:color="auto"/>
        <w:left w:val="none" w:sz="0" w:space="0" w:color="auto"/>
        <w:bottom w:val="none" w:sz="0" w:space="0" w:color="auto"/>
        <w:right w:val="none" w:sz="0" w:space="0" w:color="auto"/>
      </w:divBdr>
    </w:div>
    <w:div w:id="1706759889">
      <w:bodyDiv w:val="1"/>
      <w:marLeft w:val="0"/>
      <w:marRight w:val="0"/>
      <w:marTop w:val="0"/>
      <w:marBottom w:val="0"/>
      <w:divBdr>
        <w:top w:val="none" w:sz="0" w:space="0" w:color="auto"/>
        <w:left w:val="none" w:sz="0" w:space="0" w:color="auto"/>
        <w:bottom w:val="none" w:sz="0" w:space="0" w:color="auto"/>
        <w:right w:val="none" w:sz="0" w:space="0" w:color="auto"/>
      </w:divBdr>
    </w:div>
    <w:div w:id="1706900922">
      <w:bodyDiv w:val="1"/>
      <w:marLeft w:val="0"/>
      <w:marRight w:val="0"/>
      <w:marTop w:val="0"/>
      <w:marBottom w:val="0"/>
      <w:divBdr>
        <w:top w:val="none" w:sz="0" w:space="0" w:color="auto"/>
        <w:left w:val="none" w:sz="0" w:space="0" w:color="auto"/>
        <w:bottom w:val="none" w:sz="0" w:space="0" w:color="auto"/>
        <w:right w:val="none" w:sz="0" w:space="0" w:color="auto"/>
      </w:divBdr>
    </w:div>
    <w:div w:id="1707215563">
      <w:bodyDiv w:val="1"/>
      <w:marLeft w:val="0"/>
      <w:marRight w:val="0"/>
      <w:marTop w:val="0"/>
      <w:marBottom w:val="0"/>
      <w:divBdr>
        <w:top w:val="none" w:sz="0" w:space="0" w:color="auto"/>
        <w:left w:val="none" w:sz="0" w:space="0" w:color="auto"/>
        <w:bottom w:val="none" w:sz="0" w:space="0" w:color="auto"/>
        <w:right w:val="none" w:sz="0" w:space="0" w:color="auto"/>
      </w:divBdr>
    </w:div>
    <w:div w:id="1707829482">
      <w:bodyDiv w:val="1"/>
      <w:marLeft w:val="0"/>
      <w:marRight w:val="0"/>
      <w:marTop w:val="0"/>
      <w:marBottom w:val="0"/>
      <w:divBdr>
        <w:top w:val="none" w:sz="0" w:space="0" w:color="auto"/>
        <w:left w:val="none" w:sz="0" w:space="0" w:color="auto"/>
        <w:bottom w:val="none" w:sz="0" w:space="0" w:color="auto"/>
        <w:right w:val="none" w:sz="0" w:space="0" w:color="auto"/>
      </w:divBdr>
    </w:div>
    <w:div w:id="1709643684">
      <w:bodyDiv w:val="1"/>
      <w:marLeft w:val="0"/>
      <w:marRight w:val="0"/>
      <w:marTop w:val="0"/>
      <w:marBottom w:val="0"/>
      <w:divBdr>
        <w:top w:val="none" w:sz="0" w:space="0" w:color="auto"/>
        <w:left w:val="none" w:sz="0" w:space="0" w:color="auto"/>
        <w:bottom w:val="none" w:sz="0" w:space="0" w:color="auto"/>
        <w:right w:val="none" w:sz="0" w:space="0" w:color="auto"/>
      </w:divBdr>
    </w:div>
    <w:div w:id="1710059399">
      <w:bodyDiv w:val="1"/>
      <w:marLeft w:val="0"/>
      <w:marRight w:val="0"/>
      <w:marTop w:val="0"/>
      <w:marBottom w:val="0"/>
      <w:divBdr>
        <w:top w:val="none" w:sz="0" w:space="0" w:color="auto"/>
        <w:left w:val="none" w:sz="0" w:space="0" w:color="auto"/>
        <w:bottom w:val="none" w:sz="0" w:space="0" w:color="auto"/>
        <w:right w:val="none" w:sz="0" w:space="0" w:color="auto"/>
      </w:divBdr>
    </w:div>
    <w:div w:id="1710180186">
      <w:bodyDiv w:val="1"/>
      <w:marLeft w:val="0"/>
      <w:marRight w:val="0"/>
      <w:marTop w:val="0"/>
      <w:marBottom w:val="0"/>
      <w:divBdr>
        <w:top w:val="none" w:sz="0" w:space="0" w:color="auto"/>
        <w:left w:val="none" w:sz="0" w:space="0" w:color="auto"/>
        <w:bottom w:val="none" w:sz="0" w:space="0" w:color="auto"/>
        <w:right w:val="none" w:sz="0" w:space="0" w:color="auto"/>
      </w:divBdr>
    </w:div>
    <w:div w:id="1710495396">
      <w:bodyDiv w:val="1"/>
      <w:marLeft w:val="0"/>
      <w:marRight w:val="0"/>
      <w:marTop w:val="0"/>
      <w:marBottom w:val="0"/>
      <w:divBdr>
        <w:top w:val="none" w:sz="0" w:space="0" w:color="auto"/>
        <w:left w:val="none" w:sz="0" w:space="0" w:color="auto"/>
        <w:bottom w:val="none" w:sz="0" w:space="0" w:color="auto"/>
        <w:right w:val="none" w:sz="0" w:space="0" w:color="auto"/>
      </w:divBdr>
    </w:div>
    <w:div w:id="1710643928">
      <w:bodyDiv w:val="1"/>
      <w:marLeft w:val="0"/>
      <w:marRight w:val="0"/>
      <w:marTop w:val="0"/>
      <w:marBottom w:val="0"/>
      <w:divBdr>
        <w:top w:val="none" w:sz="0" w:space="0" w:color="auto"/>
        <w:left w:val="none" w:sz="0" w:space="0" w:color="auto"/>
        <w:bottom w:val="none" w:sz="0" w:space="0" w:color="auto"/>
        <w:right w:val="none" w:sz="0" w:space="0" w:color="auto"/>
      </w:divBdr>
    </w:div>
    <w:div w:id="1712537616">
      <w:bodyDiv w:val="1"/>
      <w:marLeft w:val="0"/>
      <w:marRight w:val="0"/>
      <w:marTop w:val="0"/>
      <w:marBottom w:val="0"/>
      <w:divBdr>
        <w:top w:val="none" w:sz="0" w:space="0" w:color="auto"/>
        <w:left w:val="none" w:sz="0" w:space="0" w:color="auto"/>
        <w:bottom w:val="none" w:sz="0" w:space="0" w:color="auto"/>
        <w:right w:val="none" w:sz="0" w:space="0" w:color="auto"/>
      </w:divBdr>
    </w:div>
    <w:div w:id="1712611014">
      <w:bodyDiv w:val="1"/>
      <w:marLeft w:val="0"/>
      <w:marRight w:val="0"/>
      <w:marTop w:val="0"/>
      <w:marBottom w:val="0"/>
      <w:divBdr>
        <w:top w:val="none" w:sz="0" w:space="0" w:color="auto"/>
        <w:left w:val="none" w:sz="0" w:space="0" w:color="auto"/>
        <w:bottom w:val="none" w:sz="0" w:space="0" w:color="auto"/>
        <w:right w:val="none" w:sz="0" w:space="0" w:color="auto"/>
      </w:divBdr>
    </w:div>
    <w:div w:id="1713379588">
      <w:bodyDiv w:val="1"/>
      <w:marLeft w:val="0"/>
      <w:marRight w:val="0"/>
      <w:marTop w:val="0"/>
      <w:marBottom w:val="0"/>
      <w:divBdr>
        <w:top w:val="none" w:sz="0" w:space="0" w:color="auto"/>
        <w:left w:val="none" w:sz="0" w:space="0" w:color="auto"/>
        <w:bottom w:val="none" w:sz="0" w:space="0" w:color="auto"/>
        <w:right w:val="none" w:sz="0" w:space="0" w:color="auto"/>
      </w:divBdr>
    </w:div>
    <w:div w:id="1715305087">
      <w:bodyDiv w:val="1"/>
      <w:marLeft w:val="0"/>
      <w:marRight w:val="0"/>
      <w:marTop w:val="0"/>
      <w:marBottom w:val="0"/>
      <w:divBdr>
        <w:top w:val="none" w:sz="0" w:space="0" w:color="auto"/>
        <w:left w:val="none" w:sz="0" w:space="0" w:color="auto"/>
        <w:bottom w:val="none" w:sz="0" w:space="0" w:color="auto"/>
        <w:right w:val="none" w:sz="0" w:space="0" w:color="auto"/>
      </w:divBdr>
    </w:div>
    <w:div w:id="1715739136">
      <w:bodyDiv w:val="1"/>
      <w:marLeft w:val="0"/>
      <w:marRight w:val="0"/>
      <w:marTop w:val="0"/>
      <w:marBottom w:val="0"/>
      <w:divBdr>
        <w:top w:val="none" w:sz="0" w:space="0" w:color="auto"/>
        <w:left w:val="none" w:sz="0" w:space="0" w:color="auto"/>
        <w:bottom w:val="none" w:sz="0" w:space="0" w:color="auto"/>
        <w:right w:val="none" w:sz="0" w:space="0" w:color="auto"/>
      </w:divBdr>
    </w:div>
    <w:div w:id="1716153138">
      <w:bodyDiv w:val="1"/>
      <w:marLeft w:val="0"/>
      <w:marRight w:val="0"/>
      <w:marTop w:val="0"/>
      <w:marBottom w:val="0"/>
      <w:divBdr>
        <w:top w:val="none" w:sz="0" w:space="0" w:color="auto"/>
        <w:left w:val="none" w:sz="0" w:space="0" w:color="auto"/>
        <w:bottom w:val="none" w:sz="0" w:space="0" w:color="auto"/>
        <w:right w:val="none" w:sz="0" w:space="0" w:color="auto"/>
      </w:divBdr>
    </w:div>
    <w:div w:id="1717388139">
      <w:bodyDiv w:val="1"/>
      <w:marLeft w:val="0"/>
      <w:marRight w:val="0"/>
      <w:marTop w:val="0"/>
      <w:marBottom w:val="0"/>
      <w:divBdr>
        <w:top w:val="none" w:sz="0" w:space="0" w:color="auto"/>
        <w:left w:val="none" w:sz="0" w:space="0" w:color="auto"/>
        <w:bottom w:val="none" w:sz="0" w:space="0" w:color="auto"/>
        <w:right w:val="none" w:sz="0" w:space="0" w:color="auto"/>
      </w:divBdr>
    </w:div>
    <w:div w:id="1718814731">
      <w:bodyDiv w:val="1"/>
      <w:marLeft w:val="0"/>
      <w:marRight w:val="0"/>
      <w:marTop w:val="0"/>
      <w:marBottom w:val="0"/>
      <w:divBdr>
        <w:top w:val="none" w:sz="0" w:space="0" w:color="auto"/>
        <w:left w:val="none" w:sz="0" w:space="0" w:color="auto"/>
        <w:bottom w:val="none" w:sz="0" w:space="0" w:color="auto"/>
        <w:right w:val="none" w:sz="0" w:space="0" w:color="auto"/>
      </w:divBdr>
    </w:div>
    <w:div w:id="1719933089">
      <w:bodyDiv w:val="1"/>
      <w:marLeft w:val="0"/>
      <w:marRight w:val="0"/>
      <w:marTop w:val="0"/>
      <w:marBottom w:val="0"/>
      <w:divBdr>
        <w:top w:val="none" w:sz="0" w:space="0" w:color="auto"/>
        <w:left w:val="none" w:sz="0" w:space="0" w:color="auto"/>
        <w:bottom w:val="none" w:sz="0" w:space="0" w:color="auto"/>
        <w:right w:val="none" w:sz="0" w:space="0" w:color="auto"/>
      </w:divBdr>
    </w:div>
    <w:div w:id="1720933617">
      <w:bodyDiv w:val="1"/>
      <w:marLeft w:val="0"/>
      <w:marRight w:val="0"/>
      <w:marTop w:val="0"/>
      <w:marBottom w:val="0"/>
      <w:divBdr>
        <w:top w:val="none" w:sz="0" w:space="0" w:color="auto"/>
        <w:left w:val="none" w:sz="0" w:space="0" w:color="auto"/>
        <w:bottom w:val="none" w:sz="0" w:space="0" w:color="auto"/>
        <w:right w:val="none" w:sz="0" w:space="0" w:color="auto"/>
      </w:divBdr>
    </w:div>
    <w:div w:id="1721326181">
      <w:bodyDiv w:val="1"/>
      <w:marLeft w:val="0"/>
      <w:marRight w:val="0"/>
      <w:marTop w:val="0"/>
      <w:marBottom w:val="0"/>
      <w:divBdr>
        <w:top w:val="none" w:sz="0" w:space="0" w:color="auto"/>
        <w:left w:val="none" w:sz="0" w:space="0" w:color="auto"/>
        <w:bottom w:val="none" w:sz="0" w:space="0" w:color="auto"/>
        <w:right w:val="none" w:sz="0" w:space="0" w:color="auto"/>
      </w:divBdr>
    </w:div>
    <w:div w:id="1722706562">
      <w:bodyDiv w:val="1"/>
      <w:marLeft w:val="0"/>
      <w:marRight w:val="0"/>
      <w:marTop w:val="0"/>
      <w:marBottom w:val="0"/>
      <w:divBdr>
        <w:top w:val="none" w:sz="0" w:space="0" w:color="auto"/>
        <w:left w:val="none" w:sz="0" w:space="0" w:color="auto"/>
        <w:bottom w:val="none" w:sz="0" w:space="0" w:color="auto"/>
        <w:right w:val="none" w:sz="0" w:space="0" w:color="auto"/>
      </w:divBdr>
    </w:div>
    <w:div w:id="1723477110">
      <w:bodyDiv w:val="1"/>
      <w:marLeft w:val="0"/>
      <w:marRight w:val="0"/>
      <w:marTop w:val="0"/>
      <w:marBottom w:val="0"/>
      <w:divBdr>
        <w:top w:val="none" w:sz="0" w:space="0" w:color="auto"/>
        <w:left w:val="none" w:sz="0" w:space="0" w:color="auto"/>
        <w:bottom w:val="none" w:sz="0" w:space="0" w:color="auto"/>
        <w:right w:val="none" w:sz="0" w:space="0" w:color="auto"/>
      </w:divBdr>
    </w:div>
    <w:div w:id="1723753817">
      <w:bodyDiv w:val="1"/>
      <w:marLeft w:val="0"/>
      <w:marRight w:val="0"/>
      <w:marTop w:val="0"/>
      <w:marBottom w:val="0"/>
      <w:divBdr>
        <w:top w:val="none" w:sz="0" w:space="0" w:color="auto"/>
        <w:left w:val="none" w:sz="0" w:space="0" w:color="auto"/>
        <w:bottom w:val="none" w:sz="0" w:space="0" w:color="auto"/>
        <w:right w:val="none" w:sz="0" w:space="0" w:color="auto"/>
      </w:divBdr>
    </w:div>
    <w:div w:id="1726223094">
      <w:bodyDiv w:val="1"/>
      <w:marLeft w:val="0"/>
      <w:marRight w:val="0"/>
      <w:marTop w:val="0"/>
      <w:marBottom w:val="0"/>
      <w:divBdr>
        <w:top w:val="none" w:sz="0" w:space="0" w:color="auto"/>
        <w:left w:val="none" w:sz="0" w:space="0" w:color="auto"/>
        <w:bottom w:val="none" w:sz="0" w:space="0" w:color="auto"/>
        <w:right w:val="none" w:sz="0" w:space="0" w:color="auto"/>
      </w:divBdr>
    </w:div>
    <w:div w:id="1726491459">
      <w:bodyDiv w:val="1"/>
      <w:marLeft w:val="0"/>
      <w:marRight w:val="0"/>
      <w:marTop w:val="0"/>
      <w:marBottom w:val="0"/>
      <w:divBdr>
        <w:top w:val="none" w:sz="0" w:space="0" w:color="auto"/>
        <w:left w:val="none" w:sz="0" w:space="0" w:color="auto"/>
        <w:bottom w:val="none" w:sz="0" w:space="0" w:color="auto"/>
        <w:right w:val="none" w:sz="0" w:space="0" w:color="auto"/>
      </w:divBdr>
    </w:div>
    <w:div w:id="1726564805">
      <w:bodyDiv w:val="1"/>
      <w:marLeft w:val="0"/>
      <w:marRight w:val="0"/>
      <w:marTop w:val="0"/>
      <w:marBottom w:val="0"/>
      <w:divBdr>
        <w:top w:val="none" w:sz="0" w:space="0" w:color="auto"/>
        <w:left w:val="none" w:sz="0" w:space="0" w:color="auto"/>
        <w:bottom w:val="none" w:sz="0" w:space="0" w:color="auto"/>
        <w:right w:val="none" w:sz="0" w:space="0" w:color="auto"/>
      </w:divBdr>
    </w:div>
    <w:div w:id="1727683267">
      <w:bodyDiv w:val="1"/>
      <w:marLeft w:val="0"/>
      <w:marRight w:val="0"/>
      <w:marTop w:val="0"/>
      <w:marBottom w:val="0"/>
      <w:divBdr>
        <w:top w:val="none" w:sz="0" w:space="0" w:color="auto"/>
        <w:left w:val="none" w:sz="0" w:space="0" w:color="auto"/>
        <w:bottom w:val="none" w:sz="0" w:space="0" w:color="auto"/>
        <w:right w:val="none" w:sz="0" w:space="0" w:color="auto"/>
      </w:divBdr>
    </w:div>
    <w:div w:id="1727727717">
      <w:bodyDiv w:val="1"/>
      <w:marLeft w:val="0"/>
      <w:marRight w:val="0"/>
      <w:marTop w:val="0"/>
      <w:marBottom w:val="0"/>
      <w:divBdr>
        <w:top w:val="none" w:sz="0" w:space="0" w:color="auto"/>
        <w:left w:val="none" w:sz="0" w:space="0" w:color="auto"/>
        <w:bottom w:val="none" w:sz="0" w:space="0" w:color="auto"/>
        <w:right w:val="none" w:sz="0" w:space="0" w:color="auto"/>
      </w:divBdr>
    </w:div>
    <w:div w:id="1727751856">
      <w:bodyDiv w:val="1"/>
      <w:marLeft w:val="0"/>
      <w:marRight w:val="0"/>
      <w:marTop w:val="0"/>
      <w:marBottom w:val="0"/>
      <w:divBdr>
        <w:top w:val="none" w:sz="0" w:space="0" w:color="auto"/>
        <w:left w:val="none" w:sz="0" w:space="0" w:color="auto"/>
        <w:bottom w:val="none" w:sz="0" w:space="0" w:color="auto"/>
        <w:right w:val="none" w:sz="0" w:space="0" w:color="auto"/>
      </w:divBdr>
    </w:div>
    <w:div w:id="1729645730">
      <w:bodyDiv w:val="1"/>
      <w:marLeft w:val="0"/>
      <w:marRight w:val="0"/>
      <w:marTop w:val="0"/>
      <w:marBottom w:val="0"/>
      <w:divBdr>
        <w:top w:val="none" w:sz="0" w:space="0" w:color="auto"/>
        <w:left w:val="none" w:sz="0" w:space="0" w:color="auto"/>
        <w:bottom w:val="none" w:sz="0" w:space="0" w:color="auto"/>
        <w:right w:val="none" w:sz="0" w:space="0" w:color="auto"/>
      </w:divBdr>
    </w:div>
    <w:div w:id="1730419537">
      <w:bodyDiv w:val="1"/>
      <w:marLeft w:val="0"/>
      <w:marRight w:val="0"/>
      <w:marTop w:val="0"/>
      <w:marBottom w:val="0"/>
      <w:divBdr>
        <w:top w:val="none" w:sz="0" w:space="0" w:color="auto"/>
        <w:left w:val="none" w:sz="0" w:space="0" w:color="auto"/>
        <w:bottom w:val="none" w:sz="0" w:space="0" w:color="auto"/>
        <w:right w:val="none" w:sz="0" w:space="0" w:color="auto"/>
      </w:divBdr>
    </w:div>
    <w:div w:id="1730570957">
      <w:bodyDiv w:val="1"/>
      <w:marLeft w:val="0"/>
      <w:marRight w:val="0"/>
      <w:marTop w:val="0"/>
      <w:marBottom w:val="0"/>
      <w:divBdr>
        <w:top w:val="none" w:sz="0" w:space="0" w:color="auto"/>
        <w:left w:val="none" w:sz="0" w:space="0" w:color="auto"/>
        <w:bottom w:val="none" w:sz="0" w:space="0" w:color="auto"/>
        <w:right w:val="none" w:sz="0" w:space="0" w:color="auto"/>
      </w:divBdr>
    </w:div>
    <w:div w:id="1732269334">
      <w:bodyDiv w:val="1"/>
      <w:marLeft w:val="0"/>
      <w:marRight w:val="0"/>
      <w:marTop w:val="0"/>
      <w:marBottom w:val="0"/>
      <w:divBdr>
        <w:top w:val="none" w:sz="0" w:space="0" w:color="auto"/>
        <w:left w:val="none" w:sz="0" w:space="0" w:color="auto"/>
        <w:bottom w:val="none" w:sz="0" w:space="0" w:color="auto"/>
        <w:right w:val="none" w:sz="0" w:space="0" w:color="auto"/>
      </w:divBdr>
    </w:div>
    <w:div w:id="1732461263">
      <w:bodyDiv w:val="1"/>
      <w:marLeft w:val="0"/>
      <w:marRight w:val="0"/>
      <w:marTop w:val="0"/>
      <w:marBottom w:val="0"/>
      <w:divBdr>
        <w:top w:val="none" w:sz="0" w:space="0" w:color="auto"/>
        <w:left w:val="none" w:sz="0" w:space="0" w:color="auto"/>
        <w:bottom w:val="none" w:sz="0" w:space="0" w:color="auto"/>
        <w:right w:val="none" w:sz="0" w:space="0" w:color="auto"/>
      </w:divBdr>
    </w:div>
    <w:div w:id="1733769229">
      <w:bodyDiv w:val="1"/>
      <w:marLeft w:val="0"/>
      <w:marRight w:val="0"/>
      <w:marTop w:val="0"/>
      <w:marBottom w:val="0"/>
      <w:divBdr>
        <w:top w:val="none" w:sz="0" w:space="0" w:color="auto"/>
        <w:left w:val="none" w:sz="0" w:space="0" w:color="auto"/>
        <w:bottom w:val="none" w:sz="0" w:space="0" w:color="auto"/>
        <w:right w:val="none" w:sz="0" w:space="0" w:color="auto"/>
      </w:divBdr>
    </w:div>
    <w:div w:id="1734156962">
      <w:bodyDiv w:val="1"/>
      <w:marLeft w:val="0"/>
      <w:marRight w:val="0"/>
      <w:marTop w:val="0"/>
      <w:marBottom w:val="0"/>
      <w:divBdr>
        <w:top w:val="none" w:sz="0" w:space="0" w:color="auto"/>
        <w:left w:val="none" w:sz="0" w:space="0" w:color="auto"/>
        <w:bottom w:val="none" w:sz="0" w:space="0" w:color="auto"/>
        <w:right w:val="none" w:sz="0" w:space="0" w:color="auto"/>
      </w:divBdr>
    </w:div>
    <w:div w:id="1734741836">
      <w:bodyDiv w:val="1"/>
      <w:marLeft w:val="0"/>
      <w:marRight w:val="0"/>
      <w:marTop w:val="0"/>
      <w:marBottom w:val="0"/>
      <w:divBdr>
        <w:top w:val="none" w:sz="0" w:space="0" w:color="auto"/>
        <w:left w:val="none" w:sz="0" w:space="0" w:color="auto"/>
        <w:bottom w:val="none" w:sz="0" w:space="0" w:color="auto"/>
        <w:right w:val="none" w:sz="0" w:space="0" w:color="auto"/>
      </w:divBdr>
    </w:div>
    <w:div w:id="1735395917">
      <w:bodyDiv w:val="1"/>
      <w:marLeft w:val="0"/>
      <w:marRight w:val="0"/>
      <w:marTop w:val="0"/>
      <w:marBottom w:val="0"/>
      <w:divBdr>
        <w:top w:val="none" w:sz="0" w:space="0" w:color="auto"/>
        <w:left w:val="none" w:sz="0" w:space="0" w:color="auto"/>
        <w:bottom w:val="none" w:sz="0" w:space="0" w:color="auto"/>
        <w:right w:val="none" w:sz="0" w:space="0" w:color="auto"/>
      </w:divBdr>
    </w:div>
    <w:div w:id="1737126265">
      <w:bodyDiv w:val="1"/>
      <w:marLeft w:val="0"/>
      <w:marRight w:val="0"/>
      <w:marTop w:val="0"/>
      <w:marBottom w:val="0"/>
      <w:divBdr>
        <w:top w:val="none" w:sz="0" w:space="0" w:color="auto"/>
        <w:left w:val="none" w:sz="0" w:space="0" w:color="auto"/>
        <w:bottom w:val="none" w:sz="0" w:space="0" w:color="auto"/>
        <w:right w:val="none" w:sz="0" w:space="0" w:color="auto"/>
      </w:divBdr>
    </w:div>
    <w:div w:id="1737359829">
      <w:bodyDiv w:val="1"/>
      <w:marLeft w:val="0"/>
      <w:marRight w:val="0"/>
      <w:marTop w:val="0"/>
      <w:marBottom w:val="0"/>
      <w:divBdr>
        <w:top w:val="none" w:sz="0" w:space="0" w:color="auto"/>
        <w:left w:val="none" w:sz="0" w:space="0" w:color="auto"/>
        <w:bottom w:val="none" w:sz="0" w:space="0" w:color="auto"/>
        <w:right w:val="none" w:sz="0" w:space="0" w:color="auto"/>
      </w:divBdr>
    </w:div>
    <w:div w:id="1737436281">
      <w:bodyDiv w:val="1"/>
      <w:marLeft w:val="0"/>
      <w:marRight w:val="0"/>
      <w:marTop w:val="0"/>
      <w:marBottom w:val="0"/>
      <w:divBdr>
        <w:top w:val="none" w:sz="0" w:space="0" w:color="auto"/>
        <w:left w:val="none" w:sz="0" w:space="0" w:color="auto"/>
        <w:bottom w:val="none" w:sz="0" w:space="0" w:color="auto"/>
        <w:right w:val="none" w:sz="0" w:space="0" w:color="auto"/>
      </w:divBdr>
    </w:div>
    <w:div w:id="1739010562">
      <w:bodyDiv w:val="1"/>
      <w:marLeft w:val="0"/>
      <w:marRight w:val="0"/>
      <w:marTop w:val="0"/>
      <w:marBottom w:val="0"/>
      <w:divBdr>
        <w:top w:val="none" w:sz="0" w:space="0" w:color="auto"/>
        <w:left w:val="none" w:sz="0" w:space="0" w:color="auto"/>
        <w:bottom w:val="none" w:sz="0" w:space="0" w:color="auto"/>
        <w:right w:val="none" w:sz="0" w:space="0" w:color="auto"/>
      </w:divBdr>
    </w:div>
    <w:div w:id="1739161210">
      <w:bodyDiv w:val="1"/>
      <w:marLeft w:val="0"/>
      <w:marRight w:val="0"/>
      <w:marTop w:val="0"/>
      <w:marBottom w:val="0"/>
      <w:divBdr>
        <w:top w:val="none" w:sz="0" w:space="0" w:color="auto"/>
        <w:left w:val="none" w:sz="0" w:space="0" w:color="auto"/>
        <w:bottom w:val="none" w:sz="0" w:space="0" w:color="auto"/>
        <w:right w:val="none" w:sz="0" w:space="0" w:color="auto"/>
      </w:divBdr>
    </w:div>
    <w:div w:id="1740520471">
      <w:bodyDiv w:val="1"/>
      <w:marLeft w:val="0"/>
      <w:marRight w:val="0"/>
      <w:marTop w:val="0"/>
      <w:marBottom w:val="0"/>
      <w:divBdr>
        <w:top w:val="none" w:sz="0" w:space="0" w:color="auto"/>
        <w:left w:val="none" w:sz="0" w:space="0" w:color="auto"/>
        <w:bottom w:val="none" w:sz="0" w:space="0" w:color="auto"/>
        <w:right w:val="none" w:sz="0" w:space="0" w:color="auto"/>
      </w:divBdr>
    </w:div>
    <w:div w:id="1740668339">
      <w:bodyDiv w:val="1"/>
      <w:marLeft w:val="0"/>
      <w:marRight w:val="0"/>
      <w:marTop w:val="0"/>
      <w:marBottom w:val="0"/>
      <w:divBdr>
        <w:top w:val="none" w:sz="0" w:space="0" w:color="auto"/>
        <w:left w:val="none" w:sz="0" w:space="0" w:color="auto"/>
        <w:bottom w:val="none" w:sz="0" w:space="0" w:color="auto"/>
        <w:right w:val="none" w:sz="0" w:space="0" w:color="auto"/>
      </w:divBdr>
    </w:div>
    <w:div w:id="1741323792">
      <w:bodyDiv w:val="1"/>
      <w:marLeft w:val="0"/>
      <w:marRight w:val="0"/>
      <w:marTop w:val="0"/>
      <w:marBottom w:val="0"/>
      <w:divBdr>
        <w:top w:val="none" w:sz="0" w:space="0" w:color="auto"/>
        <w:left w:val="none" w:sz="0" w:space="0" w:color="auto"/>
        <w:bottom w:val="none" w:sz="0" w:space="0" w:color="auto"/>
        <w:right w:val="none" w:sz="0" w:space="0" w:color="auto"/>
      </w:divBdr>
    </w:div>
    <w:div w:id="1741362555">
      <w:bodyDiv w:val="1"/>
      <w:marLeft w:val="0"/>
      <w:marRight w:val="0"/>
      <w:marTop w:val="0"/>
      <w:marBottom w:val="0"/>
      <w:divBdr>
        <w:top w:val="none" w:sz="0" w:space="0" w:color="auto"/>
        <w:left w:val="none" w:sz="0" w:space="0" w:color="auto"/>
        <w:bottom w:val="none" w:sz="0" w:space="0" w:color="auto"/>
        <w:right w:val="none" w:sz="0" w:space="0" w:color="auto"/>
      </w:divBdr>
    </w:div>
    <w:div w:id="1742019696">
      <w:bodyDiv w:val="1"/>
      <w:marLeft w:val="0"/>
      <w:marRight w:val="0"/>
      <w:marTop w:val="0"/>
      <w:marBottom w:val="0"/>
      <w:divBdr>
        <w:top w:val="none" w:sz="0" w:space="0" w:color="auto"/>
        <w:left w:val="none" w:sz="0" w:space="0" w:color="auto"/>
        <w:bottom w:val="none" w:sz="0" w:space="0" w:color="auto"/>
        <w:right w:val="none" w:sz="0" w:space="0" w:color="auto"/>
      </w:divBdr>
    </w:div>
    <w:div w:id="1742865567">
      <w:bodyDiv w:val="1"/>
      <w:marLeft w:val="0"/>
      <w:marRight w:val="0"/>
      <w:marTop w:val="0"/>
      <w:marBottom w:val="0"/>
      <w:divBdr>
        <w:top w:val="none" w:sz="0" w:space="0" w:color="auto"/>
        <w:left w:val="none" w:sz="0" w:space="0" w:color="auto"/>
        <w:bottom w:val="none" w:sz="0" w:space="0" w:color="auto"/>
        <w:right w:val="none" w:sz="0" w:space="0" w:color="auto"/>
      </w:divBdr>
    </w:div>
    <w:div w:id="1743528782">
      <w:bodyDiv w:val="1"/>
      <w:marLeft w:val="0"/>
      <w:marRight w:val="0"/>
      <w:marTop w:val="0"/>
      <w:marBottom w:val="0"/>
      <w:divBdr>
        <w:top w:val="none" w:sz="0" w:space="0" w:color="auto"/>
        <w:left w:val="none" w:sz="0" w:space="0" w:color="auto"/>
        <w:bottom w:val="none" w:sz="0" w:space="0" w:color="auto"/>
        <w:right w:val="none" w:sz="0" w:space="0" w:color="auto"/>
      </w:divBdr>
      <w:divsChild>
        <w:div w:id="33268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757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794144">
      <w:bodyDiv w:val="1"/>
      <w:marLeft w:val="0"/>
      <w:marRight w:val="0"/>
      <w:marTop w:val="0"/>
      <w:marBottom w:val="0"/>
      <w:divBdr>
        <w:top w:val="none" w:sz="0" w:space="0" w:color="auto"/>
        <w:left w:val="none" w:sz="0" w:space="0" w:color="auto"/>
        <w:bottom w:val="none" w:sz="0" w:space="0" w:color="auto"/>
        <w:right w:val="none" w:sz="0" w:space="0" w:color="auto"/>
      </w:divBdr>
    </w:div>
    <w:div w:id="1744135606">
      <w:bodyDiv w:val="1"/>
      <w:marLeft w:val="0"/>
      <w:marRight w:val="0"/>
      <w:marTop w:val="0"/>
      <w:marBottom w:val="0"/>
      <w:divBdr>
        <w:top w:val="none" w:sz="0" w:space="0" w:color="auto"/>
        <w:left w:val="none" w:sz="0" w:space="0" w:color="auto"/>
        <w:bottom w:val="none" w:sz="0" w:space="0" w:color="auto"/>
        <w:right w:val="none" w:sz="0" w:space="0" w:color="auto"/>
      </w:divBdr>
    </w:div>
    <w:div w:id="1744183829">
      <w:bodyDiv w:val="1"/>
      <w:marLeft w:val="0"/>
      <w:marRight w:val="0"/>
      <w:marTop w:val="0"/>
      <w:marBottom w:val="0"/>
      <w:divBdr>
        <w:top w:val="none" w:sz="0" w:space="0" w:color="auto"/>
        <w:left w:val="none" w:sz="0" w:space="0" w:color="auto"/>
        <w:bottom w:val="none" w:sz="0" w:space="0" w:color="auto"/>
        <w:right w:val="none" w:sz="0" w:space="0" w:color="auto"/>
      </w:divBdr>
    </w:div>
    <w:div w:id="1745175068">
      <w:bodyDiv w:val="1"/>
      <w:marLeft w:val="0"/>
      <w:marRight w:val="0"/>
      <w:marTop w:val="0"/>
      <w:marBottom w:val="0"/>
      <w:divBdr>
        <w:top w:val="none" w:sz="0" w:space="0" w:color="auto"/>
        <w:left w:val="none" w:sz="0" w:space="0" w:color="auto"/>
        <w:bottom w:val="none" w:sz="0" w:space="0" w:color="auto"/>
        <w:right w:val="none" w:sz="0" w:space="0" w:color="auto"/>
      </w:divBdr>
    </w:div>
    <w:div w:id="1745448196">
      <w:bodyDiv w:val="1"/>
      <w:marLeft w:val="0"/>
      <w:marRight w:val="0"/>
      <w:marTop w:val="0"/>
      <w:marBottom w:val="0"/>
      <w:divBdr>
        <w:top w:val="none" w:sz="0" w:space="0" w:color="auto"/>
        <w:left w:val="none" w:sz="0" w:space="0" w:color="auto"/>
        <w:bottom w:val="none" w:sz="0" w:space="0" w:color="auto"/>
        <w:right w:val="none" w:sz="0" w:space="0" w:color="auto"/>
      </w:divBdr>
    </w:div>
    <w:div w:id="1747611805">
      <w:bodyDiv w:val="1"/>
      <w:marLeft w:val="0"/>
      <w:marRight w:val="0"/>
      <w:marTop w:val="0"/>
      <w:marBottom w:val="0"/>
      <w:divBdr>
        <w:top w:val="none" w:sz="0" w:space="0" w:color="auto"/>
        <w:left w:val="none" w:sz="0" w:space="0" w:color="auto"/>
        <w:bottom w:val="none" w:sz="0" w:space="0" w:color="auto"/>
        <w:right w:val="none" w:sz="0" w:space="0" w:color="auto"/>
      </w:divBdr>
    </w:div>
    <w:div w:id="1748455336">
      <w:bodyDiv w:val="1"/>
      <w:marLeft w:val="0"/>
      <w:marRight w:val="0"/>
      <w:marTop w:val="0"/>
      <w:marBottom w:val="0"/>
      <w:divBdr>
        <w:top w:val="none" w:sz="0" w:space="0" w:color="auto"/>
        <w:left w:val="none" w:sz="0" w:space="0" w:color="auto"/>
        <w:bottom w:val="none" w:sz="0" w:space="0" w:color="auto"/>
        <w:right w:val="none" w:sz="0" w:space="0" w:color="auto"/>
      </w:divBdr>
    </w:div>
    <w:div w:id="1749107387">
      <w:bodyDiv w:val="1"/>
      <w:marLeft w:val="0"/>
      <w:marRight w:val="0"/>
      <w:marTop w:val="0"/>
      <w:marBottom w:val="0"/>
      <w:divBdr>
        <w:top w:val="none" w:sz="0" w:space="0" w:color="auto"/>
        <w:left w:val="none" w:sz="0" w:space="0" w:color="auto"/>
        <w:bottom w:val="none" w:sz="0" w:space="0" w:color="auto"/>
        <w:right w:val="none" w:sz="0" w:space="0" w:color="auto"/>
      </w:divBdr>
    </w:div>
    <w:div w:id="1749696150">
      <w:bodyDiv w:val="1"/>
      <w:marLeft w:val="0"/>
      <w:marRight w:val="0"/>
      <w:marTop w:val="0"/>
      <w:marBottom w:val="0"/>
      <w:divBdr>
        <w:top w:val="none" w:sz="0" w:space="0" w:color="auto"/>
        <w:left w:val="none" w:sz="0" w:space="0" w:color="auto"/>
        <w:bottom w:val="none" w:sz="0" w:space="0" w:color="auto"/>
        <w:right w:val="none" w:sz="0" w:space="0" w:color="auto"/>
      </w:divBdr>
    </w:div>
    <w:div w:id="1750693761">
      <w:bodyDiv w:val="1"/>
      <w:marLeft w:val="0"/>
      <w:marRight w:val="0"/>
      <w:marTop w:val="0"/>
      <w:marBottom w:val="0"/>
      <w:divBdr>
        <w:top w:val="none" w:sz="0" w:space="0" w:color="auto"/>
        <w:left w:val="none" w:sz="0" w:space="0" w:color="auto"/>
        <w:bottom w:val="none" w:sz="0" w:space="0" w:color="auto"/>
        <w:right w:val="none" w:sz="0" w:space="0" w:color="auto"/>
      </w:divBdr>
    </w:div>
    <w:div w:id="1752003872">
      <w:bodyDiv w:val="1"/>
      <w:marLeft w:val="0"/>
      <w:marRight w:val="0"/>
      <w:marTop w:val="0"/>
      <w:marBottom w:val="0"/>
      <w:divBdr>
        <w:top w:val="none" w:sz="0" w:space="0" w:color="auto"/>
        <w:left w:val="none" w:sz="0" w:space="0" w:color="auto"/>
        <w:bottom w:val="none" w:sz="0" w:space="0" w:color="auto"/>
        <w:right w:val="none" w:sz="0" w:space="0" w:color="auto"/>
      </w:divBdr>
    </w:div>
    <w:div w:id="1752432821">
      <w:bodyDiv w:val="1"/>
      <w:marLeft w:val="0"/>
      <w:marRight w:val="0"/>
      <w:marTop w:val="0"/>
      <w:marBottom w:val="0"/>
      <w:divBdr>
        <w:top w:val="none" w:sz="0" w:space="0" w:color="auto"/>
        <w:left w:val="none" w:sz="0" w:space="0" w:color="auto"/>
        <w:bottom w:val="none" w:sz="0" w:space="0" w:color="auto"/>
        <w:right w:val="none" w:sz="0" w:space="0" w:color="auto"/>
      </w:divBdr>
    </w:div>
    <w:div w:id="1754156670">
      <w:bodyDiv w:val="1"/>
      <w:marLeft w:val="0"/>
      <w:marRight w:val="0"/>
      <w:marTop w:val="0"/>
      <w:marBottom w:val="0"/>
      <w:divBdr>
        <w:top w:val="none" w:sz="0" w:space="0" w:color="auto"/>
        <w:left w:val="none" w:sz="0" w:space="0" w:color="auto"/>
        <w:bottom w:val="none" w:sz="0" w:space="0" w:color="auto"/>
        <w:right w:val="none" w:sz="0" w:space="0" w:color="auto"/>
      </w:divBdr>
    </w:div>
    <w:div w:id="1754425717">
      <w:bodyDiv w:val="1"/>
      <w:marLeft w:val="0"/>
      <w:marRight w:val="0"/>
      <w:marTop w:val="0"/>
      <w:marBottom w:val="0"/>
      <w:divBdr>
        <w:top w:val="none" w:sz="0" w:space="0" w:color="auto"/>
        <w:left w:val="none" w:sz="0" w:space="0" w:color="auto"/>
        <w:bottom w:val="none" w:sz="0" w:space="0" w:color="auto"/>
        <w:right w:val="none" w:sz="0" w:space="0" w:color="auto"/>
      </w:divBdr>
    </w:div>
    <w:div w:id="1754550749">
      <w:bodyDiv w:val="1"/>
      <w:marLeft w:val="0"/>
      <w:marRight w:val="0"/>
      <w:marTop w:val="0"/>
      <w:marBottom w:val="0"/>
      <w:divBdr>
        <w:top w:val="none" w:sz="0" w:space="0" w:color="auto"/>
        <w:left w:val="none" w:sz="0" w:space="0" w:color="auto"/>
        <w:bottom w:val="none" w:sz="0" w:space="0" w:color="auto"/>
        <w:right w:val="none" w:sz="0" w:space="0" w:color="auto"/>
      </w:divBdr>
    </w:div>
    <w:div w:id="1754816663">
      <w:bodyDiv w:val="1"/>
      <w:marLeft w:val="0"/>
      <w:marRight w:val="0"/>
      <w:marTop w:val="0"/>
      <w:marBottom w:val="0"/>
      <w:divBdr>
        <w:top w:val="none" w:sz="0" w:space="0" w:color="auto"/>
        <w:left w:val="none" w:sz="0" w:space="0" w:color="auto"/>
        <w:bottom w:val="none" w:sz="0" w:space="0" w:color="auto"/>
        <w:right w:val="none" w:sz="0" w:space="0" w:color="auto"/>
      </w:divBdr>
    </w:div>
    <w:div w:id="1757089252">
      <w:bodyDiv w:val="1"/>
      <w:marLeft w:val="0"/>
      <w:marRight w:val="0"/>
      <w:marTop w:val="0"/>
      <w:marBottom w:val="0"/>
      <w:divBdr>
        <w:top w:val="none" w:sz="0" w:space="0" w:color="auto"/>
        <w:left w:val="none" w:sz="0" w:space="0" w:color="auto"/>
        <w:bottom w:val="none" w:sz="0" w:space="0" w:color="auto"/>
        <w:right w:val="none" w:sz="0" w:space="0" w:color="auto"/>
      </w:divBdr>
    </w:div>
    <w:div w:id="1757556868">
      <w:bodyDiv w:val="1"/>
      <w:marLeft w:val="0"/>
      <w:marRight w:val="0"/>
      <w:marTop w:val="0"/>
      <w:marBottom w:val="0"/>
      <w:divBdr>
        <w:top w:val="none" w:sz="0" w:space="0" w:color="auto"/>
        <w:left w:val="none" w:sz="0" w:space="0" w:color="auto"/>
        <w:bottom w:val="none" w:sz="0" w:space="0" w:color="auto"/>
        <w:right w:val="none" w:sz="0" w:space="0" w:color="auto"/>
      </w:divBdr>
    </w:div>
    <w:div w:id="1757749338">
      <w:bodyDiv w:val="1"/>
      <w:marLeft w:val="0"/>
      <w:marRight w:val="0"/>
      <w:marTop w:val="0"/>
      <w:marBottom w:val="0"/>
      <w:divBdr>
        <w:top w:val="none" w:sz="0" w:space="0" w:color="auto"/>
        <w:left w:val="none" w:sz="0" w:space="0" w:color="auto"/>
        <w:bottom w:val="none" w:sz="0" w:space="0" w:color="auto"/>
        <w:right w:val="none" w:sz="0" w:space="0" w:color="auto"/>
      </w:divBdr>
    </w:div>
    <w:div w:id="1759016084">
      <w:bodyDiv w:val="1"/>
      <w:marLeft w:val="0"/>
      <w:marRight w:val="0"/>
      <w:marTop w:val="0"/>
      <w:marBottom w:val="0"/>
      <w:divBdr>
        <w:top w:val="none" w:sz="0" w:space="0" w:color="auto"/>
        <w:left w:val="none" w:sz="0" w:space="0" w:color="auto"/>
        <w:bottom w:val="none" w:sz="0" w:space="0" w:color="auto"/>
        <w:right w:val="none" w:sz="0" w:space="0" w:color="auto"/>
      </w:divBdr>
    </w:div>
    <w:div w:id="1760787571">
      <w:bodyDiv w:val="1"/>
      <w:marLeft w:val="0"/>
      <w:marRight w:val="0"/>
      <w:marTop w:val="0"/>
      <w:marBottom w:val="0"/>
      <w:divBdr>
        <w:top w:val="none" w:sz="0" w:space="0" w:color="auto"/>
        <w:left w:val="none" w:sz="0" w:space="0" w:color="auto"/>
        <w:bottom w:val="none" w:sz="0" w:space="0" w:color="auto"/>
        <w:right w:val="none" w:sz="0" w:space="0" w:color="auto"/>
      </w:divBdr>
    </w:div>
    <w:div w:id="1762405596">
      <w:bodyDiv w:val="1"/>
      <w:marLeft w:val="0"/>
      <w:marRight w:val="0"/>
      <w:marTop w:val="0"/>
      <w:marBottom w:val="0"/>
      <w:divBdr>
        <w:top w:val="none" w:sz="0" w:space="0" w:color="auto"/>
        <w:left w:val="none" w:sz="0" w:space="0" w:color="auto"/>
        <w:bottom w:val="none" w:sz="0" w:space="0" w:color="auto"/>
        <w:right w:val="none" w:sz="0" w:space="0" w:color="auto"/>
      </w:divBdr>
    </w:div>
    <w:div w:id="1763258116">
      <w:bodyDiv w:val="1"/>
      <w:marLeft w:val="0"/>
      <w:marRight w:val="0"/>
      <w:marTop w:val="0"/>
      <w:marBottom w:val="0"/>
      <w:divBdr>
        <w:top w:val="none" w:sz="0" w:space="0" w:color="auto"/>
        <w:left w:val="none" w:sz="0" w:space="0" w:color="auto"/>
        <w:bottom w:val="none" w:sz="0" w:space="0" w:color="auto"/>
        <w:right w:val="none" w:sz="0" w:space="0" w:color="auto"/>
      </w:divBdr>
    </w:div>
    <w:div w:id="1763332808">
      <w:bodyDiv w:val="1"/>
      <w:marLeft w:val="0"/>
      <w:marRight w:val="0"/>
      <w:marTop w:val="0"/>
      <w:marBottom w:val="0"/>
      <w:divBdr>
        <w:top w:val="none" w:sz="0" w:space="0" w:color="auto"/>
        <w:left w:val="none" w:sz="0" w:space="0" w:color="auto"/>
        <w:bottom w:val="none" w:sz="0" w:space="0" w:color="auto"/>
        <w:right w:val="none" w:sz="0" w:space="0" w:color="auto"/>
      </w:divBdr>
    </w:div>
    <w:div w:id="1763526322">
      <w:bodyDiv w:val="1"/>
      <w:marLeft w:val="0"/>
      <w:marRight w:val="0"/>
      <w:marTop w:val="0"/>
      <w:marBottom w:val="0"/>
      <w:divBdr>
        <w:top w:val="none" w:sz="0" w:space="0" w:color="auto"/>
        <w:left w:val="none" w:sz="0" w:space="0" w:color="auto"/>
        <w:bottom w:val="none" w:sz="0" w:space="0" w:color="auto"/>
        <w:right w:val="none" w:sz="0" w:space="0" w:color="auto"/>
      </w:divBdr>
    </w:div>
    <w:div w:id="1763913582">
      <w:bodyDiv w:val="1"/>
      <w:marLeft w:val="0"/>
      <w:marRight w:val="0"/>
      <w:marTop w:val="0"/>
      <w:marBottom w:val="0"/>
      <w:divBdr>
        <w:top w:val="none" w:sz="0" w:space="0" w:color="auto"/>
        <w:left w:val="none" w:sz="0" w:space="0" w:color="auto"/>
        <w:bottom w:val="none" w:sz="0" w:space="0" w:color="auto"/>
        <w:right w:val="none" w:sz="0" w:space="0" w:color="auto"/>
      </w:divBdr>
    </w:div>
    <w:div w:id="1764495091">
      <w:bodyDiv w:val="1"/>
      <w:marLeft w:val="0"/>
      <w:marRight w:val="0"/>
      <w:marTop w:val="0"/>
      <w:marBottom w:val="0"/>
      <w:divBdr>
        <w:top w:val="none" w:sz="0" w:space="0" w:color="auto"/>
        <w:left w:val="none" w:sz="0" w:space="0" w:color="auto"/>
        <w:bottom w:val="none" w:sz="0" w:space="0" w:color="auto"/>
        <w:right w:val="none" w:sz="0" w:space="0" w:color="auto"/>
      </w:divBdr>
    </w:div>
    <w:div w:id="1765149696">
      <w:bodyDiv w:val="1"/>
      <w:marLeft w:val="0"/>
      <w:marRight w:val="0"/>
      <w:marTop w:val="0"/>
      <w:marBottom w:val="0"/>
      <w:divBdr>
        <w:top w:val="none" w:sz="0" w:space="0" w:color="auto"/>
        <w:left w:val="none" w:sz="0" w:space="0" w:color="auto"/>
        <w:bottom w:val="none" w:sz="0" w:space="0" w:color="auto"/>
        <w:right w:val="none" w:sz="0" w:space="0" w:color="auto"/>
      </w:divBdr>
    </w:div>
    <w:div w:id="1766152384">
      <w:bodyDiv w:val="1"/>
      <w:marLeft w:val="0"/>
      <w:marRight w:val="0"/>
      <w:marTop w:val="0"/>
      <w:marBottom w:val="0"/>
      <w:divBdr>
        <w:top w:val="none" w:sz="0" w:space="0" w:color="auto"/>
        <w:left w:val="none" w:sz="0" w:space="0" w:color="auto"/>
        <w:bottom w:val="none" w:sz="0" w:space="0" w:color="auto"/>
        <w:right w:val="none" w:sz="0" w:space="0" w:color="auto"/>
      </w:divBdr>
    </w:div>
    <w:div w:id="1766345965">
      <w:bodyDiv w:val="1"/>
      <w:marLeft w:val="0"/>
      <w:marRight w:val="0"/>
      <w:marTop w:val="0"/>
      <w:marBottom w:val="0"/>
      <w:divBdr>
        <w:top w:val="none" w:sz="0" w:space="0" w:color="auto"/>
        <w:left w:val="none" w:sz="0" w:space="0" w:color="auto"/>
        <w:bottom w:val="none" w:sz="0" w:space="0" w:color="auto"/>
        <w:right w:val="none" w:sz="0" w:space="0" w:color="auto"/>
      </w:divBdr>
    </w:div>
    <w:div w:id="1767192129">
      <w:bodyDiv w:val="1"/>
      <w:marLeft w:val="0"/>
      <w:marRight w:val="0"/>
      <w:marTop w:val="0"/>
      <w:marBottom w:val="0"/>
      <w:divBdr>
        <w:top w:val="none" w:sz="0" w:space="0" w:color="auto"/>
        <w:left w:val="none" w:sz="0" w:space="0" w:color="auto"/>
        <w:bottom w:val="none" w:sz="0" w:space="0" w:color="auto"/>
        <w:right w:val="none" w:sz="0" w:space="0" w:color="auto"/>
      </w:divBdr>
    </w:div>
    <w:div w:id="1767996103">
      <w:bodyDiv w:val="1"/>
      <w:marLeft w:val="0"/>
      <w:marRight w:val="0"/>
      <w:marTop w:val="0"/>
      <w:marBottom w:val="0"/>
      <w:divBdr>
        <w:top w:val="none" w:sz="0" w:space="0" w:color="auto"/>
        <w:left w:val="none" w:sz="0" w:space="0" w:color="auto"/>
        <w:bottom w:val="none" w:sz="0" w:space="0" w:color="auto"/>
        <w:right w:val="none" w:sz="0" w:space="0" w:color="auto"/>
      </w:divBdr>
    </w:div>
    <w:div w:id="1768305563">
      <w:bodyDiv w:val="1"/>
      <w:marLeft w:val="0"/>
      <w:marRight w:val="0"/>
      <w:marTop w:val="0"/>
      <w:marBottom w:val="0"/>
      <w:divBdr>
        <w:top w:val="none" w:sz="0" w:space="0" w:color="auto"/>
        <w:left w:val="none" w:sz="0" w:space="0" w:color="auto"/>
        <w:bottom w:val="none" w:sz="0" w:space="0" w:color="auto"/>
        <w:right w:val="none" w:sz="0" w:space="0" w:color="auto"/>
      </w:divBdr>
    </w:div>
    <w:div w:id="1768311299">
      <w:bodyDiv w:val="1"/>
      <w:marLeft w:val="0"/>
      <w:marRight w:val="0"/>
      <w:marTop w:val="0"/>
      <w:marBottom w:val="0"/>
      <w:divBdr>
        <w:top w:val="none" w:sz="0" w:space="0" w:color="auto"/>
        <w:left w:val="none" w:sz="0" w:space="0" w:color="auto"/>
        <w:bottom w:val="none" w:sz="0" w:space="0" w:color="auto"/>
        <w:right w:val="none" w:sz="0" w:space="0" w:color="auto"/>
      </w:divBdr>
    </w:div>
    <w:div w:id="1768967099">
      <w:bodyDiv w:val="1"/>
      <w:marLeft w:val="0"/>
      <w:marRight w:val="0"/>
      <w:marTop w:val="0"/>
      <w:marBottom w:val="0"/>
      <w:divBdr>
        <w:top w:val="none" w:sz="0" w:space="0" w:color="auto"/>
        <w:left w:val="none" w:sz="0" w:space="0" w:color="auto"/>
        <w:bottom w:val="none" w:sz="0" w:space="0" w:color="auto"/>
        <w:right w:val="none" w:sz="0" w:space="0" w:color="auto"/>
      </w:divBdr>
    </w:div>
    <w:div w:id="1769427024">
      <w:bodyDiv w:val="1"/>
      <w:marLeft w:val="0"/>
      <w:marRight w:val="0"/>
      <w:marTop w:val="0"/>
      <w:marBottom w:val="0"/>
      <w:divBdr>
        <w:top w:val="none" w:sz="0" w:space="0" w:color="auto"/>
        <w:left w:val="none" w:sz="0" w:space="0" w:color="auto"/>
        <w:bottom w:val="none" w:sz="0" w:space="0" w:color="auto"/>
        <w:right w:val="none" w:sz="0" w:space="0" w:color="auto"/>
      </w:divBdr>
    </w:div>
    <w:div w:id="1769620275">
      <w:bodyDiv w:val="1"/>
      <w:marLeft w:val="0"/>
      <w:marRight w:val="0"/>
      <w:marTop w:val="0"/>
      <w:marBottom w:val="0"/>
      <w:divBdr>
        <w:top w:val="none" w:sz="0" w:space="0" w:color="auto"/>
        <w:left w:val="none" w:sz="0" w:space="0" w:color="auto"/>
        <w:bottom w:val="none" w:sz="0" w:space="0" w:color="auto"/>
        <w:right w:val="none" w:sz="0" w:space="0" w:color="auto"/>
      </w:divBdr>
    </w:div>
    <w:div w:id="1772045642">
      <w:bodyDiv w:val="1"/>
      <w:marLeft w:val="0"/>
      <w:marRight w:val="0"/>
      <w:marTop w:val="0"/>
      <w:marBottom w:val="0"/>
      <w:divBdr>
        <w:top w:val="none" w:sz="0" w:space="0" w:color="auto"/>
        <w:left w:val="none" w:sz="0" w:space="0" w:color="auto"/>
        <w:bottom w:val="none" w:sz="0" w:space="0" w:color="auto"/>
        <w:right w:val="none" w:sz="0" w:space="0" w:color="auto"/>
      </w:divBdr>
    </w:div>
    <w:div w:id="1772622554">
      <w:bodyDiv w:val="1"/>
      <w:marLeft w:val="0"/>
      <w:marRight w:val="0"/>
      <w:marTop w:val="0"/>
      <w:marBottom w:val="0"/>
      <w:divBdr>
        <w:top w:val="none" w:sz="0" w:space="0" w:color="auto"/>
        <w:left w:val="none" w:sz="0" w:space="0" w:color="auto"/>
        <w:bottom w:val="none" w:sz="0" w:space="0" w:color="auto"/>
        <w:right w:val="none" w:sz="0" w:space="0" w:color="auto"/>
      </w:divBdr>
    </w:div>
    <w:div w:id="1772822202">
      <w:bodyDiv w:val="1"/>
      <w:marLeft w:val="0"/>
      <w:marRight w:val="0"/>
      <w:marTop w:val="0"/>
      <w:marBottom w:val="0"/>
      <w:divBdr>
        <w:top w:val="none" w:sz="0" w:space="0" w:color="auto"/>
        <w:left w:val="none" w:sz="0" w:space="0" w:color="auto"/>
        <w:bottom w:val="none" w:sz="0" w:space="0" w:color="auto"/>
        <w:right w:val="none" w:sz="0" w:space="0" w:color="auto"/>
      </w:divBdr>
    </w:div>
    <w:div w:id="1773747192">
      <w:bodyDiv w:val="1"/>
      <w:marLeft w:val="0"/>
      <w:marRight w:val="0"/>
      <w:marTop w:val="0"/>
      <w:marBottom w:val="0"/>
      <w:divBdr>
        <w:top w:val="none" w:sz="0" w:space="0" w:color="auto"/>
        <w:left w:val="none" w:sz="0" w:space="0" w:color="auto"/>
        <w:bottom w:val="none" w:sz="0" w:space="0" w:color="auto"/>
        <w:right w:val="none" w:sz="0" w:space="0" w:color="auto"/>
      </w:divBdr>
    </w:div>
    <w:div w:id="1774084030">
      <w:bodyDiv w:val="1"/>
      <w:marLeft w:val="0"/>
      <w:marRight w:val="0"/>
      <w:marTop w:val="0"/>
      <w:marBottom w:val="0"/>
      <w:divBdr>
        <w:top w:val="none" w:sz="0" w:space="0" w:color="auto"/>
        <w:left w:val="none" w:sz="0" w:space="0" w:color="auto"/>
        <w:bottom w:val="none" w:sz="0" w:space="0" w:color="auto"/>
        <w:right w:val="none" w:sz="0" w:space="0" w:color="auto"/>
      </w:divBdr>
    </w:div>
    <w:div w:id="1775393265">
      <w:bodyDiv w:val="1"/>
      <w:marLeft w:val="0"/>
      <w:marRight w:val="0"/>
      <w:marTop w:val="0"/>
      <w:marBottom w:val="0"/>
      <w:divBdr>
        <w:top w:val="none" w:sz="0" w:space="0" w:color="auto"/>
        <w:left w:val="none" w:sz="0" w:space="0" w:color="auto"/>
        <w:bottom w:val="none" w:sz="0" w:space="0" w:color="auto"/>
        <w:right w:val="none" w:sz="0" w:space="0" w:color="auto"/>
      </w:divBdr>
    </w:div>
    <w:div w:id="1776049966">
      <w:bodyDiv w:val="1"/>
      <w:marLeft w:val="0"/>
      <w:marRight w:val="0"/>
      <w:marTop w:val="0"/>
      <w:marBottom w:val="0"/>
      <w:divBdr>
        <w:top w:val="none" w:sz="0" w:space="0" w:color="auto"/>
        <w:left w:val="none" w:sz="0" w:space="0" w:color="auto"/>
        <w:bottom w:val="none" w:sz="0" w:space="0" w:color="auto"/>
        <w:right w:val="none" w:sz="0" w:space="0" w:color="auto"/>
      </w:divBdr>
    </w:div>
    <w:div w:id="1776057582">
      <w:bodyDiv w:val="1"/>
      <w:marLeft w:val="0"/>
      <w:marRight w:val="0"/>
      <w:marTop w:val="0"/>
      <w:marBottom w:val="0"/>
      <w:divBdr>
        <w:top w:val="none" w:sz="0" w:space="0" w:color="auto"/>
        <w:left w:val="none" w:sz="0" w:space="0" w:color="auto"/>
        <w:bottom w:val="none" w:sz="0" w:space="0" w:color="auto"/>
        <w:right w:val="none" w:sz="0" w:space="0" w:color="auto"/>
      </w:divBdr>
    </w:div>
    <w:div w:id="1776243464">
      <w:bodyDiv w:val="1"/>
      <w:marLeft w:val="0"/>
      <w:marRight w:val="0"/>
      <w:marTop w:val="0"/>
      <w:marBottom w:val="0"/>
      <w:divBdr>
        <w:top w:val="none" w:sz="0" w:space="0" w:color="auto"/>
        <w:left w:val="none" w:sz="0" w:space="0" w:color="auto"/>
        <w:bottom w:val="none" w:sz="0" w:space="0" w:color="auto"/>
        <w:right w:val="none" w:sz="0" w:space="0" w:color="auto"/>
      </w:divBdr>
    </w:div>
    <w:div w:id="1777677002">
      <w:bodyDiv w:val="1"/>
      <w:marLeft w:val="0"/>
      <w:marRight w:val="0"/>
      <w:marTop w:val="0"/>
      <w:marBottom w:val="0"/>
      <w:divBdr>
        <w:top w:val="none" w:sz="0" w:space="0" w:color="auto"/>
        <w:left w:val="none" w:sz="0" w:space="0" w:color="auto"/>
        <w:bottom w:val="none" w:sz="0" w:space="0" w:color="auto"/>
        <w:right w:val="none" w:sz="0" w:space="0" w:color="auto"/>
      </w:divBdr>
    </w:div>
    <w:div w:id="1778014616">
      <w:bodyDiv w:val="1"/>
      <w:marLeft w:val="0"/>
      <w:marRight w:val="0"/>
      <w:marTop w:val="0"/>
      <w:marBottom w:val="0"/>
      <w:divBdr>
        <w:top w:val="none" w:sz="0" w:space="0" w:color="auto"/>
        <w:left w:val="none" w:sz="0" w:space="0" w:color="auto"/>
        <w:bottom w:val="none" w:sz="0" w:space="0" w:color="auto"/>
        <w:right w:val="none" w:sz="0" w:space="0" w:color="auto"/>
      </w:divBdr>
    </w:div>
    <w:div w:id="1779373306">
      <w:bodyDiv w:val="1"/>
      <w:marLeft w:val="0"/>
      <w:marRight w:val="0"/>
      <w:marTop w:val="0"/>
      <w:marBottom w:val="0"/>
      <w:divBdr>
        <w:top w:val="none" w:sz="0" w:space="0" w:color="auto"/>
        <w:left w:val="none" w:sz="0" w:space="0" w:color="auto"/>
        <w:bottom w:val="none" w:sz="0" w:space="0" w:color="auto"/>
        <w:right w:val="none" w:sz="0" w:space="0" w:color="auto"/>
      </w:divBdr>
    </w:div>
    <w:div w:id="1779443368">
      <w:bodyDiv w:val="1"/>
      <w:marLeft w:val="0"/>
      <w:marRight w:val="0"/>
      <w:marTop w:val="0"/>
      <w:marBottom w:val="0"/>
      <w:divBdr>
        <w:top w:val="none" w:sz="0" w:space="0" w:color="auto"/>
        <w:left w:val="none" w:sz="0" w:space="0" w:color="auto"/>
        <w:bottom w:val="none" w:sz="0" w:space="0" w:color="auto"/>
        <w:right w:val="none" w:sz="0" w:space="0" w:color="auto"/>
      </w:divBdr>
    </w:div>
    <w:div w:id="1779449189">
      <w:bodyDiv w:val="1"/>
      <w:marLeft w:val="0"/>
      <w:marRight w:val="0"/>
      <w:marTop w:val="0"/>
      <w:marBottom w:val="0"/>
      <w:divBdr>
        <w:top w:val="none" w:sz="0" w:space="0" w:color="auto"/>
        <w:left w:val="none" w:sz="0" w:space="0" w:color="auto"/>
        <w:bottom w:val="none" w:sz="0" w:space="0" w:color="auto"/>
        <w:right w:val="none" w:sz="0" w:space="0" w:color="auto"/>
      </w:divBdr>
    </w:div>
    <w:div w:id="1780181845">
      <w:bodyDiv w:val="1"/>
      <w:marLeft w:val="0"/>
      <w:marRight w:val="0"/>
      <w:marTop w:val="0"/>
      <w:marBottom w:val="0"/>
      <w:divBdr>
        <w:top w:val="none" w:sz="0" w:space="0" w:color="auto"/>
        <w:left w:val="none" w:sz="0" w:space="0" w:color="auto"/>
        <w:bottom w:val="none" w:sz="0" w:space="0" w:color="auto"/>
        <w:right w:val="none" w:sz="0" w:space="0" w:color="auto"/>
      </w:divBdr>
    </w:div>
    <w:div w:id="1780224714">
      <w:bodyDiv w:val="1"/>
      <w:marLeft w:val="0"/>
      <w:marRight w:val="0"/>
      <w:marTop w:val="0"/>
      <w:marBottom w:val="0"/>
      <w:divBdr>
        <w:top w:val="none" w:sz="0" w:space="0" w:color="auto"/>
        <w:left w:val="none" w:sz="0" w:space="0" w:color="auto"/>
        <w:bottom w:val="none" w:sz="0" w:space="0" w:color="auto"/>
        <w:right w:val="none" w:sz="0" w:space="0" w:color="auto"/>
      </w:divBdr>
    </w:div>
    <w:div w:id="1780753933">
      <w:bodyDiv w:val="1"/>
      <w:marLeft w:val="0"/>
      <w:marRight w:val="0"/>
      <w:marTop w:val="0"/>
      <w:marBottom w:val="0"/>
      <w:divBdr>
        <w:top w:val="none" w:sz="0" w:space="0" w:color="auto"/>
        <w:left w:val="none" w:sz="0" w:space="0" w:color="auto"/>
        <w:bottom w:val="none" w:sz="0" w:space="0" w:color="auto"/>
        <w:right w:val="none" w:sz="0" w:space="0" w:color="auto"/>
      </w:divBdr>
    </w:div>
    <w:div w:id="1781678092">
      <w:bodyDiv w:val="1"/>
      <w:marLeft w:val="0"/>
      <w:marRight w:val="0"/>
      <w:marTop w:val="0"/>
      <w:marBottom w:val="0"/>
      <w:divBdr>
        <w:top w:val="none" w:sz="0" w:space="0" w:color="auto"/>
        <w:left w:val="none" w:sz="0" w:space="0" w:color="auto"/>
        <w:bottom w:val="none" w:sz="0" w:space="0" w:color="auto"/>
        <w:right w:val="none" w:sz="0" w:space="0" w:color="auto"/>
      </w:divBdr>
    </w:div>
    <w:div w:id="1782332983">
      <w:bodyDiv w:val="1"/>
      <w:marLeft w:val="0"/>
      <w:marRight w:val="0"/>
      <w:marTop w:val="0"/>
      <w:marBottom w:val="0"/>
      <w:divBdr>
        <w:top w:val="none" w:sz="0" w:space="0" w:color="auto"/>
        <w:left w:val="none" w:sz="0" w:space="0" w:color="auto"/>
        <w:bottom w:val="none" w:sz="0" w:space="0" w:color="auto"/>
        <w:right w:val="none" w:sz="0" w:space="0" w:color="auto"/>
      </w:divBdr>
    </w:div>
    <w:div w:id="1784182769">
      <w:bodyDiv w:val="1"/>
      <w:marLeft w:val="0"/>
      <w:marRight w:val="0"/>
      <w:marTop w:val="0"/>
      <w:marBottom w:val="0"/>
      <w:divBdr>
        <w:top w:val="none" w:sz="0" w:space="0" w:color="auto"/>
        <w:left w:val="none" w:sz="0" w:space="0" w:color="auto"/>
        <w:bottom w:val="none" w:sz="0" w:space="0" w:color="auto"/>
        <w:right w:val="none" w:sz="0" w:space="0" w:color="auto"/>
      </w:divBdr>
    </w:div>
    <w:div w:id="1784299189">
      <w:bodyDiv w:val="1"/>
      <w:marLeft w:val="0"/>
      <w:marRight w:val="0"/>
      <w:marTop w:val="0"/>
      <w:marBottom w:val="0"/>
      <w:divBdr>
        <w:top w:val="none" w:sz="0" w:space="0" w:color="auto"/>
        <w:left w:val="none" w:sz="0" w:space="0" w:color="auto"/>
        <w:bottom w:val="none" w:sz="0" w:space="0" w:color="auto"/>
        <w:right w:val="none" w:sz="0" w:space="0" w:color="auto"/>
      </w:divBdr>
    </w:div>
    <w:div w:id="1786122560">
      <w:bodyDiv w:val="1"/>
      <w:marLeft w:val="0"/>
      <w:marRight w:val="0"/>
      <w:marTop w:val="0"/>
      <w:marBottom w:val="0"/>
      <w:divBdr>
        <w:top w:val="none" w:sz="0" w:space="0" w:color="auto"/>
        <w:left w:val="none" w:sz="0" w:space="0" w:color="auto"/>
        <w:bottom w:val="none" w:sz="0" w:space="0" w:color="auto"/>
        <w:right w:val="none" w:sz="0" w:space="0" w:color="auto"/>
      </w:divBdr>
    </w:div>
    <w:div w:id="1788506110">
      <w:bodyDiv w:val="1"/>
      <w:marLeft w:val="0"/>
      <w:marRight w:val="0"/>
      <w:marTop w:val="0"/>
      <w:marBottom w:val="0"/>
      <w:divBdr>
        <w:top w:val="none" w:sz="0" w:space="0" w:color="auto"/>
        <w:left w:val="none" w:sz="0" w:space="0" w:color="auto"/>
        <w:bottom w:val="none" w:sz="0" w:space="0" w:color="auto"/>
        <w:right w:val="none" w:sz="0" w:space="0" w:color="auto"/>
      </w:divBdr>
    </w:div>
    <w:div w:id="1788544062">
      <w:bodyDiv w:val="1"/>
      <w:marLeft w:val="0"/>
      <w:marRight w:val="0"/>
      <w:marTop w:val="0"/>
      <w:marBottom w:val="0"/>
      <w:divBdr>
        <w:top w:val="none" w:sz="0" w:space="0" w:color="auto"/>
        <w:left w:val="none" w:sz="0" w:space="0" w:color="auto"/>
        <w:bottom w:val="none" w:sz="0" w:space="0" w:color="auto"/>
        <w:right w:val="none" w:sz="0" w:space="0" w:color="auto"/>
      </w:divBdr>
    </w:div>
    <w:div w:id="1788768621">
      <w:bodyDiv w:val="1"/>
      <w:marLeft w:val="0"/>
      <w:marRight w:val="0"/>
      <w:marTop w:val="0"/>
      <w:marBottom w:val="0"/>
      <w:divBdr>
        <w:top w:val="none" w:sz="0" w:space="0" w:color="auto"/>
        <w:left w:val="none" w:sz="0" w:space="0" w:color="auto"/>
        <w:bottom w:val="none" w:sz="0" w:space="0" w:color="auto"/>
        <w:right w:val="none" w:sz="0" w:space="0" w:color="auto"/>
      </w:divBdr>
    </w:div>
    <w:div w:id="1790006972">
      <w:bodyDiv w:val="1"/>
      <w:marLeft w:val="0"/>
      <w:marRight w:val="0"/>
      <w:marTop w:val="0"/>
      <w:marBottom w:val="0"/>
      <w:divBdr>
        <w:top w:val="none" w:sz="0" w:space="0" w:color="auto"/>
        <w:left w:val="none" w:sz="0" w:space="0" w:color="auto"/>
        <w:bottom w:val="none" w:sz="0" w:space="0" w:color="auto"/>
        <w:right w:val="none" w:sz="0" w:space="0" w:color="auto"/>
      </w:divBdr>
    </w:div>
    <w:div w:id="1790464793">
      <w:bodyDiv w:val="1"/>
      <w:marLeft w:val="0"/>
      <w:marRight w:val="0"/>
      <w:marTop w:val="0"/>
      <w:marBottom w:val="0"/>
      <w:divBdr>
        <w:top w:val="none" w:sz="0" w:space="0" w:color="auto"/>
        <w:left w:val="none" w:sz="0" w:space="0" w:color="auto"/>
        <w:bottom w:val="none" w:sz="0" w:space="0" w:color="auto"/>
        <w:right w:val="none" w:sz="0" w:space="0" w:color="auto"/>
      </w:divBdr>
    </w:div>
    <w:div w:id="1791435334">
      <w:bodyDiv w:val="1"/>
      <w:marLeft w:val="0"/>
      <w:marRight w:val="0"/>
      <w:marTop w:val="0"/>
      <w:marBottom w:val="0"/>
      <w:divBdr>
        <w:top w:val="none" w:sz="0" w:space="0" w:color="auto"/>
        <w:left w:val="none" w:sz="0" w:space="0" w:color="auto"/>
        <w:bottom w:val="none" w:sz="0" w:space="0" w:color="auto"/>
        <w:right w:val="none" w:sz="0" w:space="0" w:color="auto"/>
      </w:divBdr>
    </w:div>
    <w:div w:id="1792433541">
      <w:bodyDiv w:val="1"/>
      <w:marLeft w:val="0"/>
      <w:marRight w:val="0"/>
      <w:marTop w:val="0"/>
      <w:marBottom w:val="0"/>
      <w:divBdr>
        <w:top w:val="none" w:sz="0" w:space="0" w:color="auto"/>
        <w:left w:val="none" w:sz="0" w:space="0" w:color="auto"/>
        <w:bottom w:val="none" w:sz="0" w:space="0" w:color="auto"/>
        <w:right w:val="none" w:sz="0" w:space="0" w:color="auto"/>
      </w:divBdr>
    </w:div>
    <w:div w:id="1792623995">
      <w:bodyDiv w:val="1"/>
      <w:marLeft w:val="0"/>
      <w:marRight w:val="0"/>
      <w:marTop w:val="0"/>
      <w:marBottom w:val="0"/>
      <w:divBdr>
        <w:top w:val="none" w:sz="0" w:space="0" w:color="auto"/>
        <w:left w:val="none" w:sz="0" w:space="0" w:color="auto"/>
        <w:bottom w:val="none" w:sz="0" w:space="0" w:color="auto"/>
        <w:right w:val="none" w:sz="0" w:space="0" w:color="auto"/>
      </w:divBdr>
    </w:div>
    <w:div w:id="1792631179">
      <w:bodyDiv w:val="1"/>
      <w:marLeft w:val="0"/>
      <w:marRight w:val="0"/>
      <w:marTop w:val="0"/>
      <w:marBottom w:val="0"/>
      <w:divBdr>
        <w:top w:val="none" w:sz="0" w:space="0" w:color="auto"/>
        <w:left w:val="none" w:sz="0" w:space="0" w:color="auto"/>
        <w:bottom w:val="none" w:sz="0" w:space="0" w:color="auto"/>
        <w:right w:val="none" w:sz="0" w:space="0" w:color="auto"/>
      </w:divBdr>
    </w:div>
    <w:div w:id="1793550282">
      <w:bodyDiv w:val="1"/>
      <w:marLeft w:val="0"/>
      <w:marRight w:val="0"/>
      <w:marTop w:val="0"/>
      <w:marBottom w:val="0"/>
      <w:divBdr>
        <w:top w:val="none" w:sz="0" w:space="0" w:color="auto"/>
        <w:left w:val="none" w:sz="0" w:space="0" w:color="auto"/>
        <w:bottom w:val="none" w:sz="0" w:space="0" w:color="auto"/>
        <w:right w:val="none" w:sz="0" w:space="0" w:color="auto"/>
      </w:divBdr>
    </w:div>
    <w:div w:id="1793740747">
      <w:bodyDiv w:val="1"/>
      <w:marLeft w:val="0"/>
      <w:marRight w:val="0"/>
      <w:marTop w:val="0"/>
      <w:marBottom w:val="0"/>
      <w:divBdr>
        <w:top w:val="none" w:sz="0" w:space="0" w:color="auto"/>
        <w:left w:val="none" w:sz="0" w:space="0" w:color="auto"/>
        <w:bottom w:val="none" w:sz="0" w:space="0" w:color="auto"/>
        <w:right w:val="none" w:sz="0" w:space="0" w:color="auto"/>
      </w:divBdr>
    </w:div>
    <w:div w:id="1794516681">
      <w:bodyDiv w:val="1"/>
      <w:marLeft w:val="0"/>
      <w:marRight w:val="0"/>
      <w:marTop w:val="0"/>
      <w:marBottom w:val="0"/>
      <w:divBdr>
        <w:top w:val="none" w:sz="0" w:space="0" w:color="auto"/>
        <w:left w:val="none" w:sz="0" w:space="0" w:color="auto"/>
        <w:bottom w:val="none" w:sz="0" w:space="0" w:color="auto"/>
        <w:right w:val="none" w:sz="0" w:space="0" w:color="auto"/>
      </w:divBdr>
    </w:div>
    <w:div w:id="1795755978">
      <w:bodyDiv w:val="1"/>
      <w:marLeft w:val="0"/>
      <w:marRight w:val="0"/>
      <w:marTop w:val="0"/>
      <w:marBottom w:val="0"/>
      <w:divBdr>
        <w:top w:val="none" w:sz="0" w:space="0" w:color="auto"/>
        <w:left w:val="none" w:sz="0" w:space="0" w:color="auto"/>
        <w:bottom w:val="none" w:sz="0" w:space="0" w:color="auto"/>
        <w:right w:val="none" w:sz="0" w:space="0" w:color="auto"/>
      </w:divBdr>
    </w:div>
    <w:div w:id="1796098586">
      <w:bodyDiv w:val="1"/>
      <w:marLeft w:val="0"/>
      <w:marRight w:val="0"/>
      <w:marTop w:val="0"/>
      <w:marBottom w:val="0"/>
      <w:divBdr>
        <w:top w:val="none" w:sz="0" w:space="0" w:color="auto"/>
        <w:left w:val="none" w:sz="0" w:space="0" w:color="auto"/>
        <w:bottom w:val="none" w:sz="0" w:space="0" w:color="auto"/>
        <w:right w:val="none" w:sz="0" w:space="0" w:color="auto"/>
      </w:divBdr>
    </w:div>
    <w:div w:id="1797025992">
      <w:bodyDiv w:val="1"/>
      <w:marLeft w:val="0"/>
      <w:marRight w:val="0"/>
      <w:marTop w:val="0"/>
      <w:marBottom w:val="0"/>
      <w:divBdr>
        <w:top w:val="none" w:sz="0" w:space="0" w:color="auto"/>
        <w:left w:val="none" w:sz="0" w:space="0" w:color="auto"/>
        <w:bottom w:val="none" w:sz="0" w:space="0" w:color="auto"/>
        <w:right w:val="none" w:sz="0" w:space="0" w:color="auto"/>
      </w:divBdr>
    </w:div>
    <w:div w:id="1797260010">
      <w:bodyDiv w:val="1"/>
      <w:marLeft w:val="0"/>
      <w:marRight w:val="0"/>
      <w:marTop w:val="0"/>
      <w:marBottom w:val="0"/>
      <w:divBdr>
        <w:top w:val="none" w:sz="0" w:space="0" w:color="auto"/>
        <w:left w:val="none" w:sz="0" w:space="0" w:color="auto"/>
        <w:bottom w:val="none" w:sz="0" w:space="0" w:color="auto"/>
        <w:right w:val="none" w:sz="0" w:space="0" w:color="auto"/>
      </w:divBdr>
    </w:div>
    <w:div w:id="1797330384">
      <w:bodyDiv w:val="1"/>
      <w:marLeft w:val="0"/>
      <w:marRight w:val="0"/>
      <w:marTop w:val="0"/>
      <w:marBottom w:val="0"/>
      <w:divBdr>
        <w:top w:val="none" w:sz="0" w:space="0" w:color="auto"/>
        <w:left w:val="none" w:sz="0" w:space="0" w:color="auto"/>
        <w:bottom w:val="none" w:sz="0" w:space="0" w:color="auto"/>
        <w:right w:val="none" w:sz="0" w:space="0" w:color="auto"/>
      </w:divBdr>
    </w:div>
    <w:div w:id="1798256820">
      <w:bodyDiv w:val="1"/>
      <w:marLeft w:val="0"/>
      <w:marRight w:val="0"/>
      <w:marTop w:val="0"/>
      <w:marBottom w:val="0"/>
      <w:divBdr>
        <w:top w:val="none" w:sz="0" w:space="0" w:color="auto"/>
        <w:left w:val="none" w:sz="0" w:space="0" w:color="auto"/>
        <w:bottom w:val="none" w:sz="0" w:space="0" w:color="auto"/>
        <w:right w:val="none" w:sz="0" w:space="0" w:color="auto"/>
      </w:divBdr>
    </w:div>
    <w:div w:id="1799254853">
      <w:bodyDiv w:val="1"/>
      <w:marLeft w:val="0"/>
      <w:marRight w:val="0"/>
      <w:marTop w:val="0"/>
      <w:marBottom w:val="0"/>
      <w:divBdr>
        <w:top w:val="none" w:sz="0" w:space="0" w:color="auto"/>
        <w:left w:val="none" w:sz="0" w:space="0" w:color="auto"/>
        <w:bottom w:val="none" w:sz="0" w:space="0" w:color="auto"/>
        <w:right w:val="none" w:sz="0" w:space="0" w:color="auto"/>
      </w:divBdr>
    </w:div>
    <w:div w:id="1799454220">
      <w:bodyDiv w:val="1"/>
      <w:marLeft w:val="0"/>
      <w:marRight w:val="0"/>
      <w:marTop w:val="0"/>
      <w:marBottom w:val="0"/>
      <w:divBdr>
        <w:top w:val="none" w:sz="0" w:space="0" w:color="auto"/>
        <w:left w:val="none" w:sz="0" w:space="0" w:color="auto"/>
        <w:bottom w:val="none" w:sz="0" w:space="0" w:color="auto"/>
        <w:right w:val="none" w:sz="0" w:space="0" w:color="auto"/>
      </w:divBdr>
    </w:div>
    <w:div w:id="1799838437">
      <w:bodyDiv w:val="1"/>
      <w:marLeft w:val="0"/>
      <w:marRight w:val="0"/>
      <w:marTop w:val="0"/>
      <w:marBottom w:val="0"/>
      <w:divBdr>
        <w:top w:val="none" w:sz="0" w:space="0" w:color="auto"/>
        <w:left w:val="none" w:sz="0" w:space="0" w:color="auto"/>
        <w:bottom w:val="none" w:sz="0" w:space="0" w:color="auto"/>
        <w:right w:val="none" w:sz="0" w:space="0" w:color="auto"/>
      </w:divBdr>
    </w:div>
    <w:div w:id="1799956738">
      <w:bodyDiv w:val="1"/>
      <w:marLeft w:val="0"/>
      <w:marRight w:val="0"/>
      <w:marTop w:val="0"/>
      <w:marBottom w:val="0"/>
      <w:divBdr>
        <w:top w:val="none" w:sz="0" w:space="0" w:color="auto"/>
        <w:left w:val="none" w:sz="0" w:space="0" w:color="auto"/>
        <w:bottom w:val="none" w:sz="0" w:space="0" w:color="auto"/>
        <w:right w:val="none" w:sz="0" w:space="0" w:color="auto"/>
      </w:divBdr>
    </w:div>
    <w:div w:id="1800032142">
      <w:bodyDiv w:val="1"/>
      <w:marLeft w:val="0"/>
      <w:marRight w:val="0"/>
      <w:marTop w:val="0"/>
      <w:marBottom w:val="0"/>
      <w:divBdr>
        <w:top w:val="none" w:sz="0" w:space="0" w:color="auto"/>
        <w:left w:val="none" w:sz="0" w:space="0" w:color="auto"/>
        <w:bottom w:val="none" w:sz="0" w:space="0" w:color="auto"/>
        <w:right w:val="none" w:sz="0" w:space="0" w:color="auto"/>
      </w:divBdr>
    </w:div>
    <w:div w:id="1806124302">
      <w:bodyDiv w:val="1"/>
      <w:marLeft w:val="0"/>
      <w:marRight w:val="0"/>
      <w:marTop w:val="0"/>
      <w:marBottom w:val="0"/>
      <w:divBdr>
        <w:top w:val="none" w:sz="0" w:space="0" w:color="auto"/>
        <w:left w:val="none" w:sz="0" w:space="0" w:color="auto"/>
        <w:bottom w:val="none" w:sz="0" w:space="0" w:color="auto"/>
        <w:right w:val="none" w:sz="0" w:space="0" w:color="auto"/>
      </w:divBdr>
    </w:div>
    <w:div w:id="1806386223">
      <w:bodyDiv w:val="1"/>
      <w:marLeft w:val="0"/>
      <w:marRight w:val="0"/>
      <w:marTop w:val="0"/>
      <w:marBottom w:val="0"/>
      <w:divBdr>
        <w:top w:val="none" w:sz="0" w:space="0" w:color="auto"/>
        <w:left w:val="none" w:sz="0" w:space="0" w:color="auto"/>
        <w:bottom w:val="none" w:sz="0" w:space="0" w:color="auto"/>
        <w:right w:val="none" w:sz="0" w:space="0" w:color="auto"/>
      </w:divBdr>
    </w:div>
    <w:div w:id="1806968802">
      <w:bodyDiv w:val="1"/>
      <w:marLeft w:val="0"/>
      <w:marRight w:val="0"/>
      <w:marTop w:val="0"/>
      <w:marBottom w:val="0"/>
      <w:divBdr>
        <w:top w:val="none" w:sz="0" w:space="0" w:color="auto"/>
        <w:left w:val="none" w:sz="0" w:space="0" w:color="auto"/>
        <w:bottom w:val="none" w:sz="0" w:space="0" w:color="auto"/>
        <w:right w:val="none" w:sz="0" w:space="0" w:color="auto"/>
      </w:divBdr>
    </w:div>
    <w:div w:id="1807892926">
      <w:bodyDiv w:val="1"/>
      <w:marLeft w:val="0"/>
      <w:marRight w:val="0"/>
      <w:marTop w:val="0"/>
      <w:marBottom w:val="0"/>
      <w:divBdr>
        <w:top w:val="none" w:sz="0" w:space="0" w:color="auto"/>
        <w:left w:val="none" w:sz="0" w:space="0" w:color="auto"/>
        <w:bottom w:val="none" w:sz="0" w:space="0" w:color="auto"/>
        <w:right w:val="none" w:sz="0" w:space="0" w:color="auto"/>
      </w:divBdr>
    </w:div>
    <w:div w:id="1808015048">
      <w:bodyDiv w:val="1"/>
      <w:marLeft w:val="0"/>
      <w:marRight w:val="0"/>
      <w:marTop w:val="0"/>
      <w:marBottom w:val="0"/>
      <w:divBdr>
        <w:top w:val="none" w:sz="0" w:space="0" w:color="auto"/>
        <w:left w:val="none" w:sz="0" w:space="0" w:color="auto"/>
        <w:bottom w:val="none" w:sz="0" w:space="0" w:color="auto"/>
        <w:right w:val="none" w:sz="0" w:space="0" w:color="auto"/>
      </w:divBdr>
    </w:div>
    <w:div w:id="1808204974">
      <w:bodyDiv w:val="1"/>
      <w:marLeft w:val="0"/>
      <w:marRight w:val="0"/>
      <w:marTop w:val="0"/>
      <w:marBottom w:val="0"/>
      <w:divBdr>
        <w:top w:val="none" w:sz="0" w:space="0" w:color="auto"/>
        <w:left w:val="none" w:sz="0" w:space="0" w:color="auto"/>
        <w:bottom w:val="none" w:sz="0" w:space="0" w:color="auto"/>
        <w:right w:val="none" w:sz="0" w:space="0" w:color="auto"/>
      </w:divBdr>
    </w:div>
    <w:div w:id="1808544365">
      <w:bodyDiv w:val="1"/>
      <w:marLeft w:val="0"/>
      <w:marRight w:val="0"/>
      <w:marTop w:val="0"/>
      <w:marBottom w:val="0"/>
      <w:divBdr>
        <w:top w:val="none" w:sz="0" w:space="0" w:color="auto"/>
        <w:left w:val="none" w:sz="0" w:space="0" w:color="auto"/>
        <w:bottom w:val="none" w:sz="0" w:space="0" w:color="auto"/>
        <w:right w:val="none" w:sz="0" w:space="0" w:color="auto"/>
      </w:divBdr>
    </w:div>
    <w:div w:id="1810125920">
      <w:bodyDiv w:val="1"/>
      <w:marLeft w:val="0"/>
      <w:marRight w:val="0"/>
      <w:marTop w:val="0"/>
      <w:marBottom w:val="0"/>
      <w:divBdr>
        <w:top w:val="none" w:sz="0" w:space="0" w:color="auto"/>
        <w:left w:val="none" w:sz="0" w:space="0" w:color="auto"/>
        <w:bottom w:val="none" w:sz="0" w:space="0" w:color="auto"/>
        <w:right w:val="none" w:sz="0" w:space="0" w:color="auto"/>
      </w:divBdr>
    </w:div>
    <w:div w:id="1810247398">
      <w:bodyDiv w:val="1"/>
      <w:marLeft w:val="0"/>
      <w:marRight w:val="0"/>
      <w:marTop w:val="0"/>
      <w:marBottom w:val="0"/>
      <w:divBdr>
        <w:top w:val="none" w:sz="0" w:space="0" w:color="auto"/>
        <w:left w:val="none" w:sz="0" w:space="0" w:color="auto"/>
        <w:bottom w:val="none" w:sz="0" w:space="0" w:color="auto"/>
        <w:right w:val="none" w:sz="0" w:space="0" w:color="auto"/>
      </w:divBdr>
    </w:div>
    <w:div w:id="1811630002">
      <w:bodyDiv w:val="1"/>
      <w:marLeft w:val="0"/>
      <w:marRight w:val="0"/>
      <w:marTop w:val="0"/>
      <w:marBottom w:val="0"/>
      <w:divBdr>
        <w:top w:val="none" w:sz="0" w:space="0" w:color="auto"/>
        <w:left w:val="none" w:sz="0" w:space="0" w:color="auto"/>
        <w:bottom w:val="none" w:sz="0" w:space="0" w:color="auto"/>
        <w:right w:val="none" w:sz="0" w:space="0" w:color="auto"/>
      </w:divBdr>
    </w:div>
    <w:div w:id="1811942013">
      <w:bodyDiv w:val="1"/>
      <w:marLeft w:val="0"/>
      <w:marRight w:val="0"/>
      <w:marTop w:val="0"/>
      <w:marBottom w:val="0"/>
      <w:divBdr>
        <w:top w:val="none" w:sz="0" w:space="0" w:color="auto"/>
        <w:left w:val="none" w:sz="0" w:space="0" w:color="auto"/>
        <w:bottom w:val="none" w:sz="0" w:space="0" w:color="auto"/>
        <w:right w:val="none" w:sz="0" w:space="0" w:color="auto"/>
      </w:divBdr>
    </w:div>
    <w:div w:id="1812088904">
      <w:bodyDiv w:val="1"/>
      <w:marLeft w:val="0"/>
      <w:marRight w:val="0"/>
      <w:marTop w:val="0"/>
      <w:marBottom w:val="0"/>
      <w:divBdr>
        <w:top w:val="none" w:sz="0" w:space="0" w:color="auto"/>
        <w:left w:val="none" w:sz="0" w:space="0" w:color="auto"/>
        <w:bottom w:val="none" w:sz="0" w:space="0" w:color="auto"/>
        <w:right w:val="none" w:sz="0" w:space="0" w:color="auto"/>
      </w:divBdr>
    </w:div>
    <w:div w:id="1812283943">
      <w:bodyDiv w:val="1"/>
      <w:marLeft w:val="0"/>
      <w:marRight w:val="0"/>
      <w:marTop w:val="0"/>
      <w:marBottom w:val="0"/>
      <w:divBdr>
        <w:top w:val="none" w:sz="0" w:space="0" w:color="auto"/>
        <w:left w:val="none" w:sz="0" w:space="0" w:color="auto"/>
        <w:bottom w:val="none" w:sz="0" w:space="0" w:color="auto"/>
        <w:right w:val="none" w:sz="0" w:space="0" w:color="auto"/>
      </w:divBdr>
    </w:div>
    <w:div w:id="1812794889">
      <w:bodyDiv w:val="1"/>
      <w:marLeft w:val="0"/>
      <w:marRight w:val="0"/>
      <w:marTop w:val="0"/>
      <w:marBottom w:val="0"/>
      <w:divBdr>
        <w:top w:val="none" w:sz="0" w:space="0" w:color="auto"/>
        <w:left w:val="none" w:sz="0" w:space="0" w:color="auto"/>
        <w:bottom w:val="none" w:sz="0" w:space="0" w:color="auto"/>
        <w:right w:val="none" w:sz="0" w:space="0" w:color="auto"/>
      </w:divBdr>
    </w:div>
    <w:div w:id="1815759681">
      <w:bodyDiv w:val="1"/>
      <w:marLeft w:val="0"/>
      <w:marRight w:val="0"/>
      <w:marTop w:val="0"/>
      <w:marBottom w:val="0"/>
      <w:divBdr>
        <w:top w:val="none" w:sz="0" w:space="0" w:color="auto"/>
        <w:left w:val="none" w:sz="0" w:space="0" w:color="auto"/>
        <w:bottom w:val="none" w:sz="0" w:space="0" w:color="auto"/>
        <w:right w:val="none" w:sz="0" w:space="0" w:color="auto"/>
      </w:divBdr>
    </w:div>
    <w:div w:id="1817650561">
      <w:bodyDiv w:val="1"/>
      <w:marLeft w:val="0"/>
      <w:marRight w:val="0"/>
      <w:marTop w:val="0"/>
      <w:marBottom w:val="0"/>
      <w:divBdr>
        <w:top w:val="none" w:sz="0" w:space="0" w:color="auto"/>
        <w:left w:val="none" w:sz="0" w:space="0" w:color="auto"/>
        <w:bottom w:val="none" w:sz="0" w:space="0" w:color="auto"/>
        <w:right w:val="none" w:sz="0" w:space="0" w:color="auto"/>
      </w:divBdr>
    </w:div>
    <w:div w:id="1818306073">
      <w:bodyDiv w:val="1"/>
      <w:marLeft w:val="0"/>
      <w:marRight w:val="0"/>
      <w:marTop w:val="0"/>
      <w:marBottom w:val="0"/>
      <w:divBdr>
        <w:top w:val="none" w:sz="0" w:space="0" w:color="auto"/>
        <w:left w:val="none" w:sz="0" w:space="0" w:color="auto"/>
        <w:bottom w:val="none" w:sz="0" w:space="0" w:color="auto"/>
        <w:right w:val="none" w:sz="0" w:space="0" w:color="auto"/>
      </w:divBdr>
    </w:div>
    <w:div w:id="1819489909">
      <w:bodyDiv w:val="1"/>
      <w:marLeft w:val="0"/>
      <w:marRight w:val="0"/>
      <w:marTop w:val="0"/>
      <w:marBottom w:val="0"/>
      <w:divBdr>
        <w:top w:val="none" w:sz="0" w:space="0" w:color="auto"/>
        <w:left w:val="none" w:sz="0" w:space="0" w:color="auto"/>
        <w:bottom w:val="none" w:sz="0" w:space="0" w:color="auto"/>
        <w:right w:val="none" w:sz="0" w:space="0" w:color="auto"/>
      </w:divBdr>
    </w:div>
    <w:div w:id="1820266962">
      <w:bodyDiv w:val="1"/>
      <w:marLeft w:val="0"/>
      <w:marRight w:val="0"/>
      <w:marTop w:val="0"/>
      <w:marBottom w:val="0"/>
      <w:divBdr>
        <w:top w:val="none" w:sz="0" w:space="0" w:color="auto"/>
        <w:left w:val="none" w:sz="0" w:space="0" w:color="auto"/>
        <w:bottom w:val="none" w:sz="0" w:space="0" w:color="auto"/>
        <w:right w:val="none" w:sz="0" w:space="0" w:color="auto"/>
      </w:divBdr>
    </w:div>
    <w:div w:id="1821536149">
      <w:bodyDiv w:val="1"/>
      <w:marLeft w:val="0"/>
      <w:marRight w:val="0"/>
      <w:marTop w:val="0"/>
      <w:marBottom w:val="0"/>
      <w:divBdr>
        <w:top w:val="none" w:sz="0" w:space="0" w:color="auto"/>
        <w:left w:val="none" w:sz="0" w:space="0" w:color="auto"/>
        <w:bottom w:val="none" w:sz="0" w:space="0" w:color="auto"/>
        <w:right w:val="none" w:sz="0" w:space="0" w:color="auto"/>
      </w:divBdr>
    </w:div>
    <w:div w:id="1825968283">
      <w:bodyDiv w:val="1"/>
      <w:marLeft w:val="0"/>
      <w:marRight w:val="0"/>
      <w:marTop w:val="0"/>
      <w:marBottom w:val="0"/>
      <w:divBdr>
        <w:top w:val="none" w:sz="0" w:space="0" w:color="auto"/>
        <w:left w:val="none" w:sz="0" w:space="0" w:color="auto"/>
        <w:bottom w:val="none" w:sz="0" w:space="0" w:color="auto"/>
        <w:right w:val="none" w:sz="0" w:space="0" w:color="auto"/>
      </w:divBdr>
    </w:div>
    <w:div w:id="1827012697">
      <w:bodyDiv w:val="1"/>
      <w:marLeft w:val="0"/>
      <w:marRight w:val="0"/>
      <w:marTop w:val="0"/>
      <w:marBottom w:val="0"/>
      <w:divBdr>
        <w:top w:val="none" w:sz="0" w:space="0" w:color="auto"/>
        <w:left w:val="none" w:sz="0" w:space="0" w:color="auto"/>
        <w:bottom w:val="none" w:sz="0" w:space="0" w:color="auto"/>
        <w:right w:val="none" w:sz="0" w:space="0" w:color="auto"/>
      </w:divBdr>
    </w:div>
    <w:div w:id="1827235605">
      <w:bodyDiv w:val="1"/>
      <w:marLeft w:val="0"/>
      <w:marRight w:val="0"/>
      <w:marTop w:val="0"/>
      <w:marBottom w:val="0"/>
      <w:divBdr>
        <w:top w:val="none" w:sz="0" w:space="0" w:color="auto"/>
        <w:left w:val="none" w:sz="0" w:space="0" w:color="auto"/>
        <w:bottom w:val="none" w:sz="0" w:space="0" w:color="auto"/>
        <w:right w:val="none" w:sz="0" w:space="0" w:color="auto"/>
      </w:divBdr>
    </w:div>
    <w:div w:id="1828089545">
      <w:bodyDiv w:val="1"/>
      <w:marLeft w:val="0"/>
      <w:marRight w:val="0"/>
      <w:marTop w:val="0"/>
      <w:marBottom w:val="0"/>
      <w:divBdr>
        <w:top w:val="none" w:sz="0" w:space="0" w:color="auto"/>
        <w:left w:val="none" w:sz="0" w:space="0" w:color="auto"/>
        <w:bottom w:val="none" w:sz="0" w:space="0" w:color="auto"/>
        <w:right w:val="none" w:sz="0" w:space="0" w:color="auto"/>
      </w:divBdr>
    </w:div>
    <w:div w:id="1828090345">
      <w:bodyDiv w:val="1"/>
      <w:marLeft w:val="0"/>
      <w:marRight w:val="0"/>
      <w:marTop w:val="0"/>
      <w:marBottom w:val="0"/>
      <w:divBdr>
        <w:top w:val="none" w:sz="0" w:space="0" w:color="auto"/>
        <w:left w:val="none" w:sz="0" w:space="0" w:color="auto"/>
        <w:bottom w:val="none" w:sz="0" w:space="0" w:color="auto"/>
        <w:right w:val="none" w:sz="0" w:space="0" w:color="auto"/>
      </w:divBdr>
    </w:div>
    <w:div w:id="1832869799">
      <w:bodyDiv w:val="1"/>
      <w:marLeft w:val="0"/>
      <w:marRight w:val="0"/>
      <w:marTop w:val="0"/>
      <w:marBottom w:val="0"/>
      <w:divBdr>
        <w:top w:val="none" w:sz="0" w:space="0" w:color="auto"/>
        <w:left w:val="none" w:sz="0" w:space="0" w:color="auto"/>
        <w:bottom w:val="none" w:sz="0" w:space="0" w:color="auto"/>
        <w:right w:val="none" w:sz="0" w:space="0" w:color="auto"/>
      </w:divBdr>
    </w:div>
    <w:div w:id="1835216934">
      <w:bodyDiv w:val="1"/>
      <w:marLeft w:val="0"/>
      <w:marRight w:val="0"/>
      <w:marTop w:val="0"/>
      <w:marBottom w:val="0"/>
      <w:divBdr>
        <w:top w:val="none" w:sz="0" w:space="0" w:color="auto"/>
        <w:left w:val="none" w:sz="0" w:space="0" w:color="auto"/>
        <w:bottom w:val="none" w:sz="0" w:space="0" w:color="auto"/>
        <w:right w:val="none" w:sz="0" w:space="0" w:color="auto"/>
      </w:divBdr>
    </w:div>
    <w:div w:id="1836720089">
      <w:bodyDiv w:val="1"/>
      <w:marLeft w:val="0"/>
      <w:marRight w:val="0"/>
      <w:marTop w:val="0"/>
      <w:marBottom w:val="0"/>
      <w:divBdr>
        <w:top w:val="none" w:sz="0" w:space="0" w:color="auto"/>
        <w:left w:val="none" w:sz="0" w:space="0" w:color="auto"/>
        <w:bottom w:val="none" w:sz="0" w:space="0" w:color="auto"/>
        <w:right w:val="none" w:sz="0" w:space="0" w:color="auto"/>
      </w:divBdr>
    </w:div>
    <w:div w:id="1837724138">
      <w:bodyDiv w:val="1"/>
      <w:marLeft w:val="0"/>
      <w:marRight w:val="0"/>
      <w:marTop w:val="0"/>
      <w:marBottom w:val="0"/>
      <w:divBdr>
        <w:top w:val="none" w:sz="0" w:space="0" w:color="auto"/>
        <w:left w:val="none" w:sz="0" w:space="0" w:color="auto"/>
        <w:bottom w:val="none" w:sz="0" w:space="0" w:color="auto"/>
        <w:right w:val="none" w:sz="0" w:space="0" w:color="auto"/>
      </w:divBdr>
    </w:div>
    <w:div w:id="1839466829">
      <w:bodyDiv w:val="1"/>
      <w:marLeft w:val="0"/>
      <w:marRight w:val="0"/>
      <w:marTop w:val="0"/>
      <w:marBottom w:val="0"/>
      <w:divBdr>
        <w:top w:val="none" w:sz="0" w:space="0" w:color="auto"/>
        <w:left w:val="none" w:sz="0" w:space="0" w:color="auto"/>
        <w:bottom w:val="none" w:sz="0" w:space="0" w:color="auto"/>
        <w:right w:val="none" w:sz="0" w:space="0" w:color="auto"/>
      </w:divBdr>
    </w:div>
    <w:div w:id="1839731285">
      <w:bodyDiv w:val="1"/>
      <w:marLeft w:val="0"/>
      <w:marRight w:val="0"/>
      <w:marTop w:val="0"/>
      <w:marBottom w:val="0"/>
      <w:divBdr>
        <w:top w:val="none" w:sz="0" w:space="0" w:color="auto"/>
        <w:left w:val="none" w:sz="0" w:space="0" w:color="auto"/>
        <w:bottom w:val="none" w:sz="0" w:space="0" w:color="auto"/>
        <w:right w:val="none" w:sz="0" w:space="0" w:color="auto"/>
      </w:divBdr>
    </w:div>
    <w:div w:id="1839953199">
      <w:bodyDiv w:val="1"/>
      <w:marLeft w:val="0"/>
      <w:marRight w:val="0"/>
      <w:marTop w:val="0"/>
      <w:marBottom w:val="0"/>
      <w:divBdr>
        <w:top w:val="none" w:sz="0" w:space="0" w:color="auto"/>
        <w:left w:val="none" w:sz="0" w:space="0" w:color="auto"/>
        <w:bottom w:val="none" w:sz="0" w:space="0" w:color="auto"/>
        <w:right w:val="none" w:sz="0" w:space="0" w:color="auto"/>
      </w:divBdr>
    </w:div>
    <w:div w:id="1841433203">
      <w:bodyDiv w:val="1"/>
      <w:marLeft w:val="0"/>
      <w:marRight w:val="0"/>
      <w:marTop w:val="0"/>
      <w:marBottom w:val="0"/>
      <w:divBdr>
        <w:top w:val="none" w:sz="0" w:space="0" w:color="auto"/>
        <w:left w:val="none" w:sz="0" w:space="0" w:color="auto"/>
        <w:bottom w:val="none" w:sz="0" w:space="0" w:color="auto"/>
        <w:right w:val="none" w:sz="0" w:space="0" w:color="auto"/>
      </w:divBdr>
    </w:div>
    <w:div w:id="1842161804">
      <w:bodyDiv w:val="1"/>
      <w:marLeft w:val="0"/>
      <w:marRight w:val="0"/>
      <w:marTop w:val="0"/>
      <w:marBottom w:val="0"/>
      <w:divBdr>
        <w:top w:val="none" w:sz="0" w:space="0" w:color="auto"/>
        <w:left w:val="none" w:sz="0" w:space="0" w:color="auto"/>
        <w:bottom w:val="none" w:sz="0" w:space="0" w:color="auto"/>
        <w:right w:val="none" w:sz="0" w:space="0" w:color="auto"/>
      </w:divBdr>
    </w:div>
    <w:div w:id="1842887670">
      <w:bodyDiv w:val="1"/>
      <w:marLeft w:val="0"/>
      <w:marRight w:val="0"/>
      <w:marTop w:val="0"/>
      <w:marBottom w:val="0"/>
      <w:divBdr>
        <w:top w:val="none" w:sz="0" w:space="0" w:color="auto"/>
        <w:left w:val="none" w:sz="0" w:space="0" w:color="auto"/>
        <w:bottom w:val="none" w:sz="0" w:space="0" w:color="auto"/>
        <w:right w:val="none" w:sz="0" w:space="0" w:color="auto"/>
      </w:divBdr>
    </w:div>
    <w:div w:id="1843734640">
      <w:bodyDiv w:val="1"/>
      <w:marLeft w:val="0"/>
      <w:marRight w:val="0"/>
      <w:marTop w:val="0"/>
      <w:marBottom w:val="0"/>
      <w:divBdr>
        <w:top w:val="none" w:sz="0" w:space="0" w:color="auto"/>
        <w:left w:val="none" w:sz="0" w:space="0" w:color="auto"/>
        <w:bottom w:val="none" w:sz="0" w:space="0" w:color="auto"/>
        <w:right w:val="none" w:sz="0" w:space="0" w:color="auto"/>
      </w:divBdr>
    </w:div>
    <w:div w:id="1844928754">
      <w:bodyDiv w:val="1"/>
      <w:marLeft w:val="0"/>
      <w:marRight w:val="0"/>
      <w:marTop w:val="0"/>
      <w:marBottom w:val="0"/>
      <w:divBdr>
        <w:top w:val="none" w:sz="0" w:space="0" w:color="auto"/>
        <w:left w:val="none" w:sz="0" w:space="0" w:color="auto"/>
        <w:bottom w:val="none" w:sz="0" w:space="0" w:color="auto"/>
        <w:right w:val="none" w:sz="0" w:space="0" w:color="auto"/>
      </w:divBdr>
    </w:div>
    <w:div w:id="1847405523">
      <w:bodyDiv w:val="1"/>
      <w:marLeft w:val="0"/>
      <w:marRight w:val="0"/>
      <w:marTop w:val="0"/>
      <w:marBottom w:val="0"/>
      <w:divBdr>
        <w:top w:val="none" w:sz="0" w:space="0" w:color="auto"/>
        <w:left w:val="none" w:sz="0" w:space="0" w:color="auto"/>
        <w:bottom w:val="none" w:sz="0" w:space="0" w:color="auto"/>
        <w:right w:val="none" w:sz="0" w:space="0" w:color="auto"/>
      </w:divBdr>
    </w:div>
    <w:div w:id="1848014325">
      <w:bodyDiv w:val="1"/>
      <w:marLeft w:val="0"/>
      <w:marRight w:val="0"/>
      <w:marTop w:val="0"/>
      <w:marBottom w:val="0"/>
      <w:divBdr>
        <w:top w:val="none" w:sz="0" w:space="0" w:color="auto"/>
        <w:left w:val="none" w:sz="0" w:space="0" w:color="auto"/>
        <w:bottom w:val="none" w:sz="0" w:space="0" w:color="auto"/>
        <w:right w:val="none" w:sz="0" w:space="0" w:color="auto"/>
      </w:divBdr>
    </w:div>
    <w:div w:id="1848015337">
      <w:bodyDiv w:val="1"/>
      <w:marLeft w:val="0"/>
      <w:marRight w:val="0"/>
      <w:marTop w:val="0"/>
      <w:marBottom w:val="0"/>
      <w:divBdr>
        <w:top w:val="none" w:sz="0" w:space="0" w:color="auto"/>
        <w:left w:val="none" w:sz="0" w:space="0" w:color="auto"/>
        <w:bottom w:val="none" w:sz="0" w:space="0" w:color="auto"/>
        <w:right w:val="none" w:sz="0" w:space="0" w:color="auto"/>
      </w:divBdr>
    </w:div>
    <w:div w:id="1851288091">
      <w:bodyDiv w:val="1"/>
      <w:marLeft w:val="0"/>
      <w:marRight w:val="0"/>
      <w:marTop w:val="0"/>
      <w:marBottom w:val="0"/>
      <w:divBdr>
        <w:top w:val="none" w:sz="0" w:space="0" w:color="auto"/>
        <w:left w:val="none" w:sz="0" w:space="0" w:color="auto"/>
        <w:bottom w:val="none" w:sz="0" w:space="0" w:color="auto"/>
        <w:right w:val="none" w:sz="0" w:space="0" w:color="auto"/>
      </w:divBdr>
    </w:div>
    <w:div w:id="1851411140">
      <w:bodyDiv w:val="1"/>
      <w:marLeft w:val="0"/>
      <w:marRight w:val="0"/>
      <w:marTop w:val="0"/>
      <w:marBottom w:val="0"/>
      <w:divBdr>
        <w:top w:val="none" w:sz="0" w:space="0" w:color="auto"/>
        <w:left w:val="none" w:sz="0" w:space="0" w:color="auto"/>
        <w:bottom w:val="none" w:sz="0" w:space="0" w:color="auto"/>
        <w:right w:val="none" w:sz="0" w:space="0" w:color="auto"/>
      </w:divBdr>
    </w:div>
    <w:div w:id="1851680687">
      <w:bodyDiv w:val="1"/>
      <w:marLeft w:val="0"/>
      <w:marRight w:val="0"/>
      <w:marTop w:val="0"/>
      <w:marBottom w:val="0"/>
      <w:divBdr>
        <w:top w:val="none" w:sz="0" w:space="0" w:color="auto"/>
        <w:left w:val="none" w:sz="0" w:space="0" w:color="auto"/>
        <w:bottom w:val="none" w:sz="0" w:space="0" w:color="auto"/>
        <w:right w:val="none" w:sz="0" w:space="0" w:color="auto"/>
      </w:divBdr>
    </w:div>
    <w:div w:id="1852178663">
      <w:bodyDiv w:val="1"/>
      <w:marLeft w:val="0"/>
      <w:marRight w:val="0"/>
      <w:marTop w:val="0"/>
      <w:marBottom w:val="0"/>
      <w:divBdr>
        <w:top w:val="none" w:sz="0" w:space="0" w:color="auto"/>
        <w:left w:val="none" w:sz="0" w:space="0" w:color="auto"/>
        <w:bottom w:val="none" w:sz="0" w:space="0" w:color="auto"/>
        <w:right w:val="none" w:sz="0" w:space="0" w:color="auto"/>
      </w:divBdr>
    </w:div>
    <w:div w:id="1852329710">
      <w:bodyDiv w:val="1"/>
      <w:marLeft w:val="0"/>
      <w:marRight w:val="0"/>
      <w:marTop w:val="0"/>
      <w:marBottom w:val="0"/>
      <w:divBdr>
        <w:top w:val="none" w:sz="0" w:space="0" w:color="auto"/>
        <w:left w:val="none" w:sz="0" w:space="0" w:color="auto"/>
        <w:bottom w:val="none" w:sz="0" w:space="0" w:color="auto"/>
        <w:right w:val="none" w:sz="0" w:space="0" w:color="auto"/>
      </w:divBdr>
    </w:div>
    <w:div w:id="1852375113">
      <w:bodyDiv w:val="1"/>
      <w:marLeft w:val="0"/>
      <w:marRight w:val="0"/>
      <w:marTop w:val="0"/>
      <w:marBottom w:val="0"/>
      <w:divBdr>
        <w:top w:val="none" w:sz="0" w:space="0" w:color="auto"/>
        <w:left w:val="none" w:sz="0" w:space="0" w:color="auto"/>
        <w:bottom w:val="none" w:sz="0" w:space="0" w:color="auto"/>
        <w:right w:val="none" w:sz="0" w:space="0" w:color="auto"/>
      </w:divBdr>
    </w:div>
    <w:div w:id="1853251996">
      <w:bodyDiv w:val="1"/>
      <w:marLeft w:val="0"/>
      <w:marRight w:val="0"/>
      <w:marTop w:val="0"/>
      <w:marBottom w:val="0"/>
      <w:divBdr>
        <w:top w:val="none" w:sz="0" w:space="0" w:color="auto"/>
        <w:left w:val="none" w:sz="0" w:space="0" w:color="auto"/>
        <w:bottom w:val="none" w:sz="0" w:space="0" w:color="auto"/>
        <w:right w:val="none" w:sz="0" w:space="0" w:color="auto"/>
      </w:divBdr>
    </w:div>
    <w:div w:id="1853956525">
      <w:bodyDiv w:val="1"/>
      <w:marLeft w:val="0"/>
      <w:marRight w:val="0"/>
      <w:marTop w:val="0"/>
      <w:marBottom w:val="0"/>
      <w:divBdr>
        <w:top w:val="none" w:sz="0" w:space="0" w:color="auto"/>
        <w:left w:val="none" w:sz="0" w:space="0" w:color="auto"/>
        <w:bottom w:val="none" w:sz="0" w:space="0" w:color="auto"/>
        <w:right w:val="none" w:sz="0" w:space="0" w:color="auto"/>
      </w:divBdr>
    </w:div>
    <w:div w:id="1856798041">
      <w:bodyDiv w:val="1"/>
      <w:marLeft w:val="0"/>
      <w:marRight w:val="0"/>
      <w:marTop w:val="0"/>
      <w:marBottom w:val="0"/>
      <w:divBdr>
        <w:top w:val="none" w:sz="0" w:space="0" w:color="auto"/>
        <w:left w:val="none" w:sz="0" w:space="0" w:color="auto"/>
        <w:bottom w:val="none" w:sz="0" w:space="0" w:color="auto"/>
        <w:right w:val="none" w:sz="0" w:space="0" w:color="auto"/>
      </w:divBdr>
    </w:div>
    <w:div w:id="1858083896">
      <w:bodyDiv w:val="1"/>
      <w:marLeft w:val="0"/>
      <w:marRight w:val="0"/>
      <w:marTop w:val="0"/>
      <w:marBottom w:val="0"/>
      <w:divBdr>
        <w:top w:val="none" w:sz="0" w:space="0" w:color="auto"/>
        <w:left w:val="none" w:sz="0" w:space="0" w:color="auto"/>
        <w:bottom w:val="none" w:sz="0" w:space="0" w:color="auto"/>
        <w:right w:val="none" w:sz="0" w:space="0" w:color="auto"/>
      </w:divBdr>
    </w:div>
    <w:div w:id="1860125134">
      <w:bodyDiv w:val="1"/>
      <w:marLeft w:val="0"/>
      <w:marRight w:val="0"/>
      <w:marTop w:val="0"/>
      <w:marBottom w:val="0"/>
      <w:divBdr>
        <w:top w:val="none" w:sz="0" w:space="0" w:color="auto"/>
        <w:left w:val="none" w:sz="0" w:space="0" w:color="auto"/>
        <w:bottom w:val="none" w:sz="0" w:space="0" w:color="auto"/>
        <w:right w:val="none" w:sz="0" w:space="0" w:color="auto"/>
      </w:divBdr>
    </w:div>
    <w:div w:id="1863283680">
      <w:bodyDiv w:val="1"/>
      <w:marLeft w:val="0"/>
      <w:marRight w:val="0"/>
      <w:marTop w:val="0"/>
      <w:marBottom w:val="0"/>
      <w:divBdr>
        <w:top w:val="none" w:sz="0" w:space="0" w:color="auto"/>
        <w:left w:val="none" w:sz="0" w:space="0" w:color="auto"/>
        <w:bottom w:val="none" w:sz="0" w:space="0" w:color="auto"/>
        <w:right w:val="none" w:sz="0" w:space="0" w:color="auto"/>
      </w:divBdr>
    </w:div>
    <w:div w:id="1865243248">
      <w:bodyDiv w:val="1"/>
      <w:marLeft w:val="0"/>
      <w:marRight w:val="0"/>
      <w:marTop w:val="0"/>
      <w:marBottom w:val="0"/>
      <w:divBdr>
        <w:top w:val="none" w:sz="0" w:space="0" w:color="auto"/>
        <w:left w:val="none" w:sz="0" w:space="0" w:color="auto"/>
        <w:bottom w:val="none" w:sz="0" w:space="0" w:color="auto"/>
        <w:right w:val="none" w:sz="0" w:space="0" w:color="auto"/>
      </w:divBdr>
    </w:div>
    <w:div w:id="1865443077">
      <w:bodyDiv w:val="1"/>
      <w:marLeft w:val="0"/>
      <w:marRight w:val="0"/>
      <w:marTop w:val="0"/>
      <w:marBottom w:val="0"/>
      <w:divBdr>
        <w:top w:val="none" w:sz="0" w:space="0" w:color="auto"/>
        <w:left w:val="none" w:sz="0" w:space="0" w:color="auto"/>
        <w:bottom w:val="none" w:sz="0" w:space="0" w:color="auto"/>
        <w:right w:val="none" w:sz="0" w:space="0" w:color="auto"/>
      </w:divBdr>
    </w:div>
    <w:div w:id="1865629113">
      <w:bodyDiv w:val="1"/>
      <w:marLeft w:val="0"/>
      <w:marRight w:val="0"/>
      <w:marTop w:val="0"/>
      <w:marBottom w:val="0"/>
      <w:divBdr>
        <w:top w:val="none" w:sz="0" w:space="0" w:color="auto"/>
        <w:left w:val="none" w:sz="0" w:space="0" w:color="auto"/>
        <w:bottom w:val="none" w:sz="0" w:space="0" w:color="auto"/>
        <w:right w:val="none" w:sz="0" w:space="0" w:color="auto"/>
      </w:divBdr>
    </w:div>
    <w:div w:id="1868641489">
      <w:bodyDiv w:val="1"/>
      <w:marLeft w:val="0"/>
      <w:marRight w:val="0"/>
      <w:marTop w:val="0"/>
      <w:marBottom w:val="0"/>
      <w:divBdr>
        <w:top w:val="none" w:sz="0" w:space="0" w:color="auto"/>
        <w:left w:val="none" w:sz="0" w:space="0" w:color="auto"/>
        <w:bottom w:val="none" w:sz="0" w:space="0" w:color="auto"/>
        <w:right w:val="none" w:sz="0" w:space="0" w:color="auto"/>
      </w:divBdr>
    </w:div>
    <w:div w:id="1868791110">
      <w:bodyDiv w:val="1"/>
      <w:marLeft w:val="0"/>
      <w:marRight w:val="0"/>
      <w:marTop w:val="0"/>
      <w:marBottom w:val="0"/>
      <w:divBdr>
        <w:top w:val="none" w:sz="0" w:space="0" w:color="auto"/>
        <w:left w:val="none" w:sz="0" w:space="0" w:color="auto"/>
        <w:bottom w:val="none" w:sz="0" w:space="0" w:color="auto"/>
        <w:right w:val="none" w:sz="0" w:space="0" w:color="auto"/>
      </w:divBdr>
    </w:div>
    <w:div w:id="1869248106">
      <w:bodyDiv w:val="1"/>
      <w:marLeft w:val="0"/>
      <w:marRight w:val="0"/>
      <w:marTop w:val="0"/>
      <w:marBottom w:val="0"/>
      <w:divBdr>
        <w:top w:val="none" w:sz="0" w:space="0" w:color="auto"/>
        <w:left w:val="none" w:sz="0" w:space="0" w:color="auto"/>
        <w:bottom w:val="none" w:sz="0" w:space="0" w:color="auto"/>
        <w:right w:val="none" w:sz="0" w:space="0" w:color="auto"/>
      </w:divBdr>
    </w:div>
    <w:div w:id="1869561827">
      <w:bodyDiv w:val="1"/>
      <w:marLeft w:val="0"/>
      <w:marRight w:val="0"/>
      <w:marTop w:val="0"/>
      <w:marBottom w:val="0"/>
      <w:divBdr>
        <w:top w:val="none" w:sz="0" w:space="0" w:color="auto"/>
        <w:left w:val="none" w:sz="0" w:space="0" w:color="auto"/>
        <w:bottom w:val="none" w:sz="0" w:space="0" w:color="auto"/>
        <w:right w:val="none" w:sz="0" w:space="0" w:color="auto"/>
      </w:divBdr>
    </w:div>
    <w:div w:id="1869949196">
      <w:bodyDiv w:val="1"/>
      <w:marLeft w:val="0"/>
      <w:marRight w:val="0"/>
      <w:marTop w:val="0"/>
      <w:marBottom w:val="0"/>
      <w:divBdr>
        <w:top w:val="none" w:sz="0" w:space="0" w:color="auto"/>
        <w:left w:val="none" w:sz="0" w:space="0" w:color="auto"/>
        <w:bottom w:val="none" w:sz="0" w:space="0" w:color="auto"/>
        <w:right w:val="none" w:sz="0" w:space="0" w:color="auto"/>
      </w:divBdr>
    </w:div>
    <w:div w:id="1870753745">
      <w:bodyDiv w:val="1"/>
      <w:marLeft w:val="0"/>
      <w:marRight w:val="0"/>
      <w:marTop w:val="0"/>
      <w:marBottom w:val="0"/>
      <w:divBdr>
        <w:top w:val="none" w:sz="0" w:space="0" w:color="auto"/>
        <w:left w:val="none" w:sz="0" w:space="0" w:color="auto"/>
        <w:bottom w:val="none" w:sz="0" w:space="0" w:color="auto"/>
        <w:right w:val="none" w:sz="0" w:space="0" w:color="auto"/>
      </w:divBdr>
    </w:div>
    <w:div w:id="1871651504">
      <w:bodyDiv w:val="1"/>
      <w:marLeft w:val="0"/>
      <w:marRight w:val="0"/>
      <w:marTop w:val="0"/>
      <w:marBottom w:val="0"/>
      <w:divBdr>
        <w:top w:val="none" w:sz="0" w:space="0" w:color="auto"/>
        <w:left w:val="none" w:sz="0" w:space="0" w:color="auto"/>
        <w:bottom w:val="none" w:sz="0" w:space="0" w:color="auto"/>
        <w:right w:val="none" w:sz="0" w:space="0" w:color="auto"/>
      </w:divBdr>
    </w:div>
    <w:div w:id="1872254774">
      <w:bodyDiv w:val="1"/>
      <w:marLeft w:val="0"/>
      <w:marRight w:val="0"/>
      <w:marTop w:val="0"/>
      <w:marBottom w:val="0"/>
      <w:divBdr>
        <w:top w:val="none" w:sz="0" w:space="0" w:color="auto"/>
        <w:left w:val="none" w:sz="0" w:space="0" w:color="auto"/>
        <w:bottom w:val="none" w:sz="0" w:space="0" w:color="auto"/>
        <w:right w:val="none" w:sz="0" w:space="0" w:color="auto"/>
      </w:divBdr>
    </w:div>
    <w:div w:id="1872453869">
      <w:bodyDiv w:val="1"/>
      <w:marLeft w:val="0"/>
      <w:marRight w:val="0"/>
      <w:marTop w:val="0"/>
      <w:marBottom w:val="0"/>
      <w:divBdr>
        <w:top w:val="none" w:sz="0" w:space="0" w:color="auto"/>
        <w:left w:val="none" w:sz="0" w:space="0" w:color="auto"/>
        <w:bottom w:val="none" w:sz="0" w:space="0" w:color="auto"/>
        <w:right w:val="none" w:sz="0" w:space="0" w:color="auto"/>
      </w:divBdr>
    </w:div>
    <w:div w:id="1872647324">
      <w:bodyDiv w:val="1"/>
      <w:marLeft w:val="0"/>
      <w:marRight w:val="0"/>
      <w:marTop w:val="0"/>
      <w:marBottom w:val="0"/>
      <w:divBdr>
        <w:top w:val="none" w:sz="0" w:space="0" w:color="auto"/>
        <w:left w:val="none" w:sz="0" w:space="0" w:color="auto"/>
        <w:bottom w:val="none" w:sz="0" w:space="0" w:color="auto"/>
        <w:right w:val="none" w:sz="0" w:space="0" w:color="auto"/>
      </w:divBdr>
    </w:div>
    <w:div w:id="1873105178">
      <w:bodyDiv w:val="1"/>
      <w:marLeft w:val="0"/>
      <w:marRight w:val="0"/>
      <w:marTop w:val="0"/>
      <w:marBottom w:val="0"/>
      <w:divBdr>
        <w:top w:val="none" w:sz="0" w:space="0" w:color="auto"/>
        <w:left w:val="none" w:sz="0" w:space="0" w:color="auto"/>
        <w:bottom w:val="none" w:sz="0" w:space="0" w:color="auto"/>
        <w:right w:val="none" w:sz="0" w:space="0" w:color="auto"/>
      </w:divBdr>
    </w:div>
    <w:div w:id="1873497410">
      <w:bodyDiv w:val="1"/>
      <w:marLeft w:val="0"/>
      <w:marRight w:val="0"/>
      <w:marTop w:val="0"/>
      <w:marBottom w:val="0"/>
      <w:divBdr>
        <w:top w:val="none" w:sz="0" w:space="0" w:color="auto"/>
        <w:left w:val="none" w:sz="0" w:space="0" w:color="auto"/>
        <w:bottom w:val="none" w:sz="0" w:space="0" w:color="auto"/>
        <w:right w:val="none" w:sz="0" w:space="0" w:color="auto"/>
      </w:divBdr>
    </w:div>
    <w:div w:id="1875464438">
      <w:bodyDiv w:val="1"/>
      <w:marLeft w:val="0"/>
      <w:marRight w:val="0"/>
      <w:marTop w:val="0"/>
      <w:marBottom w:val="0"/>
      <w:divBdr>
        <w:top w:val="none" w:sz="0" w:space="0" w:color="auto"/>
        <w:left w:val="none" w:sz="0" w:space="0" w:color="auto"/>
        <w:bottom w:val="none" w:sz="0" w:space="0" w:color="auto"/>
        <w:right w:val="none" w:sz="0" w:space="0" w:color="auto"/>
      </w:divBdr>
    </w:div>
    <w:div w:id="1876696029">
      <w:bodyDiv w:val="1"/>
      <w:marLeft w:val="0"/>
      <w:marRight w:val="0"/>
      <w:marTop w:val="0"/>
      <w:marBottom w:val="0"/>
      <w:divBdr>
        <w:top w:val="none" w:sz="0" w:space="0" w:color="auto"/>
        <w:left w:val="none" w:sz="0" w:space="0" w:color="auto"/>
        <w:bottom w:val="none" w:sz="0" w:space="0" w:color="auto"/>
        <w:right w:val="none" w:sz="0" w:space="0" w:color="auto"/>
      </w:divBdr>
    </w:div>
    <w:div w:id="1877156658">
      <w:bodyDiv w:val="1"/>
      <w:marLeft w:val="0"/>
      <w:marRight w:val="0"/>
      <w:marTop w:val="0"/>
      <w:marBottom w:val="0"/>
      <w:divBdr>
        <w:top w:val="none" w:sz="0" w:space="0" w:color="auto"/>
        <w:left w:val="none" w:sz="0" w:space="0" w:color="auto"/>
        <w:bottom w:val="none" w:sz="0" w:space="0" w:color="auto"/>
        <w:right w:val="none" w:sz="0" w:space="0" w:color="auto"/>
      </w:divBdr>
    </w:div>
    <w:div w:id="1877503769">
      <w:bodyDiv w:val="1"/>
      <w:marLeft w:val="0"/>
      <w:marRight w:val="0"/>
      <w:marTop w:val="0"/>
      <w:marBottom w:val="0"/>
      <w:divBdr>
        <w:top w:val="none" w:sz="0" w:space="0" w:color="auto"/>
        <w:left w:val="none" w:sz="0" w:space="0" w:color="auto"/>
        <w:bottom w:val="none" w:sz="0" w:space="0" w:color="auto"/>
        <w:right w:val="none" w:sz="0" w:space="0" w:color="auto"/>
      </w:divBdr>
    </w:div>
    <w:div w:id="1877692721">
      <w:bodyDiv w:val="1"/>
      <w:marLeft w:val="0"/>
      <w:marRight w:val="0"/>
      <w:marTop w:val="0"/>
      <w:marBottom w:val="0"/>
      <w:divBdr>
        <w:top w:val="none" w:sz="0" w:space="0" w:color="auto"/>
        <w:left w:val="none" w:sz="0" w:space="0" w:color="auto"/>
        <w:bottom w:val="none" w:sz="0" w:space="0" w:color="auto"/>
        <w:right w:val="none" w:sz="0" w:space="0" w:color="auto"/>
      </w:divBdr>
    </w:div>
    <w:div w:id="1878273960">
      <w:bodyDiv w:val="1"/>
      <w:marLeft w:val="0"/>
      <w:marRight w:val="0"/>
      <w:marTop w:val="0"/>
      <w:marBottom w:val="0"/>
      <w:divBdr>
        <w:top w:val="none" w:sz="0" w:space="0" w:color="auto"/>
        <w:left w:val="none" w:sz="0" w:space="0" w:color="auto"/>
        <w:bottom w:val="none" w:sz="0" w:space="0" w:color="auto"/>
        <w:right w:val="none" w:sz="0" w:space="0" w:color="auto"/>
      </w:divBdr>
    </w:div>
    <w:div w:id="1879320246">
      <w:bodyDiv w:val="1"/>
      <w:marLeft w:val="0"/>
      <w:marRight w:val="0"/>
      <w:marTop w:val="0"/>
      <w:marBottom w:val="0"/>
      <w:divBdr>
        <w:top w:val="none" w:sz="0" w:space="0" w:color="auto"/>
        <w:left w:val="none" w:sz="0" w:space="0" w:color="auto"/>
        <w:bottom w:val="none" w:sz="0" w:space="0" w:color="auto"/>
        <w:right w:val="none" w:sz="0" w:space="0" w:color="auto"/>
      </w:divBdr>
    </w:div>
    <w:div w:id="1880165842">
      <w:bodyDiv w:val="1"/>
      <w:marLeft w:val="0"/>
      <w:marRight w:val="0"/>
      <w:marTop w:val="0"/>
      <w:marBottom w:val="0"/>
      <w:divBdr>
        <w:top w:val="none" w:sz="0" w:space="0" w:color="auto"/>
        <w:left w:val="none" w:sz="0" w:space="0" w:color="auto"/>
        <w:bottom w:val="none" w:sz="0" w:space="0" w:color="auto"/>
        <w:right w:val="none" w:sz="0" w:space="0" w:color="auto"/>
      </w:divBdr>
    </w:div>
    <w:div w:id="1880168313">
      <w:bodyDiv w:val="1"/>
      <w:marLeft w:val="0"/>
      <w:marRight w:val="0"/>
      <w:marTop w:val="0"/>
      <w:marBottom w:val="0"/>
      <w:divBdr>
        <w:top w:val="none" w:sz="0" w:space="0" w:color="auto"/>
        <w:left w:val="none" w:sz="0" w:space="0" w:color="auto"/>
        <w:bottom w:val="none" w:sz="0" w:space="0" w:color="auto"/>
        <w:right w:val="none" w:sz="0" w:space="0" w:color="auto"/>
      </w:divBdr>
    </w:div>
    <w:div w:id="1880508772">
      <w:bodyDiv w:val="1"/>
      <w:marLeft w:val="0"/>
      <w:marRight w:val="0"/>
      <w:marTop w:val="0"/>
      <w:marBottom w:val="0"/>
      <w:divBdr>
        <w:top w:val="none" w:sz="0" w:space="0" w:color="auto"/>
        <w:left w:val="none" w:sz="0" w:space="0" w:color="auto"/>
        <w:bottom w:val="none" w:sz="0" w:space="0" w:color="auto"/>
        <w:right w:val="none" w:sz="0" w:space="0" w:color="auto"/>
      </w:divBdr>
    </w:div>
    <w:div w:id="1882013337">
      <w:bodyDiv w:val="1"/>
      <w:marLeft w:val="0"/>
      <w:marRight w:val="0"/>
      <w:marTop w:val="0"/>
      <w:marBottom w:val="0"/>
      <w:divBdr>
        <w:top w:val="none" w:sz="0" w:space="0" w:color="auto"/>
        <w:left w:val="none" w:sz="0" w:space="0" w:color="auto"/>
        <w:bottom w:val="none" w:sz="0" w:space="0" w:color="auto"/>
        <w:right w:val="none" w:sz="0" w:space="0" w:color="auto"/>
      </w:divBdr>
    </w:div>
    <w:div w:id="1883708780">
      <w:bodyDiv w:val="1"/>
      <w:marLeft w:val="0"/>
      <w:marRight w:val="0"/>
      <w:marTop w:val="0"/>
      <w:marBottom w:val="0"/>
      <w:divBdr>
        <w:top w:val="none" w:sz="0" w:space="0" w:color="auto"/>
        <w:left w:val="none" w:sz="0" w:space="0" w:color="auto"/>
        <w:bottom w:val="none" w:sz="0" w:space="0" w:color="auto"/>
        <w:right w:val="none" w:sz="0" w:space="0" w:color="auto"/>
      </w:divBdr>
    </w:div>
    <w:div w:id="1883860330">
      <w:bodyDiv w:val="1"/>
      <w:marLeft w:val="0"/>
      <w:marRight w:val="0"/>
      <w:marTop w:val="0"/>
      <w:marBottom w:val="0"/>
      <w:divBdr>
        <w:top w:val="none" w:sz="0" w:space="0" w:color="auto"/>
        <w:left w:val="none" w:sz="0" w:space="0" w:color="auto"/>
        <w:bottom w:val="none" w:sz="0" w:space="0" w:color="auto"/>
        <w:right w:val="none" w:sz="0" w:space="0" w:color="auto"/>
      </w:divBdr>
    </w:div>
    <w:div w:id="1884511600">
      <w:bodyDiv w:val="1"/>
      <w:marLeft w:val="0"/>
      <w:marRight w:val="0"/>
      <w:marTop w:val="0"/>
      <w:marBottom w:val="0"/>
      <w:divBdr>
        <w:top w:val="none" w:sz="0" w:space="0" w:color="auto"/>
        <w:left w:val="none" w:sz="0" w:space="0" w:color="auto"/>
        <w:bottom w:val="none" w:sz="0" w:space="0" w:color="auto"/>
        <w:right w:val="none" w:sz="0" w:space="0" w:color="auto"/>
      </w:divBdr>
    </w:div>
    <w:div w:id="1884637032">
      <w:bodyDiv w:val="1"/>
      <w:marLeft w:val="0"/>
      <w:marRight w:val="0"/>
      <w:marTop w:val="0"/>
      <w:marBottom w:val="0"/>
      <w:divBdr>
        <w:top w:val="none" w:sz="0" w:space="0" w:color="auto"/>
        <w:left w:val="none" w:sz="0" w:space="0" w:color="auto"/>
        <w:bottom w:val="none" w:sz="0" w:space="0" w:color="auto"/>
        <w:right w:val="none" w:sz="0" w:space="0" w:color="auto"/>
      </w:divBdr>
    </w:div>
    <w:div w:id="1884705301">
      <w:bodyDiv w:val="1"/>
      <w:marLeft w:val="0"/>
      <w:marRight w:val="0"/>
      <w:marTop w:val="0"/>
      <w:marBottom w:val="0"/>
      <w:divBdr>
        <w:top w:val="none" w:sz="0" w:space="0" w:color="auto"/>
        <w:left w:val="none" w:sz="0" w:space="0" w:color="auto"/>
        <w:bottom w:val="none" w:sz="0" w:space="0" w:color="auto"/>
        <w:right w:val="none" w:sz="0" w:space="0" w:color="auto"/>
      </w:divBdr>
    </w:div>
    <w:div w:id="1884706836">
      <w:bodyDiv w:val="1"/>
      <w:marLeft w:val="0"/>
      <w:marRight w:val="0"/>
      <w:marTop w:val="0"/>
      <w:marBottom w:val="0"/>
      <w:divBdr>
        <w:top w:val="none" w:sz="0" w:space="0" w:color="auto"/>
        <w:left w:val="none" w:sz="0" w:space="0" w:color="auto"/>
        <w:bottom w:val="none" w:sz="0" w:space="0" w:color="auto"/>
        <w:right w:val="none" w:sz="0" w:space="0" w:color="auto"/>
      </w:divBdr>
    </w:div>
    <w:div w:id="1885095636">
      <w:bodyDiv w:val="1"/>
      <w:marLeft w:val="0"/>
      <w:marRight w:val="0"/>
      <w:marTop w:val="0"/>
      <w:marBottom w:val="0"/>
      <w:divBdr>
        <w:top w:val="none" w:sz="0" w:space="0" w:color="auto"/>
        <w:left w:val="none" w:sz="0" w:space="0" w:color="auto"/>
        <w:bottom w:val="none" w:sz="0" w:space="0" w:color="auto"/>
        <w:right w:val="none" w:sz="0" w:space="0" w:color="auto"/>
      </w:divBdr>
    </w:div>
    <w:div w:id="1885822945">
      <w:bodyDiv w:val="1"/>
      <w:marLeft w:val="0"/>
      <w:marRight w:val="0"/>
      <w:marTop w:val="0"/>
      <w:marBottom w:val="0"/>
      <w:divBdr>
        <w:top w:val="none" w:sz="0" w:space="0" w:color="auto"/>
        <w:left w:val="none" w:sz="0" w:space="0" w:color="auto"/>
        <w:bottom w:val="none" w:sz="0" w:space="0" w:color="auto"/>
        <w:right w:val="none" w:sz="0" w:space="0" w:color="auto"/>
      </w:divBdr>
    </w:div>
    <w:div w:id="1885873989">
      <w:bodyDiv w:val="1"/>
      <w:marLeft w:val="0"/>
      <w:marRight w:val="0"/>
      <w:marTop w:val="0"/>
      <w:marBottom w:val="0"/>
      <w:divBdr>
        <w:top w:val="none" w:sz="0" w:space="0" w:color="auto"/>
        <w:left w:val="none" w:sz="0" w:space="0" w:color="auto"/>
        <w:bottom w:val="none" w:sz="0" w:space="0" w:color="auto"/>
        <w:right w:val="none" w:sz="0" w:space="0" w:color="auto"/>
      </w:divBdr>
    </w:div>
    <w:div w:id="1886257629">
      <w:bodyDiv w:val="1"/>
      <w:marLeft w:val="0"/>
      <w:marRight w:val="0"/>
      <w:marTop w:val="0"/>
      <w:marBottom w:val="0"/>
      <w:divBdr>
        <w:top w:val="none" w:sz="0" w:space="0" w:color="auto"/>
        <w:left w:val="none" w:sz="0" w:space="0" w:color="auto"/>
        <w:bottom w:val="none" w:sz="0" w:space="0" w:color="auto"/>
        <w:right w:val="none" w:sz="0" w:space="0" w:color="auto"/>
      </w:divBdr>
    </w:div>
    <w:div w:id="1889023377">
      <w:bodyDiv w:val="1"/>
      <w:marLeft w:val="0"/>
      <w:marRight w:val="0"/>
      <w:marTop w:val="0"/>
      <w:marBottom w:val="0"/>
      <w:divBdr>
        <w:top w:val="none" w:sz="0" w:space="0" w:color="auto"/>
        <w:left w:val="none" w:sz="0" w:space="0" w:color="auto"/>
        <w:bottom w:val="none" w:sz="0" w:space="0" w:color="auto"/>
        <w:right w:val="none" w:sz="0" w:space="0" w:color="auto"/>
      </w:divBdr>
    </w:div>
    <w:div w:id="1890261831">
      <w:bodyDiv w:val="1"/>
      <w:marLeft w:val="0"/>
      <w:marRight w:val="0"/>
      <w:marTop w:val="0"/>
      <w:marBottom w:val="0"/>
      <w:divBdr>
        <w:top w:val="none" w:sz="0" w:space="0" w:color="auto"/>
        <w:left w:val="none" w:sz="0" w:space="0" w:color="auto"/>
        <w:bottom w:val="none" w:sz="0" w:space="0" w:color="auto"/>
        <w:right w:val="none" w:sz="0" w:space="0" w:color="auto"/>
      </w:divBdr>
    </w:div>
    <w:div w:id="1890654538">
      <w:bodyDiv w:val="1"/>
      <w:marLeft w:val="0"/>
      <w:marRight w:val="0"/>
      <w:marTop w:val="0"/>
      <w:marBottom w:val="0"/>
      <w:divBdr>
        <w:top w:val="none" w:sz="0" w:space="0" w:color="auto"/>
        <w:left w:val="none" w:sz="0" w:space="0" w:color="auto"/>
        <w:bottom w:val="none" w:sz="0" w:space="0" w:color="auto"/>
        <w:right w:val="none" w:sz="0" w:space="0" w:color="auto"/>
      </w:divBdr>
    </w:div>
    <w:div w:id="1890914734">
      <w:bodyDiv w:val="1"/>
      <w:marLeft w:val="0"/>
      <w:marRight w:val="0"/>
      <w:marTop w:val="0"/>
      <w:marBottom w:val="0"/>
      <w:divBdr>
        <w:top w:val="none" w:sz="0" w:space="0" w:color="auto"/>
        <w:left w:val="none" w:sz="0" w:space="0" w:color="auto"/>
        <w:bottom w:val="none" w:sz="0" w:space="0" w:color="auto"/>
        <w:right w:val="none" w:sz="0" w:space="0" w:color="auto"/>
      </w:divBdr>
    </w:div>
    <w:div w:id="1891376293">
      <w:bodyDiv w:val="1"/>
      <w:marLeft w:val="0"/>
      <w:marRight w:val="0"/>
      <w:marTop w:val="0"/>
      <w:marBottom w:val="0"/>
      <w:divBdr>
        <w:top w:val="none" w:sz="0" w:space="0" w:color="auto"/>
        <w:left w:val="none" w:sz="0" w:space="0" w:color="auto"/>
        <w:bottom w:val="none" w:sz="0" w:space="0" w:color="auto"/>
        <w:right w:val="none" w:sz="0" w:space="0" w:color="auto"/>
      </w:divBdr>
    </w:div>
    <w:div w:id="1891722160">
      <w:bodyDiv w:val="1"/>
      <w:marLeft w:val="0"/>
      <w:marRight w:val="0"/>
      <w:marTop w:val="0"/>
      <w:marBottom w:val="0"/>
      <w:divBdr>
        <w:top w:val="none" w:sz="0" w:space="0" w:color="auto"/>
        <w:left w:val="none" w:sz="0" w:space="0" w:color="auto"/>
        <w:bottom w:val="none" w:sz="0" w:space="0" w:color="auto"/>
        <w:right w:val="none" w:sz="0" w:space="0" w:color="auto"/>
      </w:divBdr>
    </w:div>
    <w:div w:id="1892226909">
      <w:bodyDiv w:val="1"/>
      <w:marLeft w:val="0"/>
      <w:marRight w:val="0"/>
      <w:marTop w:val="0"/>
      <w:marBottom w:val="0"/>
      <w:divBdr>
        <w:top w:val="none" w:sz="0" w:space="0" w:color="auto"/>
        <w:left w:val="none" w:sz="0" w:space="0" w:color="auto"/>
        <w:bottom w:val="none" w:sz="0" w:space="0" w:color="auto"/>
        <w:right w:val="none" w:sz="0" w:space="0" w:color="auto"/>
      </w:divBdr>
    </w:div>
    <w:div w:id="1892303983">
      <w:bodyDiv w:val="1"/>
      <w:marLeft w:val="0"/>
      <w:marRight w:val="0"/>
      <w:marTop w:val="0"/>
      <w:marBottom w:val="0"/>
      <w:divBdr>
        <w:top w:val="none" w:sz="0" w:space="0" w:color="auto"/>
        <w:left w:val="none" w:sz="0" w:space="0" w:color="auto"/>
        <w:bottom w:val="none" w:sz="0" w:space="0" w:color="auto"/>
        <w:right w:val="none" w:sz="0" w:space="0" w:color="auto"/>
      </w:divBdr>
    </w:div>
    <w:div w:id="1893225020">
      <w:bodyDiv w:val="1"/>
      <w:marLeft w:val="0"/>
      <w:marRight w:val="0"/>
      <w:marTop w:val="0"/>
      <w:marBottom w:val="0"/>
      <w:divBdr>
        <w:top w:val="none" w:sz="0" w:space="0" w:color="auto"/>
        <w:left w:val="none" w:sz="0" w:space="0" w:color="auto"/>
        <w:bottom w:val="none" w:sz="0" w:space="0" w:color="auto"/>
        <w:right w:val="none" w:sz="0" w:space="0" w:color="auto"/>
      </w:divBdr>
    </w:div>
    <w:div w:id="1895460234">
      <w:bodyDiv w:val="1"/>
      <w:marLeft w:val="0"/>
      <w:marRight w:val="0"/>
      <w:marTop w:val="0"/>
      <w:marBottom w:val="0"/>
      <w:divBdr>
        <w:top w:val="none" w:sz="0" w:space="0" w:color="auto"/>
        <w:left w:val="none" w:sz="0" w:space="0" w:color="auto"/>
        <w:bottom w:val="none" w:sz="0" w:space="0" w:color="auto"/>
        <w:right w:val="none" w:sz="0" w:space="0" w:color="auto"/>
      </w:divBdr>
    </w:div>
    <w:div w:id="1897663785">
      <w:bodyDiv w:val="1"/>
      <w:marLeft w:val="0"/>
      <w:marRight w:val="0"/>
      <w:marTop w:val="0"/>
      <w:marBottom w:val="0"/>
      <w:divBdr>
        <w:top w:val="none" w:sz="0" w:space="0" w:color="auto"/>
        <w:left w:val="none" w:sz="0" w:space="0" w:color="auto"/>
        <w:bottom w:val="none" w:sz="0" w:space="0" w:color="auto"/>
        <w:right w:val="none" w:sz="0" w:space="0" w:color="auto"/>
      </w:divBdr>
      <w:divsChild>
        <w:div w:id="310720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10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347677">
      <w:bodyDiv w:val="1"/>
      <w:marLeft w:val="0"/>
      <w:marRight w:val="0"/>
      <w:marTop w:val="0"/>
      <w:marBottom w:val="0"/>
      <w:divBdr>
        <w:top w:val="none" w:sz="0" w:space="0" w:color="auto"/>
        <w:left w:val="none" w:sz="0" w:space="0" w:color="auto"/>
        <w:bottom w:val="none" w:sz="0" w:space="0" w:color="auto"/>
        <w:right w:val="none" w:sz="0" w:space="0" w:color="auto"/>
      </w:divBdr>
    </w:div>
    <w:div w:id="1898782682">
      <w:bodyDiv w:val="1"/>
      <w:marLeft w:val="0"/>
      <w:marRight w:val="0"/>
      <w:marTop w:val="0"/>
      <w:marBottom w:val="0"/>
      <w:divBdr>
        <w:top w:val="none" w:sz="0" w:space="0" w:color="auto"/>
        <w:left w:val="none" w:sz="0" w:space="0" w:color="auto"/>
        <w:bottom w:val="none" w:sz="0" w:space="0" w:color="auto"/>
        <w:right w:val="none" w:sz="0" w:space="0" w:color="auto"/>
      </w:divBdr>
    </w:div>
    <w:div w:id="1898928776">
      <w:bodyDiv w:val="1"/>
      <w:marLeft w:val="0"/>
      <w:marRight w:val="0"/>
      <w:marTop w:val="0"/>
      <w:marBottom w:val="0"/>
      <w:divBdr>
        <w:top w:val="none" w:sz="0" w:space="0" w:color="auto"/>
        <w:left w:val="none" w:sz="0" w:space="0" w:color="auto"/>
        <w:bottom w:val="none" w:sz="0" w:space="0" w:color="auto"/>
        <w:right w:val="none" w:sz="0" w:space="0" w:color="auto"/>
      </w:divBdr>
    </w:div>
    <w:div w:id="1904557675">
      <w:bodyDiv w:val="1"/>
      <w:marLeft w:val="0"/>
      <w:marRight w:val="0"/>
      <w:marTop w:val="0"/>
      <w:marBottom w:val="0"/>
      <w:divBdr>
        <w:top w:val="none" w:sz="0" w:space="0" w:color="auto"/>
        <w:left w:val="none" w:sz="0" w:space="0" w:color="auto"/>
        <w:bottom w:val="none" w:sz="0" w:space="0" w:color="auto"/>
        <w:right w:val="none" w:sz="0" w:space="0" w:color="auto"/>
      </w:divBdr>
    </w:div>
    <w:div w:id="1906261327">
      <w:bodyDiv w:val="1"/>
      <w:marLeft w:val="0"/>
      <w:marRight w:val="0"/>
      <w:marTop w:val="0"/>
      <w:marBottom w:val="0"/>
      <w:divBdr>
        <w:top w:val="none" w:sz="0" w:space="0" w:color="auto"/>
        <w:left w:val="none" w:sz="0" w:space="0" w:color="auto"/>
        <w:bottom w:val="none" w:sz="0" w:space="0" w:color="auto"/>
        <w:right w:val="none" w:sz="0" w:space="0" w:color="auto"/>
      </w:divBdr>
    </w:div>
    <w:div w:id="1907179362">
      <w:bodyDiv w:val="1"/>
      <w:marLeft w:val="0"/>
      <w:marRight w:val="0"/>
      <w:marTop w:val="0"/>
      <w:marBottom w:val="0"/>
      <w:divBdr>
        <w:top w:val="none" w:sz="0" w:space="0" w:color="auto"/>
        <w:left w:val="none" w:sz="0" w:space="0" w:color="auto"/>
        <w:bottom w:val="none" w:sz="0" w:space="0" w:color="auto"/>
        <w:right w:val="none" w:sz="0" w:space="0" w:color="auto"/>
      </w:divBdr>
    </w:div>
    <w:div w:id="1907258928">
      <w:bodyDiv w:val="1"/>
      <w:marLeft w:val="0"/>
      <w:marRight w:val="0"/>
      <w:marTop w:val="0"/>
      <w:marBottom w:val="0"/>
      <w:divBdr>
        <w:top w:val="none" w:sz="0" w:space="0" w:color="auto"/>
        <w:left w:val="none" w:sz="0" w:space="0" w:color="auto"/>
        <w:bottom w:val="none" w:sz="0" w:space="0" w:color="auto"/>
        <w:right w:val="none" w:sz="0" w:space="0" w:color="auto"/>
      </w:divBdr>
    </w:div>
    <w:div w:id="1908882113">
      <w:bodyDiv w:val="1"/>
      <w:marLeft w:val="0"/>
      <w:marRight w:val="0"/>
      <w:marTop w:val="0"/>
      <w:marBottom w:val="0"/>
      <w:divBdr>
        <w:top w:val="none" w:sz="0" w:space="0" w:color="auto"/>
        <w:left w:val="none" w:sz="0" w:space="0" w:color="auto"/>
        <w:bottom w:val="none" w:sz="0" w:space="0" w:color="auto"/>
        <w:right w:val="none" w:sz="0" w:space="0" w:color="auto"/>
      </w:divBdr>
    </w:div>
    <w:div w:id="1910724752">
      <w:bodyDiv w:val="1"/>
      <w:marLeft w:val="0"/>
      <w:marRight w:val="0"/>
      <w:marTop w:val="0"/>
      <w:marBottom w:val="0"/>
      <w:divBdr>
        <w:top w:val="none" w:sz="0" w:space="0" w:color="auto"/>
        <w:left w:val="none" w:sz="0" w:space="0" w:color="auto"/>
        <w:bottom w:val="none" w:sz="0" w:space="0" w:color="auto"/>
        <w:right w:val="none" w:sz="0" w:space="0" w:color="auto"/>
      </w:divBdr>
    </w:div>
    <w:div w:id="1912082841">
      <w:bodyDiv w:val="1"/>
      <w:marLeft w:val="0"/>
      <w:marRight w:val="0"/>
      <w:marTop w:val="0"/>
      <w:marBottom w:val="0"/>
      <w:divBdr>
        <w:top w:val="none" w:sz="0" w:space="0" w:color="auto"/>
        <w:left w:val="none" w:sz="0" w:space="0" w:color="auto"/>
        <w:bottom w:val="none" w:sz="0" w:space="0" w:color="auto"/>
        <w:right w:val="none" w:sz="0" w:space="0" w:color="auto"/>
      </w:divBdr>
    </w:div>
    <w:div w:id="1912156115">
      <w:bodyDiv w:val="1"/>
      <w:marLeft w:val="0"/>
      <w:marRight w:val="0"/>
      <w:marTop w:val="0"/>
      <w:marBottom w:val="0"/>
      <w:divBdr>
        <w:top w:val="none" w:sz="0" w:space="0" w:color="auto"/>
        <w:left w:val="none" w:sz="0" w:space="0" w:color="auto"/>
        <w:bottom w:val="none" w:sz="0" w:space="0" w:color="auto"/>
        <w:right w:val="none" w:sz="0" w:space="0" w:color="auto"/>
      </w:divBdr>
    </w:div>
    <w:div w:id="1914050604">
      <w:bodyDiv w:val="1"/>
      <w:marLeft w:val="0"/>
      <w:marRight w:val="0"/>
      <w:marTop w:val="0"/>
      <w:marBottom w:val="0"/>
      <w:divBdr>
        <w:top w:val="none" w:sz="0" w:space="0" w:color="auto"/>
        <w:left w:val="none" w:sz="0" w:space="0" w:color="auto"/>
        <w:bottom w:val="none" w:sz="0" w:space="0" w:color="auto"/>
        <w:right w:val="none" w:sz="0" w:space="0" w:color="auto"/>
      </w:divBdr>
    </w:div>
    <w:div w:id="1914390202">
      <w:bodyDiv w:val="1"/>
      <w:marLeft w:val="0"/>
      <w:marRight w:val="0"/>
      <w:marTop w:val="0"/>
      <w:marBottom w:val="0"/>
      <w:divBdr>
        <w:top w:val="none" w:sz="0" w:space="0" w:color="auto"/>
        <w:left w:val="none" w:sz="0" w:space="0" w:color="auto"/>
        <w:bottom w:val="none" w:sz="0" w:space="0" w:color="auto"/>
        <w:right w:val="none" w:sz="0" w:space="0" w:color="auto"/>
      </w:divBdr>
    </w:div>
    <w:div w:id="1916432467">
      <w:bodyDiv w:val="1"/>
      <w:marLeft w:val="0"/>
      <w:marRight w:val="0"/>
      <w:marTop w:val="0"/>
      <w:marBottom w:val="0"/>
      <w:divBdr>
        <w:top w:val="none" w:sz="0" w:space="0" w:color="auto"/>
        <w:left w:val="none" w:sz="0" w:space="0" w:color="auto"/>
        <w:bottom w:val="none" w:sz="0" w:space="0" w:color="auto"/>
        <w:right w:val="none" w:sz="0" w:space="0" w:color="auto"/>
      </w:divBdr>
    </w:div>
    <w:div w:id="1916628680">
      <w:bodyDiv w:val="1"/>
      <w:marLeft w:val="0"/>
      <w:marRight w:val="0"/>
      <w:marTop w:val="0"/>
      <w:marBottom w:val="0"/>
      <w:divBdr>
        <w:top w:val="none" w:sz="0" w:space="0" w:color="auto"/>
        <w:left w:val="none" w:sz="0" w:space="0" w:color="auto"/>
        <w:bottom w:val="none" w:sz="0" w:space="0" w:color="auto"/>
        <w:right w:val="none" w:sz="0" w:space="0" w:color="auto"/>
      </w:divBdr>
    </w:div>
    <w:div w:id="1919287572">
      <w:bodyDiv w:val="1"/>
      <w:marLeft w:val="0"/>
      <w:marRight w:val="0"/>
      <w:marTop w:val="0"/>
      <w:marBottom w:val="0"/>
      <w:divBdr>
        <w:top w:val="none" w:sz="0" w:space="0" w:color="auto"/>
        <w:left w:val="none" w:sz="0" w:space="0" w:color="auto"/>
        <w:bottom w:val="none" w:sz="0" w:space="0" w:color="auto"/>
        <w:right w:val="none" w:sz="0" w:space="0" w:color="auto"/>
      </w:divBdr>
    </w:div>
    <w:div w:id="1919904348">
      <w:bodyDiv w:val="1"/>
      <w:marLeft w:val="0"/>
      <w:marRight w:val="0"/>
      <w:marTop w:val="0"/>
      <w:marBottom w:val="0"/>
      <w:divBdr>
        <w:top w:val="none" w:sz="0" w:space="0" w:color="auto"/>
        <w:left w:val="none" w:sz="0" w:space="0" w:color="auto"/>
        <w:bottom w:val="none" w:sz="0" w:space="0" w:color="auto"/>
        <w:right w:val="none" w:sz="0" w:space="0" w:color="auto"/>
      </w:divBdr>
    </w:div>
    <w:div w:id="1920678723">
      <w:bodyDiv w:val="1"/>
      <w:marLeft w:val="0"/>
      <w:marRight w:val="0"/>
      <w:marTop w:val="0"/>
      <w:marBottom w:val="0"/>
      <w:divBdr>
        <w:top w:val="none" w:sz="0" w:space="0" w:color="auto"/>
        <w:left w:val="none" w:sz="0" w:space="0" w:color="auto"/>
        <w:bottom w:val="none" w:sz="0" w:space="0" w:color="auto"/>
        <w:right w:val="none" w:sz="0" w:space="0" w:color="auto"/>
      </w:divBdr>
    </w:div>
    <w:div w:id="1922712234">
      <w:bodyDiv w:val="1"/>
      <w:marLeft w:val="0"/>
      <w:marRight w:val="0"/>
      <w:marTop w:val="0"/>
      <w:marBottom w:val="0"/>
      <w:divBdr>
        <w:top w:val="none" w:sz="0" w:space="0" w:color="auto"/>
        <w:left w:val="none" w:sz="0" w:space="0" w:color="auto"/>
        <w:bottom w:val="none" w:sz="0" w:space="0" w:color="auto"/>
        <w:right w:val="none" w:sz="0" w:space="0" w:color="auto"/>
      </w:divBdr>
    </w:div>
    <w:div w:id="1924221246">
      <w:bodyDiv w:val="1"/>
      <w:marLeft w:val="0"/>
      <w:marRight w:val="0"/>
      <w:marTop w:val="0"/>
      <w:marBottom w:val="0"/>
      <w:divBdr>
        <w:top w:val="none" w:sz="0" w:space="0" w:color="auto"/>
        <w:left w:val="none" w:sz="0" w:space="0" w:color="auto"/>
        <w:bottom w:val="none" w:sz="0" w:space="0" w:color="auto"/>
        <w:right w:val="none" w:sz="0" w:space="0" w:color="auto"/>
      </w:divBdr>
    </w:div>
    <w:div w:id="1925993520">
      <w:bodyDiv w:val="1"/>
      <w:marLeft w:val="0"/>
      <w:marRight w:val="0"/>
      <w:marTop w:val="0"/>
      <w:marBottom w:val="0"/>
      <w:divBdr>
        <w:top w:val="none" w:sz="0" w:space="0" w:color="auto"/>
        <w:left w:val="none" w:sz="0" w:space="0" w:color="auto"/>
        <w:bottom w:val="none" w:sz="0" w:space="0" w:color="auto"/>
        <w:right w:val="none" w:sz="0" w:space="0" w:color="auto"/>
      </w:divBdr>
    </w:div>
    <w:div w:id="1928229872">
      <w:bodyDiv w:val="1"/>
      <w:marLeft w:val="0"/>
      <w:marRight w:val="0"/>
      <w:marTop w:val="0"/>
      <w:marBottom w:val="0"/>
      <w:divBdr>
        <w:top w:val="none" w:sz="0" w:space="0" w:color="auto"/>
        <w:left w:val="none" w:sz="0" w:space="0" w:color="auto"/>
        <w:bottom w:val="none" w:sz="0" w:space="0" w:color="auto"/>
        <w:right w:val="none" w:sz="0" w:space="0" w:color="auto"/>
      </w:divBdr>
    </w:div>
    <w:div w:id="1929381181">
      <w:bodyDiv w:val="1"/>
      <w:marLeft w:val="0"/>
      <w:marRight w:val="0"/>
      <w:marTop w:val="0"/>
      <w:marBottom w:val="0"/>
      <w:divBdr>
        <w:top w:val="none" w:sz="0" w:space="0" w:color="auto"/>
        <w:left w:val="none" w:sz="0" w:space="0" w:color="auto"/>
        <w:bottom w:val="none" w:sz="0" w:space="0" w:color="auto"/>
        <w:right w:val="none" w:sz="0" w:space="0" w:color="auto"/>
      </w:divBdr>
    </w:div>
    <w:div w:id="1934316644">
      <w:bodyDiv w:val="1"/>
      <w:marLeft w:val="0"/>
      <w:marRight w:val="0"/>
      <w:marTop w:val="0"/>
      <w:marBottom w:val="0"/>
      <w:divBdr>
        <w:top w:val="none" w:sz="0" w:space="0" w:color="auto"/>
        <w:left w:val="none" w:sz="0" w:space="0" w:color="auto"/>
        <w:bottom w:val="none" w:sz="0" w:space="0" w:color="auto"/>
        <w:right w:val="none" w:sz="0" w:space="0" w:color="auto"/>
      </w:divBdr>
    </w:div>
    <w:div w:id="1934392080">
      <w:bodyDiv w:val="1"/>
      <w:marLeft w:val="0"/>
      <w:marRight w:val="0"/>
      <w:marTop w:val="0"/>
      <w:marBottom w:val="0"/>
      <w:divBdr>
        <w:top w:val="none" w:sz="0" w:space="0" w:color="auto"/>
        <w:left w:val="none" w:sz="0" w:space="0" w:color="auto"/>
        <w:bottom w:val="none" w:sz="0" w:space="0" w:color="auto"/>
        <w:right w:val="none" w:sz="0" w:space="0" w:color="auto"/>
      </w:divBdr>
    </w:div>
    <w:div w:id="1934624747">
      <w:bodyDiv w:val="1"/>
      <w:marLeft w:val="0"/>
      <w:marRight w:val="0"/>
      <w:marTop w:val="0"/>
      <w:marBottom w:val="0"/>
      <w:divBdr>
        <w:top w:val="none" w:sz="0" w:space="0" w:color="auto"/>
        <w:left w:val="none" w:sz="0" w:space="0" w:color="auto"/>
        <w:bottom w:val="none" w:sz="0" w:space="0" w:color="auto"/>
        <w:right w:val="none" w:sz="0" w:space="0" w:color="auto"/>
      </w:divBdr>
    </w:div>
    <w:div w:id="1935093929">
      <w:bodyDiv w:val="1"/>
      <w:marLeft w:val="0"/>
      <w:marRight w:val="0"/>
      <w:marTop w:val="0"/>
      <w:marBottom w:val="0"/>
      <w:divBdr>
        <w:top w:val="none" w:sz="0" w:space="0" w:color="auto"/>
        <w:left w:val="none" w:sz="0" w:space="0" w:color="auto"/>
        <w:bottom w:val="none" w:sz="0" w:space="0" w:color="auto"/>
        <w:right w:val="none" w:sz="0" w:space="0" w:color="auto"/>
      </w:divBdr>
    </w:div>
    <w:div w:id="1935673377">
      <w:bodyDiv w:val="1"/>
      <w:marLeft w:val="0"/>
      <w:marRight w:val="0"/>
      <w:marTop w:val="0"/>
      <w:marBottom w:val="0"/>
      <w:divBdr>
        <w:top w:val="none" w:sz="0" w:space="0" w:color="auto"/>
        <w:left w:val="none" w:sz="0" w:space="0" w:color="auto"/>
        <w:bottom w:val="none" w:sz="0" w:space="0" w:color="auto"/>
        <w:right w:val="none" w:sz="0" w:space="0" w:color="auto"/>
      </w:divBdr>
    </w:div>
    <w:div w:id="1935817345">
      <w:bodyDiv w:val="1"/>
      <w:marLeft w:val="0"/>
      <w:marRight w:val="0"/>
      <w:marTop w:val="0"/>
      <w:marBottom w:val="0"/>
      <w:divBdr>
        <w:top w:val="none" w:sz="0" w:space="0" w:color="auto"/>
        <w:left w:val="none" w:sz="0" w:space="0" w:color="auto"/>
        <w:bottom w:val="none" w:sz="0" w:space="0" w:color="auto"/>
        <w:right w:val="none" w:sz="0" w:space="0" w:color="auto"/>
      </w:divBdr>
    </w:div>
    <w:div w:id="1937321746">
      <w:bodyDiv w:val="1"/>
      <w:marLeft w:val="0"/>
      <w:marRight w:val="0"/>
      <w:marTop w:val="0"/>
      <w:marBottom w:val="0"/>
      <w:divBdr>
        <w:top w:val="none" w:sz="0" w:space="0" w:color="auto"/>
        <w:left w:val="none" w:sz="0" w:space="0" w:color="auto"/>
        <w:bottom w:val="none" w:sz="0" w:space="0" w:color="auto"/>
        <w:right w:val="none" w:sz="0" w:space="0" w:color="auto"/>
      </w:divBdr>
    </w:div>
    <w:div w:id="1937665360">
      <w:bodyDiv w:val="1"/>
      <w:marLeft w:val="0"/>
      <w:marRight w:val="0"/>
      <w:marTop w:val="0"/>
      <w:marBottom w:val="0"/>
      <w:divBdr>
        <w:top w:val="none" w:sz="0" w:space="0" w:color="auto"/>
        <w:left w:val="none" w:sz="0" w:space="0" w:color="auto"/>
        <w:bottom w:val="none" w:sz="0" w:space="0" w:color="auto"/>
        <w:right w:val="none" w:sz="0" w:space="0" w:color="auto"/>
      </w:divBdr>
    </w:div>
    <w:div w:id="1938898977">
      <w:bodyDiv w:val="1"/>
      <w:marLeft w:val="0"/>
      <w:marRight w:val="0"/>
      <w:marTop w:val="0"/>
      <w:marBottom w:val="0"/>
      <w:divBdr>
        <w:top w:val="none" w:sz="0" w:space="0" w:color="auto"/>
        <w:left w:val="none" w:sz="0" w:space="0" w:color="auto"/>
        <w:bottom w:val="none" w:sz="0" w:space="0" w:color="auto"/>
        <w:right w:val="none" w:sz="0" w:space="0" w:color="auto"/>
      </w:divBdr>
    </w:div>
    <w:div w:id="1939215983">
      <w:bodyDiv w:val="1"/>
      <w:marLeft w:val="0"/>
      <w:marRight w:val="0"/>
      <w:marTop w:val="0"/>
      <w:marBottom w:val="0"/>
      <w:divBdr>
        <w:top w:val="none" w:sz="0" w:space="0" w:color="auto"/>
        <w:left w:val="none" w:sz="0" w:space="0" w:color="auto"/>
        <w:bottom w:val="none" w:sz="0" w:space="0" w:color="auto"/>
        <w:right w:val="none" w:sz="0" w:space="0" w:color="auto"/>
      </w:divBdr>
    </w:div>
    <w:div w:id="1940328515">
      <w:bodyDiv w:val="1"/>
      <w:marLeft w:val="0"/>
      <w:marRight w:val="0"/>
      <w:marTop w:val="0"/>
      <w:marBottom w:val="0"/>
      <w:divBdr>
        <w:top w:val="none" w:sz="0" w:space="0" w:color="auto"/>
        <w:left w:val="none" w:sz="0" w:space="0" w:color="auto"/>
        <w:bottom w:val="none" w:sz="0" w:space="0" w:color="auto"/>
        <w:right w:val="none" w:sz="0" w:space="0" w:color="auto"/>
      </w:divBdr>
    </w:div>
    <w:div w:id="1940408070">
      <w:bodyDiv w:val="1"/>
      <w:marLeft w:val="0"/>
      <w:marRight w:val="0"/>
      <w:marTop w:val="0"/>
      <w:marBottom w:val="0"/>
      <w:divBdr>
        <w:top w:val="none" w:sz="0" w:space="0" w:color="auto"/>
        <w:left w:val="none" w:sz="0" w:space="0" w:color="auto"/>
        <w:bottom w:val="none" w:sz="0" w:space="0" w:color="auto"/>
        <w:right w:val="none" w:sz="0" w:space="0" w:color="auto"/>
      </w:divBdr>
    </w:div>
    <w:div w:id="1940677717">
      <w:bodyDiv w:val="1"/>
      <w:marLeft w:val="0"/>
      <w:marRight w:val="0"/>
      <w:marTop w:val="0"/>
      <w:marBottom w:val="0"/>
      <w:divBdr>
        <w:top w:val="none" w:sz="0" w:space="0" w:color="auto"/>
        <w:left w:val="none" w:sz="0" w:space="0" w:color="auto"/>
        <w:bottom w:val="none" w:sz="0" w:space="0" w:color="auto"/>
        <w:right w:val="none" w:sz="0" w:space="0" w:color="auto"/>
      </w:divBdr>
    </w:div>
    <w:div w:id="1941252499">
      <w:bodyDiv w:val="1"/>
      <w:marLeft w:val="0"/>
      <w:marRight w:val="0"/>
      <w:marTop w:val="0"/>
      <w:marBottom w:val="0"/>
      <w:divBdr>
        <w:top w:val="none" w:sz="0" w:space="0" w:color="auto"/>
        <w:left w:val="none" w:sz="0" w:space="0" w:color="auto"/>
        <w:bottom w:val="none" w:sz="0" w:space="0" w:color="auto"/>
        <w:right w:val="none" w:sz="0" w:space="0" w:color="auto"/>
      </w:divBdr>
    </w:div>
    <w:div w:id="1941788719">
      <w:bodyDiv w:val="1"/>
      <w:marLeft w:val="0"/>
      <w:marRight w:val="0"/>
      <w:marTop w:val="0"/>
      <w:marBottom w:val="0"/>
      <w:divBdr>
        <w:top w:val="none" w:sz="0" w:space="0" w:color="auto"/>
        <w:left w:val="none" w:sz="0" w:space="0" w:color="auto"/>
        <w:bottom w:val="none" w:sz="0" w:space="0" w:color="auto"/>
        <w:right w:val="none" w:sz="0" w:space="0" w:color="auto"/>
      </w:divBdr>
    </w:div>
    <w:div w:id="1942253900">
      <w:bodyDiv w:val="1"/>
      <w:marLeft w:val="0"/>
      <w:marRight w:val="0"/>
      <w:marTop w:val="0"/>
      <w:marBottom w:val="0"/>
      <w:divBdr>
        <w:top w:val="none" w:sz="0" w:space="0" w:color="auto"/>
        <w:left w:val="none" w:sz="0" w:space="0" w:color="auto"/>
        <w:bottom w:val="none" w:sz="0" w:space="0" w:color="auto"/>
        <w:right w:val="none" w:sz="0" w:space="0" w:color="auto"/>
      </w:divBdr>
    </w:div>
    <w:div w:id="1942953940">
      <w:bodyDiv w:val="1"/>
      <w:marLeft w:val="0"/>
      <w:marRight w:val="0"/>
      <w:marTop w:val="0"/>
      <w:marBottom w:val="0"/>
      <w:divBdr>
        <w:top w:val="none" w:sz="0" w:space="0" w:color="auto"/>
        <w:left w:val="none" w:sz="0" w:space="0" w:color="auto"/>
        <w:bottom w:val="none" w:sz="0" w:space="0" w:color="auto"/>
        <w:right w:val="none" w:sz="0" w:space="0" w:color="auto"/>
      </w:divBdr>
    </w:div>
    <w:div w:id="1943143536">
      <w:bodyDiv w:val="1"/>
      <w:marLeft w:val="0"/>
      <w:marRight w:val="0"/>
      <w:marTop w:val="0"/>
      <w:marBottom w:val="0"/>
      <w:divBdr>
        <w:top w:val="none" w:sz="0" w:space="0" w:color="auto"/>
        <w:left w:val="none" w:sz="0" w:space="0" w:color="auto"/>
        <w:bottom w:val="none" w:sz="0" w:space="0" w:color="auto"/>
        <w:right w:val="none" w:sz="0" w:space="0" w:color="auto"/>
      </w:divBdr>
    </w:div>
    <w:div w:id="1943221318">
      <w:bodyDiv w:val="1"/>
      <w:marLeft w:val="0"/>
      <w:marRight w:val="0"/>
      <w:marTop w:val="0"/>
      <w:marBottom w:val="0"/>
      <w:divBdr>
        <w:top w:val="none" w:sz="0" w:space="0" w:color="auto"/>
        <w:left w:val="none" w:sz="0" w:space="0" w:color="auto"/>
        <w:bottom w:val="none" w:sz="0" w:space="0" w:color="auto"/>
        <w:right w:val="none" w:sz="0" w:space="0" w:color="auto"/>
      </w:divBdr>
    </w:div>
    <w:div w:id="1943679011">
      <w:bodyDiv w:val="1"/>
      <w:marLeft w:val="0"/>
      <w:marRight w:val="0"/>
      <w:marTop w:val="0"/>
      <w:marBottom w:val="0"/>
      <w:divBdr>
        <w:top w:val="none" w:sz="0" w:space="0" w:color="auto"/>
        <w:left w:val="none" w:sz="0" w:space="0" w:color="auto"/>
        <w:bottom w:val="none" w:sz="0" w:space="0" w:color="auto"/>
        <w:right w:val="none" w:sz="0" w:space="0" w:color="auto"/>
      </w:divBdr>
    </w:div>
    <w:div w:id="1944149186">
      <w:bodyDiv w:val="1"/>
      <w:marLeft w:val="0"/>
      <w:marRight w:val="0"/>
      <w:marTop w:val="0"/>
      <w:marBottom w:val="0"/>
      <w:divBdr>
        <w:top w:val="none" w:sz="0" w:space="0" w:color="auto"/>
        <w:left w:val="none" w:sz="0" w:space="0" w:color="auto"/>
        <w:bottom w:val="none" w:sz="0" w:space="0" w:color="auto"/>
        <w:right w:val="none" w:sz="0" w:space="0" w:color="auto"/>
      </w:divBdr>
    </w:div>
    <w:div w:id="1944998773">
      <w:bodyDiv w:val="1"/>
      <w:marLeft w:val="0"/>
      <w:marRight w:val="0"/>
      <w:marTop w:val="0"/>
      <w:marBottom w:val="0"/>
      <w:divBdr>
        <w:top w:val="none" w:sz="0" w:space="0" w:color="auto"/>
        <w:left w:val="none" w:sz="0" w:space="0" w:color="auto"/>
        <w:bottom w:val="none" w:sz="0" w:space="0" w:color="auto"/>
        <w:right w:val="none" w:sz="0" w:space="0" w:color="auto"/>
      </w:divBdr>
    </w:div>
    <w:div w:id="1945838371">
      <w:bodyDiv w:val="1"/>
      <w:marLeft w:val="0"/>
      <w:marRight w:val="0"/>
      <w:marTop w:val="0"/>
      <w:marBottom w:val="0"/>
      <w:divBdr>
        <w:top w:val="none" w:sz="0" w:space="0" w:color="auto"/>
        <w:left w:val="none" w:sz="0" w:space="0" w:color="auto"/>
        <w:bottom w:val="none" w:sz="0" w:space="0" w:color="auto"/>
        <w:right w:val="none" w:sz="0" w:space="0" w:color="auto"/>
      </w:divBdr>
    </w:div>
    <w:div w:id="1946382647">
      <w:bodyDiv w:val="1"/>
      <w:marLeft w:val="0"/>
      <w:marRight w:val="0"/>
      <w:marTop w:val="0"/>
      <w:marBottom w:val="0"/>
      <w:divBdr>
        <w:top w:val="none" w:sz="0" w:space="0" w:color="auto"/>
        <w:left w:val="none" w:sz="0" w:space="0" w:color="auto"/>
        <w:bottom w:val="none" w:sz="0" w:space="0" w:color="auto"/>
        <w:right w:val="none" w:sz="0" w:space="0" w:color="auto"/>
      </w:divBdr>
    </w:div>
    <w:div w:id="1948997979">
      <w:bodyDiv w:val="1"/>
      <w:marLeft w:val="0"/>
      <w:marRight w:val="0"/>
      <w:marTop w:val="0"/>
      <w:marBottom w:val="0"/>
      <w:divBdr>
        <w:top w:val="none" w:sz="0" w:space="0" w:color="auto"/>
        <w:left w:val="none" w:sz="0" w:space="0" w:color="auto"/>
        <w:bottom w:val="none" w:sz="0" w:space="0" w:color="auto"/>
        <w:right w:val="none" w:sz="0" w:space="0" w:color="auto"/>
      </w:divBdr>
    </w:div>
    <w:div w:id="1950777135">
      <w:bodyDiv w:val="1"/>
      <w:marLeft w:val="0"/>
      <w:marRight w:val="0"/>
      <w:marTop w:val="0"/>
      <w:marBottom w:val="0"/>
      <w:divBdr>
        <w:top w:val="none" w:sz="0" w:space="0" w:color="auto"/>
        <w:left w:val="none" w:sz="0" w:space="0" w:color="auto"/>
        <w:bottom w:val="none" w:sz="0" w:space="0" w:color="auto"/>
        <w:right w:val="none" w:sz="0" w:space="0" w:color="auto"/>
      </w:divBdr>
    </w:div>
    <w:div w:id="1950812294">
      <w:bodyDiv w:val="1"/>
      <w:marLeft w:val="0"/>
      <w:marRight w:val="0"/>
      <w:marTop w:val="0"/>
      <w:marBottom w:val="0"/>
      <w:divBdr>
        <w:top w:val="none" w:sz="0" w:space="0" w:color="auto"/>
        <w:left w:val="none" w:sz="0" w:space="0" w:color="auto"/>
        <w:bottom w:val="none" w:sz="0" w:space="0" w:color="auto"/>
        <w:right w:val="none" w:sz="0" w:space="0" w:color="auto"/>
      </w:divBdr>
    </w:div>
    <w:div w:id="1951694033">
      <w:bodyDiv w:val="1"/>
      <w:marLeft w:val="0"/>
      <w:marRight w:val="0"/>
      <w:marTop w:val="0"/>
      <w:marBottom w:val="0"/>
      <w:divBdr>
        <w:top w:val="none" w:sz="0" w:space="0" w:color="auto"/>
        <w:left w:val="none" w:sz="0" w:space="0" w:color="auto"/>
        <w:bottom w:val="none" w:sz="0" w:space="0" w:color="auto"/>
        <w:right w:val="none" w:sz="0" w:space="0" w:color="auto"/>
      </w:divBdr>
    </w:div>
    <w:div w:id="1951890338">
      <w:bodyDiv w:val="1"/>
      <w:marLeft w:val="0"/>
      <w:marRight w:val="0"/>
      <w:marTop w:val="0"/>
      <w:marBottom w:val="0"/>
      <w:divBdr>
        <w:top w:val="none" w:sz="0" w:space="0" w:color="auto"/>
        <w:left w:val="none" w:sz="0" w:space="0" w:color="auto"/>
        <w:bottom w:val="none" w:sz="0" w:space="0" w:color="auto"/>
        <w:right w:val="none" w:sz="0" w:space="0" w:color="auto"/>
      </w:divBdr>
    </w:div>
    <w:div w:id="1952123988">
      <w:bodyDiv w:val="1"/>
      <w:marLeft w:val="0"/>
      <w:marRight w:val="0"/>
      <w:marTop w:val="0"/>
      <w:marBottom w:val="0"/>
      <w:divBdr>
        <w:top w:val="none" w:sz="0" w:space="0" w:color="auto"/>
        <w:left w:val="none" w:sz="0" w:space="0" w:color="auto"/>
        <w:bottom w:val="none" w:sz="0" w:space="0" w:color="auto"/>
        <w:right w:val="none" w:sz="0" w:space="0" w:color="auto"/>
      </w:divBdr>
    </w:div>
    <w:div w:id="1953784986">
      <w:bodyDiv w:val="1"/>
      <w:marLeft w:val="0"/>
      <w:marRight w:val="0"/>
      <w:marTop w:val="0"/>
      <w:marBottom w:val="0"/>
      <w:divBdr>
        <w:top w:val="none" w:sz="0" w:space="0" w:color="auto"/>
        <w:left w:val="none" w:sz="0" w:space="0" w:color="auto"/>
        <w:bottom w:val="none" w:sz="0" w:space="0" w:color="auto"/>
        <w:right w:val="none" w:sz="0" w:space="0" w:color="auto"/>
      </w:divBdr>
    </w:div>
    <w:div w:id="1953972146">
      <w:bodyDiv w:val="1"/>
      <w:marLeft w:val="0"/>
      <w:marRight w:val="0"/>
      <w:marTop w:val="0"/>
      <w:marBottom w:val="0"/>
      <w:divBdr>
        <w:top w:val="none" w:sz="0" w:space="0" w:color="auto"/>
        <w:left w:val="none" w:sz="0" w:space="0" w:color="auto"/>
        <w:bottom w:val="none" w:sz="0" w:space="0" w:color="auto"/>
        <w:right w:val="none" w:sz="0" w:space="0" w:color="auto"/>
      </w:divBdr>
    </w:div>
    <w:div w:id="1955282240">
      <w:bodyDiv w:val="1"/>
      <w:marLeft w:val="0"/>
      <w:marRight w:val="0"/>
      <w:marTop w:val="0"/>
      <w:marBottom w:val="0"/>
      <w:divBdr>
        <w:top w:val="none" w:sz="0" w:space="0" w:color="auto"/>
        <w:left w:val="none" w:sz="0" w:space="0" w:color="auto"/>
        <w:bottom w:val="none" w:sz="0" w:space="0" w:color="auto"/>
        <w:right w:val="none" w:sz="0" w:space="0" w:color="auto"/>
      </w:divBdr>
    </w:div>
    <w:div w:id="1956054224">
      <w:bodyDiv w:val="1"/>
      <w:marLeft w:val="0"/>
      <w:marRight w:val="0"/>
      <w:marTop w:val="0"/>
      <w:marBottom w:val="0"/>
      <w:divBdr>
        <w:top w:val="none" w:sz="0" w:space="0" w:color="auto"/>
        <w:left w:val="none" w:sz="0" w:space="0" w:color="auto"/>
        <w:bottom w:val="none" w:sz="0" w:space="0" w:color="auto"/>
        <w:right w:val="none" w:sz="0" w:space="0" w:color="auto"/>
      </w:divBdr>
    </w:div>
    <w:div w:id="1959019783">
      <w:bodyDiv w:val="1"/>
      <w:marLeft w:val="0"/>
      <w:marRight w:val="0"/>
      <w:marTop w:val="0"/>
      <w:marBottom w:val="0"/>
      <w:divBdr>
        <w:top w:val="none" w:sz="0" w:space="0" w:color="auto"/>
        <w:left w:val="none" w:sz="0" w:space="0" w:color="auto"/>
        <w:bottom w:val="none" w:sz="0" w:space="0" w:color="auto"/>
        <w:right w:val="none" w:sz="0" w:space="0" w:color="auto"/>
      </w:divBdr>
    </w:div>
    <w:div w:id="1959680496">
      <w:bodyDiv w:val="1"/>
      <w:marLeft w:val="0"/>
      <w:marRight w:val="0"/>
      <w:marTop w:val="0"/>
      <w:marBottom w:val="0"/>
      <w:divBdr>
        <w:top w:val="none" w:sz="0" w:space="0" w:color="auto"/>
        <w:left w:val="none" w:sz="0" w:space="0" w:color="auto"/>
        <w:bottom w:val="none" w:sz="0" w:space="0" w:color="auto"/>
        <w:right w:val="none" w:sz="0" w:space="0" w:color="auto"/>
      </w:divBdr>
    </w:div>
    <w:div w:id="1959950599">
      <w:bodyDiv w:val="1"/>
      <w:marLeft w:val="0"/>
      <w:marRight w:val="0"/>
      <w:marTop w:val="0"/>
      <w:marBottom w:val="0"/>
      <w:divBdr>
        <w:top w:val="none" w:sz="0" w:space="0" w:color="auto"/>
        <w:left w:val="none" w:sz="0" w:space="0" w:color="auto"/>
        <w:bottom w:val="none" w:sz="0" w:space="0" w:color="auto"/>
        <w:right w:val="none" w:sz="0" w:space="0" w:color="auto"/>
      </w:divBdr>
    </w:div>
    <w:div w:id="1961720987">
      <w:bodyDiv w:val="1"/>
      <w:marLeft w:val="0"/>
      <w:marRight w:val="0"/>
      <w:marTop w:val="0"/>
      <w:marBottom w:val="0"/>
      <w:divBdr>
        <w:top w:val="none" w:sz="0" w:space="0" w:color="auto"/>
        <w:left w:val="none" w:sz="0" w:space="0" w:color="auto"/>
        <w:bottom w:val="none" w:sz="0" w:space="0" w:color="auto"/>
        <w:right w:val="none" w:sz="0" w:space="0" w:color="auto"/>
      </w:divBdr>
    </w:div>
    <w:div w:id="1962029246">
      <w:bodyDiv w:val="1"/>
      <w:marLeft w:val="0"/>
      <w:marRight w:val="0"/>
      <w:marTop w:val="0"/>
      <w:marBottom w:val="0"/>
      <w:divBdr>
        <w:top w:val="none" w:sz="0" w:space="0" w:color="auto"/>
        <w:left w:val="none" w:sz="0" w:space="0" w:color="auto"/>
        <w:bottom w:val="none" w:sz="0" w:space="0" w:color="auto"/>
        <w:right w:val="none" w:sz="0" w:space="0" w:color="auto"/>
      </w:divBdr>
    </w:div>
    <w:div w:id="1962572141">
      <w:bodyDiv w:val="1"/>
      <w:marLeft w:val="0"/>
      <w:marRight w:val="0"/>
      <w:marTop w:val="0"/>
      <w:marBottom w:val="0"/>
      <w:divBdr>
        <w:top w:val="none" w:sz="0" w:space="0" w:color="auto"/>
        <w:left w:val="none" w:sz="0" w:space="0" w:color="auto"/>
        <w:bottom w:val="none" w:sz="0" w:space="0" w:color="auto"/>
        <w:right w:val="none" w:sz="0" w:space="0" w:color="auto"/>
      </w:divBdr>
    </w:div>
    <w:div w:id="1966080456">
      <w:bodyDiv w:val="1"/>
      <w:marLeft w:val="0"/>
      <w:marRight w:val="0"/>
      <w:marTop w:val="0"/>
      <w:marBottom w:val="0"/>
      <w:divBdr>
        <w:top w:val="none" w:sz="0" w:space="0" w:color="auto"/>
        <w:left w:val="none" w:sz="0" w:space="0" w:color="auto"/>
        <w:bottom w:val="none" w:sz="0" w:space="0" w:color="auto"/>
        <w:right w:val="none" w:sz="0" w:space="0" w:color="auto"/>
      </w:divBdr>
    </w:div>
    <w:div w:id="1966504502">
      <w:bodyDiv w:val="1"/>
      <w:marLeft w:val="0"/>
      <w:marRight w:val="0"/>
      <w:marTop w:val="0"/>
      <w:marBottom w:val="0"/>
      <w:divBdr>
        <w:top w:val="none" w:sz="0" w:space="0" w:color="auto"/>
        <w:left w:val="none" w:sz="0" w:space="0" w:color="auto"/>
        <w:bottom w:val="none" w:sz="0" w:space="0" w:color="auto"/>
        <w:right w:val="none" w:sz="0" w:space="0" w:color="auto"/>
      </w:divBdr>
    </w:div>
    <w:div w:id="1968311913">
      <w:bodyDiv w:val="1"/>
      <w:marLeft w:val="0"/>
      <w:marRight w:val="0"/>
      <w:marTop w:val="0"/>
      <w:marBottom w:val="0"/>
      <w:divBdr>
        <w:top w:val="none" w:sz="0" w:space="0" w:color="auto"/>
        <w:left w:val="none" w:sz="0" w:space="0" w:color="auto"/>
        <w:bottom w:val="none" w:sz="0" w:space="0" w:color="auto"/>
        <w:right w:val="none" w:sz="0" w:space="0" w:color="auto"/>
      </w:divBdr>
    </w:div>
    <w:div w:id="1968314874">
      <w:bodyDiv w:val="1"/>
      <w:marLeft w:val="0"/>
      <w:marRight w:val="0"/>
      <w:marTop w:val="0"/>
      <w:marBottom w:val="0"/>
      <w:divBdr>
        <w:top w:val="none" w:sz="0" w:space="0" w:color="auto"/>
        <w:left w:val="none" w:sz="0" w:space="0" w:color="auto"/>
        <w:bottom w:val="none" w:sz="0" w:space="0" w:color="auto"/>
        <w:right w:val="none" w:sz="0" w:space="0" w:color="auto"/>
      </w:divBdr>
    </w:div>
    <w:div w:id="1968587880">
      <w:bodyDiv w:val="1"/>
      <w:marLeft w:val="0"/>
      <w:marRight w:val="0"/>
      <w:marTop w:val="0"/>
      <w:marBottom w:val="0"/>
      <w:divBdr>
        <w:top w:val="none" w:sz="0" w:space="0" w:color="auto"/>
        <w:left w:val="none" w:sz="0" w:space="0" w:color="auto"/>
        <w:bottom w:val="none" w:sz="0" w:space="0" w:color="auto"/>
        <w:right w:val="none" w:sz="0" w:space="0" w:color="auto"/>
      </w:divBdr>
    </w:div>
    <w:div w:id="1969699578">
      <w:bodyDiv w:val="1"/>
      <w:marLeft w:val="0"/>
      <w:marRight w:val="0"/>
      <w:marTop w:val="0"/>
      <w:marBottom w:val="0"/>
      <w:divBdr>
        <w:top w:val="none" w:sz="0" w:space="0" w:color="auto"/>
        <w:left w:val="none" w:sz="0" w:space="0" w:color="auto"/>
        <w:bottom w:val="none" w:sz="0" w:space="0" w:color="auto"/>
        <w:right w:val="none" w:sz="0" w:space="0" w:color="auto"/>
      </w:divBdr>
    </w:div>
    <w:div w:id="1971743539">
      <w:bodyDiv w:val="1"/>
      <w:marLeft w:val="0"/>
      <w:marRight w:val="0"/>
      <w:marTop w:val="0"/>
      <w:marBottom w:val="0"/>
      <w:divBdr>
        <w:top w:val="none" w:sz="0" w:space="0" w:color="auto"/>
        <w:left w:val="none" w:sz="0" w:space="0" w:color="auto"/>
        <w:bottom w:val="none" w:sz="0" w:space="0" w:color="auto"/>
        <w:right w:val="none" w:sz="0" w:space="0" w:color="auto"/>
      </w:divBdr>
    </w:div>
    <w:div w:id="1972242764">
      <w:bodyDiv w:val="1"/>
      <w:marLeft w:val="0"/>
      <w:marRight w:val="0"/>
      <w:marTop w:val="0"/>
      <w:marBottom w:val="0"/>
      <w:divBdr>
        <w:top w:val="none" w:sz="0" w:space="0" w:color="auto"/>
        <w:left w:val="none" w:sz="0" w:space="0" w:color="auto"/>
        <w:bottom w:val="none" w:sz="0" w:space="0" w:color="auto"/>
        <w:right w:val="none" w:sz="0" w:space="0" w:color="auto"/>
      </w:divBdr>
    </w:div>
    <w:div w:id="1976370357">
      <w:bodyDiv w:val="1"/>
      <w:marLeft w:val="0"/>
      <w:marRight w:val="0"/>
      <w:marTop w:val="0"/>
      <w:marBottom w:val="0"/>
      <w:divBdr>
        <w:top w:val="none" w:sz="0" w:space="0" w:color="auto"/>
        <w:left w:val="none" w:sz="0" w:space="0" w:color="auto"/>
        <w:bottom w:val="none" w:sz="0" w:space="0" w:color="auto"/>
        <w:right w:val="none" w:sz="0" w:space="0" w:color="auto"/>
      </w:divBdr>
    </w:div>
    <w:div w:id="1977028830">
      <w:bodyDiv w:val="1"/>
      <w:marLeft w:val="0"/>
      <w:marRight w:val="0"/>
      <w:marTop w:val="0"/>
      <w:marBottom w:val="0"/>
      <w:divBdr>
        <w:top w:val="none" w:sz="0" w:space="0" w:color="auto"/>
        <w:left w:val="none" w:sz="0" w:space="0" w:color="auto"/>
        <w:bottom w:val="none" w:sz="0" w:space="0" w:color="auto"/>
        <w:right w:val="none" w:sz="0" w:space="0" w:color="auto"/>
      </w:divBdr>
    </w:div>
    <w:div w:id="1977369663">
      <w:bodyDiv w:val="1"/>
      <w:marLeft w:val="0"/>
      <w:marRight w:val="0"/>
      <w:marTop w:val="0"/>
      <w:marBottom w:val="0"/>
      <w:divBdr>
        <w:top w:val="none" w:sz="0" w:space="0" w:color="auto"/>
        <w:left w:val="none" w:sz="0" w:space="0" w:color="auto"/>
        <w:bottom w:val="none" w:sz="0" w:space="0" w:color="auto"/>
        <w:right w:val="none" w:sz="0" w:space="0" w:color="auto"/>
      </w:divBdr>
    </w:div>
    <w:div w:id="1977490155">
      <w:bodyDiv w:val="1"/>
      <w:marLeft w:val="0"/>
      <w:marRight w:val="0"/>
      <w:marTop w:val="0"/>
      <w:marBottom w:val="0"/>
      <w:divBdr>
        <w:top w:val="none" w:sz="0" w:space="0" w:color="auto"/>
        <w:left w:val="none" w:sz="0" w:space="0" w:color="auto"/>
        <w:bottom w:val="none" w:sz="0" w:space="0" w:color="auto"/>
        <w:right w:val="none" w:sz="0" w:space="0" w:color="auto"/>
      </w:divBdr>
    </w:div>
    <w:div w:id="1978293979">
      <w:bodyDiv w:val="1"/>
      <w:marLeft w:val="0"/>
      <w:marRight w:val="0"/>
      <w:marTop w:val="0"/>
      <w:marBottom w:val="0"/>
      <w:divBdr>
        <w:top w:val="none" w:sz="0" w:space="0" w:color="auto"/>
        <w:left w:val="none" w:sz="0" w:space="0" w:color="auto"/>
        <w:bottom w:val="none" w:sz="0" w:space="0" w:color="auto"/>
        <w:right w:val="none" w:sz="0" w:space="0" w:color="auto"/>
      </w:divBdr>
    </w:div>
    <w:div w:id="1978756401">
      <w:bodyDiv w:val="1"/>
      <w:marLeft w:val="0"/>
      <w:marRight w:val="0"/>
      <w:marTop w:val="0"/>
      <w:marBottom w:val="0"/>
      <w:divBdr>
        <w:top w:val="none" w:sz="0" w:space="0" w:color="auto"/>
        <w:left w:val="none" w:sz="0" w:space="0" w:color="auto"/>
        <w:bottom w:val="none" w:sz="0" w:space="0" w:color="auto"/>
        <w:right w:val="none" w:sz="0" w:space="0" w:color="auto"/>
      </w:divBdr>
    </w:div>
    <w:div w:id="1979341646">
      <w:bodyDiv w:val="1"/>
      <w:marLeft w:val="0"/>
      <w:marRight w:val="0"/>
      <w:marTop w:val="0"/>
      <w:marBottom w:val="0"/>
      <w:divBdr>
        <w:top w:val="none" w:sz="0" w:space="0" w:color="auto"/>
        <w:left w:val="none" w:sz="0" w:space="0" w:color="auto"/>
        <w:bottom w:val="none" w:sz="0" w:space="0" w:color="auto"/>
        <w:right w:val="none" w:sz="0" w:space="0" w:color="auto"/>
      </w:divBdr>
    </w:div>
    <w:div w:id="1979407729">
      <w:bodyDiv w:val="1"/>
      <w:marLeft w:val="0"/>
      <w:marRight w:val="0"/>
      <w:marTop w:val="0"/>
      <w:marBottom w:val="0"/>
      <w:divBdr>
        <w:top w:val="none" w:sz="0" w:space="0" w:color="auto"/>
        <w:left w:val="none" w:sz="0" w:space="0" w:color="auto"/>
        <w:bottom w:val="none" w:sz="0" w:space="0" w:color="auto"/>
        <w:right w:val="none" w:sz="0" w:space="0" w:color="auto"/>
      </w:divBdr>
    </w:div>
    <w:div w:id="1980067212">
      <w:bodyDiv w:val="1"/>
      <w:marLeft w:val="0"/>
      <w:marRight w:val="0"/>
      <w:marTop w:val="0"/>
      <w:marBottom w:val="0"/>
      <w:divBdr>
        <w:top w:val="none" w:sz="0" w:space="0" w:color="auto"/>
        <w:left w:val="none" w:sz="0" w:space="0" w:color="auto"/>
        <w:bottom w:val="none" w:sz="0" w:space="0" w:color="auto"/>
        <w:right w:val="none" w:sz="0" w:space="0" w:color="auto"/>
      </w:divBdr>
    </w:div>
    <w:div w:id="1980762980">
      <w:bodyDiv w:val="1"/>
      <w:marLeft w:val="0"/>
      <w:marRight w:val="0"/>
      <w:marTop w:val="0"/>
      <w:marBottom w:val="0"/>
      <w:divBdr>
        <w:top w:val="none" w:sz="0" w:space="0" w:color="auto"/>
        <w:left w:val="none" w:sz="0" w:space="0" w:color="auto"/>
        <w:bottom w:val="none" w:sz="0" w:space="0" w:color="auto"/>
        <w:right w:val="none" w:sz="0" w:space="0" w:color="auto"/>
      </w:divBdr>
    </w:div>
    <w:div w:id="1981374353">
      <w:bodyDiv w:val="1"/>
      <w:marLeft w:val="0"/>
      <w:marRight w:val="0"/>
      <w:marTop w:val="0"/>
      <w:marBottom w:val="0"/>
      <w:divBdr>
        <w:top w:val="none" w:sz="0" w:space="0" w:color="auto"/>
        <w:left w:val="none" w:sz="0" w:space="0" w:color="auto"/>
        <w:bottom w:val="none" w:sz="0" w:space="0" w:color="auto"/>
        <w:right w:val="none" w:sz="0" w:space="0" w:color="auto"/>
      </w:divBdr>
    </w:div>
    <w:div w:id="1982692429">
      <w:bodyDiv w:val="1"/>
      <w:marLeft w:val="0"/>
      <w:marRight w:val="0"/>
      <w:marTop w:val="0"/>
      <w:marBottom w:val="0"/>
      <w:divBdr>
        <w:top w:val="none" w:sz="0" w:space="0" w:color="auto"/>
        <w:left w:val="none" w:sz="0" w:space="0" w:color="auto"/>
        <w:bottom w:val="none" w:sz="0" w:space="0" w:color="auto"/>
        <w:right w:val="none" w:sz="0" w:space="0" w:color="auto"/>
      </w:divBdr>
    </w:div>
    <w:div w:id="1986200735">
      <w:bodyDiv w:val="1"/>
      <w:marLeft w:val="0"/>
      <w:marRight w:val="0"/>
      <w:marTop w:val="0"/>
      <w:marBottom w:val="0"/>
      <w:divBdr>
        <w:top w:val="none" w:sz="0" w:space="0" w:color="auto"/>
        <w:left w:val="none" w:sz="0" w:space="0" w:color="auto"/>
        <w:bottom w:val="none" w:sz="0" w:space="0" w:color="auto"/>
        <w:right w:val="none" w:sz="0" w:space="0" w:color="auto"/>
      </w:divBdr>
    </w:div>
    <w:div w:id="1987511580">
      <w:bodyDiv w:val="1"/>
      <w:marLeft w:val="0"/>
      <w:marRight w:val="0"/>
      <w:marTop w:val="0"/>
      <w:marBottom w:val="0"/>
      <w:divBdr>
        <w:top w:val="none" w:sz="0" w:space="0" w:color="auto"/>
        <w:left w:val="none" w:sz="0" w:space="0" w:color="auto"/>
        <w:bottom w:val="none" w:sz="0" w:space="0" w:color="auto"/>
        <w:right w:val="none" w:sz="0" w:space="0" w:color="auto"/>
      </w:divBdr>
    </w:div>
    <w:div w:id="1987583021">
      <w:bodyDiv w:val="1"/>
      <w:marLeft w:val="0"/>
      <w:marRight w:val="0"/>
      <w:marTop w:val="0"/>
      <w:marBottom w:val="0"/>
      <w:divBdr>
        <w:top w:val="none" w:sz="0" w:space="0" w:color="auto"/>
        <w:left w:val="none" w:sz="0" w:space="0" w:color="auto"/>
        <w:bottom w:val="none" w:sz="0" w:space="0" w:color="auto"/>
        <w:right w:val="none" w:sz="0" w:space="0" w:color="auto"/>
      </w:divBdr>
    </w:div>
    <w:div w:id="1988783043">
      <w:bodyDiv w:val="1"/>
      <w:marLeft w:val="0"/>
      <w:marRight w:val="0"/>
      <w:marTop w:val="0"/>
      <w:marBottom w:val="0"/>
      <w:divBdr>
        <w:top w:val="none" w:sz="0" w:space="0" w:color="auto"/>
        <w:left w:val="none" w:sz="0" w:space="0" w:color="auto"/>
        <w:bottom w:val="none" w:sz="0" w:space="0" w:color="auto"/>
        <w:right w:val="none" w:sz="0" w:space="0" w:color="auto"/>
      </w:divBdr>
    </w:div>
    <w:div w:id="1988899554">
      <w:bodyDiv w:val="1"/>
      <w:marLeft w:val="0"/>
      <w:marRight w:val="0"/>
      <w:marTop w:val="0"/>
      <w:marBottom w:val="0"/>
      <w:divBdr>
        <w:top w:val="none" w:sz="0" w:space="0" w:color="auto"/>
        <w:left w:val="none" w:sz="0" w:space="0" w:color="auto"/>
        <w:bottom w:val="none" w:sz="0" w:space="0" w:color="auto"/>
        <w:right w:val="none" w:sz="0" w:space="0" w:color="auto"/>
      </w:divBdr>
    </w:div>
    <w:div w:id="1989241754">
      <w:bodyDiv w:val="1"/>
      <w:marLeft w:val="0"/>
      <w:marRight w:val="0"/>
      <w:marTop w:val="0"/>
      <w:marBottom w:val="0"/>
      <w:divBdr>
        <w:top w:val="none" w:sz="0" w:space="0" w:color="auto"/>
        <w:left w:val="none" w:sz="0" w:space="0" w:color="auto"/>
        <w:bottom w:val="none" w:sz="0" w:space="0" w:color="auto"/>
        <w:right w:val="none" w:sz="0" w:space="0" w:color="auto"/>
      </w:divBdr>
    </w:div>
    <w:div w:id="1989437642">
      <w:bodyDiv w:val="1"/>
      <w:marLeft w:val="0"/>
      <w:marRight w:val="0"/>
      <w:marTop w:val="0"/>
      <w:marBottom w:val="0"/>
      <w:divBdr>
        <w:top w:val="none" w:sz="0" w:space="0" w:color="auto"/>
        <w:left w:val="none" w:sz="0" w:space="0" w:color="auto"/>
        <w:bottom w:val="none" w:sz="0" w:space="0" w:color="auto"/>
        <w:right w:val="none" w:sz="0" w:space="0" w:color="auto"/>
      </w:divBdr>
    </w:div>
    <w:div w:id="1990745341">
      <w:bodyDiv w:val="1"/>
      <w:marLeft w:val="0"/>
      <w:marRight w:val="0"/>
      <w:marTop w:val="0"/>
      <w:marBottom w:val="0"/>
      <w:divBdr>
        <w:top w:val="none" w:sz="0" w:space="0" w:color="auto"/>
        <w:left w:val="none" w:sz="0" w:space="0" w:color="auto"/>
        <w:bottom w:val="none" w:sz="0" w:space="0" w:color="auto"/>
        <w:right w:val="none" w:sz="0" w:space="0" w:color="auto"/>
      </w:divBdr>
    </w:div>
    <w:div w:id="1992295518">
      <w:bodyDiv w:val="1"/>
      <w:marLeft w:val="0"/>
      <w:marRight w:val="0"/>
      <w:marTop w:val="0"/>
      <w:marBottom w:val="0"/>
      <w:divBdr>
        <w:top w:val="none" w:sz="0" w:space="0" w:color="auto"/>
        <w:left w:val="none" w:sz="0" w:space="0" w:color="auto"/>
        <w:bottom w:val="none" w:sz="0" w:space="0" w:color="auto"/>
        <w:right w:val="none" w:sz="0" w:space="0" w:color="auto"/>
      </w:divBdr>
    </w:div>
    <w:div w:id="1992320587">
      <w:bodyDiv w:val="1"/>
      <w:marLeft w:val="0"/>
      <w:marRight w:val="0"/>
      <w:marTop w:val="0"/>
      <w:marBottom w:val="0"/>
      <w:divBdr>
        <w:top w:val="none" w:sz="0" w:space="0" w:color="auto"/>
        <w:left w:val="none" w:sz="0" w:space="0" w:color="auto"/>
        <w:bottom w:val="none" w:sz="0" w:space="0" w:color="auto"/>
        <w:right w:val="none" w:sz="0" w:space="0" w:color="auto"/>
      </w:divBdr>
    </w:div>
    <w:div w:id="1993025487">
      <w:bodyDiv w:val="1"/>
      <w:marLeft w:val="0"/>
      <w:marRight w:val="0"/>
      <w:marTop w:val="0"/>
      <w:marBottom w:val="0"/>
      <w:divBdr>
        <w:top w:val="none" w:sz="0" w:space="0" w:color="auto"/>
        <w:left w:val="none" w:sz="0" w:space="0" w:color="auto"/>
        <w:bottom w:val="none" w:sz="0" w:space="0" w:color="auto"/>
        <w:right w:val="none" w:sz="0" w:space="0" w:color="auto"/>
      </w:divBdr>
    </w:div>
    <w:div w:id="1993674804">
      <w:bodyDiv w:val="1"/>
      <w:marLeft w:val="0"/>
      <w:marRight w:val="0"/>
      <w:marTop w:val="0"/>
      <w:marBottom w:val="0"/>
      <w:divBdr>
        <w:top w:val="none" w:sz="0" w:space="0" w:color="auto"/>
        <w:left w:val="none" w:sz="0" w:space="0" w:color="auto"/>
        <w:bottom w:val="none" w:sz="0" w:space="0" w:color="auto"/>
        <w:right w:val="none" w:sz="0" w:space="0" w:color="auto"/>
      </w:divBdr>
    </w:div>
    <w:div w:id="1994021487">
      <w:bodyDiv w:val="1"/>
      <w:marLeft w:val="0"/>
      <w:marRight w:val="0"/>
      <w:marTop w:val="0"/>
      <w:marBottom w:val="0"/>
      <w:divBdr>
        <w:top w:val="none" w:sz="0" w:space="0" w:color="auto"/>
        <w:left w:val="none" w:sz="0" w:space="0" w:color="auto"/>
        <w:bottom w:val="none" w:sz="0" w:space="0" w:color="auto"/>
        <w:right w:val="none" w:sz="0" w:space="0" w:color="auto"/>
      </w:divBdr>
    </w:div>
    <w:div w:id="1994065858">
      <w:bodyDiv w:val="1"/>
      <w:marLeft w:val="0"/>
      <w:marRight w:val="0"/>
      <w:marTop w:val="0"/>
      <w:marBottom w:val="0"/>
      <w:divBdr>
        <w:top w:val="none" w:sz="0" w:space="0" w:color="auto"/>
        <w:left w:val="none" w:sz="0" w:space="0" w:color="auto"/>
        <w:bottom w:val="none" w:sz="0" w:space="0" w:color="auto"/>
        <w:right w:val="none" w:sz="0" w:space="0" w:color="auto"/>
      </w:divBdr>
    </w:div>
    <w:div w:id="1994601528">
      <w:bodyDiv w:val="1"/>
      <w:marLeft w:val="0"/>
      <w:marRight w:val="0"/>
      <w:marTop w:val="0"/>
      <w:marBottom w:val="0"/>
      <w:divBdr>
        <w:top w:val="none" w:sz="0" w:space="0" w:color="auto"/>
        <w:left w:val="none" w:sz="0" w:space="0" w:color="auto"/>
        <w:bottom w:val="none" w:sz="0" w:space="0" w:color="auto"/>
        <w:right w:val="none" w:sz="0" w:space="0" w:color="auto"/>
      </w:divBdr>
    </w:div>
    <w:div w:id="1995596987">
      <w:bodyDiv w:val="1"/>
      <w:marLeft w:val="0"/>
      <w:marRight w:val="0"/>
      <w:marTop w:val="0"/>
      <w:marBottom w:val="0"/>
      <w:divBdr>
        <w:top w:val="none" w:sz="0" w:space="0" w:color="auto"/>
        <w:left w:val="none" w:sz="0" w:space="0" w:color="auto"/>
        <w:bottom w:val="none" w:sz="0" w:space="0" w:color="auto"/>
        <w:right w:val="none" w:sz="0" w:space="0" w:color="auto"/>
      </w:divBdr>
    </w:div>
    <w:div w:id="1998340544">
      <w:bodyDiv w:val="1"/>
      <w:marLeft w:val="0"/>
      <w:marRight w:val="0"/>
      <w:marTop w:val="0"/>
      <w:marBottom w:val="0"/>
      <w:divBdr>
        <w:top w:val="none" w:sz="0" w:space="0" w:color="auto"/>
        <w:left w:val="none" w:sz="0" w:space="0" w:color="auto"/>
        <w:bottom w:val="none" w:sz="0" w:space="0" w:color="auto"/>
        <w:right w:val="none" w:sz="0" w:space="0" w:color="auto"/>
      </w:divBdr>
    </w:div>
    <w:div w:id="1999922996">
      <w:bodyDiv w:val="1"/>
      <w:marLeft w:val="0"/>
      <w:marRight w:val="0"/>
      <w:marTop w:val="0"/>
      <w:marBottom w:val="0"/>
      <w:divBdr>
        <w:top w:val="none" w:sz="0" w:space="0" w:color="auto"/>
        <w:left w:val="none" w:sz="0" w:space="0" w:color="auto"/>
        <w:bottom w:val="none" w:sz="0" w:space="0" w:color="auto"/>
        <w:right w:val="none" w:sz="0" w:space="0" w:color="auto"/>
      </w:divBdr>
    </w:div>
    <w:div w:id="2001080567">
      <w:bodyDiv w:val="1"/>
      <w:marLeft w:val="0"/>
      <w:marRight w:val="0"/>
      <w:marTop w:val="0"/>
      <w:marBottom w:val="0"/>
      <w:divBdr>
        <w:top w:val="none" w:sz="0" w:space="0" w:color="auto"/>
        <w:left w:val="none" w:sz="0" w:space="0" w:color="auto"/>
        <w:bottom w:val="none" w:sz="0" w:space="0" w:color="auto"/>
        <w:right w:val="none" w:sz="0" w:space="0" w:color="auto"/>
      </w:divBdr>
    </w:div>
    <w:div w:id="2001733295">
      <w:bodyDiv w:val="1"/>
      <w:marLeft w:val="0"/>
      <w:marRight w:val="0"/>
      <w:marTop w:val="0"/>
      <w:marBottom w:val="0"/>
      <w:divBdr>
        <w:top w:val="none" w:sz="0" w:space="0" w:color="auto"/>
        <w:left w:val="none" w:sz="0" w:space="0" w:color="auto"/>
        <w:bottom w:val="none" w:sz="0" w:space="0" w:color="auto"/>
        <w:right w:val="none" w:sz="0" w:space="0" w:color="auto"/>
      </w:divBdr>
    </w:div>
    <w:div w:id="2003042591">
      <w:bodyDiv w:val="1"/>
      <w:marLeft w:val="0"/>
      <w:marRight w:val="0"/>
      <w:marTop w:val="0"/>
      <w:marBottom w:val="0"/>
      <w:divBdr>
        <w:top w:val="none" w:sz="0" w:space="0" w:color="auto"/>
        <w:left w:val="none" w:sz="0" w:space="0" w:color="auto"/>
        <w:bottom w:val="none" w:sz="0" w:space="0" w:color="auto"/>
        <w:right w:val="none" w:sz="0" w:space="0" w:color="auto"/>
      </w:divBdr>
    </w:div>
    <w:div w:id="2003699710">
      <w:bodyDiv w:val="1"/>
      <w:marLeft w:val="0"/>
      <w:marRight w:val="0"/>
      <w:marTop w:val="0"/>
      <w:marBottom w:val="0"/>
      <w:divBdr>
        <w:top w:val="none" w:sz="0" w:space="0" w:color="auto"/>
        <w:left w:val="none" w:sz="0" w:space="0" w:color="auto"/>
        <w:bottom w:val="none" w:sz="0" w:space="0" w:color="auto"/>
        <w:right w:val="none" w:sz="0" w:space="0" w:color="auto"/>
      </w:divBdr>
    </w:div>
    <w:div w:id="2004122825">
      <w:bodyDiv w:val="1"/>
      <w:marLeft w:val="0"/>
      <w:marRight w:val="0"/>
      <w:marTop w:val="0"/>
      <w:marBottom w:val="0"/>
      <w:divBdr>
        <w:top w:val="none" w:sz="0" w:space="0" w:color="auto"/>
        <w:left w:val="none" w:sz="0" w:space="0" w:color="auto"/>
        <w:bottom w:val="none" w:sz="0" w:space="0" w:color="auto"/>
        <w:right w:val="none" w:sz="0" w:space="0" w:color="auto"/>
      </w:divBdr>
    </w:div>
    <w:div w:id="2004816999">
      <w:bodyDiv w:val="1"/>
      <w:marLeft w:val="0"/>
      <w:marRight w:val="0"/>
      <w:marTop w:val="0"/>
      <w:marBottom w:val="0"/>
      <w:divBdr>
        <w:top w:val="none" w:sz="0" w:space="0" w:color="auto"/>
        <w:left w:val="none" w:sz="0" w:space="0" w:color="auto"/>
        <w:bottom w:val="none" w:sz="0" w:space="0" w:color="auto"/>
        <w:right w:val="none" w:sz="0" w:space="0" w:color="auto"/>
      </w:divBdr>
    </w:div>
    <w:div w:id="2006592191">
      <w:bodyDiv w:val="1"/>
      <w:marLeft w:val="0"/>
      <w:marRight w:val="0"/>
      <w:marTop w:val="0"/>
      <w:marBottom w:val="0"/>
      <w:divBdr>
        <w:top w:val="none" w:sz="0" w:space="0" w:color="auto"/>
        <w:left w:val="none" w:sz="0" w:space="0" w:color="auto"/>
        <w:bottom w:val="none" w:sz="0" w:space="0" w:color="auto"/>
        <w:right w:val="none" w:sz="0" w:space="0" w:color="auto"/>
      </w:divBdr>
    </w:div>
    <w:div w:id="2007050717">
      <w:bodyDiv w:val="1"/>
      <w:marLeft w:val="0"/>
      <w:marRight w:val="0"/>
      <w:marTop w:val="0"/>
      <w:marBottom w:val="0"/>
      <w:divBdr>
        <w:top w:val="none" w:sz="0" w:space="0" w:color="auto"/>
        <w:left w:val="none" w:sz="0" w:space="0" w:color="auto"/>
        <w:bottom w:val="none" w:sz="0" w:space="0" w:color="auto"/>
        <w:right w:val="none" w:sz="0" w:space="0" w:color="auto"/>
      </w:divBdr>
    </w:div>
    <w:div w:id="2007318520">
      <w:bodyDiv w:val="1"/>
      <w:marLeft w:val="0"/>
      <w:marRight w:val="0"/>
      <w:marTop w:val="0"/>
      <w:marBottom w:val="0"/>
      <w:divBdr>
        <w:top w:val="none" w:sz="0" w:space="0" w:color="auto"/>
        <w:left w:val="none" w:sz="0" w:space="0" w:color="auto"/>
        <w:bottom w:val="none" w:sz="0" w:space="0" w:color="auto"/>
        <w:right w:val="none" w:sz="0" w:space="0" w:color="auto"/>
      </w:divBdr>
    </w:div>
    <w:div w:id="2008360215">
      <w:bodyDiv w:val="1"/>
      <w:marLeft w:val="0"/>
      <w:marRight w:val="0"/>
      <w:marTop w:val="0"/>
      <w:marBottom w:val="0"/>
      <w:divBdr>
        <w:top w:val="none" w:sz="0" w:space="0" w:color="auto"/>
        <w:left w:val="none" w:sz="0" w:space="0" w:color="auto"/>
        <w:bottom w:val="none" w:sz="0" w:space="0" w:color="auto"/>
        <w:right w:val="none" w:sz="0" w:space="0" w:color="auto"/>
      </w:divBdr>
    </w:div>
    <w:div w:id="2008749928">
      <w:bodyDiv w:val="1"/>
      <w:marLeft w:val="0"/>
      <w:marRight w:val="0"/>
      <w:marTop w:val="0"/>
      <w:marBottom w:val="0"/>
      <w:divBdr>
        <w:top w:val="none" w:sz="0" w:space="0" w:color="auto"/>
        <w:left w:val="none" w:sz="0" w:space="0" w:color="auto"/>
        <w:bottom w:val="none" w:sz="0" w:space="0" w:color="auto"/>
        <w:right w:val="none" w:sz="0" w:space="0" w:color="auto"/>
      </w:divBdr>
    </w:div>
    <w:div w:id="2010592089">
      <w:bodyDiv w:val="1"/>
      <w:marLeft w:val="0"/>
      <w:marRight w:val="0"/>
      <w:marTop w:val="0"/>
      <w:marBottom w:val="0"/>
      <w:divBdr>
        <w:top w:val="none" w:sz="0" w:space="0" w:color="auto"/>
        <w:left w:val="none" w:sz="0" w:space="0" w:color="auto"/>
        <w:bottom w:val="none" w:sz="0" w:space="0" w:color="auto"/>
        <w:right w:val="none" w:sz="0" w:space="0" w:color="auto"/>
      </w:divBdr>
    </w:div>
    <w:div w:id="2010866068">
      <w:bodyDiv w:val="1"/>
      <w:marLeft w:val="0"/>
      <w:marRight w:val="0"/>
      <w:marTop w:val="0"/>
      <w:marBottom w:val="0"/>
      <w:divBdr>
        <w:top w:val="none" w:sz="0" w:space="0" w:color="auto"/>
        <w:left w:val="none" w:sz="0" w:space="0" w:color="auto"/>
        <w:bottom w:val="none" w:sz="0" w:space="0" w:color="auto"/>
        <w:right w:val="none" w:sz="0" w:space="0" w:color="auto"/>
      </w:divBdr>
    </w:div>
    <w:div w:id="2011181369">
      <w:bodyDiv w:val="1"/>
      <w:marLeft w:val="0"/>
      <w:marRight w:val="0"/>
      <w:marTop w:val="0"/>
      <w:marBottom w:val="0"/>
      <w:divBdr>
        <w:top w:val="none" w:sz="0" w:space="0" w:color="auto"/>
        <w:left w:val="none" w:sz="0" w:space="0" w:color="auto"/>
        <w:bottom w:val="none" w:sz="0" w:space="0" w:color="auto"/>
        <w:right w:val="none" w:sz="0" w:space="0" w:color="auto"/>
      </w:divBdr>
    </w:div>
    <w:div w:id="2012179567">
      <w:bodyDiv w:val="1"/>
      <w:marLeft w:val="0"/>
      <w:marRight w:val="0"/>
      <w:marTop w:val="0"/>
      <w:marBottom w:val="0"/>
      <w:divBdr>
        <w:top w:val="none" w:sz="0" w:space="0" w:color="auto"/>
        <w:left w:val="none" w:sz="0" w:space="0" w:color="auto"/>
        <w:bottom w:val="none" w:sz="0" w:space="0" w:color="auto"/>
        <w:right w:val="none" w:sz="0" w:space="0" w:color="auto"/>
      </w:divBdr>
    </w:div>
    <w:div w:id="2013290249">
      <w:bodyDiv w:val="1"/>
      <w:marLeft w:val="0"/>
      <w:marRight w:val="0"/>
      <w:marTop w:val="0"/>
      <w:marBottom w:val="0"/>
      <w:divBdr>
        <w:top w:val="none" w:sz="0" w:space="0" w:color="auto"/>
        <w:left w:val="none" w:sz="0" w:space="0" w:color="auto"/>
        <w:bottom w:val="none" w:sz="0" w:space="0" w:color="auto"/>
        <w:right w:val="none" w:sz="0" w:space="0" w:color="auto"/>
      </w:divBdr>
    </w:div>
    <w:div w:id="2015299006">
      <w:bodyDiv w:val="1"/>
      <w:marLeft w:val="0"/>
      <w:marRight w:val="0"/>
      <w:marTop w:val="0"/>
      <w:marBottom w:val="0"/>
      <w:divBdr>
        <w:top w:val="none" w:sz="0" w:space="0" w:color="auto"/>
        <w:left w:val="none" w:sz="0" w:space="0" w:color="auto"/>
        <w:bottom w:val="none" w:sz="0" w:space="0" w:color="auto"/>
        <w:right w:val="none" w:sz="0" w:space="0" w:color="auto"/>
      </w:divBdr>
    </w:div>
    <w:div w:id="2015573995">
      <w:bodyDiv w:val="1"/>
      <w:marLeft w:val="0"/>
      <w:marRight w:val="0"/>
      <w:marTop w:val="0"/>
      <w:marBottom w:val="0"/>
      <w:divBdr>
        <w:top w:val="none" w:sz="0" w:space="0" w:color="auto"/>
        <w:left w:val="none" w:sz="0" w:space="0" w:color="auto"/>
        <w:bottom w:val="none" w:sz="0" w:space="0" w:color="auto"/>
        <w:right w:val="none" w:sz="0" w:space="0" w:color="auto"/>
      </w:divBdr>
    </w:div>
    <w:div w:id="2015722956">
      <w:bodyDiv w:val="1"/>
      <w:marLeft w:val="0"/>
      <w:marRight w:val="0"/>
      <w:marTop w:val="0"/>
      <w:marBottom w:val="0"/>
      <w:divBdr>
        <w:top w:val="none" w:sz="0" w:space="0" w:color="auto"/>
        <w:left w:val="none" w:sz="0" w:space="0" w:color="auto"/>
        <w:bottom w:val="none" w:sz="0" w:space="0" w:color="auto"/>
        <w:right w:val="none" w:sz="0" w:space="0" w:color="auto"/>
      </w:divBdr>
    </w:div>
    <w:div w:id="2015961046">
      <w:bodyDiv w:val="1"/>
      <w:marLeft w:val="0"/>
      <w:marRight w:val="0"/>
      <w:marTop w:val="0"/>
      <w:marBottom w:val="0"/>
      <w:divBdr>
        <w:top w:val="none" w:sz="0" w:space="0" w:color="auto"/>
        <w:left w:val="none" w:sz="0" w:space="0" w:color="auto"/>
        <w:bottom w:val="none" w:sz="0" w:space="0" w:color="auto"/>
        <w:right w:val="none" w:sz="0" w:space="0" w:color="auto"/>
      </w:divBdr>
    </w:div>
    <w:div w:id="2016810150">
      <w:bodyDiv w:val="1"/>
      <w:marLeft w:val="0"/>
      <w:marRight w:val="0"/>
      <w:marTop w:val="0"/>
      <w:marBottom w:val="0"/>
      <w:divBdr>
        <w:top w:val="none" w:sz="0" w:space="0" w:color="auto"/>
        <w:left w:val="none" w:sz="0" w:space="0" w:color="auto"/>
        <w:bottom w:val="none" w:sz="0" w:space="0" w:color="auto"/>
        <w:right w:val="none" w:sz="0" w:space="0" w:color="auto"/>
      </w:divBdr>
    </w:div>
    <w:div w:id="2017682333">
      <w:bodyDiv w:val="1"/>
      <w:marLeft w:val="0"/>
      <w:marRight w:val="0"/>
      <w:marTop w:val="0"/>
      <w:marBottom w:val="0"/>
      <w:divBdr>
        <w:top w:val="none" w:sz="0" w:space="0" w:color="auto"/>
        <w:left w:val="none" w:sz="0" w:space="0" w:color="auto"/>
        <w:bottom w:val="none" w:sz="0" w:space="0" w:color="auto"/>
        <w:right w:val="none" w:sz="0" w:space="0" w:color="auto"/>
      </w:divBdr>
    </w:div>
    <w:div w:id="2018772172">
      <w:bodyDiv w:val="1"/>
      <w:marLeft w:val="0"/>
      <w:marRight w:val="0"/>
      <w:marTop w:val="0"/>
      <w:marBottom w:val="0"/>
      <w:divBdr>
        <w:top w:val="none" w:sz="0" w:space="0" w:color="auto"/>
        <w:left w:val="none" w:sz="0" w:space="0" w:color="auto"/>
        <w:bottom w:val="none" w:sz="0" w:space="0" w:color="auto"/>
        <w:right w:val="none" w:sz="0" w:space="0" w:color="auto"/>
      </w:divBdr>
    </w:div>
    <w:div w:id="2019042368">
      <w:bodyDiv w:val="1"/>
      <w:marLeft w:val="0"/>
      <w:marRight w:val="0"/>
      <w:marTop w:val="0"/>
      <w:marBottom w:val="0"/>
      <w:divBdr>
        <w:top w:val="none" w:sz="0" w:space="0" w:color="auto"/>
        <w:left w:val="none" w:sz="0" w:space="0" w:color="auto"/>
        <w:bottom w:val="none" w:sz="0" w:space="0" w:color="auto"/>
        <w:right w:val="none" w:sz="0" w:space="0" w:color="auto"/>
      </w:divBdr>
    </w:div>
    <w:div w:id="2019042384">
      <w:bodyDiv w:val="1"/>
      <w:marLeft w:val="0"/>
      <w:marRight w:val="0"/>
      <w:marTop w:val="0"/>
      <w:marBottom w:val="0"/>
      <w:divBdr>
        <w:top w:val="none" w:sz="0" w:space="0" w:color="auto"/>
        <w:left w:val="none" w:sz="0" w:space="0" w:color="auto"/>
        <w:bottom w:val="none" w:sz="0" w:space="0" w:color="auto"/>
        <w:right w:val="none" w:sz="0" w:space="0" w:color="auto"/>
      </w:divBdr>
    </w:div>
    <w:div w:id="2019187505">
      <w:bodyDiv w:val="1"/>
      <w:marLeft w:val="0"/>
      <w:marRight w:val="0"/>
      <w:marTop w:val="0"/>
      <w:marBottom w:val="0"/>
      <w:divBdr>
        <w:top w:val="none" w:sz="0" w:space="0" w:color="auto"/>
        <w:left w:val="none" w:sz="0" w:space="0" w:color="auto"/>
        <w:bottom w:val="none" w:sz="0" w:space="0" w:color="auto"/>
        <w:right w:val="none" w:sz="0" w:space="0" w:color="auto"/>
      </w:divBdr>
    </w:div>
    <w:div w:id="2020346762">
      <w:bodyDiv w:val="1"/>
      <w:marLeft w:val="0"/>
      <w:marRight w:val="0"/>
      <w:marTop w:val="0"/>
      <w:marBottom w:val="0"/>
      <w:divBdr>
        <w:top w:val="none" w:sz="0" w:space="0" w:color="auto"/>
        <w:left w:val="none" w:sz="0" w:space="0" w:color="auto"/>
        <w:bottom w:val="none" w:sz="0" w:space="0" w:color="auto"/>
        <w:right w:val="none" w:sz="0" w:space="0" w:color="auto"/>
      </w:divBdr>
    </w:div>
    <w:div w:id="2021615800">
      <w:bodyDiv w:val="1"/>
      <w:marLeft w:val="0"/>
      <w:marRight w:val="0"/>
      <w:marTop w:val="0"/>
      <w:marBottom w:val="0"/>
      <w:divBdr>
        <w:top w:val="none" w:sz="0" w:space="0" w:color="auto"/>
        <w:left w:val="none" w:sz="0" w:space="0" w:color="auto"/>
        <w:bottom w:val="none" w:sz="0" w:space="0" w:color="auto"/>
        <w:right w:val="none" w:sz="0" w:space="0" w:color="auto"/>
      </w:divBdr>
    </w:div>
    <w:div w:id="2022583845">
      <w:bodyDiv w:val="1"/>
      <w:marLeft w:val="0"/>
      <w:marRight w:val="0"/>
      <w:marTop w:val="0"/>
      <w:marBottom w:val="0"/>
      <w:divBdr>
        <w:top w:val="none" w:sz="0" w:space="0" w:color="auto"/>
        <w:left w:val="none" w:sz="0" w:space="0" w:color="auto"/>
        <w:bottom w:val="none" w:sz="0" w:space="0" w:color="auto"/>
        <w:right w:val="none" w:sz="0" w:space="0" w:color="auto"/>
      </w:divBdr>
    </w:div>
    <w:div w:id="2022974355">
      <w:bodyDiv w:val="1"/>
      <w:marLeft w:val="0"/>
      <w:marRight w:val="0"/>
      <w:marTop w:val="0"/>
      <w:marBottom w:val="0"/>
      <w:divBdr>
        <w:top w:val="none" w:sz="0" w:space="0" w:color="auto"/>
        <w:left w:val="none" w:sz="0" w:space="0" w:color="auto"/>
        <w:bottom w:val="none" w:sz="0" w:space="0" w:color="auto"/>
        <w:right w:val="none" w:sz="0" w:space="0" w:color="auto"/>
      </w:divBdr>
    </w:div>
    <w:div w:id="2023044306">
      <w:bodyDiv w:val="1"/>
      <w:marLeft w:val="0"/>
      <w:marRight w:val="0"/>
      <w:marTop w:val="0"/>
      <w:marBottom w:val="0"/>
      <w:divBdr>
        <w:top w:val="none" w:sz="0" w:space="0" w:color="auto"/>
        <w:left w:val="none" w:sz="0" w:space="0" w:color="auto"/>
        <w:bottom w:val="none" w:sz="0" w:space="0" w:color="auto"/>
        <w:right w:val="none" w:sz="0" w:space="0" w:color="auto"/>
      </w:divBdr>
    </w:div>
    <w:div w:id="2024238298">
      <w:bodyDiv w:val="1"/>
      <w:marLeft w:val="0"/>
      <w:marRight w:val="0"/>
      <w:marTop w:val="0"/>
      <w:marBottom w:val="0"/>
      <w:divBdr>
        <w:top w:val="none" w:sz="0" w:space="0" w:color="auto"/>
        <w:left w:val="none" w:sz="0" w:space="0" w:color="auto"/>
        <w:bottom w:val="none" w:sz="0" w:space="0" w:color="auto"/>
        <w:right w:val="none" w:sz="0" w:space="0" w:color="auto"/>
      </w:divBdr>
    </w:div>
    <w:div w:id="2024282901">
      <w:bodyDiv w:val="1"/>
      <w:marLeft w:val="0"/>
      <w:marRight w:val="0"/>
      <w:marTop w:val="0"/>
      <w:marBottom w:val="0"/>
      <w:divBdr>
        <w:top w:val="none" w:sz="0" w:space="0" w:color="auto"/>
        <w:left w:val="none" w:sz="0" w:space="0" w:color="auto"/>
        <w:bottom w:val="none" w:sz="0" w:space="0" w:color="auto"/>
        <w:right w:val="none" w:sz="0" w:space="0" w:color="auto"/>
      </w:divBdr>
    </w:div>
    <w:div w:id="2024473531">
      <w:bodyDiv w:val="1"/>
      <w:marLeft w:val="0"/>
      <w:marRight w:val="0"/>
      <w:marTop w:val="0"/>
      <w:marBottom w:val="0"/>
      <w:divBdr>
        <w:top w:val="none" w:sz="0" w:space="0" w:color="auto"/>
        <w:left w:val="none" w:sz="0" w:space="0" w:color="auto"/>
        <w:bottom w:val="none" w:sz="0" w:space="0" w:color="auto"/>
        <w:right w:val="none" w:sz="0" w:space="0" w:color="auto"/>
      </w:divBdr>
    </w:div>
    <w:div w:id="2026587426">
      <w:bodyDiv w:val="1"/>
      <w:marLeft w:val="0"/>
      <w:marRight w:val="0"/>
      <w:marTop w:val="0"/>
      <w:marBottom w:val="0"/>
      <w:divBdr>
        <w:top w:val="none" w:sz="0" w:space="0" w:color="auto"/>
        <w:left w:val="none" w:sz="0" w:space="0" w:color="auto"/>
        <w:bottom w:val="none" w:sz="0" w:space="0" w:color="auto"/>
        <w:right w:val="none" w:sz="0" w:space="0" w:color="auto"/>
      </w:divBdr>
    </w:div>
    <w:div w:id="2026981349">
      <w:bodyDiv w:val="1"/>
      <w:marLeft w:val="0"/>
      <w:marRight w:val="0"/>
      <w:marTop w:val="0"/>
      <w:marBottom w:val="0"/>
      <w:divBdr>
        <w:top w:val="none" w:sz="0" w:space="0" w:color="auto"/>
        <w:left w:val="none" w:sz="0" w:space="0" w:color="auto"/>
        <w:bottom w:val="none" w:sz="0" w:space="0" w:color="auto"/>
        <w:right w:val="none" w:sz="0" w:space="0" w:color="auto"/>
      </w:divBdr>
    </w:div>
    <w:div w:id="2031953764">
      <w:bodyDiv w:val="1"/>
      <w:marLeft w:val="0"/>
      <w:marRight w:val="0"/>
      <w:marTop w:val="0"/>
      <w:marBottom w:val="0"/>
      <w:divBdr>
        <w:top w:val="none" w:sz="0" w:space="0" w:color="auto"/>
        <w:left w:val="none" w:sz="0" w:space="0" w:color="auto"/>
        <w:bottom w:val="none" w:sz="0" w:space="0" w:color="auto"/>
        <w:right w:val="none" w:sz="0" w:space="0" w:color="auto"/>
      </w:divBdr>
    </w:div>
    <w:div w:id="2032223859">
      <w:bodyDiv w:val="1"/>
      <w:marLeft w:val="0"/>
      <w:marRight w:val="0"/>
      <w:marTop w:val="0"/>
      <w:marBottom w:val="0"/>
      <w:divBdr>
        <w:top w:val="none" w:sz="0" w:space="0" w:color="auto"/>
        <w:left w:val="none" w:sz="0" w:space="0" w:color="auto"/>
        <w:bottom w:val="none" w:sz="0" w:space="0" w:color="auto"/>
        <w:right w:val="none" w:sz="0" w:space="0" w:color="auto"/>
      </w:divBdr>
    </w:div>
    <w:div w:id="2032757880">
      <w:bodyDiv w:val="1"/>
      <w:marLeft w:val="0"/>
      <w:marRight w:val="0"/>
      <w:marTop w:val="0"/>
      <w:marBottom w:val="0"/>
      <w:divBdr>
        <w:top w:val="none" w:sz="0" w:space="0" w:color="auto"/>
        <w:left w:val="none" w:sz="0" w:space="0" w:color="auto"/>
        <w:bottom w:val="none" w:sz="0" w:space="0" w:color="auto"/>
        <w:right w:val="none" w:sz="0" w:space="0" w:color="auto"/>
      </w:divBdr>
    </w:div>
    <w:div w:id="2034114399">
      <w:bodyDiv w:val="1"/>
      <w:marLeft w:val="0"/>
      <w:marRight w:val="0"/>
      <w:marTop w:val="0"/>
      <w:marBottom w:val="0"/>
      <w:divBdr>
        <w:top w:val="none" w:sz="0" w:space="0" w:color="auto"/>
        <w:left w:val="none" w:sz="0" w:space="0" w:color="auto"/>
        <w:bottom w:val="none" w:sz="0" w:space="0" w:color="auto"/>
        <w:right w:val="none" w:sz="0" w:space="0" w:color="auto"/>
      </w:divBdr>
    </w:div>
    <w:div w:id="2036342061">
      <w:bodyDiv w:val="1"/>
      <w:marLeft w:val="0"/>
      <w:marRight w:val="0"/>
      <w:marTop w:val="0"/>
      <w:marBottom w:val="0"/>
      <w:divBdr>
        <w:top w:val="none" w:sz="0" w:space="0" w:color="auto"/>
        <w:left w:val="none" w:sz="0" w:space="0" w:color="auto"/>
        <w:bottom w:val="none" w:sz="0" w:space="0" w:color="auto"/>
        <w:right w:val="none" w:sz="0" w:space="0" w:color="auto"/>
      </w:divBdr>
    </w:div>
    <w:div w:id="2037653813">
      <w:bodyDiv w:val="1"/>
      <w:marLeft w:val="0"/>
      <w:marRight w:val="0"/>
      <w:marTop w:val="0"/>
      <w:marBottom w:val="0"/>
      <w:divBdr>
        <w:top w:val="none" w:sz="0" w:space="0" w:color="auto"/>
        <w:left w:val="none" w:sz="0" w:space="0" w:color="auto"/>
        <w:bottom w:val="none" w:sz="0" w:space="0" w:color="auto"/>
        <w:right w:val="none" w:sz="0" w:space="0" w:color="auto"/>
      </w:divBdr>
    </w:div>
    <w:div w:id="2039117916">
      <w:bodyDiv w:val="1"/>
      <w:marLeft w:val="0"/>
      <w:marRight w:val="0"/>
      <w:marTop w:val="0"/>
      <w:marBottom w:val="0"/>
      <w:divBdr>
        <w:top w:val="none" w:sz="0" w:space="0" w:color="auto"/>
        <w:left w:val="none" w:sz="0" w:space="0" w:color="auto"/>
        <w:bottom w:val="none" w:sz="0" w:space="0" w:color="auto"/>
        <w:right w:val="none" w:sz="0" w:space="0" w:color="auto"/>
      </w:divBdr>
    </w:div>
    <w:div w:id="2039894128">
      <w:bodyDiv w:val="1"/>
      <w:marLeft w:val="0"/>
      <w:marRight w:val="0"/>
      <w:marTop w:val="0"/>
      <w:marBottom w:val="0"/>
      <w:divBdr>
        <w:top w:val="none" w:sz="0" w:space="0" w:color="auto"/>
        <w:left w:val="none" w:sz="0" w:space="0" w:color="auto"/>
        <w:bottom w:val="none" w:sz="0" w:space="0" w:color="auto"/>
        <w:right w:val="none" w:sz="0" w:space="0" w:color="auto"/>
      </w:divBdr>
    </w:div>
    <w:div w:id="2040810880">
      <w:bodyDiv w:val="1"/>
      <w:marLeft w:val="0"/>
      <w:marRight w:val="0"/>
      <w:marTop w:val="0"/>
      <w:marBottom w:val="0"/>
      <w:divBdr>
        <w:top w:val="none" w:sz="0" w:space="0" w:color="auto"/>
        <w:left w:val="none" w:sz="0" w:space="0" w:color="auto"/>
        <w:bottom w:val="none" w:sz="0" w:space="0" w:color="auto"/>
        <w:right w:val="none" w:sz="0" w:space="0" w:color="auto"/>
      </w:divBdr>
    </w:div>
    <w:div w:id="2044481208">
      <w:bodyDiv w:val="1"/>
      <w:marLeft w:val="0"/>
      <w:marRight w:val="0"/>
      <w:marTop w:val="0"/>
      <w:marBottom w:val="0"/>
      <w:divBdr>
        <w:top w:val="none" w:sz="0" w:space="0" w:color="auto"/>
        <w:left w:val="none" w:sz="0" w:space="0" w:color="auto"/>
        <w:bottom w:val="none" w:sz="0" w:space="0" w:color="auto"/>
        <w:right w:val="none" w:sz="0" w:space="0" w:color="auto"/>
      </w:divBdr>
    </w:div>
    <w:div w:id="2045401243">
      <w:bodyDiv w:val="1"/>
      <w:marLeft w:val="0"/>
      <w:marRight w:val="0"/>
      <w:marTop w:val="0"/>
      <w:marBottom w:val="0"/>
      <w:divBdr>
        <w:top w:val="none" w:sz="0" w:space="0" w:color="auto"/>
        <w:left w:val="none" w:sz="0" w:space="0" w:color="auto"/>
        <w:bottom w:val="none" w:sz="0" w:space="0" w:color="auto"/>
        <w:right w:val="none" w:sz="0" w:space="0" w:color="auto"/>
      </w:divBdr>
    </w:div>
    <w:div w:id="2045474377">
      <w:bodyDiv w:val="1"/>
      <w:marLeft w:val="0"/>
      <w:marRight w:val="0"/>
      <w:marTop w:val="0"/>
      <w:marBottom w:val="0"/>
      <w:divBdr>
        <w:top w:val="none" w:sz="0" w:space="0" w:color="auto"/>
        <w:left w:val="none" w:sz="0" w:space="0" w:color="auto"/>
        <w:bottom w:val="none" w:sz="0" w:space="0" w:color="auto"/>
        <w:right w:val="none" w:sz="0" w:space="0" w:color="auto"/>
      </w:divBdr>
    </w:div>
    <w:div w:id="2049063554">
      <w:bodyDiv w:val="1"/>
      <w:marLeft w:val="0"/>
      <w:marRight w:val="0"/>
      <w:marTop w:val="0"/>
      <w:marBottom w:val="0"/>
      <w:divBdr>
        <w:top w:val="none" w:sz="0" w:space="0" w:color="auto"/>
        <w:left w:val="none" w:sz="0" w:space="0" w:color="auto"/>
        <w:bottom w:val="none" w:sz="0" w:space="0" w:color="auto"/>
        <w:right w:val="none" w:sz="0" w:space="0" w:color="auto"/>
      </w:divBdr>
    </w:div>
    <w:div w:id="2050565901">
      <w:bodyDiv w:val="1"/>
      <w:marLeft w:val="0"/>
      <w:marRight w:val="0"/>
      <w:marTop w:val="0"/>
      <w:marBottom w:val="0"/>
      <w:divBdr>
        <w:top w:val="none" w:sz="0" w:space="0" w:color="auto"/>
        <w:left w:val="none" w:sz="0" w:space="0" w:color="auto"/>
        <w:bottom w:val="none" w:sz="0" w:space="0" w:color="auto"/>
        <w:right w:val="none" w:sz="0" w:space="0" w:color="auto"/>
      </w:divBdr>
    </w:div>
    <w:div w:id="2051106378">
      <w:bodyDiv w:val="1"/>
      <w:marLeft w:val="0"/>
      <w:marRight w:val="0"/>
      <w:marTop w:val="0"/>
      <w:marBottom w:val="0"/>
      <w:divBdr>
        <w:top w:val="none" w:sz="0" w:space="0" w:color="auto"/>
        <w:left w:val="none" w:sz="0" w:space="0" w:color="auto"/>
        <w:bottom w:val="none" w:sz="0" w:space="0" w:color="auto"/>
        <w:right w:val="none" w:sz="0" w:space="0" w:color="auto"/>
      </w:divBdr>
    </w:div>
    <w:div w:id="2051566321">
      <w:bodyDiv w:val="1"/>
      <w:marLeft w:val="0"/>
      <w:marRight w:val="0"/>
      <w:marTop w:val="0"/>
      <w:marBottom w:val="0"/>
      <w:divBdr>
        <w:top w:val="none" w:sz="0" w:space="0" w:color="auto"/>
        <w:left w:val="none" w:sz="0" w:space="0" w:color="auto"/>
        <w:bottom w:val="none" w:sz="0" w:space="0" w:color="auto"/>
        <w:right w:val="none" w:sz="0" w:space="0" w:color="auto"/>
      </w:divBdr>
    </w:div>
    <w:div w:id="2052262341">
      <w:bodyDiv w:val="1"/>
      <w:marLeft w:val="0"/>
      <w:marRight w:val="0"/>
      <w:marTop w:val="0"/>
      <w:marBottom w:val="0"/>
      <w:divBdr>
        <w:top w:val="none" w:sz="0" w:space="0" w:color="auto"/>
        <w:left w:val="none" w:sz="0" w:space="0" w:color="auto"/>
        <w:bottom w:val="none" w:sz="0" w:space="0" w:color="auto"/>
        <w:right w:val="none" w:sz="0" w:space="0" w:color="auto"/>
      </w:divBdr>
    </w:div>
    <w:div w:id="2053841630">
      <w:bodyDiv w:val="1"/>
      <w:marLeft w:val="0"/>
      <w:marRight w:val="0"/>
      <w:marTop w:val="0"/>
      <w:marBottom w:val="0"/>
      <w:divBdr>
        <w:top w:val="none" w:sz="0" w:space="0" w:color="auto"/>
        <w:left w:val="none" w:sz="0" w:space="0" w:color="auto"/>
        <w:bottom w:val="none" w:sz="0" w:space="0" w:color="auto"/>
        <w:right w:val="none" w:sz="0" w:space="0" w:color="auto"/>
      </w:divBdr>
    </w:div>
    <w:div w:id="2057116249">
      <w:bodyDiv w:val="1"/>
      <w:marLeft w:val="0"/>
      <w:marRight w:val="0"/>
      <w:marTop w:val="0"/>
      <w:marBottom w:val="0"/>
      <w:divBdr>
        <w:top w:val="none" w:sz="0" w:space="0" w:color="auto"/>
        <w:left w:val="none" w:sz="0" w:space="0" w:color="auto"/>
        <w:bottom w:val="none" w:sz="0" w:space="0" w:color="auto"/>
        <w:right w:val="none" w:sz="0" w:space="0" w:color="auto"/>
      </w:divBdr>
    </w:div>
    <w:div w:id="2057773421">
      <w:bodyDiv w:val="1"/>
      <w:marLeft w:val="0"/>
      <w:marRight w:val="0"/>
      <w:marTop w:val="0"/>
      <w:marBottom w:val="0"/>
      <w:divBdr>
        <w:top w:val="none" w:sz="0" w:space="0" w:color="auto"/>
        <w:left w:val="none" w:sz="0" w:space="0" w:color="auto"/>
        <w:bottom w:val="none" w:sz="0" w:space="0" w:color="auto"/>
        <w:right w:val="none" w:sz="0" w:space="0" w:color="auto"/>
      </w:divBdr>
    </w:div>
    <w:div w:id="2061702805">
      <w:bodyDiv w:val="1"/>
      <w:marLeft w:val="0"/>
      <w:marRight w:val="0"/>
      <w:marTop w:val="0"/>
      <w:marBottom w:val="0"/>
      <w:divBdr>
        <w:top w:val="none" w:sz="0" w:space="0" w:color="auto"/>
        <w:left w:val="none" w:sz="0" w:space="0" w:color="auto"/>
        <w:bottom w:val="none" w:sz="0" w:space="0" w:color="auto"/>
        <w:right w:val="none" w:sz="0" w:space="0" w:color="auto"/>
      </w:divBdr>
    </w:div>
    <w:div w:id="2063357652">
      <w:bodyDiv w:val="1"/>
      <w:marLeft w:val="0"/>
      <w:marRight w:val="0"/>
      <w:marTop w:val="0"/>
      <w:marBottom w:val="0"/>
      <w:divBdr>
        <w:top w:val="none" w:sz="0" w:space="0" w:color="auto"/>
        <w:left w:val="none" w:sz="0" w:space="0" w:color="auto"/>
        <w:bottom w:val="none" w:sz="0" w:space="0" w:color="auto"/>
        <w:right w:val="none" w:sz="0" w:space="0" w:color="auto"/>
      </w:divBdr>
    </w:div>
    <w:div w:id="2063750382">
      <w:bodyDiv w:val="1"/>
      <w:marLeft w:val="0"/>
      <w:marRight w:val="0"/>
      <w:marTop w:val="0"/>
      <w:marBottom w:val="0"/>
      <w:divBdr>
        <w:top w:val="none" w:sz="0" w:space="0" w:color="auto"/>
        <w:left w:val="none" w:sz="0" w:space="0" w:color="auto"/>
        <w:bottom w:val="none" w:sz="0" w:space="0" w:color="auto"/>
        <w:right w:val="none" w:sz="0" w:space="0" w:color="auto"/>
      </w:divBdr>
    </w:div>
    <w:div w:id="2064790035">
      <w:bodyDiv w:val="1"/>
      <w:marLeft w:val="0"/>
      <w:marRight w:val="0"/>
      <w:marTop w:val="0"/>
      <w:marBottom w:val="0"/>
      <w:divBdr>
        <w:top w:val="none" w:sz="0" w:space="0" w:color="auto"/>
        <w:left w:val="none" w:sz="0" w:space="0" w:color="auto"/>
        <w:bottom w:val="none" w:sz="0" w:space="0" w:color="auto"/>
        <w:right w:val="none" w:sz="0" w:space="0" w:color="auto"/>
      </w:divBdr>
    </w:div>
    <w:div w:id="2065058918">
      <w:bodyDiv w:val="1"/>
      <w:marLeft w:val="0"/>
      <w:marRight w:val="0"/>
      <w:marTop w:val="0"/>
      <w:marBottom w:val="0"/>
      <w:divBdr>
        <w:top w:val="none" w:sz="0" w:space="0" w:color="auto"/>
        <w:left w:val="none" w:sz="0" w:space="0" w:color="auto"/>
        <w:bottom w:val="none" w:sz="0" w:space="0" w:color="auto"/>
        <w:right w:val="none" w:sz="0" w:space="0" w:color="auto"/>
      </w:divBdr>
    </w:div>
    <w:div w:id="2065986485">
      <w:bodyDiv w:val="1"/>
      <w:marLeft w:val="0"/>
      <w:marRight w:val="0"/>
      <w:marTop w:val="0"/>
      <w:marBottom w:val="0"/>
      <w:divBdr>
        <w:top w:val="none" w:sz="0" w:space="0" w:color="auto"/>
        <w:left w:val="none" w:sz="0" w:space="0" w:color="auto"/>
        <w:bottom w:val="none" w:sz="0" w:space="0" w:color="auto"/>
        <w:right w:val="none" w:sz="0" w:space="0" w:color="auto"/>
      </w:divBdr>
    </w:div>
    <w:div w:id="2065986836">
      <w:bodyDiv w:val="1"/>
      <w:marLeft w:val="0"/>
      <w:marRight w:val="0"/>
      <w:marTop w:val="0"/>
      <w:marBottom w:val="0"/>
      <w:divBdr>
        <w:top w:val="none" w:sz="0" w:space="0" w:color="auto"/>
        <w:left w:val="none" w:sz="0" w:space="0" w:color="auto"/>
        <w:bottom w:val="none" w:sz="0" w:space="0" w:color="auto"/>
        <w:right w:val="none" w:sz="0" w:space="0" w:color="auto"/>
      </w:divBdr>
    </w:div>
    <w:div w:id="2066953108">
      <w:bodyDiv w:val="1"/>
      <w:marLeft w:val="0"/>
      <w:marRight w:val="0"/>
      <w:marTop w:val="0"/>
      <w:marBottom w:val="0"/>
      <w:divBdr>
        <w:top w:val="none" w:sz="0" w:space="0" w:color="auto"/>
        <w:left w:val="none" w:sz="0" w:space="0" w:color="auto"/>
        <w:bottom w:val="none" w:sz="0" w:space="0" w:color="auto"/>
        <w:right w:val="none" w:sz="0" w:space="0" w:color="auto"/>
      </w:divBdr>
    </w:div>
    <w:div w:id="2067142528">
      <w:bodyDiv w:val="1"/>
      <w:marLeft w:val="0"/>
      <w:marRight w:val="0"/>
      <w:marTop w:val="0"/>
      <w:marBottom w:val="0"/>
      <w:divBdr>
        <w:top w:val="none" w:sz="0" w:space="0" w:color="auto"/>
        <w:left w:val="none" w:sz="0" w:space="0" w:color="auto"/>
        <w:bottom w:val="none" w:sz="0" w:space="0" w:color="auto"/>
        <w:right w:val="none" w:sz="0" w:space="0" w:color="auto"/>
      </w:divBdr>
    </w:div>
    <w:div w:id="2067333311">
      <w:bodyDiv w:val="1"/>
      <w:marLeft w:val="0"/>
      <w:marRight w:val="0"/>
      <w:marTop w:val="0"/>
      <w:marBottom w:val="0"/>
      <w:divBdr>
        <w:top w:val="none" w:sz="0" w:space="0" w:color="auto"/>
        <w:left w:val="none" w:sz="0" w:space="0" w:color="auto"/>
        <w:bottom w:val="none" w:sz="0" w:space="0" w:color="auto"/>
        <w:right w:val="none" w:sz="0" w:space="0" w:color="auto"/>
      </w:divBdr>
    </w:div>
    <w:div w:id="2067609795">
      <w:bodyDiv w:val="1"/>
      <w:marLeft w:val="0"/>
      <w:marRight w:val="0"/>
      <w:marTop w:val="0"/>
      <w:marBottom w:val="0"/>
      <w:divBdr>
        <w:top w:val="none" w:sz="0" w:space="0" w:color="auto"/>
        <w:left w:val="none" w:sz="0" w:space="0" w:color="auto"/>
        <w:bottom w:val="none" w:sz="0" w:space="0" w:color="auto"/>
        <w:right w:val="none" w:sz="0" w:space="0" w:color="auto"/>
      </w:divBdr>
    </w:div>
    <w:div w:id="2069768840">
      <w:bodyDiv w:val="1"/>
      <w:marLeft w:val="0"/>
      <w:marRight w:val="0"/>
      <w:marTop w:val="0"/>
      <w:marBottom w:val="0"/>
      <w:divBdr>
        <w:top w:val="none" w:sz="0" w:space="0" w:color="auto"/>
        <w:left w:val="none" w:sz="0" w:space="0" w:color="auto"/>
        <w:bottom w:val="none" w:sz="0" w:space="0" w:color="auto"/>
        <w:right w:val="none" w:sz="0" w:space="0" w:color="auto"/>
      </w:divBdr>
    </w:div>
    <w:div w:id="2070104035">
      <w:bodyDiv w:val="1"/>
      <w:marLeft w:val="0"/>
      <w:marRight w:val="0"/>
      <w:marTop w:val="0"/>
      <w:marBottom w:val="0"/>
      <w:divBdr>
        <w:top w:val="none" w:sz="0" w:space="0" w:color="auto"/>
        <w:left w:val="none" w:sz="0" w:space="0" w:color="auto"/>
        <w:bottom w:val="none" w:sz="0" w:space="0" w:color="auto"/>
        <w:right w:val="none" w:sz="0" w:space="0" w:color="auto"/>
      </w:divBdr>
    </w:div>
    <w:div w:id="2071421964">
      <w:bodyDiv w:val="1"/>
      <w:marLeft w:val="0"/>
      <w:marRight w:val="0"/>
      <w:marTop w:val="0"/>
      <w:marBottom w:val="0"/>
      <w:divBdr>
        <w:top w:val="none" w:sz="0" w:space="0" w:color="auto"/>
        <w:left w:val="none" w:sz="0" w:space="0" w:color="auto"/>
        <w:bottom w:val="none" w:sz="0" w:space="0" w:color="auto"/>
        <w:right w:val="none" w:sz="0" w:space="0" w:color="auto"/>
      </w:divBdr>
    </w:div>
    <w:div w:id="2072269334">
      <w:bodyDiv w:val="1"/>
      <w:marLeft w:val="0"/>
      <w:marRight w:val="0"/>
      <w:marTop w:val="0"/>
      <w:marBottom w:val="0"/>
      <w:divBdr>
        <w:top w:val="none" w:sz="0" w:space="0" w:color="auto"/>
        <w:left w:val="none" w:sz="0" w:space="0" w:color="auto"/>
        <w:bottom w:val="none" w:sz="0" w:space="0" w:color="auto"/>
        <w:right w:val="none" w:sz="0" w:space="0" w:color="auto"/>
      </w:divBdr>
    </w:div>
    <w:div w:id="2072456029">
      <w:bodyDiv w:val="1"/>
      <w:marLeft w:val="0"/>
      <w:marRight w:val="0"/>
      <w:marTop w:val="0"/>
      <w:marBottom w:val="0"/>
      <w:divBdr>
        <w:top w:val="none" w:sz="0" w:space="0" w:color="auto"/>
        <w:left w:val="none" w:sz="0" w:space="0" w:color="auto"/>
        <w:bottom w:val="none" w:sz="0" w:space="0" w:color="auto"/>
        <w:right w:val="none" w:sz="0" w:space="0" w:color="auto"/>
      </w:divBdr>
    </w:div>
    <w:div w:id="2072732881">
      <w:bodyDiv w:val="1"/>
      <w:marLeft w:val="0"/>
      <w:marRight w:val="0"/>
      <w:marTop w:val="0"/>
      <w:marBottom w:val="0"/>
      <w:divBdr>
        <w:top w:val="none" w:sz="0" w:space="0" w:color="auto"/>
        <w:left w:val="none" w:sz="0" w:space="0" w:color="auto"/>
        <w:bottom w:val="none" w:sz="0" w:space="0" w:color="auto"/>
        <w:right w:val="none" w:sz="0" w:space="0" w:color="auto"/>
      </w:divBdr>
    </w:div>
    <w:div w:id="2072802966">
      <w:bodyDiv w:val="1"/>
      <w:marLeft w:val="0"/>
      <w:marRight w:val="0"/>
      <w:marTop w:val="0"/>
      <w:marBottom w:val="0"/>
      <w:divBdr>
        <w:top w:val="none" w:sz="0" w:space="0" w:color="auto"/>
        <w:left w:val="none" w:sz="0" w:space="0" w:color="auto"/>
        <w:bottom w:val="none" w:sz="0" w:space="0" w:color="auto"/>
        <w:right w:val="none" w:sz="0" w:space="0" w:color="auto"/>
      </w:divBdr>
    </w:div>
    <w:div w:id="2073044082">
      <w:bodyDiv w:val="1"/>
      <w:marLeft w:val="0"/>
      <w:marRight w:val="0"/>
      <w:marTop w:val="0"/>
      <w:marBottom w:val="0"/>
      <w:divBdr>
        <w:top w:val="none" w:sz="0" w:space="0" w:color="auto"/>
        <w:left w:val="none" w:sz="0" w:space="0" w:color="auto"/>
        <w:bottom w:val="none" w:sz="0" w:space="0" w:color="auto"/>
        <w:right w:val="none" w:sz="0" w:space="0" w:color="auto"/>
      </w:divBdr>
    </w:div>
    <w:div w:id="2073693772">
      <w:bodyDiv w:val="1"/>
      <w:marLeft w:val="0"/>
      <w:marRight w:val="0"/>
      <w:marTop w:val="0"/>
      <w:marBottom w:val="0"/>
      <w:divBdr>
        <w:top w:val="none" w:sz="0" w:space="0" w:color="auto"/>
        <w:left w:val="none" w:sz="0" w:space="0" w:color="auto"/>
        <w:bottom w:val="none" w:sz="0" w:space="0" w:color="auto"/>
        <w:right w:val="none" w:sz="0" w:space="0" w:color="auto"/>
      </w:divBdr>
    </w:div>
    <w:div w:id="2074497612">
      <w:bodyDiv w:val="1"/>
      <w:marLeft w:val="0"/>
      <w:marRight w:val="0"/>
      <w:marTop w:val="0"/>
      <w:marBottom w:val="0"/>
      <w:divBdr>
        <w:top w:val="none" w:sz="0" w:space="0" w:color="auto"/>
        <w:left w:val="none" w:sz="0" w:space="0" w:color="auto"/>
        <w:bottom w:val="none" w:sz="0" w:space="0" w:color="auto"/>
        <w:right w:val="none" w:sz="0" w:space="0" w:color="auto"/>
      </w:divBdr>
    </w:div>
    <w:div w:id="2074503076">
      <w:bodyDiv w:val="1"/>
      <w:marLeft w:val="0"/>
      <w:marRight w:val="0"/>
      <w:marTop w:val="0"/>
      <w:marBottom w:val="0"/>
      <w:divBdr>
        <w:top w:val="none" w:sz="0" w:space="0" w:color="auto"/>
        <w:left w:val="none" w:sz="0" w:space="0" w:color="auto"/>
        <w:bottom w:val="none" w:sz="0" w:space="0" w:color="auto"/>
        <w:right w:val="none" w:sz="0" w:space="0" w:color="auto"/>
      </w:divBdr>
    </w:div>
    <w:div w:id="2074697907">
      <w:bodyDiv w:val="1"/>
      <w:marLeft w:val="0"/>
      <w:marRight w:val="0"/>
      <w:marTop w:val="0"/>
      <w:marBottom w:val="0"/>
      <w:divBdr>
        <w:top w:val="none" w:sz="0" w:space="0" w:color="auto"/>
        <w:left w:val="none" w:sz="0" w:space="0" w:color="auto"/>
        <w:bottom w:val="none" w:sz="0" w:space="0" w:color="auto"/>
        <w:right w:val="none" w:sz="0" w:space="0" w:color="auto"/>
      </w:divBdr>
    </w:div>
    <w:div w:id="2074697908">
      <w:bodyDiv w:val="1"/>
      <w:marLeft w:val="0"/>
      <w:marRight w:val="0"/>
      <w:marTop w:val="0"/>
      <w:marBottom w:val="0"/>
      <w:divBdr>
        <w:top w:val="none" w:sz="0" w:space="0" w:color="auto"/>
        <w:left w:val="none" w:sz="0" w:space="0" w:color="auto"/>
        <w:bottom w:val="none" w:sz="0" w:space="0" w:color="auto"/>
        <w:right w:val="none" w:sz="0" w:space="0" w:color="auto"/>
      </w:divBdr>
    </w:div>
    <w:div w:id="2075855364">
      <w:bodyDiv w:val="1"/>
      <w:marLeft w:val="0"/>
      <w:marRight w:val="0"/>
      <w:marTop w:val="0"/>
      <w:marBottom w:val="0"/>
      <w:divBdr>
        <w:top w:val="none" w:sz="0" w:space="0" w:color="auto"/>
        <w:left w:val="none" w:sz="0" w:space="0" w:color="auto"/>
        <w:bottom w:val="none" w:sz="0" w:space="0" w:color="auto"/>
        <w:right w:val="none" w:sz="0" w:space="0" w:color="auto"/>
      </w:divBdr>
    </w:div>
    <w:div w:id="2076275064">
      <w:bodyDiv w:val="1"/>
      <w:marLeft w:val="0"/>
      <w:marRight w:val="0"/>
      <w:marTop w:val="0"/>
      <w:marBottom w:val="0"/>
      <w:divBdr>
        <w:top w:val="none" w:sz="0" w:space="0" w:color="auto"/>
        <w:left w:val="none" w:sz="0" w:space="0" w:color="auto"/>
        <w:bottom w:val="none" w:sz="0" w:space="0" w:color="auto"/>
        <w:right w:val="none" w:sz="0" w:space="0" w:color="auto"/>
      </w:divBdr>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 w:id="2078018218">
      <w:bodyDiv w:val="1"/>
      <w:marLeft w:val="0"/>
      <w:marRight w:val="0"/>
      <w:marTop w:val="0"/>
      <w:marBottom w:val="0"/>
      <w:divBdr>
        <w:top w:val="none" w:sz="0" w:space="0" w:color="auto"/>
        <w:left w:val="none" w:sz="0" w:space="0" w:color="auto"/>
        <w:bottom w:val="none" w:sz="0" w:space="0" w:color="auto"/>
        <w:right w:val="none" w:sz="0" w:space="0" w:color="auto"/>
      </w:divBdr>
    </w:div>
    <w:div w:id="2079279073">
      <w:bodyDiv w:val="1"/>
      <w:marLeft w:val="0"/>
      <w:marRight w:val="0"/>
      <w:marTop w:val="0"/>
      <w:marBottom w:val="0"/>
      <w:divBdr>
        <w:top w:val="none" w:sz="0" w:space="0" w:color="auto"/>
        <w:left w:val="none" w:sz="0" w:space="0" w:color="auto"/>
        <w:bottom w:val="none" w:sz="0" w:space="0" w:color="auto"/>
        <w:right w:val="none" w:sz="0" w:space="0" w:color="auto"/>
      </w:divBdr>
    </w:div>
    <w:div w:id="2079591681">
      <w:bodyDiv w:val="1"/>
      <w:marLeft w:val="0"/>
      <w:marRight w:val="0"/>
      <w:marTop w:val="0"/>
      <w:marBottom w:val="0"/>
      <w:divBdr>
        <w:top w:val="none" w:sz="0" w:space="0" w:color="auto"/>
        <w:left w:val="none" w:sz="0" w:space="0" w:color="auto"/>
        <w:bottom w:val="none" w:sz="0" w:space="0" w:color="auto"/>
        <w:right w:val="none" w:sz="0" w:space="0" w:color="auto"/>
      </w:divBdr>
    </w:div>
    <w:div w:id="2082749103">
      <w:bodyDiv w:val="1"/>
      <w:marLeft w:val="0"/>
      <w:marRight w:val="0"/>
      <w:marTop w:val="0"/>
      <w:marBottom w:val="0"/>
      <w:divBdr>
        <w:top w:val="none" w:sz="0" w:space="0" w:color="auto"/>
        <w:left w:val="none" w:sz="0" w:space="0" w:color="auto"/>
        <w:bottom w:val="none" w:sz="0" w:space="0" w:color="auto"/>
        <w:right w:val="none" w:sz="0" w:space="0" w:color="auto"/>
      </w:divBdr>
    </w:div>
    <w:div w:id="2084374219">
      <w:bodyDiv w:val="1"/>
      <w:marLeft w:val="0"/>
      <w:marRight w:val="0"/>
      <w:marTop w:val="0"/>
      <w:marBottom w:val="0"/>
      <w:divBdr>
        <w:top w:val="none" w:sz="0" w:space="0" w:color="auto"/>
        <w:left w:val="none" w:sz="0" w:space="0" w:color="auto"/>
        <w:bottom w:val="none" w:sz="0" w:space="0" w:color="auto"/>
        <w:right w:val="none" w:sz="0" w:space="0" w:color="auto"/>
      </w:divBdr>
    </w:div>
    <w:div w:id="2084600047">
      <w:bodyDiv w:val="1"/>
      <w:marLeft w:val="0"/>
      <w:marRight w:val="0"/>
      <w:marTop w:val="0"/>
      <w:marBottom w:val="0"/>
      <w:divBdr>
        <w:top w:val="none" w:sz="0" w:space="0" w:color="auto"/>
        <w:left w:val="none" w:sz="0" w:space="0" w:color="auto"/>
        <w:bottom w:val="none" w:sz="0" w:space="0" w:color="auto"/>
        <w:right w:val="none" w:sz="0" w:space="0" w:color="auto"/>
      </w:divBdr>
    </w:div>
    <w:div w:id="2087527875">
      <w:bodyDiv w:val="1"/>
      <w:marLeft w:val="0"/>
      <w:marRight w:val="0"/>
      <w:marTop w:val="0"/>
      <w:marBottom w:val="0"/>
      <w:divBdr>
        <w:top w:val="none" w:sz="0" w:space="0" w:color="auto"/>
        <w:left w:val="none" w:sz="0" w:space="0" w:color="auto"/>
        <w:bottom w:val="none" w:sz="0" w:space="0" w:color="auto"/>
        <w:right w:val="none" w:sz="0" w:space="0" w:color="auto"/>
      </w:divBdr>
    </w:div>
    <w:div w:id="2087722132">
      <w:bodyDiv w:val="1"/>
      <w:marLeft w:val="0"/>
      <w:marRight w:val="0"/>
      <w:marTop w:val="0"/>
      <w:marBottom w:val="0"/>
      <w:divBdr>
        <w:top w:val="none" w:sz="0" w:space="0" w:color="auto"/>
        <w:left w:val="none" w:sz="0" w:space="0" w:color="auto"/>
        <w:bottom w:val="none" w:sz="0" w:space="0" w:color="auto"/>
        <w:right w:val="none" w:sz="0" w:space="0" w:color="auto"/>
      </w:divBdr>
    </w:div>
    <w:div w:id="2087804434">
      <w:bodyDiv w:val="1"/>
      <w:marLeft w:val="0"/>
      <w:marRight w:val="0"/>
      <w:marTop w:val="0"/>
      <w:marBottom w:val="0"/>
      <w:divBdr>
        <w:top w:val="none" w:sz="0" w:space="0" w:color="auto"/>
        <w:left w:val="none" w:sz="0" w:space="0" w:color="auto"/>
        <w:bottom w:val="none" w:sz="0" w:space="0" w:color="auto"/>
        <w:right w:val="none" w:sz="0" w:space="0" w:color="auto"/>
      </w:divBdr>
    </w:div>
    <w:div w:id="2088184634">
      <w:bodyDiv w:val="1"/>
      <w:marLeft w:val="0"/>
      <w:marRight w:val="0"/>
      <w:marTop w:val="0"/>
      <w:marBottom w:val="0"/>
      <w:divBdr>
        <w:top w:val="none" w:sz="0" w:space="0" w:color="auto"/>
        <w:left w:val="none" w:sz="0" w:space="0" w:color="auto"/>
        <w:bottom w:val="none" w:sz="0" w:space="0" w:color="auto"/>
        <w:right w:val="none" w:sz="0" w:space="0" w:color="auto"/>
      </w:divBdr>
    </w:div>
    <w:div w:id="2088188763">
      <w:bodyDiv w:val="1"/>
      <w:marLeft w:val="0"/>
      <w:marRight w:val="0"/>
      <w:marTop w:val="0"/>
      <w:marBottom w:val="0"/>
      <w:divBdr>
        <w:top w:val="none" w:sz="0" w:space="0" w:color="auto"/>
        <w:left w:val="none" w:sz="0" w:space="0" w:color="auto"/>
        <w:bottom w:val="none" w:sz="0" w:space="0" w:color="auto"/>
        <w:right w:val="none" w:sz="0" w:space="0" w:color="auto"/>
      </w:divBdr>
    </w:div>
    <w:div w:id="2088450972">
      <w:bodyDiv w:val="1"/>
      <w:marLeft w:val="0"/>
      <w:marRight w:val="0"/>
      <w:marTop w:val="0"/>
      <w:marBottom w:val="0"/>
      <w:divBdr>
        <w:top w:val="none" w:sz="0" w:space="0" w:color="auto"/>
        <w:left w:val="none" w:sz="0" w:space="0" w:color="auto"/>
        <w:bottom w:val="none" w:sz="0" w:space="0" w:color="auto"/>
        <w:right w:val="none" w:sz="0" w:space="0" w:color="auto"/>
      </w:divBdr>
    </w:div>
    <w:div w:id="2089111818">
      <w:bodyDiv w:val="1"/>
      <w:marLeft w:val="0"/>
      <w:marRight w:val="0"/>
      <w:marTop w:val="0"/>
      <w:marBottom w:val="0"/>
      <w:divBdr>
        <w:top w:val="none" w:sz="0" w:space="0" w:color="auto"/>
        <w:left w:val="none" w:sz="0" w:space="0" w:color="auto"/>
        <w:bottom w:val="none" w:sz="0" w:space="0" w:color="auto"/>
        <w:right w:val="none" w:sz="0" w:space="0" w:color="auto"/>
      </w:divBdr>
    </w:div>
    <w:div w:id="2089763528">
      <w:bodyDiv w:val="1"/>
      <w:marLeft w:val="0"/>
      <w:marRight w:val="0"/>
      <w:marTop w:val="0"/>
      <w:marBottom w:val="0"/>
      <w:divBdr>
        <w:top w:val="none" w:sz="0" w:space="0" w:color="auto"/>
        <w:left w:val="none" w:sz="0" w:space="0" w:color="auto"/>
        <w:bottom w:val="none" w:sz="0" w:space="0" w:color="auto"/>
        <w:right w:val="none" w:sz="0" w:space="0" w:color="auto"/>
      </w:divBdr>
    </w:div>
    <w:div w:id="2090151412">
      <w:bodyDiv w:val="1"/>
      <w:marLeft w:val="0"/>
      <w:marRight w:val="0"/>
      <w:marTop w:val="0"/>
      <w:marBottom w:val="0"/>
      <w:divBdr>
        <w:top w:val="none" w:sz="0" w:space="0" w:color="auto"/>
        <w:left w:val="none" w:sz="0" w:space="0" w:color="auto"/>
        <w:bottom w:val="none" w:sz="0" w:space="0" w:color="auto"/>
        <w:right w:val="none" w:sz="0" w:space="0" w:color="auto"/>
      </w:divBdr>
    </w:div>
    <w:div w:id="2090271130">
      <w:bodyDiv w:val="1"/>
      <w:marLeft w:val="0"/>
      <w:marRight w:val="0"/>
      <w:marTop w:val="0"/>
      <w:marBottom w:val="0"/>
      <w:divBdr>
        <w:top w:val="none" w:sz="0" w:space="0" w:color="auto"/>
        <w:left w:val="none" w:sz="0" w:space="0" w:color="auto"/>
        <w:bottom w:val="none" w:sz="0" w:space="0" w:color="auto"/>
        <w:right w:val="none" w:sz="0" w:space="0" w:color="auto"/>
      </w:divBdr>
    </w:div>
    <w:div w:id="2091350139">
      <w:bodyDiv w:val="1"/>
      <w:marLeft w:val="0"/>
      <w:marRight w:val="0"/>
      <w:marTop w:val="0"/>
      <w:marBottom w:val="0"/>
      <w:divBdr>
        <w:top w:val="none" w:sz="0" w:space="0" w:color="auto"/>
        <w:left w:val="none" w:sz="0" w:space="0" w:color="auto"/>
        <w:bottom w:val="none" w:sz="0" w:space="0" w:color="auto"/>
        <w:right w:val="none" w:sz="0" w:space="0" w:color="auto"/>
      </w:divBdr>
    </w:div>
    <w:div w:id="2091778283">
      <w:bodyDiv w:val="1"/>
      <w:marLeft w:val="0"/>
      <w:marRight w:val="0"/>
      <w:marTop w:val="0"/>
      <w:marBottom w:val="0"/>
      <w:divBdr>
        <w:top w:val="none" w:sz="0" w:space="0" w:color="auto"/>
        <w:left w:val="none" w:sz="0" w:space="0" w:color="auto"/>
        <w:bottom w:val="none" w:sz="0" w:space="0" w:color="auto"/>
        <w:right w:val="none" w:sz="0" w:space="0" w:color="auto"/>
      </w:divBdr>
    </w:div>
    <w:div w:id="2092000877">
      <w:bodyDiv w:val="1"/>
      <w:marLeft w:val="0"/>
      <w:marRight w:val="0"/>
      <w:marTop w:val="0"/>
      <w:marBottom w:val="0"/>
      <w:divBdr>
        <w:top w:val="none" w:sz="0" w:space="0" w:color="auto"/>
        <w:left w:val="none" w:sz="0" w:space="0" w:color="auto"/>
        <w:bottom w:val="none" w:sz="0" w:space="0" w:color="auto"/>
        <w:right w:val="none" w:sz="0" w:space="0" w:color="auto"/>
      </w:divBdr>
    </w:div>
    <w:div w:id="2092656012">
      <w:bodyDiv w:val="1"/>
      <w:marLeft w:val="0"/>
      <w:marRight w:val="0"/>
      <w:marTop w:val="0"/>
      <w:marBottom w:val="0"/>
      <w:divBdr>
        <w:top w:val="none" w:sz="0" w:space="0" w:color="auto"/>
        <w:left w:val="none" w:sz="0" w:space="0" w:color="auto"/>
        <w:bottom w:val="none" w:sz="0" w:space="0" w:color="auto"/>
        <w:right w:val="none" w:sz="0" w:space="0" w:color="auto"/>
      </w:divBdr>
    </w:div>
    <w:div w:id="2092894587">
      <w:bodyDiv w:val="1"/>
      <w:marLeft w:val="0"/>
      <w:marRight w:val="0"/>
      <w:marTop w:val="0"/>
      <w:marBottom w:val="0"/>
      <w:divBdr>
        <w:top w:val="none" w:sz="0" w:space="0" w:color="auto"/>
        <w:left w:val="none" w:sz="0" w:space="0" w:color="auto"/>
        <w:bottom w:val="none" w:sz="0" w:space="0" w:color="auto"/>
        <w:right w:val="none" w:sz="0" w:space="0" w:color="auto"/>
      </w:divBdr>
    </w:div>
    <w:div w:id="2093239325">
      <w:bodyDiv w:val="1"/>
      <w:marLeft w:val="0"/>
      <w:marRight w:val="0"/>
      <w:marTop w:val="0"/>
      <w:marBottom w:val="0"/>
      <w:divBdr>
        <w:top w:val="none" w:sz="0" w:space="0" w:color="auto"/>
        <w:left w:val="none" w:sz="0" w:space="0" w:color="auto"/>
        <w:bottom w:val="none" w:sz="0" w:space="0" w:color="auto"/>
        <w:right w:val="none" w:sz="0" w:space="0" w:color="auto"/>
      </w:divBdr>
    </w:div>
    <w:div w:id="2093356057">
      <w:bodyDiv w:val="1"/>
      <w:marLeft w:val="0"/>
      <w:marRight w:val="0"/>
      <w:marTop w:val="0"/>
      <w:marBottom w:val="0"/>
      <w:divBdr>
        <w:top w:val="none" w:sz="0" w:space="0" w:color="auto"/>
        <w:left w:val="none" w:sz="0" w:space="0" w:color="auto"/>
        <w:bottom w:val="none" w:sz="0" w:space="0" w:color="auto"/>
        <w:right w:val="none" w:sz="0" w:space="0" w:color="auto"/>
      </w:divBdr>
    </w:div>
    <w:div w:id="2093817359">
      <w:bodyDiv w:val="1"/>
      <w:marLeft w:val="0"/>
      <w:marRight w:val="0"/>
      <w:marTop w:val="0"/>
      <w:marBottom w:val="0"/>
      <w:divBdr>
        <w:top w:val="none" w:sz="0" w:space="0" w:color="auto"/>
        <w:left w:val="none" w:sz="0" w:space="0" w:color="auto"/>
        <w:bottom w:val="none" w:sz="0" w:space="0" w:color="auto"/>
        <w:right w:val="none" w:sz="0" w:space="0" w:color="auto"/>
      </w:divBdr>
    </w:div>
    <w:div w:id="2096903221">
      <w:bodyDiv w:val="1"/>
      <w:marLeft w:val="0"/>
      <w:marRight w:val="0"/>
      <w:marTop w:val="0"/>
      <w:marBottom w:val="0"/>
      <w:divBdr>
        <w:top w:val="none" w:sz="0" w:space="0" w:color="auto"/>
        <w:left w:val="none" w:sz="0" w:space="0" w:color="auto"/>
        <w:bottom w:val="none" w:sz="0" w:space="0" w:color="auto"/>
        <w:right w:val="none" w:sz="0" w:space="0" w:color="auto"/>
      </w:divBdr>
    </w:div>
    <w:div w:id="2097438859">
      <w:bodyDiv w:val="1"/>
      <w:marLeft w:val="0"/>
      <w:marRight w:val="0"/>
      <w:marTop w:val="0"/>
      <w:marBottom w:val="0"/>
      <w:divBdr>
        <w:top w:val="none" w:sz="0" w:space="0" w:color="auto"/>
        <w:left w:val="none" w:sz="0" w:space="0" w:color="auto"/>
        <w:bottom w:val="none" w:sz="0" w:space="0" w:color="auto"/>
        <w:right w:val="none" w:sz="0" w:space="0" w:color="auto"/>
      </w:divBdr>
    </w:div>
    <w:div w:id="2098936602">
      <w:bodyDiv w:val="1"/>
      <w:marLeft w:val="0"/>
      <w:marRight w:val="0"/>
      <w:marTop w:val="0"/>
      <w:marBottom w:val="0"/>
      <w:divBdr>
        <w:top w:val="none" w:sz="0" w:space="0" w:color="auto"/>
        <w:left w:val="none" w:sz="0" w:space="0" w:color="auto"/>
        <w:bottom w:val="none" w:sz="0" w:space="0" w:color="auto"/>
        <w:right w:val="none" w:sz="0" w:space="0" w:color="auto"/>
      </w:divBdr>
    </w:div>
    <w:div w:id="2099790390">
      <w:bodyDiv w:val="1"/>
      <w:marLeft w:val="0"/>
      <w:marRight w:val="0"/>
      <w:marTop w:val="0"/>
      <w:marBottom w:val="0"/>
      <w:divBdr>
        <w:top w:val="none" w:sz="0" w:space="0" w:color="auto"/>
        <w:left w:val="none" w:sz="0" w:space="0" w:color="auto"/>
        <w:bottom w:val="none" w:sz="0" w:space="0" w:color="auto"/>
        <w:right w:val="none" w:sz="0" w:space="0" w:color="auto"/>
      </w:divBdr>
    </w:div>
    <w:div w:id="2100446632">
      <w:bodyDiv w:val="1"/>
      <w:marLeft w:val="0"/>
      <w:marRight w:val="0"/>
      <w:marTop w:val="0"/>
      <w:marBottom w:val="0"/>
      <w:divBdr>
        <w:top w:val="none" w:sz="0" w:space="0" w:color="auto"/>
        <w:left w:val="none" w:sz="0" w:space="0" w:color="auto"/>
        <w:bottom w:val="none" w:sz="0" w:space="0" w:color="auto"/>
        <w:right w:val="none" w:sz="0" w:space="0" w:color="auto"/>
      </w:divBdr>
    </w:div>
    <w:div w:id="2100826482">
      <w:bodyDiv w:val="1"/>
      <w:marLeft w:val="0"/>
      <w:marRight w:val="0"/>
      <w:marTop w:val="0"/>
      <w:marBottom w:val="0"/>
      <w:divBdr>
        <w:top w:val="none" w:sz="0" w:space="0" w:color="auto"/>
        <w:left w:val="none" w:sz="0" w:space="0" w:color="auto"/>
        <w:bottom w:val="none" w:sz="0" w:space="0" w:color="auto"/>
        <w:right w:val="none" w:sz="0" w:space="0" w:color="auto"/>
      </w:divBdr>
    </w:div>
    <w:div w:id="2101219143">
      <w:bodyDiv w:val="1"/>
      <w:marLeft w:val="0"/>
      <w:marRight w:val="0"/>
      <w:marTop w:val="0"/>
      <w:marBottom w:val="0"/>
      <w:divBdr>
        <w:top w:val="none" w:sz="0" w:space="0" w:color="auto"/>
        <w:left w:val="none" w:sz="0" w:space="0" w:color="auto"/>
        <w:bottom w:val="none" w:sz="0" w:space="0" w:color="auto"/>
        <w:right w:val="none" w:sz="0" w:space="0" w:color="auto"/>
      </w:divBdr>
    </w:div>
    <w:div w:id="2102748891">
      <w:bodyDiv w:val="1"/>
      <w:marLeft w:val="0"/>
      <w:marRight w:val="0"/>
      <w:marTop w:val="0"/>
      <w:marBottom w:val="0"/>
      <w:divBdr>
        <w:top w:val="none" w:sz="0" w:space="0" w:color="auto"/>
        <w:left w:val="none" w:sz="0" w:space="0" w:color="auto"/>
        <w:bottom w:val="none" w:sz="0" w:space="0" w:color="auto"/>
        <w:right w:val="none" w:sz="0" w:space="0" w:color="auto"/>
      </w:divBdr>
    </w:div>
    <w:div w:id="2104641474">
      <w:bodyDiv w:val="1"/>
      <w:marLeft w:val="0"/>
      <w:marRight w:val="0"/>
      <w:marTop w:val="0"/>
      <w:marBottom w:val="0"/>
      <w:divBdr>
        <w:top w:val="none" w:sz="0" w:space="0" w:color="auto"/>
        <w:left w:val="none" w:sz="0" w:space="0" w:color="auto"/>
        <w:bottom w:val="none" w:sz="0" w:space="0" w:color="auto"/>
        <w:right w:val="none" w:sz="0" w:space="0" w:color="auto"/>
      </w:divBdr>
    </w:div>
    <w:div w:id="2105880212">
      <w:bodyDiv w:val="1"/>
      <w:marLeft w:val="0"/>
      <w:marRight w:val="0"/>
      <w:marTop w:val="0"/>
      <w:marBottom w:val="0"/>
      <w:divBdr>
        <w:top w:val="none" w:sz="0" w:space="0" w:color="auto"/>
        <w:left w:val="none" w:sz="0" w:space="0" w:color="auto"/>
        <w:bottom w:val="none" w:sz="0" w:space="0" w:color="auto"/>
        <w:right w:val="none" w:sz="0" w:space="0" w:color="auto"/>
      </w:divBdr>
    </w:div>
    <w:div w:id="2106030337">
      <w:bodyDiv w:val="1"/>
      <w:marLeft w:val="0"/>
      <w:marRight w:val="0"/>
      <w:marTop w:val="0"/>
      <w:marBottom w:val="0"/>
      <w:divBdr>
        <w:top w:val="none" w:sz="0" w:space="0" w:color="auto"/>
        <w:left w:val="none" w:sz="0" w:space="0" w:color="auto"/>
        <w:bottom w:val="none" w:sz="0" w:space="0" w:color="auto"/>
        <w:right w:val="none" w:sz="0" w:space="0" w:color="auto"/>
      </w:divBdr>
    </w:div>
    <w:div w:id="2106489433">
      <w:bodyDiv w:val="1"/>
      <w:marLeft w:val="0"/>
      <w:marRight w:val="0"/>
      <w:marTop w:val="0"/>
      <w:marBottom w:val="0"/>
      <w:divBdr>
        <w:top w:val="none" w:sz="0" w:space="0" w:color="auto"/>
        <w:left w:val="none" w:sz="0" w:space="0" w:color="auto"/>
        <w:bottom w:val="none" w:sz="0" w:space="0" w:color="auto"/>
        <w:right w:val="none" w:sz="0" w:space="0" w:color="auto"/>
      </w:divBdr>
    </w:div>
    <w:div w:id="2106801656">
      <w:bodyDiv w:val="1"/>
      <w:marLeft w:val="0"/>
      <w:marRight w:val="0"/>
      <w:marTop w:val="0"/>
      <w:marBottom w:val="0"/>
      <w:divBdr>
        <w:top w:val="none" w:sz="0" w:space="0" w:color="auto"/>
        <w:left w:val="none" w:sz="0" w:space="0" w:color="auto"/>
        <w:bottom w:val="none" w:sz="0" w:space="0" w:color="auto"/>
        <w:right w:val="none" w:sz="0" w:space="0" w:color="auto"/>
      </w:divBdr>
    </w:div>
    <w:div w:id="2107067613">
      <w:bodyDiv w:val="1"/>
      <w:marLeft w:val="0"/>
      <w:marRight w:val="0"/>
      <w:marTop w:val="0"/>
      <w:marBottom w:val="0"/>
      <w:divBdr>
        <w:top w:val="none" w:sz="0" w:space="0" w:color="auto"/>
        <w:left w:val="none" w:sz="0" w:space="0" w:color="auto"/>
        <w:bottom w:val="none" w:sz="0" w:space="0" w:color="auto"/>
        <w:right w:val="none" w:sz="0" w:space="0" w:color="auto"/>
      </w:divBdr>
    </w:div>
    <w:div w:id="2107073114">
      <w:bodyDiv w:val="1"/>
      <w:marLeft w:val="0"/>
      <w:marRight w:val="0"/>
      <w:marTop w:val="0"/>
      <w:marBottom w:val="0"/>
      <w:divBdr>
        <w:top w:val="none" w:sz="0" w:space="0" w:color="auto"/>
        <w:left w:val="none" w:sz="0" w:space="0" w:color="auto"/>
        <w:bottom w:val="none" w:sz="0" w:space="0" w:color="auto"/>
        <w:right w:val="none" w:sz="0" w:space="0" w:color="auto"/>
      </w:divBdr>
    </w:div>
    <w:div w:id="2107262114">
      <w:bodyDiv w:val="1"/>
      <w:marLeft w:val="0"/>
      <w:marRight w:val="0"/>
      <w:marTop w:val="0"/>
      <w:marBottom w:val="0"/>
      <w:divBdr>
        <w:top w:val="none" w:sz="0" w:space="0" w:color="auto"/>
        <w:left w:val="none" w:sz="0" w:space="0" w:color="auto"/>
        <w:bottom w:val="none" w:sz="0" w:space="0" w:color="auto"/>
        <w:right w:val="none" w:sz="0" w:space="0" w:color="auto"/>
      </w:divBdr>
    </w:div>
    <w:div w:id="2108186301">
      <w:bodyDiv w:val="1"/>
      <w:marLeft w:val="0"/>
      <w:marRight w:val="0"/>
      <w:marTop w:val="0"/>
      <w:marBottom w:val="0"/>
      <w:divBdr>
        <w:top w:val="none" w:sz="0" w:space="0" w:color="auto"/>
        <w:left w:val="none" w:sz="0" w:space="0" w:color="auto"/>
        <w:bottom w:val="none" w:sz="0" w:space="0" w:color="auto"/>
        <w:right w:val="none" w:sz="0" w:space="0" w:color="auto"/>
      </w:divBdr>
    </w:div>
    <w:div w:id="2108379939">
      <w:bodyDiv w:val="1"/>
      <w:marLeft w:val="0"/>
      <w:marRight w:val="0"/>
      <w:marTop w:val="0"/>
      <w:marBottom w:val="0"/>
      <w:divBdr>
        <w:top w:val="none" w:sz="0" w:space="0" w:color="auto"/>
        <w:left w:val="none" w:sz="0" w:space="0" w:color="auto"/>
        <w:bottom w:val="none" w:sz="0" w:space="0" w:color="auto"/>
        <w:right w:val="none" w:sz="0" w:space="0" w:color="auto"/>
      </w:divBdr>
    </w:div>
    <w:div w:id="2109888161">
      <w:bodyDiv w:val="1"/>
      <w:marLeft w:val="0"/>
      <w:marRight w:val="0"/>
      <w:marTop w:val="0"/>
      <w:marBottom w:val="0"/>
      <w:divBdr>
        <w:top w:val="none" w:sz="0" w:space="0" w:color="auto"/>
        <w:left w:val="none" w:sz="0" w:space="0" w:color="auto"/>
        <w:bottom w:val="none" w:sz="0" w:space="0" w:color="auto"/>
        <w:right w:val="none" w:sz="0" w:space="0" w:color="auto"/>
      </w:divBdr>
    </w:div>
    <w:div w:id="2110198800">
      <w:bodyDiv w:val="1"/>
      <w:marLeft w:val="0"/>
      <w:marRight w:val="0"/>
      <w:marTop w:val="0"/>
      <w:marBottom w:val="0"/>
      <w:divBdr>
        <w:top w:val="none" w:sz="0" w:space="0" w:color="auto"/>
        <w:left w:val="none" w:sz="0" w:space="0" w:color="auto"/>
        <w:bottom w:val="none" w:sz="0" w:space="0" w:color="auto"/>
        <w:right w:val="none" w:sz="0" w:space="0" w:color="auto"/>
      </w:divBdr>
    </w:div>
    <w:div w:id="2115199492">
      <w:bodyDiv w:val="1"/>
      <w:marLeft w:val="0"/>
      <w:marRight w:val="0"/>
      <w:marTop w:val="0"/>
      <w:marBottom w:val="0"/>
      <w:divBdr>
        <w:top w:val="none" w:sz="0" w:space="0" w:color="auto"/>
        <w:left w:val="none" w:sz="0" w:space="0" w:color="auto"/>
        <w:bottom w:val="none" w:sz="0" w:space="0" w:color="auto"/>
        <w:right w:val="none" w:sz="0" w:space="0" w:color="auto"/>
      </w:divBdr>
    </w:div>
    <w:div w:id="2116292949">
      <w:bodyDiv w:val="1"/>
      <w:marLeft w:val="0"/>
      <w:marRight w:val="0"/>
      <w:marTop w:val="0"/>
      <w:marBottom w:val="0"/>
      <w:divBdr>
        <w:top w:val="none" w:sz="0" w:space="0" w:color="auto"/>
        <w:left w:val="none" w:sz="0" w:space="0" w:color="auto"/>
        <w:bottom w:val="none" w:sz="0" w:space="0" w:color="auto"/>
        <w:right w:val="none" w:sz="0" w:space="0" w:color="auto"/>
      </w:divBdr>
    </w:div>
    <w:div w:id="2117286784">
      <w:bodyDiv w:val="1"/>
      <w:marLeft w:val="0"/>
      <w:marRight w:val="0"/>
      <w:marTop w:val="0"/>
      <w:marBottom w:val="0"/>
      <w:divBdr>
        <w:top w:val="none" w:sz="0" w:space="0" w:color="auto"/>
        <w:left w:val="none" w:sz="0" w:space="0" w:color="auto"/>
        <w:bottom w:val="none" w:sz="0" w:space="0" w:color="auto"/>
        <w:right w:val="none" w:sz="0" w:space="0" w:color="auto"/>
      </w:divBdr>
    </w:div>
    <w:div w:id="2118521535">
      <w:bodyDiv w:val="1"/>
      <w:marLeft w:val="0"/>
      <w:marRight w:val="0"/>
      <w:marTop w:val="0"/>
      <w:marBottom w:val="0"/>
      <w:divBdr>
        <w:top w:val="none" w:sz="0" w:space="0" w:color="auto"/>
        <w:left w:val="none" w:sz="0" w:space="0" w:color="auto"/>
        <w:bottom w:val="none" w:sz="0" w:space="0" w:color="auto"/>
        <w:right w:val="none" w:sz="0" w:space="0" w:color="auto"/>
      </w:divBdr>
    </w:div>
    <w:div w:id="2118673020">
      <w:bodyDiv w:val="1"/>
      <w:marLeft w:val="0"/>
      <w:marRight w:val="0"/>
      <w:marTop w:val="0"/>
      <w:marBottom w:val="0"/>
      <w:divBdr>
        <w:top w:val="none" w:sz="0" w:space="0" w:color="auto"/>
        <w:left w:val="none" w:sz="0" w:space="0" w:color="auto"/>
        <w:bottom w:val="none" w:sz="0" w:space="0" w:color="auto"/>
        <w:right w:val="none" w:sz="0" w:space="0" w:color="auto"/>
      </w:divBdr>
    </w:div>
    <w:div w:id="2119252102">
      <w:bodyDiv w:val="1"/>
      <w:marLeft w:val="0"/>
      <w:marRight w:val="0"/>
      <w:marTop w:val="0"/>
      <w:marBottom w:val="0"/>
      <w:divBdr>
        <w:top w:val="none" w:sz="0" w:space="0" w:color="auto"/>
        <w:left w:val="none" w:sz="0" w:space="0" w:color="auto"/>
        <w:bottom w:val="none" w:sz="0" w:space="0" w:color="auto"/>
        <w:right w:val="none" w:sz="0" w:space="0" w:color="auto"/>
      </w:divBdr>
    </w:div>
    <w:div w:id="2120027158">
      <w:bodyDiv w:val="1"/>
      <w:marLeft w:val="0"/>
      <w:marRight w:val="0"/>
      <w:marTop w:val="0"/>
      <w:marBottom w:val="0"/>
      <w:divBdr>
        <w:top w:val="none" w:sz="0" w:space="0" w:color="auto"/>
        <w:left w:val="none" w:sz="0" w:space="0" w:color="auto"/>
        <w:bottom w:val="none" w:sz="0" w:space="0" w:color="auto"/>
        <w:right w:val="none" w:sz="0" w:space="0" w:color="auto"/>
      </w:divBdr>
    </w:div>
    <w:div w:id="2120292463">
      <w:bodyDiv w:val="1"/>
      <w:marLeft w:val="0"/>
      <w:marRight w:val="0"/>
      <w:marTop w:val="0"/>
      <w:marBottom w:val="0"/>
      <w:divBdr>
        <w:top w:val="none" w:sz="0" w:space="0" w:color="auto"/>
        <w:left w:val="none" w:sz="0" w:space="0" w:color="auto"/>
        <w:bottom w:val="none" w:sz="0" w:space="0" w:color="auto"/>
        <w:right w:val="none" w:sz="0" w:space="0" w:color="auto"/>
      </w:divBdr>
    </w:div>
    <w:div w:id="2120563772">
      <w:bodyDiv w:val="1"/>
      <w:marLeft w:val="0"/>
      <w:marRight w:val="0"/>
      <w:marTop w:val="0"/>
      <w:marBottom w:val="0"/>
      <w:divBdr>
        <w:top w:val="none" w:sz="0" w:space="0" w:color="auto"/>
        <w:left w:val="none" w:sz="0" w:space="0" w:color="auto"/>
        <w:bottom w:val="none" w:sz="0" w:space="0" w:color="auto"/>
        <w:right w:val="none" w:sz="0" w:space="0" w:color="auto"/>
      </w:divBdr>
    </w:div>
    <w:div w:id="2120951842">
      <w:bodyDiv w:val="1"/>
      <w:marLeft w:val="0"/>
      <w:marRight w:val="0"/>
      <w:marTop w:val="0"/>
      <w:marBottom w:val="0"/>
      <w:divBdr>
        <w:top w:val="none" w:sz="0" w:space="0" w:color="auto"/>
        <w:left w:val="none" w:sz="0" w:space="0" w:color="auto"/>
        <w:bottom w:val="none" w:sz="0" w:space="0" w:color="auto"/>
        <w:right w:val="none" w:sz="0" w:space="0" w:color="auto"/>
      </w:divBdr>
    </w:div>
    <w:div w:id="2121562384">
      <w:bodyDiv w:val="1"/>
      <w:marLeft w:val="0"/>
      <w:marRight w:val="0"/>
      <w:marTop w:val="0"/>
      <w:marBottom w:val="0"/>
      <w:divBdr>
        <w:top w:val="none" w:sz="0" w:space="0" w:color="auto"/>
        <w:left w:val="none" w:sz="0" w:space="0" w:color="auto"/>
        <w:bottom w:val="none" w:sz="0" w:space="0" w:color="auto"/>
        <w:right w:val="none" w:sz="0" w:space="0" w:color="auto"/>
      </w:divBdr>
    </w:div>
    <w:div w:id="2121609664">
      <w:bodyDiv w:val="1"/>
      <w:marLeft w:val="0"/>
      <w:marRight w:val="0"/>
      <w:marTop w:val="0"/>
      <w:marBottom w:val="0"/>
      <w:divBdr>
        <w:top w:val="none" w:sz="0" w:space="0" w:color="auto"/>
        <w:left w:val="none" w:sz="0" w:space="0" w:color="auto"/>
        <w:bottom w:val="none" w:sz="0" w:space="0" w:color="auto"/>
        <w:right w:val="none" w:sz="0" w:space="0" w:color="auto"/>
      </w:divBdr>
    </w:div>
    <w:div w:id="2122411846">
      <w:bodyDiv w:val="1"/>
      <w:marLeft w:val="0"/>
      <w:marRight w:val="0"/>
      <w:marTop w:val="0"/>
      <w:marBottom w:val="0"/>
      <w:divBdr>
        <w:top w:val="none" w:sz="0" w:space="0" w:color="auto"/>
        <w:left w:val="none" w:sz="0" w:space="0" w:color="auto"/>
        <w:bottom w:val="none" w:sz="0" w:space="0" w:color="auto"/>
        <w:right w:val="none" w:sz="0" w:space="0" w:color="auto"/>
      </w:divBdr>
    </w:div>
    <w:div w:id="2122606468">
      <w:bodyDiv w:val="1"/>
      <w:marLeft w:val="0"/>
      <w:marRight w:val="0"/>
      <w:marTop w:val="0"/>
      <w:marBottom w:val="0"/>
      <w:divBdr>
        <w:top w:val="none" w:sz="0" w:space="0" w:color="auto"/>
        <w:left w:val="none" w:sz="0" w:space="0" w:color="auto"/>
        <w:bottom w:val="none" w:sz="0" w:space="0" w:color="auto"/>
        <w:right w:val="none" w:sz="0" w:space="0" w:color="auto"/>
      </w:divBdr>
    </w:div>
    <w:div w:id="2124571366">
      <w:bodyDiv w:val="1"/>
      <w:marLeft w:val="0"/>
      <w:marRight w:val="0"/>
      <w:marTop w:val="0"/>
      <w:marBottom w:val="0"/>
      <w:divBdr>
        <w:top w:val="none" w:sz="0" w:space="0" w:color="auto"/>
        <w:left w:val="none" w:sz="0" w:space="0" w:color="auto"/>
        <w:bottom w:val="none" w:sz="0" w:space="0" w:color="auto"/>
        <w:right w:val="none" w:sz="0" w:space="0" w:color="auto"/>
      </w:divBdr>
    </w:div>
    <w:div w:id="2124613760">
      <w:bodyDiv w:val="1"/>
      <w:marLeft w:val="0"/>
      <w:marRight w:val="0"/>
      <w:marTop w:val="0"/>
      <w:marBottom w:val="0"/>
      <w:divBdr>
        <w:top w:val="none" w:sz="0" w:space="0" w:color="auto"/>
        <w:left w:val="none" w:sz="0" w:space="0" w:color="auto"/>
        <w:bottom w:val="none" w:sz="0" w:space="0" w:color="auto"/>
        <w:right w:val="none" w:sz="0" w:space="0" w:color="auto"/>
      </w:divBdr>
    </w:div>
    <w:div w:id="2125224839">
      <w:bodyDiv w:val="1"/>
      <w:marLeft w:val="0"/>
      <w:marRight w:val="0"/>
      <w:marTop w:val="0"/>
      <w:marBottom w:val="0"/>
      <w:divBdr>
        <w:top w:val="none" w:sz="0" w:space="0" w:color="auto"/>
        <w:left w:val="none" w:sz="0" w:space="0" w:color="auto"/>
        <w:bottom w:val="none" w:sz="0" w:space="0" w:color="auto"/>
        <w:right w:val="none" w:sz="0" w:space="0" w:color="auto"/>
      </w:divBdr>
    </w:div>
    <w:div w:id="2125804485">
      <w:bodyDiv w:val="1"/>
      <w:marLeft w:val="0"/>
      <w:marRight w:val="0"/>
      <w:marTop w:val="0"/>
      <w:marBottom w:val="0"/>
      <w:divBdr>
        <w:top w:val="none" w:sz="0" w:space="0" w:color="auto"/>
        <w:left w:val="none" w:sz="0" w:space="0" w:color="auto"/>
        <w:bottom w:val="none" w:sz="0" w:space="0" w:color="auto"/>
        <w:right w:val="none" w:sz="0" w:space="0" w:color="auto"/>
      </w:divBdr>
    </w:div>
    <w:div w:id="2125880147">
      <w:bodyDiv w:val="1"/>
      <w:marLeft w:val="0"/>
      <w:marRight w:val="0"/>
      <w:marTop w:val="0"/>
      <w:marBottom w:val="0"/>
      <w:divBdr>
        <w:top w:val="none" w:sz="0" w:space="0" w:color="auto"/>
        <w:left w:val="none" w:sz="0" w:space="0" w:color="auto"/>
        <w:bottom w:val="none" w:sz="0" w:space="0" w:color="auto"/>
        <w:right w:val="none" w:sz="0" w:space="0" w:color="auto"/>
      </w:divBdr>
    </w:div>
    <w:div w:id="2126580534">
      <w:bodyDiv w:val="1"/>
      <w:marLeft w:val="0"/>
      <w:marRight w:val="0"/>
      <w:marTop w:val="0"/>
      <w:marBottom w:val="0"/>
      <w:divBdr>
        <w:top w:val="none" w:sz="0" w:space="0" w:color="auto"/>
        <w:left w:val="none" w:sz="0" w:space="0" w:color="auto"/>
        <w:bottom w:val="none" w:sz="0" w:space="0" w:color="auto"/>
        <w:right w:val="none" w:sz="0" w:space="0" w:color="auto"/>
      </w:divBdr>
    </w:div>
    <w:div w:id="2127311291">
      <w:bodyDiv w:val="1"/>
      <w:marLeft w:val="0"/>
      <w:marRight w:val="0"/>
      <w:marTop w:val="0"/>
      <w:marBottom w:val="0"/>
      <w:divBdr>
        <w:top w:val="none" w:sz="0" w:space="0" w:color="auto"/>
        <w:left w:val="none" w:sz="0" w:space="0" w:color="auto"/>
        <w:bottom w:val="none" w:sz="0" w:space="0" w:color="auto"/>
        <w:right w:val="none" w:sz="0" w:space="0" w:color="auto"/>
      </w:divBdr>
    </w:div>
    <w:div w:id="2127505361">
      <w:bodyDiv w:val="1"/>
      <w:marLeft w:val="0"/>
      <w:marRight w:val="0"/>
      <w:marTop w:val="0"/>
      <w:marBottom w:val="0"/>
      <w:divBdr>
        <w:top w:val="none" w:sz="0" w:space="0" w:color="auto"/>
        <w:left w:val="none" w:sz="0" w:space="0" w:color="auto"/>
        <w:bottom w:val="none" w:sz="0" w:space="0" w:color="auto"/>
        <w:right w:val="none" w:sz="0" w:space="0" w:color="auto"/>
      </w:divBdr>
    </w:div>
    <w:div w:id="2127701092">
      <w:bodyDiv w:val="1"/>
      <w:marLeft w:val="0"/>
      <w:marRight w:val="0"/>
      <w:marTop w:val="0"/>
      <w:marBottom w:val="0"/>
      <w:divBdr>
        <w:top w:val="none" w:sz="0" w:space="0" w:color="auto"/>
        <w:left w:val="none" w:sz="0" w:space="0" w:color="auto"/>
        <w:bottom w:val="none" w:sz="0" w:space="0" w:color="auto"/>
        <w:right w:val="none" w:sz="0" w:space="0" w:color="auto"/>
      </w:divBdr>
    </w:div>
    <w:div w:id="2129350604">
      <w:bodyDiv w:val="1"/>
      <w:marLeft w:val="0"/>
      <w:marRight w:val="0"/>
      <w:marTop w:val="0"/>
      <w:marBottom w:val="0"/>
      <w:divBdr>
        <w:top w:val="none" w:sz="0" w:space="0" w:color="auto"/>
        <w:left w:val="none" w:sz="0" w:space="0" w:color="auto"/>
        <w:bottom w:val="none" w:sz="0" w:space="0" w:color="auto"/>
        <w:right w:val="none" w:sz="0" w:space="0" w:color="auto"/>
      </w:divBdr>
    </w:div>
    <w:div w:id="2129741527">
      <w:bodyDiv w:val="1"/>
      <w:marLeft w:val="0"/>
      <w:marRight w:val="0"/>
      <w:marTop w:val="0"/>
      <w:marBottom w:val="0"/>
      <w:divBdr>
        <w:top w:val="none" w:sz="0" w:space="0" w:color="auto"/>
        <w:left w:val="none" w:sz="0" w:space="0" w:color="auto"/>
        <w:bottom w:val="none" w:sz="0" w:space="0" w:color="auto"/>
        <w:right w:val="none" w:sz="0" w:space="0" w:color="auto"/>
      </w:divBdr>
    </w:div>
    <w:div w:id="2130320890">
      <w:bodyDiv w:val="1"/>
      <w:marLeft w:val="0"/>
      <w:marRight w:val="0"/>
      <w:marTop w:val="0"/>
      <w:marBottom w:val="0"/>
      <w:divBdr>
        <w:top w:val="none" w:sz="0" w:space="0" w:color="auto"/>
        <w:left w:val="none" w:sz="0" w:space="0" w:color="auto"/>
        <w:bottom w:val="none" w:sz="0" w:space="0" w:color="auto"/>
        <w:right w:val="none" w:sz="0" w:space="0" w:color="auto"/>
      </w:divBdr>
    </w:div>
    <w:div w:id="2130734018">
      <w:bodyDiv w:val="1"/>
      <w:marLeft w:val="0"/>
      <w:marRight w:val="0"/>
      <w:marTop w:val="0"/>
      <w:marBottom w:val="0"/>
      <w:divBdr>
        <w:top w:val="none" w:sz="0" w:space="0" w:color="auto"/>
        <w:left w:val="none" w:sz="0" w:space="0" w:color="auto"/>
        <w:bottom w:val="none" w:sz="0" w:space="0" w:color="auto"/>
        <w:right w:val="none" w:sz="0" w:space="0" w:color="auto"/>
      </w:divBdr>
    </w:div>
    <w:div w:id="2131971932">
      <w:bodyDiv w:val="1"/>
      <w:marLeft w:val="0"/>
      <w:marRight w:val="0"/>
      <w:marTop w:val="0"/>
      <w:marBottom w:val="0"/>
      <w:divBdr>
        <w:top w:val="none" w:sz="0" w:space="0" w:color="auto"/>
        <w:left w:val="none" w:sz="0" w:space="0" w:color="auto"/>
        <w:bottom w:val="none" w:sz="0" w:space="0" w:color="auto"/>
        <w:right w:val="none" w:sz="0" w:space="0" w:color="auto"/>
      </w:divBdr>
    </w:div>
    <w:div w:id="2133475103">
      <w:bodyDiv w:val="1"/>
      <w:marLeft w:val="0"/>
      <w:marRight w:val="0"/>
      <w:marTop w:val="0"/>
      <w:marBottom w:val="0"/>
      <w:divBdr>
        <w:top w:val="none" w:sz="0" w:space="0" w:color="auto"/>
        <w:left w:val="none" w:sz="0" w:space="0" w:color="auto"/>
        <w:bottom w:val="none" w:sz="0" w:space="0" w:color="auto"/>
        <w:right w:val="none" w:sz="0" w:space="0" w:color="auto"/>
      </w:divBdr>
    </w:div>
    <w:div w:id="2133740931">
      <w:bodyDiv w:val="1"/>
      <w:marLeft w:val="0"/>
      <w:marRight w:val="0"/>
      <w:marTop w:val="0"/>
      <w:marBottom w:val="0"/>
      <w:divBdr>
        <w:top w:val="none" w:sz="0" w:space="0" w:color="auto"/>
        <w:left w:val="none" w:sz="0" w:space="0" w:color="auto"/>
        <w:bottom w:val="none" w:sz="0" w:space="0" w:color="auto"/>
        <w:right w:val="none" w:sz="0" w:space="0" w:color="auto"/>
      </w:divBdr>
    </w:div>
    <w:div w:id="2133860099">
      <w:bodyDiv w:val="1"/>
      <w:marLeft w:val="0"/>
      <w:marRight w:val="0"/>
      <w:marTop w:val="0"/>
      <w:marBottom w:val="0"/>
      <w:divBdr>
        <w:top w:val="none" w:sz="0" w:space="0" w:color="auto"/>
        <w:left w:val="none" w:sz="0" w:space="0" w:color="auto"/>
        <w:bottom w:val="none" w:sz="0" w:space="0" w:color="auto"/>
        <w:right w:val="none" w:sz="0" w:space="0" w:color="auto"/>
      </w:divBdr>
    </w:div>
    <w:div w:id="2134665919">
      <w:bodyDiv w:val="1"/>
      <w:marLeft w:val="0"/>
      <w:marRight w:val="0"/>
      <w:marTop w:val="0"/>
      <w:marBottom w:val="0"/>
      <w:divBdr>
        <w:top w:val="none" w:sz="0" w:space="0" w:color="auto"/>
        <w:left w:val="none" w:sz="0" w:space="0" w:color="auto"/>
        <w:bottom w:val="none" w:sz="0" w:space="0" w:color="auto"/>
        <w:right w:val="none" w:sz="0" w:space="0" w:color="auto"/>
      </w:divBdr>
    </w:div>
    <w:div w:id="2134788002">
      <w:bodyDiv w:val="1"/>
      <w:marLeft w:val="0"/>
      <w:marRight w:val="0"/>
      <w:marTop w:val="0"/>
      <w:marBottom w:val="0"/>
      <w:divBdr>
        <w:top w:val="none" w:sz="0" w:space="0" w:color="auto"/>
        <w:left w:val="none" w:sz="0" w:space="0" w:color="auto"/>
        <w:bottom w:val="none" w:sz="0" w:space="0" w:color="auto"/>
        <w:right w:val="none" w:sz="0" w:space="0" w:color="auto"/>
      </w:divBdr>
    </w:div>
    <w:div w:id="2135824305">
      <w:bodyDiv w:val="1"/>
      <w:marLeft w:val="0"/>
      <w:marRight w:val="0"/>
      <w:marTop w:val="0"/>
      <w:marBottom w:val="0"/>
      <w:divBdr>
        <w:top w:val="none" w:sz="0" w:space="0" w:color="auto"/>
        <w:left w:val="none" w:sz="0" w:space="0" w:color="auto"/>
        <w:bottom w:val="none" w:sz="0" w:space="0" w:color="auto"/>
        <w:right w:val="none" w:sz="0" w:space="0" w:color="auto"/>
      </w:divBdr>
    </w:div>
    <w:div w:id="2136559556">
      <w:bodyDiv w:val="1"/>
      <w:marLeft w:val="0"/>
      <w:marRight w:val="0"/>
      <w:marTop w:val="0"/>
      <w:marBottom w:val="0"/>
      <w:divBdr>
        <w:top w:val="none" w:sz="0" w:space="0" w:color="auto"/>
        <w:left w:val="none" w:sz="0" w:space="0" w:color="auto"/>
        <w:bottom w:val="none" w:sz="0" w:space="0" w:color="auto"/>
        <w:right w:val="none" w:sz="0" w:space="0" w:color="auto"/>
      </w:divBdr>
    </w:div>
    <w:div w:id="2136950513">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 w:id="2137672360">
      <w:bodyDiv w:val="1"/>
      <w:marLeft w:val="0"/>
      <w:marRight w:val="0"/>
      <w:marTop w:val="0"/>
      <w:marBottom w:val="0"/>
      <w:divBdr>
        <w:top w:val="none" w:sz="0" w:space="0" w:color="auto"/>
        <w:left w:val="none" w:sz="0" w:space="0" w:color="auto"/>
        <w:bottom w:val="none" w:sz="0" w:space="0" w:color="auto"/>
        <w:right w:val="none" w:sz="0" w:space="0" w:color="auto"/>
      </w:divBdr>
    </w:div>
    <w:div w:id="2138601328">
      <w:bodyDiv w:val="1"/>
      <w:marLeft w:val="0"/>
      <w:marRight w:val="0"/>
      <w:marTop w:val="0"/>
      <w:marBottom w:val="0"/>
      <w:divBdr>
        <w:top w:val="none" w:sz="0" w:space="0" w:color="auto"/>
        <w:left w:val="none" w:sz="0" w:space="0" w:color="auto"/>
        <w:bottom w:val="none" w:sz="0" w:space="0" w:color="auto"/>
        <w:right w:val="none" w:sz="0" w:space="0" w:color="auto"/>
      </w:divBdr>
    </w:div>
    <w:div w:id="2139688619">
      <w:bodyDiv w:val="1"/>
      <w:marLeft w:val="0"/>
      <w:marRight w:val="0"/>
      <w:marTop w:val="0"/>
      <w:marBottom w:val="0"/>
      <w:divBdr>
        <w:top w:val="none" w:sz="0" w:space="0" w:color="auto"/>
        <w:left w:val="none" w:sz="0" w:space="0" w:color="auto"/>
        <w:bottom w:val="none" w:sz="0" w:space="0" w:color="auto"/>
        <w:right w:val="none" w:sz="0" w:space="0" w:color="auto"/>
      </w:divBdr>
    </w:div>
    <w:div w:id="2140607771">
      <w:bodyDiv w:val="1"/>
      <w:marLeft w:val="0"/>
      <w:marRight w:val="0"/>
      <w:marTop w:val="0"/>
      <w:marBottom w:val="0"/>
      <w:divBdr>
        <w:top w:val="none" w:sz="0" w:space="0" w:color="auto"/>
        <w:left w:val="none" w:sz="0" w:space="0" w:color="auto"/>
        <w:bottom w:val="none" w:sz="0" w:space="0" w:color="auto"/>
        <w:right w:val="none" w:sz="0" w:space="0" w:color="auto"/>
      </w:divBdr>
    </w:div>
    <w:div w:id="2140872841">
      <w:bodyDiv w:val="1"/>
      <w:marLeft w:val="0"/>
      <w:marRight w:val="0"/>
      <w:marTop w:val="0"/>
      <w:marBottom w:val="0"/>
      <w:divBdr>
        <w:top w:val="none" w:sz="0" w:space="0" w:color="auto"/>
        <w:left w:val="none" w:sz="0" w:space="0" w:color="auto"/>
        <w:bottom w:val="none" w:sz="0" w:space="0" w:color="auto"/>
        <w:right w:val="none" w:sz="0" w:space="0" w:color="auto"/>
      </w:divBdr>
    </w:div>
    <w:div w:id="2141264536">
      <w:bodyDiv w:val="1"/>
      <w:marLeft w:val="0"/>
      <w:marRight w:val="0"/>
      <w:marTop w:val="0"/>
      <w:marBottom w:val="0"/>
      <w:divBdr>
        <w:top w:val="none" w:sz="0" w:space="0" w:color="auto"/>
        <w:left w:val="none" w:sz="0" w:space="0" w:color="auto"/>
        <w:bottom w:val="none" w:sz="0" w:space="0" w:color="auto"/>
        <w:right w:val="none" w:sz="0" w:space="0" w:color="auto"/>
      </w:divBdr>
    </w:div>
    <w:div w:id="2141805046">
      <w:bodyDiv w:val="1"/>
      <w:marLeft w:val="0"/>
      <w:marRight w:val="0"/>
      <w:marTop w:val="0"/>
      <w:marBottom w:val="0"/>
      <w:divBdr>
        <w:top w:val="none" w:sz="0" w:space="0" w:color="auto"/>
        <w:left w:val="none" w:sz="0" w:space="0" w:color="auto"/>
        <w:bottom w:val="none" w:sz="0" w:space="0" w:color="auto"/>
        <w:right w:val="none" w:sz="0" w:space="0" w:color="auto"/>
      </w:divBdr>
    </w:div>
    <w:div w:id="2145269432">
      <w:bodyDiv w:val="1"/>
      <w:marLeft w:val="0"/>
      <w:marRight w:val="0"/>
      <w:marTop w:val="0"/>
      <w:marBottom w:val="0"/>
      <w:divBdr>
        <w:top w:val="none" w:sz="0" w:space="0" w:color="auto"/>
        <w:left w:val="none" w:sz="0" w:space="0" w:color="auto"/>
        <w:bottom w:val="none" w:sz="0" w:space="0" w:color="auto"/>
        <w:right w:val="none" w:sz="0" w:space="0" w:color="auto"/>
      </w:divBdr>
    </w:div>
    <w:div w:id="2145653208">
      <w:bodyDiv w:val="1"/>
      <w:marLeft w:val="0"/>
      <w:marRight w:val="0"/>
      <w:marTop w:val="0"/>
      <w:marBottom w:val="0"/>
      <w:divBdr>
        <w:top w:val="none" w:sz="0" w:space="0" w:color="auto"/>
        <w:left w:val="none" w:sz="0" w:space="0" w:color="auto"/>
        <w:bottom w:val="none" w:sz="0" w:space="0" w:color="auto"/>
        <w:right w:val="none" w:sz="0" w:space="0" w:color="auto"/>
      </w:divBdr>
    </w:div>
    <w:div w:id="2146967481">
      <w:bodyDiv w:val="1"/>
      <w:marLeft w:val="0"/>
      <w:marRight w:val="0"/>
      <w:marTop w:val="0"/>
      <w:marBottom w:val="0"/>
      <w:divBdr>
        <w:top w:val="none" w:sz="0" w:space="0" w:color="auto"/>
        <w:left w:val="none" w:sz="0" w:space="0" w:color="auto"/>
        <w:bottom w:val="none" w:sz="0" w:space="0" w:color="auto"/>
        <w:right w:val="none" w:sz="0" w:space="0" w:color="auto"/>
      </w:divBdr>
    </w:div>
    <w:div w:id="214711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c.gov.au/inquiries/completed/productivity/report" TargetMode="External"/><Relationship Id="rId21" Type="http://schemas.openxmlformats.org/officeDocument/2006/relationships/header" Target="header4.xml"/><Relationship Id="rId42" Type="http://schemas.openxmlformats.org/officeDocument/2006/relationships/image" Target="media/image17.png"/><Relationship Id="rId63" Type="http://schemas.openxmlformats.org/officeDocument/2006/relationships/hyperlink" Target="https://www.aihw.gov.au/about-our-data/our-data-collections" TargetMode="External"/><Relationship Id="rId84" Type="http://schemas.openxmlformats.org/officeDocument/2006/relationships/hyperlink" Target="https://www.finance.gov.au/sites/default/files/2024-05/signed-mdsa_all.pdf" TargetMode="External"/><Relationship Id="rId138" Type="http://schemas.openxmlformats.org/officeDocument/2006/relationships/footer" Target="footer12.xml"/><Relationship Id="rId16" Type="http://schemas.openxmlformats.org/officeDocument/2006/relationships/header" Target="header3.xml"/><Relationship Id="rId107" Type="http://schemas.openxmlformats.org/officeDocument/2006/relationships/hyperlink" Target="https://www.oecd-ilibrary.org/sites/3d5c5d31-en/1/3/3/1/index.html?itemId=/content/publication/3d5c5d31-en&amp;_csp_=6a6aa038f2496de10696e78b24488941&amp;itemIGO=oecd&amp;itemContentType=book" TargetMode="External"/><Relationship Id="rId11" Type="http://schemas.openxmlformats.org/officeDocument/2006/relationships/hyperlink" Target="https://creativecommons.org/licenses/by/4.0/" TargetMode="External"/><Relationship Id="rId32" Type="http://schemas.openxmlformats.org/officeDocument/2006/relationships/header" Target="header8.xml"/><Relationship Id="rId37" Type="http://schemas.openxmlformats.org/officeDocument/2006/relationships/image" Target="media/image13.png"/><Relationship Id="rId53" Type="http://schemas.openxmlformats.org/officeDocument/2006/relationships/image" Target="media/image24.png"/><Relationship Id="rId58" Type="http://schemas.openxmlformats.org/officeDocument/2006/relationships/hyperlink" Target="https://www.abs.gov.au/census/2026-census-topic-review/overview-2026-census-topic-review" TargetMode="External"/><Relationship Id="rId74" Type="http://schemas.openxmlformats.org/officeDocument/2006/relationships/hyperlink" Target="https://federalfinancialrelations.gov.au/sites/federalfinancialrelations.gov.au/files/2023-02/cffr-termsoferference-2023.pdf" TargetMode="External"/><Relationship Id="rId79" Type="http://schemas.openxmlformats.org/officeDocument/2006/relationships/hyperlink" Target="https://webarchive.nla.gov.au/awa/20210121023449/https:/www.coag.gov.au/performance-reporting" TargetMode="External"/><Relationship Id="rId102" Type="http://schemas.openxmlformats.org/officeDocument/2006/relationships/hyperlink" Target="https://socialequity.unimelb.edu.au/research/the-weavers-project" TargetMode="External"/><Relationship Id="rId123" Type="http://schemas.openxmlformats.org/officeDocument/2006/relationships/hyperlink" Target="https://www.forgov.qld.gov.au/__data/assets/pdf_file/0017/183212/performance-management-framework-policy.pdf" TargetMode="External"/><Relationship Id="rId128" Type="http://schemas.openxmlformats.org/officeDocument/2006/relationships/hyperlink" Target="https://www.pc.gov.au/ongoing/report-on-government-services/what-works/dementia-support/dementia-support.pdf" TargetMode="External"/><Relationship Id="rId5" Type="http://schemas.openxmlformats.org/officeDocument/2006/relationships/footnotes" Target="footnotes.xml"/><Relationship Id="rId90" Type="http://schemas.openxmlformats.org/officeDocument/2006/relationships/hyperlink" Target="https://treasury.gov.au/sites/default/files/2023-07/measuring-what-matters-statement020230721_0.pdf" TargetMode="External"/><Relationship Id="rId95" Type="http://schemas.openxmlformats.org/officeDocument/2006/relationships/hyperlink" Target="https://oag.parliament.nz/2021/performance-reporting/docs/performance-reporting.pdf" TargetMode="External"/><Relationship Id="rId22" Type="http://schemas.openxmlformats.org/officeDocument/2006/relationships/header" Target="header5.xml"/><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hyperlink" Target="https://www.aihw.gov.au/family-domestic-and-sexual-violence/understanding-fdsv/what-is-fdsv/how-are-national-data-used-to-answer-questions-about-fdsv" TargetMode="External"/><Relationship Id="rId69" Type="http://schemas.openxmlformats.org/officeDocument/2006/relationships/hyperlink" Target="https://www.aihw.gov.au/reports/australias-health/australias-health-2024-data-insights/contents/about" TargetMode="External"/><Relationship Id="rId113" Type="http://schemas.openxmlformats.org/officeDocument/2006/relationships/hyperlink" Target="https://www.pc.gov.au/ongoing/report-on-government-services/what-works/child-protection/what-works-protecting-children.pdf" TargetMode="External"/><Relationship Id="rId118" Type="http://schemas.openxmlformats.org/officeDocument/2006/relationships/hyperlink" Target="https://www.pc.gov.au/ongoing/productivity-insights/bulletins/quarterly-bulletin-june-2024/bulletin-june-2024.pdf" TargetMode="External"/><Relationship Id="rId134" Type="http://schemas.openxmlformats.org/officeDocument/2006/relationships/hyperlink" Target="https://www.who.int/health-topics/social-determinants-of-health" TargetMode="External"/><Relationship Id="rId139" Type="http://schemas.openxmlformats.org/officeDocument/2006/relationships/fontTable" Target="fontTable.xml"/><Relationship Id="rId80" Type="http://schemas.openxmlformats.org/officeDocument/2006/relationships/hyperlink" Target="https://webarchive.nla.gov.au/awa/20140801015905/http:/www.coagreformcouncil.gov.au/about" TargetMode="External"/><Relationship Id="rId85" Type="http://schemas.openxmlformats.org/officeDocument/2006/relationships/hyperlink" Target="https://www.education.gov.au/recurrent-funding-schools/resources/heads-agreement" TargetMode="External"/><Relationship Id="rId12" Type="http://schemas.openxmlformats.org/officeDocument/2006/relationships/hyperlink" Target="http://www.pmc.gov.au/government/commonwealth-coat-arms" TargetMode="External"/><Relationship Id="rId17" Type="http://schemas.openxmlformats.org/officeDocument/2006/relationships/footer" Target="footer1.xml"/><Relationship Id="rId33" Type="http://schemas.openxmlformats.org/officeDocument/2006/relationships/footer" Target="footer7.xml"/><Relationship Id="rId38" Type="http://schemas.openxmlformats.org/officeDocument/2006/relationships/chart" Target="charts/chart1.xml"/><Relationship Id="rId59" Type="http://schemas.openxmlformats.org/officeDocument/2006/relationships/hyperlink" Target="https://www.abs.gov.au/about/data-services/data-integration/integrated-data/person-level-integrated-data-asset-plida" TargetMode="External"/><Relationship Id="rId103" Type="http://schemas.openxmlformats.org/officeDocument/2006/relationships/hyperlink" Target="https://www.ndda.gov.au/about/pilot-phase/pilot-findings/" TargetMode="External"/><Relationship Id="rId108" Type="http://schemas.openxmlformats.org/officeDocument/2006/relationships/hyperlink" Target="https://doi.org/10.1787/3d5c5d31-en" TargetMode="External"/><Relationship Id="rId124" Type="http://schemas.openxmlformats.org/officeDocument/2006/relationships/hyperlink" Target="https://parlinfo.aph.gov.au/parlInfo/download/committees/reportsen/RB000082/toc_pdf/Concussionsandrepeatedheadtraumaincontactsports.pdf" TargetMode="External"/><Relationship Id="rId129" Type="http://schemas.openxmlformats.org/officeDocument/2006/relationships/hyperlink" Target="https://www.pc.gov.au/ongoing/report-on-government-services" TargetMode="External"/><Relationship Id="rId54" Type="http://schemas.openxmlformats.org/officeDocument/2006/relationships/image" Target="media/image25.png"/><Relationship Id="rId70" Type="http://schemas.openxmlformats.org/officeDocument/2006/relationships/hyperlink" Target="https://www.anao.gov.au/work/insights/reporting-meaningful-performance-information" TargetMode="External"/><Relationship Id="rId75" Type="http://schemas.openxmlformats.org/officeDocument/2006/relationships/hyperlink" Target="https://www.cgc.gov.au/publications/state-snapshots/2024-state-snapshots" TargetMode="External"/><Relationship Id="rId91" Type="http://schemas.openxmlformats.org/officeDocument/2006/relationships/hyperlink" Target="https://www.dataanddigital.gov.au/strategy" TargetMode="External"/><Relationship Id="rId96" Type="http://schemas.openxmlformats.org/officeDocument/2006/relationships/hyperlink" Target="https://www.finance.gov.au/government/managing-commonwealth-resources/planning-and-reporting/commonwealth-performance-framework"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header" Target="header7.xml"/><Relationship Id="rId49" Type="http://schemas.openxmlformats.org/officeDocument/2006/relationships/header" Target="header10.xml"/><Relationship Id="rId114" Type="http://schemas.openxmlformats.org/officeDocument/2006/relationships/hyperlink" Target="https://performancedashboard.d61.io/" TargetMode="External"/><Relationship Id="rId119" Type="http://schemas.openxmlformats.org/officeDocument/2006/relationships/hyperlink" Target="https://www.pc.gov.au/closing-the-gap-data/dashboard" TargetMode="External"/><Relationship Id="rId44" Type="http://schemas.openxmlformats.org/officeDocument/2006/relationships/image" Target="media/image19.png"/><Relationship Id="rId60" Type="http://schemas.openxmlformats.org/officeDocument/2006/relationships/hyperlink" Target="https://www.abs.gov.au/about/data-services/data-integration/use-and-benefits/plidamadip-case-studies" TargetMode="External"/><Relationship Id="rId65" Type="http://schemas.openxmlformats.org/officeDocument/2006/relationships/hyperlink" Target="https://www.aihw.gov.au/reports/australias-health/social-determinants-of-health" TargetMode="External"/><Relationship Id="rId81" Type="http://schemas.openxmlformats.org/officeDocument/2006/relationships/hyperlink" Target="https://www.closingthegap.gov.au/sites/default/files/2022-09/ctg-national-agreement_apr-21-comm-infra-targets-updated-24-august-2022_0.pdf" TargetMode="External"/><Relationship Id="rId86" Type="http://schemas.openxmlformats.org/officeDocument/2006/relationships/hyperlink" Target="https://federalfinancialrelations.gov.au/sites/federalfinancialrelations.gov.au/files/2024-06/nashh-final.pdf" TargetMode="External"/><Relationship Id="rId130" Type="http://schemas.openxmlformats.org/officeDocument/2006/relationships/hyperlink" Target="https://www.pc.gov.au/ongoing/report-on-government-services/terms-of-reference" TargetMode="External"/><Relationship Id="rId135" Type="http://schemas.openxmlformats.org/officeDocument/2006/relationships/hyperlink" Target="https://www.ncver.edu.au/__data/assets/pdf_file/0046/9687295/The-student-journey-the-many-faces-of-completion-and-non-completion-in-VET.pdf" TargetMode="External"/><Relationship Id="rId13" Type="http://schemas.openxmlformats.org/officeDocument/2006/relationships/hyperlink" Target="mailto:media@treasury.gov.au" TargetMode="External"/><Relationship Id="rId18" Type="http://schemas.openxmlformats.org/officeDocument/2006/relationships/footer" Target="footer2.xml"/><Relationship Id="rId39" Type="http://schemas.openxmlformats.org/officeDocument/2006/relationships/image" Target="media/image14.png"/><Relationship Id="rId109" Type="http://schemas.openxmlformats.org/officeDocument/2006/relationships/hyperlink" Target="https://www.oecd-ilibrary.org/deliver/eccbbac2-en.pdf?itemId=%2Fcontent%2Fpublication%2Feccbbac2-en&amp;mimeType=pdf" TargetMode="External"/><Relationship Id="rId34" Type="http://schemas.openxmlformats.org/officeDocument/2006/relationships/image" Target="media/image12.png"/><Relationship Id="rId50" Type="http://schemas.openxmlformats.org/officeDocument/2006/relationships/footer" Target="footer9.xml"/><Relationship Id="rId55" Type="http://schemas.openxmlformats.org/officeDocument/2006/relationships/header" Target="header12.xml"/><Relationship Id="rId76" Type="http://schemas.openxmlformats.org/officeDocument/2006/relationships/hyperlink" Target="https://www.cgc.gov.au/about-gst-distribution" TargetMode="External"/><Relationship Id="rId97" Type="http://schemas.openxmlformats.org/officeDocument/2006/relationships/hyperlink" Target="https://www.digital.gov.au/policy/digital-experience" TargetMode="External"/><Relationship Id="rId104" Type="http://schemas.openxmlformats.org/officeDocument/2006/relationships/hyperlink" Target="https://www.treasury.nsw.gov.au/finance-resource/evaluation-policy-and-guidelines" TargetMode="External"/><Relationship Id="rId120" Type="http://schemas.openxmlformats.org/officeDocument/2006/relationships/hyperlink" Target="https://www.pc.gov.au/research/supporting/benchmarking-federal-systems/benchmarking-federal-systems.pdf" TargetMode="External"/><Relationship Id="rId125" Type="http://schemas.openxmlformats.org/officeDocument/2006/relationships/hyperlink" Target="https://www150.statcan.gc.ca/n1/pub/71-607-x/aviation-eng.htm" TargetMode="External"/><Relationship Id="rId7" Type="http://schemas.openxmlformats.org/officeDocument/2006/relationships/image" Target="media/image2.png"/><Relationship Id="rId71" Type="http://schemas.openxmlformats.org/officeDocument/2006/relationships/hyperlink" Target="https://www.health.gov.au/ministers/the-hon-mark-butler-mp/media/taking-action-on-smoking-and-vaping" TargetMode="External"/><Relationship Id="rId92" Type="http://schemas.openxmlformats.org/officeDocument/2006/relationships/hyperlink" Target="https://www.closingthegap.gov.au/joint-council-closing-gap" TargetMode="External"/><Relationship Id="rId2" Type="http://schemas.openxmlformats.org/officeDocument/2006/relationships/styles" Target="styles.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hyperlink" Target="https://www.aihw.gov.au/about-us/committees" TargetMode="External"/><Relationship Id="rId87" Type="http://schemas.openxmlformats.org/officeDocument/2006/relationships/hyperlink" Target="https://www.closingthegap.gov.au/partnership" TargetMode="External"/><Relationship Id="rId110" Type="http://schemas.openxmlformats.org/officeDocument/2006/relationships/hyperlink" Target="https://service-manual.ons.gov.uk/data-visualisation" TargetMode="External"/><Relationship Id="rId115" Type="http://schemas.openxmlformats.org/officeDocument/2006/relationships/hyperlink" Target="https://performancedashboard.d61.io/about" TargetMode="External"/><Relationship Id="rId131" Type="http://schemas.openxmlformats.org/officeDocument/2006/relationships/hyperlink" Target="https://www.susanmckinnon.org.au/wp-content/uploads/2024/04/SMF-John-Morony-Briefing-Deck-Aug23.pdf" TargetMode="External"/><Relationship Id="rId136" Type="http://schemas.openxmlformats.org/officeDocument/2006/relationships/hyperlink" Target="https://databank.worldbank.org/home.aspx?_gl=1*bamekk*_gcl_au*MTcyNjk1NjQ4OS4xNzI0Mjk5NzI2" TargetMode="External"/><Relationship Id="rId61" Type="http://schemas.openxmlformats.org/officeDocument/2006/relationships/hyperlink" Target="https://www.aihw.gov.au/getmedia/7c42913d-295f-4bc9-9c24-4e44eff4a04a/aihw-aus-221.pdf" TargetMode="External"/><Relationship Id="rId82" Type="http://schemas.openxmlformats.org/officeDocument/2006/relationships/hyperlink" Target="https://federation.gov.au/sites/default/files/about/agreements/iga-data-sharing-signed.pdf" TargetMode="Externa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header" Target="header9.xml"/><Relationship Id="rId56" Type="http://schemas.openxmlformats.org/officeDocument/2006/relationships/footer" Target="footer11.xml"/><Relationship Id="rId77" Type="http://schemas.openxmlformats.org/officeDocument/2006/relationships/hyperlink" Target="https://ministers.treasury.gov.au/ministers/jim-chalmers-2022/media-releases/measuring-what-matters-deliver-better-outcomes" TargetMode="External"/><Relationship Id="rId100" Type="http://schemas.openxmlformats.org/officeDocument/2006/relationships/hyperlink" Target="https://www.instituteforgovernment.org.uk/sites/default/files/2024-01/performance-tracker-2023.pdf" TargetMode="External"/><Relationship Id="rId105" Type="http://schemas.openxmlformats.org/officeDocument/2006/relationships/hyperlink" Target="https://www.dpi.nsw.gov.au/agriculture/lup/agriculture-data-for-planning/dashboard" TargetMode="External"/><Relationship Id="rId126" Type="http://schemas.openxmlformats.org/officeDocument/2006/relationships/hyperlink" Target="https://www.pc.gov.au/ongoing/report-on-government-services/1995/1995/1995.pdf" TargetMode="External"/><Relationship Id="rId8" Type="http://schemas.openxmlformats.org/officeDocument/2006/relationships/hyperlink" Target="https://creativecommons.org/licenses/by/4.0/" TargetMode="External"/><Relationship Id="rId51" Type="http://schemas.openxmlformats.org/officeDocument/2006/relationships/header" Target="header11.xml"/><Relationship Id="rId72" Type="http://schemas.openxmlformats.org/officeDocument/2006/relationships/hyperlink" Target="https://www.premier.vic.gov.au/making-best-practice-common-practice-education-state" TargetMode="External"/><Relationship Id="rId93" Type="http://schemas.openxmlformats.org/officeDocument/2006/relationships/hyperlink" Target="https://www.niaa.gov.au/sites/default/files/documents/2024-05/framework-governance-indigenous-data.pdf" TargetMode="External"/><Relationship Id="rId98" Type="http://schemas.openxmlformats.org/officeDocument/2006/relationships/hyperlink" Target="https://statements.qld.gov.au/statements/99622" TargetMode="External"/><Relationship Id="rId121" Type="http://schemas.openxmlformats.org/officeDocument/2006/relationships/hyperlink" Target="https://www.oecd.org/content/dam/oecd/en/publications/reports/2018/02/improving-the-performance-of-sub-national-governments-through-benchmarking-and-performance-reporting_9a91dc8f/ffff92c6-en.pdf" TargetMode="Externa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image" Target="media/image21.png"/><Relationship Id="rId67" Type="http://schemas.openxmlformats.org/officeDocument/2006/relationships/hyperlink" Target="https://www.aihw.gov.au/about-us/committees/maternal-and-perinatal-health/pmhp-gc" TargetMode="External"/><Relationship Id="rId116" Type="http://schemas.openxmlformats.org/officeDocument/2006/relationships/hyperlink" Target="https://performancedashboard.d61.io/about" TargetMode="External"/><Relationship Id="rId137" Type="http://schemas.openxmlformats.org/officeDocument/2006/relationships/header" Target="header13.xml"/><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hyperlink" Target="https://www.aihw.gov.au/about-our-data/our-data-collections/youth-justice" TargetMode="External"/><Relationship Id="rId83" Type="http://schemas.openxmlformats.org/officeDocument/2006/relationships/hyperlink" Target="https://federalfinancialrelations.gov.au/sites/federalfinancialrelations.gov.au/files/2022-11/intergovernmental-agreement-on-federal-financial-relations.pdf" TargetMode="External"/><Relationship Id="rId88" Type="http://schemas.openxmlformats.org/officeDocument/2006/relationships/hyperlink" Target="https://www.dataanddigital.gov.au/sites/default/files/2023-12/Data%20and%20Digital%20Government%20Strategy%20v1.0.pdf" TargetMode="External"/><Relationship Id="rId111" Type="http://schemas.openxmlformats.org/officeDocument/2006/relationships/hyperlink" Target="https://panda.org.au/panda-2021-annual-impact-report" TargetMode="External"/><Relationship Id="rId132" Type="http://schemas.openxmlformats.org/officeDocument/2006/relationships/hyperlink" Target="https://www.susanmckinnon.org.au/wp-content/uploads/2024/04/SMF-NSWHP-Briefing-Deck.pdf" TargetMode="External"/><Relationship Id="rId15" Type="http://schemas.openxmlformats.org/officeDocument/2006/relationships/header" Target="header2.xml"/><Relationship Id="rId36" Type="http://schemas.openxmlformats.org/officeDocument/2006/relationships/footer" Target="footer8.xml"/><Relationship Id="rId57" Type="http://schemas.openxmlformats.org/officeDocument/2006/relationships/hyperlink" Target="https://explore.data.abs.gov.au" TargetMode="External"/><Relationship Id="rId106" Type="http://schemas.openxmlformats.org/officeDocument/2006/relationships/hyperlink" Target="https://www.oecd.org/gov/digital-government/open-government-data.htm" TargetMode="External"/><Relationship Id="rId127" Type="http://schemas.openxmlformats.org/officeDocument/2006/relationships/hyperlink" Target="https://www.pc.gov.au/ongoing/report-on-government-services/1997/1997/1997v1.pdf" TargetMode="External"/><Relationship Id="rId10" Type="http://schemas.openxmlformats.org/officeDocument/2006/relationships/image" Target="media/image3.wmf"/><Relationship Id="rId31" Type="http://schemas.openxmlformats.org/officeDocument/2006/relationships/image" Target="media/image11.png"/><Relationship Id="rId52" Type="http://schemas.openxmlformats.org/officeDocument/2006/relationships/footer" Target="footer10.xml"/><Relationship Id="rId73" Type="http://schemas.openxmlformats.org/officeDocument/2006/relationships/hyperlink" Target="https://federalfinancialrelations.gov.au/federation-funding-agreements-framework" TargetMode="External"/><Relationship Id="rId78" Type="http://schemas.openxmlformats.org/officeDocument/2006/relationships/hyperlink" Target="https://web.archive.org.au/awa/20210121023257mp_/https:/www.coag.gov.au/sites/default/files/communique/communique-dec-2009.pdf" TargetMode="External"/><Relationship Id="rId94" Type="http://schemas.openxmlformats.org/officeDocument/2006/relationships/hyperlink" Target="https://oag.parliament.nz/2016/financial-reporting/docs/financial-reporting.pdf" TargetMode="External"/><Relationship Id="rId99" Type="http://schemas.openxmlformats.org/officeDocument/2006/relationships/hyperlink" Target="https://www.gov.uk/service-manual/measuring-success/data-you-must-publish" TargetMode="External"/><Relationship Id="rId101" Type="http://schemas.openxmlformats.org/officeDocument/2006/relationships/hyperlink" Target="https://www.pc.gov.au/ongoing/report-on-government-services/review-rogs-pif/independent-reference-group-report.pdf" TargetMode="External"/><Relationship Id="rId122" Type="http://schemas.openxmlformats.org/officeDocument/2006/relationships/hyperlink" Target="https://www.ccc.qld.gov.au/about/corruption/corruption-allegations-data-dashboard" TargetMode="Externa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26" Type="http://schemas.openxmlformats.org/officeDocument/2006/relationships/footer" Target="footer5.xml"/><Relationship Id="rId47" Type="http://schemas.openxmlformats.org/officeDocument/2006/relationships/image" Target="media/image22.png"/><Relationship Id="rId68" Type="http://schemas.openxmlformats.org/officeDocument/2006/relationships/hyperlink" Target="https://www.aihw.gov.au/about-us/committees/primary-health-care-advisory-committee" TargetMode="External"/><Relationship Id="rId89" Type="http://schemas.openxmlformats.org/officeDocument/2006/relationships/hyperlink" Target="https://treasury.gov.au/sites/default/files/2023-11/pc_statement_of_expectations.pdf" TargetMode="External"/><Relationship Id="rId112" Type="http://schemas.openxmlformats.org/officeDocument/2006/relationships/hyperlink" Target="https://www.pc.gov.au/ongoing/report-on-government-services/what-works" TargetMode="External"/><Relationship Id="rId133" Type="http://schemas.openxmlformats.org/officeDocument/2006/relationships/hyperlink" Target="https://evaluation.treasury.gov.au/about/about-australian-centre-evalu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bout/our-organisation/corporate-reporting/abs-corporate-plan/2024-25/forward-work-program"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8.jpg"/></Relationships>
</file>

<file path=word/_rels/header12.xml.rels><?xml version="1.0" encoding="UTF-8" standalone="yes"?>
<Relationships xmlns="http://schemas.openxmlformats.org/package/2006/relationships"><Relationship Id="rId1" Type="http://schemas.openxmlformats.org/officeDocument/2006/relationships/image" Target="media/image7.jpg"/></Relationships>
</file>

<file path=word/_rels/header1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[2024-10-21 ROGS media october graph .xlsx]Sheet4!PivotTable1</c:name>
    <c:fmtId val="-1"/>
  </c:pivotSource>
  <c:chart>
    <c:autoTitleDeleted val="0"/>
    <c:pivotFmts>
      <c:pivotFmt>
        <c:idx val="0"/>
        <c:spPr>
          <a:solidFill>
            <a:schemeClr val="accent1"/>
          </a:solidFill>
          <a:ln>
            <a:noFill/>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pPr>
            <a:solidFill>
              <a:schemeClr val="accent1"/>
            </a:solidFill>
            <a:ln w="9525">
              <a:solidFill>
                <a:schemeClr val="accent1"/>
              </a:solidFill>
            </a:ln>
            <a:effectLst/>
          </c:spPr>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Sheet4!$B$3:$B$4</c:f>
              <c:strCache>
                <c:ptCount val="1"/>
                <c:pt idx="0">
                  <c:v>Online</c:v>
                </c:pt>
              </c:strCache>
            </c:strRef>
          </c:tx>
          <c:spPr>
            <a:solidFill>
              <a:schemeClr val="accent1"/>
            </a:solidFill>
            <a:ln>
              <a:noFill/>
            </a:ln>
            <a:effectLst/>
          </c:spPr>
          <c:invertIfNegative val="0"/>
          <c:cat>
            <c:multiLvlStrRef>
              <c:f>Sheet4!$A$5:$A$44</c:f>
              <c:multiLvlStrCache>
                <c:ptCount val="1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lvl>
                <c:lvl>
                  <c:pt idx="0">
                    <c:v>2023</c:v>
                  </c:pt>
                  <c:pt idx="3">
                    <c:v>2024</c:v>
                  </c:pt>
                </c:lvl>
              </c:multiLvlStrCache>
            </c:multiLvlStrRef>
          </c:cat>
          <c:val>
            <c:numRef>
              <c:f>Sheet4!$B$5:$B$44</c:f>
              <c:numCache>
                <c:formatCode>General</c:formatCode>
                <c:ptCount val="13"/>
                <c:pt idx="0">
                  <c:v>2</c:v>
                </c:pt>
                <c:pt idx="1">
                  <c:v>5</c:v>
                </c:pt>
                <c:pt idx="2">
                  <c:v>6</c:v>
                </c:pt>
                <c:pt idx="3">
                  <c:v>64</c:v>
                </c:pt>
                <c:pt idx="4">
                  <c:v>108</c:v>
                </c:pt>
                <c:pt idx="5">
                  <c:v>23</c:v>
                </c:pt>
                <c:pt idx="6">
                  <c:v>12</c:v>
                </c:pt>
                <c:pt idx="7">
                  <c:v>27</c:v>
                </c:pt>
                <c:pt idx="8">
                  <c:v>4</c:v>
                </c:pt>
                <c:pt idx="9">
                  <c:v>15</c:v>
                </c:pt>
                <c:pt idx="10">
                  <c:v>5</c:v>
                </c:pt>
                <c:pt idx="11">
                  <c:v>12</c:v>
                </c:pt>
                <c:pt idx="12">
                  <c:v>3</c:v>
                </c:pt>
              </c:numCache>
            </c:numRef>
          </c:val>
          <c:extLst>
            <c:ext xmlns:c16="http://schemas.microsoft.com/office/drawing/2014/chart" uri="{C3380CC4-5D6E-409C-BE32-E72D297353CC}">
              <c16:uniqueId val="{00000000-C388-4C4C-87C3-2FB2889CDCDA}"/>
            </c:ext>
          </c:extLst>
        </c:ser>
        <c:ser>
          <c:idx val="1"/>
          <c:order val="1"/>
          <c:tx>
            <c:strRef>
              <c:f>Sheet4!$C$3:$C$4</c:f>
              <c:strCache>
                <c:ptCount val="1"/>
                <c:pt idx="0">
                  <c:v>Print</c:v>
                </c:pt>
              </c:strCache>
            </c:strRef>
          </c:tx>
          <c:spPr>
            <a:solidFill>
              <a:schemeClr val="accent2"/>
            </a:solidFill>
            <a:ln>
              <a:noFill/>
            </a:ln>
            <a:effectLst/>
          </c:spPr>
          <c:invertIfNegative val="0"/>
          <c:cat>
            <c:multiLvlStrRef>
              <c:f>Sheet4!$A$5:$A$44</c:f>
              <c:multiLvlStrCache>
                <c:ptCount val="1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lvl>
                <c:lvl>
                  <c:pt idx="0">
                    <c:v>2023</c:v>
                  </c:pt>
                  <c:pt idx="3">
                    <c:v>2024</c:v>
                  </c:pt>
                </c:lvl>
              </c:multiLvlStrCache>
            </c:multiLvlStrRef>
          </c:cat>
          <c:val>
            <c:numRef>
              <c:f>Sheet4!$C$5:$C$44</c:f>
              <c:numCache>
                <c:formatCode>General</c:formatCode>
                <c:ptCount val="13"/>
                <c:pt idx="3">
                  <c:v>23</c:v>
                </c:pt>
                <c:pt idx="4">
                  <c:v>57</c:v>
                </c:pt>
                <c:pt idx="5">
                  <c:v>13</c:v>
                </c:pt>
                <c:pt idx="6">
                  <c:v>5</c:v>
                </c:pt>
                <c:pt idx="7">
                  <c:v>15</c:v>
                </c:pt>
                <c:pt idx="8">
                  <c:v>3</c:v>
                </c:pt>
                <c:pt idx="9">
                  <c:v>2</c:v>
                </c:pt>
                <c:pt idx="10">
                  <c:v>1</c:v>
                </c:pt>
                <c:pt idx="11">
                  <c:v>1</c:v>
                </c:pt>
                <c:pt idx="12">
                  <c:v>1</c:v>
                </c:pt>
              </c:numCache>
            </c:numRef>
          </c:val>
          <c:extLst>
            <c:ext xmlns:c16="http://schemas.microsoft.com/office/drawing/2014/chart" uri="{C3380CC4-5D6E-409C-BE32-E72D297353CC}">
              <c16:uniqueId val="{00000001-C388-4C4C-87C3-2FB2889CDCDA}"/>
            </c:ext>
          </c:extLst>
        </c:ser>
        <c:ser>
          <c:idx val="2"/>
          <c:order val="2"/>
          <c:tx>
            <c:strRef>
              <c:f>Sheet4!$D$3:$D$4</c:f>
              <c:strCache>
                <c:ptCount val="1"/>
                <c:pt idx="0">
                  <c:v>Radio</c:v>
                </c:pt>
              </c:strCache>
            </c:strRef>
          </c:tx>
          <c:spPr>
            <a:solidFill>
              <a:schemeClr val="accent3"/>
            </a:solidFill>
            <a:ln>
              <a:noFill/>
            </a:ln>
            <a:effectLst/>
          </c:spPr>
          <c:invertIfNegative val="0"/>
          <c:cat>
            <c:multiLvlStrRef>
              <c:f>Sheet4!$A$5:$A$44</c:f>
              <c:multiLvlStrCache>
                <c:ptCount val="1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lvl>
                <c:lvl>
                  <c:pt idx="0">
                    <c:v>2023</c:v>
                  </c:pt>
                  <c:pt idx="3">
                    <c:v>2024</c:v>
                  </c:pt>
                </c:lvl>
              </c:multiLvlStrCache>
            </c:multiLvlStrRef>
          </c:cat>
          <c:val>
            <c:numRef>
              <c:f>Sheet4!$D$5:$D$44</c:f>
              <c:numCache>
                <c:formatCode>General</c:formatCode>
                <c:ptCount val="13"/>
                <c:pt idx="0">
                  <c:v>1</c:v>
                </c:pt>
                <c:pt idx="2">
                  <c:v>1</c:v>
                </c:pt>
                <c:pt idx="3">
                  <c:v>56</c:v>
                </c:pt>
                <c:pt idx="4">
                  <c:v>66</c:v>
                </c:pt>
                <c:pt idx="5">
                  <c:v>1</c:v>
                </c:pt>
                <c:pt idx="6">
                  <c:v>17</c:v>
                </c:pt>
                <c:pt idx="7">
                  <c:v>29</c:v>
                </c:pt>
                <c:pt idx="8">
                  <c:v>8</c:v>
                </c:pt>
                <c:pt idx="9">
                  <c:v>1</c:v>
                </c:pt>
                <c:pt idx="10">
                  <c:v>2</c:v>
                </c:pt>
                <c:pt idx="11">
                  <c:v>4</c:v>
                </c:pt>
                <c:pt idx="12">
                  <c:v>5</c:v>
                </c:pt>
              </c:numCache>
            </c:numRef>
          </c:val>
          <c:extLst>
            <c:ext xmlns:c16="http://schemas.microsoft.com/office/drawing/2014/chart" uri="{C3380CC4-5D6E-409C-BE32-E72D297353CC}">
              <c16:uniqueId val="{00000002-C388-4C4C-87C3-2FB2889CDCDA}"/>
            </c:ext>
          </c:extLst>
        </c:ser>
        <c:ser>
          <c:idx val="3"/>
          <c:order val="3"/>
          <c:tx>
            <c:strRef>
              <c:f>Sheet4!$E$3:$E$4</c:f>
              <c:strCache>
                <c:ptCount val="1"/>
                <c:pt idx="0">
                  <c:v>TV</c:v>
                </c:pt>
              </c:strCache>
            </c:strRef>
          </c:tx>
          <c:spPr>
            <a:solidFill>
              <a:schemeClr val="accent4"/>
            </a:solidFill>
            <a:ln>
              <a:noFill/>
            </a:ln>
            <a:effectLst/>
          </c:spPr>
          <c:invertIfNegative val="0"/>
          <c:cat>
            <c:multiLvlStrRef>
              <c:f>Sheet4!$A$5:$A$44</c:f>
              <c:multiLvlStrCache>
                <c:ptCount val="1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lvl>
                <c:lvl>
                  <c:pt idx="0">
                    <c:v>2023</c:v>
                  </c:pt>
                  <c:pt idx="3">
                    <c:v>2024</c:v>
                  </c:pt>
                </c:lvl>
              </c:multiLvlStrCache>
            </c:multiLvlStrRef>
          </c:cat>
          <c:val>
            <c:numRef>
              <c:f>Sheet4!$E$5:$E$44</c:f>
              <c:numCache>
                <c:formatCode>General</c:formatCode>
                <c:ptCount val="13"/>
                <c:pt idx="0">
                  <c:v>1</c:v>
                </c:pt>
                <c:pt idx="1">
                  <c:v>1</c:v>
                </c:pt>
                <c:pt idx="3">
                  <c:v>1</c:v>
                </c:pt>
                <c:pt idx="4">
                  <c:v>23</c:v>
                </c:pt>
                <c:pt idx="5">
                  <c:v>2</c:v>
                </c:pt>
                <c:pt idx="7">
                  <c:v>13</c:v>
                </c:pt>
                <c:pt idx="8">
                  <c:v>5</c:v>
                </c:pt>
                <c:pt idx="9">
                  <c:v>2</c:v>
                </c:pt>
                <c:pt idx="10">
                  <c:v>4</c:v>
                </c:pt>
                <c:pt idx="11">
                  <c:v>4</c:v>
                </c:pt>
              </c:numCache>
            </c:numRef>
          </c:val>
          <c:extLst>
            <c:ext xmlns:c16="http://schemas.microsoft.com/office/drawing/2014/chart" uri="{C3380CC4-5D6E-409C-BE32-E72D297353CC}">
              <c16:uniqueId val="{00000003-C388-4C4C-87C3-2FB2889CDCDA}"/>
            </c:ext>
          </c:extLst>
        </c:ser>
        <c:dLbls>
          <c:showLegendKey val="0"/>
          <c:showVal val="0"/>
          <c:showCatName val="0"/>
          <c:showSerName val="0"/>
          <c:showPercent val="0"/>
          <c:showBubbleSize val="0"/>
        </c:dLbls>
        <c:gapWidth val="150"/>
        <c:overlap val="100"/>
        <c:axId val="432880687"/>
        <c:axId val="432882607"/>
      </c:barChart>
      <c:catAx>
        <c:axId val="432880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2607"/>
        <c:crosses val="autoZero"/>
        <c:auto val="1"/>
        <c:lblAlgn val="ctr"/>
        <c:lblOffset val="100"/>
        <c:noMultiLvlLbl val="0"/>
      </c:catAx>
      <c:valAx>
        <c:axId val="4328826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mentions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806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28999</Words>
  <Characters>165295</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Final report: Review of the Report on Government Services and the Performance Reporting Dashboard</vt:lpstr>
    </vt:vector>
  </TitlesOfParts>
  <Company/>
  <LinksUpToDate>false</LinksUpToDate>
  <CharactersWithSpaces>193907</CharactersWithSpaces>
  <SharedDoc>false</SharedDoc>
  <HLinks>
    <vt:vector size="594" baseType="variant">
      <vt:variant>
        <vt:i4>655466</vt:i4>
      </vt:variant>
      <vt:variant>
        <vt:i4>819</vt:i4>
      </vt:variant>
      <vt:variant>
        <vt:i4>0</vt:i4>
      </vt:variant>
      <vt:variant>
        <vt:i4>5</vt:i4>
      </vt:variant>
      <vt:variant>
        <vt:lpwstr>https://databank.worldbank.org/home.aspx?_gl=1*bamekk*_gcl_au*MTcyNjk1NjQ4OS4xNzI0Mjk5NzI2</vt:lpwstr>
      </vt:variant>
      <vt:variant>
        <vt:lpwstr/>
      </vt:variant>
      <vt:variant>
        <vt:i4>5505139</vt:i4>
      </vt:variant>
      <vt:variant>
        <vt:i4>816</vt:i4>
      </vt:variant>
      <vt:variant>
        <vt:i4>0</vt:i4>
      </vt:variant>
      <vt:variant>
        <vt:i4>5</vt:i4>
      </vt:variant>
      <vt:variant>
        <vt:lpwstr>https://www.ncver.edu.au/__data/assets/pdf_file/0046/9687295/The-student-journey-the-many-faces-of-completion-and-non-completion-in-VET.pdf</vt:lpwstr>
      </vt:variant>
      <vt:variant>
        <vt:lpwstr/>
      </vt:variant>
      <vt:variant>
        <vt:i4>4587625</vt:i4>
      </vt:variant>
      <vt:variant>
        <vt:i4>813</vt:i4>
      </vt:variant>
      <vt:variant>
        <vt:i4>0</vt:i4>
      </vt:variant>
      <vt:variant>
        <vt:i4>5</vt:i4>
      </vt:variant>
      <vt:variant>
        <vt:lpwstr>https://www.who.int/health-topics/social-determinants-of-health</vt:lpwstr>
      </vt:variant>
      <vt:variant>
        <vt:lpwstr>tab=tab_1</vt:lpwstr>
      </vt:variant>
      <vt:variant>
        <vt:i4>3735649</vt:i4>
      </vt:variant>
      <vt:variant>
        <vt:i4>810</vt:i4>
      </vt:variant>
      <vt:variant>
        <vt:i4>0</vt:i4>
      </vt:variant>
      <vt:variant>
        <vt:i4>5</vt:i4>
      </vt:variant>
      <vt:variant>
        <vt:lpwstr>https://evaluation.treasury.gov.au/about/about-australian-centre-evaluation</vt:lpwstr>
      </vt:variant>
      <vt:variant>
        <vt:lpwstr/>
      </vt:variant>
      <vt:variant>
        <vt:i4>3211314</vt:i4>
      </vt:variant>
      <vt:variant>
        <vt:i4>807</vt:i4>
      </vt:variant>
      <vt:variant>
        <vt:i4>0</vt:i4>
      </vt:variant>
      <vt:variant>
        <vt:i4>5</vt:i4>
      </vt:variant>
      <vt:variant>
        <vt:lpwstr>https://www.susanmckinnon.org.au/wp-content/uploads/2024/04/SMF-NSWHP-Briefing-Deck.pdf</vt:lpwstr>
      </vt:variant>
      <vt:variant>
        <vt:lpwstr/>
      </vt:variant>
      <vt:variant>
        <vt:i4>3145784</vt:i4>
      </vt:variant>
      <vt:variant>
        <vt:i4>804</vt:i4>
      </vt:variant>
      <vt:variant>
        <vt:i4>0</vt:i4>
      </vt:variant>
      <vt:variant>
        <vt:i4>5</vt:i4>
      </vt:variant>
      <vt:variant>
        <vt:lpwstr>https://www.susanmckinnon.org.au/wp-content/uploads/2024/04/SMF-John-Morony-Briefing-Deck-Aug23.pdf</vt:lpwstr>
      </vt:variant>
      <vt:variant>
        <vt:lpwstr/>
      </vt:variant>
      <vt:variant>
        <vt:i4>7405664</vt:i4>
      </vt:variant>
      <vt:variant>
        <vt:i4>801</vt:i4>
      </vt:variant>
      <vt:variant>
        <vt:i4>0</vt:i4>
      </vt:variant>
      <vt:variant>
        <vt:i4>5</vt:i4>
      </vt:variant>
      <vt:variant>
        <vt:lpwstr>https://www.pc.gov.au/ongoing/report-on-government-services/terms-of-reference</vt:lpwstr>
      </vt:variant>
      <vt:variant>
        <vt:lpwstr/>
      </vt:variant>
      <vt:variant>
        <vt:i4>7340066</vt:i4>
      </vt:variant>
      <vt:variant>
        <vt:i4>798</vt:i4>
      </vt:variant>
      <vt:variant>
        <vt:i4>0</vt:i4>
      </vt:variant>
      <vt:variant>
        <vt:i4>5</vt:i4>
      </vt:variant>
      <vt:variant>
        <vt:lpwstr>https://www.pc.gov.au/ongoing/report-on-government-services</vt:lpwstr>
      </vt:variant>
      <vt:variant>
        <vt:lpwstr/>
      </vt:variant>
      <vt:variant>
        <vt:i4>5570642</vt:i4>
      </vt:variant>
      <vt:variant>
        <vt:i4>795</vt:i4>
      </vt:variant>
      <vt:variant>
        <vt:i4>0</vt:i4>
      </vt:variant>
      <vt:variant>
        <vt:i4>5</vt:i4>
      </vt:variant>
      <vt:variant>
        <vt:lpwstr>https://www.pc.gov.au/ongoing/report-on-government-services/what-works/dementia-support/dementia-support.pdf</vt:lpwstr>
      </vt:variant>
      <vt:variant>
        <vt:lpwstr/>
      </vt:variant>
      <vt:variant>
        <vt:i4>6225996</vt:i4>
      </vt:variant>
      <vt:variant>
        <vt:i4>792</vt:i4>
      </vt:variant>
      <vt:variant>
        <vt:i4>0</vt:i4>
      </vt:variant>
      <vt:variant>
        <vt:i4>5</vt:i4>
      </vt:variant>
      <vt:variant>
        <vt:lpwstr>https://www.pc.gov.au/ongoing/report-on-government-services/1997/1997/1997v1.pdf</vt:lpwstr>
      </vt:variant>
      <vt:variant>
        <vt:lpwstr/>
      </vt:variant>
      <vt:variant>
        <vt:i4>7209016</vt:i4>
      </vt:variant>
      <vt:variant>
        <vt:i4>789</vt:i4>
      </vt:variant>
      <vt:variant>
        <vt:i4>0</vt:i4>
      </vt:variant>
      <vt:variant>
        <vt:i4>5</vt:i4>
      </vt:variant>
      <vt:variant>
        <vt:lpwstr>https://www.pc.gov.au/ongoing/report-on-government-services/1995/1995/1995.pdf</vt:lpwstr>
      </vt:variant>
      <vt:variant>
        <vt:lpwstr/>
      </vt:variant>
      <vt:variant>
        <vt:i4>589898</vt:i4>
      </vt:variant>
      <vt:variant>
        <vt:i4>786</vt:i4>
      </vt:variant>
      <vt:variant>
        <vt:i4>0</vt:i4>
      </vt:variant>
      <vt:variant>
        <vt:i4>5</vt:i4>
      </vt:variant>
      <vt:variant>
        <vt:lpwstr>https://www150.statcan.gc.ca/n1/pub/71-607-x/aviation-eng.htm</vt:lpwstr>
      </vt:variant>
      <vt:variant>
        <vt:lpwstr/>
      </vt:variant>
      <vt:variant>
        <vt:i4>5963875</vt:i4>
      </vt:variant>
      <vt:variant>
        <vt:i4>783</vt:i4>
      </vt:variant>
      <vt:variant>
        <vt:i4>0</vt:i4>
      </vt:variant>
      <vt:variant>
        <vt:i4>5</vt:i4>
      </vt:variant>
      <vt:variant>
        <vt:lpwstr>https://parlinfo.aph.gov.au/parlInfo/download/committees/reportsen/RB000082/toc_pdf/Concussionsandrepeatedheadtraumaincontactsports.pdf</vt:lpwstr>
      </vt:variant>
      <vt:variant>
        <vt:lpwstr/>
      </vt:variant>
      <vt:variant>
        <vt:i4>5505079</vt:i4>
      </vt:variant>
      <vt:variant>
        <vt:i4>780</vt:i4>
      </vt:variant>
      <vt:variant>
        <vt:i4>0</vt:i4>
      </vt:variant>
      <vt:variant>
        <vt:i4>5</vt:i4>
      </vt:variant>
      <vt:variant>
        <vt:lpwstr>https://www.forgov.qld.gov.au/__data/assets/pdf_file/0017/183212/performance-management-framework-policy.pdf</vt:lpwstr>
      </vt:variant>
      <vt:variant>
        <vt:lpwstr/>
      </vt:variant>
      <vt:variant>
        <vt:i4>1572956</vt:i4>
      </vt:variant>
      <vt:variant>
        <vt:i4>777</vt:i4>
      </vt:variant>
      <vt:variant>
        <vt:i4>0</vt:i4>
      </vt:variant>
      <vt:variant>
        <vt:i4>5</vt:i4>
      </vt:variant>
      <vt:variant>
        <vt:lpwstr>https://www.ccc.qld.gov.au/about/corruption/corruption-allegations-data-dashboard</vt:lpwstr>
      </vt:variant>
      <vt:variant>
        <vt:lpwstr/>
      </vt:variant>
      <vt:variant>
        <vt:i4>3670102</vt:i4>
      </vt:variant>
      <vt:variant>
        <vt:i4>774</vt:i4>
      </vt:variant>
      <vt:variant>
        <vt:i4>0</vt:i4>
      </vt:variant>
      <vt:variant>
        <vt:i4>5</vt:i4>
      </vt:variant>
      <vt:variant>
        <vt:lpwstr>https://www.oecd.org/content/dam/oecd/en/publications/reports/2018/02/improving-the-performance-of-sub-national-governments-through-benchmarking-and-performance-reporting_9a91dc8f/ffff92c6-en.pdf</vt:lpwstr>
      </vt:variant>
      <vt:variant>
        <vt:lpwstr/>
      </vt:variant>
      <vt:variant>
        <vt:i4>6357052</vt:i4>
      </vt:variant>
      <vt:variant>
        <vt:i4>771</vt:i4>
      </vt:variant>
      <vt:variant>
        <vt:i4>0</vt:i4>
      </vt:variant>
      <vt:variant>
        <vt:i4>5</vt:i4>
      </vt:variant>
      <vt:variant>
        <vt:lpwstr>https://www.pc.gov.au/research/supporting/benchmarking-federal-systems/benchmarking-federal-systems.pdf</vt:lpwstr>
      </vt:variant>
      <vt:variant>
        <vt:lpwstr/>
      </vt:variant>
      <vt:variant>
        <vt:i4>5308421</vt:i4>
      </vt:variant>
      <vt:variant>
        <vt:i4>768</vt:i4>
      </vt:variant>
      <vt:variant>
        <vt:i4>0</vt:i4>
      </vt:variant>
      <vt:variant>
        <vt:i4>5</vt:i4>
      </vt:variant>
      <vt:variant>
        <vt:lpwstr>https://www.pc.gov.au/closing-the-gap-data/dashboard</vt:lpwstr>
      </vt:variant>
      <vt:variant>
        <vt:lpwstr/>
      </vt:variant>
      <vt:variant>
        <vt:i4>4849745</vt:i4>
      </vt:variant>
      <vt:variant>
        <vt:i4>765</vt:i4>
      </vt:variant>
      <vt:variant>
        <vt:i4>0</vt:i4>
      </vt:variant>
      <vt:variant>
        <vt:i4>5</vt:i4>
      </vt:variant>
      <vt:variant>
        <vt:lpwstr>https://www.pc.gov.au/ongoing/productivity-insights/bulletins/quarterly-bulletin-june-2024/bulletin-june-2024.pdf</vt:lpwstr>
      </vt:variant>
      <vt:variant>
        <vt:lpwstr/>
      </vt:variant>
      <vt:variant>
        <vt:i4>1769482</vt:i4>
      </vt:variant>
      <vt:variant>
        <vt:i4>762</vt:i4>
      </vt:variant>
      <vt:variant>
        <vt:i4>0</vt:i4>
      </vt:variant>
      <vt:variant>
        <vt:i4>5</vt:i4>
      </vt:variant>
      <vt:variant>
        <vt:lpwstr>https://www.pc.gov.au/inquiries/completed/productivity/report</vt:lpwstr>
      </vt:variant>
      <vt:variant>
        <vt:lpwstr/>
      </vt:variant>
      <vt:variant>
        <vt:i4>1441800</vt:i4>
      </vt:variant>
      <vt:variant>
        <vt:i4>759</vt:i4>
      </vt:variant>
      <vt:variant>
        <vt:i4>0</vt:i4>
      </vt:variant>
      <vt:variant>
        <vt:i4>5</vt:i4>
      </vt:variant>
      <vt:variant>
        <vt:lpwstr>https://performancedashboard.d61.io/about</vt:lpwstr>
      </vt:variant>
      <vt:variant>
        <vt:lpwstr/>
      </vt:variant>
      <vt:variant>
        <vt:i4>1441800</vt:i4>
      </vt:variant>
      <vt:variant>
        <vt:i4>756</vt:i4>
      </vt:variant>
      <vt:variant>
        <vt:i4>0</vt:i4>
      </vt:variant>
      <vt:variant>
        <vt:i4>5</vt:i4>
      </vt:variant>
      <vt:variant>
        <vt:lpwstr>https://performancedashboard.d61.io/about</vt:lpwstr>
      </vt:variant>
      <vt:variant>
        <vt:lpwstr/>
      </vt:variant>
      <vt:variant>
        <vt:i4>65542</vt:i4>
      </vt:variant>
      <vt:variant>
        <vt:i4>753</vt:i4>
      </vt:variant>
      <vt:variant>
        <vt:i4>0</vt:i4>
      </vt:variant>
      <vt:variant>
        <vt:i4>5</vt:i4>
      </vt:variant>
      <vt:variant>
        <vt:lpwstr>https://performancedashboard.d61.io/</vt:lpwstr>
      </vt:variant>
      <vt:variant>
        <vt:lpwstr/>
      </vt:variant>
      <vt:variant>
        <vt:i4>3932210</vt:i4>
      </vt:variant>
      <vt:variant>
        <vt:i4>750</vt:i4>
      </vt:variant>
      <vt:variant>
        <vt:i4>0</vt:i4>
      </vt:variant>
      <vt:variant>
        <vt:i4>5</vt:i4>
      </vt:variant>
      <vt:variant>
        <vt:lpwstr>https://www.pc.gov.au/ongoing/report-on-government-services/what-works/child-protection/what-works-protecting-children.pdf</vt:lpwstr>
      </vt:variant>
      <vt:variant>
        <vt:lpwstr/>
      </vt:variant>
      <vt:variant>
        <vt:i4>3473518</vt:i4>
      </vt:variant>
      <vt:variant>
        <vt:i4>747</vt:i4>
      </vt:variant>
      <vt:variant>
        <vt:i4>0</vt:i4>
      </vt:variant>
      <vt:variant>
        <vt:i4>5</vt:i4>
      </vt:variant>
      <vt:variant>
        <vt:lpwstr>https://www.pc.gov.au/ongoing/report-on-government-services/what-works</vt:lpwstr>
      </vt:variant>
      <vt:variant>
        <vt:lpwstr/>
      </vt:variant>
      <vt:variant>
        <vt:i4>2031643</vt:i4>
      </vt:variant>
      <vt:variant>
        <vt:i4>744</vt:i4>
      </vt:variant>
      <vt:variant>
        <vt:i4>0</vt:i4>
      </vt:variant>
      <vt:variant>
        <vt:i4>5</vt:i4>
      </vt:variant>
      <vt:variant>
        <vt:lpwstr>https://panda.org.au/panda-2021-annual-impact-report</vt:lpwstr>
      </vt:variant>
      <vt:variant>
        <vt:lpwstr/>
      </vt:variant>
      <vt:variant>
        <vt:i4>524366</vt:i4>
      </vt:variant>
      <vt:variant>
        <vt:i4>741</vt:i4>
      </vt:variant>
      <vt:variant>
        <vt:i4>0</vt:i4>
      </vt:variant>
      <vt:variant>
        <vt:i4>5</vt:i4>
      </vt:variant>
      <vt:variant>
        <vt:lpwstr>https://service-manual.ons.gov.uk/data-visualisation</vt:lpwstr>
      </vt:variant>
      <vt:variant>
        <vt:lpwstr/>
      </vt:variant>
      <vt:variant>
        <vt:i4>196691</vt:i4>
      </vt:variant>
      <vt:variant>
        <vt:i4>738</vt:i4>
      </vt:variant>
      <vt:variant>
        <vt:i4>0</vt:i4>
      </vt:variant>
      <vt:variant>
        <vt:i4>5</vt:i4>
      </vt:variant>
      <vt:variant>
        <vt:lpwstr>https://www.oecd-ilibrary.org/deliver/eccbbac2-en.pdf?itemId=%2Fcontent%2Fpublication%2Feccbbac2-en&amp;mimeType=pdf</vt:lpwstr>
      </vt:variant>
      <vt:variant>
        <vt:lpwstr/>
      </vt:variant>
      <vt:variant>
        <vt:i4>2883703</vt:i4>
      </vt:variant>
      <vt:variant>
        <vt:i4>735</vt:i4>
      </vt:variant>
      <vt:variant>
        <vt:i4>0</vt:i4>
      </vt:variant>
      <vt:variant>
        <vt:i4>5</vt:i4>
      </vt:variant>
      <vt:variant>
        <vt:lpwstr>https://doi.org/10.1787/3d5c5d31-en</vt:lpwstr>
      </vt:variant>
      <vt:variant>
        <vt:lpwstr/>
      </vt:variant>
      <vt:variant>
        <vt:i4>3997795</vt:i4>
      </vt:variant>
      <vt:variant>
        <vt:i4>732</vt:i4>
      </vt:variant>
      <vt:variant>
        <vt:i4>0</vt:i4>
      </vt:variant>
      <vt:variant>
        <vt:i4>5</vt:i4>
      </vt:variant>
      <vt:variant>
        <vt:lpwstr>https://www.oecd-ilibrary.org/sites/3d5c5d31-en/1/3/3/1/index.html?itemId=/content/publication/3d5c5d31-en&amp;_csp_=6a6aa038f2496de10696e78b24488941&amp;itemIGO=oecd&amp;itemContentType=book</vt:lpwstr>
      </vt:variant>
      <vt:variant>
        <vt:lpwstr/>
      </vt:variant>
      <vt:variant>
        <vt:i4>5374046</vt:i4>
      </vt:variant>
      <vt:variant>
        <vt:i4>729</vt:i4>
      </vt:variant>
      <vt:variant>
        <vt:i4>0</vt:i4>
      </vt:variant>
      <vt:variant>
        <vt:i4>5</vt:i4>
      </vt:variant>
      <vt:variant>
        <vt:lpwstr>https://www.oecd.org/gov/digital-government/open-government-data.htm</vt:lpwstr>
      </vt:variant>
      <vt:variant>
        <vt:lpwstr/>
      </vt:variant>
      <vt:variant>
        <vt:i4>6291565</vt:i4>
      </vt:variant>
      <vt:variant>
        <vt:i4>726</vt:i4>
      </vt:variant>
      <vt:variant>
        <vt:i4>0</vt:i4>
      </vt:variant>
      <vt:variant>
        <vt:i4>5</vt:i4>
      </vt:variant>
      <vt:variant>
        <vt:lpwstr>https://www.dpi.nsw.gov.au/agriculture/lup/agriculture-data-for-planning/dashboard</vt:lpwstr>
      </vt:variant>
      <vt:variant>
        <vt:lpwstr/>
      </vt:variant>
      <vt:variant>
        <vt:i4>1048658</vt:i4>
      </vt:variant>
      <vt:variant>
        <vt:i4>723</vt:i4>
      </vt:variant>
      <vt:variant>
        <vt:i4>0</vt:i4>
      </vt:variant>
      <vt:variant>
        <vt:i4>5</vt:i4>
      </vt:variant>
      <vt:variant>
        <vt:lpwstr>https://www.treasury.nsw.gov.au/finance-resource/evaluation-policy-and-guidelines</vt:lpwstr>
      </vt:variant>
      <vt:variant>
        <vt:lpwstr/>
      </vt:variant>
      <vt:variant>
        <vt:i4>917592</vt:i4>
      </vt:variant>
      <vt:variant>
        <vt:i4>720</vt:i4>
      </vt:variant>
      <vt:variant>
        <vt:i4>0</vt:i4>
      </vt:variant>
      <vt:variant>
        <vt:i4>5</vt:i4>
      </vt:variant>
      <vt:variant>
        <vt:lpwstr>https://www.ndda.gov.au/about/pilot-phase/pilot-findings/</vt:lpwstr>
      </vt:variant>
      <vt:variant>
        <vt:lpwstr/>
      </vt:variant>
      <vt:variant>
        <vt:i4>7012387</vt:i4>
      </vt:variant>
      <vt:variant>
        <vt:i4>717</vt:i4>
      </vt:variant>
      <vt:variant>
        <vt:i4>0</vt:i4>
      </vt:variant>
      <vt:variant>
        <vt:i4>5</vt:i4>
      </vt:variant>
      <vt:variant>
        <vt:lpwstr>https://socialequity.unimelb.edu.au/research/the-weavers-project</vt:lpwstr>
      </vt:variant>
      <vt:variant>
        <vt:lpwstr>:~:text=The%20WEAVERs%20are%20a%20panel%20of%20survivors%20of%20violence%20against%20women.&amp;text=The%20WEAVERs%20are%20a%20group,at%20the%20University%20of%20Melbourne</vt:lpwstr>
      </vt:variant>
      <vt:variant>
        <vt:i4>7995450</vt:i4>
      </vt:variant>
      <vt:variant>
        <vt:i4>714</vt:i4>
      </vt:variant>
      <vt:variant>
        <vt:i4>0</vt:i4>
      </vt:variant>
      <vt:variant>
        <vt:i4>5</vt:i4>
      </vt:variant>
      <vt:variant>
        <vt:lpwstr>https://www.pc.gov.au/ongoing/report-on-government-services/review-rogs-pif/independent-reference-group-report.pdf</vt:lpwstr>
      </vt:variant>
      <vt:variant>
        <vt:lpwstr/>
      </vt:variant>
      <vt:variant>
        <vt:i4>3080298</vt:i4>
      </vt:variant>
      <vt:variant>
        <vt:i4>711</vt:i4>
      </vt:variant>
      <vt:variant>
        <vt:i4>0</vt:i4>
      </vt:variant>
      <vt:variant>
        <vt:i4>5</vt:i4>
      </vt:variant>
      <vt:variant>
        <vt:lpwstr>https://www.instituteforgovernment.org.uk/sites/default/files/2024-01/performance-tracker-2023.pdf</vt:lpwstr>
      </vt:variant>
      <vt:variant>
        <vt:lpwstr/>
      </vt:variant>
      <vt:variant>
        <vt:i4>5177353</vt:i4>
      </vt:variant>
      <vt:variant>
        <vt:i4>708</vt:i4>
      </vt:variant>
      <vt:variant>
        <vt:i4>0</vt:i4>
      </vt:variant>
      <vt:variant>
        <vt:i4>5</vt:i4>
      </vt:variant>
      <vt:variant>
        <vt:lpwstr>https://www.gov.uk/service-manual/measuring-success/data-you-must-publish</vt:lpwstr>
      </vt:variant>
      <vt:variant>
        <vt:lpwstr>:~:text=The%20Performance%20Platform%20was%20a,Platform%20on%2015%20March%202021</vt:lpwstr>
      </vt:variant>
      <vt:variant>
        <vt:i4>6684732</vt:i4>
      </vt:variant>
      <vt:variant>
        <vt:i4>705</vt:i4>
      </vt:variant>
      <vt:variant>
        <vt:i4>0</vt:i4>
      </vt:variant>
      <vt:variant>
        <vt:i4>5</vt:i4>
      </vt:variant>
      <vt:variant>
        <vt:lpwstr>https://statements.qld.gov.au/statements/99622</vt:lpwstr>
      </vt:variant>
      <vt:variant>
        <vt:lpwstr/>
      </vt:variant>
      <vt:variant>
        <vt:i4>5242881</vt:i4>
      </vt:variant>
      <vt:variant>
        <vt:i4>702</vt:i4>
      </vt:variant>
      <vt:variant>
        <vt:i4>0</vt:i4>
      </vt:variant>
      <vt:variant>
        <vt:i4>5</vt:i4>
      </vt:variant>
      <vt:variant>
        <vt:lpwstr>https://www.digital.gov.au/policy/digital-experience</vt:lpwstr>
      </vt:variant>
      <vt:variant>
        <vt:lpwstr/>
      </vt:variant>
      <vt:variant>
        <vt:i4>7929964</vt:i4>
      </vt:variant>
      <vt:variant>
        <vt:i4>699</vt:i4>
      </vt:variant>
      <vt:variant>
        <vt:i4>0</vt:i4>
      </vt:variant>
      <vt:variant>
        <vt:i4>5</vt:i4>
      </vt:variant>
      <vt:variant>
        <vt:lpwstr>https://www.finance.gov.au/government/managing-commonwealth-resources/planning-and-reporting/commonwealth-performance-framework</vt:lpwstr>
      </vt:variant>
      <vt:variant>
        <vt:lpwstr/>
      </vt:variant>
      <vt:variant>
        <vt:i4>3801123</vt:i4>
      </vt:variant>
      <vt:variant>
        <vt:i4>696</vt:i4>
      </vt:variant>
      <vt:variant>
        <vt:i4>0</vt:i4>
      </vt:variant>
      <vt:variant>
        <vt:i4>5</vt:i4>
      </vt:variant>
      <vt:variant>
        <vt:lpwstr>https://oag.parliament.nz/2021/performance-reporting/docs/performance-reporting.pdf</vt:lpwstr>
      </vt:variant>
      <vt:variant>
        <vt:lpwstr/>
      </vt:variant>
      <vt:variant>
        <vt:i4>2883633</vt:i4>
      </vt:variant>
      <vt:variant>
        <vt:i4>693</vt:i4>
      </vt:variant>
      <vt:variant>
        <vt:i4>0</vt:i4>
      </vt:variant>
      <vt:variant>
        <vt:i4>5</vt:i4>
      </vt:variant>
      <vt:variant>
        <vt:lpwstr>https://oag.parliament.nz/2016/financial-reporting/docs/financial-reporting.pdf</vt:lpwstr>
      </vt:variant>
      <vt:variant>
        <vt:lpwstr/>
      </vt:variant>
      <vt:variant>
        <vt:i4>7667770</vt:i4>
      </vt:variant>
      <vt:variant>
        <vt:i4>690</vt:i4>
      </vt:variant>
      <vt:variant>
        <vt:i4>0</vt:i4>
      </vt:variant>
      <vt:variant>
        <vt:i4>5</vt:i4>
      </vt:variant>
      <vt:variant>
        <vt:lpwstr>https://www.niaa.gov.au/sites/default/files/documents/2024-05/framework-governance-indigenous-data.pdf</vt:lpwstr>
      </vt:variant>
      <vt:variant>
        <vt:lpwstr/>
      </vt:variant>
      <vt:variant>
        <vt:i4>2621494</vt:i4>
      </vt:variant>
      <vt:variant>
        <vt:i4>687</vt:i4>
      </vt:variant>
      <vt:variant>
        <vt:i4>0</vt:i4>
      </vt:variant>
      <vt:variant>
        <vt:i4>5</vt:i4>
      </vt:variant>
      <vt:variant>
        <vt:lpwstr>https://www.closingthegap.gov.au/joint-council-closing-gap</vt:lpwstr>
      </vt:variant>
      <vt:variant>
        <vt:lpwstr/>
      </vt:variant>
      <vt:variant>
        <vt:i4>7012412</vt:i4>
      </vt:variant>
      <vt:variant>
        <vt:i4>684</vt:i4>
      </vt:variant>
      <vt:variant>
        <vt:i4>0</vt:i4>
      </vt:variant>
      <vt:variant>
        <vt:i4>5</vt:i4>
      </vt:variant>
      <vt:variant>
        <vt:lpwstr>https://www.dataanddigital.gov.au/strategy</vt:lpwstr>
      </vt:variant>
      <vt:variant>
        <vt:lpwstr/>
      </vt:variant>
      <vt:variant>
        <vt:i4>5177390</vt:i4>
      </vt:variant>
      <vt:variant>
        <vt:i4>681</vt:i4>
      </vt:variant>
      <vt:variant>
        <vt:i4>0</vt:i4>
      </vt:variant>
      <vt:variant>
        <vt:i4>5</vt:i4>
      </vt:variant>
      <vt:variant>
        <vt:lpwstr>https://treasury.gov.au/sites/default/files/2023-07/measuring-what-matters-statement020230721_0.pdf</vt:lpwstr>
      </vt:variant>
      <vt:variant>
        <vt:lpwstr/>
      </vt:variant>
      <vt:variant>
        <vt:i4>2686999</vt:i4>
      </vt:variant>
      <vt:variant>
        <vt:i4>678</vt:i4>
      </vt:variant>
      <vt:variant>
        <vt:i4>0</vt:i4>
      </vt:variant>
      <vt:variant>
        <vt:i4>5</vt:i4>
      </vt:variant>
      <vt:variant>
        <vt:lpwstr>https://treasury.gov.au/sites/default/files/2023-11/pc_statement_of_expectations.pdf</vt:lpwstr>
      </vt:variant>
      <vt:variant>
        <vt:lpwstr/>
      </vt:variant>
      <vt:variant>
        <vt:i4>8192054</vt:i4>
      </vt:variant>
      <vt:variant>
        <vt:i4>675</vt:i4>
      </vt:variant>
      <vt:variant>
        <vt:i4>0</vt:i4>
      </vt:variant>
      <vt:variant>
        <vt:i4>5</vt:i4>
      </vt:variant>
      <vt:variant>
        <vt:lpwstr>https://www.dataanddigital.gov.au/sites/default/files/2023-12/Data and Digital Government Strategy v1.0.pdf</vt:lpwstr>
      </vt:variant>
      <vt:variant>
        <vt:lpwstr/>
      </vt:variant>
      <vt:variant>
        <vt:i4>5570568</vt:i4>
      </vt:variant>
      <vt:variant>
        <vt:i4>672</vt:i4>
      </vt:variant>
      <vt:variant>
        <vt:i4>0</vt:i4>
      </vt:variant>
      <vt:variant>
        <vt:i4>5</vt:i4>
      </vt:variant>
      <vt:variant>
        <vt:lpwstr>https://www.closingthegap.gov.au/partnership</vt:lpwstr>
      </vt:variant>
      <vt:variant>
        <vt:lpwstr/>
      </vt:variant>
      <vt:variant>
        <vt:i4>2031684</vt:i4>
      </vt:variant>
      <vt:variant>
        <vt:i4>669</vt:i4>
      </vt:variant>
      <vt:variant>
        <vt:i4>0</vt:i4>
      </vt:variant>
      <vt:variant>
        <vt:i4>5</vt:i4>
      </vt:variant>
      <vt:variant>
        <vt:lpwstr>https://federalfinancialrelations.gov.au/sites/federalfinancialrelations.gov.au/files/2024-06/nashh-final.pdf</vt:lpwstr>
      </vt:variant>
      <vt:variant>
        <vt:lpwstr/>
      </vt:variant>
      <vt:variant>
        <vt:i4>4456522</vt:i4>
      </vt:variant>
      <vt:variant>
        <vt:i4>666</vt:i4>
      </vt:variant>
      <vt:variant>
        <vt:i4>0</vt:i4>
      </vt:variant>
      <vt:variant>
        <vt:i4>5</vt:i4>
      </vt:variant>
      <vt:variant>
        <vt:lpwstr>https://www.education.gov.au/recurrent-funding-schools/resources/heads-agreement</vt:lpwstr>
      </vt:variant>
      <vt:variant>
        <vt:lpwstr/>
      </vt:variant>
      <vt:variant>
        <vt:i4>7143492</vt:i4>
      </vt:variant>
      <vt:variant>
        <vt:i4>663</vt:i4>
      </vt:variant>
      <vt:variant>
        <vt:i4>0</vt:i4>
      </vt:variant>
      <vt:variant>
        <vt:i4>5</vt:i4>
      </vt:variant>
      <vt:variant>
        <vt:lpwstr>https://www.finance.gov.au/sites/default/files/2024-05/signed-mdsa_all.pdf</vt:lpwstr>
      </vt:variant>
      <vt:variant>
        <vt:lpwstr/>
      </vt:variant>
      <vt:variant>
        <vt:i4>262227</vt:i4>
      </vt:variant>
      <vt:variant>
        <vt:i4>660</vt:i4>
      </vt:variant>
      <vt:variant>
        <vt:i4>0</vt:i4>
      </vt:variant>
      <vt:variant>
        <vt:i4>5</vt:i4>
      </vt:variant>
      <vt:variant>
        <vt:lpwstr>https://federalfinancialrelations.gov.au/sites/federalfinancialrelations.gov.au/files/2022-11/intergovernmental-agreement-on-federal-financial-relations.pdf</vt:lpwstr>
      </vt:variant>
      <vt:variant>
        <vt:lpwstr/>
      </vt:variant>
      <vt:variant>
        <vt:i4>3932256</vt:i4>
      </vt:variant>
      <vt:variant>
        <vt:i4>657</vt:i4>
      </vt:variant>
      <vt:variant>
        <vt:i4>0</vt:i4>
      </vt:variant>
      <vt:variant>
        <vt:i4>5</vt:i4>
      </vt:variant>
      <vt:variant>
        <vt:lpwstr>https://federation.gov.au/sites/default/files/about/agreements/iga-data-sharing-signed.pdf</vt:lpwstr>
      </vt:variant>
      <vt:variant>
        <vt:lpwstr/>
      </vt:variant>
      <vt:variant>
        <vt:i4>1703939</vt:i4>
      </vt:variant>
      <vt:variant>
        <vt:i4>654</vt:i4>
      </vt:variant>
      <vt:variant>
        <vt:i4>0</vt:i4>
      </vt:variant>
      <vt:variant>
        <vt:i4>5</vt:i4>
      </vt:variant>
      <vt:variant>
        <vt:lpwstr>https://www.closingthegap.gov.au/sites/default/files/2022-09/ctg-national-agreement_apr-21-comm-infra-targets-updated-24-august-2022_0.pdf</vt:lpwstr>
      </vt:variant>
      <vt:variant>
        <vt:lpwstr/>
      </vt:variant>
      <vt:variant>
        <vt:i4>5308441</vt:i4>
      </vt:variant>
      <vt:variant>
        <vt:i4>651</vt:i4>
      </vt:variant>
      <vt:variant>
        <vt:i4>0</vt:i4>
      </vt:variant>
      <vt:variant>
        <vt:i4>5</vt:i4>
      </vt:variant>
      <vt:variant>
        <vt:lpwstr>https://webarchive.nla.gov.au/awa/20140801015905/http:/www.coagreformcouncil.gov.au/about</vt:lpwstr>
      </vt:variant>
      <vt:variant>
        <vt:lpwstr/>
      </vt:variant>
      <vt:variant>
        <vt:i4>4980815</vt:i4>
      </vt:variant>
      <vt:variant>
        <vt:i4>648</vt:i4>
      </vt:variant>
      <vt:variant>
        <vt:i4>0</vt:i4>
      </vt:variant>
      <vt:variant>
        <vt:i4>5</vt:i4>
      </vt:variant>
      <vt:variant>
        <vt:lpwstr>https://webarchive.nla.gov.au/awa/20210121023449/https:/www.coag.gov.au/performance-reporting</vt:lpwstr>
      </vt:variant>
      <vt:variant>
        <vt:lpwstr/>
      </vt:variant>
      <vt:variant>
        <vt:i4>5963899</vt:i4>
      </vt:variant>
      <vt:variant>
        <vt:i4>645</vt:i4>
      </vt:variant>
      <vt:variant>
        <vt:i4>0</vt:i4>
      </vt:variant>
      <vt:variant>
        <vt:i4>5</vt:i4>
      </vt:variant>
      <vt:variant>
        <vt:lpwstr>https://web.archive.org.au/awa/20210121023257mp_/https:/www.coag.gov.au/sites/default/files/communique/communique-dec-2009.pdf</vt:lpwstr>
      </vt:variant>
      <vt:variant>
        <vt:lpwstr/>
      </vt:variant>
      <vt:variant>
        <vt:i4>3670079</vt:i4>
      </vt:variant>
      <vt:variant>
        <vt:i4>642</vt:i4>
      </vt:variant>
      <vt:variant>
        <vt:i4>0</vt:i4>
      </vt:variant>
      <vt:variant>
        <vt:i4>5</vt:i4>
      </vt:variant>
      <vt:variant>
        <vt:lpwstr>https://ministers.treasury.gov.au/ministers/jim-chalmers-2022/media-releases/measuring-what-matters-deliver-better-outcomes</vt:lpwstr>
      </vt:variant>
      <vt:variant>
        <vt:lpwstr/>
      </vt:variant>
      <vt:variant>
        <vt:i4>4194323</vt:i4>
      </vt:variant>
      <vt:variant>
        <vt:i4>639</vt:i4>
      </vt:variant>
      <vt:variant>
        <vt:i4>0</vt:i4>
      </vt:variant>
      <vt:variant>
        <vt:i4>5</vt:i4>
      </vt:variant>
      <vt:variant>
        <vt:lpwstr>https://www.cgc.gov.au/about-gst-distribution</vt:lpwstr>
      </vt:variant>
      <vt:variant>
        <vt:lpwstr/>
      </vt:variant>
      <vt:variant>
        <vt:i4>589829</vt:i4>
      </vt:variant>
      <vt:variant>
        <vt:i4>636</vt:i4>
      </vt:variant>
      <vt:variant>
        <vt:i4>0</vt:i4>
      </vt:variant>
      <vt:variant>
        <vt:i4>5</vt:i4>
      </vt:variant>
      <vt:variant>
        <vt:lpwstr>https://www.cgc.gov.au/publications/state-snapshots/2024-state-snapshots</vt:lpwstr>
      </vt:variant>
      <vt:variant>
        <vt:lpwstr/>
      </vt:variant>
      <vt:variant>
        <vt:i4>5242974</vt:i4>
      </vt:variant>
      <vt:variant>
        <vt:i4>633</vt:i4>
      </vt:variant>
      <vt:variant>
        <vt:i4>0</vt:i4>
      </vt:variant>
      <vt:variant>
        <vt:i4>5</vt:i4>
      </vt:variant>
      <vt:variant>
        <vt:lpwstr>https://federalfinancialrelations.gov.au/sites/federalfinancialrelations.gov.au/files/2023-02/cffr-termsoferference-2023.pdf</vt:lpwstr>
      </vt:variant>
      <vt:variant>
        <vt:lpwstr/>
      </vt:variant>
      <vt:variant>
        <vt:i4>655439</vt:i4>
      </vt:variant>
      <vt:variant>
        <vt:i4>630</vt:i4>
      </vt:variant>
      <vt:variant>
        <vt:i4>0</vt:i4>
      </vt:variant>
      <vt:variant>
        <vt:i4>5</vt:i4>
      </vt:variant>
      <vt:variant>
        <vt:lpwstr>https://federalfinancialrelations.gov.au/federation-funding-agreements-framework</vt:lpwstr>
      </vt:variant>
      <vt:variant>
        <vt:lpwstr/>
      </vt:variant>
      <vt:variant>
        <vt:i4>6684799</vt:i4>
      </vt:variant>
      <vt:variant>
        <vt:i4>627</vt:i4>
      </vt:variant>
      <vt:variant>
        <vt:i4>0</vt:i4>
      </vt:variant>
      <vt:variant>
        <vt:i4>5</vt:i4>
      </vt:variant>
      <vt:variant>
        <vt:lpwstr>https://www.premier.vic.gov.au/making-best-practice-common-practice-education-state</vt:lpwstr>
      </vt:variant>
      <vt:variant>
        <vt:lpwstr/>
      </vt:variant>
      <vt:variant>
        <vt:i4>458823</vt:i4>
      </vt:variant>
      <vt:variant>
        <vt:i4>624</vt:i4>
      </vt:variant>
      <vt:variant>
        <vt:i4>0</vt:i4>
      </vt:variant>
      <vt:variant>
        <vt:i4>5</vt:i4>
      </vt:variant>
      <vt:variant>
        <vt:lpwstr>https://www.health.gov.au/ministers/the-hon-mark-butler-mp/media/taking-action-on-smoking-and-vaping</vt:lpwstr>
      </vt:variant>
      <vt:variant>
        <vt:lpwstr/>
      </vt:variant>
      <vt:variant>
        <vt:i4>7733345</vt:i4>
      </vt:variant>
      <vt:variant>
        <vt:i4>621</vt:i4>
      </vt:variant>
      <vt:variant>
        <vt:i4>0</vt:i4>
      </vt:variant>
      <vt:variant>
        <vt:i4>5</vt:i4>
      </vt:variant>
      <vt:variant>
        <vt:lpwstr>https://www.anao.gov.au/work/insights/reporting-meaningful-performance-information</vt:lpwstr>
      </vt:variant>
      <vt:variant>
        <vt:lpwstr/>
      </vt:variant>
      <vt:variant>
        <vt:i4>5963859</vt:i4>
      </vt:variant>
      <vt:variant>
        <vt:i4>618</vt:i4>
      </vt:variant>
      <vt:variant>
        <vt:i4>0</vt:i4>
      </vt:variant>
      <vt:variant>
        <vt:i4>5</vt:i4>
      </vt:variant>
      <vt:variant>
        <vt:lpwstr>https://www.aihw.gov.au/reports/australias-health/australias-health-2024-data-insights/contents/about</vt:lpwstr>
      </vt:variant>
      <vt:variant>
        <vt:lpwstr/>
      </vt:variant>
      <vt:variant>
        <vt:i4>6881390</vt:i4>
      </vt:variant>
      <vt:variant>
        <vt:i4>615</vt:i4>
      </vt:variant>
      <vt:variant>
        <vt:i4>0</vt:i4>
      </vt:variant>
      <vt:variant>
        <vt:i4>5</vt:i4>
      </vt:variant>
      <vt:variant>
        <vt:lpwstr>https://www.aihw.gov.au/about-us/committees/primary-health-care-advisory-committee</vt:lpwstr>
      </vt:variant>
      <vt:variant>
        <vt:lpwstr/>
      </vt:variant>
      <vt:variant>
        <vt:i4>4587522</vt:i4>
      </vt:variant>
      <vt:variant>
        <vt:i4>612</vt:i4>
      </vt:variant>
      <vt:variant>
        <vt:i4>0</vt:i4>
      </vt:variant>
      <vt:variant>
        <vt:i4>5</vt:i4>
      </vt:variant>
      <vt:variant>
        <vt:lpwstr>https://www.aihw.gov.au/about-us/committees/maternal-and-perinatal-health/pmhp-gc</vt:lpwstr>
      </vt:variant>
      <vt:variant>
        <vt:lpwstr/>
      </vt:variant>
      <vt:variant>
        <vt:i4>3539040</vt:i4>
      </vt:variant>
      <vt:variant>
        <vt:i4>609</vt:i4>
      </vt:variant>
      <vt:variant>
        <vt:i4>0</vt:i4>
      </vt:variant>
      <vt:variant>
        <vt:i4>5</vt:i4>
      </vt:variant>
      <vt:variant>
        <vt:lpwstr>https://www.aihw.gov.au/about-us/committees</vt:lpwstr>
      </vt:variant>
      <vt:variant>
        <vt:lpwstr/>
      </vt:variant>
      <vt:variant>
        <vt:i4>3276920</vt:i4>
      </vt:variant>
      <vt:variant>
        <vt:i4>606</vt:i4>
      </vt:variant>
      <vt:variant>
        <vt:i4>0</vt:i4>
      </vt:variant>
      <vt:variant>
        <vt:i4>5</vt:i4>
      </vt:variant>
      <vt:variant>
        <vt:lpwstr>https://www.aihw.gov.au/reports/australias-health/social-determinants-of-health</vt:lpwstr>
      </vt:variant>
      <vt:variant>
        <vt:lpwstr/>
      </vt:variant>
      <vt:variant>
        <vt:i4>720919</vt:i4>
      </vt:variant>
      <vt:variant>
        <vt:i4>603</vt:i4>
      </vt:variant>
      <vt:variant>
        <vt:i4>0</vt:i4>
      </vt:variant>
      <vt:variant>
        <vt:i4>5</vt:i4>
      </vt:variant>
      <vt:variant>
        <vt:lpwstr>https://www.aihw.gov.au/family-domestic-and-sexual-violence/understanding-fdsv/what-is-fdsv/how-are-national-data-used-to-answer-questions-about-fdsv</vt:lpwstr>
      </vt:variant>
      <vt:variant>
        <vt:lpwstr/>
      </vt:variant>
      <vt:variant>
        <vt:i4>2883618</vt:i4>
      </vt:variant>
      <vt:variant>
        <vt:i4>600</vt:i4>
      </vt:variant>
      <vt:variant>
        <vt:i4>0</vt:i4>
      </vt:variant>
      <vt:variant>
        <vt:i4>5</vt:i4>
      </vt:variant>
      <vt:variant>
        <vt:lpwstr>https://www.aihw.gov.au/about-our-data/our-data-collections</vt:lpwstr>
      </vt:variant>
      <vt:variant>
        <vt:lpwstr/>
      </vt:variant>
      <vt:variant>
        <vt:i4>5701701</vt:i4>
      </vt:variant>
      <vt:variant>
        <vt:i4>597</vt:i4>
      </vt:variant>
      <vt:variant>
        <vt:i4>0</vt:i4>
      </vt:variant>
      <vt:variant>
        <vt:i4>5</vt:i4>
      </vt:variant>
      <vt:variant>
        <vt:lpwstr>https://www.aihw.gov.au/about-our-data/our-data-collections/youth-justice</vt:lpwstr>
      </vt:variant>
      <vt:variant>
        <vt:lpwstr/>
      </vt:variant>
      <vt:variant>
        <vt:i4>3276902</vt:i4>
      </vt:variant>
      <vt:variant>
        <vt:i4>594</vt:i4>
      </vt:variant>
      <vt:variant>
        <vt:i4>0</vt:i4>
      </vt:variant>
      <vt:variant>
        <vt:i4>5</vt:i4>
      </vt:variant>
      <vt:variant>
        <vt:lpwstr>https://www.aihw.gov.au/getmedia/7c42913d-295f-4bc9-9c24-4e44eff4a04a/aihw-aus-221.pdf</vt:lpwstr>
      </vt:variant>
      <vt:variant>
        <vt:lpwstr/>
      </vt:variant>
      <vt:variant>
        <vt:i4>6160408</vt:i4>
      </vt:variant>
      <vt:variant>
        <vt:i4>591</vt:i4>
      </vt:variant>
      <vt:variant>
        <vt:i4>0</vt:i4>
      </vt:variant>
      <vt:variant>
        <vt:i4>5</vt:i4>
      </vt:variant>
      <vt:variant>
        <vt:lpwstr>https://www.abs.gov.au/about/data-services/data-integration/use-and-benefits/plidamadip-case-studies</vt:lpwstr>
      </vt:variant>
      <vt:variant>
        <vt:lpwstr>case-study-1-helping-vulnerable-australians-survive-heatwaves</vt:lpwstr>
      </vt:variant>
      <vt:variant>
        <vt:i4>1114194</vt:i4>
      </vt:variant>
      <vt:variant>
        <vt:i4>588</vt:i4>
      </vt:variant>
      <vt:variant>
        <vt:i4>0</vt:i4>
      </vt:variant>
      <vt:variant>
        <vt:i4>5</vt:i4>
      </vt:variant>
      <vt:variant>
        <vt:lpwstr>https://www.abs.gov.au/about/data-services/data-integration/integrated-data/person-level-integrated-data-asset-plida</vt:lpwstr>
      </vt:variant>
      <vt:variant>
        <vt:lpwstr/>
      </vt:variant>
      <vt:variant>
        <vt:i4>5439581</vt:i4>
      </vt:variant>
      <vt:variant>
        <vt:i4>585</vt:i4>
      </vt:variant>
      <vt:variant>
        <vt:i4>0</vt:i4>
      </vt:variant>
      <vt:variant>
        <vt:i4>5</vt:i4>
      </vt:variant>
      <vt:variant>
        <vt:lpwstr>https://www.abs.gov.au/census/2026-census-topic-review/overview-2026-census-topic-review</vt:lpwstr>
      </vt:variant>
      <vt:variant>
        <vt:lpwstr/>
      </vt:variant>
      <vt:variant>
        <vt:i4>1310745</vt:i4>
      </vt:variant>
      <vt:variant>
        <vt:i4>582</vt:i4>
      </vt:variant>
      <vt:variant>
        <vt:i4>0</vt:i4>
      </vt:variant>
      <vt:variant>
        <vt:i4>5</vt:i4>
      </vt:variant>
      <vt:variant>
        <vt:lpwstr>https://explore.data.abs.gov.au/</vt:lpwstr>
      </vt:variant>
      <vt:variant>
        <vt:lpwstr/>
      </vt:variant>
      <vt:variant>
        <vt:i4>1245243</vt:i4>
      </vt:variant>
      <vt:variant>
        <vt:i4>89</vt:i4>
      </vt:variant>
      <vt:variant>
        <vt:i4>0</vt:i4>
      </vt:variant>
      <vt:variant>
        <vt:i4>5</vt:i4>
      </vt:variant>
      <vt:variant>
        <vt:lpwstr/>
      </vt:variant>
      <vt:variant>
        <vt:lpwstr>_Toc189478403</vt:lpwstr>
      </vt:variant>
      <vt:variant>
        <vt:i4>1245243</vt:i4>
      </vt:variant>
      <vt:variant>
        <vt:i4>83</vt:i4>
      </vt:variant>
      <vt:variant>
        <vt:i4>0</vt:i4>
      </vt:variant>
      <vt:variant>
        <vt:i4>5</vt:i4>
      </vt:variant>
      <vt:variant>
        <vt:lpwstr/>
      </vt:variant>
      <vt:variant>
        <vt:lpwstr>_Toc189478402</vt:lpwstr>
      </vt:variant>
      <vt:variant>
        <vt:i4>1245243</vt:i4>
      </vt:variant>
      <vt:variant>
        <vt:i4>77</vt:i4>
      </vt:variant>
      <vt:variant>
        <vt:i4>0</vt:i4>
      </vt:variant>
      <vt:variant>
        <vt:i4>5</vt:i4>
      </vt:variant>
      <vt:variant>
        <vt:lpwstr/>
      </vt:variant>
      <vt:variant>
        <vt:lpwstr>_Toc189478401</vt:lpwstr>
      </vt:variant>
      <vt:variant>
        <vt:i4>1245243</vt:i4>
      </vt:variant>
      <vt:variant>
        <vt:i4>71</vt:i4>
      </vt:variant>
      <vt:variant>
        <vt:i4>0</vt:i4>
      </vt:variant>
      <vt:variant>
        <vt:i4>5</vt:i4>
      </vt:variant>
      <vt:variant>
        <vt:lpwstr/>
      </vt:variant>
      <vt:variant>
        <vt:lpwstr>_Toc189478400</vt:lpwstr>
      </vt:variant>
      <vt:variant>
        <vt:i4>1703996</vt:i4>
      </vt:variant>
      <vt:variant>
        <vt:i4>65</vt:i4>
      </vt:variant>
      <vt:variant>
        <vt:i4>0</vt:i4>
      </vt:variant>
      <vt:variant>
        <vt:i4>5</vt:i4>
      </vt:variant>
      <vt:variant>
        <vt:lpwstr/>
      </vt:variant>
      <vt:variant>
        <vt:lpwstr>_Toc189478399</vt:lpwstr>
      </vt:variant>
      <vt:variant>
        <vt:i4>1703996</vt:i4>
      </vt:variant>
      <vt:variant>
        <vt:i4>59</vt:i4>
      </vt:variant>
      <vt:variant>
        <vt:i4>0</vt:i4>
      </vt:variant>
      <vt:variant>
        <vt:i4>5</vt:i4>
      </vt:variant>
      <vt:variant>
        <vt:lpwstr/>
      </vt:variant>
      <vt:variant>
        <vt:lpwstr>_Toc189478398</vt:lpwstr>
      </vt:variant>
      <vt:variant>
        <vt:i4>1703996</vt:i4>
      </vt:variant>
      <vt:variant>
        <vt:i4>53</vt:i4>
      </vt:variant>
      <vt:variant>
        <vt:i4>0</vt:i4>
      </vt:variant>
      <vt:variant>
        <vt:i4>5</vt:i4>
      </vt:variant>
      <vt:variant>
        <vt:lpwstr/>
      </vt:variant>
      <vt:variant>
        <vt:lpwstr>_Toc189478397</vt:lpwstr>
      </vt:variant>
      <vt:variant>
        <vt:i4>1703996</vt:i4>
      </vt:variant>
      <vt:variant>
        <vt:i4>47</vt:i4>
      </vt:variant>
      <vt:variant>
        <vt:i4>0</vt:i4>
      </vt:variant>
      <vt:variant>
        <vt:i4>5</vt:i4>
      </vt:variant>
      <vt:variant>
        <vt:lpwstr/>
      </vt:variant>
      <vt:variant>
        <vt:lpwstr>_Toc189478396</vt:lpwstr>
      </vt:variant>
      <vt:variant>
        <vt:i4>1703996</vt:i4>
      </vt:variant>
      <vt:variant>
        <vt:i4>41</vt:i4>
      </vt:variant>
      <vt:variant>
        <vt:i4>0</vt:i4>
      </vt:variant>
      <vt:variant>
        <vt:i4>5</vt:i4>
      </vt:variant>
      <vt:variant>
        <vt:lpwstr/>
      </vt:variant>
      <vt:variant>
        <vt:lpwstr>_Toc189478395</vt:lpwstr>
      </vt:variant>
      <vt:variant>
        <vt:i4>1703996</vt:i4>
      </vt:variant>
      <vt:variant>
        <vt:i4>35</vt:i4>
      </vt:variant>
      <vt:variant>
        <vt:i4>0</vt:i4>
      </vt:variant>
      <vt:variant>
        <vt:i4>5</vt:i4>
      </vt:variant>
      <vt:variant>
        <vt:lpwstr/>
      </vt:variant>
      <vt:variant>
        <vt:lpwstr>_Toc189478394</vt:lpwstr>
      </vt:variant>
      <vt:variant>
        <vt:i4>1703996</vt:i4>
      </vt:variant>
      <vt:variant>
        <vt:i4>29</vt:i4>
      </vt:variant>
      <vt:variant>
        <vt:i4>0</vt:i4>
      </vt:variant>
      <vt:variant>
        <vt:i4>5</vt:i4>
      </vt:variant>
      <vt:variant>
        <vt:lpwstr/>
      </vt:variant>
      <vt:variant>
        <vt:lpwstr>_Toc189478393</vt:lpwstr>
      </vt:variant>
      <vt:variant>
        <vt:i4>1703996</vt:i4>
      </vt:variant>
      <vt:variant>
        <vt:i4>23</vt:i4>
      </vt:variant>
      <vt:variant>
        <vt:i4>0</vt:i4>
      </vt:variant>
      <vt:variant>
        <vt:i4>5</vt:i4>
      </vt:variant>
      <vt:variant>
        <vt:lpwstr/>
      </vt:variant>
      <vt:variant>
        <vt:lpwstr>_Toc189478392</vt:lpwstr>
      </vt:variant>
      <vt:variant>
        <vt:i4>1703996</vt:i4>
      </vt:variant>
      <vt:variant>
        <vt:i4>17</vt:i4>
      </vt:variant>
      <vt:variant>
        <vt:i4>0</vt:i4>
      </vt:variant>
      <vt:variant>
        <vt:i4>5</vt:i4>
      </vt:variant>
      <vt:variant>
        <vt:lpwstr/>
      </vt:variant>
      <vt:variant>
        <vt:lpwstr>_Toc189478391</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5242899</vt:i4>
      </vt:variant>
      <vt:variant>
        <vt:i4>0</vt:i4>
      </vt:variant>
      <vt:variant>
        <vt:i4>0</vt:i4>
      </vt:variant>
      <vt:variant>
        <vt:i4>5</vt:i4>
      </vt:variant>
      <vt:variant>
        <vt:lpwstr>https://www.abs.gov.au/about/our-organisation/corporate-reporting/abs-corporate-plan/2023-24/forward-work-program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Review of the Report on Government Services and the Performance Reporting Dashboard</dc:title>
  <dc:subject/>
  <dc:creator>Treasury</dc:creator>
  <cp:keywords/>
  <dc:description/>
  <cp:lastModifiedBy/>
  <cp:revision>1</cp:revision>
  <dcterms:created xsi:type="dcterms:W3CDTF">2025-02-04T05:39:00Z</dcterms:created>
  <dcterms:modified xsi:type="dcterms:W3CDTF">2025-02-04T05:40:00Z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2025-02-04T05:40:36Z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fc04b841-54a9-45ef-ae5e-8b700afc22a4</vt:lpwstr>
  </property>
  <property fmtid="{D5CDD505-2E9C-101B-9397-08002B2CF9AE}" pid="8" name="MSIP_Label_4f932d64-9ab1-4d9b-81d2-a3a8b82dd47d_ContentBits">
    <vt:lpwstr>0</vt:lpwstr>
  </property>
</Properties>
</file>