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0763" w14:textId="6DD619E3" w:rsidR="007E078D" w:rsidRPr="006217E1" w:rsidRDefault="006217E1" w:rsidP="007E078D">
      <w:pPr>
        <w:pStyle w:val="NormalWeb"/>
        <w:snapToGrid w:val="0"/>
        <w:spacing w:before="0" w:beforeAutospacing="0" w:after="0" w:afterAutospacing="0"/>
        <w:rPr>
          <w:b/>
          <w:bCs/>
          <w:sz w:val="20"/>
          <w:szCs w:val="20"/>
        </w:rPr>
      </w:pPr>
      <w:r w:rsidRPr="006217E1">
        <w:rPr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C080F" wp14:editId="683A4F21">
                <wp:simplePos x="0" y="0"/>
                <wp:positionH relativeFrom="column">
                  <wp:posOffset>4380892</wp:posOffset>
                </wp:positionH>
                <wp:positionV relativeFrom="paragraph">
                  <wp:posOffset>-380613</wp:posOffset>
                </wp:positionV>
                <wp:extent cx="1447137" cy="931718"/>
                <wp:effectExtent l="0" t="0" r="1270" b="0"/>
                <wp:wrapNone/>
                <wp:docPr id="19073987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7" cy="931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9BED3" w14:textId="0776E462" w:rsidR="006217E1" w:rsidRPr="00C06A17" w:rsidRDefault="006217E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06A1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From:</w:t>
                            </w:r>
                          </w:p>
                          <w:p w14:paraId="45F12E73" w14:textId="1E49D839" w:rsidR="006217E1" w:rsidRPr="00C06A17" w:rsidRDefault="006217E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6A17">
                              <w:rPr>
                                <w:rFonts w:ascii="Times New Roman" w:hAnsi="Times New Roman" w:cs="Times New Roman"/>
                              </w:rPr>
                              <w:t>Peter 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C0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95pt;margin-top:-29.95pt;width:113.9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" fillcolor="white [3201]" stroked="f" strokeweight=".5pt">
                <v:textbox>
                  <w:txbxContent>
                    <w:p w14:paraId="7FD9BED3" w14:textId="0776E462" w:rsidR="006217E1" w:rsidRPr="00C06A17" w:rsidRDefault="006217E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06A17">
                        <w:rPr>
                          <w:rFonts w:ascii="Times New Roman" w:hAnsi="Times New Roman" w:cs="Times New Roman"/>
                          <w:b/>
                          <w:bCs/>
                        </w:rPr>
                        <w:t>From:</w:t>
                      </w:r>
                    </w:p>
                    <w:p w14:paraId="45F12E73" w14:textId="1E49D839" w:rsidR="006217E1" w:rsidRPr="00C06A17" w:rsidRDefault="006217E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6A17">
                        <w:rPr>
                          <w:rFonts w:ascii="Times New Roman" w:hAnsi="Times New Roman" w:cs="Times New Roman"/>
                        </w:rPr>
                        <w:t>Peter Raffles</w:t>
                      </w:r>
                    </w:p>
                  </w:txbxContent>
                </v:textbox>
              </v:shape>
            </w:pict>
          </mc:Fallback>
        </mc:AlternateContent>
      </w:r>
      <w:r w:rsidR="007E078D" w:rsidRPr="006217E1">
        <w:rPr>
          <w:b/>
          <w:bCs/>
          <w:sz w:val="20"/>
          <w:szCs w:val="20"/>
        </w:rPr>
        <w:t xml:space="preserve">To: </w:t>
      </w:r>
    </w:p>
    <w:p w14:paraId="5AF6EDC3" w14:textId="0E8FF472" w:rsidR="007E078D" w:rsidRPr="006217E1" w:rsidRDefault="007E078D" w:rsidP="007E078D">
      <w:pPr>
        <w:pStyle w:val="NormalWeb"/>
        <w:snapToGrid w:val="0"/>
        <w:spacing w:before="0" w:beforeAutospacing="0" w:after="0" w:afterAutospacing="0"/>
      </w:pPr>
      <w:r w:rsidRPr="006217E1">
        <w:rPr>
          <w:sz w:val="20"/>
          <w:szCs w:val="20"/>
        </w:rPr>
        <w:t>GST Distribution Reforms</w:t>
      </w:r>
      <w:r w:rsidR="0016671B">
        <w:rPr>
          <w:sz w:val="20"/>
          <w:szCs w:val="20"/>
        </w:rPr>
        <w:t>,</w:t>
      </w:r>
      <w:r w:rsidRPr="006217E1">
        <w:rPr>
          <w:sz w:val="20"/>
          <w:szCs w:val="20"/>
        </w:rPr>
        <w:t xml:space="preserve"> Productivity Commission </w:t>
      </w:r>
    </w:p>
    <w:p w14:paraId="0930B06A" w14:textId="77777777" w:rsidR="007E078D" w:rsidRPr="006217E1" w:rsidRDefault="007E078D" w:rsidP="007E078D">
      <w:pPr>
        <w:pStyle w:val="NormalWeb"/>
        <w:snapToGrid w:val="0"/>
        <w:spacing w:before="0" w:beforeAutospacing="0" w:after="0" w:afterAutospacing="0"/>
        <w:rPr>
          <w:sz w:val="20"/>
          <w:szCs w:val="20"/>
        </w:rPr>
      </w:pPr>
      <w:r w:rsidRPr="006217E1">
        <w:rPr>
          <w:sz w:val="20"/>
          <w:szCs w:val="20"/>
        </w:rPr>
        <w:t>GPO Box 1428</w:t>
      </w:r>
    </w:p>
    <w:p w14:paraId="4E0C3379" w14:textId="29E6344E" w:rsidR="007E078D" w:rsidRPr="006217E1" w:rsidRDefault="007E078D" w:rsidP="007E078D">
      <w:pPr>
        <w:pStyle w:val="NormalWeb"/>
        <w:snapToGrid w:val="0"/>
        <w:spacing w:before="0" w:beforeAutospacing="0" w:after="0" w:afterAutospacing="0"/>
        <w:rPr>
          <w:sz w:val="20"/>
          <w:szCs w:val="20"/>
        </w:rPr>
      </w:pPr>
      <w:r w:rsidRPr="006217E1">
        <w:rPr>
          <w:sz w:val="20"/>
          <w:szCs w:val="20"/>
        </w:rPr>
        <w:t xml:space="preserve">Canberra City ACT 2601, Australia </w:t>
      </w:r>
    </w:p>
    <w:p w14:paraId="38AD4F7A" w14:textId="77777777" w:rsidR="006217E1" w:rsidRPr="006217E1" w:rsidRDefault="006217E1">
      <w:pPr>
        <w:rPr>
          <w:rFonts w:ascii="Times New Roman" w:hAnsi="Times New Roman" w:cs="Times New Roman"/>
        </w:rPr>
      </w:pPr>
    </w:p>
    <w:p w14:paraId="6E9B9599" w14:textId="77777777" w:rsidR="006217E1" w:rsidRPr="006217E1" w:rsidRDefault="006217E1">
      <w:pPr>
        <w:rPr>
          <w:rFonts w:ascii="Times New Roman" w:hAnsi="Times New Roman" w:cs="Times New Roman"/>
        </w:rPr>
      </w:pPr>
    </w:p>
    <w:p w14:paraId="276D3D20" w14:textId="0B198F50" w:rsidR="007E078D" w:rsidRPr="006217E1" w:rsidRDefault="007E078D">
      <w:pPr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Dear Commissioners,</w:t>
      </w:r>
    </w:p>
    <w:p w14:paraId="07778931" w14:textId="7F98AC21" w:rsidR="007E078D" w:rsidRPr="006217E1" w:rsidRDefault="007E078D" w:rsidP="007E078D">
      <w:pPr>
        <w:jc w:val="center"/>
        <w:rPr>
          <w:rFonts w:ascii="Times New Roman" w:hAnsi="Times New Roman" w:cs="Times New Roman"/>
          <w:b/>
          <w:bCs/>
        </w:rPr>
      </w:pPr>
      <w:r w:rsidRPr="006217E1">
        <w:rPr>
          <w:rFonts w:ascii="Times New Roman" w:hAnsi="Times New Roman" w:cs="Times New Roman"/>
          <w:b/>
          <w:bCs/>
        </w:rPr>
        <w:t>Re: GST distribution reforms: Issues Paper (IP)</w:t>
      </w:r>
      <w:r w:rsidR="0016671B" w:rsidRPr="0016671B">
        <w:rPr>
          <w:rFonts w:ascii="Times New Roman" w:hAnsi="Times New Roman" w:cs="Times New Roman"/>
          <w:b/>
          <w:bCs/>
        </w:rPr>
        <w:t xml:space="preserve"> </w:t>
      </w:r>
    </w:p>
    <w:p w14:paraId="3DA5351D" w14:textId="24AD1359" w:rsidR="007E078D" w:rsidRPr="006217E1" w:rsidRDefault="007E078D" w:rsidP="007E078D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Please accept this as my submission on the call for Submissions in the Issues Paper.</w:t>
      </w:r>
    </w:p>
    <w:p w14:paraId="5B9CE1C1" w14:textId="5C565067" w:rsidR="007E078D" w:rsidRPr="006217E1" w:rsidRDefault="007E078D" w:rsidP="007E078D">
      <w:pPr>
        <w:spacing w:before="120"/>
        <w:rPr>
          <w:rFonts w:ascii="Times New Roman" w:hAnsi="Times New Roman" w:cs="Times New Roman"/>
          <w:u w:val="single"/>
        </w:rPr>
      </w:pPr>
      <w:r w:rsidRPr="006217E1">
        <w:rPr>
          <w:rFonts w:ascii="Times New Roman" w:hAnsi="Times New Roman" w:cs="Times New Roman"/>
          <w:u w:val="single"/>
        </w:rPr>
        <w:t>General Contextual Comment</w:t>
      </w:r>
    </w:p>
    <w:p w14:paraId="5FEE58F3" w14:textId="77777777" w:rsidR="002B69AE" w:rsidRPr="006217E1" w:rsidRDefault="007E078D" w:rsidP="007E078D">
      <w:pPr>
        <w:pStyle w:val="NormalWeb"/>
      </w:pPr>
      <w:r w:rsidRPr="006217E1">
        <w:t xml:space="preserve">The IP comments: </w:t>
      </w:r>
    </w:p>
    <w:p w14:paraId="26D4B0F8" w14:textId="3A3C493E" w:rsidR="007E078D" w:rsidRPr="006217E1" w:rsidRDefault="007E078D" w:rsidP="002B69AE">
      <w:pPr>
        <w:pStyle w:val="NormalWeb"/>
        <w:ind w:left="720"/>
        <w:rPr>
          <w:sz w:val="20"/>
          <w:szCs w:val="20"/>
        </w:rPr>
      </w:pPr>
      <w:r w:rsidRPr="006217E1">
        <w:t>‘</w:t>
      </w:r>
      <w:proofErr w:type="gramStart"/>
      <w:r w:rsidRPr="006217E1">
        <w:rPr>
          <w:sz w:val="20"/>
          <w:szCs w:val="20"/>
        </w:rPr>
        <w:t>the</w:t>
      </w:r>
      <w:proofErr w:type="gramEnd"/>
      <w:r w:rsidRPr="006217E1">
        <w:rPr>
          <w:sz w:val="20"/>
          <w:szCs w:val="20"/>
        </w:rPr>
        <w:t xml:space="preserve"> principle of Horizontal Fiscal Equalisation (HFE) has determined GST distribution to the states.’ Queensland, like Western Australia, is a very large state and GST contributions come from wide and far within those territorial borders.</w:t>
      </w:r>
      <w:r w:rsidR="002B69AE" w:rsidRPr="006217E1">
        <w:rPr>
          <w:sz w:val="20"/>
          <w:szCs w:val="20"/>
        </w:rPr>
        <w:t>’</w:t>
      </w:r>
      <w:r w:rsidRPr="006217E1">
        <w:rPr>
          <w:sz w:val="20"/>
          <w:szCs w:val="20"/>
        </w:rPr>
        <w:t xml:space="preserve"> </w:t>
      </w:r>
    </w:p>
    <w:p w14:paraId="20053177" w14:textId="77777777" w:rsidR="00F41B05" w:rsidRPr="006217E1" w:rsidRDefault="007E078D" w:rsidP="007E078D">
      <w:pPr>
        <w:pStyle w:val="NormalWeb"/>
      </w:pPr>
      <w:r w:rsidRPr="006217E1">
        <w:t xml:space="preserve">In 2024, </w:t>
      </w:r>
      <w:r w:rsidR="00F41B05" w:rsidRPr="006217E1">
        <w:t>the GST Revenue Sharing Relativities 2024 Update made the following comment:</w:t>
      </w:r>
    </w:p>
    <w:p w14:paraId="120140FB" w14:textId="551C45B9" w:rsidR="00F41B05" w:rsidRPr="006217E1" w:rsidRDefault="00F41B05" w:rsidP="006217E1">
      <w:pPr>
        <w:pStyle w:val="NormalWeb"/>
        <w:ind w:left="709"/>
        <w:rPr>
          <w:sz w:val="20"/>
          <w:szCs w:val="20"/>
        </w:rPr>
      </w:pPr>
      <w:r w:rsidRPr="006217E1">
        <w:rPr>
          <w:sz w:val="20"/>
          <w:szCs w:val="20"/>
        </w:rPr>
        <w:t xml:space="preserve">‘Queensland’s assessed GST needs decreased largely due to: </w:t>
      </w:r>
    </w:p>
    <w:p w14:paraId="452C222F" w14:textId="59E12947" w:rsidR="00F41B05" w:rsidRPr="006217E1" w:rsidRDefault="00F41B05" w:rsidP="00F41B05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6217E1">
        <w:rPr>
          <w:sz w:val="20"/>
          <w:szCs w:val="20"/>
        </w:rPr>
        <w:t xml:space="preserve">an increase in its capacity to raise coal royalties (a result of a large increase in coal prices and an increase in average coal royalty rates) </w:t>
      </w:r>
    </w:p>
    <w:p w14:paraId="49284A9A" w14:textId="7D16B543" w:rsidR="00F41B05" w:rsidRPr="006217E1" w:rsidRDefault="00F41B05" w:rsidP="00F41B05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6217E1">
        <w:rPr>
          <w:color w:val="161616"/>
          <w:sz w:val="20"/>
          <w:szCs w:val="20"/>
        </w:rPr>
        <w:t>…</w:t>
      </w:r>
    </w:p>
    <w:p w14:paraId="29C2D482" w14:textId="2E2824BC" w:rsidR="00F41B05" w:rsidRPr="006217E1" w:rsidRDefault="00F41B05" w:rsidP="00F41B05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6217E1">
        <w:rPr>
          <w:sz w:val="20"/>
          <w:szCs w:val="20"/>
        </w:rPr>
        <w:t xml:space="preserve">a decrease in its requirement for investment in rural roads.’ P.48 </w:t>
      </w:r>
    </w:p>
    <w:p w14:paraId="316169B5" w14:textId="74B4B0B9" w:rsidR="00F41B05" w:rsidRPr="006217E1" w:rsidRDefault="00F41B05" w:rsidP="007E078D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Th</w:t>
      </w:r>
      <w:r w:rsidR="002800CA">
        <w:rPr>
          <w:rFonts w:ascii="Times New Roman" w:hAnsi="Times New Roman" w:cs="Times New Roman"/>
        </w:rPr>
        <w:t>e</w:t>
      </w:r>
      <w:r w:rsidRPr="006217E1">
        <w:rPr>
          <w:rFonts w:ascii="Times New Roman" w:hAnsi="Times New Roman" w:cs="Times New Roman"/>
        </w:rPr>
        <w:t xml:space="preserve"> </w:t>
      </w:r>
      <w:r w:rsidR="006217E1">
        <w:rPr>
          <w:rFonts w:ascii="Times New Roman" w:hAnsi="Times New Roman" w:cs="Times New Roman"/>
        </w:rPr>
        <w:t xml:space="preserve">above </w:t>
      </w:r>
      <w:r w:rsidRPr="006217E1">
        <w:rPr>
          <w:rFonts w:ascii="Times New Roman" w:hAnsi="Times New Roman" w:cs="Times New Roman"/>
        </w:rPr>
        <w:t xml:space="preserve">comment sets the context for the </w:t>
      </w:r>
      <w:r w:rsidR="006217E1">
        <w:rPr>
          <w:rFonts w:ascii="Times New Roman" w:hAnsi="Times New Roman" w:cs="Times New Roman"/>
        </w:rPr>
        <w:t xml:space="preserve">questions and </w:t>
      </w:r>
      <w:r w:rsidRPr="006217E1">
        <w:rPr>
          <w:rFonts w:ascii="Times New Roman" w:hAnsi="Times New Roman" w:cs="Times New Roman"/>
        </w:rPr>
        <w:t>comments to follow</w:t>
      </w:r>
      <w:r w:rsidR="006217E1">
        <w:rPr>
          <w:rFonts w:ascii="Times New Roman" w:hAnsi="Times New Roman" w:cs="Times New Roman"/>
        </w:rPr>
        <w:t xml:space="preserve">. </w:t>
      </w:r>
      <w:r w:rsidRPr="006217E1">
        <w:rPr>
          <w:rFonts w:ascii="Times New Roman" w:hAnsi="Times New Roman" w:cs="Times New Roman"/>
        </w:rPr>
        <w:t xml:space="preserve"> </w:t>
      </w:r>
      <w:r w:rsidR="006217E1">
        <w:rPr>
          <w:rFonts w:ascii="Times New Roman" w:hAnsi="Times New Roman" w:cs="Times New Roman"/>
        </w:rPr>
        <w:t>T</w:t>
      </w:r>
      <w:r w:rsidRPr="006217E1">
        <w:rPr>
          <w:rFonts w:ascii="Times New Roman" w:hAnsi="Times New Roman" w:cs="Times New Roman"/>
        </w:rPr>
        <w:t xml:space="preserve">he following </w:t>
      </w:r>
      <w:r w:rsidR="002800CA">
        <w:rPr>
          <w:rFonts w:ascii="Times New Roman" w:hAnsi="Times New Roman" w:cs="Times New Roman"/>
        </w:rPr>
        <w:t xml:space="preserve">specific </w:t>
      </w:r>
      <w:r w:rsidRPr="006217E1">
        <w:rPr>
          <w:rFonts w:ascii="Times New Roman" w:hAnsi="Times New Roman" w:cs="Times New Roman"/>
        </w:rPr>
        <w:t>questions</w:t>
      </w:r>
      <w:r w:rsidR="006217E1">
        <w:rPr>
          <w:rFonts w:ascii="Times New Roman" w:hAnsi="Times New Roman" w:cs="Times New Roman"/>
        </w:rPr>
        <w:t xml:space="preserve"> relate directly to the above quote</w:t>
      </w:r>
      <w:r w:rsidRPr="006217E1">
        <w:rPr>
          <w:rFonts w:ascii="Times New Roman" w:hAnsi="Times New Roman" w:cs="Times New Roman"/>
        </w:rPr>
        <w:t>:</w:t>
      </w:r>
    </w:p>
    <w:p w14:paraId="202DCB62" w14:textId="306AAA7B" w:rsidR="00F41B05" w:rsidRPr="006217E1" w:rsidRDefault="00F41B05" w:rsidP="00F41B05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In respect to the coal royalties, where in Queensland are they earned</w:t>
      </w:r>
      <w:r w:rsidR="006217E1">
        <w:rPr>
          <w:rFonts w:ascii="Times New Roman" w:hAnsi="Times New Roman" w:cs="Times New Roman"/>
        </w:rPr>
        <w:t>? Are they</w:t>
      </w:r>
      <w:r w:rsidRPr="006217E1">
        <w:rPr>
          <w:rFonts w:ascii="Times New Roman" w:hAnsi="Times New Roman" w:cs="Times New Roman"/>
        </w:rPr>
        <w:t xml:space="preserve"> </w:t>
      </w:r>
      <w:r w:rsidR="002B69AE" w:rsidRPr="006217E1">
        <w:rPr>
          <w:rFonts w:ascii="Times New Roman" w:hAnsi="Times New Roman" w:cs="Times New Roman"/>
        </w:rPr>
        <w:t>m</w:t>
      </w:r>
      <w:r w:rsidRPr="006217E1">
        <w:rPr>
          <w:rFonts w:ascii="Times New Roman" w:hAnsi="Times New Roman" w:cs="Times New Roman"/>
        </w:rPr>
        <w:t>ostly north of the Tropic of Capricorn (</w:t>
      </w:r>
      <w:proofErr w:type="spellStart"/>
      <w:r w:rsidRPr="006217E1">
        <w:rPr>
          <w:rFonts w:ascii="Times New Roman" w:hAnsi="Times New Roman" w:cs="Times New Roman"/>
        </w:rPr>
        <w:t>ToC</w:t>
      </w:r>
      <w:proofErr w:type="spellEnd"/>
      <w:r w:rsidRPr="006217E1">
        <w:rPr>
          <w:rFonts w:ascii="Times New Roman" w:hAnsi="Times New Roman" w:cs="Times New Roman"/>
        </w:rPr>
        <w:t xml:space="preserve">)? </w:t>
      </w:r>
    </w:p>
    <w:p w14:paraId="44CDCFFF" w14:textId="0B736925" w:rsidR="007E078D" w:rsidRPr="006217E1" w:rsidRDefault="00F41B05" w:rsidP="00F41B05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 xml:space="preserve">Above the </w:t>
      </w:r>
      <w:proofErr w:type="spellStart"/>
      <w:r w:rsidRPr="006217E1">
        <w:rPr>
          <w:rFonts w:ascii="Times New Roman" w:hAnsi="Times New Roman" w:cs="Times New Roman"/>
        </w:rPr>
        <w:t>ToC</w:t>
      </w:r>
      <w:proofErr w:type="spellEnd"/>
      <w:r w:rsidRPr="006217E1">
        <w:rPr>
          <w:rFonts w:ascii="Times New Roman" w:hAnsi="Times New Roman" w:cs="Times New Roman"/>
        </w:rPr>
        <w:t xml:space="preserve"> there are five Fede</w:t>
      </w:r>
      <w:r w:rsidR="002B69AE" w:rsidRPr="006217E1">
        <w:rPr>
          <w:rFonts w:ascii="Times New Roman" w:hAnsi="Times New Roman" w:cs="Times New Roman"/>
        </w:rPr>
        <w:t>r</w:t>
      </w:r>
      <w:r w:rsidRPr="006217E1">
        <w:rPr>
          <w:rFonts w:ascii="Times New Roman" w:hAnsi="Times New Roman" w:cs="Times New Roman"/>
        </w:rPr>
        <w:t xml:space="preserve">al Seats – Capricornia, Dawson, Herbert, Kennedy and Leichardt. How much is earned in Coal Royalties and GST above the </w:t>
      </w:r>
      <w:proofErr w:type="spellStart"/>
      <w:r w:rsidRPr="006217E1">
        <w:rPr>
          <w:rFonts w:ascii="Times New Roman" w:hAnsi="Times New Roman" w:cs="Times New Roman"/>
        </w:rPr>
        <w:t>ToC</w:t>
      </w:r>
      <w:proofErr w:type="spellEnd"/>
      <w:r w:rsidRPr="006217E1">
        <w:rPr>
          <w:rFonts w:ascii="Times New Roman" w:hAnsi="Times New Roman" w:cs="Times New Roman"/>
        </w:rPr>
        <w:t xml:space="preserve"> in those five seats? </w:t>
      </w:r>
      <w:r w:rsidR="006217E1">
        <w:rPr>
          <w:rFonts w:ascii="Times New Roman" w:hAnsi="Times New Roman" w:cs="Times New Roman"/>
        </w:rPr>
        <w:t xml:space="preserve">(These numbers are </w:t>
      </w:r>
      <w:r w:rsidR="00E565FD">
        <w:rPr>
          <w:rFonts w:ascii="Times New Roman" w:hAnsi="Times New Roman" w:cs="Times New Roman"/>
        </w:rPr>
        <w:t xml:space="preserve">nigh </w:t>
      </w:r>
      <w:r w:rsidR="006217E1">
        <w:rPr>
          <w:rFonts w:ascii="Times New Roman" w:hAnsi="Times New Roman" w:cs="Times New Roman"/>
        </w:rPr>
        <w:t xml:space="preserve">impossible to </w:t>
      </w:r>
      <w:r w:rsidR="004F0FA2">
        <w:rPr>
          <w:rFonts w:ascii="Times New Roman" w:hAnsi="Times New Roman" w:cs="Times New Roman"/>
        </w:rPr>
        <w:t>track</w:t>
      </w:r>
      <w:r w:rsidR="006217E1">
        <w:rPr>
          <w:rFonts w:ascii="Times New Roman" w:hAnsi="Times New Roman" w:cs="Times New Roman"/>
        </w:rPr>
        <w:t>)</w:t>
      </w:r>
    </w:p>
    <w:p w14:paraId="178D1833" w14:textId="203D50B7" w:rsidR="00F41B05" w:rsidRPr="006217E1" w:rsidRDefault="00F41B05" w:rsidP="00F41B05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How much GST is spent in those five seats?</w:t>
      </w:r>
      <w:r w:rsidR="002800CA">
        <w:rPr>
          <w:rFonts w:ascii="Times New Roman" w:hAnsi="Times New Roman" w:cs="Times New Roman"/>
        </w:rPr>
        <w:t xml:space="preserve"> (Not traceable!)</w:t>
      </w:r>
    </w:p>
    <w:p w14:paraId="766F066B" w14:textId="75BAAF82" w:rsidR="00F41B05" w:rsidRPr="006217E1" w:rsidRDefault="00F41B05" w:rsidP="00F41B05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The record</w:t>
      </w:r>
      <w:r w:rsidR="00E565FD">
        <w:rPr>
          <w:rFonts w:ascii="Times New Roman" w:hAnsi="Times New Roman" w:cs="Times New Roman"/>
        </w:rPr>
        <w:t>s</w:t>
      </w:r>
      <w:r w:rsidRPr="006217E1">
        <w:rPr>
          <w:rFonts w:ascii="Times New Roman" w:hAnsi="Times New Roman" w:cs="Times New Roman"/>
        </w:rPr>
        <w:t xml:space="preserve"> show that </w:t>
      </w:r>
      <w:proofErr w:type="gramStart"/>
      <w:r w:rsidRPr="006217E1">
        <w:rPr>
          <w:rFonts w:ascii="Times New Roman" w:hAnsi="Times New Roman" w:cs="Times New Roman"/>
        </w:rPr>
        <w:t>the most</w:t>
      </w:r>
      <w:proofErr w:type="gramEnd"/>
      <w:r w:rsidRPr="006217E1">
        <w:rPr>
          <w:rFonts w:ascii="Times New Roman" w:hAnsi="Times New Roman" w:cs="Times New Roman"/>
        </w:rPr>
        <w:t xml:space="preserve"> of the roads </w:t>
      </w:r>
      <w:r w:rsidR="003277EC" w:rsidRPr="006217E1">
        <w:rPr>
          <w:rFonts w:ascii="Times New Roman" w:hAnsi="Times New Roman" w:cs="Times New Roman"/>
        </w:rPr>
        <w:t xml:space="preserve">above the </w:t>
      </w:r>
      <w:proofErr w:type="spellStart"/>
      <w:r w:rsidR="003277EC" w:rsidRPr="006217E1">
        <w:rPr>
          <w:rFonts w:ascii="Times New Roman" w:hAnsi="Times New Roman" w:cs="Times New Roman"/>
        </w:rPr>
        <w:t>ToC</w:t>
      </w:r>
      <w:proofErr w:type="spellEnd"/>
      <w:r w:rsidR="003277EC" w:rsidRPr="006217E1">
        <w:rPr>
          <w:rFonts w:ascii="Times New Roman" w:hAnsi="Times New Roman" w:cs="Times New Roman"/>
        </w:rPr>
        <w:t xml:space="preserve"> are rural roads. The records </w:t>
      </w:r>
      <w:r w:rsidR="002B69AE" w:rsidRPr="006217E1">
        <w:rPr>
          <w:rFonts w:ascii="Times New Roman" w:hAnsi="Times New Roman" w:cs="Times New Roman"/>
        </w:rPr>
        <w:t xml:space="preserve">also </w:t>
      </w:r>
      <w:r w:rsidR="003277EC" w:rsidRPr="006217E1">
        <w:rPr>
          <w:rFonts w:ascii="Times New Roman" w:hAnsi="Times New Roman" w:cs="Times New Roman"/>
        </w:rPr>
        <w:t xml:space="preserve">show that in 2025 the roads north of the </w:t>
      </w:r>
      <w:proofErr w:type="spellStart"/>
      <w:r w:rsidR="003277EC" w:rsidRPr="006217E1">
        <w:rPr>
          <w:rFonts w:ascii="Times New Roman" w:hAnsi="Times New Roman" w:cs="Times New Roman"/>
        </w:rPr>
        <w:t>ToC</w:t>
      </w:r>
      <w:proofErr w:type="spellEnd"/>
      <w:r w:rsidR="003277EC" w:rsidRPr="006217E1">
        <w:rPr>
          <w:rFonts w:ascii="Times New Roman" w:hAnsi="Times New Roman" w:cs="Times New Roman"/>
        </w:rPr>
        <w:t xml:space="preserve"> were a mess, including the Bruce Highway. </w:t>
      </w:r>
      <w:r w:rsidR="00A922C7">
        <w:rPr>
          <w:rFonts w:ascii="Times New Roman" w:hAnsi="Times New Roman" w:cs="Times New Roman"/>
        </w:rPr>
        <w:t xml:space="preserve">The social consequences were dire: roads cut, emergency services restricted, and so on. </w:t>
      </w:r>
      <w:r w:rsidR="003277EC" w:rsidRPr="006217E1">
        <w:rPr>
          <w:rFonts w:ascii="Times New Roman" w:hAnsi="Times New Roman" w:cs="Times New Roman"/>
        </w:rPr>
        <w:t xml:space="preserve">So much </w:t>
      </w:r>
      <w:r w:rsidR="00E62821">
        <w:rPr>
          <w:rFonts w:ascii="Times New Roman" w:hAnsi="Times New Roman" w:cs="Times New Roman"/>
        </w:rPr>
        <w:t>were the roads a</w:t>
      </w:r>
      <w:r w:rsidR="00A922C7">
        <w:rPr>
          <w:rFonts w:ascii="Times New Roman" w:hAnsi="Times New Roman" w:cs="Times New Roman"/>
        </w:rPr>
        <w:t xml:space="preserve"> mess </w:t>
      </w:r>
      <w:r w:rsidR="00E62821">
        <w:rPr>
          <w:rFonts w:ascii="Times New Roman" w:hAnsi="Times New Roman" w:cs="Times New Roman"/>
        </w:rPr>
        <w:t xml:space="preserve">(with some of the highest death rates in the country) </w:t>
      </w:r>
      <w:r w:rsidR="003277EC" w:rsidRPr="006217E1">
        <w:rPr>
          <w:rFonts w:ascii="Times New Roman" w:hAnsi="Times New Roman" w:cs="Times New Roman"/>
        </w:rPr>
        <w:t>there were ad hoc commitments made by the Federal Government (</w:t>
      </w:r>
      <w:r w:rsidR="002B69AE" w:rsidRPr="006217E1">
        <w:rPr>
          <w:rFonts w:ascii="Times New Roman" w:hAnsi="Times New Roman" w:cs="Times New Roman"/>
        </w:rPr>
        <w:t>as</w:t>
      </w:r>
      <w:r w:rsidR="003277EC" w:rsidRPr="006217E1">
        <w:rPr>
          <w:rFonts w:ascii="Times New Roman" w:hAnsi="Times New Roman" w:cs="Times New Roman"/>
        </w:rPr>
        <w:t xml:space="preserve"> SPPs) to remedy the </w:t>
      </w:r>
      <w:r w:rsidR="002800CA">
        <w:rPr>
          <w:rFonts w:ascii="Times New Roman" w:hAnsi="Times New Roman" w:cs="Times New Roman"/>
        </w:rPr>
        <w:t xml:space="preserve">immediate </w:t>
      </w:r>
      <w:r w:rsidR="003277EC" w:rsidRPr="006217E1">
        <w:rPr>
          <w:rFonts w:ascii="Times New Roman" w:hAnsi="Times New Roman" w:cs="Times New Roman"/>
        </w:rPr>
        <w:t>problems.</w:t>
      </w:r>
      <w:r w:rsidR="002800CA">
        <w:rPr>
          <w:rFonts w:ascii="Times New Roman" w:hAnsi="Times New Roman" w:cs="Times New Roman"/>
        </w:rPr>
        <w:t xml:space="preserve"> Will those SPPs influence the CGC in its future allocations? </w:t>
      </w:r>
    </w:p>
    <w:p w14:paraId="614B3E38" w14:textId="55D45620" w:rsidR="003277EC" w:rsidRPr="006217E1" w:rsidRDefault="002800CA" w:rsidP="00F41B05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summary, h</w:t>
      </w:r>
      <w:r w:rsidR="003277EC" w:rsidRPr="006217E1">
        <w:rPr>
          <w:rFonts w:ascii="Times New Roman" w:hAnsi="Times New Roman" w:cs="Times New Roman"/>
        </w:rPr>
        <w:t>ow did the CGC possibly reach its conclusion that there was a ‘decrease</w:t>
      </w:r>
      <w:r w:rsidR="004F0FA2">
        <w:rPr>
          <w:rFonts w:ascii="Times New Roman" w:hAnsi="Times New Roman" w:cs="Times New Roman"/>
        </w:rPr>
        <w:t>[d]</w:t>
      </w:r>
      <w:r w:rsidR="003277EC" w:rsidRPr="006217E1">
        <w:rPr>
          <w:rFonts w:ascii="Times New Roman" w:hAnsi="Times New Roman" w:cs="Times New Roman"/>
        </w:rPr>
        <w:t>’ need for investment in rural roads</w:t>
      </w:r>
      <w:r w:rsidR="002B69AE" w:rsidRPr="006217E1">
        <w:rPr>
          <w:rFonts w:ascii="Times New Roman" w:hAnsi="Times New Roman" w:cs="Times New Roman"/>
        </w:rPr>
        <w:t xml:space="preserve"> in Qld</w:t>
      </w:r>
      <w:r w:rsidR="003277EC" w:rsidRPr="006217E1">
        <w:rPr>
          <w:rFonts w:ascii="Times New Roman" w:hAnsi="Times New Roman" w:cs="Times New Roman"/>
        </w:rPr>
        <w:t>?</w:t>
      </w:r>
    </w:p>
    <w:p w14:paraId="146E5E02" w14:textId="2C8D9A7B" w:rsidR="007E078D" w:rsidRPr="006217E1" w:rsidRDefault="007E078D" w:rsidP="007E078D">
      <w:pPr>
        <w:spacing w:before="120"/>
        <w:rPr>
          <w:rFonts w:ascii="Times New Roman" w:hAnsi="Times New Roman" w:cs="Times New Roman"/>
          <w:u w:val="single"/>
        </w:rPr>
      </w:pPr>
      <w:r w:rsidRPr="006217E1">
        <w:rPr>
          <w:rFonts w:ascii="Times New Roman" w:hAnsi="Times New Roman" w:cs="Times New Roman"/>
          <w:u w:val="single"/>
        </w:rPr>
        <w:t>GST and SPPs</w:t>
      </w:r>
    </w:p>
    <w:p w14:paraId="6DAC4667" w14:textId="7F6CF751" w:rsidR="007E078D" w:rsidRPr="006217E1" w:rsidRDefault="004F0FA2" w:rsidP="007E078D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above in mind, t</w:t>
      </w:r>
      <w:r w:rsidR="007E078D" w:rsidRPr="006217E1">
        <w:rPr>
          <w:rFonts w:ascii="Times New Roman" w:hAnsi="Times New Roman" w:cs="Times New Roman"/>
        </w:rPr>
        <w:t>he IP acknowledge</w:t>
      </w:r>
      <w:r w:rsidR="003277EC" w:rsidRPr="006217E1">
        <w:rPr>
          <w:rFonts w:ascii="Times New Roman" w:hAnsi="Times New Roman" w:cs="Times New Roman"/>
        </w:rPr>
        <w:t>s a link between GST and SPPs:</w:t>
      </w:r>
    </w:p>
    <w:p w14:paraId="68E6A0E6" w14:textId="5D1E5A52" w:rsidR="003277EC" w:rsidRPr="006217E1" w:rsidRDefault="003277EC" w:rsidP="003277EC">
      <w:pPr>
        <w:pStyle w:val="NormalWeb"/>
        <w:ind w:left="720"/>
      </w:pPr>
      <w:r w:rsidRPr="006217E1">
        <w:rPr>
          <w:sz w:val="20"/>
          <w:szCs w:val="20"/>
        </w:rPr>
        <w:t>“By affecting the fiscal capacity of the states, these SPPs may affect the GST distribution to the states.” P.13</w:t>
      </w:r>
    </w:p>
    <w:p w14:paraId="0FE4597B" w14:textId="51CBEB55" w:rsidR="003277EC" w:rsidRPr="006217E1" w:rsidRDefault="003277EC" w:rsidP="003277EC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lastRenderedPageBreak/>
        <w:t>The IP then asks the following question:</w:t>
      </w:r>
    </w:p>
    <w:p w14:paraId="25DC34B3" w14:textId="0E0CF9B0" w:rsidR="003277EC" w:rsidRPr="006217E1" w:rsidRDefault="003277EC" w:rsidP="003277EC">
      <w:p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6217E1">
        <w:rPr>
          <w:rFonts w:ascii="Times New Roman" w:hAnsi="Times New Roman" w:cs="Times New Roman"/>
          <w:sz w:val="20"/>
          <w:szCs w:val="20"/>
        </w:rPr>
        <w:t xml:space="preserve">“Should other Commonwealth payments to the states, such as specific purpose payments and other general revenue assistance, be included in the Commonwealth Grants Commission’s assessments? </w:t>
      </w:r>
    </w:p>
    <w:p w14:paraId="0BDE79CB" w14:textId="62F4B51E" w:rsidR="003277EC" w:rsidRPr="006217E1" w:rsidRDefault="003277EC" w:rsidP="003277EC">
      <w:pPr>
        <w:numPr>
          <w:ilvl w:val="1"/>
          <w:numId w:val="3"/>
        </w:numPr>
        <w:spacing w:before="120"/>
        <w:rPr>
          <w:rFonts w:ascii="Times New Roman" w:hAnsi="Times New Roman" w:cs="Times New Roman"/>
          <w:sz w:val="20"/>
          <w:szCs w:val="20"/>
        </w:rPr>
      </w:pPr>
      <w:r w:rsidRPr="006217E1">
        <w:rPr>
          <w:rFonts w:ascii="Times New Roman" w:hAnsi="Times New Roman" w:cs="Times New Roman"/>
          <w:sz w:val="20"/>
          <w:szCs w:val="20"/>
        </w:rPr>
        <w:t>Should some of these payments be excluded? If so, which payments should be excluded and why?” p.13</w:t>
      </w:r>
    </w:p>
    <w:p w14:paraId="350D3403" w14:textId="1BDF4689" w:rsidR="003277EC" w:rsidRPr="006217E1" w:rsidRDefault="003277EC" w:rsidP="003277EC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 xml:space="preserve">There is </w:t>
      </w:r>
      <w:r w:rsidR="006217E1">
        <w:rPr>
          <w:rFonts w:ascii="Times New Roman" w:hAnsi="Times New Roman" w:cs="Times New Roman"/>
        </w:rPr>
        <w:t xml:space="preserve">absolutely </w:t>
      </w:r>
      <w:r w:rsidRPr="006217E1">
        <w:rPr>
          <w:rFonts w:ascii="Times New Roman" w:hAnsi="Times New Roman" w:cs="Times New Roman"/>
        </w:rPr>
        <w:t xml:space="preserve">no doubt that expenditure by governments in the lead up the Commonwealth Games on the Gold Coast </w:t>
      </w:r>
      <w:r w:rsidR="006217E1">
        <w:rPr>
          <w:rFonts w:ascii="Times New Roman" w:hAnsi="Times New Roman" w:cs="Times New Roman"/>
        </w:rPr>
        <w:t xml:space="preserve">(in </w:t>
      </w:r>
      <w:proofErr w:type="gramStart"/>
      <w:r w:rsidR="006217E1">
        <w:rPr>
          <w:rFonts w:ascii="Times New Roman" w:hAnsi="Times New Roman" w:cs="Times New Roman"/>
        </w:rPr>
        <w:t>South East</w:t>
      </w:r>
      <w:proofErr w:type="gramEnd"/>
      <w:r w:rsidR="006217E1">
        <w:rPr>
          <w:rFonts w:ascii="Times New Roman" w:hAnsi="Times New Roman" w:cs="Times New Roman"/>
        </w:rPr>
        <w:t xml:space="preserve"> </w:t>
      </w:r>
      <w:proofErr w:type="gramStart"/>
      <w:r w:rsidR="006217E1">
        <w:rPr>
          <w:rFonts w:ascii="Times New Roman" w:hAnsi="Times New Roman" w:cs="Times New Roman"/>
        </w:rPr>
        <w:t xml:space="preserve">Queensland) </w:t>
      </w:r>
      <w:r w:rsidR="002B69AE" w:rsidRPr="006217E1">
        <w:rPr>
          <w:rFonts w:ascii="Times New Roman" w:hAnsi="Times New Roman" w:cs="Times New Roman"/>
        </w:rPr>
        <w:t xml:space="preserve"> in</w:t>
      </w:r>
      <w:proofErr w:type="gramEnd"/>
      <w:r w:rsidR="002B69AE" w:rsidRPr="006217E1">
        <w:rPr>
          <w:rFonts w:ascii="Times New Roman" w:hAnsi="Times New Roman" w:cs="Times New Roman"/>
        </w:rPr>
        <w:t xml:space="preserve"> 2018 </w:t>
      </w:r>
      <w:r w:rsidRPr="006217E1">
        <w:rPr>
          <w:rFonts w:ascii="Times New Roman" w:hAnsi="Times New Roman" w:cs="Times New Roman"/>
        </w:rPr>
        <w:t xml:space="preserve">adversely affected expenditure above the </w:t>
      </w:r>
      <w:proofErr w:type="spellStart"/>
      <w:r w:rsidRPr="006217E1">
        <w:rPr>
          <w:rFonts w:ascii="Times New Roman" w:hAnsi="Times New Roman" w:cs="Times New Roman"/>
        </w:rPr>
        <w:t>ToC</w:t>
      </w:r>
      <w:proofErr w:type="spellEnd"/>
      <w:r w:rsidRPr="006217E1">
        <w:rPr>
          <w:rFonts w:ascii="Times New Roman" w:hAnsi="Times New Roman" w:cs="Times New Roman"/>
        </w:rPr>
        <w:t xml:space="preserve">. </w:t>
      </w:r>
    </w:p>
    <w:p w14:paraId="6246CED4" w14:textId="77777777" w:rsidR="002B69AE" w:rsidRPr="006217E1" w:rsidRDefault="003277EC" w:rsidP="003277EC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The evidence is already starting to mount about the money being spen</w:t>
      </w:r>
      <w:r w:rsidR="00134B27" w:rsidRPr="006217E1">
        <w:rPr>
          <w:rFonts w:ascii="Times New Roman" w:hAnsi="Times New Roman" w:cs="Times New Roman"/>
        </w:rPr>
        <w:t>t</w:t>
      </w:r>
      <w:r w:rsidRPr="006217E1">
        <w:rPr>
          <w:rFonts w:ascii="Times New Roman" w:hAnsi="Times New Roman" w:cs="Times New Roman"/>
        </w:rPr>
        <w:t xml:space="preserve"> in the </w:t>
      </w:r>
      <w:proofErr w:type="gramStart"/>
      <w:r w:rsidRPr="006217E1">
        <w:rPr>
          <w:rFonts w:ascii="Times New Roman" w:hAnsi="Times New Roman" w:cs="Times New Roman"/>
        </w:rPr>
        <w:t>South East</w:t>
      </w:r>
      <w:proofErr w:type="gramEnd"/>
      <w:r w:rsidRPr="006217E1">
        <w:rPr>
          <w:rFonts w:ascii="Times New Roman" w:hAnsi="Times New Roman" w:cs="Times New Roman"/>
        </w:rPr>
        <w:t xml:space="preserve"> corner for the Olympic Games </w:t>
      </w:r>
      <w:r w:rsidR="002B69AE" w:rsidRPr="006217E1">
        <w:rPr>
          <w:rFonts w:ascii="Times New Roman" w:hAnsi="Times New Roman" w:cs="Times New Roman"/>
        </w:rPr>
        <w:t xml:space="preserve">that </w:t>
      </w:r>
      <w:r w:rsidRPr="006217E1">
        <w:rPr>
          <w:rFonts w:ascii="Times New Roman" w:hAnsi="Times New Roman" w:cs="Times New Roman"/>
        </w:rPr>
        <w:t>will</w:t>
      </w:r>
      <w:r w:rsidR="00134B27" w:rsidRPr="006217E1">
        <w:rPr>
          <w:rFonts w:ascii="Times New Roman" w:hAnsi="Times New Roman" w:cs="Times New Roman"/>
        </w:rPr>
        <w:t xml:space="preserve"> affect government expenditure above the </w:t>
      </w:r>
      <w:proofErr w:type="spellStart"/>
      <w:r w:rsidR="00134B27" w:rsidRPr="006217E1">
        <w:rPr>
          <w:rFonts w:ascii="Times New Roman" w:hAnsi="Times New Roman" w:cs="Times New Roman"/>
        </w:rPr>
        <w:t>ToC</w:t>
      </w:r>
      <w:proofErr w:type="spellEnd"/>
      <w:r w:rsidR="00134B27" w:rsidRPr="006217E1">
        <w:rPr>
          <w:rFonts w:ascii="Times New Roman" w:hAnsi="Times New Roman" w:cs="Times New Roman"/>
        </w:rPr>
        <w:t>.</w:t>
      </w:r>
      <w:r w:rsidRPr="006217E1">
        <w:rPr>
          <w:rFonts w:ascii="Times New Roman" w:hAnsi="Times New Roman" w:cs="Times New Roman"/>
        </w:rPr>
        <w:t xml:space="preserve"> </w:t>
      </w:r>
    </w:p>
    <w:p w14:paraId="27A4863F" w14:textId="1258CF32" w:rsidR="003277EC" w:rsidRPr="006217E1" w:rsidRDefault="00134B27" w:rsidP="003277EC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The submission is that any payments to do with the Olympic Games</w:t>
      </w:r>
      <w:r w:rsidR="008A10E2">
        <w:rPr>
          <w:rFonts w:ascii="Times New Roman" w:hAnsi="Times New Roman" w:cs="Times New Roman"/>
        </w:rPr>
        <w:t xml:space="preserve"> (whether directly or indirectly)</w:t>
      </w:r>
      <w:r w:rsidRPr="006217E1">
        <w:rPr>
          <w:rFonts w:ascii="Times New Roman" w:hAnsi="Times New Roman" w:cs="Times New Roman"/>
        </w:rPr>
        <w:t xml:space="preserve"> should NOT affect the CGC</w:t>
      </w:r>
      <w:r w:rsidR="00E565FD">
        <w:rPr>
          <w:rFonts w:ascii="Times New Roman" w:hAnsi="Times New Roman" w:cs="Times New Roman"/>
        </w:rPr>
        <w:t>’s</w:t>
      </w:r>
      <w:r w:rsidRPr="006217E1">
        <w:rPr>
          <w:rFonts w:ascii="Times New Roman" w:hAnsi="Times New Roman" w:cs="Times New Roman"/>
        </w:rPr>
        <w:t xml:space="preserve"> assessment for Queensland. Because if </w:t>
      </w:r>
      <w:r w:rsidR="002B69AE" w:rsidRPr="006217E1">
        <w:rPr>
          <w:rFonts w:ascii="Times New Roman" w:hAnsi="Times New Roman" w:cs="Times New Roman"/>
        </w:rPr>
        <w:t>SPPs or other payment</w:t>
      </w:r>
      <w:r w:rsidR="004F0FA2">
        <w:rPr>
          <w:rFonts w:ascii="Times New Roman" w:hAnsi="Times New Roman" w:cs="Times New Roman"/>
        </w:rPr>
        <w:t>s</w:t>
      </w:r>
      <w:r w:rsidR="002B69AE" w:rsidRPr="006217E1">
        <w:rPr>
          <w:rFonts w:ascii="Times New Roman" w:hAnsi="Times New Roman" w:cs="Times New Roman"/>
        </w:rPr>
        <w:t xml:space="preserve"> are not excluded</w:t>
      </w:r>
      <w:r w:rsidRPr="006217E1">
        <w:rPr>
          <w:rFonts w:ascii="Times New Roman" w:hAnsi="Times New Roman" w:cs="Times New Roman"/>
        </w:rPr>
        <w:t xml:space="preserve">, it will adversely affect the areas above the </w:t>
      </w:r>
      <w:proofErr w:type="spellStart"/>
      <w:r w:rsidRPr="006217E1">
        <w:rPr>
          <w:rFonts w:ascii="Times New Roman" w:hAnsi="Times New Roman" w:cs="Times New Roman"/>
        </w:rPr>
        <w:t>ToC</w:t>
      </w:r>
      <w:proofErr w:type="spellEnd"/>
      <w:r w:rsidRPr="006217E1">
        <w:rPr>
          <w:rFonts w:ascii="Times New Roman" w:hAnsi="Times New Roman" w:cs="Times New Roman"/>
        </w:rPr>
        <w:t xml:space="preserve">. </w:t>
      </w:r>
    </w:p>
    <w:p w14:paraId="3F17864E" w14:textId="6CB928BE" w:rsidR="008A10E2" w:rsidRPr="008A10E2" w:rsidRDefault="008A10E2" w:rsidP="003277EC">
      <w:pPr>
        <w:spacing w:before="120"/>
        <w:rPr>
          <w:rFonts w:ascii="Times New Roman" w:hAnsi="Times New Roman" w:cs="Times New Roman"/>
          <w:u w:val="single"/>
        </w:rPr>
      </w:pPr>
      <w:r w:rsidRPr="008A10E2">
        <w:rPr>
          <w:rFonts w:ascii="Times New Roman" w:hAnsi="Times New Roman" w:cs="Times New Roman"/>
          <w:u w:val="single"/>
        </w:rPr>
        <w:t>Change in Social Circumstances</w:t>
      </w:r>
    </w:p>
    <w:p w14:paraId="187CA9C0" w14:textId="3E543239" w:rsidR="003277EC" w:rsidRPr="006217E1" w:rsidRDefault="00134B27" w:rsidP="003277EC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The IP also asks the following question:</w:t>
      </w:r>
    </w:p>
    <w:p w14:paraId="5F4D090D" w14:textId="65A45E9D" w:rsidR="00134B27" w:rsidRPr="006217E1" w:rsidRDefault="00134B27" w:rsidP="00134B27">
      <w:pPr>
        <w:spacing w:before="120"/>
        <w:ind w:left="360"/>
        <w:rPr>
          <w:rFonts w:ascii="Times New Roman" w:hAnsi="Times New Roman" w:cs="Times New Roman"/>
          <w:sz w:val="21"/>
          <w:szCs w:val="21"/>
        </w:rPr>
      </w:pPr>
      <w:r w:rsidRPr="006217E1">
        <w:rPr>
          <w:rFonts w:ascii="Times New Roman" w:hAnsi="Times New Roman" w:cs="Times New Roman"/>
          <w:sz w:val="21"/>
          <w:szCs w:val="21"/>
        </w:rPr>
        <w:t>‘What changing economic and social circumstances are of most concern to states and territories?’</w:t>
      </w:r>
    </w:p>
    <w:p w14:paraId="2324D637" w14:textId="3F148782" w:rsidR="00134B27" w:rsidRPr="006217E1" w:rsidRDefault="00134B27" w:rsidP="003277EC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One of the most notable changes in Queensland is the increase in population in the south</w:t>
      </w:r>
      <w:r w:rsidR="008A10E2">
        <w:rPr>
          <w:rFonts w:ascii="Times New Roman" w:hAnsi="Times New Roman" w:cs="Times New Roman"/>
        </w:rPr>
        <w:t>-</w:t>
      </w:r>
      <w:r w:rsidRPr="006217E1">
        <w:rPr>
          <w:rFonts w:ascii="Times New Roman" w:hAnsi="Times New Roman" w:cs="Times New Roman"/>
        </w:rPr>
        <w:t>east corner. At present, there is an electoral redistribution taking place for the State’s single house parliament. At present, in the single house parliament, there are 93 seats</w:t>
      </w:r>
      <w:r w:rsidR="008A10E2">
        <w:rPr>
          <w:rFonts w:ascii="Times New Roman" w:hAnsi="Times New Roman" w:cs="Times New Roman"/>
        </w:rPr>
        <w:t>;</w:t>
      </w:r>
      <w:r w:rsidRPr="006217E1">
        <w:rPr>
          <w:rFonts w:ascii="Times New Roman" w:hAnsi="Times New Roman" w:cs="Times New Roman"/>
        </w:rPr>
        <w:t xml:space="preserve"> and 77 of those seats are below the </w:t>
      </w:r>
      <w:proofErr w:type="spellStart"/>
      <w:r w:rsidRPr="006217E1">
        <w:rPr>
          <w:rFonts w:ascii="Times New Roman" w:hAnsi="Times New Roman" w:cs="Times New Roman"/>
        </w:rPr>
        <w:t>ToC</w:t>
      </w:r>
      <w:proofErr w:type="spellEnd"/>
      <w:r w:rsidR="002B69AE" w:rsidRPr="006217E1">
        <w:rPr>
          <w:rFonts w:ascii="Times New Roman" w:hAnsi="Times New Roman" w:cs="Times New Roman"/>
        </w:rPr>
        <w:t>,</w:t>
      </w:r>
      <w:r w:rsidRPr="006217E1">
        <w:rPr>
          <w:rFonts w:ascii="Times New Roman" w:hAnsi="Times New Roman" w:cs="Times New Roman"/>
        </w:rPr>
        <w:t xml:space="preserve"> and </w:t>
      </w:r>
      <w:r w:rsidR="008A10E2">
        <w:rPr>
          <w:rFonts w:ascii="Times New Roman" w:hAnsi="Times New Roman" w:cs="Times New Roman"/>
        </w:rPr>
        <w:t xml:space="preserve">there are </w:t>
      </w:r>
      <w:r w:rsidRPr="006217E1">
        <w:rPr>
          <w:rFonts w:ascii="Times New Roman" w:hAnsi="Times New Roman" w:cs="Times New Roman"/>
        </w:rPr>
        <w:t xml:space="preserve">just 16 above. </w:t>
      </w:r>
      <w:r w:rsidR="008A10E2">
        <w:rPr>
          <w:rFonts w:ascii="Times New Roman" w:hAnsi="Times New Roman" w:cs="Times New Roman"/>
        </w:rPr>
        <w:t>There is no Upper House.</w:t>
      </w:r>
    </w:p>
    <w:p w14:paraId="5B4E94FF" w14:textId="77777777" w:rsidR="008A10E2" w:rsidRDefault="00134B27" w:rsidP="00AC5B68">
      <w:pPr>
        <w:pStyle w:val="NormalWeb"/>
      </w:pPr>
      <w:r w:rsidRPr="006217E1">
        <w:t>The issue in Queensland is ‘responsible government’. In the words of Mr Tony Fitzgerald KC</w:t>
      </w:r>
      <w:r w:rsidR="008A10E2">
        <w:t>:</w:t>
      </w:r>
      <w:r w:rsidRPr="006217E1">
        <w:t xml:space="preserve"> </w:t>
      </w:r>
    </w:p>
    <w:p w14:paraId="3ED0ACCA" w14:textId="4C61CF3C" w:rsidR="00AC5B68" w:rsidRPr="006217E1" w:rsidRDefault="00AC5B68" w:rsidP="008A10E2">
      <w:pPr>
        <w:pStyle w:val="NormalWeb"/>
        <w:ind w:left="720"/>
        <w:rPr>
          <w:sz w:val="21"/>
          <w:szCs w:val="21"/>
        </w:rPr>
      </w:pPr>
      <w:r w:rsidRPr="008A10E2">
        <w:rPr>
          <w:color w:val="000000" w:themeColor="text1"/>
          <w:sz w:val="21"/>
          <w:szCs w:val="21"/>
        </w:rPr>
        <w:t xml:space="preserve">‘With a single house of parliament, no bill of rights, and </w:t>
      </w:r>
      <w:r w:rsidR="004F0FA2">
        <w:rPr>
          <w:color w:val="000000" w:themeColor="text1"/>
          <w:sz w:val="21"/>
          <w:szCs w:val="21"/>
        </w:rPr>
        <w:t xml:space="preserve">a </w:t>
      </w:r>
      <w:r w:rsidRPr="008A10E2">
        <w:rPr>
          <w:color w:val="000000" w:themeColor="text1"/>
          <w:sz w:val="21"/>
          <w:szCs w:val="21"/>
        </w:rPr>
        <w:t>history of political malpractice, the state is extremely vulnerable to the misuse of power’</w:t>
      </w:r>
      <w:r w:rsidRPr="008A10E2">
        <w:rPr>
          <w:i/>
          <w:iCs/>
          <w:color w:val="000000" w:themeColor="text1"/>
          <w:sz w:val="21"/>
          <w:szCs w:val="21"/>
        </w:rPr>
        <w:t xml:space="preserve"> </w:t>
      </w:r>
      <w:r w:rsidRPr="006217E1">
        <w:rPr>
          <w:i/>
          <w:iCs/>
          <w:color w:val="110563"/>
          <w:sz w:val="21"/>
          <w:szCs w:val="21"/>
        </w:rPr>
        <w:t>(https://www.abc.net.au/news/2015-01-28/fitzgerald-queensland-must-put-a-stop-to-the-political-rot/6052310&gt;</w:t>
      </w:r>
    </w:p>
    <w:p w14:paraId="0F35E5FD" w14:textId="03AA9A5D" w:rsidR="003277EC" w:rsidRPr="006217E1" w:rsidRDefault="00A31BCB" w:rsidP="007E078D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 xml:space="preserve">Vertical fiscal imbalance </w:t>
      </w:r>
      <w:r w:rsidR="002B69AE" w:rsidRPr="006217E1">
        <w:rPr>
          <w:rFonts w:ascii="Times New Roman" w:hAnsi="Times New Roman" w:cs="Times New Roman"/>
        </w:rPr>
        <w:t>shifted toward</w:t>
      </w:r>
      <w:r w:rsidR="004F0FA2">
        <w:rPr>
          <w:rFonts w:ascii="Times New Roman" w:hAnsi="Times New Roman" w:cs="Times New Roman"/>
        </w:rPr>
        <w:t>s</w:t>
      </w:r>
      <w:r w:rsidR="002B69AE" w:rsidRPr="006217E1">
        <w:rPr>
          <w:rFonts w:ascii="Times New Roman" w:hAnsi="Times New Roman" w:cs="Times New Roman"/>
        </w:rPr>
        <w:t xml:space="preserve"> the </w:t>
      </w:r>
      <w:proofErr w:type="gramStart"/>
      <w:r w:rsidR="002B69AE" w:rsidRPr="006217E1">
        <w:rPr>
          <w:rFonts w:ascii="Times New Roman" w:hAnsi="Times New Roman" w:cs="Times New Roman"/>
        </w:rPr>
        <w:t xml:space="preserve">Commonwealth </w:t>
      </w:r>
      <w:r w:rsidRPr="006217E1">
        <w:rPr>
          <w:rFonts w:ascii="Times New Roman" w:hAnsi="Times New Roman" w:cs="Times New Roman"/>
        </w:rPr>
        <w:t xml:space="preserve"> follow</w:t>
      </w:r>
      <w:r w:rsidR="002B69AE" w:rsidRPr="006217E1">
        <w:rPr>
          <w:rFonts w:ascii="Times New Roman" w:hAnsi="Times New Roman" w:cs="Times New Roman"/>
        </w:rPr>
        <w:t>ing</w:t>
      </w:r>
      <w:proofErr w:type="gramEnd"/>
      <w:r w:rsidRPr="006217E1">
        <w:rPr>
          <w:rFonts w:ascii="Times New Roman" w:hAnsi="Times New Roman" w:cs="Times New Roman"/>
        </w:rPr>
        <w:t xml:space="preserve"> High Court decisions in 1942 and 1957 leaving the Commonwealth in a position to decide how it distributes </w:t>
      </w:r>
      <w:r w:rsidR="004F0FA2">
        <w:rPr>
          <w:rFonts w:ascii="Times New Roman" w:hAnsi="Times New Roman" w:cs="Times New Roman"/>
        </w:rPr>
        <w:t xml:space="preserve">the </w:t>
      </w:r>
      <w:r w:rsidRPr="006217E1">
        <w:rPr>
          <w:rFonts w:ascii="Times New Roman" w:hAnsi="Times New Roman" w:cs="Times New Roman"/>
        </w:rPr>
        <w:t xml:space="preserve">excess revenue it collects. </w:t>
      </w:r>
      <w:r w:rsidR="00AC5B68" w:rsidRPr="006217E1">
        <w:rPr>
          <w:rFonts w:ascii="Times New Roman" w:hAnsi="Times New Roman" w:cs="Times New Roman"/>
        </w:rPr>
        <w:t xml:space="preserve">The CGC’s modus </w:t>
      </w:r>
      <w:r w:rsidRPr="006217E1">
        <w:rPr>
          <w:rFonts w:ascii="Times New Roman" w:hAnsi="Times New Roman" w:cs="Times New Roman"/>
        </w:rPr>
        <w:t xml:space="preserve">for allocation </w:t>
      </w:r>
      <w:r w:rsidR="00AC5B68" w:rsidRPr="006217E1">
        <w:rPr>
          <w:rFonts w:ascii="Times New Roman" w:hAnsi="Times New Roman" w:cs="Times New Roman"/>
        </w:rPr>
        <w:t xml:space="preserve">is horizontal fiscal equalisation </w:t>
      </w:r>
      <w:r w:rsidR="002B69AE" w:rsidRPr="006217E1">
        <w:rPr>
          <w:rFonts w:ascii="Times New Roman" w:hAnsi="Times New Roman" w:cs="Times New Roman"/>
        </w:rPr>
        <w:t>‘</w:t>
      </w:r>
      <w:r w:rsidR="00AC5B68" w:rsidRPr="006217E1">
        <w:rPr>
          <w:rFonts w:ascii="Times New Roman" w:hAnsi="Times New Roman" w:cs="Times New Roman"/>
        </w:rPr>
        <w:t>between States</w:t>
      </w:r>
      <w:r w:rsidR="002B69AE" w:rsidRPr="006217E1">
        <w:rPr>
          <w:rFonts w:ascii="Times New Roman" w:hAnsi="Times New Roman" w:cs="Times New Roman"/>
        </w:rPr>
        <w:t>’</w:t>
      </w:r>
      <w:r w:rsidR="00AC5B68" w:rsidRPr="006217E1">
        <w:rPr>
          <w:rFonts w:ascii="Times New Roman" w:hAnsi="Times New Roman" w:cs="Times New Roman"/>
        </w:rPr>
        <w:t xml:space="preserve">. </w:t>
      </w:r>
      <w:r w:rsidRPr="006217E1">
        <w:rPr>
          <w:rFonts w:ascii="Times New Roman" w:hAnsi="Times New Roman" w:cs="Times New Roman"/>
        </w:rPr>
        <w:t xml:space="preserve">A simple allocation on a </w:t>
      </w:r>
      <w:proofErr w:type="gramStart"/>
      <w:r w:rsidRPr="006217E1">
        <w:rPr>
          <w:rFonts w:ascii="Times New Roman" w:hAnsi="Times New Roman" w:cs="Times New Roman"/>
        </w:rPr>
        <w:t>State</w:t>
      </w:r>
      <w:proofErr w:type="gramEnd"/>
      <w:r w:rsidRPr="006217E1">
        <w:rPr>
          <w:rFonts w:ascii="Times New Roman" w:hAnsi="Times New Roman" w:cs="Times New Roman"/>
        </w:rPr>
        <w:t xml:space="preserve"> basis, </w:t>
      </w:r>
      <w:proofErr w:type="gramStart"/>
      <w:r w:rsidRPr="006217E1">
        <w:rPr>
          <w:rFonts w:ascii="Times New Roman" w:hAnsi="Times New Roman" w:cs="Times New Roman"/>
        </w:rPr>
        <w:t>however,  neglects</w:t>
      </w:r>
      <w:proofErr w:type="gramEnd"/>
      <w:r w:rsidRPr="006217E1">
        <w:rPr>
          <w:rFonts w:ascii="Times New Roman" w:hAnsi="Times New Roman" w:cs="Times New Roman"/>
        </w:rPr>
        <w:t xml:space="preserve"> consideration of vertical fiscal imbalances within States</w:t>
      </w:r>
      <w:r w:rsidR="009D1EBA" w:rsidRPr="006217E1">
        <w:rPr>
          <w:rFonts w:ascii="Times New Roman" w:hAnsi="Times New Roman" w:cs="Times New Roman"/>
        </w:rPr>
        <w:t>;</w:t>
      </w:r>
      <w:r w:rsidRPr="006217E1">
        <w:rPr>
          <w:rFonts w:ascii="Times New Roman" w:hAnsi="Times New Roman" w:cs="Times New Roman"/>
        </w:rPr>
        <w:t xml:space="preserve"> and just as importantly</w:t>
      </w:r>
      <w:r w:rsidR="009D1EBA" w:rsidRPr="006217E1">
        <w:rPr>
          <w:rFonts w:ascii="Times New Roman" w:hAnsi="Times New Roman" w:cs="Times New Roman"/>
        </w:rPr>
        <w:t>, for Queensland,</w:t>
      </w:r>
      <w:r w:rsidRPr="006217E1">
        <w:rPr>
          <w:rFonts w:ascii="Times New Roman" w:hAnsi="Times New Roman" w:cs="Times New Roman"/>
        </w:rPr>
        <w:t xml:space="preserve"> a lack of transparency </w:t>
      </w:r>
      <w:r w:rsidR="009D1EBA" w:rsidRPr="006217E1">
        <w:rPr>
          <w:rFonts w:ascii="Times New Roman" w:hAnsi="Times New Roman" w:cs="Times New Roman"/>
        </w:rPr>
        <w:t>surrounding fiscal equalisation within the State</w:t>
      </w:r>
      <w:r w:rsidR="004F0FA2">
        <w:rPr>
          <w:rStyle w:val="FootnoteReference"/>
          <w:rFonts w:ascii="Times New Roman" w:hAnsi="Times New Roman" w:cs="Times New Roman"/>
        </w:rPr>
        <w:footnoteReference w:id="1"/>
      </w:r>
      <w:r w:rsidR="009D1EBA" w:rsidRPr="006217E1">
        <w:rPr>
          <w:rFonts w:ascii="Times New Roman" w:hAnsi="Times New Roman" w:cs="Times New Roman"/>
        </w:rPr>
        <w:t>.</w:t>
      </w:r>
      <w:r w:rsidR="00AC5B68" w:rsidRPr="006217E1">
        <w:rPr>
          <w:rFonts w:ascii="Times New Roman" w:hAnsi="Times New Roman" w:cs="Times New Roman"/>
        </w:rPr>
        <w:t xml:space="preserve"> </w:t>
      </w:r>
    </w:p>
    <w:p w14:paraId="27F9B4C6" w14:textId="530B8493" w:rsidR="007E078D" w:rsidRPr="006217E1" w:rsidRDefault="00790119" w:rsidP="007E078D">
      <w:pPr>
        <w:spacing w:before="120"/>
        <w:rPr>
          <w:rFonts w:ascii="Times New Roman" w:hAnsi="Times New Roman" w:cs="Times New Roman"/>
          <w:u w:val="single"/>
        </w:rPr>
      </w:pPr>
      <w:r w:rsidRPr="006217E1">
        <w:rPr>
          <w:rFonts w:ascii="Times New Roman" w:hAnsi="Times New Roman" w:cs="Times New Roman"/>
          <w:u w:val="single"/>
        </w:rPr>
        <w:t>Productivity</w:t>
      </w:r>
    </w:p>
    <w:p w14:paraId="55C31064" w14:textId="2468F097" w:rsidR="00790119" w:rsidRPr="006217E1" w:rsidRDefault="00790119" w:rsidP="007E078D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The preamble to the Australian constitution includes the following:</w:t>
      </w:r>
    </w:p>
    <w:p w14:paraId="578DC4EF" w14:textId="4E5F898C" w:rsidR="00790119" w:rsidRPr="006217E1" w:rsidRDefault="00790119" w:rsidP="00790119">
      <w:pPr>
        <w:spacing w:before="120"/>
        <w:ind w:left="7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  <w:i/>
          <w:iCs/>
        </w:rPr>
        <w:t xml:space="preserve">“WHEREAS the people …  have agreed to unite in one indissoluble </w:t>
      </w:r>
      <w:r w:rsidRPr="006217E1">
        <w:rPr>
          <w:rFonts w:ascii="Times New Roman" w:hAnsi="Times New Roman" w:cs="Times New Roman"/>
          <w:i/>
          <w:iCs/>
          <w:u w:val="single"/>
        </w:rPr>
        <w:t>Federal</w:t>
      </w:r>
      <w:r w:rsidRPr="006217E1">
        <w:rPr>
          <w:rFonts w:ascii="Times New Roman" w:hAnsi="Times New Roman" w:cs="Times New Roman"/>
          <w:i/>
          <w:iCs/>
        </w:rPr>
        <w:t xml:space="preserve"> Commonwealth …”.</w:t>
      </w:r>
    </w:p>
    <w:p w14:paraId="5B4EF7B1" w14:textId="05C15A44" w:rsidR="00790119" w:rsidRPr="006217E1" w:rsidRDefault="00DF0C76" w:rsidP="007E078D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>What does federalism mean today</w:t>
      </w:r>
      <w:r w:rsidR="001D3000" w:rsidRPr="006217E1">
        <w:rPr>
          <w:rFonts w:ascii="Times New Roman" w:hAnsi="Times New Roman" w:cs="Times New Roman"/>
        </w:rPr>
        <w:t>?</w:t>
      </w:r>
      <w:r w:rsidRPr="006217E1">
        <w:rPr>
          <w:rFonts w:ascii="Times New Roman" w:hAnsi="Times New Roman" w:cs="Times New Roman"/>
        </w:rPr>
        <w:t xml:space="preserve"> </w:t>
      </w:r>
      <w:r w:rsidR="001D3000" w:rsidRPr="006217E1">
        <w:rPr>
          <w:rFonts w:ascii="Times New Roman" w:hAnsi="Times New Roman" w:cs="Times New Roman"/>
        </w:rPr>
        <w:t>In the allocation of funds by the Commonwealth</w:t>
      </w:r>
      <w:r w:rsidR="008A10E2">
        <w:rPr>
          <w:rFonts w:ascii="Times New Roman" w:hAnsi="Times New Roman" w:cs="Times New Roman"/>
        </w:rPr>
        <w:t>,</w:t>
      </w:r>
      <w:r w:rsidR="001D3000" w:rsidRPr="006217E1">
        <w:rPr>
          <w:rFonts w:ascii="Times New Roman" w:hAnsi="Times New Roman" w:cs="Times New Roman"/>
        </w:rPr>
        <w:t xml:space="preserve"> terms like ‘co-operative federalism’, ‘co-ordinate federalism’, and ‘coercive federalism’ are used. Where do</w:t>
      </w:r>
      <w:r w:rsidR="008A10E2">
        <w:rPr>
          <w:rFonts w:ascii="Times New Roman" w:hAnsi="Times New Roman" w:cs="Times New Roman"/>
        </w:rPr>
        <w:t>es</w:t>
      </w:r>
      <w:r w:rsidR="001D3000" w:rsidRPr="006217E1">
        <w:rPr>
          <w:rFonts w:ascii="Times New Roman" w:hAnsi="Times New Roman" w:cs="Times New Roman"/>
        </w:rPr>
        <w:t xml:space="preserve"> the application of these idioms lead in terms of national productivity? </w:t>
      </w:r>
    </w:p>
    <w:p w14:paraId="1A819D25" w14:textId="6707DEC5" w:rsidR="00790119" w:rsidRPr="006217E1" w:rsidRDefault="001D3000" w:rsidP="007E078D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lastRenderedPageBreak/>
        <w:t>And thinking of productivity, another term surfaces – ‘competitive federalism’. Historically, the term competitive federalism might have conjured up images of the States competing and enlivening productivity</w:t>
      </w:r>
      <w:r w:rsidR="004F0FA2">
        <w:rPr>
          <w:rFonts w:ascii="Times New Roman" w:hAnsi="Times New Roman" w:cs="Times New Roman"/>
        </w:rPr>
        <w:t xml:space="preserve"> across the nation</w:t>
      </w:r>
      <w:r w:rsidRPr="006217E1">
        <w:rPr>
          <w:rFonts w:ascii="Times New Roman" w:hAnsi="Times New Roman" w:cs="Times New Roman"/>
        </w:rPr>
        <w:t xml:space="preserve">. </w:t>
      </w:r>
    </w:p>
    <w:p w14:paraId="206F1B62" w14:textId="26BB3B90" w:rsidR="001D3000" w:rsidRDefault="001D3000" w:rsidP="007E078D">
      <w:pPr>
        <w:spacing w:before="120"/>
        <w:rPr>
          <w:rFonts w:ascii="Times New Roman" w:hAnsi="Times New Roman" w:cs="Times New Roman"/>
        </w:rPr>
      </w:pPr>
      <w:r w:rsidRPr="006217E1">
        <w:rPr>
          <w:rFonts w:ascii="Times New Roman" w:hAnsi="Times New Roman" w:cs="Times New Roman"/>
        </w:rPr>
        <w:t xml:space="preserve">Since the Commonwealth’s domination in recovering taxes and spending (mostly due to s.96 of the Constitution and its interpretation), the term ‘competitive federalism’ has </w:t>
      </w:r>
      <w:r w:rsidR="00C06A17">
        <w:rPr>
          <w:rFonts w:ascii="Times New Roman" w:hAnsi="Times New Roman" w:cs="Times New Roman"/>
        </w:rPr>
        <w:t xml:space="preserve">taken on </w:t>
      </w:r>
      <w:r w:rsidRPr="006217E1">
        <w:rPr>
          <w:rFonts w:ascii="Times New Roman" w:hAnsi="Times New Roman" w:cs="Times New Roman"/>
        </w:rPr>
        <w:t xml:space="preserve">a new </w:t>
      </w:r>
      <w:r w:rsidR="00192526" w:rsidRPr="006217E1">
        <w:rPr>
          <w:rFonts w:ascii="Times New Roman" w:hAnsi="Times New Roman" w:cs="Times New Roman"/>
        </w:rPr>
        <w:t>‘</w:t>
      </w:r>
      <w:r w:rsidRPr="006217E1">
        <w:rPr>
          <w:rFonts w:ascii="Times New Roman" w:hAnsi="Times New Roman" w:cs="Times New Roman"/>
        </w:rPr>
        <w:t>vertical</w:t>
      </w:r>
      <w:r w:rsidR="00192526" w:rsidRPr="006217E1">
        <w:rPr>
          <w:rFonts w:ascii="Times New Roman" w:hAnsi="Times New Roman" w:cs="Times New Roman"/>
        </w:rPr>
        <w:t>’</w:t>
      </w:r>
      <w:r w:rsidRPr="006217E1">
        <w:rPr>
          <w:rFonts w:ascii="Times New Roman" w:hAnsi="Times New Roman" w:cs="Times New Roman"/>
        </w:rPr>
        <w:t xml:space="preserve"> connotation. The Commonwealth spends in </w:t>
      </w:r>
      <w:r w:rsidR="00192526" w:rsidRPr="006217E1">
        <w:rPr>
          <w:rFonts w:ascii="Times New Roman" w:hAnsi="Times New Roman" w:cs="Times New Roman"/>
        </w:rPr>
        <w:t xml:space="preserve">areas like </w:t>
      </w:r>
      <w:r w:rsidRPr="006217E1">
        <w:rPr>
          <w:rFonts w:ascii="Times New Roman" w:hAnsi="Times New Roman" w:cs="Times New Roman"/>
        </w:rPr>
        <w:t>health</w:t>
      </w:r>
      <w:r w:rsidR="00192526" w:rsidRPr="006217E1">
        <w:rPr>
          <w:rFonts w:ascii="Times New Roman" w:hAnsi="Times New Roman" w:cs="Times New Roman"/>
        </w:rPr>
        <w:t xml:space="preserve"> and education, and other areas where it does not have legislative power, in competition with the States.  In many cases this has led to duplication</w:t>
      </w:r>
      <w:r w:rsidR="004F0FA2">
        <w:rPr>
          <w:rFonts w:ascii="Times New Roman" w:hAnsi="Times New Roman" w:cs="Times New Roman"/>
        </w:rPr>
        <w:t xml:space="preserve"> -</w:t>
      </w:r>
      <w:r w:rsidR="00C06A17">
        <w:rPr>
          <w:rFonts w:ascii="Times New Roman" w:hAnsi="Times New Roman" w:cs="Times New Roman"/>
        </w:rPr>
        <w:t xml:space="preserve"> and blame shifting.</w:t>
      </w:r>
      <w:r w:rsidR="00192526" w:rsidRPr="006217E1">
        <w:rPr>
          <w:rFonts w:ascii="Times New Roman" w:hAnsi="Times New Roman" w:cs="Times New Roman"/>
        </w:rPr>
        <w:t xml:space="preserve"> Does this</w:t>
      </w:r>
      <w:r w:rsidR="00A922C7">
        <w:rPr>
          <w:rFonts w:ascii="Times New Roman" w:hAnsi="Times New Roman" w:cs="Times New Roman"/>
        </w:rPr>
        <w:t xml:space="preserve"> (in any sense, including GST allocation)</w:t>
      </w:r>
      <w:r w:rsidR="00192526" w:rsidRPr="006217E1">
        <w:rPr>
          <w:rFonts w:ascii="Times New Roman" w:hAnsi="Times New Roman" w:cs="Times New Roman"/>
        </w:rPr>
        <w:t xml:space="preserve"> aid productivity? </w:t>
      </w:r>
    </w:p>
    <w:p w14:paraId="7CFD3076" w14:textId="02A1185D" w:rsidR="002800CA" w:rsidRPr="00CB72FF" w:rsidRDefault="00CB72FF" w:rsidP="007E078D">
      <w:pPr>
        <w:spacing w:before="120"/>
        <w:rPr>
          <w:rFonts w:ascii="Times New Roman" w:hAnsi="Times New Roman" w:cs="Times New Roman"/>
          <w:u w:val="single"/>
        </w:rPr>
      </w:pPr>
      <w:r w:rsidRPr="00CB72FF">
        <w:rPr>
          <w:rFonts w:ascii="Times New Roman" w:hAnsi="Times New Roman" w:cs="Times New Roman"/>
          <w:u w:val="single"/>
        </w:rPr>
        <w:t>Conclusion</w:t>
      </w:r>
    </w:p>
    <w:p w14:paraId="0C086810" w14:textId="78A9F019" w:rsidR="002F459A" w:rsidRDefault="0011012A" w:rsidP="007E078D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above submission points are </w:t>
      </w:r>
      <w:proofErr w:type="gramStart"/>
      <w:r>
        <w:rPr>
          <w:rFonts w:ascii="Times New Roman" w:hAnsi="Times New Roman" w:cs="Times New Roman"/>
        </w:rPr>
        <w:t>broad, and</w:t>
      </w:r>
      <w:proofErr w:type="gramEnd"/>
      <w:r>
        <w:rPr>
          <w:rFonts w:ascii="Times New Roman" w:hAnsi="Times New Roman" w:cs="Times New Roman"/>
        </w:rPr>
        <w:t xml:space="preserve"> hopefully will promote some thought about </w:t>
      </w:r>
      <w:r w:rsidR="002F459A">
        <w:rPr>
          <w:rFonts w:ascii="Times New Roman" w:hAnsi="Times New Roman" w:cs="Times New Roman"/>
        </w:rPr>
        <w:t xml:space="preserve">fiscal balance ‘in the whole of the federation’. </w:t>
      </w:r>
    </w:p>
    <w:p w14:paraId="5F6B74D8" w14:textId="1273FA78" w:rsidR="002F459A" w:rsidRDefault="0011012A" w:rsidP="007E078D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2F459A">
        <w:rPr>
          <w:rFonts w:ascii="Times New Roman" w:hAnsi="Times New Roman" w:cs="Times New Roman"/>
        </w:rPr>
        <w:t xml:space="preserve">making the comment about the ‘whole of the federation’, reflection on the concept of competitive federalism is </w:t>
      </w:r>
      <w:r w:rsidR="00C06A17">
        <w:rPr>
          <w:rFonts w:ascii="Times New Roman" w:hAnsi="Times New Roman" w:cs="Times New Roman"/>
        </w:rPr>
        <w:t>encouraged</w:t>
      </w:r>
      <w:r w:rsidR="002F459A">
        <w:rPr>
          <w:rFonts w:ascii="Times New Roman" w:hAnsi="Times New Roman" w:cs="Times New Roman"/>
        </w:rPr>
        <w:t xml:space="preserve">. </w:t>
      </w:r>
      <w:r w:rsidR="004F0FA2">
        <w:rPr>
          <w:rFonts w:ascii="Times New Roman" w:hAnsi="Times New Roman" w:cs="Times New Roman"/>
        </w:rPr>
        <w:t>To wit, w</w:t>
      </w:r>
      <w:r w:rsidR="002F459A">
        <w:rPr>
          <w:rFonts w:ascii="Times New Roman" w:hAnsi="Times New Roman" w:cs="Times New Roman"/>
        </w:rPr>
        <w:t xml:space="preserve">hat are the levels of productivity within each </w:t>
      </w:r>
      <w:r w:rsidR="00C06A17">
        <w:rPr>
          <w:rFonts w:ascii="Times New Roman" w:hAnsi="Times New Roman" w:cs="Times New Roman"/>
        </w:rPr>
        <w:t xml:space="preserve">of the </w:t>
      </w:r>
      <w:r w:rsidR="002F459A">
        <w:rPr>
          <w:rFonts w:ascii="Times New Roman" w:hAnsi="Times New Roman" w:cs="Times New Roman"/>
        </w:rPr>
        <w:t>State</w:t>
      </w:r>
      <w:r w:rsidR="00C06A17">
        <w:rPr>
          <w:rFonts w:ascii="Times New Roman" w:hAnsi="Times New Roman" w:cs="Times New Roman"/>
        </w:rPr>
        <w:t>s</w:t>
      </w:r>
      <w:r w:rsidR="002F459A">
        <w:rPr>
          <w:rFonts w:ascii="Times New Roman" w:hAnsi="Times New Roman" w:cs="Times New Roman"/>
        </w:rPr>
        <w:t>? Are there States</w:t>
      </w:r>
      <w:r w:rsidR="00C06A17">
        <w:rPr>
          <w:rFonts w:ascii="Times New Roman" w:hAnsi="Times New Roman" w:cs="Times New Roman"/>
        </w:rPr>
        <w:t>, for example,</w:t>
      </w:r>
      <w:r w:rsidR="002F459A">
        <w:rPr>
          <w:rFonts w:ascii="Times New Roman" w:hAnsi="Times New Roman" w:cs="Times New Roman"/>
        </w:rPr>
        <w:t xml:space="preserve"> where productivity is low, </w:t>
      </w:r>
      <w:r w:rsidR="004F0FA2">
        <w:rPr>
          <w:rFonts w:ascii="Times New Roman" w:hAnsi="Times New Roman" w:cs="Times New Roman"/>
        </w:rPr>
        <w:t>and</w:t>
      </w:r>
      <w:r w:rsidR="002F459A">
        <w:rPr>
          <w:rFonts w:ascii="Times New Roman" w:hAnsi="Times New Roman" w:cs="Times New Roman"/>
        </w:rPr>
        <w:t xml:space="preserve"> that outcome is hidden or mollified by GST allocations? If so, does the following question become relevant: If you have an inefficient entity</w:t>
      </w:r>
      <w:r w:rsidR="00E62821">
        <w:rPr>
          <w:rFonts w:ascii="Times New Roman" w:hAnsi="Times New Roman" w:cs="Times New Roman"/>
        </w:rPr>
        <w:t xml:space="preserve"> in a structure</w:t>
      </w:r>
      <w:r w:rsidR="002F459A">
        <w:rPr>
          <w:rFonts w:ascii="Times New Roman" w:hAnsi="Times New Roman" w:cs="Times New Roman"/>
        </w:rPr>
        <w:t>, will it improve if you keep propping it up?</w:t>
      </w:r>
    </w:p>
    <w:p w14:paraId="11E68189" w14:textId="77777777" w:rsidR="004F0FA2" w:rsidRDefault="002F459A" w:rsidP="007E078D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Perhaps this question</w:t>
      </w:r>
      <w:r w:rsidR="00C06A17">
        <w:rPr>
          <w:rFonts w:ascii="Times New Roman" w:hAnsi="Times New Roman" w:cs="Times New Roman"/>
        </w:rPr>
        <w:t>, from a general point of view,</w:t>
      </w:r>
      <w:r>
        <w:rPr>
          <w:rFonts w:ascii="Times New Roman" w:hAnsi="Times New Roman" w:cs="Times New Roman"/>
        </w:rPr>
        <w:t xml:space="preserve"> is contemporaneously too politically incorrect to be a</w:t>
      </w:r>
      <w:r w:rsidR="00C06A17">
        <w:rPr>
          <w:rFonts w:ascii="Times New Roman" w:hAnsi="Times New Roman" w:cs="Times New Roman"/>
        </w:rPr>
        <w:t>nswered</w:t>
      </w:r>
      <w:r w:rsidR="004F0FA2">
        <w:rPr>
          <w:rFonts w:ascii="Times New Roman" w:hAnsi="Times New Roman" w:cs="Times New Roman"/>
        </w:rPr>
        <w:t xml:space="preserve"> overtly</w:t>
      </w:r>
      <w:r>
        <w:rPr>
          <w:rFonts w:ascii="Times New Roman" w:hAnsi="Times New Roman" w:cs="Times New Roman"/>
        </w:rPr>
        <w:t>.</w:t>
      </w:r>
      <w:r w:rsidR="004F0FA2">
        <w:rPr>
          <w:rFonts w:ascii="Times New Roman" w:hAnsi="Times New Roman" w:cs="Times New Roman"/>
        </w:rPr>
        <w:t xml:space="preserve"> </w:t>
      </w:r>
    </w:p>
    <w:p w14:paraId="15489BE0" w14:textId="77777777" w:rsidR="004F0FA2" w:rsidRDefault="004F0FA2" w:rsidP="007E078D">
      <w:pPr>
        <w:spacing w:before="120"/>
        <w:rPr>
          <w:rFonts w:ascii="Times New Roman" w:hAnsi="Times New Roman" w:cs="Times New Roman"/>
        </w:rPr>
      </w:pPr>
    </w:p>
    <w:p w14:paraId="2F37AA4F" w14:textId="77777777" w:rsidR="004F0FA2" w:rsidRDefault="004F0FA2" w:rsidP="007E078D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</w:t>
      </w:r>
    </w:p>
    <w:p w14:paraId="1C05E59D" w14:textId="77777777" w:rsidR="004F0FA2" w:rsidRDefault="004F0FA2" w:rsidP="007E078D">
      <w:pPr>
        <w:spacing w:before="120"/>
        <w:rPr>
          <w:rFonts w:ascii="Times New Roman" w:hAnsi="Times New Roman" w:cs="Times New Roman"/>
        </w:rPr>
      </w:pPr>
    </w:p>
    <w:p w14:paraId="01A93CE5" w14:textId="2464A2D3" w:rsidR="002F459A" w:rsidRDefault="004F0FA2" w:rsidP="007E078D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 Raffles </w:t>
      </w:r>
      <w:r w:rsidR="00C06A17">
        <w:rPr>
          <w:rFonts w:ascii="Times New Roman" w:hAnsi="Times New Roman" w:cs="Times New Roman"/>
        </w:rPr>
        <w:t xml:space="preserve"> </w:t>
      </w:r>
    </w:p>
    <w:p w14:paraId="3FC9738D" w14:textId="77777777" w:rsidR="008A10E2" w:rsidRPr="006217E1" w:rsidRDefault="008A10E2" w:rsidP="007E078D">
      <w:pPr>
        <w:spacing w:before="120"/>
        <w:rPr>
          <w:rFonts w:ascii="Times New Roman" w:hAnsi="Times New Roman" w:cs="Times New Roman"/>
        </w:rPr>
      </w:pPr>
    </w:p>
    <w:sectPr w:rsidR="008A10E2" w:rsidRPr="006217E1" w:rsidSect="00C03D80">
      <w:headerReference w:type="even" r:id="rId10"/>
      <w:headerReference w:type="default" r:id="rId11"/>
      <w:head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DFB2" w14:textId="77777777" w:rsidR="00DC62EF" w:rsidRDefault="00DC62EF" w:rsidP="004F0FA2">
      <w:r>
        <w:separator/>
      </w:r>
    </w:p>
  </w:endnote>
  <w:endnote w:type="continuationSeparator" w:id="0">
    <w:p w14:paraId="2986DDF9" w14:textId="77777777" w:rsidR="00DC62EF" w:rsidRDefault="00DC62EF" w:rsidP="004F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9BCD" w14:textId="77777777" w:rsidR="00DC62EF" w:rsidRDefault="00DC62EF" w:rsidP="004F0FA2">
      <w:r>
        <w:separator/>
      </w:r>
    </w:p>
  </w:footnote>
  <w:footnote w:type="continuationSeparator" w:id="0">
    <w:p w14:paraId="3093E1B9" w14:textId="77777777" w:rsidR="00DC62EF" w:rsidRDefault="00DC62EF" w:rsidP="004F0FA2">
      <w:r>
        <w:continuationSeparator/>
      </w:r>
    </w:p>
  </w:footnote>
  <w:footnote w:id="1">
    <w:p w14:paraId="42F087A0" w14:textId="314FAA03" w:rsidR="004F0FA2" w:rsidRDefault="004F0FA2">
      <w:pPr>
        <w:pStyle w:val="FootnoteText"/>
      </w:pPr>
      <w:r>
        <w:rPr>
          <w:rStyle w:val="FootnoteReference"/>
        </w:rPr>
        <w:footnoteRef/>
      </w:r>
      <w:r>
        <w:t xml:space="preserve"> Noting here that s.7 paragraph 2 of the Constitution was blocked in 1983 by electoral legislation initiated by a private member’s Bill in the Senate.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D619" w14:textId="6F306481" w:rsidR="00A266EA" w:rsidRDefault="00A266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8CA10D" wp14:editId="0DBADB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76555"/>
              <wp:effectExtent l="0" t="0" r="13335" b="4445"/>
              <wp:wrapNone/>
              <wp:docPr id="130235998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F4B3C" w14:textId="36962818" w:rsidR="00A266EA" w:rsidRPr="00A266EA" w:rsidRDefault="00A266EA" w:rsidP="00A266E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266E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CA1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 OFFICIAL" style="position:absolute;margin-left:0;margin-top:0;width:51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" filled="f" stroked="f">
              <v:textbox style="mso-fit-shape-to-text:t" inset="0,15pt,0,0">
                <w:txbxContent>
                  <w:p w14:paraId="671F4B3C" w14:textId="36962818" w:rsidR="00A266EA" w:rsidRPr="00A266EA" w:rsidRDefault="00A266EA" w:rsidP="00A266E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266EA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8FB8" w14:textId="37ADD767" w:rsidR="00A266EA" w:rsidRDefault="00A266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2D5F50" wp14:editId="50BAD0D0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76555"/>
              <wp:effectExtent l="0" t="0" r="13335" b="4445"/>
              <wp:wrapNone/>
              <wp:docPr id="156407119" name="Text Box 3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D1381" w14:textId="3F82303A" w:rsidR="00A266EA" w:rsidRPr="00A266EA" w:rsidRDefault="00A266EA" w:rsidP="00A266E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266E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D5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 OFFICIAL" style="position:absolute;margin-left:0;margin-top:0;width:51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" filled="f" stroked="f">
              <v:textbox style="mso-fit-shape-to-text:t" inset="0,15pt,0,0">
                <w:txbxContent>
                  <w:p w14:paraId="5D1D1381" w14:textId="3F82303A" w:rsidR="00A266EA" w:rsidRPr="00A266EA" w:rsidRDefault="00A266EA" w:rsidP="00A266E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266EA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72E6" w14:textId="41C88475" w:rsidR="00A266EA" w:rsidRDefault="00A266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8E47CF" wp14:editId="0E50C9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76555"/>
              <wp:effectExtent l="0" t="0" r="13335" b="4445"/>
              <wp:wrapNone/>
              <wp:docPr id="379356721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CE3FC" w14:textId="0E62FEF6" w:rsidR="00A266EA" w:rsidRPr="00A266EA" w:rsidRDefault="00A266EA" w:rsidP="00A266E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266E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E47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 OFFICIAL" style="position:absolute;margin-left:0;margin-top:0;width:51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" filled="f" stroked="f">
              <v:textbox style="mso-fit-shape-to-text:t" inset="0,15pt,0,0">
                <w:txbxContent>
                  <w:p w14:paraId="2B1CE3FC" w14:textId="0E62FEF6" w:rsidR="00A266EA" w:rsidRPr="00A266EA" w:rsidRDefault="00A266EA" w:rsidP="00A266E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266EA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B8D"/>
    <w:multiLevelType w:val="multilevel"/>
    <w:tmpl w:val="2AE4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216E8"/>
    <w:multiLevelType w:val="multilevel"/>
    <w:tmpl w:val="DD6C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2072DB"/>
    <w:multiLevelType w:val="hybridMultilevel"/>
    <w:tmpl w:val="0D361772"/>
    <w:lvl w:ilvl="0" w:tplc="08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" w15:restartNumberingAfterBreak="0">
    <w:nsid w:val="6BDC2FA7"/>
    <w:multiLevelType w:val="multilevel"/>
    <w:tmpl w:val="C88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4719863">
    <w:abstractNumId w:val="1"/>
  </w:num>
  <w:num w:numId="2" w16cid:durableId="437912227">
    <w:abstractNumId w:val="2"/>
  </w:num>
  <w:num w:numId="3" w16cid:durableId="1829126299">
    <w:abstractNumId w:val="0"/>
  </w:num>
  <w:num w:numId="4" w16cid:durableId="208976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8D"/>
    <w:rsid w:val="00026A00"/>
    <w:rsid w:val="000B4C89"/>
    <w:rsid w:val="0011012A"/>
    <w:rsid w:val="00134B27"/>
    <w:rsid w:val="0016671B"/>
    <w:rsid w:val="00192526"/>
    <w:rsid w:val="001C52C7"/>
    <w:rsid w:val="001D3000"/>
    <w:rsid w:val="00247C0D"/>
    <w:rsid w:val="002800CA"/>
    <w:rsid w:val="002B69AE"/>
    <w:rsid w:val="002F459A"/>
    <w:rsid w:val="00311ABB"/>
    <w:rsid w:val="003277EC"/>
    <w:rsid w:val="00440393"/>
    <w:rsid w:val="00453939"/>
    <w:rsid w:val="004C2E30"/>
    <w:rsid w:val="004F0FA2"/>
    <w:rsid w:val="005A453C"/>
    <w:rsid w:val="006217E1"/>
    <w:rsid w:val="00664C11"/>
    <w:rsid w:val="00670C6C"/>
    <w:rsid w:val="006E6D2C"/>
    <w:rsid w:val="00732CBA"/>
    <w:rsid w:val="00790119"/>
    <w:rsid w:val="007C1DD5"/>
    <w:rsid w:val="007E078D"/>
    <w:rsid w:val="00824905"/>
    <w:rsid w:val="00835F7B"/>
    <w:rsid w:val="008661CA"/>
    <w:rsid w:val="008A10E2"/>
    <w:rsid w:val="009D1EBA"/>
    <w:rsid w:val="00A266EA"/>
    <w:rsid w:val="00A31BCB"/>
    <w:rsid w:val="00A86B16"/>
    <w:rsid w:val="00A922C7"/>
    <w:rsid w:val="00AC5B68"/>
    <w:rsid w:val="00BB233D"/>
    <w:rsid w:val="00BF4653"/>
    <w:rsid w:val="00C03D80"/>
    <w:rsid w:val="00C06A17"/>
    <w:rsid w:val="00C47DE6"/>
    <w:rsid w:val="00CB3717"/>
    <w:rsid w:val="00CB72FF"/>
    <w:rsid w:val="00D027BD"/>
    <w:rsid w:val="00D17C43"/>
    <w:rsid w:val="00DA26E4"/>
    <w:rsid w:val="00DC62EF"/>
    <w:rsid w:val="00DE1625"/>
    <w:rsid w:val="00DE78EA"/>
    <w:rsid w:val="00DF0C76"/>
    <w:rsid w:val="00E44FE7"/>
    <w:rsid w:val="00E565FD"/>
    <w:rsid w:val="00E568A9"/>
    <w:rsid w:val="00E62821"/>
    <w:rsid w:val="00E87513"/>
    <w:rsid w:val="00F32A3B"/>
    <w:rsid w:val="00F41B05"/>
    <w:rsid w:val="00F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AFE9"/>
  <w15:chartTrackingRefBased/>
  <w15:docId w15:val="{4C1C14EB-69A4-3043-9009-E8F51BE1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7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7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07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0F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F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0FA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266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A09F24D3C7D42BC4F0D225D56A002" ma:contentTypeVersion="12" ma:contentTypeDescription="Create a new document." ma:contentTypeScope="" ma:versionID="62240a488e9d2385c59ff7d933df72b8">
  <xsd:schema xmlns:xsd="http://www.w3.org/2001/XMLSchema" xmlns:xs="http://www.w3.org/2001/XMLSchema" xmlns:p="http://schemas.microsoft.com/office/2006/metadata/properties" xmlns:ns2="6c345048-4f48-4f33-acaa-aa726ed2b624" xmlns:ns3="a45654d2-7e13-41e4-899b-c3fb30ebea62" targetNamespace="http://schemas.microsoft.com/office/2006/metadata/properties" ma:root="true" ma:fieldsID="079c33dadabcbde48ee3eaac5a8b2157" ns2:_="" ns3:_="">
    <xsd:import namespace="6c345048-4f48-4f33-acaa-aa726ed2b624"/>
    <xsd:import namespace="a45654d2-7e13-41e4-899b-c3fb30ebea62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45048-4f48-4f33-acaa-aa726ed2b624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3716eeb-8bdb-4c0c-a0af-4229fea71498}" ma:internalName="TaxCatchAll" ma:showField="CatchAllData" ma:web="6c345048-4f48-4f33-acaa-aa726ed2b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54d2-7e13-41e4-899b-c3fb30ebe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654d2-7e13-41e4-899b-c3fb30ebea62">
      <Terms xmlns="http://schemas.microsoft.com/office/infopath/2007/PartnerControls"/>
    </lcf76f155ced4ddcb4097134ff3c332f>
    <i0f84bba906045b4af568ee102a52dcb xmlns="6c345048-4f48-4f33-acaa-aa726ed2b6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6c345048-4f48-4f33-acaa-aa726ed2b624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FD2A7-B513-474C-804C-DDBC95C1A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45048-4f48-4f33-acaa-aa726ed2b624"/>
    <ds:schemaRef ds:uri="a45654d2-7e13-41e4-899b-c3fb30ebe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EFC47-93D1-48A2-8DAC-62AD8A3B1CBD}">
  <ds:schemaRefs>
    <ds:schemaRef ds:uri="http://schemas.microsoft.com/office/2006/metadata/properties"/>
    <ds:schemaRef ds:uri="http://schemas.microsoft.com/office/infopath/2007/PartnerControls"/>
    <ds:schemaRef ds:uri="a45654d2-7e13-41e4-899b-c3fb30ebea62"/>
    <ds:schemaRef ds:uri="6c345048-4f48-4f33-acaa-aa726ed2b624"/>
  </ds:schemaRefs>
</ds:datastoreItem>
</file>

<file path=customXml/itemProps3.xml><?xml version="1.0" encoding="utf-8"?>
<ds:datastoreItem xmlns:ds="http://schemas.openxmlformats.org/officeDocument/2006/customXml" ds:itemID="{3849579F-550B-42A8-AC20-7309A57CC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1029</Words>
  <Characters>5571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24 - Peter Raffles - GST distribution reforms - Public inquiry</vt:lpstr>
    </vt:vector>
  </TitlesOfParts>
  <Company>Peter Raffles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24 - Peter Raffles - GST distribution reforms - Public inquiry</dc:title>
  <dc:subject/>
  <dc:creator>Peter Raffles</dc:creator>
  <cp:keywords/>
  <dc:description/>
  <cp:lastModifiedBy>Chris Alston</cp:lastModifiedBy>
  <cp:revision>3</cp:revision>
  <cp:lastPrinted>2026-02-26T10:43:00Z</cp:lastPrinted>
  <dcterms:created xsi:type="dcterms:W3CDTF">2026-02-27T00:51:00Z</dcterms:created>
  <dcterms:modified xsi:type="dcterms:W3CDTF">2026-02-27T00:54:00Z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0x010100E73A09F24D3C7D42BC4F0D225D56A002</vt:lpwstr>
  </property>
  <property fmtid="{D5CDD505-2E9C-101B-9397-08002B2CF9AE}" pid="3" name="ClassificationContentMarkingHeaderShapeIds">
    <vt:lpwstr>169c8631,7c33e5e,952954f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 OFFICIAL</vt:lpwstr>
  </property>
  <property fmtid="{D5CDD505-2E9C-101B-9397-08002B2CF9AE}" pid="6" name="MSIP_Label_f7467c1a-e0ed-413c-a72b-aac8e8e94f41_Enabled">
    <vt:lpwstr>true</vt:lpwstr>
  </property>
  <property fmtid="{D5CDD505-2E9C-101B-9397-08002B2CF9AE}" pid="7" name="MSIP_Label_f7467c1a-e0ed-413c-a72b-aac8e8e94f41_SetDate">
    <vt:lpwstr>2026-02-26T22:13:31Z</vt:lpwstr>
  </property>
  <property fmtid="{D5CDD505-2E9C-101B-9397-08002B2CF9AE}" pid="8" name="MSIP_Label_f7467c1a-e0ed-413c-a72b-aac8e8e94f41_Method">
    <vt:lpwstr>Privileged</vt:lpwstr>
  </property>
  <property fmtid="{D5CDD505-2E9C-101B-9397-08002B2CF9AE}" pid="9" name="MSIP_Label_f7467c1a-e0ed-413c-a72b-aac8e8e94f41_Name">
    <vt:lpwstr>OFFICIAL</vt:lpwstr>
  </property>
  <property fmtid="{D5CDD505-2E9C-101B-9397-08002B2CF9AE}" pid="10" name="MSIP_Label_f7467c1a-e0ed-413c-a72b-aac8e8e94f41_SiteId">
    <vt:lpwstr>29f9330b-c0fe-4244-830e-ba9f275d6c34</vt:lpwstr>
  </property>
  <property fmtid="{D5CDD505-2E9C-101B-9397-08002B2CF9AE}" pid="11" name="MSIP_Label_f7467c1a-e0ed-413c-a72b-aac8e8e94f41_ActionId">
    <vt:lpwstr>dd0f10b7-652d-44e3-a062-e280337aa454</vt:lpwstr>
  </property>
  <property fmtid="{D5CDD505-2E9C-101B-9397-08002B2CF9AE}" pid="12" name="MSIP_Label_f7467c1a-e0ed-413c-a72b-aac8e8e94f41_ContentBits">
    <vt:lpwstr>1</vt:lpwstr>
  </property>
  <property fmtid="{D5CDD505-2E9C-101B-9397-08002B2CF9AE}" pid="13" name="MSIP_Label_f7467c1a-e0ed-413c-a72b-aac8e8e94f41_Tag">
    <vt:lpwstr>10, 0, 1, 1</vt:lpwstr>
  </property>
  <property fmtid="{D5CDD505-2E9C-101B-9397-08002B2CF9AE}" pid="14" name="MediaServiceImageTags">
    <vt:lpwstr/>
  </property>
  <property fmtid="{D5CDD505-2E9C-101B-9397-08002B2CF9AE}" pid="15" name="RevIMBCS">
    <vt:lpwstr>1;#Unclassified|3955eeb1-2d18-4582-aeb2-00144ec3aaf5</vt:lpwstr>
  </property>
</Properties>
</file>