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724E" w14:textId="77777777" w:rsidR="004D6E80" w:rsidRPr="00B16506" w:rsidRDefault="004D6E80" w:rsidP="00B16506">
      <w:pPr>
        <w:pStyle w:val="Heading1"/>
        <w:spacing w:after="120"/>
        <w:rPr>
          <w:rFonts w:cs="Arial"/>
          <w:sz w:val="28"/>
          <w:szCs w:val="28"/>
        </w:rPr>
      </w:pPr>
      <w:r w:rsidRPr="00B16506">
        <w:rPr>
          <w:rFonts w:cs="Arial"/>
          <w:sz w:val="28"/>
          <w:szCs w:val="28"/>
        </w:rPr>
        <w:t>Productivity Commission responses to request for supplementary information regarding ‘Wealth transfers and their economic effects’</w:t>
      </w:r>
    </w:p>
    <w:p w14:paraId="0AFE2E0A" w14:textId="62F3170A" w:rsidR="00D013A7" w:rsidRPr="006E0B6E" w:rsidRDefault="004D6E80" w:rsidP="004D6E80">
      <w:pPr>
        <w:rPr>
          <w:rFonts w:cs="Arial"/>
        </w:rPr>
      </w:pPr>
      <w:r w:rsidRPr="006E0B6E">
        <w:rPr>
          <w:rFonts w:cs="Arial"/>
        </w:rPr>
        <w:t>This document contains the Productivity Commission’s responses to a request</w:t>
      </w:r>
      <w:r w:rsidR="00142065" w:rsidRPr="006E0B6E">
        <w:rPr>
          <w:rFonts w:cs="Arial"/>
        </w:rPr>
        <w:t xml:space="preserve"> from the Treasury</w:t>
      </w:r>
      <w:r w:rsidR="002979E9" w:rsidRPr="006E0B6E">
        <w:rPr>
          <w:rFonts w:cs="Arial"/>
        </w:rPr>
        <w:t>, received on 5 April 2022,</w:t>
      </w:r>
      <w:r w:rsidRPr="006E0B6E">
        <w:rPr>
          <w:rFonts w:cs="Arial"/>
        </w:rPr>
        <w:t xml:space="preserve"> for supplementary information </w:t>
      </w:r>
      <w:r w:rsidR="00142065" w:rsidRPr="006E0B6E">
        <w:rPr>
          <w:rFonts w:cs="Arial"/>
        </w:rPr>
        <w:t>abo</w:t>
      </w:r>
      <w:r w:rsidR="00CA50D0" w:rsidRPr="006E0B6E">
        <w:rPr>
          <w:rFonts w:cs="Arial"/>
        </w:rPr>
        <w:t xml:space="preserve">ut </w:t>
      </w:r>
      <w:r w:rsidR="003658C5" w:rsidRPr="006E0B6E">
        <w:rPr>
          <w:rFonts w:cs="Arial"/>
        </w:rPr>
        <w:t>the Commission’s</w:t>
      </w:r>
      <w:r w:rsidR="00CA50D0" w:rsidRPr="006E0B6E">
        <w:rPr>
          <w:rFonts w:cs="Arial"/>
        </w:rPr>
        <w:t xml:space="preserve"> December 2021 </w:t>
      </w:r>
      <w:r w:rsidRPr="006E0B6E">
        <w:rPr>
          <w:rFonts w:cs="Arial"/>
        </w:rPr>
        <w:t xml:space="preserve">report </w:t>
      </w:r>
      <w:r w:rsidRPr="006E0B6E">
        <w:rPr>
          <w:rFonts w:cs="Arial"/>
          <w:i/>
          <w:iCs/>
        </w:rPr>
        <w:t>Wealth transfers and their economic effects</w:t>
      </w:r>
      <w:r w:rsidRPr="006E0B6E">
        <w:rPr>
          <w:rFonts w:cs="Arial"/>
        </w:rPr>
        <w:t xml:space="preserve"> (WTEE)</w:t>
      </w:r>
      <w:r w:rsidR="00240AEC" w:rsidRPr="006E0B6E">
        <w:rPr>
          <w:rFonts w:cs="Arial"/>
        </w:rPr>
        <w:t>.</w:t>
      </w:r>
    </w:p>
    <w:p w14:paraId="1F5619D6" w14:textId="52BC188B" w:rsidR="007B551B" w:rsidRPr="006E0B6E" w:rsidRDefault="00B00AC0" w:rsidP="004D6E80">
      <w:pPr>
        <w:rPr>
          <w:rFonts w:cs="Arial"/>
        </w:rPr>
      </w:pPr>
      <w:r w:rsidRPr="006E0B6E">
        <w:rPr>
          <w:rFonts w:cs="Arial"/>
        </w:rPr>
        <w:t>Unless otherwise noted, a</w:t>
      </w:r>
      <w:r w:rsidR="007B551B" w:rsidRPr="006E0B6E">
        <w:rPr>
          <w:rFonts w:cs="Arial"/>
        </w:rPr>
        <w:t>ll statistics</w:t>
      </w:r>
      <w:r w:rsidR="00A26C1E" w:rsidRPr="006E0B6E">
        <w:rPr>
          <w:rFonts w:cs="Arial"/>
        </w:rPr>
        <w:t xml:space="preserve"> reported in this document are</w:t>
      </w:r>
      <w:r w:rsidR="002F40D2" w:rsidRPr="006E0B6E">
        <w:rPr>
          <w:rFonts w:cs="Arial"/>
        </w:rPr>
        <w:t xml:space="preserve"> based on</w:t>
      </w:r>
      <w:r w:rsidR="00AC3F21" w:rsidRPr="006E0B6E">
        <w:rPr>
          <w:rFonts w:cs="Arial"/>
        </w:rPr>
        <w:t xml:space="preserve"> unit record data from</w:t>
      </w:r>
      <w:r w:rsidR="002F40D2" w:rsidRPr="006E0B6E">
        <w:rPr>
          <w:rFonts w:cs="Arial"/>
        </w:rPr>
        <w:t xml:space="preserve"> the Household Income and Labour Dynamics in Australia (HILDA) survey,</w:t>
      </w:r>
      <w:r w:rsidR="00A05AD7" w:rsidRPr="006E0B6E">
        <w:rPr>
          <w:rFonts w:cs="Arial"/>
        </w:rPr>
        <w:t xml:space="preserve"> conducted by the Australian Government Department of Social Services (DSS) (DOI: 10.26193/0LPD4U)</w:t>
      </w:r>
      <w:r w:rsidR="001B49C4" w:rsidRPr="006E0B6E">
        <w:rPr>
          <w:rFonts w:cs="Arial"/>
        </w:rPr>
        <w:t xml:space="preserve">. </w:t>
      </w:r>
      <w:r w:rsidR="00453CE6" w:rsidRPr="006E0B6E">
        <w:rPr>
          <w:rFonts w:cs="Arial"/>
        </w:rPr>
        <w:t xml:space="preserve">The statistics </w:t>
      </w:r>
      <w:r w:rsidR="00712274" w:rsidRPr="006E0B6E">
        <w:rPr>
          <w:rFonts w:cs="Arial"/>
        </w:rPr>
        <w:t xml:space="preserve">were estimated by the Commission, and </w:t>
      </w:r>
      <w:r w:rsidR="001B49C4" w:rsidRPr="006E0B6E">
        <w:rPr>
          <w:rFonts w:cs="Arial"/>
        </w:rPr>
        <w:t>should not be attributed to the Australian Government, DSS, any of DSS’ contractors or partners, or any other agencies.</w:t>
      </w:r>
    </w:p>
    <w:p w14:paraId="5F46945A" w14:textId="27818718" w:rsidR="004D6E80" w:rsidRPr="006E0B6E" w:rsidRDefault="00DD0FCE" w:rsidP="004D6E80">
      <w:pPr>
        <w:pStyle w:val="Heading2"/>
        <w:rPr>
          <w:rFonts w:cs="Arial"/>
        </w:rPr>
      </w:pPr>
      <w:r w:rsidRPr="006E0B6E">
        <w:rPr>
          <w:rFonts w:cs="Arial"/>
        </w:rPr>
        <w:t>Request 1: What is t</w:t>
      </w:r>
      <w:r w:rsidR="004D6E80" w:rsidRPr="006E0B6E">
        <w:rPr>
          <w:rFonts w:cs="Arial"/>
        </w:rPr>
        <w:t>he total value and number of transfers (inheritances and gifts) above $25 000, $50 000 and $100 000</w:t>
      </w:r>
      <w:r w:rsidR="000E3E25" w:rsidRPr="006E0B6E">
        <w:rPr>
          <w:rFonts w:cs="Arial"/>
        </w:rPr>
        <w:t>?</w:t>
      </w:r>
    </w:p>
    <w:p w14:paraId="55CF91E2" w14:textId="2F28704C" w:rsidR="004D6E80" w:rsidRPr="006E0B6E" w:rsidRDefault="004D6E80" w:rsidP="004D6E80">
      <w:pPr>
        <w:rPr>
          <w:rFonts w:cs="Arial"/>
        </w:rPr>
      </w:pPr>
      <w:r w:rsidRPr="006E0B6E">
        <w:rPr>
          <w:rFonts w:cs="Arial"/>
        </w:rPr>
        <w:t>The Commission has estimated these statistics</w:t>
      </w:r>
      <w:r w:rsidR="003C5C10" w:rsidRPr="006E0B6E">
        <w:rPr>
          <w:rFonts w:cs="Arial"/>
        </w:rPr>
        <w:t xml:space="preserve"> </w:t>
      </w:r>
      <w:r w:rsidRPr="006E0B6E">
        <w:rPr>
          <w:rFonts w:cs="Arial"/>
        </w:rPr>
        <w:t>using the ‘inflow’ approach (</w:t>
      </w:r>
      <w:r w:rsidR="000C27B8" w:rsidRPr="006E0B6E">
        <w:rPr>
          <w:rFonts w:cs="Arial"/>
        </w:rPr>
        <w:t xml:space="preserve">based on </w:t>
      </w:r>
      <w:r w:rsidRPr="006E0B6E">
        <w:rPr>
          <w:rFonts w:cs="Arial"/>
        </w:rPr>
        <w:t xml:space="preserve">inheritances and gifts that </w:t>
      </w:r>
      <w:r w:rsidR="00E2239A" w:rsidRPr="006E0B6E">
        <w:rPr>
          <w:rFonts w:cs="Arial"/>
        </w:rPr>
        <w:t xml:space="preserve">HILDA </w:t>
      </w:r>
      <w:r w:rsidR="00C74C40" w:rsidRPr="006E0B6E">
        <w:rPr>
          <w:rFonts w:cs="Arial"/>
        </w:rPr>
        <w:t>respondents</w:t>
      </w:r>
      <w:r w:rsidRPr="006E0B6E">
        <w:rPr>
          <w:rFonts w:cs="Arial"/>
        </w:rPr>
        <w:t xml:space="preserve"> reported receiving; see chapter 1 of WTEE</w:t>
      </w:r>
      <w:r w:rsidR="00CC2F3F" w:rsidRPr="006E0B6E">
        <w:rPr>
          <w:rFonts w:cs="Arial"/>
        </w:rPr>
        <w:t xml:space="preserve"> for a full explanation). </w:t>
      </w:r>
      <w:r w:rsidR="00310BE3" w:rsidRPr="006E0B6E">
        <w:rPr>
          <w:rFonts w:cs="Arial"/>
        </w:rPr>
        <w:t>They</w:t>
      </w:r>
      <w:r w:rsidR="00CC2F3F" w:rsidRPr="006E0B6E">
        <w:rPr>
          <w:rFonts w:cs="Arial"/>
        </w:rPr>
        <w:t xml:space="preserve"> are subject to the limitations noted in chapter 1</w:t>
      </w:r>
      <w:r w:rsidR="003E38A2" w:rsidRPr="006E0B6E">
        <w:rPr>
          <w:rFonts w:cs="Arial"/>
        </w:rPr>
        <w:t xml:space="preserve"> and appendix A</w:t>
      </w:r>
      <w:r w:rsidR="00CC2F3F" w:rsidRPr="006E0B6E">
        <w:rPr>
          <w:rFonts w:cs="Arial"/>
        </w:rPr>
        <w:t xml:space="preserve"> of WTEE — in particular,</w:t>
      </w:r>
      <w:r w:rsidR="00604BC9" w:rsidRPr="006E0B6E">
        <w:rPr>
          <w:rFonts w:cs="Arial"/>
        </w:rPr>
        <w:t xml:space="preserve"> that</w:t>
      </w:r>
      <w:r w:rsidR="00CC2F3F" w:rsidRPr="006E0B6E">
        <w:rPr>
          <w:rFonts w:cs="Arial"/>
        </w:rPr>
        <w:t xml:space="preserve"> there is non-reporting of both inheritances and gifts, </w:t>
      </w:r>
      <w:r w:rsidR="00385961" w:rsidRPr="006E0B6E">
        <w:rPr>
          <w:rFonts w:cs="Arial"/>
        </w:rPr>
        <w:t>meaning that these</w:t>
      </w:r>
      <w:r w:rsidR="00CC2F3F" w:rsidRPr="006E0B6E">
        <w:rPr>
          <w:rFonts w:cs="Arial"/>
        </w:rPr>
        <w:t xml:space="preserve"> statistics likely understate the true value and number of transfers</w:t>
      </w:r>
      <w:r w:rsidR="00793ADD" w:rsidRPr="006E0B6E">
        <w:rPr>
          <w:rFonts w:cs="Arial"/>
        </w:rPr>
        <w:t>.</w:t>
      </w:r>
    </w:p>
    <w:p w14:paraId="2E1E2309" w14:textId="60105499" w:rsidR="003C4A4D" w:rsidRPr="006E0B6E" w:rsidRDefault="00CC2F3F" w:rsidP="004D6E80">
      <w:pPr>
        <w:rPr>
          <w:rFonts w:cs="Arial"/>
        </w:rPr>
      </w:pPr>
      <w:r w:rsidRPr="006E0B6E">
        <w:rPr>
          <w:rFonts w:cs="Arial"/>
        </w:rPr>
        <w:t>Table</w:t>
      </w:r>
      <w:r w:rsidR="00793ADD" w:rsidRPr="006E0B6E">
        <w:rPr>
          <w:rFonts w:cs="Arial"/>
        </w:rPr>
        <w:t>s</w:t>
      </w:r>
      <w:r w:rsidRPr="006E0B6E">
        <w:rPr>
          <w:rFonts w:cs="Arial"/>
        </w:rPr>
        <w:t> 1</w:t>
      </w:r>
      <w:r w:rsidR="00793ADD" w:rsidRPr="006E0B6E">
        <w:rPr>
          <w:rFonts w:cs="Arial"/>
        </w:rPr>
        <w:t>–4</w:t>
      </w:r>
      <w:r w:rsidRPr="006E0B6E">
        <w:rPr>
          <w:rFonts w:cs="Arial"/>
        </w:rPr>
        <w:t xml:space="preserve"> show the requested statistics for </w:t>
      </w:r>
      <w:r w:rsidR="006557B0" w:rsidRPr="006E0B6E">
        <w:rPr>
          <w:rFonts w:cs="Arial"/>
        </w:rPr>
        <w:t xml:space="preserve">the </w:t>
      </w:r>
      <w:r w:rsidR="00721B8B" w:rsidRPr="006E0B6E">
        <w:rPr>
          <w:rFonts w:cs="Arial"/>
        </w:rPr>
        <w:t>period 2001-02 to 2018-19 (</w:t>
      </w:r>
      <w:r w:rsidR="007C34C5" w:rsidRPr="006E0B6E">
        <w:rPr>
          <w:rFonts w:cs="Arial"/>
        </w:rPr>
        <w:t>17 years)</w:t>
      </w:r>
      <w:r w:rsidRPr="006E0B6E">
        <w:rPr>
          <w:rFonts w:cs="Arial"/>
        </w:rPr>
        <w:t>.</w:t>
      </w:r>
      <w:r w:rsidR="007D1888" w:rsidRPr="006E0B6E">
        <w:rPr>
          <w:rFonts w:cs="Arial"/>
        </w:rPr>
        <w:t xml:space="preserve"> Th</w:t>
      </w:r>
      <w:r w:rsidR="008A583D" w:rsidRPr="006E0B6E">
        <w:rPr>
          <w:rFonts w:cs="Arial"/>
        </w:rPr>
        <w:t>e value of the transfers is expressed in 2018 dollars.</w:t>
      </w:r>
    </w:p>
    <w:p w14:paraId="039ED784" w14:textId="0076634A" w:rsidR="005A3191" w:rsidRPr="006E0B6E" w:rsidRDefault="00707AF0" w:rsidP="00367B44">
      <w:pPr>
        <w:pStyle w:val="FigureTableHeading"/>
        <w:rPr>
          <w:rFonts w:ascii="Arial" w:hAnsi="Arial" w:cs="Arial"/>
        </w:rPr>
      </w:pPr>
      <w:r w:rsidRPr="006E0B6E">
        <w:rPr>
          <w:rFonts w:ascii="Arial" w:hAnsi="Arial" w:cs="Arial"/>
        </w:rPr>
        <w:t xml:space="preserve">Table </w:t>
      </w:r>
      <w:r w:rsidR="005E2259" w:rsidRPr="006E0B6E">
        <w:rPr>
          <w:rFonts w:ascii="Arial" w:hAnsi="Arial" w:cs="Arial"/>
        </w:rPr>
        <w:fldChar w:fldCharType="begin"/>
      </w:r>
      <w:r w:rsidR="005E2259" w:rsidRPr="006E0B6E">
        <w:rPr>
          <w:rFonts w:ascii="Arial" w:hAnsi="Arial" w:cs="Arial"/>
        </w:rPr>
        <w:instrText xml:space="preserve"> SEQ Table \* ARABIC </w:instrText>
      </w:r>
      <w:r w:rsidR="005E2259" w:rsidRPr="006E0B6E">
        <w:rPr>
          <w:rFonts w:ascii="Arial" w:hAnsi="Arial" w:cs="Arial"/>
        </w:rPr>
        <w:fldChar w:fldCharType="separate"/>
      </w:r>
      <w:r w:rsidR="00FE0771">
        <w:rPr>
          <w:rFonts w:ascii="Arial" w:hAnsi="Arial" w:cs="Arial"/>
          <w:noProof/>
        </w:rPr>
        <w:t>1</w:t>
      </w:r>
      <w:r w:rsidR="005E2259" w:rsidRPr="006E0B6E">
        <w:rPr>
          <w:rFonts w:ascii="Arial" w:hAnsi="Arial" w:cs="Arial"/>
          <w:noProof/>
        </w:rPr>
        <w:fldChar w:fldCharType="end"/>
      </w:r>
      <w:r w:rsidR="005A3191" w:rsidRPr="006E0B6E">
        <w:rPr>
          <w:rFonts w:ascii="Arial" w:hAnsi="Arial" w:cs="Arial"/>
          <w:noProof/>
        </w:rPr>
        <w:t xml:space="preserve"> – </w:t>
      </w:r>
      <w:r w:rsidR="0068288D" w:rsidRPr="006E0B6E">
        <w:rPr>
          <w:rFonts w:ascii="Arial" w:hAnsi="Arial" w:cs="Arial"/>
        </w:rPr>
        <w:t>Number of gifts</w:t>
      </w:r>
      <w:r w:rsidR="005A3191" w:rsidRPr="003550D9" w:rsidDel="00AE3088">
        <w:rPr>
          <w:rFonts w:ascii="Arial" w:hAnsi="Arial" w:cs="Arial"/>
          <w:b/>
          <w:bCs/>
          <w:vertAlign w:val="superscript"/>
        </w:rPr>
        <w:t>a</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276"/>
        <w:gridCol w:w="1984"/>
        <w:gridCol w:w="1985"/>
        <w:gridCol w:w="1984"/>
        <w:gridCol w:w="1985"/>
      </w:tblGrid>
      <w:tr w:rsidR="00B8755D" w:rsidRPr="006E0B6E" w14:paraId="24FEA7A8" w14:textId="29BD8EE3" w:rsidTr="00B8755D">
        <w:trPr>
          <w:tblHeader/>
        </w:trPr>
        <w:tc>
          <w:tcPr>
            <w:tcW w:w="1276" w:type="dxa"/>
            <w:tcBorders>
              <w:bottom w:val="single" w:sz="4" w:space="0" w:color="B3B3B3"/>
            </w:tcBorders>
            <w:shd w:val="clear" w:color="000000" w:fill="auto"/>
            <w:vAlign w:val="bottom"/>
          </w:tcPr>
          <w:p w14:paraId="7FBE9AEC" w14:textId="5F139316" w:rsidR="00B8755D" w:rsidRPr="006E0B6E" w:rsidRDefault="00B8755D" w:rsidP="00A301E3">
            <w:pPr>
              <w:pStyle w:val="TableBody"/>
              <w:rPr>
                <w:rFonts w:ascii="Arial" w:hAnsi="Arial" w:cs="Arial"/>
                <w:b/>
                <w:bCs/>
              </w:rPr>
            </w:pPr>
            <w:r w:rsidRPr="006E0B6E">
              <w:rPr>
                <w:rFonts w:ascii="Arial" w:hAnsi="Arial" w:cs="Arial"/>
                <w:b/>
                <w:bCs/>
              </w:rPr>
              <w:t>Year</w:t>
            </w:r>
            <w:r w:rsidR="00076A5D" w:rsidRPr="006E0B6E">
              <w:rPr>
                <w:rFonts w:ascii="Arial" w:hAnsi="Arial" w:cs="Arial"/>
                <w:b/>
                <w:bCs/>
              </w:rPr>
              <w:t xml:space="preserve"> range</w:t>
            </w:r>
          </w:p>
        </w:tc>
        <w:tc>
          <w:tcPr>
            <w:tcW w:w="1984" w:type="dxa"/>
            <w:tcBorders>
              <w:bottom w:val="single" w:sz="4" w:space="0" w:color="B3B3B3"/>
            </w:tcBorders>
            <w:shd w:val="clear" w:color="000000" w:fill="auto"/>
            <w:vAlign w:val="bottom"/>
          </w:tcPr>
          <w:p w14:paraId="4E4A43DF" w14:textId="38F417E6" w:rsidR="00B8755D" w:rsidRPr="006E0B6E" w:rsidRDefault="00B8755D" w:rsidP="00A301E3">
            <w:pPr>
              <w:pStyle w:val="TableBody"/>
              <w:rPr>
                <w:rFonts w:ascii="Arial" w:hAnsi="Arial" w:cs="Arial"/>
                <w:b/>
                <w:bCs/>
              </w:rPr>
            </w:pPr>
            <w:r w:rsidRPr="006E0B6E">
              <w:rPr>
                <w:rFonts w:ascii="Arial" w:hAnsi="Arial" w:cs="Arial"/>
                <w:b/>
                <w:bCs/>
              </w:rPr>
              <w:t>Gifts over $25 000</w:t>
            </w:r>
          </w:p>
        </w:tc>
        <w:tc>
          <w:tcPr>
            <w:tcW w:w="1985" w:type="dxa"/>
            <w:tcBorders>
              <w:bottom w:val="single" w:sz="4" w:space="0" w:color="B3B3B3"/>
            </w:tcBorders>
            <w:shd w:val="clear" w:color="000000" w:fill="auto"/>
            <w:vAlign w:val="bottom"/>
          </w:tcPr>
          <w:p w14:paraId="121AB0D5" w14:textId="2AC0D404" w:rsidR="00B8755D" w:rsidRPr="006E0B6E" w:rsidRDefault="00B8755D" w:rsidP="00A301E3">
            <w:pPr>
              <w:pStyle w:val="TableBody"/>
              <w:rPr>
                <w:rFonts w:ascii="Arial" w:hAnsi="Arial" w:cs="Arial"/>
                <w:b/>
                <w:bCs/>
              </w:rPr>
            </w:pPr>
            <w:r w:rsidRPr="006E0B6E">
              <w:rPr>
                <w:rFonts w:ascii="Arial" w:hAnsi="Arial" w:cs="Arial"/>
                <w:b/>
                <w:bCs/>
              </w:rPr>
              <w:t>Gifts over $50 000</w:t>
            </w:r>
          </w:p>
        </w:tc>
        <w:tc>
          <w:tcPr>
            <w:tcW w:w="1984" w:type="dxa"/>
            <w:tcBorders>
              <w:bottom w:val="single" w:sz="4" w:space="0" w:color="B3B3B3"/>
            </w:tcBorders>
            <w:shd w:val="clear" w:color="000000" w:fill="auto"/>
          </w:tcPr>
          <w:p w14:paraId="27E6C356" w14:textId="58D96229" w:rsidR="00B8755D" w:rsidRPr="006E0B6E" w:rsidRDefault="00B8755D" w:rsidP="00A301E3">
            <w:pPr>
              <w:pStyle w:val="TableBody"/>
              <w:rPr>
                <w:rFonts w:ascii="Arial" w:hAnsi="Arial" w:cs="Arial"/>
                <w:b/>
                <w:bCs/>
              </w:rPr>
            </w:pPr>
            <w:r w:rsidRPr="006E0B6E">
              <w:rPr>
                <w:rFonts w:ascii="Arial" w:hAnsi="Arial" w:cs="Arial"/>
                <w:b/>
                <w:bCs/>
              </w:rPr>
              <w:t>Gifts over $100 000</w:t>
            </w:r>
          </w:p>
        </w:tc>
        <w:tc>
          <w:tcPr>
            <w:tcW w:w="1985" w:type="dxa"/>
            <w:tcBorders>
              <w:bottom w:val="single" w:sz="4" w:space="0" w:color="B3B3B3"/>
            </w:tcBorders>
            <w:shd w:val="clear" w:color="000000" w:fill="auto"/>
          </w:tcPr>
          <w:p w14:paraId="681F6B4F" w14:textId="282C9249" w:rsidR="00B8755D" w:rsidRPr="006E0B6E" w:rsidRDefault="00B8755D" w:rsidP="00A301E3">
            <w:pPr>
              <w:pStyle w:val="TableBody"/>
              <w:rPr>
                <w:rFonts w:ascii="Arial" w:hAnsi="Arial" w:cs="Arial"/>
                <w:b/>
                <w:bCs/>
              </w:rPr>
            </w:pPr>
            <w:r w:rsidRPr="006E0B6E">
              <w:rPr>
                <w:rFonts w:ascii="Arial" w:hAnsi="Arial" w:cs="Arial"/>
                <w:b/>
                <w:bCs/>
              </w:rPr>
              <w:t>All gifts</w:t>
            </w:r>
          </w:p>
        </w:tc>
      </w:tr>
      <w:tr w:rsidR="00131471" w:rsidRPr="006E0B6E" w14:paraId="227783A1" w14:textId="6A2BD8CA" w:rsidTr="00B8755D">
        <w:tc>
          <w:tcPr>
            <w:tcW w:w="1276" w:type="dxa"/>
            <w:tcBorders>
              <w:top w:val="single" w:sz="4" w:space="0" w:color="B3B3B3"/>
              <w:bottom w:val="nil"/>
            </w:tcBorders>
            <w:shd w:val="clear" w:color="000000" w:fill="F2F2F2"/>
          </w:tcPr>
          <w:p w14:paraId="5872AE6C" w14:textId="4D4DD002" w:rsidR="00131471" w:rsidRPr="006E0B6E" w:rsidRDefault="00131471" w:rsidP="00131471">
            <w:pPr>
              <w:pStyle w:val="TableBody"/>
              <w:rPr>
                <w:rFonts w:ascii="Arial" w:hAnsi="Arial" w:cs="Arial"/>
              </w:rPr>
            </w:pPr>
          </w:p>
        </w:tc>
        <w:tc>
          <w:tcPr>
            <w:tcW w:w="1984" w:type="dxa"/>
            <w:tcBorders>
              <w:top w:val="single" w:sz="4" w:space="0" w:color="B3B3B3"/>
              <w:bottom w:val="nil"/>
            </w:tcBorders>
            <w:shd w:val="clear" w:color="000000" w:fill="F2F2F2"/>
          </w:tcPr>
          <w:p w14:paraId="429A4FA2" w14:textId="65C427AC"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c>
          <w:tcPr>
            <w:tcW w:w="1985" w:type="dxa"/>
            <w:tcBorders>
              <w:top w:val="single" w:sz="4" w:space="0" w:color="B3B3B3"/>
              <w:bottom w:val="nil"/>
            </w:tcBorders>
            <w:shd w:val="clear" w:color="000000" w:fill="F2F2F2"/>
          </w:tcPr>
          <w:p w14:paraId="34EDD0FF" w14:textId="1DDCB12E"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c>
          <w:tcPr>
            <w:tcW w:w="1984" w:type="dxa"/>
            <w:tcBorders>
              <w:top w:val="single" w:sz="4" w:space="0" w:color="B3B3B3"/>
              <w:bottom w:val="nil"/>
            </w:tcBorders>
            <w:shd w:val="clear" w:color="000000" w:fill="F2F2F2"/>
          </w:tcPr>
          <w:p w14:paraId="184F1846" w14:textId="4E14676E"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c>
          <w:tcPr>
            <w:tcW w:w="1985" w:type="dxa"/>
            <w:tcBorders>
              <w:top w:val="single" w:sz="4" w:space="0" w:color="B3B3B3"/>
              <w:bottom w:val="nil"/>
            </w:tcBorders>
            <w:shd w:val="clear" w:color="000000" w:fill="F2F2F2"/>
          </w:tcPr>
          <w:p w14:paraId="2F28B019" w14:textId="61186681"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r>
      <w:tr w:rsidR="00131471" w:rsidRPr="006E0B6E" w14:paraId="014F3090" w14:textId="54C36EA0" w:rsidTr="00D13EFB">
        <w:tc>
          <w:tcPr>
            <w:tcW w:w="1276" w:type="dxa"/>
            <w:shd w:val="clear" w:color="000000" w:fill="F2F2F2"/>
          </w:tcPr>
          <w:p w14:paraId="4B195EEA" w14:textId="627957C5" w:rsidR="00131471" w:rsidRPr="006E0B6E" w:rsidRDefault="00131471" w:rsidP="00131471">
            <w:pPr>
              <w:pStyle w:val="TableBody"/>
              <w:rPr>
                <w:rFonts w:ascii="Arial" w:hAnsi="Arial" w:cs="Arial"/>
              </w:rPr>
            </w:pPr>
            <w:r w:rsidRPr="006E0B6E">
              <w:rPr>
                <w:rFonts w:ascii="Arial" w:hAnsi="Arial" w:cs="Arial"/>
              </w:rPr>
              <w:t>2001-02</w:t>
            </w:r>
            <w:r w:rsidR="003C4A4D" w:rsidRPr="006E0B6E">
              <w:rPr>
                <w:rFonts w:ascii="Arial" w:hAnsi="Arial" w:cs="Arial"/>
              </w:rPr>
              <w:t xml:space="preserve"> to </w:t>
            </w:r>
            <w:r w:rsidR="00076A5D" w:rsidRPr="006E0B6E">
              <w:rPr>
                <w:rFonts w:ascii="Arial" w:hAnsi="Arial" w:cs="Arial"/>
              </w:rPr>
              <w:t>2018-19</w:t>
            </w:r>
          </w:p>
        </w:tc>
        <w:tc>
          <w:tcPr>
            <w:tcW w:w="1984" w:type="dxa"/>
            <w:shd w:val="clear" w:color="000000" w:fill="F2F2F2"/>
            <w:vAlign w:val="bottom"/>
          </w:tcPr>
          <w:p w14:paraId="275B2275" w14:textId="59FBDA12" w:rsidR="00131471" w:rsidRPr="006E0B6E" w:rsidRDefault="00E227C7" w:rsidP="00131471">
            <w:pPr>
              <w:pStyle w:val="TableBody"/>
              <w:rPr>
                <w:rFonts w:ascii="Arial" w:hAnsi="Arial" w:cs="Arial"/>
                <w:color w:val="000000"/>
                <w:szCs w:val="18"/>
              </w:rPr>
            </w:pPr>
            <w:r w:rsidRPr="006E0B6E">
              <w:rPr>
                <w:rFonts w:ascii="Arial" w:hAnsi="Arial" w:cs="Arial"/>
                <w:szCs w:val="18"/>
              </w:rPr>
              <w:t>86.5</w:t>
            </w:r>
          </w:p>
        </w:tc>
        <w:tc>
          <w:tcPr>
            <w:tcW w:w="1985" w:type="dxa"/>
            <w:shd w:val="clear" w:color="000000" w:fill="F2F2F2"/>
            <w:vAlign w:val="bottom"/>
          </w:tcPr>
          <w:p w14:paraId="6E45A81C" w14:textId="51E56E2D" w:rsidR="00131471" w:rsidRPr="006E0B6E" w:rsidRDefault="00E227C7" w:rsidP="00131471">
            <w:pPr>
              <w:pStyle w:val="TableBody"/>
              <w:rPr>
                <w:rFonts w:ascii="Arial" w:hAnsi="Arial" w:cs="Arial"/>
                <w:color w:val="000000"/>
                <w:szCs w:val="18"/>
              </w:rPr>
            </w:pPr>
            <w:r w:rsidRPr="006E0B6E">
              <w:rPr>
                <w:rFonts w:ascii="Arial" w:hAnsi="Arial" w:cs="Arial"/>
                <w:szCs w:val="18"/>
              </w:rPr>
              <w:t>40.8</w:t>
            </w:r>
          </w:p>
        </w:tc>
        <w:tc>
          <w:tcPr>
            <w:tcW w:w="1984" w:type="dxa"/>
            <w:shd w:val="clear" w:color="000000" w:fill="F2F2F2"/>
            <w:vAlign w:val="bottom"/>
          </w:tcPr>
          <w:p w14:paraId="6523F84E" w14:textId="45C82B04" w:rsidR="00131471" w:rsidRPr="006E0B6E" w:rsidRDefault="00E227C7" w:rsidP="00131471">
            <w:pPr>
              <w:pStyle w:val="TableBody"/>
              <w:rPr>
                <w:rFonts w:ascii="Arial" w:hAnsi="Arial" w:cs="Arial"/>
                <w:color w:val="000000"/>
                <w:szCs w:val="18"/>
              </w:rPr>
            </w:pPr>
            <w:r w:rsidRPr="006E0B6E">
              <w:rPr>
                <w:rFonts w:ascii="Arial" w:hAnsi="Arial" w:cs="Arial"/>
                <w:szCs w:val="18"/>
              </w:rPr>
              <w:t>17.1</w:t>
            </w:r>
          </w:p>
        </w:tc>
        <w:tc>
          <w:tcPr>
            <w:tcW w:w="1985" w:type="dxa"/>
            <w:shd w:val="clear" w:color="000000" w:fill="F2F2F2"/>
            <w:vAlign w:val="bottom"/>
          </w:tcPr>
          <w:p w14:paraId="6877DC05" w14:textId="3EAFB597" w:rsidR="00131471" w:rsidRPr="006E0B6E" w:rsidRDefault="00BE3DAD" w:rsidP="00131471">
            <w:pPr>
              <w:pStyle w:val="TableBody"/>
              <w:rPr>
                <w:rFonts w:ascii="Arial" w:hAnsi="Arial" w:cs="Arial"/>
                <w:color w:val="000000"/>
                <w:szCs w:val="18"/>
              </w:rPr>
            </w:pPr>
            <w:r w:rsidRPr="006E0B6E">
              <w:rPr>
                <w:rFonts w:ascii="Arial" w:hAnsi="Arial" w:cs="Arial"/>
                <w:szCs w:val="18"/>
              </w:rPr>
              <w:t>2299.4</w:t>
            </w:r>
          </w:p>
        </w:tc>
      </w:tr>
    </w:tbl>
    <w:p w14:paraId="125859EB" w14:textId="5E691F73" w:rsidR="0063530F" w:rsidRPr="006E0B6E" w:rsidRDefault="0063530F" w:rsidP="0063530F">
      <w:pPr>
        <w:pStyle w:val="Source"/>
        <w:rPr>
          <w:rFonts w:cs="Arial"/>
        </w:rPr>
      </w:pPr>
      <w:r w:rsidRPr="006E0B6E">
        <w:rPr>
          <w:rFonts w:cs="Arial"/>
          <w:b/>
          <w:bCs/>
        </w:rPr>
        <w:t>a.</w:t>
      </w:r>
      <w:r w:rsidRPr="006E0B6E">
        <w:rPr>
          <w:rFonts w:cs="Arial"/>
        </w:rPr>
        <w:t xml:space="preserve"> </w:t>
      </w:r>
      <w:r w:rsidR="00D71313" w:rsidRPr="006E0B6E">
        <w:rPr>
          <w:rFonts w:cs="Arial"/>
        </w:rPr>
        <w:t>Column 5 (</w:t>
      </w:r>
      <w:r w:rsidR="00F757BE" w:rsidRPr="006E0B6E">
        <w:rPr>
          <w:rFonts w:cs="Arial"/>
        </w:rPr>
        <w:t>All gifts</w:t>
      </w:r>
      <w:r w:rsidR="001C753A" w:rsidRPr="006E0B6E">
        <w:rPr>
          <w:rFonts w:cs="Arial"/>
        </w:rPr>
        <w:t>)</w:t>
      </w:r>
      <w:r w:rsidR="00783C46" w:rsidRPr="006E0B6E">
        <w:rPr>
          <w:rFonts w:cs="Arial"/>
        </w:rPr>
        <w:t xml:space="preserve"> i</w:t>
      </w:r>
      <w:r w:rsidR="00E566A1" w:rsidRPr="006E0B6E">
        <w:rPr>
          <w:rFonts w:cs="Arial"/>
        </w:rPr>
        <w:t>s</w:t>
      </w:r>
      <w:r w:rsidR="00783C46" w:rsidRPr="006E0B6E">
        <w:rPr>
          <w:rFonts w:cs="Arial"/>
        </w:rPr>
        <w:t xml:space="preserve"> </w:t>
      </w:r>
      <w:r w:rsidR="008C5F8B" w:rsidRPr="006E0B6E">
        <w:rPr>
          <w:rFonts w:cs="Arial"/>
        </w:rPr>
        <w:t xml:space="preserve">total </w:t>
      </w:r>
      <w:r w:rsidR="00783C46" w:rsidRPr="006E0B6E">
        <w:rPr>
          <w:rFonts w:cs="Arial"/>
        </w:rPr>
        <w:t xml:space="preserve">gifts </w:t>
      </w:r>
      <w:r w:rsidR="00E566A1" w:rsidRPr="006E0B6E">
        <w:rPr>
          <w:rFonts w:cs="Arial"/>
        </w:rPr>
        <w:t xml:space="preserve">given. </w:t>
      </w:r>
      <w:r w:rsidR="00F4301E" w:rsidRPr="006E0B6E">
        <w:rPr>
          <w:rFonts w:cs="Arial"/>
        </w:rPr>
        <w:t xml:space="preserve">The number of </w:t>
      </w:r>
      <w:r w:rsidR="003A2ACD" w:rsidRPr="006E0B6E">
        <w:rPr>
          <w:rFonts w:cs="Arial"/>
        </w:rPr>
        <w:t>g</w:t>
      </w:r>
      <w:r w:rsidR="00F4301E" w:rsidRPr="006E0B6E">
        <w:rPr>
          <w:rFonts w:cs="Arial"/>
        </w:rPr>
        <w:t xml:space="preserve">ifts under $25 000 </w:t>
      </w:r>
      <w:r w:rsidR="003A2ACD" w:rsidRPr="006E0B6E">
        <w:rPr>
          <w:rFonts w:cs="Arial"/>
        </w:rPr>
        <w:t xml:space="preserve">is equal to </w:t>
      </w:r>
      <w:r w:rsidR="00711F24" w:rsidRPr="006E0B6E">
        <w:rPr>
          <w:rFonts w:cs="Arial"/>
        </w:rPr>
        <w:t xml:space="preserve">column </w:t>
      </w:r>
      <w:r w:rsidR="00666985" w:rsidRPr="006E0B6E">
        <w:rPr>
          <w:rFonts w:cs="Arial"/>
        </w:rPr>
        <w:t xml:space="preserve">5 </w:t>
      </w:r>
      <w:r w:rsidR="00711F24" w:rsidRPr="006E0B6E">
        <w:rPr>
          <w:rFonts w:cs="Arial"/>
        </w:rPr>
        <w:t xml:space="preserve">minus </w:t>
      </w:r>
      <w:r w:rsidR="005C5A21" w:rsidRPr="006E0B6E">
        <w:rPr>
          <w:rFonts w:cs="Arial"/>
        </w:rPr>
        <w:t>column 2.</w:t>
      </w:r>
      <w:r w:rsidR="00783C46" w:rsidRPr="006E0B6E">
        <w:rPr>
          <w:rFonts w:cs="Arial"/>
        </w:rPr>
        <w:t xml:space="preserve"> </w:t>
      </w:r>
      <w:r w:rsidR="00666985" w:rsidRPr="006E0B6E">
        <w:rPr>
          <w:rFonts w:cs="Arial"/>
        </w:rPr>
        <w:t>This logic applies to Table 2</w:t>
      </w:r>
      <w:r w:rsidR="00724478" w:rsidRPr="006E0B6E">
        <w:rPr>
          <w:rFonts w:cs="Arial"/>
        </w:rPr>
        <w:t>, 3 and 4.</w:t>
      </w:r>
    </w:p>
    <w:p w14:paraId="2454DDE2" w14:textId="57206F3D" w:rsidR="002A1D60" w:rsidRPr="006E0B6E" w:rsidRDefault="005A3191" w:rsidP="0063530F">
      <w:pPr>
        <w:pStyle w:val="Source"/>
        <w:rPr>
          <w:rFonts w:cs="Arial"/>
        </w:rPr>
      </w:pPr>
      <w:r w:rsidRPr="006E0B6E">
        <w:rPr>
          <w:rFonts w:cs="Arial"/>
        </w:rPr>
        <w:t xml:space="preserve">Source: </w:t>
      </w:r>
      <w:r w:rsidR="00B52F96" w:rsidRPr="006E0B6E">
        <w:rPr>
          <w:rFonts w:cs="Arial"/>
        </w:rPr>
        <w:t xml:space="preserve">Productivity Commission estimates based on HILDA </w:t>
      </w:r>
      <w:r w:rsidR="00233C5C" w:rsidRPr="006E0B6E">
        <w:rPr>
          <w:rFonts w:cs="Arial"/>
        </w:rPr>
        <w:t>Restricted Release 19</w:t>
      </w:r>
      <w:r w:rsidR="005A59B4" w:rsidRPr="006E0B6E">
        <w:rPr>
          <w:rFonts w:cs="Arial"/>
        </w:rPr>
        <w:t>.</w:t>
      </w:r>
    </w:p>
    <w:p w14:paraId="2051E0AA" w14:textId="49647B9B" w:rsidR="00B8755D" w:rsidRPr="006E0B6E" w:rsidRDefault="00707AF0" w:rsidP="00367B44">
      <w:pPr>
        <w:pStyle w:val="FigureTableHeading"/>
        <w:rPr>
          <w:rFonts w:ascii="Arial" w:hAnsi="Arial" w:cs="Arial"/>
        </w:rPr>
      </w:pPr>
      <w:r w:rsidRPr="006E0B6E">
        <w:rPr>
          <w:rFonts w:ascii="Arial" w:hAnsi="Arial" w:cs="Arial"/>
        </w:rPr>
        <w:t xml:space="preserve">Table </w:t>
      </w:r>
      <w:r w:rsidRPr="006E0B6E">
        <w:rPr>
          <w:rFonts w:ascii="Arial" w:hAnsi="Arial" w:cs="Arial"/>
        </w:rPr>
        <w:fldChar w:fldCharType="begin"/>
      </w:r>
      <w:r w:rsidRPr="006E0B6E">
        <w:rPr>
          <w:rFonts w:ascii="Arial" w:hAnsi="Arial" w:cs="Arial"/>
        </w:rPr>
        <w:instrText xml:space="preserve"> SEQ Table \* ARABIC</w:instrText>
      </w:r>
      <w:r w:rsidRPr="006E0B6E">
        <w:rPr>
          <w:rFonts w:ascii="Arial" w:hAnsi="Arial" w:cs="Arial"/>
        </w:rPr>
        <w:fldChar w:fldCharType="separate"/>
      </w:r>
      <w:r w:rsidR="00FE0771">
        <w:rPr>
          <w:rFonts w:ascii="Arial" w:hAnsi="Arial" w:cs="Arial"/>
          <w:noProof/>
        </w:rPr>
        <w:t>2</w:t>
      </w:r>
      <w:r w:rsidRPr="006E0B6E">
        <w:rPr>
          <w:rFonts w:ascii="Arial" w:hAnsi="Arial" w:cs="Arial"/>
        </w:rPr>
        <w:fldChar w:fldCharType="end"/>
      </w:r>
      <w:r w:rsidR="00B8755D" w:rsidRPr="006E0B6E">
        <w:rPr>
          <w:rFonts w:ascii="Arial" w:hAnsi="Arial" w:cs="Arial"/>
          <w:noProof/>
        </w:rPr>
        <w:t xml:space="preserve"> – </w:t>
      </w:r>
      <w:r w:rsidR="0068288D" w:rsidRPr="006E0B6E">
        <w:rPr>
          <w:rFonts w:ascii="Arial" w:hAnsi="Arial" w:cs="Arial"/>
        </w:rPr>
        <w:t>Value of gifts</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276"/>
        <w:gridCol w:w="1984"/>
        <w:gridCol w:w="1985"/>
        <w:gridCol w:w="1984"/>
        <w:gridCol w:w="1985"/>
      </w:tblGrid>
      <w:tr w:rsidR="00B8755D" w:rsidRPr="006E0B6E" w14:paraId="31B182B7" w14:textId="77777777" w:rsidTr="00E04D36">
        <w:trPr>
          <w:tblHeader/>
        </w:trPr>
        <w:tc>
          <w:tcPr>
            <w:tcW w:w="1276" w:type="dxa"/>
            <w:tcBorders>
              <w:bottom w:val="single" w:sz="4" w:space="0" w:color="B3B3B3"/>
            </w:tcBorders>
            <w:shd w:val="clear" w:color="000000" w:fill="auto"/>
            <w:vAlign w:val="bottom"/>
          </w:tcPr>
          <w:p w14:paraId="087CB70A" w14:textId="198E01CB" w:rsidR="00B8755D" w:rsidRPr="006E0B6E" w:rsidRDefault="00B8755D" w:rsidP="00E04D36">
            <w:pPr>
              <w:pStyle w:val="TableBody"/>
              <w:rPr>
                <w:rFonts w:ascii="Arial" w:hAnsi="Arial" w:cs="Arial"/>
                <w:b/>
                <w:bCs/>
              </w:rPr>
            </w:pPr>
            <w:r w:rsidRPr="006E0B6E">
              <w:rPr>
                <w:rFonts w:ascii="Arial" w:hAnsi="Arial" w:cs="Arial"/>
                <w:b/>
                <w:bCs/>
              </w:rPr>
              <w:t>Year</w:t>
            </w:r>
            <w:r w:rsidR="00076A5D" w:rsidRPr="006E0B6E">
              <w:rPr>
                <w:rFonts w:ascii="Arial" w:hAnsi="Arial" w:cs="Arial"/>
                <w:b/>
                <w:bCs/>
              </w:rPr>
              <w:t xml:space="preserve"> range</w:t>
            </w:r>
          </w:p>
        </w:tc>
        <w:tc>
          <w:tcPr>
            <w:tcW w:w="1984" w:type="dxa"/>
            <w:tcBorders>
              <w:bottom w:val="single" w:sz="4" w:space="0" w:color="B3B3B3"/>
            </w:tcBorders>
            <w:shd w:val="clear" w:color="000000" w:fill="auto"/>
            <w:vAlign w:val="bottom"/>
          </w:tcPr>
          <w:p w14:paraId="3386ADBC" w14:textId="77777777" w:rsidR="00B8755D" w:rsidRPr="006E0B6E" w:rsidRDefault="00B8755D" w:rsidP="00E04D36">
            <w:pPr>
              <w:pStyle w:val="TableBody"/>
              <w:rPr>
                <w:rFonts w:ascii="Arial" w:hAnsi="Arial" w:cs="Arial"/>
                <w:b/>
                <w:bCs/>
              </w:rPr>
            </w:pPr>
            <w:r w:rsidRPr="006E0B6E">
              <w:rPr>
                <w:rFonts w:ascii="Arial" w:hAnsi="Arial" w:cs="Arial"/>
                <w:b/>
                <w:bCs/>
              </w:rPr>
              <w:t>Gifts over $25 000</w:t>
            </w:r>
          </w:p>
        </w:tc>
        <w:tc>
          <w:tcPr>
            <w:tcW w:w="1985" w:type="dxa"/>
            <w:tcBorders>
              <w:bottom w:val="single" w:sz="4" w:space="0" w:color="B3B3B3"/>
            </w:tcBorders>
            <w:shd w:val="clear" w:color="000000" w:fill="auto"/>
            <w:vAlign w:val="bottom"/>
          </w:tcPr>
          <w:p w14:paraId="50C3DA7D" w14:textId="77777777" w:rsidR="00B8755D" w:rsidRPr="006E0B6E" w:rsidRDefault="00B8755D" w:rsidP="00E04D36">
            <w:pPr>
              <w:pStyle w:val="TableBody"/>
              <w:rPr>
                <w:rFonts w:ascii="Arial" w:hAnsi="Arial" w:cs="Arial"/>
                <w:b/>
                <w:bCs/>
              </w:rPr>
            </w:pPr>
            <w:r w:rsidRPr="006E0B6E">
              <w:rPr>
                <w:rFonts w:ascii="Arial" w:hAnsi="Arial" w:cs="Arial"/>
                <w:b/>
                <w:bCs/>
              </w:rPr>
              <w:t>Gifts over $50 000</w:t>
            </w:r>
          </w:p>
        </w:tc>
        <w:tc>
          <w:tcPr>
            <w:tcW w:w="1984" w:type="dxa"/>
            <w:tcBorders>
              <w:bottom w:val="single" w:sz="4" w:space="0" w:color="B3B3B3"/>
            </w:tcBorders>
            <w:shd w:val="clear" w:color="000000" w:fill="auto"/>
          </w:tcPr>
          <w:p w14:paraId="04A1DB69" w14:textId="77777777" w:rsidR="00B8755D" w:rsidRPr="006E0B6E" w:rsidRDefault="00B8755D" w:rsidP="00E04D36">
            <w:pPr>
              <w:pStyle w:val="TableBody"/>
              <w:rPr>
                <w:rFonts w:ascii="Arial" w:hAnsi="Arial" w:cs="Arial"/>
                <w:b/>
                <w:bCs/>
              </w:rPr>
            </w:pPr>
            <w:r w:rsidRPr="006E0B6E">
              <w:rPr>
                <w:rFonts w:ascii="Arial" w:hAnsi="Arial" w:cs="Arial"/>
                <w:b/>
                <w:bCs/>
              </w:rPr>
              <w:t>Gifts over $100 000</w:t>
            </w:r>
          </w:p>
        </w:tc>
        <w:tc>
          <w:tcPr>
            <w:tcW w:w="1985" w:type="dxa"/>
            <w:tcBorders>
              <w:bottom w:val="single" w:sz="4" w:space="0" w:color="B3B3B3"/>
            </w:tcBorders>
            <w:shd w:val="clear" w:color="000000" w:fill="auto"/>
          </w:tcPr>
          <w:p w14:paraId="506AF122" w14:textId="77777777" w:rsidR="00B8755D" w:rsidRPr="006E0B6E" w:rsidRDefault="00B8755D" w:rsidP="00E04D36">
            <w:pPr>
              <w:pStyle w:val="TableBody"/>
              <w:rPr>
                <w:rFonts w:ascii="Arial" w:hAnsi="Arial" w:cs="Arial"/>
                <w:b/>
                <w:bCs/>
              </w:rPr>
            </w:pPr>
            <w:r w:rsidRPr="006E0B6E">
              <w:rPr>
                <w:rFonts w:ascii="Arial" w:hAnsi="Arial" w:cs="Arial"/>
                <w:b/>
                <w:bCs/>
              </w:rPr>
              <w:t>All gifts</w:t>
            </w:r>
          </w:p>
        </w:tc>
      </w:tr>
      <w:tr w:rsidR="00B8755D" w:rsidRPr="006E0B6E" w14:paraId="353587BA" w14:textId="77777777" w:rsidTr="00E04D36">
        <w:tc>
          <w:tcPr>
            <w:tcW w:w="1276" w:type="dxa"/>
            <w:tcBorders>
              <w:top w:val="single" w:sz="4" w:space="0" w:color="B3B3B3"/>
              <w:bottom w:val="nil"/>
            </w:tcBorders>
            <w:shd w:val="clear" w:color="000000" w:fill="F2F2F2"/>
          </w:tcPr>
          <w:p w14:paraId="01F06666" w14:textId="77777777" w:rsidR="00B8755D" w:rsidRPr="006E0B6E" w:rsidRDefault="00B8755D" w:rsidP="00E04D36">
            <w:pPr>
              <w:pStyle w:val="TableBody"/>
              <w:rPr>
                <w:rFonts w:ascii="Arial" w:hAnsi="Arial" w:cs="Arial"/>
              </w:rPr>
            </w:pPr>
          </w:p>
        </w:tc>
        <w:tc>
          <w:tcPr>
            <w:tcW w:w="1984" w:type="dxa"/>
            <w:tcBorders>
              <w:top w:val="single" w:sz="4" w:space="0" w:color="B3B3B3"/>
              <w:bottom w:val="nil"/>
            </w:tcBorders>
            <w:shd w:val="clear" w:color="000000" w:fill="F2F2F2"/>
          </w:tcPr>
          <w:p w14:paraId="7E950834" w14:textId="3E04CA2F" w:rsidR="00B8755D" w:rsidRPr="006E0B6E" w:rsidRDefault="00B8755D" w:rsidP="00E04D36">
            <w:pPr>
              <w:pStyle w:val="TableBody"/>
              <w:rPr>
                <w:rFonts w:ascii="Arial" w:hAnsi="Arial" w:cs="Arial"/>
                <w:color w:val="000000"/>
              </w:rPr>
            </w:pPr>
            <w:r w:rsidRPr="006E0B6E">
              <w:rPr>
                <w:rFonts w:ascii="Arial" w:hAnsi="Arial" w:cs="Arial"/>
                <w:color w:val="000000"/>
              </w:rPr>
              <w:t>Value (</w:t>
            </w:r>
            <w:r w:rsidR="00131471" w:rsidRPr="006E0B6E">
              <w:rPr>
                <w:rFonts w:ascii="Arial" w:hAnsi="Arial" w:cs="Arial"/>
                <w:color w:val="000000"/>
              </w:rPr>
              <w:t xml:space="preserve">billions of </w:t>
            </w:r>
            <w:r w:rsidRPr="006E0B6E">
              <w:rPr>
                <w:rFonts w:ascii="Arial" w:hAnsi="Arial" w:cs="Arial"/>
                <w:color w:val="000000"/>
              </w:rPr>
              <w:t>2018 dollars)</w:t>
            </w:r>
          </w:p>
        </w:tc>
        <w:tc>
          <w:tcPr>
            <w:tcW w:w="1985" w:type="dxa"/>
            <w:tcBorders>
              <w:top w:val="single" w:sz="4" w:space="0" w:color="B3B3B3"/>
              <w:bottom w:val="nil"/>
            </w:tcBorders>
            <w:shd w:val="clear" w:color="000000" w:fill="F2F2F2"/>
          </w:tcPr>
          <w:p w14:paraId="3668B917" w14:textId="476A1D23" w:rsidR="00B8755D" w:rsidRPr="006E0B6E" w:rsidRDefault="00131471" w:rsidP="00E04D36">
            <w:pPr>
              <w:pStyle w:val="TableBody"/>
              <w:rPr>
                <w:rFonts w:ascii="Arial" w:hAnsi="Arial" w:cs="Arial"/>
                <w:color w:val="000000"/>
              </w:rPr>
            </w:pPr>
            <w:r w:rsidRPr="006E0B6E">
              <w:rPr>
                <w:rFonts w:ascii="Arial" w:hAnsi="Arial" w:cs="Arial"/>
                <w:color w:val="000000"/>
              </w:rPr>
              <w:t>Value (billions of 2018 dollars)</w:t>
            </w:r>
          </w:p>
        </w:tc>
        <w:tc>
          <w:tcPr>
            <w:tcW w:w="1984" w:type="dxa"/>
            <w:tcBorders>
              <w:top w:val="single" w:sz="4" w:space="0" w:color="B3B3B3"/>
              <w:bottom w:val="nil"/>
            </w:tcBorders>
            <w:shd w:val="clear" w:color="000000" w:fill="F2F2F2"/>
          </w:tcPr>
          <w:p w14:paraId="6A917E0C" w14:textId="2EF87F7F" w:rsidR="00B8755D" w:rsidRPr="006E0B6E" w:rsidRDefault="00131471" w:rsidP="00E04D36">
            <w:pPr>
              <w:pStyle w:val="TableBody"/>
              <w:rPr>
                <w:rFonts w:ascii="Arial" w:hAnsi="Arial" w:cs="Arial"/>
                <w:color w:val="000000"/>
              </w:rPr>
            </w:pPr>
            <w:r w:rsidRPr="006E0B6E">
              <w:rPr>
                <w:rFonts w:ascii="Arial" w:hAnsi="Arial" w:cs="Arial"/>
                <w:color w:val="000000"/>
              </w:rPr>
              <w:t>Value (billions of 2018 dollars)</w:t>
            </w:r>
          </w:p>
        </w:tc>
        <w:tc>
          <w:tcPr>
            <w:tcW w:w="1985" w:type="dxa"/>
            <w:tcBorders>
              <w:top w:val="single" w:sz="4" w:space="0" w:color="B3B3B3"/>
              <w:bottom w:val="nil"/>
            </w:tcBorders>
            <w:shd w:val="clear" w:color="000000" w:fill="F2F2F2"/>
          </w:tcPr>
          <w:p w14:paraId="6A9D7244" w14:textId="4984770F" w:rsidR="00B8755D" w:rsidRPr="006E0B6E" w:rsidRDefault="00131471" w:rsidP="00E04D36">
            <w:pPr>
              <w:pStyle w:val="TableBody"/>
              <w:rPr>
                <w:rFonts w:ascii="Arial" w:hAnsi="Arial" w:cs="Arial"/>
                <w:color w:val="000000"/>
              </w:rPr>
            </w:pPr>
            <w:r w:rsidRPr="006E0B6E">
              <w:rPr>
                <w:rFonts w:ascii="Arial" w:hAnsi="Arial" w:cs="Arial"/>
                <w:color w:val="000000"/>
              </w:rPr>
              <w:t>Value (billions of 2018 dollars)</w:t>
            </w:r>
          </w:p>
        </w:tc>
      </w:tr>
      <w:tr w:rsidR="009470FA" w:rsidRPr="006E0B6E" w14:paraId="11DB1A09" w14:textId="77777777" w:rsidTr="0042579F">
        <w:tc>
          <w:tcPr>
            <w:tcW w:w="1276" w:type="dxa"/>
            <w:shd w:val="clear" w:color="000000" w:fill="F2F2F2"/>
          </w:tcPr>
          <w:p w14:paraId="51E9066B" w14:textId="04692C8F" w:rsidR="00B8755D" w:rsidRPr="006E0B6E" w:rsidRDefault="00B8755D" w:rsidP="00E04D36">
            <w:pPr>
              <w:pStyle w:val="TableBody"/>
              <w:rPr>
                <w:rFonts w:ascii="Arial" w:hAnsi="Arial" w:cs="Arial"/>
              </w:rPr>
            </w:pPr>
            <w:r w:rsidRPr="006E0B6E">
              <w:rPr>
                <w:rFonts w:ascii="Arial" w:hAnsi="Arial" w:cs="Arial"/>
              </w:rPr>
              <w:t>2001-02</w:t>
            </w:r>
            <w:r w:rsidR="00076A5D" w:rsidRPr="006E0B6E">
              <w:rPr>
                <w:rFonts w:ascii="Arial" w:hAnsi="Arial" w:cs="Arial"/>
              </w:rPr>
              <w:t xml:space="preserve"> to 2018-19</w:t>
            </w:r>
          </w:p>
        </w:tc>
        <w:tc>
          <w:tcPr>
            <w:tcW w:w="1984" w:type="dxa"/>
            <w:shd w:val="clear" w:color="000000" w:fill="F2F2F2"/>
            <w:vAlign w:val="bottom"/>
          </w:tcPr>
          <w:p w14:paraId="73A82084" w14:textId="499BF426" w:rsidR="00B8755D" w:rsidRPr="006E0B6E" w:rsidRDefault="0085034D" w:rsidP="00E04D36">
            <w:pPr>
              <w:pStyle w:val="TableBody"/>
              <w:rPr>
                <w:rFonts w:ascii="Arial" w:hAnsi="Arial" w:cs="Arial"/>
                <w:color w:val="000000"/>
                <w:szCs w:val="18"/>
              </w:rPr>
            </w:pPr>
            <w:r w:rsidRPr="006E0B6E">
              <w:rPr>
                <w:rFonts w:ascii="Arial" w:hAnsi="Arial" w:cs="Arial"/>
                <w:szCs w:val="18"/>
              </w:rPr>
              <w:t>95.6</w:t>
            </w:r>
          </w:p>
        </w:tc>
        <w:tc>
          <w:tcPr>
            <w:tcW w:w="1985" w:type="dxa"/>
            <w:shd w:val="clear" w:color="000000" w:fill="F2F2F2"/>
            <w:vAlign w:val="bottom"/>
          </w:tcPr>
          <w:p w14:paraId="13F46C81" w14:textId="7EF232A3" w:rsidR="00B8755D" w:rsidRPr="006E0B6E" w:rsidRDefault="0085034D" w:rsidP="00E04D36">
            <w:pPr>
              <w:pStyle w:val="TableBody"/>
              <w:rPr>
                <w:rFonts w:ascii="Arial" w:hAnsi="Arial" w:cs="Arial"/>
                <w:color w:val="000000"/>
                <w:szCs w:val="18"/>
              </w:rPr>
            </w:pPr>
            <w:r w:rsidRPr="006E0B6E">
              <w:rPr>
                <w:rFonts w:ascii="Arial" w:hAnsi="Arial" w:cs="Arial"/>
                <w:szCs w:val="18"/>
              </w:rPr>
              <w:t>76.0</w:t>
            </w:r>
          </w:p>
        </w:tc>
        <w:tc>
          <w:tcPr>
            <w:tcW w:w="1984" w:type="dxa"/>
            <w:shd w:val="clear" w:color="000000" w:fill="F2F2F2"/>
            <w:vAlign w:val="bottom"/>
          </w:tcPr>
          <w:p w14:paraId="22F350C7" w14:textId="2C8D9971" w:rsidR="00B8755D" w:rsidRPr="006E0B6E" w:rsidRDefault="0085034D" w:rsidP="00E04D36">
            <w:pPr>
              <w:pStyle w:val="TableBody"/>
              <w:rPr>
                <w:rFonts w:ascii="Arial" w:hAnsi="Arial" w:cs="Arial"/>
                <w:color w:val="000000"/>
                <w:szCs w:val="18"/>
              </w:rPr>
            </w:pPr>
            <w:r w:rsidRPr="006E0B6E">
              <w:rPr>
                <w:rFonts w:ascii="Arial" w:hAnsi="Arial" w:cs="Arial"/>
                <w:szCs w:val="18"/>
              </w:rPr>
              <w:t>53.6</w:t>
            </w:r>
          </w:p>
        </w:tc>
        <w:tc>
          <w:tcPr>
            <w:tcW w:w="1985" w:type="dxa"/>
            <w:shd w:val="clear" w:color="000000" w:fill="F2F2F2"/>
            <w:vAlign w:val="bottom"/>
          </w:tcPr>
          <w:p w14:paraId="6B6EB9CF" w14:textId="5C48516C" w:rsidR="00B8755D" w:rsidRPr="006E0B6E" w:rsidRDefault="00DA6834" w:rsidP="00E04D36">
            <w:pPr>
              <w:pStyle w:val="TableBody"/>
              <w:rPr>
                <w:rFonts w:ascii="Arial" w:hAnsi="Arial" w:cs="Arial"/>
                <w:color w:val="000000"/>
              </w:rPr>
            </w:pPr>
            <w:r w:rsidRPr="006E0B6E">
              <w:rPr>
                <w:rFonts w:ascii="Arial" w:hAnsi="Arial" w:cs="Arial"/>
                <w:szCs w:val="18"/>
              </w:rPr>
              <w:t>163.1</w:t>
            </w:r>
          </w:p>
        </w:tc>
      </w:tr>
    </w:tbl>
    <w:p w14:paraId="6E8C7F86" w14:textId="4A8199AF" w:rsidR="00233C5C"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2413101E" w14:textId="77777777" w:rsidR="000F6DAA" w:rsidRPr="006E0B6E" w:rsidRDefault="000F6DAA">
      <w:pPr>
        <w:rPr>
          <w:rFonts w:cs="Arial"/>
          <w:iCs/>
          <w:color w:val="000000" w:themeColor="text1"/>
          <w:sz w:val="20"/>
          <w:szCs w:val="18"/>
        </w:rPr>
      </w:pPr>
      <w:r w:rsidRPr="006E0B6E">
        <w:rPr>
          <w:rFonts w:cs="Arial"/>
        </w:rPr>
        <w:br w:type="page"/>
      </w:r>
    </w:p>
    <w:p w14:paraId="60BB242E" w14:textId="203202A5" w:rsidR="00B8755D" w:rsidRPr="006E0B6E" w:rsidRDefault="00707AF0" w:rsidP="00367B44">
      <w:pPr>
        <w:pStyle w:val="FigureTableHeading"/>
        <w:rPr>
          <w:rFonts w:ascii="Arial" w:hAnsi="Arial" w:cs="Arial"/>
        </w:rPr>
      </w:pPr>
      <w:r w:rsidRPr="006E0B6E">
        <w:rPr>
          <w:rFonts w:ascii="Arial" w:hAnsi="Arial" w:cs="Arial"/>
        </w:rPr>
        <w:lastRenderedPageBreak/>
        <w:t xml:space="preserve">Table </w:t>
      </w:r>
      <w:r w:rsidR="005E2259" w:rsidRPr="006E0B6E">
        <w:rPr>
          <w:rFonts w:ascii="Arial" w:hAnsi="Arial" w:cs="Arial"/>
        </w:rPr>
        <w:fldChar w:fldCharType="begin"/>
      </w:r>
      <w:r w:rsidR="005E2259" w:rsidRPr="006E0B6E">
        <w:rPr>
          <w:rFonts w:ascii="Arial" w:hAnsi="Arial" w:cs="Arial"/>
        </w:rPr>
        <w:instrText xml:space="preserve"> SEQ Table \* ARABIC \s 9 </w:instrText>
      </w:r>
      <w:r w:rsidR="005E2259" w:rsidRPr="006E0B6E">
        <w:rPr>
          <w:rFonts w:ascii="Arial" w:hAnsi="Arial" w:cs="Arial"/>
        </w:rPr>
        <w:fldChar w:fldCharType="separate"/>
      </w:r>
      <w:r w:rsidR="00FE0771">
        <w:rPr>
          <w:rFonts w:ascii="Arial" w:hAnsi="Arial" w:cs="Arial"/>
          <w:noProof/>
        </w:rPr>
        <w:t>3</w:t>
      </w:r>
      <w:r w:rsidR="005E2259" w:rsidRPr="006E0B6E">
        <w:rPr>
          <w:rFonts w:ascii="Arial" w:hAnsi="Arial" w:cs="Arial"/>
          <w:noProof/>
        </w:rPr>
        <w:fldChar w:fldCharType="end"/>
      </w:r>
      <w:r w:rsidR="00B8755D" w:rsidRPr="006E0B6E">
        <w:rPr>
          <w:rFonts w:ascii="Arial" w:hAnsi="Arial" w:cs="Arial"/>
          <w:noProof/>
        </w:rPr>
        <w:t xml:space="preserve"> – </w:t>
      </w:r>
      <w:r w:rsidR="0068288D" w:rsidRPr="006E0B6E">
        <w:rPr>
          <w:rFonts w:ascii="Arial" w:hAnsi="Arial" w:cs="Arial"/>
        </w:rPr>
        <w:t>Number of inheritances</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276"/>
        <w:gridCol w:w="1984"/>
        <w:gridCol w:w="1985"/>
        <w:gridCol w:w="1984"/>
        <w:gridCol w:w="1985"/>
      </w:tblGrid>
      <w:tr w:rsidR="00B8755D" w:rsidRPr="006E0B6E" w14:paraId="39BAA27C" w14:textId="77777777" w:rsidTr="00E04D36">
        <w:trPr>
          <w:tblHeader/>
        </w:trPr>
        <w:tc>
          <w:tcPr>
            <w:tcW w:w="1276" w:type="dxa"/>
            <w:tcBorders>
              <w:bottom w:val="single" w:sz="4" w:space="0" w:color="B3B3B3"/>
            </w:tcBorders>
            <w:shd w:val="clear" w:color="000000" w:fill="auto"/>
            <w:vAlign w:val="bottom"/>
          </w:tcPr>
          <w:p w14:paraId="3A0C34B0" w14:textId="55C048C8" w:rsidR="00B8755D" w:rsidRPr="006E0B6E" w:rsidRDefault="00B8755D" w:rsidP="00E04D36">
            <w:pPr>
              <w:pStyle w:val="TableBody"/>
              <w:rPr>
                <w:rFonts w:ascii="Arial" w:hAnsi="Arial" w:cs="Arial"/>
                <w:b/>
                <w:bCs/>
              </w:rPr>
            </w:pPr>
            <w:r w:rsidRPr="006E0B6E">
              <w:rPr>
                <w:rFonts w:ascii="Arial" w:hAnsi="Arial" w:cs="Arial"/>
                <w:b/>
                <w:bCs/>
              </w:rPr>
              <w:t>Year</w:t>
            </w:r>
            <w:r w:rsidR="00076A5D" w:rsidRPr="006E0B6E">
              <w:rPr>
                <w:rFonts w:ascii="Arial" w:hAnsi="Arial" w:cs="Arial"/>
                <w:b/>
                <w:bCs/>
              </w:rPr>
              <w:t xml:space="preserve"> range</w:t>
            </w:r>
          </w:p>
        </w:tc>
        <w:tc>
          <w:tcPr>
            <w:tcW w:w="1984" w:type="dxa"/>
            <w:tcBorders>
              <w:bottom w:val="single" w:sz="4" w:space="0" w:color="B3B3B3"/>
            </w:tcBorders>
            <w:shd w:val="clear" w:color="000000" w:fill="auto"/>
            <w:vAlign w:val="bottom"/>
          </w:tcPr>
          <w:p w14:paraId="014E2486" w14:textId="785799D5" w:rsidR="00B8755D" w:rsidRPr="006E0B6E" w:rsidRDefault="00B8755D" w:rsidP="00E04D36">
            <w:pPr>
              <w:pStyle w:val="TableBody"/>
              <w:rPr>
                <w:rFonts w:ascii="Arial" w:hAnsi="Arial" w:cs="Arial"/>
                <w:b/>
                <w:bCs/>
              </w:rPr>
            </w:pPr>
            <w:r w:rsidRPr="006E0B6E">
              <w:rPr>
                <w:rFonts w:ascii="Arial" w:hAnsi="Arial" w:cs="Arial"/>
                <w:b/>
                <w:bCs/>
              </w:rPr>
              <w:t>Inheritances over $25 000</w:t>
            </w:r>
          </w:p>
        </w:tc>
        <w:tc>
          <w:tcPr>
            <w:tcW w:w="1985" w:type="dxa"/>
            <w:tcBorders>
              <w:bottom w:val="single" w:sz="4" w:space="0" w:color="B3B3B3"/>
            </w:tcBorders>
            <w:shd w:val="clear" w:color="000000" w:fill="auto"/>
            <w:vAlign w:val="bottom"/>
          </w:tcPr>
          <w:p w14:paraId="2DDBE154" w14:textId="731FB7BB" w:rsidR="00B8755D" w:rsidRPr="006E0B6E" w:rsidRDefault="00B8755D" w:rsidP="00E04D36">
            <w:pPr>
              <w:pStyle w:val="TableBody"/>
              <w:rPr>
                <w:rFonts w:ascii="Arial" w:hAnsi="Arial" w:cs="Arial"/>
                <w:b/>
                <w:bCs/>
              </w:rPr>
            </w:pPr>
            <w:r w:rsidRPr="006E0B6E">
              <w:rPr>
                <w:rFonts w:ascii="Arial" w:hAnsi="Arial" w:cs="Arial"/>
                <w:b/>
                <w:bCs/>
              </w:rPr>
              <w:t>Inheritances over $50 000</w:t>
            </w:r>
          </w:p>
        </w:tc>
        <w:tc>
          <w:tcPr>
            <w:tcW w:w="1984" w:type="dxa"/>
            <w:tcBorders>
              <w:bottom w:val="single" w:sz="4" w:space="0" w:color="B3B3B3"/>
            </w:tcBorders>
            <w:shd w:val="clear" w:color="000000" w:fill="auto"/>
          </w:tcPr>
          <w:p w14:paraId="67601347" w14:textId="4710FC16" w:rsidR="00B8755D" w:rsidRPr="006E0B6E" w:rsidRDefault="00B8755D" w:rsidP="00E04D36">
            <w:pPr>
              <w:pStyle w:val="TableBody"/>
              <w:rPr>
                <w:rFonts w:ascii="Arial" w:hAnsi="Arial" w:cs="Arial"/>
                <w:b/>
                <w:bCs/>
              </w:rPr>
            </w:pPr>
            <w:r w:rsidRPr="006E0B6E">
              <w:rPr>
                <w:rFonts w:ascii="Arial" w:hAnsi="Arial" w:cs="Arial"/>
                <w:b/>
                <w:bCs/>
              </w:rPr>
              <w:t>Inheritances over $100 000</w:t>
            </w:r>
          </w:p>
        </w:tc>
        <w:tc>
          <w:tcPr>
            <w:tcW w:w="1985" w:type="dxa"/>
            <w:tcBorders>
              <w:bottom w:val="single" w:sz="4" w:space="0" w:color="B3B3B3"/>
            </w:tcBorders>
            <w:shd w:val="clear" w:color="000000" w:fill="auto"/>
          </w:tcPr>
          <w:p w14:paraId="6BD0863C" w14:textId="6AB4719C" w:rsidR="00B8755D" w:rsidRPr="006E0B6E" w:rsidRDefault="00B8755D" w:rsidP="00E04D36">
            <w:pPr>
              <w:pStyle w:val="TableBody"/>
              <w:rPr>
                <w:rFonts w:ascii="Arial" w:hAnsi="Arial" w:cs="Arial"/>
                <w:b/>
                <w:bCs/>
              </w:rPr>
            </w:pPr>
            <w:r w:rsidRPr="006E0B6E">
              <w:rPr>
                <w:rFonts w:ascii="Arial" w:hAnsi="Arial" w:cs="Arial"/>
                <w:b/>
                <w:bCs/>
              </w:rPr>
              <w:t>All inheritances</w:t>
            </w:r>
          </w:p>
        </w:tc>
      </w:tr>
      <w:tr w:rsidR="00131471" w:rsidRPr="006E0B6E" w14:paraId="478280A1" w14:textId="77777777" w:rsidTr="00E04D36">
        <w:tc>
          <w:tcPr>
            <w:tcW w:w="1276" w:type="dxa"/>
            <w:tcBorders>
              <w:top w:val="single" w:sz="4" w:space="0" w:color="B3B3B3"/>
              <w:bottom w:val="nil"/>
            </w:tcBorders>
            <w:shd w:val="clear" w:color="000000" w:fill="F2F2F2"/>
          </w:tcPr>
          <w:p w14:paraId="47F83E19" w14:textId="77777777" w:rsidR="00131471" w:rsidRPr="006E0B6E" w:rsidRDefault="00131471" w:rsidP="00131471">
            <w:pPr>
              <w:pStyle w:val="TableBody"/>
              <w:rPr>
                <w:rFonts w:ascii="Arial" w:hAnsi="Arial" w:cs="Arial"/>
              </w:rPr>
            </w:pPr>
          </w:p>
        </w:tc>
        <w:tc>
          <w:tcPr>
            <w:tcW w:w="1984" w:type="dxa"/>
            <w:tcBorders>
              <w:top w:val="single" w:sz="4" w:space="0" w:color="B3B3B3"/>
              <w:bottom w:val="nil"/>
            </w:tcBorders>
            <w:shd w:val="clear" w:color="000000" w:fill="F2F2F2"/>
          </w:tcPr>
          <w:p w14:paraId="197310C3" w14:textId="5A4CE033"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c>
          <w:tcPr>
            <w:tcW w:w="1985" w:type="dxa"/>
            <w:tcBorders>
              <w:top w:val="single" w:sz="4" w:space="0" w:color="B3B3B3"/>
              <w:bottom w:val="nil"/>
            </w:tcBorders>
            <w:shd w:val="clear" w:color="000000" w:fill="F2F2F2"/>
          </w:tcPr>
          <w:p w14:paraId="6E56CDD9" w14:textId="4820F402"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c>
          <w:tcPr>
            <w:tcW w:w="1984" w:type="dxa"/>
            <w:tcBorders>
              <w:top w:val="single" w:sz="4" w:space="0" w:color="B3B3B3"/>
              <w:bottom w:val="nil"/>
            </w:tcBorders>
            <w:shd w:val="clear" w:color="000000" w:fill="F2F2F2"/>
          </w:tcPr>
          <w:p w14:paraId="1323E2D7" w14:textId="13AF5F47"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c>
          <w:tcPr>
            <w:tcW w:w="1985" w:type="dxa"/>
            <w:tcBorders>
              <w:top w:val="single" w:sz="4" w:space="0" w:color="B3B3B3"/>
              <w:bottom w:val="nil"/>
            </w:tcBorders>
            <w:shd w:val="clear" w:color="000000" w:fill="F2F2F2"/>
          </w:tcPr>
          <w:p w14:paraId="62C1FFE3" w14:textId="1C0F30D6" w:rsidR="00131471" w:rsidRPr="006E0B6E" w:rsidRDefault="00131471" w:rsidP="00131471">
            <w:pPr>
              <w:pStyle w:val="TableBody"/>
              <w:rPr>
                <w:rFonts w:ascii="Arial" w:hAnsi="Arial" w:cs="Arial"/>
                <w:color w:val="000000"/>
              </w:rPr>
            </w:pPr>
            <w:r w:rsidRPr="006E0B6E">
              <w:rPr>
                <w:rFonts w:ascii="Arial" w:hAnsi="Arial" w:cs="Arial"/>
                <w:color w:val="000000"/>
              </w:rPr>
              <w:t>Number (tens of thousands)</w:t>
            </w:r>
          </w:p>
        </w:tc>
      </w:tr>
      <w:tr w:rsidR="00F25F52" w:rsidRPr="006E0B6E" w14:paraId="2914BD79" w14:textId="77777777" w:rsidTr="00AD5A94">
        <w:tc>
          <w:tcPr>
            <w:tcW w:w="1276" w:type="dxa"/>
            <w:shd w:val="clear" w:color="000000" w:fill="F2F2F2"/>
          </w:tcPr>
          <w:p w14:paraId="024B16B4" w14:textId="51A28303" w:rsidR="00131471" w:rsidRPr="006E0B6E" w:rsidRDefault="00131471" w:rsidP="00131471">
            <w:pPr>
              <w:pStyle w:val="TableBody"/>
              <w:rPr>
                <w:rFonts w:ascii="Arial" w:hAnsi="Arial" w:cs="Arial"/>
              </w:rPr>
            </w:pPr>
            <w:r w:rsidRPr="006E0B6E">
              <w:rPr>
                <w:rFonts w:ascii="Arial" w:hAnsi="Arial" w:cs="Arial"/>
              </w:rPr>
              <w:t>2001-02</w:t>
            </w:r>
            <w:r w:rsidR="00076A5D" w:rsidRPr="006E0B6E">
              <w:rPr>
                <w:rFonts w:ascii="Arial" w:hAnsi="Arial" w:cs="Arial"/>
              </w:rPr>
              <w:t xml:space="preserve"> to 2018-19</w:t>
            </w:r>
          </w:p>
        </w:tc>
        <w:tc>
          <w:tcPr>
            <w:tcW w:w="1984" w:type="dxa"/>
            <w:shd w:val="clear" w:color="000000" w:fill="F2F2F2"/>
            <w:vAlign w:val="bottom"/>
          </w:tcPr>
          <w:p w14:paraId="15B2A9AC" w14:textId="5D687446" w:rsidR="00131471" w:rsidRPr="006E0B6E" w:rsidRDefault="0068475A" w:rsidP="00131471">
            <w:pPr>
              <w:pStyle w:val="TableBody"/>
              <w:rPr>
                <w:rFonts w:ascii="Arial" w:hAnsi="Arial" w:cs="Arial"/>
                <w:color w:val="000000"/>
                <w:szCs w:val="18"/>
              </w:rPr>
            </w:pPr>
            <w:r w:rsidRPr="006E0B6E">
              <w:rPr>
                <w:rFonts w:ascii="Arial" w:hAnsi="Arial" w:cs="Arial"/>
                <w:szCs w:val="18"/>
              </w:rPr>
              <w:t>227.7</w:t>
            </w:r>
          </w:p>
        </w:tc>
        <w:tc>
          <w:tcPr>
            <w:tcW w:w="1985" w:type="dxa"/>
            <w:shd w:val="clear" w:color="000000" w:fill="F2F2F2"/>
            <w:vAlign w:val="bottom"/>
          </w:tcPr>
          <w:p w14:paraId="0223DA65" w14:textId="0B418BAE" w:rsidR="00131471" w:rsidRPr="006E0B6E" w:rsidRDefault="0068475A" w:rsidP="00131471">
            <w:pPr>
              <w:pStyle w:val="TableBody"/>
              <w:rPr>
                <w:rFonts w:ascii="Arial" w:hAnsi="Arial" w:cs="Arial"/>
                <w:color w:val="000000"/>
                <w:szCs w:val="18"/>
              </w:rPr>
            </w:pPr>
            <w:r w:rsidRPr="006E0B6E">
              <w:rPr>
                <w:rFonts w:ascii="Arial" w:hAnsi="Arial" w:cs="Arial"/>
                <w:szCs w:val="18"/>
              </w:rPr>
              <w:t>171.4</w:t>
            </w:r>
          </w:p>
        </w:tc>
        <w:tc>
          <w:tcPr>
            <w:tcW w:w="1984" w:type="dxa"/>
            <w:shd w:val="clear" w:color="000000" w:fill="F2F2F2"/>
            <w:vAlign w:val="bottom"/>
          </w:tcPr>
          <w:p w14:paraId="347E13EF" w14:textId="6C985B6A" w:rsidR="00131471" w:rsidRPr="006E0B6E" w:rsidRDefault="0068475A" w:rsidP="00131471">
            <w:pPr>
              <w:pStyle w:val="TableBody"/>
              <w:rPr>
                <w:rFonts w:ascii="Arial" w:hAnsi="Arial" w:cs="Arial"/>
                <w:color w:val="000000"/>
                <w:szCs w:val="18"/>
              </w:rPr>
            </w:pPr>
            <w:r w:rsidRPr="006E0B6E">
              <w:rPr>
                <w:rFonts w:ascii="Arial" w:hAnsi="Arial" w:cs="Arial"/>
                <w:szCs w:val="18"/>
              </w:rPr>
              <w:t>108.0</w:t>
            </w:r>
          </w:p>
        </w:tc>
        <w:tc>
          <w:tcPr>
            <w:tcW w:w="1985" w:type="dxa"/>
            <w:shd w:val="clear" w:color="000000" w:fill="F2F2F2"/>
            <w:vAlign w:val="bottom"/>
          </w:tcPr>
          <w:p w14:paraId="63CF76FD" w14:textId="4AF983CF" w:rsidR="00131471" w:rsidRPr="006E0B6E" w:rsidRDefault="00C2649D" w:rsidP="00131471">
            <w:pPr>
              <w:pStyle w:val="TableBody"/>
              <w:rPr>
                <w:rFonts w:ascii="Arial" w:hAnsi="Arial" w:cs="Arial"/>
                <w:color w:val="000000"/>
              </w:rPr>
            </w:pPr>
            <w:r w:rsidRPr="006E0B6E">
              <w:rPr>
                <w:rFonts w:ascii="Arial" w:hAnsi="Arial" w:cs="Arial"/>
                <w:szCs w:val="18"/>
              </w:rPr>
              <w:t>435.6</w:t>
            </w:r>
          </w:p>
        </w:tc>
      </w:tr>
    </w:tbl>
    <w:p w14:paraId="4F97C17A" w14:textId="24C23BEC" w:rsidR="00233C5C"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60AB2732" w14:textId="204B3AC2" w:rsidR="00B8755D" w:rsidRPr="006E0B6E" w:rsidRDefault="00707AF0" w:rsidP="00367B44">
      <w:pPr>
        <w:pStyle w:val="FigureTableHeading"/>
        <w:rPr>
          <w:rFonts w:ascii="Arial" w:hAnsi="Arial" w:cs="Arial"/>
        </w:rPr>
      </w:pPr>
      <w:r w:rsidRPr="006E0B6E">
        <w:rPr>
          <w:rFonts w:ascii="Arial" w:hAnsi="Arial" w:cs="Arial"/>
        </w:rPr>
        <w:t xml:space="preserve">Table </w:t>
      </w:r>
      <w:r w:rsidR="005E2259" w:rsidRPr="006E0B6E">
        <w:rPr>
          <w:rFonts w:ascii="Arial" w:hAnsi="Arial" w:cs="Arial"/>
        </w:rPr>
        <w:fldChar w:fldCharType="begin"/>
      </w:r>
      <w:r w:rsidR="005E2259" w:rsidRPr="006E0B6E">
        <w:rPr>
          <w:rFonts w:ascii="Arial" w:hAnsi="Arial" w:cs="Arial"/>
        </w:rPr>
        <w:instrText xml:space="preserve"> SEQ Table \* ARABIC \s 9 </w:instrText>
      </w:r>
      <w:r w:rsidR="005E2259" w:rsidRPr="006E0B6E">
        <w:rPr>
          <w:rFonts w:ascii="Arial" w:hAnsi="Arial" w:cs="Arial"/>
        </w:rPr>
        <w:fldChar w:fldCharType="separate"/>
      </w:r>
      <w:r w:rsidR="00FE0771">
        <w:rPr>
          <w:rFonts w:ascii="Arial" w:hAnsi="Arial" w:cs="Arial"/>
          <w:noProof/>
        </w:rPr>
        <w:t>4</w:t>
      </w:r>
      <w:r w:rsidR="005E2259" w:rsidRPr="006E0B6E">
        <w:rPr>
          <w:rFonts w:ascii="Arial" w:hAnsi="Arial" w:cs="Arial"/>
          <w:noProof/>
        </w:rPr>
        <w:fldChar w:fldCharType="end"/>
      </w:r>
      <w:r w:rsidR="00B8755D" w:rsidRPr="006E0B6E">
        <w:rPr>
          <w:rFonts w:ascii="Arial" w:hAnsi="Arial" w:cs="Arial"/>
          <w:noProof/>
        </w:rPr>
        <w:t xml:space="preserve"> – </w:t>
      </w:r>
      <w:r w:rsidR="0068288D" w:rsidRPr="006E0B6E">
        <w:rPr>
          <w:rFonts w:ascii="Arial" w:hAnsi="Arial" w:cs="Arial"/>
        </w:rPr>
        <w:t>Value of inheritances</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276"/>
        <w:gridCol w:w="1984"/>
        <w:gridCol w:w="1985"/>
        <w:gridCol w:w="1984"/>
        <w:gridCol w:w="1985"/>
      </w:tblGrid>
      <w:tr w:rsidR="00B8755D" w:rsidRPr="006E0B6E" w14:paraId="7C7657EC" w14:textId="77777777" w:rsidTr="00E04D36">
        <w:trPr>
          <w:tblHeader/>
        </w:trPr>
        <w:tc>
          <w:tcPr>
            <w:tcW w:w="1276" w:type="dxa"/>
            <w:tcBorders>
              <w:bottom w:val="single" w:sz="4" w:space="0" w:color="B3B3B3"/>
            </w:tcBorders>
            <w:shd w:val="clear" w:color="000000" w:fill="auto"/>
            <w:vAlign w:val="bottom"/>
          </w:tcPr>
          <w:p w14:paraId="78A22E0A" w14:textId="0A9E8ABB" w:rsidR="00B8755D" w:rsidRPr="006E0B6E" w:rsidRDefault="00B8755D" w:rsidP="00E04D36">
            <w:pPr>
              <w:pStyle w:val="TableBody"/>
              <w:rPr>
                <w:rFonts w:ascii="Arial" w:hAnsi="Arial" w:cs="Arial"/>
                <w:b/>
                <w:bCs/>
              </w:rPr>
            </w:pPr>
            <w:r w:rsidRPr="006E0B6E">
              <w:rPr>
                <w:rFonts w:ascii="Arial" w:hAnsi="Arial" w:cs="Arial"/>
                <w:b/>
                <w:bCs/>
              </w:rPr>
              <w:t>Year</w:t>
            </w:r>
            <w:r w:rsidR="00076A5D" w:rsidRPr="006E0B6E">
              <w:rPr>
                <w:rFonts w:ascii="Arial" w:hAnsi="Arial" w:cs="Arial"/>
                <w:b/>
                <w:bCs/>
              </w:rPr>
              <w:t xml:space="preserve"> range</w:t>
            </w:r>
          </w:p>
        </w:tc>
        <w:tc>
          <w:tcPr>
            <w:tcW w:w="1984" w:type="dxa"/>
            <w:tcBorders>
              <w:bottom w:val="single" w:sz="4" w:space="0" w:color="B3B3B3"/>
            </w:tcBorders>
            <w:shd w:val="clear" w:color="000000" w:fill="auto"/>
            <w:vAlign w:val="bottom"/>
          </w:tcPr>
          <w:p w14:paraId="00CD2E59" w14:textId="010BC3A8" w:rsidR="00B8755D" w:rsidRPr="006E0B6E" w:rsidRDefault="00B8755D" w:rsidP="00E04D36">
            <w:pPr>
              <w:pStyle w:val="TableBody"/>
              <w:rPr>
                <w:rFonts w:ascii="Arial" w:hAnsi="Arial" w:cs="Arial"/>
                <w:b/>
                <w:bCs/>
              </w:rPr>
            </w:pPr>
            <w:r w:rsidRPr="006E0B6E">
              <w:rPr>
                <w:rFonts w:ascii="Arial" w:hAnsi="Arial" w:cs="Arial"/>
                <w:b/>
                <w:bCs/>
              </w:rPr>
              <w:t>Inheritances over $25 000</w:t>
            </w:r>
          </w:p>
        </w:tc>
        <w:tc>
          <w:tcPr>
            <w:tcW w:w="1985" w:type="dxa"/>
            <w:tcBorders>
              <w:bottom w:val="single" w:sz="4" w:space="0" w:color="B3B3B3"/>
            </w:tcBorders>
            <w:shd w:val="clear" w:color="000000" w:fill="auto"/>
            <w:vAlign w:val="bottom"/>
          </w:tcPr>
          <w:p w14:paraId="5A77B16C" w14:textId="45DE491E" w:rsidR="00B8755D" w:rsidRPr="006E0B6E" w:rsidRDefault="00B8755D" w:rsidP="00E04D36">
            <w:pPr>
              <w:pStyle w:val="TableBody"/>
              <w:rPr>
                <w:rFonts w:ascii="Arial" w:hAnsi="Arial" w:cs="Arial"/>
                <w:b/>
                <w:bCs/>
              </w:rPr>
            </w:pPr>
            <w:r w:rsidRPr="006E0B6E">
              <w:rPr>
                <w:rFonts w:ascii="Arial" w:hAnsi="Arial" w:cs="Arial"/>
                <w:b/>
                <w:bCs/>
              </w:rPr>
              <w:t>Inheritances over $50 000</w:t>
            </w:r>
          </w:p>
        </w:tc>
        <w:tc>
          <w:tcPr>
            <w:tcW w:w="1984" w:type="dxa"/>
            <w:tcBorders>
              <w:bottom w:val="single" w:sz="4" w:space="0" w:color="B3B3B3"/>
            </w:tcBorders>
            <w:shd w:val="clear" w:color="000000" w:fill="auto"/>
          </w:tcPr>
          <w:p w14:paraId="3CDE52B4" w14:textId="7E5F3083" w:rsidR="00B8755D" w:rsidRPr="006E0B6E" w:rsidRDefault="00B8755D" w:rsidP="00E04D36">
            <w:pPr>
              <w:pStyle w:val="TableBody"/>
              <w:rPr>
                <w:rFonts w:ascii="Arial" w:hAnsi="Arial" w:cs="Arial"/>
                <w:b/>
                <w:bCs/>
              </w:rPr>
            </w:pPr>
            <w:r w:rsidRPr="006E0B6E">
              <w:rPr>
                <w:rFonts w:ascii="Arial" w:hAnsi="Arial" w:cs="Arial"/>
                <w:b/>
                <w:bCs/>
              </w:rPr>
              <w:t>Inheritances over $100 000</w:t>
            </w:r>
          </w:p>
        </w:tc>
        <w:tc>
          <w:tcPr>
            <w:tcW w:w="1985" w:type="dxa"/>
            <w:tcBorders>
              <w:bottom w:val="single" w:sz="4" w:space="0" w:color="B3B3B3"/>
            </w:tcBorders>
            <w:shd w:val="clear" w:color="000000" w:fill="auto"/>
          </w:tcPr>
          <w:p w14:paraId="381799DC" w14:textId="796C0CAF" w:rsidR="00B8755D" w:rsidRPr="006E0B6E" w:rsidRDefault="00B8755D" w:rsidP="00E04D36">
            <w:pPr>
              <w:pStyle w:val="TableBody"/>
              <w:rPr>
                <w:rFonts w:ascii="Arial" w:hAnsi="Arial" w:cs="Arial"/>
                <w:b/>
                <w:bCs/>
              </w:rPr>
            </w:pPr>
            <w:r w:rsidRPr="006E0B6E">
              <w:rPr>
                <w:rFonts w:ascii="Arial" w:hAnsi="Arial" w:cs="Arial"/>
                <w:b/>
                <w:bCs/>
              </w:rPr>
              <w:t>All inheritances</w:t>
            </w:r>
          </w:p>
        </w:tc>
      </w:tr>
      <w:tr w:rsidR="00131471" w:rsidRPr="006E0B6E" w14:paraId="1C23E2B5" w14:textId="77777777" w:rsidTr="00E04D36">
        <w:tc>
          <w:tcPr>
            <w:tcW w:w="1276" w:type="dxa"/>
            <w:tcBorders>
              <w:top w:val="single" w:sz="4" w:space="0" w:color="B3B3B3"/>
              <w:bottom w:val="nil"/>
            </w:tcBorders>
            <w:shd w:val="clear" w:color="000000" w:fill="F2F2F2"/>
          </w:tcPr>
          <w:p w14:paraId="6317F21E" w14:textId="77777777" w:rsidR="00131471" w:rsidRPr="006E0B6E" w:rsidRDefault="00131471" w:rsidP="00131471">
            <w:pPr>
              <w:pStyle w:val="TableBody"/>
              <w:rPr>
                <w:rFonts w:ascii="Arial" w:hAnsi="Arial" w:cs="Arial"/>
              </w:rPr>
            </w:pPr>
          </w:p>
        </w:tc>
        <w:tc>
          <w:tcPr>
            <w:tcW w:w="1984" w:type="dxa"/>
            <w:tcBorders>
              <w:top w:val="single" w:sz="4" w:space="0" w:color="B3B3B3"/>
              <w:bottom w:val="nil"/>
            </w:tcBorders>
            <w:shd w:val="clear" w:color="000000" w:fill="F2F2F2"/>
          </w:tcPr>
          <w:p w14:paraId="28B04CA1" w14:textId="674DE478" w:rsidR="00131471" w:rsidRPr="006E0B6E" w:rsidRDefault="00131471" w:rsidP="00131471">
            <w:pPr>
              <w:pStyle w:val="TableBody"/>
              <w:rPr>
                <w:rFonts w:ascii="Arial" w:hAnsi="Arial" w:cs="Arial"/>
                <w:color w:val="000000"/>
              </w:rPr>
            </w:pPr>
            <w:r w:rsidRPr="006E0B6E">
              <w:rPr>
                <w:rFonts w:ascii="Arial" w:hAnsi="Arial" w:cs="Arial"/>
                <w:color w:val="000000"/>
              </w:rPr>
              <w:t>Value (billions of 2018 dollars)</w:t>
            </w:r>
          </w:p>
        </w:tc>
        <w:tc>
          <w:tcPr>
            <w:tcW w:w="1985" w:type="dxa"/>
            <w:tcBorders>
              <w:top w:val="single" w:sz="4" w:space="0" w:color="B3B3B3"/>
              <w:bottom w:val="nil"/>
            </w:tcBorders>
            <w:shd w:val="clear" w:color="000000" w:fill="F2F2F2"/>
          </w:tcPr>
          <w:p w14:paraId="0E788D44" w14:textId="45E8D0C7" w:rsidR="00131471" w:rsidRPr="006E0B6E" w:rsidRDefault="00131471" w:rsidP="00131471">
            <w:pPr>
              <w:pStyle w:val="TableBody"/>
              <w:rPr>
                <w:rFonts w:ascii="Arial" w:hAnsi="Arial" w:cs="Arial"/>
                <w:color w:val="000000"/>
              </w:rPr>
            </w:pPr>
            <w:r w:rsidRPr="006E0B6E">
              <w:rPr>
                <w:rFonts w:ascii="Arial" w:hAnsi="Arial" w:cs="Arial"/>
                <w:color w:val="000000"/>
              </w:rPr>
              <w:t>Value (billions of 2018 dollars)</w:t>
            </w:r>
          </w:p>
        </w:tc>
        <w:tc>
          <w:tcPr>
            <w:tcW w:w="1984" w:type="dxa"/>
            <w:tcBorders>
              <w:top w:val="single" w:sz="4" w:space="0" w:color="B3B3B3"/>
              <w:bottom w:val="nil"/>
            </w:tcBorders>
            <w:shd w:val="clear" w:color="000000" w:fill="F2F2F2"/>
          </w:tcPr>
          <w:p w14:paraId="41D015D6" w14:textId="420BB1D4" w:rsidR="00131471" w:rsidRPr="006E0B6E" w:rsidRDefault="00131471" w:rsidP="00131471">
            <w:pPr>
              <w:pStyle w:val="TableBody"/>
              <w:rPr>
                <w:rFonts w:ascii="Arial" w:hAnsi="Arial" w:cs="Arial"/>
                <w:color w:val="000000"/>
              </w:rPr>
            </w:pPr>
            <w:r w:rsidRPr="006E0B6E">
              <w:rPr>
                <w:rFonts w:ascii="Arial" w:hAnsi="Arial" w:cs="Arial"/>
                <w:color w:val="000000"/>
              </w:rPr>
              <w:t>Value (billions of 2018 dollars)</w:t>
            </w:r>
          </w:p>
        </w:tc>
        <w:tc>
          <w:tcPr>
            <w:tcW w:w="1985" w:type="dxa"/>
            <w:tcBorders>
              <w:top w:val="single" w:sz="4" w:space="0" w:color="B3B3B3"/>
              <w:bottom w:val="nil"/>
            </w:tcBorders>
            <w:shd w:val="clear" w:color="000000" w:fill="F2F2F2"/>
          </w:tcPr>
          <w:p w14:paraId="66E28C0E" w14:textId="262D9CAC" w:rsidR="00131471" w:rsidRPr="006E0B6E" w:rsidRDefault="00131471" w:rsidP="00131471">
            <w:pPr>
              <w:pStyle w:val="TableBody"/>
              <w:rPr>
                <w:rFonts w:ascii="Arial" w:hAnsi="Arial" w:cs="Arial"/>
                <w:color w:val="000000"/>
              </w:rPr>
            </w:pPr>
            <w:r w:rsidRPr="006E0B6E">
              <w:rPr>
                <w:rFonts w:ascii="Arial" w:hAnsi="Arial" w:cs="Arial"/>
                <w:color w:val="000000"/>
              </w:rPr>
              <w:t>Value (billions of 2018 dollars)</w:t>
            </w:r>
          </w:p>
        </w:tc>
      </w:tr>
      <w:tr w:rsidR="007771B8" w:rsidRPr="006E0B6E" w14:paraId="30AC9E0C" w14:textId="77777777" w:rsidTr="001C0FA7">
        <w:tc>
          <w:tcPr>
            <w:tcW w:w="1276" w:type="dxa"/>
            <w:shd w:val="clear" w:color="000000" w:fill="F2F2F2"/>
          </w:tcPr>
          <w:p w14:paraId="77AC076F" w14:textId="03192ED6" w:rsidR="00484945" w:rsidRPr="006E0B6E" w:rsidRDefault="00484945" w:rsidP="00484945">
            <w:pPr>
              <w:pStyle w:val="TableBody"/>
              <w:rPr>
                <w:rFonts w:ascii="Arial" w:hAnsi="Arial" w:cs="Arial"/>
              </w:rPr>
            </w:pPr>
            <w:r w:rsidRPr="006E0B6E">
              <w:rPr>
                <w:rFonts w:ascii="Arial" w:hAnsi="Arial" w:cs="Arial"/>
              </w:rPr>
              <w:t>2001-02</w:t>
            </w:r>
            <w:r w:rsidR="00076A5D" w:rsidRPr="006E0B6E">
              <w:rPr>
                <w:rFonts w:ascii="Arial" w:hAnsi="Arial" w:cs="Arial"/>
              </w:rPr>
              <w:t xml:space="preserve"> to 2018-19</w:t>
            </w:r>
          </w:p>
        </w:tc>
        <w:tc>
          <w:tcPr>
            <w:tcW w:w="1984" w:type="dxa"/>
            <w:shd w:val="clear" w:color="000000" w:fill="F2F2F2"/>
            <w:vAlign w:val="bottom"/>
          </w:tcPr>
          <w:p w14:paraId="1DA62A4F" w14:textId="61428339" w:rsidR="00484945" w:rsidRPr="006E0B6E" w:rsidRDefault="00B216E3" w:rsidP="00484945">
            <w:pPr>
              <w:pStyle w:val="TableBody"/>
              <w:rPr>
                <w:rFonts w:ascii="Arial" w:hAnsi="Arial" w:cs="Arial"/>
                <w:color w:val="000000"/>
                <w:szCs w:val="18"/>
              </w:rPr>
            </w:pPr>
            <w:r w:rsidRPr="006E0B6E">
              <w:rPr>
                <w:rFonts w:ascii="Arial" w:hAnsi="Arial" w:cs="Arial"/>
                <w:szCs w:val="18"/>
              </w:rPr>
              <w:t>461.7</w:t>
            </w:r>
          </w:p>
        </w:tc>
        <w:tc>
          <w:tcPr>
            <w:tcW w:w="1985" w:type="dxa"/>
            <w:shd w:val="clear" w:color="000000" w:fill="F2F2F2"/>
            <w:vAlign w:val="bottom"/>
          </w:tcPr>
          <w:p w14:paraId="0AB1CB48" w14:textId="4FB1188B" w:rsidR="00484945" w:rsidRPr="006E0B6E" w:rsidRDefault="00B216E3" w:rsidP="00484945">
            <w:pPr>
              <w:pStyle w:val="TableBody"/>
              <w:rPr>
                <w:rFonts w:ascii="Arial" w:hAnsi="Arial" w:cs="Arial"/>
                <w:color w:val="000000"/>
                <w:szCs w:val="18"/>
              </w:rPr>
            </w:pPr>
            <w:r w:rsidRPr="006E0B6E">
              <w:rPr>
                <w:rFonts w:ascii="Arial" w:hAnsi="Arial" w:cs="Arial"/>
                <w:szCs w:val="18"/>
              </w:rPr>
              <w:t>435.9</w:t>
            </w:r>
          </w:p>
        </w:tc>
        <w:tc>
          <w:tcPr>
            <w:tcW w:w="1984" w:type="dxa"/>
            <w:shd w:val="clear" w:color="000000" w:fill="F2F2F2"/>
            <w:vAlign w:val="bottom"/>
          </w:tcPr>
          <w:p w14:paraId="61D02D92" w14:textId="5807697B" w:rsidR="00484945" w:rsidRPr="006E0B6E" w:rsidRDefault="00B216E3" w:rsidP="00484945">
            <w:pPr>
              <w:pStyle w:val="TableBody"/>
              <w:rPr>
                <w:rFonts w:ascii="Arial" w:hAnsi="Arial" w:cs="Arial"/>
                <w:color w:val="000000"/>
                <w:szCs w:val="18"/>
              </w:rPr>
            </w:pPr>
            <w:r w:rsidRPr="006E0B6E">
              <w:rPr>
                <w:rFonts w:ascii="Arial" w:hAnsi="Arial" w:cs="Arial"/>
                <w:szCs w:val="18"/>
              </w:rPr>
              <w:t>378.5</w:t>
            </w:r>
          </w:p>
        </w:tc>
        <w:tc>
          <w:tcPr>
            <w:tcW w:w="1985" w:type="dxa"/>
            <w:shd w:val="clear" w:color="000000" w:fill="F2F2F2"/>
            <w:vAlign w:val="bottom"/>
          </w:tcPr>
          <w:p w14:paraId="0A711E86" w14:textId="14AECA69" w:rsidR="00484945" w:rsidRPr="006E0B6E" w:rsidRDefault="007F0C10" w:rsidP="00484945">
            <w:pPr>
              <w:pStyle w:val="TableBody"/>
              <w:rPr>
                <w:rFonts w:ascii="Arial" w:hAnsi="Arial" w:cs="Arial"/>
                <w:color w:val="000000"/>
              </w:rPr>
            </w:pPr>
            <w:r w:rsidRPr="006E0B6E">
              <w:rPr>
                <w:rFonts w:ascii="Arial" w:hAnsi="Arial" w:cs="Arial"/>
                <w:szCs w:val="18"/>
              </w:rPr>
              <w:t>483.1</w:t>
            </w:r>
          </w:p>
        </w:tc>
      </w:tr>
    </w:tbl>
    <w:p w14:paraId="0CE9F9B5" w14:textId="7611D26B" w:rsidR="00233C5C"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364BE2B6" w14:textId="77777777" w:rsidR="00453F19" w:rsidRPr="006E0B6E" w:rsidRDefault="00453F19" w:rsidP="005E2259">
      <w:r w:rsidRPr="006E0B6E">
        <w:br w:type="page"/>
      </w:r>
    </w:p>
    <w:p w14:paraId="052703AA" w14:textId="711B1044" w:rsidR="00CC2F3F" w:rsidRPr="006E0B6E" w:rsidRDefault="00413D13" w:rsidP="00CC2F3F">
      <w:pPr>
        <w:pStyle w:val="Heading2"/>
        <w:rPr>
          <w:rFonts w:cs="Arial"/>
        </w:rPr>
      </w:pPr>
      <w:r w:rsidRPr="006E0B6E">
        <w:rPr>
          <w:rFonts w:cs="Arial"/>
        </w:rPr>
        <w:lastRenderedPageBreak/>
        <w:t xml:space="preserve">Request 2: </w:t>
      </w:r>
      <w:r w:rsidR="00422B06" w:rsidRPr="006E0B6E">
        <w:rPr>
          <w:rFonts w:cs="Arial"/>
        </w:rPr>
        <w:t>What is the value of t</w:t>
      </w:r>
      <w:r w:rsidR="00CC2F3F" w:rsidRPr="006E0B6E">
        <w:rPr>
          <w:rFonts w:cs="Arial"/>
        </w:rPr>
        <w:t xml:space="preserve">otal inheritances excluding </w:t>
      </w:r>
      <w:r w:rsidR="00422B06" w:rsidRPr="006E0B6E">
        <w:rPr>
          <w:rFonts w:cs="Arial"/>
        </w:rPr>
        <w:t xml:space="preserve">the </w:t>
      </w:r>
      <w:r w:rsidR="00CC2F3F" w:rsidRPr="006E0B6E">
        <w:rPr>
          <w:rFonts w:cs="Arial"/>
        </w:rPr>
        <w:t>primary residence</w:t>
      </w:r>
    </w:p>
    <w:p w14:paraId="740DF5B8" w14:textId="2686BC4E" w:rsidR="00DF6732" w:rsidRPr="006E0B6E" w:rsidRDefault="00DF6732" w:rsidP="00DF6732">
      <w:pPr>
        <w:rPr>
          <w:rFonts w:cs="Arial"/>
        </w:rPr>
      </w:pPr>
      <w:r w:rsidRPr="006E0B6E">
        <w:rPr>
          <w:rFonts w:cs="Arial"/>
        </w:rPr>
        <w:t xml:space="preserve">Chapter 1 of WTEE reported estimates </w:t>
      </w:r>
      <w:r w:rsidR="000335B7" w:rsidRPr="006E0B6E">
        <w:rPr>
          <w:rFonts w:cs="Arial"/>
        </w:rPr>
        <w:t>of</w:t>
      </w:r>
      <w:r w:rsidRPr="006E0B6E">
        <w:rPr>
          <w:rFonts w:cs="Arial"/>
        </w:rPr>
        <w:t xml:space="preserve"> both total inheritances and total inheritances bequeathed to the next generation. The same disaggregation is reported below. The difference between the two estimates is largely attributable to inheritances bequeathed to surviving spouses. The estimates of inheritances transferred to the next generation are contingent on the assumption that inheritance distributions align with those observed in a sample of 526 probate files from 2016 collected by the Grattan Institute (see appendix A WTEE for more information).</w:t>
      </w:r>
    </w:p>
    <w:p w14:paraId="569899E4" w14:textId="7851FCD6" w:rsidR="00DF6732" w:rsidRPr="006E0B6E" w:rsidRDefault="00DF6732" w:rsidP="00DF6732">
      <w:pPr>
        <w:rPr>
          <w:rFonts w:cs="Arial"/>
        </w:rPr>
      </w:pPr>
      <w:r w:rsidRPr="006E0B6E">
        <w:rPr>
          <w:rFonts w:cs="Arial"/>
        </w:rPr>
        <w:t xml:space="preserve">For completeness, the Commission has also provided estimates of total inheritances </w:t>
      </w:r>
      <w:r w:rsidRPr="006E0B6E">
        <w:rPr>
          <w:rFonts w:cs="Arial"/>
          <w:i/>
          <w:iCs/>
        </w:rPr>
        <w:t>including</w:t>
      </w:r>
      <w:r w:rsidRPr="006E0B6E">
        <w:rPr>
          <w:rFonts w:cs="Arial"/>
        </w:rPr>
        <w:t xml:space="preserve"> the primary residence. </w:t>
      </w:r>
    </w:p>
    <w:p w14:paraId="37549805" w14:textId="381F6EA3" w:rsidR="00DF6732" w:rsidRPr="006E0B6E" w:rsidRDefault="00DF6732" w:rsidP="00DF6732">
      <w:pPr>
        <w:rPr>
          <w:rFonts w:cs="Arial"/>
        </w:rPr>
      </w:pPr>
      <w:r w:rsidRPr="006E0B6E">
        <w:rPr>
          <w:rFonts w:cs="Arial"/>
        </w:rPr>
        <w:t>Tables 5 and 6 show the requested statistics for 2002, 2006, 2010, 2014 and 2018.</w:t>
      </w:r>
    </w:p>
    <w:p w14:paraId="0F293DB0" w14:textId="5EB2F4BA" w:rsidR="00323116" w:rsidRPr="006E0B6E" w:rsidRDefault="00707AF0" w:rsidP="00323116">
      <w:pPr>
        <w:pStyle w:val="FigureTableHeading"/>
        <w:rPr>
          <w:rFonts w:ascii="Arial" w:hAnsi="Arial" w:cs="Arial"/>
        </w:rPr>
      </w:pPr>
      <w:r w:rsidRPr="006E0B6E">
        <w:rPr>
          <w:rFonts w:ascii="Arial" w:hAnsi="Arial" w:cs="Arial"/>
        </w:rPr>
        <w:t xml:space="preserve">Table </w:t>
      </w:r>
      <w:r w:rsidR="005E2259" w:rsidRPr="006E0B6E">
        <w:rPr>
          <w:rFonts w:ascii="Arial" w:hAnsi="Arial" w:cs="Arial"/>
        </w:rPr>
        <w:fldChar w:fldCharType="begin"/>
      </w:r>
      <w:r w:rsidR="005E2259" w:rsidRPr="006E0B6E">
        <w:rPr>
          <w:rFonts w:ascii="Arial" w:hAnsi="Arial" w:cs="Arial"/>
        </w:rPr>
        <w:instrText xml:space="preserve"> SEQ Table \* ARABIC </w:instrText>
      </w:r>
      <w:r w:rsidR="005E2259" w:rsidRPr="006E0B6E">
        <w:rPr>
          <w:rFonts w:ascii="Arial" w:hAnsi="Arial" w:cs="Arial"/>
        </w:rPr>
        <w:fldChar w:fldCharType="separate"/>
      </w:r>
      <w:r w:rsidR="00FE0771">
        <w:rPr>
          <w:rFonts w:ascii="Arial" w:hAnsi="Arial" w:cs="Arial"/>
          <w:noProof/>
        </w:rPr>
        <w:t>5</w:t>
      </w:r>
      <w:r w:rsidR="005E2259" w:rsidRPr="006E0B6E">
        <w:rPr>
          <w:rFonts w:ascii="Arial" w:hAnsi="Arial" w:cs="Arial"/>
          <w:noProof/>
        </w:rPr>
        <w:fldChar w:fldCharType="end"/>
      </w:r>
      <w:r w:rsidR="00323116" w:rsidRPr="006E0B6E">
        <w:rPr>
          <w:rFonts w:ascii="Arial" w:hAnsi="Arial" w:cs="Arial"/>
          <w:noProof/>
        </w:rPr>
        <w:t xml:space="preserve"> – </w:t>
      </w:r>
      <w:r w:rsidR="00323116" w:rsidRPr="006E0B6E">
        <w:rPr>
          <w:rFonts w:ascii="Arial" w:hAnsi="Arial" w:cs="Arial"/>
        </w:rPr>
        <w:t>T</w:t>
      </w:r>
      <w:r w:rsidR="00E26E02" w:rsidRPr="006E0B6E">
        <w:rPr>
          <w:rFonts w:ascii="Arial" w:hAnsi="Arial" w:cs="Arial"/>
        </w:rPr>
        <w:t>otal inheritances</w:t>
      </w:r>
    </w:p>
    <w:p w14:paraId="3C303825" w14:textId="7237B697" w:rsidR="00323116" w:rsidRPr="006E0B6E" w:rsidRDefault="00144D86" w:rsidP="00323116">
      <w:pPr>
        <w:pStyle w:val="FigureTableSubheading"/>
        <w:rPr>
          <w:rFonts w:ascii="Arial" w:hAnsi="Arial" w:cs="Arial"/>
        </w:rPr>
      </w:pPr>
      <w:r w:rsidRPr="006E0B6E">
        <w:rPr>
          <w:rFonts w:ascii="Arial" w:hAnsi="Arial" w:cs="Arial"/>
        </w:rPr>
        <w:t>Estimates b</w:t>
      </w:r>
      <w:r w:rsidR="00C9320C" w:rsidRPr="006E0B6E">
        <w:rPr>
          <w:rFonts w:ascii="Arial" w:hAnsi="Arial" w:cs="Arial"/>
        </w:rPr>
        <w:t xml:space="preserve">ased on </w:t>
      </w:r>
      <w:r w:rsidR="00E26E02" w:rsidRPr="006E0B6E">
        <w:rPr>
          <w:rFonts w:ascii="Arial" w:hAnsi="Arial" w:cs="Arial"/>
        </w:rPr>
        <w:t xml:space="preserve">the </w:t>
      </w:r>
      <w:r w:rsidRPr="006E0B6E">
        <w:rPr>
          <w:rFonts w:ascii="Arial" w:hAnsi="Arial" w:cs="Arial"/>
        </w:rPr>
        <w:t>‘</w:t>
      </w:r>
      <w:r w:rsidR="00E26E02" w:rsidRPr="006E0B6E">
        <w:rPr>
          <w:rFonts w:ascii="Arial" w:hAnsi="Arial" w:cs="Arial"/>
        </w:rPr>
        <w:t>outflow</w:t>
      </w:r>
      <w:r w:rsidR="009E624A" w:rsidRPr="006E0B6E">
        <w:rPr>
          <w:rFonts w:ascii="Arial" w:hAnsi="Arial" w:cs="Arial"/>
        </w:rPr>
        <w:t xml:space="preserve"> – expected deaths</w:t>
      </w:r>
      <w:r w:rsidRPr="006E0B6E">
        <w:rPr>
          <w:rFonts w:ascii="Arial" w:hAnsi="Arial" w:cs="Arial"/>
        </w:rPr>
        <w:t>’</w:t>
      </w:r>
      <w:r w:rsidR="009E624A" w:rsidRPr="006E0B6E">
        <w:rPr>
          <w:rFonts w:ascii="Arial" w:hAnsi="Arial" w:cs="Arial"/>
        </w:rPr>
        <w:t xml:space="preserve"> method</w:t>
      </w:r>
    </w:p>
    <w:tbl>
      <w:tblPr>
        <w:tblW w:w="9638"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2"/>
        <w:gridCol w:w="3213"/>
        <w:gridCol w:w="3213"/>
      </w:tblGrid>
      <w:tr w:rsidR="00323116" w:rsidRPr="006E0B6E" w14:paraId="64745334" w14:textId="77777777" w:rsidTr="004251B6">
        <w:trPr>
          <w:tblHeader/>
        </w:trPr>
        <w:tc>
          <w:tcPr>
            <w:tcW w:w="3212" w:type="dxa"/>
            <w:tcBorders>
              <w:bottom w:val="single" w:sz="4" w:space="0" w:color="B3B3B3"/>
            </w:tcBorders>
            <w:shd w:val="clear" w:color="000000" w:fill="auto"/>
            <w:vAlign w:val="bottom"/>
          </w:tcPr>
          <w:p w14:paraId="20E6A78E" w14:textId="12CB4D25" w:rsidR="00323116" w:rsidRPr="006E0B6E" w:rsidRDefault="000E18C2" w:rsidP="00E04D36">
            <w:pPr>
              <w:pStyle w:val="TableHeading"/>
              <w:rPr>
                <w:rFonts w:ascii="Arial" w:hAnsi="Arial" w:cs="Arial"/>
              </w:rPr>
            </w:pPr>
            <w:r w:rsidRPr="006E0B6E">
              <w:rPr>
                <w:rFonts w:ascii="Arial" w:hAnsi="Arial" w:cs="Arial"/>
                <w:color w:val="auto"/>
              </w:rPr>
              <w:t>Year</w:t>
            </w:r>
          </w:p>
        </w:tc>
        <w:tc>
          <w:tcPr>
            <w:tcW w:w="3213" w:type="dxa"/>
            <w:tcBorders>
              <w:bottom w:val="single" w:sz="4" w:space="0" w:color="B3B3B3"/>
            </w:tcBorders>
            <w:shd w:val="clear" w:color="000000" w:fill="auto"/>
            <w:vAlign w:val="bottom"/>
          </w:tcPr>
          <w:p w14:paraId="4BB6AA55" w14:textId="53F7CD23" w:rsidR="00323116" w:rsidRPr="006E0B6E" w:rsidRDefault="00543D1A" w:rsidP="00323116">
            <w:pPr>
              <w:pStyle w:val="TableHeading"/>
              <w:rPr>
                <w:rFonts w:ascii="Arial" w:hAnsi="Arial" w:cs="Arial"/>
                <w:color w:val="auto"/>
              </w:rPr>
            </w:pPr>
            <w:r w:rsidRPr="006E0B6E">
              <w:rPr>
                <w:rFonts w:ascii="Arial" w:hAnsi="Arial" w:cs="Arial"/>
                <w:color w:val="auto"/>
              </w:rPr>
              <w:t>Inheritances</w:t>
            </w:r>
          </w:p>
        </w:tc>
        <w:tc>
          <w:tcPr>
            <w:tcW w:w="3213" w:type="dxa"/>
            <w:tcBorders>
              <w:bottom w:val="single" w:sz="4" w:space="0" w:color="B3B3B3"/>
            </w:tcBorders>
            <w:shd w:val="clear" w:color="000000" w:fill="auto"/>
            <w:vAlign w:val="bottom"/>
          </w:tcPr>
          <w:p w14:paraId="39B15E1D" w14:textId="723F30FD" w:rsidR="00323116" w:rsidRPr="006E0B6E" w:rsidRDefault="00543D1A" w:rsidP="00323116">
            <w:pPr>
              <w:pStyle w:val="TableHeading"/>
              <w:rPr>
                <w:rFonts w:ascii="Arial" w:hAnsi="Arial" w:cs="Arial"/>
                <w:color w:val="auto"/>
              </w:rPr>
            </w:pPr>
            <w:r w:rsidRPr="006E0B6E">
              <w:rPr>
                <w:rFonts w:ascii="Arial" w:hAnsi="Arial" w:cs="Arial"/>
                <w:color w:val="auto"/>
              </w:rPr>
              <w:t>Inheritances excluding the primary residence</w:t>
            </w:r>
          </w:p>
        </w:tc>
      </w:tr>
      <w:tr w:rsidR="003545C5" w:rsidRPr="006E0B6E" w14:paraId="1941A6B1" w14:textId="77777777" w:rsidTr="00FE4459">
        <w:tc>
          <w:tcPr>
            <w:tcW w:w="3212" w:type="dxa"/>
            <w:tcBorders>
              <w:top w:val="single" w:sz="4" w:space="0" w:color="B3B3B3"/>
              <w:bottom w:val="nil"/>
            </w:tcBorders>
            <w:shd w:val="clear" w:color="000000" w:fill="F2F2F2"/>
          </w:tcPr>
          <w:p w14:paraId="55601645" w14:textId="77777777" w:rsidR="003545C5" w:rsidRPr="006E0B6E" w:rsidRDefault="003545C5" w:rsidP="00323116">
            <w:pPr>
              <w:pStyle w:val="TableHeading"/>
              <w:rPr>
                <w:rFonts w:ascii="Arial" w:hAnsi="Arial" w:cs="Arial"/>
                <w:color w:val="auto"/>
              </w:rPr>
            </w:pPr>
          </w:p>
        </w:tc>
        <w:tc>
          <w:tcPr>
            <w:tcW w:w="3213" w:type="dxa"/>
            <w:tcBorders>
              <w:top w:val="single" w:sz="4" w:space="0" w:color="B3B3B3"/>
              <w:bottom w:val="nil"/>
            </w:tcBorders>
            <w:shd w:val="clear" w:color="000000" w:fill="F2F2F2"/>
            <w:vAlign w:val="bottom"/>
          </w:tcPr>
          <w:p w14:paraId="62433340" w14:textId="727DBD81" w:rsidR="003545C5" w:rsidRPr="006E0B6E" w:rsidRDefault="003545C5" w:rsidP="00323116">
            <w:pPr>
              <w:pStyle w:val="TableBody"/>
              <w:spacing w:before="45" w:after="45"/>
              <w:ind w:right="108"/>
              <w:rPr>
                <w:rFonts w:ascii="Arial" w:hAnsi="Arial" w:cs="Arial"/>
                <w:szCs w:val="18"/>
              </w:rPr>
            </w:pPr>
            <w:r w:rsidRPr="006E0B6E">
              <w:rPr>
                <w:rFonts w:ascii="Arial" w:hAnsi="Arial" w:cs="Arial"/>
                <w:color w:val="000000"/>
              </w:rPr>
              <w:t>Value (billions of 2018 dollars)</w:t>
            </w:r>
          </w:p>
        </w:tc>
        <w:tc>
          <w:tcPr>
            <w:tcW w:w="3213" w:type="dxa"/>
            <w:tcBorders>
              <w:top w:val="single" w:sz="4" w:space="0" w:color="B3B3B3"/>
              <w:bottom w:val="nil"/>
            </w:tcBorders>
            <w:shd w:val="clear" w:color="000000" w:fill="F2F2F2"/>
            <w:vAlign w:val="bottom"/>
          </w:tcPr>
          <w:p w14:paraId="47120474" w14:textId="5CDBEA5C" w:rsidR="003545C5" w:rsidRPr="006E0B6E" w:rsidRDefault="003545C5" w:rsidP="00323116">
            <w:pPr>
              <w:pStyle w:val="TableBody"/>
              <w:spacing w:before="45" w:after="45"/>
              <w:ind w:right="108"/>
              <w:rPr>
                <w:rFonts w:ascii="Arial" w:hAnsi="Arial" w:cs="Arial"/>
                <w:szCs w:val="18"/>
              </w:rPr>
            </w:pPr>
            <w:r w:rsidRPr="006E0B6E">
              <w:rPr>
                <w:rFonts w:ascii="Arial" w:hAnsi="Arial" w:cs="Arial"/>
                <w:color w:val="000000"/>
              </w:rPr>
              <w:t>Value (billions of 2018 dollars)</w:t>
            </w:r>
          </w:p>
        </w:tc>
      </w:tr>
      <w:tr w:rsidR="00323116" w:rsidRPr="006E0B6E" w14:paraId="6585089C" w14:textId="77777777" w:rsidTr="00FE4459">
        <w:tc>
          <w:tcPr>
            <w:tcW w:w="3212" w:type="dxa"/>
            <w:tcBorders>
              <w:top w:val="single" w:sz="4" w:space="0" w:color="B3B3B3"/>
              <w:bottom w:val="nil"/>
            </w:tcBorders>
            <w:shd w:val="clear" w:color="000000" w:fill="F2F2F2"/>
          </w:tcPr>
          <w:p w14:paraId="5DA8D578" w14:textId="70FB983A" w:rsidR="00323116" w:rsidRPr="006E0B6E" w:rsidRDefault="00E0301E" w:rsidP="00323116">
            <w:pPr>
              <w:pStyle w:val="TableHeading"/>
              <w:rPr>
                <w:rFonts w:ascii="Arial" w:hAnsi="Arial" w:cs="Arial"/>
                <w:color w:val="auto"/>
              </w:rPr>
            </w:pPr>
            <w:r w:rsidRPr="006E0B6E">
              <w:rPr>
                <w:rFonts w:ascii="Arial" w:hAnsi="Arial" w:cs="Arial"/>
                <w:color w:val="auto"/>
              </w:rPr>
              <w:t>2002</w:t>
            </w:r>
          </w:p>
        </w:tc>
        <w:tc>
          <w:tcPr>
            <w:tcW w:w="3213" w:type="dxa"/>
            <w:tcBorders>
              <w:top w:val="single" w:sz="4" w:space="0" w:color="B3B3B3"/>
              <w:bottom w:val="nil"/>
            </w:tcBorders>
            <w:shd w:val="clear" w:color="000000" w:fill="F2F2F2"/>
            <w:vAlign w:val="bottom"/>
          </w:tcPr>
          <w:p w14:paraId="311245CB" w14:textId="3D8DD6D9" w:rsidR="00323116" w:rsidRPr="006E0B6E" w:rsidRDefault="00E94D16" w:rsidP="00323116">
            <w:pPr>
              <w:pStyle w:val="TableBody"/>
              <w:spacing w:before="45" w:after="45"/>
              <w:ind w:right="108"/>
              <w:rPr>
                <w:rFonts w:ascii="Arial" w:hAnsi="Arial" w:cs="Arial"/>
                <w:szCs w:val="18"/>
              </w:rPr>
            </w:pPr>
            <w:r w:rsidRPr="006E0B6E">
              <w:rPr>
                <w:rFonts w:ascii="Arial" w:hAnsi="Arial" w:cs="Arial"/>
                <w:szCs w:val="18"/>
              </w:rPr>
              <w:t>48.4</w:t>
            </w:r>
          </w:p>
        </w:tc>
        <w:tc>
          <w:tcPr>
            <w:tcW w:w="3213" w:type="dxa"/>
            <w:tcBorders>
              <w:top w:val="single" w:sz="4" w:space="0" w:color="B3B3B3"/>
              <w:bottom w:val="nil"/>
            </w:tcBorders>
            <w:shd w:val="clear" w:color="000000" w:fill="F2F2F2"/>
            <w:vAlign w:val="bottom"/>
          </w:tcPr>
          <w:p w14:paraId="250C577C" w14:textId="32D4D20E" w:rsidR="00323116" w:rsidRPr="006E0B6E" w:rsidRDefault="00EA3A7C" w:rsidP="00323116">
            <w:pPr>
              <w:pStyle w:val="TableBody"/>
              <w:spacing w:before="45" w:after="45"/>
              <w:ind w:right="108"/>
              <w:rPr>
                <w:rFonts w:ascii="Arial" w:hAnsi="Arial" w:cs="Arial"/>
                <w:szCs w:val="18"/>
              </w:rPr>
            </w:pPr>
            <w:r w:rsidRPr="006E0B6E">
              <w:rPr>
                <w:rFonts w:ascii="Arial" w:hAnsi="Arial" w:cs="Arial"/>
                <w:szCs w:val="18"/>
              </w:rPr>
              <w:t>24.5</w:t>
            </w:r>
          </w:p>
        </w:tc>
      </w:tr>
      <w:tr w:rsidR="00323116" w:rsidRPr="006E0B6E" w14:paraId="0E1D68C1" w14:textId="77777777" w:rsidTr="00FE4459">
        <w:tc>
          <w:tcPr>
            <w:tcW w:w="3212" w:type="dxa"/>
            <w:tcBorders>
              <w:top w:val="nil"/>
              <w:bottom w:val="nil"/>
            </w:tcBorders>
            <w:shd w:val="clear" w:color="000000" w:fill="auto"/>
          </w:tcPr>
          <w:p w14:paraId="3BA83D56" w14:textId="05C2B855" w:rsidR="00323116" w:rsidRPr="006E0B6E" w:rsidRDefault="00E0301E" w:rsidP="00323116">
            <w:pPr>
              <w:pStyle w:val="TableHeading"/>
              <w:rPr>
                <w:rFonts w:ascii="Arial" w:hAnsi="Arial" w:cs="Arial"/>
                <w:color w:val="auto"/>
              </w:rPr>
            </w:pPr>
            <w:r w:rsidRPr="006E0B6E">
              <w:rPr>
                <w:rFonts w:ascii="Arial" w:hAnsi="Arial" w:cs="Arial"/>
                <w:color w:val="auto"/>
              </w:rPr>
              <w:t>2006</w:t>
            </w:r>
          </w:p>
        </w:tc>
        <w:tc>
          <w:tcPr>
            <w:tcW w:w="3213" w:type="dxa"/>
            <w:tcBorders>
              <w:top w:val="nil"/>
              <w:bottom w:val="nil"/>
            </w:tcBorders>
            <w:shd w:val="clear" w:color="000000" w:fill="auto"/>
            <w:vAlign w:val="bottom"/>
          </w:tcPr>
          <w:p w14:paraId="4045DEF7" w14:textId="6BD9C530" w:rsidR="00323116" w:rsidRPr="006E0B6E" w:rsidRDefault="00E94D16" w:rsidP="00323116">
            <w:pPr>
              <w:pStyle w:val="TableBody"/>
              <w:spacing w:before="45" w:after="45"/>
              <w:ind w:right="108"/>
              <w:rPr>
                <w:rFonts w:ascii="Arial" w:hAnsi="Arial" w:cs="Arial"/>
                <w:szCs w:val="18"/>
              </w:rPr>
            </w:pPr>
            <w:r w:rsidRPr="006E0B6E">
              <w:rPr>
                <w:rFonts w:ascii="Arial" w:hAnsi="Arial" w:cs="Arial"/>
                <w:szCs w:val="18"/>
              </w:rPr>
              <w:t>68.1</w:t>
            </w:r>
          </w:p>
        </w:tc>
        <w:tc>
          <w:tcPr>
            <w:tcW w:w="3213" w:type="dxa"/>
            <w:tcBorders>
              <w:top w:val="nil"/>
              <w:bottom w:val="nil"/>
            </w:tcBorders>
            <w:shd w:val="clear" w:color="000000" w:fill="auto"/>
            <w:vAlign w:val="bottom"/>
          </w:tcPr>
          <w:p w14:paraId="53877196" w14:textId="5BBEB803" w:rsidR="00323116" w:rsidRPr="006E0B6E" w:rsidRDefault="00EA3A7C" w:rsidP="00323116">
            <w:pPr>
              <w:pStyle w:val="TableBody"/>
              <w:spacing w:before="45" w:after="45"/>
              <w:ind w:right="108"/>
              <w:rPr>
                <w:rFonts w:ascii="Arial" w:hAnsi="Arial" w:cs="Arial"/>
                <w:szCs w:val="18"/>
              </w:rPr>
            </w:pPr>
            <w:r w:rsidRPr="006E0B6E">
              <w:rPr>
                <w:rFonts w:ascii="Arial" w:hAnsi="Arial" w:cs="Arial"/>
                <w:szCs w:val="18"/>
              </w:rPr>
              <w:t>35.7</w:t>
            </w:r>
          </w:p>
        </w:tc>
      </w:tr>
      <w:tr w:rsidR="00323116" w:rsidRPr="006E0B6E" w14:paraId="55CD419F" w14:textId="77777777" w:rsidTr="00FE4459">
        <w:tc>
          <w:tcPr>
            <w:tcW w:w="3212" w:type="dxa"/>
            <w:shd w:val="clear" w:color="000000" w:fill="F2F2F2"/>
          </w:tcPr>
          <w:p w14:paraId="19485EC0" w14:textId="2FB54389" w:rsidR="00323116" w:rsidRPr="006E0B6E" w:rsidRDefault="00E0301E" w:rsidP="00323116">
            <w:pPr>
              <w:pStyle w:val="TableHeading"/>
              <w:rPr>
                <w:rFonts w:ascii="Arial" w:hAnsi="Arial" w:cs="Arial"/>
                <w:color w:val="auto"/>
              </w:rPr>
            </w:pPr>
            <w:r w:rsidRPr="006E0B6E">
              <w:rPr>
                <w:rFonts w:ascii="Arial" w:hAnsi="Arial" w:cs="Arial"/>
                <w:color w:val="auto"/>
              </w:rPr>
              <w:t>2010</w:t>
            </w:r>
          </w:p>
        </w:tc>
        <w:tc>
          <w:tcPr>
            <w:tcW w:w="3213" w:type="dxa"/>
            <w:shd w:val="clear" w:color="000000" w:fill="F2F2F2"/>
            <w:vAlign w:val="bottom"/>
          </w:tcPr>
          <w:p w14:paraId="0867ACCB" w14:textId="5F4DA969" w:rsidR="00323116" w:rsidRPr="006E0B6E" w:rsidRDefault="00E94D16" w:rsidP="00323116">
            <w:pPr>
              <w:pStyle w:val="TableBody"/>
              <w:spacing w:before="45" w:after="45"/>
              <w:ind w:right="108"/>
              <w:rPr>
                <w:rFonts w:ascii="Arial" w:hAnsi="Arial" w:cs="Arial"/>
                <w:szCs w:val="18"/>
              </w:rPr>
            </w:pPr>
            <w:r w:rsidRPr="006E0B6E">
              <w:rPr>
                <w:rFonts w:ascii="Arial" w:hAnsi="Arial" w:cs="Arial"/>
                <w:szCs w:val="18"/>
              </w:rPr>
              <w:t>73.3</w:t>
            </w:r>
          </w:p>
        </w:tc>
        <w:tc>
          <w:tcPr>
            <w:tcW w:w="3213" w:type="dxa"/>
            <w:shd w:val="clear" w:color="000000" w:fill="F2F2F2"/>
            <w:vAlign w:val="bottom"/>
          </w:tcPr>
          <w:p w14:paraId="0C5C8E56" w14:textId="098FB15B" w:rsidR="00323116" w:rsidRPr="006E0B6E" w:rsidRDefault="00EA3A7C" w:rsidP="00323116">
            <w:pPr>
              <w:pStyle w:val="TableBody"/>
              <w:spacing w:before="45" w:after="45"/>
              <w:ind w:right="108"/>
              <w:rPr>
                <w:rFonts w:ascii="Arial" w:hAnsi="Arial" w:cs="Arial"/>
                <w:szCs w:val="18"/>
              </w:rPr>
            </w:pPr>
            <w:r w:rsidRPr="006E0B6E">
              <w:rPr>
                <w:rFonts w:ascii="Arial" w:hAnsi="Arial" w:cs="Arial"/>
                <w:szCs w:val="18"/>
              </w:rPr>
              <w:t>38.1</w:t>
            </w:r>
          </w:p>
        </w:tc>
      </w:tr>
      <w:tr w:rsidR="000E18C2" w:rsidRPr="006E0B6E" w14:paraId="45C4A3EF" w14:textId="77777777" w:rsidTr="00FE4459">
        <w:tc>
          <w:tcPr>
            <w:tcW w:w="3212" w:type="dxa"/>
            <w:shd w:val="clear" w:color="auto" w:fill="auto"/>
          </w:tcPr>
          <w:p w14:paraId="5208A93C" w14:textId="37ECE791" w:rsidR="000E18C2" w:rsidRPr="006E0B6E" w:rsidRDefault="00EF59DB" w:rsidP="000E18C2">
            <w:pPr>
              <w:pStyle w:val="TableHeading"/>
              <w:rPr>
                <w:rFonts w:ascii="Arial" w:hAnsi="Arial" w:cs="Arial"/>
                <w:color w:val="auto"/>
              </w:rPr>
            </w:pPr>
            <w:r w:rsidRPr="006E0B6E">
              <w:rPr>
                <w:rFonts w:ascii="Arial" w:hAnsi="Arial" w:cs="Arial"/>
                <w:color w:val="auto"/>
              </w:rPr>
              <w:t>2014</w:t>
            </w:r>
          </w:p>
        </w:tc>
        <w:tc>
          <w:tcPr>
            <w:tcW w:w="3213" w:type="dxa"/>
            <w:shd w:val="clear" w:color="auto" w:fill="auto"/>
            <w:vAlign w:val="bottom"/>
          </w:tcPr>
          <w:p w14:paraId="31513B37" w14:textId="769922E0" w:rsidR="000E18C2" w:rsidRPr="006E0B6E" w:rsidRDefault="00E94D16" w:rsidP="000E18C2">
            <w:pPr>
              <w:pStyle w:val="TableBody"/>
              <w:spacing w:before="45" w:after="45"/>
              <w:ind w:right="108"/>
              <w:rPr>
                <w:rFonts w:ascii="Arial" w:hAnsi="Arial" w:cs="Arial"/>
                <w:szCs w:val="18"/>
              </w:rPr>
            </w:pPr>
            <w:r w:rsidRPr="006E0B6E">
              <w:rPr>
                <w:rFonts w:ascii="Arial" w:hAnsi="Arial" w:cs="Arial"/>
                <w:szCs w:val="18"/>
              </w:rPr>
              <w:t>86.1</w:t>
            </w:r>
          </w:p>
        </w:tc>
        <w:tc>
          <w:tcPr>
            <w:tcW w:w="3213" w:type="dxa"/>
            <w:shd w:val="clear" w:color="auto" w:fill="auto"/>
            <w:vAlign w:val="bottom"/>
          </w:tcPr>
          <w:p w14:paraId="14596D59" w14:textId="6D121525" w:rsidR="000E18C2" w:rsidRPr="006E0B6E" w:rsidRDefault="00EA3A7C" w:rsidP="000E18C2">
            <w:pPr>
              <w:pStyle w:val="TableBody"/>
              <w:spacing w:before="45" w:after="45"/>
              <w:ind w:right="108"/>
              <w:rPr>
                <w:rFonts w:ascii="Arial" w:hAnsi="Arial" w:cs="Arial"/>
                <w:szCs w:val="18"/>
              </w:rPr>
            </w:pPr>
            <w:r w:rsidRPr="006E0B6E">
              <w:rPr>
                <w:rFonts w:ascii="Arial" w:hAnsi="Arial" w:cs="Arial"/>
                <w:szCs w:val="18"/>
              </w:rPr>
              <w:t>49</w:t>
            </w:r>
            <w:r w:rsidR="00896BAF" w:rsidRPr="006E0B6E">
              <w:rPr>
                <w:rFonts w:ascii="Arial" w:hAnsi="Arial" w:cs="Arial"/>
                <w:szCs w:val="18"/>
              </w:rPr>
              <w:t>.0</w:t>
            </w:r>
          </w:p>
        </w:tc>
      </w:tr>
      <w:tr w:rsidR="009F0B53" w:rsidRPr="006E0B6E" w14:paraId="78A27DD4" w14:textId="77777777" w:rsidTr="00FE4459">
        <w:tc>
          <w:tcPr>
            <w:tcW w:w="3212" w:type="dxa"/>
            <w:tcBorders>
              <w:bottom w:val="single" w:sz="4" w:space="0" w:color="B3B3B3"/>
            </w:tcBorders>
            <w:shd w:val="clear" w:color="000000" w:fill="F2F2F2"/>
          </w:tcPr>
          <w:p w14:paraId="5F727703" w14:textId="2B076E44" w:rsidR="009F0B53" w:rsidRPr="006E0B6E" w:rsidRDefault="00EF59DB" w:rsidP="009F0B53">
            <w:pPr>
              <w:pStyle w:val="TableHeading"/>
              <w:rPr>
                <w:rFonts w:ascii="Arial" w:hAnsi="Arial" w:cs="Arial"/>
                <w:color w:val="auto"/>
              </w:rPr>
            </w:pPr>
            <w:r w:rsidRPr="006E0B6E">
              <w:rPr>
                <w:rFonts w:ascii="Arial" w:hAnsi="Arial" w:cs="Arial"/>
                <w:color w:val="auto"/>
              </w:rPr>
              <w:t>2018</w:t>
            </w:r>
          </w:p>
        </w:tc>
        <w:tc>
          <w:tcPr>
            <w:tcW w:w="3213" w:type="dxa"/>
            <w:tcBorders>
              <w:bottom w:val="single" w:sz="4" w:space="0" w:color="B3B3B3"/>
            </w:tcBorders>
            <w:shd w:val="clear" w:color="000000" w:fill="F2F2F2"/>
            <w:vAlign w:val="bottom"/>
          </w:tcPr>
          <w:p w14:paraId="454C9E7B" w14:textId="6DC70BA6" w:rsidR="009F0B53" w:rsidRPr="006E0B6E" w:rsidRDefault="00E94D16" w:rsidP="009F0B53">
            <w:pPr>
              <w:pStyle w:val="TableBody"/>
              <w:spacing w:before="45" w:after="45"/>
              <w:ind w:right="108"/>
              <w:rPr>
                <w:rFonts w:ascii="Arial" w:hAnsi="Arial" w:cs="Arial"/>
                <w:szCs w:val="18"/>
              </w:rPr>
            </w:pPr>
            <w:r w:rsidRPr="006E0B6E">
              <w:rPr>
                <w:rFonts w:ascii="Arial" w:hAnsi="Arial" w:cs="Arial"/>
                <w:szCs w:val="18"/>
              </w:rPr>
              <w:t>106.6</w:t>
            </w:r>
          </w:p>
        </w:tc>
        <w:tc>
          <w:tcPr>
            <w:tcW w:w="3213" w:type="dxa"/>
            <w:tcBorders>
              <w:bottom w:val="single" w:sz="4" w:space="0" w:color="B3B3B3"/>
            </w:tcBorders>
            <w:shd w:val="clear" w:color="000000" w:fill="F2F2F2"/>
            <w:vAlign w:val="bottom"/>
          </w:tcPr>
          <w:p w14:paraId="2768C035" w14:textId="57D317B9" w:rsidR="009F0B53" w:rsidRPr="006E0B6E" w:rsidRDefault="00EA3A7C" w:rsidP="009F0B53">
            <w:pPr>
              <w:pStyle w:val="TableBody"/>
              <w:spacing w:before="45" w:after="45"/>
              <w:ind w:right="108"/>
              <w:rPr>
                <w:rFonts w:ascii="Arial" w:hAnsi="Arial" w:cs="Arial"/>
                <w:szCs w:val="18"/>
              </w:rPr>
            </w:pPr>
            <w:r w:rsidRPr="006E0B6E">
              <w:rPr>
                <w:rFonts w:ascii="Arial" w:hAnsi="Arial" w:cs="Arial"/>
                <w:szCs w:val="18"/>
              </w:rPr>
              <w:t>58</w:t>
            </w:r>
            <w:r w:rsidR="00896BAF" w:rsidRPr="006E0B6E">
              <w:rPr>
                <w:rFonts w:ascii="Arial" w:hAnsi="Arial" w:cs="Arial"/>
                <w:szCs w:val="18"/>
              </w:rPr>
              <w:t>.0</w:t>
            </w:r>
          </w:p>
        </w:tc>
      </w:tr>
    </w:tbl>
    <w:p w14:paraId="2A900C34" w14:textId="378B4CE6" w:rsidR="00233C5C"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60C8B2DC" w14:textId="1970DB93" w:rsidR="00131C07" w:rsidRPr="006E0B6E" w:rsidRDefault="009C0D79" w:rsidP="00B32C54">
      <w:pPr>
        <w:pStyle w:val="FigureTableHeading"/>
        <w:rPr>
          <w:rFonts w:ascii="Arial" w:hAnsi="Arial" w:cs="Arial"/>
        </w:rPr>
      </w:pPr>
      <w:r w:rsidRPr="006E0B6E">
        <w:rPr>
          <w:rFonts w:ascii="Arial" w:hAnsi="Arial" w:cs="Arial"/>
        </w:rPr>
        <w:t xml:space="preserve">Table </w:t>
      </w:r>
      <w:r w:rsidR="005E2259" w:rsidRPr="006E0B6E">
        <w:rPr>
          <w:rFonts w:ascii="Arial" w:hAnsi="Arial" w:cs="Arial"/>
        </w:rPr>
        <w:fldChar w:fldCharType="begin"/>
      </w:r>
      <w:r w:rsidR="005E2259" w:rsidRPr="006E0B6E">
        <w:rPr>
          <w:rFonts w:ascii="Arial" w:hAnsi="Arial" w:cs="Arial"/>
        </w:rPr>
        <w:instrText xml:space="preserve"> SEQ Table \* ARABIC </w:instrText>
      </w:r>
      <w:r w:rsidR="005E2259" w:rsidRPr="006E0B6E">
        <w:rPr>
          <w:rFonts w:ascii="Arial" w:hAnsi="Arial" w:cs="Arial"/>
        </w:rPr>
        <w:fldChar w:fldCharType="separate"/>
      </w:r>
      <w:r w:rsidR="00FE0771">
        <w:rPr>
          <w:rFonts w:ascii="Arial" w:hAnsi="Arial" w:cs="Arial"/>
          <w:noProof/>
        </w:rPr>
        <w:t>6</w:t>
      </w:r>
      <w:r w:rsidR="005E2259" w:rsidRPr="006E0B6E">
        <w:rPr>
          <w:rFonts w:ascii="Arial" w:hAnsi="Arial" w:cs="Arial"/>
          <w:noProof/>
        </w:rPr>
        <w:fldChar w:fldCharType="end"/>
      </w:r>
      <w:r w:rsidR="00131C07" w:rsidRPr="006E0B6E">
        <w:rPr>
          <w:rFonts w:ascii="Arial" w:hAnsi="Arial" w:cs="Arial"/>
        </w:rPr>
        <w:t xml:space="preserve"> – </w:t>
      </w:r>
      <w:r w:rsidR="009E624A" w:rsidRPr="006E0B6E">
        <w:rPr>
          <w:rFonts w:ascii="Arial" w:hAnsi="Arial" w:cs="Arial"/>
        </w:rPr>
        <w:t>Total inheritances bequeathed to the next generation</w:t>
      </w:r>
    </w:p>
    <w:p w14:paraId="61FD7EDD" w14:textId="77777777" w:rsidR="00144D86" w:rsidRPr="006E0B6E" w:rsidRDefault="00144D86" w:rsidP="00144D86">
      <w:pPr>
        <w:pStyle w:val="FigureTableSubheading"/>
        <w:rPr>
          <w:rFonts w:ascii="Arial" w:hAnsi="Arial" w:cs="Arial"/>
        </w:rPr>
      </w:pPr>
      <w:r w:rsidRPr="006E0B6E">
        <w:rPr>
          <w:rFonts w:ascii="Arial" w:hAnsi="Arial" w:cs="Arial"/>
        </w:rPr>
        <w:t>Estimates based on the ‘outflow – expected deaths’ method</w:t>
      </w:r>
    </w:p>
    <w:tbl>
      <w:tblPr>
        <w:tblW w:w="9638"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2"/>
        <w:gridCol w:w="3213"/>
        <w:gridCol w:w="3213"/>
      </w:tblGrid>
      <w:tr w:rsidR="00543D1A" w:rsidRPr="006E0B6E" w14:paraId="2B2AE2D5" w14:textId="77777777" w:rsidTr="00BF0F54">
        <w:trPr>
          <w:tblHeader/>
        </w:trPr>
        <w:tc>
          <w:tcPr>
            <w:tcW w:w="3212" w:type="dxa"/>
            <w:tcBorders>
              <w:bottom w:val="single" w:sz="4" w:space="0" w:color="B3B3B3"/>
            </w:tcBorders>
            <w:shd w:val="clear" w:color="000000" w:fill="auto"/>
            <w:vAlign w:val="bottom"/>
          </w:tcPr>
          <w:p w14:paraId="40960535" w14:textId="77777777" w:rsidR="00543D1A" w:rsidRPr="006E0B6E" w:rsidRDefault="00543D1A" w:rsidP="00E04D36">
            <w:pPr>
              <w:pStyle w:val="TableHeading"/>
              <w:rPr>
                <w:rFonts w:ascii="Arial" w:hAnsi="Arial" w:cs="Arial"/>
              </w:rPr>
            </w:pPr>
            <w:r w:rsidRPr="006E0B6E">
              <w:rPr>
                <w:rFonts w:ascii="Arial" w:hAnsi="Arial" w:cs="Arial"/>
                <w:color w:val="auto"/>
              </w:rPr>
              <w:t>Year</w:t>
            </w:r>
          </w:p>
        </w:tc>
        <w:tc>
          <w:tcPr>
            <w:tcW w:w="3213" w:type="dxa"/>
            <w:tcBorders>
              <w:bottom w:val="single" w:sz="4" w:space="0" w:color="B3B3B3"/>
            </w:tcBorders>
            <w:shd w:val="clear" w:color="000000" w:fill="auto"/>
            <w:vAlign w:val="bottom"/>
          </w:tcPr>
          <w:p w14:paraId="5652A0D0" w14:textId="570C5C97" w:rsidR="00543D1A" w:rsidRPr="006E0B6E" w:rsidRDefault="00543D1A" w:rsidP="009A6E01">
            <w:pPr>
              <w:pStyle w:val="TableHeading"/>
              <w:rPr>
                <w:rFonts w:ascii="Arial" w:hAnsi="Arial" w:cs="Arial"/>
                <w:color w:val="auto"/>
              </w:rPr>
            </w:pPr>
            <w:r w:rsidRPr="006E0B6E">
              <w:rPr>
                <w:rFonts w:ascii="Arial" w:hAnsi="Arial" w:cs="Arial"/>
                <w:color w:val="auto"/>
              </w:rPr>
              <w:t>Inheritances</w:t>
            </w:r>
          </w:p>
        </w:tc>
        <w:tc>
          <w:tcPr>
            <w:tcW w:w="3213" w:type="dxa"/>
            <w:tcBorders>
              <w:bottom w:val="single" w:sz="4" w:space="0" w:color="B3B3B3"/>
            </w:tcBorders>
            <w:shd w:val="clear" w:color="000000" w:fill="auto"/>
            <w:vAlign w:val="bottom"/>
          </w:tcPr>
          <w:p w14:paraId="3AF02E3E" w14:textId="39A92EC5" w:rsidR="00543D1A" w:rsidRPr="006E0B6E" w:rsidRDefault="00543D1A" w:rsidP="00543D1A">
            <w:pPr>
              <w:pStyle w:val="TableHeading"/>
              <w:rPr>
                <w:rFonts w:ascii="Arial" w:hAnsi="Arial" w:cs="Arial"/>
                <w:color w:val="auto"/>
              </w:rPr>
            </w:pPr>
            <w:r w:rsidRPr="006E0B6E">
              <w:rPr>
                <w:rFonts w:ascii="Arial" w:hAnsi="Arial" w:cs="Arial"/>
                <w:color w:val="auto"/>
              </w:rPr>
              <w:t>Inheritances excluding the primary residence</w:t>
            </w:r>
          </w:p>
        </w:tc>
      </w:tr>
      <w:tr w:rsidR="003545C5" w:rsidRPr="006E0B6E" w14:paraId="0D0A4BC4" w14:textId="77777777" w:rsidTr="00DB3EFE">
        <w:tc>
          <w:tcPr>
            <w:tcW w:w="3212" w:type="dxa"/>
            <w:tcBorders>
              <w:top w:val="single" w:sz="4" w:space="0" w:color="B3B3B3"/>
              <w:bottom w:val="nil"/>
            </w:tcBorders>
            <w:shd w:val="clear" w:color="000000" w:fill="F2F2F2"/>
          </w:tcPr>
          <w:p w14:paraId="06900F47" w14:textId="77777777" w:rsidR="003545C5" w:rsidRPr="006E0B6E" w:rsidRDefault="003545C5" w:rsidP="00131C07">
            <w:pPr>
              <w:pStyle w:val="TableHeading"/>
              <w:rPr>
                <w:rFonts w:ascii="Arial" w:hAnsi="Arial" w:cs="Arial"/>
                <w:color w:val="auto"/>
              </w:rPr>
            </w:pPr>
          </w:p>
        </w:tc>
        <w:tc>
          <w:tcPr>
            <w:tcW w:w="3213" w:type="dxa"/>
            <w:tcBorders>
              <w:top w:val="single" w:sz="4" w:space="0" w:color="B3B3B3"/>
              <w:bottom w:val="nil"/>
            </w:tcBorders>
            <w:shd w:val="clear" w:color="000000" w:fill="F2F2F2"/>
            <w:vAlign w:val="bottom"/>
          </w:tcPr>
          <w:p w14:paraId="5FA6BE21" w14:textId="5F095619" w:rsidR="003545C5" w:rsidRPr="006E0B6E" w:rsidRDefault="003545C5" w:rsidP="00131C07">
            <w:pPr>
              <w:pStyle w:val="TableBody"/>
              <w:spacing w:before="45" w:after="45"/>
              <w:ind w:right="108"/>
              <w:rPr>
                <w:rFonts w:ascii="Arial" w:hAnsi="Arial" w:cs="Arial"/>
                <w:szCs w:val="18"/>
              </w:rPr>
            </w:pPr>
            <w:r w:rsidRPr="006E0B6E">
              <w:rPr>
                <w:rFonts w:ascii="Arial" w:hAnsi="Arial" w:cs="Arial"/>
                <w:color w:val="000000"/>
              </w:rPr>
              <w:t>Value (billions of 2018 dollars)</w:t>
            </w:r>
          </w:p>
        </w:tc>
        <w:tc>
          <w:tcPr>
            <w:tcW w:w="3213" w:type="dxa"/>
            <w:tcBorders>
              <w:top w:val="single" w:sz="4" w:space="0" w:color="B3B3B3"/>
              <w:bottom w:val="nil"/>
            </w:tcBorders>
            <w:shd w:val="clear" w:color="000000" w:fill="F2F2F2"/>
            <w:vAlign w:val="bottom"/>
          </w:tcPr>
          <w:p w14:paraId="1AD8DFB1" w14:textId="0438EA42" w:rsidR="003545C5" w:rsidRPr="006E0B6E" w:rsidRDefault="003545C5" w:rsidP="00131C07">
            <w:pPr>
              <w:pStyle w:val="TableBody"/>
              <w:spacing w:before="45" w:after="45"/>
              <w:ind w:right="108"/>
              <w:rPr>
                <w:rFonts w:ascii="Arial" w:hAnsi="Arial" w:cs="Arial"/>
                <w:szCs w:val="18"/>
              </w:rPr>
            </w:pPr>
            <w:r w:rsidRPr="006E0B6E">
              <w:rPr>
                <w:rFonts w:ascii="Arial" w:hAnsi="Arial" w:cs="Arial"/>
                <w:color w:val="000000"/>
              </w:rPr>
              <w:t>Value (billions of 2018 dollars)</w:t>
            </w:r>
          </w:p>
        </w:tc>
      </w:tr>
      <w:tr w:rsidR="00012974" w:rsidRPr="006E0B6E" w14:paraId="3B4B1052" w14:textId="77777777" w:rsidTr="00DB3EFE">
        <w:tc>
          <w:tcPr>
            <w:tcW w:w="3212" w:type="dxa"/>
            <w:tcBorders>
              <w:top w:val="single" w:sz="4" w:space="0" w:color="B3B3B3"/>
              <w:bottom w:val="nil"/>
            </w:tcBorders>
            <w:shd w:val="clear" w:color="000000" w:fill="F2F2F2"/>
          </w:tcPr>
          <w:p w14:paraId="274CC4D8" w14:textId="77777777" w:rsidR="00131C07" w:rsidRPr="006E0B6E" w:rsidRDefault="00131C07" w:rsidP="00131C07">
            <w:pPr>
              <w:pStyle w:val="TableHeading"/>
              <w:rPr>
                <w:rFonts w:ascii="Arial" w:hAnsi="Arial" w:cs="Arial"/>
                <w:color w:val="auto"/>
              </w:rPr>
            </w:pPr>
            <w:r w:rsidRPr="006E0B6E">
              <w:rPr>
                <w:rFonts w:ascii="Arial" w:hAnsi="Arial" w:cs="Arial"/>
                <w:color w:val="auto"/>
              </w:rPr>
              <w:t>2002</w:t>
            </w:r>
          </w:p>
        </w:tc>
        <w:tc>
          <w:tcPr>
            <w:tcW w:w="3213" w:type="dxa"/>
            <w:tcBorders>
              <w:top w:val="single" w:sz="4" w:space="0" w:color="B3B3B3"/>
              <w:bottom w:val="nil"/>
            </w:tcBorders>
            <w:shd w:val="clear" w:color="000000" w:fill="F2F2F2"/>
            <w:vAlign w:val="bottom"/>
          </w:tcPr>
          <w:p w14:paraId="4728668A" w14:textId="612BCAEF" w:rsidR="00131C07" w:rsidRPr="006E0B6E" w:rsidRDefault="009A7E47" w:rsidP="00131C07">
            <w:pPr>
              <w:pStyle w:val="TableBody"/>
              <w:spacing w:before="45" w:after="45"/>
              <w:ind w:right="108"/>
              <w:rPr>
                <w:rFonts w:ascii="Arial" w:hAnsi="Arial" w:cs="Arial"/>
                <w:szCs w:val="18"/>
              </w:rPr>
            </w:pPr>
            <w:r w:rsidRPr="006E0B6E">
              <w:rPr>
                <w:rFonts w:ascii="Arial" w:hAnsi="Arial" w:cs="Arial"/>
                <w:szCs w:val="18"/>
              </w:rPr>
              <w:t>23.9</w:t>
            </w:r>
          </w:p>
        </w:tc>
        <w:tc>
          <w:tcPr>
            <w:tcW w:w="3213" w:type="dxa"/>
            <w:tcBorders>
              <w:top w:val="single" w:sz="4" w:space="0" w:color="B3B3B3"/>
              <w:bottom w:val="nil"/>
            </w:tcBorders>
            <w:shd w:val="clear" w:color="000000" w:fill="F2F2F2"/>
            <w:vAlign w:val="bottom"/>
          </w:tcPr>
          <w:p w14:paraId="73F28E54" w14:textId="1FB6A5D1" w:rsidR="00131C07" w:rsidRPr="006E0B6E" w:rsidRDefault="00541126" w:rsidP="00131C07">
            <w:pPr>
              <w:pStyle w:val="TableBody"/>
              <w:spacing w:before="45" w:after="45"/>
              <w:ind w:right="108"/>
              <w:rPr>
                <w:rFonts w:ascii="Arial" w:hAnsi="Arial" w:cs="Arial"/>
                <w:szCs w:val="18"/>
              </w:rPr>
            </w:pPr>
            <w:r w:rsidRPr="006E0B6E">
              <w:rPr>
                <w:rFonts w:ascii="Arial" w:hAnsi="Arial" w:cs="Arial"/>
                <w:szCs w:val="18"/>
              </w:rPr>
              <w:t>11.0</w:t>
            </w:r>
          </w:p>
        </w:tc>
      </w:tr>
      <w:tr w:rsidR="00012974" w:rsidRPr="006E0B6E" w14:paraId="2A930012" w14:textId="77777777" w:rsidTr="00DB3EFE">
        <w:tc>
          <w:tcPr>
            <w:tcW w:w="3212" w:type="dxa"/>
            <w:tcBorders>
              <w:top w:val="nil"/>
              <w:bottom w:val="nil"/>
            </w:tcBorders>
            <w:shd w:val="clear" w:color="000000" w:fill="auto"/>
          </w:tcPr>
          <w:p w14:paraId="49BDF188" w14:textId="77777777" w:rsidR="00131C07" w:rsidRPr="006E0B6E" w:rsidRDefault="00131C07" w:rsidP="00131C07">
            <w:pPr>
              <w:pStyle w:val="TableHeading"/>
              <w:rPr>
                <w:rFonts w:ascii="Arial" w:hAnsi="Arial" w:cs="Arial"/>
                <w:color w:val="auto"/>
              </w:rPr>
            </w:pPr>
            <w:r w:rsidRPr="006E0B6E">
              <w:rPr>
                <w:rFonts w:ascii="Arial" w:hAnsi="Arial" w:cs="Arial"/>
                <w:color w:val="auto"/>
              </w:rPr>
              <w:t>2006</w:t>
            </w:r>
          </w:p>
        </w:tc>
        <w:tc>
          <w:tcPr>
            <w:tcW w:w="3213" w:type="dxa"/>
            <w:tcBorders>
              <w:top w:val="nil"/>
              <w:bottom w:val="nil"/>
            </w:tcBorders>
            <w:shd w:val="clear" w:color="000000" w:fill="auto"/>
            <w:vAlign w:val="bottom"/>
          </w:tcPr>
          <w:p w14:paraId="16E7BCC9" w14:textId="0BE6AA2B" w:rsidR="00131C07" w:rsidRPr="006E0B6E" w:rsidRDefault="009A7E47" w:rsidP="00131C07">
            <w:pPr>
              <w:pStyle w:val="TableBody"/>
              <w:spacing w:before="45" w:after="45"/>
              <w:ind w:right="108"/>
              <w:rPr>
                <w:rFonts w:ascii="Arial" w:hAnsi="Arial" w:cs="Arial"/>
                <w:szCs w:val="18"/>
              </w:rPr>
            </w:pPr>
            <w:r w:rsidRPr="006E0B6E">
              <w:rPr>
                <w:rFonts w:ascii="Arial" w:hAnsi="Arial" w:cs="Arial"/>
                <w:szCs w:val="18"/>
              </w:rPr>
              <w:t>33.7</w:t>
            </w:r>
          </w:p>
        </w:tc>
        <w:tc>
          <w:tcPr>
            <w:tcW w:w="3213" w:type="dxa"/>
            <w:tcBorders>
              <w:top w:val="nil"/>
              <w:bottom w:val="nil"/>
            </w:tcBorders>
            <w:shd w:val="clear" w:color="000000" w:fill="auto"/>
            <w:vAlign w:val="bottom"/>
          </w:tcPr>
          <w:p w14:paraId="53421E58" w14:textId="6A2DDB70" w:rsidR="00131C07" w:rsidRPr="006E0B6E" w:rsidRDefault="00541126" w:rsidP="00131C07">
            <w:pPr>
              <w:pStyle w:val="TableBody"/>
              <w:spacing w:before="45" w:after="45"/>
              <w:ind w:right="108"/>
              <w:rPr>
                <w:rFonts w:ascii="Arial" w:hAnsi="Arial" w:cs="Arial"/>
                <w:szCs w:val="18"/>
              </w:rPr>
            </w:pPr>
            <w:r w:rsidRPr="006E0B6E">
              <w:rPr>
                <w:rFonts w:ascii="Arial" w:hAnsi="Arial" w:cs="Arial"/>
                <w:szCs w:val="18"/>
              </w:rPr>
              <w:t>16.5</w:t>
            </w:r>
          </w:p>
        </w:tc>
      </w:tr>
      <w:tr w:rsidR="00131C07" w:rsidRPr="006E0B6E" w14:paraId="687CEEC4" w14:textId="77777777" w:rsidTr="00DB3EFE">
        <w:tc>
          <w:tcPr>
            <w:tcW w:w="3212" w:type="dxa"/>
            <w:shd w:val="clear" w:color="000000" w:fill="F2F2F2"/>
          </w:tcPr>
          <w:p w14:paraId="64766DCE" w14:textId="77777777" w:rsidR="00131C07" w:rsidRPr="006E0B6E" w:rsidRDefault="00131C07" w:rsidP="00131C07">
            <w:pPr>
              <w:pStyle w:val="TableHeading"/>
              <w:rPr>
                <w:rFonts w:ascii="Arial" w:hAnsi="Arial" w:cs="Arial"/>
                <w:color w:val="auto"/>
              </w:rPr>
            </w:pPr>
            <w:r w:rsidRPr="006E0B6E">
              <w:rPr>
                <w:rFonts w:ascii="Arial" w:hAnsi="Arial" w:cs="Arial"/>
                <w:color w:val="auto"/>
              </w:rPr>
              <w:t>2010</w:t>
            </w:r>
          </w:p>
        </w:tc>
        <w:tc>
          <w:tcPr>
            <w:tcW w:w="3213" w:type="dxa"/>
            <w:shd w:val="clear" w:color="000000" w:fill="F2F2F2"/>
            <w:vAlign w:val="bottom"/>
          </w:tcPr>
          <w:p w14:paraId="2E5F6BAD" w14:textId="40E449FB" w:rsidR="00131C07" w:rsidRPr="006E0B6E" w:rsidRDefault="009A7E47" w:rsidP="00131C07">
            <w:pPr>
              <w:pStyle w:val="TableBody"/>
              <w:spacing w:before="45" w:after="45"/>
              <w:ind w:right="108"/>
              <w:rPr>
                <w:rFonts w:ascii="Arial" w:hAnsi="Arial" w:cs="Arial"/>
                <w:szCs w:val="18"/>
              </w:rPr>
            </w:pPr>
            <w:r w:rsidRPr="006E0B6E">
              <w:rPr>
                <w:rFonts w:ascii="Arial" w:hAnsi="Arial" w:cs="Arial"/>
                <w:szCs w:val="18"/>
              </w:rPr>
              <w:t>33.1</w:t>
            </w:r>
          </w:p>
        </w:tc>
        <w:tc>
          <w:tcPr>
            <w:tcW w:w="3213" w:type="dxa"/>
            <w:shd w:val="clear" w:color="000000" w:fill="F2F2F2"/>
            <w:vAlign w:val="bottom"/>
          </w:tcPr>
          <w:p w14:paraId="1DB29EA5" w14:textId="7C1BF19F" w:rsidR="00131C07" w:rsidRPr="006E0B6E" w:rsidRDefault="00541126" w:rsidP="00131C07">
            <w:pPr>
              <w:pStyle w:val="TableBody"/>
              <w:spacing w:before="45" w:after="45"/>
              <w:ind w:right="108"/>
              <w:rPr>
                <w:rFonts w:ascii="Arial" w:hAnsi="Arial" w:cs="Arial"/>
                <w:szCs w:val="18"/>
              </w:rPr>
            </w:pPr>
            <w:r w:rsidRPr="006E0B6E">
              <w:rPr>
                <w:rFonts w:ascii="Arial" w:hAnsi="Arial" w:cs="Arial"/>
                <w:szCs w:val="18"/>
              </w:rPr>
              <w:t>15.7</w:t>
            </w:r>
          </w:p>
        </w:tc>
      </w:tr>
      <w:tr w:rsidR="00131C07" w:rsidRPr="006E0B6E" w14:paraId="458007BD" w14:textId="77777777" w:rsidTr="00DB3EFE">
        <w:tc>
          <w:tcPr>
            <w:tcW w:w="3212" w:type="dxa"/>
            <w:shd w:val="clear" w:color="auto" w:fill="auto"/>
          </w:tcPr>
          <w:p w14:paraId="1BE0B257" w14:textId="77777777" w:rsidR="00131C07" w:rsidRPr="006E0B6E" w:rsidRDefault="00131C07" w:rsidP="00131C07">
            <w:pPr>
              <w:pStyle w:val="TableHeading"/>
              <w:rPr>
                <w:rFonts w:ascii="Arial" w:hAnsi="Arial" w:cs="Arial"/>
                <w:color w:val="auto"/>
              </w:rPr>
            </w:pPr>
            <w:r w:rsidRPr="006E0B6E">
              <w:rPr>
                <w:rFonts w:ascii="Arial" w:hAnsi="Arial" w:cs="Arial"/>
                <w:color w:val="auto"/>
              </w:rPr>
              <w:t>2014</w:t>
            </w:r>
          </w:p>
        </w:tc>
        <w:tc>
          <w:tcPr>
            <w:tcW w:w="3213" w:type="dxa"/>
            <w:shd w:val="clear" w:color="auto" w:fill="auto"/>
            <w:vAlign w:val="bottom"/>
          </w:tcPr>
          <w:p w14:paraId="162684FB" w14:textId="6D0FD0C8" w:rsidR="00131C07" w:rsidRPr="006E0B6E" w:rsidRDefault="009A7E47" w:rsidP="00131C07">
            <w:pPr>
              <w:pStyle w:val="TableBody"/>
              <w:spacing w:before="45" w:after="45"/>
              <w:ind w:right="108"/>
              <w:rPr>
                <w:rFonts w:ascii="Arial" w:hAnsi="Arial" w:cs="Arial"/>
                <w:szCs w:val="18"/>
              </w:rPr>
            </w:pPr>
            <w:r w:rsidRPr="006E0B6E">
              <w:rPr>
                <w:rFonts w:ascii="Arial" w:hAnsi="Arial" w:cs="Arial"/>
                <w:szCs w:val="18"/>
              </w:rPr>
              <w:t>41.3</w:t>
            </w:r>
          </w:p>
        </w:tc>
        <w:tc>
          <w:tcPr>
            <w:tcW w:w="3213" w:type="dxa"/>
            <w:shd w:val="clear" w:color="auto" w:fill="auto"/>
            <w:vAlign w:val="bottom"/>
          </w:tcPr>
          <w:p w14:paraId="5EC84EB3" w14:textId="4EF5CA2B" w:rsidR="00131C07" w:rsidRPr="006E0B6E" w:rsidRDefault="00541126" w:rsidP="00131C07">
            <w:pPr>
              <w:pStyle w:val="TableBody"/>
              <w:spacing w:before="45" w:after="45"/>
              <w:ind w:right="108"/>
              <w:rPr>
                <w:rFonts w:ascii="Arial" w:hAnsi="Arial" w:cs="Arial"/>
                <w:szCs w:val="18"/>
              </w:rPr>
            </w:pPr>
            <w:r w:rsidRPr="006E0B6E">
              <w:rPr>
                <w:rFonts w:ascii="Arial" w:hAnsi="Arial" w:cs="Arial"/>
                <w:szCs w:val="18"/>
              </w:rPr>
              <w:t>22.5</w:t>
            </w:r>
          </w:p>
        </w:tc>
      </w:tr>
      <w:tr w:rsidR="00131C07" w:rsidRPr="006E0B6E" w14:paraId="2894A6ED" w14:textId="77777777" w:rsidTr="00DB3EFE">
        <w:tc>
          <w:tcPr>
            <w:tcW w:w="3212" w:type="dxa"/>
            <w:tcBorders>
              <w:bottom w:val="single" w:sz="4" w:space="0" w:color="B3B3B3"/>
            </w:tcBorders>
            <w:shd w:val="clear" w:color="000000" w:fill="F2F2F2"/>
          </w:tcPr>
          <w:p w14:paraId="5BB5A7EA" w14:textId="77777777" w:rsidR="00131C07" w:rsidRPr="006E0B6E" w:rsidRDefault="00131C07" w:rsidP="00131C07">
            <w:pPr>
              <w:pStyle w:val="TableHeading"/>
              <w:rPr>
                <w:rFonts w:ascii="Arial" w:hAnsi="Arial" w:cs="Arial"/>
                <w:color w:val="auto"/>
              </w:rPr>
            </w:pPr>
            <w:r w:rsidRPr="006E0B6E">
              <w:rPr>
                <w:rFonts w:ascii="Arial" w:hAnsi="Arial" w:cs="Arial"/>
                <w:color w:val="auto"/>
              </w:rPr>
              <w:t>2018</w:t>
            </w:r>
          </w:p>
        </w:tc>
        <w:tc>
          <w:tcPr>
            <w:tcW w:w="3213" w:type="dxa"/>
            <w:tcBorders>
              <w:bottom w:val="single" w:sz="4" w:space="0" w:color="B3B3B3"/>
            </w:tcBorders>
            <w:shd w:val="clear" w:color="000000" w:fill="F2F2F2"/>
            <w:vAlign w:val="bottom"/>
          </w:tcPr>
          <w:p w14:paraId="62F79612" w14:textId="449CC078" w:rsidR="00131C07" w:rsidRPr="006E0B6E" w:rsidRDefault="009A7E47" w:rsidP="00131C07">
            <w:pPr>
              <w:pStyle w:val="TableBody"/>
              <w:spacing w:before="45" w:after="45"/>
              <w:ind w:right="108"/>
              <w:rPr>
                <w:rFonts w:ascii="Arial" w:hAnsi="Arial" w:cs="Arial"/>
                <w:szCs w:val="18"/>
              </w:rPr>
            </w:pPr>
            <w:r w:rsidRPr="006E0B6E">
              <w:rPr>
                <w:rFonts w:ascii="Arial" w:hAnsi="Arial" w:cs="Arial"/>
                <w:szCs w:val="18"/>
              </w:rPr>
              <w:t>52.0</w:t>
            </w:r>
          </w:p>
        </w:tc>
        <w:tc>
          <w:tcPr>
            <w:tcW w:w="3213" w:type="dxa"/>
            <w:tcBorders>
              <w:bottom w:val="single" w:sz="4" w:space="0" w:color="B3B3B3"/>
            </w:tcBorders>
            <w:shd w:val="clear" w:color="000000" w:fill="F2F2F2"/>
            <w:vAlign w:val="bottom"/>
          </w:tcPr>
          <w:p w14:paraId="4F45171E" w14:textId="7B6E61DE" w:rsidR="00131C07" w:rsidRPr="006E0B6E" w:rsidRDefault="00541126" w:rsidP="00131C07">
            <w:pPr>
              <w:pStyle w:val="TableBody"/>
              <w:spacing w:before="45" w:after="45"/>
              <w:ind w:right="108"/>
              <w:rPr>
                <w:rFonts w:ascii="Arial" w:hAnsi="Arial" w:cs="Arial"/>
                <w:szCs w:val="18"/>
              </w:rPr>
            </w:pPr>
            <w:r w:rsidRPr="006E0B6E">
              <w:rPr>
                <w:rFonts w:ascii="Arial" w:hAnsi="Arial" w:cs="Arial"/>
                <w:szCs w:val="18"/>
              </w:rPr>
              <w:t>26.3</w:t>
            </w:r>
          </w:p>
        </w:tc>
      </w:tr>
    </w:tbl>
    <w:p w14:paraId="25755F41" w14:textId="7167D60B" w:rsidR="00233C5C"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21F374A2" w14:textId="77777777" w:rsidR="006812B8" w:rsidRPr="006E0B6E" w:rsidRDefault="006812B8" w:rsidP="006812B8">
      <w:pPr>
        <w:rPr>
          <w:rFonts w:cs="Arial"/>
        </w:rPr>
      </w:pPr>
      <w:r w:rsidRPr="006E0B6E">
        <w:rPr>
          <w:rFonts w:cs="Arial"/>
        </w:rPr>
        <w:t>These estimates use the ‘outflow – expected deaths’ approach (based on the wealth held by respondents who are expected to die in the following year; see chapter 1 and appendix A of WTEE for a full explanation). The estimates are subject to the limitations noted in chapter 1 and appendix A of WTEE — in particular:</w:t>
      </w:r>
    </w:p>
    <w:p w14:paraId="13CE3BA1" w14:textId="77777777" w:rsidR="006812B8" w:rsidRPr="006E0B6E" w:rsidRDefault="006812B8" w:rsidP="006812B8">
      <w:pPr>
        <w:pStyle w:val="ListParagraph"/>
        <w:numPr>
          <w:ilvl w:val="0"/>
          <w:numId w:val="2"/>
        </w:numPr>
        <w:rPr>
          <w:rFonts w:cs="Arial"/>
        </w:rPr>
      </w:pPr>
      <w:r w:rsidRPr="006E0B6E">
        <w:rPr>
          <w:rFonts w:cs="Arial"/>
        </w:rPr>
        <w:t xml:space="preserve">they are contingent on the assumption that wealth (in this case, excluding the primary residence), after controlling for age, gender and marital status, is not correlated with </w:t>
      </w:r>
      <w:r w:rsidRPr="006E0B6E">
        <w:rPr>
          <w:rFonts w:cs="Arial"/>
        </w:rPr>
        <w:lastRenderedPageBreak/>
        <w:t>forecasted probability of death. To the extent that there is a negative correlation (less wealthy people of a given age, gender and marital status are more likely to die in the following year than more wealthy people), wealth held at death, and therefore total inheritances, will be overestimated.</w:t>
      </w:r>
    </w:p>
    <w:p w14:paraId="69D23B9E" w14:textId="77777777" w:rsidR="006812B8" w:rsidRPr="006E0B6E" w:rsidRDefault="006812B8" w:rsidP="006812B8">
      <w:pPr>
        <w:pStyle w:val="ListParagraph"/>
        <w:numPr>
          <w:ilvl w:val="0"/>
          <w:numId w:val="2"/>
        </w:numPr>
        <w:rPr>
          <w:rFonts w:cs="Arial"/>
        </w:rPr>
      </w:pPr>
      <w:r w:rsidRPr="006E0B6E">
        <w:rPr>
          <w:rFonts w:cs="Arial"/>
        </w:rPr>
        <w:t>they are contingent on the assumption that people who die do not decumulate their wealth (excluding the primary residence) in the few months prior to death at a rate different from that of people of the same gender, age and marital status who do not die. To the extent that people who die decumulate their wealth to a greater extent than people of the same gender, age and marital status who do not die, this method will overestimate total inheritances excluding the primary residence.</w:t>
      </w:r>
    </w:p>
    <w:p w14:paraId="41461C14" w14:textId="77777777" w:rsidR="006812B8" w:rsidRPr="006E0B6E" w:rsidRDefault="006812B8" w:rsidP="006812B8">
      <w:pPr>
        <w:pStyle w:val="ListParagraph"/>
        <w:numPr>
          <w:ilvl w:val="0"/>
          <w:numId w:val="2"/>
        </w:numPr>
        <w:rPr>
          <w:rFonts w:cs="Arial"/>
        </w:rPr>
      </w:pPr>
      <w:r w:rsidRPr="006E0B6E">
        <w:rPr>
          <w:rFonts w:cs="Arial"/>
        </w:rPr>
        <w:t>‘death-related’ expenses paid out of the deceased’s estate (e.g. some funerals and probate fees) are not deducted. To the extent that death-related expenses are paid out of the deceased’s estate, this method will overestimate total inheritances excluding the primary residence.</w:t>
      </w:r>
    </w:p>
    <w:p w14:paraId="744DC837" w14:textId="2DC57526" w:rsidR="00172B46" w:rsidRPr="006E0B6E" w:rsidRDefault="00172B46" w:rsidP="00172B46">
      <w:pPr>
        <w:rPr>
          <w:rFonts w:cs="Arial"/>
        </w:rPr>
      </w:pPr>
      <w:r w:rsidRPr="006E0B6E">
        <w:rPr>
          <w:rFonts w:cs="Arial"/>
        </w:rPr>
        <w:t xml:space="preserve">As </w:t>
      </w:r>
      <w:r w:rsidR="00683A83" w:rsidRPr="006E0B6E">
        <w:rPr>
          <w:rFonts w:cs="Arial"/>
        </w:rPr>
        <w:t>robustness checks</w:t>
      </w:r>
      <w:r w:rsidR="00722FAF" w:rsidRPr="006E0B6E">
        <w:rPr>
          <w:rFonts w:cs="Arial"/>
        </w:rPr>
        <w:t>,</w:t>
      </w:r>
      <w:r w:rsidR="002C0F7E" w:rsidRPr="006E0B6E">
        <w:rPr>
          <w:rFonts w:cs="Arial"/>
        </w:rPr>
        <w:t xml:space="preserve"> the Commission has also estimated the</w:t>
      </w:r>
      <w:r w:rsidR="002902C4" w:rsidRPr="006E0B6E">
        <w:rPr>
          <w:rFonts w:cs="Arial"/>
        </w:rPr>
        <w:t xml:space="preserve">se statistics using the </w:t>
      </w:r>
      <w:r w:rsidR="00343AC8" w:rsidRPr="006E0B6E">
        <w:rPr>
          <w:rFonts w:cs="Arial"/>
        </w:rPr>
        <w:t>‘</w:t>
      </w:r>
      <w:r w:rsidR="00F645AA" w:rsidRPr="006E0B6E">
        <w:rPr>
          <w:rFonts w:cs="Arial"/>
        </w:rPr>
        <w:t xml:space="preserve">outflow – </w:t>
      </w:r>
      <w:r w:rsidR="00343AC8" w:rsidRPr="006E0B6E">
        <w:rPr>
          <w:rFonts w:cs="Arial"/>
        </w:rPr>
        <w:t>actual deaths</w:t>
      </w:r>
      <w:r w:rsidR="005C6664" w:rsidRPr="006E0B6E">
        <w:rPr>
          <w:rFonts w:cs="Arial"/>
        </w:rPr>
        <w:t>’ approach (</w:t>
      </w:r>
      <w:r w:rsidR="00F645AA" w:rsidRPr="006E0B6E">
        <w:rPr>
          <w:rFonts w:cs="Arial"/>
        </w:rPr>
        <w:t xml:space="preserve">based on </w:t>
      </w:r>
      <w:r w:rsidR="005C6664" w:rsidRPr="006E0B6E">
        <w:rPr>
          <w:rFonts w:cs="Arial"/>
        </w:rPr>
        <w:t xml:space="preserve">the wealth held by </w:t>
      </w:r>
      <w:r w:rsidR="00F645AA" w:rsidRPr="006E0B6E">
        <w:rPr>
          <w:rFonts w:cs="Arial"/>
        </w:rPr>
        <w:t>respondents</w:t>
      </w:r>
      <w:r w:rsidR="005C6664" w:rsidRPr="006E0B6E">
        <w:rPr>
          <w:rFonts w:cs="Arial"/>
        </w:rPr>
        <w:t xml:space="preserve"> reported</w:t>
      </w:r>
      <w:r w:rsidR="00544F49" w:rsidRPr="006E0B6E">
        <w:rPr>
          <w:rFonts w:cs="Arial"/>
        </w:rPr>
        <w:t xml:space="preserve"> to the HILDA survey</w:t>
      </w:r>
      <w:r w:rsidR="005C6664" w:rsidRPr="006E0B6E">
        <w:rPr>
          <w:rFonts w:cs="Arial"/>
        </w:rPr>
        <w:t xml:space="preserve"> as having </w:t>
      </w:r>
      <w:r w:rsidR="009601AB" w:rsidRPr="006E0B6E">
        <w:rPr>
          <w:rFonts w:cs="Arial"/>
        </w:rPr>
        <w:t>died</w:t>
      </w:r>
      <w:r w:rsidR="00604039" w:rsidRPr="006E0B6E">
        <w:rPr>
          <w:rFonts w:cs="Arial"/>
        </w:rPr>
        <w:t xml:space="preserve"> in the following year</w:t>
      </w:r>
      <w:r w:rsidR="00FB4F97" w:rsidRPr="006E0B6E">
        <w:rPr>
          <w:rFonts w:cs="Arial"/>
        </w:rPr>
        <w:t>; see WTEE for a full explanation). These statistics are subject to the limitations noted in appendix A of WTEE — in particular:</w:t>
      </w:r>
    </w:p>
    <w:p w14:paraId="503AE404" w14:textId="436979F6" w:rsidR="005263B0" w:rsidRPr="006E0B6E" w:rsidRDefault="005263B0" w:rsidP="002762E4">
      <w:pPr>
        <w:pStyle w:val="ListParagraph"/>
        <w:numPr>
          <w:ilvl w:val="0"/>
          <w:numId w:val="2"/>
        </w:numPr>
        <w:rPr>
          <w:rFonts w:cs="Arial"/>
        </w:rPr>
      </w:pPr>
      <w:r w:rsidRPr="006E0B6E">
        <w:rPr>
          <w:rFonts w:cs="Arial"/>
        </w:rPr>
        <w:t>they are based on</w:t>
      </w:r>
      <w:r w:rsidR="004A0BD3" w:rsidRPr="006E0B6E">
        <w:rPr>
          <w:rFonts w:cs="Arial"/>
        </w:rPr>
        <w:t xml:space="preserve"> </w:t>
      </w:r>
      <w:r w:rsidR="004F6770" w:rsidRPr="006E0B6E">
        <w:rPr>
          <w:rFonts w:cs="Arial"/>
        </w:rPr>
        <w:t xml:space="preserve">fewer </w:t>
      </w:r>
      <w:r w:rsidRPr="006E0B6E">
        <w:rPr>
          <w:rFonts w:cs="Arial"/>
        </w:rPr>
        <w:t xml:space="preserve">observations </w:t>
      </w:r>
      <w:r w:rsidR="00EB3926" w:rsidRPr="006E0B6E">
        <w:rPr>
          <w:rFonts w:cs="Arial"/>
        </w:rPr>
        <w:t>(about 100 observations</w:t>
      </w:r>
      <w:r w:rsidR="004A0BD3" w:rsidRPr="006E0B6E">
        <w:rPr>
          <w:rFonts w:cs="Arial"/>
        </w:rPr>
        <w:t xml:space="preserve"> per year) than the </w:t>
      </w:r>
      <w:r w:rsidR="00B35DE0" w:rsidRPr="006E0B6E">
        <w:rPr>
          <w:rFonts w:cs="Arial"/>
        </w:rPr>
        <w:t>statistics calculated using the ‘</w:t>
      </w:r>
      <w:r w:rsidR="000E0A37" w:rsidRPr="006E0B6E">
        <w:rPr>
          <w:rFonts w:cs="Arial"/>
        </w:rPr>
        <w:t>outflow – expected</w:t>
      </w:r>
      <w:r w:rsidR="00B35DE0" w:rsidRPr="006E0B6E">
        <w:rPr>
          <w:rFonts w:cs="Arial"/>
        </w:rPr>
        <w:t xml:space="preserve"> deaths’ approach</w:t>
      </w:r>
      <w:r w:rsidR="00A22454" w:rsidRPr="006E0B6E">
        <w:rPr>
          <w:rFonts w:cs="Arial"/>
        </w:rPr>
        <w:t xml:space="preserve">, which </w:t>
      </w:r>
      <w:r w:rsidR="005B5CF9" w:rsidRPr="006E0B6E">
        <w:rPr>
          <w:rFonts w:cs="Arial"/>
        </w:rPr>
        <w:t>makes</w:t>
      </w:r>
      <w:r w:rsidR="008E32A9" w:rsidRPr="006E0B6E">
        <w:rPr>
          <w:rFonts w:cs="Arial"/>
        </w:rPr>
        <w:t xml:space="preserve"> them more prone to sampling error</w:t>
      </w:r>
      <w:r w:rsidR="00CF63A5" w:rsidRPr="006E0B6E">
        <w:rPr>
          <w:rFonts w:cs="Arial"/>
        </w:rPr>
        <w:t xml:space="preserve"> (</w:t>
      </w:r>
      <w:r w:rsidR="00C04432" w:rsidRPr="006E0B6E">
        <w:rPr>
          <w:rFonts w:cs="Arial"/>
        </w:rPr>
        <w:t>i.e. they are less precise)</w:t>
      </w:r>
    </w:p>
    <w:p w14:paraId="0B1C9AB8" w14:textId="7CC5B024" w:rsidR="00155109" w:rsidRPr="006E0B6E" w:rsidRDefault="00D51EC3" w:rsidP="002762E4">
      <w:pPr>
        <w:pStyle w:val="ListParagraph"/>
        <w:numPr>
          <w:ilvl w:val="0"/>
          <w:numId w:val="2"/>
        </w:numPr>
        <w:rPr>
          <w:rFonts w:cs="Arial"/>
        </w:rPr>
      </w:pPr>
      <w:r w:rsidRPr="006E0B6E">
        <w:rPr>
          <w:rFonts w:cs="Arial"/>
        </w:rPr>
        <w:t xml:space="preserve">they are contingent on the assumption that </w:t>
      </w:r>
      <w:r w:rsidR="00033035" w:rsidRPr="006E0B6E">
        <w:rPr>
          <w:rFonts w:cs="Arial"/>
        </w:rPr>
        <w:t xml:space="preserve">wealth held by </w:t>
      </w:r>
      <w:r w:rsidR="0069670A" w:rsidRPr="006E0B6E">
        <w:rPr>
          <w:rFonts w:cs="Arial"/>
        </w:rPr>
        <w:t>respondents</w:t>
      </w:r>
      <w:r w:rsidR="00033035" w:rsidRPr="006E0B6E">
        <w:rPr>
          <w:rFonts w:cs="Arial"/>
        </w:rPr>
        <w:t xml:space="preserve"> reported as having died is </w:t>
      </w:r>
      <w:r w:rsidR="001E6112" w:rsidRPr="006E0B6E">
        <w:rPr>
          <w:rFonts w:cs="Arial"/>
        </w:rPr>
        <w:t xml:space="preserve">representative of the wealth of </w:t>
      </w:r>
      <w:r w:rsidR="0069670A" w:rsidRPr="006E0B6E">
        <w:rPr>
          <w:rFonts w:cs="Arial"/>
        </w:rPr>
        <w:t>respondents who actually died.</w:t>
      </w:r>
      <w:r w:rsidR="00D01AD4" w:rsidRPr="006E0B6E">
        <w:rPr>
          <w:rFonts w:cs="Arial"/>
        </w:rPr>
        <w:t xml:space="preserve"> </w:t>
      </w:r>
      <w:r w:rsidR="003A68A7" w:rsidRPr="006E0B6E">
        <w:rPr>
          <w:rFonts w:cs="Arial"/>
        </w:rPr>
        <w:t xml:space="preserve">This is </w:t>
      </w:r>
      <w:r w:rsidR="00987835" w:rsidRPr="006E0B6E">
        <w:rPr>
          <w:rFonts w:cs="Arial"/>
        </w:rPr>
        <w:t xml:space="preserve">of </w:t>
      </w:r>
      <w:r w:rsidR="00715E69" w:rsidRPr="006E0B6E">
        <w:rPr>
          <w:rFonts w:cs="Arial"/>
        </w:rPr>
        <w:t>no</w:t>
      </w:r>
      <w:r w:rsidR="00AC2E13" w:rsidRPr="006E0B6E">
        <w:rPr>
          <w:rFonts w:cs="Arial"/>
        </w:rPr>
        <w:t xml:space="preserve"> concern for the 2003–2011 estimates</w:t>
      </w:r>
      <w:r w:rsidR="00572971" w:rsidRPr="006E0B6E">
        <w:rPr>
          <w:rFonts w:cs="Arial"/>
        </w:rPr>
        <w:t xml:space="preserve"> (</w:t>
      </w:r>
      <w:r w:rsidR="00DF3F7A" w:rsidRPr="006E0B6E">
        <w:rPr>
          <w:rFonts w:cs="Arial"/>
        </w:rPr>
        <w:t>for which there was</w:t>
      </w:r>
      <w:r w:rsidR="00542A95" w:rsidRPr="006E0B6E">
        <w:rPr>
          <w:rFonts w:cs="Arial"/>
        </w:rPr>
        <w:t xml:space="preserve"> </w:t>
      </w:r>
      <w:r w:rsidR="00715E69" w:rsidRPr="006E0B6E">
        <w:rPr>
          <w:rFonts w:cs="Arial"/>
        </w:rPr>
        <w:t>complete</w:t>
      </w:r>
      <w:r w:rsidR="00B54D85" w:rsidRPr="006E0B6E">
        <w:rPr>
          <w:rFonts w:cs="Arial"/>
        </w:rPr>
        <w:t xml:space="preserve"> </w:t>
      </w:r>
      <w:r w:rsidR="00063D24" w:rsidRPr="006E0B6E">
        <w:rPr>
          <w:rFonts w:cs="Arial"/>
        </w:rPr>
        <w:t>reporting of deaths)</w:t>
      </w:r>
      <w:r w:rsidR="00AC2E13" w:rsidRPr="006E0B6E">
        <w:rPr>
          <w:rFonts w:cs="Arial"/>
        </w:rPr>
        <w:t>, but</w:t>
      </w:r>
      <w:r w:rsidR="00263B7F" w:rsidRPr="006E0B6E">
        <w:rPr>
          <w:rFonts w:cs="Arial"/>
        </w:rPr>
        <w:t xml:space="preserve"> </w:t>
      </w:r>
      <w:r w:rsidR="005865D6" w:rsidRPr="006E0B6E">
        <w:rPr>
          <w:rFonts w:cs="Arial"/>
        </w:rPr>
        <w:t xml:space="preserve">is </w:t>
      </w:r>
      <w:r w:rsidR="00987835" w:rsidRPr="006E0B6E">
        <w:rPr>
          <w:rFonts w:cs="Arial"/>
        </w:rPr>
        <w:t>of</w:t>
      </w:r>
      <w:r w:rsidR="005865D6" w:rsidRPr="006E0B6E">
        <w:rPr>
          <w:rFonts w:cs="Arial"/>
        </w:rPr>
        <w:t xml:space="preserve"> concern for the 2015 estimate, whic</w:t>
      </w:r>
      <w:r w:rsidR="009D7A16" w:rsidRPr="006E0B6E">
        <w:rPr>
          <w:rFonts w:cs="Arial"/>
        </w:rPr>
        <w:t>h is based on incomplete reporting of deaths</w:t>
      </w:r>
      <w:r w:rsidR="00F542DF" w:rsidRPr="006E0B6E">
        <w:rPr>
          <w:rFonts w:cs="Arial"/>
        </w:rPr>
        <w:t xml:space="preserve"> of respondents in that year</w:t>
      </w:r>
    </w:p>
    <w:p w14:paraId="49E0722E" w14:textId="37EFDAB3" w:rsidR="00155109" w:rsidRPr="006E0B6E" w:rsidRDefault="00E0696A" w:rsidP="002762E4">
      <w:pPr>
        <w:pStyle w:val="ListParagraph"/>
        <w:numPr>
          <w:ilvl w:val="0"/>
          <w:numId w:val="2"/>
        </w:numPr>
        <w:rPr>
          <w:rFonts w:cs="Arial"/>
        </w:rPr>
      </w:pPr>
      <w:r w:rsidRPr="006E0B6E">
        <w:rPr>
          <w:rFonts w:cs="Arial"/>
        </w:rPr>
        <w:t xml:space="preserve">they are contingent on the assumption that </w:t>
      </w:r>
      <w:r w:rsidR="001E7CFC" w:rsidRPr="006E0B6E">
        <w:rPr>
          <w:rFonts w:cs="Arial"/>
        </w:rPr>
        <w:t>wealth does not change in the year prior to death.</w:t>
      </w:r>
    </w:p>
    <w:p w14:paraId="174BC2E5" w14:textId="79C93E1C" w:rsidR="000B086F" w:rsidRPr="006E0B6E" w:rsidRDefault="00724F10" w:rsidP="000B086F">
      <w:pPr>
        <w:rPr>
          <w:rFonts w:cs="Arial"/>
        </w:rPr>
      </w:pPr>
      <w:r w:rsidRPr="006E0B6E">
        <w:rPr>
          <w:rFonts w:cs="Arial"/>
        </w:rPr>
        <w:t>Tables </w:t>
      </w:r>
      <w:r w:rsidR="00393F05" w:rsidRPr="006E0B6E">
        <w:rPr>
          <w:rFonts w:cs="Arial"/>
        </w:rPr>
        <w:t>7</w:t>
      </w:r>
      <w:r w:rsidRPr="006E0B6E">
        <w:rPr>
          <w:rFonts w:cs="Arial"/>
        </w:rPr>
        <w:t xml:space="preserve"> and </w:t>
      </w:r>
      <w:r w:rsidR="00393F05" w:rsidRPr="006E0B6E">
        <w:rPr>
          <w:rFonts w:cs="Arial"/>
        </w:rPr>
        <w:t>8</w:t>
      </w:r>
      <w:r w:rsidR="002F118B" w:rsidRPr="006E0B6E">
        <w:rPr>
          <w:rFonts w:cs="Arial"/>
        </w:rPr>
        <w:t xml:space="preserve"> and figure 1</w:t>
      </w:r>
      <w:r w:rsidRPr="006E0B6E">
        <w:rPr>
          <w:rFonts w:cs="Arial"/>
        </w:rPr>
        <w:t xml:space="preserve"> show the </w:t>
      </w:r>
      <w:r w:rsidR="00393F05" w:rsidRPr="006E0B6E">
        <w:rPr>
          <w:rFonts w:cs="Arial"/>
        </w:rPr>
        <w:t>robustness checks</w:t>
      </w:r>
      <w:r w:rsidRPr="006E0B6E">
        <w:rPr>
          <w:rFonts w:cs="Arial"/>
        </w:rPr>
        <w:t xml:space="preserve"> for 200</w:t>
      </w:r>
      <w:r w:rsidR="00393F05" w:rsidRPr="006E0B6E">
        <w:rPr>
          <w:rFonts w:cs="Arial"/>
        </w:rPr>
        <w:t>3</w:t>
      </w:r>
      <w:r w:rsidRPr="006E0B6E">
        <w:rPr>
          <w:rFonts w:cs="Arial"/>
        </w:rPr>
        <w:t>, 200</w:t>
      </w:r>
      <w:r w:rsidR="00393F05" w:rsidRPr="006E0B6E">
        <w:rPr>
          <w:rFonts w:cs="Arial"/>
        </w:rPr>
        <w:t>7</w:t>
      </w:r>
      <w:r w:rsidRPr="006E0B6E">
        <w:rPr>
          <w:rFonts w:cs="Arial"/>
        </w:rPr>
        <w:t>, 201</w:t>
      </w:r>
      <w:r w:rsidR="00393F05" w:rsidRPr="006E0B6E">
        <w:rPr>
          <w:rFonts w:cs="Arial"/>
        </w:rPr>
        <w:t>1</w:t>
      </w:r>
      <w:r w:rsidRPr="006E0B6E">
        <w:rPr>
          <w:rFonts w:cs="Arial"/>
        </w:rPr>
        <w:t>, 201</w:t>
      </w:r>
      <w:r w:rsidR="00393F05" w:rsidRPr="006E0B6E">
        <w:rPr>
          <w:rFonts w:cs="Arial"/>
        </w:rPr>
        <w:t xml:space="preserve">5. </w:t>
      </w:r>
      <w:r w:rsidR="000B086F" w:rsidRPr="006E0B6E">
        <w:rPr>
          <w:rFonts w:cs="Arial"/>
        </w:rPr>
        <w:t>These estimates differ substantially from the ‘outflow – expected deaths’ estimates in some instances</w:t>
      </w:r>
      <w:r w:rsidR="00073CC2" w:rsidRPr="006E0B6E">
        <w:rPr>
          <w:rFonts w:cs="Arial"/>
        </w:rPr>
        <w:t xml:space="preserve">, which reflects </w:t>
      </w:r>
      <w:r w:rsidR="006F36F8" w:rsidRPr="006E0B6E">
        <w:rPr>
          <w:rFonts w:cs="Arial"/>
        </w:rPr>
        <w:t xml:space="preserve">the </w:t>
      </w:r>
      <w:r w:rsidR="005D30BF" w:rsidRPr="006E0B6E">
        <w:rPr>
          <w:rFonts w:cs="Arial"/>
        </w:rPr>
        <w:t>inherent limitations of both methodologies.</w:t>
      </w:r>
    </w:p>
    <w:p w14:paraId="04E4869B" w14:textId="12658AF4" w:rsidR="00B611A1" w:rsidRPr="006E0B6E" w:rsidRDefault="00F93DE2" w:rsidP="00330FE2">
      <w:pPr>
        <w:pStyle w:val="FigureTableHeading"/>
        <w:rPr>
          <w:rFonts w:ascii="Arial" w:hAnsi="Arial" w:cs="Arial"/>
        </w:rPr>
      </w:pPr>
      <w:r w:rsidRPr="006E0B6E">
        <w:rPr>
          <w:rFonts w:ascii="Arial" w:hAnsi="Arial" w:cs="Arial"/>
        </w:rPr>
        <w:t xml:space="preserve">Table </w:t>
      </w:r>
      <w:r w:rsidR="005E2259" w:rsidRPr="006E0B6E">
        <w:rPr>
          <w:rFonts w:ascii="Arial" w:hAnsi="Arial" w:cs="Arial"/>
        </w:rPr>
        <w:fldChar w:fldCharType="begin"/>
      </w:r>
      <w:r w:rsidR="005E2259" w:rsidRPr="006E0B6E">
        <w:rPr>
          <w:rFonts w:ascii="Arial" w:hAnsi="Arial" w:cs="Arial"/>
        </w:rPr>
        <w:instrText xml:space="preserve"> SEQ Table \* ARABIC </w:instrText>
      </w:r>
      <w:r w:rsidR="005E2259" w:rsidRPr="006E0B6E">
        <w:rPr>
          <w:rFonts w:ascii="Arial" w:hAnsi="Arial" w:cs="Arial"/>
        </w:rPr>
        <w:fldChar w:fldCharType="separate"/>
      </w:r>
      <w:r w:rsidR="00FE0771">
        <w:rPr>
          <w:rFonts w:ascii="Arial" w:hAnsi="Arial" w:cs="Arial"/>
          <w:noProof/>
        </w:rPr>
        <w:t>7</w:t>
      </w:r>
      <w:r w:rsidR="005E2259" w:rsidRPr="006E0B6E">
        <w:rPr>
          <w:rFonts w:ascii="Arial" w:hAnsi="Arial" w:cs="Arial"/>
          <w:noProof/>
        </w:rPr>
        <w:fldChar w:fldCharType="end"/>
      </w:r>
      <w:r w:rsidR="00B611A1" w:rsidRPr="006E0B6E">
        <w:rPr>
          <w:rFonts w:ascii="Arial" w:hAnsi="Arial" w:cs="Arial"/>
        </w:rPr>
        <w:t xml:space="preserve"> – </w:t>
      </w:r>
      <w:r w:rsidR="00144D86" w:rsidRPr="006E0B6E">
        <w:rPr>
          <w:rFonts w:ascii="Arial" w:hAnsi="Arial" w:cs="Arial"/>
        </w:rPr>
        <w:t>Total inheritances</w:t>
      </w:r>
    </w:p>
    <w:p w14:paraId="2FC52FB8" w14:textId="0832BC97" w:rsidR="00144D86" w:rsidRPr="006E0B6E" w:rsidRDefault="00144D86" w:rsidP="00144D86">
      <w:pPr>
        <w:pStyle w:val="FigureTableSubheading"/>
        <w:rPr>
          <w:rFonts w:ascii="Arial" w:hAnsi="Arial" w:cs="Arial"/>
        </w:rPr>
      </w:pPr>
      <w:r w:rsidRPr="006E0B6E">
        <w:rPr>
          <w:rFonts w:ascii="Arial" w:hAnsi="Arial" w:cs="Arial"/>
        </w:rPr>
        <w:t>Estimates based on the ‘outflow – actual deaths’ method</w:t>
      </w:r>
    </w:p>
    <w:tbl>
      <w:tblPr>
        <w:tblW w:w="9638"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2"/>
        <w:gridCol w:w="3213"/>
        <w:gridCol w:w="3213"/>
      </w:tblGrid>
      <w:tr w:rsidR="00543D1A" w:rsidRPr="006E0B6E" w14:paraId="05179D1E" w14:textId="77777777" w:rsidTr="00694FA9">
        <w:trPr>
          <w:tblHeader/>
        </w:trPr>
        <w:tc>
          <w:tcPr>
            <w:tcW w:w="3212" w:type="dxa"/>
            <w:tcBorders>
              <w:bottom w:val="single" w:sz="4" w:space="0" w:color="B3B3B3"/>
            </w:tcBorders>
            <w:shd w:val="clear" w:color="000000" w:fill="auto"/>
            <w:vAlign w:val="bottom"/>
          </w:tcPr>
          <w:p w14:paraId="52C196B6" w14:textId="77777777" w:rsidR="00543D1A" w:rsidRPr="006E0B6E" w:rsidRDefault="00543D1A" w:rsidP="00E04D36">
            <w:pPr>
              <w:pStyle w:val="TableHeading"/>
              <w:rPr>
                <w:rFonts w:ascii="Arial" w:hAnsi="Arial" w:cs="Arial"/>
              </w:rPr>
            </w:pPr>
            <w:r w:rsidRPr="006E0B6E">
              <w:rPr>
                <w:rFonts w:ascii="Arial" w:hAnsi="Arial" w:cs="Arial"/>
                <w:color w:val="auto"/>
              </w:rPr>
              <w:t>Year</w:t>
            </w:r>
          </w:p>
        </w:tc>
        <w:tc>
          <w:tcPr>
            <w:tcW w:w="3213" w:type="dxa"/>
            <w:tcBorders>
              <w:bottom w:val="single" w:sz="4" w:space="0" w:color="B3B3B3"/>
            </w:tcBorders>
            <w:shd w:val="clear" w:color="000000" w:fill="auto"/>
            <w:vAlign w:val="bottom"/>
          </w:tcPr>
          <w:p w14:paraId="67BFA226" w14:textId="2A740692" w:rsidR="00543D1A" w:rsidRPr="006E0B6E" w:rsidRDefault="00543D1A" w:rsidP="009A6E01">
            <w:pPr>
              <w:pStyle w:val="TableHeading"/>
              <w:rPr>
                <w:rFonts w:ascii="Arial" w:hAnsi="Arial" w:cs="Arial"/>
                <w:color w:val="auto"/>
              </w:rPr>
            </w:pPr>
            <w:r w:rsidRPr="006E0B6E">
              <w:rPr>
                <w:rFonts w:ascii="Arial" w:hAnsi="Arial" w:cs="Arial"/>
                <w:color w:val="auto"/>
              </w:rPr>
              <w:t>Inheritances</w:t>
            </w:r>
          </w:p>
        </w:tc>
        <w:tc>
          <w:tcPr>
            <w:tcW w:w="3213" w:type="dxa"/>
            <w:tcBorders>
              <w:bottom w:val="single" w:sz="4" w:space="0" w:color="B3B3B3"/>
            </w:tcBorders>
            <w:shd w:val="clear" w:color="000000" w:fill="auto"/>
            <w:vAlign w:val="bottom"/>
          </w:tcPr>
          <w:p w14:paraId="3DBC8A6F" w14:textId="402CE20F" w:rsidR="00543D1A" w:rsidRPr="006E0B6E" w:rsidRDefault="00543D1A" w:rsidP="00543D1A">
            <w:pPr>
              <w:pStyle w:val="TableHeading"/>
              <w:rPr>
                <w:rFonts w:ascii="Arial" w:hAnsi="Arial" w:cs="Arial"/>
                <w:color w:val="auto"/>
              </w:rPr>
            </w:pPr>
            <w:r w:rsidRPr="006E0B6E">
              <w:rPr>
                <w:rFonts w:ascii="Arial" w:hAnsi="Arial" w:cs="Arial"/>
                <w:color w:val="auto"/>
              </w:rPr>
              <w:t>Inheritances excluding the primary residence</w:t>
            </w:r>
          </w:p>
        </w:tc>
      </w:tr>
      <w:tr w:rsidR="003545C5" w:rsidRPr="006E0B6E" w14:paraId="24B8E901" w14:textId="77777777" w:rsidTr="006946C8">
        <w:tc>
          <w:tcPr>
            <w:tcW w:w="3212" w:type="dxa"/>
            <w:tcBorders>
              <w:top w:val="single" w:sz="4" w:space="0" w:color="B3B3B3"/>
              <w:bottom w:val="nil"/>
            </w:tcBorders>
            <w:shd w:val="clear" w:color="000000" w:fill="F2F2F2"/>
          </w:tcPr>
          <w:p w14:paraId="12CDC693" w14:textId="77777777" w:rsidR="003545C5" w:rsidRPr="006E0B6E" w:rsidRDefault="003545C5" w:rsidP="00B611A1">
            <w:pPr>
              <w:pStyle w:val="TableHeading"/>
              <w:rPr>
                <w:rFonts w:ascii="Arial" w:hAnsi="Arial" w:cs="Arial"/>
                <w:color w:val="auto"/>
              </w:rPr>
            </w:pPr>
          </w:p>
        </w:tc>
        <w:tc>
          <w:tcPr>
            <w:tcW w:w="3213" w:type="dxa"/>
            <w:tcBorders>
              <w:top w:val="single" w:sz="4" w:space="0" w:color="B3B3B3"/>
              <w:bottom w:val="nil"/>
            </w:tcBorders>
            <w:shd w:val="clear" w:color="000000" w:fill="F2F2F2"/>
            <w:vAlign w:val="bottom"/>
          </w:tcPr>
          <w:p w14:paraId="7B47AB59" w14:textId="64CF868E" w:rsidR="003545C5" w:rsidRPr="006E0B6E" w:rsidRDefault="003545C5" w:rsidP="00B611A1">
            <w:pPr>
              <w:pStyle w:val="TableBody"/>
              <w:spacing w:before="45" w:after="45"/>
              <w:ind w:right="108"/>
              <w:rPr>
                <w:rFonts w:ascii="Arial" w:hAnsi="Arial" w:cs="Arial"/>
                <w:szCs w:val="18"/>
              </w:rPr>
            </w:pPr>
            <w:r w:rsidRPr="006E0B6E">
              <w:rPr>
                <w:rFonts w:ascii="Arial" w:hAnsi="Arial" w:cs="Arial"/>
                <w:color w:val="000000"/>
              </w:rPr>
              <w:t>Value (billions of 2018 dollars)</w:t>
            </w:r>
          </w:p>
        </w:tc>
        <w:tc>
          <w:tcPr>
            <w:tcW w:w="3213" w:type="dxa"/>
            <w:tcBorders>
              <w:top w:val="single" w:sz="4" w:space="0" w:color="B3B3B3"/>
              <w:bottom w:val="nil"/>
            </w:tcBorders>
            <w:shd w:val="clear" w:color="000000" w:fill="F2F2F2"/>
            <w:vAlign w:val="bottom"/>
          </w:tcPr>
          <w:p w14:paraId="07856D25" w14:textId="0869E276" w:rsidR="003545C5" w:rsidRPr="006E0B6E" w:rsidRDefault="003545C5" w:rsidP="00B611A1">
            <w:pPr>
              <w:pStyle w:val="TableBody"/>
              <w:spacing w:before="45" w:after="45"/>
              <w:ind w:right="108"/>
              <w:rPr>
                <w:rFonts w:ascii="Arial" w:hAnsi="Arial" w:cs="Arial"/>
                <w:szCs w:val="18"/>
              </w:rPr>
            </w:pPr>
            <w:r w:rsidRPr="006E0B6E">
              <w:rPr>
                <w:rFonts w:ascii="Arial" w:hAnsi="Arial" w:cs="Arial"/>
                <w:color w:val="000000"/>
              </w:rPr>
              <w:t>Value (billions of 2018 dollars)</w:t>
            </w:r>
          </w:p>
        </w:tc>
      </w:tr>
      <w:tr w:rsidR="00B611A1" w:rsidRPr="006E0B6E" w14:paraId="36B66DB1" w14:textId="77777777" w:rsidTr="006946C8">
        <w:tc>
          <w:tcPr>
            <w:tcW w:w="3212" w:type="dxa"/>
            <w:tcBorders>
              <w:top w:val="single" w:sz="4" w:space="0" w:color="B3B3B3"/>
              <w:bottom w:val="nil"/>
            </w:tcBorders>
            <w:shd w:val="clear" w:color="000000" w:fill="F2F2F2"/>
          </w:tcPr>
          <w:p w14:paraId="75F344BD" w14:textId="449AE096" w:rsidR="00B611A1" w:rsidRPr="006E0B6E" w:rsidRDefault="00B611A1" w:rsidP="00B611A1">
            <w:pPr>
              <w:pStyle w:val="TableHeading"/>
              <w:rPr>
                <w:rFonts w:ascii="Arial" w:hAnsi="Arial" w:cs="Arial"/>
                <w:color w:val="auto"/>
              </w:rPr>
            </w:pPr>
            <w:r w:rsidRPr="006E0B6E">
              <w:rPr>
                <w:rFonts w:ascii="Arial" w:hAnsi="Arial" w:cs="Arial"/>
                <w:color w:val="auto"/>
              </w:rPr>
              <w:t>200</w:t>
            </w:r>
            <w:r w:rsidR="00694FA9" w:rsidRPr="006E0B6E">
              <w:rPr>
                <w:rFonts w:ascii="Arial" w:hAnsi="Arial" w:cs="Arial"/>
                <w:color w:val="auto"/>
              </w:rPr>
              <w:t>3</w:t>
            </w:r>
          </w:p>
        </w:tc>
        <w:tc>
          <w:tcPr>
            <w:tcW w:w="3213" w:type="dxa"/>
            <w:tcBorders>
              <w:top w:val="single" w:sz="4" w:space="0" w:color="B3B3B3"/>
              <w:bottom w:val="nil"/>
            </w:tcBorders>
            <w:shd w:val="clear" w:color="000000" w:fill="F2F2F2"/>
            <w:vAlign w:val="bottom"/>
          </w:tcPr>
          <w:p w14:paraId="10A0F362" w14:textId="697DB309" w:rsidR="00B611A1" w:rsidRPr="006E0B6E" w:rsidRDefault="00780F2A" w:rsidP="00B611A1">
            <w:pPr>
              <w:pStyle w:val="TableBody"/>
              <w:spacing w:before="45" w:after="45"/>
              <w:ind w:right="108"/>
              <w:rPr>
                <w:rFonts w:ascii="Arial" w:hAnsi="Arial" w:cs="Arial"/>
                <w:szCs w:val="18"/>
              </w:rPr>
            </w:pPr>
            <w:r w:rsidRPr="006E0B6E">
              <w:rPr>
                <w:rFonts w:ascii="Arial" w:hAnsi="Arial" w:cs="Arial"/>
                <w:szCs w:val="18"/>
              </w:rPr>
              <w:t>39.6</w:t>
            </w:r>
          </w:p>
        </w:tc>
        <w:tc>
          <w:tcPr>
            <w:tcW w:w="3213" w:type="dxa"/>
            <w:tcBorders>
              <w:top w:val="single" w:sz="4" w:space="0" w:color="B3B3B3"/>
              <w:bottom w:val="nil"/>
            </w:tcBorders>
            <w:shd w:val="clear" w:color="000000" w:fill="F2F2F2"/>
            <w:vAlign w:val="bottom"/>
          </w:tcPr>
          <w:p w14:paraId="09A5BFA9" w14:textId="605EC112" w:rsidR="00B611A1" w:rsidRPr="006E0B6E" w:rsidRDefault="000C377A" w:rsidP="00B611A1">
            <w:pPr>
              <w:pStyle w:val="TableBody"/>
              <w:spacing w:before="45" w:after="45"/>
              <w:ind w:right="108"/>
              <w:rPr>
                <w:rFonts w:ascii="Arial" w:hAnsi="Arial" w:cs="Arial"/>
                <w:szCs w:val="18"/>
              </w:rPr>
            </w:pPr>
            <w:r w:rsidRPr="006E0B6E">
              <w:rPr>
                <w:rFonts w:ascii="Arial" w:hAnsi="Arial" w:cs="Arial"/>
                <w:szCs w:val="18"/>
              </w:rPr>
              <w:t>22.4</w:t>
            </w:r>
          </w:p>
        </w:tc>
      </w:tr>
      <w:tr w:rsidR="00B611A1" w:rsidRPr="006E0B6E" w14:paraId="15445E94" w14:textId="77777777" w:rsidTr="006946C8">
        <w:tc>
          <w:tcPr>
            <w:tcW w:w="3212" w:type="dxa"/>
            <w:tcBorders>
              <w:top w:val="nil"/>
              <w:bottom w:val="nil"/>
            </w:tcBorders>
            <w:shd w:val="clear" w:color="000000" w:fill="auto"/>
          </w:tcPr>
          <w:p w14:paraId="0F9AFB17" w14:textId="22380F4F" w:rsidR="00B611A1" w:rsidRPr="006E0B6E" w:rsidRDefault="00B611A1" w:rsidP="00B611A1">
            <w:pPr>
              <w:pStyle w:val="TableHeading"/>
              <w:rPr>
                <w:rFonts w:ascii="Arial" w:hAnsi="Arial" w:cs="Arial"/>
                <w:color w:val="auto"/>
              </w:rPr>
            </w:pPr>
            <w:r w:rsidRPr="006E0B6E">
              <w:rPr>
                <w:rFonts w:ascii="Arial" w:hAnsi="Arial" w:cs="Arial"/>
                <w:color w:val="auto"/>
              </w:rPr>
              <w:t>200</w:t>
            </w:r>
            <w:r w:rsidR="00694FA9" w:rsidRPr="006E0B6E">
              <w:rPr>
                <w:rFonts w:ascii="Arial" w:hAnsi="Arial" w:cs="Arial"/>
                <w:color w:val="auto"/>
              </w:rPr>
              <w:t>7</w:t>
            </w:r>
          </w:p>
        </w:tc>
        <w:tc>
          <w:tcPr>
            <w:tcW w:w="3213" w:type="dxa"/>
            <w:tcBorders>
              <w:top w:val="nil"/>
              <w:bottom w:val="nil"/>
            </w:tcBorders>
            <w:shd w:val="clear" w:color="000000" w:fill="auto"/>
            <w:vAlign w:val="bottom"/>
          </w:tcPr>
          <w:p w14:paraId="479F6863" w14:textId="69C4FB9E" w:rsidR="00B611A1" w:rsidRPr="006E0B6E" w:rsidRDefault="00780F2A" w:rsidP="00B611A1">
            <w:pPr>
              <w:pStyle w:val="TableBody"/>
              <w:spacing w:before="45" w:after="45"/>
              <w:ind w:right="108"/>
              <w:rPr>
                <w:rFonts w:ascii="Arial" w:hAnsi="Arial" w:cs="Arial"/>
                <w:szCs w:val="18"/>
              </w:rPr>
            </w:pPr>
            <w:r w:rsidRPr="006E0B6E">
              <w:rPr>
                <w:rFonts w:ascii="Arial" w:hAnsi="Arial" w:cs="Arial"/>
                <w:szCs w:val="18"/>
              </w:rPr>
              <w:t>69.0</w:t>
            </w:r>
          </w:p>
        </w:tc>
        <w:tc>
          <w:tcPr>
            <w:tcW w:w="3213" w:type="dxa"/>
            <w:tcBorders>
              <w:top w:val="nil"/>
              <w:bottom w:val="nil"/>
            </w:tcBorders>
            <w:shd w:val="clear" w:color="000000" w:fill="auto"/>
            <w:vAlign w:val="bottom"/>
          </w:tcPr>
          <w:p w14:paraId="49747F4C" w14:textId="5F76BCDC" w:rsidR="00B611A1" w:rsidRPr="006E0B6E" w:rsidRDefault="000C377A" w:rsidP="00B611A1">
            <w:pPr>
              <w:pStyle w:val="TableBody"/>
              <w:spacing w:before="45" w:after="45"/>
              <w:ind w:right="108"/>
              <w:rPr>
                <w:rFonts w:ascii="Arial" w:hAnsi="Arial" w:cs="Arial"/>
                <w:szCs w:val="18"/>
              </w:rPr>
            </w:pPr>
            <w:r w:rsidRPr="006E0B6E">
              <w:rPr>
                <w:rFonts w:ascii="Arial" w:hAnsi="Arial" w:cs="Arial"/>
                <w:szCs w:val="18"/>
              </w:rPr>
              <w:t>37.9</w:t>
            </w:r>
          </w:p>
        </w:tc>
      </w:tr>
      <w:tr w:rsidR="00B611A1" w:rsidRPr="006E0B6E" w14:paraId="6A20496F" w14:textId="77777777" w:rsidTr="006946C8">
        <w:tc>
          <w:tcPr>
            <w:tcW w:w="3212" w:type="dxa"/>
            <w:shd w:val="clear" w:color="000000" w:fill="F2F2F2"/>
          </w:tcPr>
          <w:p w14:paraId="7AED10AE" w14:textId="0BC3DFAD" w:rsidR="00B611A1" w:rsidRPr="006E0B6E" w:rsidRDefault="00B611A1" w:rsidP="00B611A1">
            <w:pPr>
              <w:pStyle w:val="TableHeading"/>
              <w:rPr>
                <w:rFonts w:ascii="Arial" w:hAnsi="Arial" w:cs="Arial"/>
                <w:color w:val="auto"/>
              </w:rPr>
            </w:pPr>
            <w:r w:rsidRPr="006E0B6E">
              <w:rPr>
                <w:rFonts w:ascii="Arial" w:hAnsi="Arial" w:cs="Arial"/>
                <w:color w:val="auto"/>
              </w:rPr>
              <w:t>201</w:t>
            </w:r>
            <w:r w:rsidR="00694FA9" w:rsidRPr="006E0B6E">
              <w:rPr>
                <w:rFonts w:ascii="Arial" w:hAnsi="Arial" w:cs="Arial"/>
                <w:color w:val="auto"/>
              </w:rPr>
              <w:t>1</w:t>
            </w:r>
          </w:p>
        </w:tc>
        <w:tc>
          <w:tcPr>
            <w:tcW w:w="3213" w:type="dxa"/>
            <w:shd w:val="clear" w:color="000000" w:fill="F2F2F2"/>
            <w:vAlign w:val="bottom"/>
          </w:tcPr>
          <w:p w14:paraId="73A5D6E6" w14:textId="14FD9F67" w:rsidR="00B611A1" w:rsidRPr="006E0B6E" w:rsidRDefault="00780F2A" w:rsidP="00B611A1">
            <w:pPr>
              <w:pStyle w:val="TableBody"/>
              <w:spacing w:before="45" w:after="45"/>
              <w:ind w:right="108"/>
              <w:rPr>
                <w:rFonts w:ascii="Arial" w:hAnsi="Arial" w:cs="Arial"/>
                <w:szCs w:val="18"/>
              </w:rPr>
            </w:pPr>
            <w:r w:rsidRPr="006E0B6E">
              <w:rPr>
                <w:rFonts w:ascii="Arial" w:hAnsi="Arial" w:cs="Arial"/>
                <w:szCs w:val="18"/>
              </w:rPr>
              <w:t>46.3</w:t>
            </w:r>
          </w:p>
        </w:tc>
        <w:tc>
          <w:tcPr>
            <w:tcW w:w="3213" w:type="dxa"/>
            <w:shd w:val="clear" w:color="000000" w:fill="F2F2F2"/>
            <w:vAlign w:val="bottom"/>
          </w:tcPr>
          <w:p w14:paraId="3C3220C7" w14:textId="2DE53972" w:rsidR="00B611A1" w:rsidRPr="006E0B6E" w:rsidRDefault="000C377A" w:rsidP="00B611A1">
            <w:pPr>
              <w:pStyle w:val="TableBody"/>
              <w:spacing w:before="45" w:after="45"/>
              <w:ind w:right="108"/>
              <w:rPr>
                <w:rFonts w:ascii="Arial" w:hAnsi="Arial" w:cs="Arial"/>
                <w:szCs w:val="18"/>
              </w:rPr>
            </w:pPr>
            <w:r w:rsidRPr="006E0B6E">
              <w:rPr>
                <w:rFonts w:ascii="Arial" w:hAnsi="Arial" w:cs="Arial"/>
                <w:szCs w:val="18"/>
              </w:rPr>
              <w:t>24.8</w:t>
            </w:r>
          </w:p>
        </w:tc>
      </w:tr>
      <w:tr w:rsidR="00B611A1" w:rsidRPr="006E0B6E" w14:paraId="19F8BB1F" w14:textId="77777777" w:rsidTr="006946C8">
        <w:tc>
          <w:tcPr>
            <w:tcW w:w="3212" w:type="dxa"/>
            <w:shd w:val="clear" w:color="auto" w:fill="auto"/>
          </w:tcPr>
          <w:p w14:paraId="73AE0AAD" w14:textId="6CECBD38" w:rsidR="00B611A1" w:rsidRPr="006E0B6E" w:rsidRDefault="00B611A1" w:rsidP="00B611A1">
            <w:pPr>
              <w:pStyle w:val="TableHeading"/>
              <w:rPr>
                <w:rFonts w:ascii="Arial" w:hAnsi="Arial" w:cs="Arial"/>
                <w:color w:val="auto"/>
              </w:rPr>
            </w:pPr>
            <w:r w:rsidRPr="006E0B6E">
              <w:rPr>
                <w:rFonts w:ascii="Arial" w:hAnsi="Arial" w:cs="Arial"/>
                <w:color w:val="auto"/>
              </w:rPr>
              <w:t>201</w:t>
            </w:r>
            <w:r w:rsidR="00694FA9" w:rsidRPr="006E0B6E">
              <w:rPr>
                <w:rFonts w:ascii="Arial" w:hAnsi="Arial" w:cs="Arial"/>
                <w:color w:val="auto"/>
              </w:rPr>
              <w:t>5</w:t>
            </w:r>
          </w:p>
        </w:tc>
        <w:tc>
          <w:tcPr>
            <w:tcW w:w="3213" w:type="dxa"/>
            <w:shd w:val="clear" w:color="auto" w:fill="auto"/>
            <w:vAlign w:val="bottom"/>
          </w:tcPr>
          <w:p w14:paraId="76DC8981" w14:textId="7F4B2D94" w:rsidR="00B611A1" w:rsidRPr="006E0B6E" w:rsidRDefault="00780F2A" w:rsidP="00B611A1">
            <w:pPr>
              <w:pStyle w:val="TableBody"/>
              <w:spacing w:before="45" w:after="45"/>
              <w:ind w:right="108"/>
              <w:rPr>
                <w:rFonts w:ascii="Arial" w:hAnsi="Arial" w:cs="Arial"/>
                <w:szCs w:val="18"/>
              </w:rPr>
            </w:pPr>
            <w:r w:rsidRPr="006E0B6E">
              <w:rPr>
                <w:rFonts w:ascii="Arial" w:hAnsi="Arial" w:cs="Arial"/>
                <w:szCs w:val="18"/>
              </w:rPr>
              <w:t>64.4</w:t>
            </w:r>
          </w:p>
        </w:tc>
        <w:tc>
          <w:tcPr>
            <w:tcW w:w="3213" w:type="dxa"/>
            <w:shd w:val="clear" w:color="auto" w:fill="auto"/>
            <w:vAlign w:val="bottom"/>
          </w:tcPr>
          <w:p w14:paraId="0594010B" w14:textId="3017D374" w:rsidR="00B611A1" w:rsidRPr="006E0B6E" w:rsidRDefault="000C377A" w:rsidP="00B611A1">
            <w:pPr>
              <w:pStyle w:val="TableBody"/>
              <w:spacing w:before="45" w:after="45"/>
              <w:ind w:right="108"/>
              <w:rPr>
                <w:rFonts w:ascii="Arial" w:hAnsi="Arial" w:cs="Arial"/>
                <w:szCs w:val="18"/>
              </w:rPr>
            </w:pPr>
            <w:r w:rsidRPr="006E0B6E">
              <w:rPr>
                <w:rFonts w:ascii="Arial" w:hAnsi="Arial" w:cs="Arial"/>
                <w:szCs w:val="18"/>
              </w:rPr>
              <w:t>39.2</w:t>
            </w:r>
          </w:p>
        </w:tc>
      </w:tr>
    </w:tbl>
    <w:p w14:paraId="7C1BC91E" w14:textId="4B4A0327" w:rsidR="00233C5C"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0D9334F0" w14:textId="48D6B655" w:rsidR="00B611A1" w:rsidRPr="006E0B6E" w:rsidRDefault="006D6969" w:rsidP="00B611A1">
      <w:pPr>
        <w:pStyle w:val="FigureTableHeading"/>
        <w:rPr>
          <w:rFonts w:ascii="Arial" w:hAnsi="Arial" w:cs="Arial"/>
        </w:rPr>
      </w:pPr>
      <w:r w:rsidRPr="006E0B6E">
        <w:rPr>
          <w:rFonts w:ascii="Arial" w:hAnsi="Arial" w:cs="Arial"/>
        </w:rPr>
        <w:lastRenderedPageBreak/>
        <w:t xml:space="preserve">Table </w:t>
      </w:r>
      <w:r w:rsidRPr="006E0B6E">
        <w:rPr>
          <w:rFonts w:ascii="Arial" w:hAnsi="Arial" w:cs="Arial"/>
        </w:rPr>
        <w:fldChar w:fldCharType="begin"/>
      </w:r>
      <w:r w:rsidRPr="006E0B6E">
        <w:rPr>
          <w:rFonts w:ascii="Arial" w:hAnsi="Arial" w:cs="Arial"/>
        </w:rPr>
        <w:instrText xml:space="preserve"> SEQ Table \* ARABIC \s </w:instrText>
      </w:r>
      <w:r w:rsidR="007B2272" w:rsidRPr="006E0B6E">
        <w:rPr>
          <w:rFonts w:ascii="Arial" w:hAnsi="Arial" w:cs="Arial"/>
        </w:rPr>
        <w:instrText>1</w:instrText>
      </w:r>
      <w:r w:rsidRPr="006E0B6E">
        <w:rPr>
          <w:rFonts w:ascii="Arial" w:hAnsi="Arial" w:cs="Arial"/>
        </w:rPr>
        <w:instrText xml:space="preserve"> </w:instrText>
      </w:r>
      <w:r w:rsidRPr="006E0B6E">
        <w:rPr>
          <w:rFonts w:ascii="Arial" w:hAnsi="Arial" w:cs="Arial"/>
        </w:rPr>
        <w:fldChar w:fldCharType="separate"/>
      </w:r>
      <w:r w:rsidR="00FE0771">
        <w:rPr>
          <w:rFonts w:ascii="Arial" w:hAnsi="Arial" w:cs="Arial"/>
          <w:noProof/>
        </w:rPr>
        <w:t>8</w:t>
      </w:r>
      <w:r w:rsidRPr="006E0B6E">
        <w:rPr>
          <w:rFonts w:ascii="Arial" w:hAnsi="Arial" w:cs="Arial"/>
        </w:rPr>
        <w:fldChar w:fldCharType="end"/>
      </w:r>
      <w:r w:rsidR="00B611A1" w:rsidRPr="006E0B6E">
        <w:rPr>
          <w:rFonts w:ascii="Arial" w:hAnsi="Arial" w:cs="Arial"/>
          <w:noProof/>
        </w:rPr>
        <w:t xml:space="preserve"> – </w:t>
      </w:r>
      <w:r w:rsidR="00144D86" w:rsidRPr="006E0B6E">
        <w:rPr>
          <w:rFonts w:ascii="Arial" w:hAnsi="Arial" w:cs="Arial"/>
        </w:rPr>
        <w:t>Total inheritances bequeathed to the next generation</w:t>
      </w:r>
    </w:p>
    <w:p w14:paraId="3D714BF2" w14:textId="77777777" w:rsidR="00144D86" w:rsidRPr="006E0B6E" w:rsidRDefault="00144D86" w:rsidP="00144D86">
      <w:pPr>
        <w:pStyle w:val="FigureTableSubheading"/>
        <w:rPr>
          <w:rFonts w:ascii="Arial" w:hAnsi="Arial" w:cs="Arial"/>
        </w:rPr>
      </w:pPr>
      <w:r w:rsidRPr="006E0B6E">
        <w:rPr>
          <w:rFonts w:ascii="Arial" w:hAnsi="Arial" w:cs="Arial"/>
        </w:rPr>
        <w:t>Estimates based on the ‘outflow – actual deaths’ method</w:t>
      </w:r>
    </w:p>
    <w:tbl>
      <w:tblPr>
        <w:tblW w:w="9638"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212"/>
        <w:gridCol w:w="3213"/>
        <w:gridCol w:w="3213"/>
      </w:tblGrid>
      <w:tr w:rsidR="00543D1A" w:rsidRPr="006E0B6E" w14:paraId="07106614" w14:textId="77777777" w:rsidTr="00694FA9">
        <w:trPr>
          <w:tblHeader/>
        </w:trPr>
        <w:tc>
          <w:tcPr>
            <w:tcW w:w="3212" w:type="dxa"/>
            <w:tcBorders>
              <w:bottom w:val="single" w:sz="4" w:space="0" w:color="B3B3B3"/>
            </w:tcBorders>
            <w:shd w:val="clear" w:color="000000" w:fill="auto"/>
            <w:vAlign w:val="bottom"/>
          </w:tcPr>
          <w:p w14:paraId="562A8B63" w14:textId="77777777" w:rsidR="00543D1A" w:rsidRPr="006E0B6E" w:rsidRDefault="00543D1A" w:rsidP="00E04D36">
            <w:pPr>
              <w:pStyle w:val="TableHeading"/>
              <w:rPr>
                <w:rFonts w:ascii="Arial" w:hAnsi="Arial" w:cs="Arial"/>
              </w:rPr>
            </w:pPr>
            <w:r w:rsidRPr="006E0B6E">
              <w:rPr>
                <w:rFonts w:ascii="Arial" w:hAnsi="Arial" w:cs="Arial"/>
                <w:color w:val="auto"/>
              </w:rPr>
              <w:t>Year</w:t>
            </w:r>
          </w:p>
        </w:tc>
        <w:tc>
          <w:tcPr>
            <w:tcW w:w="3213" w:type="dxa"/>
            <w:tcBorders>
              <w:bottom w:val="single" w:sz="4" w:space="0" w:color="B3B3B3"/>
            </w:tcBorders>
            <w:shd w:val="clear" w:color="000000" w:fill="auto"/>
            <w:vAlign w:val="bottom"/>
          </w:tcPr>
          <w:p w14:paraId="393238C5" w14:textId="52DCDE7C" w:rsidR="00543D1A" w:rsidRPr="006E0B6E" w:rsidRDefault="00543D1A" w:rsidP="009A6E01">
            <w:pPr>
              <w:pStyle w:val="TableHeading"/>
              <w:rPr>
                <w:rFonts w:ascii="Arial" w:hAnsi="Arial" w:cs="Arial"/>
                <w:color w:val="auto"/>
              </w:rPr>
            </w:pPr>
            <w:r w:rsidRPr="006E0B6E">
              <w:rPr>
                <w:rFonts w:ascii="Arial" w:hAnsi="Arial" w:cs="Arial"/>
                <w:color w:val="auto"/>
              </w:rPr>
              <w:t>Inheritances</w:t>
            </w:r>
          </w:p>
        </w:tc>
        <w:tc>
          <w:tcPr>
            <w:tcW w:w="3213" w:type="dxa"/>
            <w:tcBorders>
              <w:bottom w:val="single" w:sz="4" w:space="0" w:color="B3B3B3"/>
            </w:tcBorders>
            <w:shd w:val="clear" w:color="000000" w:fill="auto"/>
            <w:vAlign w:val="bottom"/>
          </w:tcPr>
          <w:p w14:paraId="56B8B54E" w14:textId="6F8900D1" w:rsidR="00543D1A" w:rsidRPr="006E0B6E" w:rsidRDefault="00543D1A" w:rsidP="00543D1A">
            <w:pPr>
              <w:pStyle w:val="TableHeading"/>
              <w:rPr>
                <w:rFonts w:ascii="Arial" w:hAnsi="Arial" w:cs="Arial"/>
                <w:color w:val="auto"/>
              </w:rPr>
            </w:pPr>
            <w:r w:rsidRPr="006E0B6E">
              <w:rPr>
                <w:rFonts w:ascii="Arial" w:hAnsi="Arial" w:cs="Arial"/>
                <w:color w:val="auto"/>
              </w:rPr>
              <w:t>Inheritances excluding the primary residence</w:t>
            </w:r>
          </w:p>
        </w:tc>
      </w:tr>
      <w:tr w:rsidR="003545C5" w:rsidRPr="006E0B6E" w14:paraId="5A20A5A4" w14:textId="77777777" w:rsidTr="00EB6269">
        <w:tc>
          <w:tcPr>
            <w:tcW w:w="3212" w:type="dxa"/>
            <w:tcBorders>
              <w:top w:val="single" w:sz="4" w:space="0" w:color="B3B3B3"/>
              <w:bottom w:val="nil"/>
            </w:tcBorders>
            <w:shd w:val="clear" w:color="000000" w:fill="F2F2F2"/>
          </w:tcPr>
          <w:p w14:paraId="00E1316A" w14:textId="77777777" w:rsidR="003545C5" w:rsidRPr="006E0B6E" w:rsidRDefault="003545C5" w:rsidP="00B611A1">
            <w:pPr>
              <w:pStyle w:val="TableHeading"/>
              <w:rPr>
                <w:rFonts w:ascii="Arial" w:hAnsi="Arial" w:cs="Arial"/>
                <w:color w:val="auto"/>
              </w:rPr>
            </w:pPr>
          </w:p>
        </w:tc>
        <w:tc>
          <w:tcPr>
            <w:tcW w:w="3213" w:type="dxa"/>
            <w:tcBorders>
              <w:top w:val="single" w:sz="4" w:space="0" w:color="B3B3B3"/>
              <w:bottom w:val="nil"/>
            </w:tcBorders>
            <w:shd w:val="clear" w:color="000000" w:fill="F2F2F2"/>
            <w:vAlign w:val="bottom"/>
          </w:tcPr>
          <w:p w14:paraId="5A316B27" w14:textId="317F7040" w:rsidR="003545C5" w:rsidRPr="006E0B6E" w:rsidRDefault="003545C5" w:rsidP="00B611A1">
            <w:pPr>
              <w:pStyle w:val="TableBody"/>
              <w:spacing w:before="45" w:after="45"/>
              <w:ind w:right="108"/>
              <w:rPr>
                <w:rFonts w:ascii="Arial" w:hAnsi="Arial" w:cs="Arial"/>
                <w:szCs w:val="18"/>
              </w:rPr>
            </w:pPr>
            <w:r w:rsidRPr="006E0B6E">
              <w:rPr>
                <w:rFonts w:ascii="Arial" w:hAnsi="Arial" w:cs="Arial"/>
                <w:color w:val="000000"/>
              </w:rPr>
              <w:t>Value (billions of 2018 dollars)</w:t>
            </w:r>
          </w:p>
        </w:tc>
        <w:tc>
          <w:tcPr>
            <w:tcW w:w="3213" w:type="dxa"/>
            <w:tcBorders>
              <w:top w:val="single" w:sz="4" w:space="0" w:color="B3B3B3"/>
              <w:bottom w:val="nil"/>
            </w:tcBorders>
            <w:shd w:val="clear" w:color="000000" w:fill="F2F2F2"/>
            <w:vAlign w:val="bottom"/>
          </w:tcPr>
          <w:p w14:paraId="34E8981F" w14:textId="010221C4" w:rsidR="003545C5" w:rsidRPr="006E0B6E" w:rsidRDefault="003545C5" w:rsidP="00B611A1">
            <w:pPr>
              <w:pStyle w:val="TableBody"/>
              <w:spacing w:before="45" w:after="45"/>
              <w:ind w:right="108"/>
              <w:rPr>
                <w:rFonts w:ascii="Arial" w:hAnsi="Arial" w:cs="Arial"/>
                <w:szCs w:val="18"/>
              </w:rPr>
            </w:pPr>
            <w:r w:rsidRPr="006E0B6E">
              <w:rPr>
                <w:rFonts w:ascii="Arial" w:hAnsi="Arial" w:cs="Arial"/>
                <w:color w:val="000000"/>
              </w:rPr>
              <w:t>Value (billions of 2018 dollars)</w:t>
            </w:r>
          </w:p>
        </w:tc>
      </w:tr>
      <w:tr w:rsidR="00B611A1" w:rsidRPr="006E0B6E" w14:paraId="728ECEE7" w14:textId="77777777" w:rsidTr="00EB6269">
        <w:tc>
          <w:tcPr>
            <w:tcW w:w="3212" w:type="dxa"/>
            <w:tcBorders>
              <w:top w:val="single" w:sz="4" w:space="0" w:color="B3B3B3"/>
              <w:bottom w:val="nil"/>
            </w:tcBorders>
            <w:shd w:val="clear" w:color="000000" w:fill="F2F2F2"/>
          </w:tcPr>
          <w:p w14:paraId="1B28C098" w14:textId="67C8FC0B" w:rsidR="00B611A1" w:rsidRPr="006E0B6E" w:rsidRDefault="00B611A1" w:rsidP="00B611A1">
            <w:pPr>
              <w:pStyle w:val="TableHeading"/>
              <w:rPr>
                <w:rFonts w:ascii="Arial" w:hAnsi="Arial" w:cs="Arial"/>
                <w:color w:val="auto"/>
              </w:rPr>
            </w:pPr>
            <w:r w:rsidRPr="006E0B6E">
              <w:rPr>
                <w:rFonts w:ascii="Arial" w:hAnsi="Arial" w:cs="Arial"/>
                <w:color w:val="auto"/>
              </w:rPr>
              <w:t>200</w:t>
            </w:r>
            <w:r w:rsidR="00694FA9" w:rsidRPr="006E0B6E">
              <w:rPr>
                <w:rFonts w:ascii="Arial" w:hAnsi="Arial" w:cs="Arial"/>
                <w:color w:val="auto"/>
              </w:rPr>
              <w:t>3</w:t>
            </w:r>
          </w:p>
        </w:tc>
        <w:tc>
          <w:tcPr>
            <w:tcW w:w="3213" w:type="dxa"/>
            <w:tcBorders>
              <w:top w:val="single" w:sz="4" w:space="0" w:color="B3B3B3"/>
              <w:bottom w:val="nil"/>
            </w:tcBorders>
            <w:shd w:val="clear" w:color="000000" w:fill="F2F2F2"/>
            <w:vAlign w:val="bottom"/>
          </w:tcPr>
          <w:p w14:paraId="05714AF5" w14:textId="25A9BBCB" w:rsidR="00B611A1" w:rsidRPr="006E0B6E" w:rsidRDefault="00BD7147" w:rsidP="00B611A1">
            <w:pPr>
              <w:pStyle w:val="TableBody"/>
              <w:spacing w:before="45" w:after="45"/>
              <w:ind w:right="108"/>
              <w:rPr>
                <w:rFonts w:ascii="Arial" w:hAnsi="Arial" w:cs="Arial"/>
                <w:szCs w:val="18"/>
              </w:rPr>
            </w:pPr>
            <w:r w:rsidRPr="006E0B6E">
              <w:rPr>
                <w:rFonts w:ascii="Arial" w:hAnsi="Arial" w:cs="Arial"/>
                <w:szCs w:val="18"/>
              </w:rPr>
              <w:t>19.1</w:t>
            </w:r>
          </w:p>
        </w:tc>
        <w:tc>
          <w:tcPr>
            <w:tcW w:w="3213" w:type="dxa"/>
            <w:tcBorders>
              <w:top w:val="single" w:sz="4" w:space="0" w:color="B3B3B3"/>
              <w:bottom w:val="nil"/>
            </w:tcBorders>
            <w:shd w:val="clear" w:color="000000" w:fill="F2F2F2"/>
            <w:vAlign w:val="bottom"/>
          </w:tcPr>
          <w:p w14:paraId="66555445" w14:textId="7AE3FF61" w:rsidR="00B611A1" w:rsidRPr="006E0B6E" w:rsidRDefault="005C547E" w:rsidP="00B611A1">
            <w:pPr>
              <w:pStyle w:val="TableBody"/>
              <w:spacing w:before="45" w:after="45"/>
              <w:ind w:right="108"/>
              <w:rPr>
                <w:rFonts w:ascii="Arial" w:hAnsi="Arial" w:cs="Arial"/>
                <w:szCs w:val="18"/>
              </w:rPr>
            </w:pPr>
            <w:r w:rsidRPr="006E0B6E">
              <w:rPr>
                <w:rFonts w:ascii="Arial" w:hAnsi="Arial" w:cs="Arial"/>
                <w:szCs w:val="18"/>
              </w:rPr>
              <w:t>6.1</w:t>
            </w:r>
          </w:p>
        </w:tc>
      </w:tr>
      <w:tr w:rsidR="00B611A1" w:rsidRPr="006E0B6E" w14:paraId="4CEC8EE8" w14:textId="77777777" w:rsidTr="00EB6269">
        <w:tc>
          <w:tcPr>
            <w:tcW w:w="3212" w:type="dxa"/>
            <w:tcBorders>
              <w:top w:val="nil"/>
              <w:bottom w:val="nil"/>
            </w:tcBorders>
            <w:shd w:val="clear" w:color="000000" w:fill="auto"/>
          </w:tcPr>
          <w:p w14:paraId="6BA46D13" w14:textId="7CFED60D" w:rsidR="00B611A1" w:rsidRPr="006E0B6E" w:rsidRDefault="00B611A1" w:rsidP="00B611A1">
            <w:pPr>
              <w:pStyle w:val="TableHeading"/>
              <w:rPr>
                <w:rFonts w:ascii="Arial" w:hAnsi="Arial" w:cs="Arial"/>
                <w:color w:val="auto"/>
              </w:rPr>
            </w:pPr>
            <w:r w:rsidRPr="006E0B6E">
              <w:rPr>
                <w:rFonts w:ascii="Arial" w:hAnsi="Arial" w:cs="Arial"/>
                <w:color w:val="auto"/>
              </w:rPr>
              <w:t>200</w:t>
            </w:r>
            <w:r w:rsidR="00694FA9" w:rsidRPr="006E0B6E">
              <w:rPr>
                <w:rFonts w:ascii="Arial" w:hAnsi="Arial" w:cs="Arial"/>
                <w:color w:val="auto"/>
              </w:rPr>
              <w:t>7</w:t>
            </w:r>
          </w:p>
        </w:tc>
        <w:tc>
          <w:tcPr>
            <w:tcW w:w="3213" w:type="dxa"/>
            <w:tcBorders>
              <w:top w:val="nil"/>
              <w:bottom w:val="nil"/>
            </w:tcBorders>
            <w:shd w:val="clear" w:color="000000" w:fill="auto"/>
            <w:vAlign w:val="bottom"/>
          </w:tcPr>
          <w:p w14:paraId="1DF9672B" w14:textId="49AECFB8" w:rsidR="00B611A1" w:rsidRPr="006E0B6E" w:rsidRDefault="00BD7147" w:rsidP="00B611A1">
            <w:pPr>
              <w:pStyle w:val="TableBody"/>
              <w:spacing w:before="45" w:after="45"/>
              <w:ind w:right="108"/>
              <w:rPr>
                <w:rFonts w:ascii="Arial" w:hAnsi="Arial" w:cs="Arial"/>
                <w:szCs w:val="18"/>
              </w:rPr>
            </w:pPr>
            <w:r w:rsidRPr="006E0B6E">
              <w:rPr>
                <w:rFonts w:ascii="Arial" w:hAnsi="Arial" w:cs="Arial"/>
                <w:szCs w:val="18"/>
              </w:rPr>
              <w:t>37.2</w:t>
            </w:r>
          </w:p>
        </w:tc>
        <w:tc>
          <w:tcPr>
            <w:tcW w:w="3213" w:type="dxa"/>
            <w:tcBorders>
              <w:top w:val="nil"/>
              <w:bottom w:val="nil"/>
            </w:tcBorders>
            <w:shd w:val="clear" w:color="000000" w:fill="auto"/>
            <w:vAlign w:val="bottom"/>
          </w:tcPr>
          <w:p w14:paraId="03F79A71" w14:textId="192E3A15" w:rsidR="00B611A1" w:rsidRPr="006E0B6E" w:rsidRDefault="005C547E" w:rsidP="00B611A1">
            <w:pPr>
              <w:pStyle w:val="TableBody"/>
              <w:spacing w:before="45" w:after="45"/>
              <w:ind w:right="108"/>
              <w:rPr>
                <w:rFonts w:ascii="Arial" w:hAnsi="Arial" w:cs="Arial"/>
                <w:szCs w:val="18"/>
              </w:rPr>
            </w:pPr>
            <w:r w:rsidRPr="006E0B6E">
              <w:rPr>
                <w:rFonts w:ascii="Arial" w:hAnsi="Arial" w:cs="Arial"/>
                <w:szCs w:val="18"/>
              </w:rPr>
              <w:t>21.8</w:t>
            </w:r>
          </w:p>
        </w:tc>
      </w:tr>
      <w:tr w:rsidR="00B611A1" w:rsidRPr="006E0B6E" w14:paraId="287CC93D" w14:textId="77777777" w:rsidTr="00EB6269">
        <w:tc>
          <w:tcPr>
            <w:tcW w:w="3212" w:type="dxa"/>
            <w:shd w:val="clear" w:color="000000" w:fill="F2F2F2"/>
          </w:tcPr>
          <w:p w14:paraId="2A333A6A" w14:textId="1A701C55" w:rsidR="00B611A1" w:rsidRPr="006E0B6E" w:rsidRDefault="00B611A1" w:rsidP="00B611A1">
            <w:pPr>
              <w:pStyle w:val="TableHeading"/>
              <w:rPr>
                <w:rFonts w:ascii="Arial" w:hAnsi="Arial" w:cs="Arial"/>
                <w:color w:val="auto"/>
              </w:rPr>
            </w:pPr>
            <w:r w:rsidRPr="006E0B6E">
              <w:rPr>
                <w:rFonts w:ascii="Arial" w:hAnsi="Arial" w:cs="Arial"/>
                <w:color w:val="auto"/>
              </w:rPr>
              <w:t>201</w:t>
            </w:r>
            <w:r w:rsidR="00694FA9" w:rsidRPr="006E0B6E">
              <w:rPr>
                <w:rFonts w:ascii="Arial" w:hAnsi="Arial" w:cs="Arial"/>
                <w:color w:val="auto"/>
              </w:rPr>
              <w:t>1</w:t>
            </w:r>
          </w:p>
        </w:tc>
        <w:tc>
          <w:tcPr>
            <w:tcW w:w="3213" w:type="dxa"/>
            <w:shd w:val="clear" w:color="000000" w:fill="F2F2F2"/>
            <w:vAlign w:val="bottom"/>
          </w:tcPr>
          <w:p w14:paraId="0A54D013" w14:textId="541CC0CC" w:rsidR="00B611A1" w:rsidRPr="006E0B6E" w:rsidRDefault="00BD7147" w:rsidP="00B611A1">
            <w:pPr>
              <w:pStyle w:val="TableBody"/>
              <w:spacing w:before="45" w:after="45"/>
              <w:ind w:right="108"/>
              <w:rPr>
                <w:rFonts w:ascii="Arial" w:hAnsi="Arial" w:cs="Arial"/>
                <w:szCs w:val="18"/>
              </w:rPr>
            </w:pPr>
            <w:r w:rsidRPr="006E0B6E">
              <w:rPr>
                <w:rFonts w:ascii="Arial" w:hAnsi="Arial" w:cs="Arial"/>
                <w:szCs w:val="18"/>
              </w:rPr>
              <w:t>26.3</w:t>
            </w:r>
          </w:p>
        </w:tc>
        <w:tc>
          <w:tcPr>
            <w:tcW w:w="3213" w:type="dxa"/>
            <w:shd w:val="clear" w:color="000000" w:fill="F2F2F2"/>
            <w:vAlign w:val="bottom"/>
          </w:tcPr>
          <w:p w14:paraId="72BF1B07" w14:textId="784B43C7" w:rsidR="00B611A1" w:rsidRPr="006E0B6E" w:rsidRDefault="005C547E" w:rsidP="00B611A1">
            <w:pPr>
              <w:pStyle w:val="TableBody"/>
              <w:spacing w:before="45" w:after="45"/>
              <w:ind w:right="108"/>
              <w:rPr>
                <w:rFonts w:ascii="Arial" w:hAnsi="Arial" w:cs="Arial"/>
                <w:szCs w:val="18"/>
              </w:rPr>
            </w:pPr>
            <w:r w:rsidRPr="006E0B6E">
              <w:rPr>
                <w:rFonts w:ascii="Arial" w:hAnsi="Arial" w:cs="Arial"/>
                <w:szCs w:val="18"/>
              </w:rPr>
              <w:t>13.9</w:t>
            </w:r>
          </w:p>
        </w:tc>
      </w:tr>
      <w:tr w:rsidR="00B611A1" w:rsidRPr="006E0B6E" w14:paraId="44DDC27D" w14:textId="77777777" w:rsidTr="00EB6269">
        <w:tc>
          <w:tcPr>
            <w:tcW w:w="3212" w:type="dxa"/>
            <w:shd w:val="clear" w:color="auto" w:fill="auto"/>
          </w:tcPr>
          <w:p w14:paraId="56410000" w14:textId="2581B708" w:rsidR="00B611A1" w:rsidRPr="006E0B6E" w:rsidRDefault="00B611A1" w:rsidP="00B611A1">
            <w:pPr>
              <w:pStyle w:val="TableHeading"/>
              <w:rPr>
                <w:rFonts w:ascii="Arial" w:hAnsi="Arial" w:cs="Arial"/>
                <w:color w:val="auto"/>
              </w:rPr>
            </w:pPr>
            <w:r w:rsidRPr="006E0B6E">
              <w:rPr>
                <w:rFonts w:ascii="Arial" w:hAnsi="Arial" w:cs="Arial"/>
                <w:color w:val="auto"/>
              </w:rPr>
              <w:t>201</w:t>
            </w:r>
            <w:r w:rsidR="00694FA9" w:rsidRPr="006E0B6E">
              <w:rPr>
                <w:rFonts w:ascii="Arial" w:hAnsi="Arial" w:cs="Arial"/>
                <w:color w:val="auto"/>
              </w:rPr>
              <w:t>5</w:t>
            </w:r>
          </w:p>
        </w:tc>
        <w:tc>
          <w:tcPr>
            <w:tcW w:w="3213" w:type="dxa"/>
            <w:shd w:val="clear" w:color="auto" w:fill="auto"/>
            <w:vAlign w:val="bottom"/>
          </w:tcPr>
          <w:p w14:paraId="16A9EDD9" w14:textId="6F1DA71A" w:rsidR="00B611A1" w:rsidRPr="006E0B6E" w:rsidRDefault="00BD7147" w:rsidP="00B611A1">
            <w:pPr>
              <w:pStyle w:val="TableBody"/>
              <w:spacing w:before="45" w:after="45"/>
              <w:ind w:right="108"/>
              <w:rPr>
                <w:rFonts w:ascii="Arial" w:hAnsi="Arial" w:cs="Arial"/>
                <w:szCs w:val="18"/>
              </w:rPr>
            </w:pPr>
            <w:r w:rsidRPr="006E0B6E">
              <w:rPr>
                <w:rFonts w:ascii="Arial" w:hAnsi="Arial" w:cs="Arial"/>
                <w:szCs w:val="18"/>
              </w:rPr>
              <w:t>30.8</w:t>
            </w:r>
          </w:p>
        </w:tc>
        <w:tc>
          <w:tcPr>
            <w:tcW w:w="3213" w:type="dxa"/>
            <w:shd w:val="clear" w:color="auto" w:fill="auto"/>
            <w:vAlign w:val="bottom"/>
          </w:tcPr>
          <w:p w14:paraId="10165C40" w14:textId="525DC1DB" w:rsidR="00B611A1" w:rsidRPr="006E0B6E" w:rsidRDefault="005C547E" w:rsidP="00B611A1">
            <w:pPr>
              <w:pStyle w:val="TableBody"/>
              <w:spacing w:before="45" w:after="45"/>
              <w:ind w:right="108"/>
              <w:rPr>
                <w:rFonts w:ascii="Arial" w:hAnsi="Arial" w:cs="Arial"/>
                <w:szCs w:val="18"/>
              </w:rPr>
            </w:pPr>
            <w:r w:rsidRPr="006E0B6E">
              <w:rPr>
                <w:rFonts w:ascii="Arial" w:hAnsi="Arial" w:cs="Arial"/>
                <w:szCs w:val="18"/>
              </w:rPr>
              <w:t>19.4</w:t>
            </w:r>
          </w:p>
        </w:tc>
      </w:tr>
    </w:tbl>
    <w:p w14:paraId="3CB2B765" w14:textId="15DFF1C0" w:rsidR="00E256A7" w:rsidRPr="006E0B6E" w:rsidRDefault="00233C5C" w:rsidP="00233C5C">
      <w:pPr>
        <w:pStyle w:val="Source"/>
        <w:rPr>
          <w:rFonts w:cs="Arial"/>
        </w:rPr>
      </w:pPr>
      <w:r w:rsidRPr="006E0B6E">
        <w:rPr>
          <w:rFonts w:cs="Arial"/>
        </w:rPr>
        <w:t>Source: Productivity Commission estimates based on HILDA Restricted Release 19</w:t>
      </w:r>
      <w:r w:rsidR="005A59B4" w:rsidRPr="006E0B6E">
        <w:rPr>
          <w:rFonts w:cs="Arial"/>
        </w:rPr>
        <w:t>.</w:t>
      </w:r>
    </w:p>
    <w:p w14:paraId="05E97C9E" w14:textId="588E6801" w:rsidR="00EF020C" w:rsidRPr="006E0B6E" w:rsidRDefault="00EF020C" w:rsidP="00EF020C">
      <w:pPr>
        <w:pStyle w:val="FigureTableHeading"/>
        <w:rPr>
          <w:rFonts w:ascii="Arial" w:hAnsi="Arial" w:cs="Arial"/>
        </w:rPr>
      </w:pPr>
      <w:r w:rsidRPr="006E0B6E">
        <w:rPr>
          <w:rFonts w:ascii="Arial" w:hAnsi="Arial" w:cs="Arial"/>
        </w:rPr>
        <w:t>Figure</w:t>
      </w:r>
      <w:r w:rsidR="00866E90" w:rsidRPr="006E0B6E">
        <w:rPr>
          <w:rFonts w:ascii="Arial" w:hAnsi="Arial" w:cs="Arial"/>
        </w:rPr>
        <w:t xml:space="preserve"> </w:t>
      </w:r>
      <w:r w:rsidR="00831182" w:rsidRPr="006E0B6E">
        <w:rPr>
          <w:rFonts w:ascii="Arial" w:hAnsi="Arial" w:cs="Arial"/>
        </w:rPr>
        <w:t>1</w:t>
      </w:r>
      <w:r w:rsidRPr="006E0B6E">
        <w:rPr>
          <w:rFonts w:ascii="Arial" w:hAnsi="Arial" w:cs="Arial"/>
          <w:noProof/>
        </w:rPr>
        <w:t xml:space="preserve"> </w:t>
      </w:r>
      <w:r w:rsidRPr="006E0B6E">
        <w:rPr>
          <w:rFonts w:ascii="Arial" w:hAnsi="Arial" w:cs="Arial"/>
        </w:rPr>
        <w:t xml:space="preserve">– </w:t>
      </w:r>
      <w:r w:rsidR="00B8034E" w:rsidRPr="006E0B6E">
        <w:rPr>
          <w:rFonts w:ascii="Arial" w:hAnsi="Arial" w:cs="Arial"/>
        </w:rPr>
        <w:t>C</w:t>
      </w:r>
      <w:r w:rsidR="00A84AD6" w:rsidRPr="006E0B6E">
        <w:rPr>
          <w:rFonts w:ascii="Arial" w:hAnsi="Arial" w:cs="Arial"/>
        </w:rPr>
        <w:t xml:space="preserve">omparison of </w:t>
      </w:r>
      <w:r w:rsidR="00D06AA5" w:rsidRPr="006E0B6E">
        <w:rPr>
          <w:rFonts w:ascii="Arial" w:hAnsi="Arial" w:cs="Arial"/>
        </w:rPr>
        <w:t>‘</w:t>
      </w:r>
      <w:r w:rsidR="005232DA" w:rsidRPr="006E0B6E">
        <w:rPr>
          <w:rFonts w:ascii="Arial" w:hAnsi="Arial" w:cs="Arial"/>
        </w:rPr>
        <w:t xml:space="preserve">expected </w:t>
      </w:r>
      <w:r w:rsidR="00D06AA5" w:rsidRPr="006E0B6E">
        <w:rPr>
          <w:rFonts w:ascii="Arial" w:hAnsi="Arial" w:cs="Arial"/>
        </w:rPr>
        <w:t>deaths’</w:t>
      </w:r>
      <w:r w:rsidR="005232DA" w:rsidRPr="006E0B6E">
        <w:rPr>
          <w:rFonts w:ascii="Arial" w:hAnsi="Arial" w:cs="Arial"/>
        </w:rPr>
        <w:t xml:space="preserve"> and </w:t>
      </w:r>
      <w:r w:rsidR="00D06AA5" w:rsidRPr="006E0B6E">
        <w:rPr>
          <w:rFonts w:ascii="Arial" w:hAnsi="Arial" w:cs="Arial"/>
        </w:rPr>
        <w:t>‘</w:t>
      </w:r>
      <w:r w:rsidR="005232DA" w:rsidRPr="006E0B6E">
        <w:rPr>
          <w:rFonts w:ascii="Arial" w:hAnsi="Arial" w:cs="Arial"/>
        </w:rPr>
        <w:t>actual deaths</w:t>
      </w:r>
      <w:r w:rsidR="00D06AA5" w:rsidRPr="006E0B6E">
        <w:rPr>
          <w:rFonts w:ascii="Arial" w:hAnsi="Arial" w:cs="Arial"/>
        </w:rPr>
        <w:t>’</w:t>
      </w:r>
      <w:r w:rsidR="005232DA" w:rsidRPr="006E0B6E">
        <w:rPr>
          <w:rFonts w:ascii="Arial" w:hAnsi="Arial" w:cs="Arial"/>
        </w:rPr>
        <w:t xml:space="preserve"> approaches</w:t>
      </w:r>
      <w:r w:rsidR="006728A2" w:rsidRPr="006E0B6E">
        <w:rPr>
          <w:rFonts w:ascii="Arial" w:hAnsi="Arial" w:cs="Arial"/>
        </w:rPr>
        <w:t xml:space="preserve"> for inheritances excluding the primary residence</w:t>
      </w:r>
    </w:p>
    <w:p w14:paraId="6541AD88" w14:textId="1DA80EC8" w:rsidR="00EF020C" w:rsidRPr="006E0B6E" w:rsidRDefault="00EF020C" w:rsidP="00EF020C">
      <w:pPr>
        <w:pStyle w:val="Note"/>
        <w:keepLines/>
        <w:rPr>
          <w:rFonts w:cs="Arial"/>
        </w:rPr>
      </w:pPr>
      <w:r w:rsidRPr="006E0B6E">
        <w:rPr>
          <w:rFonts w:cs="Arial"/>
          <w:noProof/>
        </w:rPr>
        <w:drawing>
          <wp:inline distT="0" distB="0" distL="0" distR="0" wp14:anchorId="75514543" wp14:editId="009F2460">
            <wp:extent cx="6120130" cy="2873375"/>
            <wp:effectExtent l="0" t="0" r="0" b="0"/>
            <wp:docPr id="2" name="Picture 2" descr="Figure 1: This chart shows 4 lines. The first 2 lines compare the value of total inheritances and the 3rd and 4th lines show the value of inheritances that go from one generation to the next.  Each pair compares estimates using an 'expected deaths' approach and an 'actual deaths' approach. Each line shows that the value of inheritances is rising through time, on a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This chart shows 4 lines. The first 2 lines compare the value of total inheritances and the 3rd and 4th lines show the value of inheritances that go from one generation to the next.  Each pair compares estimates using an 'expected deaths' approach and an 'actual deaths' approach. Each line shows that the value of inheritances is rising through time, on aver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2873375"/>
                    </a:xfrm>
                    <a:prstGeom prst="rect">
                      <a:avLst/>
                    </a:prstGeom>
                    <a:noFill/>
                    <a:ln>
                      <a:noFill/>
                    </a:ln>
                  </pic:spPr>
                </pic:pic>
              </a:graphicData>
            </a:graphic>
          </wp:inline>
        </w:drawing>
      </w:r>
    </w:p>
    <w:p w14:paraId="23BEAE9D" w14:textId="77777777" w:rsidR="008A1EE2" w:rsidRPr="006E0B6E" w:rsidRDefault="008A1EE2" w:rsidP="008A1EE2">
      <w:pPr>
        <w:pStyle w:val="Source"/>
        <w:rPr>
          <w:rFonts w:cs="Arial"/>
        </w:rPr>
      </w:pPr>
      <w:r w:rsidRPr="006E0B6E">
        <w:rPr>
          <w:rFonts w:cs="Arial"/>
        </w:rPr>
        <w:t>Source: Productivity Commission estimates based on HILDA Restricted Release 19.</w:t>
      </w:r>
    </w:p>
    <w:p w14:paraId="5968A8EF" w14:textId="77777777" w:rsidR="0026780F" w:rsidRPr="006E0B6E" w:rsidRDefault="0026780F">
      <w:pPr>
        <w:rPr>
          <w:rFonts w:eastAsiaTheme="majorEastAsia" w:cs="Arial"/>
          <w:color w:val="597923" w:themeColor="accent1" w:themeShade="BF"/>
          <w:sz w:val="26"/>
          <w:szCs w:val="26"/>
        </w:rPr>
      </w:pPr>
      <w:r w:rsidRPr="006E0B6E">
        <w:rPr>
          <w:rFonts w:cs="Arial"/>
        </w:rPr>
        <w:br w:type="page"/>
      </w:r>
    </w:p>
    <w:p w14:paraId="0A1E9001" w14:textId="40FA324E" w:rsidR="002D737B" w:rsidRPr="006E0B6E" w:rsidRDefault="002D737B" w:rsidP="002D737B">
      <w:pPr>
        <w:pStyle w:val="Heading2"/>
        <w:rPr>
          <w:rFonts w:cs="Arial"/>
        </w:rPr>
      </w:pPr>
      <w:r w:rsidRPr="006E0B6E">
        <w:rPr>
          <w:rFonts w:cs="Arial"/>
        </w:rPr>
        <w:lastRenderedPageBreak/>
        <w:t>Request 3: How many households in each quintile of the wealth distribution left inheritances, and what was the value of the inheritances that they left?</w:t>
      </w:r>
    </w:p>
    <w:p w14:paraId="51871AB4" w14:textId="77777777" w:rsidR="002D737B" w:rsidRPr="006E0B6E" w:rsidRDefault="002D737B" w:rsidP="002D737B">
      <w:pPr>
        <w:rPr>
          <w:rFonts w:cs="Arial"/>
        </w:rPr>
      </w:pPr>
      <w:r w:rsidRPr="006E0B6E">
        <w:rPr>
          <w:rFonts w:cs="Arial"/>
        </w:rPr>
        <w:t xml:space="preserve">The Commission has estimated these statistics using both the ‘outflow – expected deaths’ approach and the ‘outflow – actual deaths’ approach (see the response to request 2 for a brief explanation of these approaches, and chapter 1 and appendix A of WTEE for more information). </w:t>
      </w:r>
      <w:r w:rsidRPr="006E0B6E">
        <w:rPr>
          <w:rFonts w:cs="Arial"/>
          <w:b/>
          <w:bCs/>
        </w:rPr>
        <w:t>As such, the limitations of each approach outlined in the response to request 2 apply to this response as well.</w:t>
      </w:r>
      <w:r w:rsidRPr="006E0B6E">
        <w:rPr>
          <w:rFonts w:cs="Arial"/>
        </w:rPr>
        <w:t xml:space="preserve"> </w:t>
      </w:r>
    </w:p>
    <w:p w14:paraId="471848E7" w14:textId="77777777" w:rsidR="002D737B" w:rsidRPr="006E0B6E" w:rsidRDefault="002D737B" w:rsidP="002D737B">
      <w:pPr>
        <w:rPr>
          <w:rFonts w:cs="Arial"/>
        </w:rPr>
      </w:pPr>
      <w:r w:rsidRPr="006E0B6E">
        <w:rPr>
          <w:rFonts w:cs="Arial"/>
        </w:rPr>
        <w:t>As in the response to request 2 (and in WTEE), estimates derived using the ‘outflow – expected deaths’ approach are the primary estimates, with those derived using the ‘outflow – actual deaths’ approach supplied as robustness checks. In this instance, the ‘outflow – actual deaths’ estimates are particularly imprecise relative to the ‘outflow – expected deaths’ estimates, because they are based on small numbers of observations (shown in the tables below).</w:t>
      </w:r>
      <w:r w:rsidRPr="006E0B6E">
        <w:rPr>
          <w:rStyle w:val="FootnoteReference"/>
          <w:rFonts w:cs="Arial"/>
        </w:rPr>
        <w:footnoteReference w:id="2"/>
      </w:r>
      <w:r w:rsidRPr="006E0B6E">
        <w:rPr>
          <w:rFonts w:cs="Arial"/>
        </w:rPr>
        <w:t xml:space="preserve"> (For the same reason, the ‘outflow – expected deaths’ estimates are also less precise than those of the response to request 2 and WTEE.)</w:t>
      </w:r>
    </w:p>
    <w:p w14:paraId="09B193C6" w14:textId="77777777" w:rsidR="002D737B" w:rsidRPr="006E0B6E" w:rsidRDefault="002D737B" w:rsidP="002D737B">
      <w:pPr>
        <w:rPr>
          <w:rFonts w:cs="Arial"/>
        </w:rPr>
      </w:pPr>
      <w:r w:rsidRPr="006E0B6E">
        <w:rPr>
          <w:rFonts w:cs="Arial"/>
        </w:rPr>
        <w:t>As in chapter 2 of WTEE, the Commission has used an ‘equivalised’ measure of wealth to determine each household’s position in the wealth distribution. Equivalised wealth is household wealth scaled to reflect differences in household size and composition. It is the Commission’s preferred measure of wealth when the intention is to measure the consequences of wealth for economic wellbeing.</w:t>
      </w:r>
    </w:p>
    <w:p w14:paraId="7C7EBBD6" w14:textId="77777777" w:rsidR="002D737B" w:rsidRPr="006E0B6E" w:rsidRDefault="002D737B" w:rsidP="002D737B">
      <w:pPr>
        <w:rPr>
          <w:rFonts w:cs="Arial"/>
        </w:rPr>
      </w:pPr>
      <w:r w:rsidRPr="006E0B6E">
        <w:rPr>
          <w:rFonts w:cs="Arial"/>
        </w:rPr>
        <w:t>As in the response to request 2 (and in chapter 1 of WTEE), the Commission has produced estimates for i) all inheritances and ii) inheritances bequeathed to the next generation.</w:t>
      </w:r>
      <w:r w:rsidRPr="006E0B6E">
        <w:rPr>
          <w:rStyle w:val="FootnoteReference"/>
          <w:rFonts w:cs="Arial"/>
        </w:rPr>
        <w:footnoteReference w:id="3"/>
      </w:r>
      <w:r w:rsidRPr="006E0B6E">
        <w:rPr>
          <w:rFonts w:cs="Arial"/>
        </w:rPr>
        <w:t xml:space="preserve"> In both cases, some of these inheritances are bequeathed from one household member to another, and — as such — these estimates do not represent household-level outflows of inheritances. This is especially the case for the ‘all inheritances’ estimates, as many such inheritances are bequeathed to a surviving spouse.</w:t>
      </w:r>
    </w:p>
    <w:p w14:paraId="24F907B1" w14:textId="0AEDFD55" w:rsidR="002D737B" w:rsidRPr="006E0B6E" w:rsidRDefault="002D737B" w:rsidP="002D737B">
      <w:pPr>
        <w:rPr>
          <w:rFonts w:cs="Arial"/>
        </w:rPr>
      </w:pPr>
      <w:r w:rsidRPr="006E0B6E">
        <w:rPr>
          <w:rFonts w:cs="Arial"/>
        </w:rPr>
        <w:t>These estimates differ from those of request 2 in that they do not include wealth held in refundable accommodation deposits (RADs) — lump sum payments made for aged care accommodation that are refunded when the accommodation recipient leaves the aged care home. The Commission estimates that, in 2018, about 10 per cent of all inheritances (by value) were derived from RADs, but wealth held in RADs is not generally recorded by the wealth module of the HILDA survey. The response to request 2, and the ‘outflow’ measures in WTEE, include additional amounts derived from administrative data to account for RADs not recorded in the HILDA dataset (see appendix A of WTEE for more information). However, the distribution of RADs over equivalised wealth quintiles is unknown, and so these estimates do not include these additional amounts. As a result, the total value of inheritances is lower in these estimates than in the corresponding estimates of re</w:t>
      </w:r>
      <w:r w:rsidR="00725D4D" w:rsidRPr="006E0B6E">
        <w:rPr>
          <w:rFonts w:cs="Arial"/>
        </w:rPr>
        <w:t>quest</w:t>
      </w:r>
      <w:r w:rsidRPr="006E0B6E">
        <w:rPr>
          <w:rFonts w:cs="Arial"/>
        </w:rPr>
        <w:t> 2.</w:t>
      </w:r>
    </w:p>
    <w:p w14:paraId="36E89936" w14:textId="77777777" w:rsidR="00F93DE2" w:rsidRPr="006E0B6E" w:rsidRDefault="00F93DE2">
      <w:pPr>
        <w:rPr>
          <w:rFonts w:cs="Arial"/>
        </w:rPr>
      </w:pPr>
      <w:r w:rsidRPr="006E0B6E">
        <w:rPr>
          <w:rFonts w:cs="Arial"/>
        </w:rPr>
        <w:br w:type="page"/>
      </w:r>
    </w:p>
    <w:p w14:paraId="00A8CA07" w14:textId="14B1A35C" w:rsidR="002D737B" w:rsidRPr="006E0B6E" w:rsidRDefault="002D737B" w:rsidP="002D737B">
      <w:pPr>
        <w:rPr>
          <w:rFonts w:cs="Arial"/>
        </w:rPr>
      </w:pPr>
      <w:r w:rsidRPr="006E0B6E">
        <w:rPr>
          <w:rFonts w:cs="Arial"/>
        </w:rPr>
        <w:lastRenderedPageBreak/>
        <w:t>To provide additional context about the distribution of equivalised wealth, the Commission has estimated the share of wealth held by each quintile of the distribution (table </w:t>
      </w:r>
      <w:r w:rsidR="00711C33" w:rsidRPr="006E0B6E">
        <w:rPr>
          <w:rFonts w:cs="Arial"/>
        </w:rPr>
        <w:t>9</w:t>
      </w:r>
      <w:r w:rsidRPr="006E0B6E">
        <w:rPr>
          <w:rFonts w:cs="Arial"/>
        </w:rPr>
        <w:t>).</w:t>
      </w:r>
    </w:p>
    <w:p w14:paraId="665B0EE9" w14:textId="3F929232" w:rsidR="002D737B" w:rsidRPr="006E0B6E" w:rsidRDefault="002D737B" w:rsidP="002D737B">
      <w:pPr>
        <w:pStyle w:val="FigureTableHeading"/>
        <w:tabs>
          <w:tab w:val="left" w:pos="3900"/>
        </w:tabs>
        <w:rPr>
          <w:rFonts w:ascii="Arial" w:hAnsi="Arial" w:cs="Arial"/>
        </w:rPr>
      </w:pPr>
      <w:r w:rsidRPr="006E0B6E">
        <w:rPr>
          <w:rFonts w:ascii="Arial" w:hAnsi="Arial" w:cs="Arial"/>
        </w:rPr>
        <w:t xml:space="preserve">Table </w:t>
      </w:r>
      <w:r w:rsidR="00CF37FE" w:rsidRPr="006E0B6E">
        <w:rPr>
          <w:rFonts w:ascii="Arial" w:hAnsi="Arial" w:cs="Arial"/>
        </w:rPr>
        <w:fldChar w:fldCharType="begin"/>
      </w:r>
      <w:r w:rsidR="00CF37FE" w:rsidRPr="006E0B6E">
        <w:rPr>
          <w:rFonts w:ascii="Arial" w:hAnsi="Arial" w:cs="Arial"/>
        </w:rPr>
        <w:instrText xml:space="preserve"> SEQ Table \* ARABIC \s </w:instrText>
      </w:r>
      <w:r w:rsidR="007B2272" w:rsidRPr="006E0B6E">
        <w:rPr>
          <w:rFonts w:ascii="Arial" w:hAnsi="Arial" w:cs="Arial"/>
        </w:rPr>
        <w:instrText>1</w:instrText>
      </w:r>
      <w:r w:rsidR="00CF37FE" w:rsidRPr="006E0B6E">
        <w:rPr>
          <w:rFonts w:ascii="Arial" w:hAnsi="Arial" w:cs="Arial"/>
        </w:rPr>
        <w:instrText xml:space="preserve"> </w:instrText>
      </w:r>
      <w:r w:rsidR="00CF37FE" w:rsidRPr="006E0B6E">
        <w:rPr>
          <w:rFonts w:ascii="Arial" w:hAnsi="Arial" w:cs="Arial"/>
        </w:rPr>
        <w:fldChar w:fldCharType="separate"/>
      </w:r>
      <w:r w:rsidR="00FE0771">
        <w:rPr>
          <w:rFonts w:ascii="Arial" w:hAnsi="Arial" w:cs="Arial"/>
          <w:noProof/>
        </w:rPr>
        <w:t>9</w:t>
      </w:r>
      <w:r w:rsidR="00CF37FE" w:rsidRPr="006E0B6E">
        <w:rPr>
          <w:rFonts w:ascii="Arial" w:hAnsi="Arial" w:cs="Arial"/>
        </w:rPr>
        <w:fldChar w:fldCharType="end"/>
      </w:r>
      <w:r w:rsidRPr="006E0B6E">
        <w:rPr>
          <w:rFonts w:ascii="Arial" w:hAnsi="Arial" w:cs="Arial"/>
        </w:rPr>
        <w:t xml:space="preserve"> –</w:t>
      </w:r>
      <w:r w:rsidRPr="006E0B6E">
        <w:rPr>
          <w:rFonts w:ascii="Arial" w:hAnsi="Arial" w:cs="Arial"/>
          <w:noProof/>
        </w:rPr>
        <w:t xml:space="preserve"> D</w:t>
      </w:r>
      <w:r w:rsidRPr="006E0B6E">
        <w:rPr>
          <w:rFonts w:ascii="Arial" w:hAnsi="Arial" w:cs="Arial"/>
        </w:rPr>
        <w:t>istribution of equivalised wealth</w:t>
      </w:r>
      <w:r w:rsidRPr="006E0B6E">
        <w:rPr>
          <w:rFonts w:ascii="Arial" w:hAnsi="Arial" w:cs="Arial"/>
          <w:vertAlign w:val="superscript"/>
        </w:rPr>
        <w:t>a</w:t>
      </w:r>
    </w:p>
    <w:p w14:paraId="4E57EC78" w14:textId="77777777" w:rsidR="002D737B" w:rsidRPr="006E0B6E" w:rsidRDefault="002D737B" w:rsidP="002D737B">
      <w:pPr>
        <w:pStyle w:val="FigureTableSubheading"/>
        <w:rPr>
          <w:rFonts w:ascii="Arial" w:hAnsi="Arial" w:cs="Arial"/>
        </w:rPr>
      </w:pPr>
      <w:r w:rsidRPr="006E0B6E">
        <w:rPr>
          <w:rFonts w:ascii="Arial" w:hAnsi="Arial" w:cs="Arial"/>
        </w:rPr>
        <w:t>Share of equivalised wealth held by each quintile of equivalised wealth distribution (per cent)</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701"/>
        <w:gridCol w:w="1701"/>
        <w:gridCol w:w="1701"/>
        <w:gridCol w:w="1701"/>
        <w:gridCol w:w="1701"/>
      </w:tblGrid>
      <w:tr w:rsidR="002D737B" w:rsidRPr="006E0B6E" w14:paraId="6BAA52C1" w14:textId="77777777" w:rsidTr="00066DA8">
        <w:trPr>
          <w:tblHeader/>
        </w:trPr>
        <w:tc>
          <w:tcPr>
            <w:tcW w:w="709" w:type="dxa"/>
            <w:tcBorders>
              <w:bottom w:val="single" w:sz="4" w:space="0" w:color="B3B3B3"/>
            </w:tcBorders>
            <w:shd w:val="clear" w:color="000000" w:fill="auto"/>
            <w:vAlign w:val="bottom"/>
          </w:tcPr>
          <w:p w14:paraId="1E178526"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1701" w:type="dxa"/>
            <w:tcBorders>
              <w:bottom w:val="single" w:sz="4" w:space="0" w:color="B3B3B3"/>
            </w:tcBorders>
            <w:shd w:val="clear" w:color="000000" w:fill="auto"/>
            <w:vAlign w:val="bottom"/>
          </w:tcPr>
          <w:p w14:paraId="075BB636" w14:textId="77777777" w:rsidR="002D737B" w:rsidRPr="006E0B6E" w:rsidRDefault="002D737B" w:rsidP="00066DA8">
            <w:pPr>
              <w:pStyle w:val="TableBody"/>
              <w:rPr>
                <w:rFonts w:ascii="Arial" w:hAnsi="Arial" w:cs="Arial"/>
              </w:rPr>
            </w:pPr>
            <w:r w:rsidRPr="006E0B6E">
              <w:rPr>
                <w:rFonts w:ascii="Arial" w:hAnsi="Arial" w:cs="Arial"/>
                <w:b/>
                <w:bCs/>
              </w:rPr>
              <w:t>1</w:t>
            </w:r>
            <w:r w:rsidRPr="006E0B6E">
              <w:rPr>
                <w:rFonts w:ascii="Arial" w:hAnsi="Arial" w:cs="Arial"/>
                <w:b/>
                <w:bCs/>
                <w:vertAlign w:val="superscript"/>
              </w:rPr>
              <w:t>st</w:t>
            </w:r>
            <w:r w:rsidRPr="006E0B6E">
              <w:rPr>
                <w:rFonts w:ascii="Arial" w:hAnsi="Arial" w:cs="Arial"/>
                <w:b/>
                <w:bCs/>
              </w:rPr>
              <w:t xml:space="preserve"> quintile</w:t>
            </w:r>
          </w:p>
        </w:tc>
        <w:tc>
          <w:tcPr>
            <w:tcW w:w="1701" w:type="dxa"/>
            <w:tcBorders>
              <w:bottom w:val="single" w:sz="4" w:space="0" w:color="B3B3B3"/>
            </w:tcBorders>
            <w:shd w:val="clear" w:color="000000" w:fill="auto"/>
            <w:vAlign w:val="bottom"/>
          </w:tcPr>
          <w:p w14:paraId="6469D9F5" w14:textId="77777777" w:rsidR="002D737B" w:rsidRPr="006E0B6E" w:rsidRDefault="002D737B" w:rsidP="00066DA8">
            <w:pPr>
              <w:pStyle w:val="TableBody"/>
              <w:rPr>
                <w:rFonts w:ascii="Arial" w:hAnsi="Arial" w:cs="Arial"/>
              </w:rPr>
            </w:pPr>
            <w:r w:rsidRPr="006E0B6E">
              <w:rPr>
                <w:rFonts w:ascii="Arial" w:hAnsi="Arial" w:cs="Arial"/>
                <w:b/>
                <w:bCs/>
              </w:rPr>
              <w:t>2</w:t>
            </w:r>
            <w:r w:rsidRPr="006E0B6E">
              <w:rPr>
                <w:rFonts w:ascii="Arial" w:hAnsi="Arial" w:cs="Arial"/>
                <w:b/>
                <w:bCs/>
                <w:vertAlign w:val="superscript"/>
              </w:rPr>
              <w:t>nd</w:t>
            </w:r>
            <w:r w:rsidRPr="006E0B6E">
              <w:rPr>
                <w:rFonts w:ascii="Arial" w:hAnsi="Arial" w:cs="Arial"/>
                <w:b/>
                <w:bCs/>
              </w:rPr>
              <w:t xml:space="preserve"> quintile</w:t>
            </w:r>
          </w:p>
        </w:tc>
        <w:tc>
          <w:tcPr>
            <w:tcW w:w="1701" w:type="dxa"/>
            <w:tcBorders>
              <w:bottom w:val="single" w:sz="4" w:space="0" w:color="B3B3B3"/>
            </w:tcBorders>
            <w:shd w:val="clear" w:color="000000" w:fill="auto"/>
          </w:tcPr>
          <w:p w14:paraId="4BDB6984" w14:textId="77777777" w:rsidR="002D737B" w:rsidRPr="006E0B6E" w:rsidRDefault="002D737B" w:rsidP="00066DA8">
            <w:pPr>
              <w:pStyle w:val="TableBody"/>
              <w:rPr>
                <w:rFonts w:ascii="Arial" w:hAnsi="Arial" w:cs="Arial"/>
              </w:rPr>
            </w:pPr>
            <w:r w:rsidRPr="006E0B6E">
              <w:rPr>
                <w:rFonts w:ascii="Arial" w:hAnsi="Arial" w:cs="Arial"/>
                <w:b/>
                <w:bCs/>
              </w:rPr>
              <w:t>3</w:t>
            </w:r>
            <w:r w:rsidRPr="006E0B6E">
              <w:rPr>
                <w:rFonts w:ascii="Arial" w:hAnsi="Arial" w:cs="Arial"/>
                <w:b/>
                <w:bCs/>
                <w:vertAlign w:val="superscript"/>
              </w:rPr>
              <w:t>rd</w:t>
            </w:r>
            <w:r w:rsidRPr="006E0B6E">
              <w:rPr>
                <w:rFonts w:ascii="Arial" w:hAnsi="Arial" w:cs="Arial"/>
                <w:b/>
                <w:bCs/>
              </w:rPr>
              <w:t xml:space="preserve"> quintile</w:t>
            </w:r>
          </w:p>
        </w:tc>
        <w:tc>
          <w:tcPr>
            <w:tcW w:w="1701" w:type="dxa"/>
            <w:tcBorders>
              <w:bottom w:val="single" w:sz="4" w:space="0" w:color="B3B3B3"/>
            </w:tcBorders>
            <w:shd w:val="clear" w:color="000000" w:fill="auto"/>
          </w:tcPr>
          <w:p w14:paraId="3B6BBACE" w14:textId="77777777" w:rsidR="002D737B" w:rsidRPr="006E0B6E" w:rsidRDefault="002D737B" w:rsidP="00066DA8">
            <w:pPr>
              <w:pStyle w:val="TableBody"/>
              <w:rPr>
                <w:rFonts w:ascii="Arial" w:hAnsi="Arial" w:cs="Arial"/>
              </w:rPr>
            </w:pPr>
            <w:r w:rsidRPr="006E0B6E">
              <w:rPr>
                <w:rFonts w:ascii="Arial" w:hAnsi="Arial" w:cs="Arial"/>
                <w:b/>
                <w:bCs/>
              </w:rPr>
              <w:t>4</w:t>
            </w:r>
            <w:r w:rsidRPr="006E0B6E">
              <w:rPr>
                <w:rFonts w:ascii="Arial" w:hAnsi="Arial" w:cs="Arial"/>
                <w:b/>
                <w:bCs/>
                <w:vertAlign w:val="superscript"/>
              </w:rPr>
              <w:t>th</w:t>
            </w:r>
            <w:r w:rsidRPr="006E0B6E">
              <w:rPr>
                <w:rFonts w:ascii="Arial" w:hAnsi="Arial" w:cs="Arial"/>
                <w:b/>
                <w:bCs/>
              </w:rPr>
              <w:t xml:space="preserve"> quintile</w:t>
            </w:r>
          </w:p>
        </w:tc>
        <w:tc>
          <w:tcPr>
            <w:tcW w:w="1701" w:type="dxa"/>
            <w:tcBorders>
              <w:bottom w:val="single" w:sz="4" w:space="0" w:color="B3B3B3"/>
            </w:tcBorders>
            <w:shd w:val="clear" w:color="000000" w:fill="auto"/>
          </w:tcPr>
          <w:p w14:paraId="2EEA401D" w14:textId="77777777" w:rsidR="002D737B" w:rsidRPr="006E0B6E" w:rsidRDefault="002D737B" w:rsidP="00066DA8">
            <w:pPr>
              <w:pStyle w:val="TableBody"/>
              <w:rPr>
                <w:rFonts w:ascii="Arial" w:hAnsi="Arial" w:cs="Arial"/>
              </w:rPr>
            </w:pPr>
            <w:r w:rsidRPr="006E0B6E">
              <w:rPr>
                <w:rFonts w:ascii="Arial" w:hAnsi="Arial" w:cs="Arial"/>
                <w:b/>
                <w:bCs/>
              </w:rPr>
              <w:t>5</w:t>
            </w:r>
            <w:r w:rsidRPr="006E0B6E">
              <w:rPr>
                <w:rFonts w:ascii="Arial" w:hAnsi="Arial" w:cs="Arial"/>
                <w:b/>
                <w:bCs/>
                <w:vertAlign w:val="superscript"/>
              </w:rPr>
              <w:t>th</w:t>
            </w:r>
            <w:r w:rsidRPr="006E0B6E">
              <w:rPr>
                <w:rFonts w:ascii="Arial" w:hAnsi="Arial" w:cs="Arial"/>
                <w:b/>
                <w:bCs/>
              </w:rPr>
              <w:t xml:space="preserve"> quintile</w:t>
            </w:r>
          </w:p>
        </w:tc>
      </w:tr>
      <w:tr w:rsidR="002D737B" w:rsidRPr="006E0B6E" w14:paraId="03E2B28F" w14:textId="77777777" w:rsidTr="00066DA8">
        <w:tc>
          <w:tcPr>
            <w:tcW w:w="709" w:type="dxa"/>
            <w:tcBorders>
              <w:top w:val="single" w:sz="4" w:space="0" w:color="B3B3B3"/>
              <w:bottom w:val="nil"/>
            </w:tcBorders>
            <w:shd w:val="clear" w:color="000000" w:fill="F2F2F2"/>
          </w:tcPr>
          <w:p w14:paraId="00359520" w14:textId="77777777" w:rsidR="002D737B" w:rsidRPr="006E0B6E" w:rsidRDefault="002D737B" w:rsidP="00066DA8">
            <w:pPr>
              <w:pStyle w:val="TableBody"/>
              <w:rPr>
                <w:rFonts w:ascii="Arial" w:hAnsi="Arial" w:cs="Arial"/>
              </w:rPr>
            </w:pPr>
            <w:r w:rsidRPr="006E0B6E">
              <w:rPr>
                <w:rFonts w:ascii="Arial" w:hAnsi="Arial" w:cs="Arial"/>
                <w:b/>
                <w:bCs/>
              </w:rPr>
              <w:t>2002</w:t>
            </w:r>
          </w:p>
        </w:tc>
        <w:tc>
          <w:tcPr>
            <w:tcW w:w="1701" w:type="dxa"/>
            <w:tcBorders>
              <w:top w:val="single" w:sz="4" w:space="0" w:color="B3B3B3"/>
              <w:bottom w:val="nil"/>
            </w:tcBorders>
            <w:shd w:val="clear" w:color="000000" w:fill="F2F2F2"/>
            <w:vAlign w:val="bottom"/>
          </w:tcPr>
          <w:p w14:paraId="22A6AC64" w14:textId="77777777" w:rsidR="002D737B" w:rsidRPr="006E0B6E" w:rsidRDefault="002D737B" w:rsidP="00066DA8">
            <w:pPr>
              <w:pStyle w:val="TableBody"/>
              <w:rPr>
                <w:rFonts w:ascii="Arial" w:hAnsi="Arial" w:cs="Arial"/>
                <w:szCs w:val="18"/>
              </w:rPr>
            </w:pPr>
            <w:r w:rsidRPr="006E0B6E">
              <w:rPr>
                <w:rFonts w:ascii="Arial" w:hAnsi="Arial" w:cs="Arial"/>
                <w:szCs w:val="18"/>
              </w:rPr>
              <w:t>0.4</w:t>
            </w:r>
          </w:p>
        </w:tc>
        <w:tc>
          <w:tcPr>
            <w:tcW w:w="1701" w:type="dxa"/>
            <w:tcBorders>
              <w:top w:val="single" w:sz="4" w:space="0" w:color="B3B3B3"/>
              <w:bottom w:val="nil"/>
            </w:tcBorders>
            <w:shd w:val="clear" w:color="000000" w:fill="F2F2F2"/>
            <w:vAlign w:val="bottom"/>
          </w:tcPr>
          <w:p w14:paraId="6F3041E8" w14:textId="77777777" w:rsidR="002D737B" w:rsidRPr="006E0B6E" w:rsidRDefault="002D737B" w:rsidP="00066DA8">
            <w:pPr>
              <w:pStyle w:val="TableBody"/>
              <w:rPr>
                <w:rFonts w:ascii="Arial" w:hAnsi="Arial" w:cs="Arial"/>
                <w:szCs w:val="18"/>
              </w:rPr>
            </w:pPr>
            <w:r w:rsidRPr="006E0B6E">
              <w:rPr>
                <w:rFonts w:ascii="Arial" w:hAnsi="Arial" w:cs="Arial"/>
                <w:szCs w:val="18"/>
              </w:rPr>
              <w:t>4.5</w:t>
            </w:r>
          </w:p>
        </w:tc>
        <w:tc>
          <w:tcPr>
            <w:tcW w:w="1701" w:type="dxa"/>
            <w:tcBorders>
              <w:top w:val="single" w:sz="4" w:space="0" w:color="B3B3B3"/>
              <w:bottom w:val="nil"/>
            </w:tcBorders>
            <w:shd w:val="clear" w:color="000000" w:fill="F2F2F2"/>
            <w:vAlign w:val="bottom"/>
          </w:tcPr>
          <w:p w14:paraId="295D57BF" w14:textId="77777777" w:rsidR="002D737B" w:rsidRPr="006E0B6E" w:rsidRDefault="002D737B" w:rsidP="00066DA8">
            <w:pPr>
              <w:pStyle w:val="TableBody"/>
              <w:rPr>
                <w:rFonts w:ascii="Arial" w:hAnsi="Arial" w:cs="Arial"/>
                <w:szCs w:val="18"/>
              </w:rPr>
            </w:pPr>
            <w:r w:rsidRPr="006E0B6E">
              <w:rPr>
                <w:rFonts w:ascii="Arial" w:hAnsi="Arial" w:cs="Arial"/>
                <w:szCs w:val="18"/>
              </w:rPr>
              <w:t>10.1</w:t>
            </w:r>
          </w:p>
        </w:tc>
        <w:tc>
          <w:tcPr>
            <w:tcW w:w="1701" w:type="dxa"/>
            <w:tcBorders>
              <w:top w:val="single" w:sz="4" w:space="0" w:color="B3B3B3"/>
              <w:bottom w:val="nil"/>
            </w:tcBorders>
            <w:shd w:val="clear" w:color="000000" w:fill="F2F2F2"/>
            <w:vAlign w:val="bottom"/>
          </w:tcPr>
          <w:p w14:paraId="7CFBF49A" w14:textId="77777777" w:rsidR="002D737B" w:rsidRPr="006E0B6E" w:rsidRDefault="002D737B" w:rsidP="00066DA8">
            <w:pPr>
              <w:pStyle w:val="TableBody"/>
              <w:rPr>
                <w:rFonts w:ascii="Arial" w:hAnsi="Arial" w:cs="Arial"/>
                <w:szCs w:val="18"/>
              </w:rPr>
            </w:pPr>
            <w:r w:rsidRPr="006E0B6E">
              <w:rPr>
                <w:rFonts w:ascii="Arial" w:hAnsi="Arial" w:cs="Arial"/>
                <w:szCs w:val="18"/>
              </w:rPr>
              <w:t>19.1</w:t>
            </w:r>
          </w:p>
        </w:tc>
        <w:tc>
          <w:tcPr>
            <w:tcW w:w="1701" w:type="dxa"/>
            <w:tcBorders>
              <w:top w:val="single" w:sz="4" w:space="0" w:color="B3B3B3"/>
              <w:bottom w:val="nil"/>
            </w:tcBorders>
            <w:shd w:val="clear" w:color="000000" w:fill="F2F2F2"/>
            <w:vAlign w:val="bottom"/>
          </w:tcPr>
          <w:p w14:paraId="68E3BD51" w14:textId="77777777" w:rsidR="002D737B" w:rsidRPr="006E0B6E" w:rsidRDefault="002D737B" w:rsidP="00066DA8">
            <w:pPr>
              <w:pStyle w:val="TableBody"/>
              <w:rPr>
                <w:rFonts w:ascii="Arial" w:hAnsi="Arial" w:cs="Arial"/>
                <w:szCs w:val="18"/>
              </w:rPr>
            </w:pPr>
            <w:r w:rsidRPr="006E0B6E">
              <w:rPr>
                <w:rFonts w:ascii="Arial" w:hAnsi="Arial" w:cs="Arial"/>
                <w:szCs w:val="18"/>
              </w:rPr>
              <w:t>66.0</w:t>
            </w:r>
          </w:p>
        </w:tc>
      </w:tr>
      <w:tr w:rsidR="002D737B" w:rsidRPr="006E0B6E" w14:paraId="38E19460" w14:textId="77777777" w:rsidTr="00066DA8">
        <w:tc>
          <w:tcPr>
            <w:tcW w:w="709" w:type="dxa"/>
            <w:tcBorders>
              <w:top w:val="nil"/>
              <w:bottom w:val="nil"/>
            </w:tcBorders>
            <w:shd w:val="clear" w:color="000000" w:fill="auto"/>
          </w:tcPr>
          <w:p w14:paraId="2AE8BB2B" w14:textId="77777777" w:rsidR="002D737B" w:rsidRPr="006E0B6E" w:rsidRDefault="002D737B" w:rsidP="00066DA8">
            <w:pPr>
              <w:pStyle w:val="TableBody"/>
              <w:rPr>
                <w:rFonts w:ascii="Arial" w:hAnsi="Arial" w:cs="Arial"/>
              </w:rPr>
            </w:pPr>
            <w:r w:rsidRPr="006E0B6E">
              <w:rPr>
                <w:rFonts w:ascii="Arial" w:hAnsi="Arial" w:cs="Arial"/>
                <w:b/>
                <w:bCs/>
              </w:rPr>
              <w:t>2006</w:t>
            </w:r>
          </w:p>
        </w:tc>
        <w:tc>
          <w:tcPr>
            <w:tcW w:w="1701" w:type="dxa"/>
            <w:tcBorders>
              <w:top w:val="nil"/>
              <w:bottom w:val="nil"/>
            </w:tcBorders>
            <w:shd w:val="clear" w:color="000000" w:fill="auto"/>
            <w:vAlign w:val="bottom"/>
          </w:tcPr>
          <w:p w14:paraId="3D612255" w14:textId="77777777" w:rsidR="002D737B" w:rsidRPr="006E0B6E" w:rsidRDefault="002D737B" w:rsidP="00066DA8">
            <w:pPr>
              <w:pStyle w:val="TableBody"/>
              <w:rPr>
                <w:rFonts w:ascii="Arial" w:hAnsi="Arial" w:cs="Arial"/>
                <w:szCs w:val="18"/>
              </w:rPr>
            </w:pPr>
            <w:r w:rsidRPr="006E0B6E">
              <w:rPr>
                <w:rFonts w:ascii="Arial" w:hAnsi="Arial" w:cs="Arial"/>
                <w:szCs w:val="18"/>
              </w:rPr>
              <w:t>0.4</w:t>
            </w:r>
          </w:p>
        </w:tc>
        <w:tc>
          <w:tcPr>
            <w:tcW w:w="1701" w:type="dxa"/>
            <w:tcBorders>
              <w:top w:val="nil"/>
              <w:bottom w:val="nil"/>
            </w:tcBorders>
            <w:shd w:val="clear" w:color="000000" w:fill="auto"/>
            <w:vAlign w:val="bottom"/>
          </w:tcPr>
          <w:p w14:paraId="526EFC2E" w14:textId="77777777" w:rsidR="002D737B" w:rsidRPr="006E0B6E" w:rsidRDefault="002D737B" w:rsidP="00066DA8">
            <w:pPr>
              <w:pStyle w:val="TableBody"/>
              <w:rPr>
                <w:rFonts w:ascii="Arial" w:hAnsi="Arial" w:cs="Arial"/>
                <w:szCs w:val="18"/>
              </w:rPr>
            </w:pPr>
            <w:r w:rsidRPr="006E0B6E">
              <w:rPr>
                <w:rFonts w:ascii="Arial" w:hAnsi="Arial" w:cs="Arial"/>
                <w:szCs w:val="18"/>
              </w:rPr>
              <w:t>4.2</w:t>
            </w:r>
          </w:p>
        </w:tc>
        <w:tc>
          <w:tcPr>
            <w:tcW w:w="1701" w:type="dxa"/>
            <w:tcBorders>
              <w:top w:val="nil"/>
              <w:bottom w:val="nil"/>
            </w:tcBorders>
            <w:shd w:val="clear" w:color="000000" w:fill="auto"/>
            <w:vAlign w:val="bottom"/>
          </w:tcPr>
          <w:p w14:paraId="06CD60BC" w14:textId="77777777" w:rsidR="002D737B" w:rsidRPr="006E0B6E" w:rsidRDefault="002D737B" w:rsidP="00066DA8">
            <w:pPr>
              <w:pStyle w:val="TableBody"/>
              <w:rPr>
                <w:rFonts w:ascii="Arial" w:hAnsi="Arial" w:cs="Arial"/>
                <w:szCs w:val="18"/>
              </w:rPr>
            </w:pPr>
            <w:r w:rsidRPr="006E0B6E">
              <w:rPr>
                <w:rFonts w:ascii="Arial" w:hAnsi="Arial" w:cs="Arial"/>
                <w:szCs w:val="18"/>
              </w:rPr>
              <w:t>9.8</w:t>
            </w:r>
          </w:p>
        </w:tc>
        <w:tc>
          <w:tcPr>
            <w:tcW w:w="1701" w:type="dxa"/>
            <w:tcBorders>
              <w:top w:val="nil"/>
              <w:bottom w:val="nil"/>
            </w:tcBorders>
            <w:shd w:val="clear" w:color="000000" w:fill="auto"/>
            <w:vAlign w:val="bottom"/>
          </w:tcPr>
          <w:p w14:paraId="1004AE9E" w14:textId="77777777" w:rsidR="002D737B" w:rsidRPr="006E0B6E" w:rsidRDefault="002D737B" w:rsidP="00066DA8">
            <w:pPr>
              <w:pStyle w:val="TableBody"/>
              <w:rPr>
                <w:rFonts w:ascii="Arial" w:hAnsi="Arial" w:cs="Arial"/>
                <w:szCs w:val="18"/>
              </w:rPr>
            </w:pPr>
            <w:r w:rsidRPr="006E0B6E">
              <w:rPr>
                <w:rFonts w:ascii="Arial" w:hAnsi="Arial" w:cs="Arial"/>
                <w:szCs w:val="18"/>
              </w:rPr>
              <w:t>18.8</w:t>
            </w:r>
          </w:p>
        </w:tc>
        <w:tc>
          <w:tcPr>
            <w:tcW w:w="1701" w:type="dxa"/>
            <w:tcBorders>
              <w:top w:val="nil"/>
              <w:bottom w:val="nil"/>
            </w:tcBorders>
            <w:shd w:val="clear" w:color="000000" w:fill="auto"/>
            <w:vAlign w:val="bottom"/>
          </w:tcPr>
          <w:p w14:paraId="1EAB9E38" w14:textId="77777777" w:rsidR="002D737B" w:rsidRPr="006E0B6E" w:rsidRDefault="002D737B" w:rsidP="00066DA8">
            <w:pPr>
              <w:pStyle w:val="TableBody"/>
              <w:rPr>
                <w:rFonts w:ascii="Arial" w:hAnsi="Arial" w:cs="Arial"/>
                <w:szCs w:val="18"/>
              </w:rPr>
            </w:pPr>
            <w:r w:rsidRPr="006E0B6E">
              <w:rPr>
                <w:rFonts w:ascii="Arial" w:hAnsi="Arial" w:cs="Arial"/>
                <w:szCs w:val="18"/>
              </w:rPr>
              <w:t>66.8</w:t>
            </w:r>
          </w:p>
        </w:tc>
      </w:tr>
      <w:tr w:rsidR="002D737B" w:rsidRPr="006E0B6E" w14:paraId="66B19F7C" w14:textId="77777777" w:rsidTr="00066DA8">
        <w:tc>
          <w:tcPr>
            <w:tcW w:w="709" w:type="dxa"/>
            <w:shd w:val="clear" w:color="000000" w:fill="F2F2F2"/>
          </w:tcPr>
          <w:p w14:paraId="4105EC09" w14:textId="77777777" w:rsidR="002D737B" w:rsidRPr="006E0B6E" w:rsidRDefault="002D737B" w:rsidP="00066DA8">
            <w:pPr>
              <w:pStyle w:val="TableBody"/>
              <w:rPr>
                <w:rFonts w:ascii="Arial" w:hAnsi="Arial" w:cs="Arial"/>
              </w:rPr>
            </w:pPr>
            <w:r w:rsidRPr="006E0B6E">
              <w:rPr>
                <w:rFonts w:ascii="Arial" w:hAnsi="Arial" w:cs="Arial"/>
                <w:b/>
                <w:bCs/>
              </w:rPr>
              <w:t>2010</w:t>
            </w:r>
          </w:p>
        </w:tc>
        <w:tc>
          <w:tcPr>
            <w:tcW w:w="1701" w:type="dxa"/>
            <w:shd w:val="clear" w:color="000000" w:fill="F2F2F2"/>
            <w:vAlign w:val="bottom"/>
          </w:tcPr>
          <w:p w14:paraId="1B3CE1D9" w14:textId="77777777" w:rsidR="002D737B" w:rsidRPr="006E0B6E" w:rsidRDefault="002D737B" w:rsidP="00066DA8">
            <w:pPr>
              <w:pStyle w:val="TableBody"/>
              <w:rPr>
                <w:rFonts w:ascii="Arial" w:hAnsi="Arial" w:cs="Arial"/>
                <w:szCs w:val="18"/>
              </w:rPr>
            </w:pPr>
            <w:r w:rsidRPr="006E0B6E">
              <w:rPr>
                <w:rFonts w:ascii="Arial" w:hAnsi="Arial" w:cs="Arial"/>
                <w:szCs w:val="18"/>
              </w:rPr>
              <w:t>0.2</w:t>
            </w:r>
          </w:p>
        </w:tc>
        <w:tc>
          <w:tcPr>
            <w:tcW w:w="1701" w:type="dxa"/>
            <w:shd w:val="clear" w:color="000000" w:fill="F2F2F2"/>
            <w:vAlign w:val="bottom"/>
          </w:tcPr>
          <w:p w14:paraId="09B10DBD" w14:textId="77777777" w:rsidR="002D737B" w:rsidRPr="006E0B6E" w:rsidRDefault="002D737B" w:rsidP="00066DA8">
            <w:pPr>
              <w:pStyle w:val="TableBody"/>
              <w:rPr>
                <w:rFonts w:ascii="Arial" w:hAnsi="Arial" w:cs="Arial"/>
                <w:szCs w:val="18"/>
              </w:rPr>
            </w:pPr>
            <w:r w:rsidRPr="006E0B6E">
              <w:rPr>
                <w:rFonts w:ascii="Arial" w:hAnsi="Arial" w:cs="Arial"/>
                <w:szCs w:val="18"/>
              </w:rPr>
              <w:t>4.2</w:t>
            </w:r>
          </w:p>
        </w:tc>
        <w:tc>
          <w:tcPr>
            <w:tcW w:w="1701" w:type="dxa"/>
            <w:shd w:val="clear" w:color="000000" w:fill="F2F2F2"/>
            <w:vAlign w:val="bottom"/>
          </w:tcPr>
          <w:p w14:paraId="6868BF35" w14:textId="77777777" w:rsidR="002D737B" w:rsidRPr="006E0B6E" w:rsidRDefault="002D737B" w:rsidP="00066DA8">
            <w:pPr>
              <w:pStyle w:val="TableBody"/>
              <w:rPr>
                <w:rFonts w:ascii="Arial" w:hAnsi="Arial" w:cs="Arial"/>
                <w:szCs w:val="18"/>
              </w:rPr>
            </w:pPr>
            <w:r w:rsidRPr="006E0B6E">
              <w:rPr>
                <w:rFonts w:ascii="Arial" w:hAnsi="Arial" w:cs="Arial"/>
                <w:szCs w:val="18"/>
              </w:rPr>
              <w:t>9.6</w:t>
            </w:r>
          </w:p>
        </w:tc>
        <w:tc>
          <w:tcPr>
            <w:tcW w:w="1701" w:type="dxa"/>
            <w:shd w:val="clear" w:color="000000" w:fill="F2F2F2"/>
            <w:vAlign w:val="bottom"/>
          </w:tcPr>
          <w:p w14:paraId="157C5343" w14:textId="77777777" w:rsidR="002D737B" w:rsidRPr="006E0B6E" w:rsidRDefault="002D737B" w:rsidP="00066DA8">
            <w:pPr>
              <w:pStyle w:val="TableBody"/>
              <w:rPr>
                <w:rFonts w:ascii="Arial" w:hAnsi="Arial" w:cs="Arial"/>
                <w:szCs w:val="18"/>
              </w:rPr>
            </w:pPr>
            <w:r w:rsidRPr="006E0B6E">
              <w:rPr>
                <w:rFonts w:ascii="Arial" w:hAnsi="Arial" w:cs="Arial"/>
                <w:szCs w:val="18"/>
              </w:rPr>
              <w:t>20.1</w:t>
            </w:r>
          </w:p>
        </w:tc>
        <w:tc>
          <w:tcPr>
            <w:tcW w:w="1701" w:type="dxa"/>
            <w:shd w:val="clear" w:color="000000" w:fill="F2F2F2"/>
            <w:vAlign w:val="bottom"/>
          </w:tcPr>
          <w:p w14:paraId="5D92E03E" w14:textId="77777777" w:rsidR="002D737B" w:rsidRPr="006E0B6E" w:rsidRDefault="002D737B" w:rsidP="00066DA8">
            <w:pPr>
              <w:pStyle w:val="TableBody"/>
              <w:rPr>
                <w:rFonts w:ascii="Arial" w:hAnsi="Arial" w:cs="Arial"/>
                <w:szCs w:val="18"/>
              </w:rPr>
            </w:pPr>
            <w:r w:rsidRPr="006E0B6E">
              <w:rPr>
                <w:rFonts w:ascii="Arial" w:hAnsi="Arial" w:cs="Arial"/>
                <w:szCs w:val="18"/>
              </w:rPr>
              <w:t>65.9</w:t>
            </w:r>
          </w:p>
        </w:tc>
      </w:tr>
      <w:tr w:rsidR="002D737B" w:rsidRPr="006E0B6E" w14:paraId="46034233" w14:textId="77777777" w:rsidTr="00066DA8">
        <w:tc>
          <w:tcPr>
            <w:tcW w:w="709" w:type="dxa"/>
            <w:shd w:val="clear" w:color="000000" w:fill="F2F2F2"/>
          </w:tcPr>
          <w:p w14:paraId="474046A4" w14:textId="77777777" w:rsidR="002D737B" w:rsidRPr="006E0B6E" w:rsidRDefault="002D737B" w:rsidP="00066DA8">
            <w:pPr>
              <w:pStyle w:val="TableBody"/>
              <w:rPr>
                <w:rFonts w:ascii="Arial" w:hAnsi="Arial" w:cs="Arial"/>
                <w:b/>
                <w:bCs/>
              </w:rPr>
            </w:pPr>
            <w:r w:rsidRPr="006E0B6E">
              <w:rPr>
                <w:rFonts w:ascii="Arial" w:hAnsi="Arial" w:cs="Arial"/>
                <w:b/>
                <w:bCs/>
              </w:rPr>
              <w:t>2014</w:t>
            </w:r>
          </w:p>
        </w:tc>
        <w:tc>
          <w:tcPr>
            <w:tcW w:w="1701" w:type="dxa"/>
            <w:shd w:val="clear" w:color="000000" w:fill="F2F2F2"/>
            <w:vAlign w:val="bottom"/>
          </w:tcPr>
          <w:p w14:paraId="07E2DF51" w14:textId="77777777" w:rsidR="002D737B" w:rsidRPr="006E0B6E" w:rsidRDefault="002D737B" w:rsidP="00066DA8">
            <w:pPr>
              <w:pStyle w:val="TableBody"/>
              <w:rPr>
                <w:rFonts w:ascii="Arial" w:hAnsi="Arial" w:cs="Arial"/>
                <w:szCs w:val="18"/>
              </w:rPr>
            </w:pPr>
            <w:r w:rsidRPr="006E0B6E">
              <w:rPr>
                <w:rFonts w:ascii="Arial" w:hAnsi="Arial" w:cs="Arial"/>
                <w:szCs w:val="18"/>
              </w:rPr>
              <w:t>0.2</w:t>
            </w:r>
          </w:p>
        </w:tc>
        <w:tc>
          <w:tcPr>
            <w:tcW w:w="1701" w:type="dxa"/>
            <w:shd w:val="clear" w:color="000000" w:fill="F2F2F2"/>
            <w:vAlign w:val="bottom"/>
          </w:tcPr>
          <w:p w14:paraId="259DE2D2" w14:textId="77777777" w:rsidR="002D737B" w:rsidRPr="006E0B6E" w:rsidRDefault="002D737B" w:rsidP="00066DA8">
            <w:pPr>
              <w:pStyle w:val="TableBody"/>
              <w:rPr>
                <w:rFonts w:ascii="Arial" w:hAnsi="Arial" w:cs="Arial"/>
                <w:szCs w:val="18"/>
              </w:rPr>
            </w:pPr>
            <w:r w:rsidRPr="006E0B6E">
              <w:rPr>
                <w:rFonts w:ascii="Arial" w:hAnsi="Arial" w:cs="Arial"/>
                <w:szCs w:val="18"/>
              </w:rPr>
              <w:t>3.4</w:t>
            </w:r>
          </w:p>
        </w:tc>
        <w:tc>
          <w:tcPr>
            <w:tcW w:w="1701" w:type="dxa"/>
            <w:shd w:val="clear" w:color="000000" w:fill="F2F2F2"/>
            <w:vAlign w:val="bottom"/>
          </w:tcPr>
          <w:p w14:paraId="35135533" w14:textId="77777777" w:rsidR="002D737B" w:rsidRPr="006E0B6E" w:rsidRDefault="002D737B" w:rsidP="00066DA8">
            <w:pPr>
              <w:pStyle w:val="TableBody"/>
              <w:rPr>
                <w:rFonts w:ascii="Arial" w:hAnsi="Arial" w:cs="Arial"/>
                <w:szCs w:val="18"/>
              </w:rPr>
            </w:pPr>
            <w:r w:rsidRPr="006E0B6E">
              <w:rPr>
                <w:rFonts w:ascii="Arial" w:hAnsi="Arial" w:cs="Arial"/>
                <w:szCs w:val="18"/>
              </w:rPr>
              <w:t>9.1</w:t>
            </w:r>
          </w:p>
        </w:tc>
        <w:tc>
          <w:tcPr>
            <w:tcW w:w="1701" w:type="dxa"/>
            <w:shd w:val="clear" w:color="000000" w:fill="F2F2F2"/>
            <w:vAlign w:val="bottom"/>
          </w:tcPr>
          <w:p w14:paraId="41B8673C" w14:textId="77777777" w:rsidR="002D737B" w:rsidRPr="006E0B6E" w:rsidRDefault="002D737B" w:rsidP="00066DA8">
            <w:pPr>
              <w:pStyle w:val="TableBody"/>
              <w:rPr>
                <w:rFonts w:ascii="Arial" w:hAnsi="Arial" w:cs="Arial"/>
                <w:szCs w:val="18"/>
              </w:rPr>
            </w:pPr>
            <w:r w:rsidRPr="006E0B6E">
              <w:rPr>
                <w:rFonts w:ascii="Arial" w:hAnsi="Arial" w:cs="Arial"/>
                <w:szCs w:val="18"/>
              </w:rPr>
              <w:t>19.8</w:t>
            </w:r>
          </w:p>
        </w:tc>
        <w:tc>
          <w:tcPr>
            <w:tcW w:w="1701" w:type="dxa"/>
            <w:shd w:val="clear" w:color="000000" w:fill="F2F2F2"/>
            <w:vAlign w:val="bottom"/>
          </w:tcPr>
          <w:p w14:paraId="5A5D3D3D" w14:textId="77777777" w:rsidR="002D737B" w:rsidRPr="006E0B6E" w:rsidRDefault="002D737B" w:rsidP="00066DA8">
            <w:pPr>
              <w:pStyle w:val="TableBody"/>
              <w:rPr>
                <w:rFonts w:ascii="Arial" w:hAnsi="Arial" w:cs="Arial"/>
                <w:szCs w:val="18"/>
              </w:rPr>
            </w:pPr>
            <w:r w:rsidRPr="006E0B6E">
              <w:rPr>
                <w:rFonts w:ascii="Arial" w:hAnsi="Arial" w:cs="Arial"/>
                <w:szCs w:val="18"/>
              </w:rPr>
              <w:t>67.5</w:t>
            </w:r>
          </w:p>
        </w:tc>
      </w:tr>
      <w:tr w:rsidR="002D737B" w:rsidRPr="006E0B6E" w14:paraId="5D026746" w14:textId="77777777" w:rsidTr="00066DA8">
        <w:tc>
          <w:tcPr>
            <w:tcW w:w="709" w:type="dxa"/>
            <w:tcBorders>
              <w:bottom w:val="single" w:sz="4" w:space="0" w:color="B3B3B3"/>
            </w:tcBorders>
            <w:shd w:val="clear" w:color="000000" w:fill="F2F2F2"/>
          </w:tcPr>
          <w:p w14:paraId="060F6DBB" w14:textId="77777777" w:rsidR="002D737B" w:rsidRPr="006E0B6E" w:rsidRDefault="002D737B" w:rsidP="00066DA8">
            <w:pPr>
              <w:pStyle w:val="TableBody"/>
              <w:rPr>
                <w:rFonts w:ascii="Arial" w:hAnsi="Arial" w:cs="Arial"/>
                <w:b/>
                <w:bCs/>
              </w:rPr>
            </w:pPr>
            <w:r w:rsidRPr="006E0B6E">
              <w:rPr>
                <w:rFonts w:ascii="Arial" w:hAnsi="Arial" w:cs="Arial"/>
                <w:b/>
                <w:bCs/>
              </w:rPr>
              <w:t>2018</w:t>
            </w:r>
          </w:p>
        </w:tc>
        <w:tc>
          <w:tcPr>
            <w:tcW w:w="1701" w:type="dxa"/>
            <w:tcBorders>
              <w:bottom w:val="single" w:sz="4" w:space="0" w:color="B3B3B3"/>
            </w:tcBorders>
            <w:shd w:val="clear" w:color="000000" w:fill="F2F2F2"/>
            <w:vAlign w:val="bottom"/>
          </w:tcPr>
          <w:p w14:paraId="18F15230" w14:textId="77777777" w:rsidR="002D737B" w:rsidRPr="006E0B6E" w:rsidRDefault="002D737B" w:rsidP="00066DA8">
            <w:pPr>
              <w:pStyle w:val="TableBody"/>
              <w:rPr>
                <w:rFonts w:ascii="Arial" w:hAnsi="Arial" w:cs="Arial"/>
                <w:szCs w:val="18"/>
              </w:rPr>
            </w:pPr>
            <w:r w:rsidRPr="006E0B6E">
              <w:rPr>
                <w:rFonts w:ascii="Arial" w:hAnsi="Arial" w:cs="Arial"/>
                <w:szCs w:val="18"/>
              </w:rPr>
              <w:t>0.4</w:t>
            </w:r>
          </w:p>
        </w:tc>
        <w:tc>
          <w:tcPr>
            <w:tcW w:w="1701" w:type="dxa"/>
            <w:tcBorders>
              <w:bottom w:val="single" w:sz="4" w:space="0" w:color="B3B3B3"/>
            </w:tcBorders>
            <w:shd w:val="clear" w:color="000000" w:fill="F2F2F2"/>
            <w:vAlign w:val="bottom"/>
          </w:tcPr>
          <w:p w14:paraId="7CEAB833" w14:textId="77777777" w:rsidR="002D737B" w:rsidRPr="006E0B6E" w:rsidRDefault="002D737B" w:rsidP="00066DA8">
            <w:pPr>
              <w:pStyle w:val="TableBody"/>
              <w:rPr>
                <w:rFonts w:ascii="Arial" w:hAnsi="Arial" w:cs="Arial"/>
                <w:szCs w:val="18"/>
              </w:rPr>
            </w:pPr>
            <w:r w:rsidRPr="006E0B6E">
              <w:rPr>
                <w:rFonts w:ascii="Arial" w:hAnsi="Arial" w:cs="Arial"/>
                <w:szCs w:val="18"/>
              </w:rPr>
              <w:t>3.8</w:t>
            </w:r>
          </w:p>
        </w:tc>
        <w:tc>
          <w:tcPr>
            <w:tcW w:w="1701" w:type="dxa"/>
            <w:tcBorders>
              <w:bottom w:val="single" w:sz="4" w:space="0" w:color="B3B3B3"/>
            </w:tcBorders>
            <w:shd w:val="clear" w:color="000000" w:fill="F2F2F2"/>
            <w:vAlign w:val="bottom"/>
          </w:tcPr>
          <w:p w14:paraId="53A988A4" w14:textId="77777777" w:rsidR="002D737B" w:rsidRPr="006E0B6E" w:rsidRDefault="002D737B" w:rsidP="00066DA8">
            <w:pPr>
              <w:pStyle w:val="TableBody"/>
              <w:rPr>
                <w:rFonts w:ascii="Arial" w:hAnsi="Arial" w:cs="Arial"/>
                <w:szCs w:val="18"/>
              </w:rPr>
            </w:pPr>
            <w:r w:rsidRPr="006E0B6E">
              <w:rPr>
                <w:rFonts w:ascii="Arial" w:hAnsi="Arial" w:cs="Arial"/>
                <w:szCs w:val="18"/>
              </w:rPr>
              <w:t>9.7</w:t>
            </w:r>
          </w:p>
        </w:tc>
        <w:tc>
          <w:tcPr>
            <w:tcW w:w="1701" w:type="dxa"/>
            <w:tcBorders>
              <w:bottom w:val="single" w:sz="4" w:space="0" w:color="B3B3B3"/>
            </w:tcBorders>
            <w:shd w:val="clear" w:color="000000" w:fill="F2F2F2"/>
            <w:vAlign w:val="bottom"/>
          </w:tcPr>
          <w:p w14:paraId="29EBEF32" w14:textId="77777777" w:rsidR="002D737B" w:rsidRPr="006E0B6E" w:rsidRDefault="002D737B" w:rsidP="00066DA8">
            <w:pPr>
              <w:pStyle w:val="TableBody"/>
              <w:rPr>
                <w:rFonts w:ascii="Arial" w:hAnsi="Arial" w:cs="Arial"/>
                <w:szCs w:val="18"/>
              </w:rPr>
            </w:pPr>
            <w:r w:rsidRPr="006E0B6E">
              <w:rPr>
                <w:rFonts w:ascii="Arial" w:hAnsi="Arial" w:cs="Arial"/>
                <w:szCs w:val="18"/>
              </w:rPr>
              <w:t>20.0</w:t>
            </w:r>
          </w:p>
        </w:tc>
        <w:tc>
          <w:tcPr>
            <w:tcW w:w="1701" w:type="dxa"/>
            <w:tcBorders>
              <w:bottom w:val="single" w:sz="4" w:space="0" w:color="B3B3B3"/>
            </w:tcBorders>
            <w:shd w:val="clear" w:color="000000" w:fill="F2F2F2"/>
            <w:vAlign w:val="bottom"/>
          </w:tcPr>
          <w:p w14:paraId="5B440F0E" w14:textId="77777777" w:rsidR="002D737B" w:rsidRPr="006E0B6E" w:rsidRDefault="002D737B" w:rsidP="00066DA8">
            <w:pPr>
              <w:pStyle w:val="TableBody"/>
              <w:rPr>
                <w:rFonts w:ascii="Arial" w:hAnsi="Arial" w:cs="Arial"/>
                <w:szCs w:val="18"/>
              </w:rPr>
            </w:pPr>
            <w:r w:rsidRPr="006E0B6E">
              <w:rPr>
                <w:rFonts w:ascii="Arial" w:hAnsi="Arial" w:cs="Arial"/>
                <w:szCs w:val="18"/>
              </w:rPr>
              <w:t>66.0</w:t>
            </w:r>
          </w:p>
        </w:tc>
      </w:tr>
    </w:tbl>
    <w:p w14:paraId="4040C471" w14:textId="77777777" w:rsidR="002D737B" w:rsidRPr="006E0B6E" w:rsidRDefault="002D737B" w:rsidP="002D737B">
      <w:pPr>
        <w:pStyle w:val="Note"/>
        <w:rPr>
          <w:rFonts w:cs="Arial"/>
        </w:rPr>
      </w:pPr>
      <w:r w:rsidRPr="006E0B6E">
        <w:rPr>
          <w:rFonts w:cs="Arial"/>
          <w:b/>
          <w:bCs/>
        </w:rPr>
        <w:t>a.</w:t>
      </w:r>
      <w:r w:rsidRPr="006E0B6E">
        <w:rPr>
          <w:rFonts w:cs="Arial"/>
        </w:rPr>
        <w:t xml:space="preserve"> Some rows do not sum to 100 per cent due to rounding</w:t>
      </w:r>
    </w:p>
    <w:p w14:paraId="0FBCFEFE"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608F04E1" w14:textId="0FBCE78A" w:rsidR="002D737B" w:rsidRPr="006E0B6E" w:rsidRDefault="002D737B" w:rsidP="002D737B">
      <w:pPr>
        <w:rPr>
          <w:rFonts w:cs="Arial"/>
        </w:rPr>
      </w:pPr>
      <w:r w:rsidRPr="006E0B6E">
        <w:rPr>
          <w:rFonts w:cs="Arial"/>
        </w:rPr>
        <w:t>Tables </w:t>
      </w:r>
      <w:r w:rsidR="00D7221D" w:rsidRPr="006E0B6E">
        <w:rPr>
          <w:rFonts w:cs="Arial"/>
        </w:rPr>
        <w:t>1</w:t>
      </w:r>
      <w:r w:rsidR="00711C33" w:rsidRPr="006E0B6E">
        <w:rPr>
          <w:rFonts w:cs="Arial"/>
        </w:rPr>
        <w:t>0</w:t>
      </w:r>
      <w:r w:rsidRPr="006E0B6E">
        <w:rPr>
          <w:rFonts w:cs="Arial"/>
        </w:rPr>
        <w:t>–</w:t>
      </w:r>
      <w:r w:rsidR="00D7221D" w:rsidRPr="006E0B6E">
        <w:rPr>
          <w:rFonts w:cs="Arial"/>
        </w:rPr>
        <w:t>1</w:t>
      </w:r>
      <w:r w:rsidR="00711C33" w:rsidRPr="006E0B6E">
        <w:rPr>
          <w:rFonts w:cs="Arial"/>
        </w:rPr>
        <w:t>4</w:t>
      </w:r>
      <w:r w:rsidRPr="006E0B6E">
        <w:rPr>
          <w:rFonts w:cs="Arial"/>
        </w:rPr>
        <w:t xml:space="preserve"> show the estimates based on the ‘outflow – expected deaths’ approach.</w:t>
      </w:r>
    </w:p>
    <w:p w14:paraId="69BB04D3" w14:textId="04FF9E40" w:rsidR="002D737B" w:rsidRPr="00150B65" w:rsidRDefault="002D737B" w:rsidP="002D737B">
      <w:pPr>
        <w:pStyle w:val="FigureTableHeading"/>
        <w:rPr>
          <w:rFonts w:ascii="Arial" w:hAnsi="Arial" w:cs="Arial"/>
          <w:spacing w:val="-6"/>
        </w:rPr>
      </w:pPr>
      <w:r w:rsidRPr="00150B65">
        <w:rPr>
          <w:rFonts w:ascii="Arial" w:hAnsi="Arial" w:cs="Arial"/>
          <w:spacing w:val="-6"/>
        </w:rPr>
        <w:t xml:space="preserve">Table </w:t>
      </w:r>
      <w:r w:rsidR="005E2259" w:rsidRPr="00150B65">
        <w:rPr>
          <w:rFonts w:ascii="Arial" w:hAnsi="Arial" w:cs="Arial"/>
          <w:spacing w:val="-6"/>
        </w:rPr>
        <w:fldChar w:fldCharType="begin"/>
      </w:r>
      <w:r w:rsidR="005E2259" w:rsidRPr="00150B65">
        <w:rPr>
          <w:rFonts w:ascii="Arial" w:hAnsi="Arial" w:cs="Arial"/>
          <w:spacing w:val="-6"/>
        </w:rPr>
        <w:instrText xml:space="preserve"> SEQ Table \* ARABIC \s 1 </w:instrText>
      </w:r>
      <w:r w:rsidR="005E2259" w:rsidRPr="00150B65">
        <w:rPr>
          <w:rFonts w:ascii="Arial" w:hAnsi="Arial" w:cs="Arial"/>
          <w:spacing w:val="-6"/>
        </w:rPr>
        <w:fldChar w:fldCharType="separate"/>
      </w:r>
      <w:r w:rsidR="00FE0771">
        <w:rPr>
          <w:rFonts w:ascii="Arial" w:hAnsi="Arial" w:cs="Arial"/>
          <w:noProof/>
          <w:spacing w:val="-6"/>
        </w:rPr>
        <w:t>10</w:t>
      </w:r>
      <w:r w:rsidR="005E2259" w:rsidRPr="00150B65">
        <w:rPr>
          <w:rFonts w:ascii="Arial" w:hAnsi="Arial" w:cs="Arial"/>
          <w:noProof/>
          <w:spacing w:val="-6"/>
        </w:rPr>
        <w:fldChar w:fldCharType="end"/>
      </w:r>
      <w:r w:rsidRPr="00150B65">
        <w:rPr>
          <w:rFonts w:ascii="Arial" w:hAnsi="Arial" w:cs="Arial"/>
          <w:noProof/>
          <w:spacing w:val="-6"/>
        </w:rPr>
        <w:t xml:space="preserve"> – </w:t>
      </w:r>
      <w:r w:rsidRPr="00150B65">
        <w:rPr>
          <w:rFonts w:ascii="Arial" w:hAnsi="Arial" w:cs="Arial"/>
          <w:spacing w:val="-6"/>
        </w:rPr>
        <w:t>Inheritances bequeathed by households from the 1</w:t>
      </w:r>
      <w:r w:rsidRPr="00150B65">
        <w:rPr>
          <w:rFonts w:ascii="Arial" w:hAnsi="Arial" w:cs="Arial"/>
          <w:spacing w:val="-6"/>
          <w:vertAlign w:val="superscript"/>
        </w:rPr>
        <w:t>st</w:t>
      </w:r>
      <w:r w:rsidRPr="00150B65">
        <w:rPr>
          <w:rFonts w:ascii="Arial" w:hAnsi="Arial" w:cs="Arial"/>
          <w:spacing w:val="-6"/>
        </w:rPr>
        <w:t xml:space="preserve"> quintile of the equivalised wealth distribution</w:t>
      </w:r>
    </w:p>
    <w:p w14:paraId="46B511BB"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expected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835"/>
        <w:gridCol w:w="2835"/>
        <w:gridCol w:w="2835"/>
      </w:tblGrid>
      <w:tr w:rsidR="002D737B" w:rsidRPr="006E0B6E" w14:paraId="7AB63206" w14:textId="77777777" w:rsidTr="00066DA8">
        <w:trPr>
          <w:tblHeader/>
        </w:trPr>
        <w:tc>
          <w:tcPr>
            <w:tcW w:w="709" w:type="dxa"/>
            <w:tcBorders>
              <w:bottom w:val="single" w:sz="4" w:space="0" w:color="B3B3B3"/>
            </w:tcBorders>
            <w:shd w:val="clear" w:color="000000" w:fill="auto"/>
            <w:vAlign w:val="bottom"/>
          </w:tcPr>
          <w:p w14:paraId="2B760F2C"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835" w:type="dxa"/>
            <w:tcBorders>
              <w:bottom w:val="single" w:sz="4" w:space="0" w:color="B3B3B3"/>
            </w:tcBorders>
            <w:shd w:val="clear" w:color="000000" w:fill="auto"/>
            <w:vAlign w:val="bottom"/>
          </w:tcPr>
          <w:p w14:paraId="6B30D576"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835" w:type="dxa"/>
            <w:tcBorders>
              <w:bottom w:val="single" w:sz="4" w:space="0" w:color="B3B3B3"/>
            </w:tcBorders>
            <w:shd w:val="clear" w:color="000000" w:fill="auto"/>
            <w:vAlign w:val="bottom"/>
          </w:tcPr>
          <w:p w14:paraId="4B79FED6"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835" w:type="dxa"/>
            <w:tcBorders>
              <w:bottom w:val="single" w:sz="4" w:space="0" w:color="B3B3B3"/>
            </w:tcBorders>
            <w:shd w:val="clear" w:color="000000" w:fill="auto"/>
          </w:tcPr>
          <w:p w14:paraId="22323208"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r>
      <w:tr w:rsidR="002D737B" w:rsidRPr="006E0B6E" w14:paraId="2F34C0ED" w14:textId="77777777" w:rsidTr="00066DA8">
        <w:tc>
          <w:tcPr>
            <w:tcW w:w="709" w:type="dxa"/>
            <w:tcBorders>
              <w:top w:val="single" w:sz="4" w:space="0" w:color="B3B3B3"/>
              <w:bottom w:val="nil"/>
            </w:tcBorders>
            <w:shd w:val="clear" w:color="000000" w:fill="F2F2F2"/>
          </w:tcPr>
          <w:p w14:paraId="3AA9F735" w14:textId="77777777" w:rsidR="002D737B" w:rsidRPr="006E0B6E" w:rsidRDefault="002D737B" w:rsidP="00066DA8">
            <w:pPr>
              <w:pStyle w:val="TableBody"/>
              <w:rPr>
                <w:rFonts w:ascii="Arial" w:hAnsi="Arial" w:cs="Arial"/>
              </w:rPr>
            </w:pPr>
          </w:p>
        </w:tc>
        <w:tc>
          <w:tcPr>
            <w:tcW w:w="2835" w:type="dxa"/>
            <w:tcBorders>
              <w:top w:val="single" w:sz="4" w:space="0" w:color="B3B3B3"/>
              <w:bottom w:val="nil"/>
            </w:tcBorders>
            <w:shd w:val="clear" w:color="000000" w:fill="F2F2F2"/>
            <w:vAlign w:val="bottom"/>
          </w:tcPr>
          <w:p w14:paraId="257D7CCE"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 (tens of thousands)</w:t>
            </w:r>
          </w:p>
        </w:tc>
        <w:tc>
          <w:tcPr>
            <w:tcW w:w="2835" w:type="dxa"/>
            <w:tcBorders>
              <w:top w:val="single" w:sz="4" w:space="0" w:color="B3B3B3"/>
              <w:bottom w:val="nil"/>
            </w:tcBorders>
            <w:shd w:val="clear" w:color="000000" w:fill="F2F2F2"/>
            <w:vAlign w:val="bottom"/>
          </w:tcPr>
          <w:p w14:paraId="5A29A86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835" w:type="dxa"/>
            <w:tcBorders>
              <w:top w:val="single" w:sz="4" w:space="0" w:color="B3B3B3"/>
              <w:bottom w:val="nil"/>
            </w:tcBorders>
            <w:shd w:val="clear" w:color="000000" w:fill="F2F2F2"/>
            <w:vAlign w:val="bottom"/>
          </w:tcPr>
          <w:p w14:paraId="0B2F4347"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r>
      <w:tr w:rsidR="002D737B" w:rsidRPr="006E0B6E" w14:paraId="247BEA89" w14:textId="77777777" w:rsidTr="00066DA8">
        <w:tc>
          <w:tcPr>
            <w:tcW w:w="709" w:type="dxa"/>
            <w:tcBorders>
              <w:top w:val="single" w:sz="4" w:space="0" w:color="B3B3B3"/>
              <w:bottom w:val="nil"/>
            </w:tcBorders>
            <w:shd w:val="clear" w:color="000000" w:fill="F2F2F2"/>
          </w:tcPr>
          <w:p w14:paraId="15DA1E8A" w14:textId="77777777" w:rsidR="002D737B" w:rsidRPr="006E0B6E" w:rsidRDefault="002D737B" w:rsidP="00066DA8">
            <w:pPr>
              <w:pStyle w:val="TableBody"/>
              <w:rPr>
                <w:rFonts w:ascii="Arial" w:hAnsi="Arial" w:cs="Arial"/>
                <w:b/>
                <w:bCs/>
              </w:rPr>
            </w:pPr>
            <w:r w:rsidRPr="006E0B6E">
              <w:rPr>
                <w:rFonts w:ascii="Arial" w:hAnsi="Arial" w:cs="Arial"/>
                <w:b/>
                <w:bCs/>
              </w:rPr>
              <w:t>2002</w:t>
            </w:r>
          </w:p>
        </w:tc>
        <w:tc>
          <w:tcPr>
            <w:tcW w:w="2835" w:type="dxa"/>
            <w:tcBorders>
              <w:top w:val="single" w:sz="4" w:space="0" w:color="B3B3B3"/>
              <w:bottom w:val="nil"/>
            </w:tcBorders>
            <w:shd w:val="clear" w:color="000000" w:fill="F2F2F2"/>
            <w:vAlign w:val="bottom"/>
          </w:tcPr>
          <w:p w14:paraId="6BD250D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2.0</w:t>
            </w:r>
          </w:p>
        </w:tc>
        <w:tc>
          <w:tcPr>
            <w:tcW w:w="2835" w:type="dxa"/>
            <w:tcBorders>
              <w:top w:val="single" w:sz="4" w:space="0" w:color="B3B3B3"/>
              <w:bottom w:val="nil"/>
            </w:tcBorders>
            <w:shd w:val="clear" w:color="000000" w:fill="F2F2F2"/>
            <w:vAlign w:val="bottom"/>
          </w:tcPr>
          <w:p w14:paraId="7E738D6F"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0.2</w:t>
            </w:r>
          </w:p>
        </w:tc>
        <w:tc>
          <w:tcPr>
            <w:tcW w:w="2835" w:type="dxa"/>
            <w:tcBorders>
              <w:top w:val="single" w:sz="4" w:space="0" w:color="B3B3B3"/>
              <w:bottom w:val="nil"/>
            </w:tcBorders>
            <w:shd w:val="clear" w:color="000000" w:fill="F2F2F2"/>
            <w:vAlign w:val="bottom"/>
          </w:tcPr>
          <w:p w14:paraId="3205D2F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0.1</w:t>
            </w:r>
          </w:p>
        </w:tc>
      </w:tr>
      <w:tr w:rsidR="002D737B" w:rsidRPr="006E0B6E" w14:paraId="6B0ED9BA" w14:textId="77777777" w:rsidTr="00066DA8">
        <w:tc>
          <w:tcPr>
            <w:tcW w:w="709" w:type="dxa"/>
            <w:tcBorders>
              <w:top w:val="nil"/>
              <w:bottom w:val="nil"/>
            </w:tcBorders>
            <w:shd w:val="clear" w:color="000000" w:fill="auto"/>
          </w:tcPr>
          <w:p w14:paraId="40E14D35" w14:textId="77777777" w:rsidR="002D737B" w:rsidRPr="006E0B6E" w:rsidRDefault="002D737B" w:rsidP="00066DA8">
            <w:pPr>
              <w:pStyle w:val="TableBody"/>
              <w:rPr>
                <w:rFonts w:ascii="Arial" w:hAnsi="Arial" w:cs="Arial"/>
                <w:b/>
                <w:bCs/>
              </w:rPr>
            </w:pPr>
            <w:r w:rsidRPr="006E0B6E">
              <w:rPr>
                <w:rFonts w:ascii="Arial" w:hAnsi="Arial" w:cs="Arial"/>
                <w:b/>
                <w:bCs/>
              </w:rPr>
              <w:t>2006</w:t>
            </w:r>
          </w:p>
        </w:tc>
        <w:tc>
          <w:tcPr>
            <w:tcW w:w="2835" w:type="dxa"/>
            <w:tcBorders>
              <w:top w:val="nil"/>
              <w:bottom w:val="nil"/>
            </w:tcBorders>
            <w:shd w:val="clear" w:color="000000" w:fill="auto"/>
            <w:vAlign w:val="bottom"/>
          </w:tcPr>
          <w:p w14:paraId="1E5BB00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2.6</w:t>
            </w:r>
          </w:p>
        </w:tc>
        <w:tc>
          <w:tcPr>
            <w:tcW w:w="2835" w:type="dxa"/>
            <w:tcBorders>
              <w:top w:val="nil"/>
              <w:bottom w:val="nil"/>
            </w:tcBorders>
            <w:shd w:val="clear" w:color="000000" w:fill="auto"/>
            <w:vAlign w:val="bottom"/>
          </w:tcPr>
          <w:p w14:paraId="3E7C410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0.3</w:t>
            </w:r>
          </w:p>
        </w:tc>
        <w:tc>
          <w:tcPr>
            <w:tcW w:w="2835" w:type="dxa"/>
            <w:tcBorders>
              <w:top w:val="nil"/>
              <w:bottom w:val="nil"/>
            </w:tcBorders>
            <w:shd w:val="clear" w:color="000000" w:fill="auto"/>
            <w:vAlign w:val="bottom"/>
          </w:tcPr>
          <w:p w14:paraId="3FD8610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0.2</w:t>
            </w:r>
          </w:p>
        </w:tc>
      </w:tr>
      <w:tr w:rsidR="002D737B" w:rsidRPr="006E0B6E" w14:paraId="099ED5A6" w14:textId="77777777" w:rsidTr="00066DA8">
        <w:tc>
          <w:tcPr>
            <w:tcW w:w="709" w:type="dxa"/>
            <w:shd w:val="clear" w:color="000000" w:fill="F2F2F2"/>
          </w:tcPr>
          <w:p w14:paraId="33C39767" w14:textId="77777777" w:rsidR="002D737B" w:rsidRPr="006E0B6E" w:rsidRDefault="002D737B" w:rsidP="00066DA8">
            <w:pPr>
              <w:pStyle w:val="TableBody"/>
              <w:rPr>
                <w:rFonts w:ascii="Arial" w:hAnsi="Arial" w:cs="Arial"/>
                <w:b/>
                <w:bCs/>
              </w:rPr>
            </w:pPr>
            <w:r w:rsidRPr="006E0B6E">
              <w:rPr>
                <w:rFonts w:ascii="Arial" w:hAnsi="Arial" w:cs="Arial"/>
                <w:b/>
                <w:bCs/>
              </w:rPr>
              <w:t>2010</w:t>
            </w:r>
          </w:p>
        </w:tc>
        <w:tc>
          <w:tcPr>
            <w:tcW w:w="2835" w:type="dxa"/>
            <w:shd w:val="clear" w:color="000000" w:fill="F2F2F2"/>
            <w:vAlign w:val="bottom"/>
          </w:tcPr>
          <w:p w14:paraId="7194145F"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2.8</w:t>
            </w:r>
          </w:p>
        </w:tc>
        <w:tc>
          <w:tcPr>
            <w:tcW w:w="2835" w:type="dxa"/>
            <w:shd w:val="clear" w:color="000000" w:fill="F2F2F2"/>
            <w:vAlign w:val="bottom"/>
          </w:tcPr>
          <w:p w14:paraId="58DE6510"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0.3</w:t>
            </w:r>
          </w:p>
        </w:tc>
        <w:tc>
          <w:tcPr>
            <w:tcW w:w="2835" w:type="dxa"/>
            <w:shd w:val="clear" w:color="000000" w:fill="F2F2F2"/>
            <w:vAlign w:val="bottom"/>
          </w:tcPr>
          <w:p w14:paraId="66D80E0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0.2</w:t>
            </w:r>
          </w:p>
        </w:tc>
      </w:tr>
      <w:tr w:rsidR="002D737B" w:rsidRPr="006E0B6E" w14:paraId="3CFA751A" w14:textId="77777777" w:rsidTr="00066DA8">
        <w:tc>
          <w:tcPr>
            <w:tcW w:w="709" w:type="dxa"/>
            <w:shd w:val="clear" w:color="auto" w:fill="auto"/>
          </w:tcPr>
          <w:p w14:paraId="2D76F023" w14:textId="77777777" w:rsidR="002D737B" w:rsidRPr="006E0B6E" w:rsidRDefault="002D737B" w:rsidP="00066DA8">
            <w:pPr>
              <w:pStyle w:val="TableBody"/>
              <w:rPr>
                <w:rFonts w:ascii="Arial" w:hAnsi="Arial" w:cs="Arial"/>
                <w:b/>
                <w:bCs/>
              </w:rPr>
            </w:pPr>
            <w:r w:rsidRPr="006E0B6E">
              <w:rPr>
                <w:rFonts w:ascii="Arial" w:hAnsi="Arial" w:cs="Arial"/>
                <w:b/>
                <w:bCs/>
              </w:rPr>
              <w:t>2014</w:t>
            </w:r>
          </w:p>
        </w:tc>
        <w:tc>
          <w:tcPr>
            <w:tcW w:w="2835" w:type="dxa"/>
            <w:shd w:val="clear" w:color="auto" w:fill="auto"/>
            <w:vAlign w:val="bottom"/>
          </w:tcPr>
          <w:p w14:paraId="46E73659"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2.3</w:t>
            </w:r>
          </w:p>
        </w:tc>
        <w:tc>
          <w:tcPr>
            <w:tcW w:w="2835" w:type="dxa"/>
            <w:shd w:val="clear" w:color="auto" w:fill="auto"/>
            <w:vAlign w:val="bottom"/>
          </w:tcPr>
          <w:p w14:paraId="2F1CC0AF"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0.3</w:t>
            </w:r>
          </w:p>
        </w:tc>
        <w:tc>
          <w:tcPr>
            <w:tcW w:w="2835" w:type="dxa"/>
            <w:shd w:val="clear" w:color="auto" w:fill="auto"/>
            <w:vAlign w:val="bottom"/>
          </w:tcPr>
          <w:p w14:paraId="7D18D6E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0.2</w:t>
            </w:r>
          </w:p>
        </w:tc>
      </w:tr>
      <w:tr w:rsidR="002D737B" w:rsidRPr="006E0B6E" w14:paraId="7C87FA9C" w14:textId="77777777" w:rsidTr="00066DA8">
        <w:tc>
          <w:tcPr>
            <w:tcW w:w="709" w:type="dxa"/>
            <w:tcBorders>
              <w:bottom w:val="single" w:sz="4" w:space="0" w:color="B3B3B3"/>
            </w:tcBorders>
            <w:shd w:val="clear" w:color="000000" w:fill="F2F2F2"/>
          </w:tcPr>
          <w:p w14:paraId="6F6B3E09" w14:textId="77777777" w:rsidR="002D737B" w:rsidRPr="006E0B6E" w:rsidRDefault="002D737B" w:rsidP="00066DA8">
            <w:pPr>
              <w:pStyle w:val="TableBody"/>
              <w:rPr>
                <w:rFonts w:ascii="Arial" w:hAnsi="Arial" w:cs="Arial"/>
                <w:b/>
                <w:bCs/>
              </w:rPr>
            </w:pPr>
            <w:r w:rsidRPr="006E0B6E">
              <w:rPr>
                <w:rFonts w:ascii="Arial" w:hAnsi="Arial" w:cs="Arial"/>
                <w:b/>
                <w:bCs/>
              </w:rPr>
              <w:t>2018</w:t>
            </w:r>
          </w:p>
        </w:tc>
        <w:tc>
          <w:tcPr>
            <w:tcW w:w="2835" w:type="dxa"/>
            <w:tcBorders>
              <w:bottom w:val="single" w:sz="4" w:space="0" w:color="B3B3B3"/>
            </w:tcBorders>
            <w:shd w:val="clear" w:color="000000" w:fill="F2F2F2"/>
            <w:vAlign w:val="bottom"/>
          </w:tcPr>
          <w:p w14:paraId="0037C61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2.5</w:t>
            </w:r>
          </w:p>
        </w:tc>
        <w:tc>
          <w:tcPr>
            <w:tcW w:w="2835" w:type="dxa"/>
            <w:tcBorders>
              <w:bottom w:val="single" w:sz="4" w:space="0" w:color="B3B3B3"/>
            </w:tcBorders>
            <w:shd w:val="clear" w:color="000000" w:fill="F2F2F2"/>
            <w:vAlign w:val="bottom"/>
          </w:tcPr>
          <w:p w14:paraId="76B6827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0.4</w:t>
            </w:r>
          </w:p>
        </w:tc>
        <w:tc>
          <w:tcPr>
            <w:tcW w:w="2835" w:type="dxa"/>
            <w:tcBorders>
              <w:bottom w:val="single" w:sz="4" w:space="0" w:color="B3B3B3"/>
            </w:tcBorders>
            <w:shd w:val="clear" w:color="000000" w:fill="F2F2F2"/>
            <w:vAlign w:val="bottom"/>
          </w:tcPr>
          <w:p w14:paraId="52B81EF2"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0.3</w:t>
            </w:r>
          </w:p>
        </w:tc>
      </w:tr>
    </w:tbl>
    <w:p w14:paraId="07A62491"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0BD585C0" w14:textId="76A6EA2E" w:rsidR="002D737B" w:rsidRPr="00334A8D" w:rsidRDefault="002D737B" w:rsidP="002D737B">
      <w:pPr>
        <w:pStyle w:val="FigureTableHeading"/>
        <w:rPr>
          <w:rFonts w:ascii="Arial" w:hAnsi="Arial" w:cs="Arial"/>
          <w:spacing w:val="-6"/>
        </w:rPr>
      </w:pPr>
      <w:r w:rsidRPr="00334A8D">
        <w:rPr>
          <w:rFonts w:ascii="Arial" w:hAnsi="Arial" w:cs="Arial"/>
          <w:spacing w:val="-6"/>
        </w:rPr>
        <w:t xml:space="preserve">Table </w:t>
      </w:r>
      <w:r w:rsidR="005E2259" w:rsidRPr="00334A8D">
        <w:rPr>
          <w:rFonts w:ascii="Arial" w:hAnsi="Arial" w:cs="Arial"/>
          <w:spacing w:val="-6"/>
        </w:rPr>
        <w:fldChar w:fldCharType="begin"/>
      </w:r>
      <w:r w:rsidR="005E2259" w:rsidRPr="00334A8D">
        <w:rPr>
          <w:rFonts w:ascii="Arial" w:hAnsi="Arial" w:cs="Arial"/>
          <w:spacing w:val="-6"/>
        </w:rPr>
        <w:instrText xml:space="preserve"> SEQ Table \* ARABIC \s 1 </w:instrText>
      </w:r>
      <w:r w:rsidR="005E2259" w:rsidRPr="00334A8D">
        <w:rPr>
          <w:rFonts w:ascii="Arial" w:hAnsi="Arial" w:cs="Arial"/>
          <w:spacing w:val="-6"/>
        </w:rPr>
        <w:fldChar w:fldCharType="separate"/>
      </w:r>
      <w:r w:rsidR="00FE0771">
        <w:rPr>
          <w:rFonts w:ascii="Arial" w:hAnsi="Arial" w:cs="Arial"/>
          <w:noProof/>
          <w:spacing w:val="-6"/>
        </w:rPr>
        <w:t>11</w:t>
      </w:r>
      <w:r w:rsidR="005E2259" w:rsidRPr="00334A8D">
        <w:rPr>
          <w:rFonts w:ascii="Arial" w:hAnsi="Arial" w:cs="Arial"/>
          <w:noProof/>
          <w:spacing w:val="-6"/>
        </w:rPr>
        <w:fldChar w:fldCharType="end"/>
      </w:r>
      <w:r w:rsidRPr="00334A8D">
        <w:rPr>
          <w:rFonts w:ascii="Arial" w:hAnsi="Arial" w:cs="Arial"/>
          <w:noProof/>
          <w:spacing w:val="-6"/>
        </w:rPr>
        <w:t xml:space="preserve"> – </w:t>
      </w:r>
      <w:r w:rsidRPr="00334A8D">
        <w:rPr>
          <w:rFonts w:ascii="Arial" w:hAnsi="Arial" w:cs="Arial"/>
          <w:spacing w:val="-6"/>
        </w:rPr>
        <w:t>Inheritances bequeathed by households from the 2</w:t>
      </w:r>
      <w:r w:rsidRPr="00334A8D">
        <w:rPr>
          <w:rFonts w:ascii="Arial" w:hAnsi="Arial" w:cs="Arial"/>
          <w:spacing w:val="-6"/>
          <w:vertAlign w:val="superscript"/>
        </w:rPr>
        <w:t>nd</w:t>
      </w:r>
      <w:r w:rsidRPr="00334A8D">
        <w:rPr>
          <w:rFonts w:ascii="Arial" w:hAnsi="Arial" w:cs="Arial"/>
          <w:spacing w:val="-6"/>
        </w:rPr>
        <w:t xml:space="preserve"> quintile of the equivalised wealth distribution</w:t>
      </w:r>
    </w:p>
    <w:p w14:paraId="1978DDA3"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expected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835"/>
        <w:gridCol w:w="2835"/>
        <w:gridCol w:w="2835"/>
      </w:tblGrid>
      <w:tr w:rsidR="002D737B" w:rsidRPr="006E0B6E" w14:paraId="1393759F" w14:textId="77777777" w:rsidTr="00066DA8">
        <w:trPr>
          <w:tblHeader/>
        </w:trPr>
        <w:tc>
          <w:tcPr>
            <w:tcW w:w="709" w:type="dxa"/>
            <w:tcBorders>
              <w:bottom w:val="single" w:sz="4" w:space="0" w:color="B3B3B3"/>
            </w:tcBorders>
            <w:shd w:val="clear" w:color="000000" w:fill="auto"/>
            <w:vAlign w:val="bottom"/>
          </w:tcPr>
          <w:p w14:paraId="4CDB633F"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835" w:type="dxa"/>
            <w:tcBorders>
              <w:bottom w:val="single" w:sz="4" w:space="0" w:color="B3B3B3"/>
            </w:tcBorders>
            <w:shd w:val="clear" w:color="000000" w:fill="auto"/>
            <w:vAlign w:val="bottom"/>
          </w:tcPr>
          <w:p w14:paraId="177B4819"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835" w:type="dxa"/>
            <w:tcBorders>
              <w:bottom w:val="single" w:sz="4" w:space="0" w:color="B3B3B3"/>
            </w:tcBorders>
            <w:shd w:val="clear" w:color="000000" w:fill="auto"/>
            <w:vAlign w:val="bottom"/>
          </w:tcPr>
          <w:p w14:paraId="6F89A33F"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835" w:type="dxa"/>
            <w:tcBorders>
              <w:bottom w:val="single" w:sz="4" w:space="0" w:color="B3B3B3"/>
            </w:tcBorders>
            <w:shd w:val="clear" w:color="000000" w:fill="auto"/>
          </w:tcPr>
          <w:p w14:paraId="0E48A29F"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r>
      <w:tr w:rsidR="002D737B" w:rsidRPr="006E0B6E" w14:paraId="3952DD08" w14:textId="77777777" w:rsidTr="00066DA8">
        <w:tc>
          <w:tcPr>
            <w:tcW w:w="709" w:type="dxa"/>
            <w:tcBorders>
              <w:top w:val="single" w:sz="4" w:space="0" w:color="B3B3B3"/>
              <w:bottom w:val="nil"/>
            </w:tcBorders>
            <w:shd w:val="clear" w:color="000000" w:fill="F2F2F2"/>
          </w:tcPr>
          <w:p w14:paraId="1B140FA8" w14:textId="77777777" w:rsidR="002D737B" w:rsidRPr="006E0B6E" w:rsidRDefault="002D737B" w:rsidP="00066DA8">
            <w:pPr>
              <w:pStyle w:val="TableBody"/>
              <w:rPr>
                <w:rFonts w:ascii="Arial" w:hAnsi="Arial" w:cs="Arial"/>
              </w:rPr>
            </w:pPr>
          </w:p>
        </w:tc>
        <w:tc>
          <w:tcPr>
            <w:tcW w:w="2835" w:type="dxa"/>
            <w:tcBorders>
              <w:top w:val="single" w:sz="4" w:space="0" w:color="B3B3B3"/>
              <w:bottom w:val="nil"/>
            </w:tcBorders>
            <w:shd w:val="clear" w:color="000000" w:fill="F2F2F2"/>
            <w:vAlign w:val="bottom"/>
          </w:tcPr>
          <w:p w14:paraId="6BA97107"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 (tens of thousands)</w:t>
            </w:r>
          </w:p>
        </w:tc>
        <w:tc>
          <w:tcPr>
            <w:tcW w:w="2835" w:type="dxa"/>
            <w:tcBorders>
              <w:top w:val="single" w:sz="4" w:space="0" w:color="B3B3B3"/>
              <w:bottom w:val="nil"/>
            </w:tcBorders>
            <w:shd w:val="clear" w:color="000000" w:fill="F2F2F2"/>
            <w:vAlign w:val="bottom"/>
          </w:tcPr>
          <w:p w14:paraId="5E6200F1"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835" w:type="dxa"/>
            <w:tcBorders>
              <w:top w:val="single" w:sz="4" w:space="0" w:color="B3B3B3"/>
              <w:bottom w:val="nil"/>
            </w:tcBorders>
            <w:shd w:val="clear" w:color="000000" w:fill="F2F2F2"/>
            <w:vAlign w:val="bottom"/>
          </w:tcPr>
          <w:p w14:paraId="70CB10D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r>
      <w:tr w:rsidR="002D737B" w:rsidRPr="006E0B6E" w14:paraId="546B5443" w14:textId="77777777" w:rsidTr="00066DA8">
        <w:tc>
          <w:tcPr>
            <w:tcW w:w="709" w:type="dxa"/>
            <w:tcBorders>
              <w:top w:val="single" w:sz="4" w:space="0" w:color="B3B3B3"/>
              <w:bottom w:val="nil"/>
            </w:tcBorders>
            <w:shd w:val="clear" w:color="000000" w:fill="F2F2F2"/>
          </w:tcPr>
          <w:p w14:paraId="3AF6415E" w14:textId="77777777" w:rsidR="002D737B" w:rsidRPr="006E0B6E" w:rsidRDefault="002D737B" w:rsidP="00066DA8">
            <w:pPr>
              <w:pStyle w:val="TableBody"/>
              <w:rPr>
                <w:rFonts w:ascii="Arial" w:hAnsi="Arial" w:cs="Arial"/>
                <w:b/>
                <w:bCs/>
              </w:rPr>
            </w:pPr>
            <w:r w:rsidRPr="006E0B6E">
              <w:rPr>
                <w:rFonts w:ascii="Arial" w:hAnsi="Arial" w:cs="Arial"/>
                <w:b/>
                <w:bCs/>
              </w:rPr>
              <w:t>2002</w:t>
            </w:r>
          </w:p>
        </w:tc>
        <w:tc>
          <w:tcPr>
            <w:tcW w:w="2835" w:type="dxa"/>
            <w:tcBorders>
              <w:top w:val="single" w:sz="4" w:space="0" w:color="B3B3B3"/>
              <w:bottom w:val="nil"/>
            </w:tcBorders>
            <w:shd w:val="clear" w:color="000000" w:fill="F2F2F2"/>
            <w:vAlign w:val="bottom"/>
          </w:tcPr>
          <w:p w14:paraId="1436753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1.8</w:t>
            </w:r>
          </w:p>
        </w:tc>
        <w:tc>
          <w:tcPr>
            <w:tcW w:w="2835" w:type="dxa"/>
            <w:tcBorders>
              <w:top w:val="single" w:sz="4" w:space="0" w:color="B3B3B3"/>
              <w:bottom w:val="nil"/>
            </w:tcBorders>
            <w:shd w:val="clear" w:color="000000" w:fill="F2F2F2"/>
            <w:vAlign w:val="bottom"/>
          </w:tcPr>
          <w:p w14:paraId="083C609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1.4</w:t>
            </w:r>
          </w:p>
        </w:tc>
        <w:tc>
          <w:tcPr>
            <w:tcW w:w="2835" w:type="dxa"/>
            <w:tcBorders>
              <w:top w:val="single" w:sz="4" w:space="0" w:color="B3B3B3"/>
              <w:bottom w:val="nil"/>
            </w:tcBorders>
            <w:shd w:val="clear" w:color="000000" w:fill="F2F2F2"/>
            <w:vAlign w:val="bottom"/>
          </w:tcPr>
          <w:p w14:paraId="0F51E92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0.7</w:t>
            </w:r>
          </w:p>
        </w:tc>
      </w:tr>
      <w:tr w:rsidR="002D737B" w:rsidRPr="006E0B6E" w14:paraId="273B59A1" w14:textId="77777777" w:rsidTr="00066DA8">
        <w:tc>
          <w:tcPr>
            <w:tcW w:w="709" w:type="dxa"/>
            <w:tcBorders>
              <w:top w:val="nil"/>
              <w:bottom w:val="nil"/>
            </w:tcBorders>
            <w:shd w:val="clear" w:color="000000" w:fill="auto"/>
          </w:tcPr>
          <w:p w14:paraId="348C8447" w14:textId="77777777" w:rsidR="002D737B" w:rsidRPr="006E0B6E" w:rsidRDefault="002D737B" w:rsidP="00066DA8">
            <w:pPr>
              <w:pStyle w:val="TableBody"/>
              <w:rPr>
                <w:rFonts w:ascii="Arial" w:hAnsi="Arial" w:cs="Arial"/>
                <w:b/>
                <w:bCs/>
              </w:rPr>
            </w:pPr>
            <w:r w:rsidRPr="006E0B6E">
              <w:rPr>
                <w:rFonts w:ascii="Arial" w:hAnsi="Arial" w:cs="Arial"/>
                <w:b/>
                <w:bCs/>
              </w:rPr>
              <w:t>2006</w:t>
            </w:r>
          </w:p>
        </w:tc>
        <w:tc>
          <w:tcPr>
            <w:tcW w:w="2835" w:type="dxa"/>
            <w:tcBorders>
              <w:top w:val="nil"/>
              <w:bottom w:val="nil"/>
            </w:tcBorders>
            <w:shd w:val="clear" w:color="000000" w:fill="auto"/>
            <w:vAlign w:val="bottom"/>
          </w:tcPr>
          <w:p w14:paraId="0DBB6DE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w:t>
            </w:r>
          </w:p>
        </w:tc>
        <w:tc>
          <w:tcPr>
            <w:tcW w:w="2835" w:type="dxa"/>
            <w:tcBorders>
              <w:top w:val="nil"/>
              <w:bottom w:val="nil"/>
            </w:tcBorders>
            <w:shd w:val="clear" w:color="000000" w:fill="auto"/>
            <w:vAlign w:val="bottom"/>
          </w:tcPr>
          <w:p w14:paraId="6A736BF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1.4</w:t>
            </w:r>
          </w:p>
        </w:tc>
        <w:tc>
          <w:tcPr>
            <w:tcW w:w="2835" w:type="dxa"/>
            <w:tcBorders>
              <w:top w:val="nil"/>
              <w:bottom w:val="nil"/>
            </w:tcBorders>
            <w:shd w:val="clear" w:color="000000" w:fill="auto"/>
            <w:vAlign w:val="bottom"/>
          </w:tcPr>
          <w:p w14:paraId="6902B089"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0.6</w:t>
            </w:r>
          </w:p>
        </w:tc>
      </w:tr>
      <w:tr w:rsidR="002D737B" w:rsidRPr="006E0B6E" w14:paraId="15FDE94A" w14:textId="77777777" w:rsidTr="00066DA8">
        <w:tc>
          <w:tcPr>
            <w:tcW w:w="709" w:type="dxa"/>
            <w:shd w:val="clear" w:color="000000" w:fill="F2F2F2"/>
          </w:tcPr>
          <w:p w14:paraId="2AEA3182" w14:textId="77777777" w:rsidR="002D737B" w:rsidRPr="006E0B6E" w:rsidRDefault="002D737B" w:rsidP="00066DA8">
            <w:pPr>
              <w:pStyle w:val="TableBody"/>
              <w:rPr>
                <w:rFonts w:ascii="Arial" w:hAnsi="Arial" w:cs="Arial"/>
                <w:b/>
                <w:bCs/>
              </w:rPr>
            </w:pPr>
            <w:r w:rsidRPr="006E0B6E">
              <w:rPr>
                <w:rFonts w:ascii="Arial" w:hAnsi="Arial" w:cs="Arial"/>
                <w:b/>
                <w:bCs/>
              </w:rPr>
              <w:t>2010</w:t>
            </w:r>
          </w:p>
        </w:tc>
        <w:tc>
          <w:tcPr>
            <w:tcW w:w="2835" w:type="dxa"/>
            <w:shd w:val="clear" w:color="000000" w:fill="F2F2F2"/>
            <w:vAlign w:val="bottom"/>
          </w:tcPr>
          <w:p w14:paraId="757A0EA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1.5</w:t>
            </w:r>
          </w:p>
        </w:tc>
        <w:tc>
          <w:tcPr>
            <w:tcW w:w="2835" w:type="dxa"/>
            <w:shd w:val="clear" w:color="000000" w:fill="F2F2F2"/>
            <w:vAlign w:val="bottom"/>
          </w:tcPr>
          <w:p w14:paraId="66913957"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1.5</w:t>
            </w:r>
          </w:p>
        </w:tc>
        <w:tc>
          <w:tcPr>
            <w:tcW w:w="2835" w:type="dxa"/>
            <w:shd w:val="clear" w:color="000000" w:fill="F2F2F2"/>
            <w:vAlign w:val="bottom"/>
          </w:tcPr>
          <w:p w14:paraId="6C51B79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0.8</w:t>
            </w:r>
          </w:p>
        </w:tc>
      </w:tr>
      <w:tr w:rsidR="002D737B" w:rsidRPr="006E0B6E" w14:paraId="25DB7A5F" w14:textId="77777777" w:rsidTr="00066DA8">
        <w:tc>
          <w:tcPr>
            <w:tcW w:w="709" w:type="dxa"/>
            <w:shd w:val="clear" w:color="auto" w:fill="auto"/>
          </w:tcPr>
          <w:p w14:paraId="48EB7B0C" w14:textId="77777777" w:rsidR="002D737B" w:rsidRPr="006E0B6E" w:rsidRDefault="002D737B" w:rsidP="00066DA8">
            <w:pPr>
              <w:pStyle w:val="TableBody"/>
              <w:rPr>
                <w:rFonts w:ascii="Arial" w:hAnsi="Arial" w:cs="Arial"/>
                <w:b/>
                <w:bCs/>
              </w:rPr>
            </w:pPr>
            <w:r w:rsidRPr="006E0B6E">
              <w:rPr>
                <w:rFonts w:ascii="Arial" w:hAnsi="Arial" w:cs="Arial"/>
                <w:b/>
                <w:bCs/>
              </w:rPr>
              <w:t>2014</w:t>
            </w:r>
          </w:p>
        </w:tc>
        <w:tc>
          <w:tcPr>
            <w:tcW w:w="2835" w:type="dxa"/>
            <w:shd w:val="clear" w:color="auto" w:fill="auto"/>
            <w:vAlign w:val="bottom"/>
          </w:tcPr>
          <w:p w14:paraId="0CDC59E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2.0</w:t>
            </w:r>
          </w:p>
        </w:tc>
        <w:tc>
          <w:tcPr>
            <w:tcW w:w="2835" w:type="dxa"/>
            <w:shd w:val="clear" w:color="auto" w:fill="auto"/>
            <w:vAlign w:val="bottom"/>
          </w:tcPr>
          <w:p w14:paraId="7C726F0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w:t>
            </w:r>
          </w:p>
        </w:tc>
        <w:tc>
          <w:tcPr>
            <w:tcW w:w="2835" w:type="dxa"/>
            <w:shd w:val="clear" w:color="auto" w:fill="auto"/>
            <w:vAlign w:val="bottom"/>
          </w:tcPr>
          <w:p w14:paraId="4D1B2807"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1.0</w:t>
            </w:r>
          </w:p>
        </w:tc>
      </w:tr>
      <w:tr w:rsidR="002D737B" w:rsidRPr="006E0B6E" w14:paraId="255D58A8" w14:textId="77777777" w:rsidTr="00066DA8">
        <w:tc>
          <w:tcPr>
            <w:tcW w:w="709" w:type="dxa"/>
            <w:tcBorders>
              <w:bottom w:val="single" w:sz="4" w:space="0" w:color="B3B3B3"/>
            </w:tcBorders>
            <w:shd w:val="clear" w:color="000000" w:fill="F2F2F2"/>
          </w:tcPr>
          <w:p w14:paraId="6FF26294" w14:textId="77777777" w:rsidR="002D737B" w:rsidRPr="006E0B6E" w:rsidRDefault="002D737B" w:rsidP="00066DA8">
            <w:pPr>
              <w:pStyle w:val="TableBody"/>
              <w:rPr>
                <w:rFonts w:ascii="Arial" w:hAnsi="Arial" w:cs="Arial"/>
                <w:b/>
                <w:bCs/>
              </w:rPr>
            </w:pPr>
            <w:r w:rsidRPr="006E0B6E">
              <w:rPr>
                <w:rFonts w:ascii="Arial" w:hAnsi="Arial" w:cs="Arial"/>
                <w:b/>
                <w:bCs/>
              </w:rPr>
              <w:t>2018</w:t>
            </w:r>
          </w:p>
        </w:tc>
        <w:tc>
          <w:tcPr>
            <w:tcW w:w="2835" w:type="dxa"/>
            <w:tcBorders>
              <w:bottom w:val="single" w:sz="4" w:space="0" w:color="B3B3B3"/>
            </w:tcBorders>
            <w:shd w:val="clear" w:color="000000" w:fill="F2F2F2"/>
            <w:vAlign w:val="bottom"/>
          </w:tcPr>
          <w:p w14:paraId="40BCC05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1.9</w:t>
            </w:r>
          </w:p>
        </w:tc>
        <w:tc>
          <w:tcPr>
            <w:tcW w:w="2835" w:type="dxa"/>
            <w:tcBorders>
              <w:bottom w:val="single" w:sz="4" w:space="0" w:color="B3B3B3"/>
            </w:tcBorders>
            <w:shd w:val="clear" w:color="000000" w:fill="F2F2F2"/>
            <w:vAlign w:val="bottom"/>
          </w:tcPr>
          <w:p w14:paraId="242B1409"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2.0</w:t>
            </w:r>
          </w:p>
        </w:tc>
        <w:tc>
          <w:tcPr>
            <w:tcW w:w="2835" w:type="dxa"/>
            <w:tcBorders>
              <w:bottom w:val="single" w:sz="4" w:space="0" w:color="B3B3B3"/>
            </w:tcBorders>
            <w:shd w:val="clear" w:color="000000" w:fill="F2F2F2"/>
            <w:vAlign w:val="bottom"/>
          </w:tcPr>
          <w:p w14:paraId="23AC559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1.2</w:t>
            </w:r>
          </w:p>
        </w:tc>
      </w:tr>
    </w:tbl>
    <w:p w14:paraId="091ED8BC"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7531CB75" w14:textId="77777777" w:rsidR="00F93DE2" w:rsidRPr="006E0B6E" w:rsidRDefault="00F93DE2">
      <w:pPr>
        <w:rPr>
          <w:rFonts w:cs="Arial"/>
          <w:iCs/>
          <w:color w:val="000000" w:themeColor="text1"/>
          <w:sz w:val="20"/>
          <w:szCs w:val="18"/>
        </w:rPr>
      </w:pPr>
      <w:r w:rsidRPr="006E0B6E">
        <w:rPr>
          <w:rFonts w:cs="Arial"/>
        </w:rPr>
        <w:br w:type="page"/>
      </w:r>
    </w:p>
    <w:p w14:paraId="7F6D6482" w14:textId="1E7DD646" w:rsidR="002D737B" w:rsidRPr="00150B65" w:rsidRDefault="002D737B" w:rsidP="002D737B">
      <w:pPr>
        <w:pStyle w:val="FigureTableHeading"/>
        <w:rPr>
          <w:rFonts w:ascii="Arial" w:hAnsi="Arial" w:cs="Arial"/>
          <w:spacing w:val="-6"/>
        </w:rPr>
      </w:pPr>
      <w:r w:rsidRPr="00150B65">
        <w:rPr>
          <w:rFonts w:ascii="Arial" w:hAnsi="Arial" w:cs="Arial"/>
          <w:spacing w:val="-6"/>
        </w:rPr>
        <w:lastRenderedPageBreak/>
        <w:t xml:space="preserve">Table </w:t>
      </w:r>
      <w:r w:rsidR="005E2259" w:rsidRPr="00150B65">
        <w:rPr>
          <w:rFonts w:ascii="Arial" w:hAnsi="Arial" w:cs="Arial"/>
          <w:spacing w:val="-6"/>
        </w:rPr>
        <w:fldChar w:fldCharType="begin"/>
      </w:r>
      <w:r w:rsidR="005E2259" w:rsidRPr="00150B65">
        <w:rPr>
          <w:rFonts w:ascii="Arial" w:hAnsi="Arial" w:cs="Arial"/>
          <w:spacing w:val="-6"/>
        </w:rPr>
        <w:instrText xml:space="preserve"> SEQ Table \* ARABIC \s 1 </w:instrText>
      </w:r>
      <w:r w:rsidR="005E2259" w:rsidRPr="00150B65">
        <w:rPr>
          <w:rFonts w:ascii="Arial" w:hAnsi="Arial" w:cs="Arial"/>
          <w:spacing w:val="-6"/>
        </w:rPr>
        <w:fldChar w:fldCharType="separate"/>
      </w:r>
      <w:r w:rsidR="00FE0771">
        <w:rPr>
          <w:rFonts w:ascii="Arial" w:hAnsi="Arial" w:cs="Arial"/>
          <w:noProof/>
          <w:spacing w:val="-6"/>
        </w:rPr>
        <w:t>12</w:t>
      </w:r>
      <w:r w:rsidR="005E2259" w:rsidRPr="00150B65">
        <w:rPr>
          <w:rFonts w:ascii="Arial" w:hAnsi="Arial" w:cs="Arial"/>
          <w:noProof/>
          <w:spacing w:val="-6"/>
        </w:rPr>
        <w:fldChar w:fldCharType="end"/>
      </w:r>
      <w:r w:rsidRPr="00150B65">
        <w:rPr>
          <w:rFonts w:ascii="Arial" w:hAnsi="Arial" w:cs="Arial"/>
          <w:noProof/>
          <w:spacing w:val="-6"/>
        </w:rPr>
        <w:t xml:space="preserve"> – </w:t>
      </w:r>
      <w:r w:rsidRPr="00150B65">
        <w:rPr>
          <w:rFonts w:ascii="Arial" w:hAnsi="Arial" w:cs="Arial"/>
          <w:spacing w:val="-6"/>
        </w:rPr>
        <w:t>Inheritances bequeathed by households from the 3</w:t>
      </w:r>
      <w:r w:rsidRPr="00150B65">
        <w:rPr>
          <w:rFonts w:ascii="Arial" w:hAnsi="Arial" w:cs="Arial"/>
          <w:spacing w:val="-6"/>
          <w:vertAlign w:val="superscript"/>
        </w:rPr>
        <w:t>rd</w:t>
      </w:r>
      <w:r w:rsidRPr="00150B65">
        <w:rPr>
          <w:rFonts w:ascii="Arial" w:hAnsi="Arial" w:cs="Arial"/>
          <w:spacing w:val="-6"/>
        </w:rPr>
        <w:t xml:space="preserve"> quintile of the equivalised wealth distribution</w:t>
      </w:r>
    </w:p>
    <w:p w14:paraId="22B5C29E"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expected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835"/>
        <w:gridCol w:w="2835"/>
        <w:gridCol w:w="2835"/>
      </w:tblGrid>
      <w:tr w:rsidR="002D737B" w:rsidRPr="006E0B6E" w14:paraId="127714D8" w14:textId="77777777" w:rsidTr="00066DA8">
        <w:trPr>
          <w:tblHeader/>
        </w:trPr>
        <w:tc>
          <w:tcPr>
            <w:tcW w:w="709" w:type="dxa"/>
            <w:tcBorders>
              <w:bottom w:val="single" w:sz="4" w:space="0" w:color="B3B3B3"/>
            </w:tcBorders>
            <w:shd w:val="clear" w:color="000000" w:fill="auto"/>
            <w:vAlign w:val="bottom"/>
          </w:tcPr>
          <w:p w14:paraId="31F7F6C0"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835" w:type="dxa"/>
            <w:tcBorders>
              <w:bottom w:val="single" w:sz="4" w:space="0" w:color="B3B3B3"/>
            </w:tcBorders>
            <w:shd w:val="clear" w:color="000000" w:fill="auto"/>
            <w:vAlign w:val="bottom"/>
          </w:tcPr>
          <w:p w14:paraId="10C1E4F1"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835" w:type="dxa"/>
            <w:tcBorders>
              <w:bottom w:val="single" w:sz="4" w:space="0" w:color="B3B3B3"/>
            </w:tcBorders>
            <w:shd w:val="clear" w:color="000000" w:fill="auto"/>
            <w:vAlign w:val="bottom"/>
          </w:tcPr>
          <w:p w14:paraId="7978A613"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835" w:type="dxa"/>
            <w:tcBorders>
              <w:bottom w:val="single" w:sz="4" w:space="0" w:color="B3B3B3"/>
            </w:tcBorders>
            <w:shd w:val="clear" w:color="000000" w:fill="auto"/>
          </w:tcPr>
          <w:p w14:paraId="24880D68"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r>
      <w:tr w:rsidR="002D737B" w:rsidRPr="006E0B6E" w14:paraId="37679EAA" w14:textId="77777777" w:rsidTr="00066DA8">
        <w:tc>
          <w:tcPr>
            <w:tcW w:w="709" w:type="dxa"/>
            <w:tcBorders>
              <w:top w:val="single" w:sz="4" w:space="0" w:color="B3B3B3"/>
              <w:bottom w:val="nil"/>
            </w:tcBorders>
            <w:shd w:val="clear" w:color="000000" w:fill="F2F2F2"/>
          </w:tcPr>
          <w:p w14:paraId="7D674F92" w14:textId="77777777" w:rsidR="002D737B" w:rsidRPr="006E0B6E" w:rsidRDefault="002D737B" w:rsidP="00066DA8">
            <w:pPr>
              <w:pStyle w:val="TableBody"/>
              <w:rPr>
                <w:rFonts w:ascii="Arial" w:hAnsi="Arial" w:cs="Arial"/>
              </w:rPr>
            </w:pPr>
          </w:p>
        </w:tc>
        <w:tc>
          <w:tcPr>
            <w:tcW w:w="2835" w:type="dxa"/>
            <w:tcBorders>
              <w:top w:val="single" w:sz="4" w:space="0" w:color="B3B3B3"/>
              <w:bottom w:val="nil"/>
            </w:tcBorders>
            <w:shd w:val="clear" w:color="000000" w:fill="F2F2F2"/>
            <w:vAlign w:val="bottom"/>
          </w:tcPr>
          <w:p w14:paraId="7F64A193"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 (tens of thousands)</w:t>
            </w:r>
          </w:p>
        </w:tc>
        <w:tc>
          <w:tcPr>
            <w:tcW w:w="2835" w:type="dxa"/>
            <w:tcBorders>
              <w:top w:val="single" w:sz="4" w:space="0" w:color="B3B3B3"/>
              <w:bottom w:val="nil"/>
            </w:tcBorders>
            <w:shd w:val="clear" w:color="000000" w:fill="F2F2F2"/>
            <w:vAlign w:val="bottom"/>
          </w:tcPr>
          <w:p w14:paraId="52978940"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835" w:type="dxa"/>
            <w:tcBorders>
              <w:top w:val="single" w:sz="4" w:space="0" w:color="B3B3B3"/>
              <w:bottom w:val="nil"/>
            </w:tcBorders>
            <w:shd w:val="clear" w:color="000000" w:fill="F2F2F2"/>
            <w:vAlign w:val="bottom"/>
          </w:tcPr>
          <w:p w14:paraId="1A79380A"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r>
      <w:tr w:rsidR="002D737B" w:rsidRPr="006E0B6E" w14:paraId="2BAA8482" w14:textId="77777777" w:rsidTr="00066DA8">
        <w:tc>
          <w:tcPr>
            <w:tcW w:w="709" w:type="dxa"/>
            <w:tcBorders>
              <w:top w:val="single" w:sz="4" w:space="0" w:color="B3B3B3"/>
              <w:bottom w:val="nil"/>
            </w:tcBorders>
            <w:shd w:val="clear" w:color="000000" w:fill="F2F2F2"/>
          </w:tcPr>
          <w:p w14:paraId="1D3EC118" w14:textId="77777777" w:rsidR="002D737B" w:rsidRPr="006E0B6E" w:rsidRDefault="002D737B" w:rsidP="00066DA8">
            <w:pPr>
              <w:pStyle w:val="TableBody"/>
              <w:rPr>
                <w:rFonts w:ascii="Arial" w:hAnsi="Arial" w:cs="Arial"/>
                <w:b/>
                <w:bCs/>
              </w:rPr>
            </w:pPr>
            <w:r w:rsidRPr="006E0B6E">
              <w:rPr>
                <w:rFonts w:ascii="Arial" w:hAnsi="Arial" w:cs="Arial"/>
                <w:b/>
                <w:bCs/>
              </w:rPr>
              <w:t>2002</w:t>
            </w:r>
          </w:p>
        </w:tc>
        <w:tc>
          <w:tcPr>
            <w:tcW w:w="2835" w:type="dxa"/>
            <w:tcBorders>
              <w:top w:val="single" w:sz="4" w:space="0" w:color="B3B3B3"/>
              <w:bottom w:val="nil"/>
            </w:tcBorders>
            <w:shd w:val="clear" w:color="000000" w:fill="F2F2F2"/>
            <w:vAlign w:val="bottom"/>
          </w:tcPr>
          <w:p w14:paraId="0B82675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2.7</w:t>
            </w:r>
          </w:p>
        </w:tc>
        <w:tc>
          <w:tcPr>
            <w:tcW w:w="2835" w:type="dxa"/>
            <w:tcBorders>
              <w:top w:val="single" w:sz="4" w:space="0" w:color="B3B3B3"/>
              <w:bottom w:val="nil"/>
            </w:tcBorders>
            <w:shd w:val="clear" w:color="000000" w:fill="F2F2F2"/>
            <w:vAlign w:val="bottom"/>
          </w:tcPr>
          <w:p w14:paraId="24C29812"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4.7</w:t>
            </w:r>
          </w:p>
        </w:tc>
        <w:tc>
          <w:tcPr>
            <w:tcW w:w="2835" w:type="dxa"/>
            <w:tcBorders>
              <w:top w:val="single" w:sz="4" w:space="0" w:color="B3B3B3"/>
              <w:bottom w:val="nil"/>
            </w:tcBorders>
            <w:shd w:val="clear" w:color="000000" w:fill="F2F2F2"/>
            <w:vAlign w:val="bottom"/>
          </w:tcPr>
          <w:p w14:paraId="5850B7D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2.2</w:t>
            </w:r>
          </w:p>
        </w:tc>
      </w:tr>
      <w:tr w:rsidR="002D737B" w:rsidRPr="006E0B6E" w14:paraId="7320ABEC" w14:textId="77777777" w:rsidTr="00066DA8">
        <w:tc>
          <w:tcPr>
            <w:tcW w:w="709" w:type="dxa"/>
            <w:tcBorders>
              <w:top w:val="nil"/>
              <w:bottom w:val="nil"/>
            </w:tcBorders>
            <w:shd w:val="clear" w:color="000000" w:fill="auto"/>
          </w:tcPr>
          <w:p w14:paraId="47AA464B" w14:textId="77777777" w:rsidR="002D737B" w:rsidRPr="006E0B6E" w:rsidRDefault="002D737B" w:rsidP="00066DA8">
            <w:pPr>
              <w:pStyle w:val="TableBody"/>
              <w:rPr>
                <w:rFonts w:ascii="Arial" w:hAnsi="Arial" w:cs="Arial"/>
                <w:b/>
                <w:bCs/>
              </w:rPr>
            </w:pPr>
            <w:r w:rsidRPr="006E0B6E">
              <w:rPr>
                <w:rFonts w:ascii="Arial" w:hAnsi="Arial" w:cs="Arial"/>
                <w:b/>
                <w:bCs/>
              </w:rPr>
              <w:t>2006</w:t>
            </w:r>
          </w:p>
        </w:tc>
        <w:tc>
          <w:tcPr>
            <w:tcW w:w="2835" w:type="dxa"/>
            <w:tcBorders>
              <w:top w:val="nil"/>
              <w:bottom w:val="nil"/>
            </w:tcBorders>
            <w:shd w:val="clear" w:color="000000" w:fill="auto"/>
            <w:vAlign w:val="bottom"/>
          </w:tcPr>
          <w:p w14:paraId="6A5787A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2.5</w:t>
            </w:r>
          </w:p>
        </w:tc>
        <w:tc>
          <w:tcPr>
            <w:tcW w:w="2835" w:type="dxa"/>
            <w:tcBorders>
              <w:top w:val="nil"/>
              <w:bottom w:val="nil"/>
            </w:tcBorders>
            <w:shd w:val="clear" w:color="000000" w:fill="auto"/>
            <w:vAlign w:val="bottom"/>
          </w:tcPr>
          <w:p w14:paraId="3AFB2A4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6.2</w:t>
            </w:r>
          </w:p>
        </w:tc>
        <w:tc>
          <w:tcPr>
            <w:tcW w:w="2835" w:type="dxa"/>
            <w:tcBorders>
              <w:top w:val="nil"/>
              <w:bottom w:val="nil"/>
            </w:tcBorders>
            <w:shd w:val="clear" w:color="000000" w:fill="auto"/>
            <w:vAlign w:val="bottom"/>
          </w:tcPr>
          <w:p w14:paraId="5091596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3.2</w:t>
            </w:r>
          </w:p>
        </w:tc>
      </w:tr>
      <w:tr w:rsidR="002D737B" w:rsidRPr="006E0B6E" w14:paraId="55A8DC97" w14:textId="77777777" w:rsidTr="00066DA8">
        <w:tc>
          <w:tcPr>
            <w:tcW w:w="709" w:type="dxa"/>
            <w:shd w:val="clear" w:color="000000" w:fill="F2F2F2"/>
          </w:tcPr>
          <w:p w14:paraId="47706A34" w14:textId="77777777" w:rsidR="002D737B" w:rsidRPr="006E0B6E" w:rsidRDefault="002D737B" w:rsidP="00066DA8">
            <w:pPr>
              <w:pStyle w:val="TableBody"/>
              <w:rPr>
                <w:rFonts w:ascii="Arial" w:hAnsi="Arial" w:cs="Arial"/>
                <w:b/>
                <w:bCs/>
              </w:rPr>
            </w:pPr>
            <w:r w:rsidRPr="006E0B6E">
              <w:rPr>
                <w:rFonts w:ascii="Arial" w:hAnsi="Arial" w:cs="Arial"/>
                <w:b/>
                <w:bCs/>
              </w:rPr>
              <w:t>2010</w:t>
            </w:r>
          </w:p>
        </w:tc>
        <w:tc>
          <w:tcPr>
            <w:tcW w:w="2835" w:type="dxa"/>
            <w:shd w:val="clear" w:color="000000" w:fill="F2F2F2"/>
            <w:vAlign w:val="bottom"/>
          </w:tcPr>
          <w:p w14:paraId="3EA7354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2.9</w:t>
            </w:r>
          </w:p>
        </w:tc>
        <w:tc>
          <w:tcPr>
            <w:tcW w:w="2835" w:type="dxa"/>
            <w:shd w:val="clear" w:color="000000" w:fill="F2F2F2"/>
            <w:vAlign w:val="bottom"/>
          </w:tcPr>
          <w:p w14:paraId="2FB34C8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6.8</w:t>
            </w:r>
          </w:p>
        </w:tc>
        <w:tc>
          <w:tcPr>
            <w:tcW w:w="2835" w:type="dxa"/>
            <w:shd w:val="clear" w:color="000000" w:fill="F2F2F2"/>
            <w:vAlign w:val="bottom"/>
          </w:tcPr>
          <w:p w14:paraId="0C8B437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3.7</w:t>
            </w:r>
          </w:p>
        </w:tc>
      </w:tr>
      <w:tr w:rsidR="002D737B" w:rsidRPr="006E0B6E" w14:paraId="70410CCF" w14:textId="77777777" w:rsidTr="00066DA8">
        <w:tc>
          <w:tcPr>
            <w:tcW w:w="709" w:type="dxa"/>
            <w:shd w:val="clear" w:color="auto" w:fill="auto"/>
          </w:tcPr>
          <w:p w14:paraId="4A235FF3" w14:textId="77777777" w:rsidR="002D737B" w:rsidRPr="006E0B6E" w:rsidRDefault="002D737B" w:rsidP="00066DA8">
            <w:pPr>
              <w:pStyle w:val="TableBody"/>
              <w:rPr>
                <w:rFonts w:ascii="Arial" w:hAnsi="Arial" w:cs="Arial"/>
                <w:b/>
                <w:bCs/>
              </w:rPr>
            </w:pPr>
            <w:r w:rsidRPr="006E0B6E">
              <w:rPr>
                <w:rFonts w:ascii="Arial" w:hAnsi="Arial" w:cs="Arial"/>
                <w:b/>
                <w:bCs/>
              </w:rPr>
              <w:t>2014</w:t>
            </w:r>
          </w:p>
        </w:tc>
        <w:tc>
          <w:tcPr>
            <w:tcW w:w="2835" w:type="dxa"/>
            <w:shd w:val="clear" w:color="auto" w:fill="auto"/>
            <w:vAlign w:val="bottom"/>
          </w:tcPr>
          <w:p w14:paraId="4A24D7F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2.9</w:t>
            </w:r>
          </w:p>
        </w:tc>
        <w:tc>
          <w:tcPr>
            <w:tcW w:w="2835" w:type="dxa"/>
            <w:shd w:val="clear" w:color="auto" w:fill="auto"/>
            <w:vAlign w:val="bottom"/>
          </w:tcPr>
          <w:p w14:paraId="027E5E7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6.1</w:t>
            </w:r>
          </w:p>
        </w:tc>
        <w:tc>
          <w:tcPr>
            <w:tcW w:w="2835" w:type="dxa"/>
            <w:shd w:val="clear" w:color="auto" w:fill="auto"/>
            <w:vAlign w:val="bottom"/>
          </w:tcPr>
          <w:p w14:paraId="44FB1AD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3.0</w:t>
            </w:r>
          </w:p>
        </w:tc>
      </w:tr>
      <w:tr w:rsidR="002D737B" w:rsidRPr="006E0B6E" w14:paraId="526FDD49" w14:textId="77777777" w:rsidTr="00066DA8">
        <w:tc>
          <w:tcPr>
            <w:tcW w:w="709" w:type="dxa"/>
            <w:tcBorders>
              <w:bottom w:val="single" w:sz="4" w:space="0" w:color="B3B3B3"/>
            </w:tcBorders>
            <w:shd w:val="clear" w:color="000000" w:fill="F2F2F2"/>
          </w:tcPr>
          <w:p w14:paraId="0A955138" w14:textId="77777777" w:rsidR="002D737B" w:rsidRPr="006E0B6E" w:rsidRDefault="002D737B" w:rsidP="00066DA8">
            <w:pPr>
              <w:pStyle w:val="TableBody"/>
              <w:rPr>
                <w:rFonts w:ascii="Arial" w:hAnsi="Arial" w:cs="Arial"/>
                <w:b/>
                <w:bCs/>
              </w:rPr>
            </w:pPr>
            <w:r w:rsidRPr="006E0B6E">
              <w:rPr>
                <w:rFonts w:ascii="Arial" w:hAnsi="Arial" w:cs="Arial"/>
                <w:b/>
                <w:bCs/>
              </w:rPr>
              <w:t>2018</w:t>
            </w:r>
          </w:p>
        </w:tc>
        <w:tc>
          <w:tcPr>
            <w:tcW w:w="2835" w:type="dxa"/>
            <w:tcBorders>
              <w:bottom w:val="single" w:sz="4" w:space="0" w:color="B3B3B3"/>
            </w:tcBorders>
            <w:shd w:val="clear" w:color="000000" w:fill="F2F2F2"/>
            <w:vAlign w:val="bottom"/>
          </w:tcPr>
          <w:p w14:paraId="1D599A1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3.0</w:t>
            </w:r>
          </w:p>
        </w:tc>
        <w:tc>
          <w:tcPr>
            <w:tcW w:w="2835" w:type="dxa"/>
            <w:tcBorders>
              <w:bottom w:val="single" w:sz="4" w:space="0" w:color="B3B3B3"/>
            </w:tcBorders>
            <w:shd w:val="clear" w:color="000000" w:fill="F2F2F2"/>
            <w:vAlign w:val="bottom"/>
          </w:tcPr>
          <w:p w14:paraId="1179993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8.0</w:t>
            </w:r>
          </w:p>
        </w:tc>
        <w:tc>
          <w:tcPr>
            <w:tcW w:w="2835" w:type="dxa"/>
            <w:tcBorders>
              <w:bottom w:val="single" w:sz="4" w:space="0" w:color="B3B3B3"/>
            </w:tcBorders>
            <w:shd w:val="clear" w:color="000000" w:fill="F2F2F2"/>
            <w:vAlign w:val="bottom"/>
          </w:tcPr>
          <w:p w14:paraId="00F858B6"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4.2</w:t>
            </w:r>
          </w:p>
        </w:tc>
      </w:tr>
    </w:tbl>
    <w:p w14:paraId="288928F1"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30F46850" w14:textId="0AF0366E" w:rsidR="002D737B" w:rsidRPr="00150B65" w:rsidRDefault="002D737B" w:rsidP="002D737B">
      <w:pPr>
        <w:pStyle w:val="FigureTableHeading"/>
        <w:rPr>
          <w:rFonts w:ascii="Arial" w:hAnsi="Arial" w:cs="Arial"/>
          <w:spacing w:val="-6"/>
        </w:rPr>
      </w:pPr>
      <w:r w:rsidRPr="00150B65">
        <w:rPr>
          <w:rFonts w:ascii="Arial" w:hAnsi="Arial" w:cs="Arial"/>
          <w:spacing w:val="-6"/>
        </w:rPr>
        <w:t xml:space="preserve">Table </w:t>
      </w:r>
      <w:r w:rsidR="005E2259" w:rsidRPr="00150B65">
        <w:rPr>
          <w:rFonts w:ascii="Arial" w:hAnsi="Arial" w:cs="Arial"/>
          <w:spacing w:val="-6"/>
        </w:rPr>
        <w:fldChar w:fldCharType="begin"/>
      </w:r>
      <w:r w:rsidR="005E2259" w:rsidRPr="00150B65">
        <w:rPr>
          <w:rFonts w:ascii="Arial" w:hAnsi="Arial" w:cs="Arial"/>
          <w:spacing w:val="-6"/>
        </w:rPr>
        <w:instrText xml:space="preserve"> SEQ Table \* ARABIC \s 1 </w:instrText>
      </w:r>
      <w:r w:rsidR="005E2259" w:rsidRPr="00150B65">
        <w:rPr>
          <w:rFonts w:ascii="Arial" w:hAnsi="Arial" w:cs="Arial"/>
          <w:spacing w:val="-6"/>
        </w:rPr>
        <w:fldChar w:fldCharType="separate"/>
      </w:r>
      <w:r w:rsidR="00FE0771">
        <w:rPr>
          <w:rFonts w:ascii="Arial" w:hAnsi="Arial" w:cs="Arial"/>
          <w:noProof/>
          <w:spacing w:val="-6"/>
        </w:rPr>
        <w:t>13</w:t>
      </w:r>
      <w:r w:rsidR="005E2259" w:rsidRPr="00150B65">
        <w:rPr>
          <w:rFonts w:ascii="Arial" w:hAnsi="Arial" w:cs="Arial"/>
          <w:noProof/>
          <w:spacing w:val="-6"/>
        </w:rPr>
        <w:fldChar w:fldCharType="end"/>
      </w:r>
      <w:r w:rsidRPr="00150B65">
        <w:rPr>
          <w:rFonts w:ascii="Arial" w:hAnsi="Arial" w:cs="Arial"/>
          <w:noProof/>
          <w:spacing w:val="-6"/>
        </w:rPr>
        <w:t xml:space="preserve"> – </w:t>
      </w:r>
      <w:r w:rsidRPr="00150B65">
        <w:rPr>
          <w:rFonts w:ascii="Arial" w:hAnsi="Arial" w:cs="Arial"/>
          <w:spacing w:val="-6"/>
        </w:rPr>
        <w:t>Inheritances bequeathed by households from the 4</w:t>
      </w:r>
      <w:r w:rsidRPr="00150B65">
        <w:rPr>
          <w:rFonts w:ascii="Arial" w:hAnsi="Arial" w:cs="Arial"/>
          <w:spacing w:val="-6"/>
          <w:vertAlign w:val="superscript"/>
        </w:rPr>
        <w:t>th</w:t>
      </w:r>
      <w:r w:rsidRPr="00150B65">
        <w:rPr>
          <w:rFonts w:ascii="Arial" w:hAnsi="Arial" w:cs="Arial"/>
          <w:spacing w:val="-6"/>
        </w:rPr>
        <w:t xml:space="preserve"> quintile of the equivalised wealth distribution</w:t>
      </w:r>
    </w:p>
    <w:p w14:paraId="2B5298D5"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expected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835"/>
        <w:gridCol w:w="2835"/>
        <w:gridCol w:w="2835"/>
      </w:tblGrid>
      <w:tr w:rsidR="002D737B" w:rsidRPr="006E0B6E" w14:paraId="65318996" w14:textId="77777777" w:rsidTr="00066DA8">
        <w:trPr>
          <w:tblHeader/>
        </w:trPr>
        <w:tc>
          <w:tcPr>
            <w:tcW w:w="709" w:type="dxa"/>
            <w:tcBorders>
              <w:bottom w:val="single" w:sz="4" w:space="0" w:color="B3B3B3"/>
            </w:tcBorders>
            <w:shd w:val="clear" w:color="000000" w:fill="auto"/>
            <w:vAlign w:val="bottom"/>
          </w:tcPr>
          <w:p w14:paraId="1ABE0011"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835" w:type="dxa"/>
            <w:tcBorders>
              <w:bottom w:val="single" w:sz="4" w:space="0" w:color="B3B3B3"/>
            </w:tcBorders>
            <w:shd w:val="clear" w:color="000000" w:fill="auto"/>
            <w:vAlign w:val="bottom"/>
          </w:tcPr>
          <w:p w14:paraId="06155A1B"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835" w:type="dxa"/>
            <w:tcBorders>
              <w:bottom w:val="single" w:sz="4" w:space="0" w:color="B3B3B3"/>
            </w:tcBorders>
            <w:shd w:val="clear" w:color="000000" w:fill="auto"/>
            <w:vAlign w:val="bottom"/>
          </w:tcPr>
          <w:p w14:paraId="7C2E6DAF"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835" w:type="dxa"/>
            <w:tcBorders>
              <w:bottom w:val="single" w:sz="4" w:space="0" w:color="B3B3B3"/>
            </w:tcBorders>
            <w:shd w:val="clear" w:color="000000" w:fill="auto"/>
          </w:tcPr>
          <w:p w14:paraId="1C32D567"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r>
      <w:tr w:rsidR="002D737B" w:rsidRPr="006E0B6E" w14:paraId="321118F9" w14:textId="77777777" w:rsidTr="00066DA8">
        <w:tc>
          <w:tcPr>
            <w:tcW w:w="709" w:type="dxa"/>
            <w:tcBorders>
              <w:top w:val="single" w:sz="4" w:space="0" w:color="B3B3B3"/>
              <w:bottom w:val="nil"/>
            </w:tcBorders>
            <w:shd w:val="clear" w:color="000000" w:fill="F2F2F2"/>
          </w:tcPr>
          <w:p w14:paraId="38783009" w14:textId="77777777" w:rsidR="002D737B" w:rsidRPr="006E0B6E" w:rsidRDefault="002D737B" w:rsidP="00066DA8">
            <w:pPr>
              <w:pStyle w:val="TableBody"/>
              <w:rPr>
                <w:rFonts w:ascii="Arial" w:hAnsi="Arial" w:cs="Arial"/>
              </w:rPr>
            </w:pPr>
          </w:p>
        </w:tc>
        <w:tc>
          <w:tcPr>
            <w:tcW w:w="2835" w:type="dxa"/>
            <w:tcBorders>
              <w:top w:val="single" w:sz="4" w:space="0" w:color="B3B3B3"/>
              <w:bottom w:val="nil"/>
            </w:tcBorders>
            <w:shd w:val="clear" w:color="000000" w:fill="F2F2F2"/>
            <w:vAlign w:val="bottom"/>
          </w:tcPr>
          <w:p w14:paraId="75D79C5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 (tens of thousands)</w:t>
            </w:r>
          </w:p>
        </w:tc>
        <w:tc>
          <w:tcPr>
            <w:tcW w:w="2835" w:type="dxa"/>
            <w:tcBorders>
              <w:top w:val="single" w:sz="4" w:space="0" w:color="B3B3B3"/>
              <w:bottom w:val="nil"/>
            </w:tcBorders>
            <w:shd w:val="clear" w:color="000000" w:fill="F2F2F2"/>
            <w:vAlign w:val="bottom"/>
          </w:tcPr>
          <w:p w14:paraId="6B96867B"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835" w:type="dxa"/>
            <w:tcBorders>
              <w:top w:val="single" w:sz="4" w:space="0" w:color="B3B3B3"/>
              <w:bottom w:val="nil"/>
            </w:tcBorders>
            <w:shd w:val="clear" w:color="000000" w:fill="F2F2F2"/>
            <w:vAlign w:val="bottom"/>
          </w:tcPr>
          <w:p w14:paraId="08B20FB4"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r>
      <w:tr w:rsidR="002D737B" w:rsidRPr="006E0B6E" w14:paraId="4CC17223" w14:textId="77777777" w:rsidTr="00066DA8">
        <w:tc>
          <w:tcPr>
            <w:tcW w:w="709" w:type="dxa"/>
            <w:tcBorders>
              <w:top w:val="single" w:sz="4" w:space="0" w:color="B3B3B3"/>
              <w:bottom w:val="nil"/>
            </w:tcBorders>
            <w:shd w:val="clear" w:color="000000" w:fill="F2F2F2"/>
          </w:tcPr>
          <w:p w14:paraId="54F7E538" w14:textId="77777777" w:rsidR="002D737B" w:rsidRPr="006E0B6E" w:rsidRDefault="002D737B" w:rsidP="00066DA8">
            <w:pPr>
              <w:pStyle w:val="TableBody"/>
              <w:rPr>
                <w:rFonts w:ascii="Arial" w:hAnsi="Arial" w:cs="Arial"/>
                <w:b/>
                <w:bCs/>
              </w:rPr>
            </w:pPr>
            <w:r w:rsidRPr="006E0B6E">
              <w:rPr>
                <w:rFonts w:ascii="Arial" w:hAnsi="Arial" w:cs="Arial"/>
                <w:b/>
                <w:bCs/>
              </w:rPr>
              <w:t>2002</w:t>
            </w:r>
          </w:p>
        </w:tc>
        <w:tc>
          <w:tcPr>
            <w:tcW w:w="2835" w:type="dxa"/>
            <w:tcBorders>
              <w:top w:val="single" w:sz="4" w:space="0" w:color="B3B3B3"/>
              <w:bottom w:val="nil"/>
            </w:tcBorders>
            <w:shd w:val="clear" w:color="000000" w:fill="F2F2F2"/>
            <w:vAlign w:val="bottom"/>
          </w:tcPr>
          <w:p w14:paraId="45216A3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3.2</w:t>
            </w:r>
          </w:p>
        </w:tc>
        <w:tc>
          <w:tcPr>
            <w:tcW w:w="2835" w:type="dxa"/>
            <w:tcBorders>
              <w:top w:val="single" w:sz="4" w:space="0" w:color="B3B3B3"/>
              <w:bottom w:val="nil"/>
            </w:tcBorders>
            <w:shd w:val="clear" w:color="000000" w:fill="F2F2F2"/>
            <w:vAlign w:val="bottom"/>
          </w:tcPr>
          <w:p w14:paraId="2DF5784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9.0</w:t>
            </w:r>
          </w:p>
        </w:tc>
        <w:tc>
          <w:tcPr>
            <w:tcW w:w="2835" w:type="dxa"/>
            <w:tcBorders>
              <w:top w:val="single" w:sz="4" w:space="0" w:color="B3B3B3"/>
              <w:bottom w:val="nil"/>
            </w:tcBorders>
            <w:shd w:val="clear" w:color="000000" w:fill="F2F2F2"/>
            <w:vAlign w:val="bottom"/>
          </w:tcPr>
          <w:p w14:paraId="3D143EF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4.6</w:t>
            </w:r>
          </w:p>
        </w:tc>
      </w:tr>
      <w:tr w:rsidR="002D737B" w:rsidRPr="006E0B6E" w14:paraId="2E451A54" w14:textId="77777777" w:rsidTr="00066DA8">
        <w:tc>
          <w:tcPr>
            <w:tcW w:w="709" w:type="dxa"/>
            <w:tcBorders>
              <w:top w:val="nil"/>
              <w:bottom w:val="nil"/>
            </w:tcBorders>
            <w:shd w:val="clear" w:color="000000" w:fill="auto"/>
          </w:tcPr>
          <w:p w14:paraId="344476B7" w14:textId="77777777" w:rsidR="002D737B" w:rsidRPr="006E0B6E" w:rsidRDefault="002D737B" w:rsidP="00066DA8">
            <w:pPr>
              <w:pStyle w:val="TableBody"/>
              <w:rPr>
                <w:rFonts w:ascii="Arial" w:hAnsi="Arial" w:cs="Arial"/>
                <w:b/>
                <w:bCs/>
              </w:rPr>
            </w:pPr>
            <w:r w:rsidRPr="006E0B6E">
              <w:rPr>
                <w:rFonts w:ascii="Arial" w:hAnsi="Arial" w:cs="Arial"/>
                <w:b/>
                <w:bCs/>
              </w:rPr>
              <w:t>2006</w:t>
            </w:r>
          </w:p>
        </w:tc>
        <w:tc>
          <w:tcPr>
            <w:tcW w:w="2835" w:type="dxa"/>
            <w:tcBorders>
              <w:top w:val="nil"/>
              <w:bottom w:val="nil"/>
            </w:tcBorders>
            <w:shd w:val="clear" w:color="000000" w:fill="auto"/>
            <w:vAlign w:val="bottom"/>
          </w:tcPr>
          <w:p w14:paraId="418B27B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3.3</w:t>
            </w:r>
          </w:p>
        </w:tc>
        <w:tc>
          <w:tcPr>
            <w:tcW w:w="2835" w:type="dxa"/>
            <w:tcBorders>
              <w:top w:val="nil"/>
              <w:bottom w:val="nil"/>
            </w:tcBorders>
            <w:shd w:val="clear" w:color="000000" w:fill="auto"/>
            <w:vAlign w:val="bottom"/>
          </w:tcPr>
          <w:p w14:paraId="127E89A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13.1</w:t>
            </w:r>
          </w:p>
        </w:tc>
        <w:tc>
          <w:tcPr>
            <w:tcW w:w="2835" w:type="dxa"/>
            <w:tcBorders>
              <w:top w:val="nil"/>
              <w:bottom w:val="nil"/>
            </w:tcBorders>
            <w:shd w:val="clear" w:color="000000" w:fill="auto"/>
            <w:vAlign w:val="bottom"/>
          </w:tcPr>
          <w:p w14:paraId="1B733857"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6.5</w:t>
            </w:r>
          </w:p>
        </w:tc>
      </w:tr>
      <w:tr w:rsidR="002D737B" w:rsidRPr="006E0B6E" w14:paraId="640DF0B6" w14:textId="77777777" w:rsidTr="00066DA8">
        <w:tc>
          <w:tcPr>
            <w:tcW w:w="709" w:type="dxa"/>
            <w:shd w:val="clear" w:color="000000" w:fill="F2F2F2"/>
          </w:tcPr>
          <w:p w14:paraId="2C0FCF40" w14:textId="77777777" w:rsidR="002D737B" w:rsidRPr="006E0B6E" w:rsidRDefault="002D737B" w:rsidP="00066DA8">
            <w:pPr>
              <w:pStyle w:val="TableBody"/>
              <w:rPr>
                <w:rFonts w:ascii="Arial" w:hAnsi="Arial" w:cs="Arial"/>
                <w:b/>
                <w:bCs/>
              </w:rPr>
            </w:pPr>
            <w:r w:rsidRPr="006E0B6E">
              <w:rPr>
                <w:rFonts w:ascii="Arial" w:hAnsi="Arial" w:cs="Arial"/>
                <w:b/>
                <w:bCs/>
              </w:rPr>
              <w:t>2010</w:t>
            </w:r>
          </w:p>
        </w:tc>
        <w:tc>
          <w:tcPr>
            <w:tcW w:w="2835" w:type="dxa"/>
            <w:shd w:val="clear" w:color="000000" w:fill="F2F2F2"/>
            <w:vAlign w:val="bottom"/>
          </w:tcPr>
          <w:p w14:paraId="758E8FB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3.5</w:t>
            </w:r>
          </w:p>
        </w:tc>
        <w:tc>
          <w:tcPr>
            <w:tcW w:w="2835" w:type="dxa"/>
            <w:shd w:val="clear" w:color="000000" w:fill="F2F2F2"/>
            <w:vAlign w:val="bottom"/>
          </w:tcPr>
          <w:p w14:paraId="792BFB3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14.8</w:t>
            </w:r>
          </w:p>
        </w:tc>
        <w:tc>
          <w:tcPr>
            <w:tcW w:w="2835" w:type="dxa"/>
            <w:shd w:val="clear" w:color="000000" w:fill="F2F2F2"/>
            <w:vAlign w:val="bottom"/>
          </w:tcPr>
          <w:p w14:paraId="2750DBD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7.7</w:t>
            </w:r>
          </w:p>
        </w:tc>
      </w:tr>
      <w:tr w:rsidR="002D737B" w:rsidRPr="006E0B6E" w14:paraId="680DF918" w14:textId="77777777" w:rsidTr="00066DA8">
        <w:tc>
          <w:tcPr>
            <w:tcW w:w="709" w:type="dxa"/>
            <w:shd w:val="clear" w:color="auto" w:fill="auto"/>
          </w:tcPr>
          <w:p w14:paraId="05D865C4" w14:textId="77777777" w:rsidR="002D737B" w:rsidRPr="006E0B6E" w:rsidRDefault="002D737B" w:rsidP="00066DA8">
            <w:pPr>
              <w:pStyle w:val="TableBody"/>
              <w:rPr>
                <w:rFonts w:ascii="Arial" w:hAnsi="Arial" w:cs="Arial"/>
                <w:b/>
                <w:bCs/>
              </w:rPr>
            </w:pPr>
            <w:r w:rsidRPr="006E0B6E">
              <w:rPr>
                <w:rFonts w:ascii="Arial" w:hAnsi="Arial" w:cs="Arial"/>
                <w:b/>
                <w:bCs/>
              </w:rPr>
              <w:t>2014</w:t>
            </w:r>
          </w:p>
        </w:tc>
        <w:tc>
          <w:tcPr>
            <w:tcW w:w="2835" w:type="dxa"/>
            <w:shd w:val="clear" w:color="auto" w:fill="auto"/>
            <w:vAlign w:val="bottom"/>
          </w:tcPr>
          <w:p w14:paraId="59C4B60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4.0</w:t>
            </w:r>
          </w:p>
        </w:tc>
        <w:tc>
          <w:tcPr>
            <w:tcW w:w="2835" w:type="dxa"/>
            <w:shd w:val="clear" w:color="auto" w:fill="auto"/>
            <w:vAlign w:val="bottom"/>
          </w:tcPr>
          <w:p w14:paraId="6A88936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16.9</w:t>
            </w:r>
          </w:p>
        </w:tc>
        <w:tc>
          <w:tcPr>
            <w:tcW w:w="2835" w:type="dxa"/>
            <w:shd w:val="clear" w:color="auto" w:fill="auto"/>
            <w:vAlign w:val="bottom"/>
          </w:tcPr>
          <w:p w14:paraId="148C5E6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9.1</w:t>
            </w:r>
          </w:p>
        </w:tc>
      </w:tr>
      <w:tr w:rsidR="002D737B" w:rsidRPr="006E0B6E" w14:paraId="2F5745A7" w14:textId="77777777" w:rsidTr="00066DA8">
        <w:tc>
          <w:tcPr>
            <w:tcW w:w="709" w:type="dxa"/>
            <w:tcBorders>
              <w:bottom w:val="single" w:sz="4" w:space="0" w:color="B3B3B3"/>
            </w:tcBorders>
            <w:shd w:val="clear" w:color="000000" w:fill="F2F2F2"/>
          </w:tcPr>
          <w:p w14:paraId="7B19F498" w14:textId="77777777" w:rsidR="002D737B" w:rsidRPr="006E0B6E" w:rsidRDefault="002D737B" w:rsidP="00066DA8">
            <w:pPr>
              <w:pStyle w:val="TableBody"/>
              <w:rPr>
                <w:rFonts w:ascii="Arial" w:hAnsi="Arial" w:cs="Arial"/>
                <w:b/>
                <w:bCs/>
              </w:rPr>
            </w:pPr>
            <w:r w:rsidRPr="006E0B6E">
              <w:rPr>
                <w:rFonts w:ascii="Arial" w:hAnsi="Arial" w:cs="Arial"/>
                <w:b/>
                <w:bCs/>
              </w:rPr>
              <w:t>2018</w:t>
            </w:r>
          </w:p>
        </w:tc>
        <w:tc>
          <w:tcPr>
            <w:tcW w:w="2835" w:type="dxa"/>
            <w:tcBorders>
              <w:bottom w:val="single" w:sz="4" w:space="0" w:color="B3B3B3"/>
            </w:tcBorders>
            <w:shd w:val="clear" w:color="000000" w:fill="F2F2F2"/>
            <w:vAlign w:val="bottom"/>
          </w:tcPr>
          <w:p w14:paraId="2DC9541F"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4.1</w:t>
            </w:r>
          </w:p>
        </w:tc>
        <w:tc>
          <w:tcPr>
            <w:tcW w:w="2835" w:type="dxa"/>
            <w:tcBorders>
              <w:bottom w:val="single" w:sz="4" w:space="0" w:color="B3B3B3"/>
            </w:tcBorders>
            <w:shd w:val="clear" w:color="000000" w:fill="F2F2F2"/>
            <w:vAlign w:val="bottom"/>
          </w:tcPr>
          <w:p w14:paraId="1FACE82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20.5</w:t>
            </w:r>
          </w:p>
        </w:tc>
        <w:tc>
          <w:tcPr>
            <w:tcW w:w="2835" w:type="dxa"/>
            <w:tcBorders>
              <w:bottom w:val="single" w:sz="4" w:space="0" w:color="B3B3B3"/>
            </w:tcBorders>
            <w:shd w:val="clear" w:color="000000" w:fill="F2F2F2"/>
            <w:vAlign w:val="bottom"/>
          </w:tcPr>
          <w:p w14:paraId="4751FCA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10.3</w:t>
            </w:r>
          </w:p>
        </w:tc>
      </w:tr>
    </w:tbl>
    <w:p w14:paraId="4217D21D"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26E47016" w14:textId="32E1DBFD" w:rsidR="002D737B" w:rsidRPr="008A5406" w:rsidRDefault="002D737B" w:rsidP="002D737B">
      <w:pPr>
        <w:pStyle w:val="FigureTableHeading"/>
        <w:rPr>
          <w:rFonts w:ascii="Arial" w:hAnsi="Arial" w:cs="Arial"/>
          <w:spacing w:val="-6"/>
        </w:rPr>
      </w:pPr>
      <w:r w:rsidRPr="008A5406">
        <w:rPr>
          <w:rFonts w:ascii="Arial" w:hAnsi="Arial" w:cs="Arial"/>
          <w:spacing w:val="-6"/>
        </w:rPr>
        <w:t xml:space="preserve">Table </w:t>
      </w:r>
      <w:r w:rsidR="005E2259" w:rsidRPr="008A5406">
        <w:rPr>
          <w:rFonts w:ascii="Arial" w:hAnsi="Arial" w:cs="Arial"/>
          <w:spacing w:val="-6"/>
        </w:rPr>
        <w:fldChar w:fldCharType="begin"/>
      </w:r>
      <w:r w:rsidR="005E2259" w:rsidRPr="008A5406">
        <w:rPr>
          <w:rFonts w:ascii="Arial" w:hAnsi="Arial" w:cs="Arial"/>
          <w:spacing w:val="-6"/>
        </w:rPr>
        <w:instrText xml:space="preserve"> SEQ Table \* ARABIC \s 1 </w:instrText>
      </w:r>
      <w:r w:rsidR="005E2259" w:rsidRPr="008A5406">
        <w:rPr>
          <w:rFonts w:ascii="Arial" w:hAnsi="Arial" w:cs="Arial"/>
          <w:spacing w:val="-6"/>
        </w:rPr>
        <w:fldChar w:fldCharType="separate"/>
      </w:r>
      <w:r w:rsidR="00FE0771">
        <w:rPr>
          <w:rFonts w:ascii="Arial" w:hAnsi="Arial" w:cs="Arial"/>
          <w:noProof/>
          <w:spacing w:val="-6"/>
        </w:rPr>
        <w:t>14</w:t>
      </w:r>
      <w:r w:rsidR="005E2259" w:rsidRPr="008A5406">
        <w:rPr>
          <w:rFonts w:ascii="Arial" w:hAnsi="Arial" w:cs="Arial"/>
          <w:noProof/>
          <w:spacing w:val="-6"/>
        </w:rPr>
        <w:fldChar w:fldCharType="end"/>
      </w:r>
      <w:r w:rsidRPr="008A5406">
        <w:rPr>
          <w:rFonts w:ascii="Arial" w:hAnsi="Arial" w:cs="Arial"/>
          <w:noProof/>
          <w:spacing w:val="-6"/>
        </w:rPr>
        <w:t xml:space="preserve"> – </w:t>
      </w:r>
      <w:r w:rsidRPr="008A5406">
        <w:rPr>
          <w:rFonts w:ascii="Arial" w:hAnsi="Arial" w:cs="Arial"/>
          <w:spacing w:val="-6"/>
        </w:rPr>
        <w:t>Inheritances bequeathed by households from the 5</w:t>
      </w:r>
      <w:r w:rsidRPr="008A5406">
        <w:rPr>
          <w:rFonts w:ascii="Arial" w:hAnsi="Arial" w:cs="Arial"/>
          <w:spacing w:val="-6"/>
          <w:vertAlign w:val="superscript"/>
        </w:rPr>
        <w:t>th</w:t>
      </w:r>
      <w:r w:rsidRPr="008A5406">
        <w:rPr>
          <w:rFonts w:ascii="Arial" w:hAnsi="Arial" w:cs="Arial"/>
          <w:spacing w:val="-6"/>
        </w:rPr>
        <w:t xml:space="preserve"> quintile of the equivalised wealth distribution</w:t>
      </w:r>
    </w:p>
    <w:p w14:paraId="24ACD5C2"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expected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835"/>
        <w:gridCol w:w="2835"/>
        <w:gridCol w:w="2835"/>
      </w:tblGrid>
      <w:tr w:rsidR="002D737B" w:rsidRPr="006E0B6E" w14:paraId="61C621ED" w14:textId="77777777" w:rsidTr="00066DA8">
        <w:trPr>
          <w:tblHeader/>
        </w:trPr>
        <w:tc>
          <w:tcPr>
            <w:tcW w:w="709" w:type="dxa"/>
            <w:tcBorders>
              <w:bottom w:val="single" w:sz="4" w:space="0" w:color="B3B3B3"/>
            </w:tcBorders>
            <w:shd w:val="clear" w:color="000000" w:fill="auto"/>
            <w:vAlign w:val="bottom"/>
          </w:tcPr>
          <w:p w14:paraId="15913E2F"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835" w:type="dxa"/>
            <w:tcBorders>
              <w:bottom w:val="single" w:sz="4" w:space="0" w:color="B3B3B3"/>
            </w:tcBorders>
            <w:shd w:val="clear" w:color="000000" w:fill="auto"/>
            <w:vAlign w:val="bottom"/>
          </w:tcPr>
          <w:p w14:paraId="000B483A"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835" w:type="dxa"/>
            <w:tcBorders>
              <w:bottom w:val="single" w:sz="4" w:space="0" w:color="B3B3B3"/>
            </w:tcBorders>
            <w:shd w:val="clear" w:color="000000" w:fill="auto"/>
            <w:vAlign w:val="bottom"/>
          </w:tcPr>
          <w:p w14:paraId="4BDE808F"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835" w:type="dxa"/>
            <w:tcBorders>
              <w:bottom w:val="single" w:sz="4" w:space="0" w:color="B3B3B3"/>
            </w:tcBorders>
            <w:shd w:val="clear" w:color="000000" w:fill="auto"/>
          </w:tcPr>
          <w:p w14:paraId="31F6BD3A"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r>
      <w:tr w:rsidR="002D737B" w:rsidRPr="006E0B6E" w14:paraId="0178662C" w14:textId="77777777" w:rsidTr="00066DA8">
        <w:tc>
          <w:tcPr>
            <w:tcW w:w="709" w:type="dxa"/>
            <w:tcBorders>
              <w:top w:val="single" w:sz="4" w:space="0" w:color="B3B3B3"/>
              <w:bottom w:val="nil"/>
            </w:tcBorders>
            <w:shd w:val="clear" w:color="000000" w:fill="F2F2F2"/>
          </w:tcPr>
          <w:p w14:paraId="0910625C" w14:textId="77777777" w:rsidR="002D737B" w:rsidRPr="006E0B6E" w:rsidRDefault="002D737B" w:rsidP="00066DA8">
            <w:pPr>
              <w:pStyle w:val="TableBody"/>
              <w:rPr>
                <w:rFonts w:ascii="Arial" w:hAnsi="Arial" w:cs="Arial"/>
              </w:rPr>
            </w:pPr>
          </w:p>
        </w:tc>
        <w:tc>
          <w:tcPr>
            <w:tcW w:w="2835" w:type="dxa"/>
            <w:tcBorders>
              <w:top w:val="single" w:sz="4" w:space="0" w:color="B3B3B3"/>
              <w:bottom w:val="nil"/>
            </w:tcBorders>
            <w:shd w:val="clear" w:color="000000" w:fill="F2F2F2"/>
            <w:vAlign w:val="bottom"/>
          </w:tcPr>
          <w:p w14:paraId="549A0E0E"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 (tens of thousands)</w:t>
            </w:r>
          </w:p>
        </w:tc>
        <w:tc>
          <w:tcPr>
            <w:tcW w:w="2835" w:type="dxa"/>
            <w:tcBorders>
              <w:top w:val="single" w:sz="4" w:space="0" w:color="B3B3B3"/>
              <w:bottom w:val="nil"/>
            </w:tcBorders>
            <w:shd w:val="clear" w:color="000000" w:fill="F2F2F2"/>
            <w:vAlign w:val="bottom"/>
          </w:tcPr>
          <w:p w14:paraId="351A167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835" w:type="dxa"/>
            <w:tcBorders>
              <w:top w:val="single" w:sz="4" w:space="0" w:color="B3B3B3"/>
              <w:bottom w:val="nil"/>
            </w:tcBorders>
            <w:shd w:val="clear" w:color="000000" w:fill="F2F2F2"/>
            <w:vAlign w:val="bottom"/>
          </w:tcPr>
          <w:p w14:paraId="44DD865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r>
      <w:tr w:rsidR="002D737B" w:rsidRPr="006E0B6E" w14:paraId="5730C4C8" w14:textId="77777777" w:rsidTr="00066DA8">
        <w:tc>
          <w:tcPr>
            <w:tcW w:w="709" w:type="dxa"/>
            <w:tcBorders>
              <w:top w:val="single" w:sz="4" w:space="0" w:color="B3B3B3"/>
              <w:bottom w:val="nil"/>
            </w:tcBorders>
            <w:shd w:val="clear" w:color="000000" w:fill="F2F2F2"/>
          </w:tcPr>
          <w:p w14:paraId="02F444EF" w14:textId="77777777" w:rsidR="002D737B" w:rsidRPr="006E0B6E" w:rsidRDefault="002D737B" w:rsidP="00066DA8">
            <w:pPr>
              <w:pStyle w:val="TableBody"/>
              <w:rPr>
                <w:rFonts w:ascii="Arial" w:hAnsi="Arial" w:cs="Arial"/>
                <w:b/>
                <w:bCs/>
              </w:rPr>
            </w:pPr>
            <w:r w:rsidRPr="006E0B6E">
              <w:rPr>
                <w:rFonts w:ascii="Arial" w:hAnsi="Arial" w:cs="Arial"/>
                <w:b/>
                <w:bCs/>
              </w:rPr>
              <w:t>2002</w:t>
            </w:r>
          </w:p>
        </w:tc>
        <w:tc>
          <w:tcPr>
            <w:tcW w:w="2835" w:type="dxa"/>
            <w:tcBorders>
              <w:top w:val="single" w:sz="4" w:space="0" w:color="B3B3B3"/>
              <w:bottom w:val="nil"/>
            </w:tcBorders>
            <w:shd w:val="clear" w:color="000000" w:fill="F2F2F2"/>
            <w:vAlign w:val="bottom"/>
          </w:tcPr>
          <w:p w14:paraId="700538F9"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3.7</w:t>
            </w:r>
          </w:p>
        </w:tc>
        <w:tc>
          <w:tcPr>
            <w:tcW w:w="2835" w:type="dxa"/>
            <w:tcBorders>
              <w:top w:val="single" w:sz="4" w:space="0" w:color="B3B3B3"/>
              <w:bottom w:val="nil"/>
            </w:tcBorders>
            <w:shd w:val="clear" w:color="000000" w:fill="F2F2F2"/>
            <w:vAlign w:val="bottom"/>
          </w:tcPr>
          <w:p w14:paraId="13679DF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32.0</w:t>
            </w:r>
          </w:p>
        </w:tc>
        <w:tc>
          <w:tcPr>
            <w:tcW w:w="2835" w:type="dxa"/>
            <w:tcBorders>
              <w:top w:val="single" w:sz="4" w:space="0" w:color="B3B3B3"/>
              <w:bottom w:val="nil"/>
            </w:tcBorders>
            <w:shd w:val="clear" w:color="000000" w:fill="F2F2F2"/>
            <w:vAlign w:val="bottom"/>
          </w:tcPr>
          <w:p w14:paraId="09247889"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15.4</w:t>
            </w:r>
          </w:p>
        </w:tc>
      </w:tr>
      <w:tr w:rsidR="002D737B" w:rsidRPr="006E0B6E" w14:paraId="6F6B5962" w14:textId="77777777" w:rsidTr="00066DA8">
        <w:tc>
          <w:tcPr>
            <w:tcW w:w="709" w:type="dxa"/>
            <w:tcBorders>
              <w:top w:val="nil"/>
              <w:bottom w:val="nil"/>
            </w:tcBorders>
            <w:shd w:val="clear" w:color="000000" w:fill="auto"/>
          </w:tcPr>
          <w:p w14:paraId="04FA2286" w14:textId="77777777" w:rsidR="002D737B" w:rsidRPr="006E0B6E" w:rsidRDefault="002D737B" w:rsidP="00066DA8">
            <w:pPr>
              <w:pStyle w:val="TableBody"/>
              <w:rPr>
                <w:rFonts w:ascii="Arial" w:hAnsi="Arial" w:cs="Arial"/>
                <w:b/>
                <w:bCs/>
              </w:rPr>
            </w:pPr>
            <w:r w:rsidRPr="006E0B6E">
              <w:rPr>
                <w:rFonts w:ascii="Arial" w:hAnsi="Arial" w:cs="Arial"/>
                <w:b/>
                <w:bCs/>
              </w:rPr>
              <w:t>2006</w:t>
            </w:r>
          </w:p>
        </w:tc>
        <w:tc>
          <w:tcPr>
            <w:tcW w:w="2835" w:type="dxa"/>
            <w:tcBorders>
              <w:top w:val="nil"/>
              <w:bottom w:val="nil"/>
            </w:tcBorders>
            <w:shd w:val="clear" w:color="000000" w:fill="auto"/>
            <w:vAlign w:val="bottom"/>
          </w:tcPr>
          <w:p w14:paraId="0B0B1772"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3.3</w:t>
            </w:r>
          </w:p>
        </w:tc>
        <w:tc>
          <w:tcPr>
            <w:tcW w:w="2835" w:type="dxa"/>
            <w:tcBorders>
              <w:top w:val="nil"/>
              <w:bottom w:val="nil"/>
            </w:tcBorders>
            <w:shd w:val="clear" w:color="000000" w:fill="auto"/>
            <w:vAlign w:val="bottom"/>
          </w:tcPr>
          <w:p w14:paraId="438F1CB2"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44.8</w:t>
            </w:r>
          </w:p>
        </w:tc>
        <w:tc>
          <w:tcPr>
            <w:tcW w:w="2835" w:type="dxa"/>
            <w:tcBorders>
              <w:top w:val="nil"/>
              <w:bottom w:val="nil"/>
            </w:tcBorders>
            <w:shd w:val="clear" w:color="000000" w:fill="auto"/>
            <w:vAlign w:val="bottom"/>
          </w:tcPr>
          <w:p w14:paraId="644CBFE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21.5</w:t>
            </w:r>
          </w:p>
        </w:tc>
      </w:tr>
      <w:tr w:rsidR="002D737B" w:rsidRPr="006E0B6E" w14:paraId="60E0A27D" w14:textId="77777777" w:rsidTr="00066DA8">
        <w:tc>
          <w:tcPr>
            <w:tcW w:w="709" w:type="dxa"/>
            <w:shd w:val="clear" w:color="000000" w:fill="F2F2F2"/>
          </w:tcPr>
          <w:p w14:paraId="0450FB97" w14:textId="77777777" w:rsidR="002D737B" w:rsidRPr="006E0B6E" w:rsidRDefault="002D737B" w:rsidP="00066DA8">
            <w:pPr>
              <w:pStyle w:val="TableBody"/>
              <w:rPr>
                <w:rFonts w:ascii="Arial" w:hAnsi="Arial" w:cs="Arial"/>
                <w:b/>
                <w:bCs/>
              </w:rPr>
            </w:pPr>
            <w:r w:rsidRPr="006E0B6E">
              <w:rPr>
                <w:rFonts w:ascii="Arial" w:hAnsi="Arial" w:cs="Arial"/>
                <w:b/>
                <w:bCs/>
              </w:rPr>
              <w:t>2010</w:t>
            </w:r>
          </w:p>
        </w:tc>
        <w:tc>
          <w:tcPr>
            <w:tcW w:w="2835" w:type="dxa"/>
            <w:shd w:val="clear" w:color="000000" w:fill="F2F2F2"/>
            <w:vAlign w:val="bottom"/>
          </w:tcPr>
          <w:p w14:paraId="31D0946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3.7</w:t>
            </w:r>
          </w:p>
        </w:tc>
        <w:tc>
          <w:tcPr>
            <w:tcW w:w="2835" w:type="dxa"/>
            <w:shd w:val="clear" w:color="000000" w:fill="F2F2F2"/>
            <w:vAlign w:val="bottom"/>
          </w:tcPr>
          <w:p w14:paraId="29DA881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45.7</w:t>
            </w:r>
          </w:p>
        </w:tc>
        <w:tc>
          <w:tcPr>
            <w:tcW w:w="2835" w:type="dxa"/>
            <w:shd w:val="clear" w:color="000000" w:fill="F2F2F2"/>
            <w:vAlign w:val="bottom"/>
          </w:tcPr>
          <w:p w14:paraId="3FA2BAAF"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17.9</w:t>
            </w:r>
          </w:p>
        </w:tc>
      </w:tr>
      <w:tr w:rsidR="002D737B" w:rsidRPr="006E0B6E" w14:paraId="57499EA8" w14:textId="77777777" w:rsidTr="00066DA8">
        <w:tc>
          <w:tcPr>
            <w:tcW w:w="709" w:type="dxa"/>
            <w:shd w:val="clear" w:color="auto" w:fill="auto"/>
          </w:tcPr>
          <w:p w14:paraId="24C68A3A" w14:textId="77777777" w:rsidR="002D737B" w:rsidRPr="006E0B6E" w:rsidRDefault="002D737B" w:rsidP="00066DA8">
            <w:pPr>
              <w:pStyle w:val="TableBody"/>
              <w:rPr>
                <w:rFonts w:ascii="Arial" w:hAnsi="Arial" w:cs="Arial"/>
                <w:b/>
                <w:bCs/>
              </w:rPr>
            </w:pPr>
            <w:r w:rsidRPr="006E0B6E">
              <w:rPr>
                <w:rFonts w:ascii="Arial" w:hAnsi="Arial" w:cs="Arial"/>
                <w:b/>
                <w:bCs/>
              </w:rPr>
              <w:t>2014</w:t>
            </w:r>
          </w:p>
        </w:tc>
        <w:tc>
          <w:tcPr>
            <w:tcW w:w="2835" w:type="dxa"/>
            <w:shd w:val="clear" w:color="auto" w:fill="auto"/>
            <w:vAlign w:val="bottom"/>
          </w:tcPr>
          <w:p w14:paraId="6FB18D5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4.2</w:t>
            </w:r>
          </w:p>
        </w:tc>
        <w:tc>
          <w:tcPr>
            <w:tcW w:w="2835" w:type="dxa"/>
            <w:shd w:val="clear" w:color="auto" w:fill="auto"/>
            <w:vAlign w:val="bottom"/>
          </w:tcPr>
          <w:p w14:paraId="09890EC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55.4</w:t>
            </w:r>
          </w:p>
        </w:tc>
        <w:tc>
          <w:tcPr>
            <w:tcW w:w="2835" w:type="dxa"/>
            <w:shd w:val="clear" w:color="auto" w:fill="auto"/>
            <w:vAlign w:val="bottom"/>
          </w:tcPr>
          <w:p w14:paraId="6A0830E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24.2</w:t>
            </w:r>
          </w:p>
        </w:tc>
      </w:tr>
      <w:tr w:rsidR="002D737B" w:rsidRPr="006E0B6E" w14:paraId="54FCF23A" w14:textId="77777777" w:rsidTr="00066DA8">
        <w:tc>
          <w:tcPr>
            <w:tcW w:w="709" w:type="dxa"/>
            <w:tcBorders>
              <w:bottom w:val="single" w:sz="4" w:space="0" w:color="B3B3B3"/>
            </w:tcBorders>
            <w:shd w:val="clear" w:color="000000" w:fill="F2F2F2"/>
          </w:tcPr>
          <w:p w14:paraId="3E587377" w14:textId="77777777" w:rsidR="002D737B" w:rsidRPr="006E0B6E" w:rsidRDefault="002D737B" w:rsidP="00066DA8">
            <w:pPr>
              <w:pStyle w:val="TableBody"/>
              <w:rPr>
                <w:rFonts w:ascii="Arial" w:hAnsi="Arial" w:cs="Arial"/>
                <w:b/>
                <w:bCs/>
              </w:rPr>
            </w:pPr>
            <w:r w:rsidRPr="006E0B6E">
              <w:rPr>
                <w:rFonts w:ascii="Arial" w:hAnsi="Arial" w:cs="Arial"/>
                <w:b/>
                <w:bCs/>
              </w:rPr>
              <w:t>2018</w:t>
            </w:r>
          </w:p>
        </w:tc>
        <w:tc>
          <w:tcPr>
            <w:tcW w:w="2835" w:type="dxa"/>
            <w:tcBorders>
              <w:bottom w:val="single" w:sz="4" w:space="0" w:color="B3B3B3"/>
            </w:tcBorders>
            <w:shd w:val="clear" w:color="000000" w:fill="F2F2F2"/>
            <w:vAlign w:val="bottom"/>
          </w:tcPr>
          <w:p w14:paraId="62526D4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4.3</w:t>
            </w:r>
          </w:p>
        </w:tc>
        <w:tc>
          <w:tcPr>
            <w:tcW w:w="2835" w:type="dxa"/>
            <w:tcBorders>
              <w:bottom w:val="single" w:sz="4" w:space="0" w:color="B3B3B3"/>
            </w:tcBorders>
            <w:shd w:val="clear" w:color="000000" w:fill="F2F2F2"/>
            <w:vAlign w:val="bottom"/>
          </w:tcPr>
          <w:p w14:paraId="0F38115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66.4</w:t>
            </w:r>
          </w:p>
        </w:tc>
        <w:tc>
          <w:tcPr>
            <w:tcW w:w="2835" w:type="dxa"/>
            <w:tcBorders>
              <w:bottom w:val="single" w:sz="4" w:space="0" w:color="B3B3B3"/>
            </w:tcBorders>
            <w:shd w:val="clear" w:color="000000" w:fill="F2F2F2"/>
            <w:vAlign w:val="bottom"/>
          </w:tcPr>
          <w:p w14:paraId="74FE25C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29.9</w:t>
            </w:r>
          </w:p>
        </w:tc>
      </w:tr>
    </w:tbl>
    <w:p w14:paraId="06E5834D"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0A2EE704" w14:textId="77777777" w:rsidR="00F93DE2" w:rsidRPr="006E0B6E" w:rsidRDefault="00F93DE2">
      <w:pPr>
        <w:rPr>
          <w:rFonts w:cs="Arial"/>
        </w:rPr>
      </w:pPr>
      <w:r w:rsidRPr="006E0B6E">
        <w:rPr>
          <w:rFonts w:cs="Arial"/>
        </w:rPr>
        <w:br w:type="page"/>
      </w:r>
    </w:p>
    <w:p w14:paraId="2DEAC77D" w14:textId="526354B6" w:rsidR="002D737B" w:rsidRPr="006E0B6E" w:rsidRDefault="002D737B" w:rsidP="002D737B">
      <w:pPr>
        <w:rPr>
          <w:rFonts w:cs="Arial"/>
        </w:rPr>
      </w:pPr>
      <w:r w:rsidRPr="006E0B6E">
        <w:rPr>
          <w:rFonts w:cs="Arial"/>
        </w:rPr>
        <w:lastRenderedPageBreak/>
        <w:t>Tables </w:t>
      </w:r>
      <w:r w:rsidR="00B32C54" w:rsidRPr="006E0B6E">
        <w:rPr>
          <w:rFonts w:cs="Arial"/>
        </w:rPr>
        <w:t>1</w:t>
      </w:r>
      <w:r w:rsidR="00711C33" w:rsidRPr="006E0B6E">
        <w:rPr>
          <w:rFonts w:cs="Arial"/>
        </w:rPr>
        <w:t>5</w:t>
      </w:r>
      <w:r w:rsidRPr="006E0B6E">
        <w:rPr>
          <w:rFonts w:cs="Arial"/>
        </w:rPr>
        <w:t>–</w:t>
      </w:r>
      <w:r w:rsidR="00711C33" w:rsidRPr="006E0B6E">
        <w:rPr>
          <w:rFonts w:cs="Arial"/>
        </w:rPr>
        <w:t>19</w:t>
      </w:r>
      <w:r w:rsidRPr="006E0B6E">
        <w:rPr>
          <w:rFonts w:cs="Arial"/>
        </w:rPr>
        <w:t xml:space="preserve"> show the estimates based on the ‘outflow – actual deaths’ approach, as robustness checks. Some estimates are highly variable year-on-year (clear evidence of imprecision), which due to the small numbers of observations on which they are based.</w:t>
      </w:r>
    </w:p>
    <w:p w14:paraId="22F3C7D3" w14:textId="4A6BDC85" w:rsidR="002D737B" w:rsidRPr="000D3700" w:rsidRDefault="002D737B" w:rsidP="002D737B">
      <w:pPr>
        <w:pStyle w:val="FigureTableHeading"/>
        <w:rPr>
          <w:rFonts w:ascii="Arial" w:hAnsi="Arial" w:cs="Arial"/>
          <w:spacing w:val="-6"/>
        </w:rPr>
      </w:pPr>
      <w:r w:rsidRPr="000D3700">
        <w:rPr>
          <w:rFonts w:ascii="Arial" w:hAnsi="Arial" w:cs="Arial"/>
          <w:spacing w:val="-6"/>
        </w:rPr>
        <w:t xml:space="preserve">Table </w:t>
      </w:r>
      <w:r w:rsidR="005E2259" w:rsidRPr="000D3700">
        <w:rPr>
          <w:rFonts w:ascii="Arial" w:hAnsi="Arial" w:cs="Arial"/>
          <w:spacing w:val="-6"/>
        </w:rPr>
        <w:fldChar w:fldCharType="begin"/>
      </w:r>
      <w:r w:rsidR="005E2259" w:rsidRPr="000D3700">
        <w:rPr>
          <w:rFonts w:ascii="Arial" w:hAnsi="Arial" w:cs="Arial"/>
          <w:spacing w:val="-6"/>
        </w:rPr>
        <w:instrText xml:space="preserve"> SEQ Table \* ARABIC \s 1 </w:instrText>
      </w:r>
      <w:r w:rsidR="005E2259" w:rsidRPr="000D3700">
        <w:rPr>
          <w:rFonts w:ascii="Arial" w:hAnsi="Arial" w:cs="Arial"/>
          <w:spacing w:val="-6"/>
        </w:rPr>
        <w:fldChar w:fldCharType="separate"/>
      </w:r>
      <w:r w:rsidR="00FE0771">
        <w:rPr>
          <w:rFonts w:ascii="Arial" w:hAnsi="Arial" w:cs="Arial"/>
          <w:noProof/>
          <w:spacing w:val="-6"/>
        </w:rPr>
        <w:t>15</w:t>
      </w:r>
      <w:r w:rsidR="005E2259" w:rsidRPr="000D3700">
        <w:rPr>
          <w:rFonts w:ascii="Arial" w:hAnsi="Arial" w:cs="Arial"/>
          <w:noProof/>
          <w:spacing w:val="-6"/>
        </w:rPr>
        <w:fldChar w:fldCharType="end"/>
      </w:r>
      <w:r w:rsidRPr="000D3700">
        <w:rPr>
          <w:rFonts w:ascii="Arial" w:hAnsi="Arial" w:cs="Arial"/>
          <w:noProof/>
          <w:spacing w:val="-6"/>
        </w:rPr>
        <w:t xml:space="preserve"> – </w:t>
      </w:r>
      <w:r w:rsidRPr="000D3700">
        <w:rPr>
          <w:rFonts w:ascii="Arial" w:hAnsi="Arial" w:cs="Arial"/>
          <w:spacing w:val="-6"/>
        </w:rPr>
        <w:t>Inheritances bequeathed by households from the 1</w:t>
      </w:r>
      <w:r w:rsidRPr="000D3700">
        <w:rPr>
          <w:rFonts w:ascii="Arial" w:hAnsi="Arial" w:cs="Arial"/>
          <w:spacing w:val="-6"/>
          <w:vertAlign w:val="superscript"/>
        </w:rPr>
        <w:t>st</w:t>
      </w:r>
      <w:r w:rsidRPr="000D3700">
        <w:rPr>
          <w:rFonts w:ascii="Arial" w:hAnsi="Arial" w:cs="Arial"/>
          <w:spacing w:val="-6"/>
        </w:rPr>
        <w:t xml:space="preserve"> quintile of the equivalised wealth distribution</w:t>
      </w:r>
    </w:p>
    <w:p w14:paraId="7D45B314"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actual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126"/>
        <w:gridCol w:w="2126"/>
        <w:gridCol w:w="2126"/>
        <w:gridCol w:w="2127"/>
      </w:tblGrid>
      <w:tr w:rsidR="002D737B" w:rsidRPr="006E0B6E" w14:paraId="4E220509" w14:textId="77777777" w:rsidTr="00066DA8">
        <w:trPr>
          <w:tblHeader/>
        </w:trPr>
        <w:tc>
          <w:tcPr>
            <w:tcW w:w="709" w:type="dxa"/>
            <w:tcBorders>
              <w:bottom w:val="single" w:sz="4" w:space="0" w:color="B3B3B3"/>
            </w:tcBorders>
            <w:shd w:val="clear" w:color="000000" w:fill="auto"/>
            <w:vAlign w:val="bottom"/>
          </w:tcPr>
          <w:p w14:paraId="75F406C4"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126" w:type="dxa"/>
            <w:tcBorders>
              <w:bottom w:val="single" w:sz="4" w:space="0" w:color="B3B3B3"/>
            </w:tcBorders>
            <w:shd w:val="clear" w:color="000000" w:fill="auto"/>
            <w:vAlign w:val="bottom"/>
          </w:tcPr>
          <w:p w14:paraId="2DB47AD3"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126" w:type="dxa"/>
            <w:tcBorders>
              <w:bottom w:val="single" w:sz="4" w:space="0" w:color="B3B3B3"/>
            </w:tcBorders>
            <w:shd w:val="clear" w:color="000000" w:fill="auto"/>
            <w:vAlign w:val="bottom"/>
          </w:tcPr>
          <w:p w14:paraId="7FD8C099"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126" w:type="dxa"/>
            <w:tcBorders>
              <w:bottom w:val="single" w:sz="4" w:space="0" w:color="B3B3B3"/>
            </w:tcBorders>
            <w:shd w:val="clear" w:color="000000" w:fill="auto"/>
          </w:tcPr>
          <w:p w14:paraId="3961A684"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c>
          <w:tcPr>
            <w:tcW w:w="2127" w:type="dxa"/>
            <w:tcBorders>
              <w:bottom w:val="single" w:sz="4" w:space="0" w:color="B3B3B3"/>
            </w:tcBorders>
            <w:shd w:val="clear" w:color="000000" w:fill="auto"/>
          </w:tcPr>
          <w:p w14:paraId="723DF662"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Number of observations on which estimates are based</w:t>
            </w:r>
          </w:p>
        </w:tc>
      </w:tr>
      <w:tr w:rsidR="002D737B" w:rsidRPr="006E0B6E" w14:paraId="1CB4751B" w14:textId="77777777" w:rsidTr="00066DA8">
        <w:tc>
          <w:tcPr>
            <w:tcW w:w="709" w:type="dxa"/>
            <w:tcBorders>
              <w:top w:val="single" w:sz="4" w:space="0" w:color="B3B3B3"/>
              <w:bottom w:val="nil"/>
            </w:tcBorders>
            <w:shd w:val="clear" w:color="000000" w:fill="F2F2F2"/>
          </w:tcPr>
          <w:p w14:paraId="0A2818CB" w14:textId="77777777" w:rsidR="002D737B" w:rsidRPr="006E0B6E" w:rsidRDefault="002D737B" w:rsidP="00066DA8">
            <w:pPr>
              <w:pStyle w:val="TableBody"/>
              <w:rPr>
                <w:rFonts w:ascii="Arial" w:hAnsi="Arial" w:cs="Arial"/>
              </w:rPr>
            </w:pPr>
          </w:p>
        </w:tc>
        <w:tc>
          <w:tcPr>
            <w:tcW w:w="2126" w:type="dxa"/>
            <w:tcBorders>
              <w:top w:val="single" w:sz="4" w:space="0" w:color="B3B3B3"/>
              <w:bottom w:val="nil"/>
            </w:tcBorders>
            <w:shd w:val="clear" w:color="000000" w:fill="F2F2F2"/>
            <w:vAlign w:val="bottom"/>
          </w:tcPr>
          <w:p w14:paraId="3F4BD426"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inheritances (tens of thousands)</w:t>
            </w:r>
          </w:p>
        </w:tc>
        <w:tc>
          <w:tcPr>
            <w:tcW w:w="2126" w:type="dxa"/>
            <w:tcBorders>
              <w:top w:val="single" w:sz="4" w:space="0" w:color="B3B3B3"/>
              <w:bottom w:val="nil"/>
            </w:tcBorders>
            <w:shd w:val="clear" w:color="000000" w:fill="F2F2F2"/>
            <w:vAlign w:val="bottom"/>
          </w:tcPr>
          <w:p w14:paraId="5B169CAE"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6" w:type="dxa"/>
            <w:tcBorders>
              <w:top w:val="single" w:sz="4" w:space="0" w:color="B3B3B3"/>
              <w:bottom w:val="nil"/>
            </w:tcBorders>
            <w:shd w:val="clear" w:color="000000" w:fill="F2F2F2"/>
            <w:vAlign w:val="bottom"/>
          </w:tcPr>
          <w:p w14:paraId="0D85A81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7" w:type="dxa"/>
            <w:tcBorders>
              <w:top w:val="single" w:sz="4" w:space="0" w:color="B3B3B3"/>
              <w:bottom w:val="nil"/>
            </w:tcBorders>
            <w:shd w:val="clear" w:color="000000" w:fill="F2F2F2"/>
          </w:tcPr>
          <w:p w14:paraId="5B8F1F66"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w:t>
            </w:r>
          </w:p>
        </w:tc>
      </w:tr>
      <w:tr w:rsidR="002D737B" w:rsidRPr="006E0B6E" w14:paraId="7FEED4DA" w14:textId="77777777" w:rsidTr="00066DA8">
        <w:tc>
          <w:tcPr>
            <w:tcW w:w="709" w:type="dxa"/>
            <w:tcBorders>
              <w:top w:val="single" w:sz="4" w:space="0" w:color="B3B3B3"/>
              <w:bottom w:val="nil"/>
            </w:tcBorders>
            <w:shd w:val="clear" w:color="000000" w:fill="F2F2F2"/>
          </w:tcPr>
          <w:p w14:paraId="51FD599C" w14:textId="77777777" w:rsidR="002D737B" w:rsidRPr="006E0B6E" w:rsidRDefault="002D737B" w:rsidP="00066DA8">
            <w:pPr>
              <w:pStyle w:val="TableBody"/>
              <w:rPr>
                <w:rFonts w:ascii="Arial" w:hAnsi="Arial" w:cs="Arial"/>
                <w:b/>
                <w:bCs/>
              </w:rPr>
            </w:pPr>
            <w:r w:rsidRPr="006E0B6E">
              <w:rPr>
                <w:rFonts w:ascii="Arial" w:hAnsi="Arial" w:cs="Arial"/>
                <w:b/>
                <w:bCs/>
              </w:rPr>
              <w:t>2003</w:t>
            </w:r>
          </w:p>
        </w:tc>
        <w:tc>
          <w:tcPr>
            <w:tcW w:w="2126" w:type="dxa"/>
            <w:tcBorders>
              <w:top w:val="single" w:sz="4" w:space="0" w:color="B3B3B3"/>
              <w:bottom w:val="nil"/>
            </w:tcBorders>
            <w:shd w:val="clear" w:color="000000" w:fill="F2F2F2"/>
            <w:vAlign w:val="bottom"/>
          </w:tcPr>
          <w:p w14:paraId="7F63967A" w14:textId="77777777" w:rsidR="002D737B" w:rsidRPr="006E0B6E" w:rsidRDefault="002D737B" w:rsidP="00066DA8">
            <w:pPr>
              <w:pStyle w:val="TableBody"/>
              <w:rPr>
                <w:rFonts w:ascii="Arial" w:hAnsi="Arial" w:cs="Arial"/>
                <w:color w:val="000000"/>
              </w:rPr>
            </w:pPr>
            <w:r w:rsidRPr="006E0B6E">
              <w:rPr>
                <w:rFonts w:ascii="Arial" w:hAnsi="Arial" w:cs="Arial"/>
                <w:szCs w:val="18"/>
              </w:rPr>
              <w:t>1.9</w:t>
            </w:r>
          </w:p>
        </w:tc>
        <w:tc>
          <w:tcPr>
            <w:tcW w:w="2126" w:type="dxa"/>
            <w:tcBorders>
              <w:top w:val="single" w:sz="4" w:space="0" w:color="B3B3B3"/>
              <w:bottom w:val="nil"/>
            </w:tcBorders>
            <w:shd w:val="clear" w:color="000000" w:fill="F2F2F2"/>
            <w:vAlign w:val="bottom"/>
          </w:tcPr>
          <w:p w14:paraId="2A90BA3C" w14:textId="77777777" w:rsidR="002D737B" w:rsidRPr="006E0B6E" w:rsidRDefault="002D737B" w:rsidP="00066DA8">
            <w:pPr>
              <w:pStyle w:val="TableBody"/>
              <w:rPr>
                <w:rFonts w:ascii="Arial" w:hAnsi="Arial" w:cs="Arial"/>
                <w:color w:val="000000"/>
              </w:rPr>
            </w:pPr>
            <w:r w:rsidRPr="006E0B6E">
              <w:rPr>
                <w:rFonts w:ascii="Arial" w:hAnsi="Arial" w:cs="Arial"/>
                <w:szCs w:val="18"/>
              </w:rPr>
              <w:t>0.2</w:t>
            </w:r>
          </w:p>
        </w:tc>
        <w:tc>
          <w:tcPr>
            <w:tcW w:w="2126" w:type="dxa"/>
            <w:tcBorders>
              <w:top w:val="single" w:sz="4" w:space="0" w:color="B3B3B3"/>
              <w:bottom w:val="nil"/>
            </w:tcBorders>
            <w:shd w:val="clear" w:color="000000" w:fill="F2F2F2"/>
            <w:vAlign w:val="bottom"/>
          </w:tcPr>
          <w:p w14:paraId="0D4569A4" w14:textId="77777777" w:rsidR="002D737B" w:rsidRPr="006E0B6E" w:rsidRDefault="002D737B" w:rsidP="00066DA8">
            <w:pPr>
              <w:pStyle w:val="TableBody"/>
              <w:rPr>
                <w:rFonts w:ascii="Arial" w:hAnsi="Arial" w:cs="Arial"/>
                <w:color w:val="000000"/>
              </w:rPr>
            </w:pPr>
            <w:r w:rsidRPr="006E0B6E">
              <w:rPr>
                <w:rFonts w:ascii="Arial" w:hAnsi="Arial" w:cs="Arial"/>
                <w:szCs w:val="18"/>
              </w:rPr>
              <w:t>0.1</w:t>
            </w:r>
          </w:p>
        </w:tc>
        <w:tc>
          <w:tcPr>
            <w:tcW w:w="2127" w:type="dxa"/>
            <w:tcBorders>
              <w:top w:val="single" w:sz="4" w:space="0" w:color="B3B3B3"/>
              <w:bottom w:val="nil"/>
            </w:tcBorders>
            <w:shd w:val="clear" w:color="000000" w:fill="F2F2F2"/>
            <w:vAlign w:val="bottom"/>
          </w:tcPr>
          <w:p w14:paraId="3AF263E3" w14:textId="77777777" w:rsidR="002D737B" w:rsidRPr="006E0B6E" w:rsidRDefault="002D737B" w:rsidP="00066DA8">
            <w:pPr>
              <w:pStyle w:val="TableBody"/>
              <w:rPr>
                <w:rFonts w:ascii="Arial" w:hAnsi="Arial" w:cs="Arial"/>
                <w:color w:val="000000"/>
              </w:rPr>
            </w:pPr>
            <w:r w:rsidRPr="006E0B6E">
              <w:rPr>
                <w:rFonts w:ascii="Arial" w:hAnsi="Arial" w:cs="Arial"/>
                <w:szCs w:val="18"/>
              </w:rPr>
              <w:t>15</w:t>
            </w:r>
          </w:p>
        </w:tc>
      </w:tr>
      <w:tr w:rsidR="002D737B" w:rsidRPr="006E0B6E" w14:paraId="4E7EBBEF" w14:textId="77777777" w:rsidTr="00066DA8">
        <w:tc>
          <w:tcPr>
            <w:tcW w:w="709" w:type="dxa"/>
            <w:tcBorders>
              <w:top w:val="nil"/>
              <w:bottom w:val="nil"/>
            </w:tcBorders>
            <w:shd w:val="clear" w:color="000000" w:fill="auto"/>
          </w:tcPr>
          <w:p w14:paraId="0868A3CA" w14:textId="77777777" w:rsidR="002D737B" w:rsidRPr="006E0B6E" w:rsidRDefault="002D737B" w:rsidP="00066DA8">
            <w:pPr>
              <w:pStyle w:val="TableBody"/>
              <w:rPr>
                <w:rFonts w:ascii="Arial" w:hAnsi="Arial" w:cs="Arial"/>
                <w:b/>
                <w:bCs/>
              </w:rPr>
            </w:pPr>
            <w:r w:rsidRPr="006E0B6E">
              <w:rPr>
                <w:rFonts w:ascii="Arial" w:hAnsi="Arial" w:cs="Arial"/>
                <w:b/>
                <w:bCs/>
              </w:rPr>
              <w:t>2007</w:t>
            </w:r>
          </w:p>
        </w:tc>
        <w:tc>
          <w:tcPr>
            <w:tcW w:w="2126" w:type="dxa"/>
            <w:tcBorders>
              <w:top w:val="nil"/>
              <w:bottom w:val="nil"/>
            </w:tcBorders>
            <w:shd w:val="clear" w:color="000000" w:fill="auto"/>
            <w:vAlign w:val="bottom"/>
          </w:tcPr>
          <w:p w14:paraId="316021C6" w14:textId="77777777" w:rsidR="002D737B" w:rsidRPr="006E0B6E" w:rsidRDefault="002D737B" w:rsidP="00066DA8">
            <w:pPr>
              <w:pStyle w:val="TableBody"/>
              <w:rPr>
                <w:rFonts w:ascii="Arial" w:hAnsi="Arial" w:cs="Arial"/>
                <w:color w:val="000000"/>
              </w:rPr>
            </w:pPr>
            <w:r w:rsidRPr="006E0B6E">
              <w:rPr>
                <w:rFonts w:ascii="Arial" w:hAnsi="Arial" w:cs="Arial"/>
                <w:szCs w:val="18"/>
              </w:rPr>
              <w:t>4.0</w:t>
            </w:r>
          </w:p>
        </w:tc>
        <w:tc>
          <w:tcPr>
            <w:tcW w:w="2126" w:type="dxa"/>
            <w:tcBorders>
              <w:top w:val="nil"/>
              <w:bottom w:val="nil"/>
            </w:tcBorders>
            <w:shd w:val="clear" w:color="000000" w:fill="auto"/>
            <w:vAlign w:val="bottom"/>
          </w:tcPr>
          <w:p w14:paraId="4FFC74E8" w14:textId="77777777" w:rsidR="002D737B" w:rsidRPr="006E0B6E" w:rsidRDefault="002D737B" w:rsidP="00066DA8">
            <w:pPr>
              <w:pStyle w:val="TableBody"/>
              <w:rPr>
                <w:rFonts w:ascii="Arial" w:hAnsi="Arial" w:cs="Arial"/>
                <w:color w:val="000000"/>
              </w:rPr>
            </w:pPr>
            <w:r w:rsidRPr="006E0B6E">
              <w:rPr>
                <w:rFonts w:ascii="Arial" w:hAnsi="Arial" w:cs="Arial"/>
                <w:szCs w:val="18"/>
              </w:rPr>
              <w:t>0.2</w:t>
            </w:r>
          </w:p>
        </w:tc>
        <w:tc>
          <w:tcPr>
            <w:tcW w:w="2126" w:type="dxa"/>
            <w:tcBorders>
              <w:top w:val="nil"/>
              <w:bottom w:val="nil"/>
            </w:tcBorders>
            <w:shd w:val="clear" w:color="000000" w:fill="auto"/>
            <w:vAlign w:val="bottom"/>
          </w:tcPr>
          <w:p w14:paraId="231DC92A" w14:textId="77777777" w:rsidR="002D737B" w:rsidRPr="006E0B6E" w:rsidRDefault="002D737B" w:rsidP="00066DA8">
            <w:pPr>
              <w:pStyle w:val="TableBody"/>
              <w:rPr>
                <w:rFonts w:ascii="Arial" w:hAnsi="Arial" w:cs="Arial"/>
                <w:color w:val="000000"/>
              </w:rPr>
            </w:pPr>
            <w:r w:rsidRPr="006E0B6E">
              <w:rPr>
                <w:rFonts w:ascii="Arial" w:hAnsi="Arial" w:cs="Arial"/>
                <w:szCs w:val="18"/>
              </w:rPr>
              <w:t>0.1</w:t>
            </w:r>
          </w:p>
        </w:tc>
        <w:tc>
          <w:tcPr>
            <w:tcW w:w="2127" w:type="dxa"/>
            <w:tcBorders>
              <w:top w:val="nil"/>
              <w:bottom w:val="nil"/>
            </w:tcBorders>
            <w:shd w:val="clear" w:color="000000" w:fill="auto"/>
            <w:vAlign w:val="bottom"/>
          </w:tcPr>
          <w:p w14:paraId="48BB24C7" w14:textId="77777777" w:rsidR="002D737B" w:rsidRPr="006E0B6E" w:rsidRDefault="002D737B" w:rsidP="00066DA8">
            <w:pPr>
              <w:pStyle w:val="TableBody"/>
              <w:rPr>
                <w:rFonts w:ascii="Arial" w:hAnsi="Arial" w:cs="Arial"/>
                <w:color w:val="000000"/>
              </w:rPr>
            </w:pPr>
            <w:r w:rsidRPr="006E0B6E">
              <w:rPr>
                <w:rFonts w:ascii="Arial" w:hAnsi="Arial" w:cs="Arial"/>
                <w:szCs w:val="18"/>
              </w:rPr>
              <w:t>15</w:t>
            </w:r>
          </w:p>
        </w:tc>
      </w:tr>
      <w:tr w:rsidR="002D737B" w:rsidRPr="006E0B6E" w14:paraId="41021D03" w14:textId="77777777" w:rsidTr="00066DA8">
        <w:tc>
          <w:tcPr>
            <w:tcW w:w="709" w:type="dxa"/>
            <w:shd w:val="clear" w:color="000000" w:fill="F2F2F2"/>
          </w:tcPr>
          <w:p w14:paraId="6EFCB143" w14:textId="77777777" w:rsidR="002D737B" w:rsidRPr="006E0B6E" w:rsidRDefault="002D737B" w:rsidP="00066DA8">
            <w:pPr>
              <w:pStyle w:val="TableBody"/>
              <w:rPr>
                <w:rFonts w:ascii="Arial" w:hAnsi="Arial" w:cs="Arial"/>
                <w:b/>
                <w:bCs/>
              </w:rPr>
            </w:pPr>
            <w:r w:rsidRPr="006E0B6E">
              <w:rPr>
                <w:rFonts w:ascii="Arial" w:hAnsi="Arial" w:cs="Arial"/>
                <w:b/>
                <w:bCs/>
              </w:rPr>
              <w:t>2011</w:t>
            </w:r>
          </w:p>
        </w:tc>
        <w:tc>
          <w:tcPr>
            <w:tcW w:w="2126" w:type="dxa"/>
            <w:shd w:val="clear" w:color="000000" w:fill="F2F2F2"/>
            <w:vAlign w:val="bottom"/>
          </w:tcPr>
          <w:p w14:paraId="6F2957B1" w14:textId="77777777" w:rsidR="002D737B" w:rsidRPr="006E0B6E" w:rsidRDefault="002D737B" w:rsidP="00066DA8">
            <w:pPr>
              <w:pStyle w:val="TableBody"/>
              <w:rPr>
                <w:rFonts w:ascii="Arial" w:hAnsi="Arial" w:cs="Arial"/>
                <w:color w:val="000000"/>
              </w:rPr>
            </w:pPr>
            <w:r w:rsidRPr="006E0B6E">
              <w:rPr>
                <w:rFonts w:ascii="Arial" w:hAnsi="Arial" w:cs="Arial"/>
                <w:szCs w:val="18"/>
              </w:rPr>
              <w:t>6.1</w:t>
            </w:r>
          </w:p>
        </w:tc>
        <w:tc>
          <w:tcPr>
            <w:tcW w:w="2126" w:type="dxa"/>
            <w:shd w:val="clear" w:color="000000" w:fill="F2F2F2"/>
            <w:vAlign w:val="bottom"/>
          </w:tcPr>
          <w:p w14:paraId="201600FD" w14:textId="77777777" w:rsidR="002D737B" w:rsidRPr="006E0B6E" w:rsidRDefault="002D737B" w:rsidP="00066DA8">
            <w:pPr>
              <w:pStyle w:val="TableBody"/>
              <w:rPr>
                <w:rFonts w:ascii="Arial" w:hAnsi="Arial" w:cs="Arial"/>
                <w:color w:val="000000"/>
              </w:rPr>
            </w:pPr>
            <w:r w:rsidRPr="006E0B6E">
              <w:rPr>
                <w:rFonts w:ascii="Arial" w:hAnsi="Arial" w:cs="Arial"/>
                <w:szCs w:val="18"/>
              </w:rPr>
              <w:t>0.5</w:t>
            </w:r>
          </w:p>
        </w:tc>
        <w:tc>
          <w:tcPr>
            <w:tcW w:w="2126" w:type="dxa"/>
            <w:shd w:val="clear" w:color="000000" w:fill="F2F2F2"/>
            <w:vAlign w:val="bottom"/>
          </w:tcPr>
          <w:p w14:paraId="07309BBE" w14:textId="77777777" w:rsidR="002D737B" w:rsidRPr="006E0B6E" w:rsidRDefault="002D737B" w:rsidP="00066DA8">
            <w:pPr>
              <w:pStyle w:val="TableBody"/>
              <w:rPr>
                <w:rFonts w:ascii="Arial" w:hAnsi="Arial" w:cs="Arial"/>
                <w:color w:val="000000"/>
              </w:rPr>
            </w:pPr>
            <w:r w:rsidRPr="006E0B6E">
              <w:rPr>
                <w:rFonts w:ascii="Arial" w:hAnsi="Arial" w:cs="Arial"/>
                <w:szCs w:val="18"/>
              </w:rPr>
              <w:t>0.3</w:t>
            </w:r>
          </w:p>
        </w:tc>
        <w:tc>
          <w:tcPr>
            <w:tcW w:w="2127" w:type="dxa"/>
            <w:shd w:val="clear" w:color="000000" w:fill="F2F2F2"/>
            <w:vAlign w:val="bottom"/>
          </w:tcPr>
          <w:p w14:paraId="6ED3737B" w14:textId="77777777" w:rsidR="002D737B" w:rsidRPr="006E0B6E" w:rsidRDefault="002D737B" w:rsidP="00066DA8">
            <w:pPr>
              <w:pStyle w:val="TableBody"/>
              <w:rPr>
                <w:rFonts w:ascii="Arial" w:hAnsi="Arial" w:cs="Arial"/>
                <w:color w:val="000000"/>
              </w:rPr>
            </w:pPr>
            <w:r w:rsidRPr="006E0B6E">
              <w:rPr>
                <w:rFonts w:ascii="Arial" w:hAnsi="Arial" w:cs="Arial"/>
                <w:szCs w:val="18"/>
              </w:rPr>
              <w:t>27</w:t>
            </w:r>
          </w:p>
        </w:tc>
      </w:tr>
      <w:tr w:rsidR="002D737B" w:rsidRPr="006E0B6E" w14:paraId="5D3ECB1D" w14:textId="77777777" w:rsidTr="00066DA8">
        <w:tc>
          <w:tcPr>
            <w:tcW w:w="709" w:type="dxa"/>
            <w:shd w:val="clear" w:color="auto" w:fill="auto"/>
          </w:tcPr>
          <w:p w14:paraId="091FC227" w14:textId="77777777" w:rsidR="002D737B" w:rsidRPr="006E0B6E" w:rsidRDefault="002D737B" w:rsidP="00066DA8">
            <w:pPr>
              <w:pStyle w:val="TableBody"/>
              <w:rPr>
                <w:rFonts w:ascii="Arial" w:hAnsi="Arial" w:cs="Arial"/>
                <w:b/>
                <w:bCs/>
              </w:rPr>
            </w:pPr>
            <w:r w:rsidRPr="006E0B6E">
              <w:rPr>
                <w:rFonts w:ascii="Arial" w:hAnsi="Arial" w:cs="Arial"/>
                <w:b/>
                <w:bCs/>
              </w:rPr>
              <w:t>2015</w:t>
            </w:r>
          </w:p>
        </w:tc>
        <w:tc>
          <w:tcPr>
            <w:tcW w:w="2126" w:type="dxa"/>
            <w:shd w:val="clear" w:color="auto" w:fill="auto"/>
            <w:vAlign w:val="bottom"/>
          </w:tcPr>
          <w:p w14:paraId="2267FF47" w14:textId="77777777" w:rsidR="002D737B" w:rsidRPr="006E0B6E" w:rsidRDefault="002D737B" w:rsidP="00066DA8">
            <w:pPr>
              <w:pStyle w:val="TableBody"/>
              <w:rPr>
                <w:rFonts w:ascii="Arial" w:hAnsi="Arial" w:cs="Arial"/>
                <w:color w:val="000000"/>
              </w:rPr>
            </w:pPr>
            <w:r w:rsidRPr="006E0B6E">
              <w:rPr>
                <w:rFonts w:ascii="Arial" w:hAnsi="Arial" w:cs="Arial"/>
                <w:szCs w:val="18"/>
              </w:rPr>
              <w:t>3.5</w:t>
            </w:r>
          </w:p>
        </w:tc>
        <w:tc>
          <w:tcPr>
            <w:tcW w:w="2126" w:type="dxa"/>
            <w:shd w:val="clear" w:color="auto" w:fill="auto"/>
            <w:vAlign w:val="bottom"/>
          </w:tcPr>
          <w:p w14:paraId="0AB9079C" w14:textId="77777777" w:rsidR="002D737B" w:rsidRPr="006E0B6E" w:rsidRDefault="002D737B" w:rsidP="00066DA8">
            <w:pPr>
              <w:pStyle w:val="TableBody"/>
              <w:rPr>
                <w:rFonts w:ascii="Arial" w:hAnsi="Arial" w:cs="Arial"/>
                <w:color w:val="000000"/>
              </w:rPr>
            </w:pPr>
            <w:r w:rsidRPr="006E0B6E">
              <w:rPr>
                <w:rFonts w:ascii="Arial" w:hAnsi="Arial" w:cs="Arial"/>
                <w:szCs w:val="18"/>
              </w:rPr>
              <w:t>0.7</w:t>
            </w:r>
          </w:p>
        </w:tc>
        <w:tc>
          <w:tcPr>
            <w:tcW w:w="2126" w:type="dxa"/>
            <w:shd w:val="clear" w:color="auto" w:fill="auto"/>
            <w:vAlign w:val="bottom"/>
          </w:tcPr>
          <w:p w14:paraId="7765A3B7" w14:textId="77777777" w:rsidR="002D737B" w:rsidRPr="006E0B6E" w:rsidRDefault="002D737B" w:rsidP="00066DA8">
            <w:pPr>
              <w:pStyle w:val="TableBody"/>
              <w:rPr>
                <w:rFonts w:ascii="Arial" w:hAnsi="Arial" w:cs="Arial"/>
                <w:color w:val="000000"/>
              </w:rPr>
            </w:pPr>
            <w:r w:rsidRPr="006E0B6E">
              <w:rPr>
                <w:rFonts w:ascii="Arial" w:hAnsi="Arial" w:cs="Arial"/>
                <w:szCs w:val="18"/>
              </w:rPr>
              <w:t>0.5</w:t>
            </w:r>
          </w:p>
        </w:tc>
        <w:tc>
          <w:tcPr>
            <w:tcW w:w="2127" w:type="dxa"/>
            <w:vAlign w:val="bottom"/>
          </w:tcPr>
          <w:p w14:paraId="11469E97" w14:textId="77777777" w:rsidR="002D737B" w:rsidRPr="006E0B6E" w:rsidRDefault="002D737B" w:rsidP="00066DA8">
            <w:pPr>
              <w:pStyle w:val="TableBody"/>
              <w:rPr>
                <w:rFonts w:ascii="Arial" w:hAnsi="Arial" w:cs="Arial"/>
                <w:color w:val="000000"/>
              </w:rPr>
            </w:pPr>
            <w:r w:rsidRPr="006E0B6E">
              <w:rPr>
                <w:rFonts w:ascii="Arial" w:hAnsi="Arial" w:cs="Arial"/>
                <w:szCs w:val="18"/>
              </w:rPr>
              <w:t>25</w:t>
            </w:r>
          </w:p>
        </w:tc>
      </w:tr>
    </w:tbl>
    <w:p w14:paraId="4D030395"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07AD4220" w14:textId="1CF6923A" w:rsidR="002D737B" w:rsidRPr="00FA198D" w:rsidRDefault="002D737B" w:rsidP="002D737B">
      <w:pPr>
        <w:pStyle w:val="FigureTableHeading"/>
        <w:rPr>
          <w:rFonts w:ascii="Arial" w:hAnsi="Arial" w:cs="Arial"/>
          <w:spacing w:val="-6"/>
        </w:rPr>
      </w:pPr>
      <w:r w:rsidRPr="00FA198D">
        <w:rPr>
          <w:rFonts w:ascii="Arial" w:hAnsi="Arial" w:cs="Arial"/>
          <w:spacing w:val="-6"/>
        </w:rPr>
        <w:t xml:space="preserve">Table </w:t>
      </w:r>
      <w:r w:rsidR="005E2259" w:rsidRPr="00FA198D">
        <w:rPr>
          <w:rFonts w:ascii="Arial" w:hAnsi="Arial" w:cs="Arial"/>
          <w:spacing w:val="-6"/>
        </w:rPr>
        <w:fldChar w:fldCharType="begin"/>
      </w:r>
      <w:r w:rsidR="005E2259" w:rsidRPr="00FA198D">
        <w:rPr>
          <w:rFonts w:ascii="Arial" w:hAnsi="Arial" w:cs="Arial"/>
          <w:spacing w:val="-6"/>
        </w:rPr>
        <w:instrText xml:space="preserve"> SEQ Table \* ARABIC \s 1 </w:instrText>
      </w:r>
      <w:r w:rsidR="005E2259" w:rsidRPr="00FA198D">
        <w:rPr>
          <w:rFonts w:ascii="Arial" w:hAnsi="Arial" w:cs="Arial"/>
          <w:spacing w:val="-6"/>
        </w:rPr>
        <w:fldChar w:fldCharType="separate"/>
      </w:r>
      <w:r w:rsidR="00FE0771">
        <w:rPr>
          <w:rFonts w:ascii="Arial" w:hAnsi="Arial" w:cs="Arial"/>
          <w:noProof/>
          <w:spacing w:val="-6"/>
        </w:rPr>
        <w:t>16</w:t>
      </w:r>
      <w:r w:rsidR="005E2259" w:rsidRPr="00FA198D">
        <w:rPr>
          <w:rFonts w:ascii="Arial" w:hAnsi="Arial" w:cs="Arial"/>
          <w:noProof/>
          <w:spacing w:val="-6"/>
        </w:rPr>
        <w:fldChar w:fldCharType="end"/>
      </w:r>
      <w:r w:rsidRPr="00FA198D">
        <w:rPr>
          <w:rFonts w:ascii="Arial" w:hAnsi="Arial" w:cs="Arial"/>
          <w:noProof/>
          <w:spacing w:val="-6"/>
        </w:rPr>
        <w:t xml:space="preserve"> – </w:t>
      </w:r>
      <w:r w:rsidRPr="00FA198D">
        <w:rPr>
          <w:rFonts w:ascii="Arial" w:hAnsi="Arial" w:cs="Arial"/>
          <w:spacing w:val="-6"/>
        </w:rPr>
        <w:t>Inheritances bequeathed by households from the 2</w:t>
      </w:r>
      <w:r w:rsidRPr="00FA198D">
        <w:rPr>
          <w:rFonts w:ascii="Arial" w:hAnsi="Arial" w:cs="Arial"/>
          <w:spacing w:val="-6"/>
          <w:vertAlign w:val="superscript"/>
        </w:rPr>
        <w:t>nd</w:t>
      </w:r>
      <w:r w:rsidRPr="00FA198D">
        <w:rPr>
          <w:rFonts w:ascii="Arial" w:hAnsi="Arial" w:cs="Arial"/>
          <w:spacing w:val="-6"/>
        </w:rPr>
        <w:t xml:space="preserve"> quintile of the equivalised wealth distribution</w:t>
      </w:r>
    </w:p>
    <w:p w14:paraId="1CCE74AF"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actual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126"/>
        <w:gridCol w:w="2126"/>
        <w:gridCol w:w="2126"/>
        <w:gridCol w:w="2127"/>
      </w:tblGrid>
      <w:tr w:rsidR="002D737B" w:rsidRPr="006E0B6E" w14:paraId="031BB2AD" w14:textId="77777777" w:rsidTr="00066DA8">
        <w:trPr>
          <w:tblHeader/>
        </w:trPr>
        <w:tc>
          <w:tcPr>
            <w:tcW w:w="709" w:type="dxa"/>
            <w:tcBorders>
              <w:bottom w:val="single" w:sz="4" w:space="0" w:color="B3B3B3"/>
            </w:tcBorders>
            <w:shd w:val="clear" w:color="000000" w:fill="auto"/>
            <w:vAlign w:val="bottom"/>
          </w:tcPr>
          <w:p w14:paraId="375F13C0"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126" w:type="dxa"/>
            <w:tcBorders>
              <w:bottom w:val="single" w:sz="4" w:space="0" w:color="B3B3B3"/>
            </w:tcBorders>
            <w:shd w:val="clear" w:color="000000" w:fill="auto"/>
            <w:vAlign w:val="bottom"/>
          </w:tcPr>
          <w:p w14:paraId="55856CBD"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126" w:type="dxa"/>
            <w:tcBorders>
              <w:bottom w:val="single" w:sz="4" w:space="0" w:color="B3B3B3"/>
            </w:tcBorders>
            <w:shd w:val="clear" w:color="000000" w:fill="auto"/>
            <w:vAlign w:val="bottom"/>
          </w:tcPr>
          <w:p w14:paraId="7AA96D24"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126" w:type="dxa"/>
            <w:tcBorders>
              <w:bottom w:val="single" w:sz="4" w:space="0" w:color="B3B3B3"/>
            </w:tcBorders>
            <w:shd w:val="clear" w:color="000000" w:fill="auto"/>
          </w:tcPr>
          <w:p w14:paraId="50CD0027"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c>
          <w:tcPr>
            <w:tcW w:w="2127" w:type="dxa"/>
            <w:tcBorders>
              <w:bottom w:val="single" w:sz="4" w:space="0" w:color="B3B3B3"/>
            </w:tcBorders>
            <w:shd w:val="clear" w:color="000000" w:fill="auto"/>
          </w:tcPr>
          <w:p w14:paraId="638BBE98"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Number of observations on which estimates are based</w:t>
            </w:r>
          </w:p>
        </w:tc>
      </w:tr>
      <w:tr w:rsidR="002D737B" w:rsidRPr="006E0B6E" w14:paraId="2A220EE7" w14:textId="77777777" w:rsidTr="00066DA8">
        <w:tc>
          <w:tcPr>
            <w:tcW w:w="709" w:type="dxa"/>
            <w:tcBorders>
              <w:top w:val="single" w:sz="4" w:space="0" w:color="B3B3B3"/>
              <w:bottom w:val="nil"/>
            </w:tcBorders>
            <w:shd w:val="clear" w:color="000000" w:fill="F2F2F2"/>
          </w:tcPr>
          <w:p w14:paraId="58A24813" w14:textId="77777777" w:rsidR="002D737B" w:rsidRPr="006E0B6E" w:rsidRDefault="002D737B" w:rsidP="00066DA8">
            <w:pPr>
              <w:pStyle w:val="TableBody"/>
              <w:rPr>
                <w:rFonts w:ascii="Arial" w:hAnsi="Arial" w:cs="Arial"/>
              </w:rPr>
            </w:pPr>
          </w:p>
        </w:tc>
        <w:tc>
          <w:tcPr>
            <w:tcW w:w="2126" w:type="dxa"/>
            <w:tcBorders>
              <w:top w:val="single" w:sz="4" w:space="0" w:color="B3B3B3"/>
              <w:bottom w:val="nil"/>
            </w:tcBorders>
            <w:shd w:val="clear" w:color="000000" w:fill="F2F2F2"/>
            <w:vAlign w:val="bottom"/>
          </w:tcPr>
          <w:p w14:paraId="64B3E7B4"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inheritances (tens of thousands)</w:t>
            </w:r>
          </w:p>
        </w:tc>
        <w:tc>
          <w:tcPr>
            <w:tcW w:w="2126" w:type="dxa"/>
            <w:tcBorders>
              <w:top w:val="single" w:sz="4" w:space="0" w:color="B3B3B3"/>
              <w:bottom w:val="nil"/>
            </w:tcBorders>
            <w:shd w:val="clear" w:color="000000" w:fill="F2F2F2"/>
            <w:vAlign w:val="bottom"/>
          </w:tcPr>
          <w:p w14:paraId="64CCDD53"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6" w:type="dxa"/>
            <w:tcBorders>
              <w:top w:val="single" w:sz="4" w:space="0" w:color="B3B3B3"/>
              <w:bottom w:val="nil"/>
            </w:tcBorders>
            <w:shd w:val="clear" w:color="000000" w:fill="F2F2F2"/>
            <w:vAlign w:val="bottom"/>
          </w:tcPr>
          <w:p w14:paraId="22539970"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7" w:type="dxa"/>
            <w:tcBorders>
              <w:top w:val="single" w:sz="4" w:space="0" w:color="B3B3B3"/>
              <w:bottom w:val="nil"/>
            </w:tcBorders>
            <w:shd w:val="clear" w:color="000000" w:fill="F2F2F2"/>
          </w:tcPr>
          <w:p w14:paraId="7C3220D2"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w:t>
            </w:r>
          </w:p>
        </w:tc>
      </w:tr>
      <w:tr w:rsidR="002D737B" w:rsidRPr="006E0B6E" w14:paraId="63229C17" w14:textId="77777777" w:rsidTr="00066DA8">
        <w:tc>
          <w:tcPr>
            <w:tcW w:w="709" w:type="dxa"/>
            <w:tcBorders>
              <w:top w:val="single" w:sz="4" w:space="0" w:color="B3B3B3"/>
              <w:bottom w:val="nil"/>
            </w:tcBorders>
            <w:shd w:val="clear" w:color="000000" w:fill="F2F2F2"/>
          </w:tcPr>
          <w:p w14:paraId="77A27C12" w14:textId="77777777" w:rsidR="002D737B" w:rsidRPr="006E0B6E" w:rsidRDefault="002D737B" w:rsidP="00066DA8">
            <w:pPr>
              <w:pStyle w:val="TableBody"/>
              <w:rPr>
                <w:rFonts w:ascii="Arial" w:hAnsi="Arial" w:cs="Arial"/>
                <w:b/>
                <w:bCs/>
              </w:rPr>
            </w:pPr>
            <w:r w:rsidRPr="006E0B6E">
              <w:rPr>
                <w:rFonts w:ascii="Arial" w:hAnsi="Arial" w:cs="Arial"/>
                <w:b/>
                <w:bCs/>
              </w:rPr>
              <w:t>2003</w:t>
            </w:r>
          </w:p>
        </w:tc>
        <w:tc>
          <w:tcPr>
            <w:tcW w:w="2126" w:type="dxa"/>
            <w:tcBorders>
              <w:top w:val="single" w:sz="4" w:space="0" w:color="B3B3B3"/>
              <w:bottom w:val="nil"/>
            </w:tcBorders>
            <w:shd w:val="clear" w:color="000000" w:fill="F2F2F2"/>
            <w:vAlign w:val="bottom"/>
          </w:tcPr>
          <w:p w14:paraId="2F7EBBA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1.5</w:t>
            </w:r>
          </w:p>
        </w:tc>
        <w:tc>
          <w:tcPr>
            <w:tcW w:w="2126" w:type="dxa"/>
            <w:tcBorders>
              <w:top w:val="single" w:sz="4" w:space="0" w:color="B3B3B3"/>
              <w:bottom w:val="nil"/>
            </w:tcBorders>
            <w:shd w:val="clear" w:color="000000" w:fill="F2F2F2"/>
            <w:vAlign w:val="bottom"/>
          </w:tcPr>
          <w:p w14:paraId="2BF27626"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1.3</w:t>
            </w:r>
          </w:p>
        </w:tc>
        <w:tc>
          <w:tcPr>
            <w:tcW w:w="2126" w:type="dxa"/>
            <w:tcBorders>
              <w:top w:val="single" w:sz="4" w:space="0" w:color="B3B3B3"/>
              <w:bottom w:val="nil"/>
            </w:tcBorders>
            <w:shd w:val="clear" w:color="000000" w:fill="F2F2F2"/>
            <w:vAlign w:val="bottom"/>
          </w:tcPr>
          <w:p w14:paraId="0FAB604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0.8</w:t>
            </w:r>
          </w:p>
        </w:tc>
        <w:tc>
          <w:tcPr>
            <w:tcW w:w="2127" w:type="dxa"/>
            <w:tcBorders>
              <w:top w:val="single" w:sz="4" w:space="0" w:color="B3B3B3"/>
              <w:bottom w:val="nil"/>
            </w:tcBorders>
            <w:shd w:val="clear" w:color="000000" w:fill="F2F2F2"/>
            <w:vAlign w:val="bottom"/>
          </w:tcPr>
          <w:p w14:paraId="3C9960C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14</w:t>
            </w:r>
          </w:p>
        </w:tc>
      </w:tr>
      <w:tr w:rsidR="002D737B" w:rsidRPr="006E0B6E" w14:paraId="39FC3877" w14:textId="77777777" w:rsidTr="00066DA8">
        <w:tc>
          <w:tcPr>
            <w:tcW w:w="709" w:type="dxa"/>
            <w:tcBorders>
              <w:top w:val="nil"/>
              <w:bottom w:val="nil"/>
            </w:tcBorders>
            <w:shd w:val="clear" w:color="000000" w:fill="auto"/>
          </w:tcPr>
          <w:p w14:paraId="41CB0A7A" w14:textId="77777777" w:rsidR="002D737B" w:rsidRPr="006E0B6E" w:rsidRDefault="002D737B" w:rsidP="00066DA8">
            <w:pPr>
              <w:pStyle w:val="TableBody"/>
              <w:rPr>
                <w:rFonts w:ascii="Arial" w:hAnsi="Arial" w:cs="Arial"/>
                <w:b/>
                <w:bCs/>
              </w:rPr>
            </w:pPr>
            <w:r w:rsidRPr="006E0B6E">
              <w:rPr>
                <w:rFonts w:ascii="Arial" w:hAnsi="Arial" w:cs="Arial"/>
                <w:b/>
                <w:bCs/>
              </w:rPr>
              <w:t>2007</w:t>
            </w:r>
          </w:p>
        </w:tc>
        <w:tc>
          <w:tcPr>
            <w:tcW w:w="2126" w:type="dxa"/>
            <w:tcBorders>
              <w:top w:val="nil"/>
              <w:bottom w:val="nil"/>
            </w:tcBorders>
            <w:shd w:val="clear" w:color="000000" w:fill="auto"/>
            <w:vAlign w:val="bottom"/>
          </w:tcPr>
          <w:p w14:paraId="255DC84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1.3</w:t>
            </w:r>
          </w:p>
        </w:tc>
        <w:tc>
          <w:tcPr>
            <w:tcW w:w="2126" w:type="dxa"/>
            <w:tcBorders>
              <w:top w:val="nil"/>
              <w:bottom w:val="nil"/>
            </w:tcBorders>
            <w:shd w:val="clear" w:color="000000" w:fill="auto"/>
            <w:vAlign w:val="bottom"/>
          </w:tcPr>
          <w:p w14:paraId="19D9437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w:t>
            </w:r>
          </w:p>
        </w:tc>
        <w:tc>
          <w:tcPr>
            <w:tcW w:w="2126" w:type="dxa"/>
            <w:tcBorders>
              <w:top w:val="nil"/>
              <w:bottom w:val="nil"/>
            </w:tcBorders>
            <w:shd w:val="clear" w:color="000000" w:fill="auto"/>
            <w:vAlign w:val="bottom"/>
          </w:tcPr>
          <w:p w14:paraId="3EFD960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0.3</w:t>
            </w:r>
          </w:p>
        </w:tc>
        <w:tc>
          <w:tcPr>
            <w:tcW w:w="2127" w:type="dxa"/>
            <w:tcBorders>
              <w:top w:val="nil"/>
              <w:bottom w:val="nil"/>
            </w:tcBorders>
            <w:shd w:val="clear" w:color="000000" w:fill="auto"/>
            <w:vAlign w:val="bottom"/>
          </w:tcPr>
          <w:p w14:paraId="2172538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8</w:t>
            </w:r>
          </w:p>
        </w:tc>
      </w:tr>
      <w:tr w:rsidR="002D737B" w:rsidRPr="006E0B6E" w14:paraId="64ABCA10" w14:textId="77777777" w:rsidTr="00066DA8">
        <w:tc>
          <w:tcPr>
            <w:tcW w:w="709" w:type="dxa"/>
            <w:shd w:val="clear" w:color="000000" w:fill="F2F2F2"/>
          </w:tcPr>
          <w:p w14:paraId="1C0F0AD2" w14:textId="77777777" w:rsidR="002D737B" w:rsidRPr="006E0B6E" w:rsidRDefault="002D737B" w:rsidP="00066DA8">
            <w:pPr>
              <w:pStyle w:val="TableBody"/>
              <w:rPr>
                <w:rFonts w:ascii="Arial" w:hAnsi="Arial" w:cs="Arial"/>
                <w:b/>
                <w:bCs/>
              </w:rPr>
            </w:pPr>
            <w:r w:rsidRPr="006E0B6E">
              <w:rPr>
                <w:rFonts w:ascii="Arial" w:hAnsi="Arial" w:cs="Arial"/>
                <w:b/>
                <w:bCs/>
              </w:rPr>
              <w:t>2011</w:t>
            </w:r>
          </w:p>
        </w:tc>
        <w:tc>
          <w:tcPr>
            <w:tcW w:w="2126" w:type="dxa"/>
            <w:shd w:val="clear" w:color="000000" w:fill="F2F2F2"/>
            <w:vAlign w:val="bottom"/>
          </w:tcPr>
          <w:p w14:paraId="081EC8C0"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1.3</w:t>
            </w:r>
          </w:p>
        </w:tc>
        <w:tc>
          <w:tcPr>
            <w:tcW w:w="2126" w:type="dxa"/>
            <w:shd w:val="clear" w:color="000000" w:fill="F2F2F2"/>
            <w:vAlign w:val="bottom"/>
          </w:tcPr>
          <w:p w14:paraId="2008128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0.7</w:t>
            </w:r>
          </w:p>
        </w:tc>
        <w:tc>
          <w:tcPr>
            <w:tcW w:w="2126" w:type="dxa"/>
            <w:shd w:val="clear" w:color="000000" w:fill="F2F2F2"/>
            <w:vAlign w:val="bottom"/>
          </w:tcPr>
          <w:p w14:paraId="70BC1916"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0.4</w:t>
            </w:r>
          </w:p>
        </w:tc>
        <w:tc>
          <w:tcPr>
            <w:tcW w:w="2127" w:type="dxa"/>
            <w:shd w:val="clear" w:color="000000" w:fill="F2F2F2"/>
            <w:vAlign w:val="bottom"/>
          </w:tcPr>
          <w:p w14:paraId="7B1B62D7"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8</w:t>
            </w:r>
          </w:p>
        </w:tc>
      </w:tr>
      <w:tr w:rsidR="002D737B" w:rsidRPr="006E0B6E" w14:paraId="380173F4" w14:textId="77777777" w:rsidTr="00066DA8">
        <w:tc>
          <w:tcPr>
            <w:tcW w:w="709" w:type="dxa"/>
            <w:shd w:val="clear" w:color="auto" w:fill="auto"/>
          </w:tcPr>
          <w:p w14:paraId="2D73C0AC" w14:textId="77777777" w:rsidR="002D737B" w:rsidRPr="006E0B6E" w:rsidRDefault="002D737B" w:rsidP="00066DA8">
            <w:pPr>
              <w:pStyle w:val="TableBody"/>
              <w:rPr>
                <w:rFonts w:ascii="Arial" w:hAnsi="Arial" w:cs="Arial"/>
                <w:b/>
                <w:bCs/>
              </w:rPr>
            </w:pPr>
            <w:r w:rsidRPr="006E0B6E">
              <w:rPr>
                <w:rFonts w:ascii="Arial" w:hAnsi="Arial" w:cs="Arial"/>
                <w:b/>
                <w:bCs/>
              </w:rPr>
              <w:t>2015</w:t>
            </w:r>
          </w:p>
        </w:tc>
        <w:tc>
          <w:tcPr>
            <w:tcW w:w="2126" w:type="dxa"/>
            <w:shd w:val="clear" w:color="auto" w:fill="auto"/>
            <w:vAlign w:val="bottom"/>
          </w:tcPr>
          <w:p w14:paraId="4CB35FC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3.4</w:t>
            </w:r>
          </w:p>
        </w:tc>
        <w:tc>
          <w:tcPr>
            <w:tcW w:w="2126" w:type="dxa"/>
            <w:shd w:val="clear" w:color="auto" w:fill="auto"/>
            <w:vAlign w:val="bottom"/>
          </w:tcPr>
          <w:p w14:paraId="186F02B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3.4</w:t>
            </w:r>
          </w:p>
        </w:tc>
        <w:tc>
          <w:tcPr>
            <w:tcW w:w="2126" w:type="dxa"/>
            <w:shd w:val="clear" w:color="auto" w:fill="auto"/>
            <w:vAlign w:val="bottom"/>
          </w:tcPr>
          <w:p w14:paraId="75C88FC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1.9</w:t>
            </w:r>
          </w:p>
        </w:tc>
        <w:tc>
          <w:tcPr>
            <w:tcW w:w="2127" w:type="dxa"/>
            <w:vAlign w:val="bottom"/>
          </w:tcPr>
          <w:p w14:paraId="2A41C3C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w:t>
            </w:r>
          </w:p>
        </w:tc>
      </w:tr>
    </w:tbl>
    <w:p w14:paraId="2ACA215F"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276F092A" w14:textId="463DBDEC" w:rsidR="002D737B" w:rsidRPr="00FA198D" w:rsidRDefault="002D737B" w:rsidP="002D737B">
      <w:pPr>
        <w:pStyle w:val="FigureTableHeading"/>
        <w:rPr>
          <w:rFonts w:ascii="Arial" w:hAnsi="Arial" w:cs="Arial"/>
          <w:spacing w:val="-6"/>
        </w:rPr>
      </w:pPr>
      <w:r w:rsidRPr="00FA198D">
        <w:rPr>
          <w:rFonts w:ascii="Arial" w:hAnsi="Arial" w:cs="Arial"/>
          <w:spacing w:val="-6"/>
        </w:rPr>
        <w:t xml:space="preserve">Table </w:t>
      </w:r>
      <w:r w:rsidR="005E2259" w:rsidRPr="00FA198D">
        <w:rPr>
          <w:rFonts w:ascii="Arial" w:hAnsi="Arial" w:cs="Arial"/>
          <w:spacing w:val="-6"/>
        </w:rPr>
        <w:fldChar w:fldCharType="begin"/>
      </w:r>
      <w:r w:rsidR="005E2259" w:rsidRPr="00FA198D">
        <w:rPr>
          <w:rFonts w:ascii="Arial" w:hAnsi="Arial" w:cs="Arial"/>
          <w:spacing w:val="-6"/>
        </w:rPr>
        <w:instrText xml:space="preserve"> SEQ Table \* ARABIC \s 1 </w:instrText>
      </w:r>
      <w:r w:rsidR="005E2259" w:rsidRPr="00FA198D">
        <w:rPr>
          <w:rFonts w:ascii="Arial" w:hAnsi="Arial" w:cs="Arial"/>
          <w:spacing w:val="-6"/>
        </w:rPr>
        <w:fldChar w:fldCharType="separate"/>
      </w:r>
      <w:r w:rsidR="00FE0771">
        <w:rPr>
          <w:rFonts w:ascii="Arial" w:hAnsi="Arial" w:cs="Arial"/>
          <w:noProof/>
          <w:spacing w:val="-6"/>
        </w:rPr>
        <w:t>17</w:t>
      </w:r>
      <w:r w:rsidR="005E2259" w:rsidRPr="00FA198D">
        <w:rPr>
          <w:rFonts w:ascii="Arial" w:hAnsi="Arial" w:cs="Arial"/>
          <w:noProof/>
          <w:spacing w:val="-6"/>
        </w:rPr>
        <w:fldChar w:fldCharType="end"/>
      </w:r>
      <w:r w:rsidRPr="00FA198D">
        <w:rPr>
          <w:rFonts w:ascii="Arial" w:hAnsi="Arial" w:cs="Arial"/>
          <w:noProof/>
          <w:spacing w:val="-6"/>
        </w:rPr>
        <w:t xml:space="preserve"> – </w:t>
      </w:r>
      <w:r w:rsidRPr="00FA198D">
        <w:rPr>
          <w:rFonts w:ascii="Arial" w:hAnsi="Arial" w:cs="Arial"/>
          <w:spacing w:val="-6"/>
        </w:rPr>
        <w:t>Inheritances bequeathed by households from the 3</w:t>
      </w:r>
      <w:r w:rsidRPr="00FA198D">
        <w:rPr>
          <w:rFonts w:ascii="Arial" w:hAnsi="Arial" w:cs="Arial"/>
          <w:spacing w:val="-6"/>
          <w:vertAlign w:val="superscript"/>
        </w:rPr>
        <w:t>rd</w:t>
      </w:r>
      <w:r w:rsidRPr="00FA198D">
        <w:rPr>
          <w:rFonts w:ascii="Arial" w:hAnsi="Arial" w:cs="Arial"/>
          <w:spacing w:val="-6"/>
        </w:rPr>
        <w:t xml:space="preserve"> quintile of the equivalised wealth distribution</w:t>
      </w:r>
    </w:p>
    <w:p w14:paraId="69BF46F4"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actual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126"/>
        <w:gridCol w:w="2126"/>
        <w:gridCol w:w="2126"/>
        <w:gridCol w:w="2127"/>
      </w:tblGrid>
      <w:tr w:rsidR="002D737B" w:rsidRPr="006E0B6E" w14:paraId="13B1AC53" w14:textId="77777777" w:rsidTr="00066DA8">
        <w:trPr>
          <w:tblHeader/>
        </w:trPr>
        <w:tc>
          <w:tcPr>
            <w:tcW w:w="709" w:type="dxa"/>
            <w:tcBorders>
              <w:bottom w:val="single" w:sz="4" w:space="0" w:color="B3B3B3"/>
            </w:tcBorders>
            <w:shd w:val="clear" w:color="000000" w:fill="auto"/>
            <w:vAlign w:val="bottom"/>
          </w:tcPr>
          <w:p w14:paraId="6A11EF68"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126" w:type="dxa"/>
            <w:tcBorders>
              <w:bottom w:val="single" w:sz="4" w:space="0" w:color="B3B3B3"/>
            </w:tcBorders>
            <w:shd w:val="clear" w:color="000000" w:fill="auto"/>
            <w:vAlign w:val="bottom"/>
          </w:tcPr>
          <w:p w14:paraId="4D1A50C8"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126" w:type="dxa"/>
            <w:tcBorders>
              <w:bottom w:val="single" w:sz="4" w:space="0" w:color="B3B3B3"/>
            </w:tcBorders>
            <w:shd w:val="clear" w:color="000000" w:fill="auto"/>
            <w:vAlign w:val="bottom"/>
          </w:tcPr>
          <w:p w14:paraId="0599E6FF"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126" w:type="dxa"/>
            <w:tcBorders>
              <w:bottom w:val="single" w:sz="4" w:space="0" w:color="B3B3B3"/>
            </w:tcBorders>
            <w:shd w:val="clear" w:color="000000" w:fill="auto"/>
          </w:tcPr>
          <w:p w14:paraId="7C3F6C0C"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c>
          <w:tcPr>
            <w:tcW w:w="2127" w:type="dxa"/>
            <w:tcBorders>
              <w:bottom w:val="single" w:sz="4" w:space="0" w:color="B3B3B3"/>
            </w:tcBorders>
            <w:shd w:val="clear" w:color="000000" w:fill="auto"/>
          </w:tcPr>
          <w:p w14:paraId="2820F708"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Number of observations on which estimates are based</w:t>
            </w:r>
          </w:p>
        </w:tc>
      </w:tr>
      <w:tr w:rsidR="002D737B" w:rsidRPr="006E0B6E" w14:paraId="0D0DE13E" w14:textId="77777777" w:rsidTr="00066DA8">
        <w:tc>
          <w:tcPr>
            <w:tcW w:w="709" w:type="dxa"/>
            <w:tcBorders>
              <w:top w:val="single" w:sz="4" w:space="0" w:color="B3B3B3"/>
              <w:bottom w:val="nil"/>
            </w:tcBorders>
            <w:shd w:val="clear" w:color="000000" w:fill="F2F2F2"/>
          </w:tcPr>
          <w:p w14:paraId="222CAB65" w14:textId="77777777" w:rsidR="002D737B" w:rsidRPr="006E0B6E" w:rsidRDefault="002D737B" w:rsidP="00066DA8">
            <w:pPr>
              <w:pStyle w:val="TableBody"/>
              <w:rPr>
                <w:rFonts w:ascii="Arial" w:hAnsi="Arial" w:cs="Arial"/>
              </w:rPr>
            </w:pPr>
          </w:p>
        </w:tc>
        <w:tc>
          <w:tcPr>
            <w:tcW w:w="2126" w:type="dxa"/>
            <w:tcBorders>
              <w:top w:val="single" w:sz="4" w:space="0" w:color="B3B3B3"/>
              <w:bottom w:val="nil"/>
            </w:tcBorders>
            <w:shd w:val="clear" w:color="000000" w:fill="F2F2F2"/>
            <w:vAlign w:val="bottom"/>
          </w:tcPr>
          <w:p w14:paraId="26B800DC"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inheritances (tens of thousands)</w:t>
            </w:r>
          </w:p>
        </w:tc>
        <w:tc>
          <w:tcPr>
            <w:tcW w:w="2126" w:type="dxa"/>
            <w:tcBorders>
              <w:top w:val="single" w:sz="4" w:space="0" w:color="B3B3B3"/>
              <w:bottom w:val="nil"/>
            </w:tcBorders>
            <w:shd w:val="clear" w:color="000000" w:fill="F2F2F2"/>
            <w:vAlign w:val="bottom"/>
          </w:tcPr>
          <w:p w14:paraId="7C05B01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6" w:type="dxa"/>
            <w:tcBorders>
              <w:top w:val="single" w:sz="4" w:space="0" w:color="B3B3B3"/>
              <w:bottom w:val="nil"/>
            </w:tcBorders>
            <w:shd w:val="clear" w:color="000000" w:fill="F2F2F2"/>
            <w:vAlign w:val="bottom"/>
          </w:tcPr>
          <w:p w14:paraId="01425195"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7" w:type="dxa"/>
            <w:tcBorders>
              <w:top w:val="single" w:sz="4" w:space="0" w:color="B3B3B3"/>
              <w:bottom w:val="nil"/>
            </w:tcBorders>
            <w:shd w:val="clear" w:color="000000" w:fill="F2F2F2"/>
          </w:tcPr>
          <w:p w14:paraId="68407D25"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w:t>
            </w:r>
          </w:p>
        </w:tc>
      </w:tr>
      <w:tr w:rsidR="002D737B" w:rsidRPr="006E0B6E" w14:paraId="1DD170EA" w14:textId="77777777" w:rsidTr="00066DA8">
        <w:tc>
          <w:tcPr>
            <w:tcW w:w="709" w:type="dxa"/>
            <w:tcBorders>
              <w:top w:val="single" w:sz="4" w:space="0" w:color="B3B3B3"/>
              <w:bottom w:val="nil"/>
            </w:tcBorders>
            <w:shd w:val="clear" w:color="000000" w:fill="F2F2F2"/>
          </w:tcPr>
          <w:p w14:paraId="6886BC92" w14:textId="77777777" w:rsidR="002D737B" w:rsidRPr="006E0B6E" w:rsidRDefault="002D737B" w:rsidP="00066DA8">
            <w:pPr>
              <w:pStyle w:val="TableBody"/>
              <w:rPr>
                <w:rFonts w:ascii="Arial" w:hAnsi="Arial" w:cs="Arial"/>
                <w:b/>
                <w:bCs/>
              </w:rPr>
            </w:pPr>
            <w:r w:rsidRPr="006E0B6E">
              <w:rPr>
                <w:rFonts w:ascii="Arial" w:hAnsi="Arial" w:cs="Arial"/>
                <w:b/>
                <w:bCs/>
              </w:rPr>
              <w:t>2003</w:t>
            </w:r>
          </w:p>
        </w:tc>
        <w:tc>
          <w:tcPr>
            <w:tcW w:w="2126" w:type="dxa"/>
            <w:tcBorders>
              <w:top w:val="single" w:sz="4" w:space="0" w:color="B3B3B3"/>
              <w:bottom w:val="nil"/>
            </w:tcBorders>
            <w:shd w:val="clear" w:color="000000" w:fill="F2F2F2"/>
            <w:vAlign w:val="bottom"/>
          </w:tcPr>
          <w:p w14:paraId="13FD1DF6"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w:t>
            </w:r>
          </w:p>
        </w:tc>
        <w:tc>
          <w:tcPr>
            <w:tcW w:w="2126" w:type="dxa"/>
            <w:tcBorders>
              <w:top w:val="single" w:sz="4" w:space="0" w:color="B3B3B3"/>
              <w:bottom w:val="nil"/>
            </w:tcBorders>
            <w:shd w:val="clear" w:color="000000" w:fill="F2F2F2"/>
            <w:vAlign w:val="bottom"/>
          </w:tcPr>
          <w:p w14:paraId="70730F9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2.6</w:t>
            </w:r>
          </w:p>
        </w:tc>
        <w:tc>
          <w:tcPr>
            <w:tcW w:w="2126" w:type="dxa"/>
            <w:tcBorders>
              <w:top w:val="single" w:sz="4" w:space="0" w:color="B3B3B3"/>
              <w:bottom w:val="nil"/>
            </w:tcBorders>
            <w:shd w:val="clear" w:color="000000" w:fill="F2F2F2"/>
            <w:vAlign w:val="bottom"/>
          </w:tcPr>
          <w:p w14:paraId="092976D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1.0</w:t>
            </w:r>
          </w:p>
        </w:tc>
        <w:tc>
          <w:tcPr>
            <w:tcW w:w="2127" w:type="dxa"/>
            <w:tcBorders>
              <w:top w:val="single" w:sz="4" w:space="0" w:color="B3B3B3"/>
              <w:bottom w:val="nil"/>
            </w:tcBorders>
            <w:shd w:val="clear" w:color="000000" w:fill="F2F2F2"/>
            <w:vAlign w:val="bottom"/>
          </w:tcPr>
          <w:p w14:paraId="16C1A486"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11</w:t>
            </w:r>
          </w:p>
        </w:tc>
      </w:tr>
      <w:tr w:rsidR="002D737B" w:rsidRPr="006E0B6E" w14:paraId="1E6172F0" w14:textId="77777777" w:rsidTr="00066DA8">
        <w:tc>
          <w:tcPr>
            <w:tcW w:w="709" w:type="dxa"/>
            <w:tcBorders>
              <w:top w:val="nil"/>
              <w:bottom w:val="nil"/>
            </w:tcBorders>
            <w:shd w:val="clear" w:color="000000" w:fill="auto"/>
          </w:tcPr>
          <w:p w14:paraId="06E57862" w14:textId="77777777" w:rsidR="002D737B" w:rsidRPr="006E0B6E" w:rsidRDefault="002D737B" w:rsidP="00066DA8">
            <w:pPr>
              <w:pStyle w:val="TableBody"/>
              <w:rPr>
                <w:rFonts w:ascii="Arial" w:hAnsi="Arial" w:cs="Arial"/>
                <w:b/>
                <w:bCs/>
              </w:rPr>
            </w:pPr>
            <w:r w:rsidRPr="006E0B6E">
              <w:rPr>
                <w:rFonts w:ascii="Arial" w:hAnsi="Arial" w:cs="Arial"/>
                <w:b/>
                <w:bCs/>
              </w:rPr>
              <w:t>2007</w:t>
            </w:r>
          </w:p>
        </w:tc>
        <w:tc>
          <w:tcPr>
            <w:tcW w:w="2126" w:type="dxa"/>
            <w:tcBorders>
              <w:top w:val="nil"/>
              <w:bottom w:val="nil"/>
            </w:tcBorders>
            <w:shd w:val="clear" w:color="000000" w:fill="auto"/>
            <w:vAlign w:val="bottom"/>
          </w:tcPr>
          <w:p w14:paraId="2C4803FF"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1.4</w:t>
            </w:r>
          </w:p>
        </w:tc>
        <w:tc>
          <w:tcPr>
            <w:tcW w:w="2126" w:type="dxa"/>
            <w:tcBorders>
              <w:top w:val="nil"/>
              <w:bottom w:val="nil"/>
            </w:tcBorders>
            <w:shd w:val="clear" w:color="000000" w:fill="auto"/>
            <w:vAlign w:val="bottom"/>
          </w:tcPr>
          <w:p w14:paraId="61CE108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3.3</w:t>
            </w:r>
          </w:p>
        </w:tc>
        <w:tc>
          <w:tcPr>
            <w:tcW w:w="2126" w:type="dxa"/>
            <w:tcBorders>
              <w:top w:val="nil"/>
              <w:bottom w:val="nil"/>
            </w:tcBorders>
            <w:shd w:val="clear" w:color="000000" w:fill="auto"/>
            <w:vAlign w:val="bottom"/>
          </w:tcPr>
          <w:p w14:paraId="395DAC9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1.6</w:t>
            </w:r>
          </w:p>
        </w:tc>
        <w:tc>
          <w:tcPr>
            <w:tcW w:w="2127" w:type="dxa"/>
            <w:tcBorders>
              <w:top w:val="nil"/>
              <w:bottom w:val="nil"/>
            </w:tcBorders>
            <w:shd w:val="clear" w:color="000000" w:fill="auto"/>
            <w:vAlign w:val="bottom"/>
          </w:tcPr>
          <w:p w14:paraId="59B20B1E"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12</w:t>
            </w:r>
          </w:p>
        </w:tc>
      </w:tr>
      <w:tr w:rsidR="002D737B" w:rsidRPr="006E0B6E" w14:paraId="723BA1C5" w14:textId="77777777" w:rsidTr="00066DA8">
        <w:tc>
          <w:tcPr>
            <w:tcW w:w="709" w:type="dxa"/>
            <w:shd w:val="clear" w:color="000000" w:fill="F2F2F2"/>
          </w:tcPr>
          <w:p w14:paraId="1B833064" w14:textId="77777777" w:rsidR="002D737B" w:rsidRPr="006E0B6E" w:rsidRDefault="002D737B" w:rsidP="00066DA8">
            <w:pPr>
              <w:pStyle w:val="TableBody"/>
              <w:rPr>
                <w:rFonts w:ascii="Arial" w:hAnsi="Arial" w:cs="Arial"/>
                <w:b/>
                <w:bCs/>
              </w:rPr>
            </w:pPr>
            <w:r w:rsidRPr="006E0B6E">
              <w:rPr>
                <w:rFonts w:ascii="Arial" w:hAnsi="Arial" w:cs="Arial"/>
                <w:b/>
                <w:bCs/>
              </w:rPr>
              <w:t>2011</w:t>
            </w:r>
          </w:p>
        </w:tc>
        <w:tc>
          <w:tcPr>
            <w:tcW w:w="2126" w:type="dxa"/>
            <w:shd w:val="clear" w:color="000000" w:fill="F2F2F2"/>
            <w:vAlign w:val="bottom"/>
          </w:tcPr>
          <w:p w14:paraId="12E41F9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2.3</w:t>
            </w:r>
          </w:p>
        </w:tc>
        <w:tc>
          <w:tcPr>
            <w:tcW w:w="2126" w:type="dxa"/>
            <w:shd w:val="clear" w:color="000000" w:fill="F2F2F2"/>
            <w:vAlign w:val="bottom"/>
          </w:tcPr>
          <w:p w14:paraId="549C53E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4.9</w:t>
            </w:r>
          </w:p>
        </w:tc>
        <w:tc>
          <w:tcPr>
            <w:tcW w:w="2126" w:type="dxa"/>
            <w:shd w:val="clear" w:color="000000" w:fill="F2F2F2"/>
            <w:vAlign w:val="bottom"/>
          </w:tcPr>
          <w:p w14:paraId="0C4B5DF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1.5</w:t>
            </w:r>
          </w:p>
        </w:tc>
        <w:tc>
          <w:tcPr>
            <w:tcW w:w="2127" w:type="dxa"/>
            <w:shd w:val="clear" w:color="000000" w:fill="F2F2F2"/>
            <w:vAlign w:val="bottom"/>
          </w:tcPr>
          <w:p w14:paraId="425FDA0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21</w:t>
            </w:r>
          </w:p>
        </w:tc>
      </w:tr>
      <w:tr w:rsidR="002D737B" w:rsidRPr="006E0B6E" w14:paraId="5F07FCF5" w14:textId="77777777" w:rsidTr="00066DA8">
        <w:tc>
          <w:tcPr>
            <w:tcW w:w="709" w:type="dxa"/>
            <w:shd w:val="clear" w:color="auto" w:fill="auto"/>
          </w:tcPr>
          <w:p w14:paraId="74B9E5FE" w14:textId="77777777" w:rsidR="002D737B" w:rsidRPr="006E0B6E" w:rsidRDefault="002D737B" w:rsidP="00066DA8">
            <w:pPr>
              <w:pStyle w:val="TableBody"/>
              <w:rPr>
                <w:rFonts w:ascii="Arial" w:hAnsi="Arial" w:cs="Arial"/>
                <w:b/>
                <w:bCs/>
              </w:rPr>
            </w:pPr>
            <w:r w:rsidRPr="006E0B6E">
              <w:rPr>
                <w:rFonts w:ascii="Arial" w:hAnsi="Arial" w:cs="Arial"/>
                <w:b/>
                <w:bCs/>
              </w:rPr>
              <w:t>2015</w:t>
            </w:r>
          </w:p>
        </w:tc>
        <w:tc>
          <w:tcPr>
            <w:tcW w:w="2126" w:type="dxa"/>
            <w:shd w:val="clear" w:color="auto" w:fill="auto"/>
            <w:vAlign w:val="bottom"/>
          </w:tcPr>
          <w:p w14:paraId="1AB942F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3.3</w:t>
            </w:r>
          </w:p>
        </w:tc>
        <w:tc>
          <w:tcPr>
            <w:tcW w:w="2126" w:type="dxa"/>
            <w:shd w:val="clear" w:color="auto" w:fill="auto"/>
            <w:vAlign w:val="bottom"/>
          </w:tcPr>
          <w:p w14:paraId="504B347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5.9</w:t>
            </w:r>
          </w:p>
        </w:tc>
        <w:tc>
          <w:tcPr>
            <w:tcW w:w="2126" w:type="dxa"/>
            <w:shd w:val="clear" w:color="auto" w:fill="auto"/>
            <w:vAlign w:val="bottom"/>
          </w:tcPr>
          <w:p w14:paraId="70292D5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2.8</w:t>
            </w:r>
          </w:p>
        </w:tc>
        <w:tc>
          <w:tcPr>
            <w:tcW w:w="2127" w:type="dxa"/>
            <w:vAlign w:val="bottom"/>
          </w:tcPr>
          <w:p w14:paraId="76BD80E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21</w:t>
            </w:r>
          </w:p>
        </w:tc>
      </w:tr>
    </w:tbl>
    <w:p w14:paraId="50801C65"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5DCE1CEA" w14:textId="285E490E" w:rsidR="002D737B" w:rsidRPr="000D3700" w:rsidRDefault="002D737B" w:rsidP="002D737B">
      <w:pPr>
        <w:pStyle w:val="FigureTableHeading"/>
        <w:rPr>
          <w:rFonts w:ascii="Arial" w:hAnsi="Arial" w:cs="Arial"/>
          <w:spacing w:val="-6"/>
        </w:rPr>
      </w:pPr>
      <w:r w:rsidRPr="000D3700">
        <w:rPr>
          <w:rFonts w:ascii="Arial" w:hAnsi="Arial" w:cs="Arial"/>
          <w:spacing w:val="-6"/>
        </w:rPr>
        <w:lastRenderedPageBreak/>
        <w:t xml:space="preserve">Table </w:t>
      </w:r>
      <w:r w:rsidR="005E2259" w:rsidRPr="000D3700">
        <w:rPr>
          <w:rFonts w:ascii="Arial" w:hAnsi="Arial" w:cs="Arial"/>
          <w:spacing w:val="-6"/>
        </w:rPr>
        <w:fldChar w:fldCharType="begin"/>
      </w:r>
      <w:r w:rsidR="005E2259" w:rsidRPr="000D3700">
        <w:rPr>
          <w:rFonts w:ascii="Arial" w:hAnsi="Arial" w:cs="Arial"/>
          <w:spacing w:val="-6"/>
        </w:rPr>
        <w:instrText xml:space="preserve"> SEQ Table \* ARABIC \s 1 </w:instrText>
      </w:r>
      <w:r w:rsidR="005E2259" w:rsidRPr="000D3700">
        <w:rPr>
          <w:rFonts w:ascii="Arial" w:hAnsi="Arial" w:cs="Arial"/>
          <w:spacing w:val="-6"/>
        </w:rPr>
        <w:fldChar w:fldCharType="separate"/>
      </w:r>
      <w:r w:rsidR="00FE0771">
        <w:rPr>
          <w:rFonts w:ascii="Arial" w:hAnsi="Arial" w:cs="Arial"/>
          <w:noProof/>
          <w:spacing w:val="-6"/>
        </w:rPr>
        <w:t>18</w:t>
      </w:r>
      <w:r w:rsidR="005E2259" w:rsidRPr="000D3700">
        <w:rPr>
          <w:rFonts w:ascii="Arial" w:hAnsi="Arial" w:cs="Arial"/>
          <w:noProof/>
          <w:spacing w:val="-6"/>
        </w:rPr>
        <w:fldChar w:fldCharType="end"/>
      </w:r>
      <w:r w:rsidRPr="000D3700">
        <w:rPr>
          <w:rFonts w:ascii="Arial" w:hAnsi="Arial" w:cs="Arial"/>
          <w:noProof/>
          <w:spacing w:val="-6"/>
        </w:rPr>
        <w:t xml:space="preserve"> – </w:t>
      </w:r>
      <w:r w:rsidRPr="000D3700">
        <w:rPr>
          <w:rFonts w:ascii="Arial" w:hAnsi="Arial" w:cs="Arial"/>
          <w:spacing w:val="-6"/>
        </w:rPr>
        <w:t>Inheritances bequeathed by households from the 4</w:t>
      </w:r>
      <w:r w:rsidRPr="000D3700">
        <w:rPr>
          <w:rFonts w:ascii="Arial" w:hAnsi="Arial" w:cs="Arial"/>
          <w:spacing w:val="-6"/>
          <w:vertAlign w:val="superscript"/>
        </w:rPr>
        <w:t>th</w:t>
      </w:r>
      <w:r w:rsidRPr="000D3700">
        <w:rPr>
          <w:rFonts w:ascii="Arial" w:hAnsi="Arial" w:cs="Arial"/>
          <w:spacing w:val="-6"/>
        </w:rPr>
        <w:t xml:space="preserve"> quintile of the equivalised wealth distribution</w:t>
      </w:r>
    </w:p>
    <w:p w14:paraId="47382F20"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actual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126"/>
        <w:gridCol w:w="2126"/>
        <w:gridCol w:w="2126"/>
        <w:gridCol w:w="2127"/>
      </w:tblGrid>
      <w:tr w:rsidR="002D737B" w:rsidRPr="006E0B6E" w14:paraId="43DDC57B" w14:textId="77777777" w:rsidTr="00066DA8">
        <w:trPr>
          <w:tblHeader/>
        </w:trPr>
        <w:tc>
          <w:tcPr>
            <w:tcW w:w="709" w:type="dxa"/>
            <w:tcBorders>
              <w:bottom w:val="single" w:sz="4" w:space="0" w:color="B3B3B3"/>
            </w:tcBorders>
            <w:shd w:val="clear" w:color="000000" w:fill="auto"/>
            <w:vAlign w:val="bottom"/>
          </w:tcPr>
          <w:p w14:paraId="5174AA9A"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126" w:type="dxa"/>
            <w:tcBorders>
              <w:bottom w:val="single" w:sz="4" w:space="0" w:color="B3B3B3"/>
            </w:tcBorders>
            <w:shd w:val="clear" w:color="000000" w:fill="auto"/>
            <w:vAlign w:val="bottom"/>
          </w:tcPr>
          <w:p w14:paraId="03C1B6D5"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126" w:type="dxa"/>
            <w:tcBorders>
              <w:bottom w:val="single" w:sz="4" w:space="0" w:color="B3B3B3"/>
            </w:tcBorders>
            <w:shd w:val="clear" w:color="000000" w:fill="auto"/>
            <w:vAlign w:val="bottom"/>
          </w:tcPr>
          <w:p w14:paraId="398FB789"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126" w:type="dxa"/>
            <w:tcBorders>
              <w:bottom w:val="single" w:sz="4" w:space="0" w:color="B3B3B3"/>
            </w:tcBorders>
            <w:shd w:val="clear" w:color="000000" w:fill="auto"/>
          </w:tcPr>
          <w:p w14:paraId="5980D869"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c>
          <w:tcPr>
            <w:tcW w:w="2127" w:type="dxa"/>
            <w:tcBorders>
              <w:bottom w:val="single" w:sz="4" w:space="0" w:color="B3B3B3"/>
            </w:tcBorders>
            <w:shd w:val="clear" w:color="000000" w:fill="auto"/>
          </w:tcPr>
          <w:p w14:paraId="3EFB2596"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Number of observations on which estimates are based</w:t>
            </w:r>
          </w:p>
        </w:tc>
      </w:tr>
      <w:tr w:rsidR="002D737B" w:rsidRPr="006E0B6E" w14:paraId="3422DDDB" w14:textId="77777777" w:rsidTr="00066DA8">
        <w:tc>
          <w:tcPr>
            <w:tcW w:w="709" w:type="dxa"/>
            <w:tcBorders>
              <w:top w:val="single" w:sz="4" w:space="0" w:color="B3B3B3"/>
              <w:bottom w:val="nil"/>
            </w:tcBorders>
            <w:shd w:val="clear" w:color="000000" w:fill="F2F2F2"/>
          </w:tcPr>
          <w:p w14:paraId="2DEDDF4B" w14:textId="77777777" w:rsidR="002D737B" w:rsidRPr="006E0B6E" w:rsidRDefault="002D737B" w:rsidP="00066DA8">
            <w:pPr>
              <w:pStyle w:val="TableBody"/>
              <w:rPr>
                <w:rFonts w:ascii="Arial" w:hAnsi="Arial" w:cs="Arial"/>
              </w:rPr>
            </w:pPr>
          </w:p>
        </w:tc>
        <w:tc>
          <w:tcPr>
            <w:tcW w:w="2126" w:type="dxa"/>
            <w:tcBorders>
              <w:top w:val="single" w:sz="4" w:space="0" w:color="B3B3B3"/>
              <w:bottom w:val="nil"/>
            </w:tcBorders>
            <w:shd w:val="clear" w:color="000000" w:fill="F2F2F2"/>
            <w:vAlign w:val="bottom"/>
          </w:tcPr>
          <w:p w14:paraId="199C1165"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inheritances (tens of thousands)</w:t>
            </w:r>
          </w:p>
        </w:tc>
        <w:tc>
          <w:tcPr>
            <w:tcW w:w="2126" w:type="dxa"/>
            <w:tcBorders>
              <w:top w:val="single" w:sz="4" w:space="0" w:color="B3B3B3"/>
              <w:bottom w:val="nil"/>
            </w:tcBorders>
            <w:shd w:val="clear" w:color="000000" w:fill="F2F2F2"/>
            <w:vAlign w:val="bottom"/>
          </w:tcPr>
          <w:p w14:paraId="13541EAB"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6" w:type="dxa"/>
            <w:tcBorders>
              <w:top w:val="single" w:sz="4" w:space="0" w:color="B3B3B3"/>
              <w:bottom w:val="nil"/>
            </w:tcBorders>
            <w:shd w:val="clear" w:color="000000" w:fill="F2F2F2"/>
            <w:vAlign w:val="bottom"/>
          </w:tcPr>
          <w:p w14:paraId="1D294AD5"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7" w:type="dxa"/>
            <w:tcBorders>
              <w:top w:val="single" w:sz="4" w:space="0" w:color="B3B3B3"/>
              <w:bottom w:val="nil"/>
            </w:tcBorders>
            <w:shd w:val="clear" w:color="000000" w:fill="F2F2F2"/>
          </w:tcPr>
          <w:p w14:paraId="54289682"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w:t>
            </w:r>
          </w:p>
        </w:tc>
      </w:tr>
      <w:tr w:rsidR="002D737B" w:rsidRPr="006E0B6E" w14:paraId="7E388B4B" w14:textId="77777777" w:rsidTr="00066DA8">
        <w:tc>
          <w:tcPr>
            <w:tcW w:w="709" w:type="dxa"/>
            <w:tcBorders>
              <w:top w:val="single" w:sz="4" w:space="0" w:color="B3B3B3"/>
              <w:bottom w:val="nil"/>
            </w:tcBorders>
            <w:shd w:val="clear" w:color="000000" w:fill="F2F2F2"/>
          </w:tcPr>
          <w:p w14:paraId="38A5F23A" w14:textId="77777777" w:rsidR="002D737B" w:rsidRPr="006E0B6E" w:rsidRDefault="002D737B" w:rsidP="00066DA8">
            <w:pPr>
              <w:pStyle w:val="TableBody"/>
              <w:rPr>
                <w:rFonts w:ascii="Arial" w:hAnsi="Arial" w:cs="Arial"/>
                <w:b/>
                <w:bCs/>
              </w:rPr>
            </w:pPr>
            <w:r w:rsidRPr="006E0B6E">
              <w:rPr>
                <w:rFonts w:ascii="Arial" w:hAnsi="Arial" w:cs="Arial"/>
                <w:b/>
                <w:bCs/>
              </w:rPr>
              <w:t>2003</w:t>
            </w:r>
          </w:p>
        </w:tc>
        <w:tc>
          <w:tcPr>
            <w:tcW w:w="2126" w:type="dxa"/>
            <w:tcBorders>
              <w:top w:val="single" w:sz="4" w:space="0" w:color="B3B3B3"/>
              <w:bottom w:val="nil"/>
            </w:tcBorders>
            <w:shd w:val="clear" w:color="000000" w:fill="F2F2F2"/>
            <w:vAlign w:val="bottom"/>
          </w:tcPr>
          <w:p w14:paraId="514A627A" w14:textId="77777777" w:rsidR="002D737B" w:rsidRPr="006E0B6E" w:rsidRDefault="002D737B" w:rsidP="00066DA8">
            <w:pPr>
              <w:pStyle w:val="TableBody"/>
              <w:rPr>
                <w:rFonts w:ascii="Arial" w:hAnsi="Arial" w:cs="Arial"/>
                <w:color w:val="000000"/>
              </w:rPr>
            </w:pPr>
            <w:r w:rsidRPr="006E0B6E">
              <w:rPr>
                <w:rFonts w:ascii="Arial" w:hAnsi="Arial" w:cs="Arial"/>
                <w:szCs w:val="18"/>
              </w:rPr>
              <w:t>5.6</w:t>
            </w:r>
          </w:p>
        </w:tc>
        <w:tc>
          <w:tcPr>
            <w:tcW w:w="2126" w:type="dxa"/>
            <w:tcBorders>
              <w:top w:val="single" w:sz="4" w:space="0" w:color="B3B3B3"/>
              <w:bottom w:val="nil"/>
            </w:tcBorders>
            <w:shd w:val="clear" w:color="000000" w:fill="F2F2F2"/>
            <w:vAlign w:val="bottom"/>
          </w:tcPr>
          <w:p w14:paraId="2DB0C022" w14:textId="77777777" w:rsidR="002D737B" w:rsidRPr="006E0B6E" w:rsidRDefault="002D737B" w:rsidP="00066DA8">
            <w:pPr>
              <w:pStyle w:val="TableBody"/>
              <w:rPr>
                <w:rFonts w:ascii="Arial" w:hAnsi="Arial" w:cs="Arial"/>
                <w:color w:val="000000"/>
              </w:rPr>
            </w:pPr>
            <w:r w:rsidRPr="006E0B6E">
              <w:rPr>
                <w:rFonts w:ascii="Arial" w:hAnsi="Arial" w:cs="Arial"/>
                <w:szCs w:val="18"/>
              </w:rPr>
              <w:t>15.2</w:t>
            </w:r>
          </w:p>
        </w:tc>
        <w:tc>
          <w:tcPr>
            <w:tcW w:w="2126" w:type="dxa"/>
            <w:tcBorders>
              <w:top w:val="single" w:sz="4" w:space="0" w:color="B3B3B3"/>
              <w:bottom w:val="nil"/>
            </w:tcBorders>
            <w:shd w:val="clear" w:color="000000" w:fill="F2F2F2"/>
            <w:vAlign w:val="bottom"/>
          </w:tcPr>
          <w:p w14:paraId="70C79BB6" w14:textId="77777777" w:rsidR="002D737B" w:rsidRPr="006E0B6E" w:rsidRDefault="002D737B" w:rsidP="00066DA8">
            <w:pPr>
              <w:pStyle w:val="TableBody"/>
              <w:rPr>
                <w:rFonts w:ascii="Arial" w:hAnsi="Arial" w:cs="Arial"/>
                <w:color w:val="000000"/>
              </w:rPr>
            </w:pPr>
            <w:r w:rsidRPr="006E0B6E">
              <w:rPr>
                <w:rFonts w:ascii="Arial" w:hAnsi="Arial" w:cs="Arial"/>
                <w:szCs w:val="18"/>
              </w:rPr>
              <w:t>11.2</w:t>
            </w:r>
          </w:p>
        </w:tc>
        <w:tc>
          <w:tcPr>
            <w:tcW w:w="2127" w:type="dxa"/>
            <w:tcBorders>
              <w:top w:val="single" w:sz="4" w:space="0" w:color="B3B3B3"/>
              <w:bottom w:val="nil"/>
            </w:tcBorders>
            <w:shd w:val="clear" w:color="000000" w:fill="F2F2F2"/>
            <w:vAlign w:val="bottom"/>
          </w:tcPr>
          <w:p w14:paraId="34AD7A45" w14:textId="77777777" w:rsidR="002D737B" w:rsidRPr="006E0B6E" w:rsidRDefault="002D737B" w:rsidP="00066DA8">
            <w:pPr>
              <w:pStyle w:val="TableBody"/>
              <w:rPr>
                <w:rFonts w:ascii="Arial" w:hAnsi="Arial" w:cs="Arial"/>
                <w:color w:val="000000"/>
              </w:rPr>
            </w:pPr>
            <w:r w:rsidRPr="006E0B6E">
              <w:rPr>
                <w:rFonts w:ascii="Arial" w:hAnsi="Arial" w:cs="Arial"/>
                <w:szCs w:val="18"/>
              </w:rPr>
              <w:t>30</w:t>
            </w:r>
          </w:p>
        </w:tc>
      </w:tr>
      <w:tr w:rsidR="002D737B" w:rsidRPr="006E0B6E" w14:paraId="329210F1" w14:textId="77777777" w:rsidTr="00066DA8">
        <w:tc>
          <w:tcPr>
            <w:tcW w:w="709" w:type="dxa"/>
            <w:tcBorders>
              <w:top w:val="nil"/>
              <w:bottom w:val="nil"/>
            </w:tcBorders>
            <w:shd w:val="clear" w:color="000000" w:fill="auto"/>
          </w:tcPr>
          <w:p w14:paraId="5A44C178" w14:textId="77777777" w:rsidR="002D737B" w:rsidRPr="006E0B6E" w:rsidRDefault="002D737B" w:rsidP="00066DA8">
            <w:pPr>
              <w:pStyle w:val="TableBody"/>
              <w:rPr>
                <w:rFonts w:ascii="Arial" w:hAnsi="Arial" w:cs="Arial"/>
                <w:b/>
                <w:bCs/>
              </w:rPr>
            </w:pPr>
            <w:r w:rsidRPr="006E0B6E">
              <w:rPr>
                <w:rFonts w:ascii="Arial" w:hAnsi="Arial" w:cs="Arial"/>
                <w:b/>
                <w:bCs/>
              </w:rPr>
              <w:t>2007</w:t>
            </w:r>
          </w:p>
        </w:tc>
        <w:tc>
          <w:tcPr>
            <w:tcW w:w="2126" w:type="dxa"/>
            <w:tcBorders>
              <w:top w:val="nil"/>
              <w:bottom w:val="nil"/>
            </w:tcBorders>
            <w:shd w:val="clear" w:color="000000" w:fill="auto"/>
            <w:vAlign w:val="bottom"/>
          </w:tcPr>
          <w:p w14:paraId="1ABEF0F0" w14:textId="77777777" w:rsidR="002D737B" w:rsidRPr="006E0B6E" w:rsidRDefault="002D737B" w:rsidP="00066DA8">
            <w:pPr>
              <w:pStyle w:val="TableBody"/>
              <w:rPr>
                <w:rFonts w:ascii="Arial" w:hAnsi="Arial" w:cs="Arial"/>
                <w:color w:val="000000"/>
              </w:rPr>
            </w:pPr>
            <w:r w:rsidRPr="006E0B6E">
              <w:rPr>
                <w:rFonts w:ascii="Arial" w:hAnsi="Arial" w:cs="Arial"/>
                <w:szCs w:val="18"/>
              </w:rPr>
              <w:t>4.0</w:t>
            </w:r>
          </w:p>
        </w:tc>
        <w:tc>
          <w:tcPr>
            <w:tcW w:w="2126" w:type="dxa"/>
            <w:tcBorders>
              <w:top w:val="nil"/>
              <w:bottom w:val="nil"/>
            </w:tcBorders>
            <w:shd w:val="clear" w:color="000000" w:fill="auto"/>
            <w:vAlign w:val="bottom"/>
          </w:tcPr>
          <w:p w14:paraId="2A2DE096" w14:textId="77777777" w:rsidR="002D737B" w:rsidRPr="006E0B6E" w:rsidRDefault="002D737B" w:rsidP="00066DA8">
            <w:pPr>
              <w:pStyle w:val="TableBody"/>
              <w:rPr>
                <w:rFonts w:ascii="Arial" w:hAnsi="Arial" w:cs="Arial"/>
                <w:color w:val="000000"/>
              </w:rPr>
            </w:pPr>
            <w:r w:rsidRPr="006E0B6E">
              <w:rPr>
                <w:rFonts w:ascii="Arial" w:hAnsi="Arial" w:cs="Arial"/>
                <w:szCs w:val="18"/>
              </w:rPr>
              <w:t>15.4</w:t>
            </w:r>
          </w:p>
        </w:tc>
        <w:tc>
          <w:tcPr>
            <w:tcW w:w="2126" w:type="dxa"/>
            <w:tcBorders>
              <w:top w:val="nil"/>
              <w:bottom w:val="nil"/>
            </w:tcBorders>
            <w:shd w:val="clear" w:color="000000" w:fill="auto"/>
            <w:vAlign w:val="bottom"/>
          </w:tcPr>
          <w:p w14:paraId="3D0D9337" w14:textId="77777777" w:rsidR="002D737B" w:rsidRPr="006E0B6E" w:rsidRDefault="002D737B" w:rsidP="00066DA8">
            <w:pPr>
              <w:pStyle w:val="TableBody"/>
              <w:rPr>
                <w:rFonts w:ascii="Arial" w:hAnsi="Arial" w:cs="Arial"/>
                <w:color w:val="000000"/>
              </w:rPr>
            </w:pPr>
            <w:r w:rsidRPr="006E0B6E">
              <w:rPr>
                <w:rFonts w:ascii="Arial" w:hAnsi="Arial" w:cs="Arial"/>
                <w:szCs w:val="18"/>
              </w:rPr>
              <w:t>7.4</w:t>
            </w:r>
          </w:p>
        </w:tc>
        <w:tc>
          <w:tcPr>
            <w:tcW w:w="2127" w:type="dxa"/>
            <w:tcBorders>
              <w:top w:val="nil"/>
              <w:bottom w:val="nil"/>
            </w:tcBorders>
            <w:shd w:val="clear" w:color="000000" w:fill="auto"/>
            <w:vAlign w:val="bottom"/>
          </w:tcPr>
          <w:p w14:paraId="4CD56BB6" w14:textId="77777777" w:rsidR="002D737B" w:rsidRPr="006E0B6E" w:rsidRDefault="002D737B" w:rsidP="00066DA8">
            <w:pPr>
              <w:pStyle w:val="TableBody"/>
              <w:rPr>
                <w:rFonts w:ascii="Arial" w:hAnsi="Arial" w:cs="Arial"/>
                <w:color w:val="000000"/>
              </w:rPr>
            </w:pPr>
            <w:r w:rsidRPr="006E0B6E">
              <w:rPr>
                <w:rFonts w:ascii="Arial" w:hAnsi="Arial" w:cs="Arial"/>
                <w:szCs w:val="18"/>
              </w:rPr>
              <w:t>22</w:t>
            </w:r>
          </w:p>
        </w:tc>
      </w:tr>
      <w:tr w:rsidR="002D737B" w:rsidRPr="006E0B6E" w14:paraId="4FF9233E" w14:textId="77777777" w:rsidTr="00066DA8">
        <w:tc>
          <w:tcPr>
            <w:tcW w:w="709" w:type="dxa"/>
            <w:shd w:val="clear" w:color="000000" w:fill="F2F2F2"/>
          </w:tcPr>
          <w:p w14:paraId="28A0AFA4" w14:textId="77777777" w:rsidR="002D737B" w:rsidRPr="006E0B6E" w:rsidRDefault="002D737B" w:rsidP="00066DA8">
            <w:pPr>
              <w:pStyle w:val="TableBody"/>
              <w:rPr>
                <w:rFonts w:ascii="Arial" w:hAnsi="Arial" w:cs="Arial"/>
                <w:b/>
                <w:bCs/>
              </w:rPr>
            </w:pPr>
            <w:r w:rsidRPr="006E0B6E">
              <w:rPr>
                <w:rFonts w:ascii="Arial" w:hAnsi="Arial" w:cs="Arial"/>
                <w:b/>
                <w:bCs/>
              </w:rPr>
              <w:t>2011</w:t>
            </w:r>
          </w:p>
        </w:tc>
        <w:tc>
          <w:tcPr>
            <w:tcW w:w="2126" w:type="dxa"/>
            <w:shd w:val="clear" w:color="000000" w:fill="F2F2F2"/>
            <w:vAlign w:val="bottom"/>
          </w:tcPr>
          <w:p w14:paraId="377EE1FF" w14:textId="77777777" w:rsidR="002D737B" w:rsidRPr="006E0B6E" w:rsidRDefault="002D737B" w:rsidP="00066DA8">
            <w:pPr>
              <w:pStyle w:val="TableBody"/>
              <w:rPr>
                <w:rFonts w:ascii="Arial" w:hAnsi="Arial" w:cs="Arial"/>
                <w:color w:val="000000"/>
              </w:rPr>
            </w:pPr>
            <w:r w:rsidRPr="006E0B6E">
              <w:rPr>
                <w:rFonts w:ascii="Arial" w:hAnsi="Arial" w:cs="Arial"/>
                <w:szCs w:val="18"/>
              </w:rPr>
              <w:t>2.4</w:t>
            </w:r>
          </w:p>
        </w:tc>
        <w:tc>
          <w:tcPr>
            <w:tcW w:w="2126" w:type="dxa"/>
            <w:shd w:val="clear" w:color="000000" w:fill="F2F2F2"/>
            <w:vAlign w:val="bottom"/>
          </w:tcPr>
          <w:p w14:paraId="19B0CF0D" w14:textId="77777777" w:rsidR="002D737B" w:rsidRPr="006E0B6E" w:rsidRDefault="002D737B" w:rsidP="00066DA8">
            <w:pPr>
              <w:pStyle w:val="TableBody"/>
              <w:rPr>
                <w:rFonts w:ascii="Arial" w:hAnsi="Arial" w:cs="Arial"/>
                <w:color w:val="000000"/>
              </w:rPr>
            </w:pPr>
            <w:r w:rsidRPr="006E0B6E">
              <w:rPr>
                <w:rFonts w:ascii="Arial" w:hAnsi="Arial" w:cs="Arial"/>
                <w:szCs w:val="18"/>
              </w:rPr>
              <w:t>11.6</w:t>
            </w:r>
          </w:p>
        </w:tc>
        <w:tc>
          <w:tcPr>
            <w:tcW w:w="2126" w:type="dxa"/>
            <w:shd w:val="clear" w:color="000000" w:fill="F2F2F2"/>
            <w:vAlign w:val="bottom"/>
          </w:tcPr>
          <w:p w14:paraId="2F03F047" w14:textId="77777777" w:rsidR="002D737B" w:rsidRPr="006E0B6E" w:rsidRDefault="002D737B" w:rsidP="00066DA8">
            <w:pPr>
              <w:pStyle w:val="TableBody"/>
              <w:rPr>
                <w:rFonts w:ascii="Arial" w:hAnsi="Arial" w:cs="Arial"/>
                <w:color w:val="000000"/>
              </w:rPr>
            </w:pPr>
            <w:r w:rsidRPr="006E0B6E">
              <w:rPr>
                <w:rFonts w:ascii="Arial" w:hAnsi="Arial" w:cs="Arial"/>
                <w:szCs w:val="18"/>
              </w:rPr>
              <w:t>9.5</w:t>
            </w:r>
          </w:p>
        </w:tc>
        <w:tc>
          <w:tcPr>
            <w:tcW w:w="2127" w:type="dxa"/>
            <w:shd w:val="clear" w:color="000000" w:fill="F2F2F2"/>
            <w:vAlign w:val="bottom"/>
          </w:tcPr>
          <w:p w14:paraId="4525A35E" w14:textId="77777777" w:rsidR="002D737B" w:rsidRPr="006E0B6E" w:rsidRDefault="002D737B" w:rsidP="00066DA8">
            <w:pPr>
              <w:pStyle w:val="TableBody"/>
              <w:rPr>
                <w:rFonts w:ascii="Arial" w:hAnsi="Arial" w:cs="Arial"/>
                <w:color w:val="000000"/>
              </w:rPr>
            </w:pPr>
            <w:r w:rsidRPr="006E0B6E">
              <w:rPr>
                <w:rFonts w:ascii="Arial" w:hAnsi="Arial" w:cs="Arial"/>
                <w:szCs w:val="18"/>
              </w:rPr>
              <w:t>18</w:t>
            </w:r>
          </w:p>
        </w:tc>
      </w:tr>
      <w:tr w:rsidR="002D737B" w:rsidRPr="006E0B6E" w14:paraId="3E38DF3B" w14:textId="77777777" w:rsidTr="00066DA8">
        <w:tc>
          <w:tcPr>
            <w:tcW w:w="709" w:type="dxa"/>
            <w:shd w:val="clear" w:color="auto" w:fill="auto"/>
          </w:tcPr>
          <w:p w14:paraId="23C9D00D" w14:textId="77777777" w:rsidR="002D737B" w:rsidRPr="006E0B6E" w:rsidRDefault="002D737B" w:rsidP="00066DA8">
            <w:pPr>
              <w:pStyle w:val="TableBody"/>
              <w:rPr>
                <w:rFonts w:ascii="Arial" w:hAnsi="Arial" w:cs="Arial"/>
                <w:b/>
                <w:bCs/>
              </w:rPr>
            </w:pPr>
            <w:r w:rsidRPr="006E0B6E">
              <w:rPr>
                <w:rFonts w:ascii="Arial" w:hAnsi="Arial" w:cs="Arial"/>
                <w:b/>
                <w:bCs/>
              </w:rPr>
              <w:t>2015</w:t>
            </w:r>
          </w:p>
        </w:tc>
        <w:tc>
          <w:tcPr>
            <w:tcW w:w="2126" w:type="dxa"/>
            <w:shd w:val="clear" w:color="auto" w:fill="auto"/>
            <w:vAlign w:val="bottom"/>
          </w:tcPr>
          <w:p w14:paraId="103F43FD" w14:textId="77777777" w:rsidR="002D737B" w:rsidRPr="006E0B6E" w:rsidRDefault="002D737B" w:rsidP="00066DA8">
            <w:pPr>
              <w:pStyle w:val="TableBody"/>
              <w:rPr>
                <w:rFonts w:ascii="Arial" w:hAnsi="Arial" w:cs="Arial"/>
                <w:color w:val="000000"/>
              </w:rPr>
            </w:pPr>
            <w:r w:rsidRPr="006E0B6E">
              <w:rPr>
                <w:rFonts w:ascii="Arial" w:hAnsi="Arial" w:cs="Arial"/>
                <w:szCs w:val="18"/>
              </w:rPr>
              <w:t>2.9</w:t>
            </w:r>
          </w:p>
        </w:tc>
        <w:tc>
          <w:tcPr>
            <w:tcW w:w="2126" w:type="dxa"/>
            <w:shd w:val="clear" w:color="auto" w:fill="auto"/>
            <w:vAlign w:val="bottom"/>
          </w:tcPr>
          <w:p w14:paraId="661FFC67" w14:textId="77777777" w:rsidR="002D737B" w:rsidRPr="006E0B6E" w:rsidRDefault="002D737B" w:rsidP="00066DA8">
            <w:pPr>
              <w:pStyle w:val="TableBody"/>
              <w:rPr>
                <w:rFonts w:ascii="Arial" w:hAnsi="Arial" w:cs="Arial"/>
                <w:color w:val="000000"/>
              </w:rPr>
            </w:pPr>
            <w:r w:rsidRPr="006E0B6E">
              <w:rPr>
                <w:rFonts w:ascii="Arial" w:hAnsi="Arial" w:cs="Arial"/>
                <w:szCs w:val="18"/>
              </w:rPr>
              <w:t>12.4</w:t>
            </w:r>
          </w:p>
        </w:tc>
        <w:tc>
          <w:tcPr>
            <w:tcW w:w="2126" w:type="dxa"/>
            <w:shd w:val="clear" w:color="auto" w:fill="auto"/>
            <w:vAlign w:val="bottom"/>
          </w:tcPr>
          <w:p w14:paraId="7422DDCC" w14:textId="77777777" w:rsidR="002D737B" w:rsidRPr="006E0B6E" w:rsidRDefault="002D737B" w:rsidP="00066DA8">
            <w:pPr>
              <w:pStyle w:val="TableBody"/>
              <w:rPr>
                <w:rFonts w:ascii="Arial" w:hAnsi="Arial" w:cs="Arial"/>
                <w:color w:val="000000"/>
              </w:rPr>
            </w:pPr>
            <w:r w:rsidRPr="006E0B6E">
              <w:rPr>
                <w:rFonts w:ascii="Arial" w:hAnsi="Arial" w:cs="Arial"/>
                <w:szCs w:val="18"/>
              </w:rPr>
              <w:t>8.3</w:t>
            </w:r>
          </w:p>
        </w:tc>
        <w:tc>
          <w:tcPr>
            <w:tcW w:w="2127" w:type="dxa"/>
            <w:vAlign w:val="bottom"/>
          </w:tcPr>
          <w:p w14:paraId="78A3C7E7" w14:textId="77777777" w:rsidR="002D737B" w:rsidRPr="006E0B6E" w:rsidRDefault="002D737B" w:rsidP="00066DA8">
            <w:pPr>
              <w:pStyle w:val="TableBody"/>
              <w:rPr>
                <w:rFonts w:ascii="Arial" w:hAnsi="Arial" w:cs="Arial"/>
                <w:color w:val="000000"/>
              </w:rPr>
            </w:pPr>
            <w:r w:rsidRPr="006E0B6E">
              <w:rPr>
                <w:rFonts w:ascii="Arial" w:hAnsi="Arial" w:cs="Arial"/>
                <w:szCs w:val="18"/>
              </w:rPr>
              <w:t>22</w:t>
            </w:r>
          </w:p>
        </w:tc>
      </w:tr>
    </w:tbl>
    <w:p w14:paraId="26D8AD15"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p w14:paraId="6174BF84" w14:textId="3556B5F9" w:rsidR="002D737B" w:rsidRPr="008A5406" w:rsidRDefault="002D737B" w:rsidP="0036247F">
      <w:pPr>
        <w:pStyle w:val="FigureTableHeading"/>
        <w:rPr>
          <w:rFonts w:ascii="Arial" w:hAnsi="Arial" w:cs="Arial"/>
          <w:spacing w:val="-6"/>
        </w:rPr>
      </w:pPr>
      <w:r w:rsidRPr="008A5406">
        <w:rPr>
          <w:rFonts w:ascii="Arial" w:hAnsi="Arial" w:cs="Arial"/>
          <w:spacing w:val="-6"/>
        </w:rPr>
        <w:t xml:space="preserve">Table </w:t>
      </w:r>
      <w:r w:rsidR="005E2259" w:rsidRPr="008A5406">
        <w:rPr>
          <w:rFonts w:ascii="Arial" w:hAnsi="Arial" w:cs="Arial"/>
          <w:spacing w:val="-6"/>
        </w:rPr>
        <w:fldChar w:fldCharType="begin"/>
      </w:r>
      <w:r w:rsidR="005E2259" w:rsidRPr="008A5406">
        <w:rPr>
          <w:rFonts w:ascii="Arial" w:hAnsi="Arial" w:cs="Arial"/>
          <w:spacing w:val="-6"/>
        </w:rPr>
        <w:instrText xml:space="preserve"> SEQ Table \* ARABIC \s 1 </w:instrText>
      </w:r>
      <w:r w:rsidR="005E2259" w:rsidRPr="008A5406">
        <w:rPr>
          <w:rFonts w:ascii="Arial" w:hAnsi="Arial" w:cs="Arial"/>
          <w:spacing w:val="-6"/>
        </w:rPr>
        <w:fldChar w:fldCharType="separate"/>
      </w:r>
      <w:r w:rsidR="00FE0771">
        <w:rPr>
          <w:rFonts w:ascii="Arial" w:hAnsi="Arial" w:cs="Arial"/>
          <w:noProof/>
          <w:spacing w:val="-6"/>
        </w:rPr>
        <w:t>19</w:t>
      </w:r>
      <w:r w:rsidR="005E2259" w:rsidRPr="008A5406">
        <w:rPr>
          <w:rFonts w:ascii="Arial" w:hAnsi="Arial" w:cs="Arial"/>
          <w:noProof/>
          <w:spacing w:val="-6"/>
        </w:rPr>
        <w:fldChar w:fldCharType="end"/>
      </w:r>
      <w:r w:rsidRPr="008A5406">
        <w:rPr>
          <w:rFonts w:ascii="Arial" w:hAnsi="Arial" w:cs="Arial"/>
          <w:noProof/>
          <w:spacing w:val="-6"/>
        </w:rPr>
        <w:t xml:space="preserve"> – </w:t>
      </w:r>
      <w:r w:rsidRPr="008A5406">
        <w:rPr>
          <w:rFonts w:ascii="Arial" w:hAnsi="Arial" w:cs="Arial"/>
          <w:spacing w:val="-6"/>
        </w:rPr>
        <w:t>Inheritances bequeathed by households from the 5</w:t>
      </w:r>
      <w:r w:rsidRPr="008A5406">
        <w:rPr>
          <w:rFonts w:ascii="Arial" w:hAnsi="Arial" w:cs="Arial"/>
          <w:spacing w:val="-6"/>
          <w:vertAlign w:val="superscript"/>
        </w:rPr>
        <w:t>th</w:t>
      </w:r>
      <w:r w:rsidRPr="008A5406">
        <w:rPr>
          <w:rFonts w:ascii="Arial" w:hAnsi="Arial" w:cs="Arial"/>
          <w:spacing w:val="-6"/>
        </w:rPr>
        <w:t xml:space="preserve"> quintile of the equivalised wealth distribution</w:t>
      </w:r>
    </w:p>
    <w:p w14:paraId="56E41054" w14:textId="77777777" w:rsidR="002D737B" w:rsidRPr="006E0B6E" w:rsidRDefault="002D737B" w:rsidP="002D737B">
      <w:pPr>
        <w:pStyle w:val="FigureTableSubheading"/>
        <w:rPr>
          <w:rFonts w:ascii="Arial" w:hAnsi="Arial" w:cs="Arial"/>
        </w:rPr>
      </w:pPr>
      <w:r w:rsidRPr="006E0B6E">
        <w:rPr>
          <w:rFonts w:ascii="Arial" w:hAnsi="Arial" w:cs="Arial"/>
        </w:rPr>
        <w:t>Estimates based on the ‘outflow – actual deaths’ method</w:t>
      </w:r>
    </w:p>
    <w:tbl>
      <w:tblPr>
        <w:tblW w:w="921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2126"/>
        <w:gridCol w:w="2126"/>
        <w:gridCol w:w="2126"/>
        <w:gridCol w:w="2127"/>
      </w:tblGrid>
      <w:tr w:rsidR="002D737B" w:rsidRPr="006E0B6E" w14:paraId="37EF07DB" w14:textId="77777777" w:rsidTr="00066DA8">
        <w:trPr>
          <w:tblHeader/>
        </w:trPr>
        <w:tc>
          <w:tcPr>
            <w:tcW w:w="709" w:type="dxa"/>
            <w:tcBorders>
              <w:bottom w:val="single" w:sz="4" w:space="0" w:color="B3B3B3"/>
            </w:tcBorders>
            <w:shd w:val="clear" w:color="000000" w:fill="auto"/>
            <w:vAlign w:val="bottom"/>
          </w:tcPr>
          <w:p w14:paraId="06535D81" w14:textId="77777777" w:rsidR="002D737B" w:rsidRPr="006E0B6E" w:rsidRDefault="002D737B" w:rsidP="00066DA8">
            <w:pPr>
              <w:pStyle w:val="TableBody"/>
              <w:rPr>
                <w:rFonts w:ascii="Arial" w:hAnsi="Arial" w:cs="Arial"/>
                <w:b/>
                <w:bCs/>
              </w:rPr>
            </w:pPr>
            <w:r w:rsidRPr="006E0B6E">
              <w:rPr>
                <w:rFonts w:ascii="Arial" w:hAnsi="Arial" w:cs="Arial"/>
                <w:b/>
                <w:bCs/>
              </w:rPr>
              <w:t>Year</w:t>
            </w:r>
          </w:p>
        </w:tc>
        <w:tc>
          <w:tcPr>
            <w:tcW w:w="2126" w:type="dxa"/>
            <w:tcBorders>
              <w:bottom w:val="single" w:sz="4" w:space="0" w:color="B3B3B3"/>
            </w:tcBorders>
            <w:shd w:val="clear" w:color="000000" w:fill="auto"/>
            <w:vAlign w:val="bottom"/>
          </w:tcPr>
          <w:p w14:paraId="4736E26C" w14:textId="77777777" w:rsidR="002D737B" w:rsidRPr="006E0B6E" w:rsidRDefault="002D737B" w:rsidP="00066DA8">
            <w:pPr>
              <w:pStyle w:val="TableBody"/>
              <w:rPr>
                <w:rFonts w:ascii="Arial" w:hAnsi="Arial" w:cs="Arial"/>
                <w:b/>
                <w:bCs/>
              </w:rPr>
            </w:pPr>
            <w:r w:rsidRPr="006E0B6E">
              <w:rPr>
                <w:rFonts w:ascii="Arial" w:hAnsi="Arial" w:cs="Arial"/>
                <w:b/>
                <w:bCs/>
              </w:rPr>
              <w:t xml:space="preserve">All inheritances </w:t>
            </w:r>
          </w:p>
        </w:tc>
        <w:tc>
          <w:tcPr>
            <w:tcW w:w="2126" w:type="dxa"/>
            <w:tcBorders>
              <w:bottom w:val="single" w:sz="4" w:space="0" w:color="B3B3B3"/>
            </w:tcBorders>
            <w:shd w:val="clear" w:color="000000" w:fill="auto"/>
            <w:vAlign w:val="bottom"/>
          </w:tcPr>
          <w:p w14:paraId="1F992ACB" w14:textId="77777777" w:rsidR="002D737B" w:rsidRPr="006E0B6E" w:rsidRDefault="002D737B" w:rsidP="00066DA8">
            <w:pPr>
              <w:pStyle w:val="TableBody"/>
              <w:rPr>
                <w:rFonts w:ascii="Arial" w:hAnsi="Arial" w:cs="Arial"/>
                <w:b/>
                <w:bCs/>
              </w:rPr>
            </w:pPr>
            <w:r w:rsidRPr="006E0B6E">
              <w:rPr>
                <w:rFonts w:ascii="Arial" w:hAnsi="Arial" w:cs="Arial"/>
                <w:b/>
                <w:bCs/>
              </w:rPr>
              <w:t>All inheritances</w:t>
            </w:r>
          </w:p>
        </w:tc>
        <w:tc>
          <w:tcPr>
            <w:tcW w:w="2126" w:type="dxa"/>
            <w:tcBorders>
              <w:bottom w:val="single" w:sz="4" w:space="0" w:color="B3B3B3"/>
            </w:tcBorders>
            <w:shd w:val="clear" w:color="000000" w:fill="auto"/>
          </w:tcPr>
          <w:p w14:paraId="520B7441"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Inheritances bequeathed to the next generation</w:t>
            </w:r>
          </w:p>
        </w:tc>
        <w:tc>
          <w:tcPr>
            <w:tcW w:w="2127" w:type="dxa"/>
            <w:tcBorders>
              <w:bottom w:val="single" w:sz="4" w:space="0" w:color="B3B3B3"/>
            </w:tcBorders>
            <w:shd w:val="clear" w:color="000000" w:fill="auto"/>
          </w:tcPr>
          <w:p w14:paraId="1C77B888" w14:textId="77777777" w:rsidR="002D737B" w:rsidRPr="006E0B6E" w:rsidRDefault="002D737B" w:rsidP="00066DA8">
            <w:pPr>
              <w:pStyle w:val="TableBody"/>
              <w:rPr>
                <w:rFonts w:ascii="Arial" w:hAnsi="Arial" w:cs="Arial"/>
                <w:b/>
                <w:bCs/>
                <w:color w:val="000000"/>
              </w:rPr>
            </w:pPr>
            <w:r w:rsidRPr="006E0B6E">
              <w:rPr>
                <w:rFonts w:ascii="Arial" w:hAnsi="Arial" w:cs="Arial"/>
                <w:b/>
                <w:bCs/>
                <w:color w:val="000000"/>
              </w:rPr>
              <w:t>Number of observations on which estimates are based</w:t>
            </w:r>
          </w:p>
        </w:tc>
      </w:tr>
      <w:tr w:rsidR="002D737B" w:rsidRPr="006E0B6E" w14:paraId="01380213" w14:textId="77777777" w:rsidTr="00066DA8">
        <w:tc>
          <w:tcPr>
            <w:tcW w:w="709" w:type="dxa"/>
            <w:tcBorders>
              <w:top w:val="single" w:sz="4" w:space="0" w:color="B3B3B3"/>
              <w:bottom w:val="nil"/>
            </w:tcBorders>
            <w:shd w:val="clear" w:color="000000" w:fill="F2F2F2"/>
          </w:tcPr>
          <w:p w14:paraId="680D3D37" w14:textId="77777777" w:rsidR="002D737B" w:rsidRPr="006E0B6E" w:rsidRDefault="002D737B" w:rsidP="00066DA8">
            <w:pPr>
              <w:pStyle w:val="TableBody"/>
              <w:rPr>
                <w:rFonts w:ascii="Arial" w:hAnsi="Arial" w:cs="Arial"/>
              </w:rPr>
            </w:pPr>
          </w:p>
        </w:tc>
        <w:tc>
          <w:tcPr>
            <w:tcW w:w="2126" w:type="dxa"/>
            <w:tcBorders>
              <w:top w:val="single" w:sz="4" w:space="0" w:color="B3B3B3"/>
              <w:bottom w:val="nil"/>
            </w:tcBorders>
            <w:shd w:val="clear" w:color="000000" w:fill="F2F2F2"/>
            <w:vAlign w:val="bottom"/>
          </w:tcPr>
          <w:p w14:paraId="5EF24CF5"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 of households leaving an inheritances (tens of thousands)</w:t>
            </w:r>
          </w:p>
        </w:tc>
        <w:tc>
          <w:tcPr>
            <w:tcW w:w="2126" w:type="dxa"/>
            <w:tcBorders>
              <w:top w:val="single" w:sz="4" w:space="0" w:color="B3B3B3"/>
              <w:bottom w:val="nil"/>
            </w:tcBorders>
            <w:shd w:val="clear" w:color="000000" w:fill="F2F2F2"/>
            <w:vAlign w:val="bottom"/>
          </w:tcPr>
          <w:p w14:paraId="107F3503"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6" w:type="dxa"/>
            <w:tcBorders>
              <w:top w:val="single" w:sz="4" w:space="0" w:color="B3B3B3"/>
              <w:bottom w:val="nil"/>
            </w:tcBorders>
            <w:shd w:val="clear" w:color="000000" w:fill="F2F2F2"/>
            <w:vAlign w:val="bottom"/>
          </w:tcPr>
          <w:p w14:paraId="7B217E0A"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Value (billions of 2018 dollars)</w:t>
            </w:r>
          </w:p>
        </w:tc>
        <w:tc>
          <w:tcPr>
            <w:tcW w:w="2127" w:type="dxa"/>
            <w:tcBorders>
              <w:top w:val="single" w:sz="4" w:space="0" w:color="B3B3B3"/>
              <w:bottom w:val="nil"/>
            </w:tcBorders>
            <w:shd w:val="clear" w:color="000000" w:fill="F2F2F2"/>
          </w:tcPr>
          <w:p w14:paraId="4EED508D" w14:textId="77777777" w:rsidR="002D737B" w:rsidRPr="006E0B6E" w:rsidRDefault="002D737B" w:rsidP="00066DA8">
            <w:pPr>
              <w:pStyle w:val="TableBody"/>
              <w:rPr>
                <w:rFonts w:ascii="Arial" w:hAnsi="Arial" w:cs="Arial"/>
                <w:color w:val="000000"/>
              </w:rPr>
            </w:pPr>
            <w:r w:rsidRPr="006E0B6E">
              <w:rPr>
                <w:rFonts w:ascii="Arial" w:hAnsi="Arial" w:cs="Arial"/>
                <w:color w:val="000000"/>
              </w:rPr>
              <w:t>Number</w:t>
            </w:r>
          </w:p>
        </w:tc>
      </w:tr>
      <w:tr w:rsidR="002D737B" w:rsidRPr="006E0B6E" w14:paraId="197AF960" w14:textId="77777777" w:rsidTr="00066DA8">
        <w:tc>
          <w:tcPr>
            <w:tcW w:w="709" w:type="dxa"/>
            <w:tcBorders>
              <w:top w:val="single" w:sz="4" w:space="0" w:color="B3B3B3"/>
              <w:bottom w:val="nil"/>
            </w:tcBorders>
            <w:shd w:val="clear" w:color="000000" w:fill="F2F2F2"/>
          </w:tcPr>
          <w:p w14:paraId="5CB44601" w14:textId="77777777" w:rsidR="002D737B" w:rsidRPr="006E0B6E" w:rsidRDefault="002D737B" w:rsidP="00066DA8">
            <w:pPr>
              <w:pStyle w:val="TableBody"/>
              <w:rPr>
                <w:rFonts w:ascii="Arial" w:hAnsi="Arial" w:cs="Arial"/>
                <w:b/>
                <w:bCs/>
              </w:rPr>
            </w:pPr>
            <w:r w:rsidRPr="006E0B6E">
              <w:rPr>
                <w:rFonts w:ascii="Arial" w:hAnsi="Arial" w:cs="Arial"/>
                <w:b/>
                <w:bCs/>
              </w:rPr>
              <w:t>2003</w:t>
            </w:r>
          </w:p>
        </w:tc>
        <w:tc>
          <w:tcPr>
            <w:tcW w:w="2126" w:type="dxa"/>
            <w:tcBorders>
              <w:top w:val="single" w:sz="4" w:space="0" w:color="B3B3B3"/>
              <w:bottom w:val="nil"/>
            </w:tcBorders>
            <w:shd w:val="clear" w:color="000000" w:fill="F2F2F2"/>
            <w:vAlign w:val="bottom"/>
          </w:tcPr>
          <w:p w14:paraId="0AEE6990"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2.6</w:t>
            </w:r>
          </w:p>
        </w:tc>
        <w:tc>
          <w:tcPr>
            <w:tcW w:w="2126" w:type="dxa"/>
            <w:tcBorders>
              <w:top w:val="single" w:sz="4" w:space="0" w:color="B3B3B3"/>
              <w:bottom w:val="nil"/>
            </w:tcBorders>
            <w:shd w:val="clear" w:color="000000" w:fill="F2F2F2"/>
            <w:vAlign w:val="bottom"/>
          </w:tcPr>
          <w:p w14:paraId="7754660B"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18.3</w:t>
            </w:r>
          </w:p>
        </w:tc>
        <w:tc>
          <w:tcPr>
            <w:tcW w:w="2126" w:type="dxa"/>
            <w:tcBorders>
              <w:top w:val="single" w:sz="4" w:space="0" w:color="B3B3B3"/>
              <w:bottom w:val="nil"/>
            </w:tcBorders>
            <w:shd w:val="clear" w:color="000000" w:fill="F2F2F2"/>
            <w:vAlign w:val="bottom"/>
          </w:tcPr>
          <w:p w14:paraId="7BDB9EB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4.7</w:t>
            </w:r>
          </w:p>
        </w:tc>
        <w:tc>
          <w:tcPr>
            <w:tcW w:w="2127" w:type="dxa"/>
            <w:tcBorders>
              <w:top w:val="single" w:sz="4" w:space="0" w:color="B3B3B3"/>
              <w:bottom w:val="nil"/>
            </w:tcBorders>
            <w:shd w:val="clear" w:color="000000" w:fill="F2F2F2"/>
            <w:vAlign w:val="bottom"/>
          </w:tcPr>
          <w:p w14:paraId="3363DF5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22</w:t>
            </w:r>
          </w:p>
        </w:tc>
      </w:tr>
      <w:tr w:rsidR="002D737B" w:rsidRPr="006E0B6E" w14:paraId="30EC40AD" w14:textId="77777777" w:rsidTr="00066DA8">
        <w:tc>
          <w:tcPr>
            <w:tcW w:w="709" w:type="dxa"/>
            <w:tcBorders>
              <w:top w:val="nil"/>
              <w:bottom w:val="nil"/>
            </w:tcBorders>
            <w:shd w:val="clear" w:color="000000" w:fill="auto"/>
          </w:tcPr>
          <w:p w14:paraId="1DBD8E46" w14:textId="77777777" w:rsidR="002D737B" w:rsidRPr="006E0B6E" w:rsidRDefault="002D737B" w:rsidP="00066DA8">
            <w:pPr>
              <w:pStyle w:val="TableBody"/>
              <w:rPr>
                <w:rFonts w:ascii="Arial" w:hAnsi="Arial" w:cs="Arial"/>
                <w:b/>
                <w:bCs/>
              </w:rPr>
            </w:pPr>
            <w:r w:rsidRPr="006E0B6E">
              <w:rPr>
                <w:rFonts w:ascii="Arial" w:hAnsi="Arial" w:cs="Arial"/>
                <w:b/>
                <w:bCs/>
              </w:rPr>
              <w:t>2007</w:t>
            </w:r>
          </w:p>
        </w:tc>
        <w:tc>
          <w:tcPr>
            <w:tcW w:w="2126" w:type="dxa"/>
            <w:tcBorders>
              <w:top w:val="nil"/>
              <w:bottom w:val="nil"/>
            </w:tcBorders>
            <w:shd w:val="clear" w:color="000000" w:fill="auto"/>
            <w:vAlign w:val="bottom"/>
          </w:tcPr>
          <w:p w14:paraId="0C07E854"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3.1</w:t>
            </w:r>
          </w:p>
        </w:tc>
        <w:tc>
          <w:tcPr>
            <w:tcW w:w="2126" w:type="dxa"/>
            <w:tcBorders>
              <w:top w:val="nil"/>
              <w:bottom w:val="nil"/>
            </w:tcBorders>
            <w:shd w:val="clear" w:color="000000" w:fill="auto"/>
            <w:vAlign w:val="bottom"/>
          </w:tcPr>
          <w:p w14:paraId="26688A47"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44.6</w:t>
            </w:r>
          </w:p>
        </w:tc>
        <w:tc>
          <w:tcPr>
            <w:tcW w:w="2126" w:type="dxa"/>
            <w:tcBorders>
              <w:top w:val="nil"/>
              <w:bottom w:val="nil"/>
            </w:tcBorders>
            <w:shd w:val="clear" w:color="000000" w:fill="auto"/>
            <w:vAlign w:val="bottom"/>
          </w:tcPr>
          <w:p w14:paraId="138D7C45"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25.2</w:t>
            </w:r>
          </w:p>
        </w:tc>
        <w:tc>
          <w:tcPr>
            <w:tcW w:w="2127" w:type="dxa"/>
            <w:tcBorders>
              <w:top w:val="nil"/>
              <w:bottom w:val="nil"/>
            </w:tcBorders>
            <w:shd w:val="clear" w:color="000000" w:fill="auto"/>
            <w:vAlign w:val="bottom"/>
          </w:tcPr>
          <w:p w14:paraId="35E5189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19</w:t>
            </w:r>
          </w:p>
        </w:tc>
      </w:tr>
      <w:tr w:rsidR="002D737B" w:rsidRPr="006E0B6E" w14:paraId="6E2378EF" w14:textId="77777777" w:rsidTr="00066DA8">
        <w:tc>
          <w:tcPr>
            <w:tcW w:w="709" w:type="dxa"/>
            <w:shd w:val="clear" w:color="000000" w:fill="F2F2F2"/>
          </w:tcPr>
          <w:p w14:paraId="727A0A0E" w14:textId="77777777" w:rsidR="002D737B" w:rsidRPr="006E0B6E" w:rsidRDefault="002D737B" w:rsidP="00066DA8">
            <w:pPr>
              <w:pStyle w:val="TableBody"/>
              <w:rPr>
                <w:rFonts w:ascii="Arial" w:hAnsi="Arial" w:cs="Arial"/>
                <w:b/>
                <w:bCs/>
              </w:rPr>
            </w:pPr>
            <w:r w:rsidRPr="006E0B6E">
              <w:rPr>
                <w:rFonts w:ascii="Arial" w:hAnsi="Arial" w:cs="Arial"/>
                <w:b/>
                <w:bCs/>
              </w:rPr>
              <w:t>2011</w:t>
            </w:r>
          </w:p>
        </w:tc>
        <w:tc>
          <w:tcPr>
            <w:tcW w:w="2126" w:type="dxa"/>
            <w:shd w:val="clear" w:color="000000" w:fill="F2F2F2"/>
            <w:vAlign w:val="bottom"/>
          </w:tcPr>
          <w:p w14:paraId="4EE0B9C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2.6</w:t>
            </w:r>
          </w:p>
        </w:tc>
        <w:tc>
          <w:tcPr>
            <w:tcW w:w="2126" w:type="dxa"/>
            <w:shd w:val="clear" w:color="000000" w:fill="F2F2F2"/>
            <w:vAlign w:val="bottom"/>
          </w:tcPr>
          <w:p w14:paraId="1E445A3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22.8</w:t>
            </w:r>
          </w:p>
        </w:tc>
        <w:tc>
          <w:tcPr>
            <w:tcW w:w="2126" w:type="dxa"/>
            <w:shd w:val="clear" w:color="000000" w:fill="F2F2F2"/>
            <w:vAlign w:val="bottom"/>
          </w:tcPr>
          <w:p w14:paraId="3F45D608"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10.8</w:t>
            </w:r>
          </w:p>
        </w:tc>
        <w:tc>
          <w:tcPr>
            <w:tcW w:w="2127" w:type="dxa"/>
            <w:shd w:val="clear" w:color="000000" w:fill="F2F2F2"/>
            <w:vAlign w:val="bottom"/>
          </w:tcPr>
          <w:p w14:paraId="7530D9E1"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21</w:t>
            </w:r>
          </w:p>
        </w:tc>
      </w:tr>
      <w:tr w:rsidR="002D737B" w:rsidRPr="006E0B6E" w14:paraId="3D0109E9" w14:textId="77777777" w:rsidTr="00066DA8">
        <w:tc>
          <w:tcPr>
            <w:tcW w:w="709" w:type="dxa"/>
            <w:shd w:val="clear" w:color="auto" w:fill="auto"/>
          </w:tcPr>
          <w:p w14:paraId="61E34DC0" w14:textId="77777777" w:rsidR="002D737B" w:rsidRPr="006E0B6E" w:rsidRDefault="002D737B" w:rsidP="00066DA8">
            <w:pPr>
              <w:pStyle w:val="TableBody"/>
              <w:rPr>
                <w:rFonts w:ascii="Arial" w:hAnsi="Arial" w:cs="Arial"/>
                <w:b/>
                <w:bCs/>
              </w:rPr>
            </w:pPr>
            <w:r w:rsidRPr="006E0B6E">
              <w:rPr>
                <w:rFonts w:ascii="Arial" w:hAnsi="Arial" w:cs="Arial"/>
                <w:b/>
                <w:bCs/>
              </w:rPr>
              <w:t>2015</w:t>
            </w:r>
          </w:p>
        </w:tc>
        <w:tc>
          <w:tcPr>
            <w:tcW w:w="2126" w:type="dxa"/>
            <w:shd w:val="clear" w:color="auto" w:fill="auto"/>
            <w:vAlign w:val="bottom"/>
          </w:tcPr>
          <w:p w14:paraId="682AB25D"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2.8</w:t>
            </w:r>
          </w:p>
        </w:tc>
        <w:tc>
          <w:tcPr>
            <w:tcW w:w="2126" w:type="dxa"/>
            <w:shd w:val="clear" w:color="auto" w:fill="auto"/>
            <w:vAlign w:val="bottom"/>
          </w:tcPr>
          <w:p w14:paraId="49097E0A"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33.9</w:t>
            </w:r>
          </w:p>
        </w:tc>
        <w:tc>
          <w:tcPr>
            <w:tcW w:w="2126" w:type="dxa"/>
            <w:shd w:val="clear" w:color="auto" w:fill="auto"/>
            <w:vAlign w:val="bottom"/>
          </w:tcPr>
          <w:p w14:paraId="0C3520D3"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12.0</w:t>
            </w:r>
          </w:p>
        </w:tc>
        <w:tc>
          <w:tcPr>
            <w:tcW w:w="2127" w:type="dxa"/>
            <w:vAlign w:val="bottom"/>
          </w:tcPr>
          <w:p w14:paraId="6D38F44C" w14:textId="77777777" w:rsidR="002D737B" w:rsidRPr="006E0B6E" w:rsidRDefault="002D737B" w:rsidP="00066DA8">
            <w:pPr>
              <w:pStyle w:val="TableBody"/>
              <w:rPr>
                <w:rFonts w:ascii="Arial" w:hAnsi="Arial" w:cs="Arial"/>
                <w:color w:val="000000"/>
                <w:szCs w:val="18"/>
              </w:rPr>
            </w:pPr>
            <w:r w:rsidRPr="006E0B6E">
              <w:rPr>
                <w:rFonts w:ascii="Arial" w:hAnsi="Arial" w:cs="Arial"/>
                <w:szCs w:val="18"/>
              </w:rPr>
              <w:t>26</w:t>
            </w:r>
          </w:p>
        </w:tc>
      </w:tr>
    </w:tbl>
    <w:p w14:paraId="6BE604B0" w14:textId="77777777" w:rsidR="002D737B" w:rsidRPr="006E0B6E" w:rsidRDefault="002D737B" w:rsidP="002D737B">
      <w:pPr>
        <w:pStyle w:val="Source"/>
        <w:rPr>
          <w:rFonts w:cs="Arial"/>
        </w:rPr>
      </w:pPr>
      <w:r w:rsidRPr="006E0B6E">
        <w:rPr>
          <w:rFonts w:cs="Arial"/>
        </w:rPr>
        <w:t>Source: Productivity Commission estimates based on HILDA Restricted Release 19.</w:t>
      </w:r>
    </w:p>
    <w:sectPr w:rsidR="002D737B" w:rsidRPr="006E0B6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94C6" w14:textId="77777777" w:rsidR="00941D67" w:rsidRDefault="00941D67" w:rsidP="0065331F">
      <w:pPr>
        <w:spacing w:after="0" w:line="240" w:lineRule="auto"/>
      </w:pPr>
      <w:r>
        <w:separator/>
      </w:r>
    </w:p>
  </w:endnote>
  <w:endnote w:type="continuationSeparator" w:id="0">
    <w:p w14:paraId="01FBDA3B" w14:textId="77777777" w:rsidR="00941D67" w:rsidRDefault="00941D67" w:rsidP="0065331F">
      <w:pPr>
        <w:spacing w:after="0" w:line="240" w:lineRule="auto"/>
      </w:pPr>
      <w:r>
        <w:continuationSeparator/>
      </w:r>
    </w:p>
  </w:endnote>
  <w:endnote w:type="continuationNotice" w:id="1">
    <w:p w14:paraId="47AAF9C7" w14:textId="77777777" w:rsidR="00941D67" w:rsidRDefault="009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E73C" w14:textId="47AEE077" w:rsidR="00421E9F" w:rsidRPr="00421E9F" w:rsidRDefault="00421E9F" w:rsidP="00421E9F">
    <w:pPr>
      <w:pStyle w:val="Header"/>
      <w:jc w:val="right"/>
      <w:rPr>
        <w:rFonts w:cs="Arial"/>
        <w:b/>
        <w:bCs/>
        <w:sz w:val="18"/>
        <w:szCs w:val="18"/>
      </w:rPr>
    </w:pPr>
    <w:r w:rsidRPr="00421E9F">
      <w:rPr>
        <w:rFonts w:cs="Arial"/>
        <w:b/>
        <w:bCs/>
        <w:sz w:val="18"/>
        <w:szCs w:val="18"/>
      </w:rPr>
      <w:fldChar w:fldCharType="begin"/>
    </w:r>
    <w:r w:rsidRPr="00421E9F">
      <w:rPr>
        <w:rFonts w:cs="Arial"/>
        <w:b/>
        <w:bCs/>
        <w:sz w:val="18"/>
        <w:szCs w:val="18"/>
      </w:rPr>
      <w:instrText xml:space="preserve"> PAGE   \* MERGEFORMAT </w:instrText>
    </w:r>
    <w:r w:rsidRPr="00421E9F">
      <w:rPr>
        <w:rFonts w:cs="Arial"/>
        <w:b/>
        <w:bCs/>
        <w:sz w:val="18"/>
        <w:szCs w:val="18"/>
      </w:rPr>
      <w:fldChar w:fldCharType="separate"/>
    </w:r>
    <w:r w:rsidRPr="00421E9F">
      <w:rPr>
        <w:rFonts w:cs="Arial"/>
        <w:b/>
        <w:bCs/>
        <w:sz w:val="18"/>
        <w:szCs w:val="18"/>
      </w:rPr>
      <w:t>2</w:t>
    </w:r>
    <w:r w:rsidRPr="00421E9F">
      <w:rPr>
        <w:rFonts w:cs="Arial"/>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ED0E" w14:textId="77777777" w:rsidR="00941D67" w:rsidRDefault="00941D67" w:rsidP="0065331F">
      <w:pPr>
        <w:spacing w:after="0" w:line="240" w:lineRule="auto"/>
      </w:pPr>
      <w:r>
        <w:separator/>
      </w:r>
    </w:p>
  </w:footnote>
  <w:footnote w:type="continuationSeparator" w:id="0">
    <w:p w14:paraId="4E7E53AE" w14:textId="77777777" w:rsidR="00941D67" w:rsidRDefault="00941D67" w:rsidP="0065331F">
      <w:pPr>
        <w:spacing w:after="0" w:line="240" w:lineRule="auto"/>
      </w:pPr>
      <w:r>
        <w:continuationSeparator/>
      </w:r>
    </w:p>
  </w:footnote>
  <w:footnote w:type="continuationNotice" w:id="1">
    <w:p w14:paraId="0EE5BEC5" w14:textId="77777777" w:rsidR="00941D67" w:rsidRDefault="00941D67">
      <w:pPr>
        <w:spacing w:after="0" w:line="240" w:lineRule="auto"/>
      </w:pPr>
    </w:p>
  </w:footnote>
  <w:footnote w:id="2">
    <w:p w14:paraId="505C1261" w14:textId="77777777" w:rsidR="002D737B" w:rsidRPr="000D3700" w:rsidRDefault="002D737B" w:rsidP="002D737B">
      <w:pPr>
        <w:pStyle w:val="FootnoteText"/>
        <w:rPr>
          <w:rFonts w:cs="Arial"/>
        </w:rPr>
      </w:pPr>
      <w:r w:rsidRPr="000D3700">
        <w:rPr>
          <w:rStyle w:val="FootnoteReference"/>
          <w:rFonts w:cs="Arial"/>
        </w:rPr>
        <w:footnoteRef/>
      </w:r>
      <w:r w:rsidRPr="000D3700">
        <w:rPr>
          <w:rFonts w:cs="Arial"/>
        </w:rPr>
        <w:t xml:space="preserve"> To a first-order approximation, and assuming (for simplicity) the recorded number of actual deaths is distributed equally over the wealth quintiles (such that one-fifth of households leaving an inheritance lie in each quintile), the standard error of both the ‘outflow – expected deaths’ and ‘outflow – actual deaths’ estimates would increase by a factor of </w:t>
      </w:r>
      <m:oMath>
        <m:rad>
          <m:radPr>
            <m:degHide m:val="1"/>
            <m:ctrlPr>
              <w:rPr>
                <w:rFonts w:ascii="Cambria Math" w:hAnsi="Cambria Math" w:cs="Arial"/>
                <w:i/>
              </w:rPr>
            </m:ctrlPr>
          </m:radPr>
          <m:deg/>
          <m:e>
            <m:r>
              <w:rPr>
                <w:rFonts w:ascii="Cambria Math" w:hAnsi="Cambria Math" w:cs="Arial"/>
              </w:rPr>
              <m:t>5</m:t>
            </m:r>
          </m:e>
        </m:rad>
      </m:oMath>
      <w:r w:rsidRPr="000D3700">
        <w:rPr>
          <w:rFonts w:eastAsiaTheme="minorEastAsia" w:cs="Arial"/>
        </w:rPr>
        <w:t xml:space="preserve"> relative to the estimates in the response to request 2 and WTEE. As the standard error of the </w:t>
      </w:r>
      <w:r w:rsidRPr="000D3700">
        <w:rPr>
          <w:rFonts w:cs="Arial"/>
        </w:rPr>
        <w:t xml:space="preserve">‘outflow – actual deaths’ estimates in the </w:t>
      </w:r>
      <w:r w:rsidRPr="000D3700">
        <w:rPr>
          <w:rFonts w:eastAsiaTheme="minorEastAsia" w:cs="Arial"/>
        </w:rPr>
        <w:t>response to request 2 and WTEE</w:t>
      </w:r>
      <w:r w:rsidRPr="000D3700">
        <w:rPr>
          <w:rFonts w:cs="Arial"/>
        </w:rPr>
        <w:t xml:space="preserve"> was already far greater than the standard error of the ‘outflow – expected deaths’ estimates, the difference between the two standard errors would be larger in this instance.</w:t>
      </w:r>
    </w:p>
  </w:footnote>
  <w:footnote w:id="3">
    <w:p w14:paraId="7739FDDC" w14:textId="77777777" w:rsidR="002D737B" w:rsidRPr="000D3700" w:rsidRDefault="002D737B" w:rsidP="002D737B">
      <w:pPr>
        <w:pStyle w:val="FootnoteText"/>
        <w:rPr>
          <w:rFonts w:cs="Arial"/>
        </w:rPr>
      </w:pPr>
      <w:r w:rsidRPr="000D3700">
        <w:rPr>
          <w:rStyle w:val="FootnoteReference"/>
          <w:rFonts w:cs="Arial"/>
        </w:rPr>
        <w:footnoteRef/>
      </w:r>
      <w:r w:rsidRPr="000D3700">
        <w:rPr>
          <w:rFonts w:cs="Arial"/>
        </w:rPr>
        <w:t xml:space="preserve"> The </w:t>
      </w:r>
      <w:r w:rsidRPr="000D3700">
        <w:rPr>
          <w:rFonts w:cs="Arial"/>
          <w:i/>
        </w:rPr>
        <w:t>number</w:t>
      </w:r>
      <w:r w:rsidRPr="000D3700">
        <w:rPr>
          <w:rFonts w:cs="Arial"/>
        </w:rPr>
        <w:t xml:space="preserve"> of households leaving an inheritance is not defined for inheritances bequeathed to the next generation, as inheritances may be split between generations.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04C1"/>
    <w:multiLevelType w:val="hybridMultilevel"/>
    <w:tmpl w:val="19FAF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B47CA7"/>
    <w:multiLevelType w:val="hybridMultilevel"/>
    <w:tmpl w:val="FD680D86"/>
    <w:lvl w:ilvl="0" w:tplc="07DABA0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754E97"/>
    <w:multiLevelType w:val="hybridMultilevel"/>
    <w:tmpl w:val="5674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0F3838"/>
    <w:multiLevelType w:val="hybridMultilevel"/>
    <w:tmpl w:val="DEF63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3811869">
    <w:abstractNumId w:val="2"/>
  </w:num>
  <w:num w:numId="2" w16cid:durableId="135144824">
    <w:abstractNumId w:val="0"/>
  </w:num>
  <w:num w:numId="3" w16cid:durableId="882641210">
    <w:abstractNumId w:val="3"/>
  </w:num>
  <w:num w:numId="4" w16cid:durableId="207477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80"/>
    <w:rsid w:val="00000155"/>
    <w:rsid w:val="00000AA1"/>
    <w:rsid w:val="00001134"/>
    <w:rsid w:val="0000598B"/>
    <w:rsid w:val="00005F8E"/>
    <w:rsid w:val="00007011"/>
    <w:rsid w:val="00011BC9"/>
    <w:rsid w:val="00011E31"/>
    <w:rsid w:val="00012974"/>
    <w:rsid w:val="0001376E"/>
    <w:rsid w:val="00016633"/>
    <w:rsid w:val="000168C7"/>
    <w:rsid w:val="000178F1"/>
    <w:rsid w:val="00023A48"/>
    <w:rsid w:val="00024CBA"/>
    <w:rsid w:val="0002502B"/>
    <w:rsid w:val="00025DD5"/>
    <w:rsid w:val="00027653"/>
    <w:rsid w:val="00027EEA"/>
    <w:rsid w:val="00030E91"/>
    <w:rsid w:val="00033035"/>
    <w:rsid w:val="000335B7"/>
    <w:rsid w:val="00035467"/>
    <w:rsid w:val="00046F89"/>
    <w:rsid w:val="00051FB7"/>
    <w:rsid w:val="000529B7"/>
    <w:rsid w:val="00053D2B"/>
    <w:rsid w:val="00056FDA"/>
    <w:rsid w:val="00060056"/>
    <w:rsid w:val="00063B31"/>
    <w:rsid w:val="00063D24"/>
    <w:rsid w:val="00066CE4"/>
    <w:rsid w:val="00066DA8"/>
    <w:rsid w:val="00071AD3"/>
    <w:rsid w:val="00072224"/>
    <w:rsid w:val="00072EC7"/>
    <w:rsid w:val="000736A6"/>
    <w:rsid w:val="00073CC2"/>
    <w:rsid w:val="00076609"/>
    <w:rsid w:val="00076A5D"/>
    <w:rsid w:val="0007700B"/>
    <w:rsid w:val="00077E12"/>
    <w:rsid w:val="000838F7"/>
    <w:rsid w:val="00084AF4"/>
    <w:rsid w:val="00084B7A"/>
    <w:rsid w:val="000915C5"/>
    <w:rsid w:val="0009185E"/>
    <w:rsid w:val="00092F62"/>
    <w:rsid w:val="000938D4"/>
    <w:rsid w:val="00095218"/>
    <w:rsid w:val="0009600E"/>
    <w:rsid w:val="000972D7"/>
    <w:rsid w:val="000A2391"/>
    <w:rsid w:val="000A76B9"/>
    <w:rsid w:val="000A7C2A"/>
    <w:rsid w:val="000A7D80"/>
    <w:rsid w:val="000B086F"/>
    <w:rsid w:val="000B1144"/>
    <w:rsid w:val="000B16AD"/>
    <w:rsid w:val="000B7861"/>
    <w:rsid w:val="000B7925"/>
    <w:rsid w:val="000C0F10"/>
    <w:rsid w:val="000C17C0"/>
    <w:rsid w:val="000C27B8"/>
    <w:rsid w:val="000C377A"/>
    <w:rsid w:val="000C6587"/>
    <w:rsid w:val="000D2663"/>
    <w:rsid w:val="000D3700"/>
    <w:rsid w:val="000D377F"/>
    <w:rsid w:val="000D389D"/>
    <w:rsid w:val="000D68D4"/>
    <w:rsid w:val="000E0A37"/>
    <w:rsid w:val="000E1620"/>
    <w:rsid w:val="000E18C2"/>
    <w:rsid w:val="000E3E25"/>
    <w:rsid w:val="000E5F33"/>
    <w:rsid w:val="000F00E1"/>
    <w:rsid w:val="000F148C"/>
    <w:rsid w:val="000F17BE"/>
    <w:rsid w:val="000F19FD"/>
    <w:rsid w:val="000F5998"/>
    <w:rsid w:val="000F6DAA"/>
    <w:rsid w:val="00102FD2"/>
    <w:rsid w:val="00105808"/>
    <w:rsid w:val="00105FF8"/>
    <w:rsid w:val="00107099"/>
    <w:rsid w:val="00115954"/>
    <w:rsid w:val="00131471"/>
    <w:rsid w:val="001316AF"/>
    <w:rsid w:val="00131C07"/>
    <w:rsid w:val="00142065"/>
    <w:rsid w:val="001436EB"/>
    <w:rsid w:val="00144D86"/>
    <w:rsid w:val="00150B65"/>
    <w:rsid w:val="001511FC"/>
    <w:rsid w:val="00155109"/>
    <w:rsid w:val="00157918"/>
    <w:rsid w:val="001619B7"/>
    <w:rsid w:val="0016574E"/>
    <w:rsid w:val="00171F4A"/>
    <w:rsid w:val="00172B46"/>
    <w:rsid w:val="00173E17"/>
    <w:rsid w:val="00176C61"/>
    <w:rsid w:val="00176E91"/>
    <w:rsid w:val="00177593"/>
    <w:rsid w:val="00180AE3"/>
    <w:rsid w:val="00181E18"/>
    <w:rsid w:val="001848C8"/>
    <w:rsid w:val="00185A28"/>
    <w:rsid w:val="001918FE"/>
    <w:rsid w:val="00191920"/>
    <w:rsid w:val="0019533A"/>
    <w:rsid w:val="00195C60"/>
    <w:rsid w:val="001A100B"/>
    <w:rsid w:val="001A6894"/>
    <w:rsid w:val="001B1F75"/>
    <w:rsid w:val="001B2145"/>
    <w:rsid w:val="001B455D"/>
    <w:rsid w:val="001B49C4"/>
    <w:rsid w:val="001B5927"/>
    <w:rsid w:val="001B6B36"/>
    <w:rsid w:val="001C0487"/>
    <w:rsid w:val="001C0FA7"/>
    <w:rsid w:val="001C17FD"/>
    <w:rsid w:val="001C1A37"/>
    <w:rsid w:val="001C1CF9"/>
    <w:rsid w:val="001C4B01"/>
    <w:rsid w:val="001C52D2"/>
    <w:rsid w:val="001C7104"/>
    <w:rsid w:val="001C753A"/>
    <w:rsid w:val="001C7DFB"/>
    <w:rsid w:val="001D098D"/>
    <w:rsid w:val="001D2049"/>
    <w:rsid w:val="001D27C3"/>
    <w:rsid w:val="001D4117"/>
    <w:rsid w:val="001D4DE1"/>
    <w:rsid w:val="001E4E00"/>
    <w:rsid w:val="001E565E"/>
    <w:rsid w:val="001E6112"/>
    <w:rsid w:val="001E7CFC"/>
    <w:rsid w:val="001F2098"/>
    <w:rsid w:val="001F5756"/>
    <w:rsid w:val="001F5EC5"/>
    <w:rsid w:val="001F74D5"/>
    <w:rsid w:val="001F75C2"/>
    <w:rsid w:val="00200BDD"/>
    <w:rsid w:val="0020378B"/>
    <w:rsid w:val="00212151"/>
    <w:rsid w:val="00212468"/>
    <w:rsid w:val="00215E6B"/>
    <w:rsid w:val="00215F12"/>
    <w:rsid w:val="0021675B"/>
    <w:rsid w:val="00216C96"/>
    <w:rsid w:val="002227F1"/>
    <w:rsid w:val="0022372E"/>
    <w:rsid w:val="00223C20"/>
    <w:rsid w:val="00224F10"/>
    <w:rsid w:val="002267D9"/>
    <w:rsid w:val="00232B67"/>
    <w:rsid w:val="00233C5C"/>
    <w:rsid w:val="002357E9"/>
    <w:rsid w:val="0023725B"/>
    <w:rsid w:val="00240AEC"/>
    <w:rsid w:val="00242D93"/>
    <w:rsid w:val="002440DC"/>
    <w:rsid w:val="002461A7"/>
    <w:rsid w:val="00246A93"/>
    <w:rsid w:val="00247335"/>
    <w:rsid w:val="00252970"/>
    <w:rsid w:val="00254AF6"/>
    <w:rsid w:val="002606D4"/>
    <w:rsid w:val="00263B7F"/>
    <w:rsid w:val="00266C5E"/>
    <w:rsid w:val="00266D0E"/>
    <w:rsid w:val="0026780F"/>
    <w:rsid w:val="002754A5"/>
    <w:rsid w:val="00276244"/>
    <w:rsid w:val="002762E4"/>
    <w:rsid w:val="00276A46"/>
    <w:rsid w:val="002777E7"/>
    <w:rsid w:val="002853FD"/>
    <w:rsid w:val="00285D8D"/>
    <w:rsid w:val="0028709A"/>
    <w:rsid w:val="002902C4"/>
    <w:rsid w:val="00290E5A"/>
    <w:rsid w:val="00291927"/>
    <w:rsid w:val="00291B83"/>
    <w:rsid w:val="002927F4"/>
    <w:rsid w:val="002968DF"/>
    <w:rsid w:val="00296BDA"/>
    <w:rsid w:val="002979E9"/>
    <w:rsid w:val="002A1D60"/>
    <w:rsid w:val="002A45B1"/>
    <w:rsid w:val="002A4E11"/>
    <w:rsid w:val="002A5DF7"/>
    <w:rsid w:val="002B0A3F"/>
    <w:rsid w:val="002B33F3"/>
    <w:rsid w:val="002B3494"/>
    <w:rsid w:val="002B3662"/>
    <w:rsid w:val="002B7582"/>
    <w:rsid w:val="002C0F7E"/>
    <w:rsid w:val="002C60E7"/>
    <w:rsid w:val="002D4AA9"/>
    <w:rsid w:val="002D54E6"/>
    <w:rsid w:val="002D737B"/>
    <w:rsid w:val="002E0056"/>
    <w:rsid w:val="002E25E5"/>
    <w:rsid w:val="002F118B"/>
    <w:rsid w:val="002F2064"/>
    <w:rsid w:val="002F3F1B"/>
    <w:rsid w:val="002F3F1F"/>
    <w:rsid w:val="002F40D2"/>
    <w:rsid w:val="002F448D"/>
    <w:rsid w:val="002F4C6D"/>
    <w:rsid w:val="002F4CB1"/>
    <w:rsid w:val="002F5494"/>
    <w:rsid w:val="002F59B8"/>
    <w:rsid w:val="002F5EAB"/>
    <w:rsid w:val="00301E7B"/>
    <w:rsid w:val="00302C1C"/>
    <w:rsid w:val="0030465B"/>
    <w:rsid w:val="003060BF"/>
    <w:rsid w:val="0030651B"/>
    <w:rsid w:val="0031036D"/>
    <w:rsid w:val="00310BE3"/>
    <w:rsid w:val="00312EB3"/>
    <w:rsid w:val="00314959"/>
    <w:rsid w:val="00315307"/>
    <w:rsid w:val="00316ADC"/>
    <w:rsid w:val="00317CC0"/>
    <w:rsid w:val="0032013C"/>
    <w:rsid w:val="00323116"/>
    <w:rsid w:val="00324DF6"/>
    <w:rsid w:val="00330EFB"/>
    <w:rsid w:val="00330FE2"/>
    <w:rsid w:val="0033160E"/>
    <w:rsid w:val="00334A8D"/>
    <w:rsid w:val="003413B1"/>
    <w:rsid w:val="00343AC8"/>
    <w:rsid w:val="003501DC"/>
    <w:rsid w:val="00353115"/>
    <w:rsid w:val="003545C5"/>
    <w:rsid w:val="003550D9"/>
    <w:rsid w:val="00355838"/>
    <w:rsid w:val="00360BBB"/>
    <w:rsid w:val="0036247F"/>
    <w:rsid w:val="00363F2D"/>
    <w:rsid w:val="003658C5"/>
    <w:rsid w:val="00367B44"/>
    <w:rsid w:val="00373869"/>
    <w:rsid w:val="00374D21"/>
    <w:rsid w:val="00375741"/>
    <w:rsid w:val="00380499"/>
    <w:rsid w:val="00385961"/>
    <w:rsid w:val="003861B1"/>
    <w:rsid w:val="00387D20"/>
    <w:rsid w:val="00393F05"/>
    <w:rsid w:val="00394413"/>
    <w:rsid w:val="0039521B"/>
    <w:rsid w:val="003A0F49"/>
    <w:rsid w:val="003A147E"/>
    <w:rsid w:val="003A2ACD"/>
    <w:rsid w:val="003A68A7"/>
    <w:rsid w:val="003A7ACC"/>
    <w:rsid w:val="003A7F5B"/>
    <w:rsid w:val="003B1428"/>
    <w:rsid w:val="003B3149"/>
    <w:rsid w:val="003B6277"/>
    <w:rsid w:val="003B7E59"/>
    <w:rsid w:val="003C29D1"/>
    <w:rsid w:val="003C2DD1"/>
    <w:rsid w:val="003C4A4D"/>
    <w:rsid w:val="003C5063"/>
    <w:rsid w:val="003C5C10"/>
    <w:rsid w:val="003C6AEA"/>
    <w:rsid w:val="003D3E8F"/>
    <w:rsid w:val="003D54B7"/>
    <w:rsid w:val="003E286E"/>
    <w:rsid w:val="003E3477"/>
    <w:rsid w:val="003E38A2"/>
    <w:rsid w:val="003E40DA"/>
    <w:rsid w:val="003E428E"/>
    <w:rsid w:val="003E4F90"/>
    <w:rsid w:val="003E5432"/>
    <w:rsid w:val="003E6749"/>
    <w:rsid w:val="003F173C"/>
    <w:rsid w:val="003F1DD6"/>
    <w:rsid w:val="003F77A0"/>
    <w:rsid w:val="0040085D"/>
    <w:rsid w:val="00412050"/>
    <w:rsid w:val="00413D13"/>
    <w:rsid w:val="004150B3"/>
    <w:rsid w:val="004159A7"/>
    <w:rsid w:val="0042065C"/>
    <w:rsid w:val="00421E9F"/>
    <w:rsid w:val="00422B06"/>
    <w:rsid w:val="004251B6"/>
    <w:rsid w:val="0042579F"/>
    <w:rsid w:val="0043047F"/>
    <w:rsid w:val="00431D2B"/>
    <w:rsid w:val="00432B57"/>
    <w:rsid w:val="00433288"/>
    <w:rsid w:val="00435C87"/>
    <w:rsid w:val="00436610"/>
    <w:rsid w:val="004379C7"/>
    <w:rsid w:val="004440F6"/>
    <w:rsid w:val="00450169"/>
    <w:rsid w:val="0045064D"/>
    <w:rsid w:val="00453925"/>
    <w:rsid w:val="00453CE6"/>
    <w:rsid w:val="00453F19"/>
    <w:rsid w:val="004549E6"/>
    <w:rsid w:val="004576EE"/>
    <w:rsid w:val="00461912"/>
    <w:rsid w:val="004621BA"/>
    <w:rsid w:val="00463339"/>
    <w:rsid w:val="0046376D"/>
    <w:rsid w:val="004650BF"/>
    <w:rsid w:val="00467B10"/>
    <w:rsid w:val="004732EA"/>
    <w:rsid w:val="00473AFD"/>
    <w:rsid w:val="00473C97"/>
    <w:rsid w:val="00476A5B"/>
    <w:rsid w:val="00482E8C"/>
    <w:rsid w:val="00484945"/>
    <w:rsid w:val="004861D6"/>
    <w:rsid w:val="00486A88"/>
    <w:rsid w:val="00491AF5"/>
    <w:rsid w:val="004A0BD3"/>
    <w:rsid w:val="004A19E5"/>
    <w:rsid w:val="004A32BF"/>
    <w:rsid w:val="004A5542"/>
    <w:rsid w:val="004A57DB"/>
    <w:rsid w:val="004B2014"/>
    <w:rsid w:val="004B5B99"/>
    <w:rsid w:val="004B68C2"/>
    <w:rsid w:val="004C1701"/>
    <w:rsid w:val="004C3D9C"/>
    <w:rsid w:val="004D3D12"/>
    <w:rsid w:val="004D6858"/>
    <w:rsid w:val="004D6E80"/>
    <w:rsid w:val="004D6EB3"/>
    <w:rsid w:val="004F10A7"/>
    <w:rsid w:val="004F16B6"/>
    <w:rsid w:val="004F4317"/>
    <w:rsid w:val="004F6770"/>
    <w:rsid w:val="00501B7E"/>
    <w:rsid w:val="00501F0A"/>
    <w:rsid w:val="00505077"/>
    <w:rsid w:val="00505482"/>
    <w:rsid w:val="005057A2"/>
    <w:rsid w:val="00505D76"/>
    <w:rsid w:val="00515477"/>
    <w:rsid w:val="00516D3C"/>
    <w:rsid w:val="0052231A"/>
    <w:rsid w:val="005232DA"/>
    <w:rsid w:val="00523390"/>
    <w:rsid w:val="005236F3"/>
    <w:rsid w:val="0052570C"/>
    <w:rsid w:val="005263B0"/>
    <w:rsid w:val="00526A9D"/>
    <w:rsid w:val="005302CE"/>
    <w:rsid w:val="00534743"/>
    <w:rsid w:val="00534A55"/>
    <w:rsid w:val="005356AE"/>
    <w:rsid w:val="005369A0"/>
    <w:rsid w:val="00541126"/>
    <w:rsid w:val="00542A95"/>
    <w:rsid w:val="00542B35"/>
    <w:rsid w:val="00543D1A"/>
    <w:rsid w:val="00544F49"/>
    <w:rsid w:val="00545B5A"/>
    <w:rsid w:val="0054605A"/>
    <w:rsid w:val="005544D4"/>
    <w:rsid w:val="00555DCA"/>
    <w:rsid w:val="00556276"/>
    <w:rsid w:val="00557924"/>
    <w:rsid w:val="005628D6"/>
    <w:rsid w:val="00563021"/>
    <w:rsid w:val="00566A5A"/>
    <w:rsid w:val="00566B4E"/>
    <w:rsid w:val="0056737A"/>
    <w:rsid w:val="005677F1"/>
    <w:rsid w:val="00570C62"/>
    <w:rsid w:val="00572971"/>
    <w:rsid w:val="005739AB"/>
    <w:rsid w:val="005829F9"/>
    <w:rsid w:val="005865D6"/>
    <w:rsid w:val="005878E6"/>
    <w:rsid w:val="00590176"/>
    <w:rsid w:val="00593BA3"/>
    <w:rsid w:val="0059630B"/>
    <w:rsid w:val="005A1964"/>
    <w:rsid w:val="005A3191"/>
    <w:rsid w:val="005A59B4"/>
    <w:rsid w:val="005A5EBF"/>
    <w:rsid w:val="005A6A15"/>
    <w:rsid w:val="005B0DDF"/>
    <w:rsid w:val="005B3551"/>
    <w:rsid w:val="005B463B"/>
    <w:rsid w:val="005B5BE5"/>
    <w:rsid w:val="005B5CF9"/>
    <w:rsid w:val="005B5FBC"/>
    <w:rsid w:val="005C1284"/>
    <w:rsid w:val="005C547E"/>
    <w:rsid w:val="005C5A21"/>
    <w:rsid w:val="005C601B"/>
    <w:rsid w:val="005C6664"/>
    <w:rsid w:val="005C6E2F"/>
    <w:rsid w:val="005D30BF"/>
    <w:rsid w:val="005D635C"/>
    <w:rsid w:val="005E12D2"/>
    <w:rsid w:val="005E1B05"/>
    <w:rsid w:val="005E1EB8"/>
    <w:rsid w:val="005E2259"/>
    <w:rsid w:val="005F0778"/>
    <w:rsid w:val="005F092B"/>
    <w:rsid w:val="005F7902"/>
    <w:rsid w:val="00603ED7"/>
    <w:rsid w:val="00604039"/>
    <w:rsid w:val="006046CC"/>
    <w:rsid w:val="00604B72"/>
    <w:rsid w:val="00604BC9"/>
    <w:rsid w:val="00612E34"/>
    <w:rsid w:val="00614439"/>
    <w:rsid w:val="00614CA9"/>
    <w:rsid w:val="00615C51"/>
    <w:rsid w:val="00621B33"/>
    <w:rsid w:val="00621C8C"/>
    <w:rsid w:val="006265FD"/>
    <w:rsid w:val="0063530F"/>
    <w:rsid w:val="00636546"/>
    <w:rsid w:val="0064007B"/>
    <w:rsid w:val="00640500"/>
    <w:rsid w:val="00640509"/>
    <w:rsid w:val="00640DA6"/>
    <w:rsid w:val="00644A82"/>
    <w:rsid w:val="00647A8B"/>
    <w:rsid w:val="006516C1"/>
    <w:rsid w:val="0065331F"/>
    <w:rsid w:val="00654C82"/>
    <w:rsid w:val="00654D90"/>
    <w:rsid w:val="0065535A"/>
    <w:rsid w:val="006557B0"/>
    <w:rsid w:val="006578BA"/>
    <w:rsid w:val="00662B99"/>
    <w:rsid w:val="00666985"/>
    <w:rsid w:val="00670AE5"/>
    <w:rsid w:val="0067174F"/>
    <w:rsid w:val="00671EA5"/>
    <w:rsid w:val="00672324"/>
    <w:rsid w:val="006728A2"/>
    <w:rsid w:val="006759BF"/>
    <w:rsid w:val="006812B8"/>
    <w:rsid w:val="0068288D"/>
    <w:rsid w:val="006832F8"/>
    <w:rsid w:val="00683A83"/>
    <w:rsid w:val="006846DF"/>
    <w:rsid w:val="0068475A"/>
    <w:rsid w:val="006860BA"/>
    <w:rsid w:val="0068654C"/>
    <w:rsid w:val="00686C43"/>
    <w:rsid w:val="006876B5"/>
    <w:rsid w:val="0069243D"/>
    <w:rsid w:val="006946C8"/>
    <w:rsid w:val="00694FA9"/>
    <w:rsid w:val="0069670A"/>
    <w:rsid w:val="0069787A"/>
    <w:rsid w:val="006A244D"/>
    <w:rsid w:val="006A2E2D"/>
    <w:rsid w:val="006A647A"/>
    <w:rsid w:val="006A65F0"/>
    <w:rsid w:val="006A7419"/>
    <w:rsid w:val="006B27D3"/>
    <w:rsid w:val="006B6CB6"/>
    <w:rsid w:val="006C0105"/>
    <w:rsid w:val="006C04E1"/>
    <w:rsid w:val="006C1E70"/>
    <w:rsid w:val="006C3B62"/>
    <w:rsid w:val="006D1CF3"/>
    <w:rsid w:val="006D208F"/>
    <w:rsid w:val="006D36A1"/>
    <w:rsid w:val="006D4E86"/>
    <w:rsid w:val="006D6969"/>
    <w:rsid w:val="006D75E3"/>
    <w:rsid w:val="006E0B6E"/>
    <w:rsid w:val="006E19A5"/>
    <w:rsid w:val="006E3443"/>
    <w:rsid w:val="006E39BB"/>
    <w:rsid w:val="006E3F27"/>
    <w:rsid w:val="006E484B"/>
    <w:rsid w:val="006E60A1"/>
    <w:rsid w:val="006F2E27"/>
    <w:rsid w:val="006F36F8"/>
    <w:rsid w:val="00703B01"/>
    <w:rsid w:val="00703E2B"/>
    <w:rsid w:val="00707AF0"/>
    <w:rsid w:val="0071149A"/>
    <w:rsid w:val="00711C33"/>
    <w:rsid w:val="00711ED4"/>
    <w:rsid w:val="00711F24"/>
    <w:rsid w:val="00712274"/>
    <w:rsid w:val="0071429A"/>
    <w:rsid w:val="00715E69"/>
    <w:rsid w:val="00717FFD"/>
    <w:rsid w:val="007203ED"/>
    <w:rsid w:val="00721B8B"/>
    <w:rsid w:val="00722FAF"/>
    <w:rsid w:val="0072317A"/>
    <w:rsid w:val="00724397"/>
    <w:rsid w:val="00724478"/>
    <w:rsid w:val="00724F10"/>
    <w:rsid w:val="007253F6"/>
    <w:rsid w:val="00725D4D"/>
    <w:rsid w:val="007265FC"/>
    <w:rsid w:val="007266A0"/>
    <w:rsid w:val="007332EC"/>
    <w:rsid w:val="00741F48"/>
    <w:rsid w:val="00744F9D"/>
    <w:rsid w:val="007470BC"/>
    <w:rsid w:val="00757C41"/>
    <w:rsid w:val="0076407C"/>
    <w:rsid w:val="007645A0"/>
    <w:rsid w:val="00764C2F"/>
    <w:rsid w:val="00770BC7"/>
    <w:rsid w:val="00771365"/>
    <w:rsid w:val="0077599F"/>
    <w:rsid w:val="007771B8"/>
    <w:rsid w:val="00780F2A"/>
    <w:rsid w:val="007837D4"/>
    <w:rsid w:val="00783C46"/>
    <w:rsid w:val="00787DBF"/>
    <w:rsid w:val="0079332E"/>
    <w:rsid w:val="00793743"/>
    <w:rsid w:val="00793ADD"/>
    <w:rsid w:val="00796480"/>
    <w:rsid w:val="00797AFD"/>
    <w:rsid w:val="007A181B"/>
    <w:rsid w:val="007A6C3B"/>
    <w:rsid w:val="007B2272"/>
    <w:rsid w:val="007B2851"/>
    <w:rsid w:val="007B551B"/>
    <w:rsid w:val="007B79FE"/>
    <w:rsid w:val="007C003E"/>
    <w:rsid w:val="007C0157"/>
    <w:rsid w:val="007C209A"/>
    <w:rsid w:val="007C34C5"/>
    <w:rsid w:val="007C452A"/>
    <w:rsid w:val="007C48D8"/>
    <w:rsid w:val="007C5BFE"/>
    <w:rsid w:val="007C7017"/>
    <w:rsid w:val="007C72DE"/>
    <w:rsid w:val="007D1888"/>
    <w:rsid w:val="007D22DC"/>
    <w:rsid w:val="007D338F"/>
    <w:rsid w:val="007D5203"/>
    <w:rsid w:val="007D6F4D"/>
    <w:rsid w:val="007E2826"/>
    <w:rsid w:val="007E3725"/>
    <w:rsid w:val="007E3B4D"/>
    <w:rsid w:val="007E61FF"/>
    <w:rsid w:val="007E7544"/>
    <w:rsid w:val="007F0C10"/>
    <w:rsid w:val="007F411D"/>
    <w:rsid w:val="007F486B"/>
    <w:rsid w:val="007F4A30"/>
    <w:rsid w:val="007F4D95"/>
    <w:rsid w:val="007F7BAD"/>
    <w:rsid w:val="00805FD6"/>
    <w:rsid w:val="00807066"/>
    <w:rsid w:val="0082205D"/>
    <w:rsid w:val="00822E31"/>
    <w:rsid w:val="00823B0B"/>
    <w:rsid w:val="00830D06"/>
    <w:rsid w:val="00831182"/>
    <w:rsid w:val="0083292D"/>
    <w:rsid w:val="00836687"/>
    <w:rsid w:val="0083769E"/>
    <w:rsid w:val="0084387E"/>
    <w:rsid w:val="0085034D"/>
    <w:rsid w:val="0085223C"/>
    <w:rsid w:val="008547D4"/>
    <w:rsid w:val="00856914"/>
    <w:rsid w:val="0085712C"/>
    <w:rsid w:val="00865EF9"/>
    <w:rsid w:val="00866E90"/>
    <w:rsid w:val="00873721"/>
    <w:rsid w:val="00874421"/>
    <w:rsid w:val="00874E6A"/>
    <w:rsid w:val="00874E82"/>
    <w:rsid w:val="0087799F"/>
    <w:rsid w:val="008837BC"/>
    <w:rsid w:val="00884BF3"/>
    <w:rsid w:val="00886295"/>
    <w:rsid w:val="008915DB"/>
    <w:rsid w:val="00896BAF"/>
    <w:rsid w:val="008975D3"/>
    <w:rsid w:val="008A1EE2"/>
    <w:rsid w:val="008A2828"/>
    <w:rsid w:val="008A3363"/>
    <w:rsid w:val="008A5406"/>
    <w:rsid w:val="008A583D"/>
    <w:rsid w:val="008B1100"/>
    <w:rsid w:val="008B3B2F"/>
    <w:rsid w:val="008B3D9B"/>
    <w:rsid w:val="008C0F6F"/>
    <w:rsid w:val="008C42F7"/>
    <w:rsid w:val="008C5F8B"/>
    <w:rsid w:val="008D38D3"/>
    <w:rsid w:val="008D5DBE"/>
    <w:rsid w:val="008E32A9"/>
    <w:rsid w:val="008E3C53"/>
    <w:rsid w:val="008E5E78"/>
    <w:rsid w:val="008E74CD"/>
    <w:rsid w:val="008F005F"/>
    <w:rsid w:val="008F1A9F"/>
    <w:rsid w:val="008F329E"/>
    <w:rsid w:val="008F3A31"/>
    <w:rsid w:val="008F5E5C"/>
    <w:rsid w:val="008F6CBF"/>
    <w:rsid w:val="0090033F"/>
    <w:rsid w:val="0090065D"/>
    <w:rsid w:val="00902E88"/>
    <w:rsid w:val="00906348"/>
    <w:rsid w:val="00907AEE"/>
    <w:rsid w:val="00910697"/>
    <w:rsid w:val="009148E7"/>
    <w:rsid w:val="00915751"/>
    <w:rsid w:val="0091775A"/>
    <w:rsid w:val="0092092B"/>
    <w:rsid w:val="0092726C"/>
    <w:rsid w:val="00927E2B"/>
    <w:rsid w:val="00941D67"/>
    <w:rsid w:val="009421D6"/>
    <w:rsid w:val="00942655"/>
    <w:rsid w:val="0094645E"/>
    <w:rsid w:val="009470FA"/>
    <w:rsid w:val="00947DBA"/>
    <w:rsid w:val="00950C83"/>
    <w:rsid w:val="009541F9"/>
    <w:rsid w:val="00957532"/>
    <w:rsid w:val="009601AB"/>
    <w:rsid w:val="00964A8D"/>
    <w:rsid w:val="00965249"/>
    <w:rsid w:val="009725B9"/>
    <w:rsid w:val="00972DFB"/>
    <w:rsid w:val="0097540B"/>
    <w:rsid w:val="00975A3C"/>
    <w:rsid w:val="00975A60"/>
    <w:rsid w:val="009807B4"/>
    <w:rsid w:val="00980E64"/>
    <w:rsid w:val="009840B6"/>
    <w:rsid w:val="009853F6"/>
    <w:rsid w:val="00987835"/>
    <w:rsid w:val="00987BAB"/>
    <w:rsid w:val="00993F83"/>
    <w:rsid w:val="009A20E9"/>
    <w:rsid w:val="009A4BF4"/>
    <w:rsid w:val="009A524C"/>
    <w:rsid w:val="009A5402"/>
    <w:rsid w:val="009A6854"/>
    <w:rsid w:val="009A6C33"/>
    <w:rsid w:val="009A6E01"/>
    <w:rsid w:val="009A7E47"/>
    <w:rsid w:val="009B12C8"/>
    <w:rsid w:val="009B3053"/>
    <w:rsid w:val="009B3CCE"/>
    <w:rsid w:val="009C0D79"/>
    <w:rsid w:val="009C22E1"/>
    <w:rsid w:val="009C38BC"/>
    <w:rsid w:val="009C4AA9"/>
    <w:rsid w:val="009C4E46"/>
    <w:rsid w:val="009C5950"/>
    <w:rsid w:val="009C6E23"/>
    <w:rsid w:val="009D0BCB"/>
    <w:rsid w:val="009D1706"/>
    <w:rsid w:val="009D2BEB"/>
    <w:rsid w:val="009D7A16"/>
    <w:rsid w:val="009E1484"/>
    <w:rsid w:val="009E14EA"/>
    <w:rsid w:val="009E624A"/>
    <w:rsid w:val="009E6FA3"/>
    <w:rsid w:val="009F0B53"/>
    <w:rsid w:val="009F0E75"/>
    <w:rsid w:val="009F753D"/>
    <w:rsid w:val="009F7D35"/>
    <w:rsid w:val="00A01A01"/>
    <w:rsid w:val="00A05AD7"/>
    <w:rsid w:val="00A06669"/>
    <w:rsid w:val="00A13687"/>
    <w:rsid w:val="00A14396"/>
    <w:rsid w:val="00A15491"/>
    <w:rsid w:val="00A16F7A"/>
    <w:rsid w:val="00A21C6F"/>
    <w:rsid w:val="00A21E3F"/>
    <w:rsid w:val="00A22454"/>
    <w:rsid w:val="00A2254F"/>
    <w:rsid w:val="00A22B08"/>
    <w:rsid w:val="00A23B49"/>
    <w:rsid w:val="00A24F2F"/>
    <w:rsid w:val="00A26C1E"/>
    <w:rsid w:val="00A301E3"/>
    <w:rsid w:val="00A347E9"/>
    <w:rsid w:val="00A3491D"/>
    <w:rsid w:val="00A35F41"/>
    <w:rsid w:val="00A379AC"/>
    <w:rsid w:val="00A37D80"/>
    <w:rsid w:val="00A40801"/>
    <w:rsid w:val="00A40D80"/>
    <w:rsid w:val="00A43088"/>
    <w:rsid w:val="00A43287"/>
    <w:rsid w:val="00A45B46"/>
    <w:rsid w:val="00A501B8"/>
    <w:rsid w:val="00A539FD"/>
    <w:rsid w:val="00A56C42"/>
    <w:rsid w:val="00A62128"/>
    <w:rsid w:val="00A67E69"/>
    <w:rsid w:val="00A70FB3"/>
    <w:rsid w:val="00A7271F"/>
    <w:rsid w:val="00A728B6"/>
    <w:rsid w:val="00A76366"/>
    <w:rsid w:val="00A76869"/>
    <w:rsid w:val="00A769A9"/>
    <w:rsid w:val="00A8052B"/>
    <w:rsid w:val="00A8362E"/>
    <w:rsid w:val="00A846C8"/>
    <w:rsid w:val="00A84AD6"/>
    <w:rsid w:val="00A851E3"/>
    <w:rsid w:val="00A86C4E"/>
    <w:rsid w:val="00A9673F"/>
    <w:rsid w:val="00AA1BCE"/>
    <w:rsid w:val="00AA34D0"/>
    <w:rsid w:val="00AA354B"/>
    <w:rsid w:val="00AA3DD9"/>
    <w:rsid w:val="00AB14E8"/>
    <w:rsid w:val="00AB3C23"/>
    <w:rsid w:val="00AB74B6"/>
    <w:rsid w:val="00AC2E13"/>
    <w:rsid w:val="00AC3894"/>
    <w:rsid w:val="00AC3B6D"/>
    <w:rsid w:val="00AC3F21"/>
    <w:rsid w:val="00AC79D7"/>
    <w:rsid w:val="00AD1565"/>
    <w:rsid w:val="00AD33EC"/>
    <w:rsid w:val="00AD5A94"/>
    <w:rsid w:val="00AD5ECA"/>
    <w:rsid w:val="00AE1451"/>
    <w:rsid w:val="00AE3088"/>
    <w:rsid w:val="00AE36C6"/>
    <w:rsid w:val="00AE68B1"/>
    <w:rsid w:val="00AF6AF6"/>
    <w:rsid w:val="00B00AC0"/>
    <w:rsid w:val="00B00D39"/>
    <w:rsid w:val="00B01072"/>
    <w:rsid w:val="00B1320B"/>
    <w:rsid w:val="00B13A4B"/>
    <w:rsid w:val="00B148B2"/>
    <w:rsid w:val="00B15071"/>
    <w:rsid w:val="00B16506"/>
    <w:rsid w:val="00B20686"/>
    <w:rsid w:val="00B2123C"/>
    <w:rsid w:val="00B216E3"/>
    <w:rsid w:val="00B21B30"/>
    <w:rsid w:val="00B3185E"/>
    <w:rsid w:val="00B32C54"/>
    <w:rsid w:val="00B3366F"/>
    <w:rsid w:val="00B35DE0"/>
    <w:rsid w:val="00B430D6"/>
    <w:rsid w:val="00B4580E"/>
    <w:rsid w:val="00B458F1"/>
    <w:rsid w:val="00B47003"/>
    <w:rsid w:val="00B50881"/>
    <w:rsid w:val="00B52F96"/>
    <w:rsid w:val="00B53DCE"/>
    <w:rsid w:val="00B54D85"/>
    <w:rsid w:val="00B567F7"/>
    <w:rsid w:val="00B57273"/>
    <w:rsid w:val="00B60DD7"/>
    <w:rsid w:val="00B611A1"/>
    <w:rsid w:val="00B62100"/>
    <w:rsid w:val="00B670D1"/>
    <w:rsid w:val="00B67FCF"/>
    <w:rsid w:val="00B71A0E"/>
    <w:rsid w:val="00B71D8B"/>
    <w:rsid w:val="00B72CD3"/>
    <w:rsid w:val="00B72EE5"/>
    <w:rsid w:val="00B74FC0"/>
    <w:rsid w:val="00B8034E"/>
    <w:rsid w:val="00B80C53"/>
    <w:rsid w:val="00B8195A"/>
    <w:rsid w:val="00B8755D"/>
    <w:rsid w:val="00B91A32"/>
    <w:rsid w:val="00B93817"/>
    <w:rsid w:val="00BA5492"/>
    <w:rsid w:val="00BA60FC"/>
    <w:rsid w:val="00BA642E"/>
    <w:rsid w:val="00BC01CF"/>
    <w:rsid w:val="00BC39FD"/>
    <w:rsid w:val="00BC5428"/>
    <w:rsid w:val="00BC6D1E"/>
    <w:rsid w:val="00BC78D4"/>
    <w:rsid w:val="00BD1E10"/>
    <w:rsid w:val="00BD3A63"/>
    <w:rsid w:val="00BD446C"/>
    <w:rsid w:val="00BD7147"/>
    <w:rsid w:val="00BE3DAD"/>
    <w:rsid w:val="00BE5FA3"/>
    <w:rsid w:val="00BF029A"/>
    <w:rsid w:val="00BF0F54"/>
    <w:rsid w:val="00BF1BE1"/>
    <w:rsid w:val="00BF21DC"/>
    <w:rsid w:val="00BF4557"/>
    <w:rsid w:val="00BF543E"/>
    <w:rsid w:val="00BF6B3F"/>
    <w:rsid w:val="00C019EC"/>
    <w:rsid w:val="00C03529"/>
    <w:rsid w:val="00C04432"/>
    <w:rsid w:val="00C04DF7"/>
    <w:rsid w:val="00C05AEB"/>
    <w:rsid w:val="00C07E8F"/>
    <w:rsid w:val="00C12CF3"/>
    <w:rsid w:val="00C16F94"/>
    <w:rsid w:val="00C2181D"/>
    <w:rsid w:val="00C2649D"/>
    <w:rsid w:val="00C35302"/>
    <w:rsid w:val="00C35683"/>
    <w:rsid w:val="00C35DCA"/>
    <w:rsid w:val="00C418C5"/>
    <w:rsid w:val="00C42D9B"/>
    <w:rsid w:val="00C42EEF"/>
    <w:rsid w:val="00C44B1F"/>
    <w:rsid w:val="00C51A50"/>
    <w:rsid w:val="00C548E5"/>
    <w:rsid w:val="00C56C3D"/>
    <w:rsid w:val="00C62DDB"/>
    <w:rsid w:val="00C62E84"/>
    <w:rsid w:val="00C63346"/>
    <w:rsid w:val="00C64568"/>
    <w:rsid w:val="00C708D4"/>
    <w:rsid w:val="00C7099E"/>
    <w:rsid w:val="00C7213F"/>
    <w:rsid w:val="00C72D75"/>
    <w:rsid w:val="00C7333C"/>
    <w:rsid w:val="00C74C40"/>
    <w:rsid w:val="00C755E6"/>
    <w:rsid w:val="00C76ABE"/>
    <w:rsid w:val="00C76E65"/>
    <w:rsid w:val="00C77118"/>
    <w:rsid w:val="00C81390"/>
    <w:rsid w:val="00C81534"/>
    <w:rsid w:val="00C86C02"/>
    <w:rsid w:val="00C90052"/>
    <w:rsid w:val="00C92717"/>
    <w:rsid w:val="00C9320C"/>
    <w:rsid w:val="00C9324D"/>
    <w:rsid w:val="00C94BFC"/>
    <w:rsid w:val="00C94EBC"/>
    <w:rsid w:val="00C967C6"/>
    <w:rsid w:val="00C968B2"/>
    <w:rsid w:val="00C96D67"/>
    <w:rsid w:val="00C971EB"/>
    <w:rsid w:val="00CA1CF1"/>
    <w:rsid w:val="00CA50D0"/>
    <w:rsid w:val="00CB2173"/>
    <w:rsid w:val="00CB5766"/>
    <w:rsid w:val="00CB6DDF"/>
    <w:rsid w:val="00CB7DE5"/>
    <w:rsid w:val="00CC0AB5"/>
    <w:rsid w:val="00CC2F3F"/>
    <w:rsid w:val="00CC5C3B"/>
    <w:rsid w:val="00CC6E5C"/>
    <w:rsid w:val="00CC7BCF"/>
    <w:rsid w:val="00CD1163"/>
    <w:rsid w:val="00CD13E5"/>
    <w:rsid w:val="00CD28D6"/>
    <w:rsid w:val="00CD55EF"/>
    <w:rsid w:val="00CD5BF4"/>
    <w:rsid w:val="00CD6771"/>
    <w:rsid w:val="00CE0F5A"/>
    <w:rsid w:val="00CE29E3"/>
    <w:rsid w:val="00CE4D5B"/>
    <w:rsid w:val="00CF146C"/>
    <w:rsid w:val="00CF37FE"/>
    <w:rsid w:val="00CF5D49"/>
    <w:rsid w:val="00CF5EC0"/>
    <w:rsid w:val="00CF63A5"/>
    <w:rsid w:val="00CF74E7"/>
    <w:rsid w:val="00CF7F20"/>
    <w:rsid w:val="00CF7FFB"/>
    <w:rsid w:val="00D013A7"/>
    <w:rsid w:val="00D01AD4"/>
    <w:rsid w:val="00D0236B"/>
    <w:rsid w:val="00D03C3F"/>
    <w:rsid w:val="00D06AA5"/>
    <w:rsid w:val="00D07944"/>
    <w:rsid w:val="00D10B1E"/>
    <w:rsid w:val="00D13DA0"/>
    <w:rsid w:val="00D13EFB"/>
    <w:rsid w:val="00D1417D"/>
    <w:rsid w:val="00D159CA"/>
    <w:rsid w:val="00D15DFE"/>
    <w:rsid w:val="00D164AA"/>
    <w:rsid w:val="00D171B2"/>
    <w:rsid w:val="00D178A4"/>
    <w:rsid w:val="00D2050C"/>
    <w:rsid w:val="00D2167D"/>
    <w:rsid w:val="00D2367B"/>
    <w:rsid w:val="00D24C11"/>
    <w:rsid w:val="00D26B63"/>
    <w:rsid w:val="00D305D0"/>
    <w:rsid w:val="00D30DA3"/>
    <w:rsid w:val="00D3327D"/>
    <w:rsid w:val="00D40133"/>
    <w:rsid w:val="00D40BE8"/>
    <w:rsid w:val="00D455E4"/>
    <w:rsid w:val="00D51113"/>
    <w:rsid w:val="00D51EC3"/>
    <w:rsid w:val="00D51FCB"/>
    <w:rsid w:val="00D53637"/>
    <w:rsid w:val="00D53DE3"/>
    <w:rsid w:val="00D54822"/>
    <w:rsid w:val="00D565FB"/>
    <w:rsid w:val="00D57B6A"/>
    <w:rsid w:val="00D606AC"/>
    <w:rsid w:val="00D62754"/>
    <w:rsid w:val="00D6398B"/>
    <w:rsid w:val="00D643F4"/>
    <w:rsid w:val="00D66A3A"/>
    <w:rsid w:val="00D71313"/>
    <w:rsid w:val="00D719FC"/>
    <w:rsid w:val="00D7221D"/>
    <w:rsid w:val="00D81772"/>
    <w:rsid w:val="00D8554C"/>
    <w:rsid w:val="00D948EF"/>
    <w:rsid w:val="00D953F4"/>
    <w:rsid w:val="00D957B1"/>
    <w:rsid w:val="00DA1412"/>
    <w:rsid w:val="00DA2024"/>
    <w:rsid w:val="00DA5761"/>
    <w:rsid w:val="00DA6834"/>
    <w:rsid w:val="00DB1EB3"/>
    <w:rsid w:val="00DB2028"/>
    <w:rsid w:val="00DB337D"/>
    <w:rsid w:val="00DB378B"/>
    <w:rsid w:val="00DB3EFE"/>
    <w:rsid w:val="00DB5C51"/>
    <w:rsid w:val="00DB6BA9"/>
    <w:rsid w:val="00DB736C"/>
    <w:rsid w:val="00DC6CAF"/>
    <w:rsid w:val="00DC763D"/>
    <w:rsid w:val="00DD0FCE"/>
    <w:rsid w:val="00DD1CEF"/>
    <w:rsid w:val="00DE102B"/>
    <w:rsid w:val="00DE2625"/>
    <w:rsid w:val="00DE305E"/>
    <w:rsid w:val="00DF00F3"/>
    <w:rsid w:val="00DF2D58"/>
    <w:rsid w:val="00DF3F7A"/>
    <w:rsid w:val="00DF4D48"/>
    <w:rsid w:val="00DF6732"/>
    <w:rsid w:val="00DF6EA1"/>
    <w:rsid w:val="00DF6FF1"/>
    <w:rsid w:val="00DF7394"/>
    <w:rsid w:val="00E016C9"/>
    <w:rsid w:val="00E0200F"/>
    <w:rsid w:val="00E0301E"/>
    <w:rsid w:val="00E0355B"/>
    <w:rsid w:val="00E03DE6"/>
    <w:rsid w:val="00E04D36"/>
    <w:rsid w:val="00E051E4"/>
    <w:rsid w:val="00E0696A"/>
    <w:rsid w:val="00E075AF"/>
    <w:rsid w:val="00E07CAB"/>
    <w:rsid w:val="00E14E8D"/>
    <w:rsid w:val="00E2239A"/>
    <w:rsid w:val="00E227C7"/>
    <w:rsid w:val="00E229CC"/>
    <w:rsid w:val="00E2340C"/>
    <w:rsid w:val="00E256A7"/>
    <w:rsid w:val="00E26E02"/>
    <w:rsid w:val="00E279B6"/>
    <w:rsid w:val="00E27EBB"/>
    <w:rsid w:val="00E3153B"/>
    <w:rsid w:val="00E31ACE"/>
    <w:rsid w:val="00E32515"/>
    <w:rsid w:val="00E35471"/>
    <w:rsid w:val="00E37C5F"/>
    <w:rsid w:val="00E446F8"/>
    <w:rsid w:val="00E53651"/>
    <w:rsid w:val="00E550B1"/>
    <w:rsid w:val="00E566A1"/>
    <w:rsid w:val="00E57410"/>
    <w:rsid w:val="00E57775"/>
    <w:rsid w:val="00E6001A"/>
    <w:rsid w:val="00E6279D"/>
    <w:rsid w:val="00E627F2"/>
    <w:rsid w:val="00E7313D"/>
    <w:rsid w:val="00E859DC"/>
    <w:rsid w:val="00E86A78"/>
    <w:rsid w:val="00E90EB2"/>
    <w:rsid w:val="00E92108"/>
    <w:rsid w:val="00E94D16"/>
    <w:rsid w:val="00E966A5"/>
    <w:rsid w:val="00EA06D3"/>
    <w:rsid w:val="00EA0AF9"/>
    <w:rsid w:val="00EA140C"/>
    <w:rsid w:val="00EA3A7C"/>
    <w:rsid w:val="00EA3E98"/>
    <w:rsid w:val="00EA44FE"/>
    <w:rsid w:val="00EA70B7"/>
    <w:rsid w:val="00EA71B9"/>
    <w:rsid w:val="00EA7965"/>
    <w:rsid w:val="00EB0F37"/>
    <w:rsid w:val="00EB2992"/>
    <w:rsid w:val="00EB3926"/>
    <w:rsid w:val="00EB45B9"/>
    <w:rsid w:val="00EB5F9D"/>
    <w:rsid w:val="00EB6269"/>
    <w:rsid w:val="00EC142A"/>
    <w:rsid w:val="00EC20CF"/>
    <w:rsid w:val="00EC33BF"/>
    <w:rsid w:val="00EC555B"/>
    <w:rsid w:val="00EC5D05"/>
    <w:rsid w:val="00ED0980"/>
    <w:rsid w:val="00ED3B65"/>
    <w:rsid w:val="00ED5BD9"/>
    <w:rsid w:val="00ED6C55"/>
    <w:rsid w:val="00EE0CE5"/>
    <w:rsid w:val="00EE306E"/>
    <w:rsid w:val="00EE77DD"/>
    <w:rsid w:val="00EF020C"/>
    <w:rsid w:val="00EF59DB"/>
    <w:rsid w:val="00EF7074"/>
    <w:rsid w:val="00EF71CA"/>
    <w:rsid w:val="00F03AE2"/>
    <w:rsid w:val="00F15A88"/>
    <w:rsid w:val="00F16905"/>
    <w:rsid w:val="00F212AA"/>
    <w:rsid w:val="00F23610"/>
    <w:rsid w:val="00F240ED"/>
    <w:rsid w:val="00F25F52"/>
    <w:rsid w:val="00F33546"/>
    <w:rsid w:val="00F37584"/>
    <w:rsid w:val="00F4077D"/>
    <w:rsid w:val="00F41A80"/>
    <w:rsid w:val="00F4301E"/>
    <w:rsid w:val="00F45D35"/>
    <w:rsid w:val="00F542DF"/>
    <w:rsid w:val="00F61B70"/>
    <w:rsid w:val="00F62FEE"/>
    <w:rsid w:val="00F645AA"/>
    <w:rsid w:val="00F656B6"/>
    <w:rsid w:val="00F6602D"/>
    <w:rsid w:val="00F67D6B"/>
    <w:rsid w:val="00F757BE"/>
    <w:rsid w:val="00F77002"/>
    <w:rsid w:val="00F77EF8"/>
    <w:rsid w:val="00F81715"/>
    <w:rsid w:val="00F836BB"/>
    <w:rsid w:val="00F8451C"/>
    <w:rsid w:val="00F9005E"/>
    <w:rsid w:val="00F93DE2"/>
    <w:rsid w:val="00F93EE4"/>
    <w:rsid w:val="00FA0A22"/>
    <w:rsid w:val="00FA198D"/>
    <w:rsid w:val="00FA3986"/>
    <w:rsid w:val="00FA5B57"/>
    <w:rsid w:val="00FB01B2"/>
    <w:rsid w:val="00FB2867"/>
    <w:rsid w:val="00FB2CBC"/>
    <w:rsid w:val="00FB4F97"/>
    <w:rsid w:val="00FB690D"/>
    <w:rsid w:val="00FC2A00"/>
    <w:rsid w:val="00FC6F35"/>
    <w:rsid w:val="00FD42ED"/>
    <w:rsid w:val="00FD5DEF"/>
    <w:rsid w:val="00FD7872"/>
    <w:rsid w:val="00FE0771"/>
    <w:rsid w:val="00FE1F38"/>
    <w:rsid w:val="00FE2E68"/>
    <w:rsid w:val="00FE34FA"/>
    <w:rsid w:val="00FE3DDC"/>
    <w:rsid w:val="00FE4459"/>
    <w:rsid w:val="00FE5BB6"/>
    <w:rsid w:val="00FE7CC7"/>
    <w:rsid w:val="00FF1C80"/>
    <w:rsid w:val="00FF1DE3"/>
    <w:rsid w:val="00FF215C"/>
    <w:rsid w:val="00FF69E5"/>
    <w:rsid w:val="00FF7F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DB99"/>
  <w15:chartTrackingRefBased/>
  <w15:docId w15:val="{0585EA87-8A08-46DF-B993-BE3C157A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28"/>
    <w:rPr>
      <w:rFonts w:ascii="Arial" w:hAnsi="Arial"/>
    </w:rPr>
  </w:style>
  <w:style w:type="paragraph" w:styleId="Heading1">
    <w:name w:val="heading 1"/>
    <w:basedOn w:val="Normal"/>
    <w:next w:val="Normal"/>
    <w:link w:val="Heading1Char"/>
    <w:uiPriority w:val="9"/>
    <w:qFormat/>
    <w:rsid w:val="0071429A"/>
    <w:pPr>
      <w:keepNext/>
      <w:keepLines/>
      <w:spacing w:before="240" w:after="0"/>
      <w:outlineLvl w:val="0"/>
    </w:pPr>
    <w:rPr>
      <w:rFonts w:eastAsiaTheme="majorEastAsia" w:cstheme="majorBidi"/>
      <w:color w:val="265A9A" w:themeColor="background2"/>
      <w:sz w:val="32"/>
      <w:szCs w:val="32"/>
    </w:rPr>
  </w:style>
  <w:style w:type="paragraph" w:styleId="Heading2">
    <w:name w:val="heading 2"/>
    <w:basedOn w:val="Normal"/>
    <w:next w:val="Normal"/>
    <w:link w:val="Heading2Char"/>
    <w:uiPriority w:val="9"/>
    <w:unhideWhenUsed/>
    <w:qFormat/>
    <w:rsid w:val="0071429A"/>
    <w:pPr>
      <w:keepNext/>
      <w:keepLines/>
      <w:spacing w:before="40" w:after="0"/>
      <w:outlineLvl w:val="1"/>
    </w:pPr>
    <w:rPr>
      <w:rFonts w:eastAsiaTheme="majorEastAsia" w:cstheme="majorBidi"/>
      <w:color w:val="265A9A" w:themeColor="background2"/>
      <w:sz w:val="26"/>
      <w:szCs w:val="26"/>
    </w:rPr>
  </w:style>
  <w:style w:type="paragraph" w:styleId="Heading3">
    <w:name w:val="heading 3"/>
    <w:basedOn w:val="Normal"/>
    <w:next w:val="Normal"/>
    <w:link w:val="Heading3Char"/>
    <w:uiPriority w:val="9"/>
    <w:semiHidden/>
    <w:unhideWhenUsed/>
    <w:qFormat/>
    <w:rsid w:val="00185A28"/>
    <w:pPr>
      <w:keepNext/>
      <w:keepLines/>
      <w:spacing w:before="40" w:after="0"/>
      <w:outlineLvl w:val="2"/>
    </w:pPr>
    <w:rPr>
      <w:rFonts w:eastAsiaTheme="majorEastAsia" w:cstheme="majorBidi"/>
      <w:color w:val="265A9A" w:themeColor="background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29A"/>
    <w:rPr>
      <w:rFonts w:ascii="Arial" w:eastAsiaTheme="majorEastAsia" w:hAnsi="Arial" w:cstheme="majorBidi"/>
      <w:color w:val="265A9A" w:themeColor="background2"/>
      <w:sz w:val="32"/>
      <w:szCs w:val="32"/>
    </w:rPr>
  </w:style>
  <w:style w:type="character" w:customStyle="1" w:styleId="Heading2Char">
    <w:name w:val="Heading 2 Char"/>
    <w:basedOn w:val="DefaultParagraphFont"/>
    <w:link w:val="Heading2"/>
    <w:uiPriority w:val="9"/>
    <w:rsid w:val="0071429A"/>
    <w:rPr>
      <w:rFonts w:ascii="Arial" w:eastAsiaTheme="majorEastAsia" w:hAnsi="Arial" w:cstheme="majorBidi"/>
      <w:color w:val="265A9A" w:themeColor="background2"/>
      <w:sz w:val="26"/>
      <w:szCs w:val="26"/>
    </w:rPr>
  </w:style>
  <w:style w:type="paragraph" w:styleId="ListParagraph">
    <w:name w:val="List Paragraph"/>
    <w:basedOn w:val="Normal"/>
    <w:uiPriority w:val="34"/>
    <w:qFormat/>
    <w:rsid w:val="00CC2F3F"/>
    <w:pPr>
      <w:ind w:left="720"/>
      <w:contextualSpacing/>
    </w:pPr>
  </w:style>
  <w:style w:type="character" w:styleId="CommentReference">
    <w:name w:val="annotation reference"/>
    <w:basedOn w:val="DefaultParagraphFont"/>
    <w:uiPriority w:val="99"/>
    <w:semiHidden/>
    <w:unhideWhenUsed/>
    <w:rsid w:val="00C971EB"/>
    <w:rPr>
      <w:sz w:val="16"/>
      <w:szCs w:val="16"/>
    </w:rPr>
  </w:style>
  <w:style w:type="paragraph" w:styleId="CommentText">
    <w:name w:val="annotation text"/>
    <w:basedOn w:val="Normal"/>
    <w:link w:val="CommentTextChar"/>
    <w:uiPriority w:val="99"/>
    <w:unhideWhenUsed/>
    <w:rsid w:val="00C971EB"/>
    <w:pPr>
      <w:spacing w:line="240" w:lineRule="auto"/>
    </w:pPr>
    <w:rPr>
      <w:sz w:val="20"/>
      <w:szCs w:val="20"/>
    </w:rPr>
  </w:style>
  <w:style w:type="character" w:customStyle="1" w:styleId="CommentTextChar">
    <w:name w:val="Comment Text Char"/>
    <w:basedOn w:val="DefaultParagraphFont"/>
    <w:link w:val="CommentText"/>
    <w:uiPriority w:val="99"/>
    <w:rsid w:val="00C971EB"/>
    <w:rPr>
      <w:sz w:val="20"/>
      <w:szCs w:val="20"/>
    </w:rPr>
  </w:style>
  <w:style w:type="paragraph" w:styleId="CommentSubject">
    <w:name w:val="annotation subject"/>
    <w:basedOn w:val="CommentText"/>
    <w:next w:val="CommentText"/>
    <w:link w:val="CommentSubjectChar"/>
    <w:uiPriority w:val="99"/>
    <w:semiHidden/>
    <w:unhideWhenUsed/>
    <w:rsid w:val="00C971EB"/>
    <w:rPr>
      <w:b/>
      <w:bCs/>
    </w:rPr>
  </w:style>
  <w:style w:type="character" w:customStyle="1" w:styleId="CommentSubjectChar">
    <w:name w:val="Comment Subject Char"/>
    <w:basedOn w:val="CommentTextChar"/>
    <w:link w:val="CommentSubject"/>
    <w:uiPriority w:val="99"/>
    <w:semiHidden/>
    <w:rsid w:val="00C971EB"/>
    <w:rPr>
      <w:b/>
      <w:bCs/>
      <w:sz w:val="20"/>
      <w:szCs w:val="20"/>
    </w:rPr>
  </w:style>
  <w:style w:type="paragraph" w:customStyle="1" w:styleId="FigureTableHeading">
    <w:name w:val="Figure/Table Heading"/>
    <w:basedOn w:val="Caption"/>
    <w:uiPriority w:val="4"/>
    <w:qFormat/>
    <w:rsid w:val="005A3191"/>
    <w:pPr>
      <w:keepNext/>
      <w:spacing w:before="240" w:after="40" w:line="280" w:lineRule="atLeast"/>
    </w:pPr>
    <w:rPr>
      <w:rFonts w:asciiTheme="majorHAnsi" w:hAnsiTheme="majorHAnsi"/>
      <w:i w:val="0"/>
      <w:color w:val="000000" w:themeColor="text1"/>
      <w:sz w:val="20"/>
    </w:rPr>
  </w:style>
  <w:style w:type="paragraph" w:customStyle="1" w:styleId="Source">
    <w:name w:val="Source"/>
    <w:basedOn w:val="Normal"/>
    <w:uiPriority w:val="9"/>
    <w:qFormat/>
    <w:rsid w:val="005A3191"/>
    <w:pPr>
      <w:spacing w:before="80" w:after="240" w:line="216" w:lineRule="atLeast"/>
    </w:pPr>
    <w:rPr>
      <w:sz w:val="18"/>
      <w:szCs w:val="20"/>
    </w:rPr>
  </w:style>
  <w:style w:type="paragraph" w:customStyle="1" w:styleId="Note">
    <w:name w:val="Note"/>
    <w:basedOn w:val="Source"/>
    <w:uiPriority w:val="9"/>
    <w:qFormat/>
    <w:rsid w:val="005A3191"/>
    <w:pPr>
      <w:spacing w:after="20"/>
    </w:pPr>
  </w:style>
  <w:style w:type="paragraph" w:customStyle="1" w:styleId="TableHeading">
    <w:name w:val="Table Heading"/>
    <w:basedOn w:val="NoSpacing"/>
    <w:uiPriority w:val="4"/>
    <w:qFormat/>
    <w:rsid w:val="005A3191"/>
    <w:pPr>
      <w:spacing w:after="20" w:line="280" w:lineRule="atLeast"/>
      <w:ind w:left="57"/>
    </w:pPr>
    <w:rPr>
      <w:b/>
      <w:color w:val="265A9A" w:themeColor="background2"/>
      <w:sz w:val="18"/>
      <w:szCs w:val="20"/>
    </w:rPr>
  </w:style>
  <w:style w:type="paragraph" w:customStyle="1" w:styleId="TableBody">
    <w:name w:val="Table Body"/>
    <w:basedOn w:val="NoSpacing"/>
    <w:uiPriority w:val="4"/>
    <w:qFormat/>
    <w:rsid w:val="005A3191"/>
    <w:pPr>
      <w:spacing w:after="20" w:line="280" w:lineRule="atLeast"/>
      <w:ind w:left="57"/>
    </w:pPr>
    <w:rPr>
      <w:sz w:val="18"/>
      <w:szCs w:val="20"/>
    </w:rPr>
  </w:style>
  <w:style w:type="paragraph" w:customStyle="1" w:styleId="FigureTableSubheading">
    <w:name w:val="Figure/Table Subheading"/>
    <w:basedOn w:val="FigureTableHeading"/>
    <w:uiPriority w:val="4"/>
    <w:qFormat/>
    <w:rsid w:val="005A3191"/>
    <w:pPr>
      <w:spacing w:before="40"/>
    </w:pPr>
    <w:rPr>
      <w:color w:val="58585B"/>
    </w:rPr>
  </w:style>
  <w:style w:type="paragraph" w:styleId="Caption">
    <w:name w:val="caption"/>
    <w:basedOn w:val="Normal"/>
    <w:next w:val="Normal"/>
    <w:uiPriority w:val="35"/>
    <w:unhideWhenUsed/>
    <w:qFormat/>
    <w:rsid w:val="005A3191"/>
    <w:pPr>
      <w:spacing w:after="200" w:line="240" w:lineRule="auto"/>
    </w:pPr>
    <w:rPr>
      <w:i/>
      <w:iCs/>
      <w:color w:val="66BCDB" w:themeColor="text2"/>
      <w:sz w:val="18"/>
      <w:szCs w:val="18"/>
    </w:rPr>
  </w:style>
  <w:style w:type="paragraph" w:styleId="NoSpacing">
    <w:name w:val="No Spacing"/>
    <w:uiPriority w:val="1"/>
    <w:qFormat/>
    <w:rsid w:val="005A3191"/>
    <w:pPr>
      <w:spacing w:after="0" w:line="240" w:lineRule="auto"/>
    </w:pPr>
  </w:style>
  <w:style w:type="paragraph" w:styleId="Header">
    <w:name w:val="header"/>
    <w:basedOn w:val="Normal"/>
    <w:link w:val="HeaderChar"/>
    <w:uiPriority w:val="99"/>
    <w:unhideWhenUsed/>
    <w:rsid w:val="00653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31F"/>
  </w:style>
  <w:style w:type="paragraph" w:styleId="Footer">
    <w:name w:val="footer"/>
    <w:basedOn w:val="Normal"/>
    <w:link w:val="FooterChar"/>
    <w:uiPriority w:val="99"/>
    <w:unhideWhenUsed/>
    <w:rsid w:val="00653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31F"/>
  </w:style>
  <w:style w:type="paragraph" w:styleId="FootnoteText">
    <w:name w:val="footnote text"/>
    <w:basedOn w:val="Normal"/>
    <w:link w:val="FootnoteTextChar"/>
    <w:uiPriority w:val="99"/>
    <w:semiHidden/>
    <w:unhideWhenUsed/>
    <w:rsid w:val="002D7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37B"/>
    <w:rPr>
      <w:sz w:val="20"/>
      <w:szCs w:val="20"/>
    </w:rPr>
  </w:style>
  <w:style w:type="character" w:styleId="FootnoteReference">
    <w:name w:val="footnote reference"/>
    <w:basedOn w:val="DefaultParagraphFont"/>
    <w:uiPriority w:val="99"/>
    <w:semiHidden/>
    <w:unhideWhenUsed/>
    <w:rsid w:val="002D737B"/>
    <w:rPr>
      <w:vertAlign w:val="superscript"/>
    </w:rPr>
  </w:style>
  <w:style w:type="character" w:customStyle="1" w:styleId="Heading3Char">
    <w:name w:val="Heading 3 Char"/>
    <w:basedOn w:val="DefaultParagraphFont"/>
    <w:link w:val="Heading3"/>
    <w:uiPriority w:val="9"/>
    <w:semiHidden/>
    <w:rsid w:val="00185A28"/>
    <w:rPr>
      <w:rFonts w:ascii="Arial" w:eastAsiaTheme="majorEastAsia" w:hAnsi="Arial" w:cstheme="majorBidi"/>
      <w:color w:val="265A9A" w:themeColor="background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023">
      <w:bodyDiv w:val="1"/>
      <w:marLeft w:val="0"/>
      <w:marRight w:val="0"/>
      <w:marTop w:val="0"/>
      <w:marBottom w:val="0"/>
      <w:divBdr>
        <w:top w:val="none" w:sz="0" w:space="0" w:color="auto"/>
        <w:left w:val="none" w:sz="0" w:space="0" w:color="auto"/>
        <w:bottom w:val="none" w:sz="0" w:space="0" w:color="auto"/>
        <w:right w:val="none" w:sz="0" w:space="0" w:color="auto"/>
      </w:divBdr>
    </w:div>
    <w:div w:id="506142890">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1511991379">
      <w:bodyDiv w:val="1"/>
      <w:marLeft w:val="0"/>
      <w:marRight w:val="0"/>
      <w:marTop w:val="0"/>
      <w:marBottom w:val="0"/>
      <w:divBdr>
        <w:top w:val="none" w:sz="0" w:space="0" w:color="auto"/>
        <w:left w:val="none" w:sz="0" w:space="0" w:color="auto"/>
        <w:bottom w:val="none" w:sz="0" w:space="0" w:color="auto"/>
        <w:right w:val="none" w:sz="0" w:space="0" w:color="auto"/>
      </w:divBdr>
    </w:div>
    <w:div w:id="15217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7DA88BB504418B69D9967188D101" ma:contentTypeVersion="9" ma:contentTypeDescription="Create a new document." ma:contentTypeScope="" ma:versionID="4a24e076fdf019834fe403784fd34923">
  <xsd:schema xmlns:xsd="http://www.w3.org/2001/XMLSchema" xmlns:xs="http://www.w3.org/2001/XMLSchema" xmlns:p="http://schemas.microsoft.com/office/2006/metadata/properties" xmlns:ns2="b68e425f-67c7-4f4a-ad7d-1fb1331c16cb" xmlns:ns3="8cec8e0c-dc74-4b71-a9e0-b2b00a23b601" targetNamespace="http://schemas.microsoft.com/office/2006/metadata/properties" ma:root="true" ma:fieldsID="8deb6d55b9bafacac5f55c969908df2a" ns2:_="" ns3:_="">
    <xsd:import namespace="b68e425f-67c7-4f4a-ad7d-1fb1331c16cb"/>
    <xsd:import namespace="8cec8e0c-dc74-4b71-a9e0-b2b00a23b60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e425f-67c7-4f4a-ad7d-1fb1331c16cb"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2;#Operational Activities|c91ae86f-6f80-4441-a561-439e28dec06f" ma:fieldId="{20f84bba-9060-45b4-af56-8ee102a52dcb}" ma:sspId="9e7832e3-0c1d-4697-8be2-0d137dca2da6" ma:termSetId="3c672b5e-1100-4960-a8a3-535520ee1155" ma:anchorId="df75995f-02a1-4b82-9d0c-b997654155eb" ma:open="false" ma:isKeyword="false">
      <xsd:complexType>
        <xsd:sequence>
          <xsd:element ref="pc:Terms" minOccurs="0" maxOccurs="1"/>
        </xsd:sequence>
      </xsd:complexType>
    </xsd:element>
    <xsd:element name="TaxCatchAll" ma:index="10" nillable="true" ma:displayName="Taxonomy Catch All Column" ma:hidden="true" ma:list="{09caa1fa-22f0-4ba7-9f93-421c4bfedf9b}" ma:internalName="TaxCatchAll" ma:showField="CatchAllData" ma:web="b68e425f-67c7-4f4a-ad7d-1fb1331c16c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8e0c-dc74-4b71-a9e0-b2b00a23b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8e425f-67c7-4f4a-ad7d-1fb1331c16cb">
      <Value>2</Value>
    </TaxCatchAll>
    <i0f84bba906045b4af568ee102a52dcb xmlns="b68e425f-67c7-4f4a-ad7d-1fb1331c16cb">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c91ae86f-6f80-4441-a561-439e28dec06f</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AEF9D-2298-4215-87AD-523518BDF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e425f-67c7-4f4a-ad7d-1fb1331c16cb"/>
    <ds:schemaRef ds:uri="8cec8e0c-dc74-4b71-a9e0-b2b00a23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73F5C-4893-4E4C-AE66-E70F40B7D528}">
  <ds:schemaRefs>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8cec8e0c-dc74-4b71-a9e0-b2b00a23b601"/>
    <ds:schemaRef ds:uri="http://schemas.openxmlformats.org/package/2006/metadata/core-properties"/>
    <ds:schemaRef ds:uri="b68e425f-67c7-4f4a-ad7d-1fb1331c16cb"/>
    <ds:schemaRef ds:uri="http://www.w3.org/XML/1998/namespace"/>
    <ds:schemaRef ds:uri="http://purl.org/dc/dcmitype/"/>
  </ds:schemaRefs>
</ds:datastoreItem>
</file>

<file path=customXml/itemProps3.xml><?xml version="1.0" encoding="utf-8"?>
<ds:datastoreItem xmlns:ds="http://schemas.openxmlformats.org/officeDocument/2006/customXml" ds:itemID="{2C5FC449-9BFA-4793-A218-689326BED328}">
  <ds:schemaRefs>
    <ds:schemaRef ds:uri="http://schemas.openxmlformats.org/officeDocument/2006/bibliography"/>
  </ds:schemaRefs>
</ds:datastoreItem>
</file>

<file path=customXml/itemProps4.xml><?xml version="1.0" encoding="utf-8"?>
<ds:datastoreItem xmlns:ds="http://schemas.openxmlformats.org/officeDocument/2006/customXml" ds:itemID="{DACBFDD3-E17F-4CE4-8944-D80E66519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Additional detail on wealth transfers by donor, recipient and asset type (information request from the Australian Government Treasury, April 2022)</vt:lpstr>
    </vt:vector>
  </TitlesOfParts>
  <Manager/>
  <Company>Productivity Commission</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detail on wealth transfers by donor, recipient and asset type (information request from the Australian Government Treasury, April 2022)</dc:title>
  <dc:subject/>
  <dc:creator>Productivity Commission</dc:creator>
  <cp:keywords/>
  <dc:description/>
  <cp:lastModifiedBy>Dobson, Bianca</cp:lastModifiedBy>
  <cp:revision>2</cp:revision>
  <dcterms:created xsi:type="dcterms:W3CDTF">2022-04-08T04:43:00Z</dcterms:created>
  <dcterms:modified xsi:type="dcterms:W3CDTF">2022-04-08T05:32:00Z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0x010100A5107DA88BB504418B69D9967188D101</vt:lpwstr>
  </property>
  <property fmtid="{D5CDD505-2E9C-101B-9397-08002B2CF9AE}" pid="3" name="RevIMBCS">
    <vt:lpwstr>2;#Operational Activities|c91ae86f-6f80-4441-a561-439e28dec06f</vt:lpwstr>
  </property>
</Properties>
</file>