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0F34" w14:textId="7B822BC6" w:rsidR="00E642E7" w:rsidRDefault="00D310FD" w:rsidP="0031452B">
      <w:pPr>
        <w:pStyle w:val="Heading1-nobackground"/>
        <w:spacing w:before="2160" w:after="360"/>
      </w:pPr>
      <w:r>
        <w:t>The effect of</w:t>
      </w:r>
      <w:r w:rsidR="00ED4A2D">
        <w:t xml:space="preserve"> regulatory burden </w:t>
      </w:r>
      <w:r>
        <w:t>on</w:t>
      </w:r>
      <w:r w:rsidR="00ED4A2D">
        <w:t xml:space="preserve"> housing productivity and supply</w:t>
      </w:r>
    </w:p>
    <w:p w14:paraId="7B33F633" w14:textId="0E3E5D96" w:rsidR="000B51D7" w:rsidRPr="0031452B" w:rsidRDefault="000B51D7" w:rsidP="0031452B">
      <w:pPr>
        <w:pStyle w:val="Subtitle"/>
        <w:spacing w:before="0"/>
        <w:rPr>
          <w:color w:val="265A9A" w:themeColor="background2"/>
          <w:sz w:val="30"/>
          <w:szCs w:val="30"/>
        </w:rPr>
      </w:pPr>
      <w:r w:rsidRPr="0031452B">
        <w:rPr>
          <w:color w:val="265A9A" w:themeColor="background2"/>
          <w:sz w:val="30"/>
          <w:szCs w:val="30"/>
        </w:rPr>
        <w:t>PC supplementary submission</w:t>
      </w:r>
    </w:p>
    <w:p w14:paraId="200E0778" w14:textId="32208353" w:rsidR="00E153D0" w:rsidRDefault="00ED4A2D" w:rsidP="00E153D0">
      <w:pPr>
        <w:pStyle w:val="Heading2-nonumber"/>
      </w:pPr>
      <w:r>
        <w:t>Introduction</w:t>
      </w:r>
    </w:p>
    <w:p w14:paraId="0DD0015B" w14:textId="720AFE2A" w:rsidR="00ED4A2D" w:rsidRDefault="00ED4A2D" w:rsidP="00ED4A2D">
      <w:pPr>
        <w:pStyle w:val="BodyText"/>
      </w:pPr>
      <w:r>
        <w:t xml:space="preserve">The Productivity Commission welcomes the opportunity to make this supplementary submission to the Senate Select Committee on Productivity in Australia. </w:t>
      </w:r>
    </w:p>
    <w:p w14:paraId="79963A47" w14:textId="763FF389" w:rsidR="00ED4A2D" w:rsidRDefault="00ED4A2D" w:rsidP="00ED4A2D">
      <w:pPr>
        <w:pStyle w:val="BodyText"/>
      </w:pPr>
      <w:r>
        <w:t>The PC is the Australian Government’s independent research and advisory body on a range of economic, social and environmental issues affecting the welfare of Australians. Its role is to help governments make better policies, in the long-term interest of the Australian community.</w:t>
      </w:r>
    </w:p>
    <w:p w14:paraId="12B84450" w14:textId="6F68284A" w:rsidR="00ED4A2D" w:rsidRDefault="00ED4A2D" w:rsidP="00ED4A2D">
      <w:pPr>
        <w:pStyle w:val="BodyText"/>
      </w:pPr>
      <w:r>
        <w:t xml:space="preserve">This submission supplements our first submission, </w:t>
      </w:r>
      <w:r>
        <w:rPr>
          <w:i/>
          <w:iCs/>
        </w:rPr>
        <w:t>Productivity in Australia: selected policy options for a more prosperous future</w:t>
      </w:r>
      <w:r>
        <w:t xml:space="preserve">, with a focus on </w:t>
      </w:r>
      <w:r w:rsidR="00D50751">
        <w:t>regulat</w:t>
      </w:r>
      <w:r w:rsidR="00217AD0">
        <w:t>ory burden in the housing industry</w:t>
      </w:r>
      <w:r>
        <w:t>.</w:t>
      </w:r>
      <w:r w:rsidR="00E204A0">
        <w:t xml:space="preserve"> </w:t>
      </w:r>
      <w:r w:rsidR="00433565">
        <w:t>It draws on our recent work on housing</w:t>
      </w:r>
      <w:r w:rsidR="00E204A0">
        <w:t>:</w:t>
      </w:r>
    </w:p>
    <w:p w14:paraId="2FF24D68" w14:textId="0C5B749B" w:rsidR="00E204A0" w:rsidRDefault="00E204A0" w:rsidP="00E204A0">
      <w:pPr>
        <w:pStyle w:val="ListBullet"/>
      </w:pPr>
      <w:r>
        <w:rPr>
          <w:i/>
          <w:iCs/>
        </w:rPr>
        <w:t>Housing construction productivity: Can we fix it?</w:t>
      </w:r>
      <w:r>
        <w:t xml:space="preserve"> </w:t>
      </w:r>
      <w:r w:rsidR="00E451CC" w:rsidRPr="00E451CC">
        <w:rPr>
          <w:rFonts w:ascii="Arial" w:hAnsi="Arial" w:cs="Arial"/>
        </w:rPr>
        <w:t>(</w:t>
      </w:r>
      <w:r w:rsidR="00B37F01">
        <w:rPr>
          <w:rFonts w:ascii="Arial" w:hAnsi="Arial" w:cs="Arial"/>
        </w:rPr>
        <w:t xml:space="preserve">PC </w:t>
      </w:r>
      <w:r w:rsidR="00E451CC" w:rsidRPr="00E451CC">
        <w:rPr>
          <w:rFonts w:ascii="Arial" w:hAnsi="Arial" w:cs="Arial"/>
        </w:rPr>
        <w:t>2025d)</w:t>
      </w:r>
    </w:p>
    <w:p w14:paraId="0D737C4B" w14:textId="0CA71F57" w:rsidR="00E204A0" w:rsidRDefault="00E204A0" w:rsidP="00E204A0">
      <w:pPr>
        <w:pStyle w:val="ListBullet"/>
      </w:pPr>
      <w:r>
        <w:rPr>
          <w:i/>
          <w:iCs/>
        </w:rPr>
        <w:t>Creating a more dynamic and resilient economy</w:t>
      </w:r>
      <w:r>
        <w:t xml:space="preserve"> </w:t>
      </w:r>
      <w:r w:rsidR="00E451CC" w:rsidRPr="00E451CC">
        <w:rPr>
          <w:rFonts w:ascii="Arial" w:hAnsi="Arial" w:cs="Arial"/>
        </w:rPr>
        <w:t>(</w:t>
      </w:r>
      <w:r w:rsidR="00B37F01">
        <w:rPr>
          <w:rFonts w:ascii="Arial" w:hAnsi="Arial" w:cs="Arial"/>
        </w:rPr>
        <w:t xml:space="preserve">PC </w:t>
      </w:r>
      <w:r w:rsidR="00E451CC" w:rsidRPr="00E451CC">
        <w:rPr>
          <w:rFonts w:ascii="Arial" w:hAnsi="Arial" w:cs="Arial"/>
        </w:rPr>
        <w:t>2025b)</w:t>
      </w:r>
      <w:r w:rsidR="009A0787">
        <w:t>.</w:t>
      </w:r>
    </w:p>
    <w:p w14:paraId="45379245" w14:textId="70CDE3A6" w:rsidR="00C75BBC" w:rsidRPr="003E0981" w:rsidRDefault="00C75BBC" w:rsidP="00C75BBC">
      <w:pPr>
        <w:pStyle w:val="BodyText"/>
      </w:pPr>
      <w:r>
        <w:t xml:space="preserve">It also draws on our labour force work in </w:t>
      </w:r>
      <w:r>
        <w:rPr>
          <w:i/>
          <w:iCs/>
        </w:rPr>
        <w:t>Building a skilled and adapt</w:t>
      </w:r>
      <w:r w:rsidR="003E0981">
        <w:rPr>
          <w:i/>
          <w:iCs/>
        </w:rPr>
        <w:t>able</w:t>
      </w:r>
      <w:r>
        <w:rPr>
          <w:i/>
          <w:iCs/>
        </w:rPr>
        <w:t xml:space="preserve"> workforce </w:t>
      </w:r>
      <w:r w:rsidR="003E0981" w:rsidRPr="003E0981">
        <w:rPr>
          <w:rFonts w:ascii="Arial" w:hAnsi="Arial" w:cs="Arial"/>
        </w:rPr>
        <w:t>(</w:t>
      </w:r>
      <w:r w:rsidR="00B37F01">
        <w:rPr>
          <w:rFonts w:ascii="Arial" w:hAnsi="Arial" w:cs="Arial"/>
        </w:rPr>
        <w:t xml:space="preserve">PC </w:t>
      </w:r>
      <w:r w:rsidR="003E0981" w:rsidRPr="003E0981">
        <w:rPr>
          <w:rFonts w:ascii="Arial" w:hAnsi="Arial" w:cs="Arial"/>
        </w:rPr>
        <w:t>2025a)</w:t>
      </w:r>
      <w:r w:rsidR="003E0981">
        <w:t xml:space="preserve"> and </w:t>
      </w:r>
      <w:r w:rsidR="003E0981">
        <w:rPr>
          <w:i/>
          <w:iCs/>
        </w:rPr>
        <w:t xml:space="preserve">National Competition Policy </w:t>
      </w:r>
      <w:r w:rsidR="007520F4">
        <w:rPr>
          <w:i/>
          <w:iCs/>
        </w:rPr>
        <w:t>analysis 2025</w:t>
      </w:r>
      <w:r w:rsidR="003E0981">
        <w:rPr>
          <w:i/>
          <w:iCs/>
        </w:rPr>
        <w:t xml:space="preserve"> </w:t>
      </w:r>
      <w:r w:rsidR="003E0981" w:rsidRPr="003E0981">
        <w:rPr>
          <w:rFonts w:ascii="Arial" w:hAnsi="Arial" w:cs="Arial"/>
        </w:rPr>
        <w:t>(</w:t>
      </w:r>
      <w:r w:rsidR="00B37F01">
        <w:rPr>
          <w:rFonts w:ascii="Arial" w:hAnsi="Arial" w:cs="Arial"/>
        </w:rPr>
        <w:t xml:space="preserve">PC </w:t>
      </w:r>
      <w:r w:rsidR="003E0981" w:rsidRPr="003E0981">
        <w:rPr>
          <w:rFonts w:ascii="Arial" w:hAnsi="Arial" w:cs="Arial"/>
        </w:rPr>
        <w:t>2025e)</w:t>
      </w:r>
      <w:r w:rsidR="003E0981">
        <w:t>.</w:t>
      </w:r>
    </w:p>
    <w:p w14:paraId="4400D9BF" w14:textId="615C177E" w:rsidR="000B5352" w:rsidRDefault="000B5352" w:rsidP="007912F0">
      <w:pPr>
        <w:pStyle w:val="Heading2-nonumber"/>
      </w:pPr>
      <w:r>
        <w:t>How does regulatory burden impact housing productivity and supply?</w:t>
      </w:r>
    </w:p>
    <w:p w14:paraId="367B43A2" w14:textId="7A6AFFED" w:rsidR="00D310FD" w:rsidRDefault="000B5352" w:rsidP="00D310FD">
      <w:pPr>
        <w:pStyle w:val="BodyText"/>
      </w:pPr>
      <w:r>
        <w:t xml:space="preserve">The PC’s </w:t>
      </w:r>
      <w:r>
        <w:rPr>
          <w:i/>
          <w:iCs/>
        </w:rPr>
        <w:t>Housing construction productivity: Can we fix it?</w:t>
      </w:r>
      <w:r>
        <w:t xml:space="preserve"> report found that p</w:t>
      </w:r>
      <w:r w:rsidR="009A0787">
        <w:t xml:space="preserve">roductivity in the housing construction industry has </w:t>
      </w:r>
      <w:r>
        <w:t xml:space="preserve">been </w:t>
      </w:r>
      <w:r w:rsidR="00750462">
        <w:t xml:space="preserve">declining </w:t>
      </w:r>
      <w:r w:rsidR="00AD7323">
        <w:t>over the last</w:t>
      </w:r>
      <w:r w:rsidR="009A0787">
        <w:t xml:space="preserve"> 30 years</w:t>
      </w:r>
      <w:r w:rsidR="00641CDF">
        <w:t xml:space="preserve"> </w:t>
      </w:r>
      <w:r w:rsidR="00E451CC" w:rsidRPr="00E451CC">
        <w:rPr>
          <w:rFonts w:ascii="Arial" w:hAnsi="Arial" w:cs="Arial"/>
        </w:rPr>
        <w:t>(2025d, pp. 16–17)</w:t>
      </w:r>
      <w:r w:rsidR="009A0787">
        <w:t>. Over this period, the number of homes completed per hour worked by housing construction workers declined by 53%</w:t>
      </w:r>
      <w:r>
        <w:t>. A</w:t>
      </w:r>
      <w:r w:rsidR="009A0787">
        <w:t xml:space="preserve">nd </w:t>
      </w:r>
      <w:r>
        <w:t xml:space="preserve">as measured by gross value added </w:t>
      </w:r>
      <w:r w:rsidR="001576C0">
        <w:t>(GVA)</w:t>
      </w:r>
      <w:r>
        <w:t xml:space="preserve"> (a more comprehensive measure that controls for improvements in the quality and size of housing), productivity declined by 12% over that time. This contrasts with the broader economy, where labour productivity increased by 49% over the same period</w:t>
      </w:r>
      <w:r w:rsidR="00A05F2B">
        <w:t xml:space="preserve"> (figure 1)</w:t>
      </w:r>
      <w:r>
        <w:t xml:space="preserve">. </w:t>
      </w:r>
    </w:p>
    <w:p w14:paraId="65864476" w14:textId="7DF08477" w:rsidR="00D310FD" w:rsidRDefault="00D310FD" w:rsidP="00D310FD">
      <w:pPr>
        <w:pStyle w:val="BodyText"/>
      </w:pPr>
      <w:r>
        <w:t xml:space="preserve">We found several issues connected to the poor productivity performance of housing construction. One was that the process of developing and constructing new housing is subject to layers of regulations at every step, which creates significant complexity and slows the process down. For example, the average time taken to complete a single detached house in 2023-24 was about 10.4 months, up from about 6.4 months a decade earlier, and other housing types also have been taking longer to complete over the same period </w:t>
      </w:r>
      <w:r w:rsidRPr="00E451CC">
        <w:rPr>
          <w:rFonts w:ascii="Arial" w:hAnsi="Arial" w:cs="Arial"/>
        </w:rPr>
        <w:t>(PC 2025d, pp. 10–11)</w:t>
      </w:r>
      <w:r>
        <w:t>. Growing regulation means that businesses increasingly must allocate resources to dealing with regulatory compliance rather than to core business activity. This constrains productivity growth and can reduce the ability of businesses to deliver new housing.</w:t>
      </w:r>
    </w:p>
    <w:p w14:paraId="316634FF" w14:textId="63038E7E" w:rsidR="00E55D4C" w:rsidRPr="00146382" w:rsidRDefault="00E55D4C" w:rsidP="00520B58">
      <w:pPr>
        <w:pStyle w:val="FigureTableHeading"/>
      </w:pPr>
      <w:r>
        <w:lastRenderedPageBreak/>
        <w:t>Figure</w:t>
      </w:r>
      <w:r w:rsidR="00A05F2B">
        <w:t xml:space="preserve"> </w:t>
      </w:r>
      <w:r>
        <w:rPr>
          <w:noProof/>
        </w:rPr>
        <w:t xml:space="preserve">1 </w:t>
      </w:r>
      <w:r>
        <w:t xml:space="preserve">– </w:t>
      </w:r>
      <w:r w:rsidR="00AC0561">
        <w:t xml:space="preserve">Housing construction productivity is </w:t>
      </w:r>
      <w:r w:rsidR="007B4A27">
        <w:t>falling</w:t>
      </w:r>
    </w:p>
    <w:p w14:paraId="390BD934" w14:textId="42E63F09" w:rsidR="00E55D4C" w:rsidRDefault="008E48F5" w:rsidP="00520B58">
      <w:pPr>
        <w:pStyle w:val="FigureTableSubheading"/>
        <w:keepLines/>
      </w:pPr>
      <w:r>
        <w:t>Proxies for dwelling construction productivity between 1994-95 and 2022-23</w:t>
      </w:r>
    </w:p>
    <w:p w14:paraId="3A2E3265" w14:textId="17F25D03" w:rsidR="001133DD" w:rsidRDefault="00AC0561" w:rsidP="00520B58">
      <w:pPr>
        <w:pStyle w:val="Note"/>
        <w:keepLines/>
      </w:pPr>
      <w:r w:rsidRPr="00AC0561">
        <w:rPr>
          <w:noProof/>
        </w:rPr>
        <w:drawing>
          <wp:inline distT="0" distB="0" distL="0" distR="0" wp14:anchorId="3E1280A9" wp14:editId="12B090E3">
            <wp:extent cx="6120000" cy="2934582"/>
            <wp:effectExtent l="0" t="0" r="0" b="0"/>
            <wp:docPr id="119652656" name="Picture 3" descr="Figure 1 – a line graph of proxies for labour and physical productivity in the dwelling construction industry between 1994-95 and 2022-23. While whole economy labour productivity rose 49% over this period, dwelling construction labour and physical productivity fell by 12% and 53%,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2656" name="Picture 3" descr="Figure 1 – a line graph of proxies for labour and physical productivity in the dwelling construction industry between 1994-95 and 2022-23. While whole economy labour productivity rose 49% over this period, dwelling construction labour and physical productivity fell by 12% and 53%, respectively.  "/>
                    <pic:cNvPicPr>
                      <a:picLocks noChangeAspect="1" noChangeArrowheads="1"/>
                    </pic:cNvPicPr>
                  </pic:nvPicPr>
                  <pic:blipFill rotWithShape="1">
                    <a:blip r:embed="rId14">
                      <a:extLst>
                        <a:ext uri="{28A0092B-C50C-407E-A947-70E740481C1C}">
                          <a14:useLocalDpi xmlns:a14="http://schemas.microsoft.com/office/drawing/2010/main" val="0"/>
                        </a:ext>
                      </a:extLst>
                    </a:blip>
                    <a:srcRect l="2045"/>
                    <a:stretch>
                      <a:fillRect/>
                    </a:stretch>
                  </pic:blipFill>
                  <pic:spPr bwMode="auto">
                    <a:xfrm>
                      <a:off x="0" y="0"/>
                      <a:ext cx="6120000" cy="2934582"/>
                    </a:xfrm>
                    <a:prstGeom prst="rect">
                      <a:avLst/>
                    </a:prstGeom>
                    <a:noFill/>
                    <a:ln>
                      <a:noFill/>
                    </a:ln>
                    <a:extLst>
                      <a:ext uri="{53640926-AAD7-44D8-BBD7-CCE9431645EC}">
                        <a14:shadowObscured xmlns:a14="http://schemas.microsoft.com/office/drawing/2010/main"/>
                      </a:ext>
                    </a:extLst>
                  </pic:spPr>
                </pic:pic>
              </a:graphicData>
            </a:graphic>
          </wp:inline>
        </w:drawing>
      </w:r>
    </w:p>
    <w:p w14:paraId="45DF369A" w14:textId="4CF915F7" w:rsidR="009A0787" w:rsidRDefault="00E55D4C" w:rsidP="00A05F2B">
      <w:pPr>
        <w:pStyle w:val="Source"/>
      </w:pPr>
      <w:r w:rsidRPr="00696447">
        <w:t xml:space="preserve">Source: </w:t>
      </w:r>
      <w:r w:rsidR="00F27A6D">
        <w:t xml:space="preserve">PC estimates </w:t>
      </w:r>
      <w:r w:rsidR="0086389A">
        <w:t>using ABS</w:t>
      </w:r>
      <w:r w:rsidR="00DA6817">
        <w:t xml:space="preserve"> data</w:t>
      </w:r>
      <w:r w:rsidR="0086389A">
        <w:t xml:space="preserve"> </w:t>
      </w:r>
      <w:r w:rsidR="00BC1217" w:rsidRPr="00BC1217">
        <w:rPr>
          <w:rFonts w:ascii="Arial" w:hAnsi="Arial" w:cs="Arial"/>
        </w:rPr>
        <w:t>(2024a, 2024b, 2024c, 2024d)</w:t>
      </w:r>
      <w:r w:rsidR="00DA6817">
        <w:t>.</w:t>
      </w:r>
    </w:p>
    <w:p w14:paraId="40862E45" w14:textId="531415BA" w:rsidR="00EA6EF7" w:rsidRDefault="004F2563" w:rsidP="00E153D0">
      <w:pPr>
        <w:pStyle w:val="BodyText"/>
      </w:pPr>
      <w:r>
        <w:t>H</w:t>
      </w:r>
      <w:r w:rsidR="00EA6EF7">
        <w:t xml:space="preserve">ousing regulation </w:t>
      </w:r>
      <w:r w:rsidR="0038542E">
        <w:t xml:space="preserve">as well as being </w:t>
      </w:r>
      <w:r w:rsidR="0063750B">
        <w:t>voluminous, is also inconsistent</w:t>
      </w:r>
      <w:r w:rsidR="00171090">
        <w:t>.</w:t>
      </w:r>
      <w:r w:rsidR="0063750B">
        <w:t xml:space="preserve"> </w:t>
      </w:r>
      <w:r w:rsidR="00171090">
        <w:t>I</w:t>
      </w:r>
      <w:r w:rsidR="0063750B">
        <w:t xml:space="preserve">t </w:t>
      </w:r>
      <w:r w:rsidR="00EA6EF7">
        <w:t>differs in content and scope at every level of government</w:t>
      </w:r>
      <w:r w:rsidR="00830323">
        <w:t xml:space="preserve">, and across jurisdictions. </w:t>
      </w:r>
      <w:r w:rsidR="00C30037">
        <w:t>This</w:t>
      </w:r>
      <w:r w:rsidR="00500FBC">
        <w:t xml:space="preserve"> </w:t>
      </w:r>
      <w:r w:rsidR="009A2FC3">
        <w:t>inconsistency</w:t>
      </w:r>
      <w:r w:rsidR="00C30037">
        <w:t xml:space="preserve"> helps reinforce an industry landscape that is highly fragmented, with many small, localised firms that commonly rely on subcontracting. </w:t>
      </w:r>
      <w:r w:rsidR="00703519">
        <w:t>Very small businesses have limited opportunity to benefit from</w:t>
      </w:r>
      <w:r w:rsidR="00917DA4">
        <w:t xml:space="preserve"> economies of scale and </w:t>
      </w:r>
      <w:proofErr w:type="gramStart"/>
      <w:r w:rsidR="00917DA4">
        <w:t>scope, and</w:t>
      </w:r>
      <w:proofErr w:type="gramEnd"/>
      <w:r w:rsidR="00917DA4">
        <w:t xml:space="preserve"> </w:t>
      </w:r>
      <w:r w:rsidR="001F328E">
        <w:t>find it harder</w:t>
      </w:r>
      <w:r w:rsidR="00FC65B5">
        <w:t xml:space="preserve"> to access and invest</w:t>
      </w:r>
      <w:r w:rsidR="00917DA4">
        <w:t xml:space="preserve"> in productivity-enhancing innovations. These factors make it </w:t>
      </w:r>
      <w:r w:rsidR="001F328E">
        <w:t>difficult</w:t>
      </w:r>
      <w:r w:rsidR="00917DA4">
        <w:t xml:space="preserve"> for businesses to grow and become more </w:t>
      </w:r>
      <w:r w:rsidR="00621536">
        <w:t xml:space="preserve">productive, and </w:t>
      </w:r>
      <w:r w:rsidR="005F1526">
        <w:t>can therefore indirectly constrain housing supply</w:t>
      </w:r>
      <w:r w:rsidR="00621536">
        <w:t>.</w:t>
      </w:r>
    </w:p>
    <w:p w14:paraId="2D6F317E" w14:textId="64DE9B80" w:rsidR="00882B5A" w:rsidRDefault="007F385E" w:rsidP="00E153D0">
      <w:pPr>
        <w:pStyle w:val="BodyText"/>
      </w:pPr>
      <w:r>
        <w:t xml:space="preserve">The PC </w:t>
      </w:r>
      <w:r w:rsidR="004C3998">
        <w:t>also looked at regulatory burden in the housing industry in</w:t>
      </w:r>
      <w:r>
        <w:t xml:space="preserve"> </w:t>
      </w:r>
      <w:r w:rsidR="00405086">
        <w:t xml:space="preserve">our </w:t>
      </w:r>
      <w:r w:rsidR="00405086">
        <w:rPr>
          <w:i/>
          <w:iCs/>
        </w:rPr>
        <w:t>Creating a more dynamic and resilient economy</w:t>
      </w:r>
      <w:r w:rsidR="00405086">
        <w:t xml:space="preserve"> inquiry report</w:t>
      </w:r>
      <w:r w:rsidR="00AB0741">
        <w:t xml:space="preserve"> </w:t>
      </w:r>
      <w:r w:rsidR="00E451CC" w:rsidRPr="00E451CC">
        <w:rPr>
          <w:rFonts w:ascii="Arial" w:hAnsi="Arial" w:cs="Arial"/>
        </w:rPr>
        <w:t>(PC 2025b)</w:t>
      </w:r>
      <w:r w:rsidR="00405086">
        <w:t xml:space="preserve">. </w:t>
      </w:r>
      <w:r w:rsidR="00CE4063" w:rsidRPr="00CE4063">
        <w:t>While many regulations are appropriate to ensure the safety, quality and liveability of new housing stock</w:t>
      </w:r>
      <w:r w:rsidR="00CE4063">
        <w:t xml:space="preserve">, </w:t>
      </w:r>
      <w:r w:rsidR="0037418B">
        <w:t xml:space="preserve">the overall cumulative effect </w:t>
      </w:r>
      <w:r w:rsidR="009147CB">
        <w:t xml:space="preserve">is significant </w:t>
      </w:r>
      <w:r w:rsidR="001E147A">
        <w:t>–</w:t>
      </w:r>
      <w:r w:rsidR="009147CB">
        <w:t xml:space="preserve"> w</w:t>
      </w:r>
      <w:r w:rsidR="004C3998">
        <w:t>e estimated that regulation</w:t>
      </w:r>
      <w:r w:rsidR="003F2845">
        <w:t xml:space="preserve"> adds between $135,000 to $320,000 to the cost of the average new house, and $40,000 to $175,000 to the cost of the average new unit</w:t>
      </w:r>
      <w:r w:rsidR="009147CB">
        <w:t xml:space="preserve">. This </w:t>
      </w:r>
      <w:r w:rsidR="00675190">
        <w:t>equat</w:t>
      </w:r>
      <w:r w:rsidR="009147CB">
        <w:t>es</w:t>
      </w:r>
      <w:r w:rsidR="00675190">
        <w:t xml:space="preserve"> to about $28.6 billion per year (or about 1% of</w:t>
      </w:r>
      <w:r w:rsidR="00D02BB2">
        <w:t xml:space="preserve"> Australia’s</w:t>
      </w:r>
      <w:r w:rsidR="00675190">
        <w:t xml:space="preserve"> total GDP</w:t>
      </w:r>
      <w:r w:rsidR="00D02BB2">
        <w:t xml:space="preserve"> in 2025</w:t>
      </w:r>
      <w:r w:rsidR="00675190">
        <w:t>)</w:t>
      </w:r>
      <w:r w:rsidR="00882B5A">
        <w:t xml:space="preserve"> in total regulatory burden across the industry</w:t>
      </w:r>
      <w:r w:rsidR="0041752B">
        <w:t xml:space="preserve"> </w:t>
      </w:r>
      <w:r w:rsidR="00E451CC" w:rsidRPr="00E451CC">
        <w:rPr>
          <w:rFonts w:ascii="Arial" w:hAnsi="Arial" w:cs="Arial"/>
        </w:rPr>
        <w:t>(PC 2025b, p. 45)</w:t>
      </w:r>
      <w:r w:rsidR="00675190">
        <w:t>.</w:t>
      </w:r>
    </w:p>
    <w:p w14:paraId="4B79D270" w14:textId="32EEFEC9" w:rsidR="008D6F62" w:rsidRDefault="00291876" w:rsidP="00E153D0">
      <w:pPr>
        <w:pStyle w:val="BodyText"/>
      </w:pPr>
      <w:r>
        <w:t>We divided the costs of regulation into sub-categories:</w:t>
      </w:r>
    </w:p>
    <w:p w14:paraId="764DEE0F" w14:textId="7CC20A05" w:rsidR="005E169C" w:rsidRDefault="001C58B9" w:rsidP="001C58B9">
      <w:pPr>
        <w:pStyle w:val="ListBullet"/>
      </w:pPr>
      <w:r w:rsidRPr="00BF48C6">
        <w:rPr>
          <w:b/>
          <w:bCs/>
        </w:rPr>
        <w:t>zoning and land purchase</w:t>
      </w:r>
      <w:r>
        <w:t xml:space="preserve">: </w:t>
      </w:r>
      <w:r w:rsidR="005D7546">
        <w:t>the land value premium attributed to zoning regulation</w:t>
      </w:r>
    </w:p>
    <w:p w14:paraId="26509FAB" w14:textId="057CB62F" w:rsidR="005D7546" w:rsidRDefault="005D7546" w:rsidP="001C58B9">
      <w:pPr>
        <w:pStyle w:val="ListBullet"/>
      </w:pPr>
      <w:r w:rsidRPr="00BF48C6">
        <w:rPr>
          <w:b/>
          <w:bCs/>
        </w:rPr>
        <w:t>development or planning approval</w:t>
      </w:r>
      <w:r>
        <w:t xml:space="preserve">: </w:t>
      </w:r>
      <w:r w:rsidR="00FE326A">
        <w:t>costs of due diligence, preparation of applications, fees for approval and holding costs of delays</w:t>
      </w:r>
    </w:p>
    <w:p w14:paraId="0D714061" w14:textId="0D873BF8" w:rsidR="00FE326A" w:rsidRDefault="00A8236B" w:rsidP="001C58B9">
      <w:pPr>
        <w:pStyle w:val="ListBullet"/>
      </w:pPr>
      <w:r w:rsidRPr="00BF48C6">
        <w:rPr>
          <w:b/>
          <w:bCs/>
        </w:rPr>
        <w:t>construction process:</w:t>
      </w:r>
      <w:r>
        <w:t xml:space="preserve"> costs of materials, labour, safety equipment, worker training and licensing, </w:t>
      </w:r>
      <w:r w:rsidR="006E2279">
        <w:t>that would not be incurred in the absence of the regulations</w:t>
      </w:r>
    </w:p>
    <w:p w14:paraId="5FD5772C" w14:textId="69F5B2BD" w:rsidR="006E2279" w:rsidRDefault="006E2279" w:rsidP="001C58B9">
      <w:pPr>
        <w:pStyle w:val="ListBullet"/>
      </w:pPr>
      <w:r w:rsidRPr="00BF48C6">
        <w:rPr>
          <w:b/>
          <w:bCs/>
        </w:rPr>
        <w:t>quality assurance, certification and titling:</w:t>
      </w:r>
      <w:r>
        <w:t xml:space="preserve"> costs of compliance inspections, </w:t>
      </w:r>
      <w:r w:rsidR="00BF48C6">
        <w:t>inspection for certificate of occupancy, holding costs for delays</w:t>
      </w:r>
      <w:r w:rsidR="008D690E">
        <w:t xml:space="preserve"> and</w:t>
      </w:r>
      <w:r w:rsidR="00BF48C6">
        <w:t xml:space="preserve"> government processing of subdivision.</w:t>
      </w:r>
    </w:p>
    <w:p w14:paraId="7050BB3F" w14:textId="007E03E8" w:rsidR="00BF48C6" w:rsidRDefault="00A00416" w:rsidP="00BF48C6">
      <w:pPr>
        <w:pStyle w:val="BodyText"/>
      </w:pPr>
      <w:r>
        <w:t xml:space="preserve">For the construction of new houses, the largest component of regulatory cost was zoning and land purchases, </w:t>
      </w:r>
      <w:r w:rsidR="000103A7">
        <w:t>ranging from an estimated $115,000 to $165,000</w:t>
      </w:r>
      <w:r w:rsidR="004F4BF2">
        <w:t xml:space="preserve"> per home. For new apartments, the largest regulatory burden came from </w:t>
      </w:r>
      <w:r w:rsidR="00434832">
        <w:t>the development or planning approval process</w:t>
      </w:r>
      <w:r w:rsidR="007D6F31">
        <w:t xml:space="preserve">, ranging from an estimated $10,500 to </w:t>
      </w:r>
      <w:r w:rsidR="004D45E4">
        <w:t>$56,560 per apartment</w:t>
      </w:r>
      <w:r w:rsidR="00885D47">
        <w:t xml:space="preserve"> </w:t>
      </w:r>
      <w:r w:rsidR="00E451CC" w:rsidRPr="00E451CC">
        <w:rPr>
          <w:rFonts w:ascii="Arial" w:hAnsi="Arial" w:cs="Arial"/>
        </w:rPr>
        <w:t>(PC 2025b, pp. 184–185)</w:t>
      </w:r>
      <w:r w:rsidR="004D45E4">
        <w:t>.</w:t>
      </w:r>
    </w:p>
    <w:p w14:paraId="4713E227" w14:textId="174234BD" w:rsidR="0056521F" w:rsidRPr="00405086" w:rsidRDefault="003B29A1" w:rsidP="00E153D0">
      <w:pPr>
        <w:pStyle w:val="BodyText"/>
      </w:pPr>
      <w:r>
        <w:lastRenderedPageBreak/>
        <w:t>In th</w:t>
      </w:r>
      <w:r w:rsidR="003E2216">
        <w:t>e</w:t>
      </w:r>
      <w:r>
        <w:t xml:space="preserve"> inquiry, </w:t>
      </w:r>
      <w:r w:rsidR="00F407ED">
        <w:t>many</w:t>
      </w:r>
      <w:r>
        <w:t xml:space="preserve"> participants raised concerns about the size of regulatory burden in the housing construction and development industry</w:t>
      </w:r>
      <w:r w:rsidR="006C7DBA">
        <w:t xml:space="preserve">. </w:t>
      </w:r>
      <w:r w:rsidR="0037604E">
        <w:t xml:space="preserve">They raised several priorities for regulatory reform, including </w:t>
      </w:r>
      <w:r w:rsidR="00793D1C">
        <w:t>modernisation</w:t>
      </w:r>
      <w:r w:rsidR="00C05785">
        <w:t xml:space="preserve"> and harmonisation of construction regulations, streamlining of planning and building regulations, and faster certification and compliance pathways</w:t>
      </w:r>
      <w:r w:rsidR="00722390">
        <w:t xml:space="preserve"> </w:t>
      </w:r>
      <w:r w:rsidR="00E451CC" w:rsidRPr="00E451CC">
        <w:rPr>
          <w:rFonts w:ascii="Arial" w:hAnsi="Arial" w:cs="Arial"/>
        </w:rPr>
        <w:t>(PC 2025c, p. 25)</w:t>
      </w:r>
      <w:r w:rsidR="00456C18">
        <w:t>.</w:t>
      </w:r>
    </w:p>
    <w:p w14:paraId="251257C9" w14:textId="77777777" w:rsidR="00E153D0" w:rsidRDefault="00E153D0" w:rsidP="00E153D0">
      <w:pPr>
        <w:pStyle w:val="Heading2-nonumber"/>
      </w:pPr>
      <w:r>
        <w:t>What governments can do</w:t>
      </w:r>
    </w:p>
    <w:p w14:paraId="4511210C" w14:textId="639108C3" w:rsidR="00517094" w:rsidRDefault="00852E26" w:rsidP="00E153D0">
      <w:pPr>
        <w:pStyle w:val="BodyText"/>
      </w:pPr>
      <w:r>
        <w:t>There are several priorit</w:t>
      </w:r>
      <w:r w:rsidR="00AE3026">
        <w:t>ies</w:t>
      </w:r>
      <w:r w:rsidR="00545720">
        <w:t xml:space="preserve"> for reform to support productivity growth and housing supply in Australia.</w:t>
      </w:r>
    </w:p>
    <w:p w14:paraId="6D366BC4" w14:textId="03BFB14E" w:rsidR="00545720" w:rsidRPr="00E3438E" w:rsidRDefault="00FB2F3D" w:rsidP="00545720">
      <w:pPr>
        <w:pStyle w:val="ListBullet"/>
        <w:rPr>
          <w:spacing w:val="-2"/>
        </w:rPr>
      </w:pPr>
      <w:r w:rsidRPr="00E3438E">
        <w:rPr>
          <w:b/>
          <w:bCs/>
          <w:spacing w:val="-2"/>
        </w:rPr>
        <w:t>Improve coordination between decision makers in the development approval process.</w:t>
      </w:r>
      <w:r w:rsidRPr="00E3438E">
        <w:rPr>
          <w:spacing w:val="-2"/>
        </w:rPr>
        <w:t xml:space="preserve"> </w:t>
      </w:r>
      <w:r w:rsidR="005C4C1F" w:rsidRPr="00E3438E">
        <w:rPr>
          <w:spacing w:val="-2"/>
        </w:rPr>
        <w:t xml:space="preserve">Governments should consider setting up coordination bodies, </w:t>
      </w:r>
      <w:proofErr w:type="gramStart"/>
      <w:r w:rsidR="005C4C1F" w:rsidRPr="00E3438E">
        <w:rPr>
          <w:spacing w:val="-2"/>
        </w:rPr>
        <w:t>s</w:t>
      </w:r>
      <w:r w:rsidR="00811E19" w:rsidRPr="00E3438E">
        <w:rPr>
          <w:spacing w:val="-2"/>
        </w:rPr>
        <w:t>imilar to</w:t>
      </w:r>
      <w:proofErr w:type="gramEnd"/>
      <w:r w:rsidR="00811E19" w:rsidRPr="00E3438E">
        <w:rPr>
          <w:spacing w:val="-2"/>
        </w:rPr>
        <w:t xml:space="preserve"> the State Assessment and Referral Agency</w:t>
      </w:r>
      <w:r w:rsidR="00186946" w:rsidRPr="00E3438E">
        <w:rPr>
          <w:spacing w:val="-2"/>
        </w:rPr>
        <w:t xml:space="preserve"> in Queensland, to coordinate and speed up approvals. </w:t>
      </w:r>
      <w:r w:rsidR="00772E8B" w:rsidRPr="00E3438E">
        <w:rPr>
          <w:spacing w:val="-2"/>
        </w:rPr>
        <w:t xml:space="preserve">Governments also need to provide enough resourcing for </w:t>
      </w:r>
      <w:r w:rsidR="00307A59" w:rsidRPr="00E3438E">
        <w:rPr>
          <w:spacing w:val="-2"/>
        </w:rPr>
        <w:t>local councils,</w:t>
      </w:r>
      <w:r w:rsidR="00772E8B" w:rsidRPr="00E3438E">
        <w:rPr>
          <w:spacing w:val="-2"/>
        </w:rPr>
        <w:t xml:space="preserve"> regulators and service providers to allow timely approval decisions and </w:t>
      </w:r>
      <w:r w:rsidR="00CB2AF0" w:rsidRPr="00E3438E">
        <w:rPr>
          <w:spacing w:val="-2"/>
        </w:rPr>
        <w:t>ensure accountability (for example, by setting performance targets for approval decisions)</w:t>
      </w:r>
      <w:r w:rsidR="00A4469D" w:rsidRPr="00E3438E">
        <w:rPr>
          <w:spacing w:val="-2"/>
        </w:rPr>
        <w:t xml:space="preserve"> </w:t>
      </w:r>
      <w:r w:rsidR="00E451CC" w:rsidRPr="00E3438E">
        <w:rPr>
          <w:rFonts w:cs="Arial"/>
          <w:spacing w:val="-2"/>
        </w:rPr>
        <w:t>(PC 2025d, p. 7)</w:t>
      </w:r>
      <w:r w:rsidR="00CB2AF0" w:rsidRPr="00E3438E">
        <w:rPr>
          <w:spacing w:val="-2"/>
        </w:rPr>
        <w:t>.</w:t>
      </w:r>
    </w:p>
    <w:p w14:paraId="75E4F06C" w14:textId="3C3AEC5E" w:rsidR="00C32FE4" w:rsidRDefault="00EB50D7" w:rsidP="00545720">
      <w:pPr>
        <w:pStyle w:val="ListBullet"/>
      </w:pPr>
      <w:r>
        <w:rPr>
          <w:b/>
          <w:bCs/>
        </w:rPr>
        <w:t xml:space="preserve">Review </w:t>
      </w:r>
      <w:r w:rsidR="00E87D0A">
        <w:rPr>
          <w:b/>
          <w:bCs/>
        </w:rPr>
        <w:t>problematic areas of regulation.</w:t>
      </w:r>
      <w:r w:rsidR="00E87D0A">
        <w:t xml:space="preserve"> </w:t>
      </w:r>
      <w:r w:rsidR="000968DD" w:rsidRPr="000968DD">
        <w:t xml:space="preserve">While safety and quality benefits </w:t>
      </w:r>
      <w:r w:rsidR="000968DD">
        <w:t xml:space="preserve">of </w:t>
      </w:r>
      <w:r w:rsidR="005E0B8A">
        <w:t xml:space="preserve">housing </w:t>
      </w:r>
      <w:r w:rsidR="000968DD">
        <w:t xml:space="preserve">regulation </w:t>
      </w:r>
      <w:r w:rsidR="000968DD" w:rsidRPr="000968DD">
        <w:t>are important</w:t>
      </w:r>
      <w:r w:rsidR="000968DD">
        <w:t>, s</w:t>
      </w:r>
      <w:r w:rsidR="006C4510">
        <w:t xml:space="preserve">pecific areas need reviewing to identify ways to streamline requirements and remove unnecessary barriers to increasing housing supply. </w:t>
      </w:r>
    </w:p>
    <w:p w14:paraId="1FAAB424" w14:textId="573B9B22" w:rsidR="00C32FE4" w:rsidRDefault="00581CBD" w:rsidP="00C32FE4">
      <w:pPr>
        <w:pStyle w:val="ListBullet2"/>
      </w:pPr>
      <w:r>
        <w:t>Our housing construction productivity work</w:t>
      </w:r>
      <w:r w:rsidR="00701733">
        <w:t xml:space="preserve"> found that the National Construction Code is one such area, with inconsistent application across states and territories, </w:t>
      </w:r>
      <w:r w:rsidR="00F34B43">
        <w:t>and significant volumes of requirements that builders must comply with. In December 2025, Treasury announced a review of the Code</w:t>
      </w:r>
      <w:r w:rsidR="00D242D2">
        <w:t xml:space="preserve">, which </w:t>
      </w:r>
      <w:r w:rsidR="004A020E">
        <w:t xml:space="preserve">is intended </w:t>
      </w:r>
      <w:r w:rsidR="004F316C">
        <w:t xml:space="preserve">to </w:t>
      </w:r>
      <w:r w:rsidR="00D242D2">
        <w:t>identify ways to streamline it and ensure it remains fit for purpose</w:t>
      </w:r>
      <w:r w:rsidR="005D379B">
        <w:t xml:space="preserve"> </w:t>
      </w:r>
      <w:r w:rsidR="005D379B" w:rsidRPr="005D379B">
        <w:rPr>
          <w:rFonts w:ascii="Arial" w:hAnsi="Arial" w:cs="Arial"/>
        </w:rPr>
        <w:t>(Treasury 2025)</w:t>
      </w:r>
      <w:r w:rsidR="00D242D2">
        <w:t xml:space="preserve">. </w:t>
      </w:r>
    </w:p>
    <w:p w14:paraId="68D776D3" w14:textId="174EEC1E" w:rsidR="00AA2D2A" w:rsidRDefault="00C32FE4" w:rsidP="00C83E5F">
      <w:pPr>
        <w:pStyle w:val="ListBullet2"/>
      </w:pPr>
      <w:r>
        <w:t>In our</w:t>
      </w:r>
      <w:r w:rsidR="00581CBD">
        <w:t xml:space="preserve"> </w:t>
      </w:r>
      <w:r w:rsidR="00581CBD">
        <w:rPr>
          <w:i/>
          <w:iCs/>
        </w:rPr>
        <w:t>Creating a more dynamic and resilient economy</w:t>
      </w:r>
      <w:r>
        <w:rPr>
          <w:i/>
          <w:iCs/>
        </w:rPr>
        <w:t xml:space="preserve"> </w:t>
      </w:r>
      <w:r>
        <w:t>report</w:t>
      </w:r>
      <w:r w:rsidR="00581CBD">
        <w:t xml:space="preserve">, we </w:t>
      </w:r>
      <w:r w:rsidR="00A62C6A">
        <w:t xml:space="preserve">suggested that the Australian Government should commission an independent review </w:t>
      </w:r>
      <w:r w:rsidR="005A27D4">
        <w:t xml:space="preserve">into housing regulation, based on feedback from participants that </w:t>
      </w:r>
      <w:r w:rsidR="00E23F43">
        <w:t>the complexity of regulations contributed a great deal to reduced housing affordability and supply</w:t>
      </w:r>
      <w:r w:rsidR="004E65AE">
        <w:t xml:space="preserve"> </w:t>
      </w:r>
      <w:r w:rsidR="00E451CC" w:rsidRPr="00E451CC">
        <w:rPr>
          <w:rFonts w:ascii="Arial" w:hAnsi="Arial" w:cs="Arial"/>
        </w:rPr>
        <w:t>(PC 2025b, pp. 44–45)</w:t>
      </w:r>
      <w:r w:rsidR="00E23F43">
        <w:t>.</w:t>
      </w:r>
    </w:p>
    <w:p w14:paraId="57D5580E" w14:textId="399F3EEA" w:rsidR="006E79E7" w:rsidRDefault="00482FFF" w:rsidP="00545720">
      <w:pPr>
        <w:pStyle w:val="ListBullet"/>
      </w:pPr>
      <w:r>
        <w:rPr>
          <w:b/>
          <w:bCs/>
        </w:rPr>
        <w:t xml:space="preserve">Remove barriers to </w:t>
      </w:r>
      <w:proofErr w:type="gramStart"/>
      <w:r>
        <w:rPr>
          <w:b/>
          <w:bCs/>
        </w:rPr>
        <w:t>innovation, and</w:t>
      </w:r>
      <w:proofErr w:type="gramEnd"/>
      <w:r>
        <w:rPr>
          <w:b/>
          <w:bCs/>
        </w:rPr>
        <w:t xml:space="preserve"> invest in it.</w:t>
      </w:r>
      <w:r>
        <w:t xml:space="preserve"> </w:t>
      </w:r>
      <w:r w:rsidR="00D76E79">
        <w:t xml:space="preserve">We recommended in </w:t>
      </w:r>
      <w:r w:rsidR="00920EA7">
        <w:rPr>
          <w:i/>
          <w:iCs/>
        </w:rPr>
        <w:t xml:space="preserve">Housing </w:t>
      </w:r>
      <w:r w:rsidR="00A74BB5" w:rsidRPr="00A74BB5">
        <w:rPr>
          <w:i/>
          <w:iCs/>
        </w:rPr>
        <w:t>construction productivity: Can we fix it?</w:t>
      </w:r>
      <w:r w:rsidR="00D76E79">
        <w:t xml:space="preserve"> that governments should </w:t>
      </w:r>
      <w:r w:rsidR="009F17C2">
        <w:t>consider how to address</w:t>
      </w:r>
      <w:r>
        <w:t xml:space="preserve"> unnecessary regulatory barriers to the development and </w:t>
      </w:r>
      <w:r w:rsidR="008B0F93">
        <w:t>uptake of modern methods of construction</w:t>
      </w:r>
      <w:r w:rsidR="009F17C2">
        <w:t xml:space="preserve"> </w:t>
      </w:r>
      <w:r w:rsidR="00CF30ED" w:rsidRPr="00CF30ED">
        <w:rPr>
          <w:rFonts w:ascii="Arial" w:hAnsi="Arial" w:cs="Arial"/>
        </w:rPr>
        <w:t>(PC 2025d, pp. 56–57)</w:t>
      </w:r>
      <w:r w:rsidR="008B0F93">
        <w:t xml:space="preserve">. </w:t>
      </w:r>
      <w:r w:rsidR="00AA6783">
        <w:t xml:space="preserve">The Australian Building Codes Board has since </w:t>
      </w:r>
      <w:r w:rsidR="00F4524D">
        <w:t>announce</w:t>
      </w:r>
      <w:r w:rsidR="00AA6783">
        <w:t>d</w:t>
      </w:r>
      <w:r w:rsidR="00F4524D">
        <w:t xml:space="preserve"> that</w:t>
      </w:r>
      <w:r w:rsidR="00AA6783">
        <w:t xml:space="preserve"> it is </w:t>
      </w:r>
      <w:r w:rsidR="006653BC">
        <w:t xml:space="preserve">working to develop nationally consistent definitions for modern methods of construction and a voluntary certification scheme, to support </w:t>
      </w:r>
      <w:r w:rsidR="002C21CF">
        <w:t xml:space="preserve">the uptake of modern </w:t>
      </w:r>
      <w:r w:rsidR="00AE058D">
        <w:t>methods of construction</w:t>
      </w:r>
      <w:r w:rsidR="002C21CF">
        <w:t xml:space="preserve"> that also aligns with the National Construction Code</w:t>
      </w:r>
      <w:r w:rsidR="001C6997">
        <w:t xml:space="preserve"> </w:t>
      </w:r>
      <w:r w:rsidR="001C6997" w:rsidRPr="001C6997">
        <w:rPr>
          <w:rFonts w:ascii="Arial" w:hAnsi="Arial" w:cs="Arial"/>
        </w:rPr>
        <w:t>(ABCB 2025)</w:t>
      </w:r>
      <w:r w:rsidR="002C21CF">
        <w:t xml:space="preserve">. </w:t>
      </w:r>
      <w:r w:rsidR="009618B4">
        <w:t>Governments should also consider whether</w:t>
      </w:r>
      <w:r w:rsidR="00232D22">
        <w:t xml:space="preserve"> public research and development funding for housing construction </w:t>
      </w:r>
      <w:r w:rsidR="009618B4">
        <w:t>is adequate</w:t>
      </w:r>
      <w:r w:rsidR="00C557FE">
        <w:t xml:space="preserve"> </w:t>
      </w:r>
      <w:r w:rsidR="00E451CC" w:rsidRPr="00E451CC">
        <w:rPr>
          <w:rFonts w:ascii="Arial" w:hAnsi="Arial" w:cs="Arial"/>
        </w:rPr>
        <w:t>(PC 2025d, p. 8)</w:t>
      </w:r>
      <w:r w:rsidR="00232D22">
        <w:t>.</w:t>
      </w:r>
    </w:p>
    <w:p w14:paraId="4520F45F" w14:textId="5C2DBA01" w:rsidR="00A91551" w:rsidRPr="00E153D0" w:rsidRDefault="00232D22" w:rsidP="00E153D0">
      <w:pPr>
        <w:pStyle w:val="ListBullet"/>
      </w:pPr>
      <w:r w:rsidRPr="004A0E31">
        <w:rPr>
          <w:b/>
          <w:bCs/>
        </w:rPr>
        <w:t>Improv</w:t>
      </w:r>
      <w:r w:rsidR="00F2015B">
        <w:rPr>
          <w:b/>
          <w:bCs/>
        </w:rPr>
        <w:t>e</w:t>
      </w:r>
      <w:r w:rsidRPr="004A0E31">
        <w:rPr>
          <w:b/>
          <w:bCs/>
        </w:rPr>
        <w:t xml:space="preserve"> workforce mobility and flexibility.</w:t>
      </w:r>
      <w:r>
        <w:t xml:space="preserve"> </w:t>
      </w:r>
      <w:r w:rsidR="00802030">
        <w:t>T</w:t>
      </w:r>
      <w:r w:rsidR="00920FCF">
        <w:t xml:space="preserve">he construction industry is hampered by workforce shortages. </w:t>
      </w:r>
      <w:r w:rsidR="00C62EAB">
        <w:t>Governments should make it easier for workers in the industry to move around, by working towards national consistency in occupational licensing and regularly review</w:t>
      </w:r>
      <w:r w:rsidR="00FF0776">
        <w:t>ing</w:t>
      </w:r>
      <w:r w:rsidR="00C62EAB">
        <w:t xml:space="preserve"> licensing systems</w:t>
      </w:r>
      <w:r w:rsidR="007A6108">
        <w:t xml:space="preserve"> </w:t>
      </w:r>
      <w:r w:rsidR="006B3B38" w:rsidRPr="006B3B38">
        <w:rPr>
          <w:rFonts w:ascii="Arial" w:hAnsi="Arial" w:cs="Arial"/>
        </w:rPr>
        <w:t>(PC 2025e, p. 18, 2025a, p. 97)</w:t>
      </w:r>
      <w:r w:rsidR="00C62EAB">
        <w:t>.</w:t>
      </w:r>
      <w:r w:rsidR="004A0E31">
        <w:t xml:space="preserve"> Governments can also review barriers to migration and </w:t>
      </w:r>
      <w:r w:rsidR="003B00D4">
        <w:t xml:space="preserve">worker </w:t>
      </w:r>
      <w:r w:rsidR="004A0E31">
        <w:t xml:space="preserve">training to improve the skilled labour pool </w:t>
      </w:r>
      <w:r w:rsidR="00182FA9">
        <w:t>to contribute to</w:t>
      </w:r>
      <w:r w:rsidR="004A0E31">
        <w:t xml:space="preserve"> housing supply</w:t>
      </w:r>
      <w:r w:rsidR="007A6108">
        <w:t xml:space="preserve"> </w:t>
      </w:r>
      <w:r w:rsidR="007A6108" w:rsidRPr="004A0E31">
        <w:rPr>
          <w:rFonts w:ascii="Arial" w:hAnsi="Arial" w:cs="Arial"/>
        </w:rPr>
        <w:t>(PC 2025a, p</w:t>
      </w:r>
      <w:r w:rsidR="00595713">
        <w:rPr>
          <w:rFonts w:ascii="Arial" w:hAnsi="Arial" w:cs="Arial"/>
        </w:rPr>
        <w:t>p</w:t>
      </w:r>
      <w:r w:rsidR="007A6108" w:rsidRPr="004A0E31">
        <w:rPr>
          <w:rFonts w:ascii="Arial" w:hAnsi="Arial" w:cs="Arial"/>
        </w:rPr>
        <w:t>. 93</w:t>
      </w:r>
      <w:r w:rsidR="00595713" w:rsidRPr="00CF30ED">
        <w:rPr>
          <w:rFonts w:ascii="Arial" w:hAnsi="Arial" w:cs="Arial"/>
        </w:rPr>
        <w:t>–</w:t>
      </w:r>
      <w:r w:rsidR="00595713">
        <w:rPr>
          <w:rFonts w:ascii="Arial" w:hAnsi="Arial" w:cs="Arial"/>
        </w:rPr>
        <w:t>94</w:t>
      </w:r>
      <w:r w:rsidR="007A6108" w:rsidRPr="004A0E31">
        <w:rPr>
          <w:rFonts w:ascii="Arial" w:hAnsi="Arial" w:cs="Arial"/>
        </w:rPr>
        <w:t>)</w:t>
      </w:r>
      <w:r w:rsidR="004A0E31">
        <w:t>.</w:t>
      </w:r>
      <w:r w:rsidR="006D0F1F">
        <w:t xml:space="preserve"> </w:t>
      </w:r>
    </w:p>
    <w:p w14:paraId="6F1CE232" w14:textId="77777777" w:rsidR="006130AF" w:rsidRPr="00CC01A2" w:rsidRDefault="006130AF" w:rsidP="00CC01A2">
      <w:pPr>
        <w:pStyle w:val="BodyText"/>
      </w:pPr>
      <w:r w:rsidRPr="00CC01A2">
        <w:br w:type="page"/>
      </w:r>
    </w:p>
    <w:p w14:paraId="1C4BC7D7" w14:textId="39683DF0" w:rsidR="00A91551" w:rsidRDefault="001B5F81" w:rsidP="00D44558">
      <w:pPr>
        <w:pStyle w:val="Heading2-nonumber"/>
      </w:pPr>
      <w:r>
        <w:lastRenderedPageBreak/>
        <w:t>R</w:t>
      </w:r>
      <w:r w:rsidR="00A91551">
        <w:t>eference</w:t>
      </w:r>
      <w:r>
        <w:t>s</w:t>
      </w:r>
    </w:p>
    <w:p w14:paraId="1F21AA41" w14:textId="77777777" w:rsidR="0055257B" w:rsidRDefault="0055257B" w:rsidP="0055257B">
      <w:pPr>
        <w:pStyle w:val="Bibliography"/>
        <w:sectPr w:rsidR="0055257B" w:rsidSect="00FA4912">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794" w:footer="510" w:gutter="0"/>
          <w:cols w:space="708"/>
          <w:titlePg/>
          <w:docGrid w:linePitch="360"/>
        </w:sectPr>
      </w:pPr>
    </w:p>
    <w:p w14:paraId="7DFE2249" w14:textId="644D6616" w:rsidR="00CF30ED" w:rsidRPr="00CF30ED" w:rsidRDefault="00CF30ED" w:rsidP="00027BA6">
      <w:pPr>
        <w:pStyle w:val="Reference"/>
      </w:pPr>
      <w:r w:rsidRPr="00CF30ED">
        <w:t xml:space="preserve">ABCB (Australian Building Codes Board) 2025, </w:t>
      </w:r>
      <w:r w:rsidRPr="00CF30ED">
        <w:rPr>
          <w:i/>
          <w:iCs/>
        </w:rPr>
        <w:t>Modern methods of construction</w:t>
      </w:r>
      <w:r w:rsidRPr="00CF30ED">
        <w:t>, Australian Government, https://www.abcb.gov.au/faq/modern-methods-construction (accessed 19 March 2026).</w:t>
      </w:r>
    </w:p>
    <w:p w14:paraId="19763A77" w14:textId="77777777" w:rsidR="00CF30ED" w:rsidRPr="00CF30ED" w:rsidRDefault="00CF30ED" w:rsidP="00027BA6">
      <w:pPr>
        <w:pStyle w:val="Reference"/>
      </w:pPr>
      <w:r w:rsidRPr="00CF30ED">
        <w:t xml:space="preserve">ABS (Australian Bureau of Statistics) 2024a, </w:t>
      </w:r>
      <w:r w:rsidRPr="00CF30ED">
        <w:rPr>
          <w:i/>
          <w:iCs/>
        </w:rPr>
        <w:t>Australian national accounts: supply-use tables, 2022-23 financial year</w:t>
      </w:r>
      <w:r w:rsidRPr="00CF30ED">
        <w:t>, https://www.abs.gov.au/statistics/economy/national-accounts/australian-national-accounts-supply-use-tables/2022-23 (accessed 28 November 2024).</w:t>
      </w:r>
    </w:p>
    <w:p w14:paraId="67ADA917" w14:textId="0092F89E" w:rsidR="00CF30ED" w:rsidRPr="00CF30ED" w:rsidRDefault="00CF30ED" w:rsidP="00027BA6">
      <w:pPr>
        <w:pStyle w:val="Reference"/>
      </w:pPr>
      <w:r w:rsidRPr="00CF30ED">
        <w:t>——</w:t>
      </w:r>
      <w:r w:rsidR="00C7577C">
        <w:t> </w:t>
      </w:r>
      <w:r w:rsidRPr="00CF30ED">
        <w:t xml:space="preserve">2024b, </w:t>
      </w:r>
      <w:proofErr w:type="gramStart"/>
      <w:r w:rsidRPr="00CF30ED">
        <w:rPr>
          <w:i/>
          <w:iCs/>
        </w:rPr>
        <w:t>Building</w:t>
      </w:r>
      <w:proofErr w:type="gramEnd"/>
      <w:r w:rsidRPr="00CF30ED">
        <w:rPr>
          <w:i/>
          <w:iCs/>
        </w:rPr>
        <w:t xml:space="preserve"> activity, Australia, June 2024</w:t>
      </w:r>
      <w:r w:rsidRPr="00CF30ED">
        <w:t>, https://www.abs.gov.au/statistics/industry/building-and-construction/building-activity-australia/jun-2024 (accessed 28 November 2024).</w:t>
      </w:r>
    </w:p>
    <w:p w14:paraId="0C3CCA99" w14:textId="5BEDE65B" w:rsidR="00CF30ED" w:rsidRPr="00CF30ED" w:rsidRDefault="00CF30ED" w:rsidP="00027BA6">
      <w:pPr>
        <w:pStyle w:val="Reference"/>
      </w:pPr>
      <w:r w:rsidRPr="00CF30ED">
        <w:t>——</w:t>
      </w:r>
      <w:r w:rsidR="00C7577C">
        <w:t> </w:t>
      </w:r>
      <w:r w:rsidRPr="00CF30ED">
        <w:t xml:space="preserve">2024c, </w:t>
      </w:r>
      <w:r w:rsidRPr="00CF30ED">
        <w:rPr>
          <w:i/>
          <w:iCs/>
        </w:rPr>
        <w:t>Labour account Australia, September 2024</w:t>
      </w:r>
      <w:r w:rsidRPr="00CF30ED">
        <w:t>, https://www.abs.gov.au/statistics/labour/labour-accounts/labour-account-australia/sep-2024 (accessed 28 November 2024).</w:t>
      </w:r>
    </w:p>
    <w:p w14:paraId="133510FF" w14:textId="4D61F49A" w:rsidR="00CF30ED" w:rsidRPr="00CF30ED" w:rsidRDefault="00CF30ED" w:rsidP="00027BA6">
      <w:pPr>
        <w:pStyle w:val="Reference"/>
      </w:pPr>
      <w:r w:rsidRPr="00CF30ED">
        <w:t>——</w:t>
      </w:r>
      <w:r w:rsidR="00C7577C">
        <w:t> </w:t>
      </w:r>
      <w:r w:rsidRPr="00CF30ED">
        <w:t xml:space="preserve">2024d, </w:t>
      </w:r>
      <w:r w:rsidRPr="00CF30ED">
        <w:rPr>
          <w:i/>
          <w:iCs/>
        </w:rPr>
        <w:t>Labour force, Australia, detailed, August 2024</w:t>
      </w:r>
      <w:r w:rsidRPr="00CF30ED">
        <w:t>, https://www.abs.gov.au/statistics/labour/employment-and-unemployment/labour-force-australia-detailed/aug-2024 (accessed 28 November 2024).</w:t>
      </w:r>
    </w:p>
    <w:p w14:paraId="75D9D010" w14:textId="30833014" w:rsidR="00CF30ED" w:rsidRPr="00CF30ED" w:rsidRDefault="00CF30ED" w:rsidP="00027BA6">
      <w:pPr>
        <w:pStyle w:val="Reference"/>
      </w:pPr>
      <w:r w:rsidRPr="00CF30ED">
        <w:t xml:space="preserve">PC (Productivity Commission) 2025a, </w:t>
      </w:r>
      <w:r w:rsidRPr="00CF30ED">
        <w:rPr>
          <w:i/>
          <w:iCs/>
        </w:rPr>
        <w:t>Building a skilled and adaptable workforce</w:t>
      </w:r>
      <w:r w:rsidRPr="00CF30ED">
        <w:t xml:space="preserve">, </w:t>
      </w:r>
      <w:r w:rsidR="00846EDD" w:rsidRPr="00AD1926">
        <w:t>Inquiry</w:t>
      </w:r>
      <w:r w:rsidRPr="00CF30ED">
        <w:t xml:space="preserve"> report</w:t>
      </w:r>
      <w:r w:rsidR="00846EDD" w:rsidRPr="00AD1926">
        <w:t xml:space="preserve"> no. 110, Canberra</w:t>
      </w:r>
      <w:r w:rsidRPr="00CF30ED">
        <w:t>.</w:t>
      </w:r>
    </w:p>
    <w:p w14:paraId="400FF651" w14:textId="097095B4" w:rsidR="00CF30ED" w:rsidRPr="00CF30ED" w:rsidRDefault="00CF30ED" w:rsidP="00027BA6">
      <w:pPr>
        <w:pStyle w:val="Reference"/>
      </w:pPr>
      <w:r w:rsidRPr="00CF30ED">
        <w:t>——</w:t>
      </w:r>
      <w:r w:rsidR="00C7577C">
        <w:t> </w:t>
      </w:r>
      <w:r w:rsidRPr="00CF30ED">
        <w:t xml:space="preserve">2025b, </w:t>
      </w:r>
      <w:r w:rsidRPr="00CF30ED">
        <w:rPr>
          <w:i/>
          <w:iCs/>
        </w:rPr>
        <w:t>Creating a more dynamic and resilient economy</w:t>
      </w:r>
      <w:r w:rsidRPr="00CF30ED">
        <w:t xml:space="preserve">, </w:t>
      </w:r>
      <w:r w:rsidR="0081531D" w:rsidRPr="0081531D">
        <w:t>Inquiry</w:t>
      </w:r>
      <w:r w:rsidRPr="00CF30ED">
        <w:t xml:space="preserve"> report</w:t>
      </w:r>
      <w:r w:rsidR="0081531D" w:rsidRPr="0081531D">
        <w:t xml:space="preserve"> no. 109, Canberra</w:t>
      </w:r>
      <w:r w:rsidRPr="00CF30ED">
        <w:t>.</w:t>
      </w:r>
    </w:p>
    <w:p w14:paraId="3F6948AF" w14:textId="09ECD561" w:rsidR="00CF30ED" w:rsidRPr="00CF30ED" w:rsidRDefault="00CF30ED" w:rsidP="00027BA6">
      <w:pPr>
        <w:pStyle w:val="Reference"/>
      </w:pPr>
      <w:r w:rsidRPr="00CF30ED">
        <w:t>——</w:t>
      </w:r>
      <w:r w:rsidR="00C7577C">
        <w:t> </w:t>
      </w:r>
      <w:r w:rsidRPr="00CF30ED">
        <w:t xml:space="preserve">2025c, </w:t>
      </w:r>
      <w:proofErr w:type="gramStart"/>
      <w:r w:rsidRPr="00CF30ED">
        <w:rPr>
          <w:i/>
          <w:iCs/>
        </w:rPr>
        <w:t>Creating</w:t>
      </w:r>
      <w:proofErr w:type="gramEnd"/>
      <w:r w:rsidRPr="00CF30ED">
        <w:rPr>
          <w:i/>
          <w:iCs/>
        </w:rPr>
        <w:t xml:space="preserve"> a more dynamic and resilient economy: What we heard</w:t>
      </w:r>
      <w:r w:rsidRPr="00CF30ED">
        <w:t>, Inquiry paper, Canberra.</w:t>
      </w:r>
    </w:p>
    <w:p w14:paraId="45163173" w14:textId="0ECD1FC9" w:rsidR="00CF30ED" w:rsidRPr="00CF30ED" w:rsidRDefault="00CF30ED" w:rsidP="00027BA6">
      <w:pPr>
        <w:pStyle w:val="Reference"/>
      </w:pPr>
      <w:r w:rsidRPr="00CF30ED">
        <w:t>——</w:t>
      </w:r>
      <w:r w:rsidR="00C7577C">
        <w:t> </w:t>
      </w:r>
      <w:r w:rsidRPr="00CF30ED">
        <w:t xml:space="preserve">2025d, </w:t>
      </w:r>
      <w:r w:rsidRPr="00CF30ED">
        <w:rPr>
          <w:i/>
          <w:iCs/>
        </w:rPr>
        <w:t xml:space="preserve">Housing construction productivity: Can we fix </w:t>
      </w:r>
      <w:proofErr w:type="gramStart"/>
      <w:r w:rsidRPr="00CF30ED">
        <w:rPr>
          <w:i/>
          <w:iCs/>
        </w:rPr>
        <w:t>it?</w:t>
      </w:r>
      <w:r w:rsidRPr="00CF30ED">
        <w:t>,</w:t>
      </w:r>
      <w:proofErr w:type="gramEnd"/>
      <w:r w:rsidRPr="00CF30ED">
        <w:t xml:space="preserve"> Research paper, Canberra.</w:t>
      </w:r>
    </w:p>
    <w:p w14:paraId="7F73D460" w14:textId="03EF5E72" w:rsidR="00CF30ED" w:rsidRPr="00CF30ED" w:rsidRDefault="00CF30ED" w:rsidP="00027BA6">
      <w:pPr>
        <w:pStyle w:val="Reference"/>
      </w:pPr>
      <w:r w:rsidRPr="00CF30ED">
        <w:t>——</w:t>
      </w:r>
      <w:r w:rsidR="00C7577C">
        <w:t> </w:t>
      </w:r>
      <w:r w:rsidRPr="00CF30ED">
        <w:t xml:space="preserve">2025e, </w:t>
      </w:r>
      <w:r w:rsidRPr="00CF30ED">
        <w:rPr>
          <w:i/>
          <w:iCs/>
        </w:rPr>
        <w:t>National Competition Policy analysis 2025</w:t>
      </w:r>
      <w:r w:rsidRPr="00CF30ED">
        <w:t xml:space="preserve">, </w:t>
      </w:r>
      <w:r w:rsidR="000A5786">
        <w:t>Study</w:t>
      </w:r>
      <w:r w:rsidRPr="00CF30ED">
        <w:t xml:space="preserve"> report, Canberra.</w:t>
      </w:r>
    </w:p>
    <w:p w14:paraId="19A771A5" w14:textId="77777777" w:rsidR="00CF30ED" w:rsidRPr="00CF30ED" w:rsidRDefault="00CF30ED" w:rsidP="00027BA6">
      <w:pPr>
        <w:pStyle w:val="Reference"/>
      </w:pPr>
      <w:r w:rsidRPr="00CF30ED">
        <w:t xml:space="preserve">Treasury 2025, </w:t>
      </w:r>
      <w:r w:rsidRPr="00CF30ED">
        <w:rPr>
          <w:i/>
          <w:iCs/>
        </w:rPr>
        <w:t>Modernising the National Construction Code: Project scope</w:t>
      </w:r>
      <w:r w:rsidRPr="00CF30ED">
        <w:t>, Australian Government, pp. 1–3.</w:t>
      </w:r>
    </w:p>
    <w:p w14:paraId="698D34BC" w14:textId="48D31159" w:rsidR="0055257B" w:rsidRDefault="0055257B" w:rsidP="00027BA6">
      <w:pPr>
        <w:pStyle w:val="Reference"/>
        <w:sectPr w:rsidR="0055257B" w:rsidSect="0055257B">
          <w:type w:val="continuous"/>
          <w:pgSz w:w="11906" w:h="16838" w:code="9"/>
          <w:pgMar w:top="1134" w:right="1134" w:bottom="1134" w:left="1134" w:header="794" w:footer="510" w:gutter="0"/>
          <w:cols w:num="2" w:space="708"/>
          <w:docGrid w:linePitch="360"/>
        </w:sectPr>
      </w:pPr>
    </w:p>
    <w:p w14:paraId="223E4917" w14:textId="7C216A8E" w:rsidR="00A91551" w:rsidRPr="00A91551" w:rsidRDefault="00C57C2F" w:rsidP="00A91551">
      <w:pPr>
        <w:pStyle w:val="BodyText"/>
      </w:pPr>
      <w:r>
        <w:rPr>
          <w:noProof/>
        </w:rPr>
        <w:drawing>
          <wp:anchor distT="0" distB="0" distL="114300" distR="114300" simplePos="0" relativeHeight="251658240" behindDoc="0" locked="0" layoutInCell="1" allowOverlap="1" wp14:anchorId="698FC7DC" wp14:editId="616F0BB8">
            <wp:simplePos x="0" y="0"/>
            <wp:positionH relativeFrom="margin">
              <wp:posOffset>-215900</wp:posOffset>
            </wp:positionH>
            <wp:positionV relativeFrom="paragraph">
              <wp:posOffset>5947249</wp:posOffset>
            </wp:positionV>
            <wp:extent cx="1331595" cy="421005"/>
            <wp:effectExtent l="0" t="0" r="0" b="0"/>
            <wp:wrapNone/>
            <wp:docPr id="1592752487" name="Picture 6" descr="www.pc.gov.au">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52487" name="Picture 6" descr="www.pc.gov.au">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31595" cy="421005"/>
                    </a:xfrm>
                    <a:prstGeom prst="rect">
                      <a:avLst/>
                    </a:prstGeom>
                  </pic:spPr>
                </pic:pic>
              </a:graphicData>
            </a:graphic>
            <wp14:sizeRelH relativeFrom="page">
              <wp14:pctWidth>0</wp14:pctWidth>
            </wp14:sizeRelH>
            <wp14:sizeRelV relativeFrom="page">
              <wp14:pctHeight>0</wp14:pctHeight>
            </wp14:sizeRelV>
          </wp:anchor>
        </w:drawing>
      </w:r>
    </w:p>
    <w:sectPr w:rsidR="00A91551" w:rsidRPr="00A91551" w:rsidSect="0055257B">
      <w:type w:val="continuous"/>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08D3B" w14:textId="77777777" w:rsidR="008F73F4" w:rsidRDefault="008F73F4" w:rsidP="008017BC">
      <w:r>
        <w:separator/>
      </w:r>
    </w:p>
    <w:p w14:paraId="07B6EFD2" w14:textId="77777777" w:rsidR="008F73F4" w:rsidRDefault="008F73F4"/>
  </w:endnote>
  <w:endnote w:type="continuationSeparator" w:id="0">
    <w:p w14:paraId="77FCC7BE" w14:textId="77777777" w:rsidR="008F73F4" w:rsidRDefault="008F73F4" w:rsidP="008017BC">
      <w:r>
        <w:continuationSeparator/>
      </w:r>
    </w:p>
    <w:p w14:paraId="3787ADF9" w14:textId="77777777" w:rsidR="008F73F4" w:rsidRDefault="008F7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9E6B" w14:textId="77777777" w:rsidR="00D15113" w:rsidRDefault="00F04EA7" w:rsidP="008F566F">
    <w:pPr>
      <w:pStyle w:val="Footer"/>
      <w:jc w:val="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388144"/>
      <w:docPartObj>
        <w:docPartGallery w:val="Page Numbers (Bottom of Page)"/>
        <w:docPartUnique/>
      </w:docPartObj>
    </w:sdtPr>
    <w:sdtContent>
      <w:sdt>
        <w:sdtPr>
          <w:id w:val="275374890"/>
          <w:docPartObj>
            <w:docPartGallery w:val="Page Numbers (Top of Page)"/>
            <w:docPartUnique/>
          </w:docPartObj>
        </w:sdtPr>
        <w:sdtContent>
          <w:p w14:paraId="5EEDE6A4"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D85B" w14:textId="6237C3A1" w:rsidR="004A1632" w:rsidRDefault="004A1632" w:rsidP="004A1632">
    <w:pPr>
      <w:pStyle w:val="Footer-right"/>
    </w:pPr>
    <w:r w:rsidRPr="00187F05">
      <w:fldChar w:fldCharType="begin"/>
    </w:r>
    <w:r w:rsidRPr="00187F05">
      <w:instrText xml:space="preserve"> PAGE   \* MERGEFORMAT </w:instrText>
    </w:r>
    <w:r w:rsidRPr="00187F05">
      <w:fldChar w:fldCharType="separate"/>
    </w:r>
    <w:r>
      <w:t>2</w:t>
    </w:r>
    <w:r w:rsidRPr="00187F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3947" w14:textId="77777777" w:rsidR="008F73F4" w:rsidRPr="00C238D1" w:rsidRDefault="008F73F4" w:rsidP="00273E86">
      <w:pPr>
        <w:spacing w:after="0" w:line="240" w:lineRule="auto"/>
        <w:rPr>
          <w:rStyle w:val="ColourDarkBlue"/>
        </w:rPr>
      </w:pPr>
      <w:r w:rsidRPr="00C238D1">
        <w:rPr>
          <w:rStyle w:val="ColourDarkBlue"/>
        </w:rPr>
        <w:continuationSeparator/>
      </w:r>
    </w:p>
  </w:footnote>
  <w:footnote w:type="continuationSeparator" w:id="0">
    <w:p w14:paraId="346D8B0F" w14:textId="77777777" w:rsidR="008F73F4" w:rsidRPr="001D7D9B" w:rsidRDefault="008F73F4" w:rsidP="001D7D9B">
      <w:pPr>
        <w:spacing w:after="0" w:line="240" w:lineRule="auto"/>
        <w:rPr>
          <w:color w:val="265A9A" w:themeColor="background2"/>
        </w:rPr>
      </w:pPr>
      <w:r w:rsidRPr="00C238D1">
        <w:rPr>
          <w:rStyle w:val="ColourDarkBlue"/>
        </w:rPr>
        <w:continuationSeparator/>
      </w:r>
    </w:p>
  </w:footnote>
  <w:footnote w:type="continuationNotice" w:id="1">
    <w:p w14:paraId="6C5E1B61" w14:textId="77777777" w:rsidR="008F73F4" w:rsidRDefault="008F7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3444" w14:textId="2ED1147B" w:rsidR="00F173EF" w:rsidRPr="008F566F" w:rsidRDefault="008F566F" w:rsidP="008F566F">
    <w:pPr>
      <w:pStyle w:val="Header-Keyline"/>
      <w:jc w:val="right"/>
      <w:rPr>
        <w:b/>
        <w:bCs/>
      </w:rPr>
    </w:pPr>
    <w:r w:rsidRPr="008F566F">
      <w:rPr>
        <w:rStyle w:val="Strong"/>
        <w:b w:val="0"/>
        <w:bCs w:val="0"/>
      </w:rPr>
      <w:t>The effect of regulatory burden on housing productivity and supply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DADF" w14:textId="65D461EE" w:rsidR="00F173EF" w:rsidRDefault="002347E1" w:rsidP="00F173EF">
    <w:pPr>
      <w:pStyle w:val="Header-KeylineRight"/>
    </w:pPr>
    <w:r w:rsidRPr="008F566F">
      <w:rPr>
        <w:rStyle w:val="Strong"/>
        <w:b w:val="0"/>
        <w:bCs w:val="0"/>
      </w:rPr>
      <w:t>The effect of regulatory burden on housing productivity and supply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3C68" w14:textId="0C2CE66C" w:rsidR="00C7771C" w:rsidRDefault="00F73A0B">
    <w:pPr>
      <w:pStyle w:val="Header"/>
    </w:pPr>
    <w:r>
      <w:rPr>
        <w:noProof/>
      </w:rPr>
      <w:drawing>
        <wp:anchor distT="0" distB="0" distL="114300" distR="114300" simplePos="0" relativeHeight="251658240" behindDoc="0" locked="0" layoutInCell="1" allowOverlap="1" wp14:anchorId="6FD76394" wp14:editId="774624D0">
          <wp:simplePos x="0" y="0"/>
          <wp:positionH relativeFrom="page">
            <wp:align>right</wp:align>
          </wp:positionH>
          <wp:positionV relativeFrom="paragraph">
            <wp:posOffset>-504491</wp:posOffset>
          </wp:positionV>
          <wp:extent cx="7560000" cy="1762536"/>
          <wp:effectExtent l="0" t="0" r="3175" b="9525"/>
          <wp:wrapNone/>
          <wp:docPr id="1172580165" name="Picture 1" descr="Australian Government Productivity Commission logo | PC submissio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80165" name="Picture 1" descr="Australian Government Productivity Commission logo | PC submission banner"/>
                  <pic:cNvPicPr/>
                </pic:nvPicPr>
                <pic:blipFill>
                  <a:blip r:embed="rId1">
                    <a:extLst>
                      <a:ext uri="{28A0092B-C50C-407E-A947-70E740481C1C}">
                        <a14:useLocalDpi xmlns:a14="http://schemas.microsoft.com/office/drawing/2010/main" val="0"/>
                      </a:ext>
                    </a:extLst>
                  </a:blip>
                  <a:stretch>
                    <a:fillRect/>
                  </a:stretch>
                </pic:blipFill>
                <pic:spPr>
                  <a:xfrm>
                    <a:off x="0" y="0"/>
                    <a:ext cx="7560000" cy="17625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835417846">
    <w:abstractNumId w:val="6"/>
  </w:num>
  <w:num w:numId="2" w16cid:durableId="1519077027">
    <w:abstractNumId w:val="2"/>
  </w:num>
  <w:num w:numId="3" w16cid:durableId="1468549479">
    <w:abstractNumId w:val="9"/>
  </w:num>
  <w:num w:numId="4" w16cid:durableId="915166386">
    <w:abstractNumId w:val="14"/>
  </w:num>
  <w:num w:numId="5" w16cid:durableId="1510681289">
    <w:abstractNumId w:val="15"/>
  </w:num>
  <w:num w:numId="6" w16cid:durableId="912081833">
    <w:abstractNumId w:val="13"/>
  </w:num>
  <w:num w:numId="7" w16cid:durableId="2023432934">
    <w:abstractNumId w:val="11"/>
  </w:num>
  <w:num w:numId="8" w16cid:durableId="192770611">
    <w:abstractNumId w:val="7"/>
  </w:num>
  <w:num w:numId="9" w16cid:durableId="485167421">
    <w:abstractNumId w:val="10"/>
  </w:num>
  <w:num w:numId="10" w16cid:durableId="775756382">
    <w:abstractNumId w:val="16"/>
  </w:num>
  <w:num w:numId="11" w16cid:durableId="1975406722">
    <w:abstractNumId w:val="0"/>
  </w:num>
  <w:num w:numId="12" w16cid:durableId="2055227720">
    <w:abstractNumId w:val="3"/>
  </w:num>
  <w:num w:numId="13" w16cid:durableId="432627348">
    <w:abstractNumId w:val="8"/>
  </w:num>
  <w:num w:numId="14" w16cid:durableId="1889947188">
    <w:abstractNumId w:val="5"/>
  </w:num>
  <w:num w:numId="15" w16cid:durableId="818545292">
    <w:abstractNumId w:val="1"/>
  </w:num>
  <w:num w:numId="16" w16cid:durableId="561333589">
    <w:abstractNumId w:val="12"/>
  </w:num>
  <w:num w:numId="17" w16cid:durableId="267082509">
    <w:abstractNumId w:val="4"/>
  </w:num>
  <w:num w:numId="18" w16cid:durableId="180187420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D0"/>
    <w:rsid w:val="00000075"/>
    <w:rsid w:val="00000F3C"/>
    <w:rsid w:val="00003A28"/>
    <w:rsid w:val="00004489"/>
    <w:rsid w:val="00005C79"/>
    <w:rsid w:val="000103A7"/>
    <w:rsid w:val="00010DA2"/>
    <w:rsid w:val="00013897"/>
    <w:rsid w:val="00016333"/>
    <w:rsid w:val="00020392"/>
    <w:rsid w:val="00021C6A"/>
    <w:rsid w:val="00026C04"/>
    <w:rsid w:val="00027BA6"/>
    <w:rsid w:val="000300AF"/>
    <w:rsid w:val="00033017"/>
    <w:rsid w:val="000331E4"/>
    <w:rsid w:val="0003338D"/>
    <w:rsid w:val="00033619"/>
    <w:rsid w:val="00035481"/>
    <w:rsid w:val="000474FB"/>
    <w:rsid w:val="0004785D"/>
    <w:rsid w:val="00047894"/>
    <w:rsid w:val="0005151B"/>
    <w:rsid w:val="00054C95"/>
    <w:rsid w:val="000561CF"/>
    <w:rsid w:val="00057214"/>
    <w:rsid w:val="0005774F"/>
    <w:rsid w:val="0006107E"/>
    <w:rsid w:val="00062A44"/>
    <w:rsid w:val="00062EAE"/>
    <w:rsid w:val="00066FE5"/>
    <w:rsid w:val="00071B9A"/>
    <w:rsid w:val="000724AE"/>
    <w:rsid w:val="00072E05"/>
    <w:rsid w:val="000771F4"/>
    <w:rsid w:val="0007776A"/>
    <w:rsid w:val="00077A76"/>
    <w:rsid w:val="0008037D"/>
    <w:rsid w:val="00083110"/>
    <w:rsid w:val="00084660"/>
    <w:rsid w:val="00085FB9"/>
    <w:rsid w:val="00091286"/>
    <w:rsid w:val="000968DD"/>
    <w:rsid w:val="00097D9C"/>
    <w:rsid w:val="000A0F08"/>
    <w:rsid w:val="000A1569"/>
    <w:rsid w:val="000A38AA"/>
    <w:rsid w:val="000A5786"/>
    <w:rsid w:val="000A7445"/>
    <w:rsid w:val="000B497F"/>
    <w:rsid w:val="000B4A72"/>
    <w:rsid w:val="000B5105"/>
    <w:rsid w:val="000B51D7"/>
    <w:rsid w:val="000B5352"/>
    <w:rsid w:val="000B59C2"/>
    <w:rsid w:val="000B5F71"/>
    <w:rsid w:val="000C370C"/>
    <w:rsid w:val="000C4BE2"/>
    <w:rsid w:val="000C664D"/>
    <w:rsid w:val="000C6B77"/>
    <w:rsid w:val="000C6E60"/>
    <w:rsid w:val="000D2E1C"/>
    <w:rsid w:val="000D4322"/>
    <w:rsid w:val="000D44D7"/>
    <w:rsid w:val="000E1F30"/>
    <w:rsid w:val="000E43B0"/>
    <w:rsid w:val="000F1D79"/>
    <w:rsid w:val="000F4488"/>
    <w:rsid w:val="00100FAB"/>
    <w:rsid w:val="00106C31"/>
    <w:rsid w:val="00107FC4"/>
    <w:rsid w:val="00110FE1"/>
    <w:rsid w:val="0011217E"/>
    <w:rsid w:val="00112E8F"/>
    <w:rsid w:val="001133DD"/>
    <w:rsid w:val="00113A03"/>
    <w:rsid w:val="00117FF7"/>
    <w:rsid w:val="00120792"/>
    <w:rsid w:val="0012143E"/>
    <w:rsid w:val="0012322E"/>
    <w:rsid w:val="00123477"/>
    <w:rsid w:val="001268BC"/>
    <w:rsid w:val="00127979"/>
    <w:rsid w:val="00136BDC"/>
    <w:rsid w:val="0013722E"/>
    <w:rsid w:val="00137FAB"/>
    <w:rsid w:val="0014109B"/>
    <w:rsid w:val="001410F4"/>
    <w:rsid w:val="00143CF8"/>
    <w:rsid w:val="001456C0"/>
    <w:rsid w:val="00147FA7"/>
    <w:rsid w:val="00154956"/>
    <w:rsid w:val="00154E0D"/>
    <w:rsid w:val="001576C0"/>
    <w:rsid w:val="001600E9"/>
    <w:rsid w:val="00160FEC"/>
    <w:rsid w:val="001610E5"/>
    <w:rsid w:val="00161BC8"/>
    <w:rsid w:val="00161F6C"/>
    <w:rsid w:val="00163DB6"/>
    <w:rsid w:val="001644D5"/>
    <w:rsid w:val="00164DF7"/>
    <w:rsid w:val="00171090"/>
    <w:rsid w:val="001710DE"/>
    <w:rsid w:val="001714F3"/>
    <w:rsid w:val="00182A32"/>
    <w:rsid w:val="00182FA9"/>
    <w:rsid w:val="00185158"/>
    <w:rsid w:val="00186946"/>
    <w:rsid w:val="00187F05"/>
    <w:rsid w:val="00190C72"/>
    <w:rsid w:val="001936EB"/>
    <w:rsid w:val="001957BF"/>
    <w:rsid w:val="001A0D77"/>
    <w:rsid w:val="001A196A"/>
    <w:rsid w:val="001A1D95"/>
    <w:rsid w:val="001A2565"/>
    <w:rsid w:val="001A2839"/>
    <w:rsid w:val="001A37A2"/>
    <w:rsid w:val="001A54C2"/>
    <w:rsid w:val="001A6735"/>
    <w:rsid w:val="001A7CE7"/>
    <w:rsid w:val="001B1762"/>
    <w:rsid w:val="001B17AC"/>
    <w:rsid w:val="001B3325"/>
    <w:rsid w:val="001B56CF"/>
    <w:rsid w:val="001B588D"/>
    <w:rsid w:val="001B5F81"/>
    <w:rsid w:val="001C58B9"/>
    <w:rsid w:val="001C5915"/>
    <w:rsid w:val="001C6997"/>
    <w:rsid w:val="001C7835"/>
    <w:rsid w:val="001C7968"/>
    <w:rsid w:val="001D4050"/>
    <w:rsid w:val="001D552D"/>
    <w:rsid w:val="001D726B"/>
    <w:rsid w:val="001D7D9B"/>
    <w:rsid w:val="001E147A"/>
    <w:rsid w:val="001E5A6E"/>
    <w:rsid w:val="001E7E36"/>
    <w:rsid w:val="001F13C1"/>
    <w:rsid w:val="001F15E0"/>
    <w:rsid w:val="001F1E62"/>
    <w:rsid w:val="001F1E9A"/>
    <w:rsid w:val="001F328E"/>
    <w:rsid w:val="001F446D"/>
    <w:rsid w:val="001F6B0A"/>
    <w:rsid w:val="00201320"/>
    <w:rsid w:val="0020204A"/>
    <w:rsid w:val="00203176"/>
    <w:rsid w:val="00203494"/>
    <w:rsid w:val="002112EC"/>
    <w:rsid w:val="00215B95"/>
    <w:rsid w:val="00217AD0"/>
    <w:rsid w:val="00221800"/>
    <w:rsid w:val="00221AB7"/>
    <w:rsid w:val="00225FEA"/>
    <w:rsid w:val="00227712"/>
    <w:rsid w:val="002310CD"/>
    <w:rsid w:val="00231234"/>
    <w:rsid w:val="00232D22"/>
    <w:rsid w:val="002347E1"/>
    <w:rsid w:val="00235323"/>
    <w:rsid w:val="0024010C"/>
    <w:rsid w:val="00243B18"/>
    <w:rsid w:val="00244884"/>
    <w:rsid w:val="0024530A"/>
    <w:rsid w:val="002457DE"/>
    <w:rsid w:val="00246435"/>
    <w:rsid w:val="002465FF"/>
    <w:rsid w:val="00246BCF"/>
    <w:rsid w:val="00251245"/>
    <w:rsid w:val="00251CA2"/>
    <w:rsid w:val="002572C5"/>
    <w:rsid w:val="002601BB"/>
    <w:rsid w:val="002630C9"/>
    <w:rsid w:val="00265918"/>
    <w:rsid w:val="00265A7B"/>
    <w:rsid w:val="00267752"/>
    <w:rsid w:val="00270834"/>
    <w:rsid w:val="00273E86"/>
    <w:rsid w:val="00280B66"/>
    <w:rsid w:val="0028101B"/>
    <w:rsid w:val="002814E6"/>
    <w:rsid w:val="00281A54"/>
    <w:rsid w:val="00282AE5"/>
    <w:rsid w:val="00287114"/>
    <w:rsid w:val="0028731A"/>
    <w:rsid w:val="00291876"/>
    <w:rsid w:val="002936B4"/>
    <w:rsid w:val="002951E6"/>
    <w:rsid w:val="00295330"/>
    <w:rsid w:val="002A332A"/>
    <w:rsid w:val="002B0577"/>
    <w:rsid w:val="002B7B4B"/>
    <w:rsid w:val="002C1E08"/>
    <w:rsid w:val="002C21CF"/>
    <w:rsid w:val="002C4C3E"/>
    <w:rsid w:val="002C797E"/>
    <w:rsid w:val="002D0A91"/>
    <w:rsid w:val="002D2C25"/>
    <w:rsid w:val="002D50CB"/>
    <w:rsid w:val="002E3F19"/>
    <w:rsid w:val="002E4DC3"/>
    <w:rsid w:val="002E51D2"/>
    <w:rsid w:val="002E7A0E"/>
    <w:rsid w:val="002E7EFA"/>
    <w:rsid w:val="002F0265"/>
    <w:rsid w:val="002F407F"/>
    <w:rsid w:val="002F5B72"/>
    <w:rsid w:val="002F6386"/>
    <w:rsid w:val="002F6C98"/>
    <w:rsid w:val="002F7FDB"/>
    <w:rsid w:val="00303088"/>
    <w:rsid w:val="00303704"/>
    <w:rsid w:val="00305171"/>
    <w:rsid w:val="00306D24"/>
    <w:rsid w:val="00307A59"/>
    <w:rsid w:val="00310141"/>
    <w:rsid w:val="00311CF7"/>
    <w:rsid w:val="0031452B"/>
    <w:rsid w:val="00315C43"/>
    <w:rsid w:val="003163B1"/>
    <w:rsid w:val="003204F6"/>
    <w:rsid w:val="00323400"/>
    <w:rsid w:val="00323B19"/>
    <w:rsid w:val="00326A36"/>
    <w:rsid w:val="003276EA"/>
    <w:rsid w:val="003349DD"/>
    <w:rsid w:val="00336ECB"/>
    <w:rsid w:val="00337F25"/>
    <w:rsid w:val="003401C6"/>
    <w:rsid w:val="00343FD6"/>
    <w:rsid w:val="0034680A"/>
    <w:rsid w:val="00347BC5"/>
    <w:rsid w:val="00351880"/>
    <w:rsid w:val="00354696"/>
    <w:rsid w:val="0035519A"/>
    <w:rsid w:val="0036059A"/>
    <w:rsid w:val="00360C9D"/>
    <w:rsid w:val="00363FF8"/>
    <w:rsid w:val="003640E1"/>
    <w:rsid w:val="00365AFD"/>
    <w:rsid w:val="00365CFB"/>
    <w:rsid w:val="0037418B"/>
    <w:rsid w:val="0037604E"/>
    <w:rsid w:val="00376491"/>
    <w:rsid w:val="0037721D"/>
    <w:rsid w:val="0038102A"/>
    <w:rsid w:val="00381927"/>
    <w:rsid w:val="003827C2"/>
    <w:rsid w:val="003833B4"/>
    <w:rsid w:val="00383A73"/>
    <w:rsid w:val="0038542E"/>
    <w:rsid w:val="00385B57"/>
    <w:rsid w:val="003875ED"/>
    <w:rsid w:val="0039451A"/>
    <w:rsid w:val="003A6184"/>
    <w:rsid w:val="003A6B56"/>
    <w:rsid w:val="003A743E"/>
    <w:rsid w:val="003A7ADE"/>
    <w:rsid w:val="003B00D4"/>
    <w:rsid w:val="003B29A1"/>
    <w:rsid w:val="003B29FC"/>
    <w:rsid w:val="003B2A34"/>
    <w:rsid w:val="003B36FE"/>
    <w:rsid w:val="003B4137"/>
    <w:rsid w:val="003B6E2C"/>
    <w:rsid w:val="003B7D2D"/>
    <w:rsid w:val="003B7DB1"/>
    <w:rsid w:val="003C01D4"/>
    <w:rsid w:val="003C2CC3"/>
    <w:rsid w:val="003C4CB9"/>
    <w:rsid w:val="003C69BF"/>
    <w:rsid w:val="003D09EE"/>
    <w:rsid w:val="003D23A3"/>
    <w:rsid w:val="003D3210"/>
    <w:rsid w:val="003D5856"/>
    <w:rsid w:val="003E0981"/>
    <w:rsid w:val="003E2216"/>
    <w:rsid w:val="003E3FBD"/>
    <w:rsid w:val="003E6055"/>
    <w:rsid w:val="003E7A16"/>
    <w:rsid w:val="003F2845"/>
    <w:rsid w:val="003F4D73"/>
    <w:rsid w:val="003F5D79"/>
    <w:rsid w:val="003F6F1A"/>
    <w:rsid w:val="0040060F"/>
    <w:rsid w:val="004009B5"/>
    <w:rsid w:val="00400B5C"/>
    <w:rsid w:val="00400D5C"/>
    <w:rsid w:val="00404E4F"/>
    <w:rsid w:val="00405086"/>
    <w:rsid w:val="00405A5E"/>
    <w:rsid w:val="004064F7"/>
    <w:rsid w:val="00407538"/>
    <w:rsid w:val="00410DF7"/>
    <w:rsid w:val="00415A0E"/>
    <w:rsid w:val="0041752B"/>
    <w:rsid w:val="00420677"/>
    <w:rsid w:val="00420F0E"/>
    <w:rsid w:val="0042301B"/>
    <w:rsid w:val="0042339A"/>
    <w:rsid w:val="00423B15"/>
    <w:rsid w:val="00424148"/>
    <w:rsid w:val="00424CB8"/>
    <w:rsid w:val="0042508F"/>
    <w:rsid w:val="00426A32"/>
    <w:rsid w:val="004271E3"/>
    <w:rsid w:val="0043326D"/>
    <w:rsid w:val="00433565"/>
    <w:rsid w:val="00434832"/>
    <w:rsid w:val="004371F0"/>
    <w:rsid w:val="004379C2"/>
    <w:rsid w:val="004400E8"/>
    <w:rsid w:val="004412EB"/>
    <w:rsid w:val="0044649A"/>
    <w:rsid w:val="00450C80"/>
    <w:rsid w:val="004544D6"/>
    <w:rsid w:val="00454B92"/>
    <w:rsid w:val="00454F25"/>
    <w:rsid w:val="0045513B"/>
    <w:rsid w:val="00456C18"/>
    <w:rsid w:val="0046076F"/>
    <w:rsid w:val="00461CE9"/>
    <w:rsid w:val="00462407"/>
    <w:rsid w:val="00463032"/>
    <w:rsid w:val="004631DD"/>
    <w:rsid w:val="004635FD"/>
    <w:rsid w:val="00467025"/>
    <w:rsid w:val="004670A3"/>
    <w:rsid w:val="00470129"/>
    <w:rsid w:val="004728A0"/>
    <w:rsid w:val="004738B0"/>
    <w:rsid w:val="004742DD"/>
    <w:rsid w:val="00475231"/>
    <w:rsid w:val="00482FFF"/>
    <w:rsid w:val="0048401A"/>
    <w:rsid w:val="00484E96"/>
    <w:rsid w:val="00495C0B"/>
    <w:rsid w:val="00496700"/>
    <w:rsid w:val="00496B57"/>
    <w:rsid w:val="004A020E"/>
    <w:rsid w:val="004A0E31"/>
    <w:rsid w:val="004A1632"/>
    <w:rsid w:val="004A2FB8"/>
    <w:rsid w:val="004A42E3"/>
    <w:rsid w:val="004A5586"/>
    <w:rsid w:val="004B0E75"/>
    <w:rsid w:val="004B1531"/>
    <w:rsid w:val="004B30C4"/>
    <w:rsid w:val="004B4A23"/>
    <w:rsid w:val="004B609E"/>
    <w:rsid w:val="004B660C"/>
    <w:rsid w:val="004B7986"/>
    <w:rsid w:val="004C265F"/>
    <w:rsid w:val="004C34D2"/>
    <w:rsid w:val="004C3998"/>
    <w:rsid w:val="004C47C0"/>
    <w:rsid w:val="004C4823"/>
    <w:rsid w:val="004D056C"/>
    <w:rsid w:val="004D1C4F"/>
    <w:rsid w:val="004D45E4"/>
    <w:rsid w:val="004E1233"/>
    <w:rsid w:val="004E28C6"/>
    <w:rsid w:val="004E65AE"/>
    <w:rsid w:val="004E6DE1"/>
    <w:rsid w:val="004F009D"/>
    <w:rsid w:val="004F08CE"/>
    <w:rsid w:val="004F10E0"/>
    <w:rsid w:val="004F138F"/>
    <w:rsid w:val="004F2563"/>
    <w:rsid w:val="004F2B45"/>
    <w:rsid w:val="004F2D0A"/>
    <w:rsid w:val="004F316C"/>
    <w:rsid w:val="004F420C"/>
    <w:rsid w:val="004F4504"/>
    <w:rsid w:val="004F4BF2"/>
    <w:rsid w:val="00500123"/>
    <w:rsid w:val="00500FBC"/>
    <w:rsid w:val="00502B26"/>
    <w:rsid w:val="00503920"/>
    <w:rsid w:val="00505A63"/>
    <w:rsid w:val="00505AC1"/>
    <w:rsid w:val="0050629E"/>
    <w:rsid w:val="0050670B"/>
    <w:rsid w:val="00511B29"/>
    <w:rsid w:val="005124ED"/>
    <w:rsid w:val="005141E8"/>
    <w:rsid w:val="0051578F"/>
    <w:rsid w:val="00516A89"/>
    <w:rsid w:val="00517094"/>
    <w:rsid w:val="00517257"/>
    <w:rsid w:val="00517449"/>
    <w:rsid w:val="00520B58"/>
    <w:rsid w:val="00524DF3"/>
    <w:rsid w:val="00527A18"/>
    <w:rsid w:val="00530D29"/>
    <w:rsid w:val="0053223D"/>
    <w:rsid w:val="0053236C"/>
    <w:rsid w:val="005351DD"/>
    <w:rsid w:val="00536740"/>
    <w:rsid w:val="005377A3"/>
    <w:rsid w:val="00540B70"/>
    <w:rsid w:val="00545720"/>
    <w:rsid w:val="00545805"/>
    <w:rsid w:val="00546BA3"/>
    <w:rsid w:val="00550C99"/>
    <w:rsid w:val="00551B43"/>
    <w:rsid w:val="0055257B"/>
    <w:rsid w:val="0055301A"/>
    <w:rsid w:val="00553413"/>
    <w:rsid w:val="00555AB2"/>
    <w:rsid w:val="00555BBD"/>
    <w:rsid w:val="005560AF"/>
    <w:rsid w:val="00557556"/>
    <w:rsid w:val="00560E75"/>
    <w:rsid w:val="00561129"/>
    <w:rsid w:val="00561301"/>
    <w:rsid w:val="00562410"/>
    <w:rsid w:val="005636DA"/>
    <w:rsid w:val="005646F4"/>
    <w:rsid w:val="0056521F"/>
    <w:rsid w:val="00571371"/>
    <w:rsid w:val="00571C54"/>
    <w:rsid w:val="00573043"/>
    <w:rsid w:val="005736E3"/>
    <w:rsid w:val="005754AB"/>
    <w:rsid w:val="00581CBD"/>
    <w:rsid w:val="005826F4"/>
    <w:rsid w:val="0058369E"/>
    <w:rsid w:val="00584173"/>
    <w:rsid w:val="00584390"/>
    <w:rsid w:val="00585395"/>
    <w:rsid w:val="00586660"/>
    <w:rsid w:val="00590D09"/>
    <w:rsid w:val="0059156A"/>
    <w:rsid w:val="00593314"/>
    <w:rsid w:val="0059368E"/>
    <w:rsid w:val="00593BF5"/>
    <w:rsid w:val="005942FC"/>
    <w:rsid w:val="00594496"/>
    <w:rsid w:val="0059484E"/>
    <w:rsid w:val="00594CF4"/>
    <w:rsid w:val="005956D3"/>
    <w:rsid w:val="00595713"/>
    <w:rsid w:val="00596365"/>
    <w:rsid w:val="005965BC"/>
    <w:rsid w:val="005A1B9D"/>
    <w:rsid w:val="005A1D2D"/>
    <w:rsid w:val="005A27D4"/>
    <w:rsid w:val="005A3239"/>
    <w:rsid w:val="005A35F6"/>
    <w:rsid w:val="005A3631"/>
    <w:rsid w:val="005A7E78"/>
    <w:rsid w:val="005B03ED"/>
    <w:rsid w:val="005B0FB3"/>
    <w:rsid w:val="005B1776"/>
    <w:rsid w:val="005B1781"/>
    <w:rsid w:val="005B1BA3"/>
    <w:rsid w:val="005B32FB"/>
    <w:rsid w:val="005B5886"/>
    <w:rsid w:val="005B5FBB"/>
    <w:rsid w:val="005B7FE4"/>
    <w:rsid w:val="005C05E0"/>
    <w:rsid w:val="005C37E0"/>
    <w:rsid w:val="005C3D7F"/>
    <w:rsid w:val="005C4C1F"/>
    <w:rsid w:val="005C4C89"/>
    <w:rsid w:val="005C54B9"/>
    <w:rsid w:val="005C5A1C"/>
    <w:rsid w:val="005C6618"/>
    <w:rsid w:val="005D0189"/>
    <w:rsid w:val="005D275A"/>
    <w:rsid w:val="005D379B"/>
    <w:rsid w:val="005D6B66"/>
    <w:rsid w:val="005D7546"/>
    <w:rsid w:val="005E0B8A"/>
    <w:rsid w:val="005E1459"/>
    <w:rsid w:val="005E169C"/>
    <w:rsid w:val="005E3F47"/>
    <w:rsid w:val="005E4470"/>
    <w:rsid w:val="005E4D03"/>
    <w:rsid w:val="005E5794"/>
    <w:rsid w:val="005E5A14"/>
    <w:rsid w:val="005E639A"/>
    <w:rsid w:val="005F1526"/>
    <w:rsid w:val="005F27E6"/>
    <w:rsid w:val="00601BCF"/>
    <w:rsid w:val="00602562"/>
    <w:rsid w:val="00603FD5"/>
    <w:rsid w:val="0060792B"/>
    <w:rsid w:val="00607F03"/>
    <w:rsid w:val="00610627"/>
    <w:rsid w:val="00610F6C"/>
    <w:rsid w:val="006130AF"/>
    <w:rsid w:val="006133BA"/>
    <w:rsid w:val="00615EEE"/>
    <w:rsid w:val="00616DC8"/>
    <w:rsid w:val="00620548"/>
    <w:rsid w:val="0062111E"/>
    <w:rsid w:val="00621536"/>
    <w:rsid w:val="00624152"/>
    <w:rsid w:val="00624B90"/>
    <w:rsid w:val="00630F02"/>
    <w:rsid w:val="006325DA"/>
    <w:rsid w:val="0063750B"/>
    <w:rsid w:val="00641CDF"/>
    <w:rsid w:val="0064382F"/>
    <w:rsid w:val="006467E1"/>
    <w:rsid w:val="006475BD"/>
    <w:rsid w:val="00650B45"/>
    <w:rsid w:val="0065224A"/>
    <w:rsid w:val="006527FF"/>
    <w:rsid w:val="00656A8A"/>
    <w:rsid w:val="00657CFD"/>
    <w:rsid w:val="00662209"/>
    <w:rsid w:val="006627F1"/>
    <w:rsid w:val="00662E6C"/>
    <w:rsid w:val="006638D3"/>
    <w:rsid w:val="006643AB"/>
    <w:rsid w:val="0066496C"/>
    <w:rsid w:val="0066520E"/>
    <w:rsid w:val="006653BC"/>
    <w:rsid w:val="00667DDD"/>
    <w:rsid w:val="006748F4"/>
    <w:rsid w:val="00675190"/>
    <w:rsid w:val="0067659E"/>
    <w:rsid w:val="006802BA"/>
    <w:rsid w:val="00681434"/>
    <w:rsid w:val="00682739"/>
    <w:rsid w:val="00683C17"/>
    <w:rsid w:val="00684793"/>
    <w:rsid w:val="0068724F"/>
    <w:rsid w:val="0068736B"/>
    <w:rsid w:val="00687E77"/>
    <w:rsid w:val="0069650B"/>
    <w:rsid w:val="0069794F"/>
    <w:rsid w:val="006A045E"/>
    <w:rsid w:val="006A1DEF"/>
    <w:rsid w:val="006A7069"/>
    <w:rsid w:val="006B3B38"/>
    <w:rsid w:val="006B4C29"/>
    <w:rsid w:val="006B5DF4"/>
    <w:rsid w:val="006C0FDF"/>
    <w:rsid w:val="006C36D5"/>
    <w:rsid w:val="006C4510"/>
    <w:rsid w:val="006C4AF4"/>
    <w:rsid w:val="006C4B34"/>
    <w:rsid w:val="006C4C82"/>
    <w:rsid w:val="006C56B7"/>
    <w:rsid w:val="006C7DBA"/>
    <w:rsid w:val="006D095B"/>
    <w:rsid w:val="006D0F1F"/>
    <w:rsid w:val="006D3190"/>
    <w:rsid w:val="006D3F2F"/>
    <w:rsid w:val="006D4F09"/>
    <w:rsid w:val="006D5F4F"/>
    <w:rsid w:val="006E2279"/>
    <w:rsid w:val="006E2821"/>
    <w:rsid w:val="006E3536"/>
    <w:rsid w:val="006E4368"/>
    <w:rsid w:val="006E5530"/>
    <w:rsid w:val="006E74A9"/>
    <w:rsid w:val="006E74F4"/>
    <w:rsid w:val="006E79E4"/>
    <w:rsid w:val="006E79E7"/>
    <w:rsid w:val="006F39A1"/>
    <w:rsid w:val="006F6DD9"/>
    <w:rsid w:val="00701100"/>
    <w:rsid w:val="00701733"/>
    <w:rsid w:val="00701F38"/>
    <w:rsid w:val="00701FB4"/>
    <w:rsid w:val="00703519"/>
    <w:rsid w:val="00712C22"/>
    <w:rsid w:val="00714488"/>
    <w:rsid w:val="007158C6"/>
    <w:rsid w:val="00720507"/>
    <w:rsid w:val="007215EF"/>
    <w:rsid w:val="007216A2"/>
    <w:rsid w:val="00722390"/>
    <w:rsid w:val="0072490B"/>
    <w:rsid w:val="007301C9"/>
    <w:rsid w:val="007327C6"/>
    <w:rsid w:val="00735C27"/>
    <w:rsid w:val="007373F6"/>
    <w:rsid w:val="00737B87"/>
    <w:rsid w:val="00740804"/>
    <w:rsid w:val="00742F0D"/>
    <w:rsid w:val="00743548"/>
    <w:rsid w:val="007439A1"/>
    <w:rsid w:val="00744120"/>
    <w:rsid w:val="00750462"/>
    <w:rsid w:val="007518C0"/>
    <w:rsid w:val="00751D1F"/>
    <w:rsid w:val="007520F4"/>
    <w:rsid w:val="007527F1"/>
    <w:rsid w:val="00753191"/>
    <w:rsid w:val="0075386F"/>
    <w:rsid w:val="00754FED"/>
    <w:rsid w:val="00755EDA"/>
    <w:rsid w:val="00757910"/>
    <w:rsid w:val="00757970"/>
    <w:rsid w:val="00760005"/>
    <w:rsid w:val="00760205"/>
    <w:rsid w:val="00760304"/>
    <w:rsid w:val="00760E1B"/>
    <w:rsid w:val="00762F69"/>
    <w:rsid w:val="00764FE1"/>
    <w:rsid w:val="007651D4"/>
    <w:rsid w:val="007669DE"/>
    <w:rsid w:val="00767EAE"/>
    <w:rsid w:val="007700C7"/>
    <w:rsid w:val="00770DB0"/>
    <w:rsid w:val="00772E8B"/>
    <w:rsid w:val="00772FFB"/>
    <w:rsid w:val="00775165"/>
    <w:rsid w:val="0077584B"/>
    <w:rsid w:val="00781EDF"/>
    <w:rsid w:val="00783706"/>
    <w:rsid w:val="0078533C"/>
    <w:rsid w:val="007876F0"/>
    <w:rsid w:val="007904C5"/>
    <w:rsid w:val="007912F0"/>
    <w:rsid w:val="007917F8"/>
    <w:rsid w:val="00793D1C"/>
    <w:rsid w:val="007972DD"/>
    <w:rsid w:val="00797A7E"/>
    <w:rsid w:val="007A0363"/>
    <w:rsid w:val="007A6108"/>
    <w:rsid w:val="007A7737"/>
    <w:rsid w:val="007B078D"/>
    <w:rsid w:val="007B10B2"/>
    <w:rsid w:val="007B2095"/>
    <w:rsid w:val="007B4A27"/>
    <w:rsid w:val="007C3475"/>
    <w:rsid w:val="007C475F"/>
    <w:rsid w:val="007D0D2F"/>
    <w:rsid w:val="007D1569"/>
    <w:rsid w:val="007D25EB"/>
    <w:rsid w:val="007D59D4"/>
    <w:rsid w:val="007D6F31"/>
    <w:rsid w:val="007E025A"/>
    <w:rsid w:val="007E1A38"/>
    <w:rsid w:val="007E5C45"/>
    <w:rsid w:val="007F29FB"/>
    <w:rsid w:val="007F2F0A"/>
    <w:rsid w:val="007F385E"/>
    <w:rsid w:val="008012D0"/>
    <w:rsid w:val="008017BC"/>
    <w:rsid w:val="00802030"/>
    <w:rsid w:val="00802AFA"/>
    <w:rsid w:val="00802DF4"/>
    <w:rsid w:val="0080322B"/>
    <w:rsid w:val="008035C3"/>
    <w:rsid w:val="00803F26"/>
    <w:rsid w:val="00804B8B"/>
    <w:rsid w:val="00806F63"/>
    <w:rsid w:val="00807F06"/>
    <w:rsid w:val="008101B7"/>
    <w:rsid w:val="00811196"/>
    <w:rsid w:val="00811AF5"/>
    <w:rsid w:val="00811E19"/>
    <w:rsid w:val="008145B1"/>
    <w:rsid w:val="0081531D"/>
    <w:rsid w:val="0081533C"/>
    <w:rsid w:val="008161D7"/>
    <w:rsid w:val="0081720F"/>
    <w:rsid w:val="008200E9"/>
    <w:rsid w:val="0082025B"/>
    <w:rsid w:val="00820661"/>
    <w:rsid w:val="0082437F"/>
    <w:rsid w:val="00824D93"/>
    <w:rsid w:val="00830323"/>
    <w:rsid w:val="0083428E"/>
    <w:rsid w:val="00836262"/>
    <w:rsid w:val="00836E3A"/>
    <w:rsid w:val="00837210"/>
    <w:rsid w:val="00840DF7"/>
    <w:rsid w:val="0084238D"/>
    <w:rsid w:val="008423EB"/>
    <w:rsid w:val="00843CC3"/>
    <w:rsid w:val="00846EDD"/>
    <w:rsid w:val="008472B8"/>
    <w:rsid w:val="00851B41"/>
    <w:rsid w:val="008529A2"/>
    <w:rsid w:val="008529EF"/>
    <w:rsid w:val="00852E26"/>
    <w:rsid w:val="00853093"/>
    <w:rsid w:val="0085439B"/>
    <w:rsid w:val="008565A1"/>
    <w:rsid w:val="008579B4"/>
    <w:rsid w:val="0086389A"/>
    <w:rsid w:val="00865721"/>
    <w:rsid w:val="00865D45"/>
    <w:rsid w:val="008666C9"/>
    <w:rsid w:val="00871A6C"/>
    <w:rsid w:val="00872A6F"/>
    <w:rsid w:val="00875CCB"/>
    <w:rsid w:val="00877BEE"/>
    <w:rsid w:val="008807D0"/>
    <w:rsid w:val="00882B5A"/>
    <w:rsid w:val="0088334D"/>
    <w:rsid w:val="008833F3"/>
    <w:rsid w:val="00884733"/>
    <w:rsid w:val="00885D47"/>
    <w:rsid w:val="00886A01"/>
    <w:rsid w:val="0089211D"/>
    <w:rsid w:val="00892556"/>
    <w:rsid w:val="0089555D"/>
    <w:rsid w:val="00897723"/>
    <w:rsid w:val="00897793"/>
    <w:rsid w:val="008A1632"/>
    <w:rsid w:val="008A5D13"/>
    <w:rsid w:val="008A6F83"/>
    <w:rsid w:val="008B05C3"/>
    <w:rsid w:val="008B0BE7"/>
    <w:rsid w:val="008B0F93"/>
    <w:rsid w:val="008B4965"/>
    <w:rsid w:val="008B78B1"/>
    <w:rsid w:val="008C16AB"/>
    <w:rsid w:val="008C1C27"/>
    <w:rsid w:val="008C1CCF"/>
    <w:rsid w:val="008C6179"/>
    <w:rsid w:val="008D19FD"/>
    <w:rsid w:val="008D1ABD"/>
    <w:rsid w:val="008D3A0D"/>
    <w:rsid w:val="008D690E"/>
    <w:rsid w:val="008D6F62"/>
    <w:rsid w:val="008D7D89"/>
    <w:rsid w:val="008E25D6"/>
    <w:rsid w:val="008E48F5"/>
    <w:rsid w:val="008E7BD4"/>
    <w:rsid w:val="008F00F5"/>
    <w:rsid w:val="008F0A95"/>
    <w:rsid w:val="008F3455"/>
    <w:rsid w:val="008F540C"/>
    <w:rsid w:val="008F566F"/>
    <w:rsid w:val="008F567D"/>
    <w:rsid w:val="008F6884"/>
    <w:rsid w:val="008F6F1A"/>
    <w:rsid w:val="008F73F4"/>
    <w:rsid w:val="008F7897"/>
    <w:rsid w:val="009005EA"/>
    <w:rsid w:val="0090137A"/>
    <w:rsid w:val="00903370"/>
    <w:rsid w:val="00905308"/>
    <w:rsid w:val="00906CB3"/>
    <w:rsid w:val="0091349A"/>
    <w:rsid w:val="009135A5"/>
    <w:rsid w:val="009136A3"/>
    <w:rsid w:val="00914399"/>
    <w:rsid w:val="009147CB"/>
    <w:rsid w:val="0091530C"/>
    <w:rsid w:val="00915401"/>
    <w:rsid w:val="009158BF"/>
    <w:rsid w:val="00916A14"/>
    <w:rsid w:val="00917DA4"/>
    <w:rsid w:val="00920EA7"/>
    <w:rsid w:val="00920FCF"/>
    <w:rsid w:val="009214EC"/>
    <w:rsid w:val="00921C37"/>
    <w:rsid w:val="009231DC"/>
    <w:rsid w:val="00925B33"/>
    <w:rsid w:val="00925B62"/>
    <w:rsid w:val="00932B28"/>
    <w:rsid w:val="00933E08"/>
    <w:rsid w:val="009342FC"/>
    <w:rsid w:val="00934A65"/>
    <w:rsid w:val="00936068"/>
    <w:rsid w:val="00941EEA"/>
    <w:rsid w:val="00943806"/>
    <w:rsid w:val="00946351"/>
    <w:rsid w:val="009517CC"/>
    <w:rsid w:val="0095195E"/>
    <w:rsid w:val="009519C7"/>
    <w:rsid w:val="00955A4E"/>
    <w:rsid w:val="009615D4"/>
    <w:rsid w:val="009618B4"/>
    <w:rsid w:val="00961DF9"/>
    <w:rsid w:val="00962905"/>
    <w:rsid w:val="00970A20"/>
    <w:rsid w:val="009710D7"/>
    <w:rsid w:val="0097163D"/>
    <w:rsid w:val="009721F8"/>
    <w:rsid w:val="00974677"/>
    <w:rsid w:val="009758C6"/>
    <w:rsid w:val="00975DA3"/>
    <w:rsid w:val="00976023"/>
    <w:rsid w:val="00976CEC"/>
    <w:rsid w:val="00980461"/>
    <w:rsid w:val="0098176B"/>
    <w:rsid w:val="009825E6"/>
    <w:rsid w:val="009864AF"/>
    <w:rsid w:val="009901F4"/>
    <w:rsid w:val="0099172E"/>
    <w:rsid w:val="00992B51"/>
    <w:rsid w:val="009969C3"/>
    <w:rsid w:val="009A0787"/>
    <w:rsid w:val="009A2BB3"/>
    <w:rsid w:val="009A2F17"/>
    <w:rsid w:val="009A2FC3"/>
    <w:rsid w:val="009A3C2B"/>
    <w:rsid w:val="009A4E85"/>
    <w:rsid w:val="009C1E14"/>
    <w:rsid w:val="009C3BA2"/>
    <w:rsid w:val="009C5313"/>
    <w:rsid w:val="009C6075"/>
    <w:rsid w:val="009C6086"/>
    <w:rsid w:val="009D24F5"/>
    <w:rsid w:val="009D3A22"/>
    <w:rsid w:val="009D3EB2"/>
    <w:rsid w:val="009D48BD"/>
    <w:rsid w:val="009D7D6B"/>
    <w:rsid w:val="009E19A3"/>
    <w:rsid w:val="009E2608"/>
    <w:rsid w:val="009E2BF5"/>
    <w:rsid w:val="009E4DC0"/>
    <w:rsid w:val="009E61A8"/>
    <w:rsid w:val="009F145A"/>
    <w:rsid w:val="009F17C2"/>
    <w:rsid w:val="00A00416"/>
    <w:rsid w:val="00A017BA"/>
    <w:rsid w:val="00A05F2B"/>
    <w:rsid w:val="00A0757A"/>
    <w:rsid w:val="00A119B1"/>
    <w:rsid w:val="00A1238A"/>
    <w:rsid w:val="00A128B7"/>
    <w:rsid w:val="00A13664"/>
    <w:rsid w:val="00A14247"/>
    <w:rsid w:val="00A14BFD"/>
    <w:rsid w:val="00A15C96"/>
    <w:rsid w:val="00A16103"/>
    <w:rsid w:val="00A17F83"/>
    <w:rsid w:val="00A248A9"/>
    <w:rsid w:val="00A24C50"/>
    <w:rsid w:val="00A25D94"/>
    <w:rsid w:val="00A274EC"/>
    <w:rsid w:val="00A330B5"/>
    <w:rsid w:val="00A33FDE"/>
    <w:rsid w:val="00A416AD"/>
    <w:rsid w:val="00A4469D"/>
    <w:rsid w:val="00A471AE"/>
    <w:rsid w:val="00A47BEA"/>
    <w:rsid w:val="00A50CD9"/>
    <w:rsid w:val="00A51374"/>
    <w:rsid w:val="00A53124"/>
    <w:rsid w:val="00A531AF"/>
    <w:rsid w:val="00A5529A"/>
    <w:rsid w:val="00A55A4F"/>
    <w:rsid w:val="00A5703F"/>
    <w:rsid w:val="00A60EAF"/>
    <w:rsid w:val="00A62C6A"/>
    <w:rsid w:val="00A63ED9"/>
    <w:rsid w:val="00A644FB"/>
    <w:rsid w:val="00A655DC"/>
    <w:rsid w:val="00A65DCB"/>
    <w:rsid w:val="00A668D5"/>
    <w:rsid w:val="00A74BB5"/>
    <w:rsid w:val="00A75300"/>
    <w:rsid w:val="00A75DCB"/>
    <w:rsid w:val="00A8183A"/>
    <w:rsid w:val="00A8236B"/>
    <w:rsid w:val="00A83DBA"/>
    <w:rsid w:val="00A86051"/>
    <w:rsid w:val="00A8625F"/>
    <w:rsid w:val="00A87AB4"/>
    <w:rsid w:val="00A90151"/>
    <w:rsid w:val="00A90256"/>
    <w:rsid w:val="00A91551"/>
    <w:rsid w:val="00A922F2"/>
    <w:rsid w:val="00A9359B"/>
    <w:rsid w:val="00A94C1C"/>
    <w:rsid w:val="00A9545C"/>
    <w:rsid w:val="00A970A6"/>
    <w:rsid w:val="00A97106"/>
    <w:rsid w:val="00A977D8"/>
    <w:rsid w:val="00A97817"/>
    <w:rsid w:val="00AA0AF4"/>
    <w:rsid w:val="00AA163B"/>
    <w:rsid w:val="00AA1BE2"/>
    <w:rsid w:val="00AA2D2A"/>
    <w:rsid w:val="00AA3569"/>
    <w:rsid w:val="00AA5B60"/>
    <w:rsid w:val="00AA6783"/>
    <w:rsid w:val="00AA6E13"/>
    <w:rsid w:val="00AA70F6"/>
    <w:rsid w:val="00AB0741"/>
    <w:rsid w:val="00AB10F4"/>
    <w:rsid w:val="00AB2D17"/>
    <w:rsid w:val="00AB2DCF"/>
    <w:rsid w:val="00AB34AD"/>
    <w:rsid w:val="00AB46E2"/>
    <w:rsid w:val="00AB79CC"/>
    <w:rsid w:val="00AC02A8"/>
    <w:rsid w:val="00AC0561"/>
    <w:rsid w:val="00AC2C28"/>
    <w:rsid w:val="00AC4F7C"/>
    <w:rsid w:val="00AC587D"/>
    <w:rsid w:val="00AC7228"/>
    <w:rsid w:val="00AD1AA2"/>
    <w:rsid w:val="00AD3A19"/>
    <w:rsid w:val="00AD627E"/>
    <w:rsid w:val="00AD7323"/>
    <w:rsid w:val="00AD7A30"/>
    <w:rsid w:val="00AD7EB7"/>
    <w:rsid w:val="00AE058D"/>
    <w:rsid w:val="00AE2C6C"/>
    <w:rsid w:val="00AE3026"/>
    <w:rsid w:val="00AE528A"/>
    <w:rsid w:val="00AE614F"/>
    <w:rsid w:val="00AE6C75"/>
    <w:rsid w:val="00AF28A2"/>
    <w:rsid w:val="00AF3BD9"/>
    <w:rsid w:val="00AF479F"/>
    <w:rsid w:val="00B044BC"/>
    <w:rsid w:val="00B04EB2"/>
    <w:rsid w:val="00B053FC"/>
    <w:rsid w:val="00B11F80"/>
    <w:rsid w:val="00B225CB"/>
    <w:rsid w:val="00B228A2"/>
    <w:rsid w:val="00B23258"/>
    <w:rsid w:val="00B23603"/>
    <w:rsid w:val="00B23F6A"/>
    <w:rsid w:val="00B257BF"/>
    <w:rsid w:val="00B302FA"/>
    <w:rsid w:val="00B3238B"/>
    <w:rsid w:val="00B32542"/>
    <w:rsid w:val="00B32D6C"/>
    <w:rsid w:val="00B34048"/>
    <w:rsid w:val="00B341C0"/>
    <w:rsid w:val="00B34683"/>
    <w:rsid w:val="00B372FC"/>
    <w:rsid w:val="00B3749D"/>
    <w:rsid w:val="00B3768C"/>
    <w:rsid w:val="00B37F01"/>
    <w:rsid w:val="00B43747"/>
    <w:rsid w:val="00B443CC"/>
    <w:rsid w:val="00B44D3B"/>
    <w:rsid w:val="00B45361"/>
    <w:rsid w:val="00B46A4E"/>
    <w:rsid w:val="00B4765B"/>
    <w:rsid w:val="00B50882"/>
    <w:rsid w:val="00B51719"/>
    <w:rsid w:val="00B51FBE"/>
    <w:rsid w:val="00B57D6E"/>
    <w:rsid w:val="00B57ED2"/>
    <w:rsid w:val="00B60AA3"/>
    <w:rsid w:val="00B63466"/>
    <w:rsid w:val="00B65DAA"/>
    <w:rsid w:val="00B66B2F"/>
    <w:rsid w:val="00B70959"/>
    <w:rsid w:val="00B720EC"/>
    <w:rsid w:val="00B73B12"/>
    <w:rsid w:val="00B74F0C"/>
    <w:rsid w:val="00B74F7F"/>
    <w:rsid w:val="00B75B08"/>
    <w:rsid w:val="00B75D0C"/>
    <w:rsid w:val="00B7663C"/>
    <w:rsid w:val="00B84869"/>
    <w:rsid w:val="00B85C9C"/>
    <w:rsid w:val="00B86607"/>
    <w:rsid w:val="00B875AF"/>
    <w:rsid w:val="00B87859"/>
    <w:rsid w:val="00B91694"/>
    <w:rsid w:val="00B91D47"/>
    <w:rsid w:val="00B93D97"/>
    <w:rsid w:val="00B953E2"/>
    <w:rsid w:val="00B95463"/>
    <w:rsid w:val="00BA3CB8"/>
    <w:rsid w:val="00BA7623"/>
    <w:rsid w:val="00BB7119"/>
    <w:rsid w:val="00BC0DCE"/>
    <w:rsid w:val="00BC1217"/>
    <w:rsid w:val="00BC127C"/>
    <w:rsid w:val="00BC219C"/>
    <w:rsid w:val="00BC263C"/>
    <w:rsid w:val="00BC2DD1"/>
    <w:rsid w:val="00BC2F62"/>
    <w:rsid w:val="00BC4ABC"/>
    <w:rsid w:val="00BC4C78"/>
    <w:rsid w:val="00BC6606"/>
    <w:rsid w:val="00BC7C1B"/>
    <w:rsid w:val="00BC7D23"/>
    <w:rsid w:val="00BD190D"/>
    <w:rsid w:val="00BD1972"/>
    <w:rsid w:val="00BD2342"/>
    <w:rsid w:val="00BD34E0"/>
    <w:rsid w:val="00BD7C1E"/>
    <w:rsid w:val="00BE0070"/>
    <w:rsid w:val="00BE134D"/>
    <w:rsid w:val="00BE2439"/>
    <w:rsid w:val="00BE311B"/>
    <w:rsid w:val="00BF0EF2"/>
    <w:rsid w:val="00BF11A0"/>
    <w:rsid w:val="00BF48C6"/>
    <w:rsid w:val="00BF4909"/>
    <w:rsid w:val="00BF68C8"/>
    <w:rsid w:val="00BF78E8"/>
    <w:rsid w:val="00C016A3"/>
    <w:rsid w:val="00C01E68"/>
    <w:rsid w:val="00C041E1"/>
    <w:rsid w:val="00C047D1"/>
    <w:rsid w:val="00C05785"/>
    <w:rsid w:val="00C11924"/>
    <w:rsid w:val="00C14016"/>
    <w:rsid w:val="00C142B7"/>
    <w:rsid w:val="00C14683"/>
    <w:rsid w:val="00C174A0"/>
    <w:rsid w:val="00C17B40"/>
    <w:rsid w:val="00C221A0"/>
    <w:rsid w:val="00C238D1"/>
    <w:rsid w:val="00C24914"/>
    <w:rsid w:val="00C25C46"/>
    <w:rsid w:val="00C26E28"/>
    <w:rsid w:val="00C30037"/>
    <w:rsid w:val="00C31E23"/>
    <w:rsid w:val="00C326F9"/>
    <w:rsid w:val="00C32FE4"/>
    <w:rsid w:val="00C33B1B"/>
    <w:rsid w:val="00C36FFC"/>
    <w:rsid w:val="00C37A29"/>
    <w:rsid w:val="00C4366E"/>
    <w:rsid w:val="00C5299A"/>
    <w:rsid w:val="00C557FE"/>
    <w:rsid w:val="00C57C2F"/>
    <w:rsid w:val="00C62EAB"/>
    <w:rsid w:val="00C632FB"/>
    <w:rsid w:val="00C64487"/>
    <w:rsid w:val="00C645B1"/>
    <w:rsid w:val="00C66EA6"/>
    <w:rsid w:val="00C70D80"/>
    <w:rsid w:val="00C70EFC"/>
    <w:rsid w:val="00C713D7"/>
    <w:rsid w:val="00C71688"/>
    <w:rsid w:val="00C7577C"/>
    <w:rsid w:val="00C75891"/>
    <w:rsid w:val="00C75A23"/>
    <w:rsid w:val="00C75BBC"/>
    <w:rsid w:val="00C75C56"/>
    <w:rsid w:val="00C7771C"/>
    <w:rsid w:val="00C83E5F"/>
    <w:rsid w:val="00C853E5"/>
    <w:rsid w:val="00C85AAF"/>
    <w:rsid w:val="00C908F7"/>
    <w:rsid w:val="00C92AF0"/>
    <w:rsid w:val="00C932F3"/>
    <w:rsid w:val="00C94E9B"/>
    <w:rsid w:val="00C9778E"/>
    <w:rsid w:val="00CA0B3F"/>
    <w:rsid w:val="00CA2ABD"/>
    <w:rsid w:val="00CB140F"/>
    <w:rsid w:val="00CB2AF0"/>
    <w:rsid w:val="00CB4AA4"/>
    <w:rsid w:val="00CB4B7A"/>
    <w:rsid w:val="00CB689D"/>
    <w:rsid w:val="00CB74E0"/>
    <w:rsid w:val="00CC01A2"/>
    <w:rsid w:val="00CC037C"/>
    <w:rsid w:val="00CC13D3"/>
    <w:rsid w:val="00CC3DE4"/>
    <w:rsid w:val="00CC459B"/>
    <w:rsid w:val="00CC5A21"/>
    <w:rsid w:val="00CC5F5B"/>
    <w:rsid w:val="00CC644C"/>
    <w:rsid w:val="00CD0ECA"/>
    <w:rsid w:val="00CD1507"/>
    <w:rsid w:val="00CD177F"/>
    <w:rsid w:val="00CD1D35"/>
    <w:rsid w:val="00CD1D4D"/>
    <w:rsid w:val="00CD22BB"/>
    <w:rsid w:val="00CD483D"/>
    <w:rsid w:val="00CD61EB"/>
    <w:rsid w:val="00CD64CF"/>
    <w:rsid w:val="00CD7F44"/>
    <w:rsid w:val="00CE4063"/>
    <w:rsid w:val="00CE43AF"/>
    <w:rsid w:val="00CE4D3A"/>
    <w:rsid w:val="00CE64FD"/>
    <w:rsid w:val="00CE7236"/>
    <w:rsid w:val="00CF02F0"/>
    <w:rsid w:val="00CF1231"/>
    <w:rsid w:val="00CF30ED"/>
    <w:rsid w:val="00CF35B1"/>
    <w:rsid w:val="00CF3DED"/>
    <w:rsid w:val="00CF4BC6"/>
    <w:rsid w:val="00CF7F06"/>
    <w:rsid w:val="00D013FD"/>
    <w:rsid w:val="00D01615"/>
    <w:rsid w:val="00D02433"/>
    <w:rsid w:val="00D02BB2"/>
    <w:rsid w:val="00D0352E"/>
    <w:rsid w:val="00D0698F"/>
    <w:rsid w:val="00D10F14"/>
    <w:rsid w:val="00D14593"/>
    <w:rsid w:val="00D15113"/>
    <w:rsid w:val="00D15B7C"/>
    <w:rsid w:val="00D15B7D"/>
    <w:rsid w:val="00D15C77"/>
    <w:rsid w:val="00D169D3"/>
    <w:rsid w:val="00D16F74"/>
    <w:rsid w:val="00D2156F"/>
    <w:rsid w:val="00D21C98"/>
    <w:rsid w:val="00D23084"/>
    <w:rsid w:val="00D23225"/>
    <w:rsid w:val="00D23303"/>
    <w:rsid w:val="00D23E87"/>
    <w:rsid w:val="00D242D2"/>
    <w:rsid w:val="00D30791"/>
    <w:rsid w:val="00D310FD"/>
    <w:rsid w:val="00D31E3E"/>
    <w:rsid w:val="00D330CA"/>
    <w:rsid w:val="00D3316D"/>
    <w:rsid w:val="00D35446"/>
    <w:rsid w:val="00D356DA"/>
    <w:rsid w:val="00D37882"/>
    <w:rsid w:val="00D41DDC"/>
    <w:rsid w:val="00D43151"/>
    <w:rsid w:val="00D44558"/>
    <w:rsid w:val="00D458ED"/>
    <w:rsid w:val="00D45E40"/>
    <w:rsid w:val="00D46FD9"/>
    <w:rsid w:val="00D50706"/>
    <w:rsid w:val="00D50751"/>
    <w:rsid w:val="00D50863"/>
    <w:rsid w:val="00D51239"/>
    <w:rsid w:val="00D521AF"/>
    <w:rsid w:val="00D55051"/>
    <w:rsid w:val="00D56D3C"/>
    <w:rsid w:val="00D573FF"/>
    <w:rsid w:val="00D60649"/>
    <w:rsid w:val="00D61E88"/>
    <w:rsid w:val="00D6524C"/>
    <w:rsid w:val="00D6650A"/>
    <w:rsid w:val="00D668CE"/>
    <w:rsid w:val="00D7114D"/>
    <w:rsid w:val="00D76E79"/>
    <w:rsid w:val="00D77F9F"/>
    <w:rsid w:val="00D83923"/>
    <w:rsid w:val="00D84352"/>
    <w:rsid w:val="00D8728E"/>
    <w:rsid w:val="00D9303A"/>
    <w:rsid w:val="00D9419D"/>
    <w:rsid w:val="00D96F65"/>
    <w:rsid w:val="00DA0AF9"/>
    <w:rsid w:val="00DA136C"/>
    <w:rsid w:val="00DA3017"/>
    <w:rsid w:val="00DA5484"/>
    <w:rsid w:val="00DA5812"/>
    <w:rsid w:val="00DA6817"/>
    <w:rsid w:val="00DB133E"/>
    <w:rsid w:val="00DB1FE4"/>
    <w:rsid w:val="00DB7428"/>
    <w:rsid w:val="00DB7E8D"/>
    <w:rsid w:val="00DC1012"/>
    <w:rsid w:val="00DC18D8"/>
    <w:rsid w:val="00DC1B37"/>
    <w:rsid w:val="00DC25B8"/>
    <w:rsid w:val="00DC290C"/>
    <w:rsid w:val="00DC4FD7"/>
    <w:rsid w:val="00DC5DFF"/>
    <w:rsid w:val="00DC6296"/>
    <w:rsid w:val="00DC6996"/>
    <w:rsid w:val="00DC6B55"/>
    <w:rsid w:val="00DC74CB"/>
    <w:rsid w:val="00DC7DCE"/>
    <w:rsid w:val="00DD0B29"/>
    <w:rsid w:val="00DD134A"/>
    <w:rsid w:val="00DD2730"/>
    <w:rsid w:val="00DD2CEB"/>
    <w:rsid w:val="00DD6473"/>
    <w:rsid w:val="00DD6E00"/>
    <w:rsid w:val="00DE07FB"/>
    <w:rsid w:val="00DE32EA"/>
    <w:rsid w:val="00DE4699"/>
    <w:rsid w:val="00DE63DD"/>
    <w:rsid w:val="00DF3B97"/>
    <w:rsid w:val="00DF4BDB"/>
    <w:rsid w:val="00DF4E3E"/>
    <w:rsid w:val="00DF56E3"/>
    <w:rsid w:val="00DF57D9"/>
    <w:rsid w:val="00DF60B9"/>
    <w:rsid w:val="00DF63B7"/>
    <w:rsid w:val="00DF7137"/>
    <w:rsid w:val="00DF7DB3"/>
    <w:rsid w:val="00E010CD"/>
    <w:rsid w:val="00E023F7"/>
    <w:rsid w:val="00E0453D"/>
    <w:rsid w:val="00E05FA6"/>
    <w:rsid w:val="00E105FB"/>
    <w:rsid w:val="00E10D9C"/>
    <w:rsid w:val="00E122AD"/>
    <w:rsid w:val="00E153D0"/>
    <w:rsid w:val="00E15A2F"/>
    <w:rsid w:val="00E15B7D"/>
    <w:rsid w:val="00E204A0"/>
    <w:rsid w:val="00E226BD"/>
    <w:rsid w:val="00E23F43"/>
    <w:rsid w:val="00E25474"/>
    <w:rsid w:val="00E3143F"/>
    <w:rsid w:val="00E32EE5"/>
    <w:rsid w:val="00E32F93"/>
    <w:rsid w:val="00E34377"/>
    <w:rsid w:val="00E3438E"/>
    <w:rsid w:val="00E36C80"/>
    <w:rsid w:val="00E36DB1"/>
    <w:rsid w:val="00E379F7"/>
    <w:rsid w:val="00E400D8"/>
    <w:rsid w:val="00E421EF"/>
    <w:rsid w:val="00E451CC"/>
    <w:rsid w:val="00E4685B"/>
    <w:rsid w:val="00E47107"/>
    <w:rsid w:val="00E51B96"/>
    <w:rsid w:val="00E52995"/>
    <w:rsid w:val="00E530D8"/>
    <w:rsid w:val="00E54ACD"/>
    <w:rsid w:val="00E54B2B"/>
    <w:rsid w:val="00E55300"/>
    <w:rsid w:val="00E55D4C"/>
    <w:rsid w:val="00E56E57"/>
    <w:rsid w:val="00E612EC"/>
    <w:rsid w:val="00E61632"/>
    <w:rsid w:val="00E63A3B"/>
    <w:rsid w:val="00E642E7"/>
    <w:rsid w:val="00E66379"/>
    <w:rsid w:val="00E67B99"/>
    <w:rsid w:val="00E70DD7"/>
    <w:rsid w:val="00E72DB6"/>
    <w:rsid w:val="00E72EE0"/>
    <w:rsid w:val="00E741FB"/>
    <w:rsid w:val="00E7478D"/>
    <w:rsid w:val="00E8036C"/>
    <w:rsid w:val="00E8469D"/>
    <w:rsid w:val="00E87D0A"/>
    <w:rsid w:val="00E90231"/>
    <w:rsid w:val="00E91A7E"/>
    <w:rsid w:val="00E91FED"/>
    <w:rsid w:val="00E94D37"/>
    <w:rsid w:val="00E9510D"/>
    <w:rsid w:val="00E96FF1"/>
    <w:rsid w:val="00E97AAF"/>
    <w:rsid w:val="00EA1943"/>
    <w:rsid w:val="00EA1CB7"/>
    <w:rsid w:val="00EA3BAE"/>
    <w:rsid w:val="00EA5D60"/>
    <w:rsid w:val="00EA6EF7"/>
    <w:rsid w:val="00EB3F9D"/>
    <w:rsid w:val="00EB50D7"/>
    <w:rsid w:val="00EB5DC6"/>
    <w:rsid w:val="00EB695F"/>
    <w:rsid w:val="00EC0201"/>
    <w:rsid w:val="00EC109E"/>
    <w:rsid w:val="00ED4983"/>
    <w:rsid w:val="00ED4A2D"/>
    <w:rsid w:val="00ED4BCD"/>
    <w:rsid w:val="00EE0032"/>
    <w:rsid w:val="00EE55AF"/>
    <w:rsid w:val="00EE5601"/>
    <w:rsid w:val="00EE6F14"/>
    <w:rsid w:val="00EE7809"/>
    <w:rsid w:val="00EF3F23"/>
    <w:rsid w:val="00EF6C20"/>
    <w:rsid w:val="00F00E27"/>
    <w:rsid w:val="00F0144C"/>
    <w:rsid w:val="00F01B17"/>
    <w:rsid w:val="00F01BC6"/>
    <w:rsid w:val="00F04EA7"/>
    <w:rsid w:val="00F06066"/>
    <w:rsid w:val="00F06C8E"/>
    <w:rsid w:val="00F07CFF"/>
    <w:rsid w:val="00F13CDD"/>
    <w:rsid w:val="00F1468B"/>
    <w:rsid w:val="00F162D4"/>
    <w:rsid w:val="00F173EF"/>
    <w:rsid w:val="00F17D63"/>
    <w:rsid w:val="00F2015B"/>
    <w:rsid w:val="00F2058B"/>
    <w:rsid w:val="00F25AE6"/>
    <w:rsid w:val="00F27146"/>
    <w:rsid w:val="00F27A6D"/>
    <w:rsid w:val="00F3170B"/>
    <w:rsid w:val="00F3209B"/>
    <w:rsid w:val="00F3214C"/>
    <w:rsid w:val="00F33F8D"/>
    <w:rsid w:val="00F34011"/>
    <w:rsid w:val="00F34B43"/>
    <w:rsid w:val="00F37CB6"/>
    <w:rsid w:val="00F37F65"/>
    <w:rsid w:val="00F4010B"/>
    <w:rsid w:val="00F402E6"/>
    <w:rsid w:val="00F407ED"/>
    <w:rsid w:val="00F4524D"/>
    <w:rsid w:val="00F46E42"/>
    <w:rsid w:val="00F4702C"/>
    <w:rsid w:val="00F505B8"/>
    <w:rsid w:val="00F53EFE"/>
    <w:rsid w:val="00F60BA2"/>
    <w:rsid w:val="00F634F6"/>
    <w:rsid w:val="00F737A5"/>
    <w:rsid w:val="00F73A0B"/>
    <w:rsid w:val="00F751CB"/>
    <w:rsid w:val="00F77B4D"/>
    <w:rsid w:val="00F829F8"/>
    <w:rsid w:val="00F83C5C"/>
    <w:rsid w:val="00F84B4F"/>
    <w:rsid w:val="00F8564C"/>
    <w:rsid w:val="00F87B07"/>
    <w:rsid w:val="00F94880"/>
    <w:rsid w:val="00FA30E5"/>
    <w:rsid w:val="00FA33D2"/>
    <w:rsid w:val="00FA4912"/>
    <w:rsid w:val="00FA52AB"/>
    <w:rsid w:val="00FA615A"/>
    <w:rsid w:val="00FB016C"/>
    <w:rsid w:val="00FB28A4"/>
    <w:rsid w:val="00FB2F3D"/>
    <w:rsid w:val="00FB4E93"/>
    <w:rsid w:val="00FC08C2"/>
    <w:rsid w:val="00FC2D8B"/>
    <w:rsid w:val="00FC343A"/>
    <w:rsid w:val="00FC65B5"/>
    <w:rsid w:val="00FD0417"/>
    <w:rsid w:val="00FD3009"/>
    <w:rsid w:val="00FD3306"/>
    <w:rsid w:val="00FD36B1"/>
    <w:rsid w:val="00FD3FE4"/>
    <w:rsid w:val="00FE326A"/>
    <w:rsid w:val="00FE3EC6"/>
    <w:rsid w:val="00FE59FD"/>
    <w:rsid w:val="00FE7F98"/>
    <w:rsid w:val="00FF0776"/>
    <w:rsid w:val="00FF1997"/>
    <w:rsid w:val="00FF2A0E"/>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38A48"/>
  <w15:chartTrackingRefBased/>
  <w15:docId w15:val="{3A5F58A9-8936-4A88-B733-A2DA3BB6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8"/>
      </w:numPr>
      <w:contextualSpacing/>
    </w:pPr>
  </w:style>
  <w:style w:type="paragraph" w:styleId="ListBullet2">
    <w:name w:val="List Bullet 2"/>
    <w:basedOn w:val="Normal"/>
    <w:uiPriority w:val="1"/>
    <w:qFormat/>
    <w:rsid w:val="00415A0E"/>
    <w:pPr>
      <w:numPr>
        <w:ilvl w:val="1"/>
        <w:numId w:val="18"/>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8"/>
      </w:numPr>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unhideWhenUsed/>
    <w:rsid w:val="00F83C5C"/>
    <w:pPr>
      <w:spacing w:line="240" w:lineRule="auto"/>
    </w:pPr>
  </w:style>
  <w:style w:type="character" w:customStyle="1" w:styleId="CommentTextChar">
    <w:name w:val="Comment Text Char"/>
    <w:basedOn w:val="DefaultParagraphFont"/>
    <w:link w:val="CommentText"/>
    <w:uiPriority w:val="99"/>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C7771C"/>
    <w:pPr>
      <w:spacing w:before="46" w:after="46"/>
      <w:ind w:left="170" w:hanging="113"/>
    </w:pPr>
    <w:rPr>
      <w:sz w:val="18"/>
    </w:rPr>
  </w:style>
  <w:style w:type="paragraph" w:styleId="Bibliography">
    <w:name w:val="Bibliography"/>
    <w:basedOn w:val="Normal"/>
    <w:next w:val="Normal"/>
    <w:uiPriority w:val="37"/>
    <w:unhideWhenUsed/>
    <w:rsid w:val="008145B1"/>
    <w:pPr>
      <w:spacing w:after="240" w:line="240"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p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creek\AppData\Local\Temp\Templafy\WordVsto\chapter.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MPWT-2140667901-96433</_dlc_DocId>
    <_dlc_DocIdUrl xmlns="20393cdf-440a-4521-8f19-00ba43423d00">
      <Url>https://pcgov.sharepoint.com/sites/sceteam/_layouts/15/DocIdRedir.aspx?ID=MPWT-2140667901-96433</Url>
      <Description>MPWT-2140667901-96433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29051ec90b1e29ca33bb138c0c66588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6dda05a9878155aa22fa365d8a8bc8f5"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mplafyTemplateConfiguration><![CDATA[{"elementsMetadata":[],"transformationConfigurations":[],"templateName":"chapter","templateDescription":"","enableDocumentContentUpdater":false,"version":"2.0"}]]></TemplafyTemplateConfiguration>
</file>

<file path=customXml/itemProps1.xml><?xml version="1.0" encoding="utf-8"?>
<ds:datastoreItem xmlns:ds="http://schemas.openxmlformats.org/officeDocument/2006/customXml" ds:itemID="{5D3CFF37-6F0B-480F-8A29-523921990DF7}">
  <ds:schemaRefs>
    <ds:schemaRef ds:uri="http://schemas.microsoft.com/sharepoint/events"/>
  </ds:schemaRefs>
</ds:datastoreItem>
</file>

<file path=customXml/itemProps2.xml><?xml version="1.0" encoding="utf-8"?>
<ds:datastoreItem xmlns:ds="http://schemas.openxmlformats.org/officeDocument/2006/customXml" ds:itemID="{9897F752-2238-441E-ABA5-DB8C10DEA577}">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A9375862-7444-4178-95BA-49A058BB7408}">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5.xml><?xml version="1.0" encoding="utf-8"?>
<ds:datastoreItem xmlns:ds="http://schemas.openxmlformats.org/officeDocument/2006/customXml" ds:itemID="{9AEC5FCB-ADF8-464D-9830-E76C268395B0}">
  <ds:schemaRefs>
    <ds:schemaRef ds:uri="http://schemas.microsoft.com/sharepoint/v3/contenttype/forms"/>
  </ds:schemaRefs>
</ds:datastoreItem>
</file>

<file path=customXml/itemProps6.xml><?xml version="1.0" encoding="utf-8"?>
<ds:datastoreItem xmlns:ds="http://schemas.openxmlformats.org/officeDocument/2006/customXml" ds:itemID="{A1FC6F77-BDA5-472F-8451-FF35F3551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CCDCE8C-2FF2-479D-91C1-79A7A7683D3C}">
  <ds:schemaRefs/>
</ds:datastoreItem>
</file>

<file path=docProps/app.xml><?xml version="1.0" encoding="utf-8"?>
<Properties xmlns="http://schemas.openxmlformats.org/officeDocument/2006/extended-properties" xmlns:vt="http://schemas.openxmlformats.org/officeDocument/2006/docPropsVTypes">
  <Template>chapter.dotx</Template>
  <TotalTime>36</TotalTime>
  <Pages>4</Pages>
  <Words>1349</Words>
  <Characters>8378</Characters>
  <Application>Microsoft Office Word</Application>
  <DocSecurity>0</DocSecurity>
  <Lines>135</Lines>
  <Paragraphs>50</Paragraphs>
  <ScaleCrop>false</ScaleCrop>
  <HeadingPairs>
    <vt:vector size="2" baseType="variant">
      <vt:variant>
        <vt:lpstr>Title</vt:lpstr>
      </vt:variant>
      <vt:variant>
        <vt:i4>1</vt:i4>
      </vt:variant>
    </vt:vector>
  </HeadingPairs>
  <TitlesOfParts>
    <vt:vector size="1" baseType="lpstr">
      <vt:lpstr>The effect of regulatory burden on housing productivity and supply</vt:lpstr>
    </vt:vector>
  </TitlesOfParts>
  <Company>Productivity Commission</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regulatory burden on housing productivity and supply</dc:title>
  <dc:subject/>
  <dc:creator>Productivity Commission</dc:creator>
  <cp:keywords/>
  <dc:description/>
  <cp:lastModifiedBy>Chris Alston</cp:lastModifiedBy>
  <cp:revision>28</cp:revision>
  <cp:lastPrinted>2026-03-27T03:07:00Z</cp:lastPrinted>
  <dcterms:created xsi:type="dcterms:W3CDTF">2026-03-23T17:36:00Z</dcterms:created>
  <dcterms:modified xsi:type="dcterms:W3CDTF">2026-03-27T04:04:00Z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ournalAbbreviations" value="true"/&gt;&lt;/prefs&gt;&lt;/data&gt;</vt:lpwstr>
  </property>
  <property fmtid="{D5CDD505-2E9C-101B-9397-08002B2CF9AE}" pid="3" name="ContentTypeId">
    <vt:lpwstr>0x0101006C0B5E815648EF46B6FA6D42F17E5E9F000C963E276195B04F83BC027CFDC94A8D</vt:lpwstr>
  </property>
  <property fmtid="{D5CDD505-2E9C-101B-9397-08002B2CF9AE}" pid="4" name="RevIMBCS">
    <vt:lpwstr>1;#Unclassified|3955eeb1-2d18-4582-aeb2-00144ec3aaf5</vt:lpwstr>
  </property>
  <property fmtid="{D5CDD505-2E9C-101B-9397-08002B2CF9AE}" pid="5" name="ClassificationContentMarkingHeaderShapeIds">
    <vt:lpwstr>52e6898c,642ed84a,d04a9c6</vt:lpwstr>
  </property>
  <property fmtid="{D5CDD505-2E9C-101B-9397-08002B2CF9AE}" pid="6" name="ClassificationContentMarkingHeaderFontProps">
    <vt:lpwstr>#000000,12,Calibri</vt:lpwstr>
  </property>
  <property fmtid="{D5CDD505-2E9C-101B-9397-08002B2CF9AE}" pid="7" name="ClassificationContentMarkingHeaderText">
    <vt:lpwstr> OFFICIAL</vt:lpwstr>
  </property>
  <property fmtid="{D5CDD505-2E9C-101B-9397-08002B2CF9AE}" pid="8" name="MediaServiceImageTags">
    <vt:lpwstr/>
  </property>
  <property fmtid="{D5CDD505-2E9C-101B-9397-08002B2CF9AE}" pid="9" name="TemplafyTenantId">
    <vt:lpwstr>productivitycommission</vt:lpwstr>
  </property>
  <property fmtid="{D5CDD505-2E9C-101B-9397-08002B2CF9AE}" pid="10" name="TemplafyTemplateId">
    <vt:lpwstr>637629323564275408</vt:lpwstr>
  </property>
  <property fmtid="{D5CDD505-2E9C-101B-9397-08002B2CF9AE}" pid="11" name="TemplafyUserProfileId">
    <vt:lpwstr>637783396069331536</vt:lpwstr>
  </property>
  <property fmtid="{D5CDD505-2E9C-101B-9397-08002B2CF9AE}" pid="12" name="TemplafyFromBlank">
    <vt:bool>false</vt:bool>
  </property>
  <property fmtid="{D5CDD505-2E9C-101B-9397-08002B2CF9AE}" pid="13" name="ZOTERO_PREF_1">
    <vt:lpwstr>&lt;data data-version="3" zotero-version="8.0.4"&gt;&lt;session id="ejRUxyyX"/&gt;&lt;style id="http://www.zotero.org/styles/Productivity-Commission" hasBibliography="1" bibliographyStyleHasBeenSet="1"/&gt;&lt;prefs&gt;&lt;pref name="fieldType" value="Field"/&gt;&lt;pref name="automaticJ</vt:lpwstr>
  </property>
  <property fmtid="{D5CDD505-2E9C-101B-9397-08002B2CF9AE}" pid="14" name="docLang">
    <vt:lpwstr>en</vt:lpwstr>
  </property>
  <property fmtid="{D5CDD505-2E9C-101B-9397-08002B2CF9AE}" pid="15" name="_dlc_DocIdItemGuid">
    <vt:lpwstr>e634d7f2-7175-412e-953b-5ae1ba66c356</vt:lpwstr>
  </property>
  <property fmtid="{D5CDD505-2E9C-101B-9397-08002B2CF9AE}" pid="16" name="MSIP_Label_c1f2b1ce-4212-46db-a901-dd8453f57141_Enabled">
    <vt:lpwstr>true</vt:lpwstr>
  </property>
  <property fmtid="{D5CDD505-2E9C-101B-9397-08002B2CF9AE}" pid="17" name="MSIP_Label_c1f2b1ce-4212-46db-a901-dd8453f57141_SetDate">
    <vt:lpwstr>2026-03-24T11:48:27Z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948ac0b3-d888-4257-b2a5-0d257a0a71ba</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ies>
</file>