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0A18" w14:textId="0F6B7433" w:rsidR="00915562" w:rsidRDefault="00915562" w:rsidP="00E03426">
      <w:pPr>
        <w:ind w:left="1134" w:hanging="1134"/>
        <w:rPr>
          <w:sz w:val="16"/>
        </w:rPr>
      </w:pPr>
      <w:r>
        <w:rPr>
          <w:sz w:val="16"/>
        </w:rPr>
        <w:t>File No:</w:t>
      </w:r>
      <w:r>
        <w:rPr>
          <w:sz w:val="16"/>
        </w:rPr>
        <w:tab/>
      </w:r>
      <w:r w:rsidR="00157B0E">
        <w:rPr>
          <w:sz w:val="16"/>
        </w:rPr>
        <w:t>SF2417</w:t>
      </w:r>
    </w:p>
    <w:p w14:paraId="71F12A82" w14:textId="077A2577" w:rsidR="00915562" w:rsidRDefault="00157B0E" w:rsidP="00E03426">
      <w:pPr>
        <w:keepNext/>
        <w:keepLines/>
        <w:spacing w:after="240"/>
        <w:ind w:left="1134"/>
        <w:rPr>
          <w:sz w:val="16"/>
        </w:rPr>
      </w:pPr>
      <w:r>
        <w:rPr>
          <w:sz w:val="16"/>
        </w:rPr>
        <w:t>NW</w:t>
      </w:r>
    </w:p>
    <w:p w14:paraId="4BF8BDBA" w14:textId="1DBC098E" w:rsidR="00915562" w:rsidRDefault="00915562" w:rsidP="00E03426">
      <w:pPr>
        <w:keepNext/>
        <w:keepLines/>
        <w:spacing w:after="240"/>
        <w:ind w:left="1134" w:hanging="1134"/>
        <w:rPr>
          <w:sz w:val="16"/>
        </w:rPr>
      </w:pPr>
      <w:r>
        <w:rPr>
          <w:sz w:val="16"/>
        </w:rPr>
        <w:t xml:space="preserve">Your Ref: </w:t>
      </w:r>
      <w:r>
        <w:rPr>
          <w:sz w:val="16"/>
        </w:rPr>
        <w:tab/>
      </w:r>
      <w:r w:rsidR="00157B0E">
        <w:rPr>
          <w:sz w:val="16"/>
        </w:rPr>
        <w:t>N/A</w:t>
      </w:r>
    </w:p>
    <w:p w14:paraId="20937631" w14:textId="05A3A50D" w:rsidR="00915562" w:rsidRDefault="00157B0E" w:rsidP="00E03426">
      <w:pPr>
        <w:keepNext/>
        <w:keepLines/>
        <w:spacing w:after="480"/>
        <w:ind w:left="1701" w:hanging="1701"/>
      </w:pPr>
      <w:r>
        <w:t>19 March 2026</w:t>
      </w:r>
    </w:p>
    <w:p w14:paraId="542A05AC" w14:textId="54F0D320" w:rsidR="00915562" w:rsidRDefault="00157B0E" w:rsidP="00E03426">
      <w:r>
        <w:t>GST Distribution Reform Inquiry</w:t>
      </w:r>
    </w:p>
    <w:p w14:paraId="40F46BD8" w14:textId="39CFAC11" w:rsidR="00157B0E" w:rsidRDefault="00157B0E" w:rsidP="00E03426">
      <w:r>
        <w:t>Productivity Commission</w:t>
      </w:r>
    </w:p>
    <w:p w14:paraId="43188205" w14:textId="3B0E1713" w:rsidR="00157B0E" w:rsidRDefault="00157B0E" w:rsidP="00E03426">
      <w:r>
        <w:t>GPO Box 1428</w:t>
      </w:r>
    </w:p>
    <w:p w14:paraId="6B288973" w14:textId="3028A113" w:rsidR="00915562" w:rsidRDefault="00157B0E" w:rsidP="00E03426">
      <w:r>
        <w:t>Canberra City ACT 2601</w:t>
      </w:r>
    </w:p>
    <w:p w14:paraId="0D2DE52F" w14:textId="77E29C87" w:rsidR="00915562" w:rsidRDefault="00157B0E" w:rsidP="00E03426">
      <w:pPr>
        <w:spacing w:before="480"/>
      </w:pPr>
      <w:r>
        <w:t xml:space="preserve">To </w:t>
      </w:r>
      <w:proofErr w:type="gramStart"/>
      <w:r>
        <w:t>who</w:t>
      </w:r>
      <w:proofErr w:type="gramEnd"/>
      <w:r>
        <w:t xml:space="preserve"> it may concern,</w:t>
      </w:r>
    </w:p>
    <w:p w14:paraId="34BDFED6" w14:textId="5242D6B5" w:rsidR="00915562" w:rsidRPr="00D83B18" w:rsidRDefault="00157B0E" w:rsidP="00E03426">
      <w:pPr>
        <w:spacing w:before="240" w:after="240"/>
        <w:rPr>
          <w:b/>
          <w:u w:val="single"/>
        </w:rPr>
      </w:pPr>
      <w:r>
        <w:rPr>
          <w:b/>
          <w:u w:val="single"/>
        </w:rPr>
        <w:t>GST Distribution Reform - City of Launceston Submission</w:t>
      </w:r>
    </w:p>
    <w:p w14:paraId="7B363EF7"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lang w:val="en-US"/>
        </w:rPr>
        <w:t>1. Introduction</w:t>
      </w:r>
      <w:r>
        <w:rPr>
          <w:rStyle w:val="eop"/>
          <w:rFonts w:ascii="Arial" w:hAnsi="Arial" w:cs="Arial"/>
          <w:color w:val="000000"/>
          <w:bdr w:val="none" w:sz="0" w:space="0" w:color="auto" w:frame="1"/>
          <w:shd w:val="clear" w:color="auto" w:fill="C6C6C6"/>
        </w:rPr>
        <w:t> </w:t>
      </w:r>
    </w:p>
    <w:p w14:paraId="6B1A7493"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The City of Launceston welcomes the opportunity to provide a submission to the Productivity Commission on the importance of maintaining and strengthening Australia’s system of </w:t>
      </w:r>
      <w:r>
        <w:rPr>
          <w:rStyle w:val="normaltextrun"/>
          <w:rFonts w:ascii="Arial" w:hAnsi="Arial" w:cs="Arial"/>
          <w:b/>
          <w:bCs/>
          <w:color w:val="000000"/>
          <w:lang w:val="en-US"/>
        </w:rPr>
        <w:t>horizontal fiscal </w:t>
      </w:r>
      <w:proofErr w:type="spellStart"/>
      <w:r>
        <w:rPr>
          <w:rStyle w:val="normaltextrun"/>
          <w:rFonts w:ascii="Arial" w:hAnsi="Arial" w:cs="Arial"/>
          <w:b/>
          <w:bCs/>
          <w:color w:val="000000"/>
          <w:lang w:val="en-US"/>
        </w:rPr>
        <w:t>equalisation</w:t>
      </w:r>
      <w:proofErr w:type="spellEnd"/>
      <w:r>
        <w:rPr>
          <w:rStyle w:val="normaltextrun"/>
          <w:rFonts w:ascii="Arial" w:hAnsi="Arial" w:cs="Arial"/>
          <w:b/>
          <w:bCs/>
          <w:color w:val="000000"/>
          <w:lang w:val="en-US"/>
        </w:rPr>
        <w:t> (HFE)</w:t>
      </w:r>
      <w:r>
        <w:rPr>
          <w:rStyle w:val="normaltextrun"/>
          <w:rFonts w:ascii="Arial" w:hAnsi="Arial" w:cs="Arial"/>
          <w:color w:val="000000"/>
          <w:lang w:val="en-US"/>
        </w:rPr>
        <w:t> as it applies to the distribution of Goods and Services Tax (GST) revenue.</w:t>
      </w:r>
      <w:r>
        <w:rPr>
          <w:rStyle w:val="eop"/>
          <w:rFonts w:ascii="Arial" w:hAnsi="Arial" w:cs="Arial"/>
          <w:color w:val="000000"/>
          <w:bdr w:val="none" w:sz="0" w:space="0" w:color="auto" w:frame="1"/>
          <w:shd w:val="clear" w:color="auto" w:fill="C6C6C6"/>
        </w:rPr>
        <w:t> </w:t>
      </w:r>
    </w:p>
    <w:p w14:paraId="70F72C80"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55732981"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As a major regional city and service hub for Northern Tasmania, Launceston plays a critical role in supporting a diverse and dispersed population, delivering essential municipal services, and facilitating regional economic development. A robust and equitable GST distribution system is fundamental to ensuring that the State Government has the fiscal capacity required to support local government and the broader community.</w:t>
      </w:r>
      <w:r>
        <w:rPr>
          <w:rStyle w:val="eop"/>
          <w:rFonts w:ascii="Arial" w:hAnsi="Arial" w:cs="Arial"/>
          <w:color w:val="000000"/>
          <w:bdr w:val="none" w:sz="0" w:space="0" w:color="auto" w:frame="1"/>
          <w:shd w:val="clear" w:color="auto" w:fill="C6C6C6"/>
        </w:rPr>
        <w:t> </w:t>
      </w:r>
    </w:p>
    <w:p w14:paraId="3E0C0F35"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6FB039D2" w14:textId="77777777" w:rsidR="00157B0E" w:rsidRDefault="00157B0E" w:rsidP="00157B0E">
      <w:pPr>
        <w:pStyle w:val="paragraph"/>
        <w:spacing w:before="0" w:beforeAutospacing="0" w:after="0" w:afterAutospacing="0"/>
        <w:textAlignment w:val="baseline"/>
        <w:rPr>
          <w:rFonts w:ascii="Segoe UI" w:hAnsi="Segoe UI" w:cs="Segoe UI"/>
          <w:b/>
          <w:bCs/>
          <w:caps/>
          <w:color w:val="000000"/>
          <w:sz w:val="18"/>
          <w:szCs w:val="18"/>
        </w:rPr>
      </w:pPr>
      <w:r>
        <w:rPr>
          <w:rStyle w:val="normaltextrun"/>
          <w:rFonts w:ascii="Arial" w:hAnsi="Arial" w:cs="Arial"/>
          <w:b/>
          <w:bCs/>
          <w:caps/>
          <w:color w:val="000000"/>
          <w:lang w:val="en-US"/>
        </w:rPr>
        <w:t>2. Local Government Context</w:t>
      </w:r>
      <w:r>
        <w:rPr>
          <w:rStyle w:val="eop"/>
          <w:rFonts w:ascii="Arial" w:hAnsi="Arial" w:cs="Arial"/>
          <w:b/>
          <w:bCs/>
          <w:caps/>
          <w:color w:val="000000"/>
          <w:bdr w:val="none" w:sz="0" w:space="0" w:color="auto" w:frame="1"/>
          <w:shd w:val="clear" w:color="auto" w:fill="C6C6C6"/>
        </w:rPr>
        <w:t> </w:t>
      </w:r>
    </w:p>
    <w:p w14:paraId="56A717C3"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Local government in Tasmania operates within one of the nation’s most constrained revenue environments. Councils face rising service standards, increasing regulatory responsibilities, and significant long</w:t>
      </w:r>
      <w:r>
        <w:rPr>
          <w:rStyle w:val="normaltextrun"/>
          <w:rFonts w:ascii="Arial" w:hAnsi="Arial" w:cs="Arial"/>
          <w:color w:val="000000"/>
          <w:lang w:val="en-US"/>
        </w:rPr>
        <w:noBreakHyphen/>
        <w:t>term infrastructure renewal demands. These pressures are compounded by Tasmania’s structural characteristics, including lower average incomes, an ageing population, and geographically dispersed communities.</w:t>
      </w:r>
      <w:r>
        <w:rPr>
          <w:rStyle w:val="eop"/>
          <w:rFonts w:ascii="Arial" w:hAnsi="Arial" w:cs="Arial"/>
          <w:color w:val="000000"/>
          <w:bdr w:val="none" w:sz="0" w:space="0" w:color="auto" w:frame="1"/>
          <w:shd w:val="clear" w:color="auto" w:fill="C6C6C6"/>
        </w:rPr>
        <w:t> </w:t>
      </w:r>
    </w:p>
    <w:p w14:paraId="63477206"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46EE3662"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As a regional centre, Launceston provides services and infrastructure that extend well beyond municipal boundaries—supporting </w:t>
      </w:r>
      <w:proofErr w:type="spellStart"/>
      <w:r>
        <w:rPr>
          <w:rStyle w:val="normaltextrun"/>
          <w:rFonts w:ascii="Arial" w:hAnsi="Arial" w:cs="Arial"/>
          <w:color w:val="000000"/>
          <w:lang w:val="en-US"/>
        </w:rPr>
        <w:t>neighbouring</w:t>
      </w:r>
      <w:proofErr w:type="spellEnd"/>
      <w:r>
        <w:rPr>
          <w:rStyle w:val="normaltextrun"/>
          <w:rFonts w:ascii="Arial" w:hAnsi="Arial" w:cs="Arial"/>
          <w:color w:val="000000"/>
          <w:lang w:val="en-US"/>
        </w:rPr>
        <w:t> councils, regional industries, and the broader Northern Tasmanian economy. The fiscal strength of the State Government, supported by HFE, directly influences the resources available to councils to meet these demands.</w:t>
      </w:r>
      <w:r>
        <w:rPr>
          <w:rStyle w:val="eop"/>
          <w:rFonts w:ascii="Arial" w:hAnsi="Arial" w:cs="Arial"/>
          <w:color w:val="000000"/>
          <w:bdr w:val="none" w:sz="0" w:space="0" w:color="auto" w:frame="1"/>
          <w:shd w:val="clear" w:color="auto" w:fill="C6C6C6"/>
        </w:rPr>
        <w:t> </w:t>
      </w:r>
    </w:p>
    <w:p w14:paraId="3BA91E26"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61F67BC2" w14:textId="77777777" w:rsidR="00157B0E" w:rsidRDefault="00157B0E" w:rsidP="00157B0E">
      <w:pPr>
        <w:pStyle w:val="paragraph"/>
        <w:spacing w:before="0" w:beforeAutospacing="0" w:after="0" w:afterAutospacing="0"/>
        <w:textAlignment w:val="baseline"/>
        <w:rPr>
          <w:rFonts w:ascii="Segoe UI" w:hAnsi="Segoe UI" w:cs="Segoe UI"/>
          <w:b/>
          <w:bCs/>
          <w:caps/>
          <w:color w:val="000000"/>
          <w:sz w:val="18"/>
          <w:szCs w:val="18"/>
        </w:rPr>
      </w:pPr>
      <w:r>
        <w:rPr>
          <w:rStyle w:val="normaltextrun"/>
          <w:rFonts w:ascii="Arial" w:hAnsi="Arial" w:cs="Arial"/>
          <w:b/>
          <w:bCs/>
          <w:caps/>
          <w:color w:val="000000"/>
          <w:lang w:val="en-US"/>
        </w:rPr>
        <w:t>3. Importance of Horizontal Fiscal Equalisation</w:t>
      </w:r>
      <w:r>
        <w:rPr>
          <w:rStyle w:val="eop"/>
          <w:rFonts w:ascii="Arial" w:hAnsi="Arial" w:cs="Arial"/>
          <w:b/>
          <w:bCs/>
          <w:caps/>
          <w:color w:val="000000"/>
          <w:bdr w:val="none" w:sz="0" w:space="0" w:color="auto" w:frame="1"/>
          <w:shd w:val="clear" w:color="auto" w:fill="C6C6C6"/>
        </w:rPr>
        <w:t> </w:t>
      </w:r>
    </w:p>
    <w:p w14:paraId="47F6A727"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5C776FAA" w14:textId="77777777" w:rsidR="00157B0E" w:rsidRDefault="00157B0E" w:rsidP="00157B0E">
      <w:pPr>
        <w:pStyle w:val="paragraph"/>
        <w:spacing w:before="0" w:beforeAutospacing="0" w:after="0" w:afterAutospacing="0"/>
        <w:textAlignment w:val="baseline"/>
        <w:rPr>
          <w:rFonts w:ascii="Segoe UI" w:hAnsi="Segoe UI" w:cs="Segoe UI"/>
          <w:b/>
          <w:bCs/>
          <w:i/>
          <w:iCs/>
          <w:color w:val="000000"/>
          <w:sz w:val="18"/>
          <w:szCs w:val="18"/>
        </w:rPr>
      </w:pPr>
      <w:r>
        <w:rPr>
          <w:rStyle w:val="normaltextrun"/>
          <w:rFonts w:ascii="Arial" w:hAnsi="Arial" w:cs="Arial"/>
          <w:b/>
          <w:bCs/>
          <w:color w:val="000000"/>
          <w:lang w:val="en-US"/>
        </w:rPr>
        <w:t>3.1 Ensuring Equity </w:t>
      </w:r>
      <w:r>
        <w:rPr>
          <w:rStyle w:val="eop"/>
          <w:rFonts w:ascii="Arial" w:hAnsi="Arial" w:cs="Arial"/>
          <w:b/>
          <w:bCs/>
          <w:i/>
          <w:iCs/>
          <w:color w:val="000000"/>
          <w:bdr w:val="none" w:sz="0" w:space="0" w:color="auto" w:frame="1"/>
          <w:shd w:val="clear" w:color="auto" w:fill="C6C6C6"/>
        </w:rPr>
        <w:t> </w:t>
      </w:r>
    </w:p>
    <w:p w14:paraId="6D03A732"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The principle underpinning HFE—that all Australians should have access to comparable levels of public services regardless of where they live—is essential for maintaining equity. Smaller and less fiscally advantaged jurisdictions such as Tasmania rely on this principle to achieve service levels comparable to those of larger states.</w:t>
      </w:r>
      <w:r>
        <w:rPr>
          <w:rStyle w:val="eop"/>
          <w:rFonts w:ascii="Arial" w:hAnsi="Arial" w:cs="Arial"/>
          <w:color w:val="000000"/>
          <w:bdr w:val="none" w:sz="0" w:space="0" w:color="auto" w:frame="1"/>
          <w:shd w:val="clear" w:color="auto" w:fill="C6C6C6"/>
        </w:rPr>
        <w:t> </w:t>
      </w:r>
    </w:p>
    <w:p w14:paraId="40320C38"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5B0B9F47"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lastRenderedPageBreak/>
        <w:t>HFE recognises that Tasmania faces higher per</w:t>
      </w:r>
      <w:r>
        <w:rPr>
          <w:rStyle w:val="normaltextrun"/>
          <w:rFonts w:ascii="Arial" w:hAnsi="Arial" w:cs="Arial"/>
          <w:color w:val="000000"/>
          <w:lang w:val="en-US"/>
        </w:rPr>
        <w:noBreakHyphen/>
        <w:t>capita service delivery costs and has more limited revenue</w:t>
      </w:r>
      <w:r>
        <w:rPr>
          <w:rStyle w:val="normaltextrun"/>
          <w:rFonts w:ascii="Arial" w:hAnsi="Arial" w:cs="Arial"/>
          <w:color w:val="000000"/>
          <w:lang w:val="en-US"/>
        </w:rPr>
        <w:noBreakHyphen/>
        <w:t>raising capacity. Without a strong </w:t>
      </w:r>
      <w:proofErr w:type="spellStart"/>
      <w:r>
        <w:rPr>
          <w:rStyle w:val="normaltextrun"/>
          <w:rFonts w:ascii="Arial" w:hAnsi="Arial" w:cs="Arial"/>
          <w:color w:val="000000"/>
          <w:lang w:val="en-US"/>
        </w:rPr>
        <w:t>equalisation</w:t>
      </w:r>
      <w:proofErr w:type="spellEnd"/>
      <w:r>
        <w:rPr>
          <w:rStyle w:val="normaltextrun"/>
          <w:rFonts w:ascii="Arial" w:hAnsi="Arial" w:cs="Arial"/>
          <w:color w:val="000000"/>
          <w:lang w:val="en-US"/>
        </w:rPr>
        <w:t> mechanism, Tasmania would face material reductions in its ability to fund essential services.</w:t>
      </w:r>
      <w:r>
        <w:rPr>
          <w:rStyle w:val="eop"/>
          <w:rFonts w:ascii="Arial" w:hAnsi="Arial" w:cs="Arial"/>
          <w:color w:val="000000"/>
          <w:bdr w:val="none" w:sz="0" w:space="0" w:color="auto" w:frame="1"/>
          <w:shd w:val="clear" w:color="auto" w:fill="C6C6C6"/>
        </w:rPr>
        <w:t> </w:t>
      </w:r>
    </w:p>
    <w:p w14:paraId="67EA45F3"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218A6F58" w14:textId="77777777" w:rsidR="00157B0E" w:rsidRPr="00157B0E" w:rsidRDefault="00157B0E" w:rsidP="00157B0E">
      <w:pPr>
        <w:pStyle w:val="paragraph"/>
        <w:spacing w:before="0" w:beforeAutospacing="0" w:after="0" w:afterAutospacing="0"/>
        <w:textAlignment w:val="baseline"/>
        <w:rPr>
          <w:rFonts w:ascii="Arial" w:hAnsi="Arial" w:cs="Arial"/>
          <w:b/>
          <w:bCs/>
          <w:i/>
          <w:iCs/>
          <w:color w:val="000000"/>
        </w:rPr>
      </w:pPr>
      <w:r w:rsidRPr="00157B0E">
        <w:rPr>
          <w:rStyle w:val="normaltextrun"/>
          <w:rFonts w:ascii="Arial" w:hAnsi="Arial" w:cs="Arial"/>
          <w:b/>
          <w:bCs/>
          <w:color w:val="000000"/>
          <w:lang w:val="en-US"/>
        </w:rPr>
        <w:t>3.2 Supporting the Financial Capacity of the Tasmanian Government</w:t>
      </w:r>
      <w:r w:rsidRPr="00157B0E">
        <w:rPr>
          <w:rStyle w:val="eop"/>
          <w:rFonts w:ascii="Arial" w:hAnsi="Arial" w:cs="Arial"/>
          <w:b/>
          <w:bCs/>
          <w:i/>
          <w:iCs/>
          <w:color w:val="000000"/>
          <w:bdr w:val="none" w:sz="0" w:space="0" w:color="auto" w:frame="1"/>
          <w:shd w:val="clear" w:color="auto" w:fill="C6C6C6"/>
        </w:rPr>
        <w:t> </w:t>
      </w:r>
    </w:p>
    <w:p w14:paraId="56DE444E"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normaltextrun"/>
          <w:rFonts w:ascii="Arial" w:hAnsi="Arial" w:cs="Arial"/>
          <w:color w:val="000000"/>
          <w:lang w:val="en-US"/>
        </w:rPr>
        <w:t>GST revenue, distributed according to HFE, represents the single largest source of untied funding for the State Government. This funding supports the operation of essential services—health, education, transport, emergency management—and directly influences the State’s ability to partner with local government on region</w:t>
      </w:r>
      <w:r w:rsidRPr="00157B0E">
        <w:rPr>
          <w:rStyle w:val="normaltextrun"/>
          <w:rFonts w:ascii="Arial" w:hAnsi="Arial" w:cs="Arial"/>
          <w:color w:val="000000"/>
          <w:lang w:val="en-US"/>
        </w:rPr>
        <w:noBreakHyphen/>
        <w:t>shaping projects.</w:t>
      </w:r>
      <w:r w:rsidRPr="00157B0E">
        <w:rPr>
          <w:rStyle w:val="eop"/>
          <w:rFonts w:ascii="Arial" w:hAnsi="Arial" w:cs="Arial"/>
          <w:color w:val="000000"/>
          <w:bdr w:val="none" w:sz="0" w:space="0" w:color="auto" w:frame="1"/>
          <w:shd w:val="clear" w:color="auto" w:fill="C6C6C6"/>
        </w:rPr>
        <w:t> </w:t>
      </w:r>
    </w:p>
    <w:p w14:paraId="27EF4D2A"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eop"/>
          <w:rFonts w:ascii="Arial" w:hAnsi="Arial" w:cs="Arial"/>
          <w:color w:val="000000"/>
          <w:bdr w:val="none" w:sz="0" w:space="0" w:color="auto" w:frame="1"/>
          <w:shd w:val="clear" w:color="auto" w:fill="C6C6C6"/>
        </w:rPr>
        <w:t> </w:t>
      </w:r>
    </w:p>
    <w:p w14:paraId="226FFC28"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normaltextrun"/>
          <w:rFonts w:ascii="Arial" w:hAnsi="Arial" w:cs="Arial"/>
          <w:color w:val="000000"/>
          <w:lang w:val="en-US"/>
        </w:rPr>
        <w:t>A fiscally stable State Government is a necessary foundation for a fiscally sustainable local government sector.</w:t>
      </w:r>
      <w:r w:rsidRPr="00157B0E">
        <w:rPr>
          <w:rStyle w:val="eop"/>
          <w:rFonts w:ascii="Arial" w:hAnsi="Arial" w:cs="Arial"/>
          <w:color w:val="000000"/>
          <w:bdr w:val="none" w:sz="0" w:space="0" w:color="auto" w:frame="1"/>
          <w:shd w:val="clear" w:color="auto" w:fill="C6C6C6"/>
        </w:rPr>
        <w:t> </w:t>
      </w:r>
    </w:p>
    <w:p w14:paraId="3D295157"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eop"/>
          <w:rFonts w:ascii="Arial" w:hAnsi="Arial" w:cs="Arial"/>
          <w:color w:val="000000"/>
          <w:bdr w:val="none" w:sz="0" w:space="0" w:color="auto" w:frame="1"/>
          <w:shd w:val="clear" w:color="auto" w:fill="C6C6C6"/>
        </w:rPr>
        <w:t> </w:t>
      </w:r>
    </w:p>
    <w:p w14:paraId="75224308" w14:textId="77777777" w:rsidR="00157B0E" w:rsidRPr="00157B0E" w:rsidRDefault="00157B0E" w:rsidP="00157B0E">
      <w:pPr>
        <w:pStyle w:val="paragraph"/>
        <w:spacing w:before="0" w:beforeAutospacing="0" w:after="0" w:afterAutospacing="0"/>
        <w:textAlignment w:val="baseline"/>
        <w:rPr>
          <w:rFonts w:ascii="Arial" w:hAnsi="Arial" w:cs="Arial"/>
          <w:b/>
          <w:bCs/>
          <w:i/>
          <w:iCs/>
          <w:color w:val="000000"/>
        </w:rPr>
      </w:pPr>
      <w:r w:rsidRPr="00157B0E">
        <w:rPr>
          <w:rStyle w:val="normaltextrun"/>
          <w:rFonts w:ascii="Arial" w:hAnsi="Arial" w:cs="Arial"/>
          <w:b/>
          <w:bCs/>
          <w:color w:val="000000"/>
          <w:lang w:val="en-US"/>
        </w:rPr>
        <w:t>3.3 Enabling Local Government Stability and Long</w:t>
      </w:r>
      <w:r w:rsidRPr="00157B0E">
        <w:rPr>
          <w:rStyle w:val="normaltextrun"/>
          <w:rFonts w:ascii="Arial" w:hAnsi="Arial" w:cs="Arial"/>
          <w:b/>
          <w:bCs/>
          <w:color w:val="000000"/>
          <w:lang w:val="en-US"/>
        </w:rPr>
        <w:noBreakHyphen/>
        <w:t>Term Planning</w:t>
      </w:r>
      <w:r w:rsidRPr="00157B0E">
        <w:rPr>
          <w:rStyle w:val="eop"/>
          <w:rFonts w:ascii="Arial" w:hAnsi="Arial" w:cs="Arial"/>
          <w:b/>
          <w:bCs/>
          <w:i/>
          <w:iCs/>
          <w:color w:val="000000"/>
          <w:bdr w:val="none" w:sz="0" w:space="0" w:color="auto" w:frame="1"/>
          <w:shd w:val="clear" w:color="auto" w:fill="C6C6C6"/>
        </w:rPr>
        <w:t> </w:t>
      </w:r>
    </w:p>
    <w:p w14:paraId="3E726E3C"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normaltextrun"/>
          <w:rFonts w:ascii="Arial" w:hAnsi="Arial" w:cs="Arial"/>
          <w:color w:val="000000"/>
          <w:lang w:val="en-US"/>
        </w:rPr>
        <w:t>For the City of Launceston, a stable and equitable GST arrangement:</w:t>
      </w:r>
      <w:r w:rsidRPr="00157B0E">
        <w:rPr>
          <w:rStyle w:val="eop"/>
          <w:rFonts w:ascii="Arial" w:hAnsi="Arial" w:cs="Arial"/>
          <w:color w:val="000000"/>
          <w:bdr w:val="none" w:sz="0" w:space="0" w:color="auto" w:frame="1"/>
          <w:shd w:val="clear" w:color="auto" w:fill="C6C6C6"/>
        </w:rPr>
        <w:t> </w:t>
      </w:r>
    </w:p>
    <w:p w14:paraId="17E1FF1A" w14:textId="7464C6DE" w:rsidR="00157B0E" w:rsidRDefault="00157B0E" w:rsidP="00157B0E">
      <w:pPr>
        <w:pStyle w:val="paragraph"/>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enhances predictability in State funding contributions to local infrastructure,</w:t>
      </w:r>
    </w:p>
    <w:p w14:paraId="5C6A46A1" w14:textId="037CA962" w:rsidR="00157B0E" w:rsidRDefault="00157B0E" w:rsidP="00157B0E">
      <w:pPr>
        <w:pStyle w:val="paragraph"/>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promotes coordinated regional planning,</w:t>
      </w:r>
    </w:p>
    <w:p w14:paraId="627FABBF" w14:textId="5A2D2F9A" w:rsidR="00157B0E" w:rsidRDefault="00157B0E" w:rsidP="00157B0E">
      <w:pPr>
        <w:pStyle w:val="paragraph"/>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reduces cost-shifting risks, and</w:t>
      </w:r>
    </w:p>
    <w:p w14:paraId="05D2595C" w14:textId="16877DBF" w:rsidR="00157B0E" w:rsidRDefault="00157B0E" w:rsidP="00157B0E">
      <w:pPr>
        <w:pStyle w:val="paragraph"/>
        <w:numPr>
          <w:ilvl w:val="0"/>
          <w:numId w:val="15"/>
        </w:numPr>
        <w:spacing w:before="0" w:beforeAutospacing="0" w:after="0" w:afterAutospacing="0"/>
        <w:textAlignment w:val="baseline"/>
        <w:rPr>
          <w:rFonts w:ascii="Arial" w:hAnsi="Arial" w:cs="Arial"/>
          <w:color w:val="000000"/>
        </w:rPr>
      </w:pPr>
      <w:r>
        <w:rPr>
          <w:rFonts w:ascii="Arial" w:hAnsi="Arial" w:cs="Arial"/>
          <w:color w:val="000000"/>
        </w:rPr>
        <w:t>supports long-term asset and financial planning.</w:t>
      </w:r>
    </w:p>
    <w:p w14:paraId="17E1299F"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p>
    <w:p w14:paraId="54044E6D"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normaltextrun"/>
          <w:rFonts w:ascii="Arial" w:hAnsi="Arial" w:cs="Arial"/>
          <w:color w:val="000000"/>
          <w:lang w:val="en-US"/>
        </w:rPr>
        <w:t>The </w:t>
      </w:r>
      <w:proofErr w:type="spellStart"/>
      <w:r w:rsidRPr="00157B0E">
        <w:rPr>
          <w:rStyle w:val="normaltextrun"/>
          <w:rFonts w:ascii="Arial" w:hAnsi="Arial" w:cs="Arial"/>
          <w:color w:val="000000"/>
          <w:lang w:val="en-US"/>
        </w:rPr>
        <w:t>equalisation</w:t>
      </w:r>
      <w:proofErr w:type="spellEnd"/>
      <w:r w:rsidRPr="00157B0E">
        <w:rPr>
          <w:rStyle w:val="normaltextrun"/>
          <w:rFonts w:ascii="Arial" w:hAnsi="Arial" w:cs="Arial"/>
          <w:color w:val="000000"/>
          <w:lang w:val="en-US"/>
        </w:rPr>
        <w:t> framework helps protect local governments from volatility in the broader national economy by ensuring that the State remains able to meet service delivery expectations even as its own circumstances change.</w:t>
      </w:r>
      <w:r w:rsidRPr="00157B0E">
        <w:rPr>
          <w:rStyle w:val="eop"/>
          <w:rFonts w:ascii="Arial" w:hAnsi="Arial" w:cs="Arial"/>
          <w:color w:val="000000"/>
          <w:bdr w:val="none" w:sz="0" w:space="0" w:color="auto" w:frame="1"/>
          <w:shd w:val="clear" w:color="auto" w:fill="C6C6C6"/>
        </w:rPr>
        <w:t> </w:t>
      </w:r>
    </w:p>
    <w:p w14:paraId="44419E76" w14:textId="77777777" w:rsidR="00157B0E" w:rsidRPr="00157B0E" w:rsidRDefault="00157B0E" w:rsidP="00157B0E">
      <w:pPr>
        <w:pStyle w:val="paragraph"/>
        <w:spacing w:before="0" w:beforeAutospacing="0" w:after="0" w:afterAutospacing="0"/>
        <w:textAlignment w:val="baseline"/>
        <w:rPr>
          <w:rFonts w:ascii="Arial" w:hAnsi="Arial" w:cs="Arial"/>
          <w:color w:val="000000"/>
        </w:rPr>
      </w:pPr>
      <w:r w:rsidRPr="00157B0E">
        <w:rPr>
          <w:rStyle w:val="eop"/>
          <w:rFonts w:ascii="Arial" w:hAnsi="Arial" w:cs="Arial"/>
          <w:color w:val="000000"/>
          <w:bdr w:val="none" w:sz="0" w:space="0" w:color="auto" w:frame="1"/>
          <w:shd w:val="clear" w:color="auto" w:fill="C6C6C6"/>
        </w:rPr>
        <w:t> </w:t>
      </w:r>
    </w:p>
    <w:p w14:paraId="2469002B" w14:textId="77777777" w:rsidR="00157B0E" w:rsidRPr="00157B0E" w:rsidRDefault="00157B0E" w:rsidP="00157B0E">
      <w:pPr>
        <w:pStyle w:val="paragraph"/>
        <w:spacing w:before="0" w:beforeAutospacing="0" w:after="0" w:afterAutospacing="0"/>
        <w:textAlignment w:val="baseline"/>
        <w:rPr>
          <w:rFonts w:ascii="Arial" w:hAnsi="Arial" w:cs="Arial"/>
          <w:b/>
          <w:bCs/>
          <w:i/>
          <w:iCs/>
          <w:color w:val="000000"/>
        </w:rPr>
      </w:pPr>
      <w:r w:rsidRPr="00157B0E">
        <w:rPr>
          <w:rStyle w:val="normaltextrun"/>
          <w:rFonts w:ascii="Arial" w:hAnsi="Arial" w:cs="Arial"/>
          <w:b/>
          <w:bCs/>
          <w:color w:val="000000"/>
          <w:lang w:val="en-US"/>
        </w:rPr>
        <w:t>3.4 Supporting Regional Economic Development</w:t>
      </w:r>
      <w:r w:rsidRPr="00157B0E">
        <w:rPr>
          <w:rStyle w:val="eop"/>
          <w:rFonts w:ascii="Arial" w:hAnsi="Arial" w:cs="Arial"/>
          <w:b/>
          <w:bCs/>
          <w:i/>
          <w:iCs/>
          <w:color w:val="000000"/>
          <w:bdr w:val="none" w:sz="0" w:space="0" w:color="auto" w:frame="1"/>
          <w:shd w:val="clear" w:color="auto" w:fill="C6C6C6"/>
        </w:rPr>
        <w:t> </w:t>
      </w:r>
    </w:p>
    <w:p w14:paraId="6B38294A"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sidRPr="00157B0E">
        <w:rPr>
          <w:rStyle w:val="normaltextrun"/>
          <w:rFonts w:ascii="Arial" w:hAnsi="Arial" w:cs="Arial"/>
          <w:color w:val="000000"/>
          <w:lang w:val="en-US"/>
        </w:rPr>
        <w:t>Launceston’s role as a regional economic</w:t>
      </w:r>
      <w:r>
        <w:rPr>
          <w:rStyle w:val="normaltextrun"/>
          <w:rFonts w:ascii="Arial" w:hAnsi="Arial" w:cs="Arial"/>
          <w:color w:val="000000"/>
          <w:lang w:val="en-US"/>
        </w:rPr>
        <w:t xml:space="preserve"> centre means that population growth, business attraction, and investment depend heavily on the quality and reliability of public services. HFE ensures Tasmania has the revenue capacity needed to maintain and improve the infrastructure that supports regional </w:t>
      </w:r>
      <w:proofErr w:type="gramStart"/>
      <w:r>
        <w:rPr>
          <w:rStyle w:val="normaltextrun"/>
          <w:rFonts w:ascii="Arial" w:hAnsi="Arial" w:cs="Arial"/>
          <w:color w:val="000000"/>
          <w:lang w:val="en-US"/>
        </w:rPr>
        <w:t>productivity—</w:t>
      </w:r>
      <w:proofErr w:type="gramEnd"/>
      <w:r>
        <w:rPr>
          <w:rStyle w:val="normaltextrun"/>
          <w:rFonts w:ascii="Arial" w:hAnsi="Arial" w:cs="Arial"/>
          <w:color w:val="000000"/>
          <w:lang w:val="en-US"/>
        </w:rPr>
        <w:t>transport networks, public facilities, recreational assets, and economic precincts.</w:t>
      </w:r>
      <w:r>
        <w:rPr>
          <w:rStyle w:val="eop"/>
          <w:rFonts w:ascii="Arial" w:hAnsi="Arial" w:cs="Arial"/>
          <w:color w:val="000000"/>
          <w:bdr w:val="none" w:sz="0" w:space="0" w:color="auto" w:frame="1"/>
          <w:shd w:val="clear" w:color="auto" w:fill="C6C6C6"/>
        </w:rPr>
        <w:t> </w:t>
      </w:r>
    </w:p>
    <w:p w14:paraId="6494FA82"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425B4C88"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Strong State funding translates into strong regional economies and improved community wellbeing.</w:t>
      </w:r>
      <w:r>
        <w:rPr>
          <w:rStyle w:val="eop"/>
          <w:rFonts w:ascii="Arial" w:hAnsi="Arial" w:cs="Arial"/>
          <w:color w:val="000000"/>
          <w:bdr w:val="none" w:sz="0" w:space="0" w:color="auto" w:frame="1"/>
          <w:shd w:val="clear" w:color="auto" w:fill="C6C6C6"/>
        </w:rPr>
        <w:t> </w:t>
      </w:r>
    </w:p>
    <w:p w14:paraId="4393C82F"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1773978E" w14:textId="77777777" w:rsidR="00157B0E" w:rsidRDefault="00157B0E" w:rsidP="00157B0E">
      <w:pPr>
        <w:pStyle w:val="paragraph"/>
        <w:spacing w:before="0" w:beforeAutospacing="0" w:after="0" w:afterAutospacing="0"/>
        <w:textAlignment w:val="baseline"/>
        <w:rPr>
          <w:rFonts w:ascii="Segoe UI" w:hAnsi="Segoe UI" w:cs="Segoe UI"/>
          <w:b/>
          <w:bCs/>
          <w:caps/>
          <w:color w:val="000000"/>
          <w:sz w:val="18"/>
          <w:szCs w:val="18"/>
        </w:rPr>
      </w:pPr>
      <w:r>
        <w:rPr>
          <w:rStyle w:val="normaltextrun"/>
          <w:rFonts w:ascii="Arial" w:hAnsi="Arial" w:cs="Arial"/>
          <w:b/>
          <w:bCs/>
          <w:caps/>
          <w:color w:val="000000"/>
          <w:lang w:val="en-US"/>
        </w:rPr>
        <w:t>4. Implications of Undermining HFE</w:t>
      </w:r>
      <w:r>
        <w:rPr>
          <w:rStyle w:val="eop"/>
          <w:rFonts w:ascii="Arial" w:hAnsi="Arial" w:cs="Arial"/>
          <w:b/>
          <w:bCs/>
          <w:caps/>
          <w:color w:val="000000"/>
          <w:bdr w:val="none" w:sz="0" w:space="0" w:color="auto" w:frame="1"/>
          <w:shd w:val="clear" w:color="auto" w:fill="C6C6C6"/>
        </w:rPr>
        <w:t> </w:t>
      </w:r>
    </w:p>
    <w:p w14:paraId="4889EC51"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Any erosion of equalization - whether through floors, caps, or modified </w:t>
      </w:r>
      <w:proofErr w:type="gramStart"/>
      <w:r>
        <w:rPr>
          <w:rStyle w:val="normaltextrun"/>
          <w:rFonts w:ascii="Arial" w:hAnsi="Arial" w:cs="Arial"/>
          <w:color w:val="000000"/>
          <w:lang w:val="en-US"/>
        </w:rPr>
        <w:t>relativities</w:t>
      </w:r>
      <w:proofErr w:type="gramEnd"/>
      <w:r>
        <w:rPr>
          <w:rStyle w:val="normaltextrun"/>
          <w:rFonts w:ascii="Arial" w:hAnsi="Arial" w:cs="Arial"/>
          <w:color w:val="000000"/>
          <w:lang w:val="en-US"/>
        </w:rPr>
        <w:t> - would disproportionately disadvantage smaller states and regional communities. Tasmania, with its unique demographic and economic characteristics, would face a reduced GST share, putting pressure on State</w:t>
      </w:r>
      <w:r>
        <w:rPr>
          <w:rStyle w:val="normaltextrun"/>
          <w:rFonts w:ascii="Arial" w:hAnsi="Arial" w:cs="Arial"/>
          <w:color w:val="000000"/>
          <w:lang w:val="en-US"/>
        </w:rPr>
        <w:noBreakHyphen/>
        <w:t>delivered services and increasing the likelihood of financial and infrastructure burden shifting to local government.</w:t>
      </w:r>
      <w:r>
        <w:rPr>
          <w:rStyle w:val="eop"/>
          <w:rFonts w:ascii="Arial" w:hAnsi="Arial" w:cs="Arial"/>
          <w:color w:val="000000"/>
          <w:bdr w:val="none" w:sz="0" w:space="0" w:color="auto" w:frame="1"/>
          <w:shd w:val="clear" w:color="auto" w:fill="C6C6C6"/>
        </w:rPr>
        <w:t> </w:t>
      </w:r>
    </w:p>
    <w:p w14:paraId="6E3BAF12"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02B848F8"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For the City of Launceston, such changes would risk:</w:t>
      </w:r>
      <w:r>
        <w:rPr>
          <w:rStyle w:val="eop"/>
          <w:rFonts w:ascii="Arial" w:hAnsi="Arial" w:cs="Arial"/>
          <w:color w:val="000000"/>
          <w:bdr w:val="none" w:sz="0" w:space="0" w:color="auto" w:frame="1"/>
          <w:shd w:val="clear" w:color="auto" w:fill="C6C6C6"/>
        </w:rPr>
        <w:t> </w:t>
      </w:r>
    </w:p>
    <w:p w14:paraId="0AA6D642" w14:textId="6945912B" w:rsidR="00157B0E" w:rsidRPr="00157B0E" w:rsidRDefault="00157B0E" w:rsidP="00157B0E">
      <w:pPr>
        <w:pStyle w:val="paragraph"/>
        <w:numPr>
          <w:ilvl w:val="0"/>
          <w:numId w:val="16"/>
        </w:numPr>
        <w:spacing w:before="0" w:beforeAutospacing="0" w:after="0" w:afterAutospacing="0"/>
        <w:textAlignment w:val="baseline"/>
        <w:rPr>
          <w:rFonts w:ascii="Segoe UI" w:hAnsi="Segoe UI" w:cs="Segoe UI"/>
          <w:color w:val="000000"/>
          <w:sz w:val="18"/>
          <w:szCs w:val="18"/>
        </w:rPr>
      </w:pPr>
      <w:r>
        <w:rPr>
          <w:rFonts w:ascii="Arial" w:hAnsi="Arial" w:cs="Arial"/>
          <w:color w:val="000000"/>
        </w:rPr>
        <w:t>reduced state investment in regional infrastructure,</w:t>
      </w:r>
    </w:p>
    <w:p w14:paraId="027586F4" w14:textId="7A3D04C4" w:rsidR="00157B0E" w:rsidRPr="00157B0E" w:rsidRDefault="00157B0E" w:rsidP="00157B0E">
      <w:pPr>
        <w:pStyle w:val="paragraph"/>
        <w:numPr>
          <w:ilvl w:val="0"/>
          <w:numId w:val="16"/>
        </w:numPr>
        <w:spacing w:before="0" w:beforeAutospacing="0" w:after="0" w:afterAutospacing="0"/>
        <w:textAlignment w:val="baseline"/>
        <w:rPr>
          <w:rFonts w:ascii="Segoe UI" w:hAnsi="Segoe UI" w:cs="Segoe UI"/>
          <w:color w:val="000000"/>
          <w:sz w:val="18"/>
          <w:szCs w:val="18"/>
        </w:rPr>
      </w:pPr>
      <w:r>
        <w:rPr>
          <w:rFonts w:ascii="Arial" w:hAnsi="Arial" w:cs="Arial"/>
          <w:color w:val="000000"/>
        </w:rPr>
        <w:t>higher reliance on councils to fill service gaps, and</w:t>
      </w:r>
    </w:p>
    <w:p w14:paraId="46E6FDF9" w14:textId="591A541D" w:rsidR="00157B0E" w:rsidRDefault="00157B0E" w:rsidP="00157B0E">
      <w:pPr>
        <w:pStyle w:val="paragraph"/>
        <w:numPr>
          <w:ilvl w:val="0"/>
          <w:numId w:val="16"/>
        </w:numPr>
        <w:spacing w:before="0" w:beforeAutospacing="0" w:after="0" w:afterAutospacing="0"/>
        <w:textAlignment w:val="baseline"/>
        <w:rPr>
          <w:rFonts w:ascii="Segoe UI" w:hAnsi="Segoe UI" w:cs="Segoe UI"/>
          <w:color w:val="000000"/>
          <w:sz w:val="18"/>
          <w:szCs w:val="18"/>
        </w:rPr>
      </w:pPr>
      <w:r>
        <w:rPr>
          <w:rFonts w:ascii="Arial" w:hAnsi="Arial" w:cs="Arial"/>
          <w:color w:val="000000"/>
        </w:rPr>
        <w:t>increased financial pressures across the local government sector.</w:t>
      </w:r>
    </w:p>
    <w:p w14:paraId="13110909" w14:textId="77777777" w:rsidR="00157B0E" w:rsidRDefault="00157B0E" w:rsidP="00157B0E">
      <w:pPr>
        <w:pStyle w:val="paragraph"/>
        <w:spacing w:before="0" w:beforeAutospacing="0" w:after="0" w:afterAutospacing="0"/>
        <w:textAlignment w:val="baseline"/>
        <w:rPr>
          <w:rStyle w:val="normaltextrun"/>
          <w:rFonts w:ascii="Arial" w:hAnsi="Arial" w:cs="Arial"/>
          <w:color w:val="000000"/>
          <w:lang w:val="en-US"/>
        </w:rPr>
      </w:pPr>
    </w:p>
    <w:p w14:paraId="3D765FF1" w14:textId="6219CE6D"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Maintaining full and fair HFE is therefore essential for the long</w:t>
      </w:r>
      <w:r>
        <w:rPr>
          <w:rStyle w:val="normaltextrun"/>
          <w:rFonts w:ascii="Arial" w:hAnsi="Arial" w:cs="Arial"/>
          <w:color w:val="000000"/>
          <w:lang w:val="en-US"/>
        </w:rPr>
        <w:noBreakHyphen/>
        <w:t>term sustainability of Tasmania’s local government network.</w:t>
      </w:r>
      <w:r>
        <w:rPr>
          <w:rStyle w:val="eop"/>
          <w:rFonts w:ascii="Arial" w:hAnsi="Arial" w:cs="Arial"/>
          <w:color w:val="000000"/>
          <w:bdr w:val="none" w:sz="0" w:space="0" w:color="auto" w:frame="1"/>
          <w:shd w:val="clear" w:color="auto" w:fill="C6C6C6"/>
        </w:rPr>
        <w:t> </w:t>
      </w:r>
    </w:p>
    <w:p w14:paraId="014B82B6"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lastRenderedPageBreak/>
        <w:t> </w:t>
      </w:r>
    </w:p>
    <w:p w14:paraId="48E231A5" w14:textId="77777777" w:rsidR="00157B0E" w:rsidRDefault="00157B0E" w:rsidP="00157B0E">
      <w:pPr>
        <w:pStyle w:val="paragraph"/>
        <w:spacing w:before="0" w:beforeAutospacing="0" w:after="0" w:afterAutospacing="0"/>
        <w:textAlignment w:val="baseline"/>
        <w:rPr>
          <w:rFonts w:ascii="Segoe UI" w:hAnsi="Segoe UI" w:cs="Segoe UI"/>
          <w:b/>
          <w:bCs/>
          <w:caps/>
          <w:color w:val="000000"/>
          <w:sz w:val="18"/>
          <w:szCs w:val="18"/>
        </w:rPr>
      </w:pPr>
      <w:r>
        <w:rPr>
          <w:rStyle w:val="normaltextrun"/>
          <w:rFonts w:ascii="Arial" w:hAnsi="Arial" w:cs="Arial"/>
          <w:b/>
          <w:bCs/>
          <w:caps/>
          <w:color w:val="000000"/>
          <w:lang w:val="en-US"/>
        </w:rPr>
        <w:t>5. Support for the Tasmanian Government’s Position</w:t>
      </w:r>
      <w:r>
        <w:rPr>
          <w:rStyle w:val="eop"/>
          <w:rFonts w:ascii="Arial" w:hAnsi="Arial" w:cs="Arial"/>
          <w:b/>
          <w:bCs/>
          <w:caps/>
          <w:color w:val="000000"/>
          <w:bdr w:val="none" w:sz="0" w:space="0" w:color="auto" w:frame="1"/>
          <w:shd w:val="clear" w:color="auto" w:fill="C6C6C6"/>
        </w:rPr>
        <w:t> </w:t>
      </w:r>
    </w:p>
    <w:p w14:paraId="28976342"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The City of Launceston supports the Tasmanian Government’s consistent advocacy for full horizontal fiscal </w:t>
      </w:r>
      <w:proofErr w:type="spellStart"/>
      <w:r>
        <w:rPr>
          <w:rStyle w:val="normaltextrun"/>
          <w:rFonts w:ascii="Arial" w:hAnsi="Arial" w:cs="Arial"/>
          <w:color w:val="000000"/>
          <w:lang w:val="en-US"/>
        </w:rPr>
        <w:t>equalisation</w:t>
      </w:r>
      <w:proofErr w:type="spellEnd"/>
      <w:r>
        <w:rPr>
          <w:rStyle w:val="normaltextrun"/>
          <w:rFonts w:ascii="Arial" w:hAnsi="Arial" w:cs="Arial"/>
          <w:color w:val="000000"/>
          <w:lang w:val="en-US"/>
        </w:rPr>
        <w:t> and its position that recent reforms have diluted the integrity of the system. We endorse continued engagement by the State Government to ensure that Tasmania receives a fair distribution that accurately reflects its service delivery needs and revenue</w:t>
      </w:r>
      <w:r>
        <w:rPr>
          <w:rStyle w:val="normaltextrun"/>
          <w:rFonts w:ascii="Arial" w:hAnsi="Arial" w:cs="Arial"/>
          <w:color w:val="000000"/>
          <w:lang w:val="en-US"/>
        </w:rPr>
        <w:noBreakHyphen/>
        <w:t>raising limitations.</w:t>
      </w:r>
      <w:r>
        <w:rPr>
          <w:rStyle w:val="eop"/>
          <w:rFonts w:ascii="Arial" w:hAnsi="Arial" w:cs="Arial"/>
          <w:color w:val="000000"/>
          <w:bdr w:val="none" w:sz="0" w:space="0" w:color="auto" w:frame="1"/>
          <w:shd w:val="clear" w:color="auto" w:fill="C6C6C6"/>
        </w:rPr>
        <w:t> </w:t>
      </w:r>
    </w:p>
    <w:p w14:paraId="52C79186"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4D26A482" w14:textId="77777777" w:rsidR="00157B0E" w:rsidRDefault="00157B0E" w:rsidP="00157B0E">
      <w:pPr>
        <w:pStyle w:val="paragraph"/>
        <w:spacing w:before="0" w:beforeAutospacing="0" w:after="0" w:afterAutospacing="0"/>
        <w:textAlignment w:val="baseline"/>
        <w:rPr>
          <w:rFonts w:ascii="Segoe UI" w:hAnsi="Segoe UI" w:cs="Segoe UI"/>
          <w:b/>
          <w:bCs/>
          <w:caps/>
          <w:color w:val="000000"/>
          <w:sz w:val="18"/>
          <w:szCs w:val="18"/>
        </w:rPr>
      </w:pPr>
      <w:r>
        <w:rPr>
          <w:rStyle w:val="normaltextrun"/>
          <w:rFonts w:ascii="Arial" w:hAnsi="Arial" w:cs="Arial"/>
          <w:b/>
          <w:bCs/>
          <w:caps/>
          <w:color w:val="000000"/>
          <w:lang w:val="en-US"/>
        </w:rPr>
        <w:t>6. Conclusion</w:t>
      </w:r>
      <w:r>
        <w:rPr>
          <w:rStyle w:val="eop"/>
          <w:rFonts w:ascii="Arial" w:hAnsi="Arial" w:cs="Arial"/>
          <w:b/>
          <w:bCs/>
          <w:caps/>
          <w:color w:val="000000"/>
          <w:bdr w:val="none" w:sz="0" w:space="0" w:color="auto" w:frame="1"/>
          <w:shd w:val="clear" w:color="auto" w:fill="C6C6C6"/>
        </w:rPr>
        <w:t> </w:t>
      </w:r>
    </w:p>
    <w:p w14:paraId="5E81FF78"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The City of Launceston strongly supports the continuation of a full horizontal fiscal </w:t>
      </w:r>
      <w:proofErr w:type="spellStart"/>
      <w:r>
        <w:rPr>
          <w:rStyle w:val="normaltextrun"/>
          <w:rFonts w:ascii="Arial" w:hAnsi="Arial" w:cs="Arial"/>
          <w:color w:val="000000"/>
          <w:lang w:val="en-US"/>
        </w:rPr>
        <w:t>equalisation</w:t>
      </w:r>
      <w:proofErr w:type="spellEnd"/>
      <w:r>
        <w:rPr>
          <w:rStyle w:val="normaltextrun"/>
          <w:rFonts w:ascii="Arial" w:hAnsi="Arial" w:cs="Arial"/>
          <w:color w:val="000000"/>
          <w:lang w:val="en-US"/>
        </w:rPr>
        <w:t> model as the most effective and equitable means of distributing GST revenue across Australia.</w:t>
      </w:r>
      <w:r>
        <w:rPr>
          <w:rStyle w:val="eop"/>
          <w:rFonts w:ascii="Arial" w:hAnsi="Arial" w:cs="Arial"/>
          <w:color w:val="000000"/>
          <w:bdr w:val="none" w:sz="0" w:space="0" w:color="auto" w:frame="1"/>
          <w:shd w:val="clear" w:color="auto" w:fill="C6C6C6"/>
        </w:rPr>
        <w:t> </w:t>
      </w:r>
    </w:p>
    <w:p w14:paraId="3C327C2E"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77D2C587"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A fair and stable HFE system is essential to the financial sustainability of the Tasmanian Government, the operational capacity of local governments, and the well</w:t>
      </w:r>
      <w:r>
        <w:rPr>
          <w:rStyle w:val="normaltextrun"/>
          <w:rFonts w:ascii="Arial" w:hAnsi="Arial" w:cs="Arial"/>
          <w:color w:val="000000"/>
          <w:lang w:val="en-US"/>
        </w:rPr>
        <w:noBreakHyphen/>
        <w:t>being and </w:t>
      </w:r>
      <w:proofErr w:type="spellStart"/>
      <w:r>
        <w:rPr>
          <w:rStyle w:val="normaltextrun"/>
          <w:rFonts w:ascii="Arial" w:hAnsi="Arial" w:cs="Arial"/>
          <w:color w:val="000000"/>
          <w:lang w:val="en-US"/>
        </w:rPr>
        <w:t>liveability</w:t>
      </w:r>
      <w:proofErr w:type="spellEnd"/>
      <w:r>
        <w:rPr>
          <w:rStyle w:val="normaltextrun"/>
          <w:rFonts w:ascii="Arial" w:hAnsi="Arial" w:cs="Arial"/>
          <w:color w:val="000000"/>
          <w:lang w:val="en-US"/>
        </w:rPr>
        <w:t> of communities throughout Northern Tasmania.</w:t>
      </w:r>
      <w:r>
        <w:rPr>
          <w:rStyle w:val="eop"/>
          <w:rFonts w:ascii="Arial" w:hAnsi="Arial" w:cs="Arial"/>
          <w:color w:val="000000"/>
          <w:bdr w:val="none" w:sz="0" w:space="0" w:color="auto" w:frame="1"/>
          <w:shd w:val="clear" w:color="auto" w:fill="C6C6C6"/>
        </w:rPr>
        <w:t> </w:t>
      </w:r>
    </w:p>
    <w:p w14:paraId="6BF0BD8F"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0DA4F7FC"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lang w:val="en-US"/>
        </w:rPr>
        <w:t>The City of Launceston appreciates the opportunity to contribute to this inquiry and would welcome the opportunity to participate in further discussions.</w:t>
      </w:r>
      <w:r>
        <w:rPr>
          <w:rStyle w:val="eop"/>
          <w:rFonts w:ascii="Arial" w:hAnsi="Arial" w:cs="Arial"/>
          <w:color w:val="000000"/>
          <w:bdr w:val="none" w:sz="0" w:space="0" w:color="auto" w:frame="1"/>
          <w:shd w:val="clear" w:color="auto" w:fill="C6C6C6"/>
        </w:rPr>
        <w:t> </w:t>
      </w:r>
    </w:p>
    <w:p w14:paraId="0CCA3AB8" w14:textId="77777777"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bdr w:val="none" w:sz="0" w:space="0" w:color="auto" w:frame="1"/>
          <w:shd w:val="clear" w:color="auto" w:fill="C6C6C6"/>
        </w:rPr>
        <w:t> </w:t>
      </w:r>
    </w:p>
    <w:p w14:paraId="3EBBDCC0" w14:textId="4BB7DB8B" w:rsidR="00157B0E" w:rsidRDefault="00157B0E" w:rsidP="00157B0E">
      <w:pPr>
        <w:pStyle w:val="paragraph"/>
        <w:spacing w:before="0" w:beforeAutospacing="0" w:after="0" w:afterAutospacing="0"/>
        <w:textAlignment w:val="baseline"/>
        <w:rPr>
          <w:rFonts w:ascii="Segoe UI" w:hAnsi="Segoe UI" w:cs="Segoe UI"/>
          <w:color w:val="000000"/>
          <w:sz w:val="18"/>
          <w:szCs w:val="18"/>
        </w:rPr>
      </w:pPr>
    </w:p>
    <w:p w14:paraId="54201D46" w14:textId="749E1769" w:rsidR="00915562" w:rsidRDefault="00915562" w:rsidP="00E03426">
      <w:pPr>
        <w:spacing w:before="240" w:after="720"/>
      </w:pPr>
      <w:r>
        <w:t>Yours sincerely</w:t>
      </w:r>
    </w:p>
    <w:p w14:paraId="6EF3EDD9" w14:textId="7D9197C0" w:rsidR="00366C12" w:rsidRDefault="00366C12" w:rsidP="00E03426">
      <w:pPr>
        <w:spacing w:before="240" w:after="720"/>
      </w:pPr>
    </w:p>
    <w:p w14:paraId="6F0FFACA" w14:textId="0383E2ED" w:rsidR="00915562" w:rsidRDefault="00366C12" w:rsidP="00E03426">
      <w:pPr>
        <w:rPr>
          <w:b/>
        </w:rPr>
      </w:pPr>
      <w:r>
        <w:rPr>
          <w:b/>
        </w:rPr>
        <w:t>Nathan Williams</w:t>
      </w:r>
    </w:p>
    <w:p w14:paraId="6BB80158" w14:textId="3FBBB9DC" w:rsidR="00187C89" w:rsidRPr="00A47CD5" w:rsidRDefault="00366C12" w:rsidP="00187C89">
      <w:r>
        <w:rPr>
          <w:b/>
          <w:u w:val="single"/>
        </w:rPr>
        <w:t>EXECUTIVE LEADER DELIVERY AND PERFORMANCE</w:t>
      </w:r>
    </w:p>
    <w:sectPr w:rsidR="00187C89" w:rsidRPr="00A47CD5" w:rsidSect="0005243C">
      <w:headerReference w:type="even" r:id="rId10"/>
      <w:headerReference w:type="default" r:id="rId11"/>
      <w:footerReference w:type="default" r:id="rId12"/>
      <w:headerReference w:type="first" r:id="rId13"/>
      <w:footerReference w:type="first" r:id="rId14"/>
      <w:pgSz w:w="11906" w:h="16838" w:code="9"/>
      <w:pgMar w:top="1134" w:right="1134" w:bottom="158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5844" w14:textId="77777777" w:rsidR="00B31FEB" w:rsidRDefault="00B31FEB">
      <w:r>
        <w:separator/>
      </w:r>
    </w:p>
  </w:endnote>
  <w:endnote w:type="continuationSeparator" w:id="0">
    <w:p w14:paraId="719A0F3D" w14:textId="77777777" w:rsidR="00B31FEB" w:rsidRDefault="00B3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83F3" w14:textId="77777777" w:rsidR="00187C89" w:rsidRPr="00187C89" w:rsidRDefault="00187C89" w:rsidP="00187C89">
    <w:pPr>
      <w:pStyle w:val="Footer"/>
      <w:jc w:val="center"/>
      <w:rPr>
        <w:sz w:val="20"/>
      </w:rPr>
    </w:pPr>
    <w:r w:rsidRPr="00187C89">
      <w:rPr>
        <w:sz w:val="20"/>
      </w:rPr>
      <w:t xml:space="preserve">Page </w:t>
    </w:r>
    <w:r w:rsidRPr="00187C89">
      <w:rPr>
        <w:sz w:val="20"/>
      </w:rPr>
      <w:fldChar w:fldCharType="begin"/>
    </w:r>
    <w:r w:rsidRPr="00187C89">
      <w:rPr>
        <w:sz w:val="20"/>
      </w:rPr>
      <w:instrText xml:space="preserve"> PAGE </w:instrText>
    </w:r>
    <w:r w:rsidRPr="00187C89">
      <w:rPr>
        <w:sz w:val="20"/>
      </w:rPr>
      <w:fldChar w:fldCharType="separate"/>
    </w:r>
    <w:r w:rsidR="00D83B18">
      <w:rPr>
        <w:noProof/>
        <w:sz w:val="20"/>
      </w:rPr>
      <w:t>2</w:t>
    </w:r>
    <w:r w:rsidRPr="00187C89">
      <w:rPr>
        <w:sz w:val="20"/>
      </w:rPr>
      <w:fldChar w:fldCharType="end"/>
    </w:r>
    <w:r w:rsidRPr="00187C89">
      <w:rPr>
        <w:sz w:val="20"/>
      </w:rPr>
      <w:t xml:space="preserve"> of </w:t>
    </w:r>
    <w:r w:rsidRPr="00187C89">
      <w:rPr>
        <w:sz w:val="20"/>
      </w:rPr>
      <w:fldChar w:fldCharType="begin"/>
    </w:r>
    <w:r w:rsidRPr="00187C89">
      <w:rPr>
        <w:sz w:val="20"/>
      </w:rPr>
      <w:instrText xml:space="preserve"> NUMPAGES </w:instrText>
    </w:r>
    <w:r w:rsidRPr="00187C89">
      <w:rPr>
        <w:sz w:val="20"/>
      </w:rPr>
      <w:fldChar w:fldCharType="separate"/>
    </w:r>
    <w:r w:rsidR="00D83B18">
      <w:rPr>
        <w:noProof/>
        <w:sz w:val="20"/>
      </w:rPr>
      <w:t>2</w:t>
    </w:r>
    <w:r w:rsidRPr="00187C89">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266" w14:textId="77777777" w:rsidR="006F3F09" w:rsidRDefault="002C1DBB">
    <w:pPr>
      <w:pStyle w:val="Footer"/>
    </w:pPr>
    <w:r>
      <w:rPr>
        <w:rFonts w:ascii="Times New Roman" w:hAnsi="Times New Roman"/>
        <w:noProof/>
        <w:szCs w:val="24"/>
      </w:rPr>
      <w:drawing>
        <wp:anchor distT="0" distB="0" distL="114300" distR="114300" simplePos="0" relativeHeight="251659264" behindDoc="1" locked="0" layoutInCell="1" allowOverlap="1" wp14:anchorId="4654F57E" wp14:editId="445AC215">
          <wp:simplePos x="0" y="0"/>
          <wp:positionH relativeFrom="column">
            <wp:posOffset>-983615</wp:posOffset>
          </wp:positionH>
          <wp:positionV relativeFrom="paragraph">
            <wp:posOffset>-448945</wp:posOffset>
          </wp:positionV>
          <wp:extent cx="7720330" cy="1117600"/>
          <wp:effectExtent l="0" t="0" r="0" b="6350"/>
          <wp:wrapNone/>
          <wp:docPr id="1" name="Picture 1" descr="CoL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_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0330" cy="1117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4971" w14:textId="77777777" w:rsidR="00B31FEB" w:rsidRDefault="00B31FEB">
      <w:r>
        <w:separator/>
      </w:r>
    </w:p>
  </w:footnote>
  <w:footnote w:type="continuationSeparator" w:id="0">
    <w:p w14:paraId="76246567" w14:textId="77777777" w:rsidR="00B31FEB" w:rsidRDefault="00B3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9CD8" w14:textId="3AA70A5E" w:rsidR="00D12FA6" w:rsidRDefault="00D1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8AD" w14:textId="7C2B358E" w:rsidR="00D12FA6" w:rsidRDefault="00D1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C8D2" w14:textId="4EEB185F" w:rsidR="00D12FA6" w:rsidRDefault="00D1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A49"/>
    <w:multiLevelType w:val="multilevel"/>
    <w:tmpl w:val="37B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F4ED0"/>
    <w:multiLevelType w:val="multilevel"/>
    <w:tmpl w:val="AB4A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25B96"/>
    <w:multiLevelType w:val="multilevel"/>
    <w:tmpl w:val="AF5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006E3"/>
    <w:multiLevelType w:val="multilevel"/>
    <w:tmpl w:val="E54A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0242A1"/>
    <w:multiLevelType w:val="multilevel"/>
    <w:tmpl w:val="D24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336E50"/>
    <w:multiLevelType w:val="hybridMultilevel"/>
    <w:tmpl w:val="A49EE8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BD8061A"/>
    <w:multiLevelType w:val="multilevel"/>
    <w:tmpl w:val="7FC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20E0C"/>
    <w:multiLevelType w:val="multilevel"/>
    <w:tmpl w:val="16E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AB7BE4"/>
    <w:multiLevelType w:val="hybridMultilevel"/>
    <w:tmpl w:val="70AC13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D095C28"/>
    <w:multiLevelType w:val="multilevel"/>
    <w:tmpl w:val="54F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A14DCE"/>
    <w:multiLevelType w:val="multilevel"/>
    <w:tmpl w:val="398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1C1E2E"/>
    <w:multiLevelType w:val="multilevel"/>
    <w:tmpl w:val="1E0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BC2A88"/>
    <w:multiLevelType w:val="multilevel"/>
    <w:tmpl w:val="B06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3F4158"/>
    <w:multiLevelType w:val="multilevel"/>
    <w:tmpl w:val="0E7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627C71"/>
    <w:multiLevelType w:val="multilevel"/>
    <w:tmpl w:val="AD1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EB4A76"/>
    <w:multiLevelType w:val="multilevel"/>
    <w:tmpl w:val="8E5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701752">
    <w:abstractNumId w:val="7"/>
  </w:num>
  <w:num w:numId="2" w16cid:durableId="345906165">
    <w:abstractNumId w:val="12"/>
  </w:num>
  <w:num w:numId="3" w16cid:durableId="1222058842">
    <w:abstractNumId w:val="4"/>
  </w:num>
  <w:num w:numId="4" w16cid:durableId="507642369">
    <w:abstractNumId w:val="14"/>
  </w:num>
  <w:num w:numId="5" w16cid:durableId="584651650">
    <w:abstractNumId w:val="1"/>
  </w:num>
  <w:num w:numId="6" w16cid:durableId="931817144">
    <w:abstractNumId w:val="0"/>
  </w:num>
  <w:num w:numId="7" w16cid:durableId="880361969">
    <w:abstractNumId w:val="10"/>
  </w:num>
  <w:num w:numId="8" w16cid:durableId="434326015">
    <w:abstractNumId w:val="6"/>
  </w:num>
  <w:num w:numId="9" w16cid:durableId="1786459618">
    <w:abstractNumId w:val="15"/>
  </w:num>
  <w:num w:numId="10" w16cid:durableId="726152055">
    <w:abstractNumId w:val="9"/>
  </w:num>
  <w:num w:numId="11" w16cid:durableId="484976271">
    <w:abstractNumId w:val="3"/>
  </w:num>
  <w:num w:numId="12" w16cid:durableId="2143765428">
    <w:abstractNumId w:val="11"/>
  </w:num>
  <w:num w:numId="13" w16cid:durableId="396325204">
    <w:abstractNumId w:val="2"/>
  </w:num>
  <w:num w:numId="14" w16cid:durableId="801769707">
    <w:abstractNumId w:val="13"/>
  </w:num>
  <w:num w:numId="15" w16cid:durableId="1440955466">
    <w:abstractNumId w:val="5"/>
  </w:num>
  <w:num w:numId="16" w16cid:durableId="235743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02699"/>
    <w:docVar w:name="dwclass" w:val="TplateW"/>
    <w:docVar w:name="originalfilename" w:val="LCC Letter.dot"/>
  </w:docVars>
  <w:rsids>
    <w:rsidRoot w:val="00915562"/>
    <w:rsid w:val="0005243C"/>
    <w:rsid w:val="00157B0E"/>
    <w:rsid w:val="001860E1"/>
    <w:rsid w:val="00187C89"/>
    <w:rsid w:val="0027437C"/>
    <w:rsid w:val="002C1DBB"/>
    <w:rsid w:val="0032128D"/>
    <w:rsid w:val="00366C12"/>
    <w:rsid w:val="00397688"/>
    <w:rsid w:val="00443D89"/>
    <w:rsid w:val="005605A5"/>
    <w:rsid w:val="0063268C"/>
    <w:rsid w:val="0066233A"/>
    <w:rsid w:val="006F1812"/>
    <w:rsid w:val="006F3F09"/>
    <w:rsid w:val="00743F54"/>
    <w:rsid w:val="007852A9"/>
    <w:rsid w:val="008532B0"/>
    <w:rsid w:val="008643BB"/>
    <w:rsid w:val="00911DC5"/>
    <w:rsid w:val="00915562"/>
    <w:rsid w:val="00981793"/>
    <w:rsid w:val="009B21A7"/>
    <w:rsid w:val="00A47CD5"/>
    <w:rsid w:val="00B31FEB"/>
    <w:rsid w:val="00B41245"/>
    <w:rsid w:val="00C90C2E"/>
    <w:rsid w:val="00CD653A"/>
    <w:rsid w:val="00D12FA6"/>
    <w:rsid w:val="00D83B18"/>
    <w:rsid w:val="00E03426"/>
    <w:rsid w:val="00EA6FB5"/>
    <w:rsid w:val="00ED1602"/>
    <w:rsid w:val="00F27A8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9BF2A"/>
  <w15:docId w15:val="{AF6EFB65-A979-4A7E-8C79-BAA05EDE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paragraph">
    <w:name w:val="paragraph"/>
    <w:basedOn w:val="Normal"/>
    <w:rsid w:val="00157B0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57B0E"/>
  </w:style>
  <w:style w:type="character" w:customStyle="1" w:styleId="eop">
    <w:name w:val="eop"/>
    <w:basedOn w:val="DefaultParagraphFont"/>
    <w:rsid w:val="0015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e3f41a395a8d13451f5f511c0a196ab6">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c77d892f3851e370837b680be96cb319"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654d2-7e13-41e4-899b-c3fb30ebea62">
      <Terms xmlns="http://schemas.microsoft.com/office/infopath/2007/PartnerControls"/>
    </lcf76f155ced4ddcb4097134ff3c332f>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Props1.xml><?xml version="1.0" encoding="utf-8"?>
<ds:datastoreItem xmlns:ds="http://schemas.openxmlformats.org/officeDocument/2006/customXml" ds:itemID="{6C2825D8-98C1-4A4F-AE9A-E9DCBF8E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B2ED2-EF77-4A97-A3EA-1B0D5A3CEA5A}">
  <ds:schemaRefs>
    <ds:schemaRef ds:uri="http://schemas.microsoft.com/sharepoint/v3/contenttype/forms"/>
  </ds:schemaRefs>
</ds:datastoreItem>
</file>

<file path=customXml/itemProps3.xml><?xml version="1.0" encoding="utf-8"?>
<ds:datastoreItem xmlns:ds="http://schemas.openxmlformats.org/officeDocument/2006/customXml" ds:itemID="{C537A221-CABB-4D6B-AC30-C07C920B40D4}">
  <ds:schemaRefs>
    <ds:schemaRef ds:uri="http://schemas.microsoft.com/office/2006/metadata/properties"/>
    <ds:schemaRef ds:uri="http://schemas.microsoft.com/office/infopath/2007/PartnerControls"/>
    <ds:schemaRef ds:uri="a45654d2-7e13-41e4-899b-c3fb30ebea62"/>
    <ds:schemaRef ds:uri="6c345048-4f48-4f33-acaa-aa726ed2b62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810</Words>
  <Characters>5167</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Submission 60 - City of Launceston - Determinants of regional airfares - Public inquiry</vt:lpstr>
    </vt:vector>
  </TitlesOfParts>
  <Company>City of Launceston</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60 - City of Launceston - Determinants of regional airfares - Public inquiry</dc:title>
  <dc:creator>City of Launceston</dc:creator>
  <cp:lastModifiedBy>Chris Alston</cp:lastModifiedBy>
  <cp:revision>7</cp:revision>
  <cp:lastPrinted>2026-03-20T00:10:00Z</cp:lastPrinted>
  <dcterms:created xsi:type="dcterms:W3CDTF">2026-03-20T00:07:00Z</dcterms:created>
  <dcterms:modified xsi:type="dcterms:W3CDTF">2026-03-20T00:10:00Z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Template</vt:lpwstr>
  </property>
  <property fmtid="{D5CDD505-2E9C-101B-9397-08002B2CF9AE}" pid="4" name="DWDocClassId">
    <vt:lpwstr>511</vt:lpwstr>
  </property>
  <property fmtid="{D5CDD505-2E9C-101B-9397-08002B2CF9AE}" pid="5" name="DWDocPrecis">
    <vt:lpwstr>CoL Letter for Email</vt:lpwstr>
  </property>
  <property fmtid="{D5CDD505-2E9C-101B-9397-08002B2CF9AE}" pid="6" name="DWDocNo">
    <vt:lpwstr>4694921</vt:lpwstr>
  </property>
  <property fmtid="{D5CDD505-2E9C-101B-9397-08002B2CF9AE}" pid="7" name="DWDocSetID">
    <vt:lpwstr>2628425</vt:lpwstr>
  </property>
  <property fmtid="{D5CDD505-2E9C-101B-9397-08002B2CF9AE}" pid="8" name="DWDocType">
    <vt:lpwstr/>
  </property>
  <property fmtid="{D5CDD505-2E9C-101B-9397-08002B2CF9AE}" pid="9" name="DWDocVersion">
    <vt:lpwstr>8</vt:lpwstr>
  </property>
  <property fmtid="{D5CDD505-2E9C-101B-9397-08002B2CF9AE}" pid="10" name="ContentTypeId">
    <vt:lpwstr>0x010100E73A09F24D3C7D42BC4F0D225D56A002</vt:lpwstr>
  </property>
  <property fmtid="{D5CDD505-2E9C-101B-9397-08002B2CF9AE}" pid="11" name="MediaServiceImageTags">
    <vt:lpwstr/>
  </property>
  <property fmtid="{D5CDD505-2E9C-101B-9397-08002B2CF9AE}" pid="12" name="RevIMBCS">
    <vt:lpwstr>1;#Unclassified|3955eeb1-2d18-4582-aeb2-00144ec3aaf5</vt:lpwstr>
  </property>
  <property fmtid="{D5CDD505-2E9C-101B-9397-08002B2CF9AE}" pid="13" name="docLang">
    <vt:lpwstr>en</vt:lpwstr>
  </property>
  <property fmtid="{D5CDD505-2E9C-101B-9397-08002B2CF9AE}" pid="14" name="MSIP_Label_c1f2b1ce-4212-46db-a901-dd8453f57141_Enabled">
    <vt:lpwstr>true</vt:lpwstr>
  </property>
  <property fmtid="{D5CDD505-2E9C-101B-9397-08002B2CF9AE}" pid="15" name="MSIP_Label_c1f2b1ce-4212-46db-a901-dd8453f57141_SetDate">
    <vt:lpwstr>2026-03-20T00:06:25Z</vt:lpwstr>
  </property>
  <property fmtid="{D5CDD505-2E9C-101B-9397-08002B2CF9AE}" pid="16" name="MSIP_Label_c1f2b1ce-4212-46db-a901-dd8453f57141_Method">
    <vt:lpwstr>Privileged</vt:lpwstr>
  </property>
  <property fmtid="{D5CDD505-2E9C-101B-9397-08002B2CF9AE}" pid="17" name="MSIP_Label_c1f2b1ce-4212-46db-a901-dd8453f57141_Name">
    <vt:lpwstr>Publish</vt:lpwstr>
  </property>
  <property fmtid="{D5CDD505-2E9C-101B-9397-08002B2CF9AE}" pid="18" name="MSIP_Label_c1f2b1ce-4212-46db-a901-dd8453f57141_SiteId">
    <vt:lpwstr>29f9330b-c0fe-4244-830e-ba9f275d6c34</vt:lpwstr>
  </property>
  <property fmtid="{D5CDD505-2E9C-101B-9397-08002B2CF9AE}" pid="19" name="MSIP_Label_c1f2b1ce-4212-46db-a901-dd8453f57141_ActionId">
    <vt:lpwstr>4250d90c-0755-4b86-8331-c4e00f8ce034</vt:lpwstr>
  </property>
  <property fmtid="{D5CDD505-2E9C-101B-9397-08002B2CF9AE}" pid="20" name="MSIP_Label_c1f2b1ce-4212-46db-a901-dd8453f57141_ContentBits">
    <vt:lpwstr>0</vt:lpwstr>
  </property>
  <property fmtid="{D5CDD505-2E9C-101B-9397-08002B2CF9AE}" pid="21" name="MSIP_Label_c1f2b1ce-4212-46db-a901-dd8453f57141_Tag">
    <vt:lpwstr>10, 0, 1, 1</vt:lpwstr>
  </property>
</Properties>
</file>